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F50A2E" w14:textId="77777777" w:rsidR="00C5474A" w:rsidRPr="00A25CC8" w:rsidRDefault="00C5474A" w:rsidP="00C5474A">
      <w:bookmarkStart w:id="0" w:name="_Hlk166745527"/>
      <w:bookmarkEnd w:id="0"/>
      <w:r w:rsidRPr="00A25CC8">
        <w:rPr>
          <w:noProof/>
          <w:lang w:eastAsia="es-CR"/>
        </w:rPr>
        <w:drawing>
          <wp:anchor distT="0" distB="0" distL="114300" distR="114300" simplePos="0" relativeHeight="252120064" behindDoc="1" locked="0" layoutInCell="1" allowOverlap="1" wp14:anchorId="267461D3" wp14:editId="285AA8CF">
            <wp:simplePos x="0" y="0"/>
            <wp:positionH relativeFrom="column">
              <wp:posOffset>1457960</wp:posOffset>
            </wp:positionH>
            <wp:positionV relativeFrom="paragraph">
              <wp:posOffset>272</wp:posOffset>
            </wp:positionV>
            <wp:extent cx="2906395" cy="2245360"/>
            <wp:effectExtent l="0" t="0" r="0" b="0"/>
            <wp:wrapTight wrapText="bothSides">
              <wp:wrapPolygon edited="0">
                <wp:start x="8495" y="1100"/>
                <wp:lineTo x="8353" y="4398"/>
                <wp:lineTo x="6229" y="4581"/>
                <wp:lineTo x="5805" y="5131"/>
                <wp:lineTo x="5946" y="10262"/>
                <wp:lineTo x="8353" y="13195"/>
                <wp:lineTo x="1982" y="14111"/>
                <wp:lineTo x="849" y="14477"/>
                <wp:lineTo x="849" y="18509"/>
                <wp:lineTo x="1557" y="19059"/>
                <wp:lineTo x="4389" y="19059"/>
                <wp:lineTo x="4389" y="20158"/>
                <wp:lineTo x="17131" y="20158"/>
                <wp:lineTo x="17131" y="19059"/>
                <wp:lineTo x="20104" y="19059"/>
                <wp:lineTo x="20953" y="18326"/>
                <wp:lineTo x="21095" y="14661"/>
                <wp:lineTo x="19821" y="14294"/>
                <wp:lineTo x="13308" y="13195"/>
                <wp:lineTo x="15715" y="10262"/>
                <wp:lineTo x="15998" y="5131"/>
                <wp:lineTo x="15432" y="4581"/>
                <wp:lineTo x="13167" y="4398"/>
                <wp:lineTo x="13167" y="1100"/>
                <wp:lineTo x="8495" y="1100"/>
              </wp:wrapPolygon>
            </wp:wrapTight>
            <wp:docPr id="1396238813" name="Picture 1396238813" descr="A logo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38813" name="Picture 1396238813" descr="A logo with text overlay&#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2906395" cy="2245360"/>
                    </a:xfrm>
                    <a:prstGeom prst="rect">
                      <a:avLst/>
                    </a:prstGeom>
                  </pic:spPr>
                </pic:pic>
              </a:graphicData>
            </a:graphic>
            <wp14:sizeRelH relativeFrom="page">
              <wp14:pctWidth>0</wp14:pctWidth>
            </wp14:sizeRelH>
            <wp14:sizeRelV relativeFrom="page">
              <wp14:pctHeight>0</wp14:pctHeight>
            </wp14:sizeRelV>
          </wp:anchor>
        </w:drawing>
      </w:r>
    </w:p>
    <w:p w14:paraId="71945263" w14:textId="77777777" w:rsidR="00C5474A" w:rsidRPr="00A25CC8" w:rsidRDefault="00C5474A" w:rsidP="00C5474A"/>
    <w:p w14:paraId="62298B56" w14:textId="77777777" w:rsidR="00C5474A" w:rsidRPr="00A25CC8" w:rsidRDefault="00C5474A" w:rsidP="00C5474A"/>
    <w:p w14:paraId="6ED34751" w14:textId="77777777" w:rsidR="00C5474A" w:rsidRPr="00A25CC8" w:rsidRDefault="00C5474A" w:rsidP="00C5474A"/>
    <w:p w14:paraId="3A63EFE7" w14:textId="77777777" w:rsidR="00C5474A" w:rsidRPr="00A25CC8" w:rsidRDefault="00C5474A" w:rsidP="00C5474A"/>
    <w:p w14:paraId="26F745F7" w14:textId="77777777" w:rsidR="00C5474A" w:rsidRPr="00A25CC8" w:rsidRDefault="00C5474A" w:rsidP="00C5474A"/>
    <w:p w14:paraId="7743CE6C" w14:textId="77777777" w:rsidR="00C5474A" w:rsidRPr="00A25CC8" w:rsidRDefault="00C5474A" w:rsidP="00C5474A"/>
    <w:p w14:paraId="7F530030" w14:textId="77777777" w:rsidR="00C5474A" w:rsidRPr="00A25CC8" w:rsidRDefault="00C5474A" w:rsidP="00C5474A"/>
    <w:p w14:paraId="2E3B347D" w14:textId="77777777" w:rsidR="00C5474A" w:rsidRDefault="00C5474A" w:rsidP="00C5474A">
      <w:pPr>
        <w:spacing w:line="240" w:lineRule="auto"/>
        <w:jc w:val="center"/>
        <w:rPr>
          <w:b/>
          <w:bCs/>
          <w:sz w:val="32"/>
          <w:szCs w:val="32"/>
        </w:rPr>
      </w:pPr>
      <w:r w:rsidRPr="00305FF2">
        <w:rPr>
          <w:b/>
          <w:bCs/>
          <w:sz w:val="32"/>
          <w:szCs w:val="32"/>
        </w:rPr>
        <w:t xml:space="preserve">Solicitud de Ampliación de Oferta Académica </w:t>
      </w:r>
    </w:p>
    <w:p w14:paraId="30596D69" w14:textId="77777777" w:rsidR="00C5474A" w:rsidRPr="00305FF2" w:rsidRDefault="00C5474A" w:rsidP="00C5474A">
      <w:pPr>
        <w:spacing w:line="240" w:lineRule="auto"/>
        <w:jc w:val="center"/>
        <w:rPr>
          <w:b/>
          <w:bCs/>
          <w:sz w:val="32"/>
          <w:szCs w:val="32"/>
        </w:rPr>
      </w:pPr>
      <w:r w:rsidRPr="00305FF2">
        <w:rPr>
          <w:b/>
          <w:bCs/>
          <w:sz w:val="32"/>
          <w:szCs w:val="32"/>
        </w:rPr>
        <w:t>para la Modalidad Virtual</w:t>
      </w:r>
    </w:p>
    <w:p w14:paraId="71C7325A" w14:textId="77777777" w:rsidR="00C5474A" w:rsidRPr="00305FF2" w:rsidRDefault="00C5474A" w:rsidP="00C5474A">
      <w:pPr>
        <w:jc w:val="center"/>
        <w:rPr>
          <w:b/>
          <w:bCs/>
          <w:sz w:val="32"/>
          <w:szCs w:val="32"/>
        </w:rPr>
      </w:pPr>
      <w:r w:rsidRPr="00305FF2">
        <w:rPr>
          <w:b/>
          <w:bCs/>
          <w:sz w:val="32"/>
          <w:szCs w:val="32"/>
        </w:rPr>
        <w:t xml:space="preserve">Bachillerato en </w:t>
      </w:r>
      <w:r>
        <w:rPr>
          <w:b/>
          <w:bCs/>
          <w:sz w:val="32"/>
          <w:szCs w:val="32"/>
        </w:rPr>
        <w:t>Ciencias Bíblicas</w:t>
      </w:r>
    </w:p>
    <w:p w14:paraId="01E3A567" w14:textId="77777777" w:rsidR="00C5474A" w:rsidRDefault="00C5474A" w:rsidP="00C5474A">
      <w:pPr>
        <w:jc w:val="center"/>
        <w:rPr>
          <w:b/>
          <w:bCs/>
          <w:sz w:val="36"/>
          <w:szCs w:val="36"/>
        </w:rPr>
      </w:pPr>
    </w:p>
    <w:p w14:paraId="154D19E4" w14:textId="77777777" w:rsidR="00C5474A" w:rsidRPr="00305FF2" w:rsidRDefault="00C5474A" w:rsidP="00C5474A">
      <w:pPr>
        <w:jc w:val="center"/>
        <w:rPr>
          <w:b/>
          <w:bCs/>
          <w:sz w:val="36"/>
          <w:szCs w:val="36"/>
        </w:rPr>
      </w:pPr>
      <w:r w:rsidRPr="00305FF2">
        <w:rPr>
          <w:b/>
          <w:bCs/>
          <w:sz w:val="36"/>
          <w:szCs w:val="36"/>
        </w:rPr>
        <w:t xml:space="preserve">TOMO </w:t>
      </w:r>
      <w:r>
        <w:rPr>
          <w:b/>
          <w:bCs/>
          <w:sz w:val="36"/>
          <w:szCs w:val="36"/>
        </w:rPr>
        <w:t>IV</w:t>
      </w:r>
    </w:p>
    <w:p w14:paraId="49E6FF85" w14:textId="77777777" w:rsidR="00C5474A" w:rsidRPr="00305FF2" w:rsidRDefault="00C5474A" w:rsidP="00C5474A">
      <w:pPr>
        <w:jc w:val="center"/>
        <w:rPr>
          <w:b/>
          <w:bCs/>
          <w:sz w:val="36"/>
          <w:szCs w:val="36"/>
        </w:rPr>
      </w:pPr>
      <w:r>
        <w:rPr>
          <w:b/>
          <w:bCs/>
          <w:sz w:val="36"/>
          <w:szCs w:val="36"/>
        </w:rPr>
        <w:t>PROGRAMAS DE LOS CURSOS</w:t>
      </w:r>
    </w:p>
    <w:p w14:paraId="3DE56AEE" w14:textId="77777777" w:rsidR="00C5474A" w:rsidRPr="00A25CC8" w:rsidRDefault="00C5474A" w:rsidP="00C5474A"/>
    <w:p w14:paraId="25440F98" w14:textId="77777777" w:rsidR="00C5474A" w:rsidRPr="00A25CC8" w:rsidRDefault="00C5474A" w:rsidP="00C5474A"/>
    <w:p w14:paraId="3F16F99C" w14:textId="77777777" w:rsidR="00C5474A" w:rsidRDefault="00C5474A" w:rsidP="00C5474A"/>
    <w:p w14:paraId="6F72A2C5" w14:textId="77777777" w:rsidR="00C5474A" w:rsidRDefault="00C5474A" w:rsidP="00C5474A"/>
    <w:p w14:paraId="6658329F" w14:textId="77777777" w:rsidR="00C5474A" w:rsidRDefault="00C5474A" w:rsidP="00C5474A"/>
    <w:p w14:paraId="31CF03C7" w14:textId="77777777" w:rsidR="00C5474A" w:rsidRDefault="00C5474A" w:rsidP="00C5474A"/>
    <w:p w14:paraId="7D0B9ED2" w14:textId="77777777" w:rsidR="00C5474A" w:rsidRDefault="00C5474A" w:rsidP="00C5474A"/>
    <w:p w14:paraId="38CDCEA8" w14:textId="77777777" w:rsidR="00C5474A" w:rsidRDefault="00C5474A" w:rsidP="00C5474A"/>
    <w:p w14:paraId="55746FBE" w14:textId="77777777" w:rsidR="00C5474A" w:rsidRDefault="00C5474A" w:rsidP="00C5474A"/>
    <w:p w14:paraId="2AFD35F3" w14:textId="77777777" w:rsidR="00DD16F2" w:rsidRDefault="00DD16F2" w:rsidP="00C5474A">
      <w:pPr>
        <w:spacing w:after="0"/>
        <w:jc w:val="center"/>
      </w:pPr>
    </w:p>
    <w:p w14:paraId="1BDB5C40" w14:textId="40D79F0B" w:rsidR="00C5474A" w:rsidRPr="00A25CC8" w:rsidRDefault="00C5474A" w:rsidP="00C5474A">
      <w:pPr>
        <w:spacing w:after="0"/>
        <w:jc w:val="center"/>
      </w:pPr>
      <w:r w:rsidRPr="00A25CC8">
        <w:t>Dirigida al Consejo Nacional de Educación Superior Universitaria Privada (CONESUP)</w:t>
      </w:r>
    </w:p>
    <w:p w14:paraId="496EC051" w14:textId="77777777" w:rsidR="00C5474A" w:rsidRDefault="00C5474A" w:rsidP="00C5474A">
      <w:pPr>
        <w:spacing w:after="0"/>
        <w:jc w:val="center"/>
      </w:pPr>
      <w:r w:rsidRPr="00A25CC8">
        <w:t>San José, Costa Rica</w:t>
      </w:r>
    </w:p>
    <w:p w14:paraId="38D4BEB0" w14:textId="77777777" w:rsidR="00C5474A" w:rsidRDefault="00C5474A" w:rsidP="00C5474A">
      <w:pPr>
        <w:spacing w:after="0"/>
        <w:jc w:val="center"/>
      </w:pPr>
      <w:r>
        <w:t>Diciembre, 2022</w:t>
      </w:r>
    </w:p>
    <w:p w14:paraId="1659432A" w14:textId="36D0B8F9" w:rsidR="00C5474A" w:rsidRDefault="00C5474A" w:rsidP="00C5474A">
      <w:pPr>
        <w:spacing w:after="0"/>
        <w:jc w:val="center"/>
      </w:pPr>
      <w:r>
        <w:t>Actualizada septiembre, 2023</w:t>
      </w:r>
    </w:p>
    <w:p w14:paraId="16A3CB2C" w14:textId="2733AA6D" w:rsidR="005A5DEB" w:rsidRDefault="005A5DEB" w:rsidP="00C5474A">
      <w:pPr>
        <w:spacing w:after="0"/>
        <w:jc w:val="center"/>
      </w:pPr>
      <w:r>
        <w:lastRenderedPageBreak/>
        <w:t>Última actualiz</w:t>
      </w:r>
      <w:r w:rsidR="00B14695">
        <w:t>ación mayo, 2024</w:t>
      </w:r>
    </w:p>
    <w:p w14:paraId="63364B69" w14:textId="77777777" w:rsidR="008A3CA4" w:rsidRPr="00DD16F2" w:rsidRDefault="008A3CA4" w:rsidP="00C5474A">
      <w:pPr>
        <w:spacing w:after="0"/>
        <w:jc w:val="center"/>
        <w:rPr>
          <w:sz w:val="14"/>
          <w:szCs w:val="14"/>
        </w:rPr>
      </w:pPr>
    </w:p>
    <w:p w14:paraId="27E57D58" w14:textId="4AF410B1" w:rsidR="008A3CA4" w:rsidRDefault="008A3CA4" w:rsidP="00C5474A">
      <w:pPr>
        <w:spacing w:after="0"/>
        <w:jc w:val="center"/>
        <w:rPr>
          <w:b/>
          <w:bCs/>
          <w:sz w:val="32"/>
          <w:szCs w:val="32"/>
        </w:rPr>
      </w:pPr>
      <w:r w:rsidRPr="008A3CA4">
        <w:rPr>
          <w:b/>
          <w:bCs/>
          <w:sz w:val="32"/>
          <w:szCs w:val="32"/>
        </w:rPr>
        <w:t>CONTENIDO</w:t>
      </w:r>
    </w:p>
    <w:p w14:paraId="7CFD05ED" w14:textId="77777777" w:rsidR="008A3CA4" w:rsidRPr="008A3CA4" w:rsidRDefault="008A3CA4" w:rsidP="00C5474A">
      <w:pPr>
        <w:spacing w:after="0"/>
        <w:jc w:val="center"/>
        <w:rPr>
          <w:b/>
          <w:bCs/>
          <w:sz w:val="32"/>
          <w:szCs w:val="32"/>
        </w:rPr>
      </w:pPr>
    </w:p>
    <w:p w14:paraId="3E22A647" w14:textId="08DA3D5E" w:rsidR="005A5DEB" w:rsidRPr="005A5DEB" w:rsidRDefault="005A5DEB">
      <w:pPr>
        <w:pStyle w:val="TDC1"/>
        <w:tabs>
          <w:tab w:val="left" w:pos="480"/>
          <w:tab w:val="right" w:leader="dot" w:pos="8828"/>
        </w:tabs>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pPr>
      <w:r w:rsidRPr="005A5DEB">
        <w:rPr>
          <w:b w:val="0"/>
          <w:bCs w:val="0"/>
          <w:caps w:val="0"/>
          <w:sz w:val="24"/>
          <w:szCs w:val="24"/>
        </w:rPr>
        <w:fldChar w:fldCharType="begin"/>
      </w:r>
      <w:r w:rsidRPr="005A5DEB">
        <w:rPr>
          <w:b w:val="0"/>
          <w:bCs w:val="0"/>
          <w:caps w:val="0"/>
          <w:sz w:val="24"/>
          <w:szCs w:val="24"/>
        </w:rPr>
        <w:instrText xml:space="preserve"> TOC \n \h \z \t "SPECIAL,1,SPECIAL 2,2" </w:instrText>
      </w:r>
      <w:r w:rsidRPr="005A5DEB">
        <w:rPr>
          <w:b w:val="0"/>
          <w:bCs w:val="0"/>
          <w:caps w:val="0"/>
          <w:sz w:val="24"/>
          <w:szCs w:val="24"/>
        </w:rPr>
        <w:fldChar w:fldCharType="separate"/>
      </w:r>
      <w:hyperlink w:anchor="_Toc166526874" w:history="1">
        <w:r w:rsidRPr="005A5DEB">
          <w:rPr>
            <w:rStyle w:val="Hipervnculo"/>
            <w:noProof/>
            <w:sz w:val="24"/>
            <w:szCs w:val="24"/>
            <w:u w:val="none"/>
          </w:rPr>
          <w:t>1-</w:t>
        </w:r>
        <w:r w:rsidRPr="005A5DEB">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tab/>
        </w:r>
        <w:r w:rsidRPr="005A5DEB">
          <w:rPr>
            <w:rStyle w:val="Hipervnculo"/>
            <w:noProof/>
            <w:sz w:val="24"/>
            <w:szCs w:val="24"/>
            <w:u w:val="none"/>
          </w:rPr>
          <w:t>Antecedentes</w:t>
        </w:r>
      </w:hyperlink>
    </w:p>
    <w:p w14:paraId="5251BB5F" w14:textId="04DC017F" w:rsidR="005A5DEB" w:rsidRPr="005A5DEB" w:rsidRDefault="00DD16F2">
      <w:pPr>
        <w:pStyle w:val="TDC1"/>
        <w:tabs>
          <w:tab w:val="left" w:pos="480"/>
          <w:tab w:val="right" w:leader="dot" w:pos="8828"/>
        </w:tabs>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pPr>
      <w:hyperlink w:anchor="_Toc166526875" w:history="1">
        <w:r w:rsidR="005A5DEB" w:rsidRPr="005A5DEB">
          <w:rPr>
            <w:rStyle w:val="Hipervnculo"/>
            <w:noProof/>
            <w:sz w:val="24"/>
            <w:szCs w:val="24"/>
            <w:u w:val="none"/>
          </w:rPr>
          <w:t>2-</w:t>
        </w:r>
        <w:r w:rsidR="005A5DEB" w:rsidRPr="005A5DEB">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tab/>
        </w:r>
        <w:r w:rsidR="005A5DEB" w:rsidRPr="005A5DEB">
          <w:rPr>
            <w:rStyle w:val="Hipervnculo"/>
            <w:noProof/>
            <w:sz w:val="24"/>
            <w:szCs w:val="24"/>
            <w:u w:val="none"/>
          </w:rPr>
          <w:t>Adecuación de los programas (sílabos) para la modalidad virtual</w:t>
        </w:r>
      </w:hyperlink>
    </w:p>
    <w:p w14:paraId="248E1397" w14:textId="289C2890" w:rsidR="005A5DEB" w:rsidRPr="005A5DEB" w:rsidRDefault="00DD16F2">
      <w:pPr>
        <w:pStyle w:val="TDC1"/>
        <w:tabs>
          <w:tab w:val="left" w:pos="480"/>
          <w:tab w:val="right" w:leader="dot" w:pos="8828"/>
        </w:tabs>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pPr>
      <w:hyperlink w:anchor="_Toc166526876" w:history="1">
        <w:r w:rsidR="005A5DEB" w:rsidRPr="005A5DEB">
          <w:rPr>
            <w:rStyle w:val="Hipervnculo"/>
            <w:noProof/>
            <w:sz w:val="24"/>
            <w:szCs w:val="24"/>
            <w:u w:val="none"/>
          </w:rPr>
          <w:t>3-</w:t>
        </w:r>
        <w:r w:rsidR="005A5DEB" w:rsidRPr="005A5DEB">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tab/>
        </w:r>
        <w:r w:rsidR="005A5DEB" w:rsidRPr="005A5DEB">
          <w:rPr>
            <w:rStyle w:val="Hipervnculo"/>
            <w:noProof/>
            <w:sz w:val="24"/>
            <w:szCs w:val="24"/>
            <w:u w:val="none"/>
          </w:rPr>
          <w:t>Lista de cursos del Bachillerato en Ciencias Bíblicas</w:t>
        </w:r>
      </w:hyperlink>
    </w:p>
    <w:p w14:paraId="799246CB" w14:textId="12911B72" w:rsidR="005A5DEB" w:rsidRPr="005A5DEB" w:rsidRDefault="00DD16F2">
      <w:pPr>
        <w:pStyle w:val="TDC1"/>
        <w:tabs>
          <w:tab w:val="left" w:pos="480"/>
          <w:tab w:val="right" w:leader="dot" w:pos="8828"/>
        </w:tabs>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pPr>
      <w:hyperlink w:anchor="_Toc166526877" w:history="1">
        <w:r w:rsidR="005A5DEB" w:rsidRPr="005A5DEB">
          <w:rPr>
            <w:rStyle w:val="Hipervnculo"/>
            <w:noProof/>
            <w:sz w:val="24"/>
            <w:szCs w:val="24"/>
            <w:u w:val="none"/>
          </w:rPr>
          <w:t>4-</w:t>
        </w:r>
        <w:r w:rsidR="005A5DEB" w:rsidRPr="005A5DEB">
          <w:rPr>
            <w:rFonts w:asciiTheme="minorHAnsi" w:eastAsiaTheme="minorEastAsia" w:hAnsiTheme="minorHAnsi" w:cstheme="minorBidi"/>
            <w:b w:val="0"/>
            <w:bCs w:val="0"/>
            <w:caps w:val="0"/>
            <w:noProof/>
            <w:color w:val="auto"/>
            <w:kern w:val="2"/>
            <w:sz w:val="32"/>
            <w:szCs w:val="32"/>
            <w:lang w:val="es-CR" w:eastAsia="es-CR" w:bidi="he-IL"/>
            <w14:ligatures w14:val="standardContextual"/>
          </w:rPr>
          <w:tab/>
        </w:r>
        <w:r w:rsidR="005A5DEB" w:rsidRPr="005A5DEB">
          <w:rPr>
            <w:rStyle w:val="Hipervnculo"/>
            <w:noProof/>
            <w:sz w:val="24"/>
            <w:szCs w:val="24"/>
            <w:u w:val="none"/>
          </w:rPr>
          <w:t>Programas de los cursos</w:t>
        </w:r>
      </w:hyperlink>
    </w:p>
    <w:p w14:paraId="7BB2C9C3" w14:textId="39B08175" w:rsidR="005A5DEB" w:rsidRPr="000611BD" w:rsidRDefault="00DD16F2" w:rsidP="00B14695">
      <w:pPr>
        <w:pStyle w:val="TD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78" w:history="1">
        <w:r w:rsidR="005A5DEB" w:rsidRPr="000611BD">
          <w:rPr>
            <w:rStyle w:val="Hipervnculo"/>
            <w:noProof/>
            <w:color w:val="0070C0"/>
            <w:sz w:val="24"/>
            <w:szCs w:val="24"/>
            <w:u w:val="none"/>
          </w:rPr>
          <w:t>I CUATRIMESTRE</w:t>
        </w:r>
      </w:hyperlink>
    </w:p>
    <w:p w14:paraId="14F32CF6" w14:textId="53003370" w:rsidR="005A5DEB" w:rsidRPr="000611BD" w:rsidRDefault="00DD16F2" w:rsidP="00B14695">
      <w:pPr>
        <w:pStyle w:val="TD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79" w:history="1">
        <w:r w:rsidR="005A5DEB" w:rsidRPr="000611BD">
          <w:rPr>
            <w:rStyle w:val="Hipervnculo"/>
            <w:noProof/>
            <w:color w:val="0070C0"/>
            <w:sz w:val="24"/>
            <w:szCs w:val="24"/>
            <w:u w:val="none"/>
          </w:rPr>
          <w:t>II CUATRIMESTRE</w:t>
        </w:r>
      </w:hyperlink>
    </w:p>
    <w:p w14:paraId="50109B3A" w14:textId="3CC7E34A" w:rsidR="005A5DEB" w:rsidRPr="000611BD" w:rsidRDefault="00DD16F2" w:rsidP="00B14695">
      <w:pPr>
        <w:pStyle w:val="TD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0" w:history="1">
        <w:r w:rsidR="005A5DEB" w:rsidRPr="000611BD">
          <w:rPr>
            <w:rStyle w:val="Hipervnculo"/>
            <w:noProof/>
            <w:color w:val="0070C0"/>
            <w:sz w:val="24"/>
            <w:szCs w:val="24"/>
            <w:u w:val="none"/>
          </w:rPr>
          <w:t>III CUATRIMESTRE</w:t>
        </w:r>
      </w:hyperlink>
    </w:p>
    <w:p w14:paraId="281FF350" w14:textId="25B2FC08" w:rsidR="005A5DEB" w:rsidRPr="000611BD" w:rsidRDefault="00DD16F2" w:rsidP="00B14695">
      <w:pPr>
        <w:pStyle w:val="TD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1" w:history="1">
        <w:r w:rsidR="005A5DEB" w:rsidRPr="000611BD">
          <w:rPr>
            <w:rStyle w:val="Hipervnculo"/>
            <w:noProof/>
            <w:color w:val="0070C0"/>
            <w:sz w:val="24"/>
            <w:szCs w:val="24"/>
            <w:u w:val="none"/>
          </w:rPr>
          <w:t>IV CUATRIMESTRE</w:t>
        </w:r>
      </w:hyperlink>
    </w:p>
    <w:p w14:paraId="6CC60579" w14:textId="44C55E66" w:rsidR="005A5DEB" w:rsidRPr="000611BD" w:rsidRDefault="00DD16F2" w:rsidP="00B14695">
      <w:pPr>
        <w:pStyle w:val="TD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2" w:history="1">
        <w:r w:rsidR="005A5DEB" w:rsidRPr="000611BD">
          <w:rPr>
            <w:rStyle w:val="Hipervnculo"/>
            <w:noProof/>
            <w:color w:val="0070C0"/>
            <w:sz w:val="24"/>
            <w:szCs w:val="24"/>
            <w:u w:val="none"/>
          </w:rPr>
          <w:t>V CUATRIMESTRE</w:t>
        </w:r>
      </w:hyperlink>
    </w:p>
    <w:p w14:paraId="03CCE2C1" w14:textId="7729BDDF" w:rsidR="005A5DEB" w:rsidRPr="000611BD" w:rsidRDefault="00DD16F2" w:rsidP="00B14695">
      <w:pPr>
        <w:pStyle w:val="TD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3" w:history="1">
        <w:r w:rsidR="005A5DEB" w:rsidRPr="000611BD">
          <w:rPr>
            <w:rStyle w:val="Hipervnculo"/>
            <w:noProof/>
            <w:color w:val="0070C0"/>
            <w:sz w:val="24"/>
            <w:szCs w:val="24"/>
            <w:u w:val="none"/>
          </w:rPr>
          <w:t>VI CUATRIMESTRE</w:t>
        </w:r>
      </w:hyperlink>
    </w:p>
    <w:p w14:paraId="6623B9E3" w14:textId="40DD826B" w:rsidR="005A5DEB" w:rsidRPr="000611BD" w:rsidRDefault="00DD16F2" w:rsidP="00B14695">
      <w:pPr>
        <w:pStyle w:val="TD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4" w:history="1">
        <w:r w:rsidR="005A5DEB" w:rsidRPr="000611BD">
          <w:rPr>
            <w:rStyle w:val="Hipervnculo"/>
            <w:noProof/>
            <w:color w:val="0070C0"/>
            <w:sz w:val="24"/>
            <w:szCs w:val="24"/>
            <w:u w:val="none"/>
          </w:rPr>
          <w:t>VII CUATRIMESTRE</w:t>
        </w:r>
      </w:hyperlink>
    </w:p>
    <w:p w14:paraId="039F2704" w14:textId="3029058B" w:rsidR="005A5DEB" w:rsidRPr="000611BD" w:rsidRDefault="00DD16F2" w:rsidP="00B14695">
      <w:pPr>
        <w:pStyle w:val="TD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5" w:history="1">
        <w:r w:rsidR="005A5DEB" w:rsidRPr="000611BD">
          <w:rPr>
            <w:rStyle w:val="Hipervnculo"/>
            <w:noProof/>
            <w:color w:val="0070C0"/>
            <w:sz w:val="24"/>
            <w:szCs w:val="24"/>
            <w:u w:val="none"/>
          </w:rPr>
          <w:t>VIII CUATRIMESTRE</w:t>
        </w:r>
      </w:hyperlink>
    </w:p>
    <w:p w14:paraId="0BA86700" w14:textId="4A35363C" w:rsidR="005A5DEB" w:rsidRPr="000611BD" w:rsidRDefault="00DD16F2" w:rsidP="00B14695">
      <w:pPr>
        <w:pStyle w:val="TDC2"/>
        <w:tabs>
          <w:tab w:val="right" w:leader="dot" w:pos="8828"/>
        </w:tabs>
        <w:spacing w:line="360" w:lineRule="auto"/>
        <w:rPr>
          <w:rFonts w:asciiTheme="minorHAnsi" w:eastAsiaTheme="minorEastAsia" w:hAnsiTheme="minorHAnsi" w:cstheme="minorBidi"/>
          <w:smallCaps w:val="0"/>
          <w:noProof/>
          <w:color w:val="0070C0"/>
          <w:kern w:val="2"/>
          <w:sz w:val="32"/>
          <w:szCs w:val="32"/>
          <w:lang w:val="es-CR" w:eastAsia="es-CR" w:bidi="he-IL"/>
          <w14:ligatures w14:val="standardContextual"/>
        </w:rPr>
      </w:pPr>
      <w:hyperlink w:anchor="_Toc166526886" w:history="1">
        <w:r w:rsidR="005A5DEB" w:rsidRPr="000611BD">
          <w:rPr>
            <w:rStyle w:val="Hipervnculo"/>
            <w:noProof/>
            <w:color w:val="0070C0"/>
            <w:sz w:val="24"/>
            <w:szCs w:val="24"/>
            <w:u w:val="none"/>
          </w:rPr>
          <w:t>IX CUATRIMESTRE</w:t>
        </w:r>
      </w:hyperlink>
    </w:p>
    <w:p w14:paraId="37F7A4F1" w14:textId="5684145C" w:rsidR="00E76EB0" w:rsidRPr="008A3CA4" w:rsidRDefault="005A5DEB" w:rsidP="008A3CA4">
      <w:pPr>
        <w:spacing w:after="0" w:line="360" w:lineRule="auto"/>
        <w:jc w:val="center"/>
        <w:rPr>
          <w:sz w:val="24"/>
          <w:szCs w:val="24"/>
        </w:rPr>
      </w:pPr>
      <w:r w:rsidRPr="005A5DEB">
        <w:rPr>
          <w:rFonts w:ascii="Calibri" w:eastAsia="Times New Roman" w:hAnsi="Calibri" w:cs="Calibri"/>
          <w:b/>
          <w:bCs/>
          <w:caps/>
          <w:color w:val="000000"/>
          <w:kern w:val="0"/>
          <w:sz w:val="28"/>
          <w:szCs w:val="28"/>
          <w:lang w:val="es-ES" w:eastAsia="es-ES"/>
          <w14:ligatures w14:val="none"/>
        </w:rPr>
        <w:fldChar w:fldCharType="end"/>
      </w:r>
    </w:p>
    <w:p w14:paraId="4469E8FA" w14:textId="77777777" w:rsidR="008A3CA4" w:rsidRDefault="008A3CA4" w:rsidP="00C5474A">
      <w:pPr>
        <w:spacing w:after="0"/>
        <w:jc w:val="center"/>
      </w:pPr>
    </w:p>
    <w:p w14:paraId="717D76EE" w14:textId="77777777" w:rsidR="008A3CA4" w:rsidRDefault="008A3CA4" w:rsidP="00C5474A">
      <w:pPr>
        <w:spacing w:after="0"/>
        <w:jc w:val="center"/>
      </w:pPr>
    </w:p>
    <w:p w14:paraId="77A7966B" w14:textId="77777777" w:rsidR="008A3CA4" w:rsidRDefault="008A3CA4" w:rsidP="00C5474A">
      <w:pPr>
        <w:spacing w:after="0"/>
        <w:jc w:val="center"/>
      </w:pPr>
    </w:p>
    <w:p w14:paraId="5B476A02" w14:textId="77777777" w:rsidR="008A3CA4" w:rsidRDefault="008A3CA4" w:rsidP="00C5474A">
      <w:pPr>
        <w:spacing w:after="0"/>
        <w:jc w:val="center"/>
      </w:pPr>
    </w:p>
    <w:p w14:paraId="5FC732FB" w14:textId="77777777" w:rsidR="008A3CA4" w:rsidRDefault="008A3CA4" w:rsidP="00C5474A">
      <w:pPr>
        <w:spacing w:after="0"/>
        <w:jc w:val="center"/>
      </w:pPr>
    </w:p>
    <w:p w14:paraId="0CEFA2C0" w14:textId="77777777" w:rsidR="008A3CA4" w:rsidRDefault="008A3CA4" w:rsidP="00C5474A">
      <w:pPr>
        <w:spacing w:after="0"/>
        <w:jc w:val="center"/>
      </w:pPr>
    </w:p>
    <w:p w14:paraId="1197ACD9" w14:textId="77777777" w:rsidR="008A3CA4" w:rsidRDefault="008A3CA4" w:rsidP="00C5474A">
      <w:pPr>
        <w:spacing w:after="0"/>
        <w:jc w:val="center"/>
      </w:pPr>
    </w:p>
    <w:p w14:paraId="5229A6DE" w14:textId="77777777" w:rsidR="008A3CA4" w:rsidRDefault="008A3CA4" w:rsidP="00C5474A">
      <w:pPr>
        <w:spacing w:after="0"/>
        <w:jc w:val="center"/>
      </w:pPr>
    </w:p>
    <w:p w14:paraId="6EA46AF2" w14:textId="77777777" w:rsidR="008A3CA4" w:rsidRDefault="008A3CA4" w:rsidP="00C5474A">
      <w:pPr>
        <w:spacing w:after="0"/>
        <w:jc w:val="center"/>
      </w:pPr>
    </w:p>
    <w:p w14:paraId="221DAD72" w14:textId="77777777" w:rsidR="008A3CA4" w:rsidRDefault="008A3CA4" w:rsidP="00C5474A">
      <w:pPr>
        <w:spacing w:after="0"/>
        <w:jc w:val="center"/>
      </w:pPr>
    </w:p>
    <w:p w14:paraId="27AD82DF" w14:textId="77777777" w:rsidR="008A3CA4" w:rsidRDefault="008A3CA4" w:rsidP="00C5474A">
      <w:pPr>
        <w:spacing w:after="0"/>
        <w:jc w:val="center"/>
      </w:pPr>
    </w:p>
    <w:p w14:paraId="12A0588A" w14:textId="77777777" w:rsidR="008A3CA4" w:rsidRDefault="008A3CA4" w:rsidP="00C5474A">
      <w:pPr>
        <w:spacing w:after="0"/>
        <w:jc w:val="center"/>
      </w:pPr>
    </w:p>
    <w:p w14:paraId="16CC01B6" w14:textId="77777777" w:rsidR="008A3CA4" w:rsidRDefault="008A3CA4" w:rsidP="00C5474A">
      <w:pPr>
        <w:spacing w:after="0"/>
        <w:jc w:val="center"/>
      </w:pPr>
    </w:p>
    <w:p w14:paraId="2DB906A7" w14:textId="77777777" w:rsidR="008A3CA4" w:rsidRDefault="008A3CA4" w:rsidP="00C5474A">
      <w:pPr>
        <w:spacing w:after="0"/>
        <w:jc w:val="center"/>
      </w:pPr>
    </w:p>
    <w:p w14:paraId="10608834" w14:textId="77777777" w:rsidR="008A3CA4" w:rsidRDefault="008A3CA4" w:rsidP="00C5474A">
      <w:pPr>
        <w:spacing w:after="0"/>
        <w:jc w:val="center"/>
      </w:pPr>
    </w:p>
    <w:p w14:paraId="16B53BD4" w14:textId="77777777" w:rsidR="008A3CA4" w:rsidRDefault="008A3CA4" w:rsidP="00C5474A">
      <w:pPr>
        <w:spacing w:after="0"/>
        <w:jc w:val="center"/>
      </w:pPr>
    </w:p>
    <w:p w14:paraId="3C392431" w14:textId="77777777" w:rsidR="008A3CA4" w:rsidRDefault="008A3CA4" w:rsidP="00C5474A">
      <w:pPr>
        <w:spacing w:after="0"/>
        <w:jc w:val="center"/>
      </w:pPr>
    </w:p>
    <w:p w14:paraId="463DCA39" w14:textId="77777777" w:rsidR="008A3CA4" w:rsidRDefault="008A3CA4" w:rsidP="00C5474A">
      <w:pPr>
        <w:spacing w:after="0"/>
        <w:jc w:val="center"/>
      </w:pPr>
    </w:p>
    <w:p w14:paraId="1964BA89" w14:textId="77777777" w:rsidR="008A3CA4" w:rsidRDefault="008A3CA4" w:rsidP="00C5474A">
      <w:pPr>
        <w:spacing w:after="0"/>
        <w:jc w:val="center"/>
      </w:pPr>
    </w:p>
    <w:p w14:paraId="54A448EB" w14:textId="583AD1C0" w:rsidR="00C5474A" w:rsidRPr="00C5474A" w:rsidRDefault="00C5474A" w:rsidP="0076384B">
      <w:pPr>
        <w:pStyle w:val="SPECIAL"/>
        <w:numPr>
          <w:ilvl w:val="0"/>
          <w:numId w:val="344"/>
        </w:numPr>
      </w:pPr>
      <w:bookmarkStart w:id="1" w:name="_Toc166526874"/>
      <w:r w:rsidRPr="00C5474A">
        <w:t>Antecedentes</w:t>
      </w:r>
      <w:bookmarkEnd w:id="1"/>
    </w:p>
    <w:p w14:paraId="3D8E3730" w14:textId="77777777" w:rsidR="00C5474A" w:rsidRPr="00C5474A" w:rsidRDefault="00C5474A" w:rsidP="00C5474A">
      <w:pPr>
        <w:spacing w:line="360" w:lineRule="auto"/>
        <w:jc w:val="both"/>
        <w:rPr>
          <w:sz w:val="24"/>
          <w:szCs w:val="24"/>
        </w:rPr>
      </w:pPr>
      <w:r w:rsidRPr="00C5474A">
        <w:rPr>
          <w:sz w:val="24"/>
          <w:szCs w:val="24"/>
        </w:rPr>
        <w:t xml:space="preserve">Los programas (sílabos) de los cursos que se presentan a continuación corresponden al plan de estudios de la carrera de Bachillerato en Ciencias Bíblicas. El plan de estudios es el plan autorizado por el CONESUP para la modalidad presencial, según el siguiente historial: </w:t>
      </w:r>
    </w:p>
    <w:p w14:paraId="13E801C9" w14:textId="77777777" w:rsidR="00C5474A" w:rsidRPr="00C5474A" w:rsidRDefault="00C5474A" w:rsidP="00C5474A">
      <w:pPr>
        <w:pStyle w:val="Prrafodelista"/>
        <w:numPr>
          <w:ilvl w:val="0"/>
          <w:numId w:val="343"/>
        </w:numPr>
        <w:spacing w:before="240" w:after="160" w:line="360" w:lineRule="auto"/>
        <w:jc w:val="both"/>
        <w:rPr>
          <w:b/>
          <w:bCs/>
          <w:sz w:val="24"/>
          <w:szCs w:val="24"/>
        </w:rPr>
      </w:pPr>
      <w:r w:rsidRPr="00C5474A">
        <w:rPr>
          <w:b/>
          <w:bCs/>
          <w:sz w:val="24"/>
          <w:szCs w:val="24"/>
        </w:rPr>
        <w:t xml:space="preserve">Sesión 322-1977: </w:t>
      </w:r>
      <w:r w:rsidRPr="00C5474A">
        <w:rPr>
          <w:sz w:val="24"/>
          <w:szCs w:val="24"/>
        </w:rPr>
        <w:t>primera aprobación de la carrera.</w:t>
      </w:r>
      <w:r w:rsidRPr="00C5474A">
        <w:rPr>
          <w:b/>
          <w:bCs/>
          <w:sz w:val="24"/>
          <w:szCs w:val="24"/>
        </w:rPr>
        <w:t xml:space="preserve"> </w:t>
      </w:r>
    </w:p>
    <w:p w14:paraId="46992B39" w14:textId="77777777" w:rsidR="00C5474A" w:rsidRPr="00C5474A" w:rsidRDefault="00C5474A" w:rsidP="00C5474A">
      <w:pPr>
        <w:pStyle w:val="Prrafodelista"/>
        <w:numPr>
          <w:ilvl w:val="0"/>
          <w:numId w:val="343"/>
        </w:numPr>
        <w:spacing w:before="240" w:after="160" w:line="360" w:lineRule="auto"/>
        <w:jc w:val="both"/>
        <w:rPr>
          <w:sz w:val="24"/>
          <w:szCs w:val="24"/>
        </w:rPr>
      </w:pPr>
      <w:r w:rsidRPr="00C5474A">
        <w:rPr>
          <w:b/>
          <w:bCs/>
          <w:sz w:val="24"/>
          <w:szCs w:val="24"/>
        </w:rPr>
        <w:t>Sesión 527-2005</w:t>
      </w:r>
      <w:r w:rsidRPr="00C5474A">
        <w:rPr>
          <w:sz w:val="24"/>
          <w:szCs w:val="24"/>
        </w:rPr>
        <w:t>, del 13 de abril, 2005: modificación del plan de estudios</w:t>
      </w:r>
    </w:p>
    <w:p w14:paraId="7D1C142D" w14:textId="77777777" w:rsidR="00C5474A" w:rsidRPr="00C5474A" w:rsidRDefault="00C5474A" w:rsidP="00C5474A">
      <w:pPr>
        <w:pStyle w:val="Prrafodelista"/>
        <w:numPr>
          <w:ilvl w:val="0"/>
          <w:numId w:val="343"/>
        </w:numPr>
        <w:spacing w:before="240" w:after="160" w:line="360" w:lineRule="auto"/>
        <w:jc w:val="both"/>
        <w:rPr>
          <w:sz w:val="24"/>
          <w:szCs w:val="24"/>
        </w:rPr>
      </w:pPr>
      <w:r w:rsidRPr="00C5474A">
        <w:rPr>
          <w:b/>
          <w:bCs/>
          <w:sz w:val="24"/>
          <w:szCs w:val="24"/>
        </w:rPr>
        <w:t>Sesión No. 768-2015,</w:t>
      </w:r>
      <w:r w:rsidRPr="00C5474A">
        <w:rPr>
          <w:sz w:val="24"/>
          <w:szCs w:val="24"/>
        </w:rPr>
        <w:t xml:space="preserve"> del 17 de junio del 2015: modificación del plan de estudios</w:t>
      </w:r>
    </w:p>
    <w:p w14:paraId="393F06D2" w14:textId="77777777" w:rsidR="00C5474A" w:rsidRPr="00C5474A" w:rsidRDefault="00C5474A" w:rsidP="00C5474A">
      <w:pPr>
        <w:pStyle w:val="Prrafodelista"/>
        <w:numPr>
          <w:ilvl w:val="0"/>
          <w:numId w:val="343"/>
        </w:numPr>
        <w:spacing w:before="240" w:after="160" w:line="360" w:lineRule="auto"/>
        <w:jc w:val="both"/>
        <w:rPr>
          <w:sz w:val="24"/>
          <w:szCs w:val="24"/>
        </w:rPr>
      </w:pPr>
      <w:r w:rsidRPr="00C5474A">
        <w:rPr>
          <w:b/>
          <w:bCs/>
          <w:sz w:val="24"/>
          <w:szCs w:val="24"/>
        </w:rPr>
        <w:t xml:space="preserve">Sesión 852-2019, </w:t>
      </w:r>
      <w:r w:rsidRPr="00C5474A">
        <w:rPr>
          <w:sz w:val="24"/>
          <w:szCs w:val="24"/>
        </w:rPr>
        <w:t>del 28 de febrero, 2019: modificación de cursos de Bachillerato en Ciencias Bíblicas</w:t>
      </w:r>
    </w:p>
    <w:p w14:paraId="41F58586" w14:textId="77777777" w:rsidR="00C5474A" w:rsidRPr="00C5474A" w:rsidRDefault="00C5474A" w:rsidP="00C5474A">
      <w:pPr>
        <w:pStyle w:val="Prrafodelista"/>
        <w:numPr>
          <w:ilvl w:val="0"/>
          <w:numId w:val="343"/>
        </w:numPr>
        <w:spacing w:before="240" w:after="160" w:line="360" w:lineRule="auto"/>
        <w:jc w:val="both"/>
        <w:rPr>
          <w:sz w:val="24"/>
          <w:szCs w:val="24"/>
        </w:rPr>
      </w:pPr>
      <w:r w:rsidRPr="00C5474A">
        <w:rPr>
          <w:b/>
          <w:bCs/>
          <w:sz w:val="24"/>
          <w:szCs w:val="24"/>
        </w:rPr>
        <w:t xml:space="preserve">Sesión 856-2019 del 13 de marzo del 2019: </w:t>
      </w:r>
      <w:r w:rsidRPr="00C5474A">
        <w:rPr>
          <w:sz w:val="24"/>
          <w:szCs w:val="24"/>
        </w:rPr>
        <w:t>modificación de los requisitos de graduación</w:t>
      </w:r>
    </w:p>
    <w:p w14:paraId="03103A5A" w14:textId="7E95B871" w:rsidR="00C5474A" w:rsidRPr="00C5474A" w:rsidRDefault="00C5474A" w:rsidP="0076384B">
      <w:pPr>
        <w:pStyle w:val="SPECIAL"/>
        <w:numPr>
          <w:ilvl w:val="0"/>
          <w:numId w:val="344"/>
        </w:numPr>
      </w:pPr>
      <w:bookmarkStart w:id="2" w:name="_Toc166526875"/>
      <w:r w:rsidRPr="00C5474A">
        <w:t>Adecuación de los programas (sílabos) para la modalidad virtual</w:t>
      </w:r>
      <w:bookmarkEnd w:id="2"/>
      <w:r w:rsidRPr="00C5474A">
        <w:t xml:space="preserve"> </w:t>
      </w:r>
    </w:p>
    <w:p w14:paraId="209B4BEA" w14:textId="77777777" w:rsidR="00C5474A" w:rsidRPr="00C5474A" w:rsidRDefault="00C5474A" w:rsidP="00C5474A">
      <w:pPr>
        <w:spacing w:line="360" w:lineRule="auto"/>
        <w:jc w:val="both"/>
        <w:rPr>
          <w:sz w:val="24"/>
          <w:szCs w:val="24"/>
        </w:rPr>
      </w:pPr>
      <w:r w:rsidRPr="00C5474A">
        <w:rPr>
          <w:sz w:val="24"/>
          <w:szCs w:val="24"/>
        </w:rPr>
        <w:t xml:space="preserve">Los cursos han sido modificados únicamente en lo que corresponde a los siguientes ítems del sílabo, según el formulario FU-13-CONESUP, Formulario de ampliación de oferta académica virtual, según enviado por el CONESUP adjunto al comunicado CONESUP-SA-205-1-2022 del 14 de octubre, 2022 y lo aprobado en la sesión 924-2022 del CONESUP. En la página 8 del formulario FU-13-CONESUP reza así: </w:t>
      </w:r>
    </w:p>
    <w:p w14:paraId="00BC12DA" w14:textId="77777777" w:rsidR="00C5474A" w:rsidRPr="00C75D9B" w:rsidRDefault="00C5474A" w:rsidP="00C5474A">
      <w:pPr>
        <w:pBdr>
          <w:top w:val="single" w:sz="4" w:space="1" w:color="auto"/>
          <w:left w:val="single" w:sz="4" w:space="4" w:color="auto"/>
          <w:bottom w:val="single" w:sz="4" w:space="1" w:color="auto"/>
          <w:right w:val="single" w:sz="4" w:space="4" w:color="auto"/>
          <w:between w:val="single" w:sz="4" w:space="1" w:color="auto"/>
          <w:bar w:val="single" w:sz="4" w:color="auto"/>
        </w:pBdr>
        <w:spacing w:line="276" w:lineRule="auto"/>
        <w:rPr>
          <w:rFonts w:ascii="Arial" w:hAnsi="Arial" w:cs="Arial"/>
          <w:b/>
          <w:u w:val="single"/>
        </w:rPr>
      </w:pPr>
      <w:r w:rsidRPr="00354580">
        <w:rPr>
          <w:rFonts w:ascii="Arial-BoldMT" w:hAnsi="Arial-BoldMT"/>
          <w:b/>
          <w:bCs/>
        </w:rPr>
        <w:t>Cambios en los componentes curriculares para la Ampliación de Oferta Académica</w:t>
      </w:r>
      <w:r w:rsidRPr="00354580">
        <w:rPr>
          <w:rFonts w:ascii="Arial-BoldMT" w:hAnsi="Arial-BoldMT"/>
          <w:b/>
          <w:bCs/>
        </w:rPr>
        <w:br/>
        <w:t>Virtual</w:t>
      </w:r>
      <w:r w:rsidRPr="00354580">
        <w:rPr>
          <w:rFonts w:ascii="Arial-BoldMT" w:hAnsi="Arial-BoldMT"/>
          <w:b/>
          <w:bCs/>
        </w:rPr>
        <w:br/>
      </w:r>
      <w:r w:rsidRPr="00354580">
        <w:t>Con el propósito de mantener la coherencia con la fundamentación de la carrera y los</w:t>
      </w:r>
      <w:r w:rsidRPr="00354580">
        <w:br/>
        <w:t>requerimientos propios de la virtualidad. Los programas de los cursos que se impartirán en</w:t>
      </w:r>
      <w:r w:rsidRPr="00354580">
        <w:br/>
        <w:t>modalidad virtual presentarán las actualizaciones en los siguientes componentes</w:t>
      </w:r>
      <w:r w:rsidRPr="00354580">
        <w:br/>
        <w:t>curriculares:</w:t>
      </w:r>
      <w:r w:rsidRPr="00354580">
        <w:br/>
      </w:r>
      <w:r w:rsidRPr="00354580">
        <w:rPr>
          <w:rFonts w:ascii="Symbol" w:eastAsia="Symbol" w:hAnsi="Symbol" w:cs="Symbol"/>
        </w:rPr>
        <w:t>·</w:t>
      </w:r>
      <w:r>
        <w:rPr>
          <w:rFonts w:ascii="SymbolMT" w:hAnsi="SymbolMT"/>
        </w:rPr>
        <w:t xml:space="preserve"> </w:t>
      </w:r>
      <w:r w:rsidRPr="00354580">
        <w:t>Metodología</w:t>
      </w:r>
      <w:r w:rsidRPr="00354580">
        <w:br/>
      </w:r>
      <w:r w:rsidRPr="00354580">
        <w:rPr>
          <w:rFonts w:ascii="Symbol" w:eastAsia="Symbol" w:hAnsi="Symbol" w:cs="Symbol"/>
        </w:rPr>
        <w:t>·</w:t>
      </w:r>
      <w:r>
        <w:rPr>
          <w:rFonts w:ascii="SymbolMT" w:hAnsi="SymbolMT"/>
        </w:rPr>
        <w:t xml:space="preserve"> </w:t>
      </w:r>
      <w:r w:rsidRPr="00354580">
        <w:t>Actividades</w:t>
      </w:r>
      <w:r>
        <w:t xml:space="preserve"> </w:t>
      </w:r>
      <w:r w:rsidRPr="00354580">
        <w:t>de aprendizaje</w:t>
      </w:r>
      <w:r w:rsidRPr="00354580">
        <w:br/>
      </w:r>
      <w:r w:rsidRPr="00354580">
        <w:rPr>
          <w:rFonts w:ascii="Symbol" w:eastAsia="Symbol" w:hAnsi="Symbol" w:cs="Symbol"/>
        </w:rPr>
        <w:t>·</w:t>
      </w:r>
      <w:r w:rsidRPr="00354580">
        <w:rPr>
          <w:rFonts w:ascii="SymbolMT" w:hAnsi="SymbolMT"/>
        </w:rPr>
        <w:t xml:space="preserve"> </w:t>
      </w:r>
      <w:r w:rsidRPr="00354580">
        <w:t>Recursos didácticos</w:t>
      </w:r>
      <w:r w:rsidRPr="00354580">
        <w:br/>
      </w:r>
      <w:r w:rsidRPr="00354580">
        <w:rPr>
          <w:rFonts w:ascii="Symbol" w:eastAsia="Symbol" w:hAnsi="Symbol" w:cs="Symbol"/>
        </w:rPr>
        <w:t>·</w:t>
      </w:r>
      <w:r w:rsidRPr="00354580">
        <w:rPr>
          <w:rFonts w:ascii="SymbolMT" w:hAnsi="SymbolMT"/>
        </w:rPr>
        <w:t xml:space="preserve"> </w:t>
      </w:r>
      <w:r w:rsidRPr="00354580">
        <w:t>Evaluación</w:t>
      </w:r>
      <w:r w:rsidRPr="00354580">
        <w:br/>
      </w:r>
      <w:r w:rsidRPr="00354580">
        <w:rPr>
          <w:rFonts w:ascii="Symbol" w:eastAsia="Symbol" w:hAnsi="Symbol" w:cs="Symbol"/>
        </w:rPr>
        <w:t>·</w:t>
      </w:r>
      <w:r w:rsidRPr="00354580">
        <w:rPr>
          <w:rFonts w:ascii="SymbolMT" w:hAnsi="SymbolMT"/>
        </w:rPr>
        <w:t xml:space="preserve"> </w:t>
      </w:r>
      <w:r w:rsidRPr="00354580">
        <w:t>Cronograma</w:t>
      </w:r>
      <w:r w:rsidRPr="00354580">
        <w:br/>
      </w:r>
      <w:r w:rsidRPr="00354580">
        <w:rPr>
          <w:rFonts w:ascii="Symbol" w:eastAsia="Symbol" w:hAnsi="Symbol" w:cs="Symbol"/>
        </w:rPr>
        <w:t>·</w:t>
      </w:r>
      <w:r w:rsidRPr="00354580">
        <w:rPr>
          <w:rFonts w:ascii="SymbolMT" w:hAnsi="SymbolMT"/>
        </w:rPr>
        <w:t xml:space="preserve"> </w:t>
      </w:r>
      <w:r w:rsidRPr="00354580">
        <w:t>Bibliografía</w:t>
      </w:r>
    </w:p>
    <w:p w14:paraId="4A2BDA36" w14:textId="74271BCB" w:rsidR="00C5474A" w:rsidRPr="00C5474A" w:rsidRDefault="00C5474A" w:rsidP="0076384B">
      <w:pPr>
        <w:pStyle w:val="SPECIAL"/>
        <w:numPr>
          <w:ilvl w:val="0"/>
          <w:numId w:val="344"/>
        </w:numPr>
      </w:pPr>
      <w:bookmarkStart w:id="3" w:name="_Toc166526876"/>
      <w:r w:rsidRPr="00C5474A">
        <w:lastRenderedPageBreak/>
        <w:t>Lista de cursos del Bachillerato en Ciencias Bíblicas</w:t>
      </w:r>
      <w:bookmarkEnd w:id="3"/>
    </w:p>
    <w:p w14:paraId="0F5F191F" w14:textId="1CA03F00" w:rsidR="00C5474A" w:rsidRPr="00C5474A" w:rsidRDefault="00C5474A" w:rsidP="00C5474A">
      <w:pPr>
        <w:spacing w:line="360" w:lineRule="auto"/>
        <w:jc w:val="both"/>
        <w:rPr>
          <w:sz w:val="24"/>
          <w:szCs w:val="24"/>
        </w:rPr>
      </w:pPr>
      <w:r w:rsidRPr="00C5474A">
        <w:rPr>
          <w:sz w:val="24"/>
          <w:szCs w:val="24"/>
        </w:rPr>
        <w:t xml:space="preserve">A </w:t>
      </w:r>
      <w:r w:rsidR="00A7407D" w:rsidRPr="00C5474A">
        <w:rPr>
          <w:sz w:val="24"/>
          <w:szCs w:val="24"/>
        </w:rPr>
        <w:t>continuación,</w:t>
      </w:r>
      <w:r w:rsidRPr="00C5474A">
        <w:rPr>
          <w:sz w:val="24"/>
          <w:szCs w:val="24"/>
        </w:rPr>
        <w:t xml:space="preserve"> la lista de cursos de la carrera de Bachillerato en Ciencias Bíblicas, indicando el cuatrimestre, código, nombre y créditos de cada curso. Los programas de los cursos se incluyen en el tomo según este orden. </w:t>
      </w:r>
    </w:p>
    <w:tbl>
      <w:tblPr>
        <w:tblW w:w="8774" w:type="dxa"/>
        <w:tblLook w:val="04A0" w:firstRow="1" w:lastRow="0" w:firstColumn="1" w:lastColumn="0" w:noHBand="0" w:noVBand="1"/>
      </w:tblPr>
      <w:tblGrid>
        <w:gridCol w:w="1325"/>
        <w:gridCol w:w="1145"/>
        <w:gridCol w:w="5033"/>
        <w:gridCol w:w="1049"/>
        <w:gridCol w:w="222"/>
      </w:tblGrid>
      <w:tr w:rsidR="00C5474A" w:rsidRPr="002C2802" w14:paraId="34033A8F" w14:textId="77777777" w:rsidTr="00054040">
        <w:trPr>
          <w:gridAfter w:val="1"/>
          <w:wAfter w:w="222" w:type="dxa"/>
          <w:trHeight w:val="476"/>
        </w:trPr>
        <w:tc>
          <w:tcPr>
            <w:tcW w:w="1325"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4E536E7C"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Cuatrimestre</w:t>
            </w:r>
          </w:p>
        </w:tc>
        <w:tc>
          <w:tcPr>
            <w:tcW w:w="1145"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71C27C09"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Código</w:t>
            </w:r>
          </w:p>
        </w:tc>
        <w:tc>
          <w:tcPr>
            <w:tcW w:w="5033"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4D1D622D"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Curso</w:t>
            </w:r>
          </w:p>
        </w:tc>
        <w:tc>
          <w:tcPr>
            <w:tcW w:w="1049" w:type="dxa"/>
            <w:vMerge w:val="restart"/>
            <w:tcBorders>
              <w:top w:val="single" w:sz="8" w:space="0" w:color="auto"/>
              <w:left w:val="single" w:sz="8" w:space="0" w:color="auto"/>
              <w:bottom w:val="single" w:sz="8" w:space="0" w:color="000000"/>
              <w:right w:val="single" w:sz="8" w:space="0" w:color="auto"/>
            </w:tcBorders>
            <w:shd w:val="clear" w:color="000000" w:fill="DEEAF6"/>
            <w:vAlign w:val="center"/>
            <w:hideMark/>
          </w:tcPr>
          <w:p w14:paraId="7B4C2A64"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Créditos</w:t>
            </w:r>
          </w:p>
        </w:tc>
      </w:tr>
      <w:tr w:rsidR="00C5474A" w:rsidRPr="002C2802" w14:paraId="5BB9C14D" w14:textId="77777777" w:rsidTr="00054040">
        <w:trPr>
          <w:trHeight w:val="20"/>
        </w:trPr>
        <w:tc>
          <w:tcPr>
            <w:tcW w:w="1325" w:type="dxa"/>
            <w:vMerge/>
            <w:tcBorders>
              <w:top w:val="single" w:sz="8" w:space="0" w:color="auto"/>
              <w:left w:val="single" w:sz="8" w:space="0" w:color="auto"/>
              <w:bottom w:val="single" w:sz="8" w:space="0" w:color="000000"/>
              <w:right w:val="single" w:sz="8" w:space="0" w:color="auto"/>
            </w:tcBorders>
            <w:vAlign w:val="center"/>
            <w:hideMark/>
          </w:tcPr>
          <w:p w14:paraId="7AEA6014"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vMerge/>
            <w:tcBorders>
              <w:top w:val="single" w:sz="8" w:space="0" w:color="auto"/>
              <w:left w:val="single" w:sz="8" w:space="0" w:color="auto"/>
              <w:bottom w:val="single" w:sz="8" w:space="0" w:color="000000"/>
              <w:right w:val="single" w:sz="8" w:space="0" w:color="auto"/>
            </w:tcBorders>
            <w:vAlign w:val="center"/>
            <w:hideMark/>
          </w:tcPr>
          <w:p w14:paraId="0C74E132"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5033" w:type="dxa"/>
            <w:vMerge/>
            <w:tcBorders>
              <w:top w:val="single" w:sz="8" w:space="0" w:color="auto"/>
              <w:left w:val="single" w:sz="8" w:space="0" w:color="auto"/>
              <w:bottom w:val="single" w:sz="8" w:space="0" w:color="000000"/>
              <w:right w:val="single" w:sz="8" w:space="0" w:color="auto"/>
            </w:tcBorders>
            <w:vAlign w:val="center"/>
            <w:hideMark/>
          </w:tcPr>
          <w:p w14:paraId="7AEFED70"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049" w:type="dxa"/>
            <w:vMerge/>
            <w:tcBorders>
              <w:top w:val="single" w:sz="8" w:space="0" w:color="auto"/>
              <w:left w:val="single" w:sz="8" w:space="0" w:color="auto"/>
              <w:bottom w:val="single" w:sz="8" w:space="0" w:color="000000"/>
              <w:right w:val="single" w:sz="8" w:space="0" w:color="auto"/>
            </w:tcBorders>
            <w:vAlign w:val="center"/>
            <w:hideMark/>
          </w:tcPr>
          <w:p w14:paraId="6174DD51"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222" w:type="dxa"/>
            <w:tcBorders>
              <w:top w:val="nil"/>
              <w:left w:val="nil"/>
              <w:bottom w:val="nil"/>
              <w:right w:val="nil"/>
            </w:tcBorders>
            <w:shd w:val="clear" w:color="auto" w:fill="auto"/>
            <w:noWrap/>
            <w:vAlign w:val="bottom"/>
            <w:hideMark/>
          </w:tcPr>
          <w:p w14:paraId="5B5B618A"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p>
        </w:tc>
      </w:tr>
      <w:tr w:rsidR="00C5474A" w:rsidRPr="00B91247" w14:paraId="78353813" w14:textId="77777777" w:rsidTr="00054040">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0397C78"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I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3868C4BC"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CTX104</w:t>
            </w:r>
          </w:p>
        </w:tc>
        <w:tc>
          <w:tcPr>
            <w:tcW w:w="5033" w:type="dxa"/>
            <w:tcBorders>
              <w:top w:val="nil"/>
              <w:left w:val="nil"/>
              <w:bottom w:val="single" w:sz="8" w:space="0" w:color="auto"/>
              <w:right w:val="single" w:sz="8" w:space="0" w:color="auto"/>
            </w:tcBorders>
            <w:shd w:val="clear" w:color="000000" w:fill="FFFFFF"/>
            <w:vAlign w:val="center"/>
            <w:hideMark/>
          </w:tcPr>
          <w:p w14:paraId="26504288"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Comunicación Escrita</w:t>
            </w:r>
          </w:p>
        </w:tc>
        <w:tc>
          <w:tcPr>
            <w:tcW w:w="1049" w:type="dxa"/>
            <w:tcBorders>
              <w:top w:val="nil"/>
              <w:left w:val="nil"/>
              <w:bottom w:val="single" w:sz="8" w:space="0" w:color="auto"/>
              <w:right w:val="single" w:sz="8" w:space="0" w:color="auto"/>
            </w:tcBorders>
            <w:shd w:val="clear" w:color="000000" w:fill="FFFFFF"/>
            <w:vAlign w:val="center"/>
            <w:hideMark/>
          </w:tcPr>
          <w:p w14:paraId="70152249"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3</w:t>
            </w:r>
          </w:p>
        </w:tc>
        <w:tc>
          <w:tcPr>
            <w:tcW w:w="222" w:type="dxa"/>
            <w:vAlign w:val="center"/>
            <w:hideMark/>
          </w:tcPr>
          <w:p w14:paraId="75D14446"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2A8228A0"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2CB51A7A"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3AC5919D"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CTX106</w:t>
            </w:r>
          </w:p>
        </w:tc>
        <w:tc>
          <w:tcPr>
            <w:tcW w:w="5033" w:type="dxa"/>
            <w:tcBorders>
              <w:top w:val="nil"/>
              <w:left w:val="nil"/>
              <w:bottom w:val="single" w:sz="8" w:space="0" w:color="auto"/>
              <w:right w:val="single" w:sz="8" w:space="0" w:color="auto"/>
            </w:tcBorders>
            <w:shd w:val="clear" w:color="000000" w:fill="FFFFFF"/>
            <w:vAlign w:val="center"/>
            <w:hideMark/>
          </w:tcPr>
          <w:p w14:paraId="486FFEF7"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El Quehacer Teológico</w:t>
            </w:r>
          </w:p>
        </w:tc>
        <w:tc>
          <w:tcPr>
            <w:tcW w:w="1049" w:type="dxa"/>
            <w:tcBorders>
              <w:top w:val="nil"/>
              <w:left w:val="nil"/>
              <w:bottom w:val="single" w:sz="8" w:space="0" w:color="auto"/>
              <w:right w:val="single" w:sz="8" w:space="0" w:color="auto"/>
            </w:tcBorders>
            <w:shd w:val="clear" w:color="000000" w:fill="FFFFFF"/>
            <w:vAlign w:val="center"/>
            <w:hideMark/>
          </w:tcPr>
          <w:p w14:paraId="0B9515C9"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71718181"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5E3C6B59"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5E5D5837"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3E0E2ADE"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CTX102</w:t>
            </w:r>
          </w:p>
        </w:tc>
        <w:tc>
          <w:tcPr>
            <w:tcW w:w="5033" w:type="dxa"/>
            <w:tcBorders>
              <w:top w:val="nil"/>
              <w:left w:val="nil"/>
              <w:bottom w:val="single" w:sz="8" w:space="0" w:color="auto"/>
              <w:right w:val="single" w:sz="8" w:space="0" w:color="auto"/>
            </w:tcBorders>
            <w:shd w:val="clear" w:color="000000" w:fill="FFFFFF"/>
            <w:vAlign w:val="center"/>
            <w:hideMark/>
          </w:tcPr>
          <w:p w14:paraId="408F6E46"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Introducción a la Sociología</w:t>
            </w:r>
          </w:p>
        </w:tc>
        <w:tc>
          <w:tcPr>
            <w:tcW w:w="1049" w:type="dxa"/>
            <w:tcBorders>
              <w:top w:val="nil"/>
              <w:left w:val="nil"/>
              <w:bottom w:val="single" w:sz="8" w:space="0" w:color="auto"/>
              <w:right w:val="single" w:sz="8" w:space="0" w:color="auto"/>
            </w:tcBorders>
            <w:shd w:val="clear" w:color="000000" w:fill="FFFFFF"/>
            <w:vAlign w:val="center"/>
            <w:hideMark/>
          </w:tcPr>
          <w:p w14:paraId="59865549"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3</w:t>
            </w:r>
          </w:p>
        </w:tc>
        <w:tc>
          <w:tcPr>
            <w:tcW w:w="222" w:type="dxa"/>
            <w:vAlign w:val="center"/>
            <w:hideMark/>
          </w:tcPr>
          <w:p w14:paraId="1182B3E7"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7384A12F"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4EEF2BA5"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486A2B83"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CBX104</w:t>
            </w:r>
          </w:p>
        </w:tc>
        <w:tc>
          <w:tcPr>
            <w:tcW w:w="5033" w:type="dxa"/>
            <w:tcBorders>
              <w:top w:val="nil"/>
              <w:left w:val="nil"/>
              <w:bottom w:val="single" w:sz="8" w:space="0" w:color="auto"/>
              <w:right w:val="single" w:sz="8" w:space="0" w:color="auto"/>
            </w:tcBorders>
            <w:shd w:val="clear" w:color="000000" w:fill="FFFFFF"/>
            <w:vAlign w:val="center"/>
            <w:hideMark/>
          </w:tcPr>
          <w:p w14:paraId="2C1420E0"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Introducción a la Biblia</w:t>
            </w:r>
          </w:p>
        </w:tc>
        <w:tc>
          <w:tcPr>
            <w:tcW w:w="1049" w:type="dxa"/>
            <w:tcBorders>
              <w:top w:val="nil"/>
              <w:left w:val="nil"/>
              <w:bottom w:val="single" w:sz="8" w:space="0" w:color="auto"/>
              <w:right w:val="single" w:sz="8" w:space="0" w:color="auto"/>
            </w:tcBorders>
            <w:shd w:val="clear" w:color="000000" w:fill="FFFFFF"/>
            <w:vAlign w:val="center"/>
            <w:hideMark/>
          </w:tcPr>
          <w:p w14:paraId="1B3DF483"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32DA15D7"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295214A5" w14:textId="77777777" w:rsidTr="00054040">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42287E3D"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II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267FAEDF"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CTX103</w:t>
            </w:r>
          </w:p>
        </w:tc>
        <w:tc>
          <w:tcPr>
            <w:tcW w:w="5033" w:type="dxa"/>
            <w:tcBorders>
              <w:top w:val="nil"/>
              <w:left w:val="nil"/>
              <w:bottom w:val="single" w:sz="8" w:space="0" w:color="auto"/>
              <w:right w:val="single" w:sz="8" w:space="0" w:color="auto"/>
            </w:tcBorders>
            <w:shd w:val="clear" w:color="000000" w:fill="FFFFFF"/>
            <w:vAlign w:val="center"/>
            <w:hideMark/>
          </w:tcPr>
          <w:p w14:paraId="0B646A25"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Introducción a la Psicología</w:t>
            </w:r>
          </w:p>
        </w:tc>
        <w:tc>
          <w:tcPr>
            <w:tcW w:w="1049" w:type="dxa"/>
            <w:tcBorders>
              <w:top w:val="nil"/>
              <w:left w:val="nil"/>
              <w:bottom w:val="single" w:sz="8" w:space="0" w:color="auto"/>
              <w:right w:val="single" w:sz="8" w:space="0" w:color="auto"/>
            </w:tcBorders>
            <w:shd w:val="clear" w:color="000000" w:fill="FFFFFF"/>
            <w:vAlign w:val="center"/>
            <w:hideMark/>
          </w:tcPr>
          <w:p w14:paraId="2648CBB5"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3</w:t>
            </w:r>
          </w:p>
        </w:tc>
        <w:tc>
          <w:tcPr>
            <w:tcW w:w="222" w:type="dxa"/>
            <w:vAlign w:val="center"/>
            <w:hideMark/>
          </w:tcPr>
          <w:p w14:paraId="51BBB66B"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7C1376E2"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4CEEB563"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7CB180AF"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CTX105</w:t>
            </w:r>
          </w:p>
        </w:tc>
        <w:tc>
          <w:tcPr>
            <w:tcW w:w="5033" w:type="dxa"/>
            <w:tcBorders>
              <w:top w:val="nil"/>
              <w:left w:val="nil"/>
              <w:bottom w:val="single" w:sz="8" w:space="0" w:color="auto"/>
              <w:right w:val="single" w:sz="8" w:space="0" w:color="auto"/>
            </w:tcBorders>
            <w:shd w:val="clear" w:color="000000" w:fill="FFFFFF"/>
            <w:vAlign w:val="center"/>
            <w:hideMark/>
          </w:tcPr>
          <w:p w14:paraId="40A2C517"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Metodología de la investigación</w:t>
            </w:r>
          </w:p>
        </w:tc>
        <w:tc>
          <w:tcPr>
            <w:tcW w:w="1049" w:type="dxa"/>
            <w:tcBorders>
              <w:top w:val="nil"/>
              <w:left w:val="nil"/>
              <w:bottom w:val="single" w:sz="8" w:space="0" w:color="auto"/>
              <w:right w:val="single" w:sz="8" w:space="0" w:color="auto"/>
            </w:tcBorders>
            <w:shd w:val="clear" w:color="000000" w:fill="FFFFFF"/>
            <w:vAlign w:val="center"/>
            <w:hideMark/>
          </w:tcPr>
          <w:p w14:paraId="3F6FE596"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42C78A5A"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53107A19"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11C4B44A"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42453BD9"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CBX107</w:t>
            </w:r>
          </w:p>
        </w:tc>
        <w:tc>
          <w:tcPr>
            <w:tcW w:w="5033" w:type="dxa"/>
            <w:tcBorders>
              <w:top w:val="nil"/>
              <w:left w:val="nil"/>
              <w:bottom w:val="single" w:sz="8" w:space="0" w:color="auto"/>
              <w:right w:val="single" w:sz="8" w:space="0" w:color="auto"/>
            </w:tcBorders>
            <w:shd w:val="clear" w:color="000000" w:fill="FFFFFF"/>
            <w:vAlign w:val="center"/>
            <w:hideMark/>
          </w:tcPr>
          <w:p w14:paraId="7515B9D0"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Antiguo Testamento I</w:t>
            </w:r>
          </w:p>
        </w:tc>
        <w:tc>
          <w:tcPr>
            <w:tcW w:w="1049" w:type="dxa"/>
            <w:tcBorders>
              <w:top w:val="nil"/>
              <w:left w:val="nil"/>
              <w:bottom w:val="single" w:sz="8" w:space="0" w:color="auto"/>
              <w:right w:val="single" w:sz="8" w:space="0" w:color="auto"/>
            </w:tcBorders>
            <w:shd w:val="clear" w:color="000000" w:fill="FFFFFF"/>
            <w:vAlign w:val="center"/>
            <w:hideMark/>
          </w:tcPr>
          <w:p w14:paraId="5D86536D"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053B67F9"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5BCEE499"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3A28E53A"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4DEEBB3C"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CBX109</w:t>
            </w:r>
          </w:p>
        </w:tc>
        <w:tc>
          <w:tcPr>
            <w:tcW w:w="5033" w:type="dxa"/>
            <w:tcBorders>
              <w:top w:val="nil"/>
              <w:left w:val="nil"/>
              <w:bottom w:val="single" w:sz="8" w:space="0" w:color="auto"/>
              <w:right w:val="single" w:sz="8" w:space="0" w:color="auto"/>
            </w:tcBorders>
            <w:shd w:val="clear" w:color="000000" w:fill="FFFFFF"/>
            <w:vAlign w:val="center"/>
            <w:hideMark/>
          </w:tcPr>
          <w:p w14:paraId="5A91CC7B"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Nuevo Testamento I</w:t>
            </w:r>
          </w:p>
        </w:tc>
        <w:tc>
          <w:tcPr>
            <w:tcW w:w="1049" w:type="dxa"/>
            <w:tcBorders>
              <w:top w:val="nil"/>
              <w:left w:val="nil"/>
              <w:bottom w:val="single" w:sz="8" w:space="0" w:color="auto"/>
              <w:right w:val="single" w:sz="8" w:space="0" w:color="auto"/>
            </w:tcBorders>
            <w:shd w:val="clear" w:color="000000" w:fill="FFFFFF"/>
            <w:vAlign w:val="center"/>
            <w:hideMark/>
          </w:tcPr>
          <w:p w14:paraId="265E62CD"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0E011D54"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30766759" w14:textId="77777777" w:rsidTr="00054040">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2B24AD8E"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III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3922F09C"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CTX109</w:t>
            </w:r>
          </w:p>
        </w:tc>
        <w:tc>
          <w:tcPr>
            <w:tcW w:w="5033" w:type="dxa"/>
            <w:tcBorders>
              <w:top w:val="nil"/>
              <w:left w:val="nil"/>
              <w:bottom w:val="single" w:sz="8" w:space="0" w:color="auto"/>
              <w:right w:val="single" w:sz="8" w:space="0" w:color="auto"/>
            </w:tcBorders>
            <w:shd w:val="clear" w:color="000000" w:fill="FFFFFF"/>
            <w:vAlign w:val="center"/>
            <w:hideMark/>
          </w:tcPr>
          <w:p w14:paraId="0C756A37"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 xml:space="preserve">Historia de la Iglesia I </w:t>
            </w:r>
          </w:p>
        </w:tc>
        <w:tc>
          <w:tcPr>
            <w:tcW w:w="1049" w:type="dxa"/>
            <w:tcBorders>
              <w:top w:val="nil"/>
              <w:left w:val="nil"/>
              <w:bottom w:val="single" w:sz="8" w:space="0" w:color="auto"/>
              <w:right w:val="single" w:sz="8" w:space="0" w:color="auto"/>
            </w:tcBorders>
            <w:shd w:val="clear" w:color="000000" w:fill="FFFFFF"/>
            <w:vAlign w:val="center"/>
            <w:hideMark/>
          </w:tcPr>
          <w:p w14:paraId="0F7875C8" w14:textId="77777777" w:rsidR="00C5474A" w:rsidRPr="002C2802" w:rsidRDefault="00C5474A" w:rsidP="00054040">
            <w:pPr>
              <w:spacing w:after="0" w:line="276" w:lineRule="auto"/>
              <w:jc w:val="center"/>
              <w:rPr>
                <w:rFonts w:ascii="Calibri" w:eastAsia="Times New Roman" w:hAnsi="Calibri" w:cs="Calibri"/>
                <w:noProof/>
                <w:color w:val="000000"/>
                <w:sz w:val="18"/>
                <w:szCs w:val="18"/>
                <w:lang w:bidi="he-IL"/>
              </w:rPr>
            </w:pPr>
            <w:r w:rsidRPr="002C2802">
              <w:rPr>
                <w:rFonts w:ascii="Calibri" w:eastAsia="Times New Roman" w:hAnsi="Calibri" w:cs="Calibri"/>
                <w:noProof/>
                <w:color w:val="000000"/>
                <w:sz w:val="18"/>
                <w:szCs w:val="18"/>
                <w:lang w:bidi="he-IL"/>
              </w:rPr>
              <w:t>4</w:t>
            </w:r>
          </w:p>
        </w:tc>
        <w:tc>
          <w:tcPr>
            <w:tcW w:w="222" w:type="dxa"/>
            <w:vAlign w:val="center"/>
            <w:hideMark/>
          </w:tcPr>
          <w:p w14:paraId="1B4B3D2B"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0C22ECBE"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49679B2C"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26B8B8A8"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CTX101</w:t>
            </w:r>
          </w:p>
        </w:tc>
        <w:tc>
          <w:tcPr>
            <w:tcW w:w="5033" w:type="dxa"/>
            <w:tcBorders>
              <w:top w:val="nil"/>
              <w:left w:val="nil"/>
              <w:bottom w:val="single" w:sz="8" w:space="0" w:color="auto"/>
              <w:right w:val="single" w:sz="8" w:space="0" w:color="auto"/>
            </w:tcBorders>
            <w:shd w:val="clear" w:color="000000" w:fill="FFFFFF"/>
            <w:vAlign w:val="center"/>
            <w:hideMark/>
          </w:tcPr>
          <w:p w14:paraId="1790DE6C"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Introducción a la Filosofía</w:t>
            </w:r>
          </w:p>
        </w:tc>
        <w:tc>
          <w:tcPr>
            <w:tcW w:w="1049" w:type="dxa"/>
            <w:tcBorders>
              <w:top w:val="nil"/>
              <w:left w:val="nil"/>
              <w:bottom w:val="single" w:sz="8" w:space="0" w:color="auto"/>
              <w:right w:val="single" w:sz="8" w:space="0" w:color="auto"/>
            </w:tcBorders>
            <w:shd w:val="clear" w:color="000000" w:fill="FFFFFF"/>
            <w:vAlign w:val="center"/>
            <w:hideMark/>
          </w:tcPr>
          <w:p w14:paraId="2BB1A376"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3</w:t>
            </w:r>
          </w:p>
        </w:tc>
        <w:tc>
          <w:tcPr>
            <w:tcW w:w="222" w:type="dxa"/>
            <w:vAlign w:val="center"/>
            <w:hideMark/>
          </w:tcPr>
          <w:p w14:paraId="58D8B19E"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2D242E9A"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32E0EF8B"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7A527C03"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CBX108</w:t>
            </w:r>
          </w:p>
        </w:tc>
        <w:tc>
          <w:tcPr>
            <w:tcW w:w="5033" w:type="dxa"/>
            <w:tcBorders>
              <w:top w:val="nil"/>
              <w:left w:val="nil"/>
              <w:bottom w:val="single" w:sz="8" w:space="0" w:color="auto"/>
              <w:right w:val="single" w:sz="8" w:space="0" w:color="auto"/>
            </w:tcBorders>
            <w:shd w:val="clear" w:color="000000" w:fill="FFFFFF"/>
            <w:vAlign w:val="center"/>
            <w:hideMark/>
          </w:tcPr>
          <w:p w14:paraId="496C7B19"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Antiguo Testamento II</w:t>
            </w:r>
          </w:p>
        </w:tc>
        <w:tc>
          <w:tcPr>
            <w:tcW w:w="1049" w:type="dxa"/>
            <w:tcBorders>
              <w:top w:val="nil"/>
              <w:left w:val="nil"/>
              <w:bottom w:val="single" w:sz="8" w:space="0" w:color="auto"/>
              <w:right w:val="single" w:sz="8" w:space="0" w:color="auto"/>
            </w:tcBorders>
            <w:shd w:val="clear" w:color="000000" w:fill="FFFFFF"/>
            <w:vAlign w:val="center"/>
            <w:hideMark/>
          </w:tcPr>
          <w:p w14:paraId="61BB393C"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668F93C1"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576E2F78"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601C9B77"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4485160C"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CBX110</w:t>
            </w:r>
          </w:p>
        </w:tc>
        <w:tc>
          <w:tcPr>
            <w:tcW w:w="5033" w:type="dxa"/>
            <w:tcBorders>
              <w:top w:val="nil"/>
              <w:left w:val="nil"/>
              <w:bottom w:val="single" w:sz="8" w:space="0" w:color="auto"/>
              <w:right w:val="single" w:sz="8" w:space="0" w:color="auto"/>
            </w:tcBorders>
            <w:shd w:val="clear" w:color="000000" w:fill="FFFFFF"/>
            <w:vAlign w:val="center"/>
            <w:hideMark/>
          </w:tcPr>
          <w:p w14:paraId="40ABA0D4"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Nuevo Testamento II</w:t>
            </w:r>
          </w:p>
        </w:tc>
        <w:tc>
          <w:tcPr>
            <w:tcW w:w="1049" w:type="dxa"/>
            <w:tcBorders>
              <w:top w:val="nil"/>
              <w:left w:val="nil"/>
              <w:bottom w:val="single" w:sz="8" w:space="0" w:color="auto"/>
              <w:right w:val="single" w:sz="8" w:space="0" w:color="auto"/>
            </w:tcBorders>
            <w:shd w:val="clear" w:color="000000" w:fill="FFFFFF"/>
            <w:vAlign w:val="center"/>
            <w:hideMark/>
          </w:tcPr>
          <w:p w14:paraId="1345B006"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737E82D6"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35A01B18" w14:textId="77777777" w:rsidTr="00054040">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92005CE"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IV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1C8B894E"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CTX108</w:t>
            </w:r>
          </w:p>
        </w:tc>
        <w:tc>
          <w:tcPr>
            <w:tcW w:w="5033" w:type="dxa"/>
            <w:tcBorders>
              <w:top w:val="nil"/>
              <w:left w:val="nil"/>
              <w:bottom w:val="single" w:sz="8" w:space="0" w:color="auto"/>
              <w:right w:val="single" w:sz="8" w:space="0" w:color="auto"/>
            </w:tcBorders>
            <w:shd w:val="clear" w:color="000000" w:fill="FFFFFF"/>
            <w:vAlign w:val="center"/>
            <w:hideMark/>
          </w:tcPr>
          <w:p w14:paraId="301F242B"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Historia y Realidad Latinoamericana</w:t>
            </w:r>
          </w:p>
        </w:tc>
        <w:tc>
          <w:tcPr>
            <w:tcW w:w="1049" w:type="dxa"/>
            <w:tcBorders>
              <w:top w:val="nil"/>
              <w:left w:val="nil"/>
              <w:bottom w:val="single" w:sz="8" w:space="0" w:color="auto"/>
              <w:right w:val="single" w:sz="8" w:space="0" w:color="auto"/>
            </w:tcBorders>
            <w:shd w:val="clear" w:color="000000" w:fill="FFFFFF"/>
            <w:vAlign w:val="center"/>
            <w:hideMark/>
          </w:tcPr>
          <w:p w14:paraId="35BB4D41"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6D8F82F6"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3C11C2A7"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5A3C27C8"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50CF091C"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CTX113</w:t>
            </w:r>
          </w:p>
        </w:tc>
        <w:tc>
          <w:tcPr>
            <w:tcW w:w="5033" w:type="dxa"/>
            <w:tcBorders>
              <w:top w:val="nil"/>
              <w:left w:val="nil"/>
              <w:bottom w:val="single" w:sz="8" w:space="0" w:color="auto"/>
              <w:right w:val="single" w:sz="8" w:space="0" w:color="auto"/>
            </w:tcBorders>
            <w:shd w:val="clear" w:color="000000" w:fill="FFFFFF"/>
            <w:vAlign w:val="center"/>
            <w:hideMark/>
          </w:tcPr>
          <w:p w14:paraId="319D4EC4"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Cristología</w:t>
            </w:r>
          </w:p>
        </w:tc>
        <w:tc>
          <w:tcPr>
            <w:tcW w:w="1049" w:type="dxa"/>
            <w:tcBorders>
              <w:top w:val="nil"/>
              <w:left w:val="nil"/>
              <w:bottom w:val="single" w:sz="8" w:space="0" w:color="auto"/>
              <w:right w:val="single" w:sz="8" w:space="0" w:color="auto"/>
            </w:tcBorders>
            <w:shd w:val="clear" w:color="000000" w:fill="FFFFFF"/>
            <w:vAlign w:val="center"/>
            <w:hideMark/>
          </w:tcPr>
          <w:p w14:paraId="7AE375A3"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0324F683"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72A47B21"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106549F4"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18D2D27C"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CTX124</w:t>
            </w:r>
          </w:p>
        </w:tc>
        <w:tc>
          <w:tcPr>
            <w:tcW w:w="5033" w:type="dxa"/>
            <w:tcBorders>
              <w:top w:val="nil"/>
              <w:left w:val="nil"/>
              <w:bottom w:val="single" w:sz="8" w:space="0" w:color="auto"/>
              <w:right w:val="single" w:sz="8" w:space="0" w:color="auto"/>
            </w:tcBorders>
            <w:shd w:val="clear" w:color="000000" w:fill="FFFFFF"/>
            <w:vAlign w:val="center"/>
            <w:hideMark/>
          </w:tcPr>
          <w:p w14:paraId="6AE1A567"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Género e Identidad</w:t>
            </w:r>
          </w:p>
        </w:tc>
        <w:tc>
          <w:tcPr>
            <w:tcW w:w="1049" w:type="dxa"/>
            <w:tcBorders>
              <w:top w:val="nil"/>
              <w:left w:val="nil"/>
              <w:bottom w:val="single" w:sz="8" w:space="0" w:color="auto"/>
              <w:right w:val="single" w:sz="8" w:space="0" w:color="auto"/>
            </w:tcBorders>
            <w:shd w:val="clear" w:color="000000" w:fill="FFFFFF"/>
            <w:vAlign w:val="center"/>
            <w:hideMark/>
          </w:tcPr>
          <w:p w14:paraId="6D934FC2"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4767C2AE"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3E5780A6"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2B148CBD"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tcPr>
          <w:p w14:paraId="4E67E9EE" w14:textId="77777777" w:rsidR="00C5474A" w:rsidRPr="002C2802" w:rsidRDefault="00C5474A" w:rsidP="00054040">
            <w:pPr>
              <w:spacing w:after="0" w:line="276" w:lineRule="auto"/>
              <w:rPr>
                <w:rFonts w:ascii="Calibri" w:eastAsia="Times New Roman" w:hAnsi="Calibri" w:cs="Calibri"/>
                <w:noProof/>
                <w:color w:val="000000"/>
                <w:lang w:bidi="he-IL"/>
              </w:rPr>
            </w:pPr>
            <w:r w:rsidRPr="0062601E">
              <w:rPr>
                <w:rFonts w:ascii="Calibri" w:eastAsia="Times New Roman" w:hAnsi="Calibri" w:cs="Calibri"/>
                <w:noProof/>
                <w:color w:val="000000"/>
                <w:lang w:bidi="he-IL"/>
              </w:rPr>
              <w:t xml:space="preserve">   CB 101</w:t>
            </w:r>
          </w:p>
        </w:tc>
        <w:tc>
          <w:tcPr>
            <w:tcW w:w="5033" w:type="dxa"/>
            <w:tcBorders>
              <w:top w:val="nil"/>
              <w:left w:val="nil"/>
              <w:bottom w:val="single" w:sz="8" w:space="0" w:color="auto"/>
              <w:right w:val="single" w:sz="8" w:space="0" w:color="auto"/>
            </w:tcBorders>
            <w:shd w:val="clear" w:color="000000" w:fill="FFFFFF"/>
            <w:vAlign w:val="center"/>
          </w:tcPr>
          <w:p w14:paraId="03861CF1" w14:textId="77777777" w:rsidR="00C5474A" w:rsidRPr="00F259B4" w:rsidRDefault="00C5474A" w:rsidP="00054040">
            <w:pPr>
              <w:spacing w:after="0" w:line="276" w:lineRule="auto"/>
              <w:rPr>
                <w:rFonts w:ascii="Calibri" w:eastAsia="Times New Roman" w:hAnsi="Calibri" w:cs="Calibri"/>
                <w:noProof/>
                <w:color w:val="000000"/>
                <w:sz w:val="20"/>
                <w:szCs w:val="20"/>
                <w:lang w:bidi="he-IL"/>
              </w:rPr>
            </w:pPr>
            <w:r w:rsidRPr="00F259B4">
              <w:rPr>
                <w:rFonts w:ascii="Calibri" w:eastAsia="Times New Roman" w:hAnsi="Calibri" w:cs="Calibri"/>
                <w:noProof/>
                <w:color w:val="000000"/>
                <w:sz w:val="20"/>
                <w:szCs w:val="20"/>
                <w:lang w:bidi="he-IL"/>
              </w:rPr>
              <w:t>Hebreo</w:t>
            </w:r>
          </w:p>
        </w:tc>
        <w:tc>
          <w:tcPr>
            <w:tcW w:w="1049" w:type="dxa"/>
            <w:tcBorders>
              <w:top w:val="nil"/>
              <w:left w:val="nil"/>
              <w:bottom w:val="single" w:sz="8" w:space="0" w:color="auto"/>
              <w:right w:val="single" w:sz="8" w:space="0" w:color="auto"/>
            </w:tcBorders>
            <w:shd w:val="clear" w:color="000000" w:fill="FFFFFF"/>
            <w:vAlign w:val="center"/>
            <w:hideMark/>
          </w:tcPr>
          <w:p w14:paraId="4B10F5FC"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64B9935F"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578A83D5" w14:textId="77777777" w:rsidTr="00054040">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3DEF31AD"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V Cuatrimestre</w:t>
            </w:r>
          </w:p>
        </w:tc>
        <w:tc>
          <w:tcPr>
            <w:tcW w:w="1145" w:type="dxa"/>
            <w:tcBorders>
              <w:top w:val="nil"/>
              <w:left w:val="nil"/>
              <w:bottom w:val="single" w:sz="8" w:space="0" w:color="auto"/>
              <w:right w:val="single" w:sz="8" w:space="0" w:color="auto"/>
            </w:tcBorders>
            <w:shd w:val="clear" w:color="000000" w:fill="FFFFFF"/>
            <w:noWrap/>
            <w:vAlign w:val="center"/>
          </w:tcPr>
          <w:p w14:paraId="1C519DBB" w14:textId="77777777" w:rsidR="00C5474A" w:rsidRPr="002C2802" w:rsidRDefault="00C5474A" w:rsidP="00054040">
            <w:pPr>
              <w:spacing w:after="0" w:line="276" w:lineRule="auto"/>
              <w:rPr>
                <w:rFonts w:ascii="Calibri" w:eastAsia="Times New Roman" w:hAnsi="Calibri" w:cs="Calibri"/>
                <w:noProof/>
                <w:color w:val="000000"/>
                <w:lang w:bidi="he-IL"/>
              </w:rPr>
            </w:pPr>
            <w:r w:rsidRPr="0062601E">
              <w:rPr>
                <w:rFonts w:ascii="Calibri" w:eastAsia="Times New Roman" w:hAnsi="Calibri" w:cs="Calibri"/>
                <w:noProof/>
                <w:color w:val="000000"/>
                <w:lang w:bidi="he-IL"/>
              </w:rPr>
              <w:t xml:space="preserve">   CB102 </w:t>
            </w:r>
          </w:p>
        </w:tc>
        <w:tc>
          <w:tcPr>
            <w:tcW w:w="5033" w:type="dxa"/>
            <w:tcBorders>
              <w:top w:val="nil"/>
              <w:left w:val="nil"/>
              <w:bottom w:val="single" w:sz="8" w:space="0" w:color="auto"/>
              <w:right w:val="single" w:sz="8" w:space="0" w:color="auto"/>
            </w:tcBorders>
            <w:shd w:val="clear" w:color="000000" w:fill="FFFFFF"/>
            <w:vAlign w:val="center"/>
          </w:tcPr>
          <w:p w14:paraId="021CC749"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62601E">
              <w:rPr>
                <w:rFonts w:ascii="Calibri" w:eastAsia="Times New Roman" w:hAnsi="Calibri" w:cs="Calibri"/>
                <w:noProof/>
                <w:color w:val="000000"/>
                <w:sz w:val="20"/>
                <w:szCs w:val="20"/>
                <w:lang w:bidi="he-IL"/>
              </w:rPr>
              <w:t>Griego I</w:t>
            </w:r>
          </w:p>
        </w:tc>
        <w:tc>
          <w:tcPr>
            <w:tcW w:w="1049" w:type="dxa"/>
            <w:tcBorders>
              <w:top w:val="nil"/>
              <w:left w:val="nil"/>
              <w:bottom w:val="single" w:sz="8" w:space="0" w:color="auto"/>
              <w:right w:val="single" w:sz="8" w:space="0" w:color="auto"/>
            </w:tcBorders>
            <w:shd w:val="clear" w:color="000000" w:fill="FFFFFF"/>
            <w:vAlign w:val="center"/>
            <w:hideMark/>
          </w:tcPr>
          <w:p w14:paraId="2515DF6A"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53289936"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0F2494C0"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77F06CB3"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5D870590"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CTX107</w:t>
            </w:r>
          </w:p>
        </w:tc>
        <w:tc>
          <w:tcPr>
            <w:tcW w:w="5033" w:type="dxa"/>
            <w:tcBorders>
              <w:top w:val="nil"/>
              <w:left w:val="nil"/>
              <w:bottom w:val="single" w:sz="8" w:space="0" w:color="auto"/>
              <w:right w:val="single" w:sz="8" w:space="0" w:color="auto"/>
            </w:tcBorders>
            <w:shd w:val="clear" w:color="000000" w:fill="FFFFFF"/>
            <w:vAlign w:val="center"/>
            <w:hideMark/>
          </w:tcPr>
          <w:p w14:paraId="1FED4CF1"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Fundamentos de Pastoral</w:t>
            </w:r>
          </w:p>
        </w:tc>
        <w:tc>
          <w:tcPr>
            <w:tcW w:w="1049" w:type="dxa"/>
            <w:tcBorders>
              <w:top w:val="nil"/>
              <w:left w:val="nil"/>
              <w:bottom w:val="single" w:sz="8" w:space="0" w:color="auto"/>
              <w:right w:val="single" w:sz="8" w:space="0" w:color="auto"/>
            </w:tcBorders>
            <w:shd w:val="clear" w:color="000000" w:fill="FFFFFF"/>
            <w:vAlign w:val="center"/>
            <w:hideMark/>
          </w:tcPr>
          <w:p w14:paraId="6DAD750B"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32700961"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0301BE14"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096B3A4F"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71A890C8"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CTX122</w:t>
            </w:r>
          </w:p>
        </w:tc>
        <w:tc>
          <w:tcPr>
            <w:tcW w:w="5033" w:type="dxa"/>
            <w:tcBorders>
              <w:top w:val="nil"/>
              <w:left w:val="nil"/>
              <w:bottom w:val="single" w:sz="8" w:space="0" w:color="auto"/>
              <w:right w:val="single" w:sz="8" w:space="0" w:color="auto"/>
            </w:tcBorders>
            <w:shd w:val="clear" w:color="000000" w:fill="FFFFFF"/>
            <w:vAlign w:val="center"/>
            <w:hideMark/>
          </w:tcPr>
          <w:p w14:paraId="6AC74FAD"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Historia de la Religiosidad Indígena y Afro-latinoamericana</w:t>
            </w:r>
          </w:p>
        </w:tc>
        <w:tc>
          <w:tcPr>
            <w:tcW w:w="1049" w:type="dxa"/>
            <w:tcBorders>
              <w:top w:val="nil"/>
              <w:left w:val="nil"/>
              <w:bottom w:val="single" w:sz="8" w:space="0" w:color="auto"/>
              <w:right w:val="single" w:sz="8" w:space="0" w:color="auto"/>
            </w:tcBorders>
            <w:shd w:val="clear" w:color="000000" w:fill="FFFFFF"/>
            <w:vAlign w:val="center"/>
            <w:hideMark/>
          </w:tcPr>
          <w:p w14:paraId="7B4885F9"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2848917A"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11A79E49"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74E5C70D"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2E1229FF"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CBX113</w:t>
            </w:r>
          </w:p>
        </w:tc>
        <w:tc>
          <w:tcPr>
            <w:tcW w:w="5033" w:type="dxa"/>
            <w:tcBorders>
              <w:top w:val="nil"/>
              <w:left w:val="nil"/>
              <w:bottom w:val="single" w:sz="8" w:space="0" w:color="auto"/>
              <w:right w:val="single" w:sz="8" w:space="0" w:color="auto"/>
            </w:tcBorders>
            <w:shd w:val="clear" w:color="000000" w:fill="FFFFFF"/>
            <w:vAlign w:val="center"/>
            <w:hideMark/>
          </w:tcPr>
          <w:p w14:paraId="09E1F82D"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Metodología del Estudio Bíblico</w:t>
            </w:r>
          </w:p>
        </w:tc>
        <w:tc>
          <w:tcPr>
            <w:tcW w:w="1049" w:type="dxa"/>
            <w:tcBorders>
              <w:top w:val="nil"/>
              <w:left w:val="nil"/>
              <w:bottom w:val="single" w:sz="8" w:space="0" w:color="auto"/>
              <w:right w:val="single" w:sz="8" w:space="0" w:color="auto"/>
            </w:tcBorders>
            <w:shd w:val="clear" w:color="000000" w:fill="FFFFFF"/>
            <w:vAlign w:val="center"/>
            <w:hideMark/>
          </w:tcPr>
          <w:p w14:paraId="3CFA9656"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74663FB9"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7620CC40" w14:textId="77777777" w:rsidTr="00054040">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66701695"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VI Cuatrimestre</w:t>
            </w:r>
          </w:p>
        </w:tc>
        <w:tc>
          <w:tcPr>
            <w:tcW w:w="1145" w:type="dxa"/>
            <w:tcBorders>
              <w:top w:val="nil"/>
              <w:left w:val="nil"/>
              <w:bottom w:val="single" w:sz="8" w:space="0" w:color="auto"/>
              <w:right w:val="single" w:sz="8" w:space="0" w:color="auto"/>
            </w:tcBorders>
            <w:shd w:val="clear" w:color="000000" w:fill="FFFFFF"/>
            <w:noWrap/>
            <w:vAlign w:val="center"/>
          </w:tcPr>
          <w:p w14:paraId="751F3794"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62601E">
              <w:rPr>
                <w:rFonts w:ascii="Calibri" w:eastAsia="Times New Roman" w:hAnsi="Calibri" w:cs="Calibri"/>
                <w:noProof/>
                <w:color w:val="000000"/>
                <w:sz w:val="20"/>
                <w:szCs w:val="20"/>
                <w:lang w:bidi="he-IL"/>
              </w:rPr>
              <w:t>CB105</w:t>
            </w:r>
          </w:p>
        </w:tc>
        <w:tc>
          <w:tcPr>
            <w:tcW w:w="5033" w:type="dxa"/>
            <w:tcBorders>
              <w:top w:val="nil"/>
              <w:left w:val="nil"/>
              <w:bottom w:val="single" w:sz="8" w:space="0" w:color="auto"/>
              <w:right w:val="single" w:sz="8" w:space="0" w:color="auto"/>
            </w:tcBorders>
            <w:shd w:val="clear" w:color="000000" w:fill="FFFFFF"/>
            <w:vAlign w:val="center"/>
          </w:tcPr>
          <w:p w14:paraId="49A426B8"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62601E">
              <w:rPr>
                <w:rFonts w:ascii="Calibri" w:eastAsia="Times New Roman" w:hAnsi="Calibri" w:cs="Calibri"/>
                <w:noProof/>
                <w:color w:val="000000"/>
                <w:sz w:val="20"/>
                <w:szCs w:val="20"/>
                <w:lang w:bidi="he-IL"/>
              </w:rPr>
              <w:t>Hermenéutica Bíblica</w:t>
            </w:r>
          </w:p>
        </w:tc>
        <w:tc>
          <w:tcPr>
            <w:tcW w:w="1049" w:type="dxa"/>
            <w:tcBorders>
              <w:top w:val="nil"/>
              <w:left w:val="nil"/>
              <w:bottom w:val="single" w:sz="8" w:space="0" w:color="auto"/>
              <w:right w:val="single" w:sz="8" w:space="0" w:color="auto"/>
            </w:tcBorders>
            <w:shd w:val="clear" w:color="000000" w:fill="FFFFFF"/>
            <w:vAlign w:val="center"/>
            <w:hideMark/>
          </w:tcPr>
          <w:p w14:paraId="396E47B9"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56C246BE"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1EAB1ED4"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63489C4C"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tcPr>
          <w:p w14:paraId="73A102EC"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62601E">
              <w:rPr>
                <w:rFonts w:ascii="Calibri" w:eastAsia="Times New Roman" w:hAnsi="Calibri" w:cs="Calibri"/>
                <w:noProof/>
                <w:color w:val="000000"/>
                <w:sz w:val="20"/>
                <w:szCs w:val="20"/>
                <w:lang w:bidi="he-IL"/>
              </w:rPr>
              <w:t>CB103</w:t>
            </w:r>
          </w:p>
        </w:tc>
        <w:tc>
          <w:tcPr>
            <w:tcW w:w="5033" w:type="dxa"/>
            <w:tcBorders>
              <w:top w:val="nil"/>
              <w:left w:val="nil"/>
              <w:bottom w:val="single" w:sz="8" w:space="0" w:color="auto"/>
              <w:right w:val="single" w:sz="8" w:space="0" w:color="auto"/>
            </w:tcBorders>
            <w:shd w:val="clear" w:color="000000" w:fill="FFFFFF"/>
            <w:vAlign w:val="center"/>
          </w:tcPr>
          <w:p w14:paraId="02FA067C"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62601E">
              <w:rPr>
                <w:rFonts w:ascii="Calibri" w:eastAsia="Times New Roman" w:hAnsi="Calibri" w:cs="Calibri"/>
                <w:noProof/>
                <w:color w:val="000000"/>
                <w:sz w:val="20"/>
                <w:szCs w:val="20"/>
                <w:lang w:bidi="he-IL"/>
              </w:rPr>
              <w:t xml:space="preserve"> Griego II</w:t>
            </w:r>
          </w:p>
        </w:tc>
        <w:tc>
          <w:tcPr>
            <w:tcW w:w="1049" w:type="dxa"/>
            <w:tcBorders>
              <w:top w:val="nil"/>
              <w:left w:val="nil"/>
              <w:bottom w:val="single" w:sz="8" w:space="0" w:color="auto"/>
              <w:right w:val="single" w:sz="8" w:space="0" w:color="auto"/>
            </w:tcBorders>
            <w:shd w:val="clear" w:color="000000" w:fill="FFFFFF"/>
            <w:vAlign w:val="center"/>
            <w:hideMark/>
          </w:tcPr>
          <w:p w14:paraId="4CD76224"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7DDCE787"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3351A51C"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25CA7D5D"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tcPr>
          <w:p w14:paraId="64382429"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62601E">
              <w:rPr>
                <w:rFonts w:ascii="Calibri" w:eastAsia="Times New Roman" w:hAnsi="Calibri" w:cs="Calibri"/>
                <w:noProof/>
                <w:color w:val="000000"/>
                <w:sz w:val="20"/>
                <w:szCs w:val="20"/>
                <w:lang w:bidi="he-IL"/>
              </w:rPr>
              <w:t>CB106</w:t>
            </w:r>
          </w:p>
        </w:tc>
        <w:tc>
          <w:tcPr>
            <w:tcW w:w="5033" w:type="dxa"/>
            <w:tcBorders>
              <w:top w:val="nil"/>
              <w:left w:val="nil"/>
              <w:bottom w:val="single" w:sz="8" w:space="0" w:color="auto"/>
              <w:right w:val="single" w:sz="8" w:space="0" w:color="auto"/>
            </w:tcBorders>
            <w:shd w:val="clear" w:color="000000" w:fill="FFFFFF"/>
            <w:vAlign w:val="center"/>
          </w:tcPr>
          <w:p w14:paraId="58D02EC1"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62601E">
              <w:rPr>
                <w:rFonts w:ascii="Calibri" w:eastAsia="Times New Roman" w:hAnsi="Calibri" w:cs="Calibri"/>
                <w:noProof/>
                <w:color w:val="000000"/>
                <w:sz w:val="20"/>
                <w:szCs w:val="20"/>
                <w:lang w:bidi="he-IL"/>
              </w:rPr>
              <w:t>Sociología del Período Bíblico I</w:t>
            </w:r>
          </w:p>
        </w:tc>
        <w:tc>
          <w:tcPr>
            <w:tcW w:w="1049" w:type="dxa"/>
            <w:tcBorders>
              <w:top w:val="nil"/>
              <w:left w:val="nil"/>
              <w:bottom w:val="single" w:sz="8" w:space="0" w:color="auto"/>
              <w:right w:val="single" w:sz="8" w:space="0" w:color="auto"/>
            </w:tcBorders>
            <w:shd w:val="clear" w:color="000000" w:fill="FFFFFF"/>
            <w:vAlign w:val="center"/>
            <w:hideMark/>
          </w:tcPr>
          <w:p w14:paraId="459E979A"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702AC197"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41D45A17"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5E37E256"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20F2DBCE"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CTX110</w:t>
            </w:r>
          </w:p>
        </w:tc>
        <w:tc>
          <w:tcPr>
            <w:tcW w:w="5033" w:type="dxa"/>
            <w:tcBorders>
              <w:top w:val="nil"/>
              <w:left w:val="nil"/>
              <w:bottom w:val="single" w:sz="8" w:space="0" w:color="auto"/>
              <w:right w:val="single" w:sz="8" w:space="0" w:color="auto"/>
            </w:tcBorders>
            <w:shd w:val="clear" w:color="000000" w:fill="FFFFFF"/>
            <w:vAlign w:val="center"/>
            <w:hideMark/>
          </w:tcPr>
          <w:p w14:paraId="1FE72A28"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Liturgia I</w:t>
            </w:r>
          </w:p>
        </w:tc>
        <w:tc>
          <w:tcPr>
            <w:tcW w:w="1049" w:type="dxa"/>
            <w:tcBorders>
              <w:top w:val="nil"/>
              <w:left w:val="nil"/>
              <w:bottom w:val="single" w:sz="8" w:space="0" w:color="auto"/>
              <w:right w:val="single" w:sz="8" w:space="0" w:color="auto"/>
            </w:tcBorders>
            <w:shd w:val="clear" w:color="000000" w:fill="FFFFFF"/>
            <w:vAlign w:val="center"/>
            <w:hideMark/>
          </w:tcPr>
          <w:p w14:paraId="0248FC7A"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450A93C9"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6EB068E5" w14:textId="77777777" w:rsidTr="00054040">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A910D8F"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VII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79C1DB52"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CTX121</w:t>
            </w:r>
          </w:p>
        </w:tc>
        <w:tc>
          <w:tcPr>
            <w:tcW w:w="5033" w:type="dxa"/>
            <w:tcBorders>
              <w:top w:val="nil"/>
              <w:left w:val="nil"/>
              <w:bottom w:val="single" w:sz="8" w:space="0" w:color="auto"/>
              <w:right w:val="single" w:sz="8" w:space="0" w:color="auto"/>
            </w:tcBorders>
            <w:shd w:val="clear" w:color="000000" w:fill="FFFFFF"/>
            <w:vAlign w:val="center"/>
            <w:hideMark/>
          </w:tcPr>
          <w:p w14:paraId="1D07D7B8"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Educación Cristiana</w:t>
            </w:r>
          </w:p>
        </w:tc>
        <w:tc>
          <w:tcPr>
            <w:tcW w:w="1049" w:type="dxa"/>
            <w:tcBorders>
              <w:top w:val="nil"/>
              <w:left w:val="nil"/>
              <w:bottom w:val="single" w:sz="8" w:space="0" w:color="auto"/>
              <w:right w:val="single" w:sz="8" w:space="0" w:color="auto"/>
            </w:tcBorders>
            <w:shd w:val="clear" w:color="000000" w:fill="FFFFFF"/>
            <w:vAlign w:val="center"/>
            <w:hideMark/>
          </w:tcPr>
          <w:p w14:paraId="50EB7C4B"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750C29E7"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2971B3C3"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00B4FB47"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tcPr>
          <w:p w14:paraId="3A187D6E"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62601E">
              <w:rPr>
                <w:rFonts w:ascii="Calibri" w:eastAsia="Times New Roman" w:hAnsi="Calibri" w:cs="Calibri"/>
                <w:noProof/>
                <w:color w:val="000000"/>
                <w:sz w:val="20"/>
                <w:szCs w:val="20"/>
                <w:lang w:bidi="he-IL"/>
              </w:rPr>
              <w:t>CB111</w:t>
            </w:r>
          </w:p>
        </w:tc>
        <w:tc>
          <w:tcPr>
            <w:tcW w:w="5033" w:type="dxa"/>
            <w:tcBorders>
              <w:top w:val="nil"/>
              <w:left w:val="nil"/>
              <w:bottom w:val="single" w:sz="8" w:space="0" w:color="auto"/>
              <w:right w:val="single" w:sz="8" w:space="0" w:color="auto"/>
            </w:tcBorders>
            <w:shd w:val="clear" w:color="000000" w:fill="FFFFFF"/>
            <w:vAlign w:val="center"/>
          </w:tcPr>
          <w:p w14:paraId="5890A600"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62601E">
              <w:rPr>
                <w:rFonts w:ascii="Calibri" w:eastAsia="Times New Roman" w:hAnsi="Calibri" w:cs="Calibri"/>
                <w:noProof/>
                <w:color w:val="000000"/>
                <w:sz w:val="20"/>
                <w:szCs w:val="20"/>
                <w:lang w:bidi="he-IL"/>
              </w:rPr>
              <w:t>Análisis de Textos Bíblicos</w:t>
            </w:r>
          </w:p>
        </w:tc>
        <w:tc>
          <w:tcPr>
            <w:tcW w:w="1049" w:type="dxa"/>
            <w:tcBorders>
              <w:top w:val="nil"/>
              <w:left w:val="nil"/>
              <w:bottom w:val="single" w:sz="8" w:space="0" w:color="auto"/>
              <w:right w:val="single" w:sz="8" w:space="0" w:color="auto"/>
            </w:tcBorders>
            <w:shd w:val="clear" w:color="000000" w:fill="FFFFFF"/>
            <w:vAlign w:val="center"/>
            <w:hideMark/>
          </w:tcPr>
          <w:p w14:paraId="403D266A"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04F7973D"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01F82C7C"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0A0A06F3"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tcPr>
          <w:p w14:paraId="3DB95A37"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62601E">
              <w:rPr>
                <w:rFonts w:ascii="Calibri" w:eastAsia="Times New Roman" w:hAnsi="Calibri" w:cs="Calibri"/>
                <w:noProof/>
                <w:color w:val="000000"/>
                <w:sz w:val="20"/>
                <w:szCs w:val="20"/>
                <w:lang w:bidi="he-IL"/>
              </w:rPr>
              <w:t>CB114</w:t>
            </w:r>
          </w:p>
        </w:tc>
        <w:tc>
          <w:tcPr>
            <w:tcW w:w="5033" w:type="dxa"/>
            <w:tcBorders>
              <w:top w:val="nil"/>
              <w:left w:val="nil"/>
              <w:bottom w:val="single" w:sz="8" w:space="0" w:color="auto"/>
              <w:right w:val="single" w:sz="8" w:space="0" w:color="auto"/>
            </w:tcBorders>
            <w:shd w:val="clear" w:color="000000" w:fill="FFFFFF"/>
            <w:vAlign w:val="center"/>
          </w:tcPr>
          <w:p w14:paraId="0AC6C3D4"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62601E">
              <w:rPr>
                <w:rFonts w:ascii="Calibri" w:eastAsia="Times New Roman" w:hAnsi="Calibri" w:cs="Calibri"/>
                <w:noProof/>
                <w:color w:val="000000"/>
                <w:sz w:val="20"/>
                <w:szCs w:val="20"/>
                <w:lang w:bidi="he-IL"/>
              </w:rPr>
              <w:t>Sociología del Período Bíblico II</w:t>
            </w:r>
          </w:p>
        </w:tc>
        <w:tc>
          <w:tcPr>
            <w:tcW w:w="1049" w:type="dxa"/>
            <w:tcBorders>
              <w:top w:val="nil"/>
              <w:left w:val="nil"/>
              <w:bottom w:val="single" w:sz="8" w:space="0" w:color="auto"/>
              <w:right w:val="single" w:sz="8" w:space="0" w:color="auto"/>
            </w:tcBorders>
            <w:shd w:val="clear" w:color="000000" w:fill="FFFFFF"/>
            <w:vAlign w:val="center"/>
            <w:hideMark/>
          </w:tcPr>
          <w:p w14:paraId="06535950"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4695F581"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0460B84E"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28CF43A0"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tcPr>
          <w:p w14:paraId="32621BE8"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62601E">
              <w:rPr>
                <w:rFonts w:ascii="Calibri" w:eastAsia="Times New Roman" w:hAnsi="Calibri" w:cs="Calibri"/>
                <w:noProof/>
                <w:color w:val="000000"/>
                <w:sz w:val="20"/>
                <w:szCs w:val="20"/>
                <w:lang w:bidi="he-IL"/>
              </w:rPr>
              <w:t>CB112</w:t>
            </w:r>
          </w:p>
        </w:tc>
        <w:tc>
          <w:tcPr>
            <w:tcW w:w="5033" w:type="dxa"/>
            <w:tcBorders>
              <w:top w:val="nil"/>
              <w:left w:val="nil"/>
              <w:bottom w:val="single" w:sz="8" w:space="0" w:color="auto"/>
              <w:right w:val="single" w:sz="8" w:space="0" w:color="auto"/>
            </w:tcBorders>
            <w:shd w:val="clear" w:color="000000" w:fill="FFFFFF"/>
            <w:vAlign w:val="center"/>
          </w:tcPr>
          <w:p w14:paraId="78D56866"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62601E">
              <w:rPr>
                <w:rFonts w:ascii="Calibri" w:eastAsia="Times New Roman" w:hAnsi="Calibri" w:cs="Calibri"/>
                <w:noProof/>
                <w:color w:val="000000"/>
                <w:sz w:val="20"/>
                <w:szCs w:val="20"/>
                <w:lang w:bidi="he-IL"/>
              </w:rPr>
              <w:t>Teología Bíblica</w:t>
            </w:r>
          </w:p>
        </w:tc>
        <w:tc>
          <w:tcPr>
            <w:tcW w:w="1049" w:type="dxa"/>
            <w:tcBorders>
              <w:top w:val="nil"/>
              <w:left w:val="nil"/>
              <w:bottom w:val="single" w:sz="8" w:space="0" w:color="auto"/>
              <w:right w:val="single" w:sz="8" w:space="0" w:color="auto"/>
            </w:tcBorders>
            <w:shd w:val="clear" w:color="000000" w:fill="FFFFFF"/>
            <w:vAlign w:val="center"/>
            <w:hideMark/>
          </w:tcPr>
          <w:p w14:paraId="2E12F815"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28C40E2E"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4DAC76CA" w14:textId="77777777" w:rsidTr="00054040">
        <w:trPr>
          <w:trHeight w:val="20"/>
        </w:trPr>
        <w:tc>
          <w:tcPr>
            <w:tcW w:w="1325" w:type="dxa"/>
            <w:vMerge w:val="restart"/>
            <w:tcBorders>
              <w:top w:val="nil"/>
              <w:left w:val="single" w:sz="8" w:space="0" w:color="auto"/>
              <w:bottom w:val="single" w:sz="8" w:space="0" w:color="000000"/>
              <w:right w:val="single" w:sz="8" w:space="0" w:color="auto"/>
            </w:tcBorders>
            <w:shd w:val="clear" w:color="000000" w:fill="FFFFFF"/>
            <w:vAlign w:val="center"/>
            <w:hideMark/>
          </w:tcPr>
          <w:p w14:paraId="0D8B47A7"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t>VIII Cuatrimestre</w:t>
            </w:r>
          </w:p>
        </w:tc>
        <w:tc>
          <w:tcPr>
            <w:tcW w:w="1145" w:type="dxa"/>
            <w:tcBorders>
              <w:top w:val="nil"/>
              <w:left w:val="nil"/>
              <w:bottom w:val="single" w:sz="8" w:space="0" w:color="auto"/>
              <w:right w:val="single" w:sz="8" w:space="0" w:color="auto"/>
            </w:tcBorders>
            <w:shd w:val="clear" w:color="000000" w:fill="FFFFFF"/>
            <w:noWrap/>
            <w:vAlign w:val="center"/>
          </w:tcPr>
          <w:p w14:paraId="334897CD"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62601E">
              <w:rPr>
                <w:rFonts w:ascii="Calibri" w:eastAsia="Times New Roman" w:hAnsi="Calibri" w:cs="Calibri"/>
                <w:noProof/>
                <w:color w:val="000000"/>
                <w:sz w:val="20"/>
                <w:szCs w:val="20"/>
                <w:lang w:bidi="he-IL"/>
              </w:rPr>
              <w:t>CB115</w:t>
            </w:r>
          </w:p>
        </w:tc>
        <w:tc>
          <w:tcPr>
            <w:tcW w:w="5033" w:type="dxa"/>
            <w:tcBorders>
              <w:top w:val="nil"/>
              <w:left w:val="nil"/>
              <w:bottom w:val="single" w:sz="8" w:space="0" w:color="auto"/>
              <w:right w:val="single" w:sz="8" w:space="0" w:color="auto"/>
            </w:tcBorders>
            <w:shd w:val="clear" w:color="000000" w:fill="FFFFFF"/>
            <w:vAlign w:val="center"/>
          </w:tcPr>
          <w:p w14:paraId="02F46DEA"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62601E">
              <w:rPr>
                <w:rFonts w:ascii="Calibri" w:eastAsia="Times New Roman" w:hAnsi="Calibri" w:cs="Calibri"/>
                <w:noProof/>
                <w:color w:val="000000"/>
                <w:sz w:val="20"/>
                <w:szCs w:val="20"/>
                <w:lang w:bidi="he-IL"/>
              </w:rPr>
              <w:t>Seminario en Biblia I</w:t>
            </w:r>
          </w:p>
        </w:tc>
        <w:tc>
          <w:tcPr>
            <w:tcW w:w="1049" w:type="dxa"/>
            <w:tcBorders>
              <w:top w:val="nil"/>
              <w:left w:val="nil"/>
              <w:bottom w:val="single" w:sz="8" w:space="0" w:color="auto"/>
              <w:right w:val="single" w:sz="8" w:space="0" w:color="auto"/>
            </w:tcBorders>
            <w:shd w:val="clear" w:color="000000" w:fill="FFFFFF"/>
            <w:vAlign w:val="center"/>
            <w:hideMark/>
          </w:tcPr>
          <w:p w14:paraId="762966B2"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2D55BFD1"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7ADC5829"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6C55F042"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tcPr>
          <w:p w14:paraId="37EEFBC1"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62601E">
              <w:rPr>
                <w:rFonts w:ascii="Calibri" w:eastAsia="Times New Roman" w:hAnsi="Calibri" w:cs="Calibri"/>
                <w:noProof/>
                <w:color w:val="000000"/>
                <w:sz w:val="20"/>
                <w:szCs w:val="20"/>
                <w:lang w:bidi="he-IL"/>
              </w:rPr>
              <w:t>CB116</w:t>
            </w:r>
          </w:p>
        </w:tc>
        <w:tc>
          <w:tcPr>
            <w:tcW w:w="5033" w:type="dxa"/>
            <w:tcBorders>
              <w:top w:val="nil"/>
              <w:left w:val="nil"/>
              <w:bottom w:val="single" w:sz="8" w:space="0" w:color="auto"/>
              <w:right w:val="single" w:sz="8" w:space="0" w:color="auto"/>
            </w:tcBorders>
            <w:shd w:val="clear" w:color="000000" w:fill="FFFFFF"/>
            <w:vAlign w:val="center"/>
          </w:tcPr>
          <w:p w14:paraId="663CE49E"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62601E">
              <w:rPr>
                <w:rFonts w:ascii="Calibri" w:eastAsia="Times New Roman" w:hAnsi="Calibri" w:cs="Calibri"/>
                <w:noProof/>
                <w:color w:val="000000"/>
                <w:sz w:val="20"/>
                <w:szCs w:val="20"/>
                <w:lang w:bidi="he-IL"/>
              </w:rPr>
              <w:t>Seminario en Biblia II</w:t>
            </w:r>
          </w:p>
        </w:tc>
        <w:tc>
          <w:tcPr>
            <w:tcW w:w="1049" w:type="dxa"/>
            <w:tcBorders>
              <w:top w:val="nil"/>
              <w:left w:val="nil"/>
              <w:bottom w:val="single" w:sz="8" w:space="0" w:color="auto"/>
              <w:right w:val="single" w:sz="8" w:space="0" w:color="auto"/>
            </w:tcBorders>
            <w:shd w:val="clear" w:color="000000" w:fill="FFFFFF"/>
            <w:vAlign w:val="center"/>
            <w:hideMark/>
          </w:tcPr>
          <w:p w14:paraId="491B6281"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3A9ED84A"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5D8FD7BF"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tcPr>
          <w:p w14:paraId="722F0F75"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tcPr>
          <w:p w14:paraId="1270F15F" w14:textId="77777777" w:rsidR="00C5474A" w:rsidRPr="0062601E" w:rsidRDefault="00C5474A" w:rsidP="00054040">
            <w:pPr>
              <w:spacing w:after="0" w:line="276" w:lineRule="auto"/>
              <w:jc w:val="center"/>
              <w:rPr>
                <w:rFonts w:ascii="Calibri" w:eastAsia="Times New Roman" w:hAnsi="Calibri" w:cs="Calibri"/>
                <w:noProof/>
                <w:color w:val="000000"/>
                <w:lang w:bidi="he-IL"/>
              </w:rPr>
            </w:pPr>
            <w:r w:rsidRPr="0062601E">
              <w:rPr>
                <w:rFonts w:ascii="Calibri" w:eastAsia="Times New Roman" w:hAnsi="Calibri" w:cs="Calibri"/>
                <w:noProof/>
                <w:color w:val="000000"/>
                <w:sz w:val="20"/>
                <w:szCs w:val="20"/>
                <w:lang w:bidi="he-IL"/>
              </w:rPr>
              <w:t>CB117</w:t>
            </w:r>
          </w:p>
        </w:tc>
        <w:tc>
          <w:tcPr>
            <w:tcW w:w="5033" w:type="dxa"/>
            <w:tcBorders>
              <w:top w:val="nil"/>
              <w:left w:val="nil"/>
              <w:bottom w:val="single" w:sz="8" w:space="0" w:color="auto"/>
              <w:right w:val="single" w:sz="8" w:space="0" w:color="auto"/>
            </w:tcBorders>
            <w:shd w:val="clear" w:color="000000" w:fill="FFFFFF"/>
            <w:vAlign w:val="center"/>
          </w:tcPr>
          <w:p w14:paraId="11E8725A" w14:textId="77777777" w:rsidR="00C5474A" w:rsidRPr="0062601E" w:rsidRDefault="00C5474A" w:rsidP="00054040">
            <w:pPr>
              <w:spacing w:after="0" w:line="276" w:lineRule="auto"/>
              <w:rPr>
                <w:rFonts w:ascii="Calibri" w:eastAsia="Times New Roman" w:hAnsi="Calibri" w:cs="Calibri"/>
                <w:noProof/>
                <w:color w:val="000000"/>
                <w:sz w:val="20"/>
                <w:szCs w:val="20"/>
                <w:lang w:bidi="he-IL"/>
              </w:rPr>
            </w:pPr>
            <w:r w:rsidRPr="0062601E">
              <w:rPr>
                <w:rFonts w:ascii="Calibri" w:eastAsia="Times New Roman" w:hAnsi="Calibri" w:cs="Calibri"/>
                <w:noProof/>
                <w:color w:val="000000"/>
                <w:sz w:val="20"/>
                <w:szCs w:val="20"/>
                <w:lang w:bidi="he-IL"/>
              </w:rPr>
              <w:t xml:space="preserve"> Pastoral y Pedagogía Bíblica </w:t>
            </w:r>
          </w:p>
        </w:tc>
        <w:tc>
          <w:tcPr>
            <w:tcW w:w="1049" w:type="dxa"/>
            <w:tcBorders>
              <w:top w:val="nil"/>
              <w:left w:val="nil"/>
              <w:bottom w:val="single" w:sz="8" w:space="0" w:color="auto"/>
              <w:right w:val="single" w:sz="8" w:space="0" w:color="auto"/>
            </w:tcBorders>
            <w:shd w:val="clear" w:color="000000" w:fill="FFFFFF"/>
            <w:vAlign w:val="center"/>
          </w:tcPr>
          <w:p w14:paraId="1D7799F3"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Pr>
                <w:rFonts w:ascii="Calibri" w:eastAsia="Times New Roman" w:hAnsi="Calibri" w:cs="Calibri"/>
                <w:noProof/>
                <w:color w:val="000000"/>
                <w:sz w:val="20"/>
                <w:szCs w:val="20"/>
                <w:lang w:bidi="he-IL"/>
              </w:rPr>
              <w:t>4</w:t>
            </w:r>
          </w:p>
        </w:tc>
        <w:tc>
          <w:tcPr>
            <w:tcW w:w="222" w:type="dxa"/>
            <w:vAlign w:val="center"/>
          </w:tcPr>
          <w:p w14:paraId="1059BC0C"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048D28C8" w14:textId="77777777" w:rsidTr="00054040">
        <w:trPr>
          <w:trHeight w:val="20"/>
        </w:trPr>
        <w:tc>
          <w:tcPr>
            <w:tcW w:w="1325" w:type="dxa"/>
            <w:vMerge/>
            <w:tcBorders>
              <w:top w:val="nil"/>
              <w:left w:val="single" w:sz="8" w:space="0" w:color="auto"/>
              <w:bottom w:val="single" w:sz="8" w:space="0" w:color="000000"/>
              <w:right w:val="single" w:sz="8" w:space="0" w:color="auto"/>
            </w:tcBorders>
            <w:vAlign w:val="center"/>
            <w:hideMark/>
          </w:tcPr>
          <w:p w14:paraId="7254ADD9" w14:textId="77777777" w:rsidR="00C5474A" w:rsidRPr="002C2802" w:rsidRDefault="00C5474A" w:rsidP="00054040">
            <w:pPr>
              <w:spacing w:after="0" w:line="276" w:lineRule="auto"/>
              <w:rPr>
                <w:rFonts w:ascii="Calibri" w:eastAsia="Times New Roman" w:hAnsi="Calibri" w:cs="Calibri"/>
                <w:b/>
                <w:bCs/>
                <w:noProof/>
                <w:color w:val="000000"/>
                <w:sz w:val="20"/>
                <w:szCs w:val="20"/>
                <w:lang w:bidi="he-IL"/>
              </w:rPr>
            </w:pPr>
          </w:p>
        </w:tc>
        <w:tc>
          <w:tcPr>
            <w:tcW w:w="1145" w:type="dxa"/>
            <w:tcBorders>
              <w:top w:val="nil"/>
              <w:left w:val="nil"/>
              <w:bottom w:val="single" w:sz="8" w:space="0" w:color="auto"/>
              <w:right w:val="single" w:sz="8" w:space="0" w:color="auto"/>
            </w:tcBorders>
            <w:shd w:val="clear" w:color="000000" w:fill="FFFFFF"/>
            <w:noWrap/>
            <w:vAlign w:val="center"/>
            <w:hideMark/>
          </w:tcPr>
          <w:p w14:paraId="359E5A83"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sidRPr="002C2802">
              <w:rPr>
                <w:rFonts w:ascii="Calibri" w:eastAsia="Times New Roman" w:hAnsi="Calibri" w:cs="Calibri"/>
                <w:noProof/>
                <w:color w:val="000000"/>
                <w:lang w:bidi="he-IL"/>
              </w:rPr>
              <w:t>CTX126</w:t>
            </w:r>
          </w:p>
        </w:tc>
        <w:tc>
          <w:tcPr>
            <w:tcW w:w="5033" w:type="dxa"/>
            <w:tcBorders>
              <w:top w:val="nil"/>
              <w:left w:val="nil"/>
              <w:bottom w:val="single" w:sz="8" w:space="0" w:color="auto"/>
              <w:right w:val="single" w:sz="8" w:space="0" w:color="auto"/>
            </w:tcBorders>
            <w:shd w:val="clear" w:color="000000" w:fill="FFFFFF"/>
            <w:vAlign w:val="center"/>
            <w:hideMark/>
          </w:tcPr>
          <w:p w14:paraId="17033706"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Teologías y Hermenéuticas Contextuales</w:t>
            </w:r>
          </w:p>
        </w:tc>
        <w:tc>
          <w:tcPr>
            <w:tcW w:w="1049" w:type="dxa"/>
            <w:tcBorders>
              <w:top w:val="nil"/>
              <w:left w:val="nil"/>
              <w:bottom w:val="single" w:sz="8" w:space="0" w:color="auto"/>
              <w:right w:val="single" w:sz="8" w:space="0" w:color="auto"/>
            </w:tcBorders>
            <w:shd w:val="clear" w:color="000000" w:fill="FFFFFF"/>
            <w:vAlign w:val="center"/>
            <w:hideMark/>
          </w:tcPr>
          <w:p w14:paraId="71629614"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4</w:t>
            </w:r>
          </w:p>
        </w:tc>
        <w:tc>
          <w:tcPr>
            <w:tcW w:w="222" w:type="dxa"/>
            <w:vAlign w:val="center"/>
            <w:hideMark/>
          </w:tcPr>
          <w:p w14:paraId="6E24603E"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1FCAC0F4" w14:textId="77777777" w:rsidTr="00054040">
        <w:trPr>
          <w:trHeight w:val="20"/>
        </w:trPr>
        <w:tc>
          <w:tcPr>
            <w:tcW w:w="1325" w:type="dxa"/>
            <w:tcBorders>
              <w:top w:val="nil"/>
              <w:left w:val="single" w:sz="8" w:space="0" w:color="auto"/>
              <w:bottom w:val="single" w:sz="8" w:space="0" w:color="auto"/>
              <w:right w:val="single" w:sz="8" w:space="0" w:color="auto"/>
            </w:tcBorders>
            <w:shd w:val="clear" w:color="000000" w:fill="FFFFFF"/>
            <w:noWrap/>
            <w:vAlign w:val="center"/>
            <w:hideMark/>
          </w:tcPr>
          <w:p w14:paraId="366236AE" w14:textId="77777777" w:rsidR="00C5474A" w:rsidRPr="002C2802" w:rsidRDefault="00C5474A" w:rsidP="00054040">
            <w:pPr>
              <w:spacing w:after="0" w:line="276" w:lineRule="auto"/>
              <w:jc w:val="center"/>
              <w:rPr>
                <w:rFonts w:ascii="Calibri" w:eastAsia="Times New Roman" w:hAnsi="Calibri" w:cs="Calibri"/>
                <w:b/>
                <w:bCs/>
                <w:noProof/>
                <w:color w:val="000000"/>
                <w:sz w:val="20"/>
                <w:szCs w:val="20"/>
                <w:lang w:bidi="he-IL"/>
              </w:rPr>
            </w:pPr>
            <w:r w:rsidRPr="002C2802">
              <w:rPr>
                <w:rFonts w:ascii="Calibri" w:eastAsia="Times New Roman" w:hAnsi="Calibri" w:cs="Calibri"/>
                <w:b/>
                <w:bCs/>
                <w:noProof/>
                <w:color w:val="000000"/>
                <w:sz w:val="20"/>
                <w:szCs w:val="20"/>
                <w:lang w:bidi="he-IL"/>
              </w:rPr>
              <w:lastRenderedPageBreak/>
              <w:t>IX Cuatrimestre</w:t>
            </w:r>
          </w:p>
        </w:tc>
        <w:tc>
          <w:tcPr>
            <w:tcW w:w="1145" w:type="dxa"/>
            <w:tcBorders>
              <w:top w:val="nil"/>
              <w:left w:val="nil"/>
              <w:bottom w:val="single" w:sz="8" w:space="0" w:color="auto"/>
              <w:right w:val="single" w:sz="8" w:space="0" w:color="auto"/>
            </w:tcBorders>
            <w:shd w:val="clear" w:color="000000" w:fill="FFFFFF"/>
            <w:noWrap/>
            <w:vAlign w:val="center"/>
            <w:hideMark/>
          </w:tcPr>
          <w:p w14:paraId="70D889A0" w14:textId="77777777" w:rsidR="00C5474A" w:rsidRDefault="00C5474A" w:rsidP="00054040">
            <w:pPr>
              <w:spacing w:after="0" w:line="276" w:lineRule="auto"/>
              <w:jc w:val="center"/>
              <w:rPr>
                <w:rFonts w:ascii="Calibri" w:eastAsia="Times New Roman" w:hAnsi="Calibri" w:cs="Calibri"/>
                <w:noProof/>
                <w:color w:val="000000"/>
                <w:lang w:bidi="he-IL"/>
              </w:rPr>
            </w:pPr>
            <w:r>
              <w:rPr>
                <w:rFonts w:ascii="Calibri" w:eastAsia="Times New Roman" w:hAnsi="Calibri" w:cs="Calibri"/>
                <w:noProof/>
                <w:color w:val="000000"/>
                <w:lang w:bidi="he-IL"/>
              </w:rPr>
              <w:t>CB-T</w:t>
            </w:r>
          </w:p>
          <w:p w14:paraId="3E24A5DA" w14:textId="77777777" w:rsidR="00C5474A" w:rsidRPr="002C2802" w:rsidRDefault="00C5474A" w:rsidP="00054040">
            <w:pPr>
              <w:spacing w:after="0" w:line="276" w:lineRule="auto"/>
              <w:jc w:val="center"/>
              <w:rPr>
                <w:rFonts w:ascii="Calibri" w:eastAsia="Times New Roman" w:hAnsi="Calibri" w:cs="Calibri"/>
                <w:noProof/>
                <w:color w:val="000000"/>
                <w:lang w:bidi="he-IL"/>
              </w:rPr>
            </w:pPr>
            <w:r>
              <w:rPr>
                <w:rFonts w:ascii="Calibri" w:eastAsia="Times New Roman" w:hAnsi="Calibri" w:cs="Calibri"/>
                <w:noProof/>
                <w:color w:val="000000"/>
                <w:lang w:bidi="he-IL"/>
              </w:rPr>
              <w:t>CB-SG</w:t>
            </w:r>
          </w:p>
        </w:tc>
        <w:tc>
          <w:tcPr>
            <w:tcW w:w="5033" w:type="dxa"/>
            <w:tcBorders>
              <w:top w:val="nil"/>
              <w:left w:val="nil"/>
              <w:bottom w:val="single" w:sz="8" w:space="0" w:color="auto"/>
              <w:right w:val="single" w:sz="8" w:space="0" w:color="auto"/>
            </w:tcBorders>
            <w:shd w:val="clear" w:color="000000" w:fill="FFFFFF"/>
            <w:vAlign w:val="center"/>
            <w:hideMark/>
          </w:tcPr>
          <w:p w14:paraId="1EFB773C" w14:textId="77777777" w:rsidR="00C5474A" w:rsidRDefault="00C5474A" w:rsidP="00054040">
            <w:pPr>
              <w:spacing w:after="0" w:line="276" w:lineRule="auto"/>
              <w:rPr>
                <w:rFonts w:ascii="Calibri" w:eastAsia="Times New Roman" w:hAnsi="Calibri" w:cs="Calibri"/>
                <w:noProof/>
                <w:color w:val="000000"/>
                <w:sz w:val="20"/>
                <w:szCs w:val="20"/>
                <w:lang w:bidi="he-IL"/>
              </w:rPr>
            </w:pPr>
            <w:r>
              <w:rPr>
                <w:rFonts w:ascii="Calibri" w:eastAsia="Times New Roman" w:hAnsi="Calibri" w:cs="Calibri"/>
                <w:noProof/>
                <w:color w:val="000000"/>
                <w:sz w:val="20"/>
                <w:szCs w:val="20"/>
                <w:lang w:bidi="he-IL"/>
              </w:rPr>
              <w:t xml:space="preserve">Tesina o </w:t>
            </w:r>
          </w:p>
          <w:p w14:paraId="301A06E0"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Pr>
                <w:rFonts w:ascii="Calibri" w:eastAsia="Times New Roman" w:hAnsi="Calibri" w:cs="Calibri"/>
                <w:noProof/>
                <w:color w:val="000000"/>
                <w:sz w:val="20"/>
                <w:szCs w:val="20"/>
                <w:lang w:bidi="he-IL"/>
              </w:rPr>
              <w:t>Seminario de graduación</w:t>
            </w:r>
          </w:p>
        </w:tc>
        <w:tc>
          <w:tcPr>
            <w:tcW w:w="1049" w:type="dxa"/>
            <w:tcBorders>
              <w:top w:val="nil"/>
              <w:left w:val="nil"/>
              <w:bottom w:val="single" w:sz="8" w:space="0" w:color="auto"/>
              <w:right w:val="single" w:sz="8" w:space="0" w:color="auto"/>
            </w:tcBorders>
            <w:shd w:val="clear" w:color="000000" w:fill="FFFFFF"/>
            <w:vAlign w:val="center"/>
            <w:hideMark/>
          </w:tcPr>
          <w:p w14:paraId="71867D30" w14:textId="77777777" w:rsidR="00C5474A" w:rsidRPr="002C2802" w:rsidRDefault="00C5474A" w:rsidP="00054040">
            <w:pPr>
              <w:spacing w:after="0" w:line="240" w:lineRule="auto"/>
              <w:jc w:val="center"/>
              <w:rPr>
                <w:rFonts w:ascii="Calibri" w:eastAsia="Times New Roman" w:hAnsi="Calibri" w:cs="Calibri"/>
                <w:noProof/>
                <w:color w:val="000000"/>
                <w:sz w:val="18"/>
                <w:szCs w:val="18"/>
                <w:lang w:bidi="he-IL"/>
              </w:rPr>
            </w:pPr>
            <w:r w:rsidRPr="002C2802">
              <w:rPr>
                <w:rFonts w:ascii="Calibri" w:eastAsia="Times New Roman" w:hAnsi="Calibri" w:cs="Calibri"/>
                <w:noProof/>
                <w:color w:val="000000"/>
                <w:sz w:val="18"/>
                <w:szCs w:val="18"/>
                <w:lang w:bidi="he-IL"/>
              </w:rPr>
              <w:t>Sin créditos</w:t>
            </w:r>
          </w:p>
        </w:tc>
        <w:tc>
          <w:tcPr>
            <w:tcW w:w="222" w:type="dxa"/>
            <w:vAlign w:val="center"/>
            <w:hideMark/>
          </w:tcPr>
          <w:p w14:paraId="4F7D9505"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r w:rsidR="00C5474A" w:rsidRPr="00B91247" w14:paraId="3A5ECFA0" w14:textId="77777777" w:rsidTr="00054040">
        <w:trPr>
          <w:trHeight w:val="20"/>
        </w:trPr>
        <w:tc>
          <w:tcPr>
            <w:tcW w:w="1325" w:type="dxa"/>
            <w:tcBorders>
              <w:top w:val="nil"/>
              <w:left w:val="single" w:sz="8" w:space="0" w:color="auto"/>
              <w:bottom w:val="single" w:sz="8" w:space="0" w:color="auto"/>
              <w:right w:val="single" w:sz="8" w:space="0" w:color="auto"/>
            </w:tcBorders>
            <w:shd w:val="clear" w:color="000000" w:fill="FFFFFF"/>
            <w:noWrap/>
            <w:vAlign w:val="center"/>
            <w:hideMark/>
          </w:tcPr>
          <w:p w14:paraId="405905D7" w14:textId="77777777" w:rsidR="00C5474A" w:rsidRPr="002C2802" w:rsidRDefault="00C5474A" w:rsidP="00054040">
            <w:pPr>
              <w:spacing w:after="0" w:line="276" w:lineRule="auto"/>
              <w:rPr>
                <w:rFonts w:ascii="Calibri" w:eastAsia="Times New Roman" w:hAnsi="Calibri" w:cs="Calibri"/>
                <w:noProof/>
                <w:color w:val="000000"/>
                <w:lang w:bidi="he-IL"/>
              </w:rPr>
            </w:pPr>
            <w:r w:rsidRPr="002C2802">
              <w:rPr>
                <w:rFonts w:ascii="Calibri" w:eastAsia="Times New Roman" w:hAnsi="Calibri" w:cs="Calibri"/>
                <w:noProof/>
                <w:color w:val="000000"/>
                <w:lang w:bidi="he-IL"/>
              </w:rPr>
              <w:t> </w:t>
            </w:r>
          </w:p>
        </w:tc>
        <w:tc>
          <w:tcPr>
            <w:tcW w:w="1145" w:type="dxa"/>
            <w:tcBorders>
              <w:top w:val="nil"/>
              <w:left w:val="nil"/>
              <w:bottom w:val="single" w:sz="8" w:space="0" w:color="auto"/>
              <w:right w:val="single" w:sz="8" w:space="0" w:color="auto"/>
            </w:tcBorders>
            <w:shd w:val="clear" w:color="000000" w:fill="FFFFFF"/>
            <w:noWrap/>
            <w:vAlign w:val="center"/>
            <w:hideMark/>
          </w:tcPr>
          <w:p w14:paraId="3241E199" w14:textId="77777777" w:rsidR="00C5474A" w:rsidRPr="002C2802" w:rsidRDefault="00C5474A" w:rsidP="00054040">
            <w:pPr>
              <w:spacing w:after="0" w:line="276" w:lineRule="auto"/>
              <w:jc w:val="center"/>
              <w:rPr>
                <w:rFonts w:ascii="Calibri" w:eastAsia="Times New Roman" w:hAnsi="Calibri" w:cs="Calibri"/>
                <w:b/>
                <w:bCs/>
                <w:noProof/>
                <w:color w:val="000000"/>
                <w:lang w:bidi="he-IL"/>
              </w:rPr>
            </w:pPr>
            <w:r w:rsidRPr="002C2802">
              <w:rPr>
                <w:rFonts w:ascii="Calibri" w:eastAsia="Times New Roman" w:hAnsi="Calibri" w:cs="Calibri"/>
                <w:b/>
                <w:bCs/>
                <w:noProof/>
                <w:color w:val="000000"/>
                <w:lang w:bidi="he-IL"/>
              </w:rPr>
              <w:t> </w:t>
            </w:r>
          </w:p>
        </w:tc>
        <w:tc>
          <w:tcPr>
            <w:tcW w:w="5033" w:type="dxa"/>
            <w:tcBorders>
              <w:top w:val="nil"/>
              <w:left w:val="nil"/>
              <w:bottom w:val="single" w:sz="8" w:space="0" w:color="auto"/>
              <w:right w:val="single" w:sz="8" w:space="0" w:color="auto"/>
            </w:tcBorders>
            <w:shd w:val="clear" w:color="000000" w:fill="FFFFFF"/>
            <w:vAlign w:val="center"/>
            <w:hideMark/>
          </w:tcPr>
          <w:p w14:paraId="247871EA" w14:textId="77777777" w:rsidR="00C5474A" w:rsidRPr="002C2802" w:rsidRDefault="00C5474A" w:rsidP="00054040">
            <w:pPr>
              <w:spacing w:after="0" w:line="276" w:lineRule="auto"/>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Total: 3</w:t>
            </w:r>
            <w:r w:rsidRPr="0062601E">
              <w:rPr>
                <w:rFonts w:ascii="Calibri" w:eastAsia="Times New Roman" w:hAnsi="Calibri" w:cs="Calibri"/>
                <w:noProof/>
                <w:color w:val="000000"/>
                <w:sz w:val="20"/>
                <w:szCs w:val="20"/>
                <w:lang w:bidi="he-IL"/>
              </w:rPr>
              <w:t>2</w:t>
            </w:r>
            <w:r w:rsidRPr="002C2802">
              <w:rPr>
                <w:rFonts w:ascii="Calibri" w:eastAsia="Times New Roman" w:hAnsi="Calibri" w:cs="Calibri"/>
                <w:noProof/>
                <w:color w:val="000000"/>
                <w:sz w:val="20"/>
                <w:szCs w:val="20"/>
                <w:lang w:bidi="he-IL"/>
              </w:rPr>
              <w:t xml:space="preserve"> cursos </w:t>
            </w:r>
          </w:p>
        </w:tc>
        <w:tc>
          <w:tcPr>
            <w:tcW w:w="1049" w:type="dxa"/>
            <w:tcBorders>
              <w:top w:val="nil"/>
              <w:left w:val="nil"/>
              <w:bottom w:val="single" w:sz="8" w:space="0" w:color="auto"/>
              <w:right w:val="single" w:sz="8" w:space="0" w:color="auto"/>
            </w:tcBorders>
            <w:shd w:val="clear" w:color="000000" w:fill="FFFFFF"/>
            <w:vAlign w:val="center"/>
            <w:hideMark/>
          </w:tcPr>
          <w:p w14:paraId="3BB6F4DA" w14:textId="77777777" w:rsidR="00C5474A" w:rsidRPr="002C2802" w:rsidRDefault="00C5474A" w:rsidP="00054040">
            <w:pPr>
              <w:spacing w:after="0" w:line="276" w:lineRule="auto"/>
              <w:jc w:val="center"/>
              <w:rPr>
                <w:rFonts w:ascii="Calibri" w:eastAsia="Times New Roman" w:hAnsi="Calibri" w:cs="Calibri"/>
                <w:noProof/>
                <w:color w:val="000000"/>
                <w:sz w:val="20"/>
                <w:szCs w:val="20"/>
                <w:lang w:bidi="he-IL"/>
              </w:rPr>
            </w:pPr>
            <w:r w:rsidRPr="002C2802">
              <w:rPr>
                <w:rFonts w:ascii="Calibri" w:eastAsia="Times New Roman" w:hAnsi="Calibri" w:cs="Calibri"/>
                <w:noProof/>
                <w:color w:val="000000"/>
                <w:sz w:val="20"/>
                <w:szCs w:val="20"/>
                <w:lang w:bidi="he-IL"/>
              </w:rPr>
              <w:t>12</w:t>
            </w:r>
            <w:r>
              <w:rPr>
                <w:rFonts w:ascii="Calibri" w:eastAsia="Times New Roman" w:hAnsi="Calibri" w:cs="Calibri"/>
                <w:noProof/>
                <w:color w:val="000000"/>
                <w:sz w:val="20"/>
                <w:szCs w:val="20"/>
                <w:lang w:bidi="he-IL"/>
              </w:rPr>
              <w:t>4</w:t>
            </w:r>
          </w:p>
        </w:tc>
        <w:tc>
          <w:tcPr>
            <w:tcW w:w="222" w:type="dxa"/>
            <w:vAlign w:val="center"/>
            <w:hideMark/>
          </w:tcPr>
          <w:p w14:paraId="74DC16AD" w14:textId="77777777" w:rsidR="00C5474A" w:rsidRPr="002C2802" w:rsidRDefault="00C5474A" w:rsidP="00054040">
            <w:pPr>
              <w:spacing w:after="0" w:line="276" w:lineRule="auto"/>
              <w:rPr>
                <w:rFonts w:ascii="Times New Roman" w:eastAsia="Times New Roman" w:hAnsi="Times New Roman" w:cs="Times New Roman"/>
                <w:noProof/>
                <w:sz w:val="20"/>
                <w:szCs w:val="20"/>
                <w:lang w:bidi="he-IL"/>
              </w:rPr>
            </w:pPr>
          </w:p>
        </w:tc>
      </w:tr>
    </w:tbl>
    <w:p w14:paraId="625012CD" w14:textId="77777777" w:rsidR="00C5474A" w:rsidRDefault="00C5474A" w:rsidP="00C5474A"/>
    <w:p w14:paraId="34EE2EF8" w14:textId="2737C708" w:rsidR="00C5474A" w:rsidRPr="00B91247" w:rsidRDefault="00C5474A" w:rsidP="0076384B">
      <w:pPr>
        <w:pStyle w:val="SPECIAL"/>
        <w:numPr>
          <w:ilvl w:val="0"/>
          <w:numId w:val="344"/>
        </w:numPr>
      </w:pPr>
      <w:bookmarkStart w:id="4" w:name="_Toc166526877"/>
      <w:r>
        <w:t>Programas de los cursos</w:t>
      </w:r>
      <w:bookmarkEnd w:id="4"/>
      <w:r>
        <w:t xml:space="preserve"> </w:t>
      </w:r>
    </w:p>
    <w:p w14:paraId="308CBA89" w14:textId="4CE42B23" w:rsidR="00C5474A" w:rsidRDefault="00C5474A" w:rsidP="00C5474A">
      <w:r>
        <w:t xml:space="preserve">A </w:t>
      </w:r>
      <w:r w:rsidR="000E2C44">
        <w:t>continuación,</w:t>
      </w:r>
      <w:r>
        <w:t xml:space="preserve"> se colocan los programas de los cursos</w:t>
      </w:r>
      <w:r w:rsidR="008A3CA4">
        <w:t xml:space="preserve"> del Bachillerato en Ciencias Bíblicas </w:t>
      </w:r>
      <w:r>
        <w:t>en el orden del Plan de</w:t>
      </w:r>
      <w:r w:rsidR="008A3CA4">
        <w:t xml:space="preserve"> estudio. </w:t>
      </w:r>
    </w:p>
    <w:p w14:paraId="14078C80" w14:textId="77777777" w:rsidR="00B04C58" w:rsidRDefault="00B04C58" w:rsidP="00366CAA">
      <w:pPr>
        <w:jc w:val="center"/>
        <w:rPr>
          <w:b/>
          <w:bCs/>
          <w:sz w:val="32"/>
          <w:szCs w:val="32"/>
          <w:lang w:val="es-ES"/>
        </w:rPr>
      </w:pPr>
    </w:p>
    <w:p w14:paraId="712D6C55" w14:textId="77777777" w:rsidR="00C5474A" w:rsidRDefault="00C5474A" w:rsidP="00366CAA">
      <w:pPr>
        <w:jc w:val="center"/>
        <w:rPr>
          <w:b/>
          <w:bCs/>
          <w:sz w:val="32"/>
          <w:szCs w:val="32"/>
          <w:lang w:val="es-ES"/>
        </w:rPr>
      </w:pPr>
    </w:p>
    <w:p w14:paraId="3B48758E" w14:textId="77777777" w:rsidR="00C5474A" w:rsidRDefault="00C5474A" w:rsidP="00366CAA">
      <w:pPr>
        <w:jc w:val="center"/>
        <w:rPr>
          <w:b/>
          <w:bCs/>
          <w:sz w:val="32"/>
          <w:szCs w:val="32"/>
          <w:lang w:val="es-ES"/>
        </w:rPr>
      </w:pPr>
    </w:p>
    <w:p w14:paraId="5E297032" w14:textId="77777777" w:rsidR="00C5474A" w:rsidRDefault="00C5474A" w:rsidP="00366CAA">
      <w:pPr>
        <w:jc w:val="center"/>
        <w:rPr>
          <w:b/>
          <w:bCs/>
          <w:sz w:val="32"/>
          <w:szCs w:val="32"/>
          <w:lang w:val="es-ES"/>
        </w:rPr>
      </w:pPr>
    </w:p>
    <w:p w14:paraId="115FEA7F" w14:textId="77777777" w:rsidR="00C5474A" w:rsidRDefault="00C5474A" w:rsidP="00366CAA">
      <w:pPr>
        <w:jc w:val="center"/>
        <w:rPr>
          <w:b/>
          <w:bCs/>
          <w:sz w:val="32"/>
          <w:szCs w:val="32"/>
          <w:lang w:val="es-ES"/>
        </w:rPr>
      </w:pPr>
    </w:p>
    <w:p w14:paraId="3874DF91" w14:textId="77777777" w:rsidR="00C5474A" w:rsidRDefault="00C5474A" w:rsidP="00366CAA">
      <w:pPr>
        <w:jc w:val="center"/>
        <w:rPr>
          <w:b/>
          <w:bCs/>
          <w:sz w:val="32"/>
          <w:szCs w:val="32"/>
          <w:lang w:val="es-ES"/>
        </w:rPr>
      </w:pPr>
    </w:p>
    <w:p w14:paraId="13EC4D33" w14:textId="77777777" w:rsidR="00C5474A" w:rsidRDefault="00C5474A" w:rsidP="00366CAA">
      <w:pPr>
        <w:jc w:val="center"/>
        <w:rPr>
          <w:b/>
          <w:bCs/>
          <w:sz w:val="32"/>
          <w:szCs w:val="32"/>
          <w:lang w:val="es-ES"/>
        </w:rPr>
      </w:pPr>
    </w:p>
    <w:p w14:paraId="052CCAA8" w14:textId="77777777" w:rsidR="00C5474A" w:rsidRDefault="00C5474A" w:rsidP="00366CAA">
      <w:pPr>
        <w:jc w:val="center"/>
        <w:rPr>
          <w:b/>
          <w:bCs/>
          <w:sz w:val="32"/>
          <w:szCs w:val="32"/>
          <w:lang w:val="es-ES"/>
        </w:rPr>
      </w:pPr>
    </w:p>
    <w:p w14:paraId="6EE241B9" w14:textId="77777777" w:rsidR="00C5474A" w:rsidRDefault="00C5474A" w:rsidP="00366CAA">
      <w:pPr>
        <w:jc w:val="center"/>
        <w:rPr>
          <w:b/>
          <w:bCs/>
          <w:sz w:val="32"/>
          <w:szCs w:val="32"/>
          <w:lang w:val="es-ES"/>
        </w:rPr>
      </w:pPr>
    </w:p>
    <w:p w14:paraId="1B39A054" w14:textId="77777777" w:rsidR="00C5474A" w:rsidRDefault="00C5474A" w:rsidP="00366CAA">
      <w:pPr>
        <w:jc w:val="center"/>
        <w:rPr>
          <w:b/>
          <w:bCs/>
          <w:sz w:val="32"/>
          <w:szCs w:val="32"/>
          <w:lang w:val="es-ES"/>
        </w:rPr>
      </w:pPr>
    </w:p>
    <w:p w14:paraId="705F1E09" w14:textId="77777777" w:rsidR="00B04C58" w:rsidRDefault="00B04C58" w:rsidP="00366CAA">
      <w:pPr>
        <w:jc w:val="center"/>
        <w:rPr>
          <w:b/>
          <w:bCs/>
          <w:sz w:val="32"/>
          <w:szCs w:val="32"/>
          <w:lang w:val="es-ES"/>
        </w:rPr>
      </w:pPr>
    </w:p>
    <w:p w14:paraId="62F8E95A" w14:textId="77777777" w:rsidR="00B04C58" w:rsidRDefault="00B04C58" w:rsidP="00366CAA">
      <w:pPr>
        <w:jc w:val="center"/>
        <w:rPr>
          <w:b/>
          <w:bCs/>
          <w:sz w:val="32"/>
          <w:szCs w:val="32"/>
          <w:lang w:val="es-ES"/>
        </w:rPr>
      </w:pPr>
    </w:p>
    <w:p w14:paraId="2FD8C6B0" w14:textId="77777777" w:rsidR="00B04C58" w:rsidRDefault="00B04C58" w:rsidP="00366CAA">
      <w:pPr>
        <w:jc w:val="center"/>
        <w:rPr>
          <w:b/>
          <w:bCs/>
          <w:sz w:val="32"/>
          <w:szCs w:val="32"/>
          <w:lang w:val="es-ES"/>
        </w:rPr>
      </w:pPr>
    </w:p>
    <w:p w14:paraId="1FFA0934" w14:textId="77777777" w:rsidR="00B04C58" w:rsidRDefault="00B04C58" w:rsidP="00366CAA">
      <w:pPr>
        <w:jc w:val="center"/>
        <w:rPr>
          <w:b/>
          <w:bCs/>
          <w:sz w:val="32"/>
          <w:szCs w:val="32"/>
          <w:lang w:val="es-ES"/>
        </w:rPr>
      </w:pPr>
    </w:p>
    <w:p w14:paraId="69BAA1D9" w14:textId="77777777" w:rsidR="00B04C58" w:rsidRDefault="00B04C58" w:rsidP="00366CAA">
      <w:pPr>
        <w:jc w:val="center"/>
        <w:rPr>
          <w:b/>
          <w:bCs/>
          <w:sz w:val="32"/>
          <w:szCs w:val="32"/>
          <w:lang w:val="es-ES"/>
        </w:rPr>
      </w:pPr>
    </w:p>
    <w:p w14:paraId="35F2D91B" w14:textId="77777777" w:rsidR="004E17F5" w:rsidRDefault="004E17F5" w:rsidP="00366CAA">
      <w:pPr>
        <w:jc w:val="center"/>
        <w:rPr>
          <w:b/>
          <w:bCs/>
          <w:sz w:val="32"/>
          <w:szCs w:val="32"/>
          <w:lang w:val="es-ES"/>
        </w:rPr>
      </w:pPr>
    </w:p>
    <w:p w14:paraId="274DA9DC" w14:textId="77777777" w:rsidR="00B04C58" w:rsidRDefault="00B04C58" w:rsidP="00366CAA">
      <w:pPr>
        <w:jc w:val="center"/>
        <w:rPr>
          <w:b/>
          <w:bCs/>
          <w:sz w:val="32"/>
          <w:szCs w:val="32"/>
          <w:lang w:val="es-ES"/>
        </w:rPr>
      </w:pPr>
    </w:p>
    <w:p w14:paraId="6FFA8D91" w14:textId="37DFFF30" w:rsidR="0064431E" w:rsidRPr="006B5A49" w:rsidRDefault="00366CAA" w:rsidP="00C5474A">
      <w:pPr>
        <w:pStyle w:val="SPECIAL2"/>
      </w:pPr>
      <w:bookmarkStart w:id="5" w:name="_Toc166526878"/>
      <w:r w:rsidRPr="006B5A49">
        <w:lastRenderedPageBreak/>
        <w:t>I CUATRIMESTRE</w:t>
      </w:r>
      <w:bookmarkEnd w:id="5"/>
    </w:p>
    <w:p w14:paraId="4EF89C84" w14:textId="77777777" w:rsidR="00366CAA" w:rsidRDefault="00366CAA" w:rsidP="00366CAA">
      <w:pPr>
        <w:jc w:val="center"/>
        <w:rPr>
          <w:b/>
          <w:bCs/>
          <w:sz w:val="32"/>
          <w:szCs w:val="32"/>
          <w:lang w:val="es-ES"/>
        </w:rPr>
      </w:pPr>
    </w:p>
    <w:p w14:paraId="3E9D92AB" w14:textId="2A97B537" w:rsidR="00366CAA" w:rsidRPr="006B5A49" w:rsidRDefault="00DD16F2" w:rsidP="00366CAA">
      <w:pPr>
        <w:rPr>
          <w:sz w:val="24"/>
          <w:szCs w:val="24"/>
        </w:rPr>
      </w:pPr>
      <w:hyperlink w:anchor="CTX104" w:history="1">
        <w:r w:rsidR="00366CAA" w:rsidRPr="00E34FA7">
          <w:rPr>
            <w:rStyle w:val="Hipervnculo"/>
            <w:sz w:val="24"/>
            <w:szCs w:val="24"/>
            <w:lang w:val="es-ES"/>
          </w:rPr>
          <w:t>CTX104 Comunicación</w:t>
        </w:r>
        <w:r w:rsidR="00366CAA" w:rsidRPr="00E34FA7">
          <w:rPr>
            <w:rStyle w:val="Hipervnculo"/>
            <w:sz w:val="24"/>
            <w:szCs w:val="24"/>
          </w:rPr>
          <w:t xml:space="preserve"> Escrita</w:t>
        </w:r>
      </w:hyperlink>
    </w:p>
    <w:p w14:paraId="2F22C5C2" w14:textId="4B2657F0" w:rsidR="00366CAA" w:rsidRPr="006B5A49" w:rsidRDefault="00DD16F2" w:rsidP="00366CAA">
      <w:pPr>
        <w:rPr>
          <w:sz w:val="24"/>
          <w:szCs w:val="24"/>
        </w:rPr>
      </w:pPr>
      <w:hyperlink w:anchor="CTX106" w:history="1">
        <w:r w:rsidR="00366CAA" w:rsidRPr="001C433D">
          <w:rPr>
            <w:rStyle w:val="Hipervnculo"/>
            <w:sz w:val="24"/>
            <w:szCs w:val="24"/>
          </w:rPr>
          <w:t>CTX106 El Quehacer Teológico</w:t>
        </w:r>
      </w:hyperlink>
    </w:p>
    <w:p w14:paraId="1F98DC43" w14:textId="091128A9" w:rsidR="00366CAA" w:rsidRPr="006B5A49" w:rsidRDefault="00DD16F2" w:rsidP="00366CAA">
      <w:pPr>
        <w:rPr>
          <w:sz w:val="24"/>
          <w:szCs w:val="24"/>
        </w:rPr>
      </w:pPr>
      <w:hyperlink w:anchor="CTX102" w:history="1">
        <w:r w:rsidR="00366CAA" w:rsidRPr="00497DDB">
          <w:rPr>
            <w:rStyle w:val="Hipervnculo"/>
            <w:sz w:val="24"/>
            <w:szCs w:val="24"/>
          </w:rPr>
          <w:t>CTX102 Introducción a la Sociología</w:t>
        </w:r>
      </w:hyperlink>
    </w:p>
    <w:p w14:paraId="794826FE" w14:textId="114D16BF" w:rsidR="00366CAA" w:rsidRPr="006B5A49" w:rsidRDefault="00DD16F2" w:rsidP="00366CAA">
      <w:pPr>
        <w:rPr>
          <w:sz w:val="24"/>
          <w:szCs w:val="24"/>
        </w:rPr>
      </w:pPr>
      <w:hyperlink w:anchor="CBX104" w:history="1">
        <w:r w:rsidR="00366CAA" w:rsidRPr="00497DDB">
          <w:rPr>
            <w:rStyle w:val="Hipervnculo"/>
            <w:sz w:val="24"/>
            <w:szCs w:val="24"/>
          </w:rPr>
          <w:t>CBX104 Introducción a la Biblia</w:t>
        </w:r>
      </w:hyperlink>
    </w:p>
    <w:p w14:paraId="3894F13D" w14:textId="77777777" w:rsidR="0072702D" w:rsidRDefault="0072702D" w:rsidP="00366CAA">
      <w:pPr>
        <w:rPr>
          <w:sz w:val="28"/>
          <w:szCs w:val="28"/>
        </w:rPr>
      </w:pPr>
    </w:p>
    <w:p w14:paraId="67A4F048" w14:textId="77777777" w:rsidR="0072702D" w:rsidRDefault="0072702D" w:rsidP="00366CAA">
      <w:pPr>
        <w:rPr>
          <w:sz w:val="28"/>
          <w:szCs w:val="28"/>
        </w:rPr>
      </w:pPr>
    </w:p>
    <w:p w14:paraId="2E7FE336" w14:textId="77777777" w:rsidR="0072702D" w:rsidRDefault="0072702D" w:rsidP="00366CAA">
      <w:pPr>
        <w:rPr>
          <w:sz w:val="28"/>
          <w:szCs w:val="28"/>
        </w:rPr>
      </w:pPr>
    </w:p>
    <w:p w14:paraId="53CE6CB9" w14:textId="77777777" w:rsidR="0072702D" w:rsidRDefault="0072702D" w:rsidP="00366CAA">
      <w:pPr>
        <w:rPr>
          <w:sz w:val="28"/>
          <w:szCs w:val="28"/>
        </w:rPr>
      </w:pPr>
    </w:p>
    <w:p w14:paraId="47557B0C" w14:textId="77777777" w:rsidR="0072702D" w:rsidRDefault="0072702D" w:rsidP="00366CAA">
      <w:pPr>
        <w:rPr>
          <w:sz w:val="28"/>
          <w:szCs w:val="28"/>
        </w:rPr>
      </w:pPr>
    </w:p>
    <w:p w14:paraId="7D64E94D" w14:textId="77777777" w:rsidR="0072702D" w:rsidRDefault="0072702D" w:rsidP="00366CAA">
      <w:pPr>
        <w:rPr>
          <w:sz w:val="28"/>
          <w:szCs w:val="28"/>
        </w:rPr>
      </w:pPr>
    </w:p>
    <w:p w14:paraId="62E1E148" w14:textId="77777777" w:rsidR="0072702D" w:rsidRDefault="0072702D" w:rsidP="00366CAA">
      <w:pPr>
        <w:rPr>
          <w:sz w:val="28"/>
          <w:szCs w:val="28"/>
        </w:rPr>
      </w:pPr>
    </w:p>
    <w:p w14:paraId="3E461C35" w14:textId="77777777" w:rsidR="0072702D" w:rsidRDefault="0072702D" w:rsidP="00366CAA">
      <w:pPr>
        <w:rPr>
          <w:sz w:val="28"/>
          <w:szCs w:val="28"/>
        </w:rPr>
      </w:pPr>
    </w:p>
    <w:p w14:paraId="15862DBA" w14:textId="77777777" w:rsidR="0072702D" w:rsidRDefault="0072702D" w:rsidP="00366CAA">
      <w:pPr>
        <w:rPr>
          <w:sz w:val="28"/>
          <w:szCs w:val="28"/>
        </w:rPr>
      </w:pPr>
    </w:p>
    <w:p w14:paraId="0916242E" w14:textId="77777777" w:rsidR="0072702D" w:rsidRDefault="0072702D" w:rsidP="00366CAA">
      <w:pPr>
        <w:rPr>
          <w:sz w:val="28"/>
          <w:szCs w:val="28"/>
        </w:rPr>
      </w:pPr>
    </w:p>
    <w:p w14:paraId="2FC42A1A" w14:textId="77777777" w:rsidR="0072702D" w:rsidRDefault="0072702D" w:rsidP="00366CAA">
      <w:pPr>
        <w:rPr>
          <w:sz w:val="28"/>
          <w:szCs w:val="28"/>
        </w:rPr>
      </w:pPr>
    </w:p>
    <w:p w14:paraId="173D774E" w14:textId="77777777" w:rsidR="0072702D" w:rsidRDefault="0072702D" w:rsidP="00366CAA">
      <w:pPr>
        <w:rPr>
          <w:sz w:val="28"/>
          <w:szCs w:val="28"/>
        </w:rPr>
      </w:pPr>
    </w:p>
    <w:p w14:paraId="7D586664" w14:textId="77777777" w:rsidR="0072702D" w:rsidRDefault="0072702D" w:rsidP="00366CAA">
      <w:pPr>
        <w:rPr>
          <w:sz w:val="28"/>
          <w:szCs w:val="28"/>
        </w:rPr>
      </w:pPr>
    </w:p>
    <w:p w14:paraId="639AB2E1" w14:textId="77777777" w:rsidR="0072702D" w:rsidRDefault="0072702D" w:rsidP="00366CAA">
      <w:pPr>
        <w:rPr>
          <w:sz w:val="28"/>
          <w:szCs w:val="28"/>
        </w:rPr>
      </w:pPr>
    </w:p>
    <w:p w14:paraId="1D6203B5" w14:textId="77777777" w:rsidR="0072702D" w:rsidRDefault="0072702D" w:rsidP="00366CAA">
      <w:pPr>
        <w:rPr>
          <w:sz w:val="28"/>
          <w:szCs w:val="28"/>
        </w:rPr>
      </w:pPr>
    </w:p>
    <w:p w14:paraId="0D750653" w14:textId="77777777" w:rsidR="0072702D" w:rsidRDefault="0072702D" w:rsidP="00366CAA">
      <w:pPr>
        <w:rPr>
          <w:sz w:val="28"/>
          <w:szCs w:val="28"/>
        </w:rPr>
      </w:pPr>
    </w:p>
    <w:p w14:paraId="1EDC7E42" w14:textId="77777777" w:rsidR="0072702D" w:rsidRDefault="0072702D" w:rsidP="00366CAA">
      <w:pPr>
        <w:rPr>
          <w:sz w:val="28"/>
          <w:szCs w:val="28"/>
        </w:rPr>
      </w:pPr>
    </w:p>
    <w:p w14:paraId="20C25BA5" w14:textId="77777777" w:rsidR="00BC0438" w:rsidRDefault="00BC0438" w:rsidP="00366CAA">
      <w:pPr>
        <w:rPr>
          <w:sz w:val="28"/>
          <w:szCs w:val="28"/>
        </w:rPr>
      </w:pPr>
    </w:p>
    <w:p w14:paraId="7B4655EA" w14:textId="7D65CC9D" w:rsidR="00272C91" w:rsidRDefault="00272C91">
      <w:pPr>
        <w:rPr>
          <w:rFonts w:cs="Arial"/>
          <w:color w:val="000000" w:themeColor="text1"/>
        </w:rPr>
      </w:pPr>
      <w:r>
        <w:rPr>
          <w:rFonts w:cs="Arial"/>
          <w:color w:val="000000" w:themeColor="text1"/>
        </w:rPr>
        <w:br w:type="page"/>
      </w:r>
    </w:p>
    <w:p w14:paraId="720154C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Arial" w:eastAsia="Times New Roman" w:hAnsi="Arial" w:cs="Arial"/>
          <w:kern w:val="0"/>
          <w:sz w:val="24"/>
          <w:szCs w:val="20"/>
          <w:lang w:val="es-ES_tradnl" w:eastAsia="es-CR"/>
          <w14:ligatures w14:val="none"/>
        </w:rPr>
      </w:pPr>
      <w:r w:rsidRPr="00C97FEA">
        <w:rPr>
          <w:rFonts w:ascii="Arial" w:eastAsia="Times New Roman" w:hAnsi="Arial" w:cs="Arial"/>
          <w:noProof/>
          <w:kern w:val="0"/>
          <w:sz w:val="24"/>
          <w:szCs w:val="24"/>
          <w:lang w:eastAsia="es-CR"/>
          <w14:ligatures w14:val="none"/>
        </w:rPr>
        <w:lastRenderedPageBreak/>
        <w:drawing>
          <wp:inline distT="0" distB="0" distL="0" distR="0" wp14:anchorId="570F86EC" wp14:editId="09B7EEB8">
            <wp:extent cx="2009775" cy="1548377"/>
            <wp:effectExtent l="0" t="0" r="0" b="0"/>
            <wp:docPr id="2002528526"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28526"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381F4930" w14:textId="77777777" w:rsidR="00C97FEA" w:rsidRPr="00C97FEA" w:rsidRDefault="00C97FEA" w:rsidP="00C97FEA">
      <w:pPr>
        <w:widowControl w:val="0"/>
        <w:overflowPunct w:val="0"/>
        <w:autoSpaceDE w:val="0"/>
        <w:autoSpaceDN w:val="0"/>
        <w:adjustRightInd w:val="0"/>
        <w:spacing w:before="120" w:after="0" w:line="240" w:lineRule="auto"/>
        <w:jc w:val="center"/>
        <w:rPr>
          <w:rFonts w:ascii="Arial" w:eastAsia="Times New Roman" w:hAnsi="Arial" w:cs="Arial"/>
          <w:kern w:val="0"/>
          <w:sz w:val="24"/>
          <w:szCs w:val="20"/>
          <w:lang w:val="es-ES_tradnl" w:eastAsia="es-CR"/>
          <w14:ligatures w14:val="none"/>
        </w:rPr>
      </w:pPr>
    </w:p>
    <w:p w14:paraId="23479513" w14:textId="77777777" w:rsidR="00C97FEA" w:rsidRPr="00C97FEA" w:rsidRDefault="00C97FEA" w:rsidP="00C97FEA">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r w:rsidRPr="00C97FEA">
        <w:rPr>
          <w:rFonts w:ascii="Calibri" w:eastAsia="Times New Roman" w:hAnsi="Calibri" w:cs="Arial"/>
          <w:b/>
          <w:spacing w:val="-2"/>
          <w:kern w:val="0"/>
          <w:sz w:val="24"/>
          <w:szCs w:val="24"/>
          <w:lang w:eastAsia="es-CR"/>
          <w14:ligatures w14:val="none"/>
        </w:rPr>
        <w:t>Universidad Bíblica Latinoamericana</w:t>
      </w:r>
    </w:p>
    <w:p w14:paraId="0C2EBD31" w14:textId="77777777" w:rsidR="00C97FEA" w:rsidRPr="00C97FEA" w:rsidRDefault="00C97FEA" w:rsidP="00C97FEA">
      <w:pPr>
        <w:widowControl w:val="0"/>
        <w:overflowPunct w:val="0"/>
        <w:autoSpaceDE w:val="0"/>
        <w:autoSpaceDN w:val="0"/>
        <w:adjustRightInd w:val="0"/>
        <w:spacing w:after="0" w:line="240" w:lineRule="auto"/>
        <w:jc w:val="center"/>
        <w:rPr>
          <w:rFonts w:ascii="Times New Roman" w:eastAsia="Times New Roman" w:hAnsi="Times New Roman" w:cs="Times New Roman"/>
          <w:kern w:val="0"/>
          <w:sz w:val="2"/>
          <w:szCs w:val="20"/>
          <w:lang w:eastAsia="es-CR"/>
          <w14:ligatures w14:val="none"/>
        </w:rPr>
      </w:pPr>
    </w:p>
    <w:p w14:paraId="781CB89F" w14:textId="77777777" w:rsidR="00C97FEA" w:rsidRPr="00C97FEA" w:rsidRDefault="00C97FEA" w:rsidP="00C97FEA">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r w:rsidRPr="00C97FEA">
        <w:rPr>
          <w:rFonts w:ascii="Calibri" w:eastAsia="Times New Roman" w:hAnsi="Calibri" w:cs="Arial"/>
          <w:b/>
          <w:i/>
          <w:spacing w:val="-2"/>
          <w:kern w:val="0"/>
          <w:sz w:val="24"/>
          <w:szCs w:val="24"/>
          <w:lang w:eastAsia="es-CR"/>
          <w14:ligatures w14:val="none"/>
        </w:rPr>
        <w:t>Facultad de Teología</w:t>
      </w:r>
    </w:p>
    <w:p w14:paraId="00E391F8" w14:textId="657668F9"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r w:rsidRPr="00C97FEA">
        <w:rPr>
          <w:rFonts w:ascii="Calibri" w:eastAsia="Times New Roman" w:hAnsi="Calibri" w:cs="Arial"/>
          <w:b/>
          <w:bCs/>
          <w:kern w:val="0"/>
          <w:sz w:val="24"/>
          <w:szCs w:val="20"/>
          <w:lang w:val="es-ES_tradnl" w:eastAsia="es-CR"/>
          <w14:ligatures w14:val="none"/>
        </w:rPr>
        <w:t xml:space="preserve">Bachillerato en Ciencias </w:t>
      </w:r>
      <w:r w:rsidR="00B53287">
        <w:rPr>
          <w:rFonts w:ascii="Calibri" w:eastAsia="Times New Roman" w:hAnsi="Calibri" w:cs="Arial"/>
          <w:b/>
          <w:bCs/>
          <w:kern w:val="0"/>
          <w:sz w:val="24"/>
          <w:szCs w:val="20"/>
          <w:lang w:val="es-ES_tradnl" w:eastAsia="es-CR"/>
          <w14:ligatures w14:val="none"/>
        </w:rPr>
        <w:t>Bíblicas</w:t>
      </w:r>
    </w:p>
    <w:p w14:paraId="35638148" w14:textId="77777777" w:rsidR="00C97FEA" w:rsidRPr="00C97FEA" w:rsidRDefault="00C97FEA" w:rsidP="00C97FEA">
      <w:pPr>
        <w:widowControl w:val="0"/>
        <w:overflowPunct w:val="0"/>
        <w:autoSpaceDE w:val="0"/>
        <w:autoSpaceDN w:val="0"/>
        <w:adjustRightInd w:val="0"/>
        <w:spacing w:after="0" w:line="240" w:lineRule="auto"/>
        <w:rPr>
          <w:rFonts w:ascii="Calibri" w:eastAsia="Times New Roman" w:hAnsi="Calibri" w:cs="Arial"/>
          <w:kern w:val="0"/>
          <w:sz w:val="24"/>
          <w:szCs w:val="20"/>
          <w:lang w:val="es-ES_tradnl" w:eastAsia="es-CR"/>
          <w14:ligatures w14:val="none"/>
        </w:rPr>
      </w:pPr>
    </w:p>
    <w:p w14:paraId="456364C0"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0"/>
          <w:lang w:eastAsia="es-CR"/>
          <w14:ligatures w14:val="none"/>
        </w:rPr>
      </w:pPr>
      <w:r w:rsidRPr="00C97FEA">
        <w:rPr>
          <w:rFonts w:ascii="Calibri" w:eastAsia="Times New Roman" w:hAnsi="Calibri" w:cs="Arial"/>
          <w:b/>
          <w:kern w:val="0"/>
          <w:sz w:val="24"/>
          <w:szCs w:val="20"/>
          <w:lang w:eastAsia="es-CR"/>
          <w14:ligatures w14:val="none"/>
        </w:rPr>
        <w:t>Sílabo</w:t>
      </w:r>
    </w:p>
    <w:p w14:paraId="111CE488"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0"/>
          <w:lang w:eastAsia="es-CR"/>
          <w14:ligatures w14:val="none"/>
        </w:rPr>
      </w:pPr>
      <w:bookmarkStart w:id="6" w:name="CTX104"/>
      <w:r w:rsidRPr="00C97FEA">
        <w:rPr>
          <w:rFonts w:ascii="Calibri" w:eastAsia="Times New Roman" w:hAnsi="Calibri" w:cs="Arial"/>
          <w:b/>
          <w:kern w:val="0"/>
          <w:sz w:val="24"/>
          <w:szCs w:val="20"/>
          <w:lang w:eastAsia="es-CR"/>
          <w14:ligatures w14:val="none"/>
        </w:rPr>
        <w:t>Comunicación Escrita</w:t>
      </w:r>
    </w:p>
    <w:bookmarkEnd w:id="6"/>
    <w:p w14:paraId="1C77F38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Arial" w:eastAsia="Times New Roman" w:hAnsi="Arial" w:cs="Arial"/>
          <w:b/>
          <w:kern w:val="0"/>
          <w:sz w:val="24"/>
          <w:szCs w:val="20"/>
          <w:lang w:eastAsia="es-CR"/>
          <w14:ligatures w14:val="none"/>
        </w:rPr>
      </w:pPr>
    </w:p>
    <w:p w14:paraId="40C62569" w14:textId="77777777" w:rsidR="00C97FEA" w:rsidRPr="00C97FEA" w:rsidRDefault="00C97FEA" w:rsidP="00C97FEA">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aconcuadrcula"/>
        <w:tblW w:w="0" w:type="auto"/>
        <w:tblLook w:val="04A0" w:firstRow="1" w:lastRow="0" w:firstColumn="1" w:lastColumn="0" w:noHBand="0" w:noVBand="1"/>
      </w:tblPr>
      <w:tblGrid>
        <w:gridCol w:w="1666"/>
        <w:gridCol w:w="7162"/>
      </w:tblGrid>
      <w:tr w:rsidR="00C97FEA" w:rsidRPr="00C97FEA" w14:paraId="0763D39B" w14:textId="77777777" w:rsidTr="001D35C6">
        <w:tc>
          <w:tcPr>
            <w:tcW w:w="1668" w:type="dxa"/>
          </w:tcPr>
          <w:p w14:paraId="0C95FCCC"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Código</w:t>
            </w:r>
          </w:p>
        </w:tc>
        <w:tc>
          <w:tcPr>
            <w:tcW w:w="7386" w:type="dxa"/>
          </w:tcPr>
          <w:p w14:paraId="710FD4CE"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CTX 104</w:t>
            </w:r>
          </w:p>
        </w:tc>
      </w:tr>
      <w:tr w:rsidR="00C97FEA" w:rsidRPr="00C97FEA" w14:paraId="649C5AEA" w14:textId="77777777" w:rsidTr="001D35C6">
        <w:tc>
          <w:tcPr>
            <w:tcW w:w="1668" w:type="dxa"/>
          </w:tcPr>
          <w:p w14:paraId="1BB9A306"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Créditos</w:t>
            </w:r>
          </w:p>
        </w:tc>
        <w:tc>
          <w:tcPr>
            <w:tcW w:w="7386" w:type="dxa"/>
          </w:tcPr>
          <w:p w14:paraId="3BAFDC1F"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3</w:t>
            </w:r>
          </w:p>
        </w:tc>
      </w:tr>
      <w:tr w:rsidR="00C97FEA" w:rsidRPr="00C97FEA" w14:paraId="36F1F750" w14:textId="77777777" w:rsidTr="001D35C6">
        <w:tc>
          <w:tcPr>
            <w:tcW w:w="1668" w:type="dxa"/>
          </w:tcPr>
          <w:p w14:paraId="5D58B20D"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Requisitos</w:t>
            </w:r>
          </w:p>
        </w:tc>
        <w:tc>
          <w:tcPr>
            <w:tcW w:w="7386" w:type="dxa"/>
          </w:tcPr>
          <w:p w14:paraId="2EB37DE8"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Ninguno</w:t>
            </w:r>
          </w:p>
        </w:tc>
      </w:tr>
      <w:tr w:rsidR="00C97FEA" w:rsidRPr="00C97FEA" w14:paraId="191E7C93" w14:textId="77777777" w:rsidTr="001D35C6">
        <w:tc>
          <w:tcPr>
            <w:tcW w:w="1668" w:type="dxa"/>
          </w:tcPr>
          <w:p w14:paraId="7BA97D38"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Modalidad</w:t>
            </w:r>
          </w:p>
        </w:tc>
        <w:tc>
          <w:tcPr>
            <w:tcW w:w="7386" w:type="dxa"/>
          </w:tcPr>
          <w:p w14:paraId="3035C049"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Virtual</w:t>
            </w:r>
          </w:p>
        </w:tc>
      </w:tr>
      <w:tr w:rsidR="00C97FEA" w:rsidRPr="00C97FEA" w14:paraId="2AD82A17" w14:textId="77777777" w:rsidTr="001D35C6">
        <w:tc>
          <w:tcPr>
            <w:tcW w:w="1668" w:type="dxa"/>
          </w:tcPr>
          <w:p w14:paraId="419DD4E4"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Naturaleza</w:t>
            </w:r>
          </w:p>
        </w:tc>
        <w:tc>
          <w:tcPr>
            <w:tcW w:w="7386" w:type="dxa"/>
          </w:tcPr>
          <w:p w14:paraId="5EFCFF3A"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Teórico-práctico</w:t>
            </w:r>
          </w:p>
        </w:tc>
      </w:tr>
      <w:tr w:rsidR="00C97FEA" w:rsidRPr="00C97FEA" w14:paraId="2B1B2ED0" w14:textId="77777777" w:rsidTr="001D35C6">
        <w:tc>
          <w:tcPr>
            <w:tcW w:w="1668" w:type="dxa"/>
          </w:tcPr>
          <w:p w14:paraId="41D37BEA"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Periodo</w:t>
            </w:r>
          </w:p>
        </w:tc>
        <w:tc>
          <w:tcPr>
            <w:tcW w:w="7386" w:type="dxa"/>
          </w:tcPr>
          <w:p w14:paraId="69458564"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Cuatrimestral (15 semanas lectivas)</w:t>
            </w:r>
          </w:p>
        </w:tc>
      </w:tr>
      <w:tr w:rsidR="00C97FEA" w:rsidRPr="00C97FEA" w14:paraId="01278C20" w14:textId="77777777" w:rsidTr="001D35C6">
        <w:tc>
          <w:tcPr>
            <w:tcW w:w="1668" w:type="dxa"/>
          </w:tcPr>
          <w:p w14:paraId="4CDFA11A"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Nivel</w:t>
            </w:r>
          </w:p>
        </w:tc>
        <w:tc>
          <w:tcPr>
            <w:tcW w:w="7386" w:type="dxa"/>
          </w:tcPr>
          <w:p w14:paraId="3A343D7C"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I Cuatrimestre</w:t>
            </w:r>
          </w:p>
        </w:tc>
      </w:tr>
      <w:tr w:rsidR="00C97FEA" w:rsidRPr="00C97FEA" w14:paraId="18E866AB" w14:textId="77777777" w:rsidTr="001D35C6">
        <w:tc>
          <w:tcPr>
            <w:tcW w:w="1668" w:type="dxa"/>
          </w:tcPr>
          <w:p w14:paraId="65376570"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Horario</w:t>
            </w:r>
          </w:p>
        </w:tc>
        <w:tc>
          <w:tcPr>
            <w:tcW w:w="7386" w:type="dxa"/>
          </w:tcPr>
          <w:p w14:paraId="193B7446"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El curso requiere de 9 horas de trabajo semanal</w:t>
            </w:r>
          </w:p>
        </w:tc>
      </w:tr>
      <w:tr w:rsidR="00C97FEA" w:rsidRPr="00C97FEA" w14:paraId="3DEA6430" w14:textId="77777777" w:rsidTr="001D35C6">
        <w:tc>
          <w:tcPr>
            <w:tcW w:w="1668" w:type="dxa"/>
          </w:tcPr>
          <w:p w14:paraId="26B75B4E"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Aula</w:t>
            </w:r>
          </w:p>
        </w:tc>
        <w:tc>
          <w:tcPr>
            <w:tcW w:w="7386" w:type="dxa"/>
          </w:tcPr>
          <w:p w14:paraId="6336871E" w14:textId="77777777" w:rsidR="00C97FEA" w:rsidRPr="00C97FEA" w:rsidRDefault="00C97FEA" w:rsidP="00C97FEA">
            <w:pPr>
              <w:widowControl w:val="0"/>
              <w:overflowPunct w:val="0"/>
              <w:rPr>
                <w:rFonts w:eastAsia="Times New Roman"/>
                <w:lang w:eastAsia="es-CR"/>
              </w:rPr>
            </w:pPr>
            <w:r w:rsidRPr="00C97FEA">
              <w:rPr>
                <w:rFonts w:eastAsia="Times New Roman"/>
                <w:lang w:eastAsia="es-CR"/>
              </w:rPr>
              <w:t>Plataforma virtual de la UBL</w:t>
            </w:r>
          </w:p>
        </w:tc>
      </w:tr>
      <w:tr w:rsidR="00C97FEA" w:rsidRPr="00C97FEA" w14:paraId="4E3DB782" w14:textId="77777777" w:rsidTr="001D35C6">
        <w:tc>
          <w:tcPr>
            <w:tcW w:w="1668" w:type="dxa"/>
          </w:tcPr>
          <w:p w14:paraId="64125A8E" w14:textId="77777777" w:rsidR="00C97FEA" w:rsidRPr="00C97FEA" w:rsidRDefault="00C97FEA" w:rsidP="00C97FEA">
            <w:pPr>
              <w:widowControl w:val="0"/>
              <w:overflowPunct w:val="0"/>
              <w:rPr>
                <w:rFonts w:eastAsia="Times New Roman"/>
                <w:b/>
                <w:lang w:eastAsia="es-CR"/>
              </w:rPr>
            </w:pPr>
            <w:r w:rsidRPr="00C97FEA">
              <w:rPr>
                <w:rFonts w:eastAsia="Times New Roman"/>
                <w:b/>
                <w:lang w:eastAsia="es-CR"/>
              </w:rPr>
              <w:t>Docente</w:t>
            </w:r>
          </w:p>
        </w:tc>
        <w:tc>
          <w:tcPr>
            <w:tcW w:w="7386" w:type="dxa"/>
          </w:tcPr>
          <w:p w14:paraId="2F28E09D" w14:textId="77777777" w:rsidR="00C97FEA" w:rsidRPr="00C97FEA" w:rsidRDefault="00C97FEA" w:rsidP="00C97FEA">
            <w:pPr>
              <w:widowControl w:val="0"/>
              <w:overflowPunct w:val="0"/>
              <w:rPr>
                <w:rFonts w:eastAsia="Times New Roman"/>
                <w:lang w:eastAsia="es-CR"/>
              </w:rPr>
            </w:pPr>
          </w:p>
        </w:tc>
      </w:tr>
      <w:tr w:rsidR="00C97FEA" w:rsidRPr="00C97FEA" w14:paraId="28CFBC73" w14:textId="77777777" w:rsidTr="001D35C6">
        <w:tc>
          <w:tcPr>
            <w:tcW w:w="1668" w:type="dxa"/>
            <w:vAlign w:val="center"/>
          </w:tcPr>
          <w:p w14:paraId="30B5D337" w14:textId="77777777" w:rsidR="00C97FEA" w:rsidRPr="00C97FEA" w:rsidRDefault="00C97FEA" w:rsidP="00C97FEA">
            <w:pPr>
              <w:widowControl w:val="0"/>
              <w:overflowPunct w:val="0"/>
              <w:rPr>
                <w:rFonts w:eastAsia="Times New Roman"/>
                <w:lang w:eastAsia="es-CR"/>
              </w:rPr>
            </w:pPr>
            <w:r w:rsidRPr="00C97FEA">
              <w:rPr>
                <w:rFonts w:eastAsia="Times New Roman"/>
                <w:b/>
                <w:lang w:eastAsia="es-CR"/>
              </w:rPr>
              <w:t>Instrucciones administrativas</w:t>
            </w:r>
          </w:p>
        </w:tc>
        <w:tc>
          <w:tcPr>
            <w:tcW w:w="7386" w:type="dxa"/>
          </w:tcPr>
          <w:p w14:paraId="4A74A86A" w14:textId="77777777" w:rsidR="00C97FEA" w:rsidRPr="00C97FEA" w:rsidRDefault="00C97FEA" w:rsidP="00C97FEA">
            <w:pPr>
              <w:widowControl w:val="0"/>
              <w:overflowPunct w:val="0"/>
              <w:jc w:val="both"/>
              <w:rPr>
                <w:rFonts w:eastAsia="Times New Roman"/>
                <w:lang w:eastAsia="es-CR"/>
              </w:rPr>
            </w:pPr>
            <w:r w:rsidRPr="00C97FEA">
              <w:rPr>
                <w:rFonts w:eastAsia="Times New Roman"/>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una hora semanal de trabajo práctico. La dirección de acceso a la plataforma es la siguiente:</w:t>
            </w:r>
          </w:p>
          <w:p w14:paraId="786DD6A0" w14:textId="77777777" w:rsidR="00C97FEA" w:rsidRPr="00C97FEA" w:rsidRDefault="00DD16F2" w:rsidP="00C97FEA">
            <w:pPr>
              <w:widowControl w:val="0"/>
              <w:overflowPunct w:val="0"/>
              <w:jc w:val="both"/>
              <w:rPr>
                <w:rFonts w:eastAsia="Times New Roman"/>
                <w:lang w:eastAsia="es-CR"/>
              </w:rPr>
            </w:pPr>
            <w:hyperlink r:id="rId10" w:history="1">
              <w:r w:rsidR="00C97FEA" w:rsidRPr="00C97FEA">
                <w:rPr>
                  <w:rFonts w:eastAsia="Times New Roman"/>
                  <w:color w:val="0563C1"/>
                  <w:u w:val="single"/>
                  <w:lang w:eastAsia="es-CR"/>
                </w:rPr>
                <w:t>https://campus.ubl.ac.cr/login/index.php</w:t>
              </w:r>
            </w:hyperlink>
          </w:p>
        </w:tc>
      </w:tr>
    </w:tbl>
    <w:p w14:paraId="447D5939"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p>
    <w:p w14:paraId="17D4CA8F"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t>I. Descripción</w:t>
      </w:r>
    </w:p>
    <w:p w14:paraId="596B842C"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p>
    <w:p w14:paraId="0CBA7CFB"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kern w:val="0"/>
          <w:lang w:val="es-ES_tradnl" w:eastAsia="es-CR"/>
          <w14:ligatures w14:val="none"/>
        </w:rPr>
        <w:t>La comunicación escrita es uno de los retos al que los y las estudiantes están expuestos y expuestas diariamente. Es un arte que se logra lentamente, toda vez que se tome con seriedad. Este curso pretende ofrecer las herramientas básicas que los y las estudiantes tendrán que usar en la elaboración de sus reportes, ensayos y monografías. La calidad de sus trabajos, especialmente de las tesis de grado, depende mucho del dominio de la expresión escrita. El arte se comienza a adquirir desde el momento en que los y las estudiantes se percatan de lo serio y demandante, pero gratificante, que es esta tarea.</w:t>
      </w:r>
    </w:p>
    <w:p w14:paraId="6959595C" w14:textId="77777777" w:rsidR="00C97FEA" w:rsidRDefault="00C97FEA" w:rsidP="00C97FEA">
      <w:pPr>
        <w:spacing w:after="0" w:line="240" w:lineRule="auto"/>
        <w:jc w:val="both"/>
        <w:rPr>
          <w:rFonts w:ascii="Calibri" w:eastAsia="Times New Roman" w:hAnsi="Calibri" w:cs="Arial"/>
          <w:b/>
          <w:kern w:val="0"/>
          <w:lang w:eastAsia="es-CR"/>
          <w14:ligatures w14:val="none"/>
        </w:rPr>
      </w:pPr>
    </w:p>
    <w:p w14:paraId="54F9AE97" w14:textId="77777777" w:rsidR="00202C45" w:rsidRPr="00C97FEA" w:rsidRDefault="00202C45" w:rsidP="00C97FEA">
      <w:pPr>
        <w:spacing w:after="0" w:line="240" w:lineRule="auto"/>
        <w:jc w:val="both"/>
        <w:rPr>
          <w:rFonts w:ascii="Calibri" w:eastAsia="Times New Roman" w:hAnsi="Calibri" w:cs="Arial"/>
          <w:b/>
          <w:kern w:val="0"/>
          <w:lang w:eastAsia="es-CR"/>
          <w14:ligatures w14:val="none"/>
        </w:rPr>
      </w:pPr>
    </w:p>
    <w:p w14:paraId="23C616C2"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lastRenderedPageBreak/>
        <w:t>II. Objetivo general</w:t>
      </w:r>
    </w:p>
    <w:p w14:paraId="0163DF61"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p>
    <w:p w14:paraId="6F7D49FA"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kern w:val="0"/>
          <w:lang w:val="es-ES_tradnl" w:eastAsia="es-CR"/>
          <w14:ligatures w14:val="none"/>
        </w:rPr>
        <w:t>Demostrar el manejo correcto de técnicas de redacción, aplicando las técnicas a la producción escrita de tareas, monografías, ensayos y otros materiales académicos.</w:t>
      </w:r>
    </w:p>
    <w:p w14:paraId="348BEF7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p>
    <w:p w14:paraId="776D6530"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t>III. Objetivos específicos</w:t>
      </w:r>
    </w:p>
    <w:p w14:paraId="3ACFE9E9"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p>
    <w:p w14:paraId="554D52B4"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1. Reconocer la importancia de la comunicación escrita. </w:t>
      </w:r>
    </w:p>
    <w:p w14:paraId="126AB309"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p>
    <w:p w14:paraId="22632C79"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2. Comprender los pasos metodológicos de la construcción y elaboración de un trabajo académico.</w:t>
      </w:r>
    </w:p>
    <w:p w14:paraId="51ADED61"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p>
    <w:p w14:paraId="187890C3"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r w:rsidRPr="00C97FEA">
        <w:rPr>
          <w:rFonts w:ascii="Calibri" w:eastAsia="Times New Roman" w:hAnsi="Calibri" w:cs="Arial"/>
          <w:kern w:val="0"/>
          <w:lang w:eastAsia="es-CR"/>
          <w14:ligatures w14:val="none"/>
        </w:rPr>
        <w:t xml:space="preserve">3. Conocer y utilizar las reglas básicas de la gramática española. </w:t>
      </w:r>
    </w:p>
    <w:p w14:paraId="6456393E"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p>
    <w:p w14:paraId="5ADEE666"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r w:rsidRPr="00C97FEA">
        <w:rPr>
          <w:rFonts w:ascii="Calibri" w:eastAsia="Times New Roman" w:hAnsi="Calibri" w:cs="Arial"/>
          <w:kern w:val="0"/>
          <w:lang w:eastAsia="es-CR"/>
          <w14:ligatures w14:val="none"/>
        </w:rPr>
        <w:t xml:space="preserve">4. Analizar aspectos básicos que determinan una redacción aceptable de ensayos y trabajos monográficos. </w:t>
      </w:r>
    </w:p>
    <w:p w14:paraId="3439BFF5"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p>
    <w:p w14:paraId="2685D8DF"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5. Relacionarse con varios recursos bibliográficos que requieren una seria comunicación escrita.</w:t>
      </w:r>
    </w:p>
    <w:p w14:paraId="77DDA5B2" w14:textId="77777777" w:rsidR="00C97FEA" w:rsidRPr="00C97FEA" w:rsidRDefault="00C97FEA" w:rsidP="00C97FEA">
      <w:pPr>
        <w:spacing w:after="0" w:line="240" w:lineRule="auto"/>
        <w:jc w:val="both"/>
        <w:rPr>
          <w:rFonts w:ascii="Calibri" w:eastAsia="Times New Roman" w:hAnsi="Calibri" w:cs="Arial"/>
          <w:kern w:val="0"/>
          <w:lang w:eastAsia="es-CR"/>
          <w14:ligatures w14:val="none"/>
        </w:rPr>
      </w:pPr>
    </w:p>
    <w:p w14:paraId="0D2A90D5" w14:textId="77777777" w:rsidR="00C97FEA" w:rsidRPr="00C97FEA" w:rsidRDefault="00C97FEA" w:rsidP="00C97FEA">
      <w:pPr>
        <w:spacing w:after="0" w:line="240" w:lineRule="auto"/>
        <w:jc w:val="both"/>
        <w:rPr>
          <w:rFonts w:ascii="Calibri" w:eastAsia="Times New Roman" w:hAnsi="Calibri" w:cs="Arial"/>
          <w:color w:val="FF0000"/>
          <w:kern w:val="0"/>
          <w:lang w:eastAsia="es-CR"/>
          <w14:ligatures w14:val="none"/>
        </w:rPr>
      </w:pPr>
      <w:r w:rsidRPr="00C97FEA">
        <w:rPr>
          <w:rFonts w:ascii="Calibri" w:eastAsia="Times New Roman" w:hAnsi="Calibri" w:cs="Arial"/>
          <w:kern w:val="0"/>
          <w:lang w:eastAsia="es-CR"/>
          <w14:ligatures w14:val="none"/>
        </w:rPr>
        <w:t xml:space="preserve">6. Ser capaz de utilizar los recursos de información. </w:t>
      </w:r>
    </w:p>
    <w:p w14:paraId="3502F5E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4DA04D13"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t>IV. Contenidos</w:t>
      </w:r>
    </w:p>
    <w:p w14:paraId="19B9A78C" w14:textId="77777777" w:rsidR="00C97FEA" w:rsidRPr="00C97FEA" w:rsidRDefault="00C97FEA" w:rsidP="00C97FEA">
      <w:pPr>
        <w:spacing w:after="0" w:line="240" w:lineRule="auto"/>
        <w:jc w:val="both"/>
        <w:rPr>
          <w:rFonts w:ascii="Calibri" w:eastAsia="Times New Roman" w:hAnsi="Calibri" w:cs="Arial"/>
          <w:b/>
          <w:kern w:val="0"/>
          <w:lang w:eastAsia="es-CR"/>
          <w14:ligatures w14:val="none"/>
        </w:rPr>
      </w:pPr>
    </w:p>
    <w:p w14:paraId="025D70F1" w14:textId="77777777" w:rsidR="00C97FEA" w:rsidRPr="00C97FEA" w:rsidRDefault="00C97FEA" w:rsidP="00C97FEA">
      <w:pPr>
        <w:spacing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1: Introducción</w:t>
      </w:r>
    </w:p>
    <w:p w14:paraId="55C2812D"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1.1 Manejo de elementos y estructura</w:t>
      </w:r>
    </w:p>
    <w:p w14:paraId="21E27AF6"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1.2 Elementos estilísticos</w:t>
      </w:r>
    </w:p>
    <w:p w14:paraId="0893F128"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2E975171"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2: Trabajos escritos típicos</w:t>
      </w:r>
    </w:p>
    <w:p w14:paraId="7E1C219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2.1 Ensayo y monografía</w:t>
      </w:r>
    </w:p>
    <w:p w14:paraId="1841408D"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2.2 Resumen y reseña</w:t>
      </w:r>
    </w:p>
    <w:p w14:paraId="1A561899"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73FA61F9"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3: La ortografía  </w:t>
      </w:r>
    </w:p>
    <w:p w14:paraId="678D76BB"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3.1 Uso de las mayúsculas y representación gráfica de los fonemas consonánticos</w:t>
      </w:r>
    </w:p>
    <w:p w14:paraId="3910C5B7"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3.2 Reglas de acentuación, tilde diacrítica y casos especiales</w:t>
      </w:r>
    </w:p>
    <w:p w14:paraId="537DD8E4"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1DF693BF"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4: Elementos de la oración  </w:t>
      </w:r>
    </w:p>
    <w:p w14:paraId="178ED5F7"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4.1 Morfología</w:t>
      </w:r>
    </w:p>
    <w:p w14:paraId="5DB3147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4.2 Sintaxis</w:t>
      </w:r>
    </w:p>
    <w:p w14:paraId="3A24C16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2F1C00F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605D727F"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lastRenderedPageBreak/>
        <w:t xml:space="preserve">Unidad 5: Signos de puntuación </w:t>
      </w:r>
    </w:p>
    <w:p w14:paraId="7BFE5484"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5.1 Uso del punto y de la coma</w:t>
      </w:r>
    </w:p>
    <w:p w14:paraId="66FD38BF"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5.2 Uso de otros signos de puntuación</w:t>
      </w:r>
    </w:p>
    <w:p w14:paraId="1B76EDB3"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3C89BE99"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6: Estructura de párrafos</w:t>
      </w:r>
    </w:p>
    <w:p w14:paraId="0B61D3DE"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6.1 Estructurar párrafos y textos</w:t>
      </w:r>
    </w:p>
    <w:p w14:paraId="4309AEC9"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6.2 Función del párrafo dentro del texto</w:t>
      </w:r>
    </w:p>
    <w:p w14:paraId="65832544"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7339902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7: Notas y bibliografía </w:t>
      </w:r>
    </w:p>
    <w:p w14:paraId="025BD19B"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7.1 Estilo Chicago-Deusto: notas y bibliografía</w:t>
      </w:r>
    </w:p>
    <w:p w14:paraId="1784EC05"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7.2 Estilo Chicago-Deusto: autor y año</w:t>
      </w:r>
    </w:p>
    <w:p w14:paraId="615F44F2"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1EE4F38C" w14:textId="77777777" w:rsidR="00C97FEA" w:rsidRPr="00C97FEA" w:rsidRDefault="00C97FEA" w:rsidP="00C97FEA">
      <w:pPr>
        <w:widowControl w:val="0"/>
        <w:tabs>
          <w:tab w:val="left" w:pos="1440"/>
        </w:tabs>
        <w:overflowPunct w:val="0"/>
        <w:autoSpaceDE w:val="0"/>
        <w:autoSpaceDN w:val="0"/>
        <w:adjustRightInd w:val="0"/>
        <w:spacing w:before="120" w:after="0" w:line="240" w:lineRule="auto"/>
        <w:jc w:val="both"/>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8: La biblioteca: recursos bibliográficos</w:t>
      </w:r>
    </w:p>
    <w:p w14:paraId="5060107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8.1 Repaso y evaluación</w:t>
      </w:r>
    </w:p>
    <w:p w14:paraId="1064471A"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kern w:val="0"/>
          <w:lang w:eastAsia="es-CR"/>
          <w14:ligatures w14:val="none"/>
        </w:rPr>
      </w:pPr>
    </w:p>
    <w:p w14:paraId="720867D1" w14:textId="77777777" w:rsidR="00C97FEA" w:rsidRPr="00C97FEA" w:rsidRDefault="00C97FEA" w:rsidP="00C97FEA">
      <w:pPr>
        <w:spacing w:after="0" w:line="240" w:lineRule="auto"/>
        <w:jc w:val="both"/>
        <w:rPr>
          <w:rFonts w:ascii="Calibri" w:eastAsia="Times New Roman" w:hAnsi="Calibri" w:cs="Arial"/>
          <w:b/>
          <w:color w:val="000000"/>
          <w:kern w:val="0"/>
          <w:lang w:eastAsia="es-CR"/>
          <w14:ligatures w14:val="none"/>
        </w:rPr>
      </w:pPr>
    </w:p>
    <w:p w14:paraId="47839FAE" w14:textId="77777777" w:rsidR="00C97FEA" w:rsidRPr="00C97FEA" w:rsidRDefault="00C97FEA" w:rsidP="00C97FEA">
      <w:pPr>
        <w:spacing w:after="0" w:line="240" w:lineRule="auto"/>
        <w:jc w:val="both"/>
        <w:rPr>
          <w:rFonts w:ascii="Calibri" w:eastAsia="Times New Roman" w:hAnsi="Calibri" w:cs="Arial"/>
          <w:b/>
          <w:color w:val="000000"/>
          <w:kern w:val="0"/>
          <w:lang w:eastAsia="es-CR"/>
          <w14:ligatures w14:val="none"/>
        </w:rPr>
      </w:pPr>
      <w:r w:rsidRPr="00C97FEA">
        <w:rPr>
          <w:rFonts w:ascii="Calibri" w:eastAsia="Times New Roman" w:hAnsi="Calibri" w:cs="Arial"/>
          <w:b/>
          <w:color w:val="000000"/>
          <w:kern w:val="0"/>
          <w:lang w:eastAsia="es-CR"/>
          <w14:ligatures w14:val="none"/>
        </w:rPr>
        <w:t>V. Metodología</w:t>
      </w:r>
    </w:p>
    <w:p w14:paraId="1F91BFA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3571997F"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 xml:space="preserve">Este es un curso con una metodología teórico-práctica. Se fundamenta en la adquisición de competencias para la redacción y la ortografía por medio de insumos docentes y, principalmente, de los ejercicios individuales y colaborativos. La práctica de los y las estudiantes junto con la retroalimentación de la persona docente permite una construcción acumulativa de destrezas. La reflexión crítica sobre la comunicación escrita será importante como estrategia metodológica sobre aspectos teóricos.  En la misma se requiere de la participación activa mediante el diálogo, el debate y el compartir de experiencias de los y las estudiantes y la persona docente en la plataforma Moodle.  A través de esta participación se pondrán en práctica las capacidades críticas y destrezas en el acto comunicacional escrito. </w:t>
      </w:r>
    </w:p>
    <w:p w14:paraId="621A695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color w:val="000000"/>
          <w:kern w:val="0"/>
          <w:lang w:eastAsia="es-CR"/>
          <w14:ligatures w14:val="none"/>
        </w:rPr>
        <w:t>El rol de la persona docente consiste en facilitar y orientar el aprendizaje teórico y la potenciación de habilidades para comunicarse por escrito de parte de los y las estudiantes. Ella</w:t>
      </w:r>
      <w:r w:rsidRPr="00C97FEA">
        <w:rPr>
          <w:rFonts w:ascii="Calibri" w:eastAsia="Times New Roman" w:hAnsi="Calibri" w:cs="Arial"/>
          <w:color w:val="000000"/>
          <w:kern w:val="0"/>
          <w:lang w:val="es-ES_tradnl"/>
          <w14:ligatures w14:val="none"/>
        </w:rPr>
        <w:t xml:space="preserve"> orientará los trabajos descritos en la sección de evaluación, con lo que se busca generar el pensamiento crítico y la adquisición de habilidades. El papel de los y las estudiantes es apropiarse de los conocimientos, </w:t>
      </w:r>
      <w:r w:rsidRPr="00C97FEA">
        <w:rPr>
          <w:rFonts w:ascii="Calibri" w:eastAsia="Times New Roman" w:hAnsi="Calibri" w:cs="Arial"/>
          <w:color w:val="000000"/>
          <w:kern w:val="0"/>
          <w:lang w:val="es-ES_tradnl"/>
          <w14:ligatures w14:val="none"/>
        </w:rPr>
        <w:lastRenderedPageBreak/>
        <w:t>potenciando los que ya se tienen y adquiriendo nuevos, en un rol activo en su proceso de aprendizaje.</w:t>
      </w:r>
    </w:p>
    <w:p w14:paraId="2A47FE08"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C97FEA">
        <w:rPr>
          <w:rFonts w:ascii="Calibri" w:eastAsia="Times New Roman" w:hAnsi="Calibri" w:cs="Calibri"/>
          <w:bCs/>
          <w:kern w:val="0"/>
          <w:lang w:eastAsia="es-CR"/>
          <w14:ligatures w14:val="none"/>
        </w:rPr>
        <w:t xml:space="preserve">Durante el curso se realizarán encuentros sincrónicos virtuales en la plataforma virtual. </w:t>
      </w:r>
      <w:r w:rsidRPr="00C97FEA">
        <w:rPr>
          <w:rFonts w:ascii="Calibri" w:eastAsia="Times New Roman" w:hAnsi="Calibri" w:cs="Calibri"/>
          <w:bCs/>
          <w:kern w:val="0"/>
          <w:lang w:val="es-ES_tradnl" w:eastAsia="es-CR"/>
          <w14:ligatures w14:val="none"/>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26E9411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p>
    <w:p w14:paraId="5D71D99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b/>
          <w:color w:val="000000"/>
          <w:kern w:val="0"/>
          <w:lang w:eastAsia="es-CR"/>
          <w14:ligatures w14:val="none"/>
        </w:rPr>
        <w:t>VI. Estrategias de aprendizaje</w:t>
      </w:r>
    </w:p>
    <w:p w14:paraId="73B4E9A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 xml:space="preserve">Las estrategias de aprendizaje de este curso se orientan a la apropiación por parte de la persona estudiante de los principios y normas de comunicación escrita y su práctica para la adquisición de las habilidades necesarias o la potenciación de estas. </w:t>
      </w:r>
    </w:p>
    <w:p w14:paraId="7E742179"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color w:val="000000"/>
          <w:kern w:val="0"/>
          <w:lang w:val="es-ES_tradnl"/>
          <w14:ligatures w14:val="none"/>
        </w:rPr>
        <w:t>Se utilizan las siguientes estrategias de aprendizaje:</w:t>
      </w:r>
    </w:p>
    <w:p w14:paraId="48352A8C"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 xml:space="preserve">a) Foro: </w:t>
      </w:r>
      <w:r w:rsidRPr="00C97FEA">
        <w:rPr>
          <w:rFonts w:ascii="Calibri" w:eastAsia="Times New Roman" w:hAnsi="Calibri" w:cs="Arial"/>
          <w:color w:val="000000"/>
          <w:kern w:val="0"/>
          <w:lang w:val="es-ES_tradnl"/>
          <w14:ligatures w14:val="none"/>
        </w:rPr>
        <w:t>La finalidad de los foros es permitir que las personas estudiantes y la persona docente interactúen en estos para la discusión de las temáticas del curso. Algunos de los temas que se tocarán en los foros son: el poder de la palabra, la finalidad de la escritura, ortografía y redes sociales, la coma y el punto, y finalmente, citas, paráfrasis y plagio. Las personas estudiantes brindarán su aporte con base en las lecturas del curso y replicarán al aporte de otras personas compañeras.</w:t>
      </w:r>
    </w:p>
    <w:p w14:paraId="3AAE25FC"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 xml:space="preserve">b) Wiki: </w:t>
      </w:r>
      <w:r w:rsidRPr="00C97FEA">
        <w:rPr>
          <w:rFonts w:ascii="Calibri" w:eastAsia="Times New Roman" w:hAnsi="Calibri" w:cs="Arial"/>
          <w:color w:val="000000"/>
          <w:kern w:val="0"/>
          <w:lang w:val="es-ES_tradnl"/>
          <w14:ligatures w14:val="none"/>
        </w:rPr>
        <w:t>Las actividades colaborativas cobran mucha importancia en la educación virtual. De esta forma, el wiki es una herramienta colaborativa que permite ir recopilando en una página (o varias) los aportes que todas las personas del curso van creando en grupos. En este curso elaboraremos un wiki sobre morfología y otro sobre sintaxis.</w:t>
      </w:r>
    </w:p>
    <w:p w14:paraId="45F40851"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14:ligatures w14:val="none"/>
        </w:rPr>
      </w:pPr>
      <w:r w:rsidRPr="4C9C2619">
        <w:rPr>
          <w:rFonts w:ascii="Calibri" w:eastAsia="Times New Roman" w:hAnsi="Calibri" w:cs="Arial"/>
          <w:b/>
          <w:bCs/>
          <w:color w:val="000000"/>
          <w:kern w:val="0"/>
          <w:lang w:val="es-ES"/>
          <w14:ligatures w14:val="none"/>
        </w:rPr>
        <w:t xml:space="preserve">c) Glosario: </w:t>
      </w:r>
      <w:r w:rsidRPr="4C9C2619">
        <w:rPr>
          <w:rFonts w:ascii="Calibri" w:eastAsia="Times New Roman" w:hAnsi="Calibri" w:cs="Arial"/>
          <w:color w:val="000000"/>
          <w:kern w:val="0"/>
          <w:lang w:val="es-ES"/>
          <w14:ligatures w14:val="none"/>
        </w:rPr>
        <w:t>El glosario busca que la persona estudiante conozca y maneje un vocabulario mínimo de términos de una disciplina, con el fin de definirlos, explicarlos y aplicarlos. Se elaborará un glosario con el fin de recoger y comentar aspectos esenciales sobre los vicios de dicción y la construcción en el idioma español.</w:t>
      </w:r>
    </w:p>
    <w:p w14:paraId="3DEFE81D"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 xml:space="preserve">d) Encuentro sincrónico virtual: </w:t>
      </w:r>
      <w:r w:rsidRPr="00C97FEA">
        <w:rPr>
          <w:rFonts w:ascii="Calibri" w:eastAsia="Times New Roman" w:hAnsi="Calibri" w:cs="Arial"/>
          <w:color w:val="000000"/>
          <w:kern w:val="0"/>
          <w:lang w:val="es-ES_tradnl"/>
          <w14:ligatures w14:val="none"/>
        </w:rPr>
        <w:t>Esta estrategia sincrónica de aprendizaje virtual permite el encuentro entre las personas estudiantes y la persona docente con el fin de dialogar, debatir, escuchar presentaciones, o hacer trabajo en grupos pequeños sobre un tema en particular. En este curso tienen carácter formativo, más no sumativo. De igual forma, las sesiones se grabarán para quienes la soliciten por no poder participar. La persona docente hará presentaciones y guiará ejercicios grupales sobre temas tales como: elementos estilísticos, trabajos escritos típicos, la ortografía, elementos de la oración, los signos de puntuación, estructura de párrafos, citas, notas y bibliografía.</w:t>
      </w:r>
    </w:p>
    <w:p w14:paraId="37A86E7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 xml:space="preserve">e) Tareas individuales: </w:t>
      </w:r>
      <w:r w:rsidRPr="00C97FEA">
        <w:rPr>
          <w:rFonts w:ascii="Calibri" w:eastAsia="Times New Roman" w:hAnsi="Calibri" w:cs="Arial"/>
          <w:color w:val="000000"/>
          <w:kern w:val="0"/>
          <w:lang w:val="es-ES_tradnl"/>
          <w14:ligatures w14:val="none"/>
        </w:rPr>
        <w:t>Con el objetivo de facilitar la comprensión de temas estudiados mediante ejercicios prácticos, en este curso se realizarán tareas, de forma individual, que tienen que ver con ejercicios de redacción, ensayo y monografía, resumen y reseña, gramática, ortografía, puntuación y estructuración del párrafo.</w:t>
      </w:r>
    </w:p>
    <w:p w14:paraId="53A27B1C"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14:ligatures w14:val="none"/>
        </w:rPr>
      </w:pPr>
      <w:r w:rsidRPr="4C9C2619">
        <w:rPr>
          <w:rFonts w:ascii="Calibri" w:eastAsia="Times New Roman" w:hAnsi="Calibri" w:cs="Arial"/>
          <w:b/>
          <w:bCs/>
          <w:color w:val="000000"/>
          <w:kern w:val="0"/>
          <w:lang w:val="es-ES"/>
          <w14:ligatures w14:val="none"/>
        </w:rPr>
        <w:t xml:space="preserve">e) Taller interactivo: </w:t>
      </w:r>
      <w:r w:rsidRPr="4C9C2619">
        <w:rPr>
          <w:rFonts w:ascii="Calibri" w:eastAsia="Times New Roman" w:hAnsi="Calibri" w:cs="Arial"/>
          <w:color w:val="000000"/>
          <w:kern w:val="0"/>
          <w:lang w:val="es-ES"/>
          <w14:ligatures w14:val="none"/>
        </w:rPr>
        <w:t xml:space="preserve">Un taller es un espacio de producción colaborativa e interactiva. En este caso, se trabajará en un taller por parejas designadas por la persona docente. Se trata de una actividad </w:t>
      </w:r>
      <w:r w:rsidRPr="4C9C2619">
        <w:rPr>
          <w:rFonts w:ascii="Calibri" w:eastAsia="Times New Roman" w:hAnsi="Calibri" w:cs="Arial"/>
          <w:color w:val="000000"/>
          <w:kern w:val="0"/>
          <w:lang w:val="es-ES"/>
          <w14:ligatures w14:val="none"/>
        </w:rPr>
        <w:lastRenderedPageBreak/>
        <w:t xml:space="preserve">de redacción de un ensayo y revisión de este por parte de la pareja designada y viceversa, en forma cooperativa. Se trata de intercambiar textos trabajados inicialmente de forma individual, pero que van a pasar por una revisión y comentarios por parte de la pareja de trabajo designada. Se busca la interiorización y puesta en práctica de contenidos del curso sobre el tema de la redacción. </w:t>
      </w:r>
    </w:p>
    <w:p w14:paraId="1B59BDA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f) Revisión de un documento académico escrito previamente:</w:t>
      </w:r>
      <w:r w:rsidRPr="00C97FEA">
        <w:rPr>
          <w:rFonts w:ascii="Calibri" w:eastAsia="Times New Roman" w:hAnsi="Calibri" w:cs="Arial"/>
          <w:color w:val="000000"/>
          <w:kern w:val="0"/>
          <w:lang w:val="es-ES_tradnl"/>
          <w14:ligatures w14:val="none"/>
        </w:rPr>
        <w:t xml:space="preserve"> Esta estrategia de aprendizaje se realiza con un trabajo previamente escrito por las personas estudiantes para otro curso. La revisión será progresiva según los contenidos vistos en el curso. Se solicitarán dos avances para la revisión. El primero será en la sesión 10 y corresponde a todo lo modificado en el documento a partir de la sesión 6 cuando inicia este ejercicio. El segundo avance se entrega en la sesión 14 y corresponde a lo trabajado en las sesiones 11-14. </w:t>
      </w:r>
    </w:p>
    <w:p w14:paraId="5CCCCF3C"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14:ligatures w14:val="none"/>
        </w:rPr>
      </w:pPr>
      <w:r w:rsidRPr="00C97FEA">
        <w:rPr>
          <w:rFonts w:ascii="Calibri" w:eastAsia="Times New Roman" w:hAnsi="Calibri" w:cs="Arial"/>
          <w:b/>
          <w:bCs/>
          <w:color w:val="000000"/>
          <w:kern w:val="0"/>
          <w:lang w:val="es-ES_tradnl"/>
          <w14:ligatures w14:val="none"/>
        </w:rPr>
        <w:t xml:space="preserve">g) Evaluación final: </w:t>
      </w:r>
      <w:r w:rsidRPr="00C97FEA">
        <w:rPr>
          <w:rFonts w:ascii="Calibri" w:eastAsia="Times New Roman" w:hAnsi="Calibri" w:cs="Arial"/>
          <w:color w:val="000000"/>
          <w:kern w:val="0"/>
          <w:lang w:val="es-ES_tradnl"/>
          <w14:ligatures w14:val="none"/>
        </w:rPr>
        <w:t>Con el fin de medir los aprendizajes señalados en el objetivo general y específicos de este curso, se realizará una evaluación final que consiste en la corrección de un texto en los aspectos ortográficos, gramaticales y de redacción.</w:t>
      </w:r>
    </w:p>
    <w:p w14:paraId="38371367"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val="es-ES_tradnl"/>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33F031C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p>
    <w:p w14:paraId="20B1A31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b/>
          <w:color w:val="000000"/>
          <w:kern w:val="0"/>
          <w:lang w:eastAsia="es-CR"/>
          <w14:ligatures w14:val="none"/>
        </w:rPr>
        <w:t>VII. Recursos didácticos</w:t>
      </w:r>
    </w:p>
    <w:p w14:paraId="59C97082"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FEE00F2"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08A715F7"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D02543D"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2D6661C8"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BC20348"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6D04C1E3"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A8F0E69"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 xml:space="preserve">c) Documentos temáticos elaborados por la persona docente en la mayoría de las sesiones, los cuales acompañan los contenidos temáticos </w:t>
      </w:r>
      <w:r w:rsidRPr="00C97FEA">
        <w:rPr>
          <w:rFonts w:ascii="Calibri" w:eastAsia="Times New Roman" w:hAnsi="Calibri" w:cs="Calibri"/>
          <w:color w:val="000000"/>
          <w:kern w:val="0"/>
          <w:lang w:eastAsia="es-ES"/>
          <w14:ligatures w14:val="none"/>
        </w:rPr>
        <w:t>del curso y la realización de las diversas tareas en este.</w:t>
      </w:r>
    </w:p>
    <w:p w14:paraId="0D28B02F"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CFBACF9"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0E27CB9D"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7BB02F4"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 xml:space="preserve">e) </w:t>
      </w:r>
      <w:r w:rsidRPr="00C97FEA">
        <w:rPr>
          <w:rFonts w:ascii="Calibri" w:eastAsia="Times New Roman" w:hAnsi="Calibri" w:cs="Calibri"/>
          <w:color w:val="000000"/>
          <w:kern w:val="0"/>
          <w:szCs w:val="20"/>
          <w:lang w:val="es-ES" w:eastAsia="es-ES"/>
          <w14:ligatures w14:val="none"/>
        </w:rPr>
        <w:t xml:space="preserve">En la plataforma virtual también dispondrá de guías generales que se encuentran en el material complementario de la sesión correspondiente para la participación en un foro, un glosario y un wiki en la plataforma Moodle y la elaboración de un bosquejo de lectura; así como una guía para los wikis sobre morfología y sintaxis que se encuentra en la sección de actividades de las sesiones correspondientes. </w:t>
      </w:r>
    </w:p>
    <w:p w14:paraId="4C6D17F7"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03D49F5"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 xml:space="preserve">f) También puede disponer de las bases de datos, revistas en línea, repositorios y buscadores especializados a los cuales puede acceder mediante la Biblioteca Enrique </w:t>
      </w:r>
      <w:proofErr w:type="spellStart"/>
      <w:r w:rsidRPr="00C97FEA">
        <w:rPr>
          <w:rFonts w:ascii="Calibri" w:eastAsia="Times New Roman" w:hAnsi="Calibri" w:cs="Calibri"/>
          <w:color w:val="000000"/>
          <w:kern w:val="0"/>
          <w:lang w:val="es-ES" w:eastAsia="es-ES"/>
          <w14:ligatures w14:val="none"/>
        </w:rPr>
        <w:t>Strachan</w:t>
      </w:r>
      <w:proofErr w:type="spellEnd"/>
      <w:r w:rsidRPr="00C97FEA">
        <w:rPr>
          <w:rFonts w:ascii="Calibri" w:eastAsia="Times New Roman" w:hAnsi="Calibri" w:cs="Calibri"/>
          <w:color w:val="000000"/>
          <w:kern w:val="0"/>
          <w:lang w:val="es-ES" w:eastAsia="es-ES"/>
          <w14:ligatures w14:val="none"/>
        </w:rPr>
        <w:t xml:space="preserve"> (</w:t>
      </w:r>
      <w:hyperlink r:id="rId11" w:history="1">
        <w:r w:rsidRPr="00C97FEA">
          <w:rPr>
            <w:rFonts w:ascii="Calibri" w:eastAsia="Times New Roman" w:hAnsi="Calibri" w:cs="Calibri"/>
            <w:color w:val="0563C1"/>
            <w:kern w:val="0"/>
            <w:u w:val="single"/>
            <w:lang w:val="es-ES" w:eastAsia="es-ES"/>
            <w14:ligatures w14:val="none"/>
          </w:rPr>
          <w:t>https://www.ubl.ac.cr/biblioteca</w:t>
        </w:r>
      </w:hyperlink>
      <w:r w:rsidRPr="00C97FEA">
        <w:rPr>
          <w:rFonts w:ascii="Calibri" w:eastAsia="Times New Roman" w:hAnsi="Calibri" w:cs="Calibri"/>
          <w:color w:val="000000"/>
          <w:kern w:val="0"/>
          <w:lang w:val="es-ES" w:eastAsia="es-ES"/>
          <w14:ligatures w14:val="none"/>
        </w:rPr>
        <w:t xml:space="preserve">), así como consultar el Portal de Revistas de la UBL </w:t>
      </w:r>
      <w:r w:rsidRPr="00C97FEA">
        <w:rPr>
          <w:rFonts w:ascii="Calibri" w:eastAsia="Times New Roman" w:hAnsi="Calibri" w:cs="Calibri"/>
          <w:color w:val="000000"/>
          <w:kern w:val="0"/>
          <w:lang w:val="es-ES" w:eastAsia="es-ES"/>
          <w14:ligatures w14:val="none"/>
        </w:rPr>
        <w:lastRenderedPageBreak/>
        <w:t>(</w:t>
      </w:r>
      <w:hyperlink r:id="rId12" w:history="1">
        <w:r w:rsidRPr="00C97FEA">
          <w:rPr>
            <w:rFonts w:ascii="Calibri" w:eastAsia="Times New Roman" w:hAnsi="Calibri" w:cs="Calibri"/>
            <w:color w:val="0563C1"/>
            <w:kern w:val="0"/>
            <w:u w:val="single"/>
            <w:lang w:val="es-ES" w:eastAsia="es-ES"/>
            <w14:ligatures w14:val="none"/>
          </w:rPr>
          <w:t>http://revistas.ubl.ac.cr/</w:t>
        </w:r>
      </w:hyperlink>
      <w:r w:rsidRPr="00C97FEA">
        <w:rPr>
          <w:rFonts w:ascii="Calibri" w:eastAsia="Times New Roman" w:hAnsi="Calibri" w:cs="Calibri"/>
          <w:color w:val="000000"/>
          <w:kern w:val="0"/>
          <w:lang w:val="es-ES" w:eastAsia="es-ES"/>
          <w14:ligatures w14:val="none"/>
        </w:rPr>
        <w:t>). A través del correo de la biblioteca (</w:t>
      </w:r>
      <w:hyperlink r:id="rId13" w:history="1">
        <w:r w:rsidRPr="00C97FEA">
          <w:rPr>
            <w:rFonts w:ascii="Calibri" w:eastAsia="Times New Roman" w:hAnsi="Calibri" w:cs="Calibri"/>
            <w:color w:val="0563C1"/>
            <w:kern w:val="0"/>
            <w:u w:val="single"/>
            <w:lang w:val="es-ES" w:eastAsia="es-ES"/>
            <w14:ligatures w14:val="none"/>
          </w:rPr>
          <w:t>biblioteca@ubl.ac.cr</w:t>
        </w:r>
      </w:hyperlink>
      <w:r w:rsidRPr="00C97FEA">
        <w:rPr>
          <w:rFonts w:ascii="Calibri" w:eastAsia="Times New Roman" w:hAnsi="Calibri" w:cs="Calibri"/>
          <w:color w:val="000000"/>
          <w:kern w:val="0"/>
          <w:lang w:val="es-ES" w:eastAsia="es-ES"/>
          <w14:ligatures w14:val="none"/>
        </w:rPr>
        <w:t>) puede solicitar recursos que se encuentren en la colección física.</w:t>
      </w:r>
    </w:p>
    <w:p w14:paraId="1A4AECB6"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767B824" w14:textId="4C151CCA"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97FEA">
        <w:rPr>
          <w:rFonts w:ascii="Calibri" w:eastAsia="Times New Roman" w:hAnsi="Calibri" w:cs="Calibri"/>
          <w:color w:val="000000"/>
          <w:kern w:val="0"/>
          <w:lang w:val="es-ES" w:eastAsia="es-ES"/>
          <w14:ligatures w14:val="none"/>
        </w:rPr>
        <w:t xml:space="preserve">g) </w:t>
      </w:r>
      <w:r w:rsidRPr="00C97FEA">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C97FEA">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14" w:history="1">
        <w:r w:rsidRPr="00C97FEA">
          <w:rPr>
            <w:rFonts w:ascii="Calibri" w:eastAsia="Times New Roman" w:hAnsi="Calibri" w:cs="Calibri"/>
            <w:bCs/>
            <w:color w:val="0563C1"/>
            <w:kern w:val="0"/>
            <w:u w:val="single"/>
            <w:lang w:val="es-ES_tradnl" w:eastAsia="es-CR"/>
            <w14:ligatures w14:val="none"/>
          </w:rPr>
          <w:t>https://campus.ubl.ac.cr/course/index.php?categoryid=186</w:t>
        </w:r>
      </w:hyperlink>
      <w:r w:rsidRPr="00C97FEA">
        <w:rPr>
          <w:rFonts w:ascii="Calibri" w:eastAsia="Times New Roman" w:hAnsi="Calibri" w:cs="Calibri"/>
          <w:color w:val="000000"/>
          <w:kern w:val="0"/>
          <w:lang w:val="es-ES" w:eastAsia="es-ES"/>
          <w14:ligatures w14:val="none"/>
        </w:rPr>
        <w:t xml:space="preserve"> </w:t>
      </w:r>
    </w:p>
    <w:p w14:paraId="7110157E" w14:textId="77777777" w:rsidR="00C97FEA" w:rsidRPr="00C97FEA" w:rsidRDefault="00C97FEA" w:rsidP="00C97FEA">
      <w:pPr>
        <w:widowControl w:val="0"/>
        <w:overflowPunct w:val="0"/>
        <w:autoSpaceDE w:val="0"/>
        <w:autoSpaceDN w:val="0"/>
        <w:adjustRightInd w:val="0"/>
        <w:spacing w:after="0" w:line="240" w:lineRule="auto"/>
        <w:jc w:val="both"/>
        <w:rPr>
          <w:rFonts w:ascii="Calibri" w:eastAsia="Times New Roman" w:hAnsi="Calibri" w:cs="Calibri"/>
          <w:color w:val="000000"/>
          <w:kern w:val="0"/>
          <w:sz w:val="14"/>
          <w:szCs w:val="14"/>
          <w:lang w:val="es-ES" w:eastAsia="es-ES"/>
          <w14:ligatures w14:val="none"/>
        </w:rPr>
      </w:pPr>
    </w:p>
    <w:p w14:paraId="11156981"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r w:rsidRPr="00C97FEA">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7D7D2E89"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p>
    <w:p w14:paraId="466F323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2E5FF9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C8AD949"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5BE9D69"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CA9A17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2A3D6F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227A133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03F6D1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C48AB8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AE8246A"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6C9EB5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B55898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B89A04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9D6085F"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230C232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23ACF50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D408B98" w14:textId="77777777" w:rsid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E9758BC"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0382AB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5CADEC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2D0882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50310AF"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1A3FA57"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AC7C39B"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1A15AB7" w14:textId="77777777" w:rsidR="00C97FEA" w:rsidRPr="00C97FEA" w:rsidRDefault="00C97FEA" w:rsidP="00C97FEA">
      <w:pPr>
        <w:spacing w:after="0" w:line="240" w:lineRule="auto"/>
        <w:jc w:val="both"/>
        <w:rPr>
          <w:rFonts w:ascii="Calibri" w:eastAsia="Times New Roman" w:hAnsi="Calibri" w:cs="Arial"/>
          <w:b/>
          <w:color w:val="000000"/>
          <w:kern w:val="0"/>
          <w:lang w:eastAsia="es-CR"/>
          <w14:ligatures w14:val="none"/>
        </w:rPr>
      </w:pPr>
    </w:p>
    <w:p w14:paraId="56220D26" w14:textId="77777777" w:rsidR="00C97FEA" w:rsidRPr="00C97FEA" w:rsidRDefault="00C97FEA" w:rsidP="00C97FEA">
      <w:pPr>
        <w:spacing w:after="0" w:line="240" w:lineRule="auto"/>
        <w:jc w:val="both"/>
        <w:rPr>
          <w:rFonts w:ascii="Calibri" w:eastAsia="Times New Roman" w:hAnsi="Calibri" w:cs="Arial"/>
          <w:b/>
          <w:color w:val="000000"/>
          <w:kern w:val="0"/>
          <w:lang w:eastAsia="es-CR"/>
          <w14:ligatures w14:val="none"/>
        </w:rPr>
      </w:pPr>
      <w:r w:rsidRPr="00C97FEA">
        <w:rPr>
          <w:rFonts w:ascii="Calibri" w:eastAsia="Times New Roman" w:hAnsi="Calibri" w:cs="Arial"/>
          <w:b/>
          <w:color w:val="000000"/>
          <w:kern w:val="0"/>
          <w:lang w:eastAsia="es-CR"/>
          <w14:ligatures w14:val="none"/>
        </w:rPr>
        <w:lastRenderedPageBreak/>
        <w:t>VIII. Cronograma de trabajo</w:t>
      </w:r>
    </w:p>
    <w:p w14:paraId="735F4F95" w14:textId="77777777" w:rsidR="00C97FEA" w:rsidRPr="00C97FEA" w:rsidRDefault="00C97FEA" w:rsidP="00C97FEA">
      <w:pPr>
        <w:widowControl w:val="0"/>
        <w:overflowPunct w:val="0"/>
        <w:autoSpaceDE w:val="0"/>
        <w:autoSpaceDN w:val="0"/>
        <w:adjustRightInd w:val="0"/>
        <w:spacing w:before="120" w:after="0" w:line="240" w:lineRule="auto"/>
        <w:jc w:val="both"/>
        <w:rPr>
          <w:rFonts w:ascii="Arial" w:eastAsia="Times New Roman" w:hAnsi="Arial" w:cs="Arial"/>
          <w:b/>
          <w:color w:val="000000"/>
          <w:kern w:val="0"/>
          <w:sz w:val="24"/>
          <w:szCs w:val="20"/>
          <w:lang w:eastAsia="es-CR"/>
          <w14:ligatures w14:val="none"/>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2202"/>
        <w:gridCol w:w="2901"/>
        <w:gridCol w:w="2977"/>
      </w:tblGrid>
      <w:tr w:rsidR="00C97FEA" w:rsidRPr="00C97FEA" w14:paraId="7A6FD618" w14:textId="77777777" w:rsidTr="4C9C2619">
        <w:trPr>
          <w:trHeight w:val="462"/>
          <w:jc w:val="center"/>
        </w:trPr>
        <w:tc>
          <w:tcPr>
            <w:tcW w:w="1271" w:type="dxa"/>
            <w:vMerge w:val="restart"/>
            <w:shd w:val="clear" w:color="auto" w:fill="auto"/>
            <w:vAlign w:val="center"/>
          </w:tcPr>
          <w:p w14:paraId="2A7CECBC"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eastAsia="es-CR"/>
                <w14:ligatures w14:val="none"/>
              </w:rPr>
            </w:pPr>
            <w:r w:rsidRPr="00C97FEA">
              <w:rPr>
                <w:rFonts w:ascii="Calibri" w:eastAsia="Times New Roman" w:hAnsi="Calibri" w:cs="Arial"/>
                <w:b/>
                <w:color w:val="000000"/>
                <w:kern w:val="0"/>
                <w:sz w:val="24"/>
                <w:szCs w:val="24"/>
                <w:lang w:eastAsia="es-CR"/>
                <w14:ligatures w14:val="none"/>
              </w:rPr>
              <w:t>Sesión</w:t>
            </w:r>
          </w:p>
          <w:p w14:paraId="1592A777"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color w:val="000000"/>
                <w:kern w:val="0"/>
                <w:sz w:val="16"/>
                <w:szCs w:val="16"/>
                <w:lang w:eastAsia="es-CR"/>
                <w14:ligatures w14:val="none"/>
              </w:rPr>
            </w:pPr>
            <w:r w:rsidRPr="00C97FEA">
              <w:rPr>
                <w:rFonts w:ascii="Calibri" w:eastAsia="Times New Roman" w:hAnsi="Calibri" w:cs="Arial"/>
                <w:b/>
                <w:color w:val="000000"/>
                <w:kern w:val="0"/>
                <w:sz w:val="24"/>
                <w:szCs w:val="24"/>
                <w:lang w:eastAsia="es-CR"/>
                <w14:ligatures w14:val="none"/>
              </w:rPr>
              <w:t>(semana)</w:t>
            </w:r>
          </w:p>
        </w:tc>
        <w:tc>
          <w:tcPr>
            <w:tcW w:w="2202" w:type="dxa"/>
            <w:vMerge w:val="restart"/>
            <w:shd w:val="clear" w:color="auto" w:fill="auto"/>
            <w:vAlign w:val="center"/>
          </w:tcPr>
          <w:p w14:paraId="362F386D"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eastAsia="es-CR"/>
                <w14:ligatures w14:val="none"/>
              </w:rPr>
            </w:pPr>
            <w:r w:rsidRPr="00C97FEA">
              <w:rPr>
                <w:rFonts w:ascii="Calibri" w:eastAsia="Times New Roman" w:hAnsi="Calibri" w:cs="Arial"/>
                <w:b/>
                <w:kern w:val="0"/>
                <w:sz w:val="24"/>
                <w:szCs w:val="24"/>
                <w:lang w:eastAsia="es-CR"/>
                <w14:ligatures w14:val="none"/>
              </w:rPr>
              <w:t>Contenido temático</w:t>
            </w:r>
          </w:p>
        </w:tc>
        <w:tc>
          <w:tcPr>
            <w:tcW w:w="5878" w:type="dxa"/>
            <w:gridSpan w:val="2"/>
            <w:vAlign w:val="center"/>
          </w:tcPr>
          <w:p w14:paraId="4C949047"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eastAsia="es-CR"/>
                <w14:ligatures w14:val="none"/>
              </w:rPr>
            </w:pPr>
            <w:r w:rsidRPr="00C97FEA">
              <w:rPr>
                <w:rFonts w:ascii="Calibri" w:eastAsia="Times New Roman" w:hAnsi="Calibri" w:cs="Arial"/>
                <w:b/>
                <w:kern w:val="0"/>
                <w:sz w:val="24"/>
                <w:szCs w:val="24"/>
                <w:lang w:eastAsia="es-CR"/>
                <w14:ligatures w14:val="none"/>
              </w:rPr>
              <w:t>Actividades de enseñanza-aprendizaje</w:t>
            </w:r>
          </w:p>
        </w:tc>
      </w:tr>
      <w:tr w:rsidR="00C97FEA" w:rsidRPr="00C97FEA" w14:paraId="306C249D" w14:textId="77777777" w:rsidTr="4C9C2619">
        <w:trPr>
          <w:trHeight w:val="413"/>
          <w:jc w:val="center"/>
        </w:trPr>
        <w:tc>
          <w:tcPr>
            <w:tcW w:w="1271" w:type="dxa"/>
            <w:vMerge/>
            <w:vAlign w:val="center"/>
          </w:tcPr>
          <w:p w14:paraId="2F7562E9"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eastAsia="es-CR"/>
                <w14:ligatures w14:val="none"/>
              </w:rPr>
            </w:pPr>
          </w:p>
        </w:tc>
        <w:tc>
          <w:tcPr>
            <w:tcW w:w="2202" w:type="dxa"/>
            <w:vMerge/>
            <w:vAlign w:val="center"/>
          </w:tcPr>
          <w:p w14:paraId="456058CA"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eastAsia="es-CR"/>
                <w14:ligatures w14:val="none"/>
              </w:rPr>
            </w:pPr>
          </w:p>
        </w:tc>
        <w:tc>
          <w:tcPr>
            <w:tcW w:w="2901" w:type="dxa"/>
            <w:vAlign w:val="center"/>
          </w:tcPr>
          <w:p w14:paraId="1C3B168D"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eastAsia="es-CR"/>
                <w14:ligatures w14:val="none"/>
              </w:rPr>
            </w:pPr>
            <w:r w:rsidRPr="00C97FEA">
              <w:rPr>
                <w:rFonts w:ascii="Calibri" w:eastAsia="Times New Roman" w:hAnsi="Calibri" w:cs="Arial"/>
                <w:b/>
                <w:kern w:val="0"/>
                <w:sz w:val="24"/>
                <w:szCs w:val="24"/>
                <w:lang w:eastAsia="es-CR"/>
                <w14:ligatures w14:val="none"/>
              </w:rPr>
              <w:t>Recursos didácticos</w:t>
            </w:r>
          </w:p>
        </w:tc>
        <w:tc>
          <w:tcPr>
            <w:tcW w:w="2977" w:type="dxa"/>
            <w:shd w:val="clear" w:color="auto" w:fill="auto"/>
            <w:vAlign w:val="center"/>
          </w:tcPr>
          <w:p w14:paraId="21DCD88C" w14:textId="77777777" w:rsidR="00C97FEA" w:rsidRPr="00C97FEA" w:rsidRDefault="00C97FEA" w:rsidP="00C97FE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eastAsia="es-CR"/>
                <w14:ligatures w14:val="none"/>
              </w:rPr>
            </w:pPr>
            <w:r w:rsidRPr="00C97FEA">
              <w:rPr>
                <w:rFonts w:ascii="Calibri" w:eastAsia="Times New Roman" w:hAnsi="Calibri" w:cs="Arial"/>
                <w:b/>
                <w:kern w:val="0"/>
                <w:sz w:val="24"/>
                <w:szCs w:val="24"/>
                <w:lang w:eastAsia="es-CR"/>
                <w14:ligatures w14:val="none"/>
              </w:rPr>
              <w:t>Actividades de aprendizaje</w:t>
            </w:r>
          </w:p>
        </w:tc>
      </w:tr>
      <w:tr w:rsidR="00C97FEA" w:rsidRPr="00C97FEA" w14:paraId="65681F39" w14:textId="77777777" w:rsidTr="4C9C2619">
        <w:trPr>
          <w:trHeight w:val="665"/>
          <w:jc w:val="center"/>
        </w:trPr>
        <w:tc>
          <w:tcPr>
            <w:tcW w:w="1271" w:type="dxa"/>
            <w:shd w:val="clear" w:color="auto" w:fill="auto"/>
          </w:tcPr>
          <w:p w14:paraId="3FC565E4"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w:t>
            </w:r>
          </w:p>
        </w:tc>
        <w:tc>
          <w:tcPr>
            <w:tcW w:w="2202" w:type="dxa"/>
            <w:shd w:val="clear" w:color="auto" w:fill="auto"/>
          </w:tcPr>
          <w:p w14:paraId="12E2A0E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1: Introducción </w:t>
            </w:r>
          </w:p>
          <w:p w14:paraId="1B43F69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1.1 Manejo de elementos y estructura</w:t>
            </w:r>
          </w:p>
          <w:p w14:paraId="1958DB6D"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00E697C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2959631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iCs/>
                <w:kern w:val="0"/>
                <w:lang w:eastAsia="es-CR"/>
                <w14:ligatures w14:val="none"/>
              </w:rPr>
            </w:pPr>
            <w:r w:rsidRPr="00C97FEA">
              <w:rPr>
                <w:rFonts w:ascii="Calibri" w:eastAsia="Times New Roman" w:hAnsi="Calibri" w:cs="Arial"/>
                <w:kern w:val="0"/>
                <w:lang w:eastAsia="es-CR"/>
                <w14:ligatures w14:val="none"/>
              </w:rPr>
              <w:t xml:space="preserve">Pacheco Salazar, </w:t>
            </w:r>
            <w:proofErr w:type="spellStart"/>
            <w:r w:rsidRPr="00C97FEA">
              <w:rPr>
                <w:rFonts w:ascii="Calibri" w:eastAsia="Times New Roman" w:hAnsi="Calibri" w:cs="Arial"/>
                <w:kern w:val="0"/>
                <w:lang w:eastAsia="es-CR"/>
                <w14:ligatures w14:val="none"/>
              </w:rPr>
              <w:t>Viria</w:t>
            </w:r>
            <w:proofErr w:type="spellEnd"/>
            <w:r w:rsidRPr="00C97FEA">
              <w:rPr>
                <w:rFonts w:ascii="Calibri" w:eastAsia="Times New Roman" w:hAnsi="Calibri" w:cs="Arial"/>
                <w:kern w:val="0"/>
                <w:lang w:eastAsia="es-CR"/>
                <w14:ligatures w14:val="none"/>
              </w:rPr>
              <w:t xml:space="preserve"> y Roger Loría Meneses. “Origen y evolución del español”. En </w:t>
            </w:r>
            <w:r w:rsidRPr="00C97FEA">
              <w:rPr>
                <w:rFonts w:ascii="Calibri" w:eastAsia="Times New Roman" w:hAnsi="Calibri" w:cs="Arial"/>
                <w:i/>
                <w:kern w:val="0"/>
                <w:lang w:eastAsia="es-CR"/>
                <w14:ligatures w14:val="none"/>
              </w:rPr>
              <w:t>Gramática castellana</w:t>
            </w:r>
            <w:r w:rsidRPr="00C97FEA">
              <w:rPr>
                <w:rFonts w:ascii="Calibri" w:eastAsia="Times New Roman" w:hAnsi="Calibri" w:cs="Arial"/>
                <w:kern w:val="0"/>
                <w:lang w:eastAsia="es-CR"/>
                <w14:ligatures w14:val="none"/>
              </w:rPr>
              <w:t xml:space="preserve">, 3-12. San José, C.R.: EUNED, 2016. </w:t>
            </w:r>
            <w:r w:rsidRPr="00C97FEA">
              <w:rPr>
                <w:rFonts w:ascii="Calibri" w:eastAsia="Times New Roman" w:hAnsi="Calibri" w:cs="Arial"/>
                <w:iCs/>
                <w:kern w:val="0"/>
                <w:lang w:eastAsia="es-CR"/>
                <w14:ligatures w14:val="none"/>
              </w:rPr>
              <w:t>(</w:t>
            </w:r>
            <w:r w:rsidRPr="00C97FEA">
              <w:rPr>
                <w:rFonts w:ascii="Calibri" w:eastAsia="Times New Roman" w:hAnsi="Calibri" w:cs="Arial"/>
                <w:iCs/>
                <w:color w:val="0070C0"/>
                <w:kern w:val="0"/>
                <w:lang w:eastAsia="es-CR"/>
                <w14:ligatures w14:val="none"/>
              </w:rPr>
              <w:t>clásico, última edición</w:t>
            </w:r>
            <w:r w:rsidRPr="00C97FEA">
              <w:rPr>
                <w:rFonts w:ascii="Calibri" w:eastAsia="Times New Roman" w:hAnsi="Calibri" w:cs="Arial"/>
                <w:iCs/>
                <w:kern w:val="0"/>
                <w:lang w:eastAsia="es-CR"/>
                <w14:ligatures w14:val="none"/>
              </w:rPr>
              <w:t>)</w:t>
            </w:r>
          </w:p>
          <w:p w14:paraId="653B533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Mooney, Ruth. “Capítulo I: Elementos de la presentación”. En </w:t>
            </w:r>
            <w:r w:rsidRPr="00C97FEA">
              <w:rPr>
                <w:rFonts w:ascii="Calibri" w:eastAsia="Times New Roman" w:hAnsi="Calibri" w:cs="Arial"/>
                <w:i/>
                <w:kern w:val="0"/>
                <w:lang w:eastAsia="es-CR"/>
                <w14:ligatures w14:val="none"/>
              </w:rPr>
              <w:t>Guía y ejercicios para escribir trabajos universitarios</w:t>
            </w:r>
            <w:r w:rsidRPr="00C97FEA">
              <w:rPr>
                <w:rFonts w:ascii="Calibri" w:eastAsia="Times New Roman" w:hAnsi="Calibri" w:cs="Arial"/>
                <w:kern w:val="0"/>
                <w:lang w:eastAsia="es-CR"/>
                <w14:ligatures w14:val="none"/>
              </w:rPr>
              <w:t>, 1-4. San José: Universidad Bíblica Latinoamericana. Revisado y adaptado de la Guía de Janet May para elaborar trabajos académicos en la UBL. (</w:t>
            </w:r>
            <w:r w:rsidRPr="00C97FEA">
              <w:rPr>
                <w:rFonts w:ascii="Calibri" w:eastAsia="Times New Roman" w:hAnsi="Calibri" w:cs="Arial"/>
                <w:color w:val="0070C0"/>
                <w:kern w:val="0"/>
                <w:lang w:eastAsia="es-CR"/>
                <w14:ligatures w14:val="none"/>
              </w:rPr>
              <w:t xml:space="preserve">clásico, </w:t>
            </w:r>
            <w:proofErr w:type="spellStart"/>
            <w:r w:rsidRPr="00C97FEA">
              <w:rPr>
                <w:rFonts w:ascii="Calibri" w:eastAsia="Times New Roman" w:hAnsi="Calibri" w:cs="Arial"/>
                <w:kern w:val="0"/>
                <w:lang w:eastAsia="es-CR"/>
                <w14:ligatures w14:val="none"/>
              </w:rPr>
              <w:t>úlltima</w:t>
            </w:r>
            <w:proofErr w:type="spellEnd"/>
            <w:r w:rsidRPr="00C97FEA">
              <w:rPr>
                <w:rFonts w:ascii="Calibri" w:eastAsia="Times New Roman" w:hAnsi="Calibri" w:cs="Arial"/>
                <w:kern w:val="0"/>
                <w:lang w:eastAsia="es-CR"/>
                <w14:ligatures w14:val="none"/>
              </w:rPr>
              <w:t xml:space="preserve"> reimpresión 2003)</w:t>
            </w:r>
          </w:p>
          <w:p w14:paraId="2FF4D6AA"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5EDBF9D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color w:val="0070C0"/>
                <w:kern w:val="0"/>
                <w:lang w:eastAsia="es-CR"/>
                <w14:ligatures w14:val="none"/>
              </w:rPr>
              <w:t>Guía para la participación en un foro en la plataforma Moodle</w:t>
            </w:r>
          </w:p>
          <w:p w14:paraId="380CB54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 xml:space="preserve">Guía para la participación mediante la herramienta Big Blue </w:t>
            </w:r>
            <w:proofErr w:type="spellStart"/>
            <w:r w:rsidRPr="00C97FEA">
              <w:rPr>
                <w:rFonts w:ascii="Calibri" w:eastAsia="Times New Roman" w:hAnsi="Calibri" w:cs="Arial"/>
                <w:color w:val="0070C0"/>
                <w:kern w:val="0"/>
                <w:lang w:eastAsia="es-CR"/>
                <w14:ligatures w14:val="none"/>
              </w:rPr>
              <w:t>Button</w:t>
            </w:r>
            <w:proofErr w:type="spellEnd"/>
            <w:r w:rsidRPr="00C97FEA">
              <w:rPr>
                <w:rFonts w:ascii="Calibri" w:eastAsia="Times New Roman" w:hAnsi="Calibri" w:cs="Arial"/>
                <w:color w:val="0070C0"/>
                <w:kern w:val="0"/>
                <w:lang w:eastAsia="es-CR"/>
                <w14:ligatures w14:val="none"/>
              </w:rPr>
              <w:t xml:space="preserve"> en la plataforma Moodle</w:t>
            </w:r>
          </w:p>
        </w:tc>
        <w:tc>
          <w:tcPr>
            <w:tcW w:w="2977" w:type="dxa"/>
            <w:shd w:val="clear" w:color="auto" w:fill="auto"/>
          </w:tcPr>
          <w:p w14:paraId="5A9233A9" w14:textId="77777777" w:rsidR="00C97FEA" w:rsidRPr="00C97FEA" w:rsidRDefault="00C97FEA" w:rsidP="00C97FEA">
            <w:pPr>
              <w:widowControl w:val="0"/>
              <w:numPr>
                <w:ilvl w:val="0"/>
                <w:numId w:val="2"/>
              </w:numPr>
              <w:overflowPunct w:val="0"/>
              <w:autoSpaceDE w:val="0"/>
              <w:autoSpaceDN w:val="0"/>
              <w:adjustRightInd w:val="0"/>
              <w:spacing w:before="120" w:after="0" w:line="240" w:lineRule="auto"/>
              <w:ind w:right="35"/>
              <w:rPr>
                <w:rFonts w:ascii="Calibri" w:eastAsia="Times New Roman" w:hAnsi="Calibri" w:cs="Arial"/>
                <w:kern w:val="0"/>
                <w:lang w:val="es-ES_tradnl" w:eastAsia="es-CR"/>
                <w14:ligatures w14:val="none"/>
              </w:rPr>
            </w:pPr>
            <w:r w:rsidRPr="00C97FEA">
              <w:rPr>
                <w:rFonts w:ascii="Calibri" w:eastAsia="Times New Roman" w:hAnsi="Calibri" w:cs="Arial"/>
                <w:kern w:val="0"/>
                <w:lang w:val="es-ES_tradnl" w:eastAsia="es-CR"/>
                <w14:ligatures w14:val="none"/>
              </w:rPr>
              <w:t xml:space="preserve">Participación en el foro social CAFETERÍA. </w:t>
            </w:r>
          </w:p>
          <w:p w14:paraId="35D4CB50" w14:textId="77777777" w:rsidR="00C97FEA" w:rsidRPr="00C97FEA" w:rsidRDefault="00C97FEA" w:rsidP="00C97FEA">
            <w:pPr>
              <w:widowControl w:val="0"/>
              <w:numPr>
                <w:ilvl w:val="0"/>
                <w:numId w:val="2"/>
              </w:numPr>
              <w:overflowPunct w:val="0"/>
              <w:autoSpaceDE w:val="0"/>
              <w:autoSpaceDN w:val="0"/>
              <w:adjustRightInd w:val="0"/>
              <w:spacing w:before="120" w:after="0" w:line="240" w:lineRule="auto"/>
              <w:ind w:right="35"/>
              <w:rPr>
                <w:rFonts w:ascii="Calibri" w:eastAsia="Times New Roman" w:hAnsi="Calibri" w:cs="Arial"/>
                <w:kern w:val="0"/>
                <w:lang w:val="es-ES_tradnl" w:eastAsia="es-CR"/>
                <w14:ligatures w14:val="none"/>
              </w:rPr>
            </w:pPr>
            <w:r w:rsidRPr="00C97FEA">
              <w:rPr>
                <w:rFonts w:ascii="Calibri" w:eastAsia="Times New Roman" w:hAnsi="Calibri" w:cs="Arial"/>
                <w:kern w:val="0"/>
                <w:lang w:val="es-ES_tradnl" w:eastAsia="es-CR"/>
                <w14:ligatures w14:val="none"/>
              </w:rPr>
              <w:t xml:space="preserve">Participación en el foro de dudas. </w:t>
            </w:r>
          </w:p>
          <w:p w14:paraId="3F888BA3" w14:textId="77777777" w:rsidR="00C97FEA" w:rsidRPr="00C97FEA" w:rsidRDefault="00C97FEA" w:rsidP="00C97FEA">
            <w:pPr>
              <w:widowControl w:val="0"/>
              <w:numPr>
                <w:ilvl w:val="0"/>
                <w:numId w:val="2"/>
              </w:numPr>
              <w:overflowPunct w:val="0"/>
              <w:autoSpaceDE w:val="0"/>
              <w:autoSpaceDN w:val="0"/>
              <w:adjustRightInd w:val="0"/>
              <w:spacing w:before="120" w:after="0" w:line="240" w:lineRule="auto"/>
              <w:ind w:right="35"/>
              <w:rPr>
                <w:rFonts w:ascii="Calibri" w:eastAsia="Times New Roman" w:hAnsi="Calibri" w:cs="Arial"/>
                <w:kern w:val="0"/>
                <w:lang w:val="es-ES_tradnl" w:eastAsia="es-CR"/>
                <w14:ligatures w14:val="none"/>
              </w:rPr>
            </w:pPr>
            <w:r w:rsidRPr="00C97FEA">
              <w:rPr>
                <w:rFonts w:ascii="Calibri" w:eastAsia="Times New Roman" w:hAnsi="Calibri" w:cs="Arial"/>
                <w:kern w:val="0"/>
                <w:lang w:val="es-ES_tradnl" w:eastAsia="es-CR"/>
                <w14:ligatures w14:val="none"/>
              </w:rPr>
              <w:t xml:space="preserve">Participación en el foro temático: El poder la palabra. </w:t>
            </w:r>
          </w:p>
          <w:p w14:paraId="7461C24E" w14:textId="77777777" w:rsidR="00C97FEA" w:rsidRPr="00C97FEA" w:rsidRDefault="00C97FEA" w:rsidP="00C97FEA">
            <w:pPr>
              <w:widowControl w:val="0"/>
              <w:numPr>
                <w:ilvl w:val="0"/>
                <w:numId w:val="2"/>
              </w:numPr>
              <w:overflowPunct w:val="0"/>
              <w:autoSpaceDE w:val="0"/>
              <w:autoSpaceDN w:val="0"/>
              <w:adjustRightInd w:val="0"/>
              <w:spacing w:before="120" w:after="0" w:line="240" w:lineRule="auto"/>
              <w:ind w:right="35"/>
              <w:rPr>
                <w:rFonts w:ascii="Calibri" w:eastAsia="Times New Roman" w:hAnsi="Calibri" w:cs="Arial"/>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7DF91709" w14:textId="77777777" w:rsidTr="4C9C2619">
        <w:trPr>
          <w:trHeight w:val="416"/>
          <w:jc w:val="center"/>
        </w:trPr>
        <w:tc>
          <w:tcPr>
            <w:tcW w:w="1271" w:type="dxa"/>
            <w:shd w:val="clear" w:color="auto" w:fill="auto"/>
          </w:tcPr>
          <w:p w14:paraId="6682B555"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2</w:t>
            </w:r>
          </w:p>
        </w:tc>
        <w:tc>
          <w:tcPr>
            <w:tcW w:w="2202" w:type="dxa"/>
            <w:shd w:val="clear" w:color="auto" w:fill="auto"/>
          </w:tcPr>
          <w:p w14:paraId="3F735FBC"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1: Introducción </w:t>
            </w:r>
          </w:p>
          <w:p w14:paraId="482C91AD"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1.2 Elementos estilísticos</w:t>
            </w:r>
          </w:p>
          <w:p w14:paraId="70DD86A4"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7D8337E3"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2E03F87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López, Carlos. “Vicios en la escritura”, “Aspectos que deben observarse al redactar”. En </w:t>
            </w:r>
            <w:r w:rsidRPr="00C97FEA">
              <w:rPr>
                <w:rFonts w:ascii="Calibri" w:eastAsia="Times New Roman" w:hAnsi="Calibri" w:cs="Arial"/>
                <w:i/>
                <w:kern w:val="0"/>
                <w:lang w:eastAsia="es-CR"/>
                <w14:ligatures w14:val="none"/>
              </w:rPr>
              <w:t>Redacción en movimiento</w:t>
            </w:r>
            <w:r w:rsidRPr="00C97FEA">
              <w:rPr>
                <w:rFonts w:ascii="Calibri" w:eastAsia="Times New Roman" w:hAnsi="Calibri" w:cs="Arial"/>
                <w:kern w:val="0"/>
                <w:lang w:eastAsia="es-CR"/>
                <w14:ligatures w14:val="none"/>
              </w:rPr>
              <w:t xml:space="preserve">, 279-296. San José, C.R.: Editorial Costa Rica, 2004. </w:t>
            </w:r>
            <w:r w:rsidRPr="00C97FEA">
              <w:rPr>
                <w:rFonts w:ascii="Calibri" w:eastAsia="Times New Roman" w:hAnsi="Calibri" w:cs="Arial"/>
                <w:color w:val="0070C0"/>
                <w:kern w:val="0"/>
                <w:lang w:eastAsia="es-CR"/>
                <w14:ligatures w14:val="none"/>
              </w:rPr>
              <w:t xml:space="preserve">(clásico, última </w:t>
            </w:r>
            <w:r w:rsidRPr="00C97FEA">
              <w:rPr>
                <w:rFonts w:ascii="Calibri" w:eastAsia="Times New Roman" w:hAnsi="Calibri" w:cs="Arial"/>
                <w:color w:val="0070C0"/>
                <w:kern w:val="0"/>
                <w:lang w:eastAsia="es-CR"/>
                <w14:ligatures w14:val="none"/>
              </w:rPr>
              <w:lastRenderedPageBreak/>
              <w:t>edición)</w:t>
            </w:r>
          </w:p>
          <w:p w14:paraId="6960214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Mooney, Ruth. “Elementos estilísticos”, “Elementos técnicos”. En </w:t>
            </w:r>
            <w:r w:rsidRPr="00C97FEA">
              <w:rPr>
                <w:rFonts w:ascii="Calibri" w:eastAsia="Times New Roman" w:hAnsi="Calibri" w:cs="Arial"/>
                <w:i/>
                <w:kern w:val="0"/>
                <w:lang w:eastAsia="es-CR"/>
                <w14:ligatures w14:val="none"/>
              </w:rPr>
              <w:t>Guía y ejercicios para escribir trabajos universitarios</w:t>
            </w:r>
            <w:r w:rsidRPr="00C97FEA">
              <w:rPr>
                <w:rFonts w:ascii="Calibri" w:eastAsia="Times New Roman" w:hAnsi="Calibri" w:cs="Arial"/>
                <w:kern w:val="0"/>
                <w:lang w:eastAsia="es-CR"/>
                <w14:ligatures w14:val="none"/>
              </w:rPr>
              <w:t>, 4-9. San José: Universidad Bíblica Latinoamericana. Revisado y adaptado de la Guía de Janet May para elaborar trabajos académicos en la UBL. (</w:t>
            </w:r>
            <w:r w:rsidRPr="00C97FEA">
              <w:rPr>
                <w:rFonts w:ascii="Calibri" w:eastAsia="Times New Roman" w:hAnsi="Calibri" w:cs="Arial"/>
                <w:color w:val="0070C0"/>
                <w:kern w:val="0"/>
                <w:lang w:eastAsia="es-CR"/>
                <w14:ligatures w14:val="none"/>
              </w:rPr>
              <w:t xml:space="preserve">clásico, </w:t>
            </w:r>
            <w:r w:rsidRPr="00C97FEA">
              <w:rPr>
                <w:rFonts w:ascii="Calibri" w:eastAsia="Times New Roman" w:hAnsi="Calibri" w:cs="Arial"/>
                <w:kern w:val="0"/>
                <w:lang w:eastAsia="es-CR"/>
                <w14:ligatures w14:val="none"/>
              </w:rPr>
              <w:t>Última reimpresión 2003).</w:t>
            </w:r>
          </w:p>
          <w:p w14:paraId="27E9B381"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4B98285D"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color w:val="0070C0"/>
                <w:kern w:val="0"/>
                <w:lang w:eastAsia="es-CR"/>
                <w14:ligatures w14:val="none"/>
              </w:rPr>
            </w:pPr>
            <w:r w:rsidRPr="00C97FEA">
              <w:rPr>
                <w:rFonts w:ascii="Calibri" w:eastAsia="Times New Roman" w:hAnsi="Calibri" w:cs="Arial"/>
                <w:bCs/>
                <w:color w:val="0070C0"/>
                <w:kern w:val="0"/>
                <w:lang w:eastAsia="es-CR"/>
                <w14:ligatures w14:val="none"/>
              </w:rPr>
              <w:t>Guía para la participación en un glosario en la plataforma Moodle</w:t>
            </w:r>
          </w:p>
          <w:p w14:paraId="27516316"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Guía para la participación en un foro en la plataforma Moodle</w:t>
            </w:r>
          </w:p>
        </w:tc>
        <w:tc>
          <w:tcPr>
            <w:tcW w:w="2977" w:type="dxa"/>
            <w:shd w:val="clear" w:color="auto" w:fill="auto"/>
          </w:tcPr>
          <w:p w14:paraId="7852FAA9"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Participación en la elaboración de un glosario sobre los vicios de la escritura. </w:t>
            </w:r>
          </w:p>
          <w:p w14:paraId="22672407"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Elaboración de la tarea individual 1. </w:t>
            </w:r>
          </w:p>
          <w:p w14:paraId="69DDD31E"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Participación en el foro temático: ¿Por qué y para </w:t>
            </w:r>
            <w:r w:rsidRPr="00C97FEA">
              <w:rPr>
                <w:rFonts w:ascii="Calibri" w:eastAsia="Times New Roman" w:hAnsi="Calibri" w:cs="Calibri"/>
                <w:kern w:val="0"/>
                <w:lang w:val="es-ES_tradnl" w:eastAsia="es-CR"/>
                <w14:ligatures w14:val="none"/>
              </w:rPr>
              <w:lastRenderedPageBreak/>
              <w:t>qué escribo?</w:t>
            </w:r>
          </w:p>
        </w:tc>
      </w:tr>
      <w:tr w:rsidR="00C97FEA" w:rsidRPr="00C97FEA" w14:paraId="49AE86A4" w14:textId="77777777" w:rsidTr="4C9C2619">
        <w:trPr>
          <w:trHeight w:val="665"/>
          <w:jc w:val="center"/>
        </w:trPr>
        <w:tc>
          <w:tcPr>
            <w:tcW w:w="1271" w:type="dxa"/>
            <w:shd w:val="clear" w:color="auto" w:fill="auto"/>
          </w:tcPr>
          <w:p w14:paraId="57F5BF1C"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lastRenderedPageBreak/>
              <w:t>3</w:t>
            </w:r>
          </w:p>
        </w:tc>
        <w:tc>
          <w:tcPr>
            <w:tcW w:w="2202" w:type="dxa"/>
            <w:shd w:val="clear" w:color="auto" w:fill="auto"/>
          </w:tcPr>
          <w:p w14:paraId="09B1855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2: Trabajos escritos típicos</w:t>
            </w:r>
          </w:p>
          <w:p w14:paraId="7A55313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2.1 Ensayo y monografía</w:t>
            </w:r>
          </w:p>
        </w:tc>
        <w:tc>
          <w:tcPr>
            <w:tcW w:w="2901" w:type="dxa"/>
          </w:tcPr>
          <w:p w14:paraId="314E30A6"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1FAD1B29"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Ochoa, Adriana y Eleonora </w:t>
            </w:r>
            <w:proofErr w:type="spellStart"/>
            <w:r w:rsidRPr="00C97FEA">
              <w:rPr>
                <w:rFonts w:ascii="Calibri" w:eastAsia="Times New Roman" w:hAnsi="Calibri" w:cs="Arial"/>
                <w:kern w:val="0"/>
                <w:lang w:eastAsia="es-CR"/>
                <w14:ligatures w14:val="none"/>
              </w:rPr>
              <w:t>Achugar</w:t>
            </w:r>
            <w:proofErr w:type="spellEnd"/>
            <w:r w:rsidRPr="00C97FEA">
              <w:rPr>
                <w:rFonts w:ascii="Calibri" w:eastAsia="Times New Roman" w:hAnsi="Calibri" w:cs="Arial"/>
                <w:kern w:val="0"/>
                <w:lang w:eastAsia="es-CR"/>
                <w14:ligatures w14:val="none"/>
              </w:rPr>
              <w:t xml:space="preserve">. “Bloque 6: Redactar ensayos”. En </w:t>
            </w:r>
            <w:r w:rsidRPr="00C97FEA">
              <w:rPr>
                <w:rFonts w:ascii="Calibri" w:eastAsia="Times New Roman" w:hAnsi="Calibri" w:cs="Arial"/>
                <w:i/>
                <w:kern w:val="0"/>
                <w:lang w:eastAsia="es-CR"/>
                <w14:ligatures w14:val="none"/>
              </w:rPr>
              <w:t>Taller de lectura y redacción 2</w:t>
            </w:r>
            <w:r w:rsidRPr="00C97FEA">
              <w:rPr>
                <w:rFonts w:ascii="Calibri" w:eastAsia="Times New Roman" w:hAnsi="Calibri" w:cs="Arial"/>
                <w:kern w:val="0"/>
                <w:lang w:eastAsia="es-CR"/>
                <w14:ligatures w14:val="none"/>
              </w:rPr>
              <w:t xml:space="preserve">, 118-133. México: Pearson, 2012. </w:t>
            </w:r>
            <w:r w:rsidRPr="00C97FEA">
              <w:rPr>
                <w:rFonts w:ascii="Calibri" w:eastAsia="Times New Roman" w:hAnsi="Calibri" w:cs="Arial"/>
                <w:color w:val="0070C0"/>
                <w:kern w:val="0"/>
                <w:lang w:eastAsia="es-CR"/>
                <w14:ligatures w14:val="none"/>
              </w:rPr>
              <w:t>(clásico, última edición)</w:t>
            </w:r>
          </w:p>
          <w:p w14:paraId="4EF7B8FA"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Ander </w:t>
            </w:r>
            <w:proofErr w:type="spellStart"/>
            <w:r w:rsidRPr="00C97FEA">
              <w:rPr>
                <w:rFonts w:ascii="Calibri" w:eastAsia="Times New Roman" w:hAnsi="Calibri" w:cs="Arial"/>
                <w:kern w:val="0"/>
                <w:lang w:eastAsia="es-CR"/>
                <w14:ligatures w14:val="none"/>
              </w:rPr>
              <w:t>Egg</w:t>
            </w:r>
            <w:proofErr w:type="spellEnd"/>
            <w:r w:rsidRPr="00C97FEA">
              <w:rPr>
                <w:rFonts w:ascii="Calibri" w:eastAsia="Times New Roman" w:hAnsi="Calibri" w:cs="Arial"/>
                <w:kern w:val="0"/>
                <w:lang w:eastAsia="es-CR"/>
                <w14:ligatures w14:val="none"/>
              </w:rPr>
              <w:t xml:space="preserve">, Ezequiel y Pablo Valle. “Proceso de elaboración de una monografía”, “Algunas técnicas y procedimientos para la recogida de datos e información cuando se realiza un trabajo de campo”. En </w:t>
            </w:r>
            <w:r w:rsidRPr="00C97FEA">
              <w:rPr>
                <w:rFonts w:ascii="Calibri" w:eastAsia="Times New Roman" w:hAnsi="Calibri" w:cs="Arial"/>
                <w:i/>
                <w:kern w:val="0"/>
                <w:lang w:eastAsia="es-CR"/>
                <w14:ligatures w14:val="none"/>
              </w:rPr>
              <w:t>Cómo elaborar monografías, artículos científicos y otros textos expositivos</w:t>
            </w:r>
            <w:r w:rsidRPr="00C97FEA">
              <w:rPr>
                <w:rFonts w:ascii="Calibri" w:eastAsia="Times New Roman" w:hAnsi="Calibri" w:cs="Arial"/>
                <w:kern w:val="0"/>
                <w:lang w:eastAsia="es-CR"/>
                <w14:ligatures w14:val="none"/>
              </w:rPr>
              <w:t xml:space="preserve">, 19-40. Lima: Fondo Editorial de la Universidad Inca Garcilaso de la Vega, 2013. </w:t>
            </w:r>
            <w:r w:rsidRPr="00C97FEA">
              <w:rPr>
                <w:rFonts w:ascii="Calibri" w:eastAsia="Times New Roman" w:hAnsi="Calibri" w:cs="Arial"/>
                <w:color w:val="0070C0"/>
                <w:kern w:val="0"/>
                <w:lang w:eastAsia="es-CR"/>
                <w14:ligatures w14:val="none"/>
              </w:rPr>
              <w:t>(clásico, última edición)</w:t>
            </w:r>
          </w:p>
          <w:p w14:paraId="10803ACC"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lastRenderedPageBreak/>
              <w:t>Material complementario</w:t>
            </w:r>
          </w:p>
          <w:p w14:paraId="225C4DC6"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kern w:val="0"/>
                <w:u w:val="single"/>
                <w:lang w:eastAsia="es-CR"/>
                <w14:ligatures w14:val="none"/>
              </w:rPr>
            </w:pPr>
            <w:r w:rsidRPr="00C97FEA">
              <w:rPr>
                <w:rFonts w:ascii="Calibri" w:eastAsia="Times New Roman" w:hAnsi="Calibri" w:cs="Arial"/>
                <w:kern w:val="0"/>
                <w:lang w:eastAsia="es-CR"/>
                <w14:ligatures w14:val="none"/>
              </w:rPr>
              <w:t>Díaz H., Dámaris. “Cómo se elabora un ensayo”. Acción Pedagógica 13, n. 1 (2004): 108-113. Acceso el 18 de diciembre de 2020.</w:t>
            </w:r>
            <w:r w:rsidRPr="00C97FEA">
              <w:rPr>
                <w:rFonts w:ascii="Times New Roman" w:eastAsia="Times New Roman" w:hAnsi="Times New Roman" w:cs="Times New Roman"/>
                <w:kern w:val="0"/>
                <w:sz w:val="24"/>
                <w:szCs w:val="20"/>
                <w:lang w:val="es-ES_tradnl" w:eastAsia="es-CR"/>
                <w14:ligatures w14:val="none"/>
              </w:rPr>
              <w:t xml:space="preserve"> </w:t>
            </w:r>
            <w:hyperlink r:id="rId15" w:history="1">
              <w:r w:rsidRPr="00C97FEA">
                <w:rPr>
                  <w:rFonts w:ascii="Calibri" w:eastAsia="Times New Roman" w:hAnsi="Calibri" w:cs="Arial"/>
                  <w:color w:val="0563C1"/>
                  <w:kern w:val="0"/>
                  <w:u w:val="single"/>
                  <w:lang w:eastAsia="es-CR"/>
                  <w14:ligatures w14:val="none"/>
                </w:rPr>
                <w:t>https://dialnet.unirioja.es/servlet/articulo?codigo=2972010</w:t>
              </w:r>
            </w:hyperlink>
            <w:r w:rsidRPr="00C97FEA">
              <w:rPr>
                <w:rFonts w:ascii="Calibri" w:eastAsia="Times New Roman" w:hAnsi="Calibri" w:cs="Arial"/>
                <w:kern w:val="0"/>
                <w:lang w:eastAsia="es-CR"/>
                <w14:ligatures w14:val="none"/>
              </w:rPr>
              <w:t xml:space="preserve"> </w:t>
            </w:r>
          </w:p>
          <w:p w14:paraId="4A20581B"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Arial"/>
                <w:kern w:val="0"/>
                <w:u w:val="single"/>
                <w:lang w:eastAsia="es-CR"/>
                <w14:ligatures w14:val="none"/>
              </w:rPr>
            </w:pPr>
            <w:r w:rsidRPr="00C97FEA">
              <w:rPr>
                <w:rFonts w:ascii="Calibri" w:eastAsia="Times New Roman" w:hAnsi="Calibri" w:cs="Arial"/>
                <w:kern w:val="0"/>
                <w:lang w:eastAsia="es-CR"/>
                <w14:ligatures w14:val="none"/>
              </w:rPr>
              <w:t xml:space="preserve">Moris, Juan Pablo e Inés </w:t>
            </w:r>
            <w:proofErr w:type="spellStart"/>
            <w:r w:rsidRPr="00C97FEA">
              <w:rPr>
                <w:rFonts w:ascii="Calibri" w:eastAsia="Times New Roman" w:hAnsi="Calibri" w:cs="Arial"/>
                <w:kern w:val="0"/>
                <w:lang w:eastAsia="es-CR"/>
                <w14:ligatures w14:val="none"/>
              </w:rPr>
              <w:t>Gimena</w:t>
            </w:r>
            <w:proofErr w:type="spellEnd"/>
            <w:r w:rsidRPr="00C97FEA">
              <w:rPr>
                <w:rFonts w:ascii="Calibri" w:eastAsia="Times New Roman" w:hAnsi="Calibri" w:cs="Arial"/>
                <w:kern w:val="0"/>
                <w:lang w:eastAsia="es-CR"/>
                <w14:ligatures w14:val="none"/>
              </w:rPr>
              <w:t xml:space="preserve"> Pérez. “La monografía”. En Manual de escritura para carreras de humanidades, coordinado por Federico Navarro, 191-238. Buenos Aires: Universidad de Buenos Aires, 2014. Acceso el 18 de diciembre de 2020.</w:t>
            </w:r>
            <w:r w:rsidRPr="00C97FEA">
              <w:rPr>
                <w:rFonts w:ascii="Times New Roman" w:eastAsia="Times New Roman" w:hAnsi="Times New Roman" w:cs="Times New Roman"/>
                <w:kern w:val="0"/>
                <w:sz w:val="24"/>
                <w:szCs w:val="20"/>
                <w:lang w:val="es-ES_tradnl" w:eastAsia="es-CR"/>
                <w14:ligatures w14:val="none"/>
              </w:rPr>
              <w:t xml:space="preserve"> </w:t>
            </w:r>
            <w:hyperlink r:id="rId16" w:history="1">
              <w:r w:rsidRPr="00C97FEA">
                <w:rPr>
                  <w:rFonts w:ascii="Calibri" w:eastAsia="Times New Roman" w:hAnsi="Calibri" w:cs="Arial"/>
                  <w:color w:val="0563C1"/>
                  <w:kern w:val="0"/>
                  <w:u w:val="single"/>
                  <w:lang w:eastAsia="es-CR"/>
                  <w14:ligatures w14:val="none"/>
                </w:rPr>
                <w:t>https://dialnet.unirioja.es/servlet/libro?codigo=723206</w:t>
              </w:r>
            </w:hyperlink>
            <w:r w:rsidRPr="00C97FEA">
              <w:rPr>
                <w:rFonts w:ascii="Calibri" w:eastAsia="Times New Roman" w:hAnsi="Calibri" w:cs="Arial"/>
                <w:kern w:val="0"/>
                <w:lang w:eastAsia="es-CR"/>
                <w14:ligatures w14:val="none"/>
              </w:rPr>
              <w:t xml:space="preserve"> </w:t>
            </w:r>
          </w:p>
          <w:p w14:paraId="55E0DFF8"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p w14:paraId="2EFD16F8"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C97FEA">
              <w:rPr>
                <w:rFonts w:ascii="Calibri" w:eastAsia="Times New Roman" w:hAnsi="Calibri" w:cs="Calibri"/>
                <w:color w:val="0070C0"/>
                <w:kern w:val="0"/>
                <w:lang w:val="es-ES_tradnl" w:eastAsia="es-CR"/>
                <w14:ligatures w14:val="none"/>
              </w:rPr>
              <w:t>Guía para la elaboración de un bosquejo de lectura</w:t>
            </w:r>
          </w:p>
          <w:p w14:paraId="3E66F4D2" w14:textId="77777777" w:rsidR="00C97FEA" w:rsidRPr="00C97FEA" w:rsidRDefault="00C97FEA"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0ECAF622"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2977" w:type="dxa"/>
            <w:shd w:val="clear" w:color="auto" w:fill="auto"/>
          </w:tcPr>
          <w:p w14:paraId="1B5121AA"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Elaboración de la tarea individual 2. </w:t>
            </w:r>
          </w:p>
          <w:p w14:paraId="128529C9"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Participación en el taller interactivo. </w:t>
            </w:r>
          </w:p>
          <w:p w14:paraId="19A0D23F"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0AB29FF6" w14:textId="77777777" w:rsidTr="4C9C2619">
        <w:trPr>
          <w:trHeight w:val="411"/>
          <w:jc w:val="center"/>
        </w:trPr>
        <w:tc>
          <w:tcPr>
            <w:tcW w:w="1271" w:type="dxa"/>
            <w:shd w:val="clear" w:color="auto" w:fill="auto"/>
          </w:tcPr>
          <w:p w14:paraId="47700D8E"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4</w:t>
            </w:r>
          </w:p>
        </w:tc>
        <w:tc>
          <w:tcPr>
            <w:tcW w:w="2202" w:type="dxa"/>
            <w:shd w:val="clear" w:color="auto" w:fill="auto"/>
          </w:tcPr>
          <w:p w14:paraId="30C4E17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2: Trabajos escritos típicos</w:t>
            </w:r>
          </w:p>
          <w:p w14:paraId="0C0A8D1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2.2 Resumen y reseña</w:t>
            </w:r>
          </w:p>
        </w:tc>
        <w:tc>
          <w:tcPr>
            <w:tcW w:w="2901" w:type="dxa"/>
          </w:tcPr>
          <w:p w14:paraId="0BD4672F"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6E871AC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Sánchez Lobato, Jesús. “La redacción de textos académicos”. En </w:t>
            </w:r>
            <w:r w:rsidRPr="00C97FEA">
              <w:rPr>
                <w:rFonts w:ascii="Calibri" w:eastAsia="Times New Roman" w:hAnsi="Calibri" w:cs="Arial"/>
                <w:i/>
                <w:kern w:val="0"/>
                <w:lang w:eastAsia="es-CR"/>
                <w14:ligatures w14:val="none"/>
              </w:rPr>
              <w:t>Saber escribir</w:t>
            </w:r>
            <w:r w:rsidRPr="00C97FEA">
              <w:rPr>
                <w:rFonts w:ascii="Calibri" w:eastAsia="Times New Roman" w:hAnsi="Calibri" w:cs="Arial"/>
                <w:kern w:val="0"/>
                <w:lang w:eastAsia="es-CR"/>
                <w14:ligatures w14:val="none"/>
              </w:rPr>
              <w:t xml:space="preserve">, coordinado por Jesús Sánchez Lobato, 433-440. México: Editorial Santillana, 2006. </w:t>
            </w:r>
            <w:r w:rsidRPr="00C97FEA">
              <w:rPr>
                <w:rFonts w:ascii="Calibri" w:eastAsia="Times New Roman" w:hAnsi="Calibri" w:cs="Arial"/>
                <w:color w:val="0070C0"/>
                <w:kern w:val="0"/>
                <w:lang w:eastAsia="es-CR"/>
                <w14:ligatures w14:val="none"/>
              </w:rPr>
              <w:t>(clásico, última edición)</w:t>
            </w:r>
          </w:p>
          <w:p w14:paraId="501B915F"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Sánchez Lobato, Jesús. “La reseña crítica”. En </w:t>
            </w:r>
            <w:r w:rsidRPr="00C97FEA">
              <w:rPr>
                <w:rFonts w:ascii="Calibri" w:eastAsia="Times New Roman" w:hAnsi="Calibri" w:cs="Arial"/>
                <w:i/>
                <w:kern w:val="0"/>
                <w:lang w:eastAsia="es-CR"/>
                <w14:ligatures w14:val="none"/>
              </w:rPr>
              <w:t>Saber escribir</w:t>
            </w:r>
            <w:r w:rsidRPr="00C97FEA">
              <w:rPr>
                <w:rFonts w:ascii="Calibri" w:eastAsia="Times New Roman" w:hAnsi="Calibri" w:cs="Arial"/>
                <w:kern w:val="0"/>
                <w:lang w:eastAsia="es-CR"/>
                <w14:ligatures w14:val="none"/>
              </w:rPr>
              <w:t xml:space="preserve">, coordinado por Jesús Sánchez Lobato, 473-479. México: Editorial Santillana, </w:t>
            </w:r>
            <w:r w:rsidRPr="00C97FEA">
              <w:rPr>
                <w:rFonts w:ascii="Calibri" w:eastAsia="Times New Roman" w:hAnsi="Calibri" w:cs="Arial"/>
                <w:kern w:val="0"/>
                <w:lang w:eastAsia="es-CR"/>
                <w14:ligatures w14:val="none"/>
              </w:rPr>
              <w:lastRenderedPageBreak/>
              <w:t xml:space="preserve">2006. </w:t>
            </w:r>
            <w:r w:rsidRPr="00C97FEA">
              <w:rPr>
                <w:rFonts w:ascii="Calibri" w:eastAsia="Times New Roman" w:hAnsi="Calibri" w:cs="Arial"/>
                <w:color w:val="0070C0"/>
                <w:kern w:val="0"/>
                <w:lang w:eastAsia="es-CR"/>
                <w14:ligatures w14:val="none"/>
              </w:rPr>
              <w:t>(clásico, última edición)</w:t>
            </w:r>
          </w:p>
          <w:p w14:paraId="4CA4C93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68C75B4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 xml:space="preserve">Guía para la participación mediante la herramienta Big Blue </w:t>
            </w:r>
            <w:proofErr w:type="spellStart"/>
            <w:r w:rsidRPr="00C97FEA">
              <w:rPr>
                <w:rFonts w:ascii="Calibri" w:eastAsia="Times New Roman" w:hAnsi="Calibri" w:cs="Arial"/>
                <w:bCs/>
                <w:color w:val="0070C0"/>
                <w:kern w:val="0"/>
                <w:lang w:eastAsia="es-CR"/>
                <w14:ligatures w14:val="none"/>
              </w:rPr>
              <w:t>Button</w:t>
            </w:r>
            <w:proofErr w:type="spellEnd"/>
            <w:r w:rsidRPr="00C97FEA">
              <w:rPr>
                <w:rFonts w:ascii="Calibri" w:eastAsia="Times New Roman" w:hAnsi="Calibri" w:cs="Arial"/>
                <w:bCs/>
                <w:color w:val="0070C0"/>
                <w:kern w:val="0"/>
                <w:lang w:eastAsia="es-CR"/>
                <w14:ligatures w14:val="none"/>
              </w:rPr>
              <w:t xml:space="preserve"> en la plataforma Moodle</w:t>
            </w:r>
          </w:p>
        </w:tc>
        <w:tc>
          <w:tcPr>
            <w:tcW w:w="2977" w:type="dxa"/>
            <w:shd w:val="clear" w:color="auto" w:fill="auto"/>
          </w:tcPr>
          <w:p w14:paraId="4305A402"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Elaboración de la tarea individual 3. </w:t>
            </w:r>
          </w:p>
          <w:p w14:paraId="4A71CC2C"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5AAAC011" w14:textId="77777777" w:rsidTr="4C9C2619">
        <w:trPr>
          <w:trHeight w:val="416"/>
          <w:jc w:val="center"/>
        </w:trPr>
        <w:tc>
          <w:tcPr>
            <w:tcW w:w="1271" w:type="dxa"/>
            <w:shd w:val="clear" w:color="auto" w:fill="auto"/>
          </w:tcPr>
          <w:p w14:paraId="01AF4A08"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5</w:t>
            </w:r>
          </w:p>
        </w:tc>
        <w:tc>
          <w:tcPr>
            <w:tcW w:w="2202" w:type="dxa"/>
            <w:shd w:val="clear" w:color="auto" w:fill="auto"/>
          </w:tcPr>
          <w:p w14:paraId="3CB7C815"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3: La ortografía  </w:t>
            </w:r>
          </w:p>
          <w:p w14:paraId="7183A9C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3.1 Uso de las mayúsculas y representación gráfica de los fonemas consonánticos</w:t>
            </w:r>
          </w:p>
        </w:tc>
        <w:tc>
          <w:tcPr>
            <w:tcW w:w="2901" w:type="dxa"/>
          </w:tcPr>
          <w:p w14:paraId="6315AB4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5157ED0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Pacheco Salazar, </w:t>
            </w:r>
            <w:proofErr w:type="spellStart"/>
            <w:r w:rsidRPr="00C97FEA">
              <w:rPr>
                <w:rFonts w:ascii="Calibri" w:eastAsia="Times New Roman" w:hAnsi="Calibri" w:cs="Arial"/>
                <w:kern w:val="0"/>
                <w:lang w:eastAsia="es-CR"/>
                <w14:ligatures w14:val="none"/>
              </w:rPr>
              <w:t>Viria</w:t>
            </w:r>
            <w:proofErr w:type="spellEnd"/>
            <w:r w:rsidRPr="00C97FEA">
              <w:rPr>
                <w:rFonts w:ascii="Calibri" w:eastAsia="Times New Roman" w:hAnsi="Calibri" w:cs="Arial"/>
                <w:kern w:val="0"/>
                <w:lang w:eastAsia="es-CR"/>
                <w14:ligatures w14:val="none"/>
              </w:rPr>
              <w:t xml:space="preserve"> y Roger Loría Meneses. “Uso de las mayúsculas”. En </w:t>
            </w:r>
            <w:r w:rsidRPr="00C97FEA">
              <w:rPr>
                <w:rFonts w:ascii="Calibri" w:eastAsia="Times New Roman" w:hAnsi="Calibri" w:cs="Arial"/>
                <w:i/>
                <w:kern w:val="0"/>
                <w:lang w:eastAsia="es-CR"/>
                <w14:ligatures w14:val="none"/>
              </w:rPr>
              <w:t>Gramática castellana</w:t>
            </w:r>
            <w:r w:rsidRPr="00C97FEA">
              <w:rPr>
                <w:rFonts w:ascii="Calibri" w:eastAsia="Times New Roman" w:hAnsi="Calibri" w:cs="Arial"/>
                <w:kern w:val="0"/>
                <w:lang w:eastAsia="es-CR"/>
                <w14:ligatures w14:val="none"/>
              </w:rPr>
              <w:t xml:space="preserve">, 144-170. San José, C.R.: EUNED, 2016. </w:t>
            </w:r>
            <w:r w:rsidRPr="00C97FEA">
              <w:rPr>
                <w:rFonts w:ascii="Calibri" w:eastAsia="Times New Roman" w:hAnsi="Calibri" w:cs="Arial"/>
                <w:color w:val="0070C0"/>
                <w:kern w:val="0"/>
                <w:lang w:eastAsia="es-CR"/>
                <w14:ligatures w14:val="none"/>
              </w:rPr>
              <w:t>(clásico, última edición)</w:t>
            </w:r>
          </w:p>
          <w:p w14:paraId="352BF3A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Ortega, Wenceslao. “Lección 5”, “Lección 10”, “Lección 11”, “Lección 13”, “Lección 15”, “Lección 17”, “Lección 27”, “Lección 34”, “Lección 41”, “Lección 46”, “Lección 47”, “Lección 55”. En </w:t>
            </w:r>
            <w:r w:rsidRPr="00C97FEA">
              <w:rPr>
                <w:rFonts w:ascii="Calibri" w:eastAsia="Times New Roman" w:hAnsi="Calibri" w:cs="Arial"/>
                <w:i/>
                <w:iCs/>
                <w:kern w:val="0"/>
                <w:lang w:eastAsia="es-CR"/>
                <w14:ligatures w14:val="none"/>
              </w:rPr>
              <w:t>Ortografía programada: curso avanzado</w:t>
            </w:r>
            <w:r w:rsidRPr="00C97FEA">
              <w:rPr>
                <w:rFonts w:ascii="Calibri" w:eastAsia="Times New Roman" w:hAnsi="Calibri" w:cs="Arial"/>
                <w:kern w:val="0"/>
                <w:lang w:eastAsia="es-CR"/>
                <w14:ligatures w14:val="none"/>
              </w:rPr>
              <w:t xml:space="preserve">, 10, 20, 22, 26, 30, 34, 56, 72, 88, 98, 100 y 118.  México: McGraw-Hill, 2001. </w:t>
            </w:r>
            <w:r w:rsidRPr="00C97FEA">
              <w:rPr>
                <w:rFonts w:ascii="Calibri" w:eastAsia="Times New Roman" w:hAnsi="Calibri" w:cs="Arial"/>
                <w:color w:val="0070C0"/>
                <w:kern w:val="0"/>
                <w:lang w:eastAsia="es-CR"/>
                <w14:ligatures w14:val="none"/>
              </w:rPr>
              <w:t>(última edición 2012)</w:t>
            </w:r>
          </w:p>
          <w:p w14:paraId="722F925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kern w:val="0"/>
                <w:lang w:eastAsia="es-CR"/>
                <w14:ligatures w14:val="none"/>
              </w:rPr>
            </w:pPr>
            <w:r w:rsidRPr="00C97FEA">
              <w:rPr>
                <w:rFonts w:ascii="Calibri" w:eastAsia="Times New Roman" w:hAnsi="Calibri" w:cs="Arial"/>
                <w:b/>
                <w:kern w:val="0"/>
                <w:lang w:eastAsia="es-CR"/>
                <w14:ligatures w14:val="none"/>
              </w:rPr>
              <w:t>Material complementario</w:t>
            </w:r>
          </w:p>
          <w:p w14:paraId="260E7F7B"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Mena Oreamuno, Francisco. “Unidad 2: Fundamentos de gramática”, “Unidad 3: La ortografía”, “Unidad 4: Habilidades necesarias para escribir”. En </w:t>
            </w:r>
            <w:r w:rsidRPr="00C97FEA">
              <w:rPr>
                <w:rFonts w:ascii="Calibri" w:eastAsia="Times New Roman" w:hAnsi="Calibri" w:cs="Arial"/>
                <w:i/>
                <w:kern w:val="0"/>
                <w:lang w:eastAsia="es-CR"/>
                <w14:ligatures w14:val="none"/>
              </w:rPr>
              <w:t>Comunicación escrita</w:t>
            </w:r>
            <w:r w:rsidRPr="00C97FEA">
              <w:rPr>
                <w:rFonts w:ascii="Calibri" w:eastAsia="Times New Roman" w:hAnsi="Calibri" w:cs="Arial"/>
                <w:kern w:val="0"/>
                <w:lang w:eastAsia="es-CR"/>
                <w14:ligatures w14:val="none"/>
              </w:rPr>
              <w:t xml:space="preserve">, 6-18. San José, C.R.: Universidad Bíblica Latinoamericana, 2000. </w:t>
            </w:r>
            <w:r w:rsidRPr="00C97FEA">
              <w:rPr>
                <w:rFonts w:ascii="Calibri" w:eastAsia="Times New Roman" w:hAnsi="Calibri" w:cs="Arial"/>
                <w:color w:val="0070C0"/>
                <w:kern w:val="0"/>
                <w:lang w:eastAsia="es-CR"/>
                <w14:ligatures w14:val="none"/>
              </w:rPr>
              <w:t>(clásico, última edición)</w:t>
            </w:r>
          </w:p>
          <w:p w14:paraId="153D6408" w14:textId="276C716C" w:rsidR="00C97FEA" w:rsidRPr="00C97FEA" w:rsidRDefault="00C97FEA" w:rsidP="004C25D2">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color w:val="0070C0"/>
                <w:kern w:val="0"/>
                <w:lang w:eastAsia="es-CR"/>
                <w14:ligatures w14:val="none"/>
              </w:rPr>
              <w:t>Guía para la participación en un foro en la plataforma Moodle</w:t>
            </w:r>
          </w:p>
        </w:tc>
        <w:tc>
          <w:tcPr>
            <w:tcW w:w="2977" w:type="dxa"/>
            <w:shd w:val="clear" w:color="auto" w:fill="auto"/>
          </w:tcPr>
          <w:p w14:paraId="6F335248"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Participación en el foro temático: ¿La ortografía en peligro por el uso de recursos tecnológicos y redes sociales?</w:t>
            </w:r>
          </w:p>
          <w:p w14:paraId="1EE88A05"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Elaboración de la tarea individual 4. </w:t>
            </w:r>
          </w:p>
          <w:p w14:paraId="5A03B104" w14:textId="77777777" w:rsidR="00C97FEA" w:rsidRPr="00C97FEA" w:rsidRDefault="00C97FEA" w:rsidP="00C97FEA">
            <w:pPr>
              <w:spacing w:after="0" w:line="240" w:lineRule="auto"/>
              <w:rPr>
                <w:rFonts w:ascii="Calibri" w:eastAsia="Times New Roman" w:hAnsi="Calibri" w:cs="Calibri"/>
                <w:kern w:val="0"/>
                <w:lang w:val="es-ES_tradnl" w:eastAsia="es-CR"/>
                <w14:ligatures w14:val="none"/>
              </w:rPr>
            </w:pPr>
          </w:p>
        </w:tc>
      </w:tr>
      <w:tr w:rsidR="00C97FEA" w:rsidRPr="00C97FEA" w14:paraId="3436302A" w14:textId="77777777" w:rsidTr="4C9C2619">
        <w:trPr>
          <w:trHeight w:val="539"/>
          <w:jc w:val="center"/>
        </w:trPr>
        <w:tc>
          <w:tcPr>
            <w:tcW w:w="1271" w:type="dxa"/>
            <w:shd w:val="clear" w:color="auto" w:fill="auto"/>
          </w:tcPr>
          <w:p w14:paraId="63972F4E"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lastRenderedPageBreak/>
              <w:t>6</w:t>
            </w:r>
          </w:p>
        </w:tc>
        <w:tc>
          <w:tcPr>
            <w:tcW w:w="2202" w:type="dxa"/>
            <w:shd w:val="clear" w:color="auto" w:fill="auto"/>
          </w:tcPr>
          <w:p w14:paraId="39FEA91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3: La ortografía </w:t>
            </w:r>
          </w:p>
          <w:p w14:paraId="79A9A474"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3.2 Reglas de acentuación, tilde diacrítica y casos especiales</w:t>
            </w:r>
          </w:p>
        </w:tc>
        <w:tc>
          <w:tcPr>
            <w:tcW w:w="2901" w:type="dxa"/>
          </w:tcPr>
          <w:p w14:paraId="7C16F2D1"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176E45B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Real Academia Española y Asociación de Academias de la Lengua Española. “Funciones de la tilde en español”, “Las reglas de acentuación gráfica”. En </w:t>
            </w:r>
            <w:r w:rsidRPr="00C97FEA">
              <w:rPr>
                <w:rFonts w:ascii="Calibri" w:eastAsia="Times New Roman" w:hAnsi="Calibri" w:cs="Arial"/>
                <w:i/>
                <w:kern w:val="0"/>
                <w:lang w:eastAsia="es-CR"/>
                <w14:ligatures w14:val="none"/>
              </w:rPr>
              <w:t>Ortografía de la lengua española</w:t>
            </w:r>
            <w:r w:rsidRPr="00C97FEA">
              <w:rPr>
                <w:rFonts w:ascii="Calibri" w:eastAsia="Times New Roman" w:hAnsi="Calibri" w:cs="Arial"/>
                <w:kern w:val="0"/>
                <w:lang w:eastAsia="es-CR"/>
                <w14:ligatures w14:val="none"/>
              </w:rPr>
              <w:t xml:space="preserve">, 230-276. México: Editorial Planeta Mexicana, 2011. </w:t>
            </w:r>
            <w:r w:rsidRPr="00C97FEA">
              <w:rPr>
                <w:rFonts w:ascii="Calibri" w:eastAsia="Times New Roman" w:hAnsi="Calibri" w:cs="Arial"/>
                <w:color w:val="0070C0"/>
                <w:kern w:val="0"/>
                <w:lang w:eastAsia="es-CR"/>
                <w14:ligatures w14:val="none"/>
              </w:rPr>
              <w:t>(clásico, última edición)</w:t>
            </w:r>
          </w:p>
          <w:p w14:paraId="7C757F2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Ortega, Wenceslao. “Lecciones 75 a la 82”. En </w:t>
            </w:r>
            <w:r w:rsidRPr="00C97FEA">
              <w:rPr>
                <w:rFonts w:ascii="Calibri" w:eastAsia="Times New Roman" w:hAnsi="Calibri" w:cs="Arial"/>
                <w:i/>
                <w:kern w:val="0"/>
                <w:lang w:eastAsia="es-CR"/>
                <w14:ligatures w14:val="none"/>
              </w:rPr>
              <w:t>Ortografía programada: curso avanzado</w:t>
            </w:r>
            <w:r w:rsidRPr="00C97FEA">
              <w:rPr>
                <w:rFonts w:ascii="Calibri" w:eastAsia="Times New Roman" w:hAnsi="Calibri" w:cs="Arial"/>
                <w:kern w:val="0"/>
                <w:lang w:eastAsia="es-CR"/>
                <w14:ligatures w14:val="none"/>
              </w:rPr>
              <w:t xml:space="preserve">, 168-183. México: McGraw-Hill, 2001. </w:t>
            </w:r>
            <w:r w:rsidRPr="00C97FEA">
              <w:rPr>
                <w:rFonts w:ascii="Calibri" w:eastAsia="Times New Roman" w:hAnsi="Calibri" w:cs="Arial"/>
                <w:color w:val="0070C0"/>
                <w:kern w:val="0"/>
                <w:lang w:eastAsia="es-CR"/>
                <w14:ligatures w14:val="none"/>
              </w:rPr>
              <w:t>(clásico, última edición, 2012)</w:t>
            </w:r>
          </w:p>
          <w:p w14:paraId="429CF1A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19EFB43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 xml:space="preserve">Guía para la participación mediante la herramienta Big Blue </w:t>
            </w:r>
            <w:proofErr w:type="spellStart"/>
            <w:r w:rsidRPr="00C97FEA">
              <w:rPr>
                <w:rFonts w:ascii="Calibri" w:eastAsia="Times New Roman" w:hAnsi="Calibri" w:cs="Arial"/>
                <w:bCs/>
                <w:color w:val="0070C0"/>
                <w:kern w:val="0"/>
                <w:lang w:eastAsia="es-CR"/>
                <w14:ligatures w14:val="none"/>
              </w:rPr>
              <w:t>Button</w:t>
            </w:r>
            <w:proofErr w:type="spellEnd"/>
            <w:r w:rsidRPr="00C97FEA">
              <w:rPr>
                <w:rFonts w:ascii="Calibri" w:eastAsia="Times New Roman" w:hAnsi="Calibri" w:cs="Arial"/>
                <w:bCs/>
                <w:color w:val="0070C0"/>
                <w:kern w:val="0"/>
                <w:lang w:eastAsia="es-CR"/>
                <w14:ligatures w14:val="none"/>
              </w:rPr>
              <w:t xml:space="preserve"> en la plataforma Moodle</w:t>
            </w:r>
          </w:p>
        </w:tc>
        <w:tc>
          <w:tcPr>
            <w:tcW w:w="2977" w:type="dxa"/>
            <w:shd w:val="clear" w:color="auto" w:fill="auto"/>
          </w:tcPr>
          <w:p w14:paraId="1BE26BD1"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Elaboración de la tarea individual 5.</w:t>
            </w:r>
          </w:p>
          <w:p w14:paraId="584EFABB"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Iniciar la revisión de un documento académico escrito previamente. </w:t>
            </w:r>
          </w:p>
          <w:p w14:paraId="68F5AE8C"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728A4E31" w14:textId="77777777" w:rsidTr="4C9C2619">
        <w:trPr>
          <w:trHeight w:val="647"/>
          <w:jc w:val="center"/>
        </w:trPr>
        <w:tc>
          <w:tcPr>
            <w:tcW w:w="1271" w:type="dxa"/>
            <w:shd w:val="clear" w:color="auto" w:fill="auto"/>
          </w:tcPr>
          <w:p w14:paraId="1DE2860A"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7</w:t>
            </w:r>
          </w:p>
        </w:tc>
        <w:tc>
          <w:tcPr>
            <w:tcW w:w="2202" w:type="dxa"/>
            <w:shd w:val="clear" w:color="auto" w:fill="auto"/>
          </w:tcPr>
          <w:p w14:paraId="163CEBC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4: Elementos de la oración  </w:t>
            </w:r>
          </w:p>
          <w:p w14:paraId="3A2CEE7B"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4.1 Morfología</w:t>
            </w:r>
          </w:p>
        </w:tc>
        <w:tc>
          <w:tcPr>
            <w:tcW w:w="2901" w:type="dxa"/>
          </w:tcPr>
          <w:p w14:paraId="68C5B455"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03A3FDF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Pacheco Salazar, </w:t>
            </w:r>
            <w:proofErr w:type="spellStart"/>
            <w:r w:rsidRPr="00C97FEA">
              <w:rPr>
                <w:rFonts w:ascii="Calibri" w:eastAsia="Times New Roman" w:hAnsi="Calibri" w:cs="Arial"/>
                <w:kern w:val="0"/>
                <w:lang w:eastAsia="es-CR"/>
                <w14:ligatures w14:val="none"/>
              </w:rPr>
              <w:t>Viria</w:t>
            </w:r>
            <w:proofErr w:type="spellEnd"/>
            <w:r w:rsidRPr="00C97FEA">
              <w:rPr>
                <w:rFonts w:ascii="Calibri" w:eastAsia="Times New Roman" w:hAnsi="Calibri" w:cs="Arial"/>
                <w:kern w:val="0"/>
                <w:lang w:eastAsia="es-CR"/>
                <w14:ligatures w14:val="none"/>
              </w:rPr>
              <w:t xml:space="preserve"> y Roger Loría Meneses. “Tema VI: Morfología”. En </w:t>
            </w:r>
            <w:r w:rsidRPr="00C97FEA">
              <w:rPr>
                <w:rFonts w:ascii="Calibri" w:eastAsia="Times New Roman" w:hAnsi="Calibri" w:cs="Arial"/>
                <w:i/>
                <w:kern w:val="0"/>
                <w:lang w:eastAsia="es-CR"/>
                <w14:ligatures w14:val="none"/>
              </w:rPr>
              <w:t>Gramática castellana</w:t>
            </w:r>
            <w:r w:rsidRPr="00C97FEA">
              <w:rPr>
                <w:rFonts w:ascii="Calibri" w:eastAsia="Times New Roman" w:hAnsi="Calibri" w:cs="Arial"/>
                <w:kern w:val="0"/>
                <w:lang w:eastAsia="es-CR"/>
                <w14:ligatures w14:val="none"/>
              </w:rPr>
              <w:t xml:space="preserve">, 203-224, 235-256, 265-282, 287-331, 337-342 y 347-358. San José, C.R.: EUNED, 2016. </w:t>
            </w:r>
            <w:r w:rsidRPr="00C97FEA">
              <w:rPr>
                <w:rFonts w:ascii="Calibri" w:eastAsia="Times New Roman" w:hAnsi="Calibri" w:cs="Arial"/>
                <w:color w:val="0070C0"/>
                <w:kern w:val="0"/>
                <w:lang w:eastAsia="es-CR"/>
                <w14:ligatures w14:val="none"/>
              </w:rPr>
              <w:t>(clásico, última edición)</w:t>
            </w:r>
          </w:p>
          <w:p w14:paraId="4551D0F4"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6ECA08A3"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Guía para la participación en un wiki en la plataforma Moodle</w:t>
            </w:r>
          </w:p>
        </w:tc>
        <w:tc>
          <w:tcPr>
            <w:tcW w:w="2977" w:type="dxa"/>
            <w:shd w:val="clear" w:color="auto" w:fill="auto"/>
          </w:tcPr>
          <w:p w14:paraId="57BA59E9"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Participación en la elaboración de un wiki sobre morfología.</w:t>
            </w:r>
          </w:p>
          <w:p w14:paraId="231833DC"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Continuar con la revisión de un documento académico escrito previamente. </w:t>
            </w:r>
          </w:p>
        </w:tc>
      </w:tr>
      <w:tr w:rsidR="00C97FEA" w:rsidRPr="00C97FEA" w14:paraId="55628612" w14:textId="77777777" w:rsidTr="4C9C2619">
        <w:trPr>
          <w:trHeight w:val="413"/>
          <w:jc w:val="center"/>
        </w:trPr>
        <w:tc>
          <w:tcPr>
            <w:tcW w:w="1271" w:type="dxa"/>
            <w:shd w:val="clear" w:color="auto" w:fill="auto"/>
          </w:tcPr>
          <w:p w14:paraId="3EE6B4BF"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8</w:t>
            </w:r>
          </w:p>
        </w:tc>
        <w:tc>
          <w:tcPr>
            <w:tcW w:w="2202" w:type="dxa"/>
            <w:shd w:val="clear" w:color="auto" w:fill="auto"/>
          </w:tcPr>
          <w:p w14:paraId="33B0E27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4: Elementos de la oración  </w:t>
            </w:r>
          </w:p>
          <w:p w14:paraId="23ED02B1"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lastRenderedPageBreak/>
              <w:t>4.2 Sintaxis</w:t>
            </w:r>
          </w:p>
        </w:tc>
        <w:tc>
          <w:tcPr>
            <w:tcW w:w="2901" w:type="dxa"/>
          </w:tcPr>
          <w:p w14:paraId="568D05C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lastRenderedPageBreak/>
              <w:t>Ruta de aprendizaje</w:t>
            </w:r>
          </w:p>
          <w:p w14:paraId="7B22CBEC"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Pacheco Salazar, </w:t>
            </w:r>
            <w:proofErr w:type="spellStart"/>
            <w:r w:rsidRPr="00C97FEA">
              <w:rPr>
                <w:rFonts w:ascii="Calibri" w:eastAsia="Times New Roman" w:hAnsi="Calibri" w:cs="Arial"/>
                <w:kern w:val="0"/>
                <w:lang w:eastAsia="es-CR"/>
                <w14:ligatures w14:val="none"/>
              </w:rPr>
              <w:t>Viria</w:t>
            </w:r>
            <w:proofErr w:type="spellEnd"/>
            <w:r w:rsidRPr="00C97FEA">
              <w:rPr>
                <w:rFonts w:ascii="Calibri" w:eastAsia="Times New Roman" w:hAnsi="Calibri" w:cs="Arial"/>
                <w:kern w:val="0"/>
                <w:lang w:eastAsia="es-CR"/>
                <w14:ligatures w14:val="none"/>
              </w:rPr>
              <w:t xml:space="preserve"> y Roger Loría Meneses. “Oración </w:t>
            </w:r>
            <w:r w:rsidRPr="00C97FEA">
              <w:rPr>
                <w:rFonts w:ascii="Calibri" w:eastAsia="Times New Roman" w:hAnsi="Calibri" w:cs="Arial"/>
                <w:kern w:val="0"/>
                <w:lang w:eastAsia="es-CR"/>
                <w14:ligatures w14:val="none"/>
              </w:rPr>
              <w:lastRenderedPageBreak/>
              <w:t xml:space="preserve">bimembre: sujeto y predicado”, “Oración intransitiva y oración transitiva”, “Oraciones en voz pasiva e impersonal”. En </w:t>
            </w:r>
            <w:r w:rsidRPr="00C97FEA">
              <w:rPr>
                <w:rFonts w:ascii="Calibri" w:eastAsia="Times New Roman" w:hAnsi="Calibri" w:cs="Arial"/>
                <w:i/>
                <w:kern w:val="0"/>
                <w:lang w:eastAsia="es-CR"/>
                <w14:ligatures w14:val="none"/>
              </w:rPr>
              <w:t>Gramática castellana</w:t>
            </w:r>
            <w:r w:rsidRPr="00C97FEA">
              <w:rPr>
                <w:rFonts w:ascii="Calibri" w:eastAsia="Times New Roman" w:hAnsi="Calibri" w:cs="Arial"/>
                <w:kern w:val="0"/>
                <w:lang w:eastAsia="es-CR"/>
                <w14:ligatures w14:val="none"/>
              </w:rPr>
              <w:t xml:space="preserve">, 393-408, 417-425, 431-445. San José, C.R.: EUNED, 2016. </w:t>
            </w:r>
            <w:r w:rsidRPr="00C97FEA">
              <w:rPr>
                <w:rFonts w:ascii="Calibri" w:eastAsia="Times New Roman" w:hAnsi="Calibri" w:cs="Arial"/>
                <w:color w:val="0070C0"/>
                <w:kern w:val="0"/>
                <w:lang w:eastAsia="es-CR"/>
                <w14:ligatures w14:val="none"/>
              </w:rPr>
              <w:t>(clásico, última edición)</w:t>
            </w:r>
          </w:p>
          <w:p w14:paraId="00F624E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kern w:val="0"/>
                <w:lang w:eastAsia="es-CR"/>
                <w14:ligatures w14:val="none"/>
              </w:rPr>
              <w:t xml:space="preserve">Real Academia Española y Asociación de Academias de la Lengua Española. “Oraciones activas, pasivas, impersonales y medias”. En </w:t>
            </w:r>
            <w:r w:rsidRPr="00C97FEA">
              <w:rPr>
                <w:rFonts w:ascii="Calibri" w:eastAsia="Times New Roman" w:hAnsi="Calibri" w:cs="Arial"/>
                <w:i/>
                <w:kern w:val="0"/>
                <w:lang w:eastAsia="es-CR"/>
                <w14:ligatures w14:val="none"/>
              </w:rPr>
              <w:t>Nueva gramática de la lengua española</w:t>
            </w:r>
            <w:r w:rsidRPr="00C97FEA">
              <w:rPr>
                <w:rFonts w:ascii="Calibri" w:eastAsia="Times New Roman" w:hAnsi="Calibri" w:cs="Arial"/>
                <w:kern w:val="0"/>
                <w:lang w:eastAsia="es-CR"/>
                <w14:ligatures w14:val="none"/>
              </w:rPr>
              <w:t>, 773-782. Barcelona: Espasa Libros, 2018. (</w:t>
            </w:r>
            <w:r w:rsidRPr="00C97FEA">
              <w:rPr>
                <w:rFonts w:ascii="Calibri" w:eastAsia="Times New Roman" w:hAnsi="Calibri" w:cs="Arial"/>
                <w:color w:val="0070C0"/>
                <w:kern w:val="0"/>
                <w:lang w:eastAsia="es-CR"/>
                <w14:ligatures w14:val="none"/>
              </w:rPr>
              <w:t>clásico, última edición)</w:t>
            </w:r>
          </w:p>
          <w:p w14:paraId="7DF1A73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3AA92D9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color w:val="0070C0"/>
                <w:kern w:val="0"/>
                <w:lang w:eastAsia="es-CR"/>
                <w14:ligatures w14:val="none"/>
              </w:rPr>
            </w:pPr>
            <w:r w:rsidRPr="00C97FEA">
              <w:rPr>
                <w:rFonts w:ascii="Calibri" w:eastAsia="Times New Roman" w:hAnsi="Calibri" w:cs="Arial"/>
                <w:bCs/>
                <w:color w:val="0070C0"/>
                <w:kern w:val="0"/>
                <w:lang w:eastAsia="es-CR"/>
                <w14:ligatures w14:val="none"/>
              </w:rPr>
              <w:t>Guía para la participación en un wiki en la plataforma Moodle</w:t>
            </w:r>
          </w:p>
          <w:p w14:paraId="0746F73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 xml:space="preserve">Guía para la participación mediante la herramienta Big Blue </w:t>
            </w:r>
            <w:proofErr w:type="spellStart"/>
            <w:r w:rsidRPr="00C97FEA">
              <w:rPr>
                <w:rFonts w:ascii="Calibri" w:eastAsia="Times New Roman" w:hAnsi="Calibri" w:cs="Arial"/>
                <w:bCs/>
                <w:color w:val="0070C0"/>
                <w:kern w:val="0"/>
                <w:lang w:eastAsia="es-CR"/>
                <w14:ligatures w14:val="none"/>
              </w:rPr>
              <w:t>Button</w:t>
            </w:r>
            <w:proofErr w:type="spellEnd"/>
            <w:r w:rsidRPr="00C97FEA">
              <w:rPr>
                <w:rFonts w:ascii="Calibri" w:eastAsia="Times New Roman" w:hAnsi="Calibri" w:cs="Arial"/>
                <w:bCs/>
                <w:color w:val="0070C0"/>
                <w:kern w:val="0"/>
                <w:lang w:eastAsia="es-CR"/>
                <w14:ligatures w14:val="none"/>
              </w:rPr>
              <w:t xml:space="preserve"> en la plataforma Moodle</w:t>
            </w:r>
          </w:p>
        </w:tc>
        <w:tc>
          <w:tcPr>
            <w:tcW w:w="2977" w:type="dxa"/>
            <w:shd w:val="clear" w:color="auto" w:fill="auto"/>
          </w:tcPr>
          <w:p w14:paraId="4886A809"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Participación en la elaboración de un wiki sobre sintaxis. </w:t>
            </w:r>
          </w:p>
          <w:p w14:paraId="70E93DCE"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Continuar con la revisión de un documento académico escrito previamente. </w:t>
            </w:r>
          </w:p>
          <w:p w14:paraId="3EF4EE30"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3C858BB5" w14:textId="77777777" w:rsidTr="4C9C2619">
        <w:trPr>
          <w:trHeight w:val="413"/>
          <w:jc w:val="center"/>
        </w:trPr>
        <w:tc>
          <w:tcPr>
            <w:tcW w:w="1271" w:type="dxa"/>
            <w:shd w:val="clear" w:color="auto" w:fill="auto"/>
          </w:tcPr>
          <w:p w14:paraId="3FBE4A30"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lastRenderedPageBreak/>
              <w:t>9</w:t>
            </w:r>
          </w:p>
        </w:tc>
        <w:tc>
          <w:tcPr>
            <w:tcW w:w="2202" w:type="dxa"/>
            <w:shd w:val="clear" w:color="auto" w:fill="auto"/>
          </w:tcPr>
          <w:p w14:paraId="0230F1A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5: Signos de puntuación </w:t>
            </w:r>
          </w:p>
          <w:p w14:paraId="2AB246F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5.1 Uso del punto y de la coma</w:t>
            </w:r>
          </w:p>
          <w:p w14:paraId="1459424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3F5098C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1200DA5D"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color w:val="0070C0"/>
                <w:kern w:val="0"/>
                <w:lang w:eastAsia="es-CR"/>
                <w14:ligatures w14:val="none"/>
              </w:rPr>
            </w:pPr>
            <w:r w:rsidRPr="00C97FEA">
              <w:rPr>
                <w:rFonts w:ascii="Calibri" w:eastAsia="Times New Roman" w:hAnsi="Calibri" w:cs="Arial"/>
                <w:kern w:val="0"/>
                <w:lang w:eastAsia="es-CR"/>
                <w14:ligatures w14:val="none"/>
              </w:rPr>
              <w:t xml:space="preserve">Real Academia Española y Asociación de Academias de la Lengua Española. “Usos de los signos de puntuación”. En </w:t>
            </w:r>
            <w:r w:rsidRPr="00C97FEA">
              <w:rPr>
                <w:rFonts w:ascii="Calibri" w:eastAsia="Times New Roman" w:hAnsi="Calibri" w:cs="Arial"/>
                <w:i/>
                <w:kern w:val="0"/>
                <w:lang w:eastAsia="es-CR"/>
                <w14:ligatures w14:val="none"/>
              </w:rPr>
              <w:t>Ortografía de la lengua española</w:t>
            </w:r>
            <w:r w:rsidRPr="00C97FEA">
              <w:rPr>
                <w:rFonts w:ascii="Calibri" w:eastAsia="Times New Roman" w:hAnsi="Calibri" w:cs="Arial"/>
                <w:kern w:val="0"/>
                <w:lang w:eastAsia="es-CR"/>
                <w14:ligatures w14:val="none"/>
              </w:rPr>
              <w:t>, 292-348. México: Editorial Planeta Mexicana, 2011.  (</w:t>
            </w:r>
            <w:r w:rsidRPr="00C97FEA">
              <w:rPr>
                <w:rFonts w:ascii="Calibri" w:eastAsia="Times New Roman" w:hAnsi="Calibri" w:cs="Arial"/>
                <w:color w:val="0070C0"/>
                <w:kern w:val="0"/>
                <w:lang w:eastAsia="es-CR"/>
                <w14:ligatures w14:val="none"/>
              </w:rPr>
              <w:t>clásico, última edición)</w:t>
            </w:r>
          </w:p>
          <w:p w14:paraId="45C5E8B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547E9B63"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 xml:space="preserve">Guía para la participación en un foro en la plataforma </w:t>
            </w:r>
            <w:r w:rsidRPr="00C97FEA">
              <w:rPr>
                <w:rFonts w:ascii="Calibri" w:eastAsia="Times New Roman" w:hAnsi="Calibri" w:cs="Arial"/>
                <w:bCs/>
                <w:color w:val="0070C0"/>
                <w:kern w:val="0"/>
                <w:lang w:eastAsia="es-CR"/>
                <w14:ligatures w14:val="none"/>
              </w:rPr>
              <w:lastRenderedPageBreak/>
              <w:t>Moodle</w:t>
            </w:r>
          </w:p>
        </w:tc>
        <w:tc>
          <w:tcPr>
            <w:tcW w:w="2977" w:type="dxa"/>
            <w:shd w:val="clear" w:color="auto" w:fill="auto"/>
          </w:tcPr>
          <w:p w14:paraId="181C010E"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 xml:space="preserve">Participación en el foro temático: La coma y el punto: más que una pausa para respirar. </w:t>
            </w:r>
          </w:p>
          <w:p w14:paraId="056132A2"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Continuar con la revisión de un documento académico escrito previamente.</w:t>
            </w:r>
          </w:p>
          <w:p w14:paraId="7CE01B55" w14:textId="77777777" w:rsidR="00C97FEA" w:rsidRPr="00C97FEA" w:rsidRDefault="00C97FEA" w:rsidP="00C97FEA">
            <w:pPr>
              <w:spacing w:after="0" w:line="240" w:lineRule="auto"/>
              <w:rPr>
                <w:rFonts w:ascii="Calibri" w:eastAsia="Times New Roman" w:hAnsi="Calibri" w:cs="Calibri"/>
                <w:kern w:val="0"/>
                <w:lang w:val="es-ES_tradnl" w:eastAsia="es-CR"/>
                <w14:ligatures w14:val="none"/>
              </w:rPr>
            </w:pPr>
          </w:p>
        </w:tc>
      </w:tr>
      <w:tr w:rsidR="00C97FEA" w:rsidRPr="00C97FEA" w14:paraId="6AD8FA48" w14:textId="77777777" w:rsidTr="4C9C2619">
        <w:trPr>
          <w:trHeight w:val="773"/>
          <w:jc w:val="center"/>
        </w:trPr>
        <w:tc>
          <w:tcPr>
            <w:tcW w:w="1271" w:type="dxa"/>
            <w:shd w:val="clear" w:color="auto" w:fill="auto"/>
          </w:tcPr>
          <w:p w14:paraId="6A4D7418"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10</w:t>
            </w:r>
          </w:p>
        </w:tc>
        <w:tc>
          <w:tcPr>
            <w:tcW w:w="2202" w:type="dxa"/>
            <w:shd w:val="clear" w:color="auto" w:fill="auto"/>
          </w:tcPr>
          <w:p w14:paraId="386BB8A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5: Signos de puntuación</w:t>
            </w:r>
          </w:p>
          <w:p w14:paraId="1797A2C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5.2 Uso de otros signos de puntuación</w:t>
            </w:r>
          </w:p>
        </w:tc>
        <w:tc>
          <w:tcPr>
            <w:tcW w:w="2901" w:type="dxa"/>
          </w:tcPr>
          <w:p w14:paraId="2F4C8A6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266670A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Real Academia Española y Asociación de Academias de la Lengua Española. “</w:t>
            </w:r>
            <w:r w:rsidRPr="00C97FEA">
              <w:rPr>
                <w:rFonts w:ascii="Calibri" w:eastAsia="Times New Roman" w:hAnsi="Calibri" w:cs="Calibri"/>
                <w:kern w:val="0"/>
                <w:szCs w:val="24"/>
                <w:lang w:val="es-ES_tradnl" w:eastAsia="es-CR"/>
                <w14:ligatures w14:val="none"/>
              </w:rPr>
              <w:t>El punto y coma”, “Los dos puntos”, “Los paréntesis”, “Los corchetes”, “La raya”, “Las comillas”, “Los signos de interrogación y exclamación”, “Los puntos suspensivos</w:t>
            </w:r>
            <w:r w:rsidRPr="00C97FEA">
              <w:rPr>
                <w:rFonts w:ascii="Calibri" w:eastAsia="Times New Roman" w:hAnsi="Calibri" w:cs="Arial"/>
                <w:kern w:val="0"/>
                <w:lang w:eastAsia="es-CR"/>
                <w14:ligatures w14:val="none"/>
              </w:rPr>
              <w:t xml:space="preserve">”. En </w:t>
            </w:r>
            <w:r w:rsidRPr="00C97FEA">
              <w:rPr>
                <w:rFonts w:ascii="Calibri" w:eastAsia="Times New Roman" w:hAnsi="Calibri" w:cs="Arial"/>
                <w:i/>
                <w:kern w:val="0"/>
                <w:lang w:eastAsia="es-CR"/>
                <w14:ligatures w14:val="none"/>
              </w:rPr>
              <w:t>Ortografía de la lengua española</w:t>
            </w:r>
            <w:r w:rsidRPr="00C97FEA">
              <w:rPr>
                <w:rFonts w:ascii="Calibri" w:eastAsia="Times New Roman" w:hAnsi="Calibri" w:cs="Arial"/>
                <w:kern w:val="0"/>
                <w:lang w:eastAsia="es-CR"/>
                <w14:ligatures w14:val="none"/>
              </w:rPr>
              <w:t xml:space="preserve">, 349-398. México: Editorial Planeta Mexicana, 2011. </w:t>
            </w:r>
            <w:r w:rsidRPr="00C97FEA">
              <w:rPr>
                <w:rFonts w:ascii="Calibri" w:eastAsia="Times New Roman" w:hAnsi="Calibri" w:cs="Arial"/>
                <w:color w:val="0070C0"/>
                <w:kern w:val="0"/>
                <w:lang w:eastAsia="es-CR"/>
                <w14:ligatures w14:val="none"/>
              </w:rPr>
              <w:t>(clásico, última edición)</w:t>
            </w:r>
          </w:p>
          <w:p w14:paraId="42FC8B56"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Mooney, Ruth. “El punto y coma”, “Dos puntos”, “Práctica adicional”, “Listas y elementos paralelos 1”, “Listas y elementos paralelos 2”. En </w:t>
            </w:r>
            <w:r w:rsidRPr="00C97FEA">
              <w:rPr>
                <w:rFonts w:ascii="Calibri" w:eastAsia="Times New Roman" w:hAnsi="Calibri" w:cs="Arial"/>
                <w:i/>
                <w:kern w:val="0"/>
                <w:lang w:eastAsia="es-CR"/>
                <w14:ligatures w14:val="none"/>
              </w:rPr>
              <w:t>Guía y ejercicios para escribir trabajos universitarios</w:t>
            </w:r>
            <w:r w:rsidRPr="00C97FEA">
              <w:rPr>
                <w:rFonts w:ascii="Calibri" w:eastAsia="Times New Roman" w:hAnsi="Calibri" w:cs="Arial"/>
                <w:kern w:val="0"/>
                <w:lang w:eastAsia="es-CR"/>
                <w14:ligatures w14:val="none"/>
              </w:rPr>
              <w:t>, 74-76. San José: Universidad Bíblica Latinoamericana. Revisado y adaptado de la Guía de Janet May para elaborar trabajos académicos en la UBL. (</w:t>
            </w:r>
            <w:r w:rsidRPr="00C97FEA">
              <w:rPr>
                <w:rFonts w:ascii="Calibri" w:eastAsia="Times New Roman" w:hAnsi="Calibri" w:cs="Arial"/>
                <w:color w:val="0070C0"/>
                <w:kern w:val="0"/>
                <w:lang w:eastAsia="es-CR"/>
                <w14:ligatures w14:val="none"/>
              </w:rPr>
              <w:t>Clásico</w:t>
            </w:r>
            <w:r w:rsidRPr="00C97FEA">
              <w:rPr>
                <w:rFonts w:ascii="Calibri" w:eastAsia="Times New Roman" w:hAnsi="Calibri" w:cs="Arial"/>
                <w:kern w:val="0"/>
                <w:lang w:eastAsia="es-CR"/>
                <w14:ligatures w14:val="none"/>
              </w:rPr>
              <w:t>, Última reimpresión 2003)</w:t>
            </w:r>
          </w:p>
          <w:p w14:paraId="6D7A45D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06D5727E"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 xml:space="preserve">Guía para la participación mediante la herramienta Big Blue </w:t>
            </w:r>
            <w:proofErr w:type="spellStart"/>
            <w:r w:rsidRPr="00C97FEA">
              <w:rPr>
                <w:rFonts w:ascii="Calibri" w:eastAsia="Times New Roman" w:hAnsi="Calibri" w:cs="Arial"/>
                <w:bCs/>
                <w:color w:val="0070C0"/>
                <w:kern w:val="0"/>
                <w:lang w:eastAsia="es-CR"/>
                <w14:ligatures w14:val="none"/>
              </w:rPr>
              <w:t>Button</w:t>
            </w:r>
            <w:proofErr w:type="spellEnd"/>
            <w:r w:rsidRPr="00C97FEA">
              <w:rPr>
                <w:rFonts w:ascii="Calibri" w:eastAsia="Times New Roman" w:hAnsi="Calibri" w:cs="Arial"/>
                <w:bCs/>
                <w:color w:val="0070C0"/>
                <w:kern w:val="0"/>
                <w:lang w:eastAsia="es-CR"/>
                <w14:ligatures w14:val="none"/>
              </w:rPr>
              <w:t xml:space="preserve"> en la plataforma Moodle</w:t>
            </w:r>
          </w:p>
        </w:tc>
        <w:tc>
          <w:tcPr>
            <w:tcW w:w="2977" w:type="dxa"/>
            <w:shd w:val="clear" w:color="auto" w:fill="auto"/>
          </w:tcPr>
          <w:p w14:paraId="45960026"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Elaboración de la tarea individual 6. </w:t>
            </w:r>
          </w:p>
          <w:p w14:paraId="26908A5F"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Entrega del primer avance de la revisión de un documento académico escrito previamente. </w:t>
            </w:r>
          </w:p>
          <w:p w14:paraId="12192CD1"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3B14F7BA" w14:textId="77777777" w:rsidTr="4C9C2619">
        <w:trPr>
          <w:trHeight w:val="773"/>
          <w:jc w:val="center"/>
        </w:trPr>
        <w:tc>
          <w:tcPr>
            <w:tcW w:w="1271" w:type="dxa"/>
            <w:shd w:val="clear" w:color="auto" w:fill="auto"/>
          </w:tcPr>
          <w:p w14:paraId="21068A61"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11</w:t>
            </w:r>
          </w:p>
        </w:tc>
        <w:tc>
          <w:tcPr>
            <w:tcW w:w="2202" w:type="dxa"/>
            <w:shd w:val="clear" w:color="auto" w:fill="auto"/>
          </w:tcPr>
          <w:p w14:paraId="12F76636"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6: Estructura de párrafos</w:t>
            </w:r>
          </w:p>
          <w:p w14:paraId="3818D73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6.1 Estructurar párrafos y textos</w:t>
            </w:r>
          </w:p>
          <w:p w14:paraId="2C0562A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65A56173"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lastRenderedPageBreak/>
              <w:t>Ruta de aprendizaje</w:t>
            </w:r>
          </w:p>
          <w:p w14:paraId="14986401"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Rojas, Martha, Lilliam Rojas y Jorge Murillo. “Capítulo III: Su majestad el párrafo”, “Lección 10: Conectando las jugadas”. En Selección de </w:t>
            </w:r>
            <w:r w:rsidRPr="00C97FEA">
              <w:rPr>
                <w:rFonts w:ascii="Calibri" w:eastAsia="Times New Roman" w:hAnsi="Calibri" w:cs="Arial"/>
                <w:kern w:val="0"/>
                <w:lang w:eastAsia="es-CR"/>
                <w14:ligatures w14:val="none"/>
              </w:rPr>
              <w:lastRenderedPageBreak/>
              <w:t xml:space="preserve">textos del libro: </w:t>
            </w:r>
            <w:r w:rsidRPr="00C97FEA">
              <w:rPr>
                <w:rFonts w:ascii="Calibri" w:eastAsia="Times New Roman" w:hAnsi="Calibri" w:cs="Arial"/>
                <w:i/>
                <w:kern w:val="0"/>
                <w:lang w:eastAsia="es-CR"/>
                <w14:ligatures w14:val="none"/>
              </w:rPr>
              <w:t>Un juego de ajedrez: la escritura</w:t>
            </w:r>
            <w:r w:rsidRPr="00C97FEA">
              <w:rPr>
                <w:rFonts w:ascii="Calibri" w:eastAsia="Times New Roman" w:hAnsi="Calibri" w:cs="Arial"/>
                <w:kern w:val="0"/>
                <w:lang w:eastAsia="es-CR"/>
                <w14:ligatures w14:val="none"/>
              </w:rPr>
              <w:t xml:space="preserve">, 1-7 y 16-20. Manuscrito inédito. </w:t>
            </w:r>
          </w:p>
        </w:tc>
        <w:tc>
          <w:tcPr>
            <w:tcW w:w="2977" w:type="dxa"/>
            <w:shd w:val="clear" w:color="auto" w:fill="auto"/>
          </w:tcPr>
          <w:p w14:paraId="35412B11"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Continuar con la revisión de un documento académico escrito previamente.</w:t>
            </w:r>
          </w:p>
          <w:p w14:paraId="201E0791" w14:textId="77777777" w:rsidR="00C97FEA" w:rsidRPr="00C97FEA" w:rsidRDefault="00C97FEA" w:rsidP="00C97FEA">
            <w:pPr>
              <w:spacing w:after="0" w:line="240" w:lineRule="auto"/>
              <w:rPr>
                <w:rFonts w:ascii="Calibri" w:eastAsia="Times New Roman" w:hAnsi="Calibri" w:cs="Calibri"/>
                <w:kern w:val="0"/>
                <w:lang w:val="es-ES_tradnl" w:eastAsia="es-CR"/>
                <w14:ligatures w14:val="none"/>
              </w:rPr>
            </w:pPr>
          </w:p>
        </w:tc>
      </w:tr>
      <w:tr w:rsidR="00C97FEA" w:rsidRPr="00C97FEA" w14:paraId="70522136" w14:textId="77777777" w:rsidTr="4C9C2619">
        <w:trPr>
          <w:trHeight w:val="773"/>
          <w:jc w:val="center"/>
        </w:trPr>
        <w:tc>
          <w:tcPr>
            <w:tcW w:w="1271" w:type="dxa"/>
            <w:shd w:val="clear" w:color="auto" w:fill="auto"/>
          </w:tcPr>
          <w:p w14:paraId="2E70814C"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12</w:t>
            </w:r>
          </w:p>
        </w:tc>
        <w:tc>
          <w:tcPr>
            <w:tcW w:w="2202" w:type="dxa"/>
            <w:shd w:val="clear" w:color="auto" w:fill="auto"/>
          </w:tcPr>
          <w:p w14:paraId="2D1D1B93"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6: Estructura de párrafos</w:t>
            </w:r>
          </w:p>
          <w:p w14:paraId="50B79D8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6.2 Función del párrafo dentro del texto</w:t>
            </w:r>
          </w:p>
          <w:p w14:paraId="2F226C8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56AA4AE3" w14:textId="77777777" w:rsidR="00C97FEA" w:rsidRPr="00C97FEA" w:rsidRDefault="00C97FEA" w:rsidP="00C97FEA">
            <w:pPr>
              <w:spacing w:after="0" w:line="240" w:lineRule="auto"/>
              <w:rPr>
                <w:rFonts w:ascii="Calibri" w:eastAsia="Times New Roman" w:hAnsi="Calibri" w:cs="Arial"/>
                <w:color w:val="0070C0"/>
                <w:kern w:val="0"/>
                <w:lang w:eastAsia="es-CR"/>
                <w14:ligatures w14:val="none"/>
              </w:rPr>
            </w:pPr>
          </w:p>
          <w:p w14:paraId="5E07CA1E" w14:textId="77777777" w:rsidR="00C97FEA" w:rsidRPr="00C97FEA" w:rsidRDefault="00C97FEA" w:rsidP="00C97FEA">
            <w:pPr>
              <w:spacing w:after="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6BE1D110" w14:textId="77777777" w:rsidR="00C97FEA" w:rsidRPr="00C97FEA" w:rsidRDefault="00C97FEA" w:rsidP="00C97FEA">
            <w:pPr>
              <w:spacing w:after="0" w:line="240" w:lineRule="auto"/>
              <w:rPr>
                <w:rFonts w:ascii="Calibri" w:eastAsia="Times New Roman" w:hAnsi="Calibri" w:cs="Arial"/>
                <w:kern w:val="0"/>
                <w:lang w:eastAsia="es-CR"/>
                <w14:ligatures w14:val="none"/>
              </w:rPr>
            </w:pPr>
          </w:p>
          <w:p w14:paraId="511E4FCB" w14:textId="77777777" w:rsidR="00C97FEA" w:rsidRPr="00C97FEA" w:rsidRDefault="00C97FEA" w:rsidP="00C97FEA">
            <w:pPr>
              <w:spacing w:after="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Hernández Poveda, Rose Mary. “Expresión y contenido del escrito”, “La tarea de producir y mejorar un escrito”, “Escribiendo”. En </w:t>
            </w:r>
            <w:r w:rsidRPr="00C97FEA">
              <w:rPr>
                <w:rFonts w:ascii="Calibri" w:eastAsia="Times New Roman" w:hAnsi="Calibri" w:cs="Arial"/>
                <w:i/>
                <w:kern w:val="0"/>
                <w:lang w:eastAsia="es-CR"/>
                <w14:ligatures w14:val="none"/>
              </w:rPr>
              <w:t>Comunicación oral y escrita</w:t>
            </w:r>
            <w:r w:rsidRPr="00C97FEA">
              <w:rPr>
                <w:rFonts w:ascii="Calibri" w:eastAsia="Times New Roman" w:hAnsi="Calibri" w:cs="Arial"/>
                <w:kern w:val="0"/>
                <w:lang w:eastAsia="es-CR"/>
                <w14:ligatures w14:val="none"/>
              </w:rPr>
              <w:t xml:space="preserve">, 188-225. San José, C.R.: EUNED, 2011. </w:t>
            </w:r>
            <w:r w:rsidRPr="00C97FEA">
              <w:rPr>
                <w:rFonts w:ascii="Calibri" w:eastAsia="Times New Roman" w:hAnsi="Calibri" w:cs="Arial"/>
                <w:color w:val="0070C0"/>
                <w:kern w:val="0"/>
                <w:lang w:eastAsia="es-CR"/>
                <w14:ligatures w14:val="none"/>
              </w:rPr>
              <w:t>(clásico, última edición)</w:t>
            </w:r>
          </w:p>
          <w:p w14:paraId="12E7F7B0" w14:textId="77777777" w:rsidR="00C97FEA" w:rsidRPr="00C97FEA" w:rsidRDefault="00C97FEA" w:rsidP="00C97FEA">
            <w:pPr>
              <w:spacing w:after="0" w:line="240" w:lineRule="auto"/>
              <w:rPr>
                <w:rFonts w:ascii="Calibri" w:eastAsia="Times New Roman" w:hAnsi="Calibri" w:cs="Arial"/>
                <w:kern w:val="0"/>
                <w:lang w:eastAsia="es-CR"/>
                <w14:ligatures w14:val="none"/>
              </w:rPr>
            </w:pPr>
          </w:p>
          <w:p w14:paraId="6815E5B7" w14:textId="77777777" w:rsidR="00C97FEA" w:rsidRPr="00C97FEA" w:rsidRDefault="00C97FEA" w:rsidP="4C9C2619">
            <w:pPr>
              <w:spacing w:after="0" w:line="240" w:lineRule="auto"/>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Porto Castro, Ana María y María Josefa </w:t>
            </w:r>
            <w:proofErr w:type="spellStart"/>
            <w:r w:rsidRPr="4C9C2619">
              <w:rPr>
                <w:rFonts w:ascii="Calibri" w:eastAsia="Times New Roman" w:hAnsi="Calibri" w:cs="Calibri"/>
                <w:color w:val="000000"/>
                <w:kern w:val="0"/>
                <w:lang w:val="es-ES" w:eastAsia="es-CR"/>
                <w14:ligatures w14:val="none"/>
              </w:rPr>
              <w:t>Mosteiro</w:t>
            </w:r>
            <w:proofErr w:type="spellEnd"/>
            <w:r w:rsidRPr="4C9C2619">
              <w:rPr>
                <w:rFonts w:ascii="Calibri" w:eastAsia="Times New Roman" w:hAnsi="Calibri" w:cs="Calibri"/>
                <w:color w:val="000000"/>
                <w:kern w:val="0"/>
                <w:lang w:val="es-ES" w:eastAsia="es-CR"/>
                <w14:ligatures w14:val="none"/>
              </w:rPr>
              <w:t xml:space="preserve"> García. “Conductas deshonestas y género en el contexto universitario”. En </w:t>
            </w:r>
            <w:r w:rsidRPr="4C9C2619">
              <w:rPr>
                <w:rFonts w:ascii="Calibri" w:eastAsia="Times New Roman" w:hAnsi="Calibri" w:cs="Calibri"/>
                <w:i/>
                <w:iCs/>
                <w:color w:val="000000"/>
                <w:kern w:val="0"/>
                <w:lang w:val="es-ES" w:eastAsia="es-CR"/>
                <w14:ligatures w14:val="none"/>
              </w:rPr>
              <w:t>Plagio y honestidad académica en la educación superior</w:t>
            </w:r>
            <w:r w:rsidRPr="4C9C2619">
              <w:rPr>
                <w:rFonts w:ascii="Calibri" w:eastAsia="Times New Roman" w:hAnsi="Calibri" w:cs="Calibri"/>
                <w:color w:val="000000"/>
                <w:kern w:val="0"/>
                <w:lang w:val="es-ES" w:eastAsia="es-CR"/>
                <w14:ligatures w14:val="none"/>
              </w:rPr>
              <w:t>, editado por Ana María Porto Castro y Jesús Miguel Muñoz Cantero, 153-174. Nueva York, Peter Lang, 2022.</w:t>
            </w:r>
          </w:p>
          <w:p w14:paraId="2B1A81F6" w14:textId="77777777" w:rsidR="00C97FEA" w:rsidRPr="00C97FEA" w:rsidRDefault="00C97FEA" w:rsidP="00C97FEA">
            <w:pPr>
              <w:spacing w:after="0" w:line="240" w:lineRule="auto"/>
              <w:rPr>
                <w:rFonts w:ascii="Calibri" w:eastAsia="Times New Roman" w:hAnsi="Calibri" w:cs="Calibri"/>
                <w:color w:val="000000"/>
                <w:kern w:val="0"/>
                <w:lang w:val="es-ES_tradnl" w:eastAsia="es-CR"/>
                <w14:ligatures w14:val="none"/>
              </w:rPr>
            </w:pPr>
          </w:p>
          <w:p w14:paraId="32F88419" w14:textId="77777777" w:rsidR="00C97FEA" w:rsidRPr="00C97FEA" w:rsidRDefault="00C97FEA" w:rsidP="00C97FEA">
            <w:pPr>
              <w:spacing w:after="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02F082BC" w14:textId="77777777" w:rsidR="00C97FEA" w:rsidRPr="00C97FEA" w:rsidRDefault="00C97FEA" w:rsidP="00C97FEA">
            <w:pPr>
              <w:spacing w:after="0" w:line="240" w:lineRule="auto"/>
              <w:rPr>
                <w:rFonts w:ascii="Calibri" w:eastAsia="Times New Roman" w:hAnsi="Calibri" w:cs="Arial"/>
                <w:b/>
                <w:color w:val="0070C0"/>
                <w:kern w:val="0"/>
                <w:lang w:eastAsia="es-CR"/>
                <w14:ligatures w14:val="none"/>
              </w:rPr>
            </w:pPr>
          </w:p>
          <w:p w14:paraId="5FD41CFE" w14:textId="77777777" w:rsidR="00C97FEA" w:rsidRPr="00C97FEA" w:rsidRDefault="00C97FEA" w:rsidP="00C97FEA">
            <w:pPr>
              <w:spacing w:after="0" w:line="240" w:lineRule="auto"/>
              <w:rPr>
                <w:rFonts w:ascii="Calibri" w:eastAsia="Times New Roman" w:hAnsi="Calibri" w:cs="Arial"/>
                <w:bCs/>
                <w:color w:val="0070C0"/>
                <w:kern w:val="0"/>
                <w:lang w:eastAsia="es-CR"/>
                <w14:ligatures w14:val="none"/>
              </w:rPr>
            </w:pPr>
            <w:r w:rsidRPr="00C97FEA">
              <w:rPr>
                <w:rFonts w:ascii="Calibri" w:eastAsia="Times New Roman" w:hAnsi="Calibri" w:cs="Arial"/>
                <w:bCs/>
                <w:color w:val="0070C0"/>
                <w:kern w:val="0"/>
                <w:lang w:eastAsia="es-CR"/>
                <w14:ligatures w14:val="none"/>
              </w:rPr>
              <w:t>Guía para la participación en un foro en la plataforma Moodle</w:t>
            </w:r>
          </w:p>
          <w:p w14:paraId="67692D0A" w14:textId="77777777" w:rsidR="00C97FEA" w:rsidRPr="00C97FEA" w:rsidRDefault="00C97FEA" w:rsidP="00C97FEA">
            <w:pPr>
              <w:spacing w:after="0" w:line="240" w:lineRule="auto"/>
              <w:rPr>
                <w:rFonts w:ascii="Calibri" w:eastAsia="Times New Roman" w:hAnsi="Calibri" w:cs="Arial"/>
                <w:bCs/>
                <w:color w:val="0070C0"/>
                <w:kern w:val="0"/>
                <w:lang w:eastAsia="es-CR"/>
                <w14:ligatures w14:val="none"/>
              </w:rPr>
            </w:pPr>
          </w:p>
          <w:p w14:paraId="48F1D7A3" w14:textId="77777777" w:rsidR="00C97FEA" w:rsidRPr="00C97FEA" w:rsidRDefault="00C97FEA" w:rsidP="00C97FEA">
            <w:pPr>
              <w:spacing w:after="0" w:line="240" w:lineRule="auto"/>
              <w:rPr>
                <w:rFonts w:ascii="Calibri" w:eastAsia="Times New Roman" w:hAnsi="Calibri" w:cs="Calibri"/>
                <w:bCs/>
                <w:color w:val="000000"/>
                <w:kern w:val="0"/>
                <w:lang w:val="es-ES_tradnl" w:eastAsia="es-CR"/>
                <w14:ligatures w14:val="none"/>
              </w:rPr>
            </w:pPr>
            <w:r w:rsidRPr="00C97FEA">
              <w:rPr>
                <w:rFonts w:ascii="Calibri" w:eastAsia="Times New Roman" w:hAnsi="Calibri" w:cs="Arial"/>
                <w:bCs/>
                <w:color w:val="0070C0"/>
                <w:kern w:val="0"/>
                <w:lang w:eastAsia="es-CR"/>
                <w14:ligatures w14:val="none"/>
              </w:rPr>
              <w:t xml:space="preserve">Guía para la participación mediante la herramienta Big Blue </w:t>
            </w:r>
            <w:proofErr w:type="spellStart"/>
            <w:r w:rsidRPr="00C97FEA">
              <w:rPr>
                <w:rFonts w:ascii="Calibri" w:eastAsia="Times New Roman" w:hAnsi="Calibri" w:cs="Arial"/>
                <w:bCs/>
                <w:color w:val="0070C0"/>
                <w:kern w:val="0"/>
                <w:lang w:eastAsia="es-CR"/>
                <w14:ligatures w14:val="none"/>
              </w:rPr>
              <w:t>Button</w:t>
            </w:r>
            <w:proofErr w:type="spellEnd"/>
            <w:r w:rsidRPr="00C97FEA">
              <w:rPr>
                <w:rFonts w:ascii="Calibri" w:eastAsia="Times New Roman" w:hAnsi="Calibri" w:cs="Arial"/>
                <w:bCs/>
                <w:color w:val="0070C0"/>
                <w:kern w:val="0"/>
                <w:lang w:eastAsia="es-CR"/>
                <w14:ligatures w14:val="none"/>
              </w:rPr>
              <w:t xml:space="preserve"> en la plataforma Moodle</w:t>
            </w:r>
          </w:p>
          <w:p w14:paraId="00EA5D7D" w14:textId="77777777" w:rsidR="00C97FEA" w:rsidRPr="00C97FEA" w:rsidRDefault="00C97FEA" w:rsidP="00C97FEA">
            <w:pPr>
              <w:spacing w:after="0" w:line="240" w:lineRule="auto"/>
              <w:rPr>
                <w:rFonts w:ascii="Calibri" w:eastAsia="Times New Roman" w:hAnsi="Calibri" w:cs="Arial"/>
                <w:kern w:val="0"/>
                <w:lang w:eastAsia="es-CR"/>
                <w14:ligatures w14:val="none"/>
              </w:rPr>
            </w:pPr>
          </w:p>
        </w:tc>
        <w:tc>
          <w:tcPr>
            <w:tcW w:w="2977" w:type="dxa"/>
            <w:shd w:val="clear" w:color="auto" w:fill="auto"/>
          </w:tcPr>
          <w:p w14:paraId="3A112CA6"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Elaboración de la tarea individual 7.</w:t>
            </w:r>
          </w:p>
          <w:p w14:paraId="3FEAA489"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Participación en el foro temático: Citas, paráfrasis y plagio.</w:t>
            </w:r>
          </w:p>
          <w:p w14:paraId="27B704F8"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Continuar con la revisión de un documento académico escrito previamente.</w:t>
            </w:r>
          </w:p>
          <w:p w14:paraId="334678D5"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p w14:paraId="31965BF2" w14:textId="77777777" w:rsidR="00C97FEA" w:rsidRPr="00C97FEA" w:rsidRDefault="00C97FEA" w:rsidP="00C97FEA">
            <w:pPr>
              <w:spacing w:after="0" w:line="240" w:lineRule="auto"/>
              <w:rPr>
                <w:rFonts w:ascii="Calibri" w:eastAsia="Times New Roman" w:hAnsi="Calibri" w:cs="Calibri"/>
                <w:kern w:val="0"/>
                <w:lang w:val="es-ES_tradnl" w:eastAsia="es-CR"/>
                <w14:ligatures w14:val="none"/>
              </w:rPr>
            </w:pPr>
          </w:p>
        </w:tc>
      </w:tr>
      <w:tr w:rsidR="00C97FEA" w:rsidRPr="00C97FEA" w14:paraId="2DB284F0" w14:textId="77777777" w:rsidTr="4C9C2619">
        <w:trPr>
          <w:trHeight w:val="800"/>
          <w:jc w:val="center"/>
        </w:trPr>
        <w:tc>
          <w:tcPr>
            <w:tcW w:w="1271" w:type="dxa"/>
            <w:shd w:val="clear" w:color="auto" w:fill="auto"/>
          </w:tcPr>
          <w:p w14:paraId="19D10DB4"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13</w:t>
            </w:r>
          </w:p>
        </w:tc>
        <w:tc>
          <w:tcPr>
            <w:tcW w:w="2202" w:type="dxa"/>
            <w:shd w:val="clear" w:color="auto" w:fill="auto"/>
          </w:tcPr>
          <w:p w14:paraId="04077A4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7: Notas y bibliografía </w:t>
            </w:r>
          </w:p>
          <w:p w14:paraId="2DE9A425"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7.1 Estilo Chicago-Deusto: notas y bibliografía</w:t>
            </w:r>
          </w:p>
        </w:tc>
        <w:tc>
          <w:tcPr>
            <w:tcW w:w="2901" w:type="dxa"/>
          </w:tcPr>
          <w:p w14:paraId="774AF070"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10F6E017" w14:textId="77777777" w:rsidR="00C97FEA" w:rsidRPr="00C97FEA" w:rsidRDefault="00C97FEA" w:rsidP="00C97FEA">
            <w:pPr>
              <w:spacing w:after="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Universidad de Deusto. “Documentación I: notas y bibliografía”. En </w:t>
            </w:r>
            <w:r w:rsidRPr="00C97FEA">
              <w:rPr>
                <w:rFonts w:ascii="Calibri" w:eastAsia="Times New Roman" w:hAnsi="Calibri" w:cs="Arial"/>
                <w:i/>
                <w:kern w:val="0"/>
                <w:lang w:eastAsia="es-CR"/>
                <w14:ligatures w14:val="none"/>
              </w:rPr>
              <w:t>Manual de estilo Chicago-Deusto</w:t>
            </w:r>
            <w:r w:rsidRPr="00C97FEA">
              <w:rPr>
                <w:rFonts w:ascii="Calibri" w:eastAsia="Times New Roman" w:hAnsi="Calibri" w:cs="Arial"/>
                <w:kern w:val="0"/>
                <w:lang w:eastAsia="es-CR"/>
                <w14:ligatures w14:val="none"/>
              </w:rPr>
              <w:t xml:space="preserve">, 623-743. España: Publicaciones de </w:t>
            </w:r>
            <w:r w:rsidRPr="00C97FEA">
              <w:rPr>
                <w:rFonts w:ascii="Calibri" w:eastAsia="Times New Roman" w:hAnsi="Calibri" w:cs="Arial"/>
                <w:kern w:val="0"/>
                <w:lang w:eastAsia="es-CR"/>
                <w14:ligatures w14:val="none"/>
              </w:rPr>
              <w:lastRenderedPageBreak/>
              <w:t xml:space="preserve">la Universidad de Deusto, 2013. </w:t>
            </w:r>
            <w:r w:rsidRPr="00C97FEA">
              <w:rPr>
                <w:rFonts w:ascii="Calibri" w:eastAsia="Times New Roman" w:hAnsi="Calibri" w:cs="Arial"/>
                <w:color w:val="0070C0"/>
                <w:kern w:val="0"/>
                <w:lang w:eastAsia="es-CR"/>
                <w14:ligatures w14:val="none"/>
              </w:rPr>
              <w:t>(clásico, última edición)</w:t>
            </w:r>
          </w:p>
        </w:tc>
        <w:tc>
          <w:tcPr>
            <w:tcW w:w="2977" w:type="dxa"/>
            <w:shd w:val="clear" w:color="auto" w:fill="auto"/>
          </w:tcPr>
          <w:p w14:paraId="69FF9F4E"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lastRenderedPageBreak/>
              <w:t>Continuar con la revisión de un documento académico escrito previamente.</w:t>
            </w:r>
          </w:p>
          <w:p w14:paraId="0E8F6215" w14:textId="77777777" w:rsidR="00C97FEA" w:rsidRPr="00C97FEA" w:rsidRDefault="00C97FEA" w:rsidP="00C97FEA">
            <w:pPr>
              <w:spacing w:after="0" w:line="240" w:lineRule="auto"/>
              <w:rPr>
                <w:rFonts w:ascii="Calibri" w:eastAsia="Times New Roman" w:hAnsi="Calibri" w:cs="Calibri"/>
                <w:kern w:val="0"/>
                <w:lang w:val="es-ES_tradnl" w:eastAsia="es-CR"/>
                <w14:ligatures w14:val="none"/>
              </w:rPr>
            </w:pPr>
          </w:p>
        </w:tc>
      </w:tr>
      <w:tr w:rsidR="00C97FEA" w:rsidRPr="00C97FEA" w14:paraId="5261E0C3" w14:textId="77777777" w:rsidTr="4C9C2619">
        <w:trPr>
          <w:trHeight w:val="553"/>
          <w:jc w:val="center"/>
        </w:trPr>
        <w:tc>
          <w:tcPr>
            <w:tcW w:w="1271" w:type="dxa"/>
            <w:shd w:val="clear" w:color="auto" w:fill="auto"/>
          </w:tcPr>
          <w:p w14:paraId="34A2C5B4"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14</w:t>
            </w:r>
          </w:p>
        </w:tc>
        <w:tc>
          <w:tcPr>
            <w:tcW w:w="2202" w:type="dxa"/>
            <w:shd w:val="clear" w:color="auto" w:fill="auto"/>
          </w:tcPr>
          <w:p w14:paraId="63874E0D"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 xml:space="preserve">Unidad 7: Notas y bibliografía </w:t>
            </w:r>
          </w:p>
          <w:p w14:paraId="58CA236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7.2 Estilo Chicago-Deusto: autor y año</w:t>
            </w:r>
          </w:p>
          <w:p w14:paraId="5DBC5E8F"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p>
        </w:tc>
        <w:tc>
          <w:tcPr>
            <w:tcW w:w="2901" w:type="dxa"/>
          </w:tcPr>
          <w:p w14:paraId="1E848CBC"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p w14:paraId="5E17DAA4"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 xml:space="preserve">Universidad de Deusto. “Documentación II: citas autor-año”. En </w:t>
            </w:r>
            <w:r w:rsidRPr="00C97FEA">
              <w:rPr>
                <w:rFonts w:ascii="Calibri" w:eastAsia="Times New Roman" w:hAnsi="Calibri" w:cs="Arial"/>
                <w:i/>
                <w:kern w:val="0"/>
                <w:lang w:eastAsia="es-CR"/>
                <w14:ligatures w14:val="none"/>
              </w:rPr>
              <w:t>Manual de estilo Chicago-Deusto</w:t>
            </w:r>
            <w:r w:rsidRPr="00C97FEA">
              <w:rPr>
                <w:rFonts w:ascii="Calibri" w:eastAsia="Times New Roman" w:hAnsi="Calibri" w:cs="Arial"/>
                <w:kern w:val="0"/>
                <w:lang w:eastAsia="es-CR"/>
                <w14:ligatures w14:val="none"/>
              </w:rPr>
              <w:t xml:space="preserve">, 745-769. España: Publicaciones de la Universidad de Deusto, 2013. </w:t>
            </w:r>
            <w:r w:rsidRPr="00C97FEA">
              <w:rPr>
                <w:rFonts w:ascii="Calibri" w:eastAsia="Times New Roman" w:hAnsi="Calibri" w:cs="Arial"/>
                <w:color w:val="0070C0"/>
                <w:kern w:val="0"/>
                <w:lang w:eastAsia="es-CR"/>
                <w14:ligatures w14:val="none"/>
              </w:rPr>
              <w:t>(clásico, última edición)</w:t>
            </w:r>
          </w:p>
          <w:p w14:paraId="542BB752"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color w:val="0070C0"/>
                <w:kern w:val="0"/>
                <w:lang w:eastAsia="es-CR"/>
                <w14:ligatures w14:val="none"/>
              </w:rPr>
            </w:pPr>
            <w:r w:rsidRPr="00C97FEA">
              <w:rPr>
                <w:rFonts w:ascii="Calibri" w:eastAsia="Times New Roman" w:hAnsi="Calibri" w:cs="Arial"/>
                <w:b/>
                <w:color w:val="0070C0"/>
                <w:kern w:val="0"/>
                <w:lang w:eastAsia="es-CR"/>
                <w14:ligatures w14:val="none"/>
              </w:rPr>
              <w:t>Material complementario</w:t>
            </w:r>
          </w:p>
          <w:p w14:paraId="2C24944A"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Cs/>
                <w:kern w:val="0"/>
                <w:lang w:eastAsia="es-CR"/>
                <w14:ligatures w14:val="none"/>
              </w:rPr>
            </w:pPr>
            <w:r w:rsidRPr="00C97FEA">
              <w:rPr>
                <w:rFonts w:ascii="Calibri" w:eastAsia="Times New Roman" w:hAnsi="Calibri" w:cs="Arial"/>
                <w:bCs/>
                <w:color w:val="0070C0"/>
                <w:kern w:val="0"/>
                <w:lang w:eastAsia="es-CR"/>
                <w14:ligatures w14:val="none"/>
              </w:rPr>
              <w:t xml:space="preserve">Guía para la participación mediante la herramienta Big Blue </w:t>
            </w:r>
            <w:proofErr w:type="spellStart"/>
            <w:r w:rsidRPr="00C97FEA">
              <w:rPr>
                <w:rFonts w:ascii="Calibri" w:eastAsia="Times New Roman" w:hAnsi="Calibri" w:cs="Arial"/>
                <w:bCs/>
                <w:color w:val="0070C0"/>
                <w:kern w:val="0"/>
                <w:lang w:eastAsia="es-CR"/>
                <w14:ligatures w14:val="none"/>
              </w:rPr>
              <w:t>Button</w:t>
            </w:r>
            <w:proofErr w:type="spellEnd"/>
            <w:r w:rsidRPr="00C97FEA">
              <w:rPr>
                <w:rFonts w:ascii="Calibri" w:eastAsia="Times New Roman" w:hAnsi="Calibri" w:cs="Arial"/>
                <w:bCs/>
                <w:color w:val="0070C0"/>
                <w:kern w:val="0"/>
                <w:lang w:eastAsia="es-CR"/>
                <w14:ligatures w14:val="none"/>
              </w:rPr>
              <w:t xml:space="preserve"> en la plataforma Moodle</w:t>
            </w:r>
          </w:p>
        </w:tc>
        <w:tc>
          <w:tcPr>
            <w:tcW w:w="2977" w:type="dxa"/>
            <w:shd w:val="clear" w:color="auto" w:fill="auto"/>
          </w:tcPr>
          <w:p w14:paraId="1259AA03"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Entrega del segundo avance de la revisión de un documento académico escrito previamente.</w:t>
            </w:r>
          </w:p>
          <w:p w14:paraId="14DBE160"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Arial"/>
                <w:kern w:val="0"/>
                <w:lang w:val="es-ES_tradnl" w:eastAsia="es-CR"/>
                <w14:ligatures w14:val="none"/>
              </w:rPr>
              <w:t xml:space="preserve">Presentación </w:t>
            </w:r>
            <w:r w:rsidRPr="00C97FEA">
              <w:rPr>
                <w:rFonts w:ascii="Calibri" w:eastAsia="Times New Roman" w:hAnsi="Calibri" w:cs="Arial"/>
                <w:kern w:val="0"/>
                <w:lang w:eastAsia="es-CR"/>
                <w14:ligatures w14:val="none"/>
              </w:rPr>
              <w:t>docente en un encuentro sincrónico virtual (formativo).</w:t>
            </w:r>
          </w:p>
        </w:tc>
      </w:tr>
      <w:tr w:rsidR="00C97FEA" w:rsidRPr="00C97FEA" w14:paraId="485E27AF" w14:textId="77777777" w:rsidTr="4C9C2619">
        <w:trPr>
          <w:trHeight w:val="784"/>
          <w:jc w:val="center"/>
        </w:trPr>
        <w:tc>
          <w:tcPr>
            <w:tcW w:w="1271" w:type="dxa"/>
            <w:shd w:val="clear" w:color="auto" w:fill="auto"/>
          </w:tcPr>
          <w:p w14:paraId="0FF87E39" w14:textId="77777777" w:rsidR="00C97FEA" w:rsidRPr="00C97FEA" w:rsidRDefault="00C97FEA" w:rsidP="00C97FEA">
            <w:pPr>
              <w:widowControl w:val="0"/>
              <w:overflowPunct w:val="0"/>
              <w:autoSpaceDE w:val="0"/>
              <w:autoSpaceDN w:val="0"/>
              <w:adjustRightInd w:val="0"/>
              <w:spacing w:before="120" w:after="240" w:line="240" w:lineRule="auto"/>
              <w:jc w:val="center"/>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15</w:t>
            </w:r>
          </w:p>
        </w:tc>
        <w:tc>
          <w:tcPr>
            <w:tcW w:w="2202" w:type="dxa"/>
            <w:shd w:val="clear" w:color="auto" w:fill="auto"/>
          </w:tcPr>
          <w:p w14:paraId="4B0EFAF7"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b/>
                <w:bCs/>
                <w:kern w:val="0"/>
                <w:lang w:eastAsia="es-CR"/>
                <w14:ligatures w14:val="none"/>
              </w:rPr>
            </w:pPr>
            <w:r w:rsidRPr="00C97FEA">
              <w:rPr>
                <w:rFonts w:ascii="Calibri" w:eastAsia="Times New Roman" w:hAnsi="Calibri" w:cs="Arial"/>
                <w:b/>
                <w:bCs/>
                <w:kern w:val="0"/>
                <w:lang w:eastAsia="es-CR"/>
                <w14:ligatures w14:val="none"/>
              </w:rPr>
              <w:t>Unidad 8: La biblioteca: recursos bibliográficos</w:t>
            </w:r>
          </w:p>
          <w:p w14:paraId="18BEC0A8"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kern w:val="0"/>
                <w:lang w:eastAsia="es-CR"/>
                <w14:ligatures w14:val="none"/>
              </w:rPr>
              <w:t>8.1 Repaso y evaluación</w:t>
            </w:r>
          </w:p>
        </w:tc>
        <w:tc>
          <w:tcPr>
            <w:tcW w:w="2901" w:type="dxa"/>
          </w:tcPr>
          <w:p w14:paraId="68F1A839" w14:textId="77777777" w:rsidR="00C97FEA" w:rsidRPr="00C97FEA" w:rsidRDefault="00C97FEA" w:rsidP="00C97FEA">
            <w:pPr>
              <w:widowControl w:val="0"/>
              <w:overflowPunct w:val="0"/>
              <w:autoSpaceDE w:val="0"/>
              <w:autoSpaceDN w:val="0"/>
              <w:adjustRightInd w:val="0"/>
              <w:spacing w:before="120" w:after="240" w:line="240" w:lineRule="auto"/>
              <w:rPr>
                <w:rFonts w:ascii="Calibri" w:eastAsia="Times New Roman" w:hAnsi="Calibri" w:cs="Arial"/>
                <w:kern w:val="0"/>
                <w:lang w:eastAsia="es-CR"/>
                <w14:ligatures w14:val="none"/>
              </w:rPr>
            </w:pPr>
            <w:r w:rsidRPr="00C97FEA">
              <w:rPr>
                <w:rFonts w:ascii="Calibri" w:eastAsia="Times New Roman" w:hAnsi="Calibri" w:cs="Arial"/>
                <w:color w:val="0070C0"/>
                <w:kern w:val="0"/>
                <w:lang w:eastAsia="es-CR"/>
                <w14:ligatures w14:val="none"/>
              </w:rPr>
              <w:t>Ruta de aprendizaje</w:t>
            </w:r>
          </w:p>
        </w:tc>
        <w:tc>
          <w:tcPr>
            <w:tcW w:w="2977" w:type="dxa"/>
            <w:shd w:val="clear" w:color="auto" w:fill="auto"/>
          </w:tcPr>
          <w:p w14:paraId="19CF7F95" w14:textId="77777777" w:rsidR="00C97FEA" w:rsidRPr="00C97FEA" w:rsidRDefault="00C97FEA" w:rsidP="00C97FEA">
            <w:pPr>
              <w:widowControl w:val="0"/>
              <w:numPr>
                <w:ilvl w:val="0"/>
                <w:numId w:val="1"/>
              </w:numPr>
              <w:overflowPunct w:val="0"/>
              <w:autoSpaceDE w:val="0"/>
              <w:autoSpaceDN w:val="0"/>
              <w:adjustRightInd w:val="0"/>
              <w:spacing w:before="120" w:after="0" w:line="240" w:lineRule="auto"/>
              <w:ind w:left="176" w:hanging="142"/>
              <w:rPr>
                <w:rFonts w:ascii="Calibri" w:eastAsia="Times New Roman" w:hAnsi="Calibri" w:cs="Calibri"/>
                <w:kern w:val="0"/>
                <w:lang w:val="es-ES_tradnl" w:eastAsia="es-CR"/>
                <w14:ligatures w14:val="none"/>
              </w:rPr>
            </w:pPr>
            <w:r w:rsidRPr="00C97FEA">
              <w:rPr>
                <w:rFonts w:ascii="Calibri" w:eastAsia="Times New Roman" w:hAnsi="Calibri" w:cs="Calibri"/>
                <w:kern w:val="0"/>
                <w:lang w:val="es-ES_tradnl" w:eastAsia="es-CR"/>
                <w14:ligatures w14:val="none"/>
              </w:rPr>
              <w:t xml:space="preserve">Realización de la evaluación final. </w:t>
            </w:r>
          </w:p>
        </w:tc>
      </w:tr>
    </w:tbl>
    <w:p w14:paraId="5F253306"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31234DD7"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326DF0B9"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3EB8A4DA"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4C990926"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2600DB5C"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09EC2920" w14:textId="77777777" w:rsid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096F1E0C" w14:textId="77777777" w:rsid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68A7204F"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43F255CA"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42D203D2"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0DE9562D"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4B9BA961"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2DBDCE73"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kern w:val="0"/>
          <w:sz w:val="24"/>
          <w:szCs w:val="20"/>
          <w:lang w:eastAsia="es-CR"/>
          <w14:ligatures w14:val="none"/>
        </w:rPr>
      </w:pPr>
    </w:p>
    <w:p w14:paraId="70046539"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97FEA">
        <w:rPr>
          <w:rFonts w:ascii="Calibri" w:eastAsia="Times New Roman" w:hAnsi="Calibri" w:cs="Calibri"/>
          <w:b/>
          <w:bCs/>
          <w:color w:val="000000"/>
          <w:kern w:val="0"/>
          <w:lang w:val="es-ES_tradnl" w:eastAsia="es-CR"/>
          <w14:ligatures w14:val="none"/>
        </w:rPr>
        <w:lastRenderedPageBreak/>
        <w:t>IX. Distribución de tiempo semanal</w:t>
      </w:r>
    </w:p>
    <w:p w14:paraId="73AC356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97FEA">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prácticas, tareas, discusiones en foros o trabajos colaborativos.  Debe considerarse que, al tener este curso asignados 3 créditos, se debe invertir 9 horas de trabajo por semana. La distribución de tiempos es la siguiente:</w:t>
      </w:r>
    </w:p>
    <w:p w14:paraId="3089169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8784" w:type="dxa"/>
        <w:tblLook w:val="04A0" w:firstRow="1" w:lastRow="0" w:firstColumn="1" w:lastColumn="0" w:noHBand="0" w:noVBand="1"/>
      </w:tblPr>
      <w:tblGrid>
        <w:gridCol w:w="1838"/>
        <w:gridCol w:w="1418"/>
        <w:gridCol w:w="5528"/>
      </w:tblGrid>
      <w:tr w:rsidR="00C97FEA" w:rsidRPr="00C97FEA" w14:paraId="66F2BBEE" w14:textId="77777777" w:rsidTr="4C9C2619">
        <w:tc>
          <w:tcPr>
            <w:tcW w:w="1838" w:type="dxa"/>
          </w:tcPr>
          <w:p w14:paraId="16339F68" w14:textId="77777777" w:rsidR="00C97FEA" w:rsidRPr="00C97FEA" w:rsidRDefault="00C97FEA" w:rsidP="00C97FEA">
            <w:pPr>
              <w:widowControl w:val="0"/>
              <w:overflowPunct w:val="0"/>
              <w:jc w:val="center"/>
              <w:rPr>
                <w:rFonts w:eastAsia="Times New Roman"/>
                <w:b/>
                <w:bCs/>
                <w:lang w:val="es-ES_tradnl" w:eastAsia="es-CR"/>
              </w:rPr>
            </w:pPr>
            <w:r w:rsidRPr="00C97FEA">
              <w:rPr>
                <w:rFonts w:eastAsia="Times New Roman"/>
                <w:b/>
                <w:bCs/>
                <w:lang w:val="es-ES_tradnl" w:eastAsia="es-CR"/>
              </w:rPr>
              <w:t>Tipo de horas</w:t>
            </w:r>
          </w:p>
          <w:p w14:paraId="55770D61" w14:textId="77777777" w:rsidR="00C97FEA" w:rsidRPr="00C97FEA" w:rsidRDefault="00C97FEA" w:rsidP="00C97FEA">
            <w:pPr>
              <w:widowControl w:val="0"/>
              <w:overflowPunct w:val="0"/>
              <w:jc w:val="center"/>
              <w:rPr>
                <w:rFonts w:eastAsia="Times New Roman"/>
                <w:b/>
                <w:bCs/>
                <w:lang w:val="es-ES_tradnl" w:eastAsia="es-CR"/>
              </w:rPr>
            </w:pPr>
            <w:r w:rsidRPr="00C97FEA">
              <w:rPr>
                <w:rFonts w:eastAsia="Times New Roman"/>
                <w:b/>
                <w:bCs/>
                <w:lang w:val="es-ES_tradnl" w:eastAsia="es-CR"/>
              </w:rPr>
              <w:t>(categoría)</w:t>
            </w:r>
          </w:p>
        </w:tc>
        <w:tc>
          <w:tcPr>
            <w:tcW w:w="1418" w:type="dxa"/>
          </w:tcPr>
          <w:p w14:paraId="53492FB5" w14:textId="77777777" w:rsidR="00C97FEA" w:rsidRPr="00C97FEA" w:rsidRDefault="00C97FEA" w:rsidP="00C97FEA">
            <w:pPr>
              <w:widowControl w:val="0"/>
              <w:overflowPunct w:val="0"/>
              <w:jc w:val="center"/>
              <w:rPr>
                <w:rFonts w:eastAsia="Times New Roman"/>
                <w:b/>
                <w:bCs/>
                <w:lang w:val="es-ES_tradnl" w:eastAsia="es-CR"/>
              </w:rPr>
            </w:pPr>
            <w:r w:rsidRPr="00C97FEA">
              <w:rPr>
                <w:rFonts w:eastAsia="Times New Roman"/>
                <w:b/>
                <w:bCs/>
                <w:lang w:val="es-ES_tradnl" w:eastAsia="es-CR"/>
              </w:rPr>
              <w:t>Horas por semana</w:t>
            </w:r>
          </w:p>
        </w:tc>
        <w:tc>
          <w:tcPr>
            <w:tcW w:w="5528" w:type="dxa"/>
            <w:vAlign w:val="center"/>
          </w:tcPr>
          <w:p w14:paraId="39B81B0E" w14:textId="77777777" w:rsidR="00C97FEA" w:rsidRPr="00C97FEA" w:rsidRDefault="00C97FEA" w:rsidP="00C97FEA">
            <w:pPr>
              <w:widowControl w:val="0"/>
              <w:overflowPunct w:val="0"/>
              <w:jc w:val="center"/>
              <w:rPr>
                <w:rFonts w:eastAsia="Times New Roman"/>
                <w:b/>
                <w:bCs/>
                <w:lang w:val="es-ES_tradnl" w:eastAsia="es-CR"/>
              </w:rPr>
            </w:pPr>
            <w:r w:rsidRPr="00C97FEA">
              <w:rPr>
                <w:rFonts w:eastAsia="Times New Roman"/>
                <w:b/>
                <w:bCs/>
                <w:lang w:val="es-ES_tradnl" w:eastAsia="es-CR"/>
              </w:rPr>
              <w:t>Actividades relacionadas</w:t>
            </w:r>
          </w:p>
        </w:tc>
      </w:tr>
      <w:tr w:rsidR="00C97FEA" w:rsidRPr="00C97FEA" w14:paraId="3267AEAB" w14:textId="77777777" w:rsidTr="4C9C2619">
        <w:trPr>
          <w:trHeight w:val="607"/>
        </w:trPr>
        <w:tc>
          <w:tcPr>
            <w:tcW w:w="1838" w:type="dxa"/>
            <w:vAlign w:val="center"/>
          </w:tcPr>
          <w:p w14:paraId="09207D1F"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Horas de Estudio Individual (HEI)</w:t>
            </w:r>
          </w:p>
        </w:tc>
        <w:tc>
          <w:tcPr>
            <w:tcW w:w="1418" w:type="dxa"/>
            <w:vAlign w:val="center"/>
          </w:tcPr>
          <w:p w14:paraId="3E6CB1B4"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3</w:t>
            </w:r>
          </w:p>
        </w:tc>
        <w:tc>
          <w:tcPr>
            <w:tcW w:w="5528" w:type="dxa"/>
          </w:tcPr>
          <w:p w14:paraId="6AEA1D01"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Lectura de los textos (materiales en formato digital).</w:t>
            </w:r>
          </w:p>
        </w:tc>
      </w:tr>
      <w:tr w:rsidR="00C97FEA" w:rsidRPr="00C97FEA" w14:paraId="5C862DB4" w14:textId="77777777" w:rsidTr="4C9C2619">
        <w:trPr>
          <w:trHeight w:val="1182"/>
        </w:trPr>
        <w:tc>
          <w:tcPr>
            <w:tcW w:w="1838" w:type="dxa"/>
            <w:vAlign w:val="center"/>
          </w:tcPr>
          <w:p w14:paraId="4EA4A0F9"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Horas de Trabajo Colaborativo (HTC)</w:t>
            </w:r>
          </w:p>
        </w:tc>
        <w:tc>
          <w:tcPr>
            <w:tcW w:w="1418" w:type="dxa"/>
            <w:vAlign w:val="center"/>
          </w:tcPr>
          <w:p w14:paraId="1CC05BE8"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2</w:t>
            </w:r>
          </w:p>
        </w:tc>
        <w:tc>
          <w:tcPr>
            <w:tcW w:w="5528" w:type="dxa"/>
          </w:tcPr>
          <w:p w14:paraId="1A9298E4"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Participación en los foros temáticos (incluye aportes personales y réplicas a los y las demás estudiantes).</w:t>
            </w:r>
          </w:p>
          <w:p w14:paraId="050032DB"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Participación en la elaboración de un glosario.</w:t>
            </w:r>
          </w:p>
          <w:p w14:paraId="73ABAEBB"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Participación en la elaboración de wikis.</w:t>
            </w:r>
          </w:p>
          <w:p w14:paraId="1C5B3E76"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Participación en un taller interactivo.</w:t>
            </w:r>
          </w:p>
          <w:p w14:paraId="7377F886"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Participación en los encuentros sincrónicos virtuales.</w:t>
            </w:r>
          </w:p>
        </w:tc>
      </w:tr>
      <w:tr w:rsidR="00C97FEA" w:rsidRPr="00C97FEA" w14:paraId="1BCC08F1" w14:textId="77777777" w:rsidTr="4C9C2619">
        <w:tc>
          <w:tcPr>
            <w:tcW w:w="1838" w:type="dxa"/>
            <w:vAlign w:val="center"/>
          </w:tcPr>
          <w:p w14:paraId="22944A81"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Horas de Producción Individual (HPI)</w:t>
            </w:r>
          </w:p>
        </w:tc>
        <w:tc>
          <w:tcPr>
            <w:tcW w:w="1418" w:type="dxa"/>
            <w:vAlign w:val="center"/>
          </w:tcPr>
          <w:p w14:paraId="2DFAF0DC"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3</w:t>
            </w:r>
          </w:p>
        </w:tc>
        <w:tc>
          <w:tcPr>
            <w:tcW w:w="5528" w:type="dxa"/>
          </w:tcPr>
          <w:p w14:paraId="0EF6F207"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Elaboración de tareas individuales.</w:t>
            </w:r>
          </w:p>
          <w:p w14:paraId="32AFC2AC"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Revisión de un documento académico escrito previamente.</w:t>
            </w:r>
          </w:p>
        </w:tc>
      </w:tr>
      <w:tr w:rsidR="00C97FEA" w:rsidRPr="00C97FEA" w14:paraId="45A90F71" w14:textId="77777777" w:rsidTr="4C9C2619">
        <w:tc>
          <w:tcPr>
            <w:tcW w:w="1838" w:type="dxa"/>
            <w:vAlign w:val="center"/>
          </w:tcPr>
          <w:p w14:paraId="7D7FD1D3"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Horas de Práctica (HP)</w:t>
            </w:r>
          </w:p>
        </w:tc>
        <w:tc>
          <w:tcPr>
            <w:tcW w:w="1418" w:type="dxa"/>
            <w:vAlign w:val="center"/>
          </w:tcPr>
          <w:p w14:paraId="2BA18869" w14:textId="77777777" w:rsidR="00C97FEA" w:rsidRPr="00C97FEA" w:rsidRDefault="00C97FEA" w:rsidP="00C97FEA">
            <w:pPr>
              <w:widowControl w:val="0"/>
              <w:overflowPunct w:val="0"/>
              <w:jc w:val="center"/>
              <w:rPr>
                <w:rFonts w:eastAsia="Times New Roman"/>
                <w:bCs/>
                <w:lang w:val="es-ES_tradnl" w:eastAsia="es-CR"/>
              </w:rPr>
            </w:pPr>
            <w:r w:rsidRPr="00C97FEA">
              <w:rPr>
                <w:rFonts w:eastAsia="Times New Roman"/>
                <w:bCs/>
                <w:lang w:val="es-ES_tradnl" w:eastAsia="es-CR"/>
              </w:rPr>
              <w:t>1</w:t>
            </w:r>
          </w:p>
        </w:tc>
        <w:tc>
          <w:tcPr>
            <w:tcW w:w="5528" w:type="dxa"/>
          </w:tcPr>
          <w:p w14:paraId="6EFAE840"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Ejercicios y tareas semanales.</w:t>
            </w:r>
          </w:p>
          <w:p w14:paraId="2AACE3BA" w14:textId="77777777" w:rsidR="00C97FEA" w:rsidRPr="00C97FEA" w:rsidRDefault="00C97FEA" w:rsidP="00C97FEA">
            <w:pPr>
              <w:widowControl w:val="0"/>
              <w:numPr>
                <w:ilvl w:val="0"/>
                <w:numId w:val="3"/>
              </w:numPr>
              <w:overflowPunct w:val="0"/>
              <w:spacing w:before="120" w:after="200"/>
              <w:contextualSpacing/>
              <w:jc w:val="both"/>
              <w:rPr>
                <w:bCs/>
              </w:rPr>
            </w:pPr>
            <w:r w:rsidRPr="00C97FEA">
              <w:rPr>
                <w:bCs/>
              </w:rPr>
              <w:t>Evaluación final.</w:t>
            </w:r>
          </w:p>
        </w:tc>
      </w:tr>
      <w:tr w:rsidR="00C97FEA" w:rsidRPr="00C97FEA" w14:paraId="471D0011" w14:textId="77777777" w:rsidTr="4C9C2619">
        <w:tc>
          <w:tcPr>
            <w:tcW w:w="1838" w:type="dxa"/>
            <w:vAlign w:val="center"/>
          </w:tcPr>
          <w:p w14:paraId="01C236B9" w14:textId="77777777" w:rsidR="00C97FEA" w:rsidRPr="00C97FEA" w:rsidRDefault="4C9C2619" w:rsidP="4C9C2619">
            <w:pPr>
              <w:widowControl w:val="0"/>
              <w:overflowPunct w:val="0"/>
              <w:jc w:val="center"/>
              <w:rPr>
                <w:rFonts w:eastAsia="Times New Roman"/>
                <w:b/>
                <w:bCs/>
                <w:lang w:val="es-ES" w:eastAsia="es-CR"/>
              </w:rPr>
            </w:pPr>
            <w:r w:rsidRPr="4C9C2619">
              <w:rPr>
                <w:rFonts w:eastAsia="Times New Roman"/>
                <w:b/>
                <w:bCs/>
                <w:lang w:val="es-ES" w:eastAsia="es-CR"/>
              </w:rPr>
              <w:t>Total de horas (TH)</w:t>
            </w:r>
          </w:p>
        </w:tc>
        <w:tc>
          <w:tcPr>
            <w:tcW w:w="1418" w:type="dxa"/>
            <w:vAlign w:val="center"/>
          </w:tcPr>
          <w:p w14:paraId="12BA146D" w14:textId="77777777" w:rsidR="00C97FEA" w:rsidRPr="00C97FEA" w:rsidRDefault="00C97FEA" w:rsidP="00C97FEA">
            <w:pPr>
              <w:widowControl w:val="0"/>
              <w:overflowPunct w:val="0"/>
              <w:jc w:val="center"/>
              <w:rPr>
                <w:rFonts w:eastAsia="Times New Roman"/>
                <w:b/>
                <w:bCs/>
                <w:lang w:val="es-ES_tradnl" w:eastAsia="es-CR"/>
              </w:rPr>
            </w:pPr>
            <w:r w:rsidRPr="00C97FEA">
              <w:rPr>
                <w:rFonts w:eastAsia="Times New Roman"/>
                <w:b/>
                <w:bCs/>
                <w:lang w:val="es-ES_tradnl" w:eastAsia="es-CR"/>
              </w:rPr>
              <w:t>9</w:t>
            </w:r>
          </w:p>
        </w:tc>
        <w:tc>
          <w:tcPr>
            <w:tcW w:w="5528" w:type="dxa"/>
          </w:tcPr>
          <w:p w14:paraId="07AE5C71" w14:textId="77777777" w:rsidR="00C97FEA" w:rsidRPr="00C97FEA" w:rsidRDefault="00C97FEA" w:rsidP="00C97FEA">
            <w:pPr>
              <w:widowControl w:val="0"/>
              <w:overflowPunct w:val="0"/>
              <w:jc w:val="center"/>
              <w:rPr>
                <w:rFonts w:eastAsia="Times New Roman"/>
                <w:b/>
                <w:bCs/>
                <w:lang w:val="es-ES_tradnl" w:eastAsia="es-CR"/>
              </w:rPr>
            </w:pPr>
          </w:p>
        </w:tc>
      </w:tr>
    </w:tbl>
    <w:p w14:paraId="3E985BAD"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601CAF8"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9 horas.  La distribución de tiempos por tipo de horas (categoría) es congruente, en todos sus extremos, con lo que establece el plan de estudios de la modalidad virtual.</w:t>
      </w:r>
    </w:p>
    <w:p w14:paraId="3DD4851A"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D031DC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B99FAEA"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D3BAF82" w14:textId="77777777" w:rsid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701BBA7" w14:textId="77777777" w:rsid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DF3206E" w14:textId="77777777" w:rsid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55C83F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5C8F98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A1967B7"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AE1EB0D" w14:textId="77777777" w:rsidR="00C97FEA" w:rsidRPr="00C97FEA" w:rsidRDefault="00C97FEA" w:rsidP="00C97FEA">
      <w:pPr>
        <w:spacing w:after="0" w:line="240" w:lineRule="auto"/>
        <w:rPr>
          <w:rFonts w:ascii="Calibri" w:eastAsia="Times New Roman" w:hAnsi="Calibri" w:cs="Calibri"/>
          <w:bCs/>
          <w:color w:val="000000"/>
          <w:kern w:val="0"/>
          <w:lang w:val="es-ES_tradnl" w:eastAsia="es-CR"/>
          <w14:ligatures w14:val="none"/>
        </w:rPr>
      </w:pPr>
    </w:p>
    <w:p w14:paraId="38030A98"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r w:rsidRPr="00C97FEA">
        <w:rPr>
          <w:rFonts w:ascii="Calibri" w:eastAsia="Times New Roman" w:hAnsi="Calibri" w:cs="Arial"/>
          <w:b/>
          <w:color w:val="000000"/>
          <w:kern w:val="0"/>
          <w:lang w:eastAsia="es-CR"/>
          <w14:ligatures w14:val="none"/>
        </w:rPr>
        <w:t>X. Evaluación</w:t>
      </w:r>
    </w:p>
    <w:p w14:paraId="67BA3DE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color w:val="000000"/>
          <w:kern w:val="0"/>
          <w:lang w:eastAsia="es-CR"/>
          <w14:ligatures w14:val="none"/>
        </w:rPr>
        <w:t>Este curso resalta el desarrollo de destrezas concretas para escribir a nivel universitario. La evaluación se basará en la demostración de la aplicación de las reglas gramaticales, la estructura del lenguaje escrito, el correcto estilo y de los elementos formales, reflejados principalmente en la elaboración de tareas individuales y colaborativas (glosario, wiki, taller interactivo), en la participación en los foros temáticos virtuales, en la revisión de un documento académico escrito previamente y en la realización de una evaluación final. La nota mínima de aprobación del curso es 7.00 (en escala decimal). Los rubros de evaluación son los siguientes:</w:t>
      </w:r>
    </w:p>
    <w:tbl>
      <w:tblPr>
        <w:tblpPr w:leftFromText="141" w:rightFromText="141" w:bottomFromText="160" w:vertAnchor="text" w:horzAnchor="page" w:tblpXSpec="center" w:tblpY="324"/>
        <w:tblW w:w="99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692"/>
        <w:gridCol w:w="1211"/>
      </w:tblGrid>
      <w:tr w:rsidR="00C97FEA" w:rsidRPr="00C97FEA" w14:paraId="64CBBC32" w14:textId="77777777" w:rsidTr="001D35C6">
        <w:trPr>
          <w:trHeight w:val="410"/>
        </w:trPr>
        <w:tc>
          <w:tcPr>
            <w:tcW w:w="9903" w:type="dxa"/>
            <w:gridSpan w:val="2"/>
            <w:tcBorders>
              <w:top w:val="single" w:sz="4" w:space="0" w:color="000000"/>
              <w:left w:val="single" w:sz="4" w:space="0" w:color="000000"/>
              <w:bottom w:val="single" w:sz="4" w:space="0" w:color="000000"/>
              <w:right w:val="single" w:sz="4" w:space="0" w:color="000000"/>
            </w:tcBorders>
            <w:hideMark/>
          </w:tcPr>
          <w:p w14:paraId="6EE5110B"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
                <w:bCs/>
                <w:color w:val="000000"/>
                <w:kern w:val="0"/>
                <w:lang w:val="es-ES_tradnl"/>
                <w14:ligatures w14:val="none"/>
              </w:rPr>
            </w:pPr>
            <w:r w:rsidRPr="00C97FEA">
              <w:rPr>
                <w:rFonts w:ascii="Calibri" w:eastAsia="Times New Roman" w:hAnsi="Calibri" w:cs="Calibri"/>
                <w:b/>
                <w:bCs/>
                <w:color w:val="000000"/>
                <w:kern w:val="0"/>
                <w:lang w:val="es-ES_tradnl"/>
                <w14:ligatures w14:val="none"/>
              </w:rPr>
              <w:t>Síntesis cuantitativa de la evaluación</w:t>
            </w:r>
          </w:p>
        </w:tc>
      </w:tr>
      <w:tr w:rsidR="00C97FEA" w:rsidRPr="00C97FEA" w14:paraId="0DAD0580" w14:textId="77777777" w:rsidTr="001D35C6">
        <w:trPr>
          <w:trHeight w:val="579"/>
        </w:trPr>
        <w:tc>
          <w:tcPr>
            <w:tcW w:w="8692" w:type="dxa"/>
            <w:tcBorders>
              <w:top w:val="single" w:sz="4" w:space="0" w:color="000000"/>
              <w:left w:val="single" w:sz="4" w:space="0" w:color="000000"/>
              <w:bottom w:val="single" w:sz="4" w:space="0" w:color="000000"/>
              <w:right w:val="single" w:sz="4" w:space="0" w:color="000000"/>
            </w:tcBorders>
            <w:hideMark/>
          </w:tcPr>
          <w:p w14:paraId="76FFA4E6" w14:textId="77777777" w:rsidR="00C97FEA" w:rsidRPr="00C97FEA" w:rsidRDefault="00C97FEA" w:rsidP="00C97FEA">
            <w:pPr>
              <w:widowControl w:val="0"/>
              <w:overflowPunct w:val="0"/>
              <w:autoSpaceDE w:val="0"/>
              <w:autoSpaceDN w:val="0"/>
              <w:adjustRightInd w:val="0"/>
              <w:spacing w:before="120" w:after="0" w:line="256" w:lineRule="auto"/>
              <w:jc w:val="both"/>
              <w:rPr>
                <w:rFonts w:ascii="Calibri" w:eastAsia="Times New Roman" w:hAnsi="Calibri" w:cs="Calibri"/>
                <w:b/>
                <w:bCs/>
                <w:color w:val="000000"/>
                <w:kern w:val="0"/>
                <w:lang w:val="es-ES_tradnl"/>
                <w14:ligatures w14:val="none"/>
              </w:rPr>
            </w:pPr>
            <w:r w:rsidRPr="00C97FEA">
              <w:rPr>
                <w:rFonts w:ascii="Calibri" w:eastAsia="Times New Roman" w:hAnsi="Calibri" w:cs="Calibri"/>
                <w:b/>
                <w:bCs/>
                <w:color w:val="000000"/>
                <w:kern w:val="0"/>
                <w:lang w:val="es-ES_tradnl"/>
                <w14:ligatures w14:val="none"/>
              </w:rPr>
              <w:t>Rubros para evaluar</w:t>
            </w:r>
          </w:p>
        </w:tc>
        <w:tc>
          <w:tcPr>
            <w:tcW w:w="1210" w:type="dxa"/>
            <w:tcBorders>
              <w:top w:val="single" w:sz="4" w:space="0" w:color="000000"/>
              <w:left w:val="single" w:sz="4" w:space="0" w:color="000000"/>
              <w:bottom w:val="single" w:sz="4" w:space="0" w:color="000000"/>
              <w:right w:val="single" w:sz="4" w:space="0" w:color="000000"/>
            </w:tcBorders>
            <w:vAlign w:val="center"/>
            <w:hideMark/>
          </w:tcPr>
          <w:p w14:paraId="48660A7C"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
                <w:bCs/>
                <w:color w:val="000000"/>
                <w:kern w:val="0"/>
                <w:lang w:val="es-ES_tradnl"/>
                <w14:ligatures w14:val="none"/>
              </w:rPr>
            </w:pPr>
            <w:r w:rsidRPr="00C97FEA">
              <w:rPr>
                <w:rFonts w:ascii="Calibri" w:eastAsia="Times New Roman" w:hAnsi="Calibri" w:cs="Calibri"/>
                <w:b/>
                <w:bCs/>
                <w:color w:val="000000"/>
                <w:kern w:val="0"/>
                <w:lang w:val="es-ES_tradnl"/>
                <w14:ligatures w14:val="none"/>
              </w:rPr>
              <w:t>Porcentaje total</w:t>
            </w:r>
          </w:p>
        </w:tc>
      </w:tr>
      <w:tr w:rsidR="00C97FEA" w:rsidRPr="00C97FEA" w14:paraId="52CA8CEF"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tcPr>
          <w:p w14:paraId="41B8B9CB"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Encuentros sincrónicos virtuales</w:t>
            </w:r>
          </w:p>
          <w:p w14:paraId="66BC86B9"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Cs/>
                <w:color w:val="000000"/>
                <w:kern w:val="0"/>
                <w14:ligatures w14:val="none"/>
              </w:rPr>
            </w:pPr>
            <w:r w:rsidRPr="00C97FEA">
              <w:rPr>
                <w:rFonts w:ascii="Calibri" w:eastAsia="Calibri" w:hAnsi="Calibri" w:cs="Calibri"/>
                <w:bCs/>
                <w:color w:val="000000"/>
                <w:kern w:val="0"/>
                <w14:ligatures w14:val="none"/>
              </w:rPr>
              <w:t>Se llevan a cabo en las sesiones 1, 3, 4, 6, 8, 10, 12 y 14. Tienen un valor formativo y no sumativo.</w:t>
            </w:r>
          </w:p>
        </w:tc>
        <w:tc>
          <w:tcPr>
            <w:tcW w:w="1210" w:type="dxa"/>
            <w:tcBorders>
              <w:top w:val="single" w:sz="4" w:space="0" w:color="000000"/>
              <w:left w:val="single" w:sz="4" w:space="0" w:color="000000"/>
              <w:bottom w:val="single" w:sz="4" w:space="0" w:color="000000"/>
              <w:right w:val="single" w:sz="4" w:space="0" w:color="000000"/>
            </w:tcBorders>
            <w:vAlign w:val="center"/>
          </w:tcPr>
          <w:p w14:paraId="69894936"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w:t>
            </w:r>
          </w:p>
        </w:tc>
      </w:tr>
      <w:tr w:rsidR="00C97FEA" w:rsidRPr="00C97FEA" w14:paraId="72E479EA"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hideMark/>
          </w:tcPr>
          <w:p w14:paraId="3F8D9161"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Foros temáticos</w:t>
            </w:r>
          </w:p>
          <w:p w14:paraId="350F06F0" w14:textId="77777777" w:rsidR="00C97FEA" w:rsidRPr="00C97FEA" w:rsidRDefault="00C97FEA" w:rsidP="00C97FEA">
            <w:pPr>
              <w:widowControl w:val="0"/>
              <w:numPr>
                <w:ilvl w:val="0"/>
                <w:numId w:val="4"/>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97FEA">
              <w:rPr>
                <w:rFonts w:ascii="Calibri" w:eastAsia="Calibri" w:hAnsi="Calibri" w:cs="Calibri"/>
                <w:bCs/>
                <w:color w:val="000000"/>
                <w:kern w:val="0"/>
                <w14:ligatures w14:val="none"/>
              </w:rPr>
              <w:t>Se desarrollan en las sesiones 1, 2, 5, 9 y 12. Cada foro tiene un valor de 3%.</w:t>
            </w:r>
          </w:p>
        </w:tc>
        <w:tc>
          <w:tcPr>
            <w:tcW w:w="1210" w:type="dxa"/>
            <w:tcBorders>
              <w:top w:val="single" w:sz="4" w:space="0" w:color="000000"/>
              <w:left w:val="single" w:sz="4" w:space="0" w:color="000000"/>
              <w:bottom w:val="single" w:sz="4" w:space="0" w:color="000000"/>
              <w:right w:val="single" w:sz="4" w:space="0" w:color="000000"/>
            </w:tcBorders>
            <w:vAlign w:val="center"/>
          </w:tcPr>
          <w:p w14:paraId="1C89F0B8"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15%</w:t>
            </w:r>
          </w:p>
        </w:tc>
      </w:tr>
      <w:tr w:rsidR="00C97FEA" w:rsidRPr="00C97FEA" w14:paraId="16691B24"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hideMark/>
          </w:tcPr>
          <w:p w14:paraId="4225F341"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Tareas individuales</w:t>
            </w:r>
          </w:p>
          <w:p w14:paraId="44F1D829"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Cs/>
                <w:color w:val="000000"/>
                <w:kern w:val="0"/>
                <w14:ligatures w14:val="none"/>
              </w:rPr>
            </w:pPr>
            <w:r w:rsidRPr="00C97FEA">
              <w:rPr>
                <w:rFonts w:ascii="Calibri" w:eastAsia="Calibri" w:hAnsi="Calibri" w:cs="Calibri"/>
                <w:bCs/>
                <w:color w:val="000000"/>
                <w:kern w:val="0"/>
                <w14:ligatures w14:val="none"/>
              </w:rPr>
              <w:t>Se realizan en las sesiones 2, 3, 4, 5, 6, 10 y 12. Cada tarea tiene un valor de 5%.</w:t>
            </w:r>
          </w:p>
        </w:tc>
        <w:tc>
          <w:tcPr>
            <w:tcW w:w="1210" w:type="dxa"/>
            <w:tcBorders>
              <w:top w:val="single" w:sz="4" w:space="0" w:color="000000"/>
              <w:left w:val="single" w:sz="4" w:space="0" w:color="000000"/>
              <w:bottom w:val="single" w:sz="4" w:space="0" w:color="000000"/>
              <w:right w:val="single" w:sz="4" w:space="0" w:color="000000"/>
            </w:tcBorders>
            <w:vAlign w:val="center"/>
          </w:tcPr>
          <w:p w14:paraId="0CFE64AE"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35%</w:t>
            </w:r>
          </w:p>
        </w:tc>
      </w:tr>
      <w:tr w:rsidR="00C97FEA" w:rsidRPr="00C97FEA" w14:paraId="0BA4F4C1"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hideMark/>
          </w:tcPr>
          <w:p w14:paraId="5942E2D5"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Wikis</w:t>
            </w:r>
          </w:p>
          <w:p w14:paraId="7604EC67"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Se desarrollan en las sesiones 7 y 8. Cada wiki tiene un valor de 5%.</w:t>
            </w:r>
          </w:p>
        </w:tc>
        <w:tc>
          <w:tcPr>
            <w:tcW w:w="1210" w:type="dxa"/>
            <w:tcBorders>
              <w:top w:val="single" w:sz="4" w:space="0" w:color="000000"/>
              <w:left w:val="single" w:sz="4" w:space="0" w:color="000000"/>
              <w:bottom w:val="single" w:sz="4" w:space="0" w:color="000000"/>
              <w:right w:val="single" w:sz="4" w:space="0" w:color="000000"/>
            </w:tcBorders>
            <w:vAlign w:val="center"/>
            <w:hideMark/>
          </w:tcPr>
          <w:p w14:paraId="35EE2241"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10%</w:t>
            </w:r>
          </w:p>
        </w:tc>
      </w:tr>
      <w:tr w:rsidR="00C97FEA" w:rsidRPr="00C97FEA" w14:paraId="6B481EA2"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hideMark/>
          </w:tcPr>
          <w:p w14:paraId="524E3B1F"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Glosario</w:t>
            </w:r>
          </w:p>
          <w:p w14:paraId="1E3EF825"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Se elabora en la sesión 2.</w:t>
            </w:r>
          </w:p>
        </w:tc>
        <w:tc>
          <w:tcPr>
            <w:tcW w:w="1210" w:type="dxa"/>
            <w:tcBorders>
              <w:top w:val="single" w:sz="4" w:space="0" w:color="000000"/>
              <w:left w:val="single" w:sz="4" w:space="0" w:color="000000"/>
              <w:bottom w:val="single" w:sz="4" w:space="0" w:color="000000"/>
              <w:right w:val="single" w:sz="4" w:space="0" w:color="000000"/>
            </w:tcBorders>
            <w:vAlign w:val="center"/>
          </w:tcPr>
          <w:p w14:paraId="70C25BC9"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5%</w:t>
            </w:r>
          </w:p>
        </w:tc>
      </w:tr>
      <w:tr w:rsidR="00C97FEA" w:rsidRPr="00C97FEA" w14:paraId="0B5EB794"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hideMark/>
          </w:tcPr>
          <w:p w14:paraId="48CC2D5A"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Taller interactivo</w:t>
            </w:r>
          </w:p>
          <w:p w14:paraId="5BF4C350"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Cs/>
                <w:color w:val="000000"/>
                <w:kern w:val="0"/>
                <w14:ligatures w14:val="none"/>
              </w:rPr>
            </w:pPr>
            <w:r w:rsidRPr="00C97FEA">
              <w:rPr>
                <w:rFonts w:ascii="Calibri" w:eastAsia="Calibri" w:hAnsi="Calibri" w:cs="Calibri"/>
                <w:bCs/>
                <w:color w:val="000000"/>
                <w:kern w:val="0"/>
                <w14:ligatures w14:val="none"/>
              </w:rPr>
              <w:t>Se desarrolla en la sesión 3.</w:t>
            </w:r>
          </w:p>
        </w:tc>
        <w:tc>
          <w:tcPr>
            <w:tcW w:w="1210" w:type="dxa"/>
            <w:tcBorders>
              <w:top w:val="single" w:sz="4" w:space="0" w:color="000000"/>
              <w:left w:val="single" w:sz="4" w:space="0" w:color="000000"/>
              <w:bottom w:val="single" w:sz="4" w:space="0" w:color="000000"/>
              <w:right w:val="single" w:sz="4" w:space="0" w:color="000000"/>
            </w:tcBorders>
            <w:vAlign w:val="center"/>
          </w:tcPr>
          <w:p w14:paraId="57F5CA4C"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lang w:val="es-ES_tradnl"/>
                <w14:ligatures w14:val="none"/>
              </w:rPr>
            </w:pPr>
            <w:r w:rsidRPr="00C97FEA">
              <w:rPr>
                <w:rFonts w:ascii="Calibri" w:eastAsia="Times New Roman" w:hAnsi="Calibri" w:cs="Calibri"/>
                <w:bCs/>
                <w:color w:val="000000"/>
                <w:kern w:val="0"/>
                <w:lang w:val="es-ES_tradnl"/>
                <w14:ligatures w14:val="none"/>
              </w:rPr>
              <w:t>5%</w:t>
            </w:r>
          </w:p>
        </w:tc>
      </w:tr>
      <w:tr w:rsidR="00C97FEA" w:rsidRPr="00C97FEA" w14:paraId="7865A9F7" w14:textId="77777777" w:rsidTr="001D35C6">
        <w:trPr>
          <w:trHeight w:val="1341"/>
        </w:trPr>
        <w:tc>
          <w:tcPr>
            <w:tcW w:w="8692" w:type="dxa"/>
            <w:tcBorders>
              <w:top w:val="single" w:sz="4" w:space="0" w:color="000000"/>
              <w:left w:val="single" w:sz="4" w:space="0" w:color="000000"/>
              <w:bottom w:val="single" w:sz="4" w:space="0" w:color="000000"/>
              <w:right w:val="single" w:sz="4" w:space="0" w:color="000000"/>
            </w:tcBorders>
          </w:tcPr>
          <w:p w14:paraId="4BB566CE" w14:textId="73613D7A"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proofErr w:type="spellStart"/>
            <w:r w:rsidRPr="00C97FEA">
              <w:rPr>
                <w:rFonts w:ascii="Calibri" w:eastAsia="Calibri" w:hAnsi="Calibri" w:cs="Calibri"/>
                <w:b/>
                <w:bCs/>
                <w:i/>
                <w:color w:val="000000"/>
                <w:kern w:val="0"/>
                <w14:ligatures w14:val="none"/>
              </w:rPr>
              <w:t>Reviión</w:t>
            </w:r>
            <w:proofErr w:type="spellEnd"/>
            <w:r w:rsidRPr="00C97FEA">
              <w:rPr>
                <w:rFonts w:ascii="Calibri" w:eastAsia="Calibri" w:hAnsi="Calibri" w:cs="Calibri"/>
                <w:b/>
                <w:bCs/>
                <w:i/>
                <w:color w:val="000000"/>
                <w:kern w:val="0"/>
                <w14:ligatures w14:val="none"/>
              </w:rPr>
              <w:t xml:space="preserve"> de un documento académico escrito previamente </w:t>
            </w:r>
          </w:p>
          <w:p w14:paraId="0935D5F7"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Se desarrolla desde la sesión 6 hasta la 14 de la siguiente forma:</w:t>
            </w:r>
          </w:p>
          <w:p w14:paraId="715E1222"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 Sesión 6 (inicia la revisión).</w:t>
            </w:r>
          </w:p>
          <w:p w14:paraId="40EAA567"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 Sesión 10 (entrega primer avance). Tiene un valor de 10%.</w:t>
            </w:r>
          </w:p>
          <w:p w14:paraId="04D82E6C"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 Sesión 14 (entrega segundo avance). Tiene un valor de 10%.</w:t>
            </w:r>
          </w:p>
        </w:tc>
        <w:tc>
          <w:tcPr>
            <w:tcW w:w="1210" w:type="dxa"/>
            <w:tcBorders>
              <w:top w:val="single" w:sz="4" w:space="0" w:color="000000"/>
              <w:left w:val="single" w:sz="4" w:space="0" w:color="000000"/>
              <w:bottom w:val="single" w:sz="4" w:space="0" w:color="000000"/>
              <w:right w:val="single" w:sz="4" w:space="0" w:color="000000"/>
            </w:tcBorders>
            <w:vAlign w:val="center"/>
          </w:tcPr>
          <w:p w14:paraId="74799C14"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sz w:val="2"/>
                <w14:ligatures w14:val="none"/>
              </w:rPr>
            </w:pPr>
            <w:r w:rsidRPr="00C97FEA">
              <w:rPr>
                <w:rFonts w:ascii="Calibri" w:eastAsia="Times New Roman" w:hAnsi="Calibri" w:cs="Calibri"/>
                <w:bCs/>
                <w:color w:val="000000"/>
                <w:kern w:val="0"/>
                <w14:ligatures w14:val="none"/>
              </w:rPr>
              <w:t>20%</w:t>
            </w:r>
          </w:p>
        </w:tc>
      </w:tr>
      <w:tr w:rsidR="00C97FEA" w:rsidRPr="00C97FEA" w14:paraId="2B575A41" w14:textId="77777777" w:rsidTr="001D35C6">
        <w:trPr>
          <w:trHeight w:val="537"/>
        </w:trPr>
        <w:tc>
          <w:tcPr>
            <w:tcW w:w="8692" w:type="dxa"/>
            <w:tcBorders>
              <w:top w:val="single" w:sz="4" w:space="0" w:color="000000"/>
              <w:left w:val="single" w:sz="4" w:space="0" w:color="000000"/>
              <w:bottom w:val="single" w:sz="4" w:space="0" w:color="000000"/>
              <w:right w:val="single" w:sz="4" w:space="0" w:color="000000"/>
            </w:tcBorders>
          </w:tcPr>
          <w:p w14:paraId="6F366EED"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i/>
                <w:color w:val="000000"/>
                <w:kern w:val="0"/>
                <w14:ligatures w14:val="none"/>
              </w:rPr>
              <w:t xml:space="preserve">Evaluación final </w:t>
            </w:r>
          </w:p>
          <w:p w14:paraId="164A603A"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iCs/>
                <w:color w:val="000000"/>
                <w:kern w:val="0"/>
                <w14:ligatures w14:val="none"/>
              </w:rPr>
            </w:pPr>
            <w:r w:rsidRPr="00C97FEA">
              <w:rPr>
                <w:rFonts w:ascii="Calibri" w:eastAsia="Calibri" w:hAnsi="Calibri" w:cs="Calibri"/>
                <w:iCs/>
                <w:color w:val="000000"/>
                <w:kern w:val="0"/>
                <w14:ligatures w14:val="none"/>
              </w:rPr>
              <w:t>Se realiza en la sesión 15.</w:t>
            </w:r>
          </w:p>
        </w:tc>
        <w:tc>
          <w:tcPr>
            <w:tcW w:w="1210" w:type="dxa"/>
            <w:tcBorders>
              <w:top w:val="single" w:sz="4" w:space="0" w:color="000000"/>
              <w:left w:val="single" w:sz="4" w:space="0" w:color="000000"/>
              <w:bottom w:val="single" w:sz="4" w:space="0" w:color="000000"/>
              <w:right w:val="single" w:sz="4" w:space="0" w:color="000000"/>
            </w:tcBorders>
            <w:vAlign w:val="center"/>
          </w:tcPr>
          <w:p w14:paraId="3E5A5ABA"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Cs/>
                <w:color w:val="000000"/>
                <w:kern w:val="0"/>
                <w14:ligatures w14:val="none"/>
              </w:rPr>
            </w:pPr>
            <w:r w:rsidRPr="00C97FEA">
              <w:rPr>
                <w:rFonts w:ascii="Calibri" w:eastAsia="Times New Roman" w:hAnsi="Calibri" w:cs="Calibri"/>
                <w:bCs/>
                <w:color w:val="000000"/>
                <w:kern w:val="0"/>
                <w14:ligatures w14:val="none"/>
              </w:rPr>
              <w:t>10%</w:t>
            </w:r>
          </w:p>
        </w:tc>
      </w:tr>
      <w:tr w:rsidR="00C97FEA" w:rsidRPr="00C97FEA" w14:paraId="7B139E37" w14:textId="77777777" w:rsidTr="001D35C6">
        <w:trPr>
          <w:trHeight w:val="410"/>
        </w:trPr>
        <w:tc>
          <w:tcPr>
            <w:tcW w:w="8692" w:type="dxa"/>
            <w:tcBorders>
              <w:top w:val="single" w:sz="4" w:space="0" w:color="000000"/>
              <w:left w:val="single" w:sz="4" w:space="0" w:color="000000"/>
              <w:bottom w:val="single" w:sz="4" w:space="0" w:color="000000"/>
              <w:right w:val="single" w:sz="4" w:space="0" w:color="000000"/>
            </w:tcBorders>
            <w:hideMark/>
          </w:tcPr>
          <w:p w14:paraId="512E2A6E" w14:textId="77777777" w:rsidR="00C97FEA" w:rsidRPr="00C97FEA" w:rsidRDefault="00C97FEA" w:rsidP="00C97FEA">
            <w:pPr>
              <w:autoSpaceDE w:val="0"/>
              <w:autoSpaceDN w:val="0"/>
              <w:adjustRightInd w:val="0"/>
              <w:spacing w:after="0" w:line="240" w:lineRule="auto"/>
              <w:contextualSpacing/>
              <w:jc w:val="both"/>
              <w:rPr>
                <w:rFonts w:ascii="Calibri" w:eastAsia="Calibri" w:hAnsi="Calibri" w:cs="Calibri"/>
                <w:b/>
                <w:bCs/>
                <w:i/>
                <w:color w:val="000000"/>
                <w:kern w:val="0"/>
                <w14:ligatures w14:val="none"/>
              </w:rPr>
            </w:pPr>
            <w:r w:rsidRPr="00C97FEA">
              <w:rPr>
                <w:rFonts w:ascii="Calibri" w:eastAsia="Calibri" w:hAnsi="Calibri" w:cs="Calibri"/>
                <w:b/>
                <w:bCs/>
                <w:color w:val="000000"/>
                <w:kern w:val="0"/>
                <w14:ligatures w14:val="none"/>
              </w:rPr>
              <w:t>Total</w:t>
            </w:r>
          </w:p>
        </w:tc>
        <w:tc>
          <w:tcPr>
            <w:tcW w:w="1210" w:type="dxa"/>
            <w:tcBorders>
              <w:top w:val="single" w:sz="4" w:space="0" w:color="000000"/>
              <w:left w:val="single" w:sz="4" w:space="0" w:color="000000"/>
              <w:bottom w:val="single" w:sz="4" w:space="0" w:color="000000"/>
              <w:right w:val="single" w:sz="4" w:space="0" w:color="000000"/>
            </w:tcBorders>
            <w:hideMark/>
          </w:tcPr>
          <w:p w14:paraId="731EAE5A" w14:textId="77777777" w:rsidR="00C97FEA" w:rsidRPr="00C97FEA" w:rsidRDefault="00C97FEA" w:rsidP="00C97FEA">
            <w:pPr>
              <w:widowControl w:val="0"/>
              <w:overflowPunct w:val="0"/>
              <w:autoSpaceDE w:val="0"/>
              <w:autoSpaceDN w:val="0"/>
              <w:adjustRightInd w:val="0"/>
              <w:spacing w:before="120" w:after="0" w:line="256" w:lineRule="auto"/>
              <w:jc w:val="center"/>
              <w:rPr>
                <w:rFonts w:ascii="Calibri" w:eastAsia="Times New Roman" w:hAnsi="Calibri" w:cs="Calibri"/>
                <w:b/>
                <w:bCs/>
                <w:color w:val="000000"/>
                <w:kern w:val="0"/>
                <w:lang w:val="es-ES_tradnl"/>
                <w14:ligatures w14:val="none"/>
              </w:rPr>
            </w:pPr>
            <w:r w:rsidRPr="00C97FEA">
              <w:rPr>
                <w:rFonts w:ascii="Calibri" w:eastAsia="Times New Roman" w:hAnsi="Calibri" w:cs="Calibri"/>
                <w:b/>
                <w:bCs/>
                <w:color w:val="000000"/>
                <w:kern w:val="0"/>
                <w:lang w:val="es-ES_tradnl"/>
                <w14:ligatures w14:val="none"/>
              </w:rPr>
              <w:t>100%</w:t>
            </w:r>
          </w:p>
        </w:tc>
      </w:tr>
    </w:tbl>
    <w:p w14:paraId="3AA996FF"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color w:val="0070C0"/>
          <w:kern w:val="0"/>
          <w:sz w:val="24"/>
          <w:szCs w:val="20"/>
          <w:lang w:eastAsia="es-CR"/>
          <w14:ligatures w14:val="none"/>
        </w:rPr>
      </w:pPr>
      <w:r w:rsidRPr="00C97FEA">
        <w:rPr>
          <w:rFonts w:ascii="Arial" w:eastAsia="Times New Roman" w:hAnsi="Arial" w:cs="Arial"/>
          <w:color w:val="0070C0"/>
          <w:kern w:val="0"/>
          <w:sz w:val="24"/>
          <w:szCs w:val="20"/>
          <w:lang w:eastAsia="es-CR"/>
          <w14:ligatures w14:val="none"/>
        </w:rPr>
        <w:t xml:space="preserve"> </w:t>
      </w:r>
    </w:p>
    <w:p w14:paraId="17128796"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color w:val="0070C0"/>
          <w:kern w:val="0"/>
          <w:sz w:val="24"/>
          <w:szCs w:val="20"/>
          <w:lang w:eastAsia="es-CR"/>
          <w14:ligatures w14:val="none"/>
        </w:rPr>
      </w:pPr>
    </w:p>
    <w:p w14:paraId="3CE83BE4" w14:textId="77777777" w:rsidR="00C97FEA" w:rsidRPr="00C97FEA" w:rsidRDefault="00C97FEA" w:rsidP="00C97FEA">
      <w:pPr>
        <w:widowControl w:val="0"/>
        <w:overflowPunct w:val="0"/>
        <w:autoSpaceDE w:val="0"/>
        <w:autoSpaceDN w:val="0"/>
        <w:adjustRightInd w:val="0"/>
        <w:spacing w:before="120" w:after="0" w:line="240" w:lineRule="auto"/>
        <w:rPr>
          <w:rFonts w:ascii="Arial" w:eastAsia="Times New Roman" w:hAnsi="Arial" w:cs="Arial"/>
          <w:color w:val="0070C0"/>
          <w:kern w:val="0"/>
          <w:sz w:val="24"/>
          <w:szCs w:val="20"/>
          <w:lang w:eastAsia="es-CR"/>
          <w14:ligatures w14:val="none"/>
        </w:rPr>
      </w:pPr>
    </w:p>
    <w:p w14:paraId="344E6EB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b/>
          <w:color w:val="000000"/>
          <w:kern w:val="0"/>
          <w:lang w:eastAsia="es-CR"/>
          <w14:ligatures w14:val="none"/>
        </w:rPr>
      </w:pPr>
    </w:p>
    <w:p w14:paraId="3FFA8154"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0840505B"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2657688F"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kern w:val="0"/>
          <w:sz w:val="24"/>
          <w:szCs w:val="20"/>
          <w:lang w:val="es-ES_tradnl" w:eastAsia="es-CR"/>
          <w14:ligatures w14:val="none"/>
        </w:rPr>
        <w:br w:type="page"/>
      </w:r>
    </w:p>
    <w:p w14:paraId="025303F4"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sectPr w:rsidR="00C97FEA" w:rsidRPr="00C97FEA" w:rsidSect="00C97FEA">
          <w:pgSz w:w="12240" w:h="15840"/>
          <w:pgMar w:top="1417" w:right="1701" w:bottom="1417" w:left="1701" w:header="708" w:footer="708" w:gutter="0"/>
          <w:cols w:space="708"/>
          <w:docGrid w:linePitch="360"/>
        </w:sectPr>
      </w:pPr>
    </w:p>
    <w:p w14:paraId="45CB5E7D"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664832" behindDoc="0" locked="0" layoutInCell="1" allowOverlap="1" wp14:anchorId="704DBA4B" wp14:editId="70F0CAF3">
                <wp:simplePos x="0" y="0"/>
                <wp:positionH relativeFrom="margin">
                  <wp:align>center</wp:align>
                </wp:positionH>
                <wp:positionV relativeFrom="paragraph">
                  <wp:posOffset>-191135</wp:posOffset>
                </wp:positionV>
                <wp:extent cx="7879080" cy="409575"/>
                <wp:effectExtent l="0" t="0" r="26670" b="2857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9575"/>
                        </a:xfrm>
                        <a:prstGeom prst="rect">
                          <a:avLst/>
                        </a:prstGeom>
                        <a:solidFill>
                          <a:srgbClr val="FFFFFF"/>
                        </a:solidFill>
                        <a:ln w="9525">
                          <a:solidFill>
                            <a:srgbClr val="000000"/>
                          </a:solidFill>
                          <a:miter lim="800000"/>
                          <a:headEnd/>
                          <a:tailEnd/>
                        </a:ln>
                      </wps:spPr>
                      <wps:txbx>
                        <w:txbxContent>
                          <w:p w14:paraId="017A6FF3" w14:textId="77777777" w:rsidR="00C97FEA" w:rsidRPr="00C97FEA" w:rsidRDefault="00C97FEA" w:rsidP="00C97FEA">
                            <w:pPr>
                              <w:jc w:val="center"/>
                              <w:rPr>
                                <w:rFonts w:cs="Calibri"/>
                                <w:b/>
                                <w:szCs w:val="24"/>
                              </w:rPr>
                            </w:pPr>
                            <w:r w:rsidRPr="00C97FEA">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04DBA4B" id="_x0000_t202" coordsize="21600,21600" o:spt="202" path="m,l,21600r21600,l21600,xe">
                <v:stroke joinstyle="miter"/>
                <v:path gradientshapeok="t" o:connecttype="rect"/>
              </v:shapetype>
              <v:shape id="Cuadro de texto 2" o:spid="_x0000_s1026" type="#_x0000_t202" style="position:absolute;margin-left:0;margin-top:-15.05pt;width:620.4pt;height:32.25pt;z-index:2526648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">
                <v:textbox>
                  <w:txbxContent>
                    <w:p w14:paraId="017A6FF3" w14:textId="77777777" w:rsidR="00C97FEA" w:rsidRPr="00C97FEA" w:rsidRDefault="00C97FEA" w:rsidP="00C97FEA">
                      <w:pPr>
                        <w:jc w:val="center"/>
                        <w:rPr>
                          <w:rFonts w:cs="Calibri"/>
                          <w:b/>
                          <w:szCs w:val="24"/>
                        </w:rPr>
                      </w:pPr>
                      <w:r w:rsidRPr="00C97FEA">
                        <w:rPr>
                          <w:rFonts w:cs="Calibri"/>
                          <w:b/>
                          <w:szCs w:val="24"/>
                        </w:rPr>
                        <w:t>RÚBRICA DE EVALUACIÓN – FORO TEMÁTICO</w:t>
                      </w:r>
                    </w:p>
                  </w:txbxContent>
                </v:textbox>
                <w10:wrap anchorx="margin"/>
              </v:shape>
            </w:pict>
          </mc:Fallback>
        </mc:AlternateContent>
      </w:r>
    </w:p>
    <w:p w14:paraId="25F4B9C1"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97FEA">
        <w:rPr>
          <w:rFonts w:ascii="Calibri" w:eastAsia="Times New Roman" w:hAnsi="Calibri" w:cs="Calibri"/>
          <w:color w:val="0070C0"/>
          <w:kern w:val="0"/>
          <w:lang w:val="es-ES_tradnl" w:eastAsia="es-CR"/>
          <w14:ligatures w14:val="none"/>
        </w:rPr>
        <w:t>La finalidad de los foros es permitir que las personas estudiantes y la persona docente interactúen en estos para la discusión de las temáticas del curso. Se desarrollan en las sesiones 1, 2, 5, 9 y 12. Cada foro tiene un valor de 3%.</w:t>
      </w:r>
    </w:p>
    <w:p w14:paraId="3886F183"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65856" behindDoc="0" locked="0" layoutInCell="1" allowOverlap="1" wp14:anchorId="60A6C848" wp14:editId="795E63AB">
            <wp:simplePos x="0" y="0"/>
            <wp:positionH relativeFrom="margin">
              <wp:align>center</wp:align>
            </wp:positionH>
            <wp:positionV relativeFrom="paragraph">
              <wp:posOffset>178752</wp:posOffset>
            </wp:positionV>
            <wp:extent cx="8723143" cy="6317615"/>
            <wp:effectExtent l="0" t="0" r="1905" b="6985"/>
            <wp:wrapNone/>
            <wp:docPr id="118147982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79822" name="Imagen 1" descr="Tabla&#10;&#10;Descripción generada automáticamente"/>
                    <pic:cNvPicPr/>
                  </pic:nvPicPr>
                  <pic:blipFill>
                    <a:blip r:embed="rId17"/>
                    <a:stretch>
                      <a:fillRect/>
                    </a:stretch>
                  </pic:blipFill>
                  <pic:spPr>
                    <a:xfrm>
                      <a:off x="0" y="0"/>
                      <a:ext cx="8723143" cy="6317615"/>
                    </a:xfrm>
                    <a:prstGeom prst="rect">
                      <a:avLst/>
                    </a:prstGeom>
                  </pic:spPr>
                </pic:pic>
              </a:graphicData>
            </a:graphic>
            <wp14:sizeRelH relativeFrom="margin">
              <wp14:pctWidth>0</wp14:pctWidth>
            </wp14:sizeRelH>
            <wp14:sizeRelV relativeFrom="margin">
              <wp14:pctHeight>0</wp14:pctHeight>
            </wp14:sizeRelV>
          </wp:anchor>
        </w:drawing>
      </w:r>
    </w:p>
    <w:p w14:paraId="2BEC049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0"/>
          <w:lang w:val="es-ES_tradnl" w:eastAsia="es-CR"/>
          <w14:ligatures w14:val="none"/>
        </w:rPr>
      </w:pPr>
    </w:p>
    <w:p w14:paraId="18799C3B"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kern w:val="0"/>
          <w:sz w:val="24"/>
          <w:szCs w:val="20"/>
          <w:lang w:val="es-ES_tradnl" w:eastAsia="es-CR"/>
          <w14:ligatures w14:val="none"/>
        </w:rPr>
        <w:br w:type="page"/>
      </w:r>
    </w:p>
    <w:p w14:paraId="0C6B48D2"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66880" behindDoc="0" locked="0" layoutInCell="1" allowOverlap="1" wp14:anchorId="35229E71" wp14:editId="0C2530B1">
                <wp:simplePos x="0" y="0"/>
                <wp:positionH relativeFrom="margin">
                  <wp:align>center</wp:align>
                </wp:positionH>
                <wp:positionV relativeFrom="paragraph">
                  <wp:posOffset>-38735</wp:posOffset>
                </wp:positionV>
                <wp:extent cx="7421880" cy="356870"/>
                <wp:effectExtent l="0" t="0" r="26670" b="24130"/>
                <wp:wrapNone/>
                <wp:docPr id="1708188830"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1880" cy="35687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1256FDA" w14:textId="7F5580B5" w:rsidR="00C97FEA" w:rsidRPr="00C97FEA" w:rsidRDefault="00C97FEA" w:rsidP="00C97FEA">
                            <w:pPr>
                              <w:spacing w:before="70"/>
                              <w:ind w:right="3444"/>
                              <w:jc w:val="center"/>
                              <w:rPr>
                                <w:rFonts w:cs="Calibri"/>
                                <w:b/>
                              </w:rPr>
                            </w:pPr>
                            <w:r>
                              <w:rPr>
                                <w:rFonts w:cs="Calibri"/>
                                <w:b/>
                              </w:rPr>
                              <w:t xml:space="preserve">                                                 </w:t>
                            </w: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1</w:t>
                            </w:r>
                          </w:p>
                        </w:txbxContent>
                      </wps:txbx>
                      <wps:bodyPr rot="0" vert="horz" wrap="square" lIns="0" tIns="0" rIns="0" bIns="0" anchor="t" anchorCtr="0" upright="1">
                        <a:noAutofit/>
                      </wps:bodyPr>
                    </wps:wsp>
                  </a:graphicData>
                </a:graphic>
              </wp:anchor>
            </w:drawing>
          </mc:Choice>
          <mc:Fallback>
            <w:pict>
              <v:shape w14:anchorId="35229E71" id="Cuadro de texto 5" o:spid="_x0000_s1027" type="#_x0000_t202" style="position:absolute;margin-left:0;margin-top:-3.05pt;width:584.4pt;height:28.1pt;z-index:2526668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" filled="f" strokeweight=".72pt">
                <v:textbox inset="0,0,0,0">
                  <w:txbxContent>
                    <w:p w14:paraId="51256FDA" w14:textId="7F5580B5" w:rsidR="00C97FEA" w:rsidRPr="00C97FEA" w:rsidRDefault="00C97FEA" w:rsidP="00C97FEA">
                      <w:pPr>
                        <w:spacing w:before="70"/>
                        <w:ind w:right="3444"/>
                        <w:jc w:val="center"/>
                        <w:rPr>
                          <w:rFonts w:cs="Calibri"/>
                          <w:b/>
                        </w:rPr>
                      </w:pPr>
                      <w:r>
                        <w:rPr>
                          <w:rFonts w:cs="Calibri"/>
                          <w:b/>
                        </w:rPr>
                        <w:t xml:space="preserve">                                                 </w:t>
                      </w: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1</w:t>
                      </w:r>
                    </w:p>
                  </w:txbxContent>
                </v:textbox>
                <w10:wrap anchorx="margin"/>
              </v:shape>
            </w:pict>
          </mc:Fallback>
        </mc:AlternateContent>
      </w:r>
    </w:p>
    <w:p w14:paraId="0AD55B6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p>
    <w:p w14:paraId="36208AAF" w14:textId="77777777" w:rsidR="00C97FEA" w:rsidRPr="00C97FEA" w:rsidRDefault="00C97FEA"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p>
    <w:p w14:paraId="1975369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p>
    <w:p w14:paraId="40BCF31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67904" behindDoc="0" locked="0" layoutInCell="1" allowOverlap="1" wp14:anchorId="09C9AF66" wp14:editId="195A9F45">
            <wp:simplePos x="0" y="0"/>
            <wp:positionH relativeFrom="column">
              <wp:posOffset>457200</wp:posOffset>
            </wp:positionH>
            <wp:positionV relativeFrom="paragraph">
              <wp:posOffset>76200</wp:posOffset>
            </wp:positionV>
            <wp:extent cx="8229600" cy="2578608"/>
            <wp:effectExtent l="0" t="0" r="0" b="0"/>
            <wp:wrapNone/>
            <wp:docPr id="1255839174" name="Imagen 6"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839174" name="Imagen 6" descr="Interfaz de usuario gráfica, Tabla&#10;&#10;Descripción generada automáticamente"/>
                    <pic:cNvPicPr/>
                  </pic:nvPicPr>
                  <pic:blipFill>
                    <a:blip r:embed="rId18"/>
                    <a:stretch>
                      <a:fillRect/>
                    </a:stretch>
                  </pic:blipFill>
                  <pic:spPr>
                    <a:xfrm>
                      <a:off x="0" y="0"/>
                      <a:ext cx="8229600" cy="2578608"/>
                    </a:xfrm>
                    <a:prstGeom prst="rect">
                      <a:avLst/>
                    </a:prstGeom>
                  </pic:spPr>
                </pic:pic>
              </a:graphicData>
            </a:graphic>
          </wp:anchor>
        </w:drawing>
      </w:r>
    </w:p>
    <w:p w14:paraId="2BC75D5A"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kern w:val="0"/>
          <w:sz w:val="24"/>
          <w:szCs w:val="20"/>
          <w:lang w:val="es-ES_tradnl" w:eastAsia="es-CR"/>
          <w14:ligatures w14:val="none"/>
        </w:rPr>
        <w:br w:type="page"/>
      </w:r>
    </w:p>
    <w:p w14:paraId="1A5519EB"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68928" behindDoc="0" locked="0" layoutInCell="1" allowOverlap="1" wp14:anchorId="449CCAEB" wp14:editId="4E2183B2">
                <wp:simplePos x="0" y="0"/>
                <wp:positionH relativeFrom="margin">
                  <wp:posOffset>619125</wp:posOffset>
                </wp:positionH>
                <wp:positionV relativeFrom="paragraph">
                  <wp:posOffset>99695</wp:posOffset>
                </wp:positionV>
                <wp:extent cx="7879080" cy="326390"/>
                <wp:effectExtent l="0" t="0" r="26670" b="16510"/>
                <wp:wrapNone/>
                <wp:docPr id="181759544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263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440EF57" w14:textId="6767F99C" w:rsidR="00C97FEA" w:rsidRPr="00C97FEA" w:rsidRDefault="00C97FEA" w:rsidP="00C97FEA">
                            <w:pPr>
                              <w:spacing w:before="70"/>
                              <w:ind w:right="3805"/>
                              <w:jc w:val="center"/>
                              <w:rPr>
                                <w:rFonts w:cs="Calibri"/>
                                <w:b/>
                              </w:rPr>
                            </w:pPr>
                            <w:r>
                              <w:rPr>
                                <w:rFonts w:cs="Calibri"/>
                                <w:b/>
                              </w:rPr>
                              <w:t xml:space="preserve">                                                           </w:t>
                            </w: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2</w:t>
                            </w:r>
                          </w:p>
                        </w:txbxContent>
                      </wps:txbx>
                      <wps:bodyPr rot="0" vert="horz" wrap="square" lIns="0" tIns="0" rIns="0" bIns="0" anchor="t" anchorCtr="0" upright="1">
                        <a:noAutofit/>
                      </wps:bodyPr>
                    </wps:wsp>
                  </a:graphicData>
                </a:graphic>
              </wp:anchor>
            </w:drawing>
          </mc:Choice>
          <mc:Fallback>
            <w:pict>
              <v:shape w14:anchorId="449CCAEB" id="Cuadro de texto 8" o:spid="_x0000_s1028" type="#_x0000_t202" style="position:absolute;margin-left:48.75pt;margin-top:7.85pt;width:620.4pt;height:25.7pt;z-index:2526689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" filled="f" strokeweight=".72pt">
                <v:textbox inset="0,0,0,0">
                  <w:txbxContent>
                    <w:p w14:paraId="2440EF57" w14:textId="6767F99C" w:rsidR="00C97FEA" w:rsidRPr="00C97FEA" w:rsidRDefault="00C97FEA" w:rsidP="00C97FEA">
                      <w:pPr>
                        <w:spacing w:before="70"/>
                        <w:ind w:right="3805"/>
                        <w:jc w:val="center"/>
                        <w:rPr>
                          <w:rFonts w:cs="Calibri"/>
                          <w:b/>
                        </w:rPr>
                      </w:pPr>
                      <w:r>
                        <w:rPr>
                          <w:rFonts w:cs="Calibri"/>
                          <w:b/>
                        </w:rPr>
                        <w:t xml:space="preserve">                                                           </w:t>
                      </w: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2</w:t>
                      </w:r>
                    </w:p>
                  </w:txbxContent>
                </v:textbox>
                <w10:wrap anchorx="margin"/>
              </v:shape>
            </w:pict>
          </mc:Fallback>
        </mc:AlternateContent>
      </w:r>
    </w:p>
    <w:p w14:paraId="4DD00624"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40886EA4" w14:textId="77777777" w:rsidR="00C97FEA" w:rsidRPr="00C97FEA" w:rsidRDefault="00C97FEA" w:rsidP="4C9C2619">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4"/>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69952" behindDoc="0" locked="0" layoutInCell="1" allowOverlap="1" wp14:anchorId="76C613D6" wp14:editId="27F3E038">
            <wp:simplePos x="0" y="0"/>
            <wp:positionH relativeFrom="margin">
              <wp:align>center</wp:align>
            </wp:positionH>
            <wp:positionV relativeFrom="paragraph">
              <wp:posOffset>714058</wp:posOffset>
            </wp:positionV>
            <wp:extent cx="8260080" cy="3840480"/>
            <wp:effectExtent l="0" t="0" r="7620" b="7620"/>
            <wp:wrapNone/>
            <wp:docPr id="51204201" name="Imagen 9"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201" name="Imagen 9" descr="Interfaz de usuario gráfica, Tabla&#10;&#10;Descripción generada automáticamente"/>
                    <pic:cNvPicPr/>
                  </pic:nvPicPr>
                  <pic:blipFill>
                    <a:blip r:embed="rId19"/>
                    <a:stretch>
                      <a:fillRect/>
                    </a:stretch>
                  </pic:blipFill>
                  <pic:spPr>
                    <a:xfrm>
                      <a:off x="0" y="0"/>
                      <a:ext cx="8260080" cy="3840480"/>
                    </a:xfrm>
                    <a:prstGeom prst="rect">
                      <a:avLst/>
                    </a:prstGeom>
                  </pic:spPr>
                </pic:pic>
              </a:graphicData>
            </a:graphic>
          </wp:anchor>
        </w:drawing>
      </w:r>
      <w:r w:rsidRPr="4C9C2619">
        <w:rPr>
          <w:rFonts w:ascii="Times New Roman" w:eastAsia="Times New Roman" w:hAnsi="Times New Roman" w:cs="Times New Roman"/>
          <w:kern w:val="0"/>
          <w:sz w:val="24"/>
          <w:szCs w:val="24"/>
          <w:lang w:val="es-ES" w:eastAsia="es-CR"/>
          <w14:ligatures w14:val="none"/>
        </w:rPr>
        <w:br w:type="page"/>
      </w:r>
    </w:p>
    <w:p w14:paraId="4D096211"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7C0413DE"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670976" behindDoc="0" locked="0" layoutInCell="1" allowOverlap="1" wp14:anchorId="51ED9856" wp14:editId="22FA0CD6">
                <wp:simplePos x="0" y="0"/>
                <wp:positionH relativeFrom="margin">
                  <wp:align>center</wp:align>
                </wp:positionH>
                <wp:positionV relativeFrom="paragraph">
                  <wp:posOffset>0</wp:posOffset>
                </wp:positionV>
                <wp:extent cx="7751445" cy="350520"/>
                <wp:effectExtent l="0" t="0" r="20955" b="11430"/>
                <wp:wrapNone/>
                <wp:docPr id="1932078012"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1445"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A2AA62F" w14:textId="77777777" w:rsidR="00C97FEA" w:rsidRPr="00C97FEA" w:rsidRDefault="00C97FEA" w:rsidP="001C433D">
                            <w:pPr>
                              <w:spacing w:before="70"/>
                              <w:ind w:right="426"/>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3</w:t>
                            </w:r>
                          </w:p>
                        </w:txbxContent>
                      </wps:txbx>
                      <wps:bodyPr rot="0" vert="horz" wrap="square" lIns="0" tIns="0" rIns="0" bIns="0" anchor="t" anchorCtr="0" upright="1">
                        <a:noAutofit/>
                      </wps:bodyPr>
                    </wps:wsp>
                  </a:graphicData>
                </a:graphic>
              </wp:anchor>
            </w:drawing>
          </mc:Choice>
          <mc:Fallback>
            <w:pict>
              <v:shape w14:anchorId="51ED9856" id="Cuadro de texto 10" o:spid="_x0000_s1029" type="#_x0000_t202" style="position:absolute;margin-left:0;margin-top:0;width:610.35pt;height:27.6pt;z-index:2526709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" filled="f" strokeweight=".72pt">
                <v:textbox inset="0,0,0,0">
                  <w:txbxContent>
                    <w:p w14:paraId="6A2AA62F" w14:textId="77777777" w:rsidR="00C97FEA" w:rsidRPr="00C97FEA" w:rsidRDefault="00C97FEA" w:rsidP="001C433D">
                      <w:pPr>
                        <w:spacing w:before="70"/>
                        <w:ind w:right="426"/>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3</w:t>
                      </w:r>
                    </w:p>
                  </w:txbxContent>
                </v:textbox>
                <w10:wrap anchorx="margin"/>
              </v:shape>
            </w:pict>
          </mc:Fallback>
        </mc:AlternateContent>
      </w:r>
    </w:p>
    <w:p w14:paraId="437B28DB"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66DB211D" w14:textId="77777777" w:rsidR="00C97FEA" w:rsidRPr="00C97FEA" w:rsidRDefault="00C97FEA"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p>
    <w:p w14:paraId="7F92414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28DF48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72000" behindDoc="0" locked="0" layoutInCell="1" allowOverlap="1" wp14:anchorId="6DCB2F4D" wp14:editId="26E29AB4">
            <wp:simplePos x="0" y="0"/>
            <wp:positionH relativeFrom="margin">
              <wp:align>center</wp:align>
            </wp:positionH>
            <wp:positionV relativeFrom="paragraph">
              <wp:posOffset>80010</wp:posOffset>
            </wp:positionV>
            <wp:extent cx="8266176" cy="3304032"/>
            <wp:effectExtent l="0" t="0" r="1905" b="0"/>
            <wp:wrapNone/>
            <wp:docPr id="754062353" name="Imagen 1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062353" name="Imagen 11" descr="Interfaz de usuario gráfica, Aplicación, Tabla&#10;&#10;Descripción generada automáticamente"/>
                    <pic:cNvPicPr/>
                  </pic:nvPicPr>
                  <pic:blipFill>
                    <a:blip r:embed="rId20"/>
                    <a:stretch>
                      <a:fillRect/>
                    </a:stretch>
                  </pic:blipFill>
                  <pic:spPr>
                    <a:xfrm>
                      <a:off x="0" y="0"/>
                      <a:ext cx="8266176" cy="3304032"/>
                    </a:xfrm>
                    <a:prstGeom prst="rect">
                      <a:avLst/>
                    </a:prstGeom>
                  </pic:spPr>
                </pic:pic>
              </a:graphicData>
            </a:graphic>
          </wp:anchor>
        </w:drawing>
      </w:r>
    </w:p>
    <w:p w14:paraId="18F27B32"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296CE8C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522C172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008117B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7377E4E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599563C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5322E52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7CBEB52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3B398A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298882D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750FE34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7D8EA940"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64FFFEB3"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4BDAFC02"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2B02B08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213B99D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0689A2A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69328AF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5309B71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36C2B2C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p>
    <w:p w14:paraId="6651043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0"/>
          <w:lang w:val="es-ES_tradnl" w:eastAsia="es-CR"/>
          <w14:ligatures w14:val="none"/>
        </w:rPr>
      </w:pPr>
    </w:p>
    <w:p w14:paraId="4D1C5560"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73024" behindDoc="0" locked="0" layoutInCell="1" allowOverlap="1" wp14:anchorId="5E55BD70" wp14:editId="1A51478F">
                <wp:simplePos x="0" y="0"/>
                <wp:positionH relativeFrom="margin">
                  <wp:posOffset>643466</wp:posOffset>
                </wp:positionH>
                <wp:positionV relativeFrom="paragraph">
                  <wp:posOffset>139277</wp:posOffset>
                </wp:positionV>
                <wp:extent cx="7751445" cy="350520"/>
                <wp:effectExtent l="0" t="0" r="20955" b="11430"/>
                <wp:wrapNone/>
                <wp:docPr id="443667334"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1445"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364127" w14:textId="16D4407C" w:rsidR="00C97FEA" w:rsidRPr="00C97FEA" w:rsidRDefault="004C25D2" w:rsidP="004C25D2">
                            <w:pPr>
                              <w:spacing w:before="70"/>
                              <w:ind w:right="3704"/>
                              <w:jc w:val="center"/>
                              <w:rPr>
                                <w:rFonts w:cs="Calibri"/>
                                <w:b/>
                              </w:rPr>
                            </w:pPr>
                            <w:r>
                              <w:rPr>
                                <w:rFonts w:cs="Calibri"/>
                                <w:b/>
                              </w:rPr>
                              <w:t xml:space="preserve">                                                                       </w:t>
                            </w:r>
                            <w:r w:rsidR="00C97FEA" w:rsidRPr="00C97FEA">
                              <w:rPr>
                                <w:rFonts w:cs="Calibri"/>
                                <w:b/>
                              </w:rPr>
                              <w:t>ESCALA</w:t>
                            </w:r>
                            <w:r w:rsidR="00C97FEA" w:rsidRPr="00C97FEA">
                              <w:rPr>
                                <w:rFonts w:cs="Calibri"/>
                                <w:b/>
                                <w:spacing w:val="-1"/>
                              </w:rPr>
                              <w:t xml:space="preserve"> </w:t>
                            </w:r>
                            <w:r w:rsidR="00C97FEA" w:rsidRPr="00C97FEA">
                              <w:rPr>
                                <w:rFonts w:cs="Calibri"/>
                                <w:b/>
                              </w:rPr>
                              <w:t>DE</w:t>
                            </w:r>
                            <w:r w:rsidR="00C97FEA" w:rsidRPr="00C97FEA">
                              <w:rPr>
                                <w:rFonts w:cs="Calibri"/>
                                <w:b/>
                                <w:spacing w:val="-6"/>
                              </w:rPr>
                              <w:t xml:space="preserve"> </w:t>
                            </w:r>
                            <w:r w:rsidR="00C97FEA" w:rsidRPr="00C97FEA">
                              <w:rPr>
                                <w:rFonts w:cs="Calibri"/>
                                <w:b/>
                              </w:rPr>
                              <w:t>EVALUACIÓN</w:t>
                            </w:r>
                            <w:r w:rsidR="00C97FEA" w:rsidRPr="00C97FEA">
                              <w:rPr>
                                <w:rFonts w:cs="Calibri"/>
                                <w:b/>
                                <w:spacing w:val="-2"/>
                              </w:rPr>
                              <w:t xml:space="preserve"> </w:t>
                            </w:r>
                            <w:r w:rsidR="00C97FEA" w:rsidRPr="00C97FEA">
                              <w:rPr>
                                <w:rFonts w:cs="Calibri"/>
                                <w:b/>
                              </w:rPr>
                              <w:t>–</w:t>
                            </w:r>
                            <w:r w:rsidR="00C97FEA" w:rsidRPr="00C97FEA">
                              <w:rPr>
                                <w:rFonts w:cs="Calibri"/>
                                <w:b/>
                                <w:spacing w:val="-2"/>
                              </w:rPr>
                              <w:t xml:space="preserve"> </w:t>
                            </w:r>
                            <w:r w:rsidR="00C97FEA" w:rsidRPr="00C97FEA">
                              <w:rPr>
                                <w:rFonts w:cs="Calibri"/>
                                <w:b/>
                              </w:rPr>
                              <w:t>TAREA</w:t>
                            </w:r>
                            <w:r w:rsidR="00C97FEA" w:rsidRPr="00C97FEA">
                              <w:rPr>
                                <w:rFonts w:cs="Calibri"/>
                                <w:b/>
                                <w:spacing w:val="-1"/>
                              </w:rPr>
                              <w:t xml:space="preserve"> </w:t>
                            </w:r>
                            <w:r w:rsidR="00C97FEA" w:rsidRPr="00C97FEA">
                              <w:rPr>
                                <w:rFonts w:cs="Calibri"/>
                                <w:b/>
                              </w:rPr>
                              <w:t>INDIVIDUAL</w:t>
                            </w:r>
                            <w:r w:rsidR="00C97FEA" w:rsidRPr="00C97FEA">
                              <w:rPr>
                                <w:rFonts w:cs="Calibri"/>
                                <w:b/>
                                <w:spacing w:val="-5"/>
                              </w:rPr>
                              <w:t xml:space="preserve"> </w:t>
                            </w:r>
                            <w:r w:rsidR="00C97FEA" w:rsidRPr="00C97FEA">
                              <w:rPr>
                                <w:rFonts w:cs="Calibri"/>
                                <w:b/>
                              </w:rPr>
                              <w:t>4</w:t>
                            </w:r>
                          </w:p>
                        </w:txbxContent>
                      </wps:txbx>
                      <wps:bodyPr rot="0" vert="horz" wrap="square" lIns="0" tIns="0" rIns="0" bIns="0" anchor="t" anchorCtr="0" upright="1">
                        <a:noAutofit/>
                      </wps:bodyPr>
                    </wps:wsp>
                  </a:graphicData>
                </a:graphic>
              </wp:anchor>
            </w:drawing>
          </mc:Choice>
          <mc:Fallback>
            <w:pict>
              <v:shape w14:anchorId="5E55BD70" id="_x0000_s1030" type="#_x0000_t202" style="position:absolute;margin-left:50.65pt;margin-top:10.95pt;width:610.35pt;height:27.6pt;z-index:25267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" filled="f" strokeweight=".72pt">
                <v:textbox inset="0,0,0,0">
                  <w:txbxContent>
                    <w:p w14:paraId="01364127" w14:textId="16D4407C" w:rsidR="00C97FEA" w:rsidRPr="00C97FEA" w:rsidRDefault="004C25D2" w:rsidP="004C25D2">
                      <w:pPr>
                        <w:spacing w:before="70"/>
                        <w:ind w:right="3704"/>
                        <w:jc w:val="center"/>
                        <w:rPr>
                          <w:rFonts w:cs="Calibri"/>
                          <w:b/>
                        </w:rPr>
                      </w:pPr>
                      <w:r>
                        <w:rPr>
                          <w:rFonts w:cs="Calibri"/>
                          <w:b/>
                        </w:rPr>
                        <w:t xml:space="preserve">                                                                       </w:t>
                      </w:r>
                      <w:r w:rsidR="00C97FEA" w:rsidRPr="00C97FEA">
                        <w:rPr>
                          <w:rFonts w:cs="Calibri"/>
                          <w:b/>
                        </w:rPr>
                        <w:t>ESCALA</w:t>
                      </w:r>
                      <w:r w:rsidR="00C97FEA" w:rsidRPr="00C97FEA">
                        <w:rPr>
                          <w:rFonts w:cs="Calibri"/>
                          <w:b/>
                          <w:spacing w:val="-1"/>
                        </w:rPr>
                        <w:t xml:space="preserve"> </w:t>
                      </w:r>
                      <w:r w:rsidR="00C97FEA" w:rsidRPr="00C97FEA">
                        <w:rPr>
                          <w:rFonts w:cs="Calibri"/>
                          <w:b/>
                        </w:rPr>
                        <w:t>DE</w:t>
                      </w:r>
                      <w:r w:rsidR="00C97FEA" w:rsidRPr="00C97FEA">
                        <w:rPr>
                          <w:rFonts w:cs="Calibri"/>
                          <w:b/>
                          <w:spacing w:val="-6"/>
                        </w:rPr>
                        <w:t xml:space="preserve"> </w:t>
                      </w:r>
                      <w:r w:rsidR="00C97FEA" w:rsidRPr="00C97FEA">
                        <w:rPr>
                          <w:rFonts w:cs="Calibri"/>
                          <w:b/>
                        </w:rPr>
                        <w:t>EVALUACIÓN</w:t>
                      </w:r>
                      <w:r w:rsidR="00C97FEA" w:rsidRPr="00C97FEA">
                        <w:rPr>
                          <w:rFonts w:cs="Calibri"/>
                          <w:b/>
                          <w:spacing w:val="-2"/>
                        </w:rPr>
                        <w:t xml:space="preserve"> </w:t>
                      </w:r>
                      <w:r w:rsidR="00C97FEA" w:rsidRPr="00C97FEA">
                        <w:rPr>
                          <w:rFonts w:cs="Calibri"/>
                          <w:b/>
                        </w:rPr>
                        <w:t>–</w:t>
                      </w:r>
                      <w:r w:rsidR="00C97FEA" w:rsidRPr="00C97FEA">
                        <w:rPr>
                          <w:rFonts w:cs="Calibri"/>
                          <w:b/>
                          <w:spacing w:val="-2"/>
                        </w:rPr>
                        <w:t xml:space="preserve"> </w:t>
                      </w:r>
                      <w:r w:rsidR="00C97FEA" w:rsidRPr="00C97FEA">
                        <w:rPr>
                          <w:rFonts w:cs="Calibri"/>
                          <w:b/>
                        </w:rPr>
                        <w:t>TAREA</w:t>
                      </w:r>
                      <w:r w:rsidR="00C97FEA" w:rsidRPr="00C97FEA">
                        <w:rPr>
                          <w:rFonts w:cs="Calibri"/>
                          <w:b/>
                          <w:spacing w:val="-1"/>
                        </w:rPr>
                        <w:t xml:space="preserve"> </w:t>
                      </w:r>
                      <w:r w:rsidR="00C97FEA" w:rsidRPr="00C97FEA">
                        <w:rPr>
                          <w:rFonts w:cs="Calibri"/>
                          <w:b/>
                        </w:rPr>
                        <w:t>INDIVIDUAL</w:t>
                      </w:r>
                      <w:r w:rsidR="00C97FEA" w:rsidRPr="00C97FEA">
                        <w:rPr>
                          <w:rFonts w:cs="Calibri"/>
                          <w:b/>
                          <w:spacing w:val="-5"/>
                        </w:rPr>
                        <w:t xml:space="preserve"> </w:t>
                      </w:r>
                      <w:r w:rsidR="00C97FEA" w:rsidRPr="00C97FEA">
                        <w:rPr>
                          <w:rFonts w:cs="Calibri"/>
                          <w:b/>
                        </w:rPr>
                        <w:t>4</w:t>
                      </w:r>
                    </w:p>
                  </w:txbxContent>
                </v:textbox>
                <w10:wrap anchorx="margin"/>
              </v:shape>
            </w:pict>
          </mc:Fallback>
        </mc:AlternateContent>
      </w:r>
    </w:p>
    <w:p w14:paraId="53042D13"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p w14:paraId="62420CA4" w14:textId="77777777" w:rsidR="00C97FEA" w:rsidRPr="00C97FEA" w:rsidRDefault="00C97FEA" w:rsidP="00C97FEA">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p w14:paraId="1AEBC825" w14:textId="77777777" w:rsidR="00C97FEA" w:rsidRPr="00C97FEA" w:rsidRDefault="00C97FEA" w:rsidP="4C9C2619">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4"/>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p>
    <w:p w14:paraId="626A01BD"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74048" behindDoc="0" locked="0" layoutInCell="1" allowOverlap="1" wp14:anchorId="3B32F292" wp14:editId="2C9098AB">
            <wp:simplePos x="0" y="0"/>
            <wp:positionH relativeFrom="margin">
              <wp:posOffset>404283</wp:posOffset>
            </wp:positionH>
            <wp:positionV relativeFrom="paragraph">
              <wp:posOffset>219498</wp:posOffset>
            </wp:positionV>
            <wp:extent cx="8217408" cy="4334256"/>
            <wp:effectExtent l="0" t="0" r="0" b="9525"/>
            <wp:wrapNone/>
            <wp:docPr id="2025495377" name="Imagen 13"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95377" name="Imagen 13" descr="Interfaz de usuario gráfica, Tabla&#10;&#10;Descripción generada automáticamente"/>
                    <pic:cNvPicPr/>
                  </pic:nvPicPr>
                  <pic:blipFill>
                    <a:blip r:embed="rId21"/>
                    <a:stretch>
                      <a:fillRect/>
                    </a:stretch>
                  </pic:blipFill>
                  <pic:spPr>
                    <a:xfrm>
                      <a:off x="0" y="0"/>
                      <a:ext cx="8217408" cy="4334256"/>
                    </a:xfrm>
                    <a:prstGeom prst="rect">
                      <a:avLst/>
                    </a:prstGeom>
                  </pic:spPr>
                </pic:pic>
              </a:graphicData>
            </a:graphic>
          </wp:anchor>
        </w:drawing>
      </w:r>
    </w:p>
    <w:p w14:paraId="17D1A8BF"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kern w:val="0"/>
          <w:sz w:val="24"/>
          <w:szCs w:val="20"/>
          <w:lang w:val="es-ES_tradnl" w:eastAsia="es-CR"/>
          <w14:ligatures w14:val="none"/>
        </w:rPr>
        <w:br w:type="page"/>
      </w:r>
    </w:p>
    <w:p w14:paraId="61436F3E"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75072" behindDoc="0" locked="0" layoutInCell="1" allowOverlap="1" wp14:anchorId="423D927E" wp14:editId="4F29B25B">
                <wp:simplePos x="0" y="0"/>
                <wp:positionH relativeFrom="margin">
                  <wp:align>center</wp:align>
                </wp:positionH>
                <wp:positionV relativeFrom="paragraph">
                  <wp:posOffset>-635</wp:posOffset>
                </wp:positionV>
                <wp:extent cx="7751445" cy="350520"/>
                <wp:effectExtent l="0" t="0" r="20955" b="11430"/>
                <wp:wrapNone/>
                <wp:docPr id="1119376155"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1445"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96E341C" w14:textId="5C09CAA2" w:rsidR="00C97FEA" w:rsidRPr="00C97FEA" w:rsidRDefault="004C25D2" w:rsidP="004C25D2">
                            <w:pPr>
                              <w:spacing w:before="70"/>
                              <w:ind w:right="3704"/>
                              <w:jc w:val="center"/>
                              <w:rPr>
                                <w:rFonts w:cs="Calibri"/>
                                <w:b/>
                              </w:rPr>
                            </w:pPr>
                            <w:r>
                              <w:rPr>
                                <w:rFonts w:cs="Calibri"/>
                                <w:b/>
                              </w:rPr>
                              <w:t xml:space="preserve">                                                                    </w:t>
                            </w:r>
                            <w:r w:rsidR="00C97FEA" w:rsidRPr="00C97FEA">
                              <w:rPr>
                                <w:rFonts w:cs="Calibri"/>
                                <w:b/>
                              </w:rPr>
                              <w:t>ESCALA</w:t>
                            </w:r>
                            <w:r w:rsidR="00C97FEA" w:rsidRPr="00C97FEA">
                              <w:rPr>
                                <w:rFonts w:cs="Calibri"/>
                                <w:b/>
                                <w:spacing w:val="-1"/>
                              </w:rPr>
                              <w:t xml:space="preserve"> </w:t>
                            </w:r>
                            <w:r w:rsidR="00C97FEA" w:rsidRPr="00C97FEA">
                              <w:rPr>
                                <w:rFonts w:cs="Calibri"/>
                                <w:b/>
                              </w:rPr>
                              <w:t>DE</w:t>
                            </w:r>
                            <w:r w:rsidR="00C97FEA" w:rsidRPr="00C97FEA">
                              <w:rPr>
                                <w:rFonts w:cs="Calibri"/>
                                <w:b/>
                                <w:spacing w:val="-6"/>
                              </w:rPr>
                              <w:t xml:space="preserve"> </w:t>
                            </w:r>
                            <w:r w:rsidR="00C97FEA" w:rsidRPr="00C97FEA">
                              <w:rPr>
                                <w:rFonts w:cs="Calibri"/>
                                <w:b/>
                              </w:rPr>
                              <w:t>EVALUACIÓN</w:t>
                            </w:r>
                            <w:r w:rsidR="00C97FEA" w:rsidRPr="00C97FEA">
                              <w:rPr>
                                <w:rFonts w:cs="Calibri"/>
                                <w:b/>
                                <w:spacing w:val="-2"/>
                              </w:rPr>
                              <w:t xml:space="preserve"> </w:t>
                            </w:r>
                            <w:r w:rsidR="00C97FEA" w:rsidRPr="00C97FEA">
                              <w:rPr>
                                <w:rFonts w:cs="Calibri"/>
                                <w:b/>
                              </w:rPr>
                              <w:t>–</w:t>
                            </w:r>
                            <w:r w:rsidR="00C97FEA" w:rsidRPr="00C97FEA">
                              <w:rPr>
                                <w:rFonts w:cs="Calibri"/>
                                <w:b/>
                                <w:spacing w:val="-2"/>
                              </w:rPr>
                              <w:t xml:space="preserve"> </w:t>
                            </w:r>
                            <w:r w:rsidR="00C97FEA" w:rsidRPr="00C97FEA">
                              <w:rPr>
                                <w:rFonts w:cs="Calibri"/>
                                <w:b/>
                              </w:rPr>
                              <w:t>TAREA</w:t>
                            </w:r>
                            <w:r w:rsidR="00C97FEA" w:rsidRPr="00C97FEA">
                              <w:rPr>
                                <w:rFonts w:cs="Calibri"/>
                                <w:b/>
                                <w:spacing w:val="-1"/>
                              </w:rPr>
                              <w:t xml:space="preserve"> </w:t>
                            </w:r>
                            <w:r w:rsidR="00C97FEA" w:rsidRPr="00C97FEA">
                              <w:rPr>
                                <w:rFonts w:cs="Calibri"/>
                                <w:b/>
                              </w:rPr>
                              <w:t>INDIVIDUAL</w:t>
                            </w:r>
                            <w:r w:rsidR="00C97FEA" w:rsidRPr="00C97FEA">
                              <w:rPr>
                                <w:rFonts w:cs="Calibri"/>
                                <w:b/>
                                <w:spacing w:val="-5"/>
                              </w:rPr>
                              <w:t xml:space="preserve"> </w:t>
                            </w:r>
                            <w:r w:rsidR="00C97FEA" w:rsidRPr="00C97FEA">
                              <w:rPr>
                                <w:rFonts w:cs="Calibri"/>
                                <w:b/>
                              </w:rPr>
                              <w:t>5</w:t>
                            </w:r>
                          </w:p>
                        </w:txbxContent>
                      </wps:txbx>
                      <wps:bodyPr rot="0" vert="horz" wrap="square" lIns="0" tIns="0" rIns="0" bIns="0" anchor="t" anchorCtr="0" upright="1">
                        <a:noAutofit/>
                      </wps:bodyPr>
                    </wps:wsp>
                  </a:graphicData>
                </a:graphic>
              </wp:anchor>
            </w:drawing>
          </mc:Choice>
          <mc:Fallback>
            <w:pict>
              <v:shape w14:anchorId="423D927E" id="_x0000_s1031" type="#_x0000_t202" style="position:absolute;margin-left:0;margin-top:-.05pt;width:610.35pt;height:27.6pt;z-index:2526750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" filled="f" strokeweight=".72pt">
                <v:textbox inset="0,0,0,0">
                  <w:txbxContent>
                    <w:p w14:paraId="196E341C" w14:textId="5C09CAA2" w:rsidR="00C97FEA" w:rsidRPr="00C97FEA" w:rsidRDefault="004C25D2" w:rsidP="004C25D2">
                      <w:pPr>
                        <w:spacing w:before="70"/>
                        <w:ind w:right="3704"/>
                        <w:jc w:val="center"/>
                        <w:rPr>
                          <w:rFonts w:cs="Calibri"/>
                          <w:b/>
                        </w:rPr>
                      </w:pPr>
                      <w:r>
                        <w:rPr>
                          <w:rFonts w:cs="Calibri"/>
                          <w:b/>
                        </w:rPr>
                        <w:t xml:space="preserve">                                                                    </w:t>
                      </w:r>
                      <w:r w:rsidR="00C97FEA" w:rsidRPr="00C97FEA">
                        <w:rPr>
                          <w:rFonts w:cs="Calibri"/>
                          <w:b/>
                        </w:rPr>
                        <w:t>ESCALA</w:t>
                      </w:r>
                      <w:r w:rsidR="00C97FEA" w:rsidRPr="00C97FEA">
                        <w:rPr>
                          <w:rFonts w:cs="Calibri"/>
                          <w:b/>
                          <w:spacing w:val="-1"/>
                        </w:rPr>
                        <w:t xml:space="preserve"> </w:t>
                      </w:r>
                      <w:r w:rsidR="00C97FEA" w:rsidRPr="00C97FEA">
                        <w:rPr>
                          <w:rFonts w:cs="Calibri"/>
                          <w:b/>
                        </w:rPr>
                        <w:t>DE</w:t>
                      </w:r>
                      <w:r w:rsidR="00C97FEA" w:rsidRPr="00C97FEA">
                        <w:rPr>
                          <w:rFonts w:cs="Calibri"/>
                          <w:b/>
                          <w:spacing w:val="-6"/>
                        </w:rPr>
                        <w:t xml:space="preserve"> </w:t>
                      </w:r>
                      <w:r w:rsidR="00C97FEA" w:rsidRPr="00C97FEA">
                        <w:rPr>
                          <w:rFonts w:cs="Calibri"/>
                          <w:b/>
                        </w:rPr>
                        <w:t>EVALUACIÓN</w:t>
                      </w:r>
                      <w:r w:rsidR="00C97FEA" w:rsidRPr="00C97FEA">
                        <w:rPr>
                          <w:rFonts w:cs="Calibri"/>
                          <w:b/>
                          <w:spacing w:val="-2"/>
                        </w:rPr>
                        <w:t xml:space="preserve"> </w:t>
                      </w:r>
                      <w:r w:rsidR="00C97FEA" w:rsidRPr="00C97FEA">
                        <w:rPr>
                          <w:rFonts w:cs="Calibri"/>
                          <w:b/>
                        </w:rPr>
                        <w:t>–</w:t>
                      </w:r>
                      <w:r w:rsidR="00C97FEA" w:rsidRPr="00C97FEA">
                        <w:rPr>
                          <w:rFonts w:cs="Calibri"/>
                          <w:b/>
                          <w:spacing w:val="-2"/>
                        </w:rPr>
                        <w:t xml:space="preserve"> </w:t>
                      </w:r>
                      <w:r w:rsidR="00C97FEA" w:rsidRPr="00C97FEA">
                        <w:rPr>
                          <w:rFonts w:cs="Calibri"/>
                          <w:b/>
                        </w:rPr>
                        <w:t>TAREA</w:t>
                      </w:r>
                      <w:r w:rsidR="00C97FEA" w:rsidRPr="00C97FEA">
                        <w:rPr>
                          <w:rFonts w:cs="Calibri"/>
                          <w:b/>
                          <w:spacing w:val="-1"/>
                        </w:rPr>
                        <w:t xml:space="preserve"> </w:t>
                      </w:r>
                      <w:r w:rsidR="00C97FEA" w:rsidRPr="00C97FEA">
                        <w:rPr>
                          <w:rFonts w:cs="Calibri"/>
                          <w:b/>
                        </w:rPr>
                        <w:t>INDIVIDUAL</w:t>
                      </w:r>
                      <w:r w:rsidR="00C97FEA" w:rsidRPr="00C97FEA">
                        <w:rPr>
                          <w:rFonts w:cs="Calibri"/>
                          <w:b/>
                          <w:spacing w:val="-5"/>
                        </w:rPr>
                        <w:t xml:space="preserve"> </w:t>
                      </w:r>
                      <w:r w:rsidR="00C97FEA" w:rsidRPr="00C97FEA">
                        <w:rPr>
                          <w:rFonts w:cs="Calibri"/>
                          <w:b/>
                        </w:rPr>
                        <w:t>5</w:t>
                      </w:r>
                    </w:p>
                  </w:txbxContent>
                </v:textbox>
                <w10:wrap anchorx="margin"/>
              </v:shape>
            </w:pict>
          </mc:Fallback>
        </mc:AlternateContent>
      </w:r>
    </w:p>
    <w:p w14:paraId="730F7EC7"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347F8FA8" w14:textId="77777777" w:rsidR="00C97FEA" w:rsidRPr="00C97FEA" w:rsidRDefault="00C97FEA" w:rsidP="4C9C2619">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4"/>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76096" behindDoc="0" locked="0" layoutInCell="1" allowOverlap="1" wp14:anchorId="0DAC2AF2" wp14:editId="20F8503F">
            <wp:simplePos x="0" y="0"/>
            <wp:positionH relativeFrom="margin">
              <wp:align>center</wp:align>
            </wp:positionH>
            <wp:positionV relativeFrom="paragraph">
              <wp:posOffset>709613</wp:posOffset>
            </wp:positionV>
            <wp:extent cx="8290560" cy="3285490"/>
            <wp:effectExtent l="0" t="0" r="0" b="0"/>
            <wp:wrapNone/>
            <wp:docPr id="1864755283" name="Imagen 14"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755283" name="Imagen 14" descr="Interfaz de usuario gráfica, Aplicación, Tabla&#10;&#10;Descripción generada automáticamente"/>
                    <pic:cNvPicPr/>
                  </pic:nvPicPr>
                  <pic:blipFill>
                    <a:blip r:embed="rId22"/>
                    <a:stretch>
                      <a:fillRect/>
                    </a:stretch>
                  </pic:blipFill>
                  <pic:spPr>
                    <a:xfrm>
                      <a:off x="0" y="0"/>
                      <a:ext cx="8290560" cy="3285490"/>
                    </a:xfrm>
                    <a:prstGeom prst="rect">
                      <a:avLst/>
                    </a:prstGeom>
                  </pic:spPr>
                </pic:pic>
              </a:graphicData>
            </a:graphic>
          </wp:anchor>
        </w:drawing>
      </w:r>
      <w:r w:rsidRPr="4C9C2619">
        <w:rPr>
          <w:rFonts w:ascii="Times New Roman" w:eastAsia="Times New Roman" w:hAnsi="Times New Roman" w:cs="Times New Roman"/>
          <w:kern w:val="0"/>
          <w:sz w:val="24"/>
          <w:szCs w:val="24"/>
          <w:lang w:val="es-ES" w:eastAsia="es-CR"/>
          <w14:ligatures w14:val="none"/>
        </w:rPr>
        <w:br w:type="page"/>
      </w:r>
    </w:p>
    <w:p w14:paraId="1CB6E125"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77120" behindDoc="0" locked="0" layoutInCell="1" allowOverlap="1" wp14:anchorId="712B3B8E" wp14:editId="2298990B">
                <wp:simplePos x="0" y="0"/>
                <wp:positionH relativeFrom="margin">
                  <wp:align>center</wp:align>
                </wp:positionH>
                <wp:positionV relativeFrom="paragraph">
                  <wp:posOffset>3175</wp:posOffset>
                </wp:positionV>
                <wp:extent cx="7751445" cy="350520"/>
                <wp:effectExtent l="0" t="0" r="20955" b="11430"/>
                <wp:wrapNone/>
                <wp:docPr id="1490811283"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1445"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3D1DFD4" w14:textId="77777777" w:rsidR="00C97FEA" w:rsidRPr="00C97FEA" w:rsidRDefault="00C97FEA" w:rsidP="004C25D2">
                            <w:pPr>
                              <w:spacing w:before="70"/>
                              <w:ind w:right="-6"/>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6</w:t>
                            </w:r>
                          </w:p>
                        </w:txbxContent>
                      </wps:txbx>
                      <wps:bodyPr rot="0" vert="horz" wrap="square" lIns="0" tIns="0" rIns="0" bIns="0" anchor="t" anchorCtr="0" upright="1">
                        <a:noAutofit/>
                      </wps:bodyPr>
                    </wps:wsp>
                  </a:graphicData>
                </a:graphic>
              </wp:anchor>
            </w:drawing>
          </mc:Choice>
          <mc:Fallback>
            <w:pict>
              <v:shape w14:anchorId="712B3B8E" id="_x0000_s1032" type="#_x0000_t202" style="position:absolute;margin-left:0;margin-top:.25pt;width:610.35pt;height:27.6pt;z-index:2526771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" filled="f" strokeweight=".72pt">
                <v:textbox inset="0,0,0,0">
                  <w:txbxContent>
                    <w:p w14:paraId="33D1DFD4" w14:textId="77777777" w:rsidR="00C97FEA" w:rsidRPr="00C97FEA" w:rsidRDefault="00C97FEA" w:rsidP="004C25D2">
                      <w:pPr>
                        <w:spacing w:before="70"/>
                        <w:ind w:right="-6"/>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6</w:t>
                      </w:r>
                    </w:p>
                  </w:txbxContent>
                </v:textbox>
                <w10:wrap anchorx="margin"/>
              </v:shape>
            </w:pict>
          </mc:Fallback>
        </mc:AlternateContent>
      </w:r>
    </w:p>
    <w:p w14:paraId="2EE81C5D"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1994E00C" w14:textId="77777777" w:rsidR="00C97FEA" w:rsidRPr="00C97FEA" w:rsidRDefault="00C97FEA"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p>
    <w:p w14:paraId="7F63F20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97FEA">
        <w:rPr>
          <w:rFonts w:ascii="Calibri" w:eastAsia="Times New Roman" w:hAnsi="Calibri" w:cs="Calibri"/>
          <w:noProof/>
          <w:kern w:val="0"/>
          <w:lang w:val="es-ES_tradnl" w:eastAsia="es-CR"/>
          <w14:ligatures w14:val="none"/>
        </w:rPr>
        <w:drawing>
          <wp:anchor distT="0" distB="0" distL="114300" distR="114300" simplePos="0" relativeHeight="252678144" behindDoc="0" locked="0" layoutInCell="1" allowOverlap="1" wp14:anchorId="5334088C" wp14:editId="0E38BCA0">
            <wp:simplePos x="0" y="0"/>
            <wp:positionH relativeFrom="margin">
              <wp:align>center</wp:align>
            </wp:positionH>
            <wp:positionV relativeFrom="paragraph">
              <wp:posOffset>267652</wp:posOffset>
            </wp:positionV>
            <wp:extent cx="8266176" cy="3803904"/>
            <wp:effectExtent l="0" t="0" r="1905" b="6350"/>
            <wp:wrapNone/>
            <wp:docPr id="1982196961" name="Imagen 15"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96961" name="Imagen 15" descr="Interfaz de usuario gráfica, Aplicación, Tabla&#10;&#10;Descripción generada automáticamente"/>
                    <pic:cNvPicPr/>
                  </pic:nvPicPr>
                  <pic:blipFill>
                    <a:blip r:embed="rId23"/>
                    <a:stretch>
                      <a:fillRect/>
                    </a:stretch>
                  </pic:blipFill>
                  <pic:spPr>
                    <a:xfrm>
                      <a:off x="0" y="0"/>
                      <a:ext cx="8266176" cy="3803904"/>
                    </a:xfrm>
                    <a:prstGeom prst="rect">
                      <a:avLst/>
                    </a:prstGeom>
                  </pic:spPr>
                </pic:pic>
              </a:graphicData>
            </a:graphic>
          </wp:anchor>
        </w:drawing>
      </w:r>
      <w:r w:rsidRPr="00C97FEA">
        <w:rPr>
          <w:rFonts w:ascii="Calibri" w:eastAsia="Times New Roman" w:hAnsi="Calibri" w:cs="Calibri"/>
          <w:kern w:val="0"/>
          <w:lang w:val="es-ES_tradnl" w:eastAsia="es-CR"/>
          <w14:ligatures w14:val="none"/>
        </w:rPr>
        <w:br w:type="page"/>
      </w:r>
    </w:p>
    <w:p w14:paraId="384966FD"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79168" behindDoc="0" locked="0" layoutInCell="1" allowOverlap="1" wp14:anchorId="31A910D4" wp14:editId="3DF77287">
                <wp:simplePos x="0" y="0"/>
                <wp:positionH relativeFrom="margin">
                  <wp:posOffset>685800</wp:posOffset>
                </wp:positionH>
                <wp:positionV relativeFrom="paragraph">
                  <wp:posOffset>-8044</wp:posOffset>
                </wp:positionV>
                <wp:extent cx="7751445" cy="350520"/>
                <wp:effectExtent l="0" t="0" r="20955" b="11430"/>
                <wp:wrapNone/>
                <wp:docPr id="846581293"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1445"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5849C33" w14:textId="77777777" w:rsidR="00C97FEA" w:rsidRPr="00C97FEA" w:rsidRDefault="00C97FEA" w:rsidP="004C25D2">
                            <w:pPr>
                              <w:spacing w:before="70"/>
                              <w:ind w:right="-6"/>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7</w:t>
                            </w:r>
                          </w:p>
                        </w:txbxContent>
                      </wps:txbx>
                      <wps:bodyPr rot="0" vert="horz" wrap="square" lIns="0" tIns="0" rIns="0" bIns="0" anchor="t" anchorCtr="0" upright="1">
                        <a:noAutofit/>
                      </wps:bodyPr>
                    </wps:wsp>
                  </a:graphicData>
                </a:graphic>
              </wp:anchor>
            </w:drawing>
          </mc:Choice>
          <mc:Fallback>
            <w:pict>
              <v:shape w14:anchorId="31A910D4" id="_x0000_s1033" type="#_x0000_t202" style="position:absolute;margin-left:54pt;margin-top:-.65pt;width:610.35pt;height:27.6pt;z-index:252679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" filled="f" strokeweight=".72pt">
                <v:textbox inset="0,0,0,0">
                  <w:txbxContent>
                    <w:p w14:paraId="15849C33" w14:textId="77777777" w:rsidR="00C97FEA" w:rsidRPr="00C97FEA" w:rsidRDefault="00C97FEA" w:rsidP="004C25D2">
                      <w:pPr>
                        <w:spacing w:before="70"/>
                        <w:ind w:right="-6"/>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2"/>
                        </w:rPr>
                        <w:t xml:space="preserve"> </w:t>
                      </w:r>
                      <w:r w:rsidRPr="00C97FEA">
                        <w:rPr>
                          <w:rFonts w:cs="Calibri"/>
                          <w:b/>
                        </w:rPr>
                        <w:t>TAREA</w:t>
                      </w:r>
                      <w:r w:rsidRPr="00C97FEA">
                        <w:rPr>
                          <w:rFonts w:cs="Calibri"/>
                          <w:b/>
                          <w:spacing w:val="-1"/>
                        </w:rPr>
                        <w:t xml:space="preserve"> </w:t>
                      </w:r>
                      <w:r w:rsidRPr="00C97FEA">
                        <w:rPr>
                          <w:rFonts w:cs="Calibri"/>
                          <w:b/>
                        </w:rPr>
                        <w:t>INDIVIDUAL</w:t>
                      </w:r>
                      <w:r w:rsidRPr="00C97FEA">
                        <w:rPr>
                          <w:rFonts w:cs="Calibri"/>
                          <w:b/>
                          <w:spacing w:val="-5"/>
                        </w:rPr>
                        <w:t xml:space="preserve"> </w:t>
                      </w:r>
                      <w:r w:rsidRPr="00C97FEA">
                        <w:rPr>
                          <w:rFonts w:cs="Calibri"/>
                          <w:b/>
                        </w:rPr>
                        <w:t>7</w:t>
                      </w:r>
                    </w:p>
                  </w:txbxContent>
                </v:textbox>
                <w10:wrap anchorx="margin"/>
              </v:shape>
            </w:pict>
          </mc:Fallback>
        </mc:AlternateContent>
      </w:r>
    </w:p>
    <w:p w14:paraId="7300CD67"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00D4CBED" w14:textId="77777777" w:rsidR="00C97FEA" w:rsidRPr="00C97FEA" w:rsidRDefault="00C97FEA" w:rsidP="4C9C2619">
      <w:pPr>
        <w:widowControl w:val="0"/>
        <w:overflowPunct w:val="0"/>
        <w:autoSpaceDE w:val="0"/>
        <w:autoSpaceDN w:val="0"/>
        <w:adjustRightInd w:val="0"/>
        <w:spacing w:before="120" w:after="0" w:line="240" w:lineRule="auto"/>
        <w:jc w:val="center"/>
        <w:rPr>
          <w:rFonts w:ascii="Calibri" w:eastAsia="Times New Roman" w:hAnsi="Calibri" w:cs="Calibri"/>
          <w:kern w:val="0"/>
          <w:lang w:val="es-ES" w:eastAsia="es-CR"/>
          <w14:ligatures w14:val="none"/>
        </w:rPr>
      </w:pPr>
      <w:r w:rsidRPr="00C97FEA">
        <w:rPr>
          <w:rFonts w:ascii="Calibri" w:eastAsia="Times New Roman" w:hAnsi="Calibri" w:cs="Calibri"/>
          <w:noProof/>
          <w:color w:val="0070C0"/>
          <w:kern w:val="0"/>
          <w:lang w:val="es-ES_tradnl" w:eastAsia="es-CR"/>
          <w14:ligatures w14:val="none"/>
        </w:rPr>
        <w:drawing>
          <wp:anchor distT="0" distB="0" distL="114300" distR="114300" simplePos="0" relativeHeight="252680192" behindDoc="0" locked="0" layoutInCell="1" allowOverlap="1" wp14:anchorId="58F172E4" wp14:editId="41D18A77">
            <wp:simplePos x="0" y="0"/>
            <wp:positionH relativeFrom="margin">
              <wp:posOffset>435610</wp:posOffset>
            </wp:positionH>
            <wp:positionV relativeFrom="paragraph">
              <wp:posOffset>671407</wp:posOffset>
            </wp:positionV>
            <wp:extent cx="8272272" cy="2749296"/>
            <wp:effectExtent l="0" t="0" r="0" b="0"/>
            <wp:wrapNone/>
            <wp:docPr id="1628244243" name="Imagen 16"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44243" name="Imagen 16" descr="Interfaz de usuario gráfica, Aplicación, Tabla&#10;&#10;Descripción generada automáticamente"/>
                    <pic:cNvPicPr/>
                  </pic:nvPicPr>
                  <pic:blipFill>
                    <a:blip r:embed="rId24"/>
                    <a:stretch>
                      <a:fillRect/>
                    </a:stretch>
                  </pic:blipFill>
                  <pic:spPr>
                    <a:xfrm>
                      <a:off x="0" y="0"/>
                      <a:ext cx="8272272" cy="2749296"/>
                    </a:xfrm>
                    <a:prstGeom prst="rect">
                      <a:avLst/>
                    </a:prstGeom>
                  </pic:spPr>
                </pic:pic>
              </a:graphicData>
            </a:graphic>
          </wp:anchor>
        </w:drawing>
      </w:r>
      <w:r w:rsidRPr="4C9C2619">
        <w:rPr>
          <w:rFonts w:ascii="Calibri" w:eastAsia="Times New Roman" w:hAnsi="Calibri" w:cs="Calibri"/>
          <w:color w:val="0070C0"/>
          <w:kern w:val="0"/>
          <w:lang w:val="es-ES" w:eastAsia="es-CR"/>
          <w14:ligatures w14:val="none"/>
        </w:rPr>
        <w:t>Con el objetivo de facilitar la comprensión de temas estudiados mediante ejercicios prácticos, en este curso se realizarán tareas, de forma individual. Se realizan en las sesiones 2, 3, 4, 5, 6, 10 y 12. Cada tarea tiene un valor de 5%.</w:t>
      </w:r>
      <w:r w:rsidRPr="4C9C2619">
        <w:rPr>
          <w:rFonts w:ascii="Calibri" w:eastAsia="Times New Roman" w:hAnsi="Calibri" w:cs="Calibri"/>
          <w:kern w:val="0"/>
          <w:lang w:val="es-ES" w:eastAsia="es-CR"/>
          <w14:ligatures w14:val="none"/>
        </w:rPr>
        <w:br w:type="page"/>
      </w:r>
    </w:p>
    <w:p w14:paraId="7E9FFEF6"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681216" behindDoc="0" locked="0" layoutInCell="1" allowOverlap="1" wp14:anchorId="1EB9D7D1" wp14:editId="5A992592">
                <wp:simplePos x="0" y="0"/>
                <wp:positionH relativeFrom="margin">
                  <wp:align>center</wp:align>
                </wp:positionH>
                <wp:positionV relativeFrom="paragraph">
                  <wp:posOffset>-1587</wp:posOffset>
                </wp:positionV>
                <wp:extent cx="7025640" cy="400050"/>
                <wp:effectExtent l="0" t="0" r="22860" b="19050"/>
                <wp:wrapNone/>
                <wp:docPr id="1032227998" name="Cuadro de texto 1032227998"/>
                <wp:cNvGraphicFramePr/>
                <a:graphic xmlns:a="http://schemas.openxmlformats.org/drawingml/2006/main">
                  <a:graphicData uri="http://schemas.microsoft.com/office/word/2010/wordprocessingShape">
                    <wps:wsp>
                      <wps:cNvSpPr txBox="1"/>
                      <wps:spPr>
                        <a:xfrm>
                          <a:off x="0" y="0"/>
                          <a:ext cx="7025640" cy="400050"/>
                        </a:xfrm>
                        <a:prstGeom prst="rect">
                          <a:avLst/>
                        </a:prstGeom>
                        <a:solidFill>
                          <a:sysClr val="window" lastClr="FFFFFF"/>
                        </a:solidFill>
                        <a:ln w="6350">
                          <a:solidFill>
                            <a:prstClr val="black"/>
                          </a:solidFill>
                        </a:ln>
                      </wps:spPr>
                      <wps:txbx>
                        <w:txbxContent>
                          <w:p w14:paraId="1B6919FF" w14:textId="77777777" w:rsidR="00C97FEA" w:rsidRPr="00C97FEA" w:rsidRDefault="00C97FEA" w:rsidP="00C97FEA">
                            <w:pPr>
                              <w:jc w:val="center"/>
                              <w:rPr>
                                <w:rFonts w:cs="Calibri"/>
                                <w:b/>
                              </w:rPr>
                            </w:pPr>
                            <w:r w:rsidRPr="00C97FEA">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9D7D1" id="Cuadro de texto 1032227998" o:spid="_x0000_s1034" type="#_x0000_t202" style="position:absolute;margin-left:0;margin-top:-.1pt;width:553.2pt;height:31.5pt;z-index:252681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" fillcolor="window" strokeweight=".5pt">
                <v:textbox>
                  <w:txbxContent>
                    <w:p w14:paraId="1B6919FF" w14:textId="77777777" w:rsidR="00C97FEA" w:rsidRPr="00C97FEA" w:rsidRDefault="00C97FEA" w:rsidP="00C97FEA">
                      <w:pPr>
                        <w:jc w:val="center"/>
                        <w:rPr>
                          <w:rFonts w:cs="Calibri"/>
                          <w:b/>
                        </w:rPr>
                      </w:pPr>
                      <w:r w:rsidRPr="00C97FEA">
                        <w:rPr>
                          <w:rFonts w:cs="Calibri"/>
                          <w:b/>
                        </w:rPr>
                        <w:t>RÚBRICA DE EVALUACIÓN – WIKI</w:t>
                      </w:r>
                    </w:p>
                  </w:txbxContent>
                </v:textbox>
                <w10:wrap anchorx="margin"/>
              </v:shape>
            </w:pict>
          </mc:Fallback>
        </mc:AlternateContent>
      </w:r>
    </w:p>
    <w:p w14:paraId="5B052897"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6FF30C95"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5A36A743" w14:textId="77777777" w:rsidR="00C97FEA" w:rsidRPr="00C97FEA" w:rsidRDefault="00C97FEA" w:rsidP="00C97FEA">
      <w:pPr>
        <w:widowControl w:val="0"/>
        <w:overflowPunct w:val="0"/>
        <w:autoSpaceDE w:val="0"/>
        <w:autoSpaceDN w:val="0"/>
        <w:adjustRightInd w:val="0"/>
        <w:spacing w:before="120" w:after="0" w:line="240" w:lineRule="auto"/>
        <w:jc w:val="center"/>
        <w:rPr>
          <w:rFonts w:ascii="Times New Roman" w:eastAsia="Times New Roman" w:hAnsi="Times New Roman" w:cs="Times New Roman"/>
          <w:color w:val="0070C0"/>
          <w:kern w:val="0"/>
          <w:sz w:val="24"/>
          <w:szCs w:val="20"/>
          <w:lang w:val="es-ES_tradnl" w:eastAsia="es-CR"/>
          <w14:ligatures w14:val="none"/>
        </w:rPr>
      </w:pPr>
      <w:r w:rsidRPr="00C97FEA">
        <w:rPr>
          <w:rFonts w:ascii="Calibri" w:eastAsia="Times New Roman" w:hAnsi="Calibri" w:cs="Calibri"/>
          <w:color w:val="0070C0"/>
          <w:kern w:val="0"/>
          <w:lang w:val="es-ES_tradnl" w:eastAsia="es-CR"/>
          <w14:ligatures w14:val="none"/>
        </w:rPr>
        <w:t>El wiki es una herramienta colaborativa que permite ir recopilando en una página (o varias) los aportes que todas las personas del curso van creando en grupos. Se desarrollan en las sesiones 7 y 8. Cada wiki tiene un valor de 5%.</w:t>
      </w:r>
    </w:p>
    <w:p w14:paraId="7DBBAE58"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241C7396"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82240" behindDoc="0" locked="0" layoutInCell="1" allowOverlap="1" wp14:anchorId="4043382B" wp14:editId="6DCE9333">
            <wp:simplePos x="0" y="0"/>
            <wp:positionH relativeFrom="margin">
              <wp:align>right</wp:align>
            </wp:positionH>
            <wp:positionV relativeFrom="paragraph">
              <wp:posOffset>80645</wp:posOffset>
            </wp:positionV>
            <wp:extent cx="9144000" cy="4642485"/>
            <wp:effectExtent l="0" t="0" r="0" b="5715"/>
            <wp:wrapNone/>
            <wp:docPr id="860117027" name="Imagen 17"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17027" name="Imagen 17" descr="Tabla, Calendario&#10;&#10;Descripción generada automáticamente"/>
                    <pic:cNvPicPr/>
                  </pic:nvPicPr>
                  <pic:blipFill>
                    <a:blip r:embed="rId25"/>
                    <a:stretch>
                      <a:fillRect/>
                    </a:stretch>
                  </pic:blipFill>
                  <pic:spPr>
                    <a:xfrm>
                      <a:off x="0" y="0"/>
                      <a:ext cx="9144000" cy="4642485"/>
                    </a:xfrm>
                    <a:prstGeom prst="rect">
                      <a:avLst/>
                    </a:prstGeom>
                  </pic:spPr>
                </pic:pic>
              </a:graphicData>
            </a:graphic>
          </wp:anchor>
        </w:drawing>
      </w:r>
      <w:r w:rsidRPr="00C97FEA">
        <w:rPr>
          <w:rFonts w:ascii="Times New Roman" w:eastAsia="Times New Roman" w:hAnsi="Times New Roman" w:cs="Times New Roman"/>
          <w:kern w:val="0"/>
          <w:sz w:val="24"/>
          <w:szCs w:val="20"/>
          <w:lang w:val="es-ES_tradnl" w:eastAsia="es-CR"/>
          <w14:ligatures w14:val="none"/>
        </w:rPr>
        <w:br w:type="page"/>
      </w:r>
    </w:p>
    <w:p w14:paraId="728B00A7"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eastAsia="es-CR"/>
          <w14:ligatures w14:val="none"/>
        </w:rPr>
      </w:pPr>
      <w:r w:rsidRPr="00C97FEA">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683264" behindDoc="0" locked="0" layoutInCell="1" allowOverlap="1" wp14:anchorId="28F1F39B" wp14:editId="651B4052">
                <wp:simplePos x="0" y="0"/>
                <wp:positionH relativeFrom="margin">
                  <wp:align>center</wp:align>
                </wp:positionH>
                <wp:positionV relativeFrom="paragraph">
                  <wp:posOffset>-80963</wp:posOffset>
                </wp:positionV>
                <wp:extent cx="6606540" cy="411480"/>
                <wp:effectExtent l="0" t="0" r="22860" b="26670"/>
                <wp:wrapNone/>
                <wp:docPr id="1413482508" name="Cuadro de texto 141348250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A171614" w14:textId="77777777" w:rsidR="00C97FEA" w:rsidRPr="00C97FEA" w:rsidRDefault="00C97FEA" w:rsidP="00C97FEA">
                            <w:pPr>
                              <w:jc w:val="center"/>
                              <w:rPr>
                                <w:rFonts w:cs="Calibri"/>
                              </w:rPr>
                            </w:pPr>
                            <w:r w:rsidRPr="00C97FEA">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1F39B" id="Cuadro de texto 1413482508" o:spid="_x0000_s1035" type="#_x0000_t202" style="position:absolute;margin-left:0;margin-top:-6.4pt;width:520.2pt;height:32.4pt;z-index:252683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" fillcolor="window" strokeweight=".5pt">
                <v:textbox>
                  <w:txbxContent>
                    <w:p w14:paraId="2A171614" w14:textId="77777777" w:rsidR="00C97FEA" w:rsidRPr="00C97FEA" w:rsidRDefault="00C97FEA" w:rsidP="00C97FEA">
                      <w:pPr>
                        <w:jc w:val="center"/>
                        <w:rPr>
                          <w:rFonts w:cs="Calibri"/>
                        </w:rPr>
                      </w:pPr>
                      <w:r w:rsidRPr="00C97FEA">
                        <w:rPr>
                          <w:rFonts w:cs="Calibri"/>
                          <w:b/>
                        </w:rPr>
                        <w:t>RÚBRICA DE EVALUACIÓN – GLOSARIO</w:t>
                      </w:r>
                    </w:p>
                  </w:txbxContent>
                </v:textbox>
                <w10:wrap anchorx="margin"/>
              </v:shape>
            </w:pict>
          </mc:Fallback>
        </mc:AlternateContent>
      </w:r>
    </w:p>
    <w:p w14:paraId="59A50B97"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eastAsia="es-CR"/>
          <w14:ligatures w14:val="none"/>
        </w:rPr>
      </w:pPr>
    </w:p>
    <w:p w14:paraId="2BBA82B0" w14:textId="77777777" w:rsidR="00C97FEA" w:rsidRPr="00C97FEA" w:rsidRDefault="00C97FEA" w:rsidP="4C9C2619">
      <w:pPr>
        <w:widowControl w:val="0"/>
        <w:overflowPunct w:val="0"/>
        <w:autoSpaceDE w:val="0"/>
        <w:autoSpaceDN w:val="0"/>
        <w:adjustRightInd w:val="0"/>
        <w:spacing w:before="120" w:after="0" w:line="240" w:lineRule="auto"/>
        <w:jc w:val="center"/>
        <w:rPr>
          <w:rFonts w:ascii="Times New Roman" w:eastAsia="Times New Roman" w:hAnsi="Times New Roman" w:cs="Times New Roman"/>
          <w:color w:val="0070C0"/>
          <w:kern w:val="0"/>
          <w:sz w:val="24"/>
          <w:szCs w:val="24"/>
          <w:lang w:val="es-ES" w:eastAsia="es-CR"/>
          <w14:ligatures w14:val="none"/>
        </w:rPr>
      </w:pPr>
      <w:r w:rsidRPr="4C9C2619">
        <w:rPr>
          <w:rFonts w:ascii="Calibri" w:eastAsia="Times New Roman" w:hAnsi="Calibri" w:cs="Calibri"/>
          <w:color w:val="0070C0"/>
          <w:kern w:val="0"/>
          <w:lang w:val="es-ES" w:eastAsia="es-CR"/>
          <w14:ligatures w14:val="none"/>
        </w:rPr>
        <w:t>El glosario busca que la persona estudiante conozca y maneje un vocabulario mínimo de términos de una disciplina, con el fin de definirlos, explicarlos y aplicarlos. Se elabora en la sesión 2. Tiene un valor de 5%.</w:t>
      </w:r>
    </w:p>
    <w:p w14:paraId="2D3463D1"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drawing>
          <wp:anchor distT="0" distB="0" distL="114300" distR="114300" simplePos="0" relativeHeight="252684288" behindDoc="0" locked="0" layoutInCell="1" allowOverlap="1" wp14:anchorId="617F80C6" wp14:editId="737C16D9">
            <wp:simplePos x="0" y="0"/>
            <wp:positionH relativeFrom="margin">
              <wp:align>center</wp:align>
            </wp:positionH>
            <wp:positionV relativeFrom="paragraph">
              <wp:posOffset>450850</wp:posOffset>
            </wp:positionV>
            <wp:extent cx="7857744" cy="5260848"/>
            <wp:effectExtent l="0" t="0" r="0" b="0"/>
            <wp:wrapNone/>
            <wp:docPr id="1869244509" name="Imagen 1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244509" name="Imagen 18" descr="Tabla&#10;&#10;Descripción generada automáticamente"/>
                    <pic:cNvPicPr/>
                  </pic:nvPicPr>
                  <pic:blipFill>
                    <a:blip r:embed="rId26"/>
                    <a:stretch>
                      <a:fillRect/>
                    </a:stretch>
                  </pic:blipFill>
                  <pic:spPr>
                    <a:xfrm>
                      <a:off x="0" y="0"/>
                      <a:ext cx="7857744" cy="5260848"/>
                    </a:xfrm>
                    <a:prstGeom prst="rect">
                      <a:avLst/>
                    </a:prstGeom>
                  </pic:spPr>
                </pic:pic>
              </a:graphicData>
            </a:graphic>
          </wp:anchor>
        </w:drawing>
      </w:r>
      <w:r w:rsidRPr="00C97FEA">
        <w:rPr>
          <w:rFonts w:ascii="Times New Roman" w:eastAsia="Times New Roman" w:hAnsi="Times New Roman" w:cs="Times New Roman"/>
          <w:kern w:val="0"/>
          <w:sz w:val="24"/>
          <w:szCs w:val="20"/>
          <w:lang w:val="es-ES_tradnl" w:eastAsia="es-CR"/>
          <w14:ligatures w14:val="none"/>
        </w:rPr>
        <w:br w:type="page"/>
      </w:r>
    </w:p>
    <w:p w14:paraId="4DE62683"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85312" behindDoc="0" locked="0" layoutInCell="1" allowOverlap="1" wp14:anchorId="7A858AC0" wp14:editId="7028D4C5">
                <wp:simplePos x="0" y="0"/>
                <wp:positionH relativeFrom="margin">
                  <wp:align>center</wp:align>
                </wp:positionH>
                <wp:positionV relativeFrom="paragraph">
                  <wp:posOffset>3810</wp:posOffset>
                </wp:positionV>
                <wp:extent cx="7818120" cy="320040"/>
                <wp:effectExtent l="0" t="0" r="11430" b="22860"/>
                <wp:wrapNone/>
                <wp:docPr id="1758032940" name="Cuadro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8120" cy="32004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2B6D591" w14:textId="77777777" w:rsidR="00C97FEA" w:rsidRPr="00C97FEA" w:rsidRDefault="00C97FEA" w:rsidP="004C25D2">
                            <w:pPr>
                              <w:spacing w:before="70"/>
                              <w:ind w:right="104"/>
                              <w:jc w:val="center"/>
                              <w:rPr>
                                <w:rFonts w:cs="Calibri"/>
                                <w:b/>
                              </w:rPr>
                            </w:pPr>
                            <w:r w:rsidRPr="00C97FEA">
                              <w:rPr>
                                <w:rFonts w:cs="Calibri"/>
                                <w:b/>
                              </w:rPr>
                              <w:t>ESCALA</w:t>
                            </w:r>
                            <w:r w:rsidRPr="00C97FEA">
                              <w:rPr>
                                <w:rFonts w:cs="Calibri"/>
                                <w:b/>
                                <w:spacing w:val="-2"/>
                              </w:rPr>
                              <w:t xml:space="preserve"> </w:t>
                            </w:r>
                            <w:r w:rsidRPr="00C97FEA">
                              <w:rPr>
                                <w:rFonts w:cs="Calibri"/>
                                <w:b/>
                              </w:rPr>
                              <w:t>DE</w:t>
                            </w:r>
                            <w:r w:rsidRPr="00C97FEA">
                              <w:rPr>
                                <w:rFonts w:cs="Calibri"/>
                                <w:b/>
                                <w:spacing w:val="-7"/>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4"/>
                              </w:rPr>
                              <w:t xml:space="preserve"> </w:t>
                            </w:r>
                            <w:r w:rsidRPr="00C97FEA">
                              <w:rPr>
                                <w:rFonts w:cs="Calibri"/>
                                <w:b/>
                              </w:rPr>
                              <w:t>TALLER</w:t>
                            </w:r>
                            <w:r w:rsidRPr="00C97FEA">
                              <w:rPr>
                                <w:rFonts w:cs="Calibri"/>
                                <w:b/>
                                <w:spacing w:val="-1"/>
                              </w:rPr>
                              <w:t xml:space="preserve"> </w:t>
                            </w:r>
                            <w:r w:rsidRPr="00C97FEA">
                              <w:rPr>
                                <w:rFonts w:cs="Calibri"/>
                                <w:b/>
                              </w:rPr>
                              <w:t>INTERACTIVO</w:t>
                            </w:r>
                          </w:p>
                        </w:txbxContent>
                      </wps:txbx>
                      <wps:bodyPr rot="0" vert="horz" wrap="square" lIns="0" tIns="0" rIns="0" bIns="0" anchor="t" anchorCtr="0" upright="1">
                        <a:noAutofit/>
                      </wps:bodyPr>
                    </wps:wsp>
                  </a:graphicData>
                </a:graphic>
              </wp:anchor>
            </w:drawing>
          </mc:Choice>
          <mc:Fallback>
            <w:pict>
              <v:shape w14:anchorId="7A858AC0" id="Cuadro de texto 19" o:spid="_x0000_s1036" type="#_x0000_t202" style="position:absolute;margin-left:0;margin-top:.3pt;width:615.6pt;height:25.2pt;z-index:252685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" filled="f" strokeweight=".72pt">
                <v:textbox inset="0,0,0,0">
                  <w:txbxContent>
                    <w:p w14:paraId="52B6D591" w14:textId="77777777" w:rsidR="00C97FEA" w:rsidRPr="00C97FEA" w:rsidRDefault="00C97FEA" w:rsidP="004C25D2">
                      <w:pPr>
                        <w:spacing w:before="70"/>
                        <w:ind w:right="104"/>
                        <w:jc w:val="center"/>
                        <w:rPr>
                          <w:rFonts w:cs="Calibri"/>
                          <w:b/>
                        </w:rPr>
                      </w:pPr>
                      <w:r w:rsidRPr="00C97FEA">
                        <w:rPr>
                          <w:rFonts w:cs="Calibri"/>
                          <w:b/>
                        </w:rPr>
                        <w:t>ESCALA</w:t>
                      </w:r>
                      <w:r w:rsidRPr="00C97FEA">
                        <w:rPr>
                          <w:rFonts w:cs="Calibri"/>
                          <w:b/>
                          <w:spacing w:val="-2"/>
                        </w:rPr>
                        <w:t xml:space="preserve"> </w:t>
                      </w:r>
                      <w:r w:rsidRPr="00C97FEA">
                        <w:rPr>
                          <w:rFonts w:cs="Calibri"/>
                          <w:b/>
                        </w:rPr>
                        <w:t>DE</w:t>
                      </w:r>
                      <w:r w:rsidRPr="00C97FEA">
                        <w:rPr>
                          <w:rFonts w:cs="Calibri"/>
                          <w:b/>
                          <w:spacing w:val="-7"/>
                        </w:rPr>
                        <w:t xml:space="preserve"> </w:t>
                      </w:r>
                      <w:r w:rsidRPr="00C97FEA">
                        <w:rPr>
                          <w:rFonts w:cs="Calibri"/>
                          <w:b/>
                        </w:rPr>
                        <w:t>EVALUACIÓN</w:t>
                      </w:r>
                      <w:r w:rsidRPr="00C97FEA">
                        <w:rPr>
                          <w:rFonts w:cs="Calibri"/>
                          <w:b/>
                          <w:spacing w:val="-2"/>
                        </w:rPr>
                        <w:t xml:space="preserve"> </w:t>
                      </w:r>
                      <w:r w:rsidRPr="00C97FEA">
                        <w:rPr>
                          <w:rFonts w:cs="Calibri"/>
                          <w:b/>
                        </w:rPr>
                        <w:t>–</w:t>
                      </w:r>
                      <w:r w:rsidRPr="00C97FEA">
                        <w:rPr>
                          <w:rFonts w:cs="Calibri"/>
                          <w:b/>
                          <w:spacing w:val="-4"/>
                        </w:rPr>
                        <w:t xml:space="preserve"> </w:t>
                      </w:r>
                      <w:r w:rsidRPr="00C97FEA">
                        <w:rPr>
                          <w:rFonts w:cs="Calibri"/>
                          <w:b/>
                        </w:rPr>
                        <w:t>TALLER</w:t>
                      </w:r>
                      <w:r w:rsidRPr="00C97FEA">
                        <w:rPr>
                          <w:rFonts w:cs="Calibri"/>
                          <w:b/>
                          <w:spacing w:val="-1"/>
                        </w:rPr>
                        <w:t xml:space="preserve"> </w:t>
                      </w:r>
                      <w:r w:rsidRPr="00C97FEA">
                        <w:rPr>
                          <w:rFonts w:cs="Calibri"/>
                          <w:b/>
                        </w:rPr>
                        <w:t>INTERACTIVO</w:t>
                      </w:r>
                    </w:p>
                  </w:txbxContent>
                </v:textbox>
                <w10:wrap anchorx="margin"/>
              </v:shape>
            </w:pict>
          </mc:Fallback>
        </mc:AlternateContent>
      </w:r>
    </w:p>
    <w:p w14:paraId="11604469" w14:textId="77777777" w:rsidR="00C97FEA" w:rsidRPr="00C97FEA" w:rsidRDefault="00C97FEA" w:rsidP="00C97FEA">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352D3B4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14:ligatures w14:val="none"/>
        </w:rPr>
      </w:pPr>
      <w:r w:rsidRPr="00C97FEA">
        <w:rPr>
          <w:rFonts w:ascii="Calibri" w:eastAsia="Times New Roman" w:hAnsi="Calibri" w:cs="Calibri"/>
          <w:color w:val="0070C0"/>
          <w:kern w:val="0"/>
          <w:lang w:val="es-ES_tradnl" w:eastAsia="es-CR"/>
          <w14:ligatures w14:val="none"/>
        </w:rPr>
        <w:t xml:space="preserve">Un taller es un espacio de producción colaborativa e interactiva. En este caso, se trabajará en un taller por parejas designadas por la persona docente. </w:t>
      </w:r>
      <w:r w:rsidRPr="00C97FEA">
        <w:rPr>
          <w:rFonts w:ascii="Calibri" w:eastAsia="Times New Roman" w:hAnsi="Calibri" w:cs="Arial"/>
          <w:color w:val="0070C0"/>
          <w:kern w:val="0"/>
          <w:lang w:val="es-ES_tradnl"/>
          <w14:ligatures w14:val="none"/>
        </w:rPr>
        <w:t>Se trata de una actividad de redacción de un ensayo y revisión de este por parte de la pareja designada y viceversa, en forma cooperativa.  Se desarrolla en la sesión 3 y tiene un valor de 5%.</w:t>
      </w:r>
    </w:p>
    <w:p w14:paraId="2348B392"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71D9D2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62325C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Calibri" w:eastAsia="Times New Roman" w:hAnsi="Calibri" w:cs="Calibri"/>
          <w:noProof/>
          <w:kern w:val="0"/>
          <w:lang w:val="es-ES_tradnl" w:eastAsia="es-CR"/>
          <w14:ligatures w14:val="none"/>
        </w:rPr>
        <w:drawing>
          <wp:anchor distT="0" distB="0" distL="114300" distR="114300" simplePos="0" relativeHeight="252686336" behindDoc="0" locked="0" layoutInCell="1" allowOverlap="1" wp14:anchorId="69776E7E" wp14:editId="25D6CB64">
            <wp:simplePos x="0" y="0"/>
            <wp:positionH relativeFrom="margin">
              <wp:align>center</wp:align>
            </wp:positionH>
            <wp:positionV relativeFrom="paragraph">
              <wp:posOffset>162878</wp:posOffset>
            </wp:positionV>
            <wp:extent cx="8247380" cy="3011170"/>
            <wp:effectExtent l="0" t="0" r="1270" b="0"/>
            <wp:wrapNone/>
            <wp:docPr id="1505547714" name="Imagen 20"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47714" name="Imagen 20" descr="Interfaz de usuario gráfica, Aplicación, Tabla&#10;&#10;Descripción generada automáticamente"/>
                    <pic:cNvPicPr/>
                  </pic:nvPicPr>
                  <pic:blipFill>
                    <a:blip r:embed="rId27"/>
                    <a:stretch>
                      <a:fillRect/>
                    </a:stretch>
                  </pic:blipFill>
                  <pic:spPr>
                    <a:xfrm>
                      <a:off x="0" y="0"/>
                      <a:ext cx="8247380" cy="3011170"/>
                    </a:xfrm>
                    <a:prstGeom prst="rect">
                      <a:avLst/>
                    </a:prstGeom>
                  </pic:spPr>
                </pic:pic>
              </a:graphicData>
            </a:graphic>
          </wp:anchor>
        </w:drawing>
      </w:r>
    </w:p>
    <w:p w14:paraId="0D6D351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19B49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D64E39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27B9E2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B6EFB8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5BB4878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7C0B1F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679369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330061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467567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B6DA59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8777EA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B43C2B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191905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85C2E4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3693D1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759F552"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12533B1"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B3CCC2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671504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422BF01"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87360" behindDoc="0" locked="0" layoutInCell="1" allowOverlap="1" wp14:anchorId="3C457938" wp14:editId="50483488">
                <wp:simplePos x="0" y="0"/>
                <wp:positionH relativeFrom="margin">
                  <wp:align>center</wp:align>
                </wp:positionH>
                <wp:positionV relativeFrom="paragraph">
                  <wp:posOffset>-38100</wp:posOffset>
                </wp:positionV>
                <wp:extent cx="7675245" cy="365760"/>
                <wp:effectExtent l="0" t="0" r="20955" b="15240"/>
                <wp:wrapNone/>
                <wp:docPr id="1992992308"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5245" cy="36576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B2C0B22" w14:textId="77777777" w:rsidR="00C97FEA" w:rsidRPr="00C97FEA" w:rsidRDefault="00C97FEA" w:rsidP="004C25D2">
                            <w:pPr>
                              <w:spacing w:before="69"/>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5"/>
                              </w:rPr>
                              <w:t xml:space="preserve"> </w:t>
                            </w:r>
                            <w:r w:rsidRPr="00C97FEA">
                              <w:rPr>
                                <w:rFonts w:cs="Calibri"/>
                                <w:b/>
                              </w:rPr>
                              <w:t>EVALUACIÓN</w:t>
                            </w:r>
                            <w:r w:rsidRPr="00C97FEA">
                              <w:rPr>
                                <w:rFonts w:cs="Calibri"/>
                                <w:b/>
                                <w:spacing w:val="-1"/>
                              </w:rPr>
                              <w:t xml:space="preserve"> </w:t>
                            </w:r>
                            <w:r w:rsidRPr="00C97FEA">
                              <w:rPr>
                                <w:rFonts w:cs="Calibri"/>
                                <w:b/>
                              </w:rPr>
                              <w:t>–</w:t>
                            </w:r>
                            <w:r w:rsidRPr="00C97FEA">
                              <w:rPr>
                                <w:rFonts w:cs="Calibri"/>
                                <w:b/>
                                <w:spacing w:val="-2"/>
                              </w:rPr>
                              <w:t xml:space="preserve"> </w:t>
                            </w:r>
                            <w:r w:rsidRPr="00C97FEA">
                              <w:rPr>
                                <w:rFonts w:cs="Calibri"/>
                                <w:b/>
                              </w:rPr>
                              <w:t>PRIMER</w:t>
                            </w:r>
                            <w:r w:rsidRPr="00C97FEA">
                              <w:rPr>
                                <w:rFonts w:cs="Calibri"/>
                                <w:b/>
                                <w:spacing w:val="1"/>
                              </w:rPr>
                              <w:t xml:space="preserve"> </w:t>
                            </w:r>
                            <w:r w:rsidRPr="00C97FEA">
                              <w:rPr>
                                <w:rFonts w:cs="Calibri"/>
                                <w:b/>
                              </w:rPr>
                              <w:t>AVANCE</w:t>
                            </w:r>
                            <w:r w:rsidRPr="00C97FEA">
                              <w:rPr>
                                <w:rFonts w:cs="Calibri"/>
                                <w:b/>
                                <w:spacing w:val="-6"/>
                              </w:rPr>
                              <w:t xml:space="preserve"> </w:t>
                            </w:r>
                            <w:r w:rsidRPr="00C97FEA">
                              <w:rPr>
                                <w:rFonts w:cs="Calibri"/>
                                <w:b/>
                              </w:rPr>
                              <w:t>DE</w:t>
                            </w:r>
                            <w:r w:rsidRPr="00C97FEA">
                              <w:rPr>
                                <w:rFonts w:cs="Calibri"/>
                                <w:b/>
                                <w:spacing w:val="-5"/>
                              </w:rPr>
                              <w:t xml:space="preserve"> </w:t>
                            </w:r>
                            <w:r w:rsidRPr="00C97FEA">
                              <w:rPr>
                                <w:rFonts w:cs="Calibri"/>
                                <w:b/>
                              </w:rPr>
                              <w:t>LA</w:t>
                            </w:r>
                            <w:r w:rsidRPr="00C97FEA">
                              <w:rPr>
                                <w:rFonts w:cs="Calibri"/>
                                <w:b/>
                                <w:spacing w:val="-4"/>
                              </w:rPr>
                              <w:t xml:space="preserve"> </w:t>
                            </w:r>
                            <w:r w:rsidRPr="00C97FEA">
                              <w:rPr>
                                <w:rFonts w:cs="Calibri"/>
                                <w:b/>
                              </w:rPr>
                              <w:t>REVISIÓN</w:t>
                            </w:r>
                            <w:r w:rsidRPr="00C97FEA">
                              <w:rPr>
                                <w:rFonts w:cs="Calibri"/>
                                <w:b/>
                                <w:spacing w:val="-4"/>
                              </w:rPr>
                              <w:t xml:space="preserve"> </w:t>
                            </w:r>
                            <w:r w:rsidRPr="00C97FEA">
                              <w:rPr>
                                <w:rFonts w:cs="Calibri"/>
                                <w:b/>
                              </w:rPr>
                              <w:t>DE</w:t>
                            </w:r>
                            <w:r w:rsidRPr="00C97FEA">
                              <w:rPr>
                                <w:rFonts w:cs="Calibri"/>
                                <w:b/>
                                <w:spacing w:val="-5"/>
                              </w:rPr>
                              <w:t xml:space="preserve"> </w:t>
                            </w:r>
                            <w:r w:rsidRPr="00C97FEA">
                              <w:rPr>
                                <w:rFonts w:cs="Calibri"/>
                                <w:b/>
                              </w:rPr>
                              <w:t>UN</w:t>
                            </w:r>
                            <w:r w:rsidRPr="00C97FEA">
                              <w:rPr>
                                <w:rFonts w:cs="Calibri"/>
                                <w:b/>
                                <w:spacing w:val="-3"/>
                              </w:rPr>
                              <w:t xml:space="preserve"> </w:t>
                            </w:r>
                            <w:r w:rsidRPr="00C97FEA">
                              <w:rPr>
                                <w:rFonts w:cs="Calibri"/>
                                <w:b/>
                              </w:rPr>
                              <w:t>DOCUMENTO</w:t>
                            </w:r>
                            <w:r w:rsidRPr="00C97FEA">
                              <w:rPr>
                                <w:rFonts w:cs="Calibri"/>
                                <w:b/>
                                <w:spacing w:val="-2"/>
                              </w:rPr>
                              <w:t xml:space="preserve"> </w:t>
                            </w:r>
                            <w:r w:rsidRPr="00C97FEA">
                              <w:rPr>
                                <w:rFonts w:cs="Calibri"/>
                                <w:b/>
                              </w:rPr>
                              <w:t>ACADÉMICO</w:t>
                            </w:r>
                          </w:p>
                        </w:txbxContent>
                      </wps:txbx>
                      <wps:bodyPr rot="0" vert="horz" wrap="square" lIns="0" tIns="0" rIns="0" bIns="0" anchor="t" anchorCtr="0" upright="1">
                        <a:noAutofit/>
                      </wps:bodyPr>
                    </wps:wsp>
                  </a:graphicData>
                </a:graphic>
              </wp:anchor>
            </w:drawing>
          </mc:Choice>
          <mc:Fallback>
            <w:pict>
              <v:shape w14:anchorId="3C457938" id="Cuadro de texto 21" o:spid="_x0000_s1037" type="#_x0000_t202" style="position:absolute;left:0;text-align:left;margin-left:0;margin-top:-3pt;width:604.35pt;height:28.8pt;z-index:252687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" filled="f" strokeweight=".72pt">
                <v:textbox inset="0,0,0,0">
                  <w:txbxContent>
                    <w:p w14:paraId="4B2C0B22" w14:textId="77777777" w:rsidR="00C97FEA" w:rsidRPr="00C97FEA" w:rsidRDefault="00C97FEA" w:rsidP="004C25D2">
                      <w:pPr>
                        <w:spacing w:before="69"/>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5"/>
                        </w:rPr>
                        <w:t xml:space="preserve"> </w:t>
                      </w:r>
                      <w:r w:rsidRPr="00C97FEA">
                        <w:rPr>
                          <w:rFonts w:cs="Calibri"/>
                          <w:b/>
                        </w:rPr>
                        <w:t>EVALUACIÓN</w:t>
                      </w:r>
                      <w:r w:rsidRPr="00C97FEA">
                        <w:rPr>
                          <w:rFonts w:cs="Calibri"/>
                          <w:b/>
                          <w:spacing w:val="-1"/>
                        </w:rPr>
                        <w:t xml:space="preserve"> </w:t>
                      </w:r>
                      <w:r w:rsidRPr="00C97FEA">
                        <w:rPr>
                          <w:rFonts w:cs="Calibri"/>
                          <w:b/>
                        </w:rPr>
                        <w:t>–</w:t>
                      </w:r>
                      <w:r w:rsidRPr="00C97FEA">
                        <w:rPr>
                          <w:rFonts w:cs="Calibri"/>
                          <w:b/>
                          <w:spacing w:val="-2"/>
                        </w:rPr>
                        <w:t xml:space="preserve"> </w:t>
                      </w:r>
                      <w:r w:rsidRPr="00C97FEA">
                        <w:rPr>
                          <w:rFonts w:cs="Calibri"/>
                          <w:b/>
                        </w:rPr>
                        <w:t>PRIMER</w:t>
                      </w:r>
                      <w:r w:rsidRPr="00C97FEA">
                        <w:rPr>
                          <w:rFonts w:cs="Calibri"/>
                          <w:b/>
                          <w:spacing w:val="1"/>
                        </w:rPr>
                        <w:t xml:space="preserve"> </w:t>
                      </w:r>
                      <w:r w:rsidRPr="00C97FEA">
                        <w:rPr>
                          <w:rFonts w:cs="Calibri"/>
                          <w:b/>
                        </w:rPr>
                        <w:t>AVANCE</w:t>
                      </w:r>
                      <w:r w:rsidRPr="00C97FEA">
                        <w:rPr>
                          <w:rFonts w:cs="Calibri"/>
                          <w:b/>
                          <w:spacing w:val="-6"/>
                        </w:rPr>
                        <w:t xml:space="preserve"> </w:t>
                      </w:r>
                      <w:r w:rsidRPr="00C97FEA">
                        <w:rPr>
                          <w:rFonts w:cs="Calibri"/>
                          <w:b/>
                        </w:rPr>
                        <w:t>DE</w:t>
                      </w:r>
                      <w:r w:rsidRPr="00C97FEA">
                        <w:rPr>
                          <w:rFonts w:cs="Calibri"/>
                          <w:b/>
                          <w:spacing w:val="-5"/>
                        </w:rPr>
                        <w:t xml:space="preserve"> </w:t>
                      </w:r>
                      <w:r w:rsidRPr="00C97FEA">
                        <w:rPr>
                          <w:rFonts w:cs="Calibri"/>
                          <w:b/>
                        </w:rPr>
                        <w:t>LA</w:t>
                      </w:r>
                      <w:r w:rsidRPr="00C97FEA">
                        <w:rPr>
                          <w:rFonts w:cs="Calibri"/>
                          <w:b/>
                          <w:spacing w:val="-4"/>
                        </w:rPr>
                        <w:t xml:space="preserve"> </w:t>
                      </w:r>
                      <w:r w:rsidRPr="00C97FEA">
                        <w:rPr>
                          <w:rFonts w:cs="Calibri"/>
                          <w:b/>
                        </w:rPr>
                        <w:t>REVISIÓN</w:t>
                      </w:r>
                      <w:r w:rsidRPr="00C97FEA">
                        <w:rPr>
                          <w:rFonts w:cs="Calibri"/>
                          <w:b/>
                          <w:spacing w:val="-4"/>
                        </w:rPr>
                        <w:t xml:space="preserve"> </w:t>
                      </w:r>
                      <w:r w:rsidRPr="00C97FEA">
                        <w:rPr>
                          <w:rFonts w:cs="Calibri"/>
                          <w:b/>
                        </w:rPr>
                        <w:t>DE</w:t>
                      </w:r>
                      <w:r w:rsidRPr="00C97FEA">
                        <w:rPr>
                          <w:rFonts w:cs="Calibri"/>
                          <w:b/>
                          <w:spacing w:val="-5"/>
                        </w:rPr>
                        <w:t xml:space="preserve"> </w:t>
                      </w:r>
                      <w:r w:rsidRPr="00C97FEA">
                        <w:rPr>
                          <w:rFonts w:cs="Calibri"/>
                          <w:b/>
                        </w:rPr>
                        <w:t>UN</w:t>
                      </w:r>
                      <w:r w:rsidRPr="00C97FEA">
                        <w:rPr>
                          <w:rFonts w:cs="Calibri"/>
                          <w:b/>
                          <w:spacing w:val="-3"/>
                        </w:rPr>
                        <w:t xml:space="preserve"> </w:t>
                      </w:r>
                      <w:r w:rsidRPr="00C97FEA">
                        <w:rPr>
                          <w:rFonts w:cs="Calibri"/>
                          <w:b/>
                        </w:rPr>
                        <w:t>DOCUMENTO</w:t>
                      </w:r>
                      <w:r w:rsidRPr="00C97FEA">
                        <w:rPr>
                          <w:rFonts w:cs="Calibri"/>
                          <w:b/>
                          <w:spacing w:val="-2"/>
                        </w:rPr>
                        <w:t xml:space="preserve"> </w:t>
                      </w:r>
                      <w:r w:rsidRPr="00C97FEA">
                        <w:rPr>
                          <w:rFonts w:cs="Calibri"/>
                          <w:b/>
                        </w:rPr>
                        <w:t>ACADÉMICO</w:t>
                      </w:r>
                    </w:p>
                  </w:txbxContent>
                </v:textbox>
                <w10:wrap anchorx="margin"/>
              </v:shape>
            </w:pict>
          </mc:Fallback>
        </mc:AlternateContent>
      </w:r>
    </w:p>
    <w:p w14:paraId="3406527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197906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14:ligatures w14:val="none"/>
        </w:rPr>
      </w:pPr>
      <w:r w:rsidRPr="00C97FEA">
        <w:rPr>
          <w:rFonts w:ascii="Calibri" w:eastAsia="Times New Roman" w:hAnsi="Calibri" w:cs="Arial"/>
          <w:color w:val="0070C0"/>
          <w:kern w:val="0"/>
          <w:lang w:val="es-ES_tradnl"/>
          <w14:ligatures w14:val="none"/>
        </w:rPr>
        <w:t>Esta estrategia de aprendizaje se realiza con un trabajo previamente escrito por las personas estudiantes para otro curso. Se desarrolla desde la sesión 6 hasta la 14 de la siguiente forma: Sesión 6 (inicia la revisión). Sesión 10 (entrega primer avance). Tiene un valor de 10%. Sesión 14 (entrega segundo avance). Tiene un valor de 10%.</w:t>
      </w:r>
    </w:p>
    <w:p w14:paraId="5E8B971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C2FEE8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Calibri" w:eastAsia="Times New Roman" w:hAnsi="Calibri" w:cs="Arial"/>
          <w:noProof/>
          <w:color w:val="000000"/>
          <w:kern w:val="0"/>
          <w:lang w:val="es-ES_tradnl"/>
          <w14:ligatures w14:val="none"/>
        </w:rPr>
        <w:drawing>
          <wp:anchor distT="0" distB="0" distL="114300" distR="114300" simplePos="0" relativeHeight="252688384" behindDoc="0" locked="0" layoutInCell="1" allowOverlap="1" wp14:anchorId="7D14216A" wp14:editId="0852E1D0">
            <wp:simplePos x="0" y="0"/>
            <wp:positionH relativeFrom="margin">
              <wp:align>center</wp:align>
            </wp:positionH>
            <wp:positionV relativeFrom="paragraph">
              <wp:posOffset>52070</wp:posOffset>
            </wp:positionV>
            <wp:extent cx="8247380" cy="5449570"/>
            <wp:effectExtent l="0" t="0" r="1270" b="0"/>
            <wp:wrapNone/>
            <wp:docPr id="390648056" name="Imagen 2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648056" name="Imagen 22" descr="Tabla&#10;&#10;Descripción generada automáticamente"/>
                    <pic:cNvPicPr/>
                  </pic:nvPicPr>
                  <pic:blipFill>
                    <a:blip r:embed="rId28"/>
                    <a:stretch>
                      <a:fillRect/>
                    </a:stretch>
                  </pic:blipFill>
                  <pic:spPr>
                    <a:xfrm>
                      <a:off x="0" y="0"/>
                      <a:ext cx="8247380" cy="5449570"/>
                    </a:xfrm>
                    <a:prstGeom prst="rect">
                      <a:avLst/>
                    </a:prstGeom>
                  </pic:spPr>
                </pic:pic>
              </a:graphicData>
            </a:graphic>
          </wp:anchor>
        </w:drawing>
      </w:r>
    </w:p>
    <w:p w14:paraId="45DF5C9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4F087C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A96364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FAD698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AB7610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5812075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46B128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570FBB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A7550A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1A4FBB3"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158EFB8"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BF1630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671B13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2A7FCA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19511B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ED5CBBB"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AF5C9E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250992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911854E"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5033C41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CF6C6D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523775E1"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89408" behindDoc="0" locked="0" layoutInCell="1" allowOverlap="1" wp14:anchorId="6EAD973E" wp14:editId="14900596">
                <wp:simplePos x="0" y="0"/>
                <wp:positionH relativeFrom="margin">
                  <wp:align>center</wp:align>
                </wp:positionH>
                <wp:positionV relativeFrom="paragraph">
                  <wp:posOffset>92710</wp:posOffset>
                </wp:positionV>
                <wp:extent cx="7675245" cy="365760"/>
                <wp:effectExtent l="0" t="0" r="20955" b="15240"/>
                <wp:wrapNone/>
                <wp:docPr id="1410064779" name="Cuadro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5245" cy="36576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3B3E546" w14:textId="77777777" w:rsidR="00C97FEA" w:rsidRPr="00C97FEA" w:rsidRDefault="00C97FEA" w:rsidP="004C25D2">
                            <w:pPr>
                              <w:spacing w:before="69"/>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 –</w:t>
                            </w:r>
                            <w:r w:rsidRPr="00C97FEA">
                              <w:rPr>
                                <w:rFonts w:cs="Calibri"/>
                                <w:b/>
                                <w:spacing w:val="-3"/>
                              </w:rPr>
                              <w:t xml:space="preserve"> </w:t>
                            </w:r>
                            <w:r w:rsidRPr="00C97FEA">
                              <w:rPr>
                                <w:rFonts w:cs="Calibri"/>
                                <w:b/>
                              </w:rPr>
                              <w:t>SEGUNDO</w:t>
                            </w:r>
                            <w:r w:rsidRPr="00C97FEA">
                              <w:rPr>
                                <w:rFonts w:cs="Calibri"/>
                                <w:b/>
                                <w:spacing w:val="-2"/>
                              </w:rPr>
                              <w:t xml:space="preserve"> </w:t>
                            </w:r>
                            <w:r w:rsidRPr="00C97FEA">
                              <w:rPr>
                                <w:rFonts w:cs="Calibri"/>
                                <w:b/>
                              </w:rPr>
                              <w:t>AVANCE</w:t>
                            </w:r>
                            <w:r w:rsidRPr="00C97FEA">
                              <w:rPr>
                                <w:rFonts w:cs="Calibri"/>
                                <w:b/>
                                <w:spacing w:val="-6"/>
                              </w:rPr>
                              <w:t xml:space="preserve"> </w:t>
                            </w:r>
                            <w:r w:rsidRPr="00C97FEA">
                              <w:rPr>
                                <w:rFonts w:cs="Calibri"/>
                                <w:b/>
                              </w:rPr>
                              <w:t>DE LA</w:t>
                            </w:r>
                            <w:r w:rsidRPr="00C97FEA">
                              <w:rPr>
                                <w:rFonts w:cs="Calibri"/>
                                <w:b/>
                                <w:spacing w:val="-5"/>
                              </w:rPr>
                              <w:t xml:space="preserve"> </w:t>
                            </w:r>
                            <w:r w:rsidRPr="00C97FEA">
                              <w:rPr>
                                <w:rFonts w:cs="Calibri"/>
                                <w:b/>
                              </w:rPr>
                              <w:t>REVISIÓN</w:t>
                            </w:r>
                            <w:r w:rsidRPr="00C97FEA">
                              <w:rPr>
                                <w:rFonts w:cs="Calibri"/>
                                <w:b/>
                                <w:spacing w:val="-4"/>
                              </w:rPr>
                              <w:t xml:space="preserve"> </w:t>
                            </w:r>
                            <w:r w:rsidRPr="00C97FEA">
                              <w:rPr>
                                <w:rFonts w:cs="Calibri"/>
                                <w:b/>
                              </w:rPr>
                              <w:t>DE</w:t>
                            </w:r>
                            <w:r w:rsidRPr="00C97FEA">
                              <w:rPr>
                                <w:rFonts w:cs="Calibri"/>
                                <w:b/>
                                <w:spacing w:val="-5"/>
                              </w:rPr>
                              <w:t xml:space="preserve"> </w:t>
                            </w:r>
                            <w:r w:rsidRPr="00C97FEA">
                              <w:rPr>
                                <w:rFonts w:cs="Calibri"/>
                                <w:b/>
                              </w:rPr>
                              <w:t>UN</w:t>
                            </w:r>
                            <w:r w:rsidRPr="00C97FEA">
                              <w:rPr>
                                <w:rFonts w:cs="Calibri"/>
                                <w:b/>
                                <w:spacing w:val="-4"/>
                              </w:rPr>
                              <w:t xml:space="preserve"> </w:t>
                            </w:r>
                            <w:r w:rsidRPr="00C97FEA">
                              <w:rPr>
                                <w:rFonts w:cs="Calibri"/>
                                <w:b/>
                              </w:rPr>
                              <w:t>DOCUMENTO</w:t>
                            </w:r>
                            <w:r w:rsidRPr="00C97FEA">
                              <w:rPr>
                                <w:rFonts w:cs="Calibri"/>
                                <w:b/>
                                <w:spacing w:val="-2"/>
                              </w:rPr>
                              <w:t xml:space="preserve"> </w:t>
                            </w:r>
                            <w:r w:rsidRPr="00C97FEA">
                              <w:rPr>
                                <w:rFonts w:cs="Calibri"/>
                                <w:b/>
                              </w:rPr>
                              <w:t>ACADÉMICO</w:t>
                            </w:r>
                          </w:p>
                        </w:txbxContent>
                      </wps:txbx>
                      <wps:bodyPr rot="0" vert="horz" wrap="square" lIns="0" tIns="0" rIns="0" bIns="0" anchor="t" anchorCtr="0" upright="1">
                        <a:noAutofit/>
                      </wps:bodyPr>
                    </wps:wsp>
                  </a:graphicData>
                </a:graphic>
              </wp:anchor>
            </w:drawing>
          </mc:Choice>
          <mc:Fallback>
            <w:pict>
              <v:shape w14:anchorId="6EAD973E" id="Cuadro de texto 23" o:spid="_x0000_s1038" type="#_x0000_t202" style="position:absolute;left:0;text-align:left;margin-left:0;margin-top:7.3pt;width:604.35pt;height:28.8pt;z-index:2526894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" filled="f" strokeweight=".72pt">
                <v:textbox inset="0,0,0,0">
                  <w:txbxContent>
                    <w:p w14:paraId="73B3E546" w14:textId="77777777" w:rsidR="00C97FEA" w:rsidRPr="00C97FEA" w:rsidRDefault="00C97FEA" w:rsidP="004C25D2">
                      <w:pPr>
                        <w:spacing w:before="69"/>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 –</w:t>
                      </w:r>
                      <w:r w:rsidRPr="00C97FEA">
                        <w:rPr>
                          <w:rFonts w:cs="Calibri"/>
                          <w:b/>
                          <w:spacing w:val="-3"/>
                        </w:rPr>
                        <w:t xml:space="preserve"> </w:t>
                      </w:r>
                      <w:r w:rsidRPr="00C97FEA">
                        <w:rPr>
                          <w:rFonts w:cs="Calibri"/>
                          <w:b/>
                        </w:rPr>
                        <w:t>SEGUNDO</w:t>
                      </w:r>
                      <w:r w:rsidRPr="00C97FEA">
                        <w:rPr>
                          <w:rFonts w:cs="Calibri"/>
                          <w:b/>
                          <w:spacing w:val="-2"/>
                        </w:rPr>
                        <w:t xml:space="preserve"> </w:t>
                      </w:r>
                      <w:r w:rsidRPr="00C97FEA">
                        <w:rPr>
                          <w:rFonts w:cs="Calibri"/>
                          <w:b/>
                        </w:rPr>
                        <w:t>AVANCE</w:t>
                      </w:r>
                      <w:r w:rsidRPr="00C97FEA">
                        <w:rPr>
                          <w:rFonts w:cs="Calibri"/>
                          <w:b/>
                          <w:spacing w:val="-6"/>
                        </w:rPr>
                        <w:t xml:space="preserve"> </w:t>
                      </w:r>
                      <w:r w:rsidRPr="00C97FEA">
                        <w:rPr>
                          <w:rFonts w:cs="Calibri"/>
                          <w:b/>
                        </w:rPr>
                        <w:t>DE LA</w:t>
                      </w:r>
                      <w:r w:rsidRPr="00C97FEA">
                        <w:rPr>
                          <w:rFonts w:cs="Calibri"/>
                          <w:b/>
                          <w:spacing w:val="-5"/>
                        </w:rPr>
                        <w:t xml:space="preserve"> </w:t>
                      </w:r>
                      <w:r w:rsidRPr="00C97FEA">
                        <w:rPr>
                          <w:rFonts w:cs="Calibri"/>
                          <w:b/>
                        </w:rPr>
                        <w:t>REVISIÓN</w:t>
                      </w:r>
                      <w:r w:rsidRPr="00C97FEA">
                        <w:rPr>
                          <w:rFonts w:cs="Calibri"/>
                          <w:b/>
                          <w:spacing w:val="-4"/>
                        </w:rPr>
                        <w:t xml:space="preserve"> </w:t>
                      </w:r>
                      <w:r w:rsidRPr="00C97FEA">
                        <w:rPr>
                          <w:rFonts w:cs="Calibri"/>
                          <w:b/>
                        </w:rPr>
                        <w:t>DE</w:t>
                      </w:r>
                      <w:r w:rsidRPr="00C97FEA">
                        <w:rPr>
                          <w:rFonts w:cs="Calibri"/>
                          <w:b/>
                          <w:spacing w:val="-5"/>
                        </w:rPr>
                        <w:t xml:space="preserve"> </w:t>
                      </w:r>
                      <w:r w:rsidRPr="00C97FEA">
                        <w:rPr>
                          <w:rFonts w:cs="Calibri"/>
                          <w:b/>
                        </w:rPr>
                        <w:t>UN</w:t>
                      </w:r>
                      <w:r w:rsidRPr="00C97FEA">
                        <w:rPr>
                          <w:rFonts w:cs="Calibri"/>
                          <w:b/>
                          <w:spacing w:val="-4"/>
                        </w:rPr>
                        <w:t xml:space="preserve"> </w:t>
                      </w:r>
                      <w:r w:rsidRPr="00C97FEA">
                        <w:rPr>
                          <w:rFonts w:cs="Calibri"/>
                          <w:b/>
                        </w:rPr>
                        <w:t>DOCUMENTO</w:t>
                      </w:r>
                      <w:r w:rsidRPr="00C97FEA">
                        <w:rPr>
                          <w:rFonts w:cs="Calibri"/>
                          <w:b/>
                          <w:spacing w:val="-2"/>
                        </w:rPr>
                        <w:t xml:space="preserve"> </w:t>
                      </w:r>
                      <w:r w:rsidRPr="00C97FEA">
                        <w:rPr>
                          <w:rFonts w:cs="Calibri"/>
                          <w:b/>
                        </w:rPr>
                        <w:t>ACADÉMICO</w:t>
                      </w:r>
                    </w:p>
                  </w:txbxContent>
                </v:textbox>
                <w10:wrap anchorx="margin"/>
              </v:shape>
            </w:pict>
          </mc:Fallback>
        </mc:AlternateContent>
      </w:r>
    </w:p>
    <w:p w14:paraId="34B22D1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2791BA8"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14:ligatures w14:val="none"/>
        </w:rPr>
      </w:pPr>
    </w:p>
    <w:p w14:paraId="6B26D45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Calibri" w:eastAsia="Times New Roman" w:hAnsi="Calibri" w:cs="Arial"/>
          <w:color w:val="0070C0"/>
          <w:kern w:val="0"/>
          <w:lang w:val="es-ES_tradnl"/>
          <w14:ligatures w14:val="none"/>
        </w:rPr>
        <w:t>Esta estrategia de aprendizaje se realiza con un trabajo previamente escrito por las personas estudiantes para otro curso. Se desarrolla desde la sesión 6 hasta la 14 de la siguiente forma: Sesión 6 (inicia la revisión). Sesión 10 (entrega primer avance). Tiene un valor de 10%. Sesión 14 (entrega segundo avance). Tiene un valor de 10%.</w:t>
      </w:r>
    </w:p>
    <w:p w14:paraId="4BAE204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Calibri" w:eastAsia="Times New Roman" w:hAnsi="Calibri" w:cs="Arial"/>
          <w:noProof/>
          <w:color w:val="000000"/>
          <w:kern w:val="0"/>
          <w:lang w:val="es-ES_tradnl"/>
          <w14:ligatures w14:val="none"/>
        </w:rPr>
        <w:drawing>
          <wp:anchor distT="0" distB="0" distL="114300" distR="114300" simplePos="0" relativeHeight="252690432" behindDoc="0" locked="0" layoutInCell="1" allowOverlap="1" wp14:anchorId="7432F9DF" wp14:editId="62A8CA8F">
            <wp:simplePos x="0" y="0"/>
            <wp:positionH relativeFrom="margin">
              <wp:align>center</wp:align>
            </wp:positionH>
            <wp:positionV relativeFrom="paragraph">
              <wp:posOffset>143192</wp:posOffset>
            </wp:positionV>
            <wp:extent cx="8260080" cy="4626610"/>
            <wp:effectExtent l="0" t="0" r="7620" b="2540"/>
            <wp:wrapNone/>
            <wp:docPr id="1051795146" name="Imagen 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95146" name="Imagen 24" descr="Interfaz de usuario gráfica, Aplicación&#10;&#10;Descripción generada automáticamente"/>
                    <pic:cNvPicPr/>
                  </pic:nvPicPr>
                  <pic:blipFill>
                    <a:blip r:embed="rId29"/>
                    <a:stretch>
                      <a:fillRect/>
                    </a:stretch>
                  </pic:blipFill>
                  <pic:spPr>
                    <a:xfrm>
                      <a:off x="0" y="0"/>
                      <a:ext cx="8260080" cy="4626610"/>
                    </a:xfrm>
                    <a:prstGeom prst="rect">
                      <a:avLst/>
                    </a:prstGeom>
                  </pic:spPr>
                </pic:pic>
              </a:graphicData>
            </a:graphic>
          </wp:anchor>
        </w:drawing>
      </w:r>
    </w:p>
    <w:p w14:paraId="7218D64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DE21C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671A34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7092DE78"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4D6D9A7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0CB2D8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D9E88A3"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5EC7A9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C2863CA"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489058D"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7A6C728"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4330BF5"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55E7DA4"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506A292"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A97720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5EFEA98C"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6ABB3760"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B483DB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0D742EC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3D347DD0"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21CB5A6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1157B99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691456" behindDoc="0" locked="0" layoutInCell="1" allowOverlap="1" wp14:anchorId="006FB52E" wp14:editId="58866865">
                <wp:simplePos x="0" y="0"/>
                <wp:positionH relativeFrom="margin">
                  <wp:align>center</wp:align>
                </wp:positionH>
                <wp:positionV relativeFrom="paragraph">
                  <wp:posOffset>-20320</wp:posOffset>
                </wp:positionV>
                <wp:extent cx="5913120" cy="295910"/>
                <wp:effectExtent l="0" t="0" r="11430" b="27940"/>
                <wp:wrapNone/>
                <wp:docPr id="93768492" name="Cuadro de texto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3120" cy="29591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76FAB09" w14:textId="77777777" w:rsidR="00C97FEA" w:rsidRPr="00C97FEA" w:rsidRDefault="00C97FEA" w:rsidP="004C25D2">
                            <w:pPr>
                              <w:spacing w:before="69"/>
                              <w:ind w:right="80"/>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1"/>
                              </w:rPr>
                              <w:t xml:space="preserve"> </w:t>
                            </w:r>
                            <w:r w:rsidRPr="00C97FEA">
                              <w:rPr>
                                <w:rFonts w:cs="Calibri"/>
                                <w:b/>
                              </w:rPr>
                              <w:t>–</w:t>
                            </w:r>
                            <w:r w:rsidRPr="00C97FEA">
                              <w:rPr>
                                <w:rFonts w:cs="Calibri"/>
                                <w:b/>
                                <w:spacing w:val="-2"/>
                              </w:rPr>
                              <w:t xml:space="preserve"> </w:t>
                            </w:r>
                            <w:r w:rsidRPr="00C97FEA">
                              <w:rPr>
                                <w:rFonts w:cs="Calibri"/>
                                <w:b/>
                              </w:rPr>
                              <w:t>EVALUACIÓN FINAL</w:t>
                            </w:r>
                          </w:p>
                        </w:txbxContent>
                      </wps:txbx>
                      <wps:bodyPr rot="0" vert="horz" wrap="square" lIns="0" tIns="0" rIns="0" bIns="0" anchor="t" anchorCtr="0" upright="1">
                        <a:noAutofit/>
                      </wps:bodyPr>
                    </wps:wsp>
                  </a:graphicData>
                </a:graphic>
              </wp:anchor>
            </w:drawing>
          </mc:Choice>
          <mc:Fallback>
            <w:pict>
              <v:shape w14:anchorId="006FB52E" id="Cuadro de texto 25" o:spid="_x0000_s1039" type="#_x0000_t202" style="position:absolute;left:0;text-align:left;margin-left:0;margin-top:-1.6pt;width:465.6pt;height:23.3pt;z-index:2526914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" filled="f" strokeweight=".72pt">
                <v:textbox inset="0,0,0,0">
                  <w:txbxContent>
                    <w:p w14:paraId="576FAB09" w14:textId="77777777" w:rsidR="00C97FEA" w:rsidRPr="00C97FEA" w:rsidRDefault="00C97FEA" w:rsidP="004C25D2">
                      <w:pPr>
                        <w:spacing w:before="69"/>
                        <w:ind w:right="80"/>
                        <w:jc w:val="center"/>
                        <w:rPr>
                          <w:rFonts w:cs="Calibri"/>
                          <w:b/>
                        </w:rPr>
                      </w:pPr>
                      <w:r w:rsidRPr="00C97FEA">
                        <w:rPr>
                          <w:rFonts w:cs="Calibri"/>
                          <w:b/>
                        </w:rPr>
                        <w:t>ESCALA</w:t>
                      </w:r>
                      <w:r w:rsidRPr="00C97FEA">
                        <w:rPr>
                          <w:rFonts w:cs="Calibri"/>
                          <w:b/>
                          <w:spacing w:val="-1"/>
                        </w:rPr>
                        <w:t xml:space="preserve"> </w:t>
                      </w:r>
                      <w:r w:rsidRPr="00C97FEA">
                        <w:rPr>
                          <w:rFonts w:cs="Calibri"/>
                          <w:b/>
                        </w:rPr>
                        <w:t>DE</w:t>
                      </w:r>
                      <w:r w:rsidRPr="00C97FEA">
                        <w:rPr>
                          <w:rFonts w:cs="Calibri"/>
                          <w:b/>
                          <w:spacing w:val="-6"/>
                        </w:rPr>
                        <w:t xml:space="preserve"> </w:t>
                      </w:r>
                      <w:r w:rsidRPr="00C97FEA">
                        <w:rPr>
                          <w:rFonts w:cs="Calibri"/>
                          <w:b/>
                        </w:rPr>
                        <w:t>EVALUACIÓN</w:t>
                      </w:r>
                      <w:r w:rsidRPr="00C97FEA">
                        <w:rPr>
                          <w:rFonts w:cs="Calibri"/>
                          <w:b/>
                          <w:spacing w:val="-1"/>
                        </w:rPr>
                        <w:t xml:space="preserve"> </w:t>
                      </w:r>
                      <w:r w:rsidRPr="00C97FEA">
                        <w:rPr>
                          <w:rFonts w:cs="Calibri"/>
                          <w:b/>
                        </w:rPr>
                        <w:t>–</w:t>
                      </w:r>
                      <w:r w:rsidRPr="00C97FEA">
                        <w:rPr>
                          <w:rFonts w:cs="Calibri"/>
                          <w:b/>
                          <w:spacing w:val="-2"/>
                        </w:rPr>
                        <w:t xml:space="preserve"> </w:t>
                      </w:r>
                      <w:r w:rsidRPr="00C97FEA">
                        <w:rPr>
                          <w:rFonts w:cs="Calibri"/>
                          <w:b/>
                        </w:rPr>
                        <w:t>EVALUACIÓN FINAL</w:t>
                      </w:r>
                    </w:p>
                  </w:txbxContent>
                </v:textbox>
                <w10:wrap anchorx="margin"/>
              </v:shape>
            </w:pict>
          </mc:Fallback>
        </mc:AlternateContent>
      </w:r>
    </w:p>
    <w:p w14:paraId="6D78D5EF"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p>
    <w:p w14:paraId="4FB43579"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14:ligatures w14:val="none"/>
        </w:rPr>
      </w:pPr>
      <w:r w:rsidRPr="00C97FEA">
        <w:rPr>
          <w:rFonts w:ascii="Calibri" w:eastAsia="Times New Roman" w:hAnsi="Calibri" w:cs="Arial"/>
          <w:color w:val="0070C0"/>
          <w:kern w:val="0"/>
          <w:lang w:val="es-ES_tradnl"/>
          <w14:ligatures w14:val="none"/>
        </w:rPr>
        <w:t>La evaluación final consiste en la corrección de un texto en los aspectos ortográficos, gramaticales y de redacción. Se realiza en la sesión 15 y tiene un valor de 10%.</w:t>
      </w:r>
    </w:p>
    <w:p w14:paraId="4F744257"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Arial"/>
          <w:color w:val="000000"/>
          <w:kern w:val="0"/>
          <w:lang w:val="es-ES_tradnl"/>
          <w14:ligatures w14:val="none"/>
        </w:rPr>
      </w:pPr>
      <w:r w:rsidRPr="00C97FEA">
        <w:rPr>
          <w:rFonts w:ascii="Calibri" w:eastAsia="Times New Roman" w:hAnsi="Calibri" w:cs="Arial"/>
          <w:noProof/>
          <w:color w:val="000000"/>
          <w:kern w:val="0"/>
          <w:lang w:val="es-ES_tradnl"/>
          <w14:ligatures w14:val="none"/>
        </w:rPr>
        <w:drawing>
          <wp:anchor distT="0" distB="0" distL="114300" distR="114300" simplePos="0" relativeHeight="252692480" behindDoc="0" locked="0" layoutInCell="1" allowOverlap="1" wp14:anchorId="375FDDDC" wp14:editId="73CF06D4">
            <wp:simplePos x="0" y="0"/>
            <wp:positionH relativeFrom="margin">
              <wp:align>center</wp:align>
            </wp:positionH>
            <wp:positionV relativeFrom="paragraph">
              <wp:posOffset>330835</wp:posOffset>
            </wp:positionV>
            <wp:extent cx="8186928" cy="5455920"/>
            <wp:effectExtent l="0" t="0" r="5080" b="0"/>
            <wp:wrapNone/>
            <wp:docPr id="1684497831" name="Imagen 2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97831" name="Imagen 26" descr="Tabla&#10;&#10;Descripción generada automáticamente"/>
                    <pic:cNvPicPr/>
                  </pic:nvPicPr>
                  <pic:blipFill>
                    <a:blip r:embed="rId30"/>
                    <a:stretch>
                      <a:fillRect/>
                    </a:stretch>
                  </pic:blipFill>
                  <pic:spPr>
                    <a:xfrm>
                      <a:off x="0" y="0"/>
                      <a:ext cx="8186928" cy="5455920"/>
                    </a:xfrm>
                    <a:prstGeom prst="rect">
                      <a:avLst/>
                    </a:prstGeom>
                  </pic:spPr>
                </pic:pic>
              </a:graphicData>
            </a:graphic>
          </wp:anchor>
        </w:drawing>
      </w:r>
    </w:p>
    <w:p w14:paraId="3A21E636" w14:textId="77777777" w:rsidR="00C97FEA" w:rsidRPr="00C97FEA" w:rsidRDefault="00C97FEA" w:rsidP="00C97FEA">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sectPr w:rsidR="00C97FEA" w:rsidRPr="00C97FEA" w:rsidSect="00C97FEA">
          <w:pgSz w:w="15840" w:h="12240" w:orient="landscape"/>
          <w:pgMar w:top="720" w:right="720" w:bottom="720" w:left="720" w:header="709" w:footer="709" w:gutter="0"/>
          <w:cols w:space="708"/>
          <w:docGrid w:linePitch="360"/>
        </w:sectPr>
      </w:pPr>
    </w:p>
    <w:p w14:paraId="418980F4"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r w:rsidRPr="00C97FEA">
        <w:rPr>
          <w:rFonts w:ascii="Calibri" w:eastAsia="Times New Roman" w:hAnsi="Calibri" w:cs="Arial"/>
          <w:b/>
          <w:color w:val="000000"/>
          <w:kern w:val="0"/>
          <w:lang w:eastAsia="es-CR"/>
          <w14:ligatures w14:val="none"/>
        </w:rPr>
        <w:lastRenderedPageBreak/>
        <w:t>XI. Bibliografía obligatoria</w:t>
      </w:r>
    </w:p>
    <w:p w14:paraId="5324FA97"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p>
    <w:p w14:paraId="4CAE468D" w14:textId="77777777" w:rsidR="00C97FEA" w:rsidRPr="00C97FEA" w:rsidRDefault="00C97FEA" w:rsidP="00C97FEA">
      <w:pPr>
        <w:spacing w:after="0" w:line="240" w:lineRule="auto"/>
        <w:jc w:val="both"/>
        <w:rPr>
          <w:rFonts w:ascii="Calibri" w:eastAsia="Times New Roman" w:hAnsi="Calibri" w:cs="Arial"/>
          <w:bCs/>
          <w:color w:val="000000"/>
          <w:kern w:val="0"/>
          <w:lang w:eastAsia="es-CR"/>
          <w14:ligatures w14:val="none"/>
        </w:rPr>
      </w:pPr>
      <w:r w:rsidRPr="00C97FEA">
        <w:rPr>
          <w:rFonts w:ascii="Calibri" w:eastAsia="Times New Roman" w:hAnsi="Calibri" w:cs="Arial"/>
          <w:b/>
          <w:color w:val="000000"/>
          <w:kern w:val="0"/>
          <w:lang w:eastAsia="es-CR"/>
          <w14:ligatures w14:val="none"/>
        </w:rPr>
        <w:t>Nota:</w:t>
      </w:r>
      <w:r w:rsidRPr="00C97FEA">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C97FEA">
        <w:rPr>
          <w:rFonts w:ascii="Calibri" w:eastAsia="Times New Roman" w:hAnsi="Calibri" w:cs="Arial"/>
          <w:bCs/>
          <w:color w:val="000000"/>
          <w:kern w:val="0"/>
          <w:lang w:eastAsia="es-CR"/>
          <w14:ligatures w14:val="none"/>
        </w:rPr>
        <w:t>pdf</w:t>
      </w:r>
      <w:proofErr w:type="spellEnd"/>
      <w:r w:rsidRPr="00C97FEA">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54D564F1" w14:textId="77777777" w:rsidR="00C97FEA" w:rsidRPr="00C97FEA" w:rsidRDefault="00C97FEA" w:rsidP="00C97FEA">
      <w:pPr>
        <w:spacing w:after="0" w:line="240" w:lineRule="auto"/>
        <w:jc w:val="both"/>
        <w:rPr>
          <w:rFonts w:ascii="Calibri" w:eastAsia="Times New Roman" w:hAnsi="Calibri" w:cs="Arial"/>
          <w:bCs/>
          <w:color w:val="000000"/>
          <w:kern w:val="0"/>
          <w:lang w:eastAsia="es-CR"/>
          <w14:ligatures w14:val="none"/>
        </w:rPr>
      </w:pPr>
    </w:p>
    <w:p w14:paraId="198E439A"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Ander </w:t>
      </w:r>
      <w:proofErr w:type="spellStart"/>
      <w:r w:rsidRPr="4C9C2619">
        <w:rPr>
          <w:rFonts w:ascii="Calibri" w:eastAsia="Times New Roman" w:hAnsi="Calibri" w:cs="Calibri"/>
          <w:color w:val="000000"/>
          <w:kern w:val="0"/>
          <w:lang w:val="es-ES" w:eastAsia="es-CR"/>
          <w14:ligatures w14:val="none"/>
        </w:rPr>
        <w:t>Egg</w:t>
      </w:r>
      <w:proofErr w:type="spellEnd"/>
      <w:r w:rsidRPr="4C9C2619">
        <w:rPr>
          <w:rFonts w:ascii="Calibri" w:eastAsia="Times New Roman" w:hAnsi="Calibri" w:cs="Calibri"/>
          <w:color w:val="000000"/>
          <w:kern w:val="0"/>
          <w:lang w:val="es-ES" w:eastAsia="es-CR"/>
          <w14:ligatures w14:val="none"/>
        </w:rPr>
        <w:t xml:space="preserve">, Ezequiel y Pablo Valle. </w:t>
      </w:r>
      <w:r w:rsidRPr="4C9C2619">
        <w:rPr>
          <w:rFonts w:ascii="Calibri" w:eastAsia="Times New Roman" w:hAnsi="Calibri" w:cs="Calibri"/>
          <w:i/>
          <w:iCs/>
          <w:color w:val="000000"/>
          <w:kern w:val="0"/>
          <w:lang w:val="es-ES" w:eastAsia="es-CR"/>
          <w14:ligatures w14:val="none"/>
        </w:rPr>
        <w:t xml:space="preserve">Cómo elaborar monografías, artículos científicos y otros textos expositivos. </w:t>
      </w:r>
      <w:r w:rsidRPr="4C9C2619">
        <w:rPr>
          <w:rFonts w:ascii="Calibri" w:eastAsia="Times New Roman" w:hAnsi="Calibri" w:cs="Calibri"/>
          <w:color w:val="000000"/>
          <w:kern w:val="0"/>
          <w:lang w:val="es-ES" w:eastAsia="es-CR"/>
          <w14:ligatures w14:val="none"/>
        </w:rPr>
        <w:t>Lima: Fondo Editorial de la Universidad Inca Garcilaso de la Vega, 2013.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01C41A7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Hernández Poveda, Rose Mary. </w:t>
      </w:r>
      <w:r w:rsidRPr="00C97FEA">
        <w:rPr>
          <w:rFonts w:ascii="Calibri" w:eastAsia="Times New Roman" w:hAnsi="Calibri" w:cs="Calibri"/>
          <w:i/>
          <w:color w:val="000000"/>
          <w:kern w:val="0"/>
          <w:lang w:val="es-ES_tradnl" w:eastAsia="es-CR"/>
          <w14:ligatures w14:val="none"/>
        </w:rPr>
        <w:t xml:space="preserve">Comunicación oral y escrita. </w:t>
      </w:r>
      <w:r w:rsidRPr="00C97FEA">
        <w:rPr>
          <w:rFonts w:ascii="Calibri" w:eastAsia="Times New Roman" w:hAnsi="Calibri" w:cs="Calibri"/>
          <w:color w:val="000000"/>
          <w:kern w:val="0"/>
          <w:lang w:val="es-ES_tradnl" w:eastAsia="es-CR"/>
          <w14:ligatures w14:val="none"/>
        </w:rPr>
        <w:t xml:space="preserve">San José, C.R.: EUNED, </w:t>
      </w:r>
      <w:r w:rsidRPr="00C97FEA">
        <w:rPr>
          <w:rFonts w:ascii="Calibri" w:eastAsia="Times New Roman" w:hAnsi="Calibri" w:cs="Calibri"/>
          <w:kern w:val="0"/>
          <w:lang w:val="es-ES_tradnl" w:eastAsia="es-CR"/>
          <w14:ligatures w14:val="none"/>
        </w:rPr>
        <w:t>2011.</w:t>
      </w:r>
      <w:r w:rsidRPr="00C97FEA">
        <w:rPr>
          <w:rFonts w:ascii="Calibri" w:eastAsia="Times New Roman" w:hAnsi="Calibri" w:cs="Calibri"/>
          <w:color w:val="000000"/>
          <w:kern w:val="0"/>
          <w:lang w:val="es-ES_tradnl" w:eastAsia="es-CR"/>
          <w14:ligatures w14:val="none"/>
        </w:rPr>
        <w:t xml:space="preserve">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5B378DC2"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López, Carlos. </w:t>
      </w:r>
      <w:r w:rsidRPr="00C97FEA">
        <w:rPr>
          <w:rFonts w:ascii="Calibri" w:eastAsia="Times New Roman" w:hAnsi="Calibri" w:cs="Calibri"/>
          <w:i/>
          <w:color w:val="000000"/>
          <w:kern w:val="0"/>
          <w:lang w:val="es-ES_tradnl" w:eastAsia="es-CR"/>
          <w14:ligatures w14:val="none"/>
        </w:rPr>
        <w:t xml:space="preserve">Redacción en movimiento. </w:t>
      </w:r>
      <w:r w:rsidRPr="00C97FEA">
        <w:rPr>
          <w:rFonts w:ascii="Calibri" w:eastAsia="Times New Roman" w:hAnsi="Calibri" w:cs="Calibri"/>
          <w:color w:val="000000"/>
          <w:kern w:val="0"/>
          <w:lang w:val="es-ES_tradnl" w:eastAsia="es-CR"/>
          <w14:ligatures w14:val="none"/>
        </w:rPr>
        <w:t>San José, C.R.: Editorial Costa Rica, 2004.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7D463F77"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Mooney, Ruth. </w:t>
      </w:r>
      <w:r w:rsidRPr="00C97FEA">
        <w:rPr>
          <w:rFonts w:ascii="Calibri" w:eastAsia="Times New Roman" w:hAnsi="Calibri" w:cs="Calibri"/>
          <w:i/>
          <w:color w:val="000000"/>
          <w:kern w:val="0"/>
          <w:lang w:val="es-ES_tradnl" w:eastAsia="es-CR"/>
          <w14:ligatures w14:val="none"/>
        </w:rPr>
        <w:t>Guía y ejercicios para escribir trabajos universitarios</w:t>
      </w:r>
      <w:r w:rsidRPr="00C97FEA">
        <w:rPr>
          <w:rFonts w:ascii="Calibri" w:eastAsia="Times New Roman" w:hAnsi="Calibri" w:cs="Calibri"/>
          <w:color w:val="000000"/>
          <w:kern w:val="0"/>
          <w:lang w:val="es-ES_tradnl" w:eastAsia="es-CR"/>
          <w14:ligatures w14:val="none"/>
        </w:rPr>
        <w:t>. San José: Universidad Bíblica Latinoamericana. Revisado y adaptado de la Guía de Janet May para elaborar trabajos académicos en la UBL. Última reimpresión 2003.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0AFDAFF8"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Ochoa, Adriana y Eleonora </w:t>
      </w:r>
      <w:proofErr w:type="spellStart"/>
      <w:r w:rsidRPr="4C9C2619">
        <w:rPr>
          <w:rFonts w:ascii="Calibri" w:eastAsia="Times New Roman" w:hAnsi="Calibri" w:cs="Calibri"/>
          <w:color w:val="000000"/>
          <w:kern w:val="0"/>
          <w:lang w:val="es-ES" w:eastAsia="es-CR"/>
          <w14:ligatures w14:val="none"/>
        </w:rPr>
        <w:t>Achugar</w:t>
      </w:r>
      <w:proofErr w:type="spellEnd"/>
      <w:r w:rsidRPr="4C9C2619">
        <w:rPr>
          <w:rFonts w:ascii="Calibri" w:eastAsia="Times New Roman" w:hAnsi="Calibri" w:cs="Calibri"/>
          <w:color w:val="000000"/>
          <w:kern w:val="0"/>
          <w:lang w:val="es-ES" w:eastAsia="es-CR"/>
          <w14:ligatures w14:val="none"/>
        </w:rPr>
        <w:t xml:space="preserve">. </w:t>
      </w:r>
      <w:r w:rsidRPr="4C9C2619">
        <w:rPr>
          <w:rFonts w:ascii="Calibri" w:eastAsia="Times New Roman" w:hAnsi="Calibri" w:cs="Calibri"/>
          <w:i/>
          <w:iCs/>
          <w:color w:val="000000"/>
          <w:kern w:val="0"/>
          <w:lang w:val="es-ES" w:eastAsia="es-CR"/>
          <w14:ligatures w14:val="none"/>
        </w:rPr>
        <w:t xml:space="preserve">Taller de lectura y redacción 2. </w:t>
      </w:r>
      <w:r w:rsidRPr="4C9C2619">
        <w:rPr>
          <w:rFonts w:ascii="Calibri" w:eastAsia="Times New Roman" w:hAnsi="Calibri" w:cs="Calibri"/>
          <w:color w:val="000000"/>
          <w:kern w:val="0"/>
          <w:lang w:val="es-ES" w:eastAsia="es-CR"/>
          <w14:ligatures w14:val="none"/>
        </w:rPr>
        <w:t>México: Pearson, 2012.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41547AC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Ortega, Wenceslao. </w:t>
      </w:r>
      <w:r w:rsidRPr="00C97FEA">
        <w:rPr>
          <w:rFonts w:ascii="Calibri" w:eastAsia="Times New Roman" w:hAnsi="Calibri" w:cs="Calibri"/>
          <w:i/>
          <w:color w:val="000000"/>
          <w:kern w:val="0"/>
          <w:lang w:val="es-ES_tradnl" w:eastAsia="es-CR"/>
          <w14:ligatures w14:val="none"/>
        </w:rPr>
        <w:t xml:space="preserve">Ortografía programada: curso avanzado. </w:t>
      </w:r>
      <w:r w:rsidRPr="00C97FEA">
        <w:rPr>
          <w:rFonts w:ascii="Calibri" w:eastAsia="Times New Roman" w:hAnsi="Calibri" w:cs="Calibri"/>
          <w:color w:val="000000"/>
          <w:kern w:val="0"/>
          <w:lang w:val="es-ES_tradnl" w:eastAsia="es-CR"/>
          <w14:ligatures w14:val="none"/>
        </w:rPr>
        <w:t xml:space="preserve">México: McGraw-Hill, 2001. (última edición, </w:t>
      </w:r>
      <w:r w:rsidRPr="00C97FEA">
        <w:rPr>
          <w:rFonts w:ascii="Calibri" w:eastAsia="Times New Roman" w:hAnsi="Calibri" w:cs="Calibri"/>
          <w:color w:val="0070C0"/>
          <w:kern w:val="0"/>
          <w:lang w:val="es-ES_tradnl" w:eastAsia="es-CR"/>
          <w14:ligatures w14:val="none"/>
        </w:rPr>
        <w:t>2012</w:t>
      </w:r>
      <w:r w:rsidRPr="00C97FEA">
        <w:rPr>
          <w:rFonts w:ascii="Calibri" w:eastAsia="Times New Roman" w:hAnsi="Calibri" w:cs="Calibri"/>
          <w:color w:val="000000"/>
          <w:kern w:val="0"/>
          <w:lang w:val="es-ES_tradnl" w:eastAsia="es-CR"/>
          <w14:ligatures w14:val="none"/>
        </w:rPr>
        <w:t>)</w:t>
      </w:r>
    </w:p>
    <w:p w14:paraId="60F6511F"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Pacheco Salazar, </w:t>
      </w:r>
      <w:proofErr w:type="spellStart"/>
      <w:r w:rsidRPr="4C9C2619">
        <w:rPr>
          <w:rFonts w:ascii="Calibri" w:eastAsia="Times New Roman" w:hAnsi="Calibri" w:cs="Calibri"/>
          <w:color w:val="000000"/>
          <w:kern w:val="0"/>
          <w:lang w:val="es-ES" w:eastAsia="es-CR"/>
          <w14:ligatures w14:val="none"/>
        </w:rPr>
        <w:t>Viria</w:t>
      </w:r>
      <w:proofErr w:type="spellEnd"/>
      <w:r w:rsidRPr="4C9C2619">
        <w:rPr>
          <w:rFonts w:ascii="Calibri" w:eastAsia="Times New Roman" w:hAnsi="Calibri" w:cs="Calibri"/>
          <w:color w:val="000000"/>
          <w:kern w:val="0"/>
          <w:lang w:val="es-ES" w:eastAsia="es-CR"/>
          <w14:ligatures w14:val="none"/>
        </w:rPr>
        <w:t xml:space="preserve"> y Roger Loría Meneses. </w:t>
      </w:r>
      <w:r w:rsidRPr="4C9C2619">
        <w:rPr>
          <w:rFonts w:ascii="Calibri" w:eastAsia="Times New Roman" w:hAnsi="Calibri" w:cs="Calibri"/>
          <w:i/>
          <w:iCs/>
          <w:color w:val="000000"/>
          <w:kern w:val="0"/>
          <w:lang w:val="es-ES" w:eastAsia="es-CR"/>
          <w14:ligatures w14:val="none"/>
        </w:rPr>
        <w:t xml:space="preserve">Gramática castellana. </w:t>
      </w:r>
      <w:r w:rsidRPr="4C9C2619">
        <w:rPr>
          <w:rFonts w:ascii="Calibri" w:eastAsia="Times New Roman" w:hAnsi="Calibri" w:cs="Calibri"/>
          <w:color w:val="000000"/>
          <w:kern w:val="0"/>
          <w:lang w:val="es-ES" w:eastAsia="es-CR"/>
          <w14:ligatures w14:val="none"/>
        </w:rPr>
        <w:t>San José, C.R.: EUNED, 2016.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6492FAA3" w14:textId="77777777" w:rsidR="00C97FEA" w:rsidRPr="00C97FEA" w:rsidRDefault="00C97FE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Porto Castro, Ana María y María Josefa </w:t>
      </w:r>
      <w:proofErr w:type="spellStart"/>
      <w:r w:rsidRPr="4C9C2619">
        <w:rPr>
          <w:rFonts w:ascii="Calibri" w:eastAsia="Times New Roman" w:hAnsi="Calibri" w:cs="Calibri"/>
          <w:color w:val="000000"/>
          <w:kern w:val="0"/>
          <w:lang w:val="es-ES" w:eastAsia="es-CR"/>
          <w14:ligatures w14:val="none"/>
        </w:rPr>
        <w:t>Mosteiro</w:t>
      </w:r>
      <w:proofErr w:type="spellEnd"/>
      <w:r w:rsidRPr="4C9C2619">
        <w:rPr>
          <w:rFonts w:ascii="Calibri" w:eastAsia="Times New Roman" w:hAnsi="Calibri" w:cs="Calibri"/>
          <w:color w:val="000000"/>
          <w:kern w:val="0"/>
          <w:lang w:val="es-ES" w:eastAsia="es-CR"/>
          <w14:ligatures w14:val="none"/>
        </w:rPr>
        <w:t xml:space="preserve"> García. “Conductas deshonestas y género en el contexto universitario”. En </w:t>
      </w:r>
      <w:r w:rsidRPr="4C9C2619">
        <w:rPr>
          <w:rFonts w:ascii="Calibri" w:eastAsia="Times New Roman" w:hAnsi="Calibri" w:cs="Calibri"/>
          <w:i/>
          <w:iCs/>
          <w:color w:val="000000"/>
          <w:kern w:val="0"/>
          <w:lang w:val="es-ES" w:eastAsia="es-CR"/>
          <w14:ligatures w14:val="none"/>
        </w:rPr>
        <w:t>Plagio y honestidad académica en la educación superior</w:t>
      </w:r>
      <w:r w:rsidRPr="4C9C2619">
        <w:rPr>
          <w:rFonts w:ascii="Calibri" w:eastAsia="Times New Roman" w:hAnsi="Calibri" w:cs="Calibri"/>
          <w:color w:val="000000"/>
          <w:kern w:val="0"/>
          <w:lang w:val="es-ES" w:eastAsia="es-CR"/>
          <w14:ligatures w14:val="none"/>
        </w:rPr>
        <w:t>, editado por Ana María Porto Castro y Jesús Miguel Muñoz Cantero, 153-174. Nueva York, Peter Lang, 2022.</w:t>
      </w:r>
    </w:p>
    <w:p w14:paraId="75A61A06"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Real Academia Española y Asociación de Academias de la Lengua Española. </w:t>
      </w:r>
      <w:r w:rsidRPr="00C97FEA">
        <w:rPr>
          <w:rFonts w:ascii="Calibri" w:eastAsia="Times New Roman" w:hAnsi="Calibri" w:cs="Calibri"/>
          <w:i/>
          <w:color w:val="000000"/>
          <w:kern w:val="0"/>
          <w:lang w:val="es-ES_tradnl" w:eastAsia="es-CR"/>
          <w14:ligatures w14:val="none"/>
        </w:rPr>
        <w:t xml:space="preserve">Nueva gramática de la lengua española. </w:t>
      </w:r>
      <w:r w:rsidRPr="00C97FEA">
        <w:rPr>
          <w:rFonts w:ascii="Calibri" w:eastAsia="Times New Roman" w:hAnsi="Calibri" w:cs="Calibri"/>
          <w:color w:val="000000"/>
          <w:kern w:val="0"/>
          <w:lang w:val="es-ES_tradnl" w:eastAsia="es-CR"/>
          <w14:ligatures w14:val="none"/>
        </w:rPr>
        <w:t>Barcelona: Espasa Libros, 2018.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00415E15"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Real Academia Española y Asociación de Academias de la Lengua Española. </w:t>
      </w:r>
      <w:r w:rsidRPr="00C97FEA">
        <w:rPr>
          <w:rFonts w:ascii="Calibri" w:eastAsia="Times New Roman" w:hAnsi="Calibri" w:cs="Calibri"/>
          <w:i/>
          <w:color w:val="000000"/>
          <w:kern w:val="0"/>
          <w:lang w:val="es-ES_tradnl" w:eastAsia="es-CR"/>
          <w14:ligatures w14:val="none"/>
        </w:rPr>
        <w:t xml:space="preserve">Ortografía de la lengua española. </w:t>
      </w:r>
      <w:r w:rsidRPr="00C97FEA">
        <w:rPr>
          <w:rFonts w:ascii="Calibri" w:eastAsia="Times New Roman" w:hAnsi="Calibri" w:cs="Calibri"/>
          <w:color w:val="000000"/>
          <w:kern w:val="0"/>
          <w:lang w:val="es-ES_tradnl" w:eastAsia="es-CR"/>
          <w14:ligatures w14:val="none"/>
        </w:rPr>
        <w:t>México: Editorial Planeta Mexicana, 2011.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66C2EF8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Rojas, Martha, Lilliam Rojas y Jorge Murillo. </w:t>
      </w:r>
      <w:r w:rsidRPr="00C97FEA">
        <w:rPr>
          <w:rFonts w:ascii="Calibri" w:eastAsia="Times New Roman" w:hAnsi="Calibri" w:cs="Calibri"/>
          <w:i/>
          <w:color w:val="000000"/>
          <w:kern w:val="0"/>
          <w:lang w:val="es-ES_tradnl" w:eastAsia="es-CR"/>
          <w14:ligatures w14:val="none"/>
        </w:rPr>
        <w:t>Selección de textos del libro:</w:t>
      </w:r>
      <w:r w:rsidRPr="00C97FEA">
        <w:rPr>
          <w:rFonts w:ascii="Calibri" w:eastAsia="Times New Roman" w:hAnsi="Calibri" w:cs="Calibri"/>
          <w:color w:val="000000"/>
          <w:kern w:val="0"/>
          <w:lang w:val="es-ES_tradnl" w:eastAsia="es-CR"/>
          <w14:ligatures w14:val="none"/>
        </w:rPr>
        <w:t xml:space="preserve"> </w:t>
      </w:r>
      <w:r w:rsidRPr="00C97FEA">
        <w:rPr>
          <w:rFonts w:ascii="Calibri" w:eastAsia="Times New Roman" w:hAnsi="Calibri" w:cs="Calibri"/>
          <w:i/>
          <w:color w:val="000000"/>
          <w:kern w:val="0"/>
          <w:lang w:val="es-ES_tradnl" w:eastAsia="es-CR"/>
          <w14:ligatures w14:val="none"/>
        </w:rPr>
        <w:t>Un juego de ajedrez: la escritura</w:t>
      </w:r>
      <w:r w:rsidRPr="00C97FEA">
        <w:rPr>
          <w:rFonts w:ascii="Calibri" w:eastAsia="Times New Roman" w:hAnsi="Calibri" w:cs="Calibri"/>
          <w:color w:val="000000"/>
          <w:kern w:val="0"/>
          <w:lang w:val="es-ES_tradnl" w:eastAsia="es-CR"/>
          <w14:ligatures w14:val="none"/>
        </w:rPr>
        <w:t xml:space="preserve">. Manuscrito inédito. </w:t>
      </w:r>
    </w:p>
    <w:p w14:paraId="5F6B9B61"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Sánchez Lobato, Jesús. “La redacción de textos académicos”. En </w:t>
      </w:r>
      <w:r w:rsidRPr="00C97FEA">
        <w:rPr>
          <w:rFonts w:ascii="Calibri" w:eastAsia="Times New Roman" w:hAnsi="Calibri" w:cs="Calibri"/>
          <w:i/>
          <w:color w:val="000000"/>
          <w:kern w:val="0"/>
          <w:lang w:val="es-ES_tradnl" w:eastAsia="es-CR"/>
          <w14:ligatures w14:val="none"/>
        </w:rPr>
        <w:t>Saber escribir</w:t>
      </w:r>
      <w:r w:rsidRPr="00C97FEA">
        <w:rPr>
          <w:rFonts w:ascii="Calibri" w:eastAsia="Times New Roman" w:hAnsi="Calibri" w:cs="Calibri"/>
          <w:color w:val="000000"/>
          <w:kern w:val="0"/>
          <w:lang w:val="es-ES_tradnl" w:eastAsia="es-CR"/>
          <w14:ligatures w14:val="none"/>
        </w:rPr>
        <w:t>, coordinado por Jesús Sánchez Lobato, 433-447. México: Editorial Santillana, 2006.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3E34CD34"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color w:val="000000"/>
          <w:kern w:val="0"/>
          <w:lang w:val="es-ES_tradnl" w:eastAsia="es-CR"/>
          <w14:ligatures w14:val="none"/>
        </w:rPr>
        <w:t xml:space="preserve">Sánchez Lobato, Jesús. “La reseña crítica”. En </w:t>
      </w:r>
      <w:r w:rsidRPr="00C97FEA">
        <w:rPr>
          <w:rFonts w:ascii="Calibri" w:eastAsia="Times New Roman" w:hAnsi="Calibri" w:cs="Calibri"/>
          <w:i/>
          <w:color w:val="000000"/>
          <w:kern w:val="0"/>
          <w:lang w:val="es-ES_tradnl" w:eastAsia="es-CR"/>
          <w14:ligatures w14:val="none"/>
        </w:rPr>
        <w:t>Saber escribir</w:t>
      </w:r>
      <w:r w:rsidRPr="00C97FEA">
        <w:rPr>
          <w:rFonts w:ascii="Calibri" w:eastAsia="Times New Roman" w:hAnsi="Calibri" w:cs="Calibri"/>
          <w:color w:val="000000"/>
          <w:kern w:val="0"/>
          <w:lang w:val="es-ES_tradnl" w:eastAsia="es-CR"/>
          <w14:ligatures w14:val="none"/>
        </w:rPr>
        <w:t>, coordinado por Jesús Sánchez Lobato, 473-479. México: Editorial Santillana, 2006. (</w:t>
      </w:r>
      <w:r w:rsidRPr="00C97FEA">
        <w:rPr>
          <w:rFonts w:ascii="Calibri" w:eastAsia="Times New Roman" w:hAnsi="Calibri" w:cs="Calibri"/>
          <w:color w:val="0070C0"/>
          <w:kern w:val="0"/>
          <w:lang w:val="es-ES_tradnl" w:eastAsia="es-CR"/>
          <w14:ligatures w14:val="none"/>
        </w:rPr>
        <w:t xml:space="preserve">clásico, </w:t>
      </w:r>
      <w:r w:rsidRPr="00C97FEA">
        <w:rPr>
          <w:rFonts w:ascii="Calibri" w:eastAsia="Times New Roman" w:hAnsi="Calibri" w:cs="Calibri"/>
          <w:color w:val="000000"/>
          <w:kern w:val="0"/>
          <w:lang w:val="es-ES_tradnl" w:eastAsia="es-CR"/>
          <w14:ligatures w14:val="none"/>
        </w:rPr>
        <w:t>última edición)</w:t>
      </w:r>
    </w:p>
    <w:p w14:paraId="0AB10C20"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70C0"/>
          <w:kern w:val="0"/>
          <w:lang w:val="es-ES_tradnl" w:eastAsia="es-CR"/>
          <w14:ligatures w14:val="none"/>
        </w:rPr>
      </w:pPr>
      <w:r w:rsidRPr="00C97FEA">
        <w:rPr>
          <w:rFonts w:ascii="Calibri" w:eastAsia="Times New Roman" w:hAnsi="Calibri" w:cs="Arial"/>
          <w:kern w:val="0"/>
          <w:lang w:eastAsia="es-CR"/>
          <w14:ligatures w14:val="none"/>
        </w:rPr>
        <w:t xml:space="preserve">Universidad de Deusto. </w:t>
      </w:r>
      <w:r w:rsidRPr="00C97FEA">
        <w:rPr>
          <w:rFonts w:ascii="Calibri" w:eastAsia="Times New Roman" w:hAnsi="Calibri" w:cs="Arial"/>
          <w:i/>
          <w:kern w:val="0"/>
          <w:lang w:eastAsia="es-CR"/>
          <w14:ligatures w14:val="none"/>
        </w:rPr>
        <w:t>Manual de estilo Chicago-Deusto</w:t>
      </w:r>
      <w:r w:rsidRPr="00C97FEA">
        <w:rPr>
          <w:rFonts w:ascii="Calibri" w:eastAsia="Times New Roman" w:hAnsi="Calibri" w:cs="Arial"/>
          <w:kern w:val="0"/>
          <w:lang w:eastAsia="es-CR"/>
          <w14:ligatures w14:val="none"/>
        </w:rPr>
        <w:t xml:space="preserve">. España: Publicaciones de la Universidad de Deusto, 2013. </w:t>
      </w:r>
      <w:r w:rsidRPr="00C97FEA">
        <w:rPr>
          <w:rFonts w:ascii="Calibri" w:eastAsia="Times New Roman" w:hAnsi="Calibri" w:cs="Arial"/>
          <w:color w:val="0070C0"/>
          <w:kern w:val="0"/>
          <w:lang w:eastAsia="es-CR"/>
          <w14:ligatures w14:val="none"/>
        </w:rPr>
        <w:t>(clásico, última edición)</w:t>
      </w:r>
    </w:p>
    <w:p w14:paraId="452ADEFF"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6"/>
          <w:szCs w:val="6"/>
          <w:lang w:val="es-ES_tradnl" w:eastAsia="es-CR"/>
          <w14:ligatures w14:val="none"/>
        </w:rPr>
      </w:pPr>
    </w:p>
    <w:p w14:paraId="18B9BF65"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p>
    <w:p w14:paraId="28F0489B" w14:textId="77777777" w:rsidR="00C97FEA" w:rsidRDefault="00C97FEA" w:rsidP="00C97FEA">
      <w:pPr>
        <w:spacing w:after="0" w:line="240" w:lineRule="auto"/>
        <w:rPr>
          <w:rFonts w:ascii="Calibri" w:eastAsia="Times New Roman" w:hAnsi="Calibri" w:cs="Arial"/>
          <w:b/>
          <w:color w:val="000000"/>
          <w:kern w:val="0"/>
          <w:lang w:eastAsia="es-CR"/>
          <w14:ligatures w14:val="none"/>
        </w:rPr>
      </w:pPr>
    </w:p>
    <w:p w14:paraId="666E1B7C"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p>
    <w:p w14:paraId="251E1DA7"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p>
    <w:p w14:paraId="0F64641E"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r w:rsidRPr="00C97FEA">
        <w:rPr>
          <w:rFonts w:ascii="Calibri" w:eastAsia="Times New Roman" w:hAnsi="Calibri" w:cs="Arial"/>
          <w:b/>
          <w:color w:val="000000"/>
          <w:kern w:val="0"/>
          <w:lang w:eastAsia="es-CR"/>
          <w14:ligatures w14:val="none"/>
        </w:rPr>
        <w:lastRenderedPageBreak/>
        <w:t>XII. Bibliografía complementaria</w:t>
      </w:r>
    </w:p>
    <w:p w14:paraId="19617B36" w14:textId="77777777" w:rsidR="00C97FEA" w:rsidRPr="00C97FEA" w:rsidRDefault="00C97FEA" w:rsidP="00C97FEA">
      <w:pPr>
        <w:spacing w:after="0" w:line="240" w:lineRule="auto"/>
        <w:rPr>
          <w:rFonts w:ascii="Calibri" w:eastAsia="Times New Roman" w:hAnsi="Calibri" w:cs="Arial"/>
          <w:b/>
          <w:color w:val="000000"/>
          <w:kern w:val="0"/>
          <w:lang w:eastAsia="es-CR"/>
          <w14:ligatures w14:val="none"/>
        </w:rPr>
      </w:pPr>
    </w:p>
    <w:p w14:paraId="4BC095D1" w14:textId="77777777" w:rsidR="00C97FEA" w:rsidRPr="00C97FEA" w:rsidRDefault="00C97FEA" w:rsidP="00C97FEA">
      <w:pPr>
        <w:spacing w:after="0" w:line="240" w:lineRule="auto"/>
        <w:jc w:val="both"/>
        <w:rPr>
          <w:rFonts w:ascii="Calibri" w:eastAsia="Times New Roman" w:hAnsi="Calibri" w:cs="Arial"/>
          <w:color w:val="000000"/>
          <w:kern w:val="0"/>
          <w:lang w:eastAsia="es-CR"/>
          <w14:ligatures w14:val="none"/>
        </w:rPr>
      </w:pPr>
      <w:r w:rsidRPr="00C97FEA">
        <w:rPr>
          <w:rFonts w:ascii="Calibri" w:eastAsia="Times New Roman" w:hAnsi="Calibri" w:cs="Arial"/>
          <w:b/>
          <w:color w:val="000000"/>
          <w:kern w:val="0"/>
          <w:lang w:eastAsia="es-CR"/>
          <w14:ligatures w14:val="none"/>
        </w:rPr>
        <w:t>Nota:</w:t>
      </w:r>
      <w:r w:rsidRPr="00C97FEA">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C97FEA">
        <w:rPr>
          <w:rFonts w:ascii="Calibri" w:eastAsia="Times New Roman" w:hAnsi="Calibri" w:cs="Arial"/>
          <w:bCs/>
          <w:color w:val="000000"/>
          <w:kern w:val="0"/>
          <w:lang w:eastAsia="es-CR"/>
          <w14:ligatures w14:val="none"/>
        </w:rPr>
        <w:t>pdf</w:t>
      </w:r>
      <w:proofErr w:type="spellEnd"/>
      <w:r w:rsidRPr="00C97FEA">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36404C8A" w14:textId="77777777" w:rsidR="00C97FEA" w:rsidRPr="00C97FEA" w:rsidRDefault="00C97FEA" w:rsidP="00C97FEA">
      <w:pPr>
        <w:spacing w:after="0" w:line="240" w:lineRule="auto"/>
        <w:rPr>
          <w:rFonts w:ascii="Calibri" w:eastAsia="Times New Roman" w:hAnsi="Calibri" w:cs="Arial"/>
          <w:color w:val="000000"/>
          <w:kern w:val="0"/>
          <w:lang w:eastAsia="es-CR"/>
          <w14:ligatures w14:val="none"/>
        </w:rPr>
      </w:pPr>
    </w:p>
    <w:p w14:paraId="5BC52D4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kern w:val="0"/>
          <w:lang w:val="es-ES_tradnl" w:eastAsia="es-CR"/>
          <w14:ligatures w14:val="none"/>
        </w:rPr>
        <w:t xml:space="preserve">Díaz H., Dámaris. “Cómo se elabora un ensayo”. </w:t>
      </w:r>
      <w:r w:rsidRPr="00C97FEA">
        <w:rPr>
          <w:rFonts w:ascii="Calibri" w:eastAsia="Times New Roman" w:hAnsi="Calibri" w:cs="Calibri"/>
          <w:i/>
          <w:kern w:val="0"/>
          <w:lang w:val="es-ES_tradnl" w:eastAsia="es-CR"/>
          <w14:ligatures w14:val="none"/>
        </w:rPr>
        <w:t>Acción Pedagógica</w:t>
      </w:r>
      <w:r w:rsidRPr="00C97FEA">
        <w:rPr>
          <w:rFonts w:ascii="Calibri" w:eastAsia="Times New Roman" w:hAnsi="Calibri" w:cs="Calibri"/>
          <w:kern w:val="0"/>
          <w:lang w:val="es-ES_tradnl" w:eastAsia="es-CR"/>
          <w14:ligatures w14:val="none"/>
        </w:rPr>
        <w:t xml:space="preserve"> 13, n. 1 (2004): 108-113. Acceso el 18 de diciembre de 2020.</w:t>
      </w:r>
      <w:r w:rsidRPr="00C97FEA">
        <w:rPr>
          <w:rFonts w:ascii="Calibri" w:eastAsia="Times New Roman" w:hAnsi="Calibri" w:cs="Calibri"/>
          <w:color w:val="00B050"/>
          <w:kern w:val="0"/>
          <w:lang w:val="es-ES_tradnl" w:eastAsia="es-CR"/>
          <w14:ligatures w14:val="none"/>
        </w:rPr>
        <w:t xml:space="preserve"> </w:t>
      </w:r>
      <w:hyperlink r:id="rId31" w:history="1">
        <w:r w:rsidRPr="00C97FEA">
          <w:rPr>
            <w:rFonts w:ascii="Calibri" w:eastAsia="Times New Roman" w:hAnsi="Calibri" w:cs="Calibri"/>
            <w:color w:val="0563C1"/>
            <w:kern w:val="0"/>
            <w:u w:val="single"/>
            <w:lang w:val="es-ES_tradnl" w:eastAsia="es-CR"/>
            <w14:ligatures w14:val="none"/>
          </w:rPr>
          <w:t>https://dialnet.unirioja.es/servlet/articulo?codigo=2972010</w:t>
        </w:r>
      </w:hyperlink>
      <w:r w:rsidRPr="00C97FEA">
        <w:rPr>
          <w:rFonts w:ascii="Calibri" w:eastAsia="Times New Roman" w:hAnsi="Calibri" w:cs="Calibri"/>
          <w:color w:val="00B050"/>
          <w:kern w:val="0"/>
          <w:lang w:val="es-ES_tradnl" w:eastAsia="es-CR"/>
          <w14:ligatures w14:val="none"/>
        </w:rPr>
        <w:t xml:space="preserve"> </w:t>
      </w:r>
    </w:p>
    <w:p w14:paraId="36664918"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97FEA">
        <w:rPr>
          <w:rFonts w:ascii="Calibri" w:eastAsia="Times New Roman" w:hAnsi="Calibri" w:cs="Calibri"/>
          <w:kern w:val="0"/>
          <w:lang w:val="es-ES_tradnl" w:eastAsia="es-CR"/>
          <w14:ligatures w14:val="none"/>
        </w:rPr>
        <w:t xml:space="preserve">Mena Oreamuno, Francisco. </w:t>
      </w:r>
      <w:r w:rsidRPr="00C97FEA">
        <w:rPr>
          <w:rFonts w:ascii="Calibri" w:eastAsia="Times New Roman" w:hAnsi="Calibri" w:cs="Calibri"/>
          <w:i/>
          <w:kern w:val="0"/>
          <w:lang w:val="es-ES_tradnl" w:eastAsia="es-CR"/>
          <w14:ligatures w14:val="none"/>
        </w:rPr>
        <w:t>Comunicación escrita</w:t>
      </w:r>
      <w:r w:rsidRPr="00C97FEA">
        <w:rPr>
          <w:rFonts w:ascii="Calibri" w:eastAsia="Times New Roman" w:hAnsi="Calibri" w:cs="Calibri"/>
          <w:kern w:val="0"/>
          <w:lang w:val="es-ES_tradnl" w:eastAsia="es-CR"/>
          <w14:ligatures w14:val="none"/>
        </w:rPr>
        <w:t xml:space="preserve">. San José, C.R.: Universidad Bíblica Latinoamericana, 2000. </w:t>
      </w:r>
      <w:r w:rsidRPr="00C97FEA">
        <w:rPr>
          <w:rFonts w:ascii="Calibri" w:eastAsia="Times New Roman" w:hAnsi="Calibri" w:cs="Calibri"/>
          <w:color w:val="000000"/>
          <w:kern w:val="0"/>
          <w:lang w:val="es-ES_tradnl" w:eastAsia="es-CR"/>
          <w14:ligatures w14:val="none"/>
        </w:rPr>
        <w:t>(</w:t>
      </w:r>
      <w:r w:rsidRPr="00C97FEA">
        <w:rPr>
          <w:rFonts w:ascii="Calibri" w:eastAsia="Times New Roman" w:hAnsi="Calibri" w:cs="Calibri"/>
          <w:color w:val="0070C0"/>
          <w:kern w:val="0"/>
          <w:lang w:val="es-ES_tradnl" w:eastAsia="es-CR"/>
          <w14:ligatures w14:val="none"/>
        </w:rPr>
        <w:t>clásico</w:t>
      </w:r>
      <w:r w:rsidRPr="00C97FEA">
        <w:rPr>
          <w:rFonts w:ascii="Calibri" w:eastAsia="Times New Roman" w:hAnsi="Calibri" w:cs="Calibri"/>
          <w:color w:val="000000"/>
          <w:kern w:val="0"/>
          <w:lang w:val="es-ES_tradnl" w:eastAsia="es-CR"/>
          <w14:ligatures w14:val="none"/>
        </w:rPr>
        <w:t>, última edición)</w:t>
      </w:r>
    </w:p>
    <w:p w14:paraId="0D0EEAD3" w14:textId="77777777" w:rsidR="00C97FEA" w:rsidRPr="00C97FEA" w:rsidRDefault="00C97FEA" w:rsidP="00C97FEA">
      <w:pPr>
        <w:widowControl w:val="0"/>
        <w:overflowPunct w:val="0"/>
        <w:autoSpaceDE w:val="0"/>
        <w:autoSpaceDN w:val="0"/>
        <w:adjustRightInd w:val="0"/>
        <w:spacing w:before="120" w:after="0" w:line="240" w:lineRule="auto"/>
        <w:jc w:val="both"/>
        <w:rPr>
          <w:rFonts w:ascii="Calibri" w:eastAsia="Times New Roman" w:hAnsi="Calibri" w:cs="Calibri"/>
          <w:color w:val="00B050"/>
          <w:kern w:val="0"/>
          <w:sz w:val="4"/>
          <w:szCs w:val="4"/>
          <w:lang w:val="es-ES_tradnl" w:eastAsia="es-CR"/>
          <w14:ligatures w14:val="none"/>
        </w:rPr>
      </w:pPr>
    </w:p>
    <w:p w14:paraId="1053509C" w14:textId="77777777" w:rsidR="00C97FEA" w:rsidRPr="00C97FEA" w:rsidRDefault="00C97FEA" w:rsidP="00C97FEA">
      <w:pPr>
        <w:spacing w:after="0" w:line="240" w:lineRule="auto"/>
        <w:jc w:val="both"/>
        <w:rPr>
          <w:rFonts w:ascii="Calibri" w:eastAsia="Times New Roman" w:hAnsi="Calibri" w:cs="Calibri"/>
          <w:color w:val="000000"/>
          <w:kern w:val="0"/>
          <w:lang w:eastAsia="es-CR"/>
          <w14:ligatures w14:val="none"/>
        </w:rPr>
      </w:pPr>
      <w:r w:rsidRPr="00C97FEA">
        <w:rPr>
          <w:rFonts w:ascii="Calibri" w:eastAsia="Times New Roman" w:hAnsi="Calibri" w:cs="Calibri"/>
          <w:kern w:val="0"/>
          <w:lang w:val="es-ES_tradnl" w:eastAsia="es-CR"/>
          <w14:ligatures w14:val="none"/>
        </w:rPr>
        <w:t xml:space="preserve">Moris, Juan Pablo e Inés </w:t>
      </w:r>
      <w:proofErr w:type="spellStart"/>
      <w:r w:rsidRPr="00C97FEA">
        <w:rPr>
          <w:rFonts w:ascii="Calibri" w:eastAsia="Times New Roman" w:hAnsi="Calibri" w:cs="Calibri"/>
          <w:kern w:val="0"/>
          <w:lang w:val="es-ES_tradnl" w:eastAsia="es-CR"/>
          <w14:ligatures w14:val="none"/>
        </w:rPr>
        <w:t>Gimena</w:t>
      </w:r>
      <w:proofErr w:type="spellEnd"/>
      <w:r w:rsidRPr="00C97FEA">
        <w:rPr>
          <w:rFonts w:ascii="Calibri" w:eastAsia="Times New Roman" w:hAnsi="Calibri" w:cs="Calibri"/>
          <w:kern w:val="0"/>
          <w:lang w:val="es-ES_tradnl" w:eastAsia="es-CR"/>
          <w14:ligatures w14:val="none"/>
        </w:rPr>
        <w:t xml:space="preserve"> Pérez. “La monografía”. En </w:t>
      </w:r>
      <w:r w:rsidRPr="00C97FEA">
        <w:rPr>
          <w:rFonts w:ascii="Calibri" w:eastAsia="Times New Roman" w:hAnsi="Calibri" w:cs="Calibri"/>
          <w:i/>
          <w:kern w:val="0"/>
          <w:lang w:val="es-ES_tradnl" w:eastAsia="es-CR"/>
          <w14:ligatures w14:val="none"/>
        </w:rPr>
        <w:t>Manual de escritura para carreras de humanidades</w:t>
      </w:r>
      <w:r w:rsidRPr="00C97FEA">
        <w:rPr>
          <w:rFonts w:ascii="Calibri" w:eastAsia="Times New Roman" w:hAnsi="Calibri" w:cs="Calibri"/>
          <w:kern w:val="0"/>
          <w:lang w:val="es-ES_tradnl" w:eastAsia="es-CR"/>
          <w14:ligatures w14:val="none"/>
        </w:rPr>
        <w:t>, coordinado por Federico Navarro, 191-238. Buenos Aires: Universidad de Buenos Aires, 2014. Acceso el 18 de diciembre de 2020.</w:t>
      </w:r>
      <w:r w:rsidRPr="00C97FEA">
        <w:rPr>
          <w:rFonts w:ascii="Calibri" w:eastAsia="Times New Roman" w:hAnsi="Calibri" w:cs="Calibri"/>
          <w:color w:val="00B050"/>
          <w:kern w:val="0"/>
          <w:lang w:val="es-ES_tradnl" w:eastAsia="es-CR"/>
          <w14:ligatures w14:val="none"/>
        </w:rPr>
        <w:t xml:space="preserve"> </w:t>
      </w:r>
      <w:hyperlink r:id="rId32" w:history="1">
        <w:r w:rsidRPr="00C97FEA">
          <w:rPr>
            <w:rFonts w:ascii="Calibri" w:eastAsia="Times New Roman" w:hAnsi="Calibri" w:cs="Calibri"/>
            <w:color w:val="0563C1"/>
            <w:kern w:val="0"/>
            <w:u w:val="single"/>
            <w:lang w:val="es-ES_tradnl" w:eastAsia="es-CR"/>
            <w14:ligatures w14:val="none"/>
          </w:rPr>
          <w:t>https://dialnet.unirioja.es/servlet/libro?codigo=723206</w:t>
        </w:r>
      </w:hyperlink>
      <w:r w:rsidRPr="00C97FEA">
        <w:rPr>
          <w:rFonts w:ascii="Calibri" w:eastAsia="Times New Roman" w:hAnsi="Calibri" w:cs="Calibri"/>
          <w:color w:val="0563C1"/>
          <w:kern w:val="0"/>
          <w:u w:val="single"/>
          <w:lang w:val="es-ES_tradnl" w:eastAsia="es-CR"/>
          <w14:ligatures w14:val="none"/>
        </w:rPr>
        <w:t xml:space="preserve"> </w:t>
      </w:r>
      <w:r w:rsidRPr="00C97FEA">
        <w:rPr>
          <w:rFonts w:ascii="Calibri" w:eastAsia="Times New Roman" w:hAnsi="Calibri" w:cs="Calibri"/>
          <w:color w:val="000000"/>
          <w:kern w:val="0"/>
          <w:lang w:val="es-ES_tradnl" w:eastAsia="es-CR"/>
          <w14:ligatures w14:val="none"/>
        </w:rPr>
        <w:t>(</w:t>
      </w:r>
      <w:r w:rsidRPr="00C97FEA">
        <w:rPr>
          <w:rFonts w:ascii="Calibri" w:eastAsia="Times New Roman" w:hAnsi="Calibri" w:cs="Calibri"/>
          <w:color w:val="0070C0"/>
          <w:kern w:val="0"/>
          <w:lang w:val="es-ES_tradnl" w:eastAsia="es-CR"/>
          <w14:ligatures w14:val="none"/>
        </w:rPr>
        <w:t>clásico,</w:t>
      </w:r>
      <w:r w:rsidRPr="00C97FEA">
        <w:rPr>
          <w:rFonts w:ascii="Calibri" w:eastAsia="Times New Roman" w:hAnsi="Calibri" w:cs="Calibri"/>
          <w:color w:val="000000"/>
          <w:kern w:val="0"/>
          <w:lang w:val="es-ES_tradnl" w:eastAsia="es-CR"/>
          <w14:ligatures w14:val="none"/>
        </w:rPr>
        <w:t xml:space="preserve"> última edición)</w:t>
      </w:r>
    </w:p>
    <w:p w14:paraId="67482DBD" w14:textId="77777777" w:rsidR="00C97FEA" w:rsidRPr="00C97FEA" w:rsidRDefault="00C97FEA" w:rsidP="00C97FEA">
      <w:pPr>
        <w:spacing w:after="0" w:line="240" w:lineRule="auto"/>
        <w:rPr>
          <w:rFonts w:ascii="Calibri" w:eastAsia="Times New Roman" w:hAnsi="Calibri" w:cs="Arial"/>
          <w:color w:val="000000"/>
          <w:kern w:val="0"/>
          <w:lang w:eastAsia="es-CR"/>
          <w14:ligatures w14:val="none"/>
        </w:rPr>
      </w:pPr>
    </w:p>
    <w:p w14:paraId="45678DE2" w14:textId="6174DE45" w:rsidR="00C97FEA" w:rsidRDefault="00C97FEA">
      <w:pPr>
        <w:rPr>
          <w:rFonts w:cs="Arial"/>
          <w:color w:val="000000" w:themeColor="text1"/>
        </w:rPr>
      </w:pPr>
      <w:r>
        <w:rPr>
          <w:rFonts w:cs="Arial"/>
          <w:color w:val="000000" w:themeColor="text1"/>
        </w:rPr>
        <w:br w:type="page"/>
      </w:r>
    </w:p>
    <w:p w14:paraId="34DBC61F" w14:textId="77777777" w:rsidR="0076384B" w:rsidRPr="00824370" w:rsidRDefault="0076384B" w:rsidP="00C22B48">
      <w:pPr>
        <w:spacing w:line="276" w:lineRule="auto"/>
        <w:rPr>
          <w:rFonts w:cs="Arial"/>
          <w:color w:val="000000" w:themeColor="text1"/>
        </w:rPr>
      </w:pPr>
    </w:p>
    <w:p w14:paraId="4FD35427" w14:textId="77777777" w:rsidR="0076384B" w:rsidRPr="00894B47" w:rsidRDefault="0076384B" w:rsidP="00DD34BC">
      <w:pPr>
        <w:jc w:val="center"/>
        <w:rPr>
          <w:rFonts w:ascii="Arial" w:hAnsi="Arial" w:cs="Arial"/>
          <w:szCs w:val="24"/>
        </w:rPr>
      </w:pPr>
      <w:r>
        <w:rPr>
          <w:rFonts w:ascii="Arial" w:hAnsi="Arial" w:cs="Arial"/>
          <w:szCs w:val="24"/>
        </w:rPr>
        <w:t xml:space="preserve"> </w:t>
      </w:r>
      <w:r>
        <w:rPr>
          <w:rFonts w:ascii="Arial" w:hAnsi="Arial" w:cs="Arial"/>
          <w:noProof/>
          <w:szCs w:val="24"/>
        </w:rPr>
        <w:drawing>
          <wp:inline distT="0" distB="0" distL="0" distR="0" wp14:anchorId="0F003896" wp14:editId="16879149">
            <wp:extent cx="2009775" cy="1548377"/>
            <wp:effectExtent l="0" t="0" r="0" b="0"/>
            <wp:docPr id="16484195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7950498F" w14:textId="77777777" w:rsidR="0076384B" w:rsidRDefault="0076384B" w:rsidP="0014402E">
      <w:pPr>
        <w:pStyle w:val="Ttulo1"/>
        <w:spacing w:before="0" w:after="0"/>
        <w:rPr>
          <w:rFonts w:asciiTheme="minorHAnsi" w:hAnsiTheme="minorHAnsi" w:cs="Arial"/>
          <w:szCs w:val="24"/>
          <w:lang w:val="es-CR"/>
        </w:rPr>
      </w:pPr>
    </w:p>
    <w:p w14:paraId="1822FAA6" w14:textId="77777777" w:rsidR="0076384B" w:rsidRPr="00C5032E" w:rsidRDefault="0076384B" w:rsidP="0014402E">
      <w:pPr>
        <w:pStyle w:val="Ttulo1"/>
        <w:spacing w:before="0" w:after="0"/>
        <w:rPr>
          <w:rFonts w:asciiTheme="minorHAnsi" w:hAnsiTheme="minorHAnsi" w:cs="Arial"/>
          <w:szCs w:val="24"/>
          <w:lang w:val="es-CR"/>
        </w:rPr>
      </w:pPr>
      <w:r w:rsidRPr="00C5032E">
        <w:rPr>
          <w:rFonts w:asciiTheme="minorHAnsi" w:hAnsiTheme="minorHAnsi" w:cs="Arial"/>
          <w:szCs w:val="24"/>
          <w:lang w:val="es-CR"/>
        </w:rPr>
        <w:t>Universidad Bíblica Latinoamericana</w:t>
      </w:r>
    </w:p>
    <w:p w14:paraId="10F663FC" w14:textId="77777777" w:rsidR="0076384B" w:rsidRPr="00C5032E" w:rsidRDefault="0076384B" w:rsidP="0014402E">
      <w:pPr>
        <w:pStyle w:val="Ttulo2"/>
        <w:spacing w:before="0" w:after="0"/>
        <w:jc w:val="center"/>
        <w:rPr>
          <w:rFonts w:asciiTheme="minorHAnsi" w:hAnsiTheme="minorHAnsi" w:cs="Arial"/>
          <w:i/>
          <w:szCs w:val="24"/>
          <w:lang w:val="es-CR"/>
        </w:rPr>
      </w:pPr>
      <w:r w:rsidRPr="00C5032E">
        <w:rPr>
          <w:rFonts w:asciiTheme="minorHAnsi" w:hAnsiTheme="minorHAnsi" w:cs="Arial"/>
          <w:i/>
          <w:szCs w:val="24"/>
          <w:lang w:val="es-CR"/>
        </w:rPr>
        <w:t>Facultad de Teología</w:t>
      </w:r>
    </w:p>
    <w:p w14:paraId="57667E6E" w14:textId="77777777" w:rsidR="0076384B" w:rsidRPr="00C5032E" w:rsidRDefault="0076384B" w:rsidP="0014402E">
      <w:pPr>
        <w:jc w:val="center"/>
        <w:rPr>
          <w:rFonts w:cs="Arial"/>
          <w:b/>
          <w:szCs w:val="24"/>
        </w:rPr>
      </w:pPr>
      <w:r>
        <w:rPr>
          <w:rFonts w:cs="Arial"/>
          <w:b/>
          <w:szCs w:val="24"/>
        </w:rPr>
        <w:t>Bachillerato en</w:t>
      </w:r>
      <w:r w:rsidRPr="00C5032E">
        <w:rPr>
          <w:rFonts w:cs="Arial"/>
          <w:b/>
          <w:szCs w:val="24"/>
        </w:rPr>
        <w:t xml:space="preserve"> Ciencias </w:t>
      </w:r>
      <w:r>
        <w:rPr>
          <w:rFonts w:cs="Arial"/>
          <w:b/>
          <w:szCs w:val="24"/>
        </w:rPr>
        <w:t>Bíblicas</w:t>
      </w:r>
    </w:p>
    <w:p w14:paraId="1F31F3A4" w14:textId="77777777" w:rsidR="0076384B" w:rsidRPr="00C5032E" w:rsidRDefault="0076384B" w:rsidP="0014402E">
      <w:pPr>
        <w:jc w:val="center"/>
        <w:rPr>
          <w:rFonts w:cs="Arial"/>
          <w:b/>
          <w:szCs w:val="24"/>
        </w:rPr>
      </w:pPr>
      <w:r w:rsidRPr="00C5032E">
        <w:rPr>
          <w:rFonts w:cs="Arial"/>
          <w:b/>
          <w:szCs w:val="24"/>
        </w:rPr>
        <w:t>Sílabo</w:t>
      </w:r>
    </w:p>
    <w:p w14:paraId="5A5CAE1F" w14:textId="77777777" w:rsidR="0076384B" w:rsidRPr="00C5032E" w:rsidRDefault="0076384B" w:rsidP="001A09EE">
      <w:pPr>
        <w:jc w:val="center"/>
        <w:rPr>
          <w:rFonts w:cs="Arial"/>
          <w:b/>
          <w:szCs w:val="24"/>
        </w:rPr>
      </w:pPr>
      <w:bookmarkStart w:id="7" w:name="CTX106"/>
      <w:r w:rsidRPr="00C5032E">
        <w:rPr>
          <w:rFonts w:cs="Arial"/>
          <w:b/>
          <w:szCs w:val="24"/>
        </w:rPr>
        <w:t>El Quehacer Teológico</w:t>
      </w:r>
      <w:bookmarkEnd w:id="7"/>
    </w:p>
    <w:p w14:paraId="2A1708A9" w14:textId="77777777" w:rsidR="0076384B" w:rsidRDefault="0076384B" w:rsidP="00DD34BC">
      <w:pPr>
        <w:rPr>
          <w:rFonts w:ascii="Arial" w:eastAsia="Arial" w:hAnsi="Arial" w:cs="Arial"/>
          <w:color w:val="0070C0"/>
        </w:rPr>
      </w:pPr>
    </w:p>
    <w:tbl>
      <w:tblPr>
        <w:tblStyle w:val="Tablaconcuadrcula"/>
        <w:tblW w:w="0" w:type="auto"/>
        <w:tblLook w:val="04A0" w:firstRow="1" w:lastRow="0" w:firstColumn="1" w:lastColumn="0" w:noHBand="0" w:noVBand="1"/>
      </w:tblPr>
      <w:tblGrid>
        <w:gridCol w:w="1667"/>
        <w:gridCol w:w="7161"/>
      </w:tblGrid>
      <w:tr w:rsidR="0076384B" w:rsidRPr="0055736E" w14:paraId="6E3F89B8" w14:textId="77777777" w:rsidTr="00497CB3">
        <w:tc>
          <w:tcPr>
            <w:tcW w:w="1667" w:type="dxa"/>
          </w:tcPr>
          <w:p w14:paraId="50B3FC0F" w14:textId="77777777" w:rsidR="0076384B" w:rsidRPr="0055736E" w:rsidRDefault="0076384B" w:rsidP="00465F5C">
            <w:pPr>
              <w:rPr>
                <w:rFonts w:cstheme="minorHAnsi"/>
                <w:b/>
              </w:rPr>
            </w:pPr>
            <w:r w:rsidRPr="0055736E">
              <w:rPr>
                <w:rFonts w:cstheme="minorHAnsi"/>
                <w:b/>
              </w:rPr>
              <w:t>Código</w:t>
            </w:r>
          </w:p>
        </w:tc>
        <w:tc>
          <w:tcPr>
            <w:tcW w:w="7161" w:type="dxa"/>
          </w:tcPr>
          <w:p w14:paraId="23D99BED" w14:textId="77777777" w:rsidR="0076384B" w:rsidRPr="0055736E" w:rsidRDefault="0076384B" w:rsidP="00465F5C">
            <w:pPr>
              <w:rPr>
                <w:rFonts w:cstheme="minorHAnsi"/>
              </w:rPr>
            </w:pPr>
            <w:r>
              <w:rPr>
                <w:rFonts w:cstheme="minorHAnsi"/>
              </w:rPr>
              <w:t>CTX 106</w:t>
            </w:r>
          </w:p>
        </w:tc>
      </w:tr>
      <w:tr w:rsidR="0076384B" w:rsidRPr="0055736E" w14:paraId="783BDCFC" w14:textId="77777777" w:rsidTr="00497CB3">
        <w:tc>
          <w:tcPr>
            <w:tcW w:w="1667" w:type="dxa"/>
          </w:tcPr>
          <w:p w14:paraId="169341A5" w14:textId="77777777" w:rsidR="0076384B" w:rsidRPr="0055736E" w:rsidRDefault="0076384B" w:rsidP="00465F5C">
            <w:pPr>
              <w:rPr>
                <w:rFonts w:cstheme="minorHAnsi"/>
                <w:b/>
              </w:rPr>
            </w:pPr>
            <w:r w:rsidRPr="0055736E">
              <w:rPr>
                <w:rFonts w:cstheme="minorHAnsi"/>
                <w:b/>
              </w:rPr>
              <w:t>Créditos</w:t>
            </w:r>
          </w:p>
        </w:tc>
        <w:tc>
          <w:tcPr>
            <w:tcW w:w="7161" w:type="dxa"/>
          </w:tcPr>
          <w:p w14:paraId="2A4A1CB4" w14:textId="77777777" w:rsidR="0076384B" w:rsidRPr="0055736E" w:rsidRDefault="0076384B" w:rsidP="00465F5C">
            <w:pPr>
              <w:rPr>
                <w:rFonts w:cstheme="minorHAnsi"/>
              </w:rPr>
            </w:pPr>
            <w:r>
              <w:rPr>
                <w:rFonts w:cstheme="minorHAnsi"/>
              </w:rPr>
              <w:t>4</w:t>
            </w:r>
          </w:p>
        </w:tc>
      </w:tr>
      <w:tr w:rsidR="0076384B" w:rsidRPr="0055736E" w14:paraId="4D2802F5" w14:textId="77777777" w:rsidTr="00497CB3">
        <w:tc>
          <w:tcPr>
            <w:tcW w:w="1667" w:type="dxa"/>
          </w:tcPr>
          <w:p w14:paraId="2B99A735" w14:textId="77777777" w:rsidR="0076384B" w:rsidRPr="0055736E" w:rsidRDefault="0076384B" w:rsidP="00465F5C">
            <w:pPr>
              <w:rPr>
                <w:rFonts w:cstheme="minorHAnsi"/>
                <w:b/>
              </w:rPr>
            </w:pPr>
            <w:r w:rsidRPr="0055736E">
              <w:rPr>
                <w:rFonts w:cstheme="minorHAnsi"/>
                <w:b/>
              </w:rPr>
              <w:t>Requisitos</w:t>
            </w:r>
          </w:p>
        </w:tc>
        <w:tc>
          <w:tcPr>
            <w:tcW w:w="7161" w:type="dxa"/>
          </w:tcPr>
          <w:p w14:paraId="40B0793D" w14:textId="77777777" w:rsidR="0076384B" w:rsidRPr="0055736E" w:rsidRDefault="0076384B" w:rsidP="00465F5C">
            <w:pPr>
              <w:rPr>
                <w:rFonts w:cstheme="minorHAnsi"/>
              </w:rPr>
            </w:pPr>
            <w:r>
              <w:rPr>
                <w:rFonts w:cstheme="minorHAnsi"/>
              </w:rPr>
              <w:t>Ninguno</w:t>
            </w:r>
          </w:p>
        </w:tc>
      </w:tr>
      <w:tr w:rsidR="0076384B" w:rsidRPr="0055736E" w14:paraId="154BB5CB" w14:textId="77777777" w:rsidTr="00497CB3">
        <w:tc>
          <w:tcPr>
            <w:tcW w:w="1667" w:type="dxa"/>
          </w:tcPr>
          <w:p w14:paraId="13065D21" w14:textId="77777777" w:rsidR="0076384B" w:rsidRPr="0055736E" w:rsidRDefault="0076384B" w:rsidP="00465F5C">
            <w:pPr>
              <w:rPr>
                <w:rFonts w:cstheme="minorHAnsi"/>
                <w:b/>
              </w:rPr>
            </w:pPr>
            <w:r w:rsidRPr="0055736E">
              <w:rPr>
                <w:rFonts w:cstheme="minorHAnsi"/>
                <w:b/>
              </w:rPr>
              <w:t>Modalidad</w:t>
            </w:r>
          </w:p>
        </w:tc>
        <w:tc>
          <w:tcPr>
            <w:tcW w:w="7161" w:type="dxa"/>
          </w:tcPr>
          <w:p w14:paraId="762F7295" w14:textId="77777777" w:rsidR="0076384B" w:rsidRPr="0055736E" w:rsidRDefault="0076384B" w:rsidP="00465F5C">
            <w:pPr>
              <w:rPr>
                <w:rFonts w:cstheme="minorHAnsi"/>
              </w:rPr>
            </w:pPr>
            <w:r>
              <w:rPr>
                <w:rFonts w:cstheme="minorHAnsi"/>
              </w:rPr>
              <w:t>Virtual</w:t>
            </w:r>
          </w:p>
        </w:tc>
      </w:tr>
      <w:tr w:rsidR="0076384B" w:rsidRPr="0055736E" w14:paraId="3FB40E09" w14:textId="77777777" w:rsidTr="00497CB3">
        <w:tc>
          <w:tcPr>
            <w:tcW w:w="1667" w:type="dxa"/>
          </w:tcPr>
          <w:p w14:paraId="1489E35F" w14:textId="77777777" w:rsidR="0076384B" w:rsidRPr="0055736E" w:rsidRDefault="0076384B" w:rsidP="00465F5C">
            <w:pPr>
              <w:rPr>
                <w:rFonts w:cstheme="minorHAnsi"/>
                <w:b/>
              </w:rPr>
            </w:pPr>
            <w:r w:rsidRPr="0055736E">
              <w:rPr>
                <w:rFonts w:cstheme="minorHAnsi"/>
                <w:b/>
              </w:rPr>
              <w:t>Naturaleza</w:t>
            </w:r>
          </w:p>
        </w:tc>
        <w:tc>
          <w:tcPr>
            <w:tcW w:w="7161" w:type="dxa"/>
          </w:tcPr>
          <w:p w14:paraId="08E476F3" w14:textId="77777777" w:rsidR="0076384B" w:rsidRPr="00B35C4B" w:rsidRDefault="0076384B" w:rsidP="00465F5C">
            <w:pPr>
              <w:rPr>
                <w:rFonts w:cstheme="minorHAnsi"/>
              </w:rPr>
            </w:pPr>
            <w:r w:rsidRPr="00B35C4B">
              <w:rPr>
                <w:rFonts w:cstheme="minorHAnsi"/>
              </w:rPr>
              <w:t>Teórico</w:t>
            </w:r>
          </w:p>
        </w:tc>
      </w:tr>
      <w:tr w:rsidR="0076384B" w:rsidRPr="0055736E" w14:paraId="622F5FEB" w14:textId="77777777" w:rsidTr="00497CB3">
        <w:tc>
          <w:tcPr>
            <w:tcW w:w="1667" w:type="dxa"/>
          </w:tcPr>
          <w:p w14:paraId="798B4D3A" w14:textId="77777777" w:rsidR="0076384B" w:rsidRPr="0055736E" w:rsidRDefault="0076384B" w:rsidP="00465F5C">
            <w:pPr>
              <w:rPr>
                <w:rFonts w:cstheme="minorHAnsi"/>
                <w:b/>
              </w:rPr>
            </w:pPr>
            <w:r w:rsidRPr="0055736E">
              <w:rPr>
                <w:rFonts w:cstheme="minorHAnsi"/>
                <w:b/>
              </w:rPr>
              <w:t>Periodo</w:t>
            </w:r>
          </w:p>
        </w:tc>
        <w:tc>
          <w:tcPr>
            <w:tcW w:w="7161" w:type="dxa"/>
          </w:tcPr>
          <w:p w14:paraId="701EA1BA" w14:textId="77777777" w:rsidR="0076384B" w:rsidRPr="0055736E" w:rsidRDefault="0076384B" w:rsidP="00465F5C">
            <w:pPr>
              <w:rPr>
                <w:rFonts w:cstheme="minorHAnsi"/>
              </w:rPr>
            </w:pPr>
            <w:r>
              <w:rPr>
                <w:rFonts w:cstheme="minorHAnsi"/>
              </w:rPr>
              <w:t>Cuatrimestral (15 semanas lectivas)</w:t>
            </w:r>
          </w:p>
        </w:tc>
      </w:tr>
      <w:tr w:rsidR="0076384B" w:rsidRPr="0055736E" w14:paraId="79924DDF" w14:textId="77777777" w:rsidTr="00497CB3">
        <w:tc>
          <w:tcPr>
            <w:tcW w:w="1667" w:type="dxa"/>
          </w:tcPr>
          <w:p w14:paraId="4E7FA43F" w14:textId="77777777" w:rsidR="0076384B" w:rsidRPr="0055736E" w:rsidRDefault="0076384B" w:rsidP="00465F5C">
            <w:pPr>
              <w:rPr>
                <w:rFonts w:cstheme="minorHAnsi"/>
                <w:b/>
              </w:rPr>
            </w:pPr>
            <w:r>
              <w:rPr>
                <w:rFonts w:cstheme="minorHAnsi"/>
                <w:b/>
              </w:rPr>
              <w:t>Nivel</w:t>
            </w:r>
          </w:p>
        </w:tc>
        <w:tc>
          <w:tcPr>
            <w:tcW w:w="7161" w:type="dxa"/>
          </w:tcPr>
          <w:p w14:paraId="11CCD19E" w14:textId="77777777" w:rsidR="0076384B" w:rsidRDefault="0076384B" w:rsidP="00465F5C">
            <w:pPr>
              <w:rPr>
                <w:rFonts w:cstheme="minorHAnsi"/>
              </w:rPr>
            </w:pPr>
            <w:r>
              <w:rPr>
                <w:rFonts w:cstheme="minorHAnsi"/>
              </w:rPr>
              <w:t>I Cuatrimestre</w:t>
            </w:r>
          </w:p>
        </w:tc>
      </w:tr>
      <w:tr w:rsidR="0076384B" w:rsidRPr="0055736E" w14:paraId="328580CB" w14:textId="77777777" w:rsidTr="00497CB3">
        <w:tc>
          <w:tcPr>
            <w:tcW w:w="1667" w:type="dxa"/>
          </w:tcPr>
          <w:p w14:paraId="7CC25C0B" w14:textId="77777777" w:rsidR="0076384B" w:rsidRPr="0055736E" w:rsidRDefault="0076384B" w:rsidP="00465F5C">
            <w:pPr>
              <w:rPr>
                <w:rFonts w:cstheme="minorHAnsi"/>
                <w:b/>
              </w:rPr>
            </w:pPr>
            <w:r w:rsidRPr="0055736E">
              <w:rPr>
                <w:rFonts w:cstheme="minorHAnsi"/>
                <w:b/>
              </w:rPr>
              <w:t>Horario</w:t>
            </w:r>
          </w:p>
        </w:tc>
        <w:tc>
          <w:tcPr>
            <w:tcW w:w="7161" w:type="dxa"/>
          </w:tcPr>
          <w:p w14:paraId="475211E6" w14:textId="77777777" w:rsidR="0076384B" w:rsidRPr="0055736E" w:rsidRDefault="0076384B" w:rsidP="00465F5C">
            <w:pPr>
              <w:rPr>
                <w:rFonts w:cstheme="minorHAnsi"/>
              </w:rPr>
            </w:pPr>
            <w:r>
              <w:rPr>
                <w:rFonts w:cstheme="minorHAnsi"/>
              </w:rPr>
              <w:t>El curso requiere de 12 horas de trabajo semanal</w:t>
            </w:r>
          </w:p>
        </w:tc>
      </w:tr>
      <w:tr w:rsidR="0076384B" w:rsidRPr="0055736E" w14:paraId="7050A20F" w14:textId="77777777" w:rsidTr="00497CB3">
        <w:tc>
          <w:tcPr>
            <w:tcW w:w="1667" w:type="dxa"/>
          </w:tcPr>
          <w:p w14:paraId="46AAB63A" w14:textId="77777777" w:rsidR="0076384B" w:rsidRPr="0055736E" w:rsidRDefault="0076384B" w:rsidP="00465F5C">
            <w:pPr>
              <w:rPr>
                <w:rFonts w:cstheme="minorHAnsi"/>
                <w:b/>
              </w:rPr>
            </w:pPr>
            <w:r w:rsidRPr="0055736E">
              <w:rPr>
                <w:rFonts w:cstheme="minorHAnsi"/>
                <w:b/>
              </w:rPr>
              <w:t>Aula</w:t>
            </w:r>
          </w:p>
        </w:tc>
        <w:tc>
          <w:tcPr>
            <w:tcW w:w="7161" w:type="dxa"/>
          </w:tcPr>
          <w:p w14:paraId="1E1D97AE" w14:textId="77777777" w:rsidR="0076384B" w:rsidRPr="0055736E" w:rsidRDefault="0076384B" w:rsidP="00465F5C">
            <w:pPr>
              <w:rPr>
                <w:rFonts w:cstheme="minorHAnsi"/>
              </w:rPr>
            </w:pPr>
            <w:r>
              <w:rPr>
                <w:rFonts w:cstheme="minorHAnsi"/>
              </w:rPr>
              <w:t>Plataforma virtual de la UBL</w:t>
            </w:r>
          </w:p>
        </w:tc>
      </w:tr>
      <w:tr w:rsidR="0076384B" w:rsidRPr="0055736E" w14:paraId="1AA254ED" w14:textId="77777777" w:rsidTr="00497CB3">
        <w:tc>
          <w:tcPr>
            <w:tcW w:w="1667" w:type="dxa"/>
          </w:tcPr>
          <w:p w14:paraId="60660DF6" w14:textId="77777777" w:rsidR="0076384B" w:rsidRPr="0055736E" w:rsidRDefault="0076384B" w:rsidP="00465F5C">
            <w:pPr>
              <w:rPr>
                <w:rFonts w:cstheme="minorHAnsi"/>
                <w:b/>
              </w:rPr>
            </w:pPr>
            <w:r>
              <w:rPr>
                <w:rFonts w:cstheme="minorHAnsi"/>
                <w:b/>
              </w:rPr>
              <w:t>Docente</w:t>
            </w:r>
          </w:p>
        </w:tc>
        <w:tc>
          <w:tcPr>
            <w:tcW w:w="7161" w:type="dxa"/>
          </w:tcPr>
          <w:p w14:paraId="46328197" w14:textId="77777777" w:rsidR="0076384B" w:rsidRDefault="0076384B" w:rsidP="00465F5C">
            <w:pPr>
              <w:rPr>
                <w:rFonts w:cstheme="minorHAnsi"/>
              </w:rPr>
            </w:pPr>
          </w:p>
        </w:tc>
      </w:tr>
      <w:tr w:rsidR="0076384B" w:rsidRPr="0055736E" w14:paraId="3A27645E" w14:textId="77777777" w:rsidTr="00B25157">
        <w:tc>
          <w:tcPr>
            <w:tcW w:w="1667" w:type="dxa"/>
            <w:vAlign w:val="center"/>
          </w:tcPr>
          <w:p w14:paraId="60A0BE1F" w14:textId="77777777" w:rsidR="0076384B" w:rsidRPr="0055736E" w:rsidRDefault="0076384B" w:rsidP="00B25157">
            <w:pPr>
              <w:rPr>
                <w:rFonts w:cstheme="minorHAnsi"/>
              </w:rPr>
            </w:pPr>
            <w:r w:rsidRPr="0055736E">
              <w:rPr>
                <w:rFonts w:cstheme="minorHAnsi"/>
                <w:b/>
              </w:rPr>
              <w:t>Instrucciones administrativas</w:t>
            </w:r>
          </w:p>
        </w:tc>
        <w:tc>
          <w:tcPr>
            <w:tcW w:w="7161" w:type="dxa"/>
            <w:vAlign w:val="center"/>
          </w:tcPr>
          <w:p w14:paraId="11AA83AE" w14:textId="77777777" w:rsidR="0076384B" w:rsidRDefault="0076384B" w:rsidP="00E43BCF">
            <w:pPr>
              <w:jc w:val="both"/>
              <w:rPr>
                <w:rFonts w:cstheme="minorHAnsi"/>
              </w:rPr>
            </w:pPr>
            <w:r w:rsidRPr="0055736E">
              <w:rPr>
                <w:rFonts w:cstheme="minorHAnsi"/>
              </w:rPr>
              <w:t xml:space="preserve">El curso </w:t>
            </w:r>
            <w:r>
              <w:rPr>
                <w:rFonts w:cstheme="minorHAnsi"/>
              </w:rPr>
              <w:t xml:space="preserve">es virtual por lo que se </w:t>
            </w:r>
            <w:r w:rsidRPr="0055736E">
              <w:rPr>
                <w:rFonts w:cstheme="minorHAnsi"/>
              </w:rPr>
              <w:t xml:space="preserve">requiere </w:t>
            </w:r>
            <w:r>
              <w:rPr>
                <w:rFonts w:cstheme="minorHAnsi"/>
              </w:rPr>
              <w:t>de acceso a una computadora con conexión a Internet, además de destrezas básicas para el manejo de correo electrónico y la plataforma Moodle desde el rol de estudiante. La dirección de acceso a la plataforma es la siguiente:</w:t>
            </w:r>
          </w:p>
          <w:p w14:paraId="558A6A93" w14:textId="77777777" w:rsidR="0076384B" w:rsidRPr="0055736E" w:rsidRDefault="00DD16F2" w:rsidP="00E43BCF">
            <w:pPr>
              <w:jc w:val="both"/>
              <w:rPr>
                <w:rFonts w:cstheme="minorHAnsi"/>
              </w:rPr>
            </w:pPr>
            <w:hyperlink r:id="rId33" w:history="1">
              <w:r w:rsidR="0076384B" w:rsidRPr="00B96849">
                <w:rPr>
                  <w:rStyle w:val="Hipervnculo"/>
                  <w:rFonts w:cstheme="minorHAnsi"/>
                </w:rPr>
                <w:t>https://campus.ubl.ac.cr/login/index.php</w:t>
              </w:r>
            </w:hyperlink>
          </w:p>
        </w:tc>
      </w:tr>
    </w:tbl>
    <w:p w14:paraId="14423142" w14:textId="77777777" w:rsidR="0076384B" w:rsidRDefault="0076384B" w:rsidP="00DD34BC">
      <w:pPr>
        <w:jc w:val="both"/>
        <w:rPr>
          <w:rFonts w:cs="Arial"/>
          <w:b/>
          <w:color w:val="000000" w:themeColor="text1"/>
        </w:rPr>
      </w:pPr>
    </w:p>
    <w:p w14:paraId="240D4EDB" w14:textId="77777777" w:rsidR="0076384B" w:rsidRPr="00C5032E" w:rsidRDefault="0076384B" w:rsidP="00DD34BC">
      <w:pPr>
        <w:jc w:val="both"/>
        <w:rPr>
          <w:rFonts w:cs="Arial"/>
          <w:b/>
          <w:bCs/>
          <w:color w:val="000000" w:themeColor="text1"/>
        </w:rPr>
      </w:pPr>
      <w:r w:rsidRPr="00C5032E">
        <w:rPr>
          <w:rFonts w:cs="Arial"/>
          <w:b/>
          <w:color w:val="000000" w:themeColor="text1"/>
        </w:rPr>
        <w:t>I.</w:t>
      </w:r>
      <w:r>
        <w:rPr>
          <w:rFonts w:cs="Arial"/>
          <w:b/>
          <w:color w:val="000000" w:themeColor="text1"/>
        </w:rPr>
        <w:t xml:space="preserve"> </w:t>
      </w:r>
      <w:r w:rsidRPr="00C5032E">
        <w:rPr>
          <w:rFonts w:cs="Arial"/>
          <w:b/>
          <w:bCs/>
          <w:color w:val="000000" w:themeColor="text1"/>
        </w:rPr>
        <w:t xml:space="preserve">Descripción </w:t>
      </w:r>
    </w:p>
    <w:p w14:paraId="2D96E4DA" w14:textId="77777777" w:rsidR="0076384B" w:rsidRDefault="0076384B" w:rsidP="00DD34BC">
      <w:pPr>
        <w:jc w:val="both"/>
        <w:rPr>
          <w:rFonts w:cs="Arial"/>
          <w:color w:val="000000" w:themeColor="text1"/>
        </w:rPr>
      </w:pPr>
      <w:r>
        <w:rPr>
          <w:rFonts w:cs="Arial"/>
          <w:color w:val="000000" w:themeColor="text1"/>
        </w:rPr>
        <w:t>El curso introduce a</w:t>
      </w:r>
      <w:r w:rsidRPr="00C5032E">
        <w:rPr>
          <w:rFonts w:cs="Arial"/>
          <w:color w:val="000000" w:themeColor="text1"/>
        </w:rPr>
        <w:t>l estudiant</w:t>
      </w:r>
      <w:r>
        <w:rPr>
          <w:rFonts w:cs="Arial"/>
          <w:color w:val="000000" w:themeColor="text1"/>
        </w:rPr>
        <w:t xml:space="preserve">e a la disciplina de teología. </w:t>
      </w:r>
      <w:r w:rsidRPr="00C5032E">
        <w:rPr>
          <w:rFonts w:cs="Arial"/>
          <w:color w:val="000000" w:themeColor="text1"/>
        </w:rPr>
        <w:t>Enfatiza las herramientas y los procesos de construcción teológica desde contextos específicos como el quehacer fundamental del pastor-teólogo.</w:t>
      </w:r>
    </w:p>
    <w:p w14:paraId="7CBF53D1" w14:textId="77777777" w:rsidR="0004741C" w:rsidRDefault="0004741C" w:rsidP="00DD34BC">
      <w:pPr>
        <w:jc w:val="both"/>
        <w:rPr>
          <w:rFonts w:cs="Arial"/>
          <w:color w:val="000000" w:themeColor="text1"/>
        </w:rPr>
      </w:pPr>
    </w:p>
    <w:p w14:paraId="2FCDC22E" w14:textId="77777777" w:rsidR="0004741C" w:rsidRDefault="0004741C" w:rsidP="00DD34BC">
      <w:pPr>
        <w:jc w:val="both"/>
        <w:rPr>
          <w:rFonts w:cs="Arial"/>
          <w:color w:val="000000" w:themeColor="text1"/>
        </w:rPr>
      </w:pPr>
    </w:p>
    <w:p w14:paraId="0BB70883" w14:textId="77777777" w:rsidR="0004741C" w:rsidRPr="00C5032E" w:rsidRDefault="0004741C" w:rsidP="00DD34BC">
      <w:pPr>
        <w:jc w:val="both"/>
        <w:rPr>
          <w:rFonts w:cs="Arial"/>
          <w:color w:val="000000" w:themeColor="text1"/>
        </w:rPr>
      </w:pPr>
    </w:p>
    <w:p w14:paraId="07BB5B9F" w14:textId="77777777" w:rsidR="0076384B" w:rsidRPr="00C5032E" w:rsidRDefault="0076384B" w:rsidP="00DD34BC">
      <w:pPr>
        <w:jc w:val="both"/>
        <w:rPr>
          <w:rFonts w:cs="Arial"/>
          <w:b/>
          <w:bCs/>
          <w:color w:val="000000" w:themeColor="text1"/>
        </w:rPr>
      </w:pPr>
      <w:r w:rsidRPr="00C5032E">
        <w:rPr>
          <w:rFonts w:cs="Arial"/>
          <w:b/>
          <w:bCs/>
          <w:color w:val="000000" w:themeColor="text1"/>
        </w:rPr>
        <w:lastRenderedPageBreak/>
        <w:t>II.</w:t>
      </w:r>
      <w:r>
        <w:rPr>
          <w:rFonts w:cs="Arial"/>
          <w:b/>
          <w:bCs/>
          <w:color w:val="000000" w:themeColor="text1"/>
        </w:rPr>
        <w:t xml:space="preserve"> </w:t>
      </w:r>
      <w:r w:rsidRPr="00C5032E">
        <w:rPr>
          <w:rFonts w:cs="Arial"/>
          <w:b/>
          <w:bCs/>
          <w:color w:val="000000" w:themeColor="text1"/>
        </w:rPr>
        <w:t xml:space="preserve">Objetivo general </w:t>
      </w:r>
    </w:p>
    <w:p w14:paraId="39B69557" w14:textId="77777777" w:rsidR="0076384B" w:rsidRDefault="0076384B" w:rsidP="00DD34BC">
      <w:pPr>
        <w:jc w:val="both"/>
        <w:rPr>
          <w:rFonts w:cs="Arial"/>
          <w:color w:val="000000" w:themeColor="text1"/>
        </w:rPr>
      </w:pPr>
      <w:r w:rsidRPr="00C5032E">
        <w:rPr>
          <w:rFonts w:cs="Arial"/>
          <w:color w:val="000000" w:themeColor="text1"/>
        </w:rPr>
        <w:t>Lograr que los y las estudiantes tengan un panorama global del quehacer teológico actual, encuentren un camino liberador para sí mismos/as y para s</w:t>
      </w:r>
      <w:r>
        <w:rPr>
          <w:rFonts w:cs="Arial"/>
          <w:color w:val="000000" w:themeColor="text1"/>
        </w:rPr>
        <w:t>us comunidades en este quehacer</w:t>
      </w:r>
      <w:r w:rsidRPr="00C5032E">
        <w:rPr>
          <w:rFonts w:cs="Arial"/>
          <w:color w:val="000000" w:themeColor="text1"/>
        </w:rPr>
        <w:t xml:space="preserve"> y se sientan motivados para seguir estudiando teología.</w:t>
      </w:r>
    </w:p>
    <w:p w14:paraId="2C8BF563" w14:textId="77777777" w:rsidR="0076384B" w:rsidRPr="00C5032E" w:rsidRDefault="0076384B" w:rsidP="00DD34BC">
      <w:pPr>
        <w:jc w:val="both"/>
        <w:rPr>
          <w:rFonts w:cs="Arial"/>
          <w:b/>
          <w:bCs/>
          <w:iCs/>
          <w:color w:val="000000" w:themeColor="text1"/>
        </w:rPr>
      </w:pPr>
      <w:r w:rsidRPr="00C5032E">
        <w:rPr>
          <w:rFonts w:cs="Arial"/>
          <w:b/>
          <w:bCs/>
          <w:iCs/>
          <w:color w:val="000000" w:themeColor="text1"/>
        </w:rPr>
        <w:t>III</w:t>
      </w:r>
      <w:r w:rsidRPr="00C5032E">
        <w:rPr>
          <w:rFonts w:cs="Arial"/>
          <w:b/>
          <w:bCs/>
          <w:i/>
          <w:iCs/>
          <w:color w:val="000000" w:themeColor="text1"/>
        </w:rPr>
        <w:t>.</w:t>
      </w:r>
      <w:r>
        <w:rPr>
          <w:rFonts w:cs="Arial"/>
          <w:b/>
          <w:bCs/>
          <w:i/>
          <w:iCs/>
          <w:color w:val="000000" w:themeColor="text1"/>
        </w:rPr>
        <w:t xml:space="preserve"> </w:t>
      </w:r>
      <w:r w:rsidRPr="00C5032E">
        <w:rPr>
          <w:rFonts w:cs="Arial"/>
          <w:b/>
          <w:bCs/>
          <w:iCs/>
          <w:color w:val="000000" w:themeColor="text1"/>
        </w:rPr>
        <w:t xml:space="preserve">Objetivos específicos </w:t>
      </w:r>
    </w:p>
    <w:p w14:paraId="10519515" w14:textId="77777777" w:rsidR="0076384B" w:rsidRPr="00F4102D" w:rsidRDefault="0076384B" w:rsidP="00DD34BC">
      <w:pPr>
        <w:pStyle w:val="NormalHanging"/>
        <w:spacing w:before="0"/>
        <w:ind w:left="0" w:firstLine="0"/>
        <w:rPr>
          <w:rFonts w:asciiTheme="minorHAnsi" w:hAnsiTheme="minorHAnsi" w:cs="Arial"/>
          <w:color w:val="000000" w:themeColor="text1"/>
          <w:sz w:val="16"/>
          <w:szCs w:val="16"/>
        </w:rPr>
      </w:pPr>
    </w:p>
    <w:p w14:paraId="24D1105C" w14:textId="77777777" w:rsidR="0076384B" w:rsidRPr="00C5032E" w:rsidRDefault="0076384B" w:rsidP="0076384B">
      <w:pPr>
        <w:pStyle w:val="NormalHanging"/>
        <w:numPr>
          <w:ilvl w:val="0"/>
          <w:numId w:val="6"/>
        </w:numPr>
        <w:spacing w:before="0" w:line="276" w:lineRule="auto"/>
        <w:ind w:left="426"/>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Definir y explicar "teología" y sus varias ramas y ámbitos.</w:t>
      </w:r>
    </w:p>
    <w:p w14:paraId="036D6913" w14:textId="77777777" w:rsidR="0076384B" w:rsidRPr="00C5032E" w:rsidRDefault="0076384B" w:rsidP="0076384B">
      <w:pPr>
        <w:pStyle w:val="NormalHanging"/>
        <w:numPr>
          <w:ilvl w:val="0"/>
          <w:numId w:val="6"/>
        </w:numPr>
        <w:spacing w:before="0" w:line="276" w:lineRule="auto"/>
        <w:ind w:left="426"/>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Identificar los elementos que constituyen el proceso del desarrollo teológico.</w:t>
      </w:r>
    </w:p>
    <w:p w14:paraId="1764B49A" w14:textId="77777777" w:rsidR="0076384B" w:rsidRPr="00C5032E" w:rsidRDefault="0076384B" w:rsidP="0076384B">
      <w:pPr>
        <w:pStyle w:val="NormalHanging"/>
        <w:numPr>
          <w:ilvl w:val="0"/>
          <w:numId w:val="6"/>
        </w:numPr>
        <w:spacing w:before="0" w:line="276" w:lineRule="auto"/>
        <w:ind w:left="426"/>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Explicar algunos de los fundamentos teológicos del protestantismo y, en especial, el significado del "principio protestante" para hoy.</w:t>
      </w:r>
    </w:p>
    <w:p w14:paraId="0D71425A" w14:textId="77777777" w:rsidR="0076384B" w:rsidRPr="00C5032E" w:rsidRDefault="0076384B" w:rsidP="0076384B">
      <w:pPr>
        <w:pStyle w:val="NormalHanging"/>
        <w:numPr>
          <w:ilvl w:val="0"/>
          <w:numId w:val="6"/>
        </w:numPr>
        <w:spacing w:before="0" w:line="276" w:lineRule="auto"/>
        <w:ind w:left="426"/>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Explicar algunos de los fundamentos teológicos del catolicismo romano.</w:t>
      </w:r>
    </w:p>
    <w:p w14:paraId="4D0B3855" w14:textId="77777777" w:rsidR="0076384B" w:rsidRPr="00C5032E" w:rsidRDefault="0076384B" w:rsidP="0076384B">
      <w:pPr>
        <w:pStyle w:val="NormalHanging"/>
        <w:numPr>
          <w:ilvl w:val="0"/>
          <w:numId w:val="6"/>
        </w:numPr>
        <w:spacing w:before="0" w:line="276" w:lineRule="auto"/>
        <w:ind w:left="426"/>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Elaborar una postura teológica propia en la que sobresalgan los aspectos metodológicos y hermenéuticos, con el fin de mostrar a la comunidad caminos para una reflexión teológica liberadora.</w:t>
      </w:r>
    </w:p>
    <w:p w14:paraId="427CF337" w14:textId="77777777" w:rsidR="0076384B" w:rsidRPr="00C5032E" w:rsidRDefault="0076384B" w:rsidP="00DD34BC">
      <w:pPr>
        <w:jc w:val="both"/>
        <w:rPr>
          <w:rFonts w:cs="Arial"/>
          <w:b/>
          <w:bCs/>
          <w:color w:val="000000" w:themeColor="text1"/>
        </w:rPr>
      </w:pPr>
    </w:p>
    <w:p w14:paraId="4E8B52C1" w14:textId="77777777" w:rsidR="0076384B" w:rsidRDefault="0076384B" w:rsidP="00DD34BC">
      <w:pPr>
        <w:jc w:val="both"/>
        <w:rPr>
          <w:rFonts w:cs="Arial"/>
          <w:b/>
          <w:bCs/>
          <w:color w:val="000000" w:themeColor="text1"/>
        </w:rPr>
      </w:pPr>
      <w:r w:rsidRPr="00C5032E">
        <w:rPr>
          <w:rFonts w:cs="Arial"/>
          <w:b/>
          <w:bCs/>
          <w:color w:val="000000" w:themeColor="text1"/>
        </w:rPr>
        <w:t>IV.</w:t>
      </w:r>
      <w:r>
        <w:rPr>
          <w:rFonts w:cs="Arial"/>
          <w:b/>
          <w:bCs/>
          <w:color w:val="000000" w:themeColor="text1"/>
        </w:rPr>
        <w:t xml:space="preserve"> </w:t>
      </w:r>
      <w:r w:rsidRPr="00C5032E">
        <w:rPr>
          <w:rFonts w:cs="Arial"/>
          <w:b/>
          <w:bCs/>
          <w:color w:val="000000" w:themeColor="text1"/>
        </w:rPr>
        <w:t>Contenidos</w:t>
      </w:r>
    </w:p>
    <w:p w14:paraId="64A8715C" w14:textId="77777777" w:rsidR="0076384B" w:rsidRPr="00C5032E" w:rsidRDefault="0076384B" w:rsidP="00945AF6">
      <w:pPr>
        <w:rPr>
          <w:rFonts w:cs="Arial"/>
          <w:b/>
          <w:bCs/>
          <w:color w:val="000000" w:themeColor="text1"/>
        </w:rPr>
      </w:pPr>
      <w:r w:rsidRPr="00C5032E">
        <w:rPr>
          <w:rFonts w:cs="Arial"/>
          <w:b/>
          <w:bCs/>
          <w:color w:val="000000" w:themeColor="text1"/>
        </w:rPr>
        <w:t xml:space="preserve">Unidad I: </w:t>
      </w:r>
      <w:r w:rsidRPr="00C5032E">
        <w:rPr>
          <w:rFonts w:cs="Arial"/>
          <w:b/>
          <w:color w:val="000000" w:themeColor="text1"/>
        </w:rPr>
        <w:t>El quehacer teológico</w:t>
      </w:r>
    </w:p>
    <w:p w14:paraId="1B5BC3BD"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1.  Hacia una definición de teología</w:t>
      </w:r>
    </w:p>
    <w:p w14:paraId="2A70E17C"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2.  Los sujetos de la producción teológica</w:t>
      </w:r>
    </w:p>
    <w:p w14:paraId="478711E3"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3.  La circularidad hermenéutica</w:t>
      </w:r>
    </w:p>
    <w:p w14:paraId="23C60204"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4.  Una teología abierta</w:t>
      </w:r>
    </w:p>
    <w:p w14:paraId="7E48110A"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5.  Los ámbitos de la producción teológica</w:t>
      </w:r>
    </w:p>
    <w:p w14:paraId="2DC2B8AD" w14:textId="77777777" w:rsidR="0076384B" w:rsidRDefault="0076384B" w:rsidP="00945AF6">
      <w:pPr>
        <w:pStyle w:val="Normalcontenido"/>
        <w:ind w:left="0" w:firstLine="0"/>
        <w:rPr>
          <w:rFonts w:asciiTheme="minorHAnsi" w:hAnsiTheme="minorHAnsi" w:cs="Arial"/>
          <w:color w:val="000000" w:themeColor="text1"/>
          <w:sz w:val="22"/>
          <w:szCs w:val="22"/>
        </w:rPr>
      </w:pPr>
    </w:p>
    <w:p w14:paraId="22338B0F" w14:textId="77777777" w:rsidR="0076384B" w:rsidRPr="00C5032E" w:rsidRDefault="0076384B" w:rsidP="00945AF6">
      <w:pPr>
        <w:pStyle w:val="Normalcontenido"/>
        <w:ind w:left="0" w:firstLine="0"/>
        <w:rPr>
          <w:rFonts w:asciiTheme="minorHAnsi" w:hAnsiTheme="minorHAnsi" w:cs="Arial"/>
          <w:b/>
          <w:color w:val="000000" w:themeColor="text1"/>
          <w:sz w:val="22"/>
          <w:szCs w:val="22"/>
        </w:rPr>
      </w:pPr>
      <w:r w:rsidRPr="00C5032E">
        <w:rPr>
          <w:rFonts w:asciiTheme="minorHAnsi" w:hAnsiTheme="minorHAnsi" w:cs="Arial"/>
          <w:b/>
          <w:color w:val="000000" w:themeColor="text1"/>
          <w:sz w:val="22"/>
          <w:szCs w:val="22"/>
        </w:rPr>
        <w:t>Unidad II: El mundo de la teología</w:t>
      </w:r>
    </w:p>
    <w:p w14:paraId="45C3B5B5"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1.  La teología práctica</w:t>
      </w:r>
    </w:p>
    <w:p w14:paraId="001EBFEB"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2.  La teología bíblica</w:t>
      </w:r>
    </w:p>
    <w:p w14:paraId="36B541B6"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3.  La teología sistemática e histórica</w:t>
      </w:r>
    </w:p>
    <w:p w14:paraId="62A6A474"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sidRPr="00C5032E">
        <w:rPr>
          <w:rFonts w:asciiTheme="minorHAnsi" w:hAnsiTheme="minorHAnsi" w:cs="Arial"/>
          <w:color w:val="000000" w:themeColor="text1"/>
          <w:sz w:val="22"/>
          <w:szCs w:val="22"/>
        </w:rPr>
        <w:t>4.  Correlación</w:t>
      </w:r>
    </w:p>
    <w:p w14:paraId="2DFFED5A" w14:textId="77777777" w:rsidR="0076384B" w:rsidRPr="00C5032E" w:rsidRDefault="0076384B" w:rsidP="00DD34BC">
      <w:pPr>
        <w:pStyle w:val="Normalcontenido"/>
        <w:ind w:left="1080" w:hanging="360"/>
        <w:rPr>
          <w:rFonts w:asciiTheme="minorHAnsi" w:hAnsiTheme="minorHAnsi" w:cs="Arial"/>
          <w:color w:val="000000" w:themeColor="text1"/>
          <w:sz w:val="22"/>
          <w:szCs w:val="22"/>
        </w:rPr>
      </w:pPr>
    </w:p>
    <w:p w14:paraId="4E416F29" w14:textId="77777777" w:rsidR="0076384B" w:rsidRPr="00C5032E" w:rsidRDefault="0076384B" w:rsidP="00945AF6">
      <w:pPr>
        <w:pStyle w:val="Default"/>
        <w:rPr>
          <w:rFonts w:asciiTheme="minorHAnsi" w:hAnsiTheme="minorHAnsi" w:cs="Arial"/>
          <w:b/>
          <w:color w:val="000000" w:themeColor="text1"/>
          <w:sz w:val="22"/>
          <w:szCs w:val="22"/>
        </w:rPr>
      </w:pPr>
      <w:r w:rsidRPr="00C5032E">
        <w:rPr>
          <w:rFonts w:asciiTheme="minorHAnsi" w:hAnsiTheme="minorHAnsi" w:cs="Arial"/>
          <w:b/>
          <w:color w:val="000000" w:themeColor="text1"/>
          <w:sz w:val="22"/>
          <w:szCs w:val="22"/>
        </w:rPr>
        <w:t>Unidad III:</w:t>
      </w:r>
      <w:r w:rsidRPr="00C5032E">
        <w:rPr>
          <w:rFonts w:asciiTheme="minorHAnsi" w:hAnsiTheme="minorHAnsi" w:cs="Arial"/>
          <w:bCs/>
          <w:color w:val="000000" w:themeColor="text1"/>
          <w:sz w:val="22"/>
          <w:szCs w:val="22"/>
        </w:rPr>
        <w:t xml:space="preserve"> </w:t>
      </w:r>
      <w:r w:rsidRPr="00C5032E">
        <w:rPr>
          <w:rFonts w:asciiTheme="minorHAnsi" w:hAnsiTheme="minorHAnsi" w:cs="Arial"/>
          <w:b/>
          <w:bCs/>
          <w:color w:val="000000" w:themeColor="text1"/>
          <w:sz w:val="22"/>
          <w:szCs w:val="22"/>
        </w:rPr>
        <w:t>¿Por qué se hacen necesarios nuevos paradigmas para el quehacer teológico?</w:t>
      </w:r>
      <w:r w:rsidRPr="00C5032E">
        <w:rPr>
          <w:rFonts w:asciiTheme="minorHAnsi" w:hAnsiTheme="minorHAnsi" w:cs="Arial"/>
          <w:bCs/>
          <w:color w:val="000000" w:themeColor="text1"/>
          <w:sz w:val="22"/>
          <w:szCs w:val="22"/>
        </w:rPr>
        <w:t xml:space="preserve"> </w:t>
      </w:r>
    </w:p>
    <w:p w14:paraId="536432FC" w14:textId="77777777" w:rsidR="0076384B" w:rsidRPr="00C5032E" w:rsidRDefault="0076384B" w:rsidP="00945AF6">
      <w:pPr>
        <w:pStyle w:val="Defaul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1. </w:t>
      </w:r>
      <w:r w:rsidRPr="00C5032E">
        <w:rPr>
          <w:rFonts w:asciiTheme="minorHAnsi" w:hAnsiTheme="minorHAnsi" w:cs="Arial"/>
          <w:color w:val="000000" w:themeColor="text1"/>
          <w:sz w:val="22"/>
          <w:szCs w:val="22"/>
        </w:rPr>
        <w:t xml:space="preserve">Una teología heurística e interrogativa </w:t>
      </w:r>
    </w:p>
    <w:p w14:paraId="4604E043" w14:textId="77777777" w:rsidR="0076384B" w:rsidRPr="00C5032E" w:rsidRDefault="0076384B" w:rsidP="00945AF6">
      <w:pPr>
        <w:pStyle w:val="Defaul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2. </w:t>
      </w:r>
      <w:r w:rsidRPr="00C5032E">
        <w:rPr>
          <w:rFonts w:asciiTheme="minorHAnsi" w:hAnsiTheme="minorHAnsi" w:cs="Arial"/>
          <w:color w:val="000000" w:themeColor="text1"/>
          <w:sz w:val="22"/>
          <w:szCs w:val="22"/>
        </w:rPr>
        <w:t xml:space="preserve">Horizonte intercultural </w:t>
      </w:r>
    </w:p>
    <w:p w14:paraId="441C47B3" w14:textId="77777777" w:rsidR="0076384B" w:rsidRPr="00C5032E" w:rsidRDefault="0076384B" w:rsidP="00945AF6">
      <w:pPr>
        <w:pStyle w:val="NormalHanging"/>
        <w:spacing w:before="0"/>
        <w:jc w:val="lef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3. ¿Desde dónde hago </w:t>
      </w:r>
      <w:r w:rsidRPr="00C5032E">
        <w:rPr>
          <w:rFonts w:asciiTheme="minorHAnsi" w:hAnsiTheme="minorHAnsi" w:cs="Arial"/>
          <w:color w:val="000000" w:themeColor="text1"/>
          <w:sz w:val="22"/>
          <w:szCs w:val="22"/>
        </w:rPr>
        <w:t>teología</w:t>
      </w:r>
      <w:r w:rsidRPr="00C5032E">
        <w:rPr>
          <w:rFonts w:asciiTheme="minorHAnsi" w:hAnsiTheme="minorHAnsi" w:cs="Arial"/>
          <w:bCs/>
          <w:color w:val="000000" w:themeColor="text1"/>
          <w:sz w:val="22"/>
          <w:szCs w:val="22"/>
        </w:rPr>
        <w:t xml:space="preserve">? </w:t>
      </w:r>
    </w:p>
    <w:p w14:paraId="0BF7844F" w14:textId="77777777" w:rsidR="0076384B" w:rsidRPr="00C5032E" w:rsidRDefault="0076384B" w:rsidP="00945AF6">
      <w:pPr>
        <w:pStyle w:val="NormalHanging"/>
        <w:spacing w:before="0"/>
        <w:jc w:val="left"/>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4. </w:t>
      </w:r>
      <w:r w:rsidRPr="00C5032E">
        <w:rPr>
          <w:rFonts w:asciiTheme="minorHAnsi" w:hAnsiTheme="minorHAnsi" w:cs="Arial"/>
          <w:color w:val="000000" w:themeColor="text1"/>
          <w:sz w:val="22"/>
          <w:szCs w:val="22"/>
        </w:rPr>
        <w:t>La teología en la tradición protestante</w:t>
      </w:r>
    </w:p>
    <w:p w14:paraId="319B7BDA"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5. Los rasgos contestatarios de</w:t>
      </w:r>
      <w:r w:rsidRPr="00C5032E">
        <w:rPr>
          <w:rFonts w:asciiTheme="minorHAnsi" w:hAnsiTheme="minorHAnsi" w:cs="Arial"/>
          <w:color w:val="000000" w:themeColor="text1"/>
          <w:sz w:val="22"/>
          <w:szCs w:val="22"/>
        </w:rPr>
        <w:t xml:space="preserve"> la tradición protestante</w:t>
      </w:r>
    </w:p>
    <w:p w14:paraId="34EB3A08"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6. </w:t>
      </w:r>
      <w:r w:rsidRPr="00C5032E">
        <w:rPr>
          <w:rFonts w:asciiTheme="minorHAnsi" w:hAnsiTheme="minorHAnsi" w:cs="Arial"/>
          <w:color w:val="000000" w:themeColor="text1"/>
          <w:sz w:val="22"/>
          <w:szCs w:val="22"/>
        </w:rPr>
        <w:t>El protestantismo en América Latina y el Caribe</w:t>
      </w:r>
    </w:p>
    <w:p w14:paraId="3F1E0498" w14:textId="77777777" w:rsidR="0076384B" w:rsidRPr="00C5032E" w:rsidRDefault="0076384B" w:rsidP="00DD34BC">
      <w:pPr>
        <w:pStyle w:val="Normalcontenido"/>
        <w:ind w:left="1080" w:hanging="360"/>
        <w:rPr>
          <w:rFonts w:asciiTheme="minorHAnsi" w:hAnsiTheme="minorHAnsi" w:cs="Arial"/>
          <w:color w:val="000000" w:themeColor="text1"/>
          <w:sz w:val="22"/>
          <w:szCs w:val="22"/>
        </w:rPr>
      </w:pPr>
    </w:p>
    <w:p w14:paraId="7DA32431" w14:textId="77777777" w:rsidR="0076384B" w:rsidRPr="00C5032E" w:rsidRDefault="0076384B" w:rsidP="00945AF6">
      <w:pPr>
        <w:pStyle w:val="NormalHanging"/>
        <w:spacing w:before="0"/>
        <w:jc w:val="left"/>
        <w:rPr>
          <w:rFonts w:asciiTheme="minorHAnsi" w:hAnsiTheme="minorHAnsi" w:cs="Arial"/>
          <w:b/>
          <w:color w:val="000000" w:themeColor="text1"/>
          <w:sz w:val="22"/>
          <w:szCs w:val="22"/>
        </w:rPr>
      </w:pPr>
      <w:r w:rsidRPr="00C5032E">
        <w:rPr>
          <w:rFonts w:asciiTheme="minorHAnsi" w:hAnsiTheme="minorHAnsi" w:cs="Arial"/>
          <w:b/>
          <w:color w:val="000000" w:themeColor="text1"/>
          <w:sz w:val="22"/>
          <w:szCs w:val="22"/>
        </w:rPr>
        <w:t>Unidad IV: La teología en la tradición católica romana</w:t>
      </w:r>
    </w:p>
    <w:p w14:paraId="662CB690"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1. </w:t>
      </w:r>
      <w:r w:rsidRPr="00C5032E">
        <w:rPr>
          <w:rFonts w:asciiTheme="minorHAnsi" w:hAnsiTheme="minorHAnsi" w:cs="Arial"/>
          <w:color w:val="000000" w:themeColor="text1"/>
          <w:sz w:val="22"/>
          <w:szCs w:val="22"/>
        </w:rPr>
        <w:t>Nacimiento de la teología católica romana</w:t>
      </w:r>
    </w:p>
    <w:p w14:paraId="5C64A5ED"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2. </w:t>
      </w:r>
      <w:r w:rsidRPr="00C5032E">
        <w:rPr>
          <w:rFonts w:asciiTheme="minorHAnsi" w:hAnsiTheme="minorHAnsi" w:cs="Arial"/>
          <w:color w:val="000000" w:themeColor="text1"/>
          <w:sz w:val="22"/>
          <w:szCs w:val="22"/>
        </w:rPr>
        <w:t>Algunas características de la teología católica romana</w:t>
      </w:r>
    </w:p>
    <w:p w14:paraId="1C3E595B" w14:textId="77777777" w:rsidR="0076384B" w:rsidRPr="00C5032E" w:rsidRDefault="0076384B" w:rsidP="00DD34BC">
      <w:pPr>
        <w:pStyle w:val="Normalcontenido"/>
        <w:ind w:left="1080" w:hanging="360"/>
        <w:rPr>
          <w:rFonts w:asciiTheme="minorHAnsi" w:hAnsiTheme="minorHAnsi" w:cs="Arial"/>
          <w:color w:val="000000" w:themeColor="text1"/>
          <w:sz w:val="22"/>
          <w:szCs w:val="22"/>
        </w:rPr>
      </w:pPr>
    </w:p>
    <w:p w14:paraId="1EF6ACE3" w14:textId="77777777" w:rsidR="0076384B" w:rsidRPr="00C5032E" w:rsidRDefault="0076384B" w:rsidP="00945AF6">
      <w:pPr>
        <w:pStyle w:val="Normalcontenido"/>
        <w:ind w:left="0" w:firstLine="0"/>
        <w:rPr>
          <w:rFonts w:asciiTheme="minorHAnsi" w:hAnsiTheme="minorHAnsi" w:cs="Arial"/>
          <w:b/>
          <w:color w:val="000000" w:themeColor="text1"/>
          <w:sz w:val="22"/>
          <w:szCs w:val="22"/>
        </w:rPr>
      </w:pPr>
      <w:r w:rsidRPr="00C5032E">
        <w:rPr>
          <w:rFonts w:asciiTheme="minorHAnsi" w:hAnsiTheme="minorHAnsi" w:cs="Arial"/>
          <w:b/>
          <w:color w:val="000000" w:themeColor="text1"/>
          <w:sz w:val="22"/>
          <w:szCs w:val="22"/>
        </w:rPr>
        <w:t xml:space="preserve">Unidad V: </w:t>
      </w:r>
      <w:r w:rsidRPr="00C5032E">
        <w:rPr>
          <w:rFonts w:asciiTheme="minorHAnsi" w:hAnsiTheme="minorHAnsi" w:cs="Arial"/>
          <w:b/>
          <w:bCs/>
          <w:color w:val="000000" w:themeColor="text1"/>
          <w:sz w:val="22"/>
          <w:szCs w:val="22"/>
        </w:rPr>
        <w:t xml:space="preserve">La resistencia de los actores sociales </w:t>
      </w:r>
    </w:p>
    <w:p w14:paraId="2B4FD279" w14:textId="77777777" w:rsidR="0076384B" w:rsidRPr="00C5032E" w:rsidRDefault="0076384B" w:rsidP="00945AF6">
      <w:pPr>
        <w:pStyle w:val="Default"/>
        <w:rPr>
          <w:rFonts w:asciiTheme="minorHAnsi" w:hAnsiTheme="minorHAnsi" w:cs="Arial"/>
          <w:color w:val="000000" w:themeColor="text1"/>
          <w:sz w:val="22"/>
          <w:szCs w:val="22"/>
        </w:rPr>
      </w:pPr>
      <w:r>
        <w:rPr>
          <w:rFonts w:asciiTheme="minorHAnsi" w:hAnsiTheme="minorHAnsi" w:cs="Arial"/>
          <w:color w:val="000000" w:themeColor="text1"/>
          <w:sz w:val="22"/>
          <w:szCs w:val="22"/>
        </w:rPr>
        <w:t>1. Género y teología:</w:t>
      </w:r>
      <w:r w:rsidRPr="00C5032E">
        <w:rPr>
          <w:rFonts w:asciiTheme="minorHAnsi" w:hAnsiTheme="minorHAnsi" w:cs="Arial"/>
          <w:color w:val="000000" w:themeColor="text1"/>
          <w:sz w:val="22"/>
          <w:szCs w:val="22"/>
        </w:rPr>
        <w:t xml:space="preserve"> más allá del patriarcado </w:t>
      </w:r>
    </w:p>
    <w:p w14:paraId="304A4100" w14:textId="77777777" w:rsidR="0076384B" w:rsidRPr="00C5032E" w:rsidRDefault="0076384B" w:rsidP="00945AF6">
      <w:pPr>
        <w:pStyle w:val="NormalHanging"/>
        <w:spacing w:before="0"/>
        <w:jc w:val="left"/>
        <w:rPr>
          <w:rFonts w:asciiTheme="minorHAnsi" w:hAnsiTheme="minorHAnsi" w:cs="Arial"/>
          <w:color w:val="000000" w:themeColor="text1"/>
          <w:sz w:val="22"/>
          <w:szCs w:val="22"/>
        </w:rPr>
      </w:pPr>
      <w:r>
        <w:rPr>
          <w:rFonts w:asciiTheme="minorHAnsi" w:hAnsiTheme="minorHAnsi" w:cs="Arial"/>
          <w:color w:val="000000" w:themeColor="text1"/>
          <w:sz w:val="22"/>
          <w:szCs w:val="22"/>
        </w:rPr>
        <w:lastRenderedPageBreak/>
        <w:t xml:space="preserve">2. </w:t>
      </w:r>
      <w:r w:rsidRPr="00C5032E">
        <w:rPr>
          <w:rFonts w:asciiTheme="minorHAnsi" w:hAnsiTheme="minorHAnsi" w:cs="Arial"/>
          <w:color w:val="000000" w:themeColor="text1"/>
          <w:sz w:val="22"/>
          <w:szCs w:val="22"/>
        </w:rPr>
        <w:t>El método para la teología feminista de la liberación</w:t>
      </w:r>
    </w:p>
    <w:p w14:paraId="2BAC7D0F" w14:textId="77777777" w:rsidR="0076384B" w:rsidRPr="00C5032E" w:rsidRDefault="0076384B" w:rsidP="00DD34BC">
      <w:pPr>
        <w:pStyle w:val="Normalcontenido"/>
        <w:ind w:left="1080" w:hanging="360"/>
        <w:rPr>
          <w:rFonts w:asciiTheme="minorHAnsi" w:hAnsiTheme="minorHAnsi" w:cs="Arial"/>
          <w:color w:val="000000" w:themeColor="text1"/>
          <w:sz w:val="22"/>
          <w:szCs w:val="22"/>
        </w:rPr>
      </w:pPr>
    </w:p>
    <w:p w14:paraId="13467D0C" w14:textId="77777777" w:rsidR="0076384B" w:rsidRPr="00C5032E" w:rsidRDefault="0076384B" w:rsidP="00945AF6">
      <w:pPr>
        <w:pStyle w:val="NormalHanging"/>
        <w:spacing w:before="0"/>
        <w:jc w:val="left"/>
        <w:rPr>
          <w:rFonts w:asciiTheme="minorHAnsi" w:hAnsiTheme="minorHAnsi" w:cs="Arial"/>
          <w:b/>
          <w:color w:val="000000" w:themeColor="text1"/>
          <w:sz w:val="22"/>
          <w:szCs w:val="22"/>
        </w:rPr>
      </w:pPr>
      <w:r w:rsidRPr="00C5032E">
        <w:rPr>
          <w:rFonts w:asciiTheme="minorHAnsi" w:hAnsiTheme="minorHAnsi" w:cs="Arial"/>
          <w:b/>
          <w:color w:val="000000" w:themeColor="text1"/>
          <w:sz w:val="22"/>
          <w:szCs w:val="22"/>
        </w:rPr>
        <w:t>Unidad VI: Hacia una teología desde América Latina</w:t>
      </w:r>
    </w:p>
    <w:p w14:paraId="065686A2" w14:textId="77777777" w:rsidR="0076384B" w:rsidRPr="00C5032E"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1. Múltiple</w:t>
      </w:r>
      <w:r w:rsidRPr="00C5032E">
        <w:rPr>
          <w:rFonts w:asciiTheme="minorHAnsi" w:hAnsiTheme="minorHAnsi" w:cs="Arial"/>
          <w:color w:val="000000" w:themeColor="text1"/>
          <w:sz w:val="22"/>
          <w:szCs w:val="22"/>
        </w:rPr>
        <w:t>s contextos</w:t>
      </w:r>
    </w:p>
    <w:p w14:paraId="4077A8DA" w14:textId="77777777" w:rsidR="0076384B" w:rsidRDefault="0076384B" w:rsidP="00945AF6">
      <w:pPr>
        <w:pStyle w:val="Normalcontenid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2. </w:t>
      </w:r>
      <w:r w:rsidRPr="00C5032E">
        <w:rPr>
          <w:rFonts w:asciiTheme="minorHAnsi" w:hAnsiTheme="minorHAnsi" w:cs="Arial"/>
          <w:color w:val="000000" w:themeColor="text1"/>
          <w:sz w:val="22"/>
          <w:szCs w:val="22"/>
        </w:rPr>
        <w:t>La interculturalidad</w:t>
      </w:r>
    </w:p>
    <w:p w14:paraId="49958F48" w14:textId="77777777" w:rsidR="0076384B" w:rsidRPr="00C5032E" w:rsidRDefault="0076384B" w:rsidP="009E1A03">
      <w:pPr>
        <w:pStyle w:val="Normalcontenido"/>
        <w:ind w:left="1080" w:firstLine="0"/>
        <w:rPr>
          <w:rFonts w:asciiTheme="minorHAnsi" w:hAnsiTheme="minorHAnsi" w:cs="Arial"/>
          <w:color w:val="000000" w:themeColor="text1"/>
          <w:sz w:val="22"/>
          <w:szCs w:val="22"/>
        </w:rPr>
      </w:pPr>
    </w:p>
    <w:p w14:paraId="09A6A011" w14:textId="77777777" w:rsidR="0076384B" w:rsidRPr="00C5032E" w:rsidRDefault="0076384B" w:rsidP="00945AF6">
      <w:pPr>
        <w:rPr>
          <w:rFonts w:cs="Arial"/>
          <w:b/>
          <w:color w:val="000000" w:themeColor="text1"/>
          <w:lang w:val="es-ES"/>
        </w:rPr>
      </w:pPr>
      <w:r w:rsidRPr="00C5032E">
        <w:rPr>
          <w:rFonts w:cs="Arial"/>
          <w:b/>
          <w:color w:val="000000" w:themeColor="text1"/>
          <w:lang w:val="es-ES"/>
        </w:rPr>
        <w:t>Unidad VII: Los nuevos paradigmas teológicos y el horizonte utópico</w:t>
      </w:r>
    </w:p>
    <w:p w14:paraId="29A46ADC" w14:textId="77777777" w:rsidR="0076384B" w:rsidRPr="00C5032E" w:rsidRDefault="0076384B" w:rsidP="00484BB1">
      <w:pPr>
        <w:spacing w:after="0" w:line="276" w:lineRule="auto"/>
        <w:rPr>
          <w:rFonts w:cs="Arial"/>
          <w:color w:val="000000" w:themeColor="text1"/>
          <w:lang w:val="es-ES"/>
        </w:rPr>
      </w:pPr>
      <w:r>
        <w:rPr>
          <w:rFonts w:cs="Arial"/>
          <w:color w:val="000000" w:themeColor="text1"/>
          <w:lang w:val="es-ES"/>
        </w:rPr>
        <w:t xml:space="preserve">1. </w:t>
      </w:r>
      <w:r w:rsidRPr="00C5032E">
        <w:rPr>
          <w:rFonts w:cs="Arial"/>
          <w:color w:val="000000" w:themeColor="text1"/>
          <w:lang w:val="es-ES"/>
        </w:rPr>
        <w:t>La postmodernidad y los ejes epistemológicos</w:t>
      </w:r>
    </w:p>
    <w:p w14:paraId="23A44F1E" w14:textId="77777777" w:rsidR="0076384B" w:rsidRDefault="0076384B" w:rsidP="00484BB1">
      <w:pPr>
        <w:spacing w:after="0" w:line="276" w:lineRule="auto"/>
        <w:rPr>
          <w:rFonts w:cs="Arial"/>
          <w:color w:val="000000" w:themeColor="text1"/>
          <w:lang w:val="es-ES"/>
        </w:rPr>
      </w:pPr>
      <w:r>
        <w:rPr>
          <w:rFonts w:cs="Arial"/>
          <w:color w:val="000000" w:themeColor="text1"/>
          <w:lang w:val="es-ES"/>
        </w:rPr>
        <w:t xml:space="preserve">2. </w:t>
      </w:r>
      <w:r w:rsidRPr="00C5032E">
        <w:rPr>
          <w:rFonts w:cs="Arial"/>
          <w:color w:val="000000" w:themeColor="text1"/>
          <w:lang w:val="es-ES"/>
        </w:rPr>
        <w:t>El horizonte utópico del discurso teológico</w:t>
      </w:r>
    </w:p>
    <w:p w14:paraId="3C20A2C2" w14:textId="77AB8B05" w:rsidR="0076384B" w:rsidRPr="00C5032E" w:rsidRDefault="0076384B" w:rsidP="00945AF6">
      <w:pPr>
        <w:rPr>
          <w:rFonts w:cs="Arial"/>
          <w:b/>
          <w:color w:val="000000" w:themeColor="text1"/>
        </w:rPr>
      </w:pPr>
      <w:r w:rsidRPr="00C5032E">
        <w:rPr>
          <w:rFonts w:cs="Arial"/>
          <w:b/>
          <w:color w:val="000000" w:themeColor="text1"/>
          <w:lang w:val="es-ES"/>
        </w:rPr>
        <w:t>Unidad VIII:</w:t>
      </w:r>
      <w:r w:rsidRPr="00C5032E">
        <w:rPr>
          <w:rFonts w:cs="Arial"/>
          <w:color w:val="000000" w:themeColor="text1"/>
          <w:lang w:val="es-ES"/>
        </w:rPr>
        <w:t xml:space="preserve"> </w:t>
      </w:r>
      <w:r w:rsidRPr="00C5032E">
        <w:rPr>
          <w:rFonts w:cs="Arial"/>
          <w:b/>
          <w:color w:val="000000" w:themeColor="text1"/>
        </w:rPr>
        <w:t>La teología y el futuro de Dios</w:t>
      </w:r>
    </w:p>
    <w:p w14:paraId="5E1EDCE3" w14:textId="77777777" w:rsidR="0076384B" w:rsidRPr="00945AF6" w:rsidRDefault="0076384B" w:rsidP="00484BB1">
      <w:pPr>
        <w:spacing w:line="240" w:lineRule="auto"/>
        <w:rPr>
          <w:rFonts w:cs="Arial"/>
          <w:color w:val="000000" w:themeColor="text1"/>
          <w:lang w:val="es-ES"/>
        </w:rPr>
      </w:pPr>
      <w:r w:rsidRPr="00945AF6">
        <w:rPr>
          <w:rFonts w:cs="Arial"/>
          <w:color w:val="000000" w:themeColor="text1"/>
          <w:lang w:val="es-ES"/>
        </w:rPr>
        <w:t>1. La realidad del discurso teológico</w:t>
      </w:r>
    </w:p>
    <w:p w14:paraId="610CEA39" w14:textId="77777777" w:rsidR="0076384B" w:rsidRDefault="0076384B" w:rsidP="00484BB1">
      <w:pPr>
        <w:spacing w:line="240" w:lineRule="auto"/>
        <w:rPr>
          <w:rFonts w:cs="Arial"/>
          <w:color w:val="000000" w:themeColor="text1"/>
          <w:lang w:val="es-ES"/>
        </w:rPr>
      </w:pPr>
      <w:r w:rsidRPr="00945AF6">
        <w:rPr>
          <w:rFonts w:cs="Arial"/>
          <w:color w:val="000000" w:themeColor="text1"/>
          <w:lang w:val="es-ES"/>
        </w:rPr>
        <w:t>2. La sistematización del conocimiento adquirido</w:t>
      </w:r>
    </w:p>
    <w:p w14:paraId="47826CEA" w14:textId="77777777" w:rsidR="0076384B" w:rsidRDefault="0076384B" w:rsidP="00945AF6">
      <w:pPr>
        <w:rPr>
          <w:rFonts w:cs="Arial"/>
          <w:color w:val="000000" w:themeColor="text1"/>
          <w:lang w:val="es-ES"/>
        </w:rPr>
      </w:pPr>
    </w:p>
    <w:p w14:paraId="71992F89" w14:textId="77777777" w:rsidR="0076384B" w:rsidRPr="00C5032E" w:rsidRDefault="0076384B" w:rsidP="00DD34BC">
      <w:pPr>
        <w:jc w:val="both"/>
        <w:rPr>
          <w:rFonts w:cs="Arial"/>
          <w:b/>
          <w:bCs/>
          <w:color w:val="000000" w:themeColor="text1"/>
        </w:rPr>
      </w:pPr>
      <w:r w:rsidRPr="00C5032E">
        <w:rPr>
          <w:rFonts w:cs="Arial"/>
          <w:b/>
          <w:bCs/>
          <w:color w:val="000000" w:themeColor="text1"/>
        </w:rPr>
        <w:t>V.</w:t>
      </w:r>
      <w:r>
        <w:rPr>
          <w:rFonts w:cs="Arial"/>
          <w:b/>
          <w:color w:val="000000" w:themeColor="text1"/>
        </w:rPr>
        <w:t xml:space="preserve"> </w:t>
      </w:r>
      <w:r w:rsidRPr="00C5032E">
        <w:rPr>
          <w:rFonts w:cs="Arial"/>
          <w:b/>
          <w:bCs/>
          <w:color w:val="000000" w:themeColor="text1"/>
        </w:rPr>
        <w:t xml:space="preserve">Metodología </w:t>
      </w:r>
    </w:p>
    <w:p w14:paraId="1CC19581" w14:textId="77777777" w:rsidR="0076384B" w:rsidRDefault="0076384B" w:rsidP="00DD34BC">
      <w:pPr>
        <w:jc w:val="both"/>
        <w:rPr>
          <w:rFonts w:cs="Arial"/>
          <w:bCs/>
          <w:color w:val="000000" w:themeColor="text1"/>
        </w:rPr>
      </w:pPr>
      <w:r w:rsidRPr="00E10D81">
        <w:rPr>
          <w:rFonts w:cs="Arial"/>
          <w:bCs/>
          <w:color w:val="000000" w:themeColor="text1"/>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49913DB8" w14:textId="77777777" w:rsidR="0076384B" w:rsidRDefault="0076384B" w:rsidP="00DD34BC">
      <w:pPr>
        <w:jc w:val="both"/>
        <w:rPr>
          <w:rFonts w:cs="Arial"/>
          <w:color w:val="000000" w:themeColor="text1"/>
        </w:rPr>
      </w:pPr>
      <w:r w:rsidRPr="00C5032E">
        <w:rPr>
          <w:rFonts w:cs="Arial"/>
          <w:bCs/>
          <w:color w:val="000000" w:themeColor="text1"/>
        </w:rPr>
        <w:t>El curso es de naturaleza teórica y prioriza las áreas de conocimiento y comprensión.</w:t>
      </w:r>
      <w:r>
        <w:rPr>
          <w:rFonts w:cs="Arial"/>
          <w:bCs/>
          <w:color w:val="000000" w:themeColor="text1"/>
        </w:rPr>
        <w:t xml:space="preserve"> </w:t>
      </w:r>
      <w:r w:rsidRPr="00C5032E">
        <w:rPr>
          <w:rFonts w:cs="Arial"/>
          <w:bCs/>
          <w:color w:val="000000" w:themeColor="text1"/>
        </w:rPr>
        <w:t>Por medio de lecturas individuales</w:t>
      </w:r>
      <w:r>
        <w:rPr>
          <w:rFonts w:cs="Arial"/>
          <w:bCs/>
          <w:color w:val="000000" w:themeColor="text1"/>
        </w:rPr>
        <w:t>,</w:t>
      </w:r>
      <w:r w:rsidRPr="00C5032E">
        <w:rPr>
          <w:rFonts w:cs="Arial"/>
          <w:bCs/>
          <w:color w:val="000000" w:themeColor="text1"/>
        </w:rPr>
        <w:t xml:space="preserve"> aport</w:t>
      </w:r>
      <w:r>
        <w:rPr>
          <w:rFonts w:cs="Arial"/>
          <w:bCs/>
          <w:color w:val="000000" w:themeColor="text1"/>
        </w:rPr>
        <w:t xml:space="preserve">es docentes en encuentros sincrónicos virtuales por medio de la plataforma virtual </w:t>
      </w:r>
      <w:r w:rsidRPr="00C5032E">
        <w:rPr>
          <w:rFonts w:cs="Arial"/>
          <w:bCs/>
          <w:color w:val="000000" w:themeColor="text1"/>
        </w:rPr>
        <w:t xml:space="preserve">y otros </w:t>
      </w:r>
      <w:r>
        <w:rPr>
          <w:rFonts w:cs="Arial"/>
          <w:bCs/>
          <w:color w:val="000000" w:themeColor="text1"/>
        </w:rPr>
        <w:t>recursos, la persona estudiante</w:t>
      </w:r>
      <w:r w:rsidRPr="00C5032E">
        <w:rPr>
          <w:rFonts w:cs="Arial"/>
          <w:bCs/>
          <w:color w:val="000000" w:themeColor="text1"/>
        </w:rPr>
        <w:t xml:space="preserve"> entrará en contacto con las temáticas y discusiones fundamentales de</w:t>
      </w:r>
      <w:r w:rsidRPr="00C5032E">
        <w:rPr>
          <w:rFonts w:cs="Arial"/>
          <w:color w:val="000000" w:themeColor="text1"/>
        </w:rPr>
        <w:t xml:space="preserve"> la </w:t>
      </w:r>
      <w:r>
        <w:rPr>
          <w:rFonts w:cs="Arial"/>
          <w:color w:val="000000" w:themeColor="text1"/>
        </w:rPr>
        <w:t xml:space="preserve">Teología y la problemática del </w:t>
      </w:r>
      <w:r w:rsidRPr="00C5032E">
        <w:rPr>
          <w:rFonts w:cs="Arial"/>
          <w:color w:val="000000" w:themeColor="text1"/>
        </w:rPr>
        <w:t>quehacer teológico.</w:t>
      </w:r>
      <w:r>
        <w:rPr>
          <w:rFonts w:cs="Arial"/>
          <w:color w:val="000000" w:themeColor="text1"/>
        </w:rPr>
        <w:t xml:space="preserve"> </w:t>
      </w:r>
      <w:r w:rsidRPr="008440AC">
        <w:rPr>
          <w:rFonts w:cs="Arial"/>
          <w:color w:val="000000" w:themeColor="text1"/>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r>
        <w:rPr>
          <w:rFonts w:cs="Arial"/>
          <w:color w:val="000000" w:themeColor="text1"/>
        </w:rPr>
        <w:t xml:space="preserve"> </w:t>
      </w:r>
      <w:r w:rsidRPr="00C5032E">
        <w:rPr>
          <w:rFonts w:cs="Arial"/>
          <w:color w:val="000000" w:themeColor="text1"/>
        </w:rPr>
        <w:t>Se hará énfasis en el concepto y la naturaleza de la teología proyectando hacia un enfoque sisté</w:t>
      </w:r>
      <w:r>
        <w:rPr>
          <w:rFonts w:cs="Arial"/>
          <w:color w:val="000000" w:themeColor="text1"/>
        </w:rPr>
        <w:t>mico e interdisciplinario. La Teología de la L</w:t>
      </w:r>
      <w:r w:rsidRPr="00C5032E">
        <w:rPr>
          <w:rFonts w:cs="Arial"/>
          <w:color w:val="000000" w:themeColor="text1"/>
        </w:rPr>
        <w:t>iberación</w:t>
      </w:r>
      <w:r>
        <w:rPr>
          <w:rFonts w:cs="Arial"/>
          <w:color w:val="000000" w:themeColor="text1"/>
        </w:rPr>
        <w:t xml:space="preserve"> se destacará especialmente</w:t>
      </w:r>
      <w:r w:rsidRPr="00C5032E">
        <w:rPr>
          <w:rFonts w:cs="Arial"/>
          <w:color w:val="000000" w:themeColor="text1"/>
        </w:rPr>
        <w:t>,</w:t>
      </w:r>
      <w:r>
        <w:rPr>
          <w:rFonts w:cs="Arial"/>
          <w:color w:val="000000" w:themeColor="text1"/>
        </w:rPr>
        <w:t xml:space="preserve"> enfocando el contexto de su nacimiento, </w:t>
      </w:r>
      <w:r w:rsidRPr="00C5032E">
        <w:rPr>
          <w:rFonts w:cs="Arial"/>
          <w:color w:val="000000" w:themeColor="text1"/>
        </w:rPr>
        <w:t xml:space="preserve">su estructura teórica con un análisis crítico y sus perspectivas de futuro. </w:t>
      </w:r>
      <w:r>
        <w:rPr>
          <w:rFonts w:cs="Arial"/>
          <w:color w:val="000000" w:themeColor="text1"/>
        </w:rPr>
        <w:t xml:space="preserve"> </w:t>
      </w:r>
      <w:r w:rsidRPr="00C5032E">
        <w:rPr>
          <w:rFonts w:cs="Arial"/>
          <w:bCs/>
          <w:color w:val="000000" w:themeColor="text1"/>
        </w:rPr>
        <w:t>Se buscará un aprendizaje significativo por medio de actividades</w:t>
      </w:r>
      <w:r>
        <w:rPr>
          <w:rFonts w:cs="Arial"/>
          <w:bCs/>
          <w:color w:val="000000" w:themeColor="text1"/>
        </w:rPr>
        <w:t xml:space="preserve"> virtuales</w:t>
      </w:r>
      <w:r w:rsidRPr="00C5032E">
        <w:rPr>
          <w:rFonts w:cs="Arial"/>
          <w:bCs/>
          <w:color w:val="000000" w:themeColor="text1"/>
        </w:rPr>
        <w:t xml:space="preserve"> que no solo conducen a la explicación y síntesis de los contenidos, sino también </w:t>
      </w:r>
      <w:r>
        <w:rPr>
          <w:rFonts w:cs="Arial"/>
          <w:bCs/>
          <w:color w:val="000000" w:themeColor="text1"/>
        </w:rPr>
        <w:t>a la</w:t>
      </w:r>
      <w:r w:rsidRPr="00C5032E">
        <w:rPr>
          <w:rFonts w:cs="Arial"/>
          <w:bCs/>
          <w:color w:val="000000" w:themeColor="text1"/>
        </w:rPr>
        <w:t xml:space="preserve"> reflexión a nivel individual y grupal. </w:t>
      </w:r>
      <w:r>
        <w:rPr>
          <w:rFonts w:cs="Arial"/>
          <w:bCs/>
          <w:color w:val="000000" w:themeColor="text1"/>
        </w:rPr>
        <w:t xml:space="preserve"> </w:t>
      </w:r>
      <w:r w:rsidRPr="00C5032E">
        <w:rPr>
          <w:rFonts w:cs="Arial"/>
          <w:bCs/>
          <w:color w:val="000000" w:themeColor="text1"/>
        </w:rPr>
        <w:t>Esto último se potencia por medio de mapas conceptuales,</w:t>
      </w:r>
      <w:r>
        <w:rPr>
          <w:rFonts w:cs="Arial"/>
          <w:bCs/>
          <w:color w:val="000000" w:themeColor="text1"/>
        </w:rPr>
        <w:t xml:space="preserve"> reportes</w:t>
      </w:r>
      <w:r w:rsidRPr="00C5032E">
        <w:rPr>
          <w:rFonts w:cs="Arial"/>
          <w:bCs/>
          <w:color w:val="000000" w:themeColor="text1"/>
        </w:rPr>
        <w:t xml:space="preserve"> de lecturas, </w:t>
      </w:r>
      <w:r>
        <w:rPr>
          <w:rFonts w:cs="Arial"/>
          <w:bCs/>
          <w:color w:val="000000" w:themeColor="text1"/>
        </w:rPr>
        <w:t>glosarios, un diario reflexivo, foros temáticos y un ensayo crítico final</w:t>
      </w:r>
      <w:r w:rsidRPr="00C5032E">
        <w:rPr>
          <w:rFonts w:cs="Arial"/>
          <w:bCs/>
          <w:color w:val="000000" w:themeColor="text1"/>
        </w:rPr>
        <w:t xml:space="preserve">. </w:t>
      </w:r>
      <w:r>
        <w:rPr>
          <w:rFonts w:cs="Arial"/>
          <w:bCs/>
          <w:color w:val="000000" w:themeColor="text1"/>
        </w:rPr>
        <w:t xml:space="preserve"> </w:t>
      </w:r>
      <w:r w:rsidRPr="00C5032E">
        <w:rPr>
          <w:rFonts w:cs="Arial"/>
          <w:bCs/>
          <w:color w:val="000000" w:themeColor="text1"/>
        </w:rPr>
        <w:t>Además de una visi</w:t>
      </w:r>
      <w:r>
        <w:rPr>
          <w:rFonts w:cs="Arial"/>
          <w:bCs/>
          <w:color w:val="000000" w:themeColor="text1"/>
        </w:rPr>
        <w:t>ón general bibliográfica de la Te</w:t>
      </w:r>
      <w:r w:rsidRPr="00C5032E">
        <w:rPr>
          <w:rFonts w:cs="Arial"/>
          <w:bCs/>
          <w:color w:val="000000" w:themeColor="text1"/>
        </w:rPr>
        <w:t xml:space="preserve">ología </w:t>
      </w:r>
      <w:r>
        <w:rPr>
          <w:rFonts w:cs="Arial"/>
          <w:bCs/>
          <w:color w:val="000000" w:themeColor="text1"/>
        </w:rPr>
        <w:t>L</w:t>
      </w:r>
      <w:r w:rsidRPr="00C5032E">
        <w:rPr>
          <w:rFonts w:cs="Arial"/>
          <w:bCs/>
          <w:color w:val="000000" w:themeColor="text1"/>
        </w:rPr>
        <w:t xml:space="preserve">atinoamericana enfocada en el curso y sus </w:t>
      </w:r>
      <w:r w:rsidRPr="00C5032E">
        <w:rPr>
          <w:rFonts w:cs="Arial"/>
          <w:bCs/>
          <w:color w:val="000000" w:themeColor="text1"/>
        </w:rPr>
        <w:lastRenderedPageBreak/>
        <w:t xml:space="preserve">dimensiones históricas, literarias y sociales, los trabajos </w:t>
      </w:r>
      <w:r>
        <w:rPr>
          <w:rFonts w:cs="Arial"/>
          <w:bCs/>
          <w:color w:val="000000" w:themeColor="text1"/>
        </w:rPr>
        <w:t xml:space="preserve">de profundización </w:t>
      </w:r>
      <w:r w:rsidRPr="00C5032E">
        <w:rPr>
          <w:rFonts w:cs="Arial"/>
          <w:bCs/>
          <w:color w:val="000000" w:themeColor="text1"/>
        </w:rPr>
        <w:t>individual</w:t>
      </w:r>
      <w:r>
        <w:rPr>
          <w:rFonts w:cs="Arial"/>
          <w:bCs/>
          <w:color w:val="000000" w:themeColor="text1"/>
        </w:rPr>
        <w:t>es</w:t>
      </w:r>
      <w:r w:rsidRPr="00C5032E">
        <w:rPr>
          <w:rFonts w:cs="Arial"/>
          <w:bCs/>
          <w:color w:val="000000" w:themeColor="text1"/>
        </w:rPr>
        <w:t xml:space="preserve"> y </w:t>
      </w:r>
      <w:r>
        <w:rPr>
          <w:rFonts w:cs="Arial"/>
          <w:bCs/>
          <w:color w:val="000000" w:themeColor="text1"/>
        </w:rPr>
        <w:t>grupales</w:t>
      </w:r>
      <w:r w:rsidRPr="00C5032E">
        <w:rPr>
          <w:rFonts w:cs="Arial"/>
          <w:bCs/>
          <w:color w:val="000000" w:themeColor="text1"/>
        </w:rPr>
        <w:t xml:space="preserve"> incluirán espacios</w:t>
      </w:r>
      <w:r>
        <w:rPr>
          <w:rFonts w:cs="Arial"/>
          <w:bCs/>
          <w:color w:val="000000" w:themeColor="text1"/>
        </w:rPr>
        <w:t xml:space="preserve"> virtuales</w:t>
      </w:r>
      <w:r w:rsidRPr="00C5032E">
        <w:rPr>
          <w:rFonts w:cs="Arial"/>
          <w:bCs/>
          <w:color w:val="000000" w:themeColor="text1"/>
        </w:rPr>
        <w:t xml:space="preserve"> para considerar las implicaciones de los estudios críticos de la </w:t>
      </w:r>
      <w:r>
        <w:rPr>
          <w:rFonts w:cs="Arial"/>
          <w:bCs/>
          <w:color w:val="000000" w:themeColor="text1"/>
        </w:rPr>
        <w:t xml:space="preserve">teología en </w:t>
      </w:r>
      <w:r w:rsidRPr="00C5032E">
        <w:rPr>
          <w:rFonts w:cs="Arial"/>
          <w:bCs/>
          <w:color w:val="000000" w:themeColor="text1"/>
        </w:rPr>
        <w:t>diversos contextos</w:t>
      </w:r>
      <w:r>
        <w:rPr>
          <w:rFonts w:cs="Arial"/>
          <w:bCs/>
          <w:color w:val="000000" w:themeColor="text1"/>
        </w:rPr>
        <w:t xml:space="preserve"> </w:t>
      </w:r>
      <w:r w:rsidRPr="00C5032E">
        <w:rPr>
          <w:rFonts w:cs="Arial"/>
          <w:bCs/>
          <w:color w:val="000000" w:themeColor="text1"/>
        </w:rPr>
        <w:t>religiosos, privados y públicos.</w:t>
      </w:r>
    </w:p>
    <w:p w14:paraId="63F99D19" w14:textId="77777777" w:rsidR="0076384B" w:rsidRPr="00F40354" w:rsidRDefault="0076384B" w:rsidP="00DD34BC">
      <w:pPr>
        <w:jc w:val="both"/>
        <w:rPr>
          <w:rFonts w:cs="Arial"/>
          <w:color w:val="000000" w:themeColor="text1"/>
          <w:sz w:val="10"/>
          <w:szCs w:val="10"/>
        </w:rPr>
      </w:pPr>
    </w:p>
    <w:p w14:paraId="7A0CBF71" w14:textId="77777777" w:rsidR="0076384B" w:rsidRPr="00C5032E" w:rsidRDefault="0076384B" w:rsidP="00DD34BC">
      <w:pPr>
        <w:jc w:val="both"/>
        <w:rPr>
          <w:rFonts w:cs="Arial"/>
          <w:b/>
          <w:bCs/>
          <w:color w:val="000000" w:themeColor="text1"/>
        </w:rPr>
      </w:pPr>
      <w:r w:rsidRPr="00C5032E">
        <w:rPr>
          <w:rFonts w:cs="Arial"/>
          <w:b/>
          <w:bCs/>
          <w:color w:val="000000" w:themeColor="text1"/>
        </w:rPr>
        <w:t>VI. E</w:t>
      </w:r>
      <w:r>
        <w:rPr>
          <w:rFonts w:cs="Arial"/>
          <w:b/>
          <w:bCs/>
          <w:color w:val="000000" w:themeColor="text1"/>
        </w:rPr>
        <w:t>strategias</w:t>
      </w:r>
      <w:r w:rsidRPr="00C5032E">
        <w:rPr>
          <w:rFonts w:cs="Arial"/>
          <w:b/>
          <w:bCs/>
          <w:color w:val="000000" w:themeColor="text1"/>
        </w:rPr>
        <w:t xml:space="preserve"> de aprendizaje </w:t>
      </w:r>
    </w:p>
    <w:p w14:paraId="56193973" w14:textId="77777777" w:rsidR="0076384B" w:rsidRDefault="0076384B" w:rsidP="00A94B62">
      <w:pPr>
        <w:jc w:val="both"/>
        <w:rPr>
          <w:rFonts w:cs="Arial"/>
          <w:bCs/>
          <w:color w:val="000000" w:themeColor="text1"/>
        </w:rPr>
      </w:pPr>
      <w:r w:rsidRPr="00324120">
        <w:rPr>
          <w:rFonts w:cs="Arial"/>
          <w:bCs/>
          <w:color w:val="000000" w:themeColor="text1"/>
        </w:rPr>
        <w:t>Las estrategias de aprendizaje de este curso buscan impulsar tanto el trabajo colaborativo como el trabajo individual, desde una perspectiva crítica con respecto al quehacer teológico en América Latina y el Caribe, introduciendo a las personas estudiantes en la disciplina teológica, según el objetivo general del curso.</w:t>
      </w:r>
    </w:p>
    <w:p w14:paraId="20BDE418" w14:textId="77777777" w:rsidR="0076384B" w:rsidRDefault="0076384B" w:rsidP="00A94B62">
      <w:pPr>
        <w:jc w:val="both"/>
        <w:rPr>
          <w:rFonts w:cs="Arial"/>
          <w:bCs/>
          <w:color w:val="000000" w:themeColor="text1"/>
        </w:rPr>
      </w:pPr>
      <w:r>
        <w:rPr>
          <w:rFonts w:cs="Arial"/>
          <w:bCs/>
          <w:color w:val="000000" w:themeColor="text1"/>
        </w:rPr>
        <w:t>Se utilizan las siguientes estrategias de aprendizaje:</w:t>
      </w:r>
    </w:p>
    <w:p w14:paraId="2FE4351A" w14:textId="77777777" w:rsidR="0076384B" w:rsidRDefault="0076384B" w:rsidP="00EC3B9A">
      <w:pPr>
        <w:jc w:val="both"/>
        <w:rPr>
          <w:rFonts w:cstheme="minorHAnsi"/>
          <w:bCs/>
        </w:rPr>
      </w:pPr>
      <w:r>
        <w:rPr>
          <w:rFonts w:cstheme="minorHAnsi"/>
          <w:b/>
        </w:rPr>
        <w:t xml:space="preserve">a) Encuentro sincrónico virtual: </w:t>
      </w:r>
      <w:r w:rsidRPr="003D0215">
        <w:rPr>
          <w:rFonts w:cstheme="minorHAnsi"/>
          <w:bCs/>
        </w:rPr>
        <w:t>Los encuentros sincrónicos virtuales se desarrollan en este curso una vez por se</w:t>
      </w:r>
      <w:r>
        <w:rPr>
          <w:rFonts w:cstheme="minorHAnsi"/>
          <w:bCs/>
        </w:rPr>
        <w:t>sión (a excepción de la última sesión)</w:t>
      </w:r>
      <w:r w:rsidRPr="003D0215">
        <w:rPr>
          <w:rFonts w:cstheme="minorHAnsi"/>
          <w:bCs/>
        </w:rPr>
        <w:t>. En la sesión 1 la persona docente introduce el curso y trata aspectos fundamentales. L</w:t>
      </w:r>
      <w:r>
        <w:rPr>
          <w:rFonts w:cstheme="minorHAnsi"/>
          <w:bCs/>
        </w:rPr>
        <w:t>o</w:t>
      </w:r>
      <w:r w:rsidRPr="003D0215">
        <w:rPr>
          <w:rFonts w:cstheme="minorHAnsi"/>
          <w:bCs/>
        </w:rPr>
        <w:t xml:space="preserve">s demás </w:t>
      </w:r>
      <w:r>
        <w:rPr>
          <w:rFonts w:cstheme="minorHAnsi"/>
          <w:bCs/>
        </w:rPr>
        <w:t>encuentros</w:t>
      </w:r>
      <w:r w:rsidRPr="003D0215">
        <w:rPr>
          <w:rFonts w:cstheme="minorHAnsi"/>
          <w:bCs/>
        </w:rPr>
        <w:t xml:space="preserve"> sincrónic</w:t>
      </w:r>
      <w:r>
        <w:rPr>
          <w:rFonts w:cstheme="minorHAnsi"/>
          <w:bCs/>
        </w:rPr>
        <w:t>o</w:t>
      </w:r>
      <w:r w:rsidRPr="003D0215">
        <w:rPr>
          <w:rFonts w:cstheme="minorHAnsi"/>
          <w:bCs/>
        </w:rPr>
        <w:t>s se dedican a compartir presentaciones audiovisuales por parte de la persona docente para profundizar los diferentes temas del contenido y aclarar las dudas de las personas estudiantes. Se trata de un espacio que impulsará el diálogo y el compartir conocimientos entre docente y estudiantes.</w:t>
      </w:r>
      <w:r>
        <w:rPr>
          <w:rFonts w:cstheme="minorHAnsi"/>
          <w:bCs/>
        </w:rPr>
        <w:t xml:space="preserve"> Tienen un valor formativo. </w:t>
      </w:r>
    </w:p>
    <w:p w14:paraId="60D5EBC1" w14:textId="77777777" w:rsidR="0076384B" w:rsidRDefault="0076384B" w:rsidP="00A94B62">
      <w:pPr>
        <w:jc w:val="both"/>
        <w:rPr>
          <w:rFonts w:cstheme="minorHAnsi"/>
          <w:color w:val="000000" w:themeColor="text1"/>
        </w:rPr>
      </w:pPr>
      <w:r>
        <w:rPr>
          <w:rFonts w:cs="Arial"/>
          <w:b/>
          <w:color w:val="000000" w:themeColor="text1"/>
        </w:rPr>
        <w:t>b) Mapa conceptual:</w:t>
      </w:r>
      <w:r w:rsidRPr="00C06187">
        <w:t xml:space="preserve"> </w:t>
      </w:r>
      <w:r w:rsidRPr="00C06187">
        <w:rPr>
          <w:rFonts w:cs="Arial"/>
          <w:bCs/>
          <w:color w:val="000000" w:themeColor="text1"/>
        </w:rPr>
        <w:t>Con el fin de lograr un aprendizaje significativo, la representación y organización del conocimiento mediante la herramienta mapa conceptual es de suma importancia. Con base en las lecturas asignadas y con el fin de graficar su comprensión</w:t>
      </w:r>
      <w:r>
        <w:rPr>
          <w:rFonts w:cs="Arial"/>
          <w:bCs/>
          <w:color w:val="000000" w:themeColor="text1"/>
        </w:rPr>
        <w:t xml:space="preserve"> </w:t>
      </w:r>
      <w:r w:rsidRPr="00C06187">
        <w:rPr>
          <w:rFonts w:cs="Arial"/>
          <w:bCs/>
          <w:color w:val="000000" w:themeColor="text1"/>
        </w:rPr>
        <w:t xml:space="preserve">se </w:t>
      </w:r>
      <w:r>
        <w:rPr>
          <w:rFonts w:cs="Arial"/>
          <w:bCs/>
          <w:color w:val="000000" w:themeColor="text1"/>
        </w:rPr>
        <w:t>elaborarán</w:t>
      </w:r>
      <w:r w:rsidRPr="00C06187">
        <w:rPr>
          <w:rFonts w:cs="Arial"/>
          <w:bCs/>
          <w:color w:val="000000" w:themeColor="text1"/>
        </w:rPr>
        <w:t xml:space="preserve"> mapas conceptuales. </w:t>
      </w:r>
      <w:r>
        <w:rPr>
          <w:rFonts w:cs="Arial"/>
          <w:bCs/>
          <w:color w:val="000000" w:themeColor="text1"/>
        </w:rPr>
        <w:t>Con un</w:t>
      </w:r>
      <w:r w:rsidRPr="00C06187">
        <w:rPr>
          <w:rFonts w:cs="Arial"/>
          <w:bCs/>
          <w:color w:val="000000" w:themeColor="text1"/>
        </w:rPr>
        <w:t xml:space="preserve"> mapa conceptual </w:t>
      </w:r>
      <w:r>
        <w:rPr>
          <w:rFonts w:cs="Arial"/>
          <w:bCs/>
          <w:color w:val="000000" w:themeColor="text1"/>
        </w:rPr>
        <w:t xml:space="preserve">se </w:t>
      </w:r>
      <w:r w:rsidRPr="00C06187">
        <w:rPr>
          <w:rFonts w:cs="Arial"/>
          <w:bCs/>
          <w:color w:val="000000" w:themeColor="text1"/>
        </w:rPr>
        <w:t xml:space="preserve">busca que la persona estudiante grafique los principales conceptos inherentes al quehacer teológico con respecto a la circularidad hermenéutica, mientras que el </w:t>
      </w:r>
      <w:r>
        <w:rPr>
          <w:rFonts w:cs="Arial"/>
          <w:bCs/>
          <w:color w:val="000000" w:themeColor="text1"/>
        </w:rPr>
        <w:t xml:space="preserve">otro </w:t>
      </w:r>
      <w:r w:rsidRPr="00C06187">
        <w:rPr>
          <w:rFonts w:cs="Arial"/>
          <w:bCs/>
          <w:color w:val="000000" w:themeColor="text1"/>
        </w:rPr>
        <w:t>requiere una comprensión graficada de la teoría de género en el quehacer teológico.</w:t>
      </w:r>
      <w:r>
        <w:rPr>
          <w:rFonts w:cs="Arial"/>
          <w:b/>
          <w:color w:val="000000" w:themeColor="text1"/>
        </w:rPr>
        <w:t xml:space="preserve"> </w:t>
      </w:r>
    </w:p>
    <w:p w14:paraId="09C225A1" w14:textId="77777777" w:rsidR="0076384B" w:rsidRDefault="0076384B" w:rsidP="00A94B62">
      <w:pPr>
        <w:jc w:val="both"/>
        <w:rPr>
          <w:rFonts w:cs="Arial"/>
          <w:bCs/>
          <w:color w:val="000000" w:themeColor="text1"/>
        </w:rPr>
      </w:pPr>
      <w:r>
        <w:rPr>
          <w:rFonts w:cstheme="minorHAnsi"/>
          <w:b/>
          <w:bCs/>
          <w:color w:val="000000" w:themeColor="text1"/>
        </w:rPr>
        <w:t>c) Reporte de lectura:</w:t>
      </w:r>
      <w:r w:rsidRPr="00400A64">
        <w:t xml:space="preserve"> </w:t>
      </w:r>
      <w:r w:rsidRPr="00400A64">
        <w:rPr>
          <w:rFonts w:cstheme="minorHAnsi"/>
          <w:color w:val="000000" w:themeColor="text1"/>
        </w:rPr>
        <w:t>Una forma de sistematizar los aportes de una persona autora o más se da mediante los reportes de lectura en donde se explica el contenido del texto, las partes más interesantes para la persona lectora y qu</w:t>
      </w:r>
      <w:r>
        <w:rPr>
          <w:rFonts w:cstheme="minorHAnsi"/>
          <w:color w:val="000000" w:themeColor="text1"/>
        </w:rPr>
        <w:t>é</w:t>
      </w:r>
      <w:r w:rsidRPr="00400A64">
        <w:rPr>
          <w:rFonts w:cstheme="minorHAnsi"/>
          <w:color w:val="000000" w:themeColor="text1"/>
        </w:rPr>
        <w:t xml:space="preserve"> reflexiones provoca. Los reportes de lectura en este curso buscan que la persona estudiante desarrolle la capacidad de resumir el contenido de textos que aportan temas centrales de la disciplina teológica con el fin de comparar, interpretar y profundizar en los conceptos, aprehendiéndolos para su propia experiencia del quehacer teológico y para su propia aplicación.</w:t>
      </w:r>
    </w:p>
    <w:p w14:paraId="782A5525" w14:textId="77777777" w:rsidR="0076384B" w:rsidRPr="007B4607" w:rsidRDefault="0076384B" w:rsidP="00A94B62">
      <w:pPr>
        <w:jc w:val="both"/>
        <w:rPr>
          <w:rFonts w:cstheme="minorHAnsi"/>
          <w:bCs/>
          <w:color w:val="000000" w:themeColor="text1"/>
        </w:rPr>
      </w:pPr>
      <w:r>
        <w:rPr>
          <w:rFonts w:cs="Arial"/>
          <w:b/>
          <w:color w:val="000000" w:themeColor="text1"/>
        </w:rPr>
        <w:t xml:space="preserve">d) Glosario: </w:t>
      </w:r>
      <w:r w:rsidRPr="007B4607">
        <w:rPr>
          <w:rFonts w:cs="Arial"/>
          <w:bCs/>
          <w:color w:val="000000" w:themeColor="text1"/>
        </w:rPr>
        <w:t xml:space="preserve">El glosario busca que la persona estudiante conozca y maneje un vocabulario mínimo de términos de una disciplina, con el fin de definirlos, explicarlos y aplicarlos. La </w:t>
      </w:r>
      <w:r>
        <w:rPr>
          <w:rFonts w:cs="Arial"/>
          <w:bCs/>
          <w:color w:val="000000" w:themeColor="text1"/>
        </w:rPr>
        <w:t xml:space="preserve">elaboración de </w:t>
      </w:r>
      <w:r w:rsidRPr="007B4607">
        <w:rPr>
          <w:rFonts w:cs="Arial"/>
          <w:bCs/>
          <w:color w:val="000000" w:themeColor="text1"/>
        </w:rPr>
        <w:t>dos glosarios</w:t>
      </w:r>
      <w:r>
        <w:rPr>
          <w:rFonts w:cs="Arial"/>
          <w:bCs/>
          <w:color w:val="000000" w:themeColor="text1"/>
        </w:rPr>
        <w:t>, de forma colaborativa,</w:t>
      </w:r>
      <w:r w:rsidRPr="007B4607">
        <w:rPr>
          <w:rFonts w:cs="Arial"/>
          <w:bCs/>
          <w:color w:val="000000" w:themeColor="text1"/>
        </w:rPr>
        <w:t xml:space="preserve"> trabaja la habilidad de apropiarse de conceptos claves presentes en las lecturas asignadas sobre los temas de los nuevos paradigmas en el quehacer teológico y la interculturalidad,</w:t>
      </w:r>
      <w:r>
        <w:rPr>
          <w:rFonts w:cs="Arial"/>
          <w:bCs/>
          <w:color w:val="000000" w:themeColor="text1"/>
        </w:rPr>
        <w:t xml:space="preserve"> los cuales son</w:t>
      </w:r>
      <w:r w:rsidRPr="007B4607">
        <w:rPr>
          <w:rFonts w:cs="Arial"/>
          <w:bCs/>
          <w:color w:val="000000" w:themeColor="text1"/>
        </w:rPr>
        <w:t xml:space="preserve"> temas centrales en la disciplina teológica contemporánea.</w:t>
      </w:r>
    </w:p>
    <w:p w14:paraId="0B116D79" w14:textId="77777777" w:rsidR="0076384B" w:rsidRDefault="0076384B" w:rsidP="00715889">
      <w:pPr>
        <w:jc w:val="both"/>
        <w:rPr>
          <w:rFonts w:cstheme="minorHAnsi"/>
          <w:color w:val="000000" w:themeColor="text1"/>
        </w:rPr>
      </w:pPr>
      <w:r>
        <w:rPr>
          <w:rFonts w:cstheme="minorHAnsi"/>
          <w:b/>
          <w:bCs/>
          <w:color w:val="000000" w:themeColor="text1"/>
        </w:rPr>
        <w:t xml:space="preserve">e) Diario reflexivo: </w:t>
      </w:r>
      <w:r w:rsidRPr="00B660C6">
        <w:rPr>
          <w:rFonts w:cstheme="minorHAnsi"/>
          <w:color w:val="000000" w:themeColor="text1"/>
        </w:rPr>
        <w:t xml:space="preserve">El diario reflexivo permite a las personas estudiantes la toma de consciencia en cuanto a los aportes e insumos sobre los que está reflexionando de una manera creativa, contribuyendo al aprendizaje significativo. El diario reflexivo como estrategia que desarrolla un dialogo interno con el conocimiento permitirá, de una manera reflexiva, creativa, crítica e innovadora, combinando la reflexión gráfica escrita, con la ilustrada mediante fotos, color, videos y otros, meditar sobre la pregunta ¿Por qué se hacen necesarios nuevos paradigmas en el quehacer </w:t>
      </w:r>
      <w:r w:rsidRPr="00B660C6">
        <w:rPr>
          <w:rFonts w:cstheme="minorHAnsi"/>
          <w:color w:val="000000" w:themeColor="text1"/>
        </w:rPr>
        <w:lastRenderedPageBreak/>
        <w:t xml:space="preserve">teológico?, revisando a su vez la teología de las tradiciones protestantes, sus rasgos y raíces en América Latina y el </w:t>
      </w:r>
      <w:r>
        <w:rPr>
          <w:rFonts w:cstheme="minorHAnsi"/>
          <w:color w:val="000000" w:themeColor="text1"/>
        </w:rPr>
        <w:t>C</w:t>
      </w:r>
      <w:r w:rsidRPr="00B660C6">
        <w:rPr>
          <w:rFonts w:cstheme="minorHAnsi"/>
          <w:color w:val="000000" w:themeColor="text1"/>
        </w:rPr>
        <w:t>aribe, a partir de la lectura y de la experiencia de la persona estudiante.</w:t>
      </w:r>
    </w:p>
    <w:p w14:paraId="36A16657" w14:textId="77777777" w:rsidR="0076384B" w:rsidRDefault="0076384B" w:rsidP="00715889">
      <w:pPr>
        <w:jc w:val="both"/>
        <w:rPr>
          <w:rFonts w:cstheme="minorHAnsi"/>
          <w:color w:val="000000" w:themeColor="text1"/>
        </w:rPr>
      </w:pPr>
      <w:r>
        <w:rPr>
          <w:rFonts w:cstheme="minorHAnsi"/>
          <w:b/>
          <w:bCs/>
          <w:color w:val="000000" w:themeColor="text1"/>
        </w:rPr>
        <w:t xml:space="preserve">f) Foro: </w:t>
      </w:r>
      <w:r w:rsidRPr="0071366E">
        <w:rPr>
          <w:rFonts w:cstheme="minorHAnsi"/>
          <w:color w:val="000000" w:themeColor="text1"/>
        </w:rPr>
        <w:t>Con el propósito de proveer experiencias de aprendizaje interac</w:t>
      </w:r>
      <w:r>
        <w:rPr>
          <w:rFonts w:cstheme="minorHAnsi"/>
          <w:color w:val="000000" w:themeColor="text1"/>
        </w:rPr>
        <w:t>tivo y</w:t>
      </w:r>
      <w:r w:rsidRPr="0071366E">
        <w:rPr>
          <w:rFonts w:cstheme="minorHAnsi"/>
          <w:color w:val="000000" w:themeColor="text1"/>
        </w:rPr>
        <w:t xml:space="preserve"> colaborativ</w:t>
      </w:r>
      <w:r>
        <w:rPr>
          <w:rFonts w:cstheme="minorHAnsi"/>
          <w:color w:val="000000" w:themeColor="text1"/>
        </w:rPr>
        <w:t>o</w:t>
      </w:r>
      <w:r w:rsidRPr="0071366E">
        <w:rPr>
          <w:rFonts w:cstheme="minorHAnsi"/>
          <w:color w:val="000000" w:themeColor="text1"/>
        </w:rPr>
        <w:t xml:space="preserve">, </w:t>
      </w:r>
      <w:r>
        <w:rPr>
          <w:rFonts w:cstheme="minorHAnsi"/>
          <w:color w:val="000000" w:themeColor="text1"/>
        </w:rPr>
        <w:t xml:space="preserve">durante el curso los y las estudiantes participarán en </w:t>
      </w:r>
      <w:r w:rsidRPr="0071366E">
        <w:rPr>
          <w:rFonts w:cstheme="minorHAnsi"/>
          <w:color w:val="000000" w:themeColor="text1"/>
        </w:rPr>
        <w:t xml:space="preserve">foros </w:t>
      </w:r>
      <w:r>
        <w:rPr>
          <w:rFonts w:cstheme="minorHAnsi"/>
          <w:color w:val="000000" w:themeColor="text1"/>
        </w:rPr>
        <w:t xml:space="preserve">temáticos </w:t>
      </w:r>
      <w:r w:rsidRPr="0071366E">
        <w:rPr>
          <w:rFonts w:cstheme="minorHAnsi"/>
          <w:color w:val="000000" w:themeColor="text1"/>
        </w:rPr>
        <w:t>grupales con base en las lecturas asignadas,</w:t>
      </w:r>
      <w:r>
        <w:rPr>
          <w:rFonts w:cstheme="minorHAnsi"/>
          <w:color w:val="000000" w:themeColor="text1"/>
        </w:rPr>
        <w:t xml:space="preserve"> para</w:t>
      </w:r>
      <w:r w:rsidRPr="0071366E">
        <w:rPr>
          <w:rFonts w:cstheme="minorHAnsi"/>
          <w:color w:val="000000" w:themeColor="text1"/>
        </w:rPr>
        <w:t xml:space="preserve"> generar debate y diálogo crítico sobre temas centrales del curso tales como: ¿</w:t>
      </w:r>
      <w:r>
        <w:rPr>
          <w:rFonts w:cstheme="minorHAnsi"/>
          <w:color w:val="000000" w:themeColor="text1"/>
        </w:rPr>
        <w:t>q</w:t>
      </w:r>
      <w:r w:rsidRPr="0071366E">
        <w:rPr>
          <w:rFonts w:cstheme="minorHAnsi"/>
          <w:color w:val="000000" w:themeColor="text1"/>
        </w:rPr>
        <w:t xml:space="preserve">ué es la teología?, </w:t>
      </w:r>
      <w:r>
        <w:rPr>
          <w:rFonts w:cstheme="minorHAnsi"/>
          <w:color w:val="000000" w:themeColor="text1"/>
        </w:rPr>
        <w:t>d</w:t>
      </w:r>
      <w:r w:rsidRPr="0071366E">
        <w:rPr>
          <w:rFonts w:cstheme="minorHAnsi"/>
          <w:color w:val="000000" w:themeColor="text1"/>
        </w:rPr>
        <w:t xml:space="preserve">iferentes caminos del quehacer teológico y teología contextual en América Latina y el </w:t>
      </w:r>
      <w:r>
        <w:rPr>
          <w:rFonts w:cstheme="minorHAnsi"/>
          <w:color w:val="000000" w:themeColor="text1"/>
        </w:rPr>
        <w:t>C</w:t>
      </w:r>
      <w:r w:rsidRPr="0071366E">
        <w:rPr>
          <w:rFonts w:cstheme="minorHAnsi"/>
          <w:color w:val="000000" w:themeColor="text1"/>
        </w:rPr>
        <w:t>aribe. Cada estudiante brindará su aporte según las consignas específicas y replicará al aporte de otras personas compañeras.</w:t>
      </w:r>
      <w:r>
        <w:rPr>
          <w:rFonts w:cstheme="minorHAnsi"/>
          <w:color w:val="000000" w:themeColor="text1"/>
        </w:rPr>
        <w:t xml:space="preserve"> Por otra parte, también se participará mediante foros para comentar los mapas conceptuales elaborados por sus compañeros o compañeras, con el objetivo de profundizar y debatir aprendizajes.</w:t>
      </w:r>
      <w:r w:rsidRPr="0071366E">
        <w:rPr>
          <w:rFonts w:cstheme="minorHAnsi"/>
          <w:b/>
          <w:bCs/>
          <w:color w:val="000000" w:themeColor="text1"/>
        </w:rPr>
        <w:t xml:space="preserve"> </w:t>
      </w:r>
      <w:r>
        <w:rPr>
          <w:rFonts w:cstheme="minorHAnsi"/>
          <w:b/>
          <w:bCs/>
          <w:color w:val="000000" w:themeColor="text1"/>
        </w:rPr>
        <w:t xml:space="preserve"> </w:t>
      </w:r>
    </w:p>
    <w:p w14:paraId="68DFF7F6" w14:textId="77777777" w:rsidR="0076384B" w:rsidRPr="00584DE2" w:rsidRDefault="0076384B" w:rsidP="00DD34BC">
      <w:pPr>
        <w:jc w:val="both"/>
        <w:rPr>
          <w:rFonts w:cstheme="minorHAnsi"/>
          <w:color w:val="000000" w:themeColor="text1"/>
        </w:rPr>
      </w:pPr>
      <w:r>
        <w:rPr>
          <w:rFonts w:cstheme="minorHAnsi"/>
          <w:b/>
          <w:bCs/>
          <w:color w:val="000000" w:themeColor="text1"/>
        </w:rPr>
        <w:t xml:space="preserve">g) Ensayo crítico: </w:t>
      </w:r>
      <w:r w:rsidRPr="00753BDC">
        <w:rPr>
          <w:rFonts w:cstheme="minorHAnsi"/>
          <w:color w:val="000000" w:themeColor="text1"/>
        </w:rPr>
        <w:t>Un ensayo es un documento académico en el cual la persona autora expresa su opinión libremente, pero argumentada</w:t>
      </w:r>
      <w:r>
        <w:rPr>
          <w:rFonts w:cstheme="minorHAnsi"/>
          <w:color w:val="000000" w:themeColor="text1"/>
        </w:rPr>
        <w:t xml:space="preserve"> y</w:t>
      </w:r>
      <w:r w:rsidRPr="00753BDC">
        <w:rPr>
          <w:rFonts w:cstheme="minorHAnsi"/>
          <w:color w:val="000000" w:themeColor="text1"/>
        </w:rPr>
        <w:t xml:space="preserve"> fundamentada sobre un tópico de la disciplina, en este caso de la </w:t>
      </w:r>
      <w:r>
        <w:rPr>
          <w:rFonts w:cstheme="minorHAnsi"/>
          <w:color w:val="000000" w:themeColor="text1"/>
        </w:rPr>
        <w:t>t</w:t>
      </w:r>
      <w:r w:rsidRPr="00753BDC">
        <w:rPr>
          <w:rFonts w:cstheme="minorHAnsi"/>
          <w:color w:val="000000" w:themeColor="text1"/>
        </w:rPr>
        <w:t>eología. El ensayo crítico final es individual y tiene como propósito desarrollar un tema teológico en el que la persona estudiante expone, debate, critica y argumenta sobre e</w:t>
      </w:r>
      <w:r>
        <w:rPr>
          <w:rFonts w:cstheme="minorHAnsi"/>
          <w:color w:val="000000" w:themeColor="text1"/>
        </w:rPr>
        <w:t>ste</w:t>
      </w:r>
      <w:r w:rsidRPr="00753BDC">
        <w:rPr>
          <w:rFonts w:cstheme="minorHAnsi"/>
          <w:color w:val="000000" w:themeColor="text1"/>
        </w:rPr>
        <w:t>, presentando su punto de vista sobre el tema, pero argumentado en las lecturas del curso y en su investigación personal de otras fuentes. Se desarrolla durante el curso y se dará</w:t>
      </w:r>
      <w:r>
        <w:rPr>
          <w:rFonts w:cstheme="minorHAnsi"/>
          <w:color w:val="000000" w:themeColor="text1"/>
        </w:rPr>
        <w:t xml:space="preserve">n </w:t>
      </w:r>
      <w:r w:rsidRPr="00753BDC">
        <w:rPr>
          <w:rFonts w:cstheme="minorHAnsi"/>
          <w:color w:val="000000" w:themeColor="text1"/>
        </w:rPr>
        <w:t>espacio</w:t>
      </w:r>
      <w:r>
        <w:rPr>
          <w:rFonts w:cstheme="minorHAnsi"/>
          <w:color w:val="000000" w:themeColor="text1"/>
        </w:rPr>
        <w:t>s</w:t>
      </w:r>
      <w:r w:rsidRPr="00753BDC">
        <w:rPr>
          <w:rFonts w:cstheme="minorHAnsi"/>
          <w:color w:val="000000" w:themeColor="text1"/>
        </w:rPr>
        <w:t xml:space="preserve"> para que las personas estudiantes presenten avances sobre su ensayo. Este trabajo tiene como propósito integrar conocimientos del curso, </w:t>
      </w:r>
      <w:r>
        <w:rPr>
          <w:rFonts w:cstheme="minorHAnsi"/>
          <w:color w:val="000000" w:themeColor="text1"/>
        </w:rPr>
        <w:t xml:space="preserve">así como promover el </w:t>
      </w:r>
      <w:r w:rsidRPr="00753BDC">
        <w:rPr>
          <w:rFonts w:cstheme="minorHAnsi"/>
          <w:color w:val="000000" w:themeColor="text1"/>
        </w:rPr>
        <w:t xml:space="preserve">desarrollo lógico y </w:t>
      </w:r>
      <w:r>
        <w:rPr>
          <w:rFonts w:cstheme="minorHAnsi"/>
          <w:color w:val="000000" w:themeColor="text1"/>
        </w:rPr>
        <w:t xml:space="preserve">el </w:t>
      </w:r>
      <w:r w:rsidRPr="00753BDC">
        <w:rPr>
          <w:rFonts w:cstheme="minorHAnsi"/>
          <w:color w:val="000000" w:themeColor="text1"/>
        </w:rPr>
        <w:t>manejo temático del tópico seleccionado.</w:t>
      </w:r>
      <w:r>
        <w:rPr>
          <w:rFonts w:cstheme="minorHAnsi"/>
          <w:b/>
          <w:bCs/>
          <w:color w:val="000000" w:themeColor="text1"/>
        </w:rPr>
        <w:t xml:space="preserve"> </w:t>
      </w:r>
    </w:p>
    <w:p w14:paraId="733888D5" w14:textId="77777777" w:rsidR="0076384B" w:rsidRPr="00C31B5D" w:rsidRDefault="0076384B" w:rsidP="00DD34BC">
      <w:pPr>
        <w:jc w:val="both"/>
        <w:rPr>
          <w:rFonts w:cs="Arial"/>
          <w:bCs/>
          <w:color w:val="000000" w:themeColor="text1"/>
        </w:rPr>
      </w:pPr>
      <w:r w:rsidRPr="001003B1">
        <w:rPr>
          <w:rFonts w:cs="Arial"/>
          <w:bCs/>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5AE645DE" w14:textId="77777777" w:rsidR="0076384B" w:rsidRPr="00F40354" w:rsidRDefault="0076384B" w:rsidP="00DD34BC">
      <w:pPr>
        <w:jc w:val="both"/>
        <w:rPr>
          <w:rFonts w:cs="Arial"/>
          <w:b/>
          <w:bCs/>
          <w:color w:val="000000" w:themeColor="text1"/>
          <w:sz w:val="2"/>
          <w:szCs w:val="2"/>
        </w:rPr>
      </w:pPr>
    </w:p>
    <w:p w14:paraId="4F134477" w14:textId="77777777" w:rsidR="0076384B" w:rsidRPr="00C5032E" w:rsidRDefault="0076384B" w:rsidP="00DD34BC">
      <w:pPr>
        <w:jc w:val="both"/>
        <w:rPr>
          <w:rFonts w:cs="Arial"/>
          <w:b/>
          <w:bCs/>
          <w:color w:val="000000" w:themeColor="text1"/>
        </w:rPr>
      </w:pPr>
      <w:r>
        <w:rPr>
          <w:rFonts w:cs="Arial"/>
          <w:b/>
          <w:bCs/>
          <w:color w:val="000000" w:themeColor="text1"/>
        </w:rPr>
        <w:t xml:space="preserve">VII. </w:t>
      </w:r>
      <w:r w:rsidRPr="00C5032E">
        <w:rPr>
          <w:rFonts w:cs="Arial"/>
          <w:b/>
          <w:bCs/>
          <w:color w:val="000000" w:themeColor="text1"/>
        </w:rPr>
        <w:t>Recursos didácticos</w:t>
      </w:r>
    </w:p>
    <w:p w14:paraId="123AF068" w14:textId="77777777" w:rsidR="0076384B" w:rsidRDefault="0076384B" w:rsidP="00F65D74">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0D24EE12" w14:textId="77777777" w:rsidR="0076384B" w:rsidRDefault="0076384B" w:rsidP="00F65D74">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61EE4692" w14:textId="77777777" w:rsidR="0076384B" w:rsidRDefault="0076384B" w:rsidP="00F65D74">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2789C1A2" w14:textId="77777777" w:rsidR="0076384B" w:rsidRDefault="0076384B" w:rsidP="00F65D74">
      <w:pPr>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375D08BC" w14:textId="77777777" w:rsidR="0076384B" w:rsidRDefault="0076384B" w:rsidP="00F65D74">
      <w:pPr>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en </w:t>
      </w:r>
      <w:r w:rsidRPr="006014C5">
        <w:rPr>
          <w:rFonts w:cstheme="minorHAnsi"/>
          <w:color w:val="000000" w:themeColor="text1"/>
          <w:lang w:val="es-ES" w:eastAsia="es-ES"/>
        </w:rPr>
        <w:t>un glosario</w:t>
      </w:r>
      <w:r>
        <w:rPr>
          <w:rFonts w:cstheme="minorHAnsi"/>
          <w:color w:val="000000" w:themeColor="text1"/>
          <w:lang w:val="es-ES" w:eastAsia="es-ES"/>
        </w:rPr>
        <w:t xml:space="preserve"> y mediante la herramienta Big Blue </w:t>
      </w:r>
      <w:proofErr w:type="spellStart"/>
      <w:r>
        <w:rPr>
          <w:rFonts w:cstheme="minorHAnsi"/>
          <w:color w:val="000000" w:themeColor="text1"/>
          <w:lang w:val="es-ES" w:eastAsia="es-ES"/>
        </w:rPr>
        <w:t>Button</w:t>
      </w:r>
      <w:proofErr w:type="spellEnd"/>
      <w:r>
        <w:rPr>
          <w:rFonts w:cstheme="minorHAnsi"/>
          <w:color w:val="000000" w:themeColor="text1"/>
          <w:lang w:val="es-ES" w:eastAsia="es-ES"/>
        </w:rPr>
        <w:t xml:space="preserve"> en la plataforma Moodle;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 xml:space="preserve"> mapa conceptual y un diario reflexivo</w:t>
      </w:r>
      <w:r w:rsidRPr="006014C5">
        <w:rPr>
          <w:rFonts w:cstheme="minorHAnsi"/>
          <w:color w:val="000000" w:themeColor="text1"/>
          <w:lang w:val="es-ES" w:eastAsia="es-ES"/>
        </w:rPr>
        <w:t xml:space="preserve">; así como de </w:t>
      </w:r>
      <w:r>
        <w:rPr>
          <w:rFonts w:cstheme="minorHAnsi"/>
          <w:color w:val="000000" w:themeColor="text1"/>
          <w:lang w:val="es-ES" w:eastAsia="es-ES"/>
        </w:rPr>
        <w:t xml:space="preserve">una </w:t>
      </w:r>
      <w:r w:rsidRPr="006014C5">
        <w:rPr>
          <w:rFonts w:cstheme="minorHAnsi"/>
          <w:color w:val="000000" w:themeColor="text1"/>
          <w:lang w:val="es-ES" w:eastAsia="es-ES"/>
        </w:rPr>
        <w:t>guía para el</w:t>
      </w:r>
      <w:r>
        <w:rPr>
          <w:rFonts w:cstheme="minorHAnsi"/>
          <w:color w:val="000000" w:themeColor="text1"/>
          <w:lang w:val="es-ES" w:eastAsia="es-ES"/>
        </w:rPr>
        <w:t xml:space="preserve">aborar el ensayo crítico final </w:t>
      </w:r>
      <w:r w:rsidRPr="006014C5">
        <w:rPr>
          <w:rFonts w:cstheme="minorHAnsi"/>
          <w:color w:val="000000" w:themeColor="text1"/>
          <w:lang w:val="es-ES" w:eastAsia="es-ES"/>
        </w:rPr>
        <w:t>que se encuentra en la sección de actividades de la sesión correspondiente.</w:t>
      </w:r>
    </w:p>
    <w:p w14:paraId="2B94ABA2" w14:textId="77777777" w:rsidR="0076384B" w:rsidRDefault="0076384B" w:rsidP="00F3170F">
      <w:pPr>
        <w:jc w:val="both"/>
        <w:rPr>
          <w:rFonts w:cstheme="minorHAnsi"/>
          <w:color w:val="000000" w:themeColor="text1"/>
          <w:lang w:val="es-ES" w:eastAsia="es-ES"/>
        </w:rPr>
      </w:pPr>
      <w:r>
        <w:rPr>
          <w:rFonts w:cstheme="minorHAnsi"/>
          <w:color w:val="000000" w:themeColor="text1"/>
          <w:lang w:val="es-ES" w:eastAsia="es-ES"/>
        </w:rPr>
        <w:lastRenderedPageBreak/>
        <w:t xml:space="preserve">e) </w:t>
      </w:r>
      <w:r w:rsidRPr="006014C5">
        <w:rPr>
          <w:rFonts w:cstheme="minorHAnsi"/>
          <w:color w:val="000000" w:themeColor="text1"/>
          <w:lang w:val="es-ES" w:eastAsia="es-ES"/>
        </w:rPr>
        <w:t xml:space="preserve">También puede disponer de las bases de datos, revistas en línea, repositorios y buscadores especializados a los cuales puede acceder mediante la Biblioteca Enrique </w:t>
      </w:r>
      <w:proofErr w:type="spellStart"/>
      <w:r w:rsidRPr="006014C5">
        <w:rPr>
          <w:rFonts w:cstheme="minorHAnsi"/>
          <w:color w:val="000000" w:themeColor="text1"/>
          <w:lang w:val="es-ES" w:eastAsia="es-ES"/>
        </w:rPr>
        <w:t>Strachan</w:t>
      </w:r>
      <w:proofErr w:type="spellEnd"/>
      <w:r w:rsidRPr="006014C5">
        <w:rPr>
          <w:rFonts w:cstheme="minorHAnsi"/>
          <w:color w:val="000000" w:themeColor="text1"/>
          <w:lang w:val="es-ES" w:eastAsia="es-ES"/>
        </w:rPr>
        <w:t xml:space="preserve"> (</w:t>
      </w:r>
      <w:hyperlink r:id="rId34" w:history="1">
        <w:r w:rsidRPr="006014C5">
          <w:rPr>
            <w:rStyle w:val="Hipervnculo"/>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35" w:history="1">
        <w:r w:rsidRPr="006014C5">
          <w:rPr>
            <w:rStyle w:val="Hipervnculo"/>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A través del correo de la biblioteca (</w:t>
      </w:r>
      <w:hyperlink r:id="rId36" w:history="1">
        <w:r w:rsidRPr="000F4298">
          <w:rPr>
            <w:rStyle w:val="Hipervnculo"/>
            <w:rFonts w:cstheme="minorHAnsi"/>
            <w:lang w:val="es-ES" w:eastAsia="es-ES"/>
          </w:rPr>
          <w:t>biblioteca@ubl.ac.cr</w:t>
        </w:r>
      </w:hyperlink>
      <w:r>
        <w:rPr>
          <w:rFonts w:cstheme="minorHAnsi"/>
          <w:color w:val="000000" w:themeColor="text1"/>
          <w:lang w:val="es-ES" w:eastAsia="es-ES"/>
        </w:rPr>
        <w:t>) puede solicitar recursos que se encuentren en la colección física.</w:t>
      </w:r>
    </w:p>
    <w:p w14:paraId="08EFFFE4" w14:textId="1595E705" w:rsidR="0076384B" w:rsidRDefault="0076384B" w:rsidP="00DD0B28">
      <w:pPr>
        <w:jc w:val="both"/>
        <w:rPr>
          <w:rFonts w:cstheme="minorHAnsi"/>
          <w:color w:val="000000" w:themeColor="text1"/>
          <w:lang w:eastAsia="es-ES"/>
        </w:rPr>
      </w:pPr>
      <w:r>
        <w:rPr>
          <w:rFonts w:cstheme="minorHAnsi"/>
          <w:color w:val="000000" w:themeColor="text1"/>
          <w:lang w:val="es-ES" w:eastAsia="es-ES"/>
        </w:rPr>
        <w:t xml:space="preserve">f) </w:t>
      </w:r>
      <w:r w:rsidRPr="007721BD">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cstheme="minorHAnsi"/>
          <w:bCs/>
        </w:rPr>
        <w:t>Bachillerato en Ciencias Bíblicas</w:t>
      </w:r>
      <w:r w:rsidRPr="007721BD">
        <w:rPr>
          <w:rFonts w:cstheme="minorHAnsi"/>
          <w:bCs/>
        </w:rPr>
        <w:t xml:space="preserve">. Dicho espacio está disponible para todas las personas registradas en el campus virtual y se puede acceder a través del siguiente enlace: </w:t>
      </w:r>
      <w:hyperlink r:id="rId37" w:history="1">
        <w:r w:rsidRPr="007721BD">
          <w:rPr>
            <w:rStyle w:val="Hipervnculo"/>
            <w:rFonts w:cstheme="minorHAnsi"/>
            <w:bCs/>
          </w:rPr>
          <w:t>https://campus.ubl.ac.cr/course/index.php?categoryid=186</w:t>
        </w:r>
      </w:hyperlink>
      <w:r w:rsidRPr="007721BD">
        <w:rPr>
          <w:rFonts w:cstheme="minorHAnsi"/>
          <w:bCs/>
        </w:rPr>
        <w:t xml:space="preserve"> </w:t>
      </w:r>
    </w:p>
    <w:p w14:paraId="652CE5DA" w14:textId="77777777" w:rsidR="0076384B" w:rsidRPr="00DD0B28" w:rsidRDefault="0076384B" w:rsidP="00DD0B28">
      <w:pPr>
        <w:jc w:val="both"/>
        <w:rPr>
          <w:rFonts w:cstheme="minorHAnsi"/>
          <w:color w:val="000000" w:themeColor="text1"/>
          <w:lang w:val="es-ES" w:eastAsia="es-ES"/>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200C0B9F" w14:textId="77777777" w:rsidR="0076384B" w:rsidRDefault="0076384B" w:rsidP="00DD34BC">
      <w:pPr>
        <w:rPr>
          <w:rFonts w:cs="Arial"/>
          <w:b/>
          <w:bCs/>
          <w:color w:val="000000" w:themeColor="text1"/>
        </w:rPr>
      </w:pPr>
    </w:p>
    <w:p w14:paraId="0FA5A686" w14:textId="77777777" w:rsidR="0076384B" w:rsidRPr="00C5032E" w:rsidRDefault="0076384B" w:rsidP="00DD34BC">
      <w:pPr>
        <w:rPr>
          <w:rFonts w:cs="Arial"/>
          <w:b/>
          <w:bCs/>
          <w:color w:val="000000" w:themeColor="text1"/>
        </w:rPr>
      </w:pPr>
      <w:r w:rsidRPr="00C5032E">
        <w:rPr>
          <w:rFonts w:cs="Arial"/>
          <w:b/>
          <w:bCs/>
          <w:color w:val="000000" w:themeColor="text1"/>
        </w:rPr>
        <w:t>VIII. Cronograma de trabajo</w:t>
      </w:r>
    </w:p>
    <w:p w14:paraId="60F22045" w14:textId="77777777" w:rsidR="0076384B" w:rsidRPr="00C5032E" w:rsidRDefault="0076384B" w:rsidP="00DD34BC">
      <w:pPr>
        <w:ind w:left="360"/>
        <w:rPr>
          <w:rFonts w:cs="Arial"/>
          <w:b/>
          <w:color w:val="000000" w:themeColor="text1"/>
        </w:rPr>
      </w:pPr>
    </w:p>
    <w:tbl>
      <w:tblPr>
        <w:tblW w:w="9471" w:type="dxa"/>
        <w:tblInd w:w="-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268"/>
        <w:gridCol w:w="2871"/>
        <w:gridCol w:w="3061"/>
      </w:tblGrid>
      <w:tr w:rsidR="0076384B" w:rsidRPr="00E34496" w14:paraId="4ADD2068" w14:textId="77777777" w:rsidTr="00300093">
        <w:trPr>
          <w:trHeight w:val="463"/>
        </w:trPr>
        <w:tc>
          <w:tcPr>
            <w:tcW w:w="1271" w:type="dxa"/>
            <w:vMerge w:val="restart"/>
            <w:vAlign w:val="center"/>
          </w:tcPr>
          <w:p w14:paraId="43CCDCBF" w14:textId="77777777" w:rsidR="0076384B" w:rsidRPr="004024DD" w:rsidRDefault="0076384B" w:rsidP="003C5A9C">
            <w:pPr>
              <w:jc w:val="center"/>
              <w:rPr>
                <w:rFonts w:cs="Arial"/>
                <w:b/>
                <w:color w:val="000000" w:themeColor="text1"/>
                <w:szCs w:val="24"/>
              </w:rPr>
            </w:pPr>
            <w:r w:rsidRPr="004024DD">
              <w:rPr>
                <w:rFonts w:cs="Arial"/>
                <w:b/>
                <w:color w:val="000000" w:themeColor="text1"/>
                <w:szCs w:val="24"/>
              </w:rPr>
              <w:t>Sesión</w:t>
            </w:r>
          </w:p>
          <w:p w14:paraId="253D5186" w14:textId="77777777" w:rsidR="0076384B" w:rsidRPr="004024DD" w:rsidRDefault="0076384B" w:rsidP="003C5A9C">
            <w:pPr>
              <w:jc w:val="center"/>
              <w:rPr>
                <w:rFonts w:cs="Arial"/>
                <w:b/>
                <w:color w:val="000000" w:themeColor="text1"/>
                <w:szCs w:val="24"/>
              </w:rPr>
            </w:pPr>
            <w:r w:rsidRPr="004024DD">
              <w:rPr>
                <w:rFonts w:cs="Arial"/>
                <w:b/>
                <w:color w:val="000000" w:themeColor="text1"/>
                <w:szCs w:val="24"/>
              </w:rPr>
              <w:t>(semana)</w:t>
            </w:r>
          </w:p>
        </w:tc>
        <w:tc>
          <w:tcPr>
            <w:tcW w:w="2268" w:type="dxa"/>
            <w:vMerge w:val="restart"/>
            <w:vAlign w:val="center"/>
          </w:tcPr>
          <w:p w14:paraId="3C6D35C1" w14:textId="77777777" w:rsidR="0076384B" w:rsidRPr="004024DD" w:rsidRDefault="0076384B" w:rsidP="003C5A9C">
            <w:pPr>
              <w:jc w:val="center"/>
              <w:rPr>
                <w:rFonts w:cs="Arial"/>
                <w:b/>
                <w:color w:val="000000" w:themeColor="text1"/>
              </w:rPr>
            </w:pPr>
            <w:r w:rsidRPr="004024DD">
              <w:rPr>
                <w:rFonts w:cs="Arial"/>
                <w:b/>
                <w:color w:val="000000" w:themeColor="text1"/>
              </w:rPr>
              <w:t>Contenidos temáticos</w:t>
            </w:r>
          </w:p>
        </w:tc>
        <w:tc>
          <w:tcPr>
            <w:tcW w:w="5932" w:type="dxa"/>
            <w:gridSpan w:val="2"/>
            <w:vAlign w:val="center"/>
          </w:tcPr>
          <w:p w14:paraId="44B4102B" w14:textId="77777777" w:rsidR="0076384B" w:rsidRPr="004024DD" w:rsidRDefault="0076384B" w:rsidP="003C5A9C">
            <w:pPr>
              <w:jc w:val="center"/>
              <w:rPr>
                <w:rFonts w:cs="Arial"/>
                <w:b/>
                <w:color w:val="000000" w:themeColor="text1"/>
              </w:rPr>
            </w:pPr>
            <w:r w:rsidRPr="004024DD">
              <w:rPr>
                <w:rFonts w:cs="Arial"/>
                <w:b/>
                <w:color w:val="000000" w:themeColor="text1"/>
              </w:rPr>
              <w:t xml:space="preserve">Actividades de </w:t>
            </w:r>
            <w:r>
              <w:rPr>
                <w:rFonts w:cs="Arial"/>
                <w:b/>
                <w:color w:val="000000" w:themeColor="text1"/>
              </w:rPr>
              <w:t>enseñanza-</w:t>
            </w:r>
            <w:r w:rsidRPr="004024DD">
              <w:rPr>
                <w:rFonts w:cs="Arial"/>
                <w:b/>
                <w:color w:val="000000" w:themeColor="text1"/>
              </w:rPr>
              <w:t>aprendizaje</w:t>
            </w:r>
          </w:p>
        </w:tc>
      </w:tr>
      <w:tr w:rsidR="0076384B" w:rsidRPr="00E34496" w14:paraId="56CA4912" w14:textId="77777777" w:rsidTr="00300093">
        <w:trPr>
          <w:trHeight w:val="427"/>
        </w:trPr>
        <w:tc>
          <w:tcPr>
            <w:tcW w:w="1271" w:type="dxa"/>
            <w:vMerge/>
            <w:vAlign w:val="center"/>
          </w:tcPr>
          <w:p w14:paraId="20310701" w14:textId="77777777" w:rsidR="0076384B" w:rsidRPr="00E34496" w:rsidRDefault="0076384B" w:rsidP="003C5A9C">
            <w:pPr>
              <w:jc w:val="center"/>
              <w:rPr>
                <w:rFonts w:cs="Arial"/>
                <w:b/>
                <w:color w:val="000000" w:themeColor="text1"/>
              </w:rPr>
            </w:pPr>
          </w:p>
        </w:tc>
        <w:tc>
          <w:tcPr>
            <w:tcW w:w="2268" w:type="dxa"/>
            <w:vMerge/>
            <w:vAlign w:val="center"/>
          </w:tcPr>
          <w:p w14:paraId="13E6874F" w14:textId="77777777" w:rsidR="0076384B" w:rsidRPr="00E34496" w:rsidRDefault="0076384B" w:rsidP="003C5A9C">
            <w:pPr>
              <w:jc w:val="center"/>
              <w:rPr>
                <w:rFonts w:cs="Arial"/>
                <w:b/>
                <w:color w:val="000000" w:themeColor="text1"/>
              </w:rPr>
            </w:pPr>
          </w:p>
        </w:tc>
        <w:tc>
          <w:tcPr>
            <w:tcW w:w="2871" w:type="dxa"/>
            <w:vAlign w:val="center"/>
          </w:tcPr>
          <w:p w14:paraId="0DE1A24A" w14:textId="77777777" w:rsidR="0076384B" w:rsidRPr="004024DD" w:rsidRDefault="0076384B" w:rsidP="003C5A9C">
            <w:pPr>
              <w:jc w:val="center"/>
              <w:rPr>
                <w:rFonts w:cs="Arial"/>
                <w:b/>
                <w:color w:val="000000" w:themeColor="text1"/>
              </w:rPr>
            </w:pPr>
            <w:r>
              <w:rPr>
                <w:rFonts w:cs="Arial"/>
                <w:b/>
                <w:color w:val="000000" w:themeColor="text1"/>
              </w:rPr>
              <w:t>Recursos didácticos</w:t>
            </w:r>
          </w:p>
        </w:tc>
        <w:tc>
          <w:tcPr>
            <w:tcW w:w="3061" w:type="dxa"/>
            <w:vAlign w:val="center"/>
          </w:tcPr>
          <w:p w14:paraId="241BBA64" w14:textId="77777777" w:rsidR="0076384B" w:rsidRPr="004024DD" w:rsidRDefault="0076384B" w:rsidP="003C5A9C">
            <w:pPr>
              <w:jc w:val="center"/>
              <w:rPr>
                <w:rFonts w:cs="Arial"/>
                <w:b/>
                <w:color w:val="000000" w:themeColor="text1"/>
              </w:rPr>
            </w:pPr>
            <w:r w:rsidRPr="004024DD">
              <w:rPr>
                <w:rFonts w:cs="Arial"/>
                <w:b/>
                <w:color w:val="000000" w:themeColor="text1"/>
              </w:rPr>
              <w:t>Actividades</w:t>
            </w:r>
            <w:r>
              <w:rPr>
                <w:rFonts w:cs="Arial"/>
                <w:b/>
                <w:color w:val="000000" w:themeColor="text1"/>
              </w:rPr>
              <w:t xml:space="preserve"> de aprendizaje</w:t>
            </w:r>
          </w:p>
        </w:tc>
      </w:tr>
      <w:tr w:rsidR="0076384B" w:rsidRPr="00E34496" w14:paraId="4A2F3021" w14:textId="77777777" w:rsidTr="00300093">
        <w:tc>
          <w:tcPr>
            <w:tcW w:w="1271" w:type="dxa"/>
          </w:tcPr>
          <w:p w14:paraId="296220F7" w14:textId="77777777" w:rsidR="0076384B" w:rsidRPr="00E34496" w:rsidRDefault="0076384B" w:rsidP="003D0EDC">
            <w:pPr>
              <w:jc w:val="center"/>
              <w:rPr>
                <w:rFonts w:cs="Arial"/>
                <w:color w:val="000000" w:themeColor="text1"/>
              </w:rPr>
            </w:pPr>
            <w:r w:rsidRPr="00CA573F">
              <w:rPr>
                <w:rFonts w:cs="Arial"/>
                <w:color w:val="000000" w:themeColor="text1"/>
              </w:rPr>
              <w:t xml:space="preserve">1 </w:t>
            </w:r>
          </w:p>
        </w:tc>
        <w:tc>
          <w:tcPr>
            <w:tcW w:w="2268" w:type="dxa"/>
          </w:tcPr>
          <w:p w14:paraId="34976D03" w14:textId="77777777" w:rsidR="0076384B" w:rsidRPr="00C90858" w:rsidRDefault="0076384B" w:rsidP="003D0EDC">
            <w:pPr>
              <w:rPr>
                <w:rFonts w:cstheme="minorHAnsi"/>
                <w:b/>
              </w:rPr>
            </w:pPr>
            <w:r w:rsidRPr="00C90858">
              <w:rPr>
                <w:rFonts w:cstheme="minorHAnsi"/>
                <w:b/>
              </w:rPr>
              <w:t>Unidad I: El quehacer teológico</w:t>
            </w:r>
          </w:p>
          <w:p w14:paraId="303DD84B" w14:textId="77777777" w:rsidR="0076384B" w:rsidRPr="005A55E8" w:rsidRDefault="0076384B" w:rsidP="003D0EDC">
            <w:pPr>
              <w:rPr>
                <w:rFonts w:cstheme="minorHAnsi"/>
                <w:bCs/>
                <w:color w:val="FF0000"/>
              </w:rPr>
            </w:pPr>
          </w:p>
          <w:p w14:paraId="4F9F84AB"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t>1. Hacia una definición de teología</w:t>
            </w:r>
          </w:p>
          <w:p w14:paraId="35B182A4"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p>
          <w:p w14:paraId="75EDA458"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t>2. Los sujetos de la producción teológica</w:t>
            </w:r>
          </w:p>
          <w:p w14:paraId="38C6AAD9" w14:textId="77777777" w:rsidR="0076384B" w:rsidRPr="00A06A7F" w:rsidRDefault="0076384B" w:rsidP="003D0EDC">
            <w:pPr>
              <w:pStyle w:val="Normalcontenido"/>
              <w:ind w:left="0" w:firstLine="0"/>
              <w:rPr>
                <w:rFonts w:asciiTheme="minorHAnsi" w:hAnsiTheme="minorHAnsi" w:cstheme="minorHAnsi"/>
                <w:sz w:val="22"/>
                <w:szCs w:val="22"/>
              </w:rPr>
            </w:pPr>
          </w:p>
        </w:tc>
        <w:tc>
          <w:tcPr>
            <w:tcW w:w="2871" w:type="dxa"/>
          </w:tcPr>
          <w:p w14:paraId="38950972" w14:textId="77777777" w:rsidR="0076384B" w:rsidRDefault="0076384B" w:rsidP="003D0EDC">
            <w:pPr>
              <w:rPr>
                <w:rFonts w:cs="Arial"/>
                <w:color w:val="0070C0"/>
              </w:rPr>
            </w:pPr>
            <w:r w:rsidRPr="00914F9E">
              <w:rPr>
                <w:rFonts w:cs="Arial"/>
                <w:color w:val="0070C0"/>
              </w:rPr>
              <w:t>Ruta de aprendizaje</w:t>
            </w:r>
          </w:p>
          <w:p w14:paraId="4898203F" w14:textId="77777777" w:rsidR="0076384B" w:rsidRDefault="0076384B" w:rsidP="003D0EDC">
            <w:pPr>
              <w:rPr>
                <w:rFonts w:cstheme="minorHAnsi"/>
                <w:b/>
                <w:bCs/>
                <w:color w:val="0070C0"/>
              </w:rPr>
            </w:pPr>
            <w:r w:rsidRPr="00914F9E">
              <w:rPr>
                <w:rFonts w:cstheme="minorHAnsi"/>
                <w:b/>
                <w:bCs/>
                <w:color w:val="0070C0"/>
              </w:rPr>
              <w:t>Material complementario</w:t>
            </w:r>
          </w:p>
          <w:p w14:paraId="0F19F5D2" w14:textId="77777777" w:rsidR="0076384B" w:rsidRDefault="0076384B" w:rsidP="003D0EDC">
            <w:pPr>
              <w:rPr>
                <w:rFonts w:cstheme="minorHAnsi"/>
                <w:color w:val="0070C0"/>
              </w:rPr>
            </w:pPr>
            <w:r>
              <w:rPr>
                <w:rFonts w:cstheme="minorHAnsi"/>
                <w:color w:val="0070C0"/>
              </w:rPr>
              <w:t>Guía para la participación en un foro en la plataforma Moodle</w:t>
            </w:r>
          </w:p>
          <w:p w14:paraId="71F82019" w14:textId="77777777" w:rsidR="0076384B" w:rsidRPr="002E1F34" w:rsidRDefault="0076384B" w:rsidP="003D0EDC">
            <w:pPr>
              <w:rPr>
                <w:rFonts w:cs="Arial"/>
                <w:color w:val="0070C0"/>
              </w:rPr>
            </w:pPr>
            <w:r>
              <w:rPr>
                <w:rFonts w:cstheme="minorHAnsi"/>
                <w:color w:val="0070C0"/>
              </w:rPr>
              <w:t xml:space="preserve">Guía para la participación mediante la herramienta Big Blue </w:t>
            </w:r>
            <w:proofErr w:type="spellStart"/>
            <w:r>
              <w:rPr>
                <w:rFonts w:cstheme="minorHAnsi"/>
                <w:color w:val="0070C0"/>
              </w:rPr>
              <w:t>Button</w:t>
            </w:r>
            <w:proofErr w:type="spellEnd"/>
            <w:r>
              <w:rPr>
                <w:rFonts w:cstheme="minorHAnsi"/>
                <w:color w:val="0070C0"/>
              </w:rPr>
              <w:t xml:space="preserve"> en la plataforma Moodle</w:t>
            </w:r>
          </w:p>
        </w:tc>
        <w:tc>
          <w:tcPr>
            <w:tcW w:w="3061" w:type="dxa"/>
          </w:tcPr>
          <w:p w14:paraId="56F462BB" w14:textId="77777777" w:rsidR="0076384B" w:rsidRPr="00A06A7F" w:rsidRDefault="0076384B" w:rsidP="0076384B">
            <w:pPr>
              <w:pStyle w:val="Prrafodelista"/>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Lectura del sílabo.</w:t>
            </w:r>
          </w:p>
          <w:p w14:paraId="787C7F50" w14:textId="77777777" w:rsidR="0076384B" w:rsidRPr="00A06A7F" w:rsidRDefault="0076384B" w:rsidP="0076384B">
            <w:pPr>
              <w:pStyle w:val="Prrafodelista"/>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Participación en el foro social CAFETERÍA.</w:t>
            </w:r>
          </w:p>
          <w:p w14:paraId="5B2D2908" w14:textId="77777777" w:rsidR="0076384B" w:rsidRPr="00A06A7F" w:rsidRDefault="0076384B" w:rsidP="0076384B">
            <w:pPr>
              <w:pStyle w:val="Prrafodelista"/>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 xml:space="preserve">Participación en el foro de dudas. </w:t>
            </w:r>
          </w:p>
          <w:p w14:paraId="6E8BF33E" w14:textId="77777777" w:rsidR="0076384B" w:rsidRPr="00A06A7F" w:rsidRDefault="0076384B" w:rsidP="0076384B">
            <w:pPr>
              <w:pStyle w:val="Prrafodelista"/>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Participación en el foro temático grupal: Desafíos del tema y principales dudas.</w:t>
            </w:r>
          </w:p>
          <w:p w14:paraId="09FF7B7A" w14:textId="77777777" w:rsidR="0076384B" w:rsidRPr="00A06A7F" w:rsidRDefault="0076384B" w:rsidP="0076384B">
            <w:pPr>
              <w:pStyle w:val="Prrafodelista"/>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Explicación inicial del trabajo final: ensayo crítico.</w:t>
            </w:r>
          </w:p>
          <w:p w14:paraId="2930A4CE" w14:textId="77777777" w:rsidR="0076384B" w:rsidRPr="00233B20" w:rsidRDefault="0076384B" w:rsidP="0076384B">
            <w:pPr>
              <w:pStyle w:val="Prrafodelista"/>
              <w:numPr>
                <w:ilvl w:val="0"/>
                <w:numId w:val="8"/>
              </w:numPr>
              <w:ind w:left="336"/>
              <w:rPr>
                <w:rFonts w:asciiTheme="minorHAnsi" w:hAnsiTheme="minorHAnsi" w:cs="Arial"/>
                <w:color w:val="000000" w:themeColor="text1"/>
              </w:rPr>
            </w:pPr>
            <w:r w:rsidRPr="00A06A7F">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p>
        </w:tc>
      </w:tr>
      <w:tr w:rsidR="0076384B" w:rsidRPr="00E34496" w14:paraId="380CC1DB" w14:textId="77777777" w:rsidTr="00300093">
        <w:tc>
          <w:tcPr>
            <w:tcW w:w="1271" w:type="dxa"/>
          </w:tcPr>
          <w:p w14:paraId="0F562BCC" w14:textId="77777777" w:rsidR="0076384B" w:rsidRPr="00E34496" w:rsidRDefault="0076384B" w:rsidP="003D0EDC">
            <w:pPr>
              <w:jc w:val="center"/>
              <w:rPr>
                <w:rFonts w:cs="Arial"/>
                <w:color w:val="000000" w:themeColor="text1"/>
              </w:rPr>
            </w:pPr>
            <w:r w:rsidRPr="00E34496">
              <w:rPr>
                <w:rFonts w:cs="Arial"/>
                <w:color w:val="000000" w:themeColor="text1"/>
              </w:rPr>
              <w:t>2</w:t>
            </w:r>
          </w:p>
        </w:tc>
        <w:tc>
          <w:tcPr>
            <w:tcW w:w="2268" w:type="dxa"/>
          </w:tcPr>
          <w:p w14:paraId="77DAE15C" w14:textId="77777777" w:rsidR="0076384B" w:rsidRPr="00C90858" w:rsidRDefault="0076384B" w:rsidP="00F93FE3">
            <w:pPr>
              <w:rPr>
                <w:rFonts w:cstheme="minorHAnsi"/>
                <w:b/>
                <w:color w:val="FF0000"/>
              </w:rPr>
            </w:pPr>
            <w:r w:rsidRPr="00C90858">
              <w:rPr>
                <w:rFonts w:cstheme="minorHAnsi"/>
                <w:b/>
              </w:rPr>
              <w:t>Unidad I: El quehacer teológico</w:t>
            </w:r>
          </w:p>
          <w:p w14:paraId="230485BA" w14:textId="77777777" w:rsidR="0076384B" w:rsidRPr="00A06A7F" w:rsidRDefault="0076384B" w:rsidP="003D0EDC">
            <w:pPr>
              <w:rPr>
                <w:rFonts w:cstheme="minorHAnsi"/>
                <w:b/>
              </w:rPr>
            </w:pPr>
          </w:p>
          <w:p w14:paraId="7F8AFB6C"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t>3. La circularidad hermenéutica</w:t>
            </w:r>
          </w:p>
          <w:p w14:paraId="11DC49AF"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p>
          <w:p w14:paraId="4B038455"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lastRenderedPageBreak/>
              <w:t>4. Una teología abierta</w:t>
            </w:r>
          </w:p>
          <w:p w14:paraId="60F88ED6"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p>
          <w:p w14:paraId="3A8C9F67"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t>5. Los ámbitos de la producción teológica</w:t>
            </w:r>
          </w:p>
          <w:p w14:paraId="3FCC0F54"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p>
        </w:tc>
        <w:tc>
          <w:tcPr>
            <w:tcW w:w="2871" w:type="dxa"/>
          </w:tcPr>
          <w:p w14:paraId="1274EC59" w14:textId="77777777" w:rsidR="0076384B" w:rsidRDefault="0076384B" w:rsidP="003D0EDC">
            <w:pPr>
              <w:rPr>
                <w:rFonts w:cstheme="minorHAnsi"/>
                <w:bCs/>
                <w:color w:val="000000" w:themeColor="text1"/>
              </w:rPr>
            </w:pPr>
            <w:r w:rsidRPr="00914F9E">
              <w:rPr>
                <w:rFonts w:cs="Arial"/>
                <w:color w:val="0070C0"/>
              </w:rPr>
              <w:lastRenderedPageBreak/>
              <w:t>Ruta de aprendizaje</w:t>
            </w:r>
          </w:p>
          <w:p w14:paraId="2A9BDC37" w14:textId="77777777" w:rsidR="0076384B" w:rsidRDefault="0076384B" w:rsidP="003D0EDC">
            <w:pPr>
              <w:rPr>
                <w:rFonts w:cstheme="minorHAnsi"/>
                <w:bCs/>
                <w:color w:val="000000" w:themeColor="text1"/>
              </w:rPr>
            </w:pPr>
          </w:p>
          <w:p w14:paraId="385BE134" w14:textId="77777777" w:rsidR="0076384B" w:rsidRPr="00A06A7F" w:rsidRDefault="0076384B" w:rsidP="003D0EDC">
            <w:pPr>
              <w:rPr>
                <w:rFonts w:cstheme="minorHAnsi"/>
                <w:bCs/>
                <w:color w:val="000000" w:themeColor="text1"/>
              </w:rPr>
            </w:pPr>
            <w:r w:rsidRPr="00A06A7F">
              <w:rPr>
                <w:rFonts w:cstheme="minorHAnsi"/>
                <w:bCs/>
                <w:color w:val="000000" w:themeColor="text1"/>
              </w:rPr>
              <w:t xml:space="preserve">Trigo, Pedro. “La teología latinoamericana ante los retos </w:t>
            </w:r>
            <w:proofErr w:type="spellStart"/>
            <w:r w:rsidRPr="00A06A7F">
              <w:rPr>
                <w:rFonts w:cstheme="minorHAnsi"/>
                <w:bCs/>
                <w:color w:val="000000" w:themeColor="text1"/>
              </w:rPr>
              <w:t>epocales</w:t>
            </w:r>
            <w:proofErr w:type="spellEnd"/>
            <w:r w:rsidRPr="00A06A7F">
              <w:rPr>
                <w:rFonts w:cstheme="minorHAnsi"/>
                <w:bCs/>
                <w:color w:val="000000" w:themeColor="text1"/>
              </w:rPr>
              <w:t xml:space="preserve">”. </w:t>
            </w:r>
            <w:r w:rsidRPr="00A06A7F">
              <w:rPr>
                <w:rFonts w:cstheme="minorHAnsi"/>
                <w:bCs/>
                <w:i/>
                <w:color w:val="000000" w:themeColor="text1"/>
              </w:rPr>
              <w:t xml:space="preserve">Revista </w:t>
            </w:r>
            <w:r w:rsidRPr="00A06A7F">
              <w:rPr>
                <w:rFonts w:cstheme="minorHAnsi"/>
                <w:bCs/>
                <w:i/>
                <w:color w:val="000000" w:themeColor="text1"/>
              </w:rPr>
              <w:lastRenderedPageBreak/>
              <w:t xml:space="preserve">Latinoamericana de Teología, </w:t>
            </w:r>
            <w:r w:rsidRPr="00A06A7F">
              <w:rPr>
                <w:rFonts w:cstheme="minorHAnsi"/>
                <w:bCs/>
                <w:color w:val="000000" w:themeColor="text1"/>
              </w:rPr>
              <w:t>n.86 (2012): pp. 121-133.</w:t>
            </w:r>
          </w:p>
          <w:p w14:paraId="37DB5CB6" w14:textId="77777777" w:rsidR="0076384B" w:rsidRPr="00A06A7F" w:rsidRDefault="0076384B" w:rsidP="003D0EDC">
            <w:pPr>
              <w:rPr>
                <w:rFonts w:cstheme="minorHAnsi"/>
                <w:bCs/>
                <w:color w:val="000000" w:themeColor="text1"/>
              </w:rPr>
            </w:pPr>
          </w:p>
          <w:p w14:paraId="75807D44" w14:textId="77777777" w:rsidR="0076384B" w:rsidRDefault="0076384B" w:rsidP="00B86B81">
            <w:pPr>
              <w:rPr>
                <w:rFonts w:cs="Arial"/>
                <w:color w:val="000000" w:themeColor="text1"/>
              </w:rPr>
            </w:pPr>
            <w:r w:rsidRPr="00914F9E">
              <w:rPr>
                <w:rFonts w:cstheme="minorHAnsi"/>
                <w:b/>
                <w:bCs/>
                <w:color w:val="0070C0"/>
              </w:rPr>
              <w:t>Material complementario</w:t>
            </w:r>
          </w:p>
          <w:p w14:paraId="45F83ED1" w14:textId="77777777" w:rsidR="0076384B" w:rsidRDefault="0076384B" w:rsidP="00B86B81">
            <w:pPr>
              <w:rPr>
                <w:rFonts w:cs="Arial"/>
                <w:color w:val="0070C0"/>
              </w:rPr>
            </w:pPr>
            <w:r>
              <w:rPr>
                <w:rFonts w:cs="Arial"/>
                <w:color w:val="0070C0"/>
              </w:rPr>
              <w:t>Guía para la elaboración de un mapa conceptual</w:t>
            </w:r>
          </w:p>
          <w:p w14:paraId="011E142E" w14:textId="77777777" w:rsidR="0076384B" w:rsidRDefault="0076384B" w:rsidP="00B86B81">
            <w:pPr>
              <w:rPr>
                <w:rFonts w:cs="Arial"/>
                <w:color w:val="0070C0"/>
              </w:rPr>
            </w:pPr>
            <w:r>
              <w:rPr>
                <w:rFonts w:cs="Arial"/>
                <w:color w:val="0070C0"/>
              </w:rPr>
              <w:t>Guía para la participación en un foro en la plataforma Moodle</w:t>
            </w:r>
          </w:p>
          <w:p w14:paraId="4FBC0D06" w14:textId="0E8AB48B" w:rsidR="0076384B" w:rsidRPr="00A06A7F" w:rsidRDefault="0076384B" w:rsidP="00484BB1">
            <w:pPr>
              <w:rPr>
                <w:rFonts w:cs="Arial"/>
                <w:color w:val="000000" w:themeColor="text1"/>
              </w:rPr>
            </w:pPr>
            <w:r>
              <w:rPr>
                <w:rFonts w:cs="Arial"/>
                <w:color w:val="0070C0"/>
              </w:rPr>
              <w:t xml:space="preserve">Guía para la participación mediante la herramienta Big Blue </w:t>
            </w:r>
            <w:proofErr w:type="spellStart"/>
            <w:r>
              <w:rPr>
                <w:rFonts w:cs="Arial"/>
                <w:color w:val="0070C0"/>
              </w:rPr>
              <w:t>Button</w:t>
            </w:r>
            <w:proofErr w:type="spellEnd"/>
            <w:r>
              <w:rPr>
                <w:rFonts w:cs="Arial"/>
                <w:color w:val="0070C0"/>
              </w:rPr>
              <w:t xml:space="preserve"> en la plataforma Moodle</w:t>
            </w:r>
          </w:p>
        </w:tc>
        <w:tc>
          <w:tcPr>
            <w:tcW w:w="3061" w:type="dxa"/>
          </w:tcPr>
          <w:p w14:paraId="7C4C7738" w14:textId="77777777" w:rsidR="0076384B" w:rsidRPr="00A06A7F" w:rsidRDefault="0076384B" w:rsidP="0076384B">
            <w:pPr>
              <w:pStyle w:val="Prrafodelista"/>
              <w:numPr>
                <w:ilvl w:val="0"/>
                <w:numId w:val="9"/>
              </w:numPr>
              <w:ind w:left="321"/>
              <w:rPr>
                <w:rFonts w:asciiTheme="minorHAnsi" w:hAnsiTheme="minorHAnsi" w:cs="Arial"/>
                <w:color w:val="000000" w:themeColor="text1"/>
              </w:rPr>
            </w:pPr>
            <w:r w:rsidRPr="00A06A7F">
              <w:rPr>
                <w:rFonts w:asciiTheme="minorHAnsi" w:hAnsiTheme="minorHAnsi" w:cs="Arial"/>
                <w:color w:val="000000" w:themeColor="text1"/>
              </w:rPr>
              <w:lastRenderedPageBreak/>
              <w:t>Realizar la lectura asignada.</w:t>
            </w:r>
          </w:p>
          <w:p w14:paraId="1C868998" w14:textId="77777777" w:rsidR="0076384B" w:rsidRPr="00A06A7F" w:rsidRDefault="0076384B" w:rsidP="0076384B">
            <w:pPr>
              <w:pStyle w:val="Prrafodelista"/>
              <w:numPr>
                <w:ilvl w:val="0"/>
                <w:numId w:val="9"/>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mapa conceptual.</w:t>
            </w:r>
          </w:p>
          <w:p w14:paraId="70595592" w14:textId="77777777" w:rsidR="0076384B" w:rsidRPr="00A06A7F" w:rsidRDefault="0076384B" w:rsidP="0076384B">
            <w:pPr>
              <w:pStyle w:val="Prrafodelista"/>
              <w:numPr>
                <w:ilvl w:val="0"/>
                <w:numId w:val="9"/>
              </w:numPr>
              <w:ind w:left="321"/>
              <w:rPr>
                <w:rFonts w:asciiTheme="minorHAnsi" w:hAnsiTheme="minorHAnsi" w:cs="Arial"/>
                <w:color w:val="000000" w:themeColor="text1"/>
              </w:rPr>
            </w:pPr>
            <w:r w:rsidRPr="00A06A7F">
              <w:rPr>
                <w:rFonts w:asciiTheme="minorHAnsi" w:hAnsiTheme="minorHAnsi" w:cs="Arial"/>
                <w:color w:val="000000" w:themeColor="text1"/>
              </w:rPr>
              <w:t>Compartir en grupo el mapa conceptual a través del foro.</w:t>
            </w:r>
          </w:p>
          <w:p w14:paraId="2E34BB93" w14:textId="77777777" w:rsidR="0076384B" w:rsidRPr="00A06A7F" w:rsidRDefault="0076384B" w:rsidP="0076384B">
            <w:pPr>
              <w:pStyle w:val="Prrafodelista"/>
              <w:numPr>
                <w:ilvl w:val="0"/>
                <w:numId w:val="9"/>
              </w:numPr>
              <w:ind w:left="321"/>
              <w:rPr>
                <w:rFonts w:asciiTheme="minorHAnsi" w:hAnsiTheme="minorHAnsi" w:cs="Arial"/>
                <w:color w:val="000000" w:themeColor="text1"/>
              </w:rPr>
            </w:pPr>
            <w:r w:rsidRPr="00A06A7F">
              <w:rPr>
                <w:rFonts w:asciiTheme="minorHAnsi" w:hAnsiTheme="minorHAnsi" w:cs="Arial"/>
                <w:color w:val="000000" w:themeColor="text1"/>
              </w:rPr>
              <w:lastRenderedPageBreak/>
              <w:t>Exposición docente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w:t>
            </w:r>
          </w:p>
        </w:tc>
      </w:tr>
      <w:tr w:rsidR="0076384B" w:rsidRPr="00E34496" w14:paraId="1C96F988" w14:textId="77777777" w:rsidTr="00300093">
        <w:tc>
          <w:tcPr>
            <w:tcW w:w="1271" w:type="dxa"/>
          </w:tcPr>
          <w:p w14:paraId="5C75C506" w14:textId="77777777" w:rsidR="0076384B" w:rsidRPr="00E34496" w:rsidRDefault="0076384B" w:rsidP="003D0EDC">
            <w:pPr>
              <w:jc w:val="center"/>
              <w:rPr>
                <w:rFonts w:cs="Arial"/>
                <w:color w:val="000000" w:themeColor="text1"/>
              </w:rPr>
            </w:pPr>
            <w:r w:rsidRPr="00E34496">
              <w:rPr>
                <w:rFonts w:cs="Arial"/>
                <w:color w:val="000000" w:themeColor="text1"/>
              </w:rPr>
              <w:lastRenderedPageBreak/>
              <w:t>3</w:t>
            </w:r>
          </w:p>
        </w:tc>
        <w:tc>
          <w:tcPr>
            <w:tcW w:w="2268" w:type="dxa"/>
          </w:tcPr>
          <w:p w14:paraId="2D14688C" w14:textId="77777777" w:rsidR="0076384B" w:rsidRPr="00C90858" w:rsidRDefault="0076384B" w:rsidP="003D0EDC">
            <w:pPr>
              <w:pStyle w:val="NormalHanging"/>
              <w:spacing w:before="0"/>
              <w:ind w:left="0" w:firstLine="0"/>
              <w:jc w:val="left"/>
              <w:rPr>
                <w:rFonts w:asciiTheme="minorHAnsi" w:hAnsiTheme="minorHAnsi" w:cstheme="minorHAnsi"/>
                <w:b/>
                <w:sz w:val="22"/>
                <w:szCs w:val="22"/>
              </w:rPr>
            </w:pPr>
            <w:r w:rsidRPr="00C90858">
              <w:rPr>
                <w:rFonts w:asciiTheme="minorHAnsi" w:hAnsiTheme="minorHAnsi" w:cstheme="minorHAnsi"/>
                <w:b/>
                <w:sz w:val="22"/>
                <w:szCs w:val="22"/>
              </w:rPr>
              <w:t>Unidad II: El mundo de la teología</w:t>
            </w:r>
          </w:p>
          <w:p w14:paraId="02FB95E2" w14:textId="77777777" w:rsidR="0076384B" w:rsidRPr="00A06A7F" w:rsidRDefault="0076384B" w:rsidP="003D0EDC">
            <w:pPr>
              <w:pStyle w:val="NormalHanging"/>
              <w:spacing w:before="0"/>
              <w:ind w:left="0" w:firstLine="0"/>
              <w:jc w:val="left"/>
              <w:rPr>
                <w:rFonts w:asciiTheme="minorHAnsi" w:hAnsiTheme="minorHAnsi" w:cstheme="minorHAnsi"/>
                <w:b/>
                <w:sz w:val="22"/>
                <w:szCs w:val="22"/>
              </w:rPr>
            </w:pPr>
          </w:p>
          <w:p w14:paraId="08B1BC79" w14:textId="77777777" w:rsidR="0076384B" w:rsidRPr="00A06A7F" w:rsidRDefault="0076384B" w:rsidP="00706A88">
            <w:pPr>
              <w:pStyle w:val="Normalcontenido"/>
              <w:spacing w:line="276" w:lineRule="auto"/>
              <w:ind w:left="249" w:hanging="249"/>
              <w:rPr>
                <w:rFonts w:asciiTheme="minorHAnsi" w:hAnsiTheme="minorHAnsi" w:cstheme="minorHAnsi"/>
                <w:sz w:val="22"/>
                <w:szCs w:val="22"/>
              </w:rPr>
            </w:pPr>
            <w:r w:rsidRPr="00A06A7F">
              <w:rPr>
                <w:rFonts w:asciiTheme="minorHAnsi" w:hAnsiTheme="minorHAnsi" w:cstheme="minorHAnsi"/>
                <w:sz w:val="22"/>
                <w:szCs w:val="22"/>
              </w:rPr>
              <w:t>1. La teología práctica</w:t>
            </w:r>
          </w:p>
          <w:p w14:paraId="2598185F" w14:textId="77777777" w:rsidR="0076384B" w:rsidRPr="00A06A7F" w:rsidRDefault="0076384B" w:rsidP="00706A88">
            <w:pPr>
              <w:pStyle w:val="Normalcontenido"/>
              <w:spacing w:line="276" w:lineRule="auto"/>
              <w:ind w:left="249" w:hanging="249"/>
              <w:rPr>
                <w:rFonts w:asciiTheme="minorHAnsi" w:hAnsiTheme="minorHAnsi" w:cstheme="minorHAnsi"/>
                <w:sz w:val="22"/>
                <w:szCs w:val="22"/>
              </w:rPr>
            </w:pPr>
          </w:p>
          <w:p w14:paraId="56EBB7A3" w14:textId="77777777" w:rsidR="0076384B" w:rsidRPr="00A06A7F" w:rsidRDefault="0076384B" w:rsidP="00706A88">
            <w:pPr>
              <w:pStyle w:val="Normalcontenido"/>
              <w:spacing w:line="276" w:lineRule="auto"/>
              <w:ind w:left="249" w:hanging="249"/>
              <w:rPr>
                <w:rFonts w:asciiTheme="minorHAnsi" w:hAnsiTheme="minorHAnsi" w:cstheme="minorHAnsi"/>
                <w:sz w:val="22"/>
                <w:szCs w:val="22"/>
              </w:rPr>
            </w:pPr>
            <w:r w:rsidRPr="00A06A7F">
              <w:rPr>
                <w:rFonts w:asciiTheme="minorHAnsi" w:hAnsiTheme="minorHAnsi" w:cstheme="minorHAnsi"/>
                <w:sz w:val="22"/>
                <w:szCs w:val="22"/>
              </w:rPr>
              <w:t>2. La teología bíblica</w:t>
            </w:r>
          </w:p>
          <w:p w14:paraId="2BF0CF94" w14:textId="77777777" w:rsidR="0076384B" w:rsidRPr="00A06A7F" w:rsidRDefault="0076384B" w:rsidP="003D0EDC">
            <w:pPr>
              <w:pStyle w:val="Normalcontenido"/>
              <w:ind w:left="249" w:hanging="249"/>
              <w:rPr>
                <w:rFonts w:asciiTheme="minorHAnsi" w:hAnsiTheme="minorHAnsi" w:cstheme="minorHAnsi"/>
                <w:sz w:val="22"/>
                <w:szCs w:val="22"/>
              </w:rPr>
            </w:pPr>
          </w:p>
        </w:tc>
        <w:tc>
          <w:tcPr>
            <w:tcW w:w="2871" w:type="dxa"/>
          </w:tcPr>
          <w:p w14:paraId="50583D60" w14:textId="77777777" w:rsidR="0076384B" w:rsidRDefault="0076384B" w:rsidP="003D0EDC">
            <w:pPr>
              <w:rPr>
                <w:rFonts w:cstheme="minorHAnsi"/>
                <w:bCs/>
                <w:color w:val="000000" w:themeColor="text1"/>
              </w:rPr>
            </w:pPr>
            <w:r w:rsidRPr="00914F9E">
              <w:rPr>
                <w:rFonts w:cs="Arial"/>
                <w:color w:val="0070C0"/>
              </w:rPr>
              <w:t>Ruta de aprendizaje</w:t>
            </w:r>
          </w:p>
          <w:p w14:paraId="64377932" w14:textId="77777777" w:rsidR="0076384B" w:rsidRDefault="0076384B" w:rsidP="003D0EDC">
            <w:pPr>
              <w:rPr>
                <w:rFonts w:cstheme="minorHAnsi"/>
                <w:bCs/>
                <w:color w:val="000000" w:themeColor="text1"/>
              </w:rPr>
            </w:pPr>
          </w:p>
          <w:p w14:paraId="3F314D87" w14:textId="77777777" w:rsidR="0076384B" w:rsidRPr="00A06A7F" w:rsidRDefault="0076384B" w:rsidP="003D0EDC">
            <w:pPr>
              <w:rPr>
                <w:rFonts w:cstheme="minorHAnsi"/>
                <w:bCs/>
                <w:color w:val="000000" w:themeColor="text1"/>
              </w:rPr>
            </w:pPr>
            <w:proofErr w:type="spellStart"/>
            <w:r w:rsidRPr="00A06A7F">
              <w:rPr>
                <w:rFonts w:cstheme="minorHAnsi"/>
                <w:bCs/>
                <w:color w:val="000000" w:themeColor="text1"/>
              </w:rPr>
              <w:t>Fornet</w:t>
            </w:r>
            <w:proofErr w:type="spellEnd"/>
            <w:r w:rsidRPr="00A06A7F">
              <w:rPr>
                <w:rFonts w:cstheme="minorHAnsi"/>
                <w:bCs/>
                <w:color w:val="000000" w:themeColor="text1"/>
              </w:rPr>
              <w:t xml:space="preserve"> Betancourt, Raúl. “El quehacer teológico en el contexto del diálogo entre las culturas en América Latina”. </w:t>
            </w:r>
            <w:r w:rsidRPr="00A06A7F">
              <w:rPr>
                <w:rFonts w:cstheme="minorHAnsi"/>
                <w:bCs/>
                <w:i/>
                <w:color w:val="000000" w:themeColor="text1"/>
              </w:rPr>
              <w:t xml:space="preserve">Revista Iberoamericana de Teología, </w:t>
            </w:r>
            <w:r w:rsidRPr="00A06A7F">
              <w:rPr>
                <w:rFonts w:cstheme="minorHAnsi"/>
                <w:bCs/>
                <w:color w:val="000000" w:themeColor="text1"/>
              </w:rPr>
              <w:t>n.4 (2007): pp. 73-83.</w:t>
            </w:r>
          </w:p>
          <w:p w14:paraId="560FA4E5" w14:textId="77777777" w:rsidR="0076384B" w:rsidRPr="00A06A7F" w:rsidRDefault="0076384B" w:rsidP="003D0EDC">
            <w:pPr>
              <w:rPr>
                <w:rFonts w:cstheme="minorHAnsi"/>
                <w:bCs/>
                <w:color w:val="000000" w:themeColor="text1"/>
              </w:rPr>
            </w:pPr>
            <w:r w:rsidRPr="00914F9E">
              <w:rPr>
                <w:rFonts w:cstheme="minorHAnsi"/>
                <w:b/>
                <w:bCs/>
                <w:color w:val="0070C0"/>
              </w:rPr>
              <w:t>Material complementario</w:t>
            </w:r>
          </w:p>
          <w:p w14:paraId="2506CF47" w14:textId="15386911" w:rsidR="0076384B" w:rsidRPr="00A06A7F" w:rsidRDefault="0076384B" w:rsidP="00484BB1">
            <w:pPr>
              <w:rPr>
                <w:rFonts w:cs="Arial"/>
                <w:color w:val="000000" w:themeColor="text1"/>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tc>
        <w:tc>
          <w:tcPr>
            <w:tcW w:w="3061" w:type="dxa"/>
          </w:tcPr>
          <w:p w14:paraId="114A9E81" w14:textId="77777777" w:rsidR="0076384B" w:rsidRPr="00A06A7F" w:rsidRDefault="0076384B" w:rsidP="0076384B">
            <w:pPr>
              <w:pStyle w:val="Prrafodelista"/>
              <w:numPr>
                <w:ilvl w:val="0"/>
                <w:numId w:val="10"/>
              </w:numPr>
              <w:ind w:left="321"/>
              <w:rPr>
                <w:rFonts w:asciiTheme="minorHAnsi" w:hAnsiTheme="minorHAnsi" w:cs="Arial"/>
                <w:color w:val="000000" w:themeColor="text1"/>
              </w:rPr>
            </w:pPr>
            <w:r w:rsidRPr="00A06A7F">
              <w:rPr>
                <w:rFonts w:asciiTheme="minorHAnsi" w:hAnsiTheme="minorHAnsi" w:cs="Arial"/>
                <w:color w:val="000000" w:themeColor="text1"/>
              </w:rPr>
              <w:t>Realizar la lectura asignada.</w:t>
            </w:r>
          </w:p>
          <w:p w14:paraId="76AF67D1" w14:textId="77777777" w:rsidR="0076384B" w:rsidRPr="00A06A7F" w:rsidRDefault="0076384B" w:rsidP="0076384B">
            <w:pPr>
              <w:pStyle w:val="Prrafodelista"/>
              <w:numPr>
                <w:ilvl w:val="0"/>
                <w:numId w:val="10"/>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reporte de lectura.</w:t>
            </w:r>
          </w:p>
          <w:p w14:paraId="422EBC87" w14:textId="77777777" w:rsidR="0076384B" w:rsidRPr="00A06A7F" w:rsidRDefault="0076384B" w:rsidP="0076384B">
            <w:pPr>
              <w:pStyle w:val="Prrafodelista"/>
              <w:numPr>
                <w:ilvl w:val="0"/>
                <w:numId w:val="10"/>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seguida de un debate grupal de profundización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 xml:space="preserve">. </w:t>
            </w:r>
          </w:p>
          <w:p w14:paraId="16036DC6" w14:textId="77777777" w:rsidR="0076384B" w:rsidRPr="00A06A7F" w:rsidRDefault="0076384B" w:rsidP="00B435B9">
            <w:pPr>
              <w:pStyle w:val="Prrafodelista"/>
              <w:ind w:left="321"/>
              <w:rPr>
                <w:rFonts w:asciiTheme="minorHAnsi" w:hAnsiTheme="minorHAnsi" w:cs="Arial"/>
                <w:color w:val="000000" w:themeColor="text1"/>
              </w:rPr>
            </w:pPr>
          </w:p>
        </w:tc>
      </w:tr>
      <w:tr w:rsidR="0076384B" w:rsidRPr="00E34496" w14:paraId="5916B49A" w14:textId="77777777" w:rsidTr="00300093">
        <w:tc>
          <w:tcPr>
            <w:tcW w:w="1271" w:type="dxa"/>
          </w:tcPr>
          <w:p w14:paraId="66EF9D83" w14:textId="77777777" w:rsidR="0076384B" w:rsidRPr="00E34496" w:rsidRDefault="0076384B" w:rsidP="003D0EDC">
            <w:pPr>
              <w:jc w:val="center"/>
              <w:rPr>
                <w:rFonts w:cs="Arial"/>
                <w:color w:val="000000" w:themeColor="text1"/>
              </w:rPr>
            </w:pPr>
            <w:r w:rsidRPr="00E34496">
              <w:rPr>
                <w:rFonts w:cs="Arial"/>
                <w:color w:val="000000" w:themeColor="text1"/>
              </w:rPr>
              <w:t>4</w:t>
            </w:r>
          </w:p>
        </w:tc>
        <w:tc>
          <w:tcPr>
            <w:tcW w:w="2268" w:type="dxa"/>
          </w:tcPr>
          <w:p w14:paraId="117A92E5" w14:textId="77777777" w:rsidR="0076384B" w:rsidRPr="00C90858" w:rsidRDefault="0076384B" w:rsidP="003D0EDC">
            <w:pPr>
              <w:pStyle w:val="Normalcontenido"/>
              <w:ind w:left="0" w:firstLine="0"/>
              <w:rPr>
                <w:rFonts w:asciiTheme="minorHAnsi" w:hAnsiTheme="minorHAnsi" w:cstheme="minorHAnsi"/>
                <w:b/>
                <w:sz w:val="22"/>
                <w:szCs w:val="22"/>
              </w:rPr>
            </w:pPr>
            <w:r w:rsidRPr="00C90858">
              <w:rPr>
                <w:rFonts w:asciiTheme="minorHAnsi" w:hAnsiTheme="minorHAnsi" w:cstheme="minorHAnsi"/>
                <w:b/>
                <w:sz w:val="22"/>
                <w:szCs w:val="22"/>
              </w:rPr>
              <w:t>Unidad II: El mundo de la teología</w:t>
            </w:r>
          </w:p>
          <w:p w14:paraId="266208AD" w14:textId="77777777" w:rsidR="0076384B" w:rsidRPr="00A06A7F" w:rsidRDefault="0076384B" w:rsidP="003D0EDC">
            <w:pPr>
              <w:pStyle w:val="Normalcontenido"/>
              <w:ind w:left="0" w:firstLine="0"/>
              <w:rPr>
                <w:rFonts w:asciiTheme="minorHAnsi" w:hAnsiTheme="minorHAnsi" w:cstheme="minorHAnsi"/>
                <w:b/>
                <w:sz w:val="22"/>
                <w:szCs w:val="22"/>
              </w:rPr>
            </w:pPr>
          </w:p>
          <w:p w14:paraId="19F39224"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r w:rsidRPr="00A06A7F">
              <w:rPr>
                <w:rFonts w:asciiTheme="minorHAnsi" w:hAnsiTheme="minorHAnsi" w:cstheme="minorHAnsi"/>
                <w:sz w:val="22"/>
                <w:szCs w:val="22"/>
              </w:rPr>
              <w:t>3. La teología sistemática e histórica</w:t>
            </w:r>
          </w:p>
          <w:p w14:paraId="303A38E2" w14:textId="77777777" w:rsidR="0076384B" w:rsidRPr="00A06A7F" w:rsidRDefault="0076384B" w:rsidP="00706A88">
            <w:pPr>
              <w:pStyle w:val="Normalcontenido"/>
              <w:spacing w:line="276" w:lineRule="auto"/>
              <w:ind w:left="0" w:firstLine="0"/>
              <w:rPr>
                <w:rFonts w:asciiTheme="minorHAnsi" w:hAnsiTheme="minorHAnsi" w:cstheme="minorHAnsi"/>
                <w:sz w:val="22"/>
                <w:szCs w:val="22"/>
              </w:rPr>
            </w:pPr>
          </w:p>
          <w:p w14:paraId="44A50CB8" w14:textId="77777777" w:rsidR="0076384B" w:rsidRPr="00A06A7F" w:rsidRDefault="0076384B" w:rsidP="00706A88">
            <w:pPr>
              <w:pStyle w:val="NormalHanging"/>
              <w:spacing w:before="0" w:line="276" w:lineRule="auto"/>
              <w:ind w:left="0" w:firstLine="0"/>
              <w:jc w:val="left"/>
              <w:rPr>
                <w:rFonts w:asciiTheme="minorHAnsi" w:hAnsiTheme="minorHAnsi" w:cstheme="minorHAnsi"/>
                <w:sz w:val="22"/>
                <w:szCs w:val="22"/>
              </w:rPr>
            </w:pPr>
            <w:r w:rsidRPr="00A06A7F">
              <w:rPr>
                <w:rFonts w:asciiTheme="minorHAnsi" w:hAnsiTheme="minorHAnsi" w:cstheme="minorHAnsi"/>
                <w:sz w:val="22"/>
                <w:szCs w:val="22"/>
              </w:rPr>
              <w:t>4. Correlación</w:t>
            </w:r>
          </w:p>
          <w:p w14:paraId="0AE5C7CA" w14:textId="77777777" w:rsidR="0076384B" w:rsidRPr="00A06A7F" w:rsidRDefault="0076384B" w:rsidP="003D0EDC">
            <w:pPr>
              <w:pStyle w:val="NormalHanging"/>
              <w:spacing w:before="0"/>
              <w:ind w:left="0" w:firstLine="0"/>
              <w:rPr>
                <w:rFonts w:asciiTheme="minorHAnsi" w:hAnsiTheme="minorHAnsi" w:cstheme="minorHAnsi"/>
                <w:b/>
                <w:sz w:val="22"/>
                <w:szCs w:val="22"/>
              </w:rPr>
            </w:pPr>
          </w:p>
        </w:tc>
        <w:tc>
          <w:tcPr>
            <w:tcW w:w="2871" w:type="dxa"/>
          </w:tcPr>
          <w:p w14:paraId="2C2E34CD" w14:textId="77777777" w:rsidR="0076384B" w:rsidRDefault="0076384B" w:rsidP="000147CA">
            <w:pPr>
              <w:rPr>
                <w:rFonts w:cstheme="minorHAnsi"/>
                <w:color w:val="222222"/>
                <w:shd w:val="clear" w:color="auto" w:fill="FFFFFF"/>
              </w:rPr>
            </w:pPr>
            <w:r w:rsidRPr="00914F9E">
              <w:rPr>
                <w:rFonts w:cs="Arial"/>
                <w:color w:val="0070C0"/>
              </w:rPr>
              <w:t>Ruta de aprendizaje</w:t>
            </w:r>
          </w:p>
          <w:p w14:paraId="061C1C97" w14:textId="77777777" w:rsidR="0076384B" w:rsidRPr="00E11B7C" w:rsidRDefault="0076384B" w:rsidP="000147CA">
            <w:pPr>
              <w:rPr>
                <w:rFonts w:cstheme="minorHAnsi"/>
                <w:color w:val="0070C0"/>
                <w:shd w:val="clear" w:color="auto" w:fill="FFFFFF"/>
              </w:rPr>
            </w:pPr>
            <w:proofErr w:type="spellStart"/>
            <w:r w:rsidRPr="00A06A7F">
              <w:rPr>
                <w:rFonts w:cstheme="minorHAnsi"/>
                <w:color w:val="222222"/>
                <w:shd w:val="clear" w:color="auto" w:fill="FFFFFF"/>
              </w:rPr>
              <w:t>Tillich</w:t>
            </w:r>
            <w:proofErr w:type="spellEnd"/>
            <w:r w:rsidRPr="00A06A7F">
              <w:rPr>
                <w:rFonts w:cstheme="minorHAnsi"/>
                <w:color w:val="222222"/>
                <w:shd w:val="clear" w:color="auto" w:fill="FFFFFF"/>
              </w:rPr>
              <w:t xml:space="preserve">, Paul. </w:t>
            </w:r>
            <w:r w:rsidRPr="00A06A7F">
              <w:rPr>
                <w:rFonts w:cstheme="minorHAnsi"/>
                <w:shd w:val="clear" w:color="auto" w:fill="FFFFFF"/>
              </w:rPr>
              <w:t>“La teología apologética y el kerigma”, “La naturaleza de la teología sistemática”. En</w:t>
            </w:r>
            <w:r w:rsidRPr="00A06A7F">
              <w:rPr>
                <w:rFonts w:cstheme="minorHAnsi"/>
                <w:color w:val="222222"/>
                <w:shd w:val="clear" w:color="auto" w:fill="FFFFFF"/>
              </w:rPr>
              <w:t> </w:t>
            </w:r>
            <w:r w:rsidRPr="00A06A7F">
              <w:rPr>
                <w:rFonts w:cstheme="minorHAnsi"/>
                <w:i/>
                <w:iCs/>
                <w:color w:val="222222"/>
                <w:shd w:val="clear" w:color="auto" w:fill="FFFFFF"/>
              </w:rPr>
              <w:t>Teología Sistemática I: La razón y la revelación. El ser y Dios</w:t>
            </w:r>
            <w:r w:rsidRPr="00A06A7F">
              <w:rPr>
                <w:rFonts w:cstheme="minorHAnsi"/>
                <w:color w:val="222222"/>
                <w:shd w:val="clear" w:color="auto" w:fill="FFFFFF"/>
              </w:rPr>
              <w:t>. Vol. I, 18-25. Salamanca: Sígueme, 1982.</w:t>
            </w:r>
            <w:r>
              <w:rPr>
                <w:rFonts w:cstheme="minorHAnsi"/>
                <w:color w:val="222222"/>
                <w:shd w:val="clear" w:color="auto" w:fill="FFFFFF"/>
              </w:rPr>
              <w:t xml:space="preserve"> </w:t>
            </w:r>
            <w:r w:rsidRPr="00E11B7C">
              <w:rPr>
                <w:rFonts w:cstheme="minorHAnsi"/>
                <w:color w:val="0070C0"/>
                <w:shd w:val="clear" w:color="auto" w:fill="FFFFFF"/>
              </w:rPr>
              <w:t>(Clásico, última reimpresión, 2001)</w:t>
            </w:r>
          </w:p>
          <w:p w14:paraId="249E2024" w14:textId="77777777" w:rsidR="0076384B" w:rsidRDefault="0076384B" w:rsidP="008A60E3">
            <w:pPr>
              <w:rPr>
                <w:rFonts w:cstheme="minorHAnsi"/>
                <w:b/>
                <w:bCs/>
                <w:color w:val="0070C0"/>
              </w:rPr>
            </w:pPr>
            <w:r w:rsidRPr="00914F9E">
              <w:rPr>
                <w:rFonts w:cstheme="minorHAnsi"/>
                <w:b/>
                <w:bCs/>
                <w:color w:val="0070C0"/>
              </w:rPr>
              <w:lastRenderedPageBreak/>
              <w:t>Material complementario</w:t>
            </w:r>
          </w:p>
          <w:p w14:paraId="6143CFA1" w14:textId="77777777" w:rsidR="0076384B" w:rsidRDefault="0076384B" w:rsidP="008A60E3">
            <w:pPr>
              <w:rPr>
                <w:rFonts w:cstheme="minorHAnsi"/>
                <w:b/>
                <w:bCs/>
                <w:color w:val="0070C0"/>
              </w:rPr>
            </w:pPr>
          </w:p>
          <w:p w14:paraId="0181496E" w14:textId="77777777" w:rsidR="0076384B" w:rsidRDefault="0076384B" w:rsidP="008A60E3">
            <w:pPr>
              <w:rPr>
                <w:rFonts w:cstheme="minorHAnsi"/>
                <w:color w:val="0070C0"/>
              </w:rPr>
            </w:pPr>
            <w:r>
              <w:rPr>
                <w:rFonts w:cstheme="minorHAnsi"/>
                <w:color w:val="0070C0"/>
              </w:rPr>
              <w:t>Guía para la participación en un foro en la plataforma Moodle</w:t>
            </w:r>
          </w:p>
          <w:p w14:paraId="6A2245BD" w14:textId="2E37E748" w:rsidR="0076384B" w:rsidRPr="007A37D7" w:rsidRDefault="0076384B" w:rsidP="00484BB1">
            <w:pPr>
              <w:rPr>
                <w:rFonts w:cs="Arial"/>
                <w:color w:val="000000" w:themeColor="text1"/>
              </w:rPr>
            </w:pPr>
            <w:r>
              <w:rPr>
                <w:rFonts w:cstheme="minorHAnsi"/>
                <w:color w:val="0070C0"/>
              </w:rPr>
              <w:t xml:space="preserve">Guía para la participación mediante la herramienta Big Blue </w:t>
            </w:r>
            <w:proofErr w:type="spellStart"/>
            <w:r>
              <w:rPr>
                <w:rFonts w:cstheme="minorHAnsi"/>
                <w:color w:val="0070C0"/>
              </w:rPr>
              <w:t>Button</w:t>
            </w:r>
            <w:proofErr w:type="spellEnd"/>
            <w:r>
              <w:rPr>
                <w:rFonts w:cstheme="minorHAnsi"/>
                <w:color w:val="0070C0"/>
              </w:rPr>
              <w:t xml:space="preserve"> en la plataforma Moodle</w:t>
            </w:r>
          </w:p>
        </w:tc>
        <w:tc>
          <w:tcPr>
            <w:tcW w:w="3061" w:type="dxa"/>
          </w:tcPr>
          <w:p w14:paraId="3FDA63DD" w14:textId="77777777" w:rsidR="0076384B" w:rsidRPr="00A06A7F" w:rsidRDefault="0076384B" w:rsidP="0076384B">
            <w:pPr>
              <w:pStyle w:val="Prrafodelista"/>
              <w:numPr>
                <w:ilvl w:val="0"/>
                <w:numId w:val="11"/>
              </w:numPr>
              <w:ind w:left="321"/>
              <w:rPr>
                <w:rFonts w:asciiTheme="minorHAnsi" w:hAnsiTheme="minorHAnsi" w:cs="Arial"/>
                <w:color w:val="000000" w:themeColor="text1"/>
              </w:rPr>
            </w:pPr>
            <w:r w:rsidRPr="00A06A7F">
              <w:rPr>
                <w:rFonts w:asciiTheme="minorHAnsi" w:hAnsiTheme="minorHAnsi" w:cs="Arial"/>
                <w:color w:val="000000" w:themeColor="text1"/>
              </w:rPr>
              <w:lastRenderedPageBreak/>
              <w:t>Realizar la lectura asignada.</w:t>
            </w:r>
          </w:p>
          <w:p w14:paraId="3835E6F5" w14:textId="77777777" w:rsidR="0076384B" w:rsidRPr="00A06A7F" w:rsidRDefault="0076384B" w:rsidP="0076384B">
            <w:pPr>
              <w:pStyle w:val="Prrafodelista"/>
              <w:numPr>
                <w:ilvl w:val="0"/>
                <w:numId w:val="11"/>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reporte de lectura y socialización de este a través de un foro.</w:t>
            </w:r>
          </w:p>
          <w:p w14:paraId="06EA1E66" w14:textId="77777777" w:rsidR="0076384B" w:rsidRPr="00A06A7F" w:rsidRDefault="0076384B" w:rsidP="0076384B">
            <w:pPr>
              <w:pStyle w:val="Prrafodelista"/>
              <w:numPr>
                <w:ilvl w:val="0"/>
                <w:numId w:val="11"/>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w:t>
            </w:r>
          </w:p>
          <w:p w14:paraId="5E9CD6EA" w14:textId="77777777" w:rsidR="0076384B" w:rsidRPr="00A06A7F" w:rsidRDefault="0076384B" w:rsidP="0076384B">
            <w:pPr>
              <w:pStyle w:val="Prrafodelista"/>
              <w:numPr>
                <w:ilvl w:val="0"/>
                <w:numId w:val="11"/>
              </w:numPr>
              <w:ind w:left="321"/>
              <w:rPr>
                <w:rFonts w:asciiTheme="minorHAnsi" w:hAnsiTheme="minorHAnsi" w:cs="Arial"/>
                <w:color w:val="000000" w:themeColor="text1"/>
              </w:rPr>
            </w:pPr>
            <w:r w:rsidRPr="00A06A7F">
              <w:rPr>
                <w:rFonts w:asciiTheme="minorHAnsi" w:hAnsiTheme="minorHAnsi" w:cs="Arial"/>
                <w:color w:val="000000" w:themeColor="text1"/>
              </w:rPr>
              <w:t xml:space="preserve">Debate grupal de profundización en el foro </w:t>
            </w:r>
            <w:r w:rsidRPr="00A06A7F">
              <w:rPr>
                <w:rFonts w:asciiTheme="minorHAnsi" w:hAnsiTheme="minorHAnsi" w:cs="Arial"/>
                <w:color w:val="000000" w:themeColor="text1"/>
              </w:rPr>
              <w:lastRenderedPageBreak/>
              <w:t xml:space="preserve">temático grupal: La teología sistemática. </w:t>
            </w:r>
          </w:p>
          <w:p w14:paraId="41EDC120" w14:textId="77777777" w:rsidR="0076384B" w:rsidRPr="000C4310" w:rsidRDefault="0076384B" w:rsidP="0076384B">
            <w:pPr>
              <w:pStyle w:val="Prrafodelista"/>
              <w:numPr>
                <w:ilvl w:val="0"/>
                <w:numId w:val="11"/>
              </w:numPr>
              <w:ind w:left="321"/>
              <w:rPr>
                <w:rFonts w:asciiTheme="minorHAnsi" w:hAnsiTheme="minorHAnsi" w:cs="Arial"/>
                <w:color w:val="000000" w:themeColor="text1"/>
              </w:rPr>
            </w:pPr>
            <w:r w:rsidRPr="00A06A7F">
              <w:rPr>
                <w:rFonts w:asciiTheme="minorHAnsi" w:hAnsiTheme="minorHAnsi" w:cs="Arial"/>
                <w:color w:val="000000" w:themeColor="text1"/>
              </w:rPr>
              <w:t xml:space="preserve">Segunda conversación sobre el trabajo final: ensayo crítico. </w:t>
            </w:r>
          </w:p>
        </w:tc>
      </w:tr>
      <w:tr w:rsidR="0076384B" w:rsidRPr="00E34496" w14:paraId="646EF8DA" w14:textId="77777777" w:rsidTr="00300093">
        <w:tc>
          <w:tcPr>
            <w:tcW w:w="1271" w:type="dxa"/>
          </w:tcPr>
          <w:p w14:paraId="571B58D4" w14:textId="77777777" w:rsidR="0076384B" w:rsidRPr="00E34496" w:rsidRDefault="0076384B" w:rsidP="003D0EDC">
            <w:pPr>
              <w:jc w:val="center"/>
              <w:rPr>
                <w:rFonts w:cs="Arial"/>
                <w:color w:val="000000" w:themeColor="text1"/>
              </w:rPr>
            </w:pPr>
            <w:r w:rsidRPr="00E34496">
              <w:rPr>
                <w:rFonts w:cs="Arial"/>
                <w:color w:val="000000" w:themeColor="text1"/>
              </w:rPr>
              <w:lastRenderedPageBreak/>
              <w:t>5</w:t>
            </w:r>
          </w:p>
        </w:tc>
        <w:tc>
          <w:tcPr>
            <w:tcW w:w="2268" w:type="dxa"/>
          </w:tcPr>
          <w:p w14:paraId="4F2B9189" w14:textId="77777777" w:rsidR="0076384B" w:rsidRPr="00C90858" w:rsidRDefault="0076384B" w:rsidP="003D0EDC">
            <w:pPr>
              <w:pStyle w:val="Default"/>
              <w:rPr>
                <w:rFonts w:asciiTheme="minorHAnsi" w:hAnsiTheme="minorHAnsi" w:cstheme="minorHAnsi"/>
                <w:b/>
                <w:bCs/>
                <w:color w:val="auto"/>
                <w:sz w:val="22"/>
                <w:szCs w:val="22"/>
              </w:rPr>
            </w:pPr>
            <w:r w:rsidRPr="00C90858">
              <w:rPr>
                <w:rFonts w:asciiTheme="minorHAnsi" w:hAnsiTheme="minorHAnsi" w:cstheme="minorHAnsi"/>
                <w:b/>
                <w:bCs/>
                <w:color w:val="auto"/>
                <w:sz w:val="22"/>
                <w:szCs w:val="22"/>
              </w:rPr>
              <w:t>Unidad III: ¿Por qué se hacen necesarios nuevos paradigmas para el quehacer teológico?</w:t>
            </w:r>
          </w:p>
          <w:p w14:paraId="557B0A69" w14:textId="77777777" w:rsidR="0076384B" w:rsidRPr="00A06A7F" w:rsidRDefault="0076384B" w:rsidP="003D0EDC">
            <w:pPr>
              <w:pStyle w:val="Default"/>
              <w:rPr>
                <w:rFonts w:asciiTheme="minorHAnsi" w:hAnsiTheme="minorHAnsi" w:cstheme="minorHAnsi"/>
                <w:b/>
                <w:bCs/>
                <w:color w:val="auto"/>
                <w:sz w:val="22"/>
                <w:szCs w:val="22"/>
              </w:rPr>
            </w:pPr>
            <w:r w:rsidRPr="00A06A7F">
              <w:rPr>
                <w:rFonts w:asciiTheme="minorHAnsi" w:hAnsiTheme="minorHAnsi" w:cstheme="minorHAnsi"/>
                <w:b/>
                <w:bCs/>
                <w:color w:val="auto"/>
                <w:sz w:val="22"/>
                <w:szCs w:val="22"/>
              </w:rPr>
              <w:t xml:space="preserve"> </w:t>
            </w:r>
          </w:p>
          <w:p w14:paraId="6C4B4F95" w14:textId="77777777" w:rsidR="0076384B" w:rsidRPr="00A06A7F" w:rsidRDefault="0076384B" w:rsidP="00706A88">
            <w:pPr>
              <w:pStyle w:val="Default"/>
              <w:spacing w:line="276" w:lineRule="auto"/>
              <w:rPr>
                <w:rFonts w:asciiTheme="minorHAnsi" w:hAnsiTheme="minorHAnsi" w:cstheme="minorHAnsi"/>
                <w:color w:val="auto"/>
                <w:sz w:val="22"/>
                <w:szCs w:val="22"/>
              </w:rPr>
            </w:pPr>
            <w:r w:rsidRPr="00A06A7F">
              <w:rPr>
                <w:rFonts w:asciiTheme="minorHAnsi" w:hAnsiTheme="minorHAnsi" w:cstheme="minorHAnsi"/>
                <w:color w:val="auto"/>
                <w:sz w:val="22"/>
                <w:szCs w:val="22"/>
              </w:rPr>
              <w:t xml:space="preserve">1. Una teología heurística e interrogativa </w:t>
            </w:r>
          </w:p>
          <w:p w14:paraId="2039077C" w14:textId="77777777" w:rsidR="0076384B" w:rsidRPr="00A06A7F" w:rsidRDefault="0076384B" w:rsidP="00706A88">
            <w:pPr>
              <w:pStyle w:val="Default"/>
              <w:spacing w:line="276" w:lineRule="auto"/>
              <w:rPr>
                <w:rFonts w:asciiTheme="minorHAnsi" w:hAnsiTheme="minorHAnsi" w:cstheme="minorHAnsi"/>
                <w:color w:val="auto"/>
                <w:sz w:val="22"/>
                <w:szCs w:val="22"/>
              </w:rPr>
            </w:pPr>
          </w:p>
          <w:p w14:paraId="46E0D95E" w14:textId="77777777" w:rsidR="0076384B" w:rsidRPr="00A06A7F" w:rsidRDefault="0076384B" w:rsidP="00706A88">
            <w:pPr>
              <w:pStyle w:val="Default"/>
              <w:spacing w:line="276" w:lineRule="auto"/>
              <w:rPr>
                <w:rFonts w:asciiTheme="minorHAnsi" w:hAnsiTheme="minorHAnsi" w:cstheme="minorHAnsi"/>
                <w:color w:val="auto"/>
                <w:sz w:val="22"/>
                <w:szCs w:val="22"/>
              </w:rPr>
            </w:pPr>
            <w:r w:rsidRPr="00A06A7F">
              <w:rPr>
                <w:rFonts w:asciiTheme="minorHAnsi" w:hAnsiTheme="minorHAnsi" w:cstheme="minorHAnsi"/>
                <w:color w:val="auto"/>
                <w:sz w:val="22"/>
                <w:szCs w:val="22"/>
              </w:rPr>
              <w:t>2. Horizonte intercultural</w:t>
            </w:r>
          </w:p>
          <w:p w14:paraId="3AFFC344" w14:textId="77777777" w:rsidR="0076384B" w:rsidRPr="00A06A7F" w:rsidRDefault="0076384B" w:rsidP="00706A88">
            <w:pPr>
              <w:pStyle w:val="Default"/>
              <w:spacing w:line="276" w:lineRule="auto"/>
              <w:rPr>
                <w:rFonts w:asciiTheme="minorHAnsi" w:hAnsiTheme="minorHAnsi" w:cstheme="minorHAnsi"/>
                <w:color w:val="auto"/>
                <w:sz w:val="22"/>
                <w:szCs w:val="22"/>
              </w:rPr>
            </w:pPr>
            <w:r w:rsidRPr="00A06A7F">
              <w:rPr>
                <w:rFonts w:asciiTheme="minorHAnsi" w:hAnsiTheme="minorHAnsi" w:cstheme="minorHAnsi"/>
                <w:color w:val="auto"/>
                <w:sz w:val="22"/>
                <w:szCs w:val="22"/>
              </w:rPr>
              <w:t xml:space="preserve"> </w:t>
            </w:r>
          </w:p>
          <w:p w14:paraId="00F2D290" w14:textId="77777777" w:rsidR="0076384B" w:rsidRPr="00A06A7F" w:rsidRDefault="0076384B" w:rsidP="00706A88">
            <w:pPr>
              <w:pStyle w:val="NormalHanging"/>
              <w:spacing w:before="0" w:line="276" w:lineRule="auto"/>
              <w:ind w:left="0" w:firstLine="0"/>
              <w:jc w:val="left"/>
              <w:rPr>
                <w:rFonts w:asciiTheme="minorHAnsi" w:hAnsiTheme="minorHAnsi" w:cstheme="minorHAnsi"/>
                <w:bCs/>
                <w:sz w:val="22"/>
                <w:szCs w:val="22"/>
              </w:rPr>
            </w:pPr>
            <w:r w:rsidRPr="00A06A7F">
              <w:rPr>
                <w:rFonts w:asciiTheme="minorHAnsi" w:hAnsiTheme="minorHAnsi" w:cstheme="minorHAnsi"/>
                <w:sz w:val="22"/>
                <w:szCs w:val="22"/>
              </w:rPr>
              <w:t>3. ¿Desde dónde hago teología</w:t>
            </w:r>
            <w:r w:rsidRPr="00A06A7F">
              <w:rPr>
                <w:rFonts w:asciiTheme="minorHAnsi" w:hAnsiTheme="minorHAnsi" w:cstheme="minorHAnsi"/>
                <w:bCs/>
                <w:sz w:val="22"/>
                <w:szCs w:val="22"/>
              </w:rPr>
              <w:t xml:space="preserve">? </w:t>
            </w:r>
          </w:p>
          <w:p w14:paraId="7E847D08" w14:textId="77777777" w:rsidR="0076384B" w:rsidRPr="00A06A7F" w:rsidRDefault="0076384B" w:rsidP="00706A88">
            <w:pPr>
              <w:pStyle w:val="NormalHanging"/>
              <w:spacing w:before="0" w:line="276" w:lineRule="auto"/>
              <w:ind w:left="0" w:firstLine="0"/>
              <w:jc w:val="left"/>
              <w:rPr>
                <w:rFonts w:asciiTheme="minorHAnsi" w:hAnsiTheme="minorHAnsi" w:cstheme="minorHAnsi"/>
                <w:sz w:val="22"/>
                <w:szCs w:val="22"/>
              </w:rPr>
            </w:pPr>
          </w:p>
        </w:tc>
        <w:tc>
          <w:tcPr>
            <w:tcW w:w="2871" w:type="dxa"/>
          </w:tcPr>
          <w:p w14:paraId="3BBD87E1" w14:textId="77777777" w:rsidR="0076384B" w:rsidRDefault="0076384B" w:rsidP="003D0EDC">
            <w:pPr>
              <w:rPr>
                <w:rFonts w:cstheme="minorHAnsi"/>
                <w:color w:val="222222"/>
                <w:shd w:val="clear" w:color="auto" w:fill="FFFFFF"/>
              </w:rPr>
            </w:pPr>
            <w:r w:rsidRPr="00914F9E">
              <w:rPr>
                <w:rFonts w:cs="Arial"/>
                <w:color w:val="0070C0"/>
              </w:rPr>
              <w:t>Ruta de aprendizaje</w:t>
            </w:r>
          </w:p>
          <w:p w14:paraId="7252A855" w14:textId="77777777" w:rsidR="0076384B" w:rsidRPr="00E11B7C" w:rsidRDefault="0076384B" w:rsidP="003D0EDC">
            <w:pPr>
              <w:rPr>
                <w:rFonts w:cstheme="minorHAnsi"/>
                <w:color w:val="0070C0"/>
                <w:shd w:val="clear" w:color="auto" w:fill="FFFFFF"/>
              </w:rPr>
            </w:pPr>
            <w:r w:rsidRPr="00A06A7F">
              <w:rPr>
                <w:rFonts w:cstheme="minorHAnsi"/>
                <w:color w:val="222222"/>
                <w:shd w:val="clear" w:color="auto" w:fill="FFFFFF"/>
              </w:rPr>
              <w:t xml:space="preserve">Tamayo Acosta, Juan José. “Teología de la liberación: revolución metodológica. Nuevas aportaciones y desafíos al primer mundo”. En </w:t>
            </w:r>
            <w:r w:rsidRPr="00A06A7F">
              <w:rPr>
                <w:rFonts w:cstheme="minorHAnsi"/>
                <w:i/>
                <w:color w:val="222222"/>
                <w:shd w:val="clear" w:color="auto" w:fill="FFFFFF"/>
              </w:rPr>
              <w:t xml:space="preserve">El mar se abrió: Treinta años de teología en América Latina, </w:t>
            </w:r>
            <w:r w:rsidRPr="00A06A7F">
              <w:rPr>
                <w:rFonts w:cstheme="minorHAnsi"/>
                <w:color w:val="222222"/>
                <w:shd w:val="clear" w:color="auto" w:fill="FFFFFF"/>
              </w:rPr>
              <w:t xml:space="preserve">editado por </w:t>
            </w:r>
            <w:proofErr w:type="spellStart"/>
            <w:r w:rsidRPr="00A06A7F">
              <w:rPr>
                <w:rFonts w:cstheme="minorHAnsi"/>
                <w:color w:val="222222"/>
                <w:shd w:val="clear" w:color="auto" w:fill="FFFFFF"/>
              </w:rPr>
              <w:t>Luiz</w:t>
            </w:r>
            <w:proofErr w:type="spellEnd"/>
            <w:r w:rsidRPr="00A06A7F">
              <w:rPr>
                <w:rFonts w:cstheme="minorHAnsi"/>
                <w:color w:val="222222"/>
                <w:shd w:val="clear" w:color="auto" w:fill="FFFFFF"/>
              </w:rPr>
              <w:t xml:space="preserve"> Carlos </w:t>
            </w:r>
            <w:proofErr w:type="spellStart"/>
            <w:r w:rsidRPr="00A06A7F">
              <w:rPr>
                <w:rFonts w:cstheme="minorHAnsi"/>
                <w:color w:val="222222"/>
                <w:shd w:val="clear" w:color="auto" w:fill="FFFFFF"/>
              </w:rPr>
              <w:t>Susin</w:t>
            </w:r>
            <w:proofErr w:type="spellEnd"/>
            <w:r w:rsidRPr="00A06A7F">
              <w:rPr>
                <w:rFonts w:cstheme="minorHAnsi"/>
                <w:color w:val="222222"/>
                <w:shd w:val="clear" w:color="auto" w:fill="FFFFFF"/>
              </w:rPr>
              <w:t xml:space="preserve">, 190-203. Santander: Sal </w:t>
            </w:r>
            <w:proofErr w:type="spellStart"/>
            <w:r w:rsidRPr="00A06A7F">
              <w:rPr>
                <w:rFonts w:cstheme="minorHAnsi"/>
                <w:color w:val="222222"/>
                <w:shd w:val="clear" w:color="auto" w:fill="FFFFFF"/>
              </w:rPr>
              <w:t>Terrae</w:t>
            </w:r>
            <w:proofErr w:type="spellEnd"/>
            <w:r w:rsidRPr="00A06A7F">
              <w:rPr>
                <w:rFonts w:cstheme="minorHAnsi"/>
                <w:color w:val="222222"/>
                <w:shd w:val="clear" w:color="auto" w:fill="FFFFFF"/>
              </w:rPr>
              <w:t>, 2000.</w:t>
            </w:r>
            <w:r>
              <w:rPr>
                <w:rFonts w:cstheme="minorHAnsi"/>
                <w:color w:val="222222"/>
                <w:shd w:val="clear" w:color="auto" w:fill="FFFFFF"/>
              </w:rPr>
              <w:t xml:space="preserve"> </w:t>
            </w:r>
            <w:r w:rsidRPr="00E11B7C">
              <w:rPr>
                <w:rFonts w:cstheme="minorHAnsi"/>
                <w:color w:val="0070C0"/>
                <w:shd w:val="clear" w:color="auto" w:fill="FFFFFF"/>
              </w:rPr>
              <w:t>(clásico, última edición)</w:t>
            </w:r>
          </w:p>
          <w:p w14:paraId="63072F2C" w14:textId="77777777" w:rsidR="0076384B" w:rsidRPr="00A06A7F" w:rsidRDefault="0076384B" w:rsidP="003D0EDC">
            <w:pPr>
              <w:rPr>
                <w:rFonts w:cstheme="minorHAnsi"/>
                <w:b/>
                <w:color w:val="222222"/>
                <w:shd w:val="clear" w:color="auto" w:fill="FFFFFF"/>
              </w:rPr>
            </w:pPr>
            <w:r w:rsidRPr="00A06A7F">
              <w:rPr>
                <w:rFonts w:cstheme="minorHAnsi"/>
                <w:b/>
                <w:color w:val="222222"/>
                <w:shd w:val="clear" w:color="auto" w:fill="FFFFFF"/>
              </w:rPr>
              <w:t>Material complementario</w:t>
            </w:r>
          </w:p>
          <w:p w14:paraId="75A0EA11" w14:textId="77777777" w:rsidR="0076384B" w:rsidRPr="00A06A7F" w:rsidRDefault="0076384B" w:rsidP="003D0EDC">
            <w:pPr>
              <w:rPr>
                <w:rStyle w:val="Hipervnculo"/>
                <w:rFonts w:cstheme="minorHAnsi"/>
                <w:bCs/>
              </w:rPr>
            </w:pPr>
            <w:r w:rsidRPr="00A06A7F">
              <w:rPr>
                <w:rFonts w:cstheme="minorHAnsi"/>
                <w:bCs/>
              </w:rPr>
              <w:t xml:space="preserve">Vélez Caro, Olga Consuelo. “Teologías de genitivo y nuevos enfoques teológicos”. En </w:t>
            </w:r>
            <w:r w:rsidRPr="00A06A7F">
              <w:rPr>
                <w:rFonts w:cstheme="minorHAnsi"/>
                <w:bCs/>
                <w:i/>
              </w:rPr>
              <w:t>El método teológico: Fundamentos, especializaciones, enfoques</w:t>
            </w:r>
            <w:r w:rsidRPr="00A06A7F">
              <w:rPr>
                <w:rFonts w:cstheme="minorHAnsi"/>
                <w:bCs/>
              </w:rPr>
              <w:t xml:space="preserve">, 163-222. Bogotá: Pontificia Universidad Javeriana, 2008. Acceso el 17 de diciembre de 2020. </w:t>
            </w:r>
            <w:r w:rsidRPr="00A06A7F">
              <w:t xml:space="preserve"> </w:t>
            </w:r>
            <w:hyperlink r:id="rId38" w:history="1">
              <w:r w:rsidRPr="00A06A7F">
                <w:rPr>
                  <w:rStyle w:val="Hipervnculo"/>
                  <w:rFonts w:cstheme="minorHAnsi"/>
                  <w:bCs/>
                </w:rPr>
                <w:t>https://repository.javeriana.edu.co/handle/10554/38674</w:t>
              </w:r>
            </w:hyperlink>
          </w:p>
          <w:p w14:paraId="39409559" w14:textId="77777777" w:rsidR="0076384B" w:rsidRPr="00E11B7C" w:rsidRDefault="0076384B" w:rsidP="00E11B7C">
            <w:pPr>
              <w:rPr>
                <w:rFonts w:cstheme="minorHAnsi"/>
                <w:color w:val="0070C0"/>
                <w:shd w:val="clear" w:color="auto" w:fill="FFFFFF"/>
              </w:rPr>
            </w:pPr>
            <w:r w:rsidRPr="00E11B7C">
              <w:rPr>
                <w:rFonts w:cstheme="minorHAnsi"/>
                <w:color w:val="0070C0"/>
                <w:shd w:val="clear" w:color="auto" w:fill="FFFFFF"/>
              </w:rPr>
              <w:t>(clásico, última edición)</w:t>
            </w:r>
          </w:p>
          <w:p w14:paraId="21956BDE" w14:textId="77777777" w:rsidR="0076384B" w:rsidRDefault="0076384B" w:rsidP="003D0EDC">
            <w:pPr>
              <w:rPr>
                <w:rFonts w:cs="Arial"/>
                <w:color w:val="0070C0"/>
              </w:rPr>
            </w:pPr>
            <w:r>
              <w:rPr>
                <w:rFonts w:cs="Arial"/>
                <w:color w:val="0070C0"/>
              </w:rPr>
              <w:t>Guía para la participación en un glosario en la plataforma Moodle</w:t>
            </w:r>
          </w:p>
          <w:p w14:paraId="57502309" w14:textId="61A07AC4" w:rsidR="0076384B" w:rsidRPr="00A06A7F" w:rsidRDefault="0076384B" w:rsidP="00484BB1">
            <w:pPr>
              <w:rPr>
                <w:rFonts w:cs="Arial"/>
                <w:color w:val="000000" w:themeColor="text1"/>
              </w:rPr>
            </w:pPr>
            <w:r>
              <w:rPr>
                <w:rFonts w:cs="Arial"/>
                <w:color w:val="0070C0"/>
              </w:rPr>
              <w:lastRenderedPageBreak/>
              <w:t xml:space="preserve">Guía para la participación mediante la herramienta Big Blue </w:t>
            </w:r>
            <w:proofErr w:type="spellStart"/>
            <w:r>
              <w:rPr>
                <w:rFonts w:cs="Arial"/>
                <w:color w:val="0070C0"/>
              </w:rPr>
              <w:t>Button</w:t>
            </w:r>
            <w:proofErr w:type="spellEnd"/>
            <w:r>
              <w:rPr>
                <w:rFonts w:cs="Arial"/>
                <w:color w:val="0070C0"/>
              </w:rPr>
              <w:t xml:space="preserve"> en la plataforma Moodle</w:t>
            </w:r>
          </w:p>
        </w:tc>
        <w:tc>
          <w:tcPr>
            <w:tcW w:w="3061" w:type="dxa"/>
          </w:tcPr>
          <w:p w14:paraId="385CEE3B" w14:textId="77777777" w:rsidR="0076384B" w:rsidRPr="00A06A7F" w:rsidRDefault="0076384B" w:rsidP="0076384B">
            <w:pPr>
              <w:pStyle w:val="Prrafodelista"/>
              <w:numPr>
                <w:ilvl w:val="0"/>
                <w:numId w:val="12"/>
              </w:numPr>
              <w:ind w:left="321"/>
              <w:rPr>
                <w:rFonts w:asciiTheme="minorHAnsi" w:hAnsiTheme="minorHAnsi" w:cs="Arial"/>
                <w:color w:val="000000" w:themeColor="text1"/>
              </w:rPr>
            </w:pPr>
            <w:r w:rsidRPr="00A06A7F">
              <w:rPr>
                <w:rFonts w:asciiTheme="minorHAnsi" w:hAnsiTheme="minorHAnsi" w:cs="Arial"/>
                <w:color w:val="000000" w:themeColor="text1"/>
              </w:rPr>
              <w:lastRenderedPageBreak/>
              <w:t>Realizar la lectura asignada.</w:t>
            </w:r>
          </w:p>
          <w:p w14:paraId="602C1EBB" w14:textId="77777777" w:rsidR="0076384B" w:rsidRPr="00A06A7F" w:rsidRDefault="0076384B" w:rsidP="0076384B">
            <w:pPr>
              <w:pStyle w:val="Prrafodelista"/>
              <w:numPr>
                <w:ilvl w:val="0"/>
                <w:numId w:val="12"/>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glosario con base en la lectura.</w:t>
            </w:r>
          </w:p>
          <w:p w14:paraId="17A3C8D9" w14:textId="77777777" w:rsidR="0076384B" w:rsidRPr="00A06A7F" w:rsidRDefault="0076384B" w:rsidP="0076384B">
            <w:pPr>
              <w:pStyle w:val="Prrafodelista"/>
              <w:numPr>
                <w:ilvl w:val="0"/>
                <w:numId w:val="12"/>
              </w:numPr>
              <w:ind w:left="321"/>
              <w:rPr>
                <w:rFonts w:asciiTheme="minorHAnsi" w:hAnsiTheme="minorHAnsi" w:cs="Arial"/>
                <w:color w:val="000000" w:themeColor="text1"/>
              </w:rPr>
            </w:pPr>
            <w:r w:rsidRPr="00A06A7F">
              <w:rPr>
                <w:rFonts w:asciiTheme="minorHAnsi" w:hAnsiTheme="minorHAnsi" w:cs="Arial"/>
                <w:color w:val="000000" w:themeColor="text1"/>
              </w:rPr>
              <w:t>Compartir grupal en los glosarios.</w:t>
            </w:r>
          </w:p>
          <w:p w14:paraId="015CE94E" w14:textId="77777777" w:rsidR="0076384B" w:rsidRPr="00A06A7F" w:rsidRDefault="0076384B" w:rsidP="0076384B">
            <w:pPr>
              <w:pStyle w:val="Prrafodelista"/>
              <w:numPr>
                <w:ilvl w:val="0"/>
                <w:numId w:val="12"/>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w:t>
            </w:r>
          </w:p>
        </w:tc>
      </w:tr>
      <w:tr w:rsidR="0076384B" w:rsidRPr="00E34496" w14:paraId="4F6D3AD9" w14:textId="77777777" w:rsidTr="00300093">
        <w:tc>
          <w:tcPr>
            <w:tcW w:w="1271" w:type="dxa"/>
          </w:tcPr>
          <w:p w14:paraId="104DA0C9" w14:textId="77777777" w:rsidR="0076384B" w:rsidRPr="00E34496" w:rsidRDefault="0076384B" w:rsidP="003D0EDC">
            <w:pPr>
              <w:jc w:val="center"/>
              <w:rPr>
                <w:rFonts w:cs="Arial"/>
                <w:color w:val="000000" w:themeColor="text1"/>
              </w:rPr>
            </w:pPr>
            <w:r w:rsidRPr="00E34496">
              <w:rPr>
                <w:rFonts w:cs="Arial"/>
                <w:color w:val="000000" w:themeColor="text1"/>
              </w:rPr>
              <w:t>6</w:t>
            </w:r>
          </w:p>
        </w:tc>
        <w:tc>
          <w:tcPr>
            <w:tcW w:w="2268" w:type="dxa"/>
          </w:tcPr>
          <w:p w14:paraId="0D1DF8F1" w14:textId="77777777" w:rsidR="0076384B" w:rsidRPr="00C90858" w:rsidRDefault="0076384B" w:rsidP="00DB31B5">
            <w:pPr>
              <w:pStyle w:val="NormalHanging"/>
              <w:spacing w:before="0"/>
              <w:ind w:left="0" w:firstLine="0"/>
              <w:jc w:val="left"/>
              <w:rPr>
                <w:rFonts w:asciiTheme="minorHAnsi" w:hAnsiTheme="minorHAnsi" w:cstheme="minorHAnsi"/>
                <w:b/>
                <w:sz w:val="22"/>
                <w:szCs w:val="22"/>
              </w:rPr>
            </w:pPr>
            <w:r w:rsidRPr="00C90858">
              <w:rPr>
                <w:rFonts w:asciiTheme="minorHAnsi" w:hAnsiTheme="minorHAnsi" w:cstheme="minorHAnsi"/>
                <w:b/>
                <w:sz w:val="22"/>
                <w:szCs w:val="22"/>
              </w:rPr>
              <w:t>Unidad III: ¿Por qué se hacen necesarios nuevos paradigmas para el quehacer teológico?</w:t>
            </w:r>
          </w:p>
          <w:p w14:paraId="51E3F8B0" w14:textId="77777777" w:rsidR="0076384B" w:rsidRPr="00A06A7F" w:rsidRDefault="0076384B" w:rsidP="003D0EDC">
            <w:pPr>
              <w:pStyle w:val="NormalHanging"/>
              <w:spacing w:before="0"/>
              <w:ind w:left="0" w:firstLine="0"/>
              <w:jc w:val="left"/>
              <w:rPr>
                <w:rFonts w:asciiTheme="minorHAnsi" w:hAnsiTheme="minorHAnsi" w:cstheme="minorHAnsi"/>
                <w:b/>
                <w:sz w:val="22"/>
                <w:szCs w:val="22"/>
              </w:rPr>
            </w:pPr>
          </w:p>
          <w:p w14:paraId="31C84830" w14:textId="77777777" w:rsidR="0076384B" w:rsidRPr="00377D04" w:rsidRDefault="0076384B" w:rsidP="00706A88">
            <w:pPr>
              <w:pStyle w:val="NormalHanging"/>
              <w:spacing w:before="0" w:line="276" w:lineRule="auto"/>
              <w:ind w:left="0" w:firstLine="0"/>
              <w:jc w:val="left"/>
              <w:rPr>
                <w:rFonts w:asciiTheme="minorHAnsi" w:hAnsiTheme="minorHAnsi" w:cstheme="minorHAnsi"/>
                <w:sz w:val="22"/>
                <w:szCs w:val="22"/>
              </w:rPr>
            </w:pPr>
            <w:r w:rsidRPr="00377D04">
              <w:rPr>
                <w:rFonts w:asciiTheme="minorHAnsi" w:hAnsiTheme="minorHAnsi" w:cstheme="minorHAnsi"/>
                <w:sz w:val="22"/>
                <w:szCs w:val="22"/>
              </w:rPr>
              <w:t>4. La teología de la tradición protestante</w:t>
            </w:r>
          </w:p>
          <w:p w14:paraId="6B862184" w14:textId="77777777" w:rsidR="0076384B" w:rsidRPr="00377D04" w:rsidRDefault="0076384B" w:rsidP="00706A88">
            <w:pPr>
              <w:pStyle w:val="NormalHanging"/>
              <w:spacing w:before="0" w:line="276" w:lineRule="auto"/>
              <w:ind w:left="0" w:firstLine="0"/>
              <w:jc w:val="left"/>
              <w:rPr>
                <w:rFonts w:asciiTheme="minorHAnsi" w:hAnsiTheme="minorHAnsi" w:cstheme="minorHAnsi"/>
                <w:b/>
                <w:sz w:val="22"/>
                <w:szCs w:val="22"/>
              </w:rPr>
            </w:pPr>
          </w:p>
          <w:p w14:paraId="13C0BB1E" w14:textId="77777777" w:rsidR="0076384B" w:rsidRPr="00377D04" w:rsidRDefault="0076384B" w:rsidP="00706A88">
            <w:pPr>
              <w:pStyle w:val="Normalcontenido"/>
              <w:spacing w:line="276" w:lineRule="auto"/>
              <w:ind w:left="0" w:firstLine="0"/>
              <w:rPr>
                <w:rFonts w:asciiTheme="minorHAnsi" w:hAnsiTheme="minorHAnsi" w:cstheme="minorHAnsi"/>
                <w:sz w:val="22"/>
                <w:szCs w:val="22"/>
              </w:rPr>
            </w:pPr>
            <w:r w:rsidRPr="00377D04">
              <w:rPr>
                <w:rFonts w:asciiTheme="minorHAnsi" w:hAnsiTheme="minorHAnsi" w:cstheme="minorHAnsi"/>
                <w:sz w:val="22"/>
                <w:szCs w:val="22"/>
              </w:rPr>
              <w:t>5. Los rasgos contestatarios de la tradición protestante</w:t>
            </w:r>
          </w:p>
          <w:p w14:paraId="63D7329B" w14:textId="77777777" w:rsidR="0076384B" w:rsidRPr="00377D04" w:rsidRDefault="0076384B" w:rsidP="00706A88">
            <w:pPr>
              <w:pStyle w:val="Normalcontenido"/>
              <w:spacing w:line="276" w:lineRule="auto"/>
              <w:ind w:left="0" w:firstLine="0"/>
              <w:rPr>
                <w:rFonts w:asciiTheme="minorHAnsi" w:hAnsiTheme="minorHAnsi" w:cstheme="minorHAnsi"/>
                <w:sz w:val="22"/>
                <w:szCs w:val="22"/>
              </w:rPr>
            </w:pPr>
          </w:p>
          <w:p w14:paraId="51BD53CD" w14:textId="77777777" w:rsidR="0076384B" w:rsidRPr="00A06A7F" w:rsidRDefault="0076384B" w:rsidP="00FB3261">
            <w:pPr>
              <w:pStyle w:val="Normalcontenido"/>
              <w:spacing w:line="276" w:lineRule="auto"/>
              <w:ind w:left="0" w:firstLine="0"/>
              <w:rPr>
                <w:rFonts w:asciiTheme="minorHAnsi" w:hAnsiTheme="minorHAnsi" w:cstheme="minorHAnsi"/>
                <w:sz w:val="22"/>
                <w:szCs w:val="22"/>
              </w:rPr>
            </w:pPr>
            <w:r w:rsidRPr="00377D04">
              <w:rPr>
                <w:rFonts w:asciiTheme="minorHAnsi" w:hAnsiTheme="minorHAnsi" w:cstheme="minorHAnsi"/>
                <w:sz w:val="22"/>
                <w:szCs w:val="22"/>
              </w:rPr>
              <w:t xml:space="preserve">6. El protestantismo </w:t>
            </w:r>
            <w:r w:rsidRPr="00A06A7F">
              <w:rPr>
                <w:rFonts w:asciiTheme="minorHAnsi" w:hAnsiTheme="minorHAnsi" w:cstheme="minorHAnsi"/>
                <w:sz w:val="22"/>
                <w:szCs w:val="22"/>
              </w:rPr>
              <w:t>en América Latina y el Caribe</w:t>
            </w:r>
          </w:p>
          <w:p w14:paraId="6744C419" w14:textId="77777777" w:rsidR="0076384B" w:rsidRPr="00A06A7F" w:rsidRDefault="0076384B" w:rsidP="003D0EDC">
            <w:pPr>
              <w:pStyle w:val="Default"/>
              <w:rPr>
                <w:rFonts w:asciiTheme="minorHAnsi" w:hAnsiTheme="minorHAnsi" w:cstheme="minorHAnsi"/>
                <w:b/>
                <w:bCs/>
                <w:color w:val="auto"/>
                <w:sz w:val="22"/>
                <w:szCs w:val="22"/>
              </w:rPr>
            </w:pPr>
          </w:p>
        </w:tc>
        <w:tc>
          <w:tcPr>
            <w:tcW w:w="2871" w:type="dxa"/>
          </w:tcPr>
          <w:p w14:paraId="5423F11C" w14:textId="77777777" w:rsidR="0076384B" w:rsidRDefault="0076384B" w:rsidP="002A261C">
            <w:pPr>
              <w:spacing w:line="276" w:lineRule="auto"/>
              <w:rPr>
                <w:rFonts w:cstheme="minorHAnsi"/>
                <w:bCs/>
                <w:color w:val="000000" w:themeColor="text1"/>
              </w:rPr>
            </w:pPr>
            <w:r w:rsidRPr="00914F9E">
              <w:rPr>
                <w:rFonts w:cs="Arial"/>
                <w:color w:val="0070C0"/>
              </w:rPr>
              <w:t>Ruta de aprendizaje</w:t>
            </w:r>
          </w:p>
          <w:p w14:paraId="01E5ACF2" w14:textId="77777777" w:rsidR="0076384B" w:rsidRPr="00E11B7C" w:rsidRDefault="0076384B" w:rsidP="000172E6">
            <w:pPr>
              <w:rPr>
                <w:rFonts w:cstheme="minorHAnsi"/>
                <w:color w:val="0070C0"/>
                <w:shd w:val="clear" w:color="auto" w:fill="FFFFFF"/>
              </w:rPr>
            </w:pPr>
            <w:r w:rsidRPr="00A06A7F">
              <w:rPr>
                <w:rFonts w:cstheme="minorHAnsi"/>
                <w:bCs/>
                <w:color w:val="000000" w:themeColor="text1"/>
              </w:rPr>
              <w:t xml:space="preserve">Tamayo Acosta, Juan José. “Diálogo de civilizaciones y de religiones”. En </w:t>
            </w:r>
            <w:r w:rsidRPr="00A06A7F">
              <w:rPr>
                <w:rFonts w:cstheme="minorHAnsi"/>
                <w:bCs/>
                <w:i/>
                <w:color w:val="000000" w:themeColor="text1"/>
              </w:rPr>
              <w:t xml:space="preserve">Otra teología es posible. Pluralismo religioso, interculturalidad y feminismo, </w:t>
            </w:r>
            <w:r w:rsidRPr="00A06A7F">
              <w:rPr>
                <w:rFonts w:cstheme="minorHAnsi"/>
                <w:bCs/>
                <w:color w:val="000000" w:themeColor="text1"/>
              </w:rPr>
              <w:t>93-130.</w:t>
            </w:r>
            <w:r w:rsidRPr="00A06A7F">
              <w:rPr>
                <w:rFonts w:cstheme="minorHAnsi"/>
                <w:bCs/>
                <w:i/>
                <w:color w:val="000000" w:themeColor="text1"/>
              </w:rPr>
              <w:t xml:space="preserve"> </w:t>
            </w:r>
            <w:r w:rsidRPr="00A06A7F">
              <w:rPr>
                <w:rFonts w:cstheme="minorHAnsi"/>
                <w:bCs/>
                <w:color w:val="000000" w:themeColor="text1"/>
              </w:rPr>
              <w:t xml:space="preserve">Madrid: Herder, 2011. </w:t>
            </w:r>
            <w:r w:rsidRPr="00E11B7C">
              <w:rPr>
                <w:rFonts w:cstheme="minorHAnsi"/>
                <w:color w:val="0070C0"/>
                <w:shd w:val="clear" w:color="auto" w:fill="FFFFFF"/>
              </w:rPr>
              <w:t>(clásico, última edición)</w:t>
            </w:r>
          </w:p>
          <w:p w14:paraId="2277EE26" w14:textId="77777777" w:rsidR="0076384B" w:rsidRDefault="0076384B" w:rsidP="003D0EDC">
            <w:pPr>
              <w:rPr>
                <w:rFonts w:cstheme="minorHAnsi"/>
                <w:b/>
                <w:bCs/>
                <w:color w:val="0070C0"/>
              </w:rPr>
            </w:pPr>
            <w:r w:rsidRPr="00914F9E">
              <w:rPr>
                <w:rFonts w:cstheme="minorHAnsi"/>
                <w:b/>
                <w:bCs/>
                <w:color w:val="0070C0"/>
              </w:rPr>
              <w:t>Material complementario</w:t>
            </w:r>
          </w:p>
          <w:p w14:paraId="5DC8AF98" w14:textId="77777777" w:rsidR="0076384B" w:rsidRDefault="0076384B" w:rsidP="003D0EDC">
            <w:pPr>
              <w:rPr>
                <w:rFonts w:cstheme="minorHAnsi"/>
                <w:color w:val="0070C0"/>
              </w:rPr>
            </w:pPr>
            <w:r>
              <w:rPr>
                <w:rFonts w:cstheme="minorHAnsi"/>
                <w:color w:val="0070C0"/>
              </w:rPr>
              <w:t>Guía para la elaboración de un diario reflexivo</w:t>
            </w:r>
          </w:p>
          <w:p w14:paraId="49A99BA1" w14:textId="6364D22B" w:rsidR="0076384B" w:rsidRPr="008D01E8" w:rsidRDefault="0076384B" w:rsidP="00484BB1">
            <w:pPr>
              <w:rPr>
                <w:rFonts w:cs="Arial"/>
                <w:color w:val="FF0000"/>
              </w:rPr>
            </w:pPr>
            <w:r>
              <w:rPr>
                <w:rFonts w:cstheme="minorHAnsi"/>
                <w:color w:val="0070C0"/>
              </w:rPr>
              <w:t xml:space="preserve">Guía para la participación mediante la herramienta Big Blue </w:t>
            </w:r>
            <w:proofErr w:type="spellStart"/>
            <w:r>
              <w:rPr>
                <w:rFonts w:cstheme="minorHAnsi"/>
                <w:color w:val="0070C0"/>
              </w:rPr>
              <w:t>Button</w:t>
            </w:r>
            <w:proofErr w:type="spellEnd"/>
            <w:r>
              <w:rPr>
                <w:rFonts w:cstheme="minorHAnsi"/>
                <w:color w:val="0070C0"/>
              </w:rPr>
              <w:t xml:space="preserve"> en la plataforma Moodle</w:t>
            </w:r>
          </w:p>
        </w:tc>
        <w:tc>
          <w:tcPr>
            <w:tcW w:w="3061" w:type="dxa"/>
          </w:tcPr>
          <w:p w14:paraId="0AC4498E" w14:textId="77777777" w:rsidR="0076384B" w:rsidRPr="00A06A7F" w:rsidRDefault="0076384B" w:rsidP="0076384B">
            <w:pPr>
              <w:pStyle w:val="Prrafodelista"/>
              <w:numPr>
                <w:ilvl w:val="0"/>
                <w:numId w:val="13"/>
              </w:numPr>
              <w:ind w:left="321"/>
              <w:rPr>
                <w:rFonts w:asciiTheme="minorHAnsi" w:hAnsiTheme="minorHAnsi" w:cs="Arial"/>
                <w:color w:val="000000" w:themeColor="text1"/>
              </w:rPr>
            </w:pPr>
            <w:r w:rsidRPr="00A06A7F">
              <w:rPr>
                <w:rFonts w:asciiTheme="minorHAnsi" w:hAnsiTheme="minorHAnsi" w:cs="Arial"/>
                <w:color w:val="000000" w:themeColor="text1"/>
              </w:rPr>
              <w:t>Realizar la lectura asignada.</w:t>
            </w:r>
          </w:p>
          <w:p w14:paraId="27468CCD" w14:textId="77777777" w:rsidR="0076384B" w:rsidRPr="00A06A7F" w:rsidRDefault="0076384B" w:rsidP="0076384B">
            <w:pPr>
              <w:pStyle w:val="Prrafodelista"/>
              <w:numPr>
                <w:ilvl w:val="0"/>
                <w:numId w:val="13"/>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diario reflexivo.</w:t>
            </w:r>
          </w:p>
          <w:p w14:paraId="5894617F" w14:textId="77777777" w:rsidR="0076384B" w:rsidRPr="00A06A7F" w:rsidRDefault="0076384B" w:rsidP="0076384B">
            <w:pPr>
              <w:pStyle w:val="Prrafodelista"/>
              <w:numPr>
                <w:ilvl w:val="0"/>
                <w:numId w:val="13"/>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y debate grupal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w:t>
            </w:r>
          </w:p>
        </w:tc>
      </w:tr>
      <w:tr w:rsidR="0076384B" w:rsidRPr="00E34496" w14:paraId="782F41F5" w14:textId="77777777" w:rsidTr="00300093">
        <w:tc>
          <w:tcPr>
            <w:tcW w:w="1271" w:type="dxa"/>
          </w:tcPr>
          <w:p w14:paraId="2C777E62" w14:textId="77777777" w:rsidR="0076384B" w:rsidRPr="00E34496" w:rsidRDefault="0076384B" w:rsidP="003D0EDC">
            <w:pPr>
              <w:jc w:val="center"/>
              <w:rPr>
                <w:rFonts w:cs="Arial"/>
                <w:color w:val="000000" w:themeColor="text1"/>
              </w:rPr>
            </w:pPr>
            <w:r w:rsidRPr="00E34496">
              <w:rPr>
                <w:rFonts w:cs="Arial"/>
                <w:color w:val="000000" w:themeColor="text1"/>
              </w:rPr>
              <w:t>7</w:t>
            </w:r>
          </w:p>
        </w:tc>
        <w:tc>
          <w:tcPr>
            <w:tcW w:w="2268" w:type="dxa"/>
          </w:tcPr>
          <w:p w14:paraId="7F38507C" w14:textId="77777777" w:rsidR="0076384B" w:rsidRPr="00C90858" w:rsidRDefault="0076384B" w:rsidP="00DB31B5">
            <w:pPr>
              <w:pStyle w:val="Default"/>
              <w:rPr>
                <w:rFonts w:asciiTheme="minorHAnsi" w:hAnsiTheme="minorHAnsi" w:cstheme="minorHAnsi"/>
                <w:b/>
                <w:bCs/>
                <w:color w:val="auto"/>
                <w:sz w:val="22"/>
                <w:szCs w:val="22"/>
              </w:rPr>
            </w:pPr>
            <w:r w:rsidRPr="00C90858">
              <w:rPr>
                <w:rFonts w:asciiTheme="minorHAnsi" w:hAnsiTheme="minorHAnsi" w:cstheme="minorHAnsi"/>
                <w:b/>
                <w:bCs/>
                <w:color w:val="auto"/>
                <w:sz w:val="22"/>
                <w:szCs w:val="22"/>
              </w:rPr>
              <w:t>Unidad IV: La teología en la tradición católica romana</w:t>
            </w:r>
          </w:p>
          <w:p w14:paraId="2E74B1EA" w14:textId="77777777" w:rsidR="0076384B" w:rsidRPr="00A06A7F" w:rsidRDefault="0076384B" w:rsidP="003D0EDC">
            <w:pPr>
              <w:pStyle w:val="Default"/>
              <w:rPr>
                <w:rFonts w:asciiTheme="minorHAnsi" w:hAnsiTheme="minorHAnsi" w:cstheme="minorHAnsi"/>
                <w:b/>
                <w:bCs/>
                <w:color w:val="auto"/>
                <w:sz w:val="22"/>
                <w:szCs w:val="22"/>
              </w:rPr>
            </w:pPr>
          </w:p>
          <w:p w14:paraId="4DDA2411" w14:textId="77777777" w:rsidR="0076384B" w:rsidRPr="00D73A2B" w:rsidRDefault="0076384B" w:rsidP="00D73A2B">
            <w:pPr>
              <w:pStyle w:val="Default"/>
              <w:spacing w:line="276" w:lineRule="auto"/>
              <w:rPr>
                <w:rFonts w:asciiTheme="minorHAnsi" w:hAnsiTheme="minorHAnsi" w:cstheme="minorHAnsi"/>
                <w:color w:val="FF0000"/>
                <w:sz w:val="22"/>
                <w:szCs w:val="22"/>
              </w:rPr>
            </w:pPr>
            <w:r w:rsidRPr="00A06A7F">
              <w:rPr>
                <w:rFonts w:asciiTheme="minorHAnsi" w:hAnsiTheme="minorHAnsi" w:cstheme="minorHAnsi"/>
                <w:color w:val="auto"/>
                <w:sz w:val="22"/>
                <w:szCs w:val="22"/>
              </w:rPr>
              <w:t xml:space="preserve">1. </w:t>
            </w:r>
            <w:r w:rsidRPr="009662A6">
              <w:rPr>
                <w:rFonts w:asciiTheme="minorHAnsi" w:hAnsiTheme="minorHAnsi" w:cstheme="minorHAnsi"/>
                <w:color w:val="auto"/>
                <w:sz w:val="22"/>
                <w:szCs w:val="22"/>
              </w:rPr>
              <w:t>Nacimiento de la teología católica romana</w:t>
            </w:r>
          </w:p>
        </w:tc>
        <w:tc>
          <w:tcPr>
            <w:tcW w:w="2871" w:type="dxa"/>
          </w:tcPr>
          <w:p w14:paraId="44A673A5" w14:textId="77777777" w:rsidR="0076384B" w:rsidRDefault="0076384B" w:rsidP="00B7742F">
            <w:pPr>
              <w:spacing w:line="276" w:lineRule="auto"/>
              <w:rPr>
                <w:rFonts w:cstheme="minorHAnsi"/>
                <w:bCs/>
                <w:color w:val="000000" w:themeColor="text1"/>
              </w:rPr>
            </w:pPr>
            <w:r w:rsidRPr="00914F9E">
              <w:rPr>
                <w:rFonts w:cs="Arial"/>
                <w:color w:val="0070C0"/>
              </w:rPr>
              <w:t>Ruta de aprendizaje</w:t>
            </w:r>
          </w:p>
          <w:p w14:paraId="40AF681E" w14:textId="77777777" w:rsidR="0076384B" w:rsidRPr="00E11B7C" w:rsidRDefault="0076384B" w:rsidP="000172E6">
            <w:pPr>
              <w:rPr>
                <w:rFonts w:cstheme="minorHAnsi"/>
                <w:color w:val="0070C0"/>
                <w:shd w:val="clear" w:color="auto" w:fill="FFFFFF"/>
              </w:rPr>
            </w:pPr>
            <w:r w:rsidRPr="00A06A7F">
              <w:rPr>
                <w:rFonts w:cstheme="minorHAnsi"/>
                <w:bCs/>
                <w:color w:val="000000" w:themeColor="text1"/>
              </w:rPr>
              <w:t xml:space="preserve">Tamayo Acosta, Juan José. “Teología para otro mundo posible”. En </w:t>
            </w:r>
            <w:r w:rsidRPr="00A06A7F">
              <w:rPr>
                <w:rFonts w:cstheme="minorHAnsi"/>
                <w:bCs/>
                <w:i/>
                <w:color w:val="000000" w:themeColor="text1"/>
              </w:rPr>
              <w:t xml:space="preserve">Otra teología es posible. Pluralismo religioso, interculturalidad y feminismo, </w:t>
            </w:r>
            <w:r w:rsidRPr="00A06A7F">
              <w:rPr>
                <w:rFonts w:cstheme="minorHAnsi"/>
                <w:bCs/>
                <w:color w:val="000000" w:themeColor="text1"/>
              </w:rPr>
              <w:t>131-159.</w:t>
            </w:r>
            <w:r w:rsidRPr="00A06A7F">
              <w:rPr>
                <w:rFonts w:cstheme="minorHAnsi"/>
                <w:bCs/>
                <w:i/>
                <w:color w:val="000000" w:themeColor="text1"/>
              </w:rPr>
              <w:t xml:space="preserve"> </w:t>
            </w:r>
            <w:r w:rsidRPr="00A06A7F">
              <w:rPr>
                <w:rFonts w:cstheme="minorHAnsi"/>
                <w:bCs/>
                <w:color w:val="000000" w:themeColor="text1"/>
              </w:rPr>
              <w:t xml:space="preserve">Madrid: Herder, 2011. </w:t>
            </w:r>
            <w:r w:rsidRPr="00E11B7C">
              <w:rPr>
                <w:rFonts w:cstheme="minorHAnsi"/>
                <w:color w:val="0070C0"/>
                <w:shd w:val="clear" w:color="auto" w:fill="FFFFFF"/>
              </w:rPr>
              <w:t>(clásico, última edición)</w:t>
            </w:r>
          </w:p>
          <w:p w14:paraId="243A254F" w14:textId="77777777" w:rsidR="0076384B" w:rsidRPr="00A06A7F" w:rsidRDefault="0076384B" w:rsidP="003D0EDC">
            <w:pPr>
              <w:rPr>
                <w:rFonts w:cs="Arial"/>
                <w:b/>
                <w:color w:val="000000" w:themeColor="text1"/>
              </w:rPr>
            </w:pPr>
            <w:r>
              <w:rPr>
                <w:rFonts w:cs="Arial"/>
                <w:b/>
                <w:color w:val="000000" w:themeColor="text1"/>
              </w:rPr>
              <w:t>Material</w:t>
            </w:r>
            <w:r w:rsidRPr="00A06A7F">
              <w:rPr>
                <w:rFonts w:cs="Arial"/>
                <w:b/>
                <w:color w:val="000000" w:themeColor="text1"/>
              </w:rPr>
              <w:t xml:space="preserve"> complementari</w:t>
            </w:r>
            <w:r>
              <w:rPr>
                <w:rFonts w:cs="Arial"/>
                <w:b/>
                <w:color w:val="000000" w:themeColor="text1"/>
              </w:rPr>
              <w:t>o</w:t>
            </w:r>
          </w:p>
          <w:p w14:paraId="166E059A" w14:textId="77777777" w:rsidR="0076384B" w:rsidRDefault="0076384B" w:rsidP="00D25BFC">
            <w:pPr>
              <w:rPr>
                <w:rFonts w:cs="Arial"/>
                <w:b/>
                <w:bCs/>
                <w:color w:val="000000" w:themeColor="text1"/>
              </w:rPr>
            </w:pPr>
            <w:proofErr w:type="spellStart"/>
            <w:r w:rsidRPr="00A06A7F">
              <w:rPr>
                <w:rFonts w:cs="Arial"/>
                <w:bCs/>
                <w:color w:val="000000" w:themeColor="text1"/>
              </w:rPr>
              <w:t>Comblin</w:t>
            </w:r>
            <w:proofErr w:type="spellEnd"/>
            <w:r w:rsidRPr="00A06A7F">
              <w:rPr>
                <w:rFonts w:cs="Arial"/>
                <w:bCs/>
                <w:color w:val="000000" w:themeColor="text1"/>
              </w:rPr>
              <w:t xml:space="preserve">, José. “Fe y política. Problema de método teológico”. </w:t>
            </w:r>
            <w:r w:rsidRPr="00A06A7F">
              <w:rPr>
                <w:rFonts w:cs="Arial"/>
                <w:bCs/>
                <w:i/>
                <w:color w:val="000000" w:themeColor="text1"/>
              </w:rPr>
              <w:t xml:space="preserve">Revista Latinoamericana de Teología, </w:t>
            </w:r>
            <w:r w:rsidRPr="00A06A7F">
              <w:rPr>
                <w:rFonts w:cs="Arial"/>
                <w:bCs/>
                <w:color w:val="000000" w:themeColor="text1"/>
              </w:rPr>
              <w:t xml:space="preserve">n.80 (2010): pp. 195-204. </w:t>
            </w:r>
            <w:r w:rsidRPr="00A06A7F">
              <w:rPr>
                <w:rFonts w:cs="Arial"/>
                <w:b/>
                <w:bCs/>
                <w:color w:val="000000" w:themeColor="text1"/>
              </w:rPr>
              <w:t xml:space="preserve"> </w:t>
            </w:r>
          </w:p>
          <w:p w14:paraId="15D9A3AA" w14:textId="77777777" w:rsidR="0076384B" w:rsidRDefault="0076384B" w:rsidP="00D25BFC">
            <w:pPr>
              <w:rPr>
                <w:rFonts w:cs="Arial"/>
                <w:color w:val="0070C0"/>
              </w:rPr>
            </w:pPr>
            <w:r>
              <w:rPr>
                <w:rFonts w:cs="Arial"/>
                <w:color w:val="0070C0"/>
              </w:rPr>
              <w:t xml:space="preserve">Guía para la participación mediante la herramienta Big </w:t>
            </w:r>
            <w:r>
              <w:rPr>
                <w:rFonts w:cs="Arial"/>
                <w:color w:val="0070C0"/>
              </w:rPr>
              <w:lastRenderedPageBreak/>
              <w:t xml:space="preserve">Blue </w:t>
            </w:r>
            <w:proofErr w:type="spellStart"/>
            <w:r>
              <w:rPr>
                <w:rFonts w:cs="Arial"/>
                <w:color w:val="0070C0"/>
              </w:rPr>
              <w:t>Button</w:t>
            </w:r>
            <w:proofErr w:type="spellEnd"/>
            <w:r>
              <w:rPr>
                <w:rFonts w:cs="Arial"/>
                <w:color w:val="0070C0"/>
              </w:rPr>
              <w:t xml:space="preserve"> en la plataforma Moodle</w:t>
            </w:r>
          </w:p>
          <w:p w14:paraId="59686582" w14:textId="77777777" w:rsidR="0076384B" w:rsidRPr="00A06A7F" w:rsidRDefault="0076384B" w:rsidP="00D25BFC">
            <w:pPr>
              <w:rPr>
                <w:rFonts w:cs="Arial"/>
                <w:b/>
                <w:bCs/>
                <w:color w:val="000000" w:themeColor="text1"/>
              </w:rPr>
            </w:pPr>
            <w:r>
              <w:rPr>
                <w:rFonts w:cs="Arial"/>
                <w:color w:val="0070C0"/>
              </w:rPr>
              <w:t>Guía para la participación en un foro en la plataforma Moodle</w:t>
            </w:r>
            <w:r w:rsidRPr="00A06A7F">
              <w:rPr>
                <w:rFonts w:cs="Arial"/>
                <w:b/>
                <w:bCs/>
                <w:color w:val="000000" w:themeColor="text1"/>
              </w:rPr>
              <w:t xml:space="preserve"> </w:t>
            </w:r>
          </w:p>
        </w:tc>
        <w:tc>
          <w:tcPr>
            <w:tcW w:w="3061" w:type="dxa"/>
          </w:tcPr>
          <w:p w14:paraId="150B0146" w14:textId="77777777" w:rsidR="0076384B" w:rsidRPr="00A06A7F" w:rsidRDefault="0076384B" w:rsidP="0076384B">
            <w:pPr>
              <w:pStyle w:val="Prrafodelista"/>
              <w:numPr>
                <w:ilvl w:val="0"/>
                <w:numId w:val="14"/>
              </w:numPr>
              <w:ind w:left="321"/>
              <w:rPr>
                <w:rFonts w:asciiTheme="minorHAnsi" w:hAnsiTheme="minorHAnsi" w:cs="Arial"/>
                <w:color w:val="000000" w:themeColor="text1"/>
                <w:lang w:val="es-ES"/>
              </w:rPr>
            </w:pPr>
            <w:r w:rsidRPr="00A06A7F">
              <w:rPr>
                <w:rFonts w:asciiTheme="minorHAnsi" w:hAnsiTheme="minorHAnsi" w:cs="Arial"/>
                <w:color w:val="000000" w:themeColor="text1"/>
                <w:lang w:val="es-ES"/>
              </w:rPr>
              <w:lastRenderedPageBreak/>
              <w:t>Realizar la lectura asignada.</w:t>
            </w:r>
          </w:p>
          <w:p w14:paraId="623C941F" w14:textId="77777777" w:rsidR="0076384B" w:rsidRPr="00A06A7F" w:rsidRDefault="0076384B" w:rsidP="0076384B">
            <w:pPr>
              <w:pStyle w:val="Prrafodelista"/>
              <w:numPr>
                <w:ilvl w:val="0"/>
                <w:numId w:val="14"/>
              </w:numPr>
              <w:ind w:left="321"/>
              <w:rPr>
                <w:rFonts w:asciiTheme="minorHAnsi" w:hAnsiTheme="minorHAnsi" w:cs="Arial"/>
                <w:color w:val="000000" w:themeColor="text1"/>
                <w:lang w:val="es-ES"/>
              </w:rPr>
            </w:pPr>
            <w:r w:rsidRPr="00A06A7F">
              <w:rPr>
                <w:rFonts w:asciiTheme="minorHAnsi" w:hAnsiTheme="minorHAnsi" w:cs="Arial"/>
                <w:color w:val="000000" w:themeColor="text1"/>
                <w:lang w:val="es-ES"/>
              </w:rPr>
              <w:t>Elaboración de un reporte de lectura.</w:t>
            </w:r>
          </w:p>
          <w:p w14:paraId="490B6438" w14:textId="77777777" w:rsidR="0076384B" w:rsidRPr="00A06A7F" w:rsidRDefault="0076384B" w:rsidP="0076384B">
            <w:pPr>
              <w:pStyle w:val="Prrafodelista"/>
              <w:numPr>
                <w:ilvl w:val="0"/>
                <w:numId w:val="14"/>
              </w:numPr>
              <w:ind w:left="321"/>
              <w:rPr>
                <w:rFonts w:asciiTheme="minorHAnsi" w:hAnsiTheme="minorHAnsi" w:cs="Arial"/>
                <w:color w:val="000000" w:themeColor="text1"/>
                <w:lang w:val="es-ES"/>
              </w:rPr>
            </w:pPr>
            <w:r w:rsidRPr="00A06A7F">
              <w:rPr>
                <w:rFonts w:asciiTheme="minorHAnsi" w:hAnsiTheme="minorHAnsi" w:cs="Arial"/>
                <w:color w:val="000000" w:themeColor="text1"/>
                <w:lang w:val="es-ES"/>
              </w:rPr>
              <w:t>Exposición docente y debate grupal en un encuentro sincrónico</w:t>
            </w:r>
            <w:r>
              <w:rPr>
                <w:rFonts w:asciiTheme="minorHAnsi" w:hAnsiTheme="minorHAnsi" w:cs="Arial"/>
                <w:color w:val="000000" w:themeColor="text1"/>
                <w:lang w:val="es-ES"/>
              </w:rPr>
              <w:t xml:space="preserve"> virtual</w:t>
            </w:r>
            <w:r w:rsidRPr="00A06A7F">
              <w:rPr>
                <w:rFonts w:asciiTheme="minorHAnsi" w:hAnsiTheme="minorHAnsi" w:cs="Arial"/>
                <w:color w:val="000000" w:themeColor="text1"/>
                <w:lang w:val="es-ES"/>
              </w:rPr>
              <w:t>.</w:t>
            </w:r>
          </w:p>
          <w:p w14:paraId="551094F4" w14:textId="77777777" w:rsidR="0076384B" w:rsidRPr="00A06A7F" w:rsidRDefault="0076384B" w:rsidP="0076384B">
            <w:pPr>
              <w:pStyle w:val="Prrafodelista"/>
              <w:numPr>
                <w:ilvl w:val="0"/>
                <w:numId w:val="14"/>
              </w:numPr>
              <w:ind w:left="321"/>
              <w:rPr>
                <w:rFonts w:asciiTheme="minorHAnsi" w:hAnsiTheme="minorHAnsi" w:cs="Arial"/>
                <w:color w:val="000000" w:themeColor="text1"/>
                <w:lang w:val="es-ES"/>
              </w:rPr>
            </w:pPr>
            <w:r w:rsidRPr="00A06A7F">
              <w:rPr>
                <w:rFonts w:asciiTheme="minorHAnsi" w:hAnsiTheme="minorHAnsi" w:cs="Arial"/>
                <w:color w:val="000000" w:themeColor="text1"/>
                <w:lang w:val="es-ES"/>
              </w:rPr>
              <w:t xml:space="preserve">Tercera conversación sobre el trabajo final: ensayo crítico. </w:t>
            </w:r>
          </w:p>
        </w:tc>
      </w:tr>
      <w:tr w:rsidR="0076384B" w:rsidRPr="00E34496" w14:paraId="3094FE11" w14:textId="77777777" w:rsidTr="00300093">
        <w:tc>
          <w:tcPr>
            <w:tcW w:w="1271" w:type="dxa"/>
          </w:tcPr>
          <w:p w14:paraId="480254BB" w14:textId="77777777" w:rsidR="0076384B" w:rsidRPr="00E34496" w:rsidRDefault="0076384B" w:rsidP="003D0EDC">
            <w:pPr>
              <w:jc w:val="center"/>
              <w:rPr>
                <w:rFonts w:cs="Arial"/>
                <w:color w:val="000000" w:themeColor="text1"/>
              </w:rPr>
            </w:pPr>
            <w:r w:rsidRPr="00E34496">
              <w:rPr>
                <w:rFonts w:cs="Arial"/>
                <w:color w:val="000000" w:themeColor="text1"/>
              </w:rPr>
              <w:t>8</w:t>
            </w:r>
          </w:p>
        </w:tc>
        <w:tc>
          <w:tcPr>
            <w:tcW w:w="2268" w:type="dxa"/>
          </w:tcPr>
          <w:p w14:paraId="1C79662C" w14:textId="77777777" w:rsidR="0076384B" w:rsidRPr="00C90858" w:rsidRDefault="0076384B" w:rsidP="00DB31B5">
            <w:pPr>
              <w:pStyle w:val="NormalHanging"/>
              <w:spacing w:before="0"/>
              <w:ind w:left="0" w:firstLine="0"/>
              <w:jc w:val="left"/>
              <w:rPr>
                <w:rFonts w:asciiTheme="minorHAnsi" w:hAnsiTheme="minorHAnsi" w:cstheme="minorHAnsi"/>
                <w:b/>
                <w:sz w:val="22"/>
                <w:szCs w:val="22"/>
              </w:rPr>
            </w:pPr>
            <w:r w:rsidRPr="00C90858">
              <w:rPr>
                <w:rFonts w:asciiTheme="minorHAnsi" w:hAnsiTheme="minorHAnsi" w:cstheme="minorHAnsi"/>
                <w:b/>
                <w:sz w:val="22"/>
                <w:szCs w:val="22"/>
              </w:rPr>
              <w:t>Unidad IV: La teología en la tradición católica romana</w:t>
            </w:r>
          </w:p>
          <w:p w14:paraId="78517076" w14:textId="77777777" w:rsidR="0076384B" w:rsidRPr="00A06A7F" w:rsidRDefault="0076384B" w:rsidP="003D0EDC">
            <w:pPr>
              <w:pStyle w:val="NormalHanging"/>
              <w:spacing w:before="0"/>
              <w:ind w:left="0" w:firstLine="0"/>
              <w:rPr>
                <w:rFonts w:asciiTheme="minorHAnsi" w:hAnsiTheme="minorHAnsi" w:cstheme="minorHAnsi"/>
                <w:b/>
                <w:sz w:val="22"/>
                <w:szCs w:val="22"/>
              </w:rPr>
            </w:pPr>
          </w:p>
          <w:p w14:paraId="67544DD5" w14:textId="77777777" w:rsidR="0076384B" w:rsidRPr="00246D54" w:rsidRDefault="0076384B" w:rsidP="00D73A2B">
            <w:pPr>
              <w:pStyle w:val="Default"/>
              <w:spacing w:line="276" w:lineRule="auto"/>
              <w:rPr>
                <w:rFonts w:asciiTheme="minorHAnsi" w:hAnsiTheme="minorHAnsi" w:cstheme="minorHAnsi"/>
                <w:color w:val="FF0000"/>
                <w:sz w:val="22"/>
                <w:szCs w:val="22"/>
              </w:rPr>
            </w:pPr>
            <w:r w:rsidRPr="001A7BA3">
              <w:rPr>
                <w:rFonts w:asciiTheme="minorHAnsi" w:hAnsiTheme="minorHAnsi" w:cstheme="minorHAnsi"/>
                <w:color w:val="auto"/>
                <w:sz w:val="22"/>
                <w:szCs w:val="22"/>
              </w:rPr>
              <w:t>2. Algunas características de la teología católica romana</w:t>
            </w:r>
          </w:p>
        </w:tc>
        <w:tc>
          <w:tcPr>
            <w:tcW w:w="2871" w:type="dxa"/>
          </w:tcPr>
          <w:p w14:paraId="283AE508" w14:textId="77777777" w:rsidR="0076384B" w:rsidRDefault="0076384B" w:rsidP="003D0EDC">
            <w:pPr>
              <w:rPr>
                <w:rFonts w:cstheme="minorHAnsi"/>
                <w:bCs/>
                <w:color w:val="000000" w:themeColor="text1"/>
              </w:rPr>
            </w:pPr>
            <w:r w:rsidRPr="00914F9E">
              <w:rPr>
                <w:rFonts w:cs="Arial"/>
                <w:color w:val="0070C0"/>
              </w:rPr>
              <w:t>Ruta de aprendizaje</w:t>
            </w:r>
          </w:p>
          <w:p w14:paraId="70A58234" w14:textId="77777777" w:rsidR="0076384B" w:rsidRPr="00E11B7C" w:rsidRDefault="0076384B" w:rsidP="000172E6">
            <w:pPr>
              <w:rPr>
                <w:rFonts w:cstheme="minorHAnsi"/>
                <w:color w:val="0070C0"/>
                <w:shd w:val="clear" w:color="auto" w:fill="FFFFFF"/>
              </w:rPr>
            </w:pPr>
            <w:r w:rsidRPr="00A06A7F">
              <w:rPr>
                <w:rFonts w:cstheme="minorHAnsi"/>
                <w:bCs/>
                <w:color w:val="000000" w:themeColor="text1"/>
              </w:rPr>
              <w:t xml:space="preserve">Tamayo Acosta, Juan José. “Dignidad humana y liberación: perspectiva teológica y política”. En </w:t>
            </w:r>
            <w:r w:rsidRPr="00A06A7F">
              <w:rPr>
                <w:rFonts w:cstheme="minorHAnsi"/>
                <w:bCs/>
                <w:i/>
                <w:color w:val="000000" w:themeColor="text1"/>
              </w:rPr>
              <w:t xml:space="preserve">Otra teología es posible. Pluralismo religioso, interculturalidad y feminismo, </w:t>
            </w:r>
            <w:r w:rsidRPr="00A06A7F">
              <w:rPr>
                <w:rFonts w:cstheme="minorHAnsi"/>
                <w:bCs/>
                <w:color w:val="000000" w:themeColor="text1"/>
              </w:rPr>
              <w:t>361-376.</w:t>
            </w:r>
            <w:r w:rsidRPr="00A06A7F">
              <w:rPr>
                <w:rFonts w:cstheme="minorHAnsi"/>
                <w:bCs/>
                <w:i/>
                <w:color w:val="000000" w:themeColor="text1"/>
              </w:rPr>
              <w:t xml:space="preserve"> </w:t>
            </w:r>
            <w:r w:rsidRPr="00A06A7F">
              <w:rPr>
                <w:rFonts w:cstheme="minorHAnsi"/>
                <w:bCs/>
                <w:color w:val="000000" w:themeColor="text1"/>
              </w:rPr>
              <w:t>Madrid: Herder, 2011.</w:t>
            </w:r>
            <w:r>
              <w:rPr>
                <w:rFonts w:cstheme="minorHAnsi"/>
                <w:bCs/>
                <w:color w:val="000000" w:themeColor="text1"/>
              </w:rPr>
              <w:t xml:space="preserve"> </w:t>
            </w:r>
            <w:r w:rsidRPr="00E11B7C">
              <w:rPr>
                <w:rFonts w:cstheme="minorHAnsi"/>
                <w:color w:val="0070C0"/>
                <w:shd w:val="clear" w:color="auto" w:fill="FFFFFF"/>
              </w:rPr>
              <w:t>(clásico, última edición)</w:t>
            </w:r>
          </w:p>
          <w:p w14:paraId="2748CB81" w14:textId="77777777" w:rsidR="0076384B" w:rsidRPr="00A06A7F" w:rsidRDefault="0076384B" w:rsidP="003D0EDC">
            <w:pPr>
              <w:rPr>
                <w:rFonts w:cs="Arial"/>
                <w:color w:val="FF0000"/>
              </w:rPr>
            </w:pPr>
            <w:r w:rsidRPr="00914F9E">
              <w:rPr>
                <w:rFonts w:cstheme="minorHAnsi"/>
                <w:b/>
                <w:bCs/>
                <w:color w:val="0070C0"/>
              </w:rPr>
              <w:t>Material complementario</w:t>
            </w:r>
          </w:p>
          <w:p w14:paraId="44C4A5D1" w14:textId="77777777" w:rsidR="0076384B" w:rsidRPr="003641A6" w:rsidRDefault="0076384B" w:rsidP="003D0EDC">
            <w:pPr>
              <w:rPr>
                <w:rFonts w:cs="Arial"/>
                <w:color w:val="0070C0"/>
              </w:rPr>
            </w:pPr>
            <w:r>
              <w:rPr>
                <w:rFonts w:cs="Arial"/>
                <w:color w:val="0070C0"/>
              </w:rPr>
              <w:t xml:space="preserve">Guía para la participación mediante la herramienta Big Blue </w:t>
            </w:r>
            <w:proofErr w:type="spellStart"/>
            <w:r>
              <w:rPr>
                <w:rFonts w:cs="Arial"/>
                <w:color w:val="0070C0"/>
              </w:rPr>
              <w:t>Button</w:t>
            </w:r>
            <w:proofErr w:type="spellEnd"/>
            <w:r>
              <w:rPr>
                <w:rFonts w:cs="Arial"/>
                <w:color w:val="0070C0"/>
              </w:rPr>
              <w:t xml:space="preserve"> en la plataforma Moodle</w:t>
            </w:r>
          </w:p>
        </w:tc>
        <w:tc>
          <w:tcPr>
            <w:tcW w:w="3061" w:type="dxa"/>
          </w:tcPr>
          <w:p w14:paraId="471A1DBD" w14:textId="77777777" w:rsidR="0076384B" w:rsidRPr="00A06A7F" w:rsidRDefault="0076384B" w:rsidP="0076384B">
            <w:pPr>
              <w:pStyle w:val="Prrafodelista"/>
              <w:numPr>
                <w:ilvl w:val="0"/>
                <w:numId w:val="15"/>
              </w:numPr>
              <w:ind w:left="321"/>
              <w:rPr>
                <w:rFonts w:asciiTheme="minorHAnsi" w:hAnsiTheme="minorHAnsi" w:cs="Arial"/>
                <w:color w:val="000000" w:themeColor="text1"/>
              </w:rPr>
            </w:pPr>
            <w:r w:rsidRPr="00A06A7F">
              <w:rPr>
                <w:rFonts w:asciiTheme="minorHAnsi" w:hAnsiTheme="minorHAnsi" w:cs="Arial"/>
                <w:color w:val="000000" w:themeColor="text1"/>
              </w:rPr>
              <w:t>Realizar la lectura asignada.</w:t>
            </w:r>
          </w:p>
          <w:p w14:paraId="4FF3BB31" w14:textId="77777777" w:rsidR="0076384B" w:rsidRPr="00A06A7F" w:rsidRDefault="0076384B" w:rsidP="0076384B">
            <w:pPr>
              <w:pStyle w:val="Prrafodelista"/>
              <w:numPr>
                <w:ilvl w:val="0"/>
                <w:numId w:val="15"/>
              </w:numPr>
              <w:ind w:left="321"/>
              <w:rPr>
                <w:rFonts w:asciiTheme="minorHAnsi" w:hAnsiTheme="minorHAnsi" w:cs="Arial"/>
                <w:color w:val="000000" w:themeColor="text1"/>
              </w:rPr>
            </w:pPr>
            <w:r w:rsidRPr="00A06A7F">
              <w:rPr>
                <w:rFonts w:asciiTheme="minorHAnsi" w:hAnsiTheme="minorHAnsi" w:cs="Arial"/>
                <w:color w:val="000000" w:themeColor="text1"/>
              </w:rPr>
              <w:t xml:space="preserve">Elaboración de un reporte de lectura. </w:t>
            </w:r>
          </w:p>
          <w:p w14:paraId="54613758" w14:textId="77777777" w:rsidR="0076384B" w:rsidRPr="00A06A7F" w:rsidRDefault="0076384B" w:rsidP="0076384B">
            <w:pPr>
              <w:pStyle w:val="Prrafodelista"/>
              <w:numPr>
                <w:ilvl w:val="0"/>
                <w:numId w:val="15"/>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y debate grupal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 xml:space="preserve">. </w:t>
            </w:r>
          </w:p>
        </w:tc>
      </w:tr>
      <w:tr w:rsidR="0076384B" w:rsidRPr="00E34496" w14:paraId="3F55EAE4" w14:textId="77777777" w:rsidTr="00300093">
        <w:trPr>
          <w:trHeight w:val="1416"/>
        </w:trPr>
        <w:tc>
          <w:tcPr>
            <w:tcW w:w="1271" w:type="dxa"/>
          </w:tcPr>
          <w:p w14:paraId="5EE39682" w14:textId="77777777" w:rsidR="0076384B" w:rsidRPr="00E34496" w:rsidRDefault="0076384B" w:rsidP="003D0EDC">
            <w:pPr>
              <w:jc w:val="center"/>
              <w:rPr>
                <w:rFonts w:cs="Arial"/>
                <w:color w:val="000000" w:themeColor="text1"/>
              </w:rPr>
            </w:pPr>
            <w:r w:rsidRPr="00E34496">
              <w:rPr>
                <w:rFonts w:cs="Arial"/>
                <w:color w:val="000000" w:themeColor="text1"/>
              </w:rPr>
              <w:t xml:space="preserve">9 </w:t>
            </w:r>
          </w:p>
          <w:p w14:paraId="5C11EC3D" w14:textId="77777777" w:rsidR="0076384B" w:rsidRPr="00E34496" w:rsidRDefault="0076384B" w:rsidP="003D0EDC">
            <w:pPr>
              <w:jc w:val="center"/>
              <w:rPr>
                <w:rFonts w:cs="Arial"/>
                <w:color w:val="000000" w:themeColor="text1"/>
              </w:rPr>
            </w:pPr>
          </w:p>
        </w:tc>
        <w:tc>
          <w:tcPr>
            <w:tcW w:w="2268" w:type="dxa"/>
          </w:tcPr>
          <w:p w14:paraId="36A0D965" w14:textId="77777777" w:rsidR="0076384B" w:rsidRPr="00C90858" w:rsidRDefault="0076384B" w:rsidP="00A2290E">
            <w:pPr>
              <w:pStyle w:val="Default"/>
              <w:rPr>
                <w:rFonts w:asciiTheme="minorHAnsi" w:hAnsiTheme="minorHAnsi" w:cstheme="minorHAnsi"/>
                <w:b/>
                <w:bCs/>
                <w:color w:val="auto"/>
                <w:sz w:val="22"/>
                <w:szCs w:val="22"/>
              </w:rPr>
            </w:pPr>
            <w:r w:rsidRPr="00C90858">
              <w:rPr>
                <w:rFonts w:asciiTheme="minorHAnsi" w:hAnsiTheme="minorHAnsi" w:cstheme="minorHAnsi"/>
                <w:b/>
                <w:bCs/>
                <w:color w:val="auto"/>
                <w:sz w:val="22"/>
                <w:szCs w:val="22"/>
              </w:rPr>
              <w:t>Unidad V: La resistencia de los actores sociales</w:t>
            </w:r>
          </w:p>
          <w:p w14:paraId="53C0CD7C" w14:textId="77777777" w:rsidR="0076384B" w:rsidRPr="00A06A7F" w:rsidRDefault="0076384B" w:rsidP="003D0EDC">
            <w:pPr>
              <w:pStyle w:val="Default"/>
              <w:jc w:val="both"/>
              <w:rPr>
                <w:rFonts w:asciiTheme="minorHAnsi" w:hAnsiTheme="minorHAnsi" w:cstheme="minorHAnsi"/>
                <w:b/>
                <w:bCs/>
                <w:color w:val="auto"/>
                <w:sz w:val="22"/>
                <w:szCs w:val="22"/>
              </w:rPr>
            </w:pPr>
            <w:r w:rsidRPr="00A06A7F">
              <w:rPr>
                <w:rFonts w:asciiTheme="minorHAnsi" w:hAnsiTheme="minorHAnsi" w:cstheme="minorHAnsi"/>
                <w:b/>
                <w:bCs/>
                <w:color w:val="auto"/>
                <w:sz w:val="22"/>
                <w:szCs w:val="22"/>
              </w:rPr>
              <w:t xml:space="preserve"> </w:t>
            </w:r>
          </w:p>
          <w:p w14:paraId="2697E710" w14:textId="77777777" w:rsidR="0076384B" w:rsidRPr="00A06A7F" w:rsidRDefault="0076384B" w:rsidP="00E33578">
            <w:pPr>
              <w:pStyle w:val="Default"/>
              <w:rPr>
                <w:rFonts w:asciiTheme="minorHAnsi" w:hAnsiTheme="minorHAnsi" w:cstheme="minorHAnsi"/>
                <w:color w:val="auto"/>
                <w:sz w:val="22"/>
                <w:szCs w:val="22"/>
              </w:rPr>
            </w:pPr>
            <w:r w:rsidRPr="00A06A7F">
              <w:rPr>
                <w:rFonts w:asciiTheme="minorHAnsi" w:hAnsiTheme="minorHAnsi" w:cstheme="minorHAnsi"/>
                <w:color w:val="auto"/>
                <w:sz w:val="22"/>
                <w:szCs w:val="22"/>
              </w:rPr>
              <w:t xml:space="preserve">1. Género y teología: más allá del patriarcado </w:t>
            </w:r>
          </w:p>
          <w:p w14:paraId="2C882290" w14:textId="77777777" w:rsidR="0076384B" w:rsidRPr="00A06A7F" w:rsidRDefault="0076384B" w:rsidP="003D0EDC">
            <w:pPr>
              <w:pStyle w:val="NormalHanging"/>
              <w:spacing w:before="0"/>
              <w:ind w:left="0" w:firstLine="0"/>
              <w:jc w:val="left"/>
              <w:rPr>
                <w:rFonts w:asciiTheme="minorHAnsi" w:hAnsiTheme="minorHAnsi" w:cstheme="minorHAnsi"/>
                <w:sz w:val="22"/>
                <w:szCs w:val="22"/>
              </w:rPr>
            </w:pPr>
          </w:p>
        </w:tc>
        <w:tc>
          <w:tcPr>
            <w:tcW w:w="2871" w:type="dxa"/>
          </w:tcPr>
          <w:p w14:paraId="7DA2A84E" w14:textId="77777777" w:rsidR="0076384B" w:rsidRDefault="0076384B" w:rsidP="00670C4F">
            <w:pPr>
              <w:rPr>
                <w:rFonts w:cstheme="minorHAnsi"/>
              </w:rPr>
            </w:pPr>
            <w:r w:rsidRPr="00914F9E">
              <w:rPr>
                <w:rFonts w:cs="Arial"/>
                <w:color w:val="0070C0"/>
              </w:rPr>
              <w:t>Ruta de aprendizaje</w:t>
            </w:r>
          </w:p>
          <w:p w14:paraId="641FA8CD" w14:textId="77777777" w:rsidR="0076384B" w:rsidRPr="00A06A7F" w:rsidRDefault="0076384B" w:rsidP="00670C4F">
            <w:pPr>
              <w:rPr>
                <w:rFonts w:cstheme="minorHAnsi"/>
              </w:rPr>
            </w:pPr>
            <w:r w:rsidRPr="00A06A7F">
              <w:rPr>
                <w:rFonts w:cstheme="minorHAnsi"/>
              </w:rPr>
              <w:t xml:space="preserve">Althaus-Reid, Marcella. “Sobre teologías feministas y teologías indecentes: panorama de cambios y desafíos”. </w:t>
            </w:r>
            <w:r w:rsidRPr="00A06A7F">
              <w:rPr>
                <w:rFonts w:cstheme="minorHAnsi"/>
                <w:i/>
              </w:rPr>
              <w:t xml:space="preserve">Cuadernos de Teología XXII, </w:t>
            </w:r>
            <w:r w:rsidRPr="00A06A7F">
              <w:rPr>
                <w:rFonts w:cstheme="minorHAnsi"/>
              </w:rPr>
              <w:t>(2003): pp.123-133.</w:t>
            </w:r>
          </w:p>
          <w:p w14:paraId="4930560E" w14:textId="77777777" w:rsidR="0076384B" w:rsidRDefault="0076384B" w:rsidP="003D0EDC">
            <w:pPr>
              <w:rPr>
                <w:rFonts w:cstheme="minorHAnsi"/>
                <w:b/>
                <w:bCs/>
                <w:color w:val="0070C0"/>
              </w:rPr>
            </w:pPr>
            <w:r w:rsidRPr="00914F9E">
              <w:rPr>
                <w:rFonts w:cstheme="minorHAnsi"/>
                <w:b/>
                <w:bCs/>
                <w:color w:val="0070C0"/>
              </w:rPr>
              <w:t>Material complementario</w:t>
            </w:r>
          </w:p>
          <w:p w14:paraId="7B152213" w14:textId="77777777" w:rsidR="0076384B" w:rsidRDefault="0076384B" w:rsidP="003D0EDC">
            <w:pPr>
              <w:rPr>
                <w:rFonts w:cstheme="minorHAnsi"/>
                <w:color w:val="0070C0"/>
              </w:rPr>
            </w:pPr>
            <w:r>
              <w:rPr>
                <w:rFonts w:cstheme="minorHAnsi"/>
                <w:color w:val="0070C0"/>
              </w:rPr>
              <w:t>Guía para la elaboración de un mapa conceptual</w:t>
            </w:r>
          </w:p>
          <w:p w14:paraId="61EED044" w14:textId="77777777" w:rsidR="0076384B" w:rsidRDefault="0076384B" w:rsidP="003D0EDC">
            <w:pPr>
              <w:rPr>
                <w:rFonts w:cstheme="minorHAnsi"/>
                <w:color w:val="0070C0"/>
              </w:rPr>
            </w:pPr>
            <w:r>
              <w:rPr>
                <w:rFonts w:cstheme="minorHAnsi"/>
                <w:color w:val="0070C0"/>
              </w:rPr>
              <w:t>Guía para la participación en un foro en la plataforma Moodle</w:t>
            </w:r>
          </w:p>
          <w:p w14:paraId="163D441E" w14:textId="1AE5CD7E" w:rsidR="0076384B" w:rsidRPr="00A06A7F" w:rsidRDefault="0076384B" w:rsidP="00484BB1">
            <w:pPr>
              <w:rPr>
                <w:rFonts w:cs="Arial"/>
                <w:color w:val="000000" w:themeColor="text1"/>
              </w:rPr>
            </w:pPr>
            <w:r>
              <w:rPr>
                <w:rFonts w:cstheme="minorHAnsi"/>
                <w:color w:val="0070C0"/>
              </w:rPr>
              <w:t xml:space="preserve">Guía para la participación mediante la herramienta Big </w:t>
            </w:r>
            <w:r>
              <w:rPr>
                <w:rFonts w:cstheme="minorHAnsi"/>
                <w:color w:val="0070C0"/>
              </w:rPr>
              <w:lastRenderedPageBreak/>
              <w:t xml:space="preserve">Blue </w:t>
            </w:r>
            <w:proofErr w:type="spellStart"/>
            <w:r>
              <w:rPr>
                <w:rFonts w:cstheme="minorHAnsi"/>
                <w:color w:val="0070C0"/>
              </w:rPr>
              <w:t>Button</w:t>
            </w:r>
            <w:proofErr w:type="spellEnd"/>
            <w:r>
              <w:rPr>
                <w:rFonts w:cstheme="minorHAnsi"/>
                <w:color w:val="0070C0"/>
              </w:rPr>
              <w:t xml:space="preserve"> en la plataforma Moodle</w:t>
            </w:r>
          </w:p>
        </w:tc>
        <w:tc>
          <w:tcPr>
            <w:tcW w:w="3061" w:type="dxa"/>
          </w:tcPr>
          <w:p w14:paraId="476AEA32" w14:textId="77777777" w:rsidR="0076384B" w:rsidRPr="00A06A7F" w:rsidRDefault="0076384B" w:rsidP="0076384B">
            <w:pPr>
              <w:pStyle w:val="Prrafodelista"/>
              <w:numPr>
                <w:ilvl w:val="0"/>
                <w:numId w:val="16"/>
              </w:numPr>
              <w:ind w:left="321"/>
              <w:rPr>
                <w:rFonts w:asciiTheme="minorHAnsi" w:hAnsiTheme="minorHAnsi" w:cs="Arial"/>
                <w:color w:val="000000" w:themeColor="text1"/>
              </w:rPr>
            </w:pPr>
            <w:r w:rsidRPr="00A06A7F">
              <w:rPr>
                <w:rFonts w:asciiTheme="minorHAnsi" w:hAnsiTheme="minorHAnsi" w:cs="Arial"/>
                <w:color w:val="000000" w:themeColor="text1"/>
              </w:rPr>
              <w:lastRenderedPageBreak/>
              <w:t>Realizar la lectura asignada.</w:t>
            </w:r>
          </w:p>
          <w:p w14:paraId="6BA75BF3" w14:textId="77777777" w:rsidR="0076384B" w:rsidRPr="00A06A7F" w:rsidRDefault="0076384B" w:rsidP="0076384B">
            <w:pPr>
              <w:pStyle w:val="Prrafodelista"/>
              <w:numPr>
                <w:ilvl w:val="0"/>
                <w:numId w:val="16"/>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mapa conceptual.</w:t>
            </w:r>
          </w:p>
          <w:p w14:paraId="0E7F66AD" w14:textId="77777777" w:rsidR="0076384B" w:rsidRPr="00A06A7F" w:rsidRDefault="0076384B" w:rsidP="0076384B">
            <w:pPr>
              <w:pStyle w:val="Prrafodelista"/>
              <w:numPr>
                <w:ilvl w:val="0"/>
                <w:numId w:val="16"/>
              </w:numPr>
              <w:ind w:left="321"/>
              <w:rPr>
                <w:rFonts w:asciiTheme="minorHAnsi" w:hAnsiTheme="minorHAnsi" w:cs="Arial"/>
                <w:color w:val="000000" w:themeColor="text1"/>
              </w:rPr>
            </w:pPr>
            <w:r w:rsidRPr="00A06A7F">
              <w:rPr>
                <w:rFonts w:asciiTheme="minorHAnsi" w:hAnsiTheme="minorHAnsi" w:cs="Arial"/>
                <w:color w:val="000000" w:themeColor="text1"/>
              </w:rPr>
              <w:t>Compartir en grupo el mapa conceptual a través del foro.</w:t>
            </w:r>
          </w:p>
          <w:p w14:paraId="4892B5D1" w14:textId="77777777" w:rsidR="0076384B" w:rsidRPr="00EE653B" w:rsidRDefault="0076384B" w:rsidP="0076384B">
            <w:pPr>
              <w:pStyle w:val="Prrafodelista"/>
              <w:numPr>
                <w:ilvl w:val="0"/>
                <w:numId w:val="16"/>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p>
        </w:tc>
      </w:tr>
      <w:tr w:rsidR="0076384B" w:rsidRPr="00E34496" w14:paraId="1AA3033A" w14:textId="77777777" w:rsidTr="00E66264">
        <w:trPr>
          <w:trHeight w:val="694"/>
        </w:trPr>
        <w:tc>
          <w:tcPr>
            <w:tcW w:w="1271" w:type="dxa"/>
          </w:tcPr>
          <w:p w14:paraId="5E21101B" w14:textId="77777777" w:rsidR="0076384B" w:rsidRPr="00E34496" w:rsidRDefault="0076384B" w:rsidP="003D0EDC">
            <w:pPr>
              <w:jc w:val="center"/>
              <w:rPr>
                <w:rFonts w:cs="Arial"/>
                <w:color w:val="000000" w:themeColor="text1"/>
              </w:rPr>
            </w:pPr>
            <w:r w:rsidRPr="00E34496">
              <w:rPr>
                <w:rFonts w:cs="Arial"/>
                <w:color w:val="000000" w:themeColor="text1"/>
              </w:rPr>
              <w:t>10</w:t>
            </w:r>
          </w:p>
        </w:tc>
        <w:tc>
          <w:tcPr>
            <w:tcW w:w="2268" w:type="dxa"/>
          </w:tcPr>
          <w:p w14:paraId="3573CF80" w14:textId="77777777" w:rsidR="0076384B" w:rsidRPr="00C90858" w:rsidRDefault="0076384B" w:rsidP="00E33578">
            <w:pPr>
              <w:pStyle w:val="Default"/>
              <w:rPr>
                <w:rFonts w:asciiTheme="minorHAnsi" w:hAnsiTheme="minorHAnsi" w:cstheme="minorHAnsi"/>
                <w:b/>
                <w:bCs/>
                <w:color w:val="auto"/>
                <w:sz w:val="22"/>
                <w:szCs w:val="22"/>
              </w:rPr>
            </w:pPr>
            <w:r w:rsidRPr="00C90858">
              <w:rPr>
                <w:rFonts w:asciiTheme="minorHAnsi" w:hAnsiTheme="minorHAnsi" w:cstheme="minorHAnsi"/>
                <w:b/>
                <w:bCs/>
                <w:color w:val="auto"/>
                <w:sz w:val="22"/>
                <w:szCs w:val="22"/>
              </w:rPr>
              <w:t xml:space="preserve">Unidad V: La resistencia de los actores sociales </w:t>
            </w:r>
          </w:p>
          <w:p w14:paraId="36EC265C" w14:textId="77777777" w:rsidR="0076384B" w:rsidRPr="00A06A7F" w:rsidRDefault="0076384B" w:rsidP="003D0EDC">
            <w:pPr>
              <w:pStyle w:val="Default"/>
              <w:jc w:val="both"/>
              <w:rPr>
                <w:rFonts w:asciiTheme="minorHAnsi" w:hAnsiTheme="minorHAnsi" w:cstheme="minorHAnsi"/>
                <w:sz w:val="22"/>
                <w:szCs w:val="22"/>
              </w:rPr>
            </w:pPr>
          </w:p>
          <w:p w14:paraId="1C886E7E" w14:textId="77777777" w:rsidR="0076384B" w:rsidRPr="00A06A7F" w:rsidRDefault="0076384B" w:rsidP="00E33578">
            <w:pPr>
              <w:pStyle w:val="Default"/>
              <w:rPr>
                <w:rFonts w:asciiTheme="minorHAnsi" w:hAnsiTheme="minorHAnsi" w:cstheme="minorHAnsi"/>
                <w:b/>
                <w:bCs/>
                <w:color w:val="auto"/>
                <w:sz w:val="22"/>
                <w:szCs w:val="22"/>
              </w:rPr>
            </w:pPr>
            <w:r w:rsidRPr="00A06A7F">
              <w:rPr>
                <w:rFonts w:asciiTheme="minorHAnsi" w:hAnsiTheme="minorHAnsi" w:cstheme="minorHAnsi"/>
                <w:sz w:val="22"/>
                <w:szCs w:val="22"/>
              </w:rPr>
              <w:t>2. El método para la teología feminista de la liberación</w:t>
            </w:r>
          </w:p>
        </w:tc>
        <w:tc>
          <w:tcPr>
            <w:tcW w:w="2871" w:type="dxa"/>
          </w:tcPr>
          <w:p w14:paraId="39038DCC" w14:textId="77777777" w:rsidR="0076384B" w:rsidRDefault="0076384B" w:rsidP="003D0EDC">
            <w:pPr>
              <w:rPr>
                <w:rFonts w:cstheme="minorHAnsi"/>
                <w:bCs/>
                <w:color w:val="000000" w:themeColor="text1"/>
              </w:rPr>
            </w:pPr>
            <w:r w:rsidRPr="00914F9E">
              <w:rPr>
                <w:rFonts w:cs="Arial"/>
                <w:color w:val="0070C0"/>
              </w:rPr>
              <w:t>Ruta de aprendizaje</w:t>
            </w:r>
          </w:p>
          <w:p w14:paraId="01853269" w14:textId="77777777" w:rsidR="0076384B" w:rsidRPr="00E11B7C" w:rsidRDefault="0076384B" w:rsidP="000172E6">
            <w:pPr>
              <w:rPr>
                <w:rFonts w:cstheme="minorHAnsi"/>
                <w:color w:val="0070C0"/>
                <w:shd w:val="clear" w:color="auto" w:fill="FFFFFF"/>
              </w:rPr>
            </w:pPr>
            <w:proofErr w:type="spellStart"/>
            <w:r w:rsidRPr="00A06A7F">
              <w:rPr>
                <w:rFonts w:cstheme="minorHAnsi"/>
                <w:bCs/>
                <w:color w:val="000000" w:themeColor="text1"/>
              </w:rPr>
              <w:t>Gebara</w:t>
            </w:r>
            <w:proofErr w:type="spellEnd"/>
            <w:r w:rsidRPr="00A06A7F">
              <w:rPr>
                <w:rFonts w:cstheme="minorHAnsi"/>
                <w:bCs/>
                <w:color w:val="000000" w:themeColor="text1"/>
              </w:rPr>
              <w:t xml:space="preserve">, Ivone. “Dios para las mujeres”. En </w:t>
            </w:r>
            <w:r w:rsidRPr="00A06A7F">
              <w:rPr>
                <w:rFonts w:cstheme="minorHAnsi"/>
                <w:bCs/>
                <w:i/>
                <w:color w:val="000000" w:themeColor="text1"/>
              </w:rPr>
              <w:t xml:space="preserve">El rostro oculto del mal: una teología desde la experiencia de las mujeres, </w:t>
            </w:r>
            <w:r w:rsidRPr="00A06A7F">
              <w:rPr>
                <w:rFonts w:cstheme="minorHAnsi"/>
                <w:bCs/>
                <w:color w:val="000000" w:themeColor="text1"/>
              </w:rPr>
              <w:t>185-220.</w:t>
            </w:r>
            <w:r w:rsidRPr="00A06A7F">
              <w:rPr>
                <w:rFonts w:cstheme="minorHAnsi"/>
                <w:bCs/>
                <w:i/>
                <w:color w:val="000000" w:themeColor="text1"/>
              </w:rPr>
              <w:t xml:space="preserve"> </w:t>
            </w:r>
            <w:r w:rsidRPr="00A06A7F">
              <w:rPr>
                <w:rFonts w:cstheme="minorHAnsi"/>
                <w:bCs/>
                <w:color w:val="000000" w:themeColor="text1"/>
              </w:rPr>
              <w:t>Madrid: Trotta, 2002.</w:t>
            </w:r>
            <w:r>
              <w:rPr>
                <w:rFonts w:cstheme="minorHAnsi"/>
                <w:bCs/>
                <w:color w:val="000000" w:themeColor="text1"/>
              </w:rPr>
              <w:t xml:space="preserve"> </w:t>
            </w:r>
            <w:r w:rsidRPr="00E11B7C">
              <w:rPr>
                <w:rFonts w:cstheme="minorHAnsi"/>
                <w:color w:val="0070C0"/>
                <w:shd w:val="clear" w:color="auto" w:fill="FFFFFF"/>
              </w:rPr>
              <w:t>(clásico, última edición)</w:t>
            </w:r>
          </w:p>
          <w:p w14:paraId="42FBCDB0" w14:textId="77777777" w:rsidR="0076384B" w:rsidRPr="00A06A7F" w:rsidRDefault="0076384B" w:rsidP="003D0EDC">
            <w:pPr>
              <w:rPr>
                <w:rFonts w:cstheme="minorHAnsi"/>
                <w:b/>
                <w:bCs/>
                <w:color w:val="000000" w:themeColor="text1"/>
              </w:rPr>
            </w:pPr>
            <w:r w:rsidRPr="00A06A7F">
              <w:rPr>
                <w:rFonts w:cstheme="minorHAnsi"/>
                <w:b/>
                <w:bCs/>
                <w:color w:val="000000" w:themeColor="text1"/>
              </w:rPr>
              <w:t>Material complementario</w:t>
            </w:r>
          </w:p>
          <w:p w14:paraId="3BEA8519" w14:textId="77777777" w:rsidR="0076384B" w:rsidRDefault="0076384B" w:rsidP="003D0EDC">
            <w:pPr>
              <w:rPr>
                <w:rStyle w:val="Hipervnculo"/>
                <w:rFonts w:cstheme="minorHAnsi"/>
                <w:shd w:val="clear" w:color="auto" w:fill="FFFFFF"/>
              </w:rPr>
            </w:pPr>
            <w:r w:rsidRPr="00A06A7F">
              <w:rPr>
                <w:rFonts w:cstheme="minorHAnsi"/>
              </w:rPr>
              <w:t xml:space="preserve">Zamora González, María Vanessa. “La contribución de Ivone </w:t>
            </w:r>
            <w:proofErr w:type="spellStart"/>
            <w:r w:rsidRPr="00A06A7F">
              <w:rPr>
                <w:rFonts w:cstheme="minorHAnsi"/>
              </w:rPr>
              <w:t>Gebara</w:t>
            </w:r>
            <w:proofErr w:type="spellEnd"/>
            <w:r w:rsidRPr="00A06A7F">
              <w:rPr>
                <w:rFonts w:cstheme="minorHAnsi"/>
              </w:rPr>
              <w:t xml:space="preserve"> a la teología del siglo XXI en América Latina”. </w:t>
            </w:r>
            <w:r w:rsidRPr="00A06A7F">
              <w:rPr>
                <w:rFonts w:cstheme="minorHAnsi"/>
                <w:i/>
              </w:rPr>
              <w:t xml:space="preserve">Revista Espiga </w:t>
            </w:r>
            <w:r w:rsidRPr="00A06A7F">
              <w:rPr>
                <w:rFonts w:cstheme="minorHAnsi"/>
              </w:rPr>
              <w:t>13, n. 27 (2014): 1-8. Acceso el 17 de diciembre de 2020.</w:t>
            </w:r>
            <w:r w:rsidRPr="00A06A7F">
              <w:t xml:space="preserve"> </w:t>
            </w:r>
            <w:r w:rsidRPr="00A06A7F">
              <w:rPr>
                <w:rFonts w:cs="Arial"/>
                <w:shd w:val="clear" w:color="auto" w:fill="FFFFFF"/>
              </w:rPr>
              <w:t xml:space="preserve"> </w:t>
            </w:r>
            <w:hyperlink r:id="rId39" w:history="1">
              <w:r w:rsidRPr="00A06A7F">
                <w:rPr>
                  <w:rStyle w:val="Hipervnculo"/>
                  <w:rFonts w:cstheme="minorHAnsi"/>
                  <w:shd w:val="clear" w:color="auto" w:fill="FFFFFF"/>
                </w:rPr>
                <w:t>https://doi.org/10.22458/re.v13i27.497</w:t>
              </w:r>
            </w:hyperlink>
          </w:p>
          <w:p w14:paraId="2F00E487" w14:textId="77777777" w:rsidR="0076384B" w:rsidRPr="00484BB1" w:rsidRDefault="0076384B" w:rsidP="003D0EDC">
            <w:pPr>
              <w:rPr>
                <w:rStyle w:val="Hipervnculo"/>
                <w:u w:val="none"/>
                <w:shd w:val="clear" w:color="auto" w:fill="FFFFFF"/>
              </w:rPr>
            </w:pPr>
          </w:p>
          <w:p w14:paraId="504BDDB8" w14:textId="77777777" w:rsidR="0076384B" w:rsidRPr="00A06A7F" w:rsidRDefault="0076384B" w:rsidP="00E66264">
            <w:pPr>
              <w:rPr>
                <w:rFonts w:cs="Arial"/>
                <w:b/>
                <w:color w:val="000000" w:themeColor="text1"/>
              </w:rPr>
            </w:pPr>
            <w:r w:rsidRPr="00484BB1">
              <w:rPr>
                <w:rStyle w:val="Hipervnculo"/>
                <w:rFonts w:cstheme="minorHAnsi"/>
                <w:color w:val="0070C0"/>
                <w:u w:val="none"/>
                <w:shd w:val="clear" w:color="auto" w:fill="FFFFFF"/>
              </w:rPr>
              <w:t xml:space="preserve">Guía para la participación mediante la herramienta Big Blue </w:t>
            </w:r>
            <w:proofErr w:type="spellStart"/>
            <w:r w:rsidRPr="00484BB1">
              <w:rPr>
                <w:rStyle w:val="Hipervnculo"/>
                <w:rFonts w:cstheme="minorHAnsi"/>
                <w:color w:val="0070C0"/>
                <w:u w:val="none"/>
                <w:shd w:val="clear" w:color="auto" w:fill="FFFFFF"/>
              </w:rPr>
              <w:t>Button</w:t>
            </w:r>
            <w:proofErr w:type="spellEnd"/>
            <w:r w:rsidRPr="00484BB1">
              <w:rPr>
                <w:rStyle w:val="Hipervnculo"/>
                <w:rFonts w:cstheme="minorHAnsi"/>
                <w:color w:val="0070C0"/>
                <w:u w:val="none"/>
                <w:shd w:val="clear" w:color="auto" w:fill="FFFFFF"/>
              </w:rPr>
              <w:t xml:space="preserve"> en la plataforma Moodle</w:t>
            </w:r>
          </w:p>
        </w:tc>
        <w:tc>
          <w:tcPr>
            <w:tcW w:w="3061" w:type="dxa"/>
          </w:tcPr>
          <w:p w14:paraId="0985AB0C" w14:textId="77777777" w:rsidR="0076384B" w:rsidRPr="00A06A7F" w:rsidRDefault="0076384B" w:rsidP="0076384B">
            <w:pPr>
              <w:pStyle w:val="Prrafodelista"/>
              <w:numPr>
                <w:ilvl w:val="0"/>
                <w:numId w:val="17"/>
              </w:numPr>
              <w:ind w:left="321"/>
              <w:rPr>
                <w:rFonts w:asciiTheme="minorHAnsi" w:hAnsiTheme="minorHAnsi" w:cs="Arial"/>
                <w:color w:val="000000" w:themeColor="text1"/>
              </w:rPr>
            </w:pPr>
            <w:r w:rsidRPr="00A06A7F">
              <w:rPr>
                <w:rFonts w:asciiTheme="minorHAnsi" w:hAnsiTheme="minorHAnsi" w:cs="Arial"/>
                <w:color w:val="000000" w:themeColor="text1"/>
              </w:rPr>
              <w:t>Realizar la lectura asignada.</w:t>
            </w:r>
          </w:p>
          <w:p w14:paraId="67FF9E9C" w14:textId="77777777" w:rsidR="0076384B" w:rsidRPr="00A06A7F" w:rsidRDefault="0076384B" w:rsidP="0076384B">
            <w:pPr>
              <w:pStyle w:val="Prrafodelista"/>
              <w:numPr>
                <w:ilvl w:val="0"/>
                <w:numId w:val="17"/>
              </w:numPr>
              <w:ind w:left="321"/>
              <w:rPr>
                <w:rFonts w:asciiTheme="minorHAnsi" w:hAnsiTheme="minorHAnsi" w:cs="Arial"/>
                <w:color w:val="000000" w:themeColor="text1"/>
              </w:rPr>
            </w:pPr>
            <w:r w:rsidRPr="00A06A7F">
              <w:rPr>
                <w:rFonts w:asciiTheme="minorHAnsi" w:hAnsiTheme="minorHAnsi" w:cs="Arial"/>
                <w:color w:val="000000" w:themeColor="text1"/>
              </w:rPr>
              <w:t>Elaboración de un reporte de lectura.</w:t>
            </w:r>
          </w:p>
          <w:p w14:paraId="5474A9CD" w14:textId="77777777" w:rsidR="0076384B" w:rsidRPr="00A06A7F" w:rsidRDefault="0076384B" w:rsidP="0076384B">
            <w:pPr>
              <w:pStyle w:val="Prrafodelista"/>
              <w:numPr>
                <w:ilvl w:val="0"/>
                <w:numId w:val="17"/>
              </w:numPr>
              <w:ind w:left="321"/>
              <w:rPr>
                <w:rFonts w:asciiTheme="minorHAnsi" w:hAnsiTheme="minorHAnsi" w:cs="Arial"/>
                <w:color w:val="000000" w:themeColor="text1"/>
              </w:rPr>
            </w:pPr>
            <w:r w:rsidRPr="00A06A7F">
              <w:rPr>
                <w:rFonts w:asciiTheme="minorHAnsi" w:hAnsiTheme="minorHAnsi" w:cs="Arial"/>
                <w:color w:val="000000" w:themeColor="text1"/>
              </w:rPr>
              <w:t>Exposición docente y debate grupal en un encuentro sincrónico</w:t>
            </w:r>
            <w:r>
              <w:rPr>
                <w:rFonts w:asciiTheme="minorHAnsi" w:hAnsiTheme="minorHAnsi" w:cs="Arial"/>
                <w:color w:val="000000" w:themeColor="text1"/>
              </w:rPr>
              <w:t xml:space="preserve"> virtual</w:t>
            </w:r>
            <w:r w:rsidRPr="00A06A7F">
              <w:rPr>
                <w:rFonts w:asciiTheme="minorHAnsi" w:hAnsiTheme="minorHAnsi" w:cs="Arial"/>
                <w:color w:val="000000" w:themeColor="text1"/>
              </w:rPr>
              <w:t>.</w:t>
            </w:r>
          </w:p>
        </w:tc>
      </w:tr>
      <w:tr w:rsidR="0076384B" w:rsidRPr="00E34496" w14:paraId="4EC798EB" w14:textId="77777777" w:rsidTr="00300093">
        <w:tc>
          <w:tcPr>
            <w:tcW w:w="1271" w:type="dxa"/>
          </w:tcPr>
          <w:p w14:paraId="7ABF952B" w14:textId="77777777" w:rsidR="0076384B" w:rsidRPr="00E34496" w:rsidRDefault="0076384B" w:rsidP="003D0EDC">
            <w:pPr>
              <w:jc w:val="center"/>
              <w:rPr>
                <w:rFonts w:cs="Arial"/>
                <w:color w:val="000000" w:themeColor="text1"/>
              </w:rPr>
            </w:pPr>
            <w:r w:rsidRPr="00E34496">
              <w:rPr>
                <w:rFonts w:cs="Arial"/>
                <w:color w:val="000000" w:themeColor="text1"/>
              </w:rPr>
              <w:t>11</w:t>
            </w:r>
          </w:p>
          <w:p w14:paraId="22CA8F4E" w14:textId="77777777" w:rsidR="0076384B" w:rsidRPr="00E34496" w:rsidRDefault="0076384B" w:rsidP="003D0EDC">
            <w:pPr>
              <w:jc w:val="center"/>
              <w:rPr>
                <w:rFonts w:cs="Arial"/>
                <w:color w:val="000000" w:themeColor="text1"/>
              </w:rPr>
            </w:pPr>
          </w:p>
        </w:tc>
        <w:tc>
          <w:tcPr>
            <w:tcW w:w="2268" w:type="dxa"/>
          </w:tcPr>
          <w:p w14:paraId="4FE86067" w14:textId="77777777" w:rsidR="0076384B" w:rsidRPr="00C90858" w:rsidRDefault="0076384B" w:rsidP="003D0EDC">
            <w:pPr>
              <w:pStyle w:val="NormalHanging"/>
              <w:spacing w:before="0"/>
              <w:ind w:left="0" w:firstLine="0"/>
              <w:jc w:val="left"/>
              <w:rPr>
                <w:rFonts w:asciiTheme="minorHAnsi" w:hAnsiTheme="minorHAnsi" w:cstheme="minorHAnsi"/>
                <w:b/>
                <w:sz w:val="22"/>
                <w:szCs w:val="22"/>
              </w:rPr>
            </w:pPr>
            <w:r w:rsidRPr="00C90858">
              <w:rPr>
                <w:rFonts w:asciiTheme="minorHAnsi" w:hAnsiTheme="minorHAnsi" w:cstheme="minorHAnsi"/>
                <w:b/>
                <w:sz w:val="22"/>
                <w:szCs w:val="22"/>
              </w:rPr>
              <w:t>Unidad VI: Hacia una teología desde América Latina</w:t>
            </w:r>
          </w:p>
          <w:p w14:paraId="20C72AAF" w14:textId="77777777" w:rsidR="0076384B" w:rsidRPr="00430D0F" w:rsidRDefault="0076384B" w:rsidP="003D0EDC">
            <w:pPr>
              <w:pStyle w:val="NormalHanging"/>
              <w:spacing w:before="0"/>
              <w:ind w:left="0" w:firstLine="0"/>
              <w:jc w:val="left"/>
              <w:rPr>
                <w:rFonts w:asciiTheme="minorHAnsi" w:hAnsiTheme="minorHAnsi" w:cstheme="minorHAnsi"/>
                <w:b/>
                <w:sz w:val="22"/>
                <w:szCs w:val="22"/>
              </w:rPr>
            </w:pPr>
          </w:p>
          <w:p w14:paraId="13BD3832" w14:textId="77777777" w:rsidR="0076384B" w:rsidRPr="00430D0F" w:rsidRDefault="0076384B" w:rsidP="007F6461">
            <w:pPr>
              <w:pStyle w:val="NormalHanging"/>
              <w:spacing w:before="0" w:line="276" w:lineRule="auto"/>
              <w:ind w:left="0" w:firstLine="0"/>
              <w:jc w:val="left"/>
              <w:rPr>
                <w:rFonts w:asciiTheme="minorHAnsi" w:hAnsiTheme="minorHAnsi" w:cstheme="minorHAnsi"/>
                <w:sz w:val="22"/>
                <w:szCs w:val="22"/>
              </w:rPr>
            </w:pPr>
            <w:r w:rsidRPr="00430D0F">
              <w:rPr>
                <w:rFonts w:asciiTheme="minorHAnsi" w:hAnsiTheme="minorHAnsi" w:cstheme="minorHAnsi"/>
                <w:sz w:val="22"/>
                <w:szCs w:val="22"/>
              </w:rPr>
              <w:t>1. Múltiples contextos</w:t>
            </w:r>
          </w:p>
          <w:p w14:paraId="5D21879E" w14:textId="77777777" w:rsidR="0076384B" w:rsidRPr="00EA73BA" w:rsidRDefault="0076384B" w:rsidP="00706A88">
            <w:pPr>
              <w:pStyle w:val="Normalcontenido"/>
              <w:spacing w:line="276" w:lineRule="auto"/>
              <w:ind w:left="0" w:firstLine="0"/>
              <w:rPr>
                <w:rFonts w:asciiTheme="minorHAnsi" w:hAnsiTheme="minorHAnsi" w:cstheme="minorHAnsi"/>
                <w:sz w:val="22"/>
                <w:szCs w:val="22"/>
              </w:rPr>
            </w:pPr>
          </w:p>
        </w:tc>
        <w:tc>
          <w:tcPr>
            <w:tcW w:w="2871" w:type="dxa"/>
          </w:tcPr>
          <w:p w14:paraId="6A5C8DBD" w14:textId="77777777" w:rsidR="0076384B" w:rsidRDefault="0076384B" w:rsidP="00F84B3F">
            <w:pPr>
              <w:rPr>
                <w:rFonts w:cstheme="minorHAnsi"/>
                <w:bCs/>
                <w:color w:val="000000" w:themeColor="text1"/>
              </w:rPr>
            </w:pPr>
            <w:r w:rsidRPr="00914F9E">
              <w:rPr>
                <w:rFonts w:cs="Arial"/>
                <w:color w:val="0070C0"/>
              </w:rPr>
              <w:t>Ruta de aprendizaje</w:t>
            </w:r>
          </w:p>
          <w:p w14:paraId="247C9655" w14:textId="77777777" w:rsidR="0076384B" w:rsidRPr="00E11B7C" w:rsidRDefault="0076384B" w:rsidP="000172E6">
            <w:pPr>
              <w:rPr>
                <w:rFonts w:cstheme="minorHAnsi"/>
                <w:color w:val="0070C0"/>
                <w:shd w:val="clear" w:color="auto" w:fill="FFFFFF"/>
              </w:rPr>
            </w:pPr>
            <w:proofErr w:type="spellStart"/>
            <w:r w:rsidRPr="00EA73BA">
              <w:rPr>
                <w:rFonts w:cstheme="minorHAnsi"/>
                <w:bCs/>
                <w:color w:val="000000" w:themeColor="text1"/>
              </w:rPr>
              <w:t>Vigil</w:t>
            </w:r>
            <w:proofErr w:type="spellEnd"/>
            <w:r w:rsidRPr="00EA73BA">
              <w:rPr>
                <w:rFonts w:cstheme="minorHAnsi"/>
                <w:bCs/>
                <w:color w:val="000000" w:themeColor="text1"/>
              </w:rPr>
              <w:t xml:space="preserve">, José María. “El pluralismo religioso en la historia de América Latina”, “La hermenéutica de la sospecha”, “Herramientas lógicas: nombres, conceptos y clasificaciones”. En </w:t>
            </w:r>
            <w:r w:rsidRPr="00EA73BA">
              <w:rPr>
                <w:rFonts w:cstheme="minorHAnsi"/>
                <w:bCs/>
                <w:i/>
                <w:color w:val="000000" w:themeColor="text1"/>
              </w:rPr>
              <w:t xml:space="preserve">Teología del pluralismo religioso. Curso sistemático de teología popular, </w:t>
            </w:r>
            <w:r w:rsidRPr="00EA73BA">
              <w:rPr>
                <w:rFonts w:cstheme="minorHAnsi"/>
                <w:bCs/>
                <w:color w:val="000000" w:themeColor="text1"/>
              </w:rPr>
              <w:t>36-60.</w:t>
            </w:r>
            <w:r w:rsidRPr="00EA73BA">
              <w:rPr>
                <w:rFonts w:cstheme="minorHAnsi"/>
                <w:bCs/>
                <w:i/>
                <w:color w:val="000000" w:themeColor="text1"/>
              </w:rPr>
              <w:t xml:space="preserve"> </w:t>
            </w:r>
            <w:r w:rsidRPr="00EA73BA">
              <w:rPr>
                <w:rFonts w:cstheme="minorHAnsi"/>
                <w:bCs/>
                <w:color w:val="000000" w:themeColor="text1"/>
              </w:rPr>
              <w:t>Ecuador: Abya-Yala, 2005.</w:t>
            </w:r>
            <w:r>
              <w:rPr>
                <w:rFonts w:cstheme="minorHAnsi"/>
                <w:bCs/>
                <w:color w:val="000000" w:themeColor="text1"/>
              </w:rPr>
              <w:t xml:space="preserve"> </w:t>
            </w:r>
            <w:r w:rsidRPr="00E11B7C">
              <w:rPr>
                <w:rFonts w:cstheme="minorHAnsi"/>
                <w:color w:val="0070C0"/>
                <w:shd w:val="clear" w:color="auto" w:fill="FFFFFF"/>
              </w:rPr>
              <w:t>(clásico, última edición)</w:t>
            </w:r>
          </w:p>
          <w:p w14:paraId="2938DEFC" w14:textId="77777777" w:rsidR="0076384B" w:rsidRPr="00EA73BA" w:rsidRDefault="0076384B" w:rsidP="00F84B3F">
            <w:pPr>
              <w:rPr>
                <w:rFonts w:cstheme="minorHAnsi"/>
                <w:b/>
                <w:bCs/>
                <w:color w:val="000000" w:themeColor="text1"/>
              </w:rPr>
            </w:pPr>
            <w:r w:rsidRPr="00EA73BA">
              <w:rPr>
                <w:rFonts w:cstheme="minorHAnsi"/>
                <w:b/>
                <w:bCs/>
                <w:color w:val="000000" w:themeColor="text1"/>
              </w:rPr>
              <w:lastRenderedPageBreak/>
              <w:t>Material complementario</w:t>
            </w:r>
          </w:p>
          <w:p w14:paraId="771D4F64" w14:textId="77777777" w:rsidR="0076384B" w:rsidRDefault="0076384B" w:rsidP="00F84B3F">
            <w:pPr>
              <w:rPr>
                <w:rStyle w:val="Hipervnculo"/>
                <w:rFonts w:cstheme="minorHAnsi"/>
              </w:rPr>
            </w:pPr>
            <w:r w:rsidRPr="00EA73BA">
              <w:rPr>
                <w:rFonts w:cstheme="minorHAnsi"/>
              </w:rPr>
              <w:t xml:space="preserve">Cervantes-Ortiz, Leopoldo. “Génesis de la nueva teología protestante latinoamericana (1949-1970)”. </w:t>
            </w:r>
            <w:r w:rsidRPr="00EA73BA">
              <w:rPr>
                <w:rFonts w:cstheme="minorHAnsi"/>
                <w:i/>
              </w:rPr>
              <w:t>Protestantismo em Revista</w:t>
            </w:r>
            <w:r w:rsidRPr="00EA73BA">
              <w:rPr>
                <w:rFonts w:cstheme="minorHAnsi"/>
              </w:rPr>
              <w:t xml:space="preserve"> 18, (2009): 7-29. Acceso el 17 de diciembre de 2020.</w:t>
            </w:r>
            <w:r w:rsidRPr="00EA73BA">
              <w:t xml:space="preserve">  </w:t>
            </w:r>
            <w:hyperlink r:id="rId40" w:history="1">
              <w:r w:rsidRPr="00EA73BA">
                <w:rPr>
                  <w:rStyle w:val="Hipervnculo"/>
                  <w:rFonts w:cstheme="minorHAnsi"/>
                </w:rPr>
                <w:t>http://est.com.br/periodicos/index.php/nepp/article/view/2030/1943</w:t>
              </w:r>
            </w:hyperlink>
          </w:p>
          <w:p w14:paraId="3A7B9BD3" w14:textId="77777777" w:rsidR="0076384B" w:rsidRPr="00484BB1" w:rsidRDefault="0076384B" w:rsidP="00F84B3F">
            <w:pPr>
              <w:rPr>
                <w:rStyle w:val="Hipervnculo"/>
                <w:u w:val="none"/>
              </w:rPr>
            </w:pPr>
          </w:p>
          <w:p w14:paraId="3315C818" w14:textId="77777777" w:rsidR="0076384B" w:rsidRPr="00484BB1" w:rsidRDefault="0076384B" w:rsidP="006C7A86">
            <w:pPr>
              <w:rPr>
                <w:rStyle w:val="Hipervnculo"/>
                <w:rFonts w:cstheme="minorHAnsi"/>
                <w:color w:val="0070C0"/>
                <w:u w:val="none"/>
                <w:shd w:val="clear" w:color="auto" w:fill="FFFFFF"/>
              </w:rPr>
            </w:pPr>
            <w:r w:rsidRPr="00484BB1">
              <w:rPr>
                <w:rStyle w:val="Hipervnculo"/>
                <w:rFonts w:cstheme="minorHAnsi"/>
                <w:color w:val="0070C0"/>
                <w:u w:val="none"/>
                <w:shd w:val="clear" w:color="auto" w:fill="FFFFFF"/>
              </w:rPr>
              <w:t xml:space="preserve">Guía para la participación mediante la herramienta Big Blue </w:t>
            </w:r>
            <w:proofErr w:type="spellStart"/>
            <w:r w:rsidRPr="00484BB1">
              <w:rPr>
                <w:rStyle w:val="Hipervnculo"/>
                <w:rFonts w:cstheme="minorHAnsi"/>
                <w:color w:val="0070C0"/>
                <w:u w:val="none"/>
                <w:shd w:val="clear" w:color="auto" w:fill="FFFFFF"/>
              </w:rPr>
              <w:t>Button</w:t>
            </w:r>
            <w:proofErr w:type="spellEnd"/>
            <w:r w:rsidRPr="00484BB1">
              <w:rPr>
                <w:rStyle w:val="Hipervnculo"/>
                <w:rFonts w:cstheme="minorHAnsi"/>
                <w:color w:val="0070C0"/>
                <w:u w:val="none"/>
                <w:shd w:val="clear" w:color="auto" w:fill="FFFFFF"/>
              </w:rPr>
              <w:t xml:space="preserve"> en la plataforma Moodle</w:t>
            </w:r>
          </w:p>
          <w:p w14:paraId="48B112AF" w14:textId="54F15B7A" w:rsidR="0076384B" w:rsidRPr="00EA73BA" w:rsidRDefault="0076384B" w:rsidP="00484BB1">
            <w:pPr>
              <w:rPr>
                <w:rFonts w:cstheme="minorHAnsi"/>
                <w:bCs/>
                <w:color w:val="000000" w:themeColor="text1"/>
              </w:rPr>
            </w:pPr>
            <w:r w:rsidRPr="00484BB1">
              <w:rPr>
                <w:rStyle w:val="Hipervnculo"/>
                <w:rFonts w:cstheme="minorHAnsi"/>
                <w:u w:val="none"/>
              </w:rPr>
              <w:t>Guía para la participación en un foro en la plataforma Moodle</w:t>
            </w:r>
            <w:r w:rsidRPr="00EA73BA">
              <w:rPr>
                <w:rFonts w:cs="Arial"/>
                <w:b/>
                <w:bCs/>
                <w:color w:val="000000" w:themeColor="text1"/>
              </w:rPr>
              <w:t xml:space="preserve"> </w:t>
            </w:r>
          </w:p>
        </w:tc>
        <w:tc>
          <w:tcPr>
            <w:tcW w:w="3061" w:type="dxa"/>
          </w:tcPr>
          <w:p w14:paraId="4C269984" w14:textId="77777777" w:rsidR="0076384B" w:rsidRPr="00EA73BA" w:rsidRDefault="0076384B" w:rsidP="0076384B">
            <w:pPr>
              <w:pStyle w:val="Prrafodelista"/>
              <w:numPr>
                <w:ilvl w:val="0"/>
                <w:numId w:val="18"/>
              </w:numPr>
              <w:ind w:left="321"/>
              <w:rPr>
                <w:rFonts w:asciiTheme="minorHAnsi" w:hAnsiTheme="minorHAnsi" w:cs="Arial"/>
                <w:color w:val="000000" w:themeColor="text1"/>
              </w:rPr>
            </w:pPr>
            <w:r w:rsidRPr="00EA73BA">
              <w:rPr>
                <w:rFonts w:asciiTheme="minorHAnsi" w:hAnsiTheme="minorHAnsi" w:cs="Arial"/>
                <w:color w:val="000000" w:themeColor="text1"/>
              </w:rPr>
              <w:lastRenderedPageBreak/>
              <w:t>Realizar la lectura asignada.</w:t>
            </w:r>
          </w:p>
          <w:p w14:paraId="7FDC43E7" w14:textId="77777777" w:rsidR="0076384B" w:rsidRPr="00EA73BA" w:rsidRDefault="0076384B" w:rsidP="0076384B">
            <w:pPr>
              <w:pStyle w:val="Prrafodelista"/>
              <w:numPr>
                <w:ilvl w:val="0"/>
                <w:numId w:val="18"/>
              </w:numPr>
              <w:ind w:left="321"/>
              <w:rPr>
                <w:rFonts w:asciiTheme="minorHAnsi" w:hAnsiTheme="minorHAnsi" w:cs="Arial"/>
                <w:color w:val="000000" w:themeColor="text1"/>
              </w:rPr>
            </w:pPr>
            <w:r w:rsidRPr="00EA73BA">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EA73BA">
              <w:rPr>
                <w:rFonts w:asciiTheme="minorHAnsi" w:hAnsiTheme="minorHAnsi" w:cs="Arial"/>
                <w:color w:val="000000" w:themeColor="text1"/>
              </w:rPr>
              <w:t>.</w:t>
            </w:r>
          </w:p>
          <w:p w14:paraId="4025E4C9" w14:textId="77777777" w:rsidR="0076384B" w:rsidRPr="00EA73BA" w:rsidRDefault="0076384B" w:rsidP="0076384B">
            <w:pPr>
              <w:pStyle w:val="Prrafodelista"/>
              <w:numPr>
                <w:ilvl w:val="0"/>
                <w:numId w:val="18"/>
              </w:numPr>
              <w:ind w:left="321"/>
              <w:rPr>
                <w:rFonts w:asciiTheme="minorHAnsi" w:hAnsiTheme="minorHAnsi" w:cs="Arial"/>
                <w:color w:val="000000" w:themeColor="text1"/>
              </w:rPr>
            </w:pPr>
            <w:r w:rsidRPr="00EA73BA">
              <w:rPr>
                <w:rFonts w:asciiTheme="minorHAnsi" w:hAnsiTheme="minorHAnsi" w:cs="Arial"/>
                <w:color w:val="000000" w:themeColor="text1"/>
              </w:rPr>
              <w:t>Debate grupal en el foro temático grupal: Métodos y presupuestos de la teología latinoamericana</w:t>
            </w:r>
            <w:r>
              <w:rPr>
                <w:rFonts w:asciiTheme="minorHAnsi" w:hAnsiTheme="minorHAnsi" w:cs="Arial"/>
                <w:color w:val="000000" w:themeColor="text1"/>
              </w:rPr>
              <w:t xml:space="preserve"> (formativo)</w:t>
            </w:r>
            <w:r w:rsidRPr="00EA73BA">
              <w:rPr>
                <w:rFonts w:asciiTheme="minorHAnsi" w:hAnsiTheme="minorHAnsi" w:cs="Arial"/>
                <w:color w:val="000000" w:themeColor="text1"/>
              </w:rPr>
              <w:t>.</w:t>
            </w:r>
          </w:p>
          <w:p w14:paraId="08C6D435" w14:textId="77777777" w:rsidR="0076384B" w:rsidRPr="00EA73BA" w:rsidRDefault="0076384B" w:rsidP="0076384B">
            <w:pPr>
              <w:pStyle w:val="Prrafodelista"/>
              <w:numPr>
                <w:ilvl w:val="0"/>
                <w:numId w:val="18"/>
              </w:numPr>
              <w:ind w:left="321"/>
              <w:rPr>
                <w:rFonts w:asciiTheme="minorHAnsi" w:hAnsiTheme="minorHAnsi" w:cs="Arial"/>
                <w:color w:val="000000" w:themeColor="text1"/>
              </w:rPr>
            </w:pPr>
            <w:r w:rsidRPr="00EA73BA">
              <w:rPr>
                <w:rFonts w:asciiTheme="minorHAnsi" w:hAnsiTheme="minorHAnsi" w:cs="Arial"/>
                <w:color w:val="000000" w:themeColor="text1"/>
              </w:rPr>
              <w:t>Cuarta conversación sobre el trabajo final: ensayo crítico.</w:t>
            </w:r>
          </w:p>
        </w:tc>
      </w:tr>
      <w:tr w:rsidR="0076384B" w:rsidRPr="00E34496" w14:paraId="17C14BAF" w14:textId="77777777" w:rsidTr="00300093">
        <w:tc>
          <w:tcPr>
            <w:tcW w:w="1271" w:type="dxa"/>
          </w:tcPr>
          <w:p w14:paraId="5A425AE4" w14:textId="77777777" w:rsidR="0076384B" w:rsidRPr="00E34496" w:rsidRDefault="0076384B" w:rsidP="003D0EDC">
            <w:pPr>
              <w:jc w:val="center"/>
              <w:rPr>
                <w:rFonts w:cs="Arial"/>
                <w:color w:val="000000" w:themeColor="text1"/>
              </w:rPr>
            </w:pPr>
            <w:r w:rsidRPr="00E34496">
              <w:rPr>
                <w:rFonts w:cs="Arial"/>
                <w:color w:val="000000" w:themeColor="text1"/>
              </w:rPr>
              <w:t>12</w:t>
            </w:r>
          </w:p>
        </w:tc>
        <w:tc>
          <w:tcPr>
            <w:tcW w:w="2268" w:type="dxa"/>
          </w:tcPr>
          <w:p w14:paraId="3EA5CFC5" w14:textId="77777777" w:rsidR="0076384B" w:rsidRPr="00C90858" w:rsidRDefault="0076384B" w:rsidP="003D0EDC">
            <w:pPr>
              <w:pStyle w:val="NormalHanging"/>
              <w:spacing w:before="0"/>
              <w:ind w:left="0" w:firstLine="0"/>
              <w:jc w:val="left"/>
              <w:rPr>
                <w:rFonts w:asciiTheme="minorHAnsi" w:hAnsiTheme="minorHAnsi" w:cstheme="minorHAnsi"/>
                <w:b/>
                <w:sz w:val="22"/>
                <w:szCs w:val="22"/>
              </w:rPr>
            </w:pPr>
            <w:r w:rsidRPr="00C90858">
              <w:rPr>
                <w:rFonts w:asciiTheme="minorHAnsi" w:hAnsiTheme="minorHAnsi" w:cstheme="minorHAnsi"/>
                <w:b/>
                <w:sz w:val="22"/>
                <w:szCs w:val="22"/>
              </w:rPr>
              <w:t>Unidad VI: Hacia una teología desde América Latina</w:t>
            </w:r>
          </w:p>
          <w:p w14:paraId="7A208477" w14:textId="77777777" w:rsidR="0076384B" w:rsidRPr="002A277A" w:rsidRDefault="0076384B" w:rsidP="003D0EDC">
            <w:pPr>
              <w:pStyle w:val="NormalHanging"/>
              <w:spacing w:before="0"/>
              <w:ind w:left="0" w:firstLine="0"/>
              <w:jc w:val="left"/>
              <w:rPr>
                <w:rFonts w:asciiTheme="minorHAnsi" w:hAnsiTheme="minorHAnsi" w:cstheme="minorHAnsi"/>
                <w:b/>
                <w:sz w:val="22"/>
                <w:szCs w:val="22"/>
              </w:rPr>
            </w:pPr>
          </w:p>
          <w:p w14:paraId="4C86C982" w14:textId="77777777" w:rsidR="0076384B" w:rsidRPr="002A277A" w:rsidRDefault="0076384B" w:rsidP="00444B0B">
            <w:pPr>
              <w:pStyle w:val="NormalHanging"/>
              <w:spacing w:before="0" w:line="276" w:lineRule="auto"/>
              <w:jc w:val="left"/>
              <w:rPr>
                <w:rFonts w:asciiTheme="minorHAnsi" w:hAnsiTheme="minorHAnsi" w:cstheme="minorHAnsi"/>
                <w:bCs/>
                <w:sz w:val="22"/>
                <w:szCs w:val="22"/>
              </w:rPr>
            </w:pPr>
            <w:r w:rsidRPr="002A277A">
              <w:rPr>
                <w:rFonts w:asciiTheme="minorHAnsi" w:hAnsiTheme="minorHAnsi" w:cstheme="minorHAnsi"/>
                <w:bCs/>
                <w:sz w:val="22"/>
                <w:szCs w:val="22"/>
              </w:rPr>
              <w:t>2. La interculturalidad</w:t>
            </w:r>
          </w:p>
        </w:tc>
        <w:tc>
          <w:tcPr>
            <w:tcW w:w="2871" w:type="dxa"/>
          </w:tcPr>
          <w:p w14:paraId="69ED58DD" w14:textId="77777777" w:rsidR="0076384B" w:rsidRDefault="0076384B" w:rsidP="00D25BFC">
            <w:pPr>
              <w:rPr>
                <w:rFonts w:cstheme="minorHAnsi"/>
                <w:bCs/>
                <w:color w:val="000000" w:themeColor="text1"/>
              </w:rPr>
            </w:pPr>
            <w:r w:rsidRPr="00914F9E">
              <w:rPr>
                <w:rFonts w:cs="Arial"/>
                <w:color w:val="0070C0"/>
              </w:rPr>
              <w:t>Ruta de aprendizaje</w:t>
            </w:r>
          </w:p>
          <w:p w14:paraId="5FF732F8" w14:textId="77777777" w:rsidR="0076384B" w:rsidRPr="00E11B7C" w:rsidRDefault="0076384B" w:rsidP="000172E6">
            <w:pPr>
              <w:rPr>
                <w:rFonts w:cstheme="minorHAnsi"/>
                <w:color w:val="0070C0"/>
                <w:shd w:val="clear" w:color="auto" w:fill="FFFFFF"/>
              </w:rPr>
            </w:pPr>
            <w:r w:rsidRPr="00EA73BA">
              <w:rPr>
                <w:rFonts w:cstheme="minorHAnsi"/>
                <w:bCs/>
                <w:color w:val="000000" w:themeColor="text1"/>
              </w:rPr>
              <w:t xml:space="preserve">Tamayo Acosta, Juan José. “El cristianismo liberador en los procesos de colonización y descolonización de América Latina”. En </w:t>
            </w:r>
            <w:r w:rsidRPr="00EA73BA">
              <w:rPr>
                <w:rFonts w:cstheme="minorHAnsi"/>
                <w:bCs/>
                <w:i/>
                <w:color w:val="000000" w:themeColor="text1"/>
              </w:rPr>
              <w:t xml:space="preserve">Otra teología es posible. Pluralismo religioso, interculturalidad y feminismo, </w:t>
            </w:r>
            <w:r w:rsidRPr="00EA73BA">
              <w:rPr>
                <w:rFonts w:cstheme="minorHAnsi"/>
                <w:bCs/>
                <w:color w:val="000000" w:themeColor="text1"/>
              </w:rPr>
              <w:t>377-406.</w:t>
            </w:r>
            <w:r w:rsidRPr="00EA73BA">
              <w:rPr>
                <w:rFonts w:cstheme="minorHAnsi"/>
                <w:bCs/>
                <w:i/>
                <w:color w:val="000000" w:themeColor="text1"/>
              </w:rPr>
              <w:t xml:space="preserve"> </w:t>
            </w:r>
            <w:r w:rsidRPr="00EA73BA">
              <w:rPr>
                <w:rFonts w:cstheme="minorHAnsi"/>
                <w:bCs/>
                <w:color w:val="000000" w:themeColor="text1"/>
              </w:rPr>
              <w:t>Madrid: Herder, 2011.</w:t>
            </w:r>
            <w:r>
              <w:rPr>
                <w:rFonts w:cstheme="minorHAnsi"/>
                <w:bCs/>
                <w:color w:val="000000" w:themeColor="text1"/>
              </w:rPr>
              <w:t xml:space="preserve"> </w:t>
            </w:r>
            <w:r w:rsidRPr="00E11B7C">
              <w:rPr>
                <w:rFonts w:cstheme="minorHAnsi"/>
                <w:color w:val="0070C0"/>
                <w:shd w:val="clear" w:color="auto" w:fill="FFFFFF"/>
              </w:rPr>
              <w:t>(clásico, última edición)</w:t>
            </w:r>
          </w:p>
          <w:p w14:paraId="797FB587" w14:textId="77777777" w:rsidR="00484BB1" w:rsidRDefault="00484BB1" w:rsidP="00D25BFC">
            <w:pPr>
              <w:rPr>
                <w:rFonts w:cstheme="minorHAnsi"/>
                <w:b/>
                <w:bCs/>
                <w:color w:val="0070C0"/>
              </w:rPr>
            </w:pPr>
          </w:p>
          <w:p w14:paraId="3E66A43E" w14:textId="6229D28F" w:rsidR="0076384B" w:rsidRDefault="0076384B" w:rsidP="00D25BFC">
            <w:pPr>
              <w:rPr>
                <w:rFonts w:cstheme="minorHAnsi"/>
                <w:b/>
                <w:bCs/>
                <w:color w:val="0070C0"/>
              </w:rPr>
            </w:pPr>
            <w:r w:rsidRPr="00914F9E">
              <w:rPr>
                <w:rFonts w:cstheme="minorHAnsi"/>
                <w:b/>
                <w:bCs/>
                <w:color w:val="0070C0"/>
              </w:rPr>
              <w:t>Material complementario</w:t>
            </w:r>
          </w:p>
          <w:p w14:paraId="59B90108" w14:textId="77777777" w:rsidR="0076384B" w:rsidRDefault="0076384B" w:rsidP="00D25BFC">
            <w:pPr>
              <w:rPr>
                <w:rFonts w:cstheme="minorHAnsi"/>
                <w:color w:val="0070C0"/>
              </w:rPr>
            </w:pPr>
            <w:r>
              <w:rPr>
                <w:rFonts w:cstheme="minorHAnsi"/>
                <w:color w:val="0070C0"/>
              </w:rPr>
              <w:t>Guía para la participación en un glosario en la plataforma Moodle</w:t>
            </w:r>
          </w:p>
          <w:p w14:paraId="4CD04702" w14:textId="12FFF035" w:rsidR="0076384B" w:rsidRPr="00EA73BA" w:rsidRDefault="0076384B" w:rsidP="00484BB1">
            <w:pPr>
              <w:rPr>
                <w:rFonts w:cstheme="minorHAnsi"/>
                <w:bCs/>
                <w:color w:val="000000" w:themeColor="text1"/>
              </w:rPr>
            </w:pPr>
            <w:r>
              <w:rPr>
                <w:rFonts w:cstheme="minorHAnsi"/>
                <w:color w:val="0070C0"/>
              </w:rPr>
              <w:t xml:space="preserve">Guía para la participación mediante la herramienta Big </w:t>
            </w:r>
            <w:r>
              <w:rPr>
                <w:rFonts w:cstheme="minorHAnsi"/>
                <w:color w:val="0070C0"/>
              </w:rPr>
              <w:lastRenderedPageBreak/>
              <w:t xml:space="preserve">Blue </w:t>
            </w:r>
            <w:proofErr w:type="spellStart"/>
            <w:r>
              <w:rPr>
                <w:rFonts w:cstheme="minorHAnsi"/>
                <w:color w:val="0070C0"/>
              </w:rPr>
              <w:t>Button</w:t>
            </w:r>
            <w:proofErr w:type="spellEnd"/>
            <w:r>
              <w:rPr>
                <w:rFonts w:cstheme="minorHAnsi"/>
                <w:color w:val="0070C0"/>
              </w:rPr>
              <w:t xml:space="preserve"> en la plataforma Moodle</w:t>
            </w:r>
          </w:p>
        </w:tc>
        <w:tc>
          <w:tcPr>
            <w:tcW w:w="3061" w:type="dxa"/>
          </w:tcPr>
          <w:p w14:paraId="6D40F22A" w14:textId="77777777" w:rsidR="0076384B" w:rsidRPr="00EA73BA" w:rsidRDefault="0076384B" w:rsidP="0076384B">
            <w:pPr>
              <w:pStyle w:val="Prrafodelista"/>
              <w:numPr>
                <w:ilvl w:val="0"/>
                <w:numId w:val="19"/>
              </w:numPr>
              <w:ind w:left="321"/>
              <w:rPr>
                <w:rFonts w:asciiTheme="minorHAnsi" w:hAnsiTheme="minorHAnsi" w:cs="Arial"/>
                <w:color w:val="000000" w:themeColor="text1"/>
              </w:rPr>
            </w:pPr>
            <w:r w:rsidRPr="00EA73BA">
              <w:rPr>
                <w:rFonts w:asciiTheme="minorHAnsi" w:hAnsiTheme="minorHAnsi" w:cs="Arial"/>
                <w:color w:val="000000" w:themeColor="text1"/>
              </w:rPr>
              <w:lastRenderedPageBreak/>
              <w:t>Realizar la lectura asignada.</w:t>
            </w:r>
          </w:p>
          <w:p w14:paraId="6F97184F" w14:textId="77777777" w:rsidR="0076384B" w:rsidRPr="00EA73BA" w:rsidRDefault="0076384B" w:rsidP="0076384B">
            <w:pPr>
              <w:pStyle w:val="Prrafodelista"/>
              <w:numPr>
                <w:ilvl w:val="0"/>
                <w:numId w:val="19"/>
              </w:numPr>
              <w:ind w:left="321"/>
              <w:rPr>
                <w:rFonts w:asciiTheme="minorHAnsi" w:hAnsiTheme="minorHAnsi" w:cs="Arial"/>
                <w:color w:val="000000" w:themeColor="text1"/>
              </w:rPr>
            </w:pPr>
            <w:r w:rsidRPr="00EA73BA">
              <w:rPr>
                <w:rFonts w:asciiTheme="minorHAnsi" w:hAnsiTheme="minorHAnsi" w:cs="Arial"/>
                <w:color w:val="000000" w:themeColor="text1"/>
              </w:rPr>
              <w:t>Elaboración de un glosario.</w:t>
            </w:r>
          </w:p>
          <w:p w14:paraId="128C9400" w14:textId="77777777" w:rsidR="0076384B" w:rsidRPr="00EA73BA" w:rsidRDefault="0076384B" w:rsidP="0076384B">
            <w:pPr>
              <w:pStyle w:val="Prrafodelista"/>
              <w:numPr>
                <w:ilvl w:val="0"/>
                <w:numId w:val="19"/>
              </w:numPr>
              <w:ind w:left="321"/>
              <w:rPr>
                <w:rFonts w:asciiTheme="minorHAnsi" w:hAnsiTheme="minorHAnsi" w:cs="Arial"/>
                <w:color w:val="000000" w:themeColor="text1"/>
              </w:rPr>
            </w:pPr>
            <w:r w:rsidRPr="00EA73BA">
              <w:rPr>
                <w:rFonts w:asciiTheme="minorHAnsi" w:hAnsiTheme="minorHAnsi" w:cs="Arial"/>
                <w:color w:val="000000" w:themeColor="text1"/>
              </w:rPr>
              <w:t>Compartir en grupos en el glosario.</w:t>
            </w:r>
          </w:p>
          <w:p w14:paraId="36167CDF" w14:textId="77777777" w:rsidR="0076384B" w:rsidRPr="00EA73BA" w:rsidRDefault="0076384B" w:rsidP="0076384B">
            <w:pPr>
              <w:pStyle w:val="Prrafodelista"/>
              <w:numPr>
                <w:ilvl w:val="0"/>
                <w:numId w:val="19"/>
              </w:numPr>
              <w:ind w:left="321"/>
              <w:rPr>
                <w:rFonts w:asciiTheme="minorHAnsi" w:hAnsiTheme="minorHAnsi" w:cs="Arial"/>
                <w:color w:val="000000" w:themeColor="text1"/>
              </w:rPr>
            </w:pPr>
            <w:r w:rsidRPr="00EA73BA">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EA73BA">
              <w:rPr>
                <w:rFonts w:asciiTheme="minorHAnsi" w:hAnsiTheme="minorHAnsi" w:cs="Arial"/>
                <w:color w:val="000000" w:themeColor="text1"/>
              </w:rPr>
              <w:t>.</w:t>
            </w:r>
          </w:p>
        </w:tc>
      </w:tr>
      <w:tr w:rsidR="0076384B" w:rsidRPr="00E34496" w14:paraId="22A214CD" w14:textId="77777777" w:rsidTr="00300093">
        <w:tc>
          <w:tcPr>
            <w:tcW w:w="1271" w:type="dxa"/>
          </w:tcPr>
          <w:p w14:paraId="6D8135CA" w14:textId="77777777" w:rsidR="0076384B" w:rsidRPr="00E34496" w:rsidRDefault="0076384B" w:rsidP="003D0EDC">
            <w:pPr>
              <w:jc w:val="center"/>
              <w:rPr>
                <w:rFonts w:cs="Arial"/>
                <w:color w:val="000000" w:themeColor="text1"/>
              </w:rPr>
            </w:pPr>
            <w:r w:rsidRPr="00E34496">
              <w:rPr>
                <w:rFonts w:cs="Arial"/>
                <w:color w:val="000000" w:themeColor="text1"/>
              </w:rPr>
              <w:t>13</w:t>
            </w:r>
          </w:p>
        </w:tc>
        <w:tc>
          <w:tcPr>
            <w:tcW w:w="2268" w:type="dxa"/>
          </w:tcPr>
          <w:p w14:paraId="10F96F96" w14:textId="77777777" w:rsidR="0076384B" w:rsidRPr="00C90858" w:rsidRDefault="0076384B" w:rsidP="00BE6AD9">
            <w:pPr>
              <w:rPr>
                <w:rFonts w:cstheme="minorHAnsi"/>
                <w:b/>
                <w:lang w:val="es-ES"/>
              </w:rPr>
            </w:pPr>
            <w:r w:rsidRPr="00C90858">
              <w:rPr>
                <w:rFonts w:cstheme="minorHAnsi"/>
                <w:b/>
                <w:lang w:val="es-ES"/>
              </w:rPr>
              <w:t>Unidad VII: Los nuevos paradigmas teológicos y el horizonte utópico</w:t>
            </w:r>
          </w:p>
          <w:p w14:paraId="4C3A81DE" w14:textId="77777777" w:rsidR="0076384B" w:rsidRPr="00EA73BA" w:rsidRDefault="0076384B" w:rsidP="00BE6AD9">
            <w:pPr>
              <w:rPr>
                <w:rFonts w:cstheme="minorHAnsi"/>
                <w:b/>
                <w:lang w:val="es-ES"/>
              </w:rPr>
            </w:pPr>
          </w:p>
          <w:p w14:paraId="7B94FA36" w14:textId="77777777" w:rsidR="0076384B" w:rsidRDefault="0076384B" w:rsidP="00D60FB6">
            <w:pPr>
              <w:rPr>
                <w:rFonts w:cstheme="minorHAnsi"/>
                <w:lang w:val="es-ES"/>
              </w:rPr>
            </w:pPr>
            <w:r w:rsidRPr="00EA73BA">
              <w:rPr>
                <w:rFonts w:cstheme="minorHAnsi"/>
                <w:lang w:val="es-ES"/>
              </w:rPr>
              <w:t>1. La postmodernidad y los ejes epistemológicos</w:t>
            </w:r>
          </w:p>
          <w:p w14:paraId="1D4FDE48" w14:textId="77777777" w:rsidR="0076384B" w:rsidRPr="00EA73BA" w:rsidRDefault="0076384B" w:rsidP="00D60FB6">
            <w:pPr>
              <w:rPr>
                <w:rFonts w:cstheme="minorHAnsi"/>
                <w:lang w:val="es-ES"/>
              </w:rPr>
            </w:pPr>
          </w:p>
        </w:tc>
        <w:tc>
          <w:tcPr>
            <w:tcW w:w="2871" w:type="dxa"/>
          </w:tcPr>
          <w:p w14:paraId="1C0F42F4" w14:textId="77777777" w:rsidR="0076384B" w:rsidRDefault="0076384B" w:rsidP="00D60FB6">
            <w:pPr>
              <w:rPr>
                <w:rFonts w:cstheme="minorHAnsi"/>
                <w:bCs/>
                <w:color w:val="000000" w:themeColor="text1"/>
              </w:rPr>
            </w:pPr>
            <w:r w:rsidRPr="00914F9E">
              <w:rPr>
                <w:rFonts w:cs="Arial"/>
                <w:color w:val="0070C0"/>
              </w:rPr>
              <w:t>Ruta de aprendizaje</w:t>
            </w:r>
          </w:p>
          <w:p w14:paraId="10885978" w14:textId="77777777" w:rsidR="0076384B" w:rsidRDefault="0076384B" w:rsidP="00D60FB6">
            <w:pPr>
              <w:rPr>
                <w:rFonts w:cstheme="minorHAnsi"/>
                <w:bCs/>
                <w:color w:val="000000" w:themeColor="text1"/>
              </w:rPr>
            </w:pPr>
            <w:r w:rsidRPr="00EA73BA">
              <w:rPr>
                <w:rFonts w:cstheme="minorHAnsi"/>
                <w:bCs/>
                <w:color w:val="000000" w:themeColor="text1"/>
              </w:rPr>
              <w:t xml:space="preserve">Flórez I., Jaime. “La teología como logos hermenéutico del </w:t>
            </w:r>
            <w:proofErr w:type="spellStart"/>
            <w:r w:rsidRPr="00EA73BA">
              <w:rPr>
                <w:rFonts w:cstheme="minorHAnsi"/>
                <w:bCs/>
                <w:color w:val="000000" w:themeColor="text1"/>
              </w:rPr>
              <w:t>Theos</w:t>
            </w:r>
            <w:proofErr w:type="spellEnd"/>
            <w:r w:rsidRPr="00EA73BA">
              <w:rPr>
                <w:rFonts w:cstheme="minorHAnsi"/>
                <w:bCs/>
                <w:color w:val="000000" w:themeColor="text1"/>
              </w:rPr>
              <w:t xml:space="preserve">: aproximación desde su estatuto epistemológico”. </w:t>
            </w:r>
            <w:proofErr w:type="spellStart"/>
            <w:r w:rsidRPr="00EA73BA">
              <w:rPr>
                <w:rFonts w:cstheme="minorHAnsi"/>
                <w:bCs/>
                <w:i/>
                <w:color w:val="000000" w:themeColor="text1"/>
              </w:rPr>
              <w:t>Theologica</w:t>
            </w:r>
            <w:proofErr w:type="spellEnd"/>
            <w:r w:rsidRPr="00EA73BA">
              <w:rPr>
                <w:rFonts w:cstheme="minorHAnsi"/>
                <w:bCs/>
                <w:i/>
                <w:color w:val="000000" w:themeColor="text1"/>
              </w:rPr>
              <w:t xml:space="preserve"> </w:t>
            </w:r>
            <w:proofErr w:type="spellStart"/>
            <w:r w:rsidRPr="00EA73BA">
              <w:rPr>
                <w:rFonts w:cstheme="minorHAnsi"/>
                <w:bCs/>
                <w:i/>
                <w:color w:val="000000" w:themeColor="text1"/>
              </w:rPr>
              <w:t>Xaveriana</w:t>
            </w:r>
            <w:proofErr w:type="spellEnd"/>
            <w:r w:rsidRPr="00EA73BA">
              <w:rPr>
                <w:rFonts w:cstheme="minorHAnsi"/>
                <w:bCs/>
                <w:i/>
                <w:color w:val="000000" w:themeColor="text1"/>
              </w:rPr>
              <w:t xml:space="preserve"> 58, </w:t>
            </w:r>
            <w:r w:rsidRPr="00EA73BA">
              <w:rPr>
                <w:rFonts w:cstheme="minorHAnsi"/>
                <w:bCs/>
                <w:color w:val="000000" w:themeColor="text1"/>
              </w:rPr>
              <w:t>n.165 (2008): pp. 155-182.</w:t>
            </w:r>
          </w:p>
          <w:p w14:paraId="59DD075D" w14:textId="77777777" w:rsidR="0076384B" w:rsidRDefault="0076384B" w:rsidP="00D60FB6">
            <w:pPr>
              <w:rPr>
                <w:rFonts w:cstheme="minorHAnsi"/>
                <w:b/>
                <w:bCs/>
                <w:color w:val="0070C0"/>
              </w:rPr>
            </w:pPr>
            <w:r w:rsidRPr="00914F9E">
              <w:rPr>
                <w:rFonts w:cstheme="minorHAnsi"/>
                <w:b/>
                <w:bCs/>
                <w:color w:val="0070C0"/>
              </w:rPr>
              <w:t>Material complementario</w:t>
            </w:r>
          </w:p>
          <w:p w14:paraId="0F707286" w14:textId="77777777" w:rsidR="0076384B" w:rsidRPr="00611973" w:rsidRDefault="0076384B" w:rsidP="00D60FB6">
            <w:pPr>
              <w:rPr>
                <w:rFonts w:cstheme="minorHAnsi"/>
                <w:color w:val="000000" w:themeColor="text1"/>
              </w:rPr>
            </w:pPr>
            <w:r>
              <w:rPr>
                <w:rFonts w:cstheme="minorHAnsi"/>
                <w:color w:val="0070C0"/>
              </w:rPr>
              <w:t xml:space="preserve">Guía para la participación mediante la herramienta Big Blue </w:t>
            </w:r>
            <w:proofErr w:type="spellStart"/>
            <w:r>
              <w:rPr>
                <w:rFonts w:cstheme="minorHAnsi"/>
                <w:color w:val="0070C0"/>
              </w:rPr>
              <w:t>Button</w:t>
            </w:r>
            <w:proofErr w:type="spellEnd"/>
            <w:r>
              <w:rPr>
                <w:rFonts w:cstheme="minorHAnsi"/>
                <w:color w:val="0070C0"/>
              </w:rPr>
              <w:t xml:space="preserve"> en la plataforma Moodle</w:t>
            </w:r>
          </w:p>
        </w:tc>
        <w:tc>
          <w:tcPr>
            <w:tcW w:w="3061" w:type="dxa"/>
          </w:tcPr>
          <w:p w14:paraId="67E63C32" w14:textId="77777777" w:rsidR="0076384B" w:rsidRPr="00EA73BA" w:rsidRDefault="0076384B" w:rsidP="0076384B">
            <w:pPr>
              <w:pStyle w:val="Prrafodelista"/>
              <w:numPr>
                <w:ilvl w:val="0"/>
                <w:numId w:val="20"/>
              </w:numPr>
              <w:ind w:left="321"/>
              <w:rPr>
                <w:rFonts w:asciiTheme="minorHAnsi" w:hAnsiTheme="minorHAnsi" w:cs="Arial"/>
                <w:color w:val="000000" w:themeColor="text1"/>
              </w:rPr>
            </w:pPr>
            <w:r w:rsidRPr="00EA73BA">
              <w:rPr>
                <w:rFonts w:asciiTheme="minorHAnsi" w:hAnsiTheme="minorHAnsi" w:cs="Arial"/>
                <w:color w:val="000000" w:themeColor="text1"/>
              </w:rPr>
              <w:t>Realizar la lectura asignada.</w:t>
            </w:r>
          </w:p>
          <w:p w14:paraId="06A028E1" w14:textId="77777777" w:rsidR="0076384B" w:rsidRPr="00EA73BA" w:rsidRDefault="0076384B" w:rsidP="0076384B">
            <w:pPr>
              <w:pStyle w:val="Prrafodelista"/>
              <w:numPr>
                <w:ilvl w:val="0"/>
                <w:numId w:val="20"/>
              </w:numPr>
              <w:ind w:left="321"/>
              <w:rPr>
                <w:rFonts w:asciiTheme="minorHAnsi" w:hAnsiTheme="minorHAnsi" w:cs="Arial"/>
                <w:color w:val="000000" w:themeColor="text1"/>
              </w:rPr>
            </w:pPr>
            <w:r w:rsidRPr="00EA73BA">
              <w:rPr>
                <w:rFonts w:asciiTheme="minorHAnsi" w:hAnsiTheme="minorHAnsi" w:cs="Arial"/>
                <w:color w:val="000000" w:themeColor="text1"/>
              </w:rPr>
              <w:t>Elaboración de un reporte de lectura.</w:t>
            </w:r>
          </w:p>
          <w:p w14:paraId="494CE3A1" w14:textId="77777777" w:rsidR="0076384B" w:rsidRPr="00EA73BA" w:rsidRDefault="0076384B" w:rsidP="0076384B">
            <w:pPr>
              <w:pStyle w:val="Prrafodelista"/>
              <w:numPr>
                <w:ilvl w:val="0"/>
                <w:numId w:val="20"/>
              </w:numPr>
              <w:ind w:left="321"/>
              <w:rPr>
                <w:rFonts w:asciiTheme="minorHAnsi" w:hAnsiTheme="minorHAnsi" w:cs="Arial"/>
                <w:color w:val="000000" w:themeColor="text1"/>
              </w:rPr>
            </w:pPr>
            <w:r w:rsidRPr="00EA73BA">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EA73BA">
              <w:rPr>
                <w:rFonts w:asciiTheme="minorHAnsi" w:hAnsiTheme="minorHAnsi" w:cs="Arial"/>
                <w:color w:val="000000" w:themeColor="text1"/>
              </w:rPr>
              <w:t>.</w:t>
            </w:r>
          </w:p>
          <w:p w14:paraId="25C5718E" w14:textId="77777777" w:rsidR="0076384B" w:rsidRPr="00EA73BA" w:rsidRDefault="0076384B" w:rsidP="00D60FB6">
            <w:pPr>
              <w:pStyle w:val="Prrafodelista"/>
              <w:ind w:left="321"/>
              <w:rPr>
                <w:rFonts w:asciiTheme="minorHAnsi" w:hAnsiTheme="minorHAnsi" w:cs="Arial"/>
                <w:color w:val="000000" w:themeColor="text1"/>
              </w:rPr>
            </w:pPr>
          </w:p>
        </w:tc>
      </w:tr>
      <w:tr w:rsidR="0076384B" w:rsidRPr="00E34496" w14:paraId="25CFBC21" w14:textId="77777777" w:rsidTr="00300093">
        <w:tc>
          <w:tcPr>
            <w:tcW w:w="1271" w:type="dxa"/>
          </w:tcPr>
          <w:p w14:paraId="3F04C980" w14:textId="77777777" w:rsidR="0076384B" w:rsidRPr="00E34496" w:rsidRDefault="0076384B" w:rsidP="003D0EDC">
            <w:pPr>
              <w:jc w:val="center"/>
              <w:rPr>
                <w:rFonts w:cs="Arial"/>
                <w:color w:val="000000" w:themeColor="text1"/>
              </w:rPr>
            </w:pPr>
            <w:r w:rsidRPr="00E34496">
              <w:rPr>
                <w:rFonts w:cs="Arial"/>
                <w:color w:val="000000" w:themeColor="text1"/>
              </w:rPr>
              <w:t>14</w:t>
            </w:r>
          </w:p>
        </w:tc>
        <w:tc>
          <w:tcPr>
            <w:tcW w:w="2268" w:type="dxa"/>
          </w:tcPr>
          <w:p w14:paraId="35B302DA" w14:textId="77777777" w:rsidR="0076384B" w:rsidRPr="00C90858" w:rsidRDefault="0076384B" w:rsidP="003D0EDC">
            <w:pPr>
              <w:rPr>
                <w:rFonts w:cstheme="minorHAnsi"/>
                <w:b/>
                <w:lang w:val="es-ES"/>
              </w:rPr>
            </w:pPr>
            <w:r w:rsidRPr="00C90858">
              <w:rPr>
                <w:rFonts w:cstheme="minorHAnsi"/>
                <w:b/>
                <w:lang w:val="es-ES"/>
              </w:rPr>
              <w:t>Unidad VII: Los nuevos paradigmas teológicos y el horizonte utópico</w:t>
            </w:r>
          </w:p>
          <w:p w14:paraId="2F812662" w14:textId="77777777" w:rsidR="0076384B" w:rsidRPr="00EA73BA" w:rsidRDefault="0076384B" w:rsidP="003D0EDC">
            <w:pPr>
              <w:rPr>
                <w:rFonts w:cstheme="minorHAnsi"/>
                <w:b/>
                <w:lang w:val="es-ES"/>
              </w:rPr>
            </w:pPr>
          </w:p>
          <w:p w14:paraId="08AA587E" w14:textId="77777777" w:rsidR="0076384B" w:rsidRPr="00EA73BA" w:rsidRDefault="0076384B" w:rsidP="00706A88">
            <w:pPr>
              <w:rPr>
                <w:rFonts w:cstheme="minorHAnsi"/>
                <w:lang w:val="es-ES"/>
              </w:rPr>
            </w:pPr>
            <w:r w:rsidRPr="00EA73BA">
              <w:rPr>
                <w:rFonts w:cstheme="minorHAnsi"/>
                <w:lang w:val="es-ES"/>
              </w:rPr>
              <w:t>2. El horizonte utópico del discurso teológico</w:t>
            </w:r>
          </w:p>
          <w:p w14:paraId="0A1199EA" w14:textId="77777777" w:rsidR="0076384B" w:rsidRPr="00EA73BA" w:rsidRDefault="0076384B" w:rsidP="003D0EDC">
            <w:pPr>
              <w:rPr>
                <w:rFonts w:cstheme="minorHAnsi"/>
                <w:lang w:val="es-ES"/>
              </w:rPr>
            </w:pPr>
          </w:p>
        </w:tc>
        <w:tc>
          <w:tcPr>
            <w:tcW w:w="2871" w:type="dxa"/>
          </w:tcPr>
          <w:p w14:paraId="604A6C10" w14:textId="77777777" w:rsidR="0076384B" w:rsidRDefault="0076384B" w:rsidP="00D25BFC">
            <w:pPr>
              <w:spacing w:line="276" w:lineRule="auto"/>
              <w:rPr>
                <w:rFonts w:cstheme="minorHAnsi"/>
                <w:bCs/>
                <w:color w:val="000000" w:themeColor="text1"/>
              </w:rPr>
            </w:pPr>
            <w:r w:rsidRPr="00914F9E">
              <w:rPr>
                <w:rFonts w:cs="Arial"/>
                <w:color w:val="0070C0"/>
              </w:rPr>
              <w:t>Ruta de aprendizaje</w:t>
            </w:r>
          </w:p>
          <w:p w14:paraId="22209BA6" w14:textId="77777777" w:rsidR="0076384B" w:rsidRPr="00E11B7C" w:rsidRDefault="0076384B" w:rsidP="000172E6">
            <w:pPr>
              <w:rPr>
                <w:rFonts w:cstheme="minorHAnsi"/>
                <w:color w:val="0070C0"/>
                <w:shd w:val="clear" w:color="auto" w:fill="FFFFFF"/>
              </w:rPr>
            </w:pPr>
            <w:proofErr w:type="spellStart"/>
            <w:r w:rsidRPr="00EA73BA">
              <w:rPr>
                <w:rFonts w:cstheme="minorHAnsi"/>
                <w:bCs/>
                <w:color w:val="000000" w:themeColor="text1"/>
              </w:rPr>
              <w:t>Vigil</w:t>
            </w:r>
            <w:proofErr w:type="spellEnd"/>
            <w:r w:rsidRPr="00EA73BA">
              <w:rPr>
                <w:rFonts w:cstheme="minorHAnsi"/>
                <w:bCs/>
                <w:color w:val="000000" w:themeColor="text1"/>
              </w:rPr>
              <w:t xml:space="preserve">, José María. “Una nueva comprensión de la Revelación”. En </w:t>
            </w:r>
            <w:r w:rsidRPr="00EA73BA">
              <w:rPr>
                <w:rFonts w:cstheme="minorHAnsi"/>
                <w:bCs/>
                <w:i/>
                <w:color w:val="000000" w:themeColor="text1"/>
              </w:rPr>
              <w:t xml:space="preserve">Teología del pluralismo religioso. Curso sistemático de teología popular, </w:t>
            </w:r>
            <w:r w:rsidRPr="00EA73BA">
              <w:rPr>
                <w:rFonts w:cstheme="minorHAnsi"/>
                <w:bCs/>
                <w:color w:val="000000" w:themeColor="text1"/>
              </w:rPr>
              <w:t>81-91.</w:t>
            </w:r>
            <w:r w:rsidRPr="00EA73BA">
              <w:rPr>
                <w:rFonts w:cstheme="minorHAnsi"/>
                <w:bCs/>
                <w:i/>
                <w:color w:val="000000" w:themeColor="text1"/>
              </w:rPr>
              <w:t xml:space="preserve"> </w:t>
            </w:r>
            <w:r w:rsidRPr="00EA73BA">
              <w:rPr>
                <w:rFonts w:cstheme="minorHAnsi"/>
                <w:bCs/>
                <w:color w:val="000000" w:themeColor="text1"/>
              </w:rPr>
              <w:t xml:space="preserve">Ecuador: Abya-Yala, 2005. </w:t>
            </w:r>
            <w:r w:rsidRPr="00E11B7C">
              <w:rPr>
                <w:rFonts w:cstheme="minorHAnsi"/>
                <w:color w:val="0070C0"/>
                <w:shd w:val="clear" w:color="auto" w:fill="FFFFFF"/>
              </w:rPr>
              <w:t>(clásico, última edición)</w:t>
            </w:r>
          </w:p>
          <w:p w14:paraId="57FFF01E" w14:textId="77777777" w:rsidR="0076384B" w:rsidRDefault="0076384B" w:rsidP="00D25BFC">
            <w:pPr>
              <w:spacing w:line="276" w:lineRule="auto"/>
              <w:rPr>
                <w:rFonts w:cstheme="minorHAnsi"/>
                <w:b/>
                <w:bCs/>
                <w:color w:val="0070C0"/>
              </w:rPr>
            </w:pPr>
          </w:p>
          <w:p w14:paraId="10AB8D50" w14:textId="77777777" w:rsidR="0076384B" w:rsidRDefault="0076384B" w:rsidP="00D25BFC">
            <w:pPr>
              <w:spacing w:line="276" w:lineRule="auto"/>
              <w:rPr>
                <w:rFonts w:cstheme="minorHAnsi"/>
                <w:b/>
                <w:bCs/>
                <w:color w:val="0070C0"/>
              </w:rPr>
            </w:pPr>
            <w:r w:rsidRPr="00914F9E">
              <w:rPr>
                <w:rFonts w:cstheme="minorHAnsi"/>
                <w:b/>
                <w:bCs/>
                <w:color w:val="0070C0"/>
              </w:rPr>
              <w:t>Material complementario</w:t>
            </w:r>
          </w:p>
          <w:p w14:paraId="2058E472" w14:textId="77777777" w:rsidR="0076384B" w:rsidRDefault="0076384B" w:rsidP="00D25BFC">
            <w:pPr>
              <w:spacing w:line="276" w:lineRule="auto"/>
              <w:rPr>
                <w:rFonts w:cstheme="minorHAnsi"/>
                <w:color w:val="0070C0"/>
              </w:rPr>
            </w:pPr>
            <w:r>
              <w:rPr>
                <w:rFonts w:cstheme="minorHAnsi"/>
                <w:color w:val="0070C0"/>
              </w:rPr>
              <w:t xml:space="preserve">Guía para la participación mediante la herramienta Big Blue </w:t>
            </w:r>
            <w:proofErr w:type="spellStart"/>
            <w:r>
              <w:rPr>
                <w:rFonts w:cstheme="minorHAnsi"/>
                <w:color w:val="0070C0"/>
              </w:rPr>
              <w:t>Button</w:t>
            </w:r>
            <w:proofErr w:type="spellEnd"/>
            <w:r>
              <w:rPr>
                <w:rFonts w:cstheme="minorHAnsi"/>
                <w:color w:val="0070C0"/>
              </w:rPr>
              <w:t xml:space="preserve"> en la plataforma Moodle</w:t>
            </w:r>
          </w:p>
          <w:p w14:paraId="0D40AD9A" w14:textId="77777777" w:rsidR="0076384B" w:rsidRPr="003F60E9" w:rsidRDefault="0076384B" w:rsidP="00D25BFC">
            <w:pPr>
              <w:spacing w:line="276" w:lineRule="auto"/>
              <w:rPr>
                <w:rFonts w:cstheme="minorHAnsi"/>
                <w:color w:val="000000" w:themeColor="text1"/>
              </w:rPr>
            </w:pPr>
            <w:r>
              <w:rPr>
                <w:rFonts w:cstheme="minorHAnsi"/>
                <w:color w:val="0070C0"/>
              </w:rPr>
              <w:t>Guía para la participación en un foro en la plataforma Moodle</w:t>
            </w:r>
          </w:p>
        </w:tc>
        <w:tc>
          <w:tcPr>
            <w:tcW w:w="3061" w:type="dxa"/>
          </w:tcPr>
          <w:p w14:paraId="0550ABAA" w14:textId="77777777" w:rsidR="0076384B" w:rsidRPr="00EA73BA" w:rsidRDefault="0076384B" w:rsidP="0076384B">
            <w:pPr>
              <w:pStyle w:val="Prrafodelista"/>
              <w:numPr>
                <w:ilvl w:val="0"/>
                <w:numId w:val="21"/>
              </w:numPr>
              <w:ind w:left="321"/>
              <w:rPr>
                <w:rFonts w:asciiTheme="minorHAnsi" w:hAnsiTheme="minorHAnsi" w:cs="Arial"/>
                <w:color w:val="000000" w:themeColor="text1"/>
              </w:rPr>
            </w:pPr>
            <w:r w:rsidRPr="00EA73BA">
              <w:rPr>
                <w:rFonts w:asciiTheme="minorHAnsi" w:hAnsiTheme="minorHAnsi" w:cs="Arial"/>
                <w:color w:val="000000" w:themeColor="text1"/>
              </w:rPr>
              <w:t>Realizar la lectura asignada.</w:t>
            </w:r>
          </w:p>
          <w:p w14:paraId="02D64D83" w14:textId="77777777" w:rsidR="0076384B" w:rsidRPr="00EA73BA" w:rsidRDefault="0076384B" w:rsidP="0076384B">
            <w:pPr>
              <w:pStyle w:val="Prrafodelista"/>
              <w:numPr>
                <w:ilvl w:val="0"/>
                <w:numId w:val="21"/>
              </w:numPr>
              <w:ind w:left="321"/>
              <w:rPr>
                <w:rFonts w:asciiTheme="minorHAnsi" w:hAnsiTheme="minorHAnsi" w:cs="Arial"/>
                <w:color w:val="000000" w:themeColor="text1"/>
              </w:rPr>
            </w:pPr>
            <w:r w:rsidRPr="00EA73BA">
              <w:rPr>
                <w:rFonts w:asciiTheme="minorHAnsi" w:hAnsiTheme="minorHAnsi" w:cs="Arial"/>
                <w:color w:val="000000" w:themeColor="text1"/>
              </w:rPr>
              <w:t>Exposición docente en un encuentro sincrónico</w:t>
            </w:r>
            <w:r>
              <w:rPr>
                <w:rFonts w:asciiTheme="minorHAnsi" w:hAnsiTheme="minorHAnsi" w:cs="Arial"/>
                <w:color w:val="000000" w:themeColor="text1"/>
              </w:rPr>
              <w:t xml:space="preserve"> virtual</w:t>
            </w:r>
            <w:r w:rsidRPr="00EA73BA">
              <w:rPr>
                <w:rFonts w:asciiTheme="minorHAnsi" w:hAnsiTheme="minorHAnsi" w:cs="Arial"/>
                <w:color w:val="000000" w:themeColor="text1"/>
              </w:rPr>
              <w:t>.</w:t>
            </w:r>
          </w:p>
          <w:p w14:paraId="72684944" w14:textId="77777777" w:rsidR="0076384B" w:rsidRPr="009E57C5" w:rsidRDefault="0076384B" w:rsidP="0076384B">
            <w:pPr>
              <w:pStyle w:val="Prrafodelista"/>
              <w:numPr>
                <w:ilvl w:val="0"/>
                <w:numId w:val="21"/>
              </w:numPr>
              <w:ind w:left="321"/>
              <w:rPr>
                <w:rFonts w:asciiTheme="minorHAnsi" w:hAnsiTheme="minorHAnsi" w:cs="Arial"/>
                <w:color w:val="000000" w:themeColor="text1"/>
              </w:rPr>
            </w:pPr>
            <w:r w:rsidRPr="00EA73BA">
              <w:rPr>
                <w:rFonts w:asciiTheme="minorHAnsi" w:hAnsiTheme="minorHAnsi" w:cs="Arial"/>
                <w:color w:val="000000" w:themeColor="text1"/>
              </w:rPr>
              <w:t>Trabajo en grupos con base en la lectura en el foro temático grupal: Hacia una nueva teología utópica.</w:t>
            </w:r>
          </w:p>
        </w:tc>
      </w:tr>
      <w:tr w:rsidR="0076384B" w:rsidRPr="00E34496" w14:paraId="4F11CFE3" w14:textId="77777777" w:rsidTr="00300093">
        <w:trPr>
          <w:trHeight w:val="2232"/>
        </w:trPr>
        <w:tc>
          <w:tcPr>
            <w:tcW w:w="1271" w:type="dxa"/>
          </w:tcPr>
          <w:p w14:paraId="2D71034C" w14:textId="77777777" w:rsidR="0076384B" w:rsidRPr="00E34496" w:rsidRDefault="0076384B" w:rsidP="003D0EDC">
            <w:pPr>
              <w:jc w:val="center"/>
              <w:rPr>
                <w:rFonts w:cs="Arial"/>
                <w:color w:val="000000" w:themeColor="text1"/>
              </w:rPr>
            </w:pPr>
            <w:r w:rsidRPr="00E34496">
              <w:rPr>
                <w:rFonts w:cs="Arial"/>
                <w:color w:val="000000" w:themeColor="text1"/>
              </w:rPr>
              <w:lastRenderedPageBreak/>
              <w:t>15</w:t>
            </w:r>
          </w:p>
          <w:p w14:paraId="6398551F" w14:textId="77777777" w:rsidR="0076384B" w:rsidRPr="00E34496" w:rsidRDefault="0076384B" w:rsidP="003D0EDC">
            <w:pPr>
              <w:jc w:val="center"/>
              <w:rPr>
                <w:rFonts w:cs="Arial"/>
                <w:color w:val="000000" w:themeColor="text1"/>
              </w:rPr>
            </w:pPr>
          </w:p>
        </w:tc>
        <w:tc>
          <w:tcPr>
            <w:tcW w:w="2268" w:type="dxa"/>
          </w:tcPr>
          <w:p w14:paraId="66067049" w14:textId="77777777" w:rsidR="0076384B" w:rsidRPr="00C90858" w:rsidRDefault="0076384B" w:rsidP="00BE6AD9">
            <w:pPr>
              <w:rPr>
                <w:rFonts w:cstheme="minorHAnsi"/>
                <w:b/>
              </w:rPr>
            </w:pPr>
            <w:r w:rsidRPr="00C90858">
              <w:rPr>
                <w:rFonts w:cstheme="minorHAnsi"/>
                <w:b/>
                <w:lang w:val="es-ES"/>
              </w:rPr>
              <w:t xml:space="preserve">Unidad VIII: </w:t>
            </w:r>
            <w:r w:rsidRPr="00C90858">
              <w:rPr>
                <w:rFonts w:cstheme="minorHAnsi"/>
                <w:b/>
              </w:rPr>
              <w:t>La teología y el futuro de Dios</w:t>
            </w:r>
          </w:p>
          <w:p w14:paraId="200E7B2F" w14:textId="77777777" w:rsidR="0076384B" w:rsidRPr="00EA73BA" w:rsidRDefault="0076384B" w:rsidP="00706A88">
            <w:pPr>
              <w:spacing w:line="276" w:lineRule="auto"/>
              <w:rPr>
                <w:rFonts w:cstheme="minorHAnsi"/>
              </w:rPr>
            </w:pPr>
            <w:r w:rsidRPr="00EA73BA">
              <w:rPr>
                <w:rFonts w:cstheme="minorHAnsi"/>
              </w:rPr>
              <w:t>1. La realidad del discurso teológico</w:t>
            </w:r>
          </w:p>
          <w:p w14:paraId="66988BAB" w14:textId="77777777" w:rsidR="0076384B" w:rsidRPr="00EA73BA" w:rsidRDefault="0076384B" w:rsidP="00F37C3B">
            <w:pPr>
              <w:spacing w:line="276" w:lineRule="auto"/>
              <w:rPr>
                <w:rFonts w:cstheme="minorHAnsi"/>
              </w:rPr>
            </w:pPr>
            <w:r w:rsidRPr="00EA73BA">
              <w:rPr>
                <w:rFonts w:cstheme="minorHAnsi"/>
              </w:rPr>
              <w:t>2. La sistematización del conocimiento adquirido</w:t>
            </w:r>
          </w:p>
        </w:tc>
        <w:tc>
          <w:tcPr>
            <w:tcW w:w="2871" w:type="dxa"/>
          </w:tcPr>
          <w:p w14:paraId="053317E9" w14:textId="77777777" w:rsidR="0076384B" w:rsidRDefault="0076384B" w:rsidP="003D0EDC">
            <w:pPr>
              <w:rPr>
                <w:rFonts w:cs="Arial"/>
                <w:color w:val="0070C0"/>
              </w:rPr>
            </w:pPr>
            <w:r w:rsidRPr="00914F9E">
              <w:rPr>
                <w:rFonts w:cs="Arial"/>
                <w:color w:val="0070C0"/>
              </w:rPr>
              <w:t>Ruta de aprendizaje</w:t>
            </w:r>
          </w:p>
          <w:p w14:paraId="01CA78DF" w14:textId="77777777" w:rsidR="0076384B" w:rsidRDefault="0076384B" w:rsidP="003D0EDC">
            <w:pPr>
              <w:rPr>
                <w:rFonts w:cstheme="minorHAnsi"/>
                <w:b/>
                <w:bCs/>
                <w:color w:val="0070C0"/>
              </w:rPr>
            </w:pPr>
            <w:r w:rsidRPr="00914F9E">
              <w:rPr>
                <w:rFonts w:cstheme="minorHAnsi"/>
                <w:b/>
                <w:bCs/>
                <w:color w:val="0070C0"/>
              </w:rPr>
              <w:t>Material complementario</w:t>
            </w:r>
          </w:p>
          <w:p w14:paraId="3C57FCEF" w14:textId="77777777" w:rsidR="0076384B" w:rsidRPr="005940BA" w:rsidRDefault="0076384B" w:rsidP="003D0EDC">
            <w:pPr>
              <w:rPr>
                <w:rFonts w:cs="Arial"/>
                <w:color w:val="000000" w:themeColor="text1"/>
              </w:rPr>
            </w:pPr>
            <w:r>
              <w:rPr>
                <w:rFonts w:cstheme="minorHAnsi"/>
                <w:color w:val="0070C0"/>
              </w:rPr>
              <w:t>Guía para la participación en un foro en la plataforma Moodle</w:t>
            </w:r>
          </w:p>
        </w:tc>
        <w:tc>
          <w:tcPr>
            <w:tcW w:w="3061" w:type="dxa"/>
          </w:tcPr>
          <w:p w14:paraId="168F201D" w14:textId="77777777" w:rsidR="0076384B" w:rsidRPr="00EA73BA" w:rsidRDefault="0076384B" w:rsidP="0076384B">
            <w:pPr>
              <w:pStyle w:val="Prrafodelista"/>
              <w:numPr>
                <w:ilvl w:val="0"/>
                <w:numId w:val="22"/>
              </w:numPr>
              <w:ind w:left="321"/>
              <w:rPr>
                <w:rFonts w:asciiTheme="minorHAnsi" w:hAnsiTheme="minorHAnsi" w:cs="Arial"/>
                <w:color w:val="000000" w:themeColor="text1"/>
              </w:rPr>
            </w:pPr>
            <w:r w:rsidRPr="00EA73BA">
              <w:rPr>
                <w:rFonts w:asciiTheme="minorHAnsi" w:hAnsiTheme="minorHAnsi" w:cs="Arial"/>
                <w:color w:val="000000" w:themeColor="text1"/>
              </w:rPr>
              <w:t>Entrega del ensayo crítico final.</w:t>
            </w:r>
          </w:p>
          <w:p w14:paraId="0BCFB05C" w14:textId="77777777" w:rsidR="0076384B" w:rsidRPr="00EA73BA" w:rsidRDefault="0076384B" w:rsidP="0076384B">
            <w:pPr>
              <w:pStyle w:val="Prrafodelista"/>
              <w:numPr>
                <w:ilvl w:val="0"/>
                <w:numId w:val="22"/>
              </w:numPr>
              <w:ind w:left="321"/>
              <w:rPr>
                <w:rFonts w:asciiTheme="minorHAnsi" w:hAnsiTheme="minorHAnsi" w:cs="Arial"/>
                <w:color w:val="000000" w:themeColor="text1"/>
              </w:rPr>
            </w:pPr>
            <w:r w:rsidRPr="00EA73BA">
              <w:rPr>
                <w:rFonts w:asciiTheme="minorHAnsi" w:hAnsiTheme="minorHAnsi" w:cs="Arial"/>
                <w:color w:val="000000" w:themeColor="text1"/>
              </w:rPr>
              <w:t>Foro para la presentación de las principales ideas del trabajo final.</w:t>
            </w:r>
          </w:p>
          <w:p w14:paraId="39AD7943" w14:textId="77777777" w:rsidR="0076384B" w:rsidRPr="00EA73BA" w:rsidRDefault="0076384B" w:rsidP="0076384B">
            <w:pPr>
              <w:pStyle w:val="Prrafodelista"/>
              <w:numPr>
                <w:ilvl w:val="0"/>
                <w:numId w:val="22"/>
              </w:numPr>
              <w:ind w:left="321"/>
              <w:rPr>
                <w:rFonts w:asciiTheme="minorHAnsi" w:hAnsiTheme="minorHAnsi" w:cs="Arial"/>
                <w:color w:val="000000" w:themeColor="text1"/>
              </w:rPr>
            </w:pPr>
            <w:r w:rsidRPr="00EA73BA">
              <w:rPr>
                <w:rFonts w:asciiTheme="minorHAnsi" w:hAnsiTheme="minorHAnsi" w:cs="Arial"/>
                <w:color w:val="000000" w:themeColor="text1"/>
              </w:rPr>
              <w:t>Retroalimentación del/la docente a cada estudiante del ensayo crítico a través del foro.</w:t>
            </w:r>
          </w:p>
        </w:tc>
      </w:tr>
    </w:tbl>
    <w:p w14:paraId="79611B6A" w14:textId="77777777" w:rsidR="0076384B" w:rsidRDefault="0076384B" w:rsidP="003E6FA5">
      <w:pPr>
        <w:jc w:val="both"/>
        <w:rPr>
          <w:rFonts w:cstheme="minorHAnsi"/>
          <w:b/>
          <w:bCs/>
          <w:color w:val="000000" w:themeColor="text1"/>
        </w:rPr>
      </w:pPr>
    </w:p>
    <w:p w14:paraId="7D273B5F" w14:textId="77777777" w:rsidR="0076384B" w:rsidRDefault="0076384B" w:rsidP="003E6FA5">
      <w:pPr>
        <w:jc w:val="both"/>
        <w:rPr>
          <w:rFonts w:cstheme="minorHAnsi"/>
          <w:b/>
          <w:bCs/>
          <w:color w:val="000000" w:themeColor="text1"/>
        </w:rPr>
      </w:pPr>
      <w:r>
        <w:rPr>
          <w:rFonts w:cstheme="minorHAnsi"/>
          <w:b/>
          <w:bCs/>
          <w:color w:val="000000" w:themeColor="text1"/>
        </w:rPr>
        <w:t>IX. Distribución de tiempo semanal</w:t>
      </w:r>
    </w:p>
    <w:p w14:paraId="651D94B6" w14:textId="77777777" w:rsidR="0076384B" w:rsidRDefault="0076384B" w:rsidP="00152C61">
      <w:pPr>
        <w:jc w:val="both"/>
        <w:rPr>
          <w:rFonts w:cstheme="minorHAnsi"/>
          <w:bCs/>
          <w:color w:val="000000" w:themeColor="text1"/>
        </w:rPr>
      </w:pPr>
      <w:r w:rsidRPr="00672BFF">
        <w:rPr>
          <w:rFonts w:cstheme="minorHAnsi"/>
          <w:bCs/>
          <w:color w:val="000000" w:themeColor="text1"/>
        </w:rPr>
        <w:t>Al ser este un curso im</w:t>
      </w:r>
      <w:r>
        <w:rPr>
          <w:rFonts w:cstheme="minorHAnsi"/>
          <w:bCs/>
          <w:color w:val="000000" w:themeColor="text1"/>
        </w:rPr>
        <w:t>partido en la modalidad virtual</w:t>
      </w:r>
      <w:r w:rsidRPr="00672BFF">
        <w:rPr>
          <w:rFonts w:cstheme="minorHAnsi"/>
          <w:bCs/>
          <w:color w:val="000000" w:themeColor="text1"/>
        </w:rPr>
        <w:t xml:space="preserve"> no se requiere la asistencia a clases presenciales.  </w:t>
      </w:r>
      <w:r>
        <w:rPr>
          <w:rFonts w:cstheme="minorHAnsi"/>
          <w:bCs/>
          <w:color w:val="000000" w:themeColor="text1"/>
        </w:rPr>
        <w:t>Por ello, cada semana se asignan actividades que los y las estudiantes deben realizar para promover el diálogo con los contenidos y la asimilación de los temas a través de lecturas críticas, análisis, tareas, reportes, discusiones en foros o trabajos colaborativos.  Debe considerarse que, al tener este curso asignados 4 créditos, se debe invertir 12 horas de trabajo por semana. La distribución de tiempos es la siguiente:</w:t>
      </w:r>
    </w:p>
    <w:p w14:paraId="3ADEE4DB" w14:textId="77777777" w:rsidR="0076384B" w:rsidRDefault="0076384B" w:rsidP="00152C61">
      <w:pPr>
        <w:jc w:val="both"/>
        <w:rPr>
          <w:rFonts w:cstheme="minorHAnsi"/>
          <w:bCs/>
          <w:color w:val="000000" w:themeColor="text1"/>
        </w:rPr>
      </w:pPr>
    </w:p>
    <w:tbl>
      <w:tblPr>
        <w:tblStyle w:val="Tablaconcuadrcula"/>
        <w:tblW w:w="8784" w:type="dxa"/>
        <w:tblLook w:val="04A0" w:firstRow="1" w:lastRow="0" w:firstColumn="1" w:lastColumn="0" w:noHBand="0" w:noVBand="1"/>
      </w:tblPr>
      <w:tblGrid>
        <w:gridCol w:w="1838"/>
        <w:gridCol w:w="1418"/>
        <w:gridCol w:w="5528"/>
      </w:tblGrid>
      <w:tr w:rsidR="0076384B" w:rsidRPr="00262D1E" w14:paraId="176E0DB3" w14:textId="77777777" w:rsidTr="009D3F3A">
        <w:tc>
          <w:tcPr>
            <w:tcW w:w="1838" w:type="dxa"/>
            <w:vAlign w:val="center"/>
          </w:tcPr>
          <w:p w14:paraId="13FE7E20" w14:textId="77777777" w:rsidR="0076384B" w:rsidRDefault="0076384B" w:rsidP="009D3F3A">
            <w:pPr>
              <w:jc w:val="center"/>
              <w:rPr>
                <w:rFonts w:cstheme="minorHAnsi"/>
                <w:b/>
                <w:bCs/>
                <w:color w:val="000000" w:themeColor="text1"/>
              </w:rPr>
            </w:pPr>
            <w:r>
              <w:rPr>
                <w:rFonts w:cstheme="minorHAnsi"/>
                <w:b/>
                <w:bCs/>
                <w:color w:val="000000" w:themeColor="text1"/>
              </w:rPr>
              <w:t>Tipo de horas</w:t>
            </w:r>
          </w:p>
          <w:p w14:paraId="25395FED" w14:textId="77777777" w:rsidR="0076384B" w:rsidRPr="00262D1E" w:rsidRDefault="0076384B" w:rsidP="009D3F3A">
            <w:pPr>
              <w:jc w:val="center"/>
              <w:rPr>
                <w:rFonts w:cstheme="minorHAnsi"/>
                <w:b/>
                <w:bCs/>
                <w:color w:val="000000" w:themeColor="text1"/>
              </w:rPr>
            </w:pPr>
            <w:r>
              <w:rPr>
                <w:rFonts w:cstheme="minorHAnsi"/>
                <w:b/>
                <w:bCs/>
                <w:color w:val="000000" w:themeColor="text1"/>
              </w:rPr>
              <w:t>(categoría)</w:t>
            </w:r>
          </w:p>
        </w:tc>
        <w:tc>
          <w:tcPr>
            <w:tcW w:w="1418" w:type="dxa"/>
            <w:vAlign w:val="center"/>
          </w:tcPr>
          <w:p w14:paraId="2521D9D2" w14:textId="77777777" w:rsidR="0076384B" w:rsidRPr="00262D1E" w:rsidRDefault="0076384B" w:rsidP="009D3F3A">
            <w:pPr>
              <w:jc w:val="center"/>
              <w:rPr>
                <w:rFonts w:cstheme="minorHAnsi"/>
                <w:b/>
                <w:bCs/>
                <w:color w:val="000000" w:themeColor="text1"/>
              </w:rPr>
            </w:pPr>
            <w:r w:rsidRPr="00262D1E">
              <w:rPr>
                <w:rFonts w:cstheme="minorHAnsi"/>
                <w:b/>
                <w:bCs/>
                <w:color w:val="000000" w:themeColor="text1"/>
              </w:rPr>
              <w:t>Horas por semana</w:t>
            </w:r>
          </w:p>
        </w:tc>
        <w:tc>
          <w:tcPr>
            <w:tcW w:w="5528" w:type="dxa"/>
            <w:vAlign w:val="center"/>
          </w:tcPr>
          <w:p w14:paraId="1EAE1526" w14:textId="77777777" w:rsidR="0076384B" w:rsidRPr="00262D1E" w:rsidRDefault="0076384B" w:rsidP="009D3F3A">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76384B" w14:paraId="67508565" w14:textId="77777777" w:rsidTr="00725BFD">
        <w:tc>
          <w:tcPr>
            <w:tcW w:w="1838" w:type="dxa"/>
            <w:vAlign w:val="center"/>
          </w:tcPr>
          <w:p w14:paraId="74105D06" w14:textId="77777777" w:rsidR="0076384B" w:rsidRDefault="0076384B" w:rsidP="00003F19">
            <w:pPr>
              <w:jc w:val="center"/>
              <w:rPr>
                <w:rFonts w:cstheme="minorHAnsi"/>
                <w:bCs/>
                <w:color w:val="000000" w:themeColor="text1"/>
              </w:rPr>
            </w:pPr>
            <w:r>
              <w:rPr>
                <w:rFonts w:cstheme="minorHAnsi"/>
                <w:bCs/>
                <w:color w:val="000000" w:themeColor="text1"/>
              </w:rPr>
              <w:t>Horas de Estudio Individual (HEI)</w:t>
            </w:r>
          </w:p>
        </w:tc>
        <w:tc>
          <w:tcPr>
            <w:tcW w:w="1418" w:type="dxa"/>
            <w:vAlign w:val="center"/>
          </w:tcPr>
          <w:p w14:paraId="32CD9695" w14:textId="77777777" w:rsidR="0076384B" w:rsidRDefault="0076384B" w:rsidP="00003F19">
            <w:pPr>
              <w:jc w:val="center"/>
              <w:rPr>
                <w:rFonts w:cstheme="minorHAnsi"/>
                <w:bCs/>
                <w:color w:val="000000" w:themeColor="text1"/>
              </w:rPr>
            </w:pPr>
            <w:r>
              <w:rPr>
                <w:rFonts w:cstheme="minorHAnsi"/>
                <w:bCs/>
                <w:color w:val="000000" w:themeColor="text1"/>
              </w:rPr>
              <w:t>4</w:t>
            </w:r>
          </w:p>
        </w:tc>
        <w:tc>
          <w:tcPr>
            <w:tcW w:w="5528" w:type="dxa"/>
            <w:vAlign w:val="center"/>
          </w:tcPr>
          <w:p w14:paraId="14169F15" w14:textId="77777777" w:rsidR="0076384B" w:rsidRPr="00152C61" w:rsidRDefault="0076384B" w:rsidP="0076384B">
            <w:pPr>
              <w:pStyle w:val="Prrafodelista"/>
              <w:numPr>
                <w:ilvl w:val="0"/>
                <w:numId w:val="7"/>
              </w:numPr>
              <w:spacing w:line="240" w:lineRule="auto"/>
              <w:ind w:left="288" w:hanging="288"/>
              <w:rPr>
                <w:rFonts w:asciiTheme="minorHAnsi" w:hAnsiTheme="minorHAnsi" w:cstheme="minorHAnsi"/>
                <w:bCs/>
                <w:color w:val="000000" w:themeColor="text1"/>
              </w:rPr>
            </w:pPr>
            <w:r w:rsidRPr="00152C61">
              <w:rPr>
                <w:rFonts w:asciiTheme="minorHAnsi" w:hAnsiTheme="minorHAnsi" w:cstheme="minorHAnsi"/>
                <w:bCs/>
                <w:color w:val="000000" w:themeColor="text1"/>
              </w:rPr>
              <w:t>Lectura de los textos (materiales en formato digital)</w:t>
            </w:r>
            <w:r>
              <w:rPr>
                <w:rFonts w:asciiTheme="minorHAnsi" w:hAnsiTheme="minorHAnsi" w:cstheme="minorHAnsi"/>
                <w:bCs/>
                <w:color w:val="000000" w:themeColor="text1"/>
              </w:rPr>
              <w:t>.</w:t>
            </w:r>
          </w:p>
          <w:p w14:paraId="42E1B103" w14:textId="77777777" w:rsidR="0076384B" w:rsidRPr="00152C61" w:rsidRDefault="0076384B" w:rsidP="0076384B">
            <w:pPr>
              <w:pStyle w:val="Prrafodelista"/>
              <w:numPr>
                <w:ilvl w:val="0"/>
                <w:numId w:val="7"/>
              </w:numPr>
              <w:spacing w:line="240" w:lineRule="auto"/>
              <w:ind w:left="288" w:hanging="283"/>
              <w:rPr>
                <w:rFonts w:asciiTheme="minorHAnsi" w:hAnsiTheme="minorHAnsi" w:cstheme="minorHAnsi"/>
                <w:bCs/>
                <w:color w:val="000000" w:themeColor="text1"/>
              </w:rPr>
            </w:pPr>
            <w:r w:rsidRPr="00152C61">
              <w:rPr>
                <w:rFonts w:asciiTheme="minorHAnsi" w:hAnsiTheme="minorHAnsi" w:cstheme="minorHAnsi"/>
                <w:bCs/>
                <w:color w:val="000000" w:themeColor="text1"/>
              </w:rPr>
              <w:t>Análisis de lecturas e investigación por cuenta propia</w:t>
            </w:r>
            <w:r>
              <w:rPr>
                <w:rFonts w:asciiTheme="minorHAnsi" w:hAnsiTheme="minorHAnsi" w:cstheme="minorHAnsi"/>
                <w:bCs/>
                <w:color w:val="000000" w:themeColor="text1"/>
              </w:rPr>
              <w:t>.</w:t>
            </w:r>
          </w:p>
        </w:tc>
      </w:tr>
      <w:tr w:rsidR="0076384B" w14:paraId="00C099F4" w14:textId="77777777" w:rsidTr="00B93441">
        <w:trPr>
          <w:trHeight w:val="1101"/>
        </w:trPr>
        <w:tc>
          <w:tcPr>
            <w:tcW w:w="1838" w:type="dxa"/>
            <w:vAlign w:val="center"/>
          </w:tcPr>
          <w:p w14:paraId="171A7492" w14:textId="77777777" w:rsidR="0076384B" w:rsidRDefault="0076384B" w:rsidP="00725BFD">
            <w:pPr>
              <w:jc w:val="center"/>
              <w:rPr>
                <w:rFonts w:cstheme="minorHAnsi"/>
                <w:bCs/>
                <w:color w:val="000000" w:themeColor="text1"/>
              </w:rPr>
            </w:pPr>
            <w:r>
              <w:rPr>
                <w:rFonts w:cstheme="minorHAnsi"/>
                <w:bCs/>
                <w:color w:val="000000" w:themeColor="text1"/>
              </w:rPr>
              <w:t>Horas de Trabajo Colaborativo (HTC)</w:t>
            </w:r>
          </w:p>
        </w:tc>
        <w:tc>
          <w:tcPr>
            <w:tcW w:w="1418" w:type="dxa"/>
            <w:vAlign w:val="center"/>
          </w:tcPr>
          <w:p w14:paraId="6CF6C8B2" w14:textId="77777777" w:rsidR="0076384B" w:rsidRDefault="0076384B" w:rsidP="00003F19">
            <w:pPr>
              <w:jc w:val="center"/>
              <w:rPr>
                <w:rFonts w:cstheme="minorHAnsi"/>
                <w:bCs/>
                <w:color w:val="000000" w:themeColor="text1"/>
              </w:rPr>
            </w:pPr>
            <w:r>
              <w:rPr>
                <w:rFonts w:cstheme="minorHAnsi"/>
                <w:bCs/>
                <w:color w:val="000000" w:themeColor="text1"/>
              </w:rPr>
              <w:t>4</w:t>
            </w:r>
          </w:p>
        </w:tc>
        <w:tc>
          <w:tcPr>
            <w:tcW w:w="5528" w:type="dxa"/>
          </w:tcPr>
          <w:p w14:paraId="527E55B1" w14:textId="77777777" w:rsidR="0076384B" w:rsidRDefault="0076384B" w:rsidP="0076384B">
            <w:pPr>
              <w:pStyle w:val="Prrafodelista"/>
              <w:numPr>
                <w:ilvl w:val="0"/>
                <w:numId w:val="7"/>
              </w:numPr>
              <w:spacing w:line="240" w:lineRule="auto"/>
              <w:ind w:left="288" w:hanging="288"/>
              <w:jc w:val="both"/>
              <w:rPr>
                <w:rFonts w:asciiTheme="minorHAnsi" w:hAnsiTheme="minorHAnsi" w:cstheme="minorHAnsi"/>
                <w:bCs/>
                <w:color w:val="000000" w:themeColor="text1"/>
              </w:rPr>
            </w:pPr>
            <w:r w:rsidRPr="00152C61">
              <w:rPr>
                <w:rFonts w:asciiTheme="minorHAnsi" w:hAnsiTheme="minorHAnsi" w:cstheme="minorHAnsi"/>
                <w:bCs/>
                <w:color w:val="000000" w:themeColor="text1"/>
              </w:rPr>
              <w:t>Partici</w:t>
            </w:r>
            <w:r>
              <w:rPr>
                <w:rFonts w:asciiTheme="minorHAnsi" w:hAnsiTheme="minorHAnsi" w:cstheme="minorHAnsi"/>
                <w:bCs/>
                <w:color w:val="000000" w:themeColor="text1"/>
              </w:rPr>
              <w:t xml:space="preserve">pación en los foros </w:t>
            </w:r>
            <w:r w:rsidRPr="00152C61">
              <w:rPr>
                <w:rFonts w:asciiTheme="minorHAnsi" w:hAnsiTheme="minorHAnsi" w:cstheme="minorHAnsi"/>
                <w:bCs/>
                <w:color w:val="000000" w:themeColor="text1"/>
              </w:rPr>
              <w:t>(incluye aportes personales y réplicas a los</w:t>
            </w:r>
            <w:r>
              <w:rPr>
                <w:rFonts w:asciiTheme="minorHAnsi" w:hAnsiTheme="minorHAnsi" w:cstheme="minorHAnsi"/>
                <w:bCs/>
                <w:color w:val="000000" w:themeColor="text1"/>
              </w:rPr>
              <w:t xml:space="preserve"> y las</w:t>
            </w:r>
            <w:r w:rsidRPr="00152C61">
              <w:rPr>
                <w:rFonts w:asciiTheme="minorHAnsi" w:hAnsiTheme="minorHAnsi" w:cstheme="minorHAnsi"/>
                <w:bCs/>
                <w:color w:val="000000" w:themeColor="text1"/>
              </w:rPr>
              <w:t xml:space="preserve"> demás estudiantes)</w:t>
            </w:r>
            <w:r>
              <w:rPr>
                <w:rFonts w:asciiTheme="minorHAnsi" w:hAnsiTheme="minorHAnsi" w:cstheme="minorHAnsi"/>
                <w:bCs/>
                <w:color w:val="000000" w:themeColor="text1"/>
              </w:rPr>
              <w:t>.</w:t>
            </w:r>
          </w:p>
          <w:p w14:paraId="53AA390C" w14:textId="77777777" w:rsidR="0076384B" w:rsidRDefault="0076384B" w:rsidP="0076384B">
            <w:pPr>
              <w:pStyle w:val="Prrafodelista"/>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la elaboración de glosarios.</w:t>
            </w:r>
          </w:p>
          <w:p w14:paraId="445B61B8" w14:textId="77777777" w:rsidR="0076384B" w:rsidRPr="00DA0E1F" w:rsidRDefault="0076384B" w:rsidP="0076384B">
            <w:pPr>
              <w:pStyle w:val="Prrafodelista"/>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76384B" w14:paraId="7EEE2482" w14:textId="77777777" w:rsidTr="00DA0E1F">
        <w:trPr>
          <w:trHeight w:val="1414"/>
        </w:trPr>
        <w:tc>
          <w:tcPr>
            <w:tcW w:w="1838" w:type="dxa"/>
            <w:vAlign w:val="center"/>
          </w:tcPr>
          <w:p w14:paraId="77DECB67" w14:textId="77777777" w:rsidR="0076384B" w:rsidRDefault="0076384B" w:rsidP="00725BFD">
            <w:pPr>
              <w:jc w:val="center"/>
              <w:rPr>
                <w:rFonts w:cstheme="minorHAnsi"/>
                <w:bCs/>
                <w:color w:val="000000" w:themeColor="text1"/>
              </w:rPr>
            </w:pPr>
            <w:r>
              <w:rPr>
                <w:rFonts w:cstheme="minorHAnsi"/>
                <w:bCs/>
                <w:color w:val="000000" w:themeColor="text1"/>
              </w:rPr>
              <w:t>Horas de Producción Individual (HPI)</w:t>
            </w:r>
          </w:p>
        </w:tc>
        <w:tc>
          <w:tcPr>
            <w:tcW w:w="1418" w:type="dxa"/>
            <w:vAlign w:val="center"/>
          </w:tcPr>
          <w:p w14:paraId="392E1D3D" w14:textId="77777777" w:rsidR="0076384B" w:rsidRDefault="0076384B" w:rsidP="00003F19">
            <w:pPr>
              <w:jc w:val="center"/>
              <w:rPr>
                <w:rFonts w:cstheme="minorHAnsi"/>
                <w:bCs/>
                <w:color w:val="000000" w:themeColor="text1"/>
              </w:rPr>
            </w:pPr>
            <w:r>
              <w:rPr>
                <w:rFonts w:cstheme="minorHAnsi"/>
                <w:bCs/>
                <w:color w:val="000000" w:themeColor="text1"/>
              </w:rPr>
              <w:t>4</w:t>
            </w:r>
          </w:p>
        </w:tc>
        <w:tc>
          <w:tcPr>
            <w:tcW w:w="5528" w:type="dxa"/>
          </w:tcPr>
          <w:p w14:paraId="3924850D" w14:textId="77777777" w:rsidR="0076384B" w:rsidRDefault="0076384B" w:rsidP="0076384B">
            <w:pPr>
              <w:pStyle w:val="Prrafodelista"/>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reportes de lecturas. </w:t>
            </w:r>
          </w:p>
          <w:p w14:paraId="49112009" w14:textId="77777777" w:rsidR="0076384B" w:rsidRDefault="0076384B" w:rsidP="0076384B">
            <w:pPr>
              <w:pStyle w:val="Prrafodelista"/>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mapas conceptuales.</w:t>
            </w:r>
          </w:p>
          <w:p w14:paraId="3106CAB8" w14:textId="77777777" w:rsidR="0076384B" w:rsidRDefault="0076384B" w:rsidP="0076384B">
            <w:pPr>
              <w:pStyle w:val="Prrafodelista"/>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glosarios. </w:t>
            </w:r>
          </w:p>
          <w:p w14:paraId="6C9BB953" w14:textId="77777777" w:rsidR="0076384B" w:rsidRDefault="0076384B" w:rsidP="0076384B">
            <w:pPr>
              <w:pStyle w:val="Prrafodelista"/>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diario reflexivo.</w:t>
            </w:r>
          </w:p>
          <w:p w14:paraId="2D21A61B" w14:textId="77777777" w:rsidR="0076384B" w:rsidRPr="00725BFD" w:rsidRDefault="0076384B" w:rsidP="0076384B">
            <w:pPr>
              <w:pStyle w:val="Prrafodelista"/>
              <w:numPr>
                <w:ilvl w:val="0"/>
                <w:numId w:val="7"/>
              </w:numPr>
              <w:spacing w:line="240" w:lineRule="auto"/>
              <w:ind w:left="288" w:hanging="288"/>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ensayo crítico final.</w:t>
            </w:r>
          </w:p>
        </w:tc>
      </w:tr>
      <w:tr w:rsidR="0076384B" w:rsidRPr="00262D1E" w14:paraId="346A52AF" w14:textId="77777777" w:rsidTr="00003F19">
        <w:tc>
          <w:tcPr>
            <w:tcW w:w="1838" w:type="dxa"/>
            <w:vAlign w:val="center"/>
          </w:tcPr>
          <w:p w14:paraId="10FB931B" w14:textId="77777777" w:rsidR="0076384B" w:rsidRPr="00262D1E" w:rsidRDefault="0076384B" w:rsidP="00003F19">
            <w:pPr>
              <w:jc w:val="center"/>
              <w:rPr>
                <w:rFonts w:cstheme="minorHAnsi"/>
                <w:b/>
                <w:bCs/>
                <w:color w:val="000000" w:themeColor="text1"/>
              </w:rPr>
            </w:pPr>
            <w:r w:rsidRPr="00262D1E">
              <w:rPr>
                <w:rFonts w:cstheme="minorHAnsi"/>
                <w:b/>
                <w:bCs/>
                <w:color w:val="000000" w:themeColor="text1"/>
              </w:rPr>
              <w:t>Total</w:t>
            </w:r>
            <w:r>
              <w:rPr>
                <w:rFonts w:cstheme="minorHAnsi"/>
                <w:b/>
                <w:bCs/>
                <w:color w:val="000000" w:themeColor="text1"/>
              </w:rPr>
              <w:t xml:space="preserve"> de horas (TH)</w:t>
            </w:r>
          </w:p>
        </w:tc>
        <w:tc>
          <w:tcPr>
            <w:tcW w:w="1418" w:type="dxa"/>
            <w:vAlign w:val="center"/>
          </w:tcPr>
          <w:p w14:paraId="1E471A4C" w14:textId="77777777" w:rsidR="0076384B" w:rsidRPr="00262D1E" w:rsidRDefault="0076384B" w:rsidP="00003F19">
            <w:pPr>
              <w:jc w:val="center"/>
              <w:rPr>
                <w:rFonts w:cstheme="minorHAnsi"/>
                <w:b/>
                <w:bCs/>
                <w:color w:val="000000" w:themeColor="text1"/>
              </w:rPr>
            </w:pPr>
            <w:r w:rsidRPr="00262D1E">
              <w:rPr>
                <w:rFonts w:cstheme="minorHAnsi"/>
                <w:b/>
                <w:bCs/>
                <w:color w:val="000000" w:themeColor="text1"/>
              </w:rPr>
              <w:t>12</w:t>
            </w:r>
          </w:p>
        </w:tc>
        <w:tc>
          <w:tcPr>
            <w:tcW w:w="5528" w:type="dxa"/>
          </w:tcPr>
          <w:p w14:paraId="28C8A4E3" w14:textId="77777777" w:rsidR="0076384B" w:rsidRPr="00262D1E" w:rsidRDefault="0076384B" w:rsidP="00E55B66">
            <w:pPr>
              <w:jc w:val="center"/>
              <w:rPr>
                <w:rFonts w:cstheme="minorHAnsi"/>
                <w:b/>
                <w:bCs/>
                <w:color w:val="000000" w:themeColor="text1"/>
              </w:rPr>
            </w:pPr>
          </w:p>
        </w:tc>
      </w:tr>
    </w:tbl>
    <w:p w14:paraId="6DF2E295" w14:textId="77777777" w:rsidR="0076384B" w:rsidRDefault="0076384B" w:rsidP="00152C61">
      <w:pPr>
        <w:jc w:val="both"/>
        <w:rPr>
          <w:rFonts w:cstheme="minorHAnsi"/>
          <w:bCs/>
          <w:color w:val="000000" w:themeColor="text1"/>
        </w:rPr>
      </w:pPr>
    </w:p>
    <w:p w14:paraId="19EB5442" w14:textId="77777777" w:rsidR="0076384B" w:rsidRDefault="0076384B" w:rsidP="00152C61">
      <w:pPr>
        <w:jc w:val="both"/>
        <w:rPr>
          <w:rFonts w:cstheme="minorHAnsi"/>
          <w:bCs/>
          <w:color w:val="000000" w:themeColor="text1"/>
        </w:rPr>
      </w:pPr>
      <w:r>
        <w:rPr>
          <w:rFonts w:cstheme="minorHAnsi"/>
          <w:bCs/>
          <w:color w:val="000000" w:themeColor="text1"/>
        </w:rPr>
        <w:t xml:space="preserve">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w:t>
      </w:r>
      <w:r>
        <w:rPr>
          <w:rFonts w:cstheme="minorHAnsi"/>
          <w:bCs/>
          <w:color w:val="000000" w:themeColor="text1"/>
        </w:rPr>
        <w:lastRenderedPageBreak/>
        <w:t>distribución de tiempos por tipo de horas (categoría) es congruente, en todos sus extremos, con lo que establece el plan de estudios de la modalidad virtual.</w:t>
      </w:r>
    </w:p>
    <w:p w14:paraId="5D056D0C" w14:textId="77777777" w:rsidR="0076384B" w:rsidRDefault="0076384B" w:rsidP="003E6FA5">
      <w:pPr>
        <w:jc w:val="both"/>
        <w:rPr>
          <w:rFonts w:cstheme="minorHAnsi"/>
          <w:bCs/>
          <w:color w:val="000000" w:themeColor="text1"/>
        </w:rPr>
      </w:pPr>
    </w:p>
    <w:p w14:paraId="34353A41" w14:textId="77777777" w:rsidR="0076384B" w:rsidRPr="00E34496" w:rsidRDefault="0076384B" w:rsidP="00DD34BC">
      <w:pPr>
        <w:jc w:val="both"/>
        <w:rPr>
          <w:rFonts w:cs="Arial"/>
          <w:b/>
          <w:bCs/>
          <w:color w:val="000000" w:themeColor="text1"/>
        </w:rPr>
      </w:pPr>
      <w:r w:rsidRPr="00E34496">
        <w:rPr>
          <w:rFonts w:cs="Arial"/>
          <w:b/>
          <w:bCs/>
          <w:color w:val="000000" w:themeColor="text1"/>
        </w:rPr>
        <w:t>X. Evaluación</w:t>
      </w:r>
      <w:r w:rsidRPr="00E34496">
        <w:rPr>
          <w:rFonts w:cs="Arial"/>
          <w:b/>
          <w:bCs/>
          <w:color w:val="000000" w:themeColor="text1"/>
        </w:rPr>
        <w:tab/>
      </w:r>
    </w:p>
    <w:p w14:paraId="7908A1BB" w14:textId="77777777" w:rsidR="0076384B" w:rsidRPr="002C2D31" w:rsidRDefault="0076384B" w:rsidP="002C2D31">
      <w:pPr>
        <w:jc w:val="both"/>
        <w:rPr>
          <w:rFonts w:cs="Arial"/>
          <w:bCs/>
          <w:color w:val="000000" w:themeColor="text1"/>
        </w:rPr>
      </w:pPr>
      <w:r w:rsidRPr="00E34496">
        <w:rPr>
          <w:rFonts w:cs="Arial"/>
          <w:bCs/>
          <w:color w:val="000000" w:themeColor="text1"/>
        </w:rPr>
        <w:t>La evaluación</w:t>
      </w:r>
      <w:r>
        <w:rPr>
          <w:rFonts w:cs="Arial"/>
          <w:bCs/>
          <w:color w:val="000000" w:themeColor="text1"/>
        </w:rPr>
        <w:t xml:space="preserve"> diagnóstica</w:t>
      </w:r>
      <w:r w:rsidRPr="00E34496">
        <w:rPr>
          <w:rFonts w:cs="Arial"/>
          <w:bCs/>
          <w:color w:val="000000" w:themeColor="text1"/>
        </w:rPr>
        <w:t xml:space="preserve"> se realizará con base en las entregas de las actividades individuales y en las discusiones grupales y reacciones y reflexiones frente al material que se introduce en este curso. </w:t>
      </w:r>
      <w:r>
        <w:rPr>
          <w:rFonts w:cs="Arial"/>
          <w:bCs/>
          <w:color w:val="000000" w:themeColor="text1"/>
        </w:rPr>
        <w:t xml:space="preserve"> </w:t>
      </w:r>
      <w:r w:rsidRPr="00E34496">
        <w:rPr>
          <w:rFonts w:cs="Arial"/>
          <w:bCs/>
          <w:color w:val="000000" w:themeColor="text1"/>
        </w:rPr>
        <w:t>Como aspectos de la evaluación formativa se analizarán los procesos de aprendizaje y su desarrollo durante el curso, las experiencias de aprendizaje, la interacción grupal y la capacidad de construir sobre lo trabajado en cada sesión. La retroalimentación de la persona docente será fundamental para orientar el desarrollo de las capacidades cognitivas de los y las estudiantes. La evaluación sumativa se realiza</w:t>
      </w:r>
      <w:r>
        <w:rPr>
          <w:rFonts w:cs="Arial"/>
          <w:bCs/>
          <w:color w:val="000000" w:themeColor="text1"/>
        </w:rPr>
        <w:t>rá</w:t>
      </w:r>
      <w:r w:rsidRPr="00E34496">
        <w:rPr>
          <w:rFonts w:cs="Arial"/>
          <w:bCs/>
          <w:color w:val="000000" w:themeColor="text1"/>
        </w:rPr>
        <w:t xml:space="preserve"> con base en</w:t>
      </w:r>
      <w:r>
        <w:rPr>
          <w:rFonts w:cs="Arial"/>
          <w:bCs/>
          <w:color w:val="000000" w:themeColor="text1"/>
        </w:rPr>
        <w:t xml:space="preserve"> el ensayo crítico y su presentación, como también por medio de la sumatoria de las demás actividades de aprendizaje realizadas en el curso. La nota mínima de aprobación del curso es de 7.00 (en escala decimal) y l</w:t>
      </w:r>
      <w:r w:rsidRPr="00E34496">
        <w:rPr>
          <w:rFonts w:cs="Arial"/>
          <w:bCs/>
          <w:color w:val="000000" w:themeColor="text1"/>
        </w:rPr>
        <w:t>os porcentajes asignados a cada elemento del curso son l</w:t>
      </w:r>
      <w:r>
        <w:rPr>
          <w:rFonts w:cs="Arial"/>
          <w:bCs/>
          <w:color w:val="000000" w:themeColor="text1"/>
        </w:rPr>
        <w:t>os siguientes:</w:t>
      </w:r>
    </w:p>
    <w:tbl>
      <w:tblPr>
        <w:tblpPr w:leftFromText="141" w:rightFromText="141" w:vertAnchor="text" w:horzAnchor="page" w:tblpX="1667" w:tblpY="324"/>
        <w:tblW w:w="9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05"/>
        <w:gridCol w:w="1473"/>
      </w:tblGrid>
      <w:tr w:rsidR="0076384B" w:rsidRPr="00D75677" w14:paraId="15F3A24B" w14:textId="77777777" w:rsidTr="00717850">
        <w:trPr>
          <w:trHeight w:val="275"/>
        </w:trPr>
        <w:tc>
          <w:tcPr>
            <w:tcW w:w="9378" w:type="dxa"/>
            <w:gridSpan w:val="2"/>
            <w:vAlign w:val="center"/>
          </w:tcPr>
          <w:p w14:paraId="5B318622" w14:textId="77777777" w:rsidR="0076384B" w:rsidRPr="00D75677" w:rsidRDefault="0076384B" w:rsidP="00484BB1">
            <w:pPr>
              <w:spacing w:after="0" w:line="276" w:lineRule="auto"/>
              <w:jc w:val="center"/>
              <w:rPr>
                <w:rFonts w:cs="Arial"/>
                <w:b/>
                <w:bCs/>
                <w:color w:val="000000" w:themeColor="text1"/>
              </w:rPr>
            </w:pPr>
            <w:r w:rsidRPr="00D75677">
              <w:rPr>
                <w:rFonts w:cs="Arial"/>
                <w:b/>
                <w:bCs/>
                <w:color w:val="000000" w:themeColor="text1"/>
              </w:rPr>
              <w:t>Síntesis cuantitativa de la evaluación</w:t>
            </w:r>
          </w:p>
        </w:tc>
      </w:tr>
      <w:tr w:rsidR="0076384B" w:rsidRPr="00D75677" w14:paraId="01E55C0A" w14:textId="77777777" w:rsidTr="00183C04">
        <w:trPr>
          <w:trHeight w:val="593"/>
        </w:trPr>
        <w:tc>
          <w:tcPr>
            <w:tcW w:w="7905" w:type="dxa"/>
            <w:vAlign w:val="center"/>
          </w:tcPr>
          <w:p w14:paraId="3EA5C5DA" w14:textId="77777777" w:rsidR="0076384B" w:rsidRDefault="0076384B" w:rsidP="00484BB1">
            <w:pPr>
              <w:spacing w:after="0" w:line="276" w:lineRule="auto"/>
              <w:rPr>
                <w:rFonts w:cs="Arial"/>
                <w:b/>
                <w:color w:val="000000" w:themeColor="text1"/>
              </w:rPr>
            </w:pPr>
            <w:r>
              <w:rPr>
                <w:rFonts w:cs="Arial"/>
                <w:b/>
                <w:color w:val="000000" w:themeColor="text1"/>
              </w:rPr>
              <w:t>Rubros</w:t>
            </w:r>
            <w:r w:rsidRPr="00D75677">
              <w:rPr>
                <w:rFonts w:cs="Arial"/>
                <w:b/>
                <w:color w:val="000000" w:themeColor="text1"/>
              </w:rPr>
              <w:t xml:space="preserve"> p</w:t>
            </w:r>
            <w:r>
              <w:rPr>
                <w:rFonts w:cs="Arial"/>
                <w:b/>
                <w:color w:val="000000" w:themeColor="text1"/>
              </w:rPr>
              <w:t>ara</w:t>
            </w:r>
            <w:r w:rsidRPr="00D75677">
              <w:rPr>
                <w:rFonts w:cs="Arial"/>
                <w:b/>
                <w:color w:val="000000" w:themeColor="text1"/>
              </w:rPr>
              <w:t xml:space="preserve"> evaluar</w:t>
            </w:r>
          </w:p>
          <w:p w14:paraId="78A41548" w14:textId="77777777" w:rsidR="0076384B" w:rsidRPr="00D75677" w:rsidRDefault="0076384B" w:rsidP="00484BB1">
            <w:pPr>
              <w:spacing w:after="0" w:line="276" w:lineRule="auto"/>
              <w:rPr>
                <w:rFonts w:cs="Arial"/>
                <w:b/>
                <w:bCs/>
                <w:color w:val="000000" w:themeColor="text1"/>
              </w:rPr>
            </w:pPr>
          </w:p>
        </w:tc>
        <w:tc>
          <w:tcPr>
            <w:tcW w:w="1473" w:type="dxa"/>
          </w:tcPr>
          <w:p w14:paraId="49D16A3C" w14:textId="77777777" w:rsidR="0076384B" w:rsidRPr="00D75677" w:rsidRDefault="0076384B" w:rsidP="00484BB1">
            <w:pPr>
              <w:spacing w:after="0" w:line="276" w:lineRule="auto"/>
              <w:jc w:val="center"/>
              <w:rPr>
                <w:rFonts w:cs="Arial"/>
                <w:b/>
                <w:bCs/>
                <w:color w:val="000000" w:themeColor="text1"/>
              </w:rPr>
            </w:pPr>
            <w:r>
              <w:rPr>
                <w:rFonts w:cs="Arial"/>
                <w:b/>
                <w:bCs/>
                <w:color w:val="000000" w:themeColor="text1"/>
              </w:rPr>
              <w:t>Porcentaje total</w:t>
            </w:r>
          </w:p>
        </w:tc>
      </w:tr>
      <w:tr w:rsidR="0076384B" w:rsidRPr="00D75677" w14:paraId="191075F4" w14:textId="77777777" w:rsidTr="00172EC9">
        <w:tc>
          <w:tcPr>
            <w:tcW w:w="7905" w:type="dxa"/>
          </w:tcPr>
          <w:p w14:paraId="57088FBF" w14:textId="77777777" w:rsidR="0076384B" w:rsidRPr="00E370BC" w:rsidRDefault="0076384B" w:rsidP="00484BB1">
            <w:pPr>
              <w:pStyle w:val="Listavistosa-nfasis11"/>
              <w:numPr>
                <w:ilvl w:val="0"/>
                <w:numId w:val="5"/>
              </w:numPr>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
                <w:bCs/>
                <w:i/>
                <w:color w:val="000000" w:themeColor="text1"/>
              </w:rPr>
              <w:t>Encuentros sincrónicos virtuales</w:t>
            </w:r>
          </w:p>
          <w:p w14:paraId="7E7F815B" w14:textId="77777777" w:rsidR="0076384B" w:rsidRPr="009E51C5" w:rsidRDefault="0076384B" w:rsidP="00484BB1">
            <w:pPr>
              <w:pStyle w:val="Listavistosa-nfasis11"/>
              <w:numPr>
                <w:ilvl w:val="0"/>
                <w:numId w:val="5"/>
              </w:numPr>
              <w:autoSpaceDE w:val="0"/>
              <w:autoSpaceDN w:val="0"/>
              <w:adjustRightInd w:val="0"/>
              <w:spacing w:after="0"/>
              <w:ind w:left="0"/>
              <w:jc w:val="both"/>
              <w:rPr>
                <w:rFonts w:asciiTheme="minorHAnsi" w:hAnsiTheme="minorHAnsi" w:cs="Arial"/>
                <w:b/>
                <w:bCs/>
                <w:i/>
                <w:color w:val="000000" w:themeColor="text1"/>
              </w:rPr>
            </w:pPr>
            <w:r>
              <w:rPr>
                <w:rFonts w:asciiTheme="minorHAnsi" w:hAnsiTheme="minorHAnsi" w:cstheme="minorHAnsi"/>
                <w:bCs/>
                <w:color w:val="000000" w:themeColor="text1"/>
              </w:rPr>
              <w:t>Se llevan a cabo desde la</w:t>
            </w:r>
            <w:r w:rsidRPr="002E6EA6">
              <w:rPr>
                <w:rFonts w:asciiTheme="minorHAnsi" w:hAnsiTheme="minorHAnsi" w:cstheme="minorHAnsi"/>
                <w:bCs/>
                <w:color w:val="000000" w:themeColor="text1"/>
              </w:rPr>
              <w:t xml:space="preserve"> sesi</w:t>
            </w:r>
            <w:r>
              <w:rPr>
                <w:rFonts w:asciiTheme="minorHAnsi" w:hAnsiTheme="minorHAnsi" w:cstheme="minorHAnsi"/>
                <w:bCs/>
                <w:color w:val="000000" w:themeColor="text1"/>
              </w:rPr>
              <w:t>ón</w:t>
            </w:r>
            <w:r w:rsidRPr="002E6EA6">
              <w:rPr>
                <w:rFonts w:asciiTheme="minorHAnsi" w:hAnsiTheme="minorHAnsi" w:cstheme="minorHAnsi"/>
                <w:bCs/>
                <w:color w:val="000000" w:themeColor="text1"/>
              </w:rPr>
              <w:t xml:space="preserve"> 1</w:t>
            </w:r>
            <w:r>
              <w:rPr>
                <w:rFonts w:asciiTheme="minorHAnsi" w:hAnsiTheme="minorHAnsi" w:cstheme="minorHAnsi"/>
                <w:bCs/>
                <w:color w:val="000000" w:themeColor="text1"/>
              </w:rPr>
              <w:t xml:space="preserve"> hasta la 14. </w:t>
            </w:r>
            <w:r w:rsidRPr="00104CF6">
              <w:rPr>
                <w:rFonts w:asciiTheme="minorHAnsi" w:hAnsiTheme="minorHAnsi" w:cstheme="minorHAnsi"/>
                <w:bCs/>
                <w:color w:val="0070C0"/>
              </w:rPr>
              <w:t>Tienen un formativo y no sumativo.</w:t>
            </w:r>
          </w:p>
        </w:tc>
        <w:tc>
          <w:tcPr>
            <w:tcW w:w="1473" w:type="dxa"/>
          </w:tcPr>
          <w:p w14:paraId="7C927146" w14:textId="77777777" w:rsidR="0076384B" w:rsidRPr="00931274" w:rsidRDefault="0076384B" w:rsidP="00484BB1">
            <w:pPr>
              <w:spacing w:after="0" w:line="276" w:lineRule="auto"/>
              <w:jc w:val="center"/>
              <w:rPr>
                <w:rFonts w:cs="Arial"/>
                <w:bCs/>
                <w:color w:val="0070C0"/>
              </w:rPr>
            </w:pPr>
            <w:r w:rsidRPr="00931274">
              <w:rPr>
                <w:rFonts w:cstheme="minorHAnsi"/>
                <w:bCs/>
                <w:color w:val="0070C0"/>
              </w:rPr>
              <w:t>̶</w:t>
            </w:r>
          </w:p>
        </w:tc>
      </w:tr>
      <w:tr w:rsidR="0076384B" w:rsidRPr="00D75677" w14:paraId="5805E001" w14:textId="77777777" w:rsidTr="00CC2E7C">
        <w:tc>
          <w:tcPr>
            <w:tcW w:w="7905" w:type="dxa"/>
          </w:tcPr>
          <w:p w14:paraId="2789DE4B" w14:textId="77777777" w:rsidR="0076384B" w:rsidRPr="00D45AB4" w:rsidRDefault="0076384B" w:rsidP="00484BB1">
            <w:pPr>
              <w:pStyle w:val="Listavistosa-nfasis11"/>
              <w:autoSpaceDE w:val="0"/>
              <w:autoSpaceDN w:val="0"/>
              <w:adjustRightInd w:val="0"/>
              <w:spacing w:after="0"/>
              <w:ind w:left="0"/>
              <w:jc w:val="both"/>
              <w:rPr>
                <w:rFonts w:asciiTheme="minorHAnsi" w:hAnsiTheme="minorHAnsi" w:cs="Arial"/>
                <w:b/>
                <w:bCs/>
                <w:i/>
                <w:color w:val="000000" w:themeColor="text1"/>
                <w:u w:val="single"/>
              </w:rPr>
            </w:pPr>
            <w:r w:rsidRPr="00D45AB4">
              <w:rPr>
                <w:rFonts w:asciiTheme="minorHAnsi" w:hAnsiTheme="minorHAnsi" w:cs="Arial"/>
                <w:b/>
                <w:bCs/>
                <w:i/>
                <w:color w:val="000000" w:themeColor="text1"/>
                <w:u w:val="single"/>
              </w:rPr>
              <w:t>Trabajos individuales</w:t>
            </w:r>
          </w:p>
          <w:p w14:paraId="7B5472B0"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sidRPr="00D45AB4">
              <w:rPr>
                <w:rFonts w:asciiTheme="minorHAnsi" w:hAnsiTheme="minorHAnsi" w:cs="Arial"/>
                <w:b/>
                <w:color w:val="000000" w:themeColor="text1"/>
              </w:rPr>
              <w:t>-</w:t>
            </w:r>
            <w:r>
              <w:rPr>
                <w:rFonts w:asciiTheme="minorHAnsi" w:hAnsiTheme="minorHAnsi" w:cs="Arial"/>
                <w:bCs/>
                <w:color w:val="000000" w:themeColor="text1"/>
              </w:rPr>
              <w:t xml:space="preserve"> </w:t>
            </w:r>
            <w:r w:rsidRPr="00691309">
              <w:rPr>
                <w:rFonts w:asciiTheme="minorHAnsi" w:hAnsiTheme="minorHAnsi" w:cs="Arial"/>
                <w:b/>
                <w:color w:val="000000" w:themeColor="text1"/>
              </w:rPr>
              <w:t>M</w:t>
            </w:r>
            <w:r w:rsidRPr="00061E9E">
              <w:rPr>
                <w:rFonts w:asciiTheme="minorHAnsi" w:hAnsiTheme="minorHAnsi" w:cs="Arial"/>
                <w:b/>
                <w:color w:val="000000" w:themeColor="text1"/>
              </w:rPr>
              <w:t>apas conceptuales</w:t>
            </w:r>
            <w:r>
              <w:rPr>
                <w:rFonts w:asciiTheme="minorHAnsi" w:hAnsiTheme="minorHAnsi" w:cs="Arial"/>
                <w:b/>
                <w:color w:val="000000" w:themeColor="text1"/>
              </w:rPr>
              <w:t xml:space="preserve">: </w:t>
            </w:r>
            <w:r>
              <w:rPr>
                <w:rFonts w:asciiTheme="minorHAnsi" w:hAnsiTheme="minorHAnsi" w:cs="Arial"/>
                <w:bCs/>
                <w:color w:val="000000" w:themeColor="text1"/>
              </w:rPr>
              <w:t xml:space="preserve">se elaboran en las sesiones 2 y 9. Cada mapa tiene un valor de 3%. </w:t>
            </w:r>
          </w:p>
          <w:p w14:paraId="0BFADA1F"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sidRPr="00D45AB4">
              <w:rPr>
                <w:rFonts w:asciiTheme="minorHAnsi" w:hAnsiTheme="minorHAnsi" w:cs="Arial"/>
                <w:b/>
                <w:color w:val="000000" w:themeColor="text1"/>
              </w:rPr>
              <w:t xml:space="preserve"> -</w:t>
            </w:r>
            <w:r>
              <w:rPr>
                <w:rFonts w:asciiTheme="minorHAnsi" w:hAnsiTheme="minorHAnsi" w:cs="Arial"/>
                <w:bCs/>
                <w:color w:val="000000" w:themeColor="text1"/>
              </w:rPr>
              <w:t xml:space="preserve"> </w:t>
            </w:r>
            <w:r w:rsidRPr="0048654D">
              <w:rPr>
                <w:rFonts w:asciiTheme="minorHAnsi" w:hAnsiTheme="minorHAnsi" w:cs="Arial"/>
                <w:b/>
                <w:color w:val="000000" w:themeColor="text1"/>
              </w:rPr>
              <w:t>R</w:t>
            </w:r>
            <w:r w:rsidRPr="00061E9E">
              <w:rPr>
                <w:rFonts w:asciiTheme="minorHAnsi" w:hAnsiTheme="minorHAnsi" w:cs="Arial"/>
                <w:b/>
                <w:color w:val="000000" w:themeColor="text1"/>
              </w:rPr>
              <w:t>eportes de lectura</w:t>
            </w:r>
            <w:r>
              <w:rPr>
                <w:rFonts w:asciiTheme="minorHAnsi" w:hAnsiTheme="minorHAnsi" w:cs="Arial"/>
                <w:b/>
                <w:color w:val="000000" w:themeColor="text1"/>
              </w:rPr>
              <w:t xml:space="preserve">: </w:t>
            </w:r>
            <w:r>
              <w:rPr>
                <w:rFonts w:asciiTheme="minorHAnsi" w:hAnsiTheme="minorHAnsi" w:cs="Arial"/>
                <w:bCs/>
                <w:color w:val="000000" w:themeColor="text1"/>
              </w:rPr>
              <w:t xml:space="preserve">se elaboran en las sesiones 3, 4, 7, 8, 10 y 13. Cada reporte tiene un valor de </w:t>
            </w:r>
            <w:r w:rsidRPr="00931274">
              <w:rPr>
                <w:rFonts w:asciiTheme="minorHAnsi" w:hAnsiTheme="minorHAnsi" w:cs="Arial"/>
                <w:bCs/>
                <w:color w:val="0070C0"/>
              </w:rPr>
              <w:t>4%</w:t>
            </w:r>
            <w:r>
              <w:rPr>
                <w:rFonts w:asciiTheme="minorHAnsi" w:hAnsiTheme="minorHAnsi" w:cs="Arial"/>
                <w:bCs/>
                <w:color w:val="000000" w:themeColor="text1"/>
              </w:rPr>
              <w:t xml:space="preserve">. </w:t>
            </w:r>
          </w:p>
          <w:p w14:paraId="45D77609"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sidRPr="00D45AB4">
              <w:rPr>
                <w:rFonts w:asciiTheme="minorHAnsi" w:hAnsiTheme="minorHAnsi" w:cs="Arial"/>
                <w:b/>
                <w:color w:val="000000" w:themeColor="text1"/>
              </w:rPr>
              <w:t>-</w:t>
            </w:r>
            <w:r>
              <w:rPr>
                <w:rFonts w:asciiTheme="minorHAnsi" w:hAnsiTheme="minorHAnsi" w:cs="Arial"/>
                <w:bCs/>
                <w:color w:val="000000" w:themeColor="text1"/>
              </w:rPr>
              <w:t xml:space="preserve"> </w:t>
            </w:r>
            <w:r w:rsidRPr="00E71970">
              <w:rPr>
                <w:rFonts w:asciiTheme="minorHAnsi" w:hAnsiTheme="minorHAnsi" w:cs="Arial"/>
                <w:b/>
                <w:color w:val="000000" w:themeColor="text1"/>
              </w:rPr>
              <w:t>G</w:t>
            </w:r>
            <w:r w:rsidRPr="00061E9E">
              <w:rPr>
                <w:rFonts w:asciiTheme="minorHAnsi" w:hAnsiTheme="minorHAnsi" w:cs="Arial"/>
                <w:b/>
                <w:color w:val="000000" w:themeColor="text1"/>
              </w:rPr>
              <w:t>losarios</w:t>
            </w:r>
            <w:r>
              <w:rPr>
                <w:rFonts w:asciiTheme="minorHAnsi" w:hAnsiTheme="minorHAnsi" w:cs="Arial"/>
                <w:b/>
                <w:color w:val="000000" w:themeColor="text1"/>
              </w:rPr>
              <w:t xml:space="preserve">: </w:t>
            </w:r>
            <w:r>
              <w:rPr>
                <w:rFonts w:asciiTheme="minorHAnsi" w:hAnsiTheme="minorHAnsi" w:cs="Arial"/>
                <w:bCs/>
                <w:color w:val="000000" w:themeColor="text1"/>
              </w:rPr>
              <w:t xml:space="preserve">se desarrollan en las sesiones 5 y 12. Cada glosario tiene un valor de 3%. </w:t>
            </w:r>
          </w:p>
          <w:p w14:paraId="7FB012D6" w14:textId="77777777" w:rsidR="0076384B" w:rsidRPr="00CC2E7C"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sidRPr="00D45AB4">
              <w:rPr>
                <w:rFonts w:asciiTheme="minorHAnsi" w:hAnsiTheme="minorHAnsi" w:cs="Arial"/>
                <w:b/>
                <w:color w:val="000000" w:themeColor="text1"/>
              </w:rPr>
              <w:t>-</w:t>
            </w:r>
            <w:r>
              <w:rPr>
                <w:rFonts w:asciiTheme="minorHAnsi" w:hAnsiTheme="minorHAnsi" w:cs="Arial"/>
                <w:bCs/>
                <w:color w:val="000000" w:themeColor="text1"/>
              </w:rPr>
              <w:t xml:space="preserve"> </w:t>
            </w:r>
            <w:r w:rsidRPr="00E71970">
              <w:rPr>
                <w:rFonts w:asciiTheme="minorHAnsi" w:hAnsiTheme="minorHAnsi" w:cs="Arial"/>
                <w:b/>
                <w:color w:val="000000" w:themeColor="text1"/>
              </w:rPr>
              <w:t>D</w:t>
            </w:r>
            <w:r w:rsidRPr="00061E9E">
              <w:rPr>
                <w:rFonts w:asciiTheme="minorHAnsi" w:hAnsiTheme="minorHAnsi" w:cs="Arial"/>
                <w:b/>
                <w:color w:val="000000" w:themeColor="text1"/>
              </w:rPr>
              <w:t>iario reflexivo</w:t>
            </w:r>
            <w:r>
              <w:rPr>
                <w:rFonts w:asciiTheme="minorHAnsi" w:hAnsiTheme="minorHAnsi" w:cs="Arial"/>
                <w:b/>
                <w:color w:val="000000" w:themeColor="text1"/>
              </w:rPr>
              <w:t xml:space="preserve">: </w:t>
            </w:r>
            <w:r>
              <w:rPr>
                <w:rFonts w:asciiTheme="minorHAnsi" w:hAnsiTheme="minorHAnsi" w:cs="Arial"/>
                <w:bCs/>
                <w:color w:val="000000" w:themeColor="text1"/>
              </w:rPr>
              <w:t xml:space="preserve">se elabora en la sesión 6 y tiene un valor de </w:t>
            </w:r>
            <w:r w:rsidRPr="00931274">
              <w:rPr>
                <w:rFonts w:asciiTheme="minorHAnsi" w:hAnsiTheme="minorHAnsi" w:cs="Arial"/>
                <w:bCs/>
                <w:color w:val="0070C0"/>
              </w:rPr>
              <w:t>4%</w:t>
            </w:r>
            <w:r>
              <w:rPr>
                <w:rFonts w:asciiTheme="minorHAnsi" w:hAnsiTheme="minorHAnsi" w:cs="Arial"/>
                <w:bCs/>
                <w:color w:val="000000" w:themeColor="text1"/>
              </w:rPr>
              <w:t>.</w:t>
            </w:r>
          </w:p>
        </w:tc>
        <w:tc>
          <w:tcPr>
            <w:tcW w:w="1473" w:type="dxa"/>
            <w:vAlign w:val="center"/>
          </w:tcPr>
          <w:p w14:paraId="20CF9EA5" w14:textId="77777777" w:rsidR="0076384B" w:rsidRDefault="0076384B" w:rsidP="00484BB1">
            <w:pPr>
              <w:spacing w:after="0" w:line="276" w:lineRule="auto"/>
              <w:jc w:val="center"/>
              <w:rPr>
                <w:rFonts w:cs="Arial"/>
                <w:bCs/>
                <w:color w:val="000000" w:themeColor="text1"/>
              </w:rPr>
            </w:pPr>
            <w:r w:rsidRPr="00931274">
              <w:rPr>
                <w:rFonts w:cs="Arial"/>
                <w:bCs/>
                <w:color w:val="0070C0"/>
              </w:rPr>
              <w:t>40%</w:t>
            </w:r>
          </w:p>
        </w:tc>
      </w:tr>
      <w:tr w:rsidR="0076384B" w:rsidRPr="00D75677" w14:paraId="5156B4BE" w14:textId="77777777" w:rsidTr="00612946">
        <w:tc>
          <w:tcPr>
            <w:tcW w:w="7905" w:type="dxa"/>
          </w:tcPr>
          <w:p w14:paraId="746F6BD0" w14:textId="77777777" w:rsidR="0076384B" w:rsidRPr="00D45AB4" w:rsidRDefault="0076384B" w:rsidP="00484BB1">
            <w:pPr>
              <w:pStyle w:val="Listavistosa-nfasis11"/>
              <w:numPr>
                <w:ilvl w:val="0"/>
                <w:numId w:val="23"/>
              </w:numPr>
              <w:autoSpaceDE w:val="0"/>
              <w:autoSpaceDN w:val="0"/>
              <w:adjustRightInd w:val="0"/>
              <w:spacing w:after="0"/>
              <w:ind w:left="0"/>
              <w:jc w:val="both"/>
              <w:rPr>
                <w:rFonts w:asciiTheme="minorHAnsi" w:hAnsiTheme="minorHAnsi" w:cs="Arial"/>
                <w:bCs/>
                <w:color w:val="000000" w:themeColor="text1"/>
                <w:u w:val="single"/>
              </w:rPr>
            </w:pPr>
            <w:r w:rsidRPr="00D45AB4">
              <w:rPr>
                <w:rFonts w:asciiTheme="minorHAnsi" w:hAnsiTheme="minorHAnsi" w:cs="Arial"/>
                <w:b/>
                <w:bCs/>
                <w:i/>
                <w:color w:val="000000" w:themeColor="text1"/>
                <w:u w:val="single"/>
              </w:rPr>
              <w:t>Trabajos grupales</w:t>
            </w:r>
          </w:p>
          <w:p w14:paraId="0ABB96D5"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sidRPr="003170BE">
              <w:rPr>
                <w:rFonts w:asciiTheme="minorHAnsi" w:hAnsiTheme="minorHAnsi" w:cs="Arial"/>
                <w:b/>
                <w:bCs/>
                <w:iCs/>
                <w:color w:val="000000" w:themeColor="text1"/>
              </w:rPr>
              <w:t>- Foros</w:t>
            </w:r>
            <w:r w:rsidRPr="006C228B">
              <w:rPr>
                <w:rFonts w:asciiTheme="minorHAnsi" w:hAnsiTheme="minorHAnsi" w:cs="Arial"/>
                <w:b/>
                <w:bCs/>
                <w:iCs/>
                <w:color w:val="000000" w:themeColor="text1"/>
              </w:rPr>
              <w:t xml:space="preserve"> temáticos grupales</w:t>
            </w:r>
            <w:r>
              <w:rPr>
                <w:rFonts w:asciiTheme="minorHAnsi" w:hAnsiTheme="minorHAnsi" w:cs="Arial"/>
                <w:b/>
                <w:bCs/>
                <w:iCs/>
                <w:color w:val="000000" w:themeColor="text1"/>
              </w:rPr>
              <w:t>:</w:t>
            </w:r>
            <w:r>
              <w:rPr>
                <w:rFonts w:asciiTheme="minorHAnsi" w:hAnsiTheme="minorHAnsi" w:cs="Arial"/>
                <w:iCs/>
                <w:color w:val="000000" w:themeColor="text1"/>
              </w:rPr>
              <w:t xml:space="preserve"> se desarrollan en las sesiones 1 y 4 (cada foro tiene un valor de </w:t>
            </w:r>
            <w:r w:rsidRPr="00566314">
              <w:rPr>
                <w:rFonts w:asciiTheme="minorHAnsi" w:hAnsiTheme="minorHAnsi" w:cs="Arial"/>
                <w:iCs/>
                <w:color w:val="0070C0"/>
              </w:rPr>
              <w:t>5%</w:t>
            </w:r>
            <w:r>
              <w:rPr>
                <w:rFonts w:asciiTheme="minorHAnsi" w:hAnsiTheme="minorHAnsi" w:cs="Arial"/>
                <w:iCs/>
                <w:color w:val="000000" w:themeColor="text1"/>
              </w:rPr>
              <w:t xml:space="preserve">) y en la sesión 14 (este foro tiene un valor de </w:t>
            </w:r>
            <w:r w:rsidRPr="00566314">
              <w:rPr>
                <w:rFonts w:asciiTheme="minorHAnsi" w:hAnsiTheme="minorHAnsi" w:cs="Arial"/>
                <w:iCs/>
                <w:color w:val="0070C0"/>
              </w:rPr>
              <w:t>4%</w:t>
            </w:r>
            <w:r>
              <w:rPr>
                <w:rFonts w:asciiTheme="minorHAnsi" w:hAnsiTheme="minorHAnsi" w:cs="Arial"/>
                <w:iCs/>
                <w:color w:val="000000" w:themeColor="text1"/>
              </w:rPr>
              <w:t xml:space="preserve">) </w:t>
            </w:r>
          </w:p>
          <w:p w14:paraId="7122751B"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
                <w:color w:val="000000" w:themeColor="text1"/>
              </w:rPr>
              <w:t>- F</w:t>
            </w:r>
            <w:r w:rsidRPr="002B5FA5">
              <w:rPr>
                <w:rFonts w:asciiTheme="minorHAnsi" w:hAnsiTheme="minorHAnsi" w:cs="Arial"/>
                <w:b/>
                <w:color w:val="000000" w:themeColor="text1"/>
              </w:rPr>
              <w:t>oros grupales para comentar los mapas conceptuales</w:t>
            </w:r>
            <w:r>
              <w:rPr>
                <w:rFonts w:asciiTheme="minorHAnsi" w:hAnsiTheme="minorHAnsi" w:cs="Arial"/>
                <w:b/>
                <w:color w:val="000000" w:themeColor="text1"/>
              </w:rPr>
              <w:t xml:space="preserve">: </w:t>
            </w:r>
            <w:r>
              <w:rPr>
                <w:rFonts w:asciiTheme="minorHAnsi" w:hAnsiTheme="minorHAnsi" w:cs="Arial"/>
                <w:bCs/>
                <w:color w:val="000000" w:themeColor="text1"/>
              </w:rPr>
              <w:t xml:space="preserve">se desarrollan en las sesiones 2 y 9. Cada foro tiene un valor de 3%. </w:t>
            </w:r>
          </w:p>
          <w:p w14:paraId="035F2CEA" w14:textId="77777777" w:rsidR="0076384B" w:rsidRPr="000359E6"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
                <w:color w:val="000000" w:themeColor="text1"/>
              </w:rPr>
              <w:t xml:space="preserve">- Glosarios: </w:t>
            </w:r>
            <w:r>
              <w:rPr>
                <w:rFonts w:asciiTheme="minorHAnsi" w:hAnsiTheme="minorHAnsi" w:cs="Arial"/>
                <w:bCs/>
                <w:color w:val="000000" w:themeColor="text1"/>
              </w:rPr>
              <w:t xml:space="preserve">se desarrollan en las sesiones 5 y 12. Cada glosario tiene un valor de </w:t>
            </w:r>
            <w:r w:rsidRPr="00566314">
              <w:rPr>
                <w:rFonts w:asciiTheme="minorHAnsi" w:hAnsiTheme="minorHAnsi" w:cs="Arial"/>
                <w:bCs/>
                <w:color w:val="0070C0"/>
              </w:rPr>
              <w:t>5%</w:t>
            </w:r>
            <w:r>
              <w:rPr>
                <w:rFonts w:asciiTheme="minorHAnsi" w:hAnsiTheme="minorHAnsi" w:cs="Arial"/>
                <w:bCs/>
                <w:color w:val="000000" w:themeColor="text1"/>
              </w:rPr>
              <w:t xml:space="preserve">. </w:t>
            </w:r>
          </w:p>
        </w:tc>
        <w:tc>
          <w:tcPr>
            <w:tcW w:w="1473" w:type="dxa"/>
            <w:vAlign w:val="center"/>
          </w:tcPr>
          <w:p w14:paraId="754ACAE5" w14:textId="77777777" w:rsidR="0076384B" w:rsidRPr="00612946" w:rsidRDefault="0076384B" w:rsidP="00484BB1">
            <w:pPr>
              <w:spacing w:after="0" w:line="276" w:lineRule="auto"/>
              <w:jc w:val="center"/>
              <w:rPr>
                <w:rFonts w:cs="Arial"/>
                <w:bCs/>
                <w:color w:val="000000" w:themeColor="text1"/>
              </w:rPr>
            </w:pPr>
            <w:r w:rsidRPr="00566314">
              <w:rPr>
                <w:rFonts w:cs="Arial"/>
                <w:bCs/>
                <w:color w:val="0070C0"/>
              </w:rPr>
              <w:t>30%</w:t>
            </w:r>
          </w:p>
        </w:tc>
      </w:tr>
      <w:tr w:rsidR="0076384B" w:rsidRPr="00D75677" w14:paraId="4C82AE86" w14:textId="77777777" w:rsidTr="00540DE8">
        <w:tc>
          <w:tcPr>
            <w:tcW w:w="7905" w:type="dxa"/>
          </w:tcPr>
          <w:p w14:paraId="0660B91D" w14:textId="77777777" w:rsidR="0076384B" w:rsidRDefault="0076384B" w:rsidP="00484BB1">
            <w:pPr>
              <w:pStyle w:val="Listavistosa-nfasis11"/>
              <w:autoSpaceDE w:val="0"/>
              <w:autoSpaceDN w:val="0"/>
              <w:adjustRightInd w:val="0"/>
              <w:spacing w:after="0"/>
              <w:ind w:left="0"/>
              <w:jc w:val="both"/>
              <w:rPr>
                <w:rFonts w:asciiTheme="minorHAnsi" w:hAnsiTheme="minorHAnsi" w:cs="Arial"/>
                <w:b/>
                <w:bCs/>
                <w:i/>
                <w:color w:val="000000" w:themeColor="text1"/>
              </w:rPr>
            </w:pPr>
            <w:r>
              <w:rPr>
                <w:rFonts w:asciiTheme="minorHAnsi" w:hAnsiTheme="minorHAnsi" w:cs="Arial"/>
                <w:b/>
                <w:bCs/>
                <w:i/>
                <w:color w:val="000000" w:themeColor="text1"/>
              </w:rPr>
              <w:t>Ensayo crítico final</w:t>
            </w:r>
          </w:p>
          <w:p w14:paraId="47AA4A14" w14:textId="77777777" w:rsidR="0076384B" w:rsidRPr="00856E0D" w:rsidRDefault="0076384B" w:rsidP="00484BB1">
            <w:pPr>
              <w:pStyle w:val="Listavistosa-nfasis11"/>
              <w:autoSpaceDE w:val="0"/>
              <w:autoSpaceDN w:val="0"/>
              <w:adjustRightInd w:val="0"/>
              <w:spacing w:after="0"/>
              <w:ind w:left="0"/>
              <w:jc w:val="both"/>
              <w:rPr>
                <w:rFonts w:asciiTheme="minorHAnsi" w:hAnsiTheme="minorHAnsi" w:cs="Arial"/>
                <w:iCs/>
                <w:color w:val="000000" w:themeColor="text1"/>
              </w:rPr>
            </w:pPr>
            <w:r>
              <w:rPr>
                <w:rFonts w:asciiTheme="minorHAnsi" w:hAnsiTheme="minorHAnsi" w:cs="Arial"/>
                <w:iCs/>
                <w:color w:val="000000" w:themeColor="text1"/>
              </w:rPr>
              <w:t>Se elabora desde la sesión 1 la 15 de la siguiente forma:</w:t>
            </w:r>
          </w:p>
          <w:p w14:paraId="6AE8B21C"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Cs/>
                <w:color w:val="000000" w:themeColor="text1"/>
              </w:rPr>
              <w:t>- Sesión 4 (avance)</w:t>
            </w:r>
          </w:p>
          <w:p w14:paraId="7C05DBFF"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Cs/>
                <w:color w:val="000000" w:themeColor="text1"/>
              </w:rPr>
              <w:t>- Sesión 7 (avance)</w:t>
            </w:r>
          </w:p>
          <w:p w14:paraId="07D5C159" w14:textId="77777777" w:rsidR="0076384B"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Cs/>
                <w:color w:val="000000" w:themeColor="text1"/>
              </w:rPr>
              <w:t>- Sesión 11 (avance)</w:t>
            </w:r>
          </w:p>
          <w:p w14:paraId="2E67229D" w14:textId="77777777" w:rsidR="0076384B" w:rsidRPr="00E57CE7" w:rsidRDefault="0076384B" w:rsidP="00484BB1">
            <w:pPr>
              <w:pStyle w:val="Listavistosa-nfasis11"/>
              <w:autoSpaceDE w:val="0"/>
              <w:autoSpaceDN w:val="0"/>
              <w:adjustRightInd w:val="0"/>
              <w:spacing w:after="0"/>
              <w:ind w:left="0"/>
              <w:jc w:val="both"/>
              <w:rPr>
                <w:rFonts w:asciiTheme="minorHAnsi" w:hAnsiTheme="minorHAnsi" w:cs="Arial"/>
                <w:bCs/>
                <w:color w:val="000000" w:themeColor="text1"/>
              </w:rPr>
            </w:pPr>
            <w:r>
              <w:rPr>
                <w:rFonts w:asciiTheme="minorHAnsi" w:hAnsiTheme="minorHAnsi" w:cs="Arial"/>
                <w:bCs/>
                <w:color w:val="000000" w:themeColor="text1"/>
              </w:rPr>
              <w:t>- Sesión 15 (versión final)</w:t>
            </w:r>
          </w:p>
        </w:tc>
        <w:tc>
          <w:tcPr>
            <w:tcW w:w="1473" w:type="dxa"/>
            <w:vAlign w:val="center"/>
          </w:tcPr>
          <w:p w14:paraId="45A7AC1D" w14:textId="77777777" w:rsidR="0076384B" w:rsidRDefault="0076384B" w:rsidP="00484BB1">
            <w:pPr>
              <w:spacing w:after="0" w:line="276" w:lineRule="auto"/>
              <w:jc w:val="center"/>
              <w:rPr>
                <w:rFonts w:cs="Arial"/>
                <w:bCs/>
                <w:color w:val="000000" w:themeColor="text1"/>
              </w:rPr>
            </w:pPr>
            <w:r>
              <w:rPr>
                <w:rFonts w:cs="Arial"/>
                <w:bCs/>
                <w:color w:val="000000" w:themeColor="text1"/>
              </w:rPr>
              <w:t>30%</w:t>
            </w:r>
          </w:p>
        </w:tc>
      </w:tr>
      <w:tr w:rsidR="0076384B" w:rsidRPr="00D75677" w14:paraId="2CAE43E2" w14:textId="77777777" w:rsidTr="00540DE8">
        <w:tc>
          <w:tcPr>
            <w:tcW w:w="7905" w:type="dxa"/>
            <w:vAlign w:val="center"/>
          </w:tcPr>
          <w:p w14:paraId="4C6E2A4A" w14:textId="77777777" w:rsidR="0076384B" w:rsidRPr="00D75677" w:rsidRDefault="0076384B" w:rsidP="00484BB1">
            <w:pPr>
              <w:pStyle w:val="Listavistosa-nfasis11"/>
              <w:autoSpaceDE w:val="0"/>
              <w:autoSpaceDN w:val="0"/>
              <w:adjustRightInd w:val="0"/>
              <w:spacing w:after="0"/>
              <w:ind w:left="0"/>
              <w:rPr>
                <w:rFonts w:asciiTheme="minorHAnsi" w:hAnsiTheme="minorHAnsi" w:cs="Arial"/>
                <w:b/>
                <w:bCs/>
                <w:color w:val="000000" w:themeColor="text1"/>
              </w:rPr>
            </w:pPr>
            <w:r w:rsidRPr="00D75677">
              <w:rPr>
                <w:rFonts w:asciiTheme="minorHAnsi" w:hAnsiTheme="minorHAnsi" w:cs="Arial"/>
                <w:b/>
                <w:bCs/>
                <w:color w:val="000000" w:themeColor="text1"/>
              </w:rPr>
              <w:t>Total</w:t>
            </w:r>
          </w:p>
        </w:tc>
        <w:tc>
          <w:tcPr>
            <w:tcW w:w="1473" w:type="dxa"/>
            <w:vAlign w:val="center"/>
          </w:tcPr>
          <w:p w14:paraId="39592A08" w14:textId="77777777" w:rsidR="0076384B" w:rsidRPr="00D75677" w:rsidRDefault="0076384B" w:rsidP="00484BB1">
            <w:pPr>
              <w:spacing w:after="0" w:line="276" w:lineRule="auto"/>
              <w:jc w:val="center"/>
              <w:rPr>
                <w:rFonts w:cs="Arial"/>
                <w:b/>
                <w:bCs/>
                <w:color w:val="000000" w:themeColor="text1"/>
              </w:rPr>
            </w:pPr>
            <w:r w:rsidRPr="00D75677">
              <w:rPr>
                <w:rFonts w:cs="Arial"/>
                <w:b/>
                <w:bCs/>
                <w:color w:val="000000" w:themeColor="text1"/>
              </w:rPr>
              <w:t>100%</w:t>
            </w:r>
          </w:p>
        </w:tc>
      </w:tr>
    </w:tbl>
    <w:p w14:paraId="346EF9D0" w14:textId="77777777" w:rsidR="0076384B" w:rsidRDefault="0076384B">
      <w:pPr>
        <w:rPr>
          <w:rFonts w:cs="Arial"/>
          <w:b/>
          <w:bCs/>
          <w:color w:val="000000" w:themeColor="text1"/>
        </w:rPr>
      </w:pPr>
      <w:r>
        <w:rPr>
          <w:rFonts w:cs="Arial"/>
          <w:b/>
          <w:bCs/>
          <w:color w:val="000000" w:themeColor="text1"/>
        </w:rPr>
        <w:br w:type="page"/>
      </w:r>
    </w:p>
    <w:p w14:paraId="207269B2" w14:textId="77777777" w:rsidR="0076384B" w:rsidRDefault="0076384B" w:rsidP="00757F42">
      <w:pPr>
        <w:jc w:val="both"/>
        <w:rPr>
          <w:rFonts w:cs="Arial"/>
          <w:b/>
          <w:bCs/>
          <w:color w:val="000000" w:themeColor="text1"/>
        </w:rPr>
        <w:sectPr w:rsidR="0076384B" w:rsidSect="005C1895">
          <w:footerReference w:type="default" r:id="rId41"/>
          <w:pgSz w:w="12240" w:h="15840"/>
          <w:pgMar w:top="1417" w:right="1701" w:bottom="1417" w:left="1701" w:header="708" w:footer="708" w:gutter="0"/>
          <w:cols w:space="708"/>
          <w:titlePg/>
          <w:docGrid w:linePitch="360"/>
        </w:sectPr>
      </w:pPr>
    </w:p>
    <w:p w14:paraId="604D8FEE" w14:textId="77777777" w:rsidR="0076384B" w:rsidRDefault="0076384B" w:rsidP="00532AE5">
      <w:pPr>
        <w:jc w:val="both"/>
        <w:rPr>
          <w:rFonts w:cs="Arial"/>
          <w:b/>
          <w:bCs/>
          <w:color w:val="000000" w:themeColor="text1"/>
        </w:rPr>
      </w:pPr>
      <w:r>
        <w:rPr>
          <w:b/>
          <w:noProof/>
        </w:rPr>
        <w:lastRenderedPageBreak/>
        <mc:AlternateContent>
          <mc:Choice Requires="wps">
            <w:drawing>
              <wp:anchor distT="0" distB="0" distL="114300" distR="114300" simplePos="0" relativeHeight="252151808" behindDoc="0" locked="0" layoutInCell="1" allowOverlap="1" wp14:anchorId="69DD593C" wp14:editId="6BB54A15">
                <wp:simplePos x="0" y="0"/>
                <wp:positionH relativeFrom="margin">
                  <wp:align>center</wp:align>
                </wp:positionH>
                <wp:positionV relativeFrom="paragraph">
                  <wp:posOffset>-119063</wp:posOffset>
                </wp:positionV>
                <wp:extent cx="6606540" cy="419100"/>
                <wp:effectExtent l="0" t="0" r="22860" b="19050"/>
                <wp:wrapNone/>
                <wp:docPr id="524285991" name="Cuadro de texto 524285991"/>
                <wp:cNvGraphicFramePr/>
                <a:graphic xmlns:a="http://schemas.openxmlformats.org/drawingml/2006/main">
                  <a:graphicData uri="http://schemas.microsoft.com/office/word/2010/wordprocessingShape">
                    <wps:wsp>
                      <wps:cNvSpPr txBox="1"/>
                      <wps:spPr>
                        <a:xfrm>
                          <a:off x="0" y="0"/>
                          <a:ext cx="6606540" cy="419100"/>
                        </a:xfrm>
                        <a:prstGeom prst="rect">
                          <a:avLst/>
                        </a:prstGeom>
                        <a:solidFill>
                          <a:schemeClr val="lt1"/>
                        </a:solidFill>
                        <a:ln w="6350">
                          <a:solidFill>
                            <a:prstClr val="black"/>
                          </a:solidFill>
                        </a:ln>
                      </wps:spPr>
                      <wps:txbx>
                        <w:txbxContent>
                          <w:p w14:paraId="400DC595" w14:textId="77777777" w:rsidR="0076384B" w:rsidRPr="00DD4B0C" w:rsidRDefault="0076384B" w:rsidP="00DD4B0C">
                            <w:pPr>
                              <w:jc w:val="center"/>
                              <w:rPr>
                                <w:rFonts w:cstheme="minorHAnsi"/>
                                <w:szCs w:val="24"/>
                              </w:rPr>
                            </w:pPr>
                            <w:r w:rsidRPr="00DD4B0C">
                              <w:rPr>
                                <w:rFonts w:cstheme="minorHAnsi"/>
                                <w:b/>
                                <w:szCs w:val="24"/>
                              </w:rPr>
                              <w:t>RÚBRICA DE EVALUACIÓN – MAPA CONCEPTUAL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DD593C" id="Cuadro de texto 524285991" o:spid="_x0000_s1040" type="#_x0000_t202" style="position:absolute;left:0;text-align:left;margin-left:0;margin-top:-9.4pt;width:520.2pt;height:33pt;z-index:252151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" fillcolor="white [3201]" strokeweight=".5pt">
                <v:textbox>
                  <w:txbxContent>
                    <w:p w14:paraId="400DC595" w14:textId="77777777" w:rsidR="0076384B" w:rsidRPr="00DD4B0C" w:rsidRDefault="0076384B" w:rsidP="00DD4B0C">
                      <w:pPr>
                        <w:jc w:val="center"/>
                        <w:rPr>
                          <w:rFonts w:cstheme="minorHAnsi"/>
                          <w:szCs w:val="24"/>
                        </w:rPr>
                      </w:pPr>
                      <w:r w:rsidRPr="00DD4B0C">
                        <w:rPr>
                          <w:rFonts w:cstheme="minorHAnsi"/>
                          <w:b/>
                          <w:szCs w:val="24"/>
                        </w:rPr>
                        <w:t>RÚBRICA DE EVALUACIÓN – MAPA CONCEPTUAL</w:t>
                      </w:r>
                    </w:p>
                  </w:txbxContent>
                </v:textbox>
                <w10:wrap anchorx="margin"/>
              </v:shape>
            </w:pict>
          </mc:Fallback>
        </mc:AlternateContent>
      </w:r>
    </w:p>
    <w:p w14:paraId="1A977521" w14:textId="77777777" w:rsidR="0076384B" w:rsidRDefault="0076384B" w:rsidP="00532AE5">
      <w:pPr>
        <w:jc w:val="both"/>
        <w:rPr>
          <w:rFonts w:cs="Arial"/>
          <w:b/>
          <w:bCs/>
          <w:color w:val="000000" w:themeColor="text1"/>
        </w:rPr>
      </w:pPr>
    </w:p>
    <w:p w14:paraId="3F753A65" w14:textId="77777777" w:rsidR="0076384B" w:rsidRPr="00667CF6" w:rsidRDefault="0076384B" w:rsidP="00532AE5">
      <w:pPr>
        <w:jc w:val="center"/>
        <w:rPr>
          <w:rFonts w:cs="Arial"/>
          <w:color w:val="0070C0"/>
        </w:rPr>
      </w:pPr>
      <w:r w:rsidRPr="00667CF6">
        <w:rPr>
          <w:rFonts w:cs="Arial"/>
          <w:color w:val="0070C0"/>
        </w:rPr>
        <w:t>Con el fin de lograr un aprendizaje significativo, la representación y organización del conocimiento mediante la herramienta mapa conceptual es de suma importancia. Con base en las lecturas asignadas y con el fin de graficar su comprensión se elaborarán mapas conceptuales. Se elaboran en las sesiones 2 y 9. Cada mapa tiene un valor de 3%.</w:t>
      </w:r>
    </w:p>
    <w:p w14:paraId="0F4E1281" w14:textId="77777777" w:rsidR="0076384B" w:rsidRDefault="0076384B" w:rsidP="00532AE5">
      <w:pPr>
        <w:jc w:val="center"/>
        <w:rPr>
          <w:rFonts w:cs="Arial"/>
          <w:color w:val="000000" w:themeColor="text1"/>
        </w:rPr>
      </w:pPr>
      <w:r>
        <w:rPr>
          <w:rFonts w:cs="Arial"/>
          <w:b/>
          <w:bCs/>
          <w:noProof/>
          <w:color w:val="000000" w:themeColor="text1"/>
        </w:rPr>
        <w:drawing>
          <wp:anchor distT="0" distB="0" distL="114300" distR="114300" simplePos="0" relativeHeight="252152832" behindDoc="0" locked="0" layoutInCell="1" allowOverlap="1" wp14:anchorId="24E7E810" wp14:editId="6FBE7EF5">
            <wp:simplePos x="0" y="0"/>
            <wp:positionH relativeFrom="margin">
              <wp:align>center</wp:align>
            </wp:positionH>
            <wp:positionV relativeFrom="paragraph">
              <wp:posOffset>55880</wp:posOffset>
            </wp:positionV>
            <wp:extent cx="7496175" cy="5796280"/>
            <wp:effectExtent l="0" t="0" r="9525" b="0"/>
            <wp:wrapNone/>
            <wp:docPr id="93895852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958521" name="Imagen 1" descr="Tabla&#10;&#10;Descripción generada automáticamente"/>
                    <pic:cNvPicPr/>
                  </pic:nvPicPr>
                  <pic:blipFill>
                    <a:blip r:embed="rId42">
                      <a:extLst>
                        <a:ext uri="{28A0092B-C50C-407E-A947-70E740481C1C}">
                          <a14:useLocalDpi xmlns:a14="http://schemas.microsoft.com/office/drawing/2010/main" val="0"/>
                        </a:ext>
                      </a:extLst>
                    </a:blip>
                    <a:stretch>
                      <a:fillRect/>
                    </a:stretch>
                  </pic:blipFill>
                  <pic:spPr>
                    <a:xfrm>
                      <a:off x="0" y="0"/>
                      <a:ext cx="7496175" cy="5796280"/>
                    </a:xfrm>
                    <a:prstGeom prst="rect">
                      <a:avLst/>
                    </a:prstGeom>
                  </pic:spPr>
                </pic:pic>
              </a:graphicData>
            </a:graphic>
            <wp14:sizeRelH relativeFrom="margin">
              <wp14:pctWidth>0</wp14:pctWidth>
            </wp14:sizeRelH>
            <wp14:sizeRelV relativeFrom="margin">
              <wp14:pctHeight>0</wp14:pctHeight>
            </wp14:sizeRelV>
          </wp:anchor>
        </w:drawing>
      </w:r>
    </w:p>
    <w:p w14:paraId="4128A239" w14:textId="77777777" w:rsidR="0076384B" w:rsidRPr="00532AE5" w:rsidRDefault="0076384B" w:rsidP="00532AE5">
      <w:pPr>
        <w:jc w:val="center"/>
        <w:rPr>
          <w:rFonts w:cs="Arial"/>
          <w:b/>
          <w:bCs/>
          <w:color w:val="000000" w:themeColor="text1"/>
        </w:rPr>
      </w:pPr>
    </w:p>
    <w:p w14:paraId="4EE449DC" w14:textId="77777777" w:rsidR="0076384B" w:rsidRDefault="0076384B" w:rsidP="00757F42">
      <w:pPr>
        <w:jc w:val="both"/>
        <w:rPr>
          <w:rFonts w:cs="Arial"/>
          <w:b/>
          <w:bCs/>
          <w:color w:val="000000" w:themeColor="text1"/>
        </w:rPr>
      </w:pPr>
      <w:r>
        <w:rPr>
          <w:rFonts w:cs="Arial"/>
          <w:b/>
          <w:bCs/>
          <w:color w:val="000000" w:themeColor="text1"/>
        </w:rPr>
        <w:br w:type="page"/>
      </w:r>
    </w:p>
    <w:p w14:paraId="26F25F01" w14:textId="77777777" w:rsidR="0076384B" w:rsidRDefault="0076384B" w:rsidP="00C37607">
      <w:pPr>
        <w:jc w:val="both"/>
        <w:rPr>
          <w:rFonts w:cs="Arial"/>
          <w:b/>
          <w:bCs/>
          <w:color w:val="000000" w:themeColor="text1"/>
        </w:rPr>
      </w:pPr>
      <w:r>
        <w:rPr>
          <w:b/>
          <w:noProof/>
        </w:rPr>
        <w:lastRenderedPageBreak/>
        <mc:AlternateContent>
          <mc:Choice Requires="wps">
            <w:drawing>
              <wp:anchor distT="0" distB="0" distL="114300" distR="114300" simplePos="0" relativeHeight="252153856" behindDoc="0" locked="0" layoutInCell="1" allowOverlap="1" wp14:anchorId="7A197257" wp14:editId="3D445ED4">
                <wp:simplePos x="0" y="0"/>
                <wp:positionH relativeFrom="margin">
                  <wp:align>center</wp:align>
                </wp:positionH>
                <wp:positionV relativeFrom="paragraph">
                  <wp:posOffset>-166687</wp:posOffset>
                </wp:positionV>
                <wp:extent cx="6606540" cy="400050"/>
                <wp:effectExtent l="0" t="0" r="22860" b="19050"/>
                <wp:wrapNone/>
                <wp:docPr id="1251388888" name="Cuadro de texto 1251388888"/>
                <wp:cNvGraphicFramePr/>
                <a:graphic xmlns:a="http://schemas.openxmlformats.org/drawingml/2006/main">
                  <a:graphicData uri="http://schemas.microsoft.com/office/word/2010/wordprocessingShape">
                    <wps:wsp>
                      <wps:cNvSpPr txBox="1"/>
                      <wps:spPr>
                        <a:xfrm>
                          <a:off x="0" y="0"/>
                          <a:ext cx="6606540" cy="400050"/>
                        </a:xfrm>
                        <a:prstGeom prst="rect">
                          <a:avLst/>
                        </a:prstGeom>
                        <a:solidFill>
                          <a:schemeClr val="lt1"/>
                        </a:solidFill>
                        <a:ln w="6350">
                          <a:solidFill>
                            <a:prstClr val="black"/>
                          </a:solidFill>
                        </a:ln>
                      </wps:spPr>
                      <wps:txbx>
                        <w:txbxContent>
                          <w:p w14:paraId="210494F7" w14:textId="77777777" w:rsidR="0076384B" w:rsidRPr="00F37A3E" w:rsidRDefault="0076384B" w:rsidP="00F37A3E">
                            <w:pPr>
                              <w:jc w:val="center"/>
                              <w:rPr>
                                <w:rFonts w:cstheme="minorHAnsi"/>
                                <w:szCs w:val="24"/>
                              </w:rPr>
                            </w:pPr>
                            <w:r w:rsidRPr="00F37A3E">
                              <w:rPr>
                                <w:rFonts w:cstheme="minorHAnsi"/>
                                <w:b/>
                                <w:szCs w:val="24"/>
                              </w:rPr>
                              <w:t>RÚBRICA DE EVALUACIÓN – REPORTE DE LECTURA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97257" id="Cuadro de texto 1251388888" o:spid="_x0000_s1041" type="#_x0000_t202" style="position:absolute;left:0;text-align:left;margin-left:0;margin-top:-13.1pt;width:520.2pt;height:31.5pt;z-index:252153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" fillcolor="white [3201]" strokeweight=".5pt">
                <v:textbox>
                  <w:txbxContent>
                    <w:p w14:paraId="210494F7" w14:textId="77777777" w:rsidR="0076384B" w:rsidRPr="00F37A3E" w:rsidRDefault="0076384B" w:rsidP="00F37A3E">
                      <w:pPr>
                        <w:jc w:val="center"/>
                        <w:rPr>
                          <w:rFonts w:cstheme="minorHAnsi"/>
                          <w:szCs w:val="24"/>
                        </w:rPr>
                      </w:pPr>
                      <w:r w:rsidRPr="00F37A3E">
                        <w:rPr>
                          <w:rFonts w:cstheme="minorHAnsi"/>
                          <w:b/>
                          <w:szCs w:val="24"/>
                        </w:rPr>
                        <w:t>RÚBRICA DE EVALUACIÓN – REPORTE DE LECTURA</w:t>
                      </w:r>
                    </w:p>
                  </w:txbxContent>
                </v:textbox>
                <w10:wrap anchorx="margin"/>
              </v:shape>
            </w:pict>
          </mc:Fallback>
        </mc:AlternateContent>
      </w:r>
    </w:p>
    <w:p w14:paraId="3B337A49" w14:textId="77777777" w:rsidR="0076384B" w:rsidRDefault="0076384B" w:rsidP="00C37607">
      <w:pPr>
        <w:jc w:val="both"/>
        <w:rPr>
          <w:rFonts w:cs="Arial"/>
          <w:b/>
          <w:bCs/>
          <w:color w:val="000000" w:themeColor="text1"/>
        </w:rPr>
      </w:pPr>
    </w:p>
    <w:p w14:paraId="40E722F4" w14:textId="77777777" w:rsidR="0076384B" w:rsidRPr="00667CF6" w:rsidRDefault="0076384B" w:rsidP="00C37607">
      <w:pPr>
        <w:jc w:val="center"/>
        <w:rPr>
          <w:rFonts w:cs="Arial"/>
          <w:color w:val="0070C0"/>
        </w:rPr>
      </w:pPr>
      <w:r w:rsidRPr="00667CF6">
        <w:rPr>
          <w:rFonts w:cs="Arial"/>
          <w:color w:val="0070C0"/>
        </w:rPr>
        <w:t>Una forma de sistematizar los aportes de una persona autora o más se da mediante los reportes de lectura en donde se explica el contenido del texto, las partes más interesantes para la persona lectora y qué reflexiones provoca. Se elaboran en las sesiones 3, 4, 7, 8, 10 y 13. Cada reporte tiene un valor de 4%.</w:t>
      </w:r>
    </w:p>
    <w:p w14:paraId="7E34BBB6" w14:textId="77777777" w:rsidR="0076384B" w:rsidRDefault="0076384B" w:rsidP="00C37607">
      <w:pPr>
        <w:jc w:val="center"/>
        <w:rPr>
          <w:rFonts w:cs="Arial"/>
          <w:color w:val="000000" w:themeColor="text1"/>
        </w:rPr>
      </w:pPr>
      <w:r>
        <w:rPr>
          <w:rFonts w:cs="Arial"/>
          <w:b/>
          <w:bCs/>
          <w:noProof/>
          <w:color w:val="000000" w:themeColor="text1"/>
        </w:rPr>
        <w:drawing>
          <wp:anchor distT="0" distB="0" distL="114300" distR="114300" simplePos="0" relativeHeight="252154880" behindDoc="0" locked="0" layoutInCell="1" allowOverlap="1" wp14:anchorId="02F6C229" wp14:editId="4F835BE3">
            <wp:simplePos x="0" y="0"/>
            <wp:positionH relativeFrom="margin">
              <wp:align>center</wp:align>
            </wp:positionH>
            <wp:positionV relativeFrom="paragraph">
              <wp:posOffset>149225</wp:posOffset>
            </wp:positionV>
            <wp:extent cx="8058150" cy="5076042"/>
            <wp:effectExtent l="0" t="0" r="0" b="0"/>
            <wp:wrapNone/>
            <wp:docPr id="440225576"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225576" name="Imagen 2" descr="Tabla&#10;&#10;Descripción generada automáticamente"/>
                    <pic:cNvPicPr/>
                  </pic:nvPicPr>
                  <pic:blipFill>
                    <a:blip r:embed="rId43">
                      <a:extLst>
                        <a:ext uri="{28A0092B-C50C-407E-A947-70E740481C1C}">
                          <a14:useLocalDpi xmlns:a14="http://schemas.microsoft.com/office/drawing/2010/main" val="0"/>
                        </a:ext>
                      </a:extLst>
                    </a:blip>
                    <a:stretch>
                      <a:fillRect/>
                    </a:stretch>
                  </pic:blipFill>
                  <pic:spPr>
                    <a:xfrm>
                      <a:off x="0" y="0"/>
                      <a:ext cx="8058150" cy="5076042"/>
                    </a:xfrm>
                    <a:prstGeom prst="rect">
                      <a:avLst/>
                    </a:prstGeom>
                  </pic:spPr>
                </pic:pic>
              </a:graphicData>
            </a:graphic>
            <wp14:sizeRelH relativeFrom="margin">
              <wp14:pctWidth>0</wp14:pctWidth>
            </wp14:sizeRelH>
            <wp14:sizeRelV relativeFrom="margin">
              <wp14:pctHeight>0</wp14:pctHeight>
            </wp14:sizeRelV>
          </wp:anchor>
        </w:drawing>
      </w:r>
    </w:p>
    <w:p w14:paraId="4812237D" w14:textId="77777777" w:rsidR="0076384B" w:rsidRPr="00C37607" w:rsidRDefault="0076384B" w:rsidP="00C37607">
      <w:pPr>
        <w:jc w:val="center"/>
        <w:rPr>
          <w:rFonts w:cs="Arial"/>
          <w:b/>
          <w:bCs/>
          <w:color w:val="000000" w:themeColor="text1"/>
        </w:rPr>
      </w:pPr>
    </w:p>
    <w:p w14:paraId="7AE83B50" w14:textId="77777777" w:rsidR="0076384B" w:rsidRDefault="0076384B" w:rsidP="00757F42">
      <w:pPr>
        <w:jc w:val="both"/>
        <w:rPr>
          <w:rFonts w:cs="Arial"/>
          <w:b/>
          <w:bCs/>
          <w:color w:val="000000" w:themeColor="text1"/>
        </w:rPr>
      </w:pPr>
      <w:r>
        <w:rPr>
          <w:rFonts w:cs="Arial"/>
          <w:b/>
          <w:bCs/>
          <w:color w:val="000000" w:themeColor="text1"/>
        </w:rPr>
        <w:br w:type="page"/>
      </w:r>
    </w:p>
    <w:p w14:paraId="3A386226" w14:textId="77777777" w:rsidR="0076384B" w:rsidRDefault="0076384B" w:rsidP="00604D9C">
      <w:pPr>
        <w:jc w:val="both"/>
        <w:rPr>
          <w:rFonts w:cs="Arial"/>
          <w:b/>
          <w:bCs/>
          <w:color w:val="000000" w:themeColor="text1"/>
        </w:rPr>
      </w:pPr>
      <w:r>
        <w:rPr>
          <w:b/>
          <w:noProof/>
        </w:rPr>
        <w:lastRenderedPageBreak/>
        <mc:AlternateContent>
          <mc:Choice Requires="wps">
            <w:drawing>
              <wp:anchor distT="0" distB="0" distL="114300" distR="114300" simplePos="0" relativeHeight="252155904" behindDoc="0" locked="0" layoutInCell="1" allowOverlap="1" wp14:anchorId="7D68E7C2" wp14:editId="3C8FFB95">
                <wp:simplePos x="0" y="0"/>
                <wp:positionH relativeFrom="margin">
                  <wp:align>center</wp:align>
                </wp:positionH>
                <wp:positionV relativeFrom="paragraph">
                  <wp:posOffset>-176213</wp:posOffset>
                </wp:positionV>
                <wp:extent cx="6606540" cy="411480"/>
                <wp:effectExtent l="0" t="0" r="22860" b="26670"/>
                <wp:wrapNone/>
                <wp:docPr id="454782344" name="Cuadro de texto 454782344"/>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19359A64" w14:textId="77777777" w:rsidR="0076384B" w:rsidRPr="00C25376" w:rsidRDefault="0076384B" w:rsidP="004C54BD">
                            <w:pPr>
                              <w:jc w:val="center"/>
                              <w:rPr>
                                <w:rFonts w:cstheme="minorHAnsi"/>
                              </w:rPr>
                            </w:pPr>
                            <w:r w:rsidRPr="00C25376">
                              <w:rPr>
                                <w:rFonts w:cstheme="minorHAnsi"/>
                                <w:b/>
                              </w:rPr>
                              <w:t>RÚBRICA DE EVALUACIÓN</w:t>
                            </w:r>
                            <w:r>
                              <w:rPr>
                                <w:rFonts w:cstheme="minorHAnsi"/>
                                <w:b/>
                              </w:rPr>
                              <w:t xml:space="preserve">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8E7C2" id="Cuadro de texto 454782344" o:spid="_x0000_s1042" type="#_x0000_t202" style="position:absolute;left:0;text-align:left;margin-left:0;margin-top:-13.9pt;width:520.2pt;height:32.4pt;z-index:252155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Ym+OgIAAIQ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" fillcolor="white [3201]" strokeweight=".5pt">
                <v:textbox>
                  <w:txbxContent>
                    <w:p w14:paraId="19359A64" w14:textId="77777777" w:rsidR="0076384B" w:rsidRPr="00C25376" w:rsidRDefault="0076384B" w:rsidP="004C54BD">
                      <w:pPr>
                        <w:jc w:val="center"/>
                        <w:rPr>
                          <w:rFonts w:cstheme="minorHAnsi"/>
                        </w:rPr>
                      </w:pPr>
                      <w:r w:rsidRPr="00C25376">
                        <w:rPr>
                          <w:rFonts w:cstheme="minorHAnsi"/>
                          <w:b/>
                        </w:rPr>
                        <w:t>RÚBRICA DE EVALUACIÓN</w:t>
                      </w:r>
                      <w:r>
                        <w:rPr>
                          <w:rFonts w:cstheme="minorHAnsi"/>
                          <w:b/>
                        </w:rPr>
                        <w:t xml:space="preserve"> – GLOSARIO</w:t>
                      </w:r>
                    </w:p>
                  </w:txbxContent>
                </v:textbox>
                <w10:wrap anchorx="margin"/>
              </v:shape>
            </w:pict>
          </mc:Fallback>
        </mc:AlternateContent>
      </w:r>
    </w:p>
    <w:p w14:paraId="201A2FD6" w14:textId="77777777" w:rsidR="0076384B" w:rsidRDefault="0076384B" w:rsidP="00604D9C">
      <w:pPr>
        <w:jc w:val="both"/>
        <w:rPr>
          <w:rFonts w:cs="Arial"/>
          <w:b/>
          <w:bCs/>
          <w:color w:val="000000" w:themeColor="text1"/>
        </w:rPr>
      </w:pPr>
    </w:p>
    <w:p w14:paraId="27A9EB07" w14:textId="77777777" w:rsidR="0076384B" w:rsidRPr="00667CF6" w:rsidRDefault="0076384B" w:rsidP="00604D9C">
      <w:pPr>
        <w:jc w:val="center"/>
        <w:rPr>
          <w:rFonts w:cs="Arial"/>
          <w:color w:val="0070C0"/>
        </w:rPr>
      </w:pPr>
      <w:r w:rsidRPr="00667CF6">
        <w:rPr>
          <w:rFonts w:cs="Arial"/>
          <w:color w:val="0070C0"/>
        </w:rPr>
        <w:t>El glosario busca que la persona estudiante conozca y maneje un vocabulario mínimo de términos de una disciplina, con el fin de definirlos, explicarlos y aplicarlos. Se desarrollan en las sesiones 5 y 12. Cada glosario tiene un valor de 3%.</w:t>
      </w:r>
    </w:p>
    <w:p w14:paraId="3CAA2D8E" w14:textId="77777777" w:rsidR="0076384B" w:rsidRDefault="0076384B" w:rsidP="00604D9C">
      <w:pPr>
        <w:jc w:val="center"/>
        <w:rPr>
          <w:rFonts w:cs="Arial"/>
          <w:color w:val="000000" w:themeColor="text1"/>
        </w:rPr>
      </w:pPr>
    </w:p>
    <w:p w14:paraId="67A27B66" w14:textId="77777777" w:rsidR="0076384B" w:rsidRPr="00604D9C" w:rsidRDefault="0076384B" w:rsidP="00604D9C">
      <w:pPr>
        <w:jc w:val="center"/>
        <w:rPr>
          <w:rFonts w:cs="Arial"/>
          <w:b/>
          <w:bCs/>
          <w:color w:val="000000" w:themeColor="text1"/>
        </w:rPr>
      </w:pPr>
      <w:r>
        <w:rPr>
          <w:rFonts w:cs="Arial"/>
          <w:b/>
          <w:bCs/>
          <w:noProof/>
          <w:color w:val="000000" w:themeColor="text1"/>
        </w:rPr>
        <w:drawing>
          <wp:anchor distT="0" distB="0" distL="114300" distR="114300" simplePos="0" relativeHeight="252156928" behindDoc="0" locked="0" layoutInCell="1" allowOverlap="1" wp14:anchorId="7AB35193" wp14:editId="4C4D7B6C">
            <wp:simplePos x="0" y="0"/>
            <wp:positionH relativeFrom="column">
              <wp:posOffset>0</wp:posOffset>
            </wp:positionH>
            <wp:positionV relativeFrom="paragraph">
              <wp:posOffset>2223</wp:posOffset>
            </wp:positionV>
            <wp:extent cx="9144000" cy="4431665"/>
            <wp:effectExtent l="0" t="0" r="0" b="6985"/>
            <wp:wrapNone/>
            <wp:docPr id="161400709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007091" name="Imagen 3" descr="Tabla&#10;&#10;Descripción generada automáticamente"/>
                    <pic:cNvPicPr/>
                  </pic:nvPicPr>
                  <pic:blipFill>
                    <a:blip r:embed="rId44">
                      <a:extLst>
                        <a:ext uri="{28A0092B-C50C-407E-A947-70E740481C1C}">
                          <a14:useLocalDpi xmlns:a14="http://schemas.microsoft.com/office/drawing/2010/main" val="0"/>
                        </a:ext>
                      </a:extLst>
                    </a:blip>
                    <a:stretch>
                      <a:fillRect/>
                    </a:stretch>
                  </pic:blipFill>
                  <pic:spPr>
                    <a:xfrm>
                      <a:off x="0" y="0"/>
                      <a:ext cx="9144000" cy="4431665"/>
                    </a:xfrm>
                    <a:prstGeom prst="rect">
                      <a:avLst/>
                    </a:prstGeom>
                  </pic:spPr>
                </pic:pic>
              </a:graphicData>
            </a:graphic>
          </wp:anchor>
        </w:drawing>
      </w:r>
    </w:p>
    <w:p w14:paraId="5F64D796" w14:textId="77777777" w:rsidR="0076384B" w:rsidRDefault="0076384B" w:rsidP="00757F42">
      <w:pPr>
        <w:jc w:val="both"/>
        <w:rPr>
          <w:rFonts w:cs="Arial"/>
          <w:b/>
          <w:bCs/>
          <w:color w:val="000000" w:themeColor="text1"/>
        </w:rPr>
      </w:pPr>
      <w:r>
        <w:rPr>
          <w:rFonts w:cs="Arial"/>
          <w:b/>
          <w:bCs/>
          <w:color w:val="000000" w:themeColor="text1"/>
        </w:rPr>
        <w:br w:type="page"/>
      </w:r>
    </w:p>
    <w:p w14:paraId="3AAF8609" w14:textId="77777777" w:rsidR="0076384B" w:rsidRDefault="0076384B" w:rsidP="00851190">
      <w:pPr>
        <w:jc w:val="both"/>
        <w:rPr>
          <w:rFonts w:cs="Arial"/>
          <w:b/>
          <w:bCs/>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157952" behindDoc="0" locked="0" layoutInCell="1" allowOverlap="1" wp14:anchorId="5384C45C" wp14:editId="276DED5E">
                <wp:simplePos x="0" y="0"/>
                <wp:positionH relativeFrom="margin">
                  <wp:align>center</wp:align>
                </wp:positionH>
                <wp:positionV relativeFrom="paragraph">
                  <wp:posOffset>-59055</wp:posOffset>
                </wp:positionV>
                <wp:extent cx="7879080" cy="426720"/>
                <wp:effectExtent l="0" t="0" r="26670" b="11430"/>
                <wp:wrapNone/>
                <wp:docPr id="10885819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5680108A" w14:textId="77777777" w:rsidR="0076384B" w:rsidRPr="00D06599" w:rsidRDefault="0076384B" w:rsidP="0011001B">
                            <w:pPr>
                              <w:jc w:val="center"/>
                              <w:rPr>
                                <w:rFonts w:cstheme="minorHAnsi"/>
                                <w:b/>
                              </w:rPr>
                            </w:pPr>
                            <w:r w:rsidRPr="00D06599">
                              <w:rPr>
                                <w:rFonts w:cstheme="minorHAnsi"/>
                                <w:b/>
                              </w:rPr>
                              <w:t>RÚBRICA DE EVALUACIÓN</w:t>
                            </w:r>
                            <w:r>
                              <w:rPr>
                                <w:rFonts w:cstheme="minorHAnsi"/>
                                <w:b/>
                              </w:rPr>
                              <w:t xml:space="preserve"> – DIARIO REFLEXIVO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84C45C" id="_x0000_s1043" type="#_x0000_t202" style="position:absolute;left:0;text-align:left;margin-left:0;margin-top:-4.65pt;width:620.4pt;height:33.6pt;z-index:2521579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iw1FQ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">
                <v:textbox>
                  <w:txbxContent>
                    <w:p w14:paraId="5680108A" w14:textId="77777777" w:rsidR="0076384B" w:rsidRPr="00D06599" w:rsidRDefault="0076384B" w:rsidP="0011001B">
                      <w:pPr>
                        <w:jc w:val="center"/>
                        <w:rPr>
                          <w:rFonts w:cstheme="minorHAnsi"/>
                          <w:b/>
                        </w:rPr>
                      </w:pPr>
                      <w:r w:rsidRPr="00D06599">
                        <w:rPr>
                          <w:rFonts w:cstheme="minorHAnsi"/>
                          <w:b/>
                        </w:rPr>
                        <w:t>RÚBRICA DE EVALUACIÓN</w:t>
                      </w:r>
                      <w:r>
                        <w:rPr>
                          <w:rFonts w:cstheme="minorHAnsi"/>
                          <w:b/>
                        </w:rPr>
                        <w:t xml:space="preserve"> – DIARIO REFLEXIVO</w:t>
                      </w:r>
                    </w:p>
                  </w:txbxContent>
                </v:textbox>
                <w10:wrap anchorx="margin"/>
              </v:shape>
            </w:pict>
          </mc:Fallback>
        </mc:AlternateContent>
      </w:r>
    </w:p>
    <w:p w14:paraId="7AB5DA5D" w14:textId="77777777" w:rsidR="0076384B" w:rsidRDefault="0076384B" w:rsidP="00851190">
      <w:pPr>
        <w:jc w:val="both"/>
        <w:rPr>
          <w:rFonts w:cs="Arial"/>
          <w:b/>
          <w:bCs/>
          <w:color w:val="000000" w:themeColor="text1"/>
        </w:rPr>
      </w:pPr>
    </w:p>
    <w:p w14:paraId="2D870C7C" w14:textId="77777777" w:rsidR="0076384B" w:rsidRPr="00667CF6" w:rsidRDefault="0076384B" w:rsidP="00851190">
      <w:pPr>
        <w:jc w:val="center"/>
        <w:rPr>
          <w:rFonts w:cs="Arial"/>
          <w:color w:val="0070C0"/>
        </w:rPr>
      </w:pPr>
      <w:r w:rsidRPr="00667CF6">
        <w:rPr>
          <w:rFonts w:cs="Arial"/>
          <w:color w:val="0070C0"/>
        </w:rPr>
        <w:t>El diario reflexivo permite a las personas estudiantes la toma de consciencia en cuanto a los aportes e insumos sobre los que está reflexionando de una manera creativa, contribuyendo al aprendizaje significativo. Se elabora en la sesión 6 y tiene un valor de 4%.</w:t>
      </w:r>
    </w:p>
    <w:p w14:paraId="30F6BDB3" w14:textId="77777777" w:rsidR="0076384B" w:rsidRDefault="0076384B" w:rsidP="00851190">
      <w:pPr>
        <w:jc w:val="center"/>
        <w:rPr>
          <w:rFonts w:cs="Arial"/>
          <w:color w:val="000000" w:themeColor="text1"/>
        </w:rPr>
      </w:pPr>
      <w:r>
        <w:rPr>
          <w:rFonts w:cs="Arial"/>
          <w:b/>
          <w:bCs/>
          <w:noProof/>
          <w:color w:val="000000" w:themeColor="text1"/>
        </w:rPr>
        <w:drawing>
          <wp:anchor distT="0" distB="0" distL="114300" distR="114300" simplePos="0" relativeHeight="252158976" behindDoc="0" locked="0" layoutInCell="1" allowOverlap="1" wp14:anchorId="3F37F0DC" wp14:editId="60200D39">
            <wp:simplePos x="0" y="0"/>
            <wp:positionH relativeFrom="margin">
              <wp:align>center</wp:align>
            </wp:positionH>
            <wp:positionV relativeFrom="paragraph">
              <wp:posOffset>203200</wp:posOffset>
            </wp:positionV>
            <wp:extent cx="8413547" cy="5586413"/>
            <wp:effectExtent l="0" t="0" r="6985" b="0"/>
            <wp:wrapNone/>
            <wp:docPr id="1716168813"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68813" name="Imagen 4" descr="Tabla&#10;&#10;Descripción generada automáticamente"/>
                    <pic:cNvPicPr/>
                  </pic:nvPicPr>
                  <pic:blipFill>
                    <a:blip r:embed="rId45">
                      <a:extLst>
                        <a:ext uri="{28A0092B-C50C-407E-A947-70E740481C1C}">
                          <a14:useLocalDpi xmlns:a14="http://schemas.microsoft.com/office/drawing/2010/main" val="0"/>
                        </a:ext>
                      </a:extLst>
                    </a:blip>
                    <a:stretch>
                      <a:fillRect/>
                    </a:stretch>
                  </pic:blipFill>
                  <pic:spPr>
                    <a:xfrm>
                      <a:off x="0" y="0"/>
                      <a:ext cx="8413547" cy="5586413"/>
                    </a:xfrm>
                    <a:prstGeom prst="rect">
                      <a:avLst/>
                    </a:prstGeom>
                  </pic:spPr>
                </pic:pic>
              </a:graphicData>
            </a:graphic>
            <wp14:sizeRelH relativeFrom="margin">
              <wp14:pctWidth>0</wp14:pctWidth>
            </wp14:sizeRelH>
            <wp14:sizeRelV relativeFrom="margin">
              <wp14:pctHeight>0</wp14:pctHeight>
            </wp14:sizeRelV>
          </wp:anchor>
        </w:drawing>
      </w:r>
    </w:p>
    <w:p w14:paraId="04D84EE7" w14:textId="77777777" w:rsidR="0076384B" w:rsidRDefault="0076384B" w:rsidP="00851190">
      <w:pPr>
        <w:jc w:val="center"/>
        <w:rPr>
          <w:rFonts w:cs="Arial"/>
          <w:color w:val="000000" w:themeColor="text1"/>
        </w:rPr>
      </w:pPr>
    </w:p>
    <w:p w14:paraId="7957A358" w14:textId="77777777" w:rsidR="0076384B" w:rsidRDefault="0076384B" w:rsidP="00851190">
      <w:pPr>
        <w:jc w:val="center"/>
        <w:rPr>
          <w:rFonts w:cs="Arial"/>
          <w:color w:val="000000" w:themeColor="text1"/>
        </w:rPr>
      </w:pPr>
    </w:p>
    <w:p w14:paraId="32226659" w14:textId="77777777" w:rsidR="0076384B" w:rsidRDefault="0076384B" w:rsidP="00851190">
      <w:pPr>
        <w:jc w:val="center"/>
        <w:rPr>
          <w:rFonts w:cs="Arial"/>
          <w:color w:val="000000" w:themeColor="text1"/>
        </w:rPr>
      </w:pPr>
    </w:p>
    <w:p w14:paraId="6CBD3614" w14:textId="77777777" w:rsidR="0076384B" w:rsidRDefault="0076384B" w:rsidP="00851190">
      <w:pPr>
        <w:jc w:val="center"/>
        <w:rPr>
          <w:rFonts w:cs="Arial"/>
          <w:color w:val="000000" w:themeColor="text1"/>
        </w:rPr>
      </w:pPr>
    </w:p>
    <w:p w14:paraId="31D07DA0" w14:textId="77777777" w:rsidR="0076384B" w:rsidRDefault="0076384B" w:rsidP="00851190">
      <w:pPr>
        <w:jc w:val="center"/>
        <w:rPr>
          <w:rFonts w:cs="Arial"/>
          <w:color w:val="000000" w:themeColor="text1"/>
        </w:rPr>
      </w:pPr>
    </w:p>
    <w:p w14:paraId="26702D61" w14:textId="77777777" w:rsidR="0076384B" w:rsidRDefault="0076384B" w:rsidP="00851190">
      <w:pPr>
        <w:jc w:val="center"/>
        <w:rPr>
          <w:rFonts w:cs="Arial"/>
          <w:color w:val="000000" w:themeColor="text1"/>
        </w:rPr>
      </w:pPr>
    </w:p>
    <w:p w14:paraId="3889BC4E" w14:textId="77777777" w:rsidR="0076384B" w:rsidRDefault="0076384B" w:rsidP="00851190">
      <w:pPr>
        <w:jc w:val="center"/>
        <w:rPr>
          <w:rFonts w:cs="Arial"/>
          <w:color w:val="000000" w:themeColor="text1"/>
        </w:rPr>
      </w:pPr>
    </w:p>
    <w:p w14:paraId="1709BC8D" w14:textId="77777777" w:rsidR="0076384B" w:rsidRDefault="0076384B" w:rsidP="00851190">
      <w:pPr>
        <w:jc w:val="center"/>
        <w:rPr>
          <w:rFonts w:cs="Arial"/>
          <w:color w:val="000000" w:themeColor="text1"/>
        </w:rPr>
      </w:pPr>
    </w:p>
    <w:p w14:paraId="6B933A3F" w14:textId="77777777" w:rsidR="0076384B" w:rsidRDefault="0076384B" w:rsidP="00851190">
      <w:pPr>
        <w:jc w:val="center"/>
        <w:rPr>
          <w:rFonts w:cs="Arial"/>
          <w:color w:val="000000" w:themeColor="text1"/>
        </w:rPr>
      </w:pPr>
    </w:p>
    <w:p w14:paraId="0A2E789A" w14:textId="77777777" w:rsidR="0076384B" w:rsidRDefault="0076384B" w:rsidP="00851190">
      <w:pPr>
        <w:jc w:val="center"/>
        <w:rPr>
          <w:rFonts w:cs="Arial"/>
          <w:color w:val="000000" w:themeColor="text1"/>
        </w:rPr>
      </w:pPr>
    </w:p>
    <w:p w14:paraId="33D56D35" w14:textId="77777777" w:rsidR="0076384B" w:rsidRDefault="0076384B" w:rsidP="00851190">
      <w:pPr>
        <w:jc w:val="center"/>
        <w:rPr>
          <w:rFonts w:cs="Arial"/>
          <w:color w:val="000000" w:themeColor="text1"/>
        </w:rPr>
      </w:pPr>
    </w:p>
    <w:p w14:paraId="1DCB6C1D" w14:textId="77777777" w:rsidR="0076384B" w:rsidRDefault="0076384B" w:rsidP="00851190">
      <w:pPr>
        <w:jc w:val="center"/>
        <w:rPr>
          <w:rFonts w:cs="Arial"/>
          <w:color w:val="000000" w:themeColor="text1"/>
        </w:rPr>
      </w:pPr>
    </w:p>
    <w:p w14:paraId="1FFF508E" w14:textId="77777777" w:rsidR="0076384B" w:rsidRDefault="0076384B" w:rsidP="00851190">
      <w:pPr>
        <w:jc w:val="center"/>
        <w:rPr>
          <w:rFonts w:cs="Arial"/>
          <w:color w:val="000000" w:themeColor="text1"/>
        </w:rPr>
      </w:pPr>
    </w:p>
    <w:p w14:paraId="20C21E05" w14:textId="77777777" w:rsidR="0076384B" w:rsidRDefault="0076384B" w:rsidP="00851190">
      <w:pPr>
        <w:jc w:val="center"/>
        <w:rPr>
          <w:rFonts w:cs="Arial"/>
          <w:color w:val="000000" w:themeColor="text1"/>
        </w:rPr>
      </w:pPr>
    </w:p>
    <w:p w14:paraId="520675C4" w14:textId="77777777" w:rsidR="0076384B" w:rsidRDefault="0076384B" w:rsidP="00851190">
      <w:pPr>
        <w:jc w:val="center"/>
        <w:rPr>
          <w:rFonts w:cs="Arial"/>
          <w:color w:val="000000" w:themeColor="text1"/>
        </w:rPr>
      </w:pPr>
    </w:p>
    <w:p w14:paraId="5CE0B2C6" w14:textId="77777777" w:rsidR="0076384B" w:rsidRDefault="0076384B" w:rsidP="00851190">
      <w:pPr>
        <w:jc w:val="center"/>
        <w:rPr>
          <w:rFonts w:cs="Arial"/>
          <w:color w:val="000000" w:themeColor="text1"/>
        </w:rPr>
      </w:pPr>
    </w:p>
    <w:p w14:paraId="33373637" w14:textId="77777777" w:rsidR="0076384B" w:rsidRDefault="0076384B" w:rsidP="00851190">
      <w:pPr>
        <w:jc w:val="center"/>
        <w:rPr>
          <w:rFonts w:cs="Arial"/>
          <w:color w:val="000000" w:themeColor="text1"/>
        </w:rPr>
      </w:pPr>
    </w:p>
    <w:p w14:paraId="68279F1D" w14:textId="77777777" w:rsidR="0076384B" w:rsidRDefault="0076384B" w:rsidP="00851190">
      <w:pPr>
        <w:jc w:val="center"/>
        <w:rPr>
          <w:rFonts w:cs="Arial"/>
          <w:color w:val="000000" w:themeColor="text1"/>
        </w:rPr>
      </w:pPr>
    </w:p>
    <w:p w14:paraId="53101225" w14:textId="77777777" w:rsidR="0076384B" w:rsidRDefault="0076384B" w:rsidP="00851190">
      <w:pPr>
        <w:jc w:val="center"/>
        <w:rPr>
          <w:rFonts w:cs="Arial"/>
          <w:color w:val="000000" w:themeColor="text1"/>
        </w:rPr>
      </w:pPr>
    </w:p>
    <w:p w14:paraId="2A9503E3" w14:textId="77777777" w:rsidR="0076384B" w:rsidRDefault="0076384B" w:rsidP="00851190">
      <w:pPr>
        <w:jc w:val="center"/>
        <w:rPr>
          <w:rFonts w:cs="Arial"/>
          <w:color w:val="000000" w:themeColor="text1"/>
        </w:rPr>
      </w:pPr>
      <w:r>
        <w:rPr>
          <w:b/>
          <w:noProof/>
        </w:rPr>
        <w:lastRenderedPageBreak/>
        <mc:AlternateContent>
          <mc:Choice Requires="wps">
            <w:drawing>
              <wp:anchor distT="0" distB="0" distL="114300" distR="114300" simplePos="0" relativeHeight="252160000" behindDoc="0" locked="0" layoutInCell="1" allowOverlap="1" wp14:anchorId="48A833BA" wp14:editId="77D52F3F">
                <wp:simplePos x="0" y="0"/>
                <wp:positionH relativeFrom="margin">
                  <wp:align>center</wp:align>
                </wp:positionH>
                <wp:positionV relativeFrom="paragraph">
                  <wp:posOffset>-190500</wp:posOffset>
                </wp:positionV>
                <wp:extent cx="7917180" cy="487680"/>
                <wp:effectExtent l="0" t="0" r="26670" b="26670"/>
                <wp:wrapNone/>
                <wp:docPr id="219272558" name="Rectángulo 219272558"/>
                <wp:cNvGraphicFramePr/>
                <a:graphic xmlns:a="http://schemas.openxmlformats.org/drawingml/2006/main">
                  <a:graphicData uri="http://schemas.microsoft.com/office/word/2010/wordprocessingShape">
                    <wps:wsp>
                      <wps:cNvSpPr/>
                      <wps:spPr>
                        <a:xfrm>
                          <a:off x="0" y="0"/>
                          <a:ext cx="7917180" cy="48768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659820B" w14:textId="77777777" w:rsidR="0076384B" w:rsidRPr="002B2C2C" w:rsidRDefault="0076384B" w:rsidP="00361F0F">
                            <w:pPr>
                              <w:jc w:val="center"/>
                              <w:rPr>
                                <w:rFonts w:cstheme="minorHAnsi"/>
                                <w:b/>
                              </w:rPr>
                            </w:pPr>
                            <w:r>
                              <w:rPr>
                                <w:rFonts w:cstheme="minorHAnsi"/>
                                <w:b/>
                              </w:rPr>
                              <w:t>ESCALA DE EVALUACIÓN – TRABAJOS GRUPALES EN EL AULA VIRTUAL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833BA" id="Rectángulo 219272558" o:spid="_x0000_s1044" style="position:absolute;left:0;text-align:left;margin-left:0;margin-top:-15pt;width:623.4pt;height:38.4pt;z-index:252160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" fillcolor="white [3201]" strokecolor="black [3200]" strokeweight=".25pt">
                <v:textbox>
                  <w:txbxContent>
                    <w:p w14:paraId="5659820B" w14:textId="77777777" w:rsidR="0076384B" w:rsidRPr="002B2C2C" w:rsidRDefault="0076384B" w:rsidP="00361F0F">
                      <w:pPr>
                        <w:jc w:val="center"/>
                        <w:rPr>
                          <w:rFonts w:cstheme="minorHAnsi"/>
                          <w:b/>
                        </w:rPr>
                      </w:pPr>
                      <w:r>
                        <w:rPr>
                          <w:rFonts w:cstheme="minorHAnsi"/>
                          <w:b/>
                        </w:rPr>
                        <w:t>ESCALA DE EVALUACIÓN – TRABAJOS GRUPALES EN EL AULA VIRTUAL</w:t>
                      </w:r>
                    </w:p>
                  </w:txbxContent>
                </v:textbox>
                <w10:wrap anchorx="margin"/>
              </v:rect>
            </w:pict>
          </mc:Fallback>
        </mc:AlternateContent>
      </w:r>
    </w:p>
    <w:p w14:paraId="31C2EB44" w14:textId="77777777" w:rsidR="0076384B" w:rsidRDefault="0076384B" w:rsidP="00851190">
      <w:pPr>
        <w:jc w:val="center"/>
        <w:rPr>
          <w:rFonts w:cs="Arial"/>
          <w:color w:val="000000" w:themeColor="text1"/>
        </w:rPr>
      </w:pPr>
    </w:p>
    <w:p w14:paraId="1DC85457" w14:textId="77777777" w:rsidR="0076384B" w:rsidRPr="00667CF6" w:rsidRDefault="0076384B" w:rsidP="00851190">
      <w:pPr>
        <w:jc w:val="center"/>
        <w:rPr>
          <w:rFonts w:cs="Arial"/>
          <w:color w:val="0070C0"/>
        </w:rPr>
      </w:pPr>
      <w:r w:rsidRPr="00667CF6">
        <w:rPr>
          <w:rFonts w:cs="Arial"/>
          <w:color w:val="0070C0"/>
        </w:rPr>
        <w:t>Con el propósito de proveer experiencias de aprendizaje interactivo y colaborativo, durante el curso los y las estudiantes participarán en foros temáticos grupales con base en las lecturas asignadas, para generar debate y diálogo crítico sobre temas centrales del curso. Foros temáticos: Se desarrollan en las sesiones 1 y 4 (cada foro tiene un valor de 5%) y en la sesión 14 (este foro tiene un valor de 4%), Foros grupales: se desarrollan en las sesiones 2 y 9. Cada foro tiene un valor de 3%.</w:t>
      </w:r>
    </w:p>
    <w:p w14:paraId="29584FC5" w14:textId="77777777" w:rsidR="0076384B" w:rsidRDefault="0076384B" w:rsidP="00851190">
      <w:pPr>
        <w:jc w:val="center"/>
        <w:rPr>
          <w:rFonts w:cs="Arial"/>
          <w:color w:val="000000" w:themeColor="text1"/>
        </w:rPr>
      </w:pPr>
      <w:r>
        <w:rPr>
          <w:rFonts w:cs="Arial"/>
          <w:noProof/>
          <w:color w:val="000000" w:themeColor="text1"/>
        </w:rPr>
        <w:drawing>
          <wp:anchor distT="0" distB="0" distL="114300" distR="114300" simplePos="0" relativeHeight="252161024" behindDoc="0" locked="0" layoutInCell="1" allowOverlap="1" wp14:anchorId="48828B6F" wp14:editId="532BEB6D">
            <wp:simplePos x="0" y="0"/>
            <wp:positionH relativeFrom="margin">
              <wp:align>center</wp:align>
            </wp:positionH>
            <wp:positionV relativeFrom="paragraph">
              <wp:posOffset>253365</wp:posOffset>
            </wp:positionV>
            <wp:extent cx="8144256" cy="4864608"/>
            <wp:effectExtent l="0" t="0" r="0" b="0"/>
            <wp:wrapNone/>
            <wp:docPr id="1367343213"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343213" name="Imagen 5" descr="Tabla&#10;&#10;Descripción generada automáticamente"/>
                    <pic:cNvPicPr/>
                  </pic:nvPicPr>
                  <pic:blipFill>
                    <a:blip r:embed="rId46">
                      <a:extLst>
                        <a:ext uri="{28A0092B-C50C-407E-A947-70E740481C1C}">
                          <a14:useLocalDpi xmlns:a14="http://schemas.microsoft.com/office/drawing/2010/main" val="0"/>
                        </a:ext>
                      </a:extLst>
                    </a:blip>
                    <a:stretch>
                      <a:fillRect/>
                    </a:stretch>
                  </pic:blipFill>
                  <pic:spPr>
                    <a:xfrm>
                      <a:off x="0" y="0"/>
                      <a:ext cx="8144256" cy="4864608"/>
                    </a:xfrm>
                    <a:prstGeom prst="rect">
                      <a:avLst/>
                    </a:prstGeom>
                  </pic:spPr>
                </pic:pic>
              </a:graphicData>
            </a:graphic>
          </wp:anchor>
        </w:drawing>
      </w:r>
    </w:p>
    <w:p w14:paraId="3BF8FAF4" w14:textId="77777777" w:rsidR="0076384B" w:rsidRDefault="0076384B" w:rsidP="00851190">
      <w:pPr>
        <w:jc w:val="center"/>
        <w:rPr>
          <w:rFonts w:cs="Arial"/>
          <w:color w:val="000000" w:themeColor="text1"/>
        </w:rPr>
      </w:pPr>
    </w:p>
    <w:p w14:paraId="59C039EE" w14:textId="77777777" w:rsidR="0076384B" w:rsidRDefault="0076384B" w:rsidP="00851190">
      <w:pPr>
        <w:jc w:val="center"/>
        <w:rPr>
          <w:rFonts w:cs="Arial"/>
          <w:color w:val="000000" w:themeColor="text1"/>
        </w:rPr>
      </w:pPr>
    </w:p>
    <w:p w14:paraId="3E7B50C1" w14:textId="77777777" w:rsidR="0076384B" w:rsidRDefault="0076384B" w:rsidP="00851190">
      <w:pPr>
        <w:jc w:val="center"/>
        <w:rPr>
          <w:rFonts w:cs="Arial"/>
          <w:color w:val="000000" w:themeColor="text1"/>
        </w:rPr>
      </w:pPr>
    </w:p>
    <w:p w14:paraId="1BD5C82B" w14:textId="77777777" w:rsidR="0076384B" w:rsidRDefault="0076384B" w:rsidP="00851190">
      <w:pPr>
        <w:jc w:val="center"/>
        <w:rPr>
          <w:rFonts w:cs="Arial"/>
          <w:color w:val="000000" w:themeColor="text1"/>
        </w:rPr>
      </w:pPr>
    </w:p>
    <w:p w14:paraId="736CDB1B" w14:textId="77777777" w:rsidR="0076384B" w:rsidRDefault="0076384B" w:rsidP="00851190">
      <w:pPr>
        <w:jc w:val="center"/>
        <w:rPr>
          <w:rFonts w:cs="Arial"/>
          <w:color w:val="000000" w:themeColor="text1"/>
        </w:rPr>
      </w:pPr>
    </w:p>
    <w:p w14:paraId="321E9192" w14:textId="77777777" w:rsidR="0076384B" w:rsidRDefault="0076384B" w:rsidP="00851190">
      <w:pPr>
        <w:jc w:val="center"/>
        <w:rPr>
          <w:rFonts w:cs="Arial"/>
          <w:color w:val="000000" w:themeColor="text1"/>
        </w:rPr>
      </w:pPr>
    </w:p>
    <w:p w14:paraId="59C36421" w14:textId="77777777" w:rsidR="0076384B" w:rsidRDefault="0076384B" w:rsidP="00851190">
      <w:pPr>
        <w:jc w:val="center"/>
        <w:rPr>
          <w:rFonts w:cs="Arial"/>
          <w:color w:val="000000" w:themeColor="text1"/>
        </w:rPr>
      </w:pPr>
    </w:p>
    <w:p w14:paraId="37E53AE1" w14:textId="77777777" w:rsidR="0076384B" w:rsidRDefault="0076384B" w:rsidP="00851190">
      <w:pPr>
        <w:jc w:val="center"/>
        <w:rPr>
          <w:rFonts w:cs="Arial"/>
          <w:color w:val="000000" w:themeColor="text1"/>
        </w:rPr>
      </w:pPr>
    </w:p>
    <w:p w14:paraId="70108B00" w14:textId="77777777" w:rsidR="0076384B" w:rsidRDefault="0076384B" w:rsidP="00851190">
      <w:pPr>
        <w:jc w:val="center"/>
        <w:rPr>
          <w:rFonts w:cs="Arial"/>
          <w:color w:val="000000" w:themeColor="text1"/>
        </w:rPr>
      </w:pPr>
    </w:p>
    <w:p w14:paraId="45B160DB" w14:textId="77777777" w:rsidR="0076384B" w:rsidRDefault="0076384B" w:rsidP="00851190">
      <w:pPr>
        <w:jc w:val="center"/>
        <w:rPr>
          <w:rFonts w:cs="Arial"/>
          <w:color w:val="000000" w:themeColor="text1"/>
        </w:rPr>
      </w:pPr>
    </w:p>
    <w:p w14:paraId="40DD9417" w14:textId="77777777" w:rsidR="0076384B" w:rsidRDefault="0076384B" w:rsidP="00851190">
      <w:pPr>
        <w:jc w:val="center"/>
        <w:rPr>
          <w:rFonts w:cs="Arial"/>
          <w:color w:val="000000" w:themeColor="text1"/>
        </w:rPr>
      </w:pPr>
    </w:p>
    <w:p w14:paraId="0F870ABA" w14:textId="77777777" w:rsidR="0076384B" w:rsidRDefault="0076384B" w:rsidP="00851190">
      <w:pPr>
        <w:jc w:val="center"/>
        <w:rPr>
          <w:rFonts w:cs="Arial"/>
          <w:color w:val="000000" w:themeColor="text1"/>
        </w:rPr>
      </w:pPr>
    </w:p>
    <w:p w14:paraId="4AB34947" w14:textId="77777777" w:rsidR="0076384B" w:rsidRDefault="0076384B" w:rsidP="00851190">
      <w:pPr>
        <w:jc w:val="center"/>
        <w:rPr>
          <w:rFonts w:cs="Arial"/>
          <w:color w:val="000000" w:themeColor="text1"/>
        </w:rPr>
      </w:pPr>
    </w:p>
    <w:p w14:paraId="5B0EFC1D" w14:textId="77777777" w:rsidR="0076384B" w:rsidRDefault="0076384B" w:rsidP="00851190">
      <w:pPr>
        <w:jc w:val="center"/>
        <w:rPr>
          <w:rFonts w:cs="Arial"/>
          <w:color w:val="000000" w:themeColor="text1"/>
        </w:rPr>
      </w:pPr>
    </w:p>
    <w:p w14:paraId="68EABDC6" w14:textId="77777777" w:rsidR="0076384B" w:rsidRDefault="0076384B" w:rsidP="00851190">
      <w:pPr>
        <w:jc w:val="center"/>
        <w:rPr>
          <w:rFonts w:cs="Arial"/>
          <w:color w:val="000000" w:themeColor="text1"/>
        </w:rPr>
      </w:pPr>
    </w:p>
    <w:p w14:paraId="107F3B96" w14:textId="77777777" w:rsidR="0076384B" w:rsidRDefault="0076384B" w:rsidP="00851190">
      <w:pPr>
        <w:jc w:val="center"/>
        <w:rPr>
          <w:rFonts w:cs="Arial"/>
          <w:color w:val="000000" w:themeColor="text1"/>
        </w:rPr>
      </w:pPr>
    </w:p>
    <w:p w14:paraId="7C1D971F" w14:textId="77777777" w:rsidR="0076384B" w:rsidRDefault="0076384B" w:rsidP="00851190">
      <w:pPr>
        <w:jc w:val="center"/>
        <w:rPr>
          <w:rFonts w:cs="Arial"/>
          <w:color w:val="000000" w:themeColor="text1"/>
        </w:rPr>
      </w:pPr>
    </w:p>
    <w:p w14:paraId="163B71DB" w14:textId="77777777" w:rsidR="0076384B" w:rsidRDefault="0076384B" w:rsidP="00851190">
      <w:pPr>
        <w:jc w:val="center"/>
        <w:rPr>
          <w:rFonts w:cs="Arial"/>
          <w:color w:val="000000" w:themeColor="text1"/>
        </w:rPr>
      </w:pPr>
    </w:p>
    <w:p w14:paraId="018BA020" w14:textId="77777777" w:rsidR="0076384B" w:rsidRDefault="0076384B" w:rsidP="00851190">
      <w:pPr>
        <w:jc w:val="center"/>
        <w:rPr>
          <w:rFonts w:cs="Arial"/>
          <w:color w:val="000000" w:themeColor="text1"/>
        </w:rPr>
      </w:pPr>
      <w:r>
        <w:rPr>
          <w:b/>
          <w:noProof/>
        </w:rPr>
        <mc:AlternateContent>
          <mc:Choice Requires="wps">
            <w:drawing>
              <wp:anchor distT="0" distB="0" distL="114300" distR="114300" simplePos="0" relativeHeight="252162048" behindDoc="0" locked="0" layoutInCell="1" allowOverlap="1" wp14:anchorId="56F3A716" wp14:editId="5C5DE5CF">
                <wp:simplePos x="0" y="0"/>
                <wp:positionH relativeFrom="margin">
                  <wp:align>center</wp:align>
                </wp:positionH>
                <wp:positionV relativeFrom="paragraph">
                  <wp:posOffset>-147638</wp:posOffset>
                </wp:positionV>
                <wp:extent cx="6606540" cy="411480"/>
                <wp:effectExtent l="0" t="0" r="22860" b="26670"/>
                <wp:wrapNone/>
                <wp:docPr id="202588387" name="Cuadro de texto 20258838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75F393C1" w14:textId="77777777" w:rsidR="0076384B" w:rsidRPr="00C25376" w:rsidRDefault="0076384B" w:rsidP="00727C40">
                            <w:pPr>
                              <w:jc w:val="center"/>
                              <w:rPr>
                                <w:rFonts w:cstheme="minorHAnsi"/>
                              </w:rPr>
                            </w:pPr>
                            <w:r w:rsidRPr="00C25376">
                              <w:rPr>
                                <w:rFonts w:cstheme="minorHAnsi"/>
                                <w:b/>
                              </w:rPr>
                              <w:t>RÚBRICA DE EVALUACIÓN</w:t>
                            </w:r>
                            <w:r>
                              <w:rPr>
                                <w:rFonts w:cstheme="minorHAnsi"/>
                                <w:b/>
                              </w:rPr>
                              <w:t xml:space="preserve"> – ENSAYO CRÍTICO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3A716" id="Cuadro de texto 202588387" o:spid="_x0000_s1045" type="#_x0000_t202" style="position:absolute;left:0;text-align:left;margin-left:0;margin-top:-11.65pt;width:520.2pt;height:32.4pt;z-index:252162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" fillcolor="white [3201]" strokeweight=".5pt">
                <v:textbox>
                  <w:txbxContent>
                    <w:p w14:paraId="75F393C1" w14:textId="77777777" w:rsidR="0076384B" w:rsidRPr="00C25376" w:rsidRDefault="0076384B" w:rsidP="00727C40">
                      <w:pPr>
                        <w:jc w:val="center"/>
                        <w:rPr>
                          <w:rFonts w:cstheme="minorHAnsi"/>
                        </w:rPr>
                      </w:pPr>
                      <w:r w:rsidRPr="00C25376">
                        <w:rPr>
                          <w:rFonts w:cstheme="minorHAnsi"/>
                          <w:b/>
                        </w:rPr>
                        <w:t>RÚBRICA DE EVALUACIÓN</w:t>
                      </w:r>
                      <w:r>
                        <w:rPr>
                          <w:rFonts w:cstheme="minorHAnsi"/>
                          <w:b/>
                        </w:rPr>
                        <w:t xml:space="preserve"> – ENSAYO CRÍTICO FINAL</w:t>
                      </w:r>
                    </w:p>
                  </w:txbxContent>
                </v:textbox>
                <w10:wrap anchorx="margin"/>
              </v:shape>
            </w:pict>
          </mc:Fallback>
        </mc:AlternateContent>
      </w:r>
    </w:p>
    <w:p w14:paraId="648A9CA0" w14:textId="77777777" w:rsidR="0076384B" w:rsidRDefault="0076384B" w:rsidP="00851190">
      <w:pPr>
        <w:jc w:val="center"/>
        <w:rPr>
          <w:rFonts w:cs="Arial"/>
          <w:color w:val="000000" w:themeColor="text1"/>
        </w:rPr>
      </w:pPr>
    </w:p>
    <w:p w14:paraId="34A79E63" w14:textId="77777777" w:rsidR="0076384B" w:rsidRPr="00667CF6" w:rsidRDefault="0076384B" w:rsidP="0091640D">
      <w:pPr>
        <w:jc w:val="center"/>
        <w:rPr>
          <w:rFonts w:cs="Arial"/>
          <w:color w:val="0070C0"/>
        </w:rPr>
      </w:pPr>
      <w:r w:rsidRPr="00667CF6">
        <w:rPr>
          <w:rFonts w:cs="Arial"/>
          <w:color w:val="0070C0"/>
        </w:rPr>
        <w:t>Un ensayo es un documento académico en el cual la persona autora expresa su opinión libremente, pero argumentada y fundamentada sobre un tópico de la disciplina, en este caso de la teología. Se elabora desde la sesión 1 la 15 de la siguiente forma: sesión 4 (avance), sesión 7 (avance), sesión 11 (avance) y sesión 15 (versión final). Tiene un valor de 30%.</w:t>
      </w:r>
    </w:p>
    <w:p w14:paraId="1D740F5D" w14:textId="77777777" w:rsidR="0076384B" w:rsidRDefault="0076384B" w:rsidP="0091640D">
      <w:pPr>
        <w:jc w:val="center"/>
        <w:rPr>
          <w:rFonts w:cs="Arial"/>
          <w:color w:val="000000" w:themeColor="text1"/>
        </w:rPr>
      </w:pPr>
    </w:p>
    <w:p w14:paraId="087E1CA2" w14:textId="77777777" w:rsidR="0076384B" w:rsidRDefault="0076384B" w:rsidP="0091640D">
      <w:pPr>
        <w:jc w:val="center"/>
        <w:rPr>
          <w:rFonts w:cs="Arial"/>
          <w:color w:val="000000" w:themeColor="text1"/>
        </w:rPr>
      </w:pPr>
      <w:r>
        <w:rPr>
          <w:rFonts w:cs="Arial"/>
          <w:noProof/>
          <w:color w:val="000000" w:themeColor="text1"/>
        </w:rPr>
        <w:drawing>
          <wp:anchor distT="0" distB="0" distL="114300" distR="114300" simplePos="0" relativeHeight="252163072" behindDoc="0" locked="0" layoutInCell="1" allowOverlap="1" wp14:anchorId="194628D8" wp14:editId="33999680">
            <wp:simplePos x="0" y="0"/>
            <wp:positionH relativeFrom="margin">
              <wp:align>center</wp:align>
            </wp:positionH>
            <wp:positionV relativeFrom="paragraph">
              <wp:posOffset>49213</wp:posOffset>
            </wp:positionV>
            <wp:extent cx="7581900" cy="4481195"/>
            <wp:effectExtent l="0" t="0" r="0" b="0"/>
            <wp:wrapNone/>
            <wp:docPr id="735022253"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022253" name="Imagen 6" descr="Tabla&#10;&#10;Descripción generada automáticamente"/>
                    <pic:cNvPicPr/>
                  </pic:nvPicPr>
                  <pic:blipFill>
                    <a:blip r:embed="rId47">
                      <a:extLst>
                        <a:ext uri="{28A0092B-C50C-407E-A947-70E740481C1C}">
                          <a14:useLocalDpi xmlns:a14="http://schemas.microsoft.com/office/drawing/2010/main" val="0"/>
                        </a:ext>
                      </a:extLst>
                    </a:blip>
                    <a:stretch>
                      <a:fillRect/>
                    </a:stretch>
                  </pic:blipFill>
                  <pic:spPr>
                    <a:xfrm>
                      <a:off x="0" y="0"/>
                      <a:ext cx="7581900" cy="4481195"/>
                    </a:xfrm>
                    <a:prstGeom prst="rect">
                      <a:avLst/>
                    </a:prstGeom>
                  </pic:spPr>
                </pic:pic>
              </a:graphicData>
            </a:graphic>
            <wp14:sizeRelH relativeFrom="margin">
              <wp14:pctWidth>0</wp14:pctWidth>
            </wp14:sizeRelH>
            <wp14:sizeRelV relativeFrom="margin">
              <wp14:pctHeight>0</wp14:pctHeight>
            </wp14:sizeRelV>
          </wp:anchor>
        </w:drawing>
      </w:r>
    </w:p>
    <w:p w14:paraId="691D2F04" w14:textId="77777777" w:rsidR="0076384B" w:rsidRDefault="0076384B" w:rsidP="0091640D">
      <w:pPr>
        <w:jc w:val="center"/>
        <w:rPr>
          <w:rFonts w:cs="Arial"/>
          <w:color w:val="000000" w:themeColor="text1"/>
        </w:rPr>
      </w:pPr>
    </w:p>
    <w:p w14:paraId="1FA1A730" w14:textId="77777777" w:rsidR="0076384B" w:rsidRDefault="0076384B" w:rsidP="0091640D">
      <w:pPr>
        <w:jc w:val="center"/>
        <w:rPr>
          <w:rFonts w:cs="Arial"/>
          <w:color w:val="000000" w:themeColor="text1"/>
        </w:rPr>
      </w:pPr>
    </w:p>
    <w:p w14:paraId="1797A426" w14:textId="77777777" w:rsidR="0076384B" w:rsidRDefault="0076384B" w:rsidP="0091640D">
      <w:pPr>
        <w:jc w:val="center"/>
        <w:rPr>
          <w:rFonts w:cs="Arial"/>
          <w:color w:val="000000" w:themeColor="text1"/>
        </w:rPr>
      </w:pPr>
    </w:p>
    <w:p w14:paraId="2F80F2C3" w14:textId="77777777" w:rsidR="0076384B" w:rsidRDefault="0076384B" w:rsidP="0091640D">
      <w:pPr>
        <w:jc w:val="center"/>
        <w:rPr>
          <w:rFonts w:cs="Arial"/>
          <w:color w:val="000000" w:themeColor="text1"/>
        </w:rPr>
      </w:pPr>
    </w:p>
    <w:p w14:paraId="00EDFC15" w14:textId="77777777" w:rsidR="0076384B" w:rsidRDefault="0076384B" w:rsidP="0091640D">
      <w:pPr>
        <w:jc w:val="center"/>
        <w:rPr>
          <w:rFonts w:cs="Arial"/>
          <w:color w:val="000000" w:themeColor="text1"/>
        </w:rPr>
      </w:pPr>
    </w:p>
    <w:p w14:paraId="44EC71EB" w14:textId="77777777" w:rsidR="0076384B" w:rsidRDefault="0076384B" w:rsidP="0091640D">
      <w:pPr>
        <w:jc w:val="center"/>
        <w:rPr>
          <w:rFonts w:cs="Arial"/>
          <w:color w:val="000000" w:themeColor="text1"/>
        </w:rPr>
      </w:pPr>
    </w:p>
    <w:p w14:paraId="3DDB185E" w14:textId="77777777" w:rsidR="0076384B" w:rsidRDefault="0076384B" w:rsidP="0091640D">
      <w:pPr>
        <w:jc w:val="center"/>
        <w:rPr>
          <w:rFonts w:cs="Arial"/>
          <w:color w:val="000000" w:themeColor="text1"/>
        </w:rPr>
      </w:pPr>
    </w:p>
    <w:p w14:paraId="1942A4D8" w14:textId="77777777" w:rsidR="0076384B" w:rsidRDefault="0076384B" w:rsidP="0091640D">
      <w:pPr>
        <w:jc w:val="center"/>
        <w:rPr>
          <w:rFonts w:cs="Arial"/>
          <w:color w:val="000000" w:themeColor="text1"/>
        </w:rPr>
      </w:pPr>
    </w:p>
    <w:p w14:paraId="2CBAAC04" w14:textId="77777777" w:rsidR="0076384B" w:rsidRDefault="0076384B" w:rsidP="0091640D">
      <w:pPr>
        <w:jc w:val="center"/>
        <w:rPr>
          <w:rFonts w:cs="Arial"/>
          <w:color w:val="000000" w:themeColor="text1"/>
        </w:rPr>
      </w:pPr>
    </w:p>
    <w:p w14:paraId="1065DC1D" w14:textId="77777777" w:rsidR="0076384B" w:rsidRDefault="0076384B" w:rsidP="0091640D">
      <w:pPr>
        <w:jc w:val="center"/>
        <w:rPr>
          <w:rFonts w:cs="Arial"/>
          <w:color w:val="000000" w:themeColor="text1"/>
        </w:rPr>
      </w:pPr>
    </w:p>
    <w:p w14:paraId="2EBA0307" w14:textId="77777777" w:rsidR="0076384B" w:rsidRDefault="0076384B" w:rsidP="0091640D">
      <w:pPr>
        <w:jc w:val="center"/>
        <w:rPr>
          <w:rFonts w:cs="Arial"/>
          <w:color w:val="000000" w:themeColor="text1"/>
        </w:rPr>
      </w:pPr>
    </w:p>
    <w:p w14:paraId="3112E9C1" w14:textId="77777777" w:rsidR="0076384B" w:rsidRDefault="0076384B" w:rsidP="0091640D">
      <w:pPr>
        <w:jc w:val="center"/>
        <w:rPr>
          <w:rFonts w:cs="Arial"/>
          <w:color w:val="000000" w:themeColor="text1"/>
        </w:rPr>
      </w:pPr>
    </w:p>
    <w:p w14:paraId="3D9E4C28" w14:textId="77777777" w:rsidR="0076384B" w:rsidRDefault="0076384B" w:rsidP="0091640D">
      <w:pPr>
        <w:jc w:val="center"/>
        <w:rPr>
          <w:rFonts w:cs="Arial"/>
          <w:color w:val="000000" w:themeColor="text1"/>
        </w:rPr>
      </w:pPr>
    </w:p>
    <w:p w14:paraId="7CDC7976" w14:textId="77777777" w:rsidR="0076384B" w:rsidRDefault="0076384B" w:rsidP="0091640D">
      <w:pPr>
        <w:jc w:val="center"/>
        <w:rPr>
          <w:rFonts w:cs="Arial"/>
          <w:color w:val="000000" w:themeColor="text1"/>
        </w:rPr>
      </w:pPr>
    </w:p>
    <w:p w14:paraId="312CA964" w14:textId="77777777" w:rsidR="0076384B" w:rsidRDefault="0076384B" w:rsidP="0091640D">
      <w:pPr>
        <w:jc w:val="center"/>
        <w:rPr>
          <w:rFonts w:cs="Arial"/>
          <w:color w:val="000000" w:themeColor="text1"/>
        </w:rPr>
      </w:pPr>
    </w:p>
    <w:p w14:paraId="196B2F2E" w14:textId="77777777" w:rsidR="0076384B" w:rsidRDefault="0076384B" w:rsidP="0091640D">
      <w:pPr>
        <w:jc w:val="center"/>
        <w:rPr>
          <w:rFonts w:cs="Arial"/>
          <w:color w:val="000000" w:themeColor="text1"/>
        </w:rPr>
      </w:pPr>
    </w:p>
    <w:p w14:paraId="3FFDC6FC" w14:textId="77777777" w:rsidR="0076384B" w:rsidRDefault="0076384B" w:rsidP="0091640D">
      <w:pPr>
        <w:jc w:val="center"/>
        <w:rPr>
          <w:rFonts w:cs="Arial"/>
          <w:color w:val="000000" w:themeColor="text1"/>
        </w:rPr>
      </w:pPr>
    </w:p>
    <w:p w14:paraId="05C79222" w14:textId="77777777" w:rsidR="0076384B" w:rsidRDefault="0076384B" w:rsidP="0091640D">
      <w:pPr>
        <w:jc w:val="center"/>
        <w:rPr>
          <w:rFonts w:cs="Arial"/>
          <w:color w:val="000000" w:themeColor="text1"/>
        </w:rPr>
      </w:pPr>
    </w:p>
    <w:p w14:paraId="543DDAFF" w14:textId="77777777" w:rsidR="0076384B" w:rsidRDefault="0076384B" w:rsidP="0091640D">
      <w:pPr>
        <w:jc w:val="center"/>
        <w:rPr>
          <w:rFonts w:cs="Arial"/>
          <w:color w:val="000000" w:themeColor="text1"/>
        </w:rPr>
      </w:pPr>
      <w:r>
        <w:rPr>
          <w:rFonts w:cs="Arial"/>
          <w:noProof/>
          <w:color w:val="000000" w:themeColor="text1"/>
        </w:rPr>
        <w:drawing>
          <wp:anchor distT="0" distB="0" distL="114300" distR="114300" simplePos="0" relativeHeight="252164096" behindDoc="0" locked="0" layoutInCell="1" allowOverlap="1" wp14:anchorId="262F7089" wp14:editId="04FD0EEA">
            <wp:simplePos x="0" y="0"/>
            <wp:positionH relativeFrom="margin">
              <wp:align>center</wp:align>
            </wp:positionH>
            <wp:positionV relativeFrom="paragraph">
              <wp:posOffset>242888</wp:posOffset>
            </wp:positionV>
            <wp:extent cx="7635921" cy="2131695"/>
            <wp:effectExtent l="0" t="0" r="3175" b="1905"/>
            <wp:wrapNone/>
            <wp:docPr id="1185970365" name="Imagen 7"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70365" name="Imagen 7" descr="Imagen que contiene Escala de tiempo&#10;&#10;Descripción generada automáticamente"/>
                    <pic:cNvPicPr/>
                  </pic:nvPicPr>
                  <pic:blipFill>
                    <a:blip r:embed="rId48">
                      <a:extLst>
                        <a:ext uri="{28A0092B-C50C-407E-A947-70E740481C1C}">
                          <a14:useLocalDpi xmlns:a14="http://schemas.microsoft.com/office/drawing/2010/main" val="0"/>
                        </a:ext>
                      </a:extLst>
                    </a:blip>
                    <a:stretch>
                      <a:fillRect/>
                    </a:stretch>
                  </pic:blipFill>
                  <pic:spPr>
                    <a:xfrm>
                      <a:off x="0" y="0"/>
                      <a:ext cx="7635921" cy="2131695"/>
                    </a:xfrm>
                    <a:prstGeom prst="rect">
                      <a:avLst/>
                    </a:prstGeom>
                  </pic:spPr>
                </pic:pic>
              </a:graphicData>
            </a:graphic>
            <wp14:sizeRelH relativeFrom="margin">
              <wp14:pctWidth>0</wp14:pctWidth>
            </wp14:sizeRelH>
            <wp14:sizeRelV relativeFrom="margin">
              <wp14:pctHeight>0</wp14:pctHeight>
            </wp14:sizeRelV>
          </wp:anchor>
        </w:drawing>
      </w:r>
    </w:p>
    <w:p w14:paraId="64074EC3" w14:textId="77777777" w:rsidR="0076384B" w:rsidRDefault="0076384B" w:rsidP="0091640D">
      <w:pPr>
        <w:jc w:val="center"/>
        <w:rPr>
          <w:rFonts w:cs="Arial"/>
          <w:color w:val="000000" w:themeColor="text1"/>
        </w:rPr>
      </w:pPr>
    </w:p>
    <w:p w14:paraId="07657EC9" w14:textId="77777777" w:rsidR="0076384B" w:rsidRDefault="0076384B" w:rsidP="0091640D">
      <w:pPr>
        <w:jc w:val="center"/>
        <w:rPr>
          <w:rFonts w:cs="Arial"/>
          <w:color w:val="000000" w:themeColor="text1"/>
        </w:rPr>
      </w:pPr>
    </w:p>
    <w:p w14:paraId="5BBDA6BB" w14:textId="77777777" w:rsidR="0076384B" w:rsidRDefault="0076384B" w:rsidP="0091640D">
      <w:pPr>
        <w:jc w:val="center"/>
        <w:rPr>
          <w:rFonts w:cs="Arial"/>
          <w:color w:val="000000" w:themeColor="text1"/>
        </w:rPr>
      </w:pPr>
    </w:p>
    <w:p w14:paraId="15B2393D" w14:textId="77777777" w:rsidR="0076384B" w:rsidRDefault="0076384B" w:rsidP="00851190">
      <w:pPr>
        <w:jc w:val="center"/>
        <w:rPr>
          <w:rFonts w:cs="Arial"/>
          <w:color w:val="000000" w:themeColor="text1"/>
        </w:rPr>
      </w:pPr>
    </w:p>
    <w:p w14:paraId="714AA2D0" w14:textId="77777777" w:rsidR="0076384B" w:rsidRPr="00851190" w:rsidRDefault="0076384B" w:rsidP="00851190">
      <w:pPr>
        <w:jc w:val="center"/>
        <w:rPr>
          <w:rFonts w:cs="Arial"/>
          <w:b/>
          <w:bCs/>
          <w:color w:val="000000" w:themeColor="text1"/>
        </w:rPr>
      </w:pPr>
    </w:p>
    <w:p w14:paraId="5754F49B" w14:textId="77777777" w:rsidR="0076384B" w:rsidRDefault="0076384B" w:rsidP="00757F42">
      <w:pPr>
        <w:jc w:val="both"/>
        <w:rPr>
          <w:rFonts w:cs="Arial"/>
          <w:b/>
          <w:bCs/>
          <w:color w:val="000000" w:themeColor="text1"/>
        </w:rPr>
      </w:pPr>
      <w:r>
        <w:rPr>
          <w:rFonts w:cs="Arial"/>
          <w:b/>
          <w:bCs/>
          <w:color w:val="000000" w:themeColor="text1"/>
        </w:rPr>
        <w:br w:type="page"/>
      </w:r>
    </w:p>
    <w:p w14:paraId="7138BFA3" w14:textId="77777777" w:rsidR="0076384B" w:rsidRDefault="0076384B" w:rsidP="00757F42">
      <w:pPr>
        <w:jc w:val="both"/>
        <w:rPr>
          <w:rFonts w:cs="Arial"/>
          <w:b/>
          <w:bCs/>
          <w:color w:val="000000" w:themeColor="text1"/>
        </w:rPr>
        <w:sectPr w:rsidR="0076384B" w:rsidSect="005C1895">
          <w:pgSz w:w="15840" w:h="12240" w:orient="landscape"/>
          <w:pgMar w:top="720" w:right="720" w:bottom="720" w:left="720" w:header="709" w:footer="709" w:gutter="0"/>
          <w:pgNumType w:start="15"/>
          <w:cols w:space="708"/>
          <w:docGrid w:linePitch="360"/>
        </w:sectPr>
      </w:pPr>
    </w:p>
    <w:p w14:paraId="291CCE8C" w14:textId="77777777" w:rsidR="0076384B" w:rsidRDefault="0076384B" w:rsidP="00984C1A">
      <w:pPr>
        <w:jc w:val="both"/>
        <w:rPr>
          <w:rFonts w:cs="Arial"/>
          <w:b/>
          <w:bCs/>
          <w:color w:val="000000" w:themeColor="text1"/>
        </w:rPr>
      </w:pPr>
      <w:r>
        <w:rPr>
          <w:rFonts w:cs="Arial"/>
          <w:b/>
          <w:bCs/>
          <w:color w:val="000000" w:themeColor="text1"/>
        </w:rPr>
        <w:lastRenderedPageBreak/>
        <w:t xml:space="preserve">XI. </w:t>
      </w:r>
      <w:r w:rsidRPr="00E55B66">
        <w:rPr>
          <w:rFonts w:cs="Arial"/>
          <w:b/>
          <w:bCs/>
          <w:color w:val="000000" w:themeColor="text1"/>
        </w:rPr>
        <w:t>Bibliografía</w:t>
      </w:r>
      <w:r>
        <w:rPr>
          <w:rFonts w:cs="Arial"/>
          <w:b/>
          <w:bCs/>
          <w:color w:val="000000" w:themeColor="text1"/>
        </w:rPr>
        <w:t xml:space="preserve"> obligatoria</w:t>
      </w:r>
      <w:r w:rsidRPr="00E55B66">
        <w:rPr>
          <w:rFonts w:cs="Arial"/>
          <w:b/>
          <w:bCs/>
          <w:color w:val="000000" w:themeColor="text1"/>
        </w:rPr>
        <w:t xml:space="preserve"> </w:t>
      </w:r>
    </w:p>
    <w:p w14:paraId="512C8DED" w14:textId="77777777" w:rsidR="0076384B" w:rsidRDefault="0076384B" w:rsidP="00984C1A">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354D985C" w14:textId="77777777" w:rsidR="0076384B" w:rsidRPr="00EC3349" w:rsidRDefault="0076384B" w:rsidP="00EC3349">
      <w:pPr>
        <w:spacing w:line="276" w:lineRule="auto"/>
        <w:ind w:left="709" w:hanging="709"/>
        <w:jc w:val="both"/>
        <w:rPr>
          <w:rFonts w:cstheme="minorHAnsi"/>
        </w:rPr>
      </w:pPr>
      <w:r w:rsidRPr="00EC3349">
        <w:rPr>
          <w:rFonts w:cstheme="minorHAnsi"/>
        </w:rPr>
        <w:t xml:space="preserve">Althaus-Reid, Marcella. “Sobre teologías feministas y teologías indecentes: panorama de cambios y desafíos”. </w:t>
      </w:r>
      <w:r w:rsidRPr="00EC3349">
        <w:rPr>
          <w:rFonts w:cstheme="minorHAnsi"/>
          <w:i/>
        </w:rPr>
        <w:t xml:space="preserve">Cuadernos de Teología XXII, </w:t>
      </w:r>
      <w:r w:rsidRPr="00EC3349">
        <w:rPr>
          <w:rFonts w:cstheme="minorHAnsi"/>
        </w:rPr>
        <w:t>(2003): pp.123-133.</w:t>
      </w:r>
    </w:p>
    <w:p w14:paraId="7CDAE466" w14:textId="77777777" w:rsidR="0076384B" w:rsidRPr="00EC3349" w:rsidRDefault="0076384B" w:rsidP="00EC3349">
      <w:pPr>
        <w:spacing w:line="276" w:lineRule="auto"/>
        <w:ind w:left="709" w:hanging="709"/>
        <w:jc w:val="both"/>
        <w:rPr>
          <w:rFonts w:cstheme="minorHAnsi"/>
          <w:bCs/>
          <w:color w:val="000000" w:themeColor="text1"/>
        </w:rPr>
      </w:pPr>
      <w:r w:rsidRPr="00EC3349">
        <w:rPr>
          <w:rFonts w:cstheme="minorHAnsi"/>
          <w:bCs/>
          <w:color w:val="000000" w:themeColor="text1"/>
        </w:rPr>
        <w:t xml:space="preserve">Flórez I., Jaime. “La teología como logos hermenéutico del </w:t>
      </w:r>
      <w:proofErr w:type="spellStart"/>
      <w:r w:rsidRPr="00EC3349">
        <w:rPr>
          <w:rFonts w:cstheme="minorHAnsi"/>
          <w:bCs/>
          <w:color w:val="000000" w:themeColor="text1"/>
        </w:rPr>
        <w:t>Theos</w:t>
      </w:r>
      <w:proofErr w:type="spellEnd"/>
      <w:r w:rsidRPr="00EC3349">
        <w:rPr>
          <w:rFonts w:cstheme="minorHAnsi"/>
          <w:bCs/>
          <w:color w:val="000000" w:themeColor="text1"/>
        </w:rPr>
        <w:t xml:space="preserve">: aproximación desde su estatuto epistemológico”. </w:t>
      </w:r>
      <w:proofErr w:type="spellStart"/>
      <w:r w:rsidRPr="00EC3349">
        <w:rPr>
          <w:rFonts w:cstheme="minorHAnsi"/>
          <w:bCs/>
          <w:i/>
          <w:color w:val="000000" w:themeColor="text1"/>
        </w:rPr>
        <w:t>Theologica</w:t>
      </w:r>
      <w:proofErr w:type="spellEnd"/>
      <w:r w:rsidRPr="00EC3349">
        <w:rPr>
          <w:rFonts w:cstheme="minorHAnsi"/>
          <w:bCs/>
          <w:i/>
          <w:color w:val="000000" w:themeColor="text1"/>
        </w:rPr>
        <w:t xml:space="preserve"> </w:t>
      </w:r>
      <w:proofErr w:type="spellStart"/>
      <w:r w:rsidRPr="00EC3349">
        <w:rPr>
          <w:rFonts w:cstheme="minorHAnsi"/>
          <w:bCs/>
          <w:i/>
          <w:color w:val="000000" w:themeColor="text1"/>
        </w:rPr>
        <w:t>Xaveriana</w:t>
      </w:r>
      <w:proofErr w:type="spellEnd"/>
      <w:r w:rsidRPr="00EC3349">
        <w:rPr>
          <w:rFonts w:cstheme="minorHAnsi"/>
          <w:bCs/>
          <w:i/>
          <w:color w:val="000000" w:themeColor="text1"/>
        </w:rPr>
        <w:t xml:space="preserve"> 58, </w:t>
      </w:r>
      <w:r w:rsidRPr="00EC3349">
        <w:rPr>
          <w:rFonts w:cstheme="minorHAnsi"/>
          <w:bCs/>
          <w:color w:val="000000" w:themeColor="text1"/>
        </w:rPr>
        <w:t>n.165 (2008): pp. 155-182.</w:t>
      </w:r>
    </w:p>
    <w:p w14:paraId="74791B3B" w14:textId="77777777" w:rsidR="0076384B" w:rsidRPr="00EC3349" w:rsidRDefault="0076384B" w:rsidP="00EC3349">
      <w:pPr>
        <w:spacing w:line="276" w:lineRule="auto"/>
        <w:ind w:left="709" w:hanging="709"/>
        <w:jc w:val="both"/>
        <w:rPr>
          <w:rFonts w:cstheme="minorHAnsi"/>
          <w:bCs/>
          <w:color w:val="000000" w:themeColor="text1"/>
        </w:rPr>
      </w:pPr>
      <w:proofErr w:type="spellStart"/>
      <w:r w:rsidRPr="00EC3349">
        <w:rPr>
          <w:rFonts w:cstheme="minorHAnsi"/>
          <w:bCs/>
          <w:color w:val="000000" w:themeColor="text1"/>
        </w:rPr>
        <w:t>Fornet</w:t>
      </w:r>
      <w:proofErr w:type="spellEnd"/>
      <w:r w:rsidRPr="00EC3349">
        <w:rPr>
          <w:rFonts w:cstheme="minorHAnsi"/>
          <w:bCs/>
          <w:color w:val="000000" w:themeColor="text1"/>
        </w:rPr>
        <w:t xml:space="preserve"> Betancourt, Raúl. “El quehacer teológico en el contexto del diálogo entre las culturas en América Latina”. </w:t>
      </w:r>
      <w:r w:rsidRPr="00EC3349">
        <w:rPr>
          <w:rFonts w:cstheme="minorHAnsi"/>
          <w:bCs/>
          <w:i/>
          <w:color w:val="000000" w:themeColor="text1"/>
        </w:rPr>
        <w:t xml:space="preserve">Revista Iberoamericana de Teología, </w:t>
      </w:r>
      <w:r w:rsidRPr="00EC3349">
        <w:rPr>
          <w:rFonts w:cstheme="minorHAnsi"/>
          <w:bCs/>
          <w:color w:val="000000" w:themeColor="text1"/>
        </w:rPr>
        <w:t>n.4 (2007): pp. 73-83.</w:t>
      </w:r>
    </w:p>
    <w:p w14:paraId="6516A223" w14:textId="77777777" w:rsidR="0076384B" w:rsidRPr="00EC3349" w:rsidRDefault="0076384B" w:rsidP="00EC3349">
      <w:pPr>
        <w:spacing w:line="276" w:lineRule="auto"/>
        <w:ind w:left="709" w:hanging="709"/>
        <w:jc w:val="both"/>
        <w:rPr>
          <w:rFonts w:cstheme="minorHAnsi"/>
          <w:bCs/>
          <w:color w:val="000000" w:themeColor="text1"/>
        </w:rPr>
      </w:pPr>
      <w:proofErr w:type="spellStart"/>
      <w:r w:rsidRPr="00EC3349">
        <w:rPr>
          <w:rFonts w:cstheme="minorHAnsi"/>
          <w:bCs/>
          <w:color w:val="000000" w:themeColor="text1"/>
        </w:rPr>
        <w:t>Gebara</w:t>
      </w:r>
      <w:proofErr w:type="spellEnd"/>
      <w:r w:rsidRPr="00EC3349">
        <w:rPr>
          <w:rFonts w:cstheme="minorHAnsi"/>
          <w:bCs/>
          <w:color w:val="000000" w:themeColor="text1"/>
        </w:rPr>
        <w:t xml:space="preserve">, Ivone. </w:t>
      </w:r>
      <w:r w:rsidRPr="00EC3349">
        <w:rPr>
          <w:rFonts w:cstheme="minorHAnsi"/>
          <w:bCs/>
          <w:i/>
          <w:color w:val="000000" w:themeColor="text1"/>
        </w:rPr>
        <w:t xml:space="preserve">El rostro oculto del mal: una teología desde la experiencia de las mujeres. </w:t>
      </w:r>
      <w:r w:rsidRPr="00EC3349">
        <w:rPr>
          <w:rFonts w:cstheme="minorHAnsi"/>
          <w:bCs/>
          <w:color w:val="000000" w:themeColor="text1"/>
        </w:rPr>
        <w:t>Madrid: Trotta, 2002. (</w:t>
      </w:r>
      <w:r w:rsidRPr="00E11B7C">
        <w:rPr>
          <w:rFonts w:cstheme="minorHAnsi"/>
          <w:bCs/>
          <w:color w:val="0070C0"/>
        </w:rPr>
        <w:t>clásico</w:t>
      </w:r>
      <w:r>
        <w:rPr>
          <w:rFonts w:cstheme="minorHAnsi"/>
          <w:bCs/>
          <w:color w:val="000000" w:themeColor="text1"/>
        </w:rPr>
        <w:t xml:space="preserve">, </w:t>
      </w:r>
      <w:r w:rsidRPr="00EC3349">
        <w:rPr>
          <w:rFonts w:cstheme="minorHAnsi"/>
          <w:bCs/>
          <w:color w:val="000000" w:themeColor="text1"/>
        </w:rPr>
        <w:t xml:space="preserve">última edición) </w:t>
      </w:r>
    </w:p>
    <w:p w14:paraId="305714B9" w14:textId="77777777" w:rsidR="0076384B" w:rsidRPr="00EC3349" w:rsidRDefault="0076384B" w:rsidP="00EC3349">
      <w:pPr>
        <w:spacing w:line="276" w:lineRule="auto"/>
        <w:ind w:left="709" w:hanging="709"/>
        <w:jc w:val="both"/>
        <w:rPr>
          <w:rFonts w:cstheme="minorHAnsi"/>
          <w:color w:val="222222"/>
          <w:shd w:val="clear" w:color="auto" w:fill="FFFFFF"/>
        </w:rPr>
      </w:pPr>
      <w:r w:rsidRPr="00EC3349">
        <w:rPr>
          <w:rFonts w:cstheme="minorHAnsi"/>
          <w:color w:val="222222"/>
          <w:shd w:val="clear" w:color="auto" w:fill="FFFFFF"/>
        </w:rPr>
        <w:t xml:space="preserve">Tamayo Acosta, Juan José. “Teología de la liberación: revolución metodológica. Nuevas aportaciones y desafíos al primer mundo”. En </w:t>
      </w:r>
      <w:r w:rsidRPr="00EC3349">
        <w:rPr>
          <w:rFonts w:cstheme="minorHAnsi"/>
          <w:i/>
          <w:color w:val="222222"/>
          <w:shd w:val="clear" w:color="auto" w:fill="FFFFFF"/>
        </w:rPr>
        <w:t xml:space="preserve">El mar se abrió: Treinta años de teología en América Latina, </w:t>
      </w:r>
      <w:r w:rsidRPr="00EC3349">
        <w:rPr>
          <w:rFonts w:cstheme="minorHAnsi"/>
          <w:color w:val="222222"/>
          <w:shd w:val="clear" w:color="auto" w:fill="FFFFFF"/>
        </w:rPr>
        <w:t xml:space="preserve">editado por </w:t>
      </w:r>
      <w:proofErr w:type="spellStart"/>
      <w:r w:rsidRPr="00EC3349">
        <w:rPr>
          <w:rFonts w:cstheme="minorHAnsi"/>
          <w:color w:val="222222"/>
          <w:shd w:val="clear" w:color="auto" w:fill="FFFFFF"/>
        </w:rPr>
        <w:t>Luiz</w:t>
      </w:r>
      <w:proofErr w:type="spellEnd"/>
      <w:r w:rsidRPr="00EC3349">
        <w:rPr>
          <w:rFonts w:cstheme="minorHAnsi"/>
          <w:color w:val="222222"/>
          <w:shd w:val="clear" w:color="auto" w:fill="FFFFFF"/>
        </w:rPr>
        <w:t xml:space="preserve"> Carlos </w:t>
      </w:r>
      <w:proofErr w:type="spellStart"/>
      <w:r w:rsidRPr="00EC3349">
        <w:rPr>
          <w:rFonts w:cstheme="minorHAnsi"/>
          <w:color w:val="222222"/>
          <w:shd w:val="clear" w:color="auto" w:fill="FFFFFF"/>
        </w:rPr>
        <w:t>Susin</w:t>
      </w:r>
      <w:proofErr w:type="spellEnd"/>
      <w:r w:rsidRPr="00EC3349">
        <w:rPr>
          <w:rFonts w:cstheme="minorHAnsi"/>
          <w:color w:val="222222"/>
          <w:shd w:val="clear" w:color="auto" w:fill="FFFFFF"/>
        </w:rPr>
        <w:t xml:space="preserve">, 190-203. Santander: Sal </w:t>
      </w:r>
      <w:proofErr w:type="spellStart"/>
      <w:r w:rsidRPr="00EC3349">
        <w:rPr>
          <w:rFonts w:cstheme="minorHAnsi"/>
          <w:color w:val="222222"/>
          <w:shd w:val="clear" w:color="auto" w:fill="FFFFFF"/>
        </w:rPr>
        <w:t>Terrae</w:t>
      </w:r>
      <w:proofErr w:type="spellEnd"/>
      <w:r w:rsidRPr="00EC3349">
        <w:rPr>
          <w:rFonts w:cstheme="minorHAnsi"/>
          <w:color w:val="222222"/>
          <w:shd w:val="clear" w:color="auto" w:fill="FFFFFF"/>
        </w:rPr>
        <w:t xml:space="preserve">, 2000. </w:t>
      </w:r>
      <w:r w:rsidRPr="00EC3349">
        <w:rPr>
          <w:rFonts w:cstheme="minorHAnsi"/>
          <w:bCs/>
          <w:color w:val="000000" w:themeColor="text1"/>
        </w:rPr>
        <w:t>(</w:t>
      </w:r>
      <w:r w:rsidRPr="00E11B7C">
        <w:rPr>
          <w:rFonts w:cstheme="minorHAnsi"/>
          <w:bCs/>
          <w:color w:val="0070C0"/>
        </w:rPr>
        <w:t>clásico</w:t>
      </w:r>
      <w:r>
        <w:rPr>
          <w:rFonts w:cstheme="minorHAnsi"/>
          <w:bCs/>
          <w:color w:val="000000" w:themeColor="text1"/>
        </w:rPr>
        <w:t xml:space="preserve">, </w:t>
      </w:r>
      <w:r w:rsidRPr="00EC3349">
        <w:rPr>
          <w:rFonts w:cstheme="minorHAnsi"/>
          <w:bCs/>
          <w:color w:val="000000" w:themeColor="text1"/>
        </w:rPr>
        <w:t>última edición)</w:t>
      </w:r>
    </w:p>
    <w:p w14:paraId="17C2C84A" w14:textId="77777777" w:rsidR="0076384B" w:rsidRPr="00EC3349" w:rsidRDefault="0076384B" w:rsidP="00EC3349">
      <w:pPr>
        <w:spacing w:line="276" w:lineRule="auto"/>
        <w:ind w:left="709" w:hanging="709"/>
        <w:jc w:val="both"/>
        <w:rPr>
          <w:rFonts w:cstheme="minorHAnsi"/>
          <w:bCs/>
          <w:color w:val="000000" w:themeColor="text1"/>
        </w:rPr>
      </w:pPr>
      <w:r w:rsidRPr="00EC3349">
        <w:rPr>
          <w:rFonts w:cstheme="minorHAnsi"/>
          <w:bCs/>
          <w:color w:val="000000" w:themeColor="text1"/>
        </w:rPr>
        <w:t xml:space="preserve">Tamayo Acosta, Juan José. </w:t>
      </w:r>
      <w:r w:rsidRPr="00EC3349">
        <w:rPr>
          <w:rFonts w:cstheme="minorHAnsi"/>
          <w:bCs/>
          <w:i/>
          <w:color w:val="000000" w:themeColor="text1"/>
        </w:rPr>
        <w:t xml:space="preserve">Otra teología es posible. Pluralismo religioso, interculturalidad y feminismo. </w:t>
      </w:r>
      <w:r w:rsidRPr="00EC3349">
        <w:rPr>
          <w:rFonts w:cstheme="minorHAnsi"/>
          <w:bCs/>
          <w:color w:val="000000" w:themeColor="text1"/>
        </w:rPr>
        <w:t>Madrid: Herder, 2011. (</w:t>
      </w:r>
      <w:r w:rsidRPr="00E11B7C">
        <w:rPr>
          <w:rFonts w:cstheme="minorHAnsi"/>
          <w:bCs/>
          <w:color w:val="0070C0"/>
        </w:rPr>
        <w:t>clásico</w:t>
      </w:r>
      <w:r>
        <w:rPr>
          <w:rFonts w:cstheme="minorHAnsi"/>
          <w:bCs/>
          <w:color w:val="000000" w:themeColor="text1"/>
        </w:rPr>
        <w:t xml:space="preserve">, </w:t>
      </w:r>
      <w:r w:rsidRPr="00EC3349">
        <w:rPr>
          <w:rFonts w:cstheme="minorHAnsi"/>
          <w:bCs/>
          <w:color w:val="000000" w:themeColor="text1"/>
        </w:rPr>
        <w:t xml:space="preserve">última edición) </w:t>
      </w:r>
    </w:p>
    <w:p w14:paraId="268A7283" w14:textId="77777777" w:rsidR="0076384B" w:rsidRPr="00EC3349" w:rsidRDefault="0076384B" w:rsidP="00EC3349">
      <w:pPr>
        <w:spacing w:line="276" w:lineRule="auto"/>
        <w:ind w:left="709" w:hanging="709"/>
        <w:jc w:val="both"/>
        <w:rPr>
          <w:rFonts w:cstheme="minorHAnsi"/>
          <w:color w:val="222222"/>
          <w:shd w:val="clear" w:color="auto" w:fill="FFFFFF"/>
        </w:rPr>
      </w:pPr>
      <w:proofErr w:type="spellStart"/>
      <w:r w:rsidRPr="00EC3349">
        <w:rPr>
          <w:rFonts w:cstheme="minorHAnsi"/>
          <w:color w:val="222222"/>
          <w:shd w:val="clear" w:color="auto" w:fill="FFFFFF"/>
        </w:rPr>
        <w:t>Tillich</w:t>
      </w:r>
      <w:proofErr w:type="spellEnd"/>
      <w:r w:rsidRPr="00EC3349">
        <w:rPr>
          <w:rFonts w:cstheme="minorHAnsi"/>
          <w:color w:val="222222"/>
          <w:shd w:val="clear" w:color="auto" w:fill="FFFFFF"/>
        </w:rPr>
        <w:t>, Paul. </w:t>
      </w:r>
      <w:r w:rsidRPr="00EC3349">
        <w:rPr>
          <w:rFonts w:cstheme="minorHAnsi"/>
          <w:i/>
          <w:iCs/>
          <w:color w:val="222222"/>
          <w:shd w:val="clear" w:color="auto" w:fill="FFFFFF"/>
        </w:rPr>
        <w:t>Teología Sistemática I: La razón y la revelación. El ser y Dios</w:t>
      </w:r>
      <w:r w:rsidRPr="00EC3349">
        <w:rPr>
          <w:rFonts w:cstheme="minorHAnsi"/>
          <w:color w:val="222222"/>
          <w:shd w:val="clear" w:color="auto" w:fill="FFFFFF"/>
        </w:rPr>
        <w:t>. Vol. I. Salamanca: Sígueme, 1982. (Clásico, última reimpresión, 2001)</w:t>
      </w:r>
    </w:p>
    <w:p w14:paraId="2857C4D6" w14:textId="77777777" w:rsidR="0076384B" w:rsidRDefault="0076384B" w:rsidP="00EC3349">
      <w:pPr>
        <w:spacing w:line="276" w:lineRule="auto"/>
        <w:ind w:left="709" w:hanging="709"/>
        <w:jc w:val="both"/>
        <w:rPr>
          <w:rFonts w:cstheme="minorHAnsi"/>
          <w:bCs/>
          <w:color w:val="000000" w:themeColor="text1"/>
        </w:rPr>
      </w:pPr>
      <w:r w:rsidRPr="00EC3349">
        <w:rPr>
          <w:rFonts w:cstheme="minorHAnsi"/>
          <w:bCs/>
          <w:color w:val="000000" w:themeColor="text1"/>
        </w:rPr>
        <w:t xml:space="preserve">Trigo, Pedro. “La teología latinoamericana ante los retos </w:t>
      </w:r>
      <w:proofErr w:type="spellStart"/>
      <w:r w:rsidRPr="00EC3349">
        <w:rPr>
          <w:rFonts w:cstheme="minorHAnsi"/>
          <w:bCs/>
          <w:color w:val="000000" w:themeColor="text1"/>
        </w:rPr>
        <w:t>epocales</w:t>
      </w:r>
      <w:proofErr w:type="spellEnd"/>
      <w:r w:rsidRPr="00EC3349">
        <w:rPr>
          <w:rFonts w:cstheme="minorHAnsi"/>
          <w:bCs/>
          <w:color w:val="000000" w:themeColor="text1"/>
        </w:rPr>
        <w:t xml:space="preserve">”. </w:t>
      </w:r>
      <w:r w:rsidRPr="00EC3349">
        <w:rPr>
          <w:rFonts w:cstheme="minorHAnsi"/>
          <w:bCs/>
          <w:i/>
          <w:color w:val="000000" w:themeColor="text1"/>
        </w:rPr>
        <w:t xml:space="preserve">Revista Latinoamericana de Teología, </w:t>
      </w:r>
      <w:r w:rsidRPr="00EC3349">
        <w:rPr>
          <w:rFonts w:cstheme="minorHAnsi"/>
          <w:bCs/>
          <w:color w:val="000000" w:themeColor="text1"/>
        </w:rPr>
        <w:t>n.86 (2012): pp. 121-133.</w:t>
      </w:r>
    </w:p>
    <w:p w14:paraId="4A2716E4" w14:textId="77777777" w:rsidR="0076384B" w:rsidRPr="00EC3349" w:rsidRDefault="0076384B" w:rsidP="00EC3349">
      <w:pPr>
        <w:spacing w:line="276" w:lineRule="auto"/>
        <w:ind w:left="709" w:hanging="709"/>
        <w:jc w:val="both"/>
        <w:rPr>
          <w:rFonts w:cstheme="minorHAnsi"/>
          <w:bCs/>
          <w:color w:val="000000" w:themeColor="text1"/>
        </w:rPr>
      </w:pPr>
      <w:r w:rsidRPr="00EC3349">
        <w:rPr>
          <w:rFonts w:cstheme="minorHAnsi"/>
          <w:bCs/>
          <w:color w:val="000000" w:themeColor="text1"/>
        </w:rPr>
        <w:t xml:space="preserve"> </w:t>
      </w:r>
      <w:proofErr w:type="spellStart"/>
      <w:r w:rsidRPr="00EC3349">
        <w:rPr>
          <w:rFonts w:cstheme="minorHAnsi"/>
          <w:bCs/>
          <w:color w:val="000000" w:themeColor="text1"/>
        </w:rPr>
        <w:t>Vigil</w:t>
      </w:r>
      <w:proofErr w:type="spellEnd"/>
      <w:r w:rsidRPr="00EC3349">
        <w:rPr>
          <w:rFonts w:cstheme="minorHAnsi"/>
          <w:bCs/>
          <w:color w:val="000000" w:themeColor="text1"/>
        </w:rPr>
        <w:t xml:space="preserve">, José María. </w:t>
      </w:r>
      <w:r w:rsidRPr="00EC3349">
        <w:rPr>
          <w:rFonts w:cstheme="minorHAnsi"/>
          <w:bCs/>
          <w:i/>
          <w:color w:val="000000" w:themeColor="text1"/>
        </w:rPr>
        <w:t xml:space="preserve">Teología del pluralismo religioso. Curso sistemático de teología popular. </w:t>
      </w:r>
      <w:r w:rsidRPr="00EC3349">
        <w:rPr>
          <w:rFonts w:cstheme="minorHAnsi"/>
          <w:bCs/>
          <w:color w:val="000000" w:themeColor="text1"/>
        </w:rPr>
        <w:t>Ecuador: Abya-Yala, 2005. (</w:t>
      </w:r>
      <w:r w:rsidRPr="00E11B7C">
        <w:rPr>
          <w:rFonts w:cstheme="minorHAnsi"/>
          <w:bCs/>
          <w:color w:val="0070C0"/>
        </w:rPr>
        <w:t>clásico</w:t>
      </w:r>
      <w:r>
        <w:rPr>
          <w:rFonts w:cstheme="minorHAnsi"/>
          <w:bCs/>
          <w:color w:val="000000" w:themeColor="text1"/>
        </w:rPr>
        <w:t xml:space="preserve">, </w:t>
      </w:r>
      <w:r w:rsidRPr="00EC3349">
        <w:rPr>
          <w:rFonts w:cstheme="minorHAnsi"/>
          <w:bCs/>
          <w:color w:val="000000" w:themeColor="text1"/>
        </w:rPr>
        <w:t>última edición)</w:t>
      </w:r>
    </w:p>
    <w:p w14:paraId="58A5F7CD" w14:textId="77777777" w:rsidR="0076384B" w:rsidRDefault="0076384B" w:rsidP="008E7B90">
      <w:pPr>
        <w:jc w:val="both"/>
        <w:rPr>
          <w:rFonts w:cs="Arial"/>
          <w:b/>
          <w:bCs/>
          <w:color w:val="000000" w:themeColor="text1"/>
        </w:rPr>
      </w:pPr>
    </w:p>
    <w:p w14:paraId="72205E8B" w14:textId="77777777" w:rsidR="0076384B" w:rsidRDefault="0076384B" w:rsidP="00984C1A">
      <w:pPr>
        <w:jc w:val="both"/>
        <w:rPr>
          <w:rFonts w:cs="Arial"/>
          <w:b/>
          <w:bCs/>
          <w:color w:val="000000" w:themeColor="text1"/>
        </w:rPr>
      </w:pPr>
      <w:r>
        <w:rPr>
          <w:rFonts w:cs="Arial"/>
          <w:b/>
          <w:bCs/>
          <w:color w:val="000000" w:themeColor="text1"/>
        </w:rPr>
        <w:t xml:space="preserve">XI. </w:t>
      </w:r>
      <w:r w:rsidRPr="00E55B66">
        <w:rPr>
          <w:rFonts w:cs="Arial"/>
          <w:b/>
          <w:bCs/>
          <w:color w:val="000000" w:themeColor="text1"/>
        </w:rPr>
        <w:t xml:space="preserve">Bibliografía </w:t>
      </w:r>
      <w:r>
        <w:rPr>
          <w:rFonts w:cs="Arial"/>
          <w:b/>
          <w:bCs/>
          <w:color w:val="000000" w:themeColor="text1"/>
        </w:rPr>
        <w:t xml:space="preserve">complementaria </w:t>
      </w:r>
    </w:p>
    <w:p w14:paraId="5ED7E9FD" w14:textId="77777777" w:rsidR="0076384B" w:rsidRDefault="0076384B" w:rsidP="00984C1A">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1C38738B" w14:textId="77777777" w:rsidR="0076384B" w:rsidRPr="00C864FD" w:rsidRDefault="0076384B" w:rsidP="00C864FD">
      <w:pPr>
        <w:spacing w:line="276" w:lineRule="auto"/>
        <w:ind w:left="709" w:hanging="709"/>
        <w:jc w:val="both"/>
        <w:rPr>
          <w:rFonts w:cstheme="minorHAnsi"/>
          <w:b/>
          <w:color w:val="FF0000"/>
        </w:rPr>
      </w:pPr>
      <w:r w:rsidRPr="00C864FD">
        <w:rPr>
          <w:rFonts w:cstheme="minorHAnsi"/>
        </w:rPr>
        <w:t xml:space="preserve">Cervantes-Ortiz, Leopoldo. “Génesis de la nueva teología protestante latinoamericana (1949-1970)”. </w:t>
      </w:r>
      <w:r w:rsidRPr="00C864FD">
        <w:rPr>
          <w:rFonts w:cstheme="minorHAnsi"/>
          <w:i/>
        </w:rPr>
        <w:t>Protestantismo em Revista</w:t>
      </w:r>
      <w:r w:rsidRPr="00C864FD">
        <w:rPr>
          <w:rFonts w:cstheme="minorHAnsi"/>
        </w:rPr>
        <w:t xml:space="preserve"> 18, (2009): 7-29. Acceso el 17 de diciembre de 2020.  </w:t>
      </w:r>
      <w:hyperlink r:id="rId49" w:history="1">
        <w:r w:rsidRPr="00C864FD">
          <w:rPr>
            <w:rStyle w:val="Hipervnculo"/>
            <w:rFonts w:cstheme="minorHAnsi"/>
          </w:rPr>
          <w:t>http://est.com.br/periodicos/index.php/nepp/article/view/2030/1943</w:t>
        </w:r>
      </w:hyperlink>
    </w:p>
    <w:p w14:paraId="3CB54CCD" w14:textId="77777777" w:rsidR="0076384B" w:rsidRPr="00C864FD" w:rsidRDefault="0076384B" w:rsidP="00C864FD">
      <w:pPr>
        <w:spacing w:line="276" w:lineRule="auto"/>
        <w:ind w:left="709" w:hanging="709"/>
        <w:jc w:val="both"/>
        <w:rPr>
          <w:rFonts w:cstheme="minorHAnsi"/>
        </w:rPr>
      </w:pPr>
      <w:proofErr w:type="spellStart"/>
      <w:r w:rsidRPr="00C864FD">
        <w:rPr>
          <w:rFonts w:cstheme="minorHAnsi"/>
        </w:rPr>
        <w:t>Comblin</w:t>
      </w:r>
      <w:proofErr w:type="spellEnd"/>
      <w:r w:rsidRPr="00C864FD">
        <w:rPr>
          <w:rFonts w:cstheme="minorHAnsi"/>
        </w:rPr>
        <w:t xml:space="preserve">, José. “Fe y política. Problema de método teológico”. </w:t>
      </w:r>
      <w:r w:rsidRPr="001E1B85">
        <w:rPr>
          <w:rFonts w:cstheme="minorHAnsi"/>
          <w:i/>
          <w:iCs/>
        </w:rPr>
        <w:t>Revista Latinoamericana de Teología</w:t>
      </w:r>
      <w:r w:rsidRPr="00C864FD">
        <w:rPr>
          <w:rFonts w:cstheme="minorHAnsi"/>
        </w:rPr>
        <w:t xml:space="preserve">, n.80 (2010): pp. 195-204. </w:t>
      </w:r>
    </w:p>
    <w:p w14:paraId="12501BE2" w14:textId="77777777" w:rsidR="0076384B" w:rsidRPr="00E11B7C" w:rsidRDefault="0076384B" w:rsidP="001E1B85">
      <w:pPr>
        <w:spacing w:line="276" w:lineRule="auto"/>
        <w:ind w:left="709" w:hanging="709"/>
        <w:jc w:val="both"/>
        <w:rPr>
          <w:rFonts w:cstheme="minorHAnsi"/>
          <w:color w:val="0070C0"/>
          <w:shd w:val="clear" w:color="auto" w:fill="FFFFFF"/>
        </w:rPr>
      </w:pPr>
      <w:r w:rsidRPr="00C864FD">
        <w:rPr>
          <w:rFonts w:cstheme="minorHAnsi"/>
          <w:bCs/>
        </w:rPr>
        <w:lastRenderedPageBreak/>
        <w:t xml:space="preserve">Vélez Caro, Olga Consuelo. </w:t>
      </w:r>
      <w:r w:rsidRPr="00C864FD">
        <w:rPr>
          <w:rFonts w:cstheme="minorHAnsi"/>
          <w:bCs/>
          <w:i/>
        </w:rPr>
        <w:t>El método teológico: Fundamentos, especializaciones, enfoques</w:t>
      </w:r>
      <w:r w:rsidRPr="00C864FD">
        <w:rPr>
          <w:rFonts w:cstheme="minorHAnsi"/>
          <w:bCs/>
        </w:rPr>
        <w:t xml:space="preserve">. Bogotá: Pontificia Universidad Javeriana, 2008. Acceso el 17 de diciembre de 2020. </w:t>
      </w:r>
      <w:hyperlink r:id="rId50" w:history="1">
        <w:r w:rsidRPr="00C864FD">
          <w:rPr>
            <w:rStyle w:val="Hipervnculo"/>
            <w:rFonts w:cstheme="minorHAnsi"/>
            <w:bCs/>
          </w:rPr>
          <w:t>https://repository.javeriana.edu.co/handle/10554/38674</w:t>
        </w:r>
      </w:hyperlink>
      <w:r w:rsidRPr="00C864FD">
        <w:rPr>
          <w:rFonts w:cstheme="minorHAnsi"/>
          <w:bCs/>
          <w:color w:val="00B050"/>
        </w:rPr>
        <w:t xml:space="preserve"> </w:t>
      </w:r>
      <w:r w:rsidRPr="00C864FD">
        <w:rPr>
          <w:rFonts w:cstheme="minorHAnsi"/>
        </w:rPr>
        <w:t xml:space="preserve"> </w:t>
      </w:r>
      <w:r w:rsidRPr="00E11B7C">
        <w:rPr>
          <w:rFonts w:cstheme="minorHAnsi"/>
          <w:color w:val="0070C0"/>
          <w:shd w:val="clear" w:color="auto" w:fill="FFFFFF"/>
        </w:rPr>
        <w:t>(clásico, última edición)</w:t>
      </w:r>
    </w:p>
    <w:p w14:paraId="264A648D" w14:textId="77777777" w:rsidR="0076384B" w:rsidRDefault="0076384B" w:rsidP="00C864FD">
      <w:pPr>
        <w:spacing w:line="276" w:lineRule="auto"/>
        <w:ind w:left="709" w:hanging="709"/>
        <w:jc w:val="both"/>
        <w:rPr>
          <w:rStyle w:val="Hipervnculo"/>
          <w:rFonts w:cstheme="minorHAnsi"/>
          <w:shd w:val="clear" w:color="auto" w:fill="FFFFFF"/>
        </w:rPr>
      </w:pPr>
      <w:r w:rsidRPr="00C864FD">
        <w:rPr>
          <w:rFonts w:cstheme="minorHAnsi"/>
        </w:rPr>
        <w:t xml:space="preserve">Zamora González, María Vanessa. “La contribución de Ivone </w:t>
      </w:r>
      <w:proofErr w:type="spellStart"/>
      <w:r w:rsidRPr="00C864FD">
        <w:rPr>
          <w:rFonts w:cstheme="minorHAnsi"/>
        </w:rPr>
        <w:t>Gebara</w:t>
      </w:r>
      <w:proofErr w:type="spellEnd"/>
      <w:r w:rsidRPr="00C864FD">
        <w:rPr>
          <w:rFonts w:cstheme="minorHAnsi"/>
        </w:rPr>
        <w:t xml:space="preserve"> a la teología del siglo XXI en América Latina”. </w:t>
      </w:r>
      <w:r w:rsidRPr="00C864FD">
        <w:rPr>
          <w:rFonts w:cstheme="minorHAnsi"/>
          <w:i/>
        </w:rPr>
        <w:t xml:space="preserve">Revista Espiga </w:t>
      </w:r>
      <w:r w:rsidRPr="00C864FD">
        <w:rPr>
          <w:rFonts w:cstheme="minorHAnsi"/>
        </w:rPr>
        <w:t xml:space="preserve">13, n. 27 (2014): 1-8. Acceso el 17 de diciembre de 2020. </w:t>
      </w:r>
      <w:r w:rsidRPr="00C864FD">
        <w:rPr>
          <w:rFonts w:cstheme="minorHAnsi"/>
          <w:shd w:val="clear" w:color="auto" w:fill="FFFFFF"/>
        </w:rPr>
        <w:t xml:space="preserve"> </w:t>
      </w:r>
      <w:hyperlink r:id="rId51" w:history="1">
        <w:r w:rsidRPr="00C864FD">
          <w:rPr>
            <w:rStyle w:val="Hipervnculo"/>
            <w:rFonts w:cstheme="minorHAnsi"/>
            <w:shd w:val="clear" w:color="auto" w:fill="FFFFFF"/>
          </w:rPr>
          <w:t>https://doi.org/10.22458/re.v13i27.497</w:t>
        </w:r>
      </w:hyperlink>
    </w:p>
    <w:p w14:paraId="3A5BBB11" w14:textId="77777777" w:rsidR="0076384B" w:rsidRDefault="0076384B" w:rsidP="00C864FD">
      <w:pPr>
        <w:spacing w:line="276" w:lineRule="auto"/>
        <w:ind w:left="709" w:hanging="709"/>
        <w:jc w:val="both"/>
        <w:rPr>
          <w:rFonts w:cstheme="minorHAnsi"/>
          <w:bCs/>
          <w:color w:val="00B050"/>
        </w:rPr>
      </w:pPr>
    </w:p>
    <w:p w14:paraId="46408A42" w14:textId="77777777" w:rsidR="0076384B" w:rsidRDefault="0076384B" w:rsidP="00C864FD">
      <w:pPr>
        <w:spacing w:line="276" w:lineRule="auto"/>
        <w:ind w:left="709" w:hanging="709"/>
        <w:jc w:val="both"/>
        <w:rPr>
          <w:rFonts w:cstheme="minorHAnsi"/>
          <w:bCs/>
          <w:color w:val="00B050"/>
        </w:rPr>
      </w:pPr>
    </w:p>
    <w:p w14:paraId="1727E54F" w14:textId="77777777" w:rsidR="0076384B" w:rsidRDefault="0076384B" w:rsidP="00C864FD">
      <w:pPr>
        <w:spacing w:line="276" w:lineRule="auto"/>
        <w:ind w:left="709" w:hanging="709"/>
        <w:jc w:val="both"/>
        <w:rPr>
          <w:rFonts w:cstheme="minorHAnsi"/>
          <w:bCs/>
          <w:color w:val="00B050"/>
        </w:rPr>
      </w:pPr>
    </w:p>
    <w:p w14:paraId="145F04B6" w14:textId="77777777" w:rsidR="0076384B" w:rsidRDefault="0076384B" w:rsidP="00C864FD">
      <w:pPr>
        <w:spacing w:line="276" w:lineRule="auto"/>
        <w:ind w:left="709" w:hanging="709"/>
        <w:jc w:val="both"/>
        <w:rPr>
          <w:rFonts w:cstheme="minorHAnsi"/>
          <w:bCs/>
          <w:color w:val="00B050"/>
        </w:rPr>
      </w:pPr>
    </w:p>
    <w:p w14:paraId="0C4F024D" w14:textId="77777777" w:rsidR="0076384B" w:rsidRDefault="0076384B" w:rsidP="00C864FD">
      <w:pPr>
        <w:spacing w:line="276" w:lineRule="auto"/>
        <w:ind w:left="709" w:hanging="709"/>
        <w:jc w:val="both"/>
        <w:rPr>
          <w:rFonts w:cstheme="minorHAnsi"/>
          <w:bCs/>
          <w:color w:val="00B050"/>
        </w:rPr>
      </w:pPr>
    </w:p>
    <w:p w14:paraId="0B1D6A31" w14:textId="77777777" w:rsidR="0076384B" w:rsidRDefault="0076384B" w:rsidP="00C864FD">
      <w:pPr>
        <w:spacing w:line="276" w:lineRule="auto"/>
        <w:ind w:left="709" w:hanging="709"/>
        <w:jc w:val="both"/>
        <w:rPr>
          <w:rFonts w:cstheme="minorHAnsi"/>
          <w:bCs/>
          <w:color w:val="00B050"/>
        </w:rPr>
      </w:pPr>
    </w:p>
    <w:p w14:paraId="7181384A" w14:textId="77777777" w:rsidR="0076384B" w:rsidRDefault="0076384B" w:rsidP="00C864FD">
      <w:pPr>
        <w:spacing w:line="276" w:lineRule="auto"/>
        <w:ind w:left="709" w:hanging="709"/>
        <w:jc w:val="both"/>
        <w:rPr>
          <w:rFonts w:cstheme="minorHAnsi"/>
          <w:bCs/>
          <w:color w:val="00B050"/>
        </w:rPr>
      </w:pPr>
    </w:p>
    <w:p w14:paraId="53E7BD94" w14:textId="77777777" w:rsidR="0076384B" w:rsidRDefault="0076384B" w:rsidP="00C864FD">
      <w:pPr>
        <w:spacing w:line="276" w:lineRule="auto"/>
        <w:ind w:left="709" w:hanging="709"/>
        <w:jc w:val="both"/>
        <w:rPr>
          <w:rFonts w:cstheme="minorHAnsi"/>
          <w:bCs/>
          <w:color w:val="00B050"/>
        </w:rPr>
      </w:pPr>
    </w:p>
    <w:p w14:paraId="26890348" w14:textId="77777777" w:rsidR="0076384B" w:rsidRDefault="0076384B" w:rsidP="00C864FD">
      <w:pPr>
        <w:spacing w:line="276" w:lineRule="auto"/>
        <w:ind w:left="709" w:hanging="709"/>
        <w:jc w:val="both"/>
        <w:rPr>
          <w:rFonts w:cstheme="minorHAnsi"/>
          <w:bCs/>
          <w:color w:val="00B050"/>
        </w:rPr>
      </w:pPr>
    </w:p>
    <w:p w14:paraId="17BD7D3B" w14:textId="77777777" w:rsidR="0076384B" w:rsidRDefault="0076384B" w:rsidP="00C864FD">
      <w:pPr>
        <w:spacing w:line="276" w:lineRule="auto"/>
        <w:ind w:left="709" w:hanging="709"/>
        <w:jc w:val="both"/>
        <w:rPr>
          <w:rFonts w:cstheme="minorHAnsi"/>
          <w:bCs/>
          <w:color w:val="00B050"/>
        </w:rPr>
      </w:pPr>
    </w:p>
    <w:p w14:paraId="708383D5" w14:textId="77777777" w:rsidR="0076384B" w:rsidRDefault="0076384B" w:rsidP="00C864FD">
      <w:pPr>
        <w:spacing w:line="276" w:lineRule="auto"/>
        <w:ind w:left="709" w:hanging="709"/>
        <w:jc w:val="both"/>
        <w:rPr>
          <w:rFonts w:cstheme="minorHAnsi"/>
          <w:bCs/>
          <w:color w:val="00B050"/>
        </w:rPr>
      </w:pPr>
    </w:p>
    <w:p w14:paraId="4DF6C66A" w14:textId="77777777" w:rsidR="0076384B" w:rsidRDefault="0076384B" w:rsidP="00C864FD">
      <w:pPr>
        <w:spacing w:line="276" w:lineRule="auto"/>
        <w:ind w:left="709" w:hanging="709"/>
        <w:jc w:val="both"/>
        <w:rPr>
          <w:rFonts w:cstheme="minorHAnsi"/>
          <w:bCs/>
          <w:color w:val="00B050"/>
        </w:rPr>
      </w:pPr>
    </w:p>
    <w:p w14:paraId="5A6D4C5D" w14:textId="77777777" w:rsidR="0076384B" w:rsidRDefault="0076384B" w:rsidP="00C864FD">
      <w:pPr>
        <w:spacing w:line="276" w:lineRule="auto"/>
        <w:ind w:left="709" w:hanging="709"/>
        <w:jc w:val="both"/>
        <w:rPr>
          <w:rFonts w:cstheme="minorHAnsi"/>
          <w:bCs/>
          <w:color w:val="00B050"/>
        </w:rPr>
      </w:pPr>
    </w:p>
    <w:p w14:paraId="51E7A534" w14:textId="77777777" w:rsidR="0076384B" w:rsidRDefault="0076384B" w:rsidP="00C864FD">
      <w:pPr>
        <w:spacing w:line="276" w:lineRule="auto"/>
        <w:ind w:left="709" w:hanging="709"/>
        <w:jc w:val="both"/>
        <w:rPr>
          <w:rFonts w:cstheme="minorHAnsi"/>
          <w:bCs/>
          <w:color w:val="00B050"/>
        </w:rPr>
      </w:pPr>
    </w:p>
    <w:p w14:paraId="7086DA8B" w14:textId="77777777" w:rsidR="0076384B" w:rsidRDefault="0076384B" w:rsidP="00C864FD">
      <w:pPr>
        <w:spacing w:line="276" w:lineRule="auto"/>
        <w:ind w:left="709" w:hanging="709"/>
        <w:jc w:val="both"/>
        <w:rPr>
          <w:rFonts w:cstheme="minorHAnsi"/>
          <w:bCs/>
          <w:color w:val="00B050"/>
        </w:rPr>
      </w:pPr>
    </w:p>
    <w:p w14:paraId="086F8D5D" w14:textId="77777777" w:rsidR="0076384B" w:rsidRDefault="0076384B" w:rsidP="00C864FD">
      <w:pPr>
        <w:spacing w:line="276" w:lineRule="auto"/>
        <w:ind w:left="709" w:hanging="709"/>
        <w:jc w:val="both"/>
        <w:rPr>
          <w:rFonts w:cstheme="minorHAnsi"/>
          <w:bCs/>
          <w:color w:val="00B050"/>
        </w:rPr>
      </w:pPr>
    </w:p>
    <w:p w14:paraId="17C9DAD1" w14:textId="77777777" w:rsidR="0076384B" w:rsidRDefault="0076384B" w:rsidP="00C864FD">
      <w:pPr>
        <w:spacing w:line="276" w:lineRule="auto"/>
        <w:ind w:left="709" w:hanging="709"/>
        <w:jc w:val="both"/>
        <w:rPr>
          <w:rFonts w:cstheme="minorHAnsi"/>
          <w:bCs/>
          <w:color w:val="00B050"/>
        </w:rPr>
      </w:pPr>
    </w:p>
    <w:p w14:paraId="5B6EA5CA" w14:textId="77777777" w:rsidR="0076384B" w:rsidRDefault="0076384B" w:rsidP="00C864FD">
      <w:pPr>
        <w:spacing w:line="276" w:lineRule="auto"/>
        <w:ind w:left="709" w:hanging="709"/>
        <w:jc w:val="both"/>
        <w:rPr>
          <w:rFonts w:cstheme="minorHAnsi"/>
          <w:bCs/>
          <w:color w:val="00B050"/>
        </w:rPr>
      </w:pPr>
    </w:p>
    <w:p w14:paraId="754C4967" w14:textId="77777777" w:rsidR="0076384B" w:rsidRDefault="0076384B" w:rsidP="00C864FD">
      <w:pPr>
        <w:spacing w:line="276" w:lineRule="auto"/>
        <w:ind w:left="709" w:hanging="709"/>
        <w:jc w:val="both"/>
        <w:rPr>
          <w:rFonts w:cstheme="minorHAnsi"/>
          <w:bCs/>
          <w:color w:val="00B050"/>
        </w:rPr>
      </w:pPr>
    </w:p>
    <w:p w14:paraId="189B8E8E" w14:textId="77777777" w:rsidR="00345767" w:rsidRDefault="00345767" w:rsidP="00C864FD">
      <w:pPr>
        <w:spacing w:line="276" w:lineRule="auto"/>
        <w:ind w:left="709" w:hanging="709"/>
        <w:jc w:val="both"/>
        <w:rPr>
          <w:rFonts w:cstheme="minorHAnsi"/>
          <w:bCs/>
          <w:color w:val="00B050"/>
        </w:rPr>
      </w:pPr>
    </w:p>
    <w:p w14:paraId="21C694C4" w14:textId="77777777" w:rsidR="00345767" w:rsidRDefault="00345767" w:rsidP="00C864FD">
      <w:pPr>
        <w:spacing w:line="276" w:lineRule="auto"/>
        <w:ind w:left="709" w:hanging="709"/>
        <w:jc w:val="both"/>
        <w:rPr>
          <w:rFonts w:cstheme="minorHAnsi"/>
          <w:bCs/>
          <w:color w:val="00B050"/>
        </w:rPr>
      </w:pPr>
    </w:p>
    <w:p w14:paraId="464C2BBC" w14:textId="77777777" w:rsidR="00345767" w:rsidRDefault="00345767" w:rsidP="00C864FD">
      <w:pPr>
        <w:spacing w:line="276" w:lineRule="auto"/>
        <w:ind w:left="709" w:hanging="709"/>
        <w:jc w:val="both"/>
        <w:rPr>
          <w:rFonts w:cstheme="minorHAnsi"/>
          <w:bCs/>
          <w:color w:val="00B050"/>
        </w:rPr>
      </w:pPr>
    </w:p>
    <w:p w14:paraId="1108714C" w14:textId="77777777" w:rsidR="00345767" w:rsidRDefault="00345767" w:rsidP="00C864FD">
      <w:pPr>
        <w:spacing w:line="276" w:lineRule="auto"/>
        <w:ind w:left="709" w:hanging="709"/>
        <w:jc w:val="both"/>
        <w:rPr>
          <w:rFonts w:cstheme="minorHAnsi"/>
          <w:bCs/>
          <w:color w:val="00B050"/>
        </w:rPr>
      </w:pPr>
    </w:p>
    <w:p w14:paraId="10B29F40" w14:textId="77777777" w:rsidR="00345767" w:rsidRPr="0044220F" w:rsidRDefault="00345767" w:rsidP="00345767">
      <w:pPr>
        <w:jc w:val="center"/>
        <w:rPr>
          <w:rFonts w:ascii="Arial" w:hAnsi="Arial" w:cs="Arial"/>
          <w:szCs w:val="24"/>
        </w:rPr>
      </w:pPr>
      <w:r>
        <w:rPr>
          <w:rFonts w:ascii="Arial" w:hAnsi="Arial" w:cs="Arial"/>
          <w:noProof/>
          <w:szCs w:val="24"/>
        </w:rPr>
        <w:lastRenderedPageBreak/>
        <w:drawing>
          <wp:inline distT="0" distB="0" distL="0" distR="0" wp14:anchorId="61BF851B" wp14:editId="40F19400">
            <wp:extent cx="2009775" cy="1548377"/>
            <wp:effectExtent l="0" t="0" r="0" b="0"/>
            <wp:docPr id="608866140"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66140"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2F94216F" w14:textId="77777777" w:rsidR="00345767" w:rsidRPr="0044220F" w:rsidRDefault="00345767" w:rsidP="00345767">
      <w:pPr>
        <w:pStyle w:val="Ttulo1"/>
        <w:spacing w:before="0" w:after="0"/>
        <w:rPr>
          <w:rFonts w:cs="Arial"/>
          <w:szCs w:val="24"/>
          <w:lang w:val="es-MX"/>
        </w:rPr>
      </w:pPr>
    </w:p>
    <w:p w14:paraId="60D3683A" w14:textId="77777777" w:rsidR="00345767" w:rsidRPr="00224618" w:rsidRDefault="00345767" w:rsidP="00345767">
      <w:pPr>
        <w:pStyle w:val="Ttulo1"/>
        <w:spacing w:before="0" w:after="0"/>
        <w:rPr>
          <w:rFonts w:asciiTheme="minorHAnsi" w:hAnsiTheme="minorHAnsi" w:cs="Arial"/>
          <w:szCs w:val="24"/>
          <w:lang w:val="es-MX"/>
        </w:rPr>
      </w:pPr>
      <w:r w:rsidRPr="00224618">
        <w:rPr>
          <w:rFonts w:asciiTheme="minorHAnsi" w:hAnsiTheme="minorHAnsi" w:cs="Arial"/>
          <w:szCs w:val="24"/>
          <w:lang w:val="es-MX"/>
        </w:rPr>
        <w:t>Universidad Bíblica Latinoamericana</w:t>
      </w:r>
    </w:p>
    <w:p w14:paraId="29526F29" w14:textId="77777777" w:rsidR="00345767" w:rsidRPr="00224618" w:rsidRDefault="00345767" w:rsidP="00345767">
      <w:pPr>
        <w:pStyle w:val="Ttulo2"/>
        <w:spacing w:before="0" w:after="0"/>
        <w:jc w:val="center"/>
        <w:rPr>
          <w:rFonts w:asciiTheme="minorHAnsi" w:hAnsiTheme="minorHAnsi" w:cs="Arial"/>
          <w:i/>
          <w:szCs w:val="24"/>
          <w:lang w:val="es-MX"/>
        </w:rPr>
      </w:pPr>
      <w:r w:rsidRPr="00224618">
        <w:rPr>
          <w:rFonts w:asciiTheme="minorHAnsi" w:hAnsiTheme="minorHAnsi" w:cs="Arial"/>
          <w:i/>
          <w:szCs w:val="24"/>
          <w:lang w:val="es-MX"/>
        </w:rPr>
        <w:t>Facultad de Teología</w:t>
      </w:r>
    </w:p>
    <w:p w14:paraId="5A7F358F" w14:textId="77777777" w:rsidR="00345767" w:rsidRPr="00224618" w:rsidRDefault="00345767" w:rsidP="00345767">
      <w:pPr>
        <w:jc w:val="center"/>
        <w:rPr>
          <w:rFonts w:cs="Arial"/>
          <w:b/>
          <w:bCs/>
          <w:szCs w:val="24"/>
        </w:rPr>
      </w:pPr>
      <w:r>
        <w:rPr>
          <w:rFonts w:cs="Arial"/>
          <w:b/>
          <w:bCs/>
          <w:szCs w:val="24"/>
        </w:rPr>
        <w:t>Bachillerato en</w:t>
      </w:r>
      <w:r w:rsidRPr="00224618">
        <w:rPr>
          <w:rFonts w:cs="Arial"/>
          <w:b/>
          <w:bCs/>
          <w:szCs w:val="24"/>
        </w:rPr>
        <w:t xml:space="preserve"> Ciencias </w:t>
      </w:r>
      <w:r>
        <w:rPr>
          <w:rFonts w:cs="Arial"/>
          <w:b/>
          <w:bCs/>
        </w:rPr>
        <w:t>Bíblicas</w:t>
      </w:r>
    </w:p>
    <w:p w14:paraId="5D369B98" w14:textId="77777777" w:rsidR="00345767" w:rsidRPr="00224618" w:rsidRDefault="00345767" w:rsidP="00345767">
      <w:pPr>
        <w:jc w:val="center"/>
        <w:rPr>
          <w:rFonts w:cs="Arial"/>
          <w:b/>
          <w:szCs w:val="24"/>
        </w:rPr>
      </w:pPr>
    </w:p>
    <w:p w14:paraId="12FBFE99" w14:textId="77777777" w:rsidR="00345767" w:rsidRPr="00224618" w:rsidRDefault="00345767" w:rsidP="00345767">
      <w:pPr>
        <w:jc w:val="center"/>
        <w:rPr>
          <w:rFonts w:cs="Arial"/>
          <w:b/>
          <w:szCs w:val="24"/>
        </w:rPr>
      </w:pPr>
      <w:r w:rsidRPr="00224618">
        <w:rPr>
          <w:rFonts w:cs="Arial"/>
          <w:b/>
          <w:szCs w:val="24"/>
        </w:rPr>
        <w:t>Sílabo</w:t>
      </w:r>
    </w:p>
    <w:p w14:paraId="6862E808" w14:textId="77777777" w:rsidR="00345767" w:rsidRPr="00224618" w:rsidRDefault="00345767" w:rsidP="00345767">
      <w:pPr>
        <w:pStyle w:val="Ttulo1"/>
        <w:spacing w:before="0" w:after="0"/>
        <w:rPr>
          <w:rFonts w:asciiTheme="minorHAnsi" w:hAnsiTheme="minorHAnsi" w:cs="Arial"/>
          <w:szCs w:val="24"/>
          <w:lang w:val="es-ES_tradnl"/>
        </w:rPr>
      </w:pPr>
      <w:bookmarkStart w:id="8" w:name="CTX102"/>
      <w:r w:rsidRPr="00224618">
        <w:rPr>
          <w:rFonts w:asciiTheme="minorHAnsi" w:hAnsiTheme="minorHAnsi" w:cs="Arial"/>
          <w:szCs w:val="24"/>
          <w:lang w:val="es-ES_tradnl"/>
        </w:rPr>
        <w:t>Introducción a la Sociología</w:t>
      </w:r>
      <w:bookmarkEnd w:id="8"/>
    </w:p>
    <w:p w14:paraId="356C5A71" w14:textId="77777777" w:rsidR="00345767" w:rsidRPr="00224618" w:rsidRDefault="00345767" w:rsidP="00345767">
      <w:pPr>
        <w:pStyle w:val="Textoindependiente"/>
        <w:rPr>
          <w:rFonts w:asciiTheme="minorHAnsi" w:hAnsiTheme="minorHAnsi"/>
        </w:rPr>
      </w:pPr>
    </w:p>
    <w:tbl>
      <w:tblPr>
        <w:tblStyle w:val="Tablaconcuadrcula"/>
        <w:tblW w:w="0" w:type="auto"/>
        <w:tblLook w:val="04A0" w:firstRow="1" w:lastRow="0" w:firstColumn="1" w:lastColumn="0" w:noHBand="0" w:noVBand="1"/>
      </w:tblPr>
      <w:tblGrid>
        <w:gridCol w:w="1666"/>
        <w:gridCol w:w="7162"/>
      </w:tblGrid>
      <w:tr w:rsidR="00345767" w:rsidRPr="0055736E" w14:paraId="4B94EABE" w14:textId="77777777" w:rsidTr="00104785">
        <w:tc>
          <w:tcPr>
            <w:tcW w:w="1668" w:type="dxa"/>
          </w:tcPr>
          <w:p w14:paraId="18D66B3C" w14:textId="77777777" w:rsidR="00345767" w:rsidRPr="0055736E" w:rsidRDefault="00345767" w:rsidP="00104785">
            <w:pPr>
              <w:rPr>
                <w:rFonts w:cstheme="minorHAnsi"/>
                <w:b/>
              </w:rPr>
            </w:pPr>
            <w:r w:rsidRPr="0055736E">
              <w:rPr>
                <w:rFonts w:cstheme="minorHAnsi"/>
                <w:b/>
              </w:rPr>
              <w:t>Código</w:t>
            </w:r>
          </w:p>
        </w:tc>
        <w:tc>
          <w:tcPr>
            <w:tcW w:w="7386" w:type="dxa"/>
          </w:tcPr>
          <w:p w14:paraId="74DC8987" w14:textId="77777777" w:rsidR="00345767" w:rsidRPr="0055736E" w:rsidRDefault="00345767" w:rsidP="00104785">
            <w:pPr>
              <w:rPr>
                <w:rFonts w:cstheme="minorHAnsi"/>
              </w:rPr>
            </w:pPr>
            <w:r>
              <w:rPr>
                <w:rFonts w:cstheme="minorHAnsi"/>
              </w:rPr>
              <w:t>CTX 102</w:t>
            </w:r>
          </w:p>
        </w:tc>
      </w:tr>
      <w:tr w:rsidR="00345767" w:rsidRPr="0055736E" w14:paraId="2DA68AA3" w14:textId="77777777" w:rsidTr="00104785">
        <w:tc>
          <w:tcPr>
            <w:tcW w:w="1668" w:type="dxa"/>
          </w:tcPr>
          <w:p w14:paraId="2AFE47AD" w14:textId="77777777" w:rsidR="00345767" w:rsidRPr="0055736E" w:rsidRDefault="00345767" w:rsidP="00104785">
            <w:pPr>
              <w:rPr>
                <w:rFonts w:cstheme="minorHAnsi"/>
                <w:b/>
              </w:rPr>
            </w:pPr>
            <w:r w:rsidRPr="0055736E">
              <w:rPr>
                <w:rFonts w:cstheme="minorHAnsi"/>
                <w:b/>
              </w:rPr>
              <w:t>Créditos</w:t>
            </w:r>
          </w:p>
        </w:tc>
        <w:tc>
          <w:tcPr>
            <w:tcW w:w="7386" w:type="dxa"/>
          </w:tcPr>
          <w:p w14:paraId="78108AB7" w14:textId="77777777" w:rsidR="00345767" w:rsidRPr="0055736E" w:rsidRDefault="00345767" w:rsidP="00104785">
            <w:pPr>
              <w:rPr>
                <w:rFonts w:cstheme="minorHAnsi"/>
              </w:rPr>
            </w:pPr>
            <w:r>
              <w:rPr>
                <w:rFonts w:cstheme="minorHAnsi"/>
              </w:rPr>
              <w:t>3</w:t>
            </w:r>
          </w:p>
        </w:tc>
      </w:tr>
      <w:tr w:rsidR="00345767" w:rsidRPr="0055736E" w14:paraId="64513BF5" w14:textId="77777777" w:rsidTr="00104785">
        <w:tc>
          <w:tcPr>
            <w:tcW w:w="1668" w:type="dxa"/>
          </w:tcPr>
          <w:p w14:paraId="6921684D" w14:textId="77777777" w:rsidR="00345767" w:rsidRPr="0055736E" w:rsidRDefault="00345767" w:rsidP="00104785">
            <w:pPr>
              <w:rPr>
                <w:rFonts w:cstheme="minorHAnsi"/>
                <w:b/>
              </w:rPr>
            </w:pPr>
            <w:r w:rsidRPr="0055736E">
              <w:rPr>
                <w:rFonts w:cstheme="minorHAnsi"/>
                <w:b/>
              </w:rPr>
              <w:t>Requisitos</w:t>
            </w:r>
          </w:p>
        </w:tc>
        <w:tc>
          <w:tcPr>
            <w:tcW w:w="7386" w:type="dxa"/>
          </w:tcPr>
          <w:p w14:paraId="41AB510D" w14:textId="77777777" w:rsidR="00345767" w:rsidRPr="0055736E" w:rsidRDefault="00345767" w:rsidP="00104785">
            <w:pPr>
              <w:rPr>
                <w:rFonts w:cstheme="minorHAnsi"/>
              </w:rPr>
            </w:pPr>
            <w:r>
              <w:rPr>
                <w:rFonts w:cstheme="minorHAnsi"/>
              </w:rPr>
              <w:t>Ninguno</w:t>
            </w:r>
          </w:p>
        </w:tc>
      </w:tr>
      <w:tr w:rsidR="00345767" w:rsidRPr="0055736E" w14:paraId="5BF5E1E6" w14:textId="77777777" w:rsidTr="00104785">
        <w:tc>
          <w:tcPr>
            <w:tcW w:w="1668" w:type="dxa"/>
          </w:tcPr>
          <w:p w14:paraId="1B7616D9" w14:textId="77777777" w:rsidR="00345767" w:rsidRPr="0055736E" w:rsidRDefault="00345767" w:rsidP="00104785">
            <w:pPr>
              <w:rPr>
                <w:rFonts w:cstheme="minorHAnsi"/>
                <w:b/>
              </w:rPr>
            </w:pPr>
            <w:r w:rsidRPr="0055736E">
              <w:rPr>
                <w:rFonts w:cstheme="minorHAnsi"/>
                <w:b/>
              </w:rPr>
              <w:t>Modalidad</w:t>
            </w:r>
          </w:p>
        </w:tc>
        <w:tc>
          <w:tcPr>
            <w:tcW w:w="7386" w:type="dxa"/>
          </w:tcPr>
          <w:p w14:paraId="1C574B71" w14:textId="77777777" w:rsidR="00345767" w:rsidRPr="0055736E" w:rsidRDefault="00345767" w:rsidP="00104785">
            <w:pPr>
              <w:rPr>
                <w:rFonts w:cstheme="minorHAnsi"/>
              </w:rPr>
            </w:pPr>
            <w:r>
              <w:rPr>
                <w:rFonts w:cstheme="minorHAnsi"/>
              </w:rPr>
              <w:t>Virtual</w:t>
            </w:r>
          </w:p>
        </w:tc>
      </w:tr>
      <w:tr w:rsidR="00345767" w:rsidRPr="0055736E" w14:paraId="00EEAC42" w14:textId="77777777" w:rsidTr="00104785">
        <w:tc>
          <w:tcPr>
            <w:tcW w:w="1668" w:type="dxa"/>
          </w:tcPr>
          <w:p w14:paraId="02E82912" w14:textId="77777777" w:rsidR="00345767" w:rsidRPr="0055736E" w:rsidRDefault="00345767" w:rsidP="00104785">
            <w:pPr>
              <w:rPr>
                <w:rFonts w:cstheme="minorHAnsi"/>
                <w:b/>
              </w:rPr>
            </w:pPr>
            <w:r w:rsidRPr="0055736E">
              <w:rPr>
                <w:rFonts w:cstheme="minorHAnsi"/>
                <w:b/>
              </w:rPr>
              <w:t>Naturaleza</w:t>
            </w:r>
          </w:p>
        </w:tc>
        <w:tc>
          <w:tcPr>
            <w:tcW w:w="7386" w:type="dxa"/>
          </w:tcPr>
          <w:p w14:paraId="1F7C5C53" w14:textId="77777777" w:rsidR="00345767" w:rsidRPr="0055736E" w:rsidRDefault="00345767" w:rsidP="00104785">
            <w:pPr>
              <w:rPr>
                <w:rFonts w:cstheme="minorHAnsi"/>
              </w:rPr>
            </w:pPr>
            <w:r>
              <w:rPr>
                <w:rFonts w:cstheme="minorHAnsi"/>
              </w:rPr>
              <w:t>Teórico-práctico</w:t>
            </w:r>
          </w:p>
        </w:tc>
      </w:tr>
      <w:tr w:rsidR="00345767" w:rsidRPr="0055736E" w14:paraId="530F8719" w14:textId="77777777" w:rsidTr="00104785">
        <w:tc>
          <w:tcPr>
            <w:tcW w:w="1668" w:type="dxa"/>
          </w:tcPr>
          <w:p w14:paraId="5F530AC2" w14:textId="77777777" w:rsidR="00345767" w:rsidRPr="0055736E" w:rsidRDefault="00345767" w:rsidP="00104785">
            <w:pPr>
              <w:rPr>
                <w:rFonts w:cstheme="minorHAnsi"/>
                <w:b/>
              </w:rPr>
            </w:pPr>
            <w:r w:rsidRPr="0055736E">
              <w:rPr>
                <w:rFonts w:cstheme="minorHAnsi"/>
                <w:b/>
              </w:rPr>
              <w:t>Periodo</w:t>
            </w:r>
          </w:p>
        </w:tc>
        <w:tc>
          <w:tcPr>
            <w:tcW w:w="7386" w:type="dxa"/>
          </w:tcPr>
          <w:p w14:paraId="0FD0A9D2" w14:textId="77777777" w:rsidR="00345767" w:rsidRPr="0055736E" w:rsidRDefault="00345767" w:rsidP="00104785">
            <w:pPr>
              <w:rPr>
                <w:rFonts w:cstheme="minorHAnsi"/>
              </w:rPr>
            </w:pPr>
            <w:r>
              <w:rPr>
                <w:rFonts w:cstheme="minorHAnsi"/>
              </w:rPr>
              <w:t>Cuatrimestral (15 semanas lectivas)</w:t>
            </w:r>
          </w:p>
        </w:tc>
      </w:tr>
      <w:tr w:rsidR="00345767" w:rsidRPr="0055736E" w14:paraId="76ABC545" w14:textId="77777777" w:rsidTr="00104785">
        <w:tc>
          <w:tcPr>
            <w:tcW w:w="1668" w:type="dxa"/>
          </w:tcPr>
          <w:p w14:paraId="15BEB190" w14:textId="77777777" w:rsidR="00345767" w:rsidRPr="0055736E" w:rsidRDefault="00345767" w:rsidP="00104785">
            <w:pPr>
              <w:rPr>
                <w:rFonts w:cstheme="minorHAnsi"/>
                <w:b/>
              </w:rPr>
            </w:pPr>
            <w:r>
              <w:rPr>
                <w:rFonts w:cstheme="minorHAnsi"/>
                <w:b/>
              </w:rPr>
              <w:t>Nivel</w:t>
            </w:r>
          </w:p>
        </w:tc>
        <w:tc>
          <w:tcPr>
            <w:tcW w:w="7386" w:type="dxa"/>
          </w:tcPr>
          <w:p w14:paraId="4FAE8EDE" w14:textId="77777777" w:rsidR="00345767" w:rsidRDefault="00345767" w:rsidP="00104785">
            <w:pPr>
              <w:rPr>
                <w:rFonts w:cstheme="minorHAnsi"/>
              </w:rPr>
            </w:pPr>
            <w:r>
              <w:rPr>
                <w:rFonts w:cstheme="minorHAnsi"/>
              </w:rPr>
              <w:t>I Cuatrimestre</w:t>
            </w:r>
          </w:p>
        </w:tc>
      </w:tr>
      <w:tr w:rsidR="00345767" w:rsidRPr="0055736E" w14:paraId="4E5C5734" w14:textId="77777777" w:rsidTr="00104785">
        <w:tc>
          <w:tcPr>
            <w:tcW w:w="1668" w:type="dxa"/>
          </w:tcPr>
          <w:p w14:paraId="36BBD41D" w14:textId="77777777" w:rsidR="00345767" w:rsidRPr="0055736E" w:rsidRDefault="00345767" w:rsidP="00104785">
            <w:pPr>
              <w:rPr>
                <w:rFonts w:cstheme="minorHAnsi"/>
                <w:b/>
              </w:rPr>
            </w:pPr>
            <w:r w:rsidRPr="0055736E">
              <w:rPr>
                <w:rFonts w:cstheme="minorHAnsi"/>
                <w:b/>
              </w:rPr>
              <w:t>Horario</w:t>
            </w:r>
          </w:p>
        </w:tc>
        <w:tc>
          <w:tcPr>
            <w:tcW w:w="7386" w:type="dxa"/>
          </w:tcPr>
          <w:p w14:paraId="5EC533AD" w14:textId="77777777" w:rsidR="00345767" w:rsidRPr="0055736E" w:rsidRDefault="00345767" w:rsidP="00104785">
            <w:pPr>
              <w:rPr>
                <w:rFonts w:cstheme="minorHAnsi"/>
              </w:rPr>
            </w:pPr>
            <w:r>
              <w:rPr>
                <w:rFonts w:cstheme="minorHAnsi"/>
              </w:rPr>
              <w:t>El curso requiere de 9 horas de trabajo semanal</w:t>
            </w:r>
          </w:p>
        </w:tc>
      </w:tr>
      <w:tr w:rsidR="00345767" w:rsidRPr="0055736E" w14:paraId="659809C9" w14:textId="77777777" w:rsidTr="00104785">
        <w:tc>
          <w:tcPr>
            <w:tcW w:w="1668" w:type="dxa"/>
          </w:tcPr>
          <w:p w14:paraId="478A3A2F" w14:textId="77777777" w:rsidR="00345767" w:rsidRPr="0055736E" w:rsidRDefault="00345767" w:rsidP="00104785">
            <w:pPr>
              <w:rPr>
                <w:rFonts w:cstheme="minorHAnsi"/>
                <w:b/>
              </w:rPr>
            </w:pPr>
            <w:r w:rsidRPr="0055736E">
              <w:rPr>
                <w:rFonts w:cstheme="minorHAnsi"/>
                <w:b/>
              </w:rPr>
              <w:t>Aula</w:t>
            </w:r>
          </w:p>
        </w:tc>
        <w:tc>
          <w:tcPr>
            <w:tcW w:w="7386" w:type="dxa"/>
          </w:tcPr>
          <w:p w14:paraId="1CE7042E" w14:textId="77777777" w:rsidR="00345767" w:rsidRPr="0055736E" w:rsidRDefault="00345767" w:rsidP="00104785">
            <w:pPr>
              <w:rPr>
                <w:rFonts w:cstheme="minorHAnsi"/>
              </w:rPr>
            </w:pPr>
            <w:r>
              <w:rPr>
                <w:rFonts w:cstheme="minorHAnsi"/>
              </w:rPr>
              <w:t>Plataforma virtual de la UBL</w:t>
            </w:r>
          </w:p>
        </w:tc>
      </w:tr>
      <w:tr w:rsidR="00345767" w:rsidRPr="0055736E" w14:paraId="7DB0F20C" w14:textId="77777777" w:rsidTr="00104785">
        <w:tc>
          <w:tcPr>
            <w:tcW w:w="1668" w:type="dxa"/>
          </w:tcPr>
          <w:p w14:paraId="14BC6340" w14:textId="77777777" w:rsidR="00345767" w:rsidRPr="0055736E" w:rsidRDefault="00345767" w:rsidP="00104785">
            <w:pPr>
              <w:rPr>
                <w:rFonts w:cstheme="minorHAnsi"/>
                <w:b/>
              </w:rPr>
            </w:pPr>
            <w:r>
              <w:rPr>
                <w:rFonts w:cstheme="minorHAnsi"/>
                <w:b/>
              </w:rPr>
              <w:t>Docente</w:t>
            </w:r>
          </w:p>
        </w:tc>
        <w:tc>
          <w:tcPr>
            <w:tcW w:w="7386" w:type="dxa"/>
          </w:tcPr>
          <w:p w14:paraId="1A385210" w14:textId="77777777" w:rsidR="00345767" w:rsidRPr="0055736E" w:rsidRDefault="00345767" w:rsidP="00104785">
            <w:pPr>
              <w:rPr>
                <w:rFonts w:cstheme="minorHAnsi"/>
              </w:rPr>
            </w:pPr>
          </w:p>
        </w:tc>
      </w:tr>
      <w:tr w:rsidR="00345767" w:rsidRPr="0055736E" w14:paraId="6F7CC9D8" w14:textId="77777777" w:rsidTr="00104785">
        <w:tc>
          <w:tcPr>
            <w:tcW w:w="1668" w:type="dxa"/>
            <w:vAlign w:val="center"/>
          </w:tcPr>
          <w:p w14:paraId="0842A615" w14:textId="77777777" w:rsidR="00345767" w:rsidRPr="0055736E" w:rsidRDefault="00345767" w:rsidP="00104785">
            <w:pPr>
              <w:rPr>
                <w:rFonts w:cstheme="minorHAnsi"/>
              </w:rPr>
            </w:pPr>
            <w:r w:rsidRPr="0055736E">
              <w:rPr>
                <w:rFonts w:cstheme="minorHAnsi"/>
                <w:b/>
              </w:rPr>
              <w:t>Instrucciones administrativas</w:t>
            </w:r>
          </w:p>
        </w:tc>
        <w:tc>
          <w:tcPr>
            <w:tcW w:w="7386" w:type="dxa"/>
          </w:tcPr>
          <w:p w14:paraId="7FEA2082" w14:textId="77777777" w:rsidR="00345767" w:rsidRDefault="00345767" w:rsidP="00104785">
            <w:pPr>
              <w:jc w:val="both"/>
              <w:rPr>
                <w:rFonts w:cstheme="minorHAnsi"/>
              </w:rPr>
            </w:pPr>
            <w:r w:rsidRPr="0055736E">
              <w:rPr>
                <w:rFonts w:cstheme="minorHAnsi"/>
              </w:rPr>
              <w:t xml:space="preserve">El curso </w:t>
            </w:r>
            <w:r>
              <w:rPr>
                <w:rFonts w:cstheme="minorHAnsi"/>
              </w:rPr>
              <w:t xml:space="preserve">es virtual, por lo que se </w:t>
            </w:r>
            <w:r w:rsidRPr="0055736E">
              <w:rPr>
                <w:rFonts w:cstheme="minorHAnsi"/>
              </w:rPr>
              <w:t xml:space="preserve">requiere </w:t>
            </w:r>
            <w:r>
              <w:rPr>
                <w:rFonts w:cstheme="minorHAnsi"/>
              </w:rPr>
              <w:t>de acceso a una computadora con conexión a Internet, además de destrezas básicas para el manejo de correo electrónico y la plataforma Moodle desde el rol de estudiante. Por su naturaleza teórico-práctica, este curso requiere de una hora semanal de trabajo práctico. La dirección de acceso a la plataforma es la siguiente:</w:t>
            </w:r>
          </w:p>
          <w:p w14:paraId="53EE13DC" w14:textId="77777777" w:rsidR="00345767" w:rsidRPr="0055736E" w:rsidRDefault="00DD16F2" w:rsidP="00104785">
            <w:pPr>
              <w:jc w:val="both"/>
              <w:rPr>
                <w:rFonts w:cstheme="minorHAnsi"/>
              </w:rPr>
            </w:pPr>
            <w:hyperlink r:id="rId52" w:history="1">
              <w:r w:rsidR="00345767" w:rsidRPr="00B96849">
                <w:rPr>
                  <w:rStyle w:val="Hipervnculo"/>
                  <w:rFonts w:cstheme="minorHAnsi"/>
                </w:rPr>
                <w:t>https://campus.ubl.ac.cr/login/index.php</w:t>
              </w:r>
            </w:hyperlink>
          </w:p>
        </w:tc>
      </w:tr>
    </w:tbl>
    <w:p w14:paraId="21584507" w14:textId="77777777" w:rsidR="00345767" w:rsidRPr="0044220F" w:rsidRDefault="00345767" w:rsidP="00345767">
      <w:pPr>
        <w:pStyle w:val="Encabezado"/>
        <w:rPr>
          <w:rFonts w:ascii="Arial" w:hAnsi="Arial" w:cs="Arial"/>
          <w:sz w:val="24"/>
          <w:szCs w:val="24"/>
        </w:rPr>
      </w:pPr>
    </w:p>
    <w:p w14:paraId="525CE433" w14:textId="77777777" w:rsidR="00345767" w:rsidRPr="003F2D69" w:rsidRDefault="00345767" w:rsidP="00345767">
      <w:pPr>
        <w:pStyle w:val="Ttulo2"/>
        <w:spacing w:before="0" w:after="0"/>
        <w:rPr>
          <w:rFonts w:asciiTheme="minorHAnsi" w:hAnsiTheme="minorHAnsi" w:cs="Arial"/>
          <w:color w:val="000000" w:themeColor="text1"/>
          <w:sz w:val="22"/>
          <w:szCs w:val="22"/>
          <w:lang w:val="es-ES_tradnl"/>
        </w:rPr>
      </w:pPr>
      <w:r w:rsidRPr="003F2D69">
        <w:rPr>
          <w:rFonts w:asciiTheme="minorHAnsi" w:hAnsiTheme="minorHAnsi" w:cs="Arial"/>
          <w:color w:val="000000" w:themeColor="text1"/>
          <w:sz w:val="22"/>
          <w:szCs w:val="22"/>
          <w:lang w:val="es-ES_tradnl"/>
        </w:rPr>
        <w:t>I. Descripción</w:t>
      </w:r>
    </w:p>
    <w:p w14:paraId="50AB5D61" w14:textId="77777777" w:rsidR="00345767" w:rsidRPr="003F2D69" w:rsidRDefault="00345767" w:rsidP="00345767">
      <w:pPr>
        <w:rPr>
          <w:rFonts w:cs="Arial"/>
          <w:color w:val="000000" w:themeColor="text1"/>
        </w:rPr>
      </w:pPr>
    </w:p>
    <w:p w14:paraId="592A3ECF" w14:textId="77777777" w:rsidR="00345767" w:rsidRPr="003F2D69" w:rsidRDefault="00345767" w:rsidP="00345767">
      <w:pPr>
        <w:jc w:val="both"/>
        <w:rPr>
          <w:rFonts w:cs="Arial"/>
          <w:color w:val="000000" w:themeColor="text1"/>
        </w:rPr>
      </w:pPr>
      <w:r w:rsidRPr="003F2D69">
        <w:rPr>
          <w:rFonts w:cs="Arial"/>
          <w:color w:val="000000" w:themeColor="text1"/>
        </w:rPr>
        <w:t>Se trata de iniciar en el conocimiento sociológico a un/a estudiante nuevo a partir de las ideas sociológicas</w:t>
      </w:r>
      <w:r>
        <w:rPr>
          <w:rFonts w:cs="Arial"/>
          <w:color w:val="000000" w:themeColor="text1"/>
        </w:rPr>
        <w:t xml:space="preserve">, </w:t>
      </w:r>
      <w:r w:rsidRPr="003F2D69">
        <w:rPr>
          <w:rFonts w:cs="Arial"/>
          <w:color w:val="000000" w:themeColor="text1"/>
        </w:rPr>
        <w:t>los aportes de los grandes sociólogos y los métodos e instrumentos para el análisis social, según las diferentes corrientes sociológicas, económicas y políticas.</w:t>
      </w:r>
      <w:r>
        <w:rPr>
          <w:rFonts w:cs="Arial"/>
          <w:color w:val="000000" w:themeColor="text1"/>
        </w:rPr>
        <w:t xml:space="preserve"> </w:t>
      </w:r>
      <w:r w:rsidRPr="003F2D69">
        <w:rPr>
          <w:rFonts w:cs="Arial"/>
          <w:color w:val="000000" w:themeColor="text1"/>
        </w:rPr>
        <w:t xml:space="preserve">Se presta atención especial a las corrientes que surgen desde América Latina. </w:t>
      </w:r>
    </w:p>
    <w:p w14:paraId="44B86C9B" w14:textId="77777777" w:rsidR="00345767" w:rsidRPr="003F2D69" w:rsidRDefault="00345767" w:rsidP="00345767">
      <w:pPr>
        <w:rPr>
          <w:rFonts w:cs="Arial"/>
          <w:noProof/>
          <w:color w:val="000000" w:themeColor="text1"/>
        </w:rPr>
      </w:pPr>
    </w:p>
    <w:p w14:paraId="722B553D" w14:textId="77777777" w:rsidR="00345767" w:rsidRPr="003F2D69" w:rsidRDefault="00345767" w:rsidP="00345767">
      <w:pPr>
        <w:pStyle w:val="Ttulo2"/>
        <w:spacing w:before="0" w:after="0"/>
        <w:rPr>
          <w:rFonts w:asciiTheme="minorHAnsi" w:hAnsiTheme="minorHAnsi" w:cs="Arial"/>
          <w:color w:val="000000" w:themeColor="text1"/>
          <w:sz w:val="22"/>
          <w:szCs w:val="22"/>
          <w:lang w:val="es-ES_tradnl"/>
        </w:rPr>
      </w:pPr>
      <w:r w:rsidRPr="003F2D69">
        <w:rPr>
          <w:rFonts w:asciiTheme="minorHAnsi" w:hAnsiTheme="minorHAnsi" w:cs="Arial"/>
          <w:color w:val="000000" w:themeColor="text1"/>
          <w:sz w:val="22"/>
          <w:szCs w:val="22"/>
          <w:lang w:val="es-ES_tradnl"/>
        </w:rPr>
        <w:lastRenderedPageBreak/>
        <w:t>II.</w:t>
      </w:r>
      <w:r>
        <w:rPr>
          <w:rFonts w:asciiTheme="minorHAnsi" w:hAnsiTheme="minorHAnsi" w:cs="Arial"/>
          <w:color w:val="000000" w:themeColor="text1"/>
          <w:sz w:val="22"/>
          <w:szCs w:val="22"/>
          <w:lang w:val="es-ES_tradnl"/>
        </w:rPr>
        <w:t xml:space="preserve"> </w:t>
      </w:r>
      <w:r w:rsidRPr="003F2D69">
        <w:rPr>
          <w:rFonts w:asciiTheme="minorHAnsi" w:hAnsiTheme="minorHAnsi" w:cs="Arial"/>
          <w:color w:val="000000" w:themeColor="text1"/>
          <w:sz w:val="22"/>
          <w:szCs w:val="22"/>
          <w:lang w:val="es-ES_tradnl"/>
        </w:rPr>
        <w:t>Objetivo general</w:t>
      </w:r>
    </w:p>
    <w:p w14:paraId="03720AB0" w14:textId="77777777" w:rsidR="00345767" w:rsidRPr="003F2D69" w:rsidRDefault="00345767" w:rsidP="00345767">
      <w:pPr>
        <w:rPr>
          <w:rFonts w:cs="Arial"/>
          <w:color w:val="000000" w:themeColor="text1"/>
        </w:rPr>
      </w:pPr>
    </w:p>
    <w:p w14:paraId="4910A96D" w14:textId="77777777" w:rsidR="00345767" w:rsidRDefault="00345767" w:rsidP="00345767">
      <w:pPr>
        <w:jc w:val="both"/>
        <w:rPr>
          <w:rFonts w:cs="Arial"/>
          <w:color w:val="000000" w:themeColor="text1"/>
        </w:rPr>
      </w:pPr>
      <w:r w:rsidRPr="003F2D69">
        <w:rPr>
          <w:rFonts w:cs="Arial"/>
          <w:color w:val="000000" w:themeColor="text1"/>
        </w:rPr>
        <w:t>Brindar nociones introductorias sobre las diferentes corrientes de la sociología, especialmente útiles a las sociedades latinoamericanas</w:t>
      </w:r>
      <w:r>
        <w:rPr>
          <w:rFonts w:cs="Arial"/>
          <w:color w:val="000000" w:themeColor="text1"/>
        </w:rPr>
        <w:t>,</w:t>
      </w:r>
      <w:r w:rsidRPr="003F2D69">
        <w:rPr>
          <w:rFonts w:cs="Arial"/>
          <w:color w:val="000000" w:themeColor="text1"/>
        </w:rPr>
        <w:t xml:space="preserve"> y manejar distintos métodos e instrumentos para el análisis social. Por lo tanto, el curso se concibe como teórico-práctico.</w:t>
      </w:r>
    </w:p>
    <w:p w14:paraId="1F4089E0" w14:textId="77777777" w:rsidR="00345767" w:rsidRPr="003F2D69" w:rsidRDefault="00345767" w:rsidP="00345767">
      <w:pPr>
        <w:pStyle w:val="Ttulo2"/>
        <w:spacing w:before="0" w:after="0"/>
        <w:rPr>
          <w:rFonts w:asciiTheme="minorHAnsi" w:hAnsiTheme="minorHAnsi"/>
          <w:color w:val="000000" w:themeColor="text1"/>
          <w:sz w:val="22"/>
          <w:szCs w:val="22"/>
          <w:lang w:val="es-CR"/>
        </w:rPr>
      </w:pPr>
      <w:r w:rsidRPr="003F2D69">
        <w:rPr>
          <w:rFonts w:asciiTheme="minorHAnsi" w:hAnsiTheme="minorHAnsi"/>
          <w:color w:val="000000" w:themeColor="text1"/>
          <w:sz w:val="22"/>
          <w:szCs w:val="22"/>
          <w:lang w:val="es-CR"/>
        </w:rPr>
        <w:t>III. Objetivos específicos</w:t>
      </w:r>
    </w:p>
    <w:p w14:paraId="09F61099" w14:textId="77777777" w:rsidR="00345767" w:rsidRPr="003F2D69" w:rsidRDefault="00345767" w:rsidP="00345767">
      <w:pPr>
        <w:pStyle w:val="Textoindependiente"/>
        <w:spacing w:before="0" w:after="0"/>
        <w:rPr>
          <w:rFonts w:asciiTheme="minorHAnsi" w:hAnsiTheme="minorHAnsi"/>
          <w:color w:val="000000" w:themeColor="text1"/>
          <w:sz w:val="22"/>
          <w:szCs w:val="22"/>
          <w:lang w:val="es-CR"/>
        </w:rPr>
      </w:pPr>
    </w:p>
    <w:p w14:paraId="3FE7763A" w14:textId="77777777" w:rsidR="00345767" w:rsidRPr="003F2D69" w:rsidRDefault="00345767" w:rsidP="00345767">
      <w:pPr>
        <w:pStyle w:val="NormalHanging"/>
        <w:spacing w:before="0" w:line="360" w:lineRule="aut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1. </w:t>
      </w:r>
      <w:r w:rsidRPr="003F2D69">
        <w:rPr>
          <w:rFonts w:asciiTheme="minorHAnsi" w:hAnsiTheme="minorHAnsi" w:cs="Arial"/>
          <w:color w:val="000000" w:themeColor="text1"/>
          <w:sz w:val="22"/>
          <w:szCs w:val="22"/>
        </w:rPr>
        <w:t>Introducir a los/las estudiantes en esta rama de las ciencias sociales.</w:t>
      </w:r>
    </w:p>
    <w:p w14:paraId="2DAF7533" w14:textId="77777777" w:rsidR="00345767" w:rsidRDefault="00345767" w:rsidP="00345767">
      <w:pPr>
        <w:pStyle w:val="NormalHanging"/>
        <w:spacing w:before="0" w:line="360" w:lineRule="aut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2. </w:t>
      </w:r>
      <w:r w:rsidRPr="003F2D69">
        <w:rPr>
          <w:rFonts w:asciiTheme="minorHAnsi" w:hAnsiTheme="minorHAnsi" w:cs="Arial"/>
          <w:color w:val="000000" w:themeColor="text1"/>
          <w:sz w:val="22"/>
          <w:szCs w:val="22"/>
        </w:rPr>
        <w:t>Acercar a los/las estudiantes a una actitud interesada, disciplinada y rigurosa en la búsqueda de comprensión de la realidad social.</w:t>
      </w:r>
    </w:p>
    <w:p w14:paraId="3F2FEF1B" w14:textId="77777777" w:rsidR="00345767" w:rsidRPr="003F2D69" w:rsidRDefault="00345767" w:rsidP="00345767">
      <w:pPr>
        <w:pStyle w:val="NormalHanging"/>
        <w:spacing w:before="0" w:line="360" w:lineRule="aut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3. </w:t>
      </w:r>
      <w:r w:rsidRPr="003F2D69">
        <w:rPr>
          <w:rFonts w:asciiTheme="minorHAnsi" w:hAnsiTheme="minorHAnsi" w:cs="Arial"/>
          <w:color w:val="000000" w:themeColor="text1"/>
          <w:sz w:val="22"/>
          <w:szCs w:val="22"/>
        </w:rPr>
        <w:t>Estudiar el pensamiento de influyentes pensadores sociales de nuestro siglo.</w:t>
      </w:r>
    </w:p>
    <w:p w14:paraId="2CF4C6E3" w14:textId="77777777" w:rsidR="00345767" w:rsidRPr="003F2D69" w:rsidRDefault="00345767" w:rsidP="00345767">
      <w:pPr>
        <w:pStyle w:val="NormalHanging"/>
        <w:spacing w:before="0" w:line="360" w:lineRule="aut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4. </w:t>
      </w:r>
      <w:r w:rsidRPr="003F2D69">
        <w:rPr>
          <w:rFonts w:asciiTheme="minorHAnsi" w:hAnsiTheme="minorHAnsi" w:cs="Arial"/>
          <w:color w:val="000000" w:themeColor="text1"/>
          <w:sz w:val="22"/>
          <w:szCs w:val="22"/>
        </w:rPr>
        <w:t>Aplicar mediante ejercicios las conceptualizaciones de los distintos métodos e instrumentos de análisis social.</w:t>
      </w:r>
    </w:p>
    <w:p w14:paraId="457EB168" w14:textId="77777777" w:rsidR="00345767" w:rsidRDefault="00345767" w:rsidP="00345767">
      <w:pPr>
        <w:pStyle w:val="NormalHanging"/>
        <w:spacing w:before="0" w:line="360" w:lineRule="auto"/>
        <w:ind w:left="0"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5. </w:t>
      </w:r>
      <w:r w:rsidRPr="003F2D69">
        <w:rPr>
          <w:rFonts w:asciiTheme="minorHAnsi" w:hAnsiTheme="minorHAnsi" w:cs="Arial"/>
          <w:color w:val="000000" w:themeColor="text1"/>
          <w:sz w:val="22"/>
          <w:szCs w:val="22"/>
        </w:rPr>
        <w:t>Describir la importancia de los métodos e instrumentos de la sociología para la labor religiosa y pastoral en América Latina.</w:t>
      </w:r>
    </w:p>
    <w:p w14:paraId="2868AC70" w14:textId="77777777" w:rsidR="00345767" w:rsidRDefault="00345767" w:rsidP="00345767">
      <w:pPr>
        <w:pStyle w:val="NormalHanging"/>
        <w:spacing w:before="0" w:line="360" w:lineRule="auto"/>
        <w:ind w:left="0" w:firstLine="0"/>
        <w:rPr>
          <w:rFonts w:asciiTheme="minorHAnsi" w:hAnsiTheme="minorHAnsi" w:cs="Arial"/>
          <w:color w:val="000000" w:themeColor="text1"/>
          <w:sz w:val="22"/>
          <w:szCs w:val="22"/>
        </w:rPr>
      </w:pPr>
    </w:p>
    <w:p w14:paraId="52AC0D5E" w14:textId="77777777" w:rsidR="00345767" w:rsidRPr="006C2A6F" w:rsidRDefault="00345767" w:rsidP="00345767">
      <w:pPr>
        <w:pStyle w:val="NormalHanging"/>
        <w:spacing w:before="0" w:line="360" w:lineRule="auto"/>
        <w:ind w:left="0" w:firstLine="0"/>
        <w:rPr>
          <w:rFonts w:asciiTheme="minorHAnsi" w:hAnsiTheme="minorHAnsi" w:cs="Arial"/>
          <w:b/>
          <w:bCs/>
          <w:color w:val="000000" w:themeColor="text1"/>
          <w:sz w:val="22"/>
          <w:szCs w:val="22"/>
        </w:rPr>
      </w:pPr>
      <w:r w:rsidRPr="006C2A6F">
        <w:rPr>
          <w:rFonts w:asciiTheme="minorHAnsi" w:hAnsiTheme="minorHAnsi" w:cs="Arial"/>
          <w:b/>
          <w:bCs/>
          <w:color w:val="000000" w:themeColor="text1"/>
          <w:sz w:val="22"/>
          <w:szCs w:val="22"/>
        </w:rPr>
        <w:t>IV. Contenidos</w:t>
      </w:r>
    </w:p>
    <w:p w14:paraId="2D89B055" w14:textId="77777777" w:rsidR="00345767" w:rsidRPr="003F2D69" w:rsidRDefault="00345767" w:rsidP="00345767">
      <w:pPr>
        <w:pStyle w:val="Textoindependiente"/>
        <w:spacing w:before="0" w:after="0"/>
        <w:rPr>
          <w:rFonts w:asciiTheme="minorHAnsi" w:hAnsiTheme="minorHAnsi"/>
          <w:color w:val="000000" w:themeColor="text1"/>
          <w:sz w:val="22"/>
          <w:szCs w:val="22"/>
        </w:rPr>
      </w:pPr>
    </w:p>
    <w:p w14:paraId="163E76E9" w14:textId="77777777" w:rsidR="00345767" w:rsidRPr="003F2D69" w:rsidRDefault="00345767" w:rsidP="00345767">
      <w:pPr>
        <w:pStyle w:val="Ttulo3"/>
        <w:spacing w:before="0" w:after="0"/>
        <w:rPr>
          <w:rFonts w:asciiTheme="minorHAnsi" w:hAnsiTheme="minorHAnsi" w:cs="Arial"/>
          <w:b/>
          <w:color w:val="000000" w:themeColor="text1"/>
          <w:sz w:val="22"/>
          <w:szCs w:val="22"/>
        </w:rPr>
      </w:pPr>
      <w:r w:rsidRPr="003F2D69">
        <w:rPr>
          <w:rFonts w:asciiTheme="minorHAnsi" w:hAnsiTheme="minorHAnsi" w:cs="Arial"/>
          <w:b/>
          <w:color w:val="000000" w:themeColor="text1"/>
          <w:sz w:val="22"/>
          <w:szCs w:val="22"/>
        </w:rPr>
        <w:t>Unidad 1: Introducción al curso y discusión del sílabo</w:t>
      </w:r>
    </w:p>
    <w:p w14:paraId="75648DCD"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1.1 Definiciones de conceptos</w:t>
      </w:r>
    </w:p>
    <w:p w14:paraId="2DA0E46A"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1.2 Explicación metodológica</w:t>
      </w:r>
    </w:p>
    <w:p w14:paraId="10678290"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1.3 Introducción a la sociología</w:t>
      </w:r>
    </w:p>
    <w:p w14:paraId="6E088FCC" w14:textId="77777777" w:rsidR="00345767" w:rsidRPr="003F2D69" w:rsidRDefault="00345767" w:rsidP="00345767">
      <w:pPr>
        <w:pStyle w:val="Ttulo3"/>
        <w:spacing w:before="0" w:after="0"/>
        <w:rPr>
          <w:rFonts w:asciiTheme="minorHAnsi" w:hAnsiTheme="minorHAnsi" w:cs="Arial"/>
          <w:b/>
          <w:color w:val="000000" w:themeColor="text1"/>
          <w:sz w:val="22"/>
          <w:szCs w:val="22"/>
        </w:rPr>
      </w:pPr>
    </w:p>
    <w:p w14:paraId="59817BDF" w14:textId="77777777" w:rsidR="00345767" w:rsidRPr="003F2D69" w:rsidRDefault="00345767" w:rsidP="00345767">
      <w:pPr>
        <w:pStyle w:val="Ttulo3"/>
        <w:spacing w:before="0" w:after="0"/>
        <w:rPr>
          <w:rFonts w:asciiTheme="minorHAnsi" w:hAnsiTheme="minorHAnsi" w:cs="Arial"/>
          <w:b/>
          <w:color w:val="000000" w:themeColor="text1"/>
          <w:sz w:val="22"/>
          <w:szCs w:val="22"/>
        </w:rPr>
      </w:pPr>
      <w:r w:rsidRPr="003F2D69">
        <w:rPr>
          <w:rFonts w:asciiTheme="minorHAnsi" w:hAnsiTheme="minorHAnsi" w:cs="Arial"/>
          <w:b/>
          <w:color w:val="000000" w:themeColor="text1"/>
          <w:sz w:val="22"/>
          <w:szCs w:val="22"/>
        </w:rPr>
        <w:t xml:space="preserve">Unidad 2: ¿Qué es la Sociología? </w:t>
      </w:r>
    </w:p>
    <w:p w14:paraId="5779F01A"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2.1 Definición y surgimiento de la sociología</w:t>
      </w:r>
    </w:p>
    <w:p w14:paraId="7BFD0A55"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2.2 Concepto y objeto de la sociología</w:t>
      </w:r>
    </w:p>
    <w:p w14:paraId="35824681"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2.3 El desarrollo y las ramas de la sociología</w:t>
      </w:r>
    </w:p>
    <w:p w14:paraId="61D7A4CB"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2.4 Las teorías y leyes sociológicas</w:t>
      </w:r>
      <w:r>
        <w:rPr>
          <w:rFonts w:asciiTheme="minorHAnsi" w:hAnsiTheme="minorHAnsi" w:cs="Arial"/>
          <w:color w:val="000000" w:themeColor="text1"/>
          <w:sz w:val="22"/>
          <w:szCs w:val="22"/>
        </w:rPr>
        <w:t>:</w:t>
      </w:r>
      <w:r w:rsidRPr="003F2D69">
        <w:rPr>
          <w:rFonts w:asciiTheme="minorHAnsi" w:hAnsiTheme="minorHAnsi" w:cs="Arial"/>
          <w:color w:val="000000" w:themeColor="text1"/>
          <w:sz w:val="22"/>
          <w:szCs w:val="22"/>
        </w:rPr>
        <w:t xml:space="preserve"> </w:t>
      </w:r>
      <w:r>
        <w:rPr>
          <w:rFonts w:asciiTheme="minorHAnsi" w:hAnsiTheme="minorHAnsi" w:cs="Arial"/>
          <w:color w:val="000000" w:themeColor="text1"/>
          <w:sz w:val="22"/>
          <w:szCs w:val="22"/>
        </w:rPr>
        <w:t>su</w:t>
      </w:r>
      <w:r w:rsidRPr="003F2D69">
        <w:rPr>
          <w:rFonts w:asciiTheme="minorHAnsi" w:hAnsiTheme="minorHAnsi" w:cs="Arial"/>
          <w:color w:val="000000" w:themeColor="text1"/>
          <w:sz w:val="22"/>
          <w:szCs w:val="22"/>
        </w:rPr>
        <w:t>s alcances</w:t>
      </w:r>
    </w:p>
    <w:p w14:paraId="28D9E919" w14:textId="77777777" w:rsidR="00345767" w:rsidRPr="003F2D69" w:rsidRDefault="00345767" w:rsidP="00345767">
      <w:pPr>
        <w:pStyle w:val="Ttulo3"/>
        <w:spacing w:before="0" w:after="0"/>
        <w:rPr>
          <w:rFonts w:asciiTheme="minorHAnsi" w:hAnsiTheme="minorHAnsi" w:cs="Arial"/>
          <w:b/>
          <w:color w:val="000000" w:themeColor="text1"/>
          <w:sz w:val="22"/>
          <w:szCs w:val="22"/>
        </w:rPr>
      </w:pPr>
    </w:p>
    <w:p w14:paraId="4AD02665" w14:textId="77777777" w:rsidR="00345767" w:rsidRPr="003F2D69" w:rsidRDefault="00345767" w:rsidP="00345767">
      <w:pPr>
        <w:pStyle w:val="Ttulo3"/>
        <w:spacing w:before="0" w:after="0"/>
        <w:rPr>
          <w:rFonts w:asciiTheme="minorHAnsi" w:hAnsiTheme="minorHAnsi" w:cs="Arial"/>
          <w:b/>
          <w:color w:val="000000" w:themeColor="text1"/>
          <w:sz w:val="22"/>
          <w:szCs w:val="22"/>
        </w:rPr>
      </w:pPr>
      <w:r w:rsidRPr="003F2D69">
        <w:rPr>
          <w:rFonts w:asciiTheme="minorHAnsi" w:hAnsiTheme="minorHAnsi" w:cs="Arial"/>
          <w:b/>
          <w:color w:val="000000" w:themeColor="text1"/>
          <w:sz w:val="22"/>
          <w:szCs w:val="22"/>
        </w:rPr>
        <w:t>Unidad 3: La historia de la sociología y los aportes de los pensadores principales</w:t>
      </w:r>
    </w:p>
    <w:p w14:paraId="2E5DC104"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 xml:space="preserve">3.1 La sociedad en la historia </w:t>
      </w:r>
    </w:p>
    <w:p w14:paraId="5DC28580"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3.2 Introducción al pensamiento de Karl Marx, Emile Durkheim y Max Weber</w:t>
      </w:r>
    </w:p>
    <w:p w14:paraId="0A88718B"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3.3 Introducción a la sociología latinoamericana: Daniel Camacho y Otto Maduro</w:t>
      </w:r>
    </w:p>
    <w:p w14:paraId="2F78A682"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3.4. Aportes y desafíos actuales en la sociología latinoamericana</w:t>
      </w:r>
    </w:p>
    <w:p w14:paraId="429887DE" w14:textId="77777777" w:rsidR="00345767" w:rsidRPr="003F2D69" w:rsidRDefault="00345767" w:rsidP="00345767">
      <w:pPr>
        <w:pStyle w:val="Ttulo3"/>
        <w:spacing w:before="0" w:after="0"/>
        <w:rPr>
          <w:rFonts w:asciiTheme="minorHAnsi" w:hAnsiTheme="minorHAnsi" w:cs="Arial"/>
          <w:b/>
          <w:color w:val="000000" w:themeColor="text1"/>
          <w:sz w:val="22"/>
          <w:szCs w:val="22"/>
        </w:rPr>
      </w:pPr>
    </w:p>
    <w:p w14:paraId="70A123CA" w14:textId="77777777" w:rsidR="00345767" w:rsidRPr="003F2D69" w:rsidRDefault="00345767" w:rsidP="00345767">
      <w:pPr>
        <w:pStyle w:val="Ttulo3"/>
        <w:spacing w:before="0" w:after="0"/>
        <w:rPr>
          <w:rFonts w:asciiTheme="minorHAnsi" w:hAnsiTheme="minorHAnsi" w:cs="Arial"/>
          <w:b/>
          <w:color w:val="000000" w:themeColor="text1"/>
          <w:sz w:val="22"/>
          <w:szCs w:val="22"/>
        </w:rPr>
      </w:pPr>
      <w:r w:rsidRPr="003F2D69">
        <w:rPr>
          <w:rFonts w:asciiTheme="minorHAnsi" w:hAnsiTheme="minorHAnsi" w:cs="Arial"/>
          <w:b/>
          <w:color w:val="000000" w:themeColor="text1"/>
          <w:sz w:val="22"/>
          <w:szCs w:val="22"/>
        </w:rPr>
        <w:t>Unidad 4: Elementos para realizar el análisis social</w:t>
      </w:r>
    </w:p>
    <w:p w14:paraId="70E6FBE8" w14:textId="77777777" w:rsidR="00345767" w:rsidRDefault="00345767" w:rsidP="00345767">
      <w:pPr>
        <w:pStyle w:val="Normalcontenido"/>
        <w:ind w:left="0" w:firstLine="0"/>
        <w:rPr>
          <w:rFonts w:asciiTheme="minorHAnsi" w:hAnsiTheme="minorHAnsi" w:cs="Arial"/>
          <w:color w:val="000000" w:themeColor="text1"/>
          <w:sz w:val="22"/>
          <w:szCs w:val="22"/>
        </w:rPr>
      </w:pPr>
    </w:p>
    <w:p w14:paraId="685AF97A"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4.1 Estructura social</w:t>
      </w:r>
    </w:p>
    <w:p w14:paraId="0521A374"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 xml:space="preserve">4.2 Desigualdad y pobreza  </w:t>
      </w:r>
    </w:p>
    <w:p w14:paraId="76883C5B"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lastRenderedPageBreak/>
        <w:t>4.3 El cambio social</w:t>
      </w:r>
    </w:p>
    <w:p w14:paraId="63805722" w14:textId="77777777" w:rsidR="00345767" w:rsidRPr="003F2D69" w:rsidRDefault="00345767" w:rsidP="00345767">
      <w:pPr>
        <w:pStyle w:val="Normalcontenido"/>
        <w:spacing w:line="276" w:lineRule="auto"/>
        <w:ind w:left="0" w:firstLine="0"/>
        <w:rPr>
          <w:rFonts w:asciiTheme="minorHAnsi" w:hAnsiTheme="minorHAnsi" w:cs="Arial"/>
          <w:color w:val="000000" w:themeColor="text1"/>
          <w:sz w:val="22"/>
          <w:szCs w:val="22"/>
        </w:rPr>
      </w:pPr>
      <w:r w:rsidRPr="003F2D69">
        <w:rPr>
          <w:rFonts w:asciiTheme="minorHAnsi" w:hAnsiTheme="minorHAnsi" w:cs="Arial"/>
          <w:color w:val="000000" w:themeColor="text1"/>
          <w:sz w:val="22"/>
          <w:szCs w:val="22"/>
        </w:rPr>
        <w:t>4.4 Movimientos sociales, redes y estrategias para la convivencia</w:t>
      </w:r>
    </w:p>
    <w:p w14:paraId="4D9B98BB" w14:textId="77777777" w:rsidR="00345767" w:rsidRPr="003F2D69" w:rsidRDefault="00345767" w:rsidP="00345767">
      <w:pPr>
        <w:pStyle w:val="Ttulo3"/>
        <w:spacing w:before="0" w:after="0"/>
        <w:rPr>
          <w:rFonts w:asciiTheme="minorHAnsi" w:hAnsiTheme="minorHAnsi" w:cs="Arial"/>
          <w:b/>
          <w:color w:val="000000" w:themeColor="text1"/>
          <w:sz w:val="22"/>
          <w:szCs w:val="22"/>
        </w:rPr>
      </w:pPr>
      <w:r w:rsidRPr="003F2D69">
        <w:rPr>
          <w:rFonts w:asciiTheme="minorHAnsi" w:hAnsiTheme="minorHAnsi" w:cs="Arial"/>
          <w:b/>
          <w:color w:val="000000" w:themeColor="text1"/>
          <w:sz w:val="22"/>
          <w:szCs w:val="22"/>
        </w:rPr>
        <w:t>Unidad 5: Enlaces transdisciplinarios</w:t>
      </w:r>
    </w:p>
    <w:p w14:paraId="653F0E8E" w14:textId="77777777" w:rsidR="00345767" w:rsidRDefault="00345767" w:rsidP="00345767">
      <w:pPr>
        <w:pStyle w:val="Ttulo3"/>
        <w:spacing w:before="0" w:after="0"/>
        <w:rPr>
          <w:rFonts w:asciiTheme="minorHAnsi" w:hAnsiTheme="minorHAnsi" w:cs="Arial"/>
          <w:color w:val="000000" w:themeColor="text1"/>
          <w:sz w:val="22"/>
          <w:szCs w:val="22"/>
        </w:rPr>
      </w:pPr>
    </w:p>
    <w:p w14:paraId="3F1E4882" w14:textId="77777777" w:rsidR="00345767" w:rsidRPr="003F2D69" w:rsidRDefault="00345767" w:rsidP="00345767">
      <w:pPr>
        <w:pStyle w:val="Ttulo3"/>
        <w:spacing w:before="0" w:after="0" w:line="276" w:lineRule="auto"/>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5.1 </w:t>
      </w:r>
      <w:r w:rsidRPr="003F2D69">
        <w:rPr>
          <w:rFonts w:asciiTheme="minorHAnsi" w:hAnsiTheme="minorHAnsi" w:cs="Arial"/>
          <w:color w:val="000000" w:themeColor="text1"/>
          <w:sz w:val="22"/>
          <w:szCs w:val="22"/>
        </w:rPr>
        <w:t>Entretejido sociológico-teológico</w:t>
      </w:r>
    </w:p>
    <w:p w14:paraId="07D084C9" w14:textId="77777777" w:rsidR="00345767" w:rsidRPr="00191F46" w:rsidRDefault="00345767" w:rsidP="00345767">
      <w:pPr>
        <w:spacing w:line="276" w:lineRule="auto"/>
        <w:rPr>
          <w:rFonts w:cs="Arial"/>
          <w:color w:val="000000" w:themeColor="text1"/>
        </w:rPr>
      </w:pPr>
      <w:r w:rsidRPr="003F2D69">
        <w:rPr>
          <w:rFonts w:cs="Arial"/>
          <w:color w:val="000000" w:themeColor="text1"/>
        </w:rPr>
        <w:t>5.2 Puntos de contacto para el sistema de convivencia</w:t>
      </w:r>
    </w:p>
    <w:p w14:paraId="6582D986" w14:textId="77777777" w:rsidR="00345767" w:rsidRDefault="00345767" w:rsidP="00345767">
      <w:pPr>
        <w:jc w:val="both"/>
        <w:rPr>
          <w:rFonts w:cs="Arial"/>
          <w:b/>
          <w:bCs/>
          <w:color w:val="000000" w:themeColor="text1"/>
        </w:rPr>
      </w:pPr>
    </w:p>
    <w:p w14:paraId="67DFE6F5" w14:textId="77777777" w:rsidR="00345767" w:rsidRPr="00C5032E" w:rsidRDefault="00345767" w:rsidP="00345767">
      <w:pPr>
        <w:jc w:val="both"/>
        <w:rPr>
          <w:rFonts w:cs="Arial"/>
          <w:b/>
          <w:bCs/>
          <w:color w:val="000000" w:themeColor="text1"/>
        </w:rPr>
      </w:pPr>
      <w:r w:rsidRPr="00C5032E">
        <w:rPr>
          <w:rFonts w:cs="Arial"/>
          <w:b/>
          <w:bCs/>
          <w:color w:val="000000" w:themeColor="text1"/>
        </w:rPr>
        <w:t>V.</w:t>
      </w:r>
      <w:r w:rsidRPr="00C5032E">
        <w:rPr>
          <w:rFonts w:cs="Arial"/>
          <w:b/>
          <w:color w:val="000000" w:themeColor="text1"/>
        </w:rPr>
        <w:t xml:space="preserve"> </w:t>
      </w:r>
      <w:r w:rsidRPr="00C5032E">
        <w:rPr>
          <w:rFonts w:cs="Arial"/>
          <w:b/>
          <w:bCs/>
          <w:color w:val="000000" w:themeColor="text1"/>
        </w:rPr>
        <w:t>Metodología</w:t>
      </w:r>
      <w:r>
        <w:rPr>
          <w:rFonts w:cs="Arial"/>
          <w:b/>
          <w:bCs/>
          <w:color w:val="000000" w:themeColor="text1"/>
        </w:rPr>
        <w:t xml:space="preserve"> </w:t>
      </w:r>
    </w:p>
    <w:p w14:paraId="13AC39D2" w14:textId="77777777" w:rsidR="00345767" w:rsidRDefault="00345767" w:rsidP="00345767">
      <w:pPr>
        <w:jc w:val="both"/>
        <w:rPr>
          <w:rFonts w:cs="Arial"/>
          <w:bCs/>
          <w:color w:val="000000" w:themeColor="text1"/>
        </w:rPr>
      </w:pPr>
      <w:r w:rsidRPr="002C31E3">
        <w:rPr>
          <w:rFonts w:cs="Arial"/>
          <w:bCs/>
          <w:color w:val="000000" w:themeColor="text1"/>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5132E795" w14:textId="77777777" w:rsidR="00345767" w:rsidRDefault="00345767" w:rsidP="00345767">
      <w:pPr>
        <w:jc w:val="both"/>
        <w:rPr>
          <w:rFonts w:cs="Arial"/>
          <w:bCs/>
          <w:color w:val="000000" w:themeColor="text1"/>
        </w:rPr>
      </w:pPr>
      <w:r>
        <w:rPr>
          <w:rFonts w:cs="Arial"/>
          <w:bCs/>
          <w:color w:val="000000" w:themeColor="text1"/>
        </w:rPr>
        <w:t xml:space="preserve">Este es un curso teórico-práctico con enfoque integral e interdisciplinario que precisa de la participación activa de la persona docente y de los y las estudiantes. </w:t>
      </w:r>
      <w:r w:rsidRPr="00B555AE">
        <w:rPr>
          <w:rFonts w:cs="Arial"/>
          <w:bCs/>
          <w:color w:val="000000" w:themeColor="text1"/>
        </w:rPr>
        <w:t>Se busca desarrollar las capacidades críticas ante los contenidos del curso, la observación del contexto social circundante y la construcción del conocimiento colectivo.</w:t>
      </w:r>
      <w:r>
        <w:rPr>
          <w:rFonts w:cs="Arial"/>
          <w:bCs/>
          <w:color w:val="000000" w:themeColor="text1"/>
        </w:rPr>
        <w:t xml:space="preserve"> </w:t>
      </w:r>
      <w:r w:rsidRPr="00B555AE">
        <w:rPr>
          <w:rFonts w:cs="Arial"/>
          <w:bCs/>
          <w:color w:val="000000" w:themeColor="text1"/>
        </w:rPr>
        <w:t>El enfoque integral e interdisciplinario tiene como fin metodológico ampliar la comprensión de la realidad en cada estudiante y desarrollar un compromiso hacia la transformación social. Este es un curso que busca por medio de la</w:t>
      </w:r>
      <w:r>
        <w:rPr>
          <w:rFonts w:cs="Arial"/>
          <w:bCs/>
          <w:color w:val="000000" w:themeColor="text1"/>
        </w:rPr>
        <w:t xml:space="preserve"> observación participante, de un grupo particular, </w:t>
      </w:r>
      <w:r w:rsidRPr="00B555AE">
        <w:rPr>
          <w:rFonts w:cs="Arial"/>
          <w:bCs/>
          <w:color w:val="000000" w:themeColor="text1"/>
        </w:rPr>
        <w:t>desarrollar la experiencia de lo transdisciplinar para comprender la complejidad de la realidad y aprehender el proceso de traspasar las fronteras de una disciplina para encontrarse con otra</w:t>
      </w:r>
      <w:r>
        <w:rPr>
          <w:rFonts w:cs="Arial"/>
          <w:bCs/>
          <w:color w:val="000000" w:themeColor="text1"/>
        </w:rPr>
        <w:t>,</w:t>
      </w:r>
      <w:r w:rsidRPr="00B555AE">
        <w:rPr>
          <w:rFonts w:cs="Arial"/>
          <w:bCs/>
          <w:color w:val="000000" w:themeColor="text1"/>
        </w:rPr>
        <w:t xml:space="preserve"> a fin de comprender las convergencias necesarias para la resolución de los desafíos de la vida. </w:t>
      </w:r>
    </w:p>
    <w:p w14:paraId="28EB251C" w14:textId="77777777" w:rsidR="00345767" w:rsidRDefault="00345767" w:rsidP="00345767">
      <w:pPr>
        <w:jc w:val="both"/>
        <w:rPr>
          <w:rFonts w:cs="Arial"/>
          <w:bCs/>
          <w:color w:val="000000" w:themeColor="text1"/>
        </w:rPr>
      </w:pPr>
      <w:r w:rsidRPr="00B555AE">
        <w:rPr>
          <w:rFonts w:cs="Arial"/>
          <w:bCs/>
          <w:color w:val="000000" w:themeColor="text1"/>
        </w:rPr>
        <w:t>El y la estudiante realizarán lecturas</w:t>
      </w:r>
      <w:r>
        <w:rPr>
          <w:rFonts w:cs="Arial"/>
          <w:bCs/>
          <w:color w:val="000000" w:themeColor="text1"/>
        </w:rPr>
        <w:t xml:space="preserve"> digitales</w:t>
      </w:r>
      <w:r w:rsidRPr="00B555AE">
        <w:rPr>
          <w:rFonts w:cs="Arial"/>
          <w:bCs/>
          <w:color w:val="000000" w:themeColor="text1"/>
        </w:rPr>
        <w:t xml:space="preserve"> para apropiarse de los contenidos fundamentales, trabajos </w:t>
      </w:r>
      <w:r>
        <w:rPr>
          <w:rFonts w:cs="Arial"/>
          <w:bCs/>
          <w:color w:val="000000" w:themeColor="text1"/>
        </w:rPr>
        <w:t>colectivos</w:t>
      </w:r>
      <w:r w:rsidRPr="00B555AE">
        <w:rPr>
          <w:rFonts w:cs="Arial"/>
          <w:bCs/>
          <w:color w:val="000000" w:themeColor="text1"/>
        </w:rPr>
        <w:t xml:space="preserve"> </w:t>
      </w:r>
      <w:r>
        <w:rPr>
          <w:rFonts w:cs="Arial"/>
          <w:bCs/>
          <w:color w:val="000000" w:themeColor="text1"/>
        </w:rPr>
        <w:t xml:space="preserve">en el aula virtual (foros temáticos, encuentros sincrónicos virtuales, wiki, presentación audiovisual) y tareas individuales </w:t>
      </w:r>
      <w:r w:rsidRPr="00B555AE">
        <w:rPr>
          <w:rFonts w:cs="Arial"/>
          <w:bCs/>
          <w:color w:val="000000" w:themeColor="text1"/>
        </w:rPr>
        <w:t>para la construcción de conocimientos propios</w:t>
      </w:r>
      <w:r>
        <w:rPr>
          <w:rFonts w:cs="Arial"/>
          <w:bCs/>
          <w:color w:val="000000" w:themeColor="text1"/>
        </w:rPr>
        <w:t xml:space="preserve">. Con el acompañamiento de la persona docente se desarrollará una observación participante con un grupo particular para analizar la estructura social, de cara a proponer el cambio. En diferentes momentos del curso la persona docente realizará exposiciones sobre las temáticas del curso a través de encuentros sincrónicos virtuales. </w:t>
      </w:r>
      <w:r w:rsidRPr="001D3243">
        <w:rPr>
          <w:rFonts w:cs="Arial"/>
          <w:bCs/>
          <w:color w:val="000000" w:themeColor="text1"/>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r>
        <w:rPr>
          <w:rFonts w:cs="Arial"/>
          <w:bCs/>
          <w:color w:val="000000" w:themeColor="text1"/>
        </w:rPr>
        <w:t xml:space="preserve">  </w:t>
      </w:r>
    </w:p>
    <w:p w14:paraId="5FFB5ED0" w14:textId="77777777" w:rsidR="00345767" w:rsidRDefault="00345767" w:rsidP="00345767">
      <w:pPr>
        <w:jc w:val="both"/>
        <w:rPr>
          <w:rFonts w:cs="Arial"/>
          <w:b/>
          <w:bCs/>
          <w:color w:val="000000" w:themeColor="text1"/>
        </w:rPr>
      </w:pPr>
      <w:r w:rsidRPr="00C5032E">
        <w:rPr>
          <w:rFonts w:cs="Arial"/>
          <w:b/>
          <w:bCs/>
          <w:color w:val="000000" w:themeColor="text1"/>
        </w:rPr>
        <w:lastRenderedPageBreak/>
        <w:t xml:space="preserve">VI. </w:t>
      </w:r>
      <w:r>
        <w:rPr>
          <w:rFonts w:cs="Arial"/>
          <w:b/>
          <w:bCs/>
          <w:color w:val="000000" w:themeColor="text1"/>
        </w:rPr>
        <w:t>Estrategias</w:t>
      </w:r>
      <w:r w:rsidRPr="00C5032E">
        <w:rPr>
          <w:rFonts w:cs="Arial"/>
          <w:b/>
          <w:bCs/>
          <w:color w:val="000000" w:themeColor="text1"/>
        </w:rPr>
        <w:t xml:space="preserve"> de aprendizaje </w:t>
      </w:r>
    </w:p>
    <w:p w14:paraId="497141E1" w14:textId="77777777" w:rsidR="00345767" w:rsidRPr="00434688" w:rsidRDefault="00345767" w:rsidP="00345767">
      <w:pPr>
        <w:jc w:val="both"/>
        <w:rPr>
          <w:rFonts w:cs="Arial"/>
          <w:color w:val="000000" w:themeColor="text1"/>
        </w:rPr>
      </w:pPr>
      <w:r w:rsidRPr="001D4550">
        <w:rPr>
          <w:rFonts w:cs="Arial"/>
          <w:color w:val="000000" w:themeColor="text1"/>
        </w:rPr>
        <w:t xml:space="preserve">En el marco del aprendizaje que se busca </w:t>
      </w:r>
      <w:r>
        <w:rPr>
          <w:rFonts w:cs="Arial"/>
          <w:color w:val="000000" w:themeColor="text1"/>
        </w:rPr>
        <w:t xml:space="preserve">en </w:t>
      </w:r>
      <w:r w:rsidRPr="001D4550">
        <w:rPr>
          <w:rFonts w:cs="Arial"/>
          <w:color w:val="000000" w:themeColor="text1"/>
        </w:rPr>
        <w:t xml:space="preserve">este curso, las personas estudiantes conocerán nociones introductorias sobre las diferentes corrientes de la </w:t>
      </w:r>
      <w:r>
        <w:rPr>
          <w:rFonts w:cs="Arial"/>
          <w:color w:val="000000" w:themeColor="text1"/>
        </w:rPr>
        <w:t>s</w:t>
      </w:r>
      <w:r w:rsidRPr="001D4550">
        <w:rPr>
          <w:rFonts w:cs="Arial"/>
          <w:color w:val="000000" w:themeColor="text1"/>
        </w:rPr>
        <w:t>ociología, especialmente útiles a las sociedades latinoamericanas</w:t>
      </w:r>
      <w:r>
        <w:rPr>
          <w:rFonts w:cs="Arial"/>
          <w:color w:val="000000" w:themeColor="text1"/>
        </w:rPr>
        <w:t xml:space="preserve"> y </w:t>
      </w:r>
      <w:r w:rsidRPr="001D4550">
        <w:rPr>
          <w:rFonts w:cs="Arial"/>
          <w:color w:val="000000" w:themeColor="text1"/>
        </w:rPr>
        <w:t>caribeñas, y manejarán distintos métodos e instrumentos para el análisis social.</w:t>
      </w:r>
    </w:p>
    <w:p w14:paraId="18F9394B" w14:textId="77777777" w:rsidR="00345767" w:rsidRDefault="00345767" w:rsidP="00345767">
      <w:pPr>
        <w:jc w:val="both"/>
        <w:rPr>
          <w:rFonts w:cs="Arial"/>
          <w:color w:val="000000" w:themeColor="text1"/>
        </w:rPr>
      </w:pPr>
      <w:r>
        <w:rPr>
          <w:rFonts w:cs="Arial"/>
          <w:color w:val="000000" w:themeColor="text1"/>
        </w:rPr>
        <w:t>Se utilizan las siguientes estrategias de aprendizaje:</w:t>
      </w:r>
    </w:p>
    <w:p w14:paraId="2C17C2F2" w14:textId="77777777" w:rsidR="00345767" w:rsidRPr="006C7FE8" w:rsidRDefault="00345767" w:rsidP="00345767">
      <w:pPr>
        <w:jc w:val="both"/>
        <w:rPr>
          <w:rFonts w:cs="Arial"/>
        </w:rPr>
      </w:pPr>
      <w:r>
        <w:rPr>
          <w:rFonts w:cs="Arial"/>
          <w:b/>
          <w:bCs/>
          <w:color w:val="000000" w:themeColor="text1"/>
        </w:rPr>
        <w:t xml:space="preserve">a) Encuentro sincrónico virtual: </w:t>
      </w:r>
      <w:r w:rsidRPr="006C7FE8">
        <w:rPr>
          <w:rFonts w:ascii="Calibri" w:eastAsia="Calibri" w:hAnsi="Calibri" w:cs="Calibri"/>
          <w:bCs/>
        </w:rPr>
        <w:t xml:space="preserve">Los encuentros sincrónicos virtuales </w:t>
      </w:r>
      <w:r>
        <w:rPr>
          <w:rFonts w:ascii="Calibri" w:eastAsia="Calibri" w:hAnsi="Calibri" w:cs="Calibri"/>
          <w:bCs/>
        </w:rPr>
        <w:t xml:space="preserve">tienen la función de facilitar un encuentro colectivo entre estudiantes y la persona docente para exponer temas, realizar trabajo en grupos y aclarar dudas. </w:t>
      </w:r>
      <w:r w:rsidRPr="006C7FE8">
        <w:rPr>
          <w:rFonts w:ascii="Calibri" w:eastAsia="Calibri" w:hAnsi="Calibri" w:cs="Calibri"/>
          <w:bCs/>
        </w:rPr>
        <w:t xml:space="preserve">La persona docente desarrollará temáticas mediante presentaciones y dinámicas grupales de tópicos tales como: </w:t>
      </w:r>
      <w:r>
        <w:rPr>
          <w:rFonts w:ascii="Calibri" w:eastAsia="Calibri" w:hAnsi="Calibri" w:cs="Calibri"/>
          <w:bCs/>
        </w:rPr>
        <w:t>i</w:t>
      </w:r>
      <w:r w:rsidRPr="006C7FE8">
        <w:rPr>
          <w:rFonts w:ascii="Calibri" w:eastAsia="Calibri" w:hAnsi="Calibri" w:cs="Calibri"/>
          <w:bCs/>
        </w:rPr>
        <w:t>ntroducción al curso y definición de conceptos, ¿</w:t>
      </w:r>
      <w:r>
        <w:rPr>
          <w:rFonts w:ascii="Calibri" w:eastAsia="Calibri" w:hAnsi="Calibri" w:cs="Calibri"/>
          <w:bCs/>
        </w:rPr>
        <w:t>q</w:t>
      </w:r>
      <w:r w:rsidRPr="006C7FE8">
        <w:rPr>
          <w:rFonts w:ascii="Calibri" w:eastAsia="Calibri" w:hAnsi="Calibri" w:cs="Calibri"/>
          <w:bCs/>
        </w:rPr>
        <w:t xml:space="preserve">ué es la Sociología?, </w:t>
      </w:r>
      <w:r>
        <w:rPr>
          <w:rFonts w:ascii="Calibri" w:eastAsia="Calibri" w:hAnsi="Calibri" w:cs="Calibri"/>
          <w:bCs/>
        </w:rPr>
        <w:t>h</w:t>
      </w:r>
      <w:r w:rsidRPr="006C7FE8">
        <w:rPr>
          <w:rFonts w:ascii="Calibri" w:eastAsia="Calibri" w:hAnsi="Calibri" w:cs="Calibri"/>
          <w:bCs/>
        </w:rPr>
        <w:t xml:space="preserve">istoria de la sociología y los aportes de los pensadores principales y </w:t>
      </w:r>
      <w:r>
        <w:rPr>
          <w:rFonts w:ascii="Calibri" w:eastAsia="Calibri" w:hAnsi="Calibri" w:cs="Calibri"/>
          <w:bCs/>
        </w:rPr>
        <w:t>e</w:t>
      </w:r>
      <w:r w:rsidRPr="006C7FE8">
        <w:rPr>
          <w:rFonts w:ascii="Calibri" w:eastAsia="Calibri" w:hAnsi="Calibri" w:cs="Calibri"/>
          <w:bCs/>
        </w:rPr>
        <w:t>lementos para realizar el análisis social</w:t>
      </w:r>
      <w:r>
        <w:rPr>
          <w:rFonts w:ascii="Calibri" w:eastAsia="Calibri" w:hAnsi="Calibri" w:cs="Calibri"/>
          <w:bCs/>
        </w:rPr>
        <w:t>,</w:t>
      </w:r>
      <w:r w:rsidRPr="006C7FE8">
        <w:rPr>
          <w:rFonts w:ascii="Calibri" w:eastAsia="Calibri" w:hAnsi="Calibri" w:cs="Calibri"/>
          <w:bCs/>
        </w:rPr>
        <w:t xml:space="preserve"> entre otros.</w:t>
      </w:r>
    </w:p>
    <w:p w14:paraId="269E8972" w14:textId="77777777" w:rsidR="00345767" w:rsidRPr="0052013F" w:rsidRDefault="00345767" w:rsidP="00345767">
      <w:pPr>
        <w:jc w:val="both"/>
        <w:rPr>
          <w:rFonts w:cs="Arial"/>
          <w:color w:val="000000" w:themeColor="text1"/>
        </w:rPr>
      </w:pPr>
      <w:r>
        <w:rPr>
          <w:rFonts w:cs="Arial"/>
          <w:b/>
          <w:bCs/>
          <w:color w:val="000000" w:themeColor="text1"/>
        </w:rPr>
        <w:t xml:space="preserve">b) Foro: </w:t>
      </w:r>
      <w:r w:rsidRPr="0052013F">
        <w:rPr>
          <w:rFonts w:cs="Arial"/>
          <w:color w:val="000000" w:themeColor="text1"/>
        </w:rPr>
        <w:t>Se trata de una actividad de discusión académica asincrónica, ya que los y las participantes no tienen que acceder al sistema al mismo tiempo, constituyéndose en un escenario virtual para la exposición de ideas y debate. Cada persona estudiante ofrecerá su aporte desde las lecturas asignadas y replicará a l</w:t>
      </w:r>
      <w:r>
        <w:rPr>
          <w:rFonts w:cs="Arial"/>
          <w:color w:val="000000" w:themeColor="text1"/>
        </w:rPr>
        <w:t>os aportes</w:t>
      </w:r>
      <w:r w:rsidRPr="0052013F">
        <w:rPr>
          <w:rFonts w:cs="Arial"/>
          <w:color w:val="000000" w:themeColor="text1"/>
        </w:rPr>
        <w:t xml:space="preserve"> de al menos dos compañeras</w:t>
      </w:r>
      <w:r>
        <w:rPr>
          <w:rFonts w:cs="Arial"/>
          <w:color w:val="000000" w:themeColor="text1"/>
        </w:rPr>
        <w:t xml:space="preserve"> o compañeros</w:t>
      </w:r>
      <w:r w:rsidRPr="0052013F">
        <w:rPr>
          <w:rFonts w:cs="Arial"/>
          <w:color w:val="000000" w:themeColor="text1"/>
        </w:rPr>
        <w:t xml:space="preserve">. Los temas que se tratarán tienen que ver con la </w:t>
      </w:r>
      <w:r>
        <w:rPr>
          <w:rFonts w:cs="Arial"/>
          <w:color w:val="000000" w:themeColor="text1"/>
        </w:rPr>
        <w:t>s</w:t>
      </w:r>
      <w:r w:rsidRPr="0052013F">
        <w:rPr>
          <w:rFonts w:cs="Arial"/>
          <w:color w:val="000000" w:themeColor="text1"/>
        </w:rPr>
        <w:t xml:space="preserve">ociología pública, </w:t>
      </w:r>
      <w:r>
        <w:rPr>
          <w:rFonts w:cs="Arial"/>
          <w:color w:val="000000" w:themeColor="text1"/>
        </w:rPr>
        <w:t>los d</w:t>
      </w:r>
      <w:r w:rsidRPr="0052013F">
        <w:rPr>
          <w:rFonts w:cs="Arial"/>
          <w:color w:val="000000" w:themeColor="text1"/>
        </w:rPr>
        <w:t>esafíos de la sociología latinoamericana</w:t>
      </w:r>
      <w:r>
        <w:rPr>
          <w:rFonts w:cs="Arial"/>
          <w:color w:val="000000" w:themeColor="text1"/>
        </w:rPr>
        <w:t xml:space="preserve"> y </w:t>
      </w:r>
      <w:r w:rsidRPr="0052013F">
        <w:rPr>
          <w:rFonts w:cs="Arial"/>
          <w:color w:val="000000" w:themeColor="text1"/>
        </w:rPr>
        <w:t xml:space="preserve">caribeña y </w:t>
      </w:r>
      <w:r>
        <w:rPr>
          <w:rFonts w:cs="Arial"/>
          <w:color w:val="000000" w:themeColor="text1"/>
        </w:rPr>
        <w:t>la relación entre s</w:t>
      </w:r>
      <w:r w:rsidRPr="0052013F">
        <w:rPr>
          <w:rFonts w:cs="Arial"/>
          <w:color w:val="000000" w:themeColor="text1"/>
        </w:rPr>
        <w:t xml:space="preserve">ociología y </w:t>
      </w:r>
      <w:r>
        <w:rPr>
          <w:rFonts w:cs="Arial"/>
          <w:color w:val="000000" w:themeColor="text1"/>
        </w:rPr>
        <w:t>t</w:t>
      </w:r>
      <w:r w:rsidRPr="0052013F">
        <w:rPr>
          <w:rFonts w:cs="Arial"/>
          <w:color w:val="000000" w:themeColor="text1"/>
        </w:rPr>
        <w:t>eología.</w:t>
      </w:r>
    </w:p>
    <w:p w14:paraId="2B0B917D" w14:textId="77777777" w:rsidR="00345767" w:rsidRPr="00F606AB" w:rsidRDefault="00345767" w:rsidP="00345767">
      <w:pPr>
        <w:jc w:val="both"/>
        <w:rPr>
          <w:rFonts w:cs="Arial"/>
          <w:color w:val="000000" w:themeColor="text1"/>
        </w:rPr>
      </w:pPr>
      <w:r>
        <w:rPr>
          <w:rFonts w:cs="Arial"/>
          <w:b/>
          <w:bCs/>
          <w:color w:val="000000" w:themeColor="text1"/>
        </w:rPr>
        <w:t xml:space="preserve">c) Reseña crítica de lectura: </w:t>
      </w:r>
      <w:r w:rsidRPr="005D5B74">
        <w:rPr>
          <w:rFonts w:cs="Arial"/>
          <w:color w:val="000000" w:themeColor="text1"/>
        </w:rPr>
        <w:t xml:space="preserve">En la perspectiva de fortalecer las capacidades de resumen de las ideas principales, hacer un análisis crítico y una contextualización, en este curso se </w:t>
      </w:r>
      <w:r>
        <w:rPr>
          <w:rFonts w:cs="Arial"/>
          <w:color w:val="000000" w:themeColor="text1"/>
        </w:rPr>
        <w:t>utiliza</w:t>
      </w:r>
      <w:r w:rsidRPr="005D5B74">
        <w:rPr>
          <w:rFonts w:cs="Arial"/>
          <w:color w:val="000000" w:themeColor="text1"/>
        </w:rPr>
        <w:t xml:space="preserve"> la estrategia de aprendizaje denominada </w:t>
      </w:r>
      <w:r>
        <w:rPr>
          <w:rFonts w:cs="Arial"/>
          <w:color w:val="000000" w:themeColor="text1"/>
        </w:rPr>
        <w:t>r</w:t>
      </w:r>
      <w:r w:rsidRPr="005D5B74">
        <w:rPr>
          <w:rFonts w:cs="Arial"/>
          <w:color w:val="000000" w:themeColor="text1"/>
        </w:rPr>
        <w:t>eseña crítica de lectura. Se busca trabajar con los temas: ¿</w:t>
      </w:r>
      <w:r>
        <w:rPr>
          <w:rFonts w:cs="Arial"/>
          <w:color w:val="000000" w:themeColor="text1"/>
        </w:rPr>
        <w:t>q</w:t>
      </w:r>
      <w:r w:rsidRPr="005D5B74">
        <w:rPr>
          <w:rFonts w:cs="Arial"/>
          <w:color w:val="000000" w:themeColor="text1"/>
        </w:rPr>
        <w:t xml:space="preserve">ué es la sociología? </w:t>
      </w:r>
      <w:r>
        <w:rPr>
          <w:rFonts w:cs="Arial"/>
          <w:color w:val="000000" w:themeColor="text1"/>
        </w:rPr>
        <w:t>y</w:t>
      </w:r>
      <w:r w:rsidRPr="005D5B74">
        <w:rPr>
          <w:rFonts w:cs="Arial"/>
          <w:color w:val="000000" w:themeColor="text1"/>
        </w:rPr>
        <w:t xml:space="preserve"> </w:t>
      </w:r>
      <w:r>
        <w:rPr>
          <w:rFonts w:cs="Arial"/>
          <w:color w:val="000000" w:themeColor="text1"/>
        </w:rPr>
        <w:t>l</w:t>
      </w:r>
      <w:r w:rsidRPr="005D5B74">
        <w:rPr>
          <w:rFonts w:cs="Arial"/>
          <w:color w:val="000000" w:themeColor="text1"/>
        </w:rPr>
        <w:t>os movimientos sociales como productores de la sociedad.</w:t>
      </w:r>
    </w:p>
    <w:p w14:paraId="75D92F4A" w14:textId="77777777" w:rsidR="00345767" w:rsidRPr="005B0F31" w:rsidRDefault="00345767" w:rsidP="00345767">
      <w:pPr>
        <w:jc w:val="both"/>
        <w:rPr>
          <w:rFonts w:cs="Arial"/>
          <w:color w:val="000000" w:themeColor="text1"/>
        </w:rPr>
      </w:pPr>
      <w:r>
        <w:rPr>
          <w:rFonts w:cs="Arial"/>
          <w:b/>
          <w:bCs/>
          <w:color w:val="000000" w:themeColor="text1"/>
        </w:rPr>
        <w:t xml:space="preserve">d) Fichas de contenido: </w:t>
      </w:r>
      <w:r w:rsidRPr="005B0F31">
        <w:rPr>
          <w:rFonts w:cs="Arial"/>
          <w:color w:val="000000" w:themeColor="text1"/>
        </w:rPr>
        <w:t xml:space="preserve">Se trata de una herramienta de estudio </w:t>
      </w:r>
      <w:r>
        <w:rPr>
          <w:rFonts w:cs="Arial"/>
          <w:color w:val="000000" w:themeColor="text1"/>
        </w:rPr>
        <w:t xml:space="preserve">en la que, </w:t>
      </w:r>
      <w:r w:rsidRPr="005B0F31">
        <w:rPr>
          <w:rFonts w:cs="Arial"/>
          <w:color w:val="000000" w:themeColor="text1"/>
        </w:rPr>
        <w:t>en forma gráfica, didáctica, ordenada, jerarquizada y sistemática</w:t>
      </w:r>
      <w:r>
        <w:rPr>
          <w:rFonts w:cs="Arial"/>
          <w:color w:val="000000" w:themeColor="text1"/>
        </w:rPr>
        <w:t>, se</w:t>
      </w:r>
      <w:r w:rsidRPr="005B0F31">
        <w:rPr>
          <w:rFonts w:cs="Arial"/>
          <w:color w:val="000000" w:themeColor="text1"/>
        </w:rPr>
        <w:t xml:space="preserve"> ilustra mediante fichas los contenidos principales que se van dando al apropiarse del conocimiento que comparte una lectura, por ejemplo. En este curso se hará uso de dicho recurso para trabajar </w:t>
      </w:r>
      <w:r>
        <w:rPr>
          <w:rFonts w:cs="Arial"/>
          <w:color w:val="000000" w:themeColor="text1"/>
        </w:rPr>
        <w:t xml:space="preserve">el </w:t>
      </w:r>
      <w:r w:rsidRPr="005B0F31">
        <w:rPr>
          <w:rFonts w:cs="Arial"/>
          <w:color w:val="000000" w:themeColor="text1"/>
        </w:rPr>
        <w:t xml:space="preserve">tema </w:t>
      </w:r>
      <w:r>
        <w:rPr>
          <w:rFonts w:cs="Arial"/>
          <w:color w:val="000000" w:themeColor="text1"/>
        </w:rPr>
        <w:t>del</w:t>
      </w:r>
      <w:r w:rsidRPr="005B0F31">
        <w:rPr>
          <w:rFonts w:cs="Arial"/>
          <w:color w:val="000000" w:themeColor="text1"/>
        </w:rPr>
        <w:t xml:space="preserve"> desarrollo de la sociología latinoamericana</w:t>
      </w:r>
      <w:r>
        <w:rPr>
          <w:rFonts w:cs="Arial"/>
          <w:color w:val="000000" w:themeColor="text1"/>
        </w:rPr>
        <w:t xml:space="preserve">, </w:t>
      </w:r>
      <w:r w:rsidRPr="005B0F31">
        <w:rPr>
          <w:rFonts w:cs="Arial"/>
          <w:color w:val="000000" w:themeColor="text1"/>
        </w:rPr>
        <w:t>sus aportes y desafíos.</w:t>
      </w:r>
    </w:p>
    <w:p w14:paraId="27F823A5" w14:textId="77777777" w:rsidR="00345767" w:rsidRPr="00EF7C9C" w:rsidRDefault="00345767" w:rsidP="00345767">
      <w:pPr>
        <w:jc w:val="both"/>
        <w:rPr>
          <w:rFonts w:cs="Arial"/>
          <w:bCs/>
          <w:color w:val="C00000"/>
        </w:rPr>
      </w:pPr>
      <w:r>
        <w:rPr>
          <w:rFonts w:cs="Arial"/>
          <w:b/>
          <w:bCs/>
          <w:color w:val="000000" w:themeColor="text1"/>
        </w:rPr>
        <w:t xml:space="preserve">e) Reflexión personal: </w:t>
      </w:r>
      <w:r w:rsidRPr="00EF7C9C">
        <w:rPr>
          <w:rFonts w:ascii="Calibri" w:hAnsi="Calibri" w:cs="Calibri"/>
          <w:bCs/>
        </w:rPr>
        <w:t xml:space="preserve">La reflexión personal permite a la persona estudiante organizar y comunicar sus pensamientos sobre un determinado tema, ayudando en el proceso de auto comprensión de su propio proceso educativo. En este curso se solicita una reflexión personal </w:t>
      </w:r>
      <w:r>
        <w:rPr>
          <w:rFonts w:ascii="Calibri" w:hAnsi="Calibri" w:cs="Calibri"/>
          <w:bCs/>
        </w:rPr>
        <w:t>sobre</w:t>
      </w:r>
      <w:r w:rsidRPr="00EF7C9C">
        <w:rPr>
          <w:rFonts w:cs="Arial"/>
          <w:bCs/>
        </w:rPr>
        <w:t xml:space="preserve"> el tópico de los efectos de la globalización en el grupo </w:t>
      </w:r>
      <w:r>
        <w:rPr>
          <w:rFonts w:cs="Arial"/>
          <w:bCs/>
        </w:rPr>
        <w:t>con el cual se realiza la observación participante</w:t>
      </w:r>
      <w:r w:rsidRPr="00EF7C9C">
        <w:rPr>
          <w:rFonts w:cs="Arial"/>
          <w:bCs/>
        </w:rPr>
        <w:t>.</w:t>
      </w:r>
    </w:p>
    <w:p w14:paraId="757C2ADC" w14:textId="77777777" w:rsidR="00345767" w:rsidRPr="0015445B" w:rsidRDefault="00345767" w:rsidP="00345767">
      <w:pPr>
        <w:jc w:val="both"/>
        <w:rPr>
          <w:rFonts w:cs="Arial"/>
          <w:color w:val="000000" w:themeColor="text1"/>
        </w:rPr>
      </w:pPr>
      <w:r>
        <w:rPr>
          <w:rFonts w:cs="Arial"/>
          <w:b/>
          <w:bCs/>
          <w:color w:val="000000" w:themeColor="text1"/>
        </w:rPr>
        <w:t xml:space="preserve">f) Presentación audiovisual: </w:t>
      </w:r>
      <w:r w:rsidRPr="0015445B">
        <w:rPr>
          <w:rFonts w:ascii="Calibri" w:eastAsia="Calibri" w:hAnsi="Calibri" w:cs="Calibri"/>
        </w:rPr>
        <w:t>La presentación audiovisual es una herramienta que integra e interrelaciona lo auditivo y lo visual con el objetivo de presentar información sobre un tema o temas en específico.</w:t>
      </w:r>
      <w:r w:rsidRPr="0015445B">
        <w:rPr>
          <w:rFonts w:cs="Arial"/>
          <w:bCs/>
        </w:rPr>
        <w:t xml:space="preserve">  En</w:t>
      </w:r>
      <w:r>
        <w:rPr>
          <w:rFonts w:cs="Arial"/>
          <w:bCs/>
        </w:rPr>
        <w:t xml:space="preserve"> este curso se elabora una presentación, en forma grupal, </w:t>
      </w:r>
      <w:r w:rsidRPr="0015445B">
        <w:rPr>
          <w:rFonts w:cs="Arial"/>
          <w:bCs/>
        </w:rPr>
        <w:t xml:space="preserve">sobre los principales pensadores de la </w:t>
      </w:r>
      <w:r>
        <w:rPr>
          <w:rFonts w:cs="Arial"/>
          <w:bCs/>
        </w:rPr>
        <w:t>s</w:t>
      </w:r>
      <w:r w:rsidRPr="0015445B">
        <w:rPr>
          <w:rFonts w:cs="Arial"/>
          <w:bCs/>
        </w:rPr>
        <w:t>ociología.</w:t>
      </w:r>
    </w:p>
    <w:p w14:paraId="3785236C" w14:textId="77777777" w:rsidR="00345767" w:rsidRPr="00A70770" w:rsidRDefault="00345767" w:rsidP="00345767">
      <w:pPr>
        <w:jc w:val="both"/>
        <w:rPr>
          <w:rFonts w:cs="Arial"/>
          <w:color w:val="000000" w:themeColor="text1"/>
        </w:rPr>
      </w:pPr>
      <w:r>
        <w:rPr>
          <w:rFonts w:cs="Arial"/>
          <w:b/>
          <w:bCs/>
          <w:color w:val="000000" w:themeColor="text1"/>
        </w:rPr>
        <w:t xml:space="preserve">g) Wiki: </w:t>
      </w:r>
      <w:r w:rsidRPr="00A70770">
        <w:rPr>
          <w:rFonts w:ascii="Calibri" w:eastAsia="Calibri" w:hAnsi="Calibri"/>
          <w:lang w:val="es-MX"/>
        </w:rPr>
        <w:t xml:space="preserve">Un </w:t>
      </w:r>
      <w:r>
        <w:rPr>
          <w:rFonts w:ascii="Calibri" w:eastAsia="Calibri" w:hAnsi="Calibri"/>
          <w:lang w:val="es-MX"/>
        </w:rPr>
        <w:t>w</w:t>
      </w:r>
      <w:r w:rsidRPr="00A70770">
        <w:rPr>
          <w:rFonts w:ascii="Calibri" w:eastAsia="Calibri" w:hAnsi="Calibri"/>
          <w:lang w:val="es-MX"/>
        </w:rPr>
        <w:t>iki es una herramienta tecnológica que permite la compilación</w:t>
      </w:r>
      <w:r>
        <w:rPr>
          <w:rFonts w:ascii="Calibri" w:eastAsia="Calibri" w:hAnsi="Calibri"/>
          <w:lang w:val="es-MX"/>
        </w:rPr>
        <w:t>/creación de información</w:t>
      </w:r>
      <w:r w:rsidRPr="00A70770">
        <w:rPr>
          <w:rFonts w:ascii="Calibri" w:eastAsia="Calibri" w:hAnsi="Calibri"/>
          <w:lang w:val="es-MX"/>
        </w:rPr>
        <w:t xml:space="preserve"> </w:t>
      </w:r>
      <w:r>
        <w:rPr>
          <w:rFonts w:ascii="Calibri" w:eastAsia="Calibri" w:hAnsi="Calibri"/>
          <w:lang w:val="es-MX"/>
        </w:rPr>
        <w:t>de forma digital, colaborativamente</w:t>
      </w:r>
      <w:r w:rsidRPr="00A70770">
        <w:rPr>
          <w:rFonts w:ascii="Calibri" w:eastAsia="Calibri" w:hAnsi="Calibri"/>
          <w:lang w:val="es-MX"/>
        </w:rPr>
        <w:t xml:space="preserve">, con aportes y ediciones editables. </w:t>
      </w:r>
      <w:r>
        <w:rPr>
          <w:rFonts w:ascii="Calibri" w:eastAsia="Calibri" w:hAnsi="Calibri"/>
          <w:lang w:val="es-MX"/>
        </w:rPr>
        <w:t xml:space="preserve">El wiki que se elabora en este curso tratará </w:t>
      </w:r>
      <w:r w:rsidRPr="00A70770">
        <w:rPr>
          <w:rFonts w:cs="Arial"/>
          <w:bCs/>
        </w:rPr>
        <w:t>sobre movimientos sociales, redes y estrategias para la convivencia.</w:t>
      </w:r>
    </w:p>
    <w:p w14:paraId="09ACB67C" w14:textId="77777777" w:rsidR="00345767" w:rsidRPr="00F20A3C" w:rsidRDefault="00345767" w:rsidP="00345767">
      <w:pPr>
        <w:jc w:val="both"/>
        <w:rPr>
          <w:rFonts w:cs="Arial"/>
          <w:color w:val="000000" w:themeColor="text1"/>
        </w:rPr>
      </w:pPr>
      <w:r>
        <w:rPr>
          <w:rFonts w:cs="Arial"/>
          <w:b/>
          <w:bCs/>
          <w:color w:val="000000" w:themeColor="text1"/>
        </w:rPr>
        <w:t xml:space="preserve">h) Observación participante: </w:t>
      </w:r>
      <w:r w:rsidRPr="00F20A3C">
        <w:rPr>
          <w:rFonts w:eastAsia="Calibri" w:cstheme="minorHAnsi"/>
          <w:shd w:val="clear" w:color="auto" w:fill="FFFFFF"/>
        </w:rPr>
        <w:t xml:space="preserve">La observación participante es una estrategia de aprendizaje de examen reflexivo y una metodología de investigación cualitativa en la que las personas que observan </w:t>
      </w:r>
      <w:r w:rsidRPr="00F20A3C">
        <w:rPr>
          <w:rFonts w:eastAsia="Calibri" w:cstheme="minorHAnsi"/>
          <w:shd w:val="clear" w:color="auto" w:fill="FFFFFF"/>
        </w:rPr>
        <w:lastRenderedPageBreak/>
        <w:t>se involucran en las actividades del grupo, realizando dicha observación desde adentro y no desde afuera.</w:t>
      </w:r>
      <w:r>
        <w:rPr>
          <w:rFonts w:eastAsia="Calibri" w:cstheme="minorHAnsi"/>
          <w:shd w:val="clear" w:color="auto" w:fill="FFFFFF"/>
        </w:rPr>
        <w:t xml:space="preserve"> </w:t>
      </w:r>
      <w:r w:rsidRPr="00F20A3C">
        <w:rPr>
          <w:rFonts w:cs="Arial"/>
          <w:bCs/>
        </w:rPr>
        <w:t xml:space="preserve">Este ejercicio académico tratará sobre la </w:t>
      </w:r>
      <w:r>
        <w:rPr>
          <w:rFonts w:cs="Arial"/>
          <w:bCs/>
        </w:rPr>
        <w:t xml:space="preserve">observación y el análisis de la </w:t>
      </w:r>
      <w:r w:rsidRPr="00F20A3C">
        <w:rPr>
          <w:rFonts w:cs="Arial"/>
          <w:bCs/>
        </w:rPr>
        <w:t xml:space="preserve">estructura social de un grupo particular </w:t>
      </w:r>
      <w:r>
        <w:rPr>
          <w:rFonts w:cs="Arial"/>
          <w:bCs/>
        </w:rPr>
        <w:t>que la persona estudiante escoja y con el cual trabajará a lo largo de varias sesiones</w:t>
      </w:r>
      <w:r w:rsidRPr="00F20A3C">
        <w:rPr>
          <w:rFonts w:cs="Arial"/>
          <w:bCs/>
        </w:rPr>
        <w:t xml:space="preserve">. </w:t>
      </w:r>
    </w:p>
    <w:p w14:paraId="41E17B21" w14:textId="77777777" w:rsidR="00345767" w:rsidRPr="00434688" w:rsidRDefault="00345767" w:rsidP="00345767">
      <w:pPr>
        <w:jc w:val="both"/>
        <w:rPr>
          <w:rFonts w:cs="Arial"/>
          <w:color w:val="000000" w:themeColor="text1"/>
        </w:rPr>
      </w:pPr>
      <w:r w:rsidRPr="0078184C">
        <w:rPr>
          <w:rFonts w:cs="Arial"/>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023D70CA" w14:textId="77777777" w:rsidR="00345767" w:rsidRDefault="00345767" w:rsidP="00345767">
      <w:pPr>
        <w:jc w:val="both"/>
        <w:rPr>
          <w:rFonts w:cs="Arial"/>
          <w:b/>
          <w:bCs/>
          <w:color w:val="000000" w:themeColor="text1"/>
        </w:rPr>
      </w:pPr>
    </w:p>
    <w:p w14:paraId="0A1CBA05" w14:textId="77777777" w:rsidR="00345767" w:rsidRPr="00F60772" w:rsidRDefault="00345767" w:rsidP="00345767">
      <w:pPr>
        <w:jc w:val="both"/>
        <w:rPr>
          <w:rFonts w:cs="Arial"/>
          <w:color w:val="000000" w:themeColor="text1"/>
        </w:rPr>
      </w:pPr>
      <w:r w:rsidRPr="00C5032E">
        <w:rPr>
          <w:rFonts w:cs="Arial"/>
          <w:b/>
          <w:bCs/>
          <w:color w:val="000000" w:themeColor="text1"/>
        </w:rPr>
        <w:t>VII.</w:t>
      </w:r>
      <w:r>
        <w:rPr>
          <w:rFonts w:cs="Arial"/>
          <w:b/>
          <w:bCs/>
          <w:color w:val="000000" w:themeColor="text1"/>
        </w:rPr>
        <w:t xml:space="preserve"> </w:t>
      </w:r>
      <w:r w:rsidRPr="00C5032E">
        <w:rPr>
          <w:rFonts w:cs="Arial"/>
          <w:b/>
          <w:bCs/>
          <w:color w:val="000000" w:themeColor="text1"/>
        </w:rPr>
        <w:t>Recursos didácticos</w:t>
      </w:r>
      <w:r>
        <w:rPr>
          <w:rFonts w:cs="Arial"/>
          <w:b/>
          <w:bCs/>
          <w:color w:val="000000" w:themeColor="text1"/>
        </w:rPr>
        <w:t xml:space="preserve"> </w:t>
      </w:r>
    </w:p>
    <w:p w14:paraId="0B1913FC" w14:textId="77777777" w:rsidR="00345767" w:rsidRDefault="00345767" w:rsidP="00345767">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5C205D90" w14:textId="77777777" w:rsidR="00345767" w:rsidRDefault="00345767" w:rsidP="00345767">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60B242A4" w14:textId="77777777" w:rsidR="00345767" w:rsidRDefault="00345767" w:rsidP="00345767">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31B38504" w14:textId="77777777" w:rsidR="00345767" w:rsidRDefault="00345767" w:rsidP="00345767">
      <w:pPr>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4F02B275" w14:textId="77777777" w:rsidR="00345767" w:rsidRDefault="00345767" w:rsidP="00345767">
      <w:pPr>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un wiki y mediante la herramienta Big Blue </w:t>
      </w:r>
      <w:proofErr w:type="spellStart"/>
      <w:r>
        <w:rPr>
          <w:rFonts w:cstheme="minorHAnsi"/>
          <w:color w:val="000000" w:themeColor="text1"/>
          <w:lang w:val="es-ES" w:eastAsia="es-ES"/>
        </w:rPr>
        <w:t>Button</w:t>
      </w:r>
      <w:proofErr w:type="spellEnd"/>
      <w:r>
        <w:rPr>
          <w:rFonts w:cstheme="minorHAnsi"/>
          <w:color w:val="000000" w:themeColor="text1"/>
          <w:lang w:val="es-ES" w:eastAsia="es-ES"/>
        </w:rPr>
        <w:t xml:space="preserve"> en la plataforma Moodle y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a reseña crítica de lectura</w:t>
      </w:r>
      <w:r w:rsidRPr="006014C5">
        <w:rPr>
          <w:rFonts w:cstheme="minorHAnsi"/>
          <w:color w:val="000000" w:themeColor="text1"/>
          <w:lang w:val="es-ES" w:eastAsia="es-ES"/>
        </w:rPr>
        <w:t>.</w:t>
      </w:r>
    </w:p>
    <w:p w14:paraId="358521B3" w14:textId="77777777" w:rsidR="00345767" w:rsidRDefault="00345767" w:rsidP="00345767">
      <w:pPr>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w:t>
      </w:r>
      <w:r>
        <w:rPr>
          <w:rFonts w:cstheme="minorHAnsi"/>
          <w:color w:val="000000" w:themeColor="text1"/>
          <w:lang w:val="es-ES" w:eastAsia="es-ES"/>
        </w:rPr>
        <w:t xml:space="preserve"> </w:t>
      </w:r>
      <w:proofErr w:type="spellStart"/>
      <w:r w:rsidRPr="006014C5">
        <w:rPr>
          <w:rFonts w:cstheme="minorHAnsi"/>
          <w:color w:val="000000" w:themeColor="text1"/>
          <w:lang w:val="es-ES" w:eastAsia="es-ES"/>
        </w:rPr>
        <w:t>Strachan</w:t>
      </w:r>
      <w:proofErr w:type="spellEnd"/>
      <w:r w:rsidRPr="006014C5">
        <w:rPr>
          <w:rFonts w:cstheme="minorHAnsi"/>
          <w:color w:val="000000" w:themeColor="text1"/>
          <w:lang w:val="es-ES" w:eastAsia="es-ES"/>
        </w:rPr>
        <w:t xml:space="preserve"> (</w:t>
      </w:r>
      <w:hyperlink r:id="rId53" w:history="1">
        <w:r w:rsidRPr="006014C5">
          <w:rPr>
            <w:rStyle w:val="Hipervnculo"/>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54" w:history="1">
        <w:r w:rsidRPr="006014C5">
          <w:rPr>
            <w:rStyle w:val="Hipervnculo"/>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A través del correo de la biblioteca (</w:t>
      </w:r>
      <w:hyperlink r:id="rId55" w:history="1">
        <w:r w:rsidRPr="000F4298">
          <w:rPr>
            <w:rStyle w:val="Hipervnculo"/>
            <w:rFonts w:cstheme="minorHAnsi"/>
            <w:lang w:val="es-ES" w:eastAsia="es-ES"/>
          </w:rPr>
          <w:t>biblioteca@ubl.ac.cr</w:t>
        </w:r>
      </w:hyperlink>
      <w:r>
        <w:rPr>
          <w:rFonts w:cstheme="minorHAnsi"/>
          <w:color w:val="000000" w:themeColor="text1"/>
          <w:lang w:val="es-ES" w:eastAsia="es-ES"/>
        </w:rPr>
        <w:t xml:space="preserve">) puede solicitar recursos que se encuentren en la colección física. </w:t>
      </w:r>
    </w:p>
    <w:p w14:paraId="4F6A98C8" w14:textId="69100976" w:rsidR="00345767" w:rsidRPr="00AF0594" w:rsidRDefault="00345767" w:rsidP="00345767">
      <w:pPr>
        <w:jc w:val="both"/>
        <w:rPr>
          <w:rFonts w:cstheme="minorHAnsi"/>
          <w:color w:val="000000" w:themeColor="text1"/>
          <w:lang w:val="es-ES" w:eastAsia="es-ES"/>
        </w:rPr>
      </w:pPr>
      <w:r>
        <w:rPr>
          <w:rFonts w:cstheme="minorHAnsi"/>
          <w:color w:val="000000" w:themeColor="text1"/>
          <w:lang w:val="es-ES" w:eastAsia="es-ES"/>
        </w:rPr>
        <w:t>f</w:t>
      </w:r>
      <w:r w:rsidRPr="00AF0594">
        <w:rPr>
          <w:rFonts w:cstheme="minorHAnsi"/>
          <w:color w:val="000000" w:themeColor="text1"/>
          <w:lang w:val="es-ES" w:eastAsia="es-ES"/>
        </w:rPr>
        <w:t>)</w:t>
      </w:r>
      <w:r>
        <w:rPr>
          <w:rFonts w:cstheme="minorHAnsi"/>
          <w:color w:val="000000" w:themeColor="text1"/>
          <w:lang w:val="es-ES" w:eastAsia="es-ES"/>
        </w:rPr>
        <w:t xml:space="preserve"> </w:t>
      </w:r>
      <w:r w:rsidRPr="00AF0594">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cstheme="minorHAnsi"/>
          <w:bCs/>
        </w:rPr>
        <w:t>Bachillerato en Ciencias Bíblicas</w:t>
      </w:r>
      <w:r w:rsidRPr="00AF0594">
        <w:rPr>
          <w:rFonts w:cstheme="minorHAnsi"/>
          <w:bCs/>
        </w:rPr>
        <w:t xml:space="preserve">. Dicho espacio está disponible para todas las personas registradas en el campus virtual y se puede acceder a través del siguiente enlace: </w:t>
      </w:r>
      <w:hyperlink r:id="rId56" w:history="1">
        <w:r w:rsidRPr="00AF0594">
          <w:rPr>
            <w:rStyle w:val="Hipervnculo"/>
            <w:rFonts w:cstheme="minorHAnsi"/>
            <w:bCs/>
          </w:rPr>
          <w:t>https://campus.ubl.ac.cr/course/index.php?categoryid=186</w:t>
        </w:r>
      </w:hyperlink>
    </w:p>
    <w:p w14:paraId="477418CE" w14:textId="77777777" w:rsidR="00345767" w:rsidRDefault="00345767" w:rsidP="00345767">
      <w:pPr>
        <w:rPr>
          <w:rFonts w:cstheme="minorHAnsi"/>
          <w:color w:val="000000" w:themeColor="text1"/>
          <w:lang w:val="es-ES" w:eastAsia="es-ES"/>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4BE8831B" w14:textId="77777777" w:rsidR="00345767" w:rsidRDefault="00345767" w:rsidP="00345767">
      <w:pPr>
        <w:rPr>
          <w:rFonts w:cstheme="minorHAnsi"/>
          <w:color w:val="000000" w:themeColor="text1"/>
          <w:lang w:val="es-ES" w:eastAsia="es-ES"/>
        </w:rPr>
      </w:pPr>
    </w:p>
    <w:p w14:paraId="31FA8EB5" w14:textId="77777777" w:rsidR="00345767" w:rsidRPr="003F2D69" w:rsidRDefault="00345767" w:rsidP="00345767">
      <w:pPr>
        <w:rPr>
          <w:rFonts w:cs="Arial"/>
          <w:b/>
          <w:color w:val="000000" w:themeColor="text1"/>
        </w:rPr>
      </w:pPr>
      <w:r w:rsidRPr="003F2D69">
        <w:rPr>
          <w:rFonts w:cs="Arial"/>
          <w:b/>
          <w:color w:val="000000" w:themeColor="text1"/>
        </w:rPr>
        <w:lastRenderedPageBreak/>
        <w:t>VIII. Cronograma</w:t>
      </w:r>
    </w:p>
    <w:p w14:paraId="74417ECE" w14:textId="77777777" w:rsidR="00345767" w:rsidRPr="003F2D69" w:rsidRDefault="00345767" w:rsidP="00345767">
      <w:pPr>
        <w:rPr>
          <w:rFonts w:cs="Arial"/>
          <w:color w:val="000000" w:themeColor="text1"/>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552"/>
        <w:gridCol w:w="2835"/>
        <w:gridCol w:w="2976"/>
      </w:tblGrid>
      <w:tr w:rsidR="00345767" w:rsidRPr="0095338B" w14:paraId="01EF9A2A" w14:textId="77777777" w:rsidTr="00104785">
        <w:trPr>
          <w:trHeight w:val="447"/>
          <w:jc w:val="center"/>
        </w:trPr>
        <w:tc>
          <w:tcPr>
            <w:tcW w:w="1271" w:type="dxa"/>
            <w:vMerge w:val="restart"/>
            <w:vAlign w:val="center"/>
          </w:tcPr>
          <w:p w14:paraId="0FAAA8DD" w14:textId="77777777" w:rsidR="00345767" w:rsidRPr="00064965" w:rsidRDefault="00345767" w:rsidP="00104785">
            <w:pPr>
              <w:jc w:val="center"/>
              <w:rPr>
                <w:rFonts w:cs="Arial"/>
                <w:b/>
                <w:color w:val="000000" w:themeColor="text1"/>
                <w:szCs w:val="24"/>
              </w:rPr>
            </w:pPr>
            <w:r w:rsidRPr="00064965">
              <w:rPr>
                <w:rFonts w:cs="Arial"/>
                <w:b/>
                <w:color w:val="000000" w:themeColor="text1"/>
                <w:szCs w:val="24"/>
              </w:rPr>
              <w:t>Sesión</w:t>
            </w:r>
          </w:p>
          <w:p w14:paraId="211CDBDC" w14:textId="77777777" w:rsidR="00345767" w:rsidRPr="00064965" w:rsidRDefault="00345767" w:rsidP="00104785">
            <w:pPr>
              <w:jc w:val="center"/>
              <w:rPr>
                <w:rFonts w:cs="Arial"/>
                <w:b/>
                <w:color w:val="000000" w:themeColor="text1"/>
                <w:sz w:val="16"/>
                <w:szCs w:val="16"/>
              </w:rPr>
            </w:pPr>
            <w:r w:rsidRPr="00064965">
              <w:rPr>
                <w:rFonts w:cs="Arial"/>
                <w:b/>
                <w:color w:val="000000" w:themeColor="text1"/>
                <w:szCs w:val="24"/>
              </w:rPr>
              <w:t>(semana)</w:t>
            </w:r>
          </w:p>
        </w:tc>
        <w:tc>
          <w:tcPr>
            <w:tcW w:w="2552" w:type="dxa"/>
            <w:vMerge w:val="restart"/>
            <w:vAlign w:val="center"/>
          </w:tcPr>
          <w:p w14:paraId="6B2B5BE3" w14:textId="77777777" w:rsidR="00345767" w:rsidRPr="00064965" w:rsidRDefault="00345767" w:rsidP="00104785">
            <w:pPr>
              <w:jc w:val="center"/>
              <w:rPr>
                <w:rFonts w:cs="Arial"/>
                <w:b/>
                <w:szCs w:val="24"/>
              </w:rPr>
            </w:pPr>
            <w:r w:rsidRPr="00064965">
              <w:rPr>
                <w:rFonts w:cs="Arial"/>
                <w:b/>
                <w:szCs w:val="24"/>
              </w:rPr>
              <w:t>Contenidos temáticos</w:t>
            </w:r>
          </w:p>
        </w:tc>
        <w:tc>
          <w:tcPr>
            <w:tcW w:w="5811" w:type="dxa"/>
            <w:gridSpan w:val="2"/>
            <w:vAlign w:val="center"/>
          </w:tcPr>
          <w:p w14:paraId="797112EA" w14:textId="77777777" w:rsidR="00345767" w:rsidRPr="00064965" w:rsidRDefault="00345767" w:rsidP="00104785">
            <w:pPr>
              <w:jc w:val="center"/>
              <w:rPr>
                <w:rFonts w:cs="Arial"/>
                <w:b/>
                <w:color w:val="000000" w:themeColor="text1"/>
                <w:szCs w:val="24"/>
              </w:rPr>
            </w:pPr>
            <w:r w:rsidRPr="00064965">
              <w:rPr>
                <w:rFonts w:cs="Arial"/>
                <w:b/>
                <w:color w:val="000000" w:themeColor="text1"/>
                <w:szCs w:val="24"/>
              </w:rPr>
              <w:t>Actividades de enseñanza-aprendizaje</w:t>
            </w:r>
          </w:p>
        </w:tc>
      </w:tr>
      <w:tr w:rsidR="00345767" w:rsidRPr="0095338B" w14:paraId="2258791D" w14:textId="77777777" w:rsidTr="00104785">
        <w:trPr>
          <w:trHeight w:val="422"/>
          <w:jc w:val="center"/>
        </w:trPr>
        <w:tc>
          <w:tcPr>
            <w:tcW w:w="1271" w:type="dxa"/>
            <w:vMerge/>
          </w:tcPr>
          <w:p w14:paraId="5FF9FA2C" w14:textId="77777777" w:rsidR="00345767" w:rsidRPr="00064965" w:rsidRDefault="00345767" w:rsidP="00104785">
            <w:pPr>
              <w:jc w:val="center"/>
              <w:rPr>
                <w:rFonts w:cs="Arial"/>
                <w:b/>
                <w:color w:val="000000" w:themeColor="text1"/>
              </w:rPr>
            </w:pPr>
          </w:p>
        </w:tc>
        <w:tc>
          <w:tcPr>
            <w:tcW w:w="2552" w:type="dxa"/>
            <w:vMerge/>
          </w:tcPr>
          <w:p w14:paraId="13FF5DAE" w14:textId="77777777" w:rsidR="00345767" w:rsidRPr="00064965" w:rsidRDefault="00345767" w:rsidP="00104785">
            <w:pPr>
              <w:jc w:val="center"/>
              <w:rPr>
                <w:rFonts w:cs="Arial"/>
                <w:b/>
              </w:rPr>
            </w:pPr>
          </w:p>
        </w:tc>
        <w:tc>
          <w:tcPr>
            <w:tcW w:w="2835" w:type="dxa"/>
            <w:vAlign w:val="center"/>
          </w:tcPr>
          <w:p w14:paraId="46B991B6" w14:textId="77777777" w:rsidR="00345767" w:rsidRPr="00064965" w:rsidRDefault="00345767" w:rsidP="00104785">
            <w:pPr>
              <w:jc w:val="center"/>
              <w:rPr>
                <w:rFonts w:cs="Arial"/>
                <w:b/>
                <w:color w:val="000000" w:themeColor="text1"/>
                <w:szCs w:val="24"/>
              </w:rPr>
            </w:pPr>
            <w:r w:rsidRPr="00064965">
              <w:rPr>
                <w:rFonts w:cs="Arial"/>
                <w:b/>
                <w:color w:val="000000" w:themeColor="text1"/>
                <w:szCs w:val="24"/>
              </w:rPr>
              <w:t>Recursos didácticos</w:t>
            </w:r>
          </w:p>
        </w:tc>
        <w:tc>
          <w:tcPr>
            <w:tcW w:w="2976" w:type="dxa"/>
            <w:vAlign w:val="center"/>
          </w:tcPr>
          <w:p w14:paraId="5817C11E" w14:textId="77777777" w:rsidR="00345767" w:rsidRPr="00064965" w:rsidRDefault="00345767" w:rsidP="00104785">
            <w:pPr>
              <w:jc w:val="center"/>
              <w:rPr>
                <w:rFonts w:cs="Arial"/>
                <w:b/>
                <w:color w:val="000000" w:themeColor="text1"/>
                <w:szCs w:val="24"/>
              </w:rPr>
            </w:pPr>
            <w:r w:rsidRPr="00064965">
              <w:rPr>
                <w:rFonts w:cs="Arial"/>
                <w:b/>
                <w:color w:val="000000" w:themeColor="text1"/>
                <w:szCs w:val="24"/>
              </w:rPr>
              <w:t>Actividades de aprendizaje</w:t>
            </w:r>
          </w:p>
        </w:tc>
      </w:tr>
      <w:tr w:rsidR="00345767" w:rsidRPr="0095338B" w14:paraId="3D2D8A9D" w14:textId="77777777" w:rsidTr="00104785">
        <w:trPr>
          <w:trHeight w:val="1198"/>
          <w:jc w:val="center"/>
        </w:trPr>
        <w:tc>
          <w:tcPr>
            <w:tcW w:w="1271" w:type="dxa"/>
          </w:tcPr>
          <w:p w14:paraId="372AFF83" w14:textId="77777777" w:rsidR="00345767" w:rsidRPr="00064965" w:rsidRDefault="00345767" w:rsidP="00104785">
            <w:pPr>
              <w:jc w:val="center"/>
              <w:rPr>
                <w:rFonts w:cs="Arial"/>
                <w:color w:val="000000" w:themeColor="text1"/>
              </w:rPr>
            </w:pPr>
          </w:p>
          <w:p w14:paraId="0799245A" w14:textId="77777777" w:rsidR="00345767" w:rsidRPr="00064965" w:rsidRDefault="00345767" w:rsidP="00104785">
            <w:pPr>
              <w:jc w:val="center"/>
              <w:rPr>
                <w:rFonts w:cs="Arial"/>
                <w:color w:val="000000" w:themeColor="text1"/>
              </w:rPr>
            </w:pPr>
            <w:r w:rsidRPr="00064965">
              <w:rPr>
                <w:rFonts w:cs="Arial"/>
                <w:color w:val="000000" w:themeColor="text1"/>
              </w:rPr>
              <w:t>1</w:t>
            </w:r>
          </w:p>
          <w:p w14:paraId="1914496B" w14:textId="77777777" w:rsidR="00345767" w:rsidRPr="00064965" w:rsidRDefault="00345767" w:rsidP="00104785">
            <w:pPr>
              <w:jc w:val="center"/>
              <w:rPr>
                <w:rFonts w:cs="Arial"/>
                <w:color w:val="FF0000"/>
              </w:rPr>
            </w:pPr>
          </w:p>
        </w:tc>
        <w:tc>
          <w:tcPr>
            <w:tcW w:w="2552" w:type="dxa"/>
          </w:tcPr>
          <w:p w14:paraId="3A51549B"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1: Introducción al curso y discusión del sílabo</w:t>
            </w:r>
          </w:p>
          <w:p w14:paraId="5D2783C4" w14:textId="77777777" w:rsidR="00345767" w:rsidRPr="00064965" w:rsidRDefault="00345767" w:rsidP="00104785">
            <w:pPr>
              <w:pStyle w:val="Normalcontenido"/>
              <w:ind w:left="0" w:firstLine="0"/>
              <w:rPr>
                <w:rFonts w:asciiTheme="minorHAnsi" w:hAnsiTheme="minorHAnsi" w:cs="Arial"/>
                <w:sz w:val="22"/>
                <w:szCs w:val="22"/>
              </w:rPr>
            </w:pPr>
          </w:p>
          <w:p w14:paraId="4FF6DEA7"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1.1 Definiciones de conceptos</w:t>
            </w:r>
          </w:p>
          <w:p w14:paraId="4CC88E73" w14:textId="77777777" w:rsidR="00345767" w:rsidRPr="00064965" w:rsidRDefault="00345767" w:rsidP="00104785">
            <w:pPr>
              <w:pStyle w:val="Normalcontenido"/>
              <w:ind w:left="0" w:firstLine="0"/>
              <w:rPr>
                <w:rFonts w:asciiTheme="minorHAnsi" w:hAnsiTheme="minorHAnsi" w:cs="Arial"/>
                <w:sz w:val="22"/>
                <w:szCs w:val="22"/>
              </w:rPr>
            </w:pPr>
          </w:p>
          <w:p w14:paraId="450DAD31"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1.2 Explicación metodológica</w:t>
            </w:r>
          </w:p>
          <w:p w14:paraId="38B9FB5B" w14:textId="77777777" w:rsidR="00345767" w:rsidRPr="00064965" w:rsidRDefault="00345767" w:rsidP="00104785">
            <w:pPr>
              <w:pStyle w:val="Normalcontenido"/>
              <w:ind w:left="0" w:firstLine="0"/>
              <w:rPr>
                <w:rFonts w:asciiTheme="minorHAnsi" w:hAnsiTheme="minorHAnsi" w:cs="Arial"/>
                <w:sz w:val="22"/>
                <w:szCs w:val="22"/>
              </w:rPr>
            </w:pPr>
          </w:p>
          <w:p w14:paraId="51ECA1A2"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1.3 Introducción a la sociología</w:t>
            </w:r>
          </w:p>
          <w:p w14:paraId="7E0199F1" w14:textId="77777777" w:rsidR="00345767" w:rsidRPr="00064965" w:rsidRDefault="00345767" w:rsidP="00104785">
            <w:pPr>
              <w:pStyle w:val="Normalcontenido"/>
              <w:ind w:left="0" w:firstLine="0"/>
              <w:rPr>
                <w:rFonts w:asciiTheme="minorHAnsi" w:hAnsiTheme="minorHAnsi" w:cs="Arial"/>
                <w:sz w:val="22"/>
                <w:szCs w:val="22"/>
              </w:rPr>
            </w:pPr>
          </w:p>
        </w:tc>
        <w:tc>
          <w:tcPr>
            <w:tcW w:w="2835" w:type="dxa"/>
          </w:tcPr>
          <w:p w14:paraId="1E7BA771" w14:textId="77777777" w:rsidR="00345767" w:rsidRDefault="00345767" w:rsidP="00104785">
            <w:pPr>
              <w:ind w:right="35"/>
              <w:rPr>
                <w:rFonts w:cs="Arial"/>
                <w:color w:val="0070C0"/>
              </w:rPr>
            </w:pPr>
            <w:r>
              <w:rPr>
                <w:rFonts w:cs="Arial"/>
                <w:color w:val="0070C0"/>
              </w:rPr>
              <w:t>Ruta de aprendizaje</w:t>
            </w:r>
          </w:p>
          <w:p w14:paraId="08D35B51" w14:textId="77777777" w:rsidR="00345767" w:rsidRDefault="00345767" w:rsidP="00104785">
            <w:pPr>
              <w:ind w:right="35"/>
              <w:rPr>
                <w:rFonts w:cs="Arial"/>
                <w:color w:val="0070C0"/>
              </w:rPr>
            </w:pPr>
          </w:p>
          <w:p w14:paraId="2F62EDEC" w14:textId="77777777" w:rsidR="00345767" w:rsidRDefault="00345767" w:rsidP="00104785">
            <w:pPr>
              <w:ind w:right="35"/>
              <w:rPr>
                <w:rFonts w:cstheme="minorHAnsi"/>
                <w:b/>
                <w:bCs/>
                <w:color w:val="0070C0"/>
                <w:lang w:val="es-ES"/>
              </w:rPr>
            </w:pPr>
            <w:r w:rsidRPr="000026CB">
              <w:rPr>
                <w:rFonts w:cstheme="minorHAnsi"/>
                <w:b/>
                <w:bCs/>
                <w:color w:val="0070C0"/>
                <w:lang w:val="es-ES"/>
              </w:rPr>
              <w:t>Material complementario</w:t>
            </w:r>
          </w:p>
          <w:p w14:paraId="014E32C2" w14:textId="77777777" w:rsidR="00345767" w:rsidRDefault="00345767" w:rsidP="00104785">
            <w:pPr>
              <w:ind w:right="35"/>
              <w:rPr>
                <w:rFonts w:cstheme="minorHAnsi"/>
                <w:color w:val="0070C0"/>
                <w:lang w:val="es-ES"/>
              </w:rPr>
            </w:pPr>
            <w:r>
              <w:rPr>
                <w:rFonts w:cstheme="minorHAnsi"/>
                <w:color w:val="0070C0"/>
                <w:lang w:val="es-ES"/>
              </w:rPr>
              <w:t>Guía para la participación en un foro en la plataforma Moodle</w:t>
            </w:r>
          </w:p>
          <w:p w14:paraId="2FFDDC8C" w14:textId="77777777" w:rsidR="00345767" w:rsidRPr="00FD0D98" w:rsidRDefault="00345767" w:rsidP="00104785">
            <w:pPr>
              <w:ind w:right="35"/>
              <w:rPr>
                <w:rFonts w:cs="Arial"/>
                <w:color w:val="0070C0"/>
              </w:rPr>
            </w:pPr>
            <w:r>
              <w:rPr>
                <w:rFonts w:cstheme="minorHAnsi"/>
                <w:color w:val="0070C0"/>
                <w:lang w:val="es-ES"/>
              </w:rPr>
              <w:t xml:space="preserve">Guía para la participación mediante la herramienta Big Blue </w:t>
            </w:r>
            <w:proofErr w:type="spellStart"/>
            <w:r>
              <w:rPr>
                <w:rFonts w:cstheme="minorHAnsi"/>
                <w:color w:val="0070C0"/>
                <w:lang w:val="es-ES"/>
              </w:rPr>
              <w:t>Button</w:t>
            </w:r>
            <w:proofErr w:type="spellEnd"/>
            <w:r>
              <w:rPr>
                <w:rFonts w:cstheme="minorHAnsi"/>
                <w:color w:val="0070C0"/>
                <w:lang w:val="es-ES"/>
              </w:rPr>
              <w:t xml:space="preserve"> en la plataforma Moodle</w:t>
            </w:r>
          </w:p>
        </w:tc>
        <w:tc>
          <w:tcPr>
            <w:tcW w:w="2976" w:type="dxa"/>
          </w:tcPr>
          <w:p w14:paraId="3902B6CF" w14:textId="77777777" w:rsidR="00345767" w:rsidRPr="00064965" w:rsidRDefault="00345767" w:rsidP="00104785">
            <w:pPr>
              <w:pStyle w:val="Prrafodelista"/>
              <w:widowControl w:val="0"/>
              <w:numPr>
                <w:ilvl w:val="0"/>
                <w:numId w:val="24"/>
              </w:numPr>
              <w:overflowPunct w:val="0"/>
              <w:autoSpaceDE w:val="0"/>
              <w:autoSpaceDN w:val="0"/>
              <w:adjustRightInd w:val="0"/>
              <w:spacing w:after="0" w:line="240" w:lineRule="auto"/>
              <w:ind w:left="314" w:right="35"/>
              <w:rPr>
                <w:rFonts w:asciiTheme="minorHAnsi" w:hAnsiTheme="minorHAnsi" w:cs="Arial"/>
              </w:rPr>
            </w:pPr>
            <w:r w:rsidRPr="00064965">
              <w:rPr>
                <w:rFonts w:asciiTheme="minorHAnsi" w:hAnsiTheme="minorHAnsi" w:cs="Arial"/>
              </w:rPr>
              <w:t>Participación en el foro social CAFETERÍA.</w:t>
            </w:r>
          </w:p>
          <w:p w14:paraId="382C0146" w14:textId="77777777" w:rsidR="00345767" w:rsidRPr="00064965" w:rsidRDefault="00345767" w:rsidP="00104785">
            <w:pPr>
              <w:pStyle w:val="Prrafodelista"/>
              <w:widowControl w:val="0"/>
              <w:numPr>
                <w:ilvl w:val="0"/>
                <w:numId w:val="24"/>
              </w:numPr>
              <w:overflowPunct w:val="0"/>
              <w:autoSpaceDE w:val="0"/>
              <w:autoSpaceDN w:val="0"/>
              <w:adjustRightInd w:val="0"/>
              <w:spacing w:after="0" w:line="240" w:lineRule="auto"/>
              <w:ind w:left="314" w:right="35"/>
              <w:rPr>
                <w:rFonts w:asciiTheme="minorHAnsi" w:hAnsiTheme="minorHAnsi" w:cs="Arial"/>
              </w:rPr>
            </w:pPr>
            <w:r w:rsidRPr="00064965">
              <w:rPr>
                <w:rFonts w:asciiTheme="minorHAnsi" w:hAnsiTheme="minorHAnsi" w:cs="Arial"/>
              </w:rPr>
              <w:t xml:space="preserve">Participación en el foro de dudas. </w:t>
            </w:r>
          </w:p>
          <w:p w14:paraId="0B39A2F7" w14:textId="77777777" w:rsidR="00345767" w:rsidRPr="00064965" w:rsidRDefault="00345767" w:rsidP="00104785">
            <w:pPr>
              <w:pStyle w:val="Prrafodelista"/>
              <w:widowControl w:val="0"/>
              <w:numPr>
                <w:ilvl w:val="0"/>
                <w:numId w:val="24"/>
              </w:numPr>
              <w:overflowPunct w:val="0"/>
              <w:autoSpaceDE w:val="0"/>
              <w:autoSpaceDN w:val="0"/>
              <w:adjustRightInd w:val="0"/>
              <w:spacing w:after="0" w:line="240" w:lineRule="auto"/>
              <w:ind w:left="314" w:right="35"/>
              <w:rPr>
                <w:rFonts w:asciiTheme="minorHAnsi" w:hAnsiTheme="minorHAnsi" w:cs="Arial"/>
              </w:rPr>
            </w:pPr>
            <w:r w:rsidRPr="00064965">
              <w:rPr>
                <w:rFonts w:asciiTheme="minorHAnsi" w:hAnsiTheme="minorHAnsi" w:cs="Arial"/>
              </w:rPr>
              <w:t xml:space="preserve">Presentación del curso y exposición docente en un encuentro sincrónico virtual. </w:t>
            </w:r>
          </w:p>
        </w:tc>
      </w:tr>
      <w:tr w:rsidR="00345767" w:rsidRPr="0095338B" w14:paraId="37A8FAAB" w14:textId="77777777" w:rsidTr="00104785">
        <w:trPr>
          <w:jc w:val="center"/>
        </w:trPr>
        <w:tc>
          <w:tcPr>
            <w:tcW w:w="1271" w:type="dxa"/>
          </w:tcPr>
          <w:p w14:paraId="172B7B4F" w14:textId="77777777" w:rsidR="00345767" w:rsidRPr="00064965" w:rsidRDefault="00345767" w:rsidP="00104785">
            <w:pPr>
              <w:jc w:val="center"/>
              <w:rPr>
                <w:rFonts w:cs="Arial"/>
                <w:color w:val="000000" w:themeColor="text1"/>
              </w:rPr>
            </w:pPr>
          </w:p>
          <w:p w14:paraId="7A264A1B" w14:textId="77777777" w:rsidR="00345767" w:rsidRPr="00064965" w:rsidRDefault="00345767" w:rsidP="00104785">
            <w:pPr>
              <w:jc w:val="center"/>
              <w:rPr>
                <w:rFonts w:cs="Arial"/>
                <w:color w:val="000000" w:themeColor="text1"/>
              </w:rPr>
            </w:pPr>
            <w:r w:rsidRPr="00064965">
              <w:rPr>
                <w:rFonts w:cs="Arial"/>
                <w:color w:val="000000" w:themeColor="text1"/>
              </w:rPr>
              <w:t>2</w:t>
            </w:r>
          </w:p>
          <w:p w14:paraId="29F5E7CB" w14:textId="77777777" w:rsidR="00345767" w:rsidRPr="00064965" w:rsidRDefault="00345767" w:rsidP="00104785">
            <w:pPr>
              <w:jc w:val="center"/>
              <w:rPr>
                <w:rFonts w:cs="Arial"/>
                <w:color w:val="FF0000"/>
              </w:rPr>
            </w:pPr>
          </w:p>
        </w:tc>
        <w:tc>
          <w:tcPr>
            <w:tcW w:w="2552" w:type="dxa"/>
          </w:tcPr>
          <w:p w14:paraId="59CA257F"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2: ¿Qué es la Sociología?</w:t>
            </w:r>
          </w:p>
          <w:p w14:paraId="3B0D4F4E" w14:textId="77777777" w:rsidR="00345767" w:rsidRPr="00064965" w:rsidRDefault="00345767" w:rsidP="00104785">
            <w:pPr>
              <w:pStyle w:val="Normalcontenido"/>
              <w:ind w:left="0" w:firstLine="0"/>
              <w:rPr>
                <w:rFonts w:asciiTheme="minorHAnsi" w:hAnsiTheme="minorHAnsi" w:cs="Arial"/>
                <w:sz w:val="22"/>
                <w:szCs w:val="22"/>
              </w:rPr>
            </w:pPr>
          </w:p>
          <w:p w14:paraId="08A838D5"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2.1 Definición y surgimiento de la sociología</w:t>
            </w:r>
          </w:p>
          <w:p w14:paraId="38990085" w14:textId="77777777" w:rsidR="00345767" w:rsidRPr="00064965" w:rsidRDefault="00345767" w:rsidP="00104785">
            <w:pPr>
              <w:pStyle w:val="Normalcontenido"/>
              <w:ind w:left="0" w:firstLine="0"/>
              <w:rPr>
                <w:rFonts w:asciiTheme="minorHAnsi" w:hAnsiTheme="minorHAnsi" w:cs="Arial"/>
                <w:sz w:val="22"/>
                <w:szCs w:val="22"/>
              </w:rPr>
            </w:pPr>
          </w:p>
          <w:p w14:paraId="60B5D08C"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2.2 Concepto y objeto de la sociología</w:t>
            </w:r>
          </w:p>
          <w:p w14:paraId="3A0E69B8" w14:textId="77777777" w:rsidR="00345767" w:rsidRPr="00064965" w:rsidRDefault="00345767" w:rsidP="00104785">
            <w:pPr>
              <w:pStyle w:val="Normalcontenido"/>
              <w:ind w:left="0" w:firstLine="0"/>
              <w:rPr>
                <w:rFonts w:asciiTheme="minorHAnsi" w:hAnsiTheme="minorHAnsi" w:cs="Arial"/>
                <w:sz w:val="22"/>
                <w:szCs w:val="22"/>
              </w:rPr>
            </w:pPr>
          </w:p>
          <w:p w14:paraId="55FA9009" w14:textId="77777777" w:rsidR="00345767" w:rsidRPr="00064965" w:rsidRDefault="00345767" w:rsidP="00104785">
            <w:pPr>
              <w:pStyle w:val="Normalcontenido"/>
              <w:ind w:left="0" w:firstLine="0"/>
              <w:rPr>
                <w:rFonts w:asciiTheme="minorHAnsi" w:hAnsiTheme="minorHAnsi" w:cs="Arial"/>
                <w:sz w:val="22"/>
                <w:szCs w:val="22"/>
              </w:rPr>
            </w:pPr>
          </w:p>
        </w:tc>
        <w:tc>
          <w:tcPr>
            <w:tcW w:w="2835" w:type="dxa"/>
          </w:tcPr>
          <w:p w14:paraId="08747B18" w14:textId="77777777" w:rsidR="00345767" w:rsidRPr="0076384B" w:rsidRDefault="00345767" w:rsidP="00104785">
            <w:pPr>
              <w:rPr>
                <w:rFonts w:cstheme="minorHAnsi"/>
              </w:rPr>
            </w:pPr>
            <w:r>
              <w:rPr>
                <w:rFonts w:cs="Arial"/>
                <w:color w:val="0070C0"/>
              </w:rPr>
              <w:t>Ruta de aprendizaje</w:t>
            </w:r>
          </w:p>
          <w:p w14:paraId="77A308AE" w14:textId="77777777" w:rsidR="00345767" w:rsidRPr="00064965" w:rsidRDefault="00345767" w:rsidP="00104785">
            <w:pPr>
              <w:rPr>
                <w:rFonts w:cstheme="minorHAnsi"/>
                <w:lang w:val="es-ES"/>
              </w:rPr>
            </w:pPr>
            <w:r w:rsidRPr="0076384B">
              <w:rPr>
                <w:rFonts w:cstheme="minorHAnsi"/>
              </w:rPr>
              <w:t xml:space="preserve">Giddens, Anthony y Philip Sutton. </w:t>
            </w:r>
            <w:r w:rsidRPr="00064965">
              <w:rPr>
                <w:rFonts w:cstheme="minorHAnsi"/>
              </w:rPr>
              <w:t>“¿Qué es la sociología?”</w:t>
            </w:r>
            <w:r w:rsidRPr="00064965">
              <w:rPr>
                <w:rFonts w:cstheme="minorHAnsi"/>
                <w:color w:val="FF0000"/>
              </w:rPr>
              <w:t xml:space="preserve"> </w:t>
            </w:r>
            <w:r w:rsidRPr="00064965">
              <w:rPr>
                <w:rFonts w:cstheme="minorHAnsi"/>
                <w:lang w:val="es-ES"/>
              </w:rPr>
              <w:t xml:space="preserve">En </w:t>
            </w:r>
            <w:r w:rsidRPr="00064965">
              <w:rPr>
                <w:rFonts w:cstheme="minorHAnsi"/>
                <w:i/>
                <w:lang w:val="es-ES"/>
              </w:rPr>
              <w:t>Sociología</w:t>
            </w:r>
            <w:r w:rsidRPr="00064965">
              <w:rPr>
                <w:rFonts w:cstheme="minorHAnsi"/>
                <w:lang w:val="es-ES"/>
              </w:rPr>
              <w:t>, 27-56.</w:t>
            </w:r>
            <w:r w:rsidRPr="00064965">
              <w:rPr>
                <w:rFonts w:cstheme="minorHAnsi"/>
                <w:color w:val="FF0000"/>
                <w:lang w:val="es-ES"/>
              </w:rPr>
              <w:t xml:space="preserve"> </w:t>
            </w:r>
            <w:r w:rsidRPr="00064965">
              <w:rPr>
                <w:rFonts w:cstheme="minorHAnsi"/>
                <w:lang w:val="es-ES"/>
              </w:rPr>
              <w:t xml:space="preserve">Madrid: Alianza Editorial, 2017. </w:t>
            </w:r>
            <w:r>
              <w:rPr>
                <w:rFonts w:cstheme="minorHAnsi"/>
              </w:rPr>
              <w:t>(</w:t>
            </w:r>
            <w:r w:rsidRPr="00E959B7">
              <w:rPr>
                <w:rFonts w:cstheme="minorHAnsi"/>
                <w:color w:val="0070C0"/>
              </w:rPr>
              <w:t>clásico, última edición</w:t>
            </w:r>
            <w:r>
              <w:rPr>
                <w:rFonts w:cstheme="minorHAnsi"/>
                <w:color w:val="0070C0"/>
              </w:rPr>
              <w:t xml:space="preserve"> 2022</w:t>
            </w:r>
            <w:r>
              <w:rPr>
                <w:rFonts w:cstheme="minorHAnsi"/>
              </w:rPr>
              <w:t>).</w:t>
            </w:r>
          </w:p>
          <w:p w14:paraId="4490E78F" w14:textId="77777777" w:rsidR="00345767" w:rsidRDefault="00345767" w:rsidP="00104785">
            <w:pPr>
              <w:rPr>
                <w:rFonts w:cs="Arial"/>
                <w:color w:val="000000" w:themeColor="text1"/>
              </w:rPr>
            </w:pPr>
          </w:p>
          <w:p w14:paraId="0610259B" w14:textId="77777777" w:rsidR="00345767" w:rsidRDefault="00345767" w:rsidP="00104785">
            <w:pPr>
              <w:rPr>
                <w:rFonts w:cstheme="minorHAnsi"/>
                <w:b/>
                <w:bCs/>
                <w:color w:val="0070C0"/>
                <w:lang w:val="es-ES"/>
              </w:rPr>
            </w:pPr>
            <w:r w:rsidRPr="000026CB">
              <w:rPr>
                <w:rFonts w:cstheme="minorHAnsi"/>
                <w:b/>
                <w:bCs/>
                <w:color w:val="0070C0"/>
                <w:lang w:val="es-ES"/>
              </w:rPr>
              <w:t>Material complementario</w:t>
            </w:r>
          </w:p>
          <w:p w14:paraId="347F57D1" w14:textId="77777777" w:rsidR="00345767" w:rsidRPr="00064965" w:rsidRDefault="00345767" w:rsidP="00104785">
            <w:pPr>
              <w:rPr>
                <w:rFonts w:cs="Arial"/>
                <w:color w:val="000000" w:themeColor="text1"/>
              </w:rPr>
            </w:pPr>
            <w:r>
              <w:rPr>
                <w:rFonts w:cstheme="minorHAnsi"/>
                <w:color w:val="0070C0"/>
                <w:lang w:val="es-ES"/>
              </w:rPr>
              <w:t>Guía para la elaboración de una reseña crítica de lectura</w:t>
            </w:r>
            <w:r w:rsidRPr="00064965">
              <w:rPr>
                <w:rFonts w:cs="Arial"/>
                <w:color w:val="000000" w:themeColor="text1"/>
              </w:rPr>
              <w:t xml:space="preserve">  </w:t>
            </w:r>
          </w:p>
          <w:p w14:paraId="1458C2B9" w14:textId="77777777" w:rsidR="00345767" w:rsidRPr="00064965" w:rsidRDefault="00345767" w:rsidP="00104785">
            <w:pPr>
              <w:rPr>
                <w:rFonts w:cs="Arial"/>
                <w:color w:val="000000" w:themeColor="text1"/>
              </w:rPr>
            </w:pPr>
          </w:p>
        </w:tc>
        <w:tc>
          <w:tcPr>
            <w:tcW w:w="2976" w:type="dxa"/>
          </w:tcPr>
          <w:p w14:paraId="2C32E5DC" w14:textId="77777777" w:rsidR="00345767" w:rsidRPr="00064965" w:rsidRDefault="00345767" w:rsidP="00104785">
            <w:pPr>
              <w:pStyle w:val="Prrafodelista"/>
              <w:widowControl w:val="0"/>
              <w:numPr>
                <w:ilvl w:val="0"/>
                <w:numId w:val="25"/>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Elaboración de una reseña crítica de la lectura.</w:t>
            </w:r>
          </w:p>
        </w:tc>
      </w:tr>
      <w:tr w:rsidR="00345767" w:rsidRPr="0095338B" w14:paraId="4530A336" w14:textId="77777777" w:rsidTr="00104785">
        <w:trPr>
          <w:jc w:val="center"/>
        </w:trPr>
        <w:tc>
          <w:tcPr>
            <w:tcW w:w="1271" w:type="dxa"/>
          </w:tcPr>
          <w:p w14:paraId="68A5527A" w14:textId="77777777" w:rsidR="00345767" w:rsidRPr="00064965" w:rsidRDefault="00345767" w:rsidP="00104785">
            <w:pPr>
              <w:jc w:val="center"/>
              <w:rPr>
                <w:rFonts w:cs="Arial"/>
                <w:color w:val="000000" w:themeColor="text1"/>
              </w:rPr>
            </w:pPr>
          </w:p>
          <w:p w14:paraId="295A02CA" w14:textId="77777777" w:rsidR="00345767" w:rsidRPr="00064965" w:rsidRDefault="00345767" w:rsidP="00104785">
            <w:pPr>
              <w:jc w:val="center"/>
              <w:rPr>
                <w:rFonts w:cs="Arial"/>
                <w:color w:val="000000" w:themeColor="text1"/>
              </w:rPr>
            </w:pPr>
            <w:r w:rsidRPr="00064965">
              <w:rPr>
                <w:rFonts w:cs="Arial"/>
                <w:color w:val="000000" w:themeColor="text1"/>
              </w:rPr>
              <w:t>3</w:t>
            </w:r>
          </w:p>
          <w:p w14:paraId="7D29CB82" w14:textId="77777777" w:rsidR="00345767" w:rsidRPr="00064965" w:rsidRDefault="00345767" w:rsidP="00104785">
            <w:pPr>
              <w:jc w:val="center"/>
              <w:rPr>
                <w:rFonts w:cs="Arial"/>
                <w:color w:val="000000" w:themeColor="text1"/>
              </w:rPr>
            </w:pPr>
          </w:p>
        </w:tc>
        <w:tc>
          <w:tcPr>
            <w:tcW w:w="2552" w:type="dxa"/>
          </w:tcPr>
          <w:p w14:paraId="4771290C"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2: ¿Qué es la sociología?</w:t>
            </w:r>
          </w:p>
          <w:p w14:paraId="5B407DB6" w14:textId="77777777" w:rsidR="00345767" w:rsidRPr="00064965" w:rsidRDefault="00345767" w:rsidP="00104785">
            <w:pPr>
              <w:rPr>
                <w:rFonts w:cs="Arial"/>
              </w:rPr>
            </w:pPr>
          </w:p>
          <w:p w14:paraId="54238C7A" w14:textId="77777777" w:rsidR="00345767" w:rsidRPr="00064965" w:rsidRDefault="00345767" w:rsidP="00104785">
            <w:pPr>
              <w:rPr>
                <w:rFonts w:cs="Arial"/>
              </w:rPr>
            </w:pPr>
            <w:r w:rsidRPr="00064965">
              <w:rPr>
                <w:rFonts w:cs="Arial"/>
              </w:rPr>
              <w:t>2.3 El desarrollo y las ramas de la sociología</w:t>
            </w:r>
          </w:p>
          <w:p w14:paraId="72D10A98" w14:textId="77777777" w:rsidR="00345767" w:rsidRPr="00064965" w:rsidRDefault="00345767" w:rsidP="00104785">
            <w:pPr>
              <w:rPr>
                <w:rFonts w:cs="Arial"/>
              </w:rPr>
            </w:pPr>
          </w:p>
          <w:p w14:paraId="58906719" w14:textId="77777777" w:rsidR="00345767" w:rsidRPr="00064965" w:rsidRDefault="00345767" w:rsidP="00104785">
            <w:pPr>
              <w:rPr>
                <w:rFonts w:cs="Arial"/>
              </w:rPr>
            </w:pPr>
            <w:r w:rsidRPr="00064965">
              <w:rPr>
                <w:rFonts w:cs="Arial"/>
              </w:rPr>
              <w:t>2.4 Las teorías y leyes sociológicas: sus alcances</w:t>
            </w:r>
          </w:p>
          <w:p w14:paraId="36D009EB" w14:textId="77777777" w:rsidR="00345767" w:rsidRPr="00064965" w:rsidRDefault="00345767" w:rsidP="00104785">
            <w:pPr>
              <w:rPr>
                <w:rFonts w:cs="Arial"/>
              </w:rPr>
            </w:pPr>
          </w:p>
          <w:p w14:paraId="66193C0F" w14:textId="77777777" w:rsidR="00345767" w:rsidRPr="00064965" w:rsidRDefault="00345767" w:rsidP="00104785">
            <w:pPr>
              <w:rPr>
                <w:rFonts w:cs="Arial"/>
                <w:strike/>
              </w:rPr>
            </w:pPr>
          </w:p>
        </w:tc>
        <w:tc>
          <w:tcPr>
            <w:tcW w:w="2835" w:type="dxa"/>
          </w:tcPr>
          <w:p w14:paraId="7121F46C" w14:textId="77777777" w:rsidR="00345767" w:rsidRDefault="00345767" w:rsidP="00104785">
            <w:pPr>
              <w:rPr>
                <w:rFonts w:cstheme="minorHAnsi"/>
                <w:lang w:val="es-ES"/>
              </w:rPr>
            </w:pPr>
            <w:r>
              <w:rPr>
                <w:rFonts w:cs="Arial"/>
                <w:color w:val="0070C0"/>
              </w:rPr>
              <w:lastRenderedPageBreak/>
              <w:t>Ruta de aprendizaje</w:t>
            </w:r>
          </w:p>
          <w:p w14:paraId="3EAABF6E" w14:textId="77777777" w:rsidR="00345767" w:rsidRPr="00064965" w:rsidRDefault="00345767" w:rsidP="00104785">
            <w:pPr>
              <w:rPr>
                <w:rFonts w:cstheme="minorHAnsi"/>
                <w:lang w:val="es-ES"/>
              </w:rPr>
            </w:pPr>
            <w:proofErr w:type="spellStart"/>
            <w:r w:rsidRPr="00064965">
              <w:rPr>
                <w:rFonts w:cstheme="minorHAnsi"/>
                <w:lang w:val="es-ES"/>
              </w:rPr>
              <w:t>Burawoy</w:t>
            </w:r>
            <w:proofErr w:type="spellEnd"/>
            <w:r w:rsidRPr="00064965">
              <w:rPr>
                <w:rFonts w:cstheme="minorHAnsi"/>
                <w:lang w:val="es-ES"/>
              </w:rPr>
              <w:t xml:space="preserve">, Michael. “Por una sociología pública”. </w:t>
            </w:r>
            <w:r w:rsidRPr="00064965">
              <w:rPr>
                <w:rFonts w:cstheme="minorHAnsi"/>
                <w:i/>
                <w:lang w:val="es-ES"/>
              </w:rPr>
              <w:t xml:space="preserve">Política y Sociedad </w:t>
            </w:r>
            <w:r w:rsidRPr="00064965">
              <w:rPr>
                <w:rFonts w:cstheme="minorHAnsi"/>
                <w:lang w:val="es-ES"/>
              </w:rPr>
              <w:t>42, no. 1 (2005): 197-225.</w:t>
            </w:r>
          </w:p>
          <w:p w14:paraId="377EC3E4" w14:textId="77777777" w:rsidR="00345767" w:rsidRPr="00064965" w:rsidRDefault="00345767" w:rsidP="00104785">
            <w:pPr>
              <w:rPr>
                <w:rFonts w:cs="Arial"/>
                <w:b/>
                <w:bCs/>
                <w:color w:val="000000" w:themeColor="text1"/>
              </w:rPr>
            </w:pPr>
            <w:r w:rsidRPr="00064965">
              <w:rPr>
                <w:rFonts w:cs="Arial"/>
                <w:b/>
                <w:bCs/>
                <w:color w:val="000000" w:themeColor="text1"/>
              </w:rPr>
              <w:t>Material complementario</w:t>
            </w:r>
          </w:p>
          <w:p w14:paraId="152DCF02" w14:textId="77777777" w:rsidR="00345767" w:rsidRPr="00064965" w:rsidRDefault="00345767" w:rsidP="00104785">
            <w:pPr>
              <w:rPr>
                <w:rFonts w:cs="Arial"/>
                <w:b/>
                <w:bCs/>
                <w:color w:val="000000" w:themeColor="text1"/>
              </w:rPr>
            </w:pPr>
          </w:p>
          <w:p w14:paraId="196B36A7" w14:textId="77777777" w:rsidR="00345767" w:rsidRPr="00064965" w:rsidRDefault="00345767" w:rsidP="00104785">
            <w:pPr>
              <w:rPr>
                <w:rStyle w:val="Hipervnculo"/>
                <w:bCs/>
              </w:rPr>
            </w:pPr>
            <w:proofErr w:type="spellStart"/>
            <w:r w:rsidRPr="00064965">
              <w:rPr>
                <w:bCs/>
                <w:lang w:val="es-419"/>
              </w:rPr>
              <w:lastRenderedPageBreak/>
              <w:t>Kozlarek</w:t>
            </w:r>
            <w:proofErr w:type="spellEnd"/>
            <w:r w:rsidRPr="00064965">
              <w:rPr>
                <w:bCs/>
                <w:lang w:val="es-419"/>
              </w:rPr>
              <w:t xml:space="preserve">, Oliver. “Los retos para una teoría social crítica. Hacia una “crítica poscolonial reconstructiva””. </w:t>
            </w:r>
            <w:r w:rsidRPr="00D3557F">
              <w:rPr>
                <w:bCs/>
                <w:i/>
                <w:iCs/>
                <w:lang w:val="es-419"/>
              </w:rPr>
              <w:t>Sociológica</w:t>
            </w:r>
            <w:r w:rsidRPr="00064965">
              <w:rPr>
                <w:bCs/>
                <w:lang w:val="es-419"/>
              </w:rPr>
              <w:t xml:space="preserve">, n. 92 (2017): 41-68. Acceso el 17 de diciembre de 2020. </w:t>
            </w:r>
            <w:hyperlink r:id="rId57" w:history="1">
              <w:r w:rsidRPr="00064965">
                <w:rPr>
                  <w:rStyle w:val="Hipervnculo"/>
                  <w:bCs/>
                </w:rPr>
                <w:t>http://www.scielo.org.mx/pdf/soc/v32n92/2007-8358-soc-32-92-00041.pdf</w:t>
              </w:r>
            </w:hyperlink>
          </w:p>
          <w:p w14:paraId="411C5D9D" w14:textId="77777777" w:rsidR="00345767" w:rsidRDefault="00345767" w:rsidP="00104785">
            <w:pPr>
              <w:rPr>
                <w:rFonts w:cs="Arial"/>
                <w:color w:val="0070C0"/>
              </w:rPr>
            </w:pPr>
            <w:r>
              <w:rPr>
                <w:rFonts w:cs="Arial"/>
                <w:color w:val="0070C0"/>
              </w:rPr>
              <w:t>Guía para la participación en un foro en la plataforma Moodle</w:t>
            </w:r>
          </w:p>
          <w:p w14:paraId="78402BAB" w14:textId="77777777" w:rsidR="00345767" w:rsidRDefault="00345767" w:rsidP="00104785">
            <w:pPr>
              <w:rPr>
                <w:rFonts w:cs="Arial"/>
                <w:color w:val="0070C0"/>
              </w:rPr>
            </w:pPr>
            <w:r>
              <w:rPr>
                <w:rFonts w:cs="Arial"/>
                <w:color w:val="0070C0"/>
              </w:rPr>
              <w:t xml:space="preserve">Guía para la participación mediante la herramienta Big Blue </w:t>
            </w:r>
            <w:proofErr w:type="spellStart"/>
            <w:r>
              <w:rPr>
                <w:rFonts w:cs="Arial"/>
                <w:color w:val="0070C0"/>
              </w:rPr>
              <w:t>Button</w:t>
            </w:r>
            <w:proofErr w:type="spellEnd"/>
            <w:r>
              <w:rPr>
                <w:rFonts w:cs="Arial"/>
                <w:color w:val="0070C0"/>
              </w:rPr>
              <w:t xml:space="preserve"> en la plataforma Moodle</w:t>
            </w:r>
          </w:p>
          <w:p w14:paraId="50D844F1" w14:textId="77777777" w:rsidR="00345767" w:rsidRPr="006E0C72" w:rsidRDefault="00345767" w:rsidP="00104785">
            <w:pPr>
              <w:rPr>
                <w:rFonts w:cs="Arial"/>
                <w:color w:val="0070C0"/>
              </w:rPr>
            </w:pPr>
          </w:p>
        </w:tc>
        <w:tc>
          <w:tcPr>
            <w:tcW w:w="2976" w:type="dxa"/>
          </w:tcPr>
          <w:p w14:paraId="13D9BB47" w14:textId="77777777" w:rsidR="00345767" w:rsidRPr="00064965" w:rsidRDefault="00345767" w:rsidP="00104785">
            <w:pPr>
              <w:pStyle w:val="Prrafodelista"/>
              <w:widowControl w:val="0"/>
              <w:numPr>
                <w:ilvl w:val="0"/>
                <w:numId w:val="25"/>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lastRenderedPageBreak/>
              <w:t>Participación en el foro temático: ¿Qué es la sociología pública?</w:t>
            </w:r>
          </w:p>
          <w:p w14:paraId="22F25196" w14:textId="77777777" w:rsidR="00345767" w:rsidRPr="00064965" w:rsidRDefault="00345767" w:rsidP="00104785">
            <w:pPr>
              <w:pStyle w:val="Prrafodelista"/>
              <w:widowControl w:val="0"/>
              <w:numPr>
                <w:ilvl w:val="0"/>
                <w:numId w:val="25"/>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Exposición docente y debate en un encuentro sincrónico virtual. </w:t>
            </w:r>
          </w:p>
        </w:tc>
      </w:tr>
      <w:tr w:rsidR="00345767" w:rsidRPr="0095338B" w14:paraId="280AF725" w14:textId="77777777" w:rsidTr="00104785">
        <w:trPr>
          <w:jc w:val="center"/>
        </w:trPr>
        <w:tc>
          <w:tcPr>
            <w:tcW w:w="1271" w:type="dxa"/>
          </w:tcPr>
          <w:p w14:paraId="75F21F89" w14:textId="77777777" w:rsidR="00345767" w:rsidRPr="00064965" w:rsidRDefault="00345767" w:rsidP="00104785">
            <w:pPr>
              <w:jc w:val="center"/>
              <w:rPr>
                <w:rFonts w:cs="Arial"/>
                <w:color w:val="000000" w:themeColor="text1"/>
              </w:rPr>
            </w:pPr>
          </w:p>
          <w:p w14:paraId="64B0D190" w14:textId="77777777" w:rsidR="00345767" w:rsidRPr="00064965" w:rsidRDefault="00345767" w:rsidP="00104785">
            <w:pPr>
              <w:jc w:val="center"/>
              <w:rPr>
                <w:rFonts w:cs="Arial"/>
                <w:color w:val="000000" w:themeColor="text1"/>
              </w:rPr>
            </w:pPr>
            <w:r w:rsidRPr="00064965">
              <w:rPr>
                <w:rFonts w:cs="Arial"/>
                <w:color w:val="000000" w:themeColor="text1"/>
              </w:rPr>
              <w:t>4</w:t>
            </w:r>
          </w:p>
          <w:p w14:paraId="6E6478D2" w14:textId="77777777" w:rsidR="00345767" w:rsidRPr="00064965" w:rsidRDefault="00345767" w:rsidP="00104785">
            <w:pPr>
              <w:jc w:val="center"/>
              <w:rPr>
                <w:rFonts w:cs="Arial"/>
                <w:color w:val="FF0000"/>
              </w:rPr>
            </w:pPr>
          </w:p>
        </w:tc>
        <w:tc>
          <w:tcPr>
            <w:tcW w:w="2552" w:type="dxa"/>
          </w:tcPr>
          <w:p w14:paraId="1F7C05A1" w14:textId="77777777" w:rsidR="00345767" w:rsidRPr="0033762F" w:rsidRDefault="00345767" w:rsidP="00104785">
            <w:pPr>
              <w:rPr>
                <w:rFonts w:cs="Arial"/>
                <w:b/>
                <w:bCs/>
              </w:rPr>
            </w:pPr>
            <w:r w:rsidRPr="0033762F">
              <w:rPr>
                <w:rFonts w:cs="Arial"/>
                <w:b/>
                <w:bCs/>
              </w:rPr>
              <w:t>Unidad 3: La historia de la sociología y los aportes de los pensadores principales</w:t>
            </w:r>
          </w:p>
          <w:p w14:paraId="73F0B658" w14:textId="77777777" w:rsidR="00345767" w:rsidRPr="00064965" w:rsidRDefault="00345767" w:rsidP="00104785">
            <w:pPr>
              <w:rPr>
                <w:rFonts w:cs="Arial"/>
              </w:rPr>
            </w:pPr>
          </w:p>
          <w:p w14:paraId="74904B65" w14:textId="77777777" w:rsidR="00345767" w:rsidRPr="00064965" w:rsidRDefault="00345767" w:rsidP="00104785">
            <w:pPr>
              <w:rPr>
                <w:rFonts w:cs="Arial"/>
              </w:rPr>
            </w:pPr>
            <w:r w:rsidRPr="00064965">
              <w:rPr>
                <w:rFonts w:cs="Arial"/>
              </w:rPr>
              <w:t>3.1 La sociedad en la historia</w:t>
            </w:r>
          </w:p>
          <w:p w14:paraId="5EA96497" w14:textId="77777777" w:rsidR="00345767" w:rsidRPr="00064965" w:rsidRDefault="00345767" w:rsidP="00104785">
            <w:pPr>
              <w:rPr>
                <w:rFonts w:cs="Arial"/>
                <w:strike/>
              </w:rPr>
            </w:pPr>
          </w:p>
        </w:tc>
        <w:tc>
          <w:tcPr>
            <w:tcW w:w="2835" w:type="dxa"/>
          </w:tcPr>
          <w:p w14:paraId="2384DB49" w14:textId="77777777" w:rsidR="00345767" w:rsidRDefault="00345767" w:rsidP="00104785">
            <w:pPr>
              <w:rPr>
                <w:color w:val="000000" w:themeColor="text1"/>
              </w:rPr>
            </w:pPr>
            <w:r>
              <w:rPr>
                <w:rFonts w:cs="Arial"/>
                <w:color w:val="0070C0"/>
              </w:rPr>
              <w:t>Ruta de aprendizaje</w:t>
            </w:r>
          </w:p>
          <w:p w14:paraId="3ADD3E9C" w14:textId="77777777" w:rsidR="00345767" w:rsidRPr="00950DE2" w:rsidRDefault="00345767" w:rsidP="00104785">
            <w:pPr>
              <w:rPr>
                <w:color w:val="000000" w:themeColor="text1"/>
              </w:rPr>
            </w:pPr>
            <w:r w:rsidRPr="00064965">
              <w:rPr>
                <w:color w:val="000000" w:themeColor="text1"/>
              </w:rPr>
              <w:t>Giner, Salvador. “Los orígenes de la sociología: positivismo y evolucionismo”.</w:t>
            </w:r>
            <w:r w:rsidRPr="00064965">
              <w:rPr>
                <w:color w:val="FF0000"/>
              </w:rPr>
              <w:t xml:space="preserve"> </w:t>
            </w:r>
            <w:r w:rsidRPr="00064965">
              <w:t xml:space="preserve">En </w:t>
            </w:r>
            <w:r w:rsidRPr="00064965">
              <w:rPr>
                <w:i/>
              </w:rPr>
              <w:t xml:space="preserve">Historia del pensamiento social, </w:t>
            </w:r>
            <w:r w:rsidRPr="00064965">
              <w:rPr>
                <w:color w:val="000000" w:themeColor="text1"/>
              </w:rPr>
              <w:t>579-597. Barcelona: Ariel, 20</w:t>
            </w:r>
            <w:r>
              <w:rPr>
                <w:color w:val="000000" w:themeColor="text1"/>
              </w:rPr>
              <w:t>13</w:t>
            </w:r>
            <w:r w:rsidRPr="00064965">
              <w:rPr>
                <w:color w:val="000000" w:themeColor="text1"/>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tc>
        <w:tc>
          <w:tcPr>
            <w:tcW w:w="2976" w:type="dxa"/>
          </w:tcPr>
          <w:p w14:paraId="54B7BE43" w14:textId="77777777" w:rsidR="00345767" w:rsidRPr="00064965" w:rsidRDefault="00345767" w:rsidP="00104785">
            <w:pPr>
              <w:pStyle w:val="Prrafodelista"/>
              <w:widowControl w:val="0"/>
              <w:numPr>
                <w:ilvl w:val="0"/>
                <w:numId w:val="26"/>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Iniciar la elaboración de una presentación audiovisual (en forma grupal) sobre los principales pensadores de la sociología. </w:t>
            </w:r>
          </w:p>
        </w:tc>
      </w:tr>
      <w:tr w:rsidR="00345767" w:rsidRPr="0095338B" w14:paraId="2307005A" w14:textId="77777777" w:rsidTr="00104785">
        <w:trPr>
          <w:trHeight w:val="845"/>
          <w:jc w:val="center"/>
        </w:trPr>
        <w:tc>
          <w:tcPr>
            <w:tcW w:w="1271" w:type="dxa"/>
          </w:tcPr>
          <w:p w14:paraId="47B80202" w14:textId="77777777" w:rsidR="00345767" w:rsidRPr="00064965" w:rsidRDefault="00345767" w:rsidP="00104785">
            <w:pPr>
              <w:jc w:val="center"/>
              <w:rPr>
                <w:rFonts w:cs="Arial"/>
                <w:color w:val="000000" w:themeColor="text1"/>
              </w:rPr>
            </w:pPr>
          </w:p>
          <w:p w14:paraId="7931F013" w14:textId="77777777" w:rsidR="00345767" w:rsidRPr="00064965" w:rsidRDefault="00345767" w:rsidP="00104785">
            <w:pPr>
              <w:jc w:val="center"/>
              <w:rPr>
                <w:rFonts w:cs="Arial"/>
                <w:color w:val="000000" w:themeColor="text1"/>
              </w:rPr>
            </w:pPr>
            <w:r w:rsidRPr="00064965">
              <w:rPr>
                <w:rFonts w:cs="Arial"/>
                <w:color w:val="000000" w:themeColor="text1"/>
              </w:rPr>
              <w:t>5</w:t>
            </w:r>
          </w:p>
          <w:p w14:paraId="0BD3F195" w14:textId="77777777" w:rsidR="00345767" w:rsidRPr="00064965" w:rsidRDefault="00345767" w:rsidP="00104785">
            <w:pPr>
              <w:jc w:val="center"/>
              <w:rPr>
                <w:rFonts w:cs="Arial"/>
                <w:color w:val="FF0000"/>
              </w:rPr>
            </w:pPr>
          </w:p>
        </w:tc>
        <w:tc>
          <w:tcPr>
            <w:tcW w:w="2552" w:type="dxa"/>
          </w:tcPr>
          <w:p w14:paraId="5CE78B2A" w14:textId="77777777" w:rsidR="00345767" w:rsidRPr="0033762F" w:rsidRDefault="00345767" w:rsidP="00104785">
            <w:pPr>
              <w:rPr>
                <w:rFonts w:cs="Arial"/>
                <w:b/>
                <w:bCs/>
              </w:rPr>
            </w:pPr>
            <w:r w:rsidRPr="0033762F">
              <w:rPr>
                <w:rFonts w:cs="Arial"/>
                <w:b/>
                <w:bCs/>
              </w:rPr>
              <w:t>Unidad 3: La historia de la sociología y los aportes de los pensadores principales</w:t>
            </w:r>
          </w:p>
          <w:p w14:paraId="39D2A047" w14:textId="77777777" w:rsidR="00345767" w:rsidRPr="00064965" w:rsidRDefault="00345767" w:rsidP="00104785">
            <w:pPr>
              <w:pStyle w:val="Normalcontenido"/>
              <w:ind w:left="0" w:firstLine="0"/>
              <w:rPr>
                <w:rFonts w:asciiTheme="minorHAnsi" w:hAnsiTheme="minorHAnsi" w:cs="Arial"/>
                <w:sz w:val="22"/>
                <w:szCs w:val="22"/>
              </w:rPr>
            </w:pPr>
          </w:p>
          <w:p w14:paraId="605B8B59"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3.2 Introducción al pensamiento de Karl Marx, Emile Durkheim y Max Weber</w:t>
            </w:r>
          </w:p>
          <w:p w14:paraId="32FDC114" w14:textId="77777777" w:rsidR="00345767" w:rsidRPr="00064965" w:rsidRDefault="00345767" w:rsidP="00104785">
            <w:pPr>
              <w:pStyle w:val="Normalcontenido"/>
              <w:ind w:left="0" w:firstLine="0"/>
              <w:rPr>
                <w:rFonts w:asciiTheme="minorHAnsi" w:hAnsiTheme="minorHAnsi" w:cs="Arial"/>
                <w:strike/>
                <w:sz w:val="22"/>
                <w:szCs w:val="22"/>
              </w:rPr>
            </w:pPr>
          </w:p>
        </w:tc>
        <w:tc>
          <w:tcPr>
            <w:tcW w:w="2835" w:type="dxa"/>
          </w:tcPr>
          <w:p w14:paraId="4BE4FDBF" w14:textId="77777777" w:rsidR="00345767" w:rsidRDefault="00345767" w:rsidP="00104785">
            <w:pPr>
              <w:rPr>
                <w:color w:val="000000" w:themeColor="text1"/>
              </w:rPr>
            </w:pPr>
            <w:r>
              <w:rPr>
                <w:rFonts w:cs="Arial"/>
                <w:color w:val="0070C0"/>
              </w:rPr>
              <w:t>Ruta de aprendizaje</w:t>
            </w:r>
          </w:p>
          <w:p w14:paraId="2AE76E4A" w14:textId="77777777" w:rsidR="00345767" w:rsidRDefault="00345767" w:rsidP="00104785">
            <w:pPr>
              <w:rPr>
                <w:color w:val="000000" w:themeColor="text1"/>
              </w:rPr>
            </w:pPr>
            <w:r w:rsidRPr="00064965">
              <w:rPr>
                <w:color w:val="000000" w:themeColor="text1"/>
              </w:rPr>
              <w:t>Giner, Salvador. “Karl Marx y Friedrich Engels (I)”, “La consolidación de la teoría sociológica”.</w:t>
            </w:r>
            <w:r w:rsidRPr="00064965">
              <w:rPr>
                <w:color w:val="FF0000"/>
              </w:rPr>
              <w:t xml:space="preserve"> </w:t>
            </w:r>
            <w:r w:rsidRPr="00064965">
              <w:t xml:space="preserve">En </w:t>
            </w:r>
            <w:r w:rsidRPr="00064965">
              <w:rPr>
                <w:i/>
              </w:rPr>
              <w:t xml:space="preserve">Historia del pensamiento social, </w:t>
            </w:r>
            <w:r w:rsidRPr="00064965">
              <w:rPr>
                <w:color w:val="000000" w:themeColor="text1"/>
              </w:rPr>
              <w:t>492-538 Y 598-629. Barcelona: Ariel, 20</w:t>
            </w:r>
            <w:r>
              <w:rPr>
                <w:color w:val="000000" w:themeColor="text1"/>
              </w:rPr>
              <w:t>13</w:t>
            </w:r>
            <w:r w:rsidRPr="00064965">
              <w:rPr>
                <w:color w:val="000000" w:themeColor="text1"/>
              </w:rPr>
              <w:t>.</w:t>
            </w:r>
            <w:r>
              <w:rPr>
                <w:color w:val="000000" w:themeColor="text1"/>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0B7EE7ED" w14:textId="77777777" w:rsidR="00345767" w:rsidRDefault="00345767" w:rsidP="00104785">
            <w:pPr>
              <w:rPr>
                <w:rFonts w:cstheme="minorHAnsi"/>
                <w:b/>
                <w:bCs/>
                <w:color w:val="0070C0"/>
                <w:lang w:val="es-ES"/>
              </w:rPr>
            </w:pPr>
            <w:r w:rsidRPr="000026CB">
              <w:rPr>
                <w:rFonts w:cstheme="minorHAnsi"/>
                <w:b/>
                <w:bCs/>
                <w:color w:val="0070C0"/>
                <w:lang w:val="es-ES"/>
              </w:rPr>
              <w:t>Material complementario</w:t>
            </w:r>
          </w:p>
          <w:p w14:paraId="1E9416D0" w14:textId="77777777" w:rsidR="00345767" w:rsidRDefault="00345767" w:rsidP="00104785">
            <w:pPr>
              <w:rPr>
                <w:rFonts w:cstheme="minorHAnsi"/>
                <w:b/>
                <w:bCs/>
                <w:color w:val="0070C0"/>
                <w:lang w:val="es-ES"/>
              </w:rPr>
            </w:pPr>
          </w:p>
          <w:p w14:paraId="323BE761" w14:textId="77777777" w:rsidR="00345767" w:rsidRPr="00064965" w:rsidRDefault="00345767" w:rsidP="00104785">
            <w:pPr>
              <w:rPr>
                <w:color w:val="000000" w:themeColor="text1"/>
              </w:rPr>
            </w:pPr>
            <w:r>
              <w:rPr>
                <w:rFonts w:cstheme="minorHAnsi"/>
                <w:color w:val="0070C0"/>
                <w:lang w:val="es-ES"/>
              </w:rPr>
              <w:t xml:space="preserve">Guía para la participación mediante la herramienta Big </w:t>
            </w:r>
            <w:r>
              <w:rPr>
                <w:rFonts w:cstheme="minorHAnsi"/>
                <w:color w:val="0070C0"/>
                <w:lang w:val="es-ES"/>
              </w:rPr>
              <w:lastRenderedPageBreak/>
              <w:t xml:space="preserve">Blue </w:t>
            </w:r>
            <w:proofErr w:type="spellStart"/>
            <w:r>
              <w:rPr>
                <w:rFonts w:cstheme="minorHAnsi"/>
                <w:color w:val="0070C0"/>
                <w:lang w:val="es-ES"/>
              </w:rPr>
              <w:t>Button</w:t>
            </w:r>
            <w:proofErr w:type="spellEnd"/>
            <w:r>
              <w:rPr>
                <w:rFonts w:cstheme="minorHAnsi"/>
                <w:color w:val="0070C0"/>
                <w:lang w:val="es-ES"/>
              </w:rPr>
              <w:t xml:space="preserve"> en la plataforma Moodle</w:t>
            </w:r>
          </w:p>
          <w:p w14:paraId="3F284875" w14:textId="77777777" w:rsidR="00345767" w:rsidRPr="00064965" w:rsidRDefault="00345767" w:rsidP="00104785">
            <w:pPr>
              <w:rPr>
                <w:rFonts w:cs="Arial"/>
                <w:color w:val="000000" w:themeColor="text1"/>
              </w:rPr>
            </w:pPr>
          </w:p>
        </w:tc>
        <w:tc>
          <w:tcPr>
            <w:tcW w:w="2976" w:type="dxa"/>
          </w:tcPr>
          <w:p w14:paraId="077090A4" w14:textId="77777777" w:rsidR="00345767" w:rsidRPr="00064965" w:rsidRDefault="00345767" w:rsidP="00104785">
            <w:pPr>
              <w:pStyle w:val="Prrafodelista"/>
              <w:widowControl w:val="0"/>
              <w:numPr>
                <w:ilvl w:val="0"/>
                <w:numId w:val="26"/>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lastRenderedPageBreak/>
              <w:t xml:space="preserve">Concluir la elaboración de una presentación audiovisual (en forma grupal) sobre los principales pensadores de la sociología. </w:t>
            </w:r>
          </w:p>
          <w:p w14:paraId="046998C8" w14:textId="77777777" w:rsidR="00345767" w:rsidRPr="00064965" w:rsidRDefault="00345767" w:rsidP="00104785">
            <w:pPr>
              <w:pStyle w:val="Prrafodelista"/>
              <w:widowControl w:val="0"/>
              <w:numPr>
                <w:ilvl w:val="0"/>
                <w:numId w:val="26"/>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Compartir la presentación audiovisual en un encuentro sincrónico virtual. </w:t>
            </w:r>
          </w:p>
          <w:p w14:paraId="6216E2C8" w14:textId="77777777" w:rsidR="00345767" w:rsidRPr="00064965" w:rsidRDefault="00345767" w:rsidP="00104785">
            <w:pPr>
              <w:pStyle w:val="Prrafodelista"/>
              <w:ind w:left="314"/>
              <w:rPr>
                <w:rFonts w:asciiTheme="minorHAnsi" w:hAnsiTheme="minorHAnsi" w:cs="Arial"/>
              </w:rPr>
            </w:pPr>
          </w:p>
        </w:tc>
      </w:tr>
      <w:tr w:rsidR="00345767" w:rsidRPr="0095338B" w14:paraId="1585FA8F" w14:textId="77777777" w:rsidTr="00104785">
        <w:trPr>
          <w:jc w:val="center"/>
        </w:trPr>
        <w:tc>
          <w:tcPr>
            <w:tcW w:w="1271" w:type="dxa"/>
          </w:tcPr>
          <w:p w14:paraId="5EA55389" w14:textId="77777777" w:rsidR="00345767" w:rsidRPr="00064965" w:rsidRDefault="00345767" w:rsidP="00104785">
            <w:pPr>
              <w:jc w:val="center"/>
              <w:rPr>
                <w:rFonts w:cs="Arial"/>
                <w:color w:val="000000" w:themeColor="text1"/>
              </w:rPr>
            </w:pPr>
          </w:p>
          <w:p w14:paraId="07829C9E" w14:textId="77777777" w:rsidR="00345767" w:rsidRPr="00064965" w:rsidRDefault="00345767" w:rsidP="00104785">
            <w:pPr>
              <w:jc w:val="center"/>
              <w:rPr>
                <w:rFonts w:cs="Arial"/>
                <w:color w:val="000000" w:themeColor="text1"/>
              </w:rPr>
            </w:pPr>
            <w:r w:rsidRPr="00064965">
              <w:rPr>
                <w:rFonts w:cs="Arial"/>
                <w:color w:val="000000" w:themeColor="text1"/>
              </w:rPr>
              <w:t>6</w:t>
            </w:r>
          </w:p>
          <w:p w14:paraId="38BF17D1" w14:textId="77777777" w:rsidR="00345767" w:rsidRPr="00064965" w:rsidRDefault="00345767" w:rsidP="00104785">
            <w:pPr>
              <w:jc w:val="center"/>
              <w:rPr>
                <w:rFonts w:cs="Arial"/>
                <w:color w:val="FF0000"/>
              </w:rPr>
            </w:pPr>
          </w:p>
        </w:tc>
        <w:tc>
          <w:tcPr>
            <w:tcW w:w="2552" w:type="dxa"/>
          </w:tcPr>
          <w:p w14:paraId="16016C2B" w14:textId="77777777" w:rsidR="00345767" w:rsidRPr="0033762F" w:rsidRDefault="00345767" w:rsidP="00104785">
            <w:pPr>
              <w:rPr>
                <w:rFonts w:cs="Arial"/>
                <w:b/>
                <w:bCs/>
              </w:rPr>
            </w:pPr>
            <w:r w:rsidRPr="0033762F">
              <w:rPr>
                <w:rFonts w:cs="Arial"/>
                <w:b/>
                <w:bCs/>
              </w:rPr>
              <w:t>Unidad 3: La historia de la sociología y los aportes de los pensadores principales</w:t>
            </w:r>
          </w:p>
          <w:p w14:paraId="4F9F6CC9" w14:textId="77777777" w:rsidR="00345767" w:rsidRPr="00064965" w:rsidRDefault="00345767" w:rsidP="00104785">
            <w:pPr>
              <w:rPr>
                <w:rFonts w:cs="Arial"/>
              </w:rPr>
            </w:pPr>
          </w:p>
          <w:p w14:paraId="321D3995" w14:textId="77777777" w:rsidR="00345767" w:rsidRPr="00064965" w:rsidRDefault="00345767" w:rsidP="00104785">
            <w:pPr>
              <w:rPr>
                <w:rFonts w:cs="Arial"/>
              </w:rPr>
            </w:pPr>
            <w:r w:rsidRPr="00064965">
              <w:rPr>
                <w:rFonts w:cs="Arial"/>
              </w:rPr>
              <w:t>3.3 Introducción a la sociología latinoamericana: Daniel Camacho y Otto Maduro</w:t>
            </w:r>
          </w:p>
        </w:tc>
        <w:tc>
          <w:tcPr>
            <w:tcW w:w="2835" w:type="dxa"/>
          </w:tcPr>
          <w:p w14:paraId="2636C573" w14:textId="77777777" w:rsidR="00345767" w:rsidRDefault="00345767" w:rsidP="00104785">
            <w:r>
              <w:rPr>
                <w:rFonts w:cs="Arial"/>
                <w:color w:val="0070C0"/>
              </w:rPr>
              <w:t>Ruta de aprendizaje</w:t>
            </w:r>
          </w:p>
          <w:p w14:paraId="1E4188B9" w14:textId="77777777" w:rsidR="00345767" w:rsidRPr="0049105F" w:rsidRDefault="00345767" w:rsidP="00104785">
            <w:proofErr w:type="spellStart"/>
            <w:r w:rsidRPr="00064965">
              <w:t>Roitman</w:t>
            </w:r>
            <w:proofErr w:type="spellEnd"/>
            <w:r w:rsidRPr="00064965">
              <w:t xml:space="preserve">, Marcos. “El desarrollo de la sociología latinoamericana”. En </w:t>
            </w:r>
            <w:r w:rsidRPr="00064965">
              <w:rPr>
                <w:i/>
              </w:rPr>
              <w:t xml:space="preserve">Pensar América Latina: el desarrollo de la sociología latinoamericana, </w:t>
            </w:r>
            <w:r w:rsidRPr="00064965">
              <w:t>31-129. Buenos Aires: CLACSO, 2008.</w:t>
            </w:r>
            <w: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r w:rsidRPr="00064965">
              <w:t xml:space="preserve"> </w:t>
            </w:r>
          </w:p>
        </w:tc>
        <w:tc>
          <w:tcPr>
            <w:tcW w:w="2976" w:type="dxa"/>
          </w:tcPr>
          <w:p w14:paraId="5326E0AC" w14:textId="77777777" w:rsidR="00345767" w:rsidRPr="00064965" w:rsidRDefault="00345767" w:rsidP="00104785">
            <w:pPr>
              <w:pStyle w:val="Prrafodelista"/>
              <w:widowControl w:val="0"/>
              <w:numPr>
                <w:ilvl w:val="0"/>
                <w:numId w:val="27"/>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Elaboración de fichas de contenido sobre la lectura de la sesión.</w:t>
            </w:r>
          </w:p>
        </w:tc>
      </w:tr>
      <w:tr w:rsidR="00345767" w:rsidRPr="0095338B" w14:paraId="5697F6F1" w14:textId="77777777" w:rsidTr="00104785">
        <w:trPr>
          <w:trHeight w:val="425"/>
          <w:jc w:val="center"/>
        </w:trPr>
        <w:tc>
          <w:tcPr>
            <w:tcW w:w="1271" w:type="dxa"/>
            <w:shd w:val="clear" w:color="auto" w:fill="FFFFFF" w:themeFill="background1"/>
          </w:tcPr>
          <w:p w14:paraId="4FE9EBC8" w14:textId="77777777" w:rsidR="00345767" w:rsidRPr="00064965" w:rsidRDefault="00345767" w:rsidP="00104785">
            <w:pPr>
              <w:jc w:val="center"/>
              <w:rPr>
                <w:rFonts w:cs="Arial"/>
              </w:rPr>
            </w:pPr>
          </w:p>
          <w:p w14:paraId="5C073B76" w14:textId="77777777" w:rsidR="00345767" w:rsidRPr="00064965" w:rsidRDefault="00345767" w:rsidP="00104785">
            <w:pPr>
              <w:jc w:val="center"/>
              <w:rPr>
                <w:rFonts w:cs="Arial"/>
              </w:rPr>
            </w:pPr>
          </w:p>
          <w:p w14:paraId="1C80F59C" w14:textId="77777777" w:rsidR="00345767" w:rsidRPr="00064965" w:rsidRDefault="00345767" w:rsidP="00104785">
            <w:pPr>
              <w:jc w:val="center"/>
              <w:rPr>
                <w:rFonts w:cs="Arial"/>
              </w:rPr>
            </w:pPr>
            <w:r w:rsidRPr="00064965">
              <w:rPr>
                <w:rFonts w:cs="Arial"/>
              </w:rPr>
              <w:t>7</w:t>
            </w:r>
          </w:p>
          <w:p w14:paraId="1A5B300D" w14:textId="77777777" w:rsidR="00345767" w:rsidRPr="00064965" w:rsidRDefault="00345767" w:rsidP="00104785">
            <w:pPr>
              <w:jc w:val="center"/>
              <w:rPr>
                <w:rFonts w:cs="Arial"/>
                <w:color w:val="FF0000"/>
              </w:rPr>
            </w:pPr>
          </w:p>
        </w:tc>
        <w:tc>
          <w:tcPr>
            <w:tcW w:w="2552" w:type="dxa"/>
            <w:shd w:val="clear" w:color="auto" w:fill="FFFFFF" w:themeFill="background1"/>
          </w:tcPr>
          <w:p w14:paraId="374F160D" w14:textId="77777777" w:rsidR="00345767" w:rsidRPr="0033762F" w:rsidRDefault="00345767" w:rsidP="00104785">
            <w:pPr>
              <w:rPr>
                <w:rFonts w:cs="Arial"/>
                <w:b/>
                <w:bCs/>
              </w:rPr>
            </w:pPr>
            <w:r w:rsidRPr="0033762F">
              <w:rPr>
                <w:rFonts w:cs="Arial"/>
                <w:b/>
                <w:bCs/>
              </w:rPr>
              <w:t>Unidad 3: La historia de la sociología y los aportes de los pensadores principales</w:t>
            </w:r>
          </w:p>
          <w:p w14:paraId="700DB475" w14:textId="77777777" w:rsidR="00345767" w:rsidRPr="00064965" w:rsidRDefault="00345767" w:rsidP="00104785">
            <w:pPr>
              <w:rPr>
                <w:rFonts w:cs="Arial"/>
              </w:rPr>
            </w:pPr>
          </w:p>
          <w:p w14:paraId="58D0CE22" w14:textId="77777777" w:rsidR="00345767" w:rsidRPr="00064965" w:rsidRDefault="00345767" w:rsidP="00104785">
            <w:pPr>
              <w:rPr>
                <w:rFonts w:cs="Arial"/>
              </w:rPr>
            </w:pPr>
            <w:r w:rsidRPr="00064965">
              <w:rPr>
                <w:rFonts w:cs="Arial"/>
              </w:rPr>
              <w:t>3.4 Aportes y desafíos actuales en la sociología latinoamericana</w:t>
            </w:r>
          </w:p>
          <w:p w14:paraId="5D80E244" w14:textId="77777777" w:rsidR="00345767" w:rsidRPr="00064965" w:rsidRDefault="00345767" w:rsidP="00104785">
            <w:pPr>
              <w:pStyle w:val="Ttulo3"/>
              <w:spacing w:before="0" w:after="0"/>
              <w:rPr>
                <w:rFonts w:asciiTheme="minorHAnsi" w:hAnsiTheme="minorHAnsi" w:cs="Arial"/>
                <w:sz w:val="22"/>
                <w:szCs w:val="22"/>
              </w:rPr>
            </w:pPr>
          </w:p>
          <w:p w14:paraId="34752478" w14:textId="77777777" w:rsidR="00345767" w:rsidRPr="00064965" w:rsidRDefault="00345767" w:rsidP="00104785">
            <w:pPr>
              <w:pStyle w:val="Ttulo3"/>
              <w:spacing w:before="0" w:after="0"/>
            </w:pPr>
          </w:p>
        </w:tc>
        <w:tc>
          <w:tcPr>
            <w:tcW w:w="2835" w:type="dxa"/>
            <w:shd w:val="clear" w:color="auto" w:fill="FFFFFF" w:themeFill="background1"/>
          </w:tcPr>
          <w:p w14:paraId="0D04DA4D" w14:textId="77777777" w:rsidR="00345767" w:rsidRDefault="00345767" w:rsidP="00104785">
            <w:r>
              <w:rPr>
                <w:rFonts w:cs="Arial"/>
                <w:color w:val="0070C0"/>
              </w:rPr>
              <w:t>Ruta de aprendizaje</w:t>
            </w:r>
          </w:p>
          <w:p w14:paraId="0E377320" w14:textId="77777777" w:rsidR="00345767" w:rsidRPr="00064965" w:rsidRDefault="00345767" w:rsidP="00104785">
            <w:proofErr w:type="spellStart"/>
            <w:r w:rsidRPr="00064965">
              <w:t>Roitman</w:t>
            </w:r>
            <w:proofErr w:type="spellEnd"/>
            <w:r w:rsidRPr="00064965">
              <w:t>, Marcos. “La polémica de la globalización”, “Nuevas tesis equivocadas sobre América Latina”.</w:t>
            </w:r>
            <w:r w:rsidRPr="00064965">
              <w:rPr>
                <w:color w:val="FF0000"/>
              </w:rPr>
              <w:t xml:space="preserve"> </w:t>
            </w:r>
            <w:r w:rsidRPr="00064965">
              <w:t xml:space="preserve">En </w:t>
            </w:r>
            <w:r w:rsidRPr="00064965">
              <w:rPr>
                <w:i/>
              </w:rPr>
              <w:t>Pensamiento sociológico y realidad nacional en América Latina</w:t>
            </w:r>
            <w:r w:rsidRPr="00064965">
              <w:t xml:space="preserve">, 118-134. Buenos Aires: Rebelión, 2010.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00483A1E" w14:textId="77777777" w:rsidR="00345767" w:rsidRPr="00064965" w:rsidRDefault="00345767" w:rsidP="00104785">
            <w:pPr>
              <w:rPr>
                <w:b/>
                <w:bCs/>
              </w:rPr>
            </w:pPr>
            <w:r w:rsidRPr="00064965">
              <w:rPr>
                <w:b/>
                <w:bCs/>
              </w:rPr>
              <w:t>Material complementario</w:t>
            </w:r>
          </w:p>
          <w:p w14:paraId="6DEA39CF" w14:textId="77777777" w:rsidR="00345767" w:rsidRPr="00064965" w:rsidRDefault="00345767" w:rsidP="00104785">
            <w:r w:rsidRPr="00064965">
              <w:rPr>
                <w:bCs/>
                <w:lang w:val="es-419"/>
              </w:rPr>
              <w:t xml:space="preserve">Quijano, Aníbal. “Dependencia, cambio social y urbanización en Latinoamérica”. En </w:t>
            </w:r>
            <w:r w:rsidRPr="00064965">
              <w:rPr>
                <w:bCs/>
                <w:i/>
                <w:lang w:val="es-419"/>
              </w:rPr>
              <w:t xml:space="preserve">Cuestiones y horizontes. De la dependencia histórico-estructural a la </w:t>
            </w:r>
            <w:proofErr w:type="spellStart"/>
            <w:r w:rsidRPr="00064965">
              <w:rPr>
                <w:bCs/>
                <w:i/>
                <w:lang w:val="es-419"/>
              </w:rPr>
              <w:t>colonialidad</w:t>
            </w:r>
            <w:proofErr w:type="spellEnd"/>
            <w:r w:rsidRPr="00064965">
              <w:rPr>
                <w:bCs/>
                <w:i/>
                <w:lang w:val="es-419"/>
              </w:rPr>
              <w:t>/</w:t>
            </w:r>
            <w:proofErr w:type="spellStart"/>
            <w:r w:rsidRPr="00064965">
              <w:rPr>
                <w:bCs/>
                <w:i/>
                <w:lang w:val="es-419"/>
              </w:rPr>
              <w:t>descolonialidad</w:t>
            </w:r>
            <w:proofErr w:type="spellEnd"/>
            <w:r w:rsidRPr="00064965">
              <w:rPr>
                <w:bCs/>
                <w:i/>
                <w:lang w:val="es-419"/>
              </w:rPr>
              <w:t xml:space="preserve"> del poder</w:t>
            </w:r>
            <w:r w:rsidRPr="00064965">
              <w:rPr>
                <w:bCs/>
                <w:lang w:val="es-419"/>
              </w:rPr>
              <w:t xml:space="preserve">, 75-124. Buenos Aires: CLACSO; Lima: Universidad Nacional Mayor de San Marcos, 2020. Acceso el 17 de diciembre de 2020. </w:t>
            </w:r>
            <w:hyperlink r:id="rId58" w:history="1">
              <w:r w:rsidRPr="00064965">
                <w:rPr>
                  <w:rStyle w:val="Hipervnculo"/>
                  <w:bCs/>
                  <w:lang w:val="es-419"/>
                </w:rPr>
                <w:t>http://biblioteca.clacso.edu.ar/clacso/se/2014042401472</w:t>
              </w:r>
              <w:r w:rsidRPr="00064965">
                <w:rPr>
                  <w:rStyle w:val="Hipervnculo"/>
                  <w:bCs/>
                  <w:lang w:val="es-419"/>
                </w:rPr>
                <w:lastRenderedPageBreak/>
                <w:t>0/Cuestionesyhorizontes.pdf</w:t>
              </w:r>
            </w:hyperlink>
            <w:r w:rsidRPr="00064965">
              <w:rPr>
                <w:bCs/>
                <w:color w:val="00B050"/>
                <w:lang w:val="es-419"/>
              </w:rPr>
              <w:t xml:space="preserve"> </w:t>
            </w:r>
            <w:r>
              <w:rPr>
                <w:bCs/>
                <w:color w:val="00B050"/>
                <w:lang w:val="es-419"/>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4DB89AC8" w14:textId="77777777" w:rsidR="00345767" w:rsidRPr="0026369F" w:rsidRDefault="00345767" w:rsidP="00104785">
            <w:pPr>
              <w:rPr>
                <w:rFonts w:cs="Arial"/>
                <w:color w:val="0070C0"/>
              </w:rPr>
            </w:pPr>
            <w:r>
              <w:rPr>
                <w:rFonts w:cs="Arial"/>
                <w:color w:val="0070C0"/>
              </w:rPr>
              <w:t>Guía para la participación en un foro en la plataforma Moodle</w:t>
            </w:r>
          </w:p>
        </w:tc>
        <w:tc>
          <w:tcPr>
            <w:tcW w:w="2976" w:type="dxa"/>
            <w:shd w:val="clear" w:color="auto" w:fill="FFFFFF" w:themeFill="background1"/>
          </w:tcPr>
          <w:p w14:paraId="3E16D820" w14:textId="77777777" w:rsidR="00345767" w:rsidRPr="00064965" w:rsidRDefault="00345767" w:rsidP="00104785">
            <w:pPr>
              <w:pStyle w:val="Prrafodelista"/>
              <w:numPr>
                <w:ilvl w:val="0"/>
                <w:numId w:val="27"/>
              </w:numPr>
              <w:spacing w:after="160" w:line="259" w:lineRule="auto"/>
              <w:ind w:left="314"/>
              <w:rPr>
                <w:rFonts w:asciiTheme="minorHAnsi" w:hAnsiTheme="minorHAnsi" w:cs="Arial"/>
              </w:rPr>
            </w:pPr>
            <w:r w:rsidRPr="00064965">
              <w:rPr>
                <w:rFonts w:asciiTheme="minorHAnsi" w:hAnsiTheme="minorHAnsi" w:cs="Arial"/>
              </w:rPr>
              <w:lastRenderedPageBreak/>
              <w:t xml:space="preserve">Elaboración de fichas de contenido sobre la lectura de la sesión. </w:t>
            </w:r>
          </w:p>
          <w:p w14:paraId="0D6E2BEE" w14:textId="77777777" w:rsidR="00345767" w:rsidRPr="00064965" w:rsidRDefault="00345767" w:rsidP="00104785">
            <w:pPr>
              <w:pStyle w:val="Prrafodelista"/>
              <w:numPr>
                <w:ilvl w:val="0"/>
                <w:numId w:val="27"/>
              </w:numPr>
              <w:spacing w:after="160" w:line="259" w:lineRule="auto"/>
              <w:ind w:left="314"/>
              <w:rPr>
                <w:rFonts w:asciiTheme="minorHAnsi" w:hAnsiTheme="minorHAnsi" w:cs="Arial"/>
              </w:rPr>
            </w:pPr>
            <w:r w:rsidRPr="00064965">
              <w:rPr>
                <w:rFonts w:asciiTheme="minorHAnsi" w:hAnsiTheme="minorHAnsi" w:cs="Arial"/>
              </w:rPr>
              <w:t xml:space="preserve">Participación en el foro temático: Desafíos de la sociología latinoamericana. </w:t>
            </w:r>
          </w:p>
        </w:tc>
      </w:tr>
      <w:tr w:rsidR="00345767" w:rsidRPr="0095338B" w14:paraId="36422098" w14:textId="77777777" w:rsidTr="00104785">
        <w:trPr>
          <w:jc w:val="center"/>
        </w:trPr>
        <w:tc>
          <w:tcPr>
            <w:tcW w:w="1271" w:type="dxa"/>
          </w:tcPr>
          <w:p w14:paraId="1EE95F35" w14:textId="77777777" w:rsidR="00345767" w:rsidRPr="00064965" w:rsidRDefault="00345767" w:rsidP="00104785">
            <w:pPr>
              <w:jc w:val="center"/>
              <w:rPr>
                <w:rFonts w:cs="Arial"/>
              </w:rPr>
            </w:pPr>
          </w:p>
          <w:p w14:paraId="79F63E0E" w14:textId="77777777" w:rsidR="00345767" w:rsidRPr="00064965" w:rsidRDefault="00345767" w:rsidP="00104785">
            <w:pPr>
              <w:jc w:val="center"/>
              <w:rPr>
                <w:rFonts w:cs="Arial"/>
              </w:rPr>
            </w:pPr>
            <w:r w:rsidRPr="00064965">
              <w:rPr>
                <w:rFonts w:cs="Arial"/>
              </w:rPr>
              <w:t>8</w:t>
            </w:r>
          </w:p>
          <w:p w14:paraId="76B79C10" w14:textId="77777777" w:rsidR="00345767" w:rsidRPr="00064965" w:rsidRDefault="00345767" w:rsidP="00104785">
            <w:pPr>
              <w:jc w:val="center"/>
              <w:rPr>
                <w:rFonts w:cs="Arial"/>
                <w:color w:val="FF0000"/>
              </w:rPr>
            </w:pPr>
          </w:p>
        </w:tc>
        <w:tc>
          <w:tcPr>
            <w:tcW w:w="2552" w:type="dxa"/>
          </w:tcPr>
          <w:p w14:paraId="7CEB111D"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4: Elementos para realizar el análisis social</w:t>
            </w:r>
          </w:p>
          <w:p w14:paraId="60FC76C0" w14:textId="77777777" w:rsidR="00345767" w:rsidRPr="00064965" w:rsidRDefault="00345767" w:rsidP="00104785">
            <w:pPr>
              <w:pStyle w:val="Normalcontenido"/>
              <w:ind w:left="0" w:firstLine="0"/>
              <w:rPr>
                <w:rFonts w:asciiTheme="minorHAnsi" w:hAnsiTheme="minorHAnsi" w:cs="Arial"/>
                <w:sz w:val="22"/>
                <w:szCs w:val="22"/>
              </w:rPr>
            </w:pPr>
          </w:p>
          <w:p w14:paraId="50648F45"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4.1 Estructura social</w:t>
            </w:r>
          </w:p>
        </w:tc>
        <w:tc>
          <w:tcPr>
            <w:tcW w:w="2835" w:type="dxa"/>
          </w:tcPr>
          <w:p w14:paraId="3CD93D02" w14:textId="77777777" w:rsidR="00345767" w:rsidRPr="0076384B" w:rsidRDefault="00345767" w:rsidP="00104785">
            <w:r>
              <w:rPr>
                <w:rFonts w:cs="Arial"/>
                <w:color w:val="0070C0"/>
              </w:rPr>
              <w:t>Ruta de aprendizaje</w:t>
            </w:r>
          </w:p>
          <w:p w14:paraId="750641A0" w14:textId="77777777" w:rsidR="00345767" w:rsidRPr="00064965" w:rsidRDefault="00345767" w:rsidP="00104785">
            <w:r w:rsidRPr="0076384B">
              <w:t xml:space="preserve">Giddens, Anthony y Philip Sutton. </w:t>
            </w:r>
            <w:r w:rsidRPr="00064965">
              <w:t>“Estructuras de la sociedad”.</w:t>
            </w:r>
            <w:r w:rsidRPr="00064965">
              <w:rPr>
                <w:color w:val="FF0000"/>
              </w:rPr>
              <w:t xml:space="preserve"> </w:t>
            </w:r>
            <w:r w:rsidRPr="00064965">
              <w:t xml:space="preserve">En </w:t>
            </w:r>
            <w:r w:rsidRPr="00064965">
              <w:rPr>
                <w:i/>
              </w:rPr>
              <w:t>Conceptos esenciales de sociología</w:t>
            </w:r>
            <w:r w:rsidRPr="00064965">
              <w:t>, 111-143. España: Alianza Editorial, 2015.</w:t>
            </w:r>
            <w: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0C109768" w14:textId="77777777" w:rsidR="00345767" w:rsidRPr="00064965" w:rsidRDefault="00345767" w:rsidP="00104785">
            <w:pPr>
              <w:rPr>
                <w:b/>
                <w:bCs/>
              </w:rPr>
            </w:pPr>
            <w:r w:rsidRPr="00064965">
              <w:rPr>
                <w:b/>
                <w:bCs/>
              </w:rPr>
              <w:t>Material complementario</w:t>
            </w:r>
          </w:p>
          <w:p w14:paraId="738D230E" w14:textId="77777777" w:rsidR="00345767" w:rsidRPr="00064965" w:rsidRDefault="00345767" w:rsidP="00104785">
            <w:r w:rsidRPr="00064965">
              <w:t xml:space="preserve">Davie, Grace. “Minorías y márgenes”. En </w:t>
            </w:r>
            <w:r w:rsidRPr="00064965">
              <w:rPr>
                <w:i/>
                <w:iCs/>
              </w:rPr>
              <w:t>Sociología de la religión</w:t>
            </w:r>
            <w:r w:rsidRPr="00064965">
              <w:t>, 209-239. Madrid: Akal, 2011.</w:t>
            </w:r>
            <w: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r w:rsidRPr="00064965">
              <w:t xml:space="preserve"> </w:t>
            </w:r>
          </w:p>
        </w:tc>
        <w:tc>
          <w:tcPr>
            <w:tcW w:w="2976" w:type="dxa"/>
          </w:tcPr>
          <w:p w14:paraId="0886CBB9" w14:textId="77777777" w:rsidR="00345767" w:rsidRPr="00064965" w:rsidRDefault="00345767" w:rsidP="00104785">
            <w:pPr>
              <w:pStyle w:val="Prrafodelista"/>
              <w:widowControl w:val="0"/>
              <w:numPr>
                <w:ilvl w:val="0"/>
                <w:numId w:val="28"/>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Realización del informe de una primera observación participante sobre la estructura social de un grupo particular. </w:t>
            </w:r>
          </w:p>
        </w:tc>
      </w:tr>
      <w:tr w:rsidR="00345767" w:rsidRPr="0095338B" w14:paraId="11839B98" w14:textId="77777777" w:rsidTr="00104785">
        <w:trPr>
          <w:jc w:val="center"/>
        </w:trPr>
        <w:tc>
          <w:tcPr>
            <w:tcW w:w="1271" w:type="dxa"/>
          </w:tcPr>
          <w:p w14:paraId="21E93D63" w14:textId="77777777" w:rsidR="00345767" w:rsidRPr="00064965" w:rsidRDefault="00345767" w:rsidP="00104785">
            <w:pPr>
              <w:jc w:val="center"/>
              <w:rPr>
                <w:rFonts w:cs="Arial"/>
              </w:rPr>
            </w:pPr>
          </w:p>
          <w:p w14:paraId="0BE4D476" w14:textId="77777777" w:rsidR="00345767" w:rsidRPr="00064965" w:rsidRDefault="00345767" w:rsidP="00104785">
            <w:pPr>
              <w:jc w:val="center"/>
              <w:rPr>
                <w:rFonts w:cs="Arial"/>
              </w:rPr>
            </w:pPr>
            <w:r w:rsidRPr="00064965">
              <w:rPr>
                <w:rFonts w:cs="Arial"/>
              </w:rPr>
              <w:t>9</w:t>
            </w:r>
          </w:p>
          <w:p w14:paraId="64B77002" w14:textId="77777777" w:rsidR="00345767" w:rsidRPr="00064965" w:rsidRDefault="00345767" w:rsidP="00104785">
            <w:pPr>
              <w:jc w:val="center"/>
              <w:rPr>
                <w:rFonts w:cs="Arial"/>
                <w:color w:val="FF0000"/>
              </w:rPr>
            </w:pPr>
          </w:p>
        </w:tc>
        <w:tc>
          <w:tcPr>
            <w:tcW w:w="2552" w:type="dxa"/>
          </w:tcPr>
          <w:p w14:paraId="6C50DEF5"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4: Elementos para realizar el análisis social</w:t>
            </w:r>
          </w:p>
          <w:p w14:paraId="75863BDC" w14:textId="77777777" w:rsidR="00345767" w:rsidRPr="00064965" w:rsidRDefault="00345767" w:rsidP="00104785">
            <w:pPr>
              <w:rPr>
                <w:rFonts w:cs="Arial"/>
              </w:rPr>
            </w:pPr>
          </w:p>
          <w:p w14:paraId="39B365A0" w14:textId="77777777" w:rsidR="00345767" w:rsidRPr="00064965" w:rsidRDefault="00345767" w:rsidP="00104785">
            <w:pPr>
              <w:rPr>
                <w:rFonts w:cs="Arial"/>
              </w:rPr>
            </w:pPr>
            <w:r w:rsidRPr="00064965">
              <w:rPr>
                <w:rFonts w:cs="Arial"/>
              </w:rPr>
              <w:t>4.2 Desigualdad y pobreza</w:t>
            </w:r>
          </w:p>
          <w:p w14:paraId="324E8AF6" w14:textId="77777777" w:rsidR="00345767" w:rsidRPr="00064965" w:rsidRDefault="00345767" w:rsidP="00104785">
            <w:pPr>
              <w:pStyle w:val="Normalcontenido"/>
              <w:ind w:left="0" w:firstLine="0"/>
              <w:rPr>
                <w:rFonts w:asciiTheme="minorHAnsi" w:hAnsiTheme="minorHAnsi" w:cs="Arial"/>
                <w:sz w:val="22"/>
                <w:szCs w:val="22"/>
              </w:rPr>
            </w:pPr>
          </w:p>
        </w:tc>
        <w:tc>
          <w:tcPr>
            <w:tcW w:w="2835" w:type="dxa"/>
          </w:tcPr>
          <w:p w14:paraId="0A35BF0F" w14:textId="77777777" w:rsidR="00345767" w:rsidRPr="0076384B" w:rsidRDefault="00345767" w:rsidP="00104785">
            <w:r>
              <w:rPr>
                <w:rFonts w:cs="Arial"/>
                <w:color w:val="0070C0"/>
              </w:rPr>
              <w:t>Ruta de aprendizaje</w:t>
            </w:r>
          </w:p>
          <w:p w14:paraId="4AEF650F" w14:textId="77777777" w:rsidR="00345767" w:rsidRPr="00064965" w:rsidRDefault="00345767" w:rsidP="00104785">
            <w:r w:rsidRPr="0076384B">
              <w:t xml:space="preserve">Giddens, Anthony y Philip Sutton. </w:t>
            </w:r>
            <w:r w:rsidRPr="00064965">
              <w:t>“Desigualdad de oportunidades vitales”.</w:t>
            </w:r>
            <w:r w:rsidRPr="00064965">
              <w:rPr>
                <w:color w:val="FF0000"/>
              </w:rPr>
              <w:t xml:space="preserve"> </w:t>
            </w:r>
            <w:r w:rsidRPr="00064965">
              <w:t xml:space="preserve">En </w:t>
            </w:r>
            <w:r w:rsidRPr="00064965">
              <w:rPr>
                <w:i/>
              </w:rPr>
              <w:t>Conceptos esenciales de sociología</w:t>
            </w:r>
            <w:r w:rsidRPr="00064965">
              <w:t>, 145-181. España: Alianza Editorial, 2015.</w:t>
            </w:r>
            <w: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5D04DCA5" w14:textId="77777777" w:rsidR="00345767" w:rsidRPr="00064965" w:rsidRDefault="00345767" w:rsidP="00104785">
            <w:pPr>
              <w:rPr>
                <w:b/>
                <w:bCs/>
              </w:rPr>
            </w:pPr>
            <w:r w:rsidRPr="00064965">
              <w:rPr>
                <w:b/>
                <w:bCs/>
              </w:rPr>
              <w:t>Material complementario</w:t>
            </w:r>
          </w:p>
          <w:p w14:paraId="1E918ADF" w14:textId="77777777" w:rsidR="00345767" w:rsidRPr="00064965" w:rsidRDefault="00345767" w:rsidP="00104785">
            <w:pPr>
              <w:rPr>
                <w:rFonts w:cs="Arial"/>
              </w:rPr>
            </w:pPr>
            <w:proofErr w:type="spellStart"/>
            <w:r w:rsidRPr="00064965">
              <w:rPr>
                <w:bCs/>
                <w:lang w:val="es-419"/>
              </w:rPr>
              <w:t>Dierckxsens</w:t>
            </w:r>
            <w:proofErr w:type="spellEnd"/>
            <w:r w:rsidRPr="00064965">
              <w:rPr>
                <w:bCs/>
                <w:lang w:val="es-419"/>
              </w:rPr>
              <w:t xml:space="preserve">, </w:t>
            </w:r>
            <w:proofErr w:type="spellStart"/>
            <w:r w:rsidRPr="00064965">
              <w:rPr>
                <w:bCs/>
                <w:lang w:val="es-419"/>
              </w:rPr>
              <w:t>Wim</w:t>
            </w:r>
            <w:proofErr w:type="spellEnd"/>
            <w:r w:rsidRPr="00064965">
              <w:rPr>
                <w:bCs/>
                <w:lang w:val="es-419"/>
              </w:rPr>
              <w:t xml:space="preserve">. “La </w:t>
            </w:r>
            <w:proofErr w:type="spellStart"/>
            <w:r w:rsidRPr="00064965">
              <w:rPr>
                <w:bCs/>
                <w:lang w:val="es-419"/>
              </w:rPr>
              <w:t>re-conexión</w:t>
            </w:r>
            <w:proofErr w:type="spellEnd"/>
            <w:r w:rsidRPr="00064965">
              <w:rPr>
                <w:bCs/>
                <w:lang w:val="es-419"/>
              </w:rPr>
              <w:t xml:space="preserve"> de la economía con los pueblos”. En </w:t>
            </w:r>
            <w:r w:rsidRPr="00064965">
              <w:rPr>
                <w:bCs/>
                <w:i/>
                <w:lang w:val="es-419"/>
              </w:rPr>
              <w:t xml:space="preserve">La crisis mundial del siglo XXI: Oportunidad de transición al </w:t>
            </w:r>
            <w:proofErr w:type="spellStart"/>
            <w:r w:rsidRPr="00064965">
              <w:rPr>
                <w:bCs/>
                <w:i/>
                <w:lang w:val="es-419"/>
              </w:rPr>
              <w:t>poscapitalismo</w:t>
            </w:r>
            <w:proofErr w:type="spellEnd"/>
            <w:r w:rsidRPr="00064965">
              <w:rPr>
                <w:bCs/>
                <w:iCs/>
                <w:lang w:val="es-419"/>
              </w:rPr>
              <w:t>, 111-121.</w:t>
            </w:r>
            <w:r w:rsidRPr="00064965">
              <w:rPr>
                <w:bCs/>
                <w:i/>
                <w:lang w:val="es-419"/>
              </w:rPr>
              <w:t xml:space="preserve"> </w:t>
            </w:r>
            <w:r w:rsidRPr="00064965">
              <w:rPr>
                <w:bCs/>
                <w:lang w:val="es-419"/>
              </w:rPr>
              <w:t>San José: DEI; Bogotá: Ediciones desde abajo, 2008.</w:t>
            </w:r>
            <w:r>
              <w:rPr>
                <w:bCs/>
                <w:lang w:val="es-419"/>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50895A30" w14:textId="77777777" w:rsidR="00345767" w:rsidRPr="00064965" w:rsidRDefault="00345767" w:rsidP="00104785">
            <w:pPr>
              <w:rPr>
                <w:rFonts w:cs="Arial"/>
              </w:rPr>
            </w:pPr>
            <w:r>
              <w:rPr>
                <w:rFonts w:cs="Arial"/>
                <w:color w:val="0070C0"/>
              </w:rPr>
              <w:t xml:space="preserve">Guía para la participación mediante la herramienta Big </w:t>
            </w:r>
            <w:r>
              <w:rPr>
                <w:rFonts w:cs="Arial"/>
                <w:color w:val="0070C0"/>
              </w:rPr>
              <w:lastRenderedPageBreak/>
              <w:t xml:space="preserve">Blue </w:t>
            </w:r>
            <w:proofErr w:type="spellStart"/>
            <w:r>
              <w:rPr>
                <w:rFonts w:cs="Arial"/>
                <w:color w:val="0070C0"/>
              </w:rPr>
              <w:t>Button</w:t>
            </w:r>
            <w:proofErr w:type="spellEnd"/>
            <w:r>
              <w:rPr>
                <w:rFonts w:cs="Arial"/>
                <w:color w:val="0070C0"/>
              </w:rPr>
              <w:t xml:space="preserve"> en la plataforma Moodle</w:t>
            </w:r>
          </w:p>
        </w:tc>
        <w:tc>
          <w:tcPr>
            <w:tcW w:w="2976" w:type="dxa"/>
          </w:tcPr>
          <w:p w14:paraId="4055C0B9" w14:textId="77777777" w:rsidR="00345767" w:rsidRPr="00064965" w:rsidRDefault="00345767" w:rsidP="00104785">
            <w:pPr>
              <w:pStyle w:val="Prrafodelista"/>
              <w:widowControl w:val="0"/>
              <w:numPr>
                <w:ilvl w:val="0"/>
                <w:numId w:val="28"/>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lastRenderedPageBreak/>
              <w:t xml:space="preserve">Realización del informe de una segunda observación participante sobre la estructura social de un grupo particular. </w:t>
            </w:r>
          </w:p>
          <w:p w14:paraId="34CF5884" w14:textId="77777777" w:rsidR="00345767" w:rsidRPr="00064965" w:rsidRDefault="00345767" w:rsidP="00104785">
            <w:pPr>
              <w:pStyle w:val="Prrafodelista"/>
              <w:widowControl w:val="0"/>
              <w:numPr>
                <w:ilvl w:val="0"/>
                <w:numId w:val="28"/>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Exposición docente en un encuentro sincrónico virtual. </w:t>
            </w:r>
          </w:p>
        </w:tc>
      </w:tr>
      <w:tr w:rsidR="00345767" w:rsidRPr="0095338B" w14:paraId="760CD14E" w14:textId="77777777" w:rsidTr="00104785">
        <w:trPr>
          <w:jc w:val="center"/>
        </w:trPr>
        <w:tc>
          <w:tcPr>
            <w:tcW w:w="1271" w:type="dxa"/>
          </w:tcPr>
          <w:p w14:paraId="00F4CF51" w14:textId="77777777" w:rsidR="00345767" w:rsidRPr="00064965" w:rsidRDefault="00345767" w:rsidP="00104785">
            <w:pPr>
              <w:jc w:val="center"/>
              <w:rPr>
                <w:rFonts w:cs="Arial"/>
              </w:rPr>
            </w:pPr>
          </w:p>
          <w:p w14:paraId="4AC219A3" w14:textId="77777777" w:rsidR="00345767" w:rsidRPr="00064965" w:rsidRDefault="00345767" w:rsidP="00104785">
            <w:pPr>
              <w:jc w:val="center"/>
              <w:rPr>
                <w:rFonts w:cs="Arial"/>
              </w:rPr>
            </w:pPr>
            <w:r w:rsidRPr="00064965">
              <w:rPr>
                <w:rFonts w:cs="Arial"/>
              </w:rPr>
              <w:t>10</w:t>
            </w:r>
          </w:p>
          <w:p w14:paraId="135E5970" w14:textId="77777777" w:rsidR="00345767" w:rsidRPr="00064965" w:rsidRDefault="00345767" w:rsidP="00104785">
            <w:pPr>
              <w:jc w:val="center"/>
              <w:rPr>
                <w:rFonts w:cs="Arial"/>
                <w:color w:val="FF0000"/>
              </w:rPr>
            </w:pPr>
          </w:p>
        </w:tc>
        <w:tc>
          <w:tcPr>
            <w:tcW w:w="2552" w:type="dxa"/>
          </w:tcPr>
          <w:p w14:paraId="2599C6C0"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4: Elementos para realizar el análisis social</w:t>
            </w:r>
          </w:p>
          <w:p w14:paraId="176A7BE9" w14:textId="77777777" w:rsidR="00345767" w:rsidRPr="00064965" w:rsidRDefault="00345767" w:rsidP="00104785">
            <w:pPr>
              <w:pStyle w:val="Normalcontenido"/>
              <w:ind w:left="0" w:firstLine="0"/>
              <w:rPr>
                <w:rFonts w:asciiTheme="minorHAnsi" w:hAnsiTheme="minorHAnsi" w:cs="Arial"/>
                <w:sz w:val="22"/>
                <w:szCs w:val="22"/>
              </w:rPr>
            </w:pPr>
          </w:p>
          <w:p w14:paraId="6B204A0C"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4.3 El cambio social</w:t>
            </w:r>
          </w:p>
        </w:tc>
        <w:tc>
          <w:tcPr>
            <w:tcW w:w="2835" w:type="dxa"/>
          </w:tcPr>
          <w:p w14:paraId="50C5953C" w14:textId="77777777" w:rsidR="00345767" w:rsidRPr="0076384B" w:rsidRDefault="00345767" w:rsidP="00104785">
            <w:pPr>
              <w:rPr>
                <w:rFonts w:cstheme="minorHAnsi"/>
              </w:rPr>
            </w:pPr>
            <w:r>
              <w:rPr>
                <w:rFonts w:cs="Arial"/>
                <w:color w:val="0070C0"/>
              </w:rPr>
              <w:t>Ruta de aprendizaje</w:t>
            </w:r>
          </w:p>
          <w:p w14:paraId="46FB07C5" w14:textId="77777777" w:rsidR="00345767" w:rsidRPr="00064965" w:rsidRDefault="00345767" w:rsidP="00104785">
            <w:pPr>
              <w:rPr>
                <w:rFonts w:cstheme="minorHAnsi"/>
                <w:lang w:val="es-ES"/>
              </w:rPr>
            </w:pPr>
            <w:r w:rsidRPr="0076384B">
              <w:rPr>
                <w:rFonts w:cstheme="minorHAnsi"/>
              </w:rPr>
              <w:t xml:space="preserve">Giddens, Anthony y Philip Sutton. </w:t>
            </w:r>
            <w:r w:rsidRPr="00064965">
              <w:rPr>
                <w:rFonts w:cstheme="minorHAnsi"/>
              </w:rPr>
              <w:t>“La globalización y el cambio social”.</w:t>
            </w:r>
            <w:r w:rsidRPr="00064965">
              <w:rPr>
                <w:rFonts w:cstheme="minorHAnsi"/>
                <w:color w:val="FF0000"/>
              </w:rPr>
              <w:t xml:space="preserve"> </w:t>
            </w:r>
            <w:r w:rsidRPr="00064965">
              <w:rPr>
                <w:rFonts w:cstheme="minorHAnsi"/>
                <w:lang w:val="es-ES"/>
              </w:rPr>
              <w:t xml:space="preserve">En </w:t>
            </w:r>
            <w:r w:rsidRPr="00064965">
              <w:rPr>
                <w:rFonts w:cstheme="minorHAnsi"/>
                <w:i/>
                <w:lang w:val="es-ES"/>
              </w:rPr>
              <w:t xml:space="preserve">Sociología, </w:t>
            </w:r>
            <w:r w:rsidRPr="00064965">
              <w:rPr>
                <w:rFonts w:cstheme="minorHAnsi"/>
                <w:lang w:val="es-ES"/>
              </w:rPr>
              <w:t>140-187.</w:t>
            </w:r>
            <w:r w:rsidRPr="00064965">
              <w:rPr>
                <w:rFonts w:cstheme="minorHAnsi"/>
                <w:color w:val="FF0000"/>
                <w:lang w:val="es-ES"/>
              </w:rPr>
              <w:t xml:space="preserve"> </w:t>
            </w:r>
            <w:r w:rsidRPr="00064965">
              <w:rPr>
                <w:rFonts w:cstheme="minorHAnsi"/>
                <w:lang w:val="es-ES"/>
              </w:rPr>
              <w:t>Madrid: Alianza Editorial, 2017.</w:t>
            </w:r>
            <w:r>
              <w:rPr>
                <w:rFonts w:cstheme="minorHAnsi"/>
                <w:lang w:val="es-ES"/>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2765FCC4" w14:textId="77777777" w:rsidR="00345767" w:rsidRPr="00064965" w:rsidRDefault="00345767" w:rsidP="00104785">
            <w:pPr>
              <w:rPr>
                <w:rFonts w:cstheme="minorHAnsi"/>
                <w:b/>
                <w:bCs/>
                <w:lang w:val="es-ES"/>
              </w:rPr>
            </w:pPr>
            <w:r w:rsidRPr="00064965">
              <w:rPr>
                <w:rFonts w:cstheme="minorHAnsi"/>
                <w:b/>
                <w:bCs/>
                <w:lang w:val="es-ES"/>
              </w:rPr>
              <w:t>Material complementario</w:t>
            </w:r>
          </w:p>
          <w:p w14:paraId="0E9EA9C6" w14:textId="77777777" w:rsidR="00345767" w:rsidRPr="00064965" w:rsidRDefault="00345767" w:rsidP="00104785">
            <w:pPr>
              <w:rPr>
                <w:rFonts w:cs="Arial"/>
              </w:rPr>
            </w:pPr>
            <w:r w:rsidRPr="00064965">
              <w:rPr>
                <w:bCs/>
                <w:lang w:val="es-419"/>
              </w:rPr>
              <w:t xml:space="preserve">Sotomayor López, Francisco. “Marginalidad vs. exclusión social en América Latina: Un debate político, no solo semántico”. </w:t>
            </w:r>
            <w:r w:rsidRPr="00064965">
              <w:rPr>
                <w:bCs/>
                <w:i/>
                <w:lang w:val="es-419"/>
              </w:rPr>
              <w:t>Margen</w:t>
            </w:r>
            <w:r w:rsidRPr="00064965">
              <w:rPr>
                <w:bCs/>
                <w:lang w:val="es-419"/>
              </w:rPr>
              <w:t xml:space="preserve">, n. 94 (2019): 1-7. Acceso el 17 de diciembre de 2020.  </w:t>
            </w:r>
            <w:hyperlink r:id="rId59" w:history="1">
              <w:r w:rsidRPr="00064965">
                <w:rPr>
                  <w:rStyle w:val="Hipervnculo"/>
                  <w:bCs/>
                  <w:lang w:val="es-419"/>
                </w:rPr>
                <w:t>https://www.margen.org/suscri/margen94/Sotomayor-94.pdf</w:t>
              </w:r>
            </w:hyperlink>
          </w:p>
        </w:tc>
        <w:tc>
          <w:tcPr>
            <w:tcW w:w="2976" w:type="dxa"/>
          </w:tcPr>
          <w:p w14:paraId="77E3B7BD" w14:textId="77777777" w:rsidR="00345767" w:rsidRPr="00064965" w:rsidRDefault="00345767" w:rsidP="00104785">
            <w:pPr>
              <w:pStyle w:val="Prrafodelista"/>
              <w:widowControl w:val="0"/>
              <w:numPr>
                <w:ilvl w:val="0"/>
                <w:numId w:val="29"/>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Elaboración de una reflexión personal sobre los efectos de la globalización en el grupo observado. </w:t>
            </w:r>
          </w:p>
        </w:tc>
      </w:tr>
      <w:tr w:rsidR="00345767" w:rsidRPr="0095338B" w14:paraId="33CC7648" w14:textId="77777777" w:rsidTr="00104785">
        <w:trPr>
          <w:jc w:val="center"/>
        </w:trPr>
        <w:tc>
          <w:tcPr>
            <w:tcW w:w="1271" w:type="dxa"/>
          </w:tcPr>
          <w:p w14:paraId="64C6A315" w14:textId="77777777" w:rsidR="00345767" w:rsidRPr="00064965" w:rsidRDefault="00345767" w:rsidP="00104785">
            <w:pPr>
              <w:jc w:val="center"/>
              <w:rPr>
                <w:rFonts w:cs="Arial"/>
              </w:rPr>
            </w:pPr>
          </w:p>
          <w:p w14:paraId="336B3F50" w14:textId="77777777" w:rsidR="00345767" w:rsidRPr="00064965" w:rsidRDefault="00345767" w:rsidP="00104785">
            <w:pPr>
              <w:jc w:val="center"/>
              <w:rPr>
                <w:rFonts w:cs="Arial"/>
              </w:rPr>
            </w:pPr>
            <w:r w:rsidRPr="00064965">
              <w:rPr>
                <w:rFonts w:cs="Arial"/>
              </w:rPr>
              <w:t>11</w:t>
            </w:r>
          </w:p>
          <w:p w14:paraId="34689C02" w14:textId="77777777" w:rsidR="00345767" w:rsidRPr="00064965" w:rsidRDefault="00345767" w:rsidP="00104785">
            <w:pPr>
              <w:jc w:val="center"/>
              <w:rPr>
                <w:rFonts w:cs="Arial"/>
                <w:color w:val="FF0000"/>
              </w:rPr>
            </w:pPr>
          </w:p>
        </w:tc>
        <w:tc>
          <w:tcPr>
            <w:tcW w:w="2552" w:type="dxa"/>
          </w:tcPr>
          <w:p w14:paraId="2C35B831"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4: Elementos para realizar el análisis social</w:t>
            </w:r>
          </w:p>
          <w:p w14:paraId="23E803DF" w14:textId="77777777" w:rsidR="00345767" w:rsidRPr="00064965" w:rsidRDefault="00345767" w:rsidP="00104785">
            <w:pPr>
              <w:pStyle w:val="Normalcontenido"/>
              <w:ind w:left="0" w:firstLine="0"/>
              <w:rPr>
                <w:rFonts w:asciiTheme="minorHAnsi" w:hAnsiTheme="minorHAnsi" w:cs="Arial"/>
                <w:sz w:val="22"/>
                <w:szCs w:val="22"/>
              </w:rPr>
            </w:pPr>
          </w:p>
          <w:p w14:paraId="16E95436" w14:textId="77777777" w:rsidR="00345767" w:rsidRPr="00064965" w:rsidRDefault="00345767" w:rsidP="00104785">
            <w:pPr>
              <w:pStyle w:val="Normalcontenido"/>
              <w:ind w:left="0" w:firstLine="0"/>
              <w:rPr>
                <w:rFonts w:asciiTheme="minorHAnsi" w:hAnsiTheme="minorHAnsi" w:cs="Arial"/>
                <w:sz w:val="22"/>
                <w:szCs w:val="22"/>
              </w:rPr>
            </w:pPr>
            <w:r w:rsidRPr="00064965">
              <w:rPr>
                <w:rFonts w:asciiTheme="minorHAnsi" w:hAnsiTheme="minorHAnsi" w:cs="Arial"/>
                <w:sz w:val="22"/>
                <w:szCs w:val="22"/>
              </w:rPr>
              <w:t>4.4 Movimientos sociales, redes y estrategias para la convivencia</w:t>
            </w:r>
          </w:p>
        </w:tc>
        <w:tc>
          <w:tcPr>
            <w:tcW w:w="2835" w:type="dxa"/>
          </w:tcPr>
          <w:p w14:paraId="10505910" w14:textId="77777777" w:rsidR="00345767" w:rsidRDefault="00345767" w:rsidP="00104785">
            <w:pPr>
              <w:rPr>
                <w:rFonts w:cstheme="minorHAnsi"/>
                <w:lang w:val="es-ES"/>
              </w:rPr>
            </w:pPr>
            <w:r>
              <w:rPr>
                <w:rFonts w:cs="Arial"/>
                <w:color w:val="0070C0"/>
              </w:rPr>
              <w:t>Ruta de aprendizaje</w:t>
            </w:r>
          </w:p>
          <w:p w14:paraId="75756C30" w14:textId="77777777" w:rsidR="00345767" w:rsidRDefault="00345767" w:rsidP="00104785">
            <w:pPr>
              <w:rPr>
                <w:rFonts w:cstheme="minorHAnsi"/>
                <w:lang w:val="es-ES"/>
              </w:rPr>
            </w:pPr>
            <w:proofErr w:type="spellStart"/>
            <w:r w:rsidRPr="00064965">
              <w:rPr>
                <w:rFonts w:cstheme="minorHAnsi"/>
                <w:lang w:val="es-ES"/>
              </w:rPr>
              <w:t>Pleyers</w:t>
            </w:r>
            <w:proofErr w:type="spellEnd"/>
            <w:r w:rsidRPr="00064965">
              <w:rPr>
                <w:rFonts w:cstheme="minorHAnsi"/>
                <w:lang w:val="es-ES"/>
              </w:rPr>
              <w:t xml:space="preserve">, </w:t>
            </w:r>
            <w:r w:rsidRPr="00064965">
              <w:t>Geoffrey</w:t>
            </w:r>
            <w:r w:rsidRPr="00064965">
              <w:rPr>
                <w:rFonts w:cstheme="minorHAnsi"/>
                <w:lang w:val="es-ES"/>
              </w:rPr>
              <w:t xml:space="preserve">. “Volverse actores. Dos vías del activismo en el siglo XXI”, “Los movimientos sociales como productores de la sociedad”. En </w:t>
            </w:r>
            <w:r w:rsidRPr="00064965">
              <w:rPr>
                <w:rFonts w:cstheme="minorHAnsi"/>
                <w:i/>
                <w:lang w:val="es-ES"/>
              </w:rPr>
              <w:t xml:space="preserve">Movimientos sociales en el siglo XXI: perspectivas y herramientas analíticas, </w:t>
            </w:r>
            <w:r w:rsidRPr="00064965">
              <w:rPr>
                <w:rFonts w:cstheme="minorHAnsi"/>
                <w:lang w:val="es-ES"/>
              </w:rPr>
              <w:t>45-53 y 91-111.</w:t>
            </w:r>
            <w:r w:rsidRPr="00064965">
              <w:rPr>
                <w:rFonts w:cstheme="minorHAnsi"/>
                <w:i/>
                <w:lang w:val="es-ES"/>
              </w:rPr>
              <w:t xml:space="preserve"> </w:t>
            </w:r>
            <w:r w:rsidRPr="00064965">
              <w:rPr>
                <w:rFonts w:cstheme="minorHAnsi"/>
                <w:lang w:val="es-ES"/>
              </w:rPr>
              <w:t xml:space="preserve">Buenos Aires: CLACSO, 2018. </w:t>
            </w:r>
            <w:r>
              <w:rPr>
                <w:rFonts w:cstheme="minorHAnsi"/>
                <w:lang w:val="es-ES"/>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34C4622D" w14:textId="77777777" w:rsidR="00345767" w:rsidRDefault="00345767" w:rsidP="00104785">
            <w:pPr>
              <w:rPr>
                <w:rFonts w:cstheme="minorHAnsi"/>
                <w:b/>
                <w:bCs/>
                <w:color w:val="0070C0"/>
                <w:lang w:val="es-ES"/>
              </w:rPr>
            </w:pPr>
            <w:r w:rsidRPr="000026CB">
              <w:rPr>
                <w:rFonts w:cstheme="minorHAnsi"/>
                <w:b/>
                <w:bCs/>
                <w:color w:val="0070C0"/>
                <w:lang w:val="es-ES"/>
              </w:rPr>
              <w:t>Material complementario</w:t>
            </w:r>
          </w:p>
          <w:p w14:paraId="6CF7322F" w14:textId="77777777" w:rsidR="00345767" w:rsidRPr="00E86C16" w:rsidRDefault="00345767" w:rsidP="00104785">
            <w:pPr>
              <w:rPr>
                <w:rFonts w:cstheme="minorHAnsi"/>
                <w:lang w:val="es-ES"/>
              </w:rPr>
            </w:pPr>
            <w:r>
              <w:rPr>
                <w:rFonts w:cstheme="minorHAnsi"/>
                <w:color w:val="0070C0"/>
                <w:lang w:val="es-ES"/>
              </w:rPr>
              <w:t>Guía para la elaboración de una reseña crítica de lectura</w:t>
            </w:r>
          </w:p>
          <w:p w14:paraId="624D2D1C" w14:textId="77777777" w:rsidR="00345767" w:rsidRPr="00064965" w:rsidRDefault="00345767" w:rsidP="00104785">
            <w:pPr>
              <w:jc w:val="both"/>
              <w:rPr>
                <w:rFonts w:cstheme="minorHAnsi"/>
                <w:noProof/>
              </w:rPr>
            </w:pPr>
          </w:p>
        </w:tc>
        <w:tc>
          <w:tcPr>
            <w:tcW w:w="2976" w:type="dxa"/>
          </w:tcPr>
          <w:p w14:paraId="45C864B6" w14:textId="77777777" w:rsidR="00345767" w:rsidRPr="00064965" w:rsidRDefault="00345767" w:rsidP="00104785">
            <w:pPr>
              <w:pStyle w:val="Prrafodelista"/>
              <w:widowControl w:val="0"/>
              <w:numPr>
                <w:ilvl w:val="0"/>
                <w:numId w:val="29"/>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Elaboración de una reseña crítica de la lectura. </w:t>
            </w:r>
          </w:p>
        </w:tc>
      </w:tr>
      <w:tr w:rsidR="00345767" w:rsidRPr="0095338B" w14:paraId="22818218" w14:textId="77777777" w:rsidTr="00104785">
        <w:trPr>
          <w:jc w:val="center"/>
        </w:trPr>
        <w:tc>
          <w:tcPr>
            <w:tcW w:w="1271" w:type="dxa"/>
          </w:tcPr>
          <w:p w14:paraId="45E26BAB" w14:textId="77777777" w:rsidR="00345767" w:rsidRPr="00064965" w:rsidRDefault="00345767" w:rsidP="00104785">
            <w:pPr>
              <w:jc w:val="center"/>
              <w:rPr>
                <w:rFonts w:cs="Arial"/>
                <w:color w:val="000000" w:themeColor="text1"/>
              </w:rPr>
            </w:pPr>
          </w:p>
          <w:p w14:paraId="1A494BDA" w14:textId="77777777" w:rsidR="00345767" w:rsidRPr="00064965" w:rsidRDefault="00345767" w:rsidP="00104785">
            <w:pPr>
              <w:jc w:val="center"/>
              <w:rPr>
                <w:rFonts w:cs="Arial"/>
                <w:color w:val="000000" w:themeColor="text1"/>
              </w:rPr>
            </w:pPr>
            <w:r w:rsidRPr="00064965">
              <w:rPr>
                <w:rFonts w:cs="Arial"/>
                <w:color w:val="000000" w:themeColor="text1"/>
              </w:rPr>
              <w:t>12</w:t>
            </w:r>
          </w:p>
          <w:p w14:paraId="08EF9DAD" w14:textId="77777777" w:rsidR="00345767" w:rsidRPr="00064965" w:rsidRDefault="00345767" w:rsidP="00104785">
            <w:pPr>
              <w:jc w:val="center"/>
              <w:rPr>
                <w:rFonts w:cs="Arial"/>
                <w:color w:val="000000" w:themeColor="text1"/>
              </w:rPr>
            </w:pPr>
          </w:p>
        </w:tc>
        <w:tc>
          <w:tcPr>
            <w:tcW w:w="2552" w:type="dxa"/>
          </w:tcPr>
          <w:p w14:paraId="6B80A127"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lastRenderedPageBreak/>
              <w:t>Unidad 4: Elementos para realizar el análisis social</w:t>
            </w:r>
          </w:p>
          <w:p w14:paraId="40B354EC" w14:textId="77777777" w:rsidR="00345767" w:rsidRPr="00064965" w:rsidRDefault="00345767" w:rsidP="00104785">
            <w:pPr>
              <w:pStyle w:val="Normalcontenido"/>
              <w:ind w:left="0" w:firstLine="0"/>
              <w:rPr>
                <w:rFonts w:asciiTheme="minorHAnsi" w:hAnsiTheme="minorHAnsi" w:cs="Arial"/>
                <w:sz w:val="22"/>
                <w:szCs w:val="22"/>
              </w:rPr>
            </w:pPr>
          </w:p>
          <w:p w14:paraId="3ACDB009" w14:textId="77777777" w:rsidR="00345767" w:rsidRPr="00064965" w:rsidRDefault="00345767" w:rsidP="00104785">
            <w:pPr>
              <w:rPr>
                <w:rFonts w:cs="Arial"/>
              </w:rPr>
            </w:pPr>
            <w:r w:rsidRPr="00064965">
              <w:rPr>
                <w:rFonts w:cs="Arial"/>
              </w:rPr>
              <w:t>4.4 Movimientos sociales, redes y estrategias para la convivencia</w:t>
            </w:r>
          </w:p>
        </w:tc>
        <w:tc>
          <w:tcPr>
            <w:tcW w:w="2835" w:type="dxa"/>
          </w:tcPr>
          <w:p w14:paraId="7FE71BFD" w14:textId="77777777" w:rsidR="00345767" w:rsidRDefault="00345767" w:rsidP="00104785">
            <w:pPr>
              <w:rPr>
                <w:rFonts w:cstheme="minorHAnsi"/>
                <w:lang w:val="es-ES"/>
              </w:rPr>
            </w:pPr>
            <w:r>
              <w:rPr>
                <w:rFonts w:cs="Arial"/>
                <w:color w:val="0070C0"/>
              </w:rPr>
              <w:lastRenderedPageBreak/>
              <w:t>Ruta de aprendizaje</w:t>
            </w:r>
          </w:p>
          <w:p w14:paraId="6029A721" w14:textId="77777777" w:rsidR="00345767" w:rsidRDefault="00345767" w:rsidP="00104785">
            <w:pPr>
              <w:rPr>
                <w:rFonts w:cstheme="minorHAnsi"/>
                <w:lang w:val="es-ES"/>
              </w:rPr>
            </w:pPr>
            <w:proofErr w:type="spellStart"/>
            <w:r w:rsidRPr="00064965">
              <w:rPr>
                <w:rFonts w:cstheme="minorHAnsi"/>
                <w:lang w:val="es-ES"/>
              </w:rPr>
              <w:lastRenderedPageBreak/>
              <w:t>Pleyers</w:t>
            </w:r>
            <w:proofErr w:type="spellEnd"/>
            <w:r w:rsidRPr="00064965">
              <w:rPr>
                <w:rFonts w:cstheme="minorHAnsi"/>
                <w:lang w:val="es-ES"/>
              </w:rPr>
              <w:t xml:space="preserve">, </w:t>
            </w:r>
            <w:r w:rsidRPr="00064965">
              <w:t>Geoffrey</w:t>
            </w:r>
            <w:r w:rsidRPr="00064965">
              <w:rPr>
                <w:rFonts w:cstheme="minorHAnsi"/>
                <w:lang w:val="es-ES"/>
              </w:rPr>
              <w:t xml:space="preserve">. “Para una sociología global de los movimientos sociales”. En </w:t>
            </w:r>
            <w:r w:rsidRPr="00064965">
              <w:rPr>
                <w:rFonts w:cstheme="minorHAnsi"/>
                <w:i/>
                <w:lang w:val="es-ES"/>
              </w:rPr>
              <w:t xml:space="preserve">Movimientos sociales en el siglo XXI: perspectivas y herramientas analíticas, </w:t>
            </w:r>
            <w:r w:rsidRPr="00064965">
              <w:rPr>
                <w:rFonts w:cstheme="minorHAnsi"/>
                <w:lang w:val="es-ES"/>
              </w:rPr>
              <w:t>129-143.</w:t>
            </w:r>
            <w:r w:rsidRPr="00064965">
              <w:rPr>
                <w:rFonts w:cstheme="minorHAnsi"/>
                <w:i/>
                <w:lang w:val="es-ES"/>
              </w:rPr>
              <w:t xml:space="preserve"> </w:t>
            </w:r>
            <w:r w:rsidRPr="00064965">
              <w:rPr>
                <w:rFonts w:cstheme="minorHAnsi"/>
                <w:lang w:val="es-ES"/>
              </w:rPr>
              <w:t>Buenos Aires: CLACSO, 2018.</w:t>
            </w:r>
            <w:r>
              <w:rPr>
                <w:rFonts w:cstheme="minorHAnsi"/>
                <w:lang w:val="es-ES"/>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38FD7E52" w14:textId="77777777" w:rsidR="00345767" w:rsidRDefault="00345767" w:rsidP="00104785">
            <w:pPr>
              <w:rPr>
                <w:rFonts w:cstheme="minorHAnsi"/>
                <w:b/>
                <w:bCs/>
                <w:color w:val="0070C0"/>
                <w:lang w:val="es-ES"/>
              </w:rPr>
            </w:pPr>
            <w:r w:rsidRPr="000026CB">
              <w:rPr>
                <w:rFonts w:cstheme="minorHAnsi"/>
                <w:b/>
                <w:bCs/>
                <w:color w:val="0070C0"/>
                <w:lang w:val="es-ES"/>
              </w:rPr>
              <w:t>Material complementario</w:t>
            </w:r>
          </w:p>
          <w:p w14:paraId="6FE3E7C1" w14:textId="77777777" w:rsidR="00345767" w:rsidRPr="00C12BFB" w:rsidRDefault="00345767" w:rsidP="00104785">
            <w:r>
              <w:rPr>
                <w:rFonts w:cstheme="minorHAnsi"/>
                <w:color w:val="0070C0"/>
                <w:lang w:val="es-ES"/>
              </w:rPr>
              <w:t>Guía para la participación en un wiki en la plataforma Moodle</w:t>
            </w:r>
          </w:p>
        </w:tc>
        <w:tc>
          <w:tcPr>
            <w:tcW w:w="2976" w:type="dxa"/>
          </w:tcPr>
          <w:p w14:paraId="153EBA65" w14:textId="77777777" w:rsidR="00345767" w:rsidRPr="00064965" w:rsidRDefault="00345767" w:rsidP="00104785">
            <w:pPr>
              <w:pStyle w:val="Prrafodelista"/>
              <w:numPr>
                <w:ilvl w:val="0"/>
                <w:numId w:val="29"/>
              </w:numPr>
              <w:spacing w:after="160" w:line="259" w:lineRule="auto"/>
              <w:ind w:left="314"/>
              <w:rPr>
                <w:rFonts w:asciiTheme="minorHAnsi" w:hAnsiTheme="minorHAnsi" w:cstheme="minorHAnsi"/>
                <w:szCs w:val="18"/>
              </w:rPr>
            </w:pPr>
            <w:r w:rsidRPr="00064965">
              <w:rPr>
                <w:rFonts w:asciiTheme="minorHAnsi" w:hAnsiTheme="minorHAnsi" w:cstheme="minorHAnsi"/>
                <w:szCs w:val="18"/>
              </w:rPr>
              <w:lastRenderedPageBreak/>
              <w:t xml:space="preserve">Participación en la elaboración de un wiki sobre movimientos </w:t>
            </w:r>
            <w:r w:rsidRPr="00064965">
              <w:rPr>
                <w:rFonts w:asciiTheme="minorHAnsi" w:hAnsiTheme="minorHAnsi" w:cstheme="minorHAnsi"/>
                <w:szCs w:val="18"/>
              </w:rPr>
              <w:lastRenderedPageBreak/>
              <w:t xml:space="preserve">sociales, redes y estrategias para la convivencia. </w:t>
            </w:r>
          </w:p>
        </w:tc>
      </w:tr>
      <w:tr w:rsidR="00345767" w:rsidRPr="0095338B" w14:paraId="7CE9991F" w14:textId="77777777" w:rsidTr="00104785">
        <w:trPr>
          <w:trHeight w:val="1582"/>
          <w:jc w:val="center"/>
        </w:trPr>
        <w:tc>
          <w:tcPr>
            <w:tcW w:w="1271" w:type="dxa"/>
          </w:tcPr>
          <w:p w14:paraId="5D689E8B" w14:textId="77777777" w:rsidR="00345767" w:rsidRPr="00064965" w:rsidRDefault="00345767" w:rsidP="00104785">
            <w:pPr>
              <w:jc w:val="center"/>
              <w:rPr>
                <w:rFonts w:cs="Arial"/>
              </w:rPr>
            </w:pPr>
          </w:p>
          <w:p w14:paraId="119733CF" w14:textId="77777777" w:rsidR="00345767" w:rsidRPr="00064965" w:rsidRDefault="00345767" w:rsidP="00104785">
            <w:pPr>
              <w:jc w:val="center"/>
              <w:rPr>
                <w:rFonts w:cs="Arial"/>
              </w:rPr>
            </w:pPr>
            <w:r w:rsidRPr="00064965">
              <w:rPr>
                <w:rFonts w:cs="Arial"/>
              </w:rPr>
              <w:t>13</w:t>
            </w:r>
          </w:p>
          <w:p w14:paraId="70AB4298" w14:textId="77777777" w:rsidR="00345767" w:rsidRPr="00064965" w:rsidRDefault="00345767" w:rsidP="00104785">
            <w:pPr>
              <w:jc w:val="center"/>
              <w:rPr>
                <w:rFonts w:cs="Arial"/>
                <w:color w:val="FF0000"/>
              </w:rPr>
            </w:pPr>
          </w:p>
        </w:tc>
        <w:tc>
          <w:tcPr>
            <w:tcW w:w="2552" w:type="dxa"/>
          </w:tcPr>
          <w:p w14:paraId="7526BC79" w14:textId="77777777" w:rsidR="00345767" w:rsidRPr="0033762F" w:rsidRDefault="00345767" w:rsidP="00104785">
            <w:pPr>
              <w:pStyle w:val="Normalcontenido"/>
              <w:ind w:left="0" w:firstLine="0"/>
              <w:rPr>
                <w:rFonts w:asciiTheme="minorHAnsi" w:hAnsiTheme="minorHAnsi" w:cs="Arial"/>
                <w:b/>
                <w:bCs/>
                <w:sz w:val="22"/>
                <w:szCs w:val="22"/>
              </w:rPr>
            </w:pPr>
            <w:r w:rsidRPr="0033762F">
              <w:rPr>
                <w:rFonts w:asciiTheme="minorHAnsi" w:hAnsiTheme="minorHAnsi" w:cs="Arial"/>
                <w:b/>
                <w:bCs/>
                <w:sz w:val="22"/>
                <w:szCs w:val="22"/>
              </w:rPr>
              <w:t>Unidad 4: Elementos para realizar el análisis social</w:t>
            </w:r>
          </w:p>
          <w:p w14:paraId="6A196684" w14:textId="77777777" w:rsidR="00345767" w:rsidRPr="00064965" w:rsidRDefault="00345767" w:rsidP="00104785">
            <w:pPr>
              <w:pStyle w:val="Normalcontenido"/>
              <w:ind w:left="0" w:firstLine="0"/>
              <w:rPr>
                <w:rFonts w:asciiTheme="minorHAnsi" w:hAnsiTheme="minorHAnsi" w:cs="Arial"/>
                <w:sz w:val="22"/>
                <w:szCs w:val="22"/>
              </w:rPr>
            </w:pPr>
          </w:p>
          <w:p w14:paraId="6B7EB9D5" w14:textId="77777777" w:rsidR="00345767" w:rsidRPr="00064965" w:rsidRDefault="00345767" w:rsidP="00104785">
            <w:pPr>
              <w:rPr>
                <w:rFonts w:cs="Arial"/>
              </w:rPr>
            </w:pPr>
            <w:r w:rsidRPr="00064965">
              <w:rPr>
                <w:rFonts w:cs="Arial"/>
              </w:rPr>
              <w:t>4.4 Movimientos sociales, redes y estrategias para la convivencia</w:t>
            </w:r>
          </w:p>
          <w:p w14:paraId="77ABFF16" w14:textId="77777777" w:rsidR="00345767" w:rsidRPr="00064965" w:rsidRDefault="00345767" w:rsidP="00104785">
            <w:pPr>
              <w:rPr>
                <w:rFonts w:cs="Arial"/>
              </w:rPr>
            </w:pPr>
          </w:p>
          <w:p w14:paraId="1C65DF9D" w14:textId="77777777" w:rsidR="00345767" w:rsidRPr="00064965" w:rsidRDefault="00345767" w:rsidP="00104785">
            <w:pPr>
              <w:rPr>
                <w:rFonts w:cs="Arial"/>
              </w:rPr>
            </w:pPr>
          </w:p>
        </w:tc>
        <w:tc>
          <w:tcPr>
            <w:tcW w:w="2835" w:type="dxa"/>
          </w:tcPr>
          <w:p w14:paraId="0B403DD0" w14:textId="77777777" w:rsidR="00345767" w:rsidRPr="0076384B" w:rsidRDefault="00345767" w:rsidP="00104785">
            <w:r>
              <w:rPr>
                <w:rFonts w:cs="Arial"/>
                <w:color w:val="0070C0"/>
              </w:rPr>
              <w:t>Ruta de aprendizaje</w:t>
            </w:r>
          </w:p>
          <w:p w14:paraId="3A901BBF" w14:textId="77777777" w:rsidR="00345767" w:rsidRDefault="00345767" w:rsidP="00104785">
            <w:r w:rsidRPr="0076384B">
              <w:t xml:space="preserve">Giddens, Anthony y Philip Sutton. </w:t>
            </w:r>
            <w:r w:rsidRPr="00064965">
              <w:t>“Relaciones y curso vital”, “Sociología política”.</w:t>
            </w:r>
            <w:r w:rsidRPr="00064965">
              <w:rPr>
                <w:color w:val="FF0000"/>
              </w:rPr>
              <w:t xml:space="preserve"> </w:t>
            </w:r>
            <w:r w:rsidRPr="00064965">
              <w:t xml:space="preserve">En </w:t>
            </w:r>
            <w:r w:rsidRPr="00064965">
              <w:rPr>
                <w:i/>
              </w:rPr>
              <w:t>Conceptos esenciales de sociología</w:t>
            </w:r>
            <w:r w:rsidRPr="00064965">
              <w:t>, 183-208 y 291-326. España: Alianza Editorial, 2015.</w:t>
            </w:r>
            <w: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4585374B" w14:textId="77777777" w:rsidR="00345767" w:rsidRPr="00064965" w:rsidRDefault="00345767" w:rsidP="00104785">
            <w:pPr>
              <w:rPr>
                <w:rFonts w:cs="Arial"/>
                <w:iCs/>
              </w:rPr>
            </w:pPr>
          </w:p>
        </w:tc>
        <w:tc>
          <w:tcPr>
            <w:tcW w:w="2976" w:type="dxa"/>
          </w:tcPr>
          <w:p w14:paraId="22A707F9" w14:textId="77777777" w:rsidR="00345767" w:rsidRPr="00064965" w:rsidRDefault="00345767" w:rsidP="00104785">
            <w:pPr>
              <w:pStyle w:val="Prrafodelista"/>
              <w:widowControl w:val="0"/>
              <w:numPr>
                <w:ilvl w:val="0"/>
                <w:numId w:val="29"/>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Realización del informe de una tercera observación participante sobre la estructura social de un grupo particular. </w:t>
            </w:r>
          </w:p>
        </w:tc>
      </w:tr>
      <w:tr w:rsidR="00345767" w:rsidRPr="0095338B" w14:paraId="5B65F3BD" w14:textId="77777777" w:rsidTr="00104785">
        <w:trPr>
          <w:jc w:val="center"/>
        </w:trPr>
        <w:tc>
          <w:tcPr>
            <w:tcW w:w="1271" w:type="dxa"/>
          </w:tcPr>
          <w:p w14:paraId="28A426E9" w14:textId="77777777" w:rsidR="00345767" w:rsidRPr="00064965" w:rsidRDefault="00345767" w:rsidP="00104785">
            <w:pPr>
              <w:jc w:val="center"/>
              <w:rPr>
                <w:rFonts w:cs="Arial"/>
                <w:color w:val="000000" w:themeColor="text1"/>
              </w:rPr>
            </w:pPr>
          </w:p>
          <w:p w14:paraId="3C757ACF" w14:textId="77777777" w:rsidR="00345767" w:rsidRPr="00064965" w:rsidRDefault="00345767" w:rsidP="00104785">
            <w:pPr>
              <w:jc w:val="center"/>
              <w:rPr>
                <w:rFonts w:cs="Arial"/>
                <w:color w:val="000000" w:themeColor="text1"/>
              </w:rPr>
            </w:pPr>
            <w:r w:rsidRPr="00064965">
              <w:rPr>
                <w:rFonts w:cs="Arial"/>
                <w:color w:val="000000" w:themeColor="text1"/>
              </w:rPr>
              <w:t>14</w:t>
            </w:r>
          </w:p>
          <w:p w14:paraId="01F51997" w14:textId="77777777" w:rsidR="00345767" w:rsidRPr="00064965" w:rsidRDefault="00345767" w:rsidP="00104785">
            <w:pPr>
              <w:jc w:val="center"/>
              <w:rPr>
                <w:rFonts w:cs="Arial"/>
                <w:color w:val="FF0000"/>
              </w:rPr>
            </w:pPr>
          </w:p>
        </w:tc>
        <w:tc>
          <w:tcPr>
            <w:tcW w:w="2552" w:type="dxa"/>
          </w:tcPr>
          <w:p w14:paraId="32E366C9" w14:textId="77777777" w:rsidR="00345767" w:rsidRPr="0033762F" w:rsidRDefault="00345767" w:rsidP="00104785">
            <w:pPr>
              <w:rPr>
                <w:rFonts w:cs="Arial"/>
                <w:b/>
                <w:bCs/>
              </w:rPr>
            </w:pPr>
            <w:r w:rsidRPr="0033762F">
              <w:rPr>
                <w:rFonts w:cs="Arial"/>
                <w:b/>
                <w:bCs/>
              </w:rPr>
              <w:t>Unidad 5: Enlaces transdisciplinarios</w:t>
            </w:r>
          </w:p>
          <w:p w14:paraId="58EAF7F3" w14:textId="77777777" w:rsidR="00345767" w:rsidRPr="00064965" w:rsidRDefault="00345767" w:rsidP="00104785">
            <w:pPr>
              <w:rPr>
                <w:rFonts w:cs="Arial"/>
              </w:rPr>
            </w:pPr>
          </w:p>
          <w:p w14:paraId="49370855" w14:textId="77777777" w:rsidR="00345767" w:rsidRPr="00064965" w:rsidRDefault="00345767" w:rsidP="00104785">
            <w:pPr>
              <w:rPr>
                <w:rFonts w:cs="Arial"/>
              </w:rPr>
            </w:pPr>
            <w:r w:rsidRPr="00064965">
              <w:rPr>
                <w:rFonts w:cs="Arial"/>
              </w:rPr>
              <w:t>5.1 Entretejido sociológico-teológico</w:t>
            </w:r>
          </w:p>
          <w:p w14:paraId="5F4783A9" w14:textId="77777777" w:rsidR="00345767" w:rsidRPr="00064965" w:rsidRDefault="00345767" w:rsidP="00104785">
            <w:pPr>
              <w:rPr>
                <w:rFonts w:cs="Arial"/>
              </w:rPr>
            </w:pPr>
          </w:p>
          <w:p w14:paraId="5592E1FB" w14:textId="77777777" w:rsidR="00345767" w:rsidRPr="00064965" w:rsidRDefault="00345767" w:rsidP="00104785">
            <w:pPr>
              <w:rPr>
                <w:rFonts w:cs="Arial"/>
              </w:rPr>
            </w:pPr>
          </w:p>
        </w:tc>
        <w:tc>
          <w:tcPr>
            <w:tcW w:w="2835" w:type="dxa"/>
          </w:tcPr>
          <w:p w14:paraId="7EF4301F" w14:textId="77777777" w:rsidR="00345767" w:rsidRDefault="00345767" w:rsidP="00104785">
            <w:pPr>
              <w:rPr>
                <w:rFonts w:cs="Arial"/>
                <w:lang w:val="es-ES"/>
              </w:rPr>
            </w:pPr>
            <w:r>
              <w:rPr>
                <w:rFonts w:cs="Arial"/>
                <w:color w:val="0070C0"/>
              </w:rPr>
              <w:t>Ruta de aprendizaje</w:t>
            </w:r>
          </w:p>
          <w:p w14:paraId="78E72293" w14:textId="77777777" w:rsidR="00345767" w:rsidRPr="00064965" w:rsidRDefault="00345767" w:rsidP="00104785">
            <w:pPr>
              <w:rPr>
                <w:rFonts w:cs="Arial"/>
                <w:lang w:val="es-ES"/>
              </w:rPr>
            </w:pPr>
            <w:r w:rsidRPr="00064965">
              <w:rPr>
                <w:rFonts w:cs="Arial"/>
                <w:lang w:val="es-ES"/>
              </w:rPr>
              <w:t xml:space="preserve">François, </w:t>
            </w:r>
            <w:proofErr w:type="spellStart"/>
            <w:r w:rsidRPr="00064965">
              <w:rPr>
                <w:rFonts w:cs="Arial"/>
                <w:lang w:val="es-ES"/>
              </w:rPr>
              <w:t>Dsingly</w:t>
            </w:r>
            <w:proofErr w:type="spellEnd"/>
            <w:r w:rsidRPr="00064965">
              <w:rPr>
                <w:rFonts w:cs="Arial"/>
                <w:lang w:val="es-ES"/>
              </w:rPr>
              <w:t xml:space="preserve">. “La sociología, forma particular de conciencia”. En </w:t>
            </w:r>
            <w:r w:rsidRPr="00064965">
              <w:rPr>
                <w:rFonts w:cs="Arial"/>
                <w:i/>
                <w:lang w:val="es-ES"/>
              </w:rPr>
              <w:t>¿Para qué sirve la sociología?</w:t>
            </w:r>
            <w:r w:rsidRPr="00064965">
              <w:rPr>
                <w:rFonts w:cs="Arial"/>
                <w:lang w:val="es-ES"/>
              </w:rPr>
              <w:t xml:space="preserve">, dirigido por </w:t>
            </w:r>
            <w:proofErr w:type="spellStart"/>
            <w:r w:rsidRPr="00064965">
              <w:rPr>
                <w:rFonts w:cs="Arial"/>
                <w:lang w:val="es-ES"/>
              </w:rPr>
              <w:t>Lahire</w:t>
            </w:r>
            <w:proofErr w:type="spellEnd"/>
            <w:r w:rsidRPr="00064965">
              <w:rPr>
                <w:rFonts w:cs="Arial"/>
                <w:lang w:val="es-ES"/>
              </w:rPr>
              <w:t xml:space="preserve"> Bernard, traducido por </w:t>
            </w:r>
            <w:proofErr w:type="spellStart"/>
            <w:r w:rsidRPr="00064965">
              <w:rPr>
                <w:rFonts w:cs="Arial"/>
                <w:lang w:val="es-ES"/>
              </w:rPr>
              <w:t>Victor</w:t>
            </w:r>
            <w:proofErr w:type="spellEnd"/>
            <w:r w:rsidRPr="00064965">
              <w:rPr>
                <w:rFonts w:cs="Arial"/>
                <w:lang w:val="es-ES"/>
              </w:rPr>
              <w:t xml:space="preserve"> Goldstein, 31-56. Buenos Aires: Siglo XXI, 2006.</w:t>
            </w:r>
            <w:r>
              <w:rPr>
                <w:rFonts w:cs="Arial"/>
                <w:lang w:val="es-ES"/>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5626516B" w14:textId="77777777" w:rsidR="00345767" w:rsidRDefault="00345767" w:rsidP="00104785">
            <w:pPr>
              <w:rPr>
                <w:rFonts w:cs="Arial"/>
                <w:lang w:val="es-ES"/>
              </w:rPr>
            </w:pPr>
            <w:proofErr w:type="spellStart"/>
            <w:r w:rsidRPr="00064965">
              <w:rPr>
                <w:rFonts w:cs="Arial"/>
                <w:lang w:val="es-ES"/>
              </w:rPr>
              <w:t>Martuccelli</w:t>
            </w:r>
            <w:proofErr w:type="spellEnd"/>
            <w:r w:rsidRPr="00064965">
              <w:rPr>
                <w:rFonts w:cs="Arial"/>
                <w:lang w:val="es-ES"/>
              </w:rPr>
              <w:t xml:space="preserve">, Danilo. “Sociología y postura crítica”. En </w:t>
            </w:r>
            <w:r w:rsidRPr="00064965">
              <w:rPr>
                <w:rFonts w:cs="Arial"/>
                <w:i/>
                <w:lang w:val="es-ES"/>
              </w:rPr>
              <w:t>¿Para qué sirve la sociología?</w:t>
            </w:r>
            <w:r w:rsidRPr="00064965">
              <w:rPr>
                <w:rFonts w:cs="Arial"/>
                <w:lang w:val="es-ES"/>
              </w:rPr>
              <w:t xml:space="preserve">, dirigido por </w:t>
            </w:r>
            <w:proofErr w:type="spellStart"/>
            <w:r w:rsidRPr="00064965">
              <w:rPr>
                <w:rFonts w:cs="Arial"/>
                <w:lang w:val="es-ES"/>
              </w:rPr>
              <w:t>Lahire</w:t>
            </w:r>
            <w:proofErr w:type="spellEnd"/>
            <w:r w:rsidRPr="00064965">
              <w:rPr>
                <w:rFonts w:cs="Arial"/>
                <w:lang w:val="es-ES"/>
              </w:rPr>
              <w:t xml:space="preserve"> Bernard, traducido por </w:t>
            </w:r>
            <w:proofErr w:type="spellStart"/>
            <w:r w:rsidRPr="00064965">
              <w:rPr>
                <w:rFonts w:cs="Arial"/>
                <w:lang w:val="es-ES"/>
              </w:rPr>
              <w:t>Victor</w:t>
            </w:r>
            <w:proofErr w:type="spellEnd"/>
            <w:r w:rsidRPr="00064965">
              <w:rPr>
                <w:rFonts w:cs="Arial"/>
                <w:lang w:val="es-ES"/>
              </w:rPr>
              <w:t xml:space="preserve"> Goldstein, 157-173. Buenos Aires: Siglo XXI, </w:t>
            </w:r>
            <w:r w:rsidRPr="00064965">
              <w:rPr>
                <w:rFonts w:cs="Arial"/>
                <w:lang w:val="es-ES"/>
              </w:rPr>
              <w:lastRenderedPageBreak/>
              <w:t>2006.</w:t>
            </w:r>
            <w:r>
              <w:rPr>
                <w:rFonts w:cs="Arial"/>
                <w:lang w:val="es-ES"/>
              </w:rPr>
              <w:t xml:space="preserve"> </w:t>
            </w:r>
            <w:r w:rsidRPr="00D3557F">
              <w:rPr>
                <w:color w:val="0070C0"/>
              </w:rPr>
              <w:t>(</w:t>
            </w:r>
            <w:r w:rsidRPr="0042361C">
              <w:rPr>
                <w:rFonts w:cstheme="minorHAnsi"/>
                <w:bCs/>
                <w:color w:val="0070C0"/>
                <w:lang w:val="es-419"/>
              </w:rPr>
              <w:t>clásico,</w:t>
            </w:r>
            <w:r>
              <w:rPr>
                <w:rFonts w:cstheme="minorHAnsi"/>
                <w:bCs/>
                <w:color w:val="0070C0"/>
                <w:lang w:val="es-419"/>
              </w:rPr>
              <w:t xml:space="preserve"> última edición)</w:t>
            </w:r>
          </w:p>
          <w:p w14:paraId="170E64FE" w14:textId="77777777" w:rsidR="00345767" w:rsidRDefault="00345767" w:rsidP="00104785">
            <w:pPr>
              <w:rPr>
                <w:rFonts w:cstheme="minorHAnsi"/>
                <w:b/>
                <w:bCs/>
                <w:color w:val="0070C0"/>
                <w:lang w:val="es-ES"/>
              </w:rPr>
            </w:pPr>
            <w:r w:rsidRPr="000026CB">
              <w:rPr>
                <w:rFonts w:cstheme="minorHAnsi"/>
                <w:b/>
                <w:bCs/>
                <w:color w:val="0070C0"/>
                <w:lang w:val="es-ES"/>
              </w:rPr>
              <w:t>Material complementario</w:t>
            </w:r>
          </w:p>
          <w:p w14:paraId="1E452610" w14:textId="77777777" w:rsidR="00345767" w:rsidRPr="0026338B" w:rsidRDefault="00345767" w:rsidP="00104785">
            <w:pPr>
              <w:rPr>
                <w:rFonts w:cs="Arial"/>
                <w:lang w:val="es-ES"/>
              </w:rPr>
            </w:pPr>
            <w:r>
              <w:rPr>
                <w:rFonts w:cstheme="minorHAnsi"/>
                <w:color w:val="0070C0"/>
                <w:lang w:val="es-ES"/>
              </w:rPr>
              <w:t>Guía para la participación en un foro en la plataforma Moodle</w:t>
            </w:r>
          </w:p>
        </w:tc>
        <w:tc>
          <w:tcPr>
            <w:tcW w:w="2976" w:type="dxa"/>
          </w:tcPr>
          <w:p w14:paraId="5DD1F9B8" w14:textId="77777777" w:rsidR="00345767" w:rsidRPr="00064965" w:rsidRDefault="00345767" w:rsidP="00104785">
            <w:pPr>
              <w:pStyle w:val="Prrafodelista"/>
              <w:widowControl w:val="0"/>
              <w:numPr>
                <w:ilvl w:val="0"/>
                <w:numId w:val="29"/>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lastRenderedPageBreak/>
              <w:t>Participación en el foro temático: Sociología y Teología.</w:t>
            </w:r>
          </w:p>
        </w:tc>
      </w:tr>
      <w:tr w:rsidR="00345767" w:rsidRPr="00971D68" w14:paraId="05B34A71" w14:textId="77777777" w:rsidTr="00104785">
        <w:trPr>
          <w:jc w:val="center"/>
        </w:trPr>
        <w:tc>
          <w:tcPr>
            <w:tcW w:w="1271" w:type="dxa"/>
          </w:tcPr>
          <w:p w14:paraId="71448913" w14:textId="77777777" w:rsidR="00345767" w:rsidRPr="00064965" w:rsidRDefault="00345767" w:rsidP="00104785">
            <w:pPr>
              <w:jc w:val="center"/>
              <w:rPr>
                <w:rFonts w:cs="Arial"/>
                <w:color w:val="000000" w:themeColor="text1"/>
              </w:rPr>
            </w:pPr>
          </w:p>
          <w:p w14:paraId="6D4BA1EC" w14:textId="77777777" w:rsidR="00345767" w:rsidRPr="00064965" w:rsidRDefault="00345767" w:rsidP="00104785">
            <w:pPr>
              <w:jc w:val="center"/>
              <w:rPr>
                <w:rFonts w:cs="Arial"/>
                <w:color w:val="000000" w:themeColor="text1"/>
              </w:rPr>
            </w:pPr>
            <w:r w:rsidRPr="00064965">
              <w:rPr>
                <w:rFonts w:cs="Arial"/>
                <w:color w:val="000000" w:themeColor="text1"/>
              </w:rPr>
              <w:t>15</w:t>
            </w:r>
          </w:p>
          <w:p w14:paraId="098FDD0A" w14:textId="77777777" w:rsidR="00345767" w:rsidRPr="00064965" w:rsidRDefault="00345767" w:rsidP="00104785">
            <w:pPr>
              <w:jc w:val="center"/>
              <w:rPr>
                <w:rFonts w:cs="Arial"/>
                <w:color w:val="FF0000"/>
              </w:rPr>
            </w:pPr>
          </w:p>
        </w:tc>
        <w:tc>
          <w:tcPr>
            <w:tcW w:w="2552" w:type="dxa"/>
          </w:tcPr>
          <w:p w14:paraId="6F1F7750" w14:textId="77777777" w:rsidR="00345767" w:rsidRPr="0033762F" w:rsidRDefault="00345767" w:rsidP="00104785">
            <w:pPr>
              <w:rPr>
                <w:rFonts w:cs="Arial"/>
                <w:b/>
                <w:bCs/>
              </w:rPr>
            </w:pPr>
            <w:r w:rsidRPr="0033762F">
              <w:rPr>
                <w:rFonts w:cs="Arial"/>
                <w:b/>
                <w:bCs/>
              </w:rPr>
              <w:t>Unidad 5: Enlaces transdisciplinarios</w:t>
            </w:r>
          </w:p>
          <w:p w14:paraId="2531181F" w14:textId="77777777" w:rsidR="00345767" w:rsidRPr="00064965" w:rsidRDefault="00345767" w:rsidP="00104785">
            <w:pPr>
              <w:rPr>
                <w:rFonts w:cs="Arial"/>
                <w:b/>
                <w:bCs/>
              </w:rPr>
            </w:pPr>
          </w:p>
          <w:p w14:paraId="67773201" w14:textId="77777777" w:rsidR="00345767" w:rsidRPr="00064965" w:rsidRDefault="00345767" w:rsidP="00104785">
            <w:pPr>
              <w:rPr>
                <w:rFonts w:cs="Arial"/>
              </w:rPr>
            </w:pPr>
            <w:r w:rsidRPr="00064965">
              <w:rPr>
                <w:rFonts w:cs="Arial"/>
              </w:rPr>
              <w:t>5.2 Puntos de contacto para el sistema de convivencia</w:t>
            </w:r>
          </w:p>
        </w:tc>
        <w:tc>
          <w:tcPr>
            <w:tcW w:w="2835" w:type="dxa"/>
          </w:tcPr>
          <w:p w14:paraId="62C63AE9" w14:textId="77777777" w:rsidR="00345767" w:rsidRDefault="00345767" w:rsidP="00104785">
            <w:pPr>
              <w:rPr>
                <w:rFonts w:cs="Arial"/>
                <w:color w:val="0070C0"/>
              </w:rPr>
            </w:pPr>
            <w:r>
              <w:rPr>
                <w:rFonts w:cs="Arial"/>
                <w:color w:val="0070C0"/>
              </w:rPr>
              <w:t>Ruta de aprendizaje</w:t>
            </w:r>
          </w:p>
          <w:p w14:paraId="69CEE1B8" w14:textId="77777777" w:rsidR="00345767" w:rsidRPr="00064965" w:rsidRDefault="00345767" w:rsidP="00104785">
            <w:pPr>
              <w:rPr>
                <w:rFonts w:cs="Arial"/>
                <w:color w:val="000000" w:themeColor="text1"/>
                <w:lang w:val="es-ES"/>
              </w:rPr>
            </w:pPr>
          </w:p>
        </w:tc>
        <w:tc>
          <w:tcPr>
            <w:tcW w:w="2976" w:type="dxa"/>
          </w:tcPr>
          <w:p w14:paraId="40B65152" w14:textId="77777777" w:rsidR="00345767" w:rsidRPr="00064965" w:rsidRDefault="00345767" w:rsidP="00104785">
            <w:pPr>
              <w:pStyle w:val="Prrafodelista"/>
              <w:widowControl w:val="0"/>
              <w:numPr>
                <w:ilvl w:val="0"/>
                <w:numId w:val="29"/>
              </w:numPr>
              <w:overflowPunct w:val="0"/>
              <w:autoSpaceDE w:val="0"/>
              <w:autoSpaceDN w:val="0"/>
              <w:adjustRightInd w:val="0"/>
              <w:spacing w:after="0" w:line="240" w:lineRule="auto"/>
              <w:ind w:left="314"/>
              <w:rPr>
                <w:rFonts w:asciiTheme="minorHAnsi" w:hAnsiTheme="minorHAnsi" w:cs="Arial"/>
              </w:rPr>
            </w:pPr>
            <w:r w:rsidRPr="00064965">
              <w:rPr>
                <w:rFonts w:asciiTheme="minorHAnsi" w:hAnsiTheme="minorHAnsi" w:cs="Arial"/>
              </w:rPr>
              <w:t xml:space="preserve">Entrega del informe completo de la observación participante sobre la estructura social de un grupo particular. </w:t>
            </w:r>
          </w:p>
          <w:p w14:paraId="2D5A8BD6" w14:textId="77777777" w:rsidR="00345767" w:rsidRPr="00064965" w:rsidRDefault="00345767" w:rsidP="00104785">
            <w:pPr>
              <w:pStyle w:val="Prrafodelista"/>
              <w:ind w:left="314"/>
              <w:rPr>
                <w:rFonts w:asciiTheme="minorHAnsi" w:hAnsiTheme="minorHAnsi" w:cs="Arial"/>
              </w:rPr>
            </w:pPr>
          </w:p>
        </w:tc>
      </w:tr>
    </w:tbl>
    <w:p w14:paraId="4A3B7F48" w14:textId="77777777" w:rsidR="00345767" w:rsidRDefault="00345767" w:rsidP="00345767">
      <w:pPr>
        <w:jc w:val="both"/>
        <w:rPr>
          <w:rFonts w:cstheme="minorHAnsi"/>
          <w:b/>
          <w:bCs/>
          <w:color w:val="000000" w:themeColor="text1"/>
        </w:rPr>
      </w:pPr>
    </w:p>
    <w:p w14:paraId="678EC9C4" w14:textId="77777777" w:rsidR="00345767" w:rsidRDefault="00345767" w:rsidP="00345767">
      <w:pPr>
        <w:jc w:val="both"/>
        <w:rPr>
          <w:rFonts w:cstheme="minorHAnsi"/>
          <w:b/>
          <w:bCs/>
          <w:color w:val="000000" w:themeColor="text1"/>
        </w:rPr>
      </w:pPr>
      <w:r>
        <w:rPr>
          <w:rFonts w:cstheme="minorHAnsi"/>
          <w:b/>
          <w:bCs/>
          <w:color w:val="000000" w:themeColor="text1"/>
        </w:rPr>
        <w:t>IX. Distribución de tiempo semanal</w:t>
      </w:r>
    </w:p>
    <w:p w14:paraId="6BDF5185" w14:textId="77777777" w:rsidR="00345767" w:rsidRDefault="00345767" w:rsidP="00345767">
      <w:pPr>
        <w:jc w:val="both"/>
        <w:rPr>
          <w:rFonts w:cstheme="minorHAnsi"/>
          <w:bCs/>
          <w:color w:val="000000" w:themeColor="text1"/>
        </w:rPr>
      </w:pPr>
      <w:r w:rsidRPr="00672BFF">
        <w:rPr>
          <w:rFonts w:cstheme="minorHAnsi"/>
          <w:bCs/>
          <w:color w:val="000000" w:themeColor="text1"/>
        </w:rPr>
        <w:t xml:space="preserve">Al ser este un curso impartido en la modalidad virtual no se requiere la asistencia a clases presenciales.  </w:t>
      </w:r>
      <w:r>
        <w:rPr>
          <w:rFonts w:cstheme="minorHAnsi"/>
          <w:bCs/>
          <w:color w:val="000000" w:themeColor="text1"/>
        </w:rPr>
        <w:t>Por ello, cada semana se asignan actividades que los y las estudiantes deben realizar para promover el diálogo con los contenidos y la asimilación de los temas a través de lecturas críticas, análisis, tareas, informes, discusiones en foros o trabajos colaborativos. Debe considerarse que, al tener este curso asignados 3 créditos, se debe invertir 9 horas de trabajo por semana. La distribución de tiempos es la siguiente:</w:t>
      </w:r>
    </w:p>
    <w:tbl>
      <w:tblPr>
        <w:tblStyle w:val="Tablaconcuadrcula"/>
        <w:tblW w:w="8784" w:type="dxa"/>
        <w:tblLook w:val="04A0" w:firstRow="1" w:lastRow="0" w:firstColumn="1" w:lastColumn="0" w:noHBand="0" w:noVBand="1"/>
      </w:tblPr>
      <w:tblGrid>
        <w:gridCol w:w="1838"/>
        <w:gridCol w:w="1418"/>
        <w:gridCol w:w="5528"/>
      </w:tblGrid>
      <w:tr w:rsidR="00345767" w:rsidRPr="00262D1E" w14:paraId="28612E6C" w14:textId="77777777" w:rsidTr="00104785">
        <w:tc>
          <w:tcPr>
            <w:tcW w:w="1838" w:type="dxa"/>
            <w:vAlign w:val="center"/>
          </w:tcPr>
          <w:p w14:paraId="59A2EE3B" w14:textId="77777777" w:rsidR="00345767" w:rsidRDefault="00345767" w:rsidP="00104785">
            <w:pPr>
              <w:jc w:val="center"/>
              <w:rPr>
                <w:rFonts w:cstheme="minorHAnsi"/>
                <w:b/>
                <w:bCs/>
                <w:color w:val="000000" w:themeColor="text1"/>
              </w:rPr>
            </w:pPr>
            <w:r>
              <w:rPr>
                <w:rFonts w:cstheme="minorHAnsi"/>
                <w:b/>
                <w:bCs/>
                <w:color w:val="000000" w:themeColor="text1"/>
              </w:rPr>
              <w:t>Tipo de horas</w:t>
            </w:r>
          </w:p>
          <w:p w14:paraId="5A9A3E59" w14:textId="77777777" w:rsidR="00345767" w:rsidRPr="00262D1E" w:rsidRDefault="00345767" w:rsidP="00104785">
            <w:pPr>
              <w:jc w:val="center"/>
              <w:rPr>
                <w:rFonts w:cstheme="minorHAnsi"/>
                <w:b/>
                <w:bCs/>
                <w:color w:val="000000" w:themeColor="text1"/>
              </w:rPr>
            </w:pPr>
            <w:r>
              <w:rPr>
                <w:rFonts w:cstheme="minorHAnsi"/>
                <w:b/>
                <w:bCs/>
                <w:color w:val="000000" w:themeColor="text1"/>
              </w:rPr>
              <w:t>(categoría)</w:t>
            </w:r>
          </w:p>
        </w:tc>
        <w:tc>
          <w:tcPr>
            <w:tcW w:w="1418" w:type="dxa"/>
            <w:vAlign w:val="center"/>
          </w:tcPr>
          <w:p w14:paraId="6A56D244" w14:textId="77777777" w:rsidR="00345767" w:rsidRPr="00262D1E" w:rsidRDefault="00345767" w:rsidP="00104785">
            <w:pPr>
              <w:jc w:val="center"/>
              <w:rPr>
                <w:rFonts w:cstheme="minorHAnsi"/>
                <w:b/>
                <w:bCs/>
                <w:color w:val="000000" w:themeColor="text1"/>
              </w:rPr>
            </w:pPr>
            <w:r w:rsidRPr="00262D1E">
              <w:rPr>
                <w:rFonts w:cstheme="minorHAnsi"/>
                <w:b/>
                <w:bCs/>
                <w:color w:val="000000" w:themeColor="text1"/>
              </w:rPr>
              <w:t>Horas por semana</w:t>
            </w:r>
          </w:p>
        </w:tc>
        <w:tc>
          <w:tcPr>
            <w:tcW w:w="5528" w:type="dxa"/>
            <w:vAlign w:val="center"/>
          </w:tcPr>
          <w:p w14:paraId="1FCD7729" w14:textId="77777777" w:rsidR="00345767" w:rsidRPr="00262D1E" w:rsidRDefault="00345767" w:rsidP="00104785">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345767" w14:paraId="6B3B012D" w14:textId="77777777" w:rsidTr="00104785">
        <w:trPr>
          <w:trHeight w:val="749"/>
        </w:trPr>
        <w:tc>
          <w:tcPr>
            <w:tcW w:w="1838" w:type="dxa"/>
            <w:vAlign w:val="center"/>
          </w:tcPr>
          <w:p w14:paraId="333EA67F" w14:textId="77777777" w:rsidR="00345767" w:rsidRDefault="00345767" w:rsidP="00104785">
            <w:pPr>
              <w:jc w:val="center"/>
              <w:rPr>
                <w:rFonts w:cstheme="minorHAnsi"/>
                <w:bCs/>
                <w:color w:val="000000" w:themeColor="text1"/>
              </w:rPr>
            </w:pPr>
            <w:r>
              <w:rPr>
                <w:rFonts w:cstheme="minorHAnsi"/>
                <w:bCs/>
                <w:color w:val="000000" w:themeColor="text1"/>
              </w:rPr>
              <w:t>Horas de Estudio Individual (HEI)</w:t>
            </w:r>
          </w:p>
        </w:tc>
        <w:tc>
          <w:tcPr>
            <w:tcW w:w="1418" w:type="dxa"/>
            <w:vAlign w:val="center"/>
          </w:tcPr>
          <w:p w14:paraId="058637FF" w14:textId="77777777" w:rsidR="00345767" w:rsidRDefault="00345767" w:rsidP="00104785">
            <w:pPr>
              <w:jc w:val="center"/>
              <w:rPr>
                <w:rFonts w:cstheme="minorHAnsi"/>
                <w:bCs/>
                <w:color w:val="000000" w:themeColor="text1"/>
              </w:rPr>
            </w:pPr>
            <w:r>
              <w:rPr>
                <w:rFonts w:cstheme="minorHAnsi"/>
                <w:bCs/>
                <w:color w:val="000000" w:themeColor="text1"/>
              </w:rPr>
              <w:t>2</w:t>
            </w:r>
          </w:p>
        </w:tc>
        <w:tc>
          <w:tcPr>
            <w:tcW w:w="5528" w:type="dxa"/>
            <w:vAlign w:val="center"/>
          </w:tcPr>
          <w:p w14:paraId="091EEDA8" w14:textId="77777777" w:rsidR="00345767" w:rsidRDefault="00345767" w:rsidP="00104785">
            <w:pPr>
              <w:pStyle w:val="Prrafodelista"/>
              <w:widowControl w:val="0"/>
              <w:numPr>
                <w:ilvl w:val="0"/>
                <w:numId w:val="29"/>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Lectura de los textos (materiales en formato digital).</w:t>
            </w:r>
          </w:p>
          <w:p w14:paraId="02900C78" w14:textId="77777777" w:rsidR="00345767" w:rsidRPr="00755273" w:rsidRDefault="00345767" w:rsidP="00104785">
            <w:pPr>
              <w:pStyle w:val="Prrafodelista"/>
              <w:widowControl w:val="0"/>
              <w:numPr>
                <w:ilvl w:val="0"/>
                <w:numId w:val="29"/>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Análisis de lecturas e investigación por cuenta propia. </w:t>
            </w:r>
          </w:p>
        </w:tc>
      </w:tr>
      <w:tr w:rsidR="00345767" w14:paraId="3025F938" w14:textId="77777777" w:rsidTr="00104785">
        <w:trPr>
          <w:trHeight w:val="1540"/>
        </w:trPr>
        <w:tc>
          <w:tcPr>
            <w:tcW w:w="1838" w:type="dxa"/>
            <w:vAlign w:val="center"/>
          </w:tcPr>
          <w:p w14:paraId="51A91449" w14:textId="77777777" w:rsidR="00345767" w:rsidRDefault="00345767" w:rsidP="00104785">
            <w:pPr>
              <w:jc w:val="center"/>
              <w:rPr>
                <w:rFonts w:cstheme="minorHAnsi"/>
                <w:bCs/>
                <w:color w:val="000000" w:themeColor="text1"/>
              </w:rPr>
            </w:pPr>
            <w:r>
              <w:rPr>
                <w:rFonts w:cstheme="minorHAnsi"/>
                <w:bCs/>
                <w:color w:val="000000" w:themeColor="text1"/>
              </w:rPr>
              <w:t>Horas de Trabajo Colaborativo (HTC)</w:t>
            </w:r>
          </w:p>
        </w:tc>
        <w:tc>
          <w:tcPr>
            <w:tcW w:w="1418" w:type="dxa"/>
            <w:vAlign w:val="center"/>
          </w:tcPr>
          <w:p w14:paraId="5E7C0584" w14:textId="77777777" w:rsidR="00345767" w:rsidRDefault="00345767" w:rsidP="00104785">
            <w:pPr>
              <w:jc w:val="center"/>
              <w:rPr>
                <w:rFonts w:cstheme="minorHAnsi"/>
                <w:bCs/>
                <w:color w:val="000000" w:themeColor="text1"/>
              </w:rPr>
            </w:pPr>
            <w:r>
              <w:rPr>
                <w:rFonts w:cstheme="minorHAnsi"/>
                <w:bCs/>
                <w:color w:val="000000" w:themeColor="text1"/>
              </w:rPr>
              <w:t>3</w:t>
            </w:r>
          </w:p>
        </w:tc>
        <w:tc>
          <w:tcPr>
            <w:tcW w:w="5528" w:type="dxa"/>
            <w:vAlign w:val="center"/>
          </w:tcPr>
          <w:p w14:paraId="56EC805A" w14:textId="77777777" w:rsidR="00345767" w:rsidRDefault="00345767" w:rsidP="00104785">
            <w:pPr>
              <w:pStyle w:val="Prrafodelista"/>
              <w:widowControl w:val="0"/>
              <w:numPr>
                <w:ilvl w:val="0"/>
                <w:numId w:val="30"/>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Participación en los foros (incluye aportes personales y réplicas a los y las demás estudiantes).</w:t>
            </w:r>
          </w:p>
          <w:p w14:paraId="4A04F002" w14:textId="77777777" w:rsidR="00345767" w:rsidRDefault="00345767" w:rsidP="00104785">
            <w:pPr>
              <w:pStyle w:val="Prrafodelista"/>
              <w:widowControl w:val="0"/>
              <w:numPr>
                <w:ilvl w:val="0"/>
                <w:numId w:val="30"/>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Participación en los encuentros sincrónicos virtuales. </w:t>
            </w:r>
          </w:p>
          <w:p w14:paraId="3A786B79" w14:textId="77777777" w:rsidR="00345767" w:rsidRDefault="00345767" w:rsidP="00104785">
            <w:pPr>
              <w:pStyle w:val="Prrafodelista"/>
              <w:widowControl w:val="0"/>
              <w:numPr>
                <w:ilvl w:val="0"/>
                <w:numId w:val="30"/>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Participación en la elaboración de un wiki. </w:t>
            </w:r>
          </w:p>
          <w:p w14:paraId="38BFC644" w14:textId="77777777" w:rsidR="00345767" w:rsidRPr="008A4846" w:rsidRDefault="00345767" w:rsidP="00104785">
            <w:pPr>
              <w:pStyle w:val="Prrafodelista"/>
              <w:widowControl w:val="0"/>
              <w:numPr>
                <w:ilvl w:val="0"/>
                <w:numId w:val="30"/>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una presentación audiovisual. </w:t>
            </w:r>
          </w:p>
        </w:tc>
      </w:tr>
      <w:tr w:rsidR="00345767" w14:paraId="30CD8A1E" w14:textId="77777777" w:rsidTr="00104785">
        <w:trPr>
          <w:trHeight w:val="1548"/>
        </w:trPr>
        <w:tc>
          <w:tcPr>
            <w:tcW w:w="1838" w:type="dxa"/>
            <w:vAlign w:val="center"/>
          </w:tcPr>
          <w:p w14:paraId="3BD69D01" w14:textId="77777777" w:rsidR="00345767" w:rsidRDefault="00345767" w:rsidP="00104785">
            <w:pPr>
              <w:jc w:val="center"/>
              <w:rPr>
                <w:rFonts w:cstheme="minorHAnsi"/>
                <w:bCs/>
                <w:color w:val="000000" w:themeColor="text1"/>
              </w:rPr>
            </w:pPr>
            <w:r>
              <w:rPr>
                <w:rFonts w:cstheme="minorHAnsi"/>
                <w:bCs/>
                <w:color w:val="000000" w:themeColor="text1"/>
              </w:rPr>
              <w:t>Horas de Producción Individual (HPI)</w:t>
            </w:r>
          </w:p>
        </w:tc>
        <w:tc>
          <w:tcPr>
            <w:tcW w:w="1418" w:type="dxa"/>
            <w:vAlign w:val="center"/>
          </w:tcPr>
          <w:p w14:paraId="33520A07" w14:textId="77777777" w:rsidR="00345767" w:rsidRDefault="00345767" w:rsidP="00104785">
            <w:pPr>
              <w:jc w:val="center"/>
              <w:rPr>
                <w:rFonts w:cstheme="minorHAnsi"/>
                <w:bCs/>
                <w:color w:val="000000" w:themeColor="text1"/>
              </w:rPr>
            </w:pPr>
            <w:r>
              <w:rPr>
                <w:rFonts w:cstheme="minorHAnsi"/>
                <w:bCs/>
                <w:color w:val="000000" w:themeColor="text1"/>
              </w:rPr>
              <w:t>3</w:t>
            </w:r>
          </w:p>
        </w:tc>
        <w:tc>
          <w:tcPr>
            <w:tcW w:w="5528" w:type="dxa"/>
            <w:vAlign w:val="center"/>
          </w:tcPr>
          <w:p w14:paraId="6D578023" w14:textId="77777777" w:rsidR="00345767" w:rsidRDefault="00345767" w:rsidP="00104785">
            <w:pPr>
              <w:pStyle w:val="Prrafodelista"/>
              <w:widowControl w:val="0"/>
              <w:numPr>
                <w:ilvl w:val="0"/>
                <w:numId w:val="31"/>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Elaboración de reseñas críticas de lecturas.</w:t>
            </w:r>
          </w:p>
          <w:p w14:paraId="50DBB780" w14:textId="77777777" w:rsidR="00345767" w:rsidRDefault="00345767" w:rsidP="00104785">
            <w:pPr>
              <w:pStyle w:val="Prrafodelista"/>
              <w:widowControl w:val="0"/>
              <w:numPr>
                <w:ilvl w:val="0"/>
                <w:numId w:val="31"/>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fichas de contenido. </w:t>
            </w:r>
          </w:p>
          <w:p w14:paraId="181B7BD9" w14:textId="77777777" w:rsidR="00345767" w:rsidRDefault="00345767" w:rsidP="00104785">
            <w:pPr>
              <w:pStyle w:val="Prrafodelista"/>
              <w:widowControl w:val="0"/>
              <w:numPr>
                <w:ilvl w:val="0"/>
                <w:numId w:val="31"/>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una reflexión personal. </w:t>
            </w:r>
          </w:p>
          <w:p w14:paraId="716AFF35" w14:textId="77777777" w:rsidR="00345767" w:rsidRPr="00F7242B" w:rsidRDefault="00345767" w:rsidP="00104785">
            <w:pPr>
              <w:pStyle w:val="Prrafodelista"/>
              <w:widowControl w:val="0"/>
              <w:numPr>
                <w:ilvl w:val="0"/>
                <w:numId w:val="31"/>
              </w:numPr>
              <w:overflowPunct w:val="0"/>
              <w:autoSpaceDE w:val="0"/>
              <w:autoSpaceDN w:val="0"/>
              <w:adjustRightInd w:val="0"/>
              <w:spacing w:after="0" w:line="240" w:lineRule="auto"/>
              <w:ind w:left="460"/>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un informe de observación participante.  </w:t>
            </w:r>
          </w:p>
        </w:tc>
      </w:tr>
      <w:tr w:rsidR="00345767" w14:paraId="609DCC7F" w14:textId="77777777" w:rsidTr="00104785">
        <w:trPr>
          <w:trHeight w:val="703"/>
        </w:trPr>
        <w:tc>
          <w:tcPr>
            <w:tcW w:w="1838" w:type="dxa"/>
            <w:vAlign w:val="center"/>
          </w:tcPr>
          <w:p w14:paraId="58387019" w14:textId="77777777" w:rsidR="00345767" w:rsidRDefault="00345767" w:rsidP="00104785">
            <w:pPr>
              <w:jc w:val="center"/>
              <w:rPr>
                <w:rFonts w:cstheme="minorHAnsi"/>
                <w:bCs/>
                <w:color w:val="000000" w:themeColor="text1"/>
              </w:rPr>
            </w:pPr>
            <w:r>
              <w:rPr>
                <w:rFonts w:cstheme="minorHAnsi"/>
                <w:bCs/>
                <w:color w:val="000000" w:themeColor="text1"/>
              </w:rPr>
              <w:t>Horas de Práctica (HP)</w:t>
            </w:r>
          </w:p>
        </w:tc>
        <w:tc>
          <w:tcPr>
            <w:tcW w:w="1418" w:type="dxa"/>
            <w:vAlign w:val="center"/>
          </w:tcPr>
          <w:p w14:paraId="083148B3" w14:textId="77777777" w:rsidR="00345767" w:rsidRDefault="00345767" w:rsidP="00104785">
            <w:pPr>
              <w:jc w:val="center"/>
              <w:rPr>
                <w:rFonts w:cstheme="minorHAnsi"/>
                <w:bCs/>
                <w:color w:val="000000" w:themeColor="text1"/>
              </w:rPr>
            </w:pPr>
            <w:r>
              <w:rPr>
                <w:rFonts w:cstheme="minorHAnsi"/>
                <w:bCs/>
                <w:color w:val="000000" w:themeColor="text1"/>
              </w:rPr>
              <w:t>1</w:t>
            </w:r>
          </w:p>
        </w:tc>
        <w:tc>
          <w:tcPr>
            <w:tcW w:w="5528" w:type="dxa"/>
            <w:vAlign w:val="center"/>
          </w:tcPr>
          <w:p w14:paraId="65BEB7CB" w14:textId="77777777" w:rsidR="00345767" w:rsidRPr="00104D7D" w:rsidRDefault="00345767" w:rsidP="00104785">
            <w:pPr>
              <w:pStyle w:val="Prrafodelista"/>
              <w:widowControl w:val="0"/>
              <w:numPr>
                <w:ilvl w:val="0"/>
                <w:numId w:val="32"/>
              </w:numPr>
              <w:overflowPunct w:val="0"/>
              <w:autoSpaceDE w:val="0"/>
              <w:autoSpaceDN w:val="0"/>
              <w:adjustRightInd w:val="0"/>
              <w:spacing w:after="0" w:line="240" w:lineRule="auto"/>
              <w:ind w:left="460"/>
              <w:rPr>
                <w:rFonts w:asciiTheme="minorHAnsi" w:hAnsiTheme="minorHAnsi" w:cstheme="minorHAnsi"/>
                <w:bCs/>
              </w:rPr>
            </w:pPr>
            <w:r>
              <w:rPr>
                <w:rFonts w:asciiTheme="minorHAnsi" w:hAnsiTheme="minorHAnsi" w:cstheme="minorHAnsi"/>
                <w:bCs/>
              </w:rPr>
              <w:t xml:space="preserve">Visitas de campo para realizar la observación participante. </w:t>
            </w:r>
          </w:p>
        </w:tc>
      </w:tr>
      <w:tr w:rsidR="00345767" w:rsidRPr="00262D1E" w14:paraId="0540A6D5" w14:textId="77777777" w:rsidTr="00104785">
        <w:tc>
          <w:tcPr>
            <w:tcW w:w="1838" w:type="dxa"/>
            <w:vAlign w:val="center"/>
          </w:tcPr>
          <w:p w14:paraId="20BB179A" w14:textId="77777777" w:rsidR="00345767" w:rsidRPr="00262D1E" w:rsidRDefault="00345767" w:rsidP="00104785">
            <w:pPr>
              <w:jc w:val="center"/>
              <w:rPr>
                <w:rFonts w:cstheme="minorHAnsi"/>
                <w:b/>
                <w:bCs/>
                <w:color w:val="000000" w:themeColor="text1"/>
              </w:rPr>
            </w:pPr>
            <w:r w:rsidRPr="00262D1E">
              <w:rPr>
                <w:rFonts w:cstheme="minorHAnsi"/>
                <w:b/>
                <w:bCs/>
                <w:color w:val="000000" w:themeColor="text1"/>
              </w:rPr>
              <w:t>Total</w:t>
            </w:r>
            <w:r>
              <w:rPr>
                <w:rFonts w:cstheme="minorHAnsi"/>
                <w:b/>
                <w:bCs/>
                <w:color w:val="000000" w:themeColor="text1"/>
              </w:rPr>
              <w:t xml:space="preserve"> de horas (TH)</w:t>
            </w:r>
          </w:p>
        </w:tc>
        <w:tc>
          <w:tcPr>
            <w:tcW w:w="1418" w:type="dxa"/>
            <w:vAlign w:val="center"/>
          </w:tcPr>
          <w:p w14:paraId="44854543" w14:textId="77777777" w:rsidR="00345767" w:rsidRPr="00262D1E" w:rsidRDefault="00345767" w:rsidP="00104785">
            <w:pPr>
              <w:jc w:val="center"/>
              <w:rPr>
                <w:rFonts w:cstheme="minorHAnsi"/>
                <w:b/>
                <w:bCs/>
                <w:color w:val="000000" w:themeColor="text1"/>
              </w:rPr>
            </w:pPr>
            <w:r>
              <w:rPr>
                <w:rFonts w:cstheme="minorHAnsi"/>
                <w:b/>
                <w:bCs/>
                <w:color w:val="000000" w:themeColor="text1"/>
              </w:rPr>
              <w:t>9</w:t>
            </w:r>
          </w:p>
        </w:tc>
        <w:tc>
          <w:tcPr>
            <w:tcW w:w="5528" w:type="dxa"/>
            <w:vAlign w:val="center"/>
          </w:tcPr>
          <w:p w14:paraId="47BEFEC5" w14:textId="77777777" w:rsidR="00345767" w:rsidRPr="00262D1E" w:rsidRDefault="00345767" w:rsidP="00104785">
            <w:pPr>
              <w:jc w:val="center"/>
              <w:rPr>
                <w:rFonts w:cstheme="minorHAnsi"/>
                <w:b/>
                <w:bCs/>
                <w:color w:val="000000" w:themeColor="text1"/>
              </w:rPr>
            </w:pPr>
          </w:p>
        </w:tc>
      </w:tr>
    </w:tbl>
    <w:p w14:paraId="4F860F74" w14:textId="77777777" w:rsidR="00345767" w:rsidRDefault="00345767" w:rsidP="00345767">
      <w:pPr>
        <w:jc w:val="both"/>
        <w:rPr>
          <w:rFonts w:cstheme="minorHAnsi"/>
          <w:bCs/>
          <w:color w:val="000000" w:themeColor="text1"/>
        </w:rPr>
      </w:pPr>
      <w:r>
        <w:rPr>
          <w:rFonts w:cstheme="minorHAnsi"/>
          <w:bCs/>
          <w:color w:val="000000" w:themeColor="text1"/>
        </w:rPr>
        <w:lastRenderedPageBreak/>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9 horas. La distribución de tiempos por tipo de horas (categoría) es congruente, en todos sus extremos, con lo que establece el plan de estudios de la modalidad virtual.</w:t>
      </w:r>
    </w:p>
    <w:p w14:paraId="650BAA7B" w14:textId="77777777" w:rsidR="00345767" w:rsidRDefault="00345767" w:rsidP="00345767">
      <w:pPr>
        <w:rPr>
          <w:rFonts w:cs="Arial"/>
          <w:b/>
          <w:color w:val="000000" w:themeColor="text1"/>
        </w:rPr>
      </w:pPr>
    </w:p>
    <w:p w14:paraId="0B982C9E" w14:textId="77777777" w:rsidR="00345767" w:rsidRPr="00107B04" w:rsidRDefault="00345767" w:rsidP="00345767">
      <w:pPr>
        <w:rPr>
          <w:rFonts w:cs="Arial"/>
          <w:b/>
          <w:color w:val="000000" w:themeColor="text1"/>
        </w:rPr>
      </w:pPr>
      <w:r>
        <w:rPr>
          <w:rFonts w:cs="Arial"/>
          <w:b/>
          <w:color w:val="000000" w:themeColor="text1"/>
        </w:rPr>
        <w:t>X. Evaluación</w:t>
      </w:r>
    </w:p>
    <w:p w14:paraId="67F46D82" w14:textId="77777777" w:rsidR="00345767" w:rsidRDefault="00345767" w:rsidP="00345767">
      <w:pPr>
        <w:jc w:val="both"/>
        <w:rPr>
          <w:rFonts w:cs="Arial"/>
          <w:bCs/>
          <w:color w:val="000000" w:themeColor="text1"/>
        </w:rPr>
      </w:pPr>
      <w:r>
        <w:rPr>
          <w:rFonts w:cs="Arial"/>
          <w:bCs/>
          <w:color w:val="000000" w:themeColor="text1"/>
        </w:rPr>
        <w:t>Las estrategias de aprendizaje tienen el propósito de lograr que este sea de forma gradual, sistemático y ordenado según el proceso pedagógico planificado en el curso. Cada una de las actividades será evaluada mediante rúbricas o escalas. El curso se aprueba con una nota mínima de 7.00 (en escala decimal). La evaluación sumativa se basa en los elementos plasmados a continuación: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9"/>
        <w:gridCol w:w="1421"/>
      </w:tblGrid>
      <w:tr w:rsidR="00345767" w:rsidRPr="00326921" w14:paraId="2972AC7A" w14:textId="77777777" w:rsidTr="00104785">
        <w:tc>
          <w:tcPr>
            <w:tcW w:w="8720" w:type="dxa"/>
            <w:gridSpan w:val="2"/>
          </w:tcPr>
          <w:p w14:paraId="2719F257" w14:textId="77777777" w:rsidR="00345767" w:rsidRPr="00326921" w:rsidRDefault="00345767" w:rsidP="00104785">
            <w:pPr>
              <w:spacing w:after="0"/>
              <w:jc w:val="center"/>
              <w:rPr>
                <w:rFonts w:cs="Arial"/>
                <w:b/>
                <w:color w:val="000000" w:themeColor="text1"/>
              </w:rPr>
            </w:pPr>
            <w:r w:rsidRPr="00326921">
              <w:rPr>
                <w:rFonts w:cs="Arial"/>
                <w:b/>
                <w:color w:val="000000" w:themeColor="text1"/>
              </w:rPr>
              <w:t>Síntesis cuantitativa de la evaluación</w:t>
            </w:r>
          </w:p>
        </w:tc>
      </w:tr>
      <w:tr w:rsidR="00345767" w:rsidRPr="00326921" w14:paraId="57B8759C" w14:textId="77777777" w:rsidTr="00104785">
        <w:tc>
          <w:tcPr>
            <w:tcW w:w="7299" w:type="dxa"/>
            <w:vAlign w:val="center"/>
          </w:tcPr>
          <w:p w14:paraId="2F4F98FE" w14:textId="77777777" w:rsidR="00345767" w:rsidRPr="00326921" w:rsidRDefault="00345767" w:rsidP="00104785">
            <w:pPr>
              <w:spacing w:after="0"/>
              <w:rPr>
                <w:rFonts w:cs="Arial"/>
                <w:b/>
                <w:color w:val="000000" w:themeColor="text1"/>
              </w:rPr>
            </w:pPr>
            <w:r w:rsidRPr="00326921">
              <w:rPr>
                <w:rFonts w:cs="Arial"/>
                <w:b/>
                <w:color w:val="000000" w:themeColor="text1"/>
              </w:rPr>
              <w:t>Rubros para evaluar</w:t>
            </w:r>
          </w:p>
        </w:tc>
        <w:tc>
          <w:tcPr>
            <w:tcW w:w="1421" w:type="dxa"/>
            <w:vAlign w:val="center"/>
          </w:tcPr>
          <w:p w14:paraId="1BAD057E" w14:textId="77777777" w:rsidR="00345767" w:rsidRPr="00326921" w:rsidRDefault="00345767" w:rsidP="00104785">
            <w:pPr>
              <w:spacing w:after="0"/>
              <w:jc w:val="center"/>
              <w:rPr>
                <w:rFonts w:cs="Arial"/>
                <w:b/>
                <w:color w:val="000000" w:themeColor="text1"/>
              </w:rPr>
            </w:pPr>
            <w:r w:rsidRPr="00326921">
              <w:rPr>
                <w:rFonts w:cs="Arial"/>
                <w:b/>
                <w:color w:val="000000" w:themeColor="text1"/>
              </w:rPr>
              <w:t>Porcentaje total</w:t>
            </w:r>
          </w:p>
        </w:tc>
      </w:tr>
      <w:tr w:rsidR="00345767" w:rsidRPr="00326921" w14:paraId="25CFFF98" w14:textId="77777777" w:rsidTr="00104785">
        <w:tc>
          <w:tcPr>
            <w:tcW w:w="7299" w:type="dxa"/>
            <w:vAlign w:val="center"/>
          </w:tcPr>
          <w:p w14:paraId="5A84BC69" w14:textId="77777777" w:rsidR="00345767" w:rsidRPr="00326921" w:rsidRDefault="00345767" w:rsidP="00104785">
            <w:pPr>
              <w:spacing w:after="0"/>
              <w:rPr>
                <w:rFonts w:cs="Arial"/>
                <w:b/>
                <w:i/>
                <w:iCs/>
              </w:rPr>
            </w:pPr>
            <w:r w:rsidRPr="00326921">
              <w:rPr>
                <w:rFonts w:cs="Arial"/>
                <w:b/>
                <w:i/>
                <w:iCs/>
              </w:rPr>
              <w:t>Encuentros sincrónicos virtuales</w:t>
            </w:r>
          </w:p>
          <w:p w14:paraId="313CE0B6" w14:textId="77777777" w:rsidR="00345767" w:rsidRPr="00326921" w:rsidRDefault="00345767" w:rsidP="00104785">
            <w:pPr>
              <w:spacing w:after="0"/>
              <w:jc w:val="both"/>
              <w:rPr>
                <w:rFonts w:cs="Arial"/>
                <w:bCs/>
              </w:rPr>
            </w:pPr>
            <w:r w:rsidRPr="00326921">
              <w:rPr>
                <w:rFonts w:cs="Arial"/>
                <w:bCs/>
              </w:rPr>
              <w:t xml:space="preserve">Se llevan a cabo en las sesiones 1, 3, 5 y 9. </w:t>
            </w:r>
            <w:r w:rsidRPr="000370D6">
              <w:rPr>
                <w:rFonts w:cs="Arial"/>
                <w:bCs/>
                <w:color w:val="0070C0"/>
              </w:rPr>
              <w:t>Tienen un valor formativo y no sumativo.</w:t>
            </w:r>
          </w:p>
        </w:tc>
        <w:tc>
          <w:tcPr>
            <w:tcW w:w="1421" w:type="dxa"/>
            <w:vAlign w:val="center"/>
          </w:tcPr>
          <w:p w14:paraId="0785746C" w14:textId="77777777" w:rsidR="00345767" w:rsidRPr="003A75A0" w:rsidRDefault="00345767" w:rsidP="00104785">
            <w:pPr>
              <w:spacing w:after="0"/>
              <w:jc w:val="center"/>
              <w:rPr>
                <w:rFonts w:cs="Arial"/>
                <w:color w:val="0070C0"/>
              </w:rPr>
            </w:pPr>
            <w:r w:rsidRPr="003A75A0">
              <w:rPr>
                <w:rFonts w:cstheme="minorHAnsi"/>
                <w:bCs/>
                <w:color w:val="0070C0"/>
              </w:rPr>
              <w:t>̶</w:t>
            </w:r>
          </w:p>
        </w:tc>
      </w:tr>
      <w:tr w:rsidR="00345767" w:rsidRPr="00326921" w14:paraId="7DED173A" w14:textId="77777777" w:rsidTr="00104785">
        <w:tc>
          <w:tcPr>
            <w:tcW w:w="7299" w:type="dxa"/>
            <w:vAlign w:val="center"/>
          </w:tcPr>
          <w:p w14:paraId="378D3213" w14:textId="77777777" w:rsidR="00345767" w:rsidRPr="00326921" w:rsidRDefault="00345767" w:rsidP="00104785">
            <w:pPr>
              <w:spacing w:after="0"/>
              <w:rPr>
                <w:rFonts w:cs="Arial"/>
                <w:b/>
                <w:i/>
                <w:iCs/>
              </w:rPr>
            </w:pPr>
            <w:r w:rsidRPr="00326921">
              <w:rPr>
                <w:rFonts w:cs="Arial"/>
                <w:b/>
                <w:i/>
                <w:iCs/>
              </w:rPr>
              <w:t>Foros temáticos</w:t>
            </w:r>
          </w:p>
          <w:p w14:paraId="3EC6E429" w14:textId="77777777" w:rsidR="00345767" w:rsidRPr="00326921" w:rsidRDefault="00345767" w:rsidP="00104785">
            <w:pPr>
              <w:spacing w:after="0"/>
              <w:rPr>
                <w:rFonts w:cs="Arial"/>
                <w:bCs/>
              </w:rPr>
            </w:pPr>
            <w:r w:rsidRPr="00326921">
              <w:rPr>
                <w:rFonts w:cs="Arial"/>
                <w:bCs/>
              </w:rPr>
              <w:t>Se desarrollan en las sesiones 3, 7 y 14. Cada uno tiene un valor de 5%.</w:t>
            </w:r>
          </w:p>
        </w:tc>
        <w:tc>
          <w:tcPr>
            <w:tcW w:w="1421" w:type="dxa"/>
            <w:vAlign w:val="center"/>
          </w:tcPr>
          <w:p w14:paraId="6F2BC9E4" w14:textId="77777777" w:rsidR="00345767" w:rsidRPr="00326921" w:rsidRDefault="00345767" w:rsidP="00104785">
            <w:pPr>
              <w:spacing w:after="0"/>
              <w:jc w:val="center"/>
              <w:rPr>
                <w:rFonts w:cs="Arial"/>
              </w:rPr>
            </w:pPr>
            <w:r w:rsidRPr="00326921">
              <w:rPr>
                <w:rFonts w:cs="Arial"/>
              </w:rPr>
              <w:t>15%</w:t>
            </w:r>
          </w:p>
        </w:tc>
      </w:tr>
      <w:tr w:rsidR="00345767" w:rsidRPr="00326921" w14:paraId="7E9BAFFB" w14:textId="77777777" w:rsidTr="00104785">
        <w:tc>
          <w:tcPr>
            <w:tcW w:w="7299" w:type="dxa"/>
            <w:vAlign w:val="center"/>
          </w:tcPr>
          <w:p w14:paraId="0BA0FF63" w14:textId="77777777" w:rsidR="00345767" w:rsidRPr="00326921" w:rsidRDefault="00345767" w:rsidP="00104785">
            <w:pPr>
              <w:spacing w:after="0"/>
              <w:rPr>
                <w:rFonts w:cs="Arial"/>
                <w:b/>
                <w:i/>
                <w:iCs/>
              </w:rPr>
            </w:pPr>
            <w:r w:rsidRPr="00326921">
              <w:rPr>
                <w:rFonts w:cs="Arial"/>
                <w:b/>
                <w:i/>
                <w:iCs/>
              </w:rPr>
              <w:t>Reseñas críticas de lecturas</w:t>
            </w:r>
          </w:p>
          <w:p w14:paraId="3A72416C" w14:textId="77777777" w:rsidR="00345767" w:rsidRPr="00326921" w:rsidRDefault="00345767" w:rsidP="00104785">
            <w:pPr>
              <w:spacing w:after="0"/>
              <w:rPr>
                <w:rFonts w:cs="Arial"/>
                <w:bCs/>
              </w:rPr>
            </w:pPr>
            <w:r w:rsidRPr="00326921">
              <w:rPr>
                <w:rFonts w:cs="Arial"/>
                <w:bCs/>
              </w:rPr>
              <w:t>Se elaboran en las sesiones 2 y 11. Cada una tiene un valor de 7,5%.</w:t>
            </w:r>
          </w:p>
        </w:tc>
        <w:tc>
          <w:tcPr>
            <w:tcW w:w="1421" w:type="dxa"/>
            <w:vAlign w:val="center"/>
          </w:tcPr>
          <w:p w14:paraId="4C449883" w14:textId="77777777" w:rsidR="00345767" w:rsidRPr="00326921" w:rsidRDefault="00345767" w:rsidP="00104785">
            <w:pPr>
              <w:spacing w:after="0"/>
              <w:jc w:val="center"/>
              <w:rPr>
                <w:rFonts w:cs="Arial"/>
              </w:rPr>
            </w:pPr>
            <w:r w:rsidRPr="00326921">
              <w:rPr>
                <w:rFonts w:cs="Arial"/>
              </w:rPr>
              <w:t>15%</w:t>
            </w:r>
          </w:p>
        </w:tc>
      </w:tr>
      <w:tr w:rsidR="00345767" w:rsidRPr="00326921" w14:paraId="667C5A87" w14:textId="77777777" w:rsidTr="00104785">
        <w:tc>
          <w:tcPr>
            <w:tcW w:w="7299" w:type="dxa"/>
            <w:vAlign w:val="center"/>
          </w:tcPr>
          <w:p w14:paraId="35BB1A95" w14:textId="77777777" w:rsidR="00345767" w:rsidRPr="00326921" w:rsidRDefault="00345767" w:rsidP="00104785">
            <w:pPr>
              <w:spacing w:after="0"/>
              <w:rPr>
                <w:rFonts w:cs="Arial"/>
                <w:b/>
                <w:i/>
                <w:iCs/>
              </w:rPr>
            </w:pPr>
            <w:r w:rsidRPr="00326921">
              <w:rPr>
                <w:rFonts w:cs="Arial"/>
                <w:b/>
                <w:i/>
                <w:iCs/>
              </w:rPr>
              <w:t>Fichas de contenido</w:t>
            </w:r>
          </w:p>
          <w:p w14:paraId="65F79D45" w14:textId="77777777" w:rsidR="00345767" w:rsidRPr="00326921" w:rsidRDefault="00345767" w:rsidP="00104785">
            <w:pPr>
              <w:spacing w:after="0"/>
              <w:rPr>
                <w:rFonts w:cs="Arial"/>
                <w:bCs/>
              </w:rPr>
            </w:pPr>
            <w:r w:rsidRPr="00326921">
              <w:rPr>
                <w:rFonts w:cs="Arial"/>
                <w:bCs/>
              </w:rPr>
              <w:t xml:space="preserve">Se elaboran en las sesiones 6 y 7. </w:t>
            </w:r>
          </w:p>
        </w:tc>
        <w:tc>
          <w:tcPr>
            <w:tcW w:w="1421" w:type="dxa"/>
            <w:vAlign w:val="center"/>
          </w:tcPr>
          <w:p w14:paraId="6759436B" w14:textId="77777777" w:rsidR="00345767" w:rsidRPr="00326921" w:rsidRDefault="00345767" w:rsidP="00104785">
            <w:pPr>
              <w:spacing w:after="0"/>
              <w:jc w:val="center"/>
              <w:rPr>
                <w:rFonts w:cs="Arial"/>
              </w:rPr>
            </w:pPr>
            <w:r w:rsidRPr="00326921">
              <w:rPr>
                <w:rFonts w:cs="Arial"/>
              </w:rPr>
              <w:t>7,5%</w:t>
            </w:r>
          </w:p>
        </w:tc>
      </w:tr>
      <w:tr w:rsidR="00345767" w:rsidRPr="00326921" w14:paraId="3FE821E7" w14:textId="77777777" w:rsidTr="00104785">
        <w:tc>
          <w:tcPr>
            <w:tcW w:w="7299" w:type="dxa"/>
            <w:vAlign w:val="center"/>
          </w:tcPr>
          <w:p w14:paraId="4BA9D425" w14:textId="77777777" w:rsidR="00345767" w:rsidRPr="00326921" w:rsidRDefault="00345767" w:rsidP="00104785">
            <w:pPr>
              <w:spacing w:after="0"/>
              <w:rPr>
                <w:rFonts w:cs="Arial"/>
                <w:b/>
                <w:i/>
                <w:iCs/>
              </w:rPr>
            </w:pPr>
            <w:r w:rsidRPr="00326921">
              <w:rPr>
                <w:rFonts w:cs="Arial"/>
                <w:b/>
                <w:i/>
                <w:iCs/>
              </w:rPr>
              <w:t>Reflexión personal</w:t>
            </w:r>
          </w:p>
          <w:p w14:paraId="4D3C66E2" w14:textId="77777777" w:rsidR="00345767" w:rsidRPr="00326921" w:rsidRDefault="00345767" w:rsidP="00104785">
            <w:pPr>
              <w:spacing w:after="0"/>
              <w:rPr>
                <w:rFonts w:cs="Arial"/>
                <w:bCs/>
              </w:rPr>
            </w:pPr>
            <w:r w:rsidRPr="00326921">
              <w:rPr>
                <w:rFonts w:cs="Arial"/>
                <w:bCs/>
              </w:rPr>
              <w:t>Se elabora en la sesión 10.</w:t>
            </w:r>
          </w:p>
        </w:tc>
        <w:tc>
          <w:tcPr>
            <w:tcW w:w="1421" w:type="dxa"/>
            <w:vAlign w:val="center"/>
          </w:tcPr>
          <w:p w14:paraId="2143C4F8" w14:textId="77777777" w:rsidR="00345767" w:rsidRPr="00326921" w:rsidRDefault="00345767" w:rsidP="00104785">
            <w:pPr>
              <w:spacing w:after="0"/>
              <w:jc w:val="center"/>
              <w:rPr>
                <w:rFonts w:cs="Arial"/>
              </w:rPr>
            </w:pPr>
            <w:r w:rsidRPr="00326921">
              <w:rPr>
                <w:rFonts w:cs="Arial"/>
              </w:rPr>
              <w:t>7,5%</w:t>
            </w:r>
          </w:p>
        </w:tc>
      </w:tr>
      <w:tr w:rsidR="00345767" w:rsidRPr="00326921" w14:paraId="7C13CB55" w14:textId="77777777" w:rsidTr="00104785">
        <w:tc>
          <w:tcPr>
            <w:tcW w:w="7299" w:type="dxa"/>
            <w:vAlign w:val="center"/>
          </w:tcPr>
          <w:p w14:paraId="47698385" w14:textId="77777777" w:rsidR="00345767" w:rsidRPr="00326921" w:rsidRDefault="00345767" w:rsidP="00104785">
            <w:pPr>
              <w:spacing w:after="0"/>
              <w:rPr>
                <w:rFonts w:cs="Arial"/>
                <w:b/>
                <w:i/>
                <w:iCs/>
              </w:rPr>
            </w:pPr>
            <w:r w:rsidRPr="00326921">
              <w:rPr>
                <w:rFonts w:cs="Arial"/>
                <w:b/>
                <w:i/>
                <w:iCs/>
              </w:rPr>
              <w:t>Presentación audiovisual</w:t>
            </w:r>
          </w:p>
          <w:p w14:paraId="35E74EAC" w14:textId="77777777" w:rsidR="00345767" w:rsidRPr="00326921" w:rsidRDefault="00345767" w:rsidP="00104785">
            <w:pPr>
              <w:spacing w:after="0"/>
              <w:rPr>
                <w:rFonts w:cs="Arial"/>
                <w:bCs/>
              </w:rPr>
            </w:pPr>
            <w:r w:rsidRPr="00326921">
              <w:rPr>
                <w:rFonts w:cs="Arial"/>
                <w:bCs/>
              </w:rPr>
              <w:t xml:space="preserve">Se elabora en las sesiones 4 y 5. </w:t>
            </w:r>
          </w:p>
        </w:tc>
        <w:tc>
          <w:tcPr>
            <w:tcW w:w="1421" w:type="dxa"/>
            <w:vAlign w:val="center"/>
          </w:tcPr>
          <w:p w14:paraId="05C1EFA9" w14:textId="77777777" w:rsidR="00345767" w:rsidRPr="00326921" w:rsidRDefault="00345767" w:rsidP="00104785">
            <w:pPr>
              <w:spacing w:after="0"/>
              <w:jc w:val="center"/>
              <w:rPr>
                <w:rFonts w:cs="Arial"/>
              </w:rPr>
            </w:pPr>
            <w:r w:rsidRPr="00326921">
              <w:rPr>
                <w:rFonts w:cs="Arial"/>
              </w:rPr>
              <w:t>15%</w:t>
            </w:r>
          </w:p>
        </w:tc>
      </w:tr>
      <w:tr w:rsidR="00345767" w:rsidRPr="00326921" w14:paraId="76AEB12B" w14:textId="77777777" w:rsidTr="00104785">
        <w:tc>
          <w:tcPr>
            <w:tcW w:w="7299" w:type="dxa"/>
            <w:vAlign w:val="center"/>
          </w:tcPr>
          <w:p w14:paraId="1E6C6AC6" w14:textId="77777777" w:rsidR="00345767" w:rsidRPr="00326921" w:rsidRDefault="00345767" w:rsidP="00104785">
            <w:pPr>
              <w:spacing w:after="0"/>
              <w:rPr>
                <w:rFonts w:cs="Arial"/>
                <w:b/>
                <w:i/>
                <w:iCs/>
              </w:rPr>
            </w:pPr>
            <w:r w:rsidRPr="00326921">
              <w:rPr>
                <w:rFonts w:cs="Arial"/>
                <w:b/>
                <w:i/>
                <w:iCs/>
              </w:rPr>
              <w:t>Wiki</w:t>
            </w:r>
          </w:p>
          <w:p w14:paraId="4049012D" w14:textId="77777777" w:rsidR="00345767" w:rsidRPr="00326921" w:rsidRDefault="00345767" w:rsidP="00104785">
            <w:pPr>
              <w:spacing w:after="0"/>
              <w:rPr>
                <w:rFonts w:cs="Arial"/>
                <w:bCs/>
              </w:rPr>
            </w:pPr>
            <w:r w:rsidRPr="00326921">
              <w:rPr>
                <w:rFonts w:cs="Arial"/>
                <w:bCs/>
              </w:rPr>
              <w:t xml:space="preserve">Se desarrolla en la sesión 12. </w:t>
            </w:r>
          </w:p>
        </w:tc>
        <w:tc>
          <w:tcPr>
            <w:tcW w:w="1421" w:type="dxa"/>
            <w:vAlign w:val="center"/>
          </w:tcPr>
          <w:p w14:paraId="4BBEED9E" w14:textId="77777777" w:rsidR="00345767" w:rsidRPr="00326921" w:rsidRDefault="00345767" w:rsidP="00104785">
            <w:pPr>
              <w:spacing w:after="0"/>
              <w:jc w:val="center"/>
              <w:rPr>
                <w:rFonts w:cs="Arial"/>
              </w:rPr>
            </w:pPr>
            <w:r w:rsidRPr="00326921">
              <w:rPr>
                <w:rFonts w:cs="Arial"/>
              </w:rPr>
              <w:t>5%</w:t>
            </w:r>
          </w:p>
        </w:tc>
      </w:tr>
      <w:tr w:rsidR="00345767" w:rsidRPr="00326921" w14:paraId="74DB9B30" w14:textId="77777777" w:rsidTr="00104785">
        <w:tc>
          <w:tcPr>
            <w:tcW w:w="7299" w:type="dxa"/>
            <w:vAlign w:val="center"/>
          </w:tcPr>
          <w:p w14:paraId="26CFB89B" w14:textId="77777777" w:rsidR="00345767" w:rsidRPr="00326921" w:rsidRDefault="00345767" w:rsidP="00104785">
            <w:pPr>
              <w:spacing w:after="0"/>
              <w:rPr>
                <w:rFonts w:cs="Arial"/>
                <w:b/>
                <w:i/>
                <w:iCs/>
              </w:rPr>
            </w:pPr>
            <w:r w:rsidRPr="00326921">
              <w:rPr>
                <w:rFonts w:cs="Arial"/>
                <w:b/>
                <w:i/>
                <w:iCs/>
              </w:rPr>
              <w:t>Observación participante</w:t>
            </w:r>
          </w:p>
          <w:p w14:paraId="09E9E110" w14:textId="77777777" w:rsidR="00345767" w:rsidRPr="00326921" w:rsidRDefault="00345767" w:rsidP="00104785">
            <w:pPr>
              <w:spacing w:after="0"/>
              <w:rPr>
                <w:rFonts w:cs="Arial"/>
                <w:bCs/>
              </w:rPr>
            </w:pPr>
            <w:r w:rsidRPr="00326921">
              <w:rPr>
                <w:rFonts w:cs="Arial"/>
                <w:bCs/>
              </w:rPr>
              <w:t>Se distribuye de la siguiente forma:</w:t>
            </w:r>
          </w:p>
          <w:p w14:paraId="6C6BD29D" w14:textId="77777777" w:rsidR="00345767" w:rsidRPr="00326921" w:rsidRDefault="00345767" w:rsidP="00104785">
            <w:pPr>
              <w:spacing w:after="0"/>
              <w:rPr>
                <w:rFonts w:cs="Arial"/>
                <w:bCs/>
              </w:rPr>
            </w:pPr>
            <w:r w:rsidRPr="00326921">
              <w:rPr>
                <w:rFonts w:cs="Arial"/>
                <w:bCs/>
              </w:rPr>
              <w:t>- Primer informe (sesión 8; vale 5%)</w:t>
            </w:r>
          </w:p>
          <w:p w14:paraId="7F7BCCE3" w14:textId="77777777" w:rsidR="00345767" w:rsidRPr="00326921" w:rsidRDefault="00345767" w:rsidP="00104785">
            <w:pPr>
              <w:spacing w:after="0"/>
              <w:rPr>
                <w:rFonts w:cs="Arial"/>
                <w:bCs/>
              </w:rPr>
            </w:pPr>
            <w:r w:rsidRPr="00326921">
              <w:rPr>
                <w:rFonts w:cs="Arial"/>
                <w:bCs/>
              </w:rPr>
              <w:t>- Segundo informe (sesión 9; vale 5%)</w:t>
            </w:r>
          </w:p>
          <w:p w14:paraId="4B702A68" w14:textId="77777777" w:rsidR="00345767" w:rsidRPr="00326921" w:rsidRDefault="00345767" w:rsidP="00104785">
            <w:pPr>
              <w:spacing w:after="0"/>
              <w:rPr>
                <w:rFonts w:cs="Arial"/>
                <w:bCs/>
              </w:rPr>
            </w:pPr>
            <w:r w:rsidRPr="00326921">
              <w:rPr>
                <w:rFonts w:cs="Arial"/>
                <w:bCs/>
              </w:rPr>
              <w:t>- Tercer informe (sesión 13; vale 5%)</w:t>
            </w:r>
          </w:p>
          <w:p w14:paraId="2917C10F" w14:textId="77777777" w:rsidR="00345767" w:rsidRPr="00326921" w:rsidRDefault="00345767" w:rsidP="00104785">
            <w:pPr>
              <w:spacing w:after="0"/>
              <w:rPr>
                <w:rFonts w:cs="Arial"/>
                <w:bCs/>
              </w:rPr>
            </w:pPr>
            <w:r w:rsidRPr="00326921">
              <w:rPr>
                <w:rFonts w:cs="Arial"/>
                <w:bCs/>
              </w:rPr>
              <w:t xml:space="preserve">- Informe completo (sesión 15; vale </w:t>
            </w:r>
            <w:r w:rsidRPr="003A75A0">
              <w:rPr>
                <w:rFonts w:cs="Arial"/>
                <w:bCs/>
                <w:color w:val="0070C0"/>
              </w:rPr>
              <w:t>20%</w:t>
            </w:r>
            <w:r w:rsidRPr="00326921">
              <w:rPr>
                <w:rFonts w:cs="Arial"/>
                <w:bCs/>
              </w:rPr>
              <w:t>)</w:t>
            </w:r>
          </w:p>
        </w:tc>
        <w:tc>
          <w:tcPr>
            <w:tcW w:w="1421" w:type="dxa"/>
            <w:vAlign w:val="center"/>
          </w:tcPr>
          <w:p w14:paraId="0F5617CC" w14:textId="77777777" w:rsidR="00345767" w:rsidRPr="00326921" w:rsidRDefault="00345767" w:rsidP="00104785">
            <w:pPr>
              <w:spacing w:after="0"/>
              <w:jc w:val="center"/>
              <w:rPr>
                <w:rFonts w:cs="Arial"/>
              </w:rPr>
            </w:pPr>
            <w:r w:rsidRPr="003A75A0">
              <w:rPr>
                <w:rFonts w:cs="Arial"/>
                <w:color w:val="0070C0"/>
              </w:rPr>
              <w:t>35%</w:t>
            </w:r>
          </w:p>
        </w:tc>
      </w:tr>
      <w:tr w:rsidR="00345767" w:rsidRPr="00107B04" w14:paraId="2A1DBFAC" w14:textId="77777777" w:rsidTr="00104785">
        <w:tc>
          <w:tcPr>
            <w:tcW w:w="7299" w:type="dxa"/>
            <w:tcBorders>
              <w:top w:val="single" w:sz="4" w:space="0" w:color="auto"/>
              <w:left w:val="single" w:sz="4" w:space="0" w:color="auto"/>
              <w:bottom w:val="single" w:sz="4" w:space="0" w:color="auto"/>
              <w:right w:val="single" w:sz="4" w:space="0" w:color="auto"/>
            </w:tcBorders>
          </w:tcPr>
          <w:p w14:paraId="27DD757A" w14:textId="77777777" w:rsidR="00345767" w:rsidRPr="00326921" w:rsidRDefault="00345767" w:rsidP="00104785">
            <w:pPr>
              <w:spacing w:after="0"/>
              <w:rPr>
                <w:rFonts w:cs="Arial"/>
                <w:b/>
                <w:color w:val="000000" w:themeColor="text1"/>
              </w:rPr>
            </w:pPr>
            <w:r w:rsidRPr="00326921">
              <w:rPr>
                <w:rFonts w:cs="Arial"/>
                <w:b/>
                <w:color w:val="000000" w:themeColor="text1"/>
              </w:rPr>
              <w:t>Total</w:t>
            </w:r>
          </w:p>
        </w:tc>
        <w:tc>
          <w:tcPr>
            <w:tcW w:w="1421" w:type="dxa"/>
            <w:tcBorders>
              <w:top w:val="single" w:sz="4" w:space="0" w:color="auto"/>
              <w:left w:val="single" w:sz="4" w:space="0" w:color="auto"/>
              <w:bottom w:val="single" w:sz="4" w:space="0" w:color="auto"/>
              <w:right w:val="single" w:sz="4" w:space="0" w:color="auto"/>
            </w:tcBorders>
          </w:tcPr>
          <w:p w14:paraId="75F098AB" w14:textId="77777777" w:rsidR="00345767" w:rsidRPr="001F15FC" w:rsidRDefault="00345767" w:rsidP="00104785">
            <w:pPr>
              <w:spacing w:after="0"/>
              <w:jc w:val="center"/>
              <w:rPr>
                <w:rFonts w:cs="Arial"/>
                <w:b/>
                <w:color w:val="000000" w:themeColor="text1"/>
              </w:rPr>
            </w:pPr>
            <w:r w:rsidRPr="00326921">
              <w:rPr>
                <w:rFonts w:cs="Arial"/>
                <w:b/>
                <w:color w:val="000000" w:themeColor="text1"/>
              </w:rPr>
              <w:t>100%</w:t>
            </w:r>
          </w:p>
        </w:tc>
      </w:tr>
    </w:tbl>
    <w:p w14:paraId="524F0485" w14:textId="77777777" w:rsidR="00345767" w:rsidRDefault="00345767" w:rsidP="00345767">
      <w:pPr>
        <w:rPr>
          <w:rFonts w:cs="Arial"/>
          <w:b/>
          <w:color w:val="000000" w:themeColor="text1"/>
        </w:rPr>
        <w:sectPr w:rsidR="00345767" w:rsidSect="00345767">
          <w:pgSz w:w="12240" w:h="15840"/>
          <w:pgMar w:top="1417" w:right="1701" w:bottom="1417" w:left="1701" w:header="708" w:footer="708" w:gutter="0"/>
          <w:cols w:space="708"/>
          <w:titlePg/>
          <w:docGrid w:linePitch="360"/>
        </w:sectPr>
      </w:pPr>
      <w:r>
        <w:rPr>
          <w:rFonts w:cs="Arial"/>
          <w:b/>
          <w:color w:val="000000" w:themeColor="text1"/>
        </w:rPr>
        <w:br w:type="page"/>
      </w:r>
    </w:p>
    <w:p w14:paraId="3C6D56C1" w14:textId="77777777" w:rsidR="00345767" w:rsidRDefault="00345767" w:rsidP="00345767">
      <w:pPr>
        <w:rPr>
          <w:rFonts w:cs="Arial"/>
          <w:b/>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872704" behindDoc="0" locked="0" layoutInCell="1" allowOverlap="1" wp14:anchorId="52951E71" wp14:editId="3DBDC84A">
                <wp:simplePos x="0" y="0"/>
                <wp:positionH relativeFrom="margin">
                  <wp:align>center</wp:align>
                </wp:positionH>
                <wp:positionV relativeFrom="paragraph">
                  <wp:posOffset>-128905</wp:posOffset>
                </wp:positionV>
                <wp:extent cx="7879080" cy="404813"/>
                <wp:effectExtent l="0" t="0" r="26670" b="14605"/>
                <wp:wrapNone/>
                <wp:docPr id="16806666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4813"/>
                        </a:xfrm>
                        <a:prstGeom prst="rect">
                          <a:avLst/>
                        </a:prstGeom>
                        <a:solidFill>
                          <a:srgbClr val="FFFFFF"/>
                        </a:solidFill>
                        <a:ln w="9525">
                          <a:solidFill>
                            <a:srgbClr val="000000"/>
                          </a:solidFill>
                          <a:miter lim="800000"/>
                          <a:headEnd/>
                          <a:tailEnd/>
                        </a:ln>
                      </wps:spPr>
                      <wps:txbx>
                        <w:txbxContent>
                          <w:p w14:paraId="694124C6" w14:textId="77777777" w:rsidR="00345767" w:rsidRPr="002A747D" w:rsidRDefault="00345767" w:rsidP="00345767">
                            <w:pPr>
                              <w:jc w:val="center"/>
                              <w:rPr>
                                <w:rFonts w:cstheme="minorHAnsi"/>
                                <w:b/>
                                <w:szCs w:val="24"/>
                              </w:rPr>
                            </w:pPr>
                            <w:r w:rsidRPr="002A747D">
                              <w:rPr>
                                <w:rFonts w:cstheme="minorHAns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951E71" id="_x0000_s1046" type="#_x0000_t202" style="position:absolute;margin-left:0;margin-top:-10.15pt;width:620.4pt;height:31.9pt;z-index:2528727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">
                <v:textbox>
                  <w:txbxContent>
                    <w:p w14:paraId="694124C6" w14:textId="77777777" w:rsidR="00345767" w:rsidRPr="002A747D" w:rsidRDefault="00345767" w:rsidP="00345767">
                      <w:pPr>
                        <w:jc w:val="center"/>
                        <w:rPr>
                          <w:rFonts w:cstheme="minorHAnsi"/>
                          <w:b/>
                          <w:szCs w:val="24"/>
                        </w:rPr>
                      </w:pPr>
                      <w:r w:rsidRPr="002A747D">
                        <w:rPr>
                          <w:rFonts w:cstheme="minorHAnsi"/>
                          <w:b/>
                          <w:szCs w:val="24"/>
                        </w:rPr>
                        <w:t>RÚBRICA DE EVALUACIÓN – FORO TEMÁTICO</w:t>
                      </w:r>
                    </w:p>
                  </w:txbxContent>
                </v:textbox>
                <w10:wrap anchorx="margin"/>
              </v:shape>
            </w:pict>
          </mc:Fallback>
        </mc:AlternateContent>
      </w:r>
    </w:p>
    <w:p w14:paraId="49A60E4B" w14:textId="77777777" w:rsidR="00345767" w:rsidRDefault="00345767" w:rsidP="00345767">
      <w:pPr>
        <w:rPr>
          <w:rFonts w:cs="Arial"/>
          <w:b/>
          <w:color w:val="000000" w:themeColor="text1"/>
        </w:rPr>
      </w:pPr>
    </w:p>
    <w:p w14:paraId="027F2778" w14:textId="77777777" w:rsidR="00345767" w:rsidRPr="004C090D" w:rsidRDefault="00345767" w:rsidP="00345767">
      <w:pPr>
        <w:jc w:val="center"/>
        <w:rPr>
          <w:rFonts w:cs="Arial"/>
          <w:bCs/>
          <w:color w:val="0070C0"/>
        </w:rPr>
      </w:pPr>
      <w:r w:rsidRPr="004C090D">
        <w:rPr>
          <w:rFonts w:cs="Arial"/>
          <w:bCs/>
          <w:color w:val="0070C0"/>
        </w:rPr>
        <w:t>Se trata de una actividad de discusión académica asincrónica, ya que los y las participantes no tienen que acceder al sistema al mismo tiempo, constituyéndose en un escenario virtual para la exposición de ideas y debate. Se desarrollan en las sesiones 3, 7 y 14. Cada uno tiene un valor de 5%.</w:t>
      </w:r>
    </w:p>
    <w:p w14:paraId="6319E05D" w14:textId="77777777" w:rsidR="00345767" w:rsidRDefault="00345767" w:rsidP="00345767">
      <w:pPr>
        <w:jc w:val="center"/>
        <w:rPr>
          <w:rFonts w:cs="Arial"/>
          <w:bCs/>
          <w:color w:val="000000" w:themeColor="text1"/>
        </w:rPr>
      </w:pPr>
      <w:r>
        <w:rPr>
          <w:rFonts w:cs="Arial"/>
          <w:b/>
          <w:noProof/>
          <w:color w:val="000000" w:themeColor="text1"/>
        </w:rPr>
        <w:drawing>
          <wp:anchor distT="0" distB="0" distL="114300" distR="114300" simplePos="0" relativeHeight="252873728" behindDoc="0" locked="0" layoutInCell="1" allowOverlap="1" wp14:anchorId="34B9A6A9" wp14:editId="513B6AD3">
            <wp:simplePos x="0" y="0"/>
            <wp:positionH relativeFrom="margin">
              <wp:align>center</wp:align>
            </wp:positionH>
            <wp:positionV relativeFrom="paragraph">
              <wp:posOffset>230823</wp:posOffset>
            </wp:positionV>
            <wp:extent cx="7631544" cy="5527040"/>
            <wp:effectExtent l="0" t="0" r="7620" b="0"/>
            <wp:wrapNone/>
            <wp:docPr id="15408186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1863" name="Imagen 1" descr="Tabla&#10;&#10;Descripción generada automáticament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631544" cy="5527040"/>
                    </a:xfrm>
                    <a:prstGeom prst="rect">
                      <a:avLst/>
                    </a:prstGeom>
                  </pic:spPr>
                </pic:pic>
              </a:graphicData>
            </a:graphic>
            <wp14:sizeRelH relativeFrom="margin">
              <wp14:pctWidth>0</wp14:pctWidth>
            </wp14:sizeRelH>
            <wp14:sizeRelV relativeFrom="margin">
              <wp14:pctHeight>0</wp14:pctHeight>
            </wp14:sizeRelV>
          </wp:anchor>
        </w:drawing>
      </w:r>
    </w:p>
    <w:p w14:paraId="72C12B59" w14:textId="77777777" w:rsidR="00345767" w:rsidRPr="00725F91" w:rsidRDefault="00345767" w:rsidP="00345767">
      <w:pPr>
        <w:jc w:val="center"/>
        <w:rPr>
          <w:rFonts w:cs="Arial"/>
          <w:b/>
          <w:color w:val="000000" w:themeColor="text1"/>
        </w:rPr>
      </w:pPr>
    </w:p>
    <w:p w14:paraId="77A8E4D2" w14:textId="77777777" w:rsidR="00345767" w:rsidRDefault="00345767" w:rsidP="00345767">
      <w:pPr>
        <w:rPr>
          <w:rFonts w:cs="Arial"/>
          <w:b/>
          <w:color w:val="000000" w:themeColor="text1"/>
        </w:rPr>
      </w:pPr>
      <w:r>
        <w:rPr>
          <w:rFonts w:cs="Arial"/>
          <w:b/>
          <w:color w:val="000000" w:themeColor="text1"/>
        </w:rPr>
        <w:br w:type="page"/>
      </w:r>
    </w:p>
    <w:p w14:paraId="255F5748" w14:textId="77777777" w:rsidR="00345767" w:rsidRDefault="00345767" w:rsidP="00345767">
      <w:pPr>
        <w:rPr>
          <w:rFonts w:cs="Arial"/>
          <w:b/>
          <w:color w:val="000000" w:themeColor="text1"/>
        </w:rPr>
      </w:pPr>
      <w:r>
        <w:rPr>
          <w:noProof/>
        </w:rPr>
        <w:lastRenderedPageBreak/>
        <mc:AlternateContent>
          <mc:Choice Requires="wps">
            <w:drawing>
              <wp:anchor distT="0" distB="0" distL="114300" distR="114300" simplePos="0" relativeHeight="252874752" behindDoc="0" locked="0" layoutInCell="1" allowOverlap="1" wp14:anchorId="6F7DFACA" wp14:editId="4F0B04ED">
                <wp:simplePos x="0" y="0"/>
                <wp:positionH relativeFrom="margin">
                  <wp:align>center</wp:align>
                </wp:positionH>
                <wp:positionV relativeFrom="paragraph">
                  <wp:posOffset>-85725</wp:posOffset>
                </wp:positionV>
                <wp:extent cx="6606540" cy="411480"/>
                <wp:effectExtent l="0" t="0" r="22860" b="26670"/>
                <wp:wrapNone/>
                <wp:docPr id="664233775" name="Cuadro de texto 664233775"/>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032CB532" w14:textId="77777777" w:rsidR="00345767" w:rsidRDefault="00345767" w:rsidP="00345767">
                            <w:pPr>
                              <w:jc w:val="center"/>
                              <w:rPr>
                                <w:rFonts w:cstheme="minorHAnsi"/>
                              </w:rPr>
                            </w:pPr>
                            <w:r>
                              <w:rPr>
                                <w:rFonts w:cstheme="minorHAnsi"/>
                                <w:b/>
                              </w:rPr>
                              <w:t>RÚBRICA DE EVALUACIÓN – RESEÑA CRÍTICA DE LECTURA</w:t>
                            </w:r>
                          </w:p>
                          <w:p w14:paraId="652FFCE7" w14:textId="77777777" w:rsidR="00345767" w:rsidRPr="00C25376" w:rsidRDefault="00345767" w:rsidP="00345767">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7DFACA" id="Cuadro de texto 664233775" o:spid="_x0000_s1047" type="#_x0000_t202" style="position:absolute;margin-left:0;margin-top:-6.75pt;width:520.2pt;height:32.4pt;z-index:2528747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zRiOQIAAIQ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" fillcolor="white [3201]" strokeweight=".5pt">
                <v:textbox>
                  <w:txbxContent>
                    <w:p w14:paraId="032CB532" w14:textId="77777777" w:rsidR="00345767" w:rsidRDefault="00345767" w:rsidP="00345767">
                      <w:pPr>
                        <w:jc w:val="center"/>
                        <w:rPr>
                          <w:rFonts w:cstheme="minorHAnsi"/>
                        </w:rPr>
                      </w:pPr>
                      <w:r>
                        <w:rPr>
                          <w:rFonts w:cstheme="minorHAnsi"/>
                          <w:b/>
                        </w:rPr>
                        <w:t>RÚBRICA DE EVALUACIÓN – RESEÑA CRÍTICA DE LECTURA</w:t>
                      </w:r>
                    </w:p>
                    <w:p w14:paraId="652FFCE7" w14:textId="77777777" w:rsidR="00345767" w:rsidRPr="00C25376" w:rsidRDefault="00345767" w:rsidP="00345767">
                      <w:pPr>
                        <w:jc w:val="center"/>
                        <w:rPr>
                          <w:rFonts w:cstheme="minorHAnsi"/>
                        </w:rPr>
                      </w:pPr>
                    </w:p>
                  </w:txbxContent>
                </v:textbox>
                <w10:wrap anchorx="margin"/>
              </v:shape>
            </w:pict>
          </mc:Fallback>
        </mc:AlternateContent>
      </w:r>
    </w:p>
    <w:p w14:paraId="55A43CE5" w14:textId="77777777" w:rsidR="00345767" w:rsidRDefault="00345767" w:rsidP="00345767">
      <w:pPr>
        <w:rPr>
          <w:rFonts w:cs="Arial"/>
          <w:b/>
          <w:color w:val="000000" w:themeColor="text1"/>
        </w:rPr>
      </w:pPr>
    </w:p>
    <w:p w14:paraId="18C111EF" w14:textId="77777777" w:rsidR="00345767" w:rsidRPr="004C090D" w:rsidRDefault="00345767" w:rsidP="00345767">
      <w:pPr>
        <w:jc w:val="center"/>
        <w:rPr>
          <w:rFonts w:cs="Arial"/>
          <w:bCs/>
          <w:color w:val="0070C0"/>
        </w:rPr>
      </w:pPr>
      <w:r w:rsidRPr="004C090D">
        <w:rPr>
          <w:rFonts w:cs="Arial"/>
          <w:bCs/>
          <w:color w:val="0070C0"/>
        </w:rPr>
        <w:t>En la perspectiva de fortalecer las capacidades de resumen de las ideas principales, hacer un análisis crítico y una contextualización, en este curso se utiliza la estrategia de aprendizaje denominada reseña crítica de lectura. Se elaboran en las sesiones 2 y 11. Cada una tiene un valor de 7,5%.</w:t>
      </w:r>
    </w:p>
    <w:p w14:paraId="41D9B126" w14:textId="77777777" w:rsidR="00345767" w:rsidRDefault="00345767" w:rsidP="00345767">
      <w:pPr>
        <w:jc w:val="center"/>
        <w:rPr>
          <w:rFonts w:cs="Arial"/>
          <w:bCs/>
          <w:color w:val="000000" w:themeColor="text1"/>
        </w:rPr>
      </w:pPr>
    </w:p>
    <w:p w14:paraId="576DE8E7" w14:textId="77777777" w:rsidR="00345767" w:rsidRPr="009F3EF1" w:rsidRDefault="00345767" w:rsidP="00345767">
      <w:pPr>
        <w:jc w:val="center"/>
        <w:rPr>
          <w:rFonts w:cs="Arial"/>
          <w:b/>
          <w:color w:val="000000" w:themeColor="text1"/>
        </w:rPr>
      </w:pPr>
      <w:r>
        <w:rPr>
          <w:rFonts w:cs="Arial"/>
          <w:b/>
          <w:noProof/>
          <w:color w:val="000000" w:themeColor="text1"/>
        </w:rPr>
        <w:drawing>
          <wp:anchor distT="0" distB="0" distL="114300" distR="114300" simplePos="0" relativeHeight="252875776" behindDoc="0" locked="0" layoutInCell="1" allowOverlap="1" wp14:anchorId="74C8E783" wp14:editId="5A66909D">
            <wp:simplePos x="0" y="0"/>
            <wp:positionH relativeFrom="column">
              <wp:posOffset>85725</wp:posOffset>
            </wp:positionH>
            <wp:positionV relativeFrom="paragraph">
              <wp:posOffset>2223</wp:posOffset>
            </wp:positionV>
            <wp:extent cx="8964168" cy="4800600"/>
            <wp:effectExtent l="0" t="0" r="8890" b="0"/>
            <wp:wrapNone/>
            <wp:docPr id="946490151"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90151" name="Imagen 2" descr="Tabla&#10;&#10;Descripción generada automáticament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964168" cy="4800600"/>
                    </a:xfrm>
                    <a:prstGeom prst="rect">
                      <a:avLst/>
                    </a:prstGeom>
                  </pic:spPr>
                </pic:pic>
              </a:graphicData>
            </a:graphic>
          </wp:anchor>
        </w:drawing>
      </w:r>
    </w:p>
    <w:p w14:paraId="2E8CC78D" w14:textId="77777777" w:rsidR="00345767" w:rsidRDefault="00345767" w:rsidP="00345767">
      <w:pPr>
        <w:rPr>
          <w:rFonts w:cs="Arial"/>
          <w:b/>
          <w:color w:val="000000" w:themeColor="text1"/>
        </w:rPr>
      </w:pPr>
      <w:r>
        <w:rPr>
          <w:rFonts w:cs="Arial"/>
          <w:b/>
          <w:color w:val="000000" w:themeColor="text1"/>
        </w:rPr>
        <w:br w:type="page"/>
      </w:r>
    </w:p>
    <w:p w14:paraId="69D039B2" w14:textId="77777777" w:rsidR="00345767" w:rsidRDefault="00345767" w:rsidP="00345767">
      <w:pPr>
        <w:rPr>
          <w:rFonts w:cs="Arial"/>
          <w:b/>
          <w:color w:val="000000" w:themeColor="text1"/>
        </w:rPr>
      </w:pPr>
      <w:r>
        <w:rPr>
          <w:b/>
          <w:noProof/>
        </w:rPr>
        <w:lastRenderedPageBreak/>
        <mc:AlternateContent>
          <mc:Choice Requires="wps">
            <w:drawing>
              <wp:anchor distT="0" distB="0" distL="114300" distR="114300" simplePos="0" relativeHeight="252876800" behindDoc="0" locked="0" layoutInCell="1" allowOverlap="1" wp14:anchorId="2BC6B2F9" wp14:editId="00CCCF6E">
                <wp:simplePos x="0" y="0"/>
                <wp:positionH relativeFrom="margin">
                  <wp:align>center</wp:align>
                </wp:positionH>
                <wp:positionV relativeFrom="paragraph">
                  <wp:posOffset>-161925</wp:posOffset>
                </wp:positionV>
                <wp:extent cx="7917180" cy="471488"/>
                <wp:effectExtent l="0" t="0" r="26670" b="24130"/>
                <wp:wrapNone/>
                <wp:docPr id="173770093" name="Rectángulo 173770093"/>
                <wp:cNvGraphicFramePr/>
                <a:graphic xmlns:a="http://schemas.openxmlformats.org/drawingml/2006/main">
                  <a:graphicData uri="http://schemas.microsoft.com/office/word/2010/wordprocessingShape">
                    <wps:wsp>
                      <wps:cNvSpPr/>
                      <wps:spPr>
                        <a:xfrm>
                          <a:off x="0" y="0"/>
                          <a:ext cx="7917180" cy="471488"/>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D061D88" w14:textId="77777777" w:rsidR="00345767" w:rsidRPr="00590BE7" w:rsidRDefault="00345767" w:rsidP="00345767">
                            <w:pPr>
                              <w:jc w:val="center"/>
                              <w:rPr>
                                <w:rFonts w:cstheme="minorHAnsi"/>
                                <w:b/>
                              </w:rPr>
                            </w:pPr>
                            <w:r w:rsidRPr="00590BE7">
                              <w:rPr>
                                <w:rFonts w:cstheme="minorHAnsi"/>
                                <w:b/>
                              </w:rPr>
                              <w:t>ESCALA DE EVALUACIÓN – FICHAS DE CONTENIDO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6B2F9" id="Rectángulo 173770093" o:spid="_x0000_s1048" style="position:absolute;margin-left:0;margin-top:-12.75pt;width:623.4pt;height:37.15pt;z-index:252876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" fillcolor="white [3201]" strokecolor="black [3200]" strokeweight=".25pt">
                <v:textbox>
                  <w:txbxContent>
                    <w:p w14:paraId="7D061D88" w14:textId="77777777" w:rsidR="00345767" w:rsidRPr="00590BE7" w:rsidRDefault="00345767" w:rsidP="00345767">
                      <w:pPr>
                        <w:jc w:val="center"/>
                        <w:rPr>
                          <w:rFonts w:cstheme="minorHAnsi"/>
                          <w:b/>
                        </w:rPr>
                      </w:pPr>
                      <w:r w:rsidRPr="00590BE7">
                        <w:rPr>
                          <w:rFonts w:cstheme="minorHAnsi"/>
                          <w:b/>
                        </w:rPr>
                        <w:t>ESCALA DE EVALUACIÓN – FICHAS DE CONTENIDO</w:t>
                      </w:r>
                    </w:p>
                  </w:txbxContent>
                </v:textbox>
                <w10:wrap anchorx="margin"/>
              </v:rect>
            </w:pict>
          </mc:Fallback>
        </mc:AlternateContent>
      </w:r>
    </w:p>
    <w:p w14:paraId="74425AD2" w14:textId="77777777" w:rsidR="00345767" w:rsidRDefault="00345767" w:rsidP="00345767">
      <w:pPr>
        <w:rPr>
          <w:rFonts w:cs="Arial"/>
          <w:b/>
          <w:color w:val="000000" w:themeColor="text1"/>
        </w:rPr>
      </w:pPr>
    </w:p>
    <w:p w14:paraId="30A31F7A" w14:textId="77777777" w:rsidR="00345767" w:rsidRPr="004C090D" w:rsidRDefault="00345767" w:rsidP="00345767">
      <w:pPr>
        <w:jc w:val="center"/>
        <w:rPr>
          <w:rFonts w:cs="Arial"/>
          <w:bCs/>
          <w:color w:val="0070C0"/>
        </w:rPr>
      </w:pPr>
      <w:r w:rsidRPr="004C090D">
        <w:rPr>
          <w:rFonts w:cs="Arial"/>
          <w:bCs/>
          <w:color w:val="0070C0"/>
        </w:rPr>
        <w:t>Se trata de una herramienta de estudio en la que, en forma gráfica, didáctica, ordenada, jerarquizada y sistemática, se ilustra mediante fichas los contenidos principales que se van dando al apropiarse del conocimiento que comparte una lectura. Se elaboran en las sesiones 6 y 7 y cada una tiene un valor de 7,5%.</w:t>
      </w:r>
    </w:p>
    <w:p w14:paraId="7CFB6874" w14:textId="77777777" w:rsidR="00345767" w:rsidRDefault="00345767" w:rsidP="00345767">
      <w:pPr>
        <w:jc w:val="center"/>
        <w:rPr>
          <w:rFonts w:cs="Arial"/>
          <w:bCs/>
          <w:color w:val="000000" w:themeColor="text1"/>
        </w:rPr>
      </w:pPr>
    </w:p>
    <w:p w14:paraId="53E321E0" w14:textId="77777777" w:rsidR="00345767" w:rsidRPr="001D260B" w:rsidRDefault="00345767" w:rsidP="00345767">
      <w:pPr>
        <w:jc w:val="center"/>
        <w:rPr>
          <w:rFonts w:cs="Arial"/>
          <w:b/>
          <w:color w:val="000000" w:themeColor="text1"/>
        </w:rPr>
      </w:pPr>
      <w:r>
        <w:rPr>
          <w:rFonts w:cs="Arial"/>
          <w:b/>
          <w:noProof/>
          <w:color w:val="000000" w:themeColor="text1"/>
        </w:rPr>
        <w:drawing>
          <wp:anchor distT="0" distB="0" distL="114300" distR="114300" simplePos="0" relativeHeight="252877824" behindDoc="0" locked="0" layoutInCell="1" allowOverlap="1" wp14:anchorId="4C3E61B0" wp14:editId="103675A8">
            <wp:simplePos x="0" y="0"/>
            <wp:positionH relativeFrom="margin">
              <wp:align>center</wp:align>
            </wp:positionH>
            <wp:positionV relativeFrom="paragraph">
              <wp:posOffset>173355</wp:posOffset>
            </wp:positionV>
            <wp:extent cx="8043672" cy="3087624"/>
            <wp:effectExtent l="0" t="0" r="0" b="0"/>
            <wp:wrapNone/>
            <wp:docPr id="1145458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581" name="Imagen 3" descr="Tabla&#10;&#10;Descripción generada automá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8043672" cy="3087624"/>
                    </a:xfrm>
                    <a:prstGeom prst="rect">
                      <a:avLst/>
                    </a:prstGeom>
                  </pic:spPr>
                </pic:pic>
              </a:graphicData>
            </a:graphic>
          </wp:anchor>
        </w:drawing>
      </w:r>
    </w:p>
    <w:p w14:paraId="4B977267" w14:textId="77777777" w:rsidR="00345767" w:rsidRDefault="00345767" w:rsidP="00345767">
      <w:pPr>
        <w:rPr>
          <w:rFonts w:cs="Arial"/>
          <w:b/>
          <w:color w:val="000000" w:themeColor="text1"/>
        </w:rPr>
      </w:pPr>
      <w:r>
        <w:rPr>
          <w:rFonts w:cs="Arial"/>
          <w:b/>
          <w:color w:val="000000" w:themeColor="text1"/>
        </w:rPr>
        <w:br w:type="page"/>
      </w:r>
    </w:p>
    <w:p w14:paraId="0C0CC611" w14:textId="77777777" w:rsidR="00345767" w:rsidRDefault="00345767" w:rsidP="00345767">
      <w:pPr>
        <w:rPr>
          <w:rFonts w:cs="Arial"/>
          <w:b/>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878848" behindDoc="0" locked="0" layoutInCell="1" allowOverlap="1" wp14:anchorId="144C6F5F" wp14:editId="535951F9">
                <wp:simplePos x="0" y="0"/>
                <wp:positionH relativeFrom="margin">
                  <wp:align>center</wp:align>
                </wp:positionH>
                <wp:positionV relativeFrom="paragraph">
                  <wp:posOffset>-166688</wp:posOffset>
                </wp:positionV>
                <wp:extent cx="7879080" cy="419100"/>
                <wp:effectExtent l="0" t="0" r="26670" b="19050"/>
                <wp:wrapNone/>
                <wp:docPr id="5973112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9100"/>
                        </a:xfrm>
                        <a:prstGeom prst="rect">
                          <a:avLst/>
                        </a:prstGeom>
                        <a:solidFill>
                          <a:srgbClr val="FFFFFF"/>
                        </a:solidFill>
                        <a:ln w="9525">
                          <a:solidFill>
                            <a:srgbClr val="000000"/>
                          </a:solidFill>
                          <a:miter lim="800000"/>
                          <a:headEnd/>
                          <a:tailEnd/>
                        </a:ln>
                      </wps:spPr>
                      <wps:txbx>
                        <w:txbxContent>
                          <w:p w14:paraId="6EA7E5A9" w14:textId="77777777" w:rsidR="00345767" w:rsidRPr="002A747D" w:rsidRDefault="00345767" w:rsidP="00345767">
                            <w:pPr>
                              <w:jc w:val="center"/>
                              <w:rPr>
                                <w:rFonts w:cstheme="minorHAnsi"/>
                                <w:b/>
                                <w:szCs w:val="24"/>
                              </w:rPr>
                            </w:pPr>
                            <w:r w:rsidRPr="002A747D">
                              <w:rPr>
                                <w:rFonts w:cstheme="minorHAnsi"/>
                                <w:b/>
                                <w:szCs w:val="24"/>
                              </w:rPr>
                              <w:t xml:space="preserve">RÚBRICA DE EVALUACIÓN – </w:t>
                            </w:r>
                            <w:r>
                              <w:rPr>
                                <w:rFonts w:cstheme="minorHAnsi"/>
                                <w:b/>
                                <w:szCs w:val="24"/>
                              </w:rPr>
                              <w:t>REFLEXIÓN PERSONAL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4C6F5F" id="_x0000_s1049" type="#_x0000_t202" style="position:absolute;margin-left:0;margin-top:-13.15pt;width:620.4pt;height:33pt;z-index:2528788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">
                <v:textbox>
                  <w:txbxContent>
                    <w:p w14:paraId="6EA7E5A9" w14:textId="77777777" w:rsidR="00345767" w:rsidRPr="002A747D" w:rsidRDefault="00345767" w:rsidP="00345767">
                      <w:pPr>
                        <w:jc w:val="center"/>
                        <w:rPr>
                          <w:rFonts w:cstheme="minorHAnsi"/>
                          <w:b/>
                          <w:szCs w:val="24"/>
                        </w:rPr>
                      </w:pPr>
                      <w:r w:rsidRPr="002A747D">
                        <w:rPr>
                          <w:rFonts w:cstheme="minorHAnsi"/>
                          <w:b/>
                          <w:szCs w:val="24"/>
                        </w:rPr>
                        <w:t xml:space="preserve">RÚBRICA DE EVALUACIÓN – </w:t>
                      </w:r>
                      <w:r>
                        <w:rPr>
                          <w:rFonts w:cstheme="minorHAnsi"/>
                          <w:b/>
                          <w:szCs w:val="24"/>
                        </w:rPr>
                        <w:t>REFLEXIÓN PERSONAL</w:t>
                      </w:r>
                    </w:p>
                  </w:txbxContent>
                </v:textbox>
                <w10:wrap anchorx="margin"/>
              </v:shape>
            </w:pict>
          </mc:Fallback>
        </mc:AlternateContent>
      </w:r>
    </w:p>
    <w:p w14:paraId="61173C30" w14:textId="77777777" w:rsidR="00345767" w:rsidRDefault="00345767" w:rsidP="00345767">
      <w:pPr>
        <w:rPr>
          <w:rFonts w:cs="Arial"/>
          <w:b/>
          <w:color w:val="000000" w:themeColor="text1"/>
        </w:rPr>
      </w:pPr>
    </w:p>
    <w:p w14:paraId="536CD840" w14:textId="77777777" w:rsidR="00345767" w:rsidRPr="004C090D" w:rsidRDefault="00345767" w:rsidP="00345767">
      <w:pPr>
        <w:jc w:val="center"/>
        <w:rPr>
          <w:rFonts w:cs="Arial"/>
          <w:bCs/>
          <w:color w:val="0070C0"/>
        </w:rPr>
      </w:pPr>
      <w:r w:rsidRPr="004C090D">
        <w:rPr>
          <w:rFonts w:cs="Arial"/>
          <w:bCs/>
          <w:color w:val="0070C0"/>
        </w:rPr>
        <w:t>La reflexión personal permite a la persona estudiante organizar y comunicar sus pensamientos sobre un determinado tema, ayudando en el proceso de auto comprensión de su propio proceso educativo. Se elabora en la sesión 10 y tiene un valor de 7.5%.</w:t>
      </w:r>
    </w:p>
    <w:p w14:paraId="11B0EEC9" w14:textId="77777777" w:rsidR="00345767" w:rsidRDefault="00345767" w:rsidP="00345767">
      <w:pPr>
        <w:jc w:val="center"/>
        <w:rPr>
          <w:rFonts w:cs="Arial"/>
          <w:bCs/>
          <w:color w:val="000000" w:themeColor="text1"/>
        </w:rPr>
      </w:pPr>
      <w:r>
        <w:rPr>
          <w:rFonts w:cs="Arial"/>
          <w:b/>
          <w:noProof/>
          <w:color w:val="000000" w:themeColor="text1"/>
        </w:rPr>
        <w:drawing>
          <wp:anchor distT="0" distB="0" distL="114300" distR="114300" simplePos="0" relativeHeight="252879872" behindDoc="0" locked="0" layoutInCell="1" allowOverlap="1" wp14:anchorId="24AA9BB8" wp14:editId="4024A8A7">
            <wp:simplePos x="0" y="0"/>
            <wp:positionH relativeFrom="margin">
              <wp:align>center</wp:align>
            </wp:positionH>
            <wp:positionV relativeFrom="paragraph">
              <wp:posOffset>168910</wp:posOffset>
            </wp:positionV>
            <wp:extent cx="7486015" cy="5088890"/>
            <wp:effectExtent l="0" t="0" r="635" b="0"/>
            <wp:wrapNone/>
            <wp:docPr id="632751030"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751030" name="Imagen 4" descr="Tabla&#10;&#10;Descripción generada automáticament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486015" cy="5088890"/>
                    </a:xfrm>
                    <a:prstGeom prst="rect">
                      <a:avLst/>
                    </a:prstGeom>
                  </pic:spPr>
                </pic:pic>
              </a:graphicData>
            </a:graphic>
            <wp14:sizeRelH relativeFrom="margin">
              <wp14:pctWidth>0</wp14:pctWidth>
            </wp14:sizeRelH>
            <wp14:sizeRelV relativeFrom="margin">
              <wp14:pctHeight>0</wp14:pctHeight>
            </wp14:sizeRelV>
          </wp:anchor>
        </w:drawing>
      </w:r>
    </w:p>
    <w:p w14:paraId="4BC55F33" w14:textId="77777777" w:rsidR="00345767" w:rsidRPr="00753E59" w:rsidRDefault="00345767" w:rsidP="00345767">
      <w:pPr>
        <w:jc w:val="center"/>
        <w:rPr>
          <w:rFonts w:cs="Arial"/>
          <w:b/>
          <w:color w:val="000000" w:themeColor="text1"/>
        </w:rPr>
      </w:pPr>
    </w:p>
    <w:p w14:paraId="6DE1FA9F" w14:textId="77777777" w:rsidR="00345767" w:rsidRDefault="00345767" w:rsidP="00345767">
      <w:pPr>
        <w:rPr>
          <w:rFonts w:cs="Arial"/>
          <w:b/>
          <w:color w:val="000000" w:themeColor="text1"/>
        </w:rPr>
      </w:pPr>
      <w:r>
        <w:rPr>
          <w:rFonts w:cs="Arial"/>
          <w:b/>
          <w:color w:val="000000" w:themeColor="text1"/>
        </w:rPr>
        <w:br w:type="page"/>
      </w:r>
    </w:p>
    <w:p w14:paraId="11589076" w14:textId="77777777" w:rsidR="00345767" w:rsidRDefault="00345767" w:rsidP="00345767">
      <w:pPr>
        <w:rPr>
          <w:rFonts w:cs="Arial"/>
          <w:b/>
          <w:color w:val="000000" w:themeColor="text1"/>
        </w:rPr>
      </w:pPr>
      <w:r>
        <w:rPr>
          <w:b/>
          <w:noProof/>
          <w:color w:val="000000" w:themeColor="text1"/>
          <w:szCs w:val="24"/>
        </w:rPr>
        <w:lastRenderedPageBreak/>
        <mc:AlternateContent>
          <mc:Choice Requires="wps">
            <w:drawing>
              <wp:anchor distT="0" distB="0" distL="114300" distR="114300" simplePos="0" relativeHeight="252880896" behindDoc="0" locked="0" layoutInCell="1" allowOverlap="1" wp14:anchorId="5966DB18" wp14:editId="59F00C0C">
                <wp:simplePos x="0" y="0"/>
                <wp:positionH relativeFrom="margin">
                  <wp:align>center</wp:align>
                </wp:positionH>
                <wp:positionV relativeFrom="paragraph">
                  <wp:posOffset>-133032</wp:posOffset>
                </wp:positionV>
                <wp:extent cx="6591300" cy="433388"/>
                <wp:effectExtent l="0" t="0" r="19050" b="24130"/>
                <wp:wrapNone/>
                <wp:docPr id="1140231483" name="Cuadro de texto 1140231483"/>
                <wp:cNvGraphicFramePr/>
                <a:graphic xmlns:a="http://schemas.openxmlformats.org/drawingml/2006/main">
                  <a:graphicData uri="http://schemas.microsoft.com/office/word/2010/wordprocessingShape">
                    <wps:wsp>
                      <wps:cNvSpPr txBox="1"/>
                      <wps:spPr>
                        <a:xfrm>
                          <a:off x="0" y="0"/>
                          <a:ext cx="6591300" cy="433388"/>
                        </a:xfrm>
                        <a:prstGeom prst="rect">
                          <a:avLst/>
                        </a:prstGeom>
                        <a:solidFill>
                          <a:schemeClr val="lt1"/>
                        </a:solidFill>
                        <a:ln w="6350">
                          <a:solidFill>
                            <a:prstClr val="black"/>
                          </a:solidFill>
                        </a:ln>
                      </wps:spPr>
                      <wps:txbx>
                        <w:txbxContent>
                          <w:p w14:paraId="3A227CF4" w14:textId="77777777" w:rsidR="00345767" w:rsidRPr="002143E6" w:rsidRDefault="00345767" w:rsidP="00345767">
                            <w:pPr>
                              <w:jc w:val="center"/>
                              <w:rPr>
                                <w:rFonts w:cstheme="minorHAnsi"/>
                                <w:b/>
                              </w:rPr>
                            </w:pPr>
                            <w:r w:rsidRPr="002143E6">
                              <w:rPr>
                                <w:rFonts w:cstheme="minorHAnsi"/>
                                <w:b/>
                              </w:rPr>
                              <w:t>ESCALA DE EVALUACIÓN – PRESENTACIÓN AUDIOVISUAL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6DB18" id="Cuadro de texto 1140231483" o:spid="_x0000_s1050" type="#_x0000_t202" style="position:absolute;margin-left:0;margin-top:-10.45pt;width:519pt;height:34.15pt;z-index:252880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" fillcolor="white [3201]" strokeweight=".5pt">
                <v:textbox>
                  <w:txbxContent>
                    <w:p w14:paraId="3A227CF4" w14:textId="77777777" w:rsidR="00345767" w:rsidRPr="002143E6" w:rsidRDefault="00345767" w:rsidP="00345767">
                      <w:pPr>
                        <w:jc w:val="center"/>
                        <w:rPr>
                          <w:rFonts w:cstheme="minorHAnsi"/>
                          <w:b/>
                        </w:rPr>
                      </w:pPr>
                      <w:r w:rsidRPr="002143E6">
                        <w:rPr>
                          <w:rFonts w:cstheme="minorHAnsi"/>
                          <w:b/>
                        </w:rPr>
                        <w:t>ESCALA DE EVALUACIÓN – PRESENTACIÓN AUDIOVISUAL</w:t>
                      </w:r>
                    </w:p>
                  </w:txbxContent>
                </v:textbox>
                <w10:wrap anchorx="margin"/>
              </v:shape>
            </w:pict>
          </mc:Fallback>
        </mc:AlternateContent>
      </w:r>
    </w:p>
    <w:p w14:paraId="0DAACB86" w14:textId="77777777" w:rsidR="00345767" w:rsidRDefault="00345767" w:rsidP="00345767">
      <w:pPr>
        <w:rPr>
          <w:rFonts w:cs="Arial"/>
          <w:b/>
          <w:color w:val="000000" w:themeColor="text1"/>
        </w:rPr>
      </w:pPr>
    </w:p>
    <w:p w14:paraId="6C4E802F" w14:textId="77777777" w:rsidR="00345767" w:rsidRPr="004C090D" w:rsidRDefault="00345767" w:rsidP="00345767">
      <w:pPr>
        <w:jc w:val="center"/>
        <w:rPr>
          <w:rFonts w:cs="Arial"/>
          <w:bCs/>
          <w:color w:val="0070C0"/>
        </w:rPr>
      </w:pPr>
      <w:r w:rsidRPr="004C090D">
        <w:rPr>
          <w:rFonts w:cs="Arial"/>
          <w:bCs/>
          <w:color w:val="0070C0"/>
        </w:rPr>
        <w:t>La presentación audiovisual es una herramienta que integra e interrelaciona lo auditivo y lo visual con el objetivo de presentar información sobre un tema o temas en específico.  Se elabora en las sesiones 4 y 5 y tiene un valor de 15%.</w:t>
      </w:r>
    </w:p>
    <w:p w14:paraId="1A98873C" w14:textId="77777777" w:rsidR="00345767" w:rsidRDefault="00345767" w:rsidP="00345767">
      <w:pPr>
        <w:jc w:val="center"/>
        <w:rPr>
          <w:rFonts w:cs="Arial"/>
          <w:bCs/>
          <w:color w:val="000000" w:themeColor="text1"/>
        </w:rPr>
      </w:pPr>
      <w:r>
        <w:rPr>
          <w:rFonts w:cs="Arial"/>
          <w:b/>
          <w:noProof/>
          <w:color w:val="000000" w:themeColor="text1"/>
        </w:rPr>
        <w:drawing>
          <wp:anchor distT="0" distB="0" distL="114300" distR="114300" simplePos="0" relativeHeight="252881920" behindDoc="0" locked="0" layoutInCell="1" allowOverlap="1" wp14:anchorId="690B0A83" wp14:editId="679F41D8">
            <wp:simplePos x="0" y="0"/>
            <wp:positionH relativeFrom="margin">
              <wp:align>center</wp:align>
            </wp:positionH>
            <wp:positionV relativeFrom="paragraph">
              <wp:posOffset>112713</wp:posOffset>
            </wp:positionV>
            <wp:extent cx="8597900" cy="4958715"/>
            <wp:effectExtent l="0" t="0" r="0" b="0"/>
            <wp:wrapNone/>
            <wp:docPr id="1300402056" name="Imagen 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02056" name="Imagen 5" descr="Interfaz de usuario gráfica, Aplicación&#10;&#10;Descripción generada automáticament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597900" cy="4958715"/>
                    </a:xfrm>
                    <a:prstGeom prst="rect">
                      <a:avLst/>
                    </a:prstGeom>
                  </pic:spPr>
                </pic:pic>
              </a:graphicData>
            </a:graphic>
          </wp:anchor>
        </w:drawing>
      </w:r>
    </w:p>
    <w:p w14:paraId="6888BB85" w14:textId="77777777" w:rsidR="00345767" w:rsidRDefault="00345767" w:rsidP="00345767">
      <w:pPr>
        <w:jc w:val="center"/>
        <w:rPr>
          <w:rFonts w:cs="Arial"/>
          <w:bCs/>
          <w:color w:val="000000" w:themeColor="text1"/>
        </w:rPr>
      </w:pPr>
    </w:p>
    <w:p w14:paraId="608EDC65" w14:textId="77777777" w:rsidR="00345767" w:rsidRDefault="00345767" w:rsidP="00345767">
      <w:pPr>
        <w:jc w:val="center"/>
        <w:rPr>
          <w:rFonts w:cs="Arial"/>
          <w:bCs/>
          <w:color w:val="000000" w:themeColor="text1"/>
        </w:rPr>
      </w:pPr>
    </w:p>
    <w:p w14:paraId="63A9EAED" w14:textId="77777777" w:rsidR="00345767" w:rsidRDefault="00345767" w:rsidP="00345767">
      <w:pPr>
        <w:jc w:val="center"/>
        <w:rPr>
          <w:rFonts w:cs="Arial"/>
          <w:bCs/>
          <w:color w:val="000000" w:themeColor="text1"/>
        </w:rPr>
      </w:pPr>
    </w:p>
    <w:p w14:paraId="08A676F2" w14:textId="77777777" w:rsidR="00345767" w:rsidRDefault="00345767" w:rsidP="00345767">
      <w:pPr>
        <w:jc w:val="center"/>
        <w:rPr>
          <w:rFonts w:cs="Arial"/>
          <w:bCs/>
          <w:color w:val="000000" w:themeColor="text1"/>
        </w:rPr>
      </w:pPr>
    </w:p>
    <w:p w14:paraId="752DC427" w14:textId="77777777" w:rsidR="00345767" w:rsidRDefault="00345767" w:rsidP="00345767">
      <w:pPr>
        <w:jc w:val="center"/>
        <w:rPr>
          <w:rFonts w:cs="Arial"/>
          <w:bCs/>
          <w:color w:val="000000" w:themeColor="text1"/>
        </w:rPr>
      </w:pPr>
    </w:p>
    <w:p w14:paraId="77CB0CBE" w14:textId="77777777" w:rsidR="00345767" w:rsidRDefault="00345767" w:rsidP="00345767">
      <w:pPr>
        <w:jc w:val="center"/>
        <w:rPr>
          <w:rFonts w:cs="Arial"/>
          <w:bCs/>
          <w:color w:val="000000" w:themeColor="text1"/>
        </w:rPr>
      </w:pPr>
    </w:p>
    <w:p w14:paraId="43B4C989" w14:textId="77777777" w:rsidR="00345767" w:rsidRDefault="00345767" w:rsidP="00345767">
      <w:pPr>
        <w:jc w:val="center"/>
        <w:rPr>
          <w:rFonts w:cs="Arial"/>
          <w:bCs/>
          <w:color w:val="000000" w:themeColor="text1"/>
        </w:rPr>
      </w:pPr>
    </w:p>
    <w:p w14:paraId="09A477FF" w14:textId="77777777" w:rsidR="00345767" w:rsidRDefault="00345767" w:rsidP="00345767">
      <w:pPr>
        <w:jc w:val="center"/>
        <w:rPr>
          <w:rFonts w:cs="Arial"/>
          <w:bCs/>
          <w:color w:val="000000" w:themeColor="text1"/>
        </w:rPr>
      </w:pPr>
    </w:p>
    <w:p w14:paraId="059C2258" w14:textId="77777777" w:rsidR="00345767" w:rsidRDefault="00345767" w:rsidP="00345767">
      <w:pPr>
        <w:jc w:val="center"/>
        <w:rPr>
          <w:rFonts w:cs="Arial"/>
          <w:bCs/>
          <w:color w:val="000000" w:themeColor="text1"/>
        </w:rPr>
      </w:pPr>
    </w:p>
    <w:p w14:paraId="51DE3FFE" w14:textId="77777777" w:rsidR="00345767" w:rsidRDefault="00345767" w:rsidP="00345767">
      <w:pPr>
        <w:jc w:val="center"/>
        <w:rPr>
          <w:rFonts w:cs="Arial"/>
          <w:bCs/>
          <w:color w:val="000000" w:themeColor="text1"/>
        </w:rPr>
      </w:pPr>
    </w:p>
    <w:p w14:paraId="5649CBB0" w14:textId="77777777" w:rsidR="00345767" w:rsidRDefault="00345767" w:rsidP="00345767">
      <w:pPr>
        <w:jc w:val="center"/>
        <w:rPr>
          <w:rFonts w:cs="Arial"/>
          <w:bCs/>
          <w:color w:val="000000" w:themeColor="text1"/>
        </w:rPr>
      </w:pPr>
    </w:p>
    <w:p w14:paraId="681805A9" w14:textId="77777777" w:rsidR="00345767" w:rsidRDefault="00345767" w:rsidP="00345767">
      <w:pPr>
        <w:jc w:val="center"/>
        <w:rPr>
          <w:rFonts w:cs="Arial"/>
          <w:bCs/>
          <w:color w:val="000000" w:themeColor="text1"/>
        </w:rPr>
      </w:pPr>
    </w:p>
    <w:p w14:paraId="7C9E25B8" w14:textId="77777777" w:rsidR="00345767" w:rsidRDefault="00345767" w:rsidP="00345767">
      <w:pPr>
        <w:jc w:val="center"/>
        <w:rPr>
          <w:rFonts w:cs="Arial"/>
          <w:bCs/>
          <w:color w:val="000000" w:themeColor="text1"/>
        </w:rPr>
      </w:pPr>
    </w:p>
    <w:p w14:paraId="5A19F150" w14:textId="77777777" w:rsidR="00345767" w:rsidRDefault="00345767" w:rsidP="00345767">
      <w:pPr>
        <w:jc w:val="center"/>
        <w:rPr>
          <w:rFonts w:cs="Arial"/>
          <w:bCs/>
          <w:color w:val="000000" w:themeColor="text1"/>
        </w:rPr>
      </w:pPr>
    </w:p>
    <w:p w14:paraId="304B7270" w14:textId="77777777" w:rsidR="00345767" w:rsidRDefault="00345767" w:rsidP="00345767">
      <w:pPr>
        <w:jc w:val="center"/>
        <w:rPr>
          <w:rFonts w:cs="Arial"/>
          <w:bCs/>
          <w:color w:val="000000" w:themeColor="text1"/>
        </w:rPr>
      </w:pPr>
    </w:p>
    <w:p w14:paraId="59720D80" w14:textId="77777777" w:rsidR="00345767" w:rsidRDefault="00345767" w:rsidP="00345767">
      <w:pPr>
        <w:jc w:val="center"/>
        <w:rPr>
          <w:rFonts w:cs="Arial"/>
          <w:bCs/>
          <w:color w:val="000000" w:themeColor="text1"/>
        </w:rPr>
      </w:pPr>
    </w:p>
    <w:p w14:paraId="077CC70A" w14:textId="77777777" w:rsidR="00345767" w:rsidRDefault="00345767" w:rsidP="00345767">
      <w:pPr>
        <w:jc w:val="center"/>
        <w:rPr>
          <w:rFonts w:cs="Arial"/>
          <w:bCs/>
          <w:color w:val="000000" w:themeColor="text1"/>
        </w:rPr>
      </w:pPr>
    </w:p>
    <w:p w14:paraId="58EC6E73" w14:textId="77777777" w:rsidR="00345767" w:rsidRDefault="00345767" w:rsidP="00345767">
      <w:pPr>
        <w:jc w:val="center"/>
        <w:rPr>
          <w:rFonts w:cs="Arial"/>
          <w:bCs/>
          <w:color w:val="000000" w:themeColor="text1"/>
        </w:rPr>
      </w:pPr>
    </w:p>
    <w:p w14:paraId="015604E1" w14:textId="77777777" w:rsidR="00345767" w:rsidRDefault="00345767" w:rsidP="00345767">
      <w:pPr>
        <w:jc w:val="center"/>
        <w:rPr>
          <w:rFonts w:cs="Arial"/>
          <w:bCs/>
          <w:color w:val="000000" w:themeColor="text1"/>
        </w:rPr>
      </w:pPr>
    </w:p>
    <w:p w14:paraId="5C05C9B5" w14:textId="77777777" w:rsidR="00345767" w:rsidRDefault="00345767" w:rsidP="00345767">
      <w:pPr>
        <w:jc w:val="center"/>
        <w:rPr>
          <w:rFonts w:cs="Arial"/>
          <w:bCs/>
          <w:color w:val="000000" w:themeColor="text1"/>
        </w:rPr>
      </w:pPr>
      <w:r>
        <w:rPr>
          <w:b/>
          <w:noProof/>
        </w:rPr>
        <w:lastRenderedPageBreak/>
        <mc:AlternateContent>
          <mc:Choice Requires="wps">
            <w:drawing>
              <wp:anchor distT="0" distB="0" distL="114300" distR="114300" simplePos="0" relativeHeight="252882944" behindDoc="0" locked="0" layoutInCell="1" allowOverlap="1" wp14:anchorId="63ADD7C7" wp14:editId="1F3BE51B">
                <wp:simplePos x="0" y="0"/>
                <wp:positionH relativeFrom="margin">
                  <wp:align>center</wp:align>
                </wp:positionH>
                <wp:positionV relativeFrom="paragraph">
                  <wp:posOffset>0</wp:posOffset>
                </wp:positionV>
                <wp:extent cx="7025640" cy="409575"/>
                <wp:effectExtent l="0" t="0" r="22860" b="28575"/>
                <wp:wrapNone/>
                <wp:docPr id="991063573" name="Cuadro de texto 991063573"/>
                <wp:cNvGraphicFramePr/>
                <a:graphic xmlns:a="http://schemas.openxmlformats.org/drawingml/2006/main">
                  <a:graphicData uri="http://schemas.microsoft.com/office/word/2010/wordprocessingShape">
                    <wps:wsp>
                      <wps:cNvSpPr txBox="1"/>
                      <wps:spPr>
                        <a:xfrm>
                          <a:off x="0" y="0"/>
                          <a:ext cx="7025640" cy="409575"/>
                        </a:xfrm>
                        <a:prstGeom prst="rect">
                          <a:avLst/>
                        </a:prstGeom>
                        <a:solidFill>
                          <a:schemeClr val="lt1"/>
                        </a:solidFill>
                        <a:ln w="6350">
                          <a:solidFill>
                            <a:prstClr val="black"/>
                          </a:solidFill>
                        </a:ln>
                      </wps:spPr>
                      <wps:txbx>
                        <w:txbxContent>
                          <w:p w14:paraId="58208085" w14:textId="77777777" w:rsidR="00345767" w:rsidRPr="00811DD6" w:rsidRDefault="00345767" w:rsidP="00345767">
                            <w:pPr>
                              <w:jc w:val="center"/>
                              <w:rPr>
                                <w:rFonts w:cstheme="minorHAnsi"/>
                                <w:b/>
                              </w:rPr>
                            </w:pPr>
                            <w:r w:rsidRPr="00811DD6">
                              <w:rPr>
                                <w:rFonts w:cstheme="minorHAns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DD7C7" id="Cuadro de texto 991063573" o:spid="_x0000_s1051" type="#_x0000_t202" style="position:absolute;left:0;text-align:left;margin-left:0;margin-top:0;width:553.2pt;height:32.25pt;z-index:252882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" fillcolor="white [3201]" strokeweight=".5pt">
                <v:textbox>
                  <w:txbxContent>
                    <w:p w14:paraId="58208085" w14:textId="77777777" w:rsidR="00345767" w:rsidRPr="00811DD6" w:rsidRDefault="00345767" w:rsidP="00345767">
                      <w:pPr>
                        <w:jc w:val="center"/>
                        <w:rPr>
                          <w:rFonts w:cstheme="minorHAnsi"/>
                          <w:b/>
                        </w:rPr>
                      </w:pPr>
                      <w:r w:rsidRPr="00811DD6">
                        <w:rPr>
                          <w:rFonts w:cstheme="minorHAnsi"/>
                          <w:b/>
                        </w:rPr>
                        <w:t>RÚBRICA DE EVALUACIÓN – WIKI</w:t>
                      </w:r>
                    </w:p>
                  </w:txbxContent>
                </v:textbox>
                <w10:wrap anchorx="margin"/>
              </v:shape>
            </w:pict>
          </mc:Fallback>
        </mc:AlternateContent>
      </w:r>
    </w:p>
    <w:p w14:paraId="651817C5" w14:textId="77777777" w:rsidR="00345767" w:rsidRDefault="00345767" w:rsidP="00345767">
      <w:pPr>
        <w:jc w:val="center"/>
        <w:rPr>
          <w:rFonts w:cs="Arial"/>
          <w:bCs/>
          <w:color w:val="000000" w:themeColor="text1"/>
        </w:rPr>
      </w:pPr>
    </w:p>
    <w:p w14:paraId="6854BEE6" w14:textId="77777777" w:rsidR="00345767" w:rsidRPr="004C090D" w:rsidRDefault="00345767" w:rsidP="00345767">
      <w:pPr>
        <w:jc w:val="center"/>
        <w:rPr>
          <w:rFonts w:cs="Arial"/>
          <w:bCs/>
          <w:color w:val="0070C0"/>
        </w:rPr>
      </w:pPr>
      <w:r w:rsidRPr="004C090D">
        <w:rPr>
          <w:rFonts w:cs="Arial"/>
          <w:bCs/>
          <w:color w:val="0070C0"/>
        </w:rPr>
        <w:t>Un wiki es una herramienta tecnológica que permite la compilación/creación de información de forma digital, colaborativamente, con aportes y ediciones editables. Se desarrolla en la sesión 12 y tiene un valor de 5%.</w:t>
      </w:r>
    </w:p>
    <w:p w14:paraId="162C71B2" w14:textId="77777777" w:rsidR="00345767" w:rsidRDefault="00345767" w:rsidP="00345767">
      <w:pPr>
        <w:jc w:val="center"/>
        <w:rPr>
          <w:rFonts w:cs="Arial"/>
          <w:bCs/>
          <w:color w:val="000000" w:themeColor="text1"/>
        </w:rPr>
      </w:pPr>
    </w:p>
    <w:p w14:paraId="421281F8" w14:textId="77777777" w:rsidR="00345767" w:rsidRDefault="00345767" w:rsidP="00345767">
      <w:pPr>
        <w:jc w:val="center"/>
        <w:rPr>
          <w:rFonts w:cs="Arial"/>
          <w:bCs/>
          <w:color w:val="000000" w:themeColor="text1"/>
        </w:rPr>
      </w:pPr>
      <w:r>
        <w:rPr>
          <w:rFonts w:cs="Arial"/>
          <w:bCs/>
          <w:noProof/>
          <w:color w:val="000000" w:themeColor="text1"/>
        </w:rPr>
        <w:drawing>
          <wp:anchor distT="0" distB="0" distL="114300" distR="114300" simplePos="0" relativeHeight="252883968" behindDoc="0" locked="0" layoutInCell="1" allowOverlap="1" wp14:anchorId="57D1014B" wp14:editId="082B74D7">
            <wp:simplePos x="0" y="0"/>
            <wp:positionH relativeFrom="margin">
              <wp:align>right</wp:align>
            </wp:positionH>
            <wp:positionV relativeFrom="paragraph">
              <wp:posOffset>207963</wp:posOffset>
            </wp:positionV>
            <wp:extent cx="9144000" cy="4608830"/>
            <wp:effectExtent l="0" t="0" r="0" b="1270"/>
            <wp:wrapNone/>
            <wp:docPr id="1927669797" name="Imagen 6"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69797" name="Imagen 6" descr="Calendario&#10;&#10;Descripción generada automáticament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144000" cy="4608830"/>
                    </a:xfrm>
                    <a:prstGeom prst="rect">
                      <a:avLst/>
                    </a:prstGeom>
                  </pic:spPr>
                </pic:pic>
              </a:graphicData>
            </a:graphic>
          </wp:anchor>
        </w:drawing>
      </w:r>
    </w:p>
    <w:p w14:paraId="5B10EBCC" w14:textId="77777777" w:rsidR="00345767" w:rsidRDefault="00345767" w:rsidP="00345767">
      <w:pPr>
        <w:jc w:val="center"/>
        <w:rPr>
          <w:rFonts w:cs="Arial"/>
          <w:bCs/>
          <w:color w:val="000000" w:themeColor="text1"/>
        </w:rPr>
      </w:pPr>
    </w:p>
    <w:p w14:paraId="3332CFBF" w14:textId="77777777" w:rsidR="00345767" w:rsidRDefault="00345767" w:rsidP="00345767">
      <w:pPr>
        <w:jc w:val="center"/>
        <w:rPr>
          <w:rFonts w:cs="Arial"/>
          <w:bCs/>
          <w:color w:val="000000" w:themeColor="text1"/>
        </w:rPr>
      </w:pPr>
    </w:p>
    <w:p w14:paraId="3F5895AC" w14:textId="77777777" w:rsidR="00345767" w:rsidRDefault="00345767" w:rsidP="00345767">
      <w:pPr>
        <w:jc w:val="center"/>
        <w:rPr>
          <w:rFonts w:cs="Arial"/>
          <w:bCs/>
          <w:color w:val="000000" w:themeColor="text1"/>
        </w:rPr>
      </w:pPr>
    </w:p>
    <w:p w14:paraId="4472C5AB" w14:textId="77777777" w:rsidR="00345767" w:rsidRDefault="00345767" w:rsidP="00345767">
      <w:pPr>
        <w:jc w:val="center"/>
        <w:rPr>
          <w:rFonts w:cs="Arial"/>
          <w:bCs/>
          <w:color w:val="000000" w:themeColor="text1"/>
        </w:rPr>
      </w:pPr>
    </w:p>
    <w:p w14:paraId="02161754" w14:textId="77777777" w:rsidR="00345767" w:rsidRDefault="00345767" w:rsidP="00345767">
      <w:pPr>
        <w:jc w:val="center"/>
        <w:rPr>
          <w:rFonts w:cs="Arial"/>
          <w:bCs/>
          <w:color w:val="000000" w:themeColor="text1"/>
        </w:rPr>
      </w:pPr>
    </w:p>
    <w:p w14:paraId="24899BB4" w14:textId="77777777" w:rsidR="00345767" w:rsidRDefault="00345767" w:rsidP="00345767">
      <w:pPr>
        <w:jc w:val="center"/>
        <w:rPr>
          <w:rFonts w:cs="Arial"/>
          <w:bCs/>
          <w:color w:val="000000" w:themeColor="text1"/>
        </w:rPr>
      </w:pPr>
    </w:p>
    <w:p w14:paraId="4E2705FC" w14:textId="77777777" w:rsidR="00345767" w:rsidRDefault="00345767" w:rsidP="00345767">
      <w:pPr>
        <w:jc w:val="center"/>
        <w:rPr>
          <w:rFonts w:cs="Arial"/>
          <w:bCs/>
          <w:color w:val="000000" w:themeColor="text1"/>
        </w:rPr>
      </w:pPr>
    </w:p>
    <w:p w14:paraId="4A1D6ADD" w14:textId="77777777" w:rsidR="00345767" w:rsidRDefault="00345767" w:rsidP="00345767">
      <w:pPr>
        <w:jc w:val="center"/>
        <w:rPr>
          <w:rFonts w:cs="Arial"/>
          <w:bCs/>
          <w:color w:val="000000" w:themeColor="text1"/>
        </w:rPr>
      </w:pPr>
    </w:p>
    <w:p w14:paraId="659983B7" w14:textId="77777777" w:rsidR="00345767" w:rsidRDefault="00345767" w:rsidP="00345767">
      <w:pPr>
        <w:jc w:val="center"/>
        <w:rPr>
          <w:rFonts w:cs="Arial"/>
          <w:bCs/>
          <w:color w:val="000000" w:themeColor="text1"/>
        </w:rPr>
      </w:pPr>
    </w:p>
    <w:p w14:paraId="4D5EDEBE" w14:textId="77777777" w:rsidR="00345767" w:rsidRDefault="00345767" w:rsidP="00345767">
      <w:pPr>
        <w:jc w:val="center"/>
        <w:rPr>
          <w:rFonts w:cs="Arial"/>
          <w:bCs/>
          <w:color w:val="000000" w:themeColor="text1"/>
        </w:rPr>
      </w:pPr>
    </w:p>
    <w:p w14:paraId="4B940201" w14:textId="77777777" w:rsidR="00345767" w:rsidRDefault="00345767" w:rsidP="00345767">
      <w:pPr>
        <w:jc w:val="center"/>
        <w:rPr>
          <w:rFonts w:cs="Arial"/>
          <w:bCs/>
          <w:color w:val="000000" w:themeColor="text1"/>
        </w:rPr>
      </w:pPr>
    </w:p>
    <w:p w14:paraId="081DB82F" w14:textId="77777777" w:rsidR="00345767" w:rsidRDefault="00345767" w:rsidP="00345767">
      <w:pPr>
        <w:jc w:val="center"/>
        <w:rPr>
          <w:rFonts w:cs="Arial"/>
          <w:bCs/>
          <w:color w:val="000000" w:themeColor="text1"/>
        </w:rPr>
      </w:pPr>
    </w:p>
    <w:p w14:paraId="772F920D" w14:textId="77777777" w:rsidR="00345767" w:rsidRDefault="00345767" w:rsidP="00345767">
      <w:pPr>
        <w:jc w:val="center"/>
        <w:rPr>
          <w:rFonts w:cs="Arial"/>
          <w:bCs/>
          <w:color w:val="000000" w:themeColor="text1"/>
        </w:rPr>
      </w:pPr>
    </w:p>
    <w:p w14:paraId="7702F8A7" w14:textId="77777777" w:rsidR="00345767" w:rsidRDefault="00345767" w:rsidP="00345767">
      <w:pPr>
        <w:jc w:val="center"/>
        <w:rPr>
          <w:rFonts w:cs="Arial"/>
          <w:bCs/>
          <w:color w:val="000000" w:themeColor="text1"/>
        </w:rPr>
      </w:pPr>
    </w:p>
    <w:p w14:paraId="480A094A" w14:textId="77777777" w:rsidR="00345767" w:rsidRDefault="00345767" w:rsidP="00345767">
      <w:pPr>
        <w:jc w:val="center"/>
        <w:rPr>
          <w:rFonts w:cs="Arial"/>
          <w:bCs/>
          <w:color w:val="000000" w:themeColor="text1"/>
        </w:rPr>
      </w:pPr>
    </w:p>
    <w:p w14:paraId="44134801" w14:textId="77777777" w:rsidR="00345767" w:rsidRDefault="00345767" w:rsidP="00345767">
      <w:pPr>
        <w:jc w:val="center"/>
        <w:rPr>
          <w:rFonts w:cs="Arial"/>
          <w:bCs/>
          <w:color w:val="000000" w:themeColor="text1"/>
        </w:rPr>
      </w:pPr>
    </w:p>
    <w:p w14:paraId="32BE2C53" w14:textId="77777777" w:rsidR="00345767" w:rsidRDefault="00345767" w:rsidP="00345767">
      <w:pPr>
        <w:jc w:val="center"/>
        <w:rPr>
          <w:rFonts w:cs="Arial"/>
          <w:bCs/>
          <w:color w:val="000000" w:themeColor="text1"/>
        </w:rPr>
      </w:pPr>
    </w:p>
    <w:p w14:paraId="44B73D73" w14:textId="77777777" w:rsidR="00345767" w:rsidRDefault="00345767" w:rsidP="00345767">
      <w:pPr>
        <w:jc w:val="center"/>
        <w:rPr>
          <w:rFonts w:cs="Arial"/>
          <w:bCs/>
          <w:color w:val="000000" w:themeColor="text1"/>
        </w:rPr>
      </w:pPr>
    </w:p>
    <w:p w14:paraId="44BD41B0" w14:textId="77777777" w:rsidR="00345767" w:rsidRDefault="00345767" w:rsidP="00345767">
      <w:pPr>
        <w:jc w:val="center"/>
        <w:rPr>
          <w:rFonts w:cs="Arial"/>
          <w:bCs/>
          <w:color w:val="000000" w:themeColor="text1"/>
        </w:rPr>
      </w:pPr>
      <w:r>
        <w:rPr>
          <w:b/>
          <w:noProof/>
        </w:rPr>
        <w:lastRenderedPageBreak/>
        <mc:AlternateContent>
          <mc:Choice Requires="wps">
            <w:drawing>
              <wp:anchor distT="0" distB="0" distL="114300" distR="114300" simplePos="0" relativeHeight="252884992" behindDoc="0" locked="0" layoutInCell="1" allowOverlap="1" wp14:anchorId="062E0060" wp14:editId="2DD1130E">
                <wp:simplePos x="0" y="0"/>
                <wp:positionH relativeFrom="margin">
                  <wp:align>center</wp:align>
                </wp:positionH>
                <wp:positionV relativeFrom="paragraph">
                  <wp:posOffset>-152400</wp:posOffset>
                </wp:positionV>
                <wp:extent cx="7917180" cy="423863"/>
                <wp:effectExtent l="0" t="0" r="26670" b="14605"/>
                <wp:wrapNone/>
                <wp:docPr id="114082773" name="Rectángulo 114082773"/>
                <wp:cNvGraphicFramePr/>
                <a:graphic xmlns:a="http://schemas.openxmlformats.org/drawingml/2006/main">
                  <a:graphicData uri="http://schemas.microsoft.com/office/word/2010/wordprocessingShape">
                    <wps:wsp>
                      <wps:cNvSpPr/>
                      <wps:spPr>
                        <a:xfrm>
                          <a:off x="0" y="0"/>
                          <a:ext cx="7917180" cy="423863"/>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1EF4D06" w14:textId="77777777" w:rsidR="00345767" w:rsidRPr="00000D01" w:rsidRDefault="00345767" w:rsidP="00345767">
                            <w:pPr>
                              <w:jc w:val="center"/>
                              <w:rPr>
                                <w:rFonts w:cstheme="minorHAnsi"/>
                                <w:b/>
                              </w:rPr>
                            </w:pPr>
                            <w:r w:rsidRPr="00000D01">
                              <w:rPr>
                                <w:rFonts w:cstheme="minorHAnsi"/>
                                <w:b/>
                              </w:rPr>
                              <w:t>ESCALA DE EVALUACIÓN – PRIMER, SEGUNDO Y TERCER INFORME DE OBSERVACIÓN PARTICIPANTE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E0060" id="Rectángulo 114082773" o:spid="_x0000_s1052" style="position:absolute;left:0;text-align:left;margin-left:0;margin-top:-12pt;width:623.4pt;height:33.4pt;z-index:252884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" fillcolor="white [3201]" strokecolor="black [3200]" strokeweight=".25pt">
                <v:textbox>
                  <w:txbxContent>
                    <w:p w14:paraId="71EF4D06" w14:textId="77777777" w:rsidR="00345767" w:rsidRPr="00000D01" w:rsidRDefault="00345767" w:rsidP="00345767">
                      <w:pPr>
                        <w:jc w:val="center"/>
                        <w:rPr>
                          <w:rFonts w:cstheme="minorHAnsi"/>
                          <w:b/>
                        </w:rPr>
                      </w:pPr>
                      <w:r w:rsidRPr="00000D01">
                        <w:rPr>
                          <w:rFonts w:cstheme="minorHAnsi"/>
                          <w:b/>
                        </w:rPr>
                        <w:t>ESCALA DE EVALUACIÓN – PRIMER, SEGUNDO Y TERCER INFORME DE OBSERVACIÓN PARTICIPANTE</w:t>
                      </w:r>
                    </w:p>
                  </w:txbxContent>
                </v:textbox>
                <w10:wrap anchorx="margin"/>
              </v:rect>
            </w:pict>
          </mc:Fallback>
        </mc:AlternateContent>
      </w:r>
    </w:p>
    <w:p w14:paraId="2B8DDFC5" w14:textId="77777777" w:rsidR="00345767" w:rsidRDefault="00345767" w:rsidP="00345767">
      <w:pPr>
        <w:jc w:val="center"/>
        <w:rPr>
          <w:rFonts w:cs="Arial"/>
          <w:bCs/>
          <w:color w:val="000000" w:themeColor="text1"/>
        </w:rPr>
      </w:pPr>
    </w:p>
    <w:p w14:paraId="7CCE5271" w14:textId="77777777" w:rsidR="00345767" w:rsidRPr="004C090D" w:rsidRDefault="00345767" w:rsidP="00345767">
      <w:pPr>
        <w:jc w:val="center"/>
        <w:rPr>
          <w:rFonts w:cs="Arial"/>
          <w:bCs/>
          <w:color w:val="0070C0"/>
        </w:rPr>
      </w:pPr>
      <w:r w:rsidRPr="004C090D">
        <w:rPr>
          <w:rFonts w:cs="Arial"/>
          <w:bCs/>
          <w:color w:val="0070C0"/>
        </w:rPr>
        <w:t>La observación participante es una estrategia de aprendizaje de examen reflexivo y una metodología de investigación cualitativa en la que las personas que observan se involucran en las actividades del grupo, realizando dicha observación desde adentro y no desde afuera. Se distribuye de la siguiente forma: Primer informe (sesión 8; vale 5%. Segundo informe (sesión 9; vale 5%). Tercer informe (sesión 13; vale 5%). Informe completo (sesión 15; vale 20%).</w:t>
      </w:r>
    </w:p>
    <w:p w14:paraId="123DBD01" w14:textId="77777777" w:rsidR="00345767" w:rsidRDefault="00345767" w:rsidP="00345767">
      <w:pPr>
        <w:jc w:val="center"/>
        <w:rPr>
          <w:rFonts w:cs="Arial"/>
          <w:bCs/>
          <w:color w:val="000000" w:themeColor="text1"/>
        </w:rPr>
      </w:pPr>
    </w:p>
    <w:p w14:paraId="65887DE4" w14:textId="77777777" w:rsidR="00345767" w:rsidRDefault="00345767" w:rsidP="00345767">
      <w:pPr>
        <w:jc w:val="center"/>
        <w:rPr>
          <w:rFonts w:cs="Arial"/>
          <w:bCs/>
          <w:color w:val="000000" w:themeColor="text1"/>
        </w:rPr>
      </w:pPr>
      <w:r>
        <w:rPr>
          <w:rFonts w:cs="Arial"/>
          <w:bCs/>
          <w:noProof/>
          <w:color w:val="000000" w:themeColor="text1"/>
        </w:rPr>
        <w:drawing>
          <wp:anchor distT="0" distB="0" distL="114300" distR="114300" simplePos="0" relativeHeight="252886016" behindDoc="0" locked="0" layoutInCell="1" allowOverlap="1" wp14:anchorId="48D4D20F" wp14:editId="278B585A">
            <wp:simplePos x="0" y="0"/>
            <wp:positionH relativeFrom="margin">
              <wp:align>center</wp:align>
            </wp:positionH>
            <wp:positionV relativeFrom="paragraph">
              <wp:posOffset>40640</wp:posOffset>
            </wp:positionV>
            <wp:extent cx="8019288" cy="3502152"/>
            <wp:effectExtent l="0" t="0" r="1270" b="3175"/>
            <wp:wrapNone/>
            <wp:docPr id="724245178" name="Imagen 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245178" name="Imagen 7" descr="Interfaz de usuario gráfica&#10;&#10;Descripción generada automáticamente con confianza media"/>
                    <pic:cNvPicPr/>
                  </pic:nvPicPr>
                  <pic:blipFill>
                    <a:blip r:embed="rId66" cstate="print">
                      <a:extLst>
                        <a:ext uri="{28A0092B-C50C-407E-A947-70E740481C1C}">
                          <a14:useLocalDpi xmlns:a14="http://schemas.microsoft.com/office/drawing/2010/main" val="0"/>
                        </a:ext>
                      </a:extLst>
                    </a:blip>
                    <a:stretch>
                      <a:fillRect/>
                    </a:stretch>
                  </pic:blipFill>
                  <pic:spPr>
                    <a:xfrm>
                      <a:off x="0" y="0"/>
                      <a:ext cx="8019288" cy="3502152"/>
                    </a:xfrm>
                    <a:prstGeom prst="rect">
                      <a:avLst/>
                    </a:prstGeom>
                  </pic:spPr>
                </pic:pic>
              </a:graphicData>
            </a:graphic>
          </wp:anchor>
        </w:drawing>
      </w:r>
    </w:p>
    <w:p w14:paraId="40528C50" w14:textId="77777777" w:rsidR="00345767" w:rsidRDefault="00345767" w:rsidP="00345767">
      <w:pPr>
        <w:jc w:val="center"/>
        <w:rPr>
          <w:rFonts w:cs="Arial"/>
          <w:bCs/>
          <w:color w:val="000000" w:themeColor="text1"/>
        </w:rPr>
      </w:pPr>
    </w:p>
    <w:p w14:paraId="39DDB5E6" w14:textId="77777777" w:rsidR="00345767" w:rsidRDefault="00345767" w:rsidP="00345767">
      <w:pPr>
        <w:jc w:val="center"/>
        <w:rPr>
          <w:rFonts w:cs="Arial"/>
          <w:bCs/>
          <w:color w:val="000000" w:themeColor="text1"/>
        </w:rPr>
      </w:pPr>
    </w:p>
    <w:p w14:paraId="0998146C" w14:textId="77777777" w:rsidR="00345767" w:rsidRDefault="00345767" w:rsidP="00345767">
      <w:pPr>
        <w:jc w:val="center"/>
        <w:rPr>
          <w:rFonts w:cs="Arial"/>
          <w:bCs/>
          <w:color w:val="000000" w:themeColor="text1"/>
        </w:rPr>
      </w:pPr>
    </w:p>
    <w:p w14:paraId="2A541AE0" w14:textId="77777777" w:rsidR="00345767" w:rsidRDefault="00345767" w:rsidP="00345767">
      <w:pPr>
        <w:jc w:val="center"/>
        <w:rPr>
          <w:rFonts w:cs="Arial"/>
          <w:bCs/>
          <w:color w:val="000000" w:themeColor="text1"/>
        </w:rPr>
      </w:pPr>
    </w:p>
    <w:p w14:paraId="7797BA38" w14:textId="77777777" w:rsidR="00345767" w:rsidRDefault="00345767" w:rsidP="00345767">
      <w:pPr>
        <w:jc w:val="center"/>
        <w:rPr>
          <w:rFonts w:cs="Arial"/>
          <w:bCs/>
          <w:color w:val="000000" w:themeColor="text1"/>
        </w:rPr>
      </w:pPr>
    </w:p>
    <w:p w14:paraId="12CFF50D" w14:textId="77777777" w:rsidR="00345767" w:rsidRDefault="00345767" w:rsidP="00345767">
      <w:pPr>
        <w:jc w:val="center"/>
        <w:rPr>
          <w:rFonts w:cs="Arial"/>
          <w:bCs/>
          <w:color w:val="000000" w:themeColor="text1"/>
        </w:rPr>
      </w:pPr>
    </w:p>
    <w:p w14:paraId="4EF8AD31" w14:textId="77777777" w:rsidR="00345767" w:rsidRDefault="00345767" w:rsidP="00345767">
      <w:pPr>
        <w:jc w:val="center"/>
        <w:rPr>
          <w:rFonts w:cs="Arial"/>
          <w:bCs/>
          <w:color w:val="000000" w:themeColor="text1"/>
        </w:rPr>
      </w:pPr>
    </w:p>
    <w:p w14:paraId="351916DB" w14:textId="77777777" w:rsidR="00345767" w:rsidRDefault="00345767" w:rsidP="00345767">
      <w:pPr>
        <w:jc w:val="center"/>
        <w:rPr>
          <w:rFonts w:cs="Arial"/>
          <w:bCs/>
          <w:color w:val="000000" w:themeColor="text1"/>
        </w:rPr>
      </w:pPr>
    </w:p>
    <w:p w14:paraId="1E8E922C" w14:textId="77777777" w:rsidR="00345767" w:rsidRDefault="00345767" w:rsidP="00345767">
      <w:pPr>
        <w:jc w:val="center"/>
        <w:rPr>
          <w:rFonts w:cs="Arial"/>
          <w:bCs/>
          <w:color w:val="000000" w:themeColor="text1"/>
        </w:rPr>
      </w:pPr>
    </w:p>
    <w:p w14:paraId="5E8A67D1" w14:textId="77777777" w:rsidR="00345767" w:rsidRDefault="00345767" w:rsidP="00345767">
      <w:pPr>
        <w:jc w:val="center"/>
        <w:rPr>
          <w:rFonts w:cs="Arial"/>
          <w:bCs/>
          <w:color w:val="000000" w:themeColor="text1"/>
        </w:rPr>
      </w:pPr>
    </w:p>
    <w:p w14:paraId="7EBDA1DA" w14:textId="77777777" w:rsidR="00345767" w:rsidRDefault="00345767" w:rsidP="00345767">
      <w:pPr>
        <w:jc w:val="center"/>
        <w:rPr>
          <w:rFonts w:cs="Arial"/>
          <w:bCs/>
          <w:color w:val="000000" w:themeColor="text1"/>
        </w:rPr>
      </w:pPr>
    </w:p>
    <w:p w14:paraId="4BF71BBC" w14:textId="77777777" w:rsidR="00345767" w:rsidRDefault="00345767" w:rsidP="00345767">
      <w:pPr>
        <w:jc w:val="center"/>
        <w:rPr>
          <w:rFonts w:cs="Arial"/>
          <w:bCs/>
          <w:color w:val="000000" w:themeColor="text1"/>
        </w:rPr>
      </w:pPr>
    </w:p>
    <w:p w14:paraId="61EFD8BB" w14:textId="77777777" w:rsidR="00345767" w:rsidRDefault="00345767" w:rsidP="00345767">
      <w:pPr>
        <w:jc w:val="center"/>
        <w:rPr>
          <w:rFonts w:cs="Arial"/>
          <w:bCs/>
          <w:color w:val="000000" w:themeColor="text1"/>
        </w:rPr>
      </w:pPr>
    </w:p>
    <w:p w14:paraId="495A6B2E" w14:textId="77777777" w:rsidR="00345767" w:rsidRDefault="00345767" w:rsidP="00345767">
      <w:pPr>
        <w:jc w:val="center"/>
        <w:rPr>
          <w:rFonts w:cs="Arial"/>
          <w:bCs/>
          <w:color w:val="000000" w:themeColor="text1"/>
        </w:rPr>
      </w:pPr>
    </w:p>
    <w:p w14:paraId="2CCE971C" w14:textId="77777777" w:rsidR="00345767" w:rsidRDefault="00345767" w:rsidP="00345767">
      <w:pPr>
        <w:jc w:val="center"/>
        <w:rPr>
          <w:rFonts w:cs="Arial"/>
          <w:bCs/>
          <w:color w:val="000000" w:themeColor="text1"/>
        </w:rPr>
      </w:pPr>
    </w:p>
    <w:p w14:paraId="0C87C705" w14:textId="77777777" w:rsidR="00345767" w:rsidRDefault="00345767" w:rsidP="00345767">
      <w:pPr>
        <w:jc w:val="center"/>
        <w:rPr>
          <w:rFonts w:cs="Arial"/>
          <w:bCs/>
          <w:color w:val="000000" w:themeColor="text1"/>
        </w:rPr>
      </w:pPr>
    </w:p>
    <w:p w14:paraId="4FEAC6FC" w14:textId="77777777" w:rsidR="00345767" w:rsidRDefault="00345767" w:rsidP="00345767">
      <w:pPr>
        <w:jc w:val="center"/>
        <w:rPr>
          <w:rFonts w:cs="Arial"/>
          <w:bCs/>
          <w:color w:val="000000" w:themeColor="text1"/>
        </w:rPr>
      </w:pPr>
    </w:p>
    <w:p w14:paraId="7CE085EA" w14:textId="3371CD56" w:rsidR="00345767" w:rsidRDefault="007D5474" w:rsidP="00345767">
      <w:pPr>
        <w:jc w:val="center"/>
        <w:rPr>
          <w:rFonts w:cs="Arial"/>
          <w:bCs/>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887040" behindDoc="0" locked="0" layoutInCell="1" allowOverlap="1" wp14:anchorId="27C93270" wp14:editId="31871AF4">
                <wp:simplePos x="0" y="0"/>
                <wp:positionH relativeFrom="margin">
                  <wp:posOffset>591416</wp:posOffset>
                </wp:positionH>
                <wp:positionV relativeFrom="paragraph">
                  <wp:posOffset>137795</wp:posOffset>
                </wp:positionV>
                <wp:extent cx="7879080" cy="395288"/>
                <wp:effectExtent l="0" t="0" r="26670" b="24130"/>
                <wp:wrapNone/>
                <wp:docPr id="5949209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95288"/>
                        </a:xfrm>
                        <a:prstGeom prst="rect">
                          <a:avLst/>
                        </a:prstGeom>
                        <a:solidFill>
                          <a:srgbClr val="FFFFFF"/>
                        </a:solidFill>
                        <a:ln w="9525">
                          <a:solidFill>
                            <a:srgbClr val="000000"/>
                          </a:solidFill>
                          <a:miter lim="800000"/>
                          <a:headEnd/>
                          <a:tailEnd/>
                        </a:ln>
                      </wps:spPr>
                      <wps:txbx>
                        <w:txbxContent>
                          <w:p w14:paraId="046ACFCD" w14:textId="77777777" w:rsidR="00345767" w:rsidRPr="002A747D" w:rsidRDefault="00345767" w:rsidP="00345767">
                            <w:pPr>
                              <w:jc w:val="center"/>
                              <w:rPr>
                                <w:rFonts w:cstheme="minorHAnsi"/>
                                <w:b/>
                                <w:szCs w:val="24"/>
                              </w:rPr>
                            </w:pPr>
                            <w:r w:rsidRPr="002A747D">
                              <w:rPr>
                                <w:rFonts w:cstheme="minorHAnsi"/>
                                <w:b/>
                                <w:szCs w:val="24"/>
                              </w:rPr>
                              <w:t xml:space="preserve">RÚBRICA DE EVALUACIÓN – </w:t>
                            </w:r>
                            <w:r>
                              <w:rPr>
                                <w:rFonts w:cstheme="minorHAnsi"/>
                                <w:b/>
                                <w:szCs w:val="24"/>
                              </w:rPr>
                              <w:t>INFORME COMPLETO OBSERVACIÓN PARTICIPANTE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93270" id="_x0000_s1053" type="#_x0000_t202" style="position:absolute;left:0;text-align:left;margin-left:46.55pt;margin-top:10.85pt;width:620.4pt;height:31.15pt;z-index:2528870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">
                <v:textbox>
                  <w:txbxContent>
                    <w:p w14:paraId="046ACFCD" w14:textId="77777777" w:rsidR="00345767" w:rsidRPr="002A747D" w:rsidRDefault="00345767" w:rsidP="00345767">
                      <w:pPr>
                        <w:jc w:val="center"/>
                        <w:rPr>
                          <w:rFonts w:cstheme="minorHAnsi"/>
                          <w:b/>
                          <w:szCs w:val="24"/>
                        </w:rPr>
                      </w:pPr>
                      <w:r w:rsidRPr="002A747D">
                        <w:rPr>
                          <w:rFonts w:cstheme="minorHAnsi"/>
                          <w:b/>
                          <w:szCs w:val="24"/>
                        </w:rPr>
                        <w:t xml:space="preserve">RÚBRICA DE EVALUACIÓN – </w:t>
                      </w:r>
                      <w:r>
                        <w:rPr>
                          <w:rFonts w:cstheme="minorHAnsi"/>
                          <w:b/>
                          <w:szCs w:val="24"/>
                        </w:rPr>
                        <w:t>INFORME COMPLETO OBSERVACIÓN PARTICIPANTE</w:t>
                      </w:r>
                    </w:p>
                  </w:txbxContent>
                </v:textbox>
                <w10:wrap anchorx="margin"/>
              </v:shape>
            </w:pict>
          </mc:Fallback>
        </mc:AlternateContent>
      </w:r>
    </w:p>
    <w:p w14:paraId="4C7E5014" w14:textId="28D5F702" w:rsidR="00345767" w:rsidRDefault="00345767" w:rsidP="00345767">
      <w:pPr>
        <w:jc w:val="center"/>
        <w:rPr>
          <w:rFonts w:cs="Arial"/>
          <w:bCs/>
          <w:color w:val="000000" w:themeColor="text1"/>
        </w:rPr>
      </w:pPr>
    </w:p>
    <w:p w14:paraId="494E4D9A" w14:textId="77777777" w:rsidR="00345767" w:rsidRPr="004C090D" w:rsidRDefault="00345767" w:rsidP="00345767">
      <w:pPr>
        <w:jc w:val="center"/>
        <w:rPr>
          <w:rFonts w:cs="Arial"/>
          <w:bCs/>
          <w:color w:val="0070C0"/>
        </w:rPr>
      </w:pPr>
      <w:r w:rsidRPr="004C090D">
        <w:rPr>
          <w:rFonts w:cs="Arial"/>
          <w:bCs/>
          <w:color w:val="0070C0"/>
        </w:rPr>
        <w:t>La observación participante es una estrategia de aprendizaje de examen reflexivo y una metodología de investigación cualitativa en la que las personas que observan se involucran en las actividades del grupo, realizando dicha observación desde adentro y no desde afuera. Se distribuye de la siguiente forma: Primer informe (sesión 8; vale 5%. Segundo informe (sesión 9; vale 5%). Tercer informe (sesión 13; vale 5%). Informe completo (sesión 15; vale 20%).</w:t>
      </w:r>
    </w:p>
    <w:p w14:paraId="5C03EF7A" w14:textId="77777777" w:rsidR="00345767" w:rsidRDefault="00345767" w:rsidP="00345767">
      <w:pPr>
        <w:jc w:val="center"/>
        <w:rPr>
          <w:rFonts w:cs="Arial"/>
          <w:bCs/>
          <w:color w:val="000000" w:themeColor="text1"/>
        </w:rPr>
      </w:pPr>
      <w:r>
        <w:rPr>
          <w:rFonts w:cs="Arial"/>
          <w:bCs/>
          <w:noProof/>
          <w:color w:val="000000" w:themeColor="text1"/>
        </w:rPr>
        <w:drawing>
          <wp:anchor distT="0" distB="0" distL="114300" distR="114300" simplePos="0" relativeHeight="252888064" behindDoc="0" locked="0" layoutInCell="1" allowOverlap="1" wp14:anchorId="6DF03E70" wp14:editId="332F7BB8">
            <wp:simplePos x="0" y="0"/>
            <wp:positionH relativeFrom="margin">
              <wp:posOffset>586509</wp:posOffset>
            </wp:positionH>
            <wp:positionV relativeFrom="paragraph">
              <wp:posOffset>8486</wp:posOffset>
            </wp:positionV>
            <wp:extent cx="8026005" cy="5729788"/>
            <wp:effectExtent l="0" t="0" r="0" b="4445"/>
            <wp:wrapNone/>
            <wp:docPr id="1770646569"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646569" name="Imagen 8" descr="Tabla&#10;&#10;Descripción generada automáticament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8026005" cy="5729788"/>
                    </a:xfrm>
                    <a:prstGeom prst="rect">
                      <a:avLst/>
                    </a:prstGeom>
                  </pic:spPr>
                </pic:pic>
              </a:graphicData>
            </a:graphic>
            <wp14:sizeRelH relativeFrom="margin">
              <wp14:pctWidth>0</wp14:pctWidth>
            </wp14:sizeRelH>
            <wp14:sizeRelV relativeFrom="margin">
              <wp14:pctHeight>0</wp14:pctHeight>
            </wp14:sizeRelV>
          </wp:anchor>
        </w:drawing>
      </w:r>
    </w:p>
    <w:p w14:paraId="1E06EFB1" w14:textId="77777777" w:rsidR="00345767" w:rsidRDefault="00345767" w:rsidP="00345767">
      <w:pPr>
        <w:jc w:val="center"/>
        <w:rPr>
          <w:rFonts w:cs="Arial"/>
          <w:bCs/>
          <w:color w:val="000000" w:themeColor="text1"/>
        </w:rPr>
      </w:pPr>
    </w:p>
    <w:p w14:paraId="0B262103" w14:textId="77777777" w:rsidR="00345767" w:rsidRDefault="00345767" w:rsidP="00345767">
      <w:pPr>
        <w:jc w:val="center"/>
        <w:rPr>
          <w:rFonts w:cs="Arial"/>
          <w:bCs/>
          <w:color w:val="000000" w:themeColor="text1"/>
        </w:rPr>
      </w:pPr>
    </w:p>
    <w:p w14:paraId="50CD1D0C" w14:textId="77777777" w:rsidR="00345767" w:rsidRPr="00903A04" w:rsidRDefault="00345767" w:rsidP="00345767">
      <w:pPr>
        <w:jc w:val="center"/>
        <w:rPr>
          <w:rFonts w:cs="Arial"/>
          <w:b/>
          <w:color w:val="000000" w:themeColor="text1"/>
        </w:rPr>
      </w:pPr>
    </w:p>
    <w:p w14:paraId="67E02E99" w14:textId="77777777" w:rsidR="00345767" w:rsidRDefault="00345767" w:rsidP="00345767">
      <w:pPr>
        <w:rPr>
          <w:rFonts w:cs="Arial"/>
          <w:b/>
          <w:color w:val="000000" w:themeColor="text1"/>
        </w:rPr>
      </w:pPr>
      <w:r>
        <w:rPr>
          <w:rFonts w:cs="Arial"/>
          <w:b/>
          <w:color w:val="000000" w:themeColor="text1"/>
        </w:rPr>
        <w:br w:type="page"/>
      </w:r>
    </w:p>
    <w:p w14:paraId="1E688A3C" w14:textId="77777777" w:rsidR="00345767" w:rsidRDefault="00345767" w:rsidP="00345767">
      <w:pPr>
        <w:rPr>
          <w:rFonts w:cs="Arial"/>
          <w:b/>
          <w:color w:val="000000" w:themeColor="text1"/>
        </w:rPr>
      </w:pPr>
      <w:r>
        <w:rPr>
          <w:rFonts w:cs="Arial"/>
          <w:b/>
          <w:noProof/>
          <w:color w:val="000000" w:themeColor="text1"/>
        </w:rPr>
        <w:lastRenderedPageBreak/>
        <w:drawing>
          <wp:anchor distT="0" distB="0" distL="114300" distR="114300" simplePos="0" relativeHeight="252889088" behindDoc="0" locked="0" layoutInCell="1" allowOverlap="1" wp14:anchorId="5250CFFD" wp14:editId="0147F794">
            <wp:simplePos x="0" y="0"/>
            <wp:positionH relativeFrom="margin">
              <wp:posOffset>582954</wp:posOffset>
            </wp:positionH>
            <wp:positionV relativeFrom="paragraph">
              <wp:posOffset>1</wp:posOffset>
            </wp:positionV>
            <wp:extent cx="7958888" cy="1447800"/>
            <wp:effectExtent l="0" t="0" r="4445" b="0"/>
            <wp:wrapNone/>
            <wp:docPr id="1303484068" name="Imagen 9"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84068" name="Imagen 9" descr="Calendario&#10;&#10;Descripción generada automá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981692" cy="1451948"/>
                    </a:xfrm>
                    <a:prstGeom prst="rect">
                      <a:avLst/>
                    </a:prstGeom>
                  </pic:spPr>
                </pic:pic>
              </a:graphicData>
            </a:graphic>
            <wp14:sizeRelH relativeFrom="margin">
              <wp14:pctWidth>0</wp14:pctWidth>
            </wp14:sizeRelH>
            <wp14:sizeRelV relativeFrom="margin">
              <wp14:pctHeight>0</wp14:pctHeight>
            </wp14:sizeRelV>
          </wp:anchor>
        </w:drawing>
      </w:r>
    </w:p>
    <w:p w14:paraId="2B8BF3CB" w14:textId="77777777" w:rsidR="00345767" w:rsidRDefault="00345767" w:rsidP="00345767">
      <w:pPr>
        <w:rPr>
          <w:rFonts w:cs="Arial"/>
          <w:b/>
          <w:color w:val="000000" w:themeColor="text1"/>
        </w:rPr>
      </w:pPr>
    </w:p>
    <w:p w14:paraId="33147DFA" w14:textId="77777777" w:rsidR="00345767" w:rsidRDefault="00345767" w:rsidP="00345767">
      <w:pPr>
        <w:rPr>
          <w:rFonts w:cs="Arial"/>
          <w:b/>
          <w:color w:val="000000" w:themeColor="text1"/>
        </w:rPr>
      </w:pPr>
    </w:p>
    <w:p w14:paraId="3431A162" w14:textId="77777777" w:rsidR="00345767" w:rsidRDefault="00345767" w:rsidP="00345767">
      <w:pPr>
        <w:rPr>
          <w:rFonts w:cs="Arial"/>
          <w:b/>
          <w:color w:val="000000" w:themeColor="text1"/>
        </w:rPr>
      </w:pPr>
    </w:p>
    <w:p w14:paraId="6F0903F7" w14:textId="77777777" w:rsidR="00345767" w:rsidRDefault="00345767" w:rsidP="00345767">
      <w:pPr>
        <w:rPr>
          <w:rFonts w:cs="Arial"/>
          <w:b/>
          <w:color w:val="000000" w:themeColor="text1"/>
        </w:rPr>
      </w:pPr>
    </w:p>
    <w:p w14:paraId="47EA12FD" w14:textId="77777777" w:rsidR="00345767" w:rsidRDefault="00345767" w:rsidP="00345767">
      <w:pPr>
        <w:rPr>
          <w:rFonts w:cs="Arial"/>
          <w:b/>
          <w:color w:val="000000" w:themeColor="text1"/>
        </w:rPr>
      </w:pPr>
    </w:p>
    <w:p w14:paraId="79E76247" w14:textId="77777777" w:rsidR="00345767" w:rsidRDefault="00345767" w:rsidP="00345767">
      <w:pPr>
        <w:rPr>
          <w:rFonts w:cs="Arial"/>
          <w:b/>
          <w:color w:val="000000" w:themeColor="text1"/>
        </w:rPr>
      </w:pPr>
    </w:p>
    <w:p w14:paraId="3CB22CFD" w14:textId="77777777" w:rsidR="00345767" w:rsidRDefault="00345767" w:rsidP="00345767">
      <w:pPr>
        <w:rPr>
          <w:rFonts w:cs="Arial"/>
          <w:b/>
          <w:color w:val="000000" w:themeColor="text1"/>
        </w:rPr>
      </w:pPr>
    </w:p>
    <w:p w14:paraId="1A74AEAB" w14:textId="77777777" w:rsidR="00345767" w:rsidRDefault="00345767" w:rsidP="00345767">
      <w:pPr>
        <w:rPr>
          <w:rFonts w:cs="Arial"/>
          <w:b/>
          <w:color w:val="000000" w:themeColor="text1"/>
        </w:rPr>
        <w:sectPr w:rsidR="00345767" w:rsidSect="00345767">
          <w:pgSz w:w="15840" w:h="12240" w:orient="landscape"/>
          <w:pgMar w:top="720" w:right="720" w:bottom="720" w:left="720" w:header="709" w:footer="709" w:gutter="0"/>
          <w:cols w:space="708"/>
          <w:docGrid w:linePitch="360"/>
        </w:sectPr>
      </w:pPr>
    </w:p>
    <w:p w14:paraId="095D97E9" w14:textId="77777777" w:rsidR="00345767" w:rsidRDefault="00345767" w:rsidP="00345767">
      <w:pPr>
        <w:rPr>
          <w:rFonts w:cs="Arial"/>
          <w:b/>
          <w:color w:val="000000" w:themeColor="text1"/>
        </w:rPr>
      </w:pPr>
      <w:r w:rsidRPr="00AA5322">
        <w:rPr>
          <w:rFonts w:cs="Arial"/>
          <w:b/>
          <w:color w:val="000000" w:themeColor="text1"/>
        </w:rPr>
        <w:lastRenderedPageBreak/>
        <w:t>XI. Bibliografía</w:t>
      </w:r>
      <w:r>
        <w:rPr>
          <w:rFonts w:cs="Arial"/>
          <w:b/>
          <w:color w:val="000000" w:themeColor="text1"/>
        </w:rPr>
        <w:t xml:space="preserve"> obligatoria</w:t>
      </w:r>
    </w:p>
    <w:p w14:paraId="66998B8D" w14:textId="77777777" w:rsidR="00345767" w:rsidRDefault="00345767" w:rsidP="00345767">
      <w:pPr>
        <w:rPr>
          <w:rFonts w:cs="Arial"/>
          <w:b/>
          <w:color w:val="000000" w:themeColor="text1"/>
        </w:rPr>
      </w:pPr>
    </w:p>
    <w:p w14:paraId="2B8B8C1F" w14:textId="77777777" w:rsidR="00345767" w:rsidRDefault="00345767" w:rsidP="00345767">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cada aula virtual.</w:t>
      </w:r>
    </w:p>
    <w:p w14:paraId="238B4A52" w14:textId="77777777" w:rsidR="00345767" w:rsidRPr="00B03328" w:rsidRDefault="00345767" w:rsidP="00345767">
      <w:pPr>
        <w:jc w:val="both"/>
        <w:rPr>
          <w:rFonts w:cs="Arial"/>
          <w:bCs/>
          <w:color w:val="000000" w:themeColor="text1"/>
          <w:sz w:val="10"/>
          <w:szCs w:val="10"/>
        </w:rPr>
      </w:pPr>
    </w:p>
    <w:p w14:paraId="31AEE316" w14:textId="77777777" w:rsidR="00345767" w:rsidRPr="00E119C4" w:rsidRDefault="00345767" w:rsidP="00345767">
      <w:pPr>
        <w:ind w:left="709" w:hanging="709"/>
        <w:jc w:val="both"/>
        <w:rPr>
          <w:rFonts w:cstheme="minorHAnsi"/>
          <w:bCs/>
          <w:lang w:val="es-419"/>
        </w:rPr>
      </w:pPr>
      <w:proofErr w:type="spellStart"/>
      <w:r w:rsidRPr="00E119C4">
        <w:rPr>
          <w:rFonts w:cstheme="minorHAnsi"/>
          <w:bCs/>
          <w:lang w:val="es-419"/>
        </w:rPr>
        <w:t>Burawoy</w:t>
      </w:r>
      <w:proofErr w:type="spellEnd"/>
      <w:r w:rsidRPr="00E119C4">
        <w:rPr>
          <w:rFonts w:cstheme="minorHAnsi"/>
          <w:bCs/>
          <w:lang w:val="es-419"/>
        </w:rPr>
        <w:t xml:space="preserve">, M. “Por una sociología pública”. </w:t>
      </w:r>
      <w:r w:rsidRPr="00E119C4">
        <w:rPr>
          <w:rFonts w:cstheme="minorHAnsi"/>
          <w:bCs/>
          <w:i/>
          <w:lang w:val="es-419"/>
        </w:rPr>
        <w:t xml:space="preserve">Política y Sociedad </w:t>
      </w:r>
      <w:r w:rsidRPr="00E119C4">
        <w:rPr>
          <w:rFonts w:cstheme="minorHAnsi"/>
          <w:bCs/>
          <w:lang w:val="es-419"/>
        </w:rPr>
        <w:t xml:space="preserve">42, no. 1 (2005): 197-225. </w:t>
      </w:r>
    </w:p>
    <w:p w14:paraId="1D4A9EC8" w14:textId="77777777" w:rsidR="00345767" w:rsidRPr="00E119C4" w:rsidRDefault="00345767" w:rsidP="00345767">
      <w:pPr>
        <w:ind w:left="709" w:hanging="709"/>
        <w:jc w:val="both"/>
        <w:rPr>
          <w:rFonts w:cstheme="minorHAnsi"/>
          <w:bCs/>
          <w:lang w:val="es-419"/>
        </w:rPr>
      </w:pPr>
      <w:proofErr w:type="spellStart"/>
      <w:r w:rsidRPr="00E119C4">
        <w:rPr>
          <w:rFonts w:cstheme="minorHAnsi"/>
          <w:bCs/>
          <w:lang w:val="es-419"/>
        </w:rPr>
        <w:t>Dsingly</w:t>
      </w:r>
      <w:proofErr w:type="spellEnd"/>
      <w:r w:rsidRPr="00E119C4">
        <w:rPr>
          <w:rFonts w:cstheme="minorHAnsi"/>
          <w:bCs/>
          <w:lang w:val="es-419"/>
        </w:rPr>
        <w:t xml:space="preserve">, François. “La sociología, forma particular de conciencia”. En </w:t>
      </w:r>
      <w:r w:rsidRPr="00E119C4">
        <w:rPr>
          <w:rFonts w:cstheme="minorHAnsi"/>
          <w:bCs/>
          <w:i/>
          <w:lang w:val="es-419"/>
        </w:rPr>
        <w:t>¿Para qué sirve la sociología?</w:t>
      </w:r>
      <w:r w:rsidRPr="00E119C4">
        <w:rPr>
          <w:rFonts w:cstheme="minorHAnsi"/>
          <w:bCs/>
          <w:lang w:val="es-419"/>
        </w:rPr>
        <w:t xml:space="preserve">, dirigido por </w:t>
      </w:r>
      <w:proofErr w:type="spellStart"/>
      <w:r w:rsidRPr="00E119C4">
        <w:rPr>
          <w:rFonts w:cstheme="minorHAnsi"/>
          <w:bCs/>
          <w:lang w:val="es-419"/>
        </w:rPr>
        <w:t>Lahire</w:t>
      </w:r>
      <w:proofErr w:type="spellEnd"/>
      <w:r w:rsidRPr="00E119C4">
        <w:rPr>
          <w:rFonts w:cstheme="minorHAnsi"/>
          <w:bCs/>
          <w:lang w:val="es-419"/>
        </w:rPr>
        <w:t xml:space="preserve"> Bernard. Traducido por </w:t>
      </w:r>
      <w:proofErr w:type="spellStart"/>
      <w:r w:rsidRPr="00E119C4">
        <w:rPr>
          <w:rFonts w:cstheme="minorHAnsi"/>
          <w:bCs/>
          <w:lang w:val="es-419"/>
        </w:rPr>
        <w:t>Victor</w:t>
      </w:r>
      <w:proofErr w:type="spellEnd"/>
      <w:r w:rsidRPr="00E119C4">
        <w:rPr>
          <w:rFonts w:cstheme="minorHAnsi"/>
          <w:bCs/>
          <w:lang w:val="es-419"/>
        </w:rPr>
        <w:t xml:space="preserve"> Goldstein, 31-56. Buenos Aires: Siglo XXI, 2006. (</w:t>
      </w:r>
      <w:r w:rsidRPr="0042361C">
        <w:rPr>
          <w:rFonts w:cstheme="minorHAnsi"/>
          <w:bCs/>
          <w:color w:val="0070C0"/>
          <w:lang w:val="es-419"/>
        </w:rPr>
        <w:t>clásico,</w:t>
      </w:r>
      <w:r>
        <w:rPr>
          <w:rFonts w:cstheme="minorHAnsi"/>
          <w:bCs/>
          <w:lang w:val="es-419"/>
        </w:rPr>
        <w:t xml:space="preserve"> </w:t>
      </w:r>
      <w:r w:rsidRPr="00E119C4">
        <w:rPr>
          <w:rFonts w:cstheme="minorHAnsi"/>
          <w:bCs/>
          <w:lang w:val="es-419"/>
        </w:rPr>
        <w:t>última edición)</w:t>
      </w:r>
    </w:p>
    <w:p w14:paraId="52BA25B0" w14:textId="77777777" w:rsidR="00345767" w:rsidRPr="00E119C4" w:rsidRDefault="00345767" w:rsidP="00345767">
      <w:pPr>
        <w:ind w:left="709" w:hanging="709"/>
        <w:jc w:val="both"/>
        <w:rPr>
          <w:rFonts w:cstheme="minorHAnsi"/>
          <w:bCs/>
          <w:lang w:val="es-419"/>
        </w:rPr>
      </w:pPr>
      <w:r w:rsidRPr="00E119C4">
        <w:rPr>
          <w:rFonts w:cstheme="minorHAnsi"/>
          <w:bCs/>
          <w:lang w:val="en-US"/>
        </w:rPr>
        <w:t xml:space="preserve">Giddens, Anthony y Philip Sutton. </w:t>
      </w:r>
      <w:r w:rsidRPr="00E119C4">
        <w:rPr>
          <w:rFonts w:cstheme="minorHAnsi"/>
          <w:bCs/>
          <w:i/>
          <w:lang w:val="es-419"/>
        </w:rPr>
        <w:t>Sociología</w:t>
      </w:r>
      <w:r w:rsidRPr="00E119C4">
        <w:rPr>
          <w:rFonts w:cstheme="minorHAnsi"/>
          <w:bCs/>
          <w:lang w:val="es-419"/>
        </w:rPr>
        <w:t>. Madrid: Alianza Editorial, 2017. (Clásico</w:t>
      </w:r>
      <w:r>
        <w:rPr>
          <w:rFonts w:cstheme="minorHAnsi"/>
          <w:bCs/>
          <w:lang w:val="es-419"/>
        </w:rPr>
        <w:t xml:space="preserve">, </w:t>
      </w:r>
      <w:r w:rsidRPr="00C04348">
        <w:rPr>
          <w:rFonts w:cstheme="minorHAnsi"/>
          <w:bCs/>
          <w:color w:val="0070C0"/>
          <w:lang w:val="es-419"/>
        </w:rPr>
        <w:t>última edición</w:t>
      </w:r>
      <w:r>
        <w:rPr>
          <w:rFonts w:cstheme="minorHAnsi"/>
          <w:bCs/>
          <w:color w:val="0070C0"/>
          <w:lang w:val="es-419"/>
        </w:rPr>
        <w:t xml:space="preserve"> 2022</w:t>
      </w:r>
      <w:r w:rsidRPr="00E119C4">
        <w:rPr>
          <w:rFonts w:cstheme="minorHAnsi"/>
          <w:bCs/>
          <w:lang w:val="es-419"/>
        </w:rPr>
        <w:t>)</w:t>
      </w:r>
    </w:p>
    <w:p w14:paraId="4A44B245" w14:textId="77777777" w:rsidR="00345767" w:rsidRPr="00E119C4" w:rsidRDefault="00345767" w:rsidP="00345767">
      <w:pPr>
        <w:ind w:left="709" w:hanging="709"/>
        <w:jc w:val="both"/>
        <w:rPr>
          <w:rFonts w:cstheme="minorHAnsi"/>
          <w:bCs/>
          <w:lang w:val="es-419"/>
        </w:rPr>
      </w:pPr>
      <w:r w:rsidRPr="00E119C4">
        <w:rPr>
          <w:rFonts w:cstheme="minorHAnsi"/>
          <w:bCs/>
          <w:lang w:val="en-US"/>
        </w:rPr>
        <w:t xml:space="preserve">Giddens, Anthony y Philip Sutton. </w:t>
      </w:r>
      <w:r w:rsidRPr="00E119C4">
        <w:rPr>
          <w:rFonts w:cstheme="minorHAnsi"/>
          <w:bCs/>
          <w:i/>
          <w:lang w:val="es-419"/>
        </w:rPr>
        <w:t xml:space="preserve">Conceptos esenciales de sociología. </w:t>
      </w:r>
      <w:r w:rsidRPr="00E119C4">
        <w:rPr>
          <w:rFonts w:cstheme="minorHAnsi"/>
          <w:bCs/>
          <w:lang w:val="es-419"/>
        </w:rPr>
        <w:t>España: Alianza Editorial, 2015. (</w:t>
      </w:r>
      <w:r>
        <w:rPr>
          <w:rFonts w:cstheme="minorHAnsi"/>
          <w:bCs/>
          <w:lang w:val="es-419"/>
        </w:rPr>
        <w:t xml:space="preserve">clásico, </w:t>
      </w:r>
      <w:r w:rsidRPr="009B3CD5">
        <w:rPr>
          <w:rFonts w:cstheme="minorHAnsi"/>
          <w:bCs/>
          <w:color w:val="0070C0"/>
          <w:lang w:val="es-419"/>
        </w:rPr>
        <w:t>última edición</w:t>
      </w:r>
      <w:r w:rsidRPr="00E119C4">
        <w:rPr>
          <w:rFonts w:cstheme="minorHAnsi"/>
          <w:bCs/>
          <w:lang w:val="es-419"/>
        </w:rPr>
        <w:t xml:space="preserve">) </w:t>
      </w:r>
    </w:p>
    <w:p w14:paraId="4877D908" w14:textId="77777777" w:rsidR="00345767" w:rsidRPr="00E119C4" w:rsidRDefault="00345767" w:rsidP="00345767">
      <w:pPr>
        <w:ind w:left="709" w:hanging="709"/>
        <w:jc w:val="both"/>
        <w:rPr>
          <w:rFonts w:cstheme="minorHAnsi"/>
          <w:bCs/>
          <w:color w:val="0070C0"/>
          <w:lang w:val="es-419"/>
        </w:rPr>
      </w:pPr>
      <w:r w:rsidRPr="00E119C4">
        <w:rPr>
          <w:rFonts w:cstheme="minorHAnsi"/>
          <w:bCs/>
          <w:lang w:val="es-419"/>
        </w:rPr>
        <w:t xml:space="preserve">Giner, Salvador. </w:t>
      </w:r>
      <w:r w:rsidRPr="00E119C4">
        <w:rPr>
          <w:rFonts w:cstheme="minorHAnsi"/>
          <w:bCs/>
          <w:i/>
          <w:lang w:val="es-419"/>
        </w:rPr>
        <w:t xml:space="preserve">Historia del pensamiento social. </w:t>
      </w:r>
      <w:r w:rsidRPr="00E119C4">
        <w:rPr>
          <w:rFonts w:cstheme="minorHAnsi"/>
          <w:bCs/>
          <w:lang w:val="es-419"/>
        </w:rPr>
        <w:t>Barcelona: Ariel, 2013. (</w:t>
      </w:r>
      <w:r w:rsidRPr="0042361C">
        <w:rPr>
          <w:rFonts w:cstheme="minorHAnsi"/>
          <w:bCs/>
          <w:color w:val="0070C0"/>
          <w:lang w:val="es-419"/>
        </w:rPr>
        <w:t>clásico</w:t>
      </w:r>
      <w:r>
        <w:rPr>
          <w:rFonts w:cstheme="minorHAnsi"/>
          <w:bCs/>
          <w:lang w:val="es-419"/>
        </w:rPr>
        <w:t xml:space="preserve">, </w:t>
      </w:r>
      <w:r w:rsidRPr="00E119C4">
        <w:rPr>
          <w:rFonts w:cstheme="minorHAnsi"/>
          <w:bCs/>
          <w:lang w:val="es-419"/>
        </w:rPr>
        <w:t xml:space="preserve">última edición) </w:t>
      </w:r>
    </w:p>
    <w:p w14:paraId="38CDEB30" w14:textId="77777777" w:rsidR="00345767" w:rsidRPr="00E119C4" w:rsidRDefault="00345767" w:rsidP="00345767">
      <w:pPr>
        <w:ind w:left="709" w:hanging="709"/>
        <w:jc w:val="both"/>
        <w:rPr>
          <w:rFonts w:cstheme="minorHAnsi"/>
          <w:bCs/>
          <w:lang w:val="es-419"/>
        </w:rPr>
      </w:pPr>
      <w:proofErr w:type="spellStart"/>
      <w:r w:rsidRPr="00E119C4">
        <w:rPr>
          <w:rFonts w:cstheme="minorHAnsi"/>
          <w:bCs/>
          <w:lang w:val="es-419"/>
        </w:rPr>
        <w:t>Martuccelli</w:t>
      </w:r>
      <w:proofErr w:type="spellEnd"/>
      <w:r w:rsidRPr="00E119C4">
        <w:rPr>
          <w:rFonts w:cstheme="minorHAnsi"/>
          <w:bCs/>
          <w:lang w:val="es-419"/>
        </w:rPr>
        <w:t xml:space="preserve">, Danilo. “Sociología y postura crítica”. En </w:t>
      </w:r>
      <w:r w:rsidRPr="00E119C4">
        <w:rPr>
          <w:rFonts w:cstheme="minorHAnsi"/>
          <w:bCs/>
          <w:i/>
          <w:lang w:val="es-419"/>
        </w:rPr>
        <w:t>¿Para qué sirve la sociología?</w:t>
      </w:r>
      <w:r w:rsidRPr="00E119C4">
        <w:rPr>
          <w:rFonts w:cstheme="minorHAnsi"/>
          <w:bCs/>
          <w:lang w:val="es-419"/>
        </w:rPr>
        <w:t xml:space="preserve">, dirigido por </w:t>
      </w:r>
      <w:proofErr w:type="spellStart"/>
      <w:r w:rsidRPr="00E119C4">
        <w:rPr>
          <w:rFonts w:cstheme="minorHAnsi"/>
          <w:bCs/>
          <w:lang w:val="es-419"/>
        </w:rPr>
        <w:t>Lahire</w:t>
      </w:r>
      <w:proofErr w:type="spellEnd"/>
      <w:r w:rsidRPr="00E119C4">
        <w:rPr>
          <w:rFonts w:cstheme="minorHAnsi"/>
          <w:bCs/>
          <w:lang w:val="es-419"/>
        </w:rPr>
        <w:t xml:space="preserve"> Bernard. Traducido por </w:t>
      </w:r>
      <w:proofErr w:type="spellStart"/>
      <w:r w:rsidRPr="00E119C4">
        <w:rPr>
          <w:rFonts w:cstheme="minorHAnsi"/>
          <w:bCs/>
          <w:lang w:val="es-419"/>
        </w:rPr>
        <w:t>Victor</w:t>
      </w:r>
      <w:proofErr w:type="spellEnd"/>
      <w:r w:rsidRPr="00E119C4">
        <w:rPr>
          <w:rFonts w:cstheme="minorHAnsi"/>
          <w:bCs/>
          <w:lang w:val="es-419"/>
        </w:rPr>
        <w:t xml:space="preserve"> Goldstein, 157-174. Buenos Aires: Siglo XXI, 2006. (</w:t>
      </w:r>
      <w:r w:rsidRPr="0042361C">
        <w:rPr>
          <w:rFonts w:cstheme="minorHAnsi"/>
          <w:bCs/>
          <w:color w:val="0070C0"/>
          <w:lang w:val="es-419"/>
        </w:rPr>
        <w:t>clásico</w:t>
      </w:r>
      <w:r>
        <w:rPr>
          <w:rFonts w:cstheme="minorHAnsi"/>
          <w:bCs/>
          <w:lang w:val="es-419"/>
        </w:rPr>
        <w:t xml:space="preserve">, </w:t>
      </w:r>
      <w:r w:rsidRPr="00E119C4">
        <w:rPr>
          <w:rFonts w:cstheme="minorHAnsi"/>
          <w:bCs/>
          <w:lang w:val="es-419"/>
        </w:rPr>
        <w:t>última edición)</w:t>
      </w:r>
    </w:p>
    <w:p w14:paraId="4EC45DC3" w14:textId="77777777" w:rsidR="00345767" w:rsidRPr="00E119C4" w:rsidRDefault="00345767" w:rsidP="00345767">
      <w:pPr>
        <w:ind w:left="709" w:hanging="709"/>
        <w:jc w:val="both"/>
        <w:rPr>
          <w:rFonts w:cstheme="minorHAnsi"/>
          <w:bCs/>
          <w:lang w:val="es-419"/>
        </w:rPr>
      </w:pPr>
      <w:proofErr w:type="spellStart"/>
      <w:r w:rsidRPr="00E119C4">
        <w:rPr>
          <w:rFonts w:cstheme="minorHAnsi"/>
          <w:bCs/>
          <w:lang w:val="es-419"/>
        </w:rPr>
        <w:t>Pleyers</w:t>
      </w:r>
      <w:proofErr w:type="spellEnd"/>
      <w:r w:rsidRPr="00E119C4">
        <w:rPr>
          <w:rFonts w:cstheme="minorHAnsi"/>
          <w:bCs/>
          <w:lang w:val="es-419"/>
        </w:rPr>
        <w:t xml:space="preserve">, G. </w:t>
      </w:r>
      <w:r w:rsidRPr="00E119C4">
        <w:rPr>
          <w:rFonts w:cstheme="minorHAnsi"/>
          <w:bCs/>
          <w:i/>
          <w:lang w:val="es-419"/>
        </w:rPr>
        <w:t xml:space="preserve">Movimientos sociales en el siglo XXI: perspectivas y herramientas analíticas. </w:t>
      </w:r>
      <w:r w:rsidRPr="00E119C4">
        <w:rPr>
          <w:rFonts w:cstheme="minorHAnsi"/>
          <w:bCs/>
          <w:lang w:val="es-419"/>
        </w:rPr>
        <w:t>Buenos Aires: CLACSO, 2018. (</w:t>
      </w:r>
      <w:r w:rsidRPr="0042361C">
        <w:rPr>
          <w:rFonts w:cstheme="minorHAnsi"/>
          <w:bCs/>
          <w:color w:val="0070C0"/>
          <w:lang w:val="es-419"/>
        </w:rPr>
        <w:t>clásico,</w:t>
      </w:r>
      <w:r>
        <w:rPr>
          <w:rFonts w:cstheme="minorHAnsi"/>
          <w:bCs/>
          <w:lang w:val="es-419"/>
        </w:rPr>
        <w:t xml:space="preserve"> </w:t>
      </w:r>
      <w:r w:rsidRPr="00E119C4">
        <w:rPr>
          <w:rFonts w:cstheme="minorHAnsi"/>
          <w:bCs/>
          <w:lang w:val="es-419"/>
        </w:rPr>
        <w:t xml:space="preserve">última edición) </w:t>
      </w:r>
    </w:p>
    <w:p w14:paraId="5E4DED10" w14:textId="77777777" w:rsidR="00345767" w:rsidRDefault="00345767" w:rsidP="00345767">
      <w:pPr>
        <w:ind w:left="709" w:hanging="709"/>
        <w:jc w:val="both"/>
        <w:rPr>
          <w:rFonts w:cstheme="minorHAnsi"/>
          <w:bCs/>
          <w:lang w:val="es-419"/>
        </w:rPr>
      </w:pPr>
      <w:proofErr w:type="spellStart"/>
      <w:r w:rsidRPr="00E119C4">
        <w:rPr>
          <w:rFonts w:cstheme="minorHAnsi"/>
          <w:bCs/>
          <w:lang w:val="es-419"/>
        </w:rPr>
        <w:t>Roitman</w:t>
      </w:r>
      <w:proofErr w:type="spellEnd"/>
      <w:r w:rsidRPr="00E119C4">
        <w:rPr>
          <w:rFonts w:cstheme="minorHAnsi"/>
          <w:bCs/>
          <w:lang w:val="es-419"/>
        </w:rPr>
        <w:t xml:space="preserve">, Marcos. </w:t>
      </w:r>
      <w:r w:rsidRPr="00E119C4">
        <w:rPr>
          <w:rFonts w:cstheme="minorHAnsi"/>
          <w:bCs/>
          <w:i/>
          <w:lang w:val="es-419"/>
        </w:rPr>
        <w:t xml:space="preserve">Pensar América Latina: el desarrollo de la sociología latinoamericana. </w:t>
      </w:r>
      <w:r w:rsidRPr="00E119C4">
        <w:rPr>
          <w:rFonts w:cstheme="minorHAnsi"/>
          <w:bCs/>
          <w:lang w:val="es-419"/>
        </w:rPr>
        <w:t>Buenos Aires: CLACSO, 2008. (</w:t>
      </w:r>
      <w:r w:rsidRPr="0042361C">
        <w:rPr>
          <w:rFonts w:cstheme="minorHAnsi"/>
          <w:bCs/>
          <w:color w:val="0070C0"/>
          <w:lang w:val="es-419"/>
        </w:rPr>
        <w:t>clásico,</w:t>
      </w:r>
      <w:r>
        <w:rPr>
          <w:rFonts w:cstheme="minorHAnsi"/>
          <w:bCs/>
          <w:color w:val="0070C0"/>
          <w:lang w:val="es-419"/>
        </w:rPr>
        <w:t xml:space="preserve"> </w:t>
      </w:r>
      <w:r w:rsidRPr="00E119C4">
        <w:rPr>
          <w:rFonts w:cstheme="minorHAnsi"/>
          <w:bCs/>
          <w:lang w:val="es-419"/>
        </w:rPr>
        <w:t>última edición)</w:t>
      </w:r>
    </w:p>
    <w:p w14:paraId="6E8C55E0" w14:textId="77777777" w:rsidR="00345767" w:rsidRPr="00E119C4" w:rsidRDefault="00345767" w:rsidP="00345767">
      <w:pPr>
        <w:ind w:left="709" w:hanging="709"/>
        <w:jc w:val="both"/>
        <w:rPr>
          <w:rFonts w:cstheme="minorHAnsi"/>
          <w:bCs/>
          <w:lang w:val="es-419"/>
        </w:rPr>
      </w:pPr>
      <w:proofErr w:type="spellStart"/>
      <w:r w:rsidRPr="00E119C4">
        <w:rPr>
          <w:rFonts w:cstheme="minorHAnsi"/>
          <w:bCs/>
          <w:lang w:val="es-419"/>
        </w:rPr>
        <w:t>Roitman</w:t>
      </w:r>
      <w:proofErr w:type="spellEnd"/>
      <w:r w:rsidRPr="00E119C4">
        <w:rPr>
          <w:rFonts w:cstheme="minorHAnsi"/>
          <w:bCs/>
          <w:lang w:val="es-419"/>
        </w:rPr>
        <w:t xml:space="preserve">, Marcos. </w:t>
      </w:r>
      <w:r w:rsidRPr="00E119C4">
        <w:rPr>
          <w:rFonts w:cstheme="minorHAnsi"/>
          <w:bCs/>
          <w:i/>
          <w:lang w:val="es-419"/>
        </w:rPr>
        <w:t>Pensamiento sociológico y realidad nacional en América Latina</w:t>
      </w:r>
      <w:r w:rsidRPr="00E119C4">
        <w:rPr>
          <w:rFonts w:cstheme="minorHAnsi"/>
          <w:bCs/>
          <w:lang w:val="es-419"/>
        </w:rPr>
        <w:t>. Buenos Aires: Rebelión, 2010. (</w:t>
      </w:r>
      <w:r w:rsidRPr="0042361C">
        <w:rPr>
          <w:rFonts w:cstheme="minorHAnsi"/>
          <w:bCs/>
          <w:color w:val="0070C0"/>
          <w:lang w:val="es-419"/>
        </w:rPr>
        <w:t>clásico,</w:t>
      </w:r>
      <w:r>
        <w:rPr>
          <w:rFonts w:cstheme="minorHAnsi"/>
          <w:bCs/>
          <w:color w:val="0070C0"/>
          <w:lang w:val="es-419"/>
        </w:rPr>
        <w:t xml:space="preserve"> </w:t>
      </w:r>
      <w:r w:rsidRPr="00E119C4">
        <w:rPr>
          <w:rFonts w:cstheme="minorHAnsi"/>
          <w:bCs/>
          <w:lang w:val="es-419"/>
        </w:rPr>
        <w:t>última edición)</w:t>
      </w:r>
    </w:p>
    <w:p w14:paraId="18C77521" w14:textId="77777777" w:rsidR="00345767" w:rsidRDefault="00345767" w:rsidP="00345767">
      <w:pPr>
        <w:spacing w:line="360" w:lineRule="auto"/>
        <w:ind w:left="709" w:hanging="709"/>
        <w:rPr>
          <w:bCs/>
          <w:lang w:val="es-419"/>
        </w:rPr>
      </w:pPr>
    </w:p>
    <w:p w14:paraId="36E5251E" w14:textId="77777777" w:rsidR="00345767" w:rsidRDefault="00345767" w:rsidP="00345767">
      <w:pPr>
        <w:spacing w:line="360" w:lineRule="auto"/>
        <w:ind w:left="709" w:hanging="709"/>
        <w:rPr>
          <w:b/>
          <w:lang w:val="es-419"/>
        </w:rPr>
      </w:pPr>
      <w:r>
        <w:rPr>
          <w:b/>
          <w:lang w:val="es-419"/>
        </w:rPr>
        <w:t>XII. Bibliografía complementaria</w:t>
      </w:r>
    </w:p>
    <w:p w14:paraId="0FCDB73C" w14:textId="77777777" w:rsidR="00345767" w:rsidRDefault="00345767" w:rsidP="00345767">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61FB2946" w14:textId="77777777" w:rsidR="00345767" w:rsidRPr="00B03328" w:rsidRDefault="00345767" w:rsidP="00345767">
      <w:pPr>
        <w:jc w:val="both"/>
        <w:rPr>
          <w:rFonts w:cs="Arial"/>
          <w:bCs/>
          <w:color w:val="000000" w:themeColor="text1"/>
          <w:sz w:val="2"/>
          <w:szCs w:val="2"/>
        </w:rPr>
      </w:pPr>
    </w:p>
    <w:p w14:paraId="7B6B5045" w14:textId="77777777" w:rsidR="00345767" w:rsidRPr="00513710" w:rsidRDefault="00345767" w:rsidP="00345767">
      <w:pPr>
        <w:jc w:val="both"/>
        <w:rPr>
          <w:rFonts w:cstheme="minorHAnsi"/>
          <w:bCs/>
          <w:lang w:val="es-419"/>
        </w:rPr>
      </w:pPr>
      <w:r w:rsidRPr="00513710">
        <w:rPr>
          <w:rFonts w:cstheme="minorHAnsi"/>
          <w:bCs/>
          <w:lang w:val="es-419"/>
        </w:rPr>
        <w:t xml:space="preserve">Davie, Grace. </w:t>
      </w:r>
      <w:r w:rsidRPr="00513710">
        <w:rPr>
          <w:rFonts w:cstheme="minorHAnsi"/>
          <w:bCs/>
          <w:i/>
          <w:lang w:val="es-419"/>
        </w:rPr>
        <w:t xml:space="preserve">Sociología de la religión. </w:t>
      </w:r>
      <w:r w:rsidRPr="00513710">
        <w:rPr>
          <w:rFonts w:cstheme="minorHAnsi"/>
          <w:bCs/>
          <w:lang w:val="es-419"/>
        </w:rPr>
        <w:t>Madrid: Akal, 2011. (</w:t>
      </w:r>
      <w:r w:rsidRPr="00C04348">
        <w:rPr>
          <w:rFonts w:cstheme="minorHAnsi"/>
          <w:bCs/>
          <w:color w:val="0070C0"/>
          <w:lang w:val="es-419"/>
        </w:rPr>
        <w:t xml:space="preserve">clásico, </w:t>
      </w:r>
      <w:r w:rsidRPr="00513710">
        <w:rPr>
          <w:rFonts w:cstheme="minorHAnsi"/>
          <w:bCs/>
          <w:lang w:val="es-419"/>
        </w:rPr>
        <w:t>última edición)</w:t>
      </w:r>
    </w:p>
    <w:p w14:paraId="5EF37235" w14:textId="77777777" w:rsidR="00345767" w:rsidRPr="00513710" w:rsidRDefault="00345767" w:rsidP="00345767">
      <w:pPr>
        <w:ind w:left="709" w:hanging="709"/>
        <w:jc w:val="both"/>
        <w:rPr>
          <w:rFonts w:cstheme="minorHAnsi"/>
          <w:bCs/>
          <w:color w:val="00B050"/>
          <w:lang w:val="es-419"/>
        </w:rPr>
      </w:pPr>
      <w:proofErr w:type="spellStart"/>
      <w:r w:rsidRPr="00513710">
        <w:rPr>
          <w:rFonts w:cstheme="minorHAnsi"/>
          <w:bCs/>
          <w:lang w:val="es-419"/>
        </w:rPr>
        <w:t>Dierckxsens</w:t>
      </w:r>
      <w:proofErr w:type="spellEnd"/>
      <w:r w:rsidRPr="00513710">
        <w:rPr>
          <w:rFonts w:cstheme="minorHAnsi"/>
          <w:bCs/>
          <w:lang w:val="es-419"/>
        </w:rPr>
        <w:t xml:space="preserve">, </w:t>
      </w:r>
      <w:proofErr w:type="spellStart"/>
      <w:r w:rsidRPr="00513710">
        <w:rPr>
          <w:rFonts w:cstheme="minorHAnsi"/>
          <w:bCs/>
          <w:lang w:val="es-419"/>
        </w:rPr>
        <w:t>Wim</w:t>
      </w:r>
      <w:proofErr w:type="spellEnd"/>
      <w:r w:rsidRPr="00513710">
        <w:rPr>
          <w:rFonts w:cstheme="minorHAnsi"/>
          <w:bCs/>
          <w:lang w:val="es-419"/>
        </w:rPr>
        <w:t xml:space="preserve">. </w:t>
      </w:r>
      <w:r w:rsidRPr="00513710">
        <w:rPr>
          <w:rFonts w:cstheme="minorHAnsi"/>
          <w:bCs/>
          <w:i/>
          <w:lang w:val="es-419"/>
        </w:rPr>
        <w:t xml:space="preserve">La crisis mundial del siglo XXI: Oportunidad de transición al </w:t>
      </w:r>
      <w:proofErr w:type="spellStart"/>
      <w:r w:rsidRPr="00513710">
        <w:rPr>
          <w:rFonts w:cstheme="minorHAnsi"/>
          <w:bCs/>
          <w:i/>
          <w:lang w:val="es-419"/>
        </w:rPr>
        <w:t>poscapitalismo</w:t>
      </w:r>
      <w:proofErr w:type="spellEnd"/>
      <w:r w:rsidRPr="00513710">
        <w:rPr>
          <w:rFonts w:cstheme="minorHAnsi"/>
          <w:bCs/>
          <w:i/>
          <w:lang w:val="es-419"/>
        </w:rPr>
        <w:t xml:space="preserve">. </w:t>
      </w:r>
      <w:r w:rsidRPr="00513710">
        <w:rPr>
          <w:rFonts w:cstheme="minorHAnsi"/>
          <w:bCs/>
          <w:lang w:val="es-419"/>
        </w:rPr>
        <w:t>San José: DEI; Bogotá: Ediciones desde abajo, 2008.</w:t>
      </w:r>
      <w:r w:rsidRPr="00513710">
        <w:rPr>
          <w:rFonts w:cstheme="minorHAnsi"/>
          <w:bCs/>
          <w:color w:val="00B050"/>
          <w:lang w:val="es-419"/>
        </w:rPr>
        <w:t xml:space="preserve"> </w:t>
      </w:r>
      <w:r w:rsidRPr="00513710">
        <w:rPr>
          <w:rFonts w:cstheme="minorHAnsi"/>
          <w:bCs/>
          <w:lang w:val="es-419"/>
        </w:rPr>
        <w:t>(</w:t>
      </w:r>
      <w:r w:rsidRPr="00E65D9B">
        <w:rPr>
          <w:rFonts w:cstheme="minorHAnsi"/>
          <w:bCs/>
          <w:color w:val="0070C0"/>
          <w:lang w:val="es-419"/>
        </w:rPr>
        <w:t>clásico,</w:t>
      </w:r>
      <w:r>
        <w:rPr>
          <w:rFonts w:cstheme="minorHAnsi"/>
          <w:bCs/>
          <w:lang w:val="es-419"/>
        </w:rPr>
        <w:t xml:space="preserve"> </w:t>
      </w:r>
      <w:r w:rsidRPr="00513710">
        <w:rPr>
          <w:rFonts w:cstheme="minorHAnsi"/>
          <w:bCs/>
          <w:lang w:val="es-419"/>
        </w:rPr>
        <w:t>última edición)</w:t>
      </w:r>
    </w:p>
    <w:p w14:paraId="3C7140EF" w14:textId="77777777" w:rsidR="00345767" w:rsidRPr="00513710" w:rsidRDefault="00345767" w:rsidP="00345767">
      <w:pPr>
        <w:ind w:left="709" w:hanging="709"/>
        <w:jc w:val="both"/>
        <w:rPr>
          <w:rFonts w:cstheme="minorHAnsi"/>
          <w:bCs/>
          <w:color w:val="00B050"/>
        </w:rPr>
      </w:pPr>
      <w:proofErr w:type="spellStart"/>
      <w:r w:rsidRPr="00513710">
        <w:rPr>
          <w:rFonts w:cstheme="minorHAnsi"/>
          <w:bCs/>
          <w:lang w:val="es-419"/>
        </w:rPr>
        <w:lastRenderedPageBreak/>
        <w:t>Kozlarek</w:t>
      </w:r>
      <w:proofErr w:type="spellEnd"/>
      <w:r w:rsidRPr="00513710">
        <w:rPr>
          <w:rFonts w:cstheme="minorHAnsi"/>
          <w:bCs/>
          <w:lang w:val="es-419"/>
        </w:rPr>
        <w:t xml:space="preserve">, Oliver. “Los retos para una teoría social crítica. Hacia una “crítica poscolonial reconstructiva””. </w:t>
      </w:r>
      <w:r w:rsidRPr="00582348">
        <w:rPr>
          <w:rFonts w:cstheme="minorHAnsi"/>
          <w:bCs/>
          <w:i/>
          <w:iCs/>
          <w:lang w:val="es-419"/>
        </w:rPr>
        <w:t>Sociológica</w:t>
      </w:r>
      <w:r w:rsidRPr="00513710">
        <w:rPr>
          <w:rFonts w:cstheme="minorHAnsi"/>
          <w:bCs/>
          <w:lang w:val="es-419"/>
        </w:rPr>
        <w:t xml:space="preserve">, n. 92 (2017): 41-68. Acceso el 17 de diciembre de 2020. </w:t>
      </w:r>
      <w:hyperlink r:id="rId69" w:history="1">
        <w:r w:rsidRPr="00513710">
          <w:rPr>
            <w:rStyle w:val="Hipervnculo"/>
            <w:rFonts w:cstheme="minorHAnsi"/>
            <w:bCs/>
          </w:rPr>
          <w:t>http://www.scielo.org.mx/pdf/soc/v32n92/2007-8358-soc-32-92-00041.pdf</w:t>
        </w:r>
      </w:hyperlink>
      <w:r w:rsidRPr="00513710">
        <w:rPr>
          <w:rFonts w:cstheme="minorHAnsi"/>
          <w:bCs/>
          <w:color w:val="00B050"/>
        </w:rPr>
        <w:t xml:space="preserve"> </w:t>
      </w:r>
    </w:p>
    <w:p w14:paraId="5FD4D6F5" w14:textId="77777777" w:rsidR="00345767" w:rsidRDefault="00345767" w:rsidP="00345767">
      <w:pPr>
        <w:ind w:left="709" w:hanging="709"/>
        <w:jc w:val="both"/>
        <w:rPr>
          <w:rFonts w:cstheme="minorHAnsi"/>
          <w:bCs/>
          <w:color w:val="FF0000"/>
        </w:rPr>
      </w:pPr>
      <w:r w:rsidRPr="00513710">
        <w:rPr>
          <w:rFonts w:cstheme="minorHAnsi"/>
          <w:bCs/>
          <w:lang w:val="es-419"/>
        </w:rPr>
        <w:t xml:space="preserve">Quijano, Aníbal. </w:t>
      </w:r>
      <w:r w:rsidRPr="00513710">
        <w:rPr>
          <w:rFonts w:cstheme="minorHAnsi"/>
          <w:bCs/>
          <w:i/>
          <w:lang w:val="es-419"/>
        </w:rPr>
        <w:t xml:space="preserve">Cuestiones y horizontes. De la dependencia histórico-estructural a la </w:t>
      </w:r>
      <w:proofErr w:type="spellStart"/>
      <w:r w:rsidRPr="00513710">
        <w:rPr>
          <w:rFonts w:cstheme="minorHAnsi"/>
          <w:bCs/>
          <w:i/>
          <w:lang w:val="es-419"/>
        </w:rPr>
        <w:t>colonialidad</w:t>
      </w:r>
      <w:proofErr w:type="spellEnd"/>
      <w:r w:rsidRPr="00513710">
        <w:rPr>
          <w:rFonts w:cstheme="minorHAnsi"/>
          <w:bCs/>
          <w:i/>
          <w:lang w:val="es-419"/>
        </w:rPr>
        <w:t>/</w:t>
      </w:r>
      <w:proofErr w:type="spellStart"/>
      <w:r w:rsidRPr="00513710">
        <w:rPr>
          <w:rFonts w:cstheme="minorHAnsi"/>
          <w:bCs/>
          <w:i/>
          <w:lang w:val="es-419"/>
        </w:rPr>
        <w:t>descolonialidad</w:t>
      </w:r>
      <w:proofErr w:type="spellEnd"/>
      <w:r w:rsidRPr="00513710">
        <w:rPr>
          <w:rFonts w:cstheme="minorHAnsi"/>
          <w:bCs/>
          <w:i/>
          <w:lang w:val="es-419"/>
        </w:rPr>
        <w:t xml:space="preserve"> del poder</w:t>
      </w:r>
      <w:r w:rsidRPr="00513710">
        <w:rPr>
          <w:rFonts w:cstheme="minorHAnsi"/>
          <w:bCs/>
          <w:lang w:val="es-419"/>
        </w:rPr>
        <w:t xml:space="preserve">. Buenos Aires: CLACSO; Lima: Universidad Nacional Mayor de San Marcos, 2020. Acceso el 17 de diciembre de 2020. </w:t>
      </w:r>
      <w:hyperlink r:id="rId70" w:history="1">
        <w:r w:rsidRPr="00513710">
          <w:rPr>
            <w:rStyle w:val="Hipervnculo"/>
            <w:rFonts w:cstheme="minorHAnsi"/>
            <w:bCs/>
            <w:lang w:val="es-419"/>
          </w:rPr>
          <w:t>http://biblioteca.clacso.edu.ar/clacso/se/20140424014720/Cuestionesyhorizontes.pdf</w:t>
        </w:r>
      </w:hyperlink>
    </w:p>
    <w:p w14:paraId="03474F72" w14:textId="77777777" w:rsidR="00345767" w:rsidRDefault="00345767" w:rsidP="00345767">
      <w:pPr>
        <w:ind w:left="709" w:hanging="709"/>
        <w:jc w:val="both"/>
        <w:rPr>
          <w:rStyle w:val="Hipervnculo"/>
          <w:rFonts w:cstheme="minorHAnsi"/>
          <w:bCs/>
          <w:lang w:val="es-419"/>
        </w:rPr>
      </w:pPr>
      <w:r w:rsidRPr="00513710">
        <w:rPr>
          <w:rFonts w:cstheme="minorHAnsi"/>
          <w:bCs/>
          <w:lang w:val="es-419"/>
        </w:rPr>
        <w:t xml:space="preserve">Sotomayor López, Francisco. “Marginalidad vs. exclusión social en América Latina: Un debate político, no solo semántico”. </w:t>
      </w:r>
      <w:r w:rsidRPr="00513710">
        <w:rPr>
          <w:rFonts w:cstheme="minorHAnsi"/>
          <w:bCs/>
          <w:i/>
          <w:lang w:val="es-419"/>
        </w:rPr>
        <w:t>Margen</w:t>
      </w:r>
      <w:r w:rsidRPr="00513710">
        <w:rPr>
          <w:rFonts w:cstheme="minorHAnsi"/>
          <w:bCs/>
          <w:lang w:val="es-419"/>
        </w:rPr>
        <w:t xml:space="preserve">, n. 94 (2019): 1-7. Acceso el 17 de diciembre de 2020.  </w:t>
      </w:r>
      <w:hyperlink r:id="rId71" w:history="1">
        <w:r w:rsidRPr="00513710">
          <w:rPr>
            <w:rStyle w:val="Hipervnculo"/>
            <w:rFonts w:cstheme="minorHAnsi"/>
            <w:bCs/>
            <w:lang w:val="es-419"/>
          </w:rPr>
          <w:t>https://www.margen.org/suscri/margen94/Sotomayor-94.pdf</w:t>
        </w:r>
      </w:hyperlink>
    </w:p>
    <w:p w14:paraId="71732436" w14:textId="0EC7966D" w:rsidR="00345767" w:rsidRDefault="00345767">
      <w:pPr>
        <w:rPr>
          <w:rFonts w:cstheme="minorHAnsi"/>
          <w:bCs/>
          <w:color w:val="00B050"/>
          <w:lang w:val="es-419"/>
        </w:rPr>
      </w:pPr>
      <w:r>
        <w:rPr>
          <w:rFonts w:cstheme="minorHAnsi"/>
          <w:bCs/>
          <w:color w:val="00B050"/>
          <w:lang w:val="es-419"/>
        </w:rPr>
        <w:br w:type="page"/>
      </w:r>
    </w:p>
    <w:p w14:paraId="19E28B0C" w14:textId="77777777" w:rsidR="00345767" w:rsidRPr="00345767" w:rsidRDefault="00345767" w:rsidP="00C864FD">
      <w:pPr>
        <w:spacing w:line="276" w:lineRule="auto"/>
        <w:ind w:left="709" w:hanging="709"/>
        <w:jc w:val="both"/>
        <w:rPr>
          <w:rFonts w:cstheme="minorHAnsi"/>
          <w:bCs/>
          <w:color w:val="00B050"/>
          <w:lang w:val="es-419"/>
        </w:rPr>
      </w:pPr>
    </w:p>
    <w:p w14:paraId="0EBB87B1" w14:textId="77777777" w:rsidR="0076384B" w:rsidRPr="00F27296" w:rsidRDefault="0076384B" w:rsidP="00740A83">
      <w:pPr>
        <w:jc w:val="center"/>
        <w:rPr>
          <w:rFonts w:ascii="Arial" w:hAnsi="Arial"/>
          <w:color w:val="000000" w:themeColor="text1"/>
        </w:rPr>
      </w:pPr>
      <w:r w:rsidRPr="00F27296">
        <w:rPr>
          <w:rFonts w:ascii="Arial" w:hAnsi="Arial" w:cs="Arial"/>
          <w:noProof/>
          <w:color w:val="000000" w:themeColor="text1"/>
          <w:szCs w:val="24"/>
        </w:rPr>
        <w:drawing>
          <wp:inline distT="0" distB="0" distL="0" distR="0" wp14:anchorId="276F9182" wp14:editId="7E2DF9F8">
            <wp:extent cx="2009775" cy="1548377"/>
            <wp:effectExtent l="0" t="0" r="0" b="0"/>
            <wp:docPr id="5490220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4B514E4B" w14:textId="77777777" w:rsidR="0076384B" w:rsidRPr="00F27296" w:rsidRDefault="0076384B" w:rsidP="009C3E07">
      <w:pPr>
        <w:pStyle w:val="Ttulo1"/>
        <w:spacing w:before="0" w:after="0"/>
        <w:rPr>
          <w:rFonts w:cs="Arial"/>
          <w:color w:val="000000" w:themeColor="text1"/>
          <w:szCs w:val="24"/>
          <w:lang w:val="es-CR"/>
        </w:rPr>
      </w:pPr>
    </w:p>
    <w:p w14:paraId="0935678B" w14:textId="77777777" w:rsidR="0076384B" w:rsidRPr="00F27296" w:rsidRDefault="0076384B" w:rsidP="009C3E07">
      <w:pPr>
        <w:pStyle w:val="Ttulo1"/>
        <w:spacing w:before="0" w:after="0"/>
        <w:rPr>
          <w:rFonts w:asciiTheme="minorHAnsi" w:hAnsiTheme="minorHAnsi" w:cstheme="minorHAnsi"/>
          <w:color w:val="000000" w:themeColor="text1"/>
          <w:szCs w:val="24"/>
          <w:lang w:val="es-CR"/>
        </w:rPr>
      </w:pPr>
      <w:r w:rsidRPr="00F27296">
        <w:rPr>
          <w:rFonts w:asciiTheme="minorHAnsi" w:hAnsiTheme="minorHAnsi" w:cstheme="minorHAnsi"/>
          <w:color w:val="000000" w:themeColor="text1"/>
          <w:szCs w:val="24"/>
          <w:lang w:val="es-CR"/>
        </w:rPr>
        <w:t>Universidad Bíblica Latinoamericana</w:t>
      </w:r>
    </w:p>
    <w:p w14:paraId="60D2003C" w14:textId="77777777" w:rsidR="0076384B" w:rsidRPr="00F27296" w:rsidRDefault="0076384B" w:rsidP="009C3E07">
      <w:pPr>
        <w:pStyle w:val="Ttulo2"/>
        <w:spacing w:before="0" w:after="0"/>
        <w:jc w:val="center"/>
        <w:rPr>
          <w:rFonts w:asciiTheme="minorHAnsi" w:hAnsiTheme="minorHAnsi" w:cstheme="minorHAnsi"/>
          <w:i/>
          <w:color w:val="000000" w:themeColor="text1"/>
          <w:szCs w:val="24"/>
          <w:lang w:val="es-CR"/>
        </w:rPr>
      </w:pPr>
      <w:r w:rsidRPr="00F27296">
        <w:rPr>
          <w:rFonts w:asciiTheme="minorHAnsi" w:hAnsiTheme="minorHAnsi" w:cstheme="minorHAnsi"/>
          <w:i/>
          <w:color w:val="000000" w:themeColor="text1"/>
          <w:szCs w:val="24"/>
          <w:lang w:val="es-CR"/>
        </w:rPr>
        <w:t>Facultad de Teología</w:t>
      </w:r>
    </w:p>
    <w:p w14:paraId="735FD53C" w14:textId="77777777" w:rsidR="0076384B" w:rsidRPr="00C5032E" w:rsidRDefault="0076384B" w:rsidP="00725A37">
      <w:pPr>
        <w:jc w:val="center"/>
        <w:rPr>
          <w:rFonts w:cs="Arial"/>
          <w:b/>
          <w:szCs w:val="24"/>
        </w:rPr>
      </w:pPr>
      <w:r>
        <w:rPr>
          <w:rFonts w:cs="Arial"/>
          <w:b/>
          <w:bCs/>
        </w:rPr>
        <w:t xml:space="preserve">Bachillerato en </w:t>
      </w:r>
      <w:r w:rsidRPr="00F27296">
        <w:rPr>
          <w:rFonts w:cstheme="minorHAnsi"/>
          <w:b/>
          <w:bCs/>
          <w:color w:val="000000" w:themeColor="text1"/>
          <w:szCs w:val="24"/>
        </w:rPr>
        <w:t xml:space="preserve">Ciencias </w:t>
      </w:r>
      <w:r>
        <w:rPr>
          <w:rFonts w:cs="Arial"/>
          <w:b/>
          <w:szCs w:val="24"/>
        </w:rPr>
        <w:t>Bíblicas</w:t>
      </w:r>
    </w:p>
    <w:p w14:paraId="7717F680" w14:textId="77777777" w:rsidR="0076384B" w:rsidRPr="00F27296" w:rsidRDefault="0076384B" w:rsidP="009C3E07">
      <w:pPr>
        <w:jc w:val="center"/>
        <w:rPr>
          <w:rFonts w:cstheme="minorHAnsi"/>
          <w:b/>
          <w:color w:val="000000" w:themeColor="text1"/>
          <w:szCs w:val="24"/>
        </w:rPr>
      </w:pPr>
      <w:r w:rsidRPr="00F27296">
        <w:rPr>
          <w:rFonts w:cstheme="minorHAnsi"/>
          <w:b/>
          <w:color w:val="000000" w:themeColor="text1"/>
          <w:szCs w:val="24"/>
        </w:rPr>
        <w:t>Sílabo</w:t>
      </w:r>
    </w:p>
    <w:p w14:paraId="6D588309" w14:textId="77777777" w:rsidR="0076384B" w:rsidRPr="00F27296" w:rsidRDefault="0076384B" w:rsidP="009C3E07">
      <w:pPr>
        <w:jc w:val="center"/>
        <w:rPr>
          <w:rFonts w:cstheme="minorHAnsi"/>
          <w:b/>
          <w:color w:val="000000" w:themeColor="text1"/>
          <w:szCs w:val="24"/>
        </w:rPr>
      </w:pPr>
      <w:bookmarkStart w:id="9" w:name="CBX104"/>
      <w:r w:rsidRPr="00F27296">
        <w:rPr>
          <w:rFonts w:cstheme="minorHAnsi"/>
          <w:b/>
          <w:color w:val="000000" w:themeColor="text1"/>
          <w:szCs w:val="24"/>
        </w:rPr>
        <w:t>Introducción a la Biblia</w:t>
      </w:r>
    </w:p>
    <w:bookmarkEnd w:id="9"/>
    <w:p w14:paraId="7D124E1F" w14:textId="77777777" w:rsidR="0076384B" w:rsidRPr="00F27296" w:rsidRDefault="0076384B" w:rsidP="009C3E07">
      <w:pPr>
        <w:rPr>
          <w:rFonts w:ascii="Arial" w:hAnsi="Arial" w:cs="Arial"/>
          <w:color w:val="000000" w:themeColor="text1"/>
        </w:rPr>
      </w:pPr>
    </w:p>
    <w:tbl>
      <w:tblPr>
        <w:tblStyle w:val="Tablaconcuadrcula"/>
        <w:tblW w:w="0" w:type="auto"/>
        <w:tblLook w:val="04A0" w:firstRow="1" w:lastRow="0" w:firstColumn="1" w:lastColumn="0" w:noHBand="0" w:noVBand="1"/>
      </w:tblPr>
      <w:tblGrid>
        <w:gridCol w:w="1667"/>
        <w:gridCol w:w="7161"/>
      </w:tblGrid>
      <w:tr w:rsidR="0076384B" w:rsidRPr="00F27296" w14:paraId="7951F96A" w14:textId="77777777" w:rsidTr="00323789">
        <w:tc>
          <w:tcPr>
            <w:tcW w:w="1667" w:type="dxa"/>
          </w:tcPr>
          <w:p w14:paraId="424BE4B0" w14:textId="77777777" w:rsidR="0076384B" w:rsidRPr="00F27296" w:rsidRDefault="0076384B" w:rsidP="00274E5D">
            <w:pPr>
              <w:rPr>
                <w:rFonts w:cstheme="minorHAnsi"/>
                <w:b/>
                <w:color w:val="000000" w:themeColor="text1"/>
              </w:rPr>
            </w:pPr>
            <w:r w:rsidRPr="00F27296">
              <w:rPr>
                <w:rFonts w:cstheme="minorHAnsi"/>
                <w:b/>
                <w:color w:val="000000" w:themeColor="text1"/>
              </w:rPr>
              <w:t>Código</w:t>
            </w:r>
          </w:p>
        </w:tc>
        <w:tc>
          <w:tcPr>
            <w:tcW w:w="7161" w:type="dxa"/>
          </w:tcPr>
          <w:p w14:paraId="7490FD4A" w14:textId="77777777" w:rsidR="0076384B" w:rsidRPr="00F27296" w:rsidRDefault="0076384B" w:rsidP="00F27296">
            <w:pPr>
              <w:rPr>
                <w:rFonts w:cstheme="minorHAnsi"/>
                <w:color w:val="000000" w:themeColor="text1"/>
              </w:rPr>
            </w:pPr>
            <w:r w:rsidRPr="00F27296">
              <w:rPr>
                <w:rFonts w:cstheme="minorHAnsi"/>
                <w:color w:val="000000" w:themeColor="text1"/>
              </w:rPr>
              <w:t>CBX 104</w:t>
            </w:r>
          </w:p>
        </w:tc>
      </w:tr>
      <w:tr w:rsidR="0076384B" w:rsidRPr="00F27296" w14:paraId="16023DA3" w14:textId="77777777" w:rsidTr="00323789">
        <w:tc>
          <w:tcPr>
            <w:tcW w:w="1667" w:type="dxa"/>
          </w:tcPr>
          <w:p w14:paraId="58DA4953" w14:textId="77777777" w:rsidR="0076384B" w:rsidRPr="00F27296" w:rsidRDefault="0076384B" w:rsidP="00274E5D">
            <w:pPr>
              <w:rPr>
                <w:rFonts w:cstheme="minorHAnsi"/>
                <w:b/>
                <w:color w:val="000000" w:themeColor="text1"/>
              </w:rPr>
            </w:pPr>
            <w:r w:rsidRPr="00F27296">
              <w:rPr>
                <w:rFonts w:cstheme="minorHAnsi"/>
                <w:b/>
                <w:color w:val="000000" w:themeColor="text1"/>
              </w:rPr>
              <w:t>Créditos</w:t>
            </w:r>
          </w:p>
        </w:tc>
        <w:tc>
          <w:tcPr>
            <w:tcW w:w="7161" w:type="dxa"/>
          </w:tcPr>
          <w:p w14:paraId="493BCBB2" w14:textId="77777777" w:rsidR="0076384B" w:rsidRPr="00F27296" w:rsidRDefault="0076384B" w:rsidP="00274E5D">
            <w:pPr>
              <w:rPr>
                <w:rFonts w:cstheme="minorHAnsi"/>
                <w:color w:val="000000" w:themeColor="text1"/>
              </w:rPr>
            </w:pPr>
            <w:r w:rsidRPr="00F27296">
              <w:rPr>
                <w:rFonts w:cstheme="minorHAnsi"/>
                <w:color w:val="000000" w:themeColor="text1"/>
              </w:rPr>
              <w:t>4</w:t>
            </w:r>
          </w:p>
        </w:tc>
      </w:tr>
      <w:tr w:rsidR="0076384B" w:rsidRPr="00F27296" w14:paraId="058B79D5" w14:textId="77777777" w:rsidTr="00323789">
        <w:tc>
          <w:tcPr>
            <w:tcW w:w="1667" w:type="dxa"/>
          </w:tcPr>
          <w:p w14:paraId="6F03651D" w14:textId="77777777" w:rsidR="0076384B" w:rsidRPr="00F27296" w:rsidRDefault="0076384B" w:rsidP="00274E5D">
            <w:pPr>
              <w:rPr>
                <w:rFonts w:cstheme="minorHAnsi"/>
                <w:b/>
                <w:color w:val="000000" w:themeColor="text1"/>
              </w:rPr>
            </w:pPr>
            <w:r w:rsidRPr="00F27296">
              <w:rPr>
                <w:rFonts w:cstheme="minorHAnsi"/>
                <w:b/>
                <w:color w:val="000000" w:themeColor="text1"/>
              </w:rPr>
              <w:t>Requisitos</w:t>
            </w:r>
          </w:p>
        </w:tc>
        <w:tc>
          <w:tcPr>
            <w:tcW w:w="7161" w:type="dxa"/>
          </w:tcPr>
          <w:p w14:paraId="704AEDA3" w14:textId="77777777" w:rsidR="0076384B" w:rsidRPr="00F27296" w:rsidRDefault="0076384B" w:rsidP="00274E5D">
            <w:pPr>
              <w:rPr>
                <w:rFonts w:cstheme="minorHAnsi"/>
                <w:color w:val="000000" w:themeColor="text1"/>
              </w:rPr>
            </w:pPr>
            <w:r w:rsidRPr="00F27296">
              <w:rPr>
                <w:rFonts w:cstheme="minorHAnsi"/>
                <w:color w:val="000000" w:themeColor="text1"/>
              </w:rPr>
              <w:t>Ninguno</w:t>
            </w:r>
          </w:p>
        </w:tc>
      </w:tr>
      <w:tr w:rsidR="0076384B" w:rsidRPr="00F27296" w14:paraId="054D3B85" w14:textId="77777777" w:rsidTr="00323789">
        <w:tc>
          <w:tcPr>
            <w:tcW w:w="1667" w:type="dxa"/>
          </w:tcPr>
          <w:p w14:paraId="52CD9E58" w14:textId="77777777" w:rsidR="0076384B" w:rsidRPr="00F27296" w:rsidRDefault="0076384B" w:rsidP="00274E5D">
            <w:pPr>
              <w:rPr>
                <w:rFonts w:cstheme="minorHAnsi"/>
                <w:b/>
                <w:color w:val="000000" w:themeColor="text1"/>
              </w:rPr>
            </w:pPr>
            <w:r w:rsidRPr="00F27296">
              <w:rPr>
                <w:rFonts w:cstheme="minorHAnsi"/>
                <w:b/>
                <w:color w:val="000000" w:themeColor="text1"/>
              </w:rPr>
              <w:t>Modalidad</w:t>
            </w:r>
          </w:p>
        </w:tc>
        <w:tc>
          <w:tcPr>
            <w:tcW w:w="7161" w:type="dxa"/>
          </w:tcPr>
          <w:p w14:paraId="35407820" w14:textId="77777777" w:rsidR="0076384B" w:rsidRPr="00F27296" w:rsidRDefault="0076384B" w:rsidP="00274E5D">
            <w:pPr>
              <w:rPr>
                <w:rFonts w:cstheme="minorHAnsi"/>
                <w:color w:val="000000" w:themeColor="text1"/>
              </w:rPr>
            </w:pPr>
            <w:r>
              <w:rPr>
                <w:rFonts w:cstheme="minorHAnsi"/>
                <w:color w:val="000000" w:themeColor="text1"/>
              </w:rPr>
              <w:t>Virtual</w:t>
            </w:r>
          </w:p>
        </w:tc>
      </w:tr>
      <w:tr w:rsidR="0076384B" w:rsidRPr="00F27296" w14:paraId="300941BB" w14:textId="77777777" w:rsidTr="00323789">
        <w:tc>
          <w:tcPr>
            <w:tcW w:w="1667" w:type="dxa"/>
          </w:tcPr>
          <w:p w14:paraId="7EF11343" w14:textId="77777777" w:rsidR="0076384B" w:rsidRPr="00F27296" w:rsidRDefault="0076384B" w:rsidP="00274E5D">
            <w:pPr>
              <w:rPr>
                <w:rFonts w:cstheme="minorHAnsi"/>
                <w:b/>
                <w:color w:val="000000" w:themeColor="text1"/>
              </w:rPr>
            </w:pPr>
            <w:r w:rsidRPr="00F27296">
              <w:rPr>
                <w:rFonts w:cstheme="minorHAnsi"/>
                <w:b/>
                <w:color w:val="000000" w:themeColor="text1"/>
              </w:rPr>
              <w:t>Naturaleza</w:t>
            </w:r>
          </w:p>
        </w:tc>
        <w:tc>
          <w:tcPr>
            <w:tcW w:w="7161" w:type="dxa"/>
          </w:tcPr>
          <w:p w14:paraId="017CE928" w14:textId="77777777" w:rsidR="0076384B" w:rsidRPr="00F27296" w:rsidRDefault="0076384B" w:rsidP="00274E5D">
            <w:pPr>
              <w:rPr>
                <w:rFonts w:cstheme="minorHAnsi"/>
                <w:color w:val="000000" w:themeColor="text1"/>
              </w:rPr>
            </w:pPr>
            <w:r w:rsidRPr="00F27296">
              <w:rPr>
                <w:rFonts w:cstheme="minorHAnsi"/>
                <w:color w:val="000000" w:themeColor="text1"/>
              </w:rPr>
              <w:t>Teórico</w:t>
            </w:r>
          </w:p>
        </w:tc>
      </w:tr>
      <w:tr w:rsidR="0076384B" w:rsidRPr="00F27296" w14:paraId="3A0BC151" w14:textId="77777777" w:rsidTr="00323789">
        <w:tc>
          <w:tcPr>
            <w:tcW w:w="1667" w:type="dxa"/>
          </w:tcPr>
          <w:p w14:paraId="6E2B5E20" w14:textId="77777777" w:rsidR="0076384B" w:rsidRPr="00F27296" w:rsidRDefault="0076384B" w:rsidP="00274E5D">
            <w:pPr>
              <w:rPr>
                <w:rFonts w:cstheme="minorHAnsi"/>
                <w:b/>
                <w:color w:val="000000" w:themeColor="text1"/>
              </w:rPr>
            </w:pPr>
            <w:r w:rsidRPr="00F27296">
              <w:rPr>
                <w:rFonts w:cstheme="minorHAnsi"/>
                <w:b/>
                <w:color w:val="000000" w:themeColor="text1"/>
              </w:rPr>
              <w:t>Periodo</w:t>
            </w:r>
          </w:p>
        </w:tc>
        <w:tc>
          <w:tcPr>
            <w:tcW w:w="7161" w:type="dxa"/>
          </w:tcPr>
          <w:p w14:paraId="10C6EA00" w14:textId="77777777" w:rsidR="0076384B" w:rsidRPr="00F27296" w:rsidRDefault="0076384B" w:rsidP="00274E5D">
            <w:pPr>
              <w:rPr>
                <w:rFonts w:cstheme="minorHAnsi"/>
                <w:color w:val="000000" w:themeColor="text1"/>
              </w:rPr>
            </w:pPr>
            <w:r w:rsidRPr="00F27296">
              <w:rPr>
                <w:rFonts w:cstheme="minorHAnsi"/>
                <w:color w:val="000000" w:themeColor="text1"/>
              </w:rPr>
              <w:t>Cuatrimestral (15 semanas lectivas)</w:t>
            </w:r>
          </w:p>
        </w:tc>
      </w:tr>
      <w:tr w:rsidR="0076384B" w:rsidRPr="00F27296" w14:paraId="72D69718" w14:textId="77777777" w:rsidTr="00323789">
        <w:tc>
          <w:tcPr>
            <w:tcW w:w="1667" w:type="dxa"/>
          </w:tcPr>
          <w:p w14:paraId="7004068E" w14:textId="77777777" w:rsidR="0076384B" w:rsidRPr="00F27296" w:rsidRDefault="0076384B" w:rsidP="00274E5D">
            <w:pPr>
              <w:rPr>
                <w:rFonts w:cstheme="minorHAnsi"/>
                <w:b/>
                <w:color w:val="000000" w:themeColor="text1"/>
              </w:rPr>
            </w:pPr>
            <w:r>
              <w:rPr>
                <w:rFonts w:cstheme="minorHAnsi"/>
                <w:b/>
                <w:color w:val="000000" w:themeColor="text1"/>
              </w:rPr>
              <w:t>Nivel</w:t>
            </w:r>
          </w:p>
        </w:tc>
        <w:tc>
          <w:tcPr>
            <w:tcW w:w="7161" w:type="dxa"/>
          </w:tcPr>
          <w:p w14:paraId="657C7663" w14:textId="77777777" w:rsidR="0076384B" w:rsidRPr="00F27296" w:rsidRDefault="0076384B" w:rsidP="00274E5D">
            <w:pPr>
              <w:rPr>
                <w:rFonts w:cstheme="minorHAnsi"/>
                <w:color w:val="000000" w:themeColor="text1"/>
              </w:rPr>
            </w:pPr>
            <w:r>
              <w:rPr>
                <w:rFonts w:cstheme="minorHAnsi"/>
                <w:color w:val="000000" w:themeColor="text1"/>
              </w:rPr>
              <w:t>I Cuatrimestre</w:t>
            </w:r>
          </w:p>
        </w:tc>
      </w:tr>
      <w:tr w:rsidR="0076384B" w:rsidRPr="00F27296" w14:paraId="54ED8982" w14:textId="77777777" w:rsidTr="00323789">
        <w:tc>
          <w:tcPr>
            <w:tcW w:w="1667" w:type="dxa"/>
          </w:tcPr>
          <w:p w14:paraId="2D6F5979" w14:textId="77777777" w:rsidR="0076384B" w:rsidRPr="00F27296" w:rsidRDefault="0076384B" w:rsidP="00274E5D">
            <w:pPr>
              <w:rPr>
                <w:rFonts w:cstheme="minorHAnsi"/>
                <w:b/>
                <w:color w:val="000000" w:themeColor="text1"/>
              </w:rPr>
            </w:pPr>
            <w:r w:rsidRPr="00F27296">
              <w:rPr>
                <w:rFonts w:cstheme="minorHAnsi"/>
                <w:b/>
                <w:color w:val="000000" w:themeColor="text1"/>
              </w:rPr>
              <w:t>Horario</w:t>
            </w:r>
          </w:p>
        </w:tc>
        <w:tc>
          <w:tcPr>
            <w:tcW w:w="7161" w:type="dxa"/>
          </w:tcPr>
          <w:p w14:paraId="23C84436" w14:textId="77777777" w:rsidR="0076384B" w:rsidRPr="00F27296" w:rsidRDefault="0076384B" w:rsidP="00274E5D">
            <w:pPr>
              <w:rPr>
                <w:rFonts w:cstheme="minorHAnsi"/>
                <w:color w:val="000000" w:themeColor="text1"/>
              </w:rPr>
            </w:pPr>
            <w:r w:rsidRPr="00F27296">
              <w:rPr>
                <w:rFonts w:cstheme="minorHAnsi"/>
                <w:color w:val="000000" w:themeColor="text1"/>
              </w:rPr>
              <w:t>El curso requiere de 12 horas de trabajo semanal</w:t>
            </w:r>
          </w:p>
        </w:tc>
      </w:tr>
      <w:tr w:rsidR="0076384B" w:rsidRPr="00F27296" w14:paraId="35530341" w14:textId="77777777" w:rsidTr="00323789">
        <w:tc>
          <w:tcPr>
            <w:tcW w:w="1667" w:type="dxa"/>
          </w:tcPr>
          <w:p w14:paraId="37C11B6A" w14:textId="77777777" w:rsidR="0076384B" w:rsidRPr="00F27296" w:rsidRDefault="0076384B" w:rsidP="00274E5D">
            <w:pPr>
              <w:rPr>
                <w:rFonts w:cstheme="minorHAnsi"/>
                <w:b/>
                <w:color w:val="000000" w:themeColor="text1"/>
              </w:rPr>
            </w:pPr>
            <w:r w:rsidRPr="00F27296">
              <w:rPr>
                <w:rFonts w:cstheme="minorHAnsi"/>
                <w:b/>
                <w:color w:val="000000" w:themeColor="text1"/>
              </w:rPr>
              <w:t>Aula</w:t>
            </w:r>
          </w:p>
        </w:tc>
        <w:tc>
          <w:tcPr>
            <w:tcW w:w="7161" w:type="dxa"/>
          </w:tcPr>
          <w:p w14:paraId="06458D86" w14:textId="77777777" w:rsidR="0076384B" w:rsidRPr="00F27296" w:rsidRDefault="0076384B" w:rsidP="00274E5D">
            <w:pPr>
              <w:rPr>
                <w:rFonts w:cstheme="minorHAnsi"/>
                <w:color w:val="000000" w:themeColor="text1"/>
              </w:rPr>
            </w:pPr>
            <w:r w:rsidRPr="00F27296">
              <w:rPr>
                <w:rFonts w:cstheme="minorHAnsi"/>
                <w:color w:val="000000" w:themeColor="text1"/>
              </w:rPr>
              <w:t>Plataforma virtual de la UBL</w:t>
            </w:r>
          </w:p>
        </w:tc>
      </w:tr>
      <w:tr w:rsidR="0076384B" w:rsidRPr="00F27296" w14:paraId="6A04470E" w14:textId="77777777" w:rsidTr="00323789">
        <w:tc>
          <w:tcPr>
            <w:tcW w:w="1667" w:type="dxa"/>
          </w:tcPr>
          <w:p w14:paraId="4CB0A995" w14:textId="77777777" w:rsidR="0076384B" w:rsidRPr="00B11597" w:rsidRDefault="0076384B" w:rsidP="00274E5D">
            <w:pPr>
              <w:rPr>
                <w:rFonts w:cstheme="minorHAnsi"/>
                <w:b/>
                <w:color w:val="000000" w:themeColor="text1"/>
              </w:rPr>
            </w:pPr>
            <w:r>
              <w:rPr>
                <w:rFonts w:cstheme="minorHAnsi"/>
                <w:b/>
                <w:color w:val="000000" w:themeColor="text1"/>
              </w:rPr>
              <w:t>Docente</w:t>
            </w:r>
          </w:p>
        </w:tc>
        <w:tc>
          <w:tcPr>
            <w:tcW w:w="7161" w:type="dxa"/>
          </w:tcPr>
          <w:p w14:paraId="30669238" w14:textId="77777777" w:rsidR="0076384B" w:rsidRPr="00F27296" w:rsidRDefault="0076384B" w:rsidP="00274E5D">
            <w:pPr>
              <w:rPr>
                <w:rFonts w:cstheme="minorHAnsi"/>
                <w:color w:val="000000" w:themeColor="text1"/>
              </w:rPr>
            </w:pPr>
          </w:p>
        </w:tc>
      </w:tr>
      <w:tr w:rsidR="0076384B" w:rsidRPr="00F27296" w14:paraId="08D1878A" w14:textId="77777777" w:rsidTr="00481EED">
        <w:tc>
          <w:tcPr>
            <w:tcW w:w="1667" w:type="dxa"/>
            <w:vAlign w:val="center"/>
          </w:tcPr>
          <w:p w14:paraId="4126E6B0" w14:textId="77777777" w:rsidR="0076384B" w:rsidRPr="00F27296" w:rsidRDefault="0076384B" w:rsidP="00481EED">
            <w:pPr>
              <w:rPr>
                <w:rFonts w:cstheme="minorHAnsi"/>
                <w:color w:val="000000" w:themeColor="text1"/>
              </w:rPr>
            </w:pPr>
            <w:r w:rsidRPr="00F27296">
              <w:rPr>
                <w:rFonts w:cstheme="minorHAnsi"/>
                <w:b/>
                <w:color w:val="000000" w:themeColor="text1"/>
              </w:rPr>
              <w:t>Instrucciones administrativas</w:t>
            </w:r>
          </w:p>
        </w:tc>
        <w:tc>
          <w:tcPr>
            <w:tcW w:w="7161" w:type="dxa"/>
          </w:tcPr>
          <w:p w14:paraId="0C6CB86B" w14:textId="77777777" w:rsidR="0076384B" w:rsidRDefault="0076384B" w:rsidP="00481EED">
            <w:pPr>
              <w:jc w:val="both"/>
              <w:rPr>
                <w:rFonts w:cstheme="minorHAnsi"/>
              </w:rPr>
            </w:pPr>
            <w:r w:rsidRPr="00F27296">
              <w:rPr>
                <w:rFonts w:cstheme="minorHAnsi"/>
                <w:color w:val="000000" w:themeColor="text1"/>
              </w:rPr>
              <w:t>El curso es virtual, por lo que se requiere de acceso a una computadora con conexión a Internet, además de destrezas básicas para el manejo de correo electrónico y la plataforma Moodle desde el rol de estudiante.</w:t>
            </w:r>
            <w:r>
              <w:rPr>
                <w:rFonts w:cstheme="minorHAnsi"/>
              </w:rPr>
              <w:t xml:space="preserve"> La dirección de acceso a la plataforma es la siguiente:</w:t>
            </w:r>
          </w:p>
          <w:p w14:paraId="41EBA97A" w14:textId="77777777" w:rsidR="0076384B" w:rsidRPr="00F27296" w:rsidRDefault="00DD16F2" w:rsidP="00481EED">
            <w:pPr>
              <w:jc w:val="both"/>
              <w:rPr>
                <w:rFonts w:cstheme="minorHAnsi"/>
                <w:color w:val="000000" w:themeColor="text1"/>
              </w:rPr>
            </w:pPr>
            <w:hyperlink r:id="rId72" w:history="1">
              <w:r w:rsidR="0076384B" w:rsidRPr="00B96849">
                <w:rPr>
                  <w:rStyle w:val="Hipervnculo"/>
                  <w:rFonts w:cstheme="minorHAnsi"/>
                </w:rPr>
                <w:t>https://campus.ubl.ac.cr/login/index.php</w:t>
              </w:r>
            </w:hyperlink>
          </w:p>
        </w:tc>
      </w:tr>
    </w:tbl>
    <w:p w14:paraId="694960EB" w14:textId="77777777" w:rsidR="0076384B" w:rsidRPr="00F27296" w:rsidRDefault="0076384B" w:rsidP="009C3E07">
      <w:pPr>
        <w:jc w:val="both"/>
        <w:rPr>
          <w:rFonts w:cstheme="minorHAnsi"/>
          <w:b/>
          <w:bCs/>
          <w:color w:val="000000" w:themeColor="text1"/>
        </w:rPr>
      </w:pPr>
    </w:p>
    <w:p w14:paraId="3F180285" w14:textId="77777777" w:rsidR="0076384B" w:rsidRPr="00F27296" w:rsidRDefault="0076384B" w:rsidP="009C3E07">
      <w:pPr>
        <w:jc w:val="both"/>
        <w:rPr>
          <w:rFonts w:cstheme="minorHAnsi"/>
          <w:b/>
          <w:bCs/>
          <w:color w:val="000000" w:themeColor="text1"/>
        </w:rPr>
      </w:pPr>
      <w:r>
        <w:rPr>
          <w:rFonts w:cstheme="minorHAnsi"/>
          <w:b/>
          <w:bCs/>
          <w:color w:val="000000" w:themeColor="text1"/>
        </w:rPr>
        <w:t xml:space="preserve">I. </w:t>
      </w:r>
      <w:r w:rsidRPr="00F27296">
        <w:rPr>
          <w:rFonts w:cstheme="minorHAnsi"/>
          <w:b/>
          <w:bCs/>
          <w:color w:val="000000" w:themeColor="text1"/>
        </w:rPr>
        <w:t>Descripción</w:t>
      </w:r>
    </w:p>
    <w:p w14:paraId="1725786B" w14:textId="3BCF6122" w:rsidR="0076384B" w:rsidRDefault="0076384B" w:rsidP="009C3E07">
      <w:pPr>
        <w:jc w:val="both"/>
        <w:rPr>
          <w:rFonts w:cstheme="minorHAnsi"/>
          <w:color w:val="000000" w:themeColor="text1"/>
        </w:rPr>
      </w:pPr>
      <w:r w:rsidRPr="00F27296">
        <w:rPr>
          <w:rFonts w:cstheme="minorHAnsi"/>
          <w:color w:val="000000" w:themeColor="text1"/>
        </w:rPr>
        <w:t>El curso propone los fundamentos necesario</w:t>
      </w:r>
      <w:r>
        <w:rPr>
          <w:rFonts w:cstheme="minorHAnsi"/>
          <w:color w:val="000000" w:themeColor="text1"/>
        </w:rPr>
        <w:t xml:space="preserve">s para acceder a la carrera de </w:t>
      </w:r>
      <w:r w:rsidR="0028546D">
        <w:rPr>
          <w:rFonts w:cstheme="minorHAnsi"/>
          <w:color w:val="000000" w:themeColor="text1"/>
        </w:rPr>
        <w:t>Ciencias Bíblicas</w:t>
      </w:r>
      <w:r w:rsidRPr="00F27296">
        <w:rPr>
          <w:rFonts w:cstheme="minorHAnsi"/>
          <w:color w:val="000000" w:themeColor="text1"/>
        </w:rPr>
        <w:t>, sus fuentes, sus problemas, y la producción literaria que la sustenta, por medio de una perspectiva histórica del desarrollo del pueblo de Israel, del cristianismo primitivo, de la formación del texto y del canon bíblico. Además, ofrece una panorámica histórica del desarrollo de las ciencias bíblicas señalando a autores y escuelas de pensamiento más relevantes.  También le abre al estudiante, de manera introductoria, el mundo literario contemporáneo a los escritos bíblicos.</w:t>
      </w:r>
    </w:p>
    <w:p w14:paraId="1F01C0EC" w14:textId="77777777" w:rsidR="00484BB1" w:rsidRDefault="00484BB1" w:rsidP="009C3E07">
      <w:pPr>
        <w:jc w:val="both"/>
        <w:rPr>
          <w:rFonts w:cstheme="minorHAnsi"/>
          <w:color w:val="000000" w:themeColor="text1"/>
        </w:rPr>
      </w:pPr>
    </w:p>
    <w:p w14:paraId="00F19923" w14:textId="77777777" w:rsidR="00484BB1" w:rsidRPr="00F27296" w:rsidRDefault="00484BB1" w:rsidP="009C3E07">
      <w:pPr>
        <w:jc w:val="both"/>
        <w:rPr>
          <w:rFonts w:cstheme="minorHAnsi"/>
          <w:color w:val="000000" w:themeColor="text1"/>
        </w:rPr>
      </w:pPr>
    </w:p>
    <w:p w14:paraId="1775807F" w14:textId="442E3BA0" w:rsidR="0076384B" w:rsidRPr="00F27296" w:rsidRDefault="00484BB1" w:rsidP="009C3E07">
      <w:pPr>
        <w:jc w:val="both"/>
        <w:rPr>
          <w:rFonts w:cstheme="minorHAnsi"/>
          <w:b/>
          <w:bCs/>
          <w:color w:val="000000" w:themeColor="text1"/>
        </w:rPr>
      </w:pPr>
      <w:r>
        <w:rPr>
          <w:rFonts w:cstheme="minorHAnsi"/>
          <w:b/>
          <w:color w:val="000000" w:themeColor="text1"/>
        </w:rPr>
        <w:t>I</w:t>
      </w:r>
      <w:r w:rsidR="0076384B" w:rsidRPr="00F27296">
        <w:rPr>
          <w:rFonts w:cstheme="minorHAnsi"/>
          <w:b/>
          <w:color w:val="000000" w:themeColor="text1"/>
        </w:rPr>
        <w:t xml:space="preserve">I. </w:t>
      </w:r>
      <w:r w:rsidR="0076384B" w:rsidRPr="00F27296">
        <w:rPr>
          <w:rFonts w:cstheme="minorHAnsi"/>
          <w:b/>
          <w:bCs/>
          <w:color w:val="000000" w:themeColor="text1"/>
        </w:rPr>
        <w:t>Objetivo general</w:t>
      </w:r>
    </w:p>
    <w:p w14:paraId="11CF4C06" w14:textId="77777777" w:rsidR="0076384B" w:rsidRDefault="0076384B" w:rsidP="009C3E07">
      <w:pPr>
        <w:jc w:val="both"/>
        <w:rPr>
          <w:rFonts w:cstheme="minorHAnsi"/>
          <w:color w:val="000000" w:themeColor="text1"/>
        </w:rPr>
      </w:pPr>
      <w:r w:rsidRPr="00F27296">
        <w:rPr>
          <w:rFonts w:cstheme="minorHAnsi"/>
          <w:color w:val="000000" w:themeColor="text1"/>
        </w:rPr>
        <w:t>Explicar los instrumentos conceptuales básicos que permitan a la persona el acceso al objeto de estudio de la carrera, las fuentes, los problemas y la producción literaria que la sustenta.</w:t>
      </w:r>
    </w:p>
    <w:p w14:paraId="31ECDA33" w14:textId="77777777" w:rsidR="0076384B" w:rsidRDefault="0076384B" w:rsidP="00025B54">
      <w:pPr>
        <w:jc w:val="both"/>
        <w:rPr>
          <w:rFonts w:cstheme="minorHAnsi"/>
          <w:b/>
          <w:bCs/>
          <w:iCs/>
          <w:color w:val="000000" w:themeColor="text1"/>
        </w:rPr>
      </w:pPr>
      <w:r w:rsidRPr="00F27296">
        <w:rPr>
          <w:rFonts w:cstheme="minorHAnsi"/>
          <w:b/>
          <w:bCs/>
          <w:iCs/>
          <w:color w:val="000000" w:themeColor="text1"/>
        </w:rPr>
        <w:t>III. Objetivos específicos</w:t>
      </w:r>
    </w:p>
    <w:p w14:paraId="313862AF" w14:textId="77777777" w:rsidR="0076384B" w:rsidRDefault="0076384B" w:rsidP="00484BB1">
      <w:pPr>
        <w:spacing w:after="0" w:line="276" w:lineRule="auto"/>
        <w:jc w:val="both"/>
        <w:rPr>
          <w:rFonts w:cstheme="minorHAnsi"/>
          <w:bCs/>
          <w:iCs/>
          <w:color w:val="000000" w:themeColor="text1"/>
        </w:rPr>
      </w:pPr>
      <w:r>
        <w:rPr>
          <w:rFonts w:cstheme="minorHAnsi"/>
          <w:bCs/>
          <w:iCs/>
          <w:color w:val="000000" w:themeColor="text1"/>
        </w:rPr>
        <w:t xml:space="preserve">1. Explicar el proceso histórico de desarrollo de las Ciencias Bíblicas. </w:t>
      </w:r>
    </w:p>
    <w:p w14:paraId="28D0CC68" w14:textId="77777777" w:rsidR="0076384B" w:rsidRDefault="0076384B" w:rsidP="00484BB1">
      <w:pPr>
        <w:spacing w:after="0" w:line="276" w:lineRule="auto"/>
        <w:jc w:val="both"/>
        <w:rPr>
          <w:rFonts w:cstheme="minorHAnsi"/>
          <w:bCs/>
          <w:iCs/>
          <w:color w:val="000000" w:themeColor="text1"/>
        </w:rPr>
      </w:pPr>
      <w:r>
        <w:rPr>
          <w:rFonts w:cstheme="minorHAnsi"/>
          <w:bCs/>
          <w:iCs/>
          <w:color w:val="000000" w:themeColor="text1"/>
        </w:rPr>
        <w:t xml:space="preserve">2. Explicar los momentos clave de la historia de Israel y del cristianismo primitivo. </w:t>
      </w:r>
    </w:p>
    <w:p w14:paraId="0FB94FE4" w14:textId="77777777" w:rsidR="0076384B" w:rsidRPr="00025B54" w:rsidRDefault="0076384B" w:rsidP="00484BB1">
      <w:pPr>
        <w:spacing w:after="0" w:line="276" w:lineRule="auto"/>
        <w:jc w:val="both"/>
        <w:rPr>
          <w:rFonts w:cstheme="minorHAnsi"/>
          <w:bCs/>
          <w:iCs/>
          <w:color w:val="000000" w:themeColor="text1"/>
        </w:rPr>
      </w:pPr>
      <w:r>
        <w:rPr>
          <w:rFonts w:cstheme="minorHAnsi"/>
          <w:bCs/>
          <w:iCs/>
          <w:color w:val="000000" w:themeColor="text1"/>
        </w:rPr>
        <w:t>3. Describir los procesos de composición del texto bíblico y de definición del canon.</w:t>
      </w:r>
    </w:p>
    <w:p w14:paraId="22E50FC3" w14:textId="77777777" w:rsidR="00345767" w:rsidRDefault="00345767" w:rsidP="00F02816">
      <w:pPr>
        <w:jc w:val="both"/>
        <w:rPr>
          <w:rFonts w:cstheme="minorHAnsi"/>
          <w:b/>
          <w:bCs/>
          <w:iCs/>
          <w:color w:val="000000" w:themeColor="text1"/>
        </w:rPr>
      </w:pPr>
    </w:p>
    <w:p w14:paraId="4F636C4E" w14:textId="7EA1DE96" w:rsidR="0076384B" w:rsidRDefault="0076384B" w:rsidP="00F02816">
      <w:pPr>
        <w:jc w:val="both"/>
        <w:rPr>
          <w:rFonts w:cstheme="minorHAnsi"/>
          <w:b/>
          <w:bCs/>
          <w:iCs/>
          <w:color w:val="000000" w:themeColor="text1"/>
        </w:rPr>
      </w:pPr>
      <w:r w:rsidRPr="00F27296">
        <w:rPr>
          <w:rFonts w:cstheme="minorHAnsi"/>
          <w:b/>
          <w:bCs/>
          <w:iCs/>
          <w:color w:val="000000" w:themeColor="text1"/>
        </w:rPr>
        <w:t>IV</w:t>
      </w:r>
      <w:r>
        <w:rPr>
          <w:rFonts w:cstheme="minorHAnsi"/>
          <w:b/>
          <w:bCs/>
          <w:iCs/>
          <w:color w:val="000000" w:themeColor="text1"/>
        </w:rPr>
        <w:t xml:space="preserve">. </w:t>
      </w:r>
      <w:r w:rsidRPr="00F27296">
        <w:rPr>
          <w:rFonts w:cstheme="minorHAnsi"/>
          <w:b/>
          <w:bCs/>
          <w:iCs/>
          <w:color w:val="000000" w:themeColor="text1"/>
        </w:rPr>
        <w:t>C</w:t>
      </w:r>
      <w:r w:rsidR="00484BB1">
        <w:rPr>
          <w:rFonts w:cstheme="minorHAnsi"/>
          <w:b/>
          <w:bCs/>
          <w:iCs/>
          <w:color w:val="000000" w:themeColor="text1"/>
        </w:rPr>
        <w:t>o</w:t>
      </w:r>
      <w:r w:rsidRPr="00F27296">
        <w:rPr>
          <w:rFonts w:cstheme="minorHAnsi"/>
          <w:b/>
          <w:bCs/>
          <w:iCs/>
          <w:color w:val="000000" w:themeColor="text1"/>
        </w:rPr>
        <w:t>ntenidos</w:t>
      </w:r>
      <w:r>
        <w:rPr>
          <w:rFonts w:cstheme="minorHAnsi"/>
          <w:b/>
          <w:bCs/>
          <w:iCs/>
          <w:color w:val="000000" w:themeColor="text1"/>
        </w:rPr>
        <w:t xml:space="preserve"> </w:t>
      </w:r>
    </w:p>
    <w:p w14:paraId="6800559C" w14:textId="77777777" w:rsidR="0076384B" w:rsidRPr="00F27296" w:rsidRDefault="0076384B" w:rsidP="00484BB1">
      <w:pPr>
        <w:spacing w:after="0" w:line="360" w:lineRule="auto"/>
        <w:jc w:val="both"/>
        <w:rPr>
          <w:rFonts w:cstheme="minorHAnsi"/>
          <w:b/>
          <w:bCs/>
          <w:color w:val="000000" w:themeColor="text1"/>
        </w:rPr>
      </w:pPr>
      <w:r>
        <w:rPr>
          <w:rFonts w:cstheme="minorHAnsi"/>
          <w:b/>
          <w:bCs/>
          <w:color w:val="000000" w:themeColor="text1"/>
        </w:rPr>
        <w:t>U</w:t>
      </w:r>
      <w:r w:rsidRPr="00F27296">
        <w:rPr>
          <w:rFonts w:cstheme="minorHAnsi"/>
          <w:b/>
          <w:bCs/>
          <w:color w:val="000000" w:themeColor="text1"/>
        </w:rPr>
        <w:t>nidad 1: Historia de la Biblia I</w:t>
      </w:r>
    </w:p>
    <w:p w14:paraId="6FE14219" w14:textId="77777777" w:rsidR="0076384B" w:rsidRPr="00F27296" w:rsidRDefault="0076384B" w:rsidP="00484BB1">
      <w:pPr>
        <w:spacing w:after="0" w:line="360" w:lineRule="auto"/>
        <w:jc w:val="both"/>
        <w:rPr>
          <w:rFonts w:cstheme="minorHAnsi"/>
          <w:b/>
          <w:bCs/>
          <w:color w:val="000000" w:themeColor="text1"/>
        </w:rPr>
      </w:pPr>
      <w:r w:rsidRPr="00F27296">
        <w:rPr>
          <w:rFonts w:cstheme="minorHAnsi"/>
          <w:color w:val="000000" w:themeColor="text1"/>
        </w:rPr>
        <w:t>1.1 ¿En qué consiste el objeto de estudio de las ciencias bíblicas?</w:t>
      </w:r>
    </w:p>
    <w:p w14:paraId="2FB19FA9"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1.2 Historia del texto bíblico</w:t>
      </w:r>
    </w:p>
    <w:p w14:paraId="4C46E37F"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1.3 Historia del canon de la Biblia</w:t>
      </w:r>
    </w:p>
    <w:p w14:paraId="46E52692" w14:textId="77777777" w:rsidR="0076384B" w:rsidRPr="00F27296" w:rsidRDefault="0076384B" w:rsidP="00484BB1">
      <w:pPr>
        <w:spacing w:after="0" w:line="360" w:lineRule="auto"/>
        <w:jc w:val="both"/>
        <w:rPr>
          <w:rFonts w:cstheme="minorHAnsi"/>
          <w:b/>
          <w:bCs/>
          <w:color w:val="000000" w:themeColor="text1"/>
        </w:rPr>
      </w:pPr>
      <w:r w:rsidRPr="00F27296">
        <w:rPr>
          <w:rFonts w:cstheme="minorHAnsi"/>
          <w:b/>
          <w:bCs/>
          <w:color w:val="000000" w:themeColor="text1"/>
        </w:rPr>
        <w:t>Unidad 2: Historia de la Biblia II</w:t>
      </w:r>
    </w:p>
    <w:p w14:paraId="60058A4D"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2.1 Historia del antiguo Israel</w:t>
      </w:r>
    </w:p>
    <w:p w14:paraId="4F978EF4" w14:textId="77777777" w:rsidR="0076384B" w:rsidRPr="00F27296" w:rsidRDefault="0076384B" w:rsidP="00484BB1">
      <w:pPr>
        <w:spacing w:after="0" w:line="360" w:lineRule="auto"/>
        <w:jc w:val="both"/>
        <w:rPr>
          <w:rFonts w:cstheme="minorHAnsi"/>
          <w:b/>
          <w:bCs/>
          <w:color w:val="000000" w:themeColor="text1"/>
        </w:rPr>
      </w:pPr>
      <w:r w:rsidRPr="00F27296">
        <w:rPr>
          <w:rFonts w:cstheme="minorHAnsi"/>
          <w:color w:val="000000" w:themeColor="text1"/>
        </w:rPr>
        <w:t>2.2 Historia del cristianismo primitivo</w:t>
      </w:r>
    </w:p>
    <w:p w14:paraId="2555A3D9" w14:textId="77777777" w:rsidR="0076384B" w:rsidRPr="00F27296" w:rsidRDefault="0076384B" w:rsidP="00484BB1">
      <w:pPr>
        <w:spacing w:after="0" w:line="360" w:lineRule="auto"/>
        <w:jc w:val="both"/>
        <w:rPr>
          <w:rFonts w:cstheme="minorHAnsi"/>
          <w:b/>
          <w:bCs/>
          <w:color w:val="000000" w:themeColor="text1"/>
        </w:rPr>
      </w:pPr>
      <w:r w:rsidRPr="00F27296">
        <w:rPr>
          <w:rFonts w:cstheme="minorHAnsi"/>
          <w:b/>
          <w:bCs/>
          <w:color w:val="000000" w:themeColor="text1"/>
        </w:rPr>
        <w:t xml:space="preserve">Unidad 3: </w:t>
      </w:r>
      <w:r>
        <w:rPr>
          <w:rFonts w:cstheme="minorHAnsi"/>
          <w:b/>
          <w:bCs/>
          <w:color w:val="000000" w:themeColor="text1"/>
        </w:rPr>
        <w:t>La c</w:t>
      </w:r>
      <w:r w:rsidRPr="00F27296">
        <w:rPr>
          <w:rFonts w:cstheme="minorHAnsi"/>
          <w:b/>
          <w:bCs/>
          <w:color w:val="000000" w:themeColor="text1"/>
        </w:rPr>
        <w:t xml:space="preserve">rítica </w:t>
      </w:r>
      <w:r>
        <w:rPr>
          <w:rFonts w:cstheme="minorHAnsi"/>
          <w:b/>
          <w:bCs/>
          <w:color w:val="000000" w:themeColor="text1"/>
        </w:rPr>
        <w:t>t</w:t>
      </w:r>
      <w:r w:rsidRPr="00F27296">
        <w:rPr>
          <w:rFonts w:cstheme="minorHAnsi"/>
          <w:b/>
          <w:bCs/>
          <w:color w:val="000000" w:themeColor="text1"/>
        </w:rPr>
        <w:t>extual de la Biblia</w:t>
      </w:r>
    </w:p>
    <w:p w14:paraId="617B9166"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3.1 Crítica textual del AT</w:t>
      </w:r>
    </w:p>
    <w:p w14:paraId="5C85E087"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3.2 Crítica textual del NT</w:t>
      </w:r>
    </w:p>
    <w:p w14:paraId="7B4BAC66" w14:textId="77777777" w:rsidR="0076384B" w:rsidRPr="00F27296" w:rsidRDefault="0076384B" w:rsidP="00484BB1">
      <w:pPr>
        <w:spacing w:after="0" w:line="360" w:lineRule="auto"/>
        <w:jc w:val="both"/>
        <w:rPr>
          <w:b/>
          <w:bCs/>
          <w:color w:val="000000" w:themeColor="text1"/>
          <w:lang w:val="es-ES"/>
        </w:rPr>
      </w:pPr>
      <w:r w:rsidRPr="1B8DFF3C">
        <w:rPr>
          <w:b/>
          <w:bCs/>
          <w:color w:val="000000" w:themeColor="text1"/>
          <w:lang w:val="es-ES"/>
        </w:rPr>
        <w:t xml:space="preserve">Unidad 4: Literatura </w:t>
      </w:r>
      <w:proofErr w:type="spellStart"/>
      <w:r w:rsidRPr="1B8DFF3C">
        <w:rPr>
          <w:b/>
          <w:bCs/>
          <w:color w:val="000000" w:themeColor="text1"/>
          <w:lang w:val="es-ES"/>
        </w:rPr>
        <w:t>Para-bíblica</w:t>
      </w:r>
      <w:proofErr w:type="spellEnd"/>
    </w:p>
    <w:p w14:paraId="2121C017"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4.1 Literatura cristiana primitiva: libros canónicos y apócrifos</w:t>
      </w:r>
    </w:p>
    <w:p w14:paraId="26D2EFB9" w14:textId="77777777" w:rsidR="0076384B" w:rsidRPr="00F27296" w:rsidRDefault="0076384B" w:rsidP="00484BB1">
      <w:pPr>
        <w:spacing w:after="0" w:line="360" w:lineRule="auto"/>
        <w:jc w:val="both"/>
        <w:rPr>
          <w:b/>
          <w:bCs/>
          <w:color w:val="000000" w:themeColor="text1"/>
          <w:lang w:val="es-ES"/>
        </w:rPr>
      </w:pPr>
      <w:r w:rsidRPr="1B8DFF3C">
        <w:rPr>
          <w:color w:val="000000" w:themeColor="text1"/>
          <w:lang w:val="es-ES"/>
        </w:rPr>
        <w:t xml:space="preserve">4.2 Antiguo Testamento: texto hebreo y </w:t>
      </w:r>
      <w:proofErr w:type="spellStart"/>
      <w:r w:rsidRPr="1B8DFF3C">
        <w:rPr>
          <w:color w:val="000000" w:themeColor="text1"/>
          <w:lang w:val="es-ES"/>
        </w:rPr>
        <w:t>targumim</w:t>
      </w:r>
      <w:proofErr w:type="spellEnd"/>
      <w:r w:rsidRPr="1B8DFF3C">
        <w:rPr>
          <w:color w:val="000000" w:themeColor="text1"/>
          <w:lang w:val="es-ES"/>
        </w:rPr>
        <w:t xml:space="preserve"> arameos</w:t>
      </w:r>
    </w:p>
    <w:p w14:paraId="05435CFC" w14:textId="77777777" w:rsidR="0076384B" w:rsidRPr="00F27296" w:rsidRDefault="0076384B" w:rsidP="00484BB1">
      <w:pPr>
        <w:spacing w:after="0" w:line="360" w:lineRule="auto"/>
        <w:jc w:val="both"/>
        <w:rPr>
          <w:rFonts w:cstheme="minorHAnsi"/>
          <w:b/>
          <w:bCs/>
          <w:color w:val="000000" w:themeColor="text1"/>
        </w:rPr>
      </w:pPr>
      <w:r w:rsidRPr="00F27296">
        <w:rPr>
          <w:rFonts w:cstheme="minorHAnsi"/>
          <w:color w:val="000000" w:themeColor="text1"/>
        </w:rPr>
        <w:t xml:space="preserve">4.3 Antiguo Testamento: </w:t>
      </w:r>
      <w:r>
        <w:rPr>
          <w:rFonts w:cstheme="minorHAnsi"/>
          <w:color w:val="000000" w:themeColor="text1"/>
        </w:rPr>
        <w:t>t</w:t>
      </w:r>
      <w:r w:rsidRPr="00F27296">
        <w:rPr>
          <w:rFonts w:cstheme="minorHAnsi"/>
          <w:color w:val="000000" w:themeColor="text1"/>
        </w:rPr>
        <w:t>exto griego (LXX)</w:t>
      </w:r>
    </w:p>
    <w:p w14:paraId="0452DBAF"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 xml:space="preserve">4.4 Nuevo Testamento: </w:t>
      </w:r>
      <w:r>
        <w:rPr>
          <w:rFonts w:cstheme="minorHAnsi"/>
          <w:color w:val="000000" w:themeColor="text1"/>
        </w:rPr>
        <w:t>t</w:t>
      </w:r>
      <w:r w:rsidRPr="00F27296">
        <w:rPr>
          <w:rFonts w:cstheme="minorHAnsi"/>
          <w:color w:val="000000" w:themeColor="text1"/>
        </w:rPr>
        <w:t>exto griego</w:t>
      </w:r>
    </w:p>
    <w:p w14:paraId="3509B14D" w14:textId="77777777" w:rsidR="0076384B" w:rsidRPr="00F27296" w:rsidRDefault="0076384B" w:rsidP="00484BB1">
      <w:pPr>
        <w:spacing w:after="0" w:line="360" w:lineRule="auto"/>
        <w:jc w:val="both"/>
        <w:rPr>
          <w:rFonts w:cstheme="minorHAnsi"/>
          <w:b/>
          <w:bCs/>
          <w:color w:val="000000" w:themeColor="text1"/>
        </w:rPr>
      </w:pPr>
      <w:r>
        <w:rPr>
          <w:rFonts w:cstheme="minorHAnsi"/>
          <w:b/>
          <w:bCs/>
          <w:color w:val="000000" w:themeColor="text1"/>
        </w:rPr>
        <w:t>Unidad 5: Biblia y H</w:t>
      </w:r>
      <w:r w:rsidRPr="00F27296">
        <w:rPr>
          <w:rFonts w:cstheme="minorHAnsi"/>
          <w:b/>
          <w:bCs/>
          <w:color w:val="000000" w:themeColor="text1"/>
        </w:rPr>
        <w:t>ermenéutica</w:t>
      </w:r>
    </w:p>
    <w:p w14:paraId="4FE3A6EC" w14:textId="77777777" w:rsidR="0076384B" w:rsidRPr="00F27296" w:rsidRDefault="0076384B" w:rsidP="00484BB1">
      <w:pPr>
        <w:spacing w:after="0" w:line="360" w:lineRule="auto"/>
        <w:jc w:val="both"/>
        <w:rPr>
          <w:rFonts w:cstheme="minorHAnsi"/>
          <w:color w:val="000000" w:themeColor="text1"/>
        </w:rPr>
      </w:pPr>
      <w:r w:rsidRPr="00F27296">
        <w:rPr>
          <w:rFonts w:cstheme="minorHAnsi"/>
          <w:color w:val="000000" w:themeColor="text1"/>
        </w:rPr>
        <w:t>5.1 Biblia y hermenéutica: Gadamer y Ricoeur</w:t>
      </w:r>
    </w:p>
    <w:p w14:paraId="6B877E4E" w14:textId="77777777" w:rsidR="0076384B" w:rsidRDefault="0076384B" w:rsidP="00484BB1">
      <w:pPr>
        <w:spacing w:after="0" w:line="360" w:lineRule="auto"/>
        <w:jc w:val="both"/>
        <w:rPr>
          <w:rFonts w:cstheme="minorHAnsi"/>
          <w:color w:val="000000" w:themeColor="text1"/>
        </w:rPr>
      </w:pPr>
      <w:r w:rsidRPr="00F27296">
        <w:rPr>
          <w:rFonts w:cstheme="minorHAnsi"/>
          <w:color w:val="000000" w:themeColor="text1"/>
        </w:rPr>
        <w:t>5.2 Biblia y hermenéutica: América Latina</w:t>
      </w:r>
    </w:p>
    <w:p w14:paraId="4805569E" w14:textId="77777777" w:rsidR="0076384B" w:rsidRDefault="0076384B" w:rsidP="00484BB1">
      <w:pPr>
        <w:spacing w:after="0" w:line="360" w:lineRule="auto"/>
        <w:jc w:val="both"/>
        <w:rPr>
          <w:rFonts w:cstheme="minorHAnsi"/>
          <w:color w:val="000000" w:themeColor="text1"/>
        </w:rPr>
      </w:pPr>
      <w:r>
        <w:rPr>
          <w:rFonts w:cstheme="minorHAnsi"/>
          <w:color w:val="000000" w:themeColor="text1"/>
        </w:rPr>
        <w:t>5.3 Síntesis</w:t>
      </w:r>
    </w:p>
    <w:p w14:paraId="0FD8D4FA" w14:textId="77777777" w:rsidR="0076384B" w:rsidRDefault="0076384B" w:rsidP="00B522C4">
      <w:pPr>
        <w:jc w:val="both"/>
        <w:rPr>
          <w:rFonts w:cstheme="minorHAnsi"/>
          <w:color w:val="000000" w:themeColor="text1"/>
        </w:rPr>
      </w:pPr>
    </w:p>
    <w:p w14:paraId="553B7366" w14:textId="77777777" w:rsidR="00484BB1" w:rsidRDefault="00484BB1" w:rsidP="00B522C4">
      <w:pPr>
        <w:jc w:val="both"/>
        <w:rPr>
          <w:rFonts w:cstheme="minorHAnsi"/>
          <w:color w:val="000000" w:themeColor="text1"/>
        </w:rPr>
      </w:pPr>
    </w:p>
    <w:p w14:paraId="69860736" w14:textId="77777777" w:rsidR="00345767" w:rsidRDefault="00345767" w:rsidP="00B522C4">
      <w:pPr>
        <w:jc w:val="both"/>
        <w:rPr>
          <w:rFonts w:cstheme="minorHAnsi"/>
          <w:color w:val="000000" w:themeColor="text1"/>
        </w:rPr>
      </w:pPr>
    </w:p>
    <w:p w14:paraId="0C6F2BAD" w14:textId="77777777" w:rsidR="0076384B" w:rsidRDefault="0076384B" w:rsidP="00085161">
      <w:pPr>
        <w:jc w:val="both"/>
        <w:rPr>
          <w:rFonts w:cstheme="minorHAnsi"/>
          <w:b/>
          <w:bCs/>
          <w:color w:val="000000" w:themeColor="text1"/>
        </w:rPr>
      </w:pPr>
      <w:r>
        <w:rPr>
          <w:rFonts w:cstheme="minorHAnsi"/>
          <w:b/>
          <w:bCs/>
          <w:color w:val="000000" w:themeColor="text1"/>
        </w:rPr>
        <w:lastRenderedPageBreak/>
        <w:t xml:space="preserve">V. </w:t>
      </w:r>
      <w:r w:rsidRPr="00F27296">
        <w:rPr>
          <w:rFonts w:cstheme="minorHAnsi"/>
          <w:b/>
          <w:bCs/>
          <w:color w:val="000000" w:themeColor="text1"/>
        </w:rPr>
        <w:t xml:space="preserve">Metodología </w:t>
      </w:r>
    </w:p>
    <w:p w14:paraId="21618860" w14:textId="77777777" w:rsidR="0076384B" w:rsidRPr="00085161" w:rsidRDefault="0076384B" w:rsidP="1B8DFF3C">
      <w:pPr>
        <w:jc w:val="both"/>
        <w:rPr>
          <w:b/>
          <w:bCs/>
          <w:color w:val="000000" w:themeColor="text1"/>
          <w:lang w:val="es-ES"/>
        </w:rPr>
      </w:pPr>
      <w:r w:rsidRPr="1B8DFF3C">
        <w:rPr>
          <w:color w:val="000000" w:themeColor="text1"/>
          <w:lang w:val="es-ES"/>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35B98BFD" w14:textId="784EE4F4" w:rsidR="0076384B" w:rsidRPr="00E94114" w:rsidRDefault="0076384B" w:rsidP="009C3E07">
      <w:pPr>
        <w:jc w:val="both"/>
        <w:rPr>
          <w:rFonts w:cstheme="minorHAnsi"/>
          <w:bCs/>
          <w:color w:val="000000" w:themeColor="text1"/>
        </w:rPr>
      </w:pPr>
      <w:r>
        <w:rPr>
          <w:rFonts w:cstheme="minorHAnsi"/>
          <w:bCs/>
          <w:color w:val="000000" w:themeColor="text1"/>
        </w:rPr>
        <w:t xml:space="preserve">El curso es de naturaleza teórica, por lo que busca aportar elementos introductorios a nivel de conceptos, métodos, historia, terminología y contenidos básicos necesarios para el manejo de uno de los documentos fundamentales de estudio de la carrera de </w:t>
      </w:r>
      <w:r w:rsidR="0028546D">
        <w:rPr>
          <w:rFonts w:cstheme="minorHAnsi"/>
          <w:bCs/>
          <w:color w:val="000000" w:themeColor="text1"/>
        </w:rPr>
        <w:t>Ciencias Bíblicas</w:t>
      </w:r>
      <w:r>
        <w:rPr>
          <w:rFonts w:cstheme="minorHAnsi"/>
          <w:bCs/>
          <w:color w:val="000000" w:themeColor="text1"/>
        </w:rPr>
        <w:t xml:space="preserve">: la Biblia.  La metodología se basa en lecturas, ejercicios de reflexión y síntesis, tanto a nivel individual como en el aula virtual, y la orientación docente respecto a los contenidos y sus implicaciones para el estudio de la Biblia y las carreras que en ella se enfocan. La dinámica metodológica parte de los conocimientos previos y preconceptos acerca de la Biblia, y busca por medio de las actividades asignadas que los y las estudiantes participen en discusiones grupales desde los contenidos aportados, así como en actividades que propicien la comprensión y la construcción de conocimientos por medio de la lectura, la puesta en común y la discusión con sus pares y la persona docente, la cual ofrecerá insumos de aclaración y profundización, como también proveerá espacios y herramientas para que quienes estudien logren valorar críticamente sus preconceptos y ubicar los contenidos como fundamentos para el estudio de la Biblia en las carrera de </w:t>
      </w:r>
      <w:r w:rsidR="0028546D">
        <w:rPr>
          <w:rFonts w:cstheme="minorHAnsi"/>
          <w:bCs/>
          <w:color w:val="000000" w:themeColor="text1"/>
        </w:rPr>
        <w:t>Ciencias Bíblicas</w:t>
      </w:r>
      <w:r>
        <w:rPr>
          <w:rFonts w:cstheme="minorHAnsi"/>
          <w:bCs/>
          <w:color w:val="000000" w:themeColor="text1"/>
        </w:rPr>
        <w:t xml:space="preserve">. </w:t>
      </w:r>
    </w:p>
    <w:p w14:paraId="2A3C3CD5" w14:textId="77777777" w:rsidR="0076384B" w:rsidRPr="008F3AB5" w:rsidRDefault="0076384B" w:rsidP="009C3E07">
      <w:pPr>
        <w:jc w:val="both"/>
        <w:rPr>
          <w:rFonts w:cstheme="minorHAnsi"/>
          <w:bCs/>
          <w:color w:val="00B050"/>
        </w:rPr>
      </w:pPr>
      <w:r>
        <w:rPr>
          <w:rFonts w:cstheme="minorHAnsi"/>
          <w:bCs/>
        </w:rPr>
        <w:t xml:space="preserve">Durante el curso se realizarán encuentros sincrónicos virtuales en la plataforma virtual. </w:t>
      </w:r>
      <w:r w:rsidRPr="0023680A">
        <w:rPr>
          <w:rFonts w:cstheme="minorHAnsi"/>
          <w:bCs/>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63F67BA3" w14:textId="77777777" w:rsidR="0076384B" w:rsidRPr="00306D8D" w:rsidRDefault="0076384B" w:rsidP="009C3E07">
      <w:pPr>
        <w:jc w:val="both"/>
        <w:rPr>
          <w:rFonts w:cstheme="minorHAnsi"/>
          <w:b/>
          <w:bCs/>
          <w:color w:val="000000" w:themeColor="text1"/>
        </w:rPr>
      </w:pPr>
    </w:p>
    <w:p w14:paraId="01F20844" w14:textId="77777777" w:rsidR="0076384B" w:rsidRDefault="0076384B" w:rsidP="00085161">
      <w:pPr>
        <w:jc w:val="both"/>
        <w:rPr>
          <w:rFonts w:cstheme="minorHAnsi"/>
          <w:b/>
          <w:bCs/>
          <w:color w:val="000000" w:themeColor="text1"/>
        </w:rPr>
      </w:pPr>
      <w:r w:rsidRPr="00F27296">
        <w:rPr>
          <w:rFonts w:cstheme="minorHAnsi"/>
          <w:b/>
          <w:bCs/>
          <w:color w:val="000000" w:themeColor="text1"/>
        </w:rPr>
        <w:t>VI. E</w:t>
      </w:r>
      <w:r>
        <w:rPr>
          <w:rFonts w:cstheme="minorHAnsi"/>
          <w:b/>
          <w:bCs/>
          <w:color w:val="000000" w:themeColor="text1"/>
        </w:rPr>
        <w:t>strategias</w:t>
      </w:r>
      <w:r w:rsidRPr="00F27296">
        <w:rPr>
          <w:rFonts w:cstheme="minorHAnsi"/>
          <w:b/>
          <w:bCs/>
          <w:color w:val="000000" w:themeColor="text1"/>
        </w:rPr>
        <w:t xml:space="preserve"> de aprendizaje</w:t>
      </w:r>
    </w:p>
    <w:p w14:paraId="06BF974E" w14:textId="77777777" w:rsidR="0076384B" w:rsidRPr="00E52CC6" w:rsidRDefault="0076384B" w:rsidP="00085161">
      <w:pPr>
        <w:jc w:val="both"/>
        <w:rPr>
          <w:rFonts w:cstheme="minorHAnsi"/>
          <w:color w:val="000000" w:themeColor="text1"/>
        </w:rPr>
      </w:pPr>
      <w:r>
        <w:rPr>
          <w:rFonts w:cstheme="minorHAnsi"/>
          <w:color w:val="000000" w:themeColor="text1"/>
        </w:rPr>
        <w:t xml:space="preserve">El acceso de los y las estudiantes a la carrera de Teología requiere de estrategias de aprendizaje que le ayuden a comprender los contenidos fundamentales del área introductoria del estudio de la Biblia, tales como: la historia del texto bíblico, del antiguo Israel y del cristianismo primitivo, la crítica textual de la Biblia y la literatura canónica y apócrifa, así como la relación entre Biblia y hermenéutica. </w:t>
      </w:r>
    </w:p>
    <w:p w14:paraId="7F1C3225" w14:textId="77777777" w:rsidR="0076384B" w:rsidRDefault="0076384B" w:rsidP="009C3E07">
      <w:pPr>
        <w:jc w:val="both"/>
        <w:rPr>
          <w:rFonts w:cstheme="minorHAnsi"/>
          <w:bCs/>
          <w:color w:val="000000" w:themeColor="text1"/>
        </w:rPr>
      </w:pPr>
      <w:r>
        <w:rPr>
          <w:rFonts w:cstheme="minorHAnsi"/>
          <w:bCs/>
          <w:color w:val="000000" w:themeColor="text1"/>
        </w:rPr>
        <w:t>Se utilizan las siguientes estrategias de aprendizaje:</w:t>
      </w:r>
    </w:p>
    <w:p w14:paraId="77BCB916" w14:textId="77777777" w:rsidR="0076384B" w:rsidRPr="001901CD" w:rsidRDefault="0076384B" w:rsidP="1B8DFF3C">
      <w:pPr>
        <w:jc w:val="both"/>
        <w:rPr>
          <w:color w:val="000000" w:themeColor="text1"/>
          <w:lang w:val="es-ES"/>
        </w:rPr>
      </w:pPr>
      <w:r w:rsidRPr="1B8DFF3C">
        <w:rPr>
          <w:b/>
          <w:bCs/>
          <w:color w:val="000000" w:themeColor="text1"/>
          <w:lang w:val="es-ES"/>
        </w:rPr>
        <w:t xml:space="preserve">a) Foro: </w:t>
      </w:r>
      <w:r w:rsidRPr="1B8DFF3C">
        <w:rPr>
          <w:lang w:val="es-ES"/>
        </w:rPr>
        <w:t xml:space="preserve">La razón del foro es permitir que las personas estudiantes y la persona docente interactúen en este y discutan las temáticas del curso. Para ello se tendrán foros asincrónicos en los cuales se </w:t>
      </w:r>
      <w:r w:rsidRPr="1B8DFF3C">
        <w:rPr>
          <w:lang w:val="es-ES"/>
        </w:rPr>
        <w:lastRenderedPageBreak/>
        <w:t xml:space="preserve">abordarán temas como: la historia del texto bíblico, el canon y el cristianismo originario, la crítica textual del Nuevo Testamento, la literatura </w:t>
      </w:r>
      <w:proofErr w:type="spellStart"/>
      <w:r w:rsidRPr="1B8DFF3C">
        <w:rPr>
          <w:lang w:val="es-ES"/>
        </w:rPr>
        <w:t>para-bíblica</w:t>
      </w:r>
      <w:proofErr w:type="spellEnd"/>
      <w:r w:rsidRPr="1B8DFF3C">
        <w:rPr>
          <w:lang w:val="es-ES"/>
        </w:rPr>
        <w:t>, para culminar en un debate sobre Biblia y hermenéutica en América Latina y el Caribe. La persona estudiante brindará sus aportes sobre estos tópicos y ofrecerá un comentario crítico al aporte de compañeros y compañeras según orientaciones.</w:t>
      </w:r>
    </w:p>
    <w:p w14:paraId="1E1586BE" w14:textId="77777777" w:rsidR="0076384B" w:rsidRDefault="0076384B" w:rsidP="009C3E07">
      <w:pPr>
        <w:jc w:val="both"/>
        <w:rPr>
          <w:rFonts w:cstheme="minorHAnsi"/>
          <w:bCs/>
          <w:color w:val="000000" w:themeColor="text1"/>
        </w:rPr>
      </w:pPr>
      <w:r>
        <w:rPr>
          <w:rFonts w:cstheme="minorHAnsi"/>
          <w:b/>
          <w:color w:val="000000" w:themeColor="text1"/>
        </w:rPr>
        <w:t xml:space="preserve">b) Wiki: </w:t>
      </w:r>
      <w:r w:rsidRPr="00862F7B">
        <w:rPr>
          <w:rFonts w:cstheme="minorHAnsi"/>
          <w:bCs/>
        </w:rPr>
        <w:t xml:space="preserve">Las actividades colaborativas tienen mucha importancia en la educación virtual. De esta forma, el </w:t>
      </w:r>
      <w:r>
        <w:rPr>
          <w:rFonts w:cstheme="minorHAnsi"/>
          <w:bCs/>
        </w:rPr>
        <w:t>w</w:t>
      </w:r>
      <w:r w:rsidRPr="00862F7B">
        <w:rPr>
          <w:rFonts w:cstheme="minorHAnsi"/>
          <w:bCs/>
        </w:rPr>
        <w:t>iki es una herramienta colaborativa que permite ir co</w:t>
      </w:r>
      <w:r>
        <w:rPr>
          <w:rFonts w:cstheme="minorHAnsi"/>
          <w:bCs/>
        </w:rPr>
        <w:t>njuntando</w:t>
      </w:r>
      <w:r w:rsidRPr="00862F7B">
        <w:rPr>
          <w:rFonts w:cstheme="minorHAnsi"/>
          <w:bCs/>
        </w:rPr>
        <w:t xml:space="preserve"> en una página</w:t>
      </w:r>
      <w:r>
        <w:rPr>
          <w:rFonts w:cstheme="minorHAnsi"/>
          <w:bCs/>
        </w:rPr>
        <w:t xml:space="preserve"> o varias</w:t>
      </w:r>
      <w:r w:rsidRPr="00862F7B">
        <w:rPr>
          <w:rFonts w:cstheme="minorHAnsi"/>
          <w:bCs/>
        </w:rPr>
        <w:t xml:space="preserve"> los aportes que todas las personas del curso van creando juntas.</w:t>
      </w:r>
      <w:r w:rsidRPr="00862F7B">
        <w:rPr>
          <w:rFonts w:cstheme="minorHAnsi"/>
          <w:b/>
        </w:rPr>
        <w:t xml:space="preserve"> </w:t>
      </w:r>
      <w:r w:rsidRPr="00862F7B">
        <w:rPr>
          <w:rFonts w:cstheme="minorHAnsi"/>
          <w:bCs/>
        </w:rPr>
        <w:t xml:space="preserve">El </w:t>
      </w:r>
      <w:r>
        <w:rPr>
          <w:rFonts w:cstheme="minorHAnsi"/>
          <w:bCs/>
        </w:rPr>
        <w:t>w</w:t>
      </w:r>
      <w:r w:rsidRPr="00862F7B">
        <w:rPr>
          <w:rFonts w:cstheme="minorHAnsi"/>
          <w:bCs/>
        </w:rPr>
        <w:t xml:space="preserve">iki </w:t>
      </w:r>
      <w:r>
        <w:rPr>
          <w:rFonts w:cstheme="minorHAnsi"/>
          <w:bCs/>
        </w:rPr>
        <w:t>de este curso</w:t>
      </w:r>
      <w:r w:rsidRPr="00862F7B">
        <w:rPr>
          <w:rFonts w:cstheme="minorHAnsi"/>
          <w:bCs/>
        </w:rPr>
        <w:t xml:space="preserve"> consiste en hacer una comparación del texto hebreo y de la versión griega del Antiguo Testamento paralelamente, poniendo atención en similitudes y diferencias dado ejemplos de textos bíblicos.</w:t>
      </w:r>
    </w:p>
    <w:p w14:paraId="3ADEE357" w14:textId="77777777" w:rsidR="0076384B" w:rsidRDefault="0076384B" w:rsidP="1B8DFF3C">
      <w:pPr>
        <w:jc w:val="both"/>
        <w:rPr>
          <w:color w:val="000000" w:themeColor="text1"/>
          <w:lang w:val="es-ES"/>
        </w:rPr>
      </w:pPr>
      <w:r w:rsidRPr="1B8DFF3C">
        <w:rPr>
          <w:b/>
          <w:bCs/>
          <w:lang w:val="es-ES"/>
        </w:rPr>
        <w:t xml:space="preserve">c) Encuentro sincrónico virtual: </w:t>
      </w:r>
      <w:r w:rsidRPr="1B8DFF3C">
        <w:rPr>
          <w:lang w:val="es-ES"/>
        </w:rPr>
        <w:t xml:space="preserve">Los encuentros sincrónicos virtuales en este curso tienen un valor formativo y no sumativo. Se ofrecen como una estrategia en donde la persona docente compartirá presentaciones audiovisuales con el propósito de ofrecer insumos y profundizar sobre temas tales como: la crítica textual del Antiguo Testamento, la literatura </w:t>
      </w:r>
      <w:proofErr w:type="spellStart"/>
      <w:r w:rsidRPr="1B8DFF3C">
        <w:rPr>
          <w:lang w:val="es-ES"/>
        </w:rPr>
        <w:t>para-bíblica</w:t>
      </w:r>
      <w:proofErr w:type="spellEnd"/>
      <w:r w:rsidRPr="1B8DFF3C">
        <w:rPr>
          <w:lang w:val="es-ES"/>
        </w:rPr>
        <w:t xml:space="preserve">, el texto en griego del Nuevo Testamento, y la hermenéutica de la Biblia en general y en particular en el contexto de América Latina y el Caribe. </w:t>
      </w:r>
    </w:p>
    <w:p w14:paraId="13C462EA" w14:textId="77777777" w:rsidR="0076384B" w:rsidRDefault="0076384B" w:rsidP="009C3E07">
      <w:pPr>
        <w:jc w:val="both"/>
        <w:rPr>
          <w:rFonts w:cstheme="minorHAnsi"/>
          <w:color w:val="000000" w:themeColor="text1"/>
        </w:rPr>
      </w:pPr>
      <w:r>
        <w:rPr>
          <w:rFonts w:cstheme="minorHAnsi"/>
          <w:b/>
          <w:color w:val="000000" w:themeColor="text1"/>
        </w:rPr>
        <w:t xml:space="preserve">d) Diario reflexivo: </w:t>
      </w:r>
      <w:r w:rsidRPr="009F4F9C">
        <w:rPr>
          <w:rFonts w:cstheme="minorHAnsi"/>
          <w:bCs/>
        </w:rPr>
        <w:t xml:space="preserve">Como un recurso para la sistematización propia e internalización del conocimiento de manera que sea significativo, se utiliza la estrategia didáctica denominada </w:t>
      </w:r>
      <w:r>
        <w:rPr>
          <w:rFonts w:cstheme="minorHAnsi"/>
          <w:bCs/>
        </w:rPr>
        <w:t>d</w:t>
      </w:r>
      <w:r w:rsidRPr="009F4F9C">
        <w:rPr>
          <w:rFonts w:cstheme="minorHAnsi"/>
          <w:bCs/>
        </w:rPr>
        <w:t xml:space="preserve">iario reflexivo. De una forma creativa, innovadora (ilustrada, gráfica) y crítica se espera que la persona estudiante dialogue con las ideas expuestas por </w:t>
      </w:r>
      <w:r>
        <w:rPr>
          <w:rFonts w:cstheme="minorHAnsi"/>
          <w:bCs/>
        </w:rPr>
        <w:t>en</w:t>
      </w:r>
      <w:r w:rsidRPr="009F4F9C">
        <w:rPr>
          <w:rFonts w:cstheme="minorHAnsi"/>
          <w:bCs/>
        </w:rPr>
        <w:t xml:space="preserve"> lecturas de </w:t>
      </w:r>
      <w:r>
        <w:rPr>
          <w:rFonts w:cstheme="minorHAnsi"/>
          <w:bCs/>
        </w:rPr>
        <w:t>las</w:t>
      </w:r>
      <w:r w:rsidRPr="009F4F9C">
        <w:rPr>
          <w:rFonts w:cstheme="minorHAnsi"/>
          <w:bCs/>
        </w:rPr>
        <w:t xml:space="preserve"> sesiones </w:t>
      </w:r>
      <w:r>
        <w:rPr>
          <w:rFonts w:cstheme="minorHAnsi"/>
          <w:bCs/>
        </w:rPr>
        <w:t xml:space="preserve">correspondientes </w:t>
      </w:r>
      <w:r w:rsidRPr="009F4F9C">
        <w:rPr>
          <w:rFonts w:cstheme="minorHAnsi"/>
          <w:bCs/>
        </w:rPr>
        <w:t>sobre la historia del texto bíblico y del canon de la Biblia.</w:t>
      </w:r>
      <w:r w:rsidRPr="009F4F9C">
        <w:rPr>
          <w:rFonts w:cstheme="minorHAnsi"/>
          <w:b/>
        </w:rPr>
        <w:t xml:space="preserve"> </w:t>
      </w:r>
    </w:p>
    <w:p w14:paraId="70136A78" w14:textId="28C2198F" w:rsidR="0076384B" w:rsidRPr="00F72F58" w:rsidRDefault="0076384B" w:rsidP="009C3E07">
      <w:pPr>
        <w:jc w:val="both"/>
        <w:rPr>
          <w:rFonts w:cstheme="minorHAnsi"/>
          <w:b/>
          <w:bCs/>
          <w:color w:val="000000" w:themeColor="text1"/>
        </w:rPr>
      </w:pPr>
      <w:r>
        <w:rPr>
          <w:rFonts w:cstheme="minorHAnsi"/>
          <w:b/>
          <w:bCs/>
          <w:color w:val="000000" w:themeColor="text1"/>
        </w:rPr>
        <w:t xml:space="preserve">e) Ensayo: </w:t>
      </w:r>
      <w:r w:rsidRPr="00A34AAD">
        <w:rPr>
          <w:rFonts w:cstheme="minorHAnsi"/>
        </w:rPr>
        <w:t xml:space="preserve">En torno a una </w:t>
      </w:r>
      <w:r>
        <w:rPr>
          <w:rFonts w:cstheme="minorHAnsi"/>
        </w:rPr>
        <w:t>i</w:t>
      </w:r>
      <w:r w:rsidRPr="00A34AAD">
        <w:rPr>
          <w:rFonts w:cstheme="minorHAnsi"/>
        </w:rPr>
        <w:t xml:space="preserve">ntroducción, un </w:t>
      </w:r>
      <w:r>
        <w:rPr>
          <w:rFonts w:cstheme="minorHAnsi"/>
        </w:rPr>
        <w:t>d</w:t>
      </w:r>
      <w:r w:rsidRPr="00A34AAD">
        <w:rPr>
          <w:rFonts w:cstheme="minorHAnsi"/>
        </w:rPr>
        <w:t xml:space="preserve">esarrollo y una </w:t>
      </w:r>
      <w:r>
        <w:rPr>
          <w:rFonts w:cstheme="minorHAnsi"/>
        </w:rPr>
        <w:t>c</w:t>
      </w:r>
      <w:r w:rsidRPr="00A34AAD">
        <w:rPr>
          <w:rFonts w:cstheme="minorHAnsi"/>
        </w:rPr>
        <w:t xml:space="preserve">onclusión, así como a referencias bibliográficas (estilo Chicago-Deusto), las personas estudiantes desarrollan en este curso tres ensayos que constituyen ejercicios de producción académica. El primero </w:t>
      </w:r>
      <w:r>
        <w:rPr>
          <w:rFonts w:cstheme="minorHAnsi"/>
        </w:rPr>
        <w:t xml:space="preserve">trata </w:t>
      </w:r>
      <w:r w:rsidRPr="00A34AAD">
        <w:rPr>
          <w:rFonts w:cstheme="minorHAnsi"/>
        </w:rPr>
        <w:t xml:space="preserve">sobre la historia de Israel y la iglesia cristiana originaria o primitiva, mientras que el segundo ensayo tiene que ver con la reflexión sobre las transmisión y traducción de los textos de la Biblia hebrea y el Nuevo Testamento. Finalmente, </w:t>
      </w:r>
      <w:r>
        <w:rPr>
          <w:rFonts w:cstheme="minorHAnsi"/>
        </w:rPr>
        <w:t xml:space="preserve">en </w:t>
      </w:r>
      <w:r w:rsidRPr="00A34AAD">
        <w:rPr>
          <w:rFonts w:cstheme="minorHAnsi"/>
        </w:rPr>
        <w:t xml:space="preserve">el ensayo </w:t>
      </w:r>
      <w:r>
        <w:rPr>
          <w:rFonts w:cstheme="minorHAnsi"/>
        </w:rPr>
        <w:t>de</w:t>
      </w:r>
      <w:r w:rsidRPr="00A34AAD">
        <w:rPr>
          <w:rFonts w:cstheme="minorHAnsi"/>
        </w:rPr>
        <w:t xml:space="preserve"> síntesis final del curso se espera que la persona estudiante plantee el tratamiento de un tema en el que sintetice – a partir del objetivo general del curso – los conceptos básicos de la disciplina del estudio de la Biblia, entre otros aportes fundamentales de este curso introductorio a las</w:t>
      </w:r>
      <w:r>
        <w:rPr>
          <w:rFonts w:cstheme="minorHAnsi"/>
        </w:rPr>
        <w:t xml:space="preserve"> </w:t>
      </w:r>
      <w:r w:rsidR="0028546D">
        <w:rPr>
          <w:rFonts w:cstheme="minorHAnsi"/>
        </w:rPr>
        <w:t>Ciencias Bíblicas</w:t>
      </w:r>
      <w:r w:rsidRPr="00A34AAD">
        <w:rPr>
          <w:rFonts w:cstheme="minorHAnsi"/>
        </w:rPr>
        <w:t>.</w:t>
      </w:r>
      <w:r w:rsidRPr="00A34AAD">
        <w:rPr>
          <w:rFonts w:cstheme="minorHAnsi"/>
          <w:b/>
          <w:bCs/>
        </w:rPr>
        <w:t xml:space="preserve"> </w:t>
      </w:r>
    </w:p>
    <w:p w14:paraId="33E87807" w14:textId="77777777" w:rsidR="0076384B" w:rsidRPr="00CC0562" w:rsidRDefault="0076384B" w:rsidP="009C3E07">
      <w:pPr>
        <w:jc w:val="both"/>
        <w:rPr>
          <w:rFonts w:cstheme="minorHAnsi"/>
          <w:color w:val="000000" w:themeColor="text1"/>
        </w:rPr>
      </w:pPr>
      <w:r>
        <w:rPr>
          <w:rFonts w:cstheme="minorHAnsi"/>
          <w:b/>
          <w:bCs/>
          <w:color w:val="000000" w:themeColor="text1"/>
        </w:rPr>
        <w:t xml:space="preserve">f) Glosario: </w:t>
      </w:r>
      <w:r w:rsidRPr="00CC0562">
        <w:rPr>
          <w:rFonts w:cstheme="minorHAnsi"/>
        </w:rPr>
        <w:t xml:space="preserve">Conocer los conceptos fundamentales de una disciplina o de un tópico de estudio de esta es una competencia sustancial en </w:t>
      </w:r>
      <w:r>
        <w:rPr>
          <w:rFonts w:cstheme="minorHAnsi"/>
        </w:rPr>
        <w:t>su</w:t>
      </w:r>
      <w:r w:rsidRPr="00CC0562">
        <w:rPr>
          <w:rFonts w:cstheme="minorHAnsi"/>
        </w:rPr>
        <w:t xml:space="preserve"> abordaje</w:t>
      </w:r>
      <w:r>
        <w:rPr>
          <w:rFonts w:cstheme="minorHAnsi"/>
        </w:rPr>
        <w:t>.</w:t>
      </w:r>
      <w:r w:rsidRPr="00CC0562">
        <w:rPr>
          <w:rFonts w:cstheme="minorHAnsi"/>
        </w:rPr>
        <w:t xml:space="preserve"> En este curso, las personas estudiantes desarrollarán un glosario de la terminología básica de la crítica textual tanto del Antiguo Testamento </w:t>
      </w:r>
      <w:r>
        <w:rPr>
          <w:rFonts w:cstheme="minorHAnsi"/>
        </w:rPr>
        <w:t xml:space="preserve">y </w:t>
      </w:r>
      <w:r w:rsidRPr="00CC0562">
        <w:rPr>
          <w:rFonts w:cstheme="minorHAnsi"/>
        </w:rPr>
        <w:t>del Nuevo Testamento.</w:t>
      </w:r>
    </w:p>
    <w:p w14:paraId="785176E3" w14:textId="77777777" w:rsidR="0076384B" w:rsidRDefault="0076384B" w:rsidP="00E52CC6">
      <w:pPr>
        <w:jc w:val="both"/>
        <w:rPr>
          <w:rFonts w:cstheme="minorHAnsi"/>
          <w:bCs/>
        </w:rPr>
      </w:pPr>
    </w:p>
    <w:p w14:paraId="684AD434" w14:textId="77777777" w:rsidR="0076384B" w:rsidRDefault="0076384B" w:rsidP="00E52CC6">
      <w:pPr>
        <w:jc w:val="both"/>
        <w:rPr>
          <w:rFonts w:cstheme="minorHAnsi"/>
          <w:b/>
          <w:bCs/>
          <w:color w:val="000000" w:themeColor="text1"/>
        </w:rPr>
      </w:pPr>
      <w:r w:rsidRPr="0007216B">
        <w:rPr>
          <w:rFonts w:cstheme="minorHAnsi"/>
          <w:bCs/>
        </w:rPr>
        <w:t>Los y las estudiantes podrán comunicarse con la persona docente a través de la plataforma virtual, o bien el correo electrónico suministrado por esta, y recibirán una respuesta a las consultas realizadas en un tiempo máximo de 48 horas.</w:t>
      </w:r>
    </w:p>
    <w:p w14:paraId="19BBC4E8" w14:textId="77777777" w:rsidR="0076384B" w:rsidRDefault="0076384B" w:rsidP="00E52CC6">
      <w:pPr>
        <w:jc w:val="both"/>
        <w:rPr>
          <w:rFonts w:cstheme="minorHAnsi"/>
          <w:b/>
          <w:bCs/>
          <w:color w:val="000000" w:themeColor="text1"/>
        </w:rPr>
      </w:pPr>
    </w:p>
    <w:p w14:paraId="537DAEFA" w14:textId="77777777" w:rsidR="0076384B" w:rsidRPr="00F27296" w:rsidRDefault="0076384B" w:rsidP="00E52CC6">
      <w:pPr>
        <w:jc w:val="both"/>
        <w:rPr>
          <w:rFonts w:cstheme="minorHAnsi"/>
          <w:b/>
          <w:bCs/>
          <w:color w:val="000000" w:themeColor="text1"/>
        </w:rPr>
      </w:pPr>
      <w:r w:rsidRPr="00F27296">
        <w:rPr>
          <w:rFonts w:cstheme="minorHAnsi"/>
          <w:b/>
          <w:bCs/>
          <w:color w:val="000000" w:themeColor="text1"/>
        </w:rPr>
        <w:lastRenderedPageBreak/>
        <w:t xml:space="preserve">VII. Recursos didácticos </w:t>
      </w:r>
    </w:p>
    <w:p w14:paraId="20E06B7F" w14:textId="77777777" w:rsidR="0076384B" w:rsidRDefault="0076384B" w:rsidP="00DC44D0">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004CC2F4" w14:textId="77777777" w:rsidR="0076384B" w:rsidRDefault="0076384B" w:rsidP="1B8DFF3C">
      <w:pPr>
        <w:jc w:val="both"/>
        <w:rPr>
          <w:color w:val="000000" w:themeColor="text1"/>
          <w:lang w:val="es-ES" w:eastAsia="es-ES"/>
        </w:rPr>
      </w:pPr>
      <w:r w:rsidRPr="1B8DFF3C">
        <w:rPr>
          <w:color w:val="000000" w:themeColor="text1"/>
          <w:lang w:val="es-ES" w:eastAsia="es-ES"/>
        </w:rPr>
        <w:t xml:space="preserve">a) Lecturas semanales obligatorias que se asignan con los aportes teóricos y contenidos fundamentales del curso. Todos los materiales de lectura están disponibles en formato digital en la plataforma virtual.  </w:t>
      </w:r>
    </w:p>
    <w:p w14:paraId="6EECB4D5" w14:textId="77777777" w:rsidR="0076384B" w:rsidRDefault="0076384B" w:rsidP="00DC44D0">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4733F9FC" w14:textId="77777777" w:rsidR="0076384B" w:rsidRDefault="0076384B" w:rsidP="00DC44D0">
      <w:pPr>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0B8A677F" w14:textId="77777777" w:rsidR="0076384B" w:rsidRDefault="0076384B" w:rsidP="00DC44D0">
      <w:pPr>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w:t>
      </w:r>
      <w:r w:rsidRPr="006014C5">
        <w:rPr>
          <w:rFonts w:cstheme="minorHAnsi"/>
          <w:color w:val="000000" w:themeColor="text1"/>
          <w:lang w:val="es-ES" w:eastAsia="es-ES"/>
        </w:rPr>
        <w:t>un glosario</w:t>
      </w:r>
      <w:r>
        <w:rPr>
          <w:rFonts w:cstheme="minorHAnsi"/>
          <w:color w:val="000000" w:themeColor="text1"/>
          <w:lang w:val="es-ES" w:eastAsia="es-ES"/>
        </w:rPr>
        <w:t xml:space="preserve">, un wiki y mediante la herramienta Big Blue </w:t>
      </w:r>
      <w:proofErr w:type="spellStart"/>
      <w:r>
        <w:rPr>
          <w:rFonts w:cstheme="minorHAnsi"/>
          <w:color w:val="000000" w:themeColor="text1"/>
          <w:lang w:val="es-ES" w:eastAsia="es-ES"/>
        </w:rPr>
        <w:t>Button</w:t>
      </w:r>
      <w:proofErr w:type="spellEnd"/>
      <w:r>
        <w:rPr>
          <w:rFonts w:cstheme="minorHAnsi"/>
          <w:color w:val="000000" w:themeColor="text1"/>
          <w:lang w:val="es-ES" w:eastAsia="es-ES"/>
        </w:rPr>
        <w:t xml:space="preserve"> en la plataforma Moodle;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 xml:space="preserve"> diario reflexivo</w:t>
      </w:r>
      <w:r w:rsidRPr="006014C5">
        <w:rPr>
          <w:rFonts w:cstheme="minorHAnsi"/>
          <w:color w:val="000000" w:themeColor="text1"/>
          <w:lang w:val="es-ES" w:eastAsia="es-ES"/>
        </w:rPr>
        <w:t>; así como de guía</w:t>
      </w:r>
      <w:r>
        <w:rPr>
          <w:rFonts w:cstheme="minorHAnsi"/>
          <w:color w:val="000000" w:themeColor="text1"/>
          <w:lang w:val="es-ES" w:eastAsia="es-ES"/>
        </w:rPr>
        <w:t>s</w:t>
      </w:r>
      <w:r w:rsidRPr="006014C5">
        <w:rPr>
          <w:rFonts w:cstheme="minorHAnsi"/>
          <w:color w:val="000000" w:themeColor="text1"/>
          <w:lang w:val="es-ES" w:eastAsia="es-ES"/>
        </w:rPr>
        <w:t xml:space="preserve"> para el</w:t>
      </w:r>
      <w:r>
        <w:rPr>
          <w:rFonts w:cstheme="minorHAnsi"/>
          <w:color w:val="000000" w:themeColor="text1"/>
          <w:lang w:val="es-ES" w:eastAsia="es-ES"/>
        </w:rPr>
        <w:t xml:space="preserve">aborar los ensayos </w:t>
      </w:r>
      <w:r w:rsidRPr="006014C5">
        <w:rPr>
          <w:rFonts w:cstheme="minorHAnsi"/>
          <w:color w:val="000000" w:themeColor="text1"/>
          <w:lang w:val="es-ES" w:eastAsia="es-ES"/>
        </w:rPr>
        <w:t>que se encuentra</w:t>
      </w:r>
      <w:r>
        <w:rPr>
          <w:rFonts w:cstheme="minorHAnsi"/>
          <w:color w:val="000000" w:themeColor="text1"/>
          <w:lang w:val="es-ES" w:eastAsia="es-ES"/>
        </w:rPr>
        <w:t>n</w:t>
      </w:r>
      <w:r w:rsidRPr="006014C5">
        <w:rPr>
          <w:rFonts w:cstheme="minorHAnsi"/>
          <w:color w:val="000000" w:themeColor="text1"/>
          <w:lang w:val="es-ES" w:eastAsia="es-ES"/>
        </w:rPr>
        <w:t xml:space="preserve"> en la sección de actividades de la sesión correspondiente.</w:t>
      </w:r>
    </w:p>
    <w:p w14:paraId="42F4FD44" w14:textId="77777777" w:rsidR="0076384B" w:rsidRDefault="0076384B" w:rsidP="00C15760">
      <w:pPr>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w:t>
      </w:r>
      <w:r>
        <w:rPr>
          <w:rFonts w:cstheme="minorHAnsi"/>
          <w:color w:val="000000" w:themeColor="text1"/>
          <w:lang w:val="es-ES" w:eastAsia="es-ES"/>
        </w:rPr>
        <w:t xml:space="preserve"> </w:t>
      </w:r>
      <w:proofErr w:type="spellStart"/>
      <w:r w:rsidRPr="006014C5">
        <w:rPr>
          <w:rFonts w:cstheme="minorHAnsi"/>
          <w:color w:val="000000" w:themeColor="text1"/>
          <w:lang w:val="es-ES" w:eastAsia="es-ES"/>
        </w:rPr>
        <w:t>Strachan</w:t>
      </w:r>
      <w:proofErr w:type="spellEnd"/>
      <w:r w:rsidRPr="006014C5">
        <w:rPr>
          <w:rFonts w:cstheme="minorHAnsi"/>
          <w:color w:val="000000" w:themeColor="text1"/>
          <w:lang w:val="es-ES" w:eastAsia="es-ES"/>
        </w:rPr>
        <w:t xml:space="preserve"> (</w:t>
      </w:r>
      <w:hyperlink r:id="rId73" w:history="1">
        <w:r w:rsidRPr="006014C5">
          <w:rPr>
            <w:rStyle w:val="Hipervnculo"/>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74" w:history="1">
        <w:r w:rsidRPr="006014C5">
          <w:rPr>
            <w:rStyle w:val="Hipervnculo"/>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A través del correo de la biblioteca (</w:t>
      </w:r>
      <w:hyperlink r:id="rId75" w:history="1">
        <w:r w:rsidRPr="000F4298">
          <w:rPr>
            <w:rStyle w:val="Hipervnculo"/>
            <w:rFonts w:cstheme="minorHAnsi"/>
            <w:lang w:val="es-ES" w:eastAsia="es-ES"/>
          </w:rPr>
          <w:t>biblioteca@ubl.ac.cr</w:t>
        </w:r>
      </w:hyperlink>
      <w:r>
        <w:rPr>
          <w:rFonts w:cstheme="minorHAnsi"/>
          <w:color w:val="000000" w:themeColor="text1"/>
          <w:lang w:val="es-ES" w:eastAsia="es-ES"/>
        </w:rPr>
        <w:t xml:space="preserve">) puede solicitar recursos que se encuentren en la colección física. </w:t>
      </w:r>
    </w:p>
    <w:p w14:paraId="12F78379" w14:textId="0DCFEF33" w:rsidR="0076384B" w:rsidRDefault="0076384B" w:rsidP="00DC44D0">
      <w:pPr>
        <w:jc w:val="both"/>
        <w:rPr>
          <w:rFonts w:cstheme="minorHAnsi"/>
          <w:color w:val="000000" w:themeColor="text1"/>
          <w:lang w:val="es-ES" w:eastAsia="es-ES"/>
        </w:rPr>
      </w:pPr>
      <w:r>
        <w:rPr>
          <w:rFonts w:cstheme="minorHAnsi"/>
          <w:color w:val="000000" w:themeColor="text1"/>
          <w:lang w:val="es-ES" w:eastAsia="es-ES"/>
        </w:rPr>
        <w:t>f)</w:t>
      </w:r>
      <w:r>
        <w:rPr>
          <w:rFonts w:cstheme="minorHAnsi"/>
          <w:bCs/>
          <w:szCs w:val="24"/>
        </w:rPr>
        <w:t xml:space="preserve"> </w:t>
      </w:r>
      <w:r w:rsidRPr="00E02FEC">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cstheme="minorHAnsi"/>
          <w:bCs/>
        </w:rPr>
        <w:t>Bachillerato en Ciencias Bíblicas</w:t>
      </w:r>
      <w:r w:rsidRPr="00E02FEC">
        <w:rPr>
          <w:rFonts w:cstheme="minorHAnsi"/>
          <w:bCs/>
        </w:rPr>
        <w:t xml:space="preserve">. Dicho espacio está disponible para todas las personas registradas en el campus virtual y se puede acceder a través del siguiente enlace: </w:t>
      </w:r>
      <w:hyperlink r:id="rId76" w:history="1">
        <w:r w:rsidRPr="00E02FEC">
          <w:rPr>
            <w:rStyle w:val="Hipervnculo"/>
            <w:rFonts w:cstheme="minorHAnsi"/>
            <w:bCs/>
          </w:rPr>
          <w:t>https://campus.ubl.ac.cr/course/index.php?categoryid=186</w:t>
        </w:r>
      </w:hyperlink>
    </w:p>
    <w:p w14:paraId="65971485" w14:textId="77777777" w:rsidR="0076384B" w:rsidRDefault="0076384B" w:rsidP="00DC44D0">
      <w:pPr>
        <w:rPr>
          <w:rFonts w:cstheme="minorHAnsi"/>
          <w:color w:val="000000" w:themeColor="text1"/>
          <w:lang w:val="es-ES" w:eastAsia="es-ES"/>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2556F2F0" w14:textId="77777777" w:rsidR="0076384B" w:rsidRDefault="0076384B" w:rsidP="00177556">
      <w:pPr>
        <w:rPr>
          <w:rFonts w:cstheme="minorHAnsi"/>
          <w:b/>
          <w:bCs/>
          <w:color w:val="000000" w:themeColor="text1"/>
        </w:rPr>
      </w:pPr>
    </w:p>
    <w:p w14:paraId="7B1CA3EC" w14:textId="07355DAA" w:rsidR="0076384B" w:rsidRPr="00F27296" w:rsidRDefault="0076384B" w:rsidP="00177556">
      <w:pPr>
        <w:rPr>
          <w:rFonts w:cstheme="minorHAnsi"/>
          <w:b/>
          <w:bCs/>
          <w:color w:val="000000" w:themeColor="text1"/>
        </w:rPr>
      </w:pPr>
      <w:r>
        <w:rPr>
          <w:rFonts w:cstheme="minorHAnsi"/>
          <w:b/>
          <w:bCs/>
          <w:color w:val="000000" w:themeColor="text1"/>
        </w:rPr>
        <w:t xml:space="preserve">VIII. </w:t>
      </w:r>
      <w:r w:rsidRPr="00F27296">
        <w:rPr>
          <w:rFonts w:cstheme="minorHAnsi"/>
          <w:b/>
          <w:bCs/>
          <w:color w:val="000000" w:themeColor="text1"/>
        </w:rPr>
        <w:t>Cronograma de trabajo</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126"/>
        <w:gridCol w:w="2835"/>
        <w:gridCol w:w="3119"/>
      </w:tblGrid>
      <w:tr w:rsidR="0076384B" w:rsidRPr="00D011C4" w14:paraId="2256576E" w14:textId="77777777" w:rsidTr="1B8DFF3C">
        <w:trPr>
          <w:trHeight w:val="463"/>
          <w:jc w:val="center"/>
        </w:trPr>
        <w:tc>
          <w:tcPr>
            <w:tcW w:w="1271" w:type="dxa"/>
            <w:vMerge w:val="restart"/>
            <w:vAlign w:val="center"/>
          </w:tcPr>
          <w:p w14:paraId="13CE13AA" w14:textId="77777777" w:rsidR="0076384B" w:rsidRPr="00D011C4" w:rsidRDefault="0076384B" w:rsidP="00F90909">
            <w:pPr>
              <w:jc w:val="center"/>
              <w:rPr>
                <w:rFonts w:cstheme="minorHAnsi"/>
                <w:b/>
                <w:color w:val="000000" w:themeColor="text1"/>
                <w:szCs w:val="24"/>
              </w:rPr>
            </w:pPr>
            <w:r w:rsidRPr="00D011C4">
              <w:rPr>
                <w:rFonts w:cstheme="minorHAnsi"/>
                <w:b/>
                <w:color w:val="000000" w:themeColor="text1"/>
                <w:szCs w:val="24"/>
              </w:rPr>
              <w:t>Sesión</w:t>
            </w:r>
          </w:p>
          <w:p w14:paraId="63D50ADE" w14:textId="77777777" w:rsidR="0076384B" w:rsidRPr="00D011C4" w:rsidRDefault="0076384B" w:rsidP="00F90909">
            <w:pPr>
              <w:jc w:val="center"/>
              <w:rPr>
                <w:rFonts w:cstheme="minorHAnsi"/>
                <w:b/>
                <w:color w:val="000000" w:themeColor="text1"/>
                <w:szCs w:val="24"/>
              </w:rPr>
            </w:pPr>
            <w:r w:rsidRPr="00D011C4">
              <w:rPr>
                <w:rFonts w:cstheme="minorHAnsi"/>
                <w:b/>
                <w:color w:val="000000" w:themeColor="text1"/>
                <w:szCs w:val="24"/>
              </w:rPr>
              <w:t>(semana)</w:t>
            </w:r>
          </w:p>
        </w:tc>
        <w:tc>
          <w:tcPr>
            <w:tcW w:w="2126" w:type="dxa"/>
            <w:vMerge w:val="restart"/>
            <w:vAlign w:val="center"/>
          </w:tcPr>
          <w:p w14:paraId="7F0EC3A2" w14:textId="77777777" w:rsidR="0076384B" w:rsidRPr="00D011C4" w:rsidRDefault="0076384B" w:rsidP="00F90909">
            <w:pPr>
              <w:jc w:val="center"/>
              <w:rPr>
                <w:rFonts w:cstheme="minorHAnsi"/>
                <w:b/>
                <w:color w:val="000000" w:themeColor="text1"/>
                <w:szCs w:val="24"/>
              </w:rPr>
            </w:pPr>
            <w:r w:rsidRPr="00D011C4">
              <w:rPr>
                <w:rFonts w:cstheme="minorHAnsi"/>
                <w:b/>
                <w:color w:val="000000" w:themeColor="text1"/>
                <w:szCs w:val="24"/>
              </w:rPr>
              <w:t>Contenidos temáticos</w:t>
            </w:r>
          </w:p>
        </w:tc>
        <w:tc>
          <w:tcPr>
            <w:tcW w:w="5954" w:type="dxa"/>
            <w:gridSpan w:val="2"/>
            <w:vAlign w:val="center"/>
          </w:tcPr>
          <w:p w14:paraId="747407A6" w14:textId="77777777" w:rsidR="0076384B" w:rsidRPr="00D011C4" w:rsidRDefault="0076384B" w:rsidP="00F90909">
            <w:pPr>
              <w:ind w:left="82"/>
              <w:jc w:val="center"/>
              <w:rPr>
                <w:rFonts w:cstheme="minorHAnsi"/>
                <w:b/>
                <w:color w:val="000000" w:themeColor="text1"/>
                <w:szCs w:val="24"/>
              </w:rPr>
            </w:pPr>
            <w:r w:rsidRPr="00D011C4">
              <w:rPr>
                <w:rFonts w:cstheme="minorHAnsi"/>
                <w:b/>
                <w:color w:val="000000" w:themeColor="text1"/>
                <w:szCs w:val="24"/>
              </w:rPr>
              <w:t xml:space="preserve">Actividades de </w:t>
            </w:r>
            <w:r w:rsidRPr="00A27CDE">
              <w:rPr>
                <w:rFonts w:cstheme="minorHAnsi"/>
                <w:b/>
                <w:szCs w:val="24"/>
              </w:rPr>
              <w:t>enseñanza-</w:t>
            </w:r>
            <w:r w:rsidRPr="00D011C4">
              <w:rPr>
                <w:rFonts w:cstheme="minorHAnsi"/>
                <w:b/>
                <w:color w:val="000000" w:themeColor="text1"/>
                <w:szCs w:val="24"/>
              </w:rPr>
              <w:t>aprendizaje</w:t>
            </w:r>
          </w:p>
        </w:tc>
      </w:tr>
      <w:tr w:rsidR="0076384B" w:rsidRPr="00D011C4" w14:paraId="6E3FC0CC" w14:textId="77777777" w:rsidTr="1B8DFF3C">
        <w:trPr>
          <w:trHeight w:val="453"/>
          <w:jc w:val="center"/>
        </w:trPr>
        <w:tc>
          <w:tcPr>
            <w:tcW w:w="1271" w:type="dxa"/>
            <w:vMerge/>
            <w:vAlign w:val="center"/>
          </w:tcPr>
          <w:p w14:paraId="6564CEA1" w14:textId="77777777" w:rsidR="0076384B" w:rsidRPr="00D011C4" w:rsidRDefault="0076384B" w:rsidP="00F90909">
            <w:pPr>
              <w:jc w:val="center"/>
              <w:rPr>
                <w:rFonts w:cstheme="minorHAnsi"/>
                <w:b/>
                <w:color w:val="000000" w:themeColor="text1"/>
              </w:rPr>
            </w:pPr>
          </w:p>
        </w:tc>
        <w:tc>
          <w:tcPr>
            <w:tcW w:w="2126" w:type="dxa"/>
            <w:vMerge/>
            <w:vAlign w:val="center"/>
          </w:tcPr>
          <w:p w14:paraId="6757F51D" w14:textId="77777777" w:rsidR="0076384B" w:rsidRPr="00D011C4" w:rsidRDefault="0076384B" w:rsidP="00F90909">
            <w:pPr>
              <w:jc w:val="center"/>
              <w:rPr>
                <w:rFonts w:cstheme="minorHAnsi"/>
                <w:b/>
                <w:color w:val="000000" w:themeColor="text1"/>
              </w:rPr>
            </w:pPr>
          </w:p>
        </w:tc>
        <w:tc>
          <w:tcPr>
            <w:tcW w:w="2835" w:type="dxa"/>
            <w:vAlign w:val="center"/>
          </w:tcPr>
          <w:p w14:paraId="346358B1" w14:textId="77777777" w:rsidR="0076384B" w:rsidRPr="0013024C" w:rsidRDefault="0076384B" w:rsidP="0013024C">
            <w:pPr>
              <w:ind w:left="82"/>
              <w:jc w:val="center"/>
              <w:rPr>
                <w:rFonts w:cstheme="minorHAnsi"/>
                <w:b/>
                <w:color w:val="FF0000"/>
                <w:szCs w:val="24"/>
              </w:rPr>
            </w:pPr>
            <w:r>
              <w:rPr>
                <w:rFonts w:cstheme="minorHAnsi"/>
                <w:b/>
                <w:color w:val="000000" w:themeColor="text1"/>
                <w:szCs w:val="24"/>
              </w:rPr>
              <w:t>Recursos didácticos</w:t>
            </w:r>
          </w:p>
        </w:tc>
        <w:tc>
          <w:tcPr>
            <w:tcW w:w="3119" w:type="dxa"/>
            <w:vAlign w:val="center"/>
          </w:tcPr>
          <w:p w14:paraId="624E3B24" w14:textId="77777777" w:rsidR="0076384B" w:rsidRPr="00572A13" w:rsidRDefault="0076384B" w:rsidP="00F90909">
            <w:pPr>
              <w:ind w:left="82"/>
              <w:jc w:val="center"/>
              <w:rPr>
                <w:rFonts w:cstheme="minorHAnsi"/>
                <w:b/>
                <w:color w:val="FF0000"/>
                <w:szCs w:val="24"/>
              </w:rPr>
            </w:pPr>
            <w:r w:rsidRPr="00D011C4">
              <w:rPr>
                <w:rFonts w:cstheme="minorHAnsi"/>
                <w:b/>
                <w:color w:val="000000" w:themeColor="text1"/>
                <w:szCs w:val="24"/>
              </w:rPr>
              <w:t>Actividades</w:t>
            </w:r>
            <w:r>
              <w:rPr>
                <w:rFonts w:cstheme="minorHAnsi"/>
                <w:b/>
                <w:color w:val="000000" w:themeColor="text1"/>
                <w:szCs w:val="24"/>
              </w:rPr>
              <w:t xml:space="preserve"> </w:t>
            </w:r>
            <w:r w:rsidRPr="00D031A2">
              <w:rPr>
                <w:rFonts w:cstheme="minorHAnsi"/>
                <w:b/>
                <w:szCs w:val="24"/>
              </w:rPr>
              <w:t xml:space="preserve">de </w:t>
            </w:r>
            <w:r>
              <w:rPr>
                <w:rFonts w:cstheme="minorHAnsi"/>
                <w:b/>
                <w:szCs w:val="24"/>
              </w:rPr>
              <w:t>aprendizaje</w:t>
            </w:r>
          </w:p>
        </w:tc>
      </w:tr>
      <w:tr w:rsidR="0076384B" w:rsidRPr="00D011C4" w14:paraId="4DC77273" w14:textId="77777777" w:rsidTr="1B8DFF3C">
        <w:trPr>
          <w:jc w:val="center"/>
        </w:trPr>
        <w:tc>
          <w:tcPr>
            <w:tcW w:w="1271" w:type="dxa"/>
          </w:tcPr>
          <w:p w14:paraId="1ED44175" w14:textId="77777777" w:rsidR="0076384B" w:rsidRPr="00D011C4" w:rsidRDefault="0076384B" w:rsidP="00274E5D">
            <w:pPr>
              <w:jc w:val="center"/>
              <w:rPr>
                <w:rFonts w:cstheme="minorHAnsi"/>
                <w:color w:val="000000" w:themeColor="text1"/>
              </w:rPr>
            </w:pPr>
            <w:r w:rsidRPr="00D011C4">
              <w:rPr>
                <w:rFonts w:cstheme="minorHAnsi"/>
                <w:color w:val="000000" w:themeColor="text1"/>
              </w:rPr>
              <w:t>1</w:t>
            </w:r>
          </w:p>
          <w:p w14:paraId="4FDFD5FB" w14:textId="77777777" w:rsidR="0076384B" w:rsidRPr="00D011C4" w:rsidRDefault="0076384B" w:rsidP="00274E5D">
            <w:pPr>
              <w:jc w:val="center"/>
              <w:rPr>
                <w:rFonts w:cstheme="minorHAnsi"/>
                <w:color w:val="FF0000"/>
              </w:rPr>
            </w:pPr>
          </w:p>
        </w:tc>
        <w:tc>
          <w:tcPr>
            <w:tcW w:w="2126" w:type="dxa"/>
          </w:tcPr>
          <w:p w14:paraId="5920EC07" w14:textId="77777777" w:rsidR="0076384B" w:rsidRPr="00EA3D3F" w:rsidRDefault="0076384B" w:rsidP="00274E5D">
            <w:pPr>
              <w:rPr>
                <w:rFonts w:cstheme="minorHAnsi"/>
                <w:b/>
                <w:bCs/>
              </w:rPr>
            </w:pPr>
            <w:r w:rsidRPr="00EA3D3F">
              <w:rPr>
                <w:rFonts w:cstheme="minorHAnsi"/>
                <w:b/>
                <w:bCs/>
              </w:rPr>
              <w:t>Unidad 1: Historia de la Biblia I</w:t>
            </w:r>
          </w:p>
          <w:p w14:paraId="5F0BAD52" w14:textId="77777777" w:rsidR="0076384B" w:rsidRPr="00917013" w:rsidRDefault="0076384B" w:rsidP="00274E5D">
            <w:pPr>
              <w:rPr>
                <w:rFonts w:cstheme="minorHAnsi"/>
                <w:color w:val="FF0000"/>
              </w:rPr>
            </w:pPr>
            <w:r w:rsidRPr="003F54AF">
              <w:rPr>
                <w:rFonts w:cstheme="minorHAnsi"/>
              </w:rPr>
              <w:lastRenderedPageBreak/>
              <w:t>1.1 ¿En qué consiste el objeto de estudio de las ciencias bíblicas?</w:t>
            </w:r>
          </w:p>
        </w:tc>
        <w:tc>
          <w:tcPr>
            <w:tcW w:w="2835" w:type="dxa"/>
          </w:tcPr>
          <w:p w14:paraId="5E050864" w14:textId="77777777" w:rsidR="0076384B" w:rsidRDefault="0076384B" w:rsidP="005E6123">
            <w:pPr>
              <w:rPr>
                <w:rFonts w:cstheme="minorHAnsi"/>
                <w:color w:val="0070C0"/>
              </w:rPr>
            </w:pPr>
            <w:r>
              <w:rPr>
                <w:rFonts w:cstheme="minorHAnsi"/>
                <w:color w:val="0070C0"/>
              </w:rPr>
              <w:lastRenderedPageBreak/>
              <w:t>Ruta de aprendizaje</w:t>
            </w:r>
          </w:p>
          <w:p w14:paraId="021FC9DC" w14:textId="77777777" w:rsidR="0076384B" w:rsidRDefault="0076384B" w:rsidP="005E6123">
            <w:pPr>
              <w:rPr>
                <w:rFonts w:cstheme="minorHAnsi"/>
                <w:color w:val="0070C0"/>
              </w:rPr>
            </w:pPr>
          </w:p>
          <w:p w14:paraId="188FB51F" w14:textId="77777777" w:rsidR="0076384B" w:rsidRDefault="0076384B" w:rsidP="005E6123">
            <w:pPr>
              <w:rPr>
                <w:rFonts w:cstheme="minorHAnsi"/>
                <w:b/>
                <w:color w:val="0070C0"/>
                <w:lang w:val="es-ES"/>
              </w:rPr>
            </w:pPr>
            <w:r w:rsidRPr="001A0FC1">
              <w:rPr>
                <w:rFonts w:cstheme="minorHAnsi"/>
                <w:b/>
                <w:color w:val="0070C0"/>
                <w:lang w:val="es-ES"/>
              </w:rPr>
              <w:lastRenderedPageBreak/>
              <w:t>Material complementario</w:t>
            </w:r>
          </w:p>
          <w:p w14:paraId="714F8112" w14:textId="77777777" w:rsidR="0076384B" w:rsidRDefault="0076384B" w:rsidP="005E6123">
            <w:pPr>
              <w:rPr>
                <w:rFonts w:cstheme="minorHAnsi"/>
                <w:bCs/>
                <w:color w:val="0070C0"/>
                <w:lang w:val="es-ES"/>
              </w:rPr>
            </w:pPr>
            <w:r>
              <w:rPr>
                <w:rFonts w:cstheme="minorHAnsi"/>
                <w:bCs/>
                <w:color w:val="0070C0"/>
                <w:lang w:val="es-ES"/>
              </w:rPr>
              <w:t>Guía para la participación en un foro en la plataforma Moodle</w:t>
            </w:r>
          </w:p>
          <w:p w14:paraId="2D6258CE" w14:textId="77777777" w:rsidR="0076384B" w:rsidRPr="00064D42" w:rsidRDefault="0076384B" w:rsidP="005E6123">
            <w:pPr>
              <w:rPr>
                <w:rFonts w:cstheme="minorHAnsi"/>
                <w:bCs/>
                <w:color w:val="0070C0"/>
              </w:rPr>
            </w:pPr>
            <w:r>
              <w:rPr>
                <w:rFonts w:cstheme="minorHAnsi"/>
                <w:bCs/>
                <w:color w:val="0070C0"/>
                <w:lang w:val="es-ES"/>
              </w:rPr>
              <w:t xml:space="preserve">Guía para la participación mediante la herramienta Big Blue </w:t>
            </w:r>
            <w:proofErr w:type="spellStart"/>
            <w:r>
              <w:rPr>
                <w:rFonts w:cstheme="minorHAnsi"/>
                <w:bCs/>
                <w:color w:val="0070C0"/>
                <w:lang w:val="es-ES"/>
              </w:rPr>
              <w:t>Button</w:t>
            </w:r>
            <w:proofErr w:type="spellEnd"/>
            <w:r>
              <w:rPr>
                <w:rFonts w:cstheme="minorHAnsi"/>
                <w:bCs/>
                <w:color w:val="0070C0"/>
                <w:lang w:val="es-ES"/>
              </w:rPr>
              <w:t xml:space="preserve"> en la plataforma Moodle</w:t>
            </w:r>
          </w:p>
        </w:tc>
        <w:tc>
          <w:tcPr>
            <w:tcW w:w="3119" w:type="dxa"/>
          </w:tcPr>
          <w:p w14:paraId="30F59088"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lastRenderedPageBreak/>
              <w:t>Participación en el foro social CAFETERÍA.</w:t>
            </w:r>
          </w:p>
          <w:p w14:paraId="57B68600"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Participación en el foro de dudas.</w:t>
            </w:r>
          </w:p>
          <w:p w14:paraId="103F8A9D"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lastRenderedPageBreak/>
              <w:t>Participación en el foro de ejercicio diagnóstico: Experiencias previas en el estudio de la Biblia</w:t>
            </w:r>
            <w:r>
              <w:rPr>
                <w:rFonts w:cstheme="minorHAnsi"/>
                <w:color w:val="000000" w:themeColor="text1"/>
              </w:rPr>
              <w:t xml:space="preserve"> (formativo)</w:t>
            </w:r>
            <w:r w:rsidRPr="00D011C4">
              <w:rPr>
                <w:rFonts w:cstheme="minorHAnsi"/>
                <w:color w:val="000000" w:themeColor="text1"/>
              </w:rPr>
              <w:t>.</w:t>
            </w:r>
          </w:p>
          <w:p w14:paraId="70B56FFD"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Presentación de los temas del curso y exposición docente en un encuentro sincrónico</w:t>
            </w:r>
            <w:r>
              <w:rPr>
                <w:rFonts w:cstheme="minorHAnsi"/>
                <w:color w:val="000000" w:themeColor="text1"/>
              </w:rPr>
              <w:t xml:space="preserve"> virtual (formativo)</w:t>
            </w:r>
            <w:r w:rsidRPr="00D011C4">
              <w:rPr>
                <w:rFonts w:cstheme="minorHAnsi"/>
                <w:color w:val="000000" w:themeColor="text1"/>
              </w:rPr>
              <w:t>.</w:t>
            </w:r>
          </w:p>
          <w:p w14:paraId="7B963DA2" w14:textId="77777777" w:rsidR="0076384B" w:rsidRPr="00D011C4" w:rsidRDefault="0076384B" w:rsidP="001E31F6">
            <w:pPr>
              <w:ind w:left="176"/>
              <w:rPr>
                <w:rFonts w:cstheme="minorHAnsi"/>
                <w:color w:val="000000" w:themeColor="text1"/>
              </w:rPr>
            </w:pPr>
          </w:p>
        </w:tc>
      </w:tr>
      <w:tr w:rsidR="0076384B" w:rsidRPr="00D011C4" w14:paraId="6C12B7CA" w14:textId="77777777" w:rsidTr="1B8DFF3C">
        <w:trPr>
          <w:jc w:val="center"/>
        </w:trPr>
        <w:tc>
          <w:tcPr>
            <w:tcW w:w="1271" w:type="dxa"/>
          </w:tcPr>
          <w:p w14:paraId="777E96B1" w14:textId="77777777" w:rsidR="0076384B" w:rsidRPr="00D011C4" w:rsidRDefault="0076384B" w:rsidP="00274E5D">
            <w:pPr>
              <w:jc w:val="center"/>
              <w:rPr>
                <w:rFonts w:cstheme="minorHAnsi"/>
                <w:color w:val="000000" w:themeColor="text1"/>
              </w:rPr>
            </w:pPr>
            <w:r w:rsidRPr="00D011C4">
              <w:rPr>
                <w:rFonts w:cstheme="minorHAnsi"/>
                <w:color w:val="000000" w:themeColor="text1"/>
              </w:rPr>
              <w:lastRenderedPageBreak/>
              <w:t>2</w:t>
            </w:r>
          </w:p>
          <w:p w14:paraId="4E67FA3D" w14:textId="77777777" w:rsidR="0076384B" w:rsidRPr="00D011C4" w:rsidRDefault="0076384B" w:rsidP="00274E5D">
            <w:pPr>
              <w:jc w:val="center"/>
              <w:rPr>
                <w:rFonts w:cstheme="minorHAnsi"/>
                <w:color w:val="FF0000"/>
              </w:rPr>
            </w:pPr>
          </w:p>
        </w:tc>
        <w:tc>
          <w:tcPr>
            <w:tcW w:w="2126" w:type="dxa"/>
          </w:tcPr>
          <w:p w14:paraId="05F7CC68" w14:textId="77777777" w:rsidR="0076384B" w:rsidRPr="00EA3D3F" w:rsidRDefault="0076384B" w:rsidP="00387BF8">
            <w:pPr>
              <w:rPr>
                <w:rFonts w:cstheme="minorHAnsi"/>
                <w:b/>
                <w:bCs/>
              </w:rPr>
            </w:pPr>
            <w:r w:rsidRPr="00EA3D3F">
              <w:rPr>
                <w:rFonts w:cstheme="minorHAnsi"/>
                <w:b/>
                <w:bCs/>
              </w:rPr>
              <w:t>Unidad 1: Historia de la Biblia I</w:t>
            </w:r>
          </w:p>
          <w:p w14:paraId="0E6967E2" w14:textId="77777777" w:rsidR="0076384B" w:rsidRPr="00D011C4" w:rsidRDefault="0076384B" w:rsidP="00274E5D">
            <w:pPr>
              <w:rPr>
                <w:rFonts w:cstheme="minorHAnsi"/>
                <w:color w:val="000000" w:themeColor="text1"/>
              </w:rPr>
            </w:pPr>
            <w:r w:rsidRPr="00C2627C">
              <w:rPr>
                <w:rFonts w:cstheme="minorHAnsi"/>
              </w:rPr>
              <w:t>1.2 Historia del texto bíblico</w:t>
            </w:r>
          </w:p>
        </w:tc>
        <w:tc>
          <w:tcPr>
            <w:tcW w:w="2835" w:type="dxa"/>
          </w:tcPr>
          <w:p w14:paraId="7CC3021E" w14:textId="77777777" w:rsidR="0076384B" w:rsidRDefault="0076384B" w:rsidP="008578BF">
            <w:pPr>
              <w:rPr>
                <w:rFonts w:cstheme="minorHAnsi"/>
                <w:color w:val="0070C0"/>
              </w:rPr>
            </w:pPr>
            <w:r>
              <w:rPr>
                <w:rFonts w:cstheme="minorHAnsi"/>
                <w:color w:val="0070C0"/>
              </w:rPr>
              <w:t>Ruta de aprendizaje</w:t>
            </w:r>
          </w:p>
          <w:p w14:paraId="762CBCFC" w14:textId="77777777" w:rsidR="0076384B" w:rsidRPr="00D011C4" w:rsidRDefault="0076384B" w:rsidP="008578BF">
            <w:pPr>
              <w:rPr>
                <w:rFonts w:cstheme="minorHAnsi"/>
                <w:color w:val="000000" w:themeColor="text1"/>
                <w:lang w:val="es-ES"/>
              </w:rPr>
            </w:pPr>
            <w:r w:rsidRPr="00D011C4">
              <w:rPr>
                <w:rFonts w:cstheme="minorHAnsi"/>
                <w:color w:val="000000" w:themeColor="text1"/>
                <w:lang w:val="es-ES"/>
              </w:rPr>
              <w:t xml:space="preserve">Ramírez, José Enrique. “La Biblia: ¿Es el escrito más antiguo de la humanidad?”. En </w:t>
            </w:r>
            <w:r w:rsidRPr="00D011C4">
              <w:rPr>
                <w:rFonts w:cstheme="minorHAnsi"/>
                <w:i/>
                <w:color w:val="000000" w:themeColor="text1"/>
                <w:lang w:val="es-ES"/>
              </w:rPr>
              <w:t xml:space="preserve">Para comprender el Antiguo Testamento, </w:t>
            </w:r>
            <w:r w:rsidRPr="00D011C4">
              <w:rPr>
                <w:rFonts w:cstheme="minorHAnsi"/>
                <w:color w:val="000000" w:themeColor="text1"/>
                <w:lang w:val="es-ES"/>
              </w:rPr>
              <w:t>14-31.</w:t>
            </w:r>
            <w:r w:rsidRPr="00D011C4">
              <w:rPr>
                <w:rFonts w:cstheme="minorHAnsi"/>
                <w:i/>
                <w:color w:val="000000" w:themeColor="text1"/>
                <w:lang w:val="es-ES"/>
              </w:rPr>
              <w:t xml:space="preserve"> </w:t>
            </w:r>
            <w:r w:rsidRPr="00D011C4">
              <w:rPr>
                <w:rFonts w:cstheme="minorHAnsi"/>
                <w:color w:val="000000" w:themeColor="text1"/>
                <w:lang w:val="es-ES"/>
              </w:rPr>
              <w:t>San José: SEBILA, 20</w:t>
            </w:r>
            <w:r>
              <w:rPr>
                <w:rFonts w:cstheme="minorHAnsi"/>
                <w:color w:val="000000" w:themeColor="text1"/>
                <w:lang w:val="es-ES"/>
              </w:rPr>
              <w:t>1</w:t>
            </w:r>
            <w:r w:rsidRPr="00D011C4">
              <w:rPr>
                <w:rFonts w:cstheme="minorHAnsi"/>
                <w:color w:val="000000" w:themeColor="text1"/>
                <w:lang w:val="es-ES"/>
              </w:rPr>
              <w:t>9.</w:t>
            </w:r>
          </w:p>
          <w:p w14:paraId="2D5AF97F" w14:textId="77777777" w:rsidR="0076384B" w:rsidRDefault="0076384B" w:rsidP="008578BF">
            <w:pPr>
              <w:rPr>
                <w:rFonts w:cstheme="minorHAnsi"/>
                <w:color w:val="000000" w:themeColor="text1"/>
                <w:lang w:val="es-ES"/>
              </w:rPr>
            </w:pPr>
          </w:p>
          <w:p w14:paraId="162250FC" w14:textId="77777777" w:rsidR="0076384B" w:rsidRDefault="0076384B" w:rsidP="008578BF">
            <w:pPr>
              <w:rPr>
                <w:rFonts w:cstheme="minorHAnsi"/>
                <w:b/>
                <w:color w:val="0070C0"/>
                <w:lang w:val="es-ES"/>
              </w:rPr>
            </w:pPr>
            <w:r w:rsidRPr="001A0FC1">
              <w:rPr>
                <w:rFonts w:cstheme="minorHAnsi"/>
                <w:b/>
                <w:color w:val="0070C0"/>
                <w:lang w:val="es-ES"/>
              </w:rPr>
              <w:t>Material complementario</w:t>
            </w:r>
          </w:p>
          <w:p w14:paraId="618651E8" w14:textId="77777777" w:rsidR="0076384B" w:rsidRDefault="0076384B" w:rsidP="008578BF">
            <w:pPr>
              <w:rPr>
                <w:rFonts w:cstheme="minorHAnsi"/>
                <w:bCs/>
                <w:color w:val="0070C0"/>
                <w:lang w:val="es-ES"/>
              </w:rPr>
            </w:pPr>
            <w:r>
              <w:rPr>
                <w:rFonts w:cstheme="minorHAnsi"/>
                <w:bCs/>
                <w:color w:val="0070C0"/>
                <w:lang w:val="es-ES"/>
              </w:rPr>
              <w:t>Guía para la elaboración de un diario reflexivo</w:t>
            </w:r>
          </w:p>
          <w:p w14:paraId="0AFD2A03" w14:textId="46227EA8" w:rsidR="0076384B" w:rsidRPr="002F3CFF" w:rsidRDefault="0076384B" w:rsidP="00484BB1">
            <w:pPr>
              <w:rPr>
                <w:rFonts w:cstheme="minorHAnsi"/>
                <w:bCs/>
                <w:color w:val="000000" w:themeColor="text1"/>
                <w:lang w:val="es-ES"/>
              </w:rPr>
            </w:pPr>
            <w:r>
              <w:rPr>
                <w:rFonts w:cstheme="minorHAnsi"/>
                <w:bCs/>
                <w:color w:val="0070C0"/>
                <w:lang w:val="es-ES"/>
              </w:rPr>
              <w:t>Guía para la participación en un foro en la plataforma Moodle</w:t>
            </w:r>
          </w:p>
        </w:tc>
        <w:tc>
          <w:tcPr>
            <w:tcW w:w="3119" w:type="dxa"/>
          </w:tcPr>
          <w:p w14:paraId="2D417A2D"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Realizar la lectura de la sesión.</w:t>
            </w:r>
          </w:p>
          <w:p w14:paraId="43F8D5F5"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Iniciar la elaboración de un diario reflexivo.</w:t>
            </w:r>
          </w:p>
          <w:p w14:paraId="3C34E807" w14:textId="77777777" w:rsidR="0076384B" w:rsidRPr="00D011C4" w:rsidRDefault="0076384B" w:rsidP="0076384B">
            <w:pPr>
              <w:numPr>
                <w:ilvl w:val="1"/>
                <w:numId w:val="33"/>
              </w:numPr>
              <w:spacing w:after="0" w:line="240" w:lineRule="auto"/>
              <w:ind w:left="176" w:hanging="142"/>
              <w:rPr>
                <w:color w:val="000000" w:themeColor="text1"/>
                <w:lang w:val="es-ES"/>
              </w:rPr>
            </w:pPr>
            <w:r w:rsidRPr="1B8DFF3C">
              <w:rPr>
                <w:color w:val="000000" w:themeColor="text1"/>
                <w:lang w:val="es-ES"/>
              </w:rPr>
              <w:t>Participación en el foro temático grupal: El objeto de estudio de las Ciencias Bíblicas, en el cual se realizarán aportes docentes y se discutirán los temas presentados.</w:t>
            </w:r>
          </w:p>
          <w:p w14:paraId="54B62E15" w14:textId="77777777" w:rsidR="0076384B" w:rsidRPr="00D011C4" w:rsidRDefault="0076384B" w:rsidP="00012916">
            <w:pPr>
              <w:rPr>
                <w:rFonts w:cstheme="minorHAnsi"/>
                <w:color w:val="000000" w:themeColor="text1"/>
              </w:rPr>
            </w:pPr>
          </w:p>
        </w:tc>
      </w:tr>
      <w:tr w:rsidR="0076384B" w:rsidRPr="00D011C4" w14:paraId="2A21E053" w14:textId="77777777" w:rsidTr="1B8DFF3C">
        <w:trPr>
          <w:jc w:val="center"/>
        </w:trPr>
        <w:tc>
          <w:tcPr>
            <w:tcW w:w="1271" w:type="dxa"/>
          </w:tcPr>
          <w:p w14:paraId="2521AA42" w14:textId="77777777" w:rsidR="0076384B" w:rsidRPr="00D011C4" w:rsidRDefault="0076384B" w:rsidP="00274E5D">
            <w:pPr>
              <w:jc w:val="center"/>
              <w:rPr>
                <w:rFonts w:cstheme="minorHAnsi"/>
                <w:color w:val="000000" w:themeColor="text1"/>
              </w:rPr>
            </w:pPr>
            <w:r w:rsidRPr="00D011C4">
              <w:rPr>
                <w:rFonts w:cstheme="minorHAnsi"/>
                <w:color w:val="000000" w:themeColor="text1"/>
              </w:rPr>
              <w:t>3</w:t>
            </w:r>
          </w:p>
          <w:p w14:paraId="178D72C8" w14:textId="77777777" w:rsidR="0076384B" w:rsidRPr="00D011C4" w:rsidRDefault="0076384B" w:rsidP="00274E5D">
            <w:pPr>
              <w:jc w:val="center"/>
              <w:rPr>
                <w:rFonts w:cstheme="minorHAnsi"/>
                <w:color w:val="FF0000"/>
              </w:rPr>
            </w:pPr>
          </w:p>
        </w:tc>
        <w:tc>
          <w:tcPr>
            <w:tcW w:w="2126" w:type="dxa"/>
          </w:tcPr>
          <w:p w14:paraId="28791D1A" w14:textId="77777777" w:rsidR="0076384B" w:rsidRPr="00EA3D3F" w:rsidRDefault="0076384B" w:rsidP="0055426C">
            <w:pPr>
              <w:rPr>
                <w:rFonts w:cstheme="minorHAnsi"/>
                <w:b/>
                <w:bCs/>
              </w:rPr>
            </w:pPr>
            <w:r w:rsidRPr="00EA3D3F">
              <w:rPr>
                <w:rFonts w:cstheme="minorHAnsi"/>
                <w:b/>
                <w:bCs/>
              </w:rPr>
              <w:t>Unidad 1: Historia de la Biblia I</w:t>
            </w:r>
          </w:p>
          <w:p w14:paraId="495E3BFF" w14:textId="77777777" w:rsidR="0076384B" w:rsidRPr="00D011C4" w:rsidRDefault="0076384B" w:rsidP="00274E5D">
            <w:pPr>
              <w:rPr>
                <w:rFonts w:cstheme="minorHAnsi"/>
                <w:color w:val="000000" w:themeColor="text1"/>
                <w:lang w:val="es-ES"/>
              </w:rPr>
            </w:pPr>
            <w:r w:rsidRPr="00DC65C9">
              <w:rPr>
                <w:rFonts w:cstheme="minorHAnsi"/>
                <w:lang w:val="es-ES"/>
              </w:rPr>
              <w:t>1.3 Historia del canon de la Biblia</w:t>
            </w:r>
          </w:p>
        </w:tc>
        <w:tc>
          <w:tcPr>
            <w:tcW w:w="2835" w:type="dxa"/>
          </w:tcPr>
          <w:p w14:paraId="3F307F67" w14:textId="77777777" w:rsidR="0076384B" w:rsidRDefault="0076384B" w:rsidP="006876F4">
            <w:pPr>
              <w:rPr>
                <w:rFonts w:eastAsia="Arial" w:cstheme="minorHAnsi"/>
                <w:color w:val="000000" w:themeColor="text1"/>
              </w:rPr>
            </w:pPr>
            <w:r>
              <w:rPr>
                <w:rFonts w:cstheme="minorHAnsi"/>
                <w:color w:val="0070C0"/>
              </w:rPr>
              <w:t>Ruta de aprendizaje</w:t>
            </w:r>
          </w:p>
          <w:p w14:paraId="42945D1F" w14:textId="77777777" w:rsidR="0076384B" w:rsidRPr="00D011C4" w:rsidRDefault="0076384B" w:rsidP="006876F4">
            <w:pPr>
              <w:rPr>
                <w:rFonts w:cstheme="minorHAnsi"/>
              </w:rPr>
            </w:pPr>
            <w:r w:rsidRPr="00D011C4">
              <w:rPr>
                <w:rFonts w:eastAsia="Arial" w:cstheme="minorHAnsi"/>
                <w:color w:val="000000" w:themeColor="text1"/>
              </w:rPr>
              <w:t xml:space="preserve">De </w:t>
            </w:r>
            <w:proofErr w:type="spellStart"/>
            <w:r w:rsidRPr="00D011C4">
              <w:rPr>
                <w:rFonts w:eastAsia="Arial" w:cstheme="minorHAnsi"/>
                <w:color w:val="000000" w:themeColor="text1"/>
              </w:rPr>
              <w:t>Pury</w:t>
            </w:r>
            <w:proofErr w:type="spellEnd"/>
            <w:r w:rsidRPr="00D011C4">
              <w:rPr>
                <w:rFonts w:eastAsia="Arial" w:cstheme="minorHAnsi"/>
                <w:color w:val="000000" w:themeColor="text1"/>
              </w:rPr>
              <w:t xml:space="preserve">, Albert. “El canon del Antiguo Testamento”. En </w:t>
            </w:r>
            <w:r w:rsidRPr="00D011C4">
              <w:rPr>
                <w:rFonts w:eastAsia="Arial" w:cstheme="minorHAnsi"/>
                <w:i/>
                <w:color w:val="000000" w:themeColor="text1"/>
              </w:rPr>
              <w:t xml:space="preserve">Introducción al Antiguo Testamento, </w:t>
            </w:r>
            <w:r w:rsidRPr="00D011C4">
              <w:rPr>
                <w:rFonts w:eastAsia="Arial" w:cstheme="minorHAnsi"/>
                <w:color w:val="000000" w:themeColor="text1"/>
              </w:rPr>
              <w:t xml:space="preserve">editado por Thomas </w:t>
            </w:r>
            <w:proofErr w:type="spellStart"/>
            <w:r w:rsidRPr="00D011C4">
              <w:rPr>
                <w:rFonts w:eastAsia="Arial" w:cstheme="minorHAnsi"/>
                <w:color w:val="000000" w:themeColor="text1"/>
              </w:rPr>
              <w:t>Römer</w:t>
            </w:r>
            <w:proofErr w:type="spellEnd"/>
            <w:r w:rsidRPr="00D011C4">
              <w:rPr>
                <w:rFonts w:eastAsia="Arial" w:cstheme="minorHAnsi"/>
                <w:color w:val="000000" w:themeColor="text1"/>
              </w:rPr>
              <w:t xml:space="preserve">, Jean-Daniel Macchi y </w:t>
            </w:r>
            <w:proofErr w:type="spellStart"/>
            <w:r w:rsidRPr="00D011C4">
              <w:rPr>
                <w:rFonts w:eastAsia="Arial" w:cstheme="minorHAnsi"/>
                <w:color w:val="000000" w:themeColor="text1"/>
              </w:rPr>
              <w:t>Christophe</w:t>
            </w:r>
            <w:proofErr w:type="spellEnd"/>
            <w:r w:rsidRPr="00D011C4">
              <w:rPr>
                <w:rFonts w:eastAsia="Arial" w:cstheme="minorHAnsi"/>
                <w:color w:val="000000" w:themeColor="text1"/>
              </w:rPr>
              <w:t xml:space="preserve"> </w:t>
            </w:r>
            <w:proofErr w:type="spellStart"/>
            <w:r w:rsidRPr="00D011C4">
              <w:rPr>
                <w:rFonts w:eastAsia="Arial" w:cstheme="minorHAnsi"/>
                <w:color w:val="000000" w:themeColor="text1"/>
              </w:rPr>
              <w:t>Nihan</w:t>
            </w:r>
            <w:proofErr w:type="spellEnd"/>
            <w:r w:rsidRPr="00D011C4">
              <w:rPr>
                <w:rFonts w:eastAsia="Arial" w:cstheme="minorHAnsi"/>
                <w:color w:val="000000" w:themeColor="text1"/>
              </w:rPr>
              <w:t>, 17-39. Bilbao: Desclée de Brouwer, 2008.</w:t>
            </w:r>
            <w:r>
              <w:rPr>
                <w:rFonts w:eastAsia="Arial" w:cstheme="minorHAnsi"/>
                <w:color w:val="000000" w:themeColor="text1"/>
              </w:rPr>
              <w:t xml:space="preserve"> (</w:t>
            </w:r>
            <w:r w:rsidRPr="007C64CE">
              <w:rPr>
                <w:rFonts w:eastAsia="Arial" w:cstheme="minorHAnsi"/>
                <w:color w:val="0070C0"/>
              </w:rPr>
              <w:t>clásico, última edición)</w:t>
            </w:r>
          </w:p>
          <w:p w14:paraId="50C54BC6" w14:textId="77777777" w:rsidR="0076384B" w:rsidRDefault="0076384B" w:rsidP="006876F4">
            <w:pPr>
              <w:rPr>
                <w:rFonts w:cstheme="minorHAnsi"/>
              </w:rPr>
            </w:pPr>
            <w:proofErr w:type="spellStart"/>
            <w:r w:rsidRPr="00D011C4">
              <w:rPr>
                <w:rFonts w:cstheme="minorHAnsi"/>
              </w:rPr>
              <w:t>Kaestli</w:t>
            </w:r>
            <w:proofErr w:type="spellEnd"/>
            <w:r w:rsidRPr="00D011C4">
              <w:rPr>
                <w:rFonts w:cstheme="minorHAnsi"/>
              </w:rPr>
              <w:t xml:space="preserve">, Jean-Daniel. “Historia del canon del Nuevo Testamento”. En </w:t>
            </w:r>
            <w:r w:rsidRPr="00D011C4">
              <w:rPr>
                <w:rFonts w:cstheme="minorHAnsi"/>
                <w:i/>
              </w:rPr>
              <w:t>Introducción al Nuevo Testamento. Su historia, su escritura, su teología</w:t>
            </w:r>
            <w:r w:rsidRPr="00D011C4">
              <w:rPr>
                <w:rFonts w:cstheme="minorHAnsi"/>
              </w:rPr>
              <w:t xml:space="preserve">, editado por Daniel </w:t>
            </w:r>
            <w:proofErr w:type="spellStart"/>
            <w:r w:rsidRPr="00D011C4">
              <w:rPr>
                <w:rFonts w:cstheme="minorHAnsi"/>
              </w:rPr>
              <w:lastRenderedPageBreak/>
              <w:t>Marguerat</w:t>
            </w:r>
            <w:proofErr w:type="spellEnd"/>
            <w:r w:rsidRPr="00D011C4">
              <w:rPr>
                <w:rFonts w:cstheme="minorHAnsi"/>
              </w:rPr>
              <w:t xml:space="preserve">, 449-474. </w:t>
            </w:r>
            <w:r w:rsidRPr="00D011C4">
              <w:rPr>
                <w:rFonts w:cstheme="minorHAnsi"/>
                <w:color w:val="000000" w:themeColor="text1"/>
              </w:rPr>
              <w:t>Bilbao: Desclée de Brouwer, 2008.</w:t>
            </w:r>
            <w:r>
              <w:rPr>
                <w:rFonts w:cstheme="minorHAnsi"/>
                <w:color w:val="000000" w:themeColor="text1"/>
              </w:rPr>
              <w:t xml:space="preserve"> </w:t>
            </w:r>
            <w:r>
              <w:rPr>
                <w:rFonts w:cstheme="minorHAnsi"/>
              </w:rPr>
              <w:t>(</w:t>
            </w:r>
            <w:r w:rsidRPr="00E959B7">
              <w:rPr>
                <w:rFonts w:cstheme="minorHAnsi"/>
                <w:color w:val="0070C0"/>
              </w:rPr>
              <w:t>clásico, última edición</w:t>
            </w:r>
            <w:r>
              <w:rPr>
                <w:rFonts w:cstheme="minorHAnsi"/>
              </w:rPr>
              <w:t>)</w:t>
            </w:r>
            <w:r w:rsidRPr="00D011C4">
              <w:rPr>
                <w:rFonts w:cstheme="minorHAnsi"/>
              </w:rPr>
              <w:t xml:space="preserve"> </w:t>
            </w:r>
          </w:p>
          <w:p w14:paraId="3BF8B8C8" w14:textId="77777777" w:rsidR="0076384B" w:rsidRDefault="0076384B" w:rsidP="006876F4">
            <w:pPr>
              <w:rPr>
                <w:rFonts w:cstheme="minorHAnsi"/>
                <w:b/>
                <w:color w:val="0070C0"/>
                <w:lang w:val="es-ES"/>
              </w:rPr>
            </w:pPr>
            <w:r w:rsidRPr="001A0FC1">
              <w:rPr>
                <w:rFonts w:cstheme="minorHAnsi"/>
                <w:b/>
                <w:color w:val="0070C0"/>
                <w:lang w:val="es-ES"/>
              </w:rPr>
              <w:t>Material complementario</w:t>
            </w:r>
          </w:p>
          <w:p w14:paraId="4FD59FEE" w14:textId="77777777" w:rsidR="0076384B" w:rsidRDefault="0076384B" w:rsidP="006876F4">
            <w:pPr>
              <w:rPr>
                <w:rFonts w:cstheme="minorHAnsi"/>
                <w:bCs/>
                <w:color w:val="0070C0"/>
                <w:lang w:val="es-ES"/>
              </w:rPr>
            </w:pPr>
            <w:r>
              <w:rPr>
                <w:rFonts w:cstheme="minorHAnsi"/>
                <w:bCs/>
                <w:color w:val="0070C0"/>
                <w:lang w:val="es-ES"/>
              </w:rPr>
              <w:t>Guía para la elaboración de un diario reflexivo</w:t>
            </w:r>
          </w:p>
          <w:p w14:paraId="366FDB02" w14:textId="61C997B5" w:rsidR="0076384B" w:rsidRPr="00D011C4" w:rsidRDefault="0076384B" w:rsidP="00484BB1">
            <w:pPr>
              <w:rPr>
                <w:rFonts w:cstheme="minorHAnsi"/>
                <w:color w:val="000000" w:themeColor="text1"/>
                <w:lang w:val="es-ES"/>
              </w:rPr>
            </w:pPr>
            <w:r>
              <w:rPr>
                <w:rFonts w:cstheme="minorHAnsi"/>
                <w:bCs/>
                <w:color w:val="0070C0"/>
                <w:lang w:val="es-ES"/>
              </w:rPr>
              <w:t>Guía para la participación en un foro en la plataforma Moodle</w:t>
            </w:r>
          </w:p>
        </w:tc>
        <w:tc>
          <w:tcPr>
            <w:tcW w:w="3119" w:type="dxa"/>
          </w:tcPr>
          <w:p w14:paraId="7C319B7D"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lastRenderedPageBreak/>
              <w:t>Realizar las lecturas de la sesión.</w:t>
            </w:r>
          </w:p>
          <w:p w14:paraId="1626FA5B"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Realizar aportes al diario reflexivo y entregarlo.</w:t>
            </w:r>
          </w:p>
          <w:p w14:paraId="705F36EB"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Participación en el foro temático grupal: ¿Qué es el canon?</w:t>
            </w:r>
          </w:p>
          <w:p w14:paraId="0FCAC89D"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Respuesta docente al trabajo grupal dentro del foro temático.</w:t>
            </w:r>
          </w:p>
          <w:p w14:paraId="717EF098"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Aporte docente sobre la perspectiva feminista del canon bíblico dentro del foro temático.</w:t>
            </w:r>
          </w:p>
          <w:p w14:paraId="2DE0F4F3" w14:textId="77777777" w:rsidR="0076384B" w:rsidRPr="00D011C4" w:rsidRDefault="0076384B" w:rsidP="002E0316">
            <w:pPr>
              <w:ind w:left="176"/>
              <w:rPr>
                <w:rFonts w:cstheme="minorHAnsi"/>
                <w:color w:val="000000" w:themeColor="text1"/>
              </w:rPr>
            </w:pPr>
          </w:p>
        </w:tc>
      </w:tr>
      <w:tr w:rsidR="0076384B" w:rsidRPr="00D011C4" w14:paraId="14EEC114" w14:textId="77777777" w:rsidTr="1B8DFF3C">
        <w:trPr>
          <w:jc w:val="center"/>
        </w:trPr>
        <w:tc>
          <w:tcPr>
            <w:tcW w:w="1271" w:type="dxa"/>
          </w:tcPr>
          <w:p w14:paraId="70A7A604" w14:textId="77777777" w:rsidR="0076384B" w:rsidRPr="00D011C4" w:rsidRDefault="0076384B" w:rsidP="00274E5D">
            <w:pPr>
              <w:jc w:val="center"/>
              <w:rPr>
                <w:rFonts w:cstheme="minorHAnsi"/>
                <w:color w:val="FF0000"/>
              </w:rPr>
            </w:pPr>
            <w:r w:rsidRPr="00D011C4">
              <w:rPr>
                <w:rFonts w:cstheme="minorHAnsi"/>
                <w:color w:val="000000" w:themeColor="text1"/>
              </w:rPr>
              <w:t>4</w:t>
            </w:r>
          </w:p>
          <w:p w14:paraId="6A98EDCC" w14:textId="77777777" w:rsidR="0076384B" w:rsidRPr="00D011C4" w:rsidRDefault="0076384B" w:rsidP="00274E5D">
            <w:pPr>
              <w:jc w:val="center"/>
              <w:rPr>
                <w:rFonts w:cstheme="minorHAnsi"/>
                <w:color w:val="FF0000"/>
              </w:rPr>
            </w:pPr>
          </w:p>
        </w:tc>
        <w:tc>
          <w:tcPr>
            <w:tcW w:w="2126" w:type="dxa"/>
          </w:tcPr>
          <w:p w14:paraId="07E79F2D" w14:textId="77777777" w:rsidR="0076384B" w:rsidRPr="00EA3D3F" w:rsidRDefault="0076384B" w:rsidP="00274E5D">
            <w:pPr>
              <w:rPr>
                <w:rFonts w:cstheme="minorHAnsi"/>
                <w:b/>
                <w:bCs/>
                <w:lang w:val="es-ES"/>
              </w:rPr>
            </w:pPr>
            <w:r w:rsidRPr="00EA3D3F">
              <w:rPr>
                <w:rFonts w:cstheme="minorHAnsi"/>
                <w:b/>
                <w:bCs/>
                <w:lang w:val="es-ES"/>
              </w:rPr>
              <w:t>Unidad 2: Historia de la Biblia II</w:t>
            </w:r>
          </w:p>
          <w:p w14:paraId="5BD242AF" w14:textId="77777777" w:rsidR="0076384B" w:rsidRPr="00D011C4" w:rsidRDefault="0076384B" w:rsidP="00274E5D">
            <w:pPr>
              <w:rPr>
                <w:rFonts w:cstheme="minorHAnsi"/>
                <w:color w:val="000000" w:themeColor="text1"/>
                <w:lang w:val="es-ES"/>
              </w:rPr>
            </w:pPr>
            <w:r w:rsidRPr="00FB3932">
              <w:rPr>
                <w:rFonts w:cstheme="minorHAnsi"/>
                <w:lang w:val="es-ES"/>
              </w:rPr>
              <w:t>2.1 Historia del antiguo Israel</w:t>
            </w:r>
          </w:p>
        </w:tc>
        <w:tc>
          <w:tcPr>
            <w:tcW w:w="2835" w:type="dxa"/>
          </w:tcPr>
          <w:p w14:paraId="2C551C67" w14:textId="77777777" w:rsidR="0076384B" w:rsidRDefault="0076384B" w:rsidP="006876F4">
            <w:pPr>
              <w:rPr>
                <w:rFonts w:cstheme="minorHAnsi"/>
                <w:lang w:val="es-ES"/>
              </w:rPr>
            </w:pPr>
            <w:r>
              <w:rPr>
                <w:rFonts w:cstheme="minorHAnsi"/>
                <w:color w:val="0070C0"/>
              </w:rPr>
              <w:t>Ruta de aprendizaje</w:t>
            </w:r>
          </w:p>
          <w:p w14:paraId="2A9C113C" w14:textId="77777777" w:rsidR="0076384B" w:rsidRDefault="0076384B" w:rsidP="006876F4">
            <w:pPr>
              <w:rPr>
                <w:rFonts w:cstheme="minorHAnsi"/>
                <w:color w:val="00B050"/>
                <w:lang w:val="es-ES"/>
              </w:rPr>
            </w:pPr>
            <w:r w:rsidRPr="00D011C4">
              <w:rPr>
                <w:rFonts w:cstheme="minorHAnsi"/>
                <w:lang w:val="es-ES"/>
              </w:rPr>
              <w:t xml:space="preserve">Schmid, Konrad. “La literatura en el período asirio (siglos VIII-VII a. C.)”. En </w:t>
            </w:r>
            <w:r w:rsidRPr="00D011C4">
              <w:rPr>
                <w:rFonts w:cstheme="minorHAnsi"/>
                <w:i/>
                <w:lang w:val="es-ES"/>
              </w:rPr>
              <w:t>Historia literaria del Antiguo Testamento: Una introducción</w:t>
            </w:r>
            <w:r w:rsidRPr="00D011C4">
              <w:rPr>
                <w:rFonts w:cstheme="minorHAnsi"/>
                <w:lang w:val="es-ES"/>
              </w:rPr>
              <w:t>, 91-135. Madrid: Editorial Trotta, 2019.</w:t>
            </w:r>
            <w:r w:rsidRPr="00D011C4">
              <w:rPr>
                <w:rFonts w:cstheme="minorHAnsi"/>
                <w:color w:val="00B050"/>
                <w:lang w:val="es-ES"/>
              </w:rPr>
              <w:t xml:space="preserve"> </w:t>
            </w:r>
          </w:p>
          <w:p w14:paraId="0A122A0A" w14:textId="77777777" w:rsidR="0076384B" w:rsidRDefault="0076384B" w:rsidP="006876F4">
            <w:pPr>
              <w:rPr>
                <w:rFonts w:cstheme="minorHAnsi"/>
                <w:b/>
                <w:color w:val="0070C0"/>
                <w:lang w:val="es-ES"/>
              </w:rPr>
            </w:pPr>
            <w:r w:rsidRPr="001A0FC1">
              <w:rPr>
                <w:rFonts w:cstheme="minorHAnsi"/>
                <w:b/>
                <w:color w:val="0070C0"/>
                <w:lang w:val="es-ES"/>
              </w:rPr>
              <w:t>Material complementario</w:t>
            </w:r>
          </w:p>
          <w:p w14:paraId="0F4D15CD" w14:textId="534C7D12" w:rsidR="0076384B" w:rsidRPr="00D1046B" w:rsidRDefault="0076384B" w:rsidP="00484BB1">
            <w:pPr>
              <w:rPr>
                <w:rFonts w:cstheme="minorHAnsi"/>
                <w:bCs/>
                <w:color w:val="00B050"/>
                <w:lang w:val="es-ES"/>
              </w:rPr>
            </w:pPr>
            <w:r>
              <w:rPr>
                <w:rFonts w:cstheme="minorHAnsi"/>
                <w:bCs/>
                <w:color w:val="0070C0"/>
                <w:lang w:val="es-ES"/>
              </w:rPr>
              <w:t xml:space="preserve">Guía para la participación mediante la herramienta Big Blue </w:t>
            </w:r>
            <w:proofErr w:type="spellStart"/>
            <w:r>
              <w:rPr>
                <w:rFonts w:cstheme="minorHAnsi"/>
                <w:bCs/>
                <w:color w:val="0070C0"/>
                <w:lang w:val="es-ES"/>
              </w:rPr>
              <w:t>Button</w:t>
            </w:r>
            <w:proofErr w:type="spellEnd"/>
            <w:r>
              <w:rPr>
                <w:rFonts w:cstheme="minorHAnsi"/>
                <w:bCs/>
                <w:color w:val="0070C0"/>
                <w:lang w:val="es-ES"/>
              </w:rPr>
              <w:t xml:space="preserve"> en la plataforma Moodle</w:t>
            </w:r>
          </w:p>
        </w:tc>
        <w:tc>
          <w:tcPr>
            <w:tcW w:w="3119" w:type="dxa"/>
          </w:tcPr>
          <w:p w14:paraId="1B4A0B87"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Realizar la lectura de la sesión.</w:t>
            </w:r>
          </w:p>
          <w:p w14:paraId="02A8FA69"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Inicia la elaboración de un ensayo sobre la historia en Israel y la iglesia primitiva.</w:t>
            </w:r>
          </w:p>
          <w:p w14:paraId="279B42BF" w14:textId="77777777" w:rsidR="0076384B" w:rsidRPr="00D011C4" w:rsidRDefault="0076384B" w:rsidP="0076384B">
            <w:pPr>
              <w:numPr>
                <w:ilvl w:val="1"/>
                <w:numId w:val="33"/>
              </w:numPr>
              <w:spacing w:after="0" w:line="240" w:lineRule="auto"/>
              <w:ind w:left="176" w:hanging="142"/>
              <w:rPr>
                <w:rFonts w:cstheme="minorHAnsi"/>
                <w:color w:val="000000" w:themeColor="text1"/>
              </w:rPr>
            </w:pPr>
            <w:r w:rsidRPr="00D011C4">
              <w:rPr>
                <w:rFonts w:cstheme="minorHAnsi"/>
                <w:color w:val="000000" w:themeColor="text1"/>
              </w:rPr>
              <w:t>Ejercicio de síntesis y aporte docente en un encuentro sincrónico</w:t>
            </w:r>
            <w:r>
              <w:rPr>
                <w:rFonts w:cstheme="minorHAnsi"/>
                <w:color w:val="000000" w:themeColor="text1"/>
              </w:rPr>
              <w:t xml:space="preserve"> virtual</w:t>
            </w:r>
            <w:r w:rsidRPr="00D011C4">
              <w:rPr>
                <w:rFonts w:cstheme="minorHAnsi"/>
                <w:color w:val="000000" w:themeColor="text1"/>
              </w:rPr>
              <w:t xml:space="preserve"> </w:t>
            </w:r>
            <w:r>
              <w:rPr>
                <w:rFonts w:cstheme="minorHAnsi"/>
                <w:color w:val="000000" w:themeColor="text1"/>
              </w:rPr>
              <w:t>(formativo)</w:t>
            </w:r>
            <w:r w:rsidRPr="00D011C4">
              <w:rPr>
                <w:rFonts w:cstheme="minorHAnsi"/>
                <w:color w:val="000000" w:themeColor="text1"/>
              </w:rPr>
              <w:t>.</w:t>
            </w:r>
          </w:p>
          <w:p w14:paraId="0A5C6080" w14:textId="77777777" w:rsidR="0076384B" w:rsidRPr="00D011C4" w:rsidRDefault="0076384B" w:rsidP="00DB53A9">
            <w:pPr>
              <w:ind w:left="176"/>
              <w:rPr>
                <w:rFonts w:cstheme="minorHAnsi"/>
                <w:color w:val="000000" w:themeColor="text1"/>
              </w:rPr>
            </w:pPr>
          </w:p>
        </w:tc>
      </w:tr>
      <w:tr w:rsidR="0076384B" w:rsidRPr="00D011C4" w14:paraId="3ED0C8D6" w14:textId="77777777" w:rsidTr="1B8DFF3C">
        <w:trPr>
          <w:jc w:val="center"/>
        </w:trPr>
        <w:tc>
          <w:tcPr>
            <w:tcW w:w="1271" w:type="dxa"/>
          </w:tcPr>
          <w:p w14:paraId="2671E70C" w14:textId="77777777" w:rsidR="0076384B" w:rsidRPr="00D011C4" w:rsidRDefault="0076384B" w:rsidP="00274E5D">
            <w:pPr>
              <w:jc w:val="center"/>
              <w:rPr>
                <w:rFonts w:cstheme="minorHAnsi"/>
                <w:color w:val="000000" w:themeColor="text1"/>
              </w:rPr>
            </w:pPr>
            <w:r w:rsidRPr="00D011C4">
              <w:rPr>
                <w:rFonts w:cstheme="minorHAnsi"/>
                <w:color w:val="000000" w:themeColor="text1"/>
              </w:rPr>
              <w:t>5</w:t>
            </w:r>
          </w:p>
          <w:p w14:paraId="7AB97579" w14:textId="77777777" w:rsidR="0076384B" w:rsidRPr="00D011C4" w:rsidRDefault="0076384B" w:rsidP="00274E5D">
            <w:pPr>
              <w:jc w:val="center"/>
              <w:rPr>
                <w:rFonts w:cstheme="minorHAnsi"/>
                <w:color w:val="FF0000"/>
              </w:rPr>
            </w:pPr>
          </w:p>
        </w:tc>
        <w:tc>
          <w:tcPr>
            <w:tcW w:w="2126" w:type="dxa"/>
          </w:tcPr>
          <w:p w14:paraId="37DC930D" w14:textId="77777777" w:rsidR="0076384B" w:rsidRPr="00EA3D3F" w:rsidRDefault="0076384B" w:rsidP="00945450">
            <w:pPr>
              <w:rPr>
                <w:rFonts w:cstheme="minorHAnsi"/>
                <w:b/>
                <w:bCs/>
                <w:lang w:val="es-ES"/>
              </w:rPr>
            </w:pPr>
            <w:r w:rsidRPr="00EA3D3F">
              <w:rPr>
                <w:rFonts w:cstheme="minorHAnsi"/>
                <w:b/>
                <w:bCs/>
                <w:lang w:val="es-ES"/>
              </w:rPr>
              <w:t>Unidad 2: Historia de la Biblia II</w:t>
            </w:r>
          </w:p>
          <w:p w14:paraId="24022960" w14:textId="77777777" w:rsidR="0076384B" w:rsidRPr="00D011C4" w:rsidRDefault="0076384B" w:rsidP="00A413F4">
            <w:pPr>
              <w:rPr>
                <w:rFonts w:cstheme="minorHAnsi"/>
                <w:color w:val="000000" w:themeColor="text1"/>
                <w:lang w:val="es-ES"/>
              </w:rPr>
            </w:pPr>
            <w:r w:rsidRPr="00157194">
              <w:rPr>
                <w:rFonts w:cstheme="minorHAnsi"/>
                <w:lang w:val="es-ES"/>
              </w:rPr>
              <w:t>2.2 Historia del cristianismo primitivo</w:t>
            </w:r>
          </w:p>
        </w:tc>
        <w:tc>
          <w:tcPr>
            <w:tcW w:w="2835" w:type="dxa"/>
          </w:tcPr>
          <w:p w14:paraId="01F9FE94" w14:textId="77777777" w:rsidR="0076384B" w:rsidRDefault="0076384B" w:rsidP="004C1FF7">
            <w:pPr>
              <w:rPr>
                <w:rFonts w:cstheme="minorHAnsi"/>
                <w:bCs/>
                <w:color w:val="000000" w:themeColor="text1"/>
              </w:rPr>
            </w:pPr>
            <w:r>
              <w:rPr>
                <w:rFonts w:cstheme="minorHAnsi"/>
                <w:color w:val="0070C0"/>
              </w:rPr>
              <w:t>Ruta de aprendizaje</w:t>
            </w:r>
          </w:p>
          <w:p w14:paraId="6EA817CE" w14:textId="77777777" w:rsidR="0076384B" w:rsidRPr="00B14956" w:rsidRDefault="0076384B" w:rsidP="004C1FF7">
            <w:pPr>
              <w:rPr>
                <w:rFonts w:cstheme="minorHAnsi"/>
                <w:bCs/>
                <w:color w:val="000000" w:themeColor="text1"/>
                <w:sz w:val="20"/>
              </w:rPr>
            </w:pPr>
            <w:r w:rsidRPr="00B14956">
              <w:rPr>
                <w:rFonts w:cstheme="minorHAnsi"/>
                <w:bCs/>
                <w:color w:val="000000" w:themeColor="text1"/>
              </w:rPr>
              <w:t>Carbajosa Ignacio, Joaquín González Echegaray y Francisco Varo. “El nacimiento del judaísmo rabínico”. En La Biblia en su entorno, 392-405. Estella: Verbo Divino, 2023.</w:t>
            </w:r>
            <w:r w:rsidRPr="00B14956">
              <w:rPr>
                <w:rFonts w:cstheme="minorHAnsi"/>
                <w:bCs/>
                <w:color w:val="000000" w:themeColor="text1"/>
                <w:sz w:val="20"/>
              </w:rPr>
              <w:t xml:space="preserve"> </w:t>
            </w:r>
          </w:p>
          <w:p w14:paraId="41A621D7" w14:textId="77777777" w:rsidR="0076384B" w:rsidRPr="00D011C4" w:rsidRDefault="0076384B" w:rsidP="00390742">
            <w:pPr>
              <w:rPr>
                <w:rFonts w:cstheme="minorHAnsi"/>
                <w:bCs/>
                <w:color w:val="000000" w:themeColor="text1"/>
              </w:rPr>
            </w:pPr>
          </w:p>
          <w:p w14:paraId="1D6D0428" w14:textId="77777777" w:rsidR="0076384B" w:rsidRPr="00E94817" w:rsidRDefault="0076384B" w:rsidP="00390742">
            <w:pPr>
              <w:rPr>
                <w:rFonts w:cstheme="minorHAnsi"/>
                <w:bCs/>
                <w:color w:val="000000" w:themeColor="text1"/>
                <w:sz w:val="20"/>
              </w:rPr>
            </w:pPr>
            <w:r w:rsidRPr="00E94817">
              <w:rPr>
                <w:rFonts w:cstheme="minorHAnsi"/>
                <w:bCs/>
                <w:color w:val="000000" w:themeColor="text1"/>
              </w:rPr>
              <w:t>Carbajosa Ignacio, Joaquín González Echegaray y Francisco Varo. “Palestina romana”. En La Biblia en su entorno, 381-391. Estella: Verbo Divino, 2023.</w:t>
            </w:r>
            <w:r w:rsidRPr="00E94817">
              <w:rPr>
                <w:rFonts w:cstheme="minorHAnsi"/>
                <w:bCs/>
                <w:color w:val="000000" w:themeColor="text1"/>
                <w:sz w:val="20"/>
              </w:rPr>
              <w:t xml:space="preserve"> </w:t>
            </w:r>
          </w:p>
          <w:p w14:paraId="4D7062A0" w14:textId="77777777" w:rsidR="0076384B" w:rsidRPr="00D011C4" w:rsidRDefault="0076384B" w:rsidP="00390742">
            <w:pPr>
              <w:rPr>
                <w:rFonts w:cstheme="minorHAnsi"/>
                <w:b/>
                <w:bCs/>
              </w:rPr>
            </w:pPr>
            <w:r w:rsidRPr="00D011C4">
              <w:rPr>
                <w:rFonts w:cstheme="minorHAnsi"/>
                <w:b/>
                <w:bCs/>
              </w:rPr>
              <w:lastRenderedPageBreak/>
              <w:t>Material complementario</w:t>
            </w:r>
          </w:p>
          <w:p w14:paraId="542A9B01" w14:textId="77777777" w:rsidR="0076384B" w:rsidRDefault="0076384B" w:rsidP="1B8DFF3C">
            <w:pPr>
              <w:rPr>
                <w:lang w:val="es-ES"/>
              </w:rPr>
            </w:pPr>
            <w:proofErr w:type="spellStart"/>
            <w:r w:rsidRPr="1B8DFF3C">
              <w:rPr>
                <w:lang w:val="es-ES"/>
              </w:rPr>
              <w:t>Baslez</w:t>
            </w:r>
            <w:proofErr w:type="spellEnd"/>
            <w:r w:rsidRPr="1B8DFF3C">
              <w:rPr>
                <w:lang w:val="es-ES"/>
              </w:rPr>
              <w:t>, Marie-</w:t>
            </w:r>
            <w:proofErr w:type="spellStart"/>
            <w:r w:rsidRPr="1B8DFF3C">
              <w:rPr>
                <w:lang w:val="es-ES"/>
              </w:rPr>
              <w:t>Francoise</w:t>
            </w:r>
            <w:proofErr w:type="spellEnd"/>
            <w:r w:rsidRPr="1B8DFF3C">
              <w:rPr>
                <w:lang w:val="es-ES"/>
              </w:rPr>
              <w:t xml:space="preserve">. “De lo oral a lo escrito”, “Modos de escribir y géneros históricos”. En </w:t>
            </w:r>
            <w:r w:rsidRPr="1B8DFF3C">
              <w:rPr>
                <w:i/>
                <w:iCs/>
                <w:lang w:val="es-ES"/>
              </w:rPr>
              <w:t>Cómo se escribe la historia en la época del Nuevo Testamento</w:t>
            </w:r>
            <w:r w:rsidRPr="1B8DFF3C">
              <w:rPr>
                <w:lang w:val="es-ES"/>
              </w:rPr>
              <w:t>, 7-27 y 47-67. Estella: Verbo Divino, 2009.</w:t>
            </w:r>
            <w:r>
              <w:rPr>
                <w:lang w:val="es-ES"/>
              </w:rPr>
              <w:t xml:space="preserve"> </w:t>
            </w:r>
            <w:r>
              <w:rPr>
                <w:rFonts w:cstheme="minorHAnsi"/>
              </w:rPr>
              <w:t>(</w:t>
            </w:r>
            <w:r w:rsidRPr="00E959B7">
              <w:rPr>
                <w:rFonts w:cstheme="minorHAnsi"/>
                <w:color w:val="0070C0"/>
              </w:rPr>
              <w:t>clásico, última edición</w:t>
            </w:r>
            <w:r>
              <w:rPr>
                <w:rFonts w:cstheme="minorHAnsi"/>
              </w:rPr>
              <w:t>)</w:t>
            </w:r>
          </w:p>
          <w:p w14:paraId="0AF857D8" w14:textId="1434033D" w:rsidR="0076384B" w:rsidRPr="00D011C4" w:rsidRDefault="0076384B" w:rsidP="1B8DFF3C">
            <w:pPr>
              <w:rPr>
                <w:lang w:val="es-ES"/>
              </w:rPr>
            </w:pPr>
            <w:r>
              <w:rPr>
                <w:color w:val="0070C0"/>
                <w:lang w:val="es-ES"/>
              </w:rPr>
              <w:t>Guía para la participación en un foro en la plataforma Moodle</w:t>
            </w:r>
          </w:p>
          <w:p w14:paraId="744EA7B3" w14:textId="77777777" w:rsidR="0076384B" w:rsidRPr="00D011C4" w:rsidRDefault="0076384B" w:rsidP="00FD41BB">
            <w:pPr>
              <w:rPr>
                <w:rFonts w:cstheme="minorHAnsi"/>
                <w:color w:val="000000" w:themeColor="text1"/>
                <w:lang w:val="es-ES"/>
              </w:rPr>
            </w:pPr>
          </w:p>
        </w:tc>
        <w:tc>
          <w:tcPr>
            <w:tcW w:w="3119" w:type="dxa"/>
          </w:tcPr>
          <w:p w14:paraId="08846625"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lastRenderedPageBreak/>
              <w:t>Realizar las lecturas de la sesión.</w:t>
            </w:r>
          </w:p>
          <w:p w14:paraId="5A4F48B8"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lang w:val="es-ES"/>
              </w:rPr>
              <w:t>Entrega del ensayo sobre la historia en Israel y la iglesia primitiva.</w:t>
            </w:r>
          </w:p>
          <w:p w14:paraId="2EA5AC49"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lang w:val="es-ES"/>
              </w:rPr>
              <w:t>Participación en el foro temático grupal: La historia en la Biblia, donde se realizarán aportes docentes, un diálogo grupal y conclusiones sobre el tema.</w:t>
            </w:r>
          </w:p>
          <w:p w14:paraId="24CF4683" w14:textId="77777777" w:rsidR="0076384B" w:rsidRPr="00D011C4" w:rsidRDefault="0076384B" w:rsidP="00516061">
            <w:pPr>
              <w:ind w:left="176"/>
              <w:rPr>
                <w:rFonts w:cstheme="minorHAnsi"/>
                <w:color w:val="000000" w:themeColor="text1"/>
                <w:lang w:val="es-ES"/>
              </w:rPr>
            </w:pPr>
          </w:p>
        </w:tc>
      </w:tr>
      <w:tr w:rsidR="0076384B" w:rsidRPr="00D011C4" w14:paraId="39EB601D" w14:textId="77777777" w:rsidTr="1B8DFF3C">
        <w:trPr>
          <w:jc w:val="center"/>
        </w:trPr>
        <w:tc>
          <w:tcPr>
            <w:tcW w:w="1271" w:type="dxa"/>
          </w:tcPr>
          <w:p w14:paraId="6AB58AE3" w14:textId="77777777" w:rsidR="0076384B" w:rsidRPr="00D011C4" w:rsidRDefault="0076384B" w:rsidP="00274E5D">
            <w:pPr>
              <w:jc w:val="center"/>
              <w:rPr>
                <w:rFonts w:cstheme="minorHAnsi"/>
                <w:color w:val="000000" w:themeColor="text1"/>
              </w:rPr>
            </w:pPr>
            <w:r w:rsidRPr="00D011C4">
              <w:rPr>
                <w:rFonts w:cstheme="minorHAnsi"/>
                <w:color w:val="000000" w:themeColor="text1"/>
              </w:rPr>
              <w:t>6</w:t>
            </w:r>
          </w:p>
          <w:p w14:paraId="519E1BCD" w14:textId="77777777" w:rsidR="0076384B" w:rsidRPr="00D011C4" w:rsidRDefault="0076384B" w:rsidP="00274E5D">
            <w:pPr>
              <w:jc w:val="center"/>
              <w:rPr>
                <w:rFonts w:cstheme="minorHAnsi"/>
                <w:color w:val="FF0000"/>
              </w:rPr>
            </w:pPr>
          </w:p>
        </w:tc>
        <w:tc>
          <w:tcPr>
            <w:tcW w:w="2126" w:type="dxa"/>
          </w:tcPr>
          <w:p w14:paraId="399D728C" w14:textId="77777777" w:rsidR="0076384B" w:rsidRPr="00EA3D3F" w:rsidRDefault="0076384B" w:rsidP="00274E5D">
            <w:pPr>
              <w:rPr>
                <w:rFonts w:cstheme="minorHAnsi"/>
                <w:b/>
                <w:bCs/>
                <w:lang w:val="es-ES"/>
              </w:rPr>
            </w:pPr>
            <w:r w:rsidRPr="00EA3D3F">
              <w:rPr>
                <w:rFonts w:cstheme="minorHAnsi"/>
                <w:b/>
                <w:bCs/>
                <w:lang w:val="es-ES"/>
              </w:rPr>
              <w:t>Unidad 3: La crítica textual de la Biblia</w:t>
            </w:r>
          </w:p>
          <w:p w14:paraId="68402DFD" w14:textId="77777777" w:rsidR="0076384B" w:rsidRPr="00D011C4" w:rsidRDefault="0076384B" w:rsidP="00274E5D">
            <w:pPr>
              <w:rPr>
                <w:rFonts w:cstheme="minorHAnsi"/>
                <w:color w:val="000000" w:themeColor="text1"/>
                <w:lang w:val="es-ES"/>
              </w:rPr>
            </w:pPr>
            <w:r w:rsidRPr="00614F62">
              <w:rPr>
                <w:rFonts w:cstheme="minorHAnsi"/>
                <w:lang w:val="es-ES"/>
              </w:rPr>
              <w:t>3.1 Crítica textual del AT</w:t>
            </w:r>
          </w:p>
        </w:tc>
        <w:tc>
          <w:tcPr>
            <w:tcW w:w="2835" w:type="dxa"/>
          </w:tcPr>
          <w:p w14:paraId="0131278B" w14:textId="77777777" w:rsidR="0076384B" w:rsidRDefault="0076384B" w:rsidP="00D313D7">
            <w:pPr>
              <w:rPr>
                <w:rFonts w:cstheme="minorHAnsi"/>
                <w:color w:val="000000" w:themeColor="text1"/>
                <w:lang w:val="es-ES"/>
              </w:rPr>
            </w:pPr>
            <w:r>
              <w:rPr>
                <w:rFonts w:cstheme="minorHAnsi"/>
                <w:color w:val="0070C0"/>
              </w:rPr>
              <w:t>Ruta de aprendizaje</w:t>
            </w:r>
          </w:p>
          <w:p w14:paraId="55C6B0CC" w14:textId="77777777" w:rsidR="0076384B" w:rsidRPr="00D011C4" w:rsidRDefault="0076384B" w:rsidP="00D313D7">
            <w:pPr>
              <w:rPr>
                <w:rFonts w:cstheme="minorHAnsi"/>
                <w:color w:val="000000" w:themeColor="text1"/>
                <w:lang w:val="es-ES"/>
              </w:rPr>
            </w:pPr>
            <w:proofErr w:type="spellStart"/>
            <w:r w:rsidRPr="00D011C4">
              <w:rPr>
                <w:rFonts w:cstheme="minorHAnsi"/>
                <w:color w:val="000000" w:themeColor="text1"/>
                <w:lang w:val="es-ES"/>
              </w:rPr>
              <w:t>Trebolle</w:t>
            </w:r>
            <w:proofErr w:type="spellEnd"/>
            <w:r w:rsidRPr="00D011C4">
              <w:rPr>
                <w:rFonts w:cstheme="minorHAnsi"/>
                <w:color w:val="000000" w:themeColor="text1"/>
                <w:lang w:val="es-ES"/>
              </w:rPr>
              <w:t xml:space="preserve">, Julio. “Crítica textual del Antiguo Testamento”. En </w:t>
            </w:r>
            <w:r w:rsidRPr="00D011C4">
              <w:rPr>
                <w:rFonts w:cstheme="minorHAnsi"/>
                <w:i/>
                <w:color w:val="000000" w:themeColor="text1"/>
                <w:lang w:val="es-ES"/>
              </w:rPr>
              <w:t xml:space="preserve">La Biblia judía y la Biblia cristiana: introducción a la historia de la Biblia, </w:t>
            </w:r>
            <w:r w:rsidRPr="00D011C4">
              <w:rPr>
                <w:rFonts w:cstheme="minorHAnsi"/>
                <w:color w:val="000000" w:themeColor="text1"/>
                <w:lang w:val="es-ES"/>
              </w:rPr>
              <w:t>389-427.</w:t>
            </w:r>
            <w:r w:rsidRPr="00D011C4">
              <w:rPr>
                <w:rFonts w:cstheme="minorHAnsi"/>
                <w:i/>
                <w:color w:val="000000" w:themeColor="text1"/>
                <w:lang w:val="es-ES"/>
              </w:rPr>
              <w:t xml:space="preserve"> </w:t>
            </w:r>
            <w:r w:rsidRPr="00D011C4">
              <w:rPr>
                <w:rFonts w:cstheme="minorHAnsi"/>
                <w:color w:val="000000" w:themeColor="text1"/>
                <w:lang w:val="es-ES"/>
              </w:rPr>
              <w:t xml:space="preserve">Madrid: Trotta, </w:t>
            </w:r>
            <w:r>
              <w:rPr>
                <w:rFonts w:cstheme="minorHAnsi"/>
                <w:color w:val="000000" w:themeColor="text1"/>
                <w:lang w:val="es-ES"/>
              </w:rPr>
              <w:t>2013</w:t>
            </w:r>
            <w:r w:rsidRPr="00D011C4">
              <w:rPr>
                <w:rFonts w:cstheme="minorHAnsi"/>
                <w:color w:val="000000" w:themeColor="text1"/>
                <w:lang w:val="es-ES"/>
              </w:rPr>
              <w:t>.</w:t>
            </w:r>
            <w:r>
              <w:rPr>
                <w:rFonts w:cstheme="minorHAnsi"/>
                <w:color w:val="000000" w:themeColor="text1"/>
                <w:lang w:val="es-ES"/>
              </w:rPr>
              <w:t xml:space="preserve"> </w:t>
            </w:r>
            <w:r>
              <w:rPr>
                <w:rFonts w:cstheme="minorHAnsi"/>
              </w:rPr>
              <w:t>(</w:t>
            </w:r>
            <w:r w:rsidRPr="00E959B7">
              <w:rPr>
                <w:rFonts w:cstheme="minorHAnsi"/>
                <w:color w:val="0070C0"/>
              </w:rPr>
              <w:t>clásico, última edición</w:t>
            </w:r>
            <w:r>
              <w:rPr>
                <w:rFonts w:cstheme="minorHAnsi"/>
              </w:rPr>
              <w:t>)</w:t>
            </w:r>
          </w:p>
          <w:p w14:paraId="42796FE1" w14:textId="77777777" w:rsidR="0076384B" w:rsidRDefault="0076384B" w:rsidP="00D313D7">
            <w:pPr>
              <w:rPr>
                <w:rFonts w:cstheme="minorHAnsi"/>
                <w:b/>
                <w:color w:val="0070C0"/>
                <w:lang w:val="es-ES"/>
              </w:rPr>
            </w:pPr>
            <w:r w:rsidRPr="001A0FC1">
              <w:rPr>
                <w:rFonts w:cstheme="minorHAnsi"/>
                <w:b/>
                <w:color w:val="0070C0"/>
                <w:lang w:val="es-ES"/>
              </w:rPr>
              <w:t>Material complementario</w:t>
            </w:r>
          </w:p>
          <w:p w14:paraId="47C5F403" w14:textId="77777777" w:rsidR="0076384B" w:rsidRDefault="0076384B" w:rsidP="00D313D7">
            <w:pPr>
              <w:rPr>
                <w:rFonts w:cstheme="minorHAnsi"/>
                <w:bCs/>
                <w:color w:val="0070C0"/>
                <w:lang w:val="es-ES"/>
              </w:rPr>
            </w:pPr>
            <w:r>
              <w:rPr>
                <w:rFonts w:cstheme="minorHAnsi"/>
                <w:bCs/>
                <w:color w:val="0070C0"/>
                <w:lang w:val="es-ES"/>
              </w:rPr>
              <w:t>Guía para la participación en un glosario en la plataforma Moodle</w:t>
            </w:r>
          </w:p>
          <w:p w14:paraId="750B7E8D" w14:textId="26EC4EAE" w:rsidR="0076384B" w:rsidRPr="00E940CF" w:rsidRDefault="0076384B" w:rsidP="00484BB1">
            <w:pPr>
              <w:rPr>
                <w:rFonts w:cstheme="minorHAnsi"/>
                <w:bCs/>
                <w:color w:val="000000" w:themeColor="text1"/>
                <w:lang w:val="es-ES"/>
              </w:rPr>
            </w:pPr>
            <w:r>
              <w:rPr>
                <w:rFonts w:cstheme="minorHAnsi"/>
                <w:bCs/>
                <w:color w:val="0070C0"/>
                <w:lang w:val="es-ES"/>
              </w:rPr>
              <w:t xml:space="preserve">Guía para la participación mediante la herramienta Big Blue </w:t>
            </w:r>
            <w:proofErr w:type="spellStart"/>
            <w:r>
              <w:rPr>
                <w:rFonts w:cstheme="minorHAnsi"/>
                <w:bCs/>
                <w:color w:val="0070C0"/>
                <w:lang w:val="es-ES"/>
              </w:rPr>
              <w:t>Button</w:t>
            </w:r>
            <w:proofErr w:type="spellEnd"/>
            <w:r>
              <w:rPr>
                <w:rFonts w:cstheme="minorHAnsi"/>
                <w:bCs/>
                <w:color w:val="0070C0"/>
                <w:lang w:val="es-ES"/>
              </w:rPr>
              <w:t xml:space="preserve"> en la plataforma Moodle</w:t>
            </w:r>
          </w:p>
        </w:tc>
        <w:tc>
          <w:tcPr>
            <w:tcW w:w="3119" w:type="dxa"/>
          </w:tcPr>
          <w:p w14:paraId="5502DC42"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 lectura de la sesión.</w:t>
            </w:r>
          </w:p>
          <w:p w14:paraId="69C8C5B0"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 xml:space="preserve">Participación en la elaboración de la primera parte del glosario sobre crítica textual (Antiguo Testamento). </w:t>
            </w:r>
          </w:p>
          <w:p w14:paraId="5654D87D"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Trabajo grupal con texto bíblico a partir del ejemplo de crítica textual aportado por la persona docente, en un encuentro sincrónico</w:t>
            </w:r>
            <w:r>
              <w:rPr>
                <w:rFonts w:cstheme="minorHAnsi"/>
                <w:color w:val="000000" w:themeColor="text1"/>
                <w:lang w:val="es-ES"/>
              </w:rPr>
              <w:t xml:space="preserve"> virtual (formativo)</w:t>
            </w:r>
            <w:r w:rsidRPr="00D011C4">
              <w:rPr>
                <w:rFonts w:cstheme="minorHAnsi"/>
                <w:color w:val="000000" w:themeColor="text1"/>
                <w:lang w:val="es-ES"/>
              </w:rPr>
              <w:t>.</w:t>
            </w:r>
          </w:p>
          <w:p w14:paraId="10020E4D" w14:textId="77777777" w:rsidR="0076384B" w:rsidRPr="00D011C4" w:rsidRDefault="0076384B" w:rsidP="00611E02">
            <w:pPr>
              <w:ind w:left="176"/>
              <w:rPr>
                <w:rFonts w:cstheme="minorHAnsi"/>
                <w:color w:val="000000" w:themeColor="text1"/>
                <w:lang w:val="es-ES"/>
              </w:rPr>
            </w:pPr>
          </w:p>
        </w:tc>
      </w:tr>
      <w:tr w:rsidR="0076384B" w:rsidRPr="00D011C4" w14:paraId="4A3143F4" w14:textId="77777777" w:rsidTr="1B8DFF3C">
        <w:trPr>
          <w:jc w:val="center"/>
        </w:trPr>
        <w:tc>
          <w:tcPr>
            <w:tcW w:w="1271" w:type="dxa"/>
          </w:tcPr>
          <w:p w14:paraId="15D2FE99" w14:textId="77777777" w:rsidR="0076384B" w:rsidRPr="00D011C4" w:rsidRDefault="0076384B" w:rsidP="00274E5D">
            <w:pPr>
              <w:jc w:val="center"/>
              <w:rPr>
                <w:rFonts w:cstheme="minorHAnsi"/>
                <w:color w:val="000000" w:themeColor="text1"/>
              </w:rPr>
            </w:pPr>
            <w:r w:rsidRPr="00D011C4">
              <w:rPr>
                <w:rFonts w:cstheme="minorHAnsi"/>
                <w:color w:val="000000" w:themeColor="text1"/>
              </w:rPr>
              <w:t>7</w:t>
            </w:r>
          </w:p>
          <w:p w14:paraId="5A7DE0B0" w14:textId="77777777" w:rsidR="0076384B" w:rsidRPr="00D011C4" w:rsidRDefault="0076384B" w:rsidP="00274E5D">
            <w:pPr>
              <w:jc w:val="center"/>
              <w:rPr>
                <w:rFonts w:cstheme="minorHAnsi"/>
                <w:color w:val="FF0000"/>
              </w:rPr>
            </w:pPr>
          </w:p>
        </w:tc>
        <w:tc>
          <w:tcPr>
            <w:tcW w:w="2126" w:type="dxa"/>
          </w:tcPr>
          <w:p w14:paraId="2A21A71E" w14:textId="77777777" w:rsidR="0076384B" w:rsidRPr="00EA3D3F" w:rsidRDefault="0076384B" w:rsidP="00701AF3">
            <w:pPr>
              <w:rPr>
                <w:rFonts w:cstheme="minorHAnsi"/>
                <w:b/>
                <w:bCs/>
                <w:lang w:val="es-ES"/>
              </w:rPr>
            </w:pPr>
            <w:r w:rsidRPr="00EA3D3F">
              <w:rPr>
                <w:rFonts w:cstheme="minorHAnsi"/>
                <w:b/>
                <w:bCs/>
                <w:lang w:val="es-ES"/>
              </w:rPr>
              <w:t>Unidad 3: La crítica textual de la Biblia</w:t>
            </w:r>
          </w:p>
          <w:p w14:paraId="6814E1F1" w14:textId="77777777" w:rsidR="0076384B" w:rsidRPr="00D011C4" w:rsidRDefault="0076384B" w:rsidP="00274E5D">
            <w:pPr>
              <w:rPr>
                <w:rFonts w:cstheme="minorHAnsi"/>
                <w:color w:val="000000" w:themeColor="text1"/>
                <w:lang w:val="es-ES"/>
              </w:rPr>
            </w:pPr>
            <w:r w:rsidRPr="00F17CB0">
              <w:rPr>
                <w:rFonts w:cstheme="minorHAnsi"/>
                <w:lang w:val="es-ES"/>
              </w:rPr>
              <w:t>3.2 Crítica textual del NT</w:t>
            </w:r>
          </w:p>
        </w:tc>
        <w:tc>
          <w:tcPr>
            <w:tcW w:w="2835" w:type="dxa"/>
          </w:tcPr>
          <w:p w14:paraId="042CD5A9" w14:textId="77777777" w:rsidR="0076384B" w:rsidRDefault="0076384B" w:rsidP="00B664B4">
            <w:pPr>
              <w:tabs>
                <w:tab w:val="left" w:pos="544"/>
              </w:tabs>
              <w:ind w:right="72"/>
              <w:rPr>
                <w:rFonts w:cstheme="minorHAnsi"/>
                <w:color w:val="000000" w:themeColor="text1"/>
                <w:lang w:val="es-ES"/>
              </w:rPr>
            </w:pPr>
            <w:r>
              <w:rPr>
                <w:rFonts w:cstheme="minorHAnsi"/>
                <w:color w:val="0070C0"/>
              </w:rPr>
              <w:t>Ruta de aprendizaje</w:t>
            </w:r>
          </w:p>
          <w:p w14:paraId="470D7894" w14:textId="77777777" w:rsidR="0076384B" w:rsidRDefault="0076384B" w:rsidP="00B664B4">
            <w:pPr>
              <w:tabs>
                <w:tab w:val="left" w:pos="544"/>
              </w:tabs>
              <w:ind w:right="72"/>
              <w:rPr>
                <w:rFonts w:cstheme="minorHAnsi"/>
                <w:color w:val="000000" w:themeColor="text1"/>
                <w:lang w:val="es-ES"/>
              </w:rPr>
            </w:pPr>
            <w:r w:rsidRPr="00D011C4">
              <w:rPr>
                <w:rFonts w:cstheme="minorHAnsi"/>
                <w:color w:val="000000" w:themeColor="text1"/>
                <w:lang w:val="es-ES"/>
              </w:rPr>
              <w:t xml:space="preserve">Pérez, Miguel y Julio </w:t>
            </w:r>
            <w:proofErr w:type="spellStart"/>
            <w:r w:rsidRPr="00D011C4">
              <w:rPr>
                <w:rFonts w:cstheme="minorHAnsi"/>
                <w:color w:val="000000" w:themeColor="text1"/>
                <w:lang w:val="es-ES"/>
              </w:rPr>
              <w:t>Trebolle</w:t>
            </w:r>
            <w:proofErr w:type="spellEnd"/>
            <w:r w:rsidRPr="00D011C4">
              <w:rPr>
                <w:rFonts w:cstheme="minorHAnsi"/>
                <w:color w:val="000000" w:themeColor="text1"/>
                <w:lang w:val="es-ES"/>
              </w:rPr>
              <w:t xml:space="preserve">. “Crítica textual del Nuevo Testamento”. En </w:t>
            </w:r>
            <w:r w:rsidRPr="00D011C4">
              <w:rPr>
                <w:rFonts w:cstheme="minorHAnsi"/>
                <w:i/>
                <w:color w:val="000000" w:themeColor="text1"/>
                <w:lang w:val="es-ES"/>
              </w:rPr>
              <w:t xml:space="preserve">Historia de la Biblia, </w:t>
            </w:r>
            <w:r w:rsidRPr="00D011C4">
              <w:rPr>
                <w:rFonts w:cstheme="minorHAnsi"/>
                <w:color w:val="000000" w:themeColor="text1"/>
                <w:lang w:val="es-ES"/>
              </w:rPr>
              <w:t>227-236.</w:t>
            </w:r>
            <w:r w:rsidRPr="00D011C4">
              <w:rPr>
                <w:rFonts w:cstheme="minorHAnsi"/>
                <w:i/>
                <w:color w:val="000000" w:themeColor="text1"/>
                <w:lang w:val="es-ES"/>
              </w:rPr>
              <w:t xml:space="preserve"> </w:t>
            </w:r>
            <w:r w:rsidRPr="00D011C4">
              <w:rPr>
                <w:rFonts w:cstheme="minorHAnsi"/>
                <w:color w:val="000000" w:themeColor="text1"/>
                <w:lang w:val="es-ES"/>
              </w:rPr>
              <w:t>Madrid: Trotta, 2006.</w:t>
            </w:r>
            <w:r>
              <w:rPr>
                <w:rFonts w:cstheme="minorHAnsi"/>
                <w:color w:val="000000" w:themeColor="text1"/>
                <w:lang w:val="es-ES"/>
              </w:rPr>
              <w:t xml:space="preserve"> </w:t>
            </w:r>
            <w:r>
              <w:rPr>
                <w:rFonts w:cstheme="minorHAnsi"/>
              </w:rPr>
              <w:t>(</w:t>
            </w:r>
            <w:r w:rsidRPr="00E959B7">
              <w:rPr>
                <w:rFonts w:cstheme="minorHAnsi"/>
                <w:color w:val="0070C0"/>
              </w:rPr>
              <w:t>clásico, última edición</w:t>
            </w:r>
            <w:r>
              <w:rPr>
                <w:rFonts w:cstheme="minorHAnsi"/>
              </w:rPr>
              <w:t>)</w:t>
            </w:r>
          </w:p>
          <w:p w14:paraId="6AD7AAD7" w14:textId="77777777" w:rsidR="0076384B" w:rsidRDefault="0076384B" w:rsidP="00B664B4">
            <w:pPr>
              <w:tabs>
                <w:tab w:val="left" w:pos="544"/>
              </w:tabs>
              <w:ind w:right="72"/>
              <w:rPr>
                <w:rFonts w:cstheme="minorHAnsi"/>
                <w:color w:val="000000" w:themeColor="text1"/>
                <w:lang w:val="es-ES"/>
              </w:rPr>
            </w:pPr>
            <w:r w:rsidRPr="001A0FC1">
              <w:rPr>
                <w:rFonts w:cstheme="minorHAnsi"/>
                <w:b/>
                <w:color w:val="0070C0"/>
                <w:lang w:val="es-ES"/>
              </w:rPr>
              <w:lastRenderedPageBreak/>
              <w:t>Material complementario</w:t>
            </w:r>
            <w:r w:rsidRPr="00D011C4">
              <w:rPr>
                <w:rFonts w:cstheme="minorHAnsi"/>
                <w:color w:val="000000" w:themeColor="text1"/>
                <w:lang w:val="es-ES"/>
              </w:rPr>
              <w:t xml:space="preserve"> </w:t>
            </w:r>
          </w:p>
          <w:p w14:paraId="6EC1FB94" w14:textId="77777777" w:rsidR="0076384B" w:rsidRDefault="0076384B" w:rsidP="00B664B4">
            <w:pPr>
              <w:tabs>
                <w:tab w:val="left" w:pos="544"/>
              </w:tabs>
              <w:ind w:right="72"/>
              <w:rPr>
                <w:rFonts w:cstheme="minorHAnsi"/>
                <w:color w:val="0070C0"/>
                <w:lang w:val="es-ES"/>
              </w:rPr>
            </w:pPr>
            <w:r>
              <w:rPr>
                <w:rFonts w:cstheme="minorHAnsi"/>
                <w:color w:val="0070C0"/>
                <w:lang w:val="es-ES"/>
              </w:rPr>
              <w:t>Guía para la participación en un glosario en la plataforma Moodle</w:t>
            </w:r>
          </w:p>
          <w:p w14:paraId="22DD582D" w14:textId="77777777" w:rsidR="0076384B" w:rsidRPr="00C05BCC" w:rsidRDefault="0076384B" w:rsidP="00B664B4">
            <w:pPr>
              <w:tabs>
                <w:tab w:val="left" w:pos="544"/>
              </w:tabs>
              <w:ind w:right="72"/>
              <w:rPr>
                <w:rFonts w:cstheme="minorHAnsi"/>
                <w:color w:val="0070C0"/>
              </w:rPr>
            </w:pPr>
            <w:r>
              <w:rPr>
                <w:rFonts w:cstheme="minorHAnsi"/>
                <w:color w:val="0070C0"/>
                <w:lang w:val="es-ES"/>
              </w:rPr>
              <w:t>Guía para la participación en un foro en la plataforma Moodle</w:t>
            </w:r>
          </w:p>
        </w:tc>
        <w:tc>
          <w:tcPr>
            <w:tcW w:w="3119" w:type="dxa"/>
          </w:tcPr>
          <w:p w14:paraId="208C701F"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lastRenderedPageBreak/>
              <w:t>Realizar la lectura de la sesión.</w:t>
            </w:r>
          </w:p>
          <w:p w14:paraId="46B60A76"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Participación en la elaboración de la segunda parte del glosario sobre crítica textual (Nuevo Testamento).</w:t>
            </w:r>
          </w:p>
          <w:p w14:paraId="50BC295B"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 xml:space="preserve">Participación en el foro temático grupal para realizar un trabajo grupal con un texto bíblico a partir del ejemplo de </w:t>
            </w:r>
            <w:r w:rsidRPr="00D011C4">
              <w:rPr>
                <w:rFonts w:cstheme="minorHAnsi"/>
                <w:color w:val="000000" w:themeColor="text1"/>
                <w:lang w:val="es-ES"/>
              </w:rPr>
              <w:lastRenderedPageBreak/>
              <w:t>crítica textual aportado por la persona docente.</w:t>
            </w:r>
          </w:p>
          <w:p w14:paraId="5D8B75C1" w14:textId="77777777" w:rsidR="0076384B" w:rsidRPr="00D011C4" w:rsidRDefault="0076384B" w:rsidP="0006183C">
            <w:pPr>
              <w:ind w:left="176"/>
              <w:rPr>
                <w:rFonts w:cstheme="minorHAnsi"/>
                <w:color w:val="000000" w:themeColor="text1"/>
                <w:lang w:val="es-ES"/>
              </w:rPr>
            </w:pPr>
          </w:p>
        </w:tc>
      </w:tr>
      <w:tr w:rsidR="0076384B" w:rsidRPr="00D011C4" w14:paraId="25D91FB9" w14:textId="77777777" w:rsidTr="1B8DFF3C">
        <w:trPr>
          <w:jc w:val="center"/>
        </w:trPr>
        <w:tc>
          <w:tcPr>
            <w:tcW w:w="1271" w:type="dxa"/>
            <w:shd w:val="clear" w:color="auto" w:fill="FFFFFF" w:themeFill="background1"/>
          </w:tcPr>
          <w:p w14:paraId="5F08D57C" w14:textId="77777777" w:rsidR="0076384B" w:rsidRPr="00D011C4" w:rsidRDefault="0076384B" w:rsidP="00FE79D6">
            <w:pPr>
              <w:jc w:val="center"/>
              <w:rPr>
                <w:rFonts w:cstheme="minorHAnsi"/>
                <w:color w:val="000000" w:themeColor="text1"/>
              </w:rPr>
            </w:pPr>
            <w:r w:rsidRPr="00D011C4">
              <w:rPr>
                <w:rFonts w:cstheme="minorHAnsi"/>
                <w:color w:val="000000" w:themeColor="text1"/>
              </w:rPr>
              <w:lastRenderedPageBreak/>
              <w:t>8</w:t>
            </w:r>
          </w:p>
          <w:p w14:paraId="70F2DAD3" w14:textId="77777777" w:rsidR="0076384B" w:rsidRPr="00D011C4" w:rsidRDefault="0076384B" w:rsidP="00FE79D6">
            <w:pPr>
              <w:jc w:val="center"/>
              <w:rPr>
                <w:rFonts w:cstheme="minorHAnsi"/>
                <w:color w:val="FF0000"/>
              </w:rPr>
            </w:pPr>
          </w:p>
        </w:tc>
        <w:tc>
          <w:tcPr>
            <w:tcW w:w="2126" w:type="dxa"/>
            <w:shd w:val="clear" w:color="auto" w:fill="FFFFFF" w:themeFill="background1"/>
          </w:tcPr>
          <w:p w14:paraId="2FC1B642" w14:textId="77777777" w:rsidR="0076384B" w:rsidRPr="00EA3D3F" w:rsidRDefault="0076384B" w:rsidP="00FE79D6">
            <w:pPr>
              <w:rPr>
                <w:rFonts w:cstheme="minorHAnsi"/>
                <w:b/>
                <w:bCs/>
                <w:lang w:val="es-ES"/>
              </w:rPr>
            </w:pPr>
            <w:r w:rsidRPr="00EA3D3F">
              <w:rPr>
                <w:rFonts w:cstheme="minorHAnsi"/>
                <w:b/>
                <w:bCs/>
                <w:lang w:val="es-ES"/>
              </w:rPr>
              <w:t xml:space="preserve">Unidad 4: Literatura </w:t>
            </w:r>
            <w:proofErr w:type="spellStart"/>
            <w:r w:rsidRPr="00EA3D3F">
              <w:rPr>
                <w:rFonts w:cstheme="minorHAnsi"/>
                <w:b/>
                <w:bCs/>
                <w:lang w:val="es-ES"/>
              </w:rPr>
              <w:t>Para-bíblica</w:t>
            </w:r>
            <w:proofErr w:type="spellEnd"/>
          </w:p>
          <w:p w14:paraId="3579C124" w14:textId="77777777" w:rsidR="0076384B" w:rsidRPr="00D011C4" w:rsidRDefault="0076384B" w:rsidP="00FE79D6">
            <w:pPr>
              <w:rPr>
                <w:rFonts w:cstheme="minorHAnsi"/>
                <w:color w:val="000000" w:themeColor="text1"/>
                <w:lang w:val="es-ES"/>
              </w:rPr>
            </w:pPr>
            <w:r w:rsidRPr="00A31155">
              <w:rPr>
                <w:rFonts w:cstheme="minorHAnsi"/>
                <w:lang w:val="es-ES"/>
              </w:rPr>
              <w:t>4.1 Literatura cristiana primitiva: libros canónicos y apócrifos</w:t>
            </w:r>
          </w:p>
        </w:tc>
        <w:tc>
          <w:tcPr>
            <w:tcW w:w="2835" w:type="dxa"/>
            <w:shd w:val="clear" w:color="auto" w:fill="FFFFFF" w:themeFill="background1"/>
          </w:tcPr>
          <w:p w14:paraId="1AF360A4" w14:textId="77777777" w:rsidR="0076384B" w:rsidRDefault="0076384B" w:rsidP="005B48C7">
            <w:pPr>
              <w:rPr>
                <w:rFonts w:cstheme="minorHAnsi"/>
                <w:color w:val="000000" w:themeColor="text1"/>
                <w:lang w:val="es-ES"/>
              </w:rPr>
            </w:pPr>
            <w:r>
              <w:rPr>
                <w:rFonts w:cstheme="minorHAnsi"/>
                <w:color w:val="0070C0"/>
              </w:rPr>
              <w:t>Ruta de aprendizaje</w:t>
            </w:r>
          </w:p>
          <w:p w14:paraId="05CF2FE6" w14:textId="77777777" w:rsidR="0076384B" w:rsidRPr="00D011C4" w:rsidRDefault="0076384B" w:rsidP="005B48C7">
            <w:pPr>
              <w:rPr>
                <w:rFonts w:cstheme="minorHAnsi"/>
                <w:color w:val="000000" w:themeColor="text1"/>
                <w:lang w:val="es-ES"/>
              </w:rPr>
            </w:pPr>
            <w:proofErr w:type="spellStart"/>
            <w:r w:rsidRPr="00D011C4">
              <w:rPr>
                <w:rFonts w:cstheme="minorHAnsi"/>
                <w:color w:val="000000" w:themeColor="text1"/>
                <w:lang w:val="es-ES"/>
              </w:rPr>
              <w:t>Trebolle</w:t>
            </w:r>
            <w:proofErr w:type="spellEnd"/>
            <w:r w:rsidRPr="00D011C4">
              <w:rPr>
                <w:rFonts w:cstheme="minorHAnsi"/>
                <w:color w:val="000000" w:themeColor="text1"/>
                <w:lang w:val="es-ES"/>
              </w:rPr>
              <w:t xml:space="preserve">, Julio. “Literatura cristiana primitiva: colecciones de libros canónicos y apócrifos”. En </w:t>
            </w:r>
            <w:r w:rsidRPr="00D011C4">
              <w:rPr>
                <w:rFonts w:cstheme="minorHAnsi"/>
                <w:i/>
                <w:color w:val="000000" w:themeColor="text1"/>
                <w:lang w:val="es-ES"/>
              </w:rPr>
              <w:t xml:space="preserve">La Biblia judía y la Biblia cristiana: introducción a la historia de la Biblia, </w:t>
            </w:r>
            <w:r w:rsidRPr="00D011C4">
              <w:rPr>
                <w:rFonts w:cstheme="minorHAnsi"/>
                <w:color w:val="000000" w:themeColor="text1"/>
                <w:lang w:val="es-ES"/>
              </w:rPr>
              <w:t>247-270.</w:t>
            </w:r>
            <w:r w:rsidRPr="00D011C4">
              <w:rPr>
                <w:rFonts w:cstheme="minorHAnsi"/>
                <w:i/>
                <w:color w:val="000000" w:themeColor="text1"/>
                <w:lang w:val="es-ES"/>
              </w:rPr>
              <w:t xml:space="preserve"> </w:t>
            </w:r>
            <w:r w:rsidRPr="00D011C4">
              <w:rPr>
                <w:rFonts w:cstheme="minorHAnsi"/>
                <w:color w:val="000000" w:themeColor="text1"/>
                <w:lang w:val="es-ES"/>
              </w:rPr>
              <w:t xml:space="preserve">Madrid: Trotta, </w:t>
            </w:r>
            <w:r>
              <w:rPr>
                <w:rFonts w:cstheme="minorHAnsi"/>
                <w:color w:val="000000" w:themeColor="text1"/>
                <w:lang w:val="es-ES"/>
              </w:rPr>
              <w:t>2013</w:t>
            </w:r>
            <w:r w:rsidRPr="00D011C4">
              <w:rPr>
                <w:rFonts w:cstheme="minorHAnsi"/>
                <w:color w:val="000000" w:themeColor="text1"/>
                <w:lang w:val="es-ES"/>
              </w:rPr>
              <w:t xml:space="preserve">. </w:t>
            </w:r>
            <w:r>
              <w:rPr>
                <w:rFonts w:cstheme="minorHAnsi"/>
              </w:rPr>
              <w:t>(</w:t>
            </w:r>
            <w:r w:rsidRPr="00E959B7">
              <w:rPr>
                <w:rFonts w:cstheme="minorHAnsi"/>
                <w:color w:val="0070C0"/>
              </w:rPr>
              <w:t>clásico, última edición</w:t>
            </w:r>
            <w:r>
              <w:rPr>
                <w:rFonts w:cstheme="minorHAnsi"/>
              </w:rPr>
              <w:t>)</w:t>
            </w:r>
          </w:p>
          <w:p w14:paraId="786D467F" w14:textId="77777777" w:rsidR="0076384B" w:rsidRPr="00D011C4" w:rsidRDefault="0076384B" w:rsidP="005B48C7">
            <w:pPr>
              <w:rPr>
                <w:rFonts w:cstheme="minorHAnsi"/>
                <w:b/>
                <w:color w:val="000000" w:themeColor="text1"/>
                <w:lang w:val="es-ES"/>
              </w:rPr>
            </w:pPr>
            <w:r w:rsidRPr="00D011C4">
              <w:rPr>
                <w:rFonts w:cstheme="minorHAnsi"/>
                <w:b/>
                <w:color w:val="000000" w:themeColor="text1"/>
                <w:lang w:val="es-ES"/>
              </w:rPr>
              <w:t>Material complementario</w:t>
            </w:r>
          </w:p>
          <w:p w14:paraId="13365BF8" w14:textId="77777777" w:rsidR="0076384B" w:rsidRDefault="0076384B" w:rsidP="005B48C7">
            <w:pPr>
              <w:rPr>
                <w:rFonts w:cstheme="minorHAnsi"/>
                <w:color w:val="00B050"/>
                <w:sz w:val="20"/>
                <w:lang w:val="es-ES"/>
              </w:rPr>
            </w:pPr>
            <w:r w:rsidRPr="00D90FAA">
              <w:rPr>
                <w:rFonts w:cstheme="minorHAnsi"/>
              </w:rPr>
              <w:t xml:space="preserve">Aranda Pérez, Gonzalo, Florentino García Martínez y Miguel Pérez Fernández. “Literatura rabínica” En </w:t>
            </w:r>
            <w:r w:rsidRPr="00D90FAA">
              <w:rPr>
                <w:rFonts w:cstheme="minorHAnsi"/>
                <w:i/>
                <w:iCs/>
              </w:rPr>
              <w:t xml:space="preserve">Literatura judía </w:t>
            </w:r>
            <w:proofErr w:type="spellStart"/>
            <w:r w:rsidRPr="00D90FAA">
              <w:rPr>
                <w:rFonts w:cstheme="minorHAnsi"/>
                <w:i/>
                <w:iCs/>
              </w:rPr>
              <w:t>intertestamentaria</w:t>
            </w:r>
            <w:proofErr w:type="spellEnd"/>
            <w:r w:rsidRPr="00D90FAA">
              <w:rPr>
                <w:rFonts w:cstheme="minorHAnsi"/>
              </w:rPr>
              <w:t>, 465-474. Estella: Verbo Divino, 2017.</w:t>
            </w:r>
            <w:r w:rsidRPr="00D90FAA">
              <w:rPr>
                <w:rFonts w:cstheme="minorHAnsi"/>
                <w:color w:val="00B050"/>
                <w:sz w:val="20"/>
                <w:lang w:val="es-ES"/>
              </w:rPr>
              <w:t xml:space="preserve"> </w:t>
            </w:r>
            <w:r>
              <w:rPr>
                <w:rFonts w:cstheme="minorHAnsi"/>
                <w:color w:val="00B050"/>
                <w:sz w:val="20"/>
                <w:lang w:val="es-ES"/>
              </w:rPr>
              <w:t xml:space="preserve"> </w:t>
            </w:r>
            <w:r>
              <w:rPr>
                <w:rFonts w:cstheme="minorHAnsi"/>
              </w:rPr>
              <w:t>(</w:t>
            </w:r>
            <w:r w:rsidRPr="00E959B7">
              <w:rPr>
                <w:rFonts w:cstheme="minorHAnsi"/>
                <w:color w:val="0070C0"/>
              </w:rPr>
              <w:t>clásico, última edición</w:t>
            </w:r>
            <w:r>
              <w:rPr>
                <w:rFonts w:cstheme="minorHAnsi"/>
              </w:rPr>
              <w:t>)</w:t>
            </w:r>
          </w:p>
          <w:p w14:paraId="7E0FF889" w14:textId="39B2B62C" w:rsidR="0076384B" w:rsidRPr="00D011C4" w:rsidRDefault="0076384B" w:rsidP="00484BB1">
            <w:pPr>
              <w:rPr>
                <w:rFonts w:cstheme="minorHAnsi"/>
                <w:color w:val="000000" w:themeColor="text1"/>
                <w:lang w:val="es-ES"/>
              </w:rPr>
            </w:pPr>
            <w:r>
              <w:rPr>
                <w:rFonts w:cstheme="minorHAnsi"/>
                <w:color w:val="0070C0"/>
                <w:sz w:val="20"/>
                <w:lang w:val="es-ES"/>
              </w:rPr>
              <w:t xml:space="preserve">Guía para la participación mediante la herramienta Big Blue </w:t>
            </w:r>
            <w:proofErr w:type="spellStart"/>
            <w:r>
              <w:rPr>
                <w:rFonts w:cstheme="minorHAnsi"/>
                <w:color w:val="0070C0"/>
                <w:sz w:val="20"/>
                <w:lang w:val="es-ES"/>
              </w:rPr>
              <w:t>Button</w:t>
            </w:r>
            <w:proofErr w:type="spellEnd"/>
            <w:r>
              <w:rPr>
                <w:rFonts w:cstheme="minorHAnsi"/>
                <w:color w:val="0070C0"/>
                <w:sz w:val="20"/>
                <w:lang w:val="es-ES"/>
              </w:rPr>
              <w:t xml:space="preserve"> en la plataforma Moodle</w:t>
            </w:r>
          </w:p>
        </w:tc>
        <w:tc>
          <w:tcPr>
            <w:tcW w:w="3119" w:type="dxa"/>
            <w:shd w:val="clear" w:color="auto" w:fill="FFFFFF" w:themeFill="background1"/>
          </w:tcPr>
          <w:p w14:paraId="45BEA5D1"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 lectura de la sesión.</w:t>
            </w:r>
          </w:p>
          <w:p w14:paraId="3DEC1B1E"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Presentación docente y revisión de fuentes primarias en un encuentro sincrónico</w:t>
            </w:r>
            <w:r>
              <w:rPr>
                <w:rFonts w:cstheme="minorHAnsi"/>
                <w:color w:val="000000" w:themeColor="text1"/>
                <w:lang w:val="es-ES"/>
              </w:rPr>
              <w:t xml:space="preserve"> virtual</w:t>
            </w:r>
            <w:r w:rsidRPr="00D011C4">
              <w:rPr>
                <w:rFonts w:cstheme="minorHAnsi"/>
                <w:color w:val="000000" w:themeColor="text1"/>
                <w:lang w:val="es-ES"/>
              </w:rPr>
              <w:t xml:space="preserve"> </w:t>
            </w:r>
            <w:r>
              <w:rPr>
                <w:rFonts w:cstheme="minorHAnsi"/>
                <w:color w:val="000000" w:themeColor="text1"/>
                <w:lang w:val="es-ES"/>
              </w:rPr>
              <w:t>(formativo)</w:t>
            </w:r>
            <w:r w:rsidRPr="00D011C4">
              <w:rPr>
                <w:rFonts w:cstheme="minorHAnsi"/>
                <w:color w:val="000000" w:themeColor="text1"/>
                <w:lang w:val="es-ES"/>
              </w:rPr>
              <w:t>.</w:t>
            </w:r>
          </w:p>
        </w:tc>
      </w:tr>
      <w:tr w:rsidR="0076384B" w:rsidRPr="00D011C4" w14:paraId="3852025D" w14:textId="77777777" w:rsidTr="1B8DFF3C">
        <w:trPr>
          <w:jc w:val="center"/>
        </w:trPr>
        <w:tc>
          <w:tcPr>
            <w:tcW w:w="1271" w:type="dxa"/>
          </w:tcPr>
          <w:p w14:paraId="15A2BD2C" w14:textId="77777777" w:rsidR="0076384B" w:rsidRPr="00D011C4" w:rsidRDefault="0076384B" w:rsidP="00FE79D6">
            <w:pPr>
              <w:jc w:val="center"/>
              <w:rPr>
                <w:rFonts w:cstheme="minorHAnsi"/>
                <w:color w:val="000000" w:themeColor="text1"/>
              </w:rPr>
            </w:pPr>
            <w:r w:rsidRPr="00D011C4">
              <w:rPr>
                <w:rFonts w:cstheme="minorHAnsi"/>
                <w:color w:val="000000" w:themeColor="text1"/>
              </w:rPr>
              <w:t>9</w:t>
            </w:r>
          </w:p>
          <w:p w14:paraId="1F4006F8" w14:textId="77777777" w:rsidR="0076384B" w:rsidRPr="00D011C4" w:rsidRDefault="0076384B" w:rsidP="00FE79D6">
            <w:pPr>
              <w:jc w:val="center"/>
              <w:rPr>
                <w:rFonts w:cstheme="minorHAnsi"/>
                <w:color w:val="FF0000"/>
              </w:rPr>
            </w:pPr>
          </w:p>
        </w:tc>
        <w:tc>
          <w:tcPr>
            <w:tcW w:w="2126" w:type="dxa"/>
          </w:tcPr>
          <w:p w14:paraId="76582498" w14:textId="77777777" w:rsidR="0076384B" w:rsidRPr="00EA3D3F" w:rsidRDefault="0076384B" w:rsidP="00E85ADA">
            <w:pPr>
              <w:rPr>
                <w:rFonts w:cstheme="minorHAnsi"/>
                <w:b/>
                <w:bCs/>
                <w:lang w:val="es-ES"/>
              </w:rPr>
            </w:pPr>
            <w:r w:rsidRPr="00EA3D3F">
              <w:rPr>
                <w:rFonts w:cstheme="minorHAnsi"/>
                <w:b/>
                <w:bCs/>
                <w:lang w:val="es-ES"/>
              </w:rPr>
              <w:t xml:space="preserve">Unidad 4: Literatura </w:t>
            </w:r>
            <w:proofErr w:type="spellStart"/>
            <w:r w:rsidRPr="00EA3D3F">
              <w:rPr>
                <w:rFonts w:cstheme="minorHAnsi"/>
                <w:b/>
                <w:bCs/>
                <w:lang w:val="es-ES"/>
              </w:rPr>
              <w:t>Para-bíblica</w:t>
            </w:r>
            <w:proofErr w:type="spellEnd"/>
          </w:p>
          <w:p w14:paraId="2E80C684" w14:textId="77777777" w:rsidR="0076384B" w:rsidRPr="00D011C4" w:rsidRDefault="0076384B" w:rsidP="00FE79D6">
            <w:pPr>
              <w:rPr>
                <w:rFonts w:cstheme="minorHAnsi"/>
                <w:color w:val="000000" w:themeColor="text1"/>
                <w:lang w:val="es-ES"/>
              </w:rPr>
            </w:pPr>
            <w:r w:rsidRPr="00154C80">
              <w:rPr>
                <w:rFonts w:cstheme="minorHAnsi"/>
                <w:lang w:val="es-ES"/>
              </w:rPr>
              <w:t xml:space="preserve">4.2 Antiguo Testamento: Texto hebreo y </w:t>
            </w:r>
            <w:proofErr w:type="spellStart"/>
            <w:r w:rsidRPr="00154C80">
              <w:rPr>
                <w:rFonts w:cstheme="minorHAnsi"/>
                <w:lang w:val="es-ES"/>
              </w:rPr>
              <w:t>targumim</w:t>
            </w:r>
            <w:proofErr w:type="spellEnd"/>
            <w:r w:rsidRPr="00154C80">
              <w:rPr>
                <w:rFonts w:cstheme="minorHAnsi"/>
                <w:lang w:val="es-ES"/>
              </w:rPr>
              <w:t xml:space="preserve"> arameos</w:t>
            </w:r>
          </w:p>
        </w:tc>
        <w:tc>
          <w:tcPr>
            <w:tcW w:w="2835" w:type="dxa"/>
          </w:tcPr>
          <w:p w14:paraId="1D4C93FE" w14:textId="77777777" w:rsidR="0076384B" w:rsidRDefault="0076384B" w:rsidP="000E50A0">
            <w:pPr>
              <w:rPr>
                <w:rFonts w:cstheme="minorHAnsi"/>
                <w:color w:val="000000" w:themeColor="text1"/>
                <w:lang w:val="es-ES"/>
              </w:rPr>
            </w:pPr>
            <w:r>
              <w:rPr>
                <w:rFonts w:cstheme="minorHAnsi"/>
                <w:color w:val="0070C0"/>
              </w:rPr>
              <w:t>Ruta de aprendizaje</w:t>
            </w:r>
          </w:p>
          <w:p w14:paraId="1DD6292E" w14:textId="77777777" w:rsidR="0076384B" w:rsidRPr="00D011C4" w:rsidRDefault="0076384B" w:rsidP="000E50A0">
            <w:pPr>
              <w:rPr>
                <w:rFonts w:cstheme="minorHAnsi"/>
                <w:color w:val="FF0000"/>
                <w:lang w:val="es-ES"/>
              </w:rPr>
            </w:pPr>
            <w:r w:rsidRPr="00D011C4">
              <w:rPr>
                <w:rFonts w:cstheme="minorHAnsi"/>
                <w:color w:val="000000" w:themeColor="text1"/>
                <w:lang w:val="es-ES"/>
              </w:rPr>
              <w:t xml:space="preserve">Pérez, Miguel y Julio </w:t>
            </w:r>
            <w:proofErr w:type="spellStart"/>
            <w:r w:rsidRPr="00D011C4">
              <w:rPr>
                <w:rFonts w:cstheme="minorHAnsi"/>
                <w:color w:val="000000" w:themeColor="text1"/>
                <w:lang w:val="es-ES"/>
              </w:rPr>
              <w:t>Trebolle</w:t>
            </w:r>
            <w:proofErr w:type="spellEnd"/>
            <w:r w:rsidRPr="00D011C4">
              <w:rPr>
                <w:rFonts w:cstheme="minorHAnsi"/>
                <w:color w:val="000000" w:themeColor="text1"/>
                <w:lang w:val="es-ES"/>
              </w:rPr>
              <w:t xml:space="preserve">. “El texto hebreo del Antiguo Testamento”. En </w:t>
            </w:r>
            <w:r w:rsidRPr="00D011C4">
              <w:rPr>
                <w:rFonts w:cstheme="minorHAnsi"/>
                <w:i/>
                <w:color w:val="000000" w:themeColor="text1"/>
                <w:lang w:val="es-ES"/>
              </w:rPr>
              <w:t xml:space="preserve">Historia de la Biblia, </w:t>
            </w:r>
            <w:r w:rsidRPr="00D011C4">
              <w:rPr>
                <w:rFonts w:cstheme="minorHAnsi"/>
                <w:color w:val="000000" w:themeColor="text1"/>
                <w:lang w:val="es-ES"/>
              </w:rPr>
              <w:t>149-162.</w:t>
            </w:r>
            <w:r w:rsidRPr="00D011C4">
              <w:rPr>
                <w:rFonts w:cstheme="minorHAnsi"/>
                <w:i/>
                <w:color w:val="000000" w:themeColor="text1"/>
                <w:lang w:val="es-ES"/>
              </w:rPr>
              <w:t xml:space="preserve"> </w:t>
            </w:r>
            <w:r w:rsidRPr="00D011C4">
              <w:rPr>
                <w:rFonts w:cstheme="minorHAnsi"/>
                <w:color w:val="000000" w:themeColor="text1"/>
                <w:lang w:val="es-ES"/>
              </w:rPr>
              <w:t xml:space="preserve">Madrid: Trotta, 2006. </w:t>
            </w:r>
            <w:r>
              <w:rPr>
                <w:rFonts w:cstheme="minorHAnsi"/>
              </w:rPr>
              <w:t>(</w:t>
            </w:r>
            <w:r w:rsidRPr="00E959B7">
              <w:rPr>
                <w:rFonts w:cstheme="minorHAnsi"/>
                <w:color w:val="0070C0"/>
              </w:rPr>
              <w:t>clásico, última edición</w:t>
            </w:r>
            <w:r>
              <w:rPr>
                <w:rFonts w:cstheme="minorHAnsi"/>
              </w:rPr>
              <w:t>)</w:t>
            </w:r>
          </w:p>
          <w:p w14:paraId="3BF67C23" w14:textId="77777777" w:rsidR="0076384B" w:rsidRPr="00D011C4" w:rsidRDefault="0076384B" w:rsidP="00B87EA5">
            <w:pPr>
              <w:rPr>
                <w:rFonts w:cstheme="minorHAnsi"/>
                <w:color w:val="FF0000"/>
                <w:lang w:val="es-ES"/>
              </w:rPr>
            </w:pPr>
            <w:r w:rsidRPr="00D011C4">
              <w:rPr>
                <w:rFonts w:cstheme="minorHAnsi"/>
                <w:color w:val="000000" w:themeColor="text1"/>
                <w:lang w:val="es-ES"/>
              </w:rPr>
              <w:t xml:space="preserve">Pérez, Miguel y Julio </w:t>
            </w:r>
            <w:proofErr w:type="spellStart"/>
            <w:r w:rsidRPr="00D011C4">
              <w:rPr>
                <w:rFonts w:cstheme="minorHAnsi"/>
                <w:color w:val="000000" w:themeColor="text1"/>
                <w:lang w:val="es-ES"/>
              </w:rPr>
              <w:t>Trebolle</w:t>
            </w:r>
            <w:proofErr w:type="spellEnd"/>
            <w:r w:rsidRPr="00D011C4">
              <w:rPr>
                <w:rFonts w:cstheme="minorHAnsi"/>
                <w:color w:val="000000" w:themeColor="text1"/>
                <w:lang w:val="es-ES"/>
              </w:rPr>
              <w:t xml:space="preserve">. “Las versiones </w:t>
            </w:r>
            <w:r w:rsidRPr="00D011C4">
              <w:rPr>
                <w:rFonts w:cstheme="minorHAnsi"/>
                <w:color w:val="000000" w:themeColor="text1"/>
                <w:lang w:val="es-ES"/>
              </w:rPr>
              <w:lastRenderedPageBreak/>
              <w:t xml:space="preserve">arameas del Antiguo Testamento. Los </w:t>
            </w:r>
            <w:proofErr w:type="spellStart"/>
            <w:r w:rsidRPr="00D011C4">
              <w:rPr>
                <w:rFonts w:cstheme="minorHAnsi"/>
                <w:color w:val="000000" w:themeColor="text1"/>
                <w:lang w:val="es-ES"/>
              </w:rPr>
              <w:t>Targumim</w:t>
            </w:r>
            <w:proofErr w:type="spellEnd"/>
            <w:r w:rsidRPr="00D011C4">
              <w:rPr>
                <w:rFonts w:cstheme="minorHAnsi"/>
                <w:color w:val="000000" w:themeColor="text1"/>
                <w:lang w:val="es-ES"/>
              </w:rPr>
              <w:t xml:space="preserve">”. En </w:t>
            </w:r>
            <w:r w:rsidRPr="00D011C4">
              <w:rPr>
                <w:rFonts w:cstheme="minorHAnsi"/>
                <w:i/>
                <w:color w:val="000000" w:themeColor="text1"/>
                <w:lang w:val="es-ES"/>
              </w:rPr>
              <w:t xml:space="preserve">Historia de la Biblia, </w:t>
            </w:r>
            <w:r w:rsidRPr="00D011C4">
              <w:rPr>
                <w:rFonts w:cstheme="minorHAnsi"/>
                <w:color w:val="000000" w:themeColor="text1"/>
                <w:lang w:val="es-ES"/>
              </w:rPr>
              <w:t>179-194.</w:t>
            </w:r>
            <w:r w:rsidRPr="00D011C4">
              <w:rPr>
                <w:rFonts w:cstheme="minorHAnsi"/>
                <w:i/>
                <w:color w:val="000000" w:themeColor="text1"/>
                <w:lang w:val="es-ES"/>
              </w:rPr>
              <w:t xml:space="preserve"> </w:t>
            </w:r>
            <w:r w:rsidRPr="00D011C4">
              <w:rPr>
                <w:rFonts w:cstheme="minorHAnsi"/>
                <w:color w:val="000000" w:themeColor="text1"/>
                <w:lang w:val="es-ES"/>
              </w:rPr>
              <w:t xml:space="preserve">Madrid: Trotta, 2006. </w:t>
            </w:r>
            <w:r>
              <w:rPr>
                <w:rFonts w:cstheme="minorHAnsi"/>
              </w:rPr>
              <w:t>(</w:t>
            </w:r>
            <w:r w:rsidRPr="00E959B7">
              <w:rPr>
                <w:rFonts w:cstheme="minorHAnsi"/>
                <w:color w:val="0070C0"/>
              </w:rPr>
              <w:t>clásico, última edición</w:t>
            </w:r>
            <w:r>
              <w:rPr>
                <w:rFonts w:cstheme="minorHAnsi"/>
              </w:rPr>
              <w:t>)</w:t>
            </w:r>
          </w:p>
          <w:p w14:paraId="33BF7D18" w14:textId="77777777" w:rsidR="0076384B" w:rsidRDefault="0076384B" w:rsidP="00DF0269">
            <w:pPr>
              <w:rPr>
                <w:rFonts w:cstheme="minorHAnsi"/>
                <w:b/>
                <w:color w:val="0070C0"/>
                <w:lang w:val="es-ES"/>
              </w:rPr>
            </w:pPr>
            <w:r w:rsidRPr="001A0FC1">
              <w:rPr>
                <w:rFonts w:cstheme="minorHAnsi"/>
                <w:b/>
                <w:color w:val="0070C0"/>
                <w:lang w:val="es-ES"/>
              </w:rPr>
              <w:t>Material complementario</w:t>
            </w:r>
          </w:p>
          <w:p w14:paraId="2225EB98" w14:textId="77777777" w:rsidR="0076384B" w:rsidRDefault="0076384B" w:rsidP="00DF0269">
            <w:pPr>
              <w:rPr>
                <w:rFonts w:cstheme="minorHAnsi"/>
                <w:bCs/>
                <w:color w:val="0070C0"/>
                <w:lang w:val="es-ES"/>
              </w:rPr>
            </w:pPr>
            <w:r>
              <w:rPr>
                <w:rFonts w:cstheme="minorHAnsi"/>
                <w:bCs/>
                <w:color w:val="0070C0"/>
                <w:lang w:val="es-ES"/>
              </w:rPr>
              <w:t>Guía para la participación en un foro en la plataforma Moodle</w:t>
            </w:r>
          </w:p>
          <w:p w14:paraId="23CBDBA5" w14:textId="77777777" w:rsidR="0076384B" w:rsidRPr="009C7E6C" w:rsidRDefault="0076384B" w:rsidP="00DF0269">
            <w:pPr>
              <w:rPr>
                <w:rFonts w:cstheme="minorHAnsi"/>
                <w:bCs/>
                <w:color w:val="000000" w:themeColor="text1"/>
                <w:lang w:val="es-ES"/>
              </w:rPr>
            </w:pPr>
          </w:p>
        </w:tc>
        <w:tc>
          <w:tcPr>
            <w:tcW w:w="3119" w:type="dxa"/>
          </w:tcPr>
          <w:p w14:paraId="5EB60FF9"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lastRenderedPageBreak/>
              <w:t>Realizar las lecturas de la sesión.</w:t>
            </w:r>
          </w:p>
          <w:p w14:paraId="098FA4CB"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Inicia la elaboración de un ensayo a partir de la reflexión personal sobre la transmisión y traducción de los textos de la Biblia hebrea y el Nuevo Testamento.</w:t>
            </w:r>
          </w:p>
          <w:p w14:paraId="66B1B159" w14:textId="77777777" w:rsidR="0076384B"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 xml:space="preserve">Participación en el foro grupal de lecturas: traducciones del Antiguo Testamento y el texto </w:t>
            </w:r>
            <w:r w:rsidRPr="00D011C4">
              <w:rPr>
                <w:rFonts w:cstheme="minorHAnsi"/>
                <w:color w:val="000000" w:themeColor="text1"/>
                <w:lang w:val="es-ES"/>
              </w:rPr>
              <w:lastRenderedPageBreak/>
              <w:t>griego, donde se realizará una discusión sobre el tema de reflexión.</w:t>
            </w:r>
          </w:p>
          <w:p w14:paraId="49ED869D" w14:textId="77777777" w:rsidR="0076384B" w:rsidRPr="00D011C4" w:rsidRDefault="0076384B" w:rsidP="00012916">
            <w:pPr>
              <w:ind w:left="176"/>
              <w:rPr>
                <w:rFonts w:cstheme="minorHAnsi"/>
                <w:color w:val="000000" w:themeColor="text1"/>
                <w:lang w:val="es-ES"/>
              </w:rPr>
            </w:pPr>
          </w:p>
        </w:tc>
      </w:tr>
      <w:tr w:rsidR="0076384B" w:rsidRPr="00D011C4" w14:paraId="2E273C90" w14:textId="77777777" w:rsidTr="1B8DFF3C">
        <w:trPr>
          <w:jc w:val="center"/>
        </w:trPr>
        <w:tc>
          <w:tcPr>
            <w:tcW w:w="1271" w:type="dxa"/>
          </w:tcPr>
          <w:p w14:paraId="3D316EA5" w14:textId="77777777" w:rsidR="0076384B" w:rsidRPr="00D011C4" w:rsidRDefault="0076384B" w:rsidP="00FE79D6">
            <w:pPr>
              <w:jc w:val="center"/>
              <w:rPr>
                <w:rFonts w:cstheme="minorHAnsi"/>
                <w:color w:val="000000" w:themeColor="text1"/>
              </w:rPr>
            </w:pPr>
            <w:r w:rsidRPr="00D011C4">
              <w:rPr>
                <w:rFonts w:cstheme="minorHAnsi"/>
                <w:color w:val="000000" w:themeColor="text1"/>
              </w:rPr>
              <w:lastRenderedPageBreak/>
              <w:t>10</w:t>
            </w:r>
          </w:p>
          <w:p w14:paraId="2C6E8702" w14:textId="77777777" w:rsidR="0076384B" w:rsidRPr="00D011C4" w:rsidRDefault="0076384B" w:rsidP="00FE79D6">
            <w:pPr>
              <w:jc w:val="center"/>
              <w:rPr>
                <w:rFonts w:cstheme="minorHAnsi"/>
                <w:color w:val="FF0000"/>
              </w:rPr>
            </w:pPr>
          </w:p>
        </w:tc>
        <w:tc>
          <w:tcPr>
            <w:tcW w:w="2126" w:type="dxa"/>
          </w:tcPr>
          <w:p w14:paraId="273E341D" w14:textId="77777777" w:rsidR="0076384B" w:rsidRPr="00EA3D3F" w:rsidRDefault="0076384B" w:rsidP="00B6261F">
            <w:pPr>
              <w:rPr>
                <w:rFonts w:cstheme="minorHAnsi"/>
                <w:b/>
                <w:bCs/>
                <w:lang w:val="es-ES"/>
              </w:rPr>
            </w:pPr>
            <w:r w:rsidRPr="00EA3D3F">
              <w:rPr>
                <w:rFonts w:cstheme="minorHAnsi"/>
                <w:b/>
                <w:bCs/>
                <w:lang w:val="es-ES"/>
              </w:rPr>
              <w:t xml:space="preserve">Unidad 4: Literatura </w:t>
            </w:r>
            <w:proofErr w:type="spellStart"/>
            <w:r w:rsidRPr="00EA3D3F">
              <w:rPr>
                <w:rFonts w:cstheme="minorHAnsi"/>
                <w:b/>
                <w:bCs/>
                <w:lang w:val="es-ES"/>
              </w:rPr>
              <w:t>Para-bíblica</w:t>
            </w:r>
            <w:proofErr w:type="spellEnd"/>
          </w:p>
          <w:p w14:paraId="186214F4" w14:textId="77777777" w:rsidR="0076384B" w:rsidRPr="00D011C4" w:rsidRDefault="0076384B" w:rsidP="00FE79D6">
            <w:pPr>
              <w:rPr>
                <w:rFonts w:cstheme="minorHAnsi"/>
                <w:color w:val="000000" w:themeColor="text1"/>
                <w:lang w:val="es-ES"/>
              </w:rPr>
            </w:pPr>
            <w:r w:rsidRPr="0057013E">
              <w:rPr>
                <w:rFonts w:cstheme="minorHAnsi"/>
                <w:lang w:val="es-ES"/>
              </w:rPr>
              <w:t>4.3 Antiguo Testamento: texto griego (LXX)</w:t>
            </w:r>
          </w:p>
        </w:tc>
        <w:tc>
          <w:tcPr>
            <w:tcW w:w="2835" w:type="dxa"/>
          </w:tcPr>
          <w:p w14:paraId="05CA9502" w14:textId="77777777" w:rsidR="0076384B" w:rsidRDefault="0076384B" w:rsidP="00ED2C21">
            <w:pPr>
              <w:rPr>
                <w:rFonts w:cstheme="minorHAnsi"/>
                <w:color w:val="000000" w:themeColor="text1"/>
                <w:lang w:val="es-ES"/>
              </w:rPr>
            </w:pPr>
            <w:r>
              <w:rPr>
                <w:rFonts w:cstheme="minorHAnsi"/>
                <w:color w:val="0070C0"/>
              </w:rPr>
              <w:t>Ruta de aprendizaje</w:t>
            </w:r>
          </w:p>
          <w:p w14:paraId="47C32253" w14:textId="77777777" w:rsidR="0076384B" w:rsidRPr="00D011C4" w:rsidRDefault="0076384B" w:rsidP="00ED2C21">
            <w:pPr>
              <w:rPr>
                <w:rFonts w:cstheme="minorHAnsi"/>
                <w:color w:val="000000" w:themeColor="text1"/>
                <w:lang w:val="es-ES"/>
              </w:rPr>
            </w:pPr>
            <w:proofErr w:type="spellStart"/>
            <w:r w:rsidRPr="00D011C4">
              <w:rPr>
                <w:rFonts w:cstheme="minorHAnsi"/>
                <w:color w:val="000000" w:themeColor="text1"/>
                <w:lang w:val="es-ES"/>
              </w:rPr>
              <w:t>Trebolle</w:t>
            </w:r>
            <w:proofErr w:type="spellEnd"/>
            <w:r w:rsidRPr="00D011C4">
              <w:rPr>
                <w:rFonts w:cstheme="minorHAnsi"/>
                <w:color w:val="000000" w:themeColor="text1"/>
                <w:lang w:val="es-ES"/>
              </w:rPr>
              <w:t xml:space="preserve">, Julio. “La versión griega de Los Setenta”. En </w:t>
            </w:r>
            <w:r w:rsidRPr="00D011C4">
              <w:rPr>
                <w:rFonts w:cstheme="minorHAnsi"/>
                <w:i/>
                <w:color w:val="000000" w:themeColor="text1"/>
                <w:lang w:val="es-ES"/>
              </w:rPr>
              <w:t xml:space="preserve">La Biblia judía y la Biblia cristiana: introducción a la historia de la Biblia, </w:t>
            </w:r>
            <w:r w:rsidRPr="00D011C4">
              <w:rPr>
                <w:rFonts w:cstheme="minorHAnsi"/>
                <w:color w:val="000000" w:themeColor="text1"/>
                <w:lang w:val="es-ES"/>
              </w:rPr>
              <w:t>315-340.</w:t>
            </w:r>
            <w:r w:rsidRPr="00D011C4">
              <w:rPr>
                <w:rFonts w:cstheme="minorHAnsi"/>
                <w:i/>
                <w:color w:val="000000" w:themeColor="text1"/>
                <w:lang w:val="es-ES"/>
              </w:rPr>
              <w:t xml:space="preserve"> </w:t>
            </w:r>
            <w:r w:rsidRPr="00D011C4">
              <w:rPr>
                <w:rFonts w:cstheme="minorHAnsi"/>
                <w:color w:val="000000" w:themeColor="text1"/>
                <w:lang w:val="es-ES"/>
              </w:rPr>
              <w:t xml:space="preserve">Madrid: Trotta, </w:t>
            </w:r>
            <w:r>
              <w:rPr>
                <w:rFonts w:cstheme="minorHAnsi"/>
                <w:color w:val="000000" w:themeColor="text1"/>
                <w:lang w:val="es-ES"/>
              </w:rPr>
              <w:t>2013</w:t>
            </w:r>
            <w:r w:rsidRPr="00D011C4">
              <w:rPr>
                <w:rFonts w:cstheme="minorHAnsi"/>
                <w:color w:val="000000" w:themeColor="text1"/>
                <w:lang w:val="es-ES"/>
              </w:rPr>
              <w:t>.</w:t>
            </w:r>
            <w:r>
              <w:rPr>
                <w:rFonts w:cstheme="minorHAnsi"/>
                <w:color w:val="000000" w:themeColor="text1"/>
                <w:lang w:val="es-ES"/>
              </w:rPr>
              <w:t xml:space="preserve"> </w:t>
            </w:r>
            <w:r>
              <w:rPr>
                <w:rFonts w:cstheme="minorHAnsi"/>
              </w:rPr>
              <w:t>(</w:t>
            </w:r>
            <w:r w:rsidRPr="00E959B7">
              <w:rPr>
                <w:rFonts w:cstheme="minorHAnsi"/>
                <w:color w:val="0070C0"/>
              </w:rPr>
              <w:t>clásico, última edición</w:t>
            </w:r>
            <w:r>
              <w:rPr>
                <w:rFonts w:cstheme="minorHAnsi"/>
              </w:rPr>
              <w:t>)</w:t>
            </w:r>
          </w:p>
          <w:p w14:paraId="2408B7A0" w14:textId="77777777" w:rsidR="0076384B" w:rsidRPr="00D011C4" w:rsidRDefault="0076384B" w:rsidP="007478C6">
            <w:pPr>
              <w:jc w:val="both"/>
              <w:rPr>
                <w:rFonts w:cstheme="minorHAnsi"/>
                <w:b/>
                <w:lang w:val="es-ES"/>
              </w:rPr>
            </w:pPr>
            <w:r w:rsidRPr="00D011C4">
              <w:rPr>
                <w:rFonts w:cstheme="minorHAnsi"/>
                <w:b/>
                <w:lang w:val="es-ES"/>
              </w:rPr>
              <w:t>Material complementario</w:t>
            </w:r>
          </w:p>
          <w:p w14:paraId="7D79370F" w14:textId="77777777" w:rsidR="0076384B" w:rsidRDefault="0076384B" w:rsidP="00ED2C21">
            <w:pPr>
              <w:rPr>
                <w:rFonts w:cstheme="minorHAnsi"/>
                <w:color w:val="00B050"/>
                <w:lang w:val="es-ES"/>
              </w:rPr>
            </w:pPr>
            <w:r w:rsidRPr="00D011C4">
              <w:rPr>
                <w:rFonts w:cstheme="minorHAnsi"/>
                <w:lang w:val="es-ES"/>
              </w:rPr>
              <w:t xml:space="preserve">Rivas </w:t>
            </w:r>
            <w:proofErr w:type="spellStart"/>
            <w:r w:rsidRPr="00D011C4">
              <w:rPr>
                <w:rFonts w:cstheme="minorHAnsi"/>
                <w:lang w:val="es-ES"/>
              </w:rPr>
              <w:t>Rebaque</w:t>
            </w:r>
            <w:proofErr w:type="spellEnd"/>
            <w:r w:rsidRPr="00D011C4">
              <w:rPr>
                <w:rFonts w:cstheme="minorHAnsi"/>
                <w:lang w:val="es-ES"/>
              </w:rPr>
              <w:t xml:space="preserve">, Fernando. “El cristianismo como mestizaje cultural: Apropiación de la Escritura judía por parte cristiana en Justino Mártir”. </w:t>
            </w:r>
            <w:r w:rsidRPr="00D011C4">
              <w:rPr>
                <w:rFonts w:cstheme="minorHAnsi"/>
                <w:i/>
                <w:lang w:val="es-ES"/>
              </w:rPr>
              <w:t xml:space="preserve">Estudios Bíblicos </w:t>
            </w:r>
            <w:r w:rsidRPr="00D011C4">
              <w:rPr>
                <w:rFonts w:cstheme="minorHAnsi"/>
                <w:lang w:val="es-ES"/>
              </w:rPr>
              <w:t>76, Cuaderno 1 (2018): 115-143.</w:t>
            </w:r>
            <w:r w:rsidRPr="00D011C4">
              <w:rPr>
                <w:rFonts w:cstheme="minorHAnsi"/>
                <w:color w:val="00B050"/>
                <w:lang w:val="es-ES"/>
              </w:rPr>
              <w:t xml:space="preserve"> </w:t>
            </w:r>
          </w:p>
          <w:p w14:paraId="3CEAF4C3" w14:textId="26BD5093" w:rsidR="0076384B" w:rsidRPr="00D011C4" w:rsidRDefault="0076384B" w:rsidP="00484BB1">
            <w:pPr>
              <w:rPr>
                <w:rFonts w:cstheme="minorHAnsi"/>
                <w:color w:val="000000" w:themeColor="text1"/>
                <w:lang w:val="es-ES"/>
              </w:rPr>
            </w:pPr>
            <w:r>
              <w:rPr>
                <w:rFonts w:cstheme="minorHAnsi"/>
                <w:color w:val="0070C0"/>
                <w:lang w:val="es-ES"/>
              </w:rPr>
              <w:t>Guía para la participación en un wiki en la plataforma Moodle</w:t>
            </w:r>
            <w:r w:rsidRPr="00D011C4">
              <w:rPr>
                <w:rFonts w:cstheme="minorHAnsi"/>
                <w:color w:val="000000" w:themeColor="text1"/>
                <w:lang w:val="es-ES"/>
              </w:rPr>
              <w:t xml:space="preserve"> </w:t>
            </w:r>
          </w:p>
        </w:tc>
        <w:tc>
          <w:tcPr>
            <w:tcW w:w="3119" w:type="dxa"/>
          </w:tcPr>
          <w:p w14:paraId="1CBCAD9D"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 lectura de la sesión.</w:t>
            </w:r>
          </w:p>
          <w:p w14:paraId="0D5D3289"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Continúa con la elaboración del ensayo a partir de la reflexión personal sobre la transmisión y traducción de los textos de la Biblia hebrea y el Nuevo Testamento.</w:t>
            </w:r>
          </w:p>
          <w:p w14:paraId="4B6864B8"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Participación en la elaboración de un wiki sobre la comparación del texto hebreo y la versión griega del Antiguo Testamento.</w:t>
            </w:r>
          </w:p>
          <w:p w14:paraId="7EECD476"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Aporte docente: Insumos para la comparación del texto hebreo y la versión griega (LXX) del Antiguo Testamento.</w:t>
            </w:r>
          </w:p>
          <w:p w14:paraId="5E9FA91A" w14:textId="77777777" w:rsidR="0076384B" w:rsidRPr="00D011C4" w:rsidRDefault="0076384B" w:rsidP="000D4A35">
            <w:pPr>
              <w:ind w:left="176"/>
              <w:rPr>
                <w:rFonts w:cstheme="minorHAnsi"/>
                <w:color w:val="000000" w:themeColor="text1"/>
                <w:lang w:val="es-ES"/>
              </w:rPr>
            </w:pPr>
          </w:p>
        </w:tc>
      </w:tr>
      <w:tr w:rsidR="0076384B" w:rsidRPr="00D011C4" w14:paraId="53FB58C6" w14:textId="77777777" w:rsidTr="1B8DFF3C">
        <w:trPr>
          <w:jc w:val="center"/>
        </w:trPr>
        <w:tc>
          <w:tcPr>
            <w:tcW w:w="1271" w:type="dxa"/>
          </w:tcPr>
          <w:p w14:paraId="324B2C4A" w14:textId="77777777" w:rsidR="0076384B" w:rsidRPr="00D011C4" w:rsidRDefault="0076384B" w:rsidP="00FE79D6">
            <w:pPr>
              <w:jc w:val="center"/>
              <w:rPr>
                <w:rFonts w:cstheme="minorHAnsi"/>
                <w:color w:val="000000" w:themeColor="text1"/>
              </w:rPr>
            </w:pPr>
            <w:r w:rsidRPr="00D011C4">
              <w:rPr>
                <w:rFonts w:cstheme="minorHAnsi"/>
                <w:color w:val="000000" w:themeColor="text1"/>
              </w:rPr>
              <w:t>11</w:t>
            </w:r>
          </w:p>
          <w:p w14:paraId="08EEF3C5" w14:textId="77777777" w:rsidR="0076384B" w:rsidRPr="00D011C4" w:rsidRDefault="0076384B" w:rsidP="00FE79D6">
            <w:pPr>
              <w:jc w:val="center"/>
              <w:rPr>
                <w:rFonts w:cstheme="minorHAnsi"/>
                <w:color w:val="FF0000"/>
              </w:rPr>
            </w:pPr>
          </w:p>
        </w:tc>
        <w:tc>
          <w:tcPr>
            <w:tcW w:w="2126" w:type="dxa"/>
          </w:tcPr>
          <w:p w14:paraId="520A7AB9" w14:textId="77777777" w:rsidR="0076384B" w:rsidRPr="00EA3D3F" w:rsidRDefault="0076384B" w:rsidP="00B5238E">
            <w:pPr>
              <w:rPr>
                <w:rFonts w:cstheme="minorHAnsi"/>
                <w:b/>
                <w:bCs/>
                <w:lang w:val="es-ES"/>
              </w:rPr>
            </w:pPr>
            <w:r w:rsidRPr="00EA3D3F">
              <w:rPr>
                <w:rFonts w:cstheme="minorHAnsi"/>
                <w:b/>
                <w:bCs/>
                <w:lang w:val="es-ES"/>
              </w:rPr>
              <w:t xml:space="preserve">Unidad 4: Literatura </w:t>
            </w:r>
            <w:proofErr w:type="spellStart"/>
            <w:r w:rsidRPr="00EA3D3F">
              <w:rPr>
                <w:rFonts w:cstheme="minorHAnsi"/>
                <w:b/>
                <w:bCs/>
                <w:lang w:val="es-ES"/>
              </w:rPr>
              <w:t>Para-bíblica</w:t>
            </w:r>
            <w:proofErr w:type="spellEnd"/>
          </w:p>
          <w:p w14:paraId="7712E0D9" w14:textId="77777777" w:rsidR="0076384B" w:rsidRPr="00D011C4" w:rsidRDefault="0076384B" w:rsidP="00FE79D6">
            <w:pPr>
              <w:rPr>
                <w:rFonts w:cstheme="minorHAnsi"/>
                <w:color w:val="000000" w:themeColor="text1"/>
                <w:lang w:val="es-ES"/>
              </w:rPr>
            </w:pPr>
            <w:r w:rsidRPr="00963B65">
              <w:rPr>
                <w:rFonts w:cstheme="minorHAnsi"/>
                <w:lang w:val="es-ES"/>
              </w:rPr>
              <w:t>4.4 Nuevo Testamento: texto griego</w:t>
            </w:r>
          </w:p>
        </w:tc>
        <w:tc>
          <w:tcPr>
            <w:tcW w:w="2835" w:type="dxa"/>
          </w:tcPr>
          <w:p w14:paraId="2A48D646" w14:textId="77777777" w:rsidR="0076384B" w:rsidRDefault="0076384B" w:rsidP="009E5F87">
            <w:pPr>
              <w:rPr>
                <w:rFonts w:cstheme="minorHAnsi"/>
                <w:bCs/>
                <w:color w:val="000000" w:themeColor="text1"/>
              </w:rPr>
            </w:pPr>
            <w:r>
              <w:rPr>
                <w:rFonts w:cstheme="minorHAnsi"/>
                <w:color w:val="0070C0"/>
              </w:rPr>
              <w:t>Ruta de aprendizaje</w:t>
            </w:r>
          </w:p>
          <w:p w14:paraId="0CB54939" w14:textId="77777777" w:rsidR="0076384B" w:rsidRPr="003160AE" w:rsidRDefault="0076384B" w:rsidP="009E5F87">
            <w:pPr>
              <w:rPr>
                <w:rFonts w:cstheme="minorHAnsi"/>
                <w:bCs/>
                <w:color w:val="000000" w:themeColor="text1"/>
                <w:sz w:val="20"/>
              </w:rPr>
            </w:pPr>
            <w:r w:rsidRPr="003160AE">
              <w:rPr>
                <w:rFonts w:cstheme="minorHAnsi"/>
                <w:bCs/>
                <w:color w:val="000000" w:themeColor="text1"/>
              </w:rPr>
              <w:t>Carbajosa Ignacio, Joaquín González Echegaray y Francisco Varo. “El texto del Nuevo Testamento”. En La Biblia en su entorno, 553-587. Estella: Verbo Divino, 2023.</w:t>
            </w:r>
            <w:r w:rsidRPr="003160AE">
              <w:rPr>
                <w:rFonts w:cstheme="minorHAnsi"/>
                <w:bCs/>
                <w:color w:val="000000" w:themeColor="text1"/>
                <w:sz w:val="20"/>
              </w:rPr>
              <w:t xml:space="preserve"> </w:t>
            </w:r>
          </w:p>
          <w:p w14:paraId="21C6D89D" w14:textId="77777777" w:rsidR="0076384B" w:rsidRDefault="0076384B" w:rsidP="009E5F87">
            <w:pPr>
              <w:rPr>
                <w:rFonts w:cstheme="minorHAnsi"/>
                <w:color w:val="000000" w:themeColor="text1"/>
                <w:lang w:val="es-ES"/>
              </w:rPr>
            </w:pPr>
          </w:p>
          <w:p w14:paraId="6470CEC2" w14:textId="77777777" w:rsidR="0076384B" w:rsidRDefault="0076384B" w:rsidP="009E5F87">
            <w:pPr>
              <w:rPr>
                <w:rFonts w:cstheme="minorHAnsi"/>
                <w:b/>
                <w:color w:val="0070C0"/>
                <w:lang w:val="es-ES"/>
              </w:rPr>
            </w:pPr>
            <w:r w:rsidRPr="001A0FC1">
              <w:rPr>
                <w:rFonts w:cstheme="minorHAnsi"/>
                <w:b/>
                <w:color w:val="0070C0"/>
                <w:lang w:val="es-ES"/>
              </w:rPr>
              <w:lastRenderedPageBreak/>
              <w:t>Material complementario</w:t>
            </w:r>
          </w:p>
          <w:p w14:paraId="536BF402" w14:textId="388A7E5C" w:rsidR="0076384B" w:rsidRPr="009F3F89" w:rsidRDefault="0076384B" w:rsidP="00484BB1">
            <w:pPr>
              <w:rPr>
                <w:rFonts w:cstheme="minorHAnsi"/>
                <w:bCs/>
                <w:color w:val="000000" w:themeColor="text1"/>
                <w:lang w:val="es-ES"/>
              </w:rPr>
            </w:pPr>
            <w:r>
              <w:rPr>
                <w:rFonts w:cstheme="minorHAnsi"/>
                <w:bCs/>
                <w:color w:val="0070C0"/>
                <w:lang w:val="es-ES"/>
              </w:rPr>
              <w:t xml:space="preserve">Guía para la participación mediante la herramienta Big Blue </w:t>
            </w:r>
            <w:proofErr w:type="spellStart"/>
            <w:r>
              <w:rPr>
                <w:rFonts w:cstheme="minorHAnsi"/>
                <w:bCs/>
                <w:color w:val="0070C0"/>
                <w:lang w:val="es-ES"/>
              </w:rPr>
              <w:t>Button</w:t>
            </w:r>
            <w:proofErr w:type="spellEnd"/>
            <w:r>
              <w:rPr>
                <w:rFonts w:cstheme="minorHAnsi"/>
                <w:bCs/>
                <w:color w:val="0070C0"/>
                <w:lang w:val="es-ES"/>
              </w:rPr>
              <w:t xml:space="preserve"> en la plataforma Moodle</w:t>
            </w:r>
          </w:p>
        </w:tc>
        <w:tc>
          <w:tcPr>
            <w:tcW w:w="3119" w:type="dxa"/>
          </w:tcPr>
          <w:p w14:paraId="6F7CE144"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lastRenderedPageBreak/>
              <w:t>Realizar la lectura de la sesión.</w:t>
            </w:r>
          </w:p>
          <w:p w14:paraId="24DAE72A"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Entrega del ensayo a partir de la reflexión personal sobre la transmisión y traducción de los textos de la Biblia hebrea y el Nuevo Testamento.</w:t>
            </w:r>
          </w:p>
          <w:p w14:paraId="7CE2FAAA"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Revisión de texto bíblico en manuscritos griegos (traducciones) con aportes docentes en un encuentro sincrónico</w:t>
            </w:r>
            <w:r>
              <w:rPr>
                <w:rFonts w:cstheme="minorHAnsi"/>
                <w:color w:val="000000" w:themeColor="text1"/>
                <w:lang w:val="es-ES"/>
              </w:rPr>
              <w:t xml:space="preserve"> virtual</w:t>
            </w:r>
            <w:r w:rsidRPr="00D011C4">
              <w:rPr>
                <w:rFonts w:cstheme="minorHAnsi"/>
                <w:color w:val="000000" w:themeColor="text1"/>
                <w:lang w:val="es-ES"/>
              </w:rPr>
              <w:t xml:space="preserve"> </w:t>
            </w:r>
            <w:r>
              <w:rPr>
                <w:rFonts w:cstheme="minorHAnsi"/>
                <w:color w:val="000000" w:themeColor="text1"/>
                <w:lang w:val="es-ES"/>
              </w:rPr>
              <w:t>(formativo)</w:t>
            </w:r>
            <w:r w:rsidRPr="00D011C4">
              <w:rPr>
                <w:rFonts w:cstheme="minorHAnsi"/>
                <w:color w:val="000000" w:themeColor="text1"/>
                <w:lang w:val="es-ES"/>
              </w:rPr>
              <w:t xml:space="preserve">. </w:t>
            </w:r>
          </w:p>
          <w:p w14:paraId="2AB745BE" w14:textId="77777777" w:rsidR="0076384B" w:rsidRPr="00D011C4" w:rsidRDefault="0076384B" w:rsidP="0024640F">
            <w:pPr>
              <w:ind w:left="176"/>
              <w:rPr>
                <w:rFonts w:cstheme="minorHAnsi"/>
                <w:color w:val="000000" w:themeColor="text1"/>
                <w:lang w:val="es-ES"/>
              </w:rPr>
            </w:pPr>
          </w:p>
        </w:tc>
      </w:tr>
      <w:tr w:rsidR="0076384B" w:rsidRPr="00D011C4" w14:paraId="4A3A0093" w14:textId="77777777" w:rsidTr="1B8DFF3C">
        <w:trPr>
          <w:jc w:val="center"/>
        </w:trPr>
        <w:tc>
          <w:tcPr>
            <w:tcW w:w="1271" w:type="dxa"/>
          </w:tcPr>
          <w:p w14:paraId="6C897A18" w14:textId="77777777" w:rsidR="0076384B" w:rsidRPr="00D011C4" w:rsidRDefault="0076384B" w:rsidP="00FE79D6">
            <w:pPr>
              <w:jc w:val="center"/>
              <w:rPr>
                <w:rFonts w:cstheme="minorHAnsi"/>
                <w:color w:val="000000" w:themeColor="text1"/>
              </w:rPr>
            </w:pPr>
            <w:r w:rsidRPr="00D011C4">
              <w:rPr>
                <w:rFonts w:cstheme="minorHAnsi"/>
                <w:color w:val="000000" w:themeColor="text1"/>
              </w:rPr>
              <w:lastRenderedPageBreak/>
              <w:t>12</w:t>
            </w:r>
          </w:p>
          <w:p w14:paraId="711DE693" w14:textId="77777777" w:rsidR="0076384B" w:rsidRPr="00D011C4" w:rsidRDefault="0076384B" w:rsidP="00FE79D6">
            <w:pPr>
              <w:jc w:val="center"/>
              <w:rPr>
                <w:rFonts w:cstheme="minorHAnsi"/>
                <w:color w:val="FF0000"/>
              </w:rPr>
            </w:pPr>
          </w:p>
        </w:tc>
        <w:tc>
          <w:tcPr>
            <w:tcW w:w="2126" w:type="dxa"/>
          </w:tcPr>
          <w:p w14:paraId="232378FC" w14:textId="77777777" w:rsidR="0076384B" w:rsidRPr="00EA3D3F" w:rsidRDefault="0076384B" w:rsidP="00FE79D6">
            <w:pPr>
              <w:rPr>
                <w:rFonts w:cstheme="minorHAnsi"/>
                <w:b/>
                <w:bCs/>
                <w:lang w:val="es-ES"/>
              </w:rPr>
            </w:pPr>
            <w:r w:rsidRPr="00EA3D3F">
              <w:rPr>
                <w:rFonts w:cstheme="minorHAnsi"/>
                <w:b/>
                <w:bCs/>
                <w:lang w:val="es-ES"/>
              </w:rPr>
              <w:t>Unidad 5: Biblia y hermenéutica</w:t>
            </w:r>
          </w:p>
          <w:p w14:paraId="22E51E76" w14:textId="77777777" w:rsidR="0076384B" w:rsidRPr="00D011C4" w:rsidRDefault="0076384B" w:rsidP="00FE79D6">
            <w:pPr>
              <w:rPr>
                <w:rFonts w:cstheme="minorHAnsi"/>
                <w:color w:val="000000" w:themeColor="text1"/>
                <w:lang w:val="es-ES"/>
              </w:rPr>
            </w:pPr>
            <w:r w:rsidRPr="006F1110">
              <w:rPr>
                <w:rFonts w:cstheme="minorHAnsi"/>
                <w:lang w:val="es-ES"/>
              </w:rPr>
              <w:t>5.1 Biblia y hermenéutica: Gadamer y Ricoeur</w:t>
            </w:r>
          </w:p>
        </w:tc>
        <w:tc>
          <w:tcPr>
            <w:tcW w:w="2835" w:type="dxa"/>
          </w:tcPr>
          <w:p w14:paraId="4ACE5036" w14:textId="77777777" w:rsidR="0076384B" w:rsidRDefault="0076384B" w:rsidP="1B8DFF3C">
            <w:pPr>
              <w:rPr>
                <w:color w:val="000000" w:themeColor="text1"/>
                <w:lang w:val="es-ES"/>
              </w:rPr>
            </w:pPr>
            <w:r>
              <w:rPr>
                <w:rFonts w:cstheme="minorHAnsi"/>
                <w:color w:val="0070C0"/>
              </w:rPr>
              <w:t>Ruta de aprendizaje</w:t>
            </w:r>
          </w:p>
          <w:p w14:paraId="49BDC07D" w14:textId="77777777" w:rsidR="0076384B" w:rsidRPr="00575296" w:rsidRDefault="0076384B" w:rsidP="1B8DFF3C">
            <w:pPr>
              <w:rPr>
                <w:color w:val="000000" w:themeColor="text1"/>
                <w:lang w:val="es-ES"/>
              </w:rPr>
            </w:pPr>
            <w:r w:rsidRPr="1B8DFF3C">
              <w:rPr>
                <w:color w:val="000000" w:themeColor="text1"/>
                <w:lang w:val="es-ES"/>
              </w:rPr>
              <w:t xml:space="preserve">De </w:t>
            </w:r>
            <w:proofErr w:type="spellStart"/>
            <w:r w:rsidRPr="1B8DFF3C">
              <w:rPr>
                <w:color w:val="000000" w:themeColor="text1"/>
                <w:lang w:val="es-ES"/>
              </w:rPr>
              <w:t>Wit</w:t>
            </w:r>
            <w:proofErr w:type="spellEnd"/>
            <w:r w:rsidRPr="1B8DFF3C">
              <w:rPr>
                <w:color w:val="000000" w:themeColor="text1"/>
                <w:lang w:val="es-ES"/>
              </w:rPr>
              <w:t xml:space="preserve">, Hans. “Hermenéutica de la apropiación”. En </w:t>
            </w:r>
            <w:proofErr w:type="spellStart"/>
            <w:r w:rsidRPr="1B8DFF3C">
              <w:rPr>
                <w:i/>
                <w:iCs/>
                <w:color w:val="000000" w:themeColor="text1"/>
                <w:lang w:val="es-ES"/>
              </w:rPr>
              <w:t>En</w:t>
            </w:r>
            <w:proofErr w:type="spellEnd"/>
            <w:r w:rsidRPr="1B8DFF3C">
              <w:rPr>
                <w:i/>
                <w:iCs/>
                <w:color w:val="000000" w:themeColor="text1"/>
                <w:lang w:val="es-ES"/>
              </w:rPr>
              <w:t xml:space="preserve"> la dispersión el texto es patria. Introducción a la hermenéutica clásica, moderna y posmoderna, </w:t>
            </w:r>
            <w:r w:rsidRPr="1B8DFF3C">
              <w:rPr>
                <w:color w:val="000000" w:themeColor="text1"/>
                <w:lang w:val="es-ES"/>
              </w:rPr>
              <w:t>187-216.</w:t>
            </w:r>
            <w:r w:rsidRPr="1B8DFF3C">
              <w:rPr>
                <w:i/>
                <w:iCs/>
                <w:color w:val="000000" w:themeColor="text1"/>
                <w:lang w:val="es-ES"/>
              </w:rPr>
              <w:t xml:space="preserve"> </w:t>
            </w:r>
            <w:r w:rsidRPr="1B8DFF3C">
              <w:rPr>
                <w:color w:val="000000" w:themeColor="text1"/>
                <w:lang w:val="es-ES"/>
              </w:rPr>
              <w:t>San José: SEBILA, 2010.</w:t>
            </w:r>
            <w:r>
              <w:rPr>
                <w:rFonts w:cstheme="minorHAnsi"/>
              </w:rPr>
              <w:t xml:space="preserve"> (</w:t>
            </w:r>
            <w:r w:rsidRPr="00E959B7">
              <w:rPr>
                <w:rFonts w:cstheme="minorHAnsi"/>
                <w:color w:val="0070C0"/>
              </w:rPr>
              <w:t>clásico, última edición</w:t>
            </w:r>
            <w:r>
              <w:rPr>
                <w:rFonts w:cstheme="minorHAnsi"/>
              </w:rPr>
              <w:t>)</w:t>
            </w:r>
          </w:p>
          <w:p w14:paraId="0F8E4A9D" w14:textId="77777777" w:rsidR="0076384B" w:rsidRDefault="0076384B" w:rsidP="00D516D5">
            <w:pPr>
              <w:rPr>
                <w:rFonts w:cstheme="minorHAnsi"/>
                <w:bCs/>
                <w:color w:val="000000" w:themeColor="text1"/>
              </w:rPr>
            </w:pPr>
            <w:proofErr w:type="spellStart"/>
            <w:r w:rsidRPr="00D011C4">
              <w:rPr>
                <w:rFonts w:cstheme="minorHAnsi"/>
                <w:bCs/>
                <w:color w:val="000000" w:themeColor="text1"/>
              </w:rPr>
              <w:t>Thiselton</w:t>
            </w:r>
            <w:proofErr w:type="spellEnd"/>
            <w:r w:rsidRPr="00D011C4">
              <w:rPr>
                <w:rFonts w:cstheme="minorHAnsi"/>
                <w:bCs/>
                <w:color w:val="000000" w:themeColor="text1"/>
              </w:rPr>
              <w:t xml:space="preserve">, Anthony. “Los estudios bíblicos y la hermenéutica teórica”. En </w:t>
            </w:r>
            <w:r w:rsidRPr="00D011C4">
              <w:rPr>
                <w:rFonts w:cstheme="minorHAnsi"/>
                <w:bCs/>
                <w:i/>
                <w:color w:val="000000" w:themeColor="text1"/>
              </w:rPr>
              <w:t xml:space="preserve">La interpretación bíblica, hoy, </w:t>
            </w:r>
            <w:r w:rsidRPr="00D011C4">
              <w:rPr>
                <w:rFonts w:cstheme="minorHAnsi"/>
                <w:bCs/>
                <w:color w:val="000000" w:themeColor="text1"/>
              </w:rPr>
              <w:t xml:space="preserve">editado por John Barton, 120-139. Santander: Sal </w:t>
            </w:r>
            <w:proofErr w:type="spellStart"/>
            <w:r w:rsidRPr="00D011C4">
              <w:rPr>
                <w:rFonts w:cstheme="minorHAnsi"/>
                <w:bCs/>
                <w:color w:val="000000" w:themeColor="text1"/>
              </w:rPr>
              <w:t>Terrae</w:t>
            </w:r>
            <w:proofErr w:type="spellEnd"/>
            <w:r w:rsidRPr="00D011C4">
              <w:rPr>
                <w:rFonts w:cstheme="minorHAnsi"/>
                <w:bCs/>
                <w:color w:val="000000" w:themeColor="text1"/>
              </w:rPr>
              <w:t>, 2001.</w:t>
            </w:r>
            <w:r>
              <w:rPr>
                <w:rFonts w:cstheme="minorHAnsi"/>
                <w:bCs/>
                <w:color w:val="000000" w:themeColor="text1"/>
              </w:rPr>
              <w:t xml:space="preserve"> </w:t>
            </w:r>
            <w:r>
              <w:rPr>
                <w:rFonts w:cstheme="minorHAnsi"/>
              </w:rPr>
              <w:t>(</w:t>
            </w:r>
            <w:r w:rsidRPr="00E959B7">
              <w:rPr>
                <w:rFonts w:cstheme="minorHAnsi"/>
                <w:color w:val="0070C0"/>
              </w:rPr>
              <w:t>clásico, última edición</w:t>
            </w:r>
            <w:r>
              <w:rPr>
                <w:rFonts w:cstheme="minorHAnsi"/>
              </w:rPr>
              <w:t>)</w:t>
            </w:r>
          </w:p>
          <w:p w14:paraId="60D11C49" w14:textId="77777777" w:rsidR="0076384B" w:rsidRDefault="0076384B" w:rsidP="00D516D5">
            <w:pPr>
              <w:rPr>
                <w:rFonts w:cstheme="minorHAnsi"/>
                <w:b/>
                <w:color w:val="0070C0"/>
                <w:lang w:val="es-ES"/>
              </w:rPr>
            </w:pPr>
            <w:r w:rsidRPr="001A0FC1">
              <w:rPr>
                <w:rFonts w:cstheme="minorHAnsi"/>
                <w:b/>
                <w:color w:val="0070C0"/>
                <w:lang w:val="es-ES"/>
              </w:rPr>
              <w:t>Material complementario</w:t>
            </w:r>
          </w:p>
          <w:p w14:paraId="45FA690F" w14:textId="0D02AF04" w:rsidR="0076384B" w:rsidRPr="00D011C4" w:rsidRDefault="0076384B" w:rsidP="00484BB1">
            <w:pPr>
              <w:rPr>
                <w:rFonts w:cstheme="minorHAnsi"/>
                <w:color w:val="000000" w:themeColor="text1"/>
              </w:rPr>
            </w:pPr>
            <w:r>
              <w:rPr>
                <w:rFonts w:cstheme="minorHAnsi"/>
                <w:color w:val="0070C0"/>
              </w:rPr>
              <w:t xml:space="preserve">Guía para la participación mediante la herramienta Big Blue </w:t>
            </w:r>
            <w:proofErr w:type="spellStart"/>
            <w:r>
              <w:rPr>
                <w:rFonts w:cstheme="minorHAnsi"/>
                <w:color w:val="0070C0"/>
              </w:rPr>
              <w:t>Button</w:t>
            </w:r>
            <w:proofErr w:type="spellEnd"/>
            <w:r>
              <w:rPr>
                <w:rFonts w:cstheme="minorHAnsi"/>
                <w:color w:val="0070C0"/>
              </w:rPr>
              <w:t xml:space="preserve"> en la plataforma Moodle</w:t>
            </w:r>
          </w:p>
        </w:tc>
        <w:tc>
          <w:tcPr>
            <w:tcW w:w="3119" w:type="dxa"/>
          </w:tcPr>
          <w:p w14:paraId="329D318D"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Realizar las lecturas de la sesión.</w:t>
            </w:r>
          </w:p>
          <w:p w14:paraId="5382C48A"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Iniciar la elaboración del ensayo de síntesis final del curso (entregar propuesta mediante el espacio habilitado para ello).</w:t>
            </w:r>
          </w:p>
          <w:p w14:paraId="5ABAC590"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 xml:space="preserve">Aporte docente seguido de un ejercicio grupal de hermenéutica bíblica en un encuentro sincrónico </w:t>
            </w:r>
            <w:r>
              <w:rPr>
                <w:rFonts w:cstheme="minorHAnsi"/>
                <w:color w:val="000000" w:themeColor="text1"/>
                <w:lang w:val="es-ES"/>
              </w:rPr>
              <w:t>virtual (formativo)</w:t>
            </w:r>
            <w:r w:rsidRPr="00D011C4">
              <w:rPr>
                <w:rFonts w:cstheme="minorHAnsi"/>
                <w:color w:val="000000" w:themeColor="text1"/>
                <w:lang w:val="es-ES"/>
              </w:rPr>
              <w:t>.</w:t>
            </w:r>
          </w:p>
        </w:tc>
      </w:tr>
      <w:tr w:rsidR="0076384B" w:rsidRPr="00D011C4" w14:paraId="6AA3BCA5" w14:textId="77777777" w:rsidTr="1B8DFF3C">
        <w:trPr>
          <w:jc w:val="center"/>
        </w:trPr>
        <w:tc>
          <w:tcPr>
            <w:tcW w:w="1271" w:type="dxa"/>
          </w:tcPr>
          <w:p w14:paraId="2E34EA62" w14:textId="77777777" w:rsidR="0076384B" w:rsidRPr="00D011C4" w:rsidRDefault="0076384B" w:rsidP="00FE79D6">
            <w:pPr>
              <w:jc w:val="center"/>
              <w:rPr>
                <w:rFonts w:cstheme="minorHAnsi"/>
                <w:color w:val="000000" w:themeColor="text1"/>
              </w:rPr>
            </w:pPr>
            <w:r w:rsidRPr="00D011C4">
              <w:rPr>
                <w:rFonts w:cstheme="minorHAnsi"/>
                <w:color w:val="000000" w:themeColor="text1"/>
              </w:rPr>
              <w:t>13</w:t>
            </w:r>
          </w:p>
          <w:p w14:paraId="3F10896B" w14:textId="77777777" w:rsidR="0076384B" w:rsidRPr="00D011C4" w:rsidRDefault="0076384B" w:rsidP="00FE79D6">
            <w:pPr>
              <w:jc w:val="center"/>
              <w:rPr>
                <w:rFonts w:cstheme="minorHAnsi"/>
                <w:color w:val="FF0000"/>
              </w:rPr>
            </w:pPr>
          </w:p>
        </w:tc>
        <w:tc>
          <w:tcPr>
            <w:tcW w:w="2126" w:type="dxa"/>
          </w:tcPr>
          <w:p w14:paraId="7874A336" w14:textId="77777777" w:rsidR="0076384B" w:rsidRPr="00EA3D3F" w:rsidRDefault="0076384B" w:rsidP="009E3A2D">
            <w:pPr>
              <w:rPr>
                <w:rFonts w:cstheme="minorHAnsi"/>
                <w:b/>
                <w:bCs/>
                <w:lang w:val="es-ES"/>
              </w:rPr>
            </w:pPr>
            <w:r w:rsidRPr="00EA3D3F">
              <w:rPr>
                <w:rFonts w:cstheme="minorHAnsi"/>
                <w:b/>
                <w:bCs/>
                <w:lang w:val="es-ES"/>
              </w:rPr>
              <w:t>Unidad 5: Biblia y hermenéutica</w:t>
            </w:r>
          </w:p>
          <w:p w14:paraId="2DA64A8D" w14:textId="77777777" w:rsidR="0076384B" w:rsidRPr="00D011C4" w:rsidRDefault="0076384B" w:rsidP="007D6DBD">
            <w:pPr>
              <w:rPr>
                <w:rFonts w:cstheme="minorHAnsi"/>
                <w:color w:val="000000" w:themeColor="text1"/>
                <w:lang w:val="es-ES"/>
              </w:rPr>
            </w:pPr>
            <w:r w:rsidRPr="00D5149C">
              <w:rPr>
                <w:rFonts w:cstheme="minorHAnsi"/>
                <w:lang w:val="es-ES"/>
              </w:rPr>
              <w:t>5.2 Biblia y hermenéutica: América Latina</w:t>
            </w:r>
          </w:p>
        </w:tc>
        <w:tc>
          <w:tcPr>
            <w:tcW w:w="2835" w:type="dxa"/>
          </w:tcPr>
          <w:p w14:paraId="5F86C77B" w14:textId="77777777" w:rsidR="0076384B" w:rsidRDefault="0076384B" w:rsidP="1B8DFF3C">
            <w:pPr>
              <w:rPr>
                <w:color w:val="000000" w:themeColor="text1"/>
                <w:lang w:val="es-ES"/>
              </w:rPr>
            </w:pPr>
            <w:r>
              <w:rPr>
                <w:rFonts w:cstheme="minorHAnsi"/>
                <w:color w:val="0070C0"/>
              </w:rPr>
              <w:t>Ruta de aprendizaje</w:t>
            </w:r>
          </w:p>
          <w:p w14:paraId="509FA5BB" w14:textId="77777777" w:rsidR="0076384B" w:rsidRDefault="0076384B" w:rsidP="1B8DFF3C">
            <w:pPr>
              <w:rPr>
                <w:color w:val="000000" w:themeColor="text1"/>
                <w:lang w:val="es-ES"/>
              </w:rPr>
            </w:pPr>
            <w:r w:rsidRPr="1B8DFF3C">
              <w:rPr>
                <w:color w:val="000000" w:themeColor="text1"/>
                <w:lang w:val="es-ES"/>
              </w:rPr>
              <w:t xml:space="preserve">De </w:t>
            </w:r>
            <w:proofErr w:type="spellStart"/>
            <w:r w:rsidRPr="1B8DFF3C">
              <w:rPr>
                <w:color w:val="000000" w:themeColor="text1"/>
                <w:lang w:val="es-ES"/>
              </w:rPr>
              <w:t>Wit</w:t>
            </w:r>
            <w:proofErr w:type="spellEnd"/>
            <w:r w:rsidRPr="1B8DFF3C">
              <w:rPr>
                <w:color w:val="000000" w:themeColor="text1"/>
                <w:lang w:val="es-ES"/>
              </w:rPr>
              <w:t xml:space="preserve">, Hans. “Hermenéutica latinoamericana”. En </w:t>
            </w:r>
            <w:proofErr w:type="spellStart"/>
            <w:r w:rsidRPr="1B8DFF3C">
              <w:rPr>
                <w:i/>
                <w:iCs/>
                <w:color w:val="000000" w:themeColor="text1"/>
                <w:lang w:val="es-ES"/>
              </w:rPr>
              <w:t>En</w:t>
            </w:r>
            <w:proofErr w:type="spellEnd"/>
            <w:r w:rsidRPr="1B8DFF3C">
              <w:rPr>
                <w:i/>
                <w:iCs/>
                <w:color w:val="000000" w:themeColor="text1"/>
                <w:lang w:val="es-ES"/>
              </w:rPr>
              <w:t xml:space="preserve"> la dispersión el texto es patria. Introducción a la hermenéutica clásica, moderna y posmoderna, </w:t>
            </w:r>
            <w:r w:rsidRPr="1B8DFF3C">
              <w:rPr>
                <w:color w:val="000000" w:themeColor="text1"/>
                <w:lang w:val="es-ES"/>
              </w:rPr>
              <w:t>217-258.</w:t>
            </w:r>
            <w:r w:rsidRPr="1B8DFF3C">
              <w:rPr>
                <w:i/>
                <w:iCs/>
                <w:color w:val="000000" w:themeColor="text1"/>
                <w:lang w:val="es-ES"/>
              </w:rPr>
              <w:t xml:space="preserve"> </w:t>
            </w:r>
            <w:r w:rsidRPr="1B8DFF3C">
              <w:rPr>
                <w:color w:val="000000" w:themeColor="text1"/>
                <w:lang w:val="es-ES"/>
              </w:rPr>
              <w:t xml:space="preserve">San José: SEBILA, </w:t>
            </w:r>
            <w:r w:rsidRPr="1B8DFF3C">
              <w:rPr>
                <w:color w:val="000000" w:themeColor="text1"/>
                <w:lang w:val="es-ES"/>
              </w:rPr>
              <w:lastRenderedPageBreak/>
              <w:t xml:space="preserve">2010. </w:t>
            </w:r>
            <w:r>
              <w:rPr>
                <w:rFonts w:cstheme="minorHAnsi"/>
              </w:rPr>
              <w:t>(</w:t>
            </w:r>
            <w:r w:rsidRPr="00E959B7">
              <w:rPr>
                <w:rFonts w:cstheme="minorHAnsi"/>
                <w:color w:val="0070C0"/>
              </w:rPr>
              <w:t>clásico, última edición</w:t>
            </w:r>
            <w:r>
              <w:rPr>
                <w:rFonts w:cstheme="minorHAnsi"/>
              </w:rPr>
              <w:t>)</w:t>
            </w:r>
          </w:p>
          <w:p w14:paraId="17A5CDEE" w14:textId="77777777" w:rsidR="0076384B" w:rsidRDefault="0076384B" w:rsidP="1B8DFF3C">
            <w:pPr>
              <w:rPr>
                <w:rFonts w:cstheme="minorHAnsi"/>
                <w:b/>
                <w:color w:val="0070C0"/>
                <w:lang w:val="es-ES"/>
              </w:rPr>
            </w:pPr>
            <w:r w:rsidRPr="001A0FC1">
              <w:rPr>
                <w:rFonts w:cstheme="minorHAnsi"/>
                <w:b/>
                <w:color w:val="0070C0"/>
                <w:lang w:val="es-ES"/>
              </w:rPr>
              <w:t>Material complementario</w:t>
            </w:r>
          </w:p>
          <w:p w14:paraId="4ED9D284" w14:textId="77777777" w:rsidR="0076384B" w:rsidRPr="007F4EE6" w:rsidRDefault="0076384B" w:rsidP="1B8DFF3C">
            <w:pPr>
              <w:rPr>
                <w:bCs/>
                <w:color w:val="000000" w:themeColor="text1"/>
                <w:lang w:val="es-ES"/>
              </w:rPr>
            </w:pPr>
            <w:r>
              <w:rPr>
                <w:rFonts w:cstheme="minorHAnsi"/>
                <w:bCs/>
                <w:color w:val="0070C0"/>
                <w:lang w:val="es-ES"/>
              </w:rPr>
              <w:t>Guía para la participación en un foro en la plataforma Moodle</w:t>
            </w:r>
          </w:p>
          <w:p w14:paraId="156DEE7E" w14:textId="77777777" w:rsidR="0076384B" w:rsidRPr="00D011C4" w:rsidRDefault="0076384B" w:rsidP="00D516D5">
            <w:pPr>
              <w:rPr>
                <w:rFonts w:cstheme="minorHAnsi"/>
                <w:color w:val="000000" w:themeColor="text1"/>
                <w:lang w:val="es-ES"/>
              </w:rPr>
            </w:pPr>
          </w:p>
        </w:tc>
        <w:tc>
          <w:tcPr>
            <w:tcW w:w="3119" w:type="dxa"/>
          </w:tcPr>
          <w:p w14:paraId="356317C3"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lastRenderedPageBreak/>
              <w:t>Realizar la lectura de la sesión.</w:t>
            </w:r>
          </w:p>
          <w:p w14:paraId="35937253"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Continúa con la elaboración del ensayo de síntesis final del curso.</w:t>
            </w:r>
          </w:p>
          <w:p w14:paraId="7495B5DD"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Participación en el foro temático grupal: Aportes de la hermenéutica bíblica en América Latina.</w:t>
            </w:r>
          </w:p>
          <w:p w14:paraId="2E6EC5B7" w14:textId="77777777" w:rsidR="0076384B" w:rsidRPr="00D011C4" w:rsidRDefault="0076384B" w:rsidP="004C1E78">
            <w:pPr>
              <w:ind w:left="176"/>
              <w:rPr>
                <w:rFonts w:cstheme="minorHAnsi"/>
                <w:color w:val="000000" w:themeColor="text1"/>
                <w:lang w:val="es-ES"/>
              </w:rPr>
            </w:pPr>
          </w:p>
        </w:tc>
      </w:tr>
      <w:tr w:rsidR="0076384B" w:rsidRPr="00D011C4" w14:paraId="1394D342" w14:textId="77777777" w:rsidTr="00484BB1">
        <w:trPr>
          <w:trHeight w:val="2419"/>
          <w:jc w:val="center"/>
        </w:trPr>
        <w:tc>
          <w:tcPr>
            <w:tcW w:w="1271" w:type="dxa"/>
          </w:tcPr>
          <w:p w14:paraId="2688E481" w14:textId="77777777" w:rsidR="0076384B" w:rsidRPr="00D011C4" w:rsidRDefault="0076384B" w:rsidP="00D772F5">
            <w:pPr>
              <w:jc w:val="center"/>
              <w:rPr>
                <w:rFonts w:cstheme="minorHAnsi"/>
                <w:color w:val="000000" w:themeColor="text1"/>
              </w:rPr>
            </w:pPr>
            <w:r w:rsidRPr="00D011C4">
              <w:rPr>
                <w:rFonts w:cstheme="minorHAnsi"/>
                <w:color w:val="000000" w:themeColor="text1"/>
              </w:rPr>
              <w:t>14</w:t>
            </w:r>
          </w:p>
          <w:p w14:paraId="6CB2E52E" w14:textId="77777777" w:rsidR="0076384B" w:rsidRPr="00D011C4" w:rsidRDefault="0076384B" w:rsidP="00D772F5">
            <w:pPr>
              <w:jc w:val="center"/>
              <w:rPr>
                <w:rFonts w:cstheme="minorHAnsi"/>
                <w:color w:val="000000" w:themeColor="text1"/>
              </w:rPr>
            </w:pPr>
          </w:p>
        </w:tc>
        <w:tc>
          <w:tcPr>
            <w:tcW w:w="2126" w:type="dxa"/>
          </w:tcPr>
          <w:p w14:paraId="260EF805" w14:textId="77777777" w:rsidR="0076384B" w:rsidRPr="00EA3D3F" w:rsidRDefault="0076384B" w:rsidP="004511CF">
            <w:pPr>
              <w:rPr>
                <w:rFonts w:cstheme="minorHAnsi"/>
                <w:b/>
                <w:bCs/>
                <w:lang w:val="es-ES"/>
              </w:rPr>
            </w:pPr>
            <w:r w:rsidRPr="00EA3D3F">
              <w:rPr>
                <w:rFonts w:cstheme="minorHAnsi"/>
                <w:b/>
                <w:bCs/>
                <w:lang w:val="es-ES"/>
              </w:rPr>
              <w:t>Unidad 5: Biblia y hermenéutica</w:t>
            </w:r>
          </w:p>
          <w:p w14:paraId="274D9748" w14:textId="77777777" w:rsidR="0076384B" w:rsidRPr="00D011C4" w:rsidRDefault="0076384B" w:rsidP="00D772F5">
            <w:pPr>
              <w:rPr>
                <w:rFonts w:cstheme="minorHAnsi"/>
                <w:color w:val="000000" w:themeColor="text1"/>
              </w:rPr>
            </w:pPr>
            <w:r w:rsidRPr="005A07B6">
              <w:rPr>
                <w:rFonts w:cstheme="minorHAnsi"/>
              </w:rPr>
              <w:t>5.3 Síntesis</w:t>
            </w:r>
          </w:p>
        </w:tc>
        <w:tc>
          <w:tcPr>
            <w:tcW w:w="2835" w:type="dxa"/>
          </w:tcPr>
          <w:p w14:paraId="66B17939" w14:textId="77777777" w:rsidR="0076384B" w:rsidRDefault="0076384B" w:rsidP="00051E2D">
            <w:pPr>
              <w:tabs>
                <w:tab w:val="left" w:pos="544"/>
              </w:tabs>
              <w:ind w:right="72"/>
              <w:rPr>
                <w:rFonts w:cstheme="minorHAnsi"/>
                <w:color w:val="0070C0"/>
              </w:rPr>
            </w:pPr>
            <w:r>
              <w:rPr>
                <w:rFonts w:cstheme="minorHAnsi"/>
                <w:color w:val="0070C0"/>
              </w:rPr>
              <w:t>Ruta de aprendizaje</w:t>
            </w:r>
          </w:p>
          <w:p w14:paraId="41847844" w14:textId="77777777" w:rsidR="0076384B" w:rsidRDefault="0076384B" w:rsidP="00051E2D">
            <w:pPr>
              <w:tabs>
                <w:tab w:val="left" w:pos="544"/>
              </w:tabs>
              <w:ind w:right="72"/>
              <w:rPr>
                <w:rFonts w:cstheme="minorHAnsi"/>
                <w:b/>
                <w:color w:val="0070C0"/>
                <w:lang w:val="es-ES"/>
              </w:rPr>
            </w:pPr>
            <w:r w:rsidRPr="001A0FC1">
              <w:rPr>
                <w:rFonts w:cstheme="minorHAnsi"/>
                <w:b/>
                <w:color w:val="0070C0"/>
                <w:lang w:val="es-ES"/>
              </w:rPr>
              <w:t>Material complementario</w:t>
            </w:r>
          </w:p>
          <w:p w14:paraId="1206AC83" w14:textId="77777777" w:rsidR="0076384B" w:rsidRPr="00C711EA" w:rsidRDefault="0076384B" w:rsidP="00051E2D">
            <w:pPr>
              <w:tabs>
                <w:tab w:val="left" w:pos="544"/>
              </w:tabs>
              <w:ind w:right="72"/>
              <w:rPr>
                <w:rFonts w:cstheme="minorHAnsi"/>
                <w:bCs/>
              </w:rPr>
            </w:pPr>
            <w:r>
              <w:rPr>
                <w:rFonts w:cstheme="minorHAnsi"/>
                <w:bCs/>
                <w:color w:val="0070C0"/>
                <w:lang w:val="es-ES"/>
              </w:rPr>
              <w:t xml:space="preserve">Guía para la participación mediante la herramienta Big Blue </w:t>
            </w:r>
            <w:proofErr w:type="spellStart"/>
            <w:r>
              <w:rPr>
                <w:rFonts w:cstheme="minorHAnsi"/>
                <w:bCs/>
                <w:color w:val="0070C0"/>
                <w:lang w:val="es-ES"/>
              </w:rPr>
              <w:t>Button</w:t>
            </w:r>
            <w:proofErr w:type="spellEnd"/>
            <w:r>
              <w:rPr>
                <w:rFonts w:cstheme="minorHAnsi"/>
                <w:bCs/>
                <w:color w:val="0070C0"/>
                <w:lang w:val="es-ES"/>
              </w:rPr>
              <w:t xml:space="preserve"> en la plataforma Moodle</w:t>
            </w:r>
          </w:p>
        </w:tc>
        <w:tc>
          <w:tcPr>
            <w:tcW w:w="3119" w:type="dxa"/>
          </w:tcPr>
          <w:p w14:paraId="2514CEF8"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Entrega del ensayo de síntesis final del curso.</w:t>
            </w:r>
          </w:p>
          <w:p w14:paraId="1281AB49" w14:textId="4FD162C2" w:rsidR="0076384B" w:rsidRPr="00D011C4" w:rsidRDefault="0076384B" w:rsidP="00484BB1">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 xml:space="preserve">Exposiciones del ensayo de síntesis final con conclusiones y aprendizajes respecto al ejercicio diagnóstico inicial en un encuentro sincrónico </w:t>
            </w:r>
            <w:r>
              <w:rPr>
                <w:rFonts w:cstheme="minorHAnsi"/>
                <w:color w:val="000000" w:themeColor="text1"/>
                <w:lang w:val="es-ES"/>
              </w:rPr>
              <w:t>virtual (formativo)</w:t>
            </w:r>
            <w:r w:rsidRPr="00D011C4">
              <w:rPr>
                <w:rFonts w:cstheme="minorHAnsi"/>
                <w:color w:val="000000" w:themeColor="text1"/>
                <w:lang w:val="es-ES"/>
              </w:rPr>
              <w:t xml:space="preserve">. </w:t>
            </w:r>
          </w:p>
        </w:tc>
      </w:tr>
      <w:tr w:rsidR="0076384B" w:rsidRPr="00F27296" w14:paraId="08F5A2FC" w14:textId="77777777" w:rsidTr="1B8DFF3C">
        <w:trPr>
          <w:jc w:val="center"/>
        </w:trPr>
        <w:tc>
          <w:tcPr>
            <w:tcW w:w="1271" w:type="dxa"/>
          </w:tcPr>
          <w:p w14:paraId="4F79463F" w14:textId="77777777" w:rsidR="0076384B" w:rsidRPr="00D011C4" w:rsidRDefault="0076384B" w:rsidP="00D772F5">
            <w:pPr>
              <w:jc w:val="center"/>
              <w:rPr>
                <w:rFonts w:cstheme="minorHAnsi"/>
                <w:color w:val="000000" w:themeColor="text1"/>
              </w:rPr>
            </w:pPr>
            <w:r w:rsidRPr="00D011C4">
              <w:rPr>
                <w:rFonts w:cstheme="minorHAnsi"/>
                <w:color w:val="000000" w:themeColor="text1"/>
              </w:rPr>
              <w:t>15</w:t>
            </w:r>
          </w:p>
          <w:p w14:paraId="7A88AC5C" w14:textId="77777777" w:rsidR="0076384B" w:rsidRPr="00D011C4" w:rsidRDefault="0076384B" w:rsidP="00D772F5">
            <w:pPr>
              <w:jc w:val="center"/>
              <w:rPr>
                <w:rFonts w:cstheme="minorHAnsi"/>
                <w:color w:val="000000" w:themeColor="text1"/>
              </w:rPr>
            </w:pPr>
          </w:p>
        </w:tc>
        <w:tc>
          <w:tcPr>
            <w:tcW w:w="2126" w:type="dxa"/>
          </w:tcPr>
          <w:p w14:paraId="68493E94" w14:textId="77777777" w:rsidR="0076384B" w:rsidRPr="00EA3D3F" w:rsidRDefault="0076384B" w:rsidP="004511CF">
            <w:pPr>
              <w:rPr>
                <w:rFonts w:cstheme="minorHAnsi"/>
                <w:b/>
                <w:bCs/>
                <w:lang w:val="es-ES"/>
              </w:rPr>
            </w:pPr>
            <w:r w:rsidRPr="00EA3D3F">
              <w:rPr>
                <w:rFonts w:cstheme="minorHAnsi"/>
                <w:b/>
                <w:bCs/>
                <w:lang w:val="es-ES"/>
              </w:rPr>
              <w:t>Unidad 5: Biblia y hermenéutica</w:t>
            </w:r>
          </w:p>
          <w:p w14:paraId="5CF2A907" w14:textId="77777777" w:rsidR="0076384B" w:rsidRPr="00D011C4" w:rsidRDefault="0076384B" w:rsidP="00D772F5">
            <w:pPr>
              <w:rPr>
                <w:rFonts w:cstheme="minorHAnsi"/>
                <w:color w:val="000000" w:themeColor="text1"/>
              </w:rPr>
            </w:pPr>
            <w:r w:rsidRPr="0062640F">
              <w:rPr>
                <w:rFonts w:cstheme="minorHAnsi"/>
              </w:rPr>
              <w:t>5.3 Síntesis</w:t>
            </w:r>
          </w:p>
        </w:tc>
        <w:tc>
          <w:tcPr>
            <w:tcW w:w="2835" w:type="dxa"/>
          </w:tcPr>
          <w:p w14:paraId="644B55A5" w14:textId="77777777" w:rsidR="0076384B" w:rsidRDefault="0076384B" w:rsidP="00D772F5">
            <w:pPr>
              <w:rPr>
                <w:rFonts w:cstheme="minorHAnsi"/>
                <w:color w:val="0070C0"/>
              </w:rPr>
            </w:pPr>
            <w:r>
              <w:rPr>
                <w:rFonts w:cstheme="minorHAnsi"/>
                <w:color w:val="0070C0"/>
              </w:rPr>
              <w:t>Ruta de aprendizaje</w:t>
            </w:r>
          </w:p>
          <w:p w14:paraId="5766C1D7" w14:textId="77777777" w:rsidR="0076384B" w:rsidRDefault="0076384B" w:rsidP="00D772F5">
            <w:pPr>
              <w:rPr>
                <w:rFonts w:cstheme="minorHAnsi"/>
                <w:b/>
                <w:color w:val="0070C0"/>
                <w:lang w:val="es-ES"/>
              </w:rPr>
            </w:pPr>
            <w:r w:rsidRPr="001A0FC1">
              <w:rPr>
                <w:rFonts w:cstheme="minorHAnsi"/>
                <w:b/>
                <w:color w:val="0070C0"/>
                <w:lang w:val="es-ES"/>
              </w:rPr>
              <w:t>Material complementario</w:t>
            </w:r>
          </w:p>
          <w:p w14:paraId="26748943" w14:textId="77777777" w:rsidR="0076384B" w:rsidRDefault="0076384B" w:rsidP="00D772F5">
            <w:pPr>
              <w:rPr>
                <w:rFonts w:cstheme="minorHAnsi"/>
                <w:bCs/>
                <w:color w:val="0070C0"/>
                <w:lang w:val="es-ES"/>
              </w:rPr>
            </w:pPr>
            <w:r>
              <w:rPr>
                <w:rFonts w:cstheme="minorHAnsi"/>
                <w:bCs/>
                <w:color w:val="0070C0"/>
                <w:lang w:val="es-ES"/>
              </w:rPr>
              <w:t xml:space="preserve">Guía para la participación mediante la herramienta Big Blue </w:t>
            </w:r>
            <w:proofErr w:type="spellStart"/>
            <w:r>
              <w:rPr>
                <w:rFonts w:cstheme="minorHAnsi"/>
                <w:bCs/>
                <w:color w:val="0070C0"/>
                <w:lang w:val="es-ES"/>
              </w:rPr>
              <w:t>Button</w:t>
            </w:r>
            <w:proofErr w:type="spellEnd"/>
            <w:r>
              <w:rPr>
                <w:rFonts w:cstheme="minorHAnsi"/>
                <w:bCs/>
                <w:color w:val="0070C0"/>
                <w:lang w:val="es-ES"/>
              </w:rPr>
              <w:t xml:space="preserve"> en la plataforma Moodle</w:t>
            </w:r>
          </w:p>
          <w:p w14:paraId="5EC424E9" w14:textId="54D1EC1C" w:rsidR="0076384B" w:rsidRPr="00D011C4" w:rsidRDefault="0076384B" w:rsidP="00484BB1">
            <w:pPr>
              <w:rPr>
                <w:rFonts w:cstheme="minorHAnsi"/>
                <w:color w:val="000000" w:themeColor="text1"/>
              </w:rPr>
            </w:pPr>
            <w:r>
              <w:rPr>
                <w:rFonts w:cstheme="minorHAnsi"/>
                <w:bCs/>
                <w:color w:val="0070C0"/>
                <w:lang w:val="es-ES"/>
              </w:rPr>
              <w:t>Guía para la participación en un foro en la plataforma Moodle</w:t>
            </w:r>
          </w:p>
        </w:tc>
        <w:tc>
          <w:tcPr>
            <w:tcW w:w="3119" w:type="dxa"/>
          </w:tcPr>
          <w:p w14:paraId="25C8D75D"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Exposiciones del ensayo de síntesis final en un encuentro sincrónico</w:t>
            </w:r>
            <w:r>
              <w:rPr>
                <w:rFonts w:cstheme="minorHAnsi"/>
                <w:color w:val="000000" w:themeColor="text1"/>
                <w:lang w:val="es-ES"/>
              </w:rPr>
              <w:t xml:space="preserve"> virtual</w:t>
            </w:r>
            <w:r w:rsidRPr="00D011C4">
              <w:rPr>
                <w:rFonts w:cstheme="minorHAnsi"/>
                <w:color w:val="000000" w:themeColor="text1"/>
                <w:lang w:val="es-ES"/>
              </w:rPr>
              <w:t xml:space="preserve"> </w:t>
            </w:r>
            <w:r>
              <w:rPr>
                <w:rFonts w:cstheme="minorHAnsi"/>
                <w:color w:val="000000" w:themeColor="text1"/>
                <w:lang w:val="es-ES"/>
              </w:rPr>
              <w:t>(formativo)</w:t>
            </w:r>
            <w:r w:rsidRPr="00D011C4">
              <w:rPr>
                <w:rFonts w:cstheme="minorHAnsi"/>
                <w:color w:val="000000" w:themeColor="text1"/>
                <w:lang w:val="es-ES"/>
              </w:rPr>
              <w:t>.</w:t>
            </w:r>
          </w:p>
          <w:p w14:paraId="24FAC0A9" w14:textId="77777777" w:rsidR="0076384B" w:rsidRPr="00D011C4" w:rsidRDefault="0076384B" w:rsidP="0076384B">
            <w:pPr>
              <w:numPr>
                <w:ilvl w:val="1"/>
                <w:numId w:val="33"/>
              </w:numPr>
              <w:spacing w:after="0" w:line="240" w:lineRule="auto"/>
              <w:ind w:left="176" w:hanging="142"/>
              <w:rPr>
                <w:rFonts w:cstheme="minorHAnsi"/>
                <w:color w:val="000000" w:themeColor="text1"/>
                <w:lang w:val="es-ES"/>
              </w:rPr>
            </w:pPr>
            <w:r w:rsidRPr="00D011C4">
              <w:rPr>
                <w:rFonts w:cstheme="minorHAnsi"/>
                <w:color w:val="000000" w:themeColor="text1"/>
                <w:lang w:val="es-ES"/>
              </w:rPr>
              <w:t>Participación en el foro social: Evaluación del curso</w:t>
            </w:r>
            <w:r>
              <w:rPr>
                <w:rFonts w:cstheme="minorHAnsi"/>
                <w:color w:val="000000" w:themeColor="text1"/>
                <w:lang w:val="es-ES"/>
              </w:rPr>
              <w:t xml:space="preserve"> (formativo)</w:t>
            </w:r>
            <w:r w:rsidRPr="00D011C4">
              <w:rPr>
                <w:rFonts w:cstheme="minorHAnsi"/>
                <w:color w:val="000000" w:themeColor="text1"/>
                <w:lang w:val="es-ES"/>
              </w:rPr>
              <w:t>.</w:t>
            </w:r>
          </w:p>
          <w:p w14:paraId="42BDDDE0" w14:textId="77777777" w:rsidR="0076384B" w:rsidRPr="00D011C4" w:rsidRDefault="0076384B" w:rsidP="005F5B85">
            <w:pPr>
              <w:ind w:left="176"/>
              <w:rPr>
                <w:rFonts w:cstheme="minorHAnsi"/>
                <w:color w:val="000000" w:themeColor="text1"/>
                <w:lang w:val="es-ES"/>
              </w:rPr>
            </w:pPr>
          </w:p>
        </w:tc>
      </w:tr>
    </w:tbl>
    <w:p w14:paraId="527A5165" w14:textId="77777777" w:rsidR="0076384B" w:rsidRDefault="0076384B" w:rsidP="00F712F6">
      <w:pPr>
        <w:jc w:val="both"/>
        <w:rPr>
          <w:rFonts w:cstheme="minorHAnsi"/>
          <w:b/>
          <w:bCs/>
          <w:color w:val="000000" w:themeColor="text1"/>
        </w:rPr>
      </w:pPr>
    </w:p>
    <w:p w14:paraId="002C362F" w14:textId="77777777" w:rsidR="0076384B" w:rsidRDefault="0076384B" w:rsidP="00F712F6">
      <w:pPr>
        <w:jc w:val="both"/>
        <w:rPr>
          <w:rFonts w:cstheme="minorHAnsi"/>
          <w:b/>
          <w:bCs/>
          <w:color w:val="000000" w:themeColor="text1"/>
        </w:rPr>
      </w:pPr>
      <w:r>
        <w:rPr>
          <w:rFonts w:cstheme="minorHAnsi"/>
          <w:b/>
          <w:bCs/>
          <w:color w:val="000000" w:themeColor="text1"/>
        </w:rPr>
        <w:t>IX. Distribución de tiempo semanal</w:t>
      </w:r>
    </w:p>
    <w:p w14:paraId="3B27664B" w14:textId="77777777" w:rsidR="0076384B" w:rsidRDefault="0076384B" w:rsidP="00F712F6">
      <w:pPr>
        <w:jc w:val="both"/>
        <w:rPr>
          <w:rFonts w:cstheme="minorHAnsi"/>
          <w:bCs/>
          <w:color w:val="000000" w:themeColor="text1"/>
        </w:rPr>
      </w:pPr>
      <w:r w:rsidRPr="00672BFF">
        <w:rPr>
          <w:rFonts w:cstheme="minorHAnsi"/>
          <w:bCs/>
          <w:color w:val="000000" w:themeColor="text1"/>
        </w:rPr>
        <w:t xml:space="preserve">Al ser este un curso impartido en la modalidad virtual no se requiere la asistencia a clases presenciales.  </w:t>
      </w:r>
      <w:r>
        <w:rPr>
          <w:rFonts w:cstheme="minorHAnsi"/>
          <w:bCs/>
          <w:color w:val="000000" w:themeColor="text1"/>
        </w:rPr>
        <w:t>Por ello, cada semana se asignan actividades que los estudiantes deben realizar para promover el diálogo con los contenidos y la asimilación de los temas a través de lectura y análisis de textos, tareas, reseñas, discusiones en foros o trabajos colaborativos. Debe considerarse que, al tener este curso asignados 4 créditos, se debe invertir 12 horas de trabajo por semana. La distribución de tiempos es la siguiente:</w:t>
      </w:r>
    </w:p>
    <w:p w14:paraId="718C0E15" w14:textId="77777777" w:rsidR="0076384B" w:rsidRDefault="0076384B" w:rsidP="00F712F6">
      <w:pPr>
        <w:jc w:val="both"/>
        <w:rPr>
          <w:rFonts w:cstheme="minorHAnsi"/>
          <w:bCs/>
          <w:color w:val="000000" w:themeColor="text1"/>
        </w:rPr>
      </w:pPr>
    </w:p>
    <w:p w14:paraId="1619CCD5" w14:textId="77777777" w:rsidR="00345767" w:rsidRDefault="00345767" w:rsidP="00F712F6">
      <w:pPr>
        <w:jc w:val="both"/>
        <w:rPr>
          <w:rFonts w:cstheme="minorHAnsi"/>
          <w:bCs/>
          <w:color w:val="000000" w:themeColor="text1"/>
        </w:rPr>
      </w:pPr>
    </w:p>
    <w:p w14:paraId="335279A1" w14:textId="77777777" w:rsidR="00345767" w:rsidRDefault="00345767" w:rsidP="00F712F6">
      <w:pPr>
        <w:jc w:val="both"/>
        <w:rPr>
          <w:rFonts w:cstheme="minorHAnsi"/>
          <w:bCs/>
          <w:color w:val="000000" w:themeColor="text1"/>
        </w:rPr>
      </w:pPr>
    </w:p>
    <w:tbl>
      <w:tblPr>
        <w:tblStyle w:val="Tablaconcuadrcula"/>
        <w:tblW w:w="8784" w:type="dxa"/>
        <w:tblLook w:val="04A0" w:firstRow="1" w:lastRow="0" w:firstColumn="1" w:lastColumn="0" w:noHBand="0" w:noVBand="1"/>
      </w:tblPr>
      <w:tblGrid>
        <w:gridCol w:w="1838"/>
        <w:gridCol w:w="1418"/>
        <w:gridCol w:w="5528"/>
      </w:tblGrid>
      <w:tr w:rsidR="0076384B" w:rsidRPr="00262D1E" w14:paraId="5B960D25" w14:textId="77777777" w:rsidTr="00C27D3B">
        <w:tc>
          <w:tcPr>
            <w:tcW w:w="1838" w:type="dxa"/>
          </w:tcPr>
          <w:p w14:paraId="250524C1" w14:textId="77777777" w:rsidR="0076384B" w:rsidRDefault="0076384B" w:rsidP="0024738E">
            <w:pPr>
              <w:jc w:val="center"/>
              <w:rPr>
                <w:rFonts w:cstheme="minorHAnsi"/>
                <w:b/>
                <w:bCs/>
                <w:color w:val="000000" w:themeColor="text1"/>
              </w:rPr>
            </w:pPr>
            <w:r>
              <w:rPr>
                <w:rFonts w:cstheme="minorHAnsi"/>
                <w:b/>
                <w:bCs/>
                <w:color w:val="000000" w:themeColor="text1"/>
              </w:rPr>
              <w:lastRenderedPageBreak/>
              <w:t>Tipo de horas</w:t>
            </w:r>
          </w:p>
          <w:p w14:paraId="515FD3F5" w14:textId="77777777" w:rsidR="0076384B" w:rsidRPr="00262D1E" w:rsidRDefault="0076384B" w:rsidP="0024738E">
            <w:pPr>
              <w:jc w:val="center"/>
              <w:rPr>
                <w:rFonts w:cstheme="minorHAnsi"/>
                <w:b/>
                <w:bCs/>
                <w:color w:val="000000" w:themeColor="text1"/>
              </w:rPr>
            </w:pPr>
            <w:r>
              <w:rPr>
                <w:rFonts w:cstheme="minorHAnsi"/>
                <w:b/>
                <w:bCs/>
                <w:color w:val="000000" w:themeColor="text1"/>
              </w:rPr>
              <w:t>(categoría)</w:t>
            </w:r>
          </w:p>
        </w:tc>
        <w:tc>
          <w:tcPr>
            <w:tcW w:w="1418" w:type="dxa"/>
          </w:tcPr>
          <w:p w14:paraId="645341A8" w14:textId="77777777" w:rsidR="0076384B" w:rsidRPr="00262D1E" w:rsidRDefault="0076384B" w:rsidP="0024738E">
            <w:pPr>
              <w:jc w:val="center"/>
              <w:rPr>
                <w:rFonts w:cstheme="minorHAnsi"/>
                <w:b/>
                <w:bCs/>
                <w:color w:val="000000" w:themeColor="text1"/>
              </w:rPr>
            </w:pPr>
            <w:r w:rsidRPr="00262D1E">
              <w:rPr>
                <w:rFonts w:cstheme="minorHAnsi"/>
                <w:b/>
                <w:bCs/>
                <w:color w:val="000000" w:themeColor="text1"/>
              </w:rPr>
              <w:t>Horas por semana</w:t>
            </w:r>
          </w:p>
        </w:tc>
        <w:tc>
          <w:tcPr>
            <w:tcW w:w="5528" w:type="dxa"/>
            <w:vAlign w:val="center"/>
          </w:tcPr>
          <w:p w14:paraId="690ABA32" w14:textId="77777777" w:rsidR="0076384B" w:rsidRPr="00262D1E" w:rsidRDefault="0076384B" w:rsidP="00C27D3B">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76384B" w14:paraId="3004E70D" w14:textId="77777777" w:rsidTr="00667BBF">
        <w:trPr>
          <w:trHeight w:val="749"/>
        </w:trPr>
        <w:tc>
          <w:tcPr>
            <w:tcW w:w="1838" w:type="dxa"/>
            <w:vAlign w:val="center"/>
          </w:tcPr>
          <w:p w14:paraId="26831D62" w14:textId="77777777" w:rsidR="0076384B" w:rsidRDefault="0076384B" w:rsidP="00C27D3B">
            <w:pPr>
              <w:jc w:val="center"/>
              <w:rPr>
                <w:rFonts w:cstheme="minorHAnsi"/>
                <w:bCs/>
                <w:color w:val="000000" w:themeColor="text1"/>
              </w:rPr>
            </w:pPr>
            <w:r>
              <w:rPr>
                <w:rFonts w:cstheme="minorHAnsi"/>
                <w:bCs/>
                <w:color w:val="000000" w:themeColor="text1"/>
              </w:rPr>
              <w:t>Horas de Estudio Individual (HEI)</w:t>
            </w:r>
          </w:p>
        </w:tc>
        <w:tc>
          <w:tcPr>
            <w:tcW w:w="1418" w:type="dxa"/>
            <w:vAlign w:val="center"/>
          </w:tcPr>
          <w:p w14:paraId="0F0B0362" w14:textId="77777777" w:rsidR="0076384B" w:rsidRDefault="0076384B" w:rsidP="005673E4">
            <w:pPr>
              <w:jc w:val="center"/>
              <w:rPr>
                <w:rFonts w:cstheme="minorHAnsi"/>
                <w:bCs/>
                <w:color w:val="000000" w:themeColor="text1"/>
              </w:rPr>
            </w:pPr>
            <w:r>
              <w:rPr>
                <w:rFonts w:cstheme="minorHAnsi"/>
                <w:bCs/>
                <w:color w:val="000000" w:themeColor="text1"/>
              </w:rPr>
              <w:t>4</w:t>
            </w:r>
          </w:p>
        </w:tc>
        <w:tc>
          <w:tcPr>
            <w:tcW w:w="5528" w:type="dxa"/>
          </w:tcPr>
          <w:p w14:paraId="348D84B8" w14:textId="77777777" w:rsidR="0076384B" w:rsidRPr="000457E9" w:rsidRDefault="0076384B" w:rsidP="0076384B">
            <w:pPr>
              <w:pStyle w:val="Prrafodelista"/>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0457E9">
              <w:rPr>
                <w:rFonts w:asciiTheme="minorHAnsi" w:hAnsiTheme="minorHAnsi" w:cstheme="minorHAnsi"/>
                <w:bCs/>
                <w:color w:val="000000" w:themeColor="text1"/>
              </w:rPr>
              <w:t>Lectura de los textos (materiales en formato digital)</w:t>
            </w:r>
            <w:r>
              <w:rPr>
                <w:rFonts w:asciiTheme="minorHAnsi" w:hAnsiTheme="minorHAnsi" w:cstheme="minorHAnsi"/>
                <w:bCs/>
                <w:color w:val="000000" w:themeColor="text1"/>
              </w:rPr>
              <w:t>.</w:t>
            </w:r>
          </w:p>
          <w:p w14:paraId="34295093" w14:textId="77777777" w:rsidR="0076384B" w:rsidRPr="000457E9" w:rsidRDefault="0076384B" w:rsidP="0076384B">
            <w:pPr>
              <w:pStyle w:val="Prrafodelista"/>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0457E9">
              <w:rPr>
                <w:rFonts w:asciiTheme="minorHAnsi" w:hAnsiTheme="minorHAnsi" w:cstheme="minorHAnsi"/>
                <w:bCs/>
                <w:color w:val="000000" w:themeColor="text1"/>
              </w:rPr>
              <w:t>Análisis de lecturas e investigación por cuenta propia</w:t>
            </w:r>
            <w:r>
              <w:rPr>
                <w:rFonts w:asciiTheme="minorHAnsi" w:hAnsiTheme="minorHAnsi" w:cstheme="minorHAnsi"/>
                <w:bCs/>
                <w:color w:val="000000" w:themeColor="text1"/>
              </w:rPr>
              <w:t>.</w:t>
            </w:r>
          </w:p>
        </w:tc>
      </w:tr>
      <w:tr w:rsidR="0076384B" w14:paraId="7D763BF2" w14:textId="77777777" w:rsidTr="00667BBF">
        <w:trPr>
          <w:trHeight w:val="1540"/>
        </w:trPr>
        <w:tc>
          <w:tcPr>
            <w:tcW w:w="1838" w:type="dxa"/>
            <w:vAlign w:val="center"/>
          </w:tcPr>
          <w:p w14:paraId="4720BAC9" w14:textId="77777777" w:rsidR="0076384B" w:rsidRDefault="0076384B" w:rsidP="00C27D3B">
            <w:pPr>
              <w:jc w:val="center"/>
              <w:rPr>
                <w:rFonts w:cstheme="minorHAnsi"/>
                <w:bCs/>
                <w:color w:val="000000" w:themeColor="text1"/>
              </w:rPr>
            </w:pPr>
            <w:r>
              <w:rPr>
                <w:rFonts w:cstheme="minorHAnsi"/>
                <w:bCs/>
                <w:color w:val="000000" w:themeColor="text1"/>
              </w:rPr>
              <w:t>Horas de Trabajo Colaborativo (HTC)</w:t>
            </w:r>
          </w:p>
        </w:tc>
        <w:tc>
          <w:tcPr>
            <w:tcW w:w="1418" w:type="dxa"/>
            <w:vAlign w:val="center"/>
          </w:tcPr>
          <w:p w14:paraId="4DAA7B6C" w14:textId="77777777" w:rsidR="0076384B" w:rsidRDefault="0076384B" w:rsidP="005673E4">
            <w:pPr>
              <w:jc w:val="center"/>
              <w:rPr>
                <w:rFonts w:cstheme="minorHAnsi"/>
                <w:bCs/>
                <w:color w:val="000000" w:themeColor="text1"/>
              </w:rPr>
            </w:pPr>
            <w:r>
              <w:rPr>
                <w:rFonts w:cstheme="minorHAnsi"/>
                <w:bCs/>
                <w:color w:val="000000" w:themeColor="text1"/>
              </w:rPr>
              <w:t>4</w:t>
            </w:r>
          </w:p>
        </w:tc>
        <w:tc>
          <w:tcPr>
            <w:tcW w:w="5528" w:type="dxa"/>
          </w:tcPr>
          <w:p w14:paraId="204DC63D" w14:textId="77777777" w:rsidR="0076384B" w:rsidRDefault="0076384B" w:rsidP="0076384B">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foros (incluye aportes personales y réplicas a los y las demás estudiantes).</w:t>
            </w:r>
          </w:p>
          <w:p w14:paraId="62BACA21" w14:textId="77777777" w:rsidR="0076384B" w:rsidRDefault="0076384B" w:rsidP="0076384B">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la elaboración de un wiki.</w:t>
            </w:r>
          </w:p>
          <w:p w14:paraId="32E94821" w14:textId="77777777" w:rsidR="0076384B" w:rsidRDefault="0076384B" w:rsidP="0076384B">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0457E9">
              <w:rPr>
                <w:rFonts w:asciiTheme="minorHAnsi" w:hAnsiTheme="minorHAnsi" w:cstheme="minorHAnsi"/>
                <w:bCs/>
                <w:color w:val="000000" w:themeColor="text1"/>
              </w:rPr>
              <w:t>P</w:t>
            </w:r>
            <w:r>
              <w:rPr>
                <w:rFonts w:asciiTheme="minorHAnsi" w:hAnsiTheme="minorHAnsi" w:cstheme="minorHAnsi"/>
                <w:bCs/>
                <w:color w:val="000000" w:themeColor="text1"/>
              </w:rPr>
              <w:t>articipación en la elaboración de un glosario.</w:t>
            </w:r>
          </w:p>
          <w:p w14:paraId="3A80E24B" w14:textId="77777777" w:rsidR="0076384B" w:rsidRPr="00856686" w:rsidRDefault="0076384B" w:rsidP="0076384B">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76384B" w14:paraId="47FFC415" w14:textId="77777777" w:rsidTr="00C27D3B">
        <w:trPr>
          <w:trHeight w:val="991"/>
        </w:trPr>
        <w:tc>
          <w:tcPr>
            <w:tcW w:w="1838" w:type="dxa"/>
            <w:vAlign w:val="center"/>
          </w:tcPr>
          <w:p w14:paraId="3BE6B7EA" w14:textId="77777777" w:rsidR="0076384B" w:rsidRDefault="0076384B" w:rsidP="00C27D3B">
            <w:pPr>
              <w:jc w:val="center"/>
              <w:rPr>
                <w:rFonts w:cstheme="minorHAnsi"/>
                <w:bCs/>
                <w:color w:val="000000" w:themeColor="text1"/>
              </w:rPr>
            </w:pPr>
            <w:r>
              <w:rPr>
                <w:rFonts w:cstheme="minorHAnsi"/>
                <w:bCs/>
                <w:color w:val="000000" w:themeColor="text1"/>
              </w:rPr>
              <w:t>Horas de Producción Individual (HPI)</w:t>
            </w:r>
          </w:p>
        </w:tc>
        <w:tc>
          <w:tcPr>
            <w:tcW w:w="1418" w:type="dxa"/>
            <w:vAlign w:val="center"/>
          </w:tcPr>
          <w:p w14:paraId="1D2A4F5F" w14:textId="77777777" w:rsidR="0076384B" w:rsidRDefault="0076384B" w:rsidP="005673E4">
            <w:pPr>
              <w:jc w:val="center"/>
              <w:rPr>
                <w:rFonts w:cstheme="minorHAnsi"/>
                <w:bCs/>
                <w:color w:val="000000" w:themeColor="text1"/>
              </w:rPr>
            </w:pPr>
            <w:r>
              <w:rPr>
                <w:rFonts w:cstheme="minorHAnsi"/>
                <w:bCs/>
                <w:color w:val="000000" w:themeColor="text1"/>
              </w:rPr>
              <w:t>4</w:t>
            </w:r>
          </w:p>
        </w:tc>
        <w:tc>
          <w:tcPr>
            <w:tcW w:w="5528" w:type="dxa"/>
          </w:tcPr>
          <w:p w14:paraId="7B33AE4C" w14:textId="77777777" w:rsidR="0076384B" w:rsidRDefault="0076384B" w:rsidP="0076384B">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 xml:space="preserve">Elaboración de un </w:t>
            </w:r>
            <w:r w:rsidRPr="000457E9">
              <w:rPr>
                <w:rFonts w:asciiTheme="minorHAnsi" w:hAnsiTheme="minorHAnsi" w:cstheme="minorHAnsi"/>
                <w:bCs/>
                <w:color w:val="000000" w:themeColor="text1"/>
              </w:rPr>
              <w:t>diario reflexivo</w:t>
            </w:r>
            <w:r>
              <w:rPr>
                <w:rFonts w:asciiTheme="minorHAnsi" w:hAnsiTheme="minorHAnsi" w:cstheme="minorHAnsi"/>
                <w:bCs/>
                <w:color w:val="000000" w:themeColor="text1"/>
              </w:rPr>
              <w:t>.</w:t>
            </w:r>
          </w:p>
          <w:p w14:paraId="08B2A20F" w14:textId="77777777" w:rsidR="0076384B" w:rsidRPr="000457E9" w:rsidRDefault="0076384B" w:rsidP="0076384B">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ensayos.</w:t>
            </w:r>
          </w:p>
        </w:tc>
      </w:tr>
      <w:tr w:rsidR="0076384B" w:rsidRPr="00262D1E" w14:paraId="119AB1A6" w14:textId="77777777" w:rsidTr="00C27D3B">
        <w:tc>
          <w:tcPr>
            <w:tcW w:w="1838" w:type="dxa"/>
            <w:vAlign w:val="center"/>
          </w:tcPr>
          <w:p w14:paraId="3A124108" w14:textId="77777777" w:rsidR="0076384B" w:rsidRPr="00262D1E" w:rsidRDefault="0076384B" w:rsidP="00C27D3B">
            <w:pPr>
              <w:jc w:val="center"/>
              <w:rPr>
                <w:rFonts w:cstheme="minorHAnsi"/>
                <w:b/>
                <w:bCs/>
                <w:color w:val="000000" w:themeColor="text1"/>
              </w:rPr>
            </w:pPr>
            <w:r w:rsidRPr="00262D1E">
              <w:rPr>
                <w:rFonts w:cstheme="minorHAnsi"/>
                <w:b/>
                <w:bCs/>
                <w:color w:val="000000" w:themeColor="text1"/>
              </w:rPr>
              <w:t>Total</w:t>
            </w:r>
            <w:r>
              <w:rPr>
                <w:rFonts w:cstheme="minorHAnsi"/>
                <w:b/>
                <w:bCs/>
                <w:color w:val="000000" w:themeColor="text1"/>
              </w:rPr>
              <w:t xml:space="preserve"> de horas (TH)</w:t>
            </w:r>
          </w:p>
        </w:tc>
        <w:tc>
          <w:tcPr>
            <w:tcW w:w="1418" w:type="dxa"/>
            <w:vAlign w:val="center"/>
          </w:tcPr>
          <w:p w14:paraId="69559CDB" w14:textId="77777777" w:rsidR="0076384B" w:rsidRPr="00262D1E" w:rsidRDefault="0076384B" w:rsidP="00C27D3B">
            <w:pPr>
              <w:jc w:val="center"/>
              <w:rPr>
                <w:rFonts w:cstheme="minorHAnsi"/>
                <w:b/>
                <w:bCs/>
                <w:color w:val="000000" w:themeColor="text1"/>
              </w:rPr>
            </w:pPr>
            <w:r w:rsidRPr="00262D1E">
              <w:rPr>
                <w:rFonts w:cstheme="minorHAnsi"/>
                <w:b/>
                <w:bCs/>
                <w:color w:val="000000" w:themeColor="text1"/>
              </w:rPr>
              <w:t>12</w:t>
            </w:r>
          </w:p>
        </w:tc>
        <w:tc>
          <w:tcPr>
            <w:tcW w:w="5528" w:type="dxa"/>
          </w:tcPr>
          <w:p w14:paraId="146F6C4E" w14:textId="77777777" w:rsidR="0076384B" w:rsidRPr="00262D1E" w:rsidRDefault="0076384B" w:rsidP="0024738E">
            <w:pPr>
              <w:jc w:val="center"/>
              <w:rPr>
                <w:rFonts w:cstheme="minorHAnsi"/>
                <w:b/>
                <w:bCs/>
                <w:color w:val="000000" w:themeColor="text1"/>
              </w:rPr>
            </w:pPr>
          </w:p>
        </w:tc>
      </w:tr>
    </w:tbl>
    <w:p w14:paraId="769DE174" w14:textId="77777777" w:rsidR="0076384B" w:rsidRDefault="0076384B" w:rsidP="00F712F6">
      <w:pPr>
        <w:jc w:val="both"/>
        <w:rPr>
          <w:rFonts w:cstheme="minorHAnsi"/>
          <w:bCs/>
          <w:color w:val="000000" w:themeColor="text1"/>
        </w:rPr>
      </w:pPr>
    </w:p>
    <w:p w14:paraId="21DF092B" w14:textId="77777777" w:rsidR="0076384B" w:rsidRDefault="0076384B" w:rsidP="00F712F6">
      <w:pPr>
        <w:jc w:val="both"/>
        <w:rPr>
          <w:rFonts w:cstheme="minorHAnsi"/>
          <w:bCs/>
          <w:color w:val="000000" w:themeColor="text1"/>
        </w:rPr>
      </w:pPr>
      <w:r>
        <w:rPr>
          <w:rFonts w:cstheme="minorHAnsi"/>
          <w:bCs/>
          <w:color w:val="000000" w:themeColor="text1"/>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60A49096" w14:textId="77777777" w:rsidR="0076384B" w:rsidRDefault="0076384B" w:rsidP="00F712F6">
      <w:pPr>
        <w:jc w:val="both"/>
        <w:rPr>
          <w:rFonts w:cstheme="minorHAnsi"/>
          <w:bCs/>
          <w:color w:val="000000" w:themeColor="text1"/>
        </w:rPr>
      </w:pPr>
    </w:p>
    <w:p w14:paraId="244BB62B" w14:textId="77777777" w:rsidR="0076384B" w:rsidRPr="00F27296" w:rsidRDefault="0076384B" w:rsidP="009C3E07">
      <w:pPr>
        <w:jc w:val="both"/>
        <w:rPr>
          <w:rFonts w:cstheme="minorHAnsi"/>
          <w:b/>
          <w:bCs/>
          <w:color w:val="000000" w:themeColor="text1"/>
        </w:rPr>
      </w:pPr>
      <w:r w:rsidRPr="00F27296">
        <w:rPr>
          <w:rFonts w:cstheme="minorHAnsi"/>
          <w:b/>
          <w:bCs/>
          <w:color w:val="000000" w:themeColor="text1"/>
        </w:rPr>
        <w:t>X. Evaluación</w:t>
      </w:r>
    </w:p>
    <w:p w14:paraId="079843C6" w14:textId="77777777" w:rsidR="0076384B" w:rsidRPr="00F27296" w:rsidRDefault="0076384B" w:rsidP="009C3E07">
      <w:pPr>
        <w:jc w:val="both"/>
        <w:rPr>
          <w:rFonts w:cstheme="minorHAnsi"/>
          <w:bCs/>
          <w:color w:val="000000" w:themeColor="text1"/>
        </w:rPr>
      </w:pPr>
      <w:r>
        <w:rPr>
          <w:rFonts w:cstheme="minorHAnsi"/>
          <w:bCs/>
          <w:color w:val="000000" w:themeColor="text1"/>
        </w:rPr>
        <w:t xml:space="preserve">Se </w:t>
      </w:r>
      <w:r w:rsidRPr="006A66A3">
        <w:rPr>
          <w:rFonts w:cstheme="minorHAnsi"/>
          <w:bCs/>
          <w:color w:val="000000" w:themeColor="text1"/>
        </w:rPr>
        <w:t xml:space="preserve">considera como fundamental la participación en el aula virtual por la naturaleza teórica del curso. Las </w:t>
      </w:r>
      <w:r>
        <w:rPr>
          <w:rFonts w:cstheme="minorHAnsi"/>
          <w:bCs/>
          <w:color w:val="000000" w:themeColor="text1"/>
        </w:rPr>
        <w:t xml:space="preserve">diferentes </w:t>
      </w:r>
      <w:r w:rsidRPr="006A66A3">
        <w:rPr>
          <w:rFonts w:cstheme="minorHAnsi"/>
          <w:bCs/>
          <w:color w:val="000000" w:themeColor="text1"/>
        </w:rPr>
        <w:t xml:space="preserve">actividades </w:t>
      </w:r>
      <w:r>
        <w:rPr>
          <w:rFonts w:cstheme="minorHAnsi"/>
          <w:bCs/>
          <w:color w:val="000000" w:themeColor="text1"/>
        </w:rPr>
        <w:t>que implican</w:t>
      </w:r>
      <w:r w:rsidRPr="006A66A3">
        <w:rPr>
          <w:rFonts w:cstheme="minorHAnsi"/>
          <w:bCs/>
          <w:color w:val="000000" w:themeColor="text1"/>
        </w:rPr>
        <w:t xml:space="preserve"> diálogo, reflexión, síntesis y manejo de conocimientos fundamentales constituyen la base de la evaluación sumativa del curso, dado que ofrecen la oportunidad de retroalimentación y corrección. </w:t>
      </w:r>
      <w:r>
        <w:rPr>
          <w:rFonts w:cstheme="minorHAnsi"/>
          <w:bCs/>
          <w:color w:val="000000" w:themeColor="text1"/>
        </w:rPr>
        <w:t>Por su parte, l</w:t>
      </w:r>
      <w:r w:rsidRPr="006A66A3">
        <w:rPr>
          <w:rFonts w:cstheme="minorHAnsi"/>
          <w:bCs/>
          <w:color w:val="000000" w:themeColor="text1"/>
        </w:rPr>
        <w:t xml:space="preserve">a asistencia a los encuentros sincrónicos virtuales </w:t>
      </w:r>
      <w:r>
        <w:rPr>
          <w:rFonts w:cstheme="minorHAnsi"/>
          <w:bCs/>
          <w:color w:val="000000" w:themeColor="text1"/>
        </w:rPr>
        <w:t>tiene un valor</w:t>
      </w:r>
      <w:r w:rsidRPr="006A66A3">
        <w:rPr>
          <w:rFonts w:cstheme="minorHAnsi"/>
          <w:bCs/>
          <w:color w:val="000000" w:themeColor="text1"/>
        </w:rPr>
        <w:t xml:space="preserve"> formativ</w:t>
      </w:r>
      <w:r>
        <w:rPr>
          <w:rFonts w:cstheme="minorHAnsi"/>
          <w:bCs/>
          <w:color w:val="000000" w:themeColor="text1"/>
        </w:rPr>
        <w:t>o</w:t>
      </w:r>
      <w:r w:rsidRPr="006A66A3">
        <w:rPr>
          <w:rFonts w:cstheme="minorHAnsi"/>
          <w:bCs/>
          <w:color w:val="000000" w:themeColor="text1"/>
        </w:rPr>
        <w:t>. El curso se aprueba con una nota mínima de 7.00 (en escala decimal). La evaluación sumativa se basa en los elementos plasmados a continuación:</w:t>
      </w:r>
    </w:p>
    <w:tbl>
      <w:tblPr>
        <w:tblpPr w:leftFromText="141" w:rightFromText="141" w:vertAnchor="text" w:horzAnchor="page" w:tblpXSpec="center" w:tblpY="324"/>
        <w:tblW w:w="100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824"/>
        <w:gridCol w:w="1228"/>
      </w:tblGrid>
      <w:tr w:rsidR="0076384B" w:rsidRPr="002E6EA6" w14:paraId="230B6985" w14:textId="77777777" w:rsidTr="00C52A93">
        <w:trPr>
          <w:trHeight w:val="399"/>
        </w:trPr>
        <w:tc>
          <w:tcPr>
            <w:tcW w:w="10052" w:type="dxa"/>
            <w:gridSpan w:val="2"/>
          </w:tcPr>
          <w:p w14:paraId="776CC696" w14:textId="77777777" w:rsidR="0076384B" w:rsidRPr="002E6EA6" w:rsidRDefault="0076384B" w:rsidP="00274E5D">
            <w:pPr>
              <w:jc w:val="center"/>
              <w:rPr>
                <w:rFonts w:cstheme="minorHAnsi"/>
                <w:b/>
                <w:bCs/>
                <w:color w:val="000000" w:themeColor="text1"/>
              </w:rPr>
            </w:pPr>
            <w:r w:rsidRPr="002E6EA6">
              <w:rPr>
                <w:rFonts w:cstheme="minorHAnsi"/>
                <w:b/>
                <w:bCs/>
                <w:color w:val="000000" w:themeColor="text1"/>
              </w:rPr>
              <w:t>Síntesis cuantitativa de la evaluación</w:t>
            </w:r>
          </w:p>
        </w:tc>
      </w:tr>
      <w:tr w:rsidR="0076384B" w:rsidRPr="002E6EA6" w14:paraId="12BB9D17" w14:textId="77777777" w:rsidTr="007F1536">
        <w:trPr>
          <w:trHeight w:val="595"/>
        </w:trPr>
        <w:tc>
          <w:tcPr>
            <w:tcW w:w="8824" w:type="dxa"/>
          </w:tcPr>
          <w:p w14:paraId="07DBE511" w14:textId="77777777" w:rsidR="0076384B" w:rsidRPr="002E6EA6" w:rsidRDefault="0076384B" w:rsidP="00484BB1">
            <w:pPr>
              <w:spacing w:line="240" w:lineRule="auto"/>
              <w:jc w:val="both"/>
              <w:rPr>
                <w:rFonts w:cstheme="minorHAnsi"/>
                <w:b/>
                <w:bCs/>
                <w:color w:val="000000" w:themeColor="text1"/>
              </w:rPr>
            </w:pPr>
            <w:r w:rsidRPr="002E6EA6">
              <w:rPr>
                <w:rFonts w:cstheme="minorHAnsi"/>
                <w:b/>
                <w:bCs/>
                <w:color w:val="000000" w:themeColor="text1"/>
              </w:rPr>
              <w:t>Rubros para evaluar</w:t>
            </w:r>
          </w:p>
        </w:tc>
        <w:tc>
          <w:tcPr>
            <w:tcW w:w="1228" w:type="dxa"/>
          </w:tcPr>
          <w:p w14:paraId="19EF772C" w14:textId="77777777" w:rsidR="0076384B" w:rsidRPr="002E6EA6" w:rsidRDefault="0076384B" w:rsidP="00484BB1">
            <w:pPr>
              <w:spacing w:line="240" w:lineRule="auto"/>
              <w:jc w:val="center"/>
              <w:rPr>
                <w:rFonts w:cstheme="minorHAnsi"/>
                <w:b/>
                <w:bCs/>
                <w:color w:val="000000" w:themeColor="text1"/>
              </w:rPr>
            </w:pPr>
            <w:r w:rsidRPr="002E6EA6">
              <w:rPr>
                <w:rFonts w:cstheme="minorHAnsi"/>
                <w:b/>
                <w:bCs/>
                <w:color w:val="000000" w:themeColor="text1"/>
              </w:rPr>
              <w:t xml:space="preserve">Porcentaje </w:t>
            </w:r>
            <w:r>
              <w:rPr>
                <w:rFonts w:cstheme="minorHAnsi"/>
                <w:b/>
                <w:bCs/>
                <w:color w:val="000000" w:themeColor="text1"/>
              </w:rPr>
              <w:t>total</w:t>
            </w:r>
          </w:p>
        </w:tc>
      </w:tr>
      <w:tr w:rsidR="0076384B" w:rsidRPr="002E6EA6" w14:paraId="4A04A078" w14:textId="77777777" w:rsidTr="007F1536">
        <w:trPr>
          <w:trHeight w:val="619"/>
        </w:trPr>
        <w:tc>
          <w:tcPr>
            <w:tcW w:w="8824" w:type="dxa"/>
          </w:tcPr>
          <w:p w14:paraId="4286477C" w14:textId="77777777" w:rsidR="0076384B" w:rsidRPr="002E6EA6" w:rsidRDefault="0076384B" w:rsidP="00484BB1">
            <w:pPr>
              <w:pStyle w:val="Prrafodelista"/>
              <w:autoSpaceDE w:val="0"/>
              <w:autoSpaceDN w:val="0"/>
              <w:adjustRightInd w:val="0"/>
              <w:spacing w:after="0" w:line="240" w:lineRule="auto"/>
              <w:ind w:left="0"/>
              <w:jc w:val="both"/>
              <w:rPr>
                <w:rFonts w:asciiTheme="minorHAnsi" w:hAnsiTheme="minorHAnsi" w:cstheme="minorHAnsi"/>
                <w:b/>
                <w:bCs/>
                <w:i/>
                <w:color w:val="000000" w:themeColor="text1"/>
              </w:rPr>
            </w:pPr>
            <w:r>
              <w:rPr>
                <w:rFonts w:asciiTheme="minorHAnsi" w:hAnsiTheme="minorHAnsi" w:cstheme="minorHAnsi"/>
                <w:b/>
                <w:bCs/>
                <w:i/>
                <w:color w:val="000000" w:themeColor="text1"/>
              </w:rPr>
              <w:t>E</w:t>
            </w:r>
            <w:r w:rsidRPr="002E6EA6">
              <w:rPr>
                <w:rFonts w:asciiTheme="minorHAnsi" w:hAnsiTheme="minorHAnsi" w:cstheme="minorHAnsi"/>
                <w:b/>
                <w:bCs/>
                <w:i/>
                <w:color w:val="000000" w:themeColor="text1"/>
              </w:rPr>
              <w:t>ncuentros sincrónicos virtuales</w:t>
            </w:r>
          </w:p>
          <w:p w14:paraId="34712881" w14:textId="77777777" w:rsidR="0076384B" w:rsidRPr="002E6EA6" w:rsidRDefault="0076384B" w:rsidP="00484BB1">
            <w:pPr>
              <w:pStyle w:val="Prrafodelista"/>
              <w:autoSpaceDE w:val="0"/>
              <w:autoSpaceDN w:val="0"/>
              <w:adjustRightInd w:val="0"/>
              <w:spacing w:after="0" w:line="240" w:lineRule="auto"/>
              <w:ind w:left="0"/>
              <w:jc w:val="both"/>
              <w:rPr>
                <w:rFonts w:asciiTheme="minorHAnsi" w:hAnsiTheme="minorHAnsi" w:cstheme="minorHAnsi"/>
                <w:b/>
                <w:bCs/>
                <w:i/>
                <w:color w:val="000000" w:themeColor="text1"/>
              </w:rPr>
            </w:pPr>
            <w:r>
              <w:rPr>
                <w:rFonts w:asciiTheme="minorHAnsi" w:hAnsiTheme="minorHAnsi" w:cstheme="minorHAnsi"/>
                <w:bCs/>
                <w:color w:val="000000" w:themeColor="text1"/>
              </w:rPr>
              <w:t xml:space="preserve">Se llevan a cabo </w:t>
            </w:r>
            <w:r w:rsidRPr="002E6EA6">
              <w:rPr>
                <w:rFonts w:asciiTheme="minorHAnsi" w:hAnsiTheme="minorHAnsi" w:cstheme="minorHAnsi"/>
                <w:bCs/>
                <w:color w:val="000000" w:themeColor="text1"/>
              </w:rPr>
              <w:t>en las sesiones 1, 4, 6, 8, 11, 12, 14 y 15</w:t>
            </w:r>
            <w:r>
              <w:rPr>
                <w:rFonts w:asciiTheme="minorHAnsi" w:hAnsiTheme="minorHAnsi" w:cstheme="minorHAnsi"/>
                <w:bCs/>
                <w:color w:val="000000" w:themeColor="text1"/>
              </w:rPr>
              <w:t>. Tienen un valor formativo y no sumativo.</w:t>
            </w:r>
          </w:p>
        </w:tc>
        <w:tc>
          <w:tcPr>
            <w:tcW w:w="1228" w:type="dxa"/>
            <w:vAlign w:val="center"/>
          </w:tcPr>
          <w:p w14:paraId="742BA923" w14:textId="77777777" w:rsidR="0076384B" w:rsidRPr="002E6EA6" w:rsidRDefault="0076384B" w:rsidP="00484BB1">
            <w:pPr>
              <w:spacing w:line="240" w:lineRule="auto"/>
              <w:jc w:val="center"/>
              <w:rPr>
                <w:rFonts w:cstheme="minorHAnsi"/>
                <w:bCs/>
                <w:color w:val="000000" w:themeColor="text1"/>
              </w:rPr>
            </w:pPr>
            <w:r w:rsidRPr="002E6EA6">
              <w:rPr>
                <w:rFonts w:cstheme="minorHAnsi"/>
                <w:bCs/>
                <w:color w:val="000000" w:themeColor="text1"/>
              </w:rPr>
              <w:t>̶</w:t>
            </w:r>
          </w:p>
        </w:tc>
      </w:tr>
      <w:tr w:rsidR="0076384B" w:rsidRPr="002E6EA6" w14:paraId="39574BDC" w14:textId="77777777" w:rsidTr="007F1536">
        <w:trPr>
          <w:trHeight w:val="619"/>
        </w:trPr>
        <w:tc>
          <w:tcPr>
            <w:tcW w:w="8824" w:type="dxa"/>
          </w:tcPr>
          <w:p w14:paraId="2E8D0611" w14:textId="77777777" w:rsidR="0076384B" w:rsidRPr="008468B9" w:rsidRDefault="0076384B" w:rsidP="00484BB1">
            <w:pPr>
              <w:pStyle w:val="Prrafodelista"/>
              <w:autoSpaceDE w:val="0"/>
              <w:autoSpaceDN w:val="0"/>
              <w:adjustRightInd w:val="0"/>
              <w:spacing w:after="0" w:line="240" w:lineRule="auto"/>
              <w:ind w:left="0"/>
              <w:jc w:val="both"/>
              <w:rPr>
                <w:rFonts w:asciiTheme="minorHAnsi" w:hAnsiTheme="minorHAnsi" w:cstheme="minorHAnsi"/>
                <w:b/>
                <w:bCs/>
                <w:i/>
                <w:color w:val="0070C0"/>
              </w:rPr>
            </w:pPr>
            <w:r w:rsidRPr="008468B9">
              <w:rPr>
                <w:rFonts w:asciiTheme="minorHAnsi" w:hAnsiTheme="minorHAnsi" w:cstheme="minorHAnsi"/>
                <w:b/>
                <w:bCs/>
                <w:i/>
                <w:color w:val="0070C0"/>
              </w:rPr>
              <w:t>Foros temáticos grupales</w:t>
            </w:r>
          </w:p>
          <w:p w14:paraId="732E9848" w14:textId="77777777" w:rsidR="0076384B" w:rsidRPr="001B7D3E" w:rsidRDefault="0076384B" w:rsidP="00484BB1">
            <w:pPr>
              <w:pStyle w:val="Prrafodelista"/>
              <w:autoSpaceDE w:val="0"/>
              <w:autoSpaceDN w:val="0"/>
              <w:adjustRightInd w:val="0"/>
              <w:spacing w:after="0" w:line="240" w:lineRule="auto"/>
              <w:ind w:left="0"/>
              <w:jc w:val="both"/>
              <w:rPr>
                <w:rFonts w:asciiTheme="minorHAnsi" w:hAnsiTheme="minorHAnsi" w:cstheme="minorHAnsi"/>
                <w:iCs/>
                <w:color w:val="000000" w:themeColor="text1"/>
              </w:rPr>
            </w:pPr>
            <w:r w:rsidRPr="008468B9">
              <w:rPr>
                <w:rFonts w:asciiTheme="minorHAnsi" w:hAnsiTheme="minorHAnsi" w:cstheme="minorHAnsi"/>
                <w:iCs/>
                <w:color w:val="0070C0"/>
              </w:rPr>
              <w:t>Se desarrollan en las sesiones 2, 3, 5, 7, 9 y 13. Cada foro tiene un valor de 2,5%.</w:t>
            </w:r>
          </w:p>
        </w:tc>
        <w:tc>
          <w:tcPr>
            <w:tcW w:w="1228" w:type="dxa"/>
            <w:vAlign w:val="center"/>
          </w:tcPr>
          <w:p w14:paraId="5D9507C0" w14:textId="77777777" w:rsidR="0076384B" w:rsidRPr="002E6EA6" w:rsidRDefault="0076384B" w:rsidP="00484BB1">
            <w:pPr>
              <w:spacing w:line="240" w:lineRule="auto"/>
              <w:jc w:val="center"/>
              <w:rPr>
                <w:rFonts w:cstheme="minorHAnsi"/>
                <w:bCs/>
                <w:color w:val="000000" w:themeColor="text1"/>
              </w:rPr>
            </w:pPr>
            <w:r w:rsidRPr="008468B9">
              <w:rPr>
                <w:rFonts w:cstheme="minorHAnsi"/>
                <w:bCs/>
                <w:color w:val="0070C0"/>
              </w:rPr>
              <w:t>15%</w:t>
            </w:r>
          </w:p>
        </w:tc>
      </w:tr>
      <w:tr w:rsidR="0076384B" w:rsidRPr="002E6EA6" w14:paraId="47F65CCF" w14:textId="77777777" w:rsidTr="007F1536">
        <w:trPr>
          <w:trHeight w:val="619"/>
        </w:trPr>
        <w:tc>
          <w:tcPr>
            <w:tcW w:w="8824" w:type="dxa"/>
          </w:tcPr>
          <w:p w14:paraId="6505FB1B" w14:textId="77777777" w:rsidR="0076384B" w:rsidRPr="008468B9" w:rsidRDefault="0076384B" w:rsidP="00484BB1">
            <w:pPr>
              <w:pStyle w:val="Prrafodelista"/>
              <w:autoSpaceDE w:val="0"/>
              <w:autoSpaceDN w:val="0"/>
              <w:adjustRightInd w:val="0"/>
              <w:spacing w:after="0" w:line="240" w:lineRule="auto"/>
              <w:ind w:left="0"/>
              <w:jc w:val="both"/>
              <w:rPr>
                <w:rFonts w:asciiTheme="minorHAnsi" w:hAnsiTheme="minorHAnsi" w:cstheme="minorHAnsi"/>
                <w:b/>
                <w:bCs/>
                <w:i/>
                <w:color w:val="0070C0"/>
              </w:rPr>
            </w:pPr>
            <w:r w:rsidRPr="008468B9">
              <w:rPr>
                <w:rFonts w:asciiTheme="minorHAnsi" w:hAnsiTheme="minorHAnsi" w:cstheme="minorHAnsi"/>
                <w:b/>
                <w:bCs/>
                <w:i/>
                <w:color w:val="0070C0"/>
              </w:rPr>
              <w:t>Wiki</w:t>
            </w:r>
          </w:p>
          <w:p w14:paraId="317F1FE3" w14:textId="77777777" w:rsidR="0076384B" w:rsidRPr="00823329" w:rsidRDefault="0076384B" w:rsidP="00484BB1">
            <w:pPr>
              <w:pStyle w:val="Prrafodelista"/>
              <w:autoSpaceDE w:val="0"/>
              <w:autoSpaceDN w:val="0"/>
              <w:adjustRightInd w:val="0"/>
              <w:spacing w:after="0" w:line="240" w:lineRule="auto"/>
              <w:ind w:left="0"/>
              <w:jc w:val="both"/>
              <w:rPr>
                <w:rFonts w:asciiTheme="minorHAnsi" w:hAnsiTheme="minorHAnsi" w:cstheme="minorHAnsi"/>
                <w:iCs/>
                <w:color w:val="000000" w:themeColor="text1"/>
              </w:rPr>
            </w:pPr>
            <w:r w:rsidRPr="008468B9">
              <w:rPr>
                <w:rFonts w:asciiTheme="minorHAnsi" w:hAnsiTheme="minorHAnsi" w:cstheme="minorHAnsi"/>
                <w:iCs/>
                <w:color w:val="0070C0"/>
              </w:rPr>
              <w:t>Se desarrolla en la sesión 10. Tiene un valor de 5%.</w:t>
            </w:r>
          </w:p>
        </w:tc>
        <w:tc>
          <w:tcPr>
            <w:tcW w:w="1228" w:type="dxa"/>
            <w:vAlign w:val="center"/>
          </w:tcPr>
          <w:p w14:paraId="74F72293" w14:textId="77777777" w:rsidR="0076384B" w:rsidRDefault="0076384B" w:rsidP="00484BB1">
            <w:pPr>
              <w:spacing w:line="240" w:lineRule="auto"/>
              <w:jc w:val="center"/>
              <w:rPr>
                <w:rFonts w:cstheme="minorHAnsi"/>
                <w:bCs/>
                <w:color w:val="000000" w:themeColor="text1"/>
              </w:rPr>
            </w:pPr>
            <w:r w:rsidRPr="008468B9">
              <w:rPr>
                <w:rFonts w:cstheme="minorHAnsi"/>
                <w:bCs/>
                <w:color w:val="0070C0"/>
              </w:rPr>
              <w:t>5%</w:t>
            </w:r>
          </w:p>
        </w:tc>
      </w:tr>
      <w:tr w:rsidR="0076384B" w:rsidRPr="002E6EA6" w14:paraId="65B5D3D3" w14:textId="77777777" w:rsidTr="007F1536">
        <w:trPr>
          <w:trHeight w:val="698"/>
        </w:trPr>
        <w:tc>
          <w:tcPr>
            <w:tcW w:w="8824" w:type="dxa"/>
          </w:tcPr>
          <w:p w14:paraId="51535155" w14:textId="77777777" w:rsidR="0076384B" w:rsidRDefault="0076384B" w:rsidP="00484BB1">
            <w:pPr>
              <w:pStyle w:val="Prrafodelista"/>
              <w:autoSpaceDE w:val="0"/>
              <w:autoSpaceDN w:val="0"/>
              <w:adjustRightInd w:val="0"/>
              <w:spacing w:after="0" w:line="240" w:lineRule="auto"/>
              <w:ind w:left="0"/>
              <w:jc w:val="both"/>
              <w:rPr>
                <w:rFonts w:asciiTheme="minorHAnsi" w:hAnsiTheme="minorHAnsi" w:cstheme="minorHAnsi"/>
                <w:b/>
                <w:bCs/>
                <w:i/>
                <w:color w:val="000000" w:themeColor="text1"/>
              </w:rPr>
            </w:pPr>
            <w:r>
              <w:rPr>
                <w:rFonts w:asciiTheme="minorHAnsi" w:hAnsiTheme="minorHAnsi" w:cstheme="minorHAnsi"/>
                <w:b/>
                <w:bCs/>
                <w:i/>
                <w:color w:val="000000" w:themeColor="text1"/>
              </w:rPr>
              <w:lastRenderedPageBreak/>
              <w:t>Diario reflexivo</w:t>
            </w:r>
          </w:p>
          <w:p w14:paraId="04640572" w14:textId="77777777" w:rsidR="0076384B" w:rsidRPr="007F1536" w:rsidRDefault="0076384B" w:rsidP="00484BB1">
            <w:pPr>
              <w:pStyle w:val="Prrafodelista"/>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iCs/>
                <w:color w:val="000000" w:themeColor="text1"/>
              </w:rPr>
              <w:t>Se elabora en las sesiones 2 y 3.</w:t>
            </w:r>
          </w:p>
        </w:tc>
        <w:tc>
          <w:tcPr>
            <w:tcW w:w="1228" w:type="dxa"/>
            <w:vAlign w:val="center"/>
          </w:tcPr>
          <w:p w14:paraId="0C31988B" w14:textId="77777777" w:rsidR="0076384B" w:rsidRPr="002E6EA6" w:rsidRDefault="0076384B" w:rsidP="00484BB1">
            <w:pPr>
              <w:spacing w:line="240" w:lineRule="auto"/>
              <w:jc w:val="center"/>
              <w:rPr>
                <w:rFonts w:cstheme="minorHAnsi"/>
                <w:bCs/>
                <w:color w:val="000000" w:themeColor="text1"/>
              </w:rPr>
            </w:pPr>
            <w:r>
              <w:rPr>
                <w:rFonts w:cstheme="minorHAnsi"/>
                <w:bCs/>
                <w:color w:val="000000" w:themeColor="text1"/>
              </w:rPr>
              <w:t>20%</w:t>
            </w:r>
          </w:p>
        </w:tc>
      </w:tr>
      <w:tr w:rsidR="0076384B" w:rsidRPr="002E6EA6" w14:paraId="2F085CF7" w14:textId="77777777" w:rsidTr="001A480E">
        <w:trPr>
          <w:trHeight w:val="2536"/>
        </w:trPr>
        <w:tc>
          <w:tcPr>
            <w:tcW w:w="8824" w:type="dxa"/>
          </w:tcPr>
          <w:p w14:paraId="0B8C42DC" w14:textId="77777777" w:rsidR="0076384B" w:rsidRDefault="0076384B" w:rsidP="00484BB1">
            <w:pPr>
              <w:pStyle w:val="Prrafodelista"/>
              <w:autoSpaceDE w:val="0"/>
              <w:autoSpaceDN w:val="0"/>
              <w:adjustRightInd w:val="0"/>
              <w:spacing w:after="0" w:line="240" w:lineRule="auto"/>
              <w:ind w:left="0"/>
              <w:jc w:val="both"/>
              <w:rPr>
                <w:rFonts w:asciiTheme="minorHAnsi" w:hAnsiTheme="minorHAnsi" w:cstheme="minorHAnsi"/>
                <w:b/>
                <w:bCs/>
                <w:i/>
                <w:color w:val="000000" w:themeColor="text1"/>
              </w:rPr>
            </w:pPr>
            <w:r>
              <w:rPr>
                <w:rFonts w:asciiTheme="minorHAnsi" w:hAnsiTheme="minorHAnsi" w:cstheme="minorHAnsi"/>
                <w:b/>
                <w:bCs/>
                <w:i/>
                <w:color w:val="000000" w:themeColor="text1"/>
              </w:rPr>
              <w:t>Ensayos</w:t>
            </w:r>
          </w:p>
          <w:p w14:paraId="1EEDB968" w14:textId="77777777" w:rsidR="0076384B" w:rsidRDefault="0076384B" w:rsidP="00484BB1">
            <w:pPr>
              <w:pStyle w:val="Prrafodelista"/>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iCs/>
                <w:color w:val="000000" w:themeColor="text1"/>
              </w:rPr>
              <w:t>Comprende un total de tres ensayos distribuidos de la siguiente forma:</w:t>
            </w:r>
          </w:p>
          <w:p w14:paraId="20EE8933" w14:textId="77777777" w:rsidR="0076384B" w:rsidRDefault="0076384B" w:rsidP="00484BB1">
            <w:pPr>
              <w:pStyle w:val="Prrafodelista"/>
              <w:autoSpaceDE w:val="0"/>
              <w:autoSpaceDN w:val="0"/>
              <w:adjustRightInd w:val="0"/>
              <w:spacing w:after="0" w:line="240" w:lineRule="auto"/>
              <w:ind w:left="0"/>
              <w:jc w:val="both"/>
              <w:rPr>
                <w:rFonts w:asciiTheme="minorHAnsi" w:hAnsiTheme="minorHAnsi" w:cstheme="minorHAnsi"/>
                <w:iCs/>
                <w:color w:val="000000" w:themeColor="text1"/>
              </w:rPr>
            </w:pPr>
          </w:p>
          <w:p w14:paraId="7A1228C3" w14:textId="77777777" w:rsidR="0076384B" w:rsidRDefault="0076384B" w:rsidP="00484BB1">
            <w:pPr>
              <w:pStyle w:val="Prrafodelista"/>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b/>
                <w:bCs/>
                <w:iCs/>
                <w:color w:val="000000" w:themeColor="text1"/>
              </w:rPr>
              <w:t>1.</w:t>
            </w:r>
            <w:r w:rsidRPr="001A480E">
              <w:rPr>
                <w:rFonts w:asciiTheme="minorHAnsi" w:hAnsiTheme="minorHAnsi" w:cstheme="minorHAnsi"/>
                <w:b/>
                <w:bCs/>
                <w:iCs/>
                <w:color w:val="000000" w:themeColor="text1"/>
              </w:rPr>
              <w:t xml:space="preserve"> Ensayo sobre la historia de Israel y la iglesia primitiva</w:t>
            </w:r>
            <w:r>
              <w:rPr>
                <w:rFonts w:asciiTheme="minorHAnsi" w:hAnsiTheme="minorHAnsi" w:cstheme="minorHAnsi"/>
                <w:iCs/>
                <w:color w:val="000000" w:themeColor="text1"/>
              </w:rPr>
              <w:t xml:space="preserve"> (sesiones 4 y 5). Tiene un valor de 10%.</w:t>
            </w:r>
          </w:p>
          <w:p w14:paraId="25B2CCBC" w14:textId="77777777" w:rsidR="0076384B" w:rsidRDefault="0076384B" w:rsidP="00484BB1">
            <w:pPr>
              <w:pStyle w:val="Prrafodelista"/>
              <w:autoSpaceDE w:val="0"/>
              <w:autoSpaceDN w:val="0"/>
              <w:adjustRightInd w:val="0"/>
              <w:spacing w:after="0" w:line="240" w:lineRule="auto"/>
              <w:ind w:left="0"/>
              <w:jc w:val="both"/>
              <w:rPr>
                <w:rFonts w:asciiTheme="minorHAnsi" w:hAnsiTheme="minorHAnsi" w:cstheme="minorHAnsi"/>
                <w:iCs/>
                <w:color w:val="000000" w:themeColor="text1"/>
              </w:rPr>
            </w:pPr>
          </w:p>
          <w:p w14:paraId="57650091" w14:textId="77777777" w:rsidR="0076384B" w:rsidRDefault="0076384B" w:rsidP="00484BB1">
            <w:pPr>
              <w:pStyle w:val="Prrafodelista"/>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b/>
                <w:bCs/>
                <w:iCs/>
                <w:color w:val="000000" w:themeColor="text1"/>
              </w:rPr>
              <w:t>2.</w:t>
            </w:r>
            <w:r w:rsidRPr="001A480E">
              <w:rPr>
                <w:rFonts w:asciiTheme="minorHAnsi" w:hAnsiTheme="minorHAnsi" w:cstheme="minorHAnsi"/>
                <w:b/>
                <w:bCs/>
                <w:iCs/>
                <w:color w:val="000000" w:themeColor="text1"/>
              </w:rPr>
              <w:t xml:space="preserve"> Ensayo de reflexión sobre la transmisión y traducción de los textos de la Biblia hebrea y el Nuevo Testamento</w:t>
            </w:r>
            <w:r>
              <w:rPr>
                <w:rFonts w:asciiTheme="minorHAnsi" w:hAnsiTheme="minorHAnsi" w:cstheme="minorHAnsi"/>
                <w:iCs/>
                <w:color w:val="000000" w:themeColor="text1"/>
              </w:rPr>
              <w:t xml:space="preserve"> (sesiones 9, 10 y 11). Tiene un valor de 10%.</w:t>
            </w:r>
          </w:p>
          <w:p w14:paraId="58D3A453" w14:textId="77777777" w:rsidR="0076384B" w:rsidRDefault="0076384B" w:rsidP="00484BB1">
            <w:pPr>
              <w:pStyle w:val="Prrafodelista"/>
              <w:autoSpaceDE w:val="0"/>
              <w:autoSpaceDN w:val="0"/>
              <w:adjustRightInd w:val="0"/>
              <w:spacing w:after="0" w:line="240" w:lineRule="auto"/>
              <w:ind w:left="0"/>
              <w:jc w:val="both"/>
              <w:rPr>
                <w:rFonts w:asciiTheme="minorHAnsi" w:hAnsiTheme="minorHAnsi" w:cstheme="minorHAnsi"/>
                <w:iCs/>
                <w:color w:val="000000" w:themeColor="text1"/>
              </w:rPr>
            </w:pPr>
          </w:p>
          <w:p w14:paraId="4A53E256" w14:textId="77777777" w:rsidR="0076384B" w:rsidRPr="00181BA8" w:rsidRDefault="0076384B" w:rsidP="00484BB1">
            <w:pPr>
              <w:pStyle w:val="Prrafodelista"/>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b/>
                <w:bCs/>
                <w:iCs/>
                <w:color w:val="000000" w:themeColor="text1"/>
              </w:rPr>
              <w:t>3.</w:t>
            </w:r>
            <w:r w:rsidRPr="001A480E">
              <w:rPr>
                <w:rFonts w:asciiTheme="minorHAnsi" w:hAnsiTheme="minorHAnsi" w:cstheme="minorHAnsi"/>
                <w:b/>
                <w:bCs/>
                <w:iCs/>
                <w:color w:val="000000" w:themeColor="text1"/>
              </w:rPr>
              <w:t xml:space="preserve"> Ensayo de síntesis final del curso</w:t>
            </w:r>
            <w:r>
              <w:rPr>
                <w:rFonts w:asciiTheme="minorHAnsi" w:hAnsiTheme="minorHAnsi" w:cstheme="minorHAnsi"/>
                <w:iCs/>
                <w:color w:val="000000" w:themeColor="text1"/>
              </w:rPr>
              <w:t xml:space="preserve"> (sesiones 12, 13 y 14). Tiene un valor de 20%.</w:t>
            </w:r>
          </w:p>
        </w:tc>
        <w:tc>
          <w:tcPr>
            <w:tcW w:w="1228" w:type="dxa"/>
            <w:vAlign w:val="center"/>
          </w:tcPr>
          <w:p w14:paraId="0F1EE373" w14:textId="77777777" w:rsidR="0076384B" w:rsidRDefault="0076384B" w:rsidP="00484BB1">
            <w:pPr>
              <w:spacing w:line="240" w:lineRule="auto"/>
              <w:jc w:val="center"/>
              <w:rPr>
                <w:rFonts w:cstheme="minorHAnsi"/>
                <w:bCs/>
                <w:color w:val="000000" w:themeColor="text1"/>
              </w:rPr>
            </w:pPr>
            <w:r>
              <w:rPr>
                <w:rFonts w:cstheme="minorHAnsi"/>
                <w:bCs/>
                <w:color w:val="000000" w:themeColor="text1"/>
              </w:rPr>
              <w:t>40%</w:t>
            </w:r>
          </w:p>
        </w:tc>
      </w:tr>
      <w:tr w:rsidR="0076384B" w:rsidRPr="002E6EA6" w14:paraId="320E7EE1" w14:textId="77777777" w:rsidTr="007F1536">
        <w:trPr>
          <w:trHeight w:val="570"/>
        </w:trPr>
        <w:tc>
          <w:tcPr>
            <w:tcW w:w="8824" w:type="dxa"/>
          </w:tcPr>
          <w:p w14:paraId="6EE32D52" w14:textId="77777777" w:rsidR="0076384B" w:rsidRPr="002E6EA6" w:rsidRDefault="0076384B" w:rsidP="00484BB1">
            <w:pPr>
              <w:pStyle w:val="Prrafodelista"/>
              <w:autoSpaceDE w:val="0"/>
              <w:autoSpaceDN w:val="0"/>
              <w:adjustRightInd w:val="0"/>
              <w:spacing w:after="0" w:line="240" w:lineRule="auto"/>
              <w:ind w:left="0"/>
              <w:jc w:val="both"/>
              <w:rPr>
                <w:rFonts w:asciiTheme="minorHAnsi" w:hAnsiTheme="minorHAnsi" w:cstheme="minorHAnsi"/>
                <w:b/>
                <w:bCs/>
                <w:i/>
                <w:color w:val="000000" w:themeColor="text1"/>
              </w:rPr>
            </w:pPr>
            <w:r w:rsidRPr="002E6EA6">
              <w:rPr>
                <w:rFonts w:asciiTheme="minorHAnsi" w:hAnsiTheme="minorHAnsi" w:cstheme="minorHAnsi"/>
                <w:b/>
                <w:bCs/>
                <w:i/>
                <w:color w:val="000000" w:themeColor="text1"/>
              </w:rPr>
              <w:t>Glosario de crítica textual</w:t>
            </w:r>
          </w:p>
          <w:p w14:paraId="1C4E8878" w14:textId="77777777" w:rsidR="0076384B" w:rsidRPr="002E6EA6" w:rsidRDefault="0076384B" w:rsidP="00484BB1">
            <w:pPr>
              <w:pStyle w:val="Prrafodelista"/>
              <w:autoSpaceDE w:val="0"/>
              <w:autoSpaceDN w:val="0"/>
              <w:adjustRightInd w:val="0"/>
              <w:spacing w:after="0" w:line="240" w:lineRule="auto"/>
              <w:ind w:left="0"/>
              <w:jc w:val="both"/>
              <w:rPr>
                <w:rFonts w:asciiTheme="minorHAnsi" w:hAnsiTheme="minorHAnsi" w:cstheme="minorHAnsi"/>
                <w:iCs/>
                <w:color w:val="000000" w:themeColor="text1"/>
              </w:rPr>
            </w:pPr>
            <w:r>
              <w:rPr>
                <w:rFonts w:asciiTheme="minorHAnsi" w:hAnsiTheme="minorHAnsi" w:cstheme="minorHAnsi"/>
                <w:iCs/>
                <w:color w:val="000000" w:themeColor="text1"/>
              </w:rPr>
              <w:t>Se desarrolla en las sesiones 6 y 7.</w:t>
            </w:r>
          </w:p>
        </w:tc>
        <w:tc>
          <w:tcPr>
            <w:tcW w:w="1228" w:type="dxa"/>
            <w:vAlign w:val="center"/>
          </w:tcPr>
          <w:p w14:paraId="0BD629CE" w14:textId="77777777" w:rsidR="0076384B" w:rsidRPr="002E6EA6" w:rsidRDefault="0076384B" w:rsidP="00484BB1">
            <w:pPr>
              <w:spacing w:line="240" w:lineRule="auto"/>
              <w:jc w:val="center"/>
              <w:rPr>
                <w:rFonts w:cstheme="minorHAnsi"/>
                <w:bCs/>
                <w:color w:val="000000" w:themeColor="text1"/>
              </w:rPr>
            </w:pPr>
            <w:r w:rsidRPr="002E6EA6">
              <w:rPr>
                <w:rFonts w:cstheme="minorHAnsi"/>
                <w:bCs/>
                <w:color w:val="000000" w:themeColor="text1"/>
              </w:rPr>
              <w:t>20</w:t>
            </w:r>
            <w:r>
              <w:rPr>
                <w:rFonts w:cstheme="minorHAnsi"/>
                <w:bCs/>
                <w:color w:val="000000" w:themeColor="text1"/>
              </w:rPr>
              <w:t>%</w:t>
            </w:r>
          </w:p>
        </w:tc>
      </w:tr>
      <w:tr w:rsidR="0076384B" w:rsidRPr="00F27296" w14:paraId="01B7B4CC" w14:textId="77777777" w:rsidTr="007F1536">
        <w:trPr>
          <w:trHeight w:val="407"/>
        </w:trPr>
        <w:tc>
          <w:tcPr>
            <w:tcW w:w="8824" w:type="dxa"/>
            <w:vAlign w:val="center"/>
          </w:tcPr>
          <w:p w14:paraId="71265CAB" w14:textId="77777777" w:rsidR="0076384B" w:rsidRPr="002E6EA6" w:rsidRDefault="0076384B" w:rsidP="00484BB1">
            <w:pPr>
              <w:pStyle w:val="Prrafodelista"/>
              <w:autoSpaceDE w:val="0"/>
              <w:autoSpaceDN w:val="0"/>
              <w:adjustRightInd w:val="0"/>
              <w:spacing w:after="0" w:line="240" w:lineRule="auto"/>
              <w:ind w:left="0"/>
              <w:rPr>
                <w:rFonts w:asciiTheme="minorHAnsi" w:hAnsiTheme="minorHAnsi" w:cstheme="minorHAnsi"/>
                <w:b/>
                <w:bCs/>
                <w:i/>
                <w:color w:val="000000" w:themeColor="text1"/>
              </w:rPr>
            </w:pPr>
            <w:r w:rsidRPr="002E6EA6">
              <w:rPr>
                <w:rFonts w:asciiTheme="minorHAnsi" w:hAnsiTheme="minorHAnsi" w:cstheme="minorHAnsi"/>
                <w:b/>
                <w:bCs/>
                <w:color w:val="000000" w:themeColor="text1"/>
              </w:rPr>
              <w:t>Total</w:t>
            </w:r>
          </w:p>
        </w:tc>
        <w:tc>
          <w:tcPr>
            <w:tcW w:w="1228" w:type="dxa"/>
            <w:vAlign w:val="center"/>
          </w:tcPr>
          <w:p w14:paraId="67BE11A4" w14:textId="77777777" w:rsidR="0076384B" w:rsidRPr="00177556" w:rsidRDefault="0076384B" w:rsidP="00484BB1">
            <w:pPr>
              <w:spacing w:line="240" w:lineRule="auto"/>
              <w:jc w:val="center"/>
              <w:rPr>
                <w:rFonts w:cstheme="minorHAnsi"/>
                <w:b/>
                <w:bCs/>
                <w:color w:val="000000" w:themeColor="text1"/>
              </w:rPr>
            </w:pPr>
            <w:r w:rsidRPr="002E6EA6">
              <w:rPr>
                <w:rFonts w:cstheme="minorHAnsi"/>
                <w:b/>
                <w:bCs/>
                <w:color w:val="000000" w:themeColor="text1"/>
              </w:rPr>
              <w:t>100%</w:t>
            </w:r>
          </w:p>
        </w:tc>
      </w:tr>
    </w:tbl>
    <w:p w14:paraId="7F9F9F04" w14:textId="77777777" w:rsidR="0076384B" w:rsidRDefault="0076384B" w:rsidP="009C3E07">
      <w:pPr>
        <w:pStyle w:val="Prrafodelista"/>
        <w:spacing w:after="0" w:line="240" w:lineRule="auto"/>
        <w:ind w:left="0"/>
        <w:jc w:val="both"/>
        <w:rPr>
          <w:rFonts w:asciiTheme="minorHAnsi" w:hAnsiTheme="minorHAnsi" w:cstheme="minorHAnsi"/>
          <w:b/>
          <w:color w:val="000000" w:themeColor="text1"/>
        </w:rPr>
      </w:pPr>
    </w:p>
    <w:p w14:paraId="29A46367" w14:textId="77777777" w:rsidR="0076384B" w:rsidRDefault="0076384B" w:rsidP="009C3E07">
      <w:pPr>
        <w:pStyle w:val="Prrafodelista"/>
        <w:spacing w:after="0" w:line="240" w:lineRule="auto"/>
        <w:ind w:left="0"/>
        <w:jc w:val="both"/>
        <w:rPr>
          <w:rFonts w:asciiTheme="minorHAnsi" w:hAnsiTheme="minorHAnsi" w:cstheme="minorHAnsi"/>
          <w:b/>
          <w:color w:val="000000" w:themeColor="text1"/>
        </w:rPr>
      </w:pPr>
    </w:p>
    <w:p w14:paraId="22863612" w14:textId="77777777" w:rsidR="0076384B" w:rsidRDefault="0076384B"/>
    <w:p w14:paraId="34837991" w14:textId="77777777" w:rsidR="0076384B" w:rsidRDefault="0076384B" w:rsidP="7B60EACE">
      <w:pPr>
        <w:sectPr w:rsidR="0076384B" w:rsidSect="005C1895">
          <w:pgSz w:w="12240" w:h="15840"/>
          <w:pgMar w:top="1417" w:right="1701" w:bottom="1417" w:left="1701" w:header="708" w:footer="708" w:gutter="0"/>
          <w:cols w:space="708"/>
          <w:titlePg/>
          <w:docGrid w:linePitch="360"/>
        </w:sectPr>
      </w:pPr>
    </w:p>
    <w:p w14:paraId="32DB7150" w14:textId="77777777" w:rsidR="0076384B" w:rsidRDefault="0076384B" w:rsidP="00C2329F">
      <w:pPr>
        <w:jc w:val="center"/>
      </w:pPr>
      <w:r w:rsidRPr="00D06599">
        <w:rPr>
          <w:rFonts w:cstheme="minorHAnsi"/>
          <w:bCs/>
          <w:noProof/>
          <w:sz w:val="20"/>
        </w:rPr>
        <w:lastRenderedPageBreak/>
        <mc:AlternateContent>
          <mc:Choice Requires="wps">
            <w:drawing>
              <wp:anchor distT="45720" distB="45720" distL="114300" distR="114300" simplePos="0" relativeHeight="252166144" behindDoc="0" locked="0" layoutInCell="1" allowOverlap="1" wp14:anchorId="44DBA5D1" wp14:editId="39750D2E">
                <wp:simplePos x="0" y="0"/>
                <wp:positionH relativeFrom="margin">
                  <wp:align>center</wp:align>
                </wp:positionH>
                <wp:positionV relativeFrom="paragraph">
                  <wp:posOffset>-83502</wp:posOffset>
                </wp:positionV>
                <wp:extent cx="7879080" cy="400050"/>
                <wp:effectExtent l="0" t="0" r="26670" b="19050"/>
                <wp:wrapNone/>
                <wp:docPr id="6800833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0050"/>
                        </a:xfrm>
                        <a:prstGeom prst="rect">
                          <a:avLst/>
                        </a:prstGeom>
                        <a:solidFill>
                          <a:srgbClr val="FFFFFF"/>
                        </a:solidFill>
                        <a:ln w="9525">
                          <a:solidFill>
                            <a:srgbClr val="000000"/>
                          </a:solidFill>
                          <a:miter lim="800000"/>
                          <a:headEnd/>
                          <a:tailEnd/>
                        </a:ln>
                      </wps:spPr>
                      <wps:txbx>
                        <w:txbxContent>
                          <w:p w14:paraId="6EC29C35" w14:textId="77777777" w:rsidR="0076384B" w:rsidRPr="002A747D" w:rsidRDefault="0076384B" w:rsidP="00BA45AE">
                            <w:pPr>
                              <w:jc w:val="center"/>
                              <w:rPr>
                                <w:rFonts w:cstheme="minorHAnsi"/>
                                <w:b/>
                                <w:szCs w:val="24"/>
                              </w:rPr>
                            </w:pPr>
                            <w:r w:rsidRPr="002A747D">
                              <w:rPr>
                                <w:rFonts w:cstheme="minorHAns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DBA5D1" id="_x0000_s1054" type="#_x0000_t202" style="position:absolute;left:0;text-align:left;margin-left:0;margin-top:-6.55pt;width:620.4pt;height:31.5pt;z-index:252166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">
                <v:textbox>
                  <w:txbxContent>
                    <w:p w14:paraId="6EC29C35" w14:textId="77777777" w:rsidR="0076384B" w:rsidRPr="002A747D" w:rsidRDefault="0076384B" w:rsidP="00BA45AE">
                      <w:pPr>
                        <w:jc w:val="center"/>
                        <w:rPr>
                          <w:rFonts w:cstheme="minorHAnsi"/>
                          <w:b/>
                          <w:szCs w:val="24"/>
                        </w:rPr>
                      </w:pPr>
                      <w:r w:rsidRPr="002A747D">
                        <w:rPr>
                          <w:rFonts w:cstheme="minorHAnsi"/>
                          <w:b/>
                          <w:szCs w:val="24"/>
                        </w:rPr>
                        <w:t>RÚBRICA DE EVALUACIÓN – FORO TEMÁTICO</w:t>
                      </w:r>
                    </w:p>
                  </w:txbxContent>
                </v:textbox>
                <w10:wrap anchorx="margin"/>
              </v:shape>
            </w:pict>
          </mc:Fallback>
        </mc:AlternateContent>
      </w:r>
    </w:p>
    <w:p w14:paraId="2796E866" w14:textId="77777777" w:rsidR="0076384B" w:rsidRDefault="0076384B" w:rsidP="00C2329F">
      <w:pPr>
        <w:jc w:val="center"/>
      </w:pPr>
    </w:p>
    <w:p w14:paraId="635E5ED4" w14:textId="77777777" w:rsidR="0076384B" w:rsidRPr="00AF2899" w:rsidRDefault="0076384B" w:rsidP="00C2329F">
      <w:pPr>
        <w:jc w:val="center"/>
        <w:rPr>
          <w:rFonts w:cstheme="minorHAnsi"/>
          <w:color w:val="0070C0"/>
        </w:rPr>
      </w:pPr>
      <w:r w:rsidRPr="00AF2899">
        <w:rPr>
          <w:rFonts w:cstheme="minorHAnsi"/>
          <w:color w:val="0070C0"/>
        </w:rPr>
        <w:t>La razón del foro es permitir que las personas estudiantes y la persona docente interactúen en este y discutan las temáticas del curso.  Se desarrollan en las sesiones 2, 3, 5, 7, 9 y 13. Cada foro tiene un valor de 2,5%.</w:t>
      </w:r>
    </w:p>
    <w:p w14:paraId="3668D9B0" w14:textId="77777777" w:rsidR="0076384B" w:rsidRDefault="0076384B" w:rsidP="00C2329F">
      <w:pPr>
        <w:jc w:val="center"/>
        <w:rPr>
          <w:rFonts w:cstheme="minorHAnsi"/>
        </w:rPr>
      </w:pPr>
      <w:r>
        <w:rPr>
          <w:rFonts w:cstheme="minorHAnsi"/>
          <w:noProof/>
        </w:rPr>
        <w:drawing>
          <wp:anchor distT="0" distB="0" distL="114300" distR="114300" simplePos="0" relativeHeight="252167168" behindDoc="0" locked="0" layoutInCell="1" allowOverlap="1" wp14:anchorId="5A8777C6" wp14:editId="1A0ACD82">
            <wp:simplePos x="0" y="0"/>
            <wp:positionH relativeFrom="margin">
              <wp:align>center</wp:align>
            </wp:positionH>
            <wp:positionV relativeFrom="paragraph">
              <wp:posOffset>193992</wp:posOffset>
            </wp:positionV>
            <wp:extent cx="7600950" cy="5512272"/>
            <wp:effectExtent l="0" t="0" r="0" b="0"/>
            <wp:wrapNone/>
            <wp:docPr id="85453153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31537" name="Imagen 1" descr="Tabla&#10;&#10;Descripción generada automáticamente"/>
                    <pic:cNvPicPr/>
                  </pic:nvPicPr>
                  <pic:blipFill>
                    <a:blip r:embed="rId77">
                      <a:extLst>
                        <a:ext uri="{28A0092B-C50C-407E-A947-70E740481C1C}">
                          <a14:useLocalDpi xmlns:a14="http://schemas.microsoft.com/office/drawing/2010/main" val="0"/>
                        </a:ext>
                      </a:extLst>
                    </a:blip>
                    <a:stretch>
                      <a:fillRect/>
                    </a:stretch>
                  </pic:blipFill>
                  <pic:spPr>
                    <a:xfrm>
                      <a:off x="0" y="0"/>
                      <a:ext cx="7600950" cy="5512272"/>
                    </a:xfrm>
                    <a:prstGeom prst="rect">
                      <a:avLst/>
                    </a:prstGeom>
                  </pic:spPr>
                </pic:pic>
              </a:graphicData>
            </a:graphic>
            <wp14:sizeRelH relativeFrom="margin">
              <wp14:pctWidth>0</wp14:pctWidth>
            </wp14:sizeRelH>
            <wp14:sizeRelV relativeFrom="margin">
              <wp14:pctHeight>0</wp14:pctHeight>
            </wp14:sizeRelV>
          </wp:anchor>
        </w:drawing>
      </w:r>
    </w:p>
    <w:p w14:paraId="6F73F346" w14:textId="77777777" w:rsidR="0076384B" w:rsidRPr="00A50CAA" w:rsidRDefault="0076384B" w:rsidP="002F11FD">
      <w:pPr>
        <w:rPr>
          <w:rFonts w:cstheme="minorHAnsi"/>
        </w:rPr>
        <w:sectPr w:rsidR="0076384B" w:rsidRPr="00A50CAA" w:rsidSect="005C1895">
          <w:pgSz w:w="15840" w:h="12240" w:orient="landscape"/>
          <w:pgMar w:top="720" w:right="720" w:bottom="720" w:left="720" w:header="709" w:footer="709" w:gutter="0"/>
          <w:pgNumType w:start="50"/>
          <w:cols w:space="708"/>
          <w:docGrid w:linePitch="360"/>
        </w:sectPr>
      </w:pPr>
    </w:p>
    <w:p w14:paraId="4E48C96D" w14:textId="77777777" w:rsidR="0076384B" w:rsidRDefault="0076384B" w:rsidP="002F11FD">
      <w:pPr>
        <w:jc w:val="center"/>
        <w:rPr>
          <w:rFonts w:cstheme="minorHAnsi"/>
        </w:rPr>
      </w:pPr>
      <w:r>
        <w:rPr>
          <w:b/>
          <w:noProof/>
        </w:rPr>
        <w:lastRenderedPageBreak/>
        <mc:AlternateContent>
          <mc:Choice Requires="wps">
            <w:drawing>
              <wp:anchor distT="0" distB="0" distL="114300" distR="114300" simplePos="0" relativeHeight="252168192" behindDoc="0" locked="0" layoutInCell="1" allowOverlap="1" wp14:anchorId="2B7AC141" wp14:editId="1F54A9F7">
                <wp:simplePos x="0" y="0"/>
                <wp:positionH relativeFrom="margin">
                  <wp:align>center</wp:align>
                </wp:positionH>
                <wp:positionV relativeFrom="paragraph">
                  <wp:posOffset>-115570</wp:posOffset>
                </wp:positionV>
                <wp:extent cx="7025640" cy="385762"/>
                <wp:effectExtent l="0" t="0" r="22860" b="14605"/>
                <wp:wrapNone/>
                <wp:docPr id="1125467053" name="Cuadro de texto 1125467053"/>
                <wp:cNvGraphicFramePr/>
                <a:graphic xmlns:a="http://schemas.openxmlformats.org/drawingml/2006/main">
                  <a:graphicData uri="http://schemas.microsoft.com/office/word/2010/wordprocessingShape">
                    <wps:wsp>
                      <wps:cNvSpPr txBox="1"/>
                      <wps:spPr>
                        <a:xfrm>
                          <a:off x="0" y="0"/>
                          <a:ext cx="7025640" cy="385762"/>
                        </a:xfrm>
                        <a:prstGeom prst="rect">
                          <a:avLst/>
                        </a:prstGeom>
                        <a:solidFill>
                          <a:schemeClr val="lt1"/>
                        </a:solidFill>
                        <a:ln w="6350">
                          <a:solidFill>
                            <a:prstClr val="black"/>
                          </a:solidFill>
                        </a:ln>
                      </wps:spPr>
                      <wps:txbx>
                        <w:txbxContent>
                          <w:p w14:paraId="14225292" w14:textId="77777777" w:rsidR="0076384B" w:rsidRPr="002F0F59" w:rsidRDefault="0076384B" w:rsidP="002F0F59">
                            <w:pPr>
                              <w:jc w:val="center"/>
                              <w:rPr>
                                <w:rFonts w:cstheme="minorHAnsi"/>
                                <w:b/>
                              </w:rPr>
                            </w:pPr>
                            <w:r w:rsidRPr="002F0F59">
                              <w:rPr>
                                <w:rFonts w:cstheme="minorHAns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AC141" id="Cuadro de texto 1125467053" o:spid="_x0000_s1055" type="#_x0000_t202" style="position:absolute;left:0;text-align:left;margin-left:0;margin-top:-9.1pt;width:553.2pt;height:30.35pt;z-index:252168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" fillcolor="white [3201]" strokeweight=".5pt">
                <v:textbox>
                  <w:txbxContent>
                    <w:p w14:paraId="14225292" w14:textId="77777777" w:rsidR="0076384B" w:rsidRPr="002F0F59" w:rsidRDefault="0076384B" w:rsidP="002F0F59">
                      <w:pPr>
                        <w:jc w:val="center"/>
                        <w:rPr>
                          <w:rFonts w:cstheme="minorHAnsi"/>
                          <w:b/>
                        </w:rPr>
                      </w:pPr>
                      <w:r w:rsidRPr="002F0F59">
                        <w:rPr>
                          <w:rFonts w:cstheme="minorHAnsi"/>
                          <w:b/>
                        </w:rPr>
                        <w:t>RÚBRICA DE EVALUACIÓN – WIKI</w:t>
                      </w:r>
                    </w:p>
                  </w:txbxContent>
                </v:textbox>
                <w10:wrap anchorx="margin"/>
              </v:shape>
            </w:pict>
          </mc:Fallback>
        </mc:AlternateContent>
      </w:r>
    </w:p>
    <w:p w14:paraId="59644452" w14:textId="77777777" w:rsidR="0076384B" w:rsidRDefault="0076384B" w:rsidP="002F11FD">
      <w:pPr>
        <w:jc w:val="center"/>
        <w:rPr>
          <w:rFonts w:cstheme="minorHAnsi"/>
        </w:rPr>
      </w:pPr>
    </w:p>
    <w:p w14:paraId="769DE2F0" w14:textId="77777777" w:rsidR="0076384B" w:rsidRPr="00AF2899" w:rsidRDefault="0076384B" w:rsidP="002F11FD">
      <w:pPr>
        <w:jc w:val="center"/>
        <w:rPr>
          <w:rFonts w:cstheme="minorHAnsi"/>
          <w:color w:val="0070C0"/>
        </w:rPr>
      </w:pPr>
      <w:r w:rsidRPr="00AF2899">
        <w:rPr>
          <w:rFonts w:cstheme="minorHAnsi"/>
          <w:color w:val="0070C0"/>
        </w:rPr>
        <w:t>Las actividades colaborativas tienen mucha importancia en la educación virtual. De esta forma, el wiki es una herramienta colaborativa que permite ir conjuntando en una página o varias los aportes que todas las personas del curso van creando juntas. Se desarrolla en la sesión 10. Tiene un valor de 5%.</w:t>
      </w:r>
    </w:p>
    <w:p w14:paraId="221819A2" w14:textId="77777777" w:rsidR="0076384B" w:rsidRDefault="0076384B" w:rsidP="002F11FD">
      <w:pPr>
        <w:jc w:val="center"/>
        <w:rPr>
          <w:rFonts w:cstheme="minorHAnsi"/>
        </w:rPr>
      </w:pPr>
    </w:p>
    <w:p w14:paraId="119C2CDA" w14:textId="77777777" w:rsidR="0076384B" w:rsidRDefault="0076384B" w:rsidP="002F11FD">
      <w:pPr>
        <w:jc w:val="center"/>
        <w:rPr>
          <w:rFonts w:cstheme="minorHAnsi"/>
        </w:rPr>
      </w:pPr>
      <w:r>
        <w:rPr>
          <w:rFonts w:cstheme="minorHAnsi"/>
          <w:noProof/>
        </w:rPr>
        <w:drawing>
          <wp:anchor distT="0" distB="0" distL="114300" distR="114300" simplePos="0" relativeHeight="252169216" behindDoc="0" locked="0" layoutInCell="1" allowOverlap="1" wp14:anchorId="0E0929EC" wp14:editId="1099F743">
            <wp:simplePos x="0" y="0"/>
            <wp:positionH relativeFrom="margin">
              <wp:align>center</wp:align>
            </wp:positionH>
            <wp:positionV relativeFrom="paragraph">
              <wp:posOffset>183832</wp:posOffset>
            </wp:positionV>
            <wp:extent cx="8257540" cy="4167505"/>
            <wp:effectExtent l="0" t="0" r="0" b="4445"/>
            <wp:wrapNone/>
            <wp:docPr id="115104086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040867" name="Imagen 2" descr="Tabla&#10;&#10;Descripción generada automáticamente"/>
                    <pic:cNvPicPr/>
                  </pic:nvPicPr>
                  <pic:blipFill>
                    <a:blip r:embed="rId78">
                      <a:extLst>
                        <a:ext uri="{28A0092B-C50C-407E-A947-70E740481C1C}">
                          <a14:useLocalDpi xmlns:a14="http://schemas.microsoft.com/office/drawing/2010/main" val="0"/>
                        </a:ext>
                      </a:extLst>
                    </a:blip>
                    <a:stretch>
                      <a:fillRect/>
                    </a:stretch>
                  </pic:blipFill>
                  <pic:spPr>
                    <a:xfrm>
                      <a:off x="0" y="0"/>
                      <a:ext cx="8257540" cy="4167505"/>
                    </a:xfrm>
                    <a:prstGeom prst="rect">
                      <a:avLst/>
                    </a:prstGeom>
                  </pic:spPr>
                </pic:pic>
              </a:graphicData>
            </a:graphic>
          </wp:anchor>
        </w:drawing>
      </w:r>
    </w:p>
    <w:p w14:paraId="2F71683C" w14:textId="77777777" w:rsidR="0076384B" w:rsidRDefault="0076384B" w:rsidP="002F11FD">
      <w:pPr>
        <w:jc w:val="center"/>
        <w:rPr>
          <w:rFonts w:cstheme="minorHAnsi"/>
        </w:rPr>
      </w:pPr>
    </w:p>
    <w:p w14:paraId="2CB892C0" w14:textId="77777777" w:rsidR="0076384B" w:rsidRPr="002F11FD" w:rsidRDefault="0076384B" w:rsidP="002F11FD">
      <w:pPr>
        <w:jc w:val="center"/>
        <w:rPr>
          <w:rFonts w:cstheme="minorHAnsi"/>
        </w:rPr>
      </w:pPr>
    </w:p>
    <w:p w14:paraId="3FE29822" w14:textId="77777777" w:rsidR="0076384B" w:rsidRDefault="0076384B" w:rsidP="7B60EACE">
      <w:r>
        <w:br w:type="page"/>
      </w:r>
    </w:p>
    <w:p w14:paraId="72F315A8" w14:textId="77777777" w:rsidR="0076384B" w:rsidRDefault="0076384B" w:rsidP="00AC4E2F">
      <w:r>
        <w:rPr>
          <w:noProof/>
        </w:rPr>
        <w:lastRenderedPageBreak/>
        <mc:AlternateContent>
          <mc:Choice Requires="wps">
            <w:drawing>
              <wp:anchor distT="0" distB="0" distL="114300" distR="114300" simplePos="0" relativeHeight="252170240" behindDoc="0" locked="0" layoutInCell="1" allowOverlap="1" wp14:anchorId="7DAF857A" wp14:editId="51A085BE">
                <wp:simplePos x="0" y="0"/>
                <wp:positionH relativeFrom="margin">
                  <wp:align>center</wp:align>
                </wp:positionH>
                <wp:positionV relativeFrom="paragraph">
                  <wp:posOffset>-114618</wp:posOffset>
                </wp:positionV>
                <wp:extent cx="6606540" cy="411480"/>
                <wp:effectExtent l="0" t="0" r="22860" b="26670"/>
                <wp:wrapNone/>
                <wp:docPr id="723258188"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6AD46EC1" w14:textId="77777777" w:rsidR="0076384B" w:rsidRDefault="0076384B" w:rsidP="00443223">
                            <w:pPr>
                              <w:jc w:val="center"/>
                              <w:rPr>
                                <w:rFonts w:cstheme="minorHAnsi"/>
                              </w:rPr>
                            </w:pPr>
                            <w:r>
                              <w:rPr>
                                <w:rFonts w:cstheme="minorHAnsi"/>
                                <w:b/>
                              </w:rPr>
                              <w:t>RÚBRICA DE EVALUACIÓN – DIARIO REFLEXIVO</w:t>
                            </w:r>
                          </w:p>
                          <w:p w14:paraId="72A9D14E" w14:textId="77777777" w:rsidR="0076384B" w:rsidRPr="00C25376" w:rsidRDefault="0076384B" w:rsidP="00443223">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AF857A" id="Cuadro de texto 1" o:spid="_x0000_s1056" type="#_x0000_t202" style="position:absolute;margin-left:0;margin-top:-9.05pt;width:520.2pt;height:32.4pt;z-index:2521702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" fillcolor="white [3201]" strokeweight=".5pt">
                <v:textbox>
                  <w:txbxContent>
                    <w:p w14:paraId="6AD46EC1" w14:textId="77777777" w:rsidR="0076384B" w:rsidRDefault="0076384B" w:rsidP="00443223">
                      <w:pPr>
                        <w:jc w:val="center"/>
                        <w:rPr>
                          <w:rFonts w:cstheme="minorHAnsi"/>
                        </w:rPr>
                      </w:pPr>
                      <w:r>
                        <w:rPr>
                          <w:rFonts w:cstheme="minorHAnsi"/>
                          <w:b/>
                        </w:rPr>
                        <w:t>RÚBRICA DE EVALUACIÓN – DIARIO REFLEXIVO</w:t>
                      </w:r>
                    </w:p>
                    <w:p w14:paraId="72A9D14E" w14:textId="77777777" w:rsidR="0076384B" w:rsidRPr="00C25376" w:rsidRDefault="0076384B" w:rsidP="00443223">
                      <w:pPr>
                        <w:jc w:val="center"/>
                        <w:rPr>
                          <w:rFonts w:cstheme="minorHAnsi"/>
                        </w:rPr>
                      </w:pPr>
                    </w:p>
                  </w:txbxContent>
                </v:textbox>
                <w10:wrap anchorx="margin"/>
              </v:shape>
            </w:pict>
          </mc:Fallback>
        </mc:AlternateContent>
      </w:r>
    </w:p>
    <w:p w14:paraId="7292CEE8" w14:textId="77777777" w:rsidR="0076384B" w:rsidRDefault="0076384B" w:rsidP="00AC4E2F"/>
    <w:p w14:paraId="0518844F" w14:textId="77777777" w:rsidR="0076384B" w:rsidRPr="00AF2899" w:rsidRDefault="0076384B" w:rsidP="00AC4E2F">
      <w:pPr>
        <w:jc w:val="center"/>
        <w:rPr>
          <w:rFonts w:cstheme="minorHAnsi"/>
          <w:color w:val="0070C0"/>
        </w:rPr>
      </w:pPr>
      <w:r w:rsidRPr="00AF2899">
        <w:rPr>
          <w:rFonts w:cstheme="minorHAnsi"/>
          <w:color w:val="0070C0"/>
        </w:rPr>
        <w:t>Como un recurso para la sistematización propia e internalización del conocimiento de manera que sea significativo, se utiliza la estrategia didáctica denominada diario reflexivo. Se elabora en las sesiones 2 y 3 y vale un 20%.</w:t>
      </w:r>
    </w:p>
    <w:p w14:paraId="18987F14" w14:textId="6074C9C4" w:rsidR="0076384B" w:rsidRDefault="007D5474" w:rsidP="00AC4E2F">
      <w:pPr>
        <w:jc w:val="center"/>
        <w:rPr>
          <w:rFonts w:cstheme="minorHAnsi"/>
        </w:rPr>
      </w:pPr>
      <w:r>
        <w:rPr>
          <w:noProof/>
        </w:rPr>
        <w:drawing>
          <wp:anchor distT="0" distB="0" distL="114300" distR="114300" simplePos="0" relativeHeight="252171264" behindDoc="0" locked="0" layoutInCell="1" allowOverlap="1" wp14:anchorId="16379D92" wp14:editId="7B6D4FB9">
            <wp:simplePos x="0" y="0"/>
            <wp:positionH relativeFrom="margin">
              <wp:align>right</wp:align>
            </wp:positionH>
            <wp:positionV relativeFrom="paragraph">
              <wp:posOffset>181898</wp:posOffset>
            </wp:positionV>
            <wp:extent cx="9144000" cy="5027930"/>
            <wp:effectExtent l="0" t="0" r="0" b="1270"/>
            <wp:wrapNone/>
            <wp:docPr id="45721553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15531" name="Imagen 3" descr="Tabla&#10;&#10;Descripción generada automáticamente"/>
                    <pic:cNvPicPr/>
                  </pic:nvPicPr>
                  <pic:blipFill>
                    <a:blip r:embed="rId79">
                      <a:extLst>
                        <a:ext uri="{28A0092B-C50C-407E-A947-70E740481C1C}">
                          <a14:useLocalDpi xmlns:a14="http://schemas.microsoft.com/office/drawing/2010/main" val="0"/>
                        </a:ext>
                      </a:extLst>
                    </a:blip>
                    <a:stretch>
                      <a:fillRect/>
                    </a:stretch>
                  </pic:blipFill>
                  <pic:spPr>
                    <a:xfrm>
                      <a:off x="0" y="0"/>
                      <a:ext cx="9144000" cy="5027930"/>
                    </a:xfrm>
                    <a:prstGeom prst="rect">
                      <a:avLst/>
                    </a:prstGeom>
                  </pic:spPr>
                </pic:pic>
              </a:graphicData>
            </a:graphic>
          </wp:anchor>
        </w:drawing>
      </w:r>
    </w:p>
    <w:p w14:paraId="2D4FD478" w14:textId="7A170702" w:rsidR="0076384B" w:rsidRDefault="0076384B" w:rsidP="00AC4E2F">
      <w:pPr>
        <w:jc w:val="center"/>
      </w:pPr>
    </w:p>
    <w:p w14:paraId="6A96CDE4" w14:textId="77777777" w:rsidR="0076384B" w:rsidRDefault="0076384B" w:rsidP="00AC4E2F">
      <w:pPr>
        <w:jc w:val="center"/>
      </w:pPr>
    </w:p>
    <w:p w14:paraId="36659CEA" w14:textId="77777777" w:rsidR="0076384B" w:rsidRDefault="0076384B" w:rsidP="00AC4E2F">
      <w:pPr>
        <w:jc w:val="center"/>
      </w:pPr>
    </w:p>
    <w:p w14:paraId="734184DC" w14:textId="77777777" w:rsidR="0076384B" w:rsidRDefault="0076384B" w:rsidP="00AC4E2F">
      <w:pPr>
        <w:jc w:val="center"/>
      </w:pPr>
    </w:p>
    <w:p w14:paraId="3392F38B" w14:textId="77777777" w:rsidR="0076384B" w:rsidRDefault="0076384B" w:rsidP="00AC4E2F">
      <w:pPr>
        <w:jc w:val="center"/>
      </w:pPr>
    </w:p>
    <w:p w14:paraId="2795ECA5" w14:textId="77777777" w:rsidR="0076384B" w:rsidRDefault="0076384B" w:rsidP="00AC4E2F">
      <w:pPr>
        <w:jc w:val="center"/>
      </w:pPr>
    </w:p>
    <w:p w14:paraId="3DA444EB" w14:textId="77777777" w:rsidR="0076384B" w:rsidRDefault="0076384B" w:rsidP="00AC4E2F">
      <w:pPr>
        <w:jc w:val="center"/>
      </w:pPr>
    </w:p>
    <w:p w14:paraId="61F4B014" w14:textId="77777777" w:rsidR="0076384B" w:rsidRDefault="0076384B" w:rsidP="00AC4E2F">
      <w:pPr>
        <w:jc w:val="center"/>
      </w:pPr>
    </w:p>
    <w:p w14:paraId="0313DEC3" w14:textId="77777777" w:rsidR="0076384B" w:rsidRDefault="0076384B" w:rsidP="00AC4E2F">
      <w:pPr>
        <w:jc w:val="center"/>
      </w:pPr>
    </w:p>
    <w:p w14:paraId="2C559D1B" w14:textId="77777777" w:rsidR="0076384B" w:rsidRDefault="0076384B" w:rsidP="00AC4E2F">
      <w:pPr>
        <w:jc w:val="center"/>
      </w:pPr>
    </w:p>
    <w:p w14:paraId="6B78EC7A" w14:textId="77777777" w:rsidR="0076384B" w:rsidRDefault="0076384B" w:rsidP="00AC4E2F">
      <w:pPr>
        <w:jc w:val="center"/>
      </w:pPr>
    </w:p>
    <w:p w14:paraId="1914E2BC" w14:textId="77777777" w:rsidR="0076384B" w:rsidRDefault="0076384B" w:rsidP="00AC4E2F">
      <w:pPr>
        <w:jc w:val="center"/>
      </w:pPr>
    </w:p>
    <w:p w14:paraId="514AF4AD" w14:textId="77777777" w:rsidR="0076384B" w:rsidRDefault="0076384B" w:rsidP="00AC4E2F">
      <w:pPr>
        <w:jc w:val="center"/>
      </w:pPr>
    </w:p>
    <w:p w14:paraId="43997B65" w14:textId="77777777" w:rsidR="0076384B" w:rsidRDefault="0076384B" w:rsidP="00AC4E2F">
      <w:pPr>
        <w:jc w:val="center"/>
      </w:pPr>
    </w:p>
    <w:p w14:paraId="721FB6C4" w14:textId="77777777" w:rsidR="0076384B" w:rsidRDefault="0076384B" w:rsidP="00AC4E2F">
      <w:pPr>
        <w:jc w:val="center"/>
      </w:pPr>
    </w:p>
    <w:p w14:paraId="45B37EAE" w14:textId="77777777" w:rsidR="0076384B" w:rsidRDefault="0076384B" w:rsidP="00AC4E2F">
      <w:pPr>
        <w:jc w:val="center"/>
      </w:pPr>
    </w:p>
    <w:p w14:paraId="120FAE42" w14:textId="77777777" w:rsidR="0076384B" w:rsidRDefault="0076384B" w:rsidP="00AC4E2F">
      <w:pPr>
        <w:jc w:val="center"/>
      </w:pPr>
    </w:p>
    <w:p w14:paraId="7E9CD3AB" w14:textId="77777777" w:rsidR="0076384B" w:rsidRDefault="0076384B" w:rsidP="00AC4E2F">
      <w:pPr>
        <w:jc w:val="center"/>
      </w:pPr>
    </w:p>
    <w:p w14:paraId="61714214" w14:textId="77777777" w:rsidR="0076384B" w:rsidRDefault="0076384B" w:rsidP="00AC4E2F">
      <w:pPr>
        <w:jc w:val="center"/>
      </w:pPr>
    </w:p>
    <w:p w14:paraId="5100D5F4" w14:textId="3FC1DAC0" w:rsidR="0076384B" w:rsidRDefault="00CB6942" w:rsidP="00AC4E2F">
      <w:pPr>
        <w:jc w:val="center"/>
      </w:pPr>
      <w:r>
        <w:rPr>
          <w:noProof/>
        </w:rPr>
        <w:lastRenderedPageBreak/>
        <mc:AlternateContent>
          <mc:Choice Requires="wps">
            <w:drawing>
              <wp:anchor distT="0" distB="0" distL="114300" distR="114300" simplePos="0" relativeHeight="252172288" behindDoc="0" locked="0" layoutInCell="1" allowOverlap="1" wp14:anchorId="3F469F94" wp14:editId="09095BA1">
                <wp:simplePos x="0" y="0"/>
                <wp:positionH relativeFrom="margin">
                  <wp:posOffset>1188027</wp:posOffset>
                </wp:positionH>
                <wp:positionV relativeFrom="paragraph">
                  <wp:posOffset>8890</wp:posOffset>
                </wp:positionV>
                <wp:extent cx="6606540" cy="411480"/>
                <wp:effectExtent l="0" t="0" r="22860" b="26670"/>
                <wp:wrapNone/>
                <wp:docPr id="590667504"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704C265D" w14:textId="77777777" w:rsidR="0076384B" w:rsidRPr="00C25376" w:rsidRDefault="0076384B" w:rsidP="00E222E5">
                            <w:pPr>
                              <w:jc w:val="center"/>
                              <w:rPr>
                                <w:rFonts w:cstheme="minorHAnsi"/>
                              </w:rPr>
                            </w:pPr>
                            <w:r w:rsidRPr="00C25376">
                              <w:rPr>
                                <w:rFonts w:cstheme="minorHAnsi"/>
                                <w:b/>
                              </w:rPr>
                              <w:t>RÚBRICA DE EVALUACIÓN</w:t>
                            </w:r>
                            <w:r>
                              <w:rPr>
                                <w:rFonts w:cstheme="minorHAnsi"/>
                                <w:b/>
                              </w:rPr>
                              <w:t xml:space="preserve"> – ENSAYO</w:t>
                            </w:r>
                          </w:p>
                          <w:p w14:paraId="3468B11A" w14:textId="77777777" w:rsidR="0076384B" w:rsidRPr="00C25376" w:rsidRDefault="0076384B" w:rsidP="00E222E5">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469F94" id="_x0000_s1057" type="#_x0000_t202" style="position:absolute;left:0;text-align:left;margin-left:93.55pt;margin-top:.7pt;width:520.2pt;height:32.4pt;z-index:252172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FuiOgIAAIQEAAAOAAAAZHJzL2Uyb0RvYy54bWysVE1v2zAMvQ/YfxB0X2ynS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" fillcolor="white [3201]" strokeweight=".5pt">
                <v:textbox>
                  <w:txbxContent>
                    <w:p w14:paraId="704C265D" w14:textId="77777777" w:rsidR="0076384B" w:rsidRPr="00C25376" w:rsidRDefault="0076384B" w:rsidP="00E222E5">
                      <w:pPr>
                        <w:jc w:val="center"/>
                        <w:rPr>
                          <w:rFonts w:cstheme="minorHAnsi"/>
                        </w:rPr>
                      </w:pPr>
                      <w:r w:rsidRPr="00C25376">
                        <w:rPr>
                          <w:rFonts w:cstheme="minorHAnsi"/>
                          <w:b/>
                        </w:rPr>
                        <w:t>RÚBRICA DE EVALUACIÓN</w:t>
                      </w:r>
                      <w:r>
                        <w:rPr>
                          <w:rFonts w:cstheme="minorHAnsi"/>
                          <w:b/>
                        </w:rPr>
                        <w:t xml:space="preserve"> – ENSAYO</w:t>
                      </w:r>
                    </w:p>
                    <w:p w14:paraId="3468B11A" w14:textId="77777777" w:rsidR="0076384B" w:rsidRPr="00C25376" w:rsidRDefault="0076384B" w:rsidP="00E222E5">
                      <w:pPr>
                        <w:jc w:val="center"/>
                        <w:rPr>
                          <w:rFonts w:cstheme="minorHAnsi"/>
                        </w:rPr>
                      </w:pPr>
                    </w:p>
                  </w:txbxContent>
                </v:textbox>
                <w10:wrap anchorx="margin"/>
              </v:shape>
            </w:pict>
          </mc:Fallback>
        </mc:AlternateContent>
      </w:r>
    </w:p>
    <w:p w14:paraId="281CBF91" w14:textId="77777777" w:rsidR="0076384B" w:rsidRDefault="0076384B" w:rsidP="00AC4E2F">
      <w:pPr>
        <w:jc w:val="center"/>
      </w:pPr>
    </w:p>
    <w:p w14:paraId="0CB4E731" w14:textId="77777777" w:rsidR="0076384B" w:rsidRPr="00AF2899" w:rsidRDefault="0076384B" w:rsidP="00D3672E">
      <w:pPr>
        <w:jc w:val="center"/>
        <w:rPr>
          <w:rFonts w:cstheme="minorHAnsi"/>
          <w:color w:val="0070C0"/>
        </w:rPr>
      </w:pPr>
      <w:r w:rsidRPr="00AF2899">
        <w:rPr>
          <w:rFonts w:cstheme="minorHAnsi"/>
          <w:color w:val="0070C0"/>
        </w:rPr>
        <w:t>En torno a una introducción, un desarrollo y una conclusión, así como a referencias bibliográficas (estilo Chicago-Deusto), las personas estudiantes desarrollan en este curso tres ensayos que constituyen ejercicios de producción académica. Se distribuyen de la siguiente forma: 1. Ensayo sobre la historia de Israel y la iglesia primitiva (sesiones 4 y 5). Tiene un valor de 10%. 2. Ensayo de reflexión sobre la transmisión y traducción de los textos de la Biblia hebrea y el Nuevo Testamento (sesiones 9, 10 y 11). Tiene un valor de 10%. 3. Ensayo de síntesis final del curso (sesiones 12, 13 y 14). Tiene un valor de 20%.</w:t>
      </w:r>
    </w:p>
    <w:p w14:paraId="4B931F1B" w14:textId="00504F38" w:rsidR="0076384B" w:rsidRDefault="00CB6942" w:rsidP="00D3672E">
      <w:pPr>
        <w:jc w:val="center"/>
        <w:rPr>
          <w:rFonts w:cstheme="minorHAnsi"/>
        </w:rPr>
      </w:pPr>
      <w:r>
        <w:rPr>
          <w:rFonts w:cstheme="minorHAnsi"/>
          <w:noProof/>
        </w:rPr>
        <w:drawing>
          <wp:anchor distT="0" distB="0" distL="114300" distR="114300" simplePos="0" relativeHeight="252173312" behindDoc="0" locked="0" layoutInCell="1" allowOverlap="1" wp14:anchorId="1C0B3600" wp14:editId="44FAA3BC">
            <wp:simplePos x="0" y="0"/>
            <wp:positionH relativeFrom="margin">
              <wp:posOffset>-96751</wp:posOffset>
            </wp:positionH>
            <wp:positionV relativeFrom="paragraph">
              <wp:posOffset>8082</wp:posOffset>
            </wp:positionV>
            <wp:extent cx="9144000" cy="5403850"/>
            <wp:effectExtent l="0" t="0" r="0" b="6350"/>
            <wp:wrapNone/>
            <wp:docPr id="1133844240"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44240" name="Imagen 4" descr="Tabla&#10;&#10;Descripción generada automáticamente"/>
                    <pic:cNvPicPr/>
                  </pic:nvPicPr>
                  <pic:blipFill>
                    <a:blip r:embed="rId80">
                      <a:extLst>
                        <a:ext uri="{28A0092B-C50C-407E-A947-70E740481C1C}">
                          <a14:useLocalDpi xmlns:a14="http://schemas.microsoft.com/office/drawing/2010/main" val="0"/>
                        </a:ext>
                      </a:extLst>
                    </a:blip>
                    <a:stretch>
                      <a:fillRect/>
                    </a:stretch>
                  </pic:blipFill>
                  <pic:spPr>
                    <a:xfrm>
                      <a:off x="0" y="0"/>
                      <a:ext cx="9144000" cy="5403850"/>
                    </a:xfrm>
                    <a:prstGeom prst="rect">
                      <a:avLst/>
                    </a:prstGeom>
                  </pic:spPr>
                </pic:pic>
              </a:graphicData>
            </a:graphic>
          </wp:anchor>
        </w:drawing>
      </w:r>
    </w:p>
    <w:p w14:paraId="661D1B75" w14:textId="2B8DF72D" w:rsidR="0076384B" w:rsidRDefault="0076384B" w:rsidP="00D3672E">
      <w:pPr>
        <w:jc w:val="center"/>
        <w:rPr>
          <w:rFonts w:cstheme="minorHAnsi"/>
        </w:rPr>
      </w:pPr>
    </w:p>
    <w:p w14:paraId="05B350BE" w14:textId="12FBB99A" w:rsidR="0076384B" w:rsidRDefault="0076384B" w:rsidP="00D3672E">
      <w:pPr>
        <w:jc w:val="center"/>
        <w:rPr>
          <w:rFonts w:cstheme="minorHAnsi"/>
        </w:rPr>
      </w:pPr>
    </w:p>
    <w:p w14:paraId="4B2D3874" w14:textId="78E5E251" w:rsidR="0076384B" w:rsidRDefault="0076384B" w:rsidP="00D3672E">
      <w:pPr>
        <w:jc w:val="center"/>
        <w:rPr>
          <w:rFonts w:cstheme="minorHAnsi"/>
        </w:rPr>
      </w:pPr>
    </w:p>
    <w:p w14:paraId="20DB9328" w14:textId="0BECD214" w:rsidR="0076384B" w:rsidRDefault="0076384B" w:rsidP="00D3672E">
      <w:pPr>
        <w:jc w:val="center"/>
        <w:rPr>
          <w:rFonts w:cstheme="minorHAnsi"/>
        </w:rPr>
      </w:pPr>
    </w:p>
    <w:p w14:paraId="22A93748" w14:textId="77777777" w:rsidR="0076384B" w:rsidRDefault="0076384B" w:rsidP="00D3672E">
      <w:pPr>
        <w:jc w:val="center"/>
        <w:rPr>
          <w:rFonts w:cstheme="minorHAnsi"/>
        </w:rPr>
      </w:pPr>
    </w:p>
    <w:p w14:paraId="50BA7F26" w14:textId="77777777" w:rsidR="0076384B" w:rsidRDefault="0076384B" w:rsidP="00D3672E">
      <w:pPr>
        <w:jc w:val="center"/>
        <w:rPr>
          <w:rFonts w:cstheme="minorHAnsi"/>
        </w:rPr>
      </w:pPr>
    </w:p>
    <w:p w14:paraId="1DACC546" w14:textId="77777777" w:rsidR="0076384B" w:rsidRDefault="0076384B" w:rsidP="00D3672E">
      <w:pPr>
        <w:jc w:val="center"/>
        <w:rPr>
          <w:rFonts w:cstheme="minorHAnsi"/>
        </w:rPr>
      </w:pPr>
    </w:p>
    <w:p w14:paraId="0818DA90" w14:textId="77777777" w:rsidR="0076384B" w:rsidRDefault="0076384B" w:rsidP="00D3672E">
      <w:pPr>
        <w:jc w:val="center"/>
        <w:rPr>
          <w:rFonts w:cstheme="minorHAnsi"/>
        </w:rPr>
      </w:pPr>
    </w:p>
    <w:p w14:paraId="3C856868" w14:textId="77777777" w:rsidR="0076384B" w:rsidRDefault="0076384B" w:rsidP="00D3672E">
      <w:pPr>
        <w:jc w:val="center"/>
        <w:rPr>
          <w:rFonts w:cstheme="minorHAnsi"/>
        </w:rPr>
      </w:pPr>
    </w:p>
    <w:p w14:paraId="65032A0E" w14:textId="77777777" w:rsidR="0076384B" w:rsidRDefault="0076384B" w:rsidP="00D3672E">
      <w:pPr>
        <w:jc w:val="center"/>
        <w:rPr>
          <w:rFonts w:cstheme="minorHAnsi"/>
        </w:rPr>
      </w:pPr>
    </w:p>
    <w:p w14:paraId="457157D7" w14:textId="77777777" w:rsidR="0076384B" w:rsidRDefault="0076384B" w:rsidP="00D3672E">
      <w:pPr>
        <w:jc w:val="center"/>
        <w:rPr>
          <w:rFonts w:cstheme="minorHAnsi"/>
        </w:rPr>
      </w:pPr>
    </w:p>
    <w:p w14:paraId="2843BD81" w14:textId="77777777" w:rsidR="0076384B" w:rsidRDefault="0076384B" w:rsidP="00D3672E">
      <w:pPr>
        <w:jc w:val="center"/>
        <w:rPr>
          <w:rFonts w:cstheme="minorHAnsi"/>
        </w:rPr>
      </w:pPr>
    </w:p>
    <w:p w14:paraId="49C9D501" w14:textId="77777777" w:rsidR="0076384B" w:rsidRDefault="0076384B" w:rsidP="00D3672E">
      <w:pPr>
        <w:jc w:val="center"/>
        <w:rPr>
          <w:rFonts w:cstheme="minorHAnsi"/>
        </w:rPr>
      </w:pPr>
    </w:p>
    <w:p w14:paraId="5EFD6AB7" w14:textId="77777777" w:rsidR="0076384B" w:rsidRDefault="0076384B" w:rsidP="00D3672E">
      <w:pPr>
        <w:jc w:val="center"/>
        <w:rPr>
          <w:rFonts w:cstheme="minorHAnsi"/>
        </w:rPr>
      </w:pPr>
    </w:p>
    <w:p w14:paraId="007EFBE9" w14:textId="45C9D4A4" w:rsidR="0076384B" w:rsidRDefault="0076384B" w:rsidP="00D3672E">
      <w:pPr>
        <w:jc w:val="center"/>
        <w:rPr>
          <w:rFonts w:cstheme="minorHAnsi"/>
        </w:rPr>
      </w:pPr>
    </w:p>
    <w:p w14:paraId="2292C674" w14:textId="0469C0A6" w:rsidR="0076384B" w:rsidRDefault="0076384B" w:rsidP="00D3672E">
      <w:pPr>
        <w:jc w:val="center"/>
        <w:rPr>
          <w:rFonts w:cstheme="minorHAnsi"/>
        </w:rPr>
      </w:pPr>
    </w:p>
    <w:p w14:paraId="598FC964" w14:textId="053E495E" w:rsidR="00CB6942" w:rsidRDefault="00CB6942" w:rsidP="00D3672E">
      <w:pPr>
        <w:jc w:val="center"/>
        <w:rPr>
          <w:rFonts w:cstheme="minorHAnsi"/>
          <w:color w:val="0070C0"/>
        </w:rPr>
      </w:pPr>
    </w:p>
    <w:p w14:paraId="092650CD" w14:textId="29FCB8C3" w:rsidR="00CB6942" w:rsidRDefault="00CB6942" w:rsidP="00D3672E">
      <w:pPr>
        <w:jc w:val="center"/>
        <w:rPr>
          <w:rFonts w:cstheme="minorHAnsi"/>
          <w:color w:val="0070C0"/>
        </w:rPr>
      </w:pPr>
    </w:p>
    <w:p w14:paraId="25F9858E" w14:textId="7B52670F" w:rsidR="00CB6942" w:rsidRDefault="00CB6942" w:rsidP="00D3672E">
      <w:pPr>
        <w:jc w:val="center"/>
        <w:rPr>
          <w:rFonts w:cstheme="minorHAnsi"/>
          <w:color w:val="0070C0"/>
        </w:rPr>
      </w:pPr>
      <w:r>
        <w:rPr>
          <w:noProof/>
        </w:rPr>
        <mc:AlternateContent>
          <mc:Choice Requires="wps">
            <w:drawing>
              <wp:anchor distT="0" distB="0" distL="114300" distR="114300" simplePos="0" relativeHeight="252174336" behindDoc="0" locked="0" layoutInCell="1" allowOverlap="1" wp14:anchorId="6AB3DC0E" wp14:editId="6DE995FE">
                <wp:simplePos x="0" y="0"/>
                <wp:positionH relativeFrom="margin">
                  <wp:posOffset>1360228</wp:posOffset>
                </wp:positionH>
                <wp:positionV relativeFrom="paragraph">
                  <wp:posOffset>289</wp:posOffset>
                </wp:positionV>
                <wp:extent cx="6606540" cy="411480"/>
                <wp:effectExtent l="0" t="0" r="22860" b="26670"/>
                <wp:wrapNone/>
                <wp:docPr id="1399874417"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69CC3C31" w14:textId="77777777" w:rsidR="0076384B" w:rsidRPr="00C25376" w:rsidRDefault="0076384B" w:rsidP="00E35C6D">
                            <w:pPr>
                              <w:jc w:val="center"/>
                              <w:rPr>
                                <w:rFonts w:cstheme="minorHAnsi"/>
                              </w:rPr>
                            </w:pPr>
                            <w:r w:rsidRPr="00C25376">
                              <w:rPr>
                                <w:rFonts w:cstheme="minorHAnsi"/>
                                <w:b/>
                              </w:rPr>
                              <w:t>RÚBRICA DE EVALUACIÓN</w:t>
                            </w:r>
                            <w:r>
                              <w:rPr>
                                <w:rFonts w:cstheme="minorHAnsi"/>
                                <w:b/>
                              </w:rPr>
                              <w:t xml:space="preserve"> – GLOSARIO DE CRÍTICA TEXTUAL</w:t>
                            </w:r>
                          </w:p>
                          <w:p w14:paraId="5B2E208E" w14:textId="77777777" w:rsidR="0076384B" w:rsidRPr="00C25376" w:rsidRDefault="0076384B" w:rsidP="00E35C6D">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B3DC0E" id="_x0000_s1058" type="#_x0000_t202" style="position:absolute;left:0;text-align:left;margin-left:107.1pt;margin-top:0;width:520.2pt;height:32.4pt;z-index:252174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" fillcolor="white [3201]" strokeweight=".5pt">
                <v:textbox>
                  <w:txbxContent>
                    <w:p w14:paraId="69CC3C31" w14:textId="77777777" w:rsidR="0076384B" w:rsidRPr="00C25376" w:rsidRDefault="0076384B" w:rsidP="00E35C6D">
                      <w:pPr>
                        <w:jc w:val="center"/>
                        <w:rPr>
                          <w:rFonts w:cstheme="minorHAnsi"/>
                        </w:rPr>
                      </w:pPr>
                      <w:r w:rsidRPr="00C25376">
                        <w:rPr>
                          <w:rFonts w:cstheme="minorHAnsi"/>
                          <w:b/>
                        </w:rPr>
                        <w:t>RÚBRICA DE EVALUACIÓN</w:t>
                      </w:r>
                      <w:r>
                        <w:rPr>
                          <w:rFonts w:cstheme="minorHAnsi"/>
                          <w:b/>
                        </w:rPr>
                        <w:t xml:space="preserve"> – GLOSARIO DE CRÍTICA TEXTUAL</w:t>
                      </w:r>
                    </w:p>
                    <w:p w14:paraId="5B2E208E" w14:textId="77777777" w:rsidR="0076384B" w:rsidRPr="00C25376" w:rsidRDefault="0076384B" w:rsidP="00E35C6D">
                      <w:pPr>
                        <w:jc w:val="center"/>
                        <w:rPr>
                          <w:rFonts w:cstheme="minorHAnsi"/>
                        </w:rPr>
                      </w:pPr>
                    </w:p>
                  </w:txbxContent>
                </v:textbox>
                <w10:wrap anchorx="margin"/>
              </v:shape>
            </w:pict>
          </mc:Fallback>
        </mc:AlternateContent>
      </w:r>
    </w:p>
    <w:p w14:paraId="36267613" w14:textId="77777777" w:rsidR="00CB6942" w:rsidRDefault="00CB6942" w:rsidP="00D3672E">
      <w:pPr>
        <w:jc w:val="center"/>
        <w:rPr>
          <w:rFonts w:cstheme="minorHAnsi"/>
          <w:color w:val="0070C0"/>
        </w:rPr>
      </w:pPr>
    </w:p>
    <w:p w14:paraId="2B2DB873" w14:textId="2348AD20" w:rsidR="0076384B" w:rsidRPr="00AF2899" w:rsidRDefault="0076384B" w:rsidP="00D3672E">
      <w:pPr>
        <w:jc w:val="center"/>
        <w:rPr>
          <w:rFonts w:cstheme="minorHAnsi"/>
          <w:color w:val="0070C0"/>
        </w:rPr>
      </w:pPr>
      <w:r w:rsidRPr="00AF2899">
        <w:rPr>
          <w:rFonts w:cstheme="minorHAnsi"/>
          <w:color w:val="0070C0"/>
        </w:rPr>
        <w:t>En este curso, las personas estudiantes desarrollarán un glosario de la terminología básica de la crítica textual tanto del Antiguo Testamento y del Nuevo Testamento. Se desarrolla en las sesiones 6 y 7 y vale 20%.</w:t>
      </w:r>
    </w:p>
    <w:p w14:paraId="57644C51" w14:textId="77777777" w:rsidR="0076384B" w:rsidRDefault="0076384B" w:rsidP="00D3672E">
      <w:pPr>
        <w:jc w:val="center"/>
        <w:rPr>
          <w:rFonts w:cstheme="minorHAnsi"/>
        </w:rPr>
      </w:pPr>
      <w:r>
        <w:rPr>
          <w:rFonts w:cstheme="minorHAnsi"/>
          <w:noProof/>
        </w:rPr>
        <w:drawing>
          <wp:anchor distT="0" distB="0" distL="114300" distR="114300" simplePos="0" relativeHeight="252175360" behindDoc="0" locked="0" layoutInCell="1" allowOverlap="1" wp14:anchorId="5E10E60B" wp14:editId="49560B96">
            <wp:simplePos x="0" y="0"/>
            <wp:positionH relativeFrom="column">
              <wp:posOffset>0</wp:posOffset>
            </wp:positionH>
            <wp:positionV relativeFrom="paragraph">
              <wp:posOffset>77153</wp:posOffset>
            </wp:positionV>
            <wp:extent cx="9144000" cy="4978400"/>
            <wp:effectExtent l="0" t="0" r="0" b="0"/>
            <wp:wrapNone/>
            <wp:docPr id="1416424180"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424180" name="Imagen 5" descr="Tabla&#10;&#10;Descripción generada automáticamente"/>
                    <pic:cNvPicPr/>
                  </pic:nvPicPr>
                  <pic:blipFill>
                    <a:blip r:embed="rId81">
                      <a:extLst>
                        <a:ext uri="{28A0092B-C50C-407E-A947-70E740481C1C}">
                          <a14:useLocalDpi xmlns:a14="http://schemas.microsoft.com/office/drawing/2010/main" val="0"/>
                        </a:ext>
                      </a:extLst>
                    </a:blip>
                    <a:stretch>
                      <a:fillRect/>
                    </a:stretch>
                  </pic:blipFill>
                  <pic:spPr>
                    <a:xfrm>
                      <a:off x="0" y="0"/>
                      <a:ext cx="9144000" cy="4978400"/>
                    </a:xfrm>
                    <a:prstGeom prst="rect">
                      <a:avLst/>
                    </a:prstGeom>
                  </pic:spPr>
                </pic:pic>
              </a:graphicData>
            </a:graphic>
          </wp:anchor>
        </w:drawing>
      </w:r>
    </w:p>
    <w:p w14:paraId="3DD0A81A" w14:textId="77777777" w:rsidR="0076384B" w:rsidRDefault="0076384B" w:rsidP="00D3672E">
      <w:pPr>
        <w:jc w:val="center"/>
        <w:rPr>
          <w:rFonts w:cstheme="minorHAnsi"/>
        </w:rPr>
      </w:pPr>
    </w:p>
    <w:p w14:paraId="08CDBDC6" w14:textId="77777777" w:rsidR="0076384B" w:rsidRDefault="0076384B" w:rsidP="00D3672E">
      <w:pPr>
        <w:jc w:val="center"/>
        <w:rPr>
          <w:rFonts w:cstheme="minorHAnsi"/>
        </w:rPr>
      </w:pPr>
    </w:p>
    <w:p w14:paraId="57F5FD9D" w14:textId="77777777" w:rsidR="0076384B" w:rsidRPr="00B241A6" w:rsidRDefault="0076384B" w:rsidP="00D3672E">
      <w:pPr>
        <w:jc w:val="center"/>
        <w:rPr>
          <w:rFonts w:cstheme="minorHAnsi"/>
        </w:rPr>
      </w:pPr>
    </w:p>
    <w:p w14:paraId="130F6214" w14:textId="77777777" w:rsidR="0076384B" w:rsidRDefault="0076384B" w:rsidP="00AC4E2F">
      <w:pPr>
        <w:jc w:val="center"/>
      </w:pPr>
    </w:p>
    <w:p w14:paraId="50325E46" w14:textId="77777777" w:rsidR="0076384B" w:rsidRDefault="0076384B" w:rsidP="00AC4E2F">
      <w:pPr>
        <w:jc w:val="center"/>
      </w:pPr>
    </w:p>
    <w:p w14:paraId="3757886F" w14:textId="77777777" w:rsidR="0076384B" w:rsidRDefault="0076384B" w:rsidP="00AC4E2F">
      <w:pPr>
        <w:jc w:val="center"/>
      </w:pPr>
    </w:p>
    <w:p w14:paraId="3419DE78" w14:textId="77777777" w:rsidR="0076384B" w:rsidRPr="00AC4E2F" w:rsidRDefault="0076384B" w:rsidP="00AC4E2F">
      <w:pPr>
        <w:jc w:val="center"/>
      </w:pPr>
    </w:p>
    <w:p w14:paraId="5F787AC2" w14:textId="77777777" w:rsidR="0076384B" w:rsidRDefault="0076384B" w:rsidP="7B60EACE">
      <w:r>
        <w:br w:type="page"/>
      </w:r>
    </w:p>
    <w:p w14:paraId="2C0A4429" w14:textId="77777777" w:rsidR="0076384B" w:rsidRDefault="0076384B" w:rsidP="7B60EACE">
      <w:pPr>
        <w:sectPr w:rsidR="0076384B" w:rsidSect="005C1895">
          <w:pgSz w:w="15840" w:h="12240" w:orient="landscape"/>
          <w:pgMar w:top="720" w:right="720" w:bottom="720" w:left="720" w:header="709" w:footer="709" w:gutter="0"/>
          <w:pgNumType w:start="50"/>
          <w:cols w:space="708"/>
          <w:docGrid w:linePitch="360"/>
        </w:sectPr>
      </w:pPr>
    </w:p>
    <w:p w14:paraId="20E5B103" w14:textId="77777777" w:rsidR="0076384B" w:rsidRDefault="0076384B" w:rsidP="009C3E07">
      <w:pPr>
        <w:jc w:val="both"/>
        <w:rPr>
          <w:rFonts w:cstheme="minorHAnsi"/>
          <w:b/>
          <w:bCs/>
          <w:color w:val="000000" w:themeColor="text1"/>
        </w:rPr>
      </w:pPr>
      <w:r w:rsidRPr="00F27296">
        <w:rPr>
          <w:rFonts w:cstheme="minorHAnsi"/>
          <w:b/>
          <w:bCs/>
          <w:color w:val="000000" w:themeColor="text1"/>
        </w:rPr>
        <w:lastRenderedPageBreak/>
        <w:t>X</w:t>
      </w:r>
      <w:r>
        <w:rPr>
          <w:rFonts w:cstheme="minorHAnsi"/>
          <w:b/>
          <w:bCs/>
          <w:color w:val="000000" w:themeColor="text1"/>
        </w:rPr>
        <w:t>I</w:t>
      </w:r>
      <w:r w:rsidRPr="00F27296">
        <w:rPr>
          <w:rFonts w:cstheme="minorHAnsi"/>
          <w:b/>
          <w:bCs/>
          <w:color w:val="000000" w:themeColor="text1"/>
        </w:rPr>
        <w:t>. Bibliografía</w:t>
      </w:r>
      <w:r>
        <w:rPr>
          <w:rFonts w:cstheme="minorHAnsi"/>
          <w:b/>
          <w:bCs/>
          <w:color w:val="000000" w:themeColor="text1"/>
        </w:rPr>
        <w:t xml:space="preserve"> obligatoria</w:t>
      </w:r>
    </w:p>
    <w:p w14:paraId="26C48AF2" w14:textId="77777777" w:rsidR="0076384B" w:rsidRDefault="0076384B" w:rsidP="002D674C">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5D132AFF" w14:textId="77777777" w:rsidR="0076384B" w:rsidRPr="005D560D" w:rsidRDefault="0076384B" w:rsidP="00760EF7">
      <w:pPr>
        <w:ind w:left="709" w:hanging="709"/>
        <w:jc w:val="both"/>
        <w:rPr>
          <w:rFonts w:cstheme="minorHAnsi"/>
          <w:color w:val="000000" w:themeColor="text1"/>
          <w:sz w:val="20"/>
        </w:rPr>
      </w:pPr>
      <w:r w:rsidRPr="005D560D">
        <w:rPr>
          <w:rFonts w:cstheme="minorHAnsi"/>
          <w:bCs/>
          <w:color w:val="000000" w:themeColor="text1"/>
        </w:rPr>
        <w:t xml:space="preserve">Carbajosa Ignacio, Joaquín González Echegaray y Francisco Varo. </w:t>
      </w:r>
      <w:r w:rsidRPr="005D560D">
        <w:rPr>
          <w:rFonts w:cstheme="minorHAnsi"/>
          <w:bCs/>
          <w:i/>
          <w:iCs/>
          <w:color w:val="000000" w:themeColor="text1"/>
        </w:rPr>
        <w:t>La Biblia en su entorno</w:t>
      </w:r>
      <w:r w:rsidRPr="005D560D">
        <w:rPr>
          <w:rFonts w:cstheme="minorHAnsi"/>
          <w:bCs/>
          <w:color w:val="000000" w:themeColor="text1"/>
        </w:rPr>
        <w:t>. Estella: Verbo Divino, 2023.</w:t>
      </w:r>
    </w:p>
    <w:p w14:paraId="4365649C" w14:textId="77777777" w:rsidR="0076384B" w:rsidRPr="00760EF7" w:rsidRDefault="0076384B" w:rsidP="00760EF7">
      <w:pPr>
        <w:ind w:left="709" w:hanging="709"/>
        <w:jc w:val="both"/>
        <w:rPr>
          <w:rFonts w:cstheme="minorHAnsi"/>
          <w:color w:val="000000" w:themeColor="text1"/>
        </w:rPr>
      </w:pPr>
      <w:r w:rsidRPr="00760EF7">
        <w:rPr>
          <w:rFonts w:cstheme="minorHAnsi"/>
          <w:color w:val="000000" w:themeColor="text1"/>
        </w:rPr>
        <w:t xml:space="preserve">De </w:t>
      </w:r>
      <w:proofErr w:type="spellStart"/>
      <w:r w:rsidRPr="00760EF7">
        <w:rPr>
          <w:rFonts w:cstheme="minorHAnsi"/>
          <w:color w:val="000000" w:themeColor="text1"/>
        </w:rPr>
        <w:t>Pury</w:t>
      </w:r>
      <w:proofErr w:type="spellEnd"/>
      <w:r w:rsidRPr="00760EF7">
        <w:rPr>
          <w:rFonts w:cstheme="minorHAnsi"/>
          <w:color w:val="000000" w:themeColor="text1"/>
        </w:rPr>
        <w:t xml:space="preserve">, Albert. “El canon del Antiguo Testamento”. En </w:t>
      </w:r>
      <w:r w:rsidRPr="00760EF7">
        <w:rPr>
          <w:rFonts w:cstheme="minorHAnsi"/>
          <w:i/>
          <w:color w:val="000000" w:themeColor="text1"/>
        </w:rPr>
        <w:t>Introducción al Antiguo Testamento</w:t>
      </w:r>
      <w:r w:rsidRPr="00760EF7">
        <w:rPr>
          <w:rFonts w:cstheme="minorHAnsi"/>
          <w:color w:val="000000" w:themeColor="text1"/>
        </w:rPr>
        <w:t xml:space="preserve">, editado por Thomas </w:t>
      </w:r>
      <w:proofErr w:type="spellStart"/>
      <w:r w:rsidRPr="00760EF7">
        <w:rPr>
          <w:rFonts w:cstheme="minorHAnsi"/>
          <w:color w:val="000000" w:themeColor="text1"/>
        </w:rPr>
        <w:t>Römer</w:t>
      </w:r>
      <w:proofErr w:type="spellEnd"/>
      <w:r w:rsidRPr="00760EF7">
        <w:rPr>
          <w:rFonts w:cstheme="minorHAnsi"/>
          <w:color w:val="000000" w:themeColor="text1"/>
        </w:rPr>
        <w:t xml:space="preserve">, Jean-Daniel Macchi y </w:t>
      </w:r>
      <w:proofErr w:type="spellStart"/>
      <w:r w:rsidRPr="00760EF7">
        <w:rPr>
          <w:rFonts w:cstheme="minorHAnsi"/>
          <w:color w:val="000000" w:themeColor="text1"/>
        </w:rPr>
        <w:t>Christophe</w:t>
      </w:r>
      <w:proofErr w:type="spellEnd"/>
      <w:r w:rsidRPr="00760EF7">
        <w:rPr>
          <w:rFonts w:cstheme="minorHAnsi"/>
          <w:color w:val="000000" w:themeColor="text1"/>
        </w:rPr>
        <w:t xml:space="preserve"> </w:t>
      </w:r>
      <w:proofErr w:type="spellStart"/>
      <w:r w:rsidRPr="00760EF7">
        <w:rPr>
          <w:rFonts w:cstheme="minorHAnsi"/>
          <w:color w:val="000000" w:themeColor="text1"/>
        </w:rPr>
        <w:t>Nihan</w:t>
      </w:r>
      <w:proofErr w:type="spellEnd"/>
      <w:r w:rsidRPr="00760EF7">
        <w:rPr>
          <w:rFonts w:cstheme="minorHAnsi"/>
          <w:color w:val="000000" w:themeColor="text1"/>
        </w:rPr>
        <w:t>, 17-39. Bilbao: Desclée de Brouwer, 2008.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23D184B3" w14:textId="77777777" w:rsidR="0076384B" w:rsidRPr="00760EF7" w:rsidRDefault="0076384B" w:rsidP="00760EF7">
      <w:pPr>
        <w:ind w:left="709" w:hanging="709"/>
        <w:jc w:val="both"/>
        <w:rPr>
          <w:rFonts w:cstheme="minorHAnsi"/>
          <w:color w:val="000000" w:themeColor="text1"/>
        </w:rPr>
      </w:pPr>
      <w:r w:rsidRPr="00760EF7">
        <w:rPr>
          <w:rFonts w:cstheme="minorHAnsi"/>
          <w:color w:val="000000" w:themeColor="text1"/>
        </w:rPr>
        <w:t xml:space="preserve">De </w:t>
      </w:r>
      <w:proofErr w:type="spellStart"/>
      <w:r w:rsidRPr="00760EF7">
        <w:rPr>
          <w:rFonts w:cstheme="minorHAnsi"/>
          <w:color w:val="000000" w:themeColor="text1"/>
        </w:rPr>
        <w:t>Wit</w:t>
      </w:r>
      <w:proofErr w:type="spellEnd"/>
      <w:r w:rsidRPr="00760EF7">
        <w:rPr>
          <w:rFonts w:cstheme="minorHAnsi"/>
          <w:color w:val="000000" w:themeColor="text1"/>
        </w:rPr>
        <w:t xml:space="preserve">, Hans. </w:t>
      </w:r>
      <w:r w:rsidRPr="00760EF7">
        <w:rPr>
          <w:rFonts w:cstheme="minorHAnsi"/>
          <w:i/>
          <w:color w:val="000000" w:themeColor="text1"/>
        </w:rPr>
        <w:t>En la dispersión el texto es patria: Introducción a la hermenéutica clásica, moderna y posmodern</w:t>
      </w:r>
      <w:r w:rsidRPr="00760EF7">
        <w:rPr>
          <w:rFonts w:cstheme="minorHAnsi"/>
          <w:color w:val="000000" w:themeColor="text1"/>
        </w:rPr>
        <w:t>a. San José: SEBILA, 2010.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37DC7A34" w14:textId="77777777" w:rsidR="0076384B" w:rsidRPr="00760EF7" w:rsidRDefault="0076384B" w:rsidP="00760EF7">
      <w:pPr>
        <w:ind w:left="709" w:hanging="709"/>
        <w:jc w:val="both"/>
        <w:rPr>
          <w:rFonts w:cstheme="minorHAnsi"/>
          <w:color w:val="000000" w:themeColor="text1"/>
        </w:rPr>
      </w:pPr>
      <w:proofErr w:type="spellStart"/>
      <w:r w:rsidRPr="00760EF7">
        <w:rPr>
          <w:rFonts w:cstheme="minorHAnsi"/>
          <w:color w:val="000000" w:themeColor="text1"/>
        </w:rPr>
        <w:t>Kaestli</w:t>
      </w:r>
      <w:proofErr w:type="spellEnd"/>
      <w:r w:rsidRPr="00760EF7">
        <w:rPr>
          <w:rFonts w:cstheme="minorHAnsi"/>
          <w:color w:val="000000" w:themeColor="text1"/>
        </w:rPr>
        <w:t xml:space="preserve">, Jean-Daniel. “Historia del canon del Nuevo Testamento”. En </w:t>
      </w:r>
      <w:r w:rsidRPr="00760EF7">
        <w:rPr>
          <w:rFonts w:cstheme="minorHAnsi"/>
          <w:i/>
          <w:color w:val="000000" w:themeColor="text1"/>
        </w:rPr>
        <w:t>Introducción al Nuevo Testamento: Su historia, su escritura, su teología</w:t>
      </w:r>
      <w:r w:rsidRPr="00760EF7">
        <w:rPr>
          <w:rFonts w:cstheme="minorHAnsi"/>
          <w:color w:val="000000" w:themeColor="text1"/>
        </w:rPr>
        <w:t xml:space="preserve">, editado por Daniel </w:t>
      </w:r>
      <w:proofErr w:type="spellStart"/>
      <w:r w:rsidRPr="00760EF7">
        <w:rPr>
          <w:rFonts w:cstheme="minorHAnsi"/>
          <w:color w:val="000000" w:themeColor="text1"/>
        </w:rPr>
        <w:t>Marguerat</w:t>
      </w:r>
      <w:proofErr w:type="spellEnd"/>
      <w:r w:rsidRPr="00760EF7">
        <w:rPr>
          <w:rFonts w:cstheme="minorHAnsi"/>
          <w:color w:val="000000" w:themeColor="text1"/>
        </w:rPr>
        <w:t>, 449-474. Bilbao: Desclée de Brouwer, 2008.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2048F90E" w14:textId="77777777" w:rsidR="0076384B" w:rsidRPr="00760EF7" w:rsidRDefault="0076384B" w:rsidP="00760EF7">
      <w:pPr>
        <w:ind w:left="709" w:hanging="709"/>
        <w:jc w:val="both"/>
        <w:rPr>
          <w:rFonts w:cstheme="minorHAnsi"/>
        </w:rPr>
      </w:pPr>
      <w:r w:rsidRPr="00760EF7">
        <w:rPr>
          <w:rFonts w:cstheme="minorHAnsi"/>
        </w:rPr>
        <w:t xml:space="preserve">Schmid, Konrad. </w:t>
      </w:r>
      <w:r w:rsidRPr="00760EF7">
        <w:rPr>
          <w:rFonts w:cstheme="minorHAnsi"/>
          <w:i/>
        </w:rPr>
        <w:t>Historia literaria del Antiguo Testamento: Una introducción</w:t>
      </w:r>
      <w:r w:rsidRPr="00760EF7">
        <w:rPr>
          <w:rFonts w:cstheme="minorHAnsi"/>
        </w:rPr>
        <w:t xml:space="preserve">. Madrid: Editorial Trotta, 2019. </w:t>
      </w:r>
    </w:p>
    <w:p w14:paraId="2A875199" w14:textId="77777777" w:rsidR="0076384B" w:rsidRPr="00760EF7" w:rsidRDefault="0076384B" w:rsidP="00760EF7">
      <w:pPr>
        <w:ind w:left="709" w:hanging="709"/>
        <w:jc w:val="both"/>
        <w:rPr>
          <w:rFonts w:cstheme="minorHAnsi"/>
          <w:color w:val="000000" w:themeColor="text1"/>
        </w:rPr>
      </w:pPr>
      <w:r w:rsidRPr="00760EF7">
        <w:rPr>
          <w:rFonts w:cstheme="minorHAnsi"/>
          <w:color w:val="000000" w:themeColor="text1"/>
        </w:rPr>
        <w:t xml:space="preserve">Pérez, Miguel y Julio </w:t>
      </w:r>
      <w:proofErr w:type="spellStart"/>
      <w:r w:rsidRPr="00760EF7">
        <w:rPr>
          <w:rFonts w:cstheme="minorHAnsi"/>
          <w:color w:val="000000" w:themeColor="text1"/>
        </w:rPr>
        <w:t>Trebolle</w:t>
      </w:r>
      <w:proofErr w:type="spellEnd"/>
      <w:r w:rsidRPr="00760EF7">
        <w:rPr>
          <w:rFonts w:cstheme="minorHAnsi"/>
          <w:color w:val="000000" w:themeColor="text1"/>
        </w:rPr>
        <w:t xml:space="preserve">. </w:t>
      </w:r>
      <w:r w:rsidRPr="00760EF7">
        <w:rPr>
          <w:rFonts w:cstheme="minorHAnsi"/>
          <w:i/>
          <w:color w:val="000000" w:themeColor="text1"/>
        </w:rPr>
        <w:t>Historia de la Biblia</w:t>
      </w:r>
      <w:r w:rsidRPr="00760EF7">
        <w:rPr>
          <w:rFonts w:cstheme="minorHAnsi"/>
          <w:color w:val="000000" w:themeColor="text1"/>
        </w:rPr>
        <w:t>. Madrid: Trotta, 2006.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24522750" w14:textId="77777777" w:rsidR="0076384B" w:rsidRPr="00760EF7" w:rsidRDefault="0076384B" w:rsidP="00760EF7">
      <w:pPr>
        <w:ind w:left="709" w:hanging="709"/>
        <w:jc w:val="both"/>
        <w:rPr>
          <w:rFonts w:cstheme="minorHAnsi"/>
          <w:color w:val="000000" w:themeColor="text1"/>
          <w:lang w:val="fr-FR"/>
        </w:rPr>
      </w:pPr>
      <w:r w:rsidRPr="00760EF7">
        <w:rPr>
          <w:rFonts w:cstheme="minorHAnsi"/>
          <w:color w:val="000000" w:themeColor="text1"/>
        </w:rPr>
        <w:t xml:space="preserve">Ramírez, José Enrique. </w:t>
      </w:r>
      <w:r w:rsidRPr="00760EF7">
        <w:rPr>
          <w:rFonts w:cstheme="minorHAnsi"/>
          <w:i/>
          <w:color w:val="000000" w:themeColor="text1"/>
        </w:rPr>
        <w:t>Para comprender el Antiguo Testamento</w:t>
      </w:r>
      <w:r w:rsidRPr="00760EF7">
        <w:rPr>
          <w:rFonts w:cstheme="minorHAnsi"/>
          <w:color w:val="000000" w:themeColor="text1"/>
        </w:rPr>
        <w:t xml:space="preserve">. </w:t>
      </w:r>
      <w:r w:rsidRPr="00760EF7">
        <w:rPr>
          <w:rFonts w:cstheme="minorHAnsi"/>
          <w:color w:val="000000" w:themeColor="text1"/>
          <w:lang w:val="fr-FR"/>
        </w:rPr>
        <w:t>San José: SEBILA, 2019.</w:t>
      </w:r>
    </w:p>
    <w:p w14:paraId="7EBADB89" w14:textId="77777777" w:rsidR="0076384B" w:rsidRPr="00760EF7" w:rsidRDefault="0076384B" w:rsidP="00760EF7">
      <w:pPr>
        <w:ind w:left="709" w:hanging="709"/>
        <w:jc w:val="both"/>
        <w:rPr>
          <w:rFonts w:cstheme="minorHAnsi"/>
          <w:color w:val="000000" w:themeColor="text1"/>
        </w:rPr>
      </w:pPr>
      <w:proofErr w:type="spellStart"/>
      <w:r w:rsidRPr="00760EF7">
        <w:rPr>
          <w:rFonts w:cstheme="minorHAnsi"/>
          <w:color w:val="000000" w:themeColor="text1"/>
        </w:rPr>
        <w:t>Thiselton</w:t>
      </w:r>
      <w:proofErr w:type="spellEnd"/>
      <w:r w:rsidRPr="00760EF7">
        <w:rPr>
          <w:rFonts w:cstheme="minorHAnsi"/>
          <w:color w:val="000000" w:themeColor="text1"/>
        </w:rPr>
        <w:t xml:space="preserve">, Anthony. “Los estudios bíblicos y la hermenéutica teórica”. En </w:t>
      </w:r>
      <w:r w:rsidRPr="00760EF7">
        <w:rPr>
          <w:rFonts w:cstheme="minorHAnsi"/>
          <w:i/>
          <w:color w:val="000000" w:themeColor="text1"/>
        </w:rPr>
        <w:t>La interpretación bíblica, hoy</w:t>
      </w:r>
      <w:r w:rsidRPr="00760EF7">
        <w:rPr>
          <w:rFonts w:cstheme="minorHAnsi"/>
          <w:color w:val="000000" w:themeColor="text1"/>
        </w:rPr>
        <w:t xml:space="preserve">, editado por John Barton, 120-139. Santander: Sal </w:t>
      </w:r>
      <w:proofErr w:type="spellStart"/>
      <w:r w:rsidRPr="00760EF7">
        <w:rPr>
          <w:rFonts w:cstheme="minorHAnsi"/>
          <w:color w:val="000000" w:themeColor="text1"/>
        </w:rPr>
        <w:t>Terrae</w:t>
      </w:r>
      <w:proofErr w:type="spellEnd"/>
      <w:r w:rsidRPr="00760EF7">
        <w:rPr>
          <w:rFonts w:cstheme="minorHAnsi"/>
          <w:color w:val="000000" w:themeColor="text1"/>
        </w:rPr>
        <w:t>, 2001.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61850ECE" w14:textId="77777777" w:rsidR="0076384B" w:rsidRPr="00760EF7" w:rsidRDefault="0076384B" w:rsidP="00760EF7">
      <w:pPr>
        <w:ind w:left="709" w:hanging="709"/>
        <w:jc w:val="both"/>
        <w:rPr>
          <w:rFonts w:cstheme="minorHAnsi"/>
          <w:color w:val="000000" w:themeColor="text1"/>
          <w:sz w:val="20"/>
        </w:rPr>
      </w:pPr>
      <w:proofErr w:type="spellStart"/>
      <w:r w:rsidRPr="00760EF7">
        <w:rPr>
          <w:rFonts w:cstheme="minorHAnsi"/>
          <w:color w:val="000000" w:themeColor="text1"/>
        </w:rPr>
        <w:t>Trebolle</w:t>
      </w:r>
      <w:proofErr w:type="spellEnd"/>
      <w:r w:rsidRPr="00760EF7">
        <w:rPr>
          <w:rFonts w:cstheme="minorHAnsi"/>
          <w:color w:val="000000" w:themeColor="text1"/>
        </w:rPr>
        <w:t xml:space="preserve">, Julio. </w:t>
      </w:r>
      <w:r w:rsidRPr="00760EF7">
        <w:rPr>
          <w:rFonts w:cstheme="minorHAnsi"/>
          <w:i/>
          <w:color w:val="000000" w:themeColor="text1"/>
        </w:rPr>
        <w:t>La Biblia judía y la Biblia cristiana: introducción a la historia de la Biblia</w:t>
      </w:r>
      <w:r w:rsidRPr="00760EF7">
        <w:rPr>
          <w:rFonts w:cstheme="minorHAnsi"/>
          <w:color w:val="000000" w:themeColor="text1"/>
        </w:rPr>
        <w:t>. Madrid: Trotta, 2013. (</w:t>
      </w:r>
      <w:r w:rsidRPr="00BA71D4">
        <w:rPr>
          <w:rFonts w:cstheme="minorHAnsi"/>
          <w:color w:val="0070C0"/>
        </w:rPr>
        <w:t>clásico</w:t>
      </w:r>
      <w:r>
        <w:rPr>
          <w:rFonts w:cstheme="minorHAnsi"/>
          <w:color w:val="000000" w:themeColor="text1"/>
        </w:rPr>
        <w:t xml:space="preserve">, </w:t>
      </w:r>
      <w:r w:rsidRPr="00760EF7">
        <w:rPr>
          <w:rFonts w:cstheme="minorHAnsi"/>
          <w:color w:val="000000" w:themeColor="text1"/>
        </w:rPr>
        <w:t>última edición)</w:t>
      </w:r>
    </w:p>
    <w:p w14:paraId="4895CE60" w14:textId="77777777" w:rsidR="0076384B" w:rsidRDefault="0076384B" w:rsidP="00357430">
      <w:pPr>
        <w:ind w:left="709" w:hanging="709"/>
        <w:jc w:val="both"/>
        <w:rPr>
          <w:rFonts w:cstheme="minorHAnsi"/>
          <w:b/>
          <w:color w:val="000000" w:themeColor="text1"/>
        </w:rPr>
      </w:pPr>
    </w:p>
    <w:p w14:paraId="361B150A" w14:textId="77777777" w:rsidR="0076384B" w:rsidRPr="00366F26" w:rsidRDefault="0076384B" w:rsidP="00357430">
      <w:pPr>
        <w:ind w:left="709" w:hanging="709"/>
        <w:jc w:val="both"/>
        <w:rPr>
          <w:rFonts w:cstheme="minorHAnsi"/>
        </w:rPr>
      </w:pPr>
      <w:r>
        <w:rPr>
          <w:rFonts w:cstheme="minorHAnsi"/>
          <w:b/>
          <w:color w:val="000000" w:themeColor="text1"/>
        </w:rPr>
        <w:t>XII. Bibliografía complementaria</w:t>
      </w:r>
      <w:r w:rsidRPr="00366F26">
        <w:rPr>
          <w:rFonts w:cstheme="minorHAnsi"/>
        </w:rPr>
        <w:t xml:space="preserve"> </w:t>
      </w:r>
    </w:p>
    <w:p w14:paraId="4802E425" w14:textId="77777777" w:rsidR="0076384B" w:rsidRDefault="0076384B" w:rsidP="00EF6560">
      <w:pPr>
        <w:pStyle w:val="Default"/>
        <w:jc w:val="both"/>
        <w:rPr>
          <w:sz w:val="20"/>
          <w:szCs w:val="20"/>
        </w:rPr>
      </w:pPr>
    </w:p>
    <w:p w14:paraId="31F72C2B" w14:textId="77777777" w:rsidR="0076384B" w:rsidRDefault="0076384B" w:rsidP="00EF6560">
      <w:pPr>
        <w:pStyle w:val="Default"/>
        <w:jc w:val="both"/>
        <w:rPr>
          <w:rFonts w:asciiTheme="minorHAnsi" w:hAnsiTheme="minorHAnsi"/>
          <w:bCs/>
          <w:color w:val="000000" w:themeColor="text1"/>
          <w:sz w:val="22"/>
          <w:szCs w:val="22"/>
        </w:rPr>
      </w:pPr>
      <w:r w:rsidRPr="001F0E04">
        <w:rPr>
          <w:rFonts w:asciiTheme="minorHAnsi" w:hAnsiTheme="minorHAnsi"/>
          <w:b/>
          <w:color w:val="000000" w:themeColor="text1"/>
          <w:sz w:val="22"/>
          <w:szCs w:val="22"/>
        </w:rPr>
        <w:t>Nota:</w:t>
      </w:r>
      <w:r w:rsidRPr="001F0E04">
        <w:rPr>
          <w:rFonts w:asciiTheme="minorHAnsi" w:hAnsiTheme="minorHAnsi"/>
          <w:bCs/>
          <w:color w:val="000000" w:themeColor="text1"/>
          <w:sz w:val="22"/>
          <w:szCs w:val="22"/>
        </w:rPr>
        <w:t xml:space="preserve"> Los materiales que no cuentan con enlace de acceso son digitalizaciones en formato </w:t>
      </w:r>
      <w:proofErr w:type="spellStart"/>
      <w:r w:rsidRPr="001F0E04">
        <w:rPr>
          <w:rFonts w:asciiTheme="minorHAnsi" w:hAnsiTheme="minorHAnsi"/>
          <w:bCs/>
          <w:color w:val="000000" w:themeColor="text1"/>
          <w:sz w:val="22"/>
          <w:szCs w:val="22"/>
        </w:rPr>
        <w:t>pdf</w:t>
      </w:r>
      <w:proofErr w:type="spellEnd"/>
      <w:r w:rsidRPr="001F0E04">
        <w:rPr>
          <w:rFonts w:asciiTheme="minorHAnsi" w:hAnsiTheme="minorHAnsi"/>
          <w:bCs/>
          <w:color w:val="000000" w:themeColor="text1"/>
          <w:sz w:val="22"/>
          <w:szCs w:val="22"/>
        </w:rPr>
        <w:t xml:space="preserve"> de bibliografía física disponible en la Biblioteca de la UBL, los cuales se encuentran disponibles en </w:t>
      </w:r>
      <w:r>
        <w:rPr>
          <w:rFonts w:asciiTheme="minorHAnsi" w:hAnsiTheme="minorHAnsi"/>
          <w:bCs/>
          <w:color w:val="000000" w:themeColor="text1"/>
          <w:sz w:val="22"/>
          <w:szCs w:val="22"/>
        </w:rPr>
        <w:t>el</w:t>
      </w:r>
      <w:r w:rsidRPr="001F0E04">
        <w:rPr>
          <w:rFonts w:asciiTheme="minorHAnsi" w:hAnsiTheme="minorHAnsi"/>
          <w:bCs/>
          <w:color w:val="000000" w:themeColor="text1"/>
          <w:sz w:val="22"/>
          <w:szCs w:val="22"/>
        </w:rPr>
        <w:t xml:space="preserve"> aula virtual.</w:t>
      </w:r>
    </w:p>
    <w:p w14:paraId="72664775" w14:textId="77777777" w:rsidR="0076384B" w:rsidRDefault="0076384B" w:rsidP="00EF6560">
      <w:pPr>
        <w:pStyle w:val="Default"/>
        <w:jc w:val="both"/>
        <w:rPr>
          <w:rFonts w:asciiTheme="minorHAnsi" w:hAnsiTheme="minorHAnsi"/>
          <w:bCs/>
          <w:color w:val="000000" w:themeColor="text1"/>
          <w:sz w:val="22"/>
          <w:szCs w:val="22"/>
        </w:rPr>
      </w:pPr>
    </w:p>
    <w:p w14:paraId="58D04B8A" w14:textId="77777777" w:rsidR="0076384B" w:rsidRPr="00B1082D" w:rsidRDefault="0076384B" w:rsidP="006D7F90">
      <w:pPr>
        <w:pStyle w:val="Default"/>
        <w:spacing w:after="120"/>
        <w:ind w:left="709" w:hanging="709"/>
        <w:jc w:val="both"/>
        <w:rPr>
          <w:rFonts w:asciiTheme="minorHAnsi" w:hAnsiTheme="minorHAnsi" w:cstheme="minorHAnsi"/>
          <w:color w:val="auto"/>
          <w:sz w:val="20"/>
          <w:szCs w:val="20"/>
        </w:rPr>
      </w:pPr>
      <w:r w:rsidRPr="00B1082D">
        <w:rPr>
          <w:rFonts w:asciiTheme="minorHAnsi" w:hAnsiTheme="minorHAnsi" w:cstheme="minorHAnsi"/>
          <w:sz w:val="22"/>
          <w:szCs w:val="22"/>
        </w:rPr>
        <w:t xml:space="preserve">Aranda Pérez, Gonzalo, Florentino García Martínez y Miguel Pérez Fernández. </w:t>
      </w:r>
      <w:r w:rsidRPr="00B1082D">
        <w:rPr>
          <w:rFonts w:asciiTheme="minorHAnsi" w:hAnsiTheme="minorHAnsi" w:cstheme="minorHAnsi"/>
          <w:i/>
          <w:iCs/>
          <w:sz w:val="22"/>
          <w:szCs w:val="22"/>
        </w:rPr>
        <w:t xml:space="preserve">Literatura judía </w:t>
      </w:r>
      <w:proofErr w:type="spellStart"/>
      <w:r w:rsidRPr="00B1082D">
        <w:rPr>
          <w:rFonts w:asciiTheme="minorHAnsi" w:hAnsiTheme="minorHAnsi" w:cstheme="minorHAnsi"/>
          <w:i/>
          <w:iCs/>
          <w:sz w:val="22"/>
          <w:szCs w:val="22"/>
        </w:rPr>
        <w:t>intertestamentaria</w:t>
      </w:r>
      <w:proofErr w:type="spellEnd"/>
      <w:r w:rsidRPr="00B1082D">
        <w:rPr>
          <w:rFonts w:asciiTheme="minorHAnsi" w:hAnsiTheme="minorHAnsi" w:cstheme="minorHAnsi"/>
          <w:sz w:val="22"/>
          <w:szCs w:val="22"/>
        </w:rPr>
        <w:t>. Estella: Verbo Divino, 2017</w:t>
      </w:r>
      <w:r>
        <w:rPr>
          <w:rFonts w:asciiTheme="minorHAnsi" w:hAnsiTheme="minorHAnsi" w:cstheme="minorHAnsi"/>
          <w:sz w:val="22"/>
          <w:szCs w:val="22"/>
        </w:rPr>
        <w:t xml:space="preserve"> (</w:t>
      </w:r>
      <w:r w:rsidRPr="00E959B7">
        <w:rPr>
          <w:rFonts w:asciiTheme="minorHAnsi" w:hAnsiTheme="minorHAnsi" w:cstheme="minorHAnsi"/>
          <w:color w:val="0070C0"/>
          <w:sz w:val="22"/>
          <w:szCs w:val="22"/>
        </w:rPr>
        <w:t>clásico, última edición</w:t>
      </w:r>
      <w:r>
        <w:rPr>
          <w:rFonts w:asciiTheme="minorHAnsi" w:hAnsiTheme="minorHAnsi" w:cstheme="minorHAnsi"/>
          <w:sz w:val="22"/>
          <w:szCs w:val="22"/>
        </w:rPr>
        <w:t xml:space="preserve">). </w:t>
      </w:r>
    </w:p>
    <w:p w14:paraId="49EEC6AC" w14:textId="77777777" w:rsidR="0076384B" w:rsidRPr="006D7F90" w:rsidRDefault="0076384B" w:rsidP="006D7F90">
      <w:pPr>
        <w:pStyle w:val="Default"/>
        <w:spacing w:after="120"/>
        <w:ind w:left="709" w:hanging="709"/>
        <w:jc w:val="both"/>
        <w:rPr>
          <w:rFonts w:asciiTheme="minorHAnsi" w:hAnsiTheme="minorHAnsi" w:cstheme="minorHAnsi"/>
          <w:color w:val="auto"/>
          <w:sz w:val="22"/>
          <w:szCs w:val="22"/>
        </w:rPr>
      </w:pPr>
      <w:proofErr w:type="spellStart"/>
      <w:r w:rsidRPr="006D7F90">
        <w:rPr>
          <w:rFonts w:asciiTheme="minorHAnsi" w:hAnsiTheme="minorHAnsi" w:cstheme="minorHAnsi"/>
          <w:color w:val="auto"/>
          <w:sz w:val="22"/>
          <w:szCs w:val="22"/>
        </w:rPr>
        <w:t>Baslez</w:t>
      </w:r>
      <w:proofErr w:type="spellEnd"/>
      <w:r w:rsidRPr="006D7F90">
        <w:rPr>
          <w:rFonts w:asciiTheme="minorHAnsi" w:hAnsiTheme="minorHAnsi" w:cstheme="minorHAnsi"/>
          <w:color w:val="auto"/>
          <w:sz w:val="22"/>
          <w:szCs w:val="22"/>
        </w:rPr>
        <w:t>, Marie-</w:t>
      </w:r>
      <w:proofErr w:type="spellStart"/>
      <w:r w:rsidRPr="006D7F90">
        <w:rPr>
          <w:rFonts w:asciiTheme="minorHAnsi" w:hAnsiTheme="minorHAnsi" w:cstheme="minorHAnsi"/>
          <w:color w:val="auto"/>
          <w:sz w:val="22"/>
          <w:szCs w:val="22"/>
        </w:rPr>
        <w:t>Francoise</w:t>
      </w:r>
      <w:proofErr w:type="spellEnd"/>
      <w:r w:rsidRPr="006D7F90">
        <w:rPr>
          <w:rFonts w:asciiTheme="minorHAnsi" w:hAnsiTheme="minorHAnsi" w:cstheme="minorHAnsi"/>
          <w:color w:val="auto"/>
          <w:sz w:val="22"/>
          <w:szCs w:val="22"/>
        </w:rPr>
        <w:t xml:space="preserve">. </w:t>
      </w:r>
      <w:r w:rsidRPr="006D7F90">
        <w:rPr>
          <w:rFonts w:asciiTheme="minorHAnsi" w:hAnsiTheme="minorHAnsi" w:cstheme="minorHAnsi"/>
          <w:i/>
          <w:iCs/>
          <w:color w:val="auto"/>
          <w:sz w:val="22"/>
          <w:szCs w:val="22"/>
        </w:rPr>
        <w:t xml:space="preserve">Cómo se escribe la historia en la época del Nuevo Testamento. </w:t>
      </w:r>
      <w:r w:rsidRPr="006D7F90">
        <w:rPr>
          <w:rFonts w:asciiTheme="minorHAnsi" w:hAnsiTheme="minorHAnsi" w:cstheme="minorHAnsi"/>
          <w:color w:val="auto"/>
          <w:sz w:val="22"/>
          <w:szCs w:val="22"/>
        </w:rPr>
        <w:t xml:space="preserve">Estella: Verbo Divino, 2009. </w:t>
      </w:r>
      <w:r w:rsidRPr="006D7F90">
        <w:rPr>
          <w:rFonts w:asciiTheme="minorHAnsi" w:hAnsiTheme="minorHAnsi" w:cstheme="minorHAnsi"/>
          <w:color w:val="000000" w:themeColor="text1"/>
          <w:sz w:val="22"/>
          <w:szCs w:val="22"/>
        </w:rPr>
        <w:t>(</w:t>
      </w:r>
      <w:r w:rsidRPr="00E959B7">
        <w:rPr>
          <w:rFonts w:asciiTheme="minorHAnsi" w:hAnsiTheme="minorHAnsi" w:cstheme="minorHAnsi"/>
          <w:color w:val="0070C0"/>
          <w:sz w:val="22"/>
          <w:szCs w:val="22"/>
        </w:rPr>
        <w:t>clásico, última edición</w:t>
      </w:r>
      <w:r w:rsidRPr="006D7F90">
        <w:rPr>
          <w:rFonts w:asciiTheme="minorHAnsi" w:hAnsiTheme="minorHAnsi" w:cstheme="minorHAnsi"/>
          <w:color w:val="000000" w:themeColor="text1"/>
          <w:sz w:val="22"/>
          <w:szCs w:val="22"/>
        </w:rPr>
        <w:t>)</w:t>
      </w:r>
    </w:p>
    <w:p w14:paraId="684890A5" w14:textId="77777777" w:rsidR="0076384B" w:rsidRPr="006D7F90" w:rsidRDefault="0076384B" w:rsidP="006D7F90">
      <w:pPr>
        <w:pStyle w:val="Default"/>
        <w:ind w:left="709" w:hanging="709"/>
        <w:jc w:val="both"/>
        <w:rPr>
          <w:rFonts w:asciiTheme="minorHAnsi" w:hAnsiTheme="minorHAnsi" w:cstheme="minorHAnsi"/>
          <w:bCs/>
          <w:color w:val="000000" w:themeColor="text1"/>
          <w:sz w:val="20"/>
          <w:szCs w:val="20"/>
        </w:rPr>
      </w:pPr>
      <w:r w:rsidRPr="006D7F90">
        <w:rPr>
          <w:rFonts w:asciiTheme="minorHAnsi" w:hAnsiTheme="minorHAnsi" w:cstheme="minorHAnsi"/>
          <w:sz w:val="22"/>
          <w:szCs w:val="22"/>
        </w:rPr>
        <w:t xml:space="preserve">Rivas </w:t>
      </w:r>
      <w:proofErr w:type="spellStart"/>
      <w:r w:rsidRPr="006D7F90">
        <w:rPr>
          <w:rFonts w:asciiTheme="minorHAnsi" w:hAnsiTheme="minorHAnsi" w:cstheme="minorHAnsi"/>
          <w:sz w:val="22"/>
          <w:szCs w:val="22"/>
        </w:rPr>
        <w:t>Rebaque</w:t>
      </w:r>
      <w:proofErr w:type="spellEnd"/>
      <w:r w:rsidRPr="006D7F90">
        <w:rPr>
          <w:rFonts w:asciiTheme="minorHAnsi" w:hAnsiTheme="minorHAnsi" w:cstheme="minorHAnsi"/>
          <w:sz w:val="22"/>
          <w:szCs w:val="22"/>
        </w:rPr>
        <w:t xml:space="preserve">, Fernando. “El cristianismo como mestizaje cultural: Apropiación de la Escritura judía por parte cristiana en Justino Mártir”. </w:t>
      </w:r>
      <w:r w:rsidRPr="006D7F90">
        <w:rPr>
          <w:rFonts w:asciiTheme="minorHAnsi" w:hAnsiTheme="minorHAnsi" w:cstheme="minorHAnsi"/>
          <w:i/>
          <w:iCs/>
          <w:sz w:val="22"/>
          <w:szCs w:val="22"/>
        </w:rPr>
        <w:t xml:space="preserve">Estudios Bíblicos </w:t>
      </w:r>
      <w:r w:rsidRPr="006D7F90">
        <w:rPr>
          <w:rFonts w:asciiTheme="minorHAnsi" w:hAnsiTheme="minorHAnsi" w:cstheme="minorHAnsi"/>
          <w:sz w:val="22"/>
          <w:szCs w:val="22"/>
        </w:rPr>
        <w:t>76, Cuaderno 1 (2018): 115-144.</w:t>
      </w:r>
    </w:p>
    <w:p w14:paraId="42E1F3D1" w14:textId="77777777" w:rsidR="0076384B" w:rsidRDefault="0076384B" w:rsidP="00EF6560">
      <w:pPr>
        <w:pStyle w:val="Default"/>
        <w:jc w:val="both"/>
        <w:rPr>
          <w:sz w:val="20"/>
          <w:szCs w:val="20"/>
        </w:rPr>
      </w:pPr>
    </w:p>
    <w:p w14:paraId="7207435D" w14:textId="4938B969" w:rsidR="0076384B" w:rsidRDefault="0076384B" w:rsidP="007D5474">
      <w:pPr>
        <w:ind w:left="709" w:hanging="709"/>
        <w:jc w:val="both"/>
        <w:rPr>
          <w:rFonts w:cstheme="minorHAnsi"/>
          <w:bCs/>
          <w:lang w:val="es-419"/>
        </w:rPr>
      </w:pPr>
      <w:r>
        <w:rPr>
          <w:sz w:val="20"/>
        </w:rPr>
        <w:t xml:space="preserve"> </w:t>
      </w:r>
      <w:r>
        <w:rPr>
          <w:rFonts w:cstheme="minorHAnsi"/>
          <w:bCs/>
          <w:lang w:val="es-419"/>
        </w:rPr>
        <w:br w:type="page"/>
      </w:r>
    </w:p>
    <w:p w14:paraId="2BE3BA36" w14:textId="77777777" w:rsidR="0076384B" w:rsidRPr="00534197" w:rsidRDefault="0076384B" w:rsidP="00534197">
      <w:pPr>
        <w:spacing w:line="360" w:lineRule="auto"/>
        <w:ind w:left="709" w:hanging="709"/>
        <w:rPr>
          <w:b/>
          <w:sz w:val="8"/>
          <w:szCs w:val="8"/>
          <w:lang w:val="es-419"/>
        </w:rPr>
      </w:pPr>
    </w:p>
    <w:p w14:paraId="2FA25686" w14:textId="441CF4C0" w:rsidR="004E104A" w:rsidRPr="006B5A49" w:rsidRDefault="004E104A" w:rsidP="00C5474A">
      <w:pPr>
        <w:pStyle w:val="SPECIAL2"/>
      </w:pPr>
      <w:bookmarkStart w:id="10" w:name="_Toc166526879"/>
      <w:r w:rsidRPr="00C5474A">
        <w:t>II CUATRIMESTRE</w:t>
      </w:r>
      <w:bookmarkEnd w:id="10"/>
    </w:p>
    <w:p w14:paraId="01DE29E6" w14:textId="77777777" w:rsidR="004E104A" w:rsidRDefault="004E104A" w:rsidP="004E104A">
      <w:pPr>
        <w:jc w:val="center"/>
        <w:rPr>
          <w:b/>
          <w:bCs/>
          <w:sz w:val="32"/>
          <w:szCs w:val="32"/>
          <w:lang w:val="es-ES"/>
        </w:rPr>
      </w:pPr>
    </w:p>
    <w:p w14:paraId="42FA2084" w14:textId="3D6B84C7" w:rsidR="004E104A" w:rsidRPr="006B5A49" w:rsidRDefault="00DD16F2" w:rsidP="004E104A">
      <w:pPr>
        <w:rPr>
          <w:sz w:val="24"/>
          <w:szCs w:val="24"/>
        </w:rPr>
      </w:pPr>
      <w:hyperlink w:anchor="CTX103" w:history="1">
        <w:r w:rsidR="004E104A" w:rsidRPr="00497DDB">
          <w:rPr>
            <w:rStyle w:val="Hipervnculo"/>
            <w:sz w:val="24"/>
            <w:szCs w:val="24"/>
            <w:lang w:val="es-ES"/>
          </w:rPr>
          <w:t>CTX103</w:t>
        </w:r>
        <w:r w:rsidR="00D6507B" w:rsidRPr="00497DDB">
          <w:rPr>
            <w:rStyle w:val="Hipervnculo"/>
            <w:sz w:val="24"/>
            <w:szCs w:val="24"/>
            <w:lang w:val="es-ES"/>
          </w:rPr>
          <w:t xml:space="preserve"> Introducción a la Psicología</w:t>
        </w:r>
      </w:hyperlink>
    </w:p>
    <w:p w14:paraId="10BE3822" w14:textId="40BF8A28" w:rsidR="004E104A" w:rsidRPr="006B5A49" w:rsidRDefault="00DD16F2" w:rsidP="004E104A">
      <w:pPr>
        <w:rPr>
          <w:sz w:val="24"/>
          <w:szCs w:val="24"/>
        </w:rPr>
      </w:pPr>
      <w:hyperlink w:anchor="CTX105" w:history="1">
        <w:r w:rsidR="004E104A" w:rsidRPr="00497DDB">
          <w:rPr>
            <w:rStyle w:val="Hipervnculo"/>
            <w:sz w:val="24"/>
            <w:szCs w:val="24"/>
          </w:rPr>
          <w:t>CTX10</w:t>
        </w:r>
        <w:r w:rsidR="00D6507B" w:rsidRPr="00497DDB">
          <w:rPr>
            <w:rStyle w:val="Hipervnculo"/>
            <w:sz w:val="24"/>
            <w:szCs w:val="24"/>
          </w:rPr>
          <w:t>5 Metodología de la Investigación</w:t>
        </w:r>
      </w:hyperlink>
    </w:p>
    <w:p w14:paraId="6C7C221A" w14:textId="7E1F3C5B" w:rsidR="004E104A" w:rsidRPr="006B5A49" w:rsidRDefault="00DD16F2" w:rsidP="004E104A">
      <w:pPr>
        <w:rPr>
          <w:sz w:val="24"/>
          <w:szCs w:val="24"/>
        </w:rPr>
      </w:pPr>
      <w:hyperlink w:anchor="CBX107" w:history="1">
        <w:r w:rsidR="004E104A" w:rsidRPr="00497DDB">
          <w:rPr>
            <w:rStyle w:val="Hipervnculo"/>
            <w:sz w:val="24"/>
            <w:szCs w:val="24"/>
          </w:rPr>
          <w:t>C</w:t>
        </w:r>
        <w:r w:rsidR="00D6507B" w:rsidRPr="00497DDB">
          <w:rPr>
            <w:rStyle w:val="Hipervnculo"/>
            <w:sz w:val="24"/>
            <w:szCs w:val="24"/>
          </w:rPr>
          <w:t>BX107 Antiguo Testamento I</w:t>
        </w:r>
      </w:hyperlink>
    </w:p>
    <w:p w14:paraId="713530A9" w14:textId="1E85AF99" w:rsidR="004E104A" w:rsidRDefault="00DD16F2" w:rsidP="004E104A">
      <w:pPr>
        <w:rPr>
          <w:sz w:val="24"/>
          <w:szCs w:val="24"/>
        </w:rPr>
      </w:pPr>
      <w:hyperlink w:anchor="CBX109" w:history="1">
        <w:r w:rsidR="004E104A" w:rsidRPr="00497DDB">
          <w:rPr>
            <w:rStyle w:val="Hipervnculo"/>
            <w:sz w:val="24"/>
            <w:szCs w:val="24"/>
          </w:rPr>
          <w:t>CBX10</w:t>
        </w:r>
        <w:r w:rsidR="00DB7BC6" w:rsidRPr="00497DDB">
          <w:rPr>
            <w:rStyle w:val="Hipervnculo"/>
            <w:sz w:val="24"/>
            <w:szCs w:val="24"/>
          </w:rPr>
          <w:t>9 Nuevo Testamento I</w:t>
        </w:r>
      </w:hyperlink>
    </w:p>
    <w:p w14:paraId="1359CA29" w14:textId="77777777" w:rsidR="004E4B53" w:rsidRDefault="004E4B53" w:rsidP="004E104A">
      <w:pPr>
        <w:rPr>
          <w:sz w:val="24"/>
          <w:szCs w:val="24"/>
        </w:rPr>
      </w:pPr>
    </w:p>
    <w:p w14:paraId="710C4481" w14:textId="77777777" w:rsidR="004E4B53" w:rsidRDefault="004E4B53" w:rsidP="004E104A">
      <w:pPr>
        <w:rPr>
          <w:sz w:val="24"/>
          <w:szCs w:val="24"/>
        </w:rPr>
      </w:pPr>
    </w:p>
    <w:p w14:paraId="4F41A2EC" w14:textId="77777777" w:rsidR="004E4B53" w:rsidRDefault="004E4B53" w:rsidP="004E104A">
      <w:pPr>
        <w:rPr>
          <w:sz w:val="24"/>
          <w:szCs w:val="24"/>
        </w:rPr>
      </w:pPr>
    </w:p>
    <w:p w14:paraId="31EFFAB2" w14:textId="77777777" w:rsidR="004E4B53" w:rsidRDefault="004E4B53" w:rsidP="004E104A">
      <w:pPr>
        <w:rPr>
          <w:sz w:val="24"/>
          <w:szCs w:val="24"/>
        </w:rPr>
      </w:pPr>
    </w:p>
    <w:p w14:paraId="3AB0FD51" w14:textId="77777777" w:rsidR="004E4B53" w:rsidRDefault="004E4B53" w:rsidP="004E104A">
      <w:pPr>
        <w:rPr>
          <w:sz w:val="24"/>
          <w:szCs w:val="24"/>
        </w:rPr>
      </w:pPr>
    </w:p>
    <w:p w14:paraId="28E92DDD" w14:textId="77777777" w:rsidR="004E4B53" w:rsidRDefault="004E4B53" w:rsidP="004E104A">
      <w:pPr>
        <w:rPr>
          <w:sz w:val="24"/>
          <w:szCs w:val="24"/>
        </w:rPr>
      </w:pPr>
    </w:p>
    <w:p w14:paraId="22E56CB3" w14:textId="77777777" w:rsidR="004E4B53" w:rsidRDefault="004E4B53" w:rsidP="004E104A">
      <w:pPr>
        <w:rPr>
          <w:sz w:val="24"/>
          <w:szCs w:val="24"/>
        </w:rPr>
      </w:pPr>
    </w:p>
    <w:p w14:paraId="34797B4A" w14:textId="77777777" w:rsidR="004E4B53" w:rsidRDefault="004E4B53" w:rsidP="004E104A">
      <w:pPr>
        <w:rPr>
          <w:sz w:val="24"/>
          <w:szCs w:val="24"/>
        </w:rPr>
      </w:pPr>
    </w:p>
    <w:p w14:paraId="28F60A85" w14:textId="77777777" w:rsidR="004E4B53" w:rsidRDefault="004E4B53" w:rsidP="004E104A">
      <w:pPr>
        <w:rPr>
          <w:sz w:val="24"/>
          <w:szCs w:val="24"/>
        </w:rPr>
      </w:pPr>
    </w:p>
    <w:p w14:paraId="139B077D" w14:textId="77777777" w:rsidR="004E4B53" w:rsidRDefault="004E4B53" w:rsidP="004E104A">
      <w:pPr>
        <w:rPr>
          <w:sz w:val="24"/>
          <w:szCs w:val="24"/>
        </w:rPr>
      </w:pPr>
    </w:p>
    <w:p w14:paraId="333B91D9" w14:textId="77777777" w:rsidR="004E4B53" w:rsidRDefault="004E4B53" w:rsidP="004E104A">
      <w:pPr>
        <w:rPr>
          <w:sz w:val="24"/>
          <w:szCs w:val="24"/>
        </w:rPr>
      </w:pPr>
    </w:p>
    <w:p w14:paraId="14E6EB05" w14:textId="77777777" w:rsidR="004E4B53" w:rsidRDefault="004E4B53" w:rsidP="004E104A">
      <w:pPr>
        <w:rPr>
          <w:sz w:val="24"/>
          <w:szCs w:val="24"/>
        </w:rPr>
      </w:pPr>
    </w:p>
    <w:p w14:paraId="283934A7" w14:textId="77777777" w:rsidR="004E4B53" w:rsidRDefault="004E4B53" w:rsidP="004E104A">
      <w:pPr>
        <w:rPr>
          <w:sz w:val="24"/>
          <w:szCs w:val="24"/>
        </w:rPr>
      </w:pPr>
    </w:p>
    <w:p w14:paraId="304025A1" w14:textId="0DF765D1" w:rsidR="00484BB1" w:rsidRDefault="00484BB1">
      <w:pPr>
        <w:rPr>
          <w:sz w:val="24"/>
          <w:szCs w:val="24"/>
        </w:rPr>
      </w:pPr>
      <w:r>
        <w:rPr>
          <w:sz w:val="24"/>
          <w:szCs w:val="24"/>
        </w:rPr>
        <w:br w:type="page"/>
      </w:r>
    </w:p>
    <w:p w14:paraId="54482F2F" w14:textId="77777777" w:rsidR="00484BB1" w:rsidRPr="0000340A" w:rsidRDefault="00484BB1" w:rsidP="00145435">
      <w:pPr>
        <w:jc w:val="center"/>
        <w:rPr>
          <w:rFonts w:ascii="Arial" w:hAnsi="Arial" w:cs="Arial"/>
          <w:noProof/>
          <w:szCs w:val="24"/>
          <w:lang w:val="en-US"/>
        </w:rPr>
      </w:pPr>
      <w:r>
        <w:rPr>
          <w:rFonts w:ascii="Arial" w:hAnsi="Arial" w:cs="Arial"/>
          <w:noProof/>
          <w:szCs w:val="24"/>
        </w:rPr>
        <w:lastRenderedPageBreak/>
        <w:drawing>
          <wp:inline distT="0" distB="0" distL="0" distR="0" wp14:anchorId="1B6FF3D1" wp14:editId="30E95E2A">
            <wp:extent cx="2009775" cy="1548377"/>
            <wp:effectExtent l="0" t="0" r="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7046F24A" w14:textId="77777777" w:rsidR="00484BB1" w:rsidRPr="00AF614D" w:rsidRDefault="00484BB1" w:rsidP="00145435">
      <w:pPr>
        <w:jc w:val="center"/>
        <w:rPr>
          <w:rFonts w:cs="Arial"/>
          <w:szCs w:val="24"/>
        </w:rPr>
      </w:pPr>
    </w:p>
    <w:p w14:paraId="6CCA0760" w14:textId="77777777" w:rsidR="00484BB1" w:rsidRPr="00AF614D" w:rsidRDefault="00484BB1" w:rsidP="00145435">
      <w:pPr>
        <w:pStyle w:val="Ttulo1"/>
        <w:spacing w:before="0" w:after="0"/>
        <w:rPr>
          <w:rFonts w:asciiTheme="minorHAnsi" w:hAnsiTheme="minorHAnsi" w:cs="Arial"/>
          <w:szCs w:val="24"/>
          <w:lang w:val="es-CR"/>
        </w:rPr>
      </w:pPr>
      <w:r w:rsidRPr="00AF614D">
        <w:rPr>
          <w:rFonts w:asciiTheme="minorHAnsi" w:hAnsiTheme="minorHAnsi" w:cs="Arial"/>
          <w:szCs w:val="24"/>
          <w:lang w:val="es-CR"/>
        </w:rPr>
        <w:t>Universidad Bíblica Latinoamericana</w:t>
      </w:r>
    </w:p>
    <w:p w14:paraId="1D89EFE1" w14:textId="77777777" w:rsidR="00484BB1" w:rsidRPr="00AF614D" w:rsidRDefault="00484BB1" w:rsidP="00145435">
      <w:pPr>
        <w:pStyle w:val="Ttulo2"/>
        <w:spacing w:before="0" w:after="0"/>
        <w:jc w:val="center"/>
        <w:rPr>
          <w:rFonts w:asciiTheme="minorHAnsi" w:hAnsiTheme="minorHAnsi" w:cs="Arial"/>
          <w:i/>
          <w:szCs w:val="24"/>
          <w:lang w:val="es-ES_tradnl"/>
        </w:rPr>
      </w:pPr>
      <w:r w:rsidRPr="00AF614D">
        <w:rPr>
          <w:rFonts w:asciiTheme="minorHAnsi" w:hAnsiTheme="minorHAnsi" w:cs="Arial"/>
          <w:i/>
          <w:szCs w:val="24"/>
          <w:lang w:val="es-ES_tradnl"/>
        </w:rPr>
        <w:t>Facultad de Teología</w:t>
      </w:r>
    </w:p>
    <w:p w14:paraId="4FC443E8" w14:textId="77777777" w:rsidR="00484BB1" w:rsidRPr="00C5032E" w:rsidRDefault="00484BB1" w:rsidP="000910B0">
      <w:pPr>
        <w:jc w:val="center"/>
        <w:rPr>
          <w:rFonts w:cs="Arial"/>
          <w:b/>
          <w:szCs w:val="24"/>
        </w:rPr>
      </w:pPr>
      <w:r>
        <w:rPr>
          <w:rFonts w:cs="Arial"/>
          <w:b/>
          <w:bCs/>
        </w:rPr>
        <w:t xml:space="preserve">Bachillerato en </w:t>
      </w:r>
      <w:r w:rsidRPr="00AF614D">
        <w:rPr>
          <w:rFonts w:cs="Arial"/>
          <w:b/>
          <w:bCs/>
          <w:szCs w:val="24"/>
        </w:rPr>
        <w:t xml:space="preserve">Ciencias </w:t>
      </w:r>
      <w:r>
        <w:rPr>
          <w:rFonts w:cs="Arial"/>
          <w:b/>
          <w:szCs w:val="24"/>
        </w:rPr>
        <w:t>Bíblicas</w:t>
      </w:r>
    </w:p>
    <w:p w14:paraId="13C870C0" w14:textId="77777777" w:rsidR="00484BB1" w:rsidRPr="00AF614D" w:rsidRDefault="00484BB1" w:rsidP="00145435">
      <w:pPr>
        <w:jc w:val="center"/>
        <w:rPr>
          <w:rFonts w:cs="Arial"/>
          <w:b/>
          <w:szCs w:val="24"/>
        </w:rPr>
      </w:pPr>
      <w:r w:rsidRPr="00AF614D">
        <w:rPr>
          <w:rFonts w:cs="Arial"/>
          <w:b/>
          <w:szCs w:val="24"/>
        </w:rPr>
        <w:t>Sílabo</w:t>
      </w:r>
    </w:p>
    <w:p w14:paraId="0B9A3A17" w14:textId="77777777" w:rsidR="00484BB1" w:rsidRPr="00AF614D" w:rsidRDefault="00484BB1" w:rsidP="00145435">
      <w:pPr>
        <w:jc w:val="center"/>
        <w:rPr>
          <w:rFonts w:cs="Arial"/>
          <w:b/>
          <w:szCs w:val="24"/>
        </w:rPr>
      </w:pPr>
      <w:bookmarkStart w:id="11" w:name="CTX103"/>
      <w:r w:rsidRPr="00AF614D">
        <w:rPr>
          <w:rFonts w:cs="Arial"/>
          <w:b/>
          <w:szCs w:val="24"/>
        </w:rPr>
        <w:t>Introducción a la Psicología</w:t>
      </w:r>
    </w:p>
    <w:bookmarkEnd w:id="11"/>
    <w:p w14:paraId="1277CED1" w14:textId="77777777" w:rsidR="00484BB1" w:rsidRDefault="00484BB1" w:rsidP="00145435">
      <w:pPr>
        <w:rPr>
          <w:rFonts w:ascii="Arial" w:eastAsia="Arial" w:hAnsi="Arial" w:cs="Arial"/>
          <w:color w:val="002060"/>
        </w:rPr>
      </w:pPr>
    </w:p>
    <w:tbl>
      <w:tblPr>
        <w:tblStyle w:val="Tablaconcuadrcula"/>
        <w:tblW w:w="0" w:type="auto"/>
        <w:tblLook w:val="04A0" w:firstRow="1" w:lastRow="0" w:firstColumn="1" w:lastColumn="0" w:noHBand="0" w:noVBand="1"/>
      </w:tblPr>
      <w:tblGrid>
        <w:gridCol w:w="1667"/>
        <w:gridCol w:w="7161"/>
      </w:tblGrid>
      <w:tr w:rsidR="00484BB1" w:rsidRPr="0055736E" w14:paraId="32A785A6" w14:textId="77777777" w:rsidTr="008D3AC7">
        <w:tc>
          <w:tcPr>
            <w:tcW w:w="1667" w:type="dxa"/>
          </w:tcPr>
          <w:p w14:paraId="1945D75C" w14:textId="77777777" w:rsidR="00484BB1" w:rsidRPr="0055736E" w:rsidRDefault="00484BB1" w:rsidP="00964927">
            <w:pPr>
              <w:rPr>
                <w:rFonts w:cstheme="minorHAnsi"/>
                <w:b/>
              </w:rPr>
            </w:pPr>
            <w:r w:rsidRPr="0055736E">
              <w:rPr>
                <w:rFonts w:cstheme="minorHAnsi"/>
                <w:b/>
              </w:rPr>
              <w:t>Código</w:t>
            </w:r>
          </w:p>
        </w:tc>
        <w:tc>
          <w:tcPr>
            <w:tcW w:w="7161" w:type="dxa"/>
          </w:tcPr>
          <w:p w14:paraId="27639713" w14:textId="77777777" w:rsidR="00484BB1" w:rsidRPr="0055736E" w:rsidRDefault="00484BB1" w:rsidP="00AF614D">
            <w:pPr>
              <w:rPr>
                <w:rFonts w:cstheme="minorHAnsi"/>
              </w:rPr>
            </w:pPr>
            <w:r>
              <w:rPr>
                <w:rFonts w:cstheme="minorHAnsi"/>
              </w:rPr>
              <w:t>CTX 103</w:t>
            </w:r>
          </w:p>
        </w:tc>
      </w:tr>
      <w:tr w:rsidR="00484BB1" w:rsidRPr="0055736E" w14:paraId="11979A6A" w14:textId="77777777" w:rsidTr="008D3AC7">
        <w:tc>
          <w:tcPr>
            <w:tcW w:w="1667" w:type="dxa"/>
          </w:tcPr>
          <w:p w14:paraId="5FBF11A9" w14:textId="77777777" w:rsidR="00484BB1" w:rsidRPr="0055736E" w:rsidRDefault="00484BB1" w:rsidP="00964927">
            <w:pPr>
              <w:rPr>
                <w:rFonts w:cstheme="minorHAnsi"/>
                <w:b/>
              </w:rPr>
            </w:pPr>
            <w:r w:rsidRPr="0055736E">
              <w:rPr>
                <w:rFonts w:cstheme="minorHAnsi"/>
                <w:b/>
              </w:rPr>
              <w:t>Créditos</w:t>
            </w:r>
          </w:p>
        </w:tc>
        <w:tc>
          <w:tcPr>
            <w:tcW w:w="7161" w:type="dxa"/>
          </w:tcPr>
          <w:p w14:paraId="401570DD" w14:textId="77777777" w:rsidR="00484BB1" w:rsidRPr="0055736E" w:rsidRDefault="00484BB1" w:rsidP="00964927">
            <w:pPr>
              <w:rPr>
                <w:rFonts w:cstheme="minorHAnsi"/>
              </w:rPr>
            </w:pPr>
            <w:r>
              <w:rPr>
                <w:rFonts w:cstheme="minorHAnsi"/>
              </w:rPr>
              <w:t>3</w:t>
            </w:r>
          </w:p>
        </w:tc>
      </w:tr>
      <w:tr w:rsidR="00484BB1" w:rsidRPr="0055736E" w14:paraId="604F2F1E" w14:textId="77777777" w:rsidTr="008D3AC7">
        <w:tc>
          <w:tcPr>
            <w:tcW w:w="1667" w:type="dxa"/>
          </w:tcPr>
          <w:p w14:paraId="000B9CF8" w14:textId="77777777" w:rsidR="00484BB1" w:rsidRPr="0055736E" w:rsidRDefault="00484BB1" w:rsidP="00964927">
            <w:pPr>
              <w:rPr>
                <w:rFonts w:cstheme="minorHAnsi"/>
                <w:b/>
              </w:rPr>
            </w:pPr>
            <w:r w:rsidRPr="0055736E">
              <w:rPr>
                <w:rFonts w:cstheme="minorHAnsi"/>
                <w:b/>
              </w:rPr>
              <w:t>Requisitos</w:t>
            </w:r>
          </w:p>
        </w:tc>
        <w:tc>
          <w:tcPr>
            <w:tcW w:w="7161" w:type="dxa"/>
          </w:tcPr>
          <w:p w14:paraId="58917C02" w14:textId="77777777" w:rsidR="00484BB1" w:rsidRPr="0055736E" w:rsidRDefault="00484BB1" w:rsidP="00964927">
            <w:pPr>
              <w:rPr>
                <w:rFonts w:cstheme="minorHAnsi"/>
              </w:rPr>
            </w:pPr>
            <w:r>
              <w:rPr>
                <w:rFonts w:cstheme="minorHAnsi"/>
              </w:rPr>
              <w:t>Ninguno</w:t>
            </w:r>
          </w:p>
        </w:tc>
      </w:tr>
      <w:tr w:rsidR="00484BB1" w:rsidRPr="0055736E" w14:paraId="5F165F34" w14:textId="77777777" w:rsidTr="008D3AC7">
        <w:tc>
          <w:tcPr>
            <w:tcW w:w="1667" w:type="dxa"/>
          </w:tcPr>
          <w:p w14:paraId="58CF89EF" w14:textId="77777777" w:rsidR="00484BB1" w:rsidRPr="0055736E" w:rsidRDefault="00484BB1" w:rsidP="00964927">
            <w:pPr>
              <w:rPr>
                <w:rFonts w:cstheme="minorHAnsi"/>
                <w:b/>
              </w:rPr>
            </w:pPr>
            <w:r w:rsidRPr="0055736E">
              <w:rPr>
                <w:rFonts w:cstheme="minorHAnsi"/>
                <w:b/>
              </w:rPr>
              <w:t>Modalidad</w:t>
            </w:r>
          </w:p>
        </w:tc>
        <w:tc>
          <w:tcPr>
            <w:tcW w:w="7161" w:type="dxa"/>
          </w:tcPr>
          <w:p w14:paraId="2CEB6F37" w14:textId="77777777" w:rsidR="00484BB1" w:rsidRPr="0055736E" w:rsidRDefault="00484BB1" w:rsidP="00964927">
            <w:pPr>
              <w:rPr>
                <w:rFonts w:cstheme="minorHAnsi"/>
              </w:rPr>
            </w:pPr>
            <w:r>
              <w:rPr>
                <w:rFonts w:cstheme="minorHAnsi"/>
              </w:rPr>
              <w:t>Virtual</w:t>
            </w:r>
          </w:p>
        </w:tc>
      </w:tr>
      <w:tr w:rsidR="00484BB1" w:rsidRPr="0055736E" w14:paraId="18F2D26D" w14:textId="77777777" w:rsidTr="008D3AC7">
        <w:tc>
          <w:tcPr>
            <w:tcW w:w="1667" w:type="dxa"/>
          </w:tcPr>
          <w:p w14:paraId="784F4001" w14:textId="77777777" w:rsidR="00484BB1" w:rsidRPr="0055736E" w:rsidRDefault="00484BB1" w:rsidP="00964927">
            <w:pPr>
              <w:rPr>
                <w:rFonts w:cstheme="minorHAnsi"/>
                <w:b/>
              </w:rPr>
            </w:pPr>
            <w:r w:rsidRPr="0055736E">
              <w:rPr>
                <w:rFonts w:cstheme="minorHAnsi"/>
                <w:b/>
              </w:rPr>
              <w:t>Naturaleza</w:t>
            </w:r>
          </w:p>
        </w:tc>
        <w:tc>
          <w:tcPr>
            <w:tcW w:w="7161" w:type="dxa"/>
          </w:tcPr>
          <w:p w14:paraId="135758B5" w14:textId="77777777" w:rsidR="00484BB1" w:rsidRPr="00B35C4B" w:rsidRDefault="00484BB1" w:rsidP="00964927">
            <w:pPr>
              <w:rPr>
                <w:rFonts w:cstheme="minorHAnsi"/>
              </w:rPr>
            </w:pPr>
            <w:r w:rsidRPr="00B35C4B">
              <w:rPr>
                <w:rFonts w:cstheme="minorHAnsi"/>
              </w:rPr>
              <w:t>Teórico</w:t>
            </w:r>
          </w:p>
        </w:tc>
      </w:tr>
      <w:tr w:rsidR="00484BB1" w:rsidRPr="0055736E" w14:paraId="03F05F39" w14:textId="77777777" w:rsidTr="008D3AC7">
        <w:tc>
          <w:tcPr>
            <w:tcW w:w="1667" w:type="dxa"/>
          </w:tcPr>
          <w:p w14:paraId="367F5BB1" w14:textId="77777777" w:rsidR="00484BB1" w:rsidRPr="0055736E" w:rsidRDefault="00484BB1" w:rsidP="00964927">
            <w:pPr>
              <w:rPr>
                <w:rFonts w:cstheme="minorHAnsi"/>
                <w:b/>
              </w:rPr>
            </w:pPr>
            <w:r w:rsidRPr="0055736E">
              <w:rPr>
                <w:rFonts w:cstheme="minorHAnsi"/>
                <w:b/>
              </w:rPr>
              <w:t>Periodo</w:t>
            </w:r>
          </w:p>
        </w:tc>
        <w:tc>
          <w:tcPr>
            <w:tcW w:w="7161" w:type="dxa"/>
          </w:tcPr>
          <w:p w14:paraId="4EED62B3" w14:textId="77777777" w:rsidR="00484BB1" w:rsidRPr="0055736E" w:rsidRDefault="00484BB1" w:rsidP="00964927">
            <w:pPr>
              <w:rPr>
                <w:rFonts w:cstheme="minorHAnsi"/>
              </w:rPr>
            </w:pPr>
            <w:r>
              <w:rPr>
                <w:rFonts w:cstheme="minorHAnsi"/>
              </w:rPr>
              <w:t>Cuatrimestral (15 semanas lectivas)</w:t>
            </w:r>
          </w:p>
        </w:tc>
      </w:tr>
      <w:tr w:rsidR="00484BB1" w:rsidRPr="0055736E" w14:paraId="2217DFD6" w14:textId="77777777" w:rsidTr="008D3AC7">
        <w:tc>
          <w:tcPr>
            <w:tcW w:w="1667" w:type="dxa"/>
          </w:tcPr>
          <w:p w14:paraId="3781BA4A" w14:textId="77777777" w:rsidR="00484BB1" w:rsidRPr="0055736E" w:rsidRDefault="00484BB1" w:rsidP="00964927">
            <w:pPr>
              <w:rPr>
                <w:rFonts w:cstheme="minorHAnsi"/>
                <w:b/>
              </w:rPr>
            </w:pPr>
            <w:r>
              <w:rPr>
                <w:rFonts w:cstheme="minorHAnsi"/>
                <w:b/>
              </w:rPr>
              <w:t>Nivel</w:t>
            </w:r>
          </w:p>
        </w:tc>
        <w:tc>
          <w:tcPr>
            <w:tcW w:w="7161" w:type="dxa"/>
          </w:tcPr>
          <w:p w14:paraId="06D485A6" w14:textId="77777777" w:rsidR="00484BB1" w:rsidRDefault="00484BB1" w:rsidP="00964927">
            <w:pPr>
              <w:rPr>
                <w:rFonts w:cstheme="minorHAnsi"/>
              </w:rPr>
            </w:pPr>
            <w:r>
              <w:rPr>
                <w:rFonts w:cstheme="minorHAnsi"/>
              </w:rPr>
              <w:t>II Cuatrimestre</w:t>
            </w:r>
          </w:p>
        </w:tc>
      </w:tr>
      <w:tr w:rsidR="00484BB1" w:rsidRPr="0055736E" w14:paraId="428C4620" w14:textId="77777777" w:rsidTr="008D3AC7">
        <w:tc>
          <w:tcPr>
            <w:tcW w:w="1667" w:type="dxa"/>
          </w:tcPr>
          <w:p w14:paraId="08F2E6DE" w14:textId="77777777" w:rsidR="00484BB1" w:rsidRPr="0055736E" w:rsidRDefault="00484BB1" w:rsidP="00964927">
            <w:pPr>
              <w:rPr>
                <w:rFonts w:cstheme="minorHAnsi"/>
                <w:b/>
              </w:rPr>
            </w:pPr>
            <w:r w:rsidRPr="0055736E">
              <w:rPr>
                <w:rFonts w:cstheme="minorHAnsi"/>
                <w:b/>
              </w:rPr>
              <w:t>Horario</w:t>
            </w:r>
          </w:p>
        </w:tc>
        <w:tc>
          <w:tcPr>
            <w:tcW w:w="7161" w:type="dxa"/>
          </w:tcPr>
          <w:p w14:paraId="698F891E" w14:textId="77777777" w:rsidR="00484BB1" w:rsidRPr="0055736E" w:rsidRDefault="00484BB1" w:rsidP="00AF614D">
            <w:pPr>
              <w:rPr>
                <w:rFonts w:cstheme="minorHAnsi"/>
              </w:rPr>
            </w:pPr>
            <w:r>
              <w:rPr>
                <w:rFonts w:cstheme="minorHAnsi"/>
              </w:rPr>
              <w:t>El curso requiere de 9 horas de trabajo semanal</w:t>
            </w:r>
          </w:p>
        </w:tc>
      </w:tr>
      <w:tr w:rsidR="00484BB1" w:rsidRPr="0055736E" w14:paraId="6A995595" w14:textId="77777777" w:rsidTr="008D3AC7">
        <w:tc>
          <w:tcPr>
            <w:tcW w:w="1667" w:type="dxa"/>
          </w:tcPr>
          <w:p w14:paraId="1A6B07A1" w14:textId="77777777" w:rsidR="00484BB1" w:rsidRPr="0055736E" w:rsidRDefault="00484BB1" w:rsidP="00964927">
            <w:pPr>
              <w:rPr>
                <w:rFonts w:cstheme="minorHAnsi"/>
                <w:b/>
              </w:rPr>
            </w:pPr>
            <w:r w:rsidRPr="0055736E">
              <w:rPr>
                <w:rFonts w:cstheme="minorHAnsi"/>
                <w:b/>
              </w:rPr>
              <w:t>Aula</w:t>
            </w:r>
          </w:p>
        </w:tc>
        <w:tc>
          <w:tcPr>
            <w:tcW w:w="7161" w:type="dxa"/>
          </w:tcPr>
          <w:p w14:paraId="17106257" w14:textId="77777777" w:rsidR="00484BB1" w:rsidRPr="0055736E" w:rsidRDefault="00484BB1" w:rsidP="00964927">
            <w:pPr>
              <w:rPr>
                <w:rFonts w:cstheme="minorHAnsi"/>
              </w:rPr>
            </w:pPr>
            <w:r>
              <w:rPr>
                <w:rFonts w:cstheme="minorHAnsi"/>
              </w:rPr>
              <w:t>Plataforma virtual de la UBL</w:t>
            </w:r>
          </w:p>
        </w:tc>
      </w:tr>
      <w:tr w:rsidR="00484BB1" w:rsidRPr="0055736E" w14:paraId="378D12F5" w14:textId="77777777" w:rsidTr="008D3AC7">
        <w:tc>
          <w:tcPr>
            <w:tcW w:w="1667" w:type="dxa"/>
          </w:tcPr>
          <w:p w14:paraId="177514E4" w14:textId="77777777" w:rsidR="00484BB1" w:rsidRPr="0055736E" w:rsidRDefault="00484BB1" w:rsidP="00964927">
            <w:pPr>
              <w:rPr>
                <w:rFonts w:cstheme="minorHAnsi"/>
                <w:b/>
              </w:rPr>
            </w:pPr>
            <w:r>
              <w:rPr>
                <w:rFonts w:cstheme="minorHAnsi"/>
                <w:b/>
              </w:rPr>
              <w:t>Docente</w:t>
            </w:r>
          </w:p>
        </w:tc>
        <w:tc>
          <w:tcPr>
            <w:tcW w:w="7161" w:type="dxa"/>
          </w:tcPr>
          <w:p w14:paraId="01AF278E" w14:textId="77777777" w:rsidR="00484BB1" w:rsidRDefault="00484BB1" w:rsidP="00964927">
            <w:pPr>
              <w:rPr>
                <w:rFonts w:cstheme="minorHAnsi"/>
              </w:rPr>
            </w:pPr>
          </w:p>
        </w:tc>
      </w:tr>
      <w:tr w:rsidR="00484BB1" w:rsidRPr="0055736E" w14:paraId="331B471A" w14:textId="77777777" w:rsidTr="008C17CB">
        <w:tc>
          <w:tcPr>
            <w:tcW w:w="1667" w:type="dxa"/>
            <w:vAlign w:val="center"/>
          </w:tcPr>
          <w:p w14:paraId="3A1D0677" w14:textId="77777777" w:rsidR="00484BB1" w:rsidRPr="0055736E" w:rsidRDefault="00484BB1" w:rsidP="008C17CB">
            <w:pPr>
              <w:rPr>
                <w:rFonts w:cstheme="minorHAnsi"/>
              </w:rPr>
            </w:pPr>
            <w:r w:rsidRPr="0055736E">
              <w:rPr>
                <w:rFonts w:cstheme="minorHAnsi"/>
                <w:b/>
              </w:rPr>
              <w:t>Instrucciones administrativas</w:t>
            </w:r>
          </w:p>
        </w:tc>
        <w:tc>
          <w:tcPr>
            <w:tcW w:w="7161" w:type="dxa"/>
          </w:tcPr>
          <w:p w14:paraId="068DDC53" w14:textId="77777777" w:rsidR="00484BB1" w:rsidRDefault="00484BB1" w:rsidP="008C17CB">
            <w:pPr>
              <w:jc w:val="both"/>
              <w:rPr>
                <w:rFonts w:cstheme="minorHAnsi"/>
              </w:rPr>
            </w:pPr>
            <w:r w:rsidRPr="0055736E">
              <w:rPr>
                <w:rFonts w:cstheme="minorHAnsi"/>
              </w:rPr>
              <w:t xml:space="preserve">El curso </w:t>
            </w:r>
            <w:r>
              <w:rPr>
                <w:rFonts w:cstheme="minorHAnsi"/>
              </w:rPr>
              <w:t xml:space="preserve">es virtual, por lo que se </w:t>
            </w:r>
            <w:r w:rsidRPr="0055736E">
              <w:rPr>
                <w:rFonts w:cstheme="minorHAnsi"/>
              </w:rPr>
              <w:t xml:space="preserve">requiere </w:t>
            </w:r>
            <w:r>
              <w:rPr>
                <w:rFonts w:cstheme="minorHAnsi"/>
              </w:rPr>
              <w:t>de acceso a una computadora con conexión a Internet, además de destrezas básicas para el manejo de correo electrónico y la plataforma Moodle desde el rol de estudiante. La dirección de acceso a la plataforma es la siguiente:</w:t>
            </w:r>
          </w:p>
          <w:p w14:paraId="0B4A0E82" w14:textId="77777777" w:rsidR="00484BB1" w:rsidRPr="0055736E" w:rsidRDefault="00DD16F2" w:rsidP="008C17CB">
            <w:pPr>
              <w:jc w:val="both"/>
              <w:rPr>
                <w:rFonts w:cstheme="minorHAnsi"/>
              </w:rPr>
            </w:pPr>
            <w:hyperlink r:id="rId82" w:history="1">
              <w:r w:rsidR="00484BB1" w:rsidRPr="00B96849">
                <w:rPr>
                  <w:rStyle w:val="Hipervnculo"/>
                  <w:rFonts w:cstheme="minorHAnsi"/>
                </w:rPr>
                <w:t>https://campus.ubl.ac.cr/login/index.php</w:t>
              </w:r>
            </w:hyperlink>
          </w:p>
        </w:tc>
      </w:tr>
    </w:tbl>
    <w:p w14:paraId="38837AED" w14:textId="77777777" w:rsidR="00484BB1" w:rsidRPr="00926C7B" w:rsidRDefault="00484BB1" w:rsidP="00145435">
      <w:pPr>
        <w:rPr>
          <w:rFonts w:cs="Arial"/>
          <w:color w:val="000000" w:themeColor="text1"/>
        </w:rPr>
      </w:pPr>
    </w:p>
    <w:p w14:paraId="1D48399B" w14:textId="77777777" w:rsidR="00484BB1" w:rsidRPr="00926C7B" w:rsidRDefault="00484BB1" w:rsidP="00145435">
      <w:pPr>
        <w:rPr>
          <w:rFonts w:cs="Arial"/>
          <w:b/>
          <w:color w:val="000000" w:themeColor="text1"/>
        </w:rPr>
      </w:pPr>
      <w:r w:rsidRPr="00926C7B">
        <w:rPr>
          <w:rFonts w:cs="Arial"/>
          <w:b/>
          <w:color w:val="000000" w:themeColor="text1"/>
        </w:rPr>
        <w:t>I. Descripción</w:t>
      </w:r>
    </w:p>
    <w:p w14:paraId="272F1CA7" w14:textId="77777777" w:rsidR="00484BB1" w:rsidRPr="00926C7B" w:rsidRDefault="00484BB1" w:rsidP="00145435">
      <w:pPr>
        <w:jc w:val="both"/>
        <w:rPr>
          <w:rFonts w:cs="Arial"/>
          <w:color w:val="000000" w:themeColor="text1"/>
        </w:rPr>
      </w:pPr>
      <w:r>
        <w:rPr>
          <w:rFonts w:cs="Arial"/>
          <w:color w:val="000000" w:themeColor="text1"/>
        </w:rPr>
        <w:t>Análisis de</w:t>
      </w:r>
      <w:r w:rsidRPr="00926C7B">
        <w:rPr>
          <w:rFonts w:cs="Arial"/>
          <w:color w:val="000000" w:themeColor="text1"/>
        </w:rPr>
        <w:t xml:space="preserve"> los factores que intervienen en la formación de la personalidad y el desarrollo. </w:t>
      </w:r>
      <w:r>
        <w:rPr>
          <w:rFonts w:cs="Arial"/>
          <w:color w:val="000000" w:themeColor="text1"/>
        </w:rPr>
        <w:t>É</w:t>
      </w:r>
      <w:r w:rsidRPr="00926C7B">
        <w:rPr>
          <w:rFonts w:cs="Arial"/>
          <w:color w:val="000000" w:themeColor="text1"/>
        </w:rPr>
        <w:t xml:space="preserve">nfasis en la estructura sociofamiliar, </w:t>
      </w:r>
      <w:r>
        <w:rPr>
          <w:rFonts w:cs="Arial"/>
          <w:color w:val="000000" w:themeColor="text1"/>
        </w:rPr>
        <w:t xml:space="preserve">el </w:t>
      </w:r>
      <w:r w:rsidRPr="00926C7B">
        <w:rPr>
          <w:rFonts w:cs="Arial"/>
          <w:color w:val="000000" w:themeColor="text1"/>
        </w:rPr>
        <w:t xml:space="preserve">autoconocimiento y </w:t>
      </w:r>
      <w:r>
        <w:rPr>
          <w:rFonts w:cs="Arial"/>
          <w:color w:val="000000" w:themeColor="text1"/>
        </w:rPr>
        <w:t>el análisis de casos. M</w:t>
      </w:r>
      <w:r w:rsidRPr="00926C7B">
        <w:rPr>
          <w:rFonts w:cs="Arial"/>
          <w:color w:val="000000" w:themeColor="text1"/>
        </w:rPr>
        <w:t>anejo de conceptos básicos de psicología anormal.</w:t>
      </w:r>
    </w:p>
    <w:p w14:paraId="556B02EA" w14:textId="77777777" w:rsidR="00484BB1" w:rsidRPr="00926C7B" w:rsidRDefault="00484BB1" w:rsidP="00145435">
      <w:pPr>
        <w:pStyle w:val="Ttulo2"/>
        <w:rPr>
          <w:rFonts w:asciiTheme="minorHAnsi" w:hAnsiTheme="minorHAnsi" w:cs="Arial"/>
          <w:color w:val="000000" w:themeColor="text1"/>
          <w:sz w:val="22"/>
          <w:szCs w:val="22"/>
          <w:lang w:val="es-ES_tradnl"/>
        </w:rPr>
      </w:pPr>
      <w:r w:rsidRPr="00926C7B">
        <w:rPr>
          <w:rFonts w:asciiTheme="minorHAnsi" w:hAnsiTheme="minorHAnsi" w:cs="Arial"/>
          <w:color w:val="000000" w:themeColor="text1"/>
          <w:sz w:val="22"/>
          <w:szCs w:val="22"/>
          <w:lang w:val="es-ES_tradnl"/>
        </w:rPr>
        <w:t>II. Objetivo general</w:t>
      </w:r>
    </w:p>
    <w:p w14:paraId="055BB975" w14:textId="77777777" w:rsidR="00484BB1" w:rsidRDefault="00484BB1" w:rsidP="00145435">
      <w:pPr>
        <w:jc w:val="both"/>
        <w:rPr>
          <w:rFonts w:cs="Arial"/>
          <w:color w:val="000000" w:themeColor="text1"/>
        </w:rPr>
      </w:pPr>
      <w:r>
        <w:rPr>
          <w:rFonts w:cs="Arial"/>
          <w:color w:val="000000" w:themeColor="text1"/>
        </w:rPr>
        <w:t>Conocer</w:t>
      </w:r>
      <w:r w:rsidRPr="00926C7B">
        <w:rPr>
          <w:rFonts w:cs="Arial"/>
          <w:color w:val="000000" w:themeColor="text1"/>
        </w:rPr>
        <w:t xml:space="preserve"> los principios generales relacionados con el comportamiento de los individuos en el grupo, con la formación de grupos, relaciones, funciones, cambios y actitudes individuales y grupales para su aplicación en la organización y manejo de grupos.</w:t>
      </w:r>
    </w:p>
    <w:p w14:paraId="2AE666F1" w14:textId="77777777" w:rsidR="00484BB1" w:rsidRPr="00926C7B" w:rsidRDefault="00484BB1" w:rsidP="00145435">
      <w:pPr>
        <w:pStyle w:val="Ttulo2"/>
        <w:rPr>
          <w:rFonts w:asciiTheme="minorHAnsi" w:hAnsiTheme="minorHAnsi" w:cs="Arial"/>
          <w:color w:val="000000" w:themeColor="text1"/>
          <w:sz w:val="22"/>
          <w:szCs w:val="22"/>
          <w:lang w:val="es-ES_tradnl"/>
        </w:rPr>
      </w:pPr>
      <w:r w:rsidRPr="00926C7B">
        <w:rPr>
          <w:rFonts w:asciiTheme="minorHAnsi" w:hAnsiTheme="minorHAnsi" w:cs="Arial"/>
          <w:color w:val="000000" w:themeColor="text1"/>
          <w:sz w:val="22"/>
          <w:szCs w:val="22"/>
          <w:lang w:val="es-ES_tradnl"/>
        </w:rPr>
        <w:lastRenderedPageBreak/>
        <w:t>III. Objetivos específicos</w:t>
      </w:r>
    </w:p>
    <w:p w14:paraId="6407F02F" w14:textId="77777777" w:rsidR="00484BB1" w:rsidRDefault="00484BB1" w:rsidP="00596B8B">
      <w:pPr>
        <w:pStyle w:val="NormalHanging"/>
        <w:ind w:left="-11"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1. Adq</w:t>
      </w:r>
      <w:r w:rsidRPr="00926C7B">
        <w:rPr>
          <w:rFonts w:asciiTheme="minorHAnsi" w:hAnsiTheme="minorHAnsi" w:cs="Arial"/>
          <w:color w:val="000000" w:themeColor="text1"/>
          <w:sz w:val="22"/>
          <w:szCs w:val="22"/>
        </w:rPr>
        <w:t>ui</w:t>
      </w:r>
      <w:r>
        <w:rPr>
          <w:rFonts w:asciiTheme="minorHAnsi" w:hAnsiTheme="minorHAnsi" w:cs="Arial"/>
          <w:color w:val="000000" w:themeColor="text1"/>
          <w:sz w:val="22"/>
          <w:szCs w:val="22"/>
        </w:rPr>
        <w:t>rir</w:t>
      </w:r>
      <w:r w:rsidRPr="00926C7B">
        <w:rPr>
          <w:rFonts w:asciiTheme="minorHAnsi" w:hAnsiTheme="minorHAnsi" w:cs="Arial"/>
          <w:color w:val="000000" w:themeColor="text1"/>
          <w:sz w:val="22"/>
          <w:szCs w:val="22"/>
        </w:rPr>
        <w:t xml:space="preserve"> conocimientos básicos sobre la psicología humana, con énfasis en los proceso</w:t>
      </w:r>
      <w:r>
        <w:rPr>
          <w:rFonts w:asciiTheme="minorHAnsi" w:hAnsiTheme="minorHAnsi" w:cs="Arial"/>
          <w:color w:val="000000" w:themeColor="text1"/>
          <w:sz w:val="22"/>
          <w:szCs w:val="22"/>
        </w:rPr>
        <w:t>s</w:t>
      </w:r>
      <w:r w:rsidRPr="00926C7B">
        <w:rPr>
          <w:rFonts w:asciiTheme="minorHAnsi" w:hAnsiTheme="minorHAnsi" w:cs="Arial"/>
          <w:color w:val="000000" w:themeColor="text1"/>
          <w:sz w:val="22"/>
          <w:szCs w:val="22"/>
        </w:rPr>
        <w:t xml:space="preserve"> psicológicos de la familia, el desarrollo humano y la psicología social.</w:t>
      </w:r>
    </w:p>
    <w:p w14:paraId="1F96239A" w14:textId="77777777" w:rsidR="00484BB1" w:rsidRDefault="00484BB1" w:rsidP="00596B8B">
      <w:pPr>
        <w:pStyle w:val="NormalHanging"/>
        <w:ind w:left="-11" w:firstLine="0"/>
        <w:rPr>
          <w:rFonts w:asciiTheme="minorHAnsi" w:hAnsiTheme="minorHAnsi" w:cs="Arial"/>
          <w:color w:val="000000" w:themeColor="text1"/>
          <w:sz w:val="22"/>
          <w:szCs w:val="22"/>
        </w:rPr>
      </w:pPr>
      <w:r>
        <w:rPr>
          <w:rFonts w:asciiTheme="minorHAnsi" w:hAnsiTheme="minorHAnsi" w:cs="Arial"/>
          <w:color w:val="000000" w:themeColor="text1"/>
          <w:sz w:val="22"/>
          <w:szCs w:val="22"/>
        </w:rPr>
        <w:t>2. Aplicar los conocimientos teóricos adquiridos en observaciones y análisis de personas particulares.</w:t>
      </w:r>
    </w:p>
    <w:p w14:paraId="5DE08D55" w14:textId="77777777" w:rsidR="00484BB1" w:rsidRPr="00926C7B" w:rsidRDefault="4C9C2619" w:rsidP="4C9C2619">
      <w:pPr>
        <w:pStyle w:val="NormalHanging"/>
        <w:ind w:left="-11" w:firstLine="0"/>
        <w:rPr>
          <w:rFonts w:asciiTheme="minorHAnsi" w:hAnsiTheme="minorHAnsi" w:cs="Arial"/>
          <w:color w:val="000000" w:themeColor="text1"/>
          <w:sz w:val="22"/>
          <w:szCs w:val="22"/>
          <w:lang w:val="es-ES"/>
        </w:rPr>
      </w:pPr>
      <w:r w:rsidRPr="4C9C2619">
        <w:rPr>
          <w:rFonts w:asciiTheme="minorHAnsi" w:hAnsiTheme="minorHAnsi" w:cs="Arial"/>
          <w:color w:val="000000" w:themeColor="text1"/>
          <w:sz w:val="22"/>
          <w:szCs w:val="22"/>
          <w:lang w:val="es-ES"/>
        </w:rPr>
        <w:t>3. Adquirir conocimientos básicos con el fin de poderlos aplicar posteriormente en las técnicas que adquirirá en el curso de acompañamiento pastoral.</w:t>
      </w:r>
    </w:p>
    <w:p w14:paraId="0A9ACD2D" w14:textId="77777777" w:rsidR="00484BB1" w:rsidRDefault="00484BB1" w:rsidP="00145435">
      <w:pPr>
        <w:pStyle w:val="Ttulo2"/>
        <w:spacing w:before="0" w:after="0"/>
        <w:rPr>
          <w:rFonts w:asciiTheme="minorHAnsi" w:hAnsiTheme="minorHAnsi" w:cs="Arial"/>
          <w:color w:val="000000" w:themeColor="text1"/>
          <w:sz w:val="22"/>
          <w:szCs w:val="22"/>
          <w:lang w:val="es-ES_tradnl"/>
        </w:rPr>
      </w:pPr>
    </w:p>
    <w:p w14:paraId="6FBDDBE9" w14:textId="77777777" w:rsidR="00484BB1" w:rsidRDefault="00484BB1" w:rsidP="00A46EBB">
      <w:pPr>
        <w:pStyle w:val="Ttulo2"/>
        <w:spacing w:before="0" w:after="0"/>
        <w:rPr>
          <w:rFonts w:asciiTheme="minorHAnsi" w:hAnsiTheme="minorHAnsi" w:cs="Arial"/>
          <w:color w:val="000000" w:themeColor="text1"/>
          <w:sz w:val="22"/>
          <w:szCs w:val="22"/>
          <w:lang w:val="es-ES_tradnl"/>
        </w:rPr>
      </w:pPr>
      <w:r w:rsidRPr="00926C7B">
        <w:rPr>
          <w:rFonts w:asciiTheme="minorHAnsi" w:hAnsiTheme="minorHAnsi" w:cs="Arial"/>
          <w:color w:val="000000" w:themeColor="text1"/>
          <w:sz w:val="22"/>
          <w:szCs w:val="22"/>
          <w:lang w:val="es-ES_tradnl"/>
        </w:rPr>
        <w:t>IV. Contenidos</w:t>
      </w:r>
    </w:p>
    <w:p w14:paraId="61AA6C0F" w14:textId="77777777" w:rsidR="00484BB1" w:rsidRDefault="00484BB1" w:rsidP="00A46EBB">
      <w:pPr>
        <w:pStyle w:val="Ttulo2"/>
        <w:spacing w:before="0" w:after="0"/>
        <w:rPr>
          <w:rFonts w:asciiTheme="minorHAnsi" w:hAnsiTheme="minorHAnsi" w:cs="Arial"/>
          <w:color w:val="000000" w:themeColor="text1"/>
          <w:sz w:val="22"/>
          <w:szCs w:val="22"/>
          <w:lang w:val="es-ES_tradnl"/>
        </w:rPr>
      </w:pPr>
    </w:p>
    <w:p w14:paraId="6200635F" w14:textId="77777777" w:rsidR="00484BB1" w:rsidRPr="00A46EBB" w:rsidRDefault="00484BB1" w:rsidP="00A46EBB">
      <w:pPr>
        <w:pStyle w:val="Ttulo2"/>
        <w:spacing w:before="0" w:after="0"/>
        <w:rPr>
          <w:rFonts w:asciiTheme="minorHAnsi" w:hAnsiTheme="minorHAnsi" w:cs="Arial"/>
          <w:color w:val="000000" w:themeColor="text1"/>
          <w:sz w:val="22"/>
          <w:szCs w:val="22"/>
          <w:lang w:val="es-ES_tradnl"/>
        </w:rPr>
      </w:pPr>
      <w:r w:rsidRPr="00A46EBB">
        <w:rPr>
          <w:rFonts w:asciiTheme="minorHAnsi" w:hAnsiTheme="minorHAnsi" w:cs="Arial"/>
          <w:color w:val="000000" w:themeColor="text1"/>
          <w:sz w:val="22"/>
          <w:szCs w:val="22"/>
          <w:lang w:val="es-CR"/>
        </w:rPr>
        <w:t>Unidad 1: La psicología como disciplina científica</w:t>
      </w:r>
    </w:p>
    <w:p w14:paraId="16FAE96C" w14:textId="77777777" w:rsidR="00484BB1" w:rsidRPr="00926C7B" w:rsidRDefault="00484BB1" w:rsidP="00484BB1">
      <w:pPr>
        <w:widowControl w:val="0"/>
        <w:numPr>
          <w:ilvl w:val="0"/>
          <w:numId w:val="37"/>
        </w:numPr>
        <w:overflowPunct w:val="0"/>
        <w:autoSpaceDE w:val="0"/>
        <w:autoSpaceDN w:val="0"/>
        <w:adjustRightInd w:val="0"/>
        <w:spacing w:after="0" w:line="240" w:lineRule="auto"/>
        <w:ind w:left="357" w:firstLine="0"/>
        <w:rPr>
          <w:rFonts w:cs="Arial"/>
          <w:color w:val="000000" w:themeColor="text1"/>
        </w:rPr>
      </w:pPr>
      <w:r w:rsidRPr="00926C7B">
        <w:rPr>
          <w:rFonts w:cs="Arial"/>
          <w:color w:val="000000" w:themeColor="text1"/>
        </w:rPr>
        <w:t>El objeto de estudio de la psicología</w:t>
      </w:r>
    </w:p>
    <w:p w14:paraId="32D99C2B" w14:textId="77777777" w:rsidR="00484BB1" w:rsidRPr="00926C7B" w:rsidRDefault="00484BB1" w:rsidP="00484BB1">
      <w:pPr>
        <w:widowControl w:val="0"/>
        <w:numPr>
          <w:ilvl w:val="0"/>
          <w:numId w:val="37"/>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La relación entre psicología y teología pastoral</w:t>
      </w:r>
    </w:p>
    <w:p w14:paraId="6148DF7B" w14:textId="77777777" w:rsidR="00484BB1" w:rsidRPr="00926C7B" w:rsidRDefault="00484BB1" w:rsidP="00145435">
      <w:pPr>
        <w:ind w:left="360"/>
        <w:rPr>
          <w:rFonts w:cs="Arial"/>
          <w:color w:val="000000" w:themeColor="text1"/>
        </w:rPr>
      </w:pPr>
    </w:p>
    <w:p w14:paraId="43B264EC" w14:textId="77777777" w:rsidR="00484BB1" w:rsidRDefault="00484BB1" w:rsidP="00145435">
      <w:pPr>
        <w:rPr>
          <w:rFonts w:cs="Arial"/>
          <w:b/>
          <w:color w:val="000000" w:themeColor="text1"/>
        </w:rPr>
      </w:pPr>
      <w:r w:rsidRPr="00926C7B">
        <w:rPr>
          <w:rFonts w:cs="Arial"/>
          <w:b/>
          <w:color w:val="000000" w:themeColor="text1"/>
        </w:rPr>
        <w:t xml:space="preserve">Unidad 2: Concepciones básicas de la psicología </w:t>
      </w:r>
    </w:p>
    <w:p w14:paraId="1CCC0006" w14:textId="77777777" w:rsidR="00484BB1" w:rsidRPr="00926C7B" w:rsidRDefault="00484BB1" w:rsidP="00484BB1">
      <w:pPr>
        <w:widowControl w:val="0"/>
        <w:numPr>
          <w:ilvl w:val="0"/>
          <w:numId w:val="38"/>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El desarrollo psíquico humano</w:t>
      </w:r>
    </w:p>
    <w:p w14:paraId="592999F4" w14:textId="77777777" w:rsidR="00484BB1" w:rsidRPr="00926C7B" w:rsidRDefault="00484BB1" w:rsidP="00484BB1">
      <w:pPr>
        <w:widowControl w:val="0"/>
        <w:numPr>
          <w:ilvl w:val="0"/>
          <w:numId w:val="38"/>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Fundamentos de la psicología fisiológica</w:t>
      </w:r>
    </w:p>
    <w:p w14:paraId="2C041330" w14:textId="77777777" w:rsidR="00484BB1" w:rsidRPr="00926C7B" w:rsidRDefault="00484BB1" w:rsidP="00484BB1">
      <w:pPr>
        <w:widowControl w:val="0"/>
        <w:numPr>
          <w:ilvl w:val="0"/>
          <w:numId w:val="38"/>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Emociones y conflictos</w:t>
      </w:r>
    </w:p>
    <w:p w14:paraId="3360E158" w14:textId="77777777" w:rsidR="00484BB1" w:rsidRPr="00926C7B" w:rsidRDefault="00484BB1" w:rsidP="00484BB1">
      <w:pPr>
        <w:widowControl w:val="0"/>
        <w:numPr>
          <w:ilvl w:val="0"/>
          <w:numId w:val="38"/>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Procesos cognoscitivos</w:t>
      </w:r>
    </w:p>
    <w:p w14:paraId="26B1BCB2" w14:textId="77777777" w:rsidR="00484BB1" w:rsidRPr="00926C7B" w:rsidRDefault="00484BB1" w:rsidP="00484BB1">
      <w:pPr>
        <w:widowControl w:val="0"/>
        <w:numPr>
          <w:ilvl w:val="0"/>
          <w:numId w:val="38"/>
        </w:numPr>
        <w:overflowPunct w:val="0"/>
        <w:autoSpaceDE w:val="0"/>
        <w:autoSpaceDN w:val="0"/>
        <w:adjustRightInd w:val="0"/>
        <w:spacing w:after="0" w:line="240" w:lineRule="auto"/>
        <w:rPr>
          <w:rFonts w:cs="Arial"/>
          <w:color w:val="000000" w:themeColor="text1"/>
        </w:rPr>
      </w:pPr>
      <w:r w:rsidRPr="00926C7B">
        <w:rPr>
          <w:rFonts w:cs="Arial"/>
          <w:color w:val="000000" w:themeColor="text1"/>
        </w:rPr>
        <w:t xml:space="preserve">La personalidad </w:t>
      </w:r>
    </w:p>
    <w:p w14:paraId="0BA0B655" w14:textId="77777777" w:rsidR="00484BB1" w:rsidRPr="00926C7B" w:rsidRDefault="00484BB1" w:rsidP="00145435">
      <w:pPr>
        <w:pStyle w:val="Textodebloque"/>
        <w:pBdr>
          <w:top w:val="none" w:sz="0" w:space="0" w:color="auto"/>
          <w:left w:val="none" w:sz="0" w:space="0" w:color="auto"/>
          <w:bottom w:val="none" w:sz="0" w:space="0" w:color="auto"/>
          <w:right w:val="none" w:sz="0" w:space="0" w:color="auto"/>
        </w:pBdr>
        <w:shd w:val="clear" w:color="auto" w:fill="auto"/>
        <w:tabs>
          <w:tab w:val="left" w:pos="851"/>
          <w:tab w:val="num" w:pos="1134"/>
        </w:tabs>
        <w:ind w:left="0"/>
        <w:jc w:val="left"/>
        <w:rPr>
          <w:rFonts w:asciiTheme="minorHAnsi" w:hAnsiTheme="minorHAnsi" w:cs="Arial"/>
          <w:color w:val="000000" w:themeColor="text1"/>
          <w:sz w:val="22"/>
          <w:szCs w:val="22"/>
        </w:rPr>
      </w:pPr>
    </w:p>
    <w:p w14:paraId="2F7FA12A" w14:textId="77777777" w:rsidR="00484BB1" w:rsidRDefault="00484BB1" w:rsidP="00145435">
      <w:pPr>
        <w:pStyle w:val="Textodebloque"/>
        <w:pBdr>
          <w:top w:val="none" w:sz="0" w:space="0" w:color="auto"/>
          <w:left w:val="none" w:sz="0" w:space="0" w:color="auto"/>
          <w:bottom w:val="none" w:sz="0" w:space="0" w:color="auto"/>
          <w:right w:val="none" w:sz="0" w:space="0" w:color="auto"/>
        </w:pBdr>
        <w:shd w:val="clear" w:color="auto" w:fill="auto"/>
        <w:tabs>
          <w:tab w:val="left" w:pos="851"/>
          <w:tab w:val="num" w:pos="1134"/>
        </w:tabs>
        <w:ind w:left="0"/>
        <w:jc w:val="left"/>
        <w:rPr>
          <w:rFonts w:asciiTheme="minorHAnsi" w:hAnsiTheme="minorHAnsi" w:cs="Arial"/>
          <w:b/>
          <w:color w:val="000000" w:themeColor="text1"/>
          <w:sz w:val="22"/>
          <w:szCs w:val="22"/>
        </w:rPr>
      </w:pPr>
      <w:r w:rsidRPr="00926C7B">
        <w:rPr>
          <w:rFonts w:asciiTheme="minorHAnsi" w:hAnsiTheme="minorHAnsi" w:cs="Arial"/>
          <w:b/>
          <w:color w:val="000000" w:themeColor="text1"/>
          <w:sz w:val="22"/>
          <w:szCs w:val="22"/>
        </w:rPr>
        <w:t>Unidad 3: Procesos psicosociales básicos</w:t>
      </w:r>
    </w:p>
    <w:p w14:paraId="4E568A45" w14:textId="77777777" w:rsidR="00484BB1" w:rsidRPr="00926C7B" w:rsidRDefault="00484BB1" w:rsidP="00145435">
      <w:pPr>
        <w:pStyle w:val="Textodebloque"/>
        <w:pBdr>
          <w:top w:val="none" w:sz="0" w:space="0" w:color="auto"/>
          <w:left w:val="none" w:sz="0" w:space="0" w:color="auto"/>
          <w:bottom w:val="none" w:sz="0" w:space="0" w:color="auto"/>
          <w:right w:val="none" w:sz="0" w:space="0" w:color="auto"/>
        </w:pBdr>
        <w:shd w:val="clear" w:color="auto" w:fill="auto"/>
        <w:tabs>
          <w:tab w:val="left" w:pos="851"/>
          <w:tab w:val="num" w:pos="1134"/>
        </w:tabs>
        <w:ind w:left="0"/>
        <w:jc w:val="left"/>
        <w:rPr>
          <w:rFonts w:asciiTheme="minorHAnsi" w:hAnsiTheme="minorHAnsi" w:cs="Arial"/>
          <w:b/>
          <w:color w:val="000000" w:themeColor="text1"/>
          <w:sz w:val="22"/>
          <w:szCs w:val="22"/>
        </w:rPr>
      </w:pPr>
    </w:p>
    <w:p w14:paraId="690353E1" w14:textId="77777777" w:rsidR="00484BB1" w:rsidRPr="00926C7B" w:rsidRDefault="00484BB1" w:rsidP="00484BB1">
      <w:pPr>
        <w:pStyle w:val="Textodebloque"/>
        <w:numPr>
          <w:ilvl w:val="0"/>
          <w:numId w:val="39"/>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Los procesos de socialización</w:t>
      </w:r>
    </w:p>
    <w:p w14:paraId="3FB5BE46" w14:textId="77777777" w:rsidR="00484BB1" w:rsidRPr="00926C7B" w:rsidRDefault="00484BB1" w:rsidP="00484BB1">
      <w:pPr>
        <w:pStyle w:val="Textodebloque"/>
        <w:numPr>
          <w:ilvl w:val="0"/>
          <w:numId w:val="39"/>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Vinculación entre individuo y sociedad</w:t>
      </w:r>
    </w:p>
    <w:p w14:paraId="3A514D9C" w14:textId="77777777" w:rsidR="00484BB1" w:rsidRDefault="00484BB1" w:rsidP="00484BB1">
      <w:pPr>
        <w:pStyle w:val="Textodebloque"/>
        <w:numPr>
          <w:ilvl w:val="0"/>
          <w:numId w:val="39"/>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Las condiciones psico-sociales para una salud mental</w:t>
      </w:r>
    </w:p>
    <w:p w14:paraId="5C1B2CC4" w14:textId="77777777" w:rsidR="00484BB1" w:rsidRPr="00926C7B" w:rsidRDefault="00484BB1" w:rsidP="00145435">
      <w:pPr>
        <w:pStyle w:val="Textodebloque"/>
        <w:pBdr>
          <w:top w:val="none" w:sz="0" w:space="0" w:color="auto"/>
          <w:left w:val="none" w:sz="0" w:space="0" w:color="auto"/>
          <w:bottom w:val="none" w:sz="0" w:space="0" w:color="auto"/>
          <w:right w:val="none" w:sz="0" w:space="0" w:color="auto"/>
        </w:pBdr>
        <w:shd w:val="clear" w:color="auto" w:fill="auto"/>
        <w:tabs>
          <w:tab w:val="left" w:pos="851"/>
          <w:tab w:val="num" w:pos="1134"/>
        </w:tabs>
        <w:ind w:left="0"/>
        <w:jc w:val="left"/>
        <w:rPr>
          <w:rFonts w:asciiTheme="minorHAnsi" w:hAnsiTheme="minorHAnsi" w:cs="Arial"/>
          <w:color w:val="000000" w:themeColor="text1"/>
          <w:sz w:val="22"/>
          <w:szCs w:val="22"/>
        </w:rPr>
      </w:pPr>
    </w:p>
    <w:p w14:paraId="199145E7" w14:textId="77777777" w:rsidR="00484BB1" w:rsidRDefault="00484BB1" w:rsidP="00145435">
      <w:pPr>
        <w:tabs>
          <w:tab w:val="left" w:pos="851"/>
          <w:tab w:val="num" w:pos="1134"/>
        </w:tabs>
        <w:rPr>
          <w:rFonts w:cs="Arial"/>
          <w:b/>
          <w:color w:val="000000" w:themeColor="text1"/>
        </w:rPr>
      </w:pPr>
      <w:r w:rsidRPr="00926C7B">
        <w:rPr>
          <w:rFonts w:cs="Arial"/>
          <w:b/>
          <w:color w:val="000000" w:themeColor="text1"/>
        </w:rPr>
        <w:t>U</w:t>
      </w:r>
      <w:r>
        <w:rPr>
          <w:rFonts w:cs="Arial"/>
          <w:b/>
          <w:color w:val="000000" w:themeColor="text1"/>
        </w:rPr>
        <w:t>nidad 4: La estructura familiar</w:t>
      </w:r>
    </w:p>
    <w:p w14:paraId="531862E9" w14:textId="77777777" w:rsidR="00484BB1" w:rsidRPr="00926C7B" w:rsidRDefault="00484BB1" w:rsidP="00484BB1">
      <w:pPr>
        <w:pStyle w:val="Textodebloque"/>
        <w:numPr>
          <w:ilvl w:val="0"/>
          <w:numId w:val="40"/>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La organización vincular y sistémica de la familia</w:t>
      </w:r>
    </w:p>
    <w:p w14:paraId="69975A96" w14:textId="77777777" w:rsidR="00484BB1" w:rsidRPr="00926C7B" w:rsidRDefault="00484BB1" w:rsidP="00484BB1">
      <w:pPr>
        <w:pStyle w:val="Textodebloque"/>
        <w:numPr>
          <w:ilvl w:val="0"/>
          <w:numId w:val="40"/>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El vínculo afectivo</w:t>
      </w:r>
    </w:p>
    <w:p w14:paraId="6E7B1371" w14:textId="77777777" w:rsidR="00484BB1" w:rsidRPr="00926C7B" w:rsidRDefault="00484BB1" w:rsidP="00484BB1">
      <w:pPr>
        <w:pStyle w:val="Textodebloque"/>
        <w:numPr>
          <w:ilvl w:val="0"/>
          <w:numId w:val="40"/>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Modelos de crianza</w:t>
      </w:r>
    </w:p>
    <w:p w14:paraId="02A5C5EC" w14:textId="77777777" w:rsidR="00484BB1" w:rsidRPr="00926C7B" w:rsidRDefault="00484BB1" w:rsidP="00145435">
      <w:pPr>
        <w:tabs>
          <w:tab w:val="left" w:pos="851"/>
          <w:tab w:val="num" w:pos="1134"/>
        </w:tabs>
        <w:rPr>
          <w:rFonts w:cs="Arial"/>
          <w:color w:val="000000" w:themeColor="text1"/>
        </w:rPr>
      </w:pPr>
    </w:p>
    <w:p w14:paraId="2CA6A98E" w14:textId="77777777" w:rsidR="00484BB1" w:rsidRDefault="00484BB1" w:rsidP="00145435">
      <w:pPr>
        <w:tabs>
          <w:tab w:val="left" w:pos="851"/>
          <w:tab w:val="num" w:pos="1134"/>
        </w:tabs>
        <w:rPr>
          <w:rFonts w:cs="Arial"/>
          <w:b/>
          <w:color w:val="000000" w:themeColor="text1"/>
        </w:rPr>
      </w:pPr>
      <w:r w:rsidRPr="00926C7B">
        <w:rPr>
          <w:rFonts w:cs="Arial"/>
          <w:b/>
          <w:color w:val="000000" w:themeColor="text1"/>
        </w:rPr>
        <w:t>Unidad 5: Aportes de la psicología a la pastoral</w:t>
      </w:r>
    </w:p>
    <w:p w14:paraId="35AA6790" w14:textId="77777777" w:rsidR="00484BB1" w:rsidRPr="00926C7B" w:rsidRDefault="00484BB1" w:rsidP="00484BB1">
      <w:pPr>
        <w:pStyle w:val="Textodebloque"/>
        <w:numPr>
          <w:ilvl w:val="0"/>
          <w:numId w:val="41"/>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Situaciones emocionales de frecuente atención pastoral</w:t>
      </w:r>
    </w:p>
    <w:p w14:paraId="6553C2D2" w14:textId="77777777" w:rsidR="00484BB1" w:rsidRPr="00926C7B" w:rsidRDefault="00484BB1" w:rsidP="00484BB1">
      <w:pPr>
        <w:pStyle w:val="Textodebloque"/>
        <w:numPr>
          <w:ilvl w:val="0"/>
          <w:numId w:val="41"/>
        </w:numPr>
        <w:pBdr>
          <w:top w:val="none" w:sz="0" w:space="0" w:color="auto"/>
          <w:left w:val="none" w:sz="0" w:space="0" w:color="auto"/>
          <w:bottom w:val="none" w:sz="0" w:space="0" w:color="auto"/>
          <w:right w:val="none" w:sz="0" w:space="0" w:color="auto"/>
        </w:pBdr>
        <w:shd w:val="clear" w:color="auto" w:fill="auto"/>
        <w:tabs>
          <w:tab w:val="left" w:pos="851"/>
        </w:tabs>
        <w:jc w:val="left"/>
        <w:rPr>
          <w:rFonts w:asciiTheme="minorHAnsi" w:hAnsiTheme="minorHAnsi" w:cs="Arial"/>
          <w:color w:val="000000" w:themeColor="text1"/>
          <w:sz w:val="22"/>
          <w:szCs w:val="22"/>
        </w:rPr>
      </w:pPr>
      <w:r w:rsidRPr="00926C7B">
        <w:rPr>
          <w:rFonts w:asciiTheme="minorHAnsi" w:hAnsiTheme="minorHAnsi" w:cs="Arial"/>
          <w:color w:val="000000" w:themeColor="text1"/>
          <w:sz w:val="22"/>
          <w:szCs w:val="22"/>
        </w:rPr>
        <w:t>Caracterización de crisis socioemocionales</w:t>
      </w:r>
    </w:p>
    <w:p w14:paraId="5965E561" w14:textId="77777777" w:rsidR="00484BB1" w:rsidRDefault="00484BB1">
      <w:pPr>
        <w:rPr>
          <w:rFonts w:eastAsia="Times" w:cs="Arial"/>
          <w:b/>
          <w:color w:val="000000" w:themeColor="text1"/>
          <w:lang w:eastAsia="es-ES"/>
        </w:rPr>
      </w:pPr>
    </w:p>
    <w:p w14:paraId="351D9414" w14:textId="77777777" w:rsidR="00484BB1" w:rsidRPr="00663FC2" w:rsidRDefault="00484BB1" w:rsidP="00145435">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jc w:val="left"/>
        <w:rPr>
          <w:rFonts w:asciiTheme="minorHAnsi" w:hAnsiTheme="minorHAnsi" w:cs="Arial"/>
          <w:b/>
          <w:color w:val="000000" w:themeColor="text1"/>
          <w:sz w:val="22"/>
          <w:szCs w:val="22"/>
        </w:rPr>
      </w:pPr>
      <w:r>
        <w:rPr>
          <w:rFonts w:asciiTheme="minorHAnsi" w:hAnsiTheme="minorHAnsi" w:cs="Arial"/>
          <w:b/>
          <w:color w:val="000000" w:themeColor="text1"/>
          <w:sz w:val="22"/>
          <w:szCs w:val="22"/>
        </w:rPr>
        <w:t>V. Metodología</w:t>
      </w:r>
    </w:p>
    <w:p w14:paraId="4AC694F0" w14:textId="77777777" w:rsidR="00484BB1" w:rsidRPr="00663FC2" w:rsidRDefault="00484BB1" w:rsidP="00145435">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jc w:val="left"/>
        <w:rPr>
          <w:rFonts w:asciiTheme="minorHAnsi" w:hAnsiTheme="minorHAnsi" w:cs="Arial"/>
          <w:color w:val="000000" w:themeColor="text1"/>
          <w:sz w:val="22"/>
          <w:szCs w:val="22"/>
        </w:rPr>
      </w:pPr>
    </w:p>
    <w:p w14:paraId="3F4C9494" w14:textId="77777777" w:rsidR="00484BB1" w:rsidRPr="00663FC2" w:rsidRDefault="4C9C2619" w:rsidP="4C9C261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70"/>
        <w:jc w:val="both"/>
        <w:rPr>
          <w:rFonts w:asciiTheme="minorHAnsi" w:hAnsiTheme="minorHAnsi" w:cs="Arial"/>
          <w:color w:val="000000" w:themeColor="text1"/>
          <w:sz w:val="22"/>
          <w:szCs w:val="22"/>
          <w:lang w:val="es-ES"/>
        </w:rPr>
      </w:pPr>
      <w:r w:rsidRPr="4C9C2619">
        <w:rPr>
          <w:rFonts w:asciiTheme="minorHAnsi" w:hAnsiTheme="minorHAnsi" w:cstheme="minorBidi"/>
          <w:color w:val="000000" w:themeColor="text1"/>
          <w:sz w:val="22"/>
          <w:szCs w:val="22"/>
          <w:lang w:val="es-ES"/>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w:t>
      </w:r>
      <w:r w:rsidRPr="4C9C2619">
        <w:rPr>
          <w:rFonts w:asciiTheme="minorHAnsi" w:hAnsiTheme="minorHAnsi" w:cstheme="minorBidi"/>
          <w:color w:val="000000" w:themeColor="text1"/>
          <w:sz w:val="22"/>
          <w:szCs w:val="22"/>
          <w:lang w:val="es-ES"/>
        </w:rPr>
        <w:lastRenderedPageBreak/>
        <w:t>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77ECBFFD" w14:textId="77777777" w:rsidR="00484BB1" w:rsidRDefault="00484BB1" w:rsidP="0056477E">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70"/>
        <w:jc w:val="both"/>
        <w:rPr>
          <w:rFonts w:asciiTheme="minorHAnsi" w:hAnsiTheme="minorHAnsi" w:cs="Arial"/>
          <w:color w:val="000000" w:themeColor="text1"/>
          <w:sz w:val="22"/>
          <w:szCs w:val="22"/>
        </w:rPr>
      </w:pPr>
    </w:p>
    <w:p w14:paraId="508E3F06" w14:textId="77777777" w:rsidR="00484BB1" w:rsidRDefault="00484BB1" w:rsidP="00D24675">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70"/>
        <w:jc w:val="both"/>
        <w:rPr>
          <w:rFonts w:asciiTheme="minorHAnsi" w:hAnsiTheme="minorHAnsi" w:cs="Arial"/>
          <w:color w:val="000000" w:themeColor="text1"/>
          <w:sz w:val="22"/>
          <w:szCs w:val="22"/>
        </w:rPr>
      </w:pPr>
      <w:r w:rsidRPr="00663FC2">
        <w:rPr>
          <w:rFonts w:asciiTheme="minorHAnsi" w:hAnsiTheme="minorHAnsi" w:cs="Arial"/>
          <w:color w:val="000000" w:themeColor="text1"/>
          <w:sz w:val="22"/>
          <w:szCs w:val="22"/>
        </w:rPr>
        <w:t xml:space="preserve">La metodología del curso estará orientada hacia el acopio teórico de conceptos básicos de la psicología que permitan a cada estudiante </w:t>
      </w:r>
      <w:r>
        <w:rPr>
          <w:rFonts w:asciiTheme="minorHAnsi" w:hAnsiTheme="minorHAnsi" w:cs="Arial"/>
          <w:color w:val="000000" w:themeColor="text1"/>
          <w:sz w:val="22"/>
          <w:szCs w:val="22"/>
        </w:rPr>
        <w:t xml:space="preserve">entender y analizar </w:t>
      </w:r>
      <w:r w:rsidRPr="00663FC2">
        <w:rPr>
          <w:rFonts w:asciiTheme="minorHAnsi" w:hAnsiTheme="minorHAnsi" w:cs="Arial"/>
          <w:color w:val="000000" w:themeColor="text1"/>
          <w:sz w:val="22"/>
          <w:szCs w:val="22"/>
        </w:rPr>
        <w:t>el comportamiento humano.</w:t>
      </w:r>
      <w:r>
        <w:rPr>
          <w:rFonts w:asciiTheme="minorHAnsi" w:hAnsiTheme="minorHAnsi" w:cs="Arial"/>
          <w:color w:val="000000" w:themeColor="text1"/>
          <w:sz w:val="22"/>
          <w:szCs w:val="22"/>
        </w:rPr>
        <w:t xml:space="preserve"> </w:t>
      </w:r>
      <w:r w:rsidRPr="00663FC2">
        <w:rPr>
          <w:rFonts w:asciiTheme="minorHAnsi" w:hAnsiTheme="minorHAnsi" w:cs="Arial"/>
          <w:color w:val="000000" w:themeColor="text1"/>
          <w:sz w:val="22"/>
          <w:szCs w:val="22"/>
        </w:rPr>
        <w:t>Para adquirir ese conocimiento se han organizado los temas de manera progresiva, a través de la lectura crítica de textos</w:t>
      </w:r>
      <w:r>
        <w:rPr>
          <w:rFonts w:asciiTheme="minorHAnsi" w:hAnsiTheme="minorHAnsi" w:cs="Arial"/>
          <w:color w:val="000000" w:themeColor="text1"/>
          <w:sz w:val="22"/>
          <w:szCs w:val="22"/>
        </w:rPr>
        <w:t xml:space="preserve"> digitales expuestos y debatidos en el aula virtual.</w:t>
      </w:r>
      <w:r w:rsidRPr="00663FC2">
        <w:rPr>
          <w:rFonts w:asciiTheme="minorHAnsi" w:hAnsiTheme="minorHAnsi" w:cs="Arial"/>
          <w:color w:val="000000" w:themeColor="text1"/>
          <w:sz w:val="22"/>
          <w:szCs w:val="22"/>
        </w:rPr>
        <w:t xml:space="preserve">  El curso tiene un acercamiento metodológico analítico mediante la observación y </w:t>
      </w:r>
      <w:r>
        <w:rPr>
          <w:rFonts w:asciiTheme="minorHAnsi" w:hAnsiTheme="minorHAnsi" w:cs="Arial"/>
          <w:color w:val="000000" w:themeColor="text1"/>
          <w:sz w:val="22"/>
          <w:szCs w:val="22"/>
        </w:rPr>
        <w:t>el estudio</w:t>
      </w:r>
      <w:r w:rsidRPr="00663FC2">
        <w:rPr>
          <w:rFonts w:asciiTheme="minorHAnsi" w:hAnsiTheme="minorHAnsi" w:cs="Arial"/>
          <w:color w:val="000000" w:themeColor="text1"/>
          <w:sz w:val="22"/>
          <w:szCs w:val="22"/>
        </w:rPr>
        <w:t xml:space="preserve"> de casos. El análisis de casos se abordará con un enfoque integral bio-psico-cultural del ser humano. Este acercamiento teórico-</w:t>
      </w:r>
      <w:r>
        <w:rPr>
          <w:rFonts w:asciiTheme="minorHAnsi" w:hAnsiTheme="minorHAnsi" w:cs="Arial"/>
          <w:color w:val="000000" w:themeColor="text1"/>
          <w:sz w:val="22"/>
          <w:szCs w:val="22"/>
        </w:rPr>
        <w:t>metodológico permitirá que la o el</w:t>
      </w:r>
      <w:r w:rsidRPr="00663FC2">
        <w:rPr>
          <w:rFonts w:asciiTheme="minorHAnsi" w:hAnsiTheme="minorHAnsi" w:cs="Arial"/>
          <w:color w:val="000000" w:themeColor="text1"/>
          <w:sz w:val="22"/>
          <w:szCs w:val="22"/>
        </w:rPr>
        <w:t xml:space="preserve"> estudiante pueda </w:t>
      </w:r>
      <w:r>
        <w:rPr>
          <w:rFonts w:asciiTheme="minorHAnsi" w:hAnsiTheme="minorHAnsi" w:cs="Arial"/>
          <w:color w:val="000000" w:themeColor="text1"/>
          <w:sz w:val="22"/>
          <w:szCs w:val="22"/>
        </w:rPr>
        <w:t>tener un acercamiento integral en la monografía final</w:t>
      </w:r>
      <w:r w:rsidRPr="00663FC2">
        <w:rPr>
          <w:rFonts w:asciiTheme="minorHAnsi" w:hAnsiTheme="minorHAnsi" w:cs="Arial"/>
          <w:color w:val="000000" w:themeColor="text1"/>
          <w:sz w:val="22"/>
          <w:szCs w:val="22"/>
        </w:rPr>
        <w:t>, a través de</w:t>
      </w:r>
      <w:r>
        <w:rPr>
          <w:rFonts w:asciiTheme="minorHAnsi" w:hAnsiTheme="minorHAnsi" w:cs="Arial"/>
          <w:color w:val="000000" w:themeColor="text1"/>
          <w:sz w:val="22"/>
          <w:szCs w:val="22"/>
        </w:rPr>
        <w:t xml:space="preserve"> la </w:t>
      </w:r>
      <w:r w:rsidRPr="00663FC2">
        <w:rPr>
          <w:rFonts w:asciiTheme="minorHAnsi" w:hAnsiTheme="minorHAnsi" w:cs="Arial"/>
          <w:color w:val="000000" w:themeColor="text1"/>
          <w:sz w:val="22"/>
          <w:szCs w:val="22"/>
        </w:rPr>
        <w:t>cua</w:t>
      </w:r>
      <w:r>
        <w:rPr>
          <w:rFonts w:asciiTheme="minorHAnsi" w:hAnsiTheme="minorHAnsi" w:cs="Arial"/>
          <w:color w:val="000000" w:themeColor="text1"/>
          <w:sz w:val="22"/>
          <w:szCs w:val="22"/>
        </w:rPr>
        <w:t>l analizará una situación psico-social particular.</w:t>
      </w:r>
    </w:p>
    <w:p w14:paraId="7C14BB98" w14:textId="77777777" w:rsidR="00484BB1" w:rsidRDefault="00484BB1" w:rsidP="00D24675">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70"/>
        <w:jc w:val="both"/>
        <w:rPr>
          <w:rFonts w:asciiTheme="minorHAnsi" w:hAnsiTheme="minorHAnsi" w:cs="Arial"/>
          <w:color w:val="000000" w:themeColor="text1"/>
          <w:sz w:val="22"/>
          <w:szCs w:val="22"/>
        </w:rPr>
      </w:pPr>
    </w:p>
    <w:p w14:paraId="426D9E12" w14:textId="77777777" w:rsidR="00484BB1" w:rsidRPr="00D24675" w:rsidRDefault="00484BB1" w:rsidP="00D24675">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70"/>
        <w:jc w:val="both"/>
        <w:rPr>
          <w:rFonts w:asciiTheme="minorHAnsi" w:hAnsiTheme="minorHAnsi" w:cs="Arial"/>
          <w:color w:val="000000" w:themeColor="text1"/>
          <w:sz w:val="22"/>
          <w:szCs w:val="22"/>
        </w:rPr>
      </w:pPr>
      <w:r>
        <w:rPr>
          <w:rFonts w:asciiTheme="minorHAnsi" w:hAnsiTheme="minorHAnsi" w:cstheme="minorHAnsi"/>
          <w:bCs/>
          <w:sz w:val="22"/>
          <w:szCs w:val="22"/>
          <w:lang w:val="es-CR"/>
        </w:rPr>
        <w:t xml:space="preserve">Durante el curso se realizarán encuentros sincrónicos virtuales en la plataforma virtual. </w:t>
      </w:r>
      <w:r w:rsidRPr="0023680A">
        <w:rPr>
          <w:rFonts w:asciiTheme="minorHAnsi" w:hAnsiTheme="minorHAnsi" w:cstheme="minorHAnsi"/>
          <w:bCs/>
          <w:sz w:val="22"/>
          <w:szCs w:val="22"/>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0255E917" w14:textId="77777777" w:rsidR="00484BB1" w:rsidRDefault="00484BB1" w:rsidP="00145435">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jc w:val="left"/>
        <w:rPr>
          <w:rFonts w:asciiTheme="minorHAnsi" w:hAnsiTheme="minorHAnsi" w:cs="Arial"/>
          <w:b/>
          <w:color w:val="000000" w:themeColor="text1"/>
          <w:sz w:val="22"/>
          <w:szCs w:val="22"/>
        </w:rPr>
      </w:pPr>
    </w:p>
    <w:p w14:paraId="34DBD4F3" w14:textId="77777777" w:rsidR="00484BB1" w:rsidRPr="00663FC2" w:rsidRDefault="00484BB1" w:rsidP="00145435">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jc w:val="left"/>
        <w:rPr>
          <w:rFonts w:asciiTheme="minorHAnsi" w:hAnsiTheme="minorHAnsi" w:cs="Arial"/>
          <w:b/>
          <w:color w:val="000000" w:themeColor="text1"/>
          <w:sz w:val="22"/>
          <w:szCs w:val="22"/>
        </w:rPr>
      </w:pPr>
      <w:r w:rsidRPr="00663FC2">
        <w:rPr>
          <w:rFonts w:asciiTheme="minorHAnsi" w:hAnsiTheme="minorHAnsi" w:cs="Arial"/>
          <w:b/>
          <w:color w:val="000000" w:themeColor="text1"/>
          <w:sz w:val="22"/>
          <w:szCs w:val="22"/>
        </w:rPr>
        <w:t>VI.</w:t>
      </w:r>
      <w:r>
        <w:rPr>
          <w:rFonts w:asciiTheme="minorHAnsi" w:hAnsiTheme="minorHAnsi" w:cs="Arial"/>
          <w:b/>
          <w:color w:val="000000" w:themeColor="text1"/>
          <w:sz w:val="22"/>
          <w:szCs w:val="22"/>
        </w:rPr>
        <w:t xml:space="preserve"> Estrategias</w:t>
      </w:r>
      <w:r w:rsidRPr="00663FC2">
        <w:rPr>
          <w:rFonts w:asciiTheme="minorHAnsi" w:hAnsiTheme="minorHAnsi" w:cs="Arial"/>
          <w:b/>
          <w:color w:val="000000" w:themeColor="text1"/>
          <w:sz w:val="22"/>
          <w:szCs w:val="22"/>
        </w:rPr>
        <w:t xml:space="preserve"> de aprendizaje</w:t>
      </w:r>
    </w:p>
    <w:p w14:paraId="70852D97" w14:textId="77777777" w:rsidR="00484BB1" w:rsidRPr="00663FC2" w:rsidRDefault="00484BB1" w:rsidP="00145435">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jc w:val="left"/>
        <w:rPr>
          <w:rFonts w:asciiTheme="minorHAnsi" w:hAnsiTheme="minorHAnsi" w:cs="Arial"/>
          <w:b/>
          <w:color w:val="000000" w:themeColor="text1"/>
          <w:sz w:val="22"/>
          <w:szCs w:val="22"/>
        </w:rPr>
      </w:pPr>
    </w:p>
    <w:p w14:paraId="4032FD5B" w14:textId="77777777" w:rsidR="00484BB1" w:rsidRDefault="00484BB1" w:rsidP="00145435">
      <w:pPr>
        <w:jc w:val="both"/>
        <w:rPr>
          <w:rFonts w:cs="Arial"/>
          <w:color w:val="000000" w:themeColor="text1"/>
        </w:rPr>
      </w:pPr>
      <w:r w:rsidRPr="00A84006">
        <w:rPr>
          <w:rFonts w:cs="Arial"/>
          <w:color w:val="000000" w:themeColor="text1"/>
        </w:rPr>
        <w:t>La finalidad del aprendizaje en este curso es que las personas estudiantes logren el conocimiento de los principios generales relacionados con el comportamiento de los individuos en el grupo, con la formación de grupos, relaciones, funciones, cambios y actitudes individuales y grupales. Esto con el fin de aplicar dicho conocimiento en la organización y manejo de grupos.</w:t>
      </w:r>
    </w:p>
    <w:p w14:paraId="30C608B6" w14:textId="77777777" w:rsidR="00484BB1" w:rsidRDefault="00484BB1" w:rsidP="00145435">
      <w:pPr>
        <w:jc w:val="both"/>
        <w:rPr>
          <w:rFonts w:cs="Arial"/>
          <w:color w:val="000000" w:themeColor="text1"/>
        </w:rPr>
      </w:pPr>
      <w:r>
        <w:rPr>
          <w:rFonts w:cs="Arial"/>
          <w:color w:val="000000" w:themeColor="text1"/>
        </w:rPr>
        <w:t>Se utilizan las siguientes estrategias de aprendizaje:</w:t>
      </w:r>
    </w:p>
    <w:p w14:paraId="64E5921F" w14:textId="77777777" w:rsidR="00484BB1" w:rsidRDefault="00484BB1" w:rsidP="0069484B">
      <w:pPr>
        <w:jc w:val="both"/>
        <w:rPr>
          <w:rFonts w:cstheme="minorHAnsi"/>
          <w:bCs/>
          <w:color w:val="000000" w:themeColor="text1"/>
        </w:rPr>
      </w:pPr>
      <w:r>
        <w:rPr>
          <w:rFonts w:cstheme="minorHAnsi"/>
          <w:b/>
          <w:color w:val="000000" w:themeColor="text1"/>
        </w:rPr>
        <w:t xml:space="preserve">a) Foro: </w:t>
      </w:r>
      <w:bookmarkStart w:id="12" w:name="_Hlk118824868"/>
      <w:r w:rsidRPr="004619D8">
        <w:rPr>
          <w:rFonts w:ascii="Calibri" w:eastAsia="Calibri" w:hAnsi="Calibri" w:cs="Calibri"/>
          <w:bCs/>
        </w:rPr>
        <w:t xml:space="preserve">El propósito del </w:t>
      </w:r>
      <w:r>
        <w:rPr>
          <w:rFonts w:ascii="Calibri" w:eastAsia="Calibri" w:hAnsi="Calibri" w:cs="Calibri"/>
          <w:bCs/>
        </w:rPr>
        <w:t>f</w:t>
      </w:r>
      <w:r w:rsidRPr="004619D8">
        <w:rPr>
          <w:rFonts w:ascii="Calibri" w:eastAsia="Calibri" w:hAnsi="Calibri" w:cs="Calibri"/>
          <w:bCs/>
        </w:rPr>
        <w:t xml:space="preserve">oro como estrategia de aprendizaje es permitir que las personas estudiantes y </w:t>
      </w:r>
      <w:r>
        <w:rPr>
          <w:rFonts w:ascii="Calibri" w:eastAsia="Calibri" w:hAnsi="Calibri" w:cs="Calibri"/>
          <w:bCs/>
        </w:rPr>
        <w:t xml:space="preserve">la </w:t>
      </w:r>
      <w:r w:rsidRPr="004619D8">
        <w:rPr>
          <w:rFonts w:ascii="Calibri" w:eastAsia="Calibri" w:hAnsi="Calibri" w:cs="Calibri"/>
          <w:bCs/>
        </w:rPr>
        <w:t xml:space="preserve">persona docente interactúen en </w:t>
      </w:r>
      <w:r>
        <w:rPr>
          <w:rFonts w:ascii="Calibri" w:eastAsia="Calibri" w:hAnsi="Calibri" w:cs="Calibri"/>
          <w:bCs/>
        </w:rPr>
        <w:t>este</w:t>
      </w:r>
      <w:r w:rsidRPr="004619D8">
        <w:rPr>
          <w:rFonts w:ascii="Calibri" w:eastAsia="Calibri" w:hAnsi="Calibri" w:cs="Calibri"/>
          <w:bCs/>
        </w:rPr>
        <w:t xml:space="preserve"> discu</w:t>
      </w:r>
      <w:r>
        <w:rPr>
          <w:rFonts w:ascii="Calibri" w:eastAsia="Calibri" w:hAnsi="Calibri" w:cs="Calibri"/>
          <w:bCs/>
        </w:rPr>
        <w:t>tiendo</w:t>
      </w:r>
      <w:r w:rsidRPr="004619D8">
        <w:rPr>
          <w:rFonts w:ascii="Calibri" w:eastAsia="Calibri" w:hAnsi="Calibri" w:cs="Calibri"/>
          <w:bCs/>
        </w:rPr>
        <w:t xml:space="preserve"> las temáticas del curso. En este curso</w:t>
      </w:r>
      <w:bookmarkEnd w:id="12"/>
      <w:r w:rsidRPr="004619D8">
        <w:rPr>
          <w:rFonts w:ascii="Calibri" w:eastAsia="Calibri" w:hAnsi="Calibri" w:cs="Calibri"/>
          <w:bCs/>
        </w:rPr>
        <w:t xml:space="preserve"> se utilizarán los foros para analizar casos en forma grupal</w:t>
      </w:r>
      <w:r w:rsidRPr="004619D8">
        <w:rPr>
          <w:rFonts w:ascii="Calibri" w:eastAsia="Calibri" w:hAnsi="Calibri" w:cs="Calibri"/>
          <w:bCs/>
          <w:iCs/>
        </w:rPr>
        <w:t xml:space="preserve">. El objetivo consiste en analizar un caso, inicialmente, de forma individual, para luego de forma grupal, analizar/comentar los aportes de sus compañeros y compañeras. </w:t>
      </w:r>
      <w:r>
        <w:rPr>
          <w:rFonts w:ascii="Calibri" w:eastAsia="Calibri" w:hAnsi="Calibri" w:cs="Calibri"/>
          <w:bCs/>
          <w:iCs/>
        </w:rPr>
        <w:t>T</w:t>
      </w:r>
      <w:r w:rsidRPr="004619D8">
        <w:rPr>
          <w:rFonts w:ascii="Calibri" w:eastAsia="Calibri" w:hAnsi="Calibri" w:cs="Calibri"/>
          <w:bCs/>
          <w:iCs/>
        </w:rPr>
        <w:t>ambién se desarrollará un foro para analizar historias de vida.</w:t>
      </w:r>
    </w:p>
    <w:p w14:paraId="30548DD2" w14:textId="77777777" w:rsidR="00484BB1" w:rsidRDefault="00484BB1" w:rsidP="0069484B">
      <w:pPr>
        <w:jc w:val="both"/>
        <w:rPr>
          <w:rFonts w:ascii="Calibri" w:eastAsia="Calibri" w:hAnsi="Calibri" w:cs="Calibri"/>
          <w:bCs/>
        </w:rPr>
      </w:pPr>
      <w:r>
        <w:rPr>
          <w:rFonts w:cstheme="minorHAnsi"/>
          <w:b/>
          <w:color w:val="000000" w:themeColor="text1"/>
        </w:rPr>
        <w:t xml:space="preserve">b) Encuentro sincrónico virtual: </w:t>
      </w:r>
      <w:r w:rsidRPr="0069484B">
        <w:rPr>
          <w:rFonts w:ascii="Calibri" w:eastAsia="Calibri" w:hAnsi="Calibri" w:cs="Calibri"/>
          <w:lang w:val="es-MX"/>
        </w:rPr>
        <w:t>Los encuentros sincrónicos virtuales facilitan la comunicación entre estudiantes y docente. Es una estrategia de aprendizaje virtual que permite a los actores del proceso</w:t>
      </w:r>
      <w:r>
        <w:rPr>
          <w:rFonts w:ascii="Calibri" w:eastAsia="Calibri" w:hAnsi="Calibri" w:cs="Calibri"/>
          <w:lang w:val="es-MX"/>
        </w:rPr>
        <w:t xml:space="preserve"> de</w:t>
      </w:r>
      <w:r w:rsidRPr="0069484B">
        <w:rPr>
          <w:rFonts w:ascii="Calibri" w:eastAsia="Calibri" w:hAnsi="Calibri" w:cs="Calibri"/>
          <w:lang w:val="es-MX"/>
        </w:rPr>
        <w:t xml:space="preserve"> enseñanza-aprendizaje construir conocimientos. En este curso dicha </w:t>
      </w:r>
      <w:r>
        <w:rPr>
          <w:rFonts w:ascii="Calibri" w:eastAsia="Calibri" w:hAnsi="Calibri" w:cs="Calibri"/>
          <w:lang w:val="es-MX"/>
        </w:rPr>
        <w:t>estrategia</w:t>
      </w:r>
      <w:r w:rsidRPr="0069484B">
        <w:rPr>
          <w:rFonts w:ascii="Calibri" w:eastAsia="Calibri" w:hAnsi="Calibri" w:cs="Calibri"/>
          <w:lang w:val="es-MX"/>
        </w:rPr>
        <w:t xml:space="preserve"> </w:t>
      </w:r>
      <w:r>
        <w:rPr>
          <w:rFonts w:ascii="Calibri" w:eastAsia="Calibri" w:hAnsi="Calibri" w:cs="Calibri"/>
          <w:lang w:val="es-MX"/>
        </w:rPr>
        <w:t xml:space="preserve">incluirá presentaciones docentes, </w:t>
      </w:r>
      <w:r w:rsidRPr="0069484B">
        <w:rPr>
          <w:rFonts w:ascii="Calibri" w:eastAsia="Calibri" w:hAnsi="Calibri" w:cs="Calibri"/>
          <w:bCs/>
        </w:rPr>
        <w:t>y</w:t>
      </w:r>
      <w:r>
        <w:rPr>
          <w:rFonts w:ascii="Calibri" w:eastAsia="Calibri" w:hAnsi="Calibri" w:cs="Calibri"/>
          <w:bCs/>
        </w:rPr>
        <w:t xml:space="preserve"> también contribuirá para</w:t>
      </w:r>
      <w:r w:rsidRPr="0069484B">
        <w:rPr>
          <w:rFonts w:ascii="Calibri" w:eastAsia="Calibri" w:hAnsi="Calibri" w:cs="Calibri"/>
          <w:bCs/>
        </w:rPr>
        <w:t xml:space="preserve"> guiar ejercicios grupales en torno a temas</w:t>
      </w:r>
      <w:r>
        <w:rPr>
          <w:rFonts w:ascii="Calibri" w:eastAsia="Calibri" w:hAnsi="Calibri" w:cs="Calibri"/>
          <w:bCs/>
        </w:rPr>
        <w:t xml:space="preserve"> como</w:t>
      </w:r>
      <w:r w:rsidRPr="0069484B">
        <w:rPr>
          <w:rFonts w:ascii="Calibri" w:eastAsia="Calibri" w:hAnsi="Calibri" w:cs="Calibri"/>
          <w:bCs/>
        </w:rPr>
        <w:t>: la psicología como disciplina científica, conceptos básicos de la disciplina, procesos psicosociales básicos, estructura familiar, aportes de la psicología a la pastoral, entre otros. De igual forma</w:t>
      </w:r>
      <w:r>
        <w:rPr>
          <w:rFonts w:ascii="Calibri" w:eastAsia="Calibri" w:hAnsi="Calibri" w:cs="Calibri"/>
          <w:bCs/>
        </w:rPr>
        <w:t xml:space="preserve"> </w:t>
      </w:r>
      <w:r w:rsidRPr="0069484B">
        <w:rPr>
          <w:rFonts w:ascii="Calibri" w:eastAsia="Calibri" w:hAnsi="Calibri" w:cs="Calibri"/>
          <w:bCs/>
        </w:rPr>
        <w:t>en los encuentros sincrónicos virtuales</w:t>
      </w:r>
      <w:r>
        <w:rPr>
          <w:rFonts w:ascii="Calibri" w:eastAsia="Calibri" w:hAnsi="Calibri" w:cs="Calibri"/>
          <w:bCs/>
        </w:rPr>
        <w:t xml:space="preserve"> de las últimas tres sesiones</w:t>
      </w:r>
      <w:r w:rsidRPr="0069484B">
        <w:rPr>
          <w:rFonts w:ascii="Calibri" w:eastAsia="Calibri" w:hAnsi="Calibri" w:cs="Calibri"/>
          <w:bCs/>
        </w:rPr>
        <w:t xml:space="preserve"> las personas estudiantes harán presentaciones de los principales hallazgos de su monografía final. </w:t>
      </w:r>
      <w:r>
        <w:rPr>
          <w:rFonts w:ascii="Calibri" w:eastAsia="Calibri" w:hAnsi="Calibri" w:cs="Calibri"/>
          <w:bCs/>
        </w:rPr>
        <w:t xml:space="preserve">Los encuentros sincrónicos virtuales tienen valor formativo. </w:t>
      </w:r>
    </w:p>
    <w:p w14:paraId="1D2161B3" w14:textId="77777777" w:rsidR="00484BB1" w:rsidRDefault="00484BB1" w:rsidP="006E5A02">
      <w:pPr>
        <w:jc w:val="both"/>
        <w:rPr>
          <w:rFonts w:cstheme="minorHAnsi"/>
          <w:bCs/>
          <w:color w:val="000000" w:themeColor="text1"/>
        </w:rPr>
      </w:pPr>
      <w:r>
        <w:rPr>
          <w:rFonts w:cstheme="minorHAnsi"/>
          <w:b/>
          <w:color w:val="000000" w:themeColor="text1"/>
        </w:rPr>
        <w:lastRenderedPageBreak/>
        <w:t xml:space="preserve">c) Observación: </w:t>
      </w:r>
      <w:r w:rsidRPr="006E5A02">
        <w:rPr>
          <w:rFonts w:cstheme="minorHAnsi"/>
          <w:bCs/>
        </w:rPr>
        <w:t>La observación es una actividad pedagógica que implica la interacción del sujeto con su ambiente, a través del cual es posible fijar la atención en un objeto o situación para identificar sus características. En el curso se realiza una tarea de observación y análisis de</w:t>
      </w:r>
      <w:r>
        <w:rPr>
          <w:rFonts w:cstheme="minorHAnsi"/>
          <w:bCs/>
        </w:rPr>
        <w:t xml:space="preserve"> esta</w:t>
      </w:r>
      <w:r w:rsidRPr="006E5A02">
        <w:rPr>
          <w:rFonts w:cstheme="minorHAnsi"/>
          <w:bCs/>
        </w:rPr>
        <w:t xml:space="preserve"> según los conceptos teóricos estudiados con respecto al desarrollo vital de las personas. Consiste en la observación de un grupo de personas en diferentes etapas del desarrollo humano. </w:t>
      </w:r>
    </w:p>
    <w:p w14:paraId="3D9E8A95" w14:textId="77777777" w:rsidR="00484BB1" w:rsidRDefault="00484BB1" w:rsidP="00341593">
      <w:pPr>
        <w:jc w:val="both"/>
        <w:rPr>
          <w:rFonts w:cstheme="minorHAnsi"/>
          <w:bCs/>
          <w:color w:val="000000" w:themeColor="text1"/>
        </w:rPr>
      </w:pPr>
      <w:r>
        <w:rPr>
          <w:rFonts w:cstheme="minorHAnsi"/>
          <w:b/>
          <w:color w:val="000000" w:themeColor="text1"/>
        </w:rPr>
        <w:t xml:space="preserve">d) Monografía: </w:t>
      </w:r>
      <w:r>
        <w:rPr>
          <w:rFonts w:cstheme="minorHAnsi"/>
          <w:bCs/>
          <w:color w:val="000000" w:themeColor="text1"/>
        </w:rPr>
        <w:t xml:space="preserve">Una monografía es un tipo de documento expositivo o explicativo en el que se aborda un tema específico desde una o más perspectivas posibles. Implica la consulta de diversas fuentes hasta agotar lo más posible el abordaje del tema en cuestión. La monografía se desarrollará a lo largo del curso, para ello elegirá un tema derivado de los contenidos del curso. Durante el transcurso de las sesiones la persona docente ofrecerá retroalimentación. </w:t>
      </w:r>
    </w:p>
    <w:p w14:paraId="11154503" w14:textId="77777777" w:rsidR="00484BB1" w:rsidRDefault="00484BB1" w:rsidP="00145435">
      <w:pPr>
        <w:jc w:val="both"/>
        <w:rPr>
          <w:rFonts w:cstheme="minorHAnsi"/>
          <w:color w:val="000000" w:themeColor="text1"/>
        </w:rPr>
      </w:pPr>
      <w:r>
        <w:rPr>
          <w:rFonts w:cstheme="minorHAnsi"/>
          <w:b/>
          <w:color w:val="000000" w:themeColor="text1"/>
        </w:rPr>
        <w:t xml:space="preserve">e) Glosario: </w:t>
      </w:r>
      <w:bookmarkStart w:id="13" w:name="_Hlk118824780"/>
      <w:r w:rsidRPr="003C309C">
        <w:rPr>
          <w:rFonts w:ascii="Calibri" w:eastAsia="Calibri" w:hAnsi="Calibri"/>
          <w:lang w:val="es-MX"/>
        </w:rPr>
        <w:t>Esta herramienta virtual permite la colección de conceptos de</w:t>
      </w:r>
      <w:r>
        <w:rPr>
          <w:rFonts w:ascii="Calibri" w:eastAsia="Calibri" w:hAnsi="Calibri"/>
          <w:lang w:val="es-MX"/>
        </w:rPr>
        <w:t xml:space="preserve"> una</w:t>
      </w:r>
      <w:r w:rsidRPr="003C309C">
        <w:rPr>
          <w:rFonts w:ascii="Calibri" w:eastAsia="Calibri" w:hAnsi="Calibri"/>
          <w:lang w:val="es-MX"/>
        </w:rPr>
        <w:t xml:space="preserve"> disciplina o tema</w:t>
      </w:r>
      <w:r>
        <w:rPr>
          <w:rFonts w:ascii="Calibri" w:eastAsia="Calibri" w:hAnsi="Calibri"/>
          <w:lang w:val="es-MX"/>
        </w:rPr>
        <w:t>, mediante la</w:t>
      </w:r>
      <w:r w:rsidRPr="003C309C">
        <w:rPr>
          <w:rFonts w:ascii="Calibri" w:eastAsia="Calibri" w:hAnsi="Calibri"/>
          <w:lang w:val="es-MX"/>
        </w:rPr>
        <w:t xml:space="preserve"> </w:t>
      </w:r>
      <w:r>
        <w:rPr>
          <w:rFonts w:ascii="Calibri" w:eastAsia="Calibri" w:hAnsi="Calibri"/>
          <w:lang w:val="es-MX"/>
        </w:rPr>
        <w:t>b</w:t>
      </w:r>
      <w:r w:rsidRPr="003C309C">
        <w:rPr>
          <w:rFonts w:ascii="Calibri" w:eastAsia="Calibri" w:hAnsi="Calibri"/>
          <w:lang w:val="es-MX"/>
        </w:rPr>
        <w:t xml:space="preserve">úsqueda de significados y </w:t>
      </w:r>
      <w:r>
        <w:rPr>
          <w:rFonts w:ascii="Calibri" w:eastAsia="Calibri" w:hAnsi="Calibri"/>
          <w:lang w:val="es-MX"/>
        </w:rPr>
        <w:t xml:space="preserve">la </w:t>
      </w:r>
      <w:r w:rsidRPr="003C309C">
        <w:rPr>
          <w:rFonts w:ascii="Calibri" w:eastAsia="Calibri" w:hAnsi="Calibri"/>
          <w:lang w:val="es-MX"/>
        </w:rPr>
        <w:t xml:space="preserve">apropiación de </w:t>
      </w:r>
      <w:r>
        <w:rPr>
          <w:rFonts w:ascii="Calibri" w:eastAsia="Calibri" w:hAnsi="Calibri"/>
          <w:lang w:val="es-MX"/>
        </w:rPr>
        <w:t>estos por</w:t>
      </w:r>
      <w:r w:rsidRPr="003C309C">
        <w:rPr>
          <w:rFonts w:ascii="Calibri" w:eastAsia="Calibri" w:hAnsi="Calibri"/>
          <w:lang w:val="es-MX"/>
        </w:rPr>
        <w:t xml:space="preserve"> parte de la persona estudiante. E</w:t>
      </w:r>
      <w:bookmarkEnd w:id="13"/>
      <w:r>
        <w:rPr>
          <w:rFonts w:ascii="Calibri" w:eastAsia="Calibri" w:hAnsi="Calibri"/>
          <w:lang w:val="es-MX"/>
        </w:rPr>
        <w:t xml:space="preserve">sta estrategia busca </w:t>
      </w:r>
      <w:r w:rsidRPr="003C309C">
        <w:rPr>
          <w:rFonts w:ascii="Calibri" w:eastAsia="Calibri" w:hAnsi="Calibri"/>
          <w:lang w:val="es-MX"/>
        </w:rPr>
        <w:t xml:space="preserve">que las personas estudiantes se apropien de conceptos </w:t>
      </w:r>
      <w:r>
        <w:rPr>
          <w:rFonts w:ascii="Calibri" w:eastAsia="Calibri" w:hAnsi="Calibri"/>
          <w:lang w:val="es-MX"/>
        </w:rPr>
        <w:t>f</w:t>
      </w:r>
      <w:r w:rsidRPr="003C309C">
        <w:rPr>
          <w:rFonts w:ascii="Calibri" w:eastAsia="Calibri" w:hAnsi="Calibri"/>
          <w:lang w:val="es-MX"/>
        </w:rPr>
        <w:t>undame</w:t>
      </w:r>
      <w:r>
        <w:rPr>
          <w:rFonts w:ascii="Calibri" w:eastAsia="Calibri" w:hAnsi="Calibri"/>
          <w:lang w:val="es-MX"/>
        </w:rPr>
        <w:t xml:space="preserve">ntales </w:t>
      </w:r>
      <w:r w:rsidRPr="003C309C">
        <w:rPr>
          <w:rFonts w:ascii="Calibri" w:eastAsia="Calibri" w:hAnsi="Calibri"/>
          <w:lang w:val="es-MX"/>
        </w:rPr>
        <w:t xml:space="preserve">de la </w:t>
      </w:r>
      <w:r>
        <w:rPr>
          <w:rFonts w:ascii="Calibri" w:eastAsia="Calibri" w:hAnsi="Calibri"/>
          <w:lang w:val="es-MX"/>
        </w:rPr>
        <w:t>p</w:t>
      </w:r>
      <w:r w:rsidRPr="003C309C">
        <w:rPr>
          <w:rFonts w:ascii="Calibri" w:eastAsia="Calibri" w:hAnsi="Calibri"/>
          <w:lang w:val="es-MX"/>
        </w:rPr>
        <w:t>sicología en las etapas del desarrollo físico y mental del ciclo vital humano.</w:t>
      </w:r>
    </w:p>
    <w:p w14:paraId="7DDDA891" w14:textId="77777777" w:rsidR="00484BB1" w:rsidRDefault="00484BB1" w:rsidP="00C763F4">
      <w:pPr>
        <w:jc w:val="both"/>
        <w:rPr>
          <w:rFonts w:cstheme="minorHAnsi"/>
          <w:color w:val="000000" w:themeColor="text1"/>
        </w:rPr>
      </w:pPr>
      <w:r>
        <w:rPr>
          <w:rFonts w:cstheme="minorHAnsi"/>
          <w:b/>
          <w:bCs/>
          <w:color w:val="000000" w:themeColor="text1"/>
        </w:rPr>
        <w:t xml:space="preserve">f) Cuadro sinóptico: </w:t>
      </w:r>
      <w:r w:rsidRPr="008B75D1">
        <w:rPr>
          <w:rFonts w:cstheme="minorHAnsi"/>
          <w:color w:val="000000" w:themeColor="text1"/>
        </w:rPr>
        <w:t xml:space="preserve">Un cuadro sinóptico, también conocido como mapa sinóptico o esquema de llaves, es una forma </w:t>
      </w:r>
      <w:r w:rsidRPr="00C763F4">
        <w:rPr>
          <w:rFonts w:cstheme="minorHAnsi"/>
        </w:rPr>
        <w:t xml:space="preserve">visual de resumir y organizar ideas en temas, subtemas y conceptos. Esta herramienta sirve para identificar la información más importante de un texto, y así, comprenderlo mejor. </w:t>
      </w:r>
      <w:r>
        <w:rPr>
          <w:rFonts w:cstheme="minorHAnsi"/>
        </w:rPr>
        <w:t xml:space="preserve">Mediante ella se </w:t>
      </w:r>
      <w:r w:rsidRPr="00C763F4">
        <w:rPr>
          <w:rFonts w:cstheme="minorHAnsi"/>
        </w:rPr>
        <w:t>busca que las personas estudiantes construyan un cuadro sobre el tema de las emociones y conflictos.</w:t>
      </w:r>
    </w:p>
    <w:p w14:paraId="6B2629C3" w14:textId="77777777" w:rsidR="00484BB1" w:rsidRPr="00232D8A" w:rsidRDefault="00484BB1" w:rsidP="00145435">
      <w:pPr>
        <w:jc w:val="both"/>
        <w:rPr>
          <w:rFonts w:cs="Arial"/>
          <w:color w:val="000000" w:themeColor="text1"/>
        </w:rPr>
      </w:pPr>
      <w:r>
        <w:rPr>
          <w:rFonts w:cs="Arial"/>
          <w:b/>
          <w:bCs/>
          <w:color w:val="000000" w:themeColor="text1"/>
        </w:rPr>
        <w:t xml:space="preserve">g) Investigación: </w:t>
      </w:r>
      <w:r>
        <w:rPr>
          <w:rFonts w:cs="Arial"/>
          <w:color w:val="000000" w:themeColor="text1"/>
        </w:rPr>
        <w:t>La investigación es el trabajo creativo realizado para aumentar el acervo de conocimientos. Implica la recopilación, organización y análisis de información para aumentar la comprensión de un tema</w:t>
      </w:r>
      <w:r w:rsidRPr="00232D8A">
        <w:rPr>
          <w:rFonts w:cs="Arial"/>
        </w:rPr>
        <w:t xml:space="preserve">. </w:t>
      </w:r>
      <w:r>
        <w:rPr>
          <w:rFonts w:cs="Arial"/>
        </w:rPr>
        <w:t xml:space="preserve">Durante una sesión </w:t>
      </w:r>
      <w:r w:rsidRPr="00232D8A">
        <w:rPr>
          <w:rFonts w:cs="Arial"/>
        </w:rPr>
        <w:t>se desarrolla una investigación sobre los componentes de la identidad respondiendo al tema de los procesos cognitivos y de la personalidad. De igual forma para la monografía final se desarrolla investigación por parte de las personas estudiantes, con la asesoría y retroalimentación de parte de la persona docente</w:t>
      </w:r>
      <w:r>
        <w:rPr>
          <w:rFonts w:cs="Arial"/>
        </w:rPr>
        <w:t>.</w:t>
      </w:r>
    </w:p>
    <w:p w14:paraId="21E58005" w14:textId="77777777" w:rsidR="00484BB1" w:rsidRPr="001E6FAA" w:rsidRDefault="00484BB1" w:rsidP="00145435">
      <w:pPr>
        <w:jc w:val="both"/>
        <w:rPr>
          <w:rFonts w:cs="Arial"/>
          <w:color w:val="000000" w:themeColor="text1"/>
        </w:rPr>
      </w:pPr>
      <w:r>
        <w:rPr>
          <w:rFonts w:cs="Arial"/>
          <w:b/>
          <w:bCs/>
          <w:color w:val="000000" w:themeColor="text1"/>
        </w:rPr>
        <w:t xml:space="preserve">h) Ensayo crítico: </w:t>
      </w:r>
      <w:r w:rsidRPr="001E6FAA">
        <w:rPr>
          <w:rFonts w:cstheme="minorHAnsi"/>
          <w:bCs/>
        </w:rPr>
        <w:t>Se define el ensayo académico crítico como aquel documento escrito que, en forma sistemática, estructurada y ordenada, presenta un tópico o tema seleccionado o designado con subtemas de desarrollo, introducción, conclusión y referencias. En este curso solicita la elaboración de un ensayo crítico sobre el texto asignado a partir del análisis de los espacios de socialización.</w:t>
      </w:r>
    </w:p>
    <w:p w14:paraId="7BC3EA25" w14:textId="77777777" w:rsidR="00484BB1" w:rsidRDefault="00484BB1" w:rsidP="000969C5">
      <w:pPr>
        <w:jc w:val="both"/>
        <w:rPr>
          <w:rFonts w:cs="Arial"/>
          <w:color w:val="000000" w:themeColor="text1"/>
        </w:rPr>
      </w:pPr>
      <w:r>
        <w:rPr>
          <w:rFonts w:cs="Arial"/>
          <w:b/>
          <w:bCs/>
          <w:color w:val="000000" w:themeColor="text1"/>
        </w:rPr>
        <w:t xml:space="preserve">i) Historia de vida: </w:t>
      </w:r>
      <w:r>
        <w:rPr>
          <w:rFonts w:cs="Arial"/>
          <w:color w:val="000000" w:themeColor="text1"/>
        </w:rPr>
        <w:t xml:space="preserve">Una historia de vida es una técnica narrativa que consiste en la elaboración de un relato biográfico con finalidad terapéutica o de investigación. El procedimiento básico consiste en evocar y estructurar los recuerdos de la vida de una persona, pero desde un punto de vista subjetivo, es decir, a través de su propia mirada. </w:t>
      </w:r>
      <w:r w:rsidRPr="006B603B">
        <w:rPr>
          <w:rFonts w:cs="Arial"/>
        </w:rPr>
        <w:t>Se trata de la elaboración y análisis de una historia de vida de una persona conocida o bien entrevistada que refleje el desarrollo personal y la dinámica familiar de la misma.</w:t>
      </w:r>
    </w:p>
    <w:p w14:paraId="1954F677" w14:textId="77777777" w:rsidR="00484BB1" w:rsidRPr="000969C5" w:rsidRDefault="00484BB1" w:rsidP="000969C5">
      <w:pPr>
        <w:jc w:val="both"/>
        <w:rPr>
          <w:rFonts w:cs="Arial"/>
          <w:color w:val="000000" w:themeColor="text1"/>
        </w:rPr>
      </w:pPr>
      <w:r>
        <w:rPr>
          <w:rFonts w:cs="Arial"/>
          <w:b/>
          <w:bCs/>
          <w:color w:val="000000" w:themeColor="text1"/>
        </w:rPr>
        <w:t xml:space="preserve">j) Reseña crítica de lectura: </w:t>
      </w:r>
      <w:r w:rsidRPr="00065A15">
        <w:rPr>
          <w:rFonts w:ascii="Calibri" w:eastAsia="Calibri" w:hAnsi="Calibri"/>
          <w:lang w:val="es-MX"/>
        </w:rPr>
        <w:t>La realización de una reseña crítica de lectura permite exponer en primera instancia las ideas de una persona autora,</w:t>
      </w:r>
      <w:r>
        <w:rPr>
          <w:rFonts w:ascii="Calibri" w:eastAsia="Calibri" w:hAnsi="Calibri"/>
          <w:lang w:val="es-MX"/>
        </w:rPr>
        <w:t xml:space="preserve"> </w:t>
      </w:r>
      <w:r w:rsidRPr="00065A15">
        <w:rPr>
          <w:rFonts w:ascii="Calibri" w:eastAsia="Calibri" w:hAnsi="Calibri"/>
          <w:lang w:val="es-MX"/>
        </w:rPr>
        <w:t>en segundo lugar, hacer un análisis crítico de</w:t>
      </w:r>
      <w:r>
        <w:rPr>
          <w:rFonts w:ascii="Calibri" w:eastAsia="Calibri" w:hAnsi="Calibri"/>
          <w:lang w:val="es-MX"/>
        </w:rPr>
        <w:t xml:space="preserve"> estas</w:t>
      </w:r>
      <w:r w:rsidRPr="00065A15">
        <w:rPr>
          <w:rFonts w:ascii="Calibri" w:eastAsia="Calibri" w:hAnsi="Calibri"/>
          <w:lang w:val="es-MX"/>
        </w:rPr>
        <w:t xml:space="preserve"> retomando lo más significativo, y en tercer lugar contextualizar dichas ideas para la realidad latinoamericana y caribeña. En este curso </w:t>
      </w:r>
      <w:r w:rsidRPr="00065A15">
        <w:rPr>
          <w:rFonts w:cs="Arial"/>
        </w:rPr>
        <w:t xml:space="preserve">se </w:t>
      </w:r>
      <w:r>
        <w:rPr>
          <w:rFonts w:cs="Arial"/>
        </w:rPr>
        <w:t xml:space="preserve">elabora una </w:t>
      </w:r>
      <w:r w:rsidRPr="00065A15">
        <w:rPr>
          <w:rFonts w:cs="Arial"/>
        </w:rPr>
        <w:t xml:space="preserve">reseña crítica sobre el tópico de la familia, su estructura y sus relaciones. </w:t>
      </w:r>
    </w:p>
    <w:p w14:paraId="26CAC805" w14:textId="77777777" w:rsidR="00484BB1" w:rsidRDefault="00484BB1" w:rsidP="00145435">
      <w:pPr>
        <w:jc w:val="both"/>
        <w:rPr>
          <w:rFonts w:cs="Arial"/>
          <w:color w:val="C00000"/>
        </w:rPr>
      </w:pPr>
      <w:r>
        <w:rPr>
          <w:rFonts w:cs="Arial"/>
          <w:b/>
          <w:bCs/>
          <w:color w:val="000000" w:themeColor="text1"/>
        </w:rPr>
        <w:lastRenderedPageBreak/>
        <w:t xml:space="preserve">k) Análisis comparativo: </w:t>
      </w:r>
      <w:r>
        <w:rPr>
          <w:rFonts w:cs="Arial"/>
          <w:color w:val="000000" w:themeColor="text1"/>
        </w:rPr>
        <w:t xml:space="preserve">El análisis comparativo es una estrategia que permite establecer relaciones entre dos o más fenómenos o conjuntos de </w:t>
      </w:r>
      <w:r w:rsidRPr="00BA67C7">
        <w:rPr>
          <w:rFonts w:cs="Arial"/>
        </w:rPr>
        <w:t>elementos para obtener razones válidas en la explicación de diferencias o semejanzas. Este análisis</w:t>
      </w:r>
      <w:r>
        <w:rPr>
          <w:rFonts w:cs="Arial"/>
        </w:rPr>
        <w:t xml:space="preserve"> </w:t>
      </w:r>
      <w:r w:rsidRPr="00BA67C7">
        <w:rPr>
          <w:rFonts w:cs="Arial"/>
        </w:rPr>
        <w:t xml:space="preserve">consiste en </w:t>
      </w:r>
      <w:r>
        <w:rPr>
          <w:rFonts w:cs="Arial"/>
        </w:rPr>
        <w:t>la</w:t>
      </w:r>
      <w:r w:rsidRPr="00BA67C7">
        <w:rPr>
          <w:rFonts w:cs="Arial"/>
        </w:rPr>
        <w:t xml:space="preserve"> compara</w:t>
      </w:r>
      <w:r>
        <w:rPr>
          <w:rFonts w:cs="Arial"/>
        </w:rPr>
        <w:t>ción</w:t>
      </w:r>
      <w:r w:rsidRPr="00BA67C7">
        <w:rPr>
          <w:rFonts w:cs="Arial"/>
        </w:rPr>
        <w:t xml:space="preserve"> de los planteamientos de dos personas autoras en dos artículos diferentes sobre el tema del vínculo afectivo en el marco de las diversas estructuras de familia. </w:t>
      </w:r>
    </w:p>
    <w:p w14:paraId="5410B9B5" w14:textId="77777777" w:rsidR="00484BB1" w:rsidRPr="0074247C" w:rsidRDefault="00484BB1" w:rsidP="00145435">
      <w:pPr>
        <w:jc w:val="both"/>
        <w:rPr>
          <w:rFonts w:cs="Arial"/>
          <w:color w:val="C00000"/>
        </w:rPr>
      </w:pPr>
      <w:r>
        <w:rPr>
          <w:rFonts w:cs="Arial"/>
          <w:b/>
          <w:bCs/>
          <w:color w:val="000000" w:themeColor="text1"/>
        </w:rPr>
        <w:t xml:space="preserve">l) Ensayo comparativo: </w:t>
      </w:r>
      <w:r>
        <w:rPr>
          <w:rFonts w:cs="Arial"/>
          <w:color w:val="000000" w:themeColor="text1"/>
        </w:rPr>
        <w:t>Un ensayo comparativo es una forma de escritura académica que examina las similitudes y diferencias entre dos ideas. La persona escritora recibe dos o más temas para determinar en qué se parecen y en qué se diferenc</w:t>
      </w:r>
      <w:r w:rsidRPr="0074247C">
        <w:rPr>
          <w:rFonts w:cs="Arial"/>
        </w:rPr>
        <w:t xml:space="preserve">ian. </w:t>
      </w:r>
      <w:r>
        <w:rPr>
          <w:rFonts w:cs="Arial"/>
        </w:rPr>
        <w:t>T</w:t>
      </w:r>
      <w:r w:rsidRPr="0074247C">
        <w:rPr>
          <w:rFonts w:cs="Arial"/>
        </w:rPr>
        <w:t>rata sobre los modelos de crianza en las diferentes estructuras familiares, comparando sus similitudes y diferencias.</w:t>
      </w:r>
    </w:p>
    <w:p w14:paraId="47D114D7" w14:textId="77777777" w:rsidR="00484BB1" w:rsidRDefault="00484BB1" w:rsidP="00145435">
      <w:pPr>
        <w:jc w:val="both"/>
        <w:rPr>
          <w:rFonts w:cs="Arial"/>
          <w:color w:val="000000" w:themeColor="text1"/>
        </w:rPr>
      </w:pPr>
      <w:r>
        <w:rPr>
          <w:rFonts w:cs="Arial"/>
          <w:b/>
          <w:bCs/>
          <w:color w:val="000000" w:themeColor="text1"/>
        </w:rPr>
        <w:t xml:space="preserve">m) Presentación de síntesis: </w:t>
      </w:r>
      <w:r>
        <w:rPr>
          <w:rFonts w:cstheme="minorHAnsi"/>
          <w:color w:val="000000" w:themeColor="text1"/>
        </w:rPr>
        <w:t>La presentación es una herramienta que integra e interrelaciona lo auditivo y lo visual con el objetivo de mostrar información sobre un tema o temas en específico.</w:t>
      </w:r>
      <w:r>
        <w:rPr>
          <w:rFonts w:cs="Arial"/>
          <w:color w:val="000000" w:themeColor="text1"/>
        </w:rPr>
        <w:t xml:space="preserve"> En este curso las personas estudiantes harán una presentación, una síntesis de los hallazgos más importantes en su investigación monográfica. La misma se hará mediante encuentros sincrónicos virtuales.</w:t>
      </w:r>
      <w:r>
        <w:rPr>
          <w:rFonts w:cs="Arial"/>
          <w:b/>
          <w:bCs/>
          <w:color w:val="000000" w:themeColor="text1"/>
        </w:rPr>
        <w:t xml:space="preserve"> </w:t>
      </w:r>
    </w:p>
    <w:p w14:paraId="559B7B3E" w14:textId="77777777" w:rsidR="00484BB1" w:rsidRDefault="00484BB1" w:rsidP="007539F8">
      <w:pPr>
        <w:jc w:val="both"/>
        <w:rPr>
          <w:rFonts w:cs="Arial"/>
          <w:color w:val="000000" w:themeColor="text1"/>
        </w:rPr>
      </w:pPr>
      <w:r w:rsidRPr="00EA55E0">
        <w:rPr>
          <w:rFonts w:cs="Arial"/>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48D3CDD1" w14:textId="77777777" w:rsidR="00484BB1" w:rsidRPr="00D01215" w:rsidRDefault="00484BB1" w:rsidP="00145435">
      <w:pPr>
        <w:jc w:val="both"/>
        <w:rPr>
          <w:rFonts w:cs="Arial"/>
          <w:color w:val="000000" w:themeColor="text1"/>
        </w:rPr>
      </w:pPr>
    </w:p>
    <w:p w14:paraId="008BB208" w14:textId="77777777" w:rsidR="00484BB1" w:rsidRPr="00663FC2" w:rsidRDefault="00484BB1" w:rsidP="00145435">
      <w:pPr>
        <w:rPr>
          <w:rFonts w:cs="Arial"/>
          <w:b/>
          <w:color w:val="000000" w:themeColor="text1"/>
        </w:rPr>
      </w:pPr>
      <w:r w:rsidRPr="00663FC2">
        <w:rPr>
          <w:rFonts w:cs="Arial"/>
          <w:b/>
          <w:color w:val="000000" w:themeColor="text1"/>
        </w:rPr>
        <w:t>VII.</w:t>
      </w:r>
      <w:r>
        <w:rPr>
          <w:rFonts w:cs="Arial"/>
          <w:b/>
          <w:color w:val="000000" w:themeColor="text1"/>
        </w:rPr>
        <w:t xml:space="preserve"> </w:t>
      </w:r>
      <w:r w:rsidRPr="00663FC2">
        <w:rPr>
          <w:rFonts w:cs="Arial"/>
          <w:b/>
          <w:color w:val="000000" w:themeColor="text1"/>
        </w:rPr>
        <w:t>Recursos didácticos</w:t>
      </w:r>
    </w:p>
    <w:p w14:paraId="5D08D569" w14:textId="77777777" w:rsidR="00484BB1" w:rsidRDefault="00484BB1" w:rsidP="00425CF0">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330ED336" w14:textId="77777777" w:rsidR="00484BB1" w:rsidRDefault="00484BB1" w:rsidP="00425CF0">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03E786CD" w14:textId="77777777" w:rsidR="00484BB1" w:rsidRDefault="00484BB1" w:rsidP="00425CF0">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61E32FBA" w14:textId="77777777" w:rsidR="00484BB1" w:rsidRDefault="00484BB1" w:rsidP="00425CF0">
      <w:pPr>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2DA10517" w14:textId="77777777" w:rsidR="00484BB1" w:rsidRDefault="00484BB1" w:rsidP="00425CF0">
      <w:pPr>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w:t>
      </w:r>
      <w:r w:rsidRPr="006014C5">
        <w:rPr>
          <w:rFonts w:cstheme="minorHAnsi"/>
          <w:color w:val="000000" w:themeColor="text1"/>
          <w:lang w:val="es-ES" w:eastAsia="es-ES"/>
        </w:rPr>
        <w:t>un glosario</w:t>
      </w:r>
      <w:r>
        <w:rPr>
          <w:rFonts w:cstheme="minorHAnsi"/>
          <w:color w:val="000000" w:themeColor="text1"/>
          <w:lang w:val="es-ES" w:eastAsia="es-ES"/>
        </w:rPr>
        <w:t xml:space="preserve"> y mediante la herramienta Big Blue </w:t>
      </w:r>
      <w:proofErr w:type="spellStart"/>
      <w:r>
        <w:rPr>
          <w:rFonts w:cstheme="minorHAnsi"/>
          <w:color w:val="000000" w:themeColor="text1"/>
          <w:lang w:val="es-ES" w:eastAsia="es-ES"/>
        </w:rPr>
        <w:t>Button</w:t>
      </w:r>
      <w:proofErr w:type="spellEnd"/>
      <w:r>
        <w:rPr>
          <w:rFonts w:cstheme="minorHAnsi"/>
          <w:color w:val="000000" w:themeColor="text1"/>
          <w:lang w:val="es-ES" w:eastAsia="es-ES"/>
        </w:rPr>
        <w:t xml:space="preserve"> en la plataforma Moodle y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a reseña crítica de lectura</w:t>
      </w:r>
      <w:r w:rsidRPr="006014C5">
        <w:rPr>
          <w:rFonts w:cstheme="minorHAnsi"/>
          <w:color w:val="000000" w:themeColor="text1"/>
          <w:lang w:val="es-ES" w:eastAsia="es-ES"/>
        </w:rPr>
        <w:t xml:space="preserve">; así como de </w:t>
      </w:r>
      <w:r>
        <w:rPr>
          <w:rFonts w:cstheme="minorHAnsi"/>
          <w:color w:val="000000" w:themeColor="text1"/>
          <w:lang w:val="es-ES" w:eastAsia="es-ES"/>
        </w:rPr>
        <w:t xml:space="preserve">una </w:t>
      </w:r>
      <w:r w:rsidRPr="006014C5">
        <w:rPr>
          <w:rFonts w:cstheme="minorHAnsi"/>
          <w:color w:val="000000" w:themeColor="text1"/>
          <w:lang w:val="es-ES" w:eastAsia="es-ES"/>
        </w:rPr>
        <w:t>guía para el</w:t>
      </w:r>
      <w:r>
        <w:rPr>
          <w:rFonts w:cstheme="minorHAnsi"/>
          <w:color w:val="000000" w:themeColor="text1"/>
          <w:lang w:val="es-ES" w:eastAsia="es-ES"/>
        </w:rPr>
        <w:t xml:space="preserve">aborar la monografía final </w:t>
      </w:r>
      <w:r w:rsidRPr="006014C5">
        <w:rPr>
          <w:rFonts w:cstheme="minorHAnsi"/>
          <w:color w:val="000000" w:themeColor="text1"/>
          <w:lang w:val="es-ES" w:eastAsia="es-ES"/>
        </w:rPr>
        <w:t>que se encuentra en la sección de actividades de la sesión correspondiente.</w:t>
      </w:r>
    </w:p>
    <w:p w14:paraId="154D0944" w14:textId="77777777" w:rsidR="00484BB1" w:rsidRDefault="00484BB1" w:rsidP="00425CF0">
      <w:pPr>
        <w:jc w:val="both"/>
        <w:rPr>
          <w:rFonts w:cstheme="minorHAnsi"/>
          <w:color w:val="000000" w:themeColor="text1"/>
          <w:lang w:val="es-ES" w:eastAsia="es-ES"/>
        </w:rPr>
      </w:pPr>
    </w:p>
    <w:p w14:paraId="47693B3D" w14:textId="77777777" w:rsidR="00484BB1" w:rsidRPr="00392420" w:rsidRDefault="00484BB1" w:rsidP="004C097A">
      <w:pPr>
        <w:jc w:val="both"/>
        <w:rPr>
          <w:rFonts w:cstheme="minorHAnsi"/>
          <w:color w:val="000000" w:themeColor="text1"/>
          <w:sz w:val="20"/>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 xml:space="preserve">También puede disponer de las bases de datos, revistas en línea, repositorios y buscadores especializados a los cuales puede acceder mediante la Biblioteca Enrique </w:t>
      </w:r>
      <w:proofErr w:type="spellStart"/>
      <w:r w:rsidRPr="006014C5">
        <w:rPr>
          <w:rFonts w:cstheme="minorHAnsi"/>
          <w:color w:val="000000" w:themeColor="text1"/>
          <w:lang w:val="es-ES" w:eastAsia="es-ES"/>
        </w:rPr>
        <w:t>Strachan</w:t>
      </w:r>
      <w:proofErr w:type="spellEnd"/>
      <w:r w:rsidRPr="006014C5">
        <w:rPr>
          <w:rFonts w:cstheme="minorHAnsi"/>
          <w:color w:val="000000" w:themeColor="text1"/>
          <w:lang w:val="es-ES" w:eastAsia="es-ES"/>
        </w:rPr>
        <w:t xml:space="preserve"> </w:t>
      </w:r>
      <w:r w:rsidRPr="006014C5">
        <w:rPr>
          <w:rFonts w:cstheme="minorHAnsi"/>
          <w:color w:val="000000" w:themeColor="text1"/>
          <w:lang w:val="es-ES" w:eastAsia="es-ES"/>
        </w:rPr>
        <w:lastRenderedPageBreak/>
        <w:t>(</w:t>
      </w:r>
      <w:hyperlink r:id="rId83" w:history="1">
        <w:r w:rsidRPr="006014C5">
          <w:rPr>
            <w:rStyle w:val="Hipervnculo"/>
            <w:rFonts w:cstheme="minorHAnsi"/>
            <w:lang w:val="es-ES"/>
          </w:rPr>
          <w:t>https://www.ubl.ac.cr/biblioteca</w:t>
        </w:r>
      </w:hyperlink>
      <w:r w:rsidRPr="006014C5">
        <w:rPr>
          <w:rFonts w:cstheme="minorHAnsi"/>
          <w:color w:val="000000" w:themeColor="text1"/>
          <w:lang w:val="es-ES" w:eastAsia="es-ES"/>
        </w:rPr>
        <w:t>), así como consultar el Portal de Revistas de la UBL (</w:t>
      </w:r>
      <w:hyperlink r:id="rId84" w:history="1">
        <w:r w:rsidRPr="006014C5">
          <w:rPr>
            <w:rStyle w:val="Hipervnculo"/>
            <w:rFonts w:cstheme="minorHAnsi"/>
            <w:lang w:val="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w:t>
      </w:r>
      <w:r w:rsidRPr="00392420">
        <w:rPr>
          <w:rFonts w:cstheme="minorHAnsi"/>
          <w:color w:val="000000" w:themeColor="text1"/>
          <w:lang w:val="es-ES" w:eastAsia="es-ES"/>
        </w:rPr>
        <w:t>A través del correo de la biblioteca (</w:t>
      </w:r>
      <w:hyperlink r:id="rId85" w:history="1">
        <w:r w:rsidRPr="00392420">
          <w:rPr>
            <w:rStyle w:val="Hipervnculo"/>
            <w:rFonts w:cstheme="minorHAnsi"/>
            <w:lang w:val="es-ES"/>
          </w:rPr>
          <w:t>biblioteca@ubl.ac.cr</w:t>
        </w:r>
      </w:hyperlink>
      <w:r w:rsidRPr="00392420">
        <w:rPr>
          <w:rFonts w:cstheme="minorHAnsi"/>
          <w:color w:val="000000" w:themeColor="text1"/>
          <w:lang w:val="es-ES" w:eastAsia="es-ES"/>
        </w:rPr>
        <w:t>) puede solicitar recursos que se encuentren en la colección física.</w:t>
      </w:r>
    </w:p>
    <w:p w14:paraId="7A6887A3" w14:textId="22002501" w:rsidR="00484BB1" w:rsidRDefault="00484BB1" w:rsidP="00425CF0">
      <w:pPr>
        <w:jc w:val="both"/>
        <w:rPr>
          <w:rFonts w:cstheme="minorHAnsi"/>
          <w:bCs/>
        </w:rPr>
      </w:pPr>
      <w:r>
        <w:rPr>
          <w:rFonts w:cstheme="minorHAnsi"/>
          <w:color w:val="000000" w:themeColor="text1"/>
          <w:lang w:val="es-ES" w:eastAsia="es-ES"/>
        </w:rPr>
        <w:t>f)</w:t>
      </w:r>
      <w:r w:rsidRPr="00D24675">
        <w:rPr>
          <w:rFonts w:cstheme="minorHAnsi"/>
          <w:bCs/>
          <w:szCs w:val="24"/>
        </w:rPr>
        <w:t xml:space="preserve"> </w:t>
      </w:r>
      <w:r w:rsidRPr="00D24675">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cstheme="minorHAnsi"/>
          <w:bCs/>
        </w:rPr>
        <w:t>Bachillerato en Ciencias Bíblicas</w:t>
      </w:r>
      <w:r w:rsidRPr="00D24675">
        <w:rPr>
          <w:rFonts w:cstheme="minorHAnsi"/>
          <w:bCs/>
        </w:rPr>
        <w:t xml:space="preserve">. Dicho espacio está disponible para todas las personas registradas en el campus virtual y se puede acceder a través del siguiente enlace: </w:t>
      </w:r>
      <w:hyperlink r:id="rId86" w:history="1">
        <w:r w:rsidRPr="00D24675">
          <w:rPr>
            <w:rStyle w:val="Hipervnculo"/>
            <w:rFonts w:cstheme="minorHAnsi"/>
            <w:bCs/>
          </w:rPr>
          <w:t>https://campus.ubl.ac.cr/course/index.php?categoryid=186</w:t>
        </w:r>
      </w:hyperlink>
    </w:p>
    <w:p w14:paraId="06EB2F42" w14:textId="77777777" w:rsidR="00484BB1" w:rsidRPr="00926C7B" w:rsidRDefault="00484BB1" w:rsidP="00425CF0">
      <w:pPr>
        <w:rPr>
          <w:rFonts w:cs="Arial"/>
          <w:color w:val="000000" w:themeColor="text1"/>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0780B8EB" w14:textId="77777777" w:rsidR="00484BB1" w:rsidRDefault="00484BB1">
      <w:pPr>
        <w:rPr>
          <w:rFonts w:cs="Arial"/>
          <w:b/>
          <w:color w:val="000000" w:themeColor="text1"/>
          <w:spacing w:val="-2"/>
          <w:kern w:val="28"/>
          <w:lang w:val="es-ES"/>
        </w:rPr>
      </w:pPr>
      <w:r>
        <w:rPr>
          <w:rFonts w:cs="Arial"/>
          <w:b/>
          <w:color w:val="000000" w:themeColor="text1"/>
          <w:spacing w:val="-2"/>
          <w:kern w:val="28"/>
          <w:lang w:val="es-ES"/>
        </w:rPr>
        <w:br w:type="page"/>
      </w:r>
    </w:p>
    <w:p w14:paraId="7042BCDA" w14:textId="77777777" w:rsidR="00484BB1" w:rsidRPr="00E03006" w:rsidRDefault="00484BB1" w:rsidP="005E448B">
      <w:pPr>
        <w:jc w:val="both"/>
        <w:rPr>
          <w:rFonts w:cs="Arial"/>
          <w:b/>
          <w:color w:val="000000" w:themeColor="text1"/>
          <w:spacing w:val="-2"/>
          <w:kern w:val="28"/>
          <w:lang w:val="es-ES"/>
        </w:rPr>
      </w:pPr>
      <w:r w:rsidRPr="00E03006">
        <w:rPr>
          <w:rFonts w:cs="Arial"/>
          <w:b/>
          <w:color w:val="000000" w:themeColor="text1"/>
          <w:spacing w:val="-2"/>
          <w:kern w:val="28"/>
          <w:lang w:val="es-ES"/>
        </w:rPr>
        <w:lastRenderedPageBreak/>
        <w:t>VIII. Cronograma</w:t>
      </w:r>
      <w:r>
        <w:rPr>
          <w:rFonts w:cs="Arial"/>
          <w:b/>
          <w:color w:val="000000" w:themeColor="text1"/>
          <w:spacing w:val="-2"/>
          <w:kern w:val="28"/>
          <w:lang w:val="es-ES"/>
        </w:rPr>
        <w:t xml:space="preserve"> de trabajo</w:t>
      </w:r>
    </w:p>
    <w:p w14:paraId="4B53DAD9" w14:textId="77777777" w:rsidR="00484BB1" w:rsidRPr="00E03006" w:rsidRDefault="00484BB1" w:rsidP="005E448B">
      <w:pPr>
        <w:jc w:val="both"/>
        <w:rPr>
          <w:rFonts w:cs="Arial"/>
          <w:b/>
          <w:color w:val="000000" w:themeColor="text1"/>
          <w:spacing w:val="-2"/>
          <w:kern w:val="28"/>
          <w:lang w:val="es-E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977"/>
        <w:gridCol w:w="3118"/>
      </w:tblGrid>
      <w:tr w:rsidR="00484BB1" w:rsidRPr="00132861" w14:paraId="7ABAB578" w14:textId="77777777" w:rsidTr="00C574A6">
        <w:trPr>
          <w:trHeight w:val="462"/>
          <w:jc w:val="center"/>
        </w:trPr>
        <w:tc>
          <w:tcPr>
            <w:tcW w:w="1271" w:type="dxa"/>
            <w:vMerge w:val="restart"/>
            <w:vAlign w:val="center"/>
          </w:tcPr>
          <w:p w14:paraId="6AFFA726" w14:textId="77777777" w:rsidR="00484BB1" w:rsidRPr="00132861" w:rsidRDefault="00484BB1" w:rsidP="00F26869">
            <w:pPr>
              <w:jc w:val="center"/>
              <w:rPr>
                <w:rFonts w:cs="Arial"/>
                <w:b/>
                <w:color w:val="000000" w:themeColor="text1"/>
                <w:szCs w:val="24"/>
              </w:rPr>
            </w:pPr>
            <w:r w:rsidRPr="00132861">
              <w:rPr>
                <w:rFonts w:cs="Arial"/>
                <w:b/>
                <w:color w:val="000000" w:themeColor="text1"/>
                <w:szCs w:val="24"/>
              </w:rPr>
              <w:t>Sesión</w:t>
            </w:r>
          </w:p>
          <w:p w14:paraId="6CBC415B" w14:textId="77777777" w:rsidR="00484BB1" w:rsidRPr="00132861" w:rsidRDefault="00484BB1" w:rsidP="00F26869">
            <w:pPr>
              <w:jc w:val="center"/>
              <w:rPr>
                <w:rFonts w:cs="Arial"/>
                <w:b/>
                <w:color w:val="000000" w:themeColor="text1"/>
                <w:szCs w:val="24"/>
              </w:rPr>
            </w:pPr>
            <w:r w:rsidRPr="00132861">
              <w:rPr>
                <w:rFonts w:cs="Arial"/>
                <w:b/>
                <w:color w:val="000000" w:themeColor="text1"/>
                <w:szCs w:val="24"/>
              </w:rPr>
              <w:t>(semana)</w:t>
            </w:r>
          </w:p>
        </w:tc>
        <w:tc>
          <w:tcPr>
            <w:tcW w:w="2410" w:type="dxa"/>
            <w:vMerge w:val="restart"/>
            <w:vAlign w:val="center"/>
          </w:tcPr>
          <w:p w14:paraId="0D243746" w14:textId="77777777" w:rsidR="00484BB1" w:rsidRPr="00614214" w:rsidRDefault="00484BB1" w:rsidP="00F26869">
            <w:pPr>
              <w:jc w:val="center"/>
              <w:rPr>
                <w:rFonts w:cs="Arial"/>
                <w:b/>
                <w:szCs w:val="24"/>
              </w:rPr>
            </w:pPr>
            <w:r w:rsidRPr="00614214">
              <w:rPr>
                <w:rFonts w:cs="Arial"/>
                <w:b/>
                <w:szCs w:val="24"/>
              </w:rPr>
              <w:t>Contenidos temáticos</w:t>
            </w:r>
          </w:p>
        </w:tc>
        <w:tc>
          <w:tcPr>
            <w:tcW w:w="6095" w:type="dxa"/>
            <w:gridSpan w:val="2"/>
            <w:vAlign w:val="center"/>
          </w:tcPr>
          <w:p w14:paraId="41692B9B" w14:textId="77777777" w:rsidR="00484BB1" w:rsidRPr="00132861" w:rsidRDefault="00484BB1" w:rsidP="00F26869">
            <w:pPr>
              <w:jc w:val="center"/>
              <w:rPr>
                <w:rFonts w:cs="Arial"/>
                <w:b/>
                <w:color w:val="000000" w:themeColor="text1"/>
                <w:szCs w:val="24"/>
              </w:rPr>
            </w:pPr>
            <w:r w:rsidRPr="00132861">
              <w:rPr>
                <w:rFonts w:cs="Arial"/>
                <w:b/>
                <w:color w:val="000000" w:themeColor="text1"/>
                <w:szCs w:val="24"/>
              </w:rPr>
              <w:t xml:space="preserve">Actividades de </w:t>
            </w:r>
            <w:r>
              <w:rPr>
                <w:rFonts w:cs="Arial"/>
                <w:b/>
                <w:color w:val="000000" w:themeColor="text1"/>
                <w:szCs w:val="24"/>
              </w:rPr>
              <w:t>enseñanza-</w:t>
            </w:r>
            <w:r w:rsidRPr="00132861">
              <w:rPr>
                <w:rFonts w:cs="Arial"/>
                <w:b/>
                <w:color w:val="000000" w:themeColor="text1"/>
                <w:szCs w:val="24"/>
              </w:rPr>
              <w:t>aprendizaje</w:t>
            </w:r>
          </w:p>
        </w:tc>
      </w:tr>
      <w:tr w:rsidR="00484BB1" w:rsidRPr="00132861" w14:paraId="49462190" w14:textId="77777777" w:rsidTr="00C574A6">
        <w:trPr>
          <w:trHeight w:val="467"/>
          <w:jc w:val="center"/>
        </w:trPr>
        <w:tc>
          <w:tcPr>
            <w:tcW w:w="1271" w:type="dxa"/>
            <w:vMerge/>
            <w:vAlign w:val="center"/>
          </w:tcPr>
          <w:p w14:paraId="67D0A677" w14:textId="77777777" w:rsidR="00484BB1" w:rsidRPr="00132861" w:rsidRDefault="00484BB1" w:rsidP="00F26869">
            <w:pPr>
              <w:jc w:val="center"/>
              <w:rPr>
                <w:rFonts w:cs="Arial"/>
                <w:b/>
                <w:color w:val="000000" w:themeColor="text1"/>
              </w:rPr>
            </w:pPr>
          </w:p>
        </w:tc>
        <w:tc>
          <w:tcPr>
            <w:tcW w:w="2410" w:type="dxa"/>
            <w:vMerge/>
            <w:vAlign w:val="center"/>
          </w:tcPr>
          <w:p w14:paraId="4A8F1665" w14:textId="77777777" w:rsidR="00484BB1" w:rsidRPr="00614214" w:rsidRDefault="00484BB1" w:rsidP="00F26869">
            <w:pPr>
              <w:jc w:val="center"/>
              <w:rPr>
                <w:rFonts w:cs="Arial"/>
                <w:b/>
              </w:rPr>
            </w:pPr>
          </w:p>
        </w:tc>
        <w:tc>
          <w:tcPr>
            <w:tcW w:w="2977" w:type="dxa"/>
            <w:vAlign w:val="center"/>
          </w:tcPr>
          <w:p w14:paraId="6E5B017F" w14:textId="77777777" w:rsidR="00484BB1" w:rsidRPr="00132861" w:rsidRDefault="00484BB1" w:rsidP="00F26869">
            <w:pPr>
              <w:jc w:val="center"/>
              <w:rPr>
                <w:rFonts w:cs="Arial"/>
                <w:b/>
                <w:color w:val="000000" w:themeColor="text1"/>
                <w:szCs w:val="24"/>
              </w:rPr>
            </w:pPr>
            <w:r>
              <w:rPr>
                <w:rFonts w:cs="Arial"/>
                <w:b/>
                <w:color w:val="000000" w:themeColor="text1"/>
                <w:szCs w:val="24"/>
              </w:rPr>
              <w:t>Recursos didácticos</w:t>
            </w:r>
          </w:p>
        </w:tc>
        <w:tc>
          <w:tcPr>
            <w:tcW w:w="3118" w:type="dxa"/>
            <w:vAlign w:val="center"/>
          </w:tcPr>
          <w:p w14:paraId="3455590D" w14:textId="77777777" w:rsidR="00484BB1" w:rsidRPr="00132861" w:rsidRDefault="00484BB1" w:rsidP="00F26869">
            <w:pPr>
              <w:jc w:val="center"/>
              <w:rPr>
                <w:rFonts w:cs="Arial"/>
                <w:b/>
                <w:color w:val="000000" w:themeColor="text1"/>
                <w:szCs w:val="24"/>
              </w:rPr>
            </w:pPr>
            <w:r w:rsidRPr="00132861">
              <w:rPr>
                <w:rFonts w:cs="Arial"/>
                <w:b/>
                <w:color w:val="000000" w:themeColor="text1"/>
                <w:szCs w:val="24"/>
              </w:rPr>
              <w:t>Actividades</w:t>
            </w:r>
            <w:r>
              <w:rPr>
                <w:rFonts w:cs="Arial"/>
                <w:b/>
                <w:color w:val="000000" w:themeColor="text1"/>
                <w:szCs w:val="24"/>
              </w:rPr>
              <w:t xml:space="preserve"> de aprendizaje</w:t>
            </w:r>
          </w:p>
        </w:tc>
      </w:tr>
      <w:tr w:rsidR="00484BB1" w:rsidRPr="00132861" w14:paraId="0EEF937B" w14:textId="77777777" w:rsidTr="00C574A6">
        <w:trPr>
          <w:jc w:val="center"/>
        </w:trPr>
        <w:tc>
          <w:tcPr>
            <w:tcW w:w="1271" w:type="dxa"/>
          </w:tcPr>
          <w:p w14:paraId="228262FD" w14:textId="77777777" w:rsidR="00484BB1" w:rsidRPr="00132861" w:rsidRDefault="00484BB1" w:rsidP="00964927">
            <w:pPr>
              <w:jc w:val="center"/>
              <w:rPr>
                <w:rFonts w:cs="Arial"/>
                <w:color w:val="000000" w:themeColor="text1"/>
              </w:rPr>
            </w:pPr>
            <w:r w:rsidRPr="00132861">
              <w:rPr>
                <w:rFonts w:cs="Arial"/>
                <w:color w:val="000000" w:themeColor="text1"/>
              </w:rPr>
              <w:t xml:space="preserve">1 </w:t>
            </w:r>
          </w:p>
          <w:p w14:paraId="7F1C36EF" w14:textId="77777777" w:rsidR="00484BB1" w:rsidRPr="00132861" w:rsidRDefault="00484BB1" w:rsidP="00964927">
            <w:pPr>
              <w:jc w:val="center"/>
              <w:rPr>
                <w:rFonts w:cs="Arial"/>
                <w:color w:val="FF0000"/>
              </w:rPr>
            </w:pPr>
          </w:p>
        </w:tc>
        <w:tc>
          <w:tcPr>
            <w:tcW w:w="2410" w:type="dxa"/>
          </w:tcPr>
          <w:p w14:paraId="78746369" w14:textId="77777777" w:rsidR="00484BB1" w:rsidRPr="002855B0" w:rsidRDefault="00484BB1" w:rsidP="00704749">
            <w:pPr>
              <w:rPr>
                <w:rFonts w:cs="Arial"/>
                <w:b/>
                <w:bCs/>
              </w:rPr>
            </w:pPr>
            <w:r w:rsidRPr="002855B0">
              <w:rPr>
                <w:rFonts w:cs="Arial"/>
                <w:b/>
                <w:bCs/>
              </w:rPr>
              <w:t>Unidad 1: La psicología como disciplina científica</w:t>
            </w:r>
          </w:p>
          <w:p w14:paraId="2416A543" w14:textId="77777777" w:rsidR="00484BB1" w:rsidRPr="00614214" w:rsidRDefault="00484BB1" w:rsidP="00704749">
            <w:pPr>
              <w:rPr>
                <w:rFonts w:cs="Arial"/>
                <w:strike/>
              </w:rPr>
            </w:pPr>
          </w:p>
          <w:p w14:paraId="13CEC765" w14:textId="77777777" w:rsidR="00484BB1" w:rsidRPr="00614214" w:rsidRDefault="00484BB1" w:rsidP="00704749">
            <w:pPr>
              <w:rPr>
                <w:rFonts w:cs="Arial"/>
              </w:rPr>
            </w:pPr>
            <w:r w:rsidRPr="00614214">
              <w:rPr>
                <w:rFonts w:cs="Arial"/>
              </w:rPr>
              <w:t>a. El objeto de estudio de la psicología</w:t>
            </w:r>
          </w:p>
          <w:p w14:paraId="7EC42F2D" w14:textId="77777777" w:rsidR="00484BB1" w:rsidRPr="00614214" w:rsidRDefault="00484BB1" w:rsidP="00704749">
            <w:pPr>
              <w:rPr>
                <w:rFonts w:cs="Arial"/>
              </w:rPr>
            </w:pPr>
          </w:p>
          <w:p w14:paraId="4752C81C" w14:textId="77777777" w:rsidR="00484BB1" w:rsidRPr="00614214" w:rsidRDefault="00484BB1" w:rsidP="00704749">
            <w:pPr>
              <w:rPr>
                <w:rFonts w:cs="Arial"/>
              </w:rPr>
            </w:pPr>
            <w:r w:rsidRPr="00614214">
              <w:rPr>
                <w:rFonts w:cs="Arial"/>
              </w:rPr>
              <w:t>b. La relación entre psicología y teología pastoral</w:t>
            </w:r>
          </w:p>
          <w:p w14:paraId="4DD3B044" w14:textId="77777777" w:rsidR="00484BB1" w:rsidRPr="00614214" w:rsidRDefault="00484BB1" w:rsidP="00964927">
            <w:pPr>
              <w:pStyle w:val="Normalcontenido"/>
              <w:ind w:left="0" w:firstLine="0"/>
              <w:rPr>
                <w:rFonts w:asciiTheme="minorHAnsi" w:hAnsiTheme="minorHAnsi" w:cs="Arial"/>
                <w:sz w:val="22"/>
                <w:szCs w:val="22"/>
              </w:rPr>
            </w:pPr>
          </w:p>
        </w:tc>
        <w:tc>
          <w:tcPr>
            <w:tcW w:w="2977" w:type="dxa"/>
          </w:tcPr>
          <w:p w14:paraId="4D1DEF3A" w14:textId="77777777" w:rsidR="00484BB1" w:rsidRPr="00BE0239" w:rsidRDefault="00484BB1" w:rsidP="000C4087">
            <w:pPr>
              <w:spacing w:after="120"/>
              <w:rPr>
                <w:rFonts w:cs="Arial"/>
                <w:color w:val="0070C0"/>
              </w:rPr>
            </w:pPr>
            <w:r>
              <w:rPr>
                <w:rFonts w:cs="Arial"/>
                <w:color w:val="0070C0"/>
              </w:rPr>
              <w:t>Ruta de aprendizaje</w:t>
            </w:r>
          </w:p>
          <w:p w14:paraId="106F6BB3" w14:textId="77777777" w:rsidR="00484BB1" w:rsidRPr="00346CCD" w:rsidRDefault="00484BB1" w:rsidP="000C4087">
            <w:pPr>
              <w:spacing w:after="120"/>
              <w:rPr>
                <w:rFonts w:cs="Arial"/>
                <w:color w:val="0070C0"/>
              </w:rPr>
            </w:pPr>
            <w:r w:rsidRPr="00132861">
              <w:rPr>
                <w:rFonts w:cs="Arial"/>
              </w:rPr>
              <w:t xml:space="preserve">Zaracho, Rafael. “Parte 1: Psicología y pastoral”. En </w:t>
            </w:r>
            <w:r w:rsidRPr="00132861">
              <w:rPr>
                <w:rFonts w:cs="Arial"/>
                <w:i/>
              </w:rPr>
              <w:t xml:space="preserve">Consejería Pastoral: La psicología y su utilidad para la consejería pastoral, </w:t>
            </w:r>
            <w:r w:rsidRPr="00132861">
              <w:rPr>
                <w:rFonts w:cs="Arial"/>
              </w:rPr>
              <w:t xml:space="preserve">8-34. México: Grupo Editorial Lumen, 2007.  </w:t>
            </w:r>
            <w:r w:rsidRPr="00346CCD">
              <w:rPr>
                <w:rFonts w:cs="Arial"/>
                <w:color w:val="0070C0"/>
              </w:rPr>
              <w:t>(clásico, última edición)</w:t>
            </w:r>
          </w:p>
          <w:p w14:paraId="1D836D86" w14:textId="77777777" w:rsidR="00484BB1" w:rsidRPr="00132861" w:rsidRDefault="00484BB1" w:rsidP="000C4087">
            <w:pPr>
              <w:spacing w:after="120"/>
              <w:rPr>
                <w:rFonts w:cs="Arial"/>
                <w:b/>
              </w:rPr>
            </w:pPr>
            <w:r w:rsidRPr="00132861">
              <w:rPr>
                <w:rFonts w:cs="Arial"/>
                <w:b/>
              </w:rPr>
              <w:t>Material complementario</w:t>
            </w:r>
          </w:p>
          <w:p w14:paraId="560D69B2" w14:textId="77777777" w:rsidR="00484BB1" w:rsidRPr="00132861" w:rsidRDefault="00484BB1" w:rsidP="000C4087">
            <w:pPr>
              <w:spacing w:after="120"/>
              <w:rPr>
                <w:rFonts w:cs="Arial"/>
              </w:rPr>
            </w:pPr>
            <w:r w:rsidRPr="00132861">
              <w:rPr>
                <w:rFonts w:cs="Arial"/>
              </w:rPr>
              <w:t xml:space="preserve">Rodríguez-Arocho, Wanda C. “Psicología de la liberación y pedagogía crítica: Un examen de sus aportes y retos”. </w:t>
            </w:r>
            <w:r w:rsidRPr="00132861">
              <w:rPr>
                <w:rFonts w:cs="Arial"/>
                <w:i/>
              </w:rPr>
              <w:t>Revista de Educación De Puerto Rico</w:t>
            </w:r>
            <w:r w:rsidRPr="00132861">
              <w:rPr>
                <w:rFonts w:cs="Arial"/>
              </w:rPr>
              <w:t xml:space="preserve"> 43, n. 1 (2010): 13-34. Acceso el 17 de diciembre de 2020. </w:t>
            </w:r>
            <w:hyperlink r:id="rId87" w:history="1">
              <w:r w:rsidRPr="00132861">
                <w:rPr>
                  <w:rStyle w:val="Hipervnculo"/>
                </w:rPr>
                <w:t>https://revistas.upr.edu/index.php/educacion/article/view/16571</w:t>
              </w:r>
            </w:hyperlink>
          </w:p>
          <w:p w14:paraId="5B9CBE75" w14:textId="77777777" w:rsidR="00484BB1" w:rsidRDefault="00484BB1" w:rsidP="006F6F4D">
            <w:pPr>
              <w:spacing w:after="120"/>
              <w:rPr>
                <w:rStyle w:val="Hipervnculo"/>
              </w:rPr>
            </w:pPr>
            <w:r w:rsidRPr="00132861">
              <w:rPr>
                <w:rFonts w:cs="Arial"/>
              </w:rPr>
              <w:t xml:space="preserve">Salgado Lévano, Ana Cecilia. “Formación universitaria en psicología de la religión y espiritualidad: ¿Necesidad o Utopía?”. </w:t>
            </w:r>
            <w:r w:rsidRPr="00132861">
              <w:rPr>
                <w:rFonts w:cs="Arial"/>
                <w:i/>
              </w:rPr>
              <w:t>Revista Digital De Investigación En Docencia Universitaria</w:t>
            </w:r>
            <w:r w:rsidRPr="00132861">
              <w:rPr>
                <w:rFonts w:cs="Arial"/>
              </w:rPr>
              <w:t xml:space="preserve"> 9, n. 2 (2015): 89-103. Acceso el 17 de diciembre de 2020. </w:t>
            </w:r>
            <w:hyperlink r:id="rId88" w:history="1">
              <w:r w:rsidRPr="00132861">
                <w:rPr>
                  <w:rStyle w:val="Hipervnculo"/>
                </w:rPr>
                <w:t>https://doi.org/10.19083/ridu.9.442</w:t>
              </w:r>
            </w:hyperlink>
          </w:p>
          <w:p w14:paraId="274384D1" w14:textId="77777777" w:rsidR="00484BB1" w:rsidRDefault="00484BB1" w:rsidP="006F6F4D">
            <w:pPr>
              <w:spacing w:after="120"/>
              <w:rPr>
                <w:rFonts w:cs="Arial"/>
                <w:color w:val="0070C0"/>
              </w:rPr>
            </w:pPr>
            <w:r w:rsidRPr="008D61B5">
              <w:rPr>
                <w:rFonts w:cs="Arial"/>
                <w:color w:val="0070C0"/>
              </w:rPr>
              <w:t>Guía para la participación</w:t>
            </w:r>
            <w:r>
              <w:rPr>
                <w:rFonts w:cs="Arial"/>
                <w:color w:val="0070C0"/>
              </w:rPr>
              <w:t xml:space="preserve"> en un foro en la plataforma Moodle</w:t>
            </w:r>
          </w:p>
          <w:p w14:paraId="644B187F" w14:textId="77777777" w:rsidR="00484BB1" w:rsidRPr="008D61B5" w:rsidRDefault="00484BB1" w:rsidP="006F6F4D">
            <w:pPr>
              <w:spacing w:after="120"/>
              <w:rPr>
                <w:rFonts w:cs="Arial"/>
                <w:color w:val="0563C1" w:themeColor="hyperlink"/>
              </w:rPr>
            </w:pPr>
            <w:r>
              <w:rPr>
                <w:rFonts w:cs="Arial"/>
                <w:color w:val="0070C0"/>
              </w:rPr>
              <w:lastRenderedPageBreak/>
              <w:t xml:space="preserve">Guía para la participación mediante la herramienta Big Blue </w:t>
            </w:r>
            <w:proofErr w:type="spellStart"/>
            <w:r>
              <w:rPr>
                <w:rFonts w:cs="Arial"/>
                <w:color w:val="0070C0"/>
              </w:rPr>
              <w:t>Button</w:t>
            </w:r>
            <w:proofErr w:type="spellEnd"/>
            <w:r>
              <w:rPr>
                <w:rFonts w:cs="Arial"/>
                <w:color w:val="0070C0"/>
              </w:rPr>
              <w:t xml:space="preserve"> en la plataforma Moodle</w:t>
            </w:r>
          </w:p>
        </w:tc>
        <w:tc>
          <w:tcPr>
            <w:tcW w:w="3118" w:type="dxa"/>
          </w:tcPr>
          <w:p w14:paraId="2FF7A06C"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lastRenderedPageBreak/>
              <w:t>Realizar la lectura sobre el tema de la sesión.</w:t>
            </w:r>
          </w:p>
          <w:p w14:paraId="49D2125F"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Participación en el foro social CAFETERÍA, para el conocimiento mutuo y la integración del grupo.</w:t>
            </w:r>
          </w:p>
          <w:p w14:paraId="1B1796C3"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Lectura del sílabo del curso con las aclaraciones que fueran necesarias a través de la participación en el foro de dudas.</w:t>
            </w:r>
          </w:p>
          <w:p w14:paraId="72FF7EEB" w14:textId="7DC4C86D"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Participación en el foro temático grupal: La relación entre las Ciencias Psicológicas y las </w:t>
            </w:r>
            <w:r w:rsidR="0028546D">
              <w:rPr>
                <w:rFonts w:cs="Arial"/>
                <w:color w:val="000000" w:themeColor="text1"/>
              </w:rPr>
              <w:t>Ciencias Bíblicas</w:t>
            </w:r>
            <w:r w:rsidRPr="00132861">
              <w:rPr>
                <w:rFonts w:cs="Arial"/>
                <w:color w:val="000000" w:themeColor="text1"/>
              </w:rPr>
              <w:t>, donde se compartirán las percepciones y experiencias previas sobre la materia</w:t>
            </w:r>
            <w:r>
              <w:rPr>
                <w:rFonts w:cs="Arial"/>
                <w:color w:val="000000" w:themeColor="text1"/>
              </w:rPr>
              <w:t xml:space="preserve"> (formativo)</w:t>
            </w:r>
            <w:r w:rsidRPr="00132861">
              <w:rPr>
                <w:rFonts w:cs="Arial"/>
                <w:color w:val="000000" w:themeColor="text1"/>
              </w:rPr>
              <w:t>.</w:t>
            </w:r>
          </w:p>
          <w:p w14:paraId="4EB4F388"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Exposición teórica de la docente para introducir los temas señalados en un encuentro sincrónico</w:t>
            </w:r>
            <w:r>
              <w:rPr>
                <w:rFonts w:cs="Arial"/>
                <w:color w:val="000000" w:themeColor="text1"/>
              </w:rPr>
              <w:t xml:space="preserve"> virtual</w:t>
            </w:r>
            <w:r w:rsidRPr="00132861">
              <w:rPr>
                <w:rFonts w:cs="Arial"/>
                <w:color w:val="000000" w:themeColor="text1"/>
              </w:rPr>
              <w:t xml:space="preserve">. </w:t>
            </w:r>
          </w:p>
        </w:tc>
      </w:tr>
      <w:tr w:rsidR="00484BB1" w:rsidRPr="00132861" w14:paraId="1CBB3036" w14:textId="77777777" w:rsidTr="00C574A6">
        <w:trPr>
          <w:jc w:val="center"/>
        </w:trPr>
        <w:tc>
          <w:tcPr>
            <w:tcW w:w="1271" w:type="dxa"/>
          </w:tcPr>
          <w:p w14:paraId="17F99ED1" w14:textId="77777777" w:rsidR="00484BB1" w:rsidRPr="00132861" w:rsidRDefault="00484BB1" w:rsidP="00964927">
            <w:pPr>
              <w:jc w:val="center"/>
              <w:rPr>
                <w:rFonts w:cs="Arial"/>
                <w:color w:val="000000" w:themeColor="text1"/>
              </w:rPr>
            </w:pPr>
            <w:r w:rsidRPr="00132861">
              <w:rPr>
                <w:rFonts w:cs="Arial"/>
                <w:color w:val="000000" w:themeColor="text1"/>
              </w:rPr>
              <w:t>2</w:t>
            </w:r>
          </w:p>
          <w:p w14:paraId="5E4E7631" w14:textId="77777777" w:rsidR="00484BB1" w:rsidRPr="00132861" w:rsidRDefault="00484BB1" w:rsidP="00964927">
            <w:pPr>
              <w:jc w:val="center"/>
              <w:rPr>
                <w:rFonts w:cs="Arial"/>
                <w:color w:val="FF0000"/>
              </w:rPr>
            </w:pPr>
          </w:p>
        </w:tc>
        <w:tc>
          <w:tcPr>
            <w:tcW w:w="2410" w:type="dxa"/>
          </w:tcPr>
          <w:p w14:paraId="03190D79" w14:textId="77777777" w:rsidR="00484BB1" w:rsidRPr="002855B0" w:rsidRDefault="00484BB1" w:rsidP="00704749">
            <w:pPr>
              <w:rPr>
                <w:rFonts w:cs="Arial"/>
                <w:b/>
                <w:bCs/>
              </w:rPr>
            </w:pPr>
            <w:r w:rsidRPr="002855B0">
              <w:rPr>
                <w:rFonts w:cs="Arial"/>
                <w:b/>
                <w:bCs/>
              </w:rPr>
              <w:t>Unidad 2: Concepciones básicas de la psicología</w:t>
            </w:r>
          </w:p>
          <w:p w14:paraId="73267BFF" w14:textId="77777777" w:rsidR="00484BB1" w:rsidRPr="00614214" w:rsidRDefault="00484BB1" w:rsidP="00704749">
            <w:pPr>
              <w:rPr>
                <w:rFonts w:cs="Arial"/>
              </w:rPr>
            </w:pPr>
            <w:r w:rsidRPr="00614214">
              <w:rPr>
                <w:rFonts w:cs="Arial"/>
              </w:rPr>
              <w:t>a. El desarrollo psíquico humano</w:t>
            </w:r>
          </w:p>
          <w:p w14:paraId="266FE9D1" w14:textId="77777777" w:rsidR="00484BB1" w:rsidRPr="00614214" w:rsidRDefault="00484BB1" w:rsidP="00964927">
            <w:pPr>
              <w:pStyle w:val="Normalcontenido"/>
              <w:ind w:left="0" w:firstLine="0"/>
              <w:rPr>
                <w:rFonts w:asciiTheme="minorHAnsi" w:hAnsiTheme="minorHAnsi" w:cs="Arial"/>
                <w:sz w:val="22"/>
                <w:szCs w:val="22"/>
              </w:rPr>
            </w:pPr>
          </w:p>
        </w:tc>
        <w:tc>
          <w:tcPr>
            <w:tcW w:w="2977" w:type="dxa"/>
          </w:tcPr>
          <w:p w14:paraId="2E69AB01" w14:textId="77777777" w:rsidR="00484BB1" w:rsidRDefault="00484BB1" w:rsidP="00E60B9C">
            <w:pPr>
              <w:spacing w:after="120"/>
              <w:rPr>
                <w:rFonts w:cs="Arial"/>
              </w:rPr>
            </w:pPr>
            <w:r>
              <w:rPr>
                <w:rFonts w:cs="Arial"/>
                <w:color w:val="0070C0"/>
              </w:rPr>
              <w:t>Ruta de aprendizaje</w:t>
            </w:r>
          </w:p>
          <w:p w14:paraId="26D2020F" w14:textId="77777777" w:rsidR="00484BB1" w:rsidRPr="00346CCD" w:rsidRDefault="00484BB1" w:rsidP="00346CCD">
            <w:pPr>
              <w:spacing w:after="120"/>
              <w:rPr>
                <w:rFonts w:cs="Arial"/>
                <w:color w:val="0070C0"/>
              </w:rPr>
            </w:pPr>
            <w:r w:rsidRPr="00132861">
              <w:rPr>
                <w:rFonts w:cs="Arial"/>
              </w:rPr>
              <w:t xml:space="preserve">Baltodano, Mireya. “Desarrollo humano”. En </w:t>
            </w:r>
            <w:r w:rsidRPr="00132861">
              <w:rPr>
                <w:rFonts w:cs="Arial"/>
                <w:i/>
              </w:rPr>
              <w:t xml:space="preserve">Introducción a la Psicología, </w:t>
            </w:r>
            <w:r w:rsidRPr="00132861">
              <w:rPr>
                <w:rFonts w:cs="Arial"/>
              </w:rPr>
              <w:t>11-34.</w:t>
            </w:r>
            <w:r w:rsidRPr="00132861">
              <w:rPr>
                <w:rFonts w:cs="Arial"/>
                <w:i/>
              </w:rPr>
              <w:t xml:space="preserve"> </w:t>
            </w:r>
            <w:r w:rsidRPr="00132861">
              <w:rPr>
                <w:rFonts w:cs="Arial"/>
              </w:rPr>
              <w:t>San José: UBILA, 2009.</w:t>
            </w:r>
            <w:r>
              <w:rPr>
                <w:rFonts w:cs="Arial"/>
              </w:rPr>
              <w:t xml:space="preserve"> </w:t>
            </w:r>
            <w:r w:rsidRPr="00346CCD">
              <w:rPr>
                <w:rFonts w:cs="Arial"/>
                <w:color w:val="0070C0"/>
              </w:rPr>
              <w:t>(clásico, última edición)</w:t>
            </w:r>
          </w:p>
          <w:p w14:paraId="61A5B1DE" w14:textId="77777777" w:rsidR="00484BB1" w:rsidRDefault="00484BB1" w:rsidP="00E60B9C">
            <w:pPr>
              <w:spacing w:after="120"/>
              <w:rPr>
                <w:rFonts w:cs="Arial"/>
              </w:rPr>
            </w:pPr>
          </w:p>
          <w:p w14:paraId="2CA5893C" w14:textId="77777777" w:rsidR="00484BB1" w:rsidRDefault="00484BB1" w:rsidP="00E60B9C">
            <w:pPr>
              <w:spacing w:after="120"/>
              <w:rPr>
                <w:rFonts w:cs="Arial"/>
                <w:b/>
                <w:color w:val="0070C0"/>
              </w:rPr>
            </w:pPr>
            <w:r w:rsidRPr="0012351F">
              <w:rPr>
                <w:rFonts w:cs="Arial"/>
                <w:b/>
                <w:color w:val="0070C0"/>
              </w:rPr>
              <w:t>Material complementario</w:t>
            </w:r>
          </w:p>
          <w:p w14:paraId="658E98BD" w14:textId="77777777" w:rsidR="00484BB1" w:rsidRDefault="00484BB1" w:rsidP="00E60B9C">
            <w:pPr>
              <w:spacing w:after="120"/>
              <w:rPr>
                <w:rFonts w:cs="Arial"/>
                <w:bCs/>
                <w:color w:val="0070C0"/>
              </w:rPr>
            </w:pPr>
            <w:r>
              <w:rPr>
                <w:rFonts w:cs="Arial"/>
                <w:bCs/>
                <w:color w:val="0070C0"/>
              </w:rPr>
              <w:t xml:space="preserve">Guía para la participación mediante la herramienta Big Blue </w:t>
            </w:r>
            <w:proofErr w:type="spellStart"/>
            <w:r>
              <w:rPr>
                <w:rFonts w:cs="Arial"/>
                <w:bCs/>
                <w:color w:val="0070C0"/>
              </w:rPr>
              <w:t>Button</w:t>
            </w:r>
            <w:proofErr w:type="spellEnd"/>
            <w:r>
              <w:rPr>
                <w:rFonts w:cs="Arial"/>
                <w:bCs/>
                <w:color w:val="0070C0"/>
              </w:rPr>
              <w:t xml:space="preserve"> en la plataforma Moodle</w:t>
            </w:r>
          </w:p>
          <w:p w14:paraId="2A86719D" w14:textId="77777777" w:rsidR="00484BB1" w:rsidRPr="005745EF" w:rsidRDefault="00484BB1" w:rsidP="00E60B9C">
            <w:pPr>
              <w:spacing w:after="120"/>
              <w:rPr>
                <w:rFonts w:cs="Arial"/>
                <w:bCs/>
                <w:color w:val="000000" w:themeColor="text1"/>
              </w:rPr>
            </w:pPr>
            <w:r>
              <w:rPr>
                <w:rFonts w:cs="Arial"/>
                <w:bCs/>
                <w:color w:val="0070C0"/>
              </w:rPr>
              <w:t>Guía para la participación en un foro en la plataforma Moodle</w:t>
            </w:r>
          </w:p>
        </w:tc>
        <w:tc>
          <w:tcPr>
            <w:tcW w:w="3118" w:type="dxa"/>
          </w:tcPr>
          <w:p w14:paraId="02C15D8B"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lectura sobre desarrollo humano.</w:t>
            </w:r>
          </w:p>
          <w:p w14:paraId="4F2E583D"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tarea de observación de personas en diferentes etapas del desarrollo, según las instrucciones provistas y con los conceptos teóricos estudiados (tarea análisis # 1).</w:t>
            </w:r>
          </w:p>
          <w:p w14:paraId="3FFC0596"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Exposición docente para profundizar y sistematizar los conceptos estudiados en un encuentro sincrónico</w:t>
            </w:r>
            <w:r>
              <w:rPr>
                <w:rFonts w:cs="Arial"/>
                <w:color w:val="000000" w:themeColor="text1"/>
              </w:rPr>
              <w:t xml:space="preserve"> virtual</w:t>
            </w:r>
            <w:r w:rsidRPr="00132861">
              <w:rPr>
                <w:rFonts w:cs="Arial"/>
                <w:color w:val="000000" w:themeColor="text1"/>
              </w:rPr>
              <w:t>.</w:t>
            </w:r>
          </w:p>
          <w:p w14:paraId="426F2BC6"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Selección del tema de la monografía del trabajo final según la propuesta y guía docente (se entrega a través de un foro).</w:t>
            </w:r>
          </w:p>
          <w:p w14:paraId="3DEF346E" w14:textId="77777777" w:rsidR="00484BB1" w:rsidRPr="00132861" w:rsidRDefault="00484BB1" w:rsidP="005048D2">
            <w:pPr>
              <w:ind w:left="144"/>
              <w:rPr>
                <w:rFonts w:cs="Arial"/>
                <w:color w:val="000000" w:themeColor="text1"/>
              </w:rPr>
            </w:pPr>
          </w:p>
        </w:tc>
      </w:tr>
      <w:tr w:rsidR="00484BB1" w:rsidRPr="00132861" w14:paraId="69FC340C" w14:textId="77777777" w:rsidTr="00C574A6">
        <w:trPr>
          <w:jc w:val="center"/>
        </w:trPr>
        <w:tc>
          <w:tcPr>
            <w:tcW w:w="1271" w:type="dxa"/>
          </w:tcPr>
          <w:p w14:paraId="54354FB3" w14:textId="77777777" w:rsidR="00484BB1" w:rsidRPr="00132861" w:rsidRDefault="00484BB1" w:rsidP="003E2147">
            <w:pPr>
              <w:jc w:val="center"/>
              <w:rPr>
                <w:rFonts w:cs="Arial"/>
                <w:color w:val="000000" w:themeColor="text1"/>
              </w:rPr>
            </w:pPr>
            <w:r w:rsidRPr="00132861">
              <w:rPr>
                <w:rFonts w:cs="Arial"/>
                <w:color w:val="000000" w:themeColor="text1"/>
              </w:rPr>
              <w:t>3</w:t>
            </w:r>
          </w:p>
          <w:p w14:paraId="1C3F55D4" w14:textId="77777777" w:rsidR="00484BB1" w:rsidRPr="00132861" w:rsidRDefault="00484BB1" w:rsidP="003E2147">
            <w:pPr>
              <w:jc w:val="center"/>
              <w:rPr>
                <w:rFonts w:cs="Arial"/>
                <w:color w:val="FF0000"/>
              </w:rPr>
            </w:pPr>
          </w:p>
        </w:tc>
        <w:tc>
          <w:tcPr>
            <w:tcW w:w="2410" w:type="dxa"/>
          </w:tcPr>
          <w:p w14:paraId="44CC6AA6" w14:textId="77777777" w:rsidR="00484BB1" w:rsidRPr="002855B0" w:rsidRDefault="00484BB1" w:rsidP="00C12EA3">
            <w:pPr>
              <w:rPr>
                <w:rFonts w:cs="Arial"/>
                <w:b/>
                <w:bCs/>
              </w:rPr>
            </w:pPr>
            <w:r w:rsidRPr="002855B0">
              <w:rPr>
                <w:rFonts w:cs="Arial"/>
                <w:b/>
                <w:bCs/>
              </w:rPr>
              <w:t>Unidad 2: Concepciones básicas de la psicología</w:t>
            </w:r>
          </w:p>
          <w:p w14:paraId="71244AD4" w14:textId="77777777" w:rsidR="00484BB1" w:rsidRPr="00614214" w:rsidRDefault="00484BB1" w:rsidP="00704749">
            <w:pPr>
              <w:rPr>
                <w:rFonts w:cs="Arial"/>
              </w:rPr>
            </w:pPr>
            <w:r w:rsidRPr="00614214">
              <w:rPr>
                <w:rFonts w:cs="Arial"/>
              </w:rPr>
              <w:t>b. Fundamentos de la psicología fisiológica</w:t>
            </w:r>
          </w:p>
          <w:p w14:paraId="18578FC5" w14:textId="77777777" w:rsidR="00484BB1" w:rsidRPr="00614214" w:rsidRDefault="00484BB1" w:rsidP="00704749">
            <w:pPr>
              <w:rPr>
                <w:rFonts w:cs="Arial"/>
                <w:strike/>
              </w:rPr>
            </w:pPr>
          </w:p>
          <w:p w14:paraId="723329A4" w14:textId="77777777" w:rsidR="00484BB1" w:rsidRPr="00614214" w:rsidRDefault="00484BB1" w:rsidP="00247323">
            <w:pPr>
              <w:rPr>
                <w:rFonts w:cs="Arial"/>
              </w:rPr>
            </w:pPr>
          </w:p>
        </w:tc>
        <w:tc>
          <w:tcPr>
            <w:tcW w:w="2977" w:type="dxa"/>
          </w:tcPr>
          <w:p w14:paraId="2FD177CF" w14:textId="77777777" w:rsidR="00484BB1" w:rsidRDefault="00484BB1" w:rsidP="00BF13EB">
            <w:pPr>
              <w:spacing w:after="120"/>
              <w:rPr>
                <w:rFonts w:cs="Arial"/>
              </w:rPr>
            </w:pPr>
            <w:r>
              <w:rPr>
                <w:rFonts w:cs="Arial"/>
                <w:color w:val="0070C0"/>
              </w:rPr>
              <w:t>Ruta de aprendizaje</w:t>
            </w:r>
          </w:p>
          <w:p w14:paraId="11EE042A" w14:textId="77777777" w:rsidR="00484BB1" w:rsidRPr="00346CCD" w:rsidRDefault="00484BB1" w:rsidP="00346CCD">
            <w:pPr>
              <w:spacing w:after="120"/>
              <w:rPr>
                <w:rFonts w:cs="Arial"/>
                <w:color w:val="0070C0"/>
              </w:rPr>
            </w:pPr>
            <w:r w:rsidRPr="00132861">
              <w:rPr>
                <w:rFonts w:cs="Arial"/>
              </w:rPr>
              <w:t xml:space="preserve">Baltodano, Mireya. “La psicología humana”. En </w:t>
            </w:r>
            <w:r w:rsidRPr="00132861">
              <w:rPr>
                <w:rFonts w:cs="Arial"/>
                <w:i/>
              </w:rPr>
              <w:t xml:space="preserve">Introducción a la Psicología, </w:t>
            </w:r>
            <w:r w:rsidRPr="00132861">
              <w:rPr>
                <w:rFonts w:cs="Arial"/>
              </w:rPr>
              <w:t>59-85.</w:t>
            </w:r>
            <w:r w:rsidRPr="00132861">
              <w:rPr>
                <w:rFonts w:cs="Arial"/>
                <w:i/>
              </w:rPr>
              <w:t xml:space="preserve"> </w:t>
            </w:r>
            <w:r w:rsidRPr="00132861">
              <w:rPr>
                <w:rFonts w:cs="Arial"/>
              </w:rPr>
              <w:t>San José: UBILA, 2009.</w:t>
            </w:r>
            <w:r>
              <w:rPr>
                <w:rFonts w:cs="Arial"/>
              </w:rPr>
              <w:t xml:space="preserve"> </w:t>
            </w:r>
            <w:r w:rsidRPr="00346CCD">
              <w:rPr>
                <w:rFonts w:cs="Arial"/>
                <w:color w:val="0070C0"/>
              </w:rPr>
              <w:t>(clásico, última edición)</w:t>
            </w:r>
          </w:p>
          <w:p w14:paraId="73226911" w14:textId="77777777" w:rsidR="00484BB1" w:rsidRDefault="00484BB1" w:rsidP="00BF13EB">
            <w:pPr>
              <w:spacing w:after="120"/>
              <w:rPr>
                <w:rFonts w:cs="Arial"/>
              </w:rPr>
            </w:pPr>
          </w:p>
          <w:p w14:paraId="0A2598A8" w14:textId="77777777" w:rsidR="00484BB1" w:rsidRDefault="00484BB1" w:rsidP="00BF13EB">
            <w:pPr>
              <w:spacing w:after="120"/>
              <w:rPr>
                <w:rFonts w:cs="Arial"/>
                <w:b/>
                <w:color w:val="0070C0"/>
              </w:rPr>
            </w:pPr>
            <w:r w:rsidRPr="0012351F">
              <w:rPr>
                <w:rFonts w:cs="Arial"/>
                <w:b/>
                <w:color w:val="0070C0"/>
              </w:rPr>
              <w:t>Material complementario</w:t>
            </w:r>
          </w:p>
          <w:p w14:paraId="5F5E12A9" w14:textId="77777777" w:rsidR="00484BB1" w:rsidRDefault="00484BB1" w:rsidP="00BF13EB">
            <w:pPr>
              <w:spacing w:after="120"/>
              <w:rPr>
                <w:rFonts w:cs="Arial"/>
                <w:bCs/>
                <w:color w:val="0070C0"/>
              </w:rPr>
            </w:pPr>
            <w:r>
              <w:rPr>
                <w:rFonts w:cs="Arial"/>
                <w:bCs/>
                <w:color w:val="0070C0"/>
              </w:rPr>
              <w:t>Guía para la participación en un glosario en la plataforma Moodle</w:t>
            </w:r>
          </w:p>
          <w:p w14:paraId="36FECEFD" w14:textId="77777777" w:rsidR="00484BB1" w:rsidRPr="00C455FA" w:rsidRDefault="00484BB1" w:rsidP="00BF13EB">
            <w:pPr>
              <w:spacing w:after="120"/>
              <w:rPr>
                <w:rFonts w:cs="Arial"/>
                <w:bCs/>
              </w:rPr>
            </w:pPr>
            <w:r>
              <w:rPr>
                <w:rFonts w:cs="Arial"/>
                <w:bCs/>
                <w:color w:val="0070C0"/>
              </w:rPr>
              <w:t xml:space="preserve">Guía para la participación mediante la herramienta Big Blue </w:t>
            </w:r>
            <w:proofErr w:type="spellStart"/>
            <w:r>
              <w:rPr>
                <w:rFonts w:cs="Arial"/>
                <w:bCs/>
                <w:color w:val="0070C0"/>
              </w:rPr>
              <w:t>Button</w:t>
            </w:r>
            <w:proofErr w:type="spellEnd"/>
            <w:r>
              <w:rPr>
                <w:rFonts w:cs="Arial"/>
                <w:bCs/>
                <w:color w:val="0070C0"/>
              </w:rPr>
              <w:t xml:space="preserve"> en la plataforma Moodle</w:t>
            </w:r>
          </w:p>
          <w:p w14:paraId="68578178" w14:textId="77777777" w:rsidR="00484BB1" w:rsidRPr="00132861" w:rsidRDefault="00484BB1" w:rsidP="003E2147">
            <w:pPr>
              <w:rPr>
                <w:rFonts w:cs="Arial"/>
                <w:color w:val="000000" w:themeColor="text1"/>
              </w:rPr>
            </w:pPr>
          </w:p>
        </w:tc>
        <w:tc>
          <w:tcPr>
            <w:tcW w:w="3118" w:type="dxa"/>
          </w:tcPr>
          <w:p w14:paraId="000ED654"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lectura sobre el tema de la sesión.</w:t>
            </w:r>
          </w:p>
          <w:p w14:paraId="5441000C"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una síntesis del material teórico en un glosario según las instrucciones provistas (tarea acopio # 1).</w:t>
            </w:r>
          </w:p>
          <w:p w14:paraId="5CABBAA7"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Exposición docente sobre el tema y profundización de los conceptos con ilustración de casos en un encuentro</w:t>
            </w:r>
            <w:r>
              <w:rPr>
                <w:rFonts w:cs="Arial"/>
                <w:color w:val="000000" w:themeColor="text1"/>
              </w:rPr>
              <w:t xml:space="preserve"> sincrónico virtual</w:t>
            </w:r>
            <w:r w:rsidRPr="00132861">
              <w:rPr>
                <w:rFonts w:cs="Arial"/>
                <w:color w:val="000000" w:themeColor="text1"/>
              </w:rPr>
              <w:t>.</w:t>
            </w:r>
          </w:p>
          <w:p w14:paraId="43248E88"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6C7CC687" w14:textId="77777777" w:rsidR="00484BB1" w:rsidRDefault="00484BB1" w:rsidP="00E71A70">
            <w:pPr>
              <w:ind w:left="144"/>
              <w:rPr>
                <w:rFonts w:cs="Arial"/>
                <w:color w:val="000000" w:themeColor="text1"/>
              </w:rPr>
            </w:pPr>
          </w:p>
          <w:p w14:paraId="09D9220E" w14:textId="77777777" w:rsidR="00484BB1" w:rsidRPr="00132861" w:rsidRDefault="00484BB1" w:rsidP="00E71A70">
            <w:pPr>
              <w:ind w:left="144"/>
              <w:rPr>
                <w:rFonts w:cs="Arial"/>
                <w:color w:val="000000" w:themeColor="text1"/>
              </w:rPr>
            </w:pPr>
          </w:p>
        </w:tc>
      </w:tr>
      <w:tr w:rsidR="00484BB1" w:rsidRPr="00132861" w14:paraId="65982C4D" w14:textId="77777777" w:rsidTr="00C574A6">
        <w:trPr>
          <w:trHeight w:val="1745"/>
          <w:jc w:val="center"/>
        </w:trPr>
        <w:tc>
          <w:tcPr>
            <w:tcW w:w="1271" w:type="dxa"/>
          </w:tcPr>
          <w:p w14:paraId="0B659CB6" w14:textId="77777777" w:rsidR="00484BB1" w:rsidRPr="00132861" w:rsidRDefault="00484BB1" w:rsidP="003E2147">
            <w:pPr>
              <w:jc w:val="center"/>
              <w:rPr>
                <w:rFonts w:cs="Arial"/>
                <w:color w:val="000000" w:themeColor="text1"/>
              </w:rPr>
            </w:pPr>
            <w:r w:rsidRPr="00132861">
              <w:rPr>
                <w:rFonts w:cs="Arial"/>
                <w:color w:val="000000" w:themeColor="text1"/>
              </w:rPr>
              <w:lastRenderedPageBreak/>
              <w:t>4</w:t>
            </w:r>
          </w:p>
          <w:p w14:paraId="54399841" w14:textId="77777777" w:rsidR="00484BB1" w:rsidRPr="00132861" w:rsidRDefault="00484BB1" w:rsidP="003E2147">
            <w:pPr>
              <w:jc w:val="center"/>
              <w:rPr>
                <w:rFonts w:cs="Arial"/>
                <w:color w:val="FF0000"/>
              </w:rPr>
            </w:pPr>
          </w:p>
        </w:tc>
        <w:tc>
          <w:tcPr>
            <w:tcW w:w="2410" w:type="dxa"/>
          </w:tcPr>
          <w:p w14:paraId="4092E0E9" w14:textId="77777777" w:rsidR="00484BB1" w:rsidRPr="002855B0" w:rsidRDefault="00484BB1" w:rsidP="00BE3C48">
            <w:pPr>
              <w:rPr>
                <w:rFonts w:cs="Arial"/>
                <w:b/>
                <w:bCs/>
              </w:rPr>
            </w:pPr>
            <w:r w:rsidRPr="002855B0">
              <w:rPr>
                <w:rFonts w:cs="Arial"/>
                <w:b/>
                <w:bCs/>
              </w:rPr>
              <w:t>Unidad 2: Concepciones básicas de la psicología</w:t>
            </w:r>
          </w:p>
          <w:p w14:paraId="5DCB28AE" w14:textId="77777777" w:rsidR="00484BB1" w:rsidRPr="00614214" w:rsidRDefault="00484BB1" w:rsidP="00704749">
            <w:pPr>
              <w:rPr>
                <w:rFonts w:cs="Arial"/>
              </w:rPr>
            </w:pPr>
            <w:r w:rsidRPr="00614214">
              <w:rPr>
                <w:rFonts w:cs="Arial"/>
              </w:rPr>
              <w:t>c. Emociones y conflictos</w:t>
            </w:r>
          </w:p>
        </w:tc>
        <w:tc>
          <w:tcPr>
            <w:tcW w:w="2977" w:type="dxa"/>
          </w:tcPr>
          <w:p w14:paraId="55E4737A" w14:textId="77777777" w:rsidR="00484BB1" w:rsidRDefault="00484BB1" w:rsidP="009D7598">
            <w:pPr>
              <w:spacing w:after="120"/>
              <w:rPr>
                <w:rFonts w:cs="Arial"/>
              </w:rPr>
            </w:pPr>
            <w:r>
              <w:rPr>
                <w:rFonts w:cs="Arial"/>
                <w:color w:val="0070C0"/>
              </w:rPr>
              <w:t>Ruta de aprendizaje</w:t>
            </w:r>
          </w:p>
          <w:p w14:paraId="382EE81C" w14:textId="77777777" w:rsidR="00484BB1" w:rsidRPr="00346CCD" w:rsidRDefault="00484BB1" w:rsidP="00346CCD">
            <w:pPr>
              <w:spacing w:after="120"/>
              <w:rPr>
                <w:rFonts w:cs="Arial"/>
                <w:color w:val="0070C0"/>
              </w:rPr>
            </w:pPr>
            <w:r w:rsidRPr="00132861">
              <w:rPr>
                <w:rFonts w:cs="Arial"/>
              </w:rPr>
              <w:t xml:space="preserve">Baltodano, Mireya. “Emociones y sentimientos”. En </w:t>
            </w:r>
            <w:r w:rsidRPr="00132861">
              <w:rPr>
                <w:rFonts w:cs="Arial"/>
                <w:i/>
              </w:rPr>
              <w:t xml:space="preserve">Introducción a la Psicología, </w:t>
            </w:r>
            <w:r w:rsidRPr="00132861">
              <w:rPr>
                <w:rFonts w:cs="Arial"/>
              </w:rPr>
              <w:t>37-57.</w:t>
            </w:r>
            <w:r w:rsidRPr="00132861">
              <w:rPr>
                <w:rFonts w:cs="Arial"/>
                <w:i/>
              </w:rPr>
              <w:t xml:space="preserve"> </w:t>
            </w:r>
            <w:r w:rsidRPr="00132861">
              <w:rPr>
                <w:rFonts w:cs="Arial"/>
              </w:rPr>
              <w:t>San José: UBILA, 2009.</w:t>
            </w:r>
            <w:r>
              <w:rPr>
                <w:rFonts w:cs="Arial"/>
              </w:rPr>
              <w:t xml:space="preserve"> </w:t>
            </w:r>
            <w:r w:rsidRPr="00346CCD">
              <w:rPr>
                <w:rFonts w:cs="Arial"/>
                <w:color w:val="0070C0"/>
              </w:rPr>
              <w:t>(clásico, última edición)</w:t>
            </w:r>
          </w:p>
          <w:p w14:paraId="7A8B5D60" w14:textId="77777777" w:rsidR="00484BB1" w:rsidRDefault="00484BB1" w:rsidP="00300409">
            <w:pPr>
              <w:spacing w:after="120"/>
              <w:rPr>
                <w:rFonts w:cs="Arial"/>
              </w:rPr>
            </w:pPr>
            <w:r w:rsidRPr="00132861">
              <w:rPr>
                <w:rFonts w:cs="Arial"/>
              </w:rPr>
              <w:t xml:space="preserve">Morgado, Ignacio. “Cómo se forjan las emociones y los sentimientos”. En </w:t>
            </w:r>
            <w:r w:rsidRPr="00132861">
              <w:rPr>
                <w:rFonts w:cs="Arial"/>
                <w:i/>
              </w:rPr>
              <w:t xml:space="preserve">Emociones e inteligencia social, </w:t>
            </w:r>
            <w:r w:rsidRPr="00132861">
              <w:rPr>
                <w:rFonts w:cs="Arial"/>
              </w:rPr>
              <w:t>19-60. Barcelona: Ariel, 2019.</w:t>
            </w:r>
          </w:p>
          <w:p w14:paraId="4F8A1898" w14:textId="77777777" w:rsidR="00484BB1" w:rsidRDefault="00484BB1" w:rsidP="00300409">
            <w:pPr>
              <w:spacing w:after="120"/>
              <w:rPr>
                <w:rFonts w:cs="Arial"/>
                <w:b/>
                <w:color w:val="0070C0"/>
              </w:rPr>
            </w:pPr>
            <w:r w:rsidRPr="0012351F">
              <w:rPr>
                <w:rFonts w:cs="Arial"/>
                <w:b/>
                <w:color w:val="0070C0"/>
              </w:rPr>
              <w:t>Material complementario</w:t>
            </w:r>
          </w:p>
          <w:p w14:paraId="7FDE6EA2" w14:textId="77777777" w:rsidR="00484BB1" w:rsidRPr="008F3021" w:rsidRDefault="00484BB1" w:rsidP="00300409">
            <w:pPr>
              <w:spacing w:after="120"/>
              <w:rPr>
                <w:rFonts w:cs="Arial"/>
                <w:bCs/>
                <w:color w:val="000000" w:themeColor="text1"/>
              </w:rPr>
            </w:pPr>
            <w:r>
              <w:rPr>
                <w:rFonts w:cs="Arial"/>
                <w:bCs/>
                <w:color w:val="0070C0"/>
              </w:rPr>
              <w:t>Guía para la participación en un foro en la plataforma Moodle</w:t>
            </w:r>
          </w:p>
        </w:tc>
        <w:tc>
          <w:tcPr>
            <w:tcW w:w="3118" w:type="dxa"/>
          </w:tcPr>
          <w:p w14:paraId="134740E1"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lectura sobre el tema de la sesión.</w:t>
            </w:r>
          </w:p>
          <w:p w14:paraId="2F90AD50"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Elaboración de un cuadro sinóptico sobre el tema leído según las instrucciones provistas (tarea acopio # 2). </w:t>
            </w:r>
          </w:p>
          <w:p w14:paraId="5C55AB08"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Análisis grupal en el aula virtual sobre un caso de estudio con los elementos teóricos estudiados a través de un foro (análisis grupal # 1). </w:t>
            </w:r>
          </w:p>
          <w:p w14:paraId="5D8F2AFF"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5871515A" w14:textId="77777777" w:rsidR="00484BB1" w:rsidRDefault="00484BB1" w:rsidP="00296AD7">
            <w:pPr>
              <w:ind w:left="144"/>
              <w:rPr>
                <w:rFonts w:cs="Arial"/>
                <w:color w:val="000000" w:themeColor="text1"/>
              </w:rPr>
            </w:pPr>
          </w:p>
          <w:p w14:paraId="0E4AC5EF" w14:textId="77777777" w:rsidR="00484BB1" w:rsidRPr="00132861" w:rsidRDefault="00484BB1" w:rsidP="00414686">
            <w:pPr>
              <w:rPr>
                <w:rFonts w:cs="Arial"/>
                <w:color w:val="000000" w:themeColor="text1"/>
              </w:rPr>
            </w:pPr>
          </w:p>
        </w:tc>
      </w:tr>
      <w:tr w:rsidR="00484BB1" w:rsidRPr="00132861" w14:paraId="6031234C" w14:textId="77777777" w:rsidTr="00C574A6">
        <w:trPr>
          <w:jc w:val="center"/>
        </w:trPr>
        <w:tc>
          <w:tcPr>
            <w:tcW w:w="1271" w:type="dxa"/>
          </w:tcPr>
          <w:p w14:paraId="19E874F2" w14:textId="77777777" w:rsidR="00484BB1" w:rsidRPr="00132861" w:rsidRDefault="00484BB1" w:rsidP="003E2147">
            <w:pPr>
              <w:jc w:val="center"/>
              <w:rPr>
                <w:rFonts w:cs="Arial"/>
                <w:color w:val="000000" w:themeColor="text1"/>
              </w:rPr>
            </w:pPr>
            <w:r w:rsidRPr="00132861">
              <w:rPr>
                <w:rFonts w:cs="Arial"/>
                <w:color w:val="000000" w:themeColor="text1"/>
              </w:rPr>
              <w:t>5</w:t>
            </w:r>
          </w:p>
          <w:p w14:paraId="05DB1BC5" w14:textId="77777777" w:rsidR="00484BB1" w:rsidRPr="00132861" w:rsidRDefault="00484BB1" w:rsidP="003E2147">
            <w:pPr>
              <w:jc w:val="center"/>
              <w:rPr>
                <w:rFonts w:cs="Arial"/>
                <w:color w:val="FF0000"/>
              </w:rPr>
            </w:pPr>
          </w:p>
        </w:tc>
        <w:tc>
          <w:tcPr>
            <w:tcW w:w="2410" w:type="dxa"/>
          </w:tcPr>
          <w:p w14:paraId="41C4FC5B" w14:textId="77777777" w:rsidR="00484BB1" w:rsidRPr="002855B0" w:rsidRDefault="00484BB1" w:rsidP="00BE3C48">
            <w:pPr>
              <w:rPr>
                <w:rFonts w:cs="Arial"/>
                <w:b/>
                <w:bCs/>
              </w:rPr>
            </w:pPr>
            <w:r w:rsidRPr="002855B0">
              <w:rPr>
                <w:rFonts w:cs="Arial"/>
                <w:b/>
                <w:bCs/>
              </w:rPr>
              <w:t>Unidad 2: Concepciones básicas de la psicología</w:t>
            </w:r>
          </w:p>
          <w:p w14:paraId="3D11F3D8" w14:textId="77777777" w:rsidR="00484BB1" w:rsidRPr="00614214" w:rsidRDefault="00484BB1" w:rsidP="00704749">
            <w:pPr>
              <w:rPr>
                <w:rFonts w:cs="Arial"/>
              </w:rPr>
            </w:pPr>
          </w:p>
          <w:p w14:paraId="74C47590" w14:textId="77777777" w:rsidR="00484BB1" w:rsidRPr="00614214" w:rsidRDefault="00484BB1" w:rsidP="00704749">
            <w:pPr>
              <w:rPr>
                <w:rFonts w:cs="Arial"/>
              </w:rPr>
            </w:pPr>
            <w:r w:rsidRPr="00614214">
              <w:rPr>
                <w:rFonts w:cs="Arial"/>
              </w:rPr>
              <w:t>d. Procesos cognoscitivos</w:t>
            </w:r>
          </w:p>
          <w:p w14:paraId="2FDF1C2F" w14:textId="77777777" w:rsidR="00484BB1" w:rsidRPr="00614214" w:rsidRDefault="00484BB1" w:rsidP="00704749">
            <w:pPr>
              <w:rPr>
                <w:rFonts w:cs="Arial"/>
              </w:rPr>
            </w:pPr>
          </w:p>
          <w:p w14:paraId="1D490F1E" w14:textId="77777777" w:rsidR="00484BB1" w:rsidRPr="00614214" w:rsidRDefault="00484BB1" w:rsidP="00704749">
            <w:pPr>
              <w:rPr>
                <w:rFonts w:cs="Arial"/>
              </w:rPr>
            </w:pPr>
            <w:r w:rsidRPr="00614214">
              <w:rPr>
                <w:rFonts w:cs="Arial"/>
              </w:rPr>
              <w:t>e. La personalidad</w:t>
            </w:r>
          </w:p>
        </w:tc>
        <w:tc>
          <w:tcPr>
            <w:tcW w:w="2977" w:type="dxa"/>
          </w:tcPr>
          <w:p w14:paraId="16D5B5C9" w14:textId="77777777" w:rsidR="00484BB1" w:rsidRDefault="00484BB1" w:rsidP="009F14CE">
            <w:pPr>
              <w:spacing w:after="120"/>
              <w:rPr>
                <w:rFonts w:cs="Arial"/>
              </w:rPr>
            </w:pPr>
            <w:r>
              <w:rPr>
                <w:rFonts w:cs="Arial"/>
                <w:color w:val="0070C0"/>
              </w:rPr>
              <w:t>Ruta de aprendizaje</w:t>
            </w:r>
          </w:p>
          <w:p w14:paraId="1FABA93A" w14:textId="77777777" w:rsidR="00484BB1" w:rsidRPr="00346CCD" w:rsidRDefault="00484BB1" w:rsidP="00346CCD">
            <w:pPr>
              <w:spacing w:after="120"/>
              <w:rPr>
                <w:rFonts w:cs="Arial"/>
                <w:color w:val="0070C0"/>
              </w:rPr>
            </w:pPr>
            <w:r w:rsidRPr="00132861">
              <w:rPr>
                <w:rFonts w:cs="Arial"/>
              </w:rPr>
              <w:t xml:space="preserve">Zaracho, Rafael. “Etapas del desarrollo humano: desde el nacimiento”. En </w:t>
            </w:r>
            <w:r w:rsidRPr="00132861">
              <w:rPr>
                <w:rFonts w:cs="Arial"/>
                <w:i/>
              </w:rPr>
              <w:t xml:space="preserve">Consejería Pastoral: La psicología y su utilidad para la consejería pastoral, </w:t>
            </w:r>
            <w:r w:rsidRPr="00132861">
              <w:rPr>
                <w:rFonts w:cs="Arial"/>
              </w:rPr>
              <w:t xml:space="preserve">41-65. México: Grupo Editorial Lumen, 2007.  </w:t>
            </w:r>
            <w:r>
              <w:rPr>
                <w:rFonts w:cs="Arial"/>
              </w:rPr>
              <w:t xml:space="preserve"> </w:t>
            </w:r>
            <w:r w:rsidRPr="00346CCD">
              <w:rPr>
                <w:rFonts w:cs="Arial"/>
                <w:color w:val="0070C0"/>
              </w:rPr>
              <w:t>(clásico, última edición)</w:t>
            </w:r>
          </w:p>
          <w:p w14:paraId="1787DB4F" w14:textId="77777777" w:rsidR="00484BB1" w:rsidRDefault="00484BB1" w:rsidP="009F14CE">
            <w:pPr>
              <w:spacing w:after="120"/>
              <w:rPr>
                <w:rFonts w:cs="Arial"/>
              </w:rPr>
            </w:pPr>
          </w:p>
          <w:p w14:paraId="51F512E1" w14:textId="77777777" w:rsidR="00484BB1" w:rsidRPr="00132861" w:rsidRDefault="00484BB1" w:rsidP="009F14CE">
            <w:pPr>
              <w:spacing w:after="120"/>
              <w:rPr>
                <w:rFonts w:cs="Arial"/>
              </w:rPr>
            </w:pPr>
            <w:r w:rsidRPr="0012351F">
              <w:rPr>
                <w:rFonts w:cs="Arial"/>
                <w:b/>
                <w:color w:val="0070C0"/>
              </w:rPr>
              <w:t>Material complementario</w:t>
            </w:r>
          </w:p>
          <w:p w14:paraId="41E22FE2" w14:textId="77777777" w:rsidR="00484BB1" w:rsidRPr="00132861" w:rsidRDefault="00484BB1" w:rsidP="009F14CE">
            <w:pPr>
              <w:spacing w:after="120"/>
              <w:rPr>
                <w:rFonts w:cs="Arial"/>
                <w:color w:val="000000" w:themeColor="text1"/>
              </w:rPr>
            </w:pPr>
            <w:r w:rsidRPr="00547EA1">
              <w:rPr>
                <w:rFonts w:cs="Arial"/>
                <w:color w:val="0070C0"/>
              </w:rPr>
              <w:t>Guía para la participación en un foro en la plataforma Moodle</w:t>
            </w:r>
          </w:p>
        </w:tc>
        <w:tc>
          <w:tcPr>
            <w:tcW w:w="3118" w:type="dxa"/>
          </w:tcPr>
          <w:p w14:paraId="1D53CB65" w14:textId="77777777" w:rsidR="00484BB1" w:rsidRPr="00132861" w:rsidRDefault="00484BB1" w:rsidP="00484BB1">
            <w:pPr>
              <w:numPr>
                <w:ilvl w:val="0"/>
                <w:numId w:val="43"/>
              </w:numPr>
              <w:spacing w:after="0" w:line="240" w:lineRule="auto"/>
              <w:rPr>
                <w:rFonts w:cs="Arial"/>
                <w:color w:val="000000" w:themeColor="text1"/>
              </w:rPr>
            </w:pPr>
            <w:r w:rsidRPr="00132861">
              <w:rPr>
                <w:rFonts w:cs="Arial"/>
                <w:color w:val="000000" w:themeColor="text1"/>
              </w:rPr>
              <w:t>Realizar la lectura sobre el tema de la sesión.</w:t>
            </w:r>
          </w:p>
          <w:p w14:paraId="32AE9073" w14:textId="77777777" w:rsidR="00484BB1" w:rsidRPr="00132861" w:rsidRDefault="00484BB1" w:rsidP="00484BB1">
            <w:pPr>
              <w:numPr>
                <w:ilvl w:val="0"/>
                <w:numId w:val="43"/>
              </w:numPr>
              <w:spacing w:after="0" w:line="240" w:lineRule="auto"/>
              <w:rPr>
                <w:rFonts w:cs="Arial"/>
                <w:color w:val="000000" w:themeColor="text1"/>
              </w:rPr>
            </w:pPr>
            <w:r w:rsidRPr="00132861">
              <w:rPr>
                <w:rFonts w:cs="Arial"/>
                <w:color w:val="000000" w:themeColor="text1"/>
              </w:rPr>
              <w:t>Investigación bibliográfica individual sobre componentes de la identidad según las instrucciones provistas, cuyos resultados serán expuestos a través de un foro (tarea acopio # 3).</w:t>
            </w:r>
          </w:p>
          <w:p w14:paraId="6DE84C70" w14:textId="77777777" w:rsidR="00484BB1" w:rsidRPr="00132861" w:rsidRDefault="00484BB1" w:rsidP="00484BB1">
            <w:pPr>
              <w:numPr>
                <w:ilvl w:val="0"/>
                <w:numId w:val="43"/>
              </w:numPr>
              <w:spacing w:after="0" w:line="240" w:lineRule="auto"/>
              <w:rPr>
                <w:rFonts w:cs="Arial"/>
                <w:color w:val="000000" w:themeColor="text1"/>
              </w:rPr>
            </w:pPr>
            <w:r w:rsidRPr="00132861">
              <w:rPr>
                <w:rFonts w:cs="Arial"/>
                <w:color w:val="000000" w:themeColor="text1"/>
              </w:rPr>
              <w:t>Participación en el foro grupal: Sistematización de la integralidad de los rasgos diversos de la identidad</w:t>
            </w:r>
            <w:r>
              <w:rPr>
                <w:rFonts w:cs="Arial"/>
                <w:color w:val="000000" w:themeColor="text1"/>
              </w:rPr>
              <w:t xml:space="preserve"> (formativo)</w:t>
            </w:r>
            <w:r w:rsidRPr="00132861">
              <w:rPr>
                <w:rFonts w:cs="Arial"/>
                <w:color w:val="000000" w:themeColor="text1"/>
              </w:rPr>
              <w:t xml:space="preserve">. </w:t>
            </w:r>
          </w:p>
          <w:p w14:paraId="03C95B87" w14:textId="77777777" w:rsidR="00484BB1" w:rsidRDefault="00484BB1" w:rsidP="00484BB1">
            <w:pPr>
              <w:numPr>
                <w:ilvl w:val="0"/>
                <w:numId w:val="43"/>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5EC900D0" w14:textId="77777777" w:rsidR="00484BB1" w:rsidRPr="00132861" w:rsidRDefault="00484BB1" w:rsidP="009D23A2">
            <w:pPr>
              <w:rPr>
                <w:rFonts w:cs="Arial"/>
                <w:color w:val="000000" w:themeColor="text1"/>
              </w:rPr>
            </w:pPr>
          </w:p>
        </w:tc>
      </w:tr>
      <w:tr w:rsidR="00484BB1" w:rsidRPr="00132861" w14:paraId="6CC14BAF" w14:textId="77777777" w:rsidTr="00C574A6">
        <w:trPr>
          <w:jc w:val="center"/>
        </w:trPr>
        <w:tc>
          <w:tcPr>
            <w:tcW w:w="1271" w:type="dxa"/>
          </w:tcPr>
          <w:p w14:paraId="5823FE7D" w14:textId="77777777" w:rsidR="00484BB1" w:rsidRPr="00132861" w:rsidRDefault="00484BB1" w:rsidP="00E10772">
            <w:pPr>
              <w:jc w:val="center"/>
              <w:rPr>
                <w:rFonts w:cs="Arial"/>
                <w:color w:val="000000" w:themeColor="text1"/>
              </w:rPr>
            </w:pPr>
            <w:r w:rsidRPr="00132861">
              <w:rPr>
                <w:rFonts w:cs="Arial"/>
                <w:color w:val="000000" w:themeColor="text1"/>
              </w:rPr>
              <w:t>6</w:t>
            </w:r>
          </w:p>
          <w:p w14:paraId="77E6E01E" w14:textId="77777777" w:rsidR="00484BB1" w:rsidRPr="00132861" w:rsidRDefault="00484BB1" w:rsidP="00E10772">
            <w:pPr>
              <w:jc w:val="center"/>
              <w:rPr>
                <w:rFonts w:cs="Arial"/>
                <w:color w:val="FF0000"/>
              </w:rPr>
            </w:pPr>
          </w:p>
        </w:tc>
        <w:tc>
          <w:tcPr>
            <w:tcW w:w="2410" w:type="dxa"/>
          </w:tcPr>
          <w:p w14:paraId="6F30CF83" w14:textId="77777777" w:rsidR="00484BB1" w:rsidRPr="002855B0"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b/>
                <w:bCs/>
                <w:sz w:val="22"/>
                <w:szCs w:val="22"/>
              </w:rPr>
            </w:pPr>
            <w:r w:rsidRPr="002855B0">
              <w:rPr>
                <w:rFonts w:asciiTheme="minorHAnsi" w:hAnsiTheme="minorHAnsi" w:cs="Arial"/>
                <w:b/>
                <w:bCs/>
                <w:sz w:val="22"/>
                <w:szCs w:val="22"/>
              </w:rPr>
              <w:t>Unidad 3: Procesos psicosociales básicos</w:t>
            </w:r>
          </w:p>
          <w:p w14:paraId="3E95D518"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p>
          <w:p w14:paraId="151CC0FA"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r w:rsidRPr="00614214">
              <w:rPr>
                <w:rFonts w:asciiTheme="minorHAnsi" w:hAnsiTheme="minorHAnsi" w:cs="Arial"/>
                <w:sz w:val="22"/>
                <w:szCs w:val="22"/>
              </w:rPr>
              <w:t>a. Los procesos de socialización</w:t>
            </w:r>
          </w:p>
          <w:p w14:paraId="0B2406B3"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p>
          <w:p w14:paraId="0021A645"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r w:rsidRPr="00614214">
              <w:rPr>
                <w:rFonts w:asciiTheme="minorHAnsi" w:hAnsiTheme="minorHAnsi" w:cs="Arial"/>
                <w:sz w:val="22"/>
                <w:szCs w:val="22"/>
              </w:rPr>
              <w:lastRenderedPageBreak/>
              <w:t>b. Vinculación entre individuo y sociedad</w:t>
            </w:r>
          </w:p>
        </w:tc>
        <w:tc>
          <w:tcPr>
            <w:tcW w:w="2977" w:type="dxa"/>
          </w:tcPr>
          <w:p w14:paraId="25F4631C" w14:textId="77777777" w:rsidR="00484BB1" w:rsidRDefault="00484BB1" w:rsidP="009F14CE">
            <w:pPr>
              <w:rPr>
                <w:rFonts w:cs="Arial"/>
                <w:color w:val="0070C0"/>
              </w:rPr>
            </w:pPr>
            <w:r>
              <w:rPr>
                <w:rFonts w:cs="Arial"/>
                <w:color w:val="0070C0"/>
              </w:rPr>
              <w:lastRenderedPageBreak/>
              <w:t>Ruta de aprendizaje</w:t>
            </w:r>
          </w:p>
          <w:p w14:paraId="0B8A11FC" w14:textId="77777777" w:rsidR="00484BB1" w:rsidRPr="00346CCD" w:rsidRDefault="00484BB1" w:rsidP="00346CCD">
            <w:pPr>
              <w:spacing w:after="120"/>
              <w:rPr>
                <w:rFonts w:cs="Arial"/>
                <w:color w:val="0070C0"/>
              </w:rPr>
            </w:pPr>
            <w:r w:rsidRPr="00132861">
              <w:rPr>
                <w:rFonts w:cs="Arial"/>
                <w:color w:val="000000" w:themeColor="text1"/>
              </w:rPr>
              <w:t xml:space="preserve">Red Latinoamericana en Defensa de las Personas con Discapacidad. “Consideraciones teológicas de la inclusión”. En </w:t>
            </w:r>
            <w:r w:rsidRPr="00132861">
              <w:rPr>
                <w:rFonts w:cs="Arial"/>
                <w:i/>
                <w:color w:val="000000" w:themeColor="text1"/>
              </w:rPr>
              <w:t xml:space="preserve">Iglesia: </w:t>
            </w:r>
            <w:r w:rsidRPr="00132861">
              <w:rPr>
                <w:rFonts w:cs="Arial"/>
                <w:i/>
                <w:color w:val="000000" w:themeColor="text1"/>
              </w:rPr>
              <w:lastRenderedPageBreak/>
              <w:t xml:space="preserve">inclusión, discapacidad, violencia, </w:t>
            </w:r>
            <w:r w:rsidRPr="00132861">
              <w:rPr>
                <w:rFonts w:cs="Arial"/>
                <w:color w:val="000000" w:themeColor="text1"/>
              </w:rPr>
              <w:t xml:space="preserve">50-58. Buenos Aires: EDAN, 2011. </w:t>
            </w:r>
            <w:r w:rsidRPr="00346CCD">
              <w:rPr>
                <w:rFonts w:cs="Arial"/>
                <w:color w:val="0070C0"/>
              </w:rPr>
              <w:t>(clásico, última edición)</w:t>
            </w:r>
          </w:p>
          <w:p w14:paraId="4AE0A213" w14:textId="77777777" w:rsidR="00484BB1" w:rsidRPr="00132861" w:rsidRDefault="00484BB1" w:rsidP="009F14CE">
            <w:pPr>
              <w:rPr>
                <w:rFonts w:cs="Arial"/>
                <w:color w:val="000000" w:themeColor="text1"/>
              </w:rPr>
            </w:pPr>
          </w:p>
          <w:p w14:paraId="26B68F37" w14:textId="77777777" w:rsidR="00484BB1" w:rsidRPr="00132861" w:rsidRDefault="00484BB1" w:rsidP="009F14CE">
            <w:pPr>
              <w:rPr>
                <w:rFonts w:cs="Arial"/>
                <w:b/>
                <w:color w:val="000000" w:themeColor="text1"/>
              </w:rPr>
            </w:pPr>
            <w:r w:rsidRPr="00132861">
              <w:rPr>
                <w:rFonts w:cs="Arial"/>
                <w:b/>
                <w:color w:val="000000" w:themeColor="text1"/>
              </w:rPr>
              <w:t>Material complementario</w:t>
            </w:r>
          </w:p>
          <w:p w14:paraId="44A1026D" w14:textId="77777777" w:rsidR="00484BB1" w:rsidRPr="00132861" w:rsidRDefault="00484BB1" w:rsidP="009F14CE">
            <w:pPr>
              <w:rPr>
                <w:rFonts w:cs="Arial"/>
                <w:b/>
                <w:color w:val="000000" w:themeColor="text1"/>
              </w:rPr>
            </w:pPr>
          </w:p>
          <w:p w14:paraId="6FE6FA71" w14:textId="77777777" w:rsidR="00484BB1" w:rsidRPr="00346CCD" w:rsidRDefault="00484BB1" w:rsidP="00346CCD">
            <w:pPr>
              <w:spacing w:after="120"/>
              <w:rPr>
                <w:rFonts w:cs="Arial"/>
                <w:color w:val="0070C0"/>
              </w:rPr>
            </w:pPr>
            <w:r w:rsidRPr="00132861">
              <w:rPr>
                <w:rFonts w:cs="Arial"/>
              </w:rPr>
              <w:t xml:space="preserve">Salgado, Jonathan. “La importancia de una comunión solidaria en la iglesia”. En </w:t>
            </w:r>
            <w:r w:rsidRPr="00132861">
              <w:rPr>
                <w:rFonts w:cs="Arial"/>
                <w:i/>
              </w:rPr>
              <w:t>La iglesia como comunidad terapéutica: un aspecto de la misión integral</w:t>
            </w:r>
            <w:r w:rsidRPr="00132861">
              <w:rPr>
                <w:rFonts w:cs="Arial"/>
              </w:rPr>
              <w:t>, 97-110. México, D.F.: impresión privada, 2004.</w:t>
            </w:r>
            <w:r>
              <w:rPr>
                <w:rFonts w:cs="Arial"/>
              </w:rPr>
              <w:t xml:space="preserve"> </w:t>
            </w:r>
            <w:r w:rsidRPr="00346CCD">
              <w:rPr>
                <w:rFonts w:cs="Arial"/>
                <w:color w:val="0070C0"/>
              </w:rPr>
              <w:t>(clásico, última edición)</w:t>
            </w:r>
          </w:p>
          <w:p w14:paraId="0B22C202" w14:textId="77777777" w:rsidR="00484BB1" w:rsidRDefault="00484BB1" w:rsidP="006021AC">
            <w:pPr>
              <w:rPr>
                <w:rFonts w:cs="Arial"/>
              </w:rPr>
            </w:pPr>
          </w:p>
          <w:p w14:paraId="4F796B11" w14:textId="77777777" w:rsidR="00484BB1" w:rsidRPr="00193C06" w:rsidRDefault="00484BB1" w:rsidP="006021AC">
            <w:pPr>
              <w:rPr>
                <w:rFonts w:cs="Arial"/>
                <w:color w:val="0070C0"/>
              </w:rPr>
            </w:pPr>
            <w:r>
              <w:rPr>
                <w:rFonts w:cs="Arial"/>
                <w:color w:val="0070C0"/>
              </w:rPr>
              <w:t xml:space="preserve">Guía para la participación mediante la herramienta Big Blue </w:t>
            </w:r>
            <w:proofErr w:type="spellStart"/>
            <w:r>
              <w:rPr>
                <w:rFonts w:cs="Arial"/>
                <w:color w:val="0070C0"/>
              </w:rPr>
              <w:t>Button</w:t>
            </w:r>
            <w:proofErr w:type="spellEnd"/>
            <w:r>
              <w:rPr>
                <w:rFonts w:cs="Arial"/>
                <w:color w:val="0070C0"/>
              </w:rPr>
              <w:t xml:space="preserve"> en la plataforma Moodle</w:t>
            </w:r>
          </w:p>
          <w:p w14:paraId="000D48B1" w14:textId="77777777" w:rsidR="00484BB1" w:rsidRPr="00132861" w:rsidRDefault="00484BB1" w:rsidP="006021AC">
            <w:pPr>
              <w:rPr>
                <w:rFonts w:cs="Arial"/>
                <w:color w:val="000000" w:themeColor="text1"/>
              </w:rPr>
            </w:pPr>
          </w:p>
        </w:tc>
        <w:tc>
          <w:tcPr>
            <w:tcW w:w="3118" w:type="dxa"/>
          </w:tcPr>
          <w:p w14:paraId="18AA55CA"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lastRenderedPageBreak/>
              <w:t>Realizar la lectura sobre el tema de la sesión.</w:t>
            </w:r>
          </w:p>
          <w:p w14:paraId="59A9F5A8"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Elaboración de un ensayo crítico sobre el texto asignado, a partir del análisis de los espacios de socialización que </w:t>
            </w:r>
            <w:r w:rsidRPr="00132861">
              <w:rPr>
                <w:rFonts w:cs="Arial"/>
                <w:color w:val="000000" w:themeColor="text1"/>
              </w:rPr>
              <w:lastRenderedPageBreak/>
              <w:t xml:space="preserve">hay en el entorno (tarea análisis # 2). </w:t>
            </w:r>
          </w:p>
          <w:p w14:paraId="68421C44"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Exposición docente sobre el tema, debate y compartir grupal de lo observado en el entorno social en un encuentro sincrónico</w:t>
            </w:r>
            <w:r>
              <w:rPr>
                <w:rFonts w:cs="Arial"/>
                <w:color w:val="000000" w:themeColor="text1"/>
              </w:rPr>
              <w:t xml:space="preserve"> virtual</w:t>
            </w:r>
            <w:r w:rsidRPr="00132861">
              <w:rPr>
                <w:rFonts w:cs="Arial"/>
                <w:color w:val="000000" w:themeColor="text1"/>
              </w:rPr>
              <w:t xml:space="preserve">. </w:t>
            </w:r>
          </w:p>
          <w:p w14:paraId="4B435C75"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723EC2BA" w14:textId="77777777" w:rsidR="00484BB1" w:rsidRPr="00132861" w:rsidRDefault="00484BB1" w:rsidP="00321806">
            <w:pPr>
              <w:ind w:left="144"/>
              <w:rPr>
                <w:rFonts w:cs="Arial"/>
                <w:color w:val="000000" w:themeColor="text1"/>
              </w:rPr>
            </w:pPr>
          </w:p>
        </w:tc>
      </w:tr>
      <w:tr w:rsidR="00484BB1" w:rsidRPr="00132861" w14:paraId="142B7D3B" w14:textId="77777777" w:rsidTr="00C574A6">
        <w:trPr>
          <w:jc w:val="center"/>
        </w:trPr>
        <w:tc>
          <w:tcPr>
            <w:tcW w:w="1271" w:type="dxa"/>
          </w:tcPr>
          <w:p w14:paraId="4E816AFD" w14:textId="77777777" w:rsidR="00484BB1" w:rsidRPr="00132861" w:rsidRDefault="00484BB1" w:rsidP="001C25C7">
            <w:pPr>
              <w:jc w:val="center"/>
              <w:rPr>
                <w:rFonts w:cs="Arial"/>
                <w:color w:val="000000" w:themeColor="text1"/>
              </w:rPr>
            </w:pPr>
            <w:r w:rsidRPr="00132861">
              <w:rPr>
                <w:rFonts w:cs="Arial"/>
                <w:color w:val="000000" w:themeColor="text1"/>
              </w:rPr>
              <w:lastRenderedPageBreak/>
              <w:t>7</w:t>
            </w:r>
          </w:p>
          <w:p w14:paraId="55F253D6" w14:textId="77777777" w:rsidR="00484BB1" w:rsidRPr="00132861" w:rsidRDefault="00484BB1" w:rsidP="001C25C7">
            <w:pPr>
              <w:jc w:val="center"/>
              <w:rPr>
                <w:rFonts w:cs="Arial"/>
                <w:color w:val="FF0000"/>
              </w:rPr>
            </w:pPr>
          </w:p>
        </w:tc>
        <w:tc>
          <w:tcPr>
            <w:tcW w:w="2410" w:type="dxa"/>
          </w:tcPr>
          <w:p w14:paraId="4C87101C" w14:textId="77777777" w:rsidR="00484BB1" w:rsidRPr="002855B0" w:rsidRDefault="00484BB1" w:rsidP="00956A5C">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b/>
                <w:bCs/>
                <w:sz w:val="22"/>
                <w:szCs w:val="22"/>
              </w:rPr>
            </w:pPr>
            <w:r w:rsidRPr="002855B0">
              <w:rPr>
                <w:rFonts w:asciiTheme="minorHAnsi" w:hAnsiTheme="minorHAnsi" w:cs="Arial"/>
                <w:b/>
                <w:bCs/>
                <w:sz w:val="22"/>
                <w:szCs w:val="22"/>
              </w:rPr>
              <w:t>Unidad 3: Procesos psicosociales básicos</w:t>
            </w:r>
          </w:p>
          <w:p w14:paraId="7481D411"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p>
          <w:p w14:paraId="33B17E79"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r w:rsidRPr="00614214">
              <w:rPr>
                <w:rFonts w:asciiTheme="minorHAnsi" w:hAnsiTheme="minorHAnsi" w:cs="Arial"/>
                <w:sz w:val="22"/>
                <w:szCs w:val="22"/>
              </w:rPr>
              <w:t>c. Las condiciones psicosociales para una salud mental</w:t>
            </w:r>
          </w:p>
        </w:tc>
        <w:tc>
          <w:tcPr>
            <w:tcW w:w="2977" w:type="dxa"/>
          </w:tcPr>
          <w:p w14:paraId="3B4DA9D2" w14:textId="77777777" w:rsidR="00484BB1" w:rsidRDefault="00484BB1" w:rsidP="00FB1640">
            <w:pPr>
              <w:spacing w:after="120"/>
              <w:rPr>
                <w:rFonts w:ascii="Calibri" w:hAnsi="Calibri" w:cs="Calibri"/>
                <w:color w:val="000000"/>
              </w:rPr>
            </w:pPr>
            <w:r>
              <w:rPr>
                <w:rFonts w:cs="Arial"/>
                <w:color w:val="0070C0"/>
              </w:rPr>
              <w:t>Ruta de aprendizaje</w:t>
            </w:r>
          </w:p>
          <w:p w14:paraId="2D78AA2B" w14:textId="77777777" w:rsidR="00484BB1" w:rsidRDefault="00484BB1" w:rsidP="00FB1640">
            <w:pPr>
              <w:spacing w:after="120"/>
              <w:rPr>
                <w:rFonts w:ascii="Calibri" w:hAnsi="Calibri" w:cs="Calibri"/>
                <w:color w:val="000000"/>
              </w:rPr>
            </w:pPr>
            <w:proofErr w:type="spellStart"/>
            <w:r w:rsidRPr="00537ED0">
              <w:rPr>
                <w:rFonts w:ascii="Calibri" w:hAnsi="Calibri" w:cs="Calibri"/>
                <w:color w:val="000000"/>
              </w:rPr>
              <w:t>Peralt</w:t>
            </w:r>
            <w:proofErr w:type="spellEnd"/>
            <w:r w:rsidRPr="00537ED0">
              <w:rPr>
                <w:rFonts w:ascii="Calibri" w:hAnsi="Calibri" w:cs="Calibri"/>
                <w:color w:val="000000"/>
              </w:rPr>
              <w:t>, Agustín.</w:t>
            </w:r>
            <w:r>
              <w:rPr>
                <w:rFonts w:ascii="Calibri" w:hAnsi="Calibri" w:cs="Calibri"/>
                <w:color w:val="000000"/>
              </w:rPr>
              <w:t xml:space="preserve"> “1er pilar de la resiliencia efectiva: Definir el propósito personal y profesional”, “2do pilar de la resiliencia efectiva: Aceptar la realidad: asumir tu responsabilidad”. En</w:t>
            </w:r>
            <w:r w:rsidRPr="00537ED0">
              <w:rPr>
                <w:rFonts w:ascii="Calibri" w:hAnsi="Calibri" w:cs="Calibri"/>
                <w:color w:val="000000"/>
              </w:rPr>
              <w:t xml:space="preserve"> </w:t>
            </w:r>
            <w:r w:rsidRPr="00537ED0">
              <w:rPr>
                <w:rFonts w:ascii="Calibri" w:hAnsi="Calibri" w:cs="Calibri"/>
                <w:i/>
                <w:iCs/>
                <w:color w:val="000000"/>
              </w:rPr>
              <w:t>Los 6 pilares de la resiliencia</w:t>
            </w:r>
            <w:r>
              <w:rPr>
                <w:rFonts w:ascii="Calibri" w:hAnsi="Calibri" w:cs="Calibri"/>
                <w:color w:val="000000"/>
              </w:rPr>
              <w:t>, 43-76.</w:t>
            </w:r>
            <w:r w:rsidRPr="00537ED0">
              <w:rPr>
                <w:rFonts w:ascii="Calibri" w:hAnsi="Calibri" w:cs="Calibri"/>
                <w:color w:val="000000"/>
              </w:rPr>
              <w:t xml:space="preserve"> Barcelona: Plataforma Editorial, 2021.</w:t>
            </w:r>
          </w:p>
          <w:p w14:paraId="0924F50A" w14:textId="77777777" w:rsidR="00484BB1" w:rsidRDefault="00484BB1" w:rsidP="00FB1640">
            <w:pPr>
              <w:spacing w:after="120"/>
              <w:rPr>
                <w:rFonts w:cs="Arial"/>
                <w:b/>
                <w:color w:val="0070C0"/>
              </w:rPr>
            </w:pPr>
            <w:r w:rsidRPr="0012351F">
              <w:rPr>
                <w:rFonts w:cs="Arial"/>
                <w:b/>
                <w:color w:val="0070C0"/>
              </w:rPr>
              <w:t>Material complementario</w:t>
            </w:r>
          </w:p>
          <w:p w14:paraId="69D923B2" w14:textId="77777777" w:rsidR="00484BB1" w:rsidRPr="00193C06" w:rsidRDefault="00484BB1" w:rsidP="00FB1640">
            <w:pPr>
              <w:spacing w:after="120"/>
              <w:rPr>
                <w:rFonts w:cs="Arial"/>
                <w:bCs/>
              </w:rPr>
            </w:pPr>
            <w:r>
              <w:rPr>
                <w:rFonts w:cs="Arial"/>
                <w:bCs/>
                <w:color w:val="0070C0"/>
              </w:rPr>
              <w:t xml:space="preserve">Guía para la participación mediante la herramienta Big Blue </w:t>
            </w:r>
            <w:proofErr w:type="spellStart"/>
            <w:r>
              <w:rPr>
                <w:rFonts w:cs="Arial"/>
                <w:bCs/>
                <w:color w:val="0070C0"/>
              </w:rPr>
              <w:t>Button</w:t>
            </w:r>
            <w:proofErr w:type="spellEnd"/>
            <w:r>
              <w:rPr>
                <w:rFonts w:cs="Arial"/>
                <w:bCs/>
                <w:color w:val="0070C0"/>
              </w:rPr>
              <w:t xml:space="preserve"> en la plataforma Moodle</w:t>
            </w:r>
          </w:p>
        </w:tc>
        <w:tc>
          <w:tcPr>
            <w:tcW w:w="3118" w:type="dxa"/>
          </w:tcPr>
          <w:p w14:paraId="4A3B642A"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las lecturas sobre el tema de la sesión.</w:t>
            </w:r>
          </w:p>
          <w:p w14:paraId="637E8CCD"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Elaboración y análisis de una historia de vida de una persona conocida o entrevistada, que refleje el desarrollo personal y el entorno familiar (tarea análisis # 3).</w:t>
            </w:r>
          </w:p>
          <w:p w14:paraId="08EC83BF"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Disertación docente sobre las condiciones para la salud mental, seguida de un compartir grupal sobre las historias de vida elaboradas en un encuentro sincrónico</w:t>
            </w:r>
            <w:r>
              <w:rPr>
                <w:rFonts w:cs="Arial"/>
                <w:color w:val="000000" w:themeColor="text1"/>
              </w:rPr>
              <w:t xml:space="preserve"> virtual.</w:t>
            </w:r>
          </w:p>
          <w:p w14:paraId="7486DFBF"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Todas las actividades apuntarán a generar un intercambio que permita </w:t>
            </w:r>
            <w:r w:rsidRPr="00132861">
              <w:rPr>
                <w:rFonts w:cs="Arial"/>
                <w:color w:val="000000" w:themeColor="text1"/>
              </w:rPr>
              <w:lastRenderedPageBreak/>
              <w:t>vincular el tema de la sesión con el tema del trabajo final.</w:t>
            </w:r>
          </w:p>
          <w:p w14:paraId="7542866A" w14:textId="77777777" w:rsidR="00484BB1" w:rsidRPr="00132861" w:rsidRDefault="00484BB1" w:rsidP="00A849F2">
            <w:pPr>
              <w:ind w:left="144"/>
              <w:rPr>
                <w:rFonts w:cs="Arial"/>
                <w:color w:val="000000" w:themeColor="text1"/>
              </w:rPr>
            </w:pPr>
          </w:p>
        </w:tc>
      </w:tr>
      <w:tr w:rsidR="00484BB1" w:rsidRPr="00132861" w14:paraId="5626241F" w14:textId="77777777" w:rsidTr="00C574A6">
        <w:trPr>
          <w:trHeight w:val="841"/>
          <w:jc w:val="center"/>
        </w:trPr>
        <w:tc>
          <w:tcPr>
            <w:tcW w:w="1271" w:type="dxa"/>
          </w:tcPr>
          <w:p w14:paraId="6370097D" w14:textId="77777777" w:rsidR="00484BB1" w:rsidRPr="00132861" w:rsidRDefault="00484BB1" w:rsidP="00485539">
            <w:pPr>
              <w:jc w:val="center"/>
              <w:rPr>
                <w:rFonts w:cs="Arial"/>
                <w:color w:val="000000" w:themeColor="text1"/>
              </w:rPr>
            </w:pPr>
            <w:r w:rsidRPr="00132861">
              <w:rPr>
                <w:rFonts w:cs="Arial"/>
                <w:color w:val="000000" w:themeColor="text1"/>
              </w:rPr>
              <w:lastRenderedPageBreak/>
              <w:t>8</w:t>
            </w:r>
          </w:p>
          <w:p w14:paraId="5C28DE12" w14:textId="77777777" w:rsidR="00484BB1" w:rsidRPr="00132861" w:rsidRDefault="00484BB1" w:rsidP="00485539">
            <w:pPr>
              <w:jc w:val="center"/>
              <w:rPr>
                <w:rFonts w:cs="Arial"/>
                <w:color w:val="FF0000"/>
              </w:rPr>
            </w:pPr>
          </w:p>
        </w:tc>
        <w:tc>
          <w:tcPr>
            <w:tcW w:w="2410" w:type="dxa"/>
          </w:tcPr>
          <w:p w14:paraId="26DC3454" w14:textId="77777777" w:rsidR="00484BB1" w:rsidRPr="002855B0" w:rsidRDefault="00484BB1" w:rsidP="00956A5C">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b/>
                <w:bCs/>
                <w:sz w:val="22"/>
                <w:szCs w:val="22"/>
              </w:rPr>
            </w:pPr>
            <w:r w:rsidRPr="002855B0">
              <w:rPr>
                <w:rFonts w:asciiTheme="minorHAnsi" w:hAnsiTheme="minorHAnsi" w:cs="Arial"/>
                <w:b/>
                <w:bCs/>
                <w:sz w:val="22"/>
                <w:szCs w:val="22"/>
              </w:rPr>
              <w:t>Unidad 3: Procesos psicosociales básicos</w:t>
            </w:r>
          </w:p>
          <w:p w14:paraId="68D0418C"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p>
          <w:p w14:paraId="186F7932"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24"/>
              <w:jc w:val="left"/>
              <w:rPr>
                <w:rFonts w:asciiTheme="minorHAnsi" w:hAnsiTheme="minorHAnsi" w:cs="Arial"/>
                <w:sz w:val="22"/>
                <w:szCs w:val="22"/>
              </w:rPr>
            </w:pPr>
            <w:r w:rsidRPr="00614214">
              <w:rPr>
                <w:rFonts w:asciiTheme="minorHAnsi" w:hAnsiTheme="minorHAnsi" w:cs="Arial"/>
                <w:sz w:val="22"/>
                <w:szCs w:val="22"/>
              </w:rPr>
              <w:t>c. Las condiciones psicosociales para una salud mental</w:t>
            </w:r>
          </w:p>
        </w:tc>
        <w:tc>
          <w:tcPr>
            <w:tcW w:w="2977" w:type="dxa"/>
          </w:tcPr>
          <w:p w14:paraId="078924C5" w14:textId="77777777" w:rsidR="00484BB1" w:rsidRDefault="00484BB1" w:rsidP="007420C5">
            <w:pPr>
              <w:rPr>
                <w:rFonts w:ascii="Calibri" w:hAnsi="Calibri" w:cs="Calibri"/>
                <w:color w:val="000000"/>
              </w:rPr>
            </w:pPr>
            <w:r>
              <w:rPr>
                <w:rFonts w:cs="Arial"/>
                <w:color w:val="0070C0"/>
              </w:rPr>
              <w:t>Ruta de aprendizaje</w:t>
            </w:r>
          </w:p>
          <w:p w14:paraId="3354567C" w14:textId="77777777" w:rsidR="00484BB1" w:rsidRDefault="00484BB1" w:rsidP="007420C5">
            <w:pPr>
              <w:rPr>
                <w:rFonts w:ascii="Calibri" w:hAnsi="Calibri" w:cs="Calibri"/>
                <w:color w:val="000000"/>
              </w:rPr>
            </w:pPr>
          </w:p>
          <w:p w14:paraId="4586A05F" w14:textId="77777777" w:rsidR="00484BB1" w:rsidRPr="00346CCD" w:rsidRDefault="00484BB1" w:rsidP="00346CCD">
            <w:pPr>
              <w:spacing w:after="120"/>
              <w:rPr>
                <w:rFonts w:cs="Arial"/>
                <w:color w:val="0070C0"/>
              </w:rPr>
            </w:pPr>
            <w:r w:rsidRPr="00B74DC3">
              <w:rPr>
                <w:rFonts w:ascii="Calibri" w:hAnsi="Calibri" w:cs="Calibri"/>
                <w:color w:val="000000"/>
              </w:rPr>
              <w:t xml:space="preserve">Duarte Guillén, Marlín Teresa e Irene Pineda Ferman. “Resiliencia: una novedad antigua”. En </w:t>
            </w:r>
            <w:r w:rsidRPr="00B74DC3">
              <w:rPr>
                <w:rFonts w:ascii="Calibri" w:hAnsi="Calibri" w:cs="Calibri"/>
                <w:i/>
                <w:iCs/>
                <w:color w:val="000000"/>
              </w:rPr>
              <w:t xml:space="preserve">Pastoral e intervención en situaciones de crisis: módulo de estudio, </w:t>
            </w:r>
            <w:r w:rsidRPr="00B74DC3">
              <w:rPr>
                <w:rFonts w:ascii="Calibri" w:hAnsi="Calibri" w:cs="Calibri"/>
                <w:iCs/>
                <w:color w:val="000000"/>
              </w:rPr>
              <w:t>58-63.</w:t>
            </w:r>
            <w:r w:rsidRPr="00B74DC3">
              <w:rPr>
                <w:rFonts w:ascii="Calibri" w:hAnsi="Calibri" w:cs="Calibri"/>
                <w:i/>
                <w:iCs/>
                <w:color w:val="000000"/>
              </w:rPr>
              <w:t xml:space="preserve"> </w:t>
            </w:r>
            <w:r w:rsidRPr="00B74DC3">
              <w:rPr>
                <w:rFonts w:ascii="Calibri" w:hAnsi="Calibri" w:cs="Calibri"/>
                <w:color w:val="000000"/>
              </w:rPr>
              <w:t>Managua, Nicaragua: CIEETS, 2009.</w:t>
            </w:r>
            <w:r>
              <w:rPr>
                <w:rFonts w:ascii="Calibri" w:hAnsi="Calibri" w:cs="Calibri"/>
                <w:color w:val="000000"/>
              </w:rPr>
              <w:t xml:space="preserve"> </w:t>
            </w:r>
            <w:r w:rsidRPr="00346CCD">
              <w:rPr>
                <w:rFonts w:cs="Arial"/>
                <w:color w:val="0070C0"/>
              </w:rPr>
              <w:t>(clásico, última edición)</w:t>
            </w:r>
          </w:p>
          <w:p w14:paraId="58C347BC" w14:textId="77777777" w:rsidR="00484BB1" w:rsidRDefault="00484BB1" w:rsidP="007420C5">
            <w:pPr>
              <w:rPr>
                <w:rFonts w:ascii="Calibri" w:hAnsi="Calibri" w:cs="Calibri"/>
                <w:color w:val="000000"/>
              </w:rPr>
            </w:pPr>
          </w:p>
          <w:p w14:paraId="56A3CE5D" w14:textId="77777777" w:rsidR="00484BB1" w:rsidRDefault="00484BB1" w:rsidP="00A82EC1">
            <w:pPr>
              <w:rPr>
                <w:rFonts w:ascii="Calibri" w:hAnsi="Calibri" w:cs="Calibri"/>
                <w:color w:val="000000"/>
              </w:rPr>
            </w:pPr>
            <w:r w:rsidRPr="0012351F">
              <w:rPr>
                <w:rFonts w:cs="Arial"/>
                <w:b/>
                <w:color w:val="0070C0"/>
              </w:rPr>
              <w:t>Material complementario</w:t>
            </w:r>
          </w:p>
          <w:p w14:paraId="6530A22B" w14:textId="77777777" w:rsidR="00484BB1" w:rsidRDefault="00484BB1" w:rsidP="00A82EC1">
            <w:pPr>
              <w:rPr>
                <w:rFonts w:ascii="Calibri" w:hAnsi="Calibri" w:cs="Calibri"/>
                <w:color w:val="000000"/>
              </w:rPr>
            </w:pPr>
          </w:p>
          <w:p w14:paraId="15CA4A67" w14:textId="77777777" w:rsidR="00484BB1" w:rsidRPr="00A82EC1" w:rsidRDefault="00484BB1" w:rsidP="00A82EC1">
            <w:pPr>
              <w:rPr>
                <w:rFonts w:ascii="Calibri" w:hAnsi="Calibri" w:cs="Calibri"/>
                <w:color w:val="0070C0"/>
              </w:rPr>
            </w:pPr>
            <w:r>
              <w:rPr>
                <w:rFonts w:ascii="Calibri" w:hAnsi="Calibri" w:cs="Calibri"/>
                <w:color w:val="0070C0"/>
              </w:rPr>
              <w:t>Guía para la participación en un foro en la plataforma Moodle</w:t>
            </w:r>
          </w:p>
        </w:tc>
        <w:tc>
          <w:tcPr>
            <w:tcW w:w="3118" w:type="dxa"/>
          </w:tcPr>
          <w:p w14:paraId="0C9511C9"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Realizar la lectura sobre el tema de la sesión.</w:t>
            </w:r>
          </w:p>
          <w:p w14:paraId="4DD8009E"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Análisis de las historias elaboradas en la sesión anterior a partir de la capacidad resiliente estudiada, mediante un debate grupal sobre los casos en un foro (tarea análisis # 4). </w:t>
            </w:r>
          </w:p>
          <w:p w14:paraId="729C9ADE"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7CEE1EF2" w14:textId="77777777" w:rsidR="00484BB1" w:rsidRPr="00132861" w:rsidRDefault="00484BB1" w:rsidP="002976A4">
            <w:pPr>
              <w:ind w:left="144"/>
              <w:rPr>
                <w:rFonts w:cs="Arial"/>
                <w:color w:val="000000" w:themeColor="text1"/>
              </w:rPr>
            </w:pPr>
          </w:p>
        </w:tc>
      </w:tr>
      <w:tr w:rsidR="00484BB1" w:rsidRPr="00132861" w14:paraId="75D6F9BC" w14:textId="77777777" w:rsidTr="00414686">
        <w:trPr>
          <w:trHeight w:val="694"/>
          <w:jc w:val="center"/>
        </w:trPr>
        <w:tc>
          <w:tcPr>
            <w:tcW w:w="1271" w:type="dxa"/>
          </w:tcPr>
          <w:p w14:paraId="10449CFF" w14:textId="77777777" w:rsidR="00484BB1" w:rsidRPr="00132861" w:rsidRDefault="00484BB1" w:rsidP="00485539">
            <w:pPr>
              <w:jc w:val="center"/>
              <w:rPr>
                <w:rFonts w:cs="Arial"/>
                <w:color w:val="000000" w:themeColor="text1"/>
              </w:rPr>
            </w:pPr>
            <w:r w:rsidRPr="00132861">
              <w:rPr>
                <w:rFonts w:cs="Arial"/>
                <w:color w:val="000000" w:themeColor="text1"/>
              </w:rPr>
              <w:t>9</w:t>
            </w:r>
          </w:p>
          <w:p w14:paraId="33478D0C" w14:textId="77777777" w:rsidR="00484BB1" w:rsidRPr="00132861" w:rsidRDefault="00484BB1" w:rsidP="00402B72">
            <w:pPr>
              <w:jc w:val="center"/>
              <w:rPr>
                <w:rFonts w:cs="Arial"/>
                <w:b/>
                <w:color w:val="000000" w:themeColor="text1"/>
              </w:rPr>
            </w:pPr>
          </w:p>
        </w:tc>
        <w:tc>
          <w:tcPr>
            <w:tcW w:w="2410" w:type="dxa"/>
          </w:tcPr>
          <w:p w14:paraId="5AFAD7DB" w14:textId="77777777" w:rsidR="00484BB1" w:rsidRPr="002855B0"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4: La estructura familiar</w:t>
            </w:r>
          </w:p>
          <w:p w14:paraId="6437C5DF"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4AAEE9A2"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a. La organización vincular y sistémica de la familia</w:t>
            </w:r>
          </w:p>
        </w:tc>
        <w:tc>
          <w:tcPr>
            <w:tcW w:w="2977" w:type="dxa"/>
          </w:tcPr>
          <w:p w14:paraId="3345BBBA" w14:textId="77777777" w:rsidR="00484BB1" w:rsidRDefault="00484BB1" w:rsidP="00D22443">
            <w:pPr>
              <w:spacing w:after="120"/>
              <w:rPr>
                <w:rFonts w:cs="Arial"/>
              </w:rPr>
            </w:pPr>
            <w:r>
              <w:rPr>
                <w:rFonts w:cs="Arial"/>
                <w:color w:val="0070C0"/>
              </w:rPr>
              <w:t>Ruta de aprendizaje</w:t>
            </w:r>
          </w:p>
          <w:p w14:paraId="153F9A2D" w14:textId="77777777" w:rsidR="00484BB1" w:rsidRPr="00346CCD" w:rsidRDefault="00484BB1" w:rsidP="00346CCD">
            <w:pPr>
              <w:spacing w:after="120"/>
              <w:rPr>
                <w:rFonts w:cs="Arial"/>
                <w:color w:val="0070C0"/>
              </w:rPr>
            </w:pPr>
            <w:r w:rsidRPr="00132861">
              <w:rPr>
                <w:rFonts w:cs="Arial"/>
              </w:rPr>
              <w:t xml:space="preserve">Baltodano, Mireya. “La familia: estructura y relaciones”. En </w:t>
            </w:r>
            <w:r w:rsidRPr="00132861">
              <w:rPr>
                <w:rFonts w:cs="Arial"/>
                <w:i/>
              </w:rPr>
              <w:t xml:space="preserve">Introducción a la Psicología, </w:t>
            </w:r>
            <w:r w:rsidRPr="00132861">
              <w:rPr>
                <w:rFonts w:cs="Arial"/>
              </w:rPr>
              <w:t>89-111.</w:t>
            </w:r>
            <w:r w:rsidRPr="00132861">
              <w:rPr>
                <w:rFonts w:cs="Arial"/>
                <w:i/>
              </w:rPr>
              <w:t xml:space="preserve"> </w:t>
            </w:r>
            <w:r w:rsidRPr="00132861">
              <w:rPr>
                <w:rFonts w:cs="Arial"/>
              </w:rPr>
              <w:t>San José: UBILA, 2009.</w:t>
            </w:r>
            <w:r>
              <w:rPr>
                <w:rFonts w:cs="Arial"/>
              </w:rPr>
              <w:t xml:space="preserve"> </w:t>
            </w:r>
            <w:r w:rsidRPr="00346CCD">
              <w:rPr>
                <w:rFonts w:cs="Arial"/>
                <w:color w:val="0070C0"/>
              </w:rPr>
              <w:t>(clásico, última edición)</w:t>
            </w:r>
          </w:p>
          <w:p w14:paraId="440A6E63" w14:textId="77777777" w:rsidR="00484BB1" w:rsidRDefault="00484BB1" w:rsidP="00D22443">
            <w:pPr>
              <w:spacing w:after="120"/>
              <w:rPr>
                <w:rFonts w:cs="Arial"/>
              </w:rPr>
            </w:pPr>
            <w:r w:rsidRPr="00132861">
              <w:rPr>
                <w:rFonts w:cs="Arial"/>
              </w:rPr>
              <w:t xml:space="preserve">Nardone, Giorgio (eds.). “La evolución de la familia: de la privación afectiva a la </w:t>
            </w:r>
            <w:proofErr w:type="spellStart"/>
            <w:r w:rsidRPr="00132861">
              <w:rPr>
                <w:rFonts w:cs="Arial"/>
              </w:rPr>
              <w:t>hiperprotección</w:t>
            </w:r>
            <w:proofErr w:type="spellEnd"/>
            <w:r w:rsidRPr="00132861">
              <w:rPr>
                <w:rFonts w:cs="Arial"/>
              </w:rPr>
              <w:t xml:space="preserve">”. En </w:t>
            </w:r>
            <w:r w:rsidRPr="00132861">
              <w:rPr>
                <w:rFonts w:cs="Arial"/>
                <w:i/>
              </w:rPr>
              <w:t xml:space="preserve">Modelos de familia, </w:t>
            </w:r>
            <w:r w:rsidRPr="00132861">
              <w:rPr>
                <w:rFonts w:cs="Arial"/>
              </w:rPr>
              <w:t xml:space="preserve">22-32. Barcelona: Herder, 2019.  </w:t>
            </w:r>
          </w:p>
          <w:p w14:paraId="5F39B516" w14:textId="77777777" w:rsidR="00484BB1" w:rsidRDefault="00484BB1" w:rsidP="00D22443">
            <w:pPr>
              <w:spacing w:after="120"/>
              <w:rPr>
                <w:rFonts w:cs="Arial"/>
                <w:b/>
                <w:color w:val="0070C0"/>
              </w:rPr>
            </w:pPr>
            <w:r w:rsidRPr="0012351F">
              <w:rPr>
                <w:rFonts w:cs="Arial"/>
                <w:b/>
                <w:color w:val="0070C0"/>
              </w:rPr>
              <w:t>Material complementario</w:t>
            </w:r>
          </w:p>
          <w:p w14:paraId="43E50720" w14:textId="77777777" w:rsidR="00484BB1" w:rsidRDefault="00484BB1" w:rsidP="00D22443">
            <w:pPr>
              <w:spacing w:after="120"/>
              <w:rPr>
                <w:rFonts w:cs="Arial"/>
                <w:bCs/>
                <w:color w:val="0070C0"/>
              </w:rPr>
            </w:pPr>
            <w:r>
              <w:rPr>
                <w:rFonts w:cs="Arial"/>
                <w:bCs/>
                <w:color w:val="0070C0"/>
              </w:rPr>
              <w:t>Guía para la elaboración de una reseña crítica de lectura</w:t>
            </w:r>
          </w:p>
          <w:p w14:paraId="444F3350" w14:textId="77777777" w:rsidR="00484BB1" w:rsidRPr="00A91662" w:rsidRDefault="00484BB1" w:rsidP="00D22443">
            <w:pPr>
              <w:spacing w:after="120"/>
              <w:rPr>
                <w:rFonts w:cs="Arial"/>
                <w:bCs/>
                <w:color w:val="0070C0"/>
              </w:rPr>
            </w:pPr>
            <w:r>
              <w:rPr>
                <w:rFonts w:cs="Arial"/>
                <w:bCs/>
                <w:color w:val="0070C0"/>
              </w:rPr>
              <w:t>Guía para la participación en un foro en la plataforma Moodle</w:t>
            </w:r>
          </w:p>
          <w:p w14:paraId="2D7051FD" w14:textId="77777777" w:rsidR="00484BB1" w:rsidRPr="00132861" w:rsidRDefault="00484BB1" w:rsidP="003E0703">
            <w:pPr>
              <w:rPr>
                <w:rFonts w:cs="Arial"/>
                <w:color w:val="000000" w:themeColor="text1"/>
              </w:rPr>
            </w:pPr>
          </w:p>
        </w:tc>
        <w:tc>
          <w:tcPr>
            <w:tcW w:w="3118" w:type="dxa"/>
          </w:tcPr>
          <w:p w14:paraId="49062D27" w14:textId="77777777" w:rsidR="00484BB1" w:rsidRPr="00132861" w:rsidRDefault="00484BB1" w:rsidP="00484BB1">
            <w:pPr>
              <w:numPr>
                <w:ilvl w:val="0"/>
                <w:numId w:val="44"/>
              </w:numPr>
              <w:spacing w:after="0" w:line="240" w:lineRule="auto"/>
              <w:rPr>
                <w:rFonts w:cs="Arial"/>
                <w:color w:val="000000" w:themeColor="text1"/>
                <w:lang w:val="es-ES"/>
              </w:rPr>
            </w:pPr>
            <w:r w:rsidRPr="00132861">
              <w:rPr>
                <w:rFonts w:cs="Arial"/>
                <w:color w:val="000000" w:themeColor="text1"/>
                <w:lang w:val="es-ES"/>
              </w:rPr>
              <w:lastRenderedPageBreak/>
              <w:t>Realizar las lecturas sobre el tema de la sesión.</w:t>
            </w:r>
          </w:p>
          <w:p w14:paraId="0CFF0DA2" w14:textId="77777777" w:rsidR="00484BB1" w:rsidRPr="00132861" w:rsidRDefault="00484BB1" w:rsidP="00484BB1">
            <w:pPr>
              <w:numPr>
                <w:ilvl w:val="0"/>
                <w:numId w:val="44"/>
              </w:numPr>
              <w:spacing w:after="0" w:line="240" w:lineRule="auto"/>
              <w:rPr>
                <w:rFonts w:cs="Arial"/>
                <w:color w:val="000000" w:themeColor="text1"/>
                <w:lang w:val="es-ES"/>
              </w:rPr>
            </w:pPr>
            <w:r w:rsidRPr="00132861">
              <w:rPr>
                <w:rFonts w:cs="Arial"/>
                <w:color w:val="000000" w:themeColor="text1"/>
                <w:lang w:val="es-ES"/>
              </w:rPr>
              <w:t>Elaboración de una reseña crítica de lectura (tarea acopio # 4).</w:t>
            </w:r>
          </w:p>
          <w:p w14:paraId="2FBAB8E0" w14:textId="77777777" w:rsidR="00484BB1" w:rsidRPr="00132861" w:rsidRDefault="00484BB1" w:rsidP="00484BB1">
            <w:pPr>
              <w:numPr>
                <w:ilvl w:val="0"/>
                <w:numId w:val="44"/>
              </w:numPr>
              <w:spacing w:after="0" w:line="240" w:lineRule="auto"/>
              <w:rPr>
                <w:rFonts w:cs="Arial"/>
                <w:color w:val="000000" w:themeColor="text1"/>
                <w:lang w:val="es-ES"/>
              </w:rPr>
            </w:pPr>
            <w:r w:rsidRPr="00132861">
              <w:rPr>
                <w:rFonts w:cs="Arial"/>
                <w:color w:val="000000" w:themeColor="text1"/>
                <w:lang w:val="es-ES"/>
              </w:rPr>
              <w:t>Sistematización en el aula virtual de los conceptos más relevantes y análisis grupal de un caso de familia a través de un foro (análisis grupal # 2).</w:t>
            </w:r>
          </w:p>
          <w:p w14:paraId="2953259E" w14:textId="77777777" w:rsidR="00484BB1" w:rsidRPr="00414686" w:rsidRDefault="00484BB1" w:rsidP="00484BB1">
            <w:pPr>
              <w:numPr>
                <w:ilvl w:val="0"/>
                <w:numId w:val="44"/>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tc>
      </w:tr>
      <w:tr w:rsidR="00484BB1" w:rsidRPr="00132861" w14:paraId="2B2FA5E7" w14:textId="77777777" w:rsidTr="00C574A6">
        <w:trPr>
          <w:trHeight w:val="983"/>
          <w:jc w:val="center"/>
        </w:trPr>
        <w:tc>
          <w:tcPr>
            <w:tcW w:w="1271" w:type="dxa"/>
          </w:tcPr>
          <w:p w14:paraId="53378B3F" w14:textId="77777777" w:rsidR="00484BB1" w:rsidRPr="00132861" w:rsidRDefault="00484BB1" w:rsidP="00A135AC">
            <w:pPr>
              <w:jc w:val="center"/>
              <w:rPr>
                <w:rFonts w:cs="Arial"/>
                <w:color w:val="000000" w:themeColor="text1"/>
              </w:rPr>
            </w:pPr>
            <w:r w:rsidRPr="00132861">
              <w:rPr>
                <w:rFonts w:cs="Arial"/>
                <w:color w:val="000000" w:themeColor="text1"/>
              </w:rPr>
              <w:t>10</w:t>
            </w:r>
          </w:p>
          <w:p w14:paraId="14E5C3BC" w14:textId="77777777" w:rsidR="00484BB1" w:rsidRPr="00132861" w:rsidRDefault="00484BB1" w:rsidP="00A135AC">
            <w:pPr>
              <w:jc w:val="center"/>
              <w:rPr>
                <w:rFonts w:cs="Arial"/>
                <w:color w:val="FF0000"/>
              </w:rPr>
            </w:pPr>
          </w:p>
        </w:tc>
        <w:tc>
          <w:tcPr>
            <w:tcW w:w="2410" w:type="dxa"/>
          </w:tcPr>
          <w:p w14:paraId="4D92C096" w14:textId="77777777" w:rsidR="00484BB1" w:rsidRPr="002855B0" w:rsidRDefault="00484BB1" w:rsidP="009F1ABE">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4: La estructura familiar</w:t>
            </w:r>
          </w:p>
          <w:p w14:paraId="11F32AAA" w14:textId="77777777" w:rsidR="00484BB1" w:rsidRPr="00614214" w:rsidRDefault="00484BB1" w:rsidP="00A135AC">
            <w:pPr>
              <w:pStyle w:val="Textodebloque"/>
              <w:pBdr>
                <w:top w:val="none" w:sz="0" w:space="0" w:color="auto"/>
                <w:left w:val="none" w:sz="0" w:space="0" w:color="auto"/>
                <w:bottom w:val="none" w:sz="0" w:space="0" w:color="auto"/>
                <w:right w:val="none" w:sz="0" w:space="0" w:color="auto"/>
              </w:pBdr>
              <w:shd w:val="clear" w:color="auto" w:fill="auto"/>
              <w:ind w:left="0" w:right="0"/>
              <w:jc w:val="left"/>
              <w:rPr>
                <w:rFonts w:asciiTheme="minorHAnsi" w:eastAsia="Times New Roman" w:hAnsiTheme="minorHAnsi" w:cs="Arial"/>
                <w:sz w:val="22"/>
                <w:szCs w:val="22"/>
                <w:lang w:eastAsia="es-CR"/>
              </w:rPr>
            </w:pPr>
          </w:p>
          <w:p w14:paraId="38B86C03" w14:textId="77777777" w:rsidR="00484BB1" w:rsidRPr="00614214" w:rsidRDefault="00484BB1" w:rsidP="00A135AC">
            <w:pPr>
              <w:pStyle w:val="Textodebloque"/>
              <w:pBdr>
                <w:top w:val="none" w:sz="0" w:space="0" w:color="auto"/>
                <w:left w:val="none" w:sz="0" w:space="0" w:color="auto"/>
                <w:bottom w:val="none" w:sz="0" w:space="0" w:color="auto"/>
                <w:right w:val="none" w:sz="0" w:space="0" w:color="auto"/>
              </w:pBdr>
              <w:shd w:val="clear" w:color="auto" w:fill="auto"/>
              <w:ind w:left="0" w:right="0"/>
              <w:jc w:val="left"/>
              <w:rPr>
                <w:rFonts w:asciiTheme="minorHAnsi" w:eastAsia="Times New Roman" w:hAnsiTheme="minorHAnsi" w:cs="Arial"/>
                <w:sz w:val="22"/>
                <w:szCs w:val="22"/>
                <w:lang w:eastAsia="es-CR"/>
              </w:rPr>
            </w:pPr>
            <w:r w:rsidRPr="00614214">
              <w:rPr>
                <w:rFonts w:asciiTheme="minorHAnsi" w:eastAsia="Times New Roman" w:hAnsiTheme="minorHAnsi" w:cs="Arial"/>
                <w:sz w:val="22"/>
                <w:szCs w:val="22"/>
                <w:lang w:eastAsia="es-CR"/>
              </w:rPr>
              <w:t>b. El vínculo afectivo</w:t>
            </w:r>
          </w:p>
          <w:p w14:paraId="16148808" w14:textId="77777777" w:rsidR="00484BB1" w:rsidRPr="00614214" w:rsidRDefault="00484BB1" w:rsidP="00A135AC">
            <w:pPr>
              <w:tabs>
                <w:tab w:val="left" w:pos="851"/>
                <w:tab w:val="num" w:pos="1134"/>
              </w:tabs>
              <w:rPr>
                <w:rFonts w:cs="Arial"/>
                <w:b/>
              </w:rPr>
            </w:pPr>
          </w:p>
        </w:tc>
        <w:tc>
          <w:tcPr>
            <w:tcW w:w="2977" w:type="dxa"/>
          </w:tcPr>
          <w:p w14:paraId="2CB365B0" w14:textId="77777777" w:rsidR="00484BB1" w:rsidRDefault="00484BB1" w:rsidP="00397028">
            <w:pPr>
              <w:spacing w:after="120"/>
              <w:rPr>
                <w:rFonts w:cs="Arial"/>
              </w:rPr>
            </w:pPr>
            <w:r>
              <w:rPr>
                <w:rFonts w:cs="Arial"/>
                <w:color w:val="0070C0"/>
              </w:rPr>
              <w:t>Ruta de aprendizaje</w:t>
            </w:r>
          </w:p>
          <w:p w14:paraId="7950CF0D" w14:textId="77777777" w:rsidR="00484BB1" w:rsidRPr="00346CCD" w:rsidRDefault="00484BB1" w:rsidP="00346CCD">
            <w:pPr>
              <w:spacing w:after="120"/>
              <w:rPr>
                <w:rFonts w:cs="Arial"/>
                <w:color w:val="0070C0"/>
              </w:rPr>
            </w:pPr>
            <w:r w:rsidRPr="00132861">
              <w:rPr>
                <w:rFonts w:cs="Arial"/>
              </w:rPr>
              <w:t xml:space="preserve">Scott, M. “El amor”. En </w:t>
            </w:r>
            <w:r w:rsidRPr="00132861">
              <w:rPr>
                <w:rFonts w:cs="Arial"/>
                <w:i/>
              </w:rPr>
              <w:t xml:space="preserve">La nueva psicología del amor, </w:t>
            </w:r>
            <w:r w:rsidRPr="00132861">
              <w:rPr>
                <w:rFonts w:cs="Arial"/>
              </w:rPr>
              <w:t>82-123</w:t>
            </w:r>
            <w:r w:rsidRPr="00132861">
              <w:rPr>
                <w:rFonts w:cs="Arial"/>
                <w:i/>
              </w:rPr>
              <w:t xml:space="preserve">. </w:t>
            </w:r>
            <w:r w:rsidRPr="00132861">
              <w:rPr>
                <w:rFonts w:cs="Arial"/>
              </w:rPr>
              <w:t xml:space="preserve">Buenos Aires: EMECE, 2007. </w:t>
            </w:r>
            <w:r w:rsidRPr="00346CCD">
              <w:rPr>
                <w:rFonts w:cs="Arial"/>
                <w:color w:val="0070C0"/>
              </w:rPr>
              <w:t>(clásico, última edición)</w:t>
            </w:r>
          </w:p>
          <w:p w14:paraId="2C2415D1" w14:textId="77777777" w:rsidR="00484BB1" w:rsidRPr="00346CCD" w:rsidRDefault="00484BB1" w:rsidP="00346CCD">
            <w:pPr>
              <w:spacing w:after="120"/>
              <w:rPr>
                <w:rFonts w:cs="Arial"/>
                <w:color w:val="0070C0"/>
              </w:rPr>
            </w:pPr>
            <w:r w:rsidRPr="00132861">
              <w:rPr>
                <w:rFonts w:cs="Arial"/>
              </w:rPr>
              <w:t xml:space="preserve">Baltodano Arróliga, Sara. “La familia como sistema”. En </w:t>
            </w:r>
            <w:r w:rsidRPr="00132861">
              <w:rPr>
                <w:rFonts w:cs="Arial"/>
                <w:i/>
              </w:rPr>
              <w:t xml:space="preserve">El cuidado pastoral de la familia en un mundo cambiante e inseguro, </w:t>
            </w:r>
            <w:r w:rsidRPr="00132861">
              <w:rPr>
                <w:rFonts w:cs="Arial"/>
              </w:rPr>
              <w:t xml:space="preserve">7-24. Guatemala: Ediciones Semilla, 2007. </w:t>
            </w:r>
            <w:r w:rsidRPr="00346CCD">
              <w:rPr>
                <w:rFonts w:cs="Arial"/>
                <w:color w:val="0070C0"/>
              </w:rPr>
              <w:t>(clásico, última edición)</w:t>
            </w:r>
          </w:p>
          <w:p w14:paraId="7F65C292" w14:textId="77777777" w:rsidR="00484BB1" w:rsidRPr="00346CCD" w:rsidRDefault="00484BB1" w:rsidP="00346CCD">
            <w:pPr>
              <w:spacing w:after="120"/>
              <w:rPr>
                <w:rFonts w:cs="Arial"/>
                <w:color w:val="0070C0"/>
              </w:rPr>
            </w:pPr>
            <w:proofErr w:type="spellStart"/>
            <w:r w:rsidRPr="00132861">
              <w:rPr>
                <w:rFonts w:cs="Arial"/>
              </w:rPr>
              <w:t>Dunker</w:t>
            </w:r>
            <w:proofErr w:type="spellEnd"/>
            <w:r w:rsidRPr="00132861">
              <w:rPr>
                <w:rFonts w:cs="Arial"/>
              </w:rPr>
              <w:t xml:space="preserve"> L., José. “La familia saludable”. En </w:t>
            </w:r>
            <w:r w:rsidRPr="00132861">
              <w:rPr>
                <w:rFonts w:cs="Arial"/>
                <w:i/>
              </w:rPr>
              <w:t xml:space="preserve">Los vínculos familiares: una psicopatología de las relaciones familiares, </w:t>
            </w:r>
            <w:r w:rsidRPr="00132861">
              <w:rPr>
                <w:rFonts w:cs="Arial"/>
              </w:rPr>
              <w:t>41-44. Santo Domingo, República Dominicana: Editorial El Búho, 2003.</w:t>
            </w:r>
            <w:r>
              <w:rPr>
                <w:rFonts w:cs="Arial"/>
              </w:rPr>
              <w:t xml:space="preserve"> </w:t>
            </w:r>
            <w:r w:rsidRPr="00346CCD">
              <w:rPr>
                <w:rFonts w:cs="Arial"/>
                <w:color w:val="0070C0"/>
              </w:rPr>
              <w:t>(clásico, última edición)</w:t>
            </w:r>
          </w:p>
          <w:p w14:paraId="7DE65E76" w14:textId="77777777" w:rsidR="00484BB1" w:rsidRDefault="00484BB1" w:rsidP="00840125">
            <w:pPr>
              <w:spacing w:after="120"/>
              <w:rPr>
                <w:rFonts w:cs="Arial"/>
                <w:b/>
                <w:color w:val="0070C0"/>
              </w:rPr>
            </w:pPr>
            <w:r w:rsidRPr="0012351F">
              <w:rPr>
                <w:rFonts w:cs="Arial"/>
                <w:b/>
                <w:color w:val="0070C0"/>
              </w:rPr>
              <w:t>Material complementario</w:t>
            </w:r>
          </w:p>
          <w:p w14:paraId="09C2C5CA" w14:textId="77777777" w:rsidR="00484BB1" w:rsidRPr="00B94676" w:rsidRDefault="00484BB1" w:rsidP="00840125">
            <w:pPr>
              <w:spacing w:after="120"/>
              <w:rPr>
                <w:rFonts w:cs="Arial"/>
                <w:bCs/>
                <w:color w:val="000000" w:themeColor="text1"/>
              </w:rPr>
            </w:pPr>
            <w:r>
              <w:rPr>
                <w:rFonts w:cs="Arial"/>
                <w:bCs/>
                <w:color w:val="0070C0"/>
              </w:rPr>
              <w:t>Guía para la participación en un foro en la plataforma Moodle</w:t>
            </w:r>
          </w:p>
        </w:tc>
        <w:tc>
          <w:tcPr>
            <w:tcW w:w="3118" w:type="dxa"/>
          </w:tcPr>
          <w:p w14:paraId="102A7FAC" w14:textId="77777777" w:rsidR="00484BB1" w:rsidRPr="00132861" w:rsidRDefault="00484BB1" w:rsidP="00484BB1">
            <w:pPr>
              <w:numPr>
                <w:ilvl w:val="0"/>
                <w:numId w:val="45"/>
              </w:numPr>
              <w:spacing w:after="0" w:line="240" w:lineRule="auto"/>
              <w:rPr>
                <w:rFonts w:cs="Arial"/>
                <w:color w:val="000000" w:themeColor="text1"/>
                <w:lang w:val="es-ES"/>
              </w:rPr>
            </w:pPr>
            <w:r w:rsidRPr="00132861">
              <w:rPr>
                <w:rFonts w:cs="Arial"/>
                <w:color w:val="000000" w:themeColor="text1"/>
                <w:lang w:val="es-ES"/>
              </w:rPr>
              <w:t>Realizar las lecturas sobre el tema de la sesión.</w:t>
            </w:r>
          </w:p>
          <w:p w14:paraId="4970A02F" w14:textId="77777777" w:rsidR="00484BB1" w:rsidRPr="00132861" w:rsidRDefault="00484BB1" w:rsidP="00484BB1">
            <w:pPr>
              <w:numPr>
                <w:ilvl w:val="0"/>
                <w:numId w:val="45"/>
              </w:numPr>
              <w:spacing w:after="0" w:line="240" w:lineRule="auto"/>
              <w:rPr>
                <w:rFonts w:cs="Arial"/>
                <w:color w:val="000000" w:themeColor="text1"/>
                <w:lang w:val="es-ES"/>
              </w:rPr>
            </w:pPr>
            <w:r w:rsidRPr="00132861">
              <w:rPr>
                <w:rFonts w:cs="Arial"/>
                <w:color w:val="000000" w:themeColor="text1"/>
                <w:lang w:val="es-ES"/>
              </w:rPr>
              <w:t>Elaboración de un análisis comparativo de los tres artículos sobre el tema (tarea acopio # 5).</w:t>
            </w:r>
          </w:p>
          <w:p w14:paraId="00BDF57B" w14:textId="77777777" w:rsidR="00484BB1" w:rsidRPr="00132861" w:rsidRDefault="00484BB1" w:rsidP="00484BB1">
            <w:pPr>
              <w:numPr>
                <w:ilvl w:val="0"/>
                <w:numId w:val="45"/>
              </w:numPr>
              <w:spacing w:after="0" w:line="240" w:lineRule="auto"/>
              <w:rPr>
                <w:rFonts w:cs="Arial"/>
                <w:color w:val="000000" w:themeColor="text1"/>
              </w:rPr>
            </w:pPr>
            <w:r w:rsidRPr="00132861">
              <w:rPr>
                <w:rFonts w:cs="Arial"/>
                <w:color w:val="000000" w:themeColor="text1"/>
                <w:lang w:val="es-ES"/>
              </w:rPr>
              <w:t>Sistematización grupal sobre las consecuencias emocionales de los enfoques culturales sobre el amor y análisis temático de dos canciones con enfoques distintos sobre el amor de pareja a través de un foro (análisis grupal # 3).</w:t>
            </w:r>
          </w:p>
          <w:p w14:paraId="127F3153" w14:textId="77777777" w:rsidR="00484BB1" w:rsidRPr="00132861" w:rsidRDefault="00484BB1" w:rsidP="00484BB1">
            <w:pPr>
              <w:numPr>
                <w:ilvl w:val="0"/>
                <w:numId w:val="45"/>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3493F520" w14:textId="77777777" w:rsidR="00484BB1" w:rsidRPr="00132861" w:rsidRDefault="00484BB1" w:rsidP="00545861">
            <w:pPr>
              <w:rPr>
                <w:rFonts w:cs="Arial"/>
                <w:color w:val="000000" w:themeColor="text1"/>
                <w:lang w:val="es-ES"/>
              </w:rPr>
            </w:pPr>
          </w:p>
        </w:tc>
      </w:tr>
      <w:tr w:rsidR="00484BB1" w:rsidRPr="00132861" w14:paraId="2276B252" w14:textId="77777777" w:rsidTr="00C574A6">
        <w:trPr>
          <w:jc w:val="center"/>
        </w:trPr>
        <w:tc>
          <w:tcPr>
            <w:tcW w:w="1271" w:type="dxa"/>
          </w:tcPr>
          <w:p w14:paraId="5DFC65DF" w14:textId="77777777" w:rsidR="00484BB1" w:rsidRPr="00132861" w:rsidRDefault="00484BB1" w:rsidP="003E0703">
            <w:pPr>
              <w:jc w:val="center"/>
              <w:rPr>
                <w:rFonts w:cs="Arial"/>
                <w:color w:val="000000" w:themeColor="text1"/>
              </w:rPr>
            </w:pPr>
            <w:r w:rsidRPr="00132861">
              <w:rPr>
                <w:rFonts w:cs="Arial"/>
                <w:color w:val="000000" w:themeColor="text1"/>
              </w:rPr>
              <w:t>11</w:t>
            </w:r>
          </w:p>
          <w:p w14:paraId="36DD0121" w14:textId="77777777" w:rsidR="00484BB1" w:rsidRPr="00132861" w:rsidRDefault="00484BB1" w:rsidP="00402B72">
            <w:pPr>
              <w:jc w:val="center"/>
              <w:rPr>
                <w:rFonts w:cs="Arial"/>
                <w:color w:val="000000" w:themeColor="text1"/>
              </w:rPr>
            </w:pPr>
          </w:p>
        </w:tc>
        <w:tc>
          <w:tcPr>
            <w:tcW w:w="2410" w:type="dxa"/>
          </w:tcPr>
          <w:p w14:paraId="57811A5D" w14:textId="77777777" w:rsidR="00484BB1" w:rsidRPr="002855B0" w:rsidRDefault="00484BB1" w:rsidP="00C86D8B">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4: La estructura familiar</w:t>
            </w:r>
          </w:p>
          <w:p w14:paraId="0EDD57A7" w14:textId="77777777" w:rsidR="00484BB1" w:rsidRPr="00614214" w:rsidRDefault="00484BB1" w:rsidP="00C86D8B">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10"/>
                <w:szCs w:val="10"/>
              </w:rPr>
            </w:pPr>
          </w:p>
          <w:p w14:paraId="5C784A6D" w14:textId="77777777" w:rsidR="00484BB1" w:rsidRPr="00614214" w:rsidRDefault="00484BB1" w:rsidP="00297C2A">
            <w:pPr>
              <w:rPr>
                <w:rFonts w:cs="Arial"/>
              </w:rPr>
            </w:pPr>
            <w:r w:rsidRPr="00614214">
              <w:rPr>
                <w:rFonts w:cs="Arial"/>
              </w:rPr>
              <w:t>c. Modelos de crianza</w:t>
            </w:r>
          </w:p>
        </w:tc>
        <w:tc>
          <w:tcPr>
            <w:tcW w:w="2977" w:type="dxa"/>
          </w:tcPr>
          <w:p w14:paraId="0DCC309C" w14:textId="77777777" w:rsidR="00484BB1" w:rsidRDefault="00484BB1" w:rsidP="00BD016D">
            <w:pPr>
              <w:spacing w:after="120"/>
              <w:rPr>
                <w:rFonts w:cs="Arial"/>
              </w:rPr>
            </w:pPr>
            <w:r>
              <w:rPr>
                <w:rFonts w:cs="Arial"/>
                <w:color w:val="0070C0"/>
              </w:rPr>
              <w:t>Ruta de aprendizaje</w:t>
            </w:r>
          </w:p>
          <w:p w14:paraId="6D71918F" w14:textId="77777777" w:rsidR="00484BB1" w:rsidRPr="00346CCD" w:rsidRDefault="00484BB1" w:rsidP="00346CCD">
            <w:pPr>
              <w:spacing w:after="120"/>
              <w:rPr>
                <w:rFonts w:cs="Arial"/>
                <w:color w:val="0070C0"/>
              </w:rPr>
            </w:pPr>
            <w:r w:rsidRPr="00132861">
              <w:rPr>
                <w:rFonts w:cs="Arial"/>
              </w:rPr>
              <w:t xml:space="preserve">Baltodano, Sara. “¿Cómo es tu familia?”. En </w:t>
            </w:r>
            <w:r w:rsidRPr="00132861">
              <w:rPr>
                <w:rFonts w:cs="Arial"/>
                <w:i/>
              </w:rPr>
              <w:t>Nutriendo Familias</w:t>
            </w:r>
            <w:r w:rsidRPr="00132861">
              <w:rPr>
                <w:rFonts w:cs="Arial"/>
              </w:rPr>
              <w:t xml:space="preserve">, 33-61. San José: Editorial SEBILA, 2007. </w:t>
            </w:r>
            <w:r w:rsidRPr="00346CCD">
              <w:rPr>
                <w:rFonts w:cs="Arial"/>
                <w:color w:val="0070C0"/>
              </w:rPr>
              <w:t>(clásico, última edición)</w:t>
            </w:r>
          </w:p>
          <w:p w14:paraId="38EA0054" w14:textId="77777777" w:rsidR="00484BB1" w:rsidRPr="00346CCD" w:rsidRDefault="00484BB1" w:rsidP="00346CCD">
            <w:pPr>
              <w:spacing w:after="120"/>
              <w:rPr>
                <w:rFonts w:cs="Arial"/>
                <w:color w:val="0070C0"/>
              </w:rPr>
            </w:pPr>
            <w:r w:rsidRPr="00132861">
              <w:rPr>
                <w:rFonts w:cs="Arial"/>
              </w:rPr>
              <w:t xml:space="preserve">Baltodano, Mireya. “La familia: estructura y relaciones”. En </w:t>
            </w:r>
            <w:r w:rsidRPr="00132861">
              <w:rPr>
                <w:rFonts w:cs="Arial"/>
                <w:i/>
              </w:rPr>
              <w:t xml:space="preserve">Introducción a la Psicología, </w:t>
            </w:r>
            <w:r w:rsidRPr="00132861">
              <w:rPr>
                <w:rFonts w:cs="Arial"/>
              </w:rPr>
              <w:t>89-111.</w:t>
            </w:r>
            <w:r w:rsidRPr="00132861">
              <w:rPr>
                <w:rFonts w:cs="Arial"/>
                <w:i/>
              </w:rPr>
              <w:t xml:space="preserve"> </w:t>
            </w:r>
            <w:r w:rsidRPr="00132861">
              <w:rPr>
                <w:rFonts w:cs="Arial"/>
              </w:rPr>
              <w:t>San José: UBILA, 2009.</w:t>
            </w:r>
            <w:r>
              <w:rPr>
                <w:rFonts w:cs="Arial"/>
              </w:rPr>
              <w:t xml:space="preserve"> </w:t>
            </w:r>
            <w:r w:rsidRPr="00346CCD">
              <w:rPr>
                <w:rFonts w:cs="Arial"/>
                <w:color w:val="0070C0"/>
              </w:rPr>
              <w:t>(clásico, última edición)</w:t>
            </w:r>
          </w:p>
          <w:p w14:paraId="041B6738" w14:textId="77777777" w:rsidR="00484BB1" w:rsidRDefault="00484BB1" w:rsidP="00840125">
            <w:pPr>
              <w:spacing w:after="120"/>
              <w:rPr>
                <w:rFonts w:cs="Arial"/>
                <w:b/>
                <w:color w:val="0070C0"/>
              </w:rPr>
            </w:pPr>
            <w:r w:rsidRPr="0012351F">
              <w:rPr>
                <w:rFonts w:cs="Arial"/>
                <w:b/>
                <w:color w:val="0070C0"/>
              </w:rPr>
              <w:t>Material complementario</w:t>
            </w:r>
          </w:p>
          <w:p w14:paraId="2A537483" w14:textId="77777777" w:rsidR="00484BB1" w:rsidRPr="001E6567" w:rsidRDefault="00484BB1" w:rsidP="00840125">
            <w:pPr>
              <w:spacing w:after="120"/>
              <w:rPr>
                <w:rFonts w:cs="Arial"/>
                <w:bCs/>
              </w:rPr>
            </w:pPr>
            <w:r>
              <w:rPr>
                <w:rFonts w:cs="Arial"/>
                <w:bCs/>
                <w:color w:val="0070C0"/>
              </w:rPr>
              <w:t xml:space="preserve">Guía para la participación mediante la herramienta Big </w:t>
            </w:r>
            <w:r>
              <w:rPr>
                <w:rFonts w:cs="Arial"/>
                <w:bCs/>
                <w:color w:val="0070C0"/>
              </w:rPr>
              <w:lastRenderedPageBreak/>
              <w:t xml:space="preserve">Blue </w:t>
            </w:r>
            <w:proofErr w:type="spellStart"/>
            <w:r>
              <w:rPr>
                <w:rFonts w:cs="Arial"/>
                <w:bCs/>
                <w:color w:val="0070C0"/>
              </w:rPr>
              <w:t>Button</w:t>
            </w:r>
            <w:proofErr w:type="spellEnd"/>
            <w:r>
              <w:rPr>
                <w:rFonts w:cs="Arial"/>
                <w:bCs/>
                <w:color w:val="0070C0"/>
              </w:rPr>
              <w:t xml:space="preserve"> en la plataforma Moodle</w:t>
            </w:r>
          </w:p>
          <w:p w14:paraId="5EA97CA9" w14:textId="77777777" w:rsidR="00484BB1" w:rsidRPr="00132861" w:rsidRDefault="00484BB1" w:rsidP="00660963">
            <w:pPr>
              <w:rPr>
                <w:rFonts w:cs="Arial"/>
                <w:color w:val="000000" w:themeColor="text1"/>
              </w:rPr>
            </w:pPr>
          </w:p>
        </w:tc>
        <w:tc>
          <w:tcPr>
            <w:tcW w:w="3118" w:type="dxa"/>
          </w:tcPr>
          <w:p w14:paraId="27204CA4" w14:textId="77777777" w:rsidR="00484BB1" w:rsidRPr="00132861" w:rsidRDefault="00484BB1" w:rsidP="00484BB1">
            <w:pPr>
              <w:numPr>
                <w:ilvl w:val="0"/>
                <w:numId w:val="42"/>
              </w:numPr>
              <w:spacing w:after="0" w:line="240" w:lineRule="auto"/>
              <w:rPr>
                <w:rFonts w:cs="Arial"/>
                <w:color w:val="000000" w:themeColor="text1"/>
                <w:lang w:val="es-ES"/>
              </w:rPr>
            </w:pPr>
            <w:r w:rsidRPr="00132861">
              <w:rPr>
                <w:rFonts w:cs="Arial"/>
                <w:color w:val="000000" w:themeColor="text1"/>
                <w:lang w:val="es-ES"/>
              </w:rPr>
              <w:lastRenderedPageBreak/>
              <w:t>Realizar las lecturas sobre el tema de la sesión.</w:t>
            </w:r>
          </w:p>
          <w:p w14:paraId="1D2902FA"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Elaboración de un ensayo comparativo sobre los modelos familiares de crianza aportados en el cuadro sinóptico que se asigna para estudio (tarea acopio # 6). </w:t>
            </w:r>
          </w:p>
          <w:p w14:paraId="4963EAAA"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Exposición docente sobre el tema de la filiación y debate grupal sobre los patrones culturales de crianza en un encuentro sincrónico</w:t>
            </w:r>
            <w:r>
              <w:rPr>
                <w:rFonts w:cs="Arial"/>
                <w:color w:val="000000" w:themeColor="text1"/>
              </w:rPr>
              <w:t xml:space="preserve"> virtual</w:t>
            </w:r>
            <w:r w:rsidRPr="00132861">
              <w:rPr>
                <w:rFonts w:cs="Arial"/>
                <w:color w:val="000000" w:themeColor="text1"/>
              </w:rPr>
              <w:t>.</w:t>
            </w:r>
          </w:p>
          <w:p w14:paraId="192E5E4B" w14:textId="77777777" w:rsidR="00484BB1" w:rsidRPr="00132861" w:rsidRDefault="00484BB1" w:rsidP="00484BB1">
            <w:pPr>
              <w:numPr>
                <w:ilvl w:val="0"/>
                <w:numId w:val="42"/>
              </w:numPr>
              <w:spacing w:after="0" w:line="240" w:lineRule="auto"/>
              <w:rPr>
                <w:rFonts w:cs="Arial"/>
                <w:color w:val="000000" w:themeColor="text1"/>
              </w:rPr>
            </w:pPr>
            <w:r w:rsidRPr="00132861">
              <w:rPr>
                <w:rFonts w:cs="Arial"/>
                <w:color w:val="000000" w:themeColor="text1"/>
              </w:rPr>
              <w:t xml:space="preserve">Todas las actividades apuntarán a generar un intercambio que permita </w:t>
            </w:r>
            <w:r w:rsidRPr="00132861">
              <w:rPr>
                <w:rFonts w:cs="Arial"/>
                <w:color w:val="000000" w:themeColor="text1"/>
              </w:rPr>
              <w:lastRenderedPageBreak/>
              <w:t>vincular el tema de la sesión con el tema del trabajo final.</w:t>
            </w:r>
          </w:p>
          <w:p w14:paraId="22E41141" w14:textId="77777777" w:rsidR="00484BB1" w:rsidRPr="00132861" w:rsidRDefault="00484BB1" w:rsidP="00737981">
            <w:pPr>
              <w:ind w:left="144"/>
              <w:rPr>
                <w:rFonts w:cs="Arial"/>
                <w:color w:val="000000" w:themeColor="text1"/>
              </w:rPr>
            </w:pPr>
          </w:p>
        </w:tc>
      </w:tr>
      <w:tr w:rsidR="00484BB1" w:rsidRPr="00132861" w14:paraId="7809C27E" w14:textId="77777777" w:rsidTr="00C52792">
        <w:trPr>
          <w:trHeight w:val="1687"/>
          <w:jc w:val="center"/>
        </w:trPr>
        <w:tc>
          <w:tcPr>
            <w:tcW w:w="1271" w:type="dxa"/>
          </w:tcPr>
          <w:p w14:paraId="3EA3C71C" w14:textId="77777777" w:rsidR="00484BB1" w:rsidRPr="00132861" w:rsidRDefault="00484BB1" w:rsidP="00660963">
            <w:pPr>
              <w:jc w:val="center"/>
              <w:rPr>
                <w:rFonts w:cs="Arial"/>
                <w:color w:val="000000" w:themeColor="text1"/>
              </w:rPr>
            </w:pPr>
            <w:r w:rsidRPr="00132861">
              <w:rPr>
                <w:rFonts w:cs="Arial"/>
                <w:color w:val="000000" w:themeColor="text1"/>
              </w:rPr>
              <w:lastRenderedPageBreak/>
              <w:t>12</w:t>
            </w:r>
          </w:p>
          <w:p w14:paraId="2C1A566A" w14:textId="77777777" w:rsidR="00484BB1" w:rsidRPr="00132861" w:rsidRDefault="00484BB1" w:rsidP="00660963">
            <w:pPr>
              <w:jc w:val="center"/>
              <w:rPr>
                <w:rFonts w:cs="Arial"/>
                <w:color w:val="FF0000"/>
              </w:rPr>
            </w:pPr>
          </w:p>
        </w:tc>
        <w:tc>
          <w:tcPr>
            <w:tcW w:w="2410" w:type="dxa"/>
          </w:tcPr>
          <w:p w14:paraId="0971E0CD" w14:textId="77777777" w:rsidR="00484BB1" w:rsidRPr="002855B0"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5: Aportes de la psicología a la pastoral</w:t>
            </w:r>
          </w:p>
          <w:p w14:paraId="70C9C61A"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07C1C50A"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a. Situaciones emocionales de frecuente atención pastoral</w:t>
            </w:r>
          </w:p>
          <w:p w14:paraId="2FB0D232"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2D7C9F88"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b. Caracterización de crisis socioemocionales</w:t>
            </w:r>
          </w:p>
          <w:p w14:paraId="2100F64E" w14:textId="77777777" w:rsidR="00484BB1" w:rsidRPr="00614214" w:rsidRDefault="00484BB1" w:rsidP="007A3BC3">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tc>
        <w:tc>
          <w:tcPr>
            <w:tcW w:w="2977" w:type="dxa"/>
          </w:tcPr>
          <w:p w14:paraId="3CF5D645" w14:textId="77777777" w:rsidR="00484BB1" w:rsidRDefault="00484BB1" w:rsidP="00934B51">
            <w:pPr>
              <w:pStyle w:val="Textonotapie"/>
              <w:rPr>
                <w:rFonts w:asciiTheme="minorHAnsi" w:hAnsiTheme="minorHAnsi" w:cs="Arial"/>
                <w:sz w:val="22"/>
                <w:szCs w:val="22"/>
                <w:lang w:val="pt-BR"/>
              </w:rPr>
            </w:pPr>
            <w:r>
              <w:rPr>
                <w:rFonts w:asciiTheme="minorHAnsi" w:hAnsiTheme="minorHAnsi" w:cs="Arial"/>
                <w:color w:val="0070C0"/>
                <w:sz w:val="22"/>
                <w:szCs w:val="22"/>
              </w:rPr>
              <w:t>Ruta de aprendizaje</w:t>
            </w:r>
          </w:p>
          <w:p w14:paraId="3E29D6EE" w14:textId="77777777" w:rsidR="00484BB1" w:rsidRDefault="00484BB1" w:rsidP="00934B51">
            <w:pPr>
              <w:pStyle w:val="Textonotapie"/>
              <w:rPr>
                <w:rFonts w:asciiTheme="minorHAnsi" w:hAnsiTheme="minorHAnsi" w:cs="Arial"/>
                <w:sz w:val="22"/>
                <w:szCs w:val="22"/>
                <w:lang w:val="pt-BR"/>
              </w:rPr>
            </w:pPr>
          </w:p>
          <w:p w14:paraId="66273556" w14:textId="77777777" w:rsidR="00484BB1" w:rsidRPr="00346CCD" w:rsidRDefault="00484BB1" w:rsidP="00346CCD">
            <w:pPr>
              <w:spacing w:after="120"/>
              <w:rPr>
                <w:rFonts w:cs="Arial"/>
                <w:color w:val="0070C0"/>
              </w:rPr>
            </w:pPr>
            <w:r w:rsidRPr="00132861">
              <w:rPr>
                <w:rFonts w:cs="Arial"/>
                <w:lang w:val="pt-BR"/>
              </w:rPr>
              <w:t>Silverstein, Shel. (1981). “</w:t>
            </w:r>
            <w:r w:rsidRPr="00132861">
              <w:rPr>
                <w:rFonts w:cs="Arial"/>
              </w:rPr>
              <w:t xml:space="preserve">La pieza faltante conoce a la Gran O”. En </w:t>
            </w:r>
            <w:r w:rsidRPr="00132861">
              <w:rPr>
                <w:rFonts w:cs="Arial"/>
                <w:i/>
              </w:rPr>
              <w:t xml:space="preserve">Introducción a la Psicología, </w:t>
            </w:r>
            <w:r w:rsidRPr="00132861">
              <w:rPr>
                <w:rFonts w:cs="Arial"/>
              </w:rPr>
              <w:t xml:space="preserve">traducido por Mireya Baltodano, 149-166. San José: UBILA, 2009. </w:t>
            </w:r>
            <w:r>
              <w:rPr>
                <w:rFonts w:cs="Arial"/>
              </w:rPr>
              <w:t xml:space="preserve"> </w:t>
            </w:r>
            <w:r w:rsidRPr="00346CCD">
              <w:rPr>
                <w:rFonts w:cs="Arial"/>
                <w:color w:val="0070C0"/>
              </w:rPr>
              <w:t>(clásico, última edición)</w:t>
            </w:r>
          </w:p>
          <w:p w14:paraId="09360C06" w14:textId="77777777" w:rsidR="00484BB1" w:rsidRPr="00132861" w:rsidRDefault="00484BB1" w:rsidP="00934B51">
            <w:pPr>
              <w:pStyle w:val="Textonotapie"/>
              <w:rPr>
                <w:rFonts w:asciiTheme="minorHAnsi" w:hAnsiTheme="minorHAnsi" w:cs="Arial"/>
                <w:sz w:val="22"/>
                <w:szCs w:val="22"/>
              </w:rPr>
            </w:pPr>
          </w:p>
          <w:p w14:paraId="7977E53E" w14:textId="77777777" w:rsidR="00484BB1" w:rsidRPr="00346CCD" w:rsidRDefault="00484BB1" w:rsidP="00346CCD">
            <w:pPr>
              <w:spacing w:after="120"/>
              <w:rPr>
                <w:rFonts w:cs="Arial"/>
                <w:color w:val="0070C0"/>
              </w:rPr>
            </w:pPr>
            <w:proofErr w:type="spellStart"/>
            <w:r w:rsidRPr="00132861">
              <w:rPr>
                <w:rFonts w:cs="Arial"/>
              </w:rPr>
              <w:t>Szentmártoni</w:t>
            </w:r>
            <w:proofErr w:type="spellEnd"/>
            <w:r w:rsidRPr="00132861">
              <w:rPr>
                <w:rFonts w:cs="Arial"/>
              </w:rPr>
              <w:t xml:space="preserve">, </w:t>
            </w:r>
            <w:proofErr w:type="spellStart"/>
            <w:r w:rsidRPr="00132861">
              <w:rPr>
                <w:rFonts w:cs="Arial"/>
              </w:rPr>
              <w:t>Mihály</w:t>
            </w:r>
            <w:proofErr w:type="spellEnd"/>
            <w:r w:rsidRPr="00132861">
              <w:rPr>
                <w:rFonts w:cs="Arial"/>
              </w:rPr>
              <w:t xml:space="preserve">. “Técnica del coloquio pastoral”. En </w:t>
            </w:r>
            <w:r w:rsidRPr="00132861">
              <w:rPr>
                <w:rFonts w:cs="Arial"/>
                <w:i/>
              </w:rPr>
              <w:t>Manual de Psicología Pastoral</w:t>
            </w:r>
            <w:r w:rsidRPr="00132861">
              <w:rPr>
                <w:rFonts w:cs="Arial"/>
              </w:rPr>
              <w:t xml:space="preserve">, 57-75. Salamanca: Ediciones Sígueme, 2003. </w:t>
            </w:r>
            <w:r w:rsidRPr="00346CCD">
              <w:rPr>
                <w:rFonts w:cs="Arial"/>
                <w:color w:val="0070C0"/>
              </w:rPr>
              <w:t>(clásico, última edición)</w:t>
            </w:r>
          </w:p>
          <w:p w14:paraId="07A27C07" w14:textId="77777777" w:rsidR="00484BB1" w:rsidRPr="00132861" w:rsidRDefault="00484BB1" w:rsidP="002D40A3">
            <w:pPr>
              <w:spacing w:after="120"/>
              <w:rPr>
                <w:rFonts w:cs="Arial"/>
              </w:rPr>
            </w:pPr>
          </w:p>
          <w:p w14:paraId="7F7CDFCC" w14:textId="77777777" w:rsidR="00484BB1" w:rsidRPr="00132861" w:rsidRDefault="00484BB1" w:rsidP="002D40A3">
            <w:pPr>
              <w:spacing w:after="120"/>
              <w:rPr>
                <w:rFonts w:cs="Arial"/>
                <w:b/>
              </w:rPr>
            </w:pPr>
            <w:r w:rsidRPr="00132861">
              <w:rPr>
                <w:rFonts w:cs="Arial"/>
                <w:b/>
              </w:rPr>
              <w:t>Material complementario</w:t>
            </w:r>
          </w:p>
          <w:p w14:paraId="74A28B58" w14:textId="77777777" w:rsidR="00484BB1" w:rsidRDefault="00484BB1" w:rsidP="00AE211B">
            <w:pPr>
              <w:spacing w:after="120"/>
              <w:rPr>
                <w:rStyle w:val="Hipervnculo"/>
              </w:rPr>
            </w:pPr>
            <w:proofErr w:type="spellStart"/>
            <w:r w:rsidRPr="00132861">
              <w:rPr>
                <w:rFonts w:cs="Arial"/>
              </w:rPr>
              <w:t>Scharrón</w:t>
            </w:r>
            <w:proofErr w:type="spellEnd"/>
            <w:r w:rsidRPr="00132861">
              <w:rPr>
                <w:rFonts w:cs="Arial"/>
              </w:rPr>
              <w:t xml:space="preserve"> del Río, María del R. “Supuestos, Explicaciones y Sistemas de Creencias: Ciencia, Religión y Psicología”. </w:t>
            </w:r>
            <w:r w:rsidRPr="00132861">
              <w:rPr>
                <w:rFonts w:cs="Arial"/>
                <w:i/>
              </w:rPr>
              <w:t>Revista Puertorriqueña de Psicología</w:t>
            </w:r>
            <w:r w:rsidRPr="00132861">
              <w:rPr>
                <w:rFonts w:cs="Arial"/>
              </w:rPr>
              <w:t xml:space="preserve"> 21, n. 1 (2016): 85-112. Acceso el 17 de diciembre de 2020. </w:t>
            </w:r>
            <w:hyperlink r:id="rId89" w:history="1">
              <w:r w:rsidRPr="00132861">
                <w:rPr>
                  <w:rStyle w:val="Hipervnculo"/>
                </w:rPr>
                <w:t>http://www.ojs.repsasppr.net/index.php/reps/article/view/185</w:t>
              </w:r>
            </w:hyperlink>
          </w:p>
          <w:p w14:paraId="1AC8A116" w14:textId="77777777" w:rsidR="00484BB1" w:rsidRPr="00C52792" w:rsidRDefault="00484BB1" w:rsidP="00AE211B">
            <w:pPr>
              <w:spacing w:after="120"/>
              <w:rPr>
                <w:rFonts w:cs="Arial"/>
                <w:color w:val="0563C1" w:themeColor="hyperlink"/>
              </w:rPr>
            </w:pPr>
            <w:r w:rsidRPr="00C52792">
              <w:rPr>
                <w:rFonts w:cs="Arial"/>
                <w:color w:val="0070C0"/>
              </w:rPr>
              <w:t xml:space="preserve">Guía para la participación mediante la herramienta Big Blue </w:t>
            </w:r>
            <w:proofErr w:type="spellStart"/>
            <w:r w:rsidRPr="00C52792">
              <w:rPr>
                <w:rFonts w:cs="Arial"/>
                <w:color w:val="0070C0"/>
              </w:rPr>
              <w:t>Button</w:t>
            </w:r>
            <w:proofErr w:type="spellEnd"/>
            <w:r w:rsidRPr="00C52792">
              <w:rPr>
                <w:rFonts w:cs="Arial"/>
                <w:color w:val="0070C0"/>
              </w:rPr>
              <w:t xml:space="preserve"> en la plataforma Moodle</w:t>
            </w:r>
          </w:p>
        </w:tc>
        <w:tc>
          <w:tcPr>
            <w:tcW w:w="3118" w:type="dxa"/>
          </w:tcPr>
          <w:p w14:paraId="1DD8950C" w14:textId="77777777" w:rsidR="00484BB1" w:rsidRPr="00132861" w:rsidRDefault="00484BB1" w:rsidP="00484BB1">
            <w:pPr>
              <w:numPr>
                <w:ilvl w:val="0"/>
                <w:numId w:val="46"/>
              </w:numPr>
              <w:spacing w:after="0" w:line="240" w:lineRule="auto"/>
              <w:rPr>
                <w:rFonts w:cs="Arial"/>
                <w:strike/>
                <w:color w:val="000000" w:themeColor="text1"/>
              </w:rPr>
            </w:pPr>
            <w:r w:rsidRPr="00132861">
              <w:rPr>
                <w:rFonts w:cs="Arial"/>
                <w:color w:val="000000" w:themeColor="text1"/>
              </w:rPr>
              <w:t>Realizar las lecturas sobre el tema de la sesión.</w:t>
            </w:r>
          </w:p>
          <w:p w14:paraId="18DAAED9" w14:textId="77777777" w:rsidR="00484BB1" w:rsidRPr="00132861" w:rsidRDefault="00484BB1" w:rsidP="00484BB1">
            <w:pPr>
              <w:numPr>
                <w:ilvl w:val="0"/>
                <w:numId w:val="46"/>
              </w:numPr>
              <w:spacing w:after="0" w:line="240" w:lineRule="auto"/>
              <w:rPr>
                <w:rFonts w:cs="Arial"/>
                <w:strike/>
                <w:color w:val="000000" w:themeColor="text1"/>
              </w:rPr>
            </w:pPr>
            <w:r w:rsidRPr="00132861">
              <w:rPr>
                <w:rFonts w:cs="Arial"/>
                <w:color w:val="000000" w:themeColor="text1"/>
              </w:rPr>
              <w:t>Prepararse para entregar la monografía final.</w:t>
            </w:r>
          </w:p>
          <w:p w14:paraId="18728B3C" w14:textId="77777777" w:rsidR="00484BB1" w:rsidRPr="00132861" w:rsidRDefault="00484BB1" w:rsidP="00484BB1">
            <w:pPr>
              <w:numPr>
                <w:ilvl w:val="0"/>
                <w:numId w:val="46"/>
              </w:numPr>
              <w:spacing w:after="0" w:line="240" w:lineRule="auto"/>
              <w:rPr>
                <w:rFonts w:cs="Arial"/>
                <w:strike/>
                <w:color w:val="000000" w:themeColor="text1"/>
              </w:rPr>
            </w:pPr>
            <w:r w:rsidRPr="00132861">
              <w:rPr>
                <w:rFonts w:cs="Arial"/>
                <w:color w:val="000000" w:themeColor="text1"/>
              </w:rPr>
              <w:t>Insumo teórico docente sobre crisis socioemocionales y debate grupal sobre tipos de crisis en un encuentro</w:t>
            </w:r>
            <w:r>
              <w:rPr>
                <w:rFonts w:cs="Arial"/>
                <w:color w:val="000000" w:themeColor="text1"/>
              </w:rPr>
              <w:t xml:space="preserve"> sincrónico virtual</w:t>
            </w:r>
            <w:r w:rsidRPr="00132861">
              <w:rPr>
                <w:rFonts w:cs="Arial"/>
                <w:color w:val="000000" w:themeColor="text1"/>
              </w:rPr>
              <w:t>.</w:t>
            </w:r>
          </w:p>
          <w:p w14:paraId="7D542C73" w14:textId="77777777" w:rsidR="00484BB1" w:rsidRPr="00132861" w:rsidRDefault="00484BB1" w:rsidP="00484BB1">
            <w:pPr>
              <w:numPr>
                <w:ilvl w:val="0"/>
                <w:numId w:val="46"/>
              </w:numPr>
              <w:spacing w:after="0" w:line="240" w:lineRule="auto"/>
              <w:rPr>
                <w:rFonts w:cs="Arial"/>
                <w:color w:val="000000" w:themeColor="text1"/>
              </w:rPr>
            </w:pPr>
            <w:r w:rsidRPr="00132861">
              <w:rPr>
                <w:rFonts w:cs="Arial"/>
                <w:color w:val="000000" w:themeColor="text1"/>
              </w:rPr>
              <w:t>Todas las actividades apuntarán a generar un intercambio que permita vincular el tema de la sesión con el tema del trabajo final.</w:t>
            </w:r>
          </w:p>
          <w:p w14:paraId="213A25B3" w14:textId="77777777" w:rsidR="00484BB1" w:rsidRPr="00132861" w:rsidRDefault="00484BB1" w:rsidP="0036258D">
            <w:pPr>
              <w:ind w:left="144"/>
              <w:rPr>
                <w:rFonts w:cs="Arial"/>
                <w:color w:val="000000" w:themeColor="text1"/>
              </w:rPr>
            </w:pPr>
          </w:p>
          <w:p w14:paraId="4EC5097C" w14:textId="77777777" w:rsidR="00484BB1" w:rsidRPr="00132861" w:rsidRDefault="00484BB1" w:rsidP="0036258D">
            <w:pPr>
              <w:ind w:left="144"/>
              <w:rPr>
                <w:rFonts w:cs="Arial"/>
                <w:color w:val="000000" w:themeColor="text1"/>
              </w:rPr>
            </w:pPr>
          </w:p>
        </w:tc>
      </w:tr>
      <w:tr w:rsidR="00484BB1" w:rsidRPr="00132861" w14:paraId="48378B66" w14:textId="77777777" w:rsidTr="00C574A6">
        <w:trPr>
          <w:jc w:val="center"/>
        </w:trPr>
        <w:tc>
          <w:tcPr>
            <w:tcW w:w="1271" w:type="dxa"/>
          </w:tcPr>
          <w:p w14:paraId="297763EB" w14:textId="77777777" w:rsidR="00484BB1" w:rsidRPr="00132861" w:rsidRDefault="00484BB1" w:rsidP="00660963">
            <w:pPr>
              <w:jc w:val="center"/>
              <w:rPr>
                <w:rFonts w:cs="Arial"/>
                <w:color w:val="000000" w:themeColor="text1"/>
              </w:rPr>
            </w:pPr>
            <w:r w:rsidRPr="00132861">
              <w:rPr>
                <w:rFonts w:cs="Arial"/>
                <w:color w:val="000000" w:themeColor="text1"/>
              </w:rPr>
              <w:t>13</w:t>
            </w:r>
          </w:p>
          <w:p w14:paraId="644109DB" w14:textId="77777777" w:rsidR="00484BB1" w:rsidRPr="00132861" w:rsidRDefault="00484BB1" w:rsidP="00660963">
            <w:pPr>
              <w:jc w:val="center"/>
              <w:rPr>
                <w:rFonts w:cs="Arial"/>
                <w:color w:val="FF0000"/>
              </w:rPr>
            </w:pPr>
          </w:p>
        </w:tc>
        <w:tc>
          <w:tcPr>
            <w:tcW w:w="2410" w:type="dxa"/>
          </w:tcPr>
          <w:p w14:paraId="2E240E72" w14:textId="77777777" w:rsidR="00484BB1" w:rsidRPr="002855B0"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5: Aportes de la psicología a la pastoral</w:t>
            </w:r>
          </w:p>
          <w:p w14:paraId="384AF6DE"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2EED791E"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 xml:space="preserve">a. Situaciones emocionales de </w:t>
            </w:r>
            <w:r w:rsidRPr="00614214">
              <w:rPr>
                <w:rFonts w:asciiTheme="minorHAnsi" w:hAnsiTheme="minorHAnsi" w:cs="Arial"/>
                <w:sz w:val="22"/>
                <w:szCs w:val="22"/>
              </w:rPr>
              <w:lastRenderedPageBreak/>
              <w:t>frecuente atención pastoral</w:t>
            </w:r>
          </w:p>
          <w:p w14:paraId="674C3EE6"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7315F6F0"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b. Caracterización de crisis socioemocionales</w:t>
            </w:r>
          </w:p>
          <w:p w14:paraId="2CAF38EB" w14:textId="77777777" w:rsidR="00484BB1" w:rsidRPr="00614214" w:rsidRDefault="00484BB1" w:rsidP="00704749">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trike/>
                <w:sz w:val="22"/>
                <w:szCs w:val="22"/>
              </w:rPr>
            </w:pPr>
          </w:p>
        </w:tc>
        <w:tc>
          <w:tcPr>
            <w:tcW w:w="2977" w:type="dxa"/>
          </w:tcPr>
          <w:p w14:paraId="59276038" w14:textId="77777777" w:rsidR="00484BB1" w:rsidRDefault="00484BB1" w:rsidP="005F3640">
            <w:pPr>
              <w:spacing w:after="120"/>
              <w:rPr>
                <w:rFonts w:cs="Arial"/>
              </w:rPr>
            </w:pPr>
            <w:r>
              <w:rPr>
                <w:rFonts w:cs="Arial"/>
                <w:color w:val="0070C0"/>
              </w:rPr>
              <w:lastRenderedPageBreak/>
              <w:t>Ruta de aprendizaje</w:t>
            </w:r>
          </w:p>
          <w:p w14:paraId="56A31DCF" w14:textId="77777777" w:rsidR="00484BB1" w:rsidRPr="00346CCD" w:rsidRDefault="00484BB1" w:rsidP="00346CCD">
            <w:pPr>
              <w:spacing w:after="120"/>
              <w:rPr>
                <w:rFonts w:cs="Arial"/>
                <w:color w:val="0070C0"/>
              </w:rPr>
            </w:pPr>
            <w:r w:rsidRPr="00132861">
              <w:rPr>
                <w:rFonts w:cs="Arial"/>
              </w:rPr>
              <w:t xml:space="preserve">Baltodano, Sara. “Crisis y superación”. En </w:t>
            </w:r>
            <w:r w:rsidRPr="00132861">
              <w:rPr>
                <w:rFonts w:cs="Arial"/>
                <w:i/>
              </w:rPr>
              <w:t>Nutriendo Familias</w:t>
            </w:r>
            <w:r w:rsidRPr="00132861">
              <w:rPr>
                <w:rFonts w:cs="Arial"/>
              </w:rPr>
              <w:t xml:space="preserve">, 109-140. San José: </w:t>
            </w:r>
            <w:r w:rsidRPr="00132861">
              <w:rPr>
                <w:rFonts w:cs="Arial"/>
              </w:rPr>
              <w:lastRenderedPageBreak/>
              <w:t xml:space="preserve">Editorial SEBILA, 2007. </w:t>
            </w:r>
            <w:r w:rsidRPr="00346CCD">
              <w:rPr>
                <w:rFonts w:cs="Arial"/>
                <w:color w:val="0070C0"/>
              </w:rPr>
              <w:t>(clásico, última edición)</w:t>
            </w:r>
          </w:p>
          <w:p w14:paraId="4ABB6364" w14:textId="77777777" w:rsidR="00484BB1" w:rsidRPr="00346CCD" w:rsidRDefault="00484BB1" w:rsidP="00346CCD">
            <w:pPr>
              <w:spacing w:after="120"/>
              <w:rPr>
                <w:rFonts w:cs="Arial"/>
                <w:color w:val="0070C0"/>
              </w:rPr>
            </w:pPr>
            <w:proofErr w:type="spellStart"/>
            <w:r w:rsidRPr="00132861">
              <w:rPr>
                <w:rFonts w:cs="Arial"/>
              </w:rPr>
              <w:t>Schipani</w:t>
            </w:r>
            <w:proofErr w:type="spellEnd"/>
            <w:r w:rsidRPr="00132861">
              <w:rPr>
                <w:rFonts w:cs="Arial"/>
              </w:rPr>
              <w:t xml:space="preserve"> S., Daniel. “Acompañamiento en tiempos de crisis”. En </w:t>
            </w:r>
            <w:r w:rsidRPr="00132861">
              <w:rPr>
                <w:rFonts w:cs="Arial"/>
                <w:i/>
              </w:rPr>
              <w:t xml:space="preserve">Manual de Psicología Pastoral: fundamentos y principios de acompañamiento, </w:t>
            </w:r>
            <w:r w:rsidRPr="00132861">
              <w:rPr>
                <w:rFonts w:cs="Arial"/>
              </w:rPr>
              <w:t xml:space="preserve">125-146. Cuba: Seminario Evangélico de Teología, 2016. </w:t>
            </w:r>
            <w:r w:rsidRPr="00346CCD">
              <w:rPr>
                <w:rFonts w:cs="Arial"/>
                <w:color w:val="0070C0"/>
              </w:rPr>
              <w:t>(clásico, última edición)</w:t>
            </w:r>
          </w:p>
          <w:p w14:paraId="11E0E153" w14:textId="77777777" w:rsidR="00484BB1" w:rsidRDefault="00484BB1" w:rsidP="00882366">
            <w:pPr>
              <w:spacing w:after="120"/>
              <w:rPr>
                <w:rFonts w:cs="Arial"/>
              </w:rPr>
            </w:pPr>
            <w:r w:rsidRPr="0012351F">
              <w:rPr>
                <w:rFonts w:cs="Arial"/>
                <w:b/>
                <w:color w:val="0070C0"/>
              </w:rPr>
              <w:t>Material complementario</w:t>
            </w:r>
          </w:p>
          <w:p w14:paraId="7B30F980" w14:textId="77777777" w:rsidR="00484BB1" w:rsidRDefault="00484BB1" w:rsidP="000359D9">
            <w:pPr>
              <w:spacing w:after="120"/>
              <w:rPr>
                <w:rFonts w:cs="Arial"/>
                <w:color w:val="0070C0"/>
              </w:rPr>
            </w:pPr>
            <w:r>
              <w:rPr>
                <w:rFonts w:cs="Arial"/>
                <w:color w:val="0070C0"/>
              </w:rPr>
              <w:t xml:space="preserve">Guía para la participación mediante la herramienta Big Blue </w:t>
            </w:r>
            <w:proofErr w:type="spellStart"/>
            <w:r>
              <w:rPr>
                <w:rFonts w:cs="Arial"/>
                <w:color w:val="0070C0"/>
              </w:rPr>
              <w:t>Button</w:t>
            </w:r>
            <w:proofErr w:type="spellEnd"/>
            <w:r>
              <w:rPr>
                <w:rFonts w:cs="Arial"/>
                <w:color w:val="0070C0"/>
              </w:rPr>
              <w:t xml:space="preserve"> en la plataforma Moodle</w:t>
            </w:r>
          </w:p>
          <w:p w14:paraId="20E0A73A" w14:textId="77777777" w:rsidR="00484BB1" w:rsidRPr="00132861" w:rsidRDefault="00484BB1" w:rsidP="000359D9">
            <w:pPr>
              <w:spacing w:after="120"/>
              <w:rPr>
                <w:rFonts w:cs="Arial"/>
              </w:rPr>
            </w:pPr>
          </w:p>
        </w:tc>
        <w:tc>
          <w:tcPr>
            <w:tcW w:w="3118" w:type="dxa"/>
          </w:tcPr>
          <w:p w14:paraId="657C1C22" w14:textId="77777777" w:rsidR="00484BB1" w:rsidRPr="00132861" w:rsidRDefault="00484BB1" w:rsidP="00484BB1">
            <w:pPr>
              <w:numPr>
                <w:ilvl w:val="0"/>
                <w:numId w:val="46"/>
              </w:numPr>
              <w:spacing w:after="0" w:line="240" w:lineRule="auto"/>
              <w:rPr>
                <w:rFonts w:cs="Arial"/>
                <w:strike/>
                <w:color w:val="000000" w:themeColor="text1"/>
              </w:rPr>
            </w:pPr>
            <w:r w:rsidRPr="00132861">
              <w:rPr>
                <w:rFonts w:cs="Arial"/>
                <w:color w:val="000000" w:themeColor="text1"/>
              </w:rPr>
              <w:lastRenderedPageBreak/>
              <w:t>Realizar las lecturas sobre el tema de la sesión.</w:t>
            </w:r>
          </w:p>
          <w:p w14:paraId="655029CD" w14:textId="77777777" w:rsidR="00484BB1" w:rsidRPr="00132861" w:rsidRDefault="00484BB1" w:rsidP="00484BB1">
            <w:pPr>
              <w:numPr>
                <w:ilvl w:val="0"/>
                <w:numId w:val="46"/>
              </w:numPr>
              <w:spacing w:after="0" w:line="240" w:lineRule="auto"/>
              <w:rPr>
                <w:rFonts w:cs="Arial"/>
                <w:color w:val="000000" w:themeColor="text1"/>
              </w:rPr>
            </w:pPr>
            <w:r w:rsidRPr="00132861">
              <w:rPr>
                <w:rFonts w:cs="Arial"/>
                <w:color w:val="000000" w:themeColor="text1"/>
              </w:rPr>
              <w:t xml:space="preserve">Entrega de la monografía final. </w:t>
            </w:r>
          </w:p>
          <w:p w14:paraId="4F609B6D" w14:textId="77777777" w:rsidR="00484BB1" w:rsidRPr="00132861" w:rsidRDefault="00484BB1" w:rsidP="00484BB1">
            <w:pPr>
              <w:numPr>
                <w:ilvl w:val="0"/>
                <w:numId w:val="46"/>
              </w:numPr>
              <w:spacing w:after="0" w:line="240" w:lineRule="auto"/>
              <w:rPr>
                <w:rFonts w:cs="Arial"/>
                <w:color w:val="000000" w:themeColor="text1"/>
              </w:rPr>
            </w:pPr>
            <w:r w:rsidRPr="00132861">
              <w:rPr>
                <w:rFonts w:cs="Arial"/>
                <w:color w:val="000000" w:themeColor="text1"/>
              </w:rPr>
              <w:t xml:space="preserve">Exposición de la síntesis de la investigación individual </w:t>
            </w:r>
            <w:r w:rsidRPr="00132861">
              <w:rPr>
                <w:rFonts w:cs="Arial"/>
                <w:color w:val="000000" w:themeColor="text1"/>
              </w:rPr>
              <w:lastRenderedPageBreak/>
              <w:t>(monografía) sobre el tema escogido, seguida de un debate y una retroalimentación grupal en un encuentro sincrónico</w:t>
            </w:r>
            <w:r>
              <w:rPr>
                <w:rFonts w:cs="Arial"/>
                <w:color w:val="000000" w:themeColor="text1"/>
              </w:rPr>
              <w:t xml:space="preserve"> virtual</w:t>
            </w:r>
            <w:r w:rsidRPr="00132861">
              <w:rPr>
                <w:rFonts w:cs="Arial"/>
                <w:color w:val="000000" w:themeColor="text1"/>
              </w:rPr>
              <w:t xml:space="preserve">. </w:t>
            </w:r>
          </w:p>
        </w:tc>
      </w:tr>
      <w:tr w:rsidR="00484BB1" w:rsidRPr="00132861" w14:paraId="018BA0A4" w14:textId="77777777" w:rsidTr="00C574A6">
        <w:trPr>
          <w:jc w:val="center"/>
        </w:trPr>
        <w:tc>
          <w:tcPr>
            <w:tcW w:w="1271" w:type="dxa"/>
          </w:tcPr>
          <w:p w14:paraId="15EBA9FD" w14:textId="77777777" w:rsidR="00484BB1" w:rsidRPr="00132861" w:rsidRDefault="00484BB1" w:rsidP="00660963">
            <w:pPr>
              <w:jc w:val="center"/>
              <w:rPr>
                <w:rFonts w:cs="Arial"/>
                <w:color w:val="000000" w:themeColor="text1"/>
              </w:rPr>
            </w:pPr>
            <w:r w:rsidRPr="00132861">
              <w:rPr>
                <w:rFonts w:cs="Arial"/>
                <w:color w:val="000000" w:themeColor="text1"/>
              </w:rPr>
              <w:lastRenderedPageBreak/>
              <w:t>14</w:t>
            </w:r>
          </w:p>
          <w:p w14:paraId="0CE511E6" w14:textId="77777777" w:rsidR="00484BB1" w:rsidRPr="00132861" w:rsidRDefault="00484BB1" w:rsidP="00660963">
            <w:pPr>
              <w:jc w:val="center"/>
              <w:rPr>
                <w:rFonts w:cs="Arial"/>
                <w:color w:val="FF0000"/>
              </w:rPr>
            </w:pPr>
          </w:p>
        </w:tc>
        <w:tc>
          <w:tcPr>
            <w:tcW w:w="2410" w:type="dxa"/>
          </w:tcPr>
          <w:p w14:paraId="4AEC66DE" w14:textId="77777777" w:rsidR="00484BB1" w:rsidRPr="002855B0"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5: Aportes de la psicología a la pastoral</w:t>
            </w:r>
          </w:p>
          <w:p w14:paraId="6A3322F8"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46D17982"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a. Situaciones emocionales de frecuente atención pastoral</w:t>
            </w:r>
          </w:p>
          <w:p w14:paraId="6D2F3BE7"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4819F84A"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b. Caracterización de crisis socioemocionales</w:t>
            </w:r>
          </w:p>
          <w:p w14:paraId="275713F7" w14:textId="77777777" w:rsidR="00484BB1" w:rsidRPr="00614214" w:rsidRDefault="00484BB1" w:rsidP="00704749">
            <w:pPr>
              <w:tabs>
                <w:tab w:val="left" w:pos="851"/>
              </w:tabs>
              <w:rPr>
                <w:rFonts w:cs="Arial"/>
                <w:strike/>
              </w:rPr>
            </w:pPr>
          </w:p>
        </w:tc>
        <w:tc>
          <w:tcPr>
            <w:tcW w:w="2977" w:type="dxa"/>
          </w:tcPr>
          <w:p w14:paraId="52A59F7B" w14:textId="77777777" w:rsidR="00484BB1" w:rsidRDefault="00484BB1" w:rsidP="006014BB">
            <w:pPr>
              <w:rPr>
                <w:rFonts w:cs="Arial"/>
                <w:color w:val="000000" w:themeColor="text1"/>
              </w:rPr>
            </w:pPr>
            <w:r>
              <w:rPr>
                <w:rFonts w:cs="Arial"/>
                <w:color w:val="0070C0"/>
              </w:rPr>
              <w:t>Ruta de aprendizaje</w:t>
            </w:r>
          </w:p>
          <w:p w14:paraId="36E406BA" w14:textId="77777777" w:rsidR="00484BB1" w:rsidRDefault="00484BB1" w:rsidP="006014BB">
            <w:pPr>
              <w:rPr>
                <w:rFonts w:cs="Arial"/>
                <w:color w:val="000000" w:themeColor="text1"/>
              </w:rPr>
            </w:pPr>
          </w:p>
          <w:p w14:paraId="64E2EDA0" w14:textId="77777777" w:rsidR="00484BB1" w:rsidRPr="00346CCD" w:rsidRDefault="00484BB1" w:rsidP="00346CCD">
            <w:pPr>
              <w:spacing w:after="120"/>
              <w:rPr>
                <w:rFonts w:cs="Arial"/>
                <w:color w:val="0070C0"/>
              </w:rPr>
            </w:pPr>
            <w:r w:rsidRPr="00132861">
              <w:rPr>
                <w:rFonts w:cs="Arial"/>
                <w:color w:val="000000" w:themeColor="text1"/>
              </w:rPr>
              <w:t xml:space="preserve">Baltodano Arróliga, Sara. “Acompañamiento pastoral en medio de la pobreza”. En </w:t>
            </w:r>
            <w:r w:rsidRPr="00132861">
              <w:rPr>
                <w:rFonts w:cs="Arial"/>
                <w:i/>
                <w:color w:val="000000" w:themeColor="text1"/>
              </w:rPr>
              <w:t xml:space="preserve">Psicología, pastoral y pobreza, </w:t>
            </w:r>
            <w:r w:rsidRPr="00132861">
              <w:rPr>
                <w:rFonts w:cs="Arial"/>
                <w:color w:val="000000" w:themeColor="text1"/>
              </w:rPr>
              <w:t xml:space="preserve">106-130. San José: Editorial SEBILA, 2003. </w:t>
            </w:r>
            <w:r w:rsidRPr="00346CCD">
              <w:rPr>
                <w:rFonts w:cs="Arial"/>
                <w:color w:val="0070C0"/>
              </w:rPr>
              <w:t>(clásico, última edición)</w:t>
            </w:r>
          </w:p>
          <w:p w14:paraId="70C30E14" w14:textId="77777777" w:rsidR="00484BB1" w:rsidRDefault="00484BB1" w:rsidP="006014BB">
            <w:pPr>
              <w:rPr>
                <w:rFonts w:cs="Arial"/>
                <w:color w:val="000000" w:themeColor="text1"/>
              </w:rPr>
            </w:pPr>
          </w:p>
          <w:p w14:paraId="0600183E" w14:textId="77777777" w:rsidR="00484BB1" w:rsidRDefault="00484BB1" w:rsidP="006014BB">
            <w:pPr>
              <w:rPr>
                <w:rFonts w:cs="Arial"/>
                <w:b/>
                <w:color w:val="0070C0"/>
              </w:rPr>
            </w:pPr>
            <w:r w:rsidRPr="0012351F">
              <w:rPr>
                <w:rFonts w:cs="Arial"/>
                <w:b/>
                <w:color w:val="0070C0"/>
              </w:rPr>
              <w:t>Material complementario</w:t>
            </w:r>
          </w:p>
          <w:p w14:paraId="4CAEC97B" w14:textId="77777777" w:rsidR="00484BB1" w:rsidRDefault="00484BB1" w:rsidP="006014BB">
            <w:pPr>
              <w:rPr>
                <w:rFonts w:cs="Arial"/>
                <w:b/>
                <w:color w:val="0070C0"/>
              </w:rPr>
            </w:pPr>
          </w:p>
          <w:p w14:paraId="68744E0C" w14:textId="77777777" w:rsidR="00484BB1" w:rsidRDefault="00484BB1" w:rsidP="00346CCD">
            <w:pPr>
              <w:rPr>
                <w:rFonts w:cs="Arial"/>
                <w:bCs/>
                <w:color w:val="0070C0"/>
              </w:rPr>
            </w:pPr>
            <w:r>
              <w:rPr>
                <w:rFonts w:cs="Arial"/>
                <w:bCs/>
                <w:color w:val="0070C0"/>
              </w:rPr>
              <w:t xml:space="preserve">Guía para la participación mediante la herramienta Big Blue </w:t>
            </w:r>
            <w:proofErr w:type="spellStart"/>
            <w:r>
              <w:rPr>
                <w:rFonts w:cs="Arial"/>
                <w:bCs/>
                <w:color w:val="0070C0"/>
              </w:rPr>
              <w:t>Button</w:t>
            </w:r>
            <w:proofErr w:type="spellEnd"/>
            <w:r>
              <w:rPr>
                <w:rFonts w:cs="Arial"/>
                <w:bCs/>
                <w:color w:val="0070C0"/>
              </w:rPr>
              <w:t xml:space="preserve"> en la plataforma Moodle</w:t>
            </w:r>
          </w:p>
          <w:p w14:paraId="50E2FE72" w14:textId="77777777" w:rsidR="00484BB1" w:rsidRPr="00132861" w:rsidRDefault="00484BB1" w:rsidP="00346CCD">
            <w:pPr>
              <w:rPr>
                <w:rFonts w:cs="Arial"/>
                <w:strike/>
                <w:color w:val="000000" w:themeColor="text1"/>
              </w:rPr>
            </w:pPr>
          </w:p>
        </w:tc>
        <w:tc>
          <w:tcPr>
            <w:tcW w:w="3118" w:type="dxa"/>
          </w:tcPr>
          <w:p w14:paraId="2F483E52" w14:textId="77777777" w:rsidR="00484BB1" w:rsidRPr="00132861" w:rsidRDefault="00484BB1" w:rsidP="00484BB1">
            <w:pPr>
              <w:pStyle w:val="Prrafodelista"/>
              <w:numPr>
                <w:ilvl w:val="0"/>
                <w:numId w:val="47"/>
              </w:numPr>
              <w:spacing w:line="240" w:lineRule="auto"/>
              <w:ind w:left="193" w:hanging="218"/>
              <w:rPr>
                <w:rFonts w:asciiTheme="minorHAnsi" w:hAnsiTheme="minorHAnsi" w:cs="Arial"/>
                <w:b/>
                <w:color w:val="000000" w:themeColor="text1"/>
              </w:rPr>
            </w:pPr>
            <w:r w:rsidRPr="00132861">
              <w:rPr>
                <w:rFonts w:asciiTheme="minorHAnsi" w:hAnsiTheme="minorHAnsi" w:cs="Arial"/>
                <w:color w:val="000000" w:themeColor="text1"/>
              </w:rPr>
              <w:t>Exposición de la síntesis de la investigación individual (monografía) sobre el tema escogido, seguida de un debate y una retroalimentación grupal en un encuentro sincrónico</w:t>
            </w:r>
            <w:r>
              <w:rPr>
                <w:rFonts w:asciiTheme="minorHAnsi" w:hAnsiTheme="minorHAnsi" w:cs="Arial"/>
                <w:color w:val="000000" w:themeColor="text1"/>
              </w:rPr>
              <w:t xml:space="preserve"> virtual</w:t>
            </w:r>
            <w:r w:rsidRPr="00132861">
              <w:rPr>
                <w:rFonts w:asciiTheme="minorHAnsi" w:hAnsiTheme="minorHAnsi" w:cs="Arial"/>
                <w:color w:val="000000" w:themeColor="text1"/>
              </w:rPr>
              <w:t>.</w:t>
            </w:r>
          </w:p>
        </w:tc>
      </w:tr>
      <w:tr w:rsidR="00484BB1" w:rsidRPr="00E34496" w14:paraId="03628F66" w14:textId="77777777" w:rsidTr="00C574A6">
        <w:trPr>
          <w:jc w:val="center"/>
        </w:trPr>
        <w:tc>
          <w:tcPr>
            <w:tcW w:w="1271" w:type="dxa"/>
          </w:tcPr>
          <w:p w14:paraId="649E66AD" w14:textId="77777777" w:rsidR="00484BB1" w:rsidRPr="00132861" w:rsidRDefault="00484BB1" w:rsidP="00660963">
            <w:pPr>
              <w:jc w:val="center"/>
              <w:rPr>
                <w:rFonts w:cs="Arial"/>
                <w:color w:val="000000" w:themeColor="text1"/>
              </w:rPr>
            </w:pPr>
            <w:r w:rsidRPr="00132861">
              <w:rPr>
                <w:rFonts w:cs="Arial"/>
                <w:color w:val="000000" w:themeColor="text1"/>
              </w:rPr>
              <w:t>15</w:t>
            </w:r>
          </w:p>
          <w:p w14:paraId="2BD5F668" w14:textId="77777777" w:rsidR="00484BB1" w:rsidRPr="00132861" w:rsidRDefault="00484BB1" w:rsidP="001678D7">
            <w:pPr>
              <w:jc w:val="center"/>
              <w:rPr>
                <w:rFonts w:cs="Arial"/>
                <w:color w:val="000000" w:themeColor="text1"/>
              </w:rPr>
            </w:pPr>
          </w:p>
        </w:tc>
        <w:tc>
          <w:tcPr>
            <w:tcW w:w="2410" w:type="dxa"/>
          </w:tcPr>
          <w:p w14:paraId="4A5AC6E0" w14:textId="77777777" w:rsidR="00484BB1" w:rsidRPr="002855B0"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b/>
                <w:bCs/>
                <w:sz w:val="22"/>
                <w:szCs w:val="22"/>
              </w:rPr>
            </w:pPr>
            <w:r w:rsidRPr="002855B0">
              <w:rPr>
                <w:rFonts w:asciiTheme="minorHAnsi" w:hAnsiTheme="minorHAnsi" w:cs="Arial"/>
                <w:b/>
                <w:bCs/>
                <w:sz w:val="22"/>
                <w:szCs w:val="22"/>
              </w:rPr>
              <w:t>Unidad 5: Aportes de la psicología a la pastoral</w:t>
            </w:r>
          </w:p>
          <w:p w14:paraId="178C6A13"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00CE278F"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lastRenderedPageBreak/>
              <w:t>a. Situaciones emocionales de frecuente atención pastoral</w:t>
            </w:r>
          </w:p>
          <w:p w14:paraId="7FD04574"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p>
          <w:p w14:paraId="74056F4C" w14:textId="77777777" w:rsidR="00484BB1" w:rsidRPr="00614214" w:rsidRDefault="00484BB1" w:rsidP="009B1FA2">
            <w:pPr>
              <w:pStyle w:val="Textodebloque"/>
              <w:pBdr>
                <w:top w:val="none" w:sz="0" w:space="0" w:color="auto"/>
                <w:left w:val="none" w:sz="0" w:space="0" w:color="auto"/>
                <w:bottom w:val="none" w:sz="0" w:space="0" w:color="auto"/>
                <w:right w:val="none" w:sz="0" w:space="0" w:color="auto"/>
              </w:pBdr>
              <w:shd w:val="clear" w:color="auto" w:fill="auto"/>
              <w:tabs>
                <w:tab w:val="left" w:pos="851"/>
              </w:tabs>
              <w:ind w:left="0" w:right="0"/>
              <w:jc w:val="left"/>
              <w:rPr>
                <w:rFonts w:asciiTheme="minorHAnsi" w:hAnsiTheme="minorHAnsi" w:cs="Arial"/>
                <w:sz w:val="22"/>
                <w:szCs w:val="22"/>
              </w:rPr>
            </w:pPr>
            <w:r w:rsidRPr="00614214">
              <w:rPr>
                <w:rFonts w:asciiTheme="minorHAnsi" w:hAnsiTheme="minorHAnsi" w:cs="Arial"/>
                <w:sz w:val="22"/>
                <w:szCs w:val="22"/>
              </w:rPr>
              <w:t>b. Caracterización de crisis socioemocionales</w:t>
            </w:r>
          </w:p>
          <w:p w14:paraId="0F8B9B3E" w14:textId="77777777" w:rsidR="00484BB1" w:rsidRDefault="00484BB1" w:rsidP="00704749">
            <w:pPr>
              <w:tabs>
                <w:tab w:val="left" w:pos="851"/>
              </w:tabs>
              <w:rPr>
                <w:rFonts w:cs="Arial"/>
              </w:rPr>
            </w:pPr>
          </w:p>
          <w:p w14:paraId="79CF4AE6" w14:textId="77777777" w:rsidR="00484BB1" w:rsidRPr="00614214" w:rsidRDefault="00484BB1" w:rsidP="00704749">
            <w:pPr>
              <w:tabs>
                <w:tab w:val="left" w:pos="851"/>
              </w:tabs>
              <w:rPr>
                <w:rFonts w:cs="Arial"/>
              </w:rPr>
            </w:pPr>
          </w:p>
        </w:tc>
        <w:tc>
          <w:tcPr>
            <w:tcW w:w="2977" w:type="dxa"/>
          </w:tcPr>
          <w:p w14:paraId="20794E4C" w14:textId="77777777" w:rsidR="00484BB1" w:rsidRDefault="00484BB1" w:rsidP="00B25BC0">
            <w:pPr>
              <w:spacing w:after="120"/>
              <w:rPr>
                <w:rFonts w:cs="Arial"/>
              </w:rPr>
            </w:pPr>
            <w:r>
              <w:rPr>
                <w:rFonts w:cs="Arial"/>
                <w:color w:val="0070C0"/>
              </w:rPr>
              <w:lastRenderedPageBreak/>
              <w:t>Ruta de aprendizaje</w:t>
            </w:r>
          </w:p>
          <w:p w14:paraId="68BD6D15" w14:textId="77777777" w:rsidR="00484BB1" w:rsidRPr="00346CCD" w:rsidRDefault="00484BB1" w:rsidP="00346CCD">
            <w:pPr>
              <w:spacing w:after="120"/>
              <w:rPr>
                <w:rFonts w:cs="Arial"/>
                <w:color w:val="0070C0"/>
              </w:rPr>
            </w:pPr>
            <w:r w:rsidRPr="00132861">
              <w:rPr>
                <w:rFonts w:cs="Arial"/>
              </w:rPr>
              <w:t xml:space="preserve">Mora Guevara, Edwin José. “Espiritualidad y </w:t>
            </w:r>
            <w:r w:rsidRPr="00132861">
              <w:rPr>
                <w:rFonts w:cs="Arial"/>
              </w:rPr>
              <w:lastRenderedPageBreak/>
              <w:t xml:space="preserve">afrontamiento”. En </w:t>
            </w:r>
            <w:r w:rsidRPr="00132861">
              <w:rPr>
                <w:rFonts w:cs="Arial"/>
                <w:i/>
              </w:rPr>
              <w:t>Consolando en la enfermedad</w:t>
            </w:r>
            <w:r w:rsidRPr="00132861">
              <w:rPr>
                <w:rFonts w:cs="Arial"/>
              </w:rPr>
              <w:t xml:space="preserve">, 41-59. San José: Editorial SEBILA, 2009. </w:t>
            </w:r>
            <w:r w:rsidRPr="00346CCD">
              <w:rPr>
                <w:rFonts w:cs="Arial"/>
                <w:color w:val="0070C0"/>
              </w:rPr>
              <w:t>(clásico, última edición)</w:t>
            </w:r>
          </w:p>
          <w:p w14:paraId="460EB6AA" w14:textId="77777777" w:rsidR="00484BB1" w:rsidRPr="00346CCD" w:rsidRDefault="00484BB1" w:rsidP="00346CCD">
            <w:pPr>
              <w:spacing w:after="120"/>
              <w:rPr>
                <w:rFonts w:cs="Arial"/>
                <w:color w:val="0070C0"/>
              </w:rPr>
            </w:pPr>
            <w:proofErr w:type="spellStart"/>
            <w:r w:rsidRPr="00132861">
              <w:rPr>
                <w:rFonts w:cs="Arial"/>
              </w:rPr>
              <w:t>Schipani</w:t>
            </w:r>
            <w:proofErr w:type="spellEnd"/>
            <w:r w:rsidRPr="00132861">
              <w:rPr>
                <w:rFonts w:cs="Arial"/>
              </w:rPr>
              <w:t xml:space="preserve"> S., Daniel. “Acompañamiento en tiempos de pérdida y duelo”. En </w:t>
            </w:r>
            <w:r w:rsidRPr="00132861">
              <w:rPr>
                <w:rFonts w:cs="Arial"/>
                <w:i/>
              </w:rPr>
              <w:t xml:space="preserve">Manual de Psicología Pastoral: fundamentos y principios de acompañamiento, </w:t>
            </w:r>
            <w:r w:rsidRPr="00132861">
              <w:rPr>
                <w:rFonts w:cs="Arial"/>
              </w:rPr>
              <w:t>147-170. Cuba: Seminario Evangélico de Teología, 2016.</w:t>
            </w:r>
            <w:r>
              <w:rPr>
                <w:rFonts w:cs="Arial"/>
              </w:rPr>
              <w:t xml:space="preserve"> </w:t>
            </w:r>
            <w:r w:rsidRPr="00346CCD">
              <w:rPr>
                <w:rFonts w:cs="Arial"/>
                <w:color w:val="0070C0"/>
              </w:rPr>
              <w:t>(clásico, última edición)</w:t>
            </w:r>
          </w:p>
          <w:p w14:paraId="3D827126" w14:textId="77777777" w:rsidR="00484BB1" w:rsidRDefault="00484BB1" w:rsidP="005E387E">
            <w:pPr>
              <w:spacing w:after="120"/>
              <w:rPr>
                <w:rFonts w:cs="Arial"/>
                <w:b/>
                <w:color w:val="0070C0"/>
              </w:rPr>
            </w:pPr>
            <w:r w:rsidRPr="0012351F">
              <w:rPr>
                <w:rFonts w:cs="Arial"/>
                <w:b/>
                <w:color w:val="0070C0"/>
              </w:rPr>
              <w:t>Material complementario</w:t>
            </w:r>
          </w:p>
          <w:p w14:paraId="503B8D07" w14:textId="77777777" w:rsidR="00484BB1" w:rsidRPr="000570FB" w:rsidRDefault="00484BB1" w:rsidP="005E387E">
            <w:pPr>
              <w:spacing w:after="120"/>
              <w:rPr>
                <w:rFonts w:cs="Arial"/>
                <w:bCs/>
              </w:rPr>
            </w:pPr>
            <w:r>
              <w:rPr>
                <w:rFonts w:cs="Arial"/>
                <w:bCs/>
                <w:color w:val="0070C0"/>
              </w:rPr>
              <w:t xml:space="preserve">Guía para la participación mediante la herramienta Big Blue </w:t>
            </w:r>
            <w:proofErr w:type="spellStart"/>
            <w:r>
              <w:rPr>
                <w:rFonts w:cs="Arial"/>
                <w:bCs/>
                <w:color w:val="0070C0"/>
              </w:rPr>
              <w:t>Button</w:t>
            </w:r>
            <w:proofErr w:type="spellEnd"/>
            <w:r>
              <w:rPr>
                <w:rFonts w:cs="Arial"/>
                <w:bCs/>
                <w:color w:val="0070C0"/>
              </w:rPr>
              <w:t xml:space="preserve"> en la plataforma Moodle</w:t>
            </w:r>
          </w:p>
          <w:p w14:paraId="179E37A9" w14:textId="77777777" w:rsidR="00484BB1" w:rsidRPr="00132861" w:rsidRDefault="00484BB1" w:rsidP="005E387E">
            <w:pPr>
              <w:spacing w:after="120"/>
              <w:rPr>
                <w:rFonts w:cs="Arial"/>
                <w:color w:val="FF0000"/>
              </w:rPr>
            </w:pPr>
          </w:p>
        </w:tc>
        <w:tc>
          <w:tcPr>
            <w:tcW w:w="3118" w:type="dxa"/>
          </w:tcPr>
          <w:p w14:paraId="2BCA1A60" w14:textId="77777777" w:rsidR="00484BB1" w:rsidRPr="00132861" w:rsidRDefault="00484BB1" w:rsidP="00484BB1">
            <w:pPr>
              <w:numPr>
                <w:ilvl w:val="0"/>
                <w:numId w:val="46"/>
              </w:numPr>
              <w:spacing w:after="0" w:line="240" w:lineRule="auto"/>
              <w:rPr>
                <w:rFonts w:eastAsia="Calibri" w:cs="Arial"/>
                <w:color w:val="000000" w:themeColor="text1"/>
              </w:rPr>
            </w:pPr>
            <w:r w:rsidRPr="00132861">
              <w:rPr>
                <w:rFonts w:cs="Arial"/>
                <w:color w:val="000000" w:themeColor="text1"/>
              </w:rPr>
              <w:lastRenderedPageBreak/>
              <w:t xml:space="preserve">Exposición de la síntesis de la investigación individual (monografía) sobre el tema escogido, seguida de un </w:t>
            </w:r>
            <w:r w:rsidRPr="00132861">
              <w:rPr>
                <w:rFonts w:cs="Arial"/>
                <w:color w:val="000000" w:themeColor="text1"/>
              </w:rPr>
              <w:lastRenderedPageBreak/>
              <w:t>debate y una retroalimentación grupal en un encuentro sincrónico</w:t>
            </w:r>
            <w:r>
              <w:rPr>
                <w:rFonts w:cs="Arial"/>
                <w:color w:val="000000" w:themeColor="text1"/>
              </w:rPr>
              <w:t xml:space="preserve"> virtual</w:t>
            </w:r>
            <w:r w:rsidRPr="00132861">
              <w:rPr>
                <w:rFonts w:cs="Arial"/>
                <w:color w:val="000000" w:themeColor="text1"/>
              </w:rPr>
              <w:t>.</w:t>
            </w:r>
          </w:p>
        </w:tc>
      </w:tr>
    </w:tbl>
    <w:p w14:paraId="7723EA35" w14:textId="77777777" w:rsidR="00484BB1" w:rsidRDefault="00484BB1" w:rsidP="00196AF2">
      <w:pPr>
        <w:jc w:val="both"/>
        <w:rPr>
          <w:rFonts w:cstheme="minorHAnsi"/>
          <w:b/>
          <w:bCs/>
          <w:color w:val="000000" w:themeColor="text1"/>
        </w:rPr>
      </w:pPr>
    </w:p>
    <w:p w14:paraId="009DD7FC" w14:textId="77777777" w:rsidR="00484BB1" w:rsidRDefault="00484BB1" w:rsidP="00196AF2">
      <w:pPr>
        <w:jc w:val="both"/>
        <w:rPr>
          <w:rFonts w:cstheme="minorHAnsi"/>
          <w:b/>
          <w:bCs/>
          <w:color w:val="000000" w:themeColor="text1"/>
        </w:rPr>
      </w:pPr>
      <w:r>
        <w:rPr>
          <w:rFonts w:cstheme="minorHAnsi"/>
          <w:b/>
          <w:bCs/>
          <w:color w:val="000000" w:themeColor="text1"/>
        </w:rPr>
        <w:t>IX. Distribución de tiempo semanal</w:t>
      </w:r>
    </w:p>
    <w:p w14:paraId="427388F5" w14:textId="77777777" w:rsidR="00484BB1" w:rsidRDefault="00484BB1" w:rsidP="00196AF2">
      <w:pPr>
        <w:jc w:val="both"/>
        <w:rPr>
          <w:rFonts w:cstheme="minorHAnsi"/>
          <w:bCs/>
          <w:color w:val="000000" w:themeColor="text1"/>
        </w:rPr>
      </w:pPr>
      <w:r w:rsidRPr="00672BFF">
        <w:rPr>
          <w:rFonts w:cstheme="minorHAnsi"/>
          <w:bCs/>
          <w:color w:val="000000" w:themeColor="text1"/>
        </w:rPr>
        <w:t>Al ser este un curso im</w:t>
      </w:r>
      <w:r>
        <w:rPr>
          <w:rFonts w:cstheme="minorHAnsi"/>
          <w:bCs/>
          <w:color w:val="000000" w:themeColor="text1"/>
        </w:rPr>
        <w:t>partido en la modalidad virtual</w:t>
      </w:r>
      <w:r w:rsidRPr="00672BFF">
        <w:rPr>
          <w:rFonts w:cstheme="minorHAnsi"/>
          <w:bCs/>
          <w:color w:val="000000" w:themeColor="text1"/>
        </w:rPr>
        <w:t xml:space="preserve"> no se requiere la asistencia a clases presenciales.  </w:t>
      </w:r>
      <w:r>
        <w:rPr>
          <w:rFonts w:cstheme="minorHAnsi"/>
          <w:bCs/>
          <w:color w:val="000000" w:themeColor="text1"/>
        </w:rPr>
        <w:t>Por ello, cada semana se asignan actividades que los y las estudiantes deben realizar para promover el diálogo con los contenidos y la asimilación de los temas a través de lecturas críticas, análisis, tareas, reseñas, discusiones en foros o trabajos colaborativos. Debe considerarse que, al tener este curso asignados 3 créditos, se debe invertir 9 horas de trabajo por semana. La distribución de tiempos es la siguiente:</w:t>
      </w:r>
    </w:p>
    <w:p w14:paraId="6559F180" w14:textId="77777777" w:rsidR="00484BB1" w:rsidRDefault="00484BB1" w:rsidP="00242F50">
      <w:pPr>
        <w:ind w:left="-567"/>
        <w:jc w:val="both"/>
        <w:rPr>
          <w:rFonts w:cstheme="minorHAnsi"/>
          <w:bCs/>
          <w:color w:val="000000" w:themeColor="text1"/>
        </w:rPr>
      </w:pPr>
    </w:p>
    <w:tbl>
      <w:tblPr>
        <w:tblStyle w:val="Tablaconcuadrcula"/>
        <w:tblW w:w="8789" w:type="dxa"/>
        <w:tblInd w:w="108" w:type="dxa"/>
        <w:tblLook w:val="04A0" w:firstRow="1" w:lastRow="0" w:firstColumn="1" w:lastColumn="0" w:noHBand="0" w:noVBand="1"/>
      </w:tblPr>
      <w:tblGrid>
        <w:gridCol w:w="1872"/>
        <w:gridCol w:w="1134"/>
        <w:gridCol w:w="5783"/>
      </w:tblGrid>
      <w:tr w:rsidR="00484BB1" w:rsidRPr="00262D1E" w14:paraId="47F0DBE8" w14:textId="77777777" w:rsidTr="00091D70">
        <w:tc>
          <w:tcPr>
            <w:tcW w:w="1872" w:type="dxa"/>
            <w:vAlign w:val="center"/>
          </w:tcPr>
          <w:p w14:paraId="4692A047" w14:textId="77777777" w:rsidR="00484BB1" w:rsidRPr="00262D1E" w:rsidRDefault="00484BB1" w:rsidP="00757DB6">
            <w:pPr>
              <w:jc w:val="center"/>
              <w:rPr>
                <w:rFonts w:cstheme="minorHAnsi"/>
                <w:b/>
                <w:bCs/>
                <w:color w:val="000000" w:themeColor="text1"/>
              </w:rPr>
            </w:pPr>
            <w:r>
              <w:rPr>
                <w:rFonts w:cstheme="minorHAnsi"/>
                <w:b/>
                <w:bCs/>
                <w:color w:val="000000" w:themeColor="text1"/>
              </w:rPr>
              <w:t>Tipo de horas (categoría)</w:t>
            </w:r>
          </w:p>
        </w:tc>
        <w:tc>
          <w:tcPr>
            <w:tcW w:w="1134" w:type="dxa"/>
          </w:tcPr>
          <w:p w14:paraId="021BA966" w14:textId="77777777" w:rsidR="00484BB1" w:rsidRPr="00262D1E" w:rsidRDefault="00484BB1" w:rsidP="00FF016B">
            <w:pPr>
              <w:jc w:val="center"/>
              <w:rPr>
                <w:rFonts w:cstheme="minorHAnsi"/>
                <w:b/>
                <w:bCs/>
                <w:color w:val="000000" w:themeColor="text1"/>
              </w:rPr>
            </w:pPr>
            <w:r w:rsidRPr="00262D1E">
              <w:rPr>
                <w:rFonts w:cstheme="minorHAnsi"/>
                <w:b/>
                <w:bCs/>
                <w:color w:val="000000" w:themeColor="text1"/>
              </w:rPr>
              <w:t>Horas por semana</w:t>
            </w:r>
          </w:p>
        </w:tc>
        <w:tc>
          <w:tcPr>
            <w:tcW w:w="5783" w:type="dxa"/>
            <w:vAlign w:val="center"/>
          </w:tcPr>
          <w:p w14:paraId="7A3E6D37" w14:textId="77777777" w:rsidR="00484BB1" w:rsidRPr="00262D1E" w:rsidRDefault="00484BB1" w:rsidP="006F0498">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484BB1" w:rsidRPr="00262D1E" w14:paraId="05C2C47F" w14:textId="77777777" w:rsidTr="00F618F5">
        <w:trPr>
          <w:trHeight w:val="891"/>
        </w:trPr>
        <w:tc>
          <w:tcPr>
            <w:tcW w:w="1872" w:type="dxa"/>
            <w:vAlign w:val="center"/>
          </w:tcPr>
          <w:p w14:paraId="7E3126AC" w14:textId="77777777" w:rsidR="00484BB1" w:rsidRDefault="00484BB1" w:rsidP="00757DB6">
            <w:pPr>
              <w:jc w:val="center"/>
              <w:rPr>
                <w:rFonts w:cstheme="minorHAnsi"/>
                <w:color w:val="000000" w:themeColor="text1"/>
              </w:rPr>
            </w:pPr>
            <w:r w:rsidRPr="008E3752">
              <w:rPr>
                <w:rFonts w:cstheme="minorHAnsi"/>
                <w:color w:val="000000" w:themeColor="text1"/>
              </w:rPr>
              <w:t xml:space="preserve">Horas </w:t>
            </w:r>
            <w:r>
              <w:rPr>
                <w:rFonts w:cstheme="minorHAnsi"/>
                <w:color w:val="000000" w:themeColor="text1"/>
              </w:rPr>
              <w:t xml:space="preserve">de Estudio Individual </w:t>
            </w:r>
          </w:p>
          <w:p w14:paraId="3EA59B0E" w14:textId="77777777" w:rsidR="00484BB1" w:rsidRPr="008E3752" w:rsidRDefault="00484BB1" w:rsidP="00757DB6">
            <w:pPr>
              <w:jc w:val="center"/>
              <w:rPr>
                <w:rFonts w:cstheme="minorHAnsi"/>
                <w:color w:val="000000" w:themeColor="text1"/>
              </w:rPr>
            </w:pPr>
            <w:r>
              <w:rPr>
                <w:rFonts w:cstheme="minorHAnsi"/>
                <w:color w:val="000000" w:themeColor="text1"/>
              </w:rPr>
              <w:t>(HEI)</w:t>
            </w:r>
          </w:p>
        </w:tc>
        <w:tc>
          <w:tcPr>
            <w:tcW w:w="1134" w:type="dxa"/>
            <w:vAlign w:val="center"/>
          </w:tcPr>
          <w:p w14:paraId="723A4A9D" w14:textId="77777777" w:rsidR="00484BB1" w:rsidRPr="008E3752" w:rsidRDefault="00484BB1" w:rsidP="008E3752">
            <w:pPr>
              <w:jc w:val="center"/>
              <w:rPr>
                <w:rFonts w:cstheme="minorHAnsi"/>
                <w:color w:val="000000" w:themeColor="text1"/>
              </w:rPr>
            </w:pPr>
            <w:r w:rsidRPr="008E3752">
              <w:rPr>
                <w:rFonts w:cstheme="minorHAnsi"/>
                <w:color w:val="000000" w:themeColor="text1"/>
              </w:rPr>
              <w:t>3</w:t>
            </w:r>
          </w:p>
        </w:tc>
        <w:tc>
          <w:tcPr>
            <w:tcW w:w="5783" w:type="dxa"/>
            <w:vAlign w:val="center"/>
          </w:tcPr>
          <w:p w14:paraId="414D63C5" w14:textId="77777777" w:rsidR="00484BB1" w:rsidRPr="008E3752" w:rsidRDefault="00484BB1" w:rsidP="00484BB1">
            <w:pPr>
              <w:pStyle w:val="Prrafodelista"/>
              <w:numPr>
                <w:ilvl w:val="0"/>
                <w:numId w:val="49"/>
              </w:numPr>
              <w:ind w:left="351"/>
              <w:rPr>
                <w:rFonts w:asciiTheme="minorHAnsi" w:hAnsiTheme="minorHAnsi" w:cstheme="minorHAnsi"/>
                <w:b/>
                <w:bCs/>
                <w:color w:val="000000" w:themeColor="text1"/>
              </w:rPr>
            </w:pPr>
            <w:r>
              <w:rPr>
                <w:rFonts w:asciiTheme="minorHAnsi" w:hAnsiTheme="minorHAnsi" w:cstheme="minorHAnsi"/>
                <w:color w:val="000000" w:themeColor="text1"/>
              </w:rPr>
              <w:t>Lectura de los textos (materiales en forma digital).</w:t>
            </w:r>
          </w:p>
          <w:p w14:paraId="50F9446C" w14:textId="77777777" w:rsidR="00484BB1" w:rsidRPr="008E3752" w:rsidRDefault="00484BB1" w:rsidP="00484BB1">
            <w:pPr>
              <w:pStyle w:val="Prrafodelista"/>
              <w:numPr>
                <w:ilvl w:val="0"/>
                <w:numId w:val="49"/>
              </w:numPr>
              <w:ind w:left="351"/>
              <w:rPr>
                <w:rFonts w:asciiTheme="minorHAnsi" w:hAnsiTheme="minorHAnsi" w:cstheme="minorHAnsi"/>
                <w:b/>
                <w:bCs/>
                <w:color w:val="000000" w:themeColor="text1"/>
              </w:rPr>
            </w:pPr>
            <w:r>
              <w:rPr>
                <w:rFonts w:asciiTheme="minorHAnsi" w:hAnsiTheme="minorHAnsi" w:cstheme="minorHAnsi"/>
                <w:color w:val="000000" w:themeColor="text1"/>
              </w:rPr>
              <w:t>Análisis de lecturas e investigación por cuenta propia.</w:t>
            </w:r>
          </w:p>
        </w:tc>
      </w:tr>
      <w:tr w:rsidR="00484BB1" w14:paraId="5193936F" w14:textId="77777777" w:rsidTr="00A8093A">
        <w:trPr>
          <w:trHeight w:val="2109"/>
        </w:trPr>
        <w:tc>
          <w:tcPr>
            <w:tcW w:w="1872" w:type="dxa"/>
            <w:vAlign w:val="center"/>
          </w:tcPr>
          <w:p w14:paraId="1BF8E6C6" w14:textId="77777777" w:rsidR="00484BB1" w:rsidRDefault="00484BB1" w:rsidP="006F74C7">
            <w:pPr>
              <w:jc w:val="center"/>
              <w:rPr>
                <w:rFonts w:cstheme="minorHAnsi"/>
                <w:bCs/>
                <w:color w:val="000000" w:themeColor="text1"/>
              </w:rPr>
            </w:pPr>
            <w:r>
              <w:rPr>
                <w:rFonts w:cstheme="minorHAnsi"/>
                <w:bCs/>
                <w:color w:val="000000" w:themeColor="text1"/>
              </w:rPr>
              <w:lastRenderedPageBreak/>
              <w:t>Horas de Trabajo Colaborativo (HTC)</w:t>
            </w:r>
          </w:p>
        </w:tc>
        <w:tc>
          <w:tcPr>
            <w:tcW w:w="1134" w:type="dxa"/>
            <w:vAlign w:val="center"/>
          </w:tcPr>
          <w:p w14:paraId="36B9FAF8" w14:textId="77777777" w:rsidR="00484BB1" w:rsidRDefault="00484BB1" w:rsidP="00C46A43">
            <w:pPr>
              <w:ind w:left="-108"/>
              <w:jc w:val="center"/>
              <w:rPr>
                <w:rFonts w:cstheme="minorHAnsi"/>
                <w:bCs/>
                <w:color w:val="000000" w:themeColor="text1"/>
              </w:rPr>
            </w:pPr>
            <w:r>
              <w:rPr>
                <w:rFonts w:cstheme="minorHAnsi"/>
                <w:bCs/>
                <w:color w:val="000000" w:themeColor="text1"/>
              </w:rPr>
              <w:t>2</w:t>
            </w:r>
          </w:p>
        </w:tc>
        <w:tc>
          <w:tcPr>
            <w:tcW w:w="5783" w:type="dxa"/>
          </w:tcPr>
          <w:p w14:paraId="17DDC90C"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sidRPr="0016507B">
              <w:rPr>
                <w:rFonts w:asciiTheme="minorHAnsi" w:hAnsiTheme="minorHAnsi" w:cstheme="minorHAnsi"/>
                <w:bCs/>
                <w:color w:val="000000" w:themeColor="text1"/>
              </w:rPr>
              <w:t>Participación en los foros</w:t>
            </w:r>
            <w:r>
              <w:rPr>
                <w:rFonts w:asciiTheme="minorHAnsi" w:hAnsiTheme="minorHAnsi" w:cstheme="minorHAnsi"/>
                <w:bCs/>
                <w:color w:val="000000" w:themeColor="text1"/>
              </w:rPr>
              <w:t xml:space="preserve"> de análisis grupal</w:t>
            </w:r>
            <w:r w:rsidRPr="0016507B">
              <w:rPr>
                <w:rFonts w:asciiTheme="minorHAnsi" w:hAnsiTheme="minorHAnsi" w:cstheme="minorHAnsi"/>
                <w:bCs/>
                <w:color w:val="000000" w:themeColor="text1"/>
              </w:rPr>
              <w:t xml:space="preserve"> (incluye aportes personales y réplicas a los demás estudiantes)</w:t>
            </w:r>
            <w:r>
              <w:rPr>
                <w:rFonts w:asciiTheme="minorHAnsi" w:hAnsiTheme="minorHAnsi" w:cstheme="minorHAnsi"/>
                <w:bCs/>
                <w:color w:val="000000" w:themeColor="text1"/>
              </w:rPr>
              <w:t>.</w:t>
            </w:r>
          </w:p>
          <w:p w14:paraId="327699BE"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p w14:paraId="0AF4D356"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la elaboración de un glosario.</w:t>
            </w:r>
          </w:p>
          <w:p w14:paraId="6D5C3E64"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el foro grupal para analizar las historias de vida.</w:t>
            </w:r>
          </w:p>
          <w:p w14:paraId="06D26C5B" w14:textId="77777777" w:rsidR="00484BB1" w:rsidRPr="000C1474"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Presentación virtual de la síntesis de la monografía final.</w:t>
            </w:r>
          </w:p>
        </w:tc>
      </w:tr>
      <w:tr w:rsidR="00484BB1" w14:paraId="18A5DF7F" w14:textId="77777777" w:rsidTr="008B2C87">
        <w:trPr>
          <w:trHeight w:val="3103"/>
        </w:trPr>
        <w:tc>
          <w:tcPr>
            <w:tcW w:w="1872" w:type="dxa"/>
            <w:vAlign w:val="center"/>
          </w:tcPr>
          <w:p w14:paraId="258BE1E4" w14:textId="77777777" w:rsidR="00484BB1" w:rsidRDefault="00484BB1" w:rsidP="006F74C7">
            <w:pPr>
              <w:jc w:val="center"/>
              <w:rPr>
                <w:rFonts w:cstheme="minorHAnsi"/>
                <w:bCs/>
                <w:color w:val="000000" w:themeColor="text1"/>
              </w:rPr>
            </w:pPr>
            <w:r>
              <w:rPr>
                <w:rFonts w:cstheme="minorHAnsi"/>
                <w:bCs/>
                <w:color w:val="000000" w:themeColor="text1"/>
              </w:rPr>
              <w:t>Horas de Producción Individual (HPI)</w:t>
            </w:r>
          </w:p>
        </w:tc>
        <w:tc>
          <w:tcPr>
            <w:tcW w:w="1134" w:type="dxa"/>
            <w:vAlign w:val="center"/>
          </w:tcPr>
          <w:p w14:paraId="0265B622" w14:textId="77777777" w:rsidR="00484BB1" w:rsidRDefault="00484BB1" w:rsidP="00C46A43">
            <w:pPr>
              <w:ind w:left="-108"/>
              <w:jc w:val="center"/>
              <w:rPr>
                <w:rFonts w:cstheme="minorHAnsi"/>
                <w:bCs/>
                <w:color w:val="000000" w:themeColor="text1"/>
              </w:rPr>
            </w:pPr>
            <w:r>
              <w:rPr>
                <w:rFonts w:cstheme="minorHAnsi"/>
                <w:bCs/>
                <w:color w:val="000000" w:themeColor="text1"/>
              </w:rPr>
              <w:t>4</w:t>
            </w:r>
          </w:p>
        </w:tc>
        <w:tc>
          <w:tcPr>
            <w:tcW w:w="5783" w:type="dxa"/>
          </w:tcPr>
          <w:p w14:paraId="1308E2B6"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cuadro sinóptico.</w:t>
            </w:r>
          </w:p>
          <w:p w14:paraId="56EE27FA"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Investigación sobre los componentes de la identidad.</w:t>
            </w:r>
          </w:p>
          <w:p w14:paraId="098073B8"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una reseña crítica de lectura.</w:t>
            </w:r>
          </w:p>
          <w:p w14:paraId="1FE421C7"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análisis comparativo.</w:t>
            </w:r>
          </w:p>
          <w:p w14:paraId="0DF09129"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ensayo comparativo sobre los modelos de crianza.</w:t>
            </w:r>
          </w:p>
          <w:p w14:paraId="60FD7868"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Observación de personas en diferentes etapas del desarrollo humano.</w:t>
            </w:r>
          </w:p>
          <w:p w14:paraId="7701158E"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ensayo crítico.</w:t>
            </w:r>
          </w:p>
          <w:p w14:paraId="7FA4D860" w14:textId="77777777" w:rsidR="00484BB1"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una historia de vida.</w:t>
            </w:r>
          </w:p>
          <w:p w14:paraId="720DDB60" w14:textId="77777777" w:rsidR="00484BB1" w:rsidRPr="0016507B" w:rsidRDefault="00484BB1" w:rsidP="00484BB1">
            <w:pPr>
              <w:pStyle w:val="Prrafodelista"/>
              <w:widowControl w:val="0"/>
              <w:numPr>
                <w:ilvl w:val="0"/>
                <w:numId w:val="48"/>
              </w:numPr>
              <w:overflowPunct w:val="0"/>
              <w:autoSpaceDE w:val="0"/>
              <w:autoSpaceDN w:val="0"/>
              <w:adjustRightInd w:val="0"/>
              <w:spacing w:after="0" w:line="240" w:lineRule="auto"/>
              <w:ind w:left="351"/>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una monografía final.</w:t>
            </w:r>
          </w:p>
        </w:tc>
      </w:tr>
      <w:tr w:rsidR="00484BB1" w:rsidRPr="00262D1E" w14:paraId="4830A9B8" w14:textId="77777777" w:rsidTr="00091D70">
        <w:tc>
          <w:tcPr>
            <w:tcW w:w="1872" w:type="dxa"/>
            <w:vAlign w:val="center"/>
          </w:tcPr>
          <w:p w14:paraId="2E7BDB16" w14:textId="77777777" w:rsidR="00484BB1" w:rsidRPr="00262D1E" w:rsidRDefault="00484BB1" w:rsidP="006F74C7">
            <w:pPr>
              <w:jc w:val="center"/>
              <w:rPr>
                <w:rFonts w:cstheme="minorHAnsi"/>
                <w:b/>
                <w:bCs/>
                <w:color w:val="000000" w:themeColor="text1"/>
              </w:rPr>
            </w:pPr>
            <w:r w:rsidRPr="00262D1E">
              <w:rPr>
                <w:rFonts w:cstheme="minorHAnsi"/>
                <w:b/>
                <w:bCs/>
                <w:color w:val="000000" w:themeColor="text1"/>
              </w:rPr>
              <w:t>Total</w:t>
            </w:r>
            <w:r>
              <w:rPr>
                <w:rFonts w:cstheme="minorHAnsi"/>
                <w:b/>
                <w:bCs/>
                <w:color w:val="000000" w:themeColor="text1"/>
              </w:rPr>
              <w:t xml:space="preserve"> de horas (TH)</w:t>
            </w:r>
          </w:p>
        </w:tc>
        <w:tc>
          <w:tcPr>
            <w:tcW w:w="1134" w:type="dxa"/>
          </w:tcPr>
          <w:p w14:paraId="6090AD90" w14:textId="77777777" w:rsidR="00484BB1" w:rsidRPr="00262D1E" w:rsidRDefault="00484BB1" w:rsidP="00FF016B">
            <w:pPr>
              <w:ind w:left="-108"/>
              <w:jc w:val="center"/>
              <w:rPr>
                <w:rFonts w:cstheme="minorHAnsi"/>
                <w:b/>
                <w:bCs/>
                <w:color w:val="000000" w:themeColor="text1"/>
              </w:rPr>
            </w:pPr>
            <w:r>
              <w:rPr>
                <w:rFonts w:cstheme="minorHAnsi"/>
                <w:b/>
                <w:bCs/>
                <w:color w:val="000000" w:themeColor="text1"/>
              </w:rPr>
              <w:t>9</w:t>
            </w:r>
          </w:p>
        </w:tc>
        <w:tc>
          <w:tcPr>
            <w:tcW w:w="5783" w:type="dxa"/>
          </w:tcPr>
          <w:p w14:paraId="295F4D99" w14:textId="77777777" w:rsidR="00484BB1" w:rsidRPr="00262D1E" w:rsidRDefault="00484BB1" w:rsidP="00FF016B">
            <w:pPr>
              <w:jc w:val="center"/>
              <w:rPr>
                <w:rFonts w:cstheme="minorHAnsi"/>
                <w:b/>
                <w:bCs/>
                <w:color w:val="000000" w:themeColor="text1"/>
              </w:rPr>
            </w:pPr>
          </w:p>
        </w:tc>
      </w:tr>
    </w:tbl>
    <w:p w14:paraId="0DEBC818" w14:textId="77777777" w:rsidR="00484BB1" w:rsidRDefault="00484BB1" w:rsidP="00242F50">
      <w:pPr>
        <w:ind w:left="-567"/>
        <w:jc w:val="both"/>
        <w:rPr>
          <w:rFonts w:cstheme="minorHAnsi"/>
          <w:bCs/>
          <w:color w:val="000000" w:themeColor="text1"/>
        </w:rPr>
      </w:pPr>
    </w:p>
    <w:p w14:paraId="296808CD" w14:textId="77777777" w:rsidR="00484BB1" w:rsidRDefault="00484BB1" w:rsidP="00A64E84">
      <w:pPr>
        <w:jc w:val="both"/>
        <w:rPr>
          <w:rFonts w:cstheme="minorHAnsi"/>
          <w:bCs/>
          <w:color w:val="000000" w:themeColor="text1"/>
        </w:rPr>
      </w:pPr>
      <w:r>
        <w:rPr>
          <w:rFonts w:cstheme="minorHAnsi"/>
          <w:bCs/>
          <w:color w:val="000000" w:themeColor="text1"/>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9 horas.  La distribución de tiempos por tipo de horas (categoría) es congruente, en todos sus extremos, con lo que establece el plan de estudios de la modalidad virtual.</w:t>
      </w:r>
    </w:p>
    <w:p w14:paraId="042C3857" w14:textId="77777777" w:rsidR="00484BB1" w:rsidRDefault="00484BB1" w:rsidP="00AC2D2F">
      <w:pPr>
        <w:jc w:val="both"/>
        <w:rPr>
          <w:rFonts w:cs="Arial"/>
          <w:b/>
          <w:bCs/>
          <w:color w:val="000000" w:themeColor="text1"/>
        </w:rPr>
      </w:pPr>
    </w:p>
    <w:p w14:paraId="2F7A23FE" w14:textId="77777777" w:rsidR="00484BB1" w:rsidRPr="00E34496" w:rsidRDefault="00484BB1" w:rsidP="00AC2D2F">
      <w:pPr>
        <w:jc w:val="both"/>
        <w:rPr>
          <w:rFonts w:cs="Arial"/>
          <w:b/>
          <w:bCs/>
          <w:color w:val="000000" w:themeColor="text1"/>
        </w:rPr>
      </w:pPr>
      <w:r w:rsidRPr="00E34496">
        <w:rPr>
          <w:rFonts w:cs="Arial"/>
          <w:b/>
          <w:bCs/>
          <w:color w:val="000000" w:themeColor="text1"/>
        </w:rPr>
        <w:t>X. Evaluación</w:t>
      </w:r>
      <w:r w:rsidRPr="00E34496">
        <w:rPr>
          <w:rFonts w:cs="Arial"/>
          <w:b/>
          <w:bCs/>
          <w:color w:val="000000" w:themeColor="text1"/>
        </w:rPr>
        <w:tab/>
      </w:r>
    </w:p>
    <w:p w14:paraId="7BC39E90" w14:textId="77777777" w:rsidR="00484BB1" w:rsidRDefault="00484BB1" w:rsidP="00AC2D2F">
      <w:pPr>
        <w:jc w:val="both"/>
        <w:rPr>
          <w:rFonts w:cs="Arial"/>
          <w:bCs/>
          <w:color w:val="000000" w:themeColor="text1"/>
        </w:rPr>
      </w:pPr>
      <w:r w:rsidRPr="00E34496">
        <w:rPr>
          <w:rFonts w:cs="Arial"/>
          <w:bCs/>
          <w:color w:val="000000" w:themeColor="text1"/>
        </w:rPr>
        <w:t>La evaluación</w:t>
      </w:r>
      <w:r>
        <w:rPr>
          <w:rFonts w:cs="Arial"/>
          <w:bCs/>
          <w:color w:val="000000" w:themeColor="text1"/>
        </w:rPr>
        <w:t xml:space="preserve"> sumativa se realizará con base en las diferentes actividades de aprendizaje: tareas de acopio teórico y reflexión crítica, tareas de análisis de casos individual, actividades grupales en la plataforma virtual de análisis de casos, integración y sistematización del aprendizaje, asistencia y participación en los encuentros sincrónicos virtuales, la monografía final y la presentación de la síntesis de la monografía. La evaluación será un proceso constante de retroalimentación, conforme se van entregando las tareas asignadas y se van realizando las actividades en el aula virtual. Los trabajos escritos serán devueltos en un plazo máximo de 72 horas después de ser entregados, con el fin de que cada estudiante pueda autoevaluar su proceso de aprendizaje y constatar sus avances. Cada actividad será evaluada según los criterios señalados en las rúbricas y escalas. El curso se aprueba con una nota mínima de 7.00 (en escala decimal). </w:t>
      </w:r>
      <w:r w:rsidRPr="00E34496">
        <w:rPr>
          <w:rFonts w:cs="Arial"/>
          <w:bCs/>
          <w:color w:val="000000" w:themeColor="text1"/>
        </w:rPr>
        <w:t>Los porcentajes asignados a cada elemento del curso son l</w:t>
      </w:r>
      <w:r>
        <w:rPr>
          <w:rFonts w:cs="Arial"/>
          <w:bCs/>
          <w:color w:val="000000" w:themeColor="text1"/>
        </w:rPr>
        <w:t>os siguientes:</w:t>
      </w:r>
    </w:p>
    <w:tbl>
      <w:tblPr>
        <w:tblpPr w:leftFromText="141" w:rightFromText="141" w:vertAnchor="text" w:horzAnchor="page" w:tblpXSpec="center" w:tblpY="324"/>
        <w:tblW w:w="9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905"/>
        <w:gridCol w:w="1473"/>
      </w:tblGrid>
      <w:tr w:rsidR="00484BB1" w:rsidRPr="00D75677" w14:paraId="10A9655D" w14:textId="77777777" w:rsidTr="00CD19CD">
        <w:tc>
          <w:tcPr>
            <w:tcW w:w="9378" w:type="dxa"/>
            <w:gridSpan w:val="2"/>
          </w:tcPr>
          <w:p w14:paraId="1AA6EB9B" w14:textId="77777777" w:rsidR="00484BB1" w:rsidRPr="00D75677" w:rsidRDefault="00484BB1" w:rsidP="00196AF2">
            <w:pPr>
              <w:jc w:val="center"/>
              <w:rPr>
                <w:rFonts w:cs="Arial"/>
                <w:b/>
                <w:bCs/>
                <w:color w:val="000000" w:themeColor="text1"/>
              </w:rPr>
            </w:pPr>
            <w:r w:rsidRPr="00D75677">
              <w:rPr>
                <w:rFonts w:cs="Arial"/>
                <w:b/>
                <w:bCs/>
                <w:color w:val="000000" w:themeColor="text1"/>
              </w:rPr>
              <w:lastRenderedPageBreak/>
              <w:t>Síntesis cuantitativa de la evaluación</w:t>
            </w:r>
          </w:p>
        </w:tc>
      </w:tr>
      <w:tr w:rsidR="00484BB1" w:rsidRPr="00D75677" w14:paraId="2C24CED4" w14:textId="77777777" w:rsidTr="00CD19CD">
        <w:tc>
          <w:tcPr>
            <w:tcW w:w="7905" w:type="dxa"/>
            <w:vAlign w:val="center"/>
          </w:tcPr>
          <w:p w14:paraId="4DA26246" w14:textId="77777777" w:rsidR="00484BB1" w:rsidRDefault="00484BB1" w:rsidP="00030986">
            <w:pPr>
              <w:rPr>
                <w:rFonts w:cs="Arial"/>
                <w:b/>
                <w:color w:val="000000" w:themeColor="text1"/>
              </w:rPr>
            </w:pPr>
            <w:r>
              <w:rPr>
                <w:rFonts w:cs="Arial"/>
                <w:b/>
                <w:color w:val="000000" w:themeColor="text1"/>
              </w:rPr>
              <w:t>Rubros</w:t>
            </w:r>
            <w:r w:rsidRPr="00D75677">
              <w:rPr>
                <w:rFonts w:cs="Arial"/>
                <w:b/>
                <w:color w:val="000000" w:themeColor="text1"/>
              </w:rPr>
              <w:t xml:space="preserve"> p</w:t>
            </w:r>
            <w:r>
              <w:rPr>
                <w:rFonts w:cs="Arial"/>
                <w:b/>
                <w:color w:val="000000" w:themeColor="text1"/>
              </w:rPr>
              <w:t>ara</w:t>
            </w:r>
            <w:r w:rsidRPr="00D75677">
              <w:rPr>
                <w:rFonts w:cs="Arial"/>
                <w:b/>
                <w:color w:val="000000" w:themeColor="text1"/>
              </w:rPr>
              <w:t xml:space="preserve"> evaluar</w:t>
            </w:r>
          </w:p>
          <w:p w14:paraId="69A0E7D3" w14:textId="77777777" w:rsidR="00484BB1" w:rsidRPr="00D75677" w:rsidRDefault="00484BB1" w:rsidP="00030986">
            <w:pPr>
              <w:rPr>
                <w:rFonts w:cs="Arial"/>
                <w:b/>
                <w:bCs/>
                <w:color w:val="000000" w:themeColor="text1"/>
              </w:rPr>
            </w:pPr>
          </w:p>
        </w:tc>
        <w:tc>
          <w:tcPr>
            <w:tcW w:w="1473" w:type="dxa"/>
          </w:tcPr>
          <w:p w14:paraId="5CEA8608" w14:textId="77777777" w:rsidR="00484BB1" w:rsidRPr="00D75677" w:rsidRDefault="00484BB1" w:rsidP="00964927">
            <w:pPr>
              <w:jc w:val="center"/>
              <w:rPr>
                <w:rFonts w:cs="Arial"/>
                <w:b/>
                <w:bCs/>
                <w:color w:val="000000" w:themeColor="text1"/>
              </w:rPr>
            </w:pPr>
            <w:r>
              <w:rPr>
                <w:rFonts w:cs="Arial"/>
                <w:b/>
                <w:bCs/>
                <w:color w:val="000000" w:themeColor="text1"/>
              </w:rPr>
              <w:t>Porcentaje total</w:t>
            </w:r>
          </w:p>
        </w:tc>
      </w:tr>
      <w:tr w:rsidR="00484BB1" w:rsidRPr="00D75677" w14:paraId="01351487" w14:textId="77777777" w:rsidTr="00FF3660">
        <w:tc>
          <w:tcPr>
            <w:tcW w:w="7905" w:type="dxa"/>
            <w:vAlign w:val="center"/>
          </w:tcPr>
          <w:p w14:paraId="1B1F6067" w14:textId="77777777" w:rsidR="00484BB1" w:rsidRPr="005153A2" w:rsidRDefault="00484BB1" w:rsidP="00A44117">
            <w:pPr>
              <w:rPr>
                <w:rFonts w:cs="Arial"/>
                <w:b/>
                <w:i/>
                <w:iCs/>
                <w:color w:val="0070C0"/>
              </w:rPr>
            </w:pPr>
            <w:r w:rsidRPr="005153A2">
              <w:rPr>
                <w:rFonts w:cs="Arial"/>
                <w:b/>
                <w:i/>
                <w:iCs/>
                <w:color w:val="0070C0"/>
              </w:rPr>
              <w:t>Encuentros sincrónicos virtuales</w:t>
            </w:r>
          </w:p>
          <w:p w14:paraId="1DC20A8A" w14:textId="77777777" w:rsidR="00484BB1" w:rsidRPr="00A44117" w:rsidRDefault="00484BB1" w:rsidP="00A44117">
            <w:pPr>
              <w:rPr>
                <w:rFonts w:cs="Arial"/>
                <w:bCs/>
                <w:color w:val="000000" w:themeColor="text1"/>
              </w:rPr>
            </w:pPr>
            <w:r w:rsidRPr="005153A2">
              <w:rPr>
                <w:rFonts w:cs="Arial"/>
                <w:bCs/>
                <w:color w:val="0070C0"/>
              </w:rPr>
              <w:t>Se llevan a cabo en las sesiones 1, 2, 3, 6, 7, 11 y 12. Tienen un valor formativo y no sumativo.</w:t>
            </w:r>
          </w:p>
        </w:tc>
        <w:tc>
          <w:tcPr>
            <w:tcW w:w="1473" w:type="dxa"/>
            <w:vAlign w:val="center"/>
          </w:tcPr>
          <w:p w14:paraId="381B0FAC" w14:textId="77777777" w:rsidR="00484BB1" w:rsidRPr="006D651B" w:rsidRDefault="00484BB1" w:rsidP="00A44117">
            <w:pPr>
              <w:jc w:val="center"/>
              <w:rPr>
                <w:rFonts w:cs="Arial"/>
                <w:b/>
                <w:bCs/>
                <w:color w:val="0070C0"/>
              </w:rPr>
            </w:pPr>
            <w:r w:rsidRPr="006D651B">
              <w:rPr>
                <w:rFonts w:ascii="Calibri" w:hAnsi="Calibri" w:cs="Calibri"/>
                <w:color w:val="0070C0"/>
              </w:rPr>
              <w:t>̶</w:t>
            </w:r>
          </w:p>
        </w:tc>
      </w:tr>
      <w:tr w:rsidR="00484BB1" w:rsidRPr="00D75677" w14:paraId="37BBA2DE" w14:textId="77777777" w:rsidTr="00CD19CD">
        <w:tc>
          <w:tcPr>
            <w:tcW w:w="7905" w:type="dxa"/>
          </w:tcPr>
          <w:p w14:paraId="6C6126C1" w14:textId="77777777" w:rsidR="00484BB1"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Pr>
                <w:rFonts w:asciiTheme="minorHAnsi" w:hAnsiTheme="minorHAnsi" w:cs="Arial"/>
                <w:b/>
                <w:bCs/>
                <w:i/>
                <w:color w:val="000000" w:themeColor="text1"/>
              </w:rPr>
              <w:t>Tareas de acopio teórico</w:t>
            </w:r>
          </w:p>
          <w:p w14:paraId="66189E4B" w14:textId="77777777" w:rsidR="00484BB1"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Pr>
                <w:rFonts w:asciiTheme="minorHAnsi" w:hAnsiTheme="minorHAnsi" w:cs="Arial"/>
                <w:iCs/>
                <w:color w:val="000000" w:themeColor="text1"/>
              </w:rPr>
              <w:t>Las tareas de acopio teórico tienen un valor de 5% cada una y se distribuyen de la siguiente forma:</w:t>
            </w:r>
          </w:p>
          <w:p w14:paraId="597D8314"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b/>
                <w:bCs/>
                <w:i/>
                <w:color w:val="000000" w:themeColor="text1"/>
              </w:rPr>
            </w:pPr>
          </w:p>
          <w:p w14:paraId="3F1A7C51"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Glosario (sesión 3)</w:t>
            </w:r>
          </w:p>
          <w:p w14:paraId="76201866"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Cuadro sinóptico (sesión 4)</w:t>
            </w:r>
          </w:p>
          <w:p w14:paraId="4854ED40"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Investigación sobre los componentes de la identidad (sesión 5)</w:t>
            </w:r>
          </w:p>
          <w:p w14:paraId="7D1E952D"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Reseña crítica de lectura (sesión 9)</w:t>
            </w:r>
          </w:p>
          <w:p w14:paraId="194DD2E4"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Análisis comparativo (sesión 10)</w:t>
            </w:r>
          </w:p>
          <w:p w14:paraId="59A02BE6" w14:textId="77777777" w:rsidR="00484BB1" w:rsidRPr="00E436FA"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Ensayo comparativo (sesión 11)</w:t>
            </w:r>
          </w:p>
        </w:tc>
        <w:tc>
          <w:tcPr>
            <w:tcW w:w="1473" w:type="dxa"/>
            <w:vAlign w:val="center"/>
          </w:tcPr>
          <w:p w14:paraId="70C103CC" w14:textId="77777777" w:rsidR="00484BB1" w:rsidRPr="00D75677" w:rsidRDefault="00484BB1" w:rsidP="00A44117">
            <w:pPr>
              <w:jc w:val="center"/>
              <w:rPr>
                <w:rFonts w:cs="Arial"/>
                <w:bCs/>
                <w:color w:val="000000" w:themeColor="text1"/>
              </w:rPr>
            </w:pPr>
            <w:r>
              <w:rPr>
                <w:rFonts w:cs="Arial"/>
                <w:bCs/>
                <w:color w:val="000000" w:themeColor="text1"/>
              </w:rPr>
              <w:t>30%</w:t>
            </w:r>
          </w:p>
        </w:tc>
      </w:tr>
      <w:tr w:rsidR="00484BB1" w:rsidRPr="00D75677" w14:paraId="38A3F88F" w14:textId="77777777" w:rsidTr="00CD19CD">
        <w:tc>
          <w:tcPr>
            <w:tcW w:w="7905" w:type="dxa"/>
          </w:tcPr>
          <w:p w14:paraId="3463FEEF" w14:textId="77777777" w:rsidR="00484BB1" w:rsidRPr="00621960"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
                <w:i/>
                <w:iCs/>
                <w:color w:val="000000" w:themeColor="text1"/>
              </w:rPr>
              <w:t>Tareas de análisis de casos</w:t>
            </w:r>
          </w:p>
          <w:p w14:paraId="7B37D9F5" w14:textId="77777777" w:rsidR="00484BB1"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Cs/>
                <w:color w:val="000000" w:themeColor="text1"/>
              </w:rPr>
              <w:t>Las tareas de análisis de casos tienen un valor de 5% cada una y se distribuyen de la siguiente forma:</w:t>
            </w:r>
          </w:p>
          <w:p w14:paraId="28B1829E"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bCs/>
                <w:color w:val="000000" w:themeColor="text1"/>
              </w:rPr>
            </w:pPr>
          </w:p>
          <w:p w14:paraId="3CECAF8E"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Cs/>
                <w:color w:val="000000" w:themeColor="text1"/>
              </w:rPr>
              <w:t>- Observación de personas en diferentes etapas del desarrollo humano (sesión 2)</w:t>
            </w:r>
          </w:p>
          <w:p w14:paraId="5F17B15A"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Cs/>
                <w:color w:val="000000" w:themeColor="text1"/>
              </w:rPr>
              <w:t>- Ensayo crítico (sesión 6)</w:t>
            </w:r>
          </w:p>
          <w:p w14:paraId="2AFBB093" w14:textId="77777777" w:rsidR="00484BB1" w:rsidRDefault="00484BB1" w:rsidP="00A44117">
            <w:pPr>
              <w:pStyle w:val="Listavistosa-nfasis11"/>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Cs/>
                <w:color w:val="000000" w:themeColor="text1"/>
              </w:rPr>
              <w:t>- Historia de vida (sesión 7)</w:t>
            </w:r>
          </w:p>
          <w:p w14:paraId="14B1B9F1" w14:textId="77777777" w:rsidR="00484BB1" w:rsidRPr="00F40378" w:rsidRDefault="00484BB1" w:rsidP="00A44117">
            <w:pPr>
              <w:pStyle w:val="Listavistosa-nfasis11"/>
              <w:autoSpaceDE w:val="0"/>
              <w:autoSpaceDN w:val="0"/>
              <w:adjustRightInd w:val="0"/>
              <w:spacing w:after="0" w:line="240" w:lineRule="auto"/>
              <w:ind w:left="0"/>
              <w:jc w:val="both"/>
              <w:rPr>
                <w:rFonts w:asciiTheme="minorHAnsi" w:hAnsiTheme="minorHAnsi" w:cs="Arial"/>
                <w:bCs/>
                <w:color w:val="000000" w:themeColor="text1"/>
              </w:rPr>
            </w:pPr>
            <w:r>
              <w:rPr>
                <w:rFonts w:asciiTheme="minorHAnsi" w:hAnsiTheme="minorHAnsi" w:cs="Arial"/>
                <w:bCs/>
                <w:color w:val="000000" w:themeColor="text1"/>
              </w:rPr>
              <w:t>- Foro grupal para analizar las historias de vida (sesión 8)</w:t>
            </w:r>
          </w:p>
        </w:tc>
        <w:tc>
          <w:tcPr>
            <w:tcW w:w="1473" w:type="dxa"/>
            <w:vAlign w:val="center"/>
          </w:tcPr>
          <w:p w14:paraId="0137116B" w14:textId="77777777" w:rsidR="00484BB1" w:rsidRDefault="00484BB1" w:rsidP="00A44117">
            <w:pPr>
              <w:jc w:val="center"/>
              <w:rPr>
                <w:rFonts w:cs="Arial"/>
                <w:bCs/>
                <w:color w:val="000000" w:themeColor="text1"/>
              </w:rPr>
            </w:pPr>
            <w:r>
              <w:rPr>
                <w:rFonts w:cs="Arial"/>
                <w:bCs/>
                <w:color w:val="000000" w:themeColor="text1"/>
              </w:rPr>
              <w:t>20%</w:t>
            </w:r>
          </w:p>
        </w:tc>
      </w:tr>
      <w:tr w:rsidR="00484BB1" w:rsidRPr="00D75677" w14:paraId="2A48B08A" w14:textId="77777777" w:rsidTr="00CD19CD">
        <w:tc>
          <w:tcPr>
            <w:tcW w:w="7905" w:type="dxa"/>
          </w:tcPr>
          <w:p w14:paraId="058352C1" w14:textId="77777777" w:rsidR="00484BB1" w:rsidRPr="00150719"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sidRPr="00150719">
              <w:rPr>
                <w:rFonts w:asciiTheme="minorHAnsi" w:hAnsiTheme="minorHAnsi" w:cs="Arial"/>
                <w:b/>
                <w:bCs/>
                <w:i/>
                <w:color w:val="000000" w:themeColor="text1"/>
              </w:rPr>
              <w:t xml:space="preserve">Actividades de análisis de casos en el aula virtual </w:t>
            </w:r>
          </w:p>
          <w:p w14:paraId="1A0A7C06" w14:textId="77777777" w:rsidR="00484BB1" w:rsidRPr="00150719"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sidRPr="00150719">
              <w:rPr>
                <w:rFonts w:asciiTheme="minorHAnsi" w:hAnsiTheme="minorHAnsi" w:cs="Arial"/>
                <w:iCs/>
                <w:color w:val="000000" w:themeColor="text1"/>
              </w:rPr>
              <w:t xml:space="preserve">Se desarrollan a través de foros en las sesiones 4, 9 y 10. Cada una tiene un valor de </w:t>
            </w:r>
            <w:r w:rsidRPr="00BF6527">
              <w:rPr>
                <w:rFonts w:asciiTheme="minorHAnsi" w:hAnsiTheme="minorHAnsi" w:cs="Arial"/>
                <w:iCs/>
                <w:color w:val="0070C0"/>
              </w:rPr>
              <w:t>5%</w:t>
            </w:r>
            <w:r w:rsidRPr="00150719">
              <w:rPr>
                <w:rFonts w:asciiTheme="minorHAnsi" w:hAnsiTheme="minorHAnsi" w:cs="Arial"/>
                <w:iCs/>
                <w:color w:val="000000" w:themeColor="text1"/>
              </w:rPr>
              <w:t>.</w:t>
            </w:r>
          </w:p>
        </w:tc>
        <w:tc>
          <w:tcPr>
            <w:tcW w:w="1473" w:type="dxa"/>
            <w:vAlign w:val="center"/>
          </w:tcPr>
          <w:p w14:paraId="1F44B7B7" w14:textId="77777777" w:rsidR="00484BB1" w:rsidRPr="00150719" w:rsidRDefault="00484BB1" w:rsidP="00A44117">
            <w:pPr>
              <w:jc w:val="center"/>
              <w:rPr>
                <w:rFonts w:cs="Arial"/>
                <w:bCs/>
                <w:color w:val="000000" w:themeColor="text1"/>
              </w:rPr>
            </w:pPr>
            <w:r w:rsidRPr="00BF6527">
              <w:rPr>
                <w:rFonts w:cs="Arial"/>
                <w:bCs/>
                <w:color w:val="0070C0"/>
              </w:rPr>
              <w:t>15%</w:t>
            </w:r>
          </w:p>
        </w:tc>
      </w:tr>
      <w:tr w:rsidR="00484BB1" w:rsidRPr="00D75677" w14:paraId="2205ADFE" w14:textId="77777777" w:rsidTr="00CD19CD">
        <w:tc>
          <w:tcPr>
            <w:tcW w:w="7905" w:type="dxa"/>
          </w:tcPr>
          <w:p w14:paraId="41A9556E" w14:textId="77777777" w:rsidR="00484BB1" w:rsidRPr="00150719"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sidRPr="00150719">
              <w:rPr>
                <w:rFonts w:asciiTheme="minorHAnsi" w:hAnsiTheme="minorHAnsi" w:cs="Arial"/>
                <w:b/>
                <w:bCs/>
                <w:i/>
                <w:color w:val="000000" w:themeColor="text1"/>
              </w:rPr>
              <w:t>Presentación virtual de la síntesis de la monografía final</w:t>
            </w:r>
          </w:p>
          <w:p w14:paraId="183F38C0" w14:textId="77777777" w:rsidR="00484BB1" w:rsidRPr="00150719" w:rsidRDefault="00484BB1" w:rsidP="00A44117">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sidRPr="00150719">
              <w:rPr>
                <w:rFonts w:asciiTheme="minorHAnsi" w:hAnsiTheme="minorHAnsi" w:cs="Arial"/>
                <w:iCs/>
                <w:color w:val="000000" w:themeColor="text1"/>
              </w:rPr>
              <w:t xml:space="preserve">Se realiza en las sesiones 13, 14 y 15 (por grupos). </w:t>
            </w:r>
          </w:p>
        </w:tc>
        <w:tc>
          <w:tcPr>
            <w:tcW w:w="1473" w:type="dxa"/>
            <w:vAlign w:val="center"/>
          </w:tcPr>
          <w:p w14:paraId="4C70E4C8" w14:textId="77777777" w:rsidR="00484BB1" w:rsidRPr="00150719" w:rsidRDefault="00484BB1" w:rsidP="00A44117">
            <w:pPr>
              <w:jc w:val="center"/>
              <w:rPr>
                <w:rFonts w:cs="Arial"/>
                <w:bCs/>
                <w:color w:val="000000" w:themeColor="text1"/>
              </w:rPr>
            </w:pPr>
            <w:r w:rsidRPr="00150719">
              <w:rPr>
                <w:rFonts w:cs="Arial"/>
                <w:bCs/>
                <w:color w:val="000000" w:themeColor="text1"/>
              </w:rPr>
              <w:t>10%</w:t>
            </w:r>
          </w:p>
        </w:tc>
      </w:tr>
      <w:tr w:rsidR="00484BB1" w:rsidRPr="00D75677" w14:paraId="3B227648" w14:textId="77777777" w:rsidTr="00CD19CD">
        <w:tc>
          <w:tcPr>
            <w:tcW w:w="7905" w:type="dxa"/>
          </w:tcPr>
          <w:p w14:paraId="4EF09AE0" w14:textId="77777777" w:rsidR="00484BB1" w:rsidRPr="00150719"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sidRPr="00150719">
              <w:rPr>
                <w:rFonts w:asciiTheme="minorHAnsi" w:hAnsiTheme="minorHAnsi" w:cs="Arial"/>
                <w:b/>
                <w:bCs/>
                <w:i/>
                <w:color w:val="000000" w:themeColor="text1"/>
              </w:rPr>
              <w:t>Monografía final escrita</w:t>
            </w:r>
          </w:p>
          <w:p w14:paraId="7F7266A7" w14:textId="77777777" w:rsidR="00484BB1" w:rsidRPr="00150719" w:rsidRDefault="00484BB1" w:rsidP="00484BB1">
            <w:pPr>
              <w:pStyle w:val="Listavistosa-nfasis11"/>
              <w:numPr>
                <w:ilvl w:val="0"/>
                <w:numId w:val="5"/>
              </w:numPr>
              <w:autoSpaceDE w:val="0"/>
              <w:autoSpaceDN w:val="0"/>
              <w:adjustRightInd w:val="0"/>
              <w:spacing w:after="0" w:line="240" w:lineRule="auto"/>
              <w:ind w:left="0"/>
              <w:jc w:val="both"/>
              <w:rPr>
                <w:rFonts w:asciiTheme="minorHAnsi" w:hAnsiTheme="minorHAnsi" w:cs="Arial"/>
                <w:b/>
                <w:bCs/>
                <w:i/>
                <w:color w:val="000000" w:themeColor="text1"/>
              </w:rPr>
            </w:pPr>
            <w:r w:rsidRPr="00150719">
              <w:rPr>
                <w:rFonts w:asciiTheme="minorHAnsi" w:hAnsiTheme="minorHAnsi" w:cs="Arial"/>
                <w:iCs/>
                <w:color w:val="000000" w:themeColor="text1"/>
              </w:rPr>
              <w:t>Se elabora desde la sesión 2 hasta la sesión 13.</w:t>
            </w:r>
          </w:p>
        </w:tc>
        <w:tc>
          <w:tcPr>
            <w:tcW w:w="1473" w:type="dxa"/>
            <w:vAlign w:val="center"/>
          </w:tcPr>
          <w:p w14:paraId="62D9085B" w14:textId="77777777" w:rsidR="00484BB1" w:rsidRPr="00150719" w:rsidRDefault="00484BB1" w:rsidP="00A44117">
            <w:pPr>
              <w:jc w:val="center"/>
              <w:rPr>
                <w:rFonts w:cs="Arial"/>
                <w:bCs/>
                <w:color w:val="000000" w:themeColor="text1"/>
              </w:rPr>
            </w:pPr>
            <w:r w:rsidRPr="005153A2">
              <w:rPr>
                <w:rFonts w:cs="Arial"/>
                <w:bCs/>
                <w:color w:val="0070C0"/>
              </w:rPr>
              <w:t>25%</w:t>
            </w:r>
          </w:p>
        </w:tc>
      </w:tr>
      <w:tr w:rsidR="00484BB1" w:rsidRPr="00D75677" w14:paraId="4B679322" w14:textId="77777777" w:rsidTr="00CD19CD">
        <w:tc>
          <w:tcPr>
            <w:tcW w:w="7905" w:type="dxa"/>
            <w:vAlign w:val="center"/>
          </w:tcPr>
          <w:p w14:paraId="34207F39" w14:textId="77777777" w:rsidR="00484BB1" w:rsidRPr="00D75677" w:rsidRDefault="00484BB1" w:rsidP="00A44117">
            <w:pPr>
              <w:pStyle w:val="Listavistosa-nfasis11"/>
              <w:autoSpaceDE w:val="0"/>
              <w:autoSpaceDN w:val="0"/>
              <w:adjustRightInd w:val="0"/>
              <w:spacing w:after="0" w:line="240" w:lineRule="auto"/>
              <w:ind w:left="0"/>
              <w:rPr>
                <w:rFonts w:asciiTheme="minorHAnsi" w:hAnsiTheme="minorHAnsi" w:cs="Arial"/>
                <w:b/>
                <w:bCs/>
                <w:color w:val="000000" w:themeColor="text1"/>
              </w:rPr>
            </w:pPr>
            <w:r w:rsidRPr="00D75677">
              <w:rPr>
                <w:rFonts w:asciiTheme="minorHAnsi" w:hAnsiTheme="minorHAnsi" w:cs="Arial"/>
                <w:b/>
                <w:bCs/>
                <w:color w:val="000000" w:themeColor="text1"/>
              </w:rPr>
              <w:t>Total</w:t>
            </w:r>
          </w:p>
        </w:tc>
        <w:tc>
          <w:tcPr>
            <w:tcW w:w="1473" w:type="dxa"/>
          </w:tcPr>
          <w:p w14:paraId="5DBD8A18" w14:textId="77777777" w:rsidR="00484BB1" w:rsidRPr="00D75677" w:rsidRDefault="00484BB1" w:rsidP="00A44117">
            <w:pPr>
              <w:jc w:val="center"/>
              <w:rPr>
                <w:rFonts w:cs="Arial"/>
                <w:b/>
                <w:bCs/>
                <w:color w:val="000000" w:themeColor="text1"/>
              </w:rPr>
            </w:pPr>
            <w:r w:rsidRPr="00D75677">
              <w:rPr>
                <w:rFonts w:cs="Arial"/>
                <w:b/>
                <w:bCs/>
                <w:color w:val="000000" w:themeColor="text1"/>
              </w:rPr>
              <w:t>100%</w:t>
            </w:r>
          </w:p>
        </w:tc>
      </w:tr>
    </w:tbl>
    <w:p w14:paraId="5F846614" w14:textId="77777777" w:rsidR="00484BB1" w:rsidRDefault="00484BB1" w:rsidP="00AC2D2F">
      <w:pPr>
        <w:jc w:val="both"/>
        <w:rPr>
          <w:rFonts w:ascii="Arial" w:hAnsi="Arial" w:cs="Arial"/>
          <w:b/>
          <w:bCs/>
          <w:color w:val="0070C0"/>
          <w:szCs w:val="24"/>
        </w:rPr>
      </w:pPr>
    </w:p>
    <w:p w14:paraId="754CE83A" w14:textId="77777777" w:rsidR="00484BB1" w:rsidRDefault="00484BB1" w:rsidP="00AC2D2F">
      <w:pPr>
        <w:jc w:val="both"/>
        <w:rPr>
          <w:rFonts w:ascii="Arial" w:hAnsi="Arial" w:cs="Arial"/>
          <w:b/>
          <w:bCs/>
          <w:color w:val="0070C0"/>
          <w:szCs w:val="24"/>
        </w:rPr>
        <w:sectPr w:rsidR="00484BB1" w:rsidSect="005C1895">
          <w:pgSz w:w="12240" w:h="15840"/>
          <w:pgMar w:top="1417" w:right="1701" w:bottom="1417" w:left="1701" w:header="708" w:footer="708" w:gutter="0"/>
          <w:cols w:space="708"/>
          <w:docGrid w:linePitch="360"/>
        </w:sectPr>
      </w:pPr>
    </w:p>
    <w:p w14:paraId="2275E68B" w14:textId="77777777" w:rsidR="00484BB1" w:rsidRDefault="00484BB1" w:rsidP="00AE544D">
      <w:pPr>
        <w:rPr>
          <w:rFonts w:cs="Arial"/>
          <w:b/>
          <w:bCs/>
          <w:color w:val="000000" w:themeColor="text1"/>
        </w:rPr>
      </w:pPr>
      <w:r>
        <w:rPr>
          <w:b/>
          <w:noProof/>
        </w:rPr>
        <w:lastRenderedPageBreak/>
        <mc:AlternateContent>
          <mc:Choice Requires="wps">
            <w:drawing>
              <wp:anchor distT="0" distB="0" distL="114300" distR="114300" simplePos="0" relativeHeight="252195840" behindDoc="0" locked="0" layoutInCell="1" allowOverlap="1" wp14:anchorId="03CE3572" wp14:editId="18E51522">
                <wp:simplePos x="0" y="0"/>
                <wp:positionH relativeFrom="margin">
                  <wp:align>center</wp:align>
                </wp:positionH>
                <wp:positionV relativeFrom="paragraph">
                  <wp:posOffset>-104458</wp:posOffset>
                </wp:positionV>
                <wp:extent cx="6606540" cy="411480"/>
                <wp:effectExtent l="0" t="0" r="22860" b="26670"/>
                <wp:wrapNone/>
                <wp:docPr id="1"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6BF1D86D" w14:textId="77777777" w:rsidR="00484BB1" w:rsidRPr="00C25376" w:rsidRDefault="00484BB1" w:rsidP="00AE544D">
                            <w:pPr>
                              <w:jc w:val="center"/>
                              <w:rPr>
                                <w:rFonts w:cstheme="minorHAnsi"/>
                              </w:rPr>
                            </w:pPr>
                            <w:r w:rsidRPr="00C25376">
                              <w:rPr>
                                <w:rFonts w:cstheme="minorHAnsi"/>
                                <w:b/>
                              </w:rPr>
                              <w:t>RÚBRICA DE EVALUACIÓN</w:t>
                            </w:r>
                            <w:r>
                              <w:rPr>
                                <w:rFonts w:cstheme="minorHAnsi"/>
                                <w:b/>
                              </w:rPr>
                              <w:t xml:space="preserve">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E3572" id="_x0000_s1059" type="#_x0000_t202" style="position:absolute;margin-left:0;margin-top:-8.25pt;width:520.2pt;height:32.4pt;z-index:252195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" fillcolor="white [3201]" strokeweight=".5pt">
                <v:textbox>
                  <w:txbxContent>
                    <w:p w14:paraId="6BF1D86D" w14:textId="77777777" w:rsidR="00484BB1" w:rsidRPr="00C25376" w:rsidRDefault="00484BB1" w:rsidP="00AE544D">
                      <w:pPr>
                        <w:jc w:val="center"/>
                        <w:rPr>
                          <w:rFonts w:cstheme="minorHAnsi"/>
                        </w:rPr>
                      </w:pPr>
                      <w:r w:rsidRPr="00C25376">
                        <w:rPr>
                          <w:rFonts w:cstheme="minorHAnsi"/>
                          <w:b/>
                        </w:rPr>
                        <w:t>RÚBRICA DE EVALUACIÓN</w:t>
                      </w:r>
                      <w:r>
                        <w:rPr>
                          <w:rFonts w:cstheme="minorHAnsi"/>
                          <w:b/>
                        </w:rPr>
                        <w:t xml:space="preserve"> – GLOSARIO</w:t>
                      </w:r>
                    </w:p>
                  </w:txbxContent>
                </v:textbox>
                <w10:wrap anchorx="margin"/>
              </v:shape>
            </w:pict>
          </mc:Fallback>
        </mc:AlternateContent>
      </w:r>
    </w:p>
    <w:p w14:paraId="201A2483" w14:textId="77777777" w:rsidR="00484BB1" w:rsidRDefault="00484BB1" w:rsidP="00AE544D">
      <w:pPr>
        <w:rPr>
          <w:rFonts w:cs="Arial"/>
          <w:b/>
          <w:bCs/>
          <w:color w:val="000000" w:themeColor="text1"/>
        </w:rPr>
      </w:pPr>
    </w:p>
    <w:p w14:paraId="25F76A0B" w14:textId="77777777" w:rsidR="00484BB1" w:rsidRPr="00326BF0" w:rsidRDefault="00484BB1" w:rsidP="00AE544D">
      <w:pPr>
        <w:jc w:val="center"/>
        <w:rPr>
          <w:rFonts w:ascii="Calibri" w:eastAsia="Calibri" w:hAnsi="Calibri"/>
          <w:color w:val="0070C0"/>
          <w:lang w:val="es-MX"/>
        </w:rPr>
      </w:pPr>
      <w:r w:rsidRPr="00326BF0">
        <w:rPr>
          <w:rFonts w:ascii="Calibri" w:eastAsia="Calibri" w:hAnsi="Calibri"/>
          <w:color w:val="0070C0"/>
          <w:lang w:val="es-MX"/>
        </w:rPr>
        <w:t>Esta estrategia busca que las personas estudiantes se apropien de conceptos fundamentales de la psicología en las etapas del desarrollo físico y mental del ciclo vital humano. Se elabora en la sesión 3 y tiene un valor de 5%.</w:t>
      </w:r>
    </w:p>
    <w:p w14:paraId="1FABE12B" w14:textId="77777777" w:rsidR="00484BB1" w:rsidRDefault="00484BB1" w:rsidP="00AE544D">
      <w:pPr>
        <w:jc w:val="center"/>
        <w:rPr>
          <w:rFonts w:ascii="Calibri" w:eastAsia="Calibri" w:hAnsi="Calibri"/>
          <w:lang w:val="es-MX"/>
        </w:rPr>
      </w:pPr>
      <w:r>
        <w:rPr>
          <w:rFonts w:cs="Arial"/>
          <w:b/>
          <w:bCs/>
          <w:noProof/>
          <w:color w:val="000000" w:themeColor="text1"/>
        </w:rPr>
        <w:drawing>
          <wp:anchor distT="0" distB="0" distL="114300" distR="114300" simplePos="0" relativeHeight="252196864" behindDoc="0" locked="0" layoutInCell="1" allowOverlap="1" wp14:anchorId="27686E1A" wp14:editId="6C54B07D">
            <wp:simplePos x="0" y="0"/>
            <wp:positionH relativeFrom="margin">
              <wp:align>center</wp:align>
            </wp:positionH>
            <wp:positionV relativeFrom="paragraph">
              <wp:posOffset>82867</wp:posOffset>
            </wp:positionV>
            <wp:extent cx="8482012" cy="5697220"/>
            <wp:effectExtent l="0" t="0" r="0" b="0"/>
            <wp:wrapNone/>
            <wp:docPr id="147708890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88906" name="Imagen 1" descr="Tabla&#10;&#10;Descripción generada automáticamente"/>
                    <pic:cNvPicPr/>
                  </pic:nvPicPr>
                  <pic:blipFill>
                    <a:blip r:embed="rId90">
                      <a:extLst>
                        <a:ext uri="{28A0092B-C50C-407E-A947-70E740481C1C}">
                          <a14:useLocalDpi xmlns:a14="http://schemas.microsoft.com/office/drawing/2010/main" val="0"/>
                        </a:ext>
                      </a:extLst>
                    </a:blip>
                    <a:stretch>
                      <a:fillRect/>
                    </a:stretch>
                  </pic:blipFill>
                  <pic:spPr>
                    <a:xfrm>
                      <a:off x="0" y="0"/>
                      <a:ext cx="8482012" cy="5697220"/>
                    </a:xfrm>
                    <a:prstGeom prst="rect">
                      <a:avLst/>
                    </a:prstGeom>
                  </pic:spPr>
                </pic:pic>
              </a:graphicData>
            </a:graphic>
            <wp14:sizeRelH relativeFrom="margin">
              <wp14:pctWidth>0</wp14:pctWidth>
            </wp14:sizeRelH>
            <wp14:sizeRelV relativeFrom="margin">
              <wp14:pctHeight>0</wp14:pctHeight>
            </wp14:sizeRelV>
          </wp:anchor>
        </w:drawing>
      </w:r>
    </w:p>
    <w:p w14:paraId="1FE9F8CD" w14:textId="77777777" w:rsidR="00484BB1" w:rsidRPr="00AE544D" w:rsidRDefault="00484BB1" w:rsidP="00AE544D">
      <w:pPr>
        <w:jc w:val="center"/>
        <w:rPr>
          <w:rFonts w:cs="Arial"/>
          <w:b/>
          <w:bCs/>
          <w:color w:val="000000" w:themeColor="text1"/>
        </w:rPr>
      </w:pPr>
    </w:p>
    <w:p w14:paraId="6DFAA391" w14:textId="77777777" w:rsidR="00484BB1" w:rsidRDefault="00484BB1">
      <w:pPr>
        <w:rPr>
          <w:rFonts w:cs="Arial"/>
          <w:b/>
          <w:bCs/>
          <w:color w:val="000000" w:themeColor="text1"/>
        </w:rPr>
      </w:pPr>
      <w:r>
        <w:rPr>
          <w:rFonts w:cs="Arial"/>
          <w:b/>
          <w:bCs/>
          <w:color w:val="000000" w:themeColor="text1"/>
        </w:rPr>
        <w:br w:type="page"/>
      </w:r>
    </w:p>
    <w:p w14:paraId="4361DC60" w14:textId="77777777" w:rsidR="00484BB1" w:rsidRDefault="00484BB1" w:rsidP="00A921AC">
      <w:pPr>
        <w:rPr>
          <w:rFonts w:cs="Arial"/>
          <w:b/>
          <w:bCs/>
          <w:color w:val="000000" w:themeColor="text1"/>
        </w:rPr>
      </w:pPr>
      <w:r>
        <w:rPr>
          <w:b/>
          <w:noProof/>
        </w:rPr>
        <w:lastRenderedPageBreak/>
        <mc:AlternateContent>
          <mc:Choice Requires="wps">
            <w:drawing>
              <wp:anchor distT="0" distB="0" distL="114300" distR="114300" simplePos="0" relativeHeight="252197888" behindDoc="0" locked="0" layoutInCell="1" allowOverlap="1" wp14:anchorId="08038B79" wp14:editId="0B0A4F57">
                <wp:simplePos x="0" y="0"/>
                <wp:positionH relativeFrom="margin">
                  <wp:posOffset>552450</wp:posOffset>
                </wp:positionH>
                <wp:positionV relativeFrom="paragraph">
                  <wp:posOffset>-90487</wp:posOffset>
                </wp:positionV>
                <wp:extent cx="8023860" cy="476250"/>
                <wp:effectExtent l="0" t="0" r="15240" b="19050"/>
                <wp:wrapNone/>
                <wp:docPr id="1762383496" name="Rectángulo 1762383496"/>
                <wp:cNvGraphicFramePr/>
                <a:graphic xmlns:a="http://schemas.openxmlformats.org/drawingml/2006/main">
                  <a:graphicData uri="http://schemas.microsoft.com/office/word/2010/wordprocessingShape">
                    <wps:wsp>
                      <wps:cNvSpPr/>
                      <wps:spPr>
                        <a:xfrm>
                          <a:off x="0" y="0"/>
                          <a:ext cx="8023860" cy="47625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4E8C1ED" w14:textId="77777777" w:rsidR="00484BB1" w:rsidRPr="00A921AC" w:rsidRDefault="00484BB1" w:rsidP="00A921AC">
                            <w:pPr>
                              <w:jc w:val="center"/>
                              <w:rPr>
                                <w:rFonts w:cstheme="minorHAnsi"/>
                                <w:b/>
                              </w:rPr>
                            </w:pPr>
                            <w:r w:rsidRPr="00A921AC">
                              <w:rPr>
                                <w:rFonts w:cstheme="minorHAnsi"/>
                                <w:b/>
                              </w:rPr>
                              <w:t>RÚBRICA DE EVALUACIÓN – CUADRO SINÓPTICO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038B79" id="Rectángulo 1762383496" o:spid="_x0000_s1060" style="position:absolute;margin-left:43.5pt;margin-top:-7.1pt;width:631.8pt;height:37.5pt;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" fillcolor="white [3201]" strokecolor="black [3200]" strokeweight=".25pt">
                <v:textbox>
                  <w:txbxContent>
                    <w:p w14:paraId="44E8C1ED" w14:textId="77777777" w:rsidR="00484BB1" w:rsidRPr="00A921AC" w:rsidRDefault="00484BB1" w:rsidP="00A921AC">
                      <w:pPr>
                        <w:jc w:val="center"/>
                        <w:rPr>
                          <w:rFonts w:cstheme="minorHAnsi"/>
                          <w:b/>
                        </w:rPr>
                      </w:pPr>
                      <w:r w:rsidRPr="00A921AC">
                        <w:rPr>
                          <w:rFonts w:cstheme="minorHAnsi"/>
                          <w:b/>
                        </w:rPr>
                        <w:t>RÚBRICA DE EVALUACIÓN – CUADRO SINÓPTICO</w:t>
                      </w:r>
                    </w:p>
                  </w:txbxContent>
                </v:textbox>
                <w10:wrap anchorx="margin"/>
              </v:rect>
            </w:pict>
          </mc:Fallback>
        </mc:AlternateContent>
      </w:r>
    </w:p>
    <w:p w14:paraId="1C501B87" w14:textId="77777777" w:rsidR="00484BB1" w:rsidRDefault="00484BB1" w:rsidP="00A921AC">
      <w:pPr>
        <w:rPr>
          <w:rFonts w:cs="Arial"/>
          <w:b/>
          <w:bCs/>
          <w:color w:val="000000" w:themeColor="text1"/>
        </w:rPr>
      </w:pPr>
    </w:p>
    <w:p w14:paraId="483CDCEA" w14:textId="77777777" w:rsidR="00484BB1" w:rsidRPr="00326BF0" w:rsidRDefault="00484BB1" w:rsidP="00A921AC">
      <w:pPr>
        <w:jc w:val="center"/>
        <w:rPr>
          <w:rFonts w:cs="Arial"/>
          <w:color w:val="0070C0"/>
        </w:rPr>
      </w:pPr>
      <w:r w:rsidRPr="00326BF0">
        <w:rPr>
          <w:rFonts w:cs="Arial"/>
          <w:color w:val="0070C0"/>
        </w:rPr>
        <w:t>Un cuadro sinóptico, también conocido como mapa sinóptico o esquema de llaves, es una forma visual de resumir y organizar ideas en temas, subtemas y conceptos. Se elabora en la sesión 4 y tiene un valor de 5%.</w:t>
      </w:r>
    </w:p>
    <w:p w14:paraId="61F3D2CD" w14:textId="77777777" w:rsidR="00484BB1" w:rsidRDefault="00484BB1" w:rsidP="00A921AC">
      <w:pPr>
        <w:jc w:val="center"/>
        <w:rPr>
          <w:rFonts w:cs="Arial"/>
          <w:color w:val="000000" w:themeColor="text1"/>
        </w:rPr>
      </w:pPr>
    </w:p>
    <w:p w14:paraId="61EADB7C" w14:textId="77777777" w:rsidR="00484BB1" w:rsidRPr="00A921AC" w:rsidRDefault="00484BB1" w:rsidP="00A921AC">
      <w:pPr>
        <w:jc w:val="center"/>
        <w:rPr>
          <w:rFonts w:cs="Arial"/>
          <w:b/>
          <w:bCs/>
          <w:color w:val="000000" w:themeColor="text1"/>
        </w:rPr>
      </w:pPr>
      <w:r>
        <w:rPr>
          <w:rFonts w:cs="Arial"/>
          <w:b/>
          <w:bCs/>
          <w:noProof/>
          <w:color w:val="000000" w:themeColor="text1"/>
        </w:rPr>
        <w:drawing>
          <wp:anchor distT="0" distB="0" distL="114300" distR="114300" simplePos="0" relativeHeight="252203008" behindDoc="0" locked="0" layoutInCell="1" allowOverlap="1" wp14:anchorId="259280CB" wp14:editId="0063AA77">
            <wp:simplePos x="0" y="0"/>
            <wp:positionH relativeFrom="column">
              <wp:posOffset>0</wp:posOffset>
            </wp:positionH>
            <wp:positionV relativeFrom="paragraph">
              <wp:posOffset>2223</wp:posOffset>
            </wp:positionV>
            <wp:extent cx="9144000" cy="4568825"/>
            <wp:effectExtent l="0" t="0" r="0" b="3175"/>
            <wp:wrapNone/>
            <wp:docPr id="576548591" name="Imagen 2"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48591" name="Imagen 2" descr="Tabla, Calendario&#10;&#10;Descripción generada automáticamente"/>
                    <pic:cNvPicPr/>
                  </pic:nvPicPr>
                  <pic:blipFill>
                    <a:blip r:embed="rId91">
                      <a:extLst>
                        <a:ext uri="{28A0092B-C50C-407E-A947-70E740481C1C}">
                          <a14:useLocalDpi xmlns:a14="http://schemas.microsoft.com/office/drawing/2010/main" val="0"/>
                        </a:ext>
                      </a:extLst>
                    </a:blip>
                    <a:stretch>
                      <a:fillRect/>
                    </a:stretch>
                  </pic:blipFill>
                  <pic:spPr>
                    <a:xfrm>
                      <a:off x="0" y="0"/>
                      <a:ext cx="9144000" cy="4568825"/>
                    </a:xfrm>
                    <a:prstGeom prst="rect">
                      <a:avLst/>
                    </a:prstGeom>
                  </pic:spPr>
                </pic:pic>
              </a:graphicData>
            </a:graphic>
          </wp:anchor>
        </w:drawing>
      </w:r>
    </w:p>
    <w:p w14:paraId="09F31C29" w14:textId="77777777" w:rsidR="00484BB1" w:rsidRDefault="00484BB1">
      <w:pPr>
        <w:rPr>
          <w:rFonts w:cs="Arial"/>
          <w:b/>
          <w:bCs/>
          <w:color w:val="000000" w:themeColor="text1"/>
        </w:rPr>
      </w:pPr>
      <w:r>
        <w:rPr>
          <w:rFonts w:cs="Arial"/>
          <w:b/>
          <w:bCs/>
          <w:color w:val="000000" w:themeColor="text1"/>
        </w:rPr>
        <w:br w:type="page"/>
      </w:r>
    </w:p>
    <w:p w14:paraId="4E8C0AE3" w14:textId="77777777" w:rsidR="00484BB1" w:rsidRDefault="00484BB1" w:rsidP="00A921AC">
      <w:pPr>
        <w:rPr>
          <w:rFonts w:cs="Arial"/>
          <w:b/>
          <w:bCs/>
          <w:color w:val="000000" w:themeColor="text1"/>
        </w:rPr>
      </w:pPr>
      <w:r>
        <w:rPr>
          <w:b/>
          <w:noProof/>
        </w:rPr>
        <w:lastRenderedPageBreak/>
        <mc:AlternateContent>
          <mc:Choice Requires="wps">
            <w:drawing>
              <wp:anchor distT="0" distB="0" distL="114300" distR="114300" simplePos="0" relativeHeight="252198912" behindDoc="0" locked="0" layoutInCell="1" allowOverlap="1" wp14:anchorId="0A8F4BFC" wp14:editId="3662B13B">
                <wp:simplePos x="0" y="0"/>
                <wp:positionH relativeFrom="margin">
                  <wp:align>center</wp:align>
                </wp:positionH>
                <wp:positionV relativeFrom="paragraph">
                  <wp:posOffset>-80962</wp:posOffset>
                </wp:positionV>
                <wp:extent cx="7917180" cy="371475"/>
                <wp:effectExtent l="0" t="0" r="26670" b="28575"/>
                <wp:wrapNone/>
                <wp:docPr id="1282548150" name="Rectángulo 1282548150"/>
                <wp:cNvGraphicFramePr/>
                <a:graphic xmlns:a="http://schemas.openxmlformats.org/drawingml/2006/main">
                  <a:graphicData uri="http://schemas.microsoft.com/office/word/2010/wordprocessingShape">
                    <wps:wsp>
                      <wps:cNvSpPr/>
                      <wps:spPr>
                        <a:xfrm>
                          <a:off x="0" y="0"/>
                          <a:ext cx="7917180" cy="37147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A59F486" w14:textId="77777777" w:rsidR="00484BB1" w:rsidRPr="00A921AC" w:rsidRDefault="00484BB1" w:rsidP="00A921AC">
                            <w:pPr>
                              <w:jc w:val="center"/>
                              <w:rPr>
                                <w:rFonts w:cstheme="minorHAnsi"/>
                                <w:b/>
                              </w:rPr>
                            </w:pPr>
                            <w:r w:rsidRPr="00A921AC">
                              <w:rPr>
                                <w:rFonts w:cstheme="minorHAnsi"/>
                                <w:b/>
                              </w:rPr>
                              <w:t>ESCALA DE EVALUACIÓN – INVESTIGACIÓN SOBRE LOS COMPONENTES DE LA IDENTIDAD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8F4BFC" id="Rectángulo 1282548150" o:spid="_x0000_s1061" style="position:absolute;margin-left:0;margin-top:-6.35pt;width:623.4pt;height:29.25pt;z-index:252198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" fillcolor="white [3201]" strokecolor="black [3200]" strokeweight=".25pt">
                <v:textbox>
                  <w:txbxContent>
                    <w:p w14:paraId="1A59F486" w14:textId="77777777" w:rsidR="00484BB1" w:rsidRPr="00A921AC" w:rsidRDefault="00484BB1" w:rsidP="00A921AC">
                      <w:pPr>
                        <w:jc w:val="center"/>
                        <w:rPr>
                          <w:rFonts w:cstheme="minorHAnsi"/>
                          <w:b/>
                        </w:rPr>
                      </w:pPr>
                      <w:r w:rsidRPr="00A921AC">
                        <w:rPr>
                          <w:rFonts w:cstheme="minorHAnsi"/>
                          <w:b/>
                        </w:rPr>
                        <w:t>ESCALA DE EVALUACIÓN – INVESTIGACIÓN SOBRE LOS COMPONENTES DE LA IDENTIDAD</w:t>
                      </w:r>
                    </w:p>
                  </w:txbxContent>
                </v:textbox>
                <w10:wrap anchorx="margin"/>
              </v:rect>
            </w:pict>
          </mc:Fallback>
        </mc:AlternateContent>
      </w:r>
    </w:p>
    <w:p w14:paraId="6D8A96EE" w14:textId="77777777" w:rsidR="00484BB1" w:rsidRDefault="00484BB1" w:rsidP="00A921AC">
      <w:pPr>
        <w:rPr>
          <w:rFonts w:cs="Arial"/>
          <w:b/>
          <w:bCs/>
          <w:color w:val="000000" w:themeColor="text1"/>
        </w:rPr>
      </w:pPr>
    </w:p>
    <w:p w14:paraId="78CD1AF3" w14:textId="77777777" w:rsidR="00484BB1" w:rsidRPr="00326BF0" w:rsidRDefault="00484BB1" w:rsidP="00A921AC">
      <w:pPr>
        <w:jc w:val="center"/>
        <w:rPr>
          <w:rFonts w:cs="Arial"/>
          <w:color w:val="0070C0"/>
        </w:rPr>
      </w:pPr>
      <w:r w:rsidRPr="00326BF0">
        <w:rPr>
          <w:rFonts w:cs="Arial"/>
          <w:color w:val="0070C0"/>
        </w:rPr>
        <w:t>La investigación es el trabajo creativo realizado para aumentar el acervo de conocimientos. Implica la recopilación, organización y análisis de información para aumentar la comprensión de un tema. Se desarrolla una investigación sobre los componentes de la identidad respondiendo al tema de los procesos cognitivos y de la personalidad. Se elabora en la sesión 5 y tiene un valor de 5%.</w:t>
      </w:r>
    </w:p>
    <w:p w14:paraId="6F8FCB18" w14:textId="77777777" w:rsidR="00484BB1" w:rsidRDefault="00484BB1" w:rsidP="00A921AC">
      <w:pPr>
        <w:jc w:val="center"/>
        <w:rPr>
          <w:rFonts w:cs="Arial"/>
          <w:color w:val="000000" w:themeColor="text1"/>
        </w:rPr>
      </w:pPr>
    </w:p>
    <w:p w14:paraId="7A6F4A6E" w14:textId="77777777" w:rsidR="00484BB1" w:rsidRPr="00A921AC" w:rsidRDefault="00484BB1" w:rsidP="00A921AC">
      <w:pPr>
        <w:jc w:val="center"/>
        <w:rPr>
          <w:rFonts w:cs="Arial"/>
          <w:b/>
          <w:bCs/>
          <w:color w:val="000000" w:themeColor="text1"/>
        </w:rPr>
      </w:pPr>
      <w:r>
        <w:rPr>
          <w:rFonts w:cs="Arial"/>
          <w:b/>
          <w:bCs/>
          <w:noProof/>
          <w:color w:val="000000" w:themeColor="text1"/>
        </w:rPr>
        <w:drawing>
          <wp:anchor distT="0" distB="0" distL="114300" distR="114300" simplePos="0" relativeHeight="252206080" behindDoc="0" locked="0" layoutInCell="1" allowOverlap="1" wp14:anchorId="0335EC82" wp14:editId="46BEF7BD">
            <wp:simplePos x="0" y="0"/>
            <wp:positionH relativeFrom="column">
              <wp:posOffset>533400</wp:posOffset>
            </wp:positionH>
            <wp:positionV relativeFrom="paragraph">
              <wp:posOffset>-952</wp:posOffset>
            </wp:positionV>
            <wp:extent cx="8071104" cy="5102352"/>
            <wp:effectExtent l="0" t="0" r="6350" b="3175"/>
            <wp:wrapNone/>
            <wp:docPr id="1605968967"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968967" name="Imagen 3" descr="Tabla&#10;&#10;Descripción generada automáticamente"/>
                    <pic:cNvPicPr/>
                  </pic:nvPicPr>
                  <pic:blipFill>
                    <a:blip r:embed="rId92">
                      <a:extLst>
                        <a:ext uri="{28A0092B-C50C-407E-A947-70E740481C1C}">
                          <a14:useLocalDpi xmlns:a14="http://schemas.microsoft.com/office/drawing/2010/main" val="0"/>
                        </a:ext>
                      </a:extLst>
                    </a:blip>
                    <a:stretch>
                      <a:fillRect/>
                    </a:stretch>
                  </pic:blipFill>
                  <pic:spPr>
                    <a:xfrm>
                      <a:off x="0" y="0"/>
                      <a:ext cx="8071104" cy="5102352"/>
                    </a:xfrm>
                    <a:prstGeom prst="rect">
                      <a:avLst/>
                    </a:prstGeom>
                  </pic:spPr>
                </pic:pic>
              </a:graphicData>
            </a:graphic>
          </wp:anchor>
        </w:drawing>
      </w:r>
    </w:p>
    <w:p w14:paraId="1A8761C3" w14:textId="77777777" w:rsidR="00484BB1" w:rsidRDefault="00484BB1">
      <w:pPr>
        <w:rPr>
          <w:rFonts w:cs="Arial"/>
          <w:b/>
          <w:bCs/>
          <w:color w:val="000000" w:themeColor="text1"/>
        </w:rPr>
      </w:pPr>
      <w:r>
        <w:rPr>
          <w:rFonts w:cs="Arial"/>
          <w:b/>
          <w:bCs/>
          <w:color w:val="000000" w:themeColor="text1"/>
        </w:rPr>
        <w:br w:type="page"/>
      </w:r>
    </w:p>
    <w:p w14:paraId="56BE3CCC" w14:textId="77777777" w:rsidR="00484BB1" w:rsidRDefault="00484BB1" w:rsidP="00A921AC">
      <w:pPr>
        <w:rPr>
          <w:rFonts w:cs="Arial"/>
          <w:b/>
          <w:bCs/>
          <w:color w:val="000000" w:themeColor="text1"/>
        </w:rPr>
      </w:pPr>
      <w:r>
        <w:rPr>
          <w:b/>
          <w:noProof/>
        </w:rPr>
        <w:lastRenderedPageBreak/>
        <mc:AlternateContent>
          <mc:Choice Requires="wps">
            <w:drawing>
              <wp:anchor distT="0" distB="0" distL="114300" distR="114300" simplePos="0" relativeHeight="252199936" behindDoc="0" locked="0" layoutInCell="1" allowOverlap="1" wp14:anchorId="2732F690" wp14:editId="6929C82E">
                <wp:simplePos x="0" y="0"/>
                <wp:positionH relativeFrom="margin">
                  <wp:align>center</wp:align>
                </wp:positionH>
                <wp:positionV relativeFrom="paragraph">
                  <wp:posOffset>-142875</wp:posOffset>
                </wp:positionV>
                <wp:extent cx="7437120" cy="423863"/>
                <wp:effectExtent l="0" t="0" r="11430" b="14605"/>
                <wp:wrapNone/>
                <wp:docPr id="983608004" name="Cuadro de texto 983608004"/>
                <wp:cNvGraphicFramePr/>
                <a:graphic xmlns:a="http://schemas.openxmlformats.org/drawingml/2006/main">
                  <a:graphicData uri="http://schemas.microsoft.com/office/word/2010/wordprocessingShape">
                    <wps:wsp>
                      <wps:cNvSpPr txBox="1"/>
                      <wps:spPr>
                        <a:xfrm>
                          <a:off x="0" y="0"/>
                          <a:ext cx="7437120" cy="423863"/>
                        </a:xfrm>
                        <a:prstGeom prst="rect">
                          <a:avLst/>
                        </a:prstGeom>
                        <a:solidFill>
                          <a:schemeClr val="lt1"/>
                        </a:solidFill>
                        <a:ln w="6350">
                          <a:solidFill>
                            <a:prstClr val="black"/>
                          </a:solidFill>
                        </a:ln>
                      </wps:spPr>
                      <wps:txbx>
                        <w:txbxContent>
                          <w:p w14:paraId="7D9A7C38" w14:textId="77777777" w:rsidR="00484BB1" w:rsidRPr="00A921AC" w:rsidRDefault="00484BB1" w:rsidP="00A921AC">
                            <w:pPr>
                              <w:jc w:val="center"/>
                              <w:rPr>
                                <w:rFonts w:cstheme="minorHAnsi"/>
                                <w:b/>
                              </w:rPr>
                            </w:pPr>
                            <w:r w:rsidRPr="00A921AC">
                              <w:rPr>
                                <w:rFonts w:cstheme="minorHAnsi"/>
                                <w:b/>
                              </w:rPr>
                              <w:t>RÚBRICA DE EVALUACIÓN – RESEÑA CRÍTICA DE LECTURA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2F690" id="Cuadro de texto 983608004" o:spid="_x0000_s1062" type="#_x0000_t202" style="position:absolute;margin-left:0;margin-top:-11.25pt;width:585.6pt;height:33.4pt;z-index:252199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" fillcolor="white [3201]" strokeweight=".5pt">
                <v:textbox>
                  <w:txbxContent>
                    <w:p w14:paraId="7D9A7C38" w14:textId="77777777" w:rsidR="00484BB1" w:rsidRPr="00A921AC" w:rsidRDefault="00484BB1" w:rsidP="00A921AC">
                      <w:pPr>
                        <w:jc w:val="center"/>
                        <w:rPr>
                          <w:rFonts w:cstheme="minorHAnsi"/>
                          <w:b/>
                        </w:rPr>
                      </w:pPr>
                      <w:r w:rsidRPr="00A921AC">
                        <w:rPr>
                          <w:rFonts w:cstheme="minorHAnsi"/>
                          <w:b/>
                        </w:rPr>
                        <w:t>RÚBRICA DE EVALUACIÓN – RESEÑA CRÍTICA DE LECTURA</w:t>
                      </w:r>
                    </w:p>
                  </w:txbxContent>
                </v:textbox>
                <w10:wrap anchorx="margin"/>
              </v:shape>
            </w:pict>
          </mc:Fallback>
        </mc:AlternateContent>
      </w:r>
    </w:p>
    <w:p w14:paraId="5B2F3879" w14:textId="77777777" w:rsidR="00484BB1" w:rsidRDefault="00484BB1" w:rsidP="00A921AC">
      <w:pPr>
        <w:rPr>
          <w:rFonts w:cs="Arial"/>
          <w:b/>
          <w:bCs/>
          <w:color w:val="000000" w:themeColor="text1"/>
        </w:rPr>
      </w:pPr>
    </w:p>
    <w:p w14:paraId="3D96560B" w14:textId="77777777" w:rsidR="00484BB1" w:rsidRPr="00326BF0" w:rsidRDefault="00484BB1" w:rsidP="00A921AC">
      <w:pPr>
        <w:jc w:val="center"/>
        <w:rPr>
          <w:rFonts w:cs="Arial"/>
          <w:color w:val="0070C0"/>
        </w:rPr>
      </w:pPr>
      <w:r w:rsidRPr="00326BF0">
        <w:rPr>
          <w:rFonts w:cs="Arial"/>
          <w:color w:val="0070C0"/>
        </w:rPr>
        <w:t>La realización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Se elabora en la sesión 9 y tiene un valor de 5%.</w:t>
      </w:r>
    </w:p>
    <w:p w14:paraId="4B6FC6E7" w14:textId="77777777" w:rsidR="00484BB1" w:rsidRDefault="00484BB1" w:rsidP="00A921AC">
      <w:pPr>
        <w:jc w:val="center"/>
        <w:rPr>
          <w:rFonts w:cs="Arial"/>
          <w:color w:val="000000" w:themeColor="text1"/>
        </w:rPr>
      </w:pPr>
    </w:p>
    <w:p w14:paraId="1A2E5CC5" w14:textId="77777777" w:rsidR="00484BB1" w:rsidRPr="00A921AC" w:rsidRDefault="00484BB1" w:rsidP="00A921AC">
      <w:pPr>
        <w:jc w:val="center"/>
        <w:rPr>
          <w:rFonts w:cs="Arial"/>
          <w:color w:val="000000" w:themeColor="text1"/>
        </w:rPr>
      </w:pPr>
      <w:r>
        <w:rPr>
          <w:rFonts w:cs="Arial"/>
          <w:noProof/>
          <w:color w:val="000000" w:themeColor="text1"/>
        </w:rPr>
        <w:drawing>
          <wp:anchor distT="0" distB="0" distL="114300" distR="114300" simplePos="0" relativeHeight="252209152" behindDoc="0" locked="0" layoutInCell="1" allowOverlap="1" wp14:anchorId="02F16CB3" wp14:editId="02E3B64B">
            <wp:simplePos x="0" y="0"/>
            <wp:positionH relativeFrom="column">
              <wp:posOffset>0</wp:posOffset>
            </wp:positionH>
            <wp:positionV relativeFrom="paragraph">
              <wp:posOffset>-952</wp:posOffset>
            </wp:positionV>
            <wp:extent cx="9144000" cy="4982210"/>
            <wp:effectExtent l="0" t="0" r="0" b="8890"/>
            <wp:wrapNone/>
            <wp:docPr id="77940625"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40625" name="Imagen 4" descr="Tabla&#10;&#10;Descripción generada automáticamente"/>
                    <pic:cNvPicPr/>
                  </pic:nvPicPr>
                  <pic:blipFill>
                    <a:blip r:embed="rId93">
                      <a:extLst>
                        <a:ext uri="{28A0092B-C50C-407E-A947-70E740481C1C}">
                          <a14:useLocalDpi xmlns:a14="http://schemas.microsoft.com/office/drawing/2010/main" val="0"/>
                        </a:ext>
                      </a:extLst>
                    </a:blip>
                    <a:stretch>
                      <a:fillRect/>
                    </a:stretch>
                  </pic:blipFill>
                  <pic:spPr>
                    <a:xfrm>
                      <a:off x="0" y="0"/>
                      <a:ext cx="9144000" cy="4982210"/>
                    </a:xfrm>
                    <a:prstGeom prst="rect">
                      <a:avLst/>
                    </a:prstGeom>
                  </pic:spPr>
                </pic:pic>
              </a:graphicData>
            </a:graphic>
          </wp:anchor>
        </w:drawing>
      </w:r>
    </w:p>
    <w:p w14:paraId="7FA9A4AA" w14:textId="77777777" w:rsidR="00484BB1" w:rsidRDefault="00484BB1">
      <w:pPr>
        <w:rPr>
          <w:rFonts w:cs="Arial"/>
          <w:b/>
          <w:bCs/>
          <w:color w:val="000000" w:themeColor="text1"/>
        </w:rPr>
      </w:pPr>
      <w:r>
        <w:rPr>
          <w:rFonts w:cs="Arial"/>
          <w:b/>
          <w:bCs/>
          <w:color w:val="000000" w:themeColor="text1"/>
        </w:rPr>
        <w:br w:type="page"/>
      </w:r>
    </w:p>
    <w:p w14:paraId="2A1F0951" w14:textId="77777777" w:rsidR="00484BB1" w:rsidRDefault="00484BB1" w:rsidP="00AF42A6">
      <w:pPr>
        <w:rPr>
          <w:rFonts w:cs="Arial"/>
          <w:b/>
          <w:bCs/>
          <w:color w:val="000000" w:themeColor="text1"/>
        </w:rPr>
      </w:pPr>
      <w:r>
        <w:rPr>
          <w:b/>
          <w:noProof/>
        </w:rPr>
        <w:lastRenderedPageBreak/>
        <mc:AlternateContent>
          <mc:Choice Requires="wps">
            <w:drawing>
              <wp:anchor distT="0" distB="0" distL="114300" distR="114300" simplePos="0" relativeHeight="252200960" behindDoc="0" locked="0" layoutInCell="1" allowOverlap="1" wp14:anchorId="74D5159D" wp14:editId="2DAB2BFB">
                <wp:simplePos x="0" y="0"/>
                <wp:positionH relativeFrom="margin">
                  <wp:align>center</wp:align>
                </wp:positionH>
                <wp:positionV relativeFrom="paragraph">
                  <wp:posOffset>-80962</wp:posOffset>
                </wp:positionV>
                <wp:extent cx="7917180" cy="381000"/>
                <wp:effectExtent l="0" t="0" r="26670" b="19050"/>
                <wp:wrapNone/>
                <wp:docPr id="1725555524" name="Rectángulo 1725555524"/>
                <wp:cNvGraphicFramePr/>
                <a:graphic xmlns:a="http://schemas.openxmlformats.org/drawingml/2006/main">
                  <a:graphicData uri="http://schemas.microsoft.com/office/word/2010/wordprocessingShape">
                    <wps:wsp>
                      <wps:cNvSpPr/>
                      <wps:spPr>
                        <a:xfrm>
                          <a:off x="0" y="0"/>
                          <a:ext cx="7917180" cy="381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4F5CD39B" w14:textId="77777777" w:rsidR="00484BB1" w:rsidRPr="00AF42A6" w:rsidRDefault="00484BB1" w:rsidP="00AF42A6">
                            <w:pPr>
                              <w:jc w:val="center"/>
                              <w:rPr>
                                <w:rFonts w:cstheme="minorHAnsi"/>
                                <w:b/>
                              </w:rPr>
                            </w:pPr>
                            <w:r w:rsidRPr="00AF42A6">
                              <w:rPr>
                                <w:rFonts w:cstheme="minorHAnsi"/>
                                <w:b/>
                              </w:rPr>
                              <w:t>ESCALA DE EVALUACIÓN – ANÁLISIS COMPARATIVO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D5159D" id="Rectángulo 1725555524" o:spid="_x0000_s1063" style="position:absolute;margin-left:0;margin-top:-6.35pt;width:623.4pt;height:30pt;z-index:252200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" fillcolor="white [3201]" strokecolor="black [3200]" strokeweight=".25pt">
                <v:textbox>
                  <w:txbxContent>
                    <w:p w14:paraId="4F5CD39B" w14:textId="77777777" w:rsidR="00484BB1" w:rsidRPr="00AF42A6" w:rsidRDefault="00484BB1" w:rsidP="00AF42A6">
                      <w:pPr>
                        <w:jc w:val="center"/>
                        <w:rPr>
                          <w:rFonts w:cstheme="minorHAnsi"/>
                          <w:b/>
                        </w:rPr>
                      </w:pPr>
                      <w:r w:rsidRPr="00AF42A6">
                        <w:rPr>
                          <w:rFonts w:cstheme="minorHAnsi"/>
                          <w:b/>
                        </w:rPr>
                        <w:t>ESCALA DE EVALUACIÓN – ANÁLISIS COMPARATIVO</w:t>
                      </w:r>
                    </w:p>
                  </w:txbxContent>
                </v:textbox>
                <w10:wrap anchorx="margin"/>
              </v:rect>
            </w:pict>
          </mc:Fallback>
        </mc:AlternateContent>
      </w:r>
    </w:p>
    <w:p w14:paraId="03B53023" w14:textId="77777777" w:rsidR="00484BB1" w:rsidRDefault="00484BB1" w:rsidP="00AF42A6">
      <w:pPr>
        <w:rPr>
          <w:rFonts w:cs="Arial"/>
          <w:b/>
          <w:bCs/>
          <w:color w:val="000000" w:themeColor="text1"/>
        </w:rPr>
      </w:pPr>
    </w:p>
    <w:p w14:paraId="59045BAC" w14:textId="77777777" w:rsidR="00484BB1" w:rsidRPr="00326BF0" w:rsidRDefault="00484BB1" w:rsidP="00AF42A6">
      <w:pPr>
        <w:jc w:val="center"/>
        <w:rPr>
          <w:rFonts w:cs="Arial"/>
          <w:color w:val="0070C0"/>
        </w:rPr>
      </w:pPr>
      <w:r w:rsidRPr="00326BF0">
        <w:rPr>
          <w:rFonts w:cs="Arial"/>
          <w:color w:val="0070C0"/>
        </w:rPr>
        <w:t>El análisis comparativo es una estrategia que permite establecer relaciones entre dos o más fenómenos o conjuntos de elementos para obtener razones válidas en la explicación de diferencias o semejanzas. Se elabora en la sesión 10 y tiene un valor de 5%.</w:t>
      </w:r>
    </w:p>
    <w:p w14:paraId="173DAEBA" w14:textId="77777777" w:rsidR="00484BB1" w:rsidRDefault="00484BB1" w:rsidP="00AF42A6">
      <w:pPr>
        <w:jc w:val="center"/>
        <w:rPr>
          <w:rFonts w:cs="Arial"/>
          <w:color w:val="000000" w:themeColor="text1"/>
        </w:rPr>
      </w:pPr>
      <w:r>
        <w:rPr>
          <w:rFonts w:cs="Arial"/>
          <w:b/>
          <w:bCs/>
          <w:noProof/>
          <w:color w:val="000000" w:themeColor="text1"/>
        </w:rPr>
        <w:drawing>
          <wp:anchor distT="0" distB="0" distL="114300" distR="114300" simplePos="0" relativeHeight="252201984" behindDoc="0" locked="0" layoutInCell="1" allowOverlap="1" wp14:anchorId="1AC30970" wp14:editId="474DCB94">
            <wp:simplePos x="0" y="0"/>
            <wp:positionH relativeFrom="margin">
              <wp:align>center</wp:align>
            </wp:positionH>
            <wp:positionV relativeFrom="paragraph">
              <wp:posOffset>206692</wp:posOffset>
            </wp:positionV>
            <wp:extent cx="7842768" cy="5414962"/>
            <wp:effectExtent l="0" t="0" r="6350" b="0"/>
            <wp:wrapNone/>
            <wp:docPr id="614189790"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89790" name="Imagen 5" descr="Tabla&#10;&#10;Descripción generada automáticamente"/>
                    <pic:cNvPicPr/>
                  </pic:nvPicPr>
                  <pic:blipFill>
                    <a:blip r:embed="rId94">
                      <a:extLst>
                        <a:ext uri="{28A0092B-C50C-407E-A947-70E740481C1C}">
                          <a14:useLocalDpi xmlns:a14="http://schemas.microsoft.com/office/drawing/2010/main" val="0"/>
                        </a:ext>
                      </a:extLst>
                    </a:blip>
                    <a:stretch>
                      <a:fillRect/>
                    </a:stretch>
                  </pic:blipFill>
                  <pic:spPr>
                    <a:xfrm>
                      <a:off x="0" y="0"/>
                      <a:ext cx="7842768" cy="5414962"/>
                    </a:xfrm>
                    <a:prstGeom prst="rect">
                      <a:avLst/>
                    </a:prstGeom>
                  </pic:spPr>
                </pic:pic>
              </a:graphicData>
            </a:graphic>
            <wp14:sizeRelH relativeFrom="margin">
              <wp14:pctWidth>0</wp14:pctWidth>
            </wp14:sizeRelH>
            <wp14:sizeRelV relativeFrom="margin">
              <wp14:pctHeight>0</wp14:pctHeight>
            </wp14:sizeRelV>
          </wp:anchor>
        </w:drawing>
      </w:r>
    </w:p>
    <w:p w14:paraId="3464D5DC" w14:textId="77777777" w:rsidR="00484BB1" w:rsidRPr="00AF42A6" w:rsidRDefault="00484BB1" w:rsidP="00AF42A6">
      <w:pPr>
        <w:jc w:val="center"/>
        <w:rPr>
          <w:rFonts w:cs="Arial"/>
          <w:b/>
          <w:bCs/>
          <w:color w:val="000000" w:themeColor="text1"/>
        </w:rPr>
      </w:pPr>
    </w:p>
    <w:p w14:paraId="1B6D2CEB" w14:textId="77777777" w:rsidR="00484BB1" w:rsidRDefault="00484BB1">
      <w:pPr>
        <w:rPr>
          <w:rFonts w:cs="Arial"/>
          <w:b/>
          <w:bCs/>
          <w:color w:val="000000" w:themeColor="text1"/>
        </w:rPr>
      </w:pPr>
      <w:r>
        <w:rPr>
          <w:rFonts w:cs="Arial"/>
          <w:b/>
          <w:bCs/>
          <w:color w:val="000000" w:themeColor="text1"/>
        </w:rPr>
        <w:br w:type="page"/>
      </w:r>
    </w:p>
    <w:p w14:paraId="4660FE99" w14:textId="77777777" w:rsidR="00484BB1" w:rsidRDefault="00484BB1" w:rsidP="00AF42A6">
      <w:pPr>
        <w:rPr>
          <w:rFonts w:cs="Arial"/>
          <w:b/>
          <w:bCs/>
          <w:color w:val="000000" w:themeColor="text1"/>
        </w:rPr>
      </w:pPr>
      <w:r>
        <w:rPr>
          <w:b/>
          <w:noProof/>
        </w:rPr>
        <w:lastRenderedPageBreak/>
        <mc:AlternateContent>
          <mc:Choice Requires="wps">
            <w:drawing>
              <wp:anchor distT="0" distB="0" distL="114300" distR="114300" simplePos="0" relativeHeight="252204032" behindDoc="0" locked="0" layoutInCell="1" allowOverlap="1" wp14:anchorId="0E87C7F5" wp14:editId="0A0EB7A8">
                <wp:simplePos x="0" y="0"/>
                <wp:positionH relativeFrom="margin">
                  <wp:align>center</wp:align>
                </wp:positionH>
                <wp:positionV relativeFrom="paragraph">
                  <wp:posOffset>-128588</wp:posOffset>
                </wp:positionV>
                <wp:extent cx="7917180" cy="395287"/>
                <wp:effectExtent l="0" t="0" r="26670" b="24130"/>
                <wp:wrapNone/>
                <wp:docPr id="2027501068" name="Rectángulo 2027501068"/>
                <wp:cNvGraphicFramePr/>
                <a:graphic xmlns:a="http://schemas.openxmlformats.org/drawingml/2006/main">
                  <a:graphicData uri="http://schemas.microsoft.com/office/word/2010/wordprocessingShape">
                    <wps:wsp>
                      <wps:cNvSpPr/>
                      <wps:spPr>
                        <a:xfrm>
                          <a:off x="0" y="0"/>
                          <a:ext cx="7917180" cy="395287"/>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A1E6C54" w14:textId="77777777" w:rsidR="00484BB1" w:rsidRPr="00AF42A6" w:rsidRDefault="00484BB1" w:rsidP="00AF42A6">
                            <w:pPr>
                              <w:jc w:val="center"/>
                              <w:rPr>
                                <w:rFonts w:cstheme="minorHAnsi"/>
                                <w:b/>
                              </w:rPr>
                            </w:pPr>
                            <w:r w:rsidRPr="00AF42A6">
                              <w:rPr>
                                <w:rFonts w:cstheme="minorHAnsi"/>
                                <w:b/>
                              </w:rPr>
                              <w:t>ESCALA DE EVALUACIÓN – ENSAYO COMPARATIVO SOBRE LOS MODELOS FAMILIARES DE CRIANZA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7C7F5" id="Rectángulo 2027501068" o:spid="_x0000_s1064" style="position:absolute;margin-left:0;margin-top:-10.15pt;width:623.4pt;height:31.1pt;z-index:252204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" fillcolor="white [3201]" strokecolor="black [3200]" strokeweight=".25pt">
                <v:textbox>
                  <w:txbxContent>
                    <w:p w14:paraId="1A1E6C54" w14:textId="77777777" w:rsidR="00484BB1" w:rsidRPr="00AF42A6" w:rsidRDefault="00484BB1" w:rsidP="00AF42A6">
                      <w:pPr>
                        <w:jc w:val="center"/>
                        <w:rPr>
                          <w:rFonts w:cstheme="minorHAnsi"/>
                          <w:b/>
                        </w:rPr>
                      </w:pPr>
                      <w:r w:rsidRPr="00AF42A6">
                        <w:rPr>
                          <w:rFonts w:cstheme="minorHAnsi"/>
                          <w:b/>
                        </w:rPr>
                        <w:t>ESCALA DE EVALUACIÓN – ENSAYO COMPARATIVO SOBRE LOS MODELOS FAMILIARES DE CRIANZA</w:t>
                      </w:r>
                    </w:p>
                  </w:txbxContent>
                </v:textbox>
                <w10:wrap anchorx="margin"/>
              </v:rect>
            </w:pict>
          </mc:Fallback>
        </mc:AlternateContent>
      </w:r>
    </w:p>
    <w:p w14:paraId="12141B83" w14:textId="77777777" w:rsidR="00484BB1" w:rsidRDefault="00484BB1" w:rsidP="00AF42A6">
      <w:pPr>
        <w:rPr>
          <w:rFonts w:cs="Arial"/>
          <w:b/>
          <w:bCs/>
          <w:color w:val="000000" w:themeColor="text1"/>
        </w:rPr>
      </w:pPr>
    </w:p>
    <w:p w14:paraId="28702198" w14:textId="77777777" w:rsidR="00484BB1" w:rsidRPr="00326BF0" w:rsidRDefault="00484BB1" w:rsidP="00AF42A6">
      <w:pPr>
        <w:jc w:val="center"/>
        <w:rPr>
          <w:rFonts w:cs="Arial"/>
          <w:color w:val="0070C0"/>
        </w:rPr>
      </w:pPr>
      <w:r w:rsidRPr="00326BF0">
        <w:rPr>
          <w:rFonts w:cs="Arial"/>
          <w:color w:val="0070C0"/>
        </w:rPr>
        <w:t>Un ensayo comparativo es una forma de escritura académica que examina las similitudes y diferencias entre dos ideas. La persona escritora recibe dos o más temas para determinar en qué se parecen y en qué se diferencian. Se elabora en la sesión 11 y tiene un valor de 5%.</w:t>
      </w:r>
    </w:p>
    <w:p w14:paraId="70C5961D" w14:textId="77777777" w:rsidR="00484BB1" w:rsidRDefault="00484BB1" w:rsidP="00AF42A6">
      <w:pPr>
        <w:jc w:val="center"/>
        <w:rPr>
          <w:rFonts w:cs="Arial"/>
          <w:color w:val="000000" w:themeColor="text1"/>
        </w:rPr>
      </w:pPr>
    </w:p>
    <w:p w14:paraId="671CC4D4" w14:textId="77777777" w:rsidR="00484BB1" w:rsidRPr="00AF42A6" w:rsidRDefault="00484BB1" w:rsidP="00AF42A6">
      <w:pPr>
        <w:jc w:val="center"/>
        <w:rPr>
          <w:rFonts w:cs="Arial"/>
          <w:b/>
          <w:bCs/>
          <w:color w:val="000000" w:themeColor="text1"/>
        </w:rPr>
      </w:pPr>
      <w:r>
        <w:rPr>
          <w:rFonts w:cs="Arial"/>
          <w:b/>
          <w:bCs/>
          <w:noProof/>
          <w:color w:val="000000" w:themeColor="text1"/>
        </w:rPr>
        <w:drawing>
          <wp:anchor distT="0" distB="0" distL="114300" distR="114300" simplePos="0" relativeHeight="252213248" behindDoc="0" locked="0" layoutInCell="1" allowOverlap="1" wp14:anchorId="71A85D9A" wp14:editId="631BD847">
            <wp:simplePos x="0" y="0"/>
            <wp:positionH relativeFrom="column">
              <wp:posOffset>552450</wp:posOffset>
            </wp:positionH>
            <wp:positionV relativeFrom="paragraph">
              <wp:posOffset>2223</wp:posOffset>
            </wp:positionV>
            <wp:extent cx="8034528" cy="4992624"/>
            <wp:effectExtent l="0" t="0" r="5080" b="0"/>
            <wp:wrapNone/>
            <wp:docPr id="1601024336"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24336" name="Imagen 6" descr="Tabla&#10;&#10;Descripción generada automáticamente"/>
                    <pic:cNvPicPr/>
                  </pic:nvPicPr>
                  <pic:blipFill>
                    <a:blip r:embed="rId95">
                      <a:extLst>
                        <a:ext uri="{28A0092B-C50C-407E-A947-70E740481C1C}">
                          <a14:useLocalDpi xmlns:a14="http://schemas.microsoft.com/office/drawing/2010/main" val="0"/>
                        </a:ext>
                      </a:extLst>
                    </a:blip>
                    <a:stretch>
                      <a:fillRect/>
                    </a:stretch>
                  </pic:blipFill>
                  <pic:spPr>
                    <a:xfrm>
                      <a:off x="0" y="0"/>
                      <a:ext cx="8034528" cy="4992624"/>
                    </a:xfrm>
                    <a:prstGeom prst="rect">
                      <a:avLst/>
                    </a:prstGeom>
                  </pic:spPr>
                </pic:pic>
              </a:graphicData>
            </a:graphic>
          </wp:anchor>
        </w:drawing>
      </w:r>
    </w:p>
    <w:p w14:paraId="55B7E13D" w14:textId="77777777" w:rsidR="00484BB1" w:rsidRDefault="00484BB1">
      <w:pPr>
        <w:rPr>
          <w:rFonts w:cs="Arial"/>
          <w:b/>
          <w:bCs/>
          <w:color w:val="000000" w:themeColor="text1"/>
        </w:rPr>
      </w:pPr>
      <w:r>
        <w:rPr>
          <w:rFonts w:cs="Arial"/>
          <w:b/>
          <w:bCs/>
          <w:color w:val="000000" w:themeColor="text1"/>
        </w:rPr>
        <w:br w:type="page"/>
      </w:r>
    </w:p>
    <w:p w14:paraId="0A48D467" w14:textId="77777777" w:rsidR="00484BB1" w:rsidRDefault="00484BB1">
      <w:pPr>
        <w:rPr>
          <w:rFonts w:cs="Arial"/>
          <w:b/>
          <w:bCs/>
          <w:color w:val="000000" w:themeColor="text1"/>
        </w:rPr>
      </w:pPr>
      <w:r>
        <w:rPr>
          <w:noProof/>
        </w:rPr>
        <w:lastRenderedPageBreak/>
        <mc:AlternateContent>
          <mc:Choice Requires="wps">
            <w:drawing>
              <wp:anchor distT="0" distB="0" distL="114300" distR="114300" simplePos="0" relativeHeight="252214272" behindDoc="0" locked="0" layoutInCell="1" allowOverlap="1" wp14:anchorId="3E44F508" wp14:editId="76791A8E">
                <wp:simplePos x="0" y="0"/>
                <wp:positionH relativeFrom="margin">
                  <wp:align>center</wp:align>
                </wp:positionH>
                <wp:positionV relativeFrom="paragraph">
                  <wp:posOffset>4762</wp:posOffset>
                </wp:positionV>
                <wp:extent cx="7809230" cy="447675"/>
                <wp:effectExtent l="0" t="0" r="20320" b="28575"/>
                <wp:wrapNone/>
                <wp:docPr id="1558086865"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09230" cy="44767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18EFF29" w14:textId="77777777" w:rsidR="00484BB1" w:rsidRPr="003562F9" w:rsidRDefault="00484BB1" w:rsidP="003562F9">
                            <w:pPr>
                              <w:spacing w:before="75"/>
                              <w:ind w:left="1856" w:right="1856"/>
                              <w:jc w:val="center"/>
                              <w:rPr>
                                <w:rFonts w:cstheme="minorHAnsi"/>
                                <w:b/>
                              </w:rPr>
                            </w:pPr>
                            <w:r w:rsidRPr="003562F9">
                              <w:rPr>
                                <w:rFonts w:cstheme="minorHAnsi"/>
                                <w:b/>
                              </w:rPr>
                              <w:t>ESCALA DE EVALUACIÓN – OBSERVACIÓN DE PERSONAS EN DIFERENTES ETAPAS DEL DESARROLLO HUMANO</w:t>
                            </w:r>
                          </w:p>
                        </w:txbxContent>
                      </wps:txbx>
                      <wps:bodyPr rot="0" vert="horz" wrap="square" lIns="0" tIns="0" rIns="0" bIns="0" anchor="t" anchorCtr="0" upright="1">
                        <a:noAutofit/>
                      </wps:bodyPr>
                    </wps:wsp>
                  </a:graphicData>
                </a:graphic>
              </wp:anchor>
            </w:drawing>
          </mc:Choice>
          <mc:Fallback>
            <w:pict>
              <v:shape w14:anchorId="3E44F508" id="Cuadro de texto 7" o:spid="_x0000_s1065" type="#_x0000_t202" style="position:absolute;margin-left:0;margin-top:.35pt;width:614.9pt;height:35.25pt;z-index:2522142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" filled="f" strokeweight=".48pt">
                <v:textbox inset="0,0,0,0">
                  <w:txbxContent>
                    <w:p w14:paraId="418EFF29" w14:textId="77777777" w:rsidR="00484BB1" w:rsidRPr="003562F9" w:rsidRDefault="00484BB1" w:rsidP="003562F9">
                      <w:pPr>
                        <w:spacing w:before="75"/>
                        <w:ind w:left="1856" w:right="1856"/>
                        <w:jc w:val="center"/>
                        <w:rPr>
                          <w:rFonts w:cstheme="minorHAnsi"/>
                          <w:b/>
                        </w:rPr>
                      </w:pPr>
                      <w:r w:rsidRPr="003562F9">
                        <w:rPr>
                          <w:rFonts w:cstheme="minorHAnsi"/>
                          <w:b/>
                        </w:rPr>
                        <w:t>ESCALA DE EVALUACIÓN – OBSERVACIÓN DE PERSONAS EN DIFERENTES ETAPAS DEL DESARROLLO HUMANO</w:t>
                      </w:r>
                    </w:p>
                  </w:txbxContent>
                </v:textbox>
                <w10:wrap anchorx="margin"/>
              </v:shape>
            </w:pict>
          </mc:Fallback>
        </mc:AlternateContent>
      </w:r>
    </w:p>
    <w:p w14:paraId="270934D5" w14:textId="77777777" w:rsidR="00484BB1" w:rsidRDefault="00484BB1">
      <w:pPr>
        <w:rPr>
          <w:rFonts w:cs="Arial"/>
          <w:b/>
          <w:bCs/>
          <w:color w:val="000000" w:themeColor="text1"/>
        </w:rPr>
      </w:pPr>
    </w:p>
    <w:p w14:paraId="273C98CF" w14:textId="77777777" w:rsidR="00484BB1" w:rsidRPr="00326BF0" w:rsidRDefault="00484BB1" w:rsidP="003562F9">
      <w:pPr>
        <w:jc w:val="center"/>
        <w:rPr>
          <w:rFonts w:cs="Arial"/>
          <w:color w:val="0070C0"/>
        </w:rPr>
      </w:pPr>
      <w:r w:rsidRPr="00326BF0">
        <w:rPr>
          <w:rFonts w:cs="Arial"/>
          <w:color w:val="0070C0"/>
        </w:rPr>
        <w:t>La observación es una actividad pedagógica que implica la interacción del sujeto con su ambiente, a través del cual es posible fijar la atención en un objeto o situación para identificar sus características. Se desarrolla en la sesión 2 y tiene un valor de 5%.</w:t>
      </w:r>
    </w:p>
    <w:p w14:paraId="5ABF1756" w14:textId="77777777" w:rsidR="00484BB1" w:rsidRDefault="00484BB1" w:rsidP="003562F9">
      <w:pPr>
        <w:jc w:val="center"/>
        <w:rPr>
          <w:rFonts w:cs="Arial"/>
          <w:color w:val="000000" w:themeColor="text1"/>
        </w:rPr>
      </w:pPr>
    </w:p>
    <w:p w14:paraId="6FEF2BC9" w14:textId="77777777" w:rsidR="00484BB1" w:rsidRPr="003562F9" w:rsidRDefault="00484BB1" w:rsidP="003562F9">
      <w:pPr>
        <w:jc w:val="center"/>
        <w:rPr>
          <w:rFonts w:cs="Arial"/>
          <w:color w:val="000000" w:themeColor="text1"/>
        </w:rPr>
      </w:pPr>
      <w:r>
        <w:rPr>
          <w:rFonts w:cs="Arial"/>
          <w:noProof/>
          <w:color w:val="000000" w:themeColor="text1"/>
        </w:rPr>
        <w:drawing>
          <wp:anchor distT="0" distB="0" distL="114300" distR="114300" simplePos="0" relativeHeight="252216320" behindDoc="0" locked="0" layoutInCell="1" allowOverlap="1" wp14:anchorId="1EFCB3F2" wp14:editId="5F901637">
            <wp:simplePos x="0" y="0"/>
            <wp:positionH relativeFrom="column">
              <wp:posOffset>447675</wp:posOffset>
            </wp:positionH>
            <wp:positionV relativeFrom="paragraph">
              <wp:posOffset>2223</wp:posOffset>
            </wp:positionV>
            <wp:extent cx="8241792" cy="3852672"/>
            <wp:effectExtent l="0" t="0" r="6985" b="0"/>
            <wp:wrapNone/>
            <wp:docPr id="1626127199" name="Imagen 8"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127199" name="Imagen 8" descr="Interfaz de usuario gráfica, Aplicación, Tabla&#10;&#10;Descripción generada automáticamente"/>
                    <pic:cNvPicPr/>
                  </pic:nvPicPr>
                  <pic:blipFill>
                    <a:blip r:embed="rId96">
                      <a:extLst>
                        <a:ext uri="{28A0092B-C50C-407E-A947-70E740481C1C}">
                          <a14:useLocalDpi xmlns:a14="http://schemas.microsoft.com/office/drawing/2010/main" val="0"/>
                        </a:ext>
                      </a:extLst>
                    </a:blip>
                    <a:stretch>
                      <a:fillRect/>
                    </a:stretch>
                  </pic:blipFill>
                  <pic:spPr>
                    <a:xfrm>
                      <a:off x="0" y="0"/>
                      <a:ext cx="8241792" cy="3852672"/>
                    </a:xfrm>
                    <a:prstGeom prst="rect">
                      <a:avLst/>
                    </a:prstGeom>
                  </pic:spPr>
                </pic:pic>
              </a:graphicData>
            </a:graphic>
          </wp:anchor>
        </w:drawing>
      </w:r>
    </w:p>
    <w:p w14:paraId="456FAD4A" w14:textId="77777777" w:rsidR="00484BB1" w:rsidRDefault="00484BB1">
      <w:pPr>
        <w:rPr>
          <w:rFonts w:cs="Arial"/>
          <w:b/>
          <w:bCs/>
          <w:color w:val="000000" w:themeColor="text1"/>
        </w:rPr>
      </w:pPr>
    </w:p>
    <w:p w14:paraId="6857BFAE" w14:textId="77777777" w:rsidR="00484BB1" w:rsidRDefault="00484BB1">
      <w:pPr>
        <w:rPr>
          <w:rFonts w:cs="Arial"/>
          <w:b/>
          <w:bCs/>
          <w:color w:val="000000" w:themeColor="text1"/>
        </w:rPr>
      </w:pPr>
    </w:p>
    <w:p w14:paraId="09616136" w14:textId="77777777" w:rsidR="00484BB1" w:rsidRDefault="00484BB1">
      <w:pPr>
        <w:rPr>
          <w:rFonts w:cs="Arial"/>
          <w:b/>
          <w:bCs/>
          <w:color w:val="000000" w:themeColor="text1"/>
        </w:rPr>
      </w:pPr>
    </w:p>
    <w:p w14:paraId="77DB16C7" w14:textId="77777777" w:rsidR="00484BB1" w:rsidRDefault="00484BB1">
      <w:pPr>
        <w:rPr>
          <w:rFonts w:cs="Arial"/>
          <w:b/>
          <w:bCs/>
          <w:color w:val="000000" w:themeColor="text1"/>
        </w:rPr>
      </w:pPr>
    </w:p>
    <w:p w14:paraId="2B05B90B" w14:textId="77777777" w:rsidR="00484BB1" w:rsidRDefault="00484BB1">
      <w:pPr>
        <w:rPr>
          <w:rFonts w:cs="Arial"/>
          <w:b/>
          <w:bCs/>
          <w:color w:val="000000" w:themeColor="text1"/>
        </w:rPr>
      </w:pPr>
    </w:p>
    <w:p w14:paraId="1598B271" w14:textId="77777777" w:rsidR="00484BB1" w:rsidRDefault="00484BB1">
      <w:pPr>
        <w:rPr>
          <w:rFonts w:cs="Arial"/>
          <w:b/>
          <w:bCs/>
          <w:color w:val="000000" w:themeColor="text1"/>
        </w:rPr>
      </w:pPr>
    </w:p>
    <w:p w14:paraId="1E024B8E" w14:textId="77777777" w:rsidR="00484BB1" w:rsidRDefault="00484BB1">
      <w:pPr>
        <w:rPr>
          <w:rFonts w:cs="Arial"/>
          <w:b/>
          <w:bCs/>
          <w:color w:val="000000" w:themeColor="text1"/>
        </w:rPr>
      </w:pPr>
    </w:p>
    <w:p w14:paraId="59194A65" w14:textId="77777777" w:rsidR="00484BB1" w:rsidRDefault="00484BB1">
      <w:pPr>
        <w:rPr>
          <w:rFonts w:cs="Arial"/>
          <w:b/>
          <w:bCs/>
          <w:color w:val="000000" w:themeColor="text1"/>
        </w:rPr>
      </w:pPr>
    </w:p>
    <w:p w14:paraId="3A47ED4B" w14:textId="77777777" w:rsidR="00484BB1" w:rsidRDefault="00484BB1">
      <w:pPr>
        <w:rPr>
          <w:rFonts w:cs="Arial"/>
          <w:b/>
          <w:bCs/>
          <w:color w:val="000000" w:themeColor="text1"/>
        </w:rPr>
      </w:pPr>
    </w:p>
    <w:p w14:paraId="74671F99" w14:textId="77777777" w:rsidR="00484BB1" w:rsidRDefault="00484BB1">
      <w:pPr>
        <w:rPr>
          <w:rFonts w:cs="Arial"/>
          <w:b/>
          <w:bCs/>
          <w:color w:val="000000" w:themeColor="text1"/>
        </w:rPr>
      </w:pPr>
    </w:p>
    <w:p w14:paraId="33342A1E" w14:textId="77777777" w:rsidR="00484BB1" w:rsidRDefault="00484BB1">
      <w:pPr>
        <w:rPr>
          <w:rFonts w:cs="Arial"/>
          <w:b/>
          <w:bCs/>
          <w:color w:val="000000" w:themeColor="text1"/>
        </w:rPr>
      </w:pPr>
    </w:p>
    <w:p w14:paraId="73408C59" w14:textId="77777777" w:rsidR="00484BB1" w:rsidRDefault="00484BB1">
      <w:pPr>
        <w:rPr>
          <w:rFonts w:cs="Arial"/>
          <w:b/>
          <w:bCs/>
          <w:color w:val="000000" w:themeColor="text1"/>
        </w:rPr>
      </w:pPr>
    </w:p>
    <w:p w14:paraId="0E552F2A" w14:textId="77777777" w:rsidR="00484BB1" w:rsidRDefault="00484BB1">
      <w:pPr>
        <w:rPr>
          <w:rFonts w:cs="Arial"/>
          <w:b/>
          <w:bCs/>
          <w:color w:val="000000" w:themeColor="text1"/>
        </w:rPr>
      </w:pPr>
    </w:p>
    <w:p w14:paraId="74FF2968" w14:textId="77777777" w:rsidR="00484BB1" w:rsidRDefault="00484BB1">
      <w:pPr>
        <w:rPr>
          <w:rFonts w:cs="Arial"/>
          <w:b/>
          <w:bCs/>
          <w:color w:val="000000" w:themeColor="text1"/>
        </w:rPr>
      </w:pPr>
    </w:p>
    <w:p w14:paraId="7BE48219" w14:textId="77777777" w:rsidR="00484BB1" w:rsidRDefault="00484BB1">
      <w:pPr>
        <w:rPr>
          <w:rFonts w:cs="Arial"/>
          <w:b/>
          <w:bCs/>
          <w:color w:val="000000" w:themeColor="text1"/>
        </w:rPr>
      </w:pPr>
    </w:p>
    <w:p w14:paraId="085FFB16" w14:textId="77777777" w:rsidR="00484BB1" w:rsidRDefault="00484BB1">
      <w:pPr>
        <w:rPr>
          <w:rFonts w:cs="Arial"/>
          <w:b/>
          <w:bCs/>
          <w:color w:val="000000" w:themeColor="text1"/>
        </w:rPr>
      </w:pPr>
    </w:p>
    <w:p w14:paraId="65303429" w14:textId="77777777" w:rsidR="00484BB1" w:rsidRDefault="00484BB1">
      <w:pPr>
        <w:rPr>
          <w:rFonts w:cs="Arial"/>
          <w:b/>
          <w:bCs/>
          <w:color w:val="000000" w:themeColor="text1"/>
        </w:rPr>
      </w:pPr>
    </w:p>
    <w:p w14:paraId="054DF971" w14:textId="77777777" w:rsidR="00484BB1" w:rsidRDefault="00484BB1">
      <w:pPr>
        <w:rPr>
          <w:rFonts w:cs="Arial"/>
          <w:b/>
          <w:bCs/>
          <w:color w:val="000000" w:themeColor="text1"/>
        </w:rPr>
      </w:pPr>
    </w:p>
    <w:p w14:paraId="1B6710C9" w14:textId="77777777" w:rsidR="00484BB1" w:rsidRDefault="00484BB1">
      <w:pPr>
        <w:rPr>
          <w:rFonts w:cs="Arial"/>
          <w:b/>
          <w:bCs/>
          <w:color w:val="000000" w:themeColor="text1"/>
        </w:rPr>
      </w:pPr>
      <w:r>
        <w:rPr>
          <w:b/>
          <w:noProof/>
        </w:rPr>
        <w:lastRenderedPageBreak/>
        <mc:AlternateContent>
          <mc:Choice Requires="wps">
            <w:drawing>
              <wp:anchor distT="0" distB="0" distL="114300" distR="114300" simplePos="0" relativeHeight="252205056" behindDoc="0" locked="0" layoutInCell="1" allowOverlap="1" wp14:anchorId="35B12AE0" wp14:editId="68C6A69E">
                <wp:simplePos x="0" y="0"/>
                <wp:positionH relativeFrom="margin">
                  <wp:align>center</wp:align>
                </wp:positionH>
                <wp:positionV relativeFrom="paragraph">
                  <wp:posOffset>-176213</wp:posOffset>
                </wp:positionV>
                <wp:extent cx="7917180" cy="461962"/>
                <wp:effectExtent l="0" t="0" r="26670" b="14605"/>
                <wp:wrapNone/>
                <wp:docPr id="1501201341" name="Rectángulo 1501201341"/>
                <wp:cNvGraphicFramePr/>
                <a:graphic xmlns:a="http://schemas.openxmlformats.org/drawingml/2006/main">
                  <a:graphicData uri="http://schemas.microsoft.com/office/word/2010/wordprocessingShape">
                    <wps:wsp>
                      <wps:cNvSpPr/>
                      <wps:spPr>
                        <a:xfrm>
                          <a:off x="0" y="0"/>
                          <a:ext cx="7917180" cy="461962"/>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CBA3896" w14:textId="77777777" w:rsidR="00484BB1" w:rsidRPr="003562F9" w:rsidRDefault="00484BB1" w:rsidP="003562F9">
                            <w:pPr>
                              <w:jc w:val="center"/>
                              <w:rPr>
                                <w:rFonts w:cstheme="minorHAnsi"/>
                                <w:b/>
                              </w:rPr>
                            </w:pPr>
                            <w:r w:rsidRPr="003562F9">
                              <w:rPr>
                                <w:rFonts w:cstheme="minorHAnsi"/>
                                <w:b/>
                              </w:rPr>
                              <w:t>ESCALA DE EVALUACIÓN – ENSAYO CRÍTICO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12AE0" id="Rectángulo 1501201341" o:spid="_x0000_s1066" style="position:absolute;margin-left:0;margin-top:-13.9pt;width:623.4pt;height:36.35pt;z-index:252205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" fillcolor="white [3201]" strokecolor="black [3200]" strokeweight=".25pt">
                <v:textbox>
                  <w:txbxContent>
                    <w:p w14:paraId="0CBA3896" w14:textId="77777777" w:rsidR="00484BB1" w:rsidRPr="003562F9" w:rsidRDefault="00484BB1" w:rsidP="003562F9">
                      <w:pPr>
                        <w:jc w:val="center"/>
                        <w:rPr>
                          <w:rFonts w:cstheme="minorHAnsi"/>
                          <w:b/>
                        </w:rPr>
                      </w:pPr>
                      <w:r w:rsidRPr="003562F9">
                        <w:rPr>
                          <w:rFonts w:cstheme="minorHAnsi"/>
                          <w:b/>
                        </w:rPr>
                        <w:t>ESCALA DE EVALUACIÓN – ENSAYO CRÍTICO</w:t>
                      </w:r>
                    </w:p>
                  </w:txbxContent>
                </v:textbox>
                <w10:wrap anchorx="margin"/>
              </v:rect>
            </w:pict>
          </mc:Fallback>
        </mc:AlternateContent>
      </w:r>
    </w:p>
    <w:p w14:paraId="5BFBB35A" w14:textId="77777777" w:rsidR="00484BB1" w:rsidRDefault="00484BB1">
      <w:pPr>
        <w:rPr>
          <w:rFonts w:cs="Arial"/>
          <w:b/>
          <w:bCs/>
          <w:color w:val="000000" w:themeColor="text1"/>
        </w:rPr>
      </w:pPr>
    </w:p>
    <w:p w14:paraId="621C76B5" w14:textId="77777777" w:rsidR="00484BB1" w:rsidRPr="00326BF0" w:rsidRDefault="00484BB1" w:rsidP="003562F9">
      <w:pPr>
        <w:jc w:val="center"/>
        <w:rPr>
          <w:rFonts w:cs="Arial"/>
          <w:color w:val="0070C0"/>
        </w:rPr>
      </w:pPr>
      <w:r w:rsidRPr="00326BF0">
        <w:rPr>
          <w:rFonts w:cs="Arial"/>
          <w:color w:val="0070C0"/>
        </w:rPr>
        <w:t>Se define el ensayo académico crítico como aquel documento escrito que, en forma sistemática, estructurada y ordenada, presenta un tópico o tema seleccionado o designado con subtemas de desarrollo, introducción, conclusión y referencias. Se elabora en la sesión 6 y tiene un valor de 5%.</w:t>
      </w:r>
    </w:p>
    <w:p w14:paraId="7902F6FC" w14:textId="77777777" w:rsidR="00484BB1" w:rsidRDefault="00484BB1" w:rsidP="003562F9">
      <w:pPr>
        <w:jc w:val="center"/>
        <w:rPr>
          <w:rFonts w:cs="Arial"/>
          <w:color w:val="000000" w:themeColor="text1"/>
        </w:rPr>
      </w:pPr>
    </w:p>
    <w:p w14:paraId="01CA1DB5" w14:textId="77777777" w:rsidR="00484BB1" w:rsidRPr="003562F9" w:rsidRDefault="00484BB1" w:rsidP="003562F9">
      <w:pPr>
        <w:jc w:val="center"/>
        <w:rPr>
          <w:rFonts w:cs="Arial"/>
          <w:color w:val="000000" w:themeColor="text1"/>
        </w:rPr>
      </w:pPr>
      <w:r>
        <w:rPr>
          <w:rFonts w:cs="Arial"/>
          <w:noProof/>
          <w:color w:val="000000" w:themeColor="text1"/>
        </w:rPr>
        <w:drawing>
          <wp:anchor distT="0" distB="0" distL="114300" distR="114300" simplePos="0" relativeHeight="252218368" behindDoc="0" locked="0" layoutInCell="1" allowOverlap="1" wp14:anchorId="27F2F409" wp14:editId="2E88C1AE">
            <wp:simplePos x="0" y="0"/>
            <wp:positionH relativeFrom="column">
              <wp:posOffset>561975</wp:posOffset>
            </wp:positionH>
            <wp:positionV relativeFrom="paragraph">
              <wp:posOffset>2223</wp:posOffset>
            </wp:positionV>
            <wp:extent cx="8016240" cy="4730496"/>
            <wp:effectExtent l="0" t="0" r="3810" b="0"/>
            <wp:wrapNone/>
            <wp:docPr id="125723041"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3041" name="Imagen 9" descr="Tabla&#10;&#10;Descripción generada automáticamente"/>
                    <pic:cNvPicPr/>
                  </pic:nvPicPr>
                  <pic:blipFill>
                    <a:blip r:embed="rId97">
                      <a:extLst>
                        <a:ext uri="{28A0092B-C50C-407E-A947-70E740481C1C}">
                          <a14:useLocalDpi xmlns:a14="http://schemas.microsoft.com/office/drawing/2010/main" val="0"/>
                        </a:ext>
                      </a:extLst>
                    </a:blip>
                    <a:stretch>
                      <a:fillRect/>
                    </a:stretch>
                  </pic:blipFill>
                  <pic:spPr>
                    <a:xfrm>
                      <a:off x="0" y="0"/>
                      <a:ext cx="8016240" cy="4730496"/>
                    </a:xfrm>
                    <a:prstGeom prst="rect">
                      <a:avLst/>
                    </a:prstGeom>
                  </pic:spPr>
                </pic:pic>
              </a:graphicData>
            </a:graphic>
          </wp:anchor>
        </w:drawing>
      </w:r>
    </w:p>
    <w:p w14:paraId="41E25B7B" w14:textId="77777777" w:rsidR="00484BB1" w:rsidRDefault="00484BB1">
      <w:pPr>
        <w:rPr>
          <w:rFonts w:cs="Arial"/>
          <w:b/>
          <w:bCs/>
          <w:color w:val="000000" w:themeColor="text1"/>
        </w:rPr>
      </w:pPr>
    </w:p>
    <w:p w14:paraId="23DC5667" w14:textId="77777777" w:rsidR="00484BB1" w:rsidRDefault="00484BB1">
      <w:pPr>
        <w:rPr>
          <w:rFonts w:cs="Arial"/>
          <w:b/>
          <w:bCs/>
          <w:color w:val="000000" w:themeColor="text1"/>
        </w:rPr>
      </w:pPr>
    </w:p>
    <w:p w14:paraId="56EB7A4B" w14:textId="77777777" w:rsidR="00484BB1" w:rsidRDefault="00484BB1">
      <w:pPr>
        <w:rPr>
          <w:rFonts w:cs="Arial"/>
          <w:b/>
          <w:bCs/>
          <w:color w:val="000000" w:themeColor="text1"/>
        </w:rPr>
      </w:pPr>
    </w:p>
    <w:p w14:paraId="22BF7706" w14:textId="77777777" w:rsidR="00484BB1" w:rsidRDefault="00484BB1">
      <w:pPr>
        <w:rPr>
          <w:rFonts w:cs="Arial"/>
          <w:b/>
          <w:bCs/>
          <w:color w:val="000000" w:themeColor="text1"/>
        </w:rPr>
      </w:pPr>
    </w:p>
    <w:p w14:paraId="2645EA9C" w14:textId="77777777" w:rsidR="00484BB1" w:rsidRDefault="00484BB1">
      <w:pPr>
        <w:rPr>
          <w:rFonts w:cs="Arial"/>
          <w:b/>
          <w:bCs/>
          <w:color w:val="000000" w:themeColor="text1"/>
        </w:rPr>
      </w:pPr>
    </w:p>
    <w:p w14:paraId="63463CCF" w14:textId="77777777" w:rsidR="00484BB1" w:rsidRDefault="00484BB1">
      <w:pPr>
        <w:rPr>
          <w:rFonts w:cs="Arial"/>
          <w:b/>
          <w:bCs/>
          <w:color w:val="000000" w:themeColor="text1"/>
        </w:rPr>
      </w:pPr>
    </w:p>
    <w:p w14:paraId="1897BEBF" w14:textId="77777777" w:rsidR="00484BB1" w:rsidRDefault="00484BB1">
      <w:pPr>
        <w:rPr>
          <w:rFonts w:cs="Arial"/>
          <w:b/>
          <w:bCs/>
          <w:color w:val="000000" w:themeColor="text1"/>
        </w:rPr>
      </w:pPr>
    </w:p>
    <w:p w14:paraId="107D6E4C" w14:textId="77777777" w:rsidR="00484BB1" w:rsidRDefault="00484BB1">
      <w:pPr>
        <w:rPr>
          <w:rFonts w:cs="Arial"/>
          <w:b/>
          <w:bCs/>
          <w:color w:val="000000" w:themeColor="text1"/>
        </w:rPr>
      </w:pPr>
    </w:p>
    <w:p w14:paraId="36FD02F8" w14:textId="77777777" w:rsidR="00484BB1" w:rsidRDefault="00484BB1">
      <w:pPr>
        <w:rPr>
          <w:rFonts w:cs="Arial"/>
          <w:b/>
          <w:bCs/>
          <w:color w:val="000000" w:themeColor="text1"/>
        </w:rPr>
      </w:pPr>
    </w:p>
    <w:p w14:paraId="2367C820" w14:textId="77777777" w:rsidR="00484BB1" w:rsidRDefault="00484BB1">
      <w:pPr>
        <w:rPr>
          <w:rFonts w:cs="Arial"/>
          <w:b/>
          <w:bCs/>
          <w:color w:val="000000" w:themeColor="text1"/>
        </w:rPr>
      </w:pPr>
    </w:p>
    <w:p w14:paraId="5F7539E8" w14:textId="77777777" w:rsidR="00484BB1" w:rsidRDefault="00484BB1">
      <w:pPr>
        <w:rPr>
          <w:rFonts w:cs="Arial"/>
          <w:b/>
          <w:bCs/>
          <w:color w:val="000000" w:themeColor="text1"/>
        </w:rPr>
      </w:pPr>
    </w:p>
    <w:p w14:paraId="2F3B61A8" w14:textId="77777777" w:rsidR="00484BB1" w:rsidRDefault="00484BB1">
      <w:pPr>
        <w:rPr>
          <w:rFonts w:cs="Arial"/>
          <w:b/>
          <w:bCs/>
          <w:color w:val="000000" w:themeColor="text1"/>
        </w:rPr>
      </w:pPr>
    </w:p>
    <w:p w14:paraId="141E44D9" w14:textId="77777777" w:rsidR="00484BB1" w:rsidRDefault="00484BB1">
      <w:pPr>
        <w:rPr>
          <w:rFonts w:cs="Arial"/>
          <w:b/>
          <w:bCs/>
          <w:color w:val="000000" w:themeColor="text1"/>
        </w:rPr>
      </w:pPr>
    </w:p>
    <w:p w14:paraId="6843F200" w14:textId="77777777" w:rsidR="00484BB1" w:rsidRDefault="00484BB1">
      <w:pPr>
        <w:rPr>
          <w:rFonts w:cs="Arial"/>
          <w:b/>
          <w:bCs/>
          <w:color w:val="000000" w:themeColor="text1"/>
        </w:rPr>
      </w:pPr>
    </w:p>
    <w:p w14:paraId="11A7DA8C" w14:textId="77777777" w:rsidR="00484BB1" w:rsidRDefault="00484BB1">
      <w:pPr>
        <w:rPr>
          <w:rFonts w:cs="Arial"/>
          <w:b/>
          <w:bCs/>
          <w:color w:val="000000" w:themeColor="text1"/>
        </w:rPr>
      </w:pPr>
    </w:p>
    <w:p w14:paraId="6F77D997" w14:textId="77777777" w:rsidR="00484BB1" w:rsidRDefault="00484BB1">
      <w:pPr>
        <w:rPr>
          <w:rFonts w:cs="Arial"/>
          <w:b/>
          <w:bCs/>
          <w:color w:val="000000" w:themeColor="text1"/>
        </w:rPr>
      </w:pPr>
    </w:p>
    <w:p w14:paraId="63E3608D" w14:textId="77777777" w:rsidR="00484BB1" w:rsidRDefault="00484BB1">
      <w:pPr>
        <w:rPr>
          <w:rFonts w:cs="Arial"/>
          <w:b/>
          <w:bCs/>
          <w:color w:val="000000" w:themeColor="text1"/>
        </w:rPr>
      </w:pPr>
    </w:p>
    <w:p w14:paraId="24FBF43D" w14:textId="77777777" w:rsidR="00484BB1" w:rsidRDefault="00484BB1">
      <w:pPr>
        <w:rPr>
          <w:rFonts w:cs="Arial"/>
          <w:b/>
          <w:bCs/>
          <w:color w:val="000000" w:themeColor="text1"/>
        </w:rPr>
      </w:pPr>
    </w:p>
    <w:p w14:paraId="70D59B07" w14:textId="77777777" w:rsidR="00484BB1" w:rsidRDefault="00484BB1">
      <w:pPr>
        <w:rPr>
          <w:rFonts w:cs="Arial"/>
          <w:b/>
          <w:bCs/>
          <w:color w:val="000000" w:themeColor="text1"/>
        </w:rPr>
      </w:pPr>
      <w:r>
        <w:rPr>
          <w:b/>
          <w:noProof/>
        </w:rPr>
        <w:lastRenderedPageBreak/>
        <mc:AlternateContent>
          <mc:Choice Requires="wps">
            <w:drawing>
              <wp:anchor distT="0" distB="0" distL="114300" distR="114300" simplePos="0" relativeHeight="252207104" behindDoc="0" locked="0" layoutInCell="1" allowOverlap="1" wp14:anchorId="4F7B03D5" wp14:editId="3D4ED121">
                <wp:simplePos x="0" y="0"/>
                <wp:positionH relativeFrom="margin">
                  <wp:align>center</wp:align>
                </wp:positionH>
                <wp:positionV relativeFrom="paragraph">
                  <wp:posOffset>0</wp:posOffset>
                </wp:positionV>
                <wp:extent cx="7917180" cy="419100"/>
                <wp:effectExtent l="0" t="0" r="26670" b="19050"/>
                <wp:wrapNone/>
                <wp:docPr id="913083394" name="Rectángulo 913083394"/>
                <wp:cNvGraphicFramePr/>
                <a:graphic xmlns:a="http://schemas.openxmlformats.org/drawingml/2006/main">
                  <a:graphicData uri="http://schemas.microsoft.com/office/word/2010/wordprocessingShape">
                    <wps:wsp>
                      <wps:cNvSpPr/>
                      <wps:spPr>
                        <a:xfrm>
                          <a:off x="0" y="0"/>
                          <a:ext cx="7917180" cy="4191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49685D6" w14:textId="77777777" w:rsidR="00484BB1" w:rsidRPr="003562F9" w:rsidRDefault="00484BB1" w:rsidP="003562F9">
                            <w:pPr>
                              <w:jc w:val="center"/>
                              <w:rPr>
                                <w:rFonts w:cstheme="minorHAnsi"/>
                                <w:b/>
                              </w:rPr>
                            </w:pPr>
                            <w:r w:rsidRPr="003562F9">
                              <w:rPr>
                                <w:rFonts w:cstheme="minorHAnsi"/>
                                <w:b/>
                              </w:rPr>
                              <w:t>ESCALA DE EVALUACIÓN – HISTORIA DE VIDA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B03D5" id="Rectángulo 913083394" o:spid="_x0000_s1067" style="position:absolute;margin-left:0;margin-top:0;width:623.4pt;height:33pt;z-index:2522071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" fillcolor="white [3201]" strokecolor="black [3200]" strokeweight=".25pt">
                <v:textbox>
                  <w:txbxContent>
                    <w:p w14:paraId="749685D6" w14:textId="77777777" w:rsidR="00484BB1" w:rsidRPr="003562F9" w:rsidRDefault="00484BB1" w:rsidP="003562F9">
                      <w:pPr>
                        <w:jc w:val="center"/>
                        <w:rPr>
                          <w:rFonts w:cstheme="minorHAnsi"/>
                          <w:b/>
                        </w:rPr>
                      </w:pPr>
                      <w:r w:rsidRPr="003562F9">
                        <w:rPr>
                          <w:rFonts w:cstheme="minorHAnsi"/>
                          <w:b/>
                        </w:rPr>
                        <w:t>ESCALA DE EVALUACIÓN – HISTORIA DE VIDA</w:t>
                      </w:r>
                    </w:p>
                  </w:txbxContent>
                </v:textbox>
                <w10:wrap anchorx="margin"/>
              </v:rect>
            </w:pict>
          </mc:Fallback>
        </mc:AlternateContent>
      </w:r>
    </w:p>
    <w:p w14:paraId="4DA957B3" w14:textId="77777777" w:rsidR="00484BB1" w:rsidRDefault="00484BB1">
      <w:pPr>
        <w:rPr>
          <w:rFonts w:cs="Arial"/>
          <w:b/>
          <w:bCs/>
          <w:color w:val="000000" w:themeColor="text1"/>
        </w:rPr>
      </w:pPr>
    </w:p>
    <w:p w14:paraId="7496471D" w14:textId="77777777" w:rsidR="00484BB1" w:rsidRPr="00326BF0" w:rsidRDefault="00484BB1" w:rsidP="007B1C74">
      <w:pPr>
        <w:jc w:val="center"/>
        <w:rPr>
          <w:rFonts w:cs="Arial"/>
          <w:color w:val="0070C0"/>
        </w:rPr>
      </w:pPr>
      <w:r w:rsidRPr="00326BF0">
        <w:rPr>
          <w:rFonts w:cs="Arial"/>
          <w:color w:val="0070C0"/>
        </w:rPr>
        <w:t>Se trata de la elaboración y análisis de una historia de vida de una persona conocida o bien entrevistada que refleje el desarrollo personal y la dinámica familiar de la misma. Se elabora en la sesión 7 y tiene un valor de 5%.</w:t>
      </w:r>
    </w:p>
    <w:p w14:paraId="4433229D" w14:textId="77777777" w:rsidR="00484BB1" w:rsidRDefault="00484BB1" w:rsidP="007B1C74">
      <w:pPr>
        <w:jc w:val="center"/>
        <w:rPr>
          <w:rFonts w:cs="Arial"/>
          <w:color w:val="000000" w:themeColor="text1"/>
        </w:rPr>
      </w:pPr>
    </w:p>
    <w:p w14:paraId="78C3BD45" w14:textId="77777777" w:rsidR="00484BB1" w:rsidRPr="007B1C74" w:rsidRDefault="00484BB1" w:rsidP="007B1C74">
      <w:pPr>
        <w:jc w:val="center"/>
        <w:rPr>
          <w:rFonts w:cs="Arial"/>
          <w:color w:val="000000" w:themeColor="text1"/>
        </w:rPr>
      </w:pPr>
      <w:r>
        <w:rPr>
          <w:rFonts w:cs="Arial"/>
          <w:noProof/>
          <w:color w:val="000000" w:themeColor="text1"/>
        </w:rPr>
        <w:drawing>
          <wp:anchor distT="0" distB="0" distL="114300" distR="114300" simplePos="0" relativeHeight="252220416" behindDoc="0" locked="0" layoutInCell="1" allowOverlap="1" wp14:anchorId="13B9B529" wp14:editId="56679506">
            <wp:simplePos x="0" y="0"/>
            <wp:positionH relativeFrom="column">
              <wp:posOffset>547688</wp:posOffset>
            </wp:positionH>
            <wp:positionV relativeFrom="paragraph">
              <wp:posOffset>2223</wp:posOffset>
            </wp:positionV>
            <wp:extent cx="8046720" cy="4255008"/>
            <wp:effectExtent l="0" t="0" r="0" b="0"/>
            <wp:wrapNone/>
            <wp:docPr id="84166513"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66513" name="Imagen 10" descr="Tabla&#10;&#10;Descripción generada automáticamente"/>
                    <pic:cNvPicPr/>
                  </pic:nvPicPr>
                  <pic:blipFill>
                    <a:blip r:embed="rId98">
                      <a:extLst>
                        <a:ext uri="{28A0092B-C50C-407E-A947-70E740481C1C}">
                          <a14:useLocalDpi xmlns:a14="http://schemas.microsoft.com/office/drawing/2010/main" val="0"/>
                        </a:ext>
                      </a:extLst>
                    </a:blip>
                    <a:stretch>
                      <a:fillRect/>
                    </a:stretch>
                  </pic:blipFill>
                  <pic:spPr>
                    <a:xfrm>
                      <a:off x="0" y="0"/>
                      <a:ext cx="8046720" cy="4255008"/>
                    </a:xfrm>
                    <a:prstGeom prst="rect">
                      <a:avLst/>
                    </a:prstGeom>
                  </pic:spPr>
                </pic:pic>
              </a:graphicData>
            </a:graphic>
          </wp:anchor>
        </w:drawing>
      </w:r>
    </w:p>
    <w:p w14:paraId="0840F0EA" w14:textId="77777777" w:rsidR="00484BB1" w:rsidRDefault="00484BB1">
      <w:pPr>
        <w:rPr>
          <w:rFonts w:cs="Arial"/>
          <w:b/>
          <w:bCs/>
          <w:color w:val="000000" w:themeColor="text1"/>
        </w:rPr>
      </w:pPr>
    </w:p>
    <w:p w14:paraId="3E66E366" w14:textId="77777777" w:rsidR="00484BB1" w:rsidRDefault="00484BB1">
      <w:pPr>
        <w:rPr>
          <w:rFonts w:cs="Arial"/>
          <w:b/>
          <w:bCs/>
          <w:color w:val="000000" w:themeColor="text1"/>
        </w:rPr>
      </w:pPr>
    </w:p>
    <w:p w14:paraId="0C2EA835" w14:textId="77777777" w:rsidR="00484BB1" w:rsidRDefault="00484BB1">
      <w:pPr>
        <w:rPr>
          <w:rFonts w:cs="Arial"/>
          <w:b/>
          <w:bCs/>
          <w:color w:val="000000" w:themeColor="text1"/>
        </w:rPr>
      </w:pPr>
    </w:p>
    <w:p w14:paraId="74F7BF29" w14:textId="77777777" w:rsidR="00484BB1" w:rsidRDefault="00484BB1">
      <w:pPr>
        <w:rPr>
          <w:rFonts w:cs="Arial"/>
          <w:b/>
          <w:bCs/>
          <w:color w:val="000000" w:themeColor="text1"/>
        </w:rPr>
      </w:pPr>
    </w:p>
    <w:p w14:paraId="5F6D73CA" w14:textId="77777777" w:rsidR="00484BB1" w:rsidRDefault="00484BB1">
      <w:pPr>
        <w:rPr>
          <w:rFonts w:cs="Arial"/>
          <w:b/>
          <w:bCs/>
          <w:color w:val="000000" w:themeColor="text1"/>
        </w:rPr>
      </w:pPr>
    </w:p>
    <w:p w14:paraId="04FFFBCE" w14:textId="77777777" w:rsidR="00484BB1" w:rsidRDefault="00484BB1">
      <w:pPr>
        <w:rPr>
          <w:rFonts w:cs="Arial"/>
          <w:b/>
          <w:bCs/>
          <w:color w:val="000000" w:themeColor="text1"/>
        </w:rPr>
      </w:pPr>
    </w:p>
    <w:p w14:paraId="6B6BC521" w14:textId="77777777" w:rsidR="00484BB1" w:rsidRDefault="00484BB1">
      <w:pPr>
        <w:rPr>
          <w:rFonts w:cs="Arial"/>
          <w:b/>
          <w:bCs/>
          <w:color w:val="000000" w:themeColor="text1"/>
        </w:rPr>
      </w:pPr>
    </w:p>
    <w:p w14:paraId="20768524" w14:textId="77777777" w:rsidR="00484BB1" w:rsidRDefault="00484BB1">
      <w:pPr>
        <w:rPr>
          <w:rFonts w:cs="Arial"/>
          <w:b/>
          <w:bCs/>
          <w:color w:val="000000" w:themeColor="text1"/>
        </w:rPr>
      </w:pPr>
    </w:p>
    <w:p w14:paraId="7DDE7D2E" w14:textId="77777777" w:rsidR="00484BB1" w:rsidRDefault="00484BB1">
      <w:pPr>
        <w:rPr>
          <w:rFonts w:cs="Arial"/>
          <w:b/>
          <w:bCs/>
          <w:color w:val="000000" w:themeColor="text1"/>
        </w:rPr>
      </w:pPr>
    </w:p>
    <w:p w14:paraId="5B755C60" w14:textId="77777777" w:rsidR="00484BB1" w:rsidRDefault="00484BB1">
      <w:pPr>
        <w:rPr>
          <w:rFonts w:cs="Arial"/>
          <w:b/>
          <w:bCs/>
          <w:color w:val="000000" w:themeColor="text1"/>
        </w:rPr>
      </w:pPr>
    </w:p>
    <w:p w14:paraId="4065A2B8" w14:textId="77777777" w:rsidR="00484BB1" w:rsidRDefault="00484BB1">
      <w:pPr>
        <w:rPr>
          <w:rFonts w:cs="Arial"/>
          <w:b/>
          <w:bCs/>
          <w:color w:val="000000" w:themeColor="text1"/>
        </w:rPr>
      </w:pPr>
    </w:p>
    <w:p w14:paraId="16205080" w14:textId="77777777" w:rsidR="00484BB1" w:rsidRDefault="00484BB1">
      <w:pPr>
        <w:rPr>
          <w:rFonts w:cs="Arial"/>
          <w:b/>
          <w:bCs/>
          <w:color w:val="000000" w:themeColor="text1"/>
        </w:rPr>
      </w:pPr>
    </w:p>
    <w:p w14:paraId="70BD084D" w14:textId="77777777" w:rsidR="00484BB1" w:rsidRDefault="00484BB1">
      <w:pPr>
        <w:rPr>
          <w:rFonts w:cs="Arial"/>
          <w:b/>
          <w:bCs/>
          <w:color w:val="000000" w:themeColor="text1"/>
        </w:rPr>
      </w:pPr>
    </w:p>
    <w:p w14:paraId="1EF46EF5" w14:textId="77777777" w:rsidR="00484BB1" w:rsidRDefault="00484BB1">
      <w:pPr>
        <w:rPr>
          <w:rFonts w:cs="Arial"/>
          <w:b/>
          <w:bCs/>
          <w:color w:val="000000" w:themeColor="text1"/>
        </w:rPr>
      </w:pPr>
    </w:p>
    <w:p w14:paraId="22515F95" w14:textId="77777777" w:rsidR="00484BB1" w:rsidRDefault="00484BB1">
      <w:pPr>
        <w:rPr>
          <w:rFonts w:cs="Arial"/>
          <w:b/>
          <w:bCs/>
          <w:color w:val="000000" w:themeColor="text1"/>
        </w:rPr>
      </w:pPr>
    </w:p>
    <w:p w14:paraId="26CCA1E9" w14:textId="77777777" w:rsidR="00484BB1" w:rsidRDefault="00484BB1">
      <w:pPr>
        <w:rPr>
          <w:rFonts w:cs="Arial"/>
          <w:b/>
          <w:bCs/>
          <w:color w:val="000000" w:themeColor="text1"/>
        </w:rPr>
      </w:pPr>
    </w:p>
    <w:p w14:paraId="136C25C3" w14:textId="77777777" w:rsidR="00484BB1" w:rsidRDefault="00484BB1">
      <w:pPr>
        <w:rPr>
          <w:rFonts w:cs="Arial"/>
          <w:b/>
          <w:bCs/>
          <w:color w:val="000000" w:themeColor="text1"/>
        </w:rPr>
      </w:pPr>
    </w:p>
    <w:p w14:paraId="36F17392" w14:textId="77777777" w:rsidR="00484BB1" w:rsidRDefault="00484BB1">
      <w:pPr>
        <w:rPr>
          <w:rFonts w:cs="Arial"/>
          <w:b/>
          <w:bCs/>
          <w:color w:val="000000" w:themeColor="text1"/>
        </w:rPr>
      </w:pPr>
    </w:p>
    <w:p w14:paraId="67EB77B0" w14:textId="77777777" w:rsidR="00484BB1" w:rsidRDefault="00484BB1">
      <w:pPr>
        <w:rPr>
          <w:rFonts w:cs="Arial"/>
          <w:b/>
          <w:bCs/>
          <w:color w:val="000000" w:themeColor="text1"/>
        </w:rPr>
      </w:pPr>
      <w:r>
        <w:rPr>
          <w:b/>
          <w:noProof/>
        </w:rPr>
        <w:lastRenderedPageBreak/>
        <mc:AlternateContent>
          <mc:Choice Requires="wps">
            <w:drawing>
              <wp:anchor distT="0" distB="0" distL="114300" distR="114300" simplePos="0" relativeHeight="252208128" behindDoc="0" locked="0" layoutInCell="1" allowOverlap="1" wp14:anchorId="5ECCEAAF" wp14:editId="76541DCD">
                <wp:simplePos x="0" y="0"/>
                <wp:positionH relativeFrom="margin">
                  <wp:align>center</wp:align>
                </wp:positionH>
                <wp:positionV relativeFrom="paragraph">
                  <wp:posOffset>-19050</wp:posOffset>
                </wp:positionV>
                <wp:extent cx="7917180" cy="414338"/>
                <wp:effectExtent l="0" t="0" r="26670" b="24130"/>
                <wp:wrapNone/>
                <wp:docPr id="935450961" name="Rectángulo 935450961"/>
                <wp:cNvGraphicFramePr/>
                <a:graphic xmlns:a="http://schemas.openxmlformats.org/drawingml/2006/main">
                  <a:graphicData uri="http://schemas.microsoft.com/office/word/2010/wordprocessingShape">
                    <wps:wsp>
                      <wps:cNvSpPr/>
                      <wps:spPr>
                        <a:xfrm>
                          <a:off x="0" y="0"/>
                          <a:ext cx="7917180" cy="414338"/>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E78E6A1" w14:textId="77777777" w:rsidR="00484BB1" w:rsidRPr="006D17CA" w:rsidRDefault="00484BB1" w:rsidP="006D17CA">
                            <w:pPr>
                              <w:jc w:val="center"/>
                              <w:rPr>
                                <w:rFonts w:cstheme="minorHAnsi"/>
                                <w:b/>
                              </w:rPr>
                            </w:pPr>
                            <w:r w:rsidRPr="006D17CA">
                              <w:rPr>
                                <w:rFonts w:cstheme="minorHAnsi"/>
                                <w:b/>
                              </w:rPr>
                              <w:t>ESCALA DE EVALUACIÓN – FORO GRUPAL PARA ANALIZAR LAS HISTORIAS DE VIDA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CEAAF" id="Rectángulo 935450961" o:spid="_x0000_s1068" style="position:absolute;margin-left:0;margin-top:-1.5pt;width:623.4pt;height:32.65pt;z-index:252208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" fillcolor="white [3201]" strokecolor="black [3200]" strokeweight=".25pt">
                <v:textbox>
                  <w:txbxContent>
                    <w:p w14:paraId="0E78E6A1" w14:textId="77777777" w:rsidR="00484BB1" w:rsidRPr="006D17CA" w:rsidRDefault="00484BB1" w:rsidP="006D17CA">
                      <w:pPr>
                        <w:jc w:val="center"/>
                        <w:rPr>
                          <w:rFonts w:cstheme="minorHAnsi"/>
                          <w:b/>
                        </w:rPr>
                      </w:pPr>
                      <w:r w:rsidRPr="006D17CA">
                        <w:rPr>
                          <w:rFonts w:cstheme="minorHAnsi"/>
                          <w:b/>
                        </w:rPr>
                        <w:t>ESCALA DE EVALUACIÓN – FORO GRUPAL PARA ANALIZAR LAS HISTORIAS DE VIDA</w:t>
                      </w:r>
                    </w:p>
                  </w:txbxContent>
                </v:textbox>
                <w10:wrap anchorx="margin"/>
              </v:rect>
            </w:pict>
          </mc:Fallback>
        </mc:AlternateContent>
      </w:r>
    </w:p>
    <w:p w14:paraId="4F5B77FF" w14:textId="77777777" w:rsidR="00484BB1" w:rsidRDefault="00484BB1">
      <w:pPr>
        <w:rPr>
          <w:rFonts w:cs="Arial"/>
          <w:b/>
          <w:bCs/>
          <w:color w:val="000000" w:themeColor="text1"/>
        </w:rPr>
      </w:pPr>
    </w:p>
    <w:p w14:paraId="03176268" w14:textId="77777777" w:rsidR="00484BB1" w:rsidRPr="006D17CA" w:rsidRDefault="00484BB1" w:rsidP="006D17CA">
      <w:pPr>
        <w:jc w:val="center"/>
        <w:rPr>
          <w:rFonts w:cs="Arial"/>
          <w:color w:val="000000" w:themeColor="text1"/>
        </w:rPr>
      </w:pPr>
      <w:r w:rsidRPr="00FF3660">
        <w:rPr>
          <w:rFonts w:cs="Arial"/>
          <w:color w:val="0070C0"/>
        </w:rPr>
        <w:t>En la sesión 8 se desarrolla un foro grupal para analizar las historias de vida que los y las estudiantes elaboraron durante la sesión 7. Tiene un valor de 5%</w:t>
      </w:r>
      <w:r>
        <w:rPr>
          <w:rFonts w:cs="Arial"/>
          <w:color w:val="0070C0"/>
        </w:rPr>
        <w:t xml:space="preserve"> y se evalúa según la siguiente escala. </w:t>
      </w:r>
    </w:p>
    <w:p w14:paraId="3326F16B" w14:textId="77777777" w:rsidR="00484BB1" w:rsidRDefault="00484BB1">
      <w:pPr>
        <w:rPr>
          <w:rFonts w:cs="Arial"/>
          <w:b/>
          <w:bCs/>
          <w:color w:val="000000" w:themeColor="text1"/>
        </w:rPr>
      </w:pPr>
      <w:r>
        <w:rPr>
          <w:rFonts w:cs="Arial"/>
          <w:noProof/>
          <w:color w:val="000000" w:themeColor="text1"/>
        </w:rPr>
        <w:drawing>
          <wp:anchor distT="0" distB="0" distL="114300" distR="114300" simplePos="0" relativeHeight="252221440" behindDoc="0" locked="0" layoutInCell="1" allowOverlap="1" wp14:anchorId="140846B3" wp14:editId="1C8CF302">
            <wp:simplePos x="0" y="0"/>
            <wp:positionH relativeFrom="column">
              <wp:posOffset>621242</wp:posOffset>
            </wp:positionH>
            <wp:positionV relativeFrom="paragraph">
              <wp:posOffset>69850</wp:posOffset>
            </wp:positionV>
            <wp:extent cx="8022336" cy="3834384"/>
            <wp:effectExtent l="0" t="0" r="0" b="0"/>
            <wp:wrapNone/>
            <wp:docPr id="1588102554"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02554" name="Imagen 11" descr="Tabla&#10;&#10;Descripción generada automáticamente"/>
                    <pic:cNvPicPr/>
                  </pic:nvPicPr>
                  <pic:blipFill>
                    <a:blip r:embed="rId99">
                      <a:extLst>
                        <a:ext uri="{28A0092B-C50C-407E-A947-70E740481C1C}">
                          <a14:useLocalDpi xmlns:a14="http://schemas.microsoft.com/office/drawing/2010/main" val="0"/>
                        </a:ext>
                      </a:extLst>
                    </a:blip>
                    <a:stretch>
                      <a:fillRect/>
                    </a:stretch>
                  </pic:blipFill>
                  <pic:spPr>
                    <a:xfrm>
                      <a:off x="0" y="0"/>
                      <a:ext cx="8022336" cy="3834384"/>
                    </a:xfrm>
                    <a:prstGeom prst="rect">
                      <a:avLst/>
                    </a:prstGeom>
                  </pic:spPr>
                </pic:pic>
              </a:graphicData>
            </a:graphic>
          </wp:anchor>
        </w:drawing>
      </w:r>
    </w:p>
    <w:p w14:paraId="78087434" w14:textId="77777777" w:rsidR="00484BB1" w:rsidRDefault="00484BB1">
      <w:pPr>
        <w:rPr>
          <w:rFonts w:cs="Arial"/>
          <w:b/>
          <w:bCs/>
          <w:color w:val="000000" w:themeColor="text1"/>
        </w:rPr>
      </w:pPr>
    </w:p>
    <w:p w14:paraId="775EFA08" w14:textId="77777777" w:rsidR="00484BB1" w:rsidRDefault="00484BB1">
      <w:pPr>
        <w:rPr>
          <w:rFonts w:cs="Arial"/>
          <w:b/>
          <w:bCs/>
          <w:color w:val="000000" w:themeColor="text1"/>
        </w:rPr>
      </w:pPr>
    </w:p>
    <w:p w14:paraId="11AAEA96" w14:textId="77777777" w:rsidR="00484BB1" w:rsidRDefault="00484BB1">
      <w:pPr>
        <w:rPr>
          <w:rFonts w:cs="Arial"/>
          <w:b/>
          <w:bCs/>
          <w:color w:val="000000" w:themeColor="text1"/>
        </w:rPr>
      </w:pPr>
    </w:p>
    <w:p w14:paraId="64F642B3" w14:textId="77777777" w:rsidR="00484BB1" w:rsidRDefault="00484BB1">
      <w:pPr>
        <w:rPr>
          <w:rFonts w:cs="Arial"/>
          <w:b/>
          <w:bCs/>
          <w:color w:val="000000" w:themeColor="text1"/>
        </w:rPr>
      </w:pPr>
    </w:p>
    <w:p w14:paraId="5669AE6F" w14:textId="77777777" w:rsidR="00484BB1" w:rsidRDefault="00484BB1">
      <w:pPr>
        <w:rPr>
          <w:rFonts w:cs="Arial"/>
          <w:b/>
          <w:bCs/>
          <w:color w:val="000000" w:themeColor="text1"/>
        </w:rPr>
      </w:pPr>
    </w:p>
    <w:p w14:paraId="2F55B742" w14:textId="77777777" w:rsidR="00484BB1" w:rsidRDefault="00484BB1">
      <w:pPr>
        <w:rPr>
          <w:rFonts w:cs="Arial"/>
          <w:b/>
          <w:bCs/>
          <w:color w:val="000000" w:themeColor="text1"/>
        </w:rPr>
      </w:pPr>
    </w:p>
    <w:p w14:paraId="06643E24" w14:textId="77777777" w:rsidR="00484BB1" w:rsidRDefault="00484BB1">
      <w:pPr>
        <w:rPr>
          <w:rFonts w:cs="Arial"/>
          <w:b/>
          <w:bCs/>
          <w:color w:val="000000" w:themeColor="text1"/>
        </w:rPr>
      </w:pPr>
    </w:p>
    <w:p w14:paraId="4EB0926A" w14:textId="77777777" w:rsidR="00484BB1" w:rsidRDefault="00484BB1">
      <w:pPr>
        <w:rPr>
          <w:rFonts w:cs="Arial"/>
          <w:b/>
          <w:bCs/>
          <w:color w:val="000000" w:themeColor="text1"/>
        </w:rPr>
      </w:pPr>
    </w:p>
    <w:p w14:paraId="66EDD435" w14:textId="77777777" w:rsidR="00484BB1" w:rsidRDefault="00484BB1">
      <w:pPr>
        <w:rPr>
          <w:rFonts w:cs="Arial"/>
          <w:b/>
          <w:bCs/>
          <w:color w:val="000000" w:themeColor="text1"/>
        </w:rPr>
      </w:pPr>
    </w:p>
    <w:p w14:paraId="4CF2DE14" w14:textId="77777777" w:rsidR="00484BB1" w:rsidRDefault="00484BB1">
      <w:pPr>
        <w:rPr>
          <w:rFonts w:cs="Arial"/>
          <w:b/>
          <w:bCs/>
          <w:color w:val="000000" w:themeColor="text1"/>
        </w:rPr>
      </w:pPr>
    </w:p>
    <w:p w14:paraId="1C3E8387" w14:textId="77777777" w:rsidR="00484BB1" w:rsidRDefault="00484BB1">
      <w:pPr>
        <w:rPr>
          <w:rFonts w:cs="Arial"/>
          <w:b/>
          <w:bCs/>
          <w:color w:val="000000" w:themeColor="text1"/>
        </w:rPr>
      </w:pPr>
    </w:p>
    <w:p w14:paraId="254898DA" w14:textId="77777777" w:rsidR="00484BB1" w:rsidRDefault="00484BB1">
      <w:pPr>
        <w:rPr>
          <w:rFonts w:cs="Arial"/>
          <w:b/>
          <w:bCs/>
          <w:color w:val="000000" w:themeColor="text1"/>
        </w:rPr>
      </w:pPr>
    </w:p>
    <w:p w14:paraId="6D1CAF9F" w14:textId="77777777" w:rsidR="00484BB1" w:rsidRDefault="00484BB1">
      <w:pPr>
        <w:rPr>
          <w:rFonts w:cs="Arial"/>
          <w:b/>
          <w:bCs/>
          <w:color w:val="000000" w:themeColor="text1"/>
        </w:rPr>
      </w:pPr>
    </w:p>
    <w:p w14:paraId="008A4B18" w14:textId="77777777" w:rsidR="00484BB1" w:rsidRDefault="00484BB1">
      <w:pPr>
        <w:rPr>
          <w:rFonts w:cs="Arial"/>
          <w:b/>
          <w:bCs/>
          <w:color w:val="000000" w:themeColor="text1"/>
        </w:rPr>
      </w:pPr>
    </w:p>
    <w:p w14:paraId="546F9396" w14:textId="77777777" w:rsidR="00484BB1" w:rsidRDefault="00484BB1">
      <w:pPr>
        <w:rPr>
          <w:rFonts w:cs="Arial"/>
          <w:b/>
          <w:bCs/>
          <w:color w:val="000000" w:themeColor="text1"/>
        </w:rPr>
      </w:pPr>
    </w:p>
    <w:p w14:paraId="73E7B17F" w14:textId="77777777" w:rsidR="00484BB1" w:rsidRDefault="00484BB1">
      <w:pPr>
        <w:rPr>
          <w:rFonts w:cs="Arial"/>
          <w:b/>
          <w:bCs/>
          <w:color w:val="000000" w:themeColor="text1"/>
        </w:rPr>
      </w:pPr>
    </w:p>
    <w:p w14:paraId="577DC05A" w14:textId="77777777" w:rsidR="00484BB1" w:rsidRDefault="00484BB1">
      <w:pPr>
        <w:rPr>
          <w:rFonts w:cs="Arial"/>
          <w:b/>
          <w:bCs/>
          <w:color w:val="000000" w:themeColor="text1"/>
        </w:rPr>
      </w:pPr>
    </w:p>
    <w:p w14:paraId="0E49205A" w14:textId="77777777" w:rsidR="00484BB1" w:rsidRDefault="00484BB1">
      <w:pPr>
        <w:rPr>
          <w:rFonts w:cs="Arial"/>
          <w:b/>
          <w:bCs/>
          <w:color w:val="000000" w:themeColor="text1"/>
        </w:rPr>
      </w:pPr>
    </w:p>
    <w:p w14:paraId="266AE680" w14:textId="77777777" w:rsidR="00484BB1" w:rsidRDefault="00484BB1">
      <w:pPr>
        <w:rPr>
          <w:rFonts w:cs="Arial"/>
          <w:b/>
          <w:bCs/>
          <w:color w:val="000000" w:themeColor="text1"/>
        </w:rPr>
      </w:pPr>
    </w:p>
    <w:p w14:paraId="6E19931D" w14:textId="77777777" w:rsidR="00484BB1" w:rsidRDefault="00484BB1">
      <w:pPr>
        <w:rPr>
          <w:rFonts w:cs="Arial"/>
          <w:b/>
          <w:bCs/>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210176" behindDoc="0" locked="0" layoutInCell="1" allowOverlap="1" wp14:anchorId="66534D1F" wp14:editId="24C27D59">
                <wp:simplePos x="0" y="0"/>
                <wp:positionH relativeFrom="margin">
                  <wp:posOffset>619125</wp:posOffset>
                </wp:positionH>
                <wp:positionV relativeFrom="paragraph">
                  <wp:posOffset>-164888</wp:posOffset>
                </wp:positionV>
                <wp:extent cx="7879080" cy="419100"/>
                <wp:effectExtent l="0" t="0" r="26670" b="19050"/>
                <wp:wrapNone/>
                <wp:docPr id="11196900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9100"/>
                        </a:xfrm>
                        <a:prstGeom prst="rect">
                          <a:avLst/>
                        </a:prstGeom>
                        <a:solidFill>
                          <a:srgbClr val="FFFFFF"/>
                        </a:solidFill>
                        <a:ln w="9525">
                          <a:solidFill>
                            <a:srgbClr val="000000"/>
                          </a:solidFill>
                          <a:miter lim="800000"/>
                          <a:headEnd/>
                          <a:tailEnd/>
                        </a:ln>
                      </wps:spPr>
                      <wps:txbx>
                        <w:txbxContent>
                          <w:p w14:paraId="29B89A38" w14:textId="77777777" w:rsidR="00484BB1" w:rsidRPr="002A747D" w:rsidRDefault="00484BB1" w:rsidP="006D17CA">
                            <w:pPr>
                              <w:jc w:val="center"/>
                              <w:rPr>
                                <w:rFonts w:cstheme="minorHAnsi"/>
                                <w:b/>
                                <w:szCs w:val="24"/>
                              </w:rPr>
                            </w:pPr>
                            <w:r w:rsidRPr="002A747D">
                              <w:rPr>
                                <w:rFonts w:cstheme="minorHAnsi"/>
                                <w:b/>
                                <w:szCs w:val="24"/>
                              </w:rPr>
                              <w:t xml:space="preserve">RÚBRICA DE EVALUACIÓN – FORO </w:t>
                            </w:r>
                            <w:r>
                              <w:rPr>
                                <w:rFonts w:cstheme="minorHAnsi"/>
                                <w:b/>
                                <w:szCs w:val="24"/>
                              </w:rPr>
                              <w:t>DE ANÁLISIS GRUPAL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34D1F" id="_x0000_s1069" type="#_x0000_t202" style="position:absolute;margin-left:48.75pt;margin-top:-13pt;width:620.4pt;height:33pt;z-index:252210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">
                <v:textbox>
                  <w:txbxContent>
                    <w:p w14:paraId="29B89A38" w14:textId="77777777" w:rsidR="00484BB1" w:rsidRPr="002A747D" w:rsidRDefault="00484BB1" w:rsidP="006D17CA">
                      <w:pPr>
                        <w:jc w:val="center"/>
                        <w:rPr>
                          <w:rFonts w:cstheme="minorHAnsi"/>
                          <w:b/>
                          <w:szCs w:val="24"/>
                        </w:rPr>
                      </w:pPr>
                      <w:r w:rsidRPr="002A747D">
                        <w:rPr>
                          <w:rFonts w:cstheme="minorHAnsi"/>
                          <w:b/>
                          <w:szCs w:val="24"/>
                        </w:rPr>
                        <w:t xml:space="preserve">RÚBRICA DE EVALUACIÓN – FORO </w:t>
                      </w:r>
                      <w:r>
                        <w:rPr>
                          <w:rFonts w:cstheme="minorHAnsi"/>
                          <w:b/>
                          <w:szCs w:val="24"/>
                        </w:rPr>
                        <w:t>DE ANÁLISIS GRUPAL</w:t>
                      </w:r>
                    </w:p>
                  </w:txbxContent>
                </v:textbox>
                <w10:wrap anchorx="margin"/>
              </v:shape>
            </w:pict>
          </mc:Fallback>
        </mc:AlternateContent>
      </w:r>
    </w:p>
    <w:p w14:paraId="662DBED6" w14:textId="77777777" w:rsidR="00484BB1" w:rsidRPr="00C5188C" w:rsidRDefault="00484BB1">
      <w:pPr>
        <w:rPr>
          <w:rFonts w:cs="Arial"/>
          <w:color w:val="000000" w:themeColor="text1"/>
        </w:rPr>
      </w:pPr>
      <w:r w:rsidRPr="00C5188C">
        <w:rPr>
          <w:rFonts w:cs="Arial"/>
          <w:noProof/>
          <w:color w:val="000000" w:themeColor="text1"/>
        </w:rPr>
        <w:drawing>
          <wp:anchor distT="0" distB="0" distL="114300" distR="114300" simplePos="0" relativeHeight="252211200" behindDoc="0" locked="0" layoutInCell="1" allowOverlap="1" wp14:anchorId="544F8610" wp14:editId="09D6FFA3">
            <wp:simplePos x="0" y="0"/>
            <wp:positionH relativeFrom="margin">
              <wp:posOffset>464820</wp:posOffset>
            </wp:positionH>
            <wp:positionV relativeFrom="paragraph">
              <wp:posOffset>613410</wp:posOffset>
            </wp:positionV>
            <wp:extent cx="8360162" cy="6057054"/>
            <wp:effectExtent l="0" t="0" r="3175" b="1270"/>
            <wp:wrapNone/>
            <wp:docPr id="788044943"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44943" name="Imagen 12" descr="Tabla&#10;&#10;Descripción generada automáticamente"/>
                    <pic:cNvPicPr/>
                  </pic:nvPicPr>
                  <pic:blipFill>
                    <a:blip r:embed="rId100">
                      <a:extLst>
                        <a:ext uri="{28A0092B-C50C-407E-A947-70E740481C1C}">
                          <a14:useLocalDpi xmlns:a14="http://schemas.microsoft.com/office/drawing/2010/main" val="0"/>
                        </a:ext>
                      </a:extLst>
                    </a:blip>
                    <a:stretch>
                      <a:fillRect/>
                    </a:stretch>
                  </pic:blipFill>
                  <pic:spPr>
                    <a:xfrm>
                      <a:off x="0" y="0"/>
                      <a:ext cx="8360162" cy="6057054"/>
                    </a:xfrm>
                    <a:prstGeom prst="rect">
                      <a:avLst/>
                    </a:prstGeom>
                  </pic:spPr>
                </pic:pic>
              </a:graphicData>
            </a:graphic>
            <wp14:sizeRelH relativeFrom="margin">
              <wp14:pctWidth>0</wp14:pctWidth>
            </wp14:sizeRelH>
            <wp14:sizeRelV relativeFrom="margin">
              <wp14:pctHeight>0</wp14:pctHeight>
            </wp14:sizeRelV>
          </wp:anchor>
        </w:drawing>
      </w:r>
      <w:r w:rsidRPr="00C5188C">
        <w:rPr>
          <w:rFonts w:cs="Arial"/>
          <w:color w:val="000000" w:themeColor="text1"/>
        </w:rPr>
        <w:t>En este curso se utilizarán los foros para analizar casos en forma grupal. El objetivo consiste en analizar un caso, inicialmente, de forma individual, para luego de forma grupal, analizar/comentar los aportes de sus compañeros y compañeras. Los foros para analizar casos se desarrollan en las sesiones 4, 9 y 10. Cada foro tiene un valor de 5%</w:t>
      </w:r>
      <w:r>
        <w:rPr>
          <w:rFonts w:cs="Arial"/>
          <w:color w:val="000000" w:themeColor="text1"/>
        </w:rPr>
        <w:t xml:space="preserve"> y se evalúan con la siguiente rúbrica. </w:t>
      </w:r>
    </w:p>
    <w:p w14:paraId="03FF08F6" w14:textId="77777777" w:rsidR="00484BB1" w:rsidRDefault="00484BB1" w:rsidP="006D17CA">
      <w:pPr>
        <w:jc w:val="center"/>
        <w:rPr>
          <w:rFonts w:cs="Arial"/>
          <w:b/>
          <w:bCs/>
          <w:color w:val="000000" w:themeColor="text1"/>
        </w:rPr>
      </w:pPr>
    </w:p>
    <w:p w14:paraId="6A078A73" w14:textId="77777777" w:rsidR="00484BB1" w:rsidRDefault="00484BB1">
      <w:pPr>
        <w:rPr>
          <w:rFonts w:cs="Arial"/>
          <w:b/>
          <w:bCs/>
          <w:color w:val="000000" w:themeColor="text1"/>
        </w:rPr>
      </w:pPr>
    </w:p>
    <w:p w14:paraId="3E5749C0" w14:textId="77777777" w:rsidR="00484BB1" w:rsidRDefault="00484BB1">
      <w:pPr>
        <w:rPr>
          <w:rFonts w:cs="Arial"/>
          <w:b/>
          <w:bCs/>
          <w:color w:val="000000" w:themeColor="text1"/>
        </w:rPr>
      </w:pPr>
    </w:p>
    <w:p w14:paraId="35B51AC6" w14:textId="77777777" w:rsidR="00484BB1" w:rsidRDefault="00484BB1">
      <w:pPr>
        <w:rPr>
          <w:rFonts w:cs="Arial"/>
          <w:b/>
          <w:bCs/>
          <w:color w:val="000000" w:themeColor="text1"/>
        </w:rPr>
      </w:pPr>
    </w:p>
    <w:p w14:paraId="7FD0F777" w14:textId="77777777" w:rsidR="00484BB1" w:rsidRDefault="00484BB1">
      <w:pPr>
        <w:rPr>
          <w:rFonts w:cs="Arial"/>
          <w:b/>
          <w:bCs/>
          <w:color w:val="000000" w:themeColor="text1"/>
        </w:rPr>
      </w:pPr>
    </w:p>
    <w:p w14:paraId="0EB292C2" w14:textId="77777777" w:rsidR="00484BB1" w:rsidRDefault="00484BB1">
      <w:pPr>
        <w:rPr>
          <w:rFonts w:cs="Arial"/>
          <w:b/>
          <w:bCs/>
          <w:color w:val="000000" w:themeColor="text1"/>
        </w:rPr>
      </w:pPr>
    </w:p>
    <w:p w14:paraId="73B4E022" w14:textId="77777777" w:rsidR="00484BB1" w:rsidRDefault="00484BB1">
      <w:pPr>
        <w:rPr>
          <w:rFonts w:cs="Arial"/>
          <w:b/>
          <w:bCs/>
          <w:color w:val="000000" w:themeColor="text1"/>
        </w:rPr>
      </w:pPr>
    </w:p>
    <w:p w14:paraId="7D077960" w14:textId="77777777" w:rsidR="00484BB1" w:rsidRDefault="00484BB1">
      <w:pPr>
        <w:rPr>
          <w:rFonts w:cs="Arial"/>
          <w:b/>
          <w:bCs/>
          <w:color w:val="000000" w:themeColor="text1"/>
        </w:rPr>
      </w:pPr>
    </w:p>
    <w:p w14:paraId="22C84FFD" w14:textId="77777777" w:rsidR="00484BB1" w:rsidRDefault="00484BB1">
      <w:pPr>
        <w:rPr>
          <w:rFonts w:cs="Arial"/>
          <w:b/>
          <w:bCs/>
          <w:color w:val="000000" w:themeColor="text1"/>
        </w:rPr>
      </w:pPr>
    </w:p>
    <w:p w14:paraId="79B156FA" w14:textId="77777777" w:rsidR="00484BB1" w:rsidRDefault="00484BB1">
      <w:pPr>
        <w:rPr>
          <w:rFonts w:cs="Arial"/>
          <w:b/>
          <w:bCs/>
          <w:color w:val="000000" w:themeColor="text1"/>
        </w:rPr>
      </w:pPr>
    </w:p>
    <w:p w14:paraId="2362AC42" w14:textId="77777777" w:rsidR="00484BB1" w:rsidRDefault="00484BB1">
      <w:pPr>
        <w:rPr>
          <w:rFonts w:cs="Arial"/>
          <w:b/>
          <w:bCs/>
          <w:color w:val="000000" w:themeColor="text1"/>
        </w:rPr>
      </w:pPr>
    </w:p>
    <w:p w14:paraId="1B772823" w14:textId="77777777" w:rsidR="00484BB1" w:rsidRDefault="00484BB1">
      <w:pPr>
        <w:rPr>
          <w:rFonts w:cs="Arial"/>
          <w:b/>
          <w:bCs/>
          <w:color w:val="000000" w:themeColor="text1"/>
        </w:rPr>
      </w:pPr>
    </w:p>
    <w:p w14:paraId="454B771E" w14:textId="77777777" w:rsidR="00484BB1" w:rsidRDefault="00484BB1">
      <w:pPr>
        <w:rPr>
          <w:rFonts w:cs="Arial"/>
          <w:b/>
          <w:bCs/>
          <w:color w:val="000000" w:themeColor="text1"/>
        </w:rPr>
      </w:pPr>
    </w:p>
    <w:p w14:paraId="7B25A0C6" w14:textId="77777777" w:rsidR="00484BB1" w:rsidRDefault="00484BB1">
      <w:pPr>
        <w:rPr>
          <w:rFonts w:cs="Arial"/>
          <w:b/>
          <w:bCs/>
          <w:color w:val="000000" w:themeColor="text1"/>
        </w:rPr>
      </w:pPr>
    </w:p>
    <w:p w14:paraId="6D95B4D4" w14:textId="77777777" w:rsidR="00484BB1" w:rsidRDefault="00484BB1">
      <w:pPr>
        <w:rPr>
          <w:rFonts w:cs="Arial"/>
          <w:b/>
          <w:bCs/>
          <w:color w:val="000000" w:themeColor="text1"/>
        </w:rPr>
      </w:pPr>
    </w:p>
    <w:p w14:paraId="23470E3F" w14:textId="77777777" w:rsidR="00484BB1" w:rsidRDefault="00484BB1">
      <w:pPr>
        <w:rPr>
          <w:rFonts w:cs="Arial"/>
          <w:b/>
          <w:bCs/>
          <w:color w:val="000000" w:themeColor="text1"/>
        </w:rPr>
      </w:pPr>
    </w:p>
    <w:p w14:paraId="77FA49A5" w14:textId="77777777" w:rsidR="00484BB1" w:rsidRDefault="00484BB1">
      <w:pPr>
        <w:rPr>
          <w:rFonts w:cs="Arial"/>
          <w:b/>
          <w:bCs/>
          <w:color w:val="000000" w:themeColor="text1"/>
        </w:rPr>
      </w:pPr>
    </w:p>
    <w:p w14:paraId="57E83913" w14:textId="77777777" w:rsidR="00484BB1" w:rsidRDefault="00484BB1">
      <w:pPr>
        <w:rPr>
          <w:rFonts w:cs="Arial"/>
          <w:b/>
          <w:bCs/>
          <w:color w:val="000000" w:themeColor="text1"/>
        </w:rPr>
      </w:pPr>
    </w:p>
    <w:p w14:paraId="02E26ABE" w14:textId="77777777" w:rsidR="00484BB1" w:rsidRDefault="00484BB1">
      <w:pPr>
        <w:rPr>
          <w:rFonts w:cs="Arial"/>
          <w:b/>
          <w:bCs/>
          <w:color w:val="000000" w:themeColor="text1"/>
        </w:rPr>
      </w:pPr>
    </w:p>
    <w:p w14:paraId="4325B086" w14:textId="77777777" w:rsidR="00484BB1" w:rsidRDefault="00484BB1">
      <w:pPr>
        <w:rPr>
          <w:rFonts w:cs="Arial"/>
          <w:b/>
          <w:bCs/>
          <w:color w:val="000000" w:themeColor="text1"/>
        </w:rPr>
      </w:pPr>
    </w:p>
    <w:p w14:paraId="17F1D2AF" w14:textId="77777777" w:rsidR="00484BB1" w:rsidRDefault="00484BB1">
      <w:pPr>
        <w:rPr>
          <w:rFonts w:cs="Arial"/>
          <w:b/>
          <w:bCs/>
          <w:color w:val="000000" w:themeColor="text1"/>
        </w:rPr>
      </w:pPr>
    </w:p>
    <w:p w14:paraId="332C516D" w14:textId="77777777" w:rsidR="00484BB1" w:rsidRDefault="00484BB1">
      <w:pPr>
        <w:rPr>
          <w:rFonts w:cs="Arial"/>
          <w:b/>
          <w:bCs/>
          <w:color w:val="000000" w:themeColor="text1"/>
        </w:rPr>
      </w:pPr>
      <w:r w:rsidRPr="00B85E9C">
        <w:rPr>
          <w:noProof/>
        </w:rPr>
        <mc:AlternateContent>
          <mc:Choice Requires="wps">
            <w:drawing>
              <wp:anchor distT="0" distB="0" distL="114300" distR="114300" simplePos="0" relativeHeight="252212224" behindDoc="0" locked="0" layoutInCell="1" allowOverlap="1" wp14:anchorId="1819D24E" wp14:editId="31A5B5C1">
                <wp:simplePos x="0" y="0"/>
                <wp:positionH relativeFrom="margin">
                  <wp:align>center</wp:align>
                </wp:positionH>
                <wp:positionV relativeFrom="paragraph">
                  <wp:posOffset>4763</wp:posOffset>
                </wp:positionV>
                <wp:extent cx="6606540" cy="411480"/>
                <wp:effectExtent l="0" t="0" r="22860" b="26670"/>
                <wp:wrapNone/>
                <wp:docPr id="661815195"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0A0FB358" w14:textId="77777777" w:rsidR="00484BB1" w:rsidRPr="00C25376" w:rsidRDefault="00484BB1" w:rsidP="006B489D">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PRESENTACIÓN VIRTUAL DE LA SÍNTESIS DE LA MONOGRAFÍA FINAL</w:t>
                            </w:r>
                          </w:p>
                          <w:p w14:paraId="175FFC5B" w14:textId="77777777" w:rsidR="00484BB1" w:rsidRPr="00C25376" w:rsidRDefault="00484BB1" w:rsidP="006B489D">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19D24E" id="_x0000_s1070" type="#_x0000_t202" style="position:absolute;margin-left:0;margin-top:.4pt;width:520.2pt;height:32.4pt;z-index:2522122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" fillcolor="white [3201]" strokeweight=".5pt">
                <v:textbox>
                  <w:txbxContent>
                    <w:p w14:paraId="0A0FB358" w14:textId="77777777" w:rsidR="00484BB1" w:rsidRPr="00C25376" w:rsidRDefault="00484BB1" w:rsidP="006B489D">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PRESENTACIÓN VIRTUAL DE LA SÍNTESIS DE LA MONOGRAFÍA FINAL</w:t>
                      </w:r>
                    </w:p>
                    <w:p w14:paraId="175FFC5B" w14:textId="77777777" w:rsidR="00484BB1" w:rsidRPr="00C25376" w:rsidRDefault="00484BB1" w:rsidP="006B489D">
                      <w:pPr>
                        <w:jc w:val="center"/>
                        <w:rPr>
                          <w:rFonts w:cstheme="minorHAnsi"/>
                        </w:rPr>
                      </w:pPr>
                    </w:p>
                  </w:txbxContent>
                </v:textbox>
                <w10:wrap anchorx="margin"/>
              </v:shape>
            </w:pict>
          </mc:Fallback>
        </mc:AlternateContent>
      </w:r>
    </w:p>
    <w:p w14:paraId="463C91DF" w14:textId="77777777" w:rsidR="00484BB1" w:rsidRDefault="00484BB1">
      <w:pPr>
        <w:rPr>
          <w:rFonts w:cs="Arial"/>
          <w:b/>
          <w:bCs/>
          <w:color w:val="000000" w:themeColor="text1"/>
        </w:rPr>
      </w:pPr>
    </w:p>
    <w:p w14:paraId="1CB4F899" w14:textId="77777777" w:rsidR="00484BB1" w:rsidRPr="00326BF0" w:rsidRDefault="00484BB1" w:rsidP="006B489D">
      <w:pPr>
        <w:jc w:val="center"/>
        <w:rPr>
          <w:rFonts w:cs="Arial"/>
          <w:color w:val="0070C0"/>
        </w:rPr>
      </w:pPr>
      <w:r w:rsidRPr="00326BF0">
        <w:rPr>
          <w:rFonts w:cs="Arial"/>
          <w:color w:val="0070C0"/>
        </w:rPr>
        <w:t>Las personas estudiantes harán una presentación, una síntesis de los hallazgos más importantes en su investigación monográfica. La misma se hará mediante encuentros sincrónicos virtuales. Se realiza en las sesiones 13, 14 y 15 (por grupos). Tiene un valor de 10%.</w:t>
      </w:r>
    </w:p>
    <w:p w14:paraId="65B1BE3A" w14:textId="77777777" w:rsidR="00484BB1" w:rsidRDefault="00484BB1" w:rsidP="006B489D">
      <w:pPr>
        <w:jc w:val="center"/>
        <w:rPr>
          <w:rFonts w:cs="Arial"/>
          <w:color w:val="000000" w:themeColor="text1"/>
        </w:rPr>
      </w:pPr>
    </w:p>
    <w:p w14:paraId="6EDB9D32" w14:textId="77777777" w:rsidR="00484BB1" w:rsidRPr="006B489D" w:rsidRDefault="00484BB1" w:rsidP="006B489D">
      <w:pPr>
        <w:jc w:val="center"/>
        <w:rPr>
          <w:rFonts w:cs="Arial"/>
          <w:color w:val="000000" w:themeColor="text1"/>
        </w:rPr>
      </w:pPr>
      <w:r>
        <w:rPr>
          <w:rFonts w:cs="Arial"/>
          <w:noProof/>
          <w:color w:val="000000" w:themeColor="text1"/>
        </w:rPr>
        <w:drawing>
          <wp:anchor distT="0" distB="0" distL="114300" distR="114300" simplePos="0" relativeHeight="252215296" behindDoc="0" locked="0" layoutInCell="1" allowOverlap="1" wp14:anchorId="3D3A8887" wp14:editId="09946D9A">
            <wp:simplePos x="0" y="0"/>
            <wp:positionH relativeFrom="margin">
              <wp:align>center</wp:align>
            </wp:positionH>
            <wp:positionV relativeFrom="paragraph">
              <wp:posOffset>87630</wp:posOffset>
            </wp:positionV>
            <wp:extent cx="8780774" cy="4729162"/>
            <wp:effectExtent l="0" t="0" r="1905" b="0"/>
            <wp:wrapNone/>
            <wp:docPr id="534100034"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100034" name="Imagen 13" descr="Tabla&#10;&#10;Descripción generada automáticamente"/>
                    <pic:cNvPicPr/>
                  </pic:nvPicPr>
                  <pic:blipFill>
                    <a:blip r:embed="rId101">
                      <a:extLst>
                        <a:ext uri="{28A0092B-C50C-407E-A947-70E740481C1C}">
                          <a14:useLocalDpi xmlns:a14="http://schemas.microsoft.com/office/drawing/2010/main" val="0"/>
                        </a:ext>
                      </a:extLst>
                    </a:blip>
                    <a:stretch>
                      <a:fillRect/>
                    </a:stretch>
                  </pic:blipFill>
                  <pic:spPr>
                    <a:xfrm>
                      <a:off x="0" y="0"/>
                      <a:ext cx="8780774" cy="4729162"/>
                    </a:xfrm>
                    <a:prstGeom prst="rect">
                      <a:avLst/>
                    </a:prstGeom>
                  </pic:spPr>
                </pic:pic>
              </a:graphicData>
            </a:graphic>
            <wp14:sizeRelH relativeFrom="margin">
              <wp14:pctWidth>0</wp14:pctWidth>
            </wp14:sizeRelH>
            <wp14:sizeRelV relativeFrom="margin">
              <wp14:pctHeight>0</wp14:pctHeight>
            </wp14:sizeRelV>
          </wp:anchor>
        </w:drawing>
      </w:r>
    </w:p>
    <w:p w14:paraId="7A2A771B" w14:textId="77777777" w:rsidR="00484BB1" w:rsidRDefault="00484BB1">
      <w:pPr>
        <w:rPr>
          <w:rFonts w:cs="Arial"/>
          <w:b/>
          <w:bCs/>
          <w:color w:val="000000" w:themeColor="text1"/>
        </w:rPr>
      </w:pPr>
    </w:p>
    <w:p w14:paraId="4A282F09" w14:textId="77777777" w:rsidR="00484BB1" w:rsidRDefault="00484BB1">
      <w:pPr>
        <w:rPr>
          <w:rFonts w:cs="Arial"/>
          <w:b/>
          <w:bCs/>
          <w:color w:val="000000" w:themeColor="text1"/>
        </w:rPr>
      </w:pPr>
    </w:p>
    <w:p w14:paraId="02A1393A" w14:textId="77777777" w:rsidR="00484BB1" w:rsidRDefault="00484BB1">
      <w:pPr>
        <w:rPr>
          <w:rFonts w:cs="Arial"/>
          <w:b/>
          <w:bCs/>
          <w:color w:val="000000" w:themeColor="text1"/>
        </w:rPr>
      </w:pPr>
    </w:p>
    <w:p w14:paraId="7E1D0816" w14:textId="77777777" w:rsidR="00484BB1" w:rsidRDefault="00484BB1">
      <w:pPr>
        <w:rPr>
          <w:rFonts w:cs="Arial"/>
          <w:b/>
          <w:bCs/>
          <w:color w:val="000000" w:themeColor="text1"/>
        </w:rPr>
      </w:pPr>
    </w:p>
    <w:p w14:paraId="3ACC1FAB" w14:textId="77777777" w:rsidR="00484BB1" w:rsidRDefault="00484BB1">
      <w:pPr>
        <w:rPr>
          <w:rFonts w:cs="Arial"/>
          <w:b/>
          <w:bCs/>
          <w:color w:val="000000" w:themeColor="text1"/>
        </w:rPr>
      </w:pPr>
    </w:p>
    <w:p w14:paraId="43E7AE46" w14:textId="77777777" w:rsidR="00484BB1" w:rsidRDefault="00484BB1">
      <w:pPr>
        <w:rPr>
          <w:rFonts w:cs="Arial"/>
          <w:b/>
          <w:bCs/>
          <w:color w:val="000000" w:themeColor="text1"/>
        </w:rPr>
      </w:pPr>
    </w:p>
    <w:p w14:paraId="2A159463" w14:textId="77777777" w:rsidR="00484BB1" w:rsidRDefault="00484BB1">
      <w:pPr>
        <w:rPr>
          <w:rFonts w:cs="Arial"/>
          <w:b/>
          <w:bCs/>
          <w:color w:val="000000" w:themeColor="text1"/>
        </w:rPr>
      </w:pPr>
    </w:p>
    <w:p w14:paraId="18EA7574" w14:textId="77777777" w:rsidR="00484BB1" w:rsidRDefault="00484BB1">
      <w:pPr>
        <w:rPr>
          <w:rFonts w:cs="Arial"/>
          <w:b/>
          <w:bCs/>
          <w:color w:val="000000" w:themeColor="text1"/>
        </w:rPr>
      </w:pPr>
    </w:p>
    <w:p w14:paraId="75A8B4A9" w14:textId="77777777" w:rsidR="00484BB1" w:rsidRDefault="00484BB1">
      <w:pPr>
        <w:rPr>
          <w:rFonts w:cs="Arial"/>
          <w:b/>
          <w:bCs/>
          <w:color w:val="000000" w:themeColor="text1"/>
        </w:rPr>
      </w:pPr>
    </w:p>
    <w:p w14:paraId="6427A935" w14:textId="77777777" w:rsidR="00484BB1" w:rsidRDefault="00484BB1">
      <w:pPr>
        <w:rPr>
          <w:rFonts w:cs="Arial"/>
          <w:b/>
          <w:bCs/>
          <w:color w:val="000000" w:themeColor="text1"/>
        </w:rPr>
      </w:pPr>
    </w:p>
    <w:p w14:paraId="60935328" w14:textId="77777777" w:rsidR="00484BB1" w:rsidRDefault="00484BB1">
      <w:pPr>
        <w:rPr>
          <w:rFonts w:cs="Arial"/>
          <w:b/>
          <w:bCs/>
          <w:color w:val="000000" w:themeColor="text1"/>
        </w:rPr>
      </w:pPr>
    </w:p>
    <w:p w14:paraId="0EEA1DDF" w14:textId="77777777" w:rsidR="00484BB1" w:rsidRDefault="00484BB1">
      <w:pPr>
        <w:rPr>
          <w:rFonts w:cs="Arial"/>
          <w:b/>
          <w:bCs/>
          <w:color w:val="000000" w:themeColor="text1"/>
        </w:rPr>
      </w:pPr>
    </w:p>
    <w:p w14:paraId="46889C8C" w14:textId="77777777" w:rsidR="00484BB1" w:rsidRDefault="00484BB1">
      <w:pPr>
        <w:rPr>
          <w:rFonts w:cs="Arial"/>
          <w:b/>
          <w:bCs/>
          <w:color w:val="000000" w:themeColor="text1"/>
        </w:rPr>
      </w:pPr>
    </w:p>
    <w:p w14:paraId="01EA8AF8" w14:textId="77777777" w:rsidR="00484BB1" w:rsidRDefault="00484BB1">
      <w:pPr>
        <w:rPr>
          <w:rFonts w:cs="Arial"/>
          <w:b/>
          <w:bCs/>
          <w:color w:val="000000" w:themeColor="text1"/>
        </w:rPr>
      </w:pPr>
    </w:p>
    <w:p w14:paraId="1DE1F2FC" w14:textId="77777777" w:rsidR="00484BB1" w:rsidRDefault="00484BB1">
      <w:pPr>
        <w:rPr>
          <w:rFonts w:cs="Arial"/>
          <w:b/>
          <w:bCs/>
          <w:color w:val="000000" w:themeColor="text1"/>
        </w:rPr>
      </w:pPr>
    </w:p>
    <w:p w14:paraId="00336B72" w14:textId="77777777" w:rsidR="00484BB1" w:rsidRDefault="00484BB1">
      <w:pPr>
        <w:rPr>
          <w:rFonts w:cs="Arial"/>
          <w:b/>
          <w:bCs/>
          <w:color w:val="000000" w:themeColor="text1"/>
        </w:rPr>
      </w:pPr>
    </w:p>
    <w:p w14:paraId="4FAD99E1" w14:textId="77777777" w:rsidR="00484BB1" w:rsidRDefault="00484BB1">
      <w:pPr>
        <w:rPr>
          <w:rFonts w:cs="Arial"/>
          <w:b/>
          <w:bCs/>
          <w:color w:val="000000" w:themeColor="text1"/>
        </w:rPr>
      </w:pPr>
    </w:p>
    <w:p w14:paraId="51F51FAF" w14:textId="77777777" w:rsidR="00484BB1" w:rsidRDefault="00484BB1">
      <w:pPr>
        <w:rPr>
          <w:rFonts w:cs="Arial"/>
          <w:b/>
          <w:bCs/>
          <w:color w:val="000000" w:themeColor="text1"/>
        </w:rPr>
      </w:pPr>
    </w:p>
    <w:p w14:paraId="43CD67B9" w14:textId="77777777" w:rsidR="00484BB1" w:rsidRDefault="00484BB1">
      <w:pPr>
        <w:rPr>
          <w:rFonts w:cs="Arial"/>
          <w:b/>
          <w:bCs/>
          <w:color w:val="000000" w:themeColor="text1"/>
        </w:rPr>
      </w:pPr>
      <w:r w:rsidRPr="00B85E9C">
        <w:rPr>
          <w:noProof/>
        </w:rPr>
        <mc:AlternateContent>
          <mc:Choice Requires="wps">
            <w:drawing>
              <wp:anchor distT="0" distB="0" distL="114300" distR="114300" simplePos="0" relativeHeight="252217344" behindDoc="0" locked="0" layoutInCell="1" allowOverlap="1" wp14:anchorId="1E3D5629" wp14:editId="321F12A0">
                <wp:simplePos x="0" y="0"/>
                <wp:positionH relativeFrom="margin">
                  <wp:align>center</wp:align>
                </wp:positionH>
                <wp:positionV relativeFrom="paragraph">
                  <wp:posOffset>4762</wp:posOffset>
                </wp:positionV>
                <wp:extent cx="6606540" cy="411480"/>
                <wp:effectExtent l="0" t="0" r="22860" b="26670"/>
                <wp:wrapNone/>
                <wp:docPr id="392257035"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1904A641" w14:textId="77777777" w:rsidR="00484BB1" w:rsidRPr="00C25376" w:rsidRDefault="00484BB1" w:rsidP="0092081F">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MONOGRAFÍA FINAL ESCRITA</w:t>
                            </w:r>
                          </w:p>
                          <w:p w14:paraId="626AC049" w14:textId="77777777" w:rsidR="00484BB1" w:rsidRPr="00C25376" w:rsidRDefault="00484BB1" w:rsidP="0092081F">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3D5629" id="_x0000_s1071" type="#_x0000_t202" style="position:absolute;margin-left:0;margin-top:.35pt;width:520.2pt;height:32.4pt;z-index:252217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hltOgIAAIQ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" fillcolor="white [3201]" strokeweight=".5pt">
                <v:textbox>
                  <w:txbxContent>
                    <w:p w14:paraId="1904A641" w14:textId="77777777" w:rsidR="00484BB1" w:rsidRPr="00C25376" w:rsidRDefault="00484BB1" w:rsidP="0092081F">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MONOGRAFÍA FINAL ESCRITA</w:t>
                      </w:r>
                    </w:p>
                    <w:p w14:paraId="626AC049" w14:textId="77777777" w:rsidR="00484BB1" w:rsidRPr="00C25376" w:rsidRDefault="00484BB1" w:rsidP="0092081F">
                      <w:pPr>
                        <w:jc w:val="center"/>
                        <w:rPr>
                          <w:rFonts w:cstheme="minorHAnsi"/>
                        </w:rPr>
                      </w:pPr>
                    </w:p>
                  </w:txbxContent>
                </v:textbox>
                <w10:wrap anchorx="margin"/>
              </v:shape>
            </w:pict>
          </mc:Fallback>
        </mc:AlternateContent>
      </w:r>
    </w:p>
    <w:p w14:paraId="3A10F44E" w14:textId="77777777" w:rsidR="00484BB1" w:rsidRDefault="00484BB1">
      <w:pPr>
        <w:rPr>
          <w:rFonts w:cs="Arial"/>
          <w:b/>
          <w:bCs/>
          <w:color w:val="000000" w:themeColor="text1"/>
        </w:rPr>
      </w:pPr>
    </w:p>
    <w:p w14:paraId="377934D8" w14:textId="77777777" w:rsidR="00484BB1" w:rsidRPr="00326BF0" w:rsidRDefault="00484BB1" w:rsidP="00AD7A28">
      <w:pPr>
        <w:jc w:val="center"/>
        <w:rPr>
          <w:rFonts w:cs="Arial"/>
          <w:color w:val="0070C0"/>
        </w:rPr>
      </w:pPr>
      <w:r w:rsidRPr="00326BF0">
        <w:rPr>
          <w:rFonts w:cs="Arial"/>
          <w:color w:val="0070C0"/>
        </w:rPr>
        <w:t>Una monografía es un tipo de documento expositivo o explicativo en el que se aborda un tema específico desde una o más perspectivas posibles. Implica la consulta de diversas fuentes hasta agotar lo más posible el abordaje del tema en cuestión. Se elabora desde la sesión 2 hasta la 13 y tiene un valor de 25%.</w:t>
      </w:r>
    </w:p>
    <w:p w14:paraId="3FED1A83" w14:textId="77777777" w:rsidR="00484BB1" w:rsidRDefault="00484BB1" w:rsidP="00AD7A28">
      <w:pPr>
        <w:jc w:val="center"/>
        <w:rPr>
          <w:rFonts w:cs="Arial"/>
          <w:color w:val="000000" w:themeColor="text1"/>
        </w:rPr>
      </w:pPr>
    </w:p>
    <w:p w14:paraId="061ED77B" w14:textId="77777777" w:rsidR="00484BB1" w:rsidRPr="00AD7A28" w:rsidRDefault="00484BB1" w:rsidP="00AD7A28">
      <w:pPr>
        <w:jc w:val="center"/>
        <w:rPr>
          <w:rFonts w:cs="Arial"/>
          <w:color w:val="000000" w:themeColor="text1"/>
        </w:rPr>
      </w:pPr>
      <w:r>
        <w:rPr>
          <w:rFonts w:cs="Arial"/>
          <w:noProof/>
          <w:color w:val="000000" w:themeColor="text1"/>
        </w:rPr>
        <w:drawing>
          <wp:anchor distT="0" distB="0" distL="114300" distR="114300" simplePos="0" relativeHeight="252219392" behindDoc="0" locked="0" layoutInCell="1" allowOverlap="1" wp14:anchorId="6D1A52A6" wp14:editId="25E191EF">
            <wp:simplePos x="0" y="0"/>
            <wp:positionH relativeFrom="margin">
              <wp:align>center</wp:align>
            </wp:positionH>
            <wp:positionV relativeFrom="paragraph">
              <wp:posOffset>97155</wp:posOffset>
            </wp:positionV>
            <wp:extent cx="8615130" cy="4010025"/>
            <wp:effectExtent l="0" t="0" r="0" b="0"/>
            <wp:wrapNone/>
            <wp:docPr id="629608678"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08678" name="Imagen 14" descr="Tabla&#10;&#10;Descripción generada automáticamente"/>
                    <pic:cNvPicPr/>
                  </pic:nvPicPr>
                  <pic:blipFill>
                    <a:blip r:embed="rId102">
                      <a:extLst>
                        <a:ext uri="{28A0092B-C50C-407E-A947-70E740481C1C}">
                          <a14:useLocalDpi xmlns:a14="http://schemas.microsoft.com/office/drawing/2010/main" val="0"/>
                        </a:ext>
                      </a:extLst>
                    </a:blip>
                    <a:stretch>
                      <a:fillRect/>
                    </a:stretch>
                  </pic:blipFill>
                  <pic:spPr>
                    <a:xfrm>
                      <a:off x="0" y="0"/>
                      <a:ext cx="8615130" cy="4010025"/>
                    </a:xfrm>
                    <a:prstGeom prst="rect">
                      <a:avLst/>
                    </a:prstGeom>
                  </pic:spPr>
                </pic:pic>
              </a:graphicData>
            </a:graphic>
            <wp14:sizeRelH relativeFrom="margin">
              <wp14:pctWidth>0</wp14:pctWidth>
            </wp14:sizeRelH>
            <wp14:sizeRelV relativeFrom="margin">
              <wp14:pctHeight>0</wp14:pctHeight>
            </wp14:sizeRelV>
          </wp:anchor>
        </w:drawing>
      </w:r>
    </w:p>
    <w:p w14:paraId="683D2C86" w14:textId="77777777" w:rsidR="00484BB1" w:rsidRDefault="00484BB1">
      <w:pPr>
        <w:rPr>
          <w:rFonts w:cs="Arial"/>
          <w:b/>
          <w:bCs/>
          <w:color w:val="000000" w:themeColor="text1"/>
        </w:rPr>
      </w:pPr>
      <w:r>
        <w:rPr>
          <w:rFonts w:cs="Arial"/>
          <w:b/>
          <w:bCs/>
          <w:color w:val="000000" w:themeColor="text1"/>
        </w:rPr>
        <w:br w:type="page"/>
      </w:r>
    </w:p>
    <w:p w14:paraId="0DE1FC48" w14:textId="77777777" w:rsidR="00484BB1" w:rsidRDefault="00484BB1">
      <w:pPr>
        <w:rPr>
          <w:rFonts w:cs="Arial"/>
          <w:b/>
          <w:bCs/>
          <w:color w:val="000000" w:themeColor="text1"/>
        </w:rPr>
        <w:sectPr w:rsidR="00484BB1" w:rsidSect="005C1895">
          <w:pgSz w:w="15840" w:h="12240" w:orient="landscape"/>
          <w:pgMar w:top="720" w:right="720" w:bottom="720" w:left="720" w:header="709" w:footer="709" w:gutter="0"/>
          <w:pgNumType w:start="66"/>
          <w:cols w:space="708"/>
          <w:docGrid w:linePitch="360"/>
        </w:sectPr>
      </w:pPr>
    </w:p>
    <w:p w14:paraId="31980357" w14:textId="77777777" w:rsidR="00484BB1" w:rsidRDefault="00484BB1" w:rsidP="00B878BD">
      <w:pPr>
        <w:rPr>
          <w:rFonts w:cs="Arial"/>
          <w:b/>
        </w:rPr>
      </w:pPr>
      <w:r w:rsidRPr="00A8436C">
        <w:rPr>
          <w:rFonts w:cs="Arial"/>
          <w:b/>
        </w:rPr>
        <w:lastRenderedPageBreak/>
        <w:t>X</w:t>
      </w:r>
      <w:r>
        <w:rPr>
          <w:rFonts w:cs="Arial"/>
          <w:b/>
        </w:rPr>
        <w:t>I</w:t>
      </w:r>
      <w:r w:rsidRPr="00A8436C">
        <w:rPr>
          <w:rFonts w:cs="Arial"/>
          <w:b/>
        </w:rPr>
        <w:t>. Bibliografía</w:t>
      </w:r>
      <w:r>
        <w:rPr>
          <w:rFonts w:cs="Arial"/>
          <w:b/>
        </w:rPr>
        <w:t xml:space="preserve"> obligatoria </w:t>
      </w:r>
    </w:p>
    <w:p w14:paraId="2FC4E863" w14:textId="77777777" w:rsidR="00484BB1" w:rsidRDefault="00484BB1" w:rsidP="003D0F79">
      <w:pPr>
        <w:jc w:val="both"/>
        <w:rPr>
          <w:rFonts w:cs="Arial"/>
          <w:bCs/>
          <w:color w:val="000000" w:themeColor="text1"/>
        </w:rPr>
      </w:pPr>
      <w:bookmarkStart w:id="14" w:name="_Hlk144638462"/>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bookmarkEnd w:id="14"/>
    </w:p>
    <w:p w14:paraId="3013F841"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Baltodano Arróliga, Mireya. </w:t>
      </w:r>
      <w:r w:rsidRPr="00537ED0">
        <w:rPr>
          <w:rFonts w:ascii="Calibri" w:hAnsi="Calibri" w:cs="Calibri"/>
          <w:i/>
          <w:iCs/>
          <w:color w:val="000000"/>
        </w:rPr>
        <w:t xml:space="preserve">Introducción a la Psicología. </w:t>
      </w:r>
      <w:r w:rsidRPr="00537ED0">
        <w:rPr>
          <w:rFonts w:ascii="Calibri" w:hAnsi="Calibri" w:cs="Calibri"/>
          <w:color w:val="000000"/>
        </w:rPr>
        <w:t>San José: UBILA, 2009.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 xml:space="preserve">última edición) </w:t>
      </w:r>
    </w:p>
    <w:p w14:paraId="0927AABC"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Baltodano Arróliga, Sara. </w:t>
      </w:r>
      <w:r w:rsidRPr="00537ED0">
        <w:rPr>
          <w:rFonts w:ascii="Calibri" w:hAnsi="Calibri" w:cs="Calibri"/>
          <w:i/>
          <w:iCs/>
          <w:color w:val="000000"/>
        </w:rPr>
        <w:t>El cuidado pastoral de la familia en un mundo cambiante e inseguro</w:t>
      </w:r>
      <w:r w:rsidRPr="00537ED0">
        <w:rPr>
          <w:rFonts w:ascii="Calibri" w:hAnsi="Calibri" w:cs="Calibri"/>
          <w:color w:val="000000"/>
        </w:rPr>
        <w:t>. Guatemala: Ediciones Semilla, 2007.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51CDAEF6"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Baltodano Arróliga, Sara. </w:t>
      </w:r>
      <w:r w:rsidRPr="00537ED0">
        <w:rPr>
          <w:rFonts w:ascii="Calibri" w:hAnsi="Calibri" w:cs="Calibri"/>
          <w:i/>
          <w:iCs/>
          <w:color w:val="000000"/>
        </w:rPr>
        <w:t xml:space="preserve">Nutriendo familias. </w:t>
      </w:r>
      <w:r w:rsidRPr="00537ED0">
        <w:rPr>
          <w:rFonts w:ascii="Calibri" w:hAnsi="Calibri" w:cs="Calibri"/>
          <w:color w:val="000000"/>
        </w:rPr>
        <w:t>San José: Editorial SEBILA, 2007.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 xml:space="preserve">última edición) </w:t>
      </w:r>
    </w:p>
    <w:p w14:paraId="5ABDE3D7"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Baltodano Arróliga, Sara. Psicología, pastoral y pobreza. San José: Editorial SEBILA, 2003.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41DA8C17"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Duarte Guillén, Marlín Teresa e Irene Pineda Ferman. </w:t>
      </w:r>
      <w:r w:rsidRPr="00537ED0">
        <w:rPr>
          <w:rFonts w:ascii="Calibri" w:hAnsi="Calibri" w:cs="Calibri"/>
          <w:i/>
          <w:iCs/>
          <w:color w:val="000000"/>
        </w:rPr>
        <w:t xml:space="preserve">Pastoral e intervención en situaciones de crisis: módulo de estudio. </w:t>
      </w:r>
      <w:r w:rsidRPr="00537ED0">
        <w:rPr>
          <w:rFonts w:ascii="Calibri" w:hAnsi="Calibri" w:cs="Calibri"/>
          <w:color w:val="000000"/>
        </w:rPr>
        <w:t>Managua, Nicaragua: CIEETS, 2009.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 xml:space="preserve">última edición) </w:t>
      </w:r>
    </w:p>
    <w:p w14:paraId="783D3827" w14:textId="77777777" w:rsidR="00484BB1" w:rsidRPr="00537ED0" w:rsidRDefault="00484BB1" w:rsidP="00537ED0">
      <w:pPr>
        <w:ind w:left="709" w:hanging="709"/>
        <w:jc w:val="both"/>
        <w:rPr>
          <w:rFonts w:ascii="Calibri" w:hAnsi="Calibri" w:cs="Calibri"/>
          <w:color w:val="000000"/>
        </w:rPr>
      </w:pPr>
      <w:proofErr w:type="spellStart"/>
      <w:r w:rsidRPr="00537ED0">
        <w:rPr>
          <w:rFonts w:ascii="Calibri" w:hAnsi="Calibri" w:cs="Calibri"/>
          <w:color w:val="000000"/>
        </w:rPr>
        <w:t>Dunker</w:t>
      </w:r>
      <w:proofErr w:type="spellEnd"/>
      <w:r w:rsidRPr="00537ED0">
        <w:rPr>
          <w:rFonts w:ascii="Calibri" w:hAnsi="Calibri" w:cs="Calibri"/>
          <w:color w:val="000000"/>
        </w:rPr>
        <w:t xml:space="preserve"> L., José. </w:t>
      </w:r>
      <w:r w:rsidRPr="00537ED0">
        <w:rPr>
          <w:rFonts w:ascii="Calibri" w:hAnsi="Calibri" w:cs="Calibri"/>
          <w:i/>
          <w:iCs/>
          <w:color w:val="000000"/>
        </w:rPr>
        <w:t xml:space="preserve">Los vínculos familiares: una psicopatología de las relaciones familiares. </w:t>
      </w:r>
      <w:r w:rsidRPr="00537ED0">
        <w:rPr>
          <w:rFonts w:ascii="Calibri" w:hAnsi="Calibri" w:cs="Calibri"/>
          <w:color w:val="000000"/>
        </w:rPr>
        <w:t>Santo Domingo, República Dominicana: Editorial El Búho, 2003.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5FA01C4A"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i/>
          <w:iCs/>
          <w:color w:val="000000"/>
        </w:rPr>
        <w:t xml:space="preserve">Iglesia: inclusión, discapacidad, violencia. </w:t>
      </w:r>
      <w:r w:rsidRPr="00537ED0">
        <w:rPr>
          <w:rFonts w:ascii="Calibri" w:hAnsi="Calibri" w:cs="Calibri"/>
          <w:color w:val="000000"/>
        </w:rPr>
        <w:t>Red Latinoamericana en defensa de las personas con discapacidad. Buenos Aires: EDAN, 2011.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1C6A20EC"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Mora Guevara, Edwin José. </w:t>
      </w:r>
      <w:r w:rsidRPr="00537ED0">
        <w:rPr>
          <w:rFonts w:ascii="Calibri" w:hAnsi="Calibri" w:cs="Calibri"/>
          <w:i/>
          <w:iCs/>
          <w:color w:val="000000"/>
        </w:rPr>
        <w:t xml:space="preserve">Consolando en la enfermedad. </w:t>
      </w:r>
      <w:r w:rsidRPr="00537ED0">
        <w:rPr>
          <w:rFonts w:ascii="Calibri" w:hAnsi="Calibri" w:cs="Calibri"/>
          <w:color w:val="000000"/>
        </w:rPr>
        <w:t>San José: Editorial SEBILA, 2009.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2E7DAFA3"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Morgado Bernal, Ignacio. </w:t>
      </w:r>
      <w:r w:rsidRPr="00537ED0">
        <w:rPr>
          <w:rFonts w:ascii="Calibri" w:hAnsi="Calibri" w:cs="Calibri"/>
          <w:i/>
          <w:iCs/>
          <w:color w:val="000000"/>
        </w:rPr>
        <w:t>Emociones e inteligencia social</w:t>
      </w:r>
      <w:r w:rsidRPr="00537ED0">
        <w:rPr>
          <w:rFonts w:ascii="Calibri" w:hAnsi="Calibri" w:cs="Calibri"/>
          <w:color w:val="000000"/>
        </w:rPr>
        <w:t xml:space="preserve">. Barcelona: Ariel, 2019. </w:t>
      </w:r>
    </w:p>
    <w:p w14:paraId="26C7D902"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Nardone, Giorgio, eds. </w:t>
      </w:r>
      <w:r w:rsidRPr="00537ED0">
        <w:rPr>
          <w:rFonts w:ascii="Calibri" w:hAnsi="Calibri" w:cs="Calibri"/>
          <w:i/>
          <w:iCs/>
          <w:color w:val="000000"/>
        </w:rPr>
        <w:t>Modelos de familia</w:t>
      </w:r>
      <w:r w:rsidRPr="00537ED0">
        <w:rPr>
          <w:rFonts w:ascii="Calibri" w:hAnsi="Calibri" w:cs="Calibri"/>
          <w:color w:val="000000"/>
        </w:rPr>
        <w:t xml:space="preserve">. Barcelona: Herder, 2019. </w:t>
      </w:r>
    </w:p>
    <w:p w14:paraId="5BDCDE91" w14:textId="77777777" w:rsidR="00484BB1" w:rsidRPr="00537ED0" w:rsidRDefault="00484BB1" w:rsidP="00537ED0">
      <w:pPr>
        <w:ind w:left="709" w:hanging="709"/>
        <w:jc w:val="both"/>
        <w:rPr>
          <w:rFonts w:ascii="Calibri" w:hAnsi="Calibri" w:cs="Calibri"/>
          <w:color w:val="000000"/>
        </w:rPr>
      </w:pPr>
      <w:proofErr w:type="spellStart"/>
      <w:r w:rsidRPr="00537ED0">
        <w:rPr>
          <w:rFonts w:ascii="Calibri" w:hAnsi="Calibri" w:cs="Calibri"/>
          <w:color w:val="000000"/>
        </w:rPr>
        <w:t>Peralt</w:t>
      </w:r>
      <w:proofErr w:type="spellEnd"/>
      <w:r w:rsidRPr="00537ED0">
        <w:rPr>
          <w:rFonts w:ascii="Calibri" w:hAnsi="Calibri" w:cs="Calibri"/>
          <w:color w:val="000000"/>
        </w:rPr>
        <w:t xml:space="preserve">, Agustín. </w:t>
      </w:r>
      <w:r w:rsidRPr="00537ED0">
        <w:rPr>
          <w:rFonts w:ascii="Calibri" w:hAnsi="Calibri" w:cs="Calibri"/>
          <w:i/>
          <w:iCs/>
          <w:color w:val="000000"/>
        </w:rPr>
        <w:t>Los 6 pilares de la resiliencia</w:t>
      </w:r>
      <w:r w:rsidRPr="00537ED0">
        <w:rPr>
          <w:rFonts w:ascii="Calibri" w:hAnsi="Calibri" w:cs="Calibri"/>
          <w:color w:val="000000"/>
        </w:rPr>
        <w:t>. Barcelona: Plataforma Editorial, 2021.</w:t>
      </w:r>
    </w:p>
    <w:p w14:paraId="43534D66" w14:textId="77777777" w:rsidR="00484BB1" w:rsidRPr="00537ED0" w:rsidRDefault="00484BB1" w:rsidP="00537ED0">
      <w:pPr>
        <w:ind w:left="709" w:hanging="709"/>
        <w:jc w:val="both"/>
        <w:rPr>
          <w:rFonts w:ascii="Calibri" w:hAnsi="Calibri" w:cs="Calibri"/>
          <w:color w:val="000000"/>
        </w:rPr>
      </w:pPr>
      <w:proofErr w:type="spellStart"/>
      <w:r w:rsidRPr="00537ED0">
        <w:rPr>
          <w:rFonts w:ascii="Calibri" w:hAnsi="Calibri" w:cs="Calibri"/>
          <w:color w:val="000000"/>
        </w:rPr>
        <w:t>Schipani</w:t>
      </w:r>
      <w:proofErr w:type="spellEnd"/>
      <w:r w:rsidRPr="00537ED0">
        <w:rPr>
          <w:rFonts w:ascii="Calibri" w:hAnsi="Calibri" w:cs="Calibri"/>
          <w:color w:val="000000"/>
        </w:rPr>
        <w:t xml:space="preserve"> S., Daniel. </w:t>
      </w:r>
      <w:r w:rsidRPr="00537ED0">
        <w:rPr>
          <w:rFonts w:ascii="Calibri" w:hAnsi="Calibri" w:cs="Calibri"/>
          <w:i/>
          <w:iCs/>
          <w:color w:val="000000"/>
        </w:rPr>
        <w:t xml:space="preserve">Manual de Psicología Pastoral: fundamentos y principios de acompañamiento. </w:t>
      </w:r>
      <w:r w:rsidRPr="00537ED0">
        <w:rPr>
          <w:rFonts w:ascii="Calibri" w:hAnsi="Calibri" w:cs="Calibri"/>
          <w:color w:val="000000"/>
        </w:rPr>
        <w:t>Cuba: Seminario Evangélico de Teología, 2016.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6DCD0B08"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Scott, M. </w:t>
      </w:r>
      <w:r w:rsidRPr="00537ED0">
        <w:rPr>
          <w:rFonts w:ascii="Calibri" w:hAnsi="Calibri" w:cs="Calibri"/>
          <w:i/>
          <w:iCs/>
          <w:color w:val="000000"/>
        </w:rPr>
        <w:t xml:space="preserve">La nueva psicología del amor. </w:t>
      </w:r>
      <w:r w:rsidRPr="00537ED0">
        <w:rPr>
          <w:rFonts w:ascii="Calibri" w:hAnsi="Calibri" w:cs="Calibri"/>
          <w:color w:val="000000"/>
        </w:rPr>
        <w:t>Buenos Aires: EMECE, 2007.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 xml:space="preserve">última edición) </w:t>
      </w:r>
    </w:p>
    <w:p w14:paraId="6E2D2EF6" w14:textId="77777777" w:rsidR="00484BB1" w:rsidRPr="00537ED0" w:rsidRDefault="00484BB1" w:rsidP="00537ED0">
      <w:pPr>
        <w:ind w:left="709" w:hanging="709"/>
        <w:jc w:val="both"/>
        <w:rPr>
          <w:rFonts w:ascii="Calibri" w:hAnsi="Calibri" w:cs="Calibri"/>
          <w:color w:val="000000"/>
        </w:rPr>
      </w:pPr>
      <w:proofErr w:type="spellStart"/>
      <w:r w:rsidRPr="00537ED0">
        <w:rPr>
          <w:rFonts w:ascii="Calibri" w:hAnsi="Calibri" w:cs="Calibri"/>
          <w:color w:val="000000"/>
        </w:rPr>
        <w:t>Silverstein</w:t>
      </w:r>
      <w:proofErr w:type="spellEnd"/>
      <w:r w:rsidRPr="00537ED0">
        <w:rPr>
          <w:rFonts w:ascii="Calibri" w:hAnsi="Calibri" w:cs="Calibri"/>
          <w:color w:val="000000"/>
        </w:rPr>
        <w:t xml:space="preserve">, </w:t>
      </w:r>
      <w:proofErr w:type="spellStart"/>
      <w:r w:rsidRPr="00537ED0">
        <w:rPr>
          <w:rFonts w:ascii="Calibri" w:hAnsi="Calibri" w:cs="Calibri"/>
          <w:color w:val="000000"/>
        </w:rPr>
        <w:t>Shel</w:t>
      </w:r>
      <w:proofErr w:type="spellEnd"/>
      <w:r w:rsidRPr="00537ED0">
        <w:rPr>
          <w:rFonts w:ascii="Calibri" w:hAnsi="Calibri" w:cs="Calibri"/>
          <w:color w:val="000000"/>
        </w:rPr>
        <w:t xml:space="preserve">. “La pieza faltante conoce a la Gran O”. En </w:t>
      </w:r>
      <w:r w:rsidRPr="00537ED0">
        <w:rPr>
          <w:rFonts w:ascii="Calibri" w:hAnsi="Calibri" w:cs="Calibri"/>
          <w:i/>
          <w:iCs/>
          <w:color w:val="000000"/>
        </w:rPr>
        <w:t xml:space="preserve">Introducción a la Psicología. </w:t>
      </w:r>
      <w:r w:rsidRPr="00537ED0">
        <w:rPr>
          <w:rFonts w:ascii="Calibri" w:hAnsi="Calibri" w:cs="Calibri"/>
          <w:color w:val="000000"/>
        </w:rPr>
        <w:t>Traducido por Mireya Baltodano, 149-166. San José: UBILA, 2009.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 xml:space="preserve">última edición) </w:t>
      </w:r>
    </w:p>
    <w:p w14:paraId="566F7359" w14:textId="77777777" w:rsidR="00484BB1" w:rsidRDefault="00484BB1" w:rsidP="00537ED0">
      <w:pPr>
        <w:ind w:left="709" w:hanging="709"/>
        <w:jc w:val="both"/>
        <w:rPr>
          <w:rFonts w:ascii="Calibri" w:hAnsi="Calibri" w:cs="Calibri"/>
          <w:color w:val="000000"/>
        </w:rPr>
      </w:pPr>
      <w:proofErr w:type="spellStart"/>
      <w:r w:rsidRPr="00537ED0">
        <w:rPr>
          <w:rFonts w:ascii="Calibri" w:hAnsi="Calibri" w:cs="Calibri"/>
          <w:color w:val="000000"/>
        </w:rPr>
        <w:t>Szentmártoni</w:t>
      </w:r>
      <w:proofErr w:type="spellEnd"/>
      <w:r w:rsidRPr="00537ED0">
        <w:rPr>
          <w:rFonts w:ascii="Calibri" w:hAnsi="Calibri" w:cs="Calibri"/>
          <w:color w:val="000000"/>
        </w:rPr>
        <w:t xml:space="preserve">, </w:t>
      </w:r>
      <w:proofErr w:type="spellStart"/>
      <w:r w:rsidRPr="00537ED0">
        <w:rPr>
          <w:rFonts w:ascii="Calibri" w:hAnsi="Calibri" w:cs="Calibri"/>
          <w:color w:val="000000"/>
        </w:rPr>
        <w:t>Mihály</w:t>
      </w:r>
      <w:proofErr w:type="spellEnd"/>
      <w:r w:rsidRPr="00537ED0">
        <w:rPr>
          <w:rFonts w:ascii="Calibri" w:hAnsi="Calibri" w:cs="Calibri"/>
          <w:color w:val="000000"/>
        </w:rPr>
        <w:t xml:space="preserve">. </w:t>
      </w:r>
      <w:r w:rsidRPr="00537ED0">
        <w:rPr>
          <w:rFonts w:ascii="Calibri" w:hAnsi="Calibri" w:cs="Calibri"/>
          <w:i/>
          <w:iCs/>
          <w:color w:val="000000"/>
        </w:rPr>
        <w:t xml:space="preserve">Manual de Psicología Pastoral. </w:t>
      </w:r>
      <w:r w:rsidRPr="00537ED0">
        <w:rPr>
          <w:rFonts w:ascii="Calibri" w:hAnsi="Calibri" w:cs="Calibri"/>
          <w:color w:val="000000"/>
        </w:rPr>
        <w:t>Salamanca: Ediciones Sígueme, 2003. (Clásico</w:t>
      </w:r>
      <w:r>
        <w:rPr>
          <w:rFonts w:ascii="Calibri" w:hAnsi="Calibri" w:cs="Calibri"/>
          <w:color w:val="000000"/>
        </w:rPr>
        <w:t xml:space="preserve">, </w:t>
      </w:r>
      <w:r w:rsidRPr="00346CCD">
        <w:rPr>
          <w:rFonts w:ascii="Calibri" w:hAnsi="Calibri" w:cs="Calibri"/>
          <w:color w:val="0070C0"/>
        </w:rPr>
        <w:t>última edición</w:t>
      </w:r>
      <w:r w:rsidRPr="00537ED0">
        <w:rPr>
          <w:rFonts w:ascii="Calibri" w:hAnsi="Calibri" w:cs="Calibri"/>
          <w:color w:val="000000"/>
        </w:rPr>
        <w:t>)</w:t>
      </w:r>
    </w:p>
    <w:p w14:paraId="0CA91166" w14:textId="77777777" w:rsidR="00484BB1" w:rsidRPr="00537ED0" w:rsidRDefault="00484BB1" w:rsidP="00537ED0">
      <w:pPr>
        <w:ind w:left="709" w:hanging="709"/>
        <w:jc w:val="both"/>
        <w:rPr>
          <w:rFonts w:ascii="Calibri" w:hAnsi="Calibri" w:cs="Calibri"/>
          <w:color w:val="000000"/>
        </w:rPr>
      </w:pPr>
      <w:r w:rsidRPr="00537ED0">
        <w:rPr>
          <w:rFonts w:ascii="Calibri" w:hAnsi="Calibri" w:cs="Calibri"/>
          <w:color w:val="000000"/>
        </w:rPr>
        <w:t xml:space="preserve">Zaracho, Rafael. </w:t>
      </w:r>
      <w:r w:rsidRPr="00537ED0">
        <w:rPr>
          <w:rFonts w:ascii="Calibri" w:hAnsi="Calibri" w:cs="Calibri"/>
          <w:i/>
          <w:iCs/>
          <w:color w:val="000000"/>
        </w:rPr>
        <w:t xml:space="preserve">Consejería Pastoral: la Psicología y su utilidad para la Consejería Pastoral. </w:t>
      </w:r>
      <w:r w:rsidRPr="00537ED0">
        <w:rPr>
          <w:rFonts w:ascii="Calibri" w:hAnsi="Calibri" w:cs="Calibri"/>
          <w:color w:val="000000"/>
        </w:rPr>
        <w:t>México: Grupo editorial Lumen, 2007. (</w:t>
      </w:r>
      <w:r w:rsidRPr="00346CCD">
        <w:rPr>
          <w:rFonts w:ascii="Calibri" w:hAnsi="Calibri" w:cs="Calibri"/>
          <w:color w:val="0070C0"/>
        </w:rPr>
        <w:t>clásico</w:t>
      </w:r>
      <w:r>
        <w:rPr>
          <w:rFonts w:ascii="Calibri" w:hAnsi="Calibri" w:cs="Calibri"/>
          <w:color w:val="000000"/>
        </w:rPr>
        <w:t xml:space="preserve">, </w:t>
      </w:r>
      <w:r w:rsidRPr="00537ED0">
        <w:rPr>
          <w:rFonts w:ascii="Calibri" w:hAnsi="Calibri" w:cs="Calibri"/>
          <w:color w:val="000000"/>
        </w:rPr>
        <w:t>última edición)</w:t>
      </w:r>
    </w:p>
    <w:p w14:paraId="4D0D3764" w14:textId="77777777" w:rsidR="00484BB1" w:rsidRDefault="00484BB1" w:rsidP="00B878BD">
      <w:pPr>
        <w:spacing w:after="120" w:line="360" w:lineRule="auto"/>
        <w:ind w:left="709" w:hanging="709"/>
        <w:rPr>
          <w:rFonts w:ascii="Calibri" w:hAnsi="Calibri" w:cs="Calibri"/>
          <w:b/>
          <w:color w:val="000000"/>
          <w:sz w:val="23"/>
          <w:szCs w:val="23"/>
        </w:rPr>
      </w:pPr>
    </w:p>
    <w:p w14:paraId="7AA84AC3" w14:textId="77777777" w:rsidR="00467386" w:rsidRDefault="00467386" w:rsidP="00B878BD">
      <w:pPr>
        <w:spacing w:after="120" w:line="360" w:lineRule="auto"/>
        <w:ind w:left="709" w:hanging="709"/>
        <w:rPr>
          <w:rFonts w:ascii="Calibri" w:hAnsi="Calibri" w:cs="Calibri"/>
          <w:b/>
          <w:color w:val="000000"/>
          <w:sz w:val="23"/>
          <w:szCs w:val="23"/>
        </w:rPr>
      </w:pPr>
    </w:p>
    <w:p w14:paraId="0F12E028" w14:textId="77777777" w:rsidR="00484BB1" w:rsidRDefault="00484BB1" w:rsidP="00B878BD">
      <w:pPr>
        <w:spacing w:after="120" w:line="360" w:lineRule="auto"/>
        <w:ind w:left="709" w:hanging="709"/>
        <w:rPr>
          <w:rFonts w:ascii="Calibri" w:hAnsi="Calibri" w:cs="Calibri"/>
          <w:b/>
          <w:color w:val="000000"/>
          <w:sz w:val="23"/>
          <w:szCs w:val="23"/>
        </w:rPr>
      </w:pPr>
      <w:r>
        <w:rPr>
          <w:rFonts w:ascii="Calibri" w:hAnsi="Calibri" w:cs="Calibri"/>
          <w:b/>
          <w:color w:val="000000"/>
          <w:sz w:val="23"/>
          <w:szCs w:val="23"/>
        </w:rPr>
        <w:lastRenderedPageBreak/>
        <w:t xml:space="preserve">XII. Bibliografía complementaria </w:t>
      </w:r>
    </w:p>
    <w:p w14:paraId="622E166D" w14:textId="77777777" w:rsidR="00484BB1" w:rsidRDefault="00484BB1" w:rsidP="003D0F79">
      <w:pPr>
        <w:jc w:val="both"/>
        <w:rPr>
          <w:rFonts w:ascii="Calibri" w:hAnsi="Calibri" w:cs="Calibri"/>
          <w:bCs/>
          <w:color w:val="000000"/>
        </w:rPr>
      </w:pPr>
      <w:r w:rsidRPr="00D512FE">
        <w:rPr>
          <w:rFonts w:ascii="Calibri" w:hAnsi="Calibri" w:cs="Calibri"/>
          <w:bCs/>
          <w:color w:val="000000"/>
        </w:rPr>
        <w:t xml:space="preserve">Nota: Los materiales que no cuentan con enlace de acceso son digitalizaciones en formato </w:t>
      </w:r>
      <w:proofErr w:type="spellStart"/>
      <w:r w:rsidRPr="00D512FE">
        <w:rPr>
          <w:rFonts w:ascii="Calibri" w:hAnsi="Calibri" w:cs="Calibri"/>
          <w:bCs/>
          <w:color w:val="000000"/>
        </w:rPr>
        <w:t>pdf</w:t>
      </w:r>
      <w:proofErr w:type="spellEnd"/>
      <w:r w:rsidRPr="00D512FE">
        <w:rPr>
          <w:rFonts w:ascii="Calibri" w:hAnsi="Calibri" w:cs="Calibri"/>
          <w:bCs/>
          <w:color w:val="000000"/>
        </w:rPr>
        <w:t xml:space="preserve"> de bibliografía física disponible en la Biblioteca de la UBL, los cuales se encuentran disponibles en el aula virtual.</w:t>
      </w:r>
    </w:p>
    <w:p w14:paraId="1D1F40C5" w14:textId="77777777" w:rsidR="00484BB1" w:rsidRDefault="00484BB1" w:rsidP="00D512FE">
      <w:pPr>
        <w:rPr>
          <w:rFonts w:ascii="Calibri" w:hAnsi="Calibri" w:cs="Calibri"/>
          <w:bCs/>
          <w:color w:val="000000"/>
        </w:rPr>
      </w:pPr>
    </w:p>
    <w:p w14:paraId="530491FE" w14:textId="77777777" w:rsidR="00484BB1" w:rsidRPr="00B926DA" w:rsidRDefault="00484BB1" w:rsidP="00B926DA">
      <w:pPr>
        <w:spacing w:after="120"/>
        <w:ind w:left="709" w:hanging="709"/>
        <w:jc w:val="both"/>
        <w:rPr>
          <w:rFonts w:cstheme="minorHAnsi"/>
        </w:rPr>
      </w:pPr>
      <w:r w:rsidRPr="00B926DA">
        <w:rPr>
          <w:rFonts w:cstheme="minorHAnsi"/>
        </w:rPr>
        <w:t xml:space="preserve">Rodríguez-Arocho, Wanda C. “Psicología de la liberación y pedagogía crítica: Un examen de sus aportes y retos”. </w:t>
      </w:r>
      <w:r w:rsidRPr="00B926DA">
        <w:rPr>
          <w:rFonts w:cstheme="minorHAnsi"/>
          <w:i/>
        </w:rPr>
        <w:t>Revista de Educación De Puerto Rico</w:t>
      </w:r>
      <w:r w:rsidRPr="00B926DA">
        <w:rPr>
          <w:rFonts w:cstheme="minorHAnsi"/>
        </w:rPr>
        <w:t xml:space="preserve"> 43, n. 1 (2010): 13-34. Acceso el 17 de diciembre de 2020. </w:t>
      </w:r>
      <w:hyperlink r:id="rId103" w:history="1">
        <w:r w:rsidRPr="00B926DA">
          <w:rPr>
            <w:rStyle w:val="Hipervnculo"/>
            <w:rFonts w:cstheme="minorHAnsi"/>
          </w:rPr>
          <w:t>https://revistas.upr.edu/index.php/educacion/article/view/16571</w:t>
        </w:r>
      </w:hyperlink>
      <w:r w:rsidRPr="00B926DA">
        <w:rPr>
          <w:rFonts w:cstheme="minorHAnsi"/>
        </w:rPr>
        <w:t xml:space="preserve"> </w:t>
      </w:r>
    </w:p>
    <w:p w14:paraId="7161A19A" w14:textId="77777777" w:rsidR="00484BB1" w:rsidRPr="00B926DA" w:rsidRDefault="00484BB1" w:rsidP="00B926DA">
      <w:pPr>
        <w:spacing w:after="120"/>
        <w:ind w:left="709" w:hanging="709"/>
        <w:jc w:val="both"/>
        <w:rPr>
          <w:rFonts w:cstheme="minorHAnsi"/>
        </w:rPr>
      </w:pPr>
      <w:r w:rsidRPr="00B926DA">
        <w:rPr>
          <w:rFonts w:cstheme="minorHAnsi"/>
        </w:rPr>
        <w:t xml:space="preserve">Salgado, Jonathan. </w:t>
      </w:r>
      <w:r w:rsidRPr="00B926DA">
        <w:rPr>
          <w:rFonts w:cstheme="minorHAnsi"/>
          <w:i/>
        </w:rPr>
        <w:t>La iglesia como comunidad terapéutica: un aspecto de la misión integral</w:t>
      </w:r>
      <w:r w:rsidRPr="00B926DA">
        <w:rPr>
          <w:rFonts w:cstheme="minorHAnsi"/>
        </w:rPr>
        <w:t xml:space="preserve">. México, D.F.: impresión privada, 2004. </w:t>
      </w:r>
      <w:r w:rsidRPr="00B926DA">
        <w:rPr>
          <w:rFonts w:cstheme="minorHAnsi"/>
          <w:color w:val="000000"/>
        </w:rPr>
        <w:t>(</w:t>
      </w:r>
      <w:r w:rsidRPr="00346CCD">
        <w:rPr>
          <w:rFonts w:cstheme="minorHAnsi"/>
          <w:color w:val="0070C0"/>
        </w:rPr>
        <w:t>clásico</w:t>
      </w:r>
      <w:r>
        <w:rPr>
          <w:rFonts w:cstheme="minorHAnsi"/>
          <w:color w:val="000000"/>
        </w:rPr>
        <w:t xml:space="preserve">, </w:t>
      </w:r>
      <w:r w:rsidRPr="00B926DA">
        <w:rPr>
          <w:rFonts w:cstheme="minorHAnsi"/>
          <w:color w:val="000000"/>
        </w:rPr>
        <w:t>última edición)</w:t>
      </w:r>
    </w:p>
    <w:p w14:paraId="4981731A" w14:textId="77777777" w:rsidR="00484BB1" w:rsidRDefault="00484BB1" w:rsidP="007B1C48">
      <w:pPr>
        <w:spacing w:after="120"/>
        <w:ind w:left="709" w:hanging="709"/>
        <w:jc w:val="both"/>
        <w:rPr>
          <w:rFonts w:cstheme="minorHAnsi"/>
        </w:rPr>
      </w:pPr>
      <w:r w:rsidRPr="00B926DA">
        <w:rPr>
          <w:rFonts w:cstheme="minorHAnsi"/>
        </w:rPr>
        <w:t xml:space="preserve">Salgado Lévano, Ana Cecilia. “Formación universitaria en psicología de la religión y espiritualidad: ¿Necesidad o Utopía?”. </w:t>
      </w:r>
      <w:r w:rsidRPr="00B926DA">
        <w:rPr>
          <w:rFonts w:cstheme="minorHAnsi"/>
          <w:i/>
        </w:rPr>
        <w:t>Revista Digital De Investigación En Docencia Universitaria</w:t>
      </w:r>
      <w:r w:rsidRPr="00B926DA">
        <w:rPr>
          <w:rFonts w:cstheme="minorHAnsi"/>
        </w:rPr>
        <w:t xml:space="preserve"> 9, n. 2 (2015): 89-103. Acceso el 17 de diciembre de 2020. </w:t>
      </w:r>
      <w:hyperlink r:id="rId104" w:history="1">
        <w:r w:rsidRPr="00B926DA">
          <w:rPr>
            <w:rStyle w:val="Hipervnculo"/>
            <w:rFonts w:cstheme="minorHAnsi"/>
          </w:rPr>
          <w:t>https://doi.org/10.19083/ridu.9.442</w:t>
        </w:r>
      </w:hyperlink>
      <w:r w:rsidRPr="00B926DA">
        <w:rPr>
          <w:rFonts w:cstheme="minorHAnsi"/>
        </w:rPr>
        <w:t xml:space="preserve"> </w:t>
      </w:r>
    </w:p>
    <w:p w14:paraId="0629847D" w14:textId="77777777" w:rsidR="00484BB1" w:rsidRPr="007B1C48" w:rsidRDefault="00484BB1" w:rsidP="007B1C48">
      <w:pPr>
        <w:spacing w:after="120"/>
        <w:ind w:left="709" w:hanging="709"/>
        <w:jc w:val="both"/>
        <w:rPr>
          <w:rFonts w:cstheme="minorHAnsi"/>
        </w:rPr>
      </w:pPr>
      <w:proofErr w:type="spellStart"/>
      <w:r w:rsidRPr="00B926DA">
        <w:rPr>
          <w:rFonts w:cstheme="minorHAnsi"/>
        </w:rPr>
        <w:t>Scharrón</w:t>
      </w:r>
      <w:proofErr w:type="spellEnd"/>
      <w:r w:rsidRPr="00B926DA">
        <w:rPr>
          <w:rFonts w:cstheme="minorHAnsi"/>
        </w:rPr>
        <w:t xml:space="preserve"> del Río, María del R. “Supuestos, Explicaciones y Sistemas de Creencias: Ciencia, Religión y Psicología”. </w:t>
      </w:r>
      <w:r w:rsidRPr="00B926DA">
        <w:rPr>
          <w:rFonts w:cstheme="minorHAnsi"/>
          <w:i/>
        </w:rPr>
        <w:t>Revista Puertorriqueña de Psicología</w:t>
      </w:r>
      <w:r w:rsidRPr="00B926DA">
        <w:rPr>
          <w:rFonts w:cstheme="minorHAnsi"/>
        </w:rPr>
        <w:t xml:space="preserve"> 21, n. 1 (2016): 85-112. Acceso el 17 de diciembre de 2020. </w:t>
      </w:r>
      <w:hyperlink r:id="rId105" w:history="1">
        <w:r w:rsidRPr="00B926DA">
          <w:rPr>
            <w:rStyle w:val="Hipervnculo"/>
            <w:rFonts w:cstheme="minorHAnsi"/>
          </w:rPr>
          <w:t>http://www.ojs.repsasppr.net/index.php/reps/article/view/185</w:t>
        </w:r>
      </w:hyperlink>
    </w:p>
    <w:p w14:paraId="01CC734D" w14:textId="77777777" w:rsidR="00484BB1" w:rsidRPr="00D512FE" w:rsidRDefault="00484BB1" w:rsidP="00B878BD">
      <w:pPr>
        <w:spacing w:after="120" w:line="360" w:lineRule="auto"/>
        <w:ind w:left="709" w:hanging="709"/>
        <w:rPr>
          <w:rFonts w:cs="Arial"/>
          <w:bCs/>
        </w:rPr>
      </w:pPr>
    </w:p>
    <w:p w14:paraId="6709A8C3" w14:textId="77777777" w:rsidR="004E4B53" w:rsidRDefault="004E4B53" w:rsidP="004E104A">
      <w:pPr>
        <w:rPr>
          <w:sz w:val="24"/>
          <w:szCs w:val="24"/>
        </w:rPr>
      </w:pPr>
    </w:p>
    <w:p w14:paraId="4A6CA88E" w14:textId="77777777" w:rsidR="004E4B53" w:rsidRDefault="004E4B53" w:rsidP="004E104A">
      <w:pPr>
        <w:rPr>
          <w:sz w:val="24"/>
          <w:szCs w:val="24"/>
        </w:rPr>
      </w:pPr>
    </w:p>
    <w:p w14:paraId="050C1FEE" w14:textId="77777777" w:rsidR="004E4B53" w:rsidRDefault="004E4B53" w:rsidP="004E104A">
      <w:pPr>
        <w:rPr>
          <w:sz w:val="24"/>
          <w:szCs w:val="24"/>
        </w:rPr>
      </w:pPr>
    </w:p>
    <w:p w14:paraId="35C993E9" w14:textId="77777777" w:rsidR="004E4B53" w:rsidRDefault="004E4B53" w:rsidP="004E104A">
      <w:pPr>
        <w:rPr>
          <w:sz w:val="24"/>
          <w:szCs w:val="24"/>
        </w:rPr>
      </w:pPr>
    </w:p>
    <w:p w14:paraId="49FBA123" w14:textId="77777777" w:rsidR="004E4B53" w:rsidRDefault="004E4B53" w:rsidP="004E104A">
      <w:pPr>
        <w:rPr>
          <w:sz w:val="24"/>
          <w:szCs w:val="24"/>
        </w:rPr>
      </w:pPr>
    </w:p>
    <w:p w14:paraId="6647584B" w14:textId="57204861" w:rsidR="00473210" w:rsidRDefault="00484BB1" w:rsidP="00467386">
      <w:pPr>
        <w:rPr>
          <w:rFonts w:cstheme="minorHAnsi"/>
          <w:bCs/>
        </w:rPr>
      </w:pPr>
      <w:r>
        <w:rPr>
          <w:sz w:val="24"/>
          <w:szCs w:val="24"/>
        </w:rPr>
        <w:br w:type="page"/>
      </w:r>
    </w:p>
    <w:p w14:paraId="14430006" w14:textId="77777777" w:rsidR="00E52BD9" w:rsidRPr="001D5C2D" w:rsidRDefault="00E52BD9" w:rsidP="00E52BD9">
      <w:pPr>
        <w:tabs>
          <w:tab w:val="center" w:pos="4320"/>
          <w:tab w:val="right" w:pos="8640"/>
        </w:tabs>
        <w:jc w:val="center"/>
        <w:rPr>
          <w:rFonts w:ascii="Arial" w:hAnsi="Arial" w:cs="Arial"/>
          <w:szCs w:val="24"/>
        </w:rPr>
      </w:pPr>
      <w:r>
        <w:rPr>
          <w:rFonts w:ascii="Arial" w:hAnsi="Arial" w:cs="Arial"/>
          <w:noProof/>
          <w:szCs w:val="24"/>
        </w:rPr>
        <w:lastRenderedPageBreak/>
        <w:drawing>
          <wp:inline distT="0" distB="0" distL="0" distR="0" wp14:anchorId="00D5FEFD" wp14:editId="2CA3E76F">
            <wp:extent cx="2009775" cy="1548377"/>
            <wp:effectExtent l="0" t="0" r="0" b="0"/>
            <wp:docPr id="11421708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964A0C5" w14:textId="77777777" w:rsidR="00E52BD9" w:rsidRPr="00F37B2E" w:rsidRDefault="00E52BD9" w:rsidP="00E52BD9">
      <w:pPr>
        <w:jc w:val="center"/>
        <w:rPr>
          <w:rFonts w:cs="Arial"/>
          <w:szCs w:val="24"/>
        </w:rPr>
      </w:pPr>
    </w:p>
    <w:p w14:paraId="5478A76B" w14:textId="77777777" w:rsidR="00E52BD9" w:rsidRPr="00F37B2E" w:rsidRDefault="00E52BD9" w:rsidP="00E52BD9">
      <w:pPr>
        <w:keepNext/>
        <w:jc w:val="center"/>
        <w:outlineLvl w:val="0"/>
        <w:rPr>
          <w:rFonts w:cs="Arial"/>
          <w:b/>
          <w:szCs w:val="24"/>
        </w:rPr>
      </w:pPr>
      <w:r w:rsidRPr="00F37B2E">
        <w:rPr>
          <w:rFonts w:cs="Arial"/>
          <w:b/>
          <w:szCs w:val="24"/>
        </w:rPr>
        <w:t>Universidad Bíblica Latinoamericana</w:t>
      </w:r>
    </w:p>
    <w:p w14:paraId="33BB8565" w14:textId="77777777" w:rsidR="00E52BD9" w:rsidRPr="00F37B2E" w:rsidRDefault="00E52BD9" w:rsidP="00E52BD9">
      <w:pPr>
        <w:keepNext/>
        <w:jc w:val="center"/>
        <w:outlineLvl w:val="1"/>
        <w:rPr>
          <w:rFonts w:cs="Arial"/>
          <w:b/>
          <w:i/>
          <w:szCs w:val="24"/>
        </w:rPr>
      </w:pPr>
      <w:r w:rsidRPr="00F37B2E">
        <w:rPr>
          <w:rFonts w:cs="Arial"/>
          <w:b/>
          <w:i/>
          <w:szCs w:val="24"/>
        </w:rPr>
        <w:t>Facultad de Teología</w:t>
      </w:r>
    </w:p>
    <w:p w14:paraId="3BF93F25" w14:textId="77777777" w:rsidR="00E52BD9" w:rsidRPr="00F37B2E" w:rsidRDefault="00E52BD9" w:rsidP="00E52BD9">
      <w:pPr>
        <w:keepNext/>
        <w:jc w:val="center"/>
        <w:outlineLvl w:val="1"/>
        <w:rPr>
          <w:rFonts w:cs="Arial"/>
          <w:b/>
          <w:i/>
          <w:szCs w:val="24"/>
        </w:rPr>
      </w:pPr>
      <w:r>
        <w:rPr>
          <w:rFonts w:cs="Arial"/>
          <w:b/>
          <w:bCs/>
        </w:rPr>
        <w:t xml:space="preserve">Bachillerato en </w:t>
      </w:r>
      <w:r>
        <w:rPr>
          <w:rFonts w:cs="Arial"/>
          <w:b/>
          <w:szCs w:val="24"/>
        </w:rPr>
        <w:t>Ciencias Bíblicas</w:t>
      </w:r>
    </w:p>
    <w:p w14:paraId="63F844E8" w14:textId="77777777" w:rsidR="00E52BD9" w:rsidRPr="00F37B2E" w:rsidRDefault="00E52BD9" w:rsidP="00E52BD9">
      <w:pPr>
        <w:jc w:val="center"/>
        <w:rPr>
          <w:rFonts w:cs="Arial"/>
          <w:b/>
          <w:bCs/>
          <w:szCs w:val="24"/>
        </w:rPr>
      </w:pPr>
    </w:p>
    <w:p w14:paraId="467869A6" w14:textId="77777777" w:rsidR="00E52BD9" w:rsidRPr="00F37B2E" w:rsidRDefault="00E52BD9" w:rsidP="00E52BD9">
      <w:pPr>
        <w:jc w:val="center"/>
        <w:rPr>
          <w:rFonts w:cs="Arial"/>
          <w:b/>
          <w:szCs w:val="24"/>
        </w:rPr>
      </w:pPr>
      <w:r w:rsidRPr="00F37B2E">
        <w:rPr>
          <w:rFonts w:cs="Arial"/>
          <w:b/>
          <w:szCs w:val="24"/>
        </w:rPr>
        <w:t>Sílabo</w:t>
      </w:r>
    </w:p>
    <w:p w14:paraId="1479D854" w14:textId="77777777" w:rsidR="00E52BD9" w:rsidRPr="00F37B2E" w:rsidRDefault="00E52BD9" w:rsidP="00E52BD9">
      <w:pPr>
        <w:keepNext/>
        <w:jc w:val="center"/>
        <w:outlineLvl w:val="0"/>
        <w:rPr>
          <w:rFonts w:cs="Arial"/>
          <w:b/>
          <w:spacing w:val="-2"/>
          <w:szCs w:val="24"/>
        </w:rPr>
      </w:pPr>
      <w:bookmarkStart w:id="15" w:name="CTX105"/>
      <w:r>
        <w:rPr>
          <w:rFonts w:cs="Arial"/>
          <w:b/>
          <w:spacing w:val="-2"/>
          <w:szCs w:val="24"/>
        </w:rPr>
        <w:t>Metodología de la</w:t>
      </w:r>
      <w:r w:rsidRPr="00F37B2E">
        <w:rPr>
          <w:rFonts w:cs="Arial"/>
          <w:b/>
          <w:spacing w:val="-2"/>
          <w:szCs w:val="24"/>
        </w:rPr>
        <w:t xml:space="preserve"> Investigación</w:t>
      </w:r>
      <w:bookmarkEnd w:id="15"/>
    </w:p>
    <w:p w14:paraId="216CCBE2" w14:textId="77777777" w:rsidR="00E52BD9" w:rsidRPr="001D5C2D" w:rsidRDefault="00E52BD9" w:rsidP="00E52BD9">
      <w:pPr>
        <w:keepNext/>
        <w:jc w:val="center"/>
        <w:outlineLvl w:val="0"/>
        <w:rPr>
          <w:rFonts w:ascii="Arial" w:hAnsi="Arial" w:cs="Arial"/>
          <w:b/>
          <w:spacing w:val="-2"/>
          <w:szCs w:val="24"/>
        </w:rPr>
      </w:pPr>
    </w:p>
    <w:p w14:paraId="65D66DDF" w14:textId="77777777" w:rsidR="00E52BD9" w:rsidRDefault="00E52BD9" w:rsidP="00E52BD9">
      <w:pPr>
        <w:rPr>
          <w:rFonts w:ascii="Arial" w:eastAsia="Arial" w:hAnsi="Arial" w:cs="Arial"/>
          <w:color w:val="0070C0"/>
        </w:rPr>
      </w:pPr>
    </w:p>
    <w:p w14:paraId="6E41FCDE" w14:textId="77777777" w:rsidR="00E52BD9" w:rsidRDefault="00E52BD9" w:rsidP="00E52BD9">
      <w:pPr>
        <w:rPr>
          <w:rFonts w:ascii="Arial" w:eastAsia="Arial" w:hAnsi="Arial" w:cs="Arial"/>
          <w:color w:val="0070C0"/>
        </w:rPr>
      </w:pPr>
    </w:p>
    <w:tbl>
      <w:tblPr>
        <w:tblStyle w:val="Tablaconcuadrcula"/>
        <w:tblW w:w="0" w:type="auto"/>
        <w:tblLook w:val="04A0" w:firstRow="1" w:lastRow="0" w:firstColumn="1" w:lastColumn="0" w:noHBand="0" w:noVBand="1"/>
      </w:tblPr>
      <w:tblGrid>
        <w:gridCol w:w="1666"/>
        <w:gridCol w:w="7162"/>
      </w:tblGrid>
      <w:tr w:rsidR="00E52BD9" w:rsidRPr="0055736E" w14:paraId="5AE094E0" w14:textId="77777777" w:rsidTr="00104785">
        <w:tc>
          <w:tcPr>
            <w:tcW w:w="1668" w:type="dxa"/>
          </w:tcPr>
          <w:p w14:paraId="748ED053" w14:textId="77777777" w:rsidR="00E52BD9" w:rsidRPr="0055736E" w:rsidRDefault="00E52BD9" w:rsidP="00104785">
            <w:pPr>
              <w:rPr>
                <w:rFonts w:cstheme="minorHAnsi"/>
                <w:b/>
              </w:rPr>
            </w:pPr>
            <w:r w:rsidRPr="0055736E">
              <w:rPr>
                <w:rFonts w:cstheme="minorHAnsi"/>
                <w:b/>
              </w:rPr>
              <w:t>Código</w:t>
            </w:r>
          </w:p>
        </w:tc>
        <w:tc>
          <w:tcPr>
            <w:tcW w:w="7386" w:type="dxa"/>
          </w:tcPr>
          <w:p w14:paraId="25DAEDC6" w14:textId="77777777" w:rsidR="00E52BD9" w:rsidRPr="0055736E" w:rsidRDefault="00E52BD9" w:rsidP="00104785">
            <w:pPr>
              <w:rPr>
                <w:rFonts w:cstheme="minorHAnsi"/>
              </w:rPr>
            </w:pPr>
            <w:r>
              <w:rPr>
                <w:rFonts w:cstheme="minorHAnsi"/>
              </w:rPr>
              <w:t>CTX 105</w:t>
            </w:r>
          </w:p>
        </w:tc>
      </w:tr>
      <w:tr w:rsidR="00E52BD9" w:rsidRPr="0055736E" w14:paraId="7D9FE2C1" w14:textId="77777777" w:rsidTr="00104785">
        <w:tc>
          <w:tcPr>
            <w:tcW w:w="1668" w:type="dxa"/>
          </w:tcPr>
          <w:p w14:paraId="74BC4E4E" w14:textId="77777777" w:rsidR="00E52BD9" w:rsidRPr="0055736E" w:rsidRDefault="00E52BD9" w:rsidP="00104785">
            <w:pPr>
              <w:rPr>
                <w:rFonts w:cstheme="minorHAnsi"/>
                <w:b/>
              </w:rPr>
            </w:pPr>
            <w:r w:rsidRPr="0055736E">
              <w:rPr>
                <w:rFonts w:cstheme="minorHAnsi"/>
                <w:b/>
              </w:rPr>
              <w:t>Créditos</w:t>
            </w:r>
          </w:p>
        </w:tc>
        <w:tc>
          <w:tcPr>
            <w:tcW w:w="7386" w:type="dxa"/>
          </w:tcPr>
          <w:p w14:paraId="77150CFB" w14:textId="77777777" w:rsidR="00E52BD9" w:rsidRPr="0055736E" w:rsidRDefault="00E52BD9" w:rsidP="00104785">
            <w:pPr>
              <w:rPr>
                <w:rFonts w:cstheme="minorHAnsi"/>
              </w:rPr>
            </w:pPr>
            <w:r>
              <w:rPr>
                <w:rFonts w:cstheme="minorHAnsi"/>
              </w:rPr>
              <w:t>4</w:t>
            </w:r>
          </w:p>
        </w:tc>
      </w:tr>
      <w:tr w:rsidR="00E52BD9" w:rsidRPr="0055736E" w14:paraId="7FFE1F22" w14:textId="77777777" w:rsidTr="00104785">
        <w:tc>
          <w:tcPr>
            <w:tcW w:w="1668" w:type="dxa"/>
          </w:tcPr>
          <w:p w14:paraId="79CB03C4" w14:textId="77777777" w:rsidR="00E52BD9" w:rsidRPr="0055736E" w:rsidRDefault="00E52BD9" w:rsidP="00104785">
            <w:pPr>
              <w:rPr>
                <w:rFonts w:cstheme="minorHAnsi"/>
                <w:b/>
              </w:rPr>
            </w:pPr>
            <w:r w:rsidRPr="0055736E">
              <w:rPr>
                <w:rFonts w:cstheme="minorHAnsi"/>
                <w:b/>
              </w:rPr>
              <w:t>Requisitos</w:t>
            </w:r>
          </w:p>
        </w:tc>
        <w:tc>
          <w:tcPr>
            <w:tcW w:w="7386" w:type="dxa"/>
          </w:tcPr>
          <w:p w14:paraId="7C5C6791" w14:textId="77777777" w:rsidR="00E52BD9" w:rsidRPr="0055736E" w:rsidRDefault="00E52BD9" w:rsidP="00104785">
            <w:pPr>
              <w:rPr>
                <w:rFonts w:cstheme="minorHAnsi"/>
              </w:rPr>
            </w:pPr>
            <w:r>
              <w:rPr>
                <w:rFonts w:cstheme="minorHAnsi"/>
              </w:rPr>
              <w:t>CTX 104</w:t>
            </w:r>
          </w:p>
        </w:tc>
      </w:tr>
      <w:tr w:rsidR="00E52BD9" w:rsidRPr="0055736E" w14:paraId="6DA3D881" w14:textId="77777777" w:rsidTr="00104785">
        <w:tc>
          <w:tcPr>
            <w:tcW w:w="1668" w:type="dxa"/>
          </w:tcPr>
          <w:p w14:paraId="52FD4620" w14:textId="77777777" w:rsidR="00E52BD9" w:rsidRPr="0055736E" w:rsidRDefault="00E52BD9" w:rsidP="00104785">
            <w:pPr>
              <w:rPr>
                <w:rFonts w:cstheme="minorHAnsi"/>
                <w:b/>
              </w:rPr>
            </w:pPr>
            <w:r w:rsidRPr="0055736E">
              <w:rPr>
                <w:rFonts w:cstheme="minorHAnsi"/>
                <w:b/>
              </w:rPr>
              <w:t>Modalidad</w:t>
            </w:r>
          </w:p>
        </w:tc>
        <w:tc>
          <w:tcPr>
            <w:tcW w:w="7386" w:type="dxa"/>
          </w:tcPr>
          <w:p w14:paraId="59780D52" w14:textId="77777777" w:rsidR="00E52BD9" w:rsidRPr="0055736E" w:rsidRDefault="00E52BD9" w:rsidP="00104785">
            <w:pPr>
              <w:rPr>
                <w:rFonts w:cstheme="minorHAnsi"/>
              </w:rPr>
            </w:pPr>
            <w:r>
              <w:rPr>
                <w:rFonts w:cstheme="minorHAnsi"/>
              </w:rPr>
              <w:t>Virtual</w:t>
            </w:r>
          </w:p>
        </w:tc>
      </w:tr>
      <w:tr w:rsidR="00E52BD9" w:rsidRPr="0055736E" w14:paraId="2E0EF777" w14:textId="77777777" w:rsidTr="00104785">
        <w:tc>
          <w:tcPr>
            <w:tcW w:w="1668" w:type="dxa"/>
          </w:tcPr>
          <w:p w14:paraId="41B5C546" w14:textId="77777777" w:rsidR="00E52BD9" w:rsidRPr="0055736E" w:rsidRDefault="00E52BD9" w:rsidP="00104785">
            <w:pPr>
              <w:rPr>
                <w:rFonts w:cstheme="minorHAnsi"/>
                <w:b/>
              </w:rPr>
            </w:pPr>
            <w:r w:rsidRPr="0055736E">
              <w:rPr>
                <w:rFonts w:cstheme="minorHAnsi"/>
                <w:b/>
              </w:rPr>
              <w:t>Naturaleza</w:t>
            </w:r>
          </w:p>
        </w:tc>
        <w:tc>
          <w:tcPr>
            <w:tcW w:w="7386" w:type="dxa"/>
          </w:tcPr>
          <w:p w14:paraId="755DE45F" w14:textId="77777777" w:rsidR="00E52BD9" w:rsidRPr="0055736E" w:rsidRDefault="00E52BD9" w:rsidP="00104785">
            <w:pPr>
              <w:rPr>
                <w:rFonts w:cstheme="minorHAnsi"/>
              </w:rPr>
            </w:pPr>
            <w:r>
              <w:rPr>
                <w:rFonts w:cstheme="minorHAnsi"/>
              </w:rPr>
              <w:t>Teórico-práctico</w:t>
            </w:r>
          </w:p>
        </w:tc>
      </w:tr>
      <w:tr w:rsidR="00E52BD9" w:rsidRPr="0055736E" w14:paraId="6173C69F" w14:textId="77777777" w:rsidTr="00104785">
        <w:tc>
          <w:tcPr>
            <w:tcW w:w="1668" w:type="dxa"/>
          </w:tcPr>
          <w:p w14:paraId="0F3859E3" w14:textId="77777777" w:rsidR="00E52BD9" w:rsidRPr="0055736E" w:rsidRDefault="00E52BD9" w:rsidP="00104785">
            <w:pPr>
              <w:rPr>
                <w:rFonts w:cstheme="minorHAnsi"/>
                <w:b/>
              </w:rPr>
            </w:pPr>
            <w:r w:rsidRPr="0055736E">
              <w:rPr>
                <w:rFonts w:cstheme="minorHAnsi"/>
                <w:b/>
              </w:rPr>
              <w:t>Periodo</w:t>
            </w:r>
          </w:p>
        </w:tc>
        <w:tc>
          <w:tcPr>
            <w:tcW w:w="7386" w:type="dxa"/>
          </w:tcPr>
          <w:p w14:paraId="7FDD2224" w14:textId="77777777" w:rsidR="00E52BD9" w:rsidRPr="0055736E" w:rsidRDefault="00E52BD9" w:rsidP="00104785">
            <w:pPr>
              <w:rPr>
                <w:rFonts w:cstheme="minorHAnsi"/>
              </w:rPr>
            </w:pPr>
            <w:r>
              <w:rPr>
                <w:rFonts w:cstheme="minorHAnsi"/>
              </w:rPr>
              <w:t>Cuatrimestral (15 semanas lectivas)</w:t>
            </w:r>
          </w:p>
        </w:tc>
      </w:tr>
      <w:tr w:rsidR="00E52BD9" w:rsidRPr="0055736E" w14:paraId="64B555C4" w14:textId="77777777" w:rsidTr="00104785">
        <w:tc>
          <w:tcPr>
            <w:tcW w:w="1668" w:type="dxa"/>
          </w:tcPr>
          <w:p w14:paraId="3197B23B" w14:textId="77777777" w:rsidR="00E52BD9" w:rsidRPr="0055736E" w:rsidRDefault="00E52BD9" w:rsidP="00104785">
            <w:pPr>
              <w:rPr>
                <w:rFonts w:cstheme="minorHAnsi"/>
                <w:b/>
              </w:rPr>
            </w:pPr>
            <w:r>
              <w:rPr>
                <w:rFonts w:cstheme="minorHAnsi"/>
                <w:b/>
              </w:rPr>
              <w:t>Nivel</w:t>
            </w:r>
          </w:p>
        </w:tc>
        <w:tc>
          <w:tcPr>
            <w:tcW w:w="7386" w:type="dxa"/>
          </w:tcPr>
          <w:p w14:paraId="239D4D90" w14:textId="77777777" w:rsidR="00E52BD9" w:rsidRDefault="00E52BD9" w:rsidP="00104785">
            <w:pPr>
              <w:rPr>
                <w:rFonts w:cstheme="minorHAnsi"/>
              </w:rPr>
            </w:pPr>
            <w:r>
              <w:rPr>
                <w:rFonts w:cstheme="minorHAnsi"/>
              </w:rPr>
              <w:t>II Cuatrimestre</w:t>
            </w:r>
          </w:p>
        </w:tc>
      </w:tr>
      <w:tr w:rsidR="00E52BD9" w:rsidRPr="0055736E" w14:paraId="624B0851" w14:textId="77777777" w:rsidTr="00104785">
        <w:tc>
          <w:tcPr>
            <w:tcW w:w="1668" w:type="dxa"/>
          </w:tcPr>
          <w:p w14:paraId="1BA832D9" w14:textId="77777777" w:rsidR="00E52BD9" w:rsidRPr="0055736E" w:rsidRDefault="00E52BD9" w:rsidP="00104785">
            <w:pPr>
              <w:rPr>
                <w:rFonts w:cstheme="minorHAnsi"/>
                <w:b/>
              </w:rPr>
            </w:pPr>
            <w:r w:rsidRPr="0055736E">
              <w:rPr>
                <w:rFonts w:cstheme="minorHAnsi"/>
                <w:b/>
              </w:rPr>
              <w:t>Horario</w:t>
            </w:r>
          </w:p>
        </w:tc>
        <w:tc>
          <w:tcPr>
            <w:tcW w:w="7386" w:type="dxa"/>
          </w:tcPr>
          <w:p w14:paraId="1EB35EDD" w14:textId="77777777" w:rsidR="00E52BD9" w:rsidRPr="0055736E" w:rsidRDefault="00E52BD9" w:rsidP="00104785">
            <w:pPr>
              <w:rPr>
                <w:rFonts w:cstheme="minorHAnsi"/>
              </w:rPr>
            </w:pPr>
            <w:r>
              <w:rPr>
                <w:rFonts w:cstheme="minorHAnsi"/>
              </w:rPr>
              <w:t>El curso requiere de 12 horas de trabajo semanal</w:t>
            </w:r>
          </w:p>
        </w:tc>
      </w:tr>
      <w:tr w:rsidR="00E52BD9" w:rsidRPr="0055736E" w14:paraId="05CEA760" w14:textId="77777777" w:rsidTr="00104785">
        <w:tc>
          <w:tcPr>
            <w:tcW w:w="1668" w:type="dxa"/>
          </w:tcPr>
          <w:p w14:paraId="738B08EE" w14:textId="77777777" w:rsidR="00E52BD9" w:rsidRPr="0055736E" w:rsidRDefault="00E52BD9" w:rsidP="00104785">
            <w:pPr>
              <w:rPr>
                <w:rFonts w:cstheme="minorHAnsi"/>
                <w:b/>
              </w:rPr>
            </w:pPr>
            <w:r w:rsidRPr="0055736E">
              <w:rPr>
                <w:rFonts w:cstheme="minorHAnsi"/>
                <w:b/>
              </w:rPr>
              <w:t>Aula</w:t>
            </w:r>
          </w:p>
        </w:tc>
        <w:tc>
          <w:tcPr>
            <w:tcW w:w="7386" w:type="dxa"/>
          </w:tcPr>
          <w:p w14:paraId="37E275D1" w14:textId="77777777" w:rsidR="00E52BD9" w:rsidRPr="0055736E" w:rsidRDefault="00E52BD9" w:rsidP="00104785">
            <w:pPr>
              <w:rPr>
                <w:rFonts w:cstheme="minorHAnsi"/>
              </w:rPr>
            </w:pPr>
            <w:r>
              <w:rPr>
                <w:rFonts w:cstheme="minorHAnsi"/>
              </w:rPr>
              <w:t>Plataforma virtual de la UBL</w:t>
            </w:r>
          </w:p>
        </w:tc>
      </w:tr>
      <w:tr w:rsidR="00E52BD9" w:rsidRPr="0055736E" w14:paraId="12452CD5" w14:textId="77777777" w:rsidTr="00104785">
        <w:tc>
          <w:tcPr>
            <w:tcW w:w="1668" w:type="dxa"/>
          </w:tcPr>
          <w:p w14:paraId="63F7B62F" w14:textId="77777777" w:rsidR="00E52BD9" w:rsidRPr="0055736E" w:rsidRDefault="00E52BD9" w:rsidP="00104785">
            <w:pPr>
              <w:rPr>
                <w:rFonts w:cstheme="minorHAnsi"/>
                <w:b/>
              </w:rPr>
            </w:pPr>
            <w:r>
              <w:rPr>
                <w:rFonts w:cstheme="minorHAnsi"/>
                <w:b/>
              </w:rPr>
              <w:t>Docente</w:t>
            </w:r>
          </w:p>
        </w:tc>
        <w:tc>
          <w:tcPr>
            <w:tcW w:w="7386" w:type="dxa"/>
          </w:tcPr>
          <w:p w14:paraId="31151EA3" w14:textId="77777777" w:rsidR="00E52BD9" w:rsidRPr="0055736E" w:rsidRDefault="00E52BD9" w:rsidP="00104785">
            <w:pPr>
              <w:rPr>
                <w:rFonts w:cstheme="minorHAnsi"/>
              </w:rPr>
            </w:pPr>
          </w:p>
        </w:tc>
      </w:tr>
      <w:tr w:rsidR="00E52BD9" w:rsidRPr="0055736E" w14:paraId="44CC4A06" w14:textId="77777777" w:rsidTr="00104785">
        <w:tc>
          <w:tcPr>
            <w:tcW w:w="1668" w:type="dxa"/>
            <w:vAlign w:val="center"/>
          </w:tcPr>
          <w:p w14:paraId="02D5A426" w14:textId="77777777" w:rsidR="00E52BD9" w:rsidRPr="0055736E" w:rsidRDefault="00E52BD9" w:rsidP="00104785">
            <w:pPr>
              <w:rPr>
                <w:rFonts w:cstheme="minorHAnsi"/>
              </w:rPr>
            </w:pPr>
            <w:r w:rsidRPr="0055736E">
              <w:rPr>
                <w:rFonts w:cstheme="minorHAnsi"/>
                <w:b/>
              </w:rPr>
              <w:t>Instrucciones administrativas</w:t>
            </w:r>
          </w:p>
        </w:tc>
        <w:tc>
          <w:tcPr>
            <w:tcW w:w="7386" w:type="dxa"/>
          </w:tcPr>
          <w:p w14:paraId="59070531" w14:textId="77777777" w:rsidR="00E52BD9" w:rsidRDefault="00E52BD9" w:rsidP="00104785">
            <w:pPr>
              <w:jc w:val="both"/>
              <w:rPr>
                <w:rFonts w:cstheme="minorHAnsi"/>
              </w:rPr>
            </w:pPr>
            <w:r w:rsidRPr="0055736E">
              <w:rPr>
                <w:rFonts w:cstheme="minorHAnsi"/>
              </w:rPr>
              <w:t xml:space="preserve">El curso </w:t>
            </w:r>
            <w:r>
              <w:rPr>
                <w:rFonts w:cstheme="minorHAnsi"/>
              </w:rPr>
              <w:t xml:space="preserve">es virtual, por lo que se </w:t>
            </w:r>
            <w:r w:rsidRPr="0055736E">
              <w:rPr>
                <w:rFonts w:cstheme="minorHAnsi"/>
              </w:rPr>
              <w:t xml:space="preserve">requiere </w:t>
            </w:r>
            <w:r>
              <w:rPr>
                <w:rFonts w:cstheme="minorHAnsi"/>
              </w:rPr>
              <w:t>de acceso a una computadora con conexión a Internet, además de destrezas básicas para el manejo de correo electrónico y la plataforma Moodle desde el rol de estudiante.  Por su naturaleza teórico-práctica este curso requiere de 2 horas semanales de trabajo de investigación. La dirección de acceso a la plataforma es la siguiente:</w:t>
            </w:r>
          </w:p>
          <w:p w14:paraId="7D5F1C44" w14:textId="77777777" w:rsidR="00E52BD9" w:rsidRPr="0055736E" w:rsidRDefault="00DD16F2" w:rsidP="00104785">
            <w:pPr>
              <w:jc w:val="both"/>
              <w:rPr>
                <w:rFonts w:cstheme="minorHAnsi"/>
              </w:rPr>
            </w:pPr>
            <w:hyperlink r:id="rId106" w:history="1">
              <w:r w:rsidR="00E52BD9" w:rsidRPr="00B96849">
                <w:rPr>
                  <w:rStyle w:val="Hipervnculo"/>
                  <w:rFonts w:cstheme="minorHAnsi"/>
                </w:rPr>
                <w:t>https://campus.ubl.ac.cr/login/index.php</w:t>
              </w:r>
            </w:hyperlink>
          </w:p>
        </w:tc>
      </w:tr>
    </w:tbl>
    <w:p w14:paraId="06AB6A75" w14:textId="77777777" w:rsidR="00E52BD9" w:rsidRPr="00E03006" w:rsidRDefault="00E52BD9" w:rsidP="00E52BD9">
      <w:pPr>
        <w:keepNext/>
        <w:jc w:val="both"/>
        <w:outlineLvl w:val="1"/>
        <w:rPr>
          <w:rFonts w:cs="Arial"/>
          <w:b/>
          <w:color w:val="000000" w:themeColor="text1"/>
          <w:spacing w:val="-2"/>
          <w:kern w:val="28"/>
        </w:rPr>
      </w:pPr>
    </w:p>
    <w:p w14:paraId="791FC312" w14:textId="77777777" w:rsidR="00E52BD9" w:rsidRPr="00E03006" w:rsidRDefault="00E52BD9" w:rsidP="00E52BD9">
      <w:pPr>
        <w:keepNext/>
        <w:jc w:val="both"/>
        <w:outlineLvl w:val="1"/>
        <w:rPr>
          <w:rFonts w:cs="Arial"/>
          <w:b/>
          <w:color w:val="000000" w:themeColor="text1"/>
          <w:spacing w:val="-2"/>
          <w:kern w:val="28"/>
        </w:rPr>
      </w:pPr>
      <w:r w:rsidRPr="00E03006">
        <w:rPr>
          <w:rFonts w:cs="Arial"/>
          <w:b/>
          <w:color w:val="000000" w:themeColor="text1"/>
          <w:spacing w:val="-2"/>
          <w:kern w:val="28"/>
        </w:rPr>
        <w:t>I.</w:t>
      </w:r>
      <w:r>
        <w:rPr>
          <w:rFonts w:cs="Arial"/>
          <w:b/>
          <w:color w:val="000000" w:themeColor="text1"/>
          <w:spacing w:val="-2"/>
          <w:kern w:val="28"/>
        </w:rPr>
        <w:t xml:space="preserve"> </w:t>
      </w:r>
      <w:r w:rsidRPr="00E03006">
        <w:rPr>
          <w:rFonts w:cs="Arial"/>
          <w:b/>
          <w:color w:val="000000" w:themeColor="text1"/>
          <w:spacing w:val="-2"/>
          <w:kern w:val="28"/>
        </w:rPr>
        <w:t>Descripción</w:t>
      </w:r>
    </w:p>
    <w:p w14:paraId="7E1FD208" w14:textId="77777777" w:rsidR="008624DB" w:rsidRDefault="00E52BD9" w:rsidP="008624DB">
      <w:pPr>
        <w:jc w:val="both"/>
        <w:rPr>
          <w:rFonts w:cs="Arial"/>
          <w:color w:val="000000" w:themeColor="text1"/>
        </w:rPr>
      </w:pPr>
      <w:r w:rsidRPr="00E03006">
        <w:rPr>
          <w:rFonts w:cs="Arial"/>
          <w:color w:val="000000" w:themeColor="text1"/>
        </w:rPr>
        <w:t xml:space="preserve">El enfoque del curso es la orientación estudiantil sobre las normas de investigación y preparación de informes de trabajo, tareas y monografías que requieren la investigación académica. Incluye el </w:t>
      </w:r>
      <w:r w:rsidRPr="00E03006">
        <w:rPr>
          <w:rFonts w:cs="Arial"/>
          <w:color w:val="000000" w:themeColor="text1"/>
        </w:rPr>
        <w:lastRenderedPageBreak/>
        <w:t>sentido de la investigación, planteamiento de hipótesis y desarrollo de la investigació</w:t>
      </w:r>
      <w:r>
        <w:rPr>
          <w:rFonts w:cs="Arial"/>
          <w:color w:val="000000" w:themeColor="text1"/>
        </w:rPr>
        <w:t>n, el uso y citación de fuentes</w:t>
      </w:r>
      <w:r w:rsidRPr="00E03006">
        <w:rPr>
          <w:rFonts w:cs="Arial"/>
          <w:color w:val="000000" w:themeColor="text1"/>
        </w:rPr>
        <w:t xml:space="preserve"> y las técnicas de presentación de monografías. </w:t>
      </w:r>
    </w:p>
    <w:p w14:paraId="3A641708" w14:textId="7BD038CC" w:rsidR="00E52BD9" w:rsidRPr="00E03006" w:rsidRDefault="00E52BD9" w:rsidP="008624DB">
      <w:pPr>
        <w:jc w:val="both"/>
        <w:rPr>
          <w:rFonts w:cs="Arial"/>
          <w:b/>
          <w:color w:val="000000" w:themeColor="text1"/>
          <w:spacing w:val="-2"/>
          <w:kern w:val="28"/>
        </w:rPr>
      </w:pPr>
      <w:r w:rsidRPr="00E03006">
        <w:rPr>
          <w:rFonts w:cs="Arial"/>
          <w:b/>
          <w:color w:val="000000" w:themeColor="text1"/>
          <w:spacing w:val="-2"/>
          <w:kern w:val="28"/>
        </w:rPr>
        <w:t>II.</w:t>
      </w:r>
      <w:r>
        <w:rPr>
          <w:rFonts w:cs="Arial"/>
          <w:b/>
          <w:color w:val="000000" w:themeColor="text1"/>
          <w:spacing w:val="-2"/>
          <w:kern w:val="28"/>
        </w:rPr>
        <w:t xml:space="preserve"> </w:t>
      </w:r>
      <w:r w:rsidRPr="00E03006">
        <w:rPr>
          <w:rFonts w:cs="Arial"/>
          <w:b/>
          <w:color w:val="000000" w:themeColor="text1"/>
          <w:spacing w:val="-2"/>
          <w:kern w:val="28"/>
        </w:rPr>
        <w:t>Objetivo general</w:t>
      </w:r>
    </w:p>
    <w:p w14:paraId="2CD46E7E" w14:textId="77777777" w:rsidR="00E52BD9" w:rsidRPr="00E03006" w:rsidRDefault="00E52BD9" w:rsidP="00E52BD9">
      <w:pPr>
        <w:jc w:val="both"/>
        <w:rPr>
          <w:rFonts w:cs="Arial"/>
          <w:color w:val="000000" w:themeColor="text1"/>
        </w:rPr>
      </w:pPr>
      <w:r w:rsidRPr="00E03006">
        <w:rPr>
          <w:rFonts w:cs="Arial"/>
          <w:color w:val="000000" w:themeColor="text1"/>
        </w:rPr>
        <w:t>Conocer algunas técnicas de investigación bibliográfica y de elaboración y presentación de trabajos académicos, con el fin de que aumente su capacidad de calidad y presentación de los trabajos de las diferentes asignaturas que debe cursar.</w:t>
      </w:r>
    </w:p>
    <w:p w14:paraId="6C9F906B" w14:textId="77777777" w:rsidR="00E52BD9" w:rsidRPr="00E03006" w:rsidRDefault="00E52BD9" w:rsidP="00E52BD9">
      <w:pPr>
        <w:keepNext/>
        <w:jc w:val="both"/>
        <w:outlineLvl w:val="1"/>
        <w:rPr>
          <w:rFonts w:cs="Arial"/>
          <w:b/>
          <w:color w:val="000000" w:themeColor="text1"/>
          <w:spacing w:val="-2"/>
          <w:kern w:val="28"/>
        </w:rPr>
      </w:pPr>
    </w:p>
    <w:p w14:paraId="40743F00" w14:textId="77777777" w:rsidR="00E52BD9" w:rsidRPr="00E03006" w:rsidRDefault="00E52BD9" w:rsidP="00E52BD9">
      <w:pPr>
        <w:keepNext/>
        <w:jc w:val="both"/>
        <w:outlineLvl w:val="1"/>
        <w:rPr>
          <w:rFonts w:cs="Arial"/>
          <w:b/>
          <w:color w:val="000000" w:themeColor="text1"/>
          <w:spacing w:val="-2"/>
          <w:kern w:val="28"/>
        </w:rPr>
      </w:pPr>
      <w:r w:rsidRPr="00E03006">
        <w:rPr>
          <w:rFonts w:cs="Arial"/>
          <w:b/>
          <w:color w:val="000000" w:themeColor="text1"/>
          <w:spacing w:val="-2"/>
          <w:kern w:val="28"/>
        </w:rPr>
        <w:t>III. Objetivos específicos</w:t>
      </w:r>
    </w:p>
    <w:p w14:paraId="436971B6" w14:textId="77777777" w:rsidR="00E52BD9"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color w:val="000000" w:themeColor="text1"/>
        </w:rPr>
      </w:pPr>
      <w:r w:rsidRPr="00E03006">
        <w:rPr>
          <w:rFonts w:cs="Arial"/>
          <w:color w:val="000000" w:themeColor="text1"/>
        </w:rPr>
        <w:t>Explicar la importancia de utilizar técnicas adecuadas y de adquirir un método de estudio.</w:t>
      </w:r>
    </w:p>
    <w:p w14:paraId="3F3C344D" w14:textId="77777777" w:rsidR="00E52BD9" w:rsidRPr="001D49B8"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rPr>
      </w:pPr>
      <w:r w:rsidRPr="001D49B8">
        <w:rPr>
          <w:rFonts w:cs="Arial"/>
        </w:rPr>
        <w:t xml:space="preserve">Aplicar técnicas elementales de redacción de textos para presentar trabajaos académicos sistematizados. </w:t>
      </w:r>
    </w:p>
    <w:p w14:paraId="03AF3801" w14:textId="77777777" w:rsidR="00E52BD9" w:rsidRPr="00E03006"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color w:val="000000" w:themeColor="text1"/>
        </w:rPr>
      </w:pPr>
      <w:r w:rsidRPr="00E03006">
        <w:rPr>
          <w:rFonts w:cs="Arial"/>
          <w:color w:val="000000" w:themeColor="text1"/>
        </w:rPr>
        <w:t>Plantear correctamente una temática para la investigación.</w:t>
      </w:r>
    </w:p>
    <w:p w14:paraId="74044385" w14:textId="77777777" w:rsidR="00E52BD9" w:rsidRPr="00E03006"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color w:val="000000" w:themeColor="text1"/>
        </w:rPr>
      </w:pPr>
      <w:r w:rsidRPr="00E03006">
        <w:rPr>
          <w:rFonts w:cs="Arial"/>
          <w:color w:val="000000" w:themeColor="text1"/>
        </w:rPr>
        <w:t>Formular un diseño de investigación.</w:t>
      </w:r>
    </w:p>
    <w:p w14:paraId="629F3841" w14:textId="77777777" w:rsidR="00E52BD9" w:rsidRPr="00E03006"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color w:val="000000" w:themeColor="text1"/>
        </w:rPr>
      </w:pPr>
      <w:r w:rsidRPr="00E03006">
        <w:rPr>
          <w:rFonts w:cs="Arial"/>
          <w:color w:val="000000" w:themeColor="text1"/>
        </w:rPr>
        <w:t xml:space="preserve">Aplicar técnicas de recopilación y presentación de datos de investigación. </w:t>
      </w:r>
    </w:p>
    <w:p w14:paraId="113E0808" w14:textId="77777777" w:rsidR="00E52BD9" w:rsidRPr="00E03006" w:rsidRDefault="00E52BD9" w:rsidP="00E52BD9">
      <w:pPr>
        <w:widowControl w:val="0"/>
        <w:numPr>
          <w:ilvl w:val="0"/>
          <w:numId w:val="51"/>
        </w:numPr>
        <w:tabs>
          <w:tab w:val="clear" w:pos="1021"/>
        </w:tabs>
        <w:overflowPunct w:val="0"/>
        <w:autoSpaceDE w:val="0"/>
        <w:autoSpaceDN w:val="0"/>
        <w:adjustRightInd w:val="0"/>
        <w:spacing w:after="0" w:line="276" w:lineRule="auto"/>
        <w:ind w:left="567" w:hanging="540"/>
        <w:jc w:val="both"/>
        <w:rPr>
          <w:rFonts w:cs="Arial"/>
          <w:color w:val="000000" w:themeColor="text1"/>
        </w:rPr>
      </w:pPr>
      <w:r w:rsidRPr="00E03006">
        <w:rPr>
          <w:rFonts w:cs="Arial"/>
          <w:color w:val="000000" w:themeColor="text1"/>
        </w:rPr>
        <w:t>Elaborar esquemas, cuadros y gráficos según las normas establecidas y basados en textos de estudio.</w:t>
      </w:r>
    </w:p>
    <w:p w14:paraId="13C6DC66" w14:textId="77777777" w:rsidR="00E52BD9" w:rsidRPr="00E03006" w:rsidRDefault="00E52BD9" w:rsidP="00E52BD9">
      <w:pPr>
        <w:jc w:val="both"/>
        <w:rPr>
          <w:rFonts w:cs="Arial"/>
          <w:color w:val="000000" w:themeColor="text1"/>
        </w:rPr>
      </w:pPr>
    </w:p>
    <w:p w14:paraId="4F01DF17" w14:textId="77777777" w:rsidR="00E52BD9" w:rsidRPr="00E03006" w:rsidRDefault="00E52BD9" w:rsidP="00E52BD9">
      <w:pPr>
        <w:jc w:val="both"/>
        <w:rPr>
          <w:rFonts w:cs="Arial"/>
          <w:b/>
          <w:color w:val="000000" w:themeColor="text1"/>
        </w:rPr>
      </w:pPr>
      <w:r w:rsidRPr="00E03006">
        <w:rPr>
          <w:rFonts w:cs="Arial"/>
          <w:b/>
          <w:color w:val="000000" w:themeColor="text1"/>
        </w:rPr>
        <w:t>IV.</w:t>
      </w:r>
      <w:r>
        <w:rPr>
          <w:rFonts w:cs="Arial"/>
          <w:b/>
          <w:color w:val="000000" w:themeColor="text1"/>
        </w:rPr>
        <w:t xml:space="preserve"> </w:t>
      </w:r>
      <w:r w:rsidRPr="00E03006">
        <w:rPr>
          <w:rFonts w:cs="Arial"/>
          <w:b/>
          <w:color w:val="000000" w:themeColor="text1"/>
        </w:rPr>
        <w:t>Contenidos</w:t>
      </w:r>
      <w:r>
        <w:rPr>
          <w:rFonts w:cs="Arial"/>
          <w:b/>
          <w:color w:val="000000" w:themeColor="text1"/>
        </w:rPr>
        <w:t xml:space="preserve"> temáticos</w:t>
      </w:r>
    </w:p>
    <w:p w14:paraId="25D0696F" w14:textId="77777777" w:rsidR="00E52BD9" w:rsidRDefault="00E52BD9" w:rsidP="008624DB">
      <w:pPr>
        <w:spacing w:after="0" w:line="276" w:lineRule="auto"/>
        <w:rPr>
          <w:rFonts w:cs="Arial"/>
          <w:b/>
          <w:color w:val="000000" w:themeColor="text1"/>
        </w:rPr>
      </w:pPr>
      <w:r w:rsidRPr="00E03006">
        <w:rPr>
          <w:rFonts w:eastAsia="MS Mincho" w:cs="Arial"/>
          <w:b/>
          <w:color w:val="000000" w:themeColor="text1"/>
        </w:rPr>
        <w:t xml:space="preserve">Unidad 1: </w:t>
      </w:r>
      <w:r w:rsidRPr="00E03006">
        <w:rPr>
          <w:rFonts w:cs="Arial"/>
          <w:b/>
          <w:color w:val="000000" w:themeColor="text1"/>
        </w:rPr>
        <w:t>La investigación bíblico-teológica-pastoral: importancia y aspectos éticos en un método de estudio</w:t>
      </w:r>
    </w:p>
    <w:p w14:paraId="47698CB5" w14:textId="77777777" w:rsidR="00E52BD9" w:rsidRDefault="00E52BD9" w:rsidP="008624DB">
      <w:pPr>
        <w:spacing w:after="0" w:line="276" w:lineRule="auto"/>
        <w:rPr>
          <w:rFonts w:cs="Arial"/>
          <w:bCs/>
          <w:color w:val="000000" w:themeColor="text1"/>
        </w:rPr>
      </w:pPr>
      <w:r>
        <w:rPr>
          <w:rFonts w:cs="Arial"/>
          <w:bCs/>
          <w:color w:val="000000" w:themeColor="text1"/>
        </w:rPr>
        <w:t>1.1 Aspectos introductorios al curso</w:t>
      </w:r>
    </w:p>
    <w:p w14:paraId="3747DD3D" w14:textId="77777777" w:rsidR="00E52BD9" w:rsidRDefault="00E52BD9" w:rsidP="008624DB">
      <w:pPr>
        <w:spacing w:after="0" w:line="276" w:lineRule="auto"/>
        <w:rPr>
          <w:rFonts w:cs="Arial"/>
          <w:bCs/>
          <w:color w:val="000000" w:themeColor="text1"/>
        </w:rPr>
      </w:pPr>
      <w:r>
        <w:rPr>
          <w:rFonts w:cs="Arial"/>
          <w:bCs/>
          <w:color w:val="000000" w:themeColor="text1"/>
        </w:rPr>
        <w:t>1.2 ¿Qué es investigación?</w:t>
      </w:r>
    </w:p>
    <w:p w14:paraId="5AFF2CB3" w14:textId="77777777" w:rsidR="00E52BD9" w:rsidRDefault="00E52BD9" w:rsidP="008624DB">
      <w:pPr>
        <w:spacing w:after="0" w:line="276" w:lineRule="auto"/>
        <w:rPr>
          <w:rFonts w:cs="Arial"/>
          <w:bCs/>
          <w:color w:val="000000" w:themeColor="text1"/>
        </w:rPr>
      </w:pPr>
      <w:r>
        <w:rPr>
          <w:rFonts w:cs="Arial"/>
          <w:bCs/>
          <w:color w:val="000000" w:themeColor="text1"/>
        </w:rPr>
        <w:t>1.3 Aspectos éticos en la investigación teológica</w:t>
      </w:r>
    </w:p>
    <w:p w14:paraId="0A62AA12" w14:textId="77777777" w:rsidR="00E52BD9" w:rsidRPr="00C174D2" w:rsidRDefault="00E52BD9" w:rsidP="008624DB">
      <w:pPr>
        <w:spacing w:after="0" w:line="276" w:lineRule="auto"/>
        <w:rPr>
          <w:rFonts w:cs="Arial"/>
          <w:bCs/>
          <w:color w:val="000000" w:themeColor="text1"/>
        </w:rPr>
      </w:pPr>
    </w:p>
    <w:p w14:paraId="06231C41" w14:textId="77777777" w:rsidR="00E52BD9" w:rsidRPr="00E03006" w:rsidRDefault="00E52BD9" w:rsidP="008624DB">
      <w:pPr>
        <w:spacing w:after="0" w:line="276" w:lineRule="auto"/>
        <w:rPr>
          <w:rFonts w:eastAsia="MS Mincho" w:cs="Arial"/>
          <w:b/>
          <w:color w:val="000000" w:themeColor="text1"/>
        </w:rPr>
      </w:pPr>
      <w:r w:rsidRPr="00E03006">
        <w:rPr>
          <w:rFonts w:eastAsia="MS Mincho" w:cs="Arial"/>
          <w:b/>
          <w:color w:val="000000" w:themeColor="text1"/>
        </w:rPr>
        <w:t xml:space="preserve">Unidad 2: </w:t>
      </w:r>
      <w:r w:rsidRPr="00E03006">
        <w:rPr>
          <w:rFonts w:cs="Arial"/>
          <w:b/>
          <w:color w:val="000000" w:themeColor="text1"/>
        </w:rPr>
        <w:t>El estilo académico de comunicación escrita</w:t>
      </w:r>
    </w:p>
    <w:p w14:paraId="0BFFA76F" w14:textId="77777777" w:rsidR="00E52BD9" w:rsidRPr="00E03006" w:rsidRDefault="00E52BD9" w:rsidP="008624DB">
      <w:pPr>
        <w:spacing w:after="0" w:line="276" w:lineRule="auto"/>
        <w:rPr>
          <w:rFonts w:cs="Arial"/>
          <w:color w:val="000000" w:themeColor="text1"/>
          <w:lang w:val="es-ES"/>
        </w:rPr>
      </w:pPr>
      <w:r w:rsidRPr="00E03006">
        <w:rPr>
          <w:rFonts w:eastAsia="MS Mincho" w:cs="Arial"/>
          <w:color w:val="000000" w:themeColor="text1"/>
        </w:rPr>
        <w:t xml:space="preserve">2.1 </w:t>
      </w:r>
      <w:r w:rsidRPr="00E03006">
        <w:rPr>
          <w:rFonts w:cs="Arial"/>
          <w:color w:val="000000" w:themeColor="text1"/>
          <w:lang w:val="es-ES"/>
        </w:rPr>
        <w:t>Características de</w:t>
      </w:r>
      <w:r>
        <w:rPr>
          <w:rFonts w:cs="Arial"/>
          <w:color w:val="000000" w:themeColor="text1"/>
          <w:lang w:val="es-ES"/>
        </w:rPr>
        <w:t xml:space="preserve"> la comunicación escrita académica</w:t>
      </w:r>
    </w:p>
    <w:p w14:paraId="69C6FB2E" w14:textId="77777777" w:rsidR="00E52BD9" w:rsidRPr="00E03006" w:rsidRDefault="00E52BD9" w:rsidP="008624DB">
      <w:pPr>
        <w:spacing w:after="0" w:line="276" w:lineRule="auto"/>
        <w:rPr>
          <w:rFonts w:cs="Arial"/>
          <w:color w:val="000000" w:themeColor="text1"/>
          <w:lang w:val="es-ES"/>
        </w:rPr>
      </w:pPr>
      <w:r w:rsidRPr="00E03006">
        <w:rPr>
          <w:rFonts w:eastAsia="MS Mincho" w:cs="Arial"/>
          <w:color w:val="000000" w:themeColor="text1"/>
          <w:lang w:val="es-ES"/>
        </w:rPr>
        <w:t xml:space="preserve">2.2 </w:t>
      </w:r>
      <w:r w:rsidRPr="00E03006">
        <w:rPr>
          <w:rFonts w:cs="Arial"/>
          <w:color w:val="000000" w:themeColor="text1"/>
          <w:lang w:val="es-ES"/>
        </w:rPr>
        <w:t>La estructuración de párrafos</w:t>
      </w:r>
    </w:p>
    <w:p w14:paraId="119EF3D9" w14:textId="77777777" w:rsidR="00E52BD9" w:rsidRDefault="00E52BD9" w:rsidP="008624DB">
      <w:pPr>
        <w:spacing w:after="0" w:line="276" w:lineRule="auto"/>
        <w:rPr>
          <w:rFonts w:eastAsia="MS Mincho" w:cs="Arial"/>
          <w:color w:val="000000" w:themeColor="text1"/>
          <w:lang w:val="es-ES"/>
        </w:rPr>
      </w:pPr>
      <w:r w:rsidRPr="00E03006">
        <w:rPr>
          <w:rFonts w:eastAsia="MS Mincho" w:cs="Arial"/>
          <w:color w:val="000000" w:themeColor="text1"/>
          <w:lang w:val="es-ES"/>
        </w:rPr>
        <w:t xml:space="preserve">2.3 Ejercicios </w:t>
      </w:r>
    </w:p>
    <w:p w14:paraId="19FD8109" w14:textId="77777777" w:rsidR="00E52BD9" w:rsidRPr="00E03006" w:rsidRDefault="00E52BD9" w:rsidP="008624DB">
      <w:pPr>
        <w:spacing w:after="0" w:line="276" w:lineRule="auto"/>
        <w:rPr>
          <w:rFonts w:eastAsia="MS Mincho" w:cs="Arial"/>
          <w:color w:val="000000" w:themeColor="text1"/>
          <w:lang w:val="es-ES"/>
        </w:rPr>
      </w:pPr>
    </w:p>
    <w:p w14:paraId="2D4BE866" w14:textId="77777777" w:rsidR="00E52BD9" w:rsidRPr="00E03006" w:rsidRDefault="00E52BD9" w:rsidP="008624DB">
      <w:pPr>
        <w:spacing w:after="0" w:line="276" w:lineRule="auto"/>
        <w:rPr>
          <w:rFonts w:eastAsia="MS Mincho" w:cs="Arial"/>
          <w:color w:val="000000" w:themeColor="text1"/>
          <w:lang w:val="es-ES"/>
        </w:rPr>
      </w:pPr>
      <w:r w:rsidRPr="00E03006">
        <w:rPr>
          <w:rFonts w:eastAsia="MS Mincho" w:cs="Arial"/>
          <w:b/>
          <w:color w:val="000000" w:themeColor="text1"/>
        </w:rPr>
        <w:t xml:space="preserve">Unidad 3: </w:t>
      </w:r>
      <w:r w:rsidRPr="00E03006">
        <w:rPr>
          <w:rFonts w:cs="Arial"/>
          <w:b/>
          <w:color w:val="000000" w:themeColor="text1"/>
        </w:rPr>
        <w:t>El diseño de la investigación</w:t>
      </w:r>
    </w:p>
    <w:p w14:paraId="541F5863"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3.1 Pasos para el diseño</w:t>
      </w:r>
    </w:p>
    <w:p w14:paraId="518EA4CE"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3.2 De la idea inicial al problema de investigación</w:t>
      </w:r>
    </w:p>
    <w:p w14:paraId="685560AE"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3.3 Características de un problema</w:t>
      </w:r>
    </w:p>
    <w:p w14:paraId="2E6AD7FE"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 xml:space="preserve">3.4 Delimitaciones </w:t>
      </w:r>
    </w:p>
    <w:p w14:paraId="53ECEA83"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3.5 Diseño de objetivos</w:t>
      </w:r>
    </w:p>
    <w:p w14:paraId="42ED891E" w14:textId="77777777" w:rsidR="00E52BD9" w:rsidRDefault="00E52BD9" w:rsidP="008624DB">
      <w:pPr>
        <w:spacing w:after="0" w:line="276" w:lineRule="auto"/>
        <w:rPr>
          <w:rFonts w:cs="Arial"/>
          <w:color w:val="000000" w:themeColor="text1"/>
        </w:rPr>
      </w:pPr>
      <w:r w:rsidRPr="00E03006">
        <w:rPr>
          <w:rFonts w:cs="Arial"/>
          <w:color w:val="000000" w:themeColor="text1"/>
        </w:rPr>
        <w:t>3.6 La matriz de coherencia metodológica</w:t>
      </w:r>
    </w:p>
    <w:p w14:paraId="48322625" w14:textId="77777777" w:rsidR="008624DB" w:rsidRDefault="008624DB" w:rsidP="008624DB">
      <w:pPr>
        <w:spacing w:after="0" w:line="276" w:lineRule="auto"/>
        <w:rPr>
          <w:rFonts w:cs="Arial"/>
          <w:color w:val="000000" w:themeColor="text1"/>
        </w:rPr>
      </w:pPr>
    </w:p>
    <w:p w14:paraId="2DB22276" w14:textId="77777777" w:rsidR="00E52BD9" w:rsidRPr="00E03006" w:rsidRDefault="00E52BD9" w:rsidP="008624DB">
      <w:pPr>
        <w:spacing w:after="0" w:line="276" w:lineRule="auto"/>
        <w:rPr>
          <w:rFonts w:eastAsia="MS Mincho" w:cs="Arial"/>
          <w:b/>
          <w:color w:val="000000" w:themeColor="text1"/>
        </w:rPr>
      </w:pPr>
      <w:r w:rsidRPr="00E03006">
        <w:rPr>
          <w:rFonts w:eastAsia="MS Mincho" w:cs="Arial"/>
          <w:b/>
          <w:color w:val="000000" w:themeColor="text1"/>
        </w:rPr>
        <w:t xml:space="preserve">Unidad 4: </w:t>
      </w:r>
      <w:r w:rsidRPr="00E03006">
        <w:rPr>
          <w:rFonts w:cs="Arial"/>
          <w:b/>
          <w:color w:val="000000" w:themeColor="text1"/>
        </w:rPr>
        <w:t>El diseño de la investigación: esquema de diseño (componentes)</w:t>
      </w:r>
    </w:p>
    <w:p w14:paraId="25E0C530"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4.1 El marco teórico</w:t>
      </w:r>
    </w:p>
    <w:p w14:paraId="3AF97E61"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lastRenderedPageBreak/>
        <w:t xml:space="preserve">4.2 La definición de conceptos </w:t>
      </w:r>
    </w:p>
    <w:p w14:paraId="10723512" w14:textId="77777777" w:rsidR="00E52BD9" w:rsidRDefault="00E52BD9" w:rsidP="008624DB">
      <w:pPr>
        <w:spacing w:after="0" w:line="276" w:lineRule="auto"/>
        <w:rPr>
          <w:rFonts w:cs="Arial"/>
          <w:color w:val="000000" w:themeColor="text1"/>
        </w:rPr>
      </w:pPr>
      <w:r w:rsidRPr="00E03006">
        <w:rPr>
          <w:rFonts w:cs="Arial"/>
          <w:color w:val="000000" w:themeColor="text1"/>
        </w:rPr>
        <w:t>4.3 La justificación</w:t>
      </w:r>
    </w:p>
    <w:p w14:paraId="43E536BB" w14:textId="77777777" w:rsidR="008624DB" w:rsidRDefault="008624DB" w:rsidP="008624DB">
      <w:pPr>
        <w:spacing w:after="0" w:line="276" w:lineRule="auto"/>
        <w:rPr>
          <w:rFonts w:cs="Arial"/>
          <w:color w:val="000000" w:themeColor="text1"/>
        </w:rPr>
      </w:pPr>
    </w:p>
    <w:p w14:paraId="7DB8C014" w14:textId="77777777" w:rsidR="00E52BD9" w:rsidRPr="00E03006" w:rsidRDefault="00E52BD9" w:rsidP="008624DB">
      <w:pPr>
        <w:spacing w:after="0" w:line="276" w:lineRule="auto"/>
        <w:rPr>
          <w:rFonts w:eastAsia="MS Mincho" w:cs="Arial"/>
          <w:b/>
          <w:color w:val="000000" w:themeColor="text1"/>
        </w:rPr>
      </w:pPr>
      <w:r w:rsidRPr="00E03006">
        <w:rPr>
          <w:rFonts w:eastAsia="MS Mincho" w:cs="Arial"/>
          <w:b/>
          <w:color w:val="000000" w:themeColor="text1"/>
        </w:rPr>
        <w:t>Unidad 5</w:t>
      </w:r>
      <w:r>
        <w:rPr>
          <w:rFonts w:eastAsia="MS Mincho" w:cs="Arial"/>
          <w:b/>
          <w:color w:val="000000" w:themeColor="text1"/>
        </w:rPr>
        <w:t>:</w:t>
      </w:r>
      <w:r w:rsidRPr="00E03006">
        <w:rPr>
          <w:rFonts w:eastAsia="MS Mincho" w:cs="Arial"/>
          <w:b/>
          <w:color w:val="000000" w:themeColor="text1"/>
        </w:rPr>
        <w:t xml:space="preserve"> </w:t>
      </w:r>
      <w:r w:rsidRPr="00E03006">
        <w:rPr>
          <w:rFonts w:cs="Arial"/>
          <w:b/>
          <w:color w:val="000000" w:themeColor="text1"/>
        </w:rPr>
        <w:t>La formulación de un marco metodológico</w:t>
      </w:r>
    </w:p>
    <w:p w14:paraId="33ADC96F" w14:textId="77777777" w:rsidR="00E52BD9" w:rsidRPr="00E03006" w:rsidRDefault="00E52BD9" w:rsidP="008624DB">
      <w:pPr>
        <w:spacing w:after="0" w:line="276" w:lineRule="auto"/>
        <w:rPr>
          <w:rFonts w:eastAsia="MS Mincho" w:cs="Arial"/>
          <w:color w:val="000000" w:themeColor="text1"/>
        </w:rPr>
      </w:pPr>
      <w:r w:rsidRPr="00E03006">
        <w:rPr>
          <w:rFonts w:eastAsia="MS Mincho" w:cs="Arial"/>
          <w:color w:val="000000" w:themeColor="text1"/>
        </w:rPr>
        <w:t>5.1 Tipo de estudio</w:t>
      </w:r>
    </w:p>
    <w:p w14:paraId="2D157F11" w14:textId="77777777" w:rsidR="00E52BD9" w:rsidRPr="00E03006" w:rsidRDefault="00E52BD9" w:rsidP="008624DB">
      <w:pPr>
        <w:spacing w:after="0" w:line="276" w:lineRule="auto"/>
        <w:rPr>
          <w:rFonts w:eastAsia="MS Mincho" w:cs="Arial"/>
          <w:color w:val="000000" w:themeColor="text1"/>
        </w:rPr>
      </w:pPr>
      <w:r w:rsidRPr="00E03006">
        <w:rPr>
          <w:rFonts w:eastAsia="MS Mincho" w:cs="Arial"/>
          <w:color w:val="000000" w:themeColor="text1"/>
        </w:rPr>
        <w:t>5.2 Marco metodológico propuesto</w:t>
      </w:r>
    </w:p>
    <w:p w14:paraId="2CB87D8D" w14:textId="77777777" w:rsidR="00E52BD9" w:rsidRDefault="00E52BD9" w:rsidP="008624DB">
      <w:pPr>
        <w:spacing w:after="0" w:line="276" w:lineRule="auto"/>
        <w:rPr>
          <w:rFonts w:eastAsia="MS Mincho" w:cs="Arial"/>
          <w:color w:val="000000" w:themeColor="text1"/>
        </w:rPr>
      </w:pPr>
      <w:r w:rsidRPr="00E03006">
        <w:rPr>
          <w:rFonts w:eastAsia="MS Mincho" w:cs="Arial"/>
          <w:color w:val="000000" w:themeColor="text1"/>
        </w:rPr>
        <w:t>5.3 Estrategias por capítulo</w:t>
      </w:r>
    </w:p>
    <w:p w14:paraId="5C4362FB" w14:textId="77777777" w:rsidR="008624DB" w:rsidRDefault="008624DB" w:rsidP="008624DB">
      <w:pPr>
        <w:spacing w:after="0" w:line="276" w:lineRule="auto"/>
        <w:rPr>
          <w:rFonts w:eastAsia="MS Mincho" w:cs="Arial"/>
          <w:color w:val="000000" w:themeColor="text1"/>
        </w:rPr>
      </w:pPr>
    </w:p>
    <w:p w14:paraId="15C6CBBF" w14:textId="77777777" w:rsidR="00E52BD9" w:rsidRPr="00E03006" w:rsidRDefault="00E52BD9" w:rsidP="008624DB">
      <w:pPr>
        <w:spacing w:after="0" w:line="276" w:lineRule="auto"/>
        <w:rPr>
          <w:rFonts w:cs="Arial"/>
          <w:b/>
          <w:color w:val="000000" w:themeColor="text1"/>
        </w:rPr>
      </w:pPr>
      <w:r w:rsidRPr="00E03006">
        <w:rPr>
          <w:rFonts w:eastAsia="MS Mincho" w:cs="Arial"/>
          <w:b/>
          <w:color w:val="000000" w:themeColor="text1"/>
        </w:rPr>
        <w:t xml:space="preserve">Unidad 6: </w:t>
      </w:r>
      <w:r w:rsidRPr="00E03006">
        <w:rPr>
          <w:rFonts w:cs="Arial"/>
          <w:b/>
          <w:color w:val="000000" w:themeColor="text1"/>
        </w:rPr>
        <w:t>Elaboración de un bosquejo de trabajo</w:t>
      </w:r>
    </w:p>
    <w:p w14:paraId="068319A9" w14:textId="77777777" w:rsidR="00E52BD9" w:rsidRPr="00E03006" w:rsidRDefault="00E52BD9" w:rsidP="008624DB">
      <w:pPr>
        <w:spacing w:after="0" w:line="276" w:lineRule="auto"/>
        <w:rPr>
          <w:rFonts w:cs="Arial"/>
          <w:color w:val="000000" w:themeColor="text1"/>
          <w:lang w:val="es-ES"/>
        </w:rPr>
      </w:pPr>
      <w:r>
        <w:rPr>
          <w:rFonts w:cs="Arial"/>
          <w:color w:val="000000" w:themeColor="text1"/>
          <w:lang w:val="es-ES"/>
        </w:rPr>
        <w:t xml:space="preserve">6.1 </w:t>
      </w:r>
      <w:r w:rsidRPr="00E03006">
        <w:rPr>
          <w:rFonts w:cs="Arial"/>
          <w:color w:val="000000" w:themeColor="text1"/>
          <w:lang w:val="es-ES"/>
        </w:rPr>
        <w:t>Revisión de fases de la investigación</w:t>
      </w:r>
    </w:p>
    <w:p w14:paraId="6E7C0F81" w14:textId="77777777" w:rsidR="00E52BD9" w:rsidRDefault="00E52BD9" w:rsidP="008624DB">
      <w:pPr>
        <w:spacing w:after="0" w:line="276" w:lineRule="auto"/>
        <w:rPr>
          <w:rFonts w:cs="Arial"/>
          <w:color w:val="000000" w:themeColor="text1"/>
          <w:lang w:val="es-ES"/>
        </w:rPr>
      </w:pPr>
      <w:r>
        <w:rPr>
          <w:rFonts w:cs="Arial"/>
          <w:color w:val="000000" w:themeColor="text1"/>
          <w:lang w:val="es-ES"/>
        </w:rPr>
        <w:t xml:space="preserve">6.2 </w:t>
      </w:r>
      <w:r w:rsidRPr="00E03006">
        <w:rPr>
          <w:rFonts w:cs="Arial"/>
          <w:color w:val="000000" w:themeColor="text1"/>
          <w:lang w:val="es-ES"/>
        </w:rPr>
        <w:t>Propuesta de un calendario tentativo</w:t>
      </w:r>
    </w:p>
    <w:p w14:paraId="286BC106" w14:textId="77777777" w:rsidR="00E52BD9" w:rsidRDefault="00E52BD9" w:rsidP="008624DB">
      <w:pPr>
        <w:spacing w:after="0" w:line="276" w:lineRule="auto"/>
        <w:rPr>
          <w:rFonts w:cs="Arial"/>
          <w:color w:val="000000" w:themeColor="text1"/>
          <w:lang w:val="es-ES"/>
        </w:rPr>
      </w:pPr>
      <w:r>
        <w:rPr>
          <w:rFonts w:cs="Arial"/>
          <w:color w:val="000000" w:themeColor="text1"/>
          <w:lang w:val="es-ES"/>
        </w:rPr>
        <w:t xml:space="preserve">6.3 </w:t>
      </w:r>
      <w:r w:rsidRPr="00E03006">
        <w:rPr>
          <w:rFonts w:cs="Arial"/>
          <w:color w:val="000000" w:themeColor="text1"/>
          <w:lang w:val="es-ES"/>
        </w:rPr>
        <w:t>Elaboración de</w:t>
      </w:r>
      <w:r>
        <w:rPr>
          <w:rFonts w:cs="Arial"/>
          <w:color w:val="000000" w:themeColor="text1"/>
          <w:lang w:val="es-ES"/>
        </w:rPr>
        <w:t xml:space="preserve"> un</w:t>
      </w:r>
      <w:r w:rsidRPr="00E03006">
        <w:rPr>
          <w:rFonts w:cs="Arial"/>
          <w:color w:val="000000" w:themeColor="text1"/>
          <w:lang w:val="es-ES"/>
        </w:rPr>
        <w:t xml:space="preserve"> cronograma</w:t>
      </w:r>
    </w:p>
    <w:p w14:paraId="48D8D214" w14:textId="77777777" w:rsidR="00E52BD9" w:rsidRPr="00AF38CB" w:rsidRDefault="00E52BD9" w:rsidP="008624DB">
      <w:pPr>
        <w:spacing w:after="0" w:line="276" w:lineRule="auto"/>
        <w:rPr>
          <w:rFonts w:cs="Arial"/>
          <w:color w:val="000000" w:themeColor="text1"/>
        </w:rPr>
      </w:pPr>
    </w:p>
    <w:p w14:paraId="41002D5F" w14:textId="77777777" w:rsidR="00E52BD9" w:rsidRPr="00E03006" w:rsidRDefault="00E52BD9" w:rsidP="008624DB">
      <w:pPr>
        <w:framePr w:hSpace="180" w:wrap="around" w:vAnchor="text" w:hAnchor="margin" w:x="-386" w:y="447"/>
        <w:spacing w:after="0" w:line="276" w:lineRule="auto"/>
        <w:jc w:val="center"/>
        <w:rPr>
          <w:rFonts w:eastAsia="MS Mincho" w:cs="Arial"/>
          <w:b/>
          <w:color w:val="000000" w:themeColor="text1"/>
        </w:rPr>
      </w:pPr>
      <w:r w:rsidRPr="00E03006">
        <w:rPr>
          <w:rFonts w:eastAsia="MS Mincho" w:cs="Arial"/>
          <w:color w:val="000000" w:themeColor="text1"/>
          <w:lang w:val="es-ES"/>
        </w:rPr>
        <w:t xml:space="preserve"> </w:t>
      </w:r>
    </w:p>
    <w:p w14:paraId="3ED962C3" w14:textId="77777777" w:rsidR="00E52BD9" w:rsidRPr="00E03006" w:rsidRDefault="00E52BD9" w:rsidP="008624DB">
      <w:pPr>
        <w:spacing w:after="0" w:line="276" w:lineRule="auto"/>
        <w:rPr>
          <w:rFonts w:cs="Arial"/>
          <w:b/>
          <w:color w:val="000000" w:themeColor="text1"/>
        </w:rPr>
      </w:pPr>
      <w:r w:rsidRPr="00E03006">
        <w:rPr>
          <w:rFonts w:cs="Arial"/>
          <w:b/>
          <w:color w:val="000000" w:themeColor="text1"/>
        </w:rPr>
        <w:t>Unidad 7: La recolección y utilización de datos</w:t>
      </w:r>
    </w:p>
    <w:p w14:paraId="34AEB718" w14:textId="77777777" w:rsidR="00E52BD9" w:rsidRPr="00E03006" w:rsidRDefault="00E52BD9" w:rsidP="008624DB">
      <w:pPr>
        <w:spacing w:after="0" w:line="276" w:lineRule="auto"/>
        <w:rPr>
          <w:rFonts w:cs="Arial"/>
          <w:b/>
          <w:color w:val="000000" w:themeColor="text1"/>
        </w:rPr>
      </w:pPr>
      <w:r w:rsidRPr="00E03006">
        <w:rPr>
          <w:rFonts w:cs="Arial"/>
          <w:color w:val="000000" w:themeColor="text1"/>
        </w:rPr>
        <w:t xml:space="preserve">7.1 </w:t>
      </w:r>
      <w:r w:rsidRPr="00E03006">
        <w:rPr>
          <w:rFonts w:eastAsia="MS Mincho" w:cs="Arial"/>
          <w:color w:val="000000" w:themeColor="text1"/>
          <w:lang w:val="es-ES"/>
        </w:rPr>
        <w:t>El mét</w:t>
      </w:r>
      <w:r>
        <w:rPr>
          <w:rFonts w:eastAsia="MS Mincho" w:cs="Arial"/>
          <w:color w:val="000000" w:themeColor="text1"/>
          <w:lang w:val="es-ES"/>
        </w:rPr>
        <w:t>odo parentético versión Chicago-Deusto</w:t>
      </w:r>
    </w:p>
    <w:p w14:paraId="2DB2EEE8" w14:textId="77777777" w:rsidR="00E52BD9" w:rsidRPr="00E03006" w:rsidRDefault="00E52BD9" w:rsidP="008624DB">
      <w:pPr>
        <w:spacing w:after="0" w:line="276" w:lineRule="auto"/>
        <w:rPr>
          <w:rFonts w:eastAsia="MS Mincho" w:cs="Arial"/>
          <w:color w:val="000000" w:themeColor="text1"/>
          <w:lang w:val="es-ES"/>
        </w:rPr>
      </w:pPr>
      <w:r w:rsidRPr="00E03006">
        <w:rPr>
          <w:rFonts w:cs="Arial"/>
          <w:color w:val="000000" w:themeColor="text1"/>
        </w:rPr>
        <w:t xml:space="preserve">7.2 </w:t>
      </w:r>
      <w:r w:rsidRPr="00E03006">
        <w:rPr>
          <w:rFonts w:eastAsia="MS Mincho" w:cs="Arial"/>
          <w:color w:val="000000" w:themeColor="text1"/>
          <w:lang w:val="es-ES"/>
        </w:rPr>
        <w:t>El mét</w:t>
      </w:r>
      <w:r>
        <w:rPr>
          <w:rFonts w:eastAsia="MS Mincho" w:cs="Arial"/>
          <w:color w:val="000000" w:themeColor="text1"/>
          <w:lang w:val="es-ES"/>
        </w:rPr>
        <w:t>odo tradicional versión Chicago-Deusto</w:t>
      </w:r>
    </w:p>
    <w:p w14:paraId="4484164B" w14:textId="77777777" w:rsidR="00E52BD9" w:rsidRPr="00E03006" w:rsidRDefault="00E52BD9" w:rsidP="008624DB">
      <w:pPr>
        <w:spacing w:after="0" w:line="276" w:lineRule="auto"/>
        <w:rPr>
          <w:rFonts w:cs="Arial"/>
          <w:bCs/>
          <w:color w:val="000000" w:themeColor="text1"/>
        </w:rPr>
      </w:pPr>
      <w:r w:rsidRPr="00E03006">
        <w:rPr>
          <w:rFonts w:cs="Arial"/>
          <w:color w:val="000000" w:themeColor="text1"/>
        </w:rPr>
        <w:t xml:space="preserve">7.3 </w:t>
      </w:r>
      <w:r w:rsidRPr="00E03006">
        <w:rPr>
          <w:rFonts w:cs="Arial"/>
          <w:bCs/>
          <w:color w:val="000000" w:themeColor="text1"/>
        </w:rPr>
        <w:t>La revisión profunda de la literatura (selección y combinación)</w:t>
      </w:r>
    </w:p>
    <w:p w14:paraId="1A581730"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7.4 La recolección de los datos</w:t>
      </w:r>
    </w:p>
    <w:p w14:paraId="407E3B0B" w14:textId="77777777" w:rsidR="00E52BD9" w:rsidRPr="00E03006" w:rsidRDefault="00E52BD9" w:rsidP="008624DB">
      <w:pPr>
        <w:spacing w:after="0" w:line="276" w:lineRule="auto"/>
        <w:rPr>
          <w:rFonts w:cs="Arial"/>
          <w:color w:val="000000" w:themeColor="text1"/>
        </w:rPr>
      </w:pPr>
      <w:r w:rsidRPr="00E03006">
        <w:rPr>
          <w:rFonts w:cs="Arial"/>
          <w:color w:val="000000" w:themeColor="text1"/>
        </w:rPr>
        <w:t>7.5 Fuentes primarias, secundarias y terciarias</w:t>
      </w:r>
    </w:p>
    <w:p w14:paraId="45ABEE16" w14:textId="77777777" w:rsidR="00E52BD9" w:rsidRDefault="00E52BD9" w:rsidP="008624DB">
      <w:pPr>
        <w:spacing w:after="0" w:line="276" w:lineRule="auto"/>
        <w:rPr>
          <w:rFonts w:cs="Arial"/>
          <w:color w:val="000000" w:themeColor="text1"/>
        </w:rPr>
      </w:pPr>
      <w:r w:rsidRPr="00E03006">
        <w:rPr>
          <w:rFonts w:cs="Arial"/>
          <w:color w:val="000000" w:themeColor="text1"/>
        </w:rPr>
        <w:t>7.6 Fichas de trabajo y sus tipos</w:t>
      </w:r>
    </w:p>
    <w:p w14:paraId="6FD99AB4" w14:textId="77777777" w:rsidR="00E52BD9" w:rsidRPr="00E03006" w:rsidRDefault="00E52BD9" w:rsidP="008624DB">
      <w:pPr>
        <w:spacing w:after="0" w:line="276" w:lineRule="auto"/>
        <w:rPr>
          <w:rFonts w:eastAsia="MS Mincho" w:cs="Arial"/>
          <w:color w:val="000000" w:themeColor="text1"/>
          <w:lang w:val="es-ES"/>
        </w:rPr>
      </w:pPr>
    </w:p>
    <w:p w14:paraId="0A10EDFF" w14:textId="77777777" w:rsidR="00E52BD9" w:rsidRPr="00E03006" w:rsidRDefault="00E52BD9" w:rsidP="008624DB">
      <w:pPr>
        <w:suppressAutoHyphens/>
        <w:spacing w:after="0" w:line="276" w:lineRule="auto"/>
        <w:rPr>
          <w:rFonts w:eastAsia="MS Mincho" w:cs="Arial"/>
          <w:b/>
          <w:color w:val="000000" w:themeColor="text1"/>
          <w:lang w:val="es-ES"/>
        </w:rPr>
      </w:pPr>
      <w:r w:rsidRPr="00E03006">
        <w:rPr>
          <w:rFonts w:eastAsia="MS Mincho" w:cs="Arial"/>
          <w:b/>
          <w:color w:val="000000" w:themeColor="text1"/>
          <w:lang w:val="es-ES"/>
        </w:rPr>
        <w:t>Unidad 8: El análisis hermenéutico del dato bibliográfico</w:t>
      </w:r>
    </w:p>
    <w:p w14:paraId="4686F3D4" w14:textId="77777777" w:rsidR="00E52BD9" w:rsidRPr="00E03006" w:rsidRDefault="00E52BD9" w:rsidP="008624DB">
      <w:pPr>
        <w:suppressAutoHyphens/>
        <w:spacing w:after="0" w:line="276" w:lineRule="auto"/>
        <w:rPr>
          <w:rFonts w:eastAsia="MS Mincho" w:cs="Arial"/>
          <w:color w:val="000000" w:themeColor="text1"/>
          <w:lang w:val="es-ES"/>
        </w:rPr>
      </w:pPr>
      <w:r w:rsidRPr="00E03006">
        <w:rPr>
          <w:rFonts w:eastAsia="MS Mincho" w:cs="Arial"/>
          <w:color w:val="000000" w:themeColor="text1"/>
          <w:lang w:val="es-ES"/>
        </w:rPr>
        <w:t>8.1 Tipos de citas textuales y de obra completa</w:t>
      </w:r>
    </w:p>
    <w:p w14:paraId="4244DB97" w14:textId="77777777" w:rsidR="00E52BD9" w:rsidRPr="00E03006" w:rsidRDefault="00E52BD9" w:rsidP="008624DB">
      <w:pPr>
        <w:suppressAutoHyphens/>
        <w:spacing w:after="0" w:line="276" w:lineRule="auto"/>
        <w:rPr>
          <w:rFonts w:eastAsia="MS Mincho" w:cs="Arial"/>
          <w:color w:val="000000" w:themeColor="text1"/>
          <w:lang w:val="es-ES"/>
        </w:rPr>
      </w:pPr>
      <w:r w:rsidRPr="00E03006">
        <w:rPr>
          <w:rFonts w:eastAsia="MS Mincho" w:cs="Arial"/>
          <w:color w:val="000000" w:themeColor="text1"/>
          <w:lang w:val="es-ES"/>
        </w:rPr>
        <w:t>8.2 Aporte de la bibliografía y de otras fuentes</w:t>
      </w:r>
    </w:p>
    <w:p w14:paraId="66A905F2" w14:textId="77777777" w:rsidR="00E52BD9" w:rsidRPr="00E03006" w:rsidRDefault="00E52BD9" w:rsidP="008624DB">
      <w:pPr>
        <w:suppressAutoHyphens/>
        <w:spacing w:after="0" w:line="276" w:lineRule="auto"/>
        <w:rPr>
          <w:rFonts w:eastAsia="MS Mincho" w:cs="Arial"/>
          <w:color w:val="000000" w:themeColor="text1"/>
          <w:lang w:val="es-ES"/>
        </w:rPr>
      </w:pPr>
      <w:r w:rsidRPr="00E03006">
        <w:rPr>
          <w:rFonts w:eastAsia="MS Mincho" w:cs="Arial"/>
          <w:color w:val="000000" w:themeColor="text1"/>
          <w:lang w:val="es-ES"/>
        </w:rPr>
        <w:t>8.3 Entretejido hermenéutico</w:t>
      </w:r>
    </w:p>
    <w:p w14:paraId="7D5609CC" w14:textId="77777777" w:rsidR="00E52BD9" w:rsidRDefault="00E52BD9" w:rsidP="008624DB">
      <w:pPr>
        <w:suppressAutoHyphens/>
        <w:spacing w:after="0" w:line="276" w:lineRule="auto"/>
        <w:rPr>
          <w:rFonts w:eastAsia="MS Mincho" w:cs="Arial"/>
          <w:b/>
          <w:color w:val="000000" w:themeColor="text1"/>
        </w:rPr>
      </w:pPr>
    </w:p>
    <w:p w14:paraId="68C2E519" w14:textId="77777777" w:rsidR="00E52BD9" w:rsidRPr="00E03006" w:rsidRDefault="00E52BD9" w:rsidP="008624DB">
      <w:pPr>
        <w:suppressAutoHyphens/>
        <w:spacing w:after="0" w:line="276" w:lineRule="auto"/>
        <w:rPr>
          <w:rFonts w:eastAsia="MS Mincho" w:cs="Arial"/>
          <w:b/>
          <w:color w:val="000000" w:themeColor="text1"/>
        </w:rPr>
      </w:pPr>
      <w:r w:rsidRPr="00E03006">
        <w:rPr>
          <w:rFonts w:eastAsia="MS Mincho" w:cs="Arial"/>
          <w:b/>
          <w:color w:val="000000" w:themeColor="text1"/>
        </w:rPr>
        <w:t>Unidad 9</w:t>
      </w:r>
      <w:r>
        <w:rPr>
          <w:rFonts w:eastAsia="MS Mincho" w:cs="Arial"/>
          <w:b/>
          <w:color w:val="000000" w:themeColor="text1"/>
        </w:rPr>
        <w:t>:</w:t>
      </w:r>
      <w:r w:rsidRPr="00E03006">
        <w:rPr>
          <w:rFonts w:eastAsia="MS Mincho" w:cs="Arial"/>
          <w:b/>
          <w:color w:val="000000" w:themeColor="text1"/>
        </w:rPr>
        <w:t xml:space="preserve"> </w:t>
      </w:r>
      <w:r w:rsidRPr="00E03006">
        <w:rPr>
          <w:rFonts w:cs="Arial"/>
          <w:b/>
          <w:color w:val="000000" w:themeColor="text1"/>
        </w:rPr>
        <w:t>La redacción del trabajo monográfico y otros documentos académicos</w:t>
      </w:r>
    </w:p>
    <w:p w14:paraId="17DBD204" w14:textId="77777777" w:rsidR="00E52BD9" w:rsidRPr="00E03006" w:rsidRDefault="00E52BD9" w:rsidP="008624DB">
      <w:pPr>
        <w:suppressAutoHyphens/>
        <w:spacing w:after="0" w:line="276" w:lineRule="auto"/>
        <w:rPr>
          <w:rFonts w:cs="Arial"/>
          <w:color w:val="000000" w:themeColor="text1"/>
        </w:rPr>
      </w:pPr>
      <w:r w:rsidRPr="00E03006">
        <w:rPr>
          <w:rFonts w:cs="Arial"/>
          <w:color w:val="000000" w:themeColor="text1"/>
        </w:rPr>
        <w:t>9.1 El estilo de presentación de trabajos en la UBL</w:t>
      </w:r>
    </w:p>
    <w:p w14:paraId="6714A670" w14:textId="77777777" w:rsidR="00E52BD9" w:rsidRPr="00E03006" w:rsidRDefault="00E52BD9" w:rsidP="008624DB">
      <w:pPr>
        <w:suppressAutoHyphens/>
        <w:spacing w:after="0" w:line="276" w:lineRule="auto"/>
        <w:rPr>
          <w:rFonts w:cs="Arial"/>
          <w:color w:val="000000" w:themeColor="text1"/>
        </w:rPr>
      </w:pPr>
      <w:r w:rsidRPr="00E03006">
        <w:rPr>
          <w:rFonts w:cs="Arial"/>
          <w:color w:val="000000" w:themeColor="text1"/>
        </w:rPr>
        <w:t>9.2 Diferentes tipos de párrafos en un trabajo académico</w:t>
      </w:r>
    </w:p>
    <w:p w14:paraId="1E41FF5D" w14:textId="77777777" w:rsidR="00E52BD9" w:rsidRPr="00E03006" w:rsidRDefault="00E52BD9" w:rsidP="008624DB">
      <w:pPr>
        <w:suppressAutoHyphens/>
        <w:spacing w:after="0" w:line="276" w:lineRule="auto"/>
        <w:rPr>
          <w:rFonts w:cs="Arial"/>
          <w:color w:val="000000" w:themeColor="text1"/>
        </w:rPr>
      </w:pPr>
      <w:r w:rsidRPr="00E03006">
        <w:rPr>
          <w:rFonts w:cs="Arial"/>
          <w:color w:val="000000" w:themeColor="text1"/>
        </w:rPr>
        <w:t>9.3 Diferentes tipos de trabajos académicos</w:t>
      </w:r>
    </w:p>
    <w:p w14:paraId="64EE631B" w14:textId="77777777" w:rsidR="00E52BD9" w:rsidRDefault="00E52BD9" w:rsidP="008624DB">
      <w:pPr>
        <w:suppressAutoHyphens/>
        <w:spacing w:after="0" w:line="276" w:lineRule="auto"/>
        <w:rPr>
          <w:rFonts w:cs="Arial"/>
          <w:color w:val="000000" w:themeColor="text1"/>
        </w:rPr>
      </w:pPr>
      <w:r w:rsidRPr="00E03006">
        <w:rPr>
          <w:rFonts w:cs="Arial"/>
          <w:color w:val="000000" w:themeColor="text1"/>
        </w:rPr>
        <w:t>9.4 Pautas para elaborar la introducción y la conclusión</w:t>
      </w:r>
    </w:p>
    <w:p w14:paraId="1E17311C" w14:textId="77777777" w:rsidR="008624DB" w:rsidRPr="00E03006" w:rsidRDefault="008624DB" w:rsidP="008624DB">
      <w:pPr>
        <w:suppressAutoHyphens/>
        <w:spacing w:after="0" w:line="276" w:lineRule="auto"/>
        <w:rPr>
          <w:rFonts w:cs="Arial"/>
          <w:color w:val="000000" w:themeColor="text1"/>
        </w:rPr>
      </w:pPr>
    </w:p>
    <w:p w14:paraId="285CF839" w14:textId="77777777" w:rsidR="00E52BD9" w:rsidRPr="00E03006" w:rsidRDefault="00E52BD9" w:rsidP="008624DB">
      <w:pPr>
        <w:spacing w:after="0" w:line="276" w:lineRule="auto"/>
        <w:rPr>
          <w:rFonts w:cs="Arial"/>
          <w:b/>
          <w:color w:val="000000" w:themeColor="text1"/>
          <w:lang w:val="es-ES"/>
        </w:rPr>
      </w:pPr>
      <w:r w:rsidRPr="00E03006">
        <w:rPr>
          <w:rFonts w:eastAsia="MS Mincho" w:cs="Arial"/>
          <w:b/>
          <w:color w:val="000000" w:themeColor="text1"/>
        </w:rPr>
        <w:t xml:space="preserve">Unidad 10: </w:t>
      </w:r>
      <w:r w:rsidRPr="00E03006">
        <w:rPr>
          <w:rFonts w:cs="Arial"/>
          <w:b/>
          <w:color w:val="000000" w:themeColor="text1"/>
          <w:lang w:val="es-ES"/>
        </w:rPr>
        <w:t>Ordenamiento y presentación: bibliografía general, esquemas, cuadros, gráficos y normas de estilo</w:t>
      </w:r>
    </w:p>
    <w:p w14:paraId="11AB6E63" w14:textId="77777777" w:rsidR="00E52BD9" w:rsidRPr="00E03006" w:rsidRDefault="00E52BD9" w:rsidP="008624DB">
      <w:pPr>
        <w:spacing w:after="0" w:line="276" w:lineRule="auto"/>
        <w:rPr>
          <w:rFonts w:cs="Arial"/>
          <w:color w:val="000000" w:themeColor="text1"/>
          <w:lang w:val="es-ES"/>
        </w:rPr>
      </w:pPr>
      <w:r>
        <w:rPr>
          <w:rFonts w:cs="Arial"/>
          <w:color w:val="000000" w:themeColor="text1"/>
          <w:lang w:val="es-ES"/>
        </w:rPr>
        <w:t>10.1 La bibliografía general o r</w:t>
      </w:r>
      <w:r w:rsidRPr="00E03006">
        <w:rPr>
          <w:rFonts w:cs="Arial"/>
          <w:color w:val="000000" w:themeColor="text1"/>
          <w:lang w:val="es-ES"/>
        </w:rPr>
        <w:t>eferencias</w:t>
      </w:r>
    </w:p>
    <w:p w14:paraId="78B690F8" w14:textId="77777777" w:rsidR="00E52BD9" w:rsidRDefault="00E52BD9" w:rsidP="008624DB">
      <w:pPr>
        <w:spacing w:after="0" w:line="276" w:lineRule="auto"/>
        <w:rPr>
          <w:rFonts w:cs="Arial"/>
          <w:color w:val="000000" w:themeColor="text1"/>
        </w:rPr>
      </w:pPr>
      <w:r w:rsidRPr="00E03006">
        <w:rPr>
          <w:rFonts w:cs="Arial"/>
          <w:color w:val="000000" w:themeColor="text1"/>
          <w:lang w:val="es-ES"/>
        </w:rPr>
        <w:t xml:space="preserve">10.2 </w:t>
      </w:r>
      <w:r w:rsidRPr="00E03006">
        <w:rPr>
          <w:rFonts w:cs="Arial"/>
          <w:color w:val="000000" w:themeColor="text1"/>
        </w:rPr>
        <w:t>Ordenamiento y presentación: esquemas, cuadros y gráficos</w:t>
      </w:r>
    </w:p>
    <w:p w14:paraId="0EE48577" w14:textId="77777777" w:rsidR="00E52BD9" w:rsidRPr="00E03006" w:rsidRDefault="00E52BD9" w:rsidP="008624DB">
      <w:pPr>
        <w:spacing w:after="0" w:line="276" w:lineRule="auto"/>
        <w:rPr>
          <w:rFonts w:cs="Arial"/>
          <w:color w:val="000000" w:themeColor="text1"/>
          <w:lang w:val="es-ES"/>
        </w:rPr>
      </w:pPr>
    </w:p>
    <w:p w14:paraId="6FE0D402" w14:textId="77777777" w:rsidR="00E52BD9" w:rsidRPr="00D16911" w:rsidRDefault="00E52BD9" w:rsidP="00E52BD9">
      <w:pPr>
        <w:keepNext/>
        <w:jc w:val="both"/>
        <w:outlineLvl w:val="1"/>
        <w:rPr>
          <w:rFonts w:cs="Arial"/>
          <w:bCs/>
          <w:color w:val="FF0000"/>
          <w:spacing w:val="-2"/>
          <w:kern w:val="28"/>
        </w:rPr>
      </w:pPr>
      <w:r w:rsidRPr="00074FC7">
        <w:rPr>
          <w:rFonts w:cs="Arial"/>
          <w:b/>
          <w:color w:val="000000" w:themeColor="text1"/>
          <w:spacing w:val="-2"/>
          <w:kern w:val="28"/>
        </w:rPr>
        <w:t>V. Metodología</w:t>
      </w:r>
      <w:r>
        <w:rPr>
          <w:rFonts w:cs="Arial"/>
          <w:b/>
          <w:color w:val="000000" w:themeColor="text1"/>
          <w:spacing w:val="-2"/>
          <w:kern w:val="28"/>
        </w:rPr>
        <w:t xml:space="preserve"> </w:t>
      </w:r>
    </w:p>
    <w:p w14:paraId="1F325042" w14:textId="77777777" w:rsidR="00E52BD9" w:rsidRDefault="00E52BD9" w:rsidP="00E52BD9">
      <w:pPr>
        <w:jc w:val="both"/>
        <w:rPr>
          <w:rFonts w:cs="Arial"/>
          <w:color w:val="000000" w:themeColor="text1"/>
          <w:lang w:val="es-ES"/>
        </w:rPr>
      </w:pPr>
      <w:r w:rsidRPr="00036312">
        <w:rPr>
          <w:rFonts w:cs="Arial"/>
          <w:color w:val="000000" w:themeColor="text1"/>
          <w:lang w:val="es-ES"/>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w:t>
      </w:r>
      <w:r w:rsidRPr="00036312">
        <w:rPr>
          <w:rFonts w:cs="Arial"/>
          <w:color w:val="000000" w:themeColor="text1"/>
          <w:lang w:val="es-ES"/>
        </w:rPr>
        <w:lastRenderedPageBreak/>
        <w:t>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683DAD72" w14:textId="0ECB50F3" w:rsidR="00E52BD9" w:rsidRDefault="00E52BD9" w:rsidP="00E52BD9">
      <w:pPr>
        <w:jc w:val="both"/>
        <w:rPr>
          <w:rFonts w:cs="Arial"/>
          <w:color w:val="000000" w:themeColor="text1"/>
        </w:rPr>
      </w:pPr>
      <w:r w:rsidRPr="00074FC7">
        <w:rPr>
          <w:rFonts w:cs="Arial"/>
          <w:color w:val="000000" w:themeColor="text1"/>
          <w:lang w:val="es-ES"/>
        </w:rPr>
        <w:t>Este curso es de naturaleza</w:t>
      </w:r>
      <w:r w:rsidRPr="00F064F2">
        <w:rPr>
          <w:rFonts w:cs="Arial"/>
          <w:color w:val="000000" w:themeColor="text1"/>
          <w:lang w:val="es-ES"/>
        </w:rPr>
        <w:t xml:space="preserve"> teórica-practica sobre el tema de la investigación en las </w:t>
      </w:r>
      <w:r w:rsidR="0028546D">
        <w:rPr>
          <w:rFonts w:cs="Arial"/>
          <w:color w:val="000000" w:themeColor="text1"/>
          <w:lang w:val="es-ES"/>
        </w:rPr>
        <w:t>Ciencias Bíblicas</w:t>
      </w:r>
      <w:r w:rsidRPr="00F064F2">
        <w:rPr>
          <w:rFonts w:cs="Arial"/>
          <w:color w:val="000000" w:themeColor="text1"/>
          <w:lang w:val="es-ES"/>
        </w:rPr>
        <w:t>. A investigar se aprende investigando</w:t>
      </w:r>
      <w:r>
        <w:rPr>
          <w:rFonts w:cs="Arial"/>
          <w:color w:val="000000" w:themeColor="text1"/>
          <w:lang w:val="es-ES"/>
        </w:rPr>
        <w:t>,</w:t>
      </w:r>
      <w:r w:rsidRPr="00F064F2">
        <w:rPr>
          <w:rFonts w:cs="Arial"/>
          <w:color w:val="000000" w:themeColor="text1"/>
          <w:lang w:val="es-ES"/>
        </w:rPr>
        <w:t xml:space="preserve"> </w:t>
      </w:r>
      <w:r>
        <w:rPr>
          <w:rFonts w:cs="Arial"/>
          <w:color w:val="000000" w:themeColor="text1"/>
          <w:lang w:val="es-ES"/>
        </w:rPr>
        <w:t>p</w:t>
      </w:r>
      <w:r w:rsidRPr="00F064F2">
        <w:rPr>
          <w:rFonts w:cs="Arial"/>
          <w:color w:val="000000" w:themeColor="text1"/>
          <w:lang w:val="es-ES"/>
        </w:rPr>
        <w:t>or lo tanto, además de la reflexión teórica, el curso se enfocará también en el desarrollo de las destrezas de la investigación bibliográfica. El curso proveerá una serie de ejercicios de aplicación práctica para desarrollar las destrezas necesarias para el diseño y desarrollo de una investigación con las características comunes a los trabajos académicos de la Universidad, durante el cumplimento de los requisitos de su carrera. Los ejercicios tienen que ver con la de</w:t>
      </w:r>
      <w:r>
        <w:rPr>
          <w:rFonts w:cs="Arial"/>
          <w:color w:val="000000" w:themeColor="text1"/>
          <w:lang w:val="es-ES"/>
        </w:rPr>
        <w:t>limitación</w:t>
      </w:r>
      <w:r w:rsidRPr="00F064F2">
        <w:rPr>
          <w:rFonts w:cs="Arial"/>
          <w:color w:val="000000" w:themeColor="text1"/>
          <w:lang w:val="es-ES"/>
        </w:rPr>
        <w:t xml:space="preserve"> de un problema de estudio, de los objetivos generales y específicos de una investigación, de la justificación, del marco teórico y metodológico</w:t>
      </w:r>
      <w:r>
        <w:rPr>
          <w:rFonts w:cs="Arial"/>
          <w:color w:val="000000" w:themeColor="text1"/>
          <w:lang w:val="es-ES"/>
        </w:rPr>
        <w:t>, las citas y referencias, el cronograma, la introducción y la conclusión</w:t>
      </w:r>
      <w:r w:rsidRPr="00F064F2">
        <w:rPr>
          <w:rFonts w:cs="Arial"/>
          <w:color w:val="000000" w:themeColor="text1"/>
          <w:lang w:val="es-ES"/>
        </w:rPr>
        <w:t xml:space="preserve">. </w:t>
      </w:r>
      <w:r w:rsidRPr="00F064F2">
        <w:rPr>
          <w:rFonts w:cs="Arial"/>
          <w:color w:val="000000" w:themeColor="text1"/>
        </w:rPr>
        <w:t>El desarrollo de este proceso se realizará en un entorno virtual en el cual la persona estudia</w:t>
      </w:r>
      <w:r>
        <w:rPr>
          <w:rFonts w:cs="Arial"/>
          <w:color w:val="000000" w:themeColor="text1"/>
        </w:rPr>
        <w:t>nte</w:t>
      </w:r>
      <w:r w:rsidRPr="00F064F2">
        <w:rPr>
          <w:rFonts w:cs="Arial"/>
          <w:color w:val="000000" w:themeColor="text1"/>
        </w:rPr>
        <w:t xml:space="preserve"> deberá desarrollar estrategias de búsquedas de información, de aprovechamiento de herramientas de análisis de datos, de interacción a distancia (la cual ampliará sus posibilidades de acceder a información que le ayudará a comprender los fenómenos estudiados) y de presentación concreta y clara de los resultados en formatos digitales.</w:t>
      </w:r>
      <w:r>
        <w:rPr>
          <w:rFonts w:cs="Arial"/>
          <w:color w:val="000000" w:themeColor="text1"/>
        </w:rPr>
        <w:t xml:space="preserve"> </w:t>
      </w:r>
    </w:p>
    <w:p w14:paraId="2133D478" w14:textId="77777777" w:rsidR="00E52BD9" w:rsidRDefault="00E52BD9" w:rsidP="00E52BD9">
      <w:pPr>
        <w:jc w:val="both"/>
        <w:rPr>
          <w:rFonts w:cs="Arial"/>
          <w:color w:val="000000" w:themeColor="text1"/>
          <w:lang w:val="es-ES"/>
        </w:rPr>
      </w:pPr>
      <w:r w:rsidRPr="00F064F2">
        <w:rPr>
          <w:rFonts w:cs="Arial"/>
          <w:color w:val="000000" w:themeColor="text1"/>
          <w:lang w:val="es-ES"/>
        </w:rPr>
        <w:t>En este contexto</w:t>
      </w:r>
      <w:r>
        <w:rPr>
          <w:rFonts w:cs="Arial"/>
          <w:color w:val="000000" w:themeColor="text1"/>
          <w:lang w:val="es-ES"/>
        </w:rPr>
        <w:t>,</w:t>
      </w:r>
      <w:r w:rsidRPr="00F064F2">
        <w:rPr>
          <w:rFonts w:cs="Arial"/>
          <w:color w:val="000000" w:themeColor="text1"/>
          <w:lang w:val="es-ES"/>
        </w:rPr>
        <w:t xml:space="preserve"> será igualmente importante el debate y trabajo </w:t>
      </w:r>
      <w:r>
        <w:rPr>
          <w:rFonts w:cs="Arial"/>
          <w:color w:val="000000" w:themeColor="text1"/>
          <w:lang w:val="es-ES"/>
        </w:rPr>
        <w:t>colaborativo</w:t>
      </w:r>
      <w:r w:rsidRPr="00F064F2">
        <w:rPr>
          <w:rFonts w:cs="Arial"/>
          <w:color w:val="000000" w:themeColor="text1"/>
          <w:lang w:val="es-ES"/>
        </w:rPr>
        <w:t xml:space="preserve"> de los y las estudiantes, que pondrán en común</w:t>
      </w:r>
      <w:r>
        <w:rPr>
          <w:rFonts w:cs="Arial"/>
          <w:color w:val="000000" w:themeColor="text1"/>
          <w:lang w:val="es-ES"/>
        </w:rPr>
        <w:t xml:space="preserve"> su</w:t>
      </w:r>
      <w:r w:rsidRPr="00F064F2">
        <w:rPr>
          <w:rFonts w:cs="Arial"/>
          <w:color w:val="000000" w:themeColor="text1"/>
          <w:lang w:val="es-ES"/>
        </w:rPr>
        <w:t xml:space="preserve"> reflexión sobre </w:t>
      </w:r>
      <w:r>
        <w:rPr>
          <w:rFonts w:cs="Arial"/>
          <w:color w:val="000000" w:themeColor="text1"/>
          <w:lang w:val="es-ES"/>
        </w:rPr>
        <w:t xml:space="preserve">las </w:t>
      </w:r>
      <w:r w:rsidRPr="00F064F2">
        <w:rPr>
          <w:rFonts w:cs="Arial"/>
          <w:color w:val="000000" w:themeColor="text1"/>
          <w:lang w:val="es-ES"/>
        </w:rPr>
        <w:t>lecturas</w:t>
      </w:r>
      <w:r>
        <w:rPr>
          <w:rFonts w:cs="Arial"/>
          <w:color w:val="000000" w:themeColor="text1"/>
          <w:lang w:val="es-ES"/>
        </w:rPr>
        <w:t xml:space="preserve"> en los foros temáticos.</w:t>
      </w:r>
      <w:r w:rsidRPr="00F064F2">
        <w:rPr>
          <w:rFonts w:cs="Arial"/>
          <w:color w:val="000000" w:themeColor="text1"/>
          <w:lang w:val="es-ES"/>
        </w:rPr>
        <w:t xml:space="preserve"> El rol de</w:t>
      </w:r>
      <w:r>
        <w:rPr>
          <w:rFonts w:cs="Arial"/>
          <w:color w:val="000000" w:themeColor="text1"/>
          <w:lang w:val="es-ES"/>
        </w:rPr>
        <w:t xml:space="preserve"> </w:t>
      </w:r>
      <w:r w:rsidRPr="00F064F2">
        <w:rPr>
          <w:rFonts w:cs="Arial"/>
          <w:color w:val="000000" w:themeColor="text1"/>
          <w:lang w:val="es-ES"/>
        </w:rPr>
        <w:t>l</w:t>
      </w:r>
      <w:r>
        <w:rPr>
          <w:rFonts w:cs="Arial"/>
          <w:color w:val="000000" w:themeColor="text1"/>
          <w:lang w:val="es-ES"/>
        </w:rPr>
        <w:t>a persona</w:t>
      </w:r>
      <w:r w:rsidRPr="00F064F2">
        <w:rPr>
          <w:rFonts w:cs="Arial"/>
          <w:color w:val="000000" w:themeColor="text1"/>
          <w:lang w:val="es-ES"/>
        </w:rPr>
        <w:t xml:space="preserve"> docente es </w:t>
      </w:r>
      <w:r>
        <w:rPr>
          <w:rFonts w:cs="Arial"/>
          <w:color w:val="000000" w:themeColor="text1"/>
          <w:lang w:val="es-ES"/>
        </w:rPr>
        <w:t>el de facilitar y orientar</w:t>
      </w:r>
      <w:r w:rsidRPr="00F064F2">
        <w:rPr>
          <w:rFonts w:cs="Arial"/>
          <w:color w:val="000000" w:themeColor="text1"/>
          <w:lang w:val="es-ES"/>
        </w:rPr>
        <w:t xml:space="preserve"> el aprendizaje. Se espera la participación activa de todos los y las estudiantes y el compromiso con el desarrollo de los ejercicios y tareas del curso.</w:t>
      </w:r>
      <w:r>
        <w:rPr>
          <w:rFonts w:cs="Arial"/>
          <w:color w:val="000000" w:themeColor="text1"/>
          <w:lang w:val="es-ES"/>
        </w:rPr>
        <w:t xml:space="preserve"> En diferentes momentos se realizarán encuentros sincrónicos virtuales para abordar las temáticas del curso. </w:t>
      </w:r>
      <w:r w:rsidRPr="00F03588">
        <w:rPr>
          <w:rFonts w:cs="Arial"/>
          <w:color w:val="000000" w:themeColor="text1"/>
          <w:lang w:val="es-ES"/>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r w:rsidRPr="00F064F2">
        <w:rPr>
          <w:rFonts w:cs="Arial"/>
          <w:color w:val="000000" w:themeColor="text1"/>
          <w:lang w:val="es-ES"/>
        </w:rPr>
        <w:t xml:space="preserve"> </w:t>
      </w:r>
    </w:p>
    <w:p w14:paraId="5C6AC234" w14:textId="77777777" w:rsidR="00E52BD9" w:rsidRPr="00843023" w:rsidRDefault="00E52BD9" w:rsidP="00E52BD9">
      <w:pPr>
        <w:jc w:val="both"/>
        <w:rPr>
          <w:rFonts w:cs="Arial"/>
          <w:color w:val="000000" w:themeColor="text1"/>
          <w:sz w:val="8"/>
          <w:szCs w:val="8"/>
          <w:lang w:val="es-ES"/>
        </w:rPr>
      </w:pPr>
    </w:p>
    <w:p w14:paraId="06A93117" w14:textId="77777777" w:rsidR="00E52BD9" w:rsidRPr="00114CFC" w:rsidRDefault="00E52BD9" w:rsidP="00E52BD9">
      <w:pPr>
        <w:keepNext/>
        <w:jc w:val="both"/>
        <w:outlineLvl w:val="1"/>
        <w:rPr>
          <w:rFonts w:cs="Arial"/>
          <w:bCs/>
          <w:color w:val="000000" w:themeColor="text1"/>
        </w:rPr>
      </w:pPr>
      <w:r w:rsidRPr="00114CFC">
        <w:rPr>
          <w:rFonts w:cs="Arial"/>
          <w:b/>
          <w:color w:val="000000" w:themeColor="text1"/>
          <w:spacing w:val="-2"/>
          <w:kern w:val="28"/>
          <w:lang w:val="es-ES"/>
        </w:rPr>
        <w:t xml:space="preserve">VI. </w:t>
      </w:r>
      <w:r>
        <w:rPr>
          <w:rFonts w:cs="Arial"/>
          <w:b/>
          <w:color w:val="000000" w:themeColor="text1"/>
          <w:spacing w:val="-2"/>
          <w:kern w:val="28"/>
          <w:lang w:val="es-ES"/>
        </w:rPr>
        <w:t>Estrategias</w:t>
      </w:r>
      <w:r w:rsidRPr="00114CFC">
        <w:rPr>
          <w:rFonts w:cs="Arial"/>
          <w:b/>
          <w:color w:val="000000" w:themeColor="text1"/>
          <w:spacing w:val="-2"/>
          <w:kern w:val="28"/>
          <w:lang w:val="es-ES"/>
        </w:rPr>
        <w:t xml:space="preserve"> de aprendizaje</w:t>
      </w:r>
    </w:p>
    <w:p w14:paraId="23CCFDEC" w14:textId="77777777" w:rsidR="00E52BD9" w:rsidRDefault="00E52BD9" w:rsidP="00CD2173">
      <w:pPr>
        <w:spacing w:after="0"/>
        <w:jc w:val="both"/>
        <w:rPr>
          <w:rFonts w:cs="Arial"/>
          <w:bCs/>
          <w:color w:val="000000" w:themeColor="text1"/>
        </w:rPr>
      </w:pPr>
    </w:p>
    <w:p w14:paraId="0A3613EA" w14:textId="77777777" w:rsidR="00E52BD9" w:rsidRDefault="00E52BD9" w:rsidP="00E52BD9">
      <w:pPr>
        <w:jc w:val="both"/>
        <w:rPr>
          <w:rFonts w:cs="Arial"/>
          <w:bCs/>
          <w:color w:val="000000" w:themeColor="text1"/>
        </w:rPr>
      </w:pPr>
      <w:r w:rsidRPr="00BE3CA5">
        <w:rPr>
          <w:rFonts w:cs="Arial"/>
          <w:bCs/>
          <w:color w:val="000000" w:themeColor="text1"/>
        </w:rPr>
        <w:t>La finalidad del aprendizaje de este curso es que las personas estudiantes manejen las técnicas de investigación bibliográfica, documental y de elaboración y presentación de trabajos académicos, con</w:t>
      </w:r>
      <w:r>
        <w:rPr>
          <w:rFonts w:cs="Arial"/>
          <w:bCs/>
          <w:color w:val="000000" w:themeColor="text1"/>
        </w:rPr>
        <w:t xml:space="preserve"> el</w:t>
      </w:r>
      <w:r w:rsidRPr="00BE3CA5">
        <w:rPr>
          <w:rFonts w:cs="Arial"/>
          <w:bCs/>
          <w:color w:val="000000" w:themeColor="text1"/>
        </w:rPr>
        <w:t xml:space="preserve"> propósito de que aumente su capacidad de calidad y presentación de los trabajos de las diferentes asignaturas que deben cursar.</w:t>
      </w:r>
    </w:p>
    <w:p w14:paraId="57A6AEEE" w14:textId="77777777" w:rsidR="00E52BD9" w:rsidRDefault="00E52BD9" w:rsidP="00CD2173">
      <w:pPr>
        <w:spacing w:after="0"/>
        <w:jc w:val="both"/>
        <w:rPr>
          <w:rFonts w:cs="Arial"/>
          <w:bCs/>
          <w:color w:val="000000" w:themeColor="text1"/>
        </w:rPr>
      </w:pPr>
    </w:p>
    <w:p w14:paraId="3091BFC5" w14:textId="77777777" w:rsidR="00E52BD9" w:rsidRPr="008B4036" w:rsidRDefault="00E52BD9" w:rsidP="00E52BD9">
      <w:pPr>
        <w:jc w:val="both"/>
        <w:rPr>
          <w:rFonts w:cs="Arial"/>
          <w:bCs/>
          <w:color w:val="000000" w:themeColor="text1"/>
        </w:rPr>
      </w:pPr>
      <w:r>
        <w:rPr>
          <w:rFonts w:cs="Arial"/>
          <w:bCs/>
          <w:color w:val="000000" w:themeColor="text1"/>
        </w:rPr>
        <w:t>Se utilizan las siguientes estrategias de aprendizaje:</w:t>
      </w:r>
    </w:p>
    <w:p w14:paraId="6276C434" w14:textId="77777777" w:rsidR="00E52BD9" w:rsidRDefault="00E52BD9" w:rsidP="00E52BD9">
      <w:pPr>
        <w:jc w:val="both"/>
        <w:rPr>
          <w:rFonts w:cs="Arial"/>
          <w:b/>
          <w:color w:val="000000" w:themeColor="text1"/>
        </w:rPr>
      </w:pPr>
    </w:p>
    <w:p w14:paraId="0151DE5A" w14:textId="77777777" w:rsidR="00E52BD9" w:rsidRPr="003F6B08" w:rsidRDefault="00E52BD9" w:rsidP="00E52BD9">
      <w:pPr>
        <w:jc w:val="both"/>
        <w:rPr>
          <w:rFonts w:cs="Arial"/>
          <w:bCs/>
          <w:color w:val="000000" w:themeColor="text1"/>
        </w:rPr>
      </w:pPr>
      <w:r>
        <w:rPr>
          <w:rFonts w:cs="Arial"/>
          <w:b/>
          <w:color w:val="000000" w:themeColor="text1"/>
        </w:rPr>
        <w:lastRenderedPageBreak/>
        <w:t>a) Foro:</w:t>
      </w:r>
      <w:r>
        <w:rPr>
          <w:rFonts w:cs="Arial"/>
          <w:bCs/>
          <w:color w:val="000000" w:themeColor="text1"/>
        </w:rPr>
        <w:t xml:space="preserve"> </w:t>
      </w:r>
      <w:bookmarkStart w:id="16" w:name="_Hlk118961701"/>
      <w:r w:rsidRPr="005E0406">
        <w:rPr>
          <w:rFonts w:ascii="Calibri" w:eastAsia="Calibri" w:hAnsi="Calibri" w:cs="Calibri"/>
          <w:bCs/>
        </w:rPr>
        <w:t xml:space="preserve">Un foro es una herramienta virtual asincrónica que constituye un escenario virtual de debate sobre un tema particular, que permite el intercambio de los aportes propios con la réplica a los aportes de otras personas compañeras. En este curso se desarrollan </w:t>
      </w:r>
      <w:bookmarkEnd w:id="16"/>
      <w:r w:rsidRPr="005E0406">
        <w:rPr>
          <w:rFonts w:ascii="Calibri" w:eastAsia="Calibri" w:hAnsi="Calibri" w:cs="Calibri"/>
          <w:bCs/>
        </w:rPr>
        <w:t xml:space="preserve">con el fin de abordar temas tales como: </w:t>
      </w:r>
      <w:r>
        <w:rPr>
          <w:rFonts w:ascii="Calibri" w:eastAsia="Calibri" w:hAnsi="Calibri" w:cs="Calibri"/>
          <w:bCs/>
        </w:rPr>
        <w:t>i</w:t>
      </w:r>
      <w:r w:rsidRPr="005E0406">
        <w:rPr>
          <w:rFonts w:ascii="Calibri" w:eastAsia="Calibri" w:hAnsi="Calibri" w:cs="Calibri"/>
          <w:bCs/>
        </w:rPr>
        <w:t xml:space="preserve">nvestigación y esperanza, comunicación escrita e investigación, diseño de los objetivos, </w:t>
      </w:r>
      <w:r w:rsidRPr="005E0406">
        <w:rPr>
          <w:rFonts w:ascii="Calibri" w:eastAsia="Calibri" w:hAnsi="Calibri" w:cs="Calibri"/>
          <w:bCs/>
          <w:lang w:val="es-ES"/>
        </w:rPr>
        <w:t xml:space="preserve">importancia del marco teórico </w:t>
      </w:r>
      <w:r w:rsidRPr="003F6B08">
        <w:rPr>
          <w:rFonts w:ascii="Calibri" w:eastAsia="Calibri" w:hAnsi="Calibri" w:cs="Calibri"/>
          <w:bCs/>
          <w:lang w:val="es-ES"/>
        </w:rPr>
        <w:t>y por último, l</w:t>
      </w:r>
      <w:r w:rsidRPr="003F6B08">
        <w:rPr>
          <w:rFonts w:cs="Arial"/>
          <w:lang w:val="es-ES"/>
        </w:rPr>
        <w:t>a redacción final.</w:t>
      </w:r>
    </w:p>
    <w:p w14:paraId="753FCC7F" w14:textId="77777777" w:rsidR="00E52BD9" w:rsidRDefault="00E52BD9" w:rsidP="00E52BD9">
      <w:pPr>
        <w:jc w:val="both"/>
        <w:rPr>
          <w:rFonts w:cs="Arial"/>
        </w:rPr>
      </w:pPr>
      <w:r>
        <w:rPr>
          <w:rFonts w:cs="Arial"/>
          <w:b/>
          <w:color w:val="000000" w:themeColor="text1"/>
        </w:rPr>
        <w:t xml:space="preserve">b) Entrevista a un/a bibliotecario/a: </w:t>
      </w:r>
      <w:r w:rsidRPr="008C115D">
        <w:rPr>
          <w:rFonts w:cs="Arial"/>
        </w:rPr>
        <w:t>Una entrevista es una conversación</w:t>
      </w:r>
      <w:r>
        <w:rPr>
          <w:rFonts w:cs="Arial"/>
        </w:rPr>
        <w:t>,</w:t>
      </w:r>
      <w:r w:rsidRPr="008C115D">
        <w:rPr>
          <w:rFonts w:cs="Arial"/>
        </w:rPr>
        <w:t xml:space="preserve"> en este caso oral</w:t>
      </w:r>
      <w:r>
        <w:rPr>
          <w:rFonts w:cs="Arial"/>
        </w:rPr>
        <w:t>,</w:t>
      </w:r>
      <w:r w:rsidRPr="008C115D">
        <w:rPr>
          <w:rFonts w:cs="Arial"/>
        </w:rPr>
        <w:t xml:space="preserve"> entre la persona estudiante y una persona bibliotecaria. Se trata de un profesional que ayuda en los procesos de investigación. De preferencia, debe ser bibliotecólogo/a en una institución universitaria. La conversación es estructurada según una guía que se facilita, y puede </w:t>
      </w:r>
      <w:r>
        <w:rPr>
          <w:rFonts w:cs="Arial"/>
        </w:rPr>
        <w:t>realizarse</w:t>
      </w:r>
      <w:r w:rsidRPr="008C115D">
        <w:rPr>
          <w:rFonts w:cs="Arial"/>
        </w:rPr>
        <w:t xml:space="preserve"> presencial</w:t>
      </w:r>
      <w:r>
        <w:rPr>
          <w:rFonts w:cs="Arial"/>
        </w:rPr>
        <w:t>mente</w:t>
      </w:r>
      <w:r w:rsidRPr="008C115D">
        <w:rPr>
          <w:rFonts w:cs="Arial"/>
        </w:rPr>
        <w:t xml:space="preserve"> </w:t>
      </w:r>
      <w:r>
        <w:rPr>
          <w:rFonts w:cs="Arial"/>
        </w:rPr>
        <w:t>o</w:t>
      </w:r>
      <w:r w:rsidRPr="008C115D">
        <w:rPr>
          <w:rFonts w:cs="Arial"/>
        </w:rPr>
        <w:t xml:space="preserve"> vía remota. Se deben transcribir las respuestas de la persona entrevistada.</w:t>
      </w:r>
    </w:p>
    <w:p w14:paraId="12106142" w14:textId="77777777" w:rsidR="00E52BD9" w:rsidRPr="00255928" w:rsidRDefault="00E52BD9" w:rsidP="00E52BD9">
      <w:pPr>
        <w:jc w:val="both"/>
        <w:rPr>
          <w:rFonts w:cs="Arial"/>
        </w:rPr>
      </w:pPr>
      <w:r w:rsidRPr="009B3DCC">
        <w:rPr>
          <w:rFonts w:cs="Arial"/>
          <w:b/>
          <w:bCs/>
          <w:u w:val="single"/>
        </w:rPr>
        <w:t>Tareas parciales:</w:t>
      </w:r>
      <w:r>
        <w:rPr>
          <w:rFonts w:cs="Arial"/>
          <w:b/>
          <w:bCs/>
        </w:rPr>
        <w:t xml:space="preserve"> </w:t>
      </w:r>
      <w:r>
        <w:rPr>
          <w:rFonts w:cs="Arial"/>
        </w:rPr>
        <w:t>Las tareas parciales en este curso se desarrollan en sesiones específicas y contribuyen a la realización progresiva de un producto final como lo es, en este caso, el diseño de una investigación. Es decir, todas estas tareas contribuyen a lo largo del curso en la elaboración dosificada del diseño. Dichas tareas son las siguientes:</w:t>
      </w:r>
    </w:p>
    <w:p w14:paraId="71C05D1D" w14:textId="77777777" w:rsidR="00E52BD9" w:rsidRDefault="00E52BD9" w:rsidP="00E52BD9">
      <w:pPr>
        <w:ind w:left="708"/>
        <w:jc w:val="both"/>
        <w:rPr>
          <w:rFonts w:cs="Arial"/>
          <w:bCs/>
          <w:color w:val="000000" w:themeColor="text1"/>
        </w:rPr>
      </w:pPr>
      <w:r>
        <w:rPr>
          <w:rFonts w:cs="Arial"/>
          <w:b/>
          <w:color w:val="000000" w:themeColor="text1"/>
        </w:rPr>
        <w:t xml:space="preserve">c) Reseña crítica de lectura: </w:t>
      </w:r>
      <w:r w:rsidRPr="00FC1520">
        <w:rPr>
          <w:rFonts w:cs="Arial"/>
          <w:bCs/>
          <w:color w:val="000000" w:themeColor="text1"/>
        </w:rPr>
        <w:t>Se espera que las personas estudiantes obtengan conceptos fundamentales referidos al proceso de investigación</w:t>
      </w:r>
      <w:r>
        <w:rPr>
          <w:rFonts w:cs="Arial"/>
          <w:bCs/>
          <w:color w:val="000000" w:themeColor="text1"/>
        </w:rPr>
        <w:t>, p</w:t>
      </w:r>
      <w:r w:rsidRPr="00FC1520">
        <w:rPr>
          <w:rFonts w:cs="Arial"/>
          <w:bCs/>
          <w:color w:val="000000" w:themeColor="text1"/>
        </w:rPr>
        <w:t xml:space="preserve">or lo que se les solicita la tarea de realizar una reseña crítica de las lecturas. </w:t>
      </w:r>
      <w:r>
        <w:rPr>
          <w:rFonts w:cs="Arial"/>
          <w:bCs/>
          <w:color w:val="000000" w:themeColor="text1"/>
        </w:rPr>
        <w:t xml:space="preserve">Esta </w:t>
      </w:r>
      <w:r w:rsidRPr="00FC1520">
        <w:rPr>
          <w:rFonts w:cs="Arial"/>
          <w:bCs/>
          <w:color w:val="000000" w:themeColor="text1"/>
        </w:rPr>
        <w:t>es un resumen argumentativo y analítico de las ideas expresadas en un documento literario. Se compone de tres partes claramente definidas: el resumen de las principales ideas de las personas autoras de la lectura analizada, el análisis y la contextualización.</w:t>
      </w:r>
    </w:p>
    <w:p w14:paraId="37BA298E" w14:textId="77777777" w:rsidR="00E52BD9" w:rsidRDefault="00E52BD9" w:rsidP="00E52BD9">
      <w:pPr>
        <w:ind w:left="708"/>
        <w:jc w:val="both"/>
        <w:rPr>
          <w:rFonts w:cs="Arial"/>
          <w:bCs/>
        </w:rPr>
      </w:pPr>
      <w:r>
        <w:rPr>
          <w:rFonts w:cs="Arial"/>
          <w:b/>
          <w:color w:val="000000" w:themeColor="text1"/>
        </w:rPr>
        <w:t>d) Delimitación del tema y la pregunta de investigación:</w:t>
      </w:r>
      <w:r w:rsidRPr="00FC1520">
        <w:rPr>
          <w:rFonts w:cs="Arial"/>
          <w:b/>
          <w:color w:val="000000" w:themeColor="text1"/>
        </w:rPr>
        <w:t xml:space="preserve"> </w:t>
      </w:r>
      <w:r w:rsidRPr="007F7185">
        <w:rPr>
          <w:rFonts w:cs="Arial"/>
          <w:bCs/>
        </w:rPr>
        <w:t>En el diseño de una investigación la delimitación del tema con criterios de espacio, tiempo, grupo etario y contenido de</w:t>
      </w:r>
      <w:r>
        <w:rPr>
          <w:rFonts w:cs="Arial"/>
          <w:bCs/>
        </w:rPr>
        <w:t xml:space="preserve"> esta</w:t>
      </w:r>
      <w:r w:rsidRPr="007F7185">
        <w:rPr>
          <w:rFonts w:cs="Arial"/>
          <w:bCs/>
        </w:rPr>
        <w:t xml:space="preserve"> es de suma importancia. A raíz de dicha delimitación se formula la pregunta de investigación que tiene el carácter de guiar todo el estudio que se plantea. Sirve, además, para elaborar </w:t>
      </w:r>
      <w:r>
        <w:rPr>
          <w:rFonts w:cs="Arial"/>
          <w:bCs/>
        </w:rPr>
        <w:t>el</w:t>
      </w:r>
      <w:r w:rsidRPr="007F7185">
        <w:rPr>
          <w:rFonts w:cs="Arial"/>
          <w:bCs/>
        </w:rPr>
        <w:t xml:space="preserve"> objetivo general y</w:t>
      </w:r>
      <w:r>
        <w:rPr>
          <w:rFonts w:cs="Arial"/>
          <w:bCs/>
        </w:rPr>
        <w:t xml:space="preserve"> los</w:t>
      </w:r>
      <w:r w:rsidRPr="007F7185">
        <w:rPr>
          <w:rFonts w:cs="Arial"/>
          <w:bCs/>
        </w:rPr>
        <w:t xml:space="preserve"> específicos.</w:t>
      </w:r>
    </w:p>
    <w:p w14:paraId="4C62FD1A" w14:textId="77777777" w:rsidR="00E52BD9" w:rsidRDefault="00E52BD9" w:rsidP="00E52BD9">
      <w:pPr>
        <w:ind w:left="708"/>
        <w:jc w:val="both"/>
        <w:rPr>
          <w:rFonts w:cs="Arial"/>
          <w:bCs/>
        </w:rPr>
      </w:pPr>
      <w:r>
        <w:rPr>
          <w:rFonts w:cs="Arial"/>
          <w:b/>
        </w:rPr>
        <w:t xml:space="preserve">e) Objetivo general y objetivos específicos: </w:t>
      </w:r>
      <w:r w:rsidRPr="003E7AFB">
        <w:rPr>
          <w:rFonts w:cs="Arial"/>
          <w:bCs/>
        </w:rPr>
        <w:t xml:space="preserve">El planteamiento del objetivo general de una investigación es un elemento central en un diseño. Surge de convertir la pregunta de investigación en propósito general (objetivo general). Ese objetivo contiene dimensiones u otras preguntas de investigación de las que surgen los objetivos específicos. Este trabajo se desarrolla </w:t>
      </w:r>
      <w:r>
        <w:rPr>
          <w:rFonts w:cs="Arial"/>
          <w:bCs/>
        </w:rPr>
        <w:t>como parte contributiva del diseño de una investigación.</w:t>
      </w:r>
    </w:p>
    <w:p w14:paraId="3E7BC505" w14:textId="77777777" w:rsidR="00E52BD9" w:rsidRDefault="00E52BD9" w:rsidP="00E52BD9">
      <w:pPr>
        <w:ind w:left="708"/>
        <w:jc w:val="both"/>
        <w:rPr>
          <w:rFonts w:cs="Arial"/>
          <w:bCs/>
        </w:rPr>
      </w:pPr>
      <w:r>
        <w:rPr>
          <w:rFonts w:cs="Arial"/>
          <w:b/>
        </w:rPr>
        <w:t xml:space="preserve">f) Matriz del marco teórico: </w:t>
      </w:r>
      <w:r w:rsidRPr="003E41BA">
        <w:rPr>
          <w:rFonts w:cs="Arial"/>
          <w:bCs/>
        </w:rPr>
        <w:t>Una matriz es una tabla en la que se colocan en forma horizontal y vertical elementos que están interconectados. La matriz es una forma gráfica de ver la coherencia interna entre dichos elementos. En este caso, la matriz contiene el tema, problema, objetivo</w:t>
      </w:r>
      <w:r>
        <w:rPr>
          <w:rFonts w:cs="Arial"/>
          <w:bCs/>
        </w:rPr>
        <w:t xml:space="preserve"> general</w:t>
      </w:r>
      <w:r w:rsidRPr="003E41BA">
        <w:rPr>
          <w:rFonts w:cs="Arial"/>
          <w:bCs/>
        </w:rPr>
        <w:t xml:space="preserve"> y específicos de los que salen las grandes categorías y subcategorías de análisis, y a su vez, los grandes temas y subtemas de un posible marco teórico. </w:t>
      </w:r>
    </w:p>
    <w:p w14:paraId="5CA51523" w14:textId="77777777" w:rsidR="00E52BD9" w:rsidRDefault="00E52BD9" w:rsidP="00E52BD9">
      <w:pPr>
        <w:ind w:left="708"/>
        <w:jc w:val="both"/>
        <w:rPr>
          <w:rFonts w:cs="Arial"/>
          <w:bCs/>
        </w:rPr>
      </w:pPr>
      <w:r>
        <w:rPr>
          <w:rFonts w:cs="Arial"/>
          <w:b/>
        </w:rPr>
        <w:t xml:space="preserve">g) Justificación de la investigación: </w:t>
      </w:r>
      <w:r w:rsidRPr="002834B2">
        <w:rPr>
          <w:rFonts w:cs="Arial"/>
          <w:bCs/>
        </w:rPr>
        <w:t>Justificar una investigación es dar razón de esta al nivel metodológico, teórico, práctico y de relevancia y pertinencia social</w:t>
      </w:r>
      <w:r>
        <w:rPr>
          <w:rFonts w:cs="Arial"/>
          <w:bCs/>
        </w:rPr>
        <w:t>,</w:t>
      </w:r>
      <w:r w:rsidRPr="002834B2">
        <w:rPr>
          <w:rFonts w:cs="Arial"/>
          <w:bCs/>
        </w:rPr>
        <w:t xml:space="preserve"> entre otras. Además</w:t>
      </w:r>
      <w:r>
        <w:rPr>
          <w:rFonts w:cs="Arial"/>
          <w:bCs/>
        </w:rPr>
        <w:t xml:space="preserve">, </w:t>
      </w:r>
      <w:r w:rsidRPr="002834B2">
        <w:rPr>
          <w:rFonts w:cs="Arial"/>
          <w:bCs/>
        </w:rPr>
        <w:t xml:space="preserve">la motivación de la persona investigadora para elegir dicho tema es otra razón más. </w:t>
      </w:r>
    </w:p>
    <w:p w14:paraId="4428B80E" w14:textId="77777777" w:rsidR="00E52BD9" w:rsidRDefault="00E52BD9" w:rsidP="00E52BD9">
      <w:pPr>
        <w:jc w:val="both"/>
        <w:rPr>
          <w:rFonts w:cs="Arial"/>
          <w:bCs/>
        </w:rPr>
      </w:pPr>
    </w:p>
    <w:p w14:paraId="6929D0D8" w14:textId="77777777" w:rsidR="00E52BD9" w:rsidRDefault="00E52BD9" w:rsidP="00E52BD9">
      <w:pPr>
        <w:ind w:left="708"/>
        <w:jc w:val="both"/>
        <w:rPr>
          <w:rFonts w:cs="Arial"/>
          <w:bCs/>
        </w:rPr>
      </w:pPr>
      <w:r>
        <w:rPr>
          <w:rFonts w:cs="Arial"/>
          <w:b/>
        </w:rPr>
        <w:lastRenderedPageBreak/>
        <w:t xml:space="preserve">h) Metodología de la investigación: </w:t>
      </w:r>
      <w:r w:rsidRPr="00F83362">
        <w:rPr>
          <w:rFonts w:cs="Arial"/>
          <w:bCs/>
        </w:rPr>
        <w:t>El marco metodológico de toda propuesta de investigación da respuesta a la pregunta</w:t>
      </w:r>
      <w:r>
        <w:rPr>
          <w:rFonts w:cs="Arial"/>
          <w:bCs/>
        </w:rPr>
        <w:t>:</w:t>
      </w:r>
      <w:r w:rsidRPr="00F83362">
        <w:rPr>
          <w:rFonts w:cs="Arial"/>
          <w:bCs/>
        </w:rPr>
        <w:t xml:space="preserve"> ¿</w:t>
      </w:r>
      <w:r>
        <w:rPr>
          <w:rFonts w:cs="Arial"/>
          <w:bCs/>
        </w:rPr>
        <w:t>c</w:t>
      </w:r>
      <w:r w:rsidRPr="00F83362">
        <w:rPr>
          <w:rFonts w:cs="Arial"/>
          <w:bCs/>
        </w:rPr>
        <w:t xml:space="preserve">ómo </w:t>
      </w:r>
      <w:r>
        <w:rPr>
          <w:rFonts w:cs="Arial"/>
          <w:bCs/>
        </w:rPr>
        <w:t>s</w:t>
      </w:r>
      <w:r w:rsidRPr="00F83362">
        <w:rPr>
          <w:rFonts w:cs="Arial"/>
          <w:bCs/>
        </w:rPr>
        <w:t>e llevará a cabo la investigación</w:t>
      </w:r>
      <w:r>
        <w:rPr>
          <w:rFonts w:cs="Arial"/>
          <w:bCs/>
        </w:rPr>
        <w:t>?</w:t>
      </w:r>
      <w:r w:rsidRPr="00F83362">
        <w:rPr>
          <w:rFonts w:cs="Arial"/>
          <w:bCs/>
        </w:rPr>
        <w:t xml:space="preserve"> Esto implica una definición epistémica a partir de la cual se abordará el objeto de estudio.</w:t>
      </w:r>
    </w:p>
    <w:p w14:paraId="52038751" w14:textId="2170ED01" w:rsidR="00E52BD9" w:rsidRDefault="00E52BD9" w:rsidP="00E52BD9">
      <w:pPr>
        <w:ind w:left="708"/>
        <w:jc w:val="both"/>
        <w:rPr>
          <w:rFonts w:cs="Arial"/>
          <w:bCs/>
        </w:rPr>
      </w:pPr>
      <w:r>
        <w:rPr>
          <w:rFonts w:cs="Arial"/>
          <w:b/>
        </w:rPr>
        <w:t xml:space="preserve">i) Cronograma tentativo: </w:t>
      </w:r>
      <w:r>
        <w:rPr>
          <w:rFonts w:cs="Arial"/>
          <w:bCs/>
        </w:rPr>
        <w:t>Durante una sesión</w:t>
      </w:r>
      <w:r w:rsidRPr="00CC3514">
        <w:rPr>
          <w:rFonts w:cs="Arial"/>
          <w:bCs/>
        </w:rPr>
        <w:t xml:space="preserve"> se trabaja lo referente a los procesos necesarios para el desarrollo de la investigación y los períodos o tiempos. En una matriz denominada cronograma cada estudiante diseña e</w:t>
      </w:r>
      <w:r>
        <w:rPr>
          <w:rFonts w:cs="Arial"/>
          <w:bCs/>
        </w:rPr>
        <w:t>ste</w:t>
      </w:r>
      <w:r w:rsidRPr="00CC3514">
        <w:rPr>
          <w:rFonts w:cs="Arial"/>
          <w:bCs/>
        </w:rPr>
        <w:t xml:space="preserve"> en forma tentativa (pues puede cam</w:t>
      </w:r>
      <w:r w:rsidR="00CD2173">
        <w:rPr>
          <w:rFonts w:cs="Arial"/>
          <w:bCs/>
        </w:rPr>
        <w:t>in</w:t>
      </w:r>
      <w:r w:rsidRPr="00CC3514">
        <w:rPr>
          <w:rFonts w:cs="Arial"/>
          <w:bCs/>
        </w:rPr>
        <w:t>ar) para su diseño de investigación.</w:t>
      </w:r>
    </w:p>
    <w:p w14:paraId="63DACB56" w14:textId="77777777" w:rsidR="00E52BD9" w:rsidRDefault="00E52BD9" w:rsidP="00E52BD9">
      <w:pPr>
        <w:ind w:left="708"/>
        <w:jc w:val="both"/>
        <w:rPr>
          <w:rFonts w:cs="Arial"/>
          <w:bCs/>
        </w:rPr>
      </w:pPr>
      <w:r>
        <w:rPr>
          <w:rFonts w:cs="Arial"/>
          <w:b/>
        </w:rPr>
        <w:t>j) Citas y referencias:</w:t>
      </w:r>
      <w:r>
        <w:rPr>
          <w:rFonts w:cs="Arial"/>
          <w:bCs/>
        </w:rPr>
        <w:t xml:space="preserve"> Una de las sesiones</w:t>
      </w:r>
      <w:r w:rsidRPr="00EE70D1">
        <w:rPr>
          <w:rFonts w:cs="Arial"/>
          <w:bCs/>
        </w:rPr>
        <w:t xml:space="preserve"> se dedica al aprendizaje o refuerzo del método parentético (autor-fecha) y el método tradicional (cita al pie) en la versión Chicago-Deusto</w:t>
      </w:r>
      <w:r>
        <w:rPr>
          <w:rFonts w:cs="Arial"/>
          <w:bCs/>
        </w:rPr>
        <w:t>,</w:t>
      </w:r>
      <w:r w:rsidRPr="00EE70D1">
        <w:rPr>
          <w:rFonts w:cs="Arial"/>
          <w:bCs/>
        </w:rPr>
        <w:t xml:space="preserve"> que es la oficial en la UBL según acuerdo del Consejo Universitario. </w:t>
      </w:r>
      <w:r>
        <w:rPr>
          <w:rFonts w:cs="Arial"/>
          <w:bCs/>
        </w:rPr>
        <w:t xml:space="preserve">Mediante esta tarea se le </w:t>
      </w:r>
      <w:r w:rsidRPr="00EE70D1">
        <w:rPr>
          <w:rFonts w:cs="Arial"/>
          <w:bCs/>
        </w:rPr>
        <w:t xml:space="preserve">solicita al estudiante elegir una de las dos variantes del método (parentético o tradicional) y realizar ejemplos de citas en el texto y referencias bibliográficas siguiendo el mismo. </w:t>
      </w:r>
      <w:r w:rsidRPr="00CC3514">
        <w:rPr>
          <w:rFonts w:cs="Arial"/>
          <w:bCs/>
        </w:rPr>
        <w:t xml:space="preserve"> </w:t>
      </w:r>
    </w:p>
    <w:p w14:paraId="2A567556" w14:textId="77777777" w:rsidR="00E52BD9" w:rsidRDefault="00E52BD9" w:rsidP="00E52BD9">
      <w:pPr>
        <w:ind w:left="708"/>
        <w:jc w:val="both"/>
        <w:rPr>
          <w:rFonts w:cs="Arial"/>
          <w:bCs/>
        </w:rPr>
      </w:pPr>
      <w:r>
        <w:rPr>
          <w:rFonts w:cs="Arial"/>
          <w:b/>
        </w:rPr>
        <w:t xml:space="preserve">k) Ejemplos de citas: </w:t>
      </w:r>
      <w:r w:rsidRPr="0052611E">
        <w:rPr>
          <w:rFonts w:cs="Arial"/>
          <w:bCs/>
        </w:rPr>
        <w:t>Trabaja</w:t>
      </w:r>
      <w:r>
        <w:rPr>
          <w:rFonts w:cs="Arial"/>
          <w:bCs/>
        </w:rPr>
        <w:t>remos</w:t>
      </w:r>
      <w:r w:rsidRPr="0052611E">
        <w:rPr>
          <w:rFonts w:cs="Arial"/>
          <w:bCs/>
        </w:rPr>
        <w:t xml:space="preserve"> sobre el tipo de citas textuales (corta, larga) o contextuales (de obra). La tarea </w:t>
      </w:r>
      <w:r>
        <w:rPr>
          <w:rFonts w:cs="Arial"/>
          <w:bCs/>
        </w:rPr>
        <w:t>consiste en</w:t>
      </w:r>
      <w:r w:rsidRPr="0052611E">
        <w:rPr>
          <w:rFonts w:cs="Arial"/>
          <w:bCs/>
        </w:rPr>
        <w:t xml:space="preserve"> un ejercicio académico para que la persona estudiante presente ejemplos de los varios tipos de citas.</w:t>
      </w:r>
    </w:p>
    <w:p w14:paraId="1F33E5E9" w14:textId="77777777" w:rsidR="00E52BD9" w:rsidRPr="00E45AD0" w:rsidRDefault="00E52BD9" w:rsidP="00E52BD9">
      <w:pPr>
        <w:ind w:left="708"/>
        <w:jc w:val="both"/>
        <w:rPr>
          <w:rFonts w:cs="Arial"/>
          <w:bCs/>
        </w:rPr>
      </w:pPr>
      <w:r>
        <w:rPr>
          <w:rFonts w:cs="Arial"/>
          <w:b/>
        </w:rPr>
        <w:t xml:space="preserve">l) Introducción y conclusión: </w:t>
      </w:r>
      <w:r w:rsidRPr="00E45AD0">
        <w:rPr>
          <w:rFonts w:cs="Arial"/>
          <w:bCs/>
        </w:rPr>
        <w:t>Tanto la conclusión como la introducción a una investigación son de especial importancia</w:t>
      </w:r>
      <w:r>
        <w:rPr>
          <w:rFonts w:cs="Arial"/>
          <w:bCs/>
        </w:rPr>
        <w:t xml:space="preserve"> y</w:t>
      </w:r>
      <w:r w:rsidRPr="00E45AD0">
        <w:rPr>
          <w:rFonts w:cs="Arial"/>
          <w:bCs/>
        </w:rPr>
        <w:t xml:space="preserve"> deben elaborarse de último</w:t>
      </w:r>
      <w:r>
        <w:rPr>
          <w:rFonts w:cs="Arial"/>
          <w:bCs/>
        </w:rPr>
        <w:t xml:space="preserve">. Durante una sesión </w:t>
      </w:r>
      <w:r w:rsidRPr="00E45AD0">
        <w:rPr>
          <w:rFonts w:cs="Arial"/>
          <w:bCs/>
        </w:rPr>
        <w:t>se solicita la tarea de redactar ambos componentes del diseño de investigación según la guía brindada.</w:t>
      </w:r>
    </w:p>
    <w:p w14:paraId="3BC37A58" w14:textId="77777777" w:rsidR="00E52BD9" w:rsidRPr="004D0396" w:rsidRDefault="00E52BD9" w:rsidP="00E52BD9">
      <w:pPr>
        <w:jc w:val="both"/>
        <w:rPr>
          <w:rFonts w:cs="Arial"/>
          <w:bCs/>
          <w:color w:val="000000" w:themeColor="text1"/>
        </w:rPr>
      </w:pPr>
      <w:r>
        <w:rPr>
          <w:rFonts w:cs="Arial"/>
          <w:b/>
        </w:rPr>
        <w:t>m</w:t>
      </w:r>
      <w:r>
        <w:rPr>
          <w:rFonts w:cs="Arial"/>
          <w:b/>
          <w:color w:val="000000" w:themeColor="text1"/>
        </w:rPr>
        <w:t xml:space="preserve">) Matriz de coherencia metodológica: </w:t>
      </w:r>
      <w:r w:rsidRPr="004D0396">
        <w:rPr>
          <w:rFonts w:eastAsia="Arial" w:cstheme="minorHAnsi"/>
        </w:rPr>
        <w:t>Una matriz de coherencia metodológica es una tabla de suma utilidad que en forma gráfica nos ayuda a valorar la consistencia, coherencia y conexión lógica que debe existir (horizontalidad y verticalidad) entre el título de una investigación, el problema, el objetivo general, los objetivos específicos, los temas para un posible marco teórico proyectado, las categorías y subcategorías de análisis</w:t>
      </w:r>
      <w:r>
        <w:rPr>
          <w:rFonts w:eastAsia="Arial" w:cstheme="minorHAnsi"/>
        </w:rPr>
        <w:t>,</w:t>
      </w:r>
      <w:r w:rsidRPr="004D0396">
        <w:rPr>
          <w:rFonts w:eastAsia="Arial" w:cstheme="minorHAnsi"/>
        </w:rPr>
        <w:t xml:space="preserve"> y/o las variables y sus indicadores.</w:t>
      </w:r>
      <w:r>
        <w:rPr>
          <w:rFonts w:eastAsia="Arial" w:cstheme="minorHAnsi"/>
        </w:rPr>
        <w:t xml:space="preserve"> Dicha tarea también contribuye en el diseño de una investigación que se realiza durante el curso.</w:t>
      </w:r>
    </w:p>
    <w:p w14:paraId="1164C9D4" w14:textId="77777777" w:rsidR="00E52BD9" w:rsidRDefault="00E52BD9" w:rsidP="00E52BD9">
      <w:pPr>
        <w:jc w:val="both"/>
        <w:rPr>
          <w:rFonts w:eastAsia="Arial" w:cstheme="minorHAnsi"/>
        </w:rPr>
      </w:pPr>
      <w:r>
        <w:rPr>
          <w:rFonts w:cs="Arial"/>
          <w:b/>
          <w:color w:val="000000" w:themeColor="text1"/>
        </w:rPr>
        <w:t xml:space="preserve">n) Diseño de una investigación: </w:t>
      </w:r>
      <w:r w:rsidRPr="001E464A">
        <w:rPr>
          <w:rFonts w:eastAsia="Arial" w:cstheme="minorHAnsi"/>
        </w:rPr>
        <w:t>Un diseño de investigación es un documento académico que constituye el anteproyecto, esquema o delineamiento de una investigación de previo a realizarla. Se deben definir elementos tales como el tema, el problema, los objetivos generales y específicos, la justificación, la metodología, el tipo de estudio, el procedimiento de recolección de datos y el procedimiento de análisis de estos</w:t>
      </w:r>
      <w:r>
        <w:rPr>
          <w:rFonts w:eastAsia="Arial" w:cstheme="minorHAnsi"/>
        </w:rPr>
        <w:t>,</w:t>
      </w:r>
      <w:r w:rsidRPr="001E464A">
        <w:rPr>
          <w:rFonts w:eastAsia="Arial" w:cstheme="minorHAnsi"/>
        </w:rPr>
        <w:t xml:space="preserve"> entre otros elementos que se brindan en un</w:t>
      </w:r>
      <w:r>
        <w:rPr>
          <w:rFonts w:eastAsia="Arial" w:cstheme="minorHAnsi"/>
        </w:rPr>
        <w:t xml:space="preserve"> esquema</w:t>
      </w:r>
      <w:r w:rsidRPr="001E464A">
        <w:rPr>
          <w:rFonts w:eastAsia="Arial" w:cstheme="minorHAnsi"/>
        </w:rPr>
        <w:t xml:space="preserve"> para que las personas estudiantes elaboren en este curso </w:t>
      </w:r>
      <w:r>
        <w:rPr>
          <w:rFonts w:eastAsia="Arial" w:cstheme="minorHAnsi"/>
        </w:rPr>
        <w:t>su</w:t>
      </w:r>
      <w:r w:rsidRPr="001E464A">
        <w:rPr>
          <w:rFonts w:eastAsia="Arial" w:cstheme="minorHAnsi"/>
        </w:rPr>
        <w:t xml:space="preserve"> diseño de una investigación.</w:t>
      </w:r>
      <w:r>
        <w:rPr>
          <w:rFonts w:eastAsia="Arial" w:cstheme="minorHAnsi"/>
        </w:rPr>
        <w:t xml:space="preserve"> Con el objetivo de recibir retroalimentación de la persona docente, y así ir mejorando los elementos del diseño, se entregan tres avances antes de entregar la versión final. </w:t>
      </w:r>
    </w:p>
    <w:p w14:paraId="1AC3A647" w14:textId="77777777" w:rsidR="00E52BD9" w:rsidRPr="00EE5A4C" w:rsidRDefault="00E52BD9" w:rsidP="00E52BD9">
      <w:pPr>
        <w:jc w:val="both"/>
        <w:rPr>
          <w:rFonts w:cs="Arial"/>
          <w:bCs/>
          <w:color w:val="000000" w:themeColor="text1"/>
        </w:rPr>
      </w:pPr>
      <w:r>
        <w:rPr>
          <w:rFonts w:cs="Arial"/>
          <w:b/>
          <w:color w:val="000000" w:themeColor="text1"/>
        </w:rPr>
        <w:t>o) Encuentros sincrónicos virtuales:</w:t>
      </w:r>
      <w:r>
        <w:rPr>
          <w:rFonts w:cs="Arial"/>
          <w:bCs/>
          <w:color w:val="000000" w:themeColor="text1"/>
        </w:rPr>
        <w:t xml:space="preserve"> </w:t>
      </w:r>
      <w:r w:rsidRPr="00EE5A4C">
        <w:rPr>
          <w:rFonts w:cs="Arial"/>
          <w:bCs/>
          <w:color w:val="000000" w:themeColor="text1"/>
        </w:rPr>
        <w:t xml:space="preserve">Los encuentros sincrónicos virtuales </w:t>
      </w:r>
      <w:r>
        <w:rPr>
          <w:rFonts w:cs="Arial"/>
          <w:bCs/>
          <w:color w:val="000000" w:themeColor="text1"/>
        </w:rPr>
        <w:t xml:space="preserve">aportan un espacio de diálogo colectivo entre estudiantes y con la persona docente. </w:t>
      </w:r>
      <w:r w:rsidRPr="00EE5A4C">
        <w:rPr>
          <w:rFonts w:cs="Arial"/>
          <w:bCs/>
          <w:color w:val="000000" w:themeColor="text1"/>
        </w:rPr>
        <w:t xml:space="preserve">En este curso dicha actividad </w:t>
      </w:r>
      <w:r>
        <w:rPr>
          <w:rFonts w:cs="Arial"/>
          <w:bCs/>
          <w:color w:val="000000" w:themeColor="text1"/>
        </w:rPr>
        <w:t>t</w:t>
      </w:r>
      <w:r w:rsidRPr="00EE5A4C">
        <w:rPr>
          <w:rFonts w:cs="Arial"/>
          <w:bCs/>
          <w:color w:val="000000" w:themeColor="text1"/>
        </w:rPr>
        <w:t xml:space="preserve">iene un valor formativo y no sumativo. </w:t>
      </w:r>
      <w:r>
        <w:rPr>
          <w:rFonts w:cs="Arial"/>
          <w:bCs/>
          <w:color w:val="000000" w:themeColor="text1"/>
        </w:rPr>
        <w:t xml:space="preserve">En ellos se abordarán </w:t>
      </w:r>
      <w:r w:rsidRPr="00EE5A4C">
        <w:rPr>
          <w:rFonts w:cs="Arial"/>
          <w:bCs/>
          <w:color w:val="000000" w:themeColor="text1"/>
        </w:rPr>
        <w:t xml:space="preserve">temas tales como: </w:t>
      </w:r>
      <w:r>
        <w:rPr>
          <w:rFonts w:cs="Arial"/>
          <w:bCs/>
          <w:color w:val="000000" w:themeColor="text1"/>
        </w:rPr>
        <w:t>l</w:t>
      </w:r>
      <w:r w:rsidRPr="00EE5A4C">
        <w:rPr>
          <w:rFonts w:cs="Arial"/>
          <w:bCs/>
          <w:color w:val="000000" w:themeColor="text1"/>
        </w:rPr>
        <w:t>a investigación bíblico-teológica-pastoral: importancia y aspectos éticos en un método de estudio, el diseño de la investigación, esquema de diseño (componentes), elaboración de un bosquejo de trabajo y la recolección y utilización de datos de investigación.</w:t>
      </w:r>
      <w:r>
        <w:rPr>
          <w:rFonts w:cs="Arial"/>
          <w:bCs/>
          <w:color w:val="000000" w:themeColor="text1"/>
        </w:rPr>
        <w:t xml:space="preserve"> Además, las personas estudiantes podrán presentar sus avances en el proceso de investigación para recibir retroalimentación. </w:t>
      </w:r>
    </w:p>
    <w:p w14:paraId="5ECEAB1D" w14:textId="77777777" w:rsidR="00E52BD9" w:rsidRPr="00AB2651" w:rsidRDefault="00E52BD9" w:rsidP="00E52BD9">
      <w:pPr>
        <w:jc w:val="both"/>
        <w:rPr>
          <w:rFonts w:cs="Arial"/>
          <w:b/>
          <w:color w:val="000000" w:themeColor="text1"/>
        </w:rPr>
      </w:pPr>
    </w:p>
    <w:p w14:paraId="39874FA7" w14:textId="77777777" w:rsidR="00E52BD9" w:rsidRDefault="00E52BD9" w:rsidP="00E52BD9">
      <w:pPr>
        <w:jc w:val="both"/>
        <w:rPr>
          <w:rFonts w:cs="Arial"/>
          <w:bCs/>
          <w:color w:val="000000" w:themeColor="text1"/>
        </w:rPr>
      </w:pPr>
      <w:r w:rsidRPr="00153F83">
        <w:rPr>
          <w:rFonts w:cs="Arial"/>
          <w:bCs/>
          <w:color w:val="000000" w:themeColor="text1"/>
        </w:rPr>
        <w:lastRenderedPageBreak/>
        <w:t>Los y las estudiantes podrán comunicarse con la persona docente a través de la plataforma virtual, o bien el correo electrónico suministrado por esta, y recibirán una respuesta a las consultas realizadas en un tiempo máximo de 48 horas.</w:t>
      </w:r>
    </w:p>
    <w:p w14:paraId="1673CDC4" w14:textId="77777777" w:rsidR="00E52BD9" w:rsidRPr="00EE7E6B" w:rsidRDefault="00E52BD9" w:rsidP="00E52BD9">
      <w:pPr>
        <w:rPr>
          <w:rFonts w:cs="Arial"/>
          <w:b/>
          <w:bCs/>
          <w:color w:val="000000" w:themeColor="text1"/>
        </w:rPr>
      </w:pPr>
      <w:r w:rsidRPr="00EE7E6B">
        <w:rPr>
          <w:rFonts w:cs="Arial"/>
          <w:b/>
          <w:bCs/>
          <w:color w:val="000000" w:themeColor="text1"/>
        </w:rPr>
        <w:t>VII. Recursos didácticos</w:t>
      </w:r>
    </w:p>
    <w:p w14:paraId="4D180496" w14:textId="77777777" w:rsidR="00E52BD9" w:rsidRDefault="00E52BD9" w:rsidP="00E52BD9">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742AB711" w14:textId="77777777"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02D54C87" w14:textId="77777777"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410B35F7" w14:textId="77777777" w:rsidR="00E52BD9" w:rsidRPr="00000B47" w:rsidRDefault="00E52BD9" w:rsidP="00E52BD9">
      <w:pPr>
        <w:jc w:val="both"/>
        <w:rPr>
          <w:rFonts w:cstheme="minorHAnsi"/>
          <w:color w:val="000000" w:themeColor="text1"/>
          <w:lang w:eastAsia="es-ES"/>
        </w:rPr>
      </w:pPr>
      <w:r>
        <w:rPr>
          <w:rFonts w:cstheme="minorHAnsi"/>
          <w:color w:val="000000" w:themeColor="text1"/>
          <w:lang w:val="es-ES" w:eastAsia="es-ES"/>
        </w:rPr>
        <w:t xml:space="preserve">c) Documentos temáticos elaborados por la persona docente en cada una de las sesiones, los cuales acompañan los contenidos temáticos </w:t>
      </w:r>
      <w:r>
        <w:rPr>
          <w:rFonts w:cstheme="minorHAnsi"/>
          <w:color w:val="000000" w:themeColor="text1"/>
          <w:lang w:eastAsia="es-ES"/>
        </w:rPr>
        <w:t>del curso y la realización de las diversas tareas en este.</w:t>
      </w:r>
    </w:p>
    <w:p w14:paraId="43AB735A" w14:textId="77777777"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d)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5FA75AAE" w14:textId="77777777"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y mediante la herramienta Big Blue </w:t>
      </w:r>
      <w:proofErr w:type="spellStart"/>
      <w:r>
        <w:rPr>
          <w:rFonts w:cstheme="minorHAnsi"/>
          <w:color w:val="000000" w:themeColor="text1"/>
          <w:lang w:val="es-ES" w:eastAsia="es-ES"/>
        </w:rPr>
        <w:t>Button</w:t>
      </w:r>
      <w:proofErr w:type="spellEnd"/>
      <w:r>
        <w:rPr>
          <w:rFonts w:cstheme="minorHAnsi"/>
          <w:color w:val="000000" w:themeColor="text1"/>
          <w:lang w:val="es-ES" w:eastAsia="es-ES"/>
        </w:rPr>
        <w:t xml:space="preserve"> en la plataforma Moodle;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a reseña crítica de lectura</w:t>
      </w:r>
      <w:r w:rsidRPr="006014C5">
        <w:rPr>
          <w:rFonts w:cstheme="minorHAnsi"/>
          <w:color w:val="000000" w:themeColor="text1"/>
          <w:lang w:val="es-ES" w:eastAsia="es-ES"/>
        </w:rPr>
        <w:t xml:space="preserve">; así como de </w:t>
      </w:r>
      <w:r>
        <w:rPr>
          <w:rFonts w:cstheme="minorHAnsi"/>
          <w:color w:val="000000" w:themeColor="text1"/>
          <w:lang w:val="es-ES" w:eastAsia="es-ES"/>
        </w:rPr>
        <w:t xml:space="preserve">una </w:t>
      </w:r>
      <w:r w:rsidRPr="006014C5">
        <w:rPr>
          <w:rFonts w:cstheme="minorHAnsi"/>
          <w:color w:val="000000" w:themeColor="text1"/>
          <w:lang w:val="es-ES" w:eastAsia="es-ES"/>
        </w:rPr>
        <w:t>guía para</w:t>
      </w:r>
      <w:r>
        <w:rPr>
          <w:rFonts w:cstheme="minorHAnsi"/>
          <w:color w:val="000000" w:themeColor="text1"/>
          <w:lang w:val="es-ES" w:eastAsia="es-ES"/>
        </w:rPr>
        <w:t xml:space="preserve"> realizar una entrevista a un/a bibliotecario/a y el esquema para el diseño de una investigación,</w:t>
      </w:r>
      <w:r w:rsidRPr="006014C5">
        <w:rPr>
          <w:rFonts w:cstheme="minorHAnsi"/>
          <w:color w:val="000000" w:themeColor="text1"/>
          <w:lang w:val="es-ES" w:eastAsia="es-ES"/>
        </w:rPr>
        <w:t xml:space="preserve"> que se encuentra</w:t>
      </w:r>
      <w:r>
        <w:rPr>
          <w:rFonts w:cstheme="minorHAnsi"/>
          <w:color w:val="000000" w:themeColor="text1"/>
          <w:lang w:val="es-ES" w:eastAsia="es-ES"/>
        </w:rPr>
        <w:t>n</w:t>
      </w:r>
      <w:r w:rsidRPr="006014C5">
        <w:rPr>
          <w:rFonts w:cstheme="minorHAnsi"/>
          <w:color w:val="000000" w:themeColor="text1"/>
          <w:lang w:val="es-ES" w:eastAsia="es-ES"/>
        </w:rPr>
        <w:t xml:space="preserve"> en la sección de actividades de la sesión correspondiente.</w:t>
      </w:r>
    </w:p>
    <w:p w14:paraId="1057A372" w14:textId="77777777"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 xml:space="preserve">f)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w:t>
      </w:r>
      <w:r>
        <w:rPr>
          <w:rFonts w:cstheme="minorHAnsi"/>
          <w:color w:val="000000" w:themeColor="text1"/>
          <w:lang w:val="es-ES" w:eastAsia="es-ES"/>
        </w:rPr>
        <w:t xml:space="preserve"> </w:t>
      </w:r>
      <w:proofErr w:type="spellStart"/>
      <w:r w:rsidRPr="006014C5">
        <w:rPr>
          <w:rFonts w:cstheme="minorHAnsi"/>
          <w:color w:val="000000" w:themeColor="text1"/>
          <w:lang w:val="es-ES" w:eastAsia="es-ES"/>
        </w:rPr>
        <w:t>Strachan</w:t>
      </w:r>
      <w:proofErr w:type="spellEnd"/>
      <w:r w:rsidRPr="006014C5">
        <w:rPr>
          <w:rFonts w:cstheme="minorHAnsi"/>
          <w:color w:val="000000" w:themeColor="text1"/>
          <w:lang w:val="es-ES" w:eastAsia="es-ES"/>
        </w:rPr>
        <w:t xml:space="preserve"> (</w:t>
      </w:r>
      <w:hyperlink r:id="rId107" w:history="1">
        <w:r w:rsidRPr="006014C5">
          <w:rPr>
            <w:rStyle w:val="Hipervnculo"/>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108" w:history="1">
        <w:r w:rsidRPr="006014C5">
          <w:rPr>
            <w:rStyle w:val="Hipervnculo"/>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A través del correo de la biblioteca (</w:t>
      </w:r>
      <w:hyperlink r:id="rId109" w:history="1">
        <w:r w:rsidRPr="000F4298">
          <w:rPr>
            <w:rStyle w:val="Hipervnculo"/>
            <w:rFonts w:cstheme="minorHAnsi"/>
            <w:lang w:val="es-ES" w:eastAsia="es-ES"/>
          </w:rPr>
          <w:t>biblioteca@ubl.ac.cr</w:t>
        </w:r>
      </w:hyperlink>
      <w:r>
        <w:rPr>
          <w:rFonts w:cstheme="minorHAnsi"/>
          <w:color w:val="000000" w:themeColor="text1"/>
          <w:lang w:val="es-ES" w:eastAsia="es-ES"/>
        </w:rPr>
        <w:t xml:space="preserve">) puede solicitar recursos que se encuentren en la colección física. </w:t>
      </w:r>
    </w:p>
    <w:p w14:paraId="068E973A" w14:textId="42E5C476" w:rsidR="00E52BD9" w:rsidRDefault="00E52BD9" w:rsidP="00E52BD9">
      <w:pPr>
        <w:jc w:val="both"/>
        <w:rPr>
          <w:rFonts w:cstheme="minorHAnsi"/>
          <w:color w:val="000000" w:themeColor="text1"/>
          <w:lang w:val="es-ES" w:eastAsia="es-ES"/>
        </w:rPr>
      </w:pPr>
      <w:r>
        <w:rPr>
          <w:rFonts w:cstheme="minorHAnsi"/>
          <w:color w:val="000000" w:themeColor="text1"/>
          <w:lang w:val="es-ES" w:eastAsia="es-ES"/>
        </w:rPr>
        <w:t>g)</w:t>
      </w:r>
      <w:r w:rsidRPr="00821237">
        <w:rPr>
          <w:rFonts w:cstheme="minorHAnsi"/>
          <w:bCs/>
          <w:szCs w:val="24"/>
        </w:rPr>
        <w:t xml:space="preserve"> </w:t>
      </w:r>
      <w:r w:rsidRPr="00821237">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cstheme="minorHAnsi"/>
          <w:bCs/>
        </w:rPr>
        <w:t>Bachillerato en Ciencias Bíblicas</w:t>
      </w:r>
      <w:r w:rsidRPr="00821237">
        <w:rPr>
          <w:rFonts w:cstheme="minorHAnsi"/>
          <w:bCs/>
        </w:rPr>
        <w:t>. Dicho espacio está disponible para todas las personas registradas en el campus virtual y se puede acceder a tra</w:t>
      </w:r>
      <w:r w:rsidR="00CD2173">
        <w:rPr>
          <w:rFonts w:cstheme="minorHAnsi"/>
          <w:bCs/>
        </w:rPr>
        <w:t>v</w:t>
      </w:r>
      <w:r w:rsidRPr="00821237">
        <w:rPr>
          <w:rFonts w:cstheme="minorHAnsi"/>
          <w:bCs/>
        </w:rPr>
        <w:t xml:space="preserve">és del siguiente enlace: </w:t>
      </w:r>
      <w:hyperlink r:id="rId110" w:history="1">
        <w:r w:rsidRPr="00821237">
          <w:rPr>
            <w:rStyle w:val="Hipervnculo"/>
            <w:rFonts w:cstheme="minorHAnsi"/>
            <w:bCs/>
          </w:rPr>
          <w:t>https://campus.ubl.ac.cr/course/index.php?categoryid=186</w:t>
        </w:r>
      </w:hyperlink>
    </w:p>
    <w:p w14:paraId="5BFE0518" w14:textId="08F77FEF" w:rsidR="00E52BD9" w:rsidRPr="00CD2173" w:rsidRDefault="00E52BD9" w:rsidP="00CD2173">
      <w:pPr>
        <w:jc w:val="both"/>
        <w:rPr>
          <w:rFonts w:cs="Arial"/>
          <w:color w:val="000000" w:themeColor="text1"/>
          <w:lang w:val="es-ES" w:eastAsia="es-ES"/>
        </w:rPr>
      </w:pPr>
      <w:r>
        <w:rPr>
          <w:rFonts w:cstheme="minorHAnsi"/>
          <w:color w:val="000000" w:themeColor="text1"/>
          <w:lang w:val="es-ES" w:eastAsia="es-ES"/>
        </w:rPr>
        <w:t>h) Mediante el campus virtual accederá al espacio de soporte técnico, en el cual puede evacuar sus dudas o preguntas frecuentes y al correo electrónico para comunicarse con la persona docente.</w:t>
      </w:r>
    </w:p>
    <w:p w14:paraId="3B164F66" w14:textId="77777777" w:rsidR="00E52BD9" w:rsidRPr="00E03006" w:rsidRDefault="00E52BD9" w:rsidP="00E52BD9">
      <w:pPr>
        <w:jc w:val="both"/>
        <w:rPr>
          <w:rFonts w:cs="Arial"/>
          <w:b/>
          <w:color w:val="000000" w:themeColor="text1"/>
          <w:spacing w:val="-2"/>
          <w:kern w:val="28"/>
          <w:lang w:val="es-ES"/>
        </w:rPr>
      </w:pPr>
      <w:r w:rsidRPr="00E03006">
        <w:rPr>
          <w:rFonts w:cs="Arial"/>
          <w:color w:val="000000" w:themeColor="text1"/>
          <w:lang w:eastAsia="es-ES"/>
        </w:rPr>
        <w:t xml:space="preserve"> </w:t>
      </w:r>
      <w:r w:rsidRPr="00E03006">
        <w:rPr>
          <w:rFonts w:cs="Arial"/>
          <w:b/>
          <w:color w:val="000000" w:themeColor="text1"/>
          <w:spacing w:val="-2"/>
          <w:kern w:val="28"/>
        </w:rPr>
        <w:t xml:space="preserve"> </w:t>
      </w:r>
    </w:p>
    <w:p w14:paraId="61F0C230" w14:textId="77777777" w:rsidR="00E52BD9" w:rsidRDefault="00E52BD9" w:rsidP="00E52BD9">
      <w:pPr>
        <w:rPr>
          <w:rFonts w:cs="Arial"/>
          <w:b/>
          <w:color w:val="000000" w:themeColor="text1"/>
          <w:spacing w:val="-2"/>
          <w:kern w:val="28"/>
          <w:lang w:val="es-ES"/>
        </w:rPr>
      </w:pPr>
      <w:r>
        <w:rPr>
          <w:rFonts w:cs="Arial"/>
          <w:b/>
          <w:color w:val="000000" w:themeColor="text1"/>
          <w:spacing w:val="-2"/>
          <w:kern w:val="28"/>
          <w:lang w:val="es-ES"/>
        </w:rPr>
        <w:br w:type="page"/>
      </w:r>
    </w:p>
    <w:p w14:paraId="6C5685E0" w14:textId="77777777" w:rsidR="00E52BD9" w:rsidRDefault="00E52BD9" w:rsidP="00E52BD9">
      <w:pPr>
        <w:jc w:val="both"/>
        <w:rPr>
          <w:rFonts w:cs="Arial"/>
          <w:b/>
          <w:color w:val="000000" w:themeColor="text1"/>
          <w:spacing w:val="-2"/>
          <w:kern w:val="28"/>
          <w:lang w:val="es-ES"/>
        </w:rPr>
      </w:pPr>
      <w:r w:rsidRPr="00E03006">
        <w:rPr>
          <w:rFonts w:cs="Arial"/>
          <w:b/>
          <w:color w:val="000000" w:themeColor="text1"/>
          <w:spacing w:val="-2"/>
          <w:kern w:val="28"/>
          <w:lang w:val="es-ES"/>
        </w:rPr>
        <w:lastRenderedPageBreak/>
        <w:t>VIII. Cronograma de trabajo</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118"/>
      </w:tblGrid>
      <w:tr w:rsidR="00E52BD9" w:rsidRPr="00D3497C" w14:paraId="445A6C27" w14:textId="77777777" w:rsidTr="00104785">
        <w:trPr>
          <w:trHeight w:val="604"/>
          <w:jc w:val="center"/>
        </w:trPr>
        <w:tc>
          <w:tcPr>
            <w:tcW w:w="1271" w:type="dxa"/>
            <w:vMerge w:val="restart"/>
            <w:vAlign w:val="center"/>
          </w:tcPr>
          <w:p w14:paraId="0B54EBE6" w14:textId="77777777" w:rsidR="00E52BD9" w:rsidRPr="00D3497C" w:rsidRDefault="00E52BD9" w:rsidP="00104785">
            <w:pPr>
              <w:jc w:val="center"/>
              <w:rPr>
                <w:rFonts w:cs="Arial"/>
                <w:b/>
                <w:color w:val="000000" w:themeColor="text1"/>
                <w:szCs w:val="24"/>
              </w:rPr>
            </w:pPr>
            <w:r w:rsidRPr="00D3497C">
              <w:rPr>
                <w:rFonts w:cs="Arial"/>
                <w:b/>
                <w:color w:val="000000" w:themeColor="text1"/>
                <w:szCs w:val="24"/>
              </w:rPr>
              <w:t>Sesión</w:t>
            </w:r>
          </w:p>
          <w:p w14:paraId="53EA8F59" w14:textId="77777777" w:rsidR="00E52BD9" w:rsidRPr="00D3497C" w:rsidRDefault="00E52BD9" w:rsidP="00104785">
            <w:pPr>
              <w:jc w:val="center"/>
              <w:rPr>
                <w:rFonts w:cs="Arial"/>
                <w:b/>
                <w:color w:val="000000" w:themeColor="text1"/>
                <w:sz w:val="16"/>
                <w:szCs w:val="16"/>
              </w:rPr>
            </w:pPr>
            <w:r w:rsidRPr="00D3497C">
              <w:rPr>
                <w:rFonts w:cs="Arial"/>
                <w:b/>
                <w:color w:val="000000" w:themeColor="text1"/>
                <w:szCs w:val="24"/>
              </w:rPr>
              <w:t>(semana)</w:t>
            </w:r>
          </w:p>
        </w:tc>
        <w:tc>
          <w:tcPr>
            <w:tcW w:w="2410" w:type="dxa"/>
            <w:vMerge w:val="restart"/>
            <w:vAlign w:val="center"/>
          </w:tcPr>
          <w:p w14:paraId="688A3D65" w14:textId="77777777" w:rsidR="00E52BD9" w:rsidRPr="00D3497C" w:rsidRDefault="00E52BD9" w:rsidP="00104785">
            <w:pPr>
              <w:jc w:val="center"/>
              <w:rPr>
                <w:rFonts w:cs="Arial"/>
                <w:b/>
                <w:color w:val="000000" w:themeColor="text1"/>
                <w:szCs w:val="24"/>
              </w:rPr>
            </w:pPr>
            <w:r w:rsidRPr="00D3497C">
              <w:rPr>
                <w:rFonts w:cs="Arial"/>
                <w:b/>
                <w:color w:val="000000" w:themeColor="text1"/>
                <w:szCs w:val="24"/>
              </w:rPr>
              <w:t>Contenidos temáticos</w:t>
            </w:r>
          </w:p>
        </w:tc>
        <w:tc>
          <w:tcPr>
            <w:tcW w:w="5953" w:type="dxa"/>
            <w:gridSpan w:val="2"/>
            <w:vAlign w:val="center"/>
          </w:tcPr>
          <w:p w14:paraId="1A623365" w14:textId="77777777" w:rsidR="00E52BD9" w:rsidRPr="00D3497C" w:rsidRDefault="00E52BD9" w:rsidP="00104785">
            <w:pPr>
              <w:jc w:val="center"/>
              <w:rPr>
                <w:rFonts w:cs="Arial"/>
                <w:b/>
                <w:color w:val="000000" w:themeColor="text1"/>
                <w:szCs w:val="24"/>
              </w:rPr>
            </w:pPr>
            <w:r w:rsidRPr="00D3497C">
              <w:rPr>
                <w:rFonts w:cs="Arial"/>
                <w:b/>
                <w:color w:val="000000" w:themeColor="text1"/>
                <w:szCs w:val="24"/>
              </w:rPr>
              <w:t>Actividades de enseñanza-aprendizaje</w:t>
            </w:r>
          </w:p>
        </w:tc>
      </w:tr>
      <w:tr w:rsidR="00E52BD9" w:rsidRPr="00D3497C" w14:paraId="4F8E0F1A" w14:textId="77777777" w:rsidTr="00104785">
        <w:trPr>
          <w:trHeight w:val="556"/>
          <w:jc w:val="center"/>
        </w:trPr>
        <w:tc>
          <w:tcPr>
            <w:tcW w:w="1271" w:type="dxa"/>
            <w:vMerge/>
          </w:tcPr>
          <w:p w14:paraId="5BF3F26D" w14:textId="77777777" w:rsidR="00E52BD9" w:rsidRPr="00D3497C" w:rsidRDefault="00E52BD9" w:rsidP="00104785">
            <w:pPr>
              <w:jc w:val="center"/>
              <w:rPr>
                <w:rFonts w:cs="Arial"/>
                <w:b/>
                <w:color w:val="000000" w:themeColor="text1"/>
              </w:rPr>
            </w:pPr>
          </w:p>
        </w:tc>
        <w:tc>
          <w:tcPr>
            <w:tcW w:w="2410" w:type="dxa"/>
            <w:vMerge/>
          </w:tcPr>
          <w:p w14:paraId="38A82CC5" w14:textId="77777777" w:rsidR="00E52BD9" w:rsidRPr="00D3497C" w:rsidRDefault="00E52BD9" w:rsidP="00104785">
            <w:pPr>
              <w:jc w:val="center"/>
              <w:rPr>
                <w:rFonts w:cs="Arial"/>
                <w:b/>
                <w:color w:val="000000" w:themeColor="text1"/>
              </w:rPr>
            </w:pPr>
          </w:p>
        </w:tc>
        <w:tc>
          <w:tcPr>
            <w:tcW w:w="2835" w:type="dxa"/>
            <w:vAlign w:val="center"/>
          </w:tcPr>
          <w:p w14:paraId="26CA4DFF" w14:textId="77777777" w:rsidR="00E52BD9" w:rsidRPr="00D3497C" w:rsidRDefault="00E52BD9" w:rsidP="00104785">
            <w:pPr>
              <w:jc w:val="center"/>
              <w:rPr>
                <w:rFonts w:cs="Arial"/>
                <w:b/>
                <w:color w:val="000000" w:themeColor="text1"/>
                <w:szCs w:val="24"/>
              </w:rPr>
            </w:pPr>
            <w:r w:rsidRPr="00D3497C">
              <w:rPr>
                <w:rFonts w:cs="Arial"/>
                <w:b/>
                <w:color w:val="000000" w:themeColor="text1"/>
                <w:szCs w:val="24"/>
              </w:rPr>
              <w:t>Recursos didácticos</w:t>
            </w:r>
          </w:p>
        </w:tc>
        <w:tc>
          <w:tcPr>
            <w:tcW w:w="3118" w:type="dxa"/>
            <w:vAlign w:val="center"/>
          </w:tcPr>
          <w:p w14:paraId="3A1EED9A" w14:textId="77777777" w:rsidR="00E52BD9" w:rsidRPr="00D3497C" w:rsidRDefault="00E52BD9" w:rsidP="00104785">
            <w:pPr>
              <w:jc w:val="center"/>
              <w:rPr>
                <w:rFonts w:cs="Arial"/>
                <w:b/>
                <w:color w:val="000000" w:themeColor="text1"/>
                <w:szCs w:val="24"/>
              </w:rPr>
            </w:pPr>
            <w:r w:rsidRPr="00D3497C">
              <w:rPr>
                <w:rFonts w:cs="Arial"/>
                <w:b/>
                <w:color w:val="000000" w:themeColor="text1"/>
                <w:szCs w:val="24"/>
              </w:rPr>
              <w:t>Actividades de aprendizaje</w:t>
            </w:r>
          </w:p>
        </w:tc>
      </w:tr>
      <w:tr w:rsidR="00E52BD9" w:rsidRPr="00D3497C" w14:paraId="68E5A8C3" w14:textId="77777777" w:rsidTr="00104785">
        <w:trPr>
          <w:jc w:val="center"/>
        </w:trPr>
        <w:tc>
          <w:tcPr>
            <w:tcW w:w="1271" w:type="dxa"/>
          </w:tcPr>
          <w:p w14:paraId="17E63057" w14:textId="77777777" w:rsidR="00E52BD9" w:rsidRPr="00D3497C" w:rsidRDefault="00E52BD9" w:rsidP="00104785">
            <w:pPr>
              <w:jc w:val="center"/>
              <w:rPr>
                <w:rFonts w:cs="Arial"/>
                <w:color w:val="000000" w:themeColor="text1"/>
              </w:rPr>
            </w:pPr>
            <w:r w:rsidRPr="00D3497C">
              <w:rPr>
                <w:rFonts w:cs="Arial"/>
                <w:color w:val="000000" w:themeColor="text1"/>
              </w:rPr>
              <w:t xml:space="preserve">1 </w:t>
            </w:r>
          </w:p>
        </w:tc>
        <w:tc>
          <w:tcPr>
            <w:tcW w:w="2410" w:type="dxa"/>
          </w:tcPr>
          <w:p w14:paraId="74D92F8D"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1: </w:t>
            </w:r>
            <w:r w:rsidRPr="00CA707F">
              <w:rPr>
                <w:rFonts w:cs="Arial"/>
                <w:b/>
                <w:color w:val="000000" w:themeColor="text1"/>
              </w:rPr>
              <w:t>La investigación bíblico-teológica-pastoral: importancia y aspectos éticos en un método de estudio</w:t>
            </w:r>
          </w:p>
          <w:p w14:paraId="4B022C08" w14:textId="77777777" w:rsidR="00E52BD9" w:rsidRPr="00D3497C" w:rsidRDefault="00E52BD9" w:rsidP="00104785">
            <w:pPr>
              <w:rPr>
                <w:rFonts w:cs="Arial"/>
                <w:bCs/>
                <w:color w:val="000000" w:themeColor="text1"/>
              </w:rPr>
            </w:pPr>
          </w:p>
          <w:p w14:paraId="2D6019D5" w14:textId="77777777" w:rsidR="00E52BD9" w:rsidRPr="00D3497C" w:rsidRDefault="00E52BD9" w:rsidP="00104785">
            <w:pPr>
              <w:rPr>
                <w:rFonts w:cs="Arial"/>
                <w:color w:val="000000" w:themeColor="text1"/>
              </w:rPr>
            </w:pPr>
            <w:r w:rsidRPr="00D3497C">
              <w:rPr>
                <w:rFonts w:cs="Arial"/>
                <w:color w:val="000000" w:themeColor="text1"/>
              </w:rPr>
              <w:t>1.1 Aspectos introductorios al curso</w:t>
            </w:r>
          </w:p>
          <w:p w14:paraId="5ACBBB92" w14:textId="77777777" w:rsidR="00E52BD9" w:rsidRPr="00D3497C" w:rsidRDefault="00E52BD9" w:rsidP="00104785">
            <w:pPr>
              <w:rPr>
                <w:rFonts w:cs="Arial"/>
                <w:color w:val="000000" w:themeColor="text1"/>
              </w:rPr>
            </w:pPr>
            <w:r w:rsidRPr="00D3497C">
              <w:rPr>
                <w:rFonts w:cs="Arial"/>
                <w:color w:val="000000" w:themeColor="text1"/>
              </w:rPr>
              <w:t>1.2 ¿Qué es investigación?</w:t>
            </w:r>
          </w:p>
          <w:p w14:paraId="54E7BCE9" w14:textId="77777777" w:rsidR="00E52BD9" w:rsidRPr="00D3497C" w:rsidRDefault="00E52BD9" w:rsidP="00104785">
            <w:pPr>
              <w:rPr>
                <w:rFonts w:cs="Arial"/>
                <w:color w:val="000000" w:themeColor="text1"/>
              </w:rPr>
            </w:pPr>
            <w:r w:rsidRPr="00D3497C">
              <w:rPr>
                <w:rFonts w:cs="Arial"/>
                <w:color w:val="000000" w:themeColor="text1"/>
              </w:rPr>
              <w:t>1.3 Aspectos éticos en la investigación teológica</w:t>
            </w:r>
          </w:p>
          <w:p w14:paraId="59470D8F" w14:textId="77777777" w:rsidR="00E52BD9" w:rsidRPr="00D3497C" w:rsidRDefault="00E52BD9" w:rsidP="00104785">
            <w:pPr>
              <w:rPr>
                <w:rFonts w:cs="Arial"/>
                <w:color w:val="000000" w:themeColor="text1"/>
              </w:rPr>
            </w:pPr>
          </w:p>
        </w:tc>
        <w:tc>
          <w:tcPr>
            <w:tcW w:w="2835" w:type="dxa"/>
          </w:tcPr>
          <w:p w14:paraId="15E01BC4" w14:textId="77777777" w:rsidR="00E52BD9" w:rsidRDefault="00E52BD9" w:rsidP="00104785">
            <w:pPr>
              <w:rPr>
                <w:rFonts w:cs="Arial"/>
                <w:color w:val="0070C0"/>
              </w:rPr>
            </w:pPr>
            <w:r>
              <w:rPr>
                <w:rFonts w:cs="Arial"/>
                <w:color w:val="0070C0"/>
              </w:rPr>
              <w:t>Ruta de aprendizaje</w:t>
            </w:r>
          </w:p>
          <w:p w14:paraId="5195E87F" w14:textId="77777777" w:rsidR="00E52BD9" w:rsidRDefault="00E52BD9" w:rsidP="00104785">
            <w:pPr>
              <w:rPr>
                <w:rFonts w:cs="Arial"/>
                <w:color w:val="0070C0"/>
              </w:rPr>
            </w:pPr>
          </w:p>
          <w:p w14:paraId="7F05361C" w14:textId="77777777" w:rsidR="00E52BD9" w:rsidRDefault="00E52BD9" w:rsidP="00104785">
            <w:pPr>
              <w:rPr>
                <w:rFonts w:ascii="Calibri" w:eastAsia="MS Mincho" w:hAnsi="Calibri" w:cs="Arial"/>
                <w:b/>
                <w:bCs/>
                <w:color w:val="0070C0"/>
              </w:rPr>
            </w:pPr>
            <w:r w:rsidRPr="00BE0ACA">
              <w:rPr>
                <w:rFonts w:ascii="Calibri" w:eastAsia="MS Mincho" w:hAnsi="Calibri" w:cs="Arial"/>
                <w:b/>
                <w:bCs/>
                <w:color w:val="0070C0"/>
              </w:rPr>
              <w:t>Material complementario</w:t>
            </w:r>
          </w:p>
          <w:p w14:paraId="05F9D88C" w14:textId="77777777" w:rsidR="00E52BD9" w:rsidRDefault="00E52BD9" w:rsidP="00104785">
            <w:pPr>
              <w:rPr>
                <w:rFonts w:ascii="Calibri" w:eastAsia="MS Mincho" w:hAnsi="Calibri" w:cs="Arial"/>
                <w:b/>
                <w:bCs/>
                <w:color w:val="0070C0"/>
              </w:rPr>
            </w:pPr>
          </w:p>
          <w:p w14:paraId="5CF51673" w14:textId="77777777" w:rsidR="00E52BD9" w:rsidRDefault="00E52BD9" w:rsidP="00104785">
            <w:pPr>
              <w:rPr>
                <w:rFonts w:ascii="Calibri" w:eastAsia="MS Mincho" w:hAnsi="Calibri" w:cs="Arial"/>
                <w:color w:val="0070C0"/>
              </w:rPr>
            </w:pPr>
            <w:r>
              <w:rPr>
                <w:rFonts w:ascii="Calibri" w:eastAsia="MS Mincho" w:hAnsi="Calibri" w:cs="Arial"/>
                <w:color w:val="0070C0"/>
              </w:rPr>
              <w:t>Guía para la participación en un foro en la plataforma Moodle</w:t>
            </w:r>
          </w:p>
          <w:p w14:paraId="416B1E55" w14:textId="77777777" w:rsidR="00E52BD9" w:rsidRDefault="00E52BD9" w:rsidP="00104785">
            <w:pPr>
              <w:rPr>
                <w:rFonts w:ascii="Calibri" w:eastAsia="MS Mincho" w:hAnsi="Calibri" w:cs="Arial"/>
                <w:color w:val="0070C0"/>
              </w:rPr>
            </w:pPr>
          </w:p>
          <w:p w14:paraId="45777394" w14:textId="77777777" w:rsidR="00E52BD9" w:rsidRPr="0042747E" w:rsidRDefault="00E52BD9" w:rsidP="00104785">
            <w:pPr>
              <w:rPr>
                <w:rFonts w:cs="Arial"/>
                <w:color w:val="0070C0"/>
              </w:rPr>
            </w:pPr>
            <w:r>
              <w:rPr>
                <w:rFonts w:ascii="Calibri" w:eastAsia="MS Mincho" w:hAnsi="Calibri" w:cs="Arial"/>
                <w:color w:val="0070C0"/>
              </w:rPr>
              <w:t xml:space="preserve">Guía para la participación mediante la herramienta Big Blue </w:t>
            </w:r>
            <w:proofErr w:type="spellStart"/>
            <w:r>
              <w:rPr>
                <w:rFonts w:ascii="Calibri" w:eastAsia="MS Mincho" w:hAnsi="Calibri" w:cs="Arial"/>
                <w:color w:val="0070C0"/>
              </w:rPr>
              <w:t>Button</w:t>
            </w:r>
            <w:proofErr w:type="spellEnd"/>
            <w:r>
              <w:rPr>
                <w:rFonts w:ascii="Calibri" w:eastAsia="MS Mincho" w:hAnsi="Calibri" w:cs="Arial"/>
                <w:color w:val="0070C0"/>
              </w:rPr>
              <w:t xml:space="preserve"> en la plataforma Moodle</w:t>
            </w:r>
          </w:p>
        </w:tc>
        <w:tc>
          <w:tcPr>
            <w:tcW w:w="3118" w:type="dxa"/>
          </w:tcPr>
          <w:p w14:paraId="1299C04C" w14:textId="77777777" w:rsidR="00E52BD9" w:rsidRPr="00D3497C" w:rsidRDefault="00E52BD9" w:rsidP="00E52BD9">
            <w:pPr>
              <w:pStyle w:val="Prrafodelista"/>
              <w:numPr>
                <w:ilvl w:val="0"/>
                <w:numId w:val="52"/>
              </w:numPr>
              <w:ind w:left="423"/>
              <w:rPr>
                <w:rFonts w:asciiTheme="minorHAnsi" w:hAnsiTheme="minorHAnsi" w:cs="Arial"/>
                <w:color w:val="000000" w:themeColor="text1"/>
              </w:rPr>
            </w:pPr>
            <w:r w:rsidRPr="00D3497C">
              <w:rPr>
                <w:rFonts w:asciiTheme="minorHAnsi" w:hAnsiTheme="minorHAnsi" w:cs="Arial"/>
                <w:color w:val="000000" w:themeColor="text1"/>
              </w:rPr>
              <w:t xml:space="preserve">Participación en el foro social CAFETERÍA. </w:t>
            </w:r>
          </w:p>
          <w:p w14:paraId="2F72DAAF" w14:textId="77777777" w:rsidR="00E52BD9" w:rsidRPr="00D3497C" w:rsidRDefault="00E52BD9" w:rsidP="00E52BD9">
            <w:pPr>
              <w:pStyle w:val="Prrafodelista"/>
              <w:numPr>
                <w:ilvl w:val="0"/>
                <w:numId w:val="52"/>
              </w:numPr>
              <w:ind w:left="423"/>
              <w:rPr>
                <w:rFonts w:asciiTheme="minorHAnsi" w:hAnsiTheme="minorHAnsi" w:cs="Arial"/>
                <w:color w:val="000000" w:themeColor="text1"/>
              </w:rPr>
            </w:pPr>
            <w:r w:rsidRPr="00D3497C">
              <w:rPr>
                <w:rFonts w:asciiTheme="minorHAnsi" w:hAnsiTheme="minorHAnsi" w:cs="Arial"/>
                <w:color w:val="000000" w:themeColor="text1"/>
              </w:rPr>
              <w:t xml:space="preserve">Participación en el foro de dudas. </w:t>
            </w:r>
          </w:p>
          <w:p w14:paraId="643C3274" w14:textId="77777777" w:rsidR="00E52BD9" w:rsidRPr="003E0A9F" w:rsidRDefault="00E52BD9" w:rsidP="00E52BD9">
            <w:pPr>
              <w:pStyle w:val="Prrafodelista"/>
              <w:numPr>
                <w:ilvl w:val="0"/>
                <w:numId w:val="52"/>
              </w:numPr>
              <w:ind w:left="423"/>
              <w:rPr>
                <w:rFonts w:asciiTheme="minorHAnsi" w:hAnsiTheme="minorHAnsi" w:cs="Arial"/>
              </w:rPr>
            </w:pPr>
            <w:r w:rsidRPr="003E0A9F">
              <w:rPr>
                <w:rFonts w:asciiTheme="minorHAnsi" w:hAnsiTheme="minorHAnsi" w:cs="Arial"/>
              </w:rPr>
              <w:t>Presentación del curso, sílabo y actividades en un encuentro sincrónico virtual (formativo).</w:t>
            </w:r>
          </w:p>
          <w:p w14:paraId="746885E5" w14:textId="77777777" w:rsidR="00E52BD9" w:rsidRPr="00D3497C" w:rsidRDefault="00E52BD9" w:rsidP="00E52BD9">
            <w:pPr>
              <w:pStyle w:val="Prrafodelista"/>
              <w:numPr>
                <w:ilvl w:val="0"/>
                <w:numId w:val="52"/>
              </w:numPr>
              <w:ind w:left="423"/>
              <w:rPr>
                <w:rFonts w:asciiTheme="minorHAnsi" w:hAnsiTheme="minorHAnsi" w:cs="Arial"/>
                <w:color w:val="000000" w:themeColor="text1"/>
              </w:rPr>
            </w:pPr>
            <w:r w:rsidRPr="00D3497C">
              <w:rPr>
                <w:rFonts w:asciiTheme="minorHAnsi" w:hAnsiTheme="minorHAnsi" w:cs="Arial"/>
                <w:color w:val="000000" w:themeColor="text1"/>
              </w:rPr>
              <w:t>Participación en el foro temático: Investigación y esperanza.</w:t>
            </w:r>
          </w:p>
        </w:tc>
      </w:tr>
      <w:tr w:rsidR="00E52BD9" w:rsidRPr="00D3497C" w14:paraId="657840D4" w14:textId="77777777" w:rsidTr="00104785">
        <w:trPr>
          <w:jc w:val="center"/>
        </w:trPr>
        <w:tc>
          <w:tcPr>
            <w:tcW w:w="1271" w:type="dxa"/>
          </w:tcPr>
          <w:p w14:paraId="4D88235F" w14:textId="77777777" w:rsidR="00E52BD9" w:rsidRPr="00D3497C" w:rsidRDefault="00E52BD9" w:rsidP="00104785">
            <w:pPr>
              <w:jc w:val="center"/>
              <w:rPr>
                <w:rFonts w:cs="Arial"/>
                <w:color w:val="000000" w:themeColor="text1"/>
              </w:rPr>
            </w:pPr>
            <w:r w:rsidRPr="00D3497C">
              <w:rPr>
                <w:rFonts w:cs="Arial"/>
                <w:color w:val="000000" w:themeColor="text1"/>
              </w:rPr>
              <w:t>2</w:t>
            </w:r>
          </w:p>
        </w:tc>
        <w:tc>
          <w:tcPr>
            <w:tcW w:w="2410" w:type="dxa"/>
          </w:tcPr>
          <w:p w14:paraId="7AC1C7E1"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2: </w:t>
            </w:r>
            <w:r w:rsidRPr="00CA707F">
              <w:rPr>
                <w:rFonts w:cs="Arial"/>
                <w:b/>
                <w:color w:val="000000" w:themeColor="text1"/>
              </w:rPr>
              <w:t>El estilo académico de comunicación escrita</w:t>
            </w:r>
          </w:p>
          <w:p w14:paraId="771DF0CE" w14:textId="77777777" w:rsidR="00E52BD9" w:rsidRPr="00D3497C" w:rsidRDefault="00E52BD9" w:rsidP="00104785">
            <w:pPr>
              <w:rPr>
                <w:rFonts w:cs="Arial"/>
                <w:bCs/>
                <w:color w:val="000000" w:themeColor="text1"/>
              </w:rPr>
            </w:pPr>
          </w:p>
          <w:p w14:paraId="52AC0898" w14:textId="77777777" w:rsidR="00E52BD9" w:rsidRPr="00D3497C" w:rsidRDefault="00E52BD9" w:rsidP="00104785">
            <w:pPr>
              <w:rPr>
                <w:rFonts w:cs="Arial"/>
                <w:color w:val="000000" w:themeColor="text1"/>
              </w:rPr>
            </w:pPr>
            <w:r w:rsidRPr="00D3497C">
              <w:rPr>
                <w:rFonts w:cs="Arial"/>
                <w:color w:val="000000" w:themeColor="text1"/>
              </w:rPr>
              <w:t>2.1 Características de la comunicación escrita académica</w:t>
            </w:r>
          </w:p>
          <w:p w14:paraId="2CD28F81" w14:textId="77777777" w:rsidR="00E52BD9" w:rsidRPr="00D3497C" w:rsidRDefault="00E52BD9" w:rsidP="00104785">
            <w:pPr>
              <w:rPr>
                <w:rFonts w:cs="Arial"/>
                <w:color w:val="000000" w:themeColor="text1"/>
              </w:rPr>
            </w:pPr>
            <w:r w:rsidRPr="00D3497C">
              <w:rPr>
                <w:rFonts w:cs="Arial"/>
                <w:color w:val="000000" w:themeColor="text1"/>
              </w:rPr>
              <w:t>2.2 La estructuración de párrafos</w:t>
            </w:r>
          </w:p>
          <w:p w14:paraId="24D80B00" w14:textId="77777777" w:rsidR="00E52BD9" w:rsidRPr="00D3497C" w:rsidRDefault="00E52BD9" w:rsidP="00104785">
            <w:pPr>
              <w:rPr>
                <w:rFonts w:eastAsia="MS Mincho" w:cs="Arial"/>
                <w:color w:val="000000" w:themeColor="text1"/>
              </w:rPr>
            </w:pPr>
            <w:r w:rsidRPr="00D3497C">
              <w:rPr>
                <w:rFonts w:cs="Arial"/>
                <w:color w:val="000000" w:themeColor="text1"/>
              </w:rPr>
              <w:t>2.3 Ejercicios</w:t>
            </w:r>
          </w:p>
          <w:p w14:paraId="0F2ACF40" w14:textId="77777777" w:rsidR="00E52BD9" w:rsidRPr="00D3497C" w:rsidRDefault="00E52BD9" w:rsidP="00104785">
            <w:pPr>
              <w:pStyle w:val="Normalcontenido"/>
              <w:ind w:left="0" w:firstLine="0"/>
              <w:rPr>
                <w:rFonts w:asciiTheme="minorHAnsi" w:hAnsiTheme="minorHAnsi" w:cs="Arial"/>
                <w:color w:val="000000" w:themeColor="text1"/>
                <w:sz w:val="22"/>
                <w:szCs w:val="22"/>
              </w:rPr>
            </w:pPr>
          </w:p>
        </w:tc>
        <w:tc>
          <w:tcPr>
            <w:tcW w:w="2835" w:type="dxa"/>
          </w:tcPr>
          <w:p w14:paraId="785D9254" w14:textId="77777777" w:rsidR="00E52BD9" w:rsidRDefault="00E52BD9" w:rsidP="00104785">
            <w:pPr>
              <w:suppressAutoHyphens/>
              <w:spacing w:after="120"/>
              <w:rPr>
                <w:rFonts w:ascii="Calibri" w:eastAsia="MS Mincho" w:hAnsi="Calibri" w:cs="Arial"/>
                <w:color w:val="000000"/>
              </w:rPr>
            </w:pPr>
            <w:r>
              <w:rPr>
                <w:rFonts w:cs="Arial"/>
                <w:color w:val="0070C0"/>
              </w:rPr>
              <w:t>Ruta de aprendizaje</w:t>
            </w:r>
          </w:p>
          <w:p w14:paraId="38C396AE" w14:textId="77777777" w:rsidR="00E52BD9" w:rsidRPr="00D3497C" w:rsidRDefault="00E52BD9" w:rsidP="00104785">
            <w:pPr>
              <w:suppressAutoHyphens/>
              <w:spacing w:after="120"/>
              <w:rPr>
                <w:rFonts w:ascii="Calibri" w:eastAsia="MS Mincho" w:hAnsi="Calibri" w:cs="Arial"/>
                <w:color w:val="000000"/>
              </w:rPr>
            </w:pPr>
            <w:r w:rsidRPr="00D3497C">
              <w:rPr>
                <w:rFonts w:ascii="Calibri" w:eastAsia="MS Mincho" w:hAnsi="Calibri" w:cs="Arial"/>
                <w:color w:val="000000"/>
              </w:rPr>
              <w:t xml:space="preserve">Hernández Sampieri, Roberto., Carlos Fernández Collado y Pilar Baptista Lucio. “Definiciones de los enfoques cuantitativo y cualitativo, sus similitudes y diferencias”. En </w:t>
            </w:r>
            <w:r w:rsidRPr="00D3497C">
              <w:rPr>
                <w:rFonts w:ascii="Calibri" w:eastAsia="MS Mincho" w:hAnsi="Calibri" w:cs="Arial"/>
                <w:i/>
                <w:color w:val="000000"/>
              </w:rPr>
              <w:t>Metodología de la investigación</w:t>
            </w:r>
            <w:r>
              <w:rPr>
                <w:rFonts w:ascii="Calibri" w:eastAsia="MS Mincho" w:hAnsi="Calibri" w:cs="Arial"/>
                <w:i/>
                <w:color w:val="000000"/>
              </w:rPr>
              <w:t>: las rutas cuantitativa, cualitativa y mixta</w:t>
            </w:r>
            <w:r w:rsidRPr="00D3497C">
              <w:rPr>
                <w:rFonts w:ascii="Calibri" w:eastAsia="MS Mincho" w:hAnsi="Calibri" w:cs="Arial"/>
                <w:i/>
                <w:color w:val="000000"/>
              </w:rPr>
              <w:t xml:space="preserve">, </w:t>
            </w:r>
            <w:r w:rsidRPr="00D3497C">
              <w:rPr>
                <w:rFonts w:ascii="Calibri" w:eastAsia="MS Mincho" w:hAnsi="Calibri" w:cs="Arial"/>
                <w:color w:val="000000"/>
              </w:rPr>
              <w:t>2-23.</w:t>
            </w:r>
            <w:r w:rsidRPr="00D3497C">
              <w:rPr>
                <w:rFonts w:ascii="Calibri" w:eastAsia="MS Mincho" w:hAnsi="Calibri" w:cs="Arial"/>
                <w:i/>
                <w:color w:val="000000"/>
              </w:rPr>
              <w:t xml:space="preserve"> </w:t>
            </w:r>
            <w:r w:rsidRPr="00D3497C">
              <w:rPr>
                <w:rFonts w:ascii="Calibri" w:eastAsia="MS Mincho" w:hAnsi="Calibri" w:cs="Arial"/>
                <w:color w:val="000000"/>
              </w:rPr>
              <w:t>México: Mc Graw-Hill Interamericana, 201</w:t>
            </w:r>
            <w:r>
              <w:rPr>
                <w:rFonts w:ascii="Calibri" w:eastAsia="MS Mincho" w:hAnsi="Calibri" w:cs="Arial"/>
                <w:color w:val="000000"/>
              </w:rPr>
              <w:t>8</w:t>
            </w:r>
            <w:r w:rsidRPr="00D3497C">
              <w:rPr>
                <w:rFonts w:ascii="Calibri" w:eastAsia="MS Mincho" w:hAnsi="Calibri" w:cs="Arial"/>
                <w:color w:val="000000"/>
              </w:rPr>
              <w:t>.</w:t>
            </w:r>
            <w:r>
              <w:rPr>
                <w:rFonts w:ascii="Calibri" w:eastAsia="MS Mincho" w:hAnsi="Calibri" w:cs="Arial"/>
                <w:color w:val="000000"/>
              </w:rPr>
              <w:t xml:space="preserve"> </w:t>
            </w:r>
            <w:r w:rsidRPr="00E460B7">
              <w:rPr>
                <w:rFonts w:ascii="Calibri" w:eastAsia="MS Mincho" w:hAnsi="Calibri" w:cs="Arial"/>
                <w:color w:val="0070C0"/>
              </w:rPr>
              <w:t>(clásico, última edición</w:t>
            </w:r>
            <w:r>
              <w:rPr>
                <w:rFonts w:ascii="Calibri" w:eastAsia="MS Mincho" w:hAnsi="Calibri" w:cs="Arial"/>
                <w:color w:val="0070C0"/>
              </w:rPr>
              <w:t xml:space="preserve"> 2020</w:t>
            </w:r>
            <w:r w:rsidRPr="00E460B7">
              <w:rPr>
                <w:rFonts w:ascii="Calibri" w:eastAsia="MS Mincho" w:hAnsi="Calibri" w:cs="Arial"/>
                <w:color w:val="0070C0"/>
              </w:rPr>
              <w:t>)</w:t>
            </w:r>
          </w:p>
          <w:p w14:paraId="427855EC" w14:textId="77777777" w:rsidR="00E52BD9" w:rsidRDefault="00E52BD9" w:rsidP="00104785">
            <w:pPr>
              <w:rPr>
                <w:rFonts w:ascii="Calibri" w:eastAsia="MS Mincho" w:hAnsi="Calibri" w:cs="Arial"/>
                <w:b/>
                <w:bCs/>
                <w:color w:val="0070C0"/>
              </w:rPr>
            </w:pPr>
            <w:r w:rsidRPr="00BE0ACA">
              <w:rPr>
                <w:rFonts w:ascii="Calibri" w:eastAsia="MS Mincho" w:hAnsi="Calibri" w:cs="Arial"/>
                <w:b/>
                <w:bCs/>
                <w:color w:val="0070C0"/>
              </w:rPr>
              <w:t>Material complementario</w:t>
            </w:r>
          </w:p>
          <w:p w14:paraId="1D8507DE" w14:textId="77777777" w:rsidR="00E52BD9" w:rsidRDefault="00E52BD9" w:rsidP="00104785">
            <w:pPr>
              <w:rPr>
                <w:rFonts w:ascii="Calibri" w:eastAsia="MS Mincho" w:hAnsi="Calibri" w:cs="Arial"/>
                <w:color w:val="0070C0"/>
              </w:rPr>
            </w:pPr>
            <w:r>
              <w:rPr>
                <w:rFonts w:ascii="Calibri" w:eastAsia="MS Mincho" w:hAnsi="Calibri" w:cs="Arial"/>
                <w:color w:val="0070C0"/>
              </w:rPr>
              <w:t>Guía para la participación en un foro en la plataforma Moodle</w:t>
            </w:r>
          </w:p>
          <w:p w14:paraId="138B8DEB" w14:textId="77777777" w:rsidR="00E52BD9" w:rsidRPr="00B20C70" w:rsidRDefault="00E52BD9" w:rsidP="00104785">
            <w:pPr>
              <w:rPr>
                <w:rStyle w:val="Hipervnculo"/>
              </w:rPr>
            </w:pPr>
          </w:p>
          <w:p w14:paraId="6BD021AC" w14:textId="77777777" w:rsidR="00E52BD9" w:rsidRPr="00D3497C" w:rsidRDefault="00E52BD9" w:rsidP="00104785">
            <w:pPr>
              <w:rPr>
                <w:rFonts w:cs="Arial"/>
                <w:b/>
                <w:color w:val="000000" w:themeColor="text1"/>
              </w:rPr>
            </w:pPr>
          </w:p>
        </w:tc>
        <w:tc>
          <w:tcPr>
            <w:tcW w:w="3118" w:type="dxa"/>
          </w:tcPr>
          <w:p w14:paraId="2AA8B142" w14:textId="77777777" w:rsidR="00E52BD9" w:rsidRPr="00D3497C" w:rsidRDefault="00E52BD9" w:rsidP="00E52BD9">
            <w:pPr>
              <w:pStyle w:val="Prrafodelista"/>
              <w:numPr>
                <w:ilvl w:val="0"/>
                <w:numId w:val="53"/>
              </w:numPr>
              <w:ind w:left="423"/>
              <w:rPr>
                <w:rFonts w:asciiTheme="minorHAnsi" w:hAnsiTheme="minorHAnsi" w:cs="Arial"/>
                <w:color w:val="000000" w:themeColor="text1"/>
              </w:rPr>
            </w:pPr>
            <w:r w:rsidRPr="00D3497C">
              <w:rPr>
                <w:rFonts w:asciiTheme="minorHAnsi" w:hAnsiTheme="minorHAnsi" w:cs="Arial"/>
                <w:color w:val="000000" w:themeColor="text1"/>
              </w:rPr>
              <w:lastRenderedPageBreak/>
              <w:t>Participación en el foro temático: Comunicación escrita e investigación</w:t>
            </w:r>
          </w:p>
          <w:p w14:paraId="24A4E880" w14:textId="77777777" w:rsidR="00E52BD9" w:rsidRPr="00D3497C" w:rsidRDefault="00E52BD9" w:rsidP="00E52BD9">
            <w:pPr>
              <w:pStyle w:val="Prrafodelista"/>
              <w:numPr>
                <w:ilvl w:val="0"/>
                <w:numId w:val="53"/>
              </w:numPr>
              <w:ind w:left="423"/>
              <w:rPr>
                <w:rFonts w:asciiTheme="minorHAnsi" w:hAnsiTheme="minorHAnsi" w:cs="Arial"/>
                <w:color w:val="000000" w:themeColor="text1"/>
              </w:rPr>
            </w:pPr>
            <w:r w:rsidRPr="00D3497C">
              <w:rPr>
                <w:rFonts w:asciiTheme="minorHAnsi" w:hAnsiTheme="minorHAnsi" w:cs="Arial"/>
              </w:rPr>
              <w:t xml:space="preserve">Realización de una entrevista a un/a bibliotecario/a. </w:t>
            </w:r>
          </w:p>
        </w:tc>
      </w:tr>
      <w:tr w:rsidR="00E52BD9" w:rsidRPr="00D3497C" w14:paraId="66202E78" w14:textId="77777777" w:rsidTr="00104785">
        <w:trPr>
          <w:jc w:val="center"/>
        </w:trPr>
        <w:tc>
          <w:tcPr>
            <w:tcW w:w="1271" w:type="dxa"/>
          </w:tcPr>
          <w:p w14:paraId="515BE60C" w14:textId="77777777" w:rsidR="00E52BD9" w:rsidRPr="00D3497C" w:rsidRDefault="00E52BD9" w:rsidP="00104785">
            <w:pPr>
              <w:jc w:val="center"/>
              <w:rPr>
                <w:rFonts w:cs="Arial"/>
                <w:color w:val="000000" w:themeColor="text1"/>
              </w:rPr>
            </w:pPr>
            <w:r w:rsidRPr="00D3497C">
              <w:rPr>
                <w:rFonts w:cs="Arial"/>
                <w:color w:val="000000" w:themeColor="text1"/>
              </w:rPr>
              <w:t>3</w:t>
            </w:r>
          </w:p>
        </w:tc>
        <w:tc>
          <w:tcPr>
            <w:tcW w:w="2410" w:type="dxa"/>
          </w:tcPr>
          <w:p w14:paraId="4D953CD1"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3: </w:t>
            </w:r>
            <w:r w:rsidRPr="00CA707F">
              <w:rPr>
                <w:rFonts w:cs="Arial"/>
                <w:b/>
                <w:color w:val="000000" w:themeColor="text1"/>
              </w:rPr>
              <w:t>El diseño de la investigación</w:t>
            </w:r>
          </w:p>
          <w:p w14:paraId="714AEB53" w14:textId="77777777" w:rsidR="00E52BD9" w:rsidRPr="00D3497C" w:rsidRDefault="00E52BD9" w:rsidP="00104785">
            <w:pPr>
              <w:rPr>
                <w:rFonts w:cs="Arial"/>
                <w:bCs/>
                <w:color w:val="000000" w:themeColor="text1"/>
              </w:rPr>
            </w:pPr>
          </w:p>
          <w:p w14:paraId="6232C157" w14:textId="77777777" w:rsidR="00E52BD9" w:rsidRPr="00D3497C" w:rsidRDefault="00E52BD9" w:rsidP="00104785">
            <w:pPr>
              <w:rPr>
                <w:rFonts w:cs="Arial"/>
                <w:color w:val="000000" w:themeColor="text1"/>
              </w:rPr>
            </w:pPr>
            <w:r w:rsidRPr="00D3497C">
              <w:rPr>
                <w:rFonts w:cs="Arial"/>
                <w:color w:val="000000" w:themeColor="text1"/>
              </w:rPr>
              <w:t>3.1 Pasos para el diseño</w:t>
            </w:r>
          </w:p>
          <w:p w14:paraId="50301FEA" w14:textId="77777777" w:rsidR="00E52BD9" w:rsidRPr="00D3497C" w:rsidRDefault="00E52BD9" w:rsidP="00104785">
            <w:pPr>
              <w:rPr>
                <w:rFonts w:cs="Arial"/>
                <w:color w:val="000000" w:themeColor="text1"/>
              </w:rPr>
            </w:pPr>
          </w:p>
        </w:tc>
        <w:tc>
          <w:tcPr>
            <w:tcW w:w="2835" w:type="dxa"/>
          </w:tcPr>
          <w:p w14:paraId="614530C4" w14:textId="77777777" w:rsidR="00E52BD9" w:rsidRDefault="00E52BD9" w:rsidP="00104785">
            <w:pPr>
              <w:spacing w:after="120"/>
              <w:ind w:left="2"/>
              <w:rPr>
                <w:rFonts w:ascii="Calibri" w:eastAsia="MS Mincho" w:hAnsi="Calibri" w:cs="Arial"/>
                <w:color w:val="000000"/>
              </w:rPr>
            </w:pPr>
            <w:r>
              <w:rPr>
                <w:rFonts w:cs="Arial"/>
                <w:color w:val="0070C0"/>
              </w:rPr>
              <w:t>Ruta de aprendizaje</w:t>
            </w:r>
          </w:p>
          <w:p w14:paraId="366CCA76" w14:textId="77777777" w:rsidR="00E52BD9" w:rsidRPr="00D3497C" w:rsidRDefault="00E52BD9" w:rsidP="00104785">
            <w:pPr>
              <w:spacing w:after="120"/>
              <w:ind w:left="2"/>
              <w:rPr>
                <w:rFonts w:ascii="Calibri" w:hAnsi="Calibri" w:cs="Arial"/>
                <w:noProof/>
                <w:color w:val="000000" w:themeColor="text1"/>
              </w:rPr>
            </w:pPr>
            <w:r w:rsidRPr="00D3497C">
              <w:rPr>
                <w:rFonts w:ascii="Calibri" w:eastAsia="MS Mincho" w:hAnsi="Calibri" w:cs="Arial"/>
                <w:color w:val="000000"/>
              </w:rPr>
              <w:t xml:space="preserve">Abarca Rodríguez, Allan., Felipe Alpízar Rodríguez, Gina Sibaja Quesada y Carla Rojas Benavides. “El proyecto de investigación cualitativa”. En </w:t>
            </w:r>
            <w:r w:rsidRPr="00D3497C">
              <w:rPr>
                <w:rFonts w:ascii="Calibri" w:eastAsia="MS Mincho" w:hAnsi="Calibri" w:cs="Arial"/>
                <w:i/>
                <w:color w:val="000000"/>
              </w:rPr>
              <w:t xml:space="preserve">Técnicas cualitativas de investigación, </w:t>
            </w:r>
            <w:r w:rsidRPr="00D3497C">
              <w:rPr>
                <w:rFonts w:ascii="Calibri" w:eastAsia="MS Mincho" w:hAnsi="Calibri" w:cs="Arial"/>
                <w:color w:val="000000"/>
              </w:rPr>
              <w:t>25-42.</w:t>
            </w:r>
            <w:r w:rsidRPr="00D3497C">
              <w:rPr>
                <w:rFonts w:ascii="Calibri" w:eastAsia="MS Mincho" w:hAnsi="Calibri" w:cs="Arial"/>
                <w:i/>
                <w:color w:val="000000"/>
              </w:rPr>
              <w:t xml:space="preserve"> </w:t>
            </w:r>
            <w:r w:rsidRPr="00D3497C">
              <w:rPr>
                <w:rFonts w:ascii="Calibri" w:eastAsia="MS Mincho" w:hAnsi="Calibri" w:cs="Arial"/>
                <w:color w:val="000000"/>
              </w:rPr>
              <w:t>San José: Editorial UCR, 2012.</w:t>
            </w:r>
            <w:r>
              <w:rPr>
                <w:rFonts w:ascii="Calibri" w:eastAsia="MS Mincho" w:hAnsi="Calibri" w:cs="Arial"/>
                <w:color w:val="000000"/>
              </w:rPr>
              <w:t xml:space="preserve"> </w:t>
            </w:r>
            <w:r w:rsidRPr="00E460B7">
              <w:rPr>
                <w:rFonts w:ascii="Calibri" w:eastAsia="MS Mincho" w:hAnsi="Calibri" w:cs="Arial"/>
                <w:color w:val="0070C0"/>
              </w:rPr>
              <w:t>(clásico, última edición)</w:t>
            </w:r>
          </w:p>
          <w:p w14:paraId="069FE2FE" w14:textId="77777777" w:rsidR="00E52BD9" w:rsidRPr="00D3497C" w:rsidRDefault="00E52BD9" w:rsidP="00104785">
            <w:pPr>
              <w:spacing w:after="120"/>
              <w:ind w:left="2"/>
              <w:rPr>
                <w:rFonts w:ascii="Calibri" w:eastAsia="MS Mincho" w:hAnsi="Calibri" w:cs="Arial"/>
                <w:color w:val="000000"/>
              </w:rPr>
            </w:pPr>
            <w:r w:rsidRPr="00D3497C">
              <w:rPr>
                <w:rFonts w:ascii="Calibri" w:eastAsia="MS Mincho" w:hAnsi="Calibri" w:cs="Arial"/>
                <w:color w:val="000000"/>
              </w:rPr>
              <w:t xml:space="preserve">Arias Odón, Fidias G. “Conceptos básicos”, “Mitos en la elaboración de tesis y proyectos de investigación”, “Errores en la elaboración de tesis y proyectos de investigación”, “Consideraciones finales”. En </w:t>
            </w:r>
            <w:r w:rsidRPr="00D3497C">
              <w:rPr>
                <w:rFonts w:ascii="Calibri" w:eastAsia="MS Mincho" w:hAnsi="Calibri" w:cs="Arial"/>
                <w:i/>
                <w:color w:val="000000"/>
              </w:rPr>
              <w:t xml:space="preserve">Mitos y errores en la elaboración de tesis y proyectos de investigación, </w:t>
            </w:r>
            <w:r w:rsidRPr="00D3497C">
              <w:rPr>
                <w:rFonts w:ascii="Calibri" w:eastAsia="MS Mincho" w:hAnsi="Calibri" w:cs="Arial"/>
                <w:color w:val="000000"/>
              </w:rPr>
              <w:t>14-76.</w:t>
            </w:r>
            <w:r w:rsidRPr="00D3497C">
              <w:rPr>
                <w:rFonts w:ascii="Calibri" w:eastAsia="MS Mincho" w:hAnsi="Calibri" w:cs="Arial"/>
                <w:i/>
                <w:color w:val="000000"/>
              </w:rPr>
              <w:t xml:space="preserve"> </w:t>
            </w:r>
            <w:r w:rsidRPr="00D3497C">
              <w:rPr>
                <w:rFonts w:ascii="Calibri" w:eastAsia="MS Mincho" w:hAnsi="Calibri" w:cs="Arial"/>
                <w:color w:val="000000"/>
              </w:rPr>
              <w:t>Caracas: Episteme, 2006.</w:t>
            </w:r>
            <w:r>
              <w:rPr>
                <w:rFonts w:ascii="Calibri" w:eastAsia="MS Mincho" w:hAnsi="Calibri" w:cs="Arial"/>
                <w:color w:val="000000"/>
              </w:rPr>
              <w:t xml:space="preserve"> </w:t>
            </w:r>
            <w:r w:rsidRPr="00E460B7">
              <w:rPr>
                <w:rFonts w:ascii="Calibri" w:eastAsia="MS Mincho" w:hAnsi="Calibri" w:cs="Arial"/>
                <w:color w:val="0070C0"/>
              </w:rPr>
              <w:t>(clásico, última edición)</w:t>
            </w:r>
          </w:p>
          <w:p w14:paraId="3ED3E0BF" w14:textId="77777777" w:rsidR="00E52BD9" w:rsidRPr="00D3497C" w:rsidRDefault="00E52BD9" w:rsidP="00104785">
            <w:pPr>
              <w:rPr>
                <w:rFonts w:ascii="Calibri" w:eastAsia="MS Mincho" w:hAnsi="Calibri" w:cs="Arial"/>
              </w:rPr>
            </w:pPr>
            <w:r w:rsidRPr="00D3497C">
              <w:rPr>
                <w:rFonts w:ascii="Calibri" w:eastAsia="MS Mincho" w:hAnsi="Calibri" w:cs="Arial"/>
              </w:rPr>
              <w:t xml:space="preserve">Rojas Valenciano, Ligia Patricia. “Diseños cualitativos”. En </w:t>
            </w:r>
            <w:r w:rsidRPr="00D3497C">
              <w:rPr>
                <w:rFonts w:ascii="Calibri" w:eastAsia="MS Mincho" w:hAnsi="Calibri" w:cs="Arial"/>
                <w:i/>
              </w:rPr>
              <w:t xml:space="preserve">Elementos conceptuales y metodológicos de la investigación cualitativa. Módulo de </w:t>
            </w:r>
            <w:proofErr w:type="spellStart"/>
            <w:r w:rsidRPr="00D3497C">
              <w:rPr>
                <w:rFonts w:ascii="Calibri" w:eastAsia="MS Mincho" w:hAnsi="Calibri" w:cs="Arial"/>
                <w:i/>
              </w:rPr>
              <w:t>autoinstrucción</w:t>
            </w:r>
            <w:proofErr w:type="spellEnd"/>
            <w:r w:rsidRPr="00D3497C">
              <w:rPr>
                <w:rFonts w:ascii="Calibri" w:eastAsia="MS Mincho" w:hAnsi="Calibri" w:cs="Arial"/>
                <w:i/>
              </w:rPr>
              <w:t xml:space="preserve">, </w:t>
            </w:r>
            <w:r w:rsidRPr="00D3497C">
              <w:rPr>
                <w:rFonts w:ascii="Calibri" w:eastAsia="MS Mincho" w:hAnsi="Calibri" w:cs="Arial"/>
              </w:rPr>
              <w:t>24-37.</w:t>
            </w:r>
            <w:r w:rsidRPr="00D3497C">
              <w:rPr>
                <w:rFonts w:ascii="Calibri" w:eastAsia="MS Mincho" w:hAnsi="Calibri" w:cs="Arial"/>
                <w:i/>
              </w:rPr>
              <w:t xml:space="preserve"> </w:t>
            </w:r>
            <w:r w:rsidRPr="00D3497C">
              <w:rPr>
                <w:rFonts w:ascii="Calibri" w:eastAsia="MS Mincho" w:hAnsi="Calibri" w:cs="Arial"/>
              </w:rPr>
              <w:t>San José: Editorial UCR, 20</w:t>
            </w:r>
            <w:r>
              <w:rPr>
                <w:rFonts w:ascii="Calibri" w:eastAsia="MS Mincho" w:hAnsi="Calibri" w:cs="Arial"/>
              </w:rPr>
              <w:t>13</w:t>
            </w:r>
            <w:r w:rsidRPr="00D3497C">
              <w:rPr>
                <w:rFonts w:ascii="Calibri" w:eastAsia="MS Mincho" w:hAnsi="Calibri" w:cs="Arial"/>
              </w:rPr>
              <w:t>.</w:t>
            </w:r>
            <w:r>
              <w:rPr>
                <w:rFonts w:ascii="Calibri" w:eastAsia="MS Mincho" w:hAnsi="Calibri" w:cs="Arial"/>
              </w:rPr>
              <w:t xml:space="preserve"> </w:t>
            </w:r>
            <w:r w:rsidRPr="00E460B7">
              <w:rPr>
                <w:rFonts w:ascii="Calibri" w:eastAsia="MS Mincho" w:hAnsi="Calibri" w:cs="Arial"/>
                <w:color w:val="0070C0"/>
              </w:rPr>
              <w:t>(clásico, última edición)</w:t>
            </w:r>
          </w:p>
          <w:p w14:paraId="6161DB3F" w14:textId="77777777" w:rsidR="00E52BD9" w:rsidRDefault="00E52BD9" w:rsidP="00104785">
            <w:pPr>
              <w:spacing w:after="120"/>
              <w:rPr>
                <w:rFonts w:ascii="Calibri" w:eastAsia="MS Mincho" w:hAnsi="Calibri" w:cs="Arial"/>
              </w:rPr>
            </w:pPr>
            <w:r w:rsidRPr="00D3497C">
              <w:rPr>
                <w:rFonts w:ascii="Calibri" w:eastAsia="MS Mincho" w:hAnsi="Calibri" w:cs="Arial"/>
              </w:rPr>
              <w:t xml:space="preserve">Zamora Villalobos, Luis Ricardo. “Introducción”. En </w:t>
            </w:r>
            <w:r w:rsidRPr="00D3497C">
              <w:rPr>
                <w:rFonts w:ascii="Calibri" w:eastAsia="MS Mincho" w:hAnsi="Calibri" w:cs="Arial"/>
                <w:i/>
              </w:rPr>
              <w:t xml:space="preserve">Enfoques y diseños de investigación social: cuantitativos, cualitativos y </w:t>
            </w:r>
            <w:r w:rsidRPr="00D3497C">
              <w:rPr>
                <w:rFonts w:ascii="Calibri" w:eastAsia="MS Mincho" w:hAnsi="Calibri" w:cs="Arial"/>
                <w:i/>
              </w:rPr>
              <w:lastRenderedPageBreak/>
              <w:t>mixtos</w:t>
            </w:r>
            <w:r w:rsidRPr="00D3497C">
              <w:rPr>
                <w:rFonts w:ascii="Calibri" w:eastAsia="MS Mincho" w:hAnsi="Calibri" w:cs="Arial"/>
                <w:iCs/>
              </w:rPr>
              <w:t>, 5-13.</w:t>
            </w:r>
            <w:r w:rsidRPr="00D3497C">
              <w:rPr>
                <w:rFonts w:ascii="Calibri" w:eastAsia="MS Mincho" w:hAnsi="Calibri" w:cs="Arial"/>
                <w:i/>
              </w:rPr>
              <w:t xml:space="preserve"> </w:t>
            </w:r>
            <w:r w:rsidRPr="00D3497C">
              <w:rPr>
                <w:rFonts w:ascii="Calibri" w:eastAsia="MS Mincho" w:hAnsi="Calibri" w:cs="Arial"/>
              </w:rPr>
              <w:t>San José, C.R.: EUNED, 2019.</w:t>
            </w:r>
          </w:p>
          <w:p w14:paraId="0224F441" w14:textId="77777777" w:rsidR="00E52BD9" w:rsidRDefault="00E52BD9" w:rsidP="00104785">
            <w:pPr>
              <w:spacing w:after="120"/>
              <w:rPr>
                <w:rFonts w:ascii="Calibri" w:eastAsia="MS Mincho" w:hAnsi="Calibri" w:cs="Arial"/>
                <w:b/>
                <w:bCs/>
                <w:color w:val="0070C0"/>
              </w:rPr>
            </w:pPr>
            <w:r w:rsidRPr="00BE0ACA">
              <w:rPr>
                <w:rFonts w:ascii="Calibri" w:eastAsia="MS Mincho" w:hAnsi="Calibri" w:cs="Arial"/>
                <w:b/>
                <w:bCs/>
                <w:color w:val="0070C0"/>
              </w:rPr>
              <w:t>Material complementario</w:t>
            </w:r>
          </w:p>
          <w:p w14:paraId="5EBB1876" w14:textId="77777777" w:rsidR="00E52BD9" w:rsidRPr="005D611C" w:rsidRDefault="00E52BD9" w:rsidP="00104785">
            <w:pPr>
              <w:spacing w:after="120"/>
              <w:rPr>
                <w:rFonts w:ascii="Calibri" w:eastAsia="MS Mincho" w:hAnsi="Calibri" w:cs="Arial"/>
              </w:rPr>
            </w:pPr>
            <w:r>
              <w:rPr>
                <w:rFonts w:ascii="Calibri" w:eastAsia="MS Mincho" w:hAnsi="Calibri" w:cs="Arial"/>
                <w:color w:val="0070C0"/>
              </w:rPr>
              <w:t>Guía para la elaboración de una reseña crítica de lectura</w:t>
            </w:r>
          </w:p>
        </w:tc>
        <w:tc>
          <w:tcPr>
            <w:tcW w:w="3118" w:type="dxa"/>
          </w:tcPr>
          <w:p w14:paraId="4AA63F36" w14:textId="77777777" w:rsidR="00E52BD9" w:rsidRPr="00D3497C" w:rsidRDefault="00E52BD9" w:rsidP="00E52BD9">
            <w:pPr>
              <w:pStyle w:val="Prrafodelista"/>
              <w:numPr>
                <w:ilvl w:val="0"/>
                <w:numId w:val="54"/>
              </w:numPr>
              <w:ind w:left="423"/>
              <w:rPr>
                <w:rFonts w:asciiTheme="minorHAnsi" w:hAnsiTheme="minorHAnsi" w:cs="Arial"/>
                <w:color w:val="000000" w:themeColor="text1"/>
              </w:rPr>
            </w:pPr>
            <w:r w:rsidRPr="00D3497C">
              <w:rPr>
                <w:rFonts w:asciiTheme="minorHAnsi" w:hAnsiTheme="minorHAnsi" w:cs="Arial"/>
                <w:color w:val="000000" w:themeColor="text1"/>
              </w:rPr>
              <w:lastRenderedPageBreak/>
              <w:t>Elaboración de una reseña crítica de las lecturas de la sesión.</w:t>
            </w:r>
          </w:p>
          <w:p w14:paraId="66D3CB03" w14:textId="77777777" w:rsidR="00E52BD9" w:rsidRPr="00D3497C" w:rsidRDefault="00E52BD9" w:rsidP="00E52BD9">
            <w:pPr>
              <w:pStyle w:val="Prrafodelista"/>
              <w:numPr>
                <w:ilvl w:val="0"/>
                <w:numId w:val="54"/>
              </w:numPr>
              <w:ind w:left="423"/>
              <w:rPr>
                <w:rFonts w:asciiTheme="minorHAnsi" w:hAnsiTheme="minorHAnsi" w:cs="Arial"/>
                <w:color w:val="000000" w:themeColor="text1"/>
              </w:rPr>
            </w:pPr>
            <w:r w:rsidRPr="00D3497C">
              <w:rPr>
                <w:rFonts w:asciiTheme="minorHAnsi" w:hAnsiTheme="minorHAnsi" w:cs="Arial"/>
                <w:color w:val="000000" w:themeColor="text1"/>
              </w:rPr>
              <w:t>Iniciar la elaboración del diseño de una investigación y entregar un primer avance.</w:t>
            </w:r>
          </w:p>
        </w:tc>
      </w:tr>
      <w:tr w:rsidR="00E52BD9" w:rsidRPr="00D3497C" w14:paraId="2D784222" w14:textId="77777777" w:rsidTr="00104785">
        <w:trPr>
          <w:trHeight w:val="708"/>
          <w:jc w:val="center"/>
        </w:trPr>
        <w:tc>
          <w:tcPr>
            <w:tcW w:w="1271" w:type="dxa"/>
          </w:tcPr>
          <w:p w14:paraId="7BA39F83" w14:textId="77777777" w:rsidR="00E52BD9" w:rsidRPr="00D3497C" w:rsidRDefault="00E52BD9" w:rsidP="00104785">
            <w:pPr>
              <w:jc w:val="center"/>
              <w:rPr>
                <w:rFonts w:cs="Arial"/>
                <w:color w:val="000000" w:themeColor="text1"/>
              </w:rPr>
            </w:pPr>
            <w:r w:rsidRPr="00D3497C">
              <w:rPr>
                <w:rFonts w:cs="Arial"/>
                <w:color w:val="000000" w:themeColor="text1"/>
              </w:rPr>
              <w:t>4</w:t>
            </w:r>
          </w:p>
        </w:tc>
        <w:tc>
          <w:tcPr>
            <w:tcW w:w="2410" w:type="dxa"/>
          </w:tcPr>
          <w:p w14:paraId="4F2B5056"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3: </w:t>
            </w:r>
            <w:r w:rsidRPr="00CA707F">
              <w:rPr>
                <w:rFonts w:cs="Arial"/>
                <w:b/>
                <w:color w:val="000000" w:themeColor="text1"/>
              </w:rPr>
              <w:t>El diseño de la investigación</w:t>
            </w:r>
          </w:p>
          <w:p w14:paraId="4BB5D4E0" w14:textId="77777777" w:rsidR="00E52BD9" w:rsidRPr="00D3497C" w:rsidRDefault="00E52BD9" w:rsidP="00104785">
            <w:pPr>
              <w:rPr>
                <w:rFonts w:cs="Arial"/>
                <w:bCs/>
                <w:color w:val="000000" w:themeColor="text1"/>
              </w:rPr>
            </w:pPr>
          </w:p>
          <w:p w14:paraId="19B462DB" w14:textId="77777777" w:rsidR="00E52BD9" w:rsidRPr="00D3497C" w:rsidRDefault="00E52BD9" w:rsidP="00104785">
            <w:pPr>
              <w:rPr>
                <w:rFonts w:cs="Arial"/>
                <w:color w:val="000000" w:themeColor="text1"/>
              </w:rPr>
            </w:pPr>
            <w:r w:rsidRPr="00D3497C">
              <w:rPr>
                <w:rFonts w:cs="Arial"/>
                <w:color w:val="000000" w:themeColor="text1"/>
              </w:rPr>
              <w:t>3.2 De la idea inicial al problema de investigación</w:t>
            </w:r>
          </w:p>
          <w:p w14:paraId="384117FE" w14:textId="77777777" w:rsidR="00E52BD9" w:rsidRPr="00D3497C" w:rsidRDefault="00E52BD9" w:rsidP="00104785">
            <w:pPr>
              <w:rPr>
                <w:rFonts w:cs="Arial"/>
                <w:color w:val="000000" w:themeColor="text1"/>
              </w:rPr>
            </w:pPr>
            <w:r w:rsidRPr="00D3497C">
              <w:rPr>
                <w:rFonts w:cs="Arial"/>
                <w:color w:val="000000" w:themeColor="text1"/>
              </w:rPr>
              <w:t>3.3 Características de un problema</w:t>
            </w:r>
          </w:p>
          <w:p w14:paraId="34423A19" w14:textId="77777777" w:rsidR="00E52BD9" w:rsidRPr="00D3497C" w:rsidRDefault="00E52BD9" w:rsidP="00104785">
            <w:pPr>
              <w:rPr>
                <w:rFonts w:cs="Arial"/>
                <w:color w:val="000000" w:themeColor="text1"/>
              </w:rPr>
            </w:pPr>
            <w:r w:rsidRPr="00D3497C">
              <w:rPr>
                <w:rFonts w:cs="Arial"/>
                <w:color w:val="000000" w:themeColor="text1"/>
              </w:rPr>
              <w:t>3.4 Delimitaciones</w:t>
            </w:r>
          </w:p>
        </w:tc>
        <w:tc>
          <w:tcPr>
            <w:tcW w:w="2835" w:type="dxa"/>
          </w:tcPr>
          <w:p w14:paraId="6BBBAE37" w14:textId="77777777" w:rsidR="00E52BD9" w:rsidRDefault="00E52BD9" w:rsidP="00104785">
            <w:pPr>
              <w:rPr>
                <w:rFonts w:ascii="Calibri" w:eastAsia="MS Mincho" w:hAnsi="Calibri" w:cs="Arial"/>
                <w:color w:val="000000"/>
              </w:rPr>
            </w:pPr>
            <w:r>
              <w:rPr>
                <w:rFonts w:cs="Arial"/>
                <w:color w:val="0070C0"/>
              </w:rPr>
              <w:t>Ruta de aprendizaje</w:t>
            </w:r>
          </w:p>
          <w:p w14:paraId="1A176BB8" w14:textId="77777777" w:rsidR="00E52BD9" w:rsidRPr="00D3497C" w:rsidRDefault="00E52BD9" w:rsidP="00104785">
            <w:pPr>
              <w:rPr>
                <w:rFonts w:ascii="Calibri" w:eastAsia="MS Mincho" w:hAnsi="Calibri" w:cs="Arial"/>
                <w:color w:val="000000"/>
              </w:rPr>
            </w:pPr>
            <w:r w:rsidRPr="00D3497C">
              <w:rPr>
                <w:rFonts w:ascii="Calibri" w:eastAsia="MS Mincho" w:hAnsi="Calibri" w:cs="Arial"/>
                <w:color w:val="000000"/>
              </w:rPr>
              <w:t xml:space="preserve">Abarca Rodríguez, Allan., Felipe Alpízar Rodríguez, Gina Sibaja Quesada y Carla Rojas Benavides. “La pregunta de investigación”. En </w:t>
            </w:r>
            <w:r w:rsidRPr="00D3497C">
              <w:rPr>
                <w:rFonts w:ascii="Calibri" w:eastAsia="MS Mincho" w:hAnsi="Calibri" w:cs="Arial"/>
                <w:i/>
                <w:color w:val="000000"/>
              </w:rPr>
              <w:t xml:space="preserve">Técnicas cualitativas de investigación, </w:t>
            </w:r>
            <w:r w:rsidRPr="00D3497C">
              <w:rPr>
                <w:rFonts w:ascii="Calibri" w:eastAsia="MS Mincho" w:hAnsi="Calibri" w:cs="Arial"/>
                <w:color w:val="000000"/>
              </w:rPr>
              <w:t>39-42.</w:t>
            </w:r>
            <w:r w:rsidRPr="00D3497C">
              <w:rPr>
                <w:rFonts w:ascii="Calibri" w:eastAsia="MS Mincho" w:hAnsi="Calibri" w:cs="Arial"/>
                <w:i/>
                <w:color w:val="000000"/>
              </w:rPr>
              <w:t xml:space="preserve"> </w:t>
            </w:r>
            <w:r w:rsidRPr="00D3497C">
              <w:rPr>
                <w:rFonts w:ascii="Calibri" w:eastAsia="MS Mincho" w:hAnsi="Calibri" w:cs="Arial"/>
                <w:color w:val="000000"/>
              </w:rPr>
              <w:t xml:space="preserve">San José: UCR, 2012. </w:t>
            </w:r>
            <w:r w:rsidRPr="00E460B7">
              <w:rPr>
                <w:rFonts w:ascii="Calibri" w:eastAsia="MS Mincho" w:hAnsi="Calibri" w:cs="Arial"/>
                <w:color w:val="0070C0"/>
              </w:rPr>
              <w:t>(clásico, última edición)</w:t>
            </w:r>
          </w:p>
          <w:p w14:paraId="0F8C2F83" w14:textId="77777777" w:rsidR="00E52BD9" w:rsidRPr="00D3497C" w:rsidRDefault="00E52BD9" w:rsidP="00104785">
            <w:pPr>
              <w:rPr>
                <w:rFonts w:ascii="Calibri" w:eastAsia="MS Mincho" w:hAnsi="Calibri" w:cs="Arial"/>
                <w:b/>
                <w:bCs/>
                <w:color w:val="000000"/>
              </w:rPr>
            </w:pPr>
            <w:r w:rsidRPr="00D3497C">
              <w:rPr>
                <w:rFonts w:ascii="Calibri" w:eastAsia="MS Mincho" w:hAnsi="Calibri" w:cs="Arial"/>
                <w:b/>
                <w:bCs/>
                <w:color w:val="000000"/>
              </w:rPr>
              <w:t>Material complementario</w:t>
            </w:r>
          </w:p>
          <w:p w14:paraId="10077AE0" w14:textId="77777777" w:rsidR="00E52BD9" w:rsidRDefault="00E52BD9" w:rsidP="00104785">
            <w:pPr>
              <w:rPr>
                <w:rFonts w:ascii="Calibri" w:hAnsi="Calibri" w:cs="Arial"/>
                <w:spacing w:val="-2"/>
                <w:kern w:val="28"/>
              </w:rPr>
            </w:pPr>
            <w:proofErr w:type="spellStart"/>
            <w:r w:rsidRPr="00D3497C">
              <w:rPr>
                <w:rFonts w:ascii="Calibri" w:hAnsi="Calibri" w:cs="Arial"/>
                <w:spacing w:val="-2"/>
                <w:kern w:val="28"/>
              </w:rPr>
              <w:t>Flick</w:t>
            </w:r>
            <w:proofErr w:type="spellEnd"/>
            <w:r w:rsidRPr="00D3497C">
              <w:rPr>
                <w:rFonts w:ascii="Calibri" w:hAnsi="Calibri" w:cs="Arial"/>
                <w:spacing w:val="-2"/>
                <w:kern w:val="28"/>
              </w:rPr>
              <w:t xml:space="preserve">, </w:t>
            </w:r>
            <w:proofErr w:type="spellStart"/>
            <w:r w:rsidRPr="00D3497C">
              <w:rPr>
                <w:rFonts w:ascii="Calibri" w:hAnsi="Calibri" w:cs="Arial"/>
                <w:spacing w:val="-2"/>
                <w:kern w:val="28"/>
              </w:rPr>
              <w:t>Uwe</w:t>
            </w:r>
            <w:proofErr w:type="spellEnd"/>
            <w:r w:rsidRPr="00D3497C">
              <w:rPr>
                <w:rFonts w:ascii="Calibri" w:hAnsi="Calibri" w:cs="Arial"/>
                <w:spacing w:val="-2"/>
                <w:kern w:val="28"/>
              </w:rPr>
              <w:t xml:space="preserve">. “De una idea a una pregunta de investigación”. En </w:t>
            </w:r>
            <w:r w:rsidRPr="00D3497C">
              <w:rPr>
                <w:rFonts w:ascii="Calibri" w:hAnsi="Calibri" w:cs="Arial"/>
                <w:i/>
                <w:spacing w:val="-2"/>
                <w:kern w:val="28"/>
              </w:rPr>
              <w:t>El diseño de investigación cualitativa</w:t>
            </w:r>
            <w:r w:rsidRPr="00D3497C">
              <w:rPr>
                <w:rFonts w:ascii="Calibri" w:hAnsi="Calibri" w:cs="Arial"/>
                <w:spacing w:val="-2"/>
                <w:kern w:val="28"/>
              </w:rPr>
              <w:t>, 37-46. Madrid: Ediciones Morata, 2015.</w:t>
            </w:r>
            <w:r>
              <w:rPr>
                <w:rFonts w:ascii="Calibri" w:hAnsi="Calibri" w:cs="Arial"/>
                <w:spacing w:val="-2"/>
                <w:kern w:val="28"/>
              </w:rPr>
              <w:t xml:space="preserve"> </w:t>
            </w:r>
            <w:r w:rsidRPr="00E460B7">
              <w:rPr>
                <w:rFonts w:ascii="Calibri" w:eastAsia="MS Mincho" w:hAnsi="Calibri" w:cs="Arial"/>
                <w:color w:val="0070C0"/>
              </w:rPr>
              <w:t>(clásico, última edición)</w:t>
            </w:r>
          </w:p>
          <w:p w14:paraId="0A01A564" w14:textId="77777777" w:rsidR="00E52BD9" w:rsidRPr="005D611C" w:rsidRDefault="00E52BD9" w:rsidP="00104785">
            <w:pPr>
              <w:rPr>
                <w:rFonts w:ascii="Calibri" w:hAnsi="Calibri" w:cs="Arial"/>
                <w:color w:val="0070C0"/>
                <w:spacing w:val="-2"/>
                <w:kern w:val="28"/>
              </w:rPr>
            </w:pPr>
            <w:r>
              <w:rPr>
                <w:rFonts w:ascii="Calibri" w:hAnsi="Calibri" w:cs="Arial"/>
                <w:color w:val="0070C0"/>
                <w:spacing w:val="-2"/>
                <w:kern w:val="28"/>
              </w:rPr>
              <w:t xml:space="preserve">Guía para la participación mediante la herramienta Big Blue </w:t>
            </w:r>
            <w:proofErr w:type="spellStart"/>
            <w:r>
              <w:rPr>
                <w:rFonts w:ascii="Calibri" w:hAnsi="Calibri" w:cs="Arial"/>
                <w:color w:val="0070C0"/>
                <w:spacing w:val="-2"/>
                <w:kern w:val="28"/>
              </w:rPr>
              <w:t>Button</w:t>
            </w:r>
            <w:proofErr w:type="spellEnd"/>
            <w:r>
              <w:rPr>
                <w:rFonts w:ascii="Calibri" w:hAnsi="Calibri" w:cs="Arial"/>
                <w:color w:val="0070C0"/>
                <w:spacing w:val="-2"/>
                <w:kern w:val="28"/>
              </w:rPr>
              <w:t xml:space="preserve"> en la plataforma Moodle</w:t>
            </w:r>
          </w:p>
          <w:p w14:paraId="7C32A1C6" w14:textId="77777777" w:rsidR="00E52BD9" w:rsidRPr="00D3497C" w:rsidRDefault="00E52BD9" w:rsidP="00104785">
            <w:pPr>
              <w:rPr>
                <w:rFonts w:cs="Arial"/>
                <w:color w:val="00B0F0"/>
                <w:szCs w:val="24"/>
              </w:rPr>
            </w:pPr>
          </w:p>
        </w:tc>
        <w:tc>
          <w:tcPr>
            <w:tcW w:w="3118" w:type="dxa"/>
          </w:tcPr>
          <w:p w14:paraId="3D752ED4" w14:textId="77777777" w:rsidR="00E52BD9" w:rsidRPr="00D3497C" w:rsidRDefault="00E52BD9" w:rsidP="00E52BD9">
            <w:pPr>
              <w:pStyle w:val="Prrafodelista"/>
              <w:numPr>
                <w:ilvl w:val="0"/>
                <w:numId w:val="55"/>
              </w:numPr>
              <w:ind w:left="423"/>
              <w:rPr>
                <w:rFonts w:asciiTheme="minorHAnsi" w:hAnsiTheme="minorHAnsi" w:cs="Arial"/>
                <w:color w:val="000000" w:themeColor="text1"/>
              </w:rPr>
            </w:pPr>
            <w:r w:rsidRPr="00D3497C">
              <w:rPr>
                <w:rFonts w:asciiTheme="minorHAnsi" w:hAnsiTheme="minorHAnsi" w:cs="Arial"/>
                <w:color w:val="000000" w:themeColor="text1"/>
              </w:rPr>
              <w:t xml:space="preserve">Elaboración de la delimitación del tema y la pregunta de investigación. </w:t>
            </w:r>
          </w:p>
          <w:p w14:paraId="53924545" w14:textId="77777777" w:rsidR="00E52BD9" w:rsidRPr="00D3497C" w:rsidRDefault="00E52BD9" w:rsidP="00E52BD9">
            <w:pPr>
              <w:pStyle w:val="Prrafodelista"/>
              <w:numPr>
                <w:ilvl w:val="0"/>
                <w:numId w:val="55"/>
              </w:numPr>
              <w:ind w:left="423"/>
              <w:rPr>
                <w:rFonts w:asciiTheme="minorHAnsi" w:hAnsiTheme="minorHAnsi" w:cs="Arial"/>
                <w:color w:val="000000" w:themeColor="text1"/>
              </w:rPr>
            </w:pPr>
            <w:r w:rsidRPr="003E0A9F">
              <w:rPr>
                <w:rFonts w:asciiTheme="minorHAnsi" w:hAnsiTheme="minorHAnsi" w:cs="Arial"/>
              </w:rPr>
              <w:t>Presentación docente</w:t>
            </w:r>
            <w:r>
              <w:rPr>
                <w:rFonts w:asciiTheme="minorHAnsi" w:hAnsiTheme="minorHAnsi" w:cs="Arial"/>
              </w:rPr>
              <w:t xml:space="preserve"> y debate grupal</w:t>
            </w:r>
            <w:r w:rsidRPr="003E0A9F">
              <w:rPr>
                <w:rFonts w:asciiTheme="minorHAnsi" w:hAnsiTheme="minorHAnsi" w:cs="Arial"/>
              </w:rPr>
              <w:t xml:space="preserve"> en un encuentro sincrónico virtual (formativo).</w:t>
            </w:r>
          </w:p>
        </w:tc>
      </w:tr>
      <w:tr w:rsidR="00E52BD9" w:rsidRPr="00D3497C" w14:paraId="1DC41F8B" w14:textId="77777777" w:rsidTr="00104785">
        <w:trPr>
          <w:jc w:val="center"/>
        </w:trPr>
        <w:tc>
          <w:tcPr>
            <w:tcW w:w="1271" w:type="dxa"/>
          </w:tcPr>
          <w:p w14:paraId="798DD290" w14:textId="77777777" w:rsidR="00E52BD9" w:rsidRPr="00D3497C" w:rsidRDefault="00E52BD9" w:rsidP="00104785">
            <w:pPr>
              <w:jc w:val="center"/>
              <w:rPr>
                <w:rFonts w:cs="Arial"/>
                <w:color w:val="000000" w:themeColor="text1"/>
              </w:rPr>
            </w:pPr>
            <w:r w:rsidRPr="00D3497C">
              <w:rPr>
                <w:rFonts w:cs="Arial"/>
                <w:color w:val="000000" w:themeColor="text1"/>
              </w:rPr>
              <w:t>5</w:t>
            </w:r>
          </w:p>
        </w:tc>
        <w:tc>
          <w:tcPr>
            <w:tcW w:w="2410" w:type="dxa"/>
          </w:tcPr>
          <w:p w14:paraId="50D3D1B4"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3: </w:t>
            </w:r>
            <w:r w:rsidRPr="00CA707F">
              <w:rPr>
                <w:rFonts w:cs="Arial"/>
                <w:b/>
                <w:color w:val="000000" w:themeColor="text1"/>
              </w:rPr>
              <w:t>El diseño de la investigación</w:t>
            </w:r>
          </w:p>
          <w:p w14:paraId="6920B5BD" w14:textId="77777777" w:rsidR="00E52BD9" w:rsidRPr="00D3497C" w:rsidRDefault="00E52BD9" w:rsidP="00104785">
            <w:pPr>
              <w:rPr>
                <w:rFonts w:cs="Arial"/>
                <w:bCs/>
                <w:color w:val="000000" w:themeColor="text1"/>
              </w:rPr>
            </w:pPr>
          </w:p>
          <w:p w14:paraId="26E8FB37" w14:textId="77777777" w:rsidR="00E52BD9" w:rsidRPr="00D3497C" w:rsidRDefault="00E52BD9" w:rsidP="00104785">
            <w:pPr>
              <w:rPr>
                <w:rFonts w:eastAsia="MS Mincho" w:cs="Arial"/>
                <w:color w:val="000000" w:themeColor="text1"/>
                <w:lang w:val="es-ES"/>
              </w:rPr>
            </w:pPr>
            <w:r w:rsidRPr="00D3497C">
              <w:rPr>
                <w:rFonts w:cs="Arial"/>
                <w:color w:val="000000" w:themeColor="text1"/>
              </w:rPr>
              <w:t>3.5 Diseño de objetivos</w:t>
            </w:r>
          </w:p>
          <w:p w14:paraId="52FA2181" w14:textId="77777777" w:rsidR="00E52BD9" w:rsidRPr="00D3497C" w:rsidRDefault="00E52BD9" w:rsidP="00104785">
            <w:pPr>
              <w:rPr>
                <w:rFonts w:cs="Arial"/>
                <w:color w:val="000000" w:themeColor="text1"/>
              </w:rPr>
            </w:pPr>
          </w:p>
        </w:tc>
        <w:tc>
          <w:tcPr>
            <w:tcW w:w="2835" w:type="dxa"/>
          </w:tcPr>
          <w:p w14:paraId="60E4385D" w14:textId="77777777" w:rsidR="00E52BD9" w:rsidRDefault="00E52BD9" w:rsidP="00104785">
            <w:pPr>
              <w:spacing w:after="120"/>
              <w:rPr>
                <w:rFonts w:ascii="Calibri" w:eastAsia="MS Mincho" w:hAnsi="Calibri" w:cs="Arial"/>
                <w:color w:val="000000"/>
              </w:rPr>
            </w:pPr>
            <w:r>
              <w:rPr>
                <w:rFonts w:cs="Arial"/>
                <w:color w:val="0070C0"/>
              </w:rPr>
              <w:t>Ruta de aprendizaje</w:t>
            </w:r>
          </w:p>
          <w:p w14:paraId="2E533435" w14:textId="77777777" w:rsidR="00E52BD9" w:rsidRPr="00D3497C" w:rsidRDefault="00E52BD9" w:rsidP="00104785">
            <w:pPr>
              <w:spacing w:after="120"/>
              <w:rPr>
                <w:rFonts w:ascii="Calibri" w:eastAsia="MS Mincho" w:hAnsi="Calibri" w:cs="Arial"/>
                <w:color w:val="000000"/>
              </w:rPr>
            </w:pPr>
            <w:r w:rsidRPr="00D3497C">
              <w:rPr>
                <w:rFonts w:ascii="Calibri" w:eastAsia="MS Mincho" w:hAnsi="Calibri" w:cs="Arial"/>
                <w:color w:val="000000"/>
              </w:rPr>
              <w:t xml:space="preserve">Hernández Sampieri, Roberto., Carlos Fernández Collado y Pilar Baptista Lucio. “¿Qué es plantear el problema de investigación cuantitativa?”. En </w:t>
            </w:r>
            <w:r w:rsidRPr="00D3497C">
              <w:rPr>
                <w:rFonts w:ascii="Calibri" w:eastAsia="MS Mincho" w:hAnsi="Calibri" w:cs="Arial"/>
                <w:i/>
                <w:color w:val="000000"/>
              </w:rPr>
              <w:t>Metodología de la investigación</w:t>
            </w:r>
            <w:r>
              <w:rPr>
                <w:rFonts w:ascii="Calibri" w:eastAsia="MS Mincho" w:hAnsi="Calibri" w:cs="Arial"/>
                <w:i/>
                <w:color w:val="000000"/>
              </w:rPr>
              <w:t>: las rutas cuantitativa, cualitativa y mixta</w:t>
            </w:r>
            <w:r w:rsidRPr="00D3497C">
              <w:rPr>
                <w:rFonts w:ascii="Calibri" w:eastAsia="MS Mincho" w:hAnsi="Calibri" w:cs="Arial"/>
                <w:i/>
                <w:color w:val="000000"/>
              </w:rPr>
              <w:t xml:space="preserve">, </w:t>
            </w:r>
            <w:r w:rsidRPr="00D3497C">
              <w:rPr>
                <w:rFonts w:ascii="Calibri" w:eastAsia="MS Mincho" w:hAnsi="Calibri" w:cs="Arial"/>
                <w:color w:val="000000"/>
              </w:rPr>
              <w:t>36-39.</w:t>
            </w:r>
            <w:r w:rsidRPr="00D3497C">
              <w:rPr>
                <w:rFonts w:ascii="Calibri" w:eastAsia="MS Mincho" w:hAnsi="Calibri" w:cs="Arial"/>
                <w:i/>
                <w:color w:val="000000"/>
              </w:rPr>
              <w:t xml:space="preserve"> </w:t>
            </w:r>
            <w:r w:rsidRPr="00D3497C">
              <w:rPr>
                <w:rFonts w:ascii="Calibri" w:eastAsia="MS Mincho" w:hAnsi="Calibri" w:cs="Arial"/>
                <w:color w:val="000000"/>
              </w:rPr>
              <w:t xml:space="preserve">México: Mc </w:t>
            </w:r>
            <w:r w:rsidRPr="00D3497C">
              <w:rPr>
                <w:rFonts w:ascii="Calibri" w:eastAsia="MS Mincho" w:hAnsi="Calibri" w:cs="Arial"/>
                <w:color w:val="000000"/>
              </w:rPr>
              <w:lastRenderedPageBreak/>
              <w:t>Graw-Hill Interamericana, 201</w:t>
            </w:r>
            <w:r>
              <w:rPr>
                <w:rFonts w:ascii="Calibri" w:eastAsia="MS Mincho" w:hAnsi="Calibri" w:cs="Arial"/>
                <w:color w:val="000000"/>
              </w:rPr>
              <w:t>8</w:t>
            </w:r>
            <w:r w:rsidRPr="00D3497C">
              <w:rPr>
                <w:rFonts w:ascii="Calibri" w:eastAsia="MS Mincho" w:hAnsi="Calibri" w:cs="Arial"/>
                <w:color w:val="000000"/>
              </w:rPr>
              <w:t>.</w:t>
            </w:r>
            <w:r>
              <w:rPr>
                <w:rFonts w:ascii="Calibri" w:eastAsia="MS Mincho" w:hAnsi="Calibri" w:cs="Arial"/>
                <w:color w:val="000000"/>
              </w:rPr>
              <w:t xml:space="preserve"> </w:t>
            </w:r>
            <w:r w:rsidRPr="00E460B7">
              <w:rPr>
                <w:rFonts w:ascii="Calibri" w:eastAsia="MS Mincho" w:hAnsi="Calibri" w:cs="Arial"/>
                <w:color w:val="0070C0"/>
              </w:rPr>
              <w:t>(clásico, última edición</w:t>
            </w:r>
            <w:r>
              <w:rPr>
                <w:rFonts w:ascii="Calibri" w:eastAsia="MS Mincho" w:hAnsi="Calibri" w:cs="Arial"/>
                <w:color w:val="0070C0"/>
              </w:rPr>
              <w:t xml:space="preserve"> 2020</w:t>
            </w:r>
            <w:r w:rsidRPr="00E460B7">
              <w:rPr>
                <w:rFonts w:ascii="Calibri" w:eastAsia="MS Mincho" w:hAnsi="Calibri" w:cs="Arial"/>
                <w:color w:val="0070C0"/>
              </w:rPr>
              <w:t>)</w:t>
            </w:r>
          </w:p>
          <w:p w14:paraId="4906A8B9" w14:textId="77777777" w:rsidR="00E52BD9" w:rsidRPr="00D3497C" w:rsidRDefault="00E52BD9" w:rsidP="00104785">
            <w:pPr>
              <w:pStyle w:val="Bibliografa"/>
              <w:spacing w:after="120"/>
              <w:rPr>
                <w:rFonts w:ascii="Calibri" w:eastAsia="MS Mincho" w:hAnsi="Calibri" w:cs="Arial"/>
                <w:sz w:val="22"/>
                <w:szCs w:val="22"/>
              </w:rPr>
            </w:pPr>
            <w:r w:rsidRPr="00D3497C">
              <w:rPr>
                <w:rFonts w:ascii="Calibri" w:eastAsia="MS Mincho" w:hAnsi="Calibri" w:cs="Arial"/>
                <w:sz w:val="22"/>
                <w:szCs w:val="22"/>
              </w:rPr>
              <w:t xml:space="preserve">García Corral, Susana. “Etapa 3: objetivos de la investigación”. En </w:t>
            </w:r>
            <w:r w:rsidRPr="00D3497C">
              <w:rPr>
                <w:rFonts w:ascii="Calibri" w:eastAsia="MS Mincho" w:hAnsi="Calibri" w:cs="Arial"/>
                <w:i/>
                <w:sz w:val="22"/>
                <w:szCs w:val="22"/>
              </w:rPr>
              <w:t xml:space="preserve">Manual práctico de investigación social con enfoque de género: métodos y técnicas de investigación social desde una perspectiva de género, </w:t>
            </w:r>
            <w:r w:rsidRPr="00D3497C">
              <w:rPr>
                <w:rFonts w:ascii="Calibri" w:eastAsia="MS Mincho" w:hAnsi="Calibri" w:cs="Arial"/>
                <w:sz w:val="22"/>
                <w:szCs w:val="22"/>
              </w:rPr>
              <w:t>45-46.</w:t>
            </w:r>
            <w:r w:rsidRPr="00D3497C">
              <w:rPr>
                <w:rFonts w:ascii="Calibri" w:eastAsia="MS Mincho" w:hAnsi="Calibri" w:cs="Arial"/>
                <w:i/>
                <w:sz w:val="22"/>
                <w:szCs w:val="22"/>
              </w:rPr>
              <w:t xml:space="preserve">  </w:t>
            </w:r>
            <w:r w:rsidRPr="00D3497C">
              <w:rPr>
                <w:rFonts w:ascii="Calibri" w:eastAsia="MS Mincho" w:hAnsi="Calibri" w:cs="Arial"/>
                <w:sz w:val="22"/>
                <w:szCs w:val="22"/>
              </w:rPr>
              <w:t>San Salvador: Red de Mujeres por la Unidad y el Desarrollo, 1999.</w:t>
            </w:r>
            <w:r>
              <w:rPr>
                <w:rFonts w:ascii="Calibri" w:eastAsia="MS Mincho" w:hAnsi="Calibri" w:cs="Arial"/>
                <w:sz w:val="22"/>
                <w:szCs w:val="22"/>
              </w:rPr>
              <w:t xml:space="preserve"> </w:t>
            </w:r>
            <w:r w:rsidRPr="00E460B7">
              <w:rPr>
                <w:rFonts w:ascii="Calibri" w:eastAsia="MS Mincho" w:hAnsi="Calibri" w:cs="Arial"/>
                <w:color w:val="0070C0"/>
                <w:sz w:val="22"/>
                <w:szCs w:val="22"/>
              </w:rPr>
              <w:t>(clásico, última edición)</w:t>
            </w:r>
          </w:p>
          <w:p w14:paraId="1F83A863" w14:textId="77777777" w:rsidR="00E52BD9" w:rsidRPr="00D3497C" w:rsidRDefault="00E52BD9" w:rsidP="00104785">
            <w:pPr>
              <w:spacing w:after="120"/>
              <w:rPr>
                <w:rFonts w:ascii="Calibri" w:eastAsia="MS Mincho" w:hAnsi="Calibri" w:cs="Arial"/>
                <w:b/>
                <w:bCs/>
                <w:color w:val="000000"/>
              </w:rPr>
            </w:pPr>
            <w:r w:rsidRPr="00D3497C">
              <w:rPr>
                <w:rFonts w:ascii="Calibri" w:eastAsia="MS Mincho" w:hAnsi="Calibri" w:cs="Arial"/>
                <w:b/>
                <w:bCs/>
                <w:color w:val="000000"/>
              </w:rPr>
              <w:t>Material complementario</w:t>
            </w:r>
          </w:p>
          <w:p w14:paraId="18DF9604" w14:textId="77777777" w:rsidR="00E52BD9" w:rsidRPr="00D3497C" w:rsidRDefault="00E52BD9" w:rsidP="00104785">
            <w:pPr>
              <w:rPr>
                <w:rFonts w:cs="Arial"/>
                <w:bCs/>
                <w:color w:val="00B0F0"/>
                <w:szCs w:val="24"/>
              </w:rPr>
            </w:pPr>
            <w:r w:rsidRPr="00D3497C">
              <w:rPr>
                <w:rFonts w:cs="Arial"/>
                <w:bCs/>
                <w:szCs w:val="24"/>
              </w:rPr>
              <w:t xml:space="preserve">Francés García, Francisco, Antonio Alaminos Chica, Clemente Penalva Verdú y Óscar Antonio </w:t>
            </w:r>
            <w:proofErr w:type="spellStart"/>
            <w:r w:rsidRPr="00D3497C">
              <w:rPr>
                <w:rFonts w:cs="Arial"/>
                <w:bCs/>
                <w:szCs w:val="24"/>
              </w:rPr>
              <w:t>Santacreu</w:t>
            </w:r>
            <w:proofErr w:type="spellEnd"/>
            <w:r w:rsidRPr="00D3497C">
              <w:rPr>
                <w:rFonts w:cs="Arial"/>
                <w:bCs/>
                <w:szCs w:val="24"/>
              </w:rPr>
              <w:t xml:space="preserve"> Fernández. “Técnicas para la negociación inicial de objetivos y construcción participada del proyecto”. En </w:t>
            </w:r>
            <w:r w:rsidRPr="00D3497C">
              <w:rPr>
                <w:rFonts w:cs="Arial"/>
                <w:bCs/>
                <w:i/>
                <w:iCs/>
                <w:szCs w:val="24"/>
              </w:rPr>
              <w:t>La investigación participativa: métodos y técnicas</w:t>
            </w:r>
            <w:r w:rsidRPr="00D3497C">
              <w:rPr>
                <w:rFonts w:cs="Arial"/>
                <w:bCs/>
                <w:szCs w:val="24"/>
              </w:rPr>
              <w:t xml:space="preserve">, 92-107. Cuenca: PYDLOS ediciones, 2015. Acceso el 18 de diciembre de 2020. </w:t>
            </w:r>
            <w:hyperlink r:id="rId111" w:history="1">
              <w:r w:rsidRPr="00D3497C">
                <w:rPr>
                  <w:rStyle w:val="Hipervnculo"/>
                  <w:rFonts w:cs="Arial"/>
                  <w:bCs/>
                  <w:szCs w:val="24"/>
                </w:rPr>
                <w:t>https://core.ac.uk/outputs/32326395</w:t>
              </w:r>
            </w:hyperlink>
            <w:r w:rsidRPr="00D3497C">
              <w:rPr>
                <w:rFonts w:cs="Arial"/>
                <w:bCs/>
                <w:color w:val="00B050"/>
                <w:szCs w:val="24"/>
              </w:rPr>
              <w:t xml:space="preserve"> </w:t>
            </w:r>
            <w:r w:rsidRPr="00E460B7">
              <w:rPr>
                <w:rFonts w:ascii="Calibri" w:eastAsia="MS Mincho" w:hAnsi="Calibri" w:cs="Arial"/>
                <w:color w:val="0070C0"/>
              </w:rPr>
              <w:t>(clásico, última edición)</w:t>
            </w:r>
          </w:p>
          <w:p w14:paraId="548AC5D5" w14:textId="77777777" w:rsidR="00E52BD9" w:rsidRPr="00395473" w:rsidRDefault="00E52BD9" w:rsidP="00104785">
            <w:pPr>
              <w:rPr>
                <w:rFonts w:cs="Arial"/>
                <w:bCs/>
                <w:color w:val="0070C0"/>
                <w:szCs w:val="24"/>
              </w:rPr>
            </w:pPr>
            <w:r w:rsidRPr="00395473">
              <w:rPr>
                <w:rFonts w:cs="Arial"/>
                <w:bCs/>
                <w:color w:val="0070C0"/>
                <w:szCs w:val="24"/>
              </w:rPr>
              <w:t>Guía para la participación en un foro en la plataforma Moodle</w:t>
            </w:r>
          </w:p>
          <w:p w14:paraId="6AD466ED" w14:textId="77777777" w:rsidR="00E52BD9" w:rsidRPr="00D3497C" w:rsidRDefault="00E52BD9" w:rsidP="00104785">
            <w:pPr>
              <w:rPr>
                <w:rFonts w:cs="Arial"/>
                <w:bCs/>
                <w:color w:val="00B0F0"/>
                <w:szCs w:val="24"/>
              </w:rPr>
            </w:pPr>
          </w:p>
        </w:tc>
        <w:tc>
          <w:tcPr>
            <w:tcW w:w="3118" w:type="dxa"/>
          </w:tcPr>
          <w:p w14:paraId="717D772C" w14:textId="77777777" w:rsidR="00E52BD9" w:rsidRPr="00D3497C" w:rsidRDefault="00E52BD9" w:rsidP="00E52BD9">
            <w:pPr>
              <w:pStyle w:val="Prrafodelista"/>
              <w:numPr>
                <w:ilvl w:val="0"/>
                <w:numId w:val="56"/>
              </w:numPr>
              <w:ind w:left="423"/>
              <w:rPr>
                <w:rFonts w:asciiTheme="minorHAnsi" w:hAnsiTheme="minorHAnsi" w:cs="Arial"/>
                <w:color w:val="000000" w:themeColor="text1"/>
              </w:rPr>
            </w:pPr>
            <w:r w:rsidRPr="00D3497C">
              <w:rPr>
                <w:rFonts w:asciiTheme="minorHAnsi" w:hAnsiTheme="minorHAnsi" w:cs="Arial"/>
                <w:color w:val="000000" w:themeColor="text1"/>
              </w:rPr>
              <w:lastRenderedPageBreak/>
              <w:t>Elaboración del objetivo general y los objetivos específicos.</w:t>
            </w:r>
          </w:p>
          <w:p w14:paraId="7551D488" w14:textId="77777777" w:rsidR="00E52BD9" w:rsidRPr="00D3497C" w:rsidRDefault="00E52BD9" w:rsidP="00E52BD9">
            <w:pPr>
              <w:pStyle w:val="Prrafodelista"/>
              <w:numPr>
                <w:ilvl w:val="0"/>
                <w:numId w:val="56"/>
              </w:numPr>
              <w:ind w:left="423"/>
              <w:rPr>
                <w:rFonts w:asciiTheme="minorHAnsi" w:hAnsiTheme="minorHAnsi" w:cs="Arial"/>
                <w:color w:val="000000" w:themeColor="text1"/>
              </w:rPr>
            </w:pPr>
            <w:r w:rsidRPr="00D3497C">
              <w:rPr>
                <w:rFonts w:asciiTheme="minorHAnsi" w:hAnsiTheme="minorHAnsi" w:cs="Arial"/>
                <w:color w:val="000000" w:themeColor="text1"/>
              </w:rPr>
              <w:t>Participación en el foro temático: Diseño de los objetivos.</w:t>
            </w:r>
          </w:p>
          <w:p w14:paraId="5F5367DB" w14:textId="77777777" w:rsidR="00E52BD9" w:rsidRPr="00D3497C" w:rsidRDefault="00E52BD9" w:rsidP="00104785">
            <w:pPr>
              <w:pStyle w:val="Prrafodelista"/>
              <w:ind w:left="423"/>
              <w:rPr>
                <w:rFonts w:asciiTheme="minorHAnsi" w:hAnsiTheme="minorHAnsi" w:cs="Arial"/>
                <w:color w:val="000000" w:themeColor="text1"/>
              </w:rPr>
            </w:pPr>
          </w:p>
        </w:tc>
      </w:tr>
      <w:tr w:rsidR="00E52BD9" w:rsidRPr="00D3497C" w14:paraId="3A6EFDB9" w14:textId="77777777" w:rsidTr="00104785">
        <w:trPr>
          <w:jc w:val="center"/>
        </w:trPr>
        <w:tc>
          <w:tcPr>
            <w:tcW w:w="1271" w:type="dxa"/>
          </w:tcPr>
          <w:p w14:paraId="07FAC8F4" w14:textId="77777777" w:rsidR="00E52BD9" w:rsidRPr="00D3497C" w:rsidRDefault="00E52BD9" w:rsidP="00104785">
            <w:pPr>
              <w:jc w:val="center"/>
              <w:rPr>
                <w:rFonts w:cs="Arial"/>
                <w:color w:val="000000" w:themeColor="text1"/>
              </w:rPr>
            </w:pPr>
            <w:r w:rsidRPr="00D3497C">
              <w:rPr>
                <w:rFonts w:cs="Arial"/>
                <w:color w:val="000000" w:themeColor="text1"/>
              </w:rPr>
              <w:t>6</w:t>
            </w:r>
          </w:p>
        </w:tc>
        <w:tc>
          <w:tcPr>
            <w:tcW w:w="2410" w:type="dxa"/>
          </w:tcPr>
          <w:p w14:paraId="3AFBE79F"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3: </w:t>
            </w:r>
            <w:r w:rsidRPr="00CA707F">
              <w:rPr>
                <w:rFonts w:cs="Arial"/>
                <w:b/>
                <w:color w:val="000000" w:themeColor="text1"/>
              </w:rPr>
              <w:t>El diseño de la investigación</w:t>
            </w:r>
          </w:p>
          <w:p w14:paraId="6CF19454" w14:textId="77777777" w:rsidR="00E52BD9" w:rsidRPr="00D3497C" w:rsidRDefault="00E52BD9" w:rsidP="00104785">
            <w:pPr>
              <w:rPr>
                <w:rFonts w:cs="Arial"/>
                <w:bCs/>
                <w:color w:val="000000" w:themeColor="text1"/>
              </w:rPr>
            </w:pPr>
          </w:p>
          <w:p w14:paraId="0AD444FE" w14:textId="77777777" w:rsidR="00E52BD9" w:rsidRPr="00D3497C" w:rsidRDefault="00E52BD9" w:rsidP="00104785">
            <w:pPr>
              <w:rPr>
                <w:rFonts w:eastAsia="MS Mincho" w:cs="Arial"/>
                <w:color w:val="000000" w:themeColor="text1"/>
                <w:lang w:val="es-ES"/>
              </w:rPr>
            </w:pPr>
            <w:r w:rsidRPr="00D3497C">
              <w:rPr>
                <w:rFonts w:cs="Arial"/>
                <w:color w:val="000000" w:themeColor="text1"/>
              </w:rPr>
              <w:lastRenderedPageBreak/>
              <w:t>3.6 La matriz de coherencia metodológica</w:t>
            </w:r>
          </w:p>
          <w:p w14:paraId="0C677C19" w14:textId="77777777" w:rsidR="00E52BD9" w:rsidRPr="00D3497C" w:rsidRDefault="00E52BD9" w:rsidP="00104785">
            <w:pPr>
              <w:rPr>
                <w:rFonts w:cs="Arial"/>
                <w:b/>
                <w:bCs/>
                <w:color w:val="000000" w:themeColor="text1"/>
              </w:rPr>
            </w:pPr>
          </w:p>
        </w:tc>
        <w:tc>
          <w:tcPr>
            <w:tcW w:w="2835" w:type="dxa"/>
          </w:tcPr>
          <w:p w14:paraId="79108AEB" w14:textId="77777777" w:rsidR="00E52BD9" w:rsidRDefault="00E52BD9" w:rsidP="00104785">
            <w:pPr>
              <w:pStyle w:val="Bibliografa"/>
              <w:spacing w:after="120"/>
              <w:rPr>
                <w:rFonts w:asciiTheme="minorHAnsi" w:hAnsiTheme="minorHAnsi" w:cs="Arial"/>
                <w:color w:val="0070C0"/>
                <w:sz w:val="22"/>
                <w:szCs w:val="22"/>
              </w:rPr>
            </w:pPr>
            <w:r>
              <w:rPr>
                <w:rFonts w:asciiTheme="minorHAnsi" w:hAnsiTheme="minorHAnsi" w:cs="Arial"/>
                <w:color w:val="0070C0"/>
                <w:sz w:val="22"/>
                <w:szCs w:val="22"/>
              </w:rPr>
              <w:lastRenderedPageBreak/>
              <w:t>Ruta de aprendizaje</w:t>
            </w:r>
          </w:p>
          <w:p w14:paraId="0AAE5049" w14:textId="77777777" w:rsidR="00E52BD9" w:rsidRPr="00BE0ACA" w:rsidRDefault="00E52BD9" w:rsidP="00104785"/>
        </w:tc>
        <w:tc>
          <w:tcPr>
            <w:tcW w:w="3118" w:type="dxa"/>
          </w:tcPr>
          <w:p w14:paraId="5C4ABE2F" w14:textId="77777777" w:rsidR="00E52BD9" w:rsidRPr="00D3497C" w:rsidRDefault="00E52BD9" w:rsidP="00E52BD9">
            <w:pPr>
              <w:pStyle w:val="Prrafodelista"/>
              <w:numPr>
                <w:ilvl w:val="0"/>
                <w:numId w:val="57"/>
              </w:numPr>
              <w:ind w:left="423"/>
              <w:rPr>
                <w:rFonts w:asciiTheme="minorHAnsi" w:hAnsiTheme="minorHAnsi" w:cs="Arial"/>
                <w:color w:val="000000" w:themeColor="text1"/>
              </w:rPr>
            </w:pPr>
            <w:r w:rsidRPr="00D3497C">
              <w:rPr>
                <w:rFonts w:asciiTheme="minorHAnsi" w:hAnsiTheme="minorHAnsi" w:cs="Arial"/>
                <w:color w:val="000000" w:themeColor="text1"/>
              </w:rPr>
              <w:t>Elaboración de la matriz de coherencia metodológica.</w:t>
            </w:r>
          </w:p>
        </w:tc>
      </w:tr>
      <w:tr w:rsidR="00E52BD9" w:rsidRPr="00D3497C" w14:paraId="40E3AEA0" w14:textId="77777777" w:rsidTr="00104785">
        <w:trPr>
          <w:jc w:val="center"/>
        </w:trPr>
        <w:tc>
          <w:tcPr>
            <w:tcW w:w="1271" w:type="dxa"/>
          </w:tcPr>
          <w:p w14:paraId="4F086438" w14:textId="77777777" w:rsidR="00E52BD9" w:rsidRPr="00D3497C" w:rsidRDefault="00E52BD9" w:rsidP="00104785">
            <w:pPr>
              <w:jc w:val="center"/>
              <w:rPr>
                <w:rFonts w:cs="Arial"/>
                <w:color w:val="000000" w:themeColor="text1"/>
              </w:rPr>
            </w:pPr>
            <w:r w:rsidRPr="00D3497C">
              <w:rPr>
                <w:rFonts w:cs="Arial"/>
                <w:color w:val="000000" w:themeColor="text1"/>
              </w:rPr>
              <w:t>7</w:t>
            </w:r>
          </w:p>
        </w:tc>
        <w:tc>
          <w:tcPr>
            <w:tcW w:w="2410" w:type="dxa"/>
          </w:tcPr>
          <w:p w14:paraId="0FF99329"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4: </w:t>
            </w:r>
            <w:r w:rsidRPr="00CA707F">
              <w:rPr>
                <w:rFonts w:cs="Arial"/>
                <w:b/>
                <w:color w:val="000000" w:themeColor="text1"/>
              </w:rPr>
              <w:t>El diseño de la investigación: esquema de diseño (componentes)</w:t>
            </w:r>
          </w:p>
          <w:p w14:paraId="748F4510" w14:textId="77777777" w:rsidR="00E52BD9" w:rsidRPr="00D3497C" w:rsidRDefault="00E52BD9" w:rsidP="00104785">
            <w:pPr>
              <w:rPr>
                <w:rFonts w:cs="Arial"/>
                <w:bCs/>
                <w:color w:val="000000" w:themeColor="text1"/>
              </w:rPr>
            </w:pPr>
          </w:p>
          <w:p w14:paraId="3759675B" w14:textId="77777777" w:rsidR="00E52BD9" w:rsidRPr="00D3497C" w:rsidRDefault="00E52BD9" w:rsidP="00104785">
            <w:pPr>
              <w:rPr>
                <w:rFonts w:cs="Arial"/>
                <w:color w:val="000000" w:themeColor="text1"/>
              </w:rPr>
            </w:pPr>
            <w:r w:rsidRPr="00D3497C">
              <w:rPr>
                <w:rFonts w:cs="Arial"/>
                <w:color w:val="000000" w:themeColor="text1"/>
              </w:rPr>
              <w:t>4.1 El marco teórico</w:t>
            </w:r>
          </w:p>
          <w:p w14:paraId="7BDEE14D" w14:textId="77777777" w:rsidR="00E52BD9" w:rsidRPr="00D3497C" w:rsidRDefault="00E52BD9" w:rsidP="00104785">
            <w:pPr>
              <w:rPr>
                <w:rFonts w:eastAsia="MS Mincho" w:cs="Arial"/>
                <w:color w:val="000000" w:themeColor="text1"/>
              </w:rPr>
            </w:pPr>
            <w:r w:rsidRPr="00D3497C">
              <w:rPr>
                <w:rFonts w:cs="Arial"/>
                <w:color w:val="000000" w:themeColor="text1"/>
              </w:rPr>
              <w:t>4.2 La definición de conceptos</w:t>
            </w:r>
          </w:p>
          <w:p w14:paraId="30763F9C" w14:textId="77777777" w:rsidR="00E52BD9" w:rsidRPr="00D3497C" w:rsidRDefault="00E52BD9" w:rsidP="00104785">
            <w:pPr>
              <w:rPr>
                <w:rFonts w:cs="Arial"/>
                <w:color w:val="000000" w:themeColor="text1"/>
              </w:rPr>
            </w:pPr>
          </w:p>
        </w:tc>
        <w:tc>
          <w:tcPr>
            <w:tcW w:w="2835" w:type="dxa"/>
          </w:tcPr>
          <w:p w14:paraId="4373083B" w14:textId="77777777" w:rsidR="00E52BD9" w:rsidRDefault="00E52BD9" w:rsidP="00104785">
            <w:pPr>
              <w:rPr>
                <w:rFonts w:ascii="Calibri" w:eastAsia="MS Mincho" w:hAnsi="Calibri" w:cs="Arial"/>
              </w:rPr>
            </w:pPr>
            <w:r>
              <w:rPr>
                <w:rFonts w:cs="Arial"/>
                <w:color w:val="0070C0"/>
              </w:rPr>
              <w:t>Ruta de aprendizaje</w:t>
            </w:r>
          </w:p>
          <w:p w14:paraId="2F0FA0FE" w14:textId="77777777" w:rsidR="00E52BD9" w:rsidRPr="00E460B7" w:rsidRDefault="00E52BD9" w:rsidP="00104785">
            <w:pPr>
              <w:rPr>
                <w:rFonts w:ascii="Calibri" w:eastAsia="MS Mincho" w:hAnsi="Calibri" w:cs="Arial"/>
                <w:color w:val="0070C0"/>
              </w:rPr>
            </w:pPr>
            <w:r w:rsidRPr="00D3497C">
              <w:rPr>
                <w:rFonts w:ascii="Calibri" w:eastAsia="MS Mincho" w:hAnsi="Calibri" w:cs="Arial"/>
              </w:rPr>
              <w:t xml:space="preserve">Sánchez Ulate, Rosita y Rubén Ortiz Vega. “Perspectiva teórica, marco teórico y revisión de literatura”. En </w:t>
            </w:r>
            <w:r w:rsidRPr="00D3497C">
              <w:rPr>
                <w:rFonts w:ascii="Calibri" w:eastAsia="MS Mincho" w:hAnsi="Calibri" w:cs="Arial"/>
                <w:i/>
              </w:rPr>
              <w:t>Acompañamiento práctico al proyecto de investigación</w:t>
            </w:r>
            <w:r w:rsidRPr="00D3497C">
              <w:rPr>
                <w:rFonts w:ascii="Calibri" w:eastAsia="MS Mincho" w:hAnsi="Calibri" w:cs="Arial"/>
                <w:iCs/>
              </w:rPr>
              <w:t>, 107-118.</w:t>
            </w:r>
            <w:r w:rsidRPr="00D3497C">
              <w:rPr>
                <w:rFonts w:ascii="Calibri" w:eastAsia="MS Mincho" w:hAnsi="Calibri" w:cs="Arial"/>
                <w:i/>
              </w:rPr>
              <w:t xml:space="preserve"> </w:t>
            </w:r>
            <w:r w:rsidRPr="00D3497C">
              <w:rPr>
                <w:rFonts w:ascii="Calibri" w:eastAsia="MS Mincho" w:hAnsi="Calibri" w:cs="Arial"/>
              </w:rPr>
              <w:t>San José, C.R.: EUNED, 2016.</w:t>
            </w:r>
            <w:r>
              <w:rPr>
                <w:rFonts w:ascii="Calibri" w:eastAsia="MS Mincho" w:hAnsi="Calibri" w:cs="Arial"/>
              </w:rPr>
              <w:t xml:space="preserve"> </w:t>
            </w:r>
            <w:r w:rsidRPr="00E460B7">
              <w:rPr>
                <w:rFonts w:ascii="Calibri" w:eastAsia="MS Mincho" w:hAnsi="Calibri" w:cs="Arial"/>
                <w:color w:val="0070C0"/>
              </w:rPr>
              <w:t>(clásico, última edición)</w:t>
            </w:r>
          </w:p>
          <w:p w14:paraId="059FF6C9" w14:textId="77777777" w:rsidR="00E52BD9" w:rsidRDefault="00E52BD9" w:rsidP="00104785">
            <w:pPr>
              <w:rPr>
                <w:rFonts w:ascii="Calibri" w:eastAsia="MS Mincho" w:hAnsi="Calibri" w:cs="Arial"/>
                <w:b/>
                <w:bCs/>
                <w:color w:val="0070C0"/>
              </w:rPr>
            </w:pPr>
            <w:r w:rsidRPr="00BE0ACA">
              <w:rPr>
                <w:rFonts w:ascii="Calibri" w:eastAsia="MS Mincho" w:hAnsi="Calibri" w:cs="Arial"/>
                <w:b/>
                <w:bCs/>
                <w:color w:val="0070C0"/>
              </w:rPr>
              <w:t>Material complementario</w:t>
            </w:r>
          </w:p>
          <w:p w14:paraId="64CB2D92" w14:textId="77777777" w:rsidR="00E52BD9" w:rsidRDefault="00E52BD9" w:rsidP="00104785">
            <w:pPr>
              <w:rPr>
                <w:rFonts w:ascii="Calibri" w:eastAsia="MS Mincho" w:hAnsi="Calibri" w:cs="Arial"/>
                <w:color w:val="0070C0"/>
              </w:rPr>
            </w:pPr>
            <w:r>
              <w:rPr>
                <w:rFonts w:ascii="Calibri" w:eastAsia="MS Mincho" w:hAnsi="Calibri" w:cs="Arial"/>
                <w:color w:val="0070C0"/>
              </w:rPr>
              <w:t>Guía para la participación en un foro en la plataforma Moodle</w:t>
            </w:r>
          </w:p>
          <w:p w14:paraId="61A02EDA" w14:textId="77777777" w:rsidR="00E52BD9" w:rsidRPr="00033095" w:rsidRDefault="00E52BD9" w:rsidP="00104785">
            <w:pPr>
              <w:rPr>
                <w:rFonts w:cstheme="minorHAnsi"/>
              </w:rPr>
            </w:pPr>
            <w:r>
              <w:rPr>
                <w:rFonts w:ascii="Calibri" w:eastAsia="MS Mincho" w:hAnsi="Calibri" w:cs="Arial"/>
                <w:color w:val="0070C0"/>
              </w:rPr>
              <w:t xml:space="preserve">Guía para la participación mediante la herramienta Big Blue </w:t>
            </w:r>
            <w:proofErr w:type="spellStart"/>
            <w:r>
              <w:rPr>
                <w:rFonts w:ascii="Calibri" w:eastAsia="MS Mincho" w:hAnsi="Calibri" w:cs="Arial"/>
                <w:color w:val="0070C0"/>
              </w:rPr>
              <w:t>Button</w:t>
            </w:r>
            <w:proofErr w:type="spellEnd"/>
            <w:r>
              <w:rPr>
                <w:rFonts w:ascii="Calibri" w:eastAsia="MS Mincho" w:hAnsi="Calibri" w:cs="Arial"/>
                <w:color w:val="0070C0"/>
              </w:rPr>
              <w:t xml:space="preserve"> en la plataforma Moodle</w:t>
            </w:r>
          </w:p>
          <w:p w14:paraId="593241DA" w14:textId="77777777" w:rsidR="00E52BD9" w:rsidRPr="00D3497C" w:rsidRDefault="00E52BD9" w:rsidP="00104785">
            <w:pPr>
              <w:rPr>
                <w:rFonts w:cs="Arial"/>
                <w:i/>
                <w:noProof/>
                <w:color w:val="FF0000"/>
              </w:rPr>
            </w:pPr>
          </w:p>
        </w:tc>
        <w:tc>
          <w:tcPr>
            <w:tcW w:w="3118" w:type="dxa"/>
          </w:tcPr>
          <w:p w14:paraId="78152E2B" w14:textId="77777777" w:rsidR="00E52BD9" w:rsidRPr="00D3497C" w:rsidRDefault="00E52BD9" w:rsidP="00E52BD9">
            <w:pPr>
              <w:pStyle w:val="Prrafodelista"/>
              <w:numPr>
                <w:ilvl w:val="0"/>
                <w:numId w:val="58"/>
              </w:numPr>
              <w:ind w:left="423"/>
              <w:rPr>
                <w:rFonts w:asciiTheme="minorHAnsi" w:hAnsiTheme="minorHAnsi" w:cs="Arial"/>
                <w:color w:val="000000" w:themeColor="text1"/>
                <w:lang w:val="es-ES"/>
              </w:rPr>
            </w:pPr>
            <w:r w:rsidRPr="00D3497C">
              <w:rPr>
                <w:rFonts w:asciiTheme="minorHAnsi" w:hAnsiTheme="minorHAnsi" w:cs="Arial"/>
                <w:color w:val="000000" w:themeColor="text1"/>
                <w:lang w:val="es-ES"/>
              </w:rPr>
              <w:t>Participación en el foro temático: Importancia del marco teórico.</w:t>
            </w:r>
          </w:p>
          <w:p w14:paraId="5F992FFD" w14:textId="77777777" w:rsidR="00E52BD9" w:rsidRPr="00D3497C" w:rsidRDefault="00E52BD9" w:rsidP="00E52BD9">
            <w:pPr>
              <w:pStyle w:val="Prrafodelista"/>
              <w:numPr>
                <w:ilvl w:val="0"/>
                <w:numId w:val="58"/>
              </w:numPr>
              <w:ind w:left="423"/>
              <w:rPr>
                <w:rFonts w:asciiTheme="minorHAnsi" w:hAnsiTheme="minorHAnsi" w:cs="Arial"/>
                <w:color w:val="000000" w:themeColor="text1"/>
                <w:lang w:val="es-ES"/>
              </w:rPr>
            </w:pPr>
            <w:r w:rsidRPr="00D3497C">
              <w:rPr>
                <w:rFonts w:asciiTheme="minorHAnsi" w:hAnsiTheme="minorHAnsi" w:cs="Arial"/>
                <w:lang w:val="es-ES"/>
              </w:rPr>
              <w:t>Elaboración de una matriz del marco teórico.</w:t>
            </w:r>
          </w:p>
          <w:p w14:paraId="12D2ED3B" w14:textId="77777777" w:rsidR="00E52BD9" w:rsidRPr="00D3497C" w:rsidRDefault="00E52BD9" w:rsidP="00E52BD9">
            <w:pPr>
              <w:pStyle w:val="Prrafodelista"/>
              <w:numPr>
                <w:ilvl w:val="0"/>
                <w:numId w:val="58"/>
              </w:numPr>
              <w:ind w:left="423"/>
              <w:rPr>
                <w:rFonts w:asciiTheme="minorHAnsi" w:hAnsiTheme="minorHAnsi" w:cs="Arial"/>
                <w:color w:val="000000" w:themeColor="text1"/>
                <w:lang w:val="es-ES"/>
              </w:rPr>
            </w:pPr>
            <w:r w:rsidRPr="003E0A9F">
              <w:rPr>
                <w:rFonts w:asciiTheme="minorHAnsi" w:hAnsiTheme="minorHAnsi" w:cs="Arial"/>
                <w:lang w:val="es-ES"/>
              </w:rPr>
              <w:t>Presentación docente</w:t>
            </w:r>
            <w:r>
              <w:rPr>
                <w:rFonts w:asciiTheme="minorHAnsi" w:hAnsiTheme="minorHAnsi" w:cs="Arial"/>
                <w:lang w:val="es-ES"/>
              </w:rPr>
              <w:t xml:space="preserve"> y debate grupal</w:t>
            </w:r>
            <w:r w:rsidRPr="003E0A9F">
              <w:rPr>
                <w:rFonts w:asciiTheme="minorHAnsi" w:hAnsiTheme="minorHAnsi" w:cs="Arial"/>
                <w:lang w:val="es-ES"/>
              </w:rPr>
              <w:t xml:space="preserve"> en un encuentro sincrónico virtual (formativo).</w:t>
            </w:r>
          </w:p>
        </w:tc>
      </w:tr>
      <w:tr w:rsidR="00E52BD9" w:rsidRPr="00D3497C" w14:paraId="39136B66" w14:textId="77777777" w:rsidTr="00104785">
        <w:trPr>
          <w:jc w:val="center"/>
        </w:trPr>
        <w:tc>
          <w:tcPr>
            <w:tcW w:w="1271" w:type="dxa"/>
          </w:tcPr>
          <w:p w14:paraId="79AF00D2" w14:textId="77777777" w:rsidR="00E52BD9" w:rsidRPr="00D3497C" w:rsidRDefault="00E52BD9" w:rsidP="00104785">
            <w:pPr>
              <w:jc w:val="center"/>
              <w:rPr>
                <w:rFonts w:cs="Arial"/>
                <w:color w:val="000000" w:themeColor="text1"/>
              </w:rPr>
            </w:pPr>
            <w:r w:rsidRPr="00D3497C">
              <w:rPr>
                <w:rFonts w:cs="Arial"/>
                <w:color w:val="000000" w:themeColor="text1"/>
              </w:rPr>
              <w:t>8</w:t>
            </w:r>
          </w:p>
        </w:tc>
        <w:tc>
          <w:tcPr>
            <w:tcW w:w="2410" w:type="dxa"/>
          </w:tcPr>
          <w:p w14:paraId="49BF6A2E"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4: </w:t>
            </w:r>
            <w:r w:rsidRPr="00CA707F">
              <w:rPr>
                <w:rFonts w:cs="Arial"/>
                <w:b/>
                <w:color w:val="000000" w:themeColor="text1"/>
              </w:rPr>
              <w:t>El diseño de la investigación: esquema de diseño (componentes)</w:t>
            </w:r>
          </w:p>
          <w:p w14:paraId="4F594425" w14:textId="77777777" w:rsidR="00E52BD9" w:rsidRPr="00D3497C" w:rsidRDefault="00E52BD9" w:rsidP="00104785">
            <w:pPr>
              <w:rPr>
                <w:rFonts w:cs="Arial"/>
                <w:bCs/>
                <w:color w:val="000000" w:themeColor="text1"/>
              </w:rPr>
            </w:pPr>
          </w:p>
          <w:p w14:paraId="2E982CB0" w14:textId="77777777" w:rsidR="00E52BD9" w:rsidRPr="00D3497C" w:rsidRDefault="00E52BD9" w:rsidP="00104785">
            <w:pPr>
              <w:rPr>
                <w:rFonts w:eastAsia="MS Mincho" w:cs="Arial"/>
                <w:color w:val="000000" w:themeColor="text1"/>
              </w:rPr>
            </w:pPr>
            <w:r w:rsidRPr="00D3497C">
              <w:rPr>
                <w:rFonts w:cs="Arial"/>
                <w:color w:val="000000" w:themeColor="text1"/>
              </w:rPr>
              <w:t>4.3 La justificación</w:t>
            </w:r>
          </w:p>
          <w:p w14:paraId="1EF72F56" w14:textId="77777777" w:rsidR="00E52BD9" w:rsidRPr="00D3497C" w:rsidRDefault="00E52BD9" w:rsidP="00104785">
            <w:pPr>
              <w:rPr>
                <w:rFonts w:cs="Arial"/>
                <w:b/>
                <w:bCs/>
                <w:color w:val="000000" w:themeColor="text1"/>
              </w:rPr>
            </w:pPr>
          </w:p>
        </w:tc>
        <w:tc>
          <w:tcPr>
            <w:tcW w:w="2835" w:type="dxa"/>
            <w:shd w:val="clear" w:color="auto" w:fill="auto"/>
          </w:tcPr>
          <w:p w14:paraId="0BDFB017" w14:textId="77777777" w:rsidR="00E52BD9" w:rsidRDefault="00E52BD9" w:rsidP="00104785">
            <w:pPr>
              <w:rPr>
                <w:rFonts w:ascii="Calibri" w:eastAsia="MS Mincho" w:hAnsi="Calibri" w:cs="Arial"/>
                <w:color w:val="000000"/>
              </w:rPr>
            </w:pPr>
            <w:r>
              <w:rPr>
                <w:rFonts w:cs="Arial"/>
                <w:color w:val="0070C0"/>
              </w:rPr>
              <w:t>Ruta de aprendizaje</w:t>
            </w:r>
          </w:p>
          <w:p w14:paraId="1F731E86" w14:textId="77777777" w:rsidR="00E52BD9" w:rsidRDefault="00E52BD9" w:rsidP="00104785">
            <w:pPr>
              <w:rPr>
                <w:rFonts w:ascii="Calibri" w:eastAsia="MS Mincho" w:hAnsi="Calibri" w:cs="Arial"/>
                <w:color w:val="000000"/>
              </w:rPr>
            </w:pPr>
            <w:r w:rsidRPr="00D3497C">
              <w:rPr>
                <w:rFonts w:ascii="Calibri" w:eastAsia="MS Mincho" w:hAnsi="Calibri" w:cs="Arial"/>
                <w:color w:val="000000"/>
              </w:rPr>
              <w:t xml:space="preserve">Hernández Sampieri, Roberto., Carlos Fernández Collado y Pilar Baptista Lucio. “Justificación de la investigación”. En </w:t>
            </w:r>
            <w:r w:rsidRPr="00D3497C">
              <w:rPr>
                <w:rFonts w:ascii="Calibri" w:eastAsia="MS Mincho" w:hAnsi="Calibri" w:cs="Arial"/>
                <w:i/>
                <w:color w:val="000000"/>
              </w:rPr>
              <w:t>Metodología de la investigación</w:t>
            </w:r>
            <w:r>
              <w:rPr>
                <w:rFonts w:ascii="Calibri" w:eastAsia="MS Mincho" w:hAnsi="Calibri" w:cs="Arial"/>
                <w:i/>
                <w:color w:val="000000"/>
              </w:rPr>
              <w:t>: las rutas cuantitativa, cualitativa y mixta</w:t>
            </w:r>
            <w:r w:rsidRPr="00D3497C">
              <w:rPr>
                <w:rFonts w:ascii="Calibri" w:eastAsia="MS Mincho" w:hAnsi="Calibri" w:cs="Arial"/>
                <w:i/>
                <w:color w:val="000000"/>
              </w:rPr>
              <w:t xml:space="preserve">, </w:t>
            </w:r>
            <w:r w:rsidRPr="00D3497C">
              <w:rPr>
                <w:rFonts w:ascii="Calibri" w:eastAsia="MS Mincho" w:hAnsi="Calibri" w:cs="Arial"/>
                <w:color w:val="000000"/>
              </w:rPr>
              <w:t>39-41.</w:t>
            </w:r>
            <w:r w:rsidRPr="00D3497C">
              <w:rPr>
                <w:rFonts w:ascii="Calibri" w:eastAsia="MS Mincho" w:hAnsi="Calibri" w:cs="Arial"/>
                <w:i/>
                <w:color w:val="000000"/>
              </w:rPr>
              <w:t xml:space="preserve"> </w:t>
            </w:r>
            <w:r w:rsidRPr="00D3497C">
              <w:rPr>
                <w:rFonts w:ascii="Calibri" w:eastAsia="MS Mincho" w:hAnsi="Calibri" w:cs="Arial"/>
                <w:color w:val="000000"/>
              </w:rPr>
              <w:t>México: Mc Graw-Hill Interamericana, 201</w:t>
            </w:r>
            <w:r>
              <w:rPr>
                <w:rFonts w:ascii="Calibri" w:eastAsia="MS Mincho" w:hAnsi="Calibri" w:cs="Arial"/>
                <w:color w:val="000000"/>
              </w:rPr>
              <w:t>8</w:t>
            </w:r>
            <w:r w:rsidRPr="00D3497C">
              <w:rPr>
                <w:rFonts w:ascii="Calibri" w:eastAsia="MS Mincho" w:hAnsi="Calibri" w:cs="Arial"/>
                <w:color w:val="000000"/>
              </w:rPr>
              <w:t xml:space="preserve">. </w:t>
            </w:r>
            <w:r w:rsidRPr="00E460B7">
              <w:rPr>
                <w:rFonts w:ascii="Calibri" w:eastAsia="MS Mincho" w:hAnsi="Calibri" w:cs="Arial"/>
                <w:color w:val="0070C0"/>
              </w:rPr>
              <w:t>(clásico, última edición</w:t>
            </w:r>
            <w:r>
              <w:rPr>
                <w:rFonts w:ascii="Calibri" w:eastAsia="MS Mincho" w:hAnsi="Calibri" w:cs="Arial"/>
                <w:color w:val="0070C0"/>
              </w:rPr>
              <w:t xml:space="preserve"> 2020</w:t>
            </w:r>
            <w:r w:rsidRPr="00E460B7">
              <w:rPr>
                <w:rFonts w:ascii="Calibri" w:eastAsia="MS Mincho" w:hAnsi="Calibri" w:cs="Arial"/>
                <w:color w:val="0070C0"/>
              </w:rPr>
              <w:t>)</w:t>
            </w:r>
          </w:p>
          <w:p w14:paraId="1E66CF0D" w14:textId="77777777" w:rsidR="00E52BD9" w:rsidRPr="00D3497C" w:rsidRDefault="00E52BD9" w:rsidP="00104785">
            <w:pPr>
              <w:rPr>
                <w:rFonts w:eastAsia="MS Mincho" w:cstheme="minorHAnsi"/>
                <w:b/>
                <w:color w:val="000000"/>
              </w:rPr>
            </w:pPr>
          </w:p>
        </w:tc>
        <w:tc>
          <w:tcPr>
            <w:tcW w:w="3118" w:type="dxa"/>
          </w:tcPr>
          <w:p w14:paraId="6921ED6D" w14:textId="77777777" w:rsidR="00E52BD9" w:rsidRPr="00D3497C" w:rsidRDefault="00E52BD9" w:rsidP="00E52BD9">
            <w:pPr>
              <w:pStyle w:val="Prrafodelista"/>
              <w:numPr>
                <w:ilvl w:val="0"/>
                <w:numId w:val="59"/>
              </w:numPr>
              <w:ind w:left="423"/>
              <w:rPr>
                <w:rFonts w:asciiTheme="minorHAnsi" w:hAnsiTheme="minorHAnsi" w:cs="Arial"/>
                <w:color w:val="000000" w:themeColor="text1"/>
              </w:rPr>
            </w:pPr>
            <w:r w:rsidRPr="00D3497C">
              <w:rPr>
                <w:rFonts w:asciiTheme="minorHAnsi" w:hAnsiTheme="minorHAnsi" w:cs="Arial"/>
                <w:color w:val="000000" w:themeColor="text1"/>
              </w:rPr>
              <w:t xml:space="preserve">Elaboración de la justificación de la investigación. </w:t>
            </w:r>
          </w:p>
          <w:p w14:paraId="559E6848" w14:textId="77777777" w:rsidR="00E52BD9" w:rsidRPr="00D3497C" w:rsidRDefault="00E52BD9" w:rsidP="00104785">
            <w:pPr>
              <w:pStyle w:val="Prrafodelista"/>
              <w:ind w:left="423"/>
              <w:rPr>
                <w:rFonts w:asciiTheme="minorHAnsi" w:hAnsiTheme="minorHAnsi" w:cs="Arial"/>
                <w:color w:val="000000" w:themeColor="text1"/>
              </w:rPr>
            </w:pPr>
          </w:p>
        </w:tc>
      </w:tr>
      <w:tr w:rsidR="00E52BD9" w:rsidRPr="00D3497C" w14:paraId="7BD82359" w14:textId="77777777" w:rsidTr="00104785">
        <w:trPr>
          <w:trHeight w:val="992"/>
          <w:jc w:val="center"/>
        </w:trPr>
        <w:tc>
          <w:tcPr>
            <w:tcW w:w="1271" w:type="dxa"/>
          </w:tcPr>
          <w:p w14:paraId="390BE858" w14:textId="77777777" w:rsidR="00E52BD9" w:rsidRPr="00D3497C" w:rsidRDefault="00E52BD9" w:rsidP="00104785">
            <w:pPr>
              <w:jc w:val="center"/>
              <w:rPr>
                <w:rFonts w:cs="Arial"/>
                <w:color w:val="000000" w:themeColor="text1"/>
              </w:rPr>
            </w:pPr>
            <w:r w:rsidRPr="00D3497C">
              <w:rPr>
                <w:rFonts w:cs="Arial"/>
                <w:color w:val="000000" w:themeColor="text1"/>
              </w:rPr>
              <w:lastRenderedPageBreak/>
              <w:t xml:space="preserve">9 </w:t>
            </w:r>
          </w:p>
          <w:p w14:paraId="18DD4BF7" w14:textId="77777777" w:rsidR="00E52BD9" w:rsidRPr="00D3497C" w:rsidRDefault="00E52BD9" w:rsidP="00104785">
            <w:pPr>
              <w:jc w:val="center"/>
              <w:rPr>
                <w:rFonts w:cs="Arial"/>
                <w:color w:val="000000" w:themeColor="text1"/>
              </w:rPr>
            </w:pPr>
          </w:p>
        </w:tc>
        <w:tc>
          <w:tcPr>
            <w:tcW w:w="2410" w:type="dxa"/>
          </w:tcPr>
          <w:p w14:paraId="7CB80DF5"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5: </w:t>
            </w:r>
            <w:r w:rsidRPr="00CA707F">
              <w:rPr>
                <w:rFonts w:cs="Arial"/>
                <w:b/>
                <w:color w:val="000000" w:themeColor="text1"/>
              </w:rPr>
              <w:t>La formulación de un marco metodológico</w:t>
            </w:r>
          </w:p>
          <w:p w14:paraId="3BFC57EE" w14:textId="77777777" w:rsidR="00E52BD9" w:rsidRPr="00D3497C" w:rsidRDefault="00E52BD9" w:rsidP="00104785">
            <w:pPr>
              <w:rPr>
                <w:rFonts w:cs="Arial"/>
                <w:bCs/>
                <w:color w:val="000000" w:themeColor="text1"/>
              </w:rPr>
            </w:pPr>
          </w:p>
          <w:p w14:paraId="5AC61CE7" w14:textId="77777777" w:rsidR="00E52BD9" w:rsidRPr="00D3497C" w:rsidRDefault="00E52BD9" w:rsidP="00104785">
            <w:pPr>
              <w:rPr>
                <w:rFonts w:cs="Arial"/>
                <w:color w:val="000000" w:themeColor="text1"/>
              </w:rPr>
            </w:pPr>
            <w:r w:rsidRPr="00D3497C">
              <w:rPr>
                <w:rFonts w:cs="Arial"/>
                <w:color w:val="000000" w:themeColor="text1"/>
              </w:rPr>
              <w:t>5.1 Tipo de estudio</w:t>
            </w:r>
          </w:p>
          <w:p w14:paraId="7D4FA2C8" w14:textId="77777777" w:rsidR="00E52BD9" w:rsidRPr="00D3497C" w:rsidRDefault="00E52BD9" w:rsidP="00104785">
            <w:pPr>
              <w:rPr>
                <w:rFonts w:cs="Arial"/>
                <w:color w:val="000000" w:themeColor="text1"/>
              </w:rPr>
            </w:pPr>
            <w:r w:rsidRPr="00D3497C">
              <w:rPr>
                <w:rFonts w:cs="Arial"/>
                <w:color w:val="000000" w:themeColor="text1"/>
              </w:rPr>
              <w:t>5.2 Marco metodológico propuesto</w:t>
            </w:r>
          </w:p>
          <w:p w14:paraId="7324BCD4" w14:textId="77777777" w:rsidR="00E52BD9" w:rsidRPr="00D3497C" w:rsidRDefault="00E52BD9" w:rsidP="00104785">
            <w:pPr>
              <w:rPr>
                <w:rFonts w:eastAsia="MS Mincho" w:cs="Arial"/>
                <w:color w:val="000000" w:themeColor="text1"/>
              </w:rPr>
            </w:pPr>
            <w:r w:rsidRPr="00D3497C">
              <w:rPr>
                <w:rFonts w:cs="Arial"/>
                <w:color w:val="000000" w:themeColor="text1"/>
              </w:rPr>
              <w:t>5.3 Estrategias por capítulo</w:t>
            </w:r>
          </w:p>
        </w:tc>
        <w:tc>
          <w:tcPr>
            <w:tcW w:w="2835" w:type="dxa"/>
          </w:tcPr>
          <w:p w14:paraId="636CF9B0" w14:textId="77777777" w:rsidR="00E52BD9" w:rsidRDefault="00E52BD9" w:rsidP="00104785">
            <w:pPr>
              <w:rPr>
                <w:rFonts w:ascii="Calibri" w:eastAsia="MS Mincho" w:hAnsi="Calibri" w:cs="Arial"/>
                <w:color w:val="000000"/>
              </w:rPr>
            </w:pPr>
            <w:r>
              <w:rPr>
                <w:rFonts w:cs="Arial"/>
                <w:color w:val="0070C0"/>
              </w:rPr>
              <w:t>Ruta de aprendizaje</w:t>
            </w:r>
          </w:p>
          <w:p w14:paraId="66B3CBB2" w14:textId="77777777" w:rsidR="00E52BD9" w:rsidRPr="00E460B7" w:rsidRDefault="00E52BD9" w:rsidP="00104785">
            <w:pPr>
              <w:rPr>
                <w:rFonts w:ascii="Calibri" w:eastAsia="MS Mincho" w:hAnsi="Calibri" w:cs="Arial"/>
                <w:color w:val="0070C0"/>
              </w:rPr>
            </w:pPr>
            <w:r w:rsidRPr="00D3497C">
              <w:rPr>
                <w:rFonts w:ascii="Calibri" w:eastAsia="MS Mincho" w:hAnsi="Calibri" w:cs="Arial"/>
                <w:color w:val="000000"/>
              </w:rPr>
              <w:t xml:space="preserve">May, Janet. “Metodología”. En </w:t>
            </w:r>
            <w:r w:rsidRPr="00D3497C">
              <w:rPr>
                <w:rFonts w:ascii="Calibri" w:eastAsia="MS Mincho" w:hAnsi="Calibri" w:cs="Arial"/>
                <w:i/>
                <w:color w:val="000000"/>
              </w:rPr>
              <w:t>Guía para la presentación de trabajos académicos</w:t>
            </w:r>
            <w:r w:rsidRPr="00D3497C">
              <w:rPr>
                <w:rFonts w:ascii="Calibri" w:eastAsia="MS Mincho" w:hAnsi="Calibri" w:cs="Arial"/>
                <w:color w:val="000000"/>
              </w:rPr>
              <w:t>, 77-115.</w:t>
            </w:r>
            <w:r w:rsidRPr="00D3497C">
              <w:rPr>
                <w:rFonts w:ascii="Calibri" w:eastAsia="MS Mincho" w:hAnsi="Calibri" w:cs="Arial"/>
                <w:i/>
                <w:color w:val="000000"/>
              </w:rPr>
              <w:t xml:space="preserve"> </w:t>
            </w:r>
            <w:r w:rsidRPr="00D3497C">
              <w:rPr>
                <w:rFonts w:ascii="Calibri" w:eastAsia="MS Mincho" w:hAnsi="Calibri" w:cs="Arial"/>
                <w:color w:val="000000"/>
              </w:rPr>
              <w:t>San José: Universidad Bíblica Latinoamericana, 2003.</w:t>
            </w:r>
            <w:r>
              <w:rPr>
                <w:rFonts w:ascii="Calibri" w:eastAsia="MS Mincho" w:hAnsi="Calibri" w:cs="Arial"/>
                <w:color w:val="000000"/>
              </w:rPr>
              <w:t xml:space="preserve"> </w:t>
            </w:r>
            <w:r w:rsidRPr="00E460B7">
              <w:rPr>
                <w:rFonts w:ascii="Calibri" w:eastAsia="MS Mincho" w:hAnsi="Calibri" w:cs="Arial"/>
                <w:color w:val="0070C0"/>
              </w:rPr>
              <w:t>(clásico, última edición)</w:t>
            </w:r>
          </w:p>
          <w:p w14:paraId="1A9A680C" w14:textId="77777777" w:rsidR="00E52BD9" w:rsidRPr="00D3497C" w:rsidRDefault="00E52BD9" w:rsidP="00104785">
            <w:pPr>
              <w:rPr>
                <w:rFonts w:ascii="Calibri" w:eastAsia="MS Mincho" w:hAnsi="Calibri" w:cs="Arial"/>
                <w:color w:val="000000"/>
              </w:rPr>
            </w:pPr>
          </w:p>
          <w:p w14:paraId="30965BEB" w14:textId="77777777" w:rsidR="00E52BD9" w:rsidRDefault="00E52BD9" w:rsidP="00104785">
            <w:pPr>
              <w:rPr>
                <w:rFonts w:cstheme="minorHAnsi"/>
              </w:rPr>
            </w:pPr>
            <w:r w:rsidRPr="00D3497C">
              <w:rPr>
                <w:rFonts w:cs="Arial"/>
                <w:lang w:eastAsia="es-ES"/>
              </w:rPr>
              <w:t xml:space="preserve">Mora, Edwin. “Aportes del paradigma de investigación cualitativa a la investigación teológica contextual”. </w:t>
            </w:r>
            <w:r w:rsidRPr="00D3497C">
              <w:rPr>
                <w:rFonts w:cstheme="minorHAnsi"/>
                <w:i/>
              </w:rPr>
              <w:t xml:space="preserve">Vida y pensamiento 33-34, </w:t>
            </w:r>
            <w:r w:rsidRPr="00D3497C">
              <w:rPr>
                <w:rFonts w:cstheme="minorHAnsi"/>
              </w:rPr>
              <w:t>n. 2-1 (2013): pp. 277-329.</w:t>
            </w:r>
          </w:p>
          <w:p w14:paraId="13510BC2" w14:textId="77777777" w:rsidR="00E52BD9" w:rsidRPr="00D3497C" w:rsidRDefault="00E52BD9" w:rsidP="00104785">
            <w:pPr>
              <w:rPr>
                <w:rFonts w:cstheme="minorHAnsi"/>
              </w:rPr>
            </w:pPr>
          </w:p>
          <w:p w14:paraId="273CCC99" w14:textId="77777777" w:rsidR="00E52BD9" w:rsidRPr="00D3497C" w:rsidRDefault="00E52BD9" w:rsidP="00104785">
            <w:pPr>
              <w:rPr>
                <w:rFonts w:ascii="Calibri" w:eastAsia="MS Mincho" w:hAnsi="Calibri" w:cs="Arial"/>
                <w:b/>
                <w:bCs/>
                <w:color w:val="000000"/>
              </w:rPr>
            </w:pPr>
            <w:r w:rsidRPr="00D3497C">
              <w:rPr>
                <w:rFonts w:ascii="Calibri" w:eastAsia="MS Mincho" w:hAnsi="Calibri" w:cs="Arial"/>
                <w:b/>
                <w:bCs/>
                <w:color w:val="000000"/>
              </w:rPr>
              <w:t>Material complementario</w:t>
            </w:r>
          </w:p>
          <w:p w14:paraId="6281C91F" w14:textId="77777777" w:rsidR="00E52BD9" w:rsidRPr="00E460B7" w:rsidRDefault="00E52BD9" w:rsidP="00104785">
            <w:pPr>
              <w:rPr>
                <w:rFonts w:ascii="Calibri" w:eastAsia="MS Mincho" w:hAnsi="Calibri" w:cs="Arial"/>
                <w:color w:val="0070C0"/>
              </w:rPr>
            </w:pPr>
            <w:proofErr w:type="spellStart"/>
            <w:r w:rsidRPr="00D3497C">
              <w:rPr>
                <w:rFonts w:ascii="Calibri" w:eastAsia="MS Mincho" w:hAnsi="Calibri" w:cs="Arial"/>
              </w:rPr>
              <w:t>Spedding</w:t>
            </w:r>
            <w:proofErr w:type="spellEnd"/>
            <w:r w:rsidRPr="00D3497C">
              <w:rPr>
                <w:rFonts w:ascii="Calibri" w:eastAsia="MS Mincho" w:hAnsi="Calibri" w:cs="Arial"/>
              </w:rPr>
              <w:t xml:space="preserve">, Alison. “Metodologías cualitativas: ingreso al trabajo de campo y recolección de datos”. En </w:t>
            </w:r>
            <w:r w:rsidRPr="00D3497C">
              <w:rPr>
                <w:rFonts w:ascii="Calibri" w:eastAsia="MS Mincho" w:hAnsi="Calibri" w:cs="Arial"/>
                <w:i/>
                <w:iCs/>
              </w:rPr>
              <w:t>Pautas metodológicas para investigaciones cualitativas y cuantitativas en ciencias sociales y humanas</w:t>
            </w:r>
            <w:r w:rsidRPr="00D3497C">
              <w:rPr>
                <w:rFonts w:ascii="Calibri" w:eastAsia="MS Mincho" w:hAnsi="Calibri" w:cs="Arial"/>
              </w:rPr>
              <w:t xml:space="preserve">, coordinado por Mario </w:t>
            </w:r>
            <w:proofErr w:type="spellStart"/>
            <w:r w:rsidRPr="00D3497C">
              <w:rPr>
                <w:rFonts w:ascii="Calibri" w:eastAsia="MS Mincho" w:hAnsi="Calibri" w:cs="Arial"/>
              </w:rPr>
              <w:t>Yapu</w:t>
            </w:r>
            <w:proofErr w:type="spellEnd"/>
            <w:r w:rsidRPr="00D3497C">
              <w:rPr>
                <w:rFonts w:ascii="Calibri" w:eastAsia="MS Mincho" w:hAnsi="Calibri" w:cs="Arial"/>
              </w:rPr>
              <w:t>, 118-144. La Paz: Fundación PIEB, 2010.</w:t>
            </w:r>
            <w:r>
              <w:rPr>
                <w:rFonts w:ascii="Calibri" w:eastAsia="MS Mincho" w:hAnsi="Calibri" w:cs="Arial"/>
              </w:rPr>
              <w:t xml:space="preserve"> </w:t>
            </w:r>
            <w:r w:rsidRPr="00E460B7">
              <w:rPr>
                <w:rFonts w:ascii="Calibri" w:eastAsia="MS Mincho" w:hAnsi="Calibri" w:cs="Arial"/>
                <w:color w:val="0070C0"/>
              </w:rPr>
              <w:t>(clásico, última edición)</w:t>
            </w:r>
          </w:p>
          <w:p w14:paraId="280D854D" w14:textId="77777777" w:rsidR="00E52BD9" w:rsidRPr="00D3497C" w:rsidRDefault="00E52BD9" w:rsidP="00104785">
            <w:pPr>
              <w:rPr>
                <w:rFonts w:ascii="Calibri" w:eastAsia="MS Mincho" w:hAnsi="Calibri" w:cs="Arial"/>
              </w:rPr>
            </w:pPr>
          </w:p>
        </w:tc>
        <w:tc>
          <w:tcPr>
            <w:tcW w:w="3118" w:type="dxa"/>
          </w:tcPr>
          <w:p w14:paraId="29BFA90D" w14:textId="77777777" w:rsidR="00E52BD9" w:rsidRPr="00D3497C" w:rsidRDefault="00E52BD9" w:rsidP="00E52BD9">
            <w:pPr>
              <w:pStyle w:val="Prrafodelista"/>
              <w:numPr>
                <w:ilvl w:val="0"/>
                <w:numId w:val="60"/>
              </w:numPr>
              <w:ind w:left="423"/>
              <w:rPr>
                <w:rFonts w:asciiTheme="minorHAnsi" w:hAnsiTheme="minorHAnsi" w:cs="Arial"/>
                <w:color w:val="000000" w:themeColor="text1"/>
                <w:lang w:val="es-ES"/>
              </w:rPr>
            </w:pPr>
            <w:r w:rsidRPr="00D3497C">
              <w:rPr>
                <w:rFonts w:asciiTheme="minorHAnsi" w:hAnsiTheme="minorHAnsi" w:cs="Arial"/>
                <w:color w:val="000000" w:themeColor="text1"/>
                <w:lang w:val="es-ES"/>
              </w:rPr>
              <w:t xml:space="preserve">Elaboración de la metodología de la investigación. </w:t>
            </w:r>
          </w:p>
          <w:p w14:paraId="38C5158A" w14:textId="77777777" w:rsidR="00E52BD9" w:rsidRPr="00D3497C" w:rsidRDefault="00E52BD9" w:rsidP="00E52BD9">
            <w:pPr>
              <w:pStyle w:val="Prrafodelista"/>
              <w:numPr>
                <w:ilvl w:val="0"/>
                <w:numId w:val="60"/>
              </w:numPr>
              <w:ind w:left="423"/>
              <w:rPr>
                <w:rFonts w:asciiTheme="minorHAnsi" w:hAnsiTheme="minorHAnsi" w:cs="Arial"/>
                <w:color w:val="000000" w:themeColor="text1"/>
                <w:lang w:val="es-ES"/>
              </w:rPr>
            </w:pPr>
            <w:r w:rsidRPr="00D3497C">
              <w:rPr>
                <w:rFonts w:asciiTheme="minorHAnsi" w:hAnsiTheme="minorHAnsi" w:cs="Arial"/>
                <w:color w:val="000000" w:themeColor="text1"/>
              </w:rPr>
              <w:t>Entrega del segundo avance del diseño de investigación.</w:t>
            </w:r>
          </w:p>
        </w:tc>
      </w:tr>
      <w:tr w:rsidR="00E52BD9" w:rsidRPr="00D3497C" w14:paraId="135EF5F0" w14:textId="77777777" w:rsidTr="00104785">
        <w:trPr>
          <w:trHeight w:val="5500"/>
          <w:jc w:val="center"/>
        </w:trPr>
        <w:tc>
          <w:tcPr>
            <w:tcW w:w="1271" w:type="dxa"/>
          </w:tcPr>
          <w:p w14:paraId="2DD113D4" w14:textId="77777777" w:rsidR="00E52BD9" w:rsidRPr="00D3497C" w:rsidRDefault="00E52BD9" w:rsidP="00104785">
            <w:pPr>
              <w:jc w:val="center"/>
              <w:rPr>
                <w:rFonts w:cs="Arial"/>
                <w:color w:val="000000" w:themeColor="text1"/>
              </w:rPr>
            </w:pPr>
            <w:r w:rsidRPr="00D3497C">
              <w:rPr>
                <w:rFonts w:cs="Arial"/>
                <w:color w:val="000000" w:themeColor="text1"/>
              </w:rPr>
              <w:lastRenderedPageBreak/>
              <w:t>10</w:t>
            </w:r>
          </w:p>
        </w:tc>
        <w:tc>
          <w:tcPr>
            <w:tcW w:w="2410" w:type="dxa"/>
          </w:tcPr>
          <w:p w14:paraId="48F287A7" w14:textId="77777777" w:rsidR="00E52BD9" w:rsidRPr="00CA707F" w:rsidRDefault="00E52BD9" w:rsidP="00104785">
            <w:pPr>
              <w:rPr>
                <w:rFonts w:eastAsia="MS Mincho" w:cs="Arial"/>
                <w:b/>
                <w:color w:val="000000" w:themeColor="text1"/>
              </w:rPr>
            </w:pPr>
            <w:r w:rsidRPr="00CA707F">
              <w:rPr>
                <w:rFonts w:eastAsia="MS Mincho" w:cs="Arial"/>
                <w:b/>
                <w:color w:val="000000" w:themeColor="text1"/>
              </w:rPr>
              <w:t>Unidad 6: Elaboración de un bosquejo de trabajo</w:t>
            </w:r>
          </w:p>
          <w:p w14:paraId="1B4AF121" w14:textId="77777777" w:rsidR="00E52BD9" w:rsidRPr="00D3497C" w:rsidRDefault="00E52BD9" w:rsidP="00104785">
            <w:pPr>
              <w:rPr>
                <w:rFonts w:eastAsia="MS Mincho" w:cs="Arial"/>
                <w:bCs/>
                <w:color w:val="000000" w:themeColor="text1"/>
              </w:rPr>
            </w:pPr>
          </w:p>
          <w:p w14:paraId="25114233" w14:textId="77777777" w:rsidR="00E52BD9" w:rsidRPr="00D3497C" w:rsidRDefault="00E52BD9" w:rsidP="00104785">
            <w:pPr>
              <w:rPr>
                <w:rFonts w:eastAsia="MS Mincho" w:cs="Arial"/>
                <w:color w:val="000000" w:themeColor="text1"/>
              </w:rPr>
            </w:pPr>
            <w:r w:rsidRPr="00D3497C">
              <w:rPr>
                <w:rFonts w:eastAsia="MS Mincho" w:cs="Arial"/>
                <w:color w:val="000000" w:themeColor="text1"/>
              </w:rPr>
              <w:t>6.1 Revisión de fases de la investigación</w:t>
            </w:r>
          </w:p>
          <w:p w14:paraId="222575BF" w14:textId="77777777" w:rsidR="00E52BD9" w:rsidRPr="00D3497C" w:rsidRDefault="00E52BD9" w:rsidP="00104785">
            <w:pPr>
              <w:rPr>
                <w:rFonts w:eastAsia="MS Mincho" w:cs="Arial"/>
                <w:color w:val="000000" w:themeColor="text1"/>
              </w:rPr>
            </w:pPr>
            <w:r w:rsidRPr="00D3497C">
              <w:rPr>
                <w:rFonts w:eastAsia="MS Mincho" w:cs="Arial"/>
                <w:color w:val="000000" w:themeColor="text1"/>
              </w:rPr>
              <w:t>6.2 Propuesta de un calendario tentativo</w:t>
            </w:r>
          </w:p>
          <w:p w14:paraId="1222E45A" w14:textId="77777777" w:rsidR="00E52BD9" w:rsidRPr="00D3497C" w:rsidRDefault="00E52BD9" w:rsidP="00104785">
            <w:pPr>
              <w:rPr>
                <w:rFonts w:eastAsia="MS Mincho" w:cs="Arial"/>
                <w:color w:val="000000" w:themeColor="text1"/>
              </w:rPr>
            </w:pPr>
            <w:r w:rsidRPr="00D3497C">
              <w:rPr>
                <w:rFonts w:eastAsia="MS Mincho" w:cs="Arial"/>
                <w:color w:val="000000" w:themeColor="text1"/>
              </w:rPr>
              <w:t>6.3 Elaboración de un cronograma</w:t>
            </w:r>
          </w:p>
          <w:p w14:paraId="5F9EFA81" w14:textId="77777777" w:rsidR="00E52BD9" w:rsidRPr="00D3497C" w:rsidRDefault="00E52BD9" w:rsidP="00104785">
            <w:pPr>
              <w:spacing w:line="276" w:lineRule="auto"/>
              <w:rPr>
                <w:rFonts w:eastAsia="MS Mincho" w:cs="Arial"/>
                <w:b/>
                <w:color w:val="000000" w:themeColor="text1"/>
              </w:rPr>
            </w:pPr>
          </w:p>
        </w:tc>
        <w:tc>
          <w:tcPr>
            <w:tcW w:w="2835" w:type="dxa"/>
          </w:tcPr>
          <w:p w14:paraId="70FD0E56" w14:textId="77777777" w:rsidR="00E52BD9" w:rsidRDefault="00E52BD9" w:rsidP="00104785">
            <w:pPr>
              <w:rPr>
                <w:rFonts w:ascii="Calibri" w:eastAsia="MS Mincho" w:hAnsi="Calibri" w:cs="Arial"/>
                <w:color w:val="000000"/>
              </w:rPr>
            </w:pPr>
            <w:r>
              <w:rPr>
                <w:rFonts w:cs="Arial"/>
                <w:color w:val="0070C0"/>
              </w:rPr>
              <w:t>Ruta de aprendizaje</w:t>
            </w:r>
          </w:p>
          <w:p w14:paraId="371BF387" w14:textId="77777777" w:rsidR="00E52BD9" w:rsidRPr="00E460B7" w:rsidRDefault="00E52BD9" w:rsidP="00104785">
            <w:pPr>
              <w:rPr>
                <w:rFonts w:ascii="Calibri" w:eastAsia="MS Mincho" w:hAnsi="Calibri" w:cs="Arial"/>
                <w:color w:val="0070C0"/>
              </w:rPr>
            </w:pPr>
            <w:r w:rsidRPr="00D3497C">
              <w:rPr>
                <w:rFonts w:ascii="Calibri" w:eastAsia="MS Mincho" w:hAnsi="Calibri" w:cs="Arial"/>
                <w:color w:val="000000"/>
              </w:rPr>
              <w:t xml:space="preserve">García Corral, Susana. “Etapa 0: Planificación, cronograma y presupuesto de la investigación”. En </w:t>
            </w:r>
            <w:r w:rsidRPr="00D3497C">
              <w:rPr>
                <w:rFonts w:ascii="Calibri" w:eastAsia="MS Mincho" w:hAnsi="Calibri" w:cs="Arial"/>
                <w:i/>
                <w:color w:val="000000"/>
              </w:rPr>
              <w:t xml:space="preserve">Manual práctico de investigación social con enfoque de género: métodos y técnicas de investigación social desde una perspectiva de género, </w:t>
            </w:r>
            <w:r w:rsidRPr="00D3497C">
              <w:rPr>
                <w:rFonts w:ascii="Calibri" w:eastAsia="MS Mincho" w:hAnsi="Calibri" w:cs="Arial"/>
                <w:color w:val="000000"/>
              </w:rPr>
              <w:t>36-39.</w:t>
            </w:r>
            <w:r w:rsidRPr="00D3497C">
              <w:rPr>
                <w:rFonts w:ascii="Calibri" w:eastAsia="MS Mincho" w:hAnsi="Calibri" w:cs="Arial"/>
                <w:i/>
                <w:color w:val="000000"/>
              </w:rPr>
              <w:t xml:space="preserve"> </w:t>
            </w:r>
            <w:r w:rsidRPr="00D3497C">
              <w:rPr>
                <w:rFonts w:ascii="Calibri" w:eastAsia="MS Mincho" w:hAnsi="Calibri" w:cs="Arial"/>
                <w:color w:val="000000"/>
              </w:rPr>
              <w:t xml:space="preserve">San Salvador: Red de Mujeres por la Unidad y el Desarrollo, 1999. </w:t>
            </w:r>
            <w:r w:rsidRPr="00E460B7">
              <w:rPr>
                <w:rFonts w:ascii="Calibri" w:eastAsia="MS Mincho" w:hAnsi="Calibri" w:cs="Arial"/>
                <w:color w:val="0070C0"/>
              </w:rPr>
              <w:t>(clásico, última edición)</w:t>
            </w:r>
          </w:p>
          <w:p w14:paraId="465A464D" w14:textId="77777777" w:rsidR="00E52BD9" w:rsidRDefault="00E52BD9" w:rsidP="00104785">
            <w:pPr>
              <w:rPr>
                <w:rFonts w:ascii="Calibri" w:eastAsia="MS Mincho" w:hAnsi="Calibri" w:cs="Arial"/>
                <w:b/>
                <w:bCs/>
                <w:color w:val="0070C0"/>
              </w:rPr>
            </w:pPr>
            <w:r w:rsidRPr="00BE0ACA">
              <w:rPr>
                <w:rFonts w:ascii="Calibri" w:eastAsia="MS Mincho" w:hAnsi="Calibri" w:cs="Arial"/>
                <w:b/>
                <w:bCs/>
                <w:color w:val="0070C0"/>
              </w:rPr>
              <w:t>Material complementario</w:t>
            </w:r>
          </w:p>
          <w:p w14:paraId="1047E406" w14:textId="77777777" w:rsidR="00E52BD9" w:rsidRPr="00D3497C" w:rsidRDefault="00E52BD9" w:rsidP="00104785">
            <w:pPr>
              <w:rPr>
                <w:rFonts w:ascii="Calibri" w:eastAsia="MS Mincho" w:hAnsi="Calibri" w:cs="Arial"/>
                <w:color w:val="000000"/>
              </w:rPr>
            </w:pPr>
            <w:r>
              <w:rPr>
                <w:rFonts w:ascii="Calibri" w:eastAsia="MS Mincho" w:hAnsi="Calibri" w:cs="Arial"/>
                <w:color w:val="0070C0"/>
              </w:rPr>
              <w:t xml:space="preserve">Guía para la participación mediante la herramienta Big Blue </w:t>
            </w:r>
            <w:proofErr w:type="spellStart"/>
            <w:r>
              <w:rPr>
                <w:rFonts w:ascii="Calibri" w:eastAsia="MS Mincho" w:hAnsi="Calibri" w:cs="Arial"/>
                <w:color w:val="0070C0"/>
              </w:rPr>
              <w:t>Button</w:t>
            </w:r>
            <w:proofErr w:type="spellEnd"/>
            <w:r>
              <w:rPr>
                <w:rFonts w:ascii="Calibri" w:eastAsia="MS Mincho" w:hAnsi="Calibri" w:cs="Arial"/>
                <w:color w:val="0070C0"/>
              </w:rPr>
              <w:t xml:space="preserve"> en la plataforma Moodle</w:t>
            </w:r>
          </w:p>
        </w:tc>
        <w:tc>
          <w:tcPr>
            <w:tcW w:w="3118" w:type="dxa"/>
          </w:tcPr>
          <w:p w14:paraId="31036ACF" w14:textId="77777777" w:rsidR="00E52BD9" w:rsidRPr="00D3497C" w:rsidRDefault="00E52BD9" w:rsidP="00E52BD9">
            <w:pPr>
              <w:pStyle w:val="Prrafodelista"/>
              <w:numPr>
                <w:ilvl w:val="0"/>
                <w:numId w:val="61"/>
              </w:numPr>
              <w:ind w:left="423"/>
              <w:rPr>
                <w:rFonts w:asciiTheme="minorHAnsi" w:hAnsiTheme="minorHAnsi" w:cs="Arial"/>
                <w:color w:val="000000" w:themeColor="text1"/>
                <w:lang w:val="es-ES"/>
              </w:rPr>
            </w:pPr>
            <w:r w:rsidRPr="00D3497C">
              <w:rPr>
                <w:rFonts w:asciiTheme="minorHAnsi" w:hAnsiTheme="minorHAnsi" w:cs="Arial"/>
                <w:color w:val="000000" w:themeColor="text1"/>
                <w:lang w:val="es-ES"/>
              </w:rPr>
              <w:t xml:space="preserve">Elaboración del cronograma tentativo para el diseño de la investigación. </w:t>
            </w:r>
          </w:p>
          <w:p w14:paraId="6B255C9D" w14:textId="77777777" w:rsidR="00E52BD9" w:rsidRPr="00D3497C" w:rsidRDefault="00E52BD9" w:rsidP="00E52BD9">
            <w:pPr>
              <w:pStyle w:val="Prrafodelista"/>
              <w:numPr>
                <w:ilvl w:val="0"/>
                <w:numId w:val="61"/>
              </w:numPr>
              <w:ind w:left="423"/>
              <w:rPr>
                <w:rFonts w:asciiTheme="minorHAnsi" w:hAnsiTheme="minorHAnsi" w:cs="Arial"/>
                <w:color w:val="000000" w:themeColor="text1"/>
                <w:lang w:val="es-ES"/>
              </w:rPr>
            </w:pPr>
            <w:r w:rsidRPr="003E0A9F">
              <w:rPr>
                <w:rFonts w:asciiTheme="minorHAnsi" w:hAnsiTheme="minorHAnsi" w:cs="Arial"/>
                <w:lang w:val="es-ES"/>
              </w:rPr>
              <w:t>Presentación docente</w:t>
            </w:r>
            <w:r>
              <w:rPr>
                <w:rFonts w:asciiTheme="minorHAnsi" w:hAnsiTheme="minorHAnsi" w:cs="Arial"/>
                <w:lang w:val="es-ES"/>
              </w:rPr>
              <w:t xml:space="preserve"> y debate grupal</w:t>
            </w:r>
            <w:r w:rsidRPr="003E0A9F">
              <w:rPr>
                <w:rFonts w:asciiTheme="minorHAnsi" w:hAnsiTheme="minorHAnsi" w:cs="Arial"/>
                <w:lang w:val="es-ES"/>
              </w:rPr>
              <w:t xml:space="preserve"> en un encuentro sincrónico virtual (formativo).</w:t>
            </w:r>
          </w:p>
        </w:tc>
      </w:tr>
      <w:tr w:rsidR="00E52BD9" w:rsidRPr="00D3497C" w14:paraId="119520ED" w14:textId="77777777" w:rsidTr="00104785">
        <w:trPr>
          <w:jc w:val="center"/>
        </w:trPr>
        <w:tc>
          <w:tcPr>
            <w:tcW w:w="1271" w:type="dxa"/>
          </w:tcPr>
          <w:p w14:paraId="3D0DB840" w14:textId="77777777" w:rsidR="00E52BD9" w:rsidRPr="00D3497C" w:rsidRDefault="00E52BD9" w:rsidP="00104785">
            <w:pPr>
              <w:jc w:val="center"/>
              <w:rPr>
                <w:rFonts w:cs="Arial"/>
                <w:color w:val="000000" w:themeColor="text1"/>
              </w:rPr>
            </w:pPr>
            <w:r w:rsidRPr="00D3497C">
              <w:rPr>
                <w:rFonts w:cs="Arial"/>
                <w:color w:val="000000" w:themeColor="text1"/>
              </w:rPr>
              <w:t>11</w:t>
            </w:r>
          </w:p>
        </w:tc>
        <w:tc>
          <w:tcPr>
            <w:tcW w:w="2410" w:type="dxa"/>
          </w:tcPr>
          <w:p w14:paraId="526254B4" w14:textId="77777777" w:rsidR="00E52BD9" w:rsidRPr="00CA707F" w:rsidRDefault="00E52BD9" w:rsidP="00104785">
            <w:pPr>
              <w:rPr>
                <w:rFonts w:cs="Arial"/>
                <w:b/>
                <w:color w:val="000000" w:themeColor="text1"/>
              </w:rPr>
            </w:pPr>
            <w:r w:rsidRPr="00CA707F">
              <w:rPr>
                <w:rFonts w:cs="Arial"/>
                <w:b/>
                <w:color w:val="000000" w:themeColor="text1"/>
              </w:rPr>
              <w:t>Unidad 7: La recolección y utilización de datos</w:t>
            </w:r>
          </w:p>
          <w:p w14:paraId="215854FC" w14:textId="77777777" w:rsidR="00E52BD9" w:rsidRPr="00D3497C" w:rsidRDefault="00E52BD9" w:rsidP="00104785">
            <w:pPr>
              <w:rPr>
                <w:rFonts w:cs="Arial"/>
                <w:bCs/>
                <w:color w:val="000000" w:themeColor="text1"/>
              </w:rPr>
            </w:pPr>
          </w:p>
          <w:p w14:paraId="54C107FC" w14:textId="77777777" w:rsidR="00E52BD9" w:rsidRPr="00D3497C" w:rsidRDefault="00E52BD9" w:rsidP="00104785">
            <w:pPr>
              <w:rPr>
                <w:rFonts w:cs="Arial"/>
                <w:color w:val="FF0000"/>
              </w:rPr>
            </w:pPr>
            <w:r w:rsidRPr="00D3497C">
              <w:rPr>
                <w:rFonts w:cs="Arial"/>
                <w:color w:val="000000" w:themeColor="text1"/>
              </w:rPr>
              <w:t>7.1 El método parentético versión Chicago-Deusto</w:t>
            </w:r>
          </w:p>
          <w:p w14:paraId="0C5C307B" w14:textId="77777777" w:rsidR="00E52BD9" w:rsidRPr="00D3497C" w:rsidRDefault="00E52BD9" w:rsidP="00104785">
            <w:pPr>
              <w:rPr>
                <w:rFonts w:cs="Arial"/>
                <w:color w:val="000000" w:themeColor="text1"/>
              </w:rPr>
            </w:pPr>
            <w:r w:rsidRPr="00D3497C">
              <w:rPr>
                <w:rFonts w:cs="Arial"/>
                <w:color w:val="000000" w:themeColor="text1"/>
              </w:rPr>
              <w:t xml:space="preserve">7.2 El método tradicional versión Chicago-Deusto </w:t>
            </w:r>
          </w:p>
          <w:p w14:paraId="47BCA1AB" w14:textId="77777777" w:rsidR="00E52BD9" w:rsidRPr="00D3497C" w:rsidRDefault="00E52BD9" w:rsidP="00104785">
            <w:pPr>
              <w:rPr>
                <w:rFonts w:cs="Arial"/>
                <w:color w:val="000000" w:themeColor="text1"/>
              </w:rPr>
            </w:pPr>
            <w:r w:rsidRPr="00D3497C">
              <w:rPr>
                <w:rFonts w:cs="Arial"/>
                <w:color w:val="000000" w:themeColor="text1"/>
              </w:rPr>
              <w:t>7.3 La revisión profunda de la literatura (selección y combinación)</w:t>
            </w:r>
          </w:p>
          <w:p w14:paraId="2A9305CC" w14:textId="77777777" w:rsidR="00E52BD9" w:rsidRPr="00D3497C" w:rsidRDefault="00E52BD9" w:rsidP="00104785">
            <w:pPr>
              <w:rPr>
                <w:rFonts w:cs="Arial"/>
                <w:color w:val="000000" w:themeColor="text1"/>
              </w:rPr>
            </w:pPr>
            <w:r w:rsidRPr="00D3497C">
              <w:rPr>
                <w:rFonts w:cs="Arial"/>
                <w:color w:val="000000" w:themeColor="text1"/>
              </w:rPr>
              <w:t>7.4 La recolección de los datos</w:t>
            </w:r>
          </w:p>
          <w:p w14:paraId="6552336E" w14:textId="77777777" w:rsidR="00E52BD9" w:rsidRPr="00D3497C" w:rsidRDefault="00E52BD9" w:rsidP="00104785">
            <w:pPr>
              <w:rPr>
                <w:rFonts w:cs="Arial"/>
                <w:color w:val="000000" w:themeColor="text1"/>
              </w:rPr>
            </w:pPr>
            <w:r w:rsidRPr="00D3497C">
              <w:rPr>
                <w:rFonts w:cs="Arial"/>
                <w:color w:val="000000" w:themeColor="text1"/>
              </w:rPr>
              <w:t>7.5 Fuentes primarias, secundarias y terciarias</w:t>
            </w:r>
          </w:p>
          <w:p w14:paraId="1D8BF860" w14:textId="77777777" w:rsidR="00E52BD9" w:rsidRPr="00D3497C" w:rsidRDefault="00E52BD9" w:rsidP="00104785">
            <w:pPr>
              <w:rPr>
                <w:rFonts w:eastAsia="MS Mincho" w:cs="Arial"/>
                <w:color w:val="000000" w:themeColor="text1"/>
                <w:lang w:val="es-ES"/>
              </w:rPr>
            </w:pPr>
            <w:r w:rsidRPr="00D3497C">
              <w:rPr>
                <w:rFonts w:cs="Arial"/>
                <w:color w:val="000000" w:themeColor="text1"/>
              </w:rPr>
              <w:lastRenderedPageBreak/>
              <w:t>7.6 Fichas de trabajo y sus tipos</w:t>
            </w:r>
          </w:p>
        </w:tc>
        <w:tc>
          <w:tcPr>
            <w:tcW w:w="2835" w:type="dxa"/>
          </w:tcPr>
          <w:p w14:paraId="1DC4468E" w14:textId="77777777" w:rsidR="00E52BD9" w:rsidRDefault="00E52BD9" w:rsidP="00104785">
            <w:pPr>
              <w:rPr>
                <w:rFonts w:ascii="Calibri" w:eastAsia="MS Mincho" w:hAnsi="Calibri" w:cs="Arial"/>
                <w:color w:val="000000"/>
              </w:rPr>
            </w:pPr>
            <w:r>
              <w:rPr>
                <w:rFonts w:cs="Arial"/>
                <w:color w:val="0070C0"/>
              </w:rPr>
              <w:lastRenderedPageBreak/>
              <w:t>Ruta de aprendizaje</w:t>
            </w:r>
          </w:p>
          <w:p w14:paraId="0DD37A99" w14:textId="77777777" w:rsidR="00E52BD9" w:rsidRPr="00E460B7" w:rsidRDefault="00E52BD9" w:rsidP="00104785">
            <w:pPr>
              <w:rPr>
                <w:rFonts w:ascii="Calibri" w:eastAsia="MS Mincho" w:hAnsi="Calibri" w:cs="Arial"/>
                <w:color w:val="0070C0"/>
              </w:rPr>
            </w:pPr>
            <w:r w:rsidRPr="00D3497C">
              <w:rPr>
                <w:rFonts w:ascii="Calibri" w:eastAsia="MS Mincho" w:hAnsi="Calibri" w:cs="Arial"/>
                <w:color w:val="000000"/>
              </w:rPr>
              <w:t xml:space="preserve">Abarca Rodríguez, Allan., Felipe Alpízar Rodríguez, Gina Sibaja Quesada y Carla Rojas Benavides. “Revisión de la literatura”. En </w:t>
            </w:r>
            <w:r w:rsidRPr="00D3497C">
              <w:rPr>
                <w:rFonts w:ascii="Calibri" w:eastAsia="MS Mincho" w:hAnsi="Calibri" w:cs="Arial"/>
                <w:i/>
                <w:color w:val="000000"/>
              </w:rPr>
              <w:t xml:space="preserve">Técnicas cualitativas de investigación, </w:t>
            </w:r>
            <w:r w:rsidRPr="00D3497C">
              <w:rPr>
                <w:rFonts w:ascii="Calibri" w:eastAsia="MS Mincho" w:hAnsi="Calibri" w:cs="Arial"/>
                <w:color w:val="000000"/>
              </w:rPr>
              <w:t>46-50.</w:t>
            </w:r>
            <w:r w:rsidRPr="00D3497C">
              <w:rPr>
                <w:rFonts w:ascii="Calibri" w:eastAsia="MS Mincho" w:hAnsi="Calibri" w:cs="Arial"/>
                <w:i/>
                <w:color w:val="000000"/>
              </w:rPr>
              <w:t xml:space="preserve"> </w:t>
            </w:r>
            <w:r w:rsidRPr="00D3497C">
              <w:rPr>
                <w:rFonts w:ascii="Calibri" w:eastAsia="MS Mincho" w:hAnsi="Calibri" w:cs="Arial"/>
                <w:color w:val="000000"/>
              </w:rPr>
              <w:t xml:space="preserve">San José: UCR, 2012. </w:t>
            </w:r>
            <w:r w:rsidRPr="00E460B7">
              <w:rPr>
                <w:rFonts w:ascii="Calibri" w:eastAsia="MS Mincho" w:hAnsi="Calibri" w:cs="Arial"/>
                <w:color w:val="0070C0"/>
              </w:rPr>
              <w:t>(clásico, última edición)</w:t>
            </w:r>
          </w:p>
          <w:p w14:paraId="0512FE3A" w14:textId="77777777" w:rsidR="00E52BD9" w:rsidRDefault="00E52BD9" w:rsidP="00104785">
            <w:pPr>
              <w:rPr>
                <w:rFonts w:ascii="Calibri" w:eastAsia="MS Mincho" w:hAnsi="Calibri" w:cs="Arial"/>
                <w:color w:val="000000"/>
              </w:rPr>
            </w:pPr>
          </w:p>
          <w:p w14:paraId="44AFA4DA" w14:textId="77777777" w:rsidR="00E52BD9" w:rsidRPr="00D3497C" w:rsidRDefault="00E52BD9" w:rsidP="00104785">
            <w:pPr>
              <w:rPr>
                <w:rFonts w:ascii="Calibri" w:eastAsia="MS Mincho" w:hAnsi="Calibri" w:cs="Arial"/>
                <w:b/>
                <w:color w:val="000000"/>
              </w:rPr>
            </w:pPr>
          </w:p>
          <w:p w14:paraId="2154185D" w14:textId="77777777" w:rsidR="00E52BD9" w:rsidRPr="00D3497C" w:rsidRDefault="00E52BD9" w:rsidP="00104785">
            <w:pPr>
              <w:rPr>
                <w:rFonts w:ascii="Calibri" w:eastAsia="MS Mincho" w:hAnsi="Calibri" w:cs="Arial"/>
                <w:color w:val="000000"/>
              </w:rPr>
            </w:pPr>
          </w:p>
        </w:tc>
        <w:tc>
          <w:tcPr>
            <w:tcW w:w="3118" w:type="dxa"/>
          </w:tcPr>
          <w:p w14:paraId="3237611B" w14:textId="77777777" w:rsidR="00E52BD9" w:rsidRPr="00D3497C" w:rsidRDefault="00E52BD9" w:rsidP="00E52BD9">
            <w:pPr>
              <w:pStyle w:val="Prrafodelista"/>
              <w:numPr>
                <w:ilvl w:val="0"/>
                <w:numId w:val="62"/>
              </w:numPr>
              <w:ind w:left="423"/>
              <w:rPr>
                <w:rFonts w:asciiTheme="minorHAnsi" w:hAnsiTheme="minorHAnsi" w:cs="Arial"/>
                <w:color w:val="000000" w:themeColor="text1"/>
              </w:rPr>
            </w:pPr>
            <w:r w:rsidRPr="00D3497C">
              <w:rPr>
                <w:rFonts w:asciiTheme="minorHAnsi" w:hAnsiTheme="minorHAnsi" w:cs="Arial"/>
                <w:color w:val="000000" w:themeColor="text1"/>
                <w:lang w:val="es-ES"/>
              </w:rPr>
              <w:t xml:space="preserve">Elaboración de citas y referencias a partir del método parentético o tradicional. </w:t>
            </w:r>
          </w:p>
        </w:tc>
      </w:tr>
      <w:tr w:rsidR="00E52BD9" w:rsidRPr="00D3497C" w14:paraId="44841D17" w14:textId="77777777" w:rsidTr="00104785">
        <w:trPr>
          <w:jc w:val="center"/>
        </w:trPr>
        <w:tc>
          <w:tcPr>
            <w:tcW w:w="1271" w:type="dxa"/>
          </w:tcPr>
          <w:p w14:paraId="211CEEF4" w14:textId="77777777" w:rsidR="00E52BD9" w:rsidRPr="00D3497C" w:rsidRDefault="00E52BD9" w:rsidP="00104785">
            <w:pPr>
              <w:jc w:val="center"/>
              <w:rPr>
                <w:rFonts w:cs="Arial"/>
                <w:color w:val="000000" w:themeColor="text1"/>
              </w:rPr>
            </w:pPr>
            <w:r w:rsidRPr="00D3497C">
              <w:rPr>
                <w:rFonts w:cs="Arial"/>
                <w:color w:val="000000" w:themeColor="text1"/>
              </w:rPr>
              <w:t>12</w:t>
            </w:r>
          </w:p>
          <w:p w14:paraId="6E07CBB9" w14:textId="77777777" w:rsidR="00E52BD9" w:rsidRPr="00D3497C" w:rsidRDefault="00E52BD9" w:rsidP="00104785">
            <w:pPr>
              <w:jc w:val="center"/>
              <w:rPr>
                <w:rFonts w:cs="Arial"/>
                <w:color w:val="000000" w:themeColor="text1"/>
              </w:rPr>
            </w:pPr>
          </w:p>
        </w:tc>
        <w:tc>
          <w:tcPr>
            <w:tcW w:w="2410" w:type="dxa"/>
          </w:tcPr>
          <w:p w14:paraId="3C1F642E" w14:textId="77777777" w:rsidR="00E52BD9" w:rsidRPr="00CA707F" w:rsidRDefault="00E52BD9" w:rsidP="00104785">
            <w:pPr>
              <w:suppressAutoHyphens/>
              <w:rPr>
                <w:rFonts w:eastAsia="MS Mincho" w:cs="Arial"/>
                <w:b/>
                <w:color w:val="000000" w:themeColor="text1"/>
                <w:lang w:val="es-ES"/>
              </w:rPr>
            </w:pPr>
            <w:r w:rsidRPr="00CA707F">
              <w:rPr>
                <w:rFonts w:eastAsia="MS Mincho" w:cs="Arial"/>
                <w:b/>
                <w:color w:val="000000" w:themeColor="text1"/>
                <w:lang w:val="es-ES"/>
              </w:rPr>
              <w:t>Unidad 8: El análisis hermenéutico del dato bibliográfico</w:t>
            </w:r>
          </w:p>
          <w:p w14:paraId="1B5308D0" w14:textId="77777777" w:rsidR="00E52BD9" w:rsidRPr="00D3497C" w:rsidRDefault="00E52BD9" w:rsidP="00104785">
            <w:pPr>
              <w:suppressAutoHyphens/>
              <w:rPr>
                <w:rFonts w:eastAsia="MS Mincho" w:cs="Arial"/>
                <w:b/>
                <w:color w:val="000000" w:themeColor="text1"/>
                <w:lang w:val="es-ES"/>
              </w:rPr>
            </w:pPr>
          </w:p>
          <w:p w14:paraId="5B85CDB5" w14:textId="77777777" w:rsidR="00E52BD9" w:rsidRPr="00D3497C" w:rsidRDefault="00E52BD9" w:rsidP="00104785">
            <w:pPr>
              <w:suppressAutoHyphens/>
              <w:rPr>
                <w:rFonts w:eastAsia="MS Mincho" w:cs="Arial"/>
                <w:color w:val="000000" w:themeColor="text1"/>
                <w:lang w:val="es-ES"/>
              </w:rPr>
            </w:pPr>
            <w:r w:rsidRPr="00D3497C">
              <w:rPr>
                <w:rFonts w:eastAsia="MS Mincho" w:cs="Arial"/>
                <w:color w:val="000000" w:themeColor="text1"/>
                <w:lang w:val="es-ES"/>
              </w:rPr>
              <w:t>8.1 Tipos de citas textuales y de obra completa</w:t>
            </w:r>
          </w:p>
          <w:p w14:paraId="373170CC" w14:textId="77777777" w:rsidR="00E52BD9" w:rsidRPr="00D3497C" w:rsidRDefault="00E52BD9" w:rsidP="00104785">
            <w:pPr>
              <w:suppressAutoHyphens/>
              <w:rPr>
                <w:rFonts w:eastAsia="MS Mincho" w:cs="Arial"/>
                <w:color w:val="000000" w:themeColor="text1"/>
                <w:lang w:val="es-ES"/>
              </w:rPr>
            </w:pPr>
            <w:r w:rsidRPr="00D3497C">
              <w:rPr>
                <w:rFonts w:eastAsia="MS Mincho" w:cs="Arial"/>
                <w:color w:val="000000" w:themeColor="text1"/>
                <w:lang w:val="es-ES"/>
              </w:rPr>
              <w:t>8.2 Aporte de la bibliografía y de otras fuentes</w:t>
            </w:r>
          </w:p>
          <w:p w14:paraId="7EC105FE" w14:textId="77777777" w:rsidR="00E52BD9" w:rsidRPr="00D3497C" w:rsidRDefault="00E52BD9" w:rsidP="00104785">
            <w:pPr>
              <w:suppressAutoHyphens/>
              <w:rPr>
                <w:rFonts w:eastAsia="MS Mincho" w:cs="Arial"/>
                <w:color w:val="000000" w:themeColor="text1"/>
                <w:lang w:val="es-ES"/>
              </w:rPr>
            </w:pPr>
            <w:r w:rsidRPr="00D3497C">
              <w:rPr>
                <w:rFonts w:eastAsia="MS Mincho" w:cs="Arial"/>
                <w:color w:val="000000" w:themeColor="text1"/>
                <w:lang w:val="es-ES"/>
              </w:rPr>
              <w:t>8.3 Entretejido hermenéutico</w:t>
            </w:r>
          </w:p>
          <w:p w14:paraId="4E0FD0D7" w14:textId="77777777" w:rsidR="00E52BD9" w:rsidRPr="00D3497C" w:rsidRDefault="00E52BD9" w:rsidP="00104785">
            <w:pPr>
              <w:suppressAutoHyphens/>
              <w:rPr>
                <w:rFonts w:eastAsia="MS Mincho" w:cs="Arial"/>
                <w:color w:val="000000" w:themeColor="text1"/>
                <w:lang w:val="es-ES"/>
              </w:rPr>
            </w:pPr>
          </w:p>
        </w:tc>
        <w:tc>
          <w:tcPr>
            <w:tcW w:w="2835" w:type="dxa"/>
          </w:tcPr>
          <w:p w14:paraId="4FCBB3C7" w14:textId="77777777" w:rsidR="00E52BD9" w:rsidRDefault="00E52BD9" w:rsidP="00104785">
            <w:pPr>
              <w:rPr>
                <w:rFonts w:ascii="Calibri" w:eastAsia="MS Mincho" w:hAnsi="Calibri" w:cs="Arial"/>
                <w:color w:val="000000"/>
              </w:rPr>
            </w:pPr>
            <w:r>
              <w:rPr>
                <w:rFonts w:cs="Arial"/>
                <w:color w:val="0070C0"/>
              </w:rPr>
              <w:t>Ruta de aprendizaje</w:t>
            </w:r>
          </w:p>
          <w:p w14:paraId="54BCB3CE" w14:textId="77777777" w:rsidR="00E52BD9" w:rsidRDefault="00E52BD9" w:rsidP="00104785">
            <w:pPr>
              <w:rPr>
                <w:rFonts w:ascii="Calibri" w:eastAsia="MS Mincho" w:hAnsi="Calibri" w:cs="Arial"/>
                <w:color w:val="000000"/>
              </w:rPr>
            </w:pPr>
            <w:r w:rsidRPr="00D3497C">
              <w:rPr>
                <w:rFonts w:ascii="Calibri" w:eastAsia="MS Mincho" w:hAnsi="Calibri" w:cs="Arial"/>
                <w:color w:val="000000"/>
              </w:rPr>
              <w:t xml:space="preserve">Hernández Sampieri, Roberto., Carlos Fernández Collado y Pilar Baptista Lucio. “Algunas observaciones sobre el marco teórico”. En </w:t>
            </w:r>
            <w:r w:rsidRPr="00D3497C">
              <w:rPr>
                <w:rFonts w:ascii="Calibri" w:eastAsia="MS Mincho" w:hAnsi="Calibri" w:cs="Arial"/>
                <w:i/>
                <w:color w:val="000000"/>
              </w:rPr>
              <w:t>Metodología de la investigación</w:t>
            </w:r>
            <w:r>
              <w:rPr>
                <w:rFonts w:ascii="Calibri" w:eastAsia="MS Mincho" w:hAnsi="Calibri" w:cs="Arial"/>
                <w:i/>
                <w:color w:val="000000"/>
              </w:rPr>
              <w:t>: las rutas cuantitativa, cualitativa y mixta</w:t>
            </w:r>
            <w:r w:rsidRPr="00D3497C">
              <w:rPr>
                <w:rFonts w:ascii="Calibri" w:eastAsia="MS Mincho" w:hAnsi="Calibri" w:cs="Arial"/>
                <w:i/>
                <w:color w:val="000000"/>
              </w:rPr>
              <w:t xml:space="preserve">, </w:t>
            </w:r>
            <w:r w:rsidRPr="00D3497C">
              <w:rPr>
                <w:rFonts w:ascii="Calibri" w:eastAsia="MS Mincho" w:hAnsi="Calibri" w:cs="Arial"/>
                <w:color w:val="000000"/>
              </w:rPr>
              <w:t>49-55.</w:t>
            </w:r>
            <w:r w:rsidRPr="00D3497C">
              <w:rPr>
                <w:rFonts w:ascii="Calibri" w:eastAsia="MS Mincho" w:hAnsi="Calibri" w:cs="Arial"/>
                <w:i/>
                <w:color w:val="000000"/>
              </w:rPr>
              <w:t xml:space="preserve"> </w:t>
            </w:r>
            <w:r w:rsidRPr="00D3497C">
              <w:rPr>
                <w:rFonts w:ascii="Calibri" w:eastAsia="MS Mincho" w:hAnsi="Calibri" w:cs="Arial"/>
                <w:color w:val="000000"/>
              </w:rPr>
              <w:t>México: Mc Graw-Hill Interamericana, 201</w:t>
            </w:r>
            <w:r>
              <w:rPr>
                <w:rFonts w:ascii="Calibri" w:eastAsia="MS Mincho" w:hAnsi="Calibri" w:cs="Arial"/>
                <w:color w:val="000000"/>
              </w:rPr>
              <w:t>8</w:t>
            </w:r>
            <w:r w:rsidRPr="00D3497C">
              <w:rPr>
                <w:rFonts w:ascii="Calibri" w:eastAsia="MS Mincho" w:hAnsi="Calibri" w:cs="Arial"/>
                <w:color w:val="000000"/>
              </w:rPr>
              <w:t xml:space="preserve">. </w:t>
            </w:r>
            <w:r w:rsidRPr="00E460B7">
              <w:rPr>
                <w:rFonts w:ascii="Calibri" w:eastAsia="MS Mincho" w:hAnsi="Calibri" w:cs="Arial"/>
                <w:color w:val="0070C0"/>
              </w:rPr>
              <w:t>(clásico, última edición</w:t>
            </w:r>
            <w:r>
              <w:rPr>
                <w:rFonts w:ascii="Calibri" w:eastAsia="MS Mincho" w:hAnsi="Calibri" w:cs="Arial"/>
                <w:color w:val="0070C0"/>
              </w:rPr>
              <w:t xml:space="preserve"> 2020)</w:t>
            </w:r>
          </w:p>
          <w:p w14:paraId="664ACFDC" w14:textId="77777777" w:rsidR="00E52BD9" w:rsidRPr="00D3497C" w:rsidRDefault="00E52BD9" w:rsidP="00104785">
            <w:pPr>
              <w:suppressAutoHyphens/>
              <w:spacing w:after="120"/>
              <w:rPr>
                <w:rFonts w:eastAsia="MS Mincho" w:cs="Arial"/>
                <w:color w:val="000000" w:themeColor="text1"/>
              </w:rPr>
            </w:pPr>
          </w:p>
        </w:tc>
        <w:tc>
          <w:tcPr>
            <w:tcW w:w="3118" w:type="dxa"/>
          </w:tcPr>
          <w:p w14:paraId="5F150595" w14:textId="77777777" w:rsidR="00E52BD9" w:rsidRPr="00D3497C" w:rsidRDefault="00E52BD9" w:rsidP="00E52BD9">
            <w:pPr>
              <w:pStyle w:val="Prrafodelista"/>
              <w:numPr>
                <w:ilvl w:val="0"/>
                <w:numId w:val="63"/>
              </w:numPr>
              <w:ind w:left="423"/>
              <w:rPr>
                <w:rFonts w:asciiTheme="minorHAnsi" w:hAnsiTheme="minorHAnsi" w:cs="Arial"/>
                <w:color w:val="000000" w:themeColor="text1"/>
              </w:rPr>
            </w:pPr>
            <w:r w:rsidRPr="00D3497C">
              <w:rPr>
                <w:rFonts w:asciiTheme="minorHAnsi" w:hAnsiTheme="minorHAnsi" w:cs="Arial"/>
                <w:color w:val="000000" w:themeColor="text1"/>
                <w:lang w:val="es-ES"/>
              </w:rPr>
              <w:t>Elaboración de ejemplos de citas.</w:t>
            </w:r>
          </w:p>
        </w:tc>
      </w:tr>
      <w:tr w:rsidR="00E52BD9" w:rsidRPr="00D3497C" w14:paraId="1990F91D" w14:textId="77777777" w:rsidTr="00104785">
        <w:trPr>
          <w:jc w:val="center"/>
        </w:trPr>
        <w:tc>
          <w:tcPr>
            <w:tcW w:w="1271" w:type="dxa"/>
          </w:tcPr>
          <w:p w14:paraId="1B5CCDC7" w14:textId="77777777" w:rsidR="00E52BD9" w:rsidRPr="00D3497C" w:rsidRDefault="00E52BD9" w:rsidP="00104785">
            <w:pPr>
              <w:jc w:val="center"/>
              <w:rPr>
                <w:rFonts w:cs="Arial"/>
                <w:color w:val="000000" w:themeColor="text1"/>
              </w:rPr>
            </w:pPr>
            <w:r w:rsidRPr="00D3497C">
              <w:rPr>
                <w:rFonts w:cs="Arial"/>
                <w:color w:val="000000" w:themeColor="text1"/>
              </w:rPr>
              <w:t>13</w:t>
            </w:r>
          </w:p>
        </w:tc>
        <w:tc>
          <w:tcPr>
            <w:tcW w:w="2410" w:type="dxa"/>
          </w:tcPr>
          <w:p w14:paraId="524F1DA3"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9: </w:t>
            </w:r>
            <w:r w:rsidRPr="00CA707F">
              <w:rPr>
                <w:rFonts w:cs="Arial"/>
                <w:b/>
                <w:color w:val="000000" w:themeColor="text1"/>
              </w:rPr>
              <w:t>La redacción del trabajo monográfico y otros documentos académicos</w:t>
            </w:r>
          </w:p>
          <w:p w14:paraId="4030E7F5" w14:textId="77777777" w:rsidR="00E52BD9" w:rsidRPr="00D3497C" w:rsidRDefault="00E52BD9" w:rsidP="00104785">
            <w:pPr>
              <w:rPr>
                <w:rFonts w:cs="Arial"/>
                <w:bCs/>
                <w:color w:val="000000" w:themeColor="text1"/>
              </w:rPr>
            </w:pPr>
          </w:p>
          <w:p w14:paraId="2F3F7181" w14:textId="77777777" w:rsidR="00E52BD9" w:rsidRPr="00D3497C" w:rsidRDefault="00E52BD9" w:rsidP="00104785">
            <w:pPr>
              <w:rPr>
                <w:rFonts w:cs="Arial"/>
                <w:color w:val="000000" w:themeColor="text1"/>
              </w:rPr>
            </w:pPr>
            <w:r w:rsidRPr="00D3497C">
              <w:rPr>
                <w:rFonts w:cs="Arial"/>
                <w:color w:val="000000" w:themeColor="text1"/>
              </w:rPr>
              <w:t>9.1 El estilo de presentación de trabajos en la UBL</w:t>
            </w:r>
          </w:p>
          <w:p w14:paraId="2FF230FD" w14:textId="77777777" w:rsidR="00E52BD9" w:rsidRPr="00D3497C" w:rsidRDefault="00E52BD9" w:rsidP="00104785">
            <w:pPr>
              <w:rPr>
                <w:rFonts w:cs="Arial"/>
                <w:color w:val="000000" w:themeColor="text1"/>
              </w:rPr>
            </w:pPr>
            <w:r w:rsidRPr="00D3497C">
              <w:rPr>
                <w:rFonts w:cs="Arial"/>
                <w:color w:val="000000" w:themeColor="text1"/>
              </w:rPr>
              <w:t>9.2 Diferentes tipos de párrafos en un trabajo académico</w:t>
            </w:r>
          </w:p>
          <w:p w14:paraId="794E2C8E" w14:textId="77777777" w:rsidR="00E52BD9" w:rsidRPr="00D3497C" w:rsidRDefault="00E52BD9" w:rsidP="00104785">
            <w:pPr>
              <w:rPr>
                <w:rFonts w:eastAsia="MS Mincho" w:cs="Arial"/>
                <w:color w:val="000000" w:themeColor="text1"/>
              </w:rPr>
            </w:pPr>
            <w:r w:rsidRPr="00D3497C">
              <w:rPr>
                <w:rFonts w:cs="Arial"/>
                <w:color w:val="000000" w:themeColor="text1"/>
              </w:rPr>
              <w:t>9.3 Diferentes tipos de trabajos académicos</w:t>
            </w:r>
          </w:p>
          <w:p w14:paraId="47102AD6" w14:textId="77777777" w:rsidR="00E52BD9" w:rsidRPr="00D3497C" w:rsidRDefault="00E52BD9" w:rsidP="00104785">
            <w:pPr>
              <w:suppressAutoHyphens/>
              <w:rPr>
                <w:rFonts w:cs="Arial"/>
                <w:color w:val="000000" w:themeColor="text1"/>
              </w:rPr>
            </w:pPr>
          </w:p>
        </w:tc>
        <w:tc>
          <w:tcPr>
            <w:tcW w:w="2835" w:type="dxa"/>
          </w:tcPr>
          <w:p w14:paraId="52483945" w14:textId="77777777" w:rsidR="00E52BD9" w:rsidRDefault="00E52BD9" w:rsidP="00104785">
            <w:pPr>
              <w:rPr>
                <w:rFonts w:cs="Arial"/>
                <w:lang w:eastAsia="es-ES"/>
              </w:rPr>
            </w:pPr>
            <w:r>
              <w:rPr>
                <w:rFonts w:cs="Arial"/>
                <w:color w:val="0070C0"/>
              </w:rPr>
              <w:t>Ruta de aprendizaje</w:t>
            </w:r>
          </w:p>
          <w:p w14:paraId="37C9EAA0" w14:textId="77777777" w:rsidR="00E52BD9" w:rsidRPr="00D3497C" w:rsidRDefault="00E52BD9" w:rsidP="00104785">
            <w:pPr>
              <w:rPr>
                <w:rFonts w:cs="Arial"/>
                <w:lang w:eastAsia="es-ES"/>
              </w:rPr>
            </w:pPr>
            <w:r w:rsidRPr="00D3497C">
              <w:rPr>
                <w:rFonts w:cs="Arial"/>
                <w:lang w:eastAsia="es-ES"/>
              </w:rPr>
              <w:t xml:space="preserve">Müller Delgado, Martha Virginia. “Planeamiento”, “Redacción”, “Revisión”, “Copia definitiva”. En </w:t>
            </w:r>
            <w:r w:rsidRPr="00D3497C">
              <w:rPr>
                <w:rFonts w:cs="Arial"/>
                <w:i/>
                <w:lang w:eastAsia="es-ES"/>
              </w:rPr>
              <w:t xml:space="preserve">Guía para la elaboración de tesis y consultorio gramatical, </w:t>
            </w:r>
            <w:r w:rsidRPr="00D3497C">
              <w:rPr>
                <w:rFonts w:cs="Arial"/>
                <w:lang w:eastAsia="es-ES"/>
              </w:rPr>
              <w:t>39-78.</w:t>
            </w:r>
            <w:r w:rsidRPr="00D3497C">
              <w:rPr>
                <w:rFonts w:cs="Arial"/>
                <w:i/>
                <w:lang w:eastAsia="es-ES"/>
              </w:rPr>
              <w:t xml:space="preserve"> </w:t>
            </w:r>
            <w:r w:rsidRPr="00D3497C">
              <w:rPr>
                <w:rFonts w:cs="Arial"/>
                <w:lang w:eastAsia="es-ES"/>
              </w:rPr>
              <w:t>San José: Editorial UCR, 20</w:t>
            </w:r>
            <w:r>
              <w:rPr>
                <w:rFonts w:cs="Arial"/>
                <w:lang w:eastAsia="es-ES"/>
              </w:rPr>
              <w:t>15</w:t>
            </w:r>
            <w:r w:rsidRPr="00D3497C">
              <w:rPr>
                <w:rFonts w:cs="Arial"/>
                <w:lang w:eastAsia="es-ES"/>
              </w:rPr>
              <w:t xml:space="preserve">. </w:t>
            </w:r>
            <w:r w:rsidRPr="00E460B7">
              <w:rPr>
                <w:rFonts w:ascii="Calibri" w:eastAsia="MS Mincho" w:hAnsi="Calibri" w:cs="Arial"/>
                <w:color w:val="0070C0"/>
              </w:rPr>
              <w:t>(clásico, última edición</w:t>
            </w:r>
            <w:r>
              <w:rPr>
                <w:rFonts w:ascii="Calibri" w:eastAsia="MS Mincho" w:hAnsi="Calibri" w:cs="Arial"/>
                <w:color w:val="0070C0"/>
              </w:rPr>
              <w:t>)</w:t>
            </w:r>
          </w:p>
          <w:p w14:paraId="583ADECE" w14:textId="77777777" w:rsidR="00E52BD9" w:rsidRPr="00D3497C" w:rsidRDefault="00E52BD9" w:rsidP="00104785">
            <w:pPr>
              <w:spacing w:after="120"/>
              <w:ind w:left="2"/>
              <w:rPr>
                <w:rFonts w:ascii="Calibri" w:eastAsia="MS Mincho" w:hAnsi="Calibri" w:cs="Arial"/>
                <w:b/>
                <w:bCs/>
                <w:color w:val="000000"/>
              </w:rPr>
            </w:pPr>
            <w:r w:rsidRPr="00D3497C">
              <w:rPr>
                <w:rFonts w:ascii="Calibri" w:eastAsia="MS Mincho" w:hAnsi="Calibri" w:cs="Arial"/>
                <w:b/>
                <w:bCs/>
                <w:color w:val="000000"/>
              </w:rPr>
              <w:t>Material complementario</w:t>
            </w:r>
          </w:p>
          <w:p w14:paraId="65826724" w14:textId="77777777" w:rsidR="00E52BD9" w:rsidRPr="00D3497C" w:rsidRDefault="00E52BD9" w:rsidP="00104785">
            <w:pPr>
              <w:spacing w:after="120"/>
              <w:ind w:left="2"/>
              <w:rPr>
                <w:rFonts w:ascii="Calibri" w:eastAsia="MS Mincho" w:hAnsi="Calibri" w:cs="Arial"/>
                <w:color w:val="000000"/>
              </w:rPr>
            </w:pPr>
            <w:r w:rsidRPr="00D3497C">
              <w:rPr>
                <w:rFonts w:ascii="Calibri" w:eastAsia="MS Mincho" w:hAnsi="Calibri" w:cs="Arial"/>
              </w:rPr>
              <w:t xml:space="preserve">Vélez Caro, Olga Consuelo. “El quehacer teológico y el método de investigación acción participativa: Una reflexión metodológica”. </w:t>
            </w:r>
            <w:proofErr w:type="spellStart"/>
            <w:r w:rsidRPr="008C2A94">
              <w:rPr>
                <w:rFonts w:ascii="Calibri" w:eastAsia="MS Mincho" w:hAnsi="Calibri" w:cs="Arial"/>
                <w:i/>
                <w:iCs/>
              </w:rPr>
              <w:t>Theologica</w:t>
            </w:r>
            <w:proofErr w:type="spellEnd"/>
            <w:r w:rsidRPr="008C2A94">
              <w:rPr>
                <w:rFonts w:ascii="Calibri" w:eastAsia="MS Mincho" w:hAnsi="Calibri" w:cs="Arial"/>
                <w:i/>
                <w:iCs/>
              </w:rPr>
              <w:t xml:space="preserve"> </w:t>
            </w:r>
            <w:proofErr w:type="spellStart"/>
            <w:r w:rsidRPr="008C2A94">
              <w:rPr>
                <w:rFonts w:ascii="Calibri" w:eastAsia="MS Mincho" w:hAnsi="Calibri" w:cs="Arial"/>
                <w:i/>
                <w:iCs/>
              </w:rPr>
              <w:t>Xaveriana</w:t>
            </w:r>
            <w:proofErr w:type="spellEnd"/>
            <w:r w:rsidRPr="00D3497C">
              <w:rPr>
                <w:rFonts w:ascii="Calibri" w:eastAsia="MS Mincho" w:hAnsi="Calibri" w:cs="Arial"/>
              </w:rPr>
              <w:t xml:space="preserve"> 67, n. 183 (2017): 187-208. Acceso el 18 de diciembre de 2020. </w:t>
            </w:r>
            <w:hyperlink r:id="rId112" w:history="1">
              <w:r w:rsidRPr="00D3497C">
                <w:rPr>
                  <w:rStyle w:val="Hipervnculo"/>
                  <w:rFonts w:ascii="Calibri" w:eastAsia="MS Mincho" w:hAnsi="Calibri" w:cs="Arial"/>
                </w:rPr>
                <w:t>https://www.redalyc.org/articulo.oa?id=191051314008</w:t>
              </w:r>
            </w:hyperlink>
            <w:r w:rsidRPr="00D3497C">
              <w:rPr>
                <w:rFonts w:ascii="Calibri" w:eastAsia="MS Mincho" w:hAnsi="Calibri" w:cs="Arial"/>
                <w:color w:val="000000"/>
              </w:rPr>
              <w:t xml:space="preserve"> </w:t>
            </w:r>
          </w:p>
          <w:p w14:paraId="56BBB5E8" w14:textId="77777777" w:rsidR="00E52BD9" w:rsidRDefault="00E52BD9" w:rsidP="00104785">
            <w:pPr>
              <w:rPr>
                <w:rFonts w:cs="Arial"/>
                <w:color w:val="0070C0"/>
                <w:szCs w:val="24"/>
              </w:rPr>
            </w:pPr>
            <w:r>
              <w:rPr>
                <w:rFonts w:cs="Arial"/>
                <w:color w:val="0070C0"/>
                <w:szCs w:val="24"/>
              </w:rPr>
              <w:lastRenderedPageBreak/>
              <w:t>Guía para la participación en un foro en la plataforma Moodle</w:t>
            </w:r>
          </w:p>
          <w:p w14:paraId="7A3E5959" w14:textId="77777777" w:rsidR="00E52BD9" w:rsidRDefault="00E52BD9" w:rsidP="00104785">
            <w:pPr>
              <w:rPr>
                <w:rFonts w:cs="Arial"/>
                <w:color w:val="0070C0"/>
                <w:szCs w:val="24"/>
              </w:rPr>
            </w:pPr>
            <w:r>
              <w:rPr>
                <w:rFonts w:cs="Arial"/>
                <w:color w:val="0070C0"/>
                <w:szCs w:val="24"/>
              </w:rPr>
              <w:t xml:space="preserve">Guía para la participación mediante la herramienta Big Blue </w:t>
            </w:r>
            <w:proofErr w:type="spellStart"/>
            <w:r>
              <w:rPr>
                <w:rFonts w:cs="Arial"/>
                <w:color w:val="0070C0"/>
                <w:szCs w:val="24"/>
              </w:rPr>
              <w:t>Button</w:t>
            </w:r>
            <w:proofErr w:type="spellEnd"/>
            <w:r>
              <w:rPr>
                <w:rFonts w:cs="Arial"/>
                <w:color w:val="0070C0"/>
                <w:szCs w:val="24"/>
              </w:rPr>
              <w:t xml:space="preserve"> en la plataforma Moodle</w:t>
            </w:r>
          </w:p>
          <w:p w14:paraId="44F6A3E4" w14:textId="77777777" w:rsidR="00E52BD9" w:rsidRPr="00A772BF" w:rsidRDefault="00E52BD9" w:rsidP="00104785">
            <w:pPr>
              <w:rPr>
                <w:rFonts w:cs="Arial"/>
                <w:color w:val="0070C0"/>
                <w:szCs w:val="24"/>
              </w:rPr>
            </w:pPr>
          </w:p>
        </w:tc>
        <w:tc>
          <w:tcPr>
            <w:tcW w:w="3118" w:type="dxa"/>
          </w:tcPr>
          <w:p w14:paraId="44FA45B5" w14:textId="77777777" w:rsidR="00E52BD9" w:rsidRPr="00D3497C" w:rsidRDefault="00E52BD9" w:rsidP="00E52BD9">
            <w:pPr>
              <w:pStyle w:val="Prrafodelista"/>
              <w:numPr>
                <w:ilvl w:val="0"/>
                <w:numId w:val="64"/>
              </w:numPr>
              <w:ind w:left="423"/>
              <w:rPr>
                <w:rFonts w:asciiTheme="minorHAnsi" w:hAnsiTheme="minorHAnsi" w:cs="Arial"/>
                <w:color w:val="000000" w:themeColor="text1"/>
              </w:rPr>
            </w:pPr>
            <w:r w:rsidRPr="00D3497C">
              <w:rPr>
                <w:rFonts w:asciiTheme="minorHAnsi" w:hAnsiTheme="minorHAnsi" w:cs="Arial"/>
                <w:color w:val="000000" w:themeColor="text1"/>
                <w:lang w:val="es-ES"/>
              </w:rPr>
              <w:lastRenderedPageBreak/>
              <w:t>Participación en el foro temático: La redacción final.</w:t>
            </w:r>
          </w:p>
          <w:p w14:paraId="50510F76" w14:textId="77777777" w:rsidR="00E52BD9" w:rsidRPr="003E0A9F" w:rsidRDefault="00E52BD9" w:rsidP="00E52BD9">
            <w:pPr>
              <w:pStyle w:val="Prrafodelista"/>
              <w:numPr>
                <w:ilvl w:val="0"/>
                <w:numId w:val="64"/>
              </w:numPr>
              <w:ind w:left="423"/>
              <w:rPr>
                <w:rFonts w:asciiTheme="minorHAnsi" w:hAnsiTheme="minorHAnsi" w:cs="Arial"/>
              </w:rPr>
            </w:pPr>
            <w:r w:rsidRPr="003E0A9F">
              <w:rPr>
                <w:rFonts w:asciiTheme="minorHAnsi" w:hAnsiTheme="minorHAnsi" w:cs="Arial"/>
                <w:lang w:val="es-ES"/>
              </w:rPr>
              <w:t>Presentación docente</w:t>
            </w:r>
            <w:r>
              <w:rPr>
                <w:rFonts w:asciiTheme="minorHAnsi" w:hAnsiTheme="minorHAnsi" w:cs="Arial"/>
                <w:lang w:val="es-ES"/>
              </w:rPr>
              <w:t xml:space="preserve"> y debate grupal</w:t>
            </w:r>
            <w:r w:rsidRPr="003E0A9F">
              <w:rPr>
                <w:rFonts w:asciiTheme="minorHAnsi" w:hAnsiTheme="minorHAnsi" w:cs="Arial"/>
                <w:lang w:val="es-ES"/>
              </w:rPr>
              <w:t xml:space="preserve"> en un encuentro sincrónico virtual (formativo).</w:t>
            </w:r>
          </w:p>
          <w:p w14:paraId="50CB127C" w14:textId="77777777" w:rsidR="00E52BD9" w:rsidRPr="00D3497C" w:rsidRDefault="00E52BD9" w:rsidP="00E52BD9">
            <w:pPr>
              <w:pStyle w:val="Prrafodelista"/>
              <w:numPr>
                <w:ilvl w:val="0"/>
                <w:numId w:val="64"/>
              </w:numPr>
              <w:ind w:left="423"/>
              <w:rPr>
                <w:rFonts w:asciiTheme="minorHAnsi" w:hAnsiTheme="minorHAnsi" w:cs="Arial"/>
                <w:color w:val="000000" w:themeColor="text1"/>
              </w:rPr>
            </w:pPr>
            <w:r w:rsidRPr="00D3497C">
              <w:rPr>
                <w:rFonts w:asciiTheme="minorHAnsi" w:hAnsiTheme="minorHAnsi" w:cs="Arial"/>
                <w:color w:val="000000" w:themeColor="text1"/>
                <w:lang w:val="es-ES"/>
              </w:rPr>
              <w:t>Entrega del tercer avance del diseño de investigación.</w:t>
            </w:r>
          </w:p>
        </w:tc>
      </w:tr>
      <w:tr w:rsidR="00E52BD9" w:rsidRPr="00D3497C" w14:paraId="76BAE3F5" w14:textId="77777777" w:rsidTr="00104785">
        <w:trPr>
          <w:jc w:val="center"/>
        </w:trPr>
        <w:tc>
          <w:tcPr>
            <w:tcW w:w="1271" w:type="dxa"/>
          </w:tcPr>
          <w:p w14:paraId="69B18DBF" w14:textId="77777777" w:rsidR="00E52BD9" w:rsidRPr="00D3497C" w:rsidRDefault="00E52BD9" w:rsidP="00104785">
            <w:pPr>
              <w:jc w:val="center"/>
              <w:rPr>
                <w:rFonts w:cs="Arial"/>
                <w:color w:val="000000" w:themeColor="text1"/>
              </w:rPr>
            </w:pPr>
            <w:r w:rsidRPr="00D3497C">
              <w:rPr>
                <w:rFonts w:cs="Arial"/>
                <w:color w:val="000000" w:themeColor="text1"/>
              </w:rPr>
              <w:t>14</w:t>
            </w:r>
          </w:p>
        </w:tc>
        <w:tc>
          <w:tcPr>
            <w:tcW w:w="2410" w:type="dxa"/>
          </w:tcPr>
          <w:p w14:paraId="5B97CBC6" w14:textId="77777777" w:rsidR="00E52BD9" w:rsidRPr="00CA707F" w:rsidRDefault="00E52BD9" w:rsidP="00104785">
            <w:pPr>
              <w:rPr>
                <w:rFonts w:cs="Arial"/>
                <w:b/>
                <w:color w:val="000000" w:themeColor="text1"/>
              </w:rPr>
            </w:pPr>
            <w:r w:rsidRPr="00CA707F">
              <w:rPr>
                <w:rFonts w:eastAsia="MS Mincho" w:cs="Arial"/>
                <w:b/>
                <w:color w:val="000000" w:themeColor="text1"/>
              </w:rPr>
              <w:t xml:space="preserve">Unidad 9: </w:t>
            </w:r>
            <w:r w:rsidRPr="00CA707F">
              <w:rPr>
                <w:rFonts w:cs="Arial"/>
                <w:b/>
                <w:color w:val="000000" w:themeColor="text1"/>
              </w:rPr>
              <w:t>La redacción del trabajo monográfico y otros documentos académicos</w:t>
            </w:r>
          </w:p>
          <w:p w14:paraId="697160A4" w14:textId="77777777" w:rsidR="00E52BD9" w:rsidRPr="00D3497C" w:rsidRDefault="00E52BD9" w:rsidP="00104785">
            <w:pPr>
              <w:rPr>
                <w:rFonts w:cs="Arial"/>
                <w:bCs/>
                <w:color w:val="000000" w:themeColor="text1"/>
              </w:rPr>
            </w:pPr>
          </w:p>
          <w:p w14:paraId="3D955B21" w14:textId="77777777" w:rsidR="00E52BD9" w:rsidRPr="00D3497C" w:rsidRDefault="00E52BD9" w:rsidP="00104785">
            <w:pPr>
              <w:rPr>
                <w:rFonts w:cs="Arial"/>
                <w:color w:val="000000" w:themeColor="text1"/>
                <w:lang w:val="es-ES"/>
              </w:rPr>
            </w:pPr>
            <w:r w:rsidRPr="00D3497C">
              <w:rPr>
                <w:rFonts w:cs="Arial"/>
                <w:color w:val="000000" w:themeColor="text1"/>
              </w:rPr>
              <w:t>9.4 Pautas para elaborar la introducción y la conclusión</w:t>
            </w:r>
          </w:p>
        </w:tc>
        <w:tc>
          <w:tcPr>
            <w:tcW w:w="2835" w:type="dxa"/>
          </w:tcPr>
          <w:p w14:paraId="25D5DBE1" w14:textId="77777777" w:rsidR="00E52BD9" w:rsidRDefault="00E52BD9" w:rsidP="00104785">
            <w:pPr>
              <w:rPr>
                <w:rFonts w:ascii="Calibri" w:eastAsia="MS Mincho" w:hAnsi="Calibri" w:cs="Arial"/>
              </w:rPr>
            </w:pPr>
            <w:r>
              <w:rPr>
                <w:rFonts w:cs="Arial"/>
                <w:color w:val="0070C0"/>
              </w:rPr>
              <w:t>Ruta de aprendizaje</w:t>
            </w:r>
          </w:p>
          <w:p w14:paraId="186106E1" w14:textId="77777777" w:rsidR="00E52BD9" w:rsidRPr="00D3497C" w:rsidRDefault="00E52BD9" w:rsidP="00104785">
            <w:pPr>
              <w:rPr>
                <w:rFonts w:cs="Arial"/>
                <w:lang w:eastAsia="es-ES"/>
              </w:rPr>
            </w:pPr>
            <w:r w:rsidRPr="00D3497C">
              <w:rPr>
                <w:rFonts w:ascii="Calibri" w:eastAsia="MS Mincho" w:hAnsi="Calibri" w:cs="Arial"/>
              </w:rPr>
              <w:t xml:space="preserve">Barrantes Echavarría, Rodrigo. “Extrayendo las conclusiones y recomendaciones”. En </w:t>
            </w:r>
            <w:r w:rsidRPr="00D3497C">
              <w:rPr>
                <w:rFonts w:ascii="Calibri" w:eastAsia="MS Mincho" w:hAnsi="Calibri" w:cs="Arial"/>
                <w:i/>
              </w:rPr>
              <w:t xml:space="preserve">Investigación: un camino al conocimiento. Un enfoque cualitativo, cuantitativo y mixto, </w:t>
            </w:r>
            <w:r w:rsidRPr="00D3497C">
              <w:rPr>
                <w:rFonts w:ascii="Calibri" w:eastAsia="MS Mincho" w:hAnsi="Calibri" w:cs="Arial"/>
              </w:rPr>
              <w:t>203-205.</w:t>
            </w:r>
            <w:r w:rsidRPr="00D3497C">
              <w:rPr>
                <w:rFonts w:ascii="Calibri" w:eastAsia="MS Mincho" w:hAnsi="Calibri" w:cs="Arial"/>
                <w:i/>
              </w:rPr>
              <w:t xml:space="preserve"> </w:t>
            </w:r>
            <w:r w:rsidRPr="00D3497C">
              <w:rPr>
                <w:rFonts w:ascii="Calibri" w:eastAsia="MS Mincho" w:hAnsi="Calibri" w:cs="Arial"/>
              </w:rPr>
              <w:t>San José: EUNED, 20</w:t>
            </w:r>
            <w:r>
              <w:rPr>
                <w:rFonts w:ascii="Calibri" w:eastAsia="MS Mincho" w:hAnsi="Calibri" w:cs="Arial"/>
              </w:rPr>
              <w:t>13</w:t>
            </w:r>
            <w:r w:rsidRPr="00D3497C">
              <w:rPr>
                <w:rFonts w:ascii="Calibri" w:eastAsia="MS Mincho" w:hAnsi="Calibri" w:cs="Arial"/>
              </w:rPr>
              <w:t>.</w:t>
            </w:r>
            <w:r>
              <w:rPr>
                <w:rFonts w:ascii="Calibri" w:eastAsia="MS Mincho" w:hAnsi="Calibri" w:cs="Arial"/>
              </w:rPr>
              <w:t xml:space="preserve"> </w:t>
            </w:r>
            <w:r w:rsidRPr="00E460B7">
              <w:rPr>
                <w:rFonts w:ascii="Calibri" w:eastAsia="MS Mincho" w:hAnsi="Calibri" w:cs="Arial"/>
                <w:color w:val="0070C0"/>
              </w:rPr>
              <w:t>(clásico, última edición</w:t>
            </w:r>
            <w:r>
              <w:rPr>
                <w:rFonts w:ascii="Calibri" w:eastAsia="MS Mincho" w:hAnsi="Calibri" w:cs="Arial"/>
                <w:color w:val="0070C0"/>
              </w:rPr>
              <w:t>)</w:t>
            </w:r>
          </w:p>
          <w:p w14:paraId="5D51ABCB" w14:textId="77777777" w:rsidR="00E52BD9" w:rsidRPr="00D3497C" w:rsidRDefault="00E52BD9" w:rsidP="00104785">
            <w:pPr>
              <w:rPr>
                <w:rFonts w:cs="Arial"/>
                <w:szCs w:val="24"/>
              </w:rPr>
            </w:pPr>
          </w:p>
        </w:tc>
        <w:tc>
          <w:tcPr>
            <w:tcW w:w="3118" w:type="dxa"/>
          </w:tcPr>
          <w:p w14:paraId="21388495" w14:textId="77777777" w:rsidR="00E52BD9" w:rsidRPr="00D3497C" w:rsidRDefault="00E52BD9" w:rsidP="00E52BD9">
            <w:pPr>
              <w:pStyle w:val="Prrafodelista"/>
              <w:numPr>
                <w:ilvl w:val="0"/>
                <w:numId w:val="65"/>
              </w:numPr>
              <w:ind w:left="423"/>
              <w:rPr>
                <w:rFonts w:asciiTheme="minorHAnsi" w:hAnsiTheme="minorHAnsi" w:cs="Arial"/>
                <w:color w:val="000000" w:themeColor="text1"/>
              </w:rPr>
            </w:pPr>
            <w:r w:rsidRPr="00D3497C">
              <w:rPr>
                <w:rFonts w:asciiTheme="minorHAnsi" w:hAnsiTheme="minorHAnsi" w:cs="Arial"/>
                <w:color w:val="000000" w:themeColor="text1"/>
                <w:lang w:val="es-ES"/>
              </w:rPr>
              <w:t>Elaboración de una introducción y conclusión.</w:t>
            </w:r>
          </w:p>
          <w:p w14:paraId="104308F2" w14:textId="77777777" w:rsidR="00E52BD9" w:rsidRPr="00D3497C" w:rsidRDefault="00E52BD9" w:rsidP="00104785">
            <w:pPr>
              <w:pStyle w:val="Prrafodelista"/>
              <w:ind w:left="423"/>
              <w:rPr>
                <w:rFonts w:asciiTheme="minorHAnsi" w:hAnsiTheme="minorHAnsi" w:cs="Arial"/>
                <w:color w:val="000000" w:themeColor="text1"/>
              </w:rPr>
            </w:pPr>
          </w:p>
        </w:tc>
      </w:tr>
      <w:tr w:rsidR="00E52BD9" w:rsidRPr="00E34496" w14:paraId="56C5D49F" w14:textId="77777777" w:rsidTr="00104785">
        <w:trPr>
          <w:jc w:val="center"/>
        </w:trPr>
        <w:tc>
          <w:tcPr>
            <w:tcW w:w="1271" w:type="dxa"/>
          </w:tcPr>
          <w:p w14:paraId="7AC8291C" w14:textId="77777777" w:rsidR="00E52BD9" w:rsidRPr="00D3497C" w:rsidRDefault="00E52BD9" w:rsidP="00104785">
            <w:pPr>
              <w:jc w:val="center"/>
              <w:rPr>
                <w:rFonts w:cs="Arial"/>
                <w:color w:val="000000" w:themeColor="text1"/>
              </w:rPr>
            </w:pPr>
            <w:r w:rsidRPr="00D3497C">
              <w:rPr>
                <w:rFonts w:cs="Arial"/>
                <w:color w:val="000000" w:themeColor="text1"/>
              </w:rPr>
              <w:t>15</w:t>
            </w:r>
          </w:p>
          <w:p w14:paraId="6BDE01CB" w14:textId="77777777" w:rsidR="00E52BD9" w:rsidRPr="00D3497C" w:rsidRDefault="00E52BD9" w:rsidP="00104785">
            <w:pPr>
              <w:jc w:val="center"/>
              <w:rPr>
                <w:rFonts w:cs="Arial"/>
                <w:color w:val="000000" w:themeColor="text1"/>
              </w:rPr>
            </w:pPr>
          </w:p>
        </w:tc>
        <w:tc>
          <w:tcPr>
            <w:tcW w:w="2410" w:type="dxa"/>
          </w:tcPr>
          <w:p w14:paraId="3EF7B4DE" w14:textId="77777777" w:rsidR="00E52BD9" w:rsidRPr="00CA707F" w:rsidRDefault="00E52BD9" w:rsidP="00104785">
            <w:pPr>
              <w:rPr>
                <w:rFonts w:cs="Arial"/>
                <w:b/>
                <w:color w:val="000000" w:themeColor="text1"/>
                <w:lang w:val="es-ES"/>
              </w:rPr>
            </w:pPr>
            <w:r w:rsidRPr="00CA707F">
              <w:rPr>
                <w:rFonts w:eastAsia="MS Mincho" w:cs="Arial"/>
                <w:b/>
                <w:color w:val="000000" w:themeColor="text1"/>
              </w:rPr>
              <w:t xml:space="preserve">Unidad 10: </w:t>
            </w:r>
            <w:r w:rsidRPr="00CA707F">
              <w:rPr>
                <w:rFonts w:cs="Arial"/>
                <w:b/>
                <w:color w:val="000000" w:themeColor="text1"/>
                <w:lang w:val="es-ES"/>
              </w:rPr>
              <w:t>Ordenamiento y presentación: bibliografía general, esquemas, cuadros, gráficos y normas de estilo</w:t>
            </w:r>
          </w:p>
          <w:p w14:paraId="3FE286AF" w14:textId="77777777" w:rsidR="00E52BD9" w:rsidRPr="00D3497C" w:rsidRDefault="00E52BD9" w:rsidP="00104785">
            <w:pPr>
              <w:rPr>
                <w:rFonts w:cs="Arial"/>
                <w:bCs/>
                <w:color w:val="000000" w:themeColor="text1"/>
                <w:lang w:val="es-ES"/>
              </w:rPr>
            </w:pPr>
          </w:p>
          <w:p w14:paraId="7055BFD6" w14:textId="77777777" w:rsidR="00E52BD9" w:rsidRPr="00D3497C" w:rsidRDefault="00E52BD9" w:rsidP="00104785">
            <w:pPr>
              <w:rPr>
                <w:rFonts w:cs="Arial"/>
                <w:color w:val="000000" w:themeColor="text1"/>
                <w:lang w:val="es-ES"/>
              </w:rPr>
            </w:pPr>
            <w:r w:rsidRPr="00D3497C">
              <w:rPr>
                <w:rFonts w:cs="Arial"/>
                <w:color w:val="000000" w:themeColor="text1"/>
                <w:lang w:val="es-ES"/>
              </w:rPr>
              <w:t>10.1 La bibliografía general o referencias</w:t>
            </w:r>
          </w:p>
          <w:p w14:paraId="24AD73E6" w14:textId="77777777" w:rsidR="00E52BD9" w:rsidRPr="00D3497C" w:rsidRDefault="00E52BD9" w:rsidP="00104785">
            <w:pPr>
              <w:rPr>
                <w:rFonts w:cs="Arial"/>
                <w:color w:val="000000" w:themeColor="text1"/>
                <w:lang w:val="es-ES"/>
              </w:rPr>
            </w:pPr>
            <w:r w:rsidRPr="00D3497C">
              <w:rPr>
                <w:rFonts w:cs="Arial"/>
                <w:color w:val="000000" w:themeColor="text1"/>
                <w:lang w:val="es-ES"/>
              </w:rPr>
              <w:t>10.2 Ordenamiento y presentación: esquemas, cuadros y gráficos</w:t>
            </w:r>
          </w:p>
          <w:p w14:paraId="2D43FB79" w14:textId="77777777" w:rsidR="00E52BD9" w:rsidRPr="00D3497C" w:rsidRDefault="00E52BD9" w:rsidP="00104785">
            <w:pPr>
              <w:rPr>
                <w:rFonts w:cs="Arial"/>
                <w:color w:val="000000" w:themeColor="text1"/>
                <w:lang w:val="es-ES"/>
              </w:rPr>
            </w:pPr>
          </w:p>
        </w:tc>
        <w:tc>
          <w:tcPr>
            <w:tcW w:w="2835" w:type="dxa"/>
          </w:tcPr>
          <w:p w14:paraId="24131E49" w14:textId="77777777" w:rsidR="00E52BD9" w:rsidRDefault="00E52BD9" w:rsidP="00104785">
            <w:pPr>
              <w:rPr>
                <w:rFonts w:ascii="Calibri" w:eastAsia="MS Mincho" w:hAnsi="Calibri" w:cs="Arial"/>
              </w:rPr>
            </w:pPr>
            <w:r>
              <w:rPr>
                <w:rFonts w:cs="Arial"/>
                <w:color w:val="0070C0"/>
              </w:rPr>
              <w:t>Ruta de aprendizaje</w:t>
            </w:r>
          </w:p>
          <w:p w14:paraId="0C7D9B62" w14:textId="77777777" w:rsidR="00E52BD9" w:rsidRPr="00D3497C" w:rsidRDefault="00E52BD9" w:rsidP="00104785">
            <w:pPr>
              <w:rPr>
                <w:rFonts w:cs="Arial"/>
                <w:lang w:eastAsia="es-ES"/>
              </w:rPr>
            </w:pPr>
            <w:r w:rsidRPr="00D3497C">
              <w:rPr>
                <w:rFonts w:ascii="Calibri" w:eastAsia="MS Mincho" w:hAnsi="Calibri" w:cs="Arial"/>
              </w:rPr>
              <w:t xml:space="preserve">Pereira M., </w:t>
            </w:r>
            <w:proofErr w:type="spellStart"/>
            <w:r w:rsidRPr="00D3497C">
              <w:rPr>
                <w:rFonts w:ascii="Calibri" w:eastAsia="MS Mincho" w:hAnsi="Calibri" w:cs="Arial"/>
              </w:rPr>
              <w:t>Rodney</w:t>
            </w:r>
            <w:proofErr w:type="spellEnd"/>
            <w:r w:rsidRPr="00D3497C">
              <w:rPr>
                <w:rFonts w:ascii="Calibri" w:eastAsia="MS Mincho" w:hAnsi="Calibri" w:cs="Arial"/>
              </w:rPr>
              <w:t xml:space="preserve">. “Análisis de los datos” En </w:t>
            </w:r>
            <w:r w:rsidRPr="00D3497C">
              <w:rPr>
                <w:rFonts w:ascii="Calibri" w:eastAsia="MS Mincho" w:hAnsi="Calibri" w:cs="Arial"/>
                <w:i/>
              </w:rPr>
              <w:t xml:space="preserve">Pautas metodológicas para investigaciones cualitativas y cuantitativas en ciencias sociales y humanas, </w:t>
            </w:r>
            <w:r w:rsidRPr="00D3497C">
              <w:rPr>
                <w:rFonts w:ascii="Calibri" w:eastAsia="MS Mincho" w:hAnsi="Calibri" w:cs="Arial"/>
              </w:rPr>
              <w:t xml:space="preserve">coordinado por Mario </w:t>
            </w:r>
            <w:proofErr w:type="spellStart"/>
            <w:r w:rsidRPr="00D3497C">
              <w:rPr>
                <w:rFonts w:ascii="Calibri" w:eastAsia="MS Mincho" w:hAnsi="Calibri" w:cs="Arial"/>
              </w:rPr>
              <w:t>Yapu</w:t>
            </w:r>
            <w:proofErr w:type="spellEnd"/>
            <w:r w:rsidRPr="00D3497C">
              <w:rPr>
                <w:rFonts w:ascii="Calibri" w:eastAsia="MS Mincho" w:hAnsi="Calibri" w:cs="Arial"/>
              </w:rPr>
              <w:t>, 264-290. La Paz: Programa de Investigación Estratégica en Bolivia, 2010.</w:t>
            </w:r>
            <w:r>
              <w:rPr>
                <w:rFonts w:ascii="Calibri" w:eastAsia="MS Mincho" w:hAnsi="Calibri" w:cs="Arial"/>
              </w:rPr>
              <w:t xml:space="preserve"> </w:t>
            </w:r>
            <w:r w:rsidRPr="00E460B7">
              <w:rPr>
                <w:rFonts w:ascii="Calibri" w:eastAsia="MS Mincho" w:hAnsi="Calibri" w:cs="Arial"/>
                <w:color w:val="0070C0"/>
              </w:rPr>
              <w:t>(clásico, última edición</w:t>
            </w:r>
            <w:r>
              <w:rPr>
                <w:rFonts w:ascii="Calibri" w:eastAsia="MS Mincho" w:hAnsi="Calibri" w:cs="Arial"/>
                <w:color w:val="0070C0"/>
              </w:rPr>
              <w:t>)</w:t>
            </w:r>
          </w:p>
          <w:p w14:paraId="49BEAF4E" w14:textId="77777777" w:rsidR="00E52BD9" w:rsidRPr="00D3497C" w:rsidRDefault="00E52BD9" w:rsidP="00104785">
            <w:pPr>
              <w:rPr>
                <w:rFonts w:cs="Arial"/>
                <w:szCs w:val="24"/>
              </w:rPr>
            </w:pPr>
          </w:p>
        </w:tc>
        <w:tc>
          <w:tcPr>
            <w:tcW w:w="3118" w:type="dxa"/>
          </w:tcPr>
          <w:p w14:paraId="33581FB9" w14:textId="77777777" w:rsidR="00E52BD9" w:rsidRPr="00D3497C" w:rsidRDefault="00E52BD9" w:rsidP="00E52BD9">
            <w:pPr>
              <w:pStyle w:val="Prrafodelista"/>
              <w:numPr>
                <w:ilvl w:val="0"/>
                <w:numId w:val="66"/>
              </w:numPr>
              <w:ind w:left="423"/>
              <w:rPr>
                <w:rFonts w:asciiTheme="minorHAnsi" w:hAnsiTheme="minorHAnsi" w:cs="Arial"/>
                <w:color w:val="000000" w:themeColor="text1"/>
              </w:rPr>
            </w:pPr>
            <w:r w:rsidRPr="00D3497C">
              <w:rPr>
                <w:rFonts w:asciiTheme="minorHAnsi" w:hAnsiTheme="minorHAnsi" w:cs="Arial"/>
                <w:color w:val="000000" w:themeColor="text1"/>
              </w:rPr>
              <w:t xml:space="preserve">Entrega de la versión final del diseño de investigación. </w:t>
            </w:r>
          </w:p>
        </w:tc>
      </w:tr>
    </w:tbl>
    <w:p w14:paraId="7E7ABE7C" w14:textId="77777777" w:rsidR="00E52BD9" w:rsidRDefault="00E52BD9" w:rsidP="00E52BD9">
      <w:pPr>
        <w:jc w:val="both"/>
        <w:rPr>
          <w:rFonts w:ascii="Arial" w:hAnsi="Arial" w:cs="Arial"/>
          <w:b/>
          <w:color w:val="0070C0"/>
          <w:spacing w:val="-2"/>
          <w:kern w:val="28"/>
          <w:szCs w:val="24"/>
          <w:lang w:val="es-ES"/>
        </w:rPr>
      </w:pPr>
    </w:p>
    <w:p w14:paraId="45EA9C60" w14:textId="77777777" w:rsidR="00E52BD9" w:rsidRDefault="00E52BD9" w:rsidP="00E52BD9">
      <w:pPr>
        <w:jc w:val="both"/>
        <w:rPr>
          <w:rFonts w:ascii="Arial" w:hAnsi="Arial" w:cs="Arial"/>
          <w:b/>
          <w:color w:val="0070C0"/>
          <w:spacing w:val="-2"/>
          <w:kern w:val="28"/>
          <w:szCs w:val="24"/>
          <w:lang w:val="es-ES"/>
        </w:rPr>
      </w:pPr>
    </w:p>
    <w:p w14:paraId="547DD622" w14:textId="77777777" w:rsidR="00E52BD9" w:rsidRDefault="00E52BD9" w:rsidP="00E52BD9">
      <w:pPr>
        <w:jc w:val="both"/>
        <w:rPr>
          <w:rFonts w:cstheme="minorHAnsi"/>
          <w:b/>
          <w:bCs/>
          <w:color w:val="000000" w:themeColor="text1"/>
        </w:rPr>
      </w:pPr>
      <w:r>
        <w:rPr>
          <w:rFonts w:cstheme="minorHAnsi"/>
          <w:b/>
          <w:bCs/>
          <w:color w:val="000000" w:themeColor="text1"/>
        </w:rPr>
        <w:lastRenderedPageBreak/>
        <w:t>IX. Distribución de tiempo semanal</w:t>
      </w:r>
    </w:p>
    <w:p w14:paraId="7A8CA639" w14:textId="77777777" w:rsidR="00E52BD9" w:rsidRDefault="00E52BD9" w:rsidP="00E52BD9">
      <w:pPr>
        <w:jc w:val="both"/>
        <w:rPr>
          <w:rFonts w:cstheme="minorHAnsi"/>
          <w:bCs/>
          <w:color w:val="000000" w:themeColor="text1"/>
        </w:rPr>
      </w:pPr>
      <w:r w:rsidRPr="00672BFF">
        <w:rPr>
          <w:rFonts w:cstheme="minorHAnsi"/>
          <w:bCs/>
          <w:color w:val="000000" w:themeColor="text1"/>
        </w:rPr>
        <w:t xml:space="preserve">Al ser este un curso impartido en la modalidad virtual no se requiere la asistencia a clases presenciales.  </w:t>
      </w:r>
      <w:r>
        <w:rPr>
          <w:rFonts w:cstheme="minorHAnsi"/>
          <w:bCs/>
          <w:color w:val="000000" w:themeColor="text1"/>
        </w:rPr>
        <w:t>Por ello, cada semana se asignan actividades que los y las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00D1CAAD" w14:textId="77777777" w:rsidR="00E52BD9" w:rsidRDefault="00E52BD9" w:rsidP="00E52BD9">
      <w:pPr>
        <w:jc w:val="both"/>
        <w:rPr>
          <w:rFonts w:cstheme="minorHAnsi"/>
          <w:bCs/>
          <w:color w:val="000000" w:themeColor="text1"/>
        </w:rPr>
      </w:pPr>
    </w:p>
    <w:tbl>
      <w:tblPr>
        <w:tblStyle w:val="Tablaconcuadrcula"/>
        <w:tblW w:w="8784" w:type="dxa"/>
        <w:tblLook w:val="04A0" w:firstRow="1" w:lastRow="0" w:firstColumn="1" w:lastColumn="0" w:noHBand="0" w:noVBand="1"/>
      </w:tblPr>
      <w:tblGrid>
        <w:gridCol w:w="1980"/>
        <w:gridCol w:w="1276"/>
        <w:gridCol w:w="5528"/>
      </w:tblGrid>
      <w:tr w:rsidR="00E52BD9" w:rsidRPr="00262D1E" w14:paraId="3C42DDF5" w14:textId="77777777" w:rsidTr="00104785">
        <w:tc>
          <w:tcPr>
            <w:tcW w:w="1980" w:type="dxa"/>
            <w:vAlign w:val="center"/>
          </w:tcPr>
          <w:p w14:paraId="0B590CF7" w14:textId="77777777" w:rsidR="00E52BD9" w:rsidRDefault="00E52BD9" w:rsidP="00104785">
            <w:pPr>
              <w:jc w:val="center"/>
              <w:rPr>
                <w:rFonts w:cstheme="minorHAnsi"/>
                <w:b/>
                <w:bCs/>
                <w:color w:val="000000" w:themeColor="text1"/>
              </w:rPr>
            </w:pPr>
            <w:r>
              <w:rPr>
                <w:rFonts w:cstheme="minorHAnsi"/>
                <w:b/>
                <w:bCs/>
                <w:color w:val="000000" w:themeColor="text1"/>
              </w:rPr>
              <w:t>Tipo de horas</w:t>
            </w:r>
          </w:p>
          <w:p w14:paraId="72532975" w14:textId="77777777" w:rsidR="00E52BD9" w:rsidRPr="00262D1E" w:rsidRDefault="00E52BD9" w:rsidP="00104785">
            <w:pPr>
              <w:jc w:val="center"/>
              <w:rPr>
                <w:rFonts w:cstheme="minorHAnsi"/>
                <w:b/>
                <w:bCs/>
                <w:color w:val="000000" w:themeColor="text1"/>
              </w:rPr>
            </w:pPr>
            <w:r>
              <w:rPr>
                <w:rFonts w:cstheme="minorHAnsi"/>
                <w:b/>
                <w:bCs/>
                <w:color w:val="000000" w:themeColor="text1"/>
              </w:rPr>
              <w:t>(categoría)</w:t>
            </w:r>
          </w:p>
        </w:tc>
        <w:tc>
          <w:tcPr>
            <w:tcW w:w="1276" w:type="dxa"/>
            <w:vAlign w:val="center"/>
          </w:tcPr>
          <w:p w14:paraId="7B6A6F04" w14:textId="77777777" w:rsidR="00E52BD9" w:rsidRPr="00262D1E" w:rsidRDefault="00E52BD9" w:rsidP="00104785">
            <w:pPr>
              <w:jc w:val="center"/>
              <w:rPr>
                <w:rFonts w:cstheme="minorHAnsi"/>
                <w:b/>
                <w:bCs/>
                <w:color w:val="000000" w:themeColor="text1"/>
              </w:rPr>
            </w:pPr>
            <w:r w:rsidRPr="00262D1E">
              <w:rPr>
                <w:rFonts w:cstheme="minorHAnsi"/>
                <w:b/>
                <w:bCs/>
                <w:color w:val="000000" w:themeColor="text1"/>
              </w:rPr>
              <w:t>Horas por semana</w:t>
            </w:r>
          </w:p>
        </w:tc>
        <w:tc>
          <w:tcPr>
            <w:tcW w:w="5528" w:type="dxa"/>
            <w:vAlign w:val="center"/>
          </w:tcPr>
          <w:p w14:paraId="3D31D847" w14:textId="77777777" w:rsidR="00E52BD9" w:rsidRPr="00262D1E" w:rsidRDefault="00E52BD9" w:rsidP="00104785">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E52BD9" w14:paraId="79E4276F" w14:textId="77777777" w:rsidTr="00104785">
        <w:trPr>
          <w:trHeight w:val="749"/>
        </w:trPr>
        <w:tc>
          <w:tcPr>
            <w:tcW w:w="1980" w:type="dxa"/>
            <w:vAlign w:val="center"/>
          </w:tcPr>
          <w:p w14:paraId="6C49C263" w14:textId="77777777" w:rsidR="00E52BD9" w:rsidRDefault="00E52BD9" w:rsidP="00104785">
            <w:pPr>
              <w:jc w:val="center"/>
              <w:rPr>
                <w:rFonts w:cstheme="minorHAnsi"/>
                <w:bCs/>
                <w:color w:val="000000" w:themeColor="text1"/>
              </w:rPr>
            </w:pPr>
            <w:r>
              <w:rPr>
                <w:rFonts w:cstheme="minorHAnsi"/>
                <w:bCs/>
                <w:color w:val="000000" w:themeColor="text1"/>
              </w:rPr>
              <w:t>Horas de Estudio Individual (HEI)</w:t>
            </w:r>
          </w:p>
        </w:tc>
        <w:tc>
          <w:tcPr>
            <w:tcW w:w="1276" w:type="dxa"/>
            <w:vAlign w:val="center"/>
          </w:tcPr>
          <w:p w14:paraId="64B34D9E" w14:textId="77777777" w:rsidR="00E52BD9" w:rsidRDefault="00E52BD9" w:rsidP="00104785">
            <w:pPr>
              <w:jc w:val="center"/>
              <w:rPr>
                <w:rFonts w:cstheme="minorHAnsi"/>
                <w:bCs/>
                <w:color w:val="000000" w:themeColor="text1"/>
              </w:rPr>
            </w:pPr>
            <w:r>
              <w:rPr>
                <w:rFonts w:cstheme="minorHAnsi"/>
                <w:bCs/>
                <w:color w:val="000000" w:themeColor="text1"/>
              </w:rPr>
              <w:t>4</w:t>
            </w:r>
          </w:p>
        </w:tc>
        <w:tc>
          <w:tcPr>
            <w:tcW w:w="5528" w:type="dxa"/>
            <w:vAlign w:val="center"/>
          </w:tcPr>
          <w:p w14:paraId="4DB597C4" w14:textId="77777777" w:rsidR="00E52BD9" w:rsidRDefault="00E52BD9" w:rsidP="00E52BD9">
            <w:pPr>
              <w:pStyle w:val="Prrafodelista"/>
              <w:numPr>
                <w:ilvl w:val="0"/>
                <w:numId w:val="66"/>
              </w:numPr>
              <w:ind w:left="312"/>
              <w:rPr>
                <w:rFonts w:asciiTheme="minorHAnsi" w:hAnsiTheme="minorHAnsi" w:cstheme="minorHAnsi"/>
                <w:bCs/>
                <w:color w:val="000000" w:themeColor="text1"/>
              </w:rPr>
            </w:pPr>
            <w:r>
              <w:rPr>
                <w:rFonts w:asciiTheme="minorHAnsi" w:hAnsiTheme="minorHAnsi" w:cstheme="minorHAnsi"/>
                <w:bCs/>
                <w:color w:val="000000" w:themeColor="text1"/>
              </w:rPr>
              <w:t>Lectura de los textos (materiales en formato digital).</w:t>
            </w:r>
          </w:p>
          <w:p w14:paraId="4A8C0D39" w14:textId="77777777" w:rsidR="00E52BD9" w:rsidRPr="00D172C6" w:rsidRDefault="00E52BD9" w:rsidP="00E52BD9">
            <w:pPr>
              <w:pStyle w:val="Prrafodelista"/>
              <w:numPr>
                <w:ilvl w:val="0"/>
                <w:numId w:val="66"/>
              </w:numPr>
              <w:ind w:left="312"/>
              <w:rPr>
                <w:rFonts w:asciiTheme="minorHAnsi" w:hAnsiTheme="minorHAnsi" w:cstheme="minorHAnsi"/>
                <w:bCs/>
                <w:color w:val="000000" w:themeColor="text1"/>
              </w:rPr>
            </w:pPr>
            <w:r>
              <w:rPr>
                <w:rFonts w:asciiTheme="minorHAnsi" w:hAnsiTheme="minorHAnsi" w:cstheme="minorHAnsi"/>
                <w:bCs/>
                <w:color w:val="000000" w:themeColor="text1"/>
              </w:rPr>
              <w:t>Análisis de lecturas e investigación por cuenta propia.</w:t>
            </w:r>
          </w:p>
        </w:tc>
      </w:tr>
      <w:tr w:rsidR="00E52BD9" w14:paraId="37B93FAC" w14:textId="77777777" w:rsidTr="00104785">
        <w:trPr>
          <w:trHeight w:val="973"/>
        </w:trPr>
        <w:tc>
          <w:tcPr>
            <w:tcW w:w="1980" w:type="dxa"/>
            <w:vAlign w:val="center"/>
          </w:tcPr>
          <w:p w14:paraId="40C9C476" w14:textId="77777777" w:rsidR="00E52BD9" w:rsidRDefault="00E52BD9" w:rsidP="00104785">
            <w:pPr>
              <w:jc w:val="center"/>
              <w:rPr>
                <w:rFonts w:cstheme="minorHAnsi"/>
                <w:bCs/>
                <w:color w:val="000000" w:themeColor="text1"/>
              </w:rPr>
            </w:pPr>
            <w:r>
              <w:rPr>
                <w:rFonts w:cstheme="minorHAnsi"/>
                <w:bCs/>
                <w:color w:val="000000" w:themeColor="text1"/>
              </w:rPr>
              <w:t>Horas de Trabajo Colaborativo (HTC)</w:t>
            </w:r>
          </w:p>
        </w:tc>
        <w:tc>
          <w:tcPr>
            <w:tcW w:w="1276" w:type="dxa"/>
            <w:vAlign w:val="center"/>
          </w:tcPr>
          <w:p w14:paraId="1782B584" w14:textId="77777777" w:rsidR="00E52BD9" w:rsidRDefault="00E52BD9" w:rsidP="00104785">
            <w:pPr>
              <w:jc w:val="center"/>
              <w:rPr>
                <w:rFonts w:cstheme="minorHAnsi"/>
                <w:bCs/>
                <w:color w:val="000000" w:themeColor="text1"/>
              </w:rPr>
            </w:pPr>
            <w:r>
              <w:rPr>
                <w:rFonts w:cstheme="minorHAnsi"/>
                <w:bCs/>
                <w:color w:val="000000" w:themeColor="text1"/>
              </w:rPr>
              <w:t>1</w:t>
            </w:r>
          </w:p>
        </w:tc>
        <w:tc>
          <w:tcPr>
            <w:tcW w:w="5528" w:type="dxa"/>
            <w:vAlign w:val="center"/>
          </w:tcPr>
          <w:p w14:paraId="0C7A49D8" w14:textId="77777777" w:rsidR="00E52BD9" w:rsidRDefault="00E52BD9" w:rsidP="00E52BD9">
            <w:pPr>
              <w:pStyle w:val="Prrafodelista"/>
              <w:numPr>
                <w:ilvl w:val="0"/>
                <w:numId w:val="67"/>
              </w:numPr>
              <w:ind w:left="312"/>
              <w:rPr>
                <w:rFonts w:asciiTheme="minorHAnsi" w:hAnsiTheme="minorHAnsi" w:cstheme="minorHAnsi"/>
                <w:bCs/>
                <w:color w:val="000000" w:themeColor="text1"/>
              </w:rPr>
            </w:pPr>
            <w:r>
              <w:rPr>
                <w:rFonts w:asciiTheme="minorHAnsi" w:hAnsiTheme="minorHAnsi" w:cstheme="minorHAnsi"/>
                <w:bCs/>
                <w:color w:val="000000" w:themeColor="text1"/>
              </w:rPr>
              <w:t>Participación en los foros (incluye aportes personales y réplicas a los y las demás estudiantes).</w:t>
            </w:r>
          </w:p>
          <w:p w14:paraId="4A6FA27C" w14:textId="77777777" w:rsidR="00E52BD9" w:rsidRPr="00D172C6" w:rsidRDefault="00E52BD9" w:rsidP="00E52BD9">
            <w:pPr>
              <w:pStyle w:val="Prrafodelista"/>
              <w:numPr>
                <w:ilvl w:val="0"/>
                <w:numId w:val="67"/>
              </w:numPr>
              <w:ind w:left="312"/>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E52BD9" w14:paraId="471A436A" w14:textId="77777777" w:rsidTr="00104785">
        <w:trPr>
          <w:trHeight w:val="987"/>
        </w:trPr>
        <w:tc>
          <w:tcPr>
            <w:tcW w:w="1980" w:type="dxa"/>
            <w:vAlign w:val="center"/>
          </w:tcPr>
          <w:p w14:paraId="58CC6E0B" w14:textId="77777777" w:rsidR="00E52BD9" w:rsidRDefault="00E52BD9" w:rsidP="00104785">
            <w:pPr>
              <w:jc w:val="center"/>
              <w:rPr>
                <w:rFonts w:cstheme="minorHAnsi"/>
                <w:bCs/>
                <w:color w:val="000000" w:themeColor="text1"/>
              </w:rPr>
            </w:pPr>
            <w:r>
              <w:rPr>
                <w:rFonts w:cstheme="minorHAnsi"/>
                <w:bCs/>
                <w:color w:val="000000" w:themeColor="text1"/>
              </w:rPr>
              <w:t>Horas de Producción Individual (HPI)</w:t>
            </w:r>
          </w:p>
        </w:tc>
        <w:tc>
          <w:tcPr>
            <w:tcW w:w="1276" w:type="dxa"/>
            <w:vAlign w:val="center"/>
          </w:tcPr>
          <w:p w14:paraId="35A67D8E" w14:textId="77777777" w:rsidR="00E52BD9" w:rsidRDefault="00E52BD9" w:rsidP="00104785">
            <w:pPr>
              <w:jc w:val="center"/>
              <w:rPr>
                <w:rFonts w:cstheme="minorHAnsi"/>
                <w:bCs/>
                <w:color w:val="000000" w:themeColor="text1"/>
              </w:rPr>
            </w:pPr>
            <w:r>
              <w:rPr>
                <w:rFonts w:cstheme="minorHAnsi"/>
                <w:bCs/>
                <w:color w:val="000000" w:themeColor="text1"/>
              </w:rPr>
              <w:t>5</w:t>
            </w:r>
          </w:p>
        </w:tc>
        <w:tc>
          <w:tcPr>
            <w:tcW w:w="5528" w:type="dxa"/>
            <w:vAlign w:val="center"/>
          </w:tcPr>
          <w:p w14:paraId="4F2B7718" w14:textId="77777777" w:rsidR="00E52BD9" w:rsidRDefault="00E52BD9" w:rsidP="00E52BD9">
            <w:pPr>
              <w:pStyle w:val="Prrafodelista"/>
              <w:numPr>
                <w:ilvl w:val="0"/>
                <w:numId w:val="68"/>
              </w:numPr>
              <w:ind w:left="312"/>
              <w:rPr>
                <w:rFonts w:asciiTheme="minorHAnsi" w:hAnsiTheme="minorHAnsi" w:cstheme="minorHAnsi"/>
                <w:bCs/>
                <w:color w:val="000000" w:themeColor="text1"/>
              </w:rPr>
            </w:pPr>
            <w:r>
              <w:rPr>
                <w:rFonts w:asciiTheme="minorHAnsi" w:hAnsiTheme="minorHAnsi" w:cstheme="minorHAnsi"/>
                <w:bCs/>
                <w:color w:val="000000" w:themeColor="text1"/>
              </w:rPr>
              <w:t>Elaboración de tareas parciales.</w:t>
            </w:r>
          </w:p>
          <w:p w14:paraId="5184AAA3" w14:textId="77777777" w:rsidR="00E52BD9" w:rsidRDefault="00E52BD9" w:rsidP="00E52BD9">
            <w:pPr>
              <w:pStyle w:val="Prrafodelista"/>
              <w:numPr>
                <w:ilvl w:val="0"/>
                <w:numId w:val="68"/>
              </w:numPr>
              <w:ind w:left="312"/>
              <w:rPr>
                <w:rFonts w:asciiTheme="minorHAnsi" w:hAnsiTheme="minorHAnsi" w:cstheme="minorHAnsi"/>
                <w:bCs/>
                <w:color w:val="000000" w:themeColor="text1"/>
              </w:rPr>
            </w:pPr>
            <w:r>
              <w:rPr>
                <w:rFonts w:asciiTheme="minorHAnsi" w:hAnsiTheme="minorHAnsi" w:cstheme="minorHAnsi"/>
                <w:bCs/>
                <w:color w:val="000000" w:themeColor="text1"/>
              </w:rPr>
              <w:t>Elaboración de una matriz de coherencia metodológica.</w:t>
            </w:r>
          </w:p>
          <w:p w14:paraId="6992FDAA" w14:textId="77777777" w:rsidR="00E52BD9" w:rsidRPr="008866CE" w:rsidRDefault="00E52BD9" w:rsidP="00E52BD9">
            <w:pPr>
              <w:pStyle w:val="Prrafodelista"/>
              <w:numPr>
                <w:ilvl w:val="0"/>
                <w:numId w:val="68"/>
              </w:numPr>
              <w:ind w:left="312"/>
              <w:rPr>
                <w:rFonts w:asciiTheme="minorHAnsi" w:hAnsiTheme="minorHAnsi" w:cstheme="minorHAnsi"/>
                <w:bCs/>
                <w:color w:val="000000" w:themeColor="text1"/>
              </w:rPr>
            </w:pPr>
            <w:r>
              <w:rPr>
                <w:rFonts w:asciiTheme="minorHAnsi" w:hAnsiTheme="minorHAnsi" w:cstheme="minorHAnsi"/>
                <w:bCs/>
                <w:color w:val="000000" w:themeColor="text1"/>
              </w:rPr>
              <w:t>Elaboración del diseño de una investigación.</w:t>
            </w:r>
          </w:p>
        </w:tc>
      </w:tr>
      <w:tr w:rsidR="00E52BD9" w14:paraId="04C31224" w14:textId="77777777" w:rsidTr="00104785">
        <w:trPr>
          <w:trHeight w:val="809"/>
        </w:trPr>
        <w:tc>
          <w:tcPr>
            <w:tcW w:w="1980" w:type="dxa"/>
            <w:vAlign w:val="center"/>
          </w:tcPr>
          <w:p w14:paraId="55991F7C" w14:textId="77777777" w:rsidR="00E52BD9" w:rsidRDefault="00E52BD9" w:rsidP="00104785">
            <w:pPr>
              <w:jc w:val="center"/>
              <w:rPr>
                <w:rFonts w:cstheme="minorHAnsi"/>
                <w:bCs/>
                <w:color w:val="000000" w:themeColor="text1"/>
              </w:rPr>
            </w:pPr>
            <w:r>
              <w:rPr>
                <w:rFonts w:cstheme="minorHAnsi"/>
                <w:bCs/>
                <w:color w:val="000000" w:themeColor="text1"/>
              </w:rPr>
              <w:t>Horas de Práctica (HP)</w:t>
            </w:r>
          </w:p>
        </w:tc>
        <w:tc>
          <w:tcPr>
            <w:tcW w:w="1276" w:type="dxa"/>
            <w:vAlign w:val="center"/>
          </w:tcPr>
          <w:p w14:paraId="6E59BA0D" w14:textId="77777777" w:rsidR="00E52BD9" w:rsidRDefault="00E52BD9" w:rsidP="00104785">
            <w:pPr>
              <w:jc w:val="center"/>
              <w:rPr>
                <w:rFonts w:cstheme="minorHAnsi"/>
                <w:bCs/>
                <w:color w:val="000000" w:themeColor="text1"/>
              </w:rPr>
            </w:pPr>
            <w:r>
              <w:rPr>
                <w:rFonts w:cstheme="minorHAnsi"/>
                <w:bCs/>
                <w:color w:val="000000" w:themeColor="text1"/>
              </w:rPr>
              <w:t>2</w:t>
            </w:r>
          </w:p>
        </w:tc>
        <w:tc>
          <w:tcPr>
            <w:tcW w:w="5528" w:type="dxa"/>
            <w:vAlign w:val="center"/>
          </w:tcPr>
          <w:p w14:paraId="0343750B" w14:textId="77777777" w:rsidR="00E52BD9" w:rsidRDefault="00E52BD9" w:rsidP="00E52BD9">
            <w:pPr>
              <w:pStyle w:val="Prrafodelista"/>
              <w:numPr>
                <w:ilvl w:val="0"/>
                <w:numId w:val="69"/>
              </w:numPr>
              <w:ind w:left="312"/>
              <w:rPr>
                <w:rFonts w:asciiTheme="minorHAnsi" w:hAnsiTheme="minorHAnsi" w:cstheme="minorHAnsi"/>
                <w:bCs/>
                <w:color w:val="000000" w:themeColor="text1"/>
              </w:rPr>
            </w:pPr>
            <w:r>
              <w:rPr>
                <w:rFonts w:asciiTheme="minorHAnsi" w:hAnsiTheme="minorHAnsi" w:cstheme="minorHAnsi"/>
                <w:bCs/>
                <w:color w:val="000000" w:themeColor="text1"/>
              </w:rPr>
              <w:t xml:space="preserve">Entrevista a un/a bibliotecario/a. </w:t>
            </w:r>
          </w:p>
          <w:p w14:paraId="4DEDE543" w14:textId="77777777" w:rsidR="00E52BD9" w:rsidRDefault="00E52BD9" w:rsidP="00E52BD9">
            <w:pPr>
              <w:pStyle w:val="Prrafodelista"/>
              <w:numPr>
                <w:ilvl w:val="0"/>
                <w:numId w:val="69"/>
              </w:numPr>
              <w:ind w:left="312"/>
              <w:rPr>
                <w:rFonts w:asciiTheme="minorHAnsi" w:hAnsiTheme="minorHAnsi" w:cstheme="minorHAnsi"/>
                <w:bCs/>
                <w:color w:val="000000" w:themeColor="text1"/>
              </w:rPr>
            </w:pPr>
            <w:r>
              <w:rPr>
                <w:rFonts w:asciiTheme="minorHAnsi" w:hAnsiTheme="minorHAnsi" w:cstheme="minorHAnsi"/>
                <w:bCs/>
                <w:color w:val="000000" w:themeColor="text1"/>
              </w:rPr>
              <w:t>Investigación de campo.</w:t>
            </w:r>
          </w:p>
          <w:p w14:paraId="3A811302" w14:textId="77777777" w:rsidR="00E52BD9" w:rsidRPr="00702CB1" w:rsidRDefault="00E52BD9" w:rsidP="00104785">
            <w:pPr>
              <w:pStyle w:val="Prrafodelista"/>
              <w:rPr>
                <w:rFonts w:asciiTheme="minorHAnsi" w:hAnsiTheme="minorHAnsi" w:cstheme="minorHAnsi"/>
                <w:bCs/>
                <w:color w:val="000000" w:themeColor="text1"/>
              </w:rPr>
            </w:pPr>
          </w:p>
        </w:tc>
      </w:tr>
      <w:tr w:rsidR="00E52BD9" w:rsidRPr="00262D1E" w14:paraId="4DD1F189" w14:textId="77777777" w:rsidTr="00104785">
        <w:tc>
          <w:tcPr>
            <w:tcW w:w="1980" w:type="dxa"/>
            <w:vAlign w:val="center"/>
          </w:tcPr>
          <w:p w14:paraId="4A9B9D75" w14:textId="77777777" w:rsidR="00E52BD9" w:rsidRDefault="00E52BD9" w:rsidP="00104785">
            <w:pPr>
              <w:jc w:val="center"/>
              <w:rPr>
                <w:rFonts w:cstheme="minorHAnsi"/>
                <w:b/>
                <w:bCs/>
                <w:color w:val="000000" w:themeColor="text1"/>
              </w:rPr>
            </w:pPr>
            <w:r w:rsidRPr="00262D1E">
              <w:rPr>
                <w:rFonts w:cstheme="minorHAnsi"/>
                <w:b/>
                <w:bCs/>
                <w:color w:val="000000" w:themeColor="text1"/>
              </w:rPr>
              <w:t>Total</w:t>
            </w:r>
            <w:r>
              <w:rPr>
                <w:rFonts w:cstheme="minorHAnsi"/>
                <w:b/>
                <w:bCs/>
                <w:color w:val="000000" w:themeColor="text1"/>
              </w:rPr>
              <w:t xml:space="preserve"> de horas </w:t>
            </w:r>
          </w:p>
          <w:p w14:paraId="4EF47C0D" w14:textId="77777777" w:rsidR="00E52BD9" w:rsidRPr="00262D1E" w:rsidRDefault="00E52BD9" w:rsidP="00104785">
            <w:pPr>
              <w:jc w:val="center"/>
              <w:rPr>
                <w:rFonts w:cstheme="minorHAnsi"/>
                <w:b/>
                <w:bCs/>
                <w:color w:val="000000" w:themeColor="text1"/>
              </w:rPr>
            </w:pPr>
            <w:r>
              <w:rPr>
                <w:rFonts w:cstheme="minorHAnsi"/>
                <w:b/>
                <w:bCs/>
                <w:color w:val="000000" w:themeColor="text1"/>
              </w:rPr>
              <w:t>(TH)</w:t>
            </w:r>
          </w:p>
        </w:tc>
        <w:tc>
          <w:tcPr>
            <w:tcW w:w="1276" w:type="dxa"/>
            <w:vAlign w:val="center"/>
          </w:tcPr>
          <w:p w14:paraId="1447E3CE" w14:textId="77777777" w:rsidR="00E52BD9" w:rsidRPr="00262D1E" w:rsidRDefault="00E52BD9" w:rsidP="00104785">
            <w:pPr>
              <w:jc w:val="center"/>
              <w:rPr>
                <w:rFonts w:cstheme="minorHAnsi"/>
                <w:b/>
                <w:bCs/>
                <w:color w:val="000000" w:themeColor="text1"/>
              </w:rPr>
            </w:pPr>
            <w:r w:rsidRPr="00262D1E">
              <w:rPr>
                <w:rFonts w:cstheme="minorHAnsi"/>
                <w:b/>
                <w:bCs/>
                <w:color w:val="000000" w:themeColor="text1"/>
              </w:rPr>
              <w:t>12</w:t>
            </w:r>
          </w:p>
        </w:tc>
        <w:tc>
          <w:tcPr>
            <w:tcW w:w="5528" w:type="dxa"/>
            <w:vAlign w:val="center"/>
          </w:tcPr>
          <w:p w14:paraId="24FB0A96" w14:textId="77777777" w:rsidR="00E52BD9" w:rsidRPr="00262D1E" w:rsidRDefault="00E52BD9" w:rsidP="00104785">
            <w:pPr>
              <w:jc w:val="center"/>
              <w:rPr>
                <w:rFonts w:cstheme="minorHAnsi"/>
                <w:b/>
                <w:bCs/>
                <w:color w:val="000000" w:themeColor="text1"/>
              </w:rPr>
            </w:pPr>
          </w:p>
        </w:tc>
      </w:tr>
    </w:tbl>
    <w:p w14:paraId="0A2BF4D5" w14:textId="77777777" w:rsidR="00E52BD9" w:rsidRDefault="00E52BD9" w:rsidP="00E52BD9">
      <w:pPr>
        <w:jc w:val="both"/>
        <w:rPr>
          <w:rFonts w:cstheme="minorHAnsi"/>
          <w:bCs/>
          <w:color w:val="000000" w:themeColor="text1"/>
        </w:rPr>
      </w:pPr>
    </w:p>
    <w:p w14:paraId="535C3D9C" w14:textId="77777777" w:rsidR="00E52BD9" w:rsidRDefault="00E52BD9" w:rsidP="00E52BD9">
      <w:pPr>
        <w:jc w:val="both"/>
        <w:rPr>
          <w:rFonts w:cstheme="minorHAnsi"/>
          <w:bCs/>
          <w:color w:val="000000" w:themeColor="text1"/>
        </w:rPr>
      </w:pPr>
      <w:r>
        <w:rPr>
          <w:rFonts w:cstheme="minorHAnsi"/>
          <w:bCs/>
          <w:color w:val="000000" w:themeColor="text1"/>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14B46649" w14:textId="77777777" w:rsidR="00E52BD9" w:rsidRDefault="00E52BD9" w:rsidP="00E52BD9">
      <w:pPr>
        <w:jc w:val="both"/>
        <w:rPr>
          <w:rFonts w:cstheme="minorHAnsi"/>
          <w:bCs/>
          <w:color w:val="000000" w:themeColor="text1"/>
        </w:rPr>
      </w:pPr>
    </w:p>
    <w:p w14:paraId="67C4C579" w14:textId="77777777" w:rsidR="00E52BD9" w:rsidRDefault="00E52BD9" w:rsidP="00E52BD9">
      <w:pPr>
        <w:jc w:val="both"/>
        <w:rPr>
          <w:rFonts w:cstheme="minorHAnsi"/>
          <w:bCs/>
          <w:color w:val="000000" w:themeColor="text1"/>
        </w:rPr>
      </w:pPr>
    </w:p>
    <w:p w14:paraId="02D8B3B0" w14:textId="77777777" w:rsidR="00E52BD9" w:rsidRDefault="00E52BD9" w:rsidP="00E52BD9">
      <w:pPr>
        <w:jc w:val="both"/>
        <w:rPr>
          <w:rFonts w:cstheme="minorHAnsi"/>
          <w:bCs/>
          <w:color w:val="000000" w:themeColor="text1"/>
        </w:rPr>
      </w:pPr>
    </w:p>
    <w:p w14:paraId="4E721CA9" w14:textId="77777777" w:rsidR="00E52BD9" w:rsidRDefault="00E52BD9" w:rsidP="00E52BD9">
      <w:pPr>
        <w:jc w:val="both"/>
        <w:rPr>
          <w:rFonts w:cstheme="minorHAnsi"/>
          <w:bCs/>
          <w:color w:val="000000" w:themeColor="text1"/>
        </w:rPr>
      </w:pPr>
    </w:p>
    <w:p w14:paraId="0AC2624E" w14:textId="77777777" w:rsidR="00E52BD9" w:rsidRDefault="00E52BD9" w:rsidP="00E52BD9">
      <w:pPr>
        <w:jc w:val="both"/>
        <w:rPr>
          <w:rFonts w:cstheme="minorHAnsi"/>
          <w:bCs/>
          <w:color w:val="000000" w:themeColor="text1"/>
        </w:rPr>
      </w:pPr>
    </w:p>
    <w:p w14:paraId="5E420BD2" w14:textId="77777777" w:rsidR="00E52BD9" w:rsidRDefault="00E52BD9" w:rsidP="00E52BD9">
      <w:pPr>
        <w:jc w:val="both"/>
        <w:rPr>
          <w:rFonts w:cstheme="minorHAnsi"/>
          <w:bCs/>
          <w:color w:val="000000" w:themeColor="text1"/>
        </w:rPr>
      </w:pPr>
    </w:p>
    <w:p w14:paraId="26CC6E0D" w14:textId="77777777" w:rsidR="00E52BD9" w:rsidRDefault="00E52BD9" w:rsidP="00E52BD9">
      <w:pPr>
        <w:jc w:val="both"/>
        <w:rPr>
          <w:rFonts w:cstheme="minorHAnsi"/>
          <w:bCs/>
          <w:color w:val="000000" w:themeColor="text1"/>
        </w:rPr>
      </w:pPr>
    </w:p>
    <w:p w14:paraId="0BA6BEBE" w14:textId="77777777" w:rsidR="00E52BD9" w:rsidRPr="00E34496" w:rsidRDefault="00E52BD9" w:rsidP="00E52BD9">
      <w:pPr>
        <w:jc w:val="both"/>
        <w:rPr>
          <w:rFonts w:cs="Arial"/>
          <w:b/>
          <w:bCs/>
          <w:color w:val="000000" w:themeColor="text1"/>
        </w:rPr>
      </w:pPr>
      <w:r w:rsidRPr="00E34496">
        <w:rPr>
          <w:rFonts w:cs="Arial"/>
          <w:b/>
          <w:bCs/>
          <w:color w:val="000000" w:themeColor="text1"/>
        </w:rPr>
        <w:t>X. Evaluación</w:t>
      </w:r>
      <w:r w:rsidRPr="00E34496">
        <w:rPr>
          <w:rFonts w:cs="Arial"/>
          <w:b/>
          <w:bCs/>
          <w:color w:val="000000" w:themeColor="text1"/>
        </w:rPr>
        <w:tab/>
      </w:r>
    </w:p>
    <w:p w14:paraId="16F04695" w14:textId="77777777" w:rsidR="00E52BD9" w:rsidRDefault="00E52BD9" w:rsidP="00E52BD9">
      <w:pPr>
        <w:jc w:val="both"/>
        <w:rPr>
          <w:rFonts w:cs="Arial"/>
          <w:bCs/>
          <w:color w:val="000000" w:themeColor="text1"/>
        </w:rPr>
      </w:pPr>
      <w:r>
        <w:rPr>
          <w:rFonts w:cs="Arial"/>
          <w:bCs/>
          <w:color w:val="000000" w:themeColor="text1"/>
        </w:rPr>
        <w:t>Durante el curso se</w:t>
      </w:r>
      <w:r w:rsidRPr="00E34496">
        <w:rPr>
          <w:rFonts w:cs="Arial"/>
          <w:bCs/>
          <w:color w:val="000000" w:themeColor="text1"/>
        </w:rPr>
        <w:t xml:space="preserve"> entrega</w:t>
      </w:r>
      <w:r>
        <w:rPr>
          <w:rFonts w:cs="Arial"/>
          <w:bCs/>
          <w:color w:val="000000" w:themeColor="text1"/>
        </w:rPr>
        <w:t>rán</w:t>
      </w:r>
      <w:r w:rsidRPr="00E34496">
        <w:rPr>
          <w:rFonts w:cs="Arial"/>
          <w:bCs/>
          <w:color w:val="000000" w:themeColor="text1"/>
        </w:rPr>
        <w:t xml:space="preserve"> </w:t>
      </w:r>
      <w:r>
        <w:rPr>
          <w:rFonts w:cs="Arial"/>
          <w:bCs/>
          <w:color w:val="000000" w:themeColor="text1"/>
        </w:rPr>
        <w:t>tareas</w:t>
      </w:r>
      <w:r w:rsidRPr="00E34496">
        <w:rPr>
          <w:rFonts w:cs="Arial"/>
          <w:bCs/>
          <w:color w:val="000000" w:themeColor="text1"/>
        </w:rPr>
        <w:t xml:space="preserve"> </w:t>
      </w:r>
      <w:r>
        <w:rPr>
          <w:rFonts w:cs="Arial"/>
          <w:bCs/>
          <w:color w:val="000000" w:themeColor="text1"/>
        </w:rPr>
        <w:t>parciales relacionadas con el análisis/ejecución de los temas estudiados. Estas tareas se constituirán en el preámbulo del diseño de una investigación. En cada una de las tareas se recibirá retroalimentación por parte de la persona docente y se espera que a partir de esta se genere un proceso de reflexión y corrección que mejore cada producto antes de presentar los avances correspondientes al diseño de una investigación</w:t>
      </w:r>
      <w:r w:rsidRPr="00E34496">
        <w:rPr>
          <w:rFonts w:cs="Arial"/>
          <w:bCs/>
          <w:color w:val="000000" w:themeColor="text1"/>
        </w:rPr>
        <w:t>.</w:t>
      </w:r>
      <w:r>
        <w:rPr>
          <w:rFonts w:cs="Arial"/>
          <w:bCs/>
          <w:color w:val="000000" w:themeColor="text1"/>
        </w:rPr>
        <w:t xml:space="preserve"> De esta manera se considerará la capacidad de las y los estudiantes de analizar su proceso investigativo de forma crítica, organizarlo y corregirlo de tal manera que se eviten sesgos y se seleccionen las mejores estrategias para dar respuesta al problema que se quiere responder</w:t>
      </w:r>
      <w:r w:rsidRPr="00E34496">
        <w:rPr>
          <w:rFonts w:cs="Arial"/>
          <w:bCs/>
          <w:color w:val="000000" w:themeColor="text1"/>
        </w:rPr>
        <w:t>. La evaluación sumativa se realiza</w:t>
      </w:r>
      <w:r>
        <w:rPr>
          <w:rFonts w:cs="Arial"/>
          <w:bCs/>
          <w:color w:val="000000" w:themeColor="text1"/>
        </w:rPr>
        <w:t>rá</w:t>
      </w:r>
      <w:r w:rsidRPr="00E34496">
        <w:rPr>
          <w:rFonts w:cs="Arial"/>
          <w:bCs/>
          <w:color w:val="000000" w:themeColor="text1"/>
        </w:rPr>
        <w:t xml:space="preserve"> con base en</w:t>
      </w:r>
      <w:r>
        <w:rPr>
          <w:rFonts w:cs="Arial"/>
          <w:bCs/>
          <w:color w:val="000000" w:themeColor="text1"/>
        </w:rPr>
        <w:t xml:space="preserve"> la participación en los foros temáticos, la entrevista a un/a bibliotecario/a,</w:t>
      </w:r>
      <w:r w:rsidRPr="00E34496">
        <w:rPr>
          <w:rFonts w:cs="Arial"/>
          <w:bCs/>
          <w:color w:val="000000" w:themeColor="text1"/>
        </w:rPr>
        <w:t xml:space="preserve"> </w:t>
      </w:r>
      <w:r>
        <w:rPr>
          <w:rFonts w:cs="Arial"/>
          <w:bCs/>
          <w:color w:val="000000" w:themeColor="text1"/>
        </w:rPr>
        <w:t xml:space="preserve">las tareas parciales, la matriz de coherencia metodológica y el diseño de una investigación (el cual incluye avances), por lo que es importante la participación activa de la persona estudiante a lo largo de todo el curso.  </w:t>
      </w:r>
      <w:r w:rsidRPr="00E34496">
        <w:rPr>
          <w:rFonts w:cs="Arial"/>
          <w:bCs/>
          <w:color w:val="000000" w:themeColor="text1"/>
        </w:rPr>
        <w:t>Los porcentajes asignados a cada elemento del curso son l</w:t>
      </w:r>
      <w:r>
        <w:rPr>
          <w:rFonts w:cs="Arial"/>
          <w:bCs/>
          <w:color w:val="000000" w:themeColor="text1"/>
        </w:rPr>
        <w:t>os siguientes:</w:t>
      </w:r>
    </w:p>
    <w:p w14:paraId="1AD08784" w14:textId="77777777" w:rsidR="00E52BD9" w:rsidRPr="006C2D45" w:rsidRDefault="00E52BD9" w:rsidP="00E52BD9">
      <w:pPr>
        <w:jc w:val="both"/>
        <w:rPr>
          <w:rFonts w:cs="Arial"/>
          <w:bCs/>
          <w:color w:val="000000" w:themeColor="text1"/>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80"/>
        <w:gridCol w:w="1540"/>
      </w:tblGrid>
      <w:tr w:rsidR="00E52BD9" w:rsidRPr="00C662A8" w14:paraId="03B62E72" w14:textId="77777777" w:rsidTr="00104785">
        <w:trPr>
          <w:trHeight w:val="342"/>
        </w:trPr>
        <w:tc>
          <w:tcPr>
            <w:tcW w:w="8720" w:type="dxa"/>
            <w:gridSpan w:val="2"/>
            <w:vAlign w:val="center"/>
          </w:tcPr>
          <w:p w14:paraId="4CEB8E12" w14:textId="77777777" w:rsidR="00E52BD9" w:rsidRPr="00C662A8" w:rsidRDefault="00E52BD9" w:rsidP="00104785">
            <w:pPr>
              <w:jc w:val="center"/>
              <w:rPr>
                <w:rFonts w:cs="Arial"/>
                <w:b/>
                <w:bCs/>
                <w:color w:val="000000" w:themeColor="text1"/>
              </w:rPr>
            </w:pPr>
            <w:r>
              <w:rPr>
                <w:rFonts w:cs="Arial"/>
                <w:b/>
                <w:bCs/>
                <w:color w:val="000000" w:themeColor="text1"/>
              </w:rPr>
              <w:t>Síntesis cuantitativa de la evaluación</w:t>
            </w:r>
          </w:p>
        </w:tc>
      </w:tr>
      <w:tr w:rsidR="00E52BD9" w:rsidRPr="00C662A8" w14:paraId="2889204B" w14:textId="77777777" w:rsidTr="00104785">
        <w:tc>
          <w:tcPr>
            <w:tcW w:w="7180" w:type="dxa"/>
            <w:vAlign w:val="center"/>
          </w:tcPr>
          <w:p w14:paraId="7F208016" w14:textId="77777777" w:rsidR="00E52BD9" w:rsidRPr="00056570" w:rsidRDefault="00E52BD9" w:rsidP="00104785">
            <w:pPr>
              <w:rPr>
                <w:rFonts w:cs="Arial"/>
                <w:b/>
                <w:color w:val="000000" w:themeColor="text1"/>
              </w:rPr>
            </w:pPr>
            <w:r>
              <w:rPr>
                <w:rFonts w:cs="Arial"/>
                <w:b/>
                <w:color w:val="000000" w:themeColor="text1"/>
              </w:rPr>
              <w:t>Rubros para evaluar</w:t>
            </w:r>
          </w:p>
        </w:tc>
        <w:tc>
          <w:tcPr>
            <w:tcW w:w="1540" w:type="dxa"/>
            <w:vAlign w:val="center"/>
          </w:tcPr>
          <w:p w14:paraId="1CDEC06F" w14:textId="77777777" w:rsidR="00E52BD9" w:rsidRPr="00E16542" w:rsidRDefault="00E52BD9" w:rsidP="00104785">
            <w:pPr>
              <w:jc w:val="center"/>
              <w:rPr>
                <w:rFonts w:cstheme="minorHAnsi"/>
                <w:b/>
                <w:color w:val="000000" w:themeColor="text1"/>
              </w:rPr>
            </w:pPr>
            <w:r>
              <w:rPr>
                <w:rFonts w:cstheme="minorHAnsi"/>
                <w:b/>
                <w:color w:val="000000" w:themeColor="text1"/>
              </w:rPr>
              <w:t>Porcentaje total</w:t>
            </w:r>
          </w:p>
        </w:tc>
      </w:tr>
      <w:tr w:rsidR="00E52BD9" w:rsidRPr="00C662A8" w14:paraId="581A5DB8" w14:textId="77777777" w:rsidTr="00104785">
        <w:tc>
          <w:tcPr>
            <w:tcW w:w="7180" w:type="dxa"/>
          </w:tcPr>
          <w:p w14:paraId="2FA8990A" w14:textId="77777777" w:rsidR="00E52BD9" w:rsidRDefault="00E52BD9" w:rsidP="00104785">
            <w:pPr>
              <w:jc w:val="both"/>
              <w:rPr>
                <w:rFonts w:cs="Arial"/>
                <w:b/>
                <w:i/>
                <w:iCs/>
                <w:color w:val="000000" w:themeColor="text1"/>
              </w:rPr>
            </w:pPr>
            <w:r>
              <w:rPr>
                <w:rFonts w:cs="Arial"/>
                <w:b/>
                <w:i/>
                <w:iCs/>
                <w:color w:val="000000" w:themeColor="text1"/>
              </w:rPr>
              <w:t>Encuentros sincrónicos virtuales</w:t>
            </w:r>
          </w:p>
          <w:p w14:paraId="7203EC85" w14:textId="77777777" w:rsidR="00E52BD9" w:rsidRPr="00BB79EE" w:rsidRDefault="00E52BD9" w:rsidP="00104785">
            <w:pPr>
              <w:jc w:val="both"/>
              <w:rPr>
                <w:rFonts w:cs="Arial"/>
                <w:bCs/>
                <w:color w:val="000000" w:themeColor="text1"/>
              </w:rPr>
            </w:pPr>
            <w:r>
              <w:rPr>
                <w:rFonts w:cs="Arial"/>
                <w:bCs/>
                <w:color w:val="000000" w:themeColor="text1"/>
              </w:rPr>
              <w:t>Se llevan a cabo en las sesiones 1, 4, 7, 10 y 13. Tienen un valor formativo y no sumativo.</w:t>
            </w:r>
          </w:p>
        </w:tc>
        <w:tc>
          <w:tcPr>
            <w:tcW w:w="1540" w:type="dxa"/>
            <w:vAlign w:val="center"/>
          </w:tcPr>
          <w:p w14:paraId="1B95ACFE" w14:textId="77777777" w:rsidR="00E52BD9" w:rsidRDefault="00E52BD9" w:rsidP="00104785">
            <w:pPr>
              <w:jc w:val="center"/>
              <w:rPr>
                <w:rFonts w:cs="Arial"/>
                <w:bCs/>
                <w:color w:val="000000" w:themeColor="text1"/>
              </w:rPr>
            </w:pPr>
            <w:r>
              <w:rPr>
                <w:rFonts w:cstheme="minorHAnsi"/>
                <w:bCs/>
                <w:color w:val="000000" w:themeColor="text1"/>
              </w:rPr>
              <w:t>̶</w:t>
            </w:r>
          </w:p>
        </w:tc>
      </w:tr>
      <w:tr w:rsidR="00E52BD9" w:rsidRPr="00C662A8" w14:paraId="50B91E0C" w14:textId="77777777" w:rsidTr="00104785">
        <w:tc>
          <w:tcPr>
            <w:tcW w:w="7180" w:type="dxa"/>
          </w:tcPr>
          <w:p w14:paraId="068A46B2" w14:textId="77777777" w:rsidR="00E52BD9" w:rsidRDefault="00E52BD9" w:rsidP="00104785">
            <w:pPr>
              <w:jc w:val="both"/>
              <w:rPr>
                <w:rFonts w:cs="Arial"/>
                <w:b/>
                <w:i/>
                <w:iCs/>
                <w:color w:val="000000" w:themeColor="text1"/>
              </w:rPr>
            </w:pPr>
            <w:r>
              <w:rPr>
                <w:rFonts w:cs="Arial"/>
                <w:b/>
                <w:i/>
                <w:iCs/>
                <w:color w:val="000000" w:themeColor="text1"/>
              </w:rPr>
              <w:t>Foros temáticos</w:t>
            </w:r>
          </w:p>
          <w:p w14:paraId="01C6CEE5" w14:textId="77777777" w:rsidR="00E52BD9" w:rsidRPr="00084722" w:rsidRDefault="00E52BD9" w:rsidP="00104785">
            <w:pPr>
              <w:jc w:val="both"/>
              <w:rPr>
                <w:rFonts w:cs="Arial"/>
                <w:bCs/>
                <w:color w:val="000000" w:themeColor="text1"/>
              </w:rPr>
            </w:pPr>
            <w:r>
              <w:rPr>
                <w:rFonts w:cs="Arial"/>
                <w:bCs/>
                <w:color w:val="000000" w:themeColor="text1"/>
              </w:rPr>
              <w:t>Se desarrollan en las sesiones 1, 2, 5, 7 y 13. Cada foro tiene un valor de 2%.</w:t>
            </w:r>
          </w:p>
        </w:tc>
        <w:tc>
          <w:tcPr>
            <w:tcW w:w="1540" w:type="dxa"/>
            <w:vAlign w:val="center"/>
          </w:tcPr>
          <w:p w14:paraId="42FBCB75" w14:textId="77777777" w:rsidR="00E52BD9" w:rsidRPr="00C662A8" w:rsidRDefault="00E52BD9" w:rsidP="00104785">
            <w:pPr>
              <w:jc w:val="center"/>
              <w:rPr>
                <w:rFonts w:cs="Arial"/>
                <w:bCs/>
                <w:color w:val="000000" w:themeColor="text1"/>
              </w:rPr>
            </w:pPr>
            <w:r>
              <w:rPr>
                <w:rFonts w:cs="Arial"/>
                <w:bCs/>
                <w:color w:val="000000" w:themeColor="text1"/>
              </w:rPr>
              <w:t>10%</w:t>
            </w:r>
          </w:p>
        </w:tc>
      </w:tr>
      <w:tr w:rsidR="00E52BD9" w:rsidRPr="00C662A8" w14:paraId="6BC2198D" w14:textId="77777777" w:rsidTr="00104785">
        <w:tc>
          <w:tcPr>
            <w:tcW w:w="7180" w:type="dxa"/>
          </w:tcPr>
          <w:p w14:paraId="68C29B55" w14:textId="77777777" w:rsidR="00E52BD9" w:rsidRDefault="00E52BD9" w:rsidP="00104785">
            <w:pPr>
              <w:jc w:val="both"/>
              <w:rPr>
                <w:rFonts w:cs="Arial"/>
                <w:b/>
                <w:i/>
                <w:iCs/>
                <w:color w:val="000000" w:themeColor="text1"/>
              </w:rPr>
            </w:pPr>
            <w:r>
              <w:rPr>
                <w:rFonts w:cs="Arial"/>
                <w:b/>
                <w:i/>
                <w:iCs/>
                <w:color w:val="000000" w:themeColor="text1"/>
              </w:rPr>
              <w:t>Entrevista a un/a bibliotecario/a</w:t>
            </w:r>
          </w:p>
          <w:p w14:paraId="0CCDF814" w14:textId="77777777" w:rsidR="00E52BD9" w:rsidRPr="001E55EA" w:rsidRDefault="00E52BD9" w:rsidP="00104785">
            <w:pPr>
              <w:jc w:val="both"/>
              <w:rPr>
                <w:rFonts w:cs="Arial"/>
                <w:bCs/>
                <w:color w:val="000000" w:themeColor="text1"/>
              </w:rPr>
            </w:pPr>
            <w:r>
              <w:rPr>
                <w:rFonts w:cs="Arial"/>
                <w:bCs/>
                <w:color w:val="000000" w:themeColor="text1"/>
              </w:rPr>
              <w:t xml:space="preserve">Se lleva a cabo en la sesión 2. </w:t>
            </w:r>
          </w:p>
        </w:tc>
        <w:tc>
          <w:tcPr>
            <w:tcW w:w="1540" w:type="dxa"/>
            <w:vAlign w:val="center"/>
          </w:tcPr>
          <w:p w14:paraId="54B2D5D4" w14:textId="77777777" w:rsidR="00E52BD9" w:rsidRDefault="00E52BD9" w:rsidP="00104785">
            <w:pPr>
              <w:jc w:val="center"/>
              <w:rPr>
                <w:rFonts w:cs="Arial"/>
                <w:bCs/>
                <w:color w:val="000000" w:themeColor="text1"/>
              </w:rPr>
            </w:pPr>
            <w:r>
              <w:rPr>
                <w:rFonts w:cs="Arial"/>
                <w:bCs/>
                <w:color w:val="000000" w:themeColor="text1"/>
              </w:rPr>
              <w:t>15%</w:t>
            </w:r>
          </w:p>
        </w:tc>
      </w:tr>
      <w:tr w:rsidR="00E52BD9" w:rsidRPr="00C662A8" w14:paraId="0282E312" w14:textId="77777777" w:rsidTr="00104785">
        <w:tc>
          <w:tcPr>
            <w:tcW w:w="7180" w:type="dxa"/>
          </w:tcPr>
          <w:p w14:paraId="105B39E0" w14:textId="77777777" w:rsidR="00E52BD9" w:rsidRDefault="00E52BD9" w:rsidP="00104785">
            <w:pPr>
              <w:jc w:val="both"/>
              <w:rPr>
                <w:rFonts w:cs="Arial"/>
                <w:b/>
                <w:i/>
                <w:iCs/>
                <w:color w:val="000000" w:themeColor="text1"/>
              </w:rPr>
            </w:pPr>
            <w:r>
              <w:rPr>
                <w:rFonts w:cs="Arial"/>
                <w:b/>
                <w:i/>
                <w:iCs/>
                <w:color w:val="000000" w:themeColor="text1"/>
              </w:rPr>
              <w:t>Tareas parciales</w:t>
            </w:r>
          </w:p>
          <w:p w14:paraId="16C7FF66" w14:textId="77777777" w:rsidR="00E52BD9" w:rsidRDefault="00E52BD9" w:rsidP="00104785">
            <w:pPr>
              <w:jc w:val="both"/>
              <w:rPr>
                <w:rFonts w:cs="Arial"/>
                <w:bCs/>
                <w:color w:val="000000" w:themeColor="text1"/>
              </w:rPr>
            </w:pPr>
            <w:r>
              <w:rPr>
                <w:rFonts w:cs="Arial"/>
                <w:bCs/>
                <w:color w:val="000000" w:themeColor="text1"/>
              </w:rPr>
              <w:t>Incluye las siguientes tareas, las cuales tienen un valor de 3% cada una:</w:t>
            </w:r>
          </w:p>
          <w:p w14:paraId="119DA84D" w14:textId="77777777" w:rsidR="00E52BD9" w:rsidRDefault="00E52BD9" w:rsidP="00104785">
            <w:pPr>
              <w:jc w:val="both"/>
              <w:rPr>
                <w:rFonts w:cs="Arial"/>
                <w:bCs/>
                <w:color w:val="000000" w:themeColor="text1"/>
              </w:rPr>
            </w:pPr>
            <w:r>
              <w:rPr>
                <w:rFonts w:cs="Arial"/>
                <w:bCs/>
                <w:color w:val="000000" w:themeColor="text1"/>
              </w:rPr>
              <w:t xml:space="preserve">- Reseña crítica de lectura (sesión 3). </w:t>
            </w:r>
          </w:p>
          <w:p w14:paraId="684E46F2" w14:textId="77777777" w:rsidR="00E52BD9" w:rsidRDefault="00E52BD9" w:rsidP="00104785">
            <w:pPr>
              <w:jc w:val="both"/>
              <w:rPr>
                <w:rFonts w:cs="Arial"/>
                <w:bCs/>
                <w:color w:val="000000" w:themeColor="text1"/>
              </w:rPr>
            </w:pPr>
            <w:r>
              <w:rPr>
                <w:rFonts w:cs="Arial"/>
                <w:bCs/>
                <w:color w:val="000000" w:themeColor="text1"/>
              </w:rPr>
              <w:t>- Delimitación del tema y la pregunta de investigación (sesión 4).</w:t>
            </w:r>
          </w:p>
          <w:p w14:paraId="1E049BDD" w14:textId="77777777" w:rsidR="00E52BD9" w:rsidRDefault="00E52BD9" w:rsidP="00104785">
            <w:pPr>
              <w:jc w:val="both"/>
              <w:rPr>
                <w:rFonts w:cs="Arial"/>
                <w:bCs/>
                <w:color w:val="000000" w:themeColor="text1"/>
              </w:rPr>
            </w:pPr>
            <w:r>
              <w:rPr>
                <w:rFonts w:cs="Arial"/>
                <w:bCs/>
                <w:color w:val="000000" w:themeColor="text1"/>
              </w:rPr>
              <w:t>- Objetivo general y los objetivos específicos (sesión 5).</w:t>
            </w:r>
          </w:p>
          <w:p w14:paraId="31DC40FB" w14:textId="77777777" w:rsidR="00E52BD9" w:rsidRDefault="00E52BD9" w:rsidP="00104785">
            <w:pPr>
              <w:jc w:val="both"/>
              <w:rPr>
                <w:rFonts w:cs="Arial"/>
                <w:bCs/>
                <w:color w:val="000000" w:themeColor="text1"/>
              </w:rPr>
            </w:pPr>
            <w:r>
              <w:rPr>
                <w:rFonts w:cs="Arial"/>
                <w:bCs/>
                <w:color w:val="000000" w:themeColor="text1"/>
              </w:rPr>
              <w:t>- Matriz del marco teórico (sesión 7).</w:t>
            </w:r>
          </w:p>
          <w:p w14:paraId="69B5B2E6" w14:textId="77777777" w:rsidR="00E52BD9" w:rsidRDefault="00E52BD9" w:rsidP="00104785">
            <w:pPr>
              <w:jc w:val="both"/>
              <w:rPr>
                <w:rFonts w:cs="Arial"/>
                <w:bCs/>
                <w:color w:val="000000" w:themeColor="text1"/>
              </w:rPr>
            </w:pPr>
            <w:r>
              <w:rPr>
                <w:rFonts w:cs="Arial"/>
                <w:bCs/>
                <w:color w:val="000000" w:themeColor="text1"/>
              </w:rPr>
              <w:t>- Justificación de la investigación (sesión 8).</w:t>
            </w:r>
          </w:p>
          <w:p w14:paraId="7A9D19F6" w14:textId="77777777" w:rsidR="00E52BD9" w:rsidRDefault="00E52BD9" w:rsidP="00104785">
            <w:pPr>
              <w:jc w:val="both"/>
              <w:rPr>
                <w:rFonts w:cs="Arial"/>
                <w:bCs/>
                <w:color w:val="000000" w:themeColor="text1"/>
              </w:rPr>
            </w:pPr>
            <w:r>
              <w:rPr>
                <w:rFonts w:cs="Arial"/>
                <w:bCs/>
                <w:color w:val="000000" w:themeColor="text1"/>
              </w:rPr>
              <w:lastRenderedPageBreak/>
              <w:t>- Metodología de la investigación (sesión 9).</w:t>
            </w:r>
          </w:p>
          <w:p w14:paraId="77F9EE98" w14:textId="77777777" w:rsidR="00E52BD9" w:rsidRDefault="00E52BD9" w:rsidP="00104785">
            <w:pPr>
              <w:jc w:val="both"/>
              <w:rPr>
                <w:rFonts w:cs="Arial"/>
                <w:bCs/>
                <w:color w:val="000000" w:themeColor="text1"/>
              </w:rPr>
            </w:pPr>
            <w:r>
              <w:rPr>
                <w:rFonts w:cs="Arial"/>
                <w:bCs/>
                <w:color w:val="000000" w:themeColor="text1"/>
              </w:rPr>
              <w:t>- Cronograma tentativo (sesión 10).</w:t>
            </w:r>
          </w:p>
          <w:p w14:paraId="4A4343B7" w14:textId="77777777" w:rsidR="00E52BD9" w:rsidRDefault="00E52BD9" w:rsidP="00104785">
            <w:pPr>
              <w:jc w:val="both"/>
              <w:rPr>
                <w:rFonts w:cs="Arial"/>
                <w:bCs/>
                <w:color w:val="000000" w:themeColor="text1"/>
              </w:rPr>
            </w:pPr>
            <w:r>
              <w:rPr>
                <w:rFonts w:cs="Arial"/>
                <w:bCs/>
                <w:color w:val="000000" w:themeColor="text1"/>
              </w:rPr>
              <w:t>- Citas y referencias (sesión 11).</w:t>
            </w:r>
          </w:p>
          <w:p w14:paraId="11899F1F" w14:textId="77777777" w:rsidR="00E52BD9" w:rsidRDefault="00E52BD9" w:rsidP="00104785">
            <w:pPr>
              <w:jc w:val="both"/>
              <w:rPr>
                <w:rFonts w:cs="Arial"/>
                <w:bCs/>
                <w:color w:val="000000" w:themeColor="text1"/>
              </w:rPr>
            </w:pPr>
            <w:r>
              <w:rPr>
                <w:rFonts w:cs="Arial"/>
                <w:bCs/>
                <w:color w:val="000000" w:themeColor="text1"/>
              </w:rPr>
              <w:t>- Ejemplos de citas (sesión 12)</w:t>
            </w:r>
          </w:p>
          <w:p w14:paraId="67AA215B" w14:textId="77777777" w:rsidR="00E52BD9" w:rsidRPr="007F14DB" w:rsidRDefault="00E52BD9" w:rsidP="00104785">
            <w:pPr>
              <w:jc w:val="both"/>
              <w:rPr>
                <w:rFonts w:cs="Arial"/>
                <w:bCs/>
                <w:color w:val="000000" w:themeColor="text1"/>
              </w:rPr>
            </w:pPr>
            <w:r>
              <w:rPr>
                <w:rFonts w:cs="Arial"/>
                <w:bCs/>
                <w:color w:val="000000" w:themeColor="text1"/>
              </w:rPr>
              <w:t>- Introducción y conclusión (sesión 14).</w:t>
            </w:r>
          </w:p>
        </w:tc>
        <w:tc>
          <w:tcPr>
            <w:tcW w:w="1540" w:type="dxa"/>
            <w:vAlign w:val="center"/>
          </w:tcPr>
          <w:p w14:paraId="04CE89A3" w14:textId="77777777" w:rsidR="00E52BD9" w:rsidRDefault="00E52BD9" w:rsidP="00104785">
            <w:pPr>
              <w:jc w:val="center"/>
              <w:rPr>
                <w:rFonts w:cs="Arial"/>
                <w:bCs/>
                <w:color w:val="000000" w:themeColor="text1"/>
              </w:rPr>
            </w:pPr>
            <w:r>
              <w:rPr>
                <w:rFonts w:cs="Arial"/>
                <w:bCs/>
                <w:color w:val="000000" w:themeColor="text1"/>
              </w:rPr>
              <w:lastRenderedPageBreak/>
              <w:t>30%</w:t>
            </w:r>
          </w:p>
        </w:tc>
      </w:tr>
      <w:tr w:rsidR="00E52BD9" w:rsidRPr="00C662A8" w14:paraId="19B3F175" w14:textId="77777777" w:rsidTr="00104785">
        <w:tc>
          <w:tcPr>
            <w:tcW w:w="7180" w:type="dxa"/>
          </w:tcPr>
          <w:p w14:paraId="724DED7F" w14:textId="77777777" w:rsidR="00E52BD9" w:rsidRDefault="00E52BD9" w:rsidP="00104785">
            <w:pPr>
              <w:jc w:val="both"/>
              <w:rPr>
                <w:rFonts w:cs="Arial"/>
                <w:b/>
                <w:i/>
                <w:iCs/>
                <w:color w:val="000000" w:themeColor="text1"/>
              </w:rPr>
            </w:pPr>
            <w:r>
              <w:rPr>
                <w:rFonts w:cs="Arial"/>
                <w:b/>
                <w:i/>
                <w:iCs/>
                <w:color w:val="000000" w:themeColor="text1"/>
              </w:rPr>
              <w:t>Matriz de coherencia metodológica</w:t>
            </w:r>
          </w:p>
          <w:p w14:paraId="329D17AD" w14:textId="77777777" w:rsidR="00E52BD9" w:rsidRPr="005D3EA4" w:rsidRDefault="00E52BD9" w:rsidP="00104785">
            <w:pPr>
              <w:jc w:val="both"/>
              <w:rPr>
                <w:rFonts w:cs="Arial"/>
                <w:bCs/>
                <w:color w:val="000000" w:themeColor="text1"/>
              </w:rPr>
            </w:pPr>
            <w:r>
              <w:rPr>
                <w:rFonts w:cs="Arial"/>
                <w:bCs/>
                <w:color w:val="000000" w:themeColor="text1"/>
              </w:rPr>
              <w:t xml:space="preserve">Se elabora en la sesión 6. </w:t>
            </w:r>
          </w:p>
        </w:tc>
        <w:tc>
          <w:tcPr>
            <w:tcW w:w="1540" w:type="dxa"/>
            <w:vAlign w:val="center"/>
          </w:tcPr>
          <w:p w14:paraId="4FA2200A" w14:textId="77777777" w:rsidR="00E52BD9" w:rsidRDefault="00E52BD9" w:rsidP="00104785">
            <w:pPr>
              <w:jc w:val="center"/>
              <w:rPr>
                <w:rFonts w:cs="Arial"/>
                <w:bCs/>
                <w:color w:val="000000" w:themeColor="text1"/>
              </w:rPr>
            </w:pPr>
            <w:r>
              <w:rPr>
                <w:rFonts w:cs="Arial"/>
                <w:bCs/>
                <w:color w:val="000000" w:themeColor="text1"/>
              </w:rPr>
              <w:t>20%</w:t>
            </w:r>
          </w:p>
        </w:tc>
      </w:tr>
      <w:tr w:rsidR="00E52BD9" w:rsidRPr="00C662A8" w14:paraId="3DA2B48F" w14:textId="77777777" w:rsidTr="00104785">
        <w:tc>
          <w:tcPr>
            <w:tcW w:w="7180" w:type="dxa"/>
          </w:tcPr>
          <w:p w14:paraId="2742D678" w14:textId="77777777" w:rsidR="00E52BD9" w:rsidRDefault="00E52BD9" w:rsidP="00104785">
            <w:pPr>
              <w:jc w:val="both"/>
              <w:rPr>
                <w:rFonts w:cs="Arial"/>
                <w:b/>
                <w:i/>
                <w:iCs/>
                <w:color w:val="000000" w:themeColor="text1"/>
              </w:rPr>
            </w:pPr>
            <w:r>
              <w:rPr>
                <w:rFonts w:cs="Arial"/>
                <w:b/>
                <w:i/>
                <w:iCs/>
                <w:color w:val="000000" w:themeColor="text1"/>
              </w:rPr>
              <w:t>Diseño de una investigación</w:t>
            </w:r>
          </w:p>
          <w:p w14:paraId="4A2A7F94" w14:textId="77777777" w:rsidR="00E52BD9" w:rsidRDefault="00E52BD9" w:rsidP="00104785">
            <w:pPr>
              <w:jc w:val="both"/>
              <w:rPr>
                <w:rFonts w:cs="Arial"/>
                <w:bCs/>
                <w:color w:val="000000" w:themeColor="text1"/>
              </w:rPr>
            </w:pPr>
            <w:r>
              <w:rPr>
                <w:rFonts w:cs="Arial"/>
                <w:bCs/>
                <w:color w:val="000000" w:themeColor="text1"/>
              </w:rPr>
              <w:t>- Se entrega un primer avance en la sesión 3, el cual tiene un valor de 5%.</w:t>
            </w:r>
          </w:p>
          <w:p w14:paraId="5B6D1D44" w14:textId="77777777" w:rsidR="00E52BD9" w:rsidRDefault="00E52BD9" w:rsidP="00104785">
            <w:pPr>
              <w:jc w:val="both"/>
              <w:rPr>
                <w:rFonts w:cs="Arial"/>
                <w:bCs/>
                <w:color w:val="000000" w:themeColor="text1"/>
              </w:rPr>
            </w:pPr>
            <w:r>
              <w:rPr>
                <w:rFonts w:cs="Arial"/>
                <w:bCs/>
                <w:color w:val="000000" w:themeColor="text1"/>
              </w:rPr>
              <w:t>- Se entrega un segundo avance en la sesión 9, el cual tiene un valor de 5%.</w:t>
            </w:r>
          </w:p>
          <w:p w14:paraId="0408A501" w14:textId="77777777" w:rsidR="00E52BD9" w:rsidRDefault="00E52BD9" w:rsidP="00104785">
            <w:pPr>
              <w:jc w:val="both"/>
              <w:rPr>
                <w:rFonts w:cs="Arial"/>
                <w:bCs/>
                <w:color w:val="000000" w:themeColor="text1"/>
              </w:rPr>
            </w:pPr>
            <w:r>
              <w:rPr>
                <w:rFonts w:cs="Arial"/>
                <w:bCs/>
                <w:color w:val="000000" w:themeColor="text1"/>
              </w:rPr>
              <w:t>- Se entrega un tercer avance en la sesión 13, el cual tiene un valor de 5%.</w:t>
            </w:r>
          </w:p>
          <w:p w14:paraId="5AAECF09" w14:textId="77777777" w:rsidR="00E52BD9" w:rsidRPr="00770E41" w:rsidRDefault="00E52BD9" w:rsidP="00104785">
            <w:pPr>
              <w:jc w:val="both"/>
              <w:rPr>
                <w:rFonts w:cs="Arial"/>
                <w:bCs/>
                <w:color w:val="000000" w:themeColor="text1"/>
              </w:rPr>
            </w:pPr>
            <w:r>
              <w:rPr>
                <w:rFonts w:cs="Arial"/>
                <w:bCs/>
                <w:color w:val="000000" w:themeColor="text1"/>
              </w:rPr>
              <w:t>- Se entrega la versión final en la sesión 15, la cual tiene un valor de 10%.</w:t>
            </w:r>
          </w:p>
        </w:tc>
        <w:tc>
          <w:tcPr>
            <w:tcW w:w="1540" w:type="dxa"/>
            <w:vAlign w:val="center"/>
          </w:tcPr>
          <w:p w14:paraId="7F496488" w14:textId="77777777" w:rsidR="00E52BD9" w:rsidRDefault="00E52BD9" w:rsidP="00104785">
            <w:pPr>
              <w:jc w:val="center"/>
              <w:rPr>
                <w:rFonts w:cs="Arial"/>
                <w:bCs/>
                <w:color w:val="000000" w:themeColor="text1"/>
              </w:rPr>
            </w:pPr>
            <w:r>
              <w:rPr>
                <w:rFonts w:cs="Arial"/>
                <w:bCs/>
                <w:color w:val="000000" w:themeColor="text1"/>
              </w:rPr>
              <w:t>25%</w:t>
            </w:r>
          </w:p>
        </w:tc>
      </w:tr>
      <w:tr w:rsidR="00E52BD9" w:rsidRPr="00C662A8" w14:paraId="67EAAEB2" w14:textId="77777777" w:rsidTr="00104785">
        <w:tc>
          <w:tcPr>
            <w:tcW w:w="7180" w:type="dxa"/>
            <w:vAlign w:val="center"/>
          </w:tcPr>
          <w:p w14:paraId="25F5B53B" w14:textId="77777777" w:rsidR="00E52BD9" w:rsidRPr="00C662A8" w:rsidRDefault="00E52BD9" w:rsidP="00104785">
            <w:pPr>
              <w:rPr>
                <w:rFonts w:cs="Arial"/>
                <w:b/>
                <w:bCs/>
                <w:color w:val="000000" w:themeColor="text1"/>
              </w:rPr>
            </w:pPr>
            <w:r w:rsidRPr="00C662A8">
              <w:rPr>
                <w:rFonts w:cs="Arial"/>
                <w:b/>
                <w:bCs/>
                <w:color w:val="000000" w:themeColor="text1"/>
              </w:rPr>
              <w:t>Total</w:t>
            </w:r>
          </w:p>
        </w:tc>
        <w:tc>
          <w:tcPr>
            <w:tcW w:w="1540" w:type="dxa"/>
          </w:tcPr>
          <w:p w14:paraId="5E3665C2" w14:textId="77777777" w:rsidR="00E52BD9" w:rsidRPr="00C662A8" w:rsidRDefault="00E52BD9" w:rsidP="00104785">
            <w:pPr>
              <w:jc w:val="center"/>
              <w:rPr>
                <w:rFonts w:cs="Arial"/>
                <w:b/>
                <w:bCs/>
                <w:color w:val="000000" w:themeColor="text1"/>
              </w:rPr>
            </w:pPr>
            <w:r w:rsidRPr="00C662A8">
              <w:rPr>
                <w:rFonts w:cs="Arial"/>
                <w:b/>
                <w:bCs/>
                <w:color w:val="000000" w:themeColor="text1"/>
              </w:rPr>
              <w:t>100%</w:t>
            </w:r>
          </w:p>
        </w:tc>
      </w:tr>
    </w:tbl>
    <w:p w14:paraId="313CE018" w14:textId="77777777" w:rsidR="00E52BD9" w:rsidRDefault="00E52BD9" w:rsidP="00E52BD9">
      <w:pPr>
        <w:jc w:val="both"/>
        <w:rPr>
          <w:rFonts w:cs="Arial"/>
          <w:b/>
          <w:color w:val="000000" w:themeColor="text1"/>
          <w:spacing w:val="-2"/>
          <w:kern w:val="28"/>
        </w:rPr>
      </w:pPr>
    </w:p>
    <w:p w14:paraId="076DD51C" w14:textId="77777777" w:rsidR="00E52BD9" w:rsidRDefault="00E52BD9" w:rsidP="00E52BD9">
      <w:pPr>
        <w:jc w:val="both"/>
        <w:rPr>
          <w:rFonts w:cs="Arial"/>
          <w:b/>
          <w:bCs/>
          <w:color w:val="000000" w:themeColor="text1"/>
        </w:rPr>
        <w:sectPr w:rsidR="00E52BD9" w:rsidSect="00E52BD9">
          <w:pgSz w:w="12240" w:h="15840"/>
          <w:pgMar w:top="1417" w:right="1701" w:bottom="1417" w:left="1701" w:header="708" w:footer="708" w:gutter="0"/>
          <w:pgNumType w:start="77"/>
          <w:cols w:space="708"/>
          <w:docGrid w:linePitch="360"/>
        </w:sectPr>
      </w:pPr>
    </w:p>
    <w:p w14:paraId="1B95453A" w14:textId="77777777" w:rsidR="00E52BD9" w:rsidRDefault="00E52BD9" w:rsidP="00E52BD9">
      <w:pPr>
        <w:jc w:val="both"/>
        <w:rPr>
          <w:rFonts w:cs="Arial"/>
          <w:b/>
          <w:bCs/>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694528" behindDoc="0" locked="0" layoutInCell="1" allowOverlap="1" wp14:anchorId="26F257A8" wp14:editId="3A198E34">
                <wp:simplePos x="0" y="0"/>
                <wp:positionH relativeFrom="margin">
                  <wp:align>center</wp:align>
                </wp:positionH>
                <wp:positionV relativeFrom="paragraph">
                  <wp:posOffset>-19685</wp:posOffset>
                </wp:positionV>
                <wp:extent cx="7879080" cy="423863"/>
                <wp:effectExtent l="0" t="0" r="26670" b="14605"/>
                <wp:wrapNone/>
                <wp:docPr id="7548167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3863"/>
                        </a:xfrm>
                        <a:prstGeom prst="rect">
                          <a:avLst/>
                        </a:prstGeom>
                        <a:solidFill>
                          <a:srgbClr val="FFFFFF"/>
                        </a:solidFill>
                        <a:ln w="9525">
                          <a:solidFill>
                            <a:srgbClr val="000000"/>
                          </a:solidFill>
                          <a:miter lim="800000"/>
                          <a:headEnd/>
                          <a:tailEnd/>
                        </a:ln>
                      </wps:spPr>
                      <wps:txbx>
                        <w:txbxContent>
                          <w:p w14:paraId="41AA65A7" w14:textId="77777777" w:rsidR="00E52BD9" w:rsidRPr="002A747D" w:rsidRDefault="00E52BD9" w:rsidP="00E52BD9">
                            <w:pPr>
                              <w:jc w:val="center"/>
                              <w:rPr>
                                <w:rFonts w:cstheme="minorHAnsi"/>
                                <w:b/>
                                <w:szCs w:val="24"/>
                              </w:rPr>
                            </w:pPr>
                            <w:r w:rsidRPr="002A747D">
                              <w:rPr>
                                <w:rFonts w:cstheme="minorHAns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F257A8" id="_x0000_s1072" type="#_x0000_t202" style="position:absolute;left:0;text-align:left;margin-left:0;margin-top:-1.55pt;width:620.4pt;height:33.4pt;z-index:2526945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">
                <v:textbox>
                  <w:txbxContent>
                    <w:p w14:paraId="41AA65A7" w14:textId="77777777" w:rsidR="00E52BD9" w:rsidRPr="002A747D" w:rsidRDefault="00E52BD9" w:rsidP="00E52BD9">
                      <w:pPr>
                        <w:jc w:val="center"/>
                        <w:rPr>
                          <w:rFonts w:cstheme="minorHAnsi"/>
                          <w:b/>
                          <w:szCs w:val="24"/>
                        </w:rPr>
                      </w:pPr>
                      <w:r w:rsidRPr="002A747D">
                        <w:rPr>
                          <w:rFonts w:cstheme="minorHAnsi"/>
                          <w:b/>
                          <w:szCs w:val="24"/>
                        </w:rPr>
                        <w:t>RÚBRICA DE EVALUACIÓN – FORO TEMÁTICO</w:t>
                      </w:r>
                    </w:p>
                  </w:txbxContent>
                </v:textbox>
                <w10:wrap anchorx="margin"/>
              </v:shape>
            </w:pict>
          </mc:Fallback>
        </mc:AlternateContent>
      </w:r>
    </w:p>
    <w:p w14:paraId="488D826F" w14:textId="77777777" w:rsidR="00E52BD9" w:rsidRDefault="00E52BD9" w:rsidP="00E52BD9">
      <w:pPr>
        <w:jc w:val="both"/>
        <w:rPr>
          <w:rFonts w:cs="Arial"/>
          <w:b/>
          <w:bCs/>
          <w:color w:val="000000" w:themeColor="text1"/>
        </w:rPr>
      </w:pPr>
    </w:p>
    <w:p w14:paraId="77D1B749" w14:textId="77777777" w:rsidR="00E52BD9" w:rsidRPr="00AA4F3A" w:rsidRDefault="00E52BD9" w:rsidP="00E52BD9">
      <w:pPr>
        <w:jc w:val="center"/>
        <w:rPr>
          <w:rFonts w:cs="Arial"/>
          <w:color w:val="0070C0"/>
        </w:rPr>
      </w:pPr>
      <w:r w:rsidRPr="00AA4F3A">
        <w:rPr>
          <w:rFonts w:cs="Arial"/>
          <w:color w:val="0070C0"/>
        </w:rPr>
        <w:t>Un foro es una herramienta virtual asincrónica que constituye un escenario virtual de debate sobre un tema particular, que permite el intercambio de los aportes propios con la réplica a los aportes de otras personas compañeras. Se desarrollan en las sesiones 1, 2, 5, 7 y 13. Cada foro tiene un valor de 2%.</w:t>
      </w:r>
    </w:p>
    <w:p w14:paraId="437158FD" w14:textId="77777777" w:rsidR="00E52BD9" w:rsidRDefault="00E52BD9" w:rsidP="00E52BD9">
      <w:pPr>
        <w:jc w:val="center"/>
        <w:rPr>
          <w:rFonts w:cs="Arial"/>
          <w:color w:val="000000" w:themeColor="text1"/>
        </w:rPr>
      </w:pPr>
      <w:r>
        <w:rPr>
          <w:rFonts w:cs="Arial"/>
          <w:b/>
          <w:bCs/>
          <w:noProof/>
          <w:color w:val="000000" w:themeColor="text1"/>
        </w:rPr>
        <w:drawing>
          <wp:anchor distT="0" distB="0" distL="114300" distR="114300" simplePos="0" relativeHeight="252695552" behindDoc="0" locked="0" layoutInCell="1" allowOverlap="1" wp14:anchorId="01712BA3" wp14:editId="6DA3B3A0">
            <wp:simplePos x="0" y="0"/>
            <wp:positionH relativeFrom="margin">
              <wp:align>center</wp:align>
            </wp:positionH>
            <wp:positionV relativeFrom="paragraph">
              <wp:posOffset>110172</wp:posOffset>
            </wp:positionV>
            <wp:extent cx="8201025" cy="5914420"/>
            <wp:effectExtent l="0" t="0" r="0" b="0"/>
            <wp:wrapNone/>
            <wp:docPr id="97264830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48306" name="Imagen 1" descr="Tabla&#10;&#10;Descripción generada automáticamente"/>
                    <pic:cNvPicPr/>
                  </pic:nvPicPr>
                  <pic:blipFill>
                    <a:blip r:embed="rId113">
                      <a:extLst>
                        <a:ext uri="{28A0092B-C50C-407E-A947-70E740481C1C}">
                          <a14:useLocalDpi xmlns:a14="http://schemas.microsoft.com/office/drawing/2010/main" val="0"/>
                        </a:ext>
                      </a:extLst>
                    </a:blip>
                    <a:stretch>
                      <a:fillRect/>
                    </a:stretch>
                  </pic:blipFill>
                  <pic:spPr>
                    <a:xfrm>
                      <a:off x="0" y="0"/>
                      <a:ext cx="8201025" cy="5914420"/>
                    </a:xfrm>
                    <a:prstGeom prst="rect">
                      <a:avLst/>
                    </a:prstGeom>
                  </pic:spPr>
                </pic:pic>
              </a:graphicData>
            </a:graphic>
            <wp14:sizeRelH relativeFrom="margin">
              <wp14:pctWidth>0</wp14:pctWidth>
            </wp14:sizeRelH>
            <wp14:sizeRelV relativeFrom="margin">
              <wp14:pctHeight>0</wp14:pctHeight>
            </wp14:sizeRelV>
          </wp:anchor>
        </w:drawing>
      </w:r>
    </w:p>
    <w:p w14:paraId="6E6FCA48" w14:textId="77777777" w:rsidR="00E52BD9" w:rsidRPr="00600DCC" w:rsidRDefault="00E52BD9" w:rsidP="00E52BD9">
      <w:pPr>
        <w:jc w:val="center"/>
        <w:rPr>
          <w:rFonts w:cs="Arial"/>
          <w:b/>
          <w:bCs/>
          <w:color w:val="000000" w:themeColor="text1"/>
        </w:rPr>
      </w:pPr>
    </w:p>
    <w:p w14:paraId="51B02D55" w14:textId="77777777" w:rsidR="00E52BD9" w:rsidRDefault="00E52BD9" w:rsidP="00E52BD9">
      <w:pPr>
        <w:jc w:val="both"/>
        <w:rPr>
          <w:rFonts w:cs="Arial"/>
          <w:b/>
          <w:bCs/>
          <w:color w:val="000000" w:themeColor="text1"/>
        </w:rPr>
      </w:pPr>
      <w:r>
        <w:rPr>
          <w:rFonts w:cs="Arial"/>
          <w:b/>
          <w:bCs/>
          <w:color w:val="000000" w:themeColor="text1"/>
        </w:rPr>
        <w:br w:type="page"/>
      </w:r>
    </w:p>
    <w:p w14:paraId="6EC7F569" w14:textId="77777777" w:rsidR="00E52BD9" w:rsidRDefault="00E52BD9" w:rsidP="00E52BD9">
      <w:pPr>
        <w:jc w:val="both"/>
        <w:rPr>
          <w:rFonts w:cs="Arial"/>
          <w:b/>
          <w:bCs/>
          <w:color w:val="000000" w:themeColor="text1"/>
        </w:rPr>
      </w:pPr>
      <w:r>
        <w:rPr>
          <w:noProof/>
        </w:rPr>
        <w:lastRenderedPageBreak/>
        <mc:AlternateContent>
          <mc:Choice Requires="wps">
            <w:drawing>
              <wp:anchor distT="0" distB="0" distL="114300" distR="114300" simplePos="0" relativeHeight="252696576" behindDoc="0" locked="0" layoutInCell="1" allowOverlap="1" wp14:anchorId="3C2EEFCC" wp14:editId="6FB22F10">
                <wp:simplePos x="0" y="0"/>
                <wp:positionH relativeFrom="margin">
                  <wp:align>center</wp:align>
                </wp:positionH>
                <wp:positionV relativeFrom="paragraph">
                  <wp:posOffset>0</wp:posOffset>
                </wp:positionV>
                <wp:extent cx="6606540" cy="411480"/>
                <wp:effectExtent l="0" t="0" r="22860" b="26670"/>
                <wp:wrapNone/>
                <wp:docPr id="1273088917" name="Cuadro de texto 127308891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410A836C"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ENTREVISTA A UN/A BIBLIOTECARIO/A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2EEFCC" id="Cuadro de texto 1273088917" o:spid="_x0000_s1073" type="#_x0000_t202" style="position:absolute;left:0;text-align:left;margin-left:0;margin-top:0;width:520.2pt;height:32.4pt;z-index:25269657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" fillcolor="white [3201]" strokeweight=".5pt">
                <v:textbox>
                  <w:txbxContent>
                    <w:p w14:paraId="410A836C"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ENTREVISTA A UN/A BIBLIOTECARIO/A</w:t>
                      </w:r>
                    </w:p>
                  </w:txbxContent>
                </v:textbox>
                <w10:wrap anchorx="margin"/>
              </v:shape>
            </w:pict>
          </mc:Fallback>
        </mc:AlternateContent>
      </w:r>
    </w:p>
    <w:p w14:paraId="081EADB1" w14:textId="77777777" w:rsidR="00E52BD9" w:rsidRDefault="00E52BD9" w:rsidP="00E52BD9">
      <w:pPr>
        <w:jc w:val="both"/>
        <w:rPr>
          <w:rFonts w:cs="Arial"/>
          <w:b/>
          <w:bCs/>
          <w:color w:val="000000" w:themeColor="text1"/>
        </w:rPr>
      </w:pPr>
    </w:p>
    <w:p w14:paraId="1BFA0C2F" w14:textId="77777777" w:rsidR="00E52BD9" w:rsidRPr="00AA4F3A" w:rsidRDefault="00E52BD9" w:rsidP="00E52BD9">
      <w:pPr>
        <w:jc w:val="center"/>
        <w:rPr>
          <w:rFonts w:cs="Arial"/>
          <w:color w:val="0070C0"/>
        </w:rPr>
      </w:pPr>
      <w:r w:rsidRPr="00AA4F3A">
        <w:rPr>
          <w:rFonts w:cs="Arial"/>
          <w:color w:val="0070C0"/>
        </w:rPr>
        <w:t>Una entrevista es una conversación, en este caso oral, entre la persona estudiante y una persona bibliotecaria. Se trata de un profesional que ayuda en los procesos de investigación. De preferencia, debe ser bibliotecólogo/a en una institución universitaria. Se lleva a cabo en la sesión 2 y tiene un valor de 15%.</w:t>
      </w:r>
    </w:p>
    <w:p w14:paraId="62B23958" w14:textId="77777777" w:rsidR="00E52BD9" w:rsidRDefault="00E52BD9" w:rsidP="00E52BD9">
      <w:pPr>
        <w:jc w:val="center"/>
        <w:rPr>
          <w:rFonts w:cs="Arial"/>
          <w:color w:val="000000" w:themeColor="text1"/>
        </w:rPr>
      </w:pPr>
      <w:r>
        <w:rPr>
          <w:rFonts w:cs="Arial"/>
          <w:b/>
          <w:bCs/>
          <w:noProof/>
          <w:color w:val="000000" w:themeColor="text1"/>
        </w:rPr>
        <w:drawing>
          <wp:anchor distT="0" distB="0" distL="114300" distR="114300" simplePos="0" relativeHeight="252697600" behindDoc="0" locked="0" layoutInCell="1" allowOverlap="1" wp14:anchorId="21C45D5E" wp14:editId="053EB000">
            <wp:simplePos x="0" y="0"/>
            <wp:positionH relativeFrom="margin">
              <wp:align>center</wp:align>
            </wp:positionH>
            <wp:positionV relativeFrom="paragraph">
              <wp:posOffset>78423</wp:posOffset>
            </wp:positionV>
            <wp:extent cx="8808720" cy="5736336"/>
            <wp:effectExtent l="0" t="0" r="0" b="0"/>
            <wp:wrapNone/>
            <wp:docPr id="1738580341" name="Imagen 2"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580341" name="Imagen 2" descr="Tabla, Calendario&#10;&#10;Descripción generada automáticamente"/>
                    <pic:cNvPicPr/>
                  </pic:nvPicPr>
                  <pic:blipFill>
                    <a:blip r:embed="rId114">
                      <a:extLst>
                        <a:ext uri="{28A0092B-C50C-407E-A947-70E740481C1C}">
                          <a14:useLocalDpi xmlns:a14="http://schemas.microsoft.com/office/drawing/2010/main" val="0"/>
                        </a:ext>
                      </a:extLst>
                    </a:blip>
                    <a:stretch>
                      <a:fillRect/>
                    </a:stretch>
                  </pic:blipFill>
                  <pic:spPr>
                    <a:xfrm>
                      <a:off x="0" y="0"/>
                      <a:ext cx="8808720" cy="5736336"/>
                    </a:xfrm>
                    <a:prstGeom prst="rect">
                      <a:avLst/>
                    </a:prstGeom>
                  </pic:spPr>
                </pic:pic>
              </a:graphicData>
            </a:graphic>
          </wp:anchor>
        </w:drawing>
      </w:r>
    </w:p>
    <w:p w14:paraId="6A4ECFBD" w14:textId="77777777" w:rsidR="00E52BD9" w:rsidRPr="005D583D" w:rsidRDefault="00E52BD9" w:rsidP="00E52BD9">
      <w:pPr>
        <w:jc w:val="center"/>
        <w:rPr>
          <w:rFonts w:cs="Arial"/>
          <w:b/>
          <w:bCs/>
          <w:color w:val="000000" w:themeColor="text1"/>
        </w:rPr>
      </w:pPr>
    </w:p>
    <w:p w14:paraId="6C847FA4" w14:textId="77777777" w:rsidR="00E52BD9" w:rsidRDefault="00E52BD9" w:rsidP="00E52BD9">
      <w:pPr>
        <w:jc w:val="both"/>
        <w:rPr>
          <w:rFonts w:cs="Arial"/>
          <w:b/>
          <w:bCs/>
          <w:color w:val="000000" w:themeColor="text1"/>
        </w:rPr>
      </w:pPr>
      <w:r>
        <w:rPr>
          <w:rFonts w:cs="Arial"/>
          <w:b/>
          <w:bCs/>
          <w:color w:val="000000" w:themeColor="text1"/>
        </w:rPr>
        <w:br w:type="page"/>
      </w:r>
    </w:p>
    <w:p w14:paraId="3221ABB1" w14:textId="77777777" w:rsidR="00E52BD9" w:rsidRDefault="00E52BD9" w:rsidP="00E52BD9">
      <w:pPr>
        <w:jc w:val="both"/>
        <w:rPr>
          <w:rFonts w:cs="Arial"/>
          <w:b/>
          <w:bCs/>
          <w:color w:val="000000" w:themeColor="text1"/>
        </w:rPr>
      </w:pPr>
      <w:r>
        <w:rPr>
          <w:noProof/>
        </w:rPr>
        <w:lastRenderedPageBreak/>
        <mc:AlternateContent>
          <mc:Choice Requires="wps">
            <w:drawing>
              <wp:anchor distT="0" distB="0" distL="114300" distR="114300" simplePos="0" relativeHeight="252698624" behindDoc="0" locked="0" layoutInCell="1" allowOverlap="1" wp14:anchorId="50F2A31A" wp14:editId="0767F1A4">
                <wp:simplePos x="0" y="0"/>
                <wp:positionH relativeFrom="margin">
                  <wp:align>center</wp:align>
                </wp:positionH>
                <wp:positionV relativeFrom="paragraph">
                  <wp:posOffset>-1270</wp:posOffset>
                </wp:positionV>
                <wp:extent cx="6606540" cy="411480"/>
                <wp:effectExtent l="0" t="0" r="22860" b="26670"/>
                <wp:wrapNone/>
                <wp:docPr id="246432306" name="Cuadro de texto 246432306"/>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4B609236"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TAREAS PARCIALES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F2A31A" id="Cuadro de texto 246432306" o:spid="_x0000_s1074" type="#_x0000_t202" style="position:absolute;left:0;text-align:left;margin-left:0;margin-top:-.1pt;width:520.2pt;height:32.4pt;z-index:2526986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" fillcolor="white [3201]" strokeweight=".5pt">
                <v:textbox>
                  <w:txbxContent>
                    <w:p w14:paraId="4B609236"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TAREAS PARCIALES</w:t>
                      </w:r>
                    </w:p>
                  </w:txbxContent>
                </v:textbox>
                <w10:wrap anchorx="margin"/>
              </v:shape>
            </w:pict>
          </mc:Fallback>
        </mc:AlternateContent>
      </w:r>
    </w:p>
    <w:p w14:paraId="50C47B8B" w14:textId="77777777" w:rsidR="00E52BD9" w:rsidRDefault="00E52BD9" w:rsidP="00E52BD9">
      <w:pPr>
        <w:jc w:val="both"/>
        <w:rPr>
          <w:rFonts w:cs="Arial"/>
          <w:b/>
          <w:bCs/>
          <w:color w:val="000000" w:themeColor="text1"/>
        </w:rPr>
      </w:pPr>
    </w:p>
    <w:p w14:paraId="1CC45FF6" w14:textId="77777777" w:rsidR="00E52BD9" w:rsidRPr="00AA4F3A" w:rsidRDefault="00E52BD9" w:rsidP="00E52BD9">
      <w:pPr>
        <w:jc w:val="center"/>
        <w:rPr>
          <w:rFonts w:cs="Arial"/>
          <w:color w:val="0070C0"/>
        </w:rPr>
      </w:pPr>
      <w:r w:rsidRPr="00AA4F3A">
        <w:rPr>
          <w:rFonts w:cs="Arial"/>
          <w:color w:val="0070C0"/>
        </w:rPr>
        <w:t>Las tareas parciales en este curso se desarrollan en sesiones específicas y contribuyen a la realización progresiva de un producto final como lo es, en este caso, el diseño de una investigación. Es decir, todas estas tareas contribuyen a lo largo del curso en la elaboración dosificada del diseño. Cada una de estas tareas tiene un valor de 3% y son las siguientes: Reseña crítica de lectura (sesión 3). Delimitación del tema y la pregunta de investigación (sesión 4). Objetivo general y los objetivos específicos (sesión 5). Matriz del marco teórico (sesión 7). Justificación de la investigación (sesión 8). Metodología de la investigación (sesión 9). Cronograma tentativo (sesión 10). Citas y referencias (sesión 11). Ejemplos de citas (sesión 12). Introducción y conclusión (sesión 14).</w:t>
      </w:r>
    </w:p>
    <w:p w14:paraId="34A21963" w14:textId="77777777" w:rsidR="00E52BD9" w:rsidRDefault="00E52BD9" w:rsidP="00E52BD9">
      <w:pPr>
        <w:jc w:val="center"/>
        <w:rPr>
          <w:rFonts w:cs="Arial"/>
          <w:color w:val="000000" w:themeColor="text1"/>
        </w:rPr>
      </w:pPr>
      <w:r>
        <w:rPr>
          <w:rFonts w:cs="Arial"/>
          <w:noProof/>
          <w:color w:val="000000" w:themeColor="text1"/>
        </w:rPr>
        <w:drawing>
          <wp:anchor distT="0" distB="0" distL="114300" distR="114300" simplePos="0" relativeHeight="252699648" behindDoc="0" locked="0" layoutInCell="1" allowOverlap="1" wp14:anchorId="39ADE836" wp14:editId="5FB22BF8">
            <wp:simplePos x="0" y="0"/>
            <wp:positionH relativeFrom="margin">
              <wp:align>center</wp:align>
            </wp:positionH>
            <wp:positionV relativeFrom="paragraph">
              <wp:posOffset>108267</wp:posOffset>
            </wp:positionV>
            <wp:extent cx="8735060" cy="5425440"/>
            <wp:effectExtent l="0" t="0" r="8890" b="3810"/>
            <wp:wrapNone/>
            <wp:docPr id="1719682238" name="Imagen 3"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682238" name="Imagen 3" descr="Tabla, Calendario&#10;&#10;Descripción generada automáticamente"/>
                    <pic:cNvPicPr/>
                  </pic:nvPicPr>
                  <pic:blipFill>
                    <a:blip r:embed="rId115">
                      <a:extLst>
                        <a:ext uri="{28A0092B-C50C-407E-A947-70E740481C1C}">
                          <a14:useLocalDpi xmlns:a14="http://schemas.microsoft.com/office/drawing/2010/main" val="0"/>
                        </a:ext>
                      </a:extLst>
                    </a:blip>
                    <a:stretch>
                      <a:fillRect/>
                    </a:stretch>
                  </pic:blipFill>
                  <pic:spPr>
                    <a:xfrm>
                      <a:off x="0" y="0"/>
                      <a:ext cx="8735060" cy="5425440"/>
                    </a:xfrm>
                    <a:prstGeom prst="rect">
                      <a:avLst/>
                    </a:prstGeom>
                  </pic:spPr>
                </pic:pic>
              </a:graphicData>
            </a:graphic>
          </wp:anchor>
        </w:drawing>
      </w:r>
    </w:p>
    <w:p w14:paraId="49B4CD92" w14:textId="77777777" w:rsidR="00E52BD9" w:rsidRDefault="00E52BD9" w:rsidP="00E52BD9">
      <w:pPr>
        <w:jc w:val="center"/>
        <w:rPr>
          <w:rFonts w:cs="Arial"/>
          <w:color w:val="000000" w:themeColor="text1"/>
        </w:rPr>
      </w:pPr>
    </w:p>
    <w:p w14:paraId="383F3561" w14:textId="77777777" w:rsidR="00E52BD9" w:rsidRDefault="00E52BD9" w:rsidP="00E52BD9">
      <w:pPr>
        <w:jc w:val="center"/>
        <w:rPr>
          <w:rFonts w:cs="Arial"/>
          <w:color w:val="000000" w:themeColor="text1"/>
        </w:rPr>
      </w:pPr>
    </w:p>
    <w:p w14:paraId="6BEF8DD2" w14:textId="77777777" w:rsidR="00E52BD9" w:rsidRDefault="00E52BD9" w:rsidP="00E52BD9">
      <w:pPr>
        <w:jc w:val="center"/>
        <w:rPr>
          <w:rFonts w:cs="Arial"/>
          <w:color w:val="000000" w:themeColor="text1"/>
        </w:rPr>
      </w:pPr>
    </w:p>
    <w:p w14:paraId="6020AB58" w14:textId="77777777" w:rsidR="00E52BD9" w:rsidRDefault="00E52BD9" w:rsidP="00E52BD9">
      <w:pPr>
        <w:jc w:val="center"/>
        <w:rPr>
          <w:rFonts w:cs="Arial"/>
          <w:color w:val="000000" w:themeColor="text1"/>
        </w:rPr>
      </w:pPr>
    </w:p>
    <w:p w14:paraId="605A4B20" w14:textId="77777777" w:rsidR="00E52BD9" w:rsidRDefault="00E52BD9" w:rsidP="00E52BD9">
      <w:pPr>
        <w:jc w:val="center"/>
        <w:rPr>
          <w:rFonts w:cs="Arial"/>
          <w:color w:val="000000" w:themeColor="text1"/>
        </w:rPr>
      </w:pPr>
    </w:p>
    <w:p w14:paraId="0300E3A5" w14:textId="77777777" w:rsidR="00E52BD9" w:rsidRDefault="00E52BD9" w:rsidP="00E52BD9">
      <w:pPr>
        <w:jc w:val="center"/>
        <w:rPr>
          <w:rFonts w:cs="Arial"/>
          <w:color w:val="000000" w:themeColor="text1"/>
        </w:rPr>
      </w:pPr>
    </w:p>
    <w:p w14:paraId="5429DC53" w14:textId="77777777" w:rsidR="00E52BD9" w:rsidRDefault="00E52BD9" w:rsidP="00E52BD9">
      <w:pPr>
        <w:jc w:val="center"/>
        <w:rPr>
          <w:rFonts w:cs="Arial"/>
          <w:color w:val="000000" w:themeColor="text1"/>
        </w:rPr>
      </w:pPr>
    </w:p>
    <w:p w14:paraId="64F63C83" w14:textId="77777777" w:rsidR="00E52BD9" w:rsidRDefault="00E52BD9" w:rsidP="00E52BD9">
      <w:pPr>
        <w:jc w:val="center"/>
        <w:rPr>
          <w:rFonts w:cs="Arial"/>
          <w:color w:val="000000" w:themeColor="text1"/>
        </w:rPr>
      </w:pPr>
    </w:p>
    <w:p w14:paraId="557C4EB2" w14:textId="77777777" w:rsidR="00E52BD9" w:rsidRDefault="00E52BD9" w:rsidP="00E52BD9">
      <w:pPr>
        <w:jc w:val="center"/>
        <w:rPr>
          <w:rFonts w:cs="Arial"/>
          <w:color w:val="000000" w:themeColor="text1"/>
        </w:rPr>
      </w:pPr>
    </w:p>
    <w:p w14:paraId="1CE3EC17" w14:textId="77777777" w:rsidR="00E52BD9" w:rsidRDefault="00E52BD9" w:rsidP="00E52BD9">
      <w:pPr>
        <w:jc w:val="center"/>
        <w:rPr>
          <w:rFonts w:cs="Arial"/>
          <w:color w:val="000000" w:themeColor="text1"/>
        </w:rPr>
      </w:pPr>
    </w:p>
    <w:p w14:paraId="6EE4F7A2" w14:textId="77777777" w:rsidR="00E52BD9" w:rsidRDefault="00E52BD9" w:rsidP="00E52BD9">
      <w:pPr>
        <w:jc w:val="center"/>
        <w:rPr>
          <w:rFonts w:cs="Arial"/>
          <w:color w:val="000000" w:themeColor="text1"/>
        </w:rPr>
      </w:pPr>
    </w:p>
    <w:p w14:paraId="60FCF46A" w14:textId="77777777" w:rsidR="00E52BD9" w:rsidRDefault="00E52BD9" w:rsidP="00E52BD9">
      <w:pPr>
        <w:jc w:val="center"/>
        <w:rPr>
          <w:rFonts w:cs="Arial"/>
          <w:color w:val="000000" w:themeColor="text1"/>
        </w:rPr>
      </w:pPr>
    </w:p>
    <w:p w14:paraId="63397C5E" w14:textId="77777777" w:rsidR="00E52BD9" w:rsidRDefault="00E52BD9" w:rsidP="00E52BD9">
      <w:pPr>
        <w:jc w:val="center"/>
        <w:rPr>
          <w:rFonts w:cs="Arial"/>
          <w:color w:val="000000" w:themeColor="text1"/>
        </w:rPr>
      </w:pPr>
    </w:p>
    <w:p w14:paraId="2F6517A3" w14:textId="77777777" w:rsidR="00E52BD9" w:rsidRDefault="00E52BD9" w:rsidP="00E52BD9">
      <w:pPr>
        <w:jc w:val="center"/>
        <w:rPr>
          <w:rFonts w:cs="Arial"/>
          <w:color w:val="000000" w:themeColor="text1"/>
        </w:rPr>
      </w:pPr>
    </w:p>
    <w:p w14:paraId="54489ADC" w14:textId="77777777" w:rsidR="00E52BD9" w:rsidRDefault="00E52BD9" w:rsidP="00E52BD9">
      <w:pPr>
        <w:jc w:val="center"/>
        <w:rPr>
          <w:rFonts w:cs="Arial"/>
          <w:color w:val="000000" w:themeColor="text1"/>
        </w:rPr>
      </w:pPr>
    </w:p>
    <w:p w14:paraId="0069D12D" w14:textId="77777777" w:rsidR="00E52BD9" w:rsidRDefault="00E52BD9" w:rsidP="00E52BD9">
      <w:pPr>
        <w:jc w:val="center"/>
        <w:rPr>
          <w:rFonts w:cs="Arial"/>
          <w:color w:val="000000" w:themeColor="text1"/>
        </w:rPr>
      </w:pPr>
    </w:p>
    <w:p w14:paraId="768A6A5C" w14:textId="77777777" w:rsidR="00E52BD9" w:rsidRDefault="00E52BD9" w:rsidP="00E52BD9">
      <w:pPr>
        <w:jc w:val="center"/>
        <w:rPr>
          <w:rFonts w:cs="Arial"/>
          <w:color w:val="000000" w:themeColor="text1"/>
        </w:rPr>
      </w:pPr>
    </w:p>
    <w:p w14:paraId="371F4269" w14:textId="77777777" w:rsidR="00E52BD9" w:rsidRDefault="00E52BD9" w:rsidP="00E52BD9">
      <w:pPr>
        <w:jc w:val="center"/>
        <w:rPr>
          <w:rFonts w:cs="Arial"/>
          <w:color w:val="000000" w:themeColor="text1"/>
        </w:rPr>
      </w:pPr>
      <w:r>
        <w:rPr>
          <w:noProof/>
        </w:rPr>
        <w:lastRenderedPageBreak/>
        <mc:AlternateContent>
          <mc:Choice Requires="wps">
            <w:drawing>
              <wp:anchor distT="0" distB="0" distL="114300" distR="114300" simplePos="0" relativeHeight="252700672" behindDoc="0" locked="0" layoutInCell="1" allowOverlap="1" wp14:anchorId="514DA674" wp14:editId="2AF7966B">
                <wp:simplePos x="0" y="0"/>
                <wp:positionH relativeFrom="margin">
                  <wp:align>center</wp:align>
                </wp:positionH>
                <wp:positionV relativeFrom="paragraph">
                  <wp:posOffset>-125730</wp:posOffset>
                </wp:positionV>
                <wp:extent cx="6606540" cy="411480"/>
                <wp:effectExtent l="0" t="0" r="22860" b="26670"/>
                <wp:wrapNone/>
                <wp:docPr id="3" name="Cuadro de texto 3"/>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52D60280"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MATRIZ DE COHERENCIA METODOLÓGICA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4DA674" id="Cuadro de texto 3" o:spid="_x0000_s1075" type="#_x0000_t202" style="position:absolute;left:0;text-align:left;margin-left:0;margin-top:-9.9pt;width:520.2pt;height:32.4pt;z-index:2527006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" fillcolor="white [3201]" strokeweight=".5pt">
                <v:textbox>
                  <w:txbxContent>
                    <w:p w14:paraId="52D60280"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MATRIZ DE COHERENCIA METODOLÓGICA</w:t>
                      </w:r>
                    </w:p>
                  </w:txbxContent>
                </v:textbox>
                <w10:wrap anchorx="margin"/>
              </v:shape>
            </w:pict>
          </mc:Fallback>
        </mc:AlternateContent>
      </w:r>
    </w:p>
    <w:p w14:paraId="45438917" w14:textId="77777777" w:rsidR="00E52BD9" w:rsidRDefault="00E52BD9" w:rsidP="00E52BD9">
      <w:pPr>
        <w:jc w:val="center"/>
        <w:rPr>
          <w:rFonts w:cs="Arial"/>
          <w:color w:val="000000" w:themeColor="text1"/>
        </w:rPr>
      </w:pPr>
    </w:p>
    <w:p w14:paraId="4AEF141E" w14:textId="77777777" w:rsidR="00E52BD9" w:rsidRPr="00AA4F3A" w:rsidRDefault="00E52BD9" w:rsidP="00E52BD9">
      <w:pPr>
        <w:jc w:val="center"/>
        <w:rPr>
          <w:rFonts w:cs="Arial"/>
          <w:color w:val="0070C0"/>
        </w:rPr>
      </w:pPr>
      <w:r w:rsidRPr="00AA4F3A">
        <w:rPr>
          <w:rFonts w:cs="Arial"/>
          <w:color w:val="0070C0"/>
        </w:rPr>
        <w:t>Una matriz de coherencia metodológica es una tabla de suma utilidad que en forma gráfica nos ayuda a valorar la consistencia, coherencia y conexión lógica que debe existir (horizontalidad y verticalidad) entre los variados elementos de diseño de una investigación. Se elabora en sesión 6 y tiene un valor de 20%.</w:t>
      </w:r>
    </w:p>
    <w:p w14:paraId="50E397CB" w14:textId="77777777" w:rsidR="00E52BD9" w:rsidRDefault="00E52BD9" w:rsidP="00E52BD9">
      <w:pPr>
        <w:jc w:val="center"/>
        <w:rPr>
          <w:rFonts w:cs="Arial"/>
          <w:color w:val="000000" w:themeColor="text1"/>
        </w:rPr>
      </w:pPr>
    </w:p>
    <w:p w14:paraId="464318DE" w14:textId="77777777" w:rsidR="00E52BD9" w:rsidRDefault="00E52BD9" w:rsidP="00E52BD9">
      <w:pPr>
        <w:jc w:val="center"/>
        <w:rPr>
          <w:rFonts w:cs="Arial"/>
          <w:color w:val="000000" w:themeColor="text1"/>
        </w:rPr>
      </w:pPr>
      <w:r>
        <w:rPr>
          <w:rFonts w:cs="Arial"/>
          <w:noProof/>
          <w:color w:val="000000" w:themeColor="text1"/>
        </w:rPr>
        <w:drawing>
          <wp:anchor distT="0" distB="0" distL="114300" distR="114300" simplePos="0" relativeHeight="252701696" behindDoc="0" locked="0" layoutInCell="1" allowOverlap="1" wp14:anchorId="77525E62" wp14:editId="2DFBDBCD">
            <wp:simplePos x="0" y="0"/>
            <wp:positionH relativeFrom="margin">
              <wp:align>center</wp:align>
            </wp:positionH>
            <wp:positionV relativeFrom="paragraph">
              <wp:posOffset>46673</wp:posOffset>
            </wp:positionV>
            <wp:extent cx="8942832" cy="4608576"/>
            <wp:effectExtent l="0" t="0" r="0" b="1905"/>
            <wp:wrapNone/>
            <wp:docPr id="75318368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83684" name="Imagen 4" descr="Tabla&#10;&#10;Descripción generada automáticamente"/>
                    <pic:cNvPicPr/>
                  </pic:nvPicPr>
                  <pic:blipFill>
                    <a:blip r:embed="rId116">
                      <a:extLst>
                        <a:ext uri="{28A0092B-C50C-407E-A947-70E740481C1C}">
                          <a14:useLocalDpi xmlns:a14="http://schemas.microsoft.com/office/drawing/2010/main" val="0"/>
                        </a:ext>
                      </a:extLst>
                    </a:blip>
                    <a:stretch>
                      <a:fillRect/>
                    </a:stretch>
                  </pic:blipFill>
                  <pic:spPr>
                    <a:xfrm>
                      <a:off x="0" y="0"/>
                      <a:ext cx="8942832" cy="4608576"/>
                    </a:xfrm>
                    <a:prstGeom prst="rect">
                      <a:avLst/>
                    </a:prstGeom>
                  </pic:spPr>
                </pic:pic>
              </a:graphicData>
            </a:graphic>
          </wp:anchor>
        </w:drawing>
      </w:r>
    </w:p>
    <w:p w14:paraId="171DD97D" w14:textId="77777777" w:rsidR="00E52BD9" w:rsidRDefault="00E52BD9" w:rsidP="00E52BD9">
      <w:pPr>
        <w:jc w:val="center"/>
        <w:rPr>
          <w:rFonts w:cs="Arial"/>
          <w:color w:val="000000" w:themeColor="text1"/>
        </w:rPr>
      </w:pPr>
    </w:p>
    <w:p w14:paraId="6F2D45E8" w14:textId="77777777" w:rsidR="00E52BD9" w:rsidRDefault="00E52BD9" w:rsidP="00E52BD9">
      <w:pPr>
        <w:jc w:val="center"/>
        <w:rPr>
          <w:rFonts w:cs="Arial"/>
          <w:color w:val="000000" w:themeColor="text1"/>
        </w:rPr>
      </w:pPr>
    </w:p>
    <w:p w14:paraId="36DFC9A5" w14:textId="77777777" w:rsidR="00E52BD9" w:rsidRDefault="00E52BD9" w:rsidP="00E52BD9">
      <w:pPr>
        <w:jc w:val="center"/>
        <w:rPr>
          <w:rFonts w:cs="Arial"/>
          <w:color w:val="000000" w:themeColor="text1"/>
        </w:rPr>
      </w:pPr>
    </w:p>
    <w:p w14:paraId="42479C3A" w14:textId="77777777" w:rsidR="00E52BD9" w:rsidRDefault="00E52BD9" w:rsidP="00E52BD9">
      <w:pPr>
        <w:jc w:val="center"/>
        <w:rPr>
          <w:rFonts w:cs="Arial"/>
          <w:color w:val="000000" w:themeColor="text1"/>
        </w:rPr>
      </w:pPr>
    </w:p>
    <w:p w14:paraId="50413C61" w14:textId="77777777" w:rsidR="00E52BD9" w:rsidRDefault="00E52BD9" w:rsidP="00E52BD9">
      <w:pPr>
        <w:jc w:val="center"/>
        <w:rPr>
          <w:rFonts w:cs="Arial"/>
          <w:color w:val="000000" w:themeColor="text1"/>
        </w:rPr>
      </w:pPr>
    </w:p>
    <w:p w14:paraId="71B630DF" w14:textId="77777777" w:rsidR="00E52BD9" w:rsidRDefault="00E52BD9" w:rsidP="00E52BD9">
      <w:pPr>
        <w:jc w:val="center"/>
        <w:rPr>
          <w:rFonts w:cs="Arial"/>
          <w:color w:val="000000" w:themeColor="text1"/>
        </w:rPr>
      </w:pPr>
    </w:p>
    <w:p w14:paraId="757DE0D5" w14:textId="77777777" w:rsidR="00E52BD9" w:rsidRDefault="00E52BD9" w:rsidP="00E52BD9">
      <w:pPr>
        <w:jc w:val="center"/>
        <w:rPr>
          <w:rFonts w:cs="Arial"/>
          <w:color w:val="000000" w:themeColor="text1"/>
        </w:rPr>
      </w:pPr>
    </w:p>
    <w:p w14:paraId="79273519" w14:textId="77777777" w:rsidR="00E52BD9" w:rsidRDefault="00E52BD9" w:rsidP="00E52BD9">
      <w:pPr>
        <w:jc w:val="center"/>
        <w:rPr>
          <w:rFonts w:cs="Arial"/>
          <w:color w:val="000000" w:themeColor="text1"/>
        </w:rPr>
      </w:pPr>
    </w:p>
    <w:p w14:paraId="702D0BAC" w14:textId="77777777" w:rsidR="00E52BD9" w:rsidRDefault="00E52BD9" w:rsidP="00E52BD9">
      <w:pPr>
        <w:jc w:val="center"/>
        <w:rPr>
          <w:rFonts w:cs="Arial"/>
          <w:color w:val="000000" w:themeColor="text1"/>
        </w:rPr>
      </w:pPr>
    </w:p>
    <w:p w14:paraId="0B25AE9D" w14:textId="77777777" w:rsidR="00E52BD9" w:rsidRDefault="00E52BD9" w:rsidP="00E52BD9">
      <w:pPr>
        <w:jc w:val="center"/>
        <w:rPr>
          <w:rFonts w:cs="Arial"/>
          <w:color w:val="000000" w:themeColor="text1"/>
        </w:rPr>
      </w:pPr>
    </w:p>
    <w:p w14:paraId="3FA86A84" w14:textId="77777777" w:rsidR="00E52BD9" w:rsidRDefault="00E52BD9" w:rsidP="00E52BD9">
      <w:pPr>
        <w:jc w:val="center"/>
        <w:rPr>
          <w:rFonts w:cs="Arial"/>
          <w:color w:val="000000" w:themeColor="text1"/>
        </w:rPr>
      </w:pPr>
    </w:p>
    <w:p w14:paraId="3B0B2D9C" w14:textId="77777777" w:rsidR="00E52BD9" w:rsidRDefault="00E52BD9" w:rsidP="00E52BD9">
      <w:pPr>
        <w:jc w:val="center"/>
        <w:rPr>
          <w:rFonts w:cs="Arial"/>
          <w:color w:val="000000" w:themeColor="text1"/>
        </w:rPr>
      </w:pPr>
    </w:p>
    <w:p w14:paraId="36E1837A" w14:textId="77777777" w:rsidR="00E52BD9" w:rsidRDefault="00E52BD9" w:rsidP="00E52BD9">
      <w:pPr>
        <w:jc w:val="center"/>
        <w:rPr>
          <w:rFonts w:cs="Arial"/>
          <w:color w:val="000000" w:themeColor="text1"/>
        </w:rPr>
      </w:pPr>
    </w:p>
    <w:p w14:paraId="047DB5F1" w14:textId="77777777" w:rsidR="00E52BD9" w:rsidRDefault="00E52BD9" w:rsidP="00E52BD9">
      <w:pPr>
        <w:jc w:val="center"/>
        <w:rPr>
          <w:rFonts w:cs="Arial"/>
          <w:color w:val="000000" w:themeColor="text1"/>
        </w:rPr>
      </w:pPr>
    </w:p>
    <w:p w14:paraId="65B99120" w14:textId="77777777" w:rsidR="00E52BD9" w:rsidRDefault="00E52BD9" w:rsidP="00E52BD9">
      <w:pPr>
        <w:jc w:val="center"/>
        <w:rPr>
          <w:rFonts w:cs="Arial"/>
          <w:color w:val="000000" w:themeColor="text1"/>
        </w:rPr>
      </w:pPr>
    </w:p>
    <w:p w14:paraId="1B0169C5" w14:textId="77777777" w:rsidR="00E52BD9" w:rsidRDefault="00E52BD9" w:rsidP="00E52BD9">
      <w:pPr>
        <w:jc w:val="center"/>
        <w:rPr>
          <w:rFonts w:cs="Arial"/>
          <w:color w:val="000000" w:themeColor="text1"/>
        </w:rPr>
      </w:pPr>
    </w:p>
    <w:p w14:paraId="204368AF" w14:textId="77777777" w:rsidR="00E52BD9" w:rsidRDefault="00E52BD9" w:rsidP="00E52BD9">
      <w:pPr>
        <w:jc w:val="center"/>
        <w:rPr>
          <w:rFonts w:cs="Arial"/>
          <w:color w:val="000000" w:themeColor="text1"/>
        </w:rPr>
      </w:pPr>
    </w:p>
    <w:p w14:paraId="5513CB4D" w14:textId="77777777" w:rsidR="00E52BD9" w:rsidRDefault="00E52BD9" w:rsidP="00E52BD9">
      <w:pPr>
        <w:jc w:val="center"/>
        <w:rPr>
          <w:rFonts w:cs="Arial"/>
          <w:color w:val="000000" w:themeColor="text1"/>
        </w:rPr>
      </w:pPr>
    </w:p>
    <w:p w14:paraId="736B3EFB" w14:textId="77777777" w:rsidR="00E52BD9" w:rsidRDefault="00E52BD9" w:rsidP="00E52BD9">
      <w:pPr>
        <w:jc w:val="center"/>
        <w:rPr>
          <w:rFonts w:cs="Arial"/>
          <w:color w:val="000000" w:themeColor="text1"/>
        </w:rPr>
      </w:pPr>
      <w:r>
        <w:rPr>
          <w:noProof/>
        </w:rPr>
        <w:lastRenderedPageBreak/>
        <mc:AlternateContent>
          <mc:Choice Requires="wps">
            <w:drawing>
              <wp:anchor distT="0" distB="0" distL="114300" distR="114300" simplePos="0" relativeHeight="252702720" behindDoc="0" locked="0" layoutInCell="1" allowOverlap="1" wp14:anchorId="322C073D" wp14:editId="5E1E78BD">
                <wp:simplePos x="0" y="0"/>
                <wp:positionH relativeFrom="margin">
                  <wp:align>center</wp:align>
                </wp:positionH>
                <wp:positionV relativeFrom="paragraph">
                  <wp:posOffset>-109538</wp:posOffset>
                </wp:positionV>
                <wp:extent cx="6606540" cy="411480"/>
                <wp:effectExtent l="0" t="0" r="22860" b="26670"/>
                <wp:wrapNone/>
                <wp:docPr id="1920883288" name="Cuadro de texto 192088328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772ABD04"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AVANCE DISEÑO DE UNA INVESTIGACIÓN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2C073D" id="Cuadro de texto 1920883288" o:spid="_x0000_s1076" type="#_x0000_t202" style="position:absolute;left:0;text-align:left;margin-left:0;margin-top:-8.65pt;width:520.2pt;height:32.4pt;z-index:25270272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" fillcolor="white [3201]" strokeweight=".5pt">
                <v:textbox>
                  <w:txbxContent>
                    <w:p w14:paraId="772ABD04"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AVANCE DISEÑO DE UNA INVESTIGACIÓN</w:t>
                      </w:r>
                    </w:p>
                  </w:txbxContent>
                </v:textbox>
                <w10:wrap anchorx="margin"/>
              </v:shape>
            </w:pict>
          </mc:Fallback>
        </mc:AlternateContent>
      </w:r>
    </w:p>
    <w:p w14:paraId="745C269B" w14:textId="77777777" w:rsidR="00E52BD9" w:rsidRDefault="00E52BD9" w:rsidP="00E52BD9">
      <w:pPr>
        <w:jc w:val="center"/>
        <w:rPr>
          <w:rFonts w:cs="Arial"/>
          <w:color w:val="000000" w:themeColor="text1"/>
        </w:rPr>
      </w:pPr>
    </w:p>
    <w:p w14:paraId="0E41F93B" w14:textId="77777777" w:rsidR="00E52BD9" w:rsidRPr="00AA4F3A" w:rsidRDefault="00E52BD9" w:rsidP="00E52BD9">
      <w:pPr>
        <w:jc w:val="center"/>
        <w:rPr>
          <w:rFonts w:cs="Arial"/>
          <w:color w:val="0070C0"/>
        </w:rPr>
      </w:pPr>
      <w:r w:rsidRPr="00AA4F3A">
        <w:rPr>
          <w:rFonts w:cs="Arial"/>
          <w:color w:val="0070C0"/>
        </w:rPr>
        <w:t xml:space="preserve">Un diseño de investigación es un documento académico que constituye el anteproyecto, esquema o delineamiento de una investigación de previo a realizarla. Se deben definir elementos tales como el tema, el problema, los objetivos generales y específicos, la justificación, la metodología, el tipo de estudio, el procedimiento de recolección de datos y el procedimiento de análisis de estos entre otros. Se distribuye de la siguiente forma: Se entrega un primer avance en la sesión 3, el cual tiene un valor de 5%. Se entrega un segundo avance en la sesión 9, el cual tiene un valor de 5%. Se entrega un tercer avance en la sesión 13, el cual tiene un valor de 5%. </w:t>
      </w:r>
      <w:r>
        <w:rPr>
          <w:rFonts w:cs="Arial"/>
          <w:color w:val="0070C0"/>
        </w:rPr>
        <w:t>Los avances se evalúan con la siguiente rúbrica.</w:t>
      </w:r>
    </w:p>
    <w:p w14:paraId="1402F5B9" w14:textId="77777777" w:rsidR="00E52BD9" w:rsidRDefault="00E52BD9" w:rsidP="00E52BD9">
      <w:pPr>
        <w:jc w:val="center"/>
        <w:rPr>
          <w:rFonts w:cs="Arial"/>
          <w:color w:val="000000" w:themeColor="text1"/>
        </w:rPr>
      </w:pPr>
      <w:r>
        <w:rPr>
          <w:rFonts w:cs="Arial"/>
          <w:noProof/>
          <w:color w:val="000000" w:themeColor="text1"/>
        </w:rPr>
        <w:drawing>
          <wp:anchor distT="0" distB="0" distL="114300" distR="114300" simplePos="0" relativeHeight="252703744" behindDoc="0" locked="0" layoutInCell="1" allowOverlap="1" wp14:anchorId="520AD2BC" wp14:editId="04435B9B">
            <wp:simplePos x="0" y="0"/>
            <wp:positionH relativeFrom="margin">
              <wp:align>center</wp:align>
            </wp:positionH>
            <wp:positionV relativeFrom="paragraph">
              <wp:posOffset>144780</wp:posOffset>
            </wp:positionV>
            <wp:extent cx="8006546" cy="5291137"/>
            <wp:effectExtent l="0" t="0" r="0" b="5080"/>
            <wp:wrapNone/>
            <wp:docPr id="1299099332"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99332" name="Imagen 5" descr="Tabla&#10;&#10;Descripción generada automáticamente"/>
                    <pic:cNvPicPr/>
                  </pic:nvPicPr>
                  <pic:blipFill>
                    <a:blip r:embed="rId117">
                      <a:extLst>
                        <a:ext uri="{28A0092B-C50C-407E-A947-70E740481C1C}">
                          <a14:useLocalDpi xmlns:a14="http://schemas.microsoft.com/office/drawing/2010/main" val="0"/>
                        </a:ext>
                      </a:extLst>
                    </a:blip>
                    <a:stretch>
                      <a:fillRect/>
                    </a:stretch>
                  </pic:blipFill>
                  <pic:spPr>
                    <a:xfrm>
                      <a:off x="0" y="0"/>
                      <a:ext cx="8006546" cy="5291137"/>
                    </a:xfrm>
                    <a:prstGeom prst="rect">
                      <a:avLst/>
                    </a:prstGeom>
                  </pic:spPr>
                </pic:pic>
              </a:graphicData>
            </a:graphic>
            <wp14:sizeRelH relativeFrom="margin">
              <wp14:pctWidth>0</wp14:pctWidth>
            </wp14:sizeRelH>
            <wp14:sizeRelV relativeFrom="margin">
              <wp14:pctHeight>0</wp14:pctHeight>
            </wp14:sizeRelV>
          </wp:anchor>
        </w:drawing>
      </w:r>
    </w:p>
    <w:p w14:paraId="509970E7" w14:textId="77777777" w:rsidR="00E52BD9" w:rsidRDefault="00E52BD9" w:rsidP="00E52BD9">
      <w:pPr>
        <w:jc w:val="center"/>
        <w:rPr>
          <w:rFonts w:cs="Arial"/>
          <w:color w:val="000000" w:themeColor="text1"/>
        </w:rPr>
      </w:pPr>
    </w:p>
    <w:p w14:paraId="298D3EB0" w14:textId="77777777" w:rsidR="00E52BD9" w:rsidRDefault="00E52BD9" w:rsidP="00E52BD9">
      <w:pPr>
        <w:jc w:val="center"/>
        <w:rPr>
          <w:rFonts w:cs="Arial"/>
          <w:color w:val="000000" w:themeColor="text1"/>
        </w:rPr>
      </w:pPr>
    </w:p>
    <w:p w14:paraId="2AAAA794" w14:textId="77777777" w:rsidR="00E52BD9" w:rsidRDefault="00E52BD9" w:rsidP="00E52BD9">
      <w:pPr>
        <w:jc w:val="center"/>
        <w:rPr>
          <w:rFonts w:cs="Arial"/>
          <w:color w:val="000000" w:themeColor="text1"/>
        </w:rPr>
      </w:pPr>
    </w:p>
    <w:p w14:paraId="6FEB90BC" w14:textId="77777777" w:rsidR="00E52BD9" w:rsidRDefault="00E52BD9" w:rsidP="00E52BD9">
      <w:pPr>
        <w:jc w:val="center"/>
        <w:rPr>
          <w:rFonts w:cs="Arial"/>
          <w:color w:val="000000" w:themeColor="text1"/>
        </w:rPr>
      </w:pPr>
    </w:p>
    <w:p w14:paraId="3B1C7070" w14:textId="77777777" w:rsidR="00E52BD9" w:rsidRDefault="00E52BD9" w:rsidP="00E52BD9">
      <w:pPr>
        <w:jc w:val="center"/>
        <w:rPr>
          <w:rFonts w:cs="Arial"/>
          <w:color w:val="000000" w:themeColor="text1"/>
        </w:rPr>
      </w:pPr>
    </w:p>
    <w:p w14:paraId="4D124125" w14:textId="77777777" w:rsidR="00E52BD9" w:rsidRDefault="00E52BD9" w:rsidP="00E52BD9">
      <w:pPr>
        <w:jc w:val="center"/>
        <w:rPr>
          <w:rFonts w:cs="Arial"/>
          <w:color w:val="000000" w:themeColor="text1"/>
        </w:rPr>
      </w:pPr>
    </w:p>
    <w:p w14:paraId="5059F4B8" w14:textId="77777777" w:rsidR="00E52BD9" w:rsidRDefault="00E52BD9" w:rsidP="00E52BD9">
      <w:pPr>
        <w:jc w:val="center"/>
        <w:rPr>
          <w:rFonts w:cs="Arial"/>
          <w:color w:val="000000" w:themeColor="text1"/>
        </w:rPr>
      </w:pPr>
    </w:p>
    <w:p w14:paraId="260E0D3D" w14:textId="77777777" w:rsidR="00E52BD9" w:rsidRDefault="00E52BD9" w:rsidP="00E52BD9">
      <w:pPr>
        <w:jc w:val="center"/>
        <w:rPr>
          <w:rFonts w:cs="Arial"/>
          <w:color w:val="000000" w:themeColor="text1"/>
        </w:rPr>
      </w:pPr>
    </w:p>
    <w:p w14:paraId="041EA133" w14:textId="77777777" w:rsidR="00E52BD9" w:rsidRDefault="00E52BD9" w:rsidP="00E52BD9">
      <w:pPr>
        <w:jc w:val="center"/>
        <w:rPr>
          <w:rFonts w:cs="Arial"/>
          <w:color w:val="000000" w:themeColor="text1"/>
        </w:rPr>
      </w:pPr>
    </w:p>
    <w:p w14:paraId="261AD24F" w14:textId="77777777" w:rsidR="00E52BD9" w:rsidRDefault="00E52BD9" w:rsidP="00E52BD9">
      <w:pPr>
        <w:jc w:val="center"/>
        <w:rPr>
          <w:rFonts w:cs="Arial"/>
          <w:color w:val="000000" w:themeColor="text1"/>
        </w:rPr>
      </w:pPr>
    </w:p>
    <w:p w14:paraId="6E02DDB0" w14:textId="77777777" w:rsidR="00E52BD9" w:rsidRDefault="00E52BD9" w:rsidP="00E52BD9">
      <w:pPr>
        <w:jc w:val="center"/>
        <w:rPr>
          <w:rFonts w:cs="Arial"/>
          <w:color w:val="000000" w:themeColor="text1"/>
        </w:rPr>
      </w:pPr>
    </w:p>
    <w:p w14:paraId="7EFFA397" w14:textId="77777777" w:rsidR="00E52BD9" w:rsidRDefault="00E52BD9" w:rsidP="00E52BD9">
      <w:pPr>
        <w:jc w:val="center"/>
        <w:rPr>
          <w:rFonts w:cs="Arial"/>
          <w:color w:val="000000" w:themeColor="text1"/>
        </w:rPr>
      </w:pPr>
    </w:p>
    <w:p w14:paraId="3033E565" w14:textId="77777777" w:rsidR="00E52BD9" w:rsidRDefault="00E52BD9" w:rsidP="00E52BD9">
      <w:pPr>
        <w:jc w:val="center"/>
        <w:rPr>
          <w:rFonts w:cs="Arial"/>
          <w:color w:val="000000" w:themeColor="text1"/>
        </w:rPr>
      </w:pPr>
    </w:p>
    <w:p w14:paraId="51F4322D" w14:textId="77777777" w:rsidR="00E52BD9" w:rsidRDefault="00E52BD9" w:rsidP="00E52BD9">
      <w:pPr>
        <w:jc w:val="center"/>
        <w:rPr>
          <w:rFonts w:cs="Arial"/>
          <w:color w:val="000000" w:themeColor="text1"/>
        </w:rPr>
      </w:pPr>
    </w:p>
    <w:p w14:paraId="2035C410" w14:textId="77777777" w:rsidR="00E52BD9" w:rsidRDefault="00E52BD9" w:rsidP="00E52BD9">
      <w:pPr>
        <w:jc w:val="center"/>
        <w:rPr>
          <w:rFonts w:cs="Arial"/>
          <w:color w:val="000000" w:themeColor="text1"/>
        </w:rPr>
      </w:pPr>
    </w:p>
    <w:p w14:paraId="49AF59E0" w14:textId="77777777" w:rsidR="00E52BD9" w:rsidRDefault="00E52BD9" w:rsidP="00E52BD9">
      <w:pPr>
        <w:jc w:val="center"/>
        <w:rPr>
          <w:rFonts w:cs="Arial"/>
          <w:color w:val="000000" w:themeColor="text1"/>
        </w:rPr>
      </w:pPr>
    </w:p>
    <w:p w14:paraId="6717CBD3" w14:textId="77777777" w:rsidR="00E52BD9" w:rsidRDefault="00E52BD9" w:rsidP="00E52BD9">
      <w:pPr>
        <w:jc w:val="center"/>
        <w:rPr>
          <w:rFonts w:cs="Arial"/>
          <w:color w:val="000000" w:themeColor="text1"/>
        </w:rPr>
      </w:pPr>
    </w:p>
    <w:p w14:paraId="16F35B9C" w14:textId="77777777" w:rsidR="00E52BD9" w:rsidRPr="00642046" w:rsidRDefault="00E52BD9" w:rsidP="00E52BD9">
      <w:pPr>
        <w:jc w:val="center"/>
        <w:rPr>
          <w:rFonts w:cs="Arial"/>
          <w:color w:val="000000" w:themeColor="text1"/>
        </w:rPr>
        <w:sectPr w:rsidR="00E52BD9" w:rsidRPr="00642046" w:rsidSect="00E52BD9">
          <w:pgSz w:w="15840" w:h="12240" w:orient="landscape"/>
          <w:pgMar w:top="720" w:right="720" w:bottom="720" w:left="720" w:header="709" w:footer="709" w:gutter="0"/>
          <w:pgNumType w:start="77"/>
          <w:cols w:space="708"/>
          <w:docGrid w:linePitch="360"/>
        </w:sectPr>
      </w:pPr>
    </w:p>
    <w:p w14:paraId="110E301D" w14:textId="77777777" w:rsidR="00E52BD9" w:rsidRPr="00EE5894" w:rsidRDefault="00E52BD9" w:rsidP="00E52BD9">
      <w:pPr>
        <w:jc w:val="center"/>
        <w:rPr>
          <w:rFonts w:cstheme="minorHAnsi"/>
          <w:b/>
          <w:bCs/>
          <w:color w:val="000000" w:themeColor="text1"/>
        </w:rPr>
        <w:sectPr w:rsidR="00E52BD9" w:rsidRPr="00EE5894" w:rsidSect="00E52BD9">
          <w:pgSz w:w="15840" w:h="12240" w:orient="landscape"/>
          <w:pgMar w:top="1701" w:right="1418" w:bottom="1701" w:left="1418" w:header="709" w:footer="709" w:gutter="0"/>
          <w:pgNumType w:start="77"/>
          <w:cols w:space="708"/>
          <w:docGrid w:linePitch="360"/>
        </w:sectPr>
      </w:pPr>
      <w:r w:rsidRPr="00EE5894">
        <w:rPr>
          <w:rFonts w:cstheme="minorHAnsi"/>
          <w:noProof/>
          <w:color w:val="0070C0"/>
        </w:rPr>
        <w:lastRenderedPageBreak/>
        <w:drawing>
          <wp:anchor distT="0" distB="0" distL="114300" distR="114300" simplePos="0" relativeHeight="252705792" behindDoc="1" locked="0" layoutInCell="1" allowOverlap="1" wp14:anchorId="271DEC9A" wp14:editId="420A98A0">
            <wp:simplePos x="0" y="0"/>
            <wp:positionH relativeFrom="margin">
              <wp:posOffset>208703</wp:posOffset>
            </wp:positionH>
            <wp:positionV relativeFrom="paragraph">
              <wp:posOffset>503132</wp:posOffset>
            </wp:positionV>
            <wp:extent cx="8055399" cy="5935275"/>
            <wp:effectExtent l="0" t="0" r="3175" b="8890"/>
            <wp:wrapNone/>
            <wp:docPr id="72333055"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33055" name="Imagen 6" descr="Tabla&#10;&#10;Descripción generada automáticamente"/>
                    <pic:cNvPicPr/>
                  </pic:nvPicPr>
                  <pic:blipFill>
                    <a:blip r:embed="rId118">
                      <a:extLst>
                        <a:ext uri="{28A0092B-C50C-407E-A947-70E740481C1C}">
                          <a14:useLocalDpi xmlns:a14="http://schemas.microsoft.com/office/drawing/2010/main" val="0"/>
                        </a:ext>
                      </a:extLst>
                    </a:blip>
                    <a:stretch>
                      <a:fillRect/>
                    </a:stretch>
                  </pic:blipFill>
                  <pic:spPr>
                    <a:xfrm>
                      <a:off x="0" y="0"/>
                      <a:ext cx="8057343" cy="5936707"/>
                    </a:xfrm>
                    <a:prstGeom prst="rect">
                      <a:avLst/>
                    </a:prstGeom>
                  </pic:spPr>
                </pic:pic>
              </a:graphicData>
            </a:graphic>
            <wp14:sizeRelH relativeFrom="margin">
              <wp14:pctWidth>0</wp14:pctWidth>
            </wp14:sizeRelH>
            <wp14:sizeRelV relativeFrom="margin">
              <wp14:pctHeight>0</wp14:pctHeight>
            </wp14:sizeRelV>
          </wp:anchor>
        </w:drawing>
      </w:r>
      <w:r w:rsidRPr="00EE5894">
        <w:rPr>
          <w:rFonts w:cstheme="minorHAnsi"/>
          <w:noProof/>
          <w:color w:val="0070C0"/>
        </w:rPr>
        <mc:AlternateContent>
          <mc:Choice Requires="wps">
            <w:drawing>
              <wp:anchor distT="0" distB="0" distL="114300" distR="114300" simplePos="0" relativeHeight="252704768" behindDoc="1" locked="0" layoutInCell="1" allowOverlap="1" wp14:anchorId="2B8E134F" wp14:editId="048787BB">
                <wp:simplePos x="0" y="0"/>
                <wp:positionH relativeFrom="margin">
                  <wp:posOffset>775546</wp:posOffset>
                </wp:positionH>
                <wp:positionV relativeFrom="paragraph">
                  <wp:posOffset>-715857</wp:posOffset>
                </wp:positionV>
                <wp:extent cx="6606540" cy="411480"/>
                <wp:effectExtent l="0" t="0" r="22860" b="26670"/>
                <wp:wrapNone/>
                <wp:docPr id="4" name="Cuadro de texto 4"/>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3DA23E76"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VERSIÓN FINAL DISEÑO DE UNA INVESTIGACIÓN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E134F" id="Cuadro de texto 4" o:spid="_x0000_s1077" type="#_x0000_t202" style="position:absolute;left:0;text-align:left;margin-left:61.05pt;margin-top:-56.35pt;width:520.2pt;height:32.4pt;z-index:-25061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" fillcolor="white [3201]" strokeweight=".5pt">
                <v:textbox>
                  <w:txbxContent>
                    <w:p w14:paraId="3DA23E76" w14:textId="77777777" w:rsidR="00E52BD9" w:rsidRPr="00C25376" w:rsidRDefault="00E52BD9" w:rsidP="00E52BD9">
                      <w:pPr>
                        <w:jc w:val="center"/>
                        <w:rPr>
                          <w:rFonts w:cstheme="minorHAnsi"/>
                        </w:rPr>
                      </w:pPr>
                      <w:r w:rsidRPr="00C25376">
                        <w:rPr>
                          <w:rFonts w:cstheme="minorHAnsi"/>
                          <w:b/>
                        </w:rPr>
                        <w:t>RÚBRICA DE EVALUACIÓN</w:t>
                      </w:r>
                      <w:r>
                        <w:rPr>
                          <w:rFonts w:cstheme="minorHAnsi"/>
                          <w:b/>
                        </w:rPr>
                        <w:t xml:space="preserve"> – VERSIÓN FINAL DISEÑO DE UNA INVESTIGACIÓN</w:t>
                      </w:r>
                    </w:p>
                  </w:txbxContent>
                </v:textbox>
                <w10:wrap anchorx="margin"/>
              </v:shape>
            </w:pict>
          </mc:Fallback>
        </mc:AlternateContent>
      </w:r>
      <w:r w:rsidRPr="00EE5894">
        <w:rPr>
          <w:rFonts w:cstheme="minorHAnsi"/>
          <w:b/>
          <w:bCs/>
          <w:color w:val="0070C0"/>
        </w:rPr>
        <w:t>L</w:t>
      </w:r>
      <w:r w:rsidRPr="00EE5894">
        <w:rPr>
          <w:rFonts w:cstheme="minorHAnsi"/>
          <w:color w:val="0070C0"/>
        </w:rPr>
        <w:t xml:space="preserve">a siguiente rúbrica corresponde a la versión final del diseño de una investigación, misma que se ha desarrollado a través de tres avances. La versión final se entrega en la sesión 15 y tiene un valor del 10% de la nota. </w:t>
      </w:r>
    </w:p>
    <w:p w14:paraId="6858841A" w14:textId="77777777" w:rsidR="00E52BD9" w:rsidRPr="00EC1929" w:rsidRDefault="00E52BD9" w:rsidP="00E52BD9">
      <w:pPr>
        <w:jc w:val="both"/>
        <w:rPr>
          <w:rFonts w:ascii="Calibri" w:hAnsi="Calibri" w:cs="Arial"/>
          <w:b/>
          <w:color w:val="000000"/>
          <w:spacing w:val="-2"/>
          <w:kern w:val="28"/>
        </w:rPr>
      </w:pPr>
      <w:r w:rsidRPr="00806EC6">
        <w:rPr>
          <w:rFonts w:ascii="Calibri" w:hAnsi="Calibri" w:cs="Arial"/>
          <w:b/>
          <w:color w:val="000000"/>
          <w:spacing w:val="-2"/>
          <w:kern w:val="28"/>
        </w:rPr>
        <w:lastRenderedPageBreak/>
        <w:t>XI.</w:t>
      </w:r>
      <w:r>
        <w:rPr>
          <w:rFonts w:ascii="Calibri" w:hAnsi="Calibri" w:cs="Arial"/>
          <w:b/>
          <w:color w:val="000000"/>
          <w:spacing w:val="-2"/>
          <w:kern w:val="28"/>
        </w:rPr>
        <w:t xml:space="preserve"> </w:t>
      </w:r>
      <w:r w:rsidRPr="00806EC6">
        <w:rPr>
          <w:rFonts w:ascii="Calibri" w:hAnsi="Calibri" w:cs="Arial"/>
          <w:b/>
          <w:color w:val="000000"/>
          <w:spacing w:val="-2"/>
          <w:kern w:val="28"/>
        </w:rPr>
        <w:t>Bibliografía</w:t>
      </w:r>
      <w:r>
        <w:rPr>
          <w:rFonts w:ascii="Calibri" w:hAnsi="Calibri" w:cs="Arial"/>
          <w:b/>
          <w:color w:val="000000"/>
          <w:spacing w:val="-2"/>
          <w:kern w:val="28"/>
        </w:rPr>
        <w:t xml:space="preserve"> obligatoria</w:t>
      </w:r>
      <w:r w:rsidRPr="00806EC6">
        <w:rPr>
          <w:rFonts w:ascii="Calibri" w:hAnsi="Calibri" w:cs="Arial"/>
          <w:b/>
          <w:color w:val="000000"/>
          <w:spacing w:val="-2"/>
          <w:kern w:val="28"/>
        </w:rPr>
        <w:t xml:space="preserve"> </w:t>
      </w:r>
    </w:p>
    <w:p w14:paraId="26D0C2CC" w14:textId="77777777" w:rsidR="00E52BD9" w:rsidRDefault="00E52BD9" w:rsidP="00E52BD9">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31CDCE6C"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Abarca Rodríguez, Allan, Felipe Alpízar Rodríguez, Gina Sibaja Quesada y Carla Rojas Benavides. </w:t>
      </w:r>
      <w:r w:rsidRPr="000F332A">
        <w:rPr>
          <w:rFonts w:eastAsia="MS Mincho" w:cstheme="minorHAnsi"/>
          <w:i/>
          <w:color w:val="000000"/>
        </w:rPr>
        <w:t xml:space="preserve">Técnicas cualitativas de investigación. </w:t>
      </w:r>
      <w:r w:rsidRPr="000F332A">
        <w:rPr>
          <w:rFonts w:eastAsia="MS Mincho" w:cstheme="minorHAnsi"/>
          <w:color w:val="000000"/>
        </w:rPr>
        <w:t>San José: Editorial UCR, 2012.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última edición)</w:t>
      </w:r>
    </w:p>
    <w:p w14:paraId="3F74D58F"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Arias Odón, Fidias G. </w:t>
      </w:r>
      <w:r w:rsidRPr="000F332A">
        <w:rPr>
          <w:rFonts w:eastAsia="MS Mincho" w:cstheme="minorHAnsi"/>
          <w:i/>
          <w:color w:val="000000"/>
        </w:rPr>
        <w:t xml:space="preserve">Mitos y errores en la elaboración de tesis y proyectos de investigación. </w:t>
      </w:r>
      <w:r w:rsidRPr="000F332A">
        <w:rPr>
          <w:rFonts w:eastAsia="MS Mincho" w:cstheme="minorHAnsi"/>
          <w:color w:val="000000"/>
        </w:rPr>
        <w:t>Caracas: Episteme, 2006.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última edición)</w:t>
      </w:r>
    </w:p>
    <w:p w14:paraId="00319E01"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Barrantes Echavarría, Rodrigo. </w:t>
      </w:r>
      <w:r w:rsidRPr="000F332A">
        <w:rPr>
          <w:rFonts w:eastAsia="MS Mincho" w:cstheme="minorHAnsi"/>
          <w:i/>
          <w:color w:val="000000"/>
        </w:rPr>
        <w:t xml:space="preserve">Investigación: un camino al conocimiento. Un enfoque cualitativo, cuantitativo y mixto. </w:t>
      </w:r>
      <w:r w:rsidRPr="000F332A">
        <w:rPr>
          <w:rFonts w:eastAsia="MS Mincho" w:cstheme="minorHAnsi"/>
          <w:color w:val="000000"/>
        </w:rPr>
        <w:t>San José: EUNED, 2013.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última edición)</w:t>
      </w:r>
    </w:p>
    <w:p w14:paraId="0A8731AE"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García Corral, Susana. </w:t>
      </w:r>
      <w:r w:rsidRPr="000F332A">
        <w:rPr>
          <w:rFonts w:eastAsia="MS Mincho" w:cstheme="minorHAnsi"/>
          <w:i/>
          <w:color w:val="000000"/>
        </w:rPr>
        <w:t xml:space="preserve">Manual práctico de investigación social con enfoque de género: métodos y técnicas de investigación social desde una perspectiva de género. </w:t>
      </w:r>
      <w:r w:rsidRPr="000F332A">
        <w:rPr>
          <w:rFonts w:eastAsia="MS Mincho" w:cstheme="minorHAnsi"/>
          <w:color w:val="000000"/>
        </w:rPr>
        <w:t>San Salvador: Red de Mujeres por la Unidad y el Desarrollo, 1999.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 xml:space="preserve">última edición) </w:t>
      </w:r>
    </w:p>
    <w:p w14:paraId="7F89A538" w14:textId="77777777" w:rsidR="00E52BD9" w:rsidRPr="000F332A" w:rsidRDefault="00E52BD9" w:rsidP="00E52BD9">
      <w:pPr>
        <w:ind w:left="709" w:hanging="709"/>
        <w:jc w:val="both"/>
        <w:rPr>
          <w:rFonts w:eastAsia="MS Mincho" w:cstheme="minorHAnsi"/>
          <w:color w:val="0070C0"/>
        </w:rPr>
      </w:pPr>
      <w:r w:rsidRPr="000F332A">
        <w:rPr>
          <w:rFonts w:eastAsia="MS Mincho" w:cstheme="minorHAnsi"/>
          <w:color w:val="000000"/>
        </w:rPr>
        <w:t xml:space="preserve">Hernández Sampieri, Roberto, Carlos Fernández Collado y Pilar Baptista Lucio. </w:t>
      </w:r>
      <w:r w:rsidRPr="000F332A">
        <w:rPr>
          <w:rFonts w:eastAsia="MS Mincho" w:cstheme="minorHAnsi"/>
          <w:i/>
          <w:color w:val="000000"/>
        </w:rPr>
        <w:t xml:space="preserve">Metodología de la investigación: las rutas cuantitativa, cualitativa y mixta. </w:t>
      </w:r>
      <w:r w:rsidRPr="000F332A">
        <w:rPr>
          <w:rFonts w:eastAsia="MS Mincho" w:cstheme="minorHAnsi"/>
          <w:color w:val="000000"/>
        </w:rPr>
        <w:t>México: Mc Graw-Hill Interamericana, 2018. (</w:t>
      </w:r>
      <w:r w:rsidRPr="008E2701">
        <w:rPr>
          <w:rFonts w:eastAsia="MS Mincho" w:cstheme="minorHAnsi"/>
          <w:color w:val="0070C0"/>
        </w:rPr>
        <w:t>última edición 202</w:t>
      </w:r>
      <w:r>
        <w:rPr>
          <w:rFonts w:eastAsia="MS Mincho" w:cstheme="minorHAnsi"/>
          <w:color w:val="0070C0"/>
        </w:rPr>
        <w:t>0</w:t>
      </w:r>
      <w:r w:rsidRPr="000F332A">
        <w:rPr>
          <w:rFonts w:eastAsia="MS Mincho" w:cstheme="minorHAnsi"/>
          <w:color w:val="000000"/>
        </w:rPr>
        <w:t>)</w:t>
      </w:r>
    </w:p>
    <w:p w14:paraId="5E9448B9"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May, Janet. </w:t>
      </w:r>
      <w:r w:rsidRPr="000F332A">
        <w:rPr>
          <w:rFonts w:eastAsia="MS Mincho" w:cstheme="minorHAnsi"/>
          <w:i/>
          <w:color w:val="000000"/>
        </w:rPr>
        <w:t xml:space="preserve">Guía para la presentación de trabajos académicos. </w:t>
      </w:r>
      <w:r w:rsidRPr="000F332A">
        <w:rPr>
          <w:rFonts w:eastAsia="MS Mincho" w:cstheme="minorHAnsi"/>
          <w:color w:val="000000"/>
        </w:rPr>
        <w:t>San José: Universidad Bíblica Latinoamericana, 2003.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 xml:space="preserve">última edición) </w:t>
      </w:r>
    </w:p>
    <w:p w14:paraId="79B6C7C8" w14:textId="77777777" w:rsidR="00E52BD9" w:rsidRPr="000F332A" w:rsidRDefault="00E52BD9" w:rsidP="00E52BD9">
      <w:pPr>
        <w:ind w:left="709" w:hanging="709"/>
        <w:jc w:val="both"/>
        <w:rPr>
          <w:rFonts w:cstheme="minorHAnsi"/>
          <w:color w:val="000000" w:themeColor="text1"/>
        </w:rPr>
      </w:pPr>
      <w:r w:rsidRPr="000F332A">
        <w:rPr>
          <w:rFonts w:cstheme="minorHAnsi"/>
          <w:color w:val="000000" w:themeColor="text1"/>
          <w:lang w:eastAsia="es-ES"/>
        </w:rPr>
        <w:t xml:space="preserve">Mora, Edwin. “Aportes del paradigma de investigación cualitativa a la investigación teológica contextual”. </w:t>
      </w:r>
      <w:r w:rsidRPr="000F332A">
        <w:rPr>
          <w:rFonts w:cstheme="minorHAnsi"/>
          <w:i/>
          <w:color w:val="000000" w:themeColor="text1"/>
        </w:rPr>
        <w:t xml:space="preserve">Vida y pensamiento 33-34, </w:t>
      </w:r>
      <w:r w:rsidRPr="000F332A">
        <w:rPr>
          <w:rFonts w:cstheme="minorHAnsi"/>
          <w:color w:val="000000" w:themeColor="text1"/>
        </w:rPr>
        <w:t>n. 2-1 (2013): pp. 277-329.</w:t>
      </w:r>
    </w:p>
    <w:p w14:paraId="741B370B" w14:textId="77777777" w:rsidR="00E52BD9" w:rsidRPr="000F332A" w:rsidRDefault="00E52BD9" w:rsidP="00E52BD9">
      <w:pPr>
        <w:ind w:left="709" w:hanging="709"/>
        <w:jc w:val="both"/>
        <w:rPr>
          <w:rFonts w:cstheme="minorHAnsi"/>
          <w:color w:val="000000" w:themeColor="text1"/>
          <w:lang w:eastAsia="es-ES"/>
        </w:rPr>
      </w:pPr>
      <w:r w:rsidRPr="000F332A">
        <w:rPr>
          <w:rFonts w:cstheme="minorHAnsi"/>
          <w:color w:val="000000" w:themeColor="text1"/>
          <w:lang w:eastAsia="es-ES"/>
        </w:rPr>
        <w:t xml:space="preserve">Müller Delgado, Martha Virginia. </w:t>
      </w:r>
      <w:r w:rsidRPr="000F332A">
        <w:rPr>
          <w:rFonts w:cstheme="minorHAnsi"/>
          <w:i/>
          <w:color w:val="000000" w:themeColor="text1"/>
          <w:lang w:eastAsia="es-ES"/>
        </w:rPr>
        <w:t xml:space="preserve">Guía para la elaboración de tesis y consultorio gramatical. </w:t>
      </w:r>
      <w:r w:rsidRPr="000F332A">
        <w:rPr>
          <w:rFonts w:cstheme="minorHAnsi"/>
          <w:color w:val="000000" w:themeColor="text1"/>
          <w:lang w:eastAsia="es-ES"/>
        </w:rPr>
        <w:t xml:space="preserve">San José: Editorial UCR, 2015. </w:t>
      </w:r>
      <w:r w:rsidRPr="000F332A">
        <w:rPr>
          <w:rFonts w:eastAsia="MS Mincho" w:cstheme="minorHAnsi"/>
          <w:color w:val="000000"/>
        </w:rPr>
        <w:t>(</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última edición)</w:t>
      </w:r>
    </w:p>
    <w:p w14:paraId="531B96B5" w14:textId="77777777" w:rsidR="00E52BD9" w:rsidRPr="000F332A" w:rsidRDefault="00E52BD9" w:rsidP="00E52BD9">
      <w:pPr>
        <w:ind w:left="709" w:hanging="709"/>
        <w:jc w:val="both"/>
        <w:rPr>
          <w:rFonts w:eastAsia="MS Mincho" w:cstheme="minorHAnsi"/>
          <w:i/>
          <w:color w:val="000000"/>
        </w:rPr>
      </w:pPr>
      <w:r w:rsidRPr="000F332A">
        <w:rPr>
          <w:rFonts w:eastAsia="MS Mincho" w:cstheme="minorHAnsi"/>
          <w:color w:val="000000"/>
        </w:rPr>
        <w:t xml:space="preserve">Pereira M, </w:t>
      </w:r>
      <w:proofErr w:type="spellStart"/>
      <w:r w:rsidRPr="000F332A">
        <w:rPr>
          <w:rFonts w:eastAsia="MS Mincho" w:cstheme="minorHAnsi"/>
          <w:color w:val="000000"/>
        </w:rPr>
        <w:t>Rodney</w:t>
      </w:r>
      <w:proofErr w:type="spellEnd"/>
      <w:r w:rsidRPr="000F332A">
        <w:rPr>
          <w:rFonts w:eastAsia="MS Mincho" w:cstheme="minorHAnsi"/>
          <w:color w:val="000000"/>
        </w:rPr>
        <w:t xml:space="preserve">. “Metodologías cuantitativas, operacionalización de la investigación, recolección y análisis de datos” En </w:t>
      </w:r>
      <w:r w:rsidRPr="000F332A">
        <w:rPr>
          <w:rFonts w:eastAsia="MS Mincho" w:cstheme="minorHAnsi"/>
          <w:i/>
          <w:color w:val="000000"/>
        </w:rPr>
        <w:t xml:space="preserve">Pautas metodológicas para investigaciones cualitativas y cuantitativas en ciencias sociales y humanas, </w:t>
      </w:r>
      <w:r w:rsidRPr="000F332A">
        <w:rPr>
          <w:rFonts w:eastAsia="MS Mincho" w:cstheme="minorHAnsi"/>
          <w:color w:val="000000"/>
        </w:rPr>
        <w:t xml:space="preserve">coordinado por Mario </w:t>
      </w:r>
      <w:proofErr w:type="spellStart"/>
      <w:r w:rsidRPr="000F332A">
        <w:rPr>
          <w:rFonts w:eastAsia="MS Mincho" w:cstheme="minorHAnsi"/>
          <w:color w:val="000000"/>
        </w:rPr>
        <w:t>Yapu</w:t>
      </w:r>
      <w:proofErr w:type="spellEnd"/>
      <w:r w:rsidRPr="000F332A">
        <w:rPr>
          <w:rFonts w:eastAsia="MS Mincho" w:cstheme="minorHAnsi"/>
          <w:color w:val="000000"/>
        </w:rPr>
        <w:t>, 264-290. La Paz: Programa de Investigación Estratégica en Bolivia, 2010.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 xml:space="preserve">última edición) </w:t>
      </w:r>
      <w:r w:rsidRPr="000F332A">
        <w:rPr>
          <w:rFonts w:eastAsia="MS Mincho" w:cstheme="minorHAnsi"/>
          <w:i/>
          <w:color w:val="000000"/>
        </w:rPr>
        <w:t xml:space="preserve"> </w:t>
      </w:r>
    </w:p>
    <w:p w14:paraId="64718561" w14:textId="77777777" w:rsidR="00E52BD9" w:rsidRPr="000F332A" w:rsidRDefault="00E52BD9" w:rsidP="00E52BD9">
      <w:pPr>
        <w:ind w:left="709" w:hanging="709"/>
        <w:jc w:val="both"/>
        <w:rPr>
          <w:rFonts w:eastAsia="MS Mincho" w:cstheme="minorHAnsi"/>
          <w:color w:val="000000"/>
        </w:rPr>
      </w:pPr>
      <w:r w:rsidRPr="000F332A">
        <w:rPr>
          <w:rFonts w:eastAsia="MS Mincho" w:cstheme="minorHAnsi"/>
          <w:color w:val="000000"/>
        </w:rPr>
        <w:t xml:space="preserve">Rojas Valenciano, Ligia Patricia. </w:t>
      </w:r>
      <w:r w:rsidRPr="000F332A">
        <w:rPr>
          <w:rFonts w:eastAsia="MS Mincho" w:cstheme="minorHAnsi"/>
          <w:i/>
          <w:color w:val="000000"/>
        </w:rPr>
        <w:t xml:space="preserve">Elementos conceptuales y metodológicos de la investigación cualitativa. Módulo de </w:t>
      </w:r>
      <w:proofErr w:type="spellStart"/>
      <w:r w:rsidRPr="000F332A">
        <w:rPr>
          <w:rFonts w:eastAsia="MS Mincho" w:cstheme="minorHAnsi"/>
          <w:i/>
          <w:color w:val="000000"/>
        </w:rPr>
        <w:t>autoinstrucción</w:t>
      </w:r>
      <w:proofErr w:type="spellEnd"/>
      <w:r w:rsidRPr="000F332A">
        <w:rPr>
          <w:rFonts w:eastAsia="MS Mincho" w:cstheme="minorHAnsi"/>
          <w:i/>
          <w:color w:val="000000"/>
        </w:rPr>
        <w:t xml:space="preserve">. </w:t>
      </w:r>
      <w:r w:rsidRPr="000F332A">
        <w:rPr>
          <w:rFonts w:eastAsia="MS Mincho" w:cstheme="minorHAnsi"/>
          <w:color w:val="000000"/>
        </w:rPr>
        <w:t>San José: Editorial UCR, 2013. (</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 xml:space="preserve">última edición) </w:t>
      </w:r>
    </w:p>
    <w:p w14:paraId="7216BC18" w14:textId="77777777" w:rsidR="00E52BD9" w:rsidRPr="000F332A" w:rsidRDefault="00E52BD9" w:rsidP="00E52BD9">
      <w:pPr>
        <w:ind w:left="709" w:hanging="709"/>
        <w:jc w:val="both"/>
        <w:rPr>
          <w:rFonts w:eastAsia="MS Mincho" w:cstheme="minorHAnsi"/>
        </w:rPr>
      </w:pPr>
      <w:r w:rsidRPr="000F332A">
        <w:rPr>
          <w:rFonts w:eastAsia="MS Mincho" w:cstheme="minorHAnsi"/>
        </w:rPr>
        <w:t xml:space="preserve">Sánchez Ulate, Rosita y Rubén Ortiz Vega. </w:t>
      </w:r>
      <w:r w:rsidRPr="000F332A">
        <w:rPr>
          <w:rFonts w:eastAsia="MS Mincho" w:cstheme="minorHAnsi"/>
          <w:i/>
        </w:rPr>
        <w:t xml:space="preserve">Acompañamiento práctico al proyecto de investigación. </w:t>
      </w:r>
      <w:r w:rsidRPr="000F332A">
        <w:rPr>
          <w:rFonts w:eastAsia="MS Mincho" w:cstheme="minorHAnsi"/>
        </w:rPr>
        <w:t xml:space="preserve">San José, C.R.: EUNED, 2016. </w:t>
      </w:r>
      <w:r w:rsidRPr="000F332A">
        <w:rPr>
          <w:rFonts w:eastAsia="MS Mincho" w:cstheme="minorHAnsi"/>
          <w:color w:val="000000"/>
        </w:rPr>
        <w:t>(</w:t>
      </w:r>
      <w:r w:rsidRPr="00EB71AC">
        <w:rPr>
          <w:rFonts w:eastAsia="MS Mincho" w:cstheme="minorHAnsi"/>
          <w:color w:val="0070C0"/>
        </w:rPr>
        <w:t>clásico</w:t>
      </w:r>
      <w:r>
        <w:rPr>
          <w:rFonts w:eastAsia="MS Mincho" w:cstheme="minorHAnsi"/>
          <w:color w:val="000000"/>
        </w:rPr>
        <w:t xml:space="preserve">, </w:t>
      </w:r>
      <w:r w:rsidRPr="000F332A">
        <w:rPr>
          <w:rFonts w:eastAsia="MS Mincho" w:cstheme="minorHAnsi"/>
          <w:color w:val="000000"/>
        </w:rPr>
        <w:t>última edición)</w:t>
      </w:r>
    </w:p>
    <w:p w14:paraId="6D3AC719" w14:textId="77777777" w:rsidR="00E52BD9" w:rsidRDefault="00E52BD9" w:rsidP="00E52BD9">
      <w:pPr>
        <w:ind w:left="709" w:hanging="709"/>
        <w:jc w:val="both"/>
        <w:rPr>
          <w:rFonts w:eastAsia="MS Mincho" w:cstheme="minorHAnsi"/>
        </w:rPr>
      </w:pPr>
      <w:r w:rsidRPr="000F332A">
        <w:rPr>
          <w:rFonts w:eastAsia="MS Mincho" w:cstheme="minorHAnsi"/>
        </w:rPr>
        <w:t xml:space="preserve">Zamora Villalobos, Luis Ricardo. </w:t>
      </w:r>
      <w:r w:rsidRPr="000F332A">
        <w:rPr>
          <w:rFonts w:eastAsia="MS Mincho" w:cstheme="minorHAnsi"/>
          <w:i/>
        </w:rPr>
        <w:t xml:space="preserve">Enfoques y diseños de investigación social: cuantitativos, cualitativos y mixtos. </w:t>
      </w:r>
      <w:r w:rsidRPr="000F332A">
        <w:rPr>
          <w:rFonts w:eastAsia="MS Mincho" w:cstheme="minorHAnsi"/>
        </w:rPr>
        <w:t>San José, C.R.: EUNED, 2019.</w:t>
      </w:r>
    </w:p>
    <w:p w14:paraId="02F4F6F5" w14:textId="77777777" w:rsidR="00E52BD9" w:rsidRPr="000F332A" w:rsidRDefault="00E52BD9" w:rsidP="00E52BD9">
      <w:pPr>
        <w:ind w:left="709" w:hanging="709"/>
        <w:jc w:val="both"/>
        <w:rPr>
          <w:rFonts w:eastAsia="MS Mincho" w:cstheme="minorHAnsi"/>
          <w:color w:val="000000"/>
          <w:sz w:val="20"/>
        </w:rPr>
      </w:pPr>
    </w:p>
    <w:p w14:paraId="2EB1A326" w14:textId="77777777" w:rsidR="00CD2173" w:rsidRDefault="00CD2173" w:rsidP="00E52BD9">
      <w:pPr>
        <w:ind w:left="709" w:hanging="709"/>
        <w:jc w:val="both"/>
        <w:rPr>
          <w:rFonts w:ascii="Calibri" w:hAnsi="Calibri" w:cs="Arial"/>
          <w:b/>
          <w:color w:val="000000"/>
          <w:spacing w:val="-2"/>
          <w:kern w:val="28"/>
        </w:rPr>
      </w:pPr>
    </w:p>
    <w:p w14:paraId="1949342C" w14:textId="77777777" w:rsidR="00CD2173" w:rsidRDefault="00CD2173" w:rsidP="00E52BD9">
      <w:pPr>
        <w:ind w:left="709" w:hanging="709"/>
        <w:jc w:val="both"/>
        <w:rPr>
          <w:rFonts w:ascii="Calibri" w:hAnsi="Calibri" w:cs="Arial"/>
          <w:b/>
          <w:color w:val="000000"/>
          <w:spacing w:val="-2"/>
          <w:kern w:val="28"/>
        </w:rPr>
      </w:pPr>
    </w:p>
    <w:p w14:paraId="0AB2C5A3" w14:textId="6FCCA7AB" w:rsidR="00E52BD9" w:rsidRDefault="00E52BD9" w:rsidP="00E52BD9">
      <w:pPr>
        <w:ind w:left="709" w:hanging="709"/>
        <w:jc w:val="both"/>
        <w:rPr>
          <w:rFonts w:ascii="Calibri" w:hAnsi="Calibri" w:cs="Arial"/>
          <w:b/>
          <w:color w:val="000000"/>
          <w:spacing w:val="-2"/>
          <w:kern w:val="28"/>
        </w:rPr>
      </w:pPr>
      <w:r w:rsidRPr="009E0B6C">
        <w:rPr>
          <w:rFonts w:ascii="Calibri" w:hAnsi="Calibri" w:cs="Arial"/>
          <w:b/>
          <w:color w:val="000000"/>
          <w:spacing w:val="-2"/>
          <w:kern w:val="28"/>
        </w:rPr>
        <w:lastRenderedPageBreak/>
        <w:t xml:space="preserve">XII. </w:t>
      </w:r>
      <w:r w:rsidRPr="001512A3">
        <w:rPr>
          <w:rFonts w:ascii="Calibri" w:hAnsi="Calibri" w:cs="Arial"/>
          <w:b/>
          <w:color w:val="000000"/>
          <w:spacing w:val="-2"/>
          <w:kern w:val="28"/>
        </w:rPr>
        <w:t>Bibliografía complementaria</w:t>
      </w:r>
    </w:p>
    <w:p w14:paraId="0754AD47" w14:textId="77777777" w:rsidR="00E52BD9" w:rsidRDefault="00E52BD9" w:rsidP="00E52BD9">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56882398" w14:textId="77777777" w:rsidR="00E52BD9" w:rsidRPr="00C74C94" w:rsidRDefault="00E52BD9" w:rsidP="00E52BD9">
      <w:pPr>
        <w:ind w:left="709" w:hanging="709"/>
        <w:jc w:val="both"/>
        <w:rPr>
          <w:rFonts w:cstheme="minorHAnsi"/>
          <w:color w:val="00B050"/>
          <w:spacing w:val="-2"/>
          <w:kern w:val="28"/>
        </w:rPr>
      </w:pPr>
      <w:proofErr w:type="spellStart"/>
      <w:r w:rsidRPr="00C74C94">
        <w:rPr>
          <w:rFonts w:cstheme="minorHAnsi"/>
          <w:spacing w:val="-2"/>
          <w:kern w:val="28"/>
        </w:rPr>
        <w:t>Flick</w:t>
      </w:r>
      <w:proofErr w:type="spellEnd"/>
      <w:r w:rsidRPr="00C74C94">
        <w:rPr>
          <w:rFonts w:cstheme="minorHAnsi"/>
          <w:spacing w:val="-2"/>
          <w:kern w:val="28"/>
        </w:rPr>
        <w:t xml:space="preserve">, </w:t>
      </w:r>
      <w:proofErr w:type="spellStart"/>
      <w:r w:rsidRPr="00C74C94">
        <w:rPr>
          <w:rFonts w:cstheme="minorHAnsi"/>
          <w:spacing w:val="-2"/>
          <w:kern w:val="28"/>
        </w:rPr>
        <w:t>Uwe</w:t>
      </w:r>
      <w:proofErr w:type="spellEnd"/>
      <w:r w:rsidRPr="00C74C94">
        <w:rPr>
          <w:rFonts w:cstheme="minorHAnsi"/>
          <w:spacing w:val="-2"/>
          <w:kern w:val="28"/>
        </w:rPr>
        <w:t xml:space="preserve">. </w:t>
      </w:r>
      <w:r w:rsidRPr="00C74C94">
        <w:rPr>
          <w:rFonts w:cstheme="minorHAnsi"/>
          <w:i/>
          <w:spacing w:val="-2"/>
          <w:kern w:val="28"/>
        </w:rPr>
        <w:t>El diseño de investigación cualitativa</w:t>
      </w:r>
      <w:r w:rsidRPr="00C74C94">
        <w:rPr>
          <w:rFonts w:cstheme="minorHAnsi"/>
          <w:spacing w:val="-2"/>
          <w:kern w:val="28"/>
        </w:rPr>
        <w:t xml:space="preserve">. Madrid: Ediciones Morata, 2015. </w:t>
      </w:r>
      <w:r w:rsidRPr="00C74C94">
        <w:rPr>
          <w:rFonts w:eastAsia="MS Mincho" w:cstheme="minorHAnsi"/>
          <w:color w:val="000000"/>
        </w:rPr>
        <w:t>(</w:t>
      </w:r>
      <w:r w:rsidRPr="00EB71AC">
        <w:rPr>
          <w:rFonts w:eastAsia="MS Mincho" w:cstheme="minorHAnsi"/>
          <w:color w:val="0070C0"/>
        </w:rPr>
        <w:t>clásico</w:t>
      </w:r>
      <w:r>
        <w:rPr>
          <w:rFonts w:eastAsia="MS Mincho" w:cstheme="minorHAnsi"/>
          <w:color w:val="000000"/>
        </w:rPr>
        <w:t xml:space="preserve">, </w:t>
      </w:r>
      <w:r w:rsidRPr="00C74C94">
        <w:rPr>
          <w:rFonts w:eastAsia="MS Mincho" w:cstheme="minorHAnsi"/>
          <w:color w:val="000000"/>
        </w:rPr>
        <w:t>última edición)</w:t>
      </w:r>
      <w:r w:rsidRPr="00C74C94">
        <w:rPr>
          <w:rFonts w:cstheme="minorHAnsi"/>
          <w:spacing w:val="-2"/>
          <w:kern w:val="28"/>
        </w:rPr>
        <w:t xml:space="preserve"> </w:t>
      </w:r>
    </w:p>
    <w:p w14:paraId="3FCA729C" w14:textId="77777777" w:rsidR="00E52BD9" w:rsidRPr="00C74C94" w:rsidRDefault="00E52BD9" w:rsidP="00E52BD9">
      <w:pPr>
        <w:ind w:left="709" w:hanging="709"/>
        <w:jc w:val="both"/>
        <w:rPr>
          <w:rFonts w:cstheme="minorHAnsi"/>
          <w:color w:val="FF0000"/>
          <w:spacing w:val="-2"/>
          <w:kern w:val="28"/>
        </w:rPr>
      </w:pPr>
      <w:r w:rsidRPr="00C74C94">
        <w:rPr>
          <w:rFonts w:cstheme="minorHAnsi"/>
          <w:spacing w:val="-2"/>
          <w:kern w:val="28"/>
        </w:rPr>
        <w:t xml:space="preserve">Francés García, Francisco, Antonio Alaminos Chica, Clemente Penalva Verdú y Óscar Antonio </w:t>
      </w:r>
      <w:proofErr w:type="spellStart"/>
      <w:r w:rsidRPr="00C74C94">
        <w:rPr>
          <w:rFonts w:cstheme="minorHAnsi"/>
          <w:spacing w:val="-2"/>
          <w:kern w:val="28"/>
        </w:rPr>
        <w:t>Santacreu</w:t>
      </w:r>
      <w:proofErr w:type="spellEnd"/>
      <w:r w:rsidRPr="00C74C94">
        <w:rPr>
          <w:rFonts w:cstheme="minorHAnsi"/>
          <w:spacing w:val="-2"/>
          <w:kern w:val="28"/>
        </w:rPr>
        <w:t xml:space="preserve"> Fernández. </w:t>
      </w:r>
      <w:r w:rsidRPr="00C74C94">
        <w:rPr>
          <w:rFonts w:cstheme="minorHAnsi"/>
          <w:i/>
          <w:spacing w:val="-2"/>
          <w:kern w:val="28"/>
        </w:rPr>
        <w:t>La investigación participativa: métodos y técnicas</w:t>
      </w:r>
      <w:r w:rsidRPr="00C74C94">
        <w:rPr>
          <w:rFonts w:cstheme="minorHAnsi"/>
          <w:spacing w:val="-2"/>
          <w:kern w:val="28"/>
        </w:rPr>
        <w:t xml:space="preserve">. Cuenca: PYDLOS ediciones, 2015. Acceso el 18 de diciembre de 2020. </w:t>
      </w:r>
      <w:hyperlink r:id="rId119" w:history="1">
        <w:r w:rsidRPr="00C74C94">
          <w:rPr>
            <w:rStyle w:val="Hipervnculo"/>
            <w:rFonts w:cstheme="minorHAnsi"/>
            <w:kern w:val="28"/>
          </w:rPr>
          <w:t>https://core.ac.uk/outputs/32326395</w:t>
        </w:r>
      </w:hyperlink>
      <w:r w:rsidRPr="00C74C94">
        <w:rPr>
          <w:rFonts w:cstheme="minorHAnsi"/>
          <w:spacing w:val="-2"/>
          <w:kern w:val="28"/>
        </w:rPr>
        <w:t xml:space="preserve"> </w:t>
      </w:r>
      <w:r>
        <w:rPr>
          <w:rFonts w:cstheme="minorHAnsi"/>
          <w:spacing w:val="-2"/>
          <w:kern w:val="28"/>
        </w:rPr>
        <w:t>(</w:t>
      </w:r>
      <w:r w:rsidRPr="00EB71AC">
        <w:rPr>
          <w:rFonts w:cstheme="minorHAnsi"/>
          <w:color w:val="0070C0"/>
          <w:spacing w:val="-2"/>
          <w:kern w:val="28"/>
        </w:rPr>
        <w:t>clásico</w:t>
      </w:r>
      <w:r>
        <w:rPr>
          <w:rFonts w:cstheme="minorHAnsi"/>
          <w:spacing w:val="-2"/>
          <w:kern w:val="28"/>
        </w:rPr>
        <w:t xml:space="preserve">, </w:t>
      </w:r>
      <w:r w:rsidRPr="00EB71AC">
        <w:rPr>
          <w:rFonts w:cstheme="minorHAnsi"/>
          <w:color w:val="0070C0"/>
          <w:spacing w:val="-2"/>
          <w:kern w:val="28"/>
        </w:rPr>
        <w:t>última edición</w:t>
      </w:r>
      <w:r>
        <w:rPr>
          <w:rFonts w:cstheme="minorHAnsi"/>
          <w:spacing w:val="-2"/>
          <w:kern w:val="28"/>
        </w:rPr>
        <w:t>)</w:t>
      </w:r>
    </w:p>
    <w:p w14:paraId="549BAF4D" w14:textId="77777777" w:rsidR="00E52BD9" w:rsidRPr="00C74C94" w:rsidRDefault="00E52BD9" w:rsidP="00E52BD9">
      <w:pPr>
        <w:ind w:left="709" w:hanging="709"/>
        <w:jc w:val="both"/>
        <w:rPr>
          <w:rFonts w:cstheme="minorHAnsi"/>
          <w:spacing w:val="-2"/>
          <w:kern w:val="28"/>
        </w:rPr>
      </w:pPr>
      <w:proofErr w:type="spellStart"/>
      <w:r w:rsidRPr="00C74C94">
        <w:rPr>
          <w:rFonts w:cstheme="minorHAnsi"/>
          <w:spacing w:val="-2"/>
          <w:kern w:val="28"/>
        </w:rPr>
        <w:t>Spedding</w:t>
      </w:r>
      <w:proofErr w:type="spellEnd"/>
      <w:r w:rsidRPr="00C74C94">
        <w:rPr>
          <w:rFonts w:cstheme="minorHAnsi"/>
          <w:spacing w:val="-2"/>
          <w:kern w:val="28"/>
        </w:rPr>
        <w:t xml:space="preserve">, Alison. “Metodologías cualitativas: ingreso al trabajo de campo y recolección de datos”. En </w:t>
      </w:r>
      <w:r w:rsidRPr="00C74C94">
        <w:rPr>
          <w:rFonts w:cstheme="minorHAnsi"/>
          <w:i/>
          <w:spacing w:val="-2"/>
          <w:kern w:val="28"/>
        </w:rPr>
        <w:t>Pautas metodológicas para investigaciones cualitativas y cuantitativas en ciencias sociales y humanas</w:t>
      </w:r>
      <w:r w:rsidRPr="00C74C94">
        <w:rPr>
          <w:rFonts w:cstheme="minorHAnsi"/>
          <w:spacing w:val="-2"/>
          <w:kern w:val="28"/>
        </w:rPr>
        <w:t xml:space="preserve">, coordinado por Mario </w:t>
      </w:r>
      <w:proofErr w:type="spellStart"/>
      <w:r w:rsidRPr="00C74C94">
        <w:rPr>
          <w:rFonts w:cstheme="minorHAnsi"/>
          <w:spacing w:val="-2"/>
          <w:kern w:val="28"/>
        </w:rPr>
        <w:t>Yapu</w:t>
      </w:r>
      <w:proofErr w:type="spellEnd"/>
      <w:r w:rsidRPr="00C74C94">
        <w:rPr>
          <w:rFonts w:cstheme="minorHAnsi"/>
          <w:spacing w:val="-2"/>
          <w:kern w:val="28"/>
        </w:rPr>
        <w:t xml:space="preserve">, 118-144. La Paz: Fundación PIEB, 2010. </w:t>
      </w:r>
      <w:r w:rsidRPr="00C74C94">
        <w:rPr>
          <w:rFonts w:eastAsia="MS Mincho" w:cstheme="minorHAnsi"/>
          <w:color w:val="000000"/>
        </w:rPr>
        <w:t>(</w:t>
      </w:r>
      <w:r w:rsidRPr="00EB71AC">
        <w:rPr>
          <w:rFonts w:eastAsia="MS Mincho" w:cstheme="minorHAnsi"/>
          <w:color w:val="0070C0"/>
        </w:rPr>
        <w:t>clásico</w:t>
      </w:r>
      <w:r>
        <w:rPr>
          <w:rFonts w:eastAsia="MS Mincho" w:cstheme="minorHAnsi"/>
          <w:color w:val="000000"/>
        </w:rPr>
        <w:t xml:space="preserve">, </w:t>
      </w:r>
      <w:r w:rsidRPr="00C74C94">
        <w:rPr>
          <w:rFonts w:eastAsia="MS Mincho" w:cstheme="minorHAnsi"/>
          <w:color w:val="000000"/>
        </w:rPr>
        <w:t>última edición)</w:t>
      </w:r>
    </w:p>
    <w:p w14:paraId="73A0F4A3" w14:textId="00D88811" w:rsidR="00E52BD9" w:rsidRDefault="00E52BD9" w:rsidP="00E52BD9">
      <w:pPr>
        <w:ind w:left="709" w:hanging="709"/>
        <w:jc w:val="both"/>
        <w:rPr>
          <w:rStyle w:val="Hipervnculo"/>
          <w:rFonts w:cstheme="minorHAnsi"/>
          <w:kern w:val="28"/>
        </w:rPr>
      </w:pPr>
      <w:r w:rsidRPr="00C74C94">
        <w:rPr>
          <w:rFonts w:cstheme="minorHAnsi"/>
          <w:spacing w:val="-2"/>
          <w:kern w:val="28"/>
        </w:rPr>
        <w:t xml:space="preserve">Vélez Caro, Olga Consuelo. “El quehacer teológico y el método de investigación acción participativa: Una reflexión metodológica”. </w:t>
      </w:r>
      <w:proofErr w:type="spellStart"/>
      <w:r w:rsidRPr="00C74C94">
        <w:rPr>
          <w:rFonts w:cstheme="minorHAnsi"/>
          <w:i/>
          <w:spacing w:val="-2"/>
          <w:kern w:val="28"/>
        </w:rPr>
        <w:t>Theologica</w:t>
      </w:r>
      <w:proofErr w:type="spellEnd"/>
      <w:r w:rsidRPr="00C74C94">
        <w:rPr>
          <w:rFonts w:cstheme="minorHAnsi"/>
          <w:i/>
          <w:spacing w:val="-2"/>
          <w:kern w:val="28"/>
        </w:rPr>
        <w:t xml:space="preserve"> </w:t>
      </w:r>
      <w:proofErr w:type="spellStart"/>
      <w:r w:rsidRPr="00C74C94">
        <w:rPr>
          <w:rFonts w:cstheme="minorHAnsi"/>
          <w:i/>
          <w:spacing w:val="-2"/>
          <w:kern w:val="28"/>
        </w:rPr>
        <w:t>Xaveriana</w:t>
      </w:r>
      <w:proofErr w:type="spellEnd"/>
      <w:r w:rsidRPr="00C74C94">
        <w:rPr>
          <w:rFonts w:cstheme="minorHAnsi"/>
          <w:spacing w:val="-2"/>
          <w:kern w:val="28"/>
        </w:rPr>
        <w:t xml:space="preserve"> 67, n. 183 (2017): 187-208. Acceso el 18 de diciembre de 2020. </w:t>
      </w:r>
      <w:hyperlink r:id="rId120" w:history="1">
        <w:r w:rsidRPr="00C74C94">
          <w:rPr>
            <w:rStyle w:val="Hipervnculo"/>
            <w:rFonts w:cstheme="minorHAnsi"/>
            <w:kern w:val="28"/>
          </w:rPr>
          <w:t>https://www.redalyc.org/articulo.oa?id=191051314008</w:t>
        </w:r>
      </w:hyperlink>
    </w:p>
    <w:p w14:paraId="0DE8AB8D" w14:textId="77777777" w:rsidR="00E52BD9" w:rsidRDefault="00E52BD9">
      <w:pPr>
        <w:rPr>
          <w:rStyle w:val="Hipervnculo"/>
          <w:rFonts w:cstheme="minorHAnsi"/>
          <w:kern w:val="28"/>
        </w:rPr>
      </w:pPr>
      <w:r>
        <w:rPr>
          <w:rStyle w:val="Hipervnculo"/>
          <w:rFonts w:cstheme="minorHAnsi"/>
          <w:kern w:val="28"/>
        </w:rPr>
        <w:br w:type="page"/>
      </w:r>
    </w:p>
    <w:p w14:paraId="79CE77D8" w14:textId="77777777" w:rsidR="00E52BD9" w:rsidRPr="00C74C94" w:rsidRDefault="00E52BD9" w:rsidP="00E52BD9">
      <w:pPr>
        <w:ind w:left="709" w:hanging="709"/>
        <w:jc w:val="both"/>
        <w:rPr>
          <w:rFonts w:cstheme="minorHAnsi"/>
          <w:bCs/>
          <w:color w:val="000000"/>
          <w:spacing w:val="-2"/>
          <w:kern w:val="28"/>
          <w:sz w:val="20"/>
        </w:rPr>
      </w:pPr>
    </w:p>
    <w:p w14:paraId="39E91F83" w14:textId="77777777" w:rsidR="00DE33C0" w:rsidRPr="00DE33C0" w:rsidRDefault="00DE33C0" w:rsidP="00DE33C0">
      <w:pPr>
        <w:widowControl w:val="0"/>
        <w:overflowPunct w:val="0"/>
        <w:autoSpaceDE w:val="0"/>
        <w:autoSpaceDN w:val="0"/>
        <w:adjustRightInd w:val="0"/>
        <w:spacing w:before="120" w:after="0" w:line="240" w:lineRule="auto"/>
        <w:jc w:val="center"/>
        <w:rPr>
          <w:rFonts w:ascii="Times New Roman" w:eastAsia="Times New Roman" w:hAnsi="Times New Roman" w:cs="Arial"/>
          <w:kern w:val="0"/>
          <w:sz w:val="24"/>
          <w:szCs w:val="24"/>
          <w:lang w:val="es-ES_tradnl" w:eastAsia="es-CR"/>
          <w14:ligatures w14:val="none"/>
        </w:rPr>
      </w:pPr>
      <w:r w:rsidRPr="00DE33C0">
        <w:rPr>
          <w:rFonts w:ascii="Arial" w:eastAsia="Times New Roman" w:hAnsi="Arial" w:cs="Arial"/>
          <w:noProof/>
          <w:kern w:val="0"/>
          <w:sz w:val="24"/>
          <w:szCs w:val="24"/>
          <w:lang w:eastAsia="es-CR"/>
          <w14:ligatures w14:val="none"/>
        </w:rPr>
        <w:drawing>
          <wp:inline distT="0" distB="0" distL="0" distR="0" wp14:anchorId="3A30D2F1" wp14:editId="7E192D61">
            <wp:extent cx="2009775" cy="1548377"/>
            <wp:effectExtent l="0" t="0" r="0" b="0"/>
            <wp:docPr id="19144683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3F6ABB48" w14:textId="77777777" w:rsidR="00DE33C0" w:rsidRPr="00DE33C0" w:rsidRDefault="00DE33C0" w:rsidP="00DE33C0">
      <w:pPr>
        <w:widowControl w:val="0"/>
        <w:overflowPunct w:val="0"/>
        <w:autoSpaceDE w:val="0"/>
        <w:autoSpaceDN w:val="0"/>
        <w:adjustRightInd w:val="0"/>
        <w:spacing w:before="120" w:after="0" w:line="240" w:lineRule="auto"/>
        <w:jc w:val="center"/>
        <w:rPr>
          <w:rFonts w:ascii="Times New Roman" w:eastAsia="Times New Roman" w:hAnsi="Times New Roman" w:cs="Arial"/>
          <w:kern w:val="0"/>
          <w:sz w:val="24"/>
          <w:szCs w:val="24"/>
          <w:lang w:val="es-ES_tradnl" w:eastAsia="es-CR"/>
          <w14:ligatures w14:val="none"/>
        </w:rPr>
      </w:pPr>
    </w:p>
    <w:p w14:paraId="7C9F9910" w14:textId="77777777" w:rsidR="00DE33C0" w:rsidRPr="00DE33C0" w:rsidRDefault="00DE33C0" w:rsidP="00DE33C0">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r w:rsidRPr="00DE33C0">
        <w:rPr>
          <w:rFonts w:ascii="Calibri" w:eastAsia="Times New Roman" w:hAnsi="Calibri" w:cs="Calibri"/>
          <w:b/>
          <w:spacing w:val="-2"/>
          <w:kern w:val="0"/>
          <w:sz w:val="24"/>
          <w:szCs w:val="24"/>
          <w:lang w:eastAsia="es-CR"/>
          <w14:ligatures w14:val="none"/>
        </w:rPr>
        <w:t>Universidad Bíblica Latinoamericana</w:t>
      </w:r>
    </w:p>
    <w:p w14:paraId="11BFE7D6" w14:textId="77777777" w:rsidR="00DE33C0" w:rsidRPr="00DE33C0" w:rsidRDefault="00DE33C0" w:rsidP="00DE33C0">
      <w:pPr>
        <w:keepNext/>
        <w:widowControl w:val="0"/>
        <w:overflowPunct w:val="0"/>
        <w:autoSpaceDE w:val="0"/>
        <w:autoSpaceDN w:val="0"/>
        <w:adjustRightInd w:val="0"/>
        <w:spacing w:after="0" w:line="240" w:lineRule="auto"/>
        <w:jc w:val="center"/>
        <w:outlineLvl w:val="1"/>
        <w:rPr>
          <w:rFonts w:ascii="Calibri" w:eastAsia="Times New Roman" w:hAnsi="Calibri" w:cs="Calibri"/>
          <w:b/>
          <w:i/>
          <w:spacing w:val="-2"/>
          <w:kern w:val="28"/>
          <w:sz w:val="24"/>
          <w:szCs w:val="24"/>
          <w:lang w:eastAsia="es-CR"/>
          <w14:ligatures w14:val="none"/>
        </w:rPr>
      </w:pPr>
      <w:r w:rsidRPr="00DE33C0">
        <w:rPr>
          <w:rFonts w:ascii="Calibri" w:eastAsia="Times New Roman" w:hAnsi="Calibri" w:cs="Calibri"/>
          <w:b/>
          <w:i/>
          <w:spacing w:val="-2"/>
          <w:kern w:val="28"/>
          <w:sz w:val="24"/>
          <w:szCs w:val="24"/>
          <w:lang w:eastAsia="es-CR"/>
          <w14:ligatures w14:val="none"/>
        </w:rPr>
        <w:t>Facultad de Teología</w:t>
      </w:r>
    </w:p>
    <w:p w14:paraId="0A2DBB50"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DE33C0">
        <w:rPr>
          <w:rFonts w:ascii="Calibri" w:eastAsia="Times New Roman" w:hAnsi="Calibri" w:cs="Arial"/>
          <w:b/>
          <w:bCs/>
          <w:kern w:val="0"/>
          <w:sz w:val="24"/>
          <w:szCs w:val="20"/>
          <w:lang w:val="es-ES_tradnl" w:eastAsia="es-CR"/>
          <w14:ligatures w14:val="none"/>
        </w:rPr>
        <w:t xml:space="preserve">Bachillerato en </w:t>
      </w:r>
      <w:r w:rsidRPr="00DE33C0">
        <w:rPr>
          <w:rFonts w:ascii="Calibri" w:eastAsia="Times New Roman" w:hAnsi="Calibri" w:cs="Calibri"/>
          <w:b/>
          <w:bCs/>
          <w:kern w:val="0"/>
          <w:sz w:val="24"/>
          <w:szCs w:val="24"/>
          <w:lang w:val="es-ES_tradnl" w:eastAsia="es-CR"/>
          <w14:ligatures w14:val="none"/>
        </w:rPr>
        <w:t xml:space="preserve">Ciencias </w:t>
      </w:r>
      <w:r w:rsidRPr="00DE33C0">
        <w:rPr>
          <w:rFonts w:ascii="Calibri" w:eastAsia="Times New Roman" w:hAnsi="Calibri" w:cs="Arial"/>
          <w:b/>
          <w:kern w:val="0"/>
          <w:sz w:val="24"/>
          <w:szCs w:val="24"/>
          <w:lang w:val="es-ES_tradnl" w:eastAsia="es-CR"/>
          <w14:ligatures w14:val="none"/>
        </w:rPr>
        <w:t>Bíblicas</w:t>
      </w:r>
    </w:p>
    <w:p w14:paraId="177792E1"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p>
    <w:p w14:paraId="614A78A9"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DE33C0">
        <w:rPr>
          <w:rFonts w:ascii="Calibri" w:eastAsia="Times New Roman" w:hAnsi="Calibri" w:cs="Calibri"/>
          <w:b/>
          <w:kern w:val="0"/>
          <w:sz w:val="24"/>
          <w:szCs w:val="24"/>
          <w:lang w:val="es-ES_tradnl" w:eastAsia="es-CR"/>
          <w14:ligatures w14:val="none"/>
        </w:rPr>
        <w:t>Sílabo</w:t>
      </w:r>
    </w:p>
    <w:p w14:paraId="0103CAB5" w14:textId="77777777" w:rsidR="00DE33C0" w:rsidRPr="00DE33C0" w:rsidRDefault="00DE33C0" w:rsidP="00DE33C0">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val="es-ES_tradnl" w:eastAsia="es-CR"/>
          <w14:ligatures w14:val="none"/>
        </w:rPr>
      </w:pPr>
      <w:bookmarkStart w:id="17" w:name="CBX107"/>
      <w:r w:rsidRPr="00DE33C0">
        <w:rPr>
          <w:rFonts w:ascii="Calibri" w:eastAsia="Times New Roman" w:hAnsi="Calibri" w:cs="Calibri"/>
          <w:b/>
          <w:spacing w:val="-2"/>
          <w:kern w:val="0"/>
          <w:sz w:val="24"/>
          <w:szCs w:val="24"/>
          <w:lang w:val="es-ES_tradnl" w:eastAsia="es-CR"/>
          <w14:ligatures w14:val="none"/>
        </w:rPr>
        <w:t>Antiguo Testamento I</w:t>
      </w:r>
    </w:p>
    <w:bookmarkEnd w:id="17"/>
    <w:p w14:paraId="09843708" w14:textId="77777777" w:rsidR="00DE33C0" w:rsidRPr="00DE33C0" w:rsidRDefault="00DE33C0" w:rsidP="00DE33C0">
      <w:pPr>
        <w:widowControl w:val="0"/>
        <w:overflowPunct w:val="0"/>
        <w:autoSpaceDE w:val="0"/>
        <w:autoSpaceDN w:val="0"/>
        <w:adjustRightInd w:val="0"/>
        <w:spacing w:before="120" w:after="0" w:line="240" w:lineRule="auto"/>
        <w:rPr>
          <w:rFonts w:ascii="Arial" w:eastAsia="Times New Roman" w:hAnsi="Arial" w:cs="Arial"/>
          <w:color w:val="C0504D"/>
          <w:kern w:val="0"/>
          <w:sz w:val="24"/>
          <w:szCs w:val="24"/>
          <w:lang w:val="es-ES_tradnl" w:eastAsia="es-CR"/>
          <w14:ligatures w14:val="none"/>
        </w:rPr>
      </w:pPr>
    </w:p>
    <w:p w14:paraId="303FE701" w14:textId="77777777" w:rsidR="00DE33C0" w:rsidRPr="00DE33C0" w:rsidRDefault="00DE33C0" w:rsidP="00DE33C0">
      <w:pPr>
        <w:widowControl w:val="0"/>
        <w:overflowPunct w:val="0"/>
        <w:autoSpaceDE w:val="0"/>
        <w:autoSpaceDN w:val="0"/>
        <w:adjustRightInd w:val="0"/>
        <w:spacing w:before="120" w:after="0" w:line="240" w:lineRule="auto"/>
        <w:rPr>
          <w:rFonts w:ascii="Arial" w:eastAsia="Times New Roman" w:hAnsi="Arial" w:cs="Arial"/>
          <w:kern w:val="0"/>
          <w:sz w:val="24"/>
          <w:szCs w:val="24"/>
          <w:lang w:val="es-ES_tradnl" w:eastAsia="es-CR"/>
          <w14:ligatures w14:val="none"/>
        </w:rPr>
      </w:pPr>
      <w:r w:rsidRPr="00DE33C0">
        <w:rPr>
          <w:rFonts w:ascii="Arial" w:eastAsia="Times New Roman" w:hAnsi="Arial" w:cs="Arial"/>
          <w:kern w:val="0"/>
          <w:sz w:val="24"/>
          <w:szCs w:val="24"/>
          <w:lang w:val="es-ES_tradnl" w:eastAsia="es-CR"/>
          <w14:ligatures w14:val="none"/>
        </w:rPr>
        <w:t xml:space="preserve"> </w:t>
      </w:r>
    </w:p>
    <w:tbl>
      <w:tblPr>
        <w:tblStyle w:val="TableGrid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7145"/>
      </w:tblGrid>
      <w:tr w:rsidR="00DE33C0" w:rsidRPr="00DE33C0" w14:paraId="21DB2FF1" w14:textId="77777777" w:rsidTr="00CE7124">
        <w:tc>
          <w:tcPr>
            <w:tcW w:w="1667" w:type="dxa"/>
          </w:tcPr>
          <w:p w14:paraId="1E8DE014" w14:textId="77777777" w:rsidR="00DE33C0" w:rsidRPr="00DE33C0" w:rsidRDefault="00DE33C0" w:rsidP="00DE33C0">
            <w:pPr>
              <w:widowControl w:val="0"/>
              <w:overflowPunct w:val="0"/>
              <w:autoSpaceDE w:val="0"/>
              <w:autoSpaceDN w:val="0"/>
              <w:adjustRightInd w:val="0"/>
              <w:rPr>
                <w:rFonts w:eastAsia="Times New Roman" w:cs="Calibri"/>
                <w:b/>
                <w:color w:val="000000"/>
                <w:lang w:eastAsia="es-CR"/>
              </w:rPr>
            </w:pPr>
            <w:r w:rsidRPr="00DE33C0">
              <w:rPr>
                <w:rFonts w:eastAsia="Times New Roman" w:cs="Calibri"/>
                <w:b/>
                <w:color w:val="000000"/>
                <w:lang w:eastAsia="es-CR"/>
              </w:rPr>
              <w:t>Código</w:t>
            </w:r>
          </w:p>
        </w:tc>
        <w:tc>
          <w:tcPr>
            <w:tcW w:w="7161" w:type="dxa"/>
          </w:tcPr>
          <w:p w14:paraId="43DA1EC4" w14:textId="77777777" w:rsidR="00DE33C0" w:rsidRPr="00DE33C0" w:rsidRDefault="00DE33C0" w:rsidP="00DE33C0">
            <w:pPr>
              <w:widowControl w:val="0"/>
              <w:overflowPunct w:val="0"/>
              <w:autoSpaceDE w:val="0"/>
              <w:autoSpaceDN w:val="0"/>
              <w:adjustRightInd w:val="0"/>
              <w:rPr>
                <w:rFonts w:eastAsia="Times New Roman" w:cs="Calibri"/>
                <w:color w:val="000000"/>
                <w:lang w:eastAsia="es-CR"/>
              </w:rPr>
            </w:pPr>
            <w:r w:rsidRPr="00DE33C0">
              <w:rPr>
                <w:rFonts w:eastAsia="Times New Roman" w:cs="Calibri"/>
                <w:color w:val="000000"/>
                <w:lang w:eastAsia="es-CR"/>
              </w:rPr>
              <w:t>CBX 107</w:t>
            </w:r>
          </w:p>
        </w:tc>
      </w:tr>
      <w:tr w:rsidR="00DE33C0" w:rsidRPr="00DE33C0" w14:paraId="28A24990" w14:textId="77777777" w:rsidTr="00CE7124">
        <w:tc>
          <w:tcPr>
            <w:tcW w:w="1667" w:type="dxa"/>
          </w:tcPr>
          <w:p w14:paraId="70CAED8A" w14:textId="77777777" w:rsidR="00DE33C0" w:rsidRPr="00DE33C0" w:rsidRDefault="00DE33C0" w:rsidP="00DE33C0">
            <w:pPr>
              <w:widowControl w:val="0"/>
              <w:overflowPunct w:val="0"/>
              <w:autoSpaceDE w:val="0"/>
              <w:autoSpaceDN w:val="0"/>
              <w:adjustRightInd w:val="0"/>
              <w:rPr>
                <w:rFonts w:eastAsia="Times New Roman" w:cs="Calibri"/>
                <w:b/>
                <w:color w:val="000000"/>
                <w:lang w:eastAsia="es-CR"/>
              </w:rPr>
            </w:pPr>
            <w:r w:rsidRPr="00DE33C0">
              <w:rPr>
                <w:rFonts w:eastAsia="Times New Roman" w:cs="Calibri"/>
                <w:b/>
                <w:color w:val="000000"/>
                <w:lang w:eastAsia="es-CR"/>
              </w:rPr>
              <w:t>Créditos</w:t>
            </w:r>
          </w:p>
        </w:tc>
        <w:tc>
          <w:tcPr>
            <w:tcW w:w="7161" w:type="dxa"/>
          </w:tcPr>
          <w:p w14:paraId="3407C1CB" w14:textId="77777777" w:rsidR="00DE33C0" w:rsidRPr="00DE33C0" w:rsidRDefault="00DE33C0" w:rsidP="00DE33C0">
            <w:pPr>
              <w:widowControl w:val="0"/>
              <w:overflowPunct w:val="0"/>
              <w:autoSpaceDE w:val="0"/>
              <w:autoSpaceDN w:val="0"/>
              <w:adjustRightInd w:val="0"/>
              <w:rPr>
                <w:rFonts w:eastAsia="Times New Roman" w:cs="Calibri"/>
                <w:color w:val="000000"/>
                <w:lang w:eastAsia="es-CR"/>
              </w:rPr>
            </w:pPr>
            <w:r w:rsidRPr="00DE33C0">
              <w:rPr>
                <w:rFonts w:eastAsia="Times New Roman" w:cs="Calibri"/>
                <w:color w:val="000000"/>
                <w:lang w:eastAsia="es-CR"/>
              </w:rPr>
              <w:t>4</w:t>
            </w:r>
          </w:p>
        </w:tc>
      </w:tr>
      <w:tr w:rsidR="00DE33C0" w:rsidRPr="00DE33C0" w14:paraId="7A6FB4E1" w14:textId="77777777" w:rsidTr="00CE7124">
        <w:tc>
          <w:tcPr>
            <w:tcW w:w="1667" w:type="dxa"/>
          </w:tcPr>
          <w:p w14:paraId="74ECD15B" w14:textId="77777777" w:rsidR="00DE33C0" w:rsidRPr="00DE33C0" w:rsidRDefault="00DE33C0" w:rsidP="00DE33C0">
            <w:pPr>
              <w:widowControl w:val="0"/>
              <w:overflowPunct w:val="0"/>
              <w:autoSpaceDE w:val="0"/>
              <w:autoSpaceDN w:val="0"/>
              <w:adjustRightInd w:val="0"/>
              <w:rPr>
                <w:rFonts w:eastAsia="Times New Roman" w:cs="Calibri"/>
                <w:b/>
                <w:color w:val="000000"/>
                <w:lang w:eastAsia="es-CR"/>
              </w:rPr>
            </w:pPr>
            <w:r w:rsidRPr="00DE33C0">
              <w:rPr>
                <w:rFonts w:eastAsia="Times New Roman" w:cs="Calibri"/>
                <w:b/>
                <w:color w:val="000000"/>
                <w:lang w:eastAsia="es-CR"/>
              </w:rPr>
              <w:t>Requisitos</w:t>
            </w:r>
          </w:p>
        </w:tc>
        <w:tc>
          <w:tcPr>
            <w:tcW w:w="7161" w:type="dxa"/>
          </w:tcPr>
          <w:p w14:paraId="3C288B2B" w14:textId="77777777" w:rsidR="00DE33C0" w:rsidRPr="00DE33C0" w:rsidRDefault="00DE33C0" w:rsidP="00DE33C0">
            <w:pPr>
              <w:widowControl w:val="0"/>
              <w:overflowPunct w:val="0"/>
              <w:autoSpaceDE w:val="0"/>
              <w:autoSpaceDN w:val="0"/>
              <w:adjustRightInd w:val="0"/>
              <w:rPr>
                <w:rFonts w:eastAsia="Times New Roman" w:cs="Calibri"/>
                <w:color w:val="000000"/>
                <w:lang w:eastAsia="es-CR"/>
              </w:rPr>
            </w:pPr>
            <w:r w:rsidRPr="00DE33C0">
              <w:rPr>
                <w:rFonts w:eastAsia="Times New Roman" w:cs="Calibri"/>
                <w:color w:val="000000"/>
                <w:lang w:eastAsia="es-CR"/>
              </w:rPr>
              <w:t>CBX 104</w:t>
            </w:r>
          </w:p>
        </w:tc>
      </w:tr>
      <w:tr w:rsidR="00DE33C0" w:rsidRPr="00DE33C0" w14:paraId="41F5E540" w14:textId="77777777" w:rsidTr="00CE7124">
        <w:tc>
          <w:tcPr>
            <w:tcW w:w="1667" w:type="dxa"/>
          </w:tcPr>
          <w:p w14:paraId="2A7B07C9" w14:textId="77777777" w:rsidR="00DE33C0" w:rsidRPr="00DE33C0" w:rsidRDefault="00DE33C0" w:rsidP="00DE33C0">
            <w:pPr>
              <w:widowControl w:val="0"/>
              <w:overflowPunct w:val="0"/>
              <w:autoSpaceDE w:val="0"/>
              <w:autoSpaceDN w:val="0"/>
              <w:adjustRightInd w:val="0"/>
              <w:rPr>
                <w:rFonts w:eastAsia="Times New Roman" w:cs="Calibri"/>
                <w:b/>
                <w:color w:val="000000"/>
                <w:lang w:eastAsia="es-CR"/>
              </w:rPr>
            </w:pPr>
            <w:r w:rsidRPr="00DE33C0">
              <w:rPr>
                <w:rFonts w:eastAsia="Times New Roman" w:cs="Calibri"/>
                <w:b/>
                <w:color w:val="000000"/>
                <w:lang w:eastAsia="es-CR"/>
              </w:rPr>
              <w:t>Modalidad</w:t>
            </w:r>
          </w:p>
        </w:tc>
        <w:tc>
          <w:tcPr>
            <w:tcW w:w="7161" w:type="dxa"/>
          </w:tcPr>
          <w:p w14:paraId="4CE68129" w14:textId="77777777" w:rsidR="00DE33C0" w:rsidRPr="00DE33C0" w:rsidRDefault="00DE33C0" w:rsidP="00DE33C0">
            <w:pPr>
              <w:widowControl w:val="0"/>
              <w:overflowPunct w:val="0"/>
              <w:autoSpaceDE w:val="0"/>
              <w:autoSpaceDN w:val="0"/>
              <w:adjustRightInd w:val="0"/>
              <w:rPr>
                <w:rFonts w:eastAsia="Times New Roman" w:cs="Calibri"/>
                <w:color w:val="000000"/>
                <w:lang w:eastAsia="es-CR"/>
              </w:rPr>
            </w:pPr>
            <w:r w:rsidRPr="00DE33C0">
              <w:rPr>
                <w:rFonts w:eastAsia="Times New Roman" w:cs="Calibri"/>
                <w:color w:val="000000"/>
                <w:lang w:eastAsia="es-CR"/>
              </w:rPr>
              <w:t>Virtual</w:t>
            </w:r>
          </w:p>
        </w:tc>
      </w:tr>
      <w:tr w:rsidR="00DE33C0" w:rsidRPr="00DE33C0" w14:paraId="42753006" w14:textId="77777777" w:rsidTr="00CE7124">
        <w:tc>
          <w:tcPr>
            <w:tcW w:w="1667" w:type="dxa"/>
          </w:tcPr>
          <w:p w14:paraId="11689C8C" w14:textId="77777777" w:rsidR="00DE33C0" w:rsidRPr="00DE33C0" w:rsidRDefault="00DE33C0" w:rsidP="00DE33C0">
            <w:pPr>
              <w:widowControl w:val="0"/>
              <w:overflowPunct w:val="0"/>
              <w:autoSpaceDE w:val="0"/>
              <w:autoSpaceDN w:val="0"/>
              <w:adjustRightInd w:val="0"/>
              <w:rPr>
                <w:rFonts w:eastAsia="Times New Roman" w:cs="Calibri"/>
                <w:b/>
                <w:color w:val="000000"/>
                <w:lang w:eastAsia="es-CR"/>
              </w:rPr>
            </w:pPr>
            <w:r w:rsidRPr="00DE33C0">
              <w:rPr>
                <w:rFonts w:eastAsia="Times New Roman" w:cs="Calibri"/>
                <w:b/>
                <w:color w:val="000000"/>
                <w:lang w:eastAsia="es-CR"/>
              </w:rPr>
              <w:t>Naturaleza</w:t>
            </w:r>
          </w:p>
        </w:tc>
        <w:tc>
          <w:tcPr>
            <w:tcW w:w="7161" w:type="dxa"/>
          </w:tcPr>
          <w:p w14:paraId="754A6798" w14:textId="77777777" w:rsidR="00DE33C0" w:rsidRPr="00DE33C0" w:rsidRDefault="00DE33C0" w:rsidP="00DE33C0">
            <w:pPr>
              <w:widowControl w:val="0"/>
              <w:overflowPunct w:val="0"/>
              <w:autoSpaceDE w:val="0"/>
              <w:autoSpaceDN w:val="0"/>
              <w:adjustRightInd w:val="0"/>
              <w:rPr>
                <w:rFonts w:eastAsia="Times New Roman" w:cs="Calibri"/>
                <w:color w:val="000000"/>
                <w:lang w:eastAsia="es-CR"/>
              </w:rPr>
            </w:pPr>
            <w:r w:rsidRPr="00DE33C0">
              <w:rPr>
                <w:rFonts w:eastAsia="Times New Roman" w:cs="Calibri"/>
                <w:color w:val="000000"/>
                <w:lang w:eastAsia="es-CR"/>
              </w:rPr>
              <w:t>Teórico</w:t>
            </w:r>
          </w:p>
        </w:tc>
      </w:tr>
      <w:tr w:rsidR="00DE33C0" w:rsidRPr="00DE33C0" w14:paraId="559BFB1C" w14:textId="77777777" w:rsidTr="00CE7124">
        <w:tc>
          <w:tcPr>
            <w:tcW w:w="1667" w:type="dxa"/>
          </w:tcPr>
          <w:p w14:paraId="24C02F1F" w14:textId="77777777" w:rsidR="00DE33C0" w:rsidRPr="00DE33C0" w:rsidRDefault="00DE33C0" w:rsidP="00DE33C0">
            <w:pPr>
              <w:widowControl w:val="0"/>
              <w:overflowPunct w:val="0"/>
              <w:autoSpaceDE w:val="0"/>
              <w:autoSpaceDN w:val="0"/>
              <w:adjustRightInd w:val="0"/>
              <w:rPr>
                <w:rFonts w:eastAsia="Times New Roman" w:cs="Calibri"/>
                <w:b/>
                <w:color w:val="000000"/>
                <w:lang w:eastAsia="es-CR"/>
              </w:rPr>
            </w:pPr>
            <w:r w:rsidRPr="00DE33C0">
              <w:rPr>
                <w:rFonts w:eastAsia="Times New Roman" w:cs="Calibri"/>
                <w:b/>
                <w:color w:val="000000"/>
                <w:lang w:eastAsia="es-CR"/>
              </w:rPr>
              <w:t>Periodo</w:t>
            </w:r>
          </w:p>
        </w:tc>
        <w:tc>
          <w:tcPr>
            <w:tcW w:w="7161" w:type="dxa"/>
          </w:tcPr>
          <w:p w14:paraId="7BDC8309" w14:textId="77777777" w:rsidR="00DE33C0" w:rsidRPr="00DE33C0" w:rsidRDefault="00DE33C0" w:rsidP="00DE33C0">
            <w:pPr>
              <w:widowControl w:val="0"/>
              <w:overflowPunct w:val="0"/>
              <w:autoSpaceDE w:val="0"/>
              <w:autoSpaceDN w:val="0"/>
              <w:adjustRightInd w:val="0"/>
              <w:rPr>
                <w:rFonts w:eastAsia="Times New Roman" w:cs="Calibri"/>
                <w:color w:val="000000"/>
                <w:lang w:eastAsia="es-CR"/>
              </w:rPr>
            </w:pPr>
            <w:r w:rsidRPr="00DE33C0">
              <w:rPr>
                <w:rFonts w:eastAsia="Times New Roman" w:cs="Calibri"/>
                <w:color w:val="000000"/>
                <w:lang w:eastAsia="es-CR"/>
              </w:rPr>
              <w:t>Cuatrimestral (15 semanas lectivas)</w:t>
            </w:r>
          </w:p>
        </w:tc>
      </w:tr>
      <w:tr w:rsidR="00DE33C0" w:rsidRPr="00DE33C0" w14:paraId="786D5CA5" w14:textId="77777777" w:rsidTr="00CE7124">
        <w:tc>
          <w:tcPr>
            <w:tcW w:w="1667" w:type="dxa"/>
          </w:tcPr>
          <w:p w14:paraId="5BFD5157" w14:textId="77777777" w:rsidR="00DE33C0" w:rsidRPr="00DE33C0" w:rsidRDefault="00DE33C0" w:rsidP="00DE33C0">
            <w:pPr>
              <w:widowControl w:val="0"/>
              <w:overflowPunct w:val="0"/>
              <w:autoSpaceDE w:val="0"/>
              <w:autoSpaceDN w:val="0"/>
              <w:adjustRightInd w:val="0"/>
              <w:rPr>
                <w:rFonts w:eastAsia="Times New Roman" w:cs="Calibri"/>
                <w:b/>
                <w:color w:val="000000"/>
                <w:lang w:eastAsia="es-CR"/>
              </w:rPr>
            </w:pPr>
            <w:r w:rsidRPr="00DE33C0">
              <w:rPr>
                <w:rFonts w:eastAsia="Times New Roman" w:cs="Calibri"/>
                <w:b/>
                <w:color w:val="000000"/>
                <w:lang w:eastAsia="es-CR"/>
              </w:rPr>
              <w:t>Nivel</w:t>
            </w:r>
          </w:p>
        </w:tc>
        <w:tc>
          <w:tcPr>
            <w:tcW w:w="7161" w:type="dxa"/>
          </w:tcPr>
          <w:p w14:paraId="20264D3A" w14:textId="77777777" w:rsidR="00DE33C0" w:rsidRPr="00DE33C0" w:rsidRDefault="00DE33C0" w:rsidP="00DE33C0">
            <w:pPr>
              <w:widowControl w:val="0"/>
              <w:overflowPunct w:val="0"/>
              <w:autoSpaceDE w:val="0"/>
              <w:autoSpaceDN w:val="0"/>
              <w:adjustRightInd w:val="0"/>
              <w:rPr>
                <w:rFonts w:eastAsia="Times New Roman" w:cs="Calibri"/>
                <w:color w:val="000000"/>
                <w:lang w:eastAsia="es-CR"/>
              </w:rPr>
            </w:pPr>
            <w:r w:rsidRPr="00DE33C0">
              <w:rPr>
                <w:rFonts w:eastAsia="Times New Roman" w:cs="Calibri"/>
                <w:color w:val="000000"/>
                <w:lang w:eastAsia="es-CR"/>
              </w:rPr>
              <w:t>II Cuatrimestre</w:t>
            </w:r>
          </w:p>
        </w:tc>
      </w:tr>
      <w:tr w:rsidR="00DE33C0" w:rsidRPr="00DE33C0" w14:paraId="243B6CA5" w14:textId="77777777" w:rsidTr="00CE7124">
        <w:tc>
          <w:tcPr>
            <w:tcW w:w="1667" w:type="dxa"/>
          </w:tcPr>
          <w:p w14:paraId="16881716" w14:textId="77777777" w:rsidR="00DE33C0" w:rsidRPr="00DE33C0" w:rsidRDefault="00DE33C0" w:rsidP="00DE33C0">
            <w:pPr>
              <w:widowControl w:val="0"/>
              <w:overflowPunct w:val="0"/>
              <w:autoSpaceDE w:val="0"/>
              <w:autoSpaceDN w:val="0"/>
              <w:adjustRightInd w:val="0"/>
              <w:rPr>
                <w:rFonts w:eastAsia="Times New Roman" w:cs="Calibri"/>
                <w:b/>
                <w:color w:val="000000"/>
                <w:lang w:eastAsia="es-CR"/>
              </w:rPr>
            </w:pPr>
            <w:r w:rsidRPr="00DE33C0">
              <w:rPr>
                <w:rFonts w:eastAsia="Times New Roman" w:cs="Calibri"/>
                <w:b/>
                <w:color w:val="000000"/>
                <w:lang w:eastAsia="es-CR"/>
              </w:rPr>
              <w:t>Horario</w:t>
            </w:r>
          </w:p>
        </w:tc>
        <w:tc>
          <w:tcPr>
            <w:tcW w:w="7161" w:type="dxa"/>
          </w:tcPr>
          <w:p w14:paraId="7DEA6541" w14:textId="77777777" w:rsidR="00DE33C0" w:rsidRPr="00DE33C0" w:rsidRDefault="00DE33C0" w:rsidP="00DE33C0">
            <w:pPr>
              <w:widowControl w:val="0"/>
              <w:overflowPunct w:val="0"/>
              <w:autoSpaceDE w:val="0"/>
              <w:autoSpaceDN w:val="0"/>
              <w:adjustRightInd w:val="0"/>
              <w:rPr>
                <w:rFonts w:eastAsia="Times New Roman" w:cs="Calibri"/>
                <w:color w:val="000000"/>
                <w:lang w:eastAsia="es-CR"/>
              </w:rPr>
            </w:pPr>
            <w:r w:rsidRPr="00DE33C0">
              <w:rPr>
                <w:rFonts w:eastAsia="Times New Roman" w:cs="Calibri"/>
                <w:color w:val="000000"/>
                <w:lang w:eastAsia="es-CR"/>
              </w:rPr>
              <w:t>El curso requiere de 12 horas de trabajo semanal</w:t>
            </w:r>
          </w:p>
        </w:tc>
      </w:tr>
      <w:tr w:rsidR="00DE33C0" w:rsidRPr="00DE33C0" w14:paraId="19146B96" w14:textId="77777777" w:rsidTr="00CE7124">
        <w:tc>
          <w:tcPr>
            <w:tcW w:w="1667" w:type="dxa"/>
          </w:tcPr>
          <w:p w14:paraId="16C3BD80" w14:textId="77777777" w:rsidR="00DE33C0" w:rsidRPr="00DE33C0" w:rsidRDefault="00DE33C0" w:rsidP="00DE33C0">
            <w:pPr>
              <w:widowControl w:val="0"/>
              <w:overflowPunct w:val="0"/>
              <w:autoSpaceDE w:val="0"/>
              <w:autoSpaceDN w:val="0"/>
              <w:adjustRightInd w:val="0"/>
              <w:rPr>
                <w:rFonts w:eastAsia="Times New Roman" w:cs="Calibri"/>
                <w:b/>
                <w:color w:val="000000"/>
                <w:lang w:eastAsia="es-CR"/>
              </w:rPr>
            </w:pPr>
            <w:r w:rsidRPr="00DE33C0">
              <w:rPr>
                <w:rFonts w:eastAsia="Times New Roman" w:cs="Calibri"/>
                <w:b/>
                <w:color w:val="000000"/>
                <w:lang w:eastAsia="es-CR"/>
              </w:rPr>
              <w:t>Aula</w:t>
            </w:r>
          </w:p>
        </w:tc>
        <w:tc>
          <w:tcPr>
            <w:tcW w:w="7161" w:type="dxa"/>
          </w:tcPr>
          <w:p w14:paraId="6E499CE2" w14:textId="77777777" w:rsidR="00DE33C0" w:rsidRPr="00DE33C0" w:rsidRDefault="00DE33C0" w:rsidP="00DE33C0">
            <w:pPr>
              <w:widowControl w:val="0"/>
              <w:overflowPunct w:val="0"/>
              <w:autoSpaceDE w:val="0"/>
              <w:autoSpaceDN w:val="0"/>
              <w:adjustRightInd w:val="0"/>
              <w:rPr>
                <w:rFonts w:eastAsia="Times New Roman" w:cs="Calibri"/>
                <w:color w:val="000000"/>
                <w:lang w:eastAsia="es-CR"/>
              </w:rPr>
            </w:pPr>
            <w:r w:rsidRPr="00DE33C0">
              <w:rPr>
                <w:rFonts w:eastAsia="Times New Roman" w:cs="Calibri"/>
                <w:color w:val="000000"/>
                <w:lang w:eastAsia="es-CR"/>
              </w:rPr>
              <w:t>Plataforma virtual de la UBL</w:t>
            </w:r>
          </w:p>
        </w:tc>
      </w:tr>
      <w:tr w:rsidR="00DE33C0" w:rsidRPr="00DE33C0" w14:paraId="2BF8D5E2" w14:textId="77777777" w:rsidTr="00CE7124">
        <w:tc>
          <w:tcPr>
            <w:tcW w:w="1667" w:type="dxa"/>
          </w:tcPr>
          <w:p w14:paraId="3F70191B" w14:textId="77777777" w:rsidR="00DE33C0" w:rsidRPr="00DE33C0" w:rsidRDefault="00DE33C0" w:rsidP="00DE33C0">
            <w:pPr>
              <w:widowControl w:val="0"/>
              <w:overflowPunct w:val="0"/>
              <w:autoSpaceDE w:val="0"/>
              <w:autoSpaceDN w:val="0"/>
              <w:adjustRightInd w:val="0"/>
              <w:rPr>
                <w:rFonts w:eastAsia="Times New Roman" w:cs="Calibri"/>
                <w:b/>
                <w:color w:val="000000"/>
                <w:lang w:val="es-ES_tradnl" w:eastAsia="es-CR"/>
              </w:rPr>
            </w:pPr>
            <w:r w:rsidRPr="00DE33C0">
              <w:rPr>
                <w:rFonts w:eastAsia="Times New Roman" w:cs="Calibri"/>
                <w:b/>
                <w:color w:val="000000"/>
                <w:lang w:val="es-ES_tradnl" w:eastAsia="es-CR"/>
              </w:rPr>
              <w:t>Docente</w:t>
            </w:r>
          </w:p>
        </w:tc>
        <w:tc>
          <w:tcPr>
            <w:tcW w:w="7161" w:type="dxa"/>
          </w:tcPr>
          <w:p w14:paraId="4A8002D1" w14:textId="77777777" w:rsidR="00DE33C0" w:rsidRPr="00DE33C0" w:rsidRDefault="00DE33C0" w:rsidP="00DE33C0">
            <w:pPr>
              <w:widowControl w:val="0"/>
              <w:overflowPunct w:val="0"/>
              <w:autoSpaceDE w:val="0"/>
              <w:autoSpaceDN w:val="0"/>
              <w:adjustRightInd w:val="0"/>
              <w:rPr>
                <w:rFonts w:eastAsia="Times New Roman" w:cs="Calibri"/>
                <w:color w:val="000000"/>
                <w:lang w:eastAsia="es-CR"/>
              </w:rPr>
            </w:pPr>
          </w:p>
        </w:tc>
      </w:tr>
      <w:tr w:rsidR="00DE33C0" w:rsidRPr="00DE33C0" w14:paraId="2847657D" w14:textId="77777777" w:rsidTr="00CE7124">
        <w:tc>
          <w:tcPr>
            <w:tcW w:w="1667" w:type="dxa"/>
            <w:vAlign w:val="center"/>
          </w:tcPr>
          <w:p w14:paraId="0431FD4C" w14:textId="77777777" w:rsidR="00DE33C0" w:rsidRPr="00DE33C0" w:rsidRDefault="00DE33C0" w:rsidP="00DE33C0">
            <w:pPr>
              <w:widowControl w:val="0"/>
              <w:overflowPunct w:val="0"/>
              <w:autoSpaceDE w:val="0"/>
              <w:autoSpaceDN w:val="0"/>
              <w:adjustRightInd w:val="0"/>
              <w:rPr>
                <w:rFonts w:eastAsia="Times New Roman" w:cs="Calibri"/>
                <w:color w:val="000000"/>
                <w:lang w:eastAsia="es-CR"/>
              </w:rPr>
            </w:pPr>
            <w:r w:rsidRPr="00DE33C0">
              <w:rPr>
                <w:rFonts w:eastAsia="Times New Roman" w:cs="Calibri"/>
                <w:b/>
                <w:color w:val="000000"/>
                <w:lang w:eastAsia="es-CR"/>
              </w:rPr>
              <w:t>Instrucciones administrativas</w:t>
            </w:r>
          </w:p>
        </w:tc>
        <w:tc>
          <w:tcPr>
            <w:tcW w:w="7161" w:type="dxa"/>
          </w:tcPr>
          <w:p w14:paraId="0CCEF6F3" w14:textId="77777777" w:rsidR="00DE33C0" w:rsidRPr="00DE33C0" w:rsidRDefault="00DE33C0" w:rsidP="00DE33C0">
            <w:pPr>
              <w:widowControl w:val="0"/>
              <w:overflowPunct w:val="0"/>
              <w:autoSpaceDE w:val="0"/>
              <w:autoSpaceDN w:val="0"/>
              <w:adjustRightInd w:val="0"/>
              <w:jc w:val="both"/>
              <w:rPr>
                <w:rFonts w:eastAsia="Times New Roman" w:cs="Calibri"/>
                <w:lang w:eastAsia="es-CR"/>
              </w:rPr>
            </w:pPr>
            <w:r w:rsidRPr="00DE33C0">
              <w:rPr>
                <w:rFonts w:eastAsia="Times New Roman" w:cs="Calibri"/>
                <w:color w:val="000000"/>
                <w:lang w:eastAsia="es-CR"/>
              </w:rPr>
              <w:t>El curso es virtual, por lo que se requiere de acceso a una computadora con conexión a Internet, además de destrezas básicas para el manejo de correo electrónico y la plataforma Moodle desde el rol de estudiante.</w:t>
            </w:r>
            <w:r w:rsidRPr="00DE33C0">
              <w:rPr>
                <w:rFonts w:eastAsia="Times New Roman" w:cs="Calibri"/>
                <w:lang w:eastAsia="es-CR"/>
              </w:rPr>
              <w:t xml:space="preserve"> La dirección de acceso a la plataforma es la siguiente:</w:t>
            </w:r>
          </w:p>
          <w:p w14:paraId="7AE46D70" w14:textId="77777777" w:rsidR="00DE33C0" w:rsidRPr="00DE33C0" w:rsidRDefault="00DD16F2" w:rsidP="00DE33C0">
            <w:pPr>
              <w:widowControl w:val="0"/>
              <w:overflowPunct w:val="0"/>
              <w:autoSpaceDE w:val="0"/>
              <w:autoSpaceDN w:val="0"/>
              <w:adjustRightInd w:val="0"/>
              <w:jc w:val="both"/>
              <w:rPr>
                <w:rFonts w:eastAsia="Times New Roman" w:cs="Calibri"/>
                <w:color w:val="000000"/>
                <w:lang w:eastAsia="es-CR"/>
              </w:rPr>
            </w:pPr>
            <w:hyperlink r:id="rId121" w:history="1">
              <w:r w:rsidR="00DE33C0" w:rsidRPr="00DE33C0">
                <w:rPr>
                  <w:rFonts w:eastAsia="Times New Roman" w:cs="Calibri"/>
                  <w:color w:val="0563C1"/>
                  <w:u w:val="single"/>
                  <w:lang w:eastAsia="es-CR"/>
                </w:rPr>
                <w:t>https://campus.ubl.ac.cr/login/index.php</w:t>
              </w:r>
            </w:hyperlink>
            <w:r w:rsidR="00DE33C0" w:rsidRPr="00DE33C0">
              <w:rPr>
                <w:rFonts w:eastAsia="Times New Roman" w:cs="Calibri"/>
                <w:color w:val="000000"/>
                <w:lang w:eastAsia="es-CR"/>
              </w:rPr>
              <w:t xml:space="preserve"> </w:t>
            </w:r>
          </w:p>
        </w:tc>
      </w:tr>
    </w:tbl>
    <w:p w14:paraId="560D335E" w14:textId="77777777" w:rsidR="00DE33C0" w:rsidRPr="00DE33C0" w:rsidRDefault="00DE33C0" w:rsidP="00DE33C0">
      <w:pPr>
        <w:widowControl w:val="0"/>
        <w:overflowPunct w:val="0"/>
        <w:autoSpaceDE w:val="0"/>
        <w:autoSpaceDN w:val="0"/>
        <w:adjustRightInd w:val="0"/>
        <w:spacing w:after="0" w:line="240" w:lineRule="auto"/>
        <w:rPr>
          <w:rFonts w:ascii="Arial" w:eastAsia="Arial" w:hAnsi="Arial" w:cs="Arial"/>
          <w:b/>
          <w:color w:val="000000"/>
          <w:kern w:val="0"/>
          <w:sz w:val="24"/>
          <w:szCs w:val="20"/>
          <w:lang w:val="es-ES_tradnl" w:eastAsia="es-CR"/>
          <w14:ligatures w14:val="none"/>
        </w:rPr>
      </w:pPr>
    </w:p>
    <w:p w14:paraId="53787783"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I. Descripción</w:t>
      </w:r>
    </w:p>
    <w:p w14:paraId="4F8DB8AD" w14:textId="77777777" w:rsidR="00DE33C0" w:rsidRPr="00DE33C0" w:rsidRDefault="00DE33C0" w:rsidP="00DE33C0">
      <w:pPr>
        <w:widowControl w:val="0"/>
        <w:tabs>
          <w:tab w:val="left" w:pos="280"/>
        </w:tabs>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E33C0">
        <w:rPr>
          <w:rFonts w:ascii="Calibri" w:eastAsia="Times New Roman" w:hAnsi="Calibri" w:cs="Arial"/>
          <w:color w:val="000000"/>
          <w:kern w:val="0"/>
          <w:lang w:val="es-ES" w:eastAsia="es-CR"/>
          <w14:ligatures w14:val="none"/>
        </w:rPr>
        <w:t xml:space="preserve">El curso introduce al estudiante a las problemáticas histórico-literarias y teológicas de los escritos históricos de la Biblia Hebrea, incluyendo entre ellos el Pentateuco, la historia </w:t>
      </w:r>
      <w:proofErr w:type="spellStart"/>
      <w:r w:rsidRPr="00DE33C0">
        <w:rPr>
          <w:rFonts w:ascii="Calibri" w:eastAsia="Times New Roman" w:hAnsi="Calibri" w:cs="Arial"/>
          <w:color w:val="000000"/>
          <w:kern w:val="0"/>
          <w:lang w:val="es-ES" w:eastAsia="es-CR"/>
          <w14:ligatures w14:val="none"/>
        </w:rPr>
        <w:t>deuteronomística</w:t>
      </w:r>
      <w:proofErr w:type="spellEnd"/>
      <w:r w:rsidRPr="00DE33C0">
        <w:rPr>
          <w:rFonts w:ascii="Calibri" w:eastAsia="Times New Roman" w:hAnsi="Calibri" w:cs="Arial"/>
          <w:color w:val="000000"/>
          <w:kern w:val="0"/>
          <w:lang w:val="es-ES" w:eastAsia="es-CR"/>
          <w14:ligatures w14:val="none"/>
        </w:rPr>
        <w:t xml:space="preserve"> y la sacerdotal.  </w:t>
      </w:r>
    </w:p>
    <w:p w14:paraId="0AF2A7C2"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1A1A67F7"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II. Objetivo general</w:t>
      </w:r>
    </w:p>
    <w:p w14:paraId="021321D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Analizar las problemáticas histórico-literarias y teológicas tal y como se dan en el Pentateuco, la obra histórica deuteronomista y la obra histórica sacerdotal mostrando la tensión entre el proceso sociológico de producción literaria y la clausura canónica.</w:t>
      </w:r>
    </w:p>
    <w:p w14:paraId="3305BD93"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p>
    <w:p w14:paraId="7E467808"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r w:rsidRPr="00DE33C0">
        <w:rPr>
          <w:rFonts w:ascii="Calibri" w:eastAsia="Times New Roman" w:hAnsi="Calibri" w:cs="Calibri"/>
          <w:b/>
          <w:bCs/>
          <w:iCs/>
          <w:color w:val="000000"/>
          <w:kern w:val="0"/>
          <w:lang w:val="es-ES_tradnl" w:eastAsia="es-CR"/>
          <w14:ligatures w14:val="none"/>
        </w:rPr>
        <w:t>III. Objetivos específicos</w:t>
      </w:r>
    </w:p>
    <w:p w14:paraId="7077D49F"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p>
    <w:p w14:paraId="4024D292"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r w:rsidRPr="00DE33C0">
        <w:rPr>
          <w:rFonts w:ascii="Calibri" w:eastAsia="Times New Roman" w:hAnsi="Calibri" w:cs="Calibri"/>
          <w:bCs/>
          <w:iCs/>
          <w:color w:val="000000"/>
          <w:kern w:val="0"/>
          <w:lang w:val="es-ES_tradnl" w:eastAsia="es-CR"/>
          <w14:ligatures w14:val="none"/>
        </w:rPr>
        <w:t>1. Explicar la tensión entre la concepción canónica de los libros bíblicos y su producción sociohistórica.</w:t>
      </w:r>
    </w:p>
    <w:p w14:paraId="5FAEF9C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E33C0">
        <w:rPr>
          <w:rFonts w:ascii="Calibri" w:eastAsia="Times New Roman" w:hAnsi="Calibri" w:cs="Arial"/>
          <w:color w:val="000000"/>
          <w:kern w:val="0"/>
          <w:lang w:val="es-ES" w:eastAsia="es-CR"/>
          <w14:ligatures w14:val="none"/>
        </w:rPr>
        <w:t xml:space="preserve">2. Describir las características literarias y teológicas de los documentos J, E, D, P dentro de los escritos que son objeto de estudio de este curso. </w:t>
      </w:r>
    </w:p>
    <w:p w14:paraId="56B1908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lang w:val="es-ES_tradnl" w:eastAsia="es-CR"/>
          <w14:ligatures w14:val="none"/>
        </w:rPr>
      </w:pPr>
      <w:r w:rsidRPr="00DE33C0">
        <w:rPr>
          <w:rFonts w:ascii="Calibri" w:eastAsia="Times New Roman" w:hAnsi="Calibri" w:cs="Calibri"/>
          <w:bCs/>
          <w:iCs/>
          <w:color w:val="000000"/>
          <w:kern w:val="0"/>
          <w:lang w:val="es-ES_tradnl" w:eastAsia="es-CR"/>
          <w14:ligatures w14:val="none"/>
        </w:rPr>
        <w:t xml:space="preserve">3. Describir el proceso histórico-literario de transformación de los documentos particulares J, E, D, P en las unidades literarias que denominamos “libros”. </w:t>
      </w:r>
    </w:p>
    <w:p w14:paraId="750346B7"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lang w:val="es-ES_tradnl" w:eastAsia="es-CR"/>
          <w14:ligatures w14:val="none"/>
        </w:rPr>
      </w:pPr>
      <w:r w:rsidRPr="00DE33C0">
        <w:rPr>
          <w:rFonts w:ascii="Calibri" w:eastAsia="Times New Roman" w:hAnsi="Calibri" w:cs="Calibri"/>
          <w:bCs/>
          <w:iCs/>
          <w:color w:val="000000"/>
          <w:kern w:val="0"/>
          <w:lang w:val="es-ES_tradnl" w:eastAsia="es-CR"/>
          <w14:ligatures w14:val="none"/>
        </w:rPr>
        <w:t xml:space="preserve">4. Explicar las características teológicas y literarias de los libros que componen el Pentateuco, la obra histórica deuteronomista y la obra histórica sacerdotal como unidades literarias autónomas y particulares. </w:t>
      </w:r>
    </w:p>
    <w:p w14:paraId="19BCBDF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8D14EC6"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IV. Contenidos</w:t>
      </w:r>
    </w:p>
    <w:p w14:paraId="10C80728"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64C73B82"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 xml:space="preserve">Unidad 1: </w:t>
      </w:r>
      <w:r w:rsidRPr="00DE33C0">
        <w:rPr>
          <w:rFonts w:ascii="Calibri" w:eastAsia="Times New Roman" w:hAnsi="Calibri" w:cs="Calibri"/>
          <w:b/>
          <w:color w:val="000000"/>
          <w:kern w:val="0"/>
          <w:lang w:val="es-ES_tradnl" w:eastAsia="es-CR"/>
          <w14:ligatures w14:val="none"/>
        </w:rPr>
        <w:t>Teoría de los documentos</w:t>
      </w:r>
    </w:p>
    <w:p w14:paraId="4A42C9FC"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 xml:space="preserve">1.1 Definición y delimitación histórica y teológico-literaria de los cuatro documentos básicos que cruzan la Biblia Hebrea. </w:t>
      </w:r>
    </w:p>
    <w:p w14:paraId="7F4BA7A1"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 xml:space="preserve">1.2 Síntesis histórica de la formación de la teoría documentaria y valoración crítica. </w:t>
      </w:r>
    </w:p>
    <w:p w14:paraId="146AB89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D3817F3"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 xml:space="preserve">Unidad 2: </w:t>
      </w:r>
      <w:r w:rsidRPr="00DE33C0">
        <w:rPr>
          <w:rFonts w:ascii="Calibri" w:eastAsia="Times New Roman" w:hAnsi="Calibri" w:cs="Calibri"/>
          <w:b/>
          <w:color w:val="000000"/>
          <w:kern w:val="0"/>
          <w:lang w:val="es-ES_tradnl" w:eastAsia="es-CR"/>
          <w14:ligatures w14:val="none"/>
        </w:rPr>
        <w:t>De los documentos a los libros</w:t>
      </w:r>
    </w:p>
    <w:p w14:paraId="4BFBADB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2.1 La tensión entre canon e historia</w:t>
      </w:r>
    </w:p>
    <w:p w14:paraId="11449A5B"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2.2 Las tradiciones como instrumento humano que posibilita la construcción de sentido</w:t>
      </w:r>
    </w:p>
    <w:p w14:paraId="0FE24A1C"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2.3 Contar historias desde otra historia</w:t>
      </w:r>
    </w:p>
    <w:p w14:paraId="7741DEB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50A5525"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Unidad 3: Origen social y función simbólica de los credos históricos</w:t>
      </w:r>
    </w:p>
    <w:p w14:paraId="687142AF"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3.1 Estructura de “la historia” I: patriarcas, éxodo, Sinaí</w:t>
      </w:r>
    </w:p>
    <w:p w14:paraId="5C18100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3.2 Estructura de “la historia” II: conquista, monarquía, exilio</w:t>
      </w:r>
    </w:p>
    <w:p w14:paraId="222C08A8" w14:textId="77777777" w:rsidR="00DE33C0" w:rsidRPr="00DE33C0" w:rsidRDefault="00DE33C0" w:rsidP="00DE33C0">
      <w:pPr>
        <w:widowControl w:val="0"/>
        <w:overflowPunct w:val="0"/>
        <w:autoSpaceDE w:val="0"/>
        <w:autoSpaceDN w:val="0"/>
        <w:adjustRightInd w:val="0"/>
        <w:spacing w:after="0" w:line="240" w:lineRule="auto"/>
        <w:rPr>
          <w:rFonts w:ascii="Calibri" w:eastAsia="Times New Roman" w:hAnsi="Calibri" w:cs="Calibri"/>
          <w:b/>
          <w:bCs/>
          <w:color w:val="000000"/>
          <w:kern w:val="0"/>
          <w:lang w:val="es-ES_tradnl" w:eastAsia="es-CR"/>
          <w14:ligatures w14:val="none"/>
        </w:rPr>
      </w:pPr>
    </w:p>
    <w:p w14:paraId="0E54D147"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t>Unidad 4: Corrientes político-religiosas que conformaron el AT</w:t>
      </w:r>
    </w:p>
    <w:p w14:paraId="66ED45C4"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4.1 Tensiones teológicas en torno a la monarquía</w:t>
      </w:r>
    </w:p>
    <w:p w14:paraId="379A5A27"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4.2 Desarrollo de las ideas religiosas como respuesta a las transformaciones sociales</w:t>
      </w:r>
    </w:p>
    <w:p w14:paraId="37815DDD" w14:textId="77777777" w:rsidR="00DE33C0" w:rsidRPr="00DE33C0" w:rsidRDefault="00DE33C0" w:rsidP="00DE33C0">
      <w:pPr>
        <w:rPr>
          <w:rFonts w:ascii="Calibri" w:eastAsia="Times New Roman" w:hAnsi="Calibri" w:cs="Calibri"/>
          <w:b/>
          <w:bCs/>
          <w:kern w:val="0"/>
          <w:lang w:val="es-ES_tradnl" w:eastAsia="es-CR"/>
          <w14:ligatures w14:val="none"/>
        </w:rPr>
      </w:pPr>
    </w:p>
    <w:p w14:paraId="78FABD00" w14:textId="77777777" w:rsidR="00DE33C0" w:rsidRPr="00DE33C0" w:rsidRDefault="00DE33C0" w:rsidP="00DE33C0">
      <w:pPr>
        <w:rPr>
          <w:rFonts w:ascii="Calibri" w:eastAsia="Times New Roman" w:hAnsi="Calibri" w:cs="Calibri"/>
          <w:b/>
          <w:bCs/>
          <w:kern w:val="0"/>
          <w:lang w:val="es-ES_tradnl" w:eastAsia="es-CR"/>
          <w14:ligatures w14:val="none"/>
        </w:rPr>
      </w:pPr>
      <w:r w:rsidRPr="00DE33C0">
        <w:rPr>
          <w:rFonts w:ascii="Calibri" w:eastAsia="Times New Roman" w:hAnsi="Calibri" w:cs="Calibri"/>
          <w:b/>
          <w:bCs/>
          <w:kern w:val="0"/>
          <w:lang w:val="es-ES_tradnl" w:eastAsia="es-CR"/>
          <w14:ligatures w14:val="none"/>
        </w:rPr>
        <w:t xml:space="preserve">V. Metodología </w:t>
      </w:r>
    </w:p>
    <w:p w14:paraId="4631A16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DE33C0">
        <w:rPr>
          <w:rFonts w:ascii="Calibri" w:eastAsia="Times New Roman" w:hAnsi="Calibri" w:cs="Arial"/>
          <w:color w:val="000000"/>
          <w:kern w:val="0"/>
          <w:lang w:val="es-ES" w:eastAsia="es-CR"/>
          <w14:ligatures w14:val="none"/>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w:t>
      </w:r>
      <w:r w:rsidRPr="00DE33C0">
        <w:rPr>
          <w:rFonts w:ascii="Calibri" w:eastAsia="Times New Roman" w:hAnsi="Calibri" w:cs="Arial"/>
          <w:color w:val="000000"/>
          <w:kern w:val="0"/>
          <w:lang w:val="es-ES" w:eastAsia="es-CR"/>
          <w14:ligatures w14:val="none"/>
        </w:rPr>
        <w:lastRenderedPageBreak/>
        <w:t>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790A0F1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DE33C0">
        <w:rPr>
          <w:rFonts w:ascii="Calibri" w:eastAsia="Times New Roman" w:hAnsi="Calibri" w:cs="Arial"/>
          <w:kern w:val="0"/>
          <w:lang w:val="es-ES" w:eastAsia="es-CR"/>
          <w14:ligatures w14:val="none"/>
        </w:rPr>
        <w:t>El curso es de naturaleza teórica y prioriza las áreas de conocimiento y comprensión. Por medio de lecturas individuales, asistencia a los encuentros sincrónicos virtuales donde se realizarán aportes docentes, videos y otros recursos, la persona estudiante entrará en contacto con las temáticas y discusiones fundamentales del estudio del Pentateuco y las obras deuteronomista y sacerdotal.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Se buscará un aprendizaje significativo por medio de actividades que no solo conducen a la explicación y síntesis de los contenidos, sino también a la reflexión a nivel individual y grupal. Esto último se potencia por medio del diario reflexivo, los video foros, las discusiones grupales en los foros y el ensayo. Además de una visión general de la literatura bíblica enfocada en el curso y sus dimensiones históricas, literarias y sociales, los trabajos de profundización individual y grupal incluirán espacios virtuales para considerar las implicaciones de los estudios críticos de la Biblia para la interpretación de la Biblia en diversos contextos religiosos, privados y públicos.</w:t>
      </w:r>
    </w:p>
    <w:p w14:paraId="11F1A5F2"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FF0000"/>
          <w:kern w:val="0"/>
          <w:lang w:val="es-ES_tradnl" w:eastAsia="es-CR"/>
          <w14:ligatures w14:val="none"/>
        </w:rPr>
      </w:pPr>
    </w:p>
    <w:p w14:paraId="7E77FE91" w14:textId="77777777" w:rsidR="00DE33C0" w:rsidRPr="00DE33C0" w:rsidRDefault="00DE33C0" w:rsidP="00DE33C0">
      <w:pPr>
        <w:autoSpaceDE w:val="0"/>
        <w:autoSpaceDN w:val="0"/>
        <w:adjustRightInd w:val="0"/>
        <w:spacing w:after="0" w:line="240" w:lineRule="auto"/>
        <w:jc w:val="both"/>
        <w:rPr>
          <w:rFonts w:ascii="Calibri" w:eastAsia="Times New Roman" w:hAnsi="Calibri" w:cs="Calibri"/>
          <w:bCs/>
          <w:kern w:val="0"/>
          <w:lang w:val="es-ES_tradnl" w:eastAsia="es-CR"/>
          <w14:ligatures w14:val="none"/>
        </w:rPr>
      </w:pPr>
      <w:r w:rsidRPr="00DE33C0">
        <w:rPr>
          <w:rFonts w:ascii="Calibri" w:eastAsia="Times New Roman" w:hAnsi="Calibri" w:cs="Calibri"/>
          <w:b/>
          <w:bCs/>
          <w:kern w:val="0"/>
          <w:lang w:val="es-ES_tradnl" w:eastAsia="es-CR"/>
          <w14:ligatures w14:val="none"/>
        </w:rPr>
        <w:t xml:space="preserve">VI. Estrategias de aprendizaje </w:t>
      </w:r>
    </w:p>
    <w:p w14:paraId="5C6DEFB8"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DE33C0">
        <w:rPr>
          <w:rFonts w:ascii="Calibri" w:eastAsia="Times New Roman" w:hAnsi="Calibri" w:cs="Calibri"/>
          <w:kern w:val="0"/>
          <w:lang w:val="es-ES_tradnl" w:eastAsia="es-CR"/>
          <w14:ligatures w14:val="none"/>
        </w:rPr>
        <w:t>Este curso se plantea la reflexión sobre las problemáticas histórico-literarias y teológicas tal y como se dan en el Pentateuco, la obra histórica deuteronomista y la obra histórica sacerdotal mostrando la tensión entre el proceso histórico y literario.</w:t>
      </w:r>
    </w:p>
    <w:p w14:paraId="0092472E"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Se utilizan las siguientes estrategias de aprendizaje:</w:t>
      </w:r>
    </w:p>
    <w:p w14:paraId="06C16151"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DE33C0">
        <w:rPr>
          <w:rFonts w:ascii="Calibri" w:eastAsia="Times New Roman" w:hAnsi="Calibri" w:cs="Calibri"/>
          <w:b/>
          <w:kern w:val="0"/>
          <w:lang w:val="es-ES_tradnl" w:eastAsia="es-CR"/>
          <w14:ligatures w14:val="none"/>
        </w:rPr>
        <w:t xml:space="preserve">a) Foro: </w:t>
      </w:r>
      <w:r w:rsidRPr="00DE33C0">
        <w:rPr>
          <w:rFonts w:ascii="Calibri" w:eastAsia="Times New Roman" w:hAnsi="Calibri" w:cs="Calibri"/>
          <w:bCs/>
          <w:kern w:val="0"/>
          <w:lang w:val="es-ES_tradnl" w:eastAsia="es-CR"/>
          <w14:ligatures w14:val="none"/>
        </w:rPr>
        <w:t>Un foro es una herramienta que constituye un escenario virtual de debate. En este curso se desarrollan a la luz de los aportes de las lecturas, donde las personas estudiantes discutirán sobre temas tales como: la teoría de los documentos fundantes del Antiguo Testamento, el paso de los documentos a los libros, el origen de los credos y las corrientes políticas y religiosas presentes. Todo ello para comprender la conformación histórico-literaria del Antiguo Testamento.</w:t>
      </w:r>
    </w:p>
    <w:p w14:paraId="43BF1D58"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DE33C0">
        <w:rPr>
          <w:rFonts w:ascii="Calibri" w:eastAsia="Times New Roman" w:hAnsi="Calibri" w:cs="Arial"/>
          <w:b/>
          <w:bCs/>
          <w:kern w:val="0"/>
          <w:lang w:val="es-ES_tradnl" w:eastAsia="es-CR"/>
          <w14:ligatures w14:val="none"/>
        </w:rPr>
        <w:t xml:space="preserve">b) Encuentro sincrónico virtual: </w:t>
      </w:r>
      <w:r w:rsidRPr="00DE33C0">
        <w:rPr>
          <w:rFonts w:ascii="Calibri" w:eastAsia="Times New Roman" w:hAnsi="Calibri" w:cs="Arial"/>
          <w:kern w:val="0"/>
          <w:lang w:val="es-ES_tradnl" w:eastAsia="es-CR"/>
          <w14:ligatures w14:val="none"/>
        </w:rPr>
        <w:t xml:space="preserve">Los encuentros sincrónicos virtuales que se programaron en este curso </w:t>
      </w:r>
      <w:r w:rsidRPr="00DE33C0">
        <w:rPr>
          <w:rFonts w:ascii="Calibri" w:eastAsia="Times New Roman" w:hAnsi="Calibri" w:cs="Arial"/>
          <w:kern w:val="0"/>
          <w:lang w:eastAsia="es-CR"/>
          <w14:ligatures w14:val="none"/>
        </w:rPr>
        <w:t xml:space="preserve">tienen un carácter formativo y de encuentro con la persona docente, no sumativo en cuanto a la evaluación.  En el primer encuentro se revisa el programa y aspectos del curso. En los siguientes, la persona docente hará presentaciones, trabajo en grupos y otras estrategias pedagógicas en el tratamiento de temas tales como: la teoría de los documentos fundantes del AT, los credos y su origen, y las corrientes sociopolíticas-religiosas, es decir, todos elementos importantes en la conformación del Antiguo Testamento que posibilitan su comprensión. </w:t>
      </w:r>
    </w:p>
    <w:p w14:paraId="15D591C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
          <w:color w:val="000000"/>
          <w:kern w:val="0"/>
          <w:lang w:val="es-ES_tradnl" w:eastAsia="es-CR"/>
          <w14:ligatures w14:val="none"/>
        </w:rPr>
        <w:t xml:space="preserve">c) Video foro virtual: </w:t>
      </w:r>
      <w:r w:rsidRPr="00DE33C0">
        <w:rPr>
          <w:rFonts w:ascii="Calibri" w:eastAsia="Times New Roman" w:hAnsi="Calibri" w:cs="Calibri"/>
          <w:bCs/>
          <w:color w:val="000000"/>
          <w:kern w:val="0"/>
          <w:lang w:val="es-ES_tradnl" w:eastAsia="es-CR"/>
          <w14:ligatures w14:val="none"/>
        </w:rPr>
        <w:t xml:space="preserve">Un video foro es una herramienta metodológica o una sesión didáctica donde se presenta un video para introducir el debate de un tema de interés para la audiencia. Además, es un espacio de reflexión y diálogo enriquecedor para quienes participan en el debate </w:t>
      </w:r>
      <w:r w:rsidRPr="00DE33C0">
        <w:rPr>
          <w:rFonts w:ascii="Calibri" w:eastAsia="Times New Roman" w:hAnsi="Calibri" w:cs="Calibri"/>
          <w:bCs/>
          <w:kern w:val="0"/>
          <w:lang w:val="es-ES_tradnl" w:eastAsia="es-CR"/>
          <w14:ligatures w14:val="none"/>
        </w:rPr>
        <w:t>colectivo. Se trata de una actividad sincrónica virtual. En los video foros se discutirá, luego de observar los videos, mediante una guía que versa sobre los patriarcas, el éxodo y la conquista.</w:t>
      </w:r>
    </w:p>
    <w:p w14:paraId="3D471294"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E33C0">
        <w:rPr>
          <w:rFonts w:ascii="Calibri" w:eastAsia="Times New Roman" w:hAnsi="Calibri" w:cs="Arial"/>
          <w:b/>
          <w:bCs/>
          <w:color w:val="000000"/>
          <w:kern w:val="0"/>
          <w:lang w:val="es-ES" w:eastAsia="es-CR"/>
          <w14:ligatures w14:val="none"/>
        </w:rPr>
        <w:lastRenderedPageBreak/>
        <w:t xml:space="preserve">d) Ensayo grupal: </w:t>
      </w:r>
      <w:r w:rsidRPr="00DE33C0">
        <w:rPr>
          <w:rFonts w:ascii="Calibri" w:eastAsia="Times New Roman" w:hAnsi="Calibri" w:cs="Arial"/>
          <w:color w:val="000000"/>
          <w:kern w:val="0"/>
          <w:lang w:val="es-ES" w:eastAsia="es-CR"/>
          <w14:ligatures w14:val="none"/>
        </w:rPr>
        <w:t>Un ensayo grupal es la elaboración de un documento académico con el formato de ensayo en grupo. Este permite a los y las estudiantes comunicarse entre sí sobre el tema y obtener diferentes ideas sobre este, lo cual puede ayudar a lograr más de lo que podrían haber conseguido de forma individual, además de ayudar a mejorar sus conocimientos y habilidades de comunicación. En este caso s</w:t>
      </w:r>
      <w:r w:rsidRPr="00DE33C0">
        <w:rPr>
          <w:rFonts w:ascii="Calibri" w:eastAsia="Times New Roman" w:hAnsi="Calibri" w:cs="Arial"/>
          <w:kern w:val="0"/>
          <w:lang w:val="es-ES" w:eastAsia="es-CR"/>
          <w14:ligatures w14:val="none"/>
        </w:rPr>
        <w:t>e desarrollará sobre un tema clave de la historia del antiguo Israel en el Antiguo Testamento a lo largo de varias sesiones del curso. Debe utilizarse bibliografía del curso y de consulta adicional del grupo (citada y referida bajo el método Chicago-Deusto que sigue la UBL).</w:t>
      </w:r>
    </w:p>
    <w:p w14:paraId="6AA09EF1"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eastAsia="es-CR"/>
          <w14:ligatures w14:val="none"/>
        </w:rPr>
      </w:pPr>
      <w:r w:rsidRPr="00DE33C0">
        <w:rPr>
          <w:rFonts w:ascii="Calibri" w:eastAsia="Times New Roman" w:hAnsi="Calibri" w:cs="Calibri"/>
          <w:b/>
          <w:color w:val="000000"/>
          <w:kern w:val="0"/>
          <w:lang w:val="es-ES_tradnl" w:eastAsia="es-CR"/>
          <w14:ligatures w14:val="none"/>
        </w:rPr>
        <w:t xml:space="preserve">e) Diario reflexivo: </w:t>
      </w:r>
      <w:r w:rsidRPr="00DE33C0">
        <w:rPr>
          <w:rFonts w:ascii="Calibri" w:eastAsia="Times New Roman" w:hAnsi="Calibri" w:cs="Calibri"/>
          <w:color w:val="000000"/>
          <w:kern w:val="0"/>
          <w:lang w:eastAsia="es-CR"/>
          <w14:ligatures w14:val="none"/>
        </w:rPr>
        <w:t>El diario reflexivo es una estrategia didáctica que motiva el desarrollo óptimo del proceso de aprendizaje, a través de la toma de conciencia de las propias capacidades, para de</w:t>
      </w:r>
      <w:r w:rsidRPr="00DE33C0">
        <w:rPr>
          <w:rFonts w:ascii="Calibri" w:eastAsia="Times New Roman" w:hAnsi="Calibri" w:cs="Calibri"/>
          <w:kern w:val="0"/>
          <w:lang w:eastAsia="es-CR"/>
          <w14:ligatures w14:val="none"/>
        </w:rPr>
        <w:t>sarrollar estrategias y recursos que permiten experimentar un aprendizaje más significativo. Este se elabora durante las primeras semanas del curso. Se espera que de forma innovadora, creativa, gráfica e ilustrativa la persona estudiante dialogue con los aportes de las lecturas en torno a temas tales como: definición, síntesis histórica y delimitación de los cuatro documentos base transversales en la conformación del Antiguo Testamento.</w:t>
      </w:r>
    </w:p>
    <w:p w14:paraId="2EFE61F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DE33C0">
        <w:rPr>
          <w:rFonts w:ascii="Calibri" w:eastAsia="Times New Roman" w:hAnsi="Calibri" w:cs="Calibri"/>
          <w:b/>
          <w:bCs/>
          <w:color w:val="000000"/>
          <w:kern w:val="0"/>
          <w:lang w:eastAsia="es-CR"/>
          <w14:ligatures w14:val="none"/>
        </w:rPr>
        <w:t xml:space="preserve">f) Reseña crítica de lectura: </w:t>
      </w:r>
      <w:r w:rsidRPr="00DE33C0">
        <w:rPr>
          <w:rFonts w:ascii="Calibri" w:eastAsia="Times New Roman" w:hAnsi="Calibri" w:cs="Arial"/>
          <w:color w:val="000000"/>
          <w:kern w:val="0"/>
          <w:lang w:val="es-ES_tradnl" w:eastAsia="es-CR"/>
          <w14:ligatures w14:val="none"/>
        </w:rPr>
        <w:t xml:space="preserve">La reseña crítica es un texto argumentativo y expositivo que nace del análisis de las ideas contenidas en la lectura </w:t>
      </w:r>
      <w:r w:rsidRPr="00DE33C0">
        <w:rPr>
          <w:rFonts w:ascii="Calibri" w:eastAsia="Times New Roman" w:hAnsi="Calibri" w:cs="Arial"/>
          <w:kern w:val="0"/>
          <w:lang w:val="es-ES_tradnl" w:eastAsia="es-CR"/>
          <w14:ligatures w14:val="none"/>
        </w:rPr>
        <w:t>a reseñar. Esta estrategia pedagógica se desarrolla por parte de las personas estudiantes en tres sesiones específicas. Implica el resumen de los aportes de las personas autoras de las lecturas asignadas, el análisis de lo aportado, y la contextualización de este sobre temas tales como: la tensión entre el canon y la historia, las tradiciones como medios para construir sentido social, y el origen y función simbólica de los credos históricos. El texto de la reseña debe ser claro, conciso, breve y centrado en explicar a la persona lectora los puntos clave del tema.</w:t>
      </w:r>
    </w:p>
    <w:p w14:paraId="7000EF1C"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6EE1EFB8"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6CB64B12"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DE33C0">
        <w:rPr>
          <w:rFonts w:ascii="Calibri" w:eastAsia="Times New Roman" w:hAnsi="Calibri" w:cs="Calibri"/>
          <w:b/>
          <w:bCs/>
          <w:kern w:val="0"/>
          <w:lang w:val="es-ES_tradnl" w:eastAsia="es-CR"/>
          <w14:ligatures w14:val="none"/>
        </w:rPr>
        <w:t>VII. Recursos didácticos</w:t>
      </w:r>
    </w:p>
    <w:p w14:paraId="286ADAAA"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6537F9B"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6C531A99"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B304FC0"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colaborativas. Todos los materiales de lectura están disponibles en formato digital en la plataforma virtual.  </w:t>
      </w:r>
    </w:p>
    <w:p w14:paraId="17704F72"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AA481F5"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241A8107"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7D4A809"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c) Material audiovisual en algunas de las sesiones que se asigna para su observación con el fin de ampliar las temáticas. Dicho material se observa en los video foros.</w:t>
      </w:r>
    </w:p>
    <w:p w14:paraId="243F277B"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5DA54BB"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 xml:space="preserve">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w:t>
      </w:r>
      <w:proofErr w:type="gramStart"/>
      <w:r w:rsidRPr="00DE33C0">
        <w:rPr>
          <w:rFonts w:ascii="Calibri" w:eastAsia="Times New Roman" w:hAnsi="Calibri" w:cs="Calibri"/>
          <w:color w:val="000000"/>
          <w:kern w:val="0"/>
          <w:lang w:val="es-ES" w:eastAsia="es-ES"/>
          <w14:ligatures w14:val="none"/>
        </w:rPr>
        <w:t>la misma</w:t>
      </w:r>
      <w:proofErr w:type="gramEnd"/>
      <w:r w:rsidRPr="00DE33C0">
        <w:rPr>
          <w:rFonts w:ascii="Calibri" w:eastAsia="Times New Roman" w:hAnsi="Calibri" w:cs="Calibri"/>
          <w:color w:val="000000"/>
          <w:kern w:val="0"/>
          <w:lang w:val="es-ES" w:eastAsia="es-ES"/>
          <w14:ligatures w14:val="none"/>
        </w:rPr>
        <w:t>.</w:t>
      </w:r>
    </w:p>
    <w:p w14:paraId="43F14281"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9912E06"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lastRenderedPageBreak/>
        <w:t xml:space="preserve">e) En la plataforma virtual también dispondrá de guías generales que se encuentran en el material complementario de la sesión correspondiente para la participación en un foro y mediante la herramienta Big Blue </w:t>
      </w:r>
      <w:proofErr w:type="spellStart"/>
      <w:r w:rsidRPr="00DE33C0">
        <w:rPr>
          <w:rFonts w:ascii="Calibri" w:eastAsia="Times New Roman" w:hAnsi="Calibri" w:cs="Calibri"/>
          <w:color w:val="000000"/>
          <w:kern w:val="0"/>
          <w:lang w:val="es-ES" w:eastAsia="es-ES"/>
          <w14:ligatures w14:val="none"/>
        </w:rPr>
        <w:t>Button</w:t>
      </w:r>
      <w:proofErr w:type="spellEnd"/>
      <w:r w:rsidRPr="00DE33C0">
        <w:rPr>
          <w:rFonts w:ascii="Calibri" w:eastAsia="Times New Roman" w:hAnsi="Calibri" w:cs="Calibri"/>
          <w:color w:val="000000"/>
          <w:kern w:val="0"/>
          <w:lang w:val="es-ES" w:eastAsia="es-ES"/>
          <w14:ligatures w14:val="none"/>
        </w:rPr>
        <w:t xml:space="preserve"> en la plataforma Moodle; para la elaboración de un diario reflexivo y una reseña crítica de lectura; así como de guías para los video foros virtuales y el ensayo grupal que se encuentran en la sección de actividades de la sesión correspondiente.</w:t>
      </w:r>
    </w:p>
    <w:p w14:paraId="719F69E1"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BADC471"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 xml:space="preserve">f) También puede disponer de las bases de datos, revistas en línea, repositorios y buscadores especializados a los cuales puede acceder mediante la Biblioteca Enrique </w:t>
      </w:r>
      <w:proofErr w:type="spellStart"/>
      <w:r w:rsidRPr="00DE33C0">
        <w:rPr>
          <w:rFonts w:ascii="Calibri" w:eastAsia="Times New Roman" w:hAnsi="Calibri" w:cs="Calibri"/>
          <w:color w:val="000000"/>
          <w:kern w:val="0"/>
          <w:lang w:val="es-ES" w:eastAsia="es-ES"/>
          <w14:ligatures w14:val="none"/>
        </w:rPr>
        <w:t>Strachan</w:t>
      </w:r>
      <w:proofErr w:type="spellEnd"/>
      <w:r w:rsidRPr="00DE33C0">
        <w:rPr>
          <w:rFonts w:ascii="Calibri" w:eastAsia="Times New Roman" w:hAnsi="Calibri" w:cs="Calibri"/>
          <w:color w:val="000000"/>
          <w:kern w:val="0"/>
          <w:lang w:val="es-ES" w:eastAsia="es-ES"/>
          <w14:ligatures w14:val="none"/>
        </w:rPr>
        <w:t xml:space="preserve"> (</w:t>
      </w:r>
      <w:hyperlink r:id="rId122" w:history="1">
        <w:r w:rsidRPr="00DE33C0">
          <w:rPr>
            <w:rFonts w:ascii="Calibri" w:eastAsia="Times New Roman" w:hAnsi="Calibri" w:cs="Calibri"/>
            <w:color w:val="0563C1"/>
            <w:kern w:val="0"/>
            <w:u w:val="single"/>
            <w:lang w:val="es-ES" w:eastAsia="es-ES"/>
            <w14:ligatures w14:val="none"/>
          </w:rPr>
          <w:t>https://www.ubl.ac.cr/biblioteca</w:t>
        </w:r>
      </w:hyperlink>
      <w:r w:rsidRPr="00DE33C0">
        <w:rPr>
          <w:rFonts w:ascii="Calibri" w:eastAsia="Times New Roman" w:hAnsi="Calibri" w:cs="Calibri"/>
          <w:color w:val="000000"/>
          <w:kern w:val="0"/>
          <w:lang w:val="es-ES" w:eastAsia="es-ES"/>
          <w14:ligatures w14:val="none"/>
        </w:rPr>
        <w:t>), así como consultar el Portal de Revistas de la UBL (</w:t>
      </w:r>
      <w:hyperlink r:id="rId123" w:history="1">
        <w:r w:rsidRPr="00DE33C0">
          <w:rPr>
            <w:rFonts w:ascii="Calibri" w:eastAsia="Times New Roman" w:hAnsi="Calibri" w:cs="Calibri"/>
            <w:color w:val="0563C1"/>
            <w:kern w:val="0"/>
            <w:u w:val="single"/>
            <w:lang w:val="es-ES" w:eastAsia="es-ES"/>
            <w14:ligatures w14:val="none"/>
          </w:rPr>
          <w:t>http://revistas.ubl.ac.cr/</w:t>
        </w:r>
      </w:hyperlink>
      <w:r w:rsidRPr="00DE33C0">
        <w:rPr>
          <w:rFonts w:ascii="Calibri" w:eastAsia="Times New Roman" w:hAnsi="Calibri" w:cs="Calibri"/>
          <w:color w:val="000000"/>
          <w:kern w:val="0"/>
          <w:lang w:val="es-ES" w:eastAsia="es-ES"/>
          <w14:ligatures w14:val="none"/>
        </w:rPr>
        <w:t>). A través del correo de la biblioteca (</w:t>
      </w:r>
      <w:hyperlink r:id="rId124" w:history="1">
        <w:r w:rsidRPr="00DE33C0">
          <w:rPr>
            <w:rFonts w:ascii="Calibri" w:eastAsia="Times New Roman" w:hAnsi="Calibri" w:cs="Calibri"/>
            <w:color w:val="0563C1"/>
            <w:kern w:val="0"/>
            <w:u w:val="single"/>
            <w:lang w:val="es-ES" w:eastAsia="es-ES"/>
            <w14:ligatures w14:val="none"/>
          </w:rPr>
          <w:t>biblioteca@ubl.ac.cr</w:t>
        </w:r>
      </w:hyperlink>
      <w:r w:rsidRPr="00DE33C0">
        <w:rPr>
          <w:rFonts w:ascii="Calibri" w:eastAsia="Times New Roman" w:hAnsi="Calibri" w:cs="Calibri"/>
          <w:color w:val="000000"/>
          <w:kern w:val="0"/>
          <w:lang w:val="es-ES" w:eastAsia="es-ES"/>
          <w14:ligatures w14:val="none"/>
        </w:rPr>
        <w:t>) puede solicitar recursos que se encuentren en la colección física.</w:t>
      </w:r>
    </w:p>
    <w:p w14:paraId="2455E584"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E52B0DA" w14:textId="6378A72E"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 xml:space="preserve">g) </w:t>
      </w:r>
      <w:r w:rsidRPr="00DE33C0">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DE33C0">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125" w:history="1">
        <w:r w:rsidRPr="00DE33C0">
          <w:rPr>
            <w:rFonts w:ascii="Calibri" w:eastAsia="Times New Roman" w:hAnsi="Calibri" w:cs="Calibri"/>
            <w:bCs/>
            <w:color w:val="0563C1"/>
            <w:kern w:val="0"/>
            <w:u w:val="single"/>
            <w:lang w:val="es-ES_tradnl" w:eastAsia="es-CR"/>
            <w14:ligatures w14:val="none"/>
          </w:rPr>
          <w:t>https://campus.ubl.ac.cr/course/index.php?categoryid=186</w:t>
        </w:r>
      </w:hyperlink>
      <w:r w:rsidRPr="00DE33C0">
        <w:rPr>
          <w:rFonts w:ascii="Times New Roman" w:eastAsia="Times New Roman" w:hAnsi="Times New Roman" w:cs="Calibri"/>
          <w:bCs/>
          <w:kern w:val="0"/>
          <w:lang w:val="es-ES_tradnl" w:eastAsia="es-CR"/>
          <w14:ligatures w14:val="none"/>
        </w:rPr>
        <w:t xml:space="preserve"> </w:t>
      </w:r>
    </w:p>
    <w:p w14:paraId="15576201"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4578CCA" w14:textId="77777777" w:rsidR="00DE33C0" w:rsidRPr="00DE33C0" w:rsidRDefault="00DE33C0" w:rsidP="00DE33C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3DC105B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3104F94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26DBCA53"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58ED881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2B8B1EE5"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132CFBAE"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3FBFF670"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425DF151"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28FF86F8"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6DE9AA10"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382E1D13"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5C1E4615"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107367D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3663CFF7"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2E2E124B"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38809FBD" w14:textId="77777777" w:rsid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2CE4A716"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397CDCFE"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0636D31F"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Cs w:val="18"/>
          <w:lang w:val="es-ES_tradnl" w:eastAsia="es-CR"/>
          <w14:ligatures w14:val="none"/>
        </w:rPr>
      </w:pPr>
    </w:p>
    <w:p w14:paraId="48988704"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r w:rsidRPr="00DE33C0">
        <w:rPr>
          <w:rFonts w:ascii="Calibri" w:eastAsia="Times New Roman" w:hAnsi="Calibri" w:cs="Calibri"/>
          <w:b/>
          <w:bCs/>
          <w:color w:val="000000"/>
          <w:kern w:val="0"/>
          <w:szCs w:val="18"/>
          <w:lang w:val="es-ES_tradnl" w:eastAsia="es-CR"/>
          <w14:ligatures w14:val="none"/>
        </w:rPr>
        <w:lastRenderedPageBreak/>
        <w:t>VIII. Cronograma</w:t>
      </w:r>
    </w:p>
    <w:p w14:paraId="1E808A0F" w14:textId="77777777" w:rsidR="00DE33C0" w:rsidRPr="00DE33C0" w:rsidRDefault="00DE33C0" w:rsidP="00DE33C0">
      <w:pPr>
        <w:spacing w:after="0" w:line="240" w:lineRule="auto"/>
        <w:ind w:left="-720"/>
        <w:contextualSpacing/>
        <w:rPr>
          <w:rFonts w:ascii="Calibri" w:eastAsia="Calibri" w:hAnsi="Calibri" w:cs="Calibri"/>
          <w:b/>
          <w:bCs/>
          <w:color w:val="000000"/>
          <w:kern w:val="0"/>
          <w14:ligatures w14:val="none"/>
        </w:rPr>
      </w:pPr>
      <w:r w:rsidRPr="00DE33C0">
        <w:rPr>
          <w:rFonts w:ascii="Calibri" w:eastAsia="Calibri" w:hAnsi="Calibri" w:cs="Calibri"/>
          <w:b/>
          <w:bCs/>
          <w:color w:val="000000"/>
          <w:kern w:val="0"/>
          <w14:ligatures w14:val="none"/>
        </w:rPr>
        <w:t xml:space="preserve">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126"/>
        <w:gridCol w:w="3119"/>
        <w:gridCol w:w="3118"/>
      </w:tblGrid>
      <w:tr w:rsidR="00DE33C0" w:rsidRPr="00DE33C0" w14:paraId="38656378" w14:textId="77777777" w:rsidTr="4C9C2619">
        <w:trPr>
          <w:trHeight w:val="447"/>
          <w:jc w:val="center"/>
        </w:trPr>
        <w:tc>
          <w:tcPr>
            <w:tcW w:w="1271" w:type="dxa"/>
            <w:vMerge w:val="restart"/>
            <w:vAlign w:val="center"/>
          </w:tcPr>
          <w:p w14:paraId="443D2F00"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DE33C0">
              <w:rPr>
                <w:rFonts w:ascii="Calibri" w:eastAsia="Times New Roman" w:hAnsi="Calibri" w:cs="Calibri"/>
                <w:b/>
                <w:bCs/>
                <w:color w:val="000000"/>
                <w:kern w:val="0"/>
                <w:sz w:val="24"/>
                <w:szCs w:val="24"/>
                <w:lang w:val="es-ES_tradnl" w:eastAsia="es-CR"/>
                <w14:ligatures w14:val="none"/>
              </w:rPr>
              <w:t>Sesión</w:t>
            </w:r>
          </w:p>
          <w:p w14:paraId="7A40ECC3"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DE33C0">
              <w:rPr>
                <w:rFonts w:ascii="Calibri" w:eastAsia="Times New Roman" w:hAnsi="Calibri" w:cs="Calibri"/>
                <w:b/>
                <w:bCs/>
                <w:color w:val="000000"/>
                <w:kern w:val="0"/>
                <w:sz w:val="24"/>
                <w:szCs w:val="24"/>
                <w:lang w:val="es-ES_tradnl" w:eastAsia="es-CR"/>
                <w14:ligatures w14:val="none"/>
              </w:rPr>
              <w:t>(semana)</w:t>
            </w:r>
          </w:p>
        </w:tc>
        <w:tc>
          <w:tcPr>
            <w:tcW w:w="2126" w:type="dxa"/>
            <w:vMerge w:val="restart"/>
            <w:vAlign w:val="center"/>
          </w:tcPr>
          <w:p w14:paraId="27C7E5E9"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r w:rsidRPr="00DE33C0">
              <w:rPr>
                <w:rFonts w:ascii="Calibri" w:eastAsia="Times New Roman" w:hAnsi="Calibri" w:cs="Calibri"/>
                <w:b/>
                <w:bCs/>
                <w:kern w:val="0"/>
                <w:sz w:val="24"/>
                <w:szCs w:val="24"/>
                <w:lang w:val="es-ES_tradnl" w:eastAsia="es-CR"/>
                <w14:ligatures w14:val="none"/>
              </w:rPr>
              <w:t>Contenidos temáticos</w:t>
            </w:r>
          </w:p>
        </w:tc>
        <w:tc>
          <w:tcPr>
            <w:tcW w:w="6237" w:type="dxa"/>
            <w:gridSpan w:val="2"/>
            <w:vAlign w:val="center"/>
          </w:tcPr>
          <w:p w14:paraId="3ACBD2DE"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DE33C0">
              <w:rPr>
                <w:rFonts w:ascii="Calibri" w:eastAsia="Times New Roman" w:hAnsi="Calibri" w:cs="Calibri"/>
                <w:b/>
                <w:bCs/>
                <w:color w:val="000000"/>
                <w:kern w:val="0"/>
                <w:sz w:val="24"/>
                <w:szCs w:val="24"/>
                <w:lang w:val="es-ES_tradnl" w:eastAsia="es-CR"/>
                <w14:ligatures w14:val="none"/>
              </w:rPr>
              <w:t>Actividades de enseñanza-aprendizaje</w:t>
            </w:r>
          </w:p>
        </w:tc>
      </w:tr>
      <w:tr w:rsidR="00DE33C0" w:rsidRPr="00DE33C0" w14:paraId="5B2BF9FF" w14:textId="77777777" w:rsidTr="4C9C2619">
        <w:trPr>
          <w:trHeight w:val="411"/>
          <w:jc w:val="center"/>
        </w:trPr>
        <w:tc>
          <w:tcPr>
            <w:tcW w:w="1271" w:type="dxa"/>
            <w:vMerge/>
          </w:tcPr>
          <w:p w14:paraId="24A5BDC0"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lang w:val="es-ES_tradnl" w:eastAsia="es-CR"/>
                <w14:ligatures w14:val="none"/>
              </w:rPr>
            </w:pPr>
          </w:p>
        </w:tc>
        <w:tc>
          <w:tcPr>
            <w:tcW w:w="2126" w:type="dxa"/>
            <w:vMerge/>
          </w:tcPr>
          <w:p w14:paraId="056D2959"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kern w:val="0"/>
                <w:lang w:val="es-ES_tradnl" w:eastAsia="es-CR"/>
                <w14:ligatures w14:val="none"/>
              </w:rPr>
            </w:pPr>
          </w:p>
        </w:tc>
        <w:tc>
          <w:tcPr>
            <w:tcW w:w="3119" w:type="dxa"/>
            <w:vAlign w:val="center"/>
          </w:tcPr>
          <w:p w14:paraId="47D7F075"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DE33C0">
              <w:rPr>
                <w:rFonts w:ascii="Calibri" w:eastAsia="Times New Roman" w:hAnsi="Calibri" w:cs="Calibri"/>
                <w:b/>
                <w:bCs/>
                <w:color w:val="000000"/>
                <w:kern w:val="0"/>
                <w:sz w:val="24"/>
                <w:szCs w:val="24"/>
                <w:lang w:val="es-ES_tradnl" w:eastAsia="es-CR"/>
                <w14:ligatures w14:val="none"/>
              </w:rPr>
              <w:t>Recursos didácticos</w:t>
            </w:r>
          </w:p>
        </w:tc>
        <w:tc>
          <w:tcPr>
            <w:tcW w:w="3118" w:type="dxa"/>
            <w:vAlign w:val="center"/>
          </w:tcPr>
          <w:p w14:paraId="42308A07" w14:textId="77777777" w:rsidR="00DE33C0" w:rsidRPr="00DE33C0" w:rsidRDefault="00DE33C0" w:rsidP="00DE33C0">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 w:val="24"/>
                <w:szCs w:val="24"/>
                <w:lang w:val="es-ES_tradnl" w:eastAsia="es-CR"/>
                <w14:ligatures w14:val="none"/>
              </w:rPr>
            </w:pPr>
            <w:r w:rsidRPr="00DE33C0">
              <w:rPr>
                <w:rFonts w:ascii="Calibri" w:eastAsia="Times New Roman" w:hAnsi="Calibri" w:cs="Calibri"/>
                <w:b/>
                <w:bCs/>
                <w:color w:val="000000"/>
                <w:kern w:val="0"/>
                <w:sz w:val="24"/>
                <w:szCs w:val="24"/>
                <w:lang w:val="es-ES_tradnl" w:eastAsia="es-CR"/>
                <w14:ligatures w14:val="none"/>
              </w:rPr>
              <w:t>Actividades de aprendizaje</w:t>
            </w:r>
          </w:p>
        </w:tc>
      </w:tr>
      <w:tr w:rsidR="00DE33C0" w:rsidRPr="00DE33C0" w14:paraId="1B77C981" w14:textId="77777777" w:rsidTr="4C9C2619">
        <w:trPr>
          <w:jc w:val="center"/>
        </w:trPr>
        <w:tc>
          <w:tcPr>
            <w:tcW w:w="1271" w:type="dxa"/>
          </w:tcPr>
          <w:p w14:paraId="4122821B"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1</w:t>
            </w:r>
          </w:p>
          <w:p w14:paraId="63E610CF"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bCs/>
                <w:color w:val="FF0000"/>
                <w:kern w:val="0"/>
                <w:lang w:val="es-ES_tradnl" w:eastAsia="es-CR"/>
                <w14:ligatures w14:val="none"/>
              </w:rPr>
            </w:pPr>
          </w:p>
        </w:tc>
        <w:tc>
          <w:tcPr>
            <w:tcW w:w="2126" w:type="dxa"/>
          </w:tcPr>
          <w:p w14:paraId="0C1FCE96"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1: Teoría de los documentos</w:t>
            </w:r>
          </w:p>
          <w:p w14:paraId="3B450DDC"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1.1 Definición y delimitación histórica y teológico-literaria de los cuatro documentos básicos que cruzan la Biblia Hebrea</w:t>
            </w:r>
          </w:p>
          <w:p w14:paraId="633181B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7D495C28" w14:textId="77777777" w:rsidR="00DE33C0" w:rsidRPr="00DE33C0" w:rsidRDefault="00DE33C0" w:rsidP="00DE33C0">
            <w:pPr>
              <w:spacing w:after="0" w:line="240" w:lineRule="auto"/>
              <w:rPr>
                <w:rFonts w:ascii="Calibri" w:eastAsia="Times New Roman" w:hAnsi="Calibri" w:cs="Calibri"/>
                <w:bCs/>
                <w:color w:val="0070C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02616A37" w14:textId="77777777" w:rsidR="00DE33C0" w:rsidRPr="00DE33C0" w:rsidRDefault="00DE33C0" w:rsidP="00DE33C0">
            <w:pPr>
              <w:spacing w:after="0" w:line="240" w:lineRule="auto"/>
              <w:rPr>
                <w:rFonts w:ascii="Calibri" w:eastAsia="Times New Roman" w:hAnsi="Calibri" w:cs="Calibri"/>
                <w:bCs/>
                <w:color w:val="0070C0"/>
                <w:kern w:val="0"/>
                <w:lang w:val="es-ES_tradnl" w:eastAsia="es-CR"/>
                <w14:ligatures w14:val="none"/>
              </w:rPr>
            </w:pPr>
          </w:p>
          <w:p w14:paraId="6E3460DF"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6A754140"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p>
          <w:p w14:paraId="2F5516EF"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 xml:space="preserve">Guía para la participación mediante la herramienta Big Blue </w:t>
            </w:r>
            <w:proofErr w:type="spellStart"/>
            <w:r w:rsidRPr="00DE33C0">
              <w:rPr>
                <w:rFonts w:ascii="Calibri" w:eastAsia="Times New Roman" w:hAnsi="Calibri" w:cs="Calibri"/>
                <w:color w:val="0070C0"/>
                <w:kern w:val="0"/>
                <w:lang w:eastAsia="es-CR"/>
                <w14:ligatures w14:val="none"/>
              </w:rPr>
              <w:t>Button</w:t>
            </w:r>
            <w:proofErr w:type="spellEnd"/>
            <w:r w:rsidRPr="00DE33C0">
              <w:rPr>
                <w:rFonts w:ascii="Calibri" w:eastAsia="Times New Roman" w:hAnsi="Calibri" w:cs="Calibri"/>
                <w:color w:val="0070C0"/>
                <w:kern w:val="0"/>
                <w:lang w:eastAsia="es-CR"/>
                <w14:ligatures w14:val="none"/>
              </w:rPr>
              <w:t xml:space="preserve"> en la plataforma Moodle</w:t>
            </w:r>
          </w:p>
          <w:p w14:paraId="6E5D8AC4"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p>
          <w:p w14:paraId="15A16709"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p w14:paraId="6BFA720C"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p>
          <w:p w14:paraId="01F635E4" w14:textId="77777777" w:rsidR="00DE33C0" w:rsidRPr="00DE33C0" w:rsidRDefault="00DE33C0" w:rsidP="00DE33C0">
            <w:pPr>
              <w:spacing w:after="0" w:line="240" w:lineRule="auto"/>
              <w:rPr>
                <w:rFonts w:ascii="Calibri" w:eastAsia="Times New Roman" w:hAnsi="Calibri" w:cs="Calibri"/>
                <w:color w:val="0070C0"/>
                <w:kern w:val="0"/>
                <w:lang w:val="es-ES_tradnl" w:eastAsia="es-CR"/>
                <w14:ligatures w14:val="none"/>
              </w:rPr>
            </w:pPr>
            <w:r w:rsidRPr="00DE33C0">
              <w:rPr>
                <w:rFonts w:ascii="Calibri" w:eastAsia="Times New Roman" w:hAnsi="Calibri" w:cs="Calibri"/>
                <w:color w:val="0070C0"/>
                <w:kern w:val="0"/>
                <w:lang w:eastAsia="es-CR"/>
                <w14:ligatures w14:val="none"/>
              </w:rPr>
              <w:t>Guía para la elaboración de un diario reflexivo</w:t>
            </w:r>
          </w:p>
        </w:tc>
        <w:tc>
          <w:tcPr>
            <w:tcW w:w="3118" w:type="dxa"/>
          </w:tcPr>
          <w:p w14:paraId="5D7E254C"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ind w:right="35"/>
              <w:rPr>
                <w:rFonts w:ascii="Calibri" w:eastAsia="Times New Roman" w:hAnsi="Calibri" w:cs="Arial"/>
                <w:color w:val="000000"/>
                <w:kern w:val="0"/>
                <w:lang w:val="es-ES_tradnl" w:eastAsia="es-CR"/>
                <w14:ligatures w14:val="none"/>
              </w:rPr>
            </w:pPr>
            <w:r w:rsidRPr="00DE33C0">
              <w:rPr>
                <w:rFonts w:ascii="Calibri" w:eastAsia="Times New Roman" w:hAnsi="Calibri" w:cs="Arial"/>
                <w:color w:val="000000"/>
                <w:kern w:val="0"/>
                <w:lang w:val="es-ES_tradnl" w:eastAsia="es-CR"/>
                <w14:ligatures w14:val="none"/>
              </w:rPr>
              <w:t xml:space="preserve">Presentación del curso, el sílabo y las actividades </w:t>
            </w:r>
            <w:r w:rsidRPr="00DE33C0">
              <w:rPr>
                <w:rFonts w:ascii="Calibri" w:eastAsia="Times New Roman" w:hAnsi="Calibri" w:cs="Arial"/>
                <w:kern w:val="0"/>
                <w:lang w:val="es-ES_tradnl" w:eastAsia="es-CR"/>
                <w14:ligatures w14:val="none"/>
              </w:rPr>
              <w:t>en un encuentro sincrónico virtual (formativo).</w:t>
            </w:r>
          </w:p>
          <w:p w14:paraId="4B69BAAA"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ind w:right="35"/>
              <w:rPr>
                <w:rFonts w:ascii="Calibri" w:eastAsia="Times New Roman" w:hAnsi="Calibri" w:cs="Arial"/>
                <w:color w:val="000000"/>
                <w:kern w:val="0"/>
                <w:lang w:val="es-ES_tradnl" w:eastAsia="es-CR"/>
                <w14:ligatures w14:val="none"/>
              </w:rPr>
            </w:pPr>
            <w:r w:rsidRPr="00DE33C0">
              <w:rPr>
                <w:rFonts w:ascii="Calibri" w:eastAsia="Times New Roman" w:hAnsi="Calibri" w:cs="Arial"/>
                <w:color w:val="000000"/>
                <w:kern w:val="0"/>
                <w:lang w:val="es-ES_tradnl" w:eastAsia="es-CR"/>
                <w14:ligatures w14:val="none"/>
              </w:rPr>
              <w:t>Participación en el foro social CAFETERIA.</w:t>
            </w:r>
          </w:p>
          <w:p w14:paraId="322AE560"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ind w:right="35"/>
              <w:rPr>
                <w:rFonts w:ascii="Calibri" w:eastAsia="Times New Roman" w:hAnsi="Calibri" w:cs="Arial"/>
                <w:color w:val="000000"/>
                <w:kern w:val="0"/>
                <w:lang w:val="es-ES_tradnl" w:eastAsia="es-CR"/>
                <w14:ligatures w14:val="none"/>
              </w:rPr>
            </w:pPr>
            <w:r w:rsidRPr="00DE33C0">
              <w:rPr>
                <w:rFonts w:ascii="Calibri" w:eastAsia="Times New Roman" w:hAnsi="Calibri" w:cs="Arial"/>
                <w:color w:val="000000"/>
                <w:kern w:val="0"/>
                <w:lang w:val="es-ES_tradnl" w:eastAsia="es-CR"/>
                <w14:ligatures w14:val="none"/>
              </w:rPr>
              <w:t>Participación en el foro de dudas.</w:t>
            </w:r>
          </w:p>
          <w:p w14:paraId="32AE50A5"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Participación en el foro temático: El carácter del Antiguo Testamento como literatura y su relevancia social y religiosa.</w:t>
            </w:r>
          </w:p>
          <w:p w14:paraId="64588954" w14:textId="77777777" w:rsidR="00DE33C0" w:rsidRPr="00DE33C0" w:rsidRDefault="00DE33C0" w:rsidP="4C9C2619">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Inicia la elaboración de un diario reflexivo, el cual será entregado el último día de la sesión 3.</w:t>
            </w:r>
          </w:p>
          <w:p w14:paraId="33994EFB" w14:textId="77777777" w:rsidR="00DE33C0" w:rsidRPr="00DE33C0" w:rsidRDefault="00DE33C0" w:rsidP="00DE33C0">
            <w:pPr>
              <w:spacing w:after="0" w:line="240" w:lineRule="auto"/>
              <w:ind w:left="227"/>
              <w:rPr>
                <w:rFonts w:ascii="Calibri" w:eastAsia="Times New Roman" w:hAnsi="Calibri" w:cs="Calibri"/>
                <w:bCs/>
                <w:color w:val="000000"/>
                <w:kern w:val="0"/>
                <w:lang w:val="es-ES_tradnl" w:eastAsia="es-CR"/>
                <w14:ligatures w14:val="none"/>
              </w:rPr>
            </w:pPr>
          </w:p>
        </w:tc>
      </w:tr>
      <w:tr w:rsidR="00DE33C0" w:rsidRPr="00DE33C0" w14:paraId="087E7933" w14:textId="77777777" w:rsidTr="4C9C2619">
        <w:trPr>
          <w:trHeight w:val="2853"/>
          <w:jc w:val="center"/>
        </w:trPr>
        <w:tc>
          <w:tcPr>
            <w:tcW w:w="1271" w:type="dxa"/>
          </w:tcPr>
          <w:p w14:paraId="5D7A16E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2</w:t>
            </w:r>
          </w:p>
          <w:p w14:paraId="2FCE83BA"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20A0333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1: Teoría de los documentos</w:t>
            </w:r>
          </w:p>
          <w:p w14:paraId="3CD89041" w14:textId="77777777" w:rsidR="00DE33C0" w:rsidRPr="00DE33C0" w:rsidRDefault="00DE33C0" w:rsidP="00DE33C0">
            <w:pPr>
              <w:widowControl w:val="0"/>
              <w:overflowPunct w:val="0"/>
              <w:autoSpaceDE w:val="0"/>
              <w:autoSpaceDN w:val="0"/>
              <w:adjustRightInd w:val="0"/>
              <w:spacing w:after="0" w:line="240" w:lineRule="auto"/>
              <w:ind w:left="33"/>
              <w:rPr>
                <w:rFonts w:ascii="Calibri" w:eastAsia="Times New Roman" w:hAnsi="Calibri" w:cs="Calibri"/>
                <w:kern w:val="0"/>
                <w:lang w:val="es-ES_tradnl" w:eastAsia="es-CR"/>
                <w14:ligatures w14:val="none"/>
              </w:rPr>
            </w:pPr>
          </w:p>
          <w:p w14:paraId="5B22E2F5" w14:textId="77777777" w:rsidR="00DE33C0" w:rsidRPr="00DE33C0" w:rsidRDefault="00DE33C0" w:rsidP="00DE33C0">
            <w:pPr>
              <w:widowControl w:val="0"/>
              <w:overflowPunct w:val="0"/>
              <w:autoSpaceDE w:val="0"/>
              <w:autoSpaceDN w:val="0"/>
              <w:adjustRightInd w:val="0"/>
              <w:spacing w:after="0" w:line="240" w:lineRule="auto"/>
              <w:ind w:left="33"/>
              <w:rPr>
                <w:rFonts w:ascii="Calibri" w:eastAsia="Times New Roman" w:hAnsi="Calibri" w:cs="Calibri"/>
                <w:kern w:val="0"/>
                <w:lang w:val="es-ES_tradnl" w:eastAsia="es-CR"/>
                <w14:ligatures w14:val="none"/>
              </w:rPr>
            </w:pPr>
            <w:r w:rsidRPr="00DE33C0">
              <w:rPr>
                <w:rFonts w:ascii="Calibri" w:eastAsia="Times New Roman" w:hAnsi="Calibri" w:cs="Calibri"/>
                <w:kern w:val="0"/>
                <w:lang w:val="es-ES_tradnl" w:eastAsia="es-CR"/>
                <w14:ligatures w14:val="none"/>
              </w:rPr>
              <w:t>1.1 Definición y delimitación histórica y teológico-literaria de los cuatro documentos básicos que cruzan la Biblia Hebrea</w:t>
            </w:r>
          </w:p>
        </w:tc>
        <w:tc>
          <w:tcPr>
            <w:tcW w:w="3119" w:type="dxa"/>
          </w:tcPr>
          <w:p w14:paraId="6469A69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4428198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García, Félix. “Composición del Pentateuco”. En </w:t>
            </w:r>
            <w:r w:rsidRPr="00DE33C0">
              <w:rPr>
                <w:rFonts w:ascii="Calibri" w:eastAsia="Arial" w:hAnsi="Calibri" w:cs="Calibri"/>
                <w:i/>
                <w:color w:val="000000"/>
                <w:kern w:val="0"/>
                <w:lang w:val="es-ES_tradnl" w:eastAsia="es-CR"/>
                <w14:ligatures w14:val="none"/>
              </w:rPr>
              <w:t>Pentateuco: introducción a la lectura de los cinco primeros libros de la Biblia</w:t>
            </w:r>
            <w:r w:rsidRPr="00DE33C0">
              <w:rPr>
                <w:rFonts w:ascii="Calibri" w:eastAsia="Arial" w:hAnsi="Calibri" w:cs="Calibri"/>
                <w:iCs/>
                <w:color w:val="000000"/>
                <w:kern w:val="0"/>
                <w:lang w:val="es-ES_tradnl" w:eastAsia="es-CR"/>
                <w14:ligatures w14:val="none"/>
              </w:rPr>
              <w:t>, 333-359.</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Estella: Verbo Divino, 2016. </w:t>
            </w:r>
            <w:r w:rsidRPr="00DE33C0">
              <w:rPr>
                <w:rFonts w:ascii="Calibri" w:eastAsia="Arial" w:hAnsi="Calibri" w:cs="Calibri"/>
                <w:color w:val="0070C0"/>
                <w:kern w:val="0"/>
                <w:lang w:val="es-ES_tradnl" w:eastAsia="es-CR"/>
                <w14:ligatures w14:val="none"/>
              </w:rPr>
              <w:t>(clásico, última edición)</w:t>
            </w:r>
          </w:p>
          <w:p w14:paraId="516794B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0DC07644"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p w14:paraId="2B85BD0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p>
        </w:tc>
        <w:tc>
          <w:tcPr>
            <w:tcW w:w="3118" w:type="dxa"/>
          </w:tcPr>
          <w:p w14:paraId="44B0D94E"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de la sesión.</w:t>
            </w:r>
          </w:p>
          <w:p w14:paraId="4F8D6E89"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aportes al diario reflexivo.</w:t>
            </w:r>
          </w:p>
          <w:p w14:paraId="7FD65881"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Participación en el foro temático grupal: Estructura y unidad del Pentateuco, donde se discutirá la lectura, se aclararán inquietudes y se realizarán aportes docentes.</w:t>
            </w:r>
          </w:p>
          <w:p w14:paraId="5D0E4BCA"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1CFF5B4D" w14:textId="77777777" w:rsidTr="4C9C2619">
        <w:trPr>
          <w:jc w:val="center"/>
        </w:trPr>
        <w:tc>
          <w:tcPr>
            <w:tcW w:w="1271" w:type="dxa"/>
          </w:tcPr>
          <w:p w14:paraId="76FC53D2"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3</w:t>
            </w:r>
          </w:p>
          <w:p w14:paraId="49288544"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328D63C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1: Teoría de los documentos</w:t>
            </w:r>
          </w:p>
          <w:p w14:paraId="7539E6F0" w14:textId="77777777" w:rsidR="00DE33C0" w:rsidRPr="00DE33C0" w:rsidRDefault="00DE33C0" w:rsidP="00DE33C0">
            <w:pPr>
              <w:widowControl w:val="0"/>
              <w:overflowPunct w:val="0"/>
              <w:autoSpaceDE w:val="0"/>
              <w:autoSpaceDN w:val="0"/>
              <w:adjustRightInd w:val="0"/>
              <w:spacing w:after="0" w:line="240" w:lineRule="auto"/>
              <w:ind w:left="33"/>
              <w:rPr>
                <w:rFonts w:ascii="Calibri" w:eastAsia="Times New Roman" w:hAnsi="Calibri" w:cs="Calibri"/>
                <w:kern w:val="0"/>
                <w:lang w:val="es-ES_tradnl" w:eastAsia="es-CR"/>
                <w14:ligatures w14:val="none"/>
              </w:rPr>
            </w:pPr>
          </w:p>
          <w:p w14:paraId="495D8BFC" w14:textId="77777777" w:rsidR="00DE33C0" w:rsidRPr="00DE33C0" w:rsidRDefault="00DE33C0" w:rsidP="00DE33C0">
            <w:pPr>
              <w:widowControl w:val="0"/>
              <w:overflowPunct w:val="0"/>
              <w:autoSpaceDE w:val="0"/>
              <w:autoSpaceDN w:val="0"/>
              <w:adjustRightInd w:val="0"/>
              <w:spacing w:after="0" w:line="240" w:lineRule="auto"/>
              <w:ind w:left="33"/>
              <w:rPr>
                <w:rFonts w:ascii="Calibri" w:eastAsia="Times New Roman" w:hAnsi="Calibri" w:cs="Calibri"/>
                <w:kern w:val="0"/>
                <w:lang w:val="es-ES_tradnl" w:eastAsia="es-CR"/>
                <w14:ligatures w14:val="none"/>
              </w:rPr>
            </w:pPr>
            <w:r w:rsidRPr="00DE33C0">
              <w:rPr>
                <w:rFonts w:ascii="Calibri" w:eastAsia="Times New Roman" w:hAnsi="Calibri" w:cs="Calibri"/>
                <w:kern w:val="0"/>
                <w:lang w:val="es-ES_tradnl" w:eastAsia="es-CR"/>
                <w14:ligatures w14:val="none"/>
              </w:rPr>
              <w:t>1.2 Síntesis histórica de la formación de la teoría documentaria y valoración crítica</w:t>
            </w:r>
          </w:p>
          <w:p w14:paraId="24D013B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3119" w:type="dxa"/>
          </w:tcPr>
          <w:p w14:paraId="5D9062A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lastRenderedPageBreak/>
              <w:t>Ruta de aprendizaje</w:t>
            </w:r>
          </w:p>
          <w:p w14:paraId="0724F24B"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proofErr w:type="spellStart"/>
            <w:r w:rsidRPr="00DE33C0">
              <w:rPr>
                <w:rFonts w:ascii="Calibri" w:eastAsia="Arial" w:hAnsi="Calibri" w:cs="Calibri"/>
                <w:color w:val="000000"/>
                <w:kern w:val="0"/>
                <w:lang w:eastAsia="es-CR"/>
                <w14:ligatures w14:val="none"/>
              </w:rPr>
              <w:t>Nihan</w:t>
            </w:r>
            <w:proofErr w:type="spellEnd"/>
            <w:r w:rsidRPr="00DE33C0">
              <w:rPr>
                <w:rFonts w:ascii="Calibri" w:eastAsia="Arial" w:hAnsi="Calibri" w:cs="Calibri"/>
                <w:color w:val="000000"/>
                <w:kern w:val="0"/>
                <w:lang w:eastAsia="es-CR"/>
                <w14:ligatures w14:val="none"/>
              </w:rPr>
              <w:t xml:space="preserve">, </w:t>
            </w:r>
            <w:proofErr w:type="spellStart"/>
            <w:r w:rsidRPr="00DE33C0">
              <w:rPr>
                <w:rFonts w:ascii="Calibri" w:eastAsia="Arial" w:hAnsi="Calibri" w:cs="Calibri"/>
                <w:color w:val="000000"/>
                <w:kern w:val="0"/>
                <w:lang w:eastAsia="es-CR"/>
                <w14:ligatures w14:val="none"/>
              </w:rPr>
              <w:t>Christophe</w:t>
            </w:r>
            <w:proofErr w:type="spellEnd"/>
            <w:r w:rsidRPr="00DE33C0">
              <w:rPr>
                <w:rFonts w:ascii="Calibri" w:eastAsia="Arial" w:hAnsi="Calibri" w:cs="Calibri"/>
                <w:color w:val="000000"/>
                <w:kern w:val="0"/>
                <w:lang w:eastAsia="es-CR"/>
                <w14:ligatures w14:val="none"/>
              </w:rPr>
              <w:t xml:space="preserve"> y Thomas </w:t>
            </w:r>
            <w:proofErr w:type="spellStart"/>
            <w:r w:rsidRPr="00DE33C0">
              <w:rPr>
                <w:rFonts w:ascii="Calibri" w:eastAsia="Arial" w:hAnsi="Calibri" w:cs="Calibri"/>
                <w:color w:val="000000"/>
                <w:kern w:val="0"/>
                <w:lang w:eastAsia="es-CR"/>
                <w14:ligatures w14:val="none"/>
              </w:rPr>
              <w:t>Römer</w:t>
            </w:r>
            <w:proofErr w:type="spellEnd"/>
            <w:r w:rsidRPr="00DE33C0">
              <w:rPr>
                <w:rFonts w:ascii="Calibri" w:eastAsia="Arial" w:hAnsi="Calibri" w:cs="Calibri"/>
                <w:color w:val="000000"/>
                <w:kern w:val="0"/>
                <w:lang w:eastAsia="es-CR"/>
                <w14:ligatures w14:val="none"/>
              </w:rPr>
              <w:t xml:space="preserve">. “El debate actual sobre la formación del Pentateuco”. En </w:t>
            </w:r>
            <w:r w:rsidRPr="00DE33C0">
              <w:rPr>
                <w:rFonts w:ascii="Calibri" w:eastAsia="Arial" w:hAnsi="Calibri" w:cs="Calibri"/>
                <w:i/>
                <w:color w:val="000000"/>
                <w:kern w:val="0"/>
                <w:lang w:eastAsia="es-CR"/>
                <w14:ligatures w14:val="none"/>
              </w:rPr>
              <w:t xml:space="preserve">Introducción al Antiguo Testamento, </w:t>
            </w:r>
            <w:r w:rsidRPr="00DE33C0">
              <w:rPr>
                <w:rFonts w:ascii="Calibri" w:eastAsia="Arial" w:hAnsi="Calibri" w:cs="Calibri"/>
                <w:color w:val="000000"/>
                <w:kern w:val="0"/>
                <w:lang w:eastAsia="es-CR"/>
                <w14:ligatures w14:val="none"/>
              </w:rPr>
              <w:t xml:space="preserve">editado por Thomas </w:t>
            </w:r>
            <w:proofErr w:type="spellStart"/>
            <w:r w:rsidRPr="00DE33C0">
              <w:rPr>
                <w:rFonts w:ascii="Calibri" w:eastAsia="Arial" w:hAnsi="Calibri" w:cs="Calibri"/>
                <w:color w:val="000000"/>
                <w:kern w:val="0"/>
                <w:lang w:eastAsia="es-CR"/>
                <w14:ligatures w14:val="none"/>
              </w:rPr>
              <w:t>Römer</w:t>
            </w:r>
            <w:proofErr w:type="spellEnd"/>
            <w:r w:rsidRPr="00DE33C0">
              <w:rPr>
                <w:rFonts w:ascii="Calibri" w:eastAsia="Arial" w:hAnsi="Calibri" w:cs="Calibri"/>
                <w:color w:val="000000"/>
                <w:kern w:val="0"/>
                <w:lang w:eastAsia="es-CR"/>
                <w14:ligatures w14:val="none"/>
              </w:rPr>
              <w:t xml:space="preserve">, Jean-Daniel </w:t>
            </w:r>
            <w:r w:rsidRPr="00DE33C0">
              <w:rPr>
                <w:rFonts w:ascii="Calibri" w:eastAsia="Arial" w:hAnsi="Calibri" w:cs="Calibri"/>
                <w:color w:val="000000"/>
                <w:kern w:val="0"/>
                <w:lang w:eastAsia="es-CR"/>
                <w14:ligatures w14:val="none"/>
              </w:rPr>
              <w:lastRenderedPageBreak/>
              <w:t xml:space="preserve">Macchi y </w:t>
            </w:r>
            <w:proofErr w:type="spellStart"/>
            <w:r w:rsidRPr="00DE33C0">
              <w:rPr>
                <w:rFonts w:ascii="Calibri" w:eastAsia="Arial" w:hAnsi="Calibri" w:cs="Calibri"/>
                <w:color w:val="000000"/>
                <w:kern w:val="0"/>
                <w:lang w:eastAsia="es-CR"/>
                <w14:ligatures w14:val="none"/>
              </w:rPr>
              <w:t>Christophe</w:t>
            </w:r>
            <w:proofErr w:type="spellEnd"/>
            <w:r w:rsidRPr="00DE33C0">
              <w:rPr>
                <w:rFonts w:ascii="Calibri" w:eastAsia="Arial" w:hAnsi="Calibri" w:cs="Calibri"/>
                <w:color w:val="000000"/>
                <w:kern w:val="0"/>
                <w:lang w:eastAsia="es-CR"/>
                <w14:ligatures w14:val="none"/>
              </w:rPr>
              <w:t xml:space="preserve"> </w:t>
            </w:r>
            <w:proofErr w:type="spellStart"/>
            <w:r w:rsidRPr="00DE33C0">
              <w:rPr>
                <w:rFonts w:ascii="Calibri" w:eastAsia="Arial" w:hAnsi="Calibri" w:cs="Calibri"/>
                <w:color w:val="000000"/>
                <w:kern w:val="0"/>
                <w:lang w:eastAsia="es-CR"/>
                <w14:ligatures w14:val="none"/>
              </w:rPr>
              <w:t>Nihan</w:t>
            </w:r>
            <w:proofErr w:type="spellEnd"/>
            <w:r w:rsidRPr="00DE33C0">
              <w:rPr>
                <w:rFonts w:ascii="Calibri" w:eastAsia="Arial" w:hAnsi="Calibri" w:cs="Calibri"/>
                <w:color w:val="000000"/>
                <w:kern w:val="0"/>
                <w:lang w:eastAsia="es-CR"/>
                <w14:ligatures w14:val="none"/>
              </w:rPr>
              <w:t xml:space="preserve">, 85-111. Bilbao: Desclée de Brouwer, 2008. </w:t>
            </w:r>
            <w:r w:rsidRPr="00DE33C0">
              <w:rPr>
                <w:rFonts w:ascii="Calibri" w:eastAsia="Arial" w:hAnsi="Calibri" w:cs="Calibri"/>
                <w:color w:val="0070C0"/>
                <w:kern w:val="0"/>
                <w:lang w:val="es-ES_tradnl" w:eastAsia="es-CR"/>
                <w14:ligatures w14:val="none"/>
              </w:rPr>
              <w:t>(clásico, última edición)</w:t>
            </w:r>
          </w:p>
          <w:p w14:paraId="2F6FCA04"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p>
          <w:p w14:paraId="6EA5B9B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66D29F8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eastAsia="es-CR"/>
                <w14:ligatures w14:val="none"/>
              </w:rPr>
            </w:pPr>
            <w:r w:rsidRPr="00DE33C0">
              <w:rPr>
                <w:rFonts w:ascii="Calibri" w:eastAsia="Arial" w:hAnsi="Calibri" w:cs="Calibri"/>
                <w:color w:val="0070C0"/>
                <w:kern w:val="0"/>
                <w:lang w:eastAsia="es-CR"/>
                <w14:ligatures w14:val="none"/>
              </w:rPr>
              <w:t>Guía para la elaboración de un diario reflexivo</w:t>
            </w:r>
          </w:p>
          <w:p w14:paraId="393E2C26"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eastAsia="es-CR"/>
                <w14:ligatures w14:val="none"/>
              </w:rPr>
            </w:pPr>
            <w:r w:rsidRPr="00DE33C0">
              <w:rPr>
                <w:rFonts w:ascii="Calibri" w:eastAsia="Arial" w:hAnsi="Calibri" w:cs="Calibri"/>
                <w:color w:val="0070C0"/>
                <w:kern w:val="0"/>
                <w:lang w:eastAsia="es-CR"/>
                <w14:ligatures w14:val="none"/>
              </w:rPr>
              <w:t xml:space="preserve">Guía para la participación mediante la herramienta Big Blue </w:t>
            </w:r>
            <w:proofErr w:type="spellStart"/>
            <w:r w:rsidRPr="00DE33C0">
              <w:rPr>
                <w:rFonts w:ascii="Calibri" w:eastAsia="Arial" w:hAnsi="Calibri" w:cs="Calibri"/>
                <w:color w:val="0070C0"/>
                <w:kern w:val="0"/>
                <w:lang w:eastAsia="es-CR"/>
                <w14:ligatures w14:val="none"/>
              </w:rPr>
              <w:t>Button</w:t>
            </w:r>
            <w:proofErr w:type="spellEnd"/>
            <w:r w:rsidRPr="00DE33C0">
              <w:rPr>
                <w:rFonts w:ascii="Calibri" w:eastAsia="Arial" w:hAnsi="Calibri" w:cs="Calibri"/>
                <w:color w:val="0070C0"/>
                <w:kern w:val="0"/>
                <w:lang w:eastAsia="es-CR"/>
                <w14:ligatures w14:val="none"/>
              </w:rPr>
              <w:t xml:space="preserve"> en la plataforma Moodle</w:t>
            </w:r>
          </w:p>
          <w:p w14:paraId="2130733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eastAsia="es-CR"/>
                <w14:ligatures w14:val="none"/>
              </w:rPr>
            </w:pPr>
          </w:p>
        </w:tc>
        <w:tc>
          <w:tcPr>
            <w:tcW w:w="3118" w:type="dxa"/>
          </w:tcPr>
          <w:p w14:paraId="5ABFD9EB"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Realizar la lectura de la sesión.</w:t>
            </w:r>
          </w:p>
          <w:p w14:paraId="0D17F247"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aportes y entregar el diario reflexivo.</w:t>
            </w:r>
          </w:p>
          <w:p w14:paraId="6AB64277"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 xml:space="preserve">Aporte docente: confrontación de hipótesis y </w:t>
            </w:r>
            <w:r w:rsidRPr="00DE33C0">
              <w:rPr>
                <w:rFonts w:ascii="Calibri" w:eastAsia="Times New Roman" w:hAnsi="Calibri" w:cs="Calibri"/>
                <w:color w:val="000000"/>
                <w:kern w:val="0"/>
                <w:lang w:val="es-ES_tradnl" w:eastAsia="es-CR"/>
                <w14:ligatures w14:val="none"/>
              </w:rPr>
              <w:lastRenderedPageBreak/>
              <w:t>discusión plenaria sobre las implicaciones para el estudio del Pentateuco en la iglesia y en otros espacios en un encuentro sincrónico virtual (formativo).</w:t>
            </w:r>
          </w:p>
          <w:p w14:paraId="6D20C3AB"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03A417E7" w14:textId="77777777" w:rsidTr="4C9C2619">
        <w:trPr>
          <w:jc w:val="center"/>
        </w:trPr>
        <w:tc>
          <w:tcPr>
            <w:tcW w:w="1271" w:type="dxa"/>
          </w:tcPr>
          <w:p w14:paraId="0B5E6D45"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4</w:t>
            </w:r>
          </w:p>
          <w:p w14:paraId="4092B0C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5695A64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2: De los documentos a los libros</w:t>
            </w:r>
          </w:p>
          <w:p w14:paraId="4618CAA8"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2.1 La tensión entre canon e historia</w:t>
            </w:r>
          </w:p>
          <w:p w14:paraId="40237934"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2BEDA87E"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5765B32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DE33C0">
              <w:rPr>
                <w:rFonts w:ascii="Calibri" w:eastAsia="Times New Roman" w:hAnsi="Calibri" w:cs="Calibri"/>
                <w:kern w:val="0"/>
                <w:lang w:val="es-ES_tradnl" w:eastAsia="es-CR"/>
                <w14:ligatures w14:val="none"/>
              </w:rPr>
              <w:t xml:space="preserve">Schmid, Konrad. “Puesta por escrito y formación del canon”. En </w:t>
            </w:r>
            <w:r w:rsidRPr="00DE33C0">
              <w:rPr>
                <w:rFonts w:ascii="Calibri" w:eastAsia="Times New Roman" w:hAnsi="Calibri" w:cs="Calibri"/>
                <w:i/>
                <w:kern w:val="0"/>
                <w:lang w:val="es-ES_tradnl" w:eastAsia="es-CR"/>
                <w14:ligatures w14:val="none"/>
              </w:rPr>
              <w:t>Historia literaria del Antiguo Testamento: Una introducción</w:t>
            </w:r>
            <w:r w:rsidRPr="00DE33C0">
              <w:rPr>
                <w:rFonts w:ascii="Calibri" w:eastAsia="Times New Roman" w:hAnsi="Calibri" w:cs="Calibri"/>
                <w:kern w:val="0"/>
                <w:lang w:val="es-ES_tradnl" w:eastAsia="es-CR"/>
                <w14:ligatures w14:val="none"/>
              </w:rPr>
              <w:t>, 267-278. Madrid: Editorial Trotta, 2019.</w:t>
            </w:r>
          </w:p>
          <w:p w14:paraId="7395CC28" w14:textId="77777777" w:rsidR="00DE33C0" w:rsidRPr="00DE33C0" w:rsidRDefault="00DE33C0"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Trebolle</w:t>
            </w:r>
            <w:proofErr w:type="spellEnd"/>
            <w:r w:rsidRPr="4C9C2619">
              <w:rPr>
                <w:rFonts w:ascii="Calibri" w:eastAsia="Times New Roman" w:hAnsi="Calibri" w:cs="Calibri"/>
                <w:kern w:val="0"/>
                <w:lang w:val="es-ES" w:eastAsia="es-CR"/>
                <w14:ligatures w14:val="none"/>
              </w:rPr>
              <w:t xml:space="preserve">, Julio. “¿Cómo y cuándo se escribieron los libros de la Biblia?”. En </w:t>
            </w:r>
            <w:r w:rsidRPr="4C9C2619">
              <w:rPr>
                <w:rFonts w:ascii="Calibri" w:eastAsia="Times New Roman" w:hAnsi="Calibri" w:cs="Calibri"/>
                <w:i/>
                <w:iCs/>
                <w:kern w:val="0"/>
                <w:lang w:val="es-ES" w:eastAsia="es-CR"/>
                <w14:ligatures w14:val="none"/>
              </w:rPr>
              <w:t>Texturas bíblicas del antiguo Oriente al Occidente moderno</w:t>
            </w:r>
            <w:r w:rsidRPr="4C9C2619">
              <w:rPr>
                <w:rFonts w:ascii="Calibri" w:eastAsia="Times New Roman" w:hAnsi="Calibri" w:cs="Calibri"/>
                <w:kern w:val="0"/>
                <w:lang w:val="es-ES" w:eastAsia="es-CR"/>
                <w14:ligatures w14:val="none"/>
              </w:rPr>
              <w:t>, 163-182. Madrid: Editorial Trotta, 2019.</w:t>
            </w:r>
          </w:p>
          <w:p w14:paraId="54C60C3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4CCEC92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elaboración de una reseña crítica de lectura</w:t>
            </w:r>
          </w:p>
          <w:p w14:paraId="3406F79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p w14:paraId="0A5443D4"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118" w:type="dxa"/>
          </w:tcPr>
          <w:p w14:paraId="5DBAE0CC"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las lecturas sobre canon e historia de la sesión.</w:t>
            </w:r>
          </w:p>
          <w:p w14:paraId="654EE892"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Elaboración de una reseña crítica de las lecturas enfocando: canon, historia e interpretación de la Biblia.</w:t>
            </w:r>
          </w:p>
          <w:p w14:paraId="1F3D098D"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Discusión grupal desde las reseñas junto con aportes docentes en el foro grupal donde se entrega la reseña.</w:t>
            </w:r>
          </w:p>
        </w:tc>
      </w:tr>
      <w:tr w:rsidR="00DE33C0" w:rsidRPr="00DE33C0" w14:paraId="608F4890" w14:textId="77777777" w:rsidTr="4C9C2619">
        <w:trPr>
          <w:jc w:val="center"/>
        </w:trPr>
        <w:tc>
          <w:tcPr>
            <w:tcW w:w="1271" w:type="dxa"/>
          </w:tcPr>
          <w:p w14:paraId="4935BCC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5</w:t>
            </w:r>
          </w:p>
          <w:p w14:paraId="2D98F40B"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5FD70F3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2: De los documentos a los libros</w:t>
            </w:r>
          </w:p>
          <w:p w14:paraId="58701DF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 xml:space="preserve">2.2 Las tradiciones como instrumento humano </w:t>
            </w:r>
            <w:r w:rsidRPr="00DE33C0">
              <w:rPr>
                <w:rFonts w:ascii="Calibri" w:eastAsia="Times New Roman" w:hAnsi="Calibri" w:cs="Calibri"/>
                <w:bCs/>
                <w:strike/>
                <w:kern w:val="0"/>
                <w:lang w:val="es-ES_tradnl" w:eastAsia="es-CR"/>
                <w14:ligatures w14:val="none"/>
              </w:rPr>
              <w:t>social</w:t>
            </w:r>
            <w:r w:rsidRPr="00DE33C0">
              <w:rPr>
                <w:rFonts w:ascii="Calibri" w:eastAsia="Times New Roman" w:hAnsi="Calibri" w:cs="Calibri"/>
                <w:bCs/>
                <w:kern w:val="0"/>
                <w:lang w:val="es-ES_tradnl" w:eastAsia="es-CR"/>
                <w14:ligatures w14:val="none"/>
              </w:rPr>
              <w:t xml:space="preserve"> que posibilita la construcción de sentido.</w:t>
            </w:r>
          </w:p>
          <w:p w14:paraId="603AEDF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lastRenderedPageBreak/>
              <w:t>2.3 Contar historias desde otra historia</w:t>
            </w:r>
          </w:p>
        </w:tc>
        <w:tc>
          <w:tcPr>
            <w:tcW w:w="3119" w:type="dxa"/>
          </w:tcPr>
          <w:p w14:paraId="4FC7F705"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lastRenderedPageBreak/>
              <w:t>Ruta de aprendizaje</w:t>
            </w:r>
          </w:p>
          <w:p w14:paraId="455C4FEF"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01736ADB"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proofErr w:type="spellStart"/>
            <w:r w:rsidRPr="00DE33C0">
              <w:rPr>
                <w:rFonts w:ascii="Calibri" w:eastAsia="Arial" w:hAnsi="Calibri" w:cs="Calibri"/>
                <w:color w:val="000000"/>
                <w:kern w:val="0"/>
                <w:lang w:eastAsia="es-CR"/>
                <w14:ligatures w14:val="none"/>
              </w:rPr>
              <w:t>Ska</w:t>
            </w:r>
            <w:proofErr w:type="spellEnd"/>
            <w:r w:rsidRPr="00DE33C0">
              <w:rPr>
                <w:rFonts w:ascii="Calibri" w:eastAsia="Arial" w:hAnsi="Calibri" w:cs="Calibri"/>
                <w:color w:val="000000"/>
                <w:kern w:val="0"/>
                <w:lang w:eastAsia="es-CR"/>
                <w14:ligatures w14:val="none"/>
              </w:rPr>
              <w:t xml:space="preserve">, Jean-Louis. “Contar historias y escribir la historia”. En </w:t>
            </w:r>
            <w:r w:rsidRPr="00DE33C0">
              <w:rPr>
                <w:rFonts w:ascii="Calibri" w:eastAsia="Arial" w:hAnsi="Calibri" w:cs="Calibri"/>
                <w:i/>
                <w:color w:val="000000"/>
                <w:kern w:val="0"/>
                <w:lang w:eastAsia="es-CR"/>
                <w14:ligatures w14:val="none"/>
              </w:rPr>
              <w:t>Enigmas del pasado: historia de Israel y relato bíblico,</w:t>
            </w:r>
            <w:r w:rsidRPr="00DE33C0">
              <w:rPr>
                <w:rFonts w:ascii="Calibri" w:eastAsia="Arial" w:hAnsi="Calibri" w:cs="Calibri"/>
                <w:color w:val="000000"/>
                <w:kern w:val="0"/>
                <w:lang w:eastAsia="es-CR"/>
                <w14:ligatures w14:val="none"/>
              </w:rPr>
              <w:t xml:space="preserve"> 13-21.</w:t>
            </w:r>
            <w:r w:rsidRPr="00DE33C0">
              <w:rPr>
                <w:rFonts w:ascii="Calibri" w:eastAsia="Arial" w:hAnsi="Calibri" w:cs="Calibri"/>
                <w:i/>
                <w:color w:val="000000"/>
                <w:kern w:val="0"/>
                <w:lang w:eastAsia="es-CR"/>
                <w14:ligatures w14:val="none"/>
              </w:rPr>
              <w:t xml:space="preserve"> </w:t>
            </w:r>
            <w:r w:rsidRPr="00DE33C0">
              <w:rPr>
                <w:rFonts w:ascii="Calibri" w:eastAsia="Arial" w:hAnsi="Calibri" w:cs="Calibri"/>
                <w:color w:val="000000"/>
                <w:kern w:val="0"/>
                <w:lang w:eastAsia="es-CR"/>
                <w14:ligatures w14:val="none"/>
              </w:rPr>
              <w:t xml:space="preserve">Estella: Verbo Divino, 2003. </w:t>
            </w:r>
            <w:r w:rsidRPr="00DE33C0">
              <w:rPr>
                <w:rFonts w:ascii="Calibri" w:eastAsia="Arial" w:hAnsi="Calibri" w:cs="Calibri"/>
                <w:color w:val="0070C0"/>
                <w:kern w:val="0"/>
                <w:lang w:val="es-ES_tradnl" w:eastAsia="es-CR"/>
                <w14:ligatures w14:val="none"/>
              </w:rPr>
              <w:t>(clásico, última edición)</w:t>
            </w:r>
          </w:p>
          <w:p w14:paraId="43D6FDAB"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p w14:paraId="29CE661C"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6E300F1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lastRenderedPageBreak/>
              <w:t>Guía para la elaboración de una reseña crítica de lectura</w:t>
            </w:r>
          </w:p>
          <w:p w14:paraId="44BF09A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p w14:paraId="6FE1CC3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p>
        </w:tc>
        <w:tc>
          <w:tcPr>
            <w:tcW w:w="3118" w:type="dxa"/>
          </w:tcPr>
          <w:p w14:paraId="4463580E"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Realizar la lectura sobre el papel de las historias en la Biblia de la sesión.</w:t>
            </w:r>
          </w:p>
          <w:p w14:paraId="3235EC6D"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Elaboración de una reseña crítica de la lectura.</w:t>
            </w:r>
          </w:p>
          <w:p w14:paraId="59BBD52F"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 xml:space="preserve">Foro temático grupal para reflexionar críticamente sobre las historias (usar historia conocida) – papel </w:t>
            </w:r>
            <w:r w:rsidRPr="00DE33C0">
              <w:rPr>
                <w:rFonts w:ascii="Calibri" w:eastAsia="Times New Roman" w:hAnsi="Calibri" w:cs="Calibri"/>
                <w:color w:val="000000"/>
                <w:kern w:val="0"/>
                <w:lang w:val="es-ES_tradnl" w:eastAsia="es-CR"/>
                <w14:ligatures w14:val="none"/>
              </w:rPr>
              <w:lastRenderedPageBreak/>
              <w:t>religioso, ideológico y social.</w:t>
            </w:r>
          </w:p>
          <w:p w14:paraId="15EE3FC6"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Plenaria y relevancia para el estudio de la Biblia en el foro temático grupal.</w:t>
            </w:r>
          </w:p>
          <w:p w14:paraId="70113E48"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tc>
      </w:tr>
      <w:tr w:rsidR="00DE33C0" w:rsidRPr="00DE33C0" w14:paraId="6A4D257F" w14:textId="77777777" w:rsidTr="4C9C2619">
        <w:trPr>
          <w:jc w:val="center"/>
        </w:trPr>
        <w:tc>
          <w:tcPr>
            <w:tcW w:w="1271" w:type="dxa"/>
          </w:tcPr>
          <w:p w14:paraId="73DFB89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6</w:t>
            </w:r>
          </w:p>
          <w:p w14:paraId="68BA6C59"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52DB825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4A247F6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3.1 Estructura de “la historia” I: patriarcas, éxodo, Sinaí</w:t>
            </w:r>
          </w:p>
          <w:p w14:paraId="7537670E"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6979747A"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737657D7"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1E14C60C"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proofErr w:type="spellStart"/>
            <w:r w:rsidRPr="00DE33C0">
              <w:rPr>
                <w:rFonts w:ascii="Calibri" w:eastAsia="Arial" w:hAnsi="Calibri" w:cs="Calibri"/>
                <w:color w:val="000000"/>
                <w:kern w:val="0"/>
                <w:lang w:eastAsia="es-CR"/>
                <w14:ligatures w14:val="none"/>
              </w:rPr>
              <w:t>Ska</w:t>
            </w:r>
            <w:proofErr w:type="spellEnd"/>
            <w:r w:rsidRPr="00DE33C0">
              <w:rPr>
                <w:rFonts w:ascii="Calibri" w:eastAsia="Arial" w:hAnsi="Calibri" w:cs="Calibri"/>
                <w:color w:val="000000"/>
                <w:kern w:val="0"/>
                <w:lang w:eastAsia="es-CR"/>
                <w14:ligatures w14:val="none"/>
              </w:rPr>
              <w:t xml:space="preserve">, Jean-Louis. “Abrahán y los patriarcas: ¿actores de la historia o figuras legendarias?”. En </w:t>
            </w:r>
            <w:r w:rsidRPr="00DE33C0">
              <w:rPr>
                <w:rFonts w:ascii="Calibri" w:eastAsia="Arial" w:hAnsi="Calibri" w:cs="Calibri"/>
                <w:i/>
                <w:color w:val="000000"/>
                <w:kern w:val="0"/>
                <w:lang w:eastAsia="es-CR"/>
                <w14:ligatures w14:val="none"/>
              </w:rPr>
              <w:t xml:space="preserve">Enigmas del pasado: historia de Israel y relato bíblico, </w:t>
            </w:r>
            <w:r w:rsidRPr="00DE33C0">
              <w:rPr>
                <w:rFonts w:ascii="Calibri" w:eastAsia="Arial" w:hAnsi="Calibri" w:cs="Calibri"/>
                <w:color w:val="000000"/>
                <w:kern w:val="0"/>
                <w:lang w:eastAsia="es-CR"/>
                <w14:ligatures w14:val="none"/>
              </w:rPr>
              <w:t>35-48.</w:t>
            </w:r>
            <w:r w:rsidRPr="00DE33C0">
              <w:rPr>
                <w:rFonts w:ascii="Calibri" w:eastAsia="Arial" w:hAnsi="Calibri" w:cs="Calibri"/>
                <w:i/>
                <w:color w:val="000000"/>
                <w:kern w:val="0"/>
                <w:lang w:eastAsia="es-CR"/>
                <w14:ligatures w14:val="none"/>
              </w:rPr>
              <w:t xml:space="preserve"> </w:t>
            </w:r>
            <w:r w:rsidRPr="00DE33C0">
              <w:rPr>
                <w:rFonts w:ascii="Calibri" w:eastAsia="Arial" w:hAnsi="Calibri" w:cs="Calibri"/>
                <w:color w:val="000000"/>
                <w:kern w:val="0"/>
                <w:lang w:eastAsia="es-CR"/>
                <w14:ligatures w14:val="none"/>
              </w:rPr>
              <w:t xml:space="preserve">Estella: Verbo Divino, 2003. </w:t>
            </w:r>
            <w:r w:rsidRPr="00DE33C0">
              <w:rPr>
                <w:rFonts w:ascii="Calibri" w:eastAsia="Arial" w:hAnsi="Calibri" w:cs="Calibri"/>
                <w:color w:val="0070C0"/>
                <w:kern w:val="0"/>
                <w:lang w:val="es-ES_tradnl" w:eastAsia="es-CR"/>
                <w14:ligatures w14:val="none"/>
              </w:rPr>
              <w:t>(clásico, última edición)</w:t>
            </w:r>
          </w:p>
          <w:p w14:paraId="1DFE866A"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487751F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DE33C0">
              <w:rPr>
                <w:rFonts w:ascii="Calibri" w:eastAsia="Times New Roman" w:hAnsi="Calibri" w:cs="Calibri"/>
                <w:b/>
                <w:kern w:val="0"/>
                <w:lang w:val="es-ES_tradnl" w:eastAsia="es-CR"/>
                <w14:ligatures w14:val="none"/>
              </w:rPr>
              <w:t>Material complementario</w:t>
            </w:r>
            <w:r w:rsidRPr="00DE33C0">
              <w:rPr>
                <w:rFonts w:ascii="Calibri" w:eastAsia="Times New Roman" w:hAnsi="Calibri" w:cs="Calibri"/>
                <w:kern w:val="0"/>
                <w:lang w:val="es-ES_tradnl" w:eastAsia="es-CR"/>
                <w14:ligatures w14:val="none"/>
              </w:rPr>
              <w:t xml:space="preserve"> </w:t>
            </w:r>
          </w:p>
          <w:p w14:paraId="2491740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Finkelstein, Israel. “En busca de los patriarcas”. En </w:t>
            </w:r>
            <w:r w:rsidRPr="00DE33C0">
              <w:rPr>
                <w:rFonts w:ascii="Calibri" w:eastAsia="Arial" w:hAnsi="Calibri" w:cs="Calibri"/>
                <w:i/>
                <w:color w:val="000000"/>
                <w:kern w:val="0"/>
                <w:lang w:val="es-ES_tradnl" w:eastAsia="es-CR"/>
                <w14:ligatures w14:val="none"/>
              </w:rPr>
              <w:t xml:space="preserve">La Biblia </w:t>
            </w:r>
            <w:r w:rsidRPr="00DE33C0">
              <w:rPr>
                <w:rFonts w:ascii="Calibri" w:eastAsia="Arial" w:hAnsi="Calibri" w:cs="Calibri"/>
                <w:i/>
                <w:kern w:val="0"/>
                <w:lang w:val="es-ES_tradnl" w:eastAsia="es-CR"/>
                <w14:ligatures w14:val="none"/>
              </w:rPr>
              <w:t xml:space="preserve">desenterrada: una nueva visión arqueológica del antiguo Israel y de los orígenes de sus textos sagrados, </w:t>
            </w:r>
            <w:r w:rsidRPr="00DE33C0">
              <w:rPr>
                <w:rFonts w:ascii="Calibri" w:eastAsia="Arial" w:hAnsi="Calibri" w:cs="Calibri"/>
                <w:kern w:val="0"/>
                <w:lang w:val="es-ES_tradnl" w:eastAsia="es-CR"/>
                <w14:ligatures w14:val="none"/>
              </w:rPr>
              <w:t>44</w:t>
            </w:r>
            <w:r w:rsidRPr="00DE33C0">
              <w:rPr>
                <w:rFonts w:ascii="Calibri" w:eastAsia="Arial" w:hAnsi="Calibri" w:cs="Calibri"/>
                <w:color w:val="000000"/>
                <w:kern w:val="0"/>
                <w:lang w:val="es-ES_tradnl" w:eastAsia="es-CR"/>
                <w14:ligatures w14:val="none"/>
              </w:rPr>
              <w:t>-62.</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Madrid: Siglo XXI, 2005. </w:t>
            </w:r>
            <w:r w:rsidRPr="00DE33C0">
              <w:rPr>
                <w:rFonts w:ascii="Calibri" w:eastAsia="Arial" w:hAnsi="Calibri" w:cs="Calibri"/>
                <w:color w:val="0070C0"/>
                <w:kern w:val="0"/>
                <w:lang w:val="es-ES_tradnl" w:eastAsia="es-CR"/>
                <w14:ligatures w14:val="none"/>
              </w:rPr>
              <w:t>(clásico, última edición)</w:t>
            </w:r>
          </w:p>
          <w:p w14:paraId="7B1D5349" w14:textId="77777777" w:rsidR="00DE33C0" w:rsidRPr="00DE33C0" w:rsidRDefault="00DE33C0" w:rsidP="4C9C2619">
            <w:pPr>
              <w:widowControl w:val="0"/>
              <w:overflowPunct w:val="0"/>
              <w:autoSpaceDE w:val="0"/>
              <w:autoSpaceDN w:val="0"/>
              <w:adjustRightInd w:val="0"/>
              <w:spacing w:before="120" w:after="0" w:line="240" w:lineRule="auto"/>
              <w:rPr>
                <w:rFonts w:ascii="Calibri" w:eastAsia="Arial" w:hAnsi="Calibri" w:cs="Calibri"/>
                <w:color w:val="0070C0"/>
                <w:kern w:val="0"/>
                <w:lang w:val="es-ES" w:eastAsia="es-CR"/>
                <w14:ligatures w14:val="none"/>
              </w:rPr>
            </w:pPr>
            <w:r w:rsidRPr="4C9C2619">
              <w:rPr>
                <w:rFonts w:ascii="Calibri" w:eastAsia="Arial"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Arial" w:hAnsi="Calibri" w:cs="Calibri"/>
                <w:color w:val="0070C0"/>
                <w:kern w:val="0"/>
                <w:lang w:val="es-ES" w:eastAsia="es-CR"/>
                <w14:ligatures w14:val="none"/>
              </w:rPr>
              <w:t>Button</w:t>
            </w:r>
            <w:proofErr w:type="spellEnd"/>
            <w:r w:rsidRPr="4C9C2619">
              <w:rPr>
                <w:rFonts w:ascii="Calibri" w:eastAsia="Arial" w:hAnsi="Calibri" w:cs="Calibri"/>
                <w:color w:val="0070C0"/>
                <w:kern w:val="0"/>
                <w:lang w:val="es-ES" w:eastAsia="es-CR"/>
                <w14:ligatures w14:val="none"/>
              </w:rPr>
              <w:t xml:space="preserve"> en la plataforma Moodle</w:t>
            </w:r>
          </w:p>
          <w:p w14:paraId="2F11057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val="es-ES_tradnl" w:eastAsia="es-CR"/>
                <w14:ligatures w14:val="none"/>
              </w:rPr>
            </w:pPr>
          </w:p>
        </w:tc>
        <w:tc>
          <w:tcPr>
            <w:tcW w:w="3118" w:type="dxa"/>
          </w:tcPr>
          <w:p w14:paraId="3B0A8583"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de la sesión.</w:t>
            </w:r>
          </w:p>
          <w:p w14:paraId="1DB0B4AE"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Observación del video: Los Patriarcas (La Biblia Desenterrada).</w:t>
            </w:r>
          </w:p>
          <w:p w14:paraId="1F1032A2"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Participación en el video foro virtual con una guía de análisis.</w:t>
            </w:r>
          </w:p>
          <w:p w14:paraId="4B7325E7"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Debate en el video foro virtual.</w:t>
            </w:r>
          </w:p>
          <w:p w14:paraId="1B81D979"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p w14:paraId="5F80C687"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tc>
      </w:tr>
      <w:tr w:rsidR="00DE33C0" w:rsidRPr="00DE33C0" w14:paraId="3D4363BC" w14:textId="77777777" w:rsidTr="4C9C2619">
        <w:trPr>
          <w:jc w:val="center"/>
        </w:trPr>
        <w:tc>
          <w:tcPr>
            <w:tcW w:w="1271" w:type="dxa"/>
          </w:tcPr>
          <w:p w14:paraId="2CA46E07"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7</w:t>
            </w:r>
          </w:p>
          <w:p w14:paraId="3B1DC3C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7FED97B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58E143AE"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3.1 Estructura de “la historia” I: patriarcas, éxodo, Sinaí</w:t>
            </w:r>
          </w:p>
          <w:p w14:paraId="54EE571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568F978B"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5DB5A44F"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p>
          <w:p w14:paraId="1C6D4B5C" w14:textId="77777777" w:rsidR="00DE33C0" w:rsidRPr="00DE33C0" w:rsidRDefault="00DE33C0" w:rsidP="4C9C2619">
            <w:pPr>
              <w:widowControl w:val="0"/>
              <w:overflowPunct w:val="0"/>
              <w:autoSpaceDE w:val="0"/>
              <w:autoSpaceDN w:val="0"/>
              <w:adjustRightInd w:val="0"/>
              <w:spacing w:before="120" w:after="0" w:line="240" w:lineRule="auto"/>
              <w:rPr>
                <w:rFonts w:ascii="Calibri" w:eastAsia="Arial" w:hAnsi="Calibri" w:cs="Calibri"/>
                <w:color w:val="0070C0"/>
                <w:kern w:val="0"/>
                <w:lang w:val="es-ES" w:eastAsia="es-CR"/>
                <w14:ligatures w14:val="none"/>
              </w:rPr>
            </w:pPr>
            <w:proofErr w:type="spellStart"/>
            <w:r w:rsidRPr="4C9C2619">
              <w:rPr>
                <w:rFonts w:ascii="Calibri" w:eastAsia="Arial" w:hAnsi="Calibri" w:cs="Calibri"/>
                <w:color w:val="000000"/>
                <w:kern w:val="0"/>
                <w:lang w:val="es-ES" w:eastAsia="es-CR"/>
                <w14:ligatures w14:val="none"/>
              </w:rPr>
              <w:t>Michaud</w:t>
            </w:r>
            <w:proofErr w:type="spellEnd"/>
            <w:r w:rsidRPr="4C9C2619">
              <w:rPr>
                <w:rFonts w:ascii="Calibri" w:eastAsia="Arial" w:hAnsi="Calibri" w:cs="Calibri"/>
                <w:color w:val="000000"/>
                <w:kern w:val="0"/>
                <w:lang w:val="es-ES" w:eastAsia="es-CR"/>
                <w14:ligatures w14:val="none"/>
              </w:rPr>
              <w:t xml:space="preserve">, Robert. “Los patriarcas y sus clanes”, “El patriarca Jacob”, “El patriarca Israel”, “El patriarca Isaac”, “El patriarca Abrahán”, “Conclusión de la primera parte”. En </w:t>
            </w:r>
            <w:r w:rsidRPr="4C9C2619">
              <w:rPr>
                <w:rFonts w:ascii="Calibri" w:eastAsia="Arial" w:hAnsi="Calibri" w:cs="Calibri"/>
                <w:i/>
                <w:iCs/>
                <w:color w:val="000000"/>
                <w:kern w:val="0"/>
                <w:lang w:val="es-ES" w:eastAsia="es-CR"/>
                <w14:ligatures w14:val="none"/>
              </w:rPr>
              <w:t xml:space="preserve">Los patriarcas: historia y teología, </w:t>
            </w:r>
            <w:r w:rsidRPr="4C9C2619">
              <w:rPr>
                <w:rFonts w:ascii="Calibri" w:eastAsia="Arial" w:hAnsi="Calibri" w:cs="Calibri"/>
                <w:color w:val="000000"/>
                <w:kern w:val="0"/>
                <w:lang w:val="es-ES" w:eastAsia="es-CR"/>
                <w14:ligatures w14:val="none"/>
              </w:rPr>
              <w:t>43-107.</w:t>
            </w:r>
            <w:r w:rsidRPr="4C9C2619">
              <w:rPr>
                <w:rFonts w:ascii="Calibri" w:eastAsia="Arial" w:hAnsi="Calibri" w:cs="Calibri"/>
                <w:i/>
                <w:iCs/>
                <w:color w:val="000000"/>
                <w:kern w:val="0"/>
                <w:lang w:val="es-ES" w:eastAsia="es-CR"/>
                <w14:ligatures w14:val="none"/>
              </w:rPr>
              <w:t xml:space="preserve"> </w:t>
            </w:r>
            <w:r w:rsidRPr="4C9C2619">
              <w:rPr>
                <w:rFonts w:ascii="Calibri" w:eastAsia="Arial" w:hAnsi="Calibri" w:cs="Calibri"/>
                <w:color w:val="000000"/>
                <w:kern w:val="0"/>
                <w:lang w:val="es-ES" w:eastAsia="es-CR"/>
                <w14:ligatures w14:val="none"/>
              </w:rPr>
              <w:t xml:space="preserve">Estella: Verbo Divino, 1976. </w:t>
            </w:r>
            <w:r w:rsidRPr="4C9C2619">
              <w:rPr>
                <w:rFonts w:ascii="Calibri" w:eastAsia="Arial" w:hAnsi="Calibri" w:cs="Calibri"/>
                <w:color w:val="0070C0"/>
                <w:kern w:val="0"/>
                <w:lang w:val="es-ES" w:eastAsia="es-CR"/>
                <w14:ligatures w14:val="none"/>
              </w:rPr>
              <w:t>(clásico, última reimpresión 2000)</w:t>
            </w:r>
          </w:p>
          <w:p w14:paraId="27F0C80A"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p>
          <w:p w14:paraId="5B36E346"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p>
          <w:p w14:paraId="63B9E4BF" w14:textId="77777777" w:rsidR="00DE33C0" w:rsidRPr="00DE33C0" w:rsidRDefault="00DE33C0" w:rsidP="00DE33C0">
            <w:pPr>
              <w:spacing w:after="0" w:line="240" w:lineRule="auto"/>
              <w:rPr>
                <w:rFonts w:ascii="Calibri" w:eastAsia="Arial" w:hAnsi="Calibri" w:cs="Calibri"/>
                <w:b/>
                <w:color w:val="000000"/>
                <w:kern w:val="0"/>
                <w:lang w:val="es-ES_tradnl" w:eastAsia="es-CR"/>
                <w14:ligatures w14:val="none"/>
              </w:rPr>
            </w:pPr>
            <w:r w:rsidRPr="00DE33C0">
              <w:rPr>
                <w:rFonts w:ascii="Calibri" w:eastAsia="Arial" w:hAnsi="Calibri" w:cs="Calibri"/>
                <w:b/>
                <w:color w:val="000000"/>
                <w:kern w:val="0"/>
                <w:lang w:val="es-ES_tradnl" w:eastAsia="es-CR"/>
                <w14:ligatures w14:val="none"/>
              </w:rPr>
              <w:t>Material complementario</w:t>
            </w:r>
          </w:p>
          <w:p w14:paraId="6D8957F0" w14:textId="77777777" w:rsidR="00DE33C0" w:rsidRPr="00DE33C0" w:rsidRDefault="00DE33C0" w:rsidP="00DE33C0">
            <w:pPr>
              <w:spacing w:after="0" w:line="240" w:lineRule="auto"/>
              <w:rPr>
                <w:rFonts w:ascii="Calibri" w:eastAsia="Arial" w:hAnsi="Calibri" w:cs="Calibri"/>
                <w:b/>
                <w:color w:val="000000"/>
                <w:kern w:val="0"/>
                <w:lang w:val="es-ES_tradnl" w:eastAsia="es-CR"/>
                <w14:ligatures w14:val="none"/>
              </w:rPr>
            </w:pPr>
          </w:p>
          <w:p w14:paraId="48FF8940" w14:textId="77777777" w:rsidR="00DE33C0" w:rsidRPr="00DE33C0" w:rsidRDefault="00DE33C0" w:rsidP="00DE33C0">
            <w:pPr>
              <w:spacing w:after="0" w:line="240" w:lineRule="auto"/>
              <w:rPr>
                <w:rFonts w:ascii="Calibri" w:eastAsia="Arial" w:hAnsi="Calibri" w:cs="Calibri"/>
                <w:kern w:val="0"/>
                <w:lang w:val="es-ES_tradnl" w:eastAsia="es-CR"/>
                <w14:ligatures w14:val="none"/>
              </w:rPr>
            </w:pPr>
            <w:r w:rsidRPr="00DE33C0">
              <w:rPr>
                <w:rFonts w:ascii="Calibri" w:eastAsia="Arial" w:hAnsi="Calibri" w:cs="Calibri"/>
                <w:kern w:val="0"/>
                <w:lang w:val="es-ES_tradnl" w:eastAsia="es-CR"/>
                <w14:ligatures w14:val="none"/>
              </w:rPr>
              <w:t xml:space="preserve">Piquer Otero, Andrés. “El mundo de los cananeos: textos y creencias”. </w:t>
            </w:r>
            <w:r w:rsidRPr="00DE33C0">
              <w:rPr>
                <w:rFonts w:ascii="Calibri" w:eastAsia="Arial" w:hAnsi="Calibri" w:cs="Calibri"/>
                <w:i/>
                <w:kern w:val="0"/>
                <w:lang w:val="es-ES_tradnl" w:eastAsia="es-CR"/>
                <w14:ligatures w14:val="none"/>
              </w:rPr>
              <w:t>Reseña Bíblica</w:t>
            </w:r>
            <w:r w:rsidRPr="00DE33C0">
              <w:rPr>
                <w:rFonts w:ascii="Calibri" w:eastAsia="Arial" w:hAnsi="Calibri" w:cs="Calibri"/>
                <w:kern w:val="0"/>
                <w:lang w:val="es-ES_tradnl" w:eastAsia="es-CR"/>
                <w14:ligatures w14:val="none"/>
              </w:rPr>
              <w:t>, n. 84 (2014): 5-14.</w:t>
            </w:r>
          </w:p>
          <w:p w14:paraId="0E4127DB" w14:textId="77777777" w:rsidR="00DE33C0" w:rsidRPr="00DE33C0" w:rsidRDefault="00DE33C0" w:rsidP="00DE33C0">
            <w:pPr>
              <w:spacing w:after="0" w:line="240" w:lineRule="auto"/>
              <w:rPr>
                <w:rFonts w:ascii="Calibri" w:eastAsia="Arial" w:hAnsi="Calibri" w:cs="Calibri"/>
                <w:kern w:val="0"/>
                <w:lang w:val="es-ES_tradnl" w:eastAsia="es-CR"/>
                <w14:ligatures w14:val="none"/>
              </w:rPr>
            </w:pPr>
          </w:p>
          <w:p w14:paraId="74A2BA99" w14:textId="77777777" w:rsidR="00DE33C0" w:rsidRPr="00DE33C0" w:rsidRDefault="00DE33C0" w:rsidP="00DE33C0">
            <w:pPr>
              <w:spacing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70C0"/>
                <w:kern w:val="0"/>
                <w:lang w:val="es-ES_tradnl" w:eastAsia="es-CR"/>
                <w14:ligatures w14:val="none"/>
              </w:rPr>
              <w:t>Guía para la elaboración de una reseña crítica de lectura</w:t>
            </w:r>
          </w:p>
          <w:p w14:paraId="21DD68B5" w14:textId="77777777" w:rsidR="00DE33C0" w:rsidRPr="00DE33C0" w:rsidRDefault="00DE33C0" w:rsidP="00DE33C0">
            <w:pPr>
              <w:spacing w:after="0" w:line="240" w:lineRule="auto"/>
              <w:rPr>
                <w:rFonts w:ascii="Calibri" w:eastAsia="Arial" w:hAnsi="Calibri" w:cs="Calibri"/>
                <w:color w:val="0070C0"/>
                <w:kern w:val="0"/>
                <w:lang w:val="es-ES_tradnl" w:eastAsia="es-CR"/>
                <w14:ligatures w14:val="none"/>
              </w:rPr>
            </w:pPr>
          </w:p>
          <w:p w14:paraId="4606BB99" w14:textId="77777777" w:rsidR="00DE33C0" w:rsidRPr="00DE33C0" w:rsidRDefault="00DE33C0" w:rsidP="00DE33C0">
            <w:pPr>
              <w:spacing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70C0"/>
                <w:kern w:val="0"/>
                <w:lang w:val="es-ES_tradnl" w:eastAsia="es-CR"/>
                <w14:ligatures w14:val="none"/>
              </w:rPr>
              <w:t>Guía para la participación en un foro en la plataforma Moodle</w:t>
            </w:r>
          </w:p>
          <w:p w14:paraId="0B57C03D"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tc>
        <w:tc>
          <w:tcPr>
            <w:tcW w:w="3118" w:type="dxa"/>
          </w:tcPr>
          <w:p w14:paraId="4076ADF7"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Realizar la lectura de la sesión.</w:t>
            </w:r>
          </w:p>
          <w:p w14:paraId="23FCB35A"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Elaboración de una reseña crítica de la lectura.</w:t>
            </w:r>
          </w:p>
          <w:p w14:paraId="30793646"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 xml:space="preserve">Foro temático grupal para compartir conclusiones de las reseñas y discutir sobre las implicaciones para el estudio de los relatos patriarcales (formativo). </w:t>
            </w:r>
          </w:p>
          <w:p w14:paraId="3523E636"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4C3FDF14" w14:textId="77777777" w:rsidTr="4C9C2619">
        <w:trPr>
          <w:jc w:val="center"/>
        </w:trPr>
        <w:tc>
          <w:tcPr>
            <w:tcW w:w="1271" w:type="dxa"/>
          </w:tcPr>
          <w:p w14:paraId="5D55ED06"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8</w:t>
            </w:r>
          </w:p>
          <w:p w14:paraId="4472F531"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093535DE"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596029B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3.1 Estructura de “la historia” I: patriarcas, éxodo, Sinaí</w:t>
            </w:r>
          </w:p>
          <w:p w14:paraId="592C2CF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0EC4D18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2FA6CF7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García, Félix. “El libro del Éxodo”. En </w:t>
            </w:r>
            <w:r w:rsidRPr="00DE33C0">
              <w:rPr>
                <w:rFonts w:ascii="Calibri" w:eastAsia="Arial" w:hAnsi="Calibri" w:cs="Calibri"/>
                <w:i/>
                <w:color w:val="000000"/>
                <w:kern w:val="0"/>
                <w:lang w:val="es-ES_tradnl" w:eastAsia="es-CR"/>
                <w14:ligatures w14:val="none"/>
              </w:rPr>
              <w:t>Pentateuco: introducción a la lectura de los cinco primeros libros de la Biblia</w:t>
            </w:r>
            <w:r w:rsidRPr="00DE33C0">
              <w:rPr>
                <w:rFonts w:ascii="Calibri" w:eastAsia="Arial" w:hAnsi="Calibri" w:cs="Calibri"/>
                <w:iCs/>
                <w:color w:val="000000"/>
                <w:kern w:val="0"/>
                <w:lang w:val="es-ES_tradnl" w:eastAsia="es-CR"/>
                <w14:ligatures w14:val="none"/>
              </w:rPr>
              <w:t>, 139-159.</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Estella: Verbo Divino, 2016. </w:t>
            </w:r>
            <w:r w:rsidRPr="00DE33C0">
              <w:rPr>
                <w:rFonts w:ascii="Calibri" w:eastAsia="Arial" w:hAnsi="Calibri" w:cs="Calibri"/>
                <w:color w:val="0070C0"/>
                <w:kern w:val="0"/>
                <w:lang w:val="es-ES_tradnl" w:eastAsia="es-CR"/>
                <w14:ligatures w14:val="none"/>
              </w:rPr>
              <w:t>(clásico, última edición)</w:t>
            </w:r>
          </w:p>
          <w:p w14:paraId="2D7183D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kern w:val="0"/>
                <w:szCs w:val="18"/>
                <w:lang w:val="es-ES_tradnl" w:eastAsia="es-CR"/>
                <w14:ligatures w14:val="none"/>
              </w:rPr>
            </w:pPr>
          </w:p>
          <w:p w14:paraId="76DA80E6"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Arial" w:hAnsi="Calibri" w:cs="Calibri"/>
                <w:color w:val="000000"/>
                <w:kern w:val="0"/>
                <w:lang w:eastAsia="es-CR"/>
                <w14:ligatures w14:val="none"/>
              </w:rPr>
              <w:t xml:space="preserve">Ramírez, José Enrique. “El Éxodo: motivo fundante”. En </w:t>
            </w:r>
            <w:r w:rsidRPr="00DE33C0">
              <w:rPr>
                <w:rFonts w:ascii="Calibri" w:eastAsia="Arial" w:hAnsi="Calibri" w:cs="Calibri"/>
                <w:i/>
                <w:color w:val="000000"/>
                <w:kern w:val="0"/>
                <w:lang w:eastAsia="es-CR"/>
                <w14:ligatures w14:val="none"/>
              </w:rPr>
              <w:t xml:space="preserve">Para comprender el Antiguo Testamento, </w:t>
            </w:r>
            <w:r w:rsidRPr="00DE33C0">
              <w:rPr>
                <w:rFonts w:ascii="Calibri" w:eastAsia="Arial" w:hAnsi="Calibri" w:cs="Calibri"/>
                <w:color w:val="000000"/>
                <w:kern w:val="0"/>
                <w:lang w:eastAsia="es-CR"/>
                <w14:ligatures w14:val="none"/>
              </w:rPr>
              <w:t>80-84.</w:t>
            </w:r>
            <w:r w:rsidRPr="00DE33C0">
              <w:rPr>
                <w:rFonts w:ascii="Calibri" w:eastAsia="Arial" w:hAnsi="Calibri" w:cs="Calibri"/>
                <w:i/>
                <w:color w:val="000000"/>
                <w:kern w:val="0"/>
                <w:lang w:eastAsia="es-CR"/>
                <w14:ligatures w14:val="none"/>
              </w:rPr>
              <w:t xml:space="preserve"> </w:t>
            </w:r>
            <w:r w:rsidRPr="00DE33C0">
              <w:rPr>
                <w:rFonts w:ascii="Calibri" w:eastAsia="Arial" w:hAnsi="Calibri" w:cs="Calibri"/>
                <w:color w:val="000000"/>
                <w:kern w:val="0"/>
                <w:lang w:eastAsia="es-CR"/>
                <w14:ligatures w14:val="none"/>
              </w:rPr>
              <w:t>San José: SEBILA, 2019.</w:t>
            </w:r>
          </w:p>
          <w:p w14:paraId="378FFC8E"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b/>
                <w:iCs/>
                <w:kern w:val="0"/>
                <w:lang w:val="es-ES_tradnl" w:eastAsia="es-CR"/>
                <w14:ligatures w14:val="none"/>
              </w:rPr>
            </w:pPr>
            <w:r w:rsidRPr="00DE33C0">
              <w:rPr>
                <w:rFonts w:ascii="Calibri" w:eastAsia="Arial" w:hAnsi="Calibri" w:cs="Calibri"/>
                <w:b/>
                <w:iCs/>
                <w:kern w:val="0"/>
                <w:lang w:val="es-ES_tradnl" w:eastAsia="es-CR"/>
                <w14:ligatures w14:val="none"/>
              </w:rPr>
              <w:t>Material complementario:</w:t>
            </w:r>
          </w:p>
          <w:p w14:paraId="29D896F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kern w:val="0"/>
                <w:lang w:val="es-ES_tradnl" w:eastAsia="es-CR"/>
                <w14:ligatures w14:val="none"/>
              </w:rPr>
              <w:t>Finkelstein, Israel. “</w:t>
            </w:r>
            <w:r w:rsidRPr="00DE33C0">
              <w:rPr>
                <w:rFonts w:ascii="Calibri" w:eastAsia="Times New Roman" w:hAnsi="Calibri" w:cs="Calibri"/>
                <w:kern w:val="0"/>
                <w:szCs w:val="20"/>
                <w:shd w:val="clear" w:color="auto" w:fill="FFFFFF"/>
                <w:lang w:val="es-ES_tradnl" w:eastAsia="es-CR"/>
                <w14:ligatures w14:val="none"/>
              </w:rPr>
              <w:t>¿</w:t>
            </w:r>
            <w:r w:rsidRPr="00DE33C0">
              <w:rPr>
                <w:rFonts w:ascii="Calibri" w:eastAsia="Arial" w:hAnsi="Calibri" w:cs="Calibri"/>
                <w:kern w:val="0"/>
                <w:lang w:val="es-ES_tradnl" w:eastAsia="es-CR"/>
                <w14:ligatures w14:val="none"/>
              </w:rPr>
              <w:t xml:space="preserve">Tuvo lugar el Éxodo?”. En </w:t>
            </w:r>
            <w:r w:rsidRPr="00DE33C0">
              <w:rPr>
                <w:rFonts w:ascii="Calibri" w:eastAsia="Arial" w:hAnsi="Calibri" w:cs="Calibri"/>
                <w:i/>
                <w:kern w:val="0"/>
                <w:lang w:val="es-ES_tradnl" w:eastAsia="es-CR"/>
                <w14:ligatures w14:val="none"/>
              </w:rPr>
              <w:t xml:space="preserve">La Biblia desenterrada: una nueva visión arqueológica del antiguo Israel y de los orígenes de sus textos sagrados, </w:t>
            </w:r>
            <w:r w:rsidRPr="00DE33C0">
              <w:rPr>
                <w:rFonts w:ascii="Calibri" w:eastAsia="Arial" w:hAnsi="Calibri" w:cs="Calibri"/>
                <w:kern w:val="0"/>
                <w:lang w:val="es-ES_tradnl" w:eastAsia="es-CR"/>
                <w14:ligatures w14:val="none"/>
              </w:rPr>
              <w:t>63-82.</w:t>
            </w:r>
            <w:r w:rsidRPr="00DE33C0">
              <w:rPr>
                <w:rFonts w:ascii="Calibri" w:eastAsia="Arial" w:hAnsi="Calibri" w:cs="Calibri"/>
                <w:i/>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Madrid: Siglo XXI, 2005. </w:t>
            </w:r>
            <w:r w:rsidRPr="00DE33C0">
              <w:rPr>
                <w:rFonts w:ascii="Calibri" w:eastAsia="Arial" w:hAnsi="Calibri" w:cs="Calibri"/>
                <w:color w:val="0070C0"/>
                <w:kern w:val="0"/>
                <w:lang w:val="es-ES_tradnl" w:eastAsia="es-CR"/>
                <w14:ligatures w14:val="none"/>
              </w:rPr>
              <w:t>(clásico, última edición)</w:t>
            </w:r>
          </w:p>
          <w:p w14:paraId="7523A710" w14:textId="77777777" w:rsidR="00DE33C0" w:rsidRPr="00DE33C0" w:rsidRDefault="00DE33C0" w:rsidP="00DE33C0">
            <w:pPr>
              <w:widowControl w:val="0"/>
              <w:overflowPunct w:val="0"/>
              <w:autoSpaceDE w:val="0"/>
              <w:autoSpaceDN w:val="0"/>
              <w:adjustRightInd w:val="0"/>
              <w:spacing w:before="120" w:after="120" w:line="240" w:lineRule="auto"/>
              <w:rPr>
                <w:rFonts w:ascii="Calibri" w:eastAsia="Arial" w:hAnsi="Calibri" w:cs="Calibri"/>
                <w:color w:val="000000"/>
                <w:kern w:val="0"/>
                <w:lang w:val="es-ES_tradnl" w:eastAsia="es-CR"/>
                <w14:ligatures w14:val="none"/>
              </w:rPr>
            </w:pPr>
          </w:p>
          <w:p w14:paraId="73CD1941" w14:textId="77777777" w:rsidR="00DE33C0" w:rsidRPr="00DE33C0" w:rsidRDefault="00DE33C0" w:rsidP="00DE33C0">
            <w:pPr>
              <w:widowControl w:val="0"/>
              <w:overflowPunct w:val="0"/>
              <w:autoSpaceDE w:val="0"/>
              <w:autoSpaceDN w:val="0"/>
              <w:adjustRightInd w:val="0"/>
              <w:spacing w:before="120" w:after="12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70C0"/>
                <w:kern w:val="0"/>
                <w:lang w:val="es-ES_tradnl" w:eastAsia="es-CR"/>
                <w14:ligatures w14:val="none"/>
              </w:rPr>
              <w:t>Guía para la participación en un foro en la plataforma Moodle</w:t>
            </w:r>
          </w:p>
          <w:p w14:paraId="1E4EC9F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iCs/>
                <w:kern w:val="0"/>
                <w:lang w:val="es-ES_tradnl" w:eastAsia="es-CR"/>
                <w14:ligatures w14:val="none"/>
              </w:rPr>
            </w:pPr>
          </w:p>
        </w:tc>
        <w:tc>
          <w:tcPr>
            <w:tcW w:w="3118" w:type="dxa"/>
          </w:tcPr>
          <w:p w14:paraId="4FA73CEF"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las lecturas de la sesión.</w:t>
            </w:r>
          </w:p>
          <w:p w14:paraId="5DD970BE"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kern w:val="0"/>
                <w:lang w:val="es-ES_tradnl" w:eastAsia="es-CR"/>
                <w14:ligatures w14:val="none"/>
              </w:rPr>
              <w:t>Participación en el foro temático: El éxodo en el Antiguo Testamento, donde se discutirán las lecturas y se realizarán aportes docentes.</w:t>
            </w:r>
          </w:p>
          <w:p w14:paraId="79C713A5"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kern w:val="0"/>
                <w:lang w:val="es-ES_tradnl" w:eastAsia="es-CR"/>
                <w14:ligatures w14:val="none"/>
              </w:rPr>
              <w:t>Orientaciones para el ensayo grupal a través de una guía.</w:t>
            </w:r>
          </w:p>
          <w:p w14:paraId="65498CFC"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kern w:val="0"/>
                <w:lang w:val="es-ES_tradnl" w:eastAsia="es-CR"/>
                <w14:ligatures w14:val="none"/>
              </w:rPr>
              <w:t>Elegir tema del ensayo grupal de síntesis de la historia de Israel en el Antiguo Testamento por medio del foro grupal.</w:t>
            </w:r>
          </w:p>
          <w:p w14:paraId="51B29D0D"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51F0668E" w14:textId="77777777" w:rsidTr="4C9C2619">
        <w:trPr>
          <w:jc w:val="center"/>
        </w:trPr>
        <w:tc>
          <w:tcPr>
            <w:tcW w:w="1271" w:type="dxa"/>
          </w:tcPr>
          <w:p w14:paraId="495DD68F"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9</w:t>
            </w:r>
          </w:p>
          <w:p w14:paraId="2FFD130D"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1AD0B12B"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5329711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lastRenderedPageBreak/>
              <w:t>3.1 Estructura de “la historia” I: patriarcas, éxodo, Sinaí</w:t>
            </w:r>
          </w:p>
          <w:p w14:paraId="77E59C6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szCs w:val="18"/>
                <w:lang w:val="es-ES_tradnl" w:eastAsia="es-CR"/>
                <w14:ligatures w14:val="none"/>
              </w:rPr>
            </w:pPr>
          </w:p>
        </w:tc>
        <w:tc>
          <w:tcPr>
            <w:tcW w:w="3119" w:type="dxa"/>
          </w:tcPr>
          <w:p w14:paraId="3EAF36ED"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lastRenderedPageBreak/>
              <w:t>Ruta de aprendizaje</w:t>
            </w:r>
          </w:p>
          <w:p w14:paraId="62DAEB7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eastAsia="es-CR"/>
                <w14:ligatures w14:val="none"/>
              </w:rPr>
              <w:t xml:space="preserve">Renaud, Bernard. “La Alianza de Dios con Israel”. En </w:t>
            </w:r>
            <w:r w:rsidRPr="00DE33C0">
              <w:rPr>
                <w:rFonts w:ascii="Calibri" w:eastAsia="Arial" w:hAnsi="Calibri" w:cs="Calibri"/>
                <w:i/>
                <w:color w:val="000000"/>
                <w:kern w:val="0"/>
                <w:lang w:eastAsia="es-CR"/>
                <w14:ligatures w14:val="none"/>
              </w:rPr>
              <w:t xml:space="preserve">La alianza: en el corazón de la Torá, </w:t>
            </w:r>
            <w:r w:rsidRPr="00DE33C0">
              <w:rPr>
                <w:rFonts w:ascii="Calibri" w:eastAsia="Arial" w:hAnsi="Calibri" w:cs="Calibri"/>
                <w:color w:val="000000"/>
                <w:kern w:val="0"/>
                <w:lang w:eastAsia="es-CR"/>
                <w14:ligatures w14:val="none"/>
              </w:rPr>
              <w:t>24-45.</w:t>
            </w:r>
            <w:r w:rsidRPr="00DE33C0">
              <w:rPr>
                <w:rFonts w:ascii="Calibri" w:eastAsia="Arial" w:hAnsi="Calibri" w:cs="Calibri"/>
                <w:i/>
                <w:color w:val="000000"/>
                <w:kern w:val="0"/>
                <w:lang w:eastAsia="es-CR"/>
                <w14:ligatures w14:val="none"/>
              </w:rPr>
              <w:t xml:space="preserve"> </w:t>
            </w:r>
            <w:r w:rsidRPr="00DE33C0">
              <w:rPr>
                <w:rFonts w:ascii="Calibri" w:eastAsia="Arial" w:hAnsi="Calibri" w:cs="Calibri"/>
                <w:color w:val="000000"/>
                <w:kern w:val="0"/>
                <w:lang w:eastAsia="es-CR"/>
                <w14:ligatures w14:val="none"/>
              </w:rPr>
              <w:lastRenderedPageBreak/>
              <w:t xml:space="preserve">Estella: Verbo Divino, 2009. </w:t>
            </w:r>
            <w:r w:rsidRPr="00DE33C0">
              <w:rPr>
                <w:rFonts w:ascii="Calibri" w:eastAsia="Arial" w:hAnsi="Calibri" w:cs="Calibri"/>
                <w:color w:val="0070C0"/>
                <w:kern w:val="0"/>
                <w:lang w:val="es-ES_tradnl" w:eastAsia="es-CR"/>
                <w14:ligatures w14:val="none"/>
              </w:rPr>
              <w:t>(clásico, última edición)</w:t>
            </w:r>
          </w:p>
          <w:p w14:paraId="0387945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p>
          <w:p w14:paraId="03518C5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proofErr w:type="spellStart"/>
            <w:r w:rsidRPr="00DE33C0">
              <w:rPr>
                <w:rFonts w:ascii="Calibri" w:eastAsia="Arial" w:hAnsi="Calibri" w:cs="Calibri"/>
                <w:color w:val="000000"/>
                <w:kern w:val="0"/>
                <w:lang w:eastAsia="es-CR"/>
                <w14:ligatures w14:val="none"/>
              </w:rPr>
              <w:t>Finsterbuch</w:t>
            </w:r>
            <w:proofErr w:type="spellEnd"/>
            <w:r w:rsidRPr="00DE33C0">
              <w:rPr>
                <w:rFonts w:ascii="Calibri" w:eastAsia="Arial" w:hAnsi="Calibri" w:cs="Calibri"/>
                <w:color w:val="000000"/>
                <w:kern w:val="0"/>
                <w:lang w:eastAsia="es-CR"/>
                <w14:ligatures w14:val="none"/>
              </w:rPr>
              <w:t xml:space="preserve">, Karin. “Mujeres: entre “dependencia” y “autonomía”. Aspectos relevantes de género en los textos legislativos de la </w:t>
            </w:r>
            <w:proofErr w:type="spellStart"/>
            <w:r w:rsidRPr="00DE33C0">
              <w:rPr>
                <w:rFonts w:ascii="Calibri" w:eastAsia="Arial" w:hAnsi="Calibri" w:cs="Calibri"/>
                <w:color w:val="000000"/>
                <w:kern w:val="0"/>
                <w:lang w:eastAsia="es-CR"/>
                <w14:ligatures w14:val="none"/>
              </w:rPr>
              <w:t>Torah</w:t>
            </w:r>
            <w:proofErr w:type="spellEnd"/>
            <w:r w:rsidRPr="00DE33C0">
              <w:rPr>
                <w:rFonts w:ascii="Calibri" w:eastAsia="Arial" w:hAnsi="Calibri" w:cs="Calibri"/>
                <w:color w:val="000000"/>
                <w:kern w:val="0"/>
                <w:lang w:eastAsia="es-CR"/>
                <w14:ligatures w14:val="none"/>
              </w:rPr>
              <w:t xml:space="preserve">”. En </w:t>
            </w:r>
            <w:r w:rsidRPr="00DE33C0">
              <w:rPr>
                <w:rFonts w:ascii="Calibri" w:eastAsia="Arial" w:hAnsi="Calibri" w:cs="Calibri"/>
                <w:i/>
                <w:color w:val="000000"/>
                <w:kern w:val="0"/>
                <w:lang w:val="es-ES_tradnl" w:eastAsia="es-CR"/>
                <w14:ligatures w14:val="none"/>
              </w:rPr>
              <w:t>La Torá</w:t>
            </w:r>
            <w:r w:rsidRPr="00DE33C0">
              <w:rPr>
                <w:rFonts w:ascii="Calibri" w:eastAsia="Arial" w:hAnsi="Calibri" w:cs="Calibri"/>
                <w:color w:val="000000"/>
                <w:kern w:val="0"/>
                <w:lang w:val="es-ES_tradnl" w:eastAsia="es-CR"/>
                <w14:ligatures w14:val="none"/>
              </w:rPr>
              <w:t xml:space="preserve">, editado por Mercedes Navarro e </w:t>
            </w:r>
            <w:proofErr w:type="spellStart"/>
            <w:r w:rsidRPr="00DE33C0">
              <w:rPr>
                <w:rFonts w:ascii="Calibri" w:eastAsia="Arial" w:hAnsi="Calibri" w:cs="Calibri"/>
                <w:color w:val="000000"/>
                <w:kern w:val="0"/>
                <w:lang w:val="es-ES_tradnl" w:eastAsia="es-CR"/>
                <w14:ligatures w14:val="none"/>
              </w:rPr>
              <w:t>Irmtraud</w:t>
            </w:r>
            <w:proofErr w:type="spellEnd"/>
            <w:r w:rsidRPr="00DE33C0">
              <w:rPr>
                <w:rFonts w:ascii="Calibri" w:eastAsia="Arial" w:hAnsi="Calibri" w:cs="Calibri"/>
                <w:color w:val="000000"/>
                <w:kern w:val="0"/>
                <w:lang w:val="es-ES_tradnl" w:eastAsia="es-CR"/>
                <w14:ligatures w14:val="none"/>
              </w:rPr>
              <w:t xml:space="preserve"> Fischer, 409-435. Estella: Verbo Divino, 2010. </w:t>
            </w:r>
            <w:r w:rsidRPr="00DE33C0">
              <w:rPr>
                <w:rFonts w:ascii="Calibri" w:eastAsia="Arial" w:hAnsi="Calibri" w:cs="Calibri"/>
                <w:color w:val="0070C0"/>
                <w:kern w:val="0"/>
                <w:lang w:val="es-ES_tradnl" w:eastAsia="es-CR"/>
                <w14:ligatures w14:val="none"/>
              </w:rPr>
              <w:t>(clásico, última edición)</w:t>
            </w:r>
          </w:p>
          <w:p w14:paraId="6A82BAAD"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34407876"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70C0"/>
                <w:kern w:val="0"/>
                <w:lang w:eastAsia="es-CR"/>
                <w14:ligatures w14:val="none"/>
              </w:rPr>
              <w:t xml:space="preserve">Guía para la participación mediante la herramienta Big Blue </w:t>
            </w:r>
            <w:proofErr w:type="spellStart"/>
            <w:r w:rsidRPr="00DE33C0">
              <w:rPr>
                <w:rFonts w:ascii="Calibri" w:eastAsia="Times New Roman" w:hAnsi="Calibri" w:cs="Calibri"/>
                <w:color w:val="0070C0"/>
                <w:kern w:val="0"/>
                <w:lang w:eastAsia="es-CR"/>
                <w14:ligatures w14:val="none"/>
              </w:rPr>
              <w:t>Button</w:t>
            </w:r>
            <w:proofErr w:type="spellEnd"/>
            <w:r w:rsidRPr="00DE33C0">
              <w:rPr>
                <w:rFonts w:ascii="Calibri" w:eastAsia="Times New Roman" w:hAnsi="Calibri" w:cs="Calibri"/>
                <w:color w:val="0070C0"/>
                <w:kern w:val="0"/>
                <w:lang w:eastAsia="es-CR"/>
                <w14:ligatures w14:val="none"/>
              </w:rPr>
              <w:t xml:space="preserve"> en la plataforma Moodle</w:t>
            </w:r>
          </w:p>
        </w:tc>
        <w:tc>
          <w:tcPr>
            <w:tcW w:w="3118" w:type="dxa"/>
          </w:tcPr>
          <w:p w14:paraId="285A09C8"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Realizar las lecturas de la sesión, de las cuales se deben realizar apuntes para el ensayo grupal.</w:t>
            </w:r>
          </w:p>
          <w:p w14:paraId="2135F900"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Observación y discusión del video: Las leyes de Dios en un encuentro sincrónico (formativo).</w:t>
            </w:r>
          </w:p>
          <w:p w14:paraId="2E9E4972"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Aporte docente: El decálogo en la Biblia y su función social en la actualidad en un encuentro sincrónico virtual (formativo).</w:t>
            </w:r>
          </w:p>
          <w:p w14:paraId="09746918"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4D8354AD" w14:textId="77777777" w:rsidTr="4C9C2619">
        <w:trPr>
          <w:jc w:val="center"/>
        </w:trPr>
        <w:tc>
          <w:tcPr>
            <w:tcW w:w="1271" w:type="dxa"/>
          </w:tcPr>
          <w:p w14:paraId="0E9B2F34"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10</w:t>
            </w:r>
          </w:p>
          <w:p w14:paraId="726E9AA8"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tc>
        <w:tc>
          <w:tcPr>
            <w:tcW w:w="2126" w:type="dxa"/>
          </w:tcPr>
          <w:p w14:paraId="183004C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05346046"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3.2 Estructura de “la historia” II: conquista, monarquía, exilio</w:t>
            </w:r>
          </w:p>
          <w:p w14:paraId="455E1B5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464AF3FA"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447E99D5" w14:textId="77777777" w:rsidR="00DE33C0" w:rsidRPr="00DE33C0" w:rsidRDefault="00DE33C0" w:rsidP="00DE33C0">
            <w:pPr>
              <w:spacing w:after="0" w:line="240" w:lineRule="auto"/>
              <w:rPr>
                <w:rFonts w:ascii="Calibri" w:eastAsia="Arial" w:hAnsi="Calibri" w:cs="Calibri"/>
                <w:color w:val="000000"/>
                <w:kern w:val="0"/>
                <w:lang w:val="es-ES_tradnl" w:eastAsia="es-CR"/>
                <w14:ligatures w14:val="none"/>
              </w:rPr>
            </w:pPr>
          </w:p>
          <w:p w14:paraId="47E05C5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Prior, Michael. “Las tradiciones bíblicas sobre la tierra”. En </w:t>
            </w:r>
            <w:r w:rsidRPr="00DE33C0">
              <w:rPr>
                <w:rFonts w:ascii="Calibri" w:eastAsia="Arial" w:hAnsi="Calibri" w:cs="Calibri"/>
                <w:i/>
                <w:color w:val="000000"/>
                <w:kern w:val="0"/>
                <w:lang w:val="es-ES_tradnl" w:eastAsia="es-CR"/>
                <w14:ligatures w14:val="none"/>
              </w:rPr>
              <w:t xml:space="preserve">La Biblia y el colonialismo: una crítica moral, </w:t>
            </w:r>
            <w:r w:rsidRPr="00DE33C0">
              <w:rPr>
                <w:rFonts w:ascii="Calibri" w:eastAsia="Arial" w:hAnsi="Calibri" w:cs="Calibri"/>
                <w:color w:val="000000"/>
                <w:kern w:val="0"/>
                <w:lang w:val="es-ES_tradnl" w:eastAsia="es-CR"/>
                <w14:ligatures w14:val="none"/>
              </w:rPr>
              <w:t>3-30</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Buenos Aires: Canaán, 2005. </w:t>
            </w:r>
            <w:r w:rsidRPr="00DE33C0">
              <w:rPr>
                <w:rFonts w:ascii="Calibri" w:eastAsia="Arial" w:hAnsi="Calibri" w:cs="Calibri"/>
                <w:color w:val="0070C0"/>
                <w:kern w:val="0"/>
                <w:lang w:val="es-ES_tradnl" w:eastAsia="es-CR"/>
                <w14:ligatures w14:val="none"/>
              </w:rPr>
              <w:t>(clásico, última edición)</w:t>
            </w:r>
          </w:p>
          <w:p w14:paraId="05426466" w14:textId="77777777" w:rsidR="00DE33C0" w:rsidRPr="00DE33C0" w:rsidRDefault="00DE33C0" w:rsidP="00DE33C0">
            <w:pPr>
              <w:spacing w:after="0" w:line="240" w:lineRule="auto"/>
              <w:rPr>
                <w:rFonts w:ascii="Calibri" w:eastAsia="Arial" w:hAnsi="Calibri" w:cs="Calibri"/>
                <w:color w:val="FF0000"/>
                <w:kern w:val="0"/>
                <w:lang w:val="es-ES_tradnl" w:eastAsia="es-CR"/>
                <w14:ligatures w14:val="none"/>
              </w:rPr>
            </w:pPr>
          </w:p>
          <w:p w14:paraId="5F124FC8" w14:textId="77777777" w:rsidR="00DE33C0" w:rsidRPr="00DE33C0" w:rsidRDefault="00DE33C0" w:rsidP="00DE33C0">
            <w:pPr>
              <w:spacing w:after="0" w:line="240" w:lineRule="auto"/>
              <w:rPr>
                <w:rFonts w:ascii="Calibri" w:eastAsia="Arial" w:hAnsi="Calibri" w:cs="Calibri"/>
                <w:i/>
                <w:color w:val="000000"/>
                <w:kern w:val="0"/>
                <w:lang w:val="es-ES_tradnl" w:eastAsia="es-CR"/>
                <w14:ligatures w14:val="none"/>
              </w:rPr>
            </w:pPr>
          </w:p>
          <w:p w14:paraId="5C8B845F" w14:textId="77777777" w:rsidR="00DE33C0" w:rsidRPr="00DE33C0" w:rsidRDefault="00DE33C0" w:rsidP="00DE33C0">
            <w:pPr>
              <w:spacing w:after="0" w:line="240" w:lineRule="auto"/>
              <w:rPr>
                <w:rFonts w:ascii="Calibri" w:eastAsia="Arial" w:hAnsi="Calibri" w:cs="Calibri"/>
                <w:b/>
                <w:kern w:val="0"/>
                <w:lang w:val="es-ES_tradnl" w:eastAsia="es-CR"/>
                <w14:ligatures w14:val="none"/>
              </w:rPr>
            </w:pPr>
            <w:r w:rsidRPr="00DE33C0">
              <w:rPr>
                <w:rFonts w:ascii="Calibri" w:eastAsia="Arial" w:hAnsi="Calibri" w:cs="Calibri"/>
                <w:b/>
                <w:kern w:val="0"/>
                <w:lang w:val="es-ES_tradnl" w:eastAsia="es-CR"/>
                <w14:ligatures w14:val="none"/>
              </w:rPr>
              <w:t>Material complementario</w:t>
            </w:r>
          </w:p>
          <w:p w14:paraId="6F620CBF" w14:textId="77777777" w:rsidR="00DE33C0" w:rsidRPr="00DE33C0" w:rsidRDefault="00DE33C0" w:rsidP="00DE33C0">
            <w:pPr>
              <w:spacing w:after="0" w:line="240" w:lineRule="auto"/>
              <w:rPr>
                <w:rFonts w:ascii="Calibri" w:eastAsia="Arial" w:hAnsi="Calibri" w:cs="Calibri"/>
                <w:b/>
                <w:kern w:val="0"/>
                <w:lang w:val="es-ES_tradnl" w:eastAsia="es-CR"/>
                <w14:ligatures w14:val="none"/>
              </w:rPr>
            </w:pPr>
          </w:p>
          <w:p w14:paraId="1F8FEC3B" w14:textId="77777777" w:rsidR="00DE33C0" w:rsidRPr="00DE33C0" w:rsidRDefault="00DE33C0" w:rsidP="00DE33C0">
            <w:pPr>
              <w:spacing w:after="0" w:line="240" w:lineRule="auto"/>
              <w:rPr>
                <w:rFonts w:ascii="Calibri" w:eastAsia="Arial" w:hAnsi="Calibri" w:cs="Calibri"/>
                <w:kern w:val="0"/>
                <w:lang w:val="es-ES_tradnl" w:eastAsia="es-CR"/>
                <w14:ligatures w14:val="none"/>
              </w:rPr>
            </w:pPr>
            <w:r w:rsidRPr="00DE33C0">
              <w:rPr>
                <w:rFonts w:ascii="Calibri" w:eastAsia="Arial" w:hAnsi="Calibri" w:cs="Calibri"/>
                <w:kern w:val="0"/>
                <w:lang w:val="es-ES_tradnl" w:eastAsia="es-CR"/>
                <w14:ligatures w14:val="none"/>
              </w:rPr>
              <w:t xml:space="preserve">Cervantes Gabarrón, José. “La Biblia en la nueva evangelización de América”. </w:t>
            </w:r>
            <w:r w:rsidRPr="00DE33C0">
              <w:rPr>
                <w:rFonts w:ascii="Calibri" w:eastAsia="Arial" w:hAnsi="Calibri" w:cs="Calibri"/>
                <w:i/>
                <w:kern w:val="0"/>
                <w:lang w:val="es-ES_tradnl" w:eastAsia="es-CR"/>
                <w14:ligatures w14:val="none"/>
              </w:rPr>
              <w:t>Reseña Bíblica</w:t>
            </w:r>
            <w:r w:rsidRPr="00DE33C0">
              <w:rPr>
                <w:rFonts w:ascii="Calibri" w:eastAsia="Arial" w:hAnsi="Calibri" w:cs="Calibri"/>
                <w:kern w:val="0"/>
                <w:lang w:val="es-ES_tradnl" w:eastAsia="es-CR"/>
                <w14:ligatures w14:val="none"/>
              </w:rPr>
              <w:t xml:space="preserve">, n. 96 (2017): 53-61. </w:t>
            </w:r>
          </w:p>
          <w:p w14:paraId="6F665C30" w14:textId="77777777" w:rsidR="00DE33C0" w:rsidRPr="00DE33C0" w:rsidRDefault="00DE33C0" w:rsidP="00DE33C0">
            <w:pPr>
              <w:spacing w:after="0" w:line="240" w:lineRule="auto"/>
              <w:rPr>
                <w:rFonts w:ascii="Calibri" w:eastAsia="Arial" w:hAnsi="Calibri" w:cs="Calibri"/>
                <w:kern w:val="0"/>
                <w:lang w:val="es-ES_tradnl" w:eastAsia="es-CR"/>
                <w14:ligatures w14:val="none"/>
              </w:rPr>
            </w:pPr>
          </w:p>
          <w:p w14:paraId="44EB8596" w14:textId="77777777" w:rsidR="00DE33C0" w:rsidRPr="00DE33C0" w:rsidRDefault="00DE33C0" w:rsidP="4C9C2619">
            <w:pPr>
              <w:spacing w:after="0" w:line="240" w:lineRule="auto"/>
              <w:rPr>
                <w:rFonts w:ascii="Calibri" w:eastAsia="Arial" w:hAnsi="Calibri" w:cs="Calibri"/>
                <w:color w:val="0070C0"/>
                <w:kern w:val="0"/>
                <w:lang w:val="es-ES" w:eastAsia="es-CR"/>
                <w14:ligatures w14:val="none"/>
              </w:rPr>
            </w:pPr>
            <w:r w:rsidRPr="4C9C2619">
              <w:rPr>
                <w:rFonts w:ascii="Calibri" w:eastAsia="Arial"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Arial" w:hAnsi="Calibri" w:cs="Calibri"/>
                <w:color w:val="0070C0"/>
                <w:kern w:val="0"/>
                <w:lang w:val="es-ES" w:eastAsia="es-CR"/>
                <w14:ligatures w14:val="none"/>
              </w:rPr>
              <w:t>Button</w:t>
            </w:r>
            <w:proofErr w:type="spellEnd"/>
            <w:r w:rsidRPr="4C9C2619">
              <w:rPr>
                <w:rFonts w:ascii="Calibri" w:eastAsia="Arial" w:hAnsi="Calibri" w:cs="Calibri"/>
                <w:color w:val="0070C0"/>
                <w:kern w:val="0"/>
                <w:lang w:val="es-ES" w:eastAsia="es-CR"/>
                <w14:ligatures w14:val="none"/>
              </w:rPr>
              <w:t xml:space="preserve"> en la plataforma Moodle</w:t>
            </w:r>
          </w:p>
          <w:p w14:paraId="1A70B7EB"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p>
        </w:tc>
        <w:tc>
          <w:tcPr>
            <w:tcW w:w="3118" w:type="dxa"/>
          </w:tcPr>
          <w:p w14:paraId="714C5F7A"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de la sesión.</w:t>
            </w:r>
          </w:p>
          <w:p w14:paraId="19F7B280"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Observación del video: El éxodo y la conquista (La Biblia Desenterrada) en el video foro virtual.</w:t>
            </w:r>
          </w:p>
          <w:p w14:paraId="4E87909F"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Debate en el video foro virtual sobre las teorías sobre la conquista (se aporta insumo y guía).</w:t>
            </w:r>
          </w:p>
          <w:p w14:paraId="41C3FF79"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Síntesis docente en el video foro virtual.</w:t>
            </w:r>
          </w:p>
          <w:p w14:paraId="172CAB63"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 xml:space="preserve">Entrega del primer avance del ensayo grupal. </w:t>
            </w:r>
          </w:p>
          <w:p w14:paraId="27B7B40E"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72CFF065" w14:textId="77777777" w:rsidTr="4C9C2619">
        <w:trPr>
          <w:jc w:val="center"/>
        </w:trPr>
        <w:tc>
          <w:tcPr>
            <w:tcW w:w="1271" w:type="dxa"/>
          </w:tcPr>
          <w:p w14:paraId="425457A6"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11</w:t>
            </w:r>
          </w:p>
          <w:p w14:paraId="38B35D3D"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540CB02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05CE641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lastRenderedPageBreak/>
              <w:t>3.2 Estructura de “la historia” II: conquista, monarquía, exilio</w:t>
            </w:r>
          </w:p>
          <w:p w14:paraId="59E3A338"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0CF990C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lastRenderedPageBreak/>
              <w:t>Ruta de aprendizaje</w:t>
            </w:r>
          </w:p>
          <w:p w14:paraId="5D332E2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eastAsia="es-CR"/>
                <w14:ligatures w14:val="none"/>
              </w:rPr>
              <w:t xml:space="preserve">González Lamadrid, Antonio. “Los libros de Samuel. De los jueces a la monarquía”. En </w:t>
            </w:r>
            <w:r w:rsidRPr="00DE33C0">
              <w:rPr>
                <w:rFonts w:ascii="Calibri" w:eastAsia="Arial" w:hAnsi="Calibri" w:cs="Calibri"/>
                <w:i/>
                <w:color w:val="000000"/>
                <w:kern w:val="0"/>
                <w:lang w:val="es-ES_tradnl" w:eastAsia="es-CR"/>
                <w14:ligatures w14:val="none"/>
              </w:rPr>
              <w:lastRenderedPageBreak/>
              <w:t xml:space="preserve">Historia, Narrativa, Apocalíptica, </w:t>
            </w:r>
            <w:r w:rsidRPr="00DE33C0">
              <w:rPr>
                <w:rFonts w:ascii="Calibri" w:eastAsia="Arial" w:hAnsi="Calibri" w:cs="Calibri"/>
                <w:color w:val="000000"/>
                <w:kern w:val="0"/>
                <w:lang w:val="es-ES_tradnl" w:eastAsia="es-CR"/>
                <w14:ligatures w14:val="none"/>
              </w:rPr>
              <w:t xml:space="preserve">coordinado por José Manuel Sánchez Caro, 119-167. Estella: Verbo Divino, 2003. </w:t>
            </w:r>
            <w:r w:rsidRPr="00DE33C0">
              <w:rPr>
                <w:rFonts w:ascii="Calibri" w:eastAsia="Arial" w:hAnsi="Calibri" w:cs="Calibri"/>
                <w:color w:val="0070C0"/>
                <w:kern w:val="0"/>
                <w:lang w:val="es-ES_tradnl" w:eastAsia="es-CR"/>
                <w14:ligatures w14:val="none"/>
              </w:rPr>
              <w:t>(clásico, última edición)</w:t>
            </w:r>
          </w:p>
          <w:p w14:paraId="0F7E798B"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val="es-ES_tradnl" w:eastAsia="es-CR"/>
                <w14:ligatures w14:val="none"/>
              </w:rPr>
            </w:pPr>
          </w:p>
          <w:p w14:paraId="02098824"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Arial" w:hAnsi="Calibri" w:cs="Calibri"/>
                <w:color w:val="000000"/>
                <w:kern w:val="0"/>
                <w:lang w:eastAsia="es-CR"/>
                <w14:ligatures w14:val="none"/>
              </w:rPr>
              <w:t xml:space="preserve">Ramírez, José Enrique. “David, el póster y la historia”. En </w:t>
            </w:r>
            <w:r w:rsidRPr="00DE33C0">
              <w:rPr>
                <w:rFonts w:ascii="Calibri" w:eastAsia="Arial" w:hAnsi="Calibri" w:cs="Calibri"/>
                <w:i/>
                <w:color w:val="000000"/>
                <w:kern w:val="0"/>
                <w:lang w:eastAsia="es-CR"/>
                <w14:ligatures w14:val="none"/>
              </w:rPr>
              <w:t xml:space="preserve">Para comprender el Antiguo Testamento, </w:t>
            </w:r>
            <w:r w:rsidRPr="00DE33C0">
              <w:rPr>
                <w:rFonts w:ascii="Calibri" w:eastAsia="Arial" w:hAnsi="Calibri" w:cs="Calibri"/>
                <w:color w:val="000000"/>
                <w:kern w:val="0"/>
                <w:lang w:eastAsia="es-CR"/>
                <w14:ligatures w14:val="none"/>
              </w:rPr>
              <w:t>122-129.</w:t>
            </w:r>
            <w:r w:rsidRPr="00DE33C0">
              <w:rPr>
                <w:rFonts w:ascii="Calibri" w:eastAsia="Arial" w:hAnsi="Calibri" w:cs="Calibri"/>
                <w:i/>
                <w:color w:val="000000"/>
                <w:kern w:val="0"/>
                <w:lang w:eastAsia="es-CR"/>
                <w14:ligatures w14:val="none"/>
              </w:rPr>
              <w:t xml:space="preserve"> </w:t>
            </w:r>
            <w:r w:rsidRPr="00DE33C0">
              <w:rPr>
                <w:rFonts w:ascii="Calibri" w:eastAsia="Arial" w:hAnsi="Calibri" w:cs="Calibri"/>
                <w:color w:val="000000"/>
                <w:kern w:val="0"/>
                <w:lang w:eastAsia="es-CR"/>
                <w14:ligatures w14:val="none"/>
              </w:rPr>
              <w:t>San José: SEBILA, 2019.</w:t>
            </w:r>
          </w:p>
          <w:p w14:paraId="42B87ADC"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3A4E2317"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color w:val="0070C0"/>
                <w:kern w:val="0"/>
                <w:lang w:eastAsia="es-CR"/>
                <w14:ligatures w14:val="none"/>
              </w:rPr>
              <w:t xml:space="preserve">Guía para la participación mediante la herramienta Big Blue </w:t>
            </w:r>
            <w:proofErr w:type="spellStart"/>
            <w:r w:rsidRPr="00DE33C0">
              <w:rPr>
                <w:rFonts w:ascii="Calibri" w:eastAsia="Times New Roman" w:hAnsi="Calibri" w:cs="Calibri"/>
                <w:color w:val="0070C0"/>
                <w:kern w:val="0"/>
                <w:lang w:eastAsia="es-CR"/>
                <w14:ligatures w14:val="none"/>
              </w:rPr>
              <w:t>Button</w:t>
            </w:r>
            <w:proofErr w:type="spellEnd"/>
            <w:r w:rsidRPr="00DE33C0">
              <w:rPr>
                <w:rFonts w:ascii="Calibri" w:eastAsia="Times New Roman" w:hAnsi="Calibri" w:cs="Calibri"/>
                <w:color w:val="0070C0"/>
                <w:kern w:val="0"/>
                <w:lang w:eastAsia="es-CR"/>
                <w14:ligatures w14:val="none"/>
              </w:rPr>
              <w:t xml:space="preserve"> en la plataforma Moodle</w:t>
            </w:r>
          </w:p>
          <w:p w14:paraId="62A4F9AD"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0000"/>
                <w:kern w:val="0"/>
                <w:lang w:eastAsia="es-CR"/>
                <w14:ligatures w14:val="none"/>
              </w:rPr>
            </w:pPr>
          </w:p>
        </w:tc>
        <w:tc>
          <w:tcPr>
            <w:tcW w:w="3118" w:type="dxa"/>
          </w:tcPr>
          <w:p w14:paraId="6E0B5742"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Realizar las lecturas de la sesión.</w:t>
            </w:r>
          </w:p>
          <w:p w14:paraId="441F7104"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Entrega del segundo avance del ensayo grupal.</w:t>
            </w:r>
          </w:p>
          <w:p w14:paraId="053F91FB"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Exposición docente: Monarquía en el antiguo cercano oriente, seguida de una discusión en plenaria en un encuentro sincrónico virtual (formativo).</w:t>
            </w:r>
          </w:p>
        </w:tc>
      </w:tr>
      <w:tr w:rsidR="00DE33C0" w:rsidRPr="00DE33C0" w14:paraId="03557ED7" w14:textId="77777777" w:rsidTr="4C9C2619">
        <w:trPr>
          <w:jc w:val="center"/>
        </w:trPr>
        <w:tc>
          <w:tcPr>
            <w:tcW w:w="1271" w:type="dxa"/>
          </w:tcPr>
          <w:p w14:paraId="2E4644F5"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12</w:t>
            </w:r>
          </w:p>
          <w:p w14:paraId="58D044FE"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48F3A3E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45E2E64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3.2 Estructura de “la historia” II: conquista, monarquía, exilio</w:t>
            </w:r>
          </w:p>
          <w:p w14:paraId="2CA7F43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sz w:val="24"/>
                <w:szCs w:val="20"/>
                <w:lang w:val="es-ES_tradnl" w:eastAsia="es-CR"/>
                <w14:ligatures w14:val="none"/>
              </w:rPr>
            </w:pPr>
          </w:p>
        </w:tc>
        <w:tc>
          <w:tcPr>
            <w:tcW w:w="3119" w:type="dxa"/>
          </w:tcPr>
          <w:p w14:paraId="425119C8"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3C56D6C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color w:val="000000"/>
                <w:kern w:val="0"/>
                <w:sz w:val="20"/>
                <w:szCs w:val="20"/>
                <w:lang w:eastAsia="es-CR"/>
                <w14:ligatures w14:val="none"/>
              </w:rPr>
            </w:pPr>
            <w:r w:rsidRPr="00DE33C0">
              <w:rPr>
                <w:rFonts w:ascii="Calibri" w:eastAsia="Times New Roman" w:hAnsi="Calibri" w:cs="Calibri"/>
                <w:bCs/>
                <w:color w:val="000000"/>
                <w:kern w:val="0"/>
                <w:lang w:val="es-ES_tradnl" w:eastAsia="es-CR"/>
                <w14:ligatures w14:val="none"/>
              </w:rPr>
              <w:t xml:space="preserve">Carbajosa Ignacio, Joaquín González Echegaray y Francisco Varo. “Los orígenes de la monarquía”. En </w:t>
            </w:r>
            <w:r w:rsidRPr="00DE33C0">
              <w:rPr>
                <w:rFonts w:ascii="Calibri" w:eastAsia="Times New Roman" w:hAnsi="Calibri" w:cs="Calibri"/>
                <w:bCs/>
                <w:i/>
                <w:iCs/>
                <w:color w:val="000000"/>
                <w:kern w:val="0"/>
                <w:lang w:val="es-ES_tradnl" w:eastAsia="es-CR"/>
                <w14:ligatures w14:val="none"/>
              </w:rPr>
              <w:t>La Biblia en su entorno</w:t>
            </w:r>
            <w:r w:rsidRPr="00DE33C0">
              <w:rPr>
                <w:rFonts w:ascii="Calibri" w:eastAsia="Times New Roman" w:hAnsi="Calibri" w:cs="Calibri"/>
                <w:bCs/>
                <w:color w:val="000000"/>
                <w:kern w:val="0"/>
                <w:lang w:val="es-ES_tradnl" w:eastAsia="es-CR"/>
                <w14:ligatures w14:val="none"/>
              </w:rPr>
              <w:t>, 223-232. Estella: Verbo Divino, 2023.</w:t>
            </w:r>
          </w:p>
          <w:p w14:paraId="6A7AC1A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kern w:val="0"/>
                <w:lang w:val="es-ES_tradnl" w:eastAsia="es-CR"/>
                <w14:ligatures w14:val="none"/>
              </w:rPr>
            </w:pPr>
            <w:r w:rsidRPr="00DE33C0">
              <w:rPr>
                <w:rFonts w:ascii="Calibri" w:eastAsia="Arial" w:hAnsi="Calibri" w:cs="Calibri"/>
                <w:b/>
                <w:kern w:val="0"/>
                <w:lang w:val="es-ES_tradnl" w:eastAsia="es-CR"/>
                <w14:ligatures w14:val="none"/>
              </w:rPr>
              <w:t>Material complementario:</w:t>
            </w:r>
            <w:r w:rsidRPr="00DE33C0">
              <w:rPr>
                <w:rFonts w:ascii="Calibri" w:eastAsia="Arial" w:hAnsi="Calibri" w:cs="Calibri"/>
                <w:kern w:val="0"/>
                <w:lang w:val="es-ES_tradnl" w:eastAsia="es-CR"/>
                <w14:ligatures w14:val="none"/>
              </w:rPr>
              <w:t xml:space="preserve"> </w:t>
            </w:r>
          </w:p>
          <w:p w14:paraId="0263D4F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val="es-ES_tradnl" w:eastAsia="es-CR"/>
                <w14:ligatures w14:val="none"/>
              </w:rPr>
            </w:pPr>
            <w:r w:rsidRPr="00DE33C0">
              <w:rPr>
                <w:rFonts w:ascii="Calibri" w:eastAsia="Arial" w:hAnsi="Calibri" w:cs="Calibri"/>
                <w:color w:val="000000"/>
                <w:kern w:val="0"/>
                <w:lang w:val="es-ES_tradnl" w:eastAsia="es-CR"/>
                <w14:ligatures w14:val="none"/>
              </w:rPr>
              <w:t>Finkelstein, Israel. “</w:t>
            </w:r>
            <w:r w:rsidRPr="00DE33C0">
              <w:rPr>
                <w:rFonts w:ascii="Arial" w:eastAsia="Times New Roman" w:hAnsi="Arial" w:cs="Arial"/>
                <w:color w:val="3C4043"/>
                <w:kern w:val="0"/>
                <w:sz w:val="21"/>
                <w:szCs w:val="21"/>
                <w:shd w:val="clear" w:color="auto" w:fill="FFFFFF"/>
                <w:lang w:val="es-ES_tradnl" w:eastAsia="es-CR"/>
                <w14:ligatures w14:val="none"/>
              </w:rPr>
              <w:t>¿</w:t>
            </w:r>
            <w:r w:rsidRPr="00DE33C0">
              <w:rPr>
                <w:rFonts w:ascii="Calibri" w:eastAsia="Arial" w:hAnsi="Calibri" w:cs="Calibri"/>
                <w:color w:val="000000"/>
                <w:kern w:val="0"/>
                <w:lang w:val="es-ES_tradnl" w:eastAsia="es-CR"/>
                <w14:ligatures w14:val="none"/>
              </w:rPr>
              <w:t xml:space="preserve">Un estado, una nación, un pueblo?”. </w:t>
            </w:r>
            <w:r w:rsidRPr="00DE33C0">
              <w:rPr>
                <w:rFonts w:ascii="Calibri" w:eastAsia="Arial" w:hAnsi="Calibri" w:cs="Calibri"/>
                <w:kern w:val="0"/>
                <w:lang w:val="es-ES_tradnl" w:eastAsia="es-CR"/>
                <w14:ligatures w14:val="none"/>
              </w:rPr>
              <w:t xml:space="preserve">En </w:t>
            </w:r>
            <w:r w:rsidRPr="00DE33C0">
              <w:rPr>
                <w:rFonts w:ascii="Calibri" w:eastAsia="Arial" w:hAnsi="Calibri" w:cs="Calibri"/>
                <w:i/>
                <w:kern w:val="0"/>
                <w:lang w:val="es-ES_tradnl" w:eastAsia="es-CR"/>
                <w14:ligatures w14:val="none"/>
              </w:rPr>
              <w:t>La Biblia desenterrada: una nueva visión arqueológica del antiguo Israel y de los orígenes de sus textos sagrados</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146-184.</w:t>
            </w:r>
            <w:r w:rsidRPr="00DE33C0">
              <w:rPr>
                <w:rFonts w:ascii="Calibri" w:eastAsia="Arial" w:hAnsi="Calibri" w:cs="Calibri"/>
                <w:i/>
                <w:color w:val="000000"/>
                <w:kern w:val="0"/>
                <w:lang w:val="es-ES_tradnl" w:eastAsia="es-CR"/>
                <w14:ligatures w14:val="none"/>
              </w:rPr>
              <w:t xml:space="preserve"> </w:t>
            </w:r>
            <w:r w:rsidRPr="00DE33C0">
              <w:rPr>
                <w:rFonts w:ascii="Calibri" w:eastAsia="Arial" w:hAnsi="Calibri" w:cs="Calibri"/>
                <w:color w:val="000000"/>
                <w:kern w:val="0"/>
                <w:lang w:val="es-ES_tradnl" w:eastAsia="es-CR"/>
                <w14:ligatures w14:val="none"/>
              </w:rPr>
              <w:t xml:space="preserve">Madrid: Siglo XXI, 2005. </w:t>
            </w:r>
            <w:r w:rsidRPr="00DE33C0">
              <w:rPr>
                <w:rFonts w:ascii="Calibri" w:eastAsia="Arial" w:hAnsi="Calibri" w:cs="Calibri"/>
                <w:color w:val="0070C0"/>
                <w:kern w:val="0"/>
                <w:lang w:val="es-ES_tradnl" w:eastAsia="es-CR"/>
                <w14:ligatures w14:val="none"/>
              </w:rPr>
              <w:t>(clásico, última edición)</w:t>
            </w:r>
          </w:p>
          <w:p w14:paraId="4AEE1BDD" w14:textId="77777777" w:rsidR="00DE33C0" w:rsidRPr="00DE33C0" w:rsidRDefault="00DE33C0" w:rsidP="00DE33C0">
            <w:pPr>
              <w:widowControl w:val="0"/>
              <w:overflowPunct w:val="0"/>
              <w:autoSpaceDE w:val="0"/>
              <w:autoSpaceDN w:val="0"/>
              <w:adjustRightInd w:val="0"/>
              <w:spacing w:before="120" w:after="120" w:line="240" w:lineRule="auto"/>
              <w:rPr>
                <w:rFonts w:ascii="Calibri" w:eastAsia="Arial" w:hAnsi="Calibri" w:cs="Calibri"/>
                <w:color w:val="000000"/>
                <w:kern w:val="0"/>
                <w:lang w:val="es-ES_tradnl" w:eastAsia="es-CR"/>
                <w14:ligatures w14:val="none"/>
              </w:rPr>
            </w:pPr>
          </w:p>
          <w:p w14:paraId="2BAFCB19" w14:textId="77777777" w:rsidR="00DE33C0" w:rsidRPr="00DE33C0" w:rsidRDefault="00DE33C0" w:rsidP="4C9C2619">
            <w:pPr>
              <w:widowControl w:val="0"/>
              <w:overflowPunct w:val="0"/>
              <w:autoSpaceDE w:val="0"/>
              <w:autoSpaceDN w:val="0"/>
              <w:adjustRightInd w:val="0"/>
              <w:spacing w:before="120" w:after="120" w:line="240" w:lineRule="auto"/>
              <w:rPr>
                <w:rFonts w:ascii="Calibri" w:eastAsia="Arial" w:hAnsi="Calibri" w:cs="Calibri"/>
                <w:color w:val="0070C0"/>
                <w:kern w:val="0"/>
                <w:lang w:val="es-ES" w:eastAsia="es-CR"/>
                <w14:ligatures w14:val="none"/>
              </w:rPr>
            </w:pPr>
            <w:r w:rsidRPr="4C9C2619">
              <w:rPr>
                <w:rFonts w:ascii="Calibri" w:eastAsia="Arial"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Arial" w:hAnsi="Calibri" w:cs="Calibri"/>
                <w:color w:val="0070C0"/>
                <w:kern w:val="0"/>
                <w:lang w:val="es-ES" w:eastAsia="es-CR"/>
                <w14:ligatures w14:val="none"/>
              </w:rPr>
              <w:t>Button</w:t>
            </w:r>
            <w:proofErr w:type="spellEnd"/>
            <w:r w:rsidRPr="4C9C2619">
              <w:rPr>
                <w:rFonts w:ascii="Calibri" w:eastAsia="Arial" w:hAnsi="Calibri" w:cs="Calibri"/>
                <w:color w:val="0070C0"/>
                <w:kern w:val="0"/>
                <w:lang w:val="es-ES" w:eastAsia="es-CR"/>
                <w14:ligatures w14:val="none"/>
              </w:rPr>
              <w:t xml:space="preserve"> en la plataforma Moodle</w:t>
            </w:r>
          </w:p>
        </w:tc>
        <w:tc>
          <w:tcPr>
            <w:tcW w:w="3118" w:type="dxa"/>
          </w:tcPr>
          <w:p w14:paraId="120F5873"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Realizar la lectura de la sesión.</w:t>
            </w:r>
          </w:p>
          <w:p w14:paraId="71C0E980"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Entrega del tercer avance del ensayo grupal.</w:t>
            </w:r>
          </w:p>
          <w:p w14:paraId="10CAB669"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Observación del video: Los Reyes (La Biblia Desenterrada) en el video foro virtual (formativo).</w:t>
            </w:r>
          </w:p>
          <w:p w14:paraId="4BC484A1"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Discusión sobre video y lectura en el video foro virtual (formativo).</w:t>
            </w:r>
          </w:p>
          <w:p w14:paraId="4D20EDF4"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Aporte docente: la función teológica de la monarquía en el video foro virtual (formativo).</w:t>
            </w:r>
          </w:p>
        </w:tc>
      </w:tr>
      <w:tr w:rsidR="00DE33C0" w:rsidRPr="00DE33C0" w14:paraId="05FD5BB0" w14:textId="77777777" w:rsidTr="4C9C2619">
        <w:trPr>
          <w:jc w:val="center"/>
        </w:trPr>
        <w:tc>
          <w:tcPr>
            <w:tcW w:w="1271" w:type="dxa"/>
          </w:tcPr>
          <w:p w14:paraId="01EF9F61"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13</w:t>
            </w:r>
          </w:p>
          <w:p w14:paraId="60C1F23A"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0B767870"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3: Origen social y función simbólica de los credos históricos</w:t>
            </w:r>
          </w:p>
          <w:p w14:paraId="5AF7113D"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lastRenderedPageBreak/>
              <w:t>3.2 Estructura de “la historia” II: conquista, monarquía, exilio</w:t>
            </w:r>
          </w:p>
          <w:p w14:paraId="535D45F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strike/>
                <w:kern w:val="0"/>
                <w:lang w:val="es-ES_tradnl" w:eastAsia="es-CR"/>
                <w14:ligatures w14:val="none"/>
              </w:rPr>
            </w:pPr>
          </w:p>
        </w:tc>
        <w:tc>
          <w:tcPr>
            <w:tcW w:w="3119" w:type="dxa"/>
          </w:tcPr>
          <w:p w14:paraId="3C52421D"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70C0"/>
                <w:kern w:val="0"/>
                <w:lang w:val="es-ES_tradnl" w:eastAsia="es-CR"/>
                <w14:ligatures w14:val="none"/>
              </w:rPr>
              <w:lastRenderedPageBreak/>
              <w:t>Ruta de aprendizaje</w:t>
            </w:r>
          </w:p>
          <w:p w14:paraId="3ABF388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color w:val="000000"/>
                <w:kern w:val="0"/>
                <w:sz w:val="20"/>
                <w:szCs w:val="20"/>
                <w:lang w:eastAsia="es-CR"/>
                <w14:ligatures w14:val="none"/>
              </w:rPr>
            </w:pPr>
            <w:r w:rsidRPr="00DE33C0">
              <w:rPr>
                <w:rFonts w:ascii="Calibri" w:eastAsia="Times New Roman" w:hAnsi="Calibri" w:cs="Calibri"/>
                <w:bCs/>
                <w:color w:val="000000"/>
                <w:kern w:val="0"/>
                <w:lang w:val="es-ES_tradnl" w:eastAsia="es-CR"/>
                <w14:ligatures w14:val="none"/>
              </w:rPr>
              <w:t xml:space="preserve">Carbajosa Ignacio, Joaquín González Echegaray y Francisco Varo. “El reino de Judá”. En </w:t>
            </w:r>
            <w:r w:rsidRPr="00DE33C0">
              <w:rPr>
                <w:rFonts w:ascii="Calibri" w:eastAsia="Times New Roman" w:hAnsi="Calibri" w:cs="Calibri"/>
                <w:bCs/>
                <w:i/>
                <w:iCs/>
                <w:color w:val="000000"/>
                <w:kern w:val="0"/>
                <w:lang w:val="es-ES_tradnl" w:eastAsia="es-CR"/>
                <w14:ligatures w14:val="none"/>
              </w:rPr>
              <w:t xml:space="preserve">La </w:t>
            </w:r>
            <w:r w:rsidRPr="00DE33C0">
              <w:rPr>
                <w:rFonts w:ascii="Calibri" w:eastAsia="Times New Roman" w:hAnsi="Calibri" w:cs="Calibri"/>
                <w:bCs/>
                <w:i/>
                <w:iCs/>
                <w:color w:val="000000"/>
                <w:kern w:val="0"/>
                <w:lang w:val="es-ES_tradnl" w:eastAsia="es-CR"/>
                <w14:ligatures w14:val="none"/>
              </w:rPr>
              <w:lastRenderedPageBreak/>
              <w:t>Biblia en su entorno,</w:t>
            </w:r>
            <w:r w:rsidRPr="00DE33C0">
              <w:rPr>
                <w:rFonts w:ascii="Calibri" w:eastAsia="Times New Roman" w:hAnsi="Calibri" w:cs="Calibri"/>
                <w:bCs/>
                <w:color w:val="000000"/>
                <w:kern w:val="0"/>
                <w:lang w:val="es-ES_tradnl" w:eastAsia="es-CR"/>
                <w14:ligatures w14:val="none"/>
              </w:rPr>
              <w:t xml:space="preserve"> 259-276. Estella: Verbo Divino, 2023.</w:t>
            </w:r>
          </w:p>
          <w:p w14:paraId="54E7DB98"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eastAsia="es-CR"/>
                <w14:ligatures w14:val="none"/>
              </w:rPr>
            </w:pPr>
            <w:r w:rsidRPr="00DE33C0">
              <w:rPr>
                <w:rFonts w:ascii="Calibri" w:eastAsia="Times New Roman" w:hAnsi="Calibri" w:cs="Calibri"/>
                <w:b/>
                <w:bCs/>
                <w:color w:val="000000"/>
                <w:kern w:val="0"/>
                <w:lang w:eastAsia="es-CR"/>
                <w14:ligatures w14:val="none"/>
              </w:rPr>
              <w:t>Material complementario</w:t>
            </w:r>
          </w:p>
          <w:p w14:paraId="5DE0468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kern w:val="0"/>
                <w:lang w:eastAsia="es-CR"/>
                <w14:ligatures w14:val="none"/>
              </w:rPr>
            </w:pPr>
            <w:proofErr w:type="spellStart"/>
            <w:r w:rsidRPr="00DE33C0">
              <w:rPr>
                <w:rFonts w:ascii="Calibri" w:eastAsia="Arial" w:hAnsi="Calibri" w:cs="Calibri"/>
                <w:kern w:val="0"/>
                <w:lang w:eastAsia="es-CR"/>
                <w14:ligatures w14:val="none"/>
              </w:rPr>
              <w:t>Nannini</w:t>
            </w:r>
            <w:proofErr w:type="spellEnd"/>
            <w:r w:rsidRPr="00DE33C0">
              <w:rPr>
                <w:rFonts w:ascii="Calibri" w:eastAsia="Arial" w:hAnsi="Calibri" w:cs="Calibri"/>
                <w:kern w:val="0"/>
                <w:lang w:eastAsia="es-CR"/>
                <w14:ligatures w14:val="none"/>
              </w:rPr>
              <w:t xml:space="preserve">, Damián. “Panorama de la literatura bíblica que surge del exilio”. </w:t>
            </w:r>
            <w:r w:rsidRPr="00DE33C0">
              <w:rPr>
                <w:rFonts w:ascii="Calibri" w:eastAsia="Arial" w:hAnsi="Calibri" w:cs="Calibri"/>
                <w:i/>
                <w:kern w:val="0"/>
                <w:lang w:eastAsia="es-CR"/>
                <w14:ligatures w14:val="none"/>
              </w:rPr>
              <w:t>Reseña Bíblica</w:t>
            </w:r>
            <w:r w:rsidRPr="00DE33C0">
              <w:rPr>
                <w:rFonts w:ascii="Calibri" w:eastAsia="Arial" w:hAnsi="Calibri" w:cs="Calibri"/>
                <w:kern w:val="0"/>
                <w:lang w:eastAsia="es-CR"/>
                <w14:ligatures w14:val="none"/>
              </w:rPr>
              <w:t>, n. 99 (2018): 26-35.</w:t>
            </w:r>
          </w:p>
          <w:p w14:paraId="7FFEDA52"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Arial" w:hAnsi="Calibri" w:cs="Calibri"/>
                <w:color w:val="0070C0"/>
                <w:kern w:val="0"/>
                <w:lang w:eastAsia="es-CR"/>
                <w14:ligatures w14:val="none"/>
              </w:rPr>
            </w:pPr>
            <w:r w:rsidRPr="00DE33C0">
              <w:rPr>
                <w:rFonts w:ascii="Calibri" w:eastAsia="Arial" w:hAnsi="Calibri" w:cs="Calibri"/>
                <w:color w:val="0070C0"/>
                <w:kern w:val="0"/>
                <w:lang w:eastAsia="es-CR"/>
                <w14:ligatures w14:val="none"/>
              </w:rPr>
              <w:t xml:space="preserve">Guía para la participación mediante la herramienta Big Blue </w:t>
            </w:r>
            <w:proofErr w:type="spellStart"/>
            <w:r w:rsidRPr="00DE33C0">
              <w:rPr>
                <w:rFonts w:ascii="Calibri" w:eastAsia="Arial" w:hAnsi="Calibri" w:cs="Calibri"/>
                <w:color w:val="0070C0"/>
                <w:kern w:val="0"/>
                <w:lang w:eastAsia="es-CR"/>
                <w14:ligatures w14:val="none"/>
              </w:rPr>
              <w:t>Button</w:t>
            </w:r>
            <w:proofErr w:type="spellEnd"/>
            <w:r w:rsidRPr="00DE33C0">
              <w:rPr>
                <w:rFonts w:ascii="Calibri" w:eastAsia="Arial" w:hAnsi="Calibri" w:cs="Calibri"/>
                <w:color w:val="0070C0"/>
                <w:kern w:val="0"/>
                <w:lang w:eastAsia="es-CR"/>
                <w14:ligatures w14:val="none"/>
              </w:rPr>
              <w:t xml:space="preserve"> en la plataforma Moodle</w:t>
            </w:r>
          </w:p>
          <w:p w14:paraId="6F0A72D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tc>
        <w:tc>
          <w:tcPr>
            <w:tcW w:w="3118" w:type="dxa"/>
          </w:tcPr>
          <w:p w14:paraId="7EE4E0CB"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Realizar la lectura de la sesión.</w:t>
            </w:r>
          </w:p>
          <w:p w14:paraId="2D90D697"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 xml:space="preserve">Entrega del ensayo grupal. </w:t>
            </w:r>
          </w:p>
          <w:p w14:paraId="288528A9"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 xml:space="preserve">Entrega de la coevaluación del ensayo grupal. </w:t>
            </w:r>
          </w:p>
          <w:p w14:paraId="1775B204" w14:textId="77777777" w:rsidR="00DE33C0" w:rsidRPr="00DE33C0" w:rsidRDefault="00DE33C0" w:rsidP="00DE33C0">
            <w:pPr>
              <w:widowControl w:val="0"/>
              <w:numPr>
                <w:ilvl w:val="0"/>
                <w:numId w:val="70"/>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Aporte docente: implicaciones teológicas, históricas y religiosas del exilio, seguido de una reflexión de cierre sobre los exilios cotidianos en un encuentro sincrónico virtual (formativo).</w:t>
            </w:r>
          </w:p>
          <w:p w14:paraId="193AF608" w14:textId="77777777" w:rsidR="00DE33C0" w:rsidRPr="00DE33C0" w:rsidRDefault="00DE33C0" w:rsidP="00DE33C0">
            <w:pPr>
              <w:spacing w:after="0" w:line="240" w:lineRule="auto"/>
              <w:ind w:left="227"/>
              <w:rPr>
                <w:rFonts w:ascii="Calibri" w:eastAsia="Times New Roman" w:hAnsi="Calibri" w:cs="Calibri"/>
                <w:color w:val="000000"/>
                <w:kern w:val="0"/>
                <w:lang w:val="es-ES_tradnl" w:eastAsia="es-CR"/>
                <w14:ligatures w14:val="none"/>
              </w:rPr>
            </w:pPr>
          </w:p>
        </w:tc>
      </w:tr>
      <w:tr w:rsidR="00DE33C0" w:rsidRPr="00DE33C0" w14:paraId="1264145D" w14:textId="77777777" w:rsidTr="4C9C2619">
        <w:trPr>
          <w:jc w:val="center"/>
        </w:trPr>
        <w:tc>
          <w:tcPr>
            <w:tcW w:w="1271" w:type="dxa"/>
          </w:tcPr>
          <w:p w14:paraId="63B32D0D"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lastRenderedPageBreak/>
              <w:t>14</w:t>
            </w:r>
          </w:p>
          <w:p w14:paraId="6BD43BD0"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126" w:type="dxa"/>
          </w:tcPr>
          <w:p w14:paraId="48079093"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4: Corrientes político-religiosas que conformaron el AT</w:t>
            </w:r>
          </w:p>
          <w:p w14:paraId="65423489"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kern w:val="0"/>
                <w:lang w:val="es-ES_tradnl" w:eastAsia="es-CR"/>
                <w14:ligatures w14:val="none"/>
              </w:rPr>
              <w:t>4.1 Tensiones teológicas en torno a la monarquía</w:t>
            </w:r>
            <w:r w:rsidRPr="00DE33C0">
              <w:rPr>
                <w:rFonts w:ascii="Calibri" w:eastAsia="Times New Roman" w:hAnsi="Calibri" w:cs="Calibri"/>
                <w:bCs/>
                <w:kern w:val="0"/>
                <w:lang w:val="es-ES_tradnl" w:eastAsia="es-CR"/>
                <w14:ligatures w14:val="none"/>
              </w:rPr>
              <w:t xml:space="preserve"> </w:t>
            </w:r>
          </w:p>
          <w:p w14:paraId="37E66381"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3119" w:type="dxa"/>
          </w:tcPr>
          <w:p w14:paraId="1C842FBF"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16286ABC"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2793788D"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Arial" w:hAnsi="Calibri" w:cs="Calibri"/>
                <w:color w:val="000000"/>
                <w:kern w:val="0"/>
                <w:lang w:eastAsia="es-CR"/>
                <w14:ligatures w14:val="none"/>
              </w:rPr>
              <w:t xml:space="preserve">Smith, Morton. “Partidos político-religiosos que conformaron el Antiguo Testamento”. </w:t>
            </w:r>
            <w:r w:rsidRPr="00DE33C0">
              <w:rPr>
                <w:rFonts w:ascii="Calibri" w:eastAsia="Arial" w:hAnsi="Calibri" w:cs="Calibri"/>
                <w:i/>
                <w:color w:val="000000"/>
                <w:kern w:val="0"/>
                <w:lang w:eastAsia="es-CR"/>
                <w14:ligatures w14:val="none"/>
              </w:rPr>
              <w:t>Aportes Bíblicos</w:t>
            </w:r>
            <w:r w:rsidRPr="00DE33C0">
              <w:rPr>
                <w:rFonts w:ascii="Calibri" w:eastAsia="Arial" w:hAnsi="Calibri" w:cs="Calibri"/>
                <w:color w:val="000000"/>
                <w:kern w:val="0"/>
                <w:lang w:eastAsia="es-CR"/>
                <w14:ligatures w14:val="none"/>
              </w:rPr>
              <w:t>, n.4 (2007): 7-29.</w:t>
            </w:r>
          </w:p>
          <w:p w14:paraId="5F849349"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7C133E18"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0942121D"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p>
          <w:p w14:paraId="46BD8B85" w14:textId="77777777" w:rsidR="00DE33C0" w:rsidRPr="00DE33C0" w:rsidRDefault="00DE33C0" w:rsidP="00DE33C0">
            <w:pPr>
              <w:spacing w:after="0" w:line="240" w:lineRule="auto"/>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tc>
        <w:tc>
          <w:tcPr>
            <w:tcW w:w="3118" w:type="dxa"/>
          </w:tcPr>
          <w:p w14:paraId="709E54DD"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lang w:val="es-ES_tradnl"/>
                <w14:ligatures w14:val="none"/>
              </w:rPr>
              <w:t>Realizar la</w:t>
            </w:r>
            <w:r w:rsidRPr="00DE33C0">
              <w:rPr>
                <w:rFonts w:ascii="Calibri" w:eastAsia="Calibri" w:hAnsi="Calibri" w:cs="Calibri"/>
                <w:color w:val="000000"/>
                <w:kern w:val="0"/>
                <w14:ligatures w14:val="none"/>
              </w:rPr>
              <w:t xml:space="preserve"> lectura de la sesión.</w:t>
            </w:r>
          </w:p>
          <w:p w14:paraId="052AA38A"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14:ligatures w14:val="none"/>
              </w:rPr>
              <w:t>Participación en el foro temático: Análisis de 2 Reyes 23, donde se llevará a cabo una discusión.</w:t>
            </w:r>
          </w:p>
          <w:p w14:paraId="4FD0A559"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14:ligatures w14:val="none"/>
              </w:rPr>
              <w:t>Presentación (aporte) docente en la guía para el foro.</w:t>
            </w:r>
          </w:p>
        </w:tc>
      </w:tr>
      <w:tr w:rsidR="00DE33C0" w:rsidRPr="00DE33C0" w14:paraId="73A64A76" w14:textId="77777777" w:rsidTr="4C9C2619">
        <w:trPr>
          <w:jc w:val="center"/>
        </w:trPr>
        <w:tc>
          <w:tcPr>
            <w:tcW w:w="1271" w:type="dxa"/>
          </w:tcPr>
          <w:p w14:paraId="246DDCC6" w14:textId="77777777" w:rsidR="00DE33C0" w:rsidRPr="00DE33C0" w:rsidRDefault="00DE33C0" w:rsidP="00DE33C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color w:val="000000"/>
                <w:kern w:val="0"/>
                <w:lang w:val="es-ES_tradnl" w:eastAsia="es-CR"/>
                <w14:ligatures w14:val="none"/>
              </w:rPr>
              <w:t>15</w:t>
            </w:r>
          </w:p>
        </w:tc>
        <w:tc>
          <w:tcPr>
            <w:tcW w:w="2126" w:type="dxa"/>
          </w:tcPr>
          <w:p w14:paraId="25BB591F"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DE33C0">
              <w:rPr>
                <w:rFonts w:ascii="Calibri" w:eastAsia="Times New Roman" w:hAnsi="Calibri" w:cs="Calibri"/>
                <w:b/>
                <w:kern w:val="0"/>
                <w:lang w:val="es-ES_tradnl" w:eastAsia="es-CR"/>
                <w14:ligatures w14:val="none"/>
              </w:rPr>
              <w:t>Unidad 4: Corrientes político-religiosas que conformaron el AT</w:t>
            </w:r>
          </w:p>
          <w:p w14:paraId="1F56AECA"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DE33C0">
              <w:rPr>
                <w:rFonts w:ascii="Calibri" w:eastAsia="Times New Roman" w:hAnsi="Calibri" w:cs="Calibri"/>
                <w:bCs/>
                <w:kern w:val="0"/>
                <w:lang w:val="es-ES_tradnl" w:eastAsia="es-CR"/>
                <w14:ligatures w14:val="none"/>
              </w:rPr>
              <w:t>4.2 Desarrollo de las ideas religiosas como respuesta a las transformaciones sociales</w:t>
            </w:r>
          </w:p>
          <w:p w14:paraId="5B7C3B85" w14:textId="77777777" w:rsidR="00DE33C0" w:rsidRPr="00DE33C0" w:rsidRDefault="00DE33C0" w:rsidP="00DE33C0">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3119" w:type="dxa"/>
          </w:tcPr>
          <w:p w14:paraId="480449BD"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Times New Roman" w:hAnsi="Calibri" w:cs="Calibri"/>
                <w:bCs/>
                <w:color w:val="0070C0"/>
                <w:kern w:val="0"/>
                <w:lang w:val="es-ES_tradnl" w:eastAsia="es-CR"/>
                <w14:ligatures w14:val="none"/>
              </w:rPr>
              <w:t>Ruta de aprendizaje</w:t>
            </w:r>
          </w:p>
          <w:p w14:paraId="678DAB21"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40EAF82A"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r w:rsidRPr="00DE33C0">
              <w:rPr>
                <w:rFonts w:ascii="Calibri" w:eastAsia="Arial" w:hAnsi="Calibri" w:cs="Calibri"/>
                <w:color w:val="000000"/>
                <w:kern w:val="0"/>
                <w:lang w:eastAsia="es-CR"/>
                <w14:ligatures w14:val="none"/>
              </w:rPr>
              <w:t xml:space="preserve">Smith, Morton. “Partidos político-religiosos que conformaron el Antiguo Testamento”. </w:t>
            </w:r>
            <w:r w:rsidRPr="00DE33C0">
              <w:rPr>
                <w:rFonts w:ascii="Calibri" w:eastAsia="Arial" w:hAnsi="Calibri" w:cs="Calibri"/>
                <w:i/>
                <w:color w:val="000000"/>
                <w:kern w:val="0"/>
                <w:lang w:eastAsia="es-CR"/>
                <w14:ligatures w14:val="none"/>
              </w:rPr>
              <w:t>Aportes Bíblicos</w:t>
            </w:r>
            <w:r w:rsidRPr="00DE33C0">
              <w:rPr>
                <w:rFonts w:ascii="Calibri" w:eastAsia="Arial" w:hAnsi="Calibri" w:cs="Calibri"/>
                <w:color w:val="000000"/>
                <w:kern w:val="0"/>
                <w:lang w:eastAsia="es-CR"/>
                <w14:ligatures w14:val="none"/>
              </w:rPr>
              <w:t>, n.4 (2007): 29-62.</w:t>
            </w:r>
          </w:p>
          <w:p w14:paraId="113F41AC"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p w14:paraId="42C711DD"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r w:rsidRPr="00DE33C0">
              <w:rPr>
                <w:rFonts w:ascii="Calibri" w:eastAsia="Times New Roman" w:hAnsi="Calibri" w:cs="Calibri"/>
                <w:b/>
                <w:bCs/>
                <w:color w:val="0070C0"/>
                <w:kern w:val="0"/>
                <w:lang w:eastAsia="es-CR"/>
                <w14:ligatures w14:val="none"/>
              </w:rPr>
              <w:t>Material complementario</w:t>
            </w:r>
          </w:p>
          <w:p w14:paraId="6A0535D5" w14:textId="77777777" w:rsidR="00DE33C0" w:rsidRPr="00DE33C0" w:rsidRDefault="00DE33C0" w:rsidP="00DE33C0">
            <w:pPr>
              <w:spacing w:after="0" w:line="240" w:lineRule="auto"/>
              <w:rPr>
                <w:rFonts w:ascii="Calibri" w:eastAsia="Times New Roman" w:hAnsi="Calibri" w:cs="Calibri"/>
                <w:b/>
                <w:bCs/>
                <w:color w:val="0070C0"/>
                <w:kern w:val="0"/>
                <w:lang w:eastAsia="es-CR"/>
                <w14:ligatures w14:val="none"/>
              </w:rPr>
            </w:pPr>
          </w:p>
          <w:p w14:paraId="64EF1175"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 xml:space="preserve">Guía para la participación mediante la herramienta Big Blue </w:t>
            </w:r>
            <w:proofErr w:type="spellStart"/>
            <w:r w:rsidRPr="00DE33C0">
              <w:rPr>
                <w:rFonts w:ascii="Calibri" w:eastAsia="Times New Roman" w:hAnsi="Calibri" w:cs="Calibri"/>
                <w:color w:val="0070C0"/>
                <w:kern w:val="0"/>
                <w:lang w:eastAsia="es-CR"/>
                <w14:ligatures w14:val="none"/>
              </w:rPr>
              <w:t>Button</w:t>
            </w:r>
            <w:proofErr w:type="spellEnd"/>
            <w:r w:rsidRPr="00DE33C0">
              <w:rPr>
                <w:rFonts w:ascii="Calibri" w:eastAsia="Times New Roman" w:hAnsi="Calibri" w:cs="Calibri"/>
                <w:color w:val="0070C0"/>
                <w:kern w:val="0"/>
                <w:lang w:eastAsia="es-CR"/>
                <w14:ligatures w14:val="none"/>
              </w:rPr>
              <w:t xml:space="preserve"> en la plataforma Moodle</w:t>
            </w:r>
          </w:p>
          <w:p w14:paraId="427D909E"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p>
          <w:p w14:paraId="6621D271" w14:textId="77777777" w:rsidR="00DE33C0" w:rsidRPr="00DE33C0" w:rsidRDefault="00DE33C0" w:rsidP="00DE33C0">
            <w:pPr>
              <w:spacing w:after="0" w:line="240" w:lineRule="auto"/>
              <w:rPr>
                <w:rFonts w:ascii="Calibri" w:eastAsia="Times New Roman" w:hAnsi="Calibri" w:cs="Calibri"/>
                <w:color w:val="0070C0"/>
                <w:kern w:val="0"/>
                <w:lang w:eastAsia="es-CR"/>
                <w14:ligatures w14:val="none"/>
              </w:rPr>
            </w:pPr>
            <w:r w:rsidRPr="00DE33C0">
              <w:rPr>
                <w:rFonts w:ascii="Calibri" w:eastAsia="Times New Roman" w:hAnsi="Calibri" w:cs="Calibri"/>
                <w:color w:val="0070C0"/>
                <w:kern w:val="0"/>
                <w:lang w:eastAsia="es-CR"/>
                <w14:ligatures w14:val="none"/>
              </w:rPr>
              <w:t>Guía para la participación en un foro en la plataforma Moodle</w:t>
            </w:r>
          </w:p>
          <w:p w14:paraId="3A93191C" w14:textId="77777777" w:rsidR="00DE33C0" w:rsidRPr="00DE33C0" w:rsidRDefault="00DE33C0" w:rsidP="00DE33C0">
            <w:pPr>
              <w:spacing w:after="0" w:line="240" w:lineRule="auto"/>
              <w:rPr>
                <w:rFonts w:ascii="Calibri" w:eastAsia="Arial" w:hAnsi="Calibri" w:cs="Calibri"/>
                <w:color w:val="000000"/>
                <w:kern w:val="0"/>
                <w:lang w:eastAsia="es-CR"/>
                <w14:ligatures w14:val="none"/>
              </w:rPr>
            </w:pPr>
          </w:p>
        </w:tc>
        <w:tc>
          <w:tcPr>
            <w:tcW w:w="3118" w:type="dxa"/>
          </w:tcPr>
          <w:p w14:paraId="38371BC4"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14:ligatures w14:val="none"/>
              </w:rPr>
              <w:t>Realizar la lectura de la sesión.</w:t>
            </w:r>
          </w:p>
          <w:p w14:paraId="35310AD1"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14:ligatures w14:val="none"/>
              </w:rPr>
              <w:t>Aporte docente, reflexión grupal sobre el monoteísmo, el diálogo interreligioso y la violencia desde el AT hasta el mundo de hoy y presentación en plenaria en un encuentro sincrónico virtual (formativo).</w:t>
            </w:r>
          </w:p>
          <w:p w14:paraId="3578BAE2" w14:textId="77777777" w:rsidR="00DE33C0" w:rsidRPr="00DE33C0" w:rsidRDefault="00DE33C0" w:rsidP="00DE33C0">
            <w:pPr>
              <w:widowControl w:val="0"/>
              <w:numPr>
                <w:ilvl w:val="0"/>
                <w:numId w:val="71"/>
              </w:numPr>
              <w:overflowPunct w:val="0"/>
              <w:autoSpaceDE w:val="0"/>
              <w:autoSpaceDN w:val="0"/>
              <w:adjustRightInd w:val="0"/>
              <w:spacing w:before="120" w:after="200" w:line="276" w:lineRule="auto"/>
              <w:ind w:left="254" w:hanging="142"/>
              <w:contextualSpacing/>
              <w:rPr>
                <w:rFonts w:ascii="Calibri" w:eastAsia="Calibri" w:hAnsi="Calibri" w:cs="Calibri"/>
                <w:color w:val="000000"/>
                <w:kern w:val="0"/>
                <w14:ligatures w14:val="none"/>
              </w:rPr>
            </w:pPr>
            <w:r w:rsidRPr="00DE33C0">
              <w:rPr>
                <w:rFonts w:ascii="Calibri" w:eastAsia="Calibri" w:hAnsi="Calibri" w:cs="Calibri"/>
                <w:color w:val="000000"/>
                <w:kern w:val="0"/>
                <w14:ligatures w14:val="none"/>
              </w:rPr>
              <w:t>Participación en el foro social: Evaluación del curso (formativo).</w:t>
            </w:r>
          </w:p>
        </w:tc>
      </w:tr>
    </w:tbl>
    <w:p w14:paraId="4D839351"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4BB76D68"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6ED0699"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E22F0E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lastRenderedPageBreak/>
        <w:t>IX. Distribución de tiempo semanal</w:t>
      </w:r>
    </w:p>
    <w:p w14:paraId="7D8189A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E33C0">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discusiones en foros o trabajos colaborativos. Debe considerarse que, al tener este curso asignados 4 créditos, se debe invertir 12 horas de trabajo por semana. La distribución de tiempos es la siguiente:</w:t>
      </w:r>
    </w:p>
    <w:p w14:paraId="6D8B293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1"/>
        <w:tblW w:w="8784" w:type="dxa"/>
        <w:jc w:val="center"/>
        <w:tblLook w:val="04A0" w:firstRow="1" w:lastRow="0" w:firstColumn="1" w:lastColumn="0" w:noHBand="0" w:noVBand="1"/>
      </w:tblPr>
      <w:tblGrid>
        <w:gridCol w:w="2093"/>
        <w:gridCol w:w="1417"/>
        <w:gridCol w:w="5274"/>
      </w:tblGrid>
      <w:tr w:rsidR="00DE33C0" w:rsidRPr="00DE33C0" w14:paraId="50CB4EEA" w14:textId="77777777" w:rsidTr="4C9C2619">
        <w:trPr>
          <w:jc w:val="center"/>
        </w:trPr>
        <w:tc>
          <w:tcPr>
            <w:tcW w:w="2093" w:type="dxa"/>
          </w:tcPr>
          <w:p w14:paraId="0EB99A9F"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DE33C0">
              <w:rPr>
                <w:rFonts w:asciiTheme="minorHAnsi" w:eastAsia="Times New Roman" w:hAnsiTheme="minorHAnsi" w:cstheme="minorHAnsi"/>
                <w:b/>
                <w:bCs/>
                <w:color w:val="000000"/>
                <w:lang w:val="es-ES_tradnl" w:eastAsia="es-CR"/>
              </w:rPr>
              <w:t>Tipo de horas</w:t>
            </w:r>
          </w:p>
          <w:p w14:paraId="016D85AE"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DE33C0">
              <w:rPr>
                <w:rFonts w:asciiTheme="minorHAnsi" w:eastAsia="Times New Roman" w:hAnsiTheme="minorHAnsi" w:cstheme="minorHAnsi"/>
                <w:b/>
                <w:bCs/>
                <w:color w:val="000000"/>
                <w:lang w:val="es-ES_tradnl" w:eastAsia="es-CR"/>
              </w:rPr>
              <w:t>(categoría)</w:t>
            </w:r>
          </w:p>
        </w:tc>
        <w:tc>
          <w:tcPr>
            <w:tcW w:w="1417" w:type="dxa"/>
          </w:tcPr>
          <w:p w14:paraId="61AE155D"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DE33C0">
              <w:rPr>
                <w:rFonts w:asciiTheme="minorHAnsi" w:eastAsia="Times New Roman" w:hAnsiTheme="minorHAnsi" w:cstheme="minorHAnsi"/>
                <w:b/>
                <w:bCs/>
                <w:color w:val="000000"/>
                <w:lang w:val="es-ES_tradnl" w:eastAsia="es-CR"/>
              </w:rPr>
              <w:t>Horas por semana</w:t>
            </w:r>
          </w:p>
        </w:tc>
        <w:tc>
          <w:tcPr>
            <w:tcW w:w="5274" w:type="dxa"/>
            <w:vAlign w:val="center"/>
          </w:tcPr>
          <w:p w14:paraId="6E76709E"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DE33C0">
              <w:rPr>
                <w:rFonts w:asciiTheme="minorHAnsi" w:eastAsia="Times New Roman" w:hAnsiTheme="minorHAnsi" w:cstheme="minorHAnsi"/>
                <w:b/>
                <w:bCs/>
                <w:color w:val="000000"/>
                <w:lang w:val="es-ES_tradnl" w:eastAsia="es-CR"/>
              </w:rPr>
              <w:t>Actividades relacionadas</w:t>
            </w:r>
          </w:p>
        </w:tc>
      </w:tr>
      <w:tr w:rsidR="00DE33C0" w:rsidRPr="00DE33C0" w14:paraId="53605248" w14:textId="77777777" w:rsidTr="4C9C2619">
        <w:trPr>
          <w:trHeight w:val="891"/>
          <w:jc w:val="center"/>
        </w:trPr>
        <w:tc>
          <w:tcPr>
            <w:tcW w:w="2093" w:type="dxa"/>
            <w:vAlign w:val="center"/>
          </w:tcPr>
          <w:p w14:paraId="229F480B"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Horas de Estudio Individual (HEI)</w:t>
            </w:r>
          </w:p>
        </w:tc>
        <w:tc>
          <w:tcPr>
            <w:tcW w:w="1417" w:type="dxa"/>
            <w:vAlign w:val="center"/>
          </w:tcPr>
          <w:p w14:paraId="539B8A16"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5</w:t>
            </w:r>
          </w:p>
        </w:tc>
        <w:tc>
          <w:tcPr>
            <w:tcW w:w="5274" w:type="dxa"/>
          </w:tcPr>
          <w:p w14:paraId="110D61C2" w14:textId="77777777" w:rsidR="00DE33C0" w:rsidRPr="00DE33C0" w:rsidRDefault="00DE33C0" w:rsidP="00DE33C0">
            <w:pPr>
              <w:widowControl w:val="0"/>
              <w:numPr>
                <w:ilvl w:val="0"/>
                <w:numId w:val="34"/>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Lectura de los textos (materiales en formato digital).</w:t>
            </w:r>
          </w:p>
          <w:p w14:paraId="496C1B4E" w14:textId="77777777" w:rsidR="00DE33C0" w:rsidRPr="00DE33C0" w:rsidRDefault="00DE33C0" w:rsidP="00DE33C0">
            <w:pPr>
              <w:widowControl w:val="0"/>
              <w:numPr>
                <w:ilvl w:val="0"/>
                <w:numId w:val="34"/>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Análisis de lecturas e investigación por cuenta propia.</w:t>
            </w:r>
          </w:p>
        </w:tc>
      </w:tr>
      <w:tr w:rsidR="00DE33C0" w:rsidRPr="00DE33C0" w14:paraId="3E3A3C2C" w14:textId="77777777" w:rsidTr="4C9C2619">
        <w:trPr>
          <w:trHeight w:val="1542"/>
          <w:jc w:val="center"/>
        </w:trPr>
        <w:tc>
          <w:tcPr>
            <w:tcW w:w="2093" w:type="dxa"/>
            <w:vAlign w:val="center"/>
          </w:tcPr>
          <w:p w14:paraId="314170EB"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Horas de Trabajo Colaborativo (HTC)</w:t>
            </w:r>
          </w:p>
        </w:tc>
        <w:tc>
          <w:tcPr>
            <w:tcW w:w="1417" w:type="dxa"/>
            <w:vAlign w:val="center"/>
          </w:tcPr>
          <w:p w14:paraId="3695BC44"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4</w:t>
            </w:r>
          </w:p>
        </w:tc>
        <w:tc>
          <w:tcPr>
            <w:tcW w:w="5274" w:type="dxa"/>
          </w:tcPr>
          <w:p w14:paraId="29644ED4" w14:textId="77777777" w:rsidR="00DE33C0" w:rsidRPr="00DE33C0" w:rsidRDefault="00DE33C0" w:rsidP="00DE33C0">
            <w:pPr>
              <w:widowControl w:val="0"/>
              <w:numPr>
                <w:ilvl w:val="0"/>
                <w:numId w:val="35"/>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Participación en los foros temáticos (incluye aportes personales y réplicas a los demás estudiantes).</w:t>
            </w:r>
          </w:p>
          <w:p w14:paraId="0830D17E" w14:textId="77777777" w:rsidR="00DE33C0" w:rsidRPr="00DE33C0" w:rsidRDefault="00DE33C0" w:rsidP="00DE33C0">
            <w:pPr>
              <w:widowControl w:val="0"/>
              <w:numPr>
                <w:ilvl w:val="0"/>
                <w:numId w:val="35"/>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Participación en los encuentros sincrónicos virtuales.</w:t>
            </w:r>
          </w:p>
          <w:p w14:paraId="53E18445" w14:textId="77777777" w:rsidR="00DE33C0" w:rsidRPr="00DE33C0" w:rsidRDefault="00DE33C0" w:rsidP="00DE33C0">
            <w:pPr>
              <w:widowControl w:val="0"/>
              <w:numPr>
                <w:ilvl w:val="0"/>
                <w:numId w:val="35"/>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Participación en los video foros virtuales.</w:t>
            </w:r>
          </w:p>
          <w:p w14:paraId="0D9C3F6F" w14:textId="77777777" w:rsidR="00DE33C0" w:rsidRPr="00DE33C0" w:rsidRDefault="00DE33C0" w:rsidP="00DE33C0">
            <w:pPr>
              <w:widowControl w:val="0"/>
              <w:numPr>
                <w:ilvl w:val="0"/>
                <w:numId w:val="35"/>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Elaboración de un ensayo grupal.</w:t>
            </w:r>
          </w:p>
        </w:tc>
      </w:tr>
      <w:tr w:rsidR="00DE33C0" w:rsidRPr="00DE33C0" w14:paraId="1D4BB974" w14:textId="77777777" w:rsidTr="4C9C2619">
        <w:trPr>
          <w:trHeight w:val="700"/>
          <w:jc w:val="center"/>
        </w:trPr>
        <w:tc>
          <w:tcPr>
            <w:tcW w:w="2093" w:type="dxa"/>
            <w:vAlign w:val="center"/>
          </w:tcPr>
          <w:p w14:paraId="5B233C53"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Horas de Producción Individual (HPI)</w:t>
            </w:r>
          </w:p>
        </w:tc>
        <w:tc>
          <w:tcPr>
            <w:tcW w:w="1417" w:type="dxa"/>
            <w:vAlign w:val="center"/>
          </w:tcPr>
          <w:p w14:paraId="71CE1BE8"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Cs/>
                <w:color w:val="000000"/>
                <w:lang w:val="es-ES_tradnl" w:eastAsia="es-CR"/>
              </w:rPr>
            </w:pPr>
            <w:r w:rsidRPr="00DE33C0">
              <w:rPr>
                <w:rFonts w:asciiTheme="minorHAnsi" w:eastAsia="Times New Roman" w:hAnsiTheme="minorHAnsi" w:cstheme="minorHAnsi"/>
                <w:bCs/>
                <w:color w:val="000000"/>
                <w:lang w:val="es-ES_tradnl" w:eastAsia="es-CR"/>
              </w:rPr>
              <w:t>3</w:t>
            </w:r>
          </w:p>
        </w:tc>
        <w:tc>
          <w:tcPr>
            <w:tcW w:w="5274" w:type="dxa"/>
          </w:tcPr>
          <w:p w14:paraId="0B1198BB" w14:textId="77777777" w:rsidR="00DE33C0" w:rsidRPr="00DE33C0" w:rsidRDefault="00DE33C0" w:rsidP="00DE33C0">
            <w:pPr>
              <w:widowControl w:val="0"/>
              <w:numPr>
                <w:ilvl w:val="0"/>
                <w:numId w:val="36"/>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 xml:space="preserve">Elaboración de un diario reflexivo. </w:t>
            </w:r>
          </w:p>
          <w:p w14:paraId="3D1D04BE" w14:textId="77777777" w:rsidR="00DE33C0" w:rsidRPr="00DE33C0" w:rsidRDefault="00DE33C0" w:rsidP="00DE33C0">
            <w:pPr>
              <w:widowControl w:val="0"/>
              <w:numPr>
                <w:ilvl w:val="0"/>
                <w:numId w:val="36"/>
              </w:numPr>
              <w:overflowPunct w:val="0"/>
              <w:autoSpaceDE w:val="0"/>
              <w:autoSpaceDN w:val="0"/>
              <w:adjustRightInd w:val="0"/>
              <w:jc w:val="both"/>
              <w:rPr>
                <w:rFonts w:asciiTheme="minorHAnsi" w:hAnsiTheme="minorHAnsi" w:cstheme="minorHAnsi"/>
                <w:bCs/>
                <w:color w:val="000000"/>
              </w:rPr>
            </w:pPr>
            <w:r w:rsidRPr="00DE33C0">
              <w:rPr>
                <w:rFonts w:asciiTheme="minorHAnsi" w:hAnsiTheme="minorHAnsi" w:cstheme="minorHAnsi"/>
                <w:bCs/>
                <w:color w:val="000000"/>
              </w:rPr>
              <w:t xml:space="preserve">Elaboración de reseñas críticas de lectura. </w:t>
            </w:r>
          </w:p>
        </w:tc>
      </w:tr>
      <w:tr w:rsidR="00DE33C0" w:rsidRPr="00DE33C0" w14:paraId="67E3BCD0" w14:textId="77777777" w:rsidTr="4C9C2619">
        <w:trPr>
          <w:jc w:val="center"/>
        </w:trPr>
        <w:tc>
          <w:tcPr>
            <w:tcW w:w="2093" w:type="dxa"/>
          </w:tcPr>
          <w:p w14:paraId="7D16551A" w14:textId="77777777" w:rsidR="00DE33C0" w:rsidRPr="00DE33C0" w:rsidRDefault="4C9C2619" w:rsidP="4C9C2619">
            <w:pPr>
              <w:widowControl w:val="0"/>
              <w:overflowPunct w:val="0"/>
              <w:autoSpaceDE w:val="0"/>
              <w:autoSpaceDN w:val="0"/>
              <w:adjustRightInd w:val="0"/>
              <w:rPr>
                <w:rFonts w:asciiTheme="minorHAnsi" w:eastAsia="Times New Roman" w:hAnsiTheme="minorHAnsi"/>
                <w:b/>
                <w:bCs/>
                <w:color w:val="000000"/>
                <w:lang w:eastAsia="es-CR"/>
              </w:rPr>
            </w:pPr>
            <w:r w:rsidRPr="4C9C2619">
              <w:rPr>
                <w:rFonts w:asciiTheme="minorHAnsi" w:eastAsia="Times New Roman" w:hAnsiTheme="minorHAnsi"/>
                <w:b/>
                <w:bCs/>
                <w:color w:val="000000" w:themeColor="text1"/>
                <w:lang w:eastAsia="es-CR"/>
              </w:rPr>
              <w:t xml:space="preserve"> Total de horas (TH)</w:t>
            </w:r>
          </w:p>
        </w:tc>
        <w:tc>
          <w:tcPr>
            <w:tcW w:w="1417" w:type="dxa"/>
          </w:tcPr>
          <w:p w14:paraId="5CCBCEF7"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DE33C0">
              <w:rPr>
                <w:rFonts w:asciiTheme="minorHAnsi" w:eastAsia="Times New Roman" w:hAnsiTheme="minorHAnsi" w:cstheme="minorHAnsi"/>
                <w:b/>
                <w:bCs/>
                <w:color w:val="000000"/>
                <w:lang w:val="es-ES_tradnl" w:eastAsia="es-CR"/>
              </w:rPr>
              <w:t>12</w:t>
            </w:r>
          </w:p>
        </w:tc>
        <w:tc>
          <w:tcPr>
            <w:tcW w:w="5274" w:type="dxa"/>
          </w:tcPr>
          <w:p w14:paraId="11CFB1C6" w14:textId="77777777" w:rsidR="00DE33C0" w:rsidRPr="00DE33C0" w:rsidRDefault="00DE33C0" w:rsidP="00DE33C0">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p>
        </w:tc>
      </w:tr>
    </w:tbl>
    <w:p w14:paraId="26CF6722"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DB44895" w14:textId="77777777" w:rsidR="00DE33C0" w:rsidRPr="00DE33C0" w:rsidRDefault="00DE33C0"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Arial"/>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0851760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382A257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43ED0DAB"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78322A1E"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3786A84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43F35EED"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6A8D727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4F6D9DFE"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3B52F3CA" w14:textId="77777777" w:rsid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3D9BCB59" w14:textId="77777777" w:rsidR="00467386" w:rsidRPr="00DE33C0" w:rsidRDefault="00467386"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785F500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27507525"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lastRenderedPageBreak/>
        <w:t>X. Evaluación</w:t>
      </w:r>
      <w:r w:rsidRPr="00DE33C0">
        <w:rPr>
          <w:rFonts w:ascii="Calibri" w:eastAsia="Times New Roman" w:hAnsi="Calibri" w:cs="Calibri"/>
          <w:b/>
          <w:bCs/>
          <w:color w:val="000000"/>
          <w:kern w:val="0"/>
          <w:lang w:val="es-ES_tradnl" w:eastAsia="es-CR"/>
          <w14:ligatures w14:val="none"/>
        </w:rPr>
        <w:tab/>
      </w:r>
    </w:p>
    <w:p w14:paraId="54AAC683" w14:textId="77777777" w:rsidR="00DE33C0" w:rsidRPr="00DE33C0" w:rsidRDefault="00DE33C0"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 xml:space="preserve">La evaluación diagnóstica se realizará con base en las discusiones virtuales sincrónicas y las reacciones y reflexiones frente al material que se introduce en este curso. Como aspectos de la evaluación formativa se analizarán los procesos de aprendizaje y su desarrollo durante el curso, las experiencias de aprendizaje virtual, la interacción grupal virtual y la capacidad de construir sobre lo trabajado en cada sesión. </w:t>
      </w:r>
      <w:r w:rsidRPr="4C9C2619">
        <w:rPr>
          <w:rFonts w:ascii="Calibri" w:eastAsia="Times New Roman" w:hAnsi="Calibri" w:cs="Calibri"/>
          <w:color w:val="000000"/>
          <w:kern w:val="0"/>
          <w:lang w:val="es-ES" w:eastAsia="es-CR"/>
          <w14:ligatures w14:val="none"/>
        </w:rPr>
        <w:t xml:space="preserve">La retroalimentación de la persona docente será fundamental para orientar el desarrollo de las capacidades cognitivas de los y las estudiantes. La evaluación sumativa se realiza con base en el ensayo grupal y su presentación, como también por medio de la sumatoria de las demás estrategias de aprendizaje realizadas en el curso. El curso se aprueba con una nota mínima de 7.00 (en escala decimal). </w:t>
      </w:r>
      <w:r w:rsidRPr="4C9C2619">
        <w:rPr>
          <w:rFonts w:ascii="Calibri" w:eastAsia="Times New Roman" w:hAnsi="Calibri" w:cs="Arial"/>
          <w:color w:val="000000"/>
          <w:kern w:val="0"/>
          <w:lang w:val="es-ES" w:eastAsia="es-CR"/>
          <w14:ligatures w14:val="none"/>
        </w:rPr>
        <w:t>Los porcentajes asignados a cada actividad calificada son:</w:t>
      </w:r>
    </w:p>
    <w:p w14:paraId="368E60AA"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09"/>
        <w:gridCol w:w="1655"/>
      </w:tblGrid>
      <w:tr w:rsidR="00DE33C0" w:rsidRPr="00DE33C0" w14:paraId="385F2509" w14:textId="77777777" w:rsidTr="00CE7124">
        <w:trPr>
          <w:trHeight w:val="215"/>
          <w:jc w:val="center"/>
        </w:trPr>
        <w:tc>
          <w:tcPr>
            <w:tcW w:w="8364" w:type="dxa"/>
            <w:gridSpan w:val="2"/>
            <w:tcBorders>
              <w:top w:val="single" w:sz="4" w:space="0" w:color="auto"/>
              <w:left w:val="single" w:sz="4" w:space="0" w:color="auto"/>
              <w:bottom w:val="single" w:sz="4" w:space="0" w:color="auto"/>
              <w:right w:val="single" w:sz="4" w:space="0" w:color="auto"/>
            </w:tcBorders>
            <w:vAlign w:val="center"/>
            <w:hideMark/>
          </w:tcPr>
          <w:p w14:paraId="0F1F21C4" w14:textId="77777777" w:rsidR="00DE33C0" w:rsidRPr="00DE33C0" w:rsidRDefault="00DE33C0" w:rsidP="00DE33C0">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DE33C0">
              <w:rPr>
                <w:rFonts w:ascii="Calibri" w:eastAsia="Times New Roman" w:hAnsi="Calibri" w:cs="Arial"/>
                <w:b/>
                <w:color w:val="000000"/>
                <w:kern w:val="0"/>
                <w:lang w:eastAsia="es-CR"/>
                <w14:ligatures w14:val="none"/>
              </w:rPr>
              <w:t>Síntesis cuantitativa de la evaluación</w:t>
            </w:r>
          </w:p>
        </w:tc>
      </w:tr>
      <w:tr w:rsidR="00DE33C0" w:rsidRPr="00DE33C0" w14:paraId="74A7C3C9" w14:textId="77777777" w:rsidTr="00CE7124">
        <w:trPr>
          <w:trHeight w:val="489"/>
          <w:jc w:val="center"/>
        </w:trPr>
        <w:tc>
          <w:tcPr>
            <w:tcW w:w="6709" w:type="dxa"/>
            <w:tcBorders>
              <w:top w:val="single" w:sz="4" w:space="0" w:color="auto"/>
              <w:left w:val="single" w:sz="4" w:space="0" w:color="auto"/>
              <w:bottom w:val="single" w:sz="4" w:space="0" w:color="auto"/>
              <w:right w:val="single" w:sz="4" w:space="0" w:color="auto"/>
            </w:tcBorders>
            <w:vAlign w:val="center"/>
            <w:hideMark/>
          </w:tcPr>
          <w:p w14:paraId="351C9307" w14:textId="77777777" w:rsidR="00DE33C0" w:rsidRPr="00DE33C0" w:rsidRDefault="00DE33C0" w:rsidP="00DE33C0">
            <w:pPr>
              <w:widowControl w:val="0"/>
              <w:overflowPunct w:val="0"/>
              <w:autoSpaceDE w:val="0"/>
              <w:autoSpaceDN w:val="0"/>
              <w:adjustRightInd w:val="0"/>
              <w:spacing w:before="120" w:after="0" w:line="254" w:lineRule="auto"/>
              <w:rPr>
                <w:rFonts w:ascii="Calibri" w:eastAsia="Times New Roman" w:hAnsi="Calibri" w:cs="Arial"/>
                <w:b/>
                <w:color w:val="000000"/>
                <w:kern w:val="0"/>
                <w:lang w:eastAsia="es-CR"/>
                <w14:ligatures w14:val="none"/>
              </w:rPr>
            </w:pPr>
            <w:r w:rsidRPr="00DE33C0">
              <w:rPr>
                <w:rFonts w:ascii="Calibri" w:eastAsia="Times New Roman" w:hAnsi="Calibri" w:cs="Arial"/>
                <w:b/>
                <w:color w:val="000000"/>
                <w:kern w:val="0"/>
                <w:lang w:eastAsia="es-CR"/>
                <w14:ligatures w14:val="none"/>
              </w:rPr>
              <w:t>Rubros para evaluar</w:t>
            </w:r>
          </w:p>
        </w:tc>
        <w:tc>
          <w:tcPr>
            <w:tcW w:w="1655" w:type="dxa"/>
            <w:tcBorders>
              <w:top w:val="single" w:sz="4" w:space="0" w:color="auto"/>
              <w:left w:val="single" w:sz="4" w:space="0" w:color="auto"/>
              <w:bottom w:val="single" w:sz="4" w:space="0" w:color="auto"/>
              <w:right w:val="single" w:sz="4" w:space="0" w:color="auto"/>
            </w:tcBorders>
            <w:hideMark/>
          </w:tcPr>
          <w:p w14:paraId="24413555" w14:textId="77777777" w:rsidR="00DE33C0" w:rsidRPr="00DE33C0" w:rsidRDefault="00DE33C0" w:rsidP="00DE33C0">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DE33C0">
              <w:rPr>
                <w:rFonts w:ascii="Calibri" w:eastAsia="Times New Roman" w:hAnsi="Calibri" w:cs="Arial"/>
                <w:b/>
                <w:color w:val="000000"/>
                <w:kern w:val="0"/>
                <w:lang w:eastAsia="es-CR"/>
                <w14:ligatures w14:val="none"/>
              </w:rPr>
              <w:t>Porcentaje total</w:t>
            </w:r>
          </w:p>
        </w:tc>
      </w:tr>
      <w:tr w:rsidR="00DE33C0" w:rsidRPr="00DE33C0" w14:paraId="1506ABC4"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hideMark/>
          </w:tcPr>
          <w:p w14:paraId="630EE1EA"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bCs/>
                <w:i/>
                <w:iCs/>
                <w:kern w:val="0"/>
                <w:lang w:eastAsia="es-CR"/>
                <w14:ligatures w14:val="none"/>
              </w:rPr>
            </w:pPr>
            <w:r w:rsidRPr="00DE33C0">
              <w:rPr>
                <w:rFonts w:ascii="Calibri" w:eastAsia="Times New Roman" w:hAnsi="Calibri" w:cs="Arial"/>
                <w:b/>
                <w:bCs/>
                <w:i/>
                <w:iCs/>
                <w:kern w:val="0"/>
                <w:lang w:eastAsia="es-CR"/>
                <w14:ligatures w14:val="none"/>
              </w:rPr>
              <w:t>Encuentros sincrónicos virtuales</w:t>
            </w:r>
          </w:p>
          <w:p w14:paraId="4CFDBD6D" w14:textId="77777777" w:rsidR="00DE33C0" w:rsidRPr="00DE33C0" w:rsidRDefault="00DE33C0" w:rsidP="00DE33C0">
            <w:pPr>
              <w:widowControl w:val="0"/>
              <w:overflowPunct w:val="0"/>
              <w:autoSpaceDE w:val="0"/>
              <w:autoSpaceDN w:val="0"/>
              <w:adjustRightInd w:val="0"/>
              <w:spacing w:after="0" w:line="254" w:lineRule="auto"/>
              <w:jc w:val="both"/>
              <w:rPr>
                <w:rFonts w:ascii="Calibri" w:eastAsia="Times New Roman" w:hAnsi="Calibri" w:cs="Arial"/>
                <w:kern w:val="0"/>
                <w:lang w:eastAsia="es-CR"/>
                <w14:ligatures w14:val="none"/>
              </w:rPr>
            </w:pPr>
            <w:r w:rsidRPr="00DE33C0">
              <w:rPr>
                <w:rFonts w:ascii="Calibri" w:eastAsia="Times New Roman" w:hAnsi="Calibri" w:cs="Arial"/>
                <w:kern w:val="0"/>
                <w:lang w:eastAsia="es-CR"/>
                <w14:ligatures w14:val="none"/>
              </w:rPr>
              <w:t>Se llevan a cabo en las sesiones 1, 3, 9, 11, 13 y 15. Tienen un valor formativo y no sumativo.</w:t>
            </w:r>
          </w:p>
        </w:tc>
        <w:tc>
          <w:tcPr>
            <w:tcW w:w="1655" w:type="dxa"/>
            <w:tcBorders>
              <w:top w:val="single" w:sz="4" w:space="0" w:color="auto"/>
              <w:left w:val="single" w:sz="4" w:space="0" w:color="auto"/>
              <w:bottom w:val="single" w:sz="4" w:space="0" w:color="auto"/>
              <w:right w:val="single" w:sz="4" w:space="0" w:color="auto"/>
            </w:tcBorders>
            <w:vAlign w:val="center"/>
            <w:hideMark/>
          </w:tcPr>
          <w:p w14:paraId="3D58DC42"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DE33C0">
              <w:rPr>
                <w:rFonts w:ascii="Calibri" w:eastAsia="Times New Roman" w:hAnsi="Calibri" w:cs="Calibri"/>
                <w:color w:val="000000"/>
                <w:kern w:val="0"/>
                <w:lang w:eastAsia="es-CR"/>
                <w14:ligatures w14:val="none"/>
              </w:rPr>
              <w:t>̶</w:t>
            </w:r>
          </w:p>
        </w:tc>
      </w:tr>
      <w:tr w:rsidR="00DE33C0" w:rsidRPr="00DE33C0" w14:paraId="600DE8EB"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tcPr>
          <w:p w14:paraId="3BF8453C"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bCs/>
                <w:i/>
                <w:iCs/>
                <w:color w:val="0070C0"/>
                <w:kern w:val="0"/>
                <w:lang w:eastAsia="es-CR"/>
                <w14:ligatures w14:val="none"/>
              </w:rPr>
            </w:pPr>
            <w:r w:rsidRPr="00DE33C0">
              <w:rPr>
                <w:rFonts w:ascii="Calibri" w:eastAsia="Times New Roman" w:hAnsi="Calibri" w:cs="Arial"/>
                <w:b/>
                <w:bCs/>
                <w:i/>
                <w:iCs/>
                <w:color w:val="0070C0"/>
                <w:kern w:val="0"/>
                <w:lang w:eastAsia="es-CR"/>
                <w14:ligatures w14:val="none"/>
              </w:rPr>
              <w:t>Foros temáticos</w:t>
            </w:r>
          </w:p>
          <w:p w14:paraId="3E84F021"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kern w:val="0"/>
                <w:lang w:eastAsia="es-CR"/>
                <w14:ligatures w14:val="none"/>
              </w:rPr>
            </w:pPr>
            <w:r w:rsidRPr="00DE33C0">
              <w:rPr>
                <w:rFonts w:ascii="Calibri" w:eastAsia="Times New Roman" w:hAnsi="Calibri" w:cs="Arial"/>
                <w:color w:val="0070C0"/>
                <w:kern w:val="0"/>
                <w:lang w:eastAsia="es-CR"/>
                <w14:ligatures w14:val="none"/>
              </w:rPr>
              <w:t>Se desarrollan en las sesiones 1, 2, 5, 8 y 14. Cada foro tiene un valor de 3%.</w:t>
            </w:r>
          </w:p>
        </w:tc>
        <w:tc>
          <w:tcPr>
            <w:tcW w:w="1655" w:type="dxa"/>
            <w:tcBorders>
              <w:top w:val="single" w:sz="4" w:space="0" w:color="auto"/>
              <w:left w:val="single" w:sz="4" w:space="0" w:color="auto"/>
              <w:bottom w:val="single" w:sz="4" w:space="0" w:color="auto"/>
              <w:right w:val="single" w:sz="4" w:space="0" w:color="auto"/>
            </w:tcBorders>
            <w:vAlign w:val="center"/>
          </w:tcPr>
          <w:p w14:paraId="0CFCF9F5"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Calibri"/>
                <w:color w:val="000000"/>
                <w:kern w:val="0"/>
                <w:lang w:eastAsia="es-CR"/>
                <w14:ligatures w14:val="none"/>
              </w:rPr>
            </w:pPr>
            <w:r w:rsidRPr="00DE33C0">
              <w:rPr>
                <w:rFonts w:ascii="Calibri" w:eastAsia="Times New Roman" w:hAnsi="Calibri" w:cs="Calibri"/>
                <w:color w:val="0070C0"/>
                <w:kern w:val="0"/>
                <w:lang w:eastAsia="es-CR"/>
                <w14:ligatures w14:val="none"/>
              </w:rPr>
              <w:t>15%</w:t>
            </w:r>
          </w:p>
        </w:tc>
      </w:tr>
      <w:tr w:rsidR="00DE33C0" w:rsidRPr="00DE33C0" w14:paraId="189C3F9D"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tcPr>
          <w:p w14:paraId="10AD7310"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DE33C0">
              <w:rPr>
                <w:rFonts w:ascii="Calibri" w:eastAsia="Times New Roman" w:hAnsi="Calibri" w:cs="Arial"/>
                <w:b/>
                <w:i/>
                <w:color w:val="000000"/>
                <w:kern w:val="0"/>
                <w:lang w:eastAsia="es-CR"/>
                <w14:ligatures w14:val="none"/>
              </w:rPr>
              <w:t>Diario reflexivo</w:t>
            </w:r>
          </w:p>
          <w:p w14:paraId="6923F1AB" w14:textId="77777777" w:rsidR="00DE33C0" w:rsidRPr="00DE33C0" w:rsidRDefault="00DE33C0" w:rsidP="00DE33C0">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DE33C0">
              <w:rPr>
                <w:rFonts w:ascii="Calibri" w:eastAsia="Times New Roman" w:hAnsi="Calibri" w:cs="Arial"/>
                <w:color w:val="000000"/>
                <w:kern w:val="0"/>
                <w:lang w:eastAsia="es-CR"/>
                <w14:ligatures w14:val="none"/>
              </w:rPr>
              <w:t>Se elabora en las sesiones 1, 2 y 3.</w:t>
            </w:r>
          </w:p>
        </w:tc>
        <w:tc>
          <w:tcPr>
            <w:tcW w:w="1655" w:type="dxa"/>
            <w:tcBorders>
              <w:top w:val="single" w:sz="4" w:space="0" w:color="auto"/>
              <w:left w:val="single" w:sz="4" w:space="0" w:color="auto"/>
              <w:bottom w:val="single" w:sz="4" w:space="0" w:color="auto"/>
              <w:right w:val="single" w:sz="4" w:space="0" w:color="auto"/>
            </w:tcBorders>
            <w:vAlign w:val="center"/>
          </w:tcPr>
          <w:p w14:paraId="22FB2A8E"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DE33C0">
              <w:rPr>
                <w:rFonts w:ascii="Calibri" w:eastAsia="Times New Roman" w:hAnsi="Calibri" w:cs="Arial"/>
                <w:color w:val="000000"/>
                <w:kern w:val="0"/>
                <w:lang w:eastAsia="es-CR"/>
                <w14:ligatures w14:val="none"/>
              </w:rPr>
              <w:t>15%</w:t>
            </w:r>
          </w:p>
        </w:tc>
      </w:tr>
      <w:tr w:rsidR="00DE33C0" w:rsidRPr="00DE33C0" w14:paraId="1FD0334F"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hideMark/>
          </w:tcPr>
          <w:p w14:paraId="3D411C16"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DE33C0">
              <w:rPr>
                <w:rFonts w:ascii="Calibri" w:eastAsia="Times New Roman" w:hAnsi="Calibri" w:cs="Arial"/>
                <w:b/>
                <w:i/>
                <w:color w:val="000000"/>
                <w:kern w:val="0"/>
                <w:lang w:eastAsia="es-CR"/>
                <w14:ligatures w14:val="none"/>
              </w:rPr>
              <w:t>Reseñas críticas de lectura</w:t>
            </w:r>
          </w:p>
          <w:p w14:paraId="05DF5EB9" w14:textId="77777777" w:rsidR="00DE33C0" w:rsidRPr="00DE33C0" w:rsidRDefault="00DE33C0" w:rsidP="00DE33C0">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DE33C0">
              <w:rPr>
                <w:rFonts w:ascii="Calibri" w:eastAsia="Times New Roman" w:hAnsi="Calibri" w:cs="Arial"/>
                <w:bCs/>
                <w:iCs/>
                <w:color w:val="000000"/>
                <w:kern w:val="0"/>
                <w:lang w:eastAsia="es-CR"/>
                <w14:ligatures w14:val="none"/>
              </w:rPr>
              <w:t>Se elaboran en las sesiones 4, 5 y 7. Cada reseña tiene un valor de 5%.</w:t>
            </w:r>
          </w:p>
        </w:tc>
        <w:tc>
          <w:tcPr>
            <w:tcW w:w="1655" w:type="dxa"/>
            <w:tcBorders>
              <w:top w:val="single" w:sz="4" w:space="0" w:color="auto"/>
              <w:left w:val="single" w:sz="4" w:space="0" w:color="auto"/>
              <w:bottom w:val="single" w:sz="4" w:space="0" w:color="auto"/>
              <w:right w:val="single" w:sz="4" w:space="0" w:color="auto"/>
            </w:tcBorders>
            <w:vAlign w:val="center"/>
            <w:hideMark/>
          </w:tcPr>
          <w:p w14:paraId="654193CE"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DE33C0">
              <w:rPr>
                <w:rFonts w:ascii="Calibri" w:eastAsia="Times New Roman" w:hAnsi="Calibri" w:cs="Arial"/>
                <w:color w:val="000000"/>
                <w:kern w:val="0"/>
                <w:lang w:eastAsia="es-CR"/>
                <w14:ligatures w14:val="none"/>
              </w:rPr>
              <w:t>15%</w:t>
            </w:r>
          </w:p>
        </w:tc>
      </w:tr>
      <w:tr w:rsidR="00DE33C0" w:rsidRPr="00DE33C0" w14:paraId="22B9309D"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hideMark/>
          </w:tcPr>
          <w:p w14:paraId="114D1FA4"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DE33C0">
              <w:rPr>
                <w:rFonts w:ascii="Calibri" w:eastAsia="Times New Roman" w:hAnsi="Calibri" w:cs="Arial"/>
                <w:b/>
                <w:i/>
                <w:color w:val="000000"/>
                <w:kern w:val="0"/>
                <w:lang w:eastAsia="es-CR"/>
                <w14:ligatures w14:val="none"/>
              </w:rPr>
              <w:t>Video foros virtuales</w:t>
            </w:r>
          </w:p>
          <w:p w14:paraId="56C3840F" w14:textId="77777777" w:rsidR="00DE33C0" w:rsidRPr="00DE33C0" w:rsidRDefault="00DE33C0" w:rsidP="00DE33C0">
            <w:pPr>
              <w:widowControl w:val="0"/>
              <w:overflowPunct w:val="0"/>
              <w:autoSpaceDE w:val="0"/>
              <w:autoSpaceDN w:val="0"/>
              <w:adjustRightInd w:val="0"/>
              <w:spacing w:after="0" w:line="254" w:lineRule="auto"/>
              <w:jc w:val="both"/>
              <w:rPr>
                <w:rFonts w:ascii="Calibri" w:eastAsia="Times New Roman" w:hAnsi="Calibri" w:cs="Arial"/>
                <w:bCs/>
                <w:iCs/>
                <w:color w:val="000000"/>
                <w:kern w:val="0"/>
                <w:lang w:eastAsia="es-CR"/>
                <w14:ligatures w14:val="none"/>
              </w:rPr>
            </w:pPr>
            <w:r w:rsidRPr="00DE33C0">
              <w:rPr>
                <w:rFonts w:ascii="Calibri" w:eastAsia="Times New Roman" w:hAnsi="Calibri" w:cs="Arial"/>
                <w:bCs/>
                <w:iCs/>
                <w:color w:val="000000"/>
                <w:kern w:val="0"/>
                <w:lang w:eastAsia="es-CR"/>
                <w14:ligatures w14:val="none"/>
              </w:rPr>
              <w:t>Se llevan a cabo en las sesiones 6 y 10. Cada video foro tiene un valor de 5%.</w:t>
            </w:r>
          </w:p>
        </w:tc>
        <w:tc>
          <w:tcPr>
            <w:tcW w:w="1655" w:type="dxa"/>
            <w:tcBorders>
              <w:top w:val="single" w:sz="4" w:space="0" w:color="auto"/>
              <w:left w:val="single" w:sz="4" w:space="0" w:color="auto"/>
              <w:bottom w:val="single" w:sz="4" w:space="0" w:color="auto"/>
              <w:right w:val="single" w:sz="4" w:space="0" w:color="auto"/>
            </w:tcBorders>
            <w:vAlign w:val="center"/>
            <w:hideMark/>
          </w:tcPr>
          <w:p w14:paraId="25AE171B"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DE33C0">
              <w:rPr>
                <w:rFonts w:ascii="Calibri" w:eastAsia="Times New Roman" w:hAnsi="Calibri" w:cs="Arial"/>
                <w:color w:val="000000"/>
                <w:kern w:val="0"/>
                <w:lang w:eastAsia="es-CR"/>
                <w14:ligatures w14:val="none"/>
              </w:rPr>
              <w:t>10%</w:t>
            </w:r>
          </w:p>
        </w:tc>
      </w:tr>
      <w:tr w:rsidR="00DE33C0" w:rsidRPr="00DE33C0" w14:paraId="6FE0D741"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tcPr>
          <w:p w14:paraId="358ACDA7" w14:textId="77777777" w:rsidR="00DE33C0" w:rsidRPr="00DE33C0" w:rsidRDefault="00DE33C0" w:rsidP="00DE33C0">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DE33C0">
              <w:rPr>
                <w:rFonts w:ascii="Calibri" w:eastAsia="Times New Roman" w:hAnsi="Calibri" w:cs="Arial"/>
                <w:b/>
                <w:i/>
                <w:color w:val="000000"/>
                <w:kern w:val="0"/>
                <w:lang w:eastAsia="es-CR"/>
                <w14:ligatures w14:val="none"/>
              </w:rPr>
              <w:t>Ensayo grupal</w:t>
            </w:r>
          </w:p>
          <w:p w14:paraId="2900589C" w14:textId="77777777" w:rsidR="00DE33C0" w:rsidRPr="00DE33C0" w:rsidRDefault="00DE33C0" w:rsidP="00DE33C0">
            <w:pPr>
              <w:widowControl w:val="0"/>
              <w:overflowPunct w:val="0"/>
              <w:autoSpaceDE w:val="0"/>
              <w:autoSpaceDN w:val="0"/>
              <w:adjustRightInd w:val="0"/>
              <w:spacing w:after="0" w:line="254" w:lineRule="auto"/>
              <w:jc w:val="both"/>
              <w:rPr>
                <w:rFonts w:ascii="Calibri" w:eastAsia="Times New Roman" w:hAnsi="Calibri" w:cs="Arial"/>
                <w:bCs/>
                <w:iCs/>
                <w:color w:val="000000"/>
                <w:kern w:val="0"/>
                <w:lang w:eastAsia="es-CR"/>
                <w14:ligatures w14:val="none"/>
              </w:rPr>
            </w:pPr>
            <w:r w:rsidRPr="00DE33C0">
              <w:rPr>
                <w:rFonts w:ascii="Calibri" w:eastAsia="Times New Roman" w:hAnsi="Calibri" w:cs="Arial"/>
                <w:bCs/>
                <w:iCs/>
                <w:color w:val="000000"/>
                <w:kern w:val="0"/>
                <w:lang w:eastAsia="es-CR"/>
                <w14:ligatures w14:val="none"/>
              </w:rPr>
              <w:t>Se elabora de la sesión 8 a la 13. La evaluación docente tiene un valor de 35% y la coevaluación tiene un valor de 10%.</w:t>
            </w:r>
          </w:p>
        </w:tc>
        <w:tc>
          <w:tcPr>
            <w:tcW w:w="1655" w:type="dxa"/>
            <w:tcBorders>
              <w:top w:val="single" w:sz="4" w:space="0" w:color="auto"/>
              <w:left w:val="single" w:sz="4" w:space="0" w:color="auto"/>
              <w:bottom w:val="single" w:sz="4" w:space="0" w:color="auto"/>
              <w:right w:val="single" w:sz="4" w:space="0" w:color="auto"/>
            </w:tcBorders>
            <w:vAlign w:val="center"/>
          </w:tcPr>
          <w:p w14:paraId="0D542374" w14:textId="77777777" w:rsidR="00DE33C0" w:rsidRPr="00DE33C0" w:rsidRDefault="00DE33C0" w:rsidP="00DE33C0">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DE33C0">
              <w:rPr>
                <w:rFonts w:ascii="Calibri" w:eastAsia="Times New Roman" w:hAnsi="Calibri" w:cs="Arial"/>
                <w:color w:val="000000"/>
                <w:kern w:val="0"/>
                <w:lang w:eastAsia="es-CR"/>
                <w14:ligatures w14:val="none"/>
              </w:rPr>
              <w:t>45%</w:t>
            </w:r>
          </w:p>
        </w:tc>
      </w:tr>
      <w:tr w:rsidR="00DE33C0" w:rsidRPr="00DE33C0" w14:paraId="07FB277C" w14:textId="77777777" w:rsidTr="00CE7124">
        <w:trPr>
          <w:jc w:val="center"/>
        </w:trPr>
        <w:tc>
          <w:tcPr>
            <w:tcW w:w="6709" w:type="dxa"/>
            <w:tcBorders>
              <w:top w:val="single" w:sz="4" w:space="0" w:color="auto"/>
              <w:left w:val="single" w:sz="4" w:space="0" w:color="auto"/>
              <w:bottom w:val="single" w:sz="4" w:space="0" w:color="auto"/>
              <w:right w:val="single" w:sz="4" w:space="0" w:color="auto"/>
            </w:tcBorders>
            <w:hideMark/>
          </w:tcPr>
          <w:p w14:paraId="1FAEC8B5" w14:textId="77777777" w:rsidR="00DE33C0" w:rsidRPr="00DE33C0" w:rsidRDefault="00DE33C0" w:rsidP="00DE33C0">
            <w:pPr>
              <w:widowControl w:val="0"/>
              <w:overflowPunct w:val="0"/>
              <w:autoSpaceDE w:val="0"/>
              <w:autoSpaceDN w:val="0"/>
              <w:adjustRightInd w:val="0"/>
              <w:spacing w:before="120" w:after="0" w:line="254" w:lineRule="auto"/>
              <w:rPr>
                <w:rFonts w:ascii="Calibri" w:eastAsia="Times New Roman" w:hAnsi="Calibri" w:cs="Arial"/>
                <w:b/>
                <w:color w:val="000000"/>
                <w:kern w:val="0"/>
                <w:lang w:eastAsia="es-CR"/>
                <w14:ligatures w14:val="none"/>
              </w:rPr>
            </w:pPr>
            <w:r w:rsidRPr="00DE33C0">
              <w:rPr>
                <w:rFonts w:ascii="Calibri" w:eastAsia="Times New Roman" w:hAnsi="Calibri" w:cs="Arial"/>
                <w:b/>
                <w:color w:val="000000"/>
                <w:kern w:val="0"/>
                <w:lang w:eastAsia="es-CR"/>
                <w14:ligatures w14:val="none"/>
              </w:rPr>
              <w:t>Total</w:t>
            </w:r>
          </w:p>
        </w:tc>
        <w:tc>
          <w:tcPr>
            <w:tcW w:w="1655" w:type="dxa"/>
            <w:tcBorders>
              <w:top w:val="single" w:sz="4" w:space="0" w:color="auto"/>
              <w:left w:val="single" w:sz="4" w:space="0" w:color="auto"/>
              <w:bottom w:val="single" w:sz="4" w:space="0" w:color="auto"/>
              <w:right w:val="single" w:sz="4" w:space="0" w:color="auto"/>
            </w:tcBorders>
            <w:hideMark/>
          </w:tcPr>
          <w:p w14:paraId="0F569768" w14:textId="77777777" w:rsidR="00DE33C0" w:rsidRPr="00DE33C0" w:rsidRDefault="00DE33C0" w:rsidP="00DE33C0">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DE33C0">
              <w:rPr>
                <w:rFonts w:ascii="Calibri" w:eastAsia="Times New Roman" w:hAnsi="Calibri" w:cs="Arial"/>
                <w:b/>
                <w:color w:val="000000"/>
                <w:kern w:val="0"/>
                <w:lang w:eastAsia="es-CR"/>
                <w14:ligatures w14:val="none"/>
              </w:rPr>
              <w:t>100%</w:t>
            </w:r>
          </w:p>
        </w:tc>
      </w:tr>
    </w:tbl>
    <w:p w14:paraId="49266416"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60DA87FE"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3A9FF99C"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1B957956"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505C9083"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0A20DB3E"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br w:type="page"/>
      </w:r>
    </w:p>
    <w:p w14:paraId="29879159"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sectPr w:rsidR="00DE33C0" w:rsidRPr="00DE33C0" w:rsidSect="005C1895">
          <w:pgSz w:w="12240" w:h="15840"/>
          <w:pgMar w:top="1417" w:right="1701" w:bottom="1417" w:left="1701" w:header="708" w:footer="708" w:gutter="0"/>
          <w:pgNumType w:start="95"/>
          <w:cols w:space="708"/>
          <w:docGrid w:linePitch="360"/>
        </w:sectPr>
      </w:pPr>
    </w:p>
    <w:p w14:paraId="50DFC32C"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236800" behindDoc="0" locked="0" layoutInCell="1" allowOverlap="1" wp14:anchorId="26EEED88" wp14:editId="371B47A8">
                <wp:simplePos x="0" y="0"/>
                <wp:positionH relativeFrom="margin">
                  <wp:align>center</wp:align>
                </wp:positionH>
                <wp:positionV relativeFrom="paragraph">
                  <wp:posOffset>-152400</wp:posOffset>
                </wp:positionV>
                <wp:extent cx="7879080" cy="438150"/>
                <wp:effectExtent l="0" t="0" r="26670" b="19050"/>
                <wp:wrapNone/>
                <wp:docPr id="1237968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38150"/>
                        </a:xfrm>
                        <a:prstGeom prst="rect">
                          <a:avLst/>
                        </a:prstGeom>
                        <a:solidFill>
                          <a:srgbClr val="FFFFFF"/>
                        </a:solidFill>
                        <a:ln w="9525">
                          <a:solidFill>
                            <a:srgbClr val="000000"/>
                          </a:solidFill>
                          <a:miter lim="800000"/>
                          <a:headEnd/>
                          <a:tailEnd/>
                        </a:ln>
                      </wps:spPr>
                      <wps:txbx>
                        <w:txbxContent>
                          <w:p w14:paraId="6717B157" w14:textId="77777777" w:rsidR="00DE33C0" w:rsidRPr="00DE33C0" w:rsidRDefault="00DE33C0" w:rsidP="00DE33C0">
                            <w:pPr>
                              <w:jc w:val="center"/>
                              <w:rPr>
                                <w:rFonts w:cs="Calibri"/>
                                <w:b/>
                                <w:szCs w:val="24"/>
                              </w:rPr>
                            </w:pPr>
                            <w:r w:rsidRPr="00DE33C0">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EEED88" id="_x0000_s1078" type="#_x0000_t202" style="position:absolute;left:0;text-align:left;margin-left:0;margin-top:-12pt;width:620.4pt;height:34.5pt;z-index:25223680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">
                <v:textbox>
                  <w:txbxContent>
                    <w:p w14:paraId="6717B157" w14:textId="77777777" w:rsidR="00DE33C0" w:rsidRPr="00DE33C0" w:rsidRDefault="00DE33C0" w:rsidP="00DE33C0">
                      <w:pPr>
                        <w:jc w:val="center"/>
                        <w:rPr>
                          <w:rFonts w:cs="Calibri"/>
                          <w:b/>
                          <w:szCs w:val="24"/>
                        </w:rPr>
                      </w:pPr>
                      <w:r w:rsidRPr="00DE33C0">
                        <w:rPr>
                          <w:rFonts w:cs="Calibri"/>
                          <w:b/>
                          <w:szCs w:val="24"/>
                        </w:rPr>
                        <w:t>RÚBRICA DE EVALUACIÓN – FORO TEMÁTICO</w:t>
                      </w:r>
                    </w:p>
                  </w:txbxContent>
                </v:textbox>
                <w10:wrap anchorx="margin"/>
              </v:shape>
            </w:pict>
          </mc:Fallback>
        </mc:AlternateContent>
      </w:r>
    </w:p>
    <w:p w14:paraId="334F3F89"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p>
    <w:p w14:paraId="0245285D" w14:textId="77777777" w:rsidR="00DE33C0" w:rsidRPr="00DE33C0" w:rsidRDefault="00DE33C0" w:rsidP="00DE33C0">
      <w:pPr>
        <w:jc w:val="center"/>
        <w:rPr>
          <w:rFonts w:ascii="Calibri" w:eastAsia="Times New Roman" w:hAnsi="Calibri" w:cs="Calibri"/>
          <w:color w:val="0070C0"/>
          <w:kern w:val="0"/>
          <w:lang w:val="es-ES_tradnl" w:eastAsia="es-CR"/>
          <w14:ligatures w14:val="none"/>
        </w:rPr>
      </w:pPr>
      <w:r w:rsidRPr="00DE33C0">
        <w:rPr>
          <w:rFonts w:ascii="Calibri" w:eastAsia="Times New Roman" w:hAnsi="Calibri" w:cs="Calibri"/>
          <w:color w:val="0070C0"/>
          <w:kern w:val="0"/>
          <w:lang w:val="es-ES_tradnl" w:eastAsia="es-CR"/>
          <w14:ligatures w14:val="none"/>
        </w:rPr>
        <w:t>Un foro es una herramienta que constituye un escenario virtual de debate. En este curso se desarrollan a la luz de los aportes de las lecturas, donde las personas estudiantes discutirán sobre temas tales como la teoría de los documentos fundantes del Antiguo Testamento. Los foros temáticos se desarrollan en las sesiones 1, 2, 5, 8 y 14. Cada foro tiene un valor de 3%.</w:t>
      </w:r>
    </w:p>
    <w:p w14:paraId="322A371A" w14:textId="77777777" w:rsidR="00DE33C0" w:rsidRPr="00DE33C0" w:rsidRDefault="00DE33C0" w:rsidP="00DE33C0">
      <w:pPr>
        <w:jc w:val="center"/>
        <w:rPr>
          <w:rFonts w:ascii="Calibri" w:eastAsia="Times New Roman" w:hAnsi="Calibri" w:cs="Calibri"/>
          <w:color w:val="000000"/>
          <w:kern w:val="0"/>
          <w:lang w:val="es-ES_tradnl" w:eastAsia="es-CR"/>
          <w14:ligatures w14:val="none"/>
        </w:rPr>
      </w:pPr>
      <w:r w:rsidRPr="00DE33C0">
        <w:rPr>
          <w:rFonts w:ascii="Calibri" w:eastAsia="Times New Roman" w:hAnsi="Calibri" w:cs="Calibri"/>
          <w:noProof/>
          <w:color w:val="000000"/>
          <w:kern w:val="0"/>
          <w:lang w:val="es-ES_tradnl" w:eastAsia="es-CR"/>
          <w14:ligatures w14:val="none"/>
        </w:rPr>
        <w:drawing>
          <wp:anchor distT="0" distB="0" distL="114300" distR="114300" simplePos="0" relativeHeight="252237824" behindDoc="0" locked="0" layoutInCell="1" allowOverlap="1" wp14:anchorId="2C98DC49" wp14:editId="7F47B7B4">
            <wp:simplePos x="0" y="0"/>
            <wp:positionH relativeFrom="margin">
              <wp:align>center</wp:align>
            </wp:positionH>
            <wp:positionV relativeFrom="paragraph">
              <wp:posOffset>118745</wp:posOffset>
            </wp:positionV>
            <wp:extent cx="8077200" cy="5847556"/>
            <wp:effectExtent l="0" t="0" r="0" b="1270"/>
            <wp:wrapNone/>
            <wp:docPr id="201944809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448091" name="Imagen 1" descr="Tabla&#10;&#10;Descripción generada automáticamente"/>
                    <pic:cNvPicPr/>
                  </pic:nvPicPr>
                  <pic:blipFill>
                    <a:blip r:embed="rId126">
                      <a:extLst>
                        <a:ext uri="{28A0092B-C50C-407E-A947-70E740481C1C}">
                          <a14:useLocalDpi xmlns:a14="http://schemas.microsoft.com/office/drawing/2010/main" val="0"/>
                        </a:ext>
                      </a:extLst>
                    </a:blip>
                    <a:stretch>
                      <a:fillRect/>
                    </a:stretch>
                  </pic:blipFill>
                  <pic:spPr>
                    <a:xfrm>
                      <a:off x="0" y="0"/>
                      <a:ext cx="8077200" cy="5847556"/>
                    </a:xfrm>
                    <a:prstGeom prst="rect">
                      <a:avLst/>
                    </a:prstGeom>
                  </pic:spPr>
                </pic:pic>
              </a:graphicData>
            </a:graphic>
            <wp14:sizeRelH relativeFrom="margin">
              <wp14:pctWidth>0</wp14:pctWidth>
            </wp14:sizeRelH>
            <wp14:sizeRelV relativeFrom="margin">
              <wp14:pctHeight>0</wp14:pctHeight>
            </wp14:sizeRelV>
          </wp:anchor>
        </w:drawing>
      </w:r>
    </w:p>
    <w:p w14:paraId="1890A695" w14:textId="77777777" w:rsidR="00DE33C0" w:rsidRPr="00DE33C0" w:rsidRDefault="00DE33C0" w:rsidP="00DE33C0">
      <w:pPr>
        <w:jc w:val="center"/>
        <w:rPr>
          <w:rFonts w:ascii="Calibri" w:eastAsia="Times New Roman" w:hAnsi="Calibri" w:cs="Calibri"/>
          <w:color w:val="000000"/>
          <w:kern w:val="0"/>
          <w:lang w:val="es-ES_tradnl" w:eastAsia="es-CR"/>
          <w14:ligatures w14:val="none"/>
        </w:rPr>
      </w:pPr>
    </w:p>
    <w:p w14:paraId="00536D36" w14:textId="77777777" w:rsidR="00DE33C0" w:rsidRPr="00DE33C0" w:rsidRDefault="00DE33C0" w:rsidP="00DE33C0">
      <w:pPr>
        <w:jc w:val="center"/>
        <w:rPr>
          <w:rFonts w:ascii="Calibri" w:eastAsia="Times New Roman" w:hAnsi="Calibri" w:cs="Calibri"/>
          <w:b/>
          <w:bCs/>
          <w:color w:val="000000"/>
          <w:kern w:val="0"/>
          <w:lang w:val="es-ES_tradnl" w:eastAsia="es-CR"/>
          <w14:ligatures w14:val="none"/>
        </w:rPr>
      </w:pPr>
      <w:r w:rsidRPr="00DE33C0">
        <w:rPr>
          <w:rFonts w:ascii="Calibri" w:eastAsia="Times New Roman" w:hAnsi="Calibri" w:cs="Calibri"/>
          <w:b/>
          <w:bCs/>
          <w:color w:val="000000"/>
          <w:kern w:val="0"/>
          <w:lang w:val="es-ES_tradnl" w:eastAsia="es-CR"/>
          <w14:ligatures w14:val="none"/>
        </w:rPr>
        <w:br w:type="page"/>
      </w:r>
    </w:p>
    <w:p w14:paraId="1B91643F" w14:textId="77777777" w:rsidR="00DE33C0" w:rsidRPr="00DE33C0" w:rsidRDefault="00DE33C0" w:rsidP="00DE33C0">
      <w:pPr>
        <w:jc w:val="both"/>
        <w:rPr>
          <w:rFonts w:ascii="Calibri" w:eastAsia="Arial" w:hAnsi="Calibri" w:cs="Calibri"/>
          <w:b/>
          <w:color w:val="000000"/>
          <w:kern w:val="0"/>
          <w:lang w:val="es-ES_tradnl" w:eastAsia="es-CR"/>
          <w14:ligatures w14:val="none"/>
        </w:rPr>
      </w:pPr>
      <w:r w:rsidRPr="00DE33C0">
        <w:rPr>
          <w:rFonts w:ascii="Calibri" w:eastAsia="Times New Roman" w:hAnsi="Calibri" w:cs="Calibri"/>
          <w:bCs/>
          <w:noProof/>
          <w:kern w:val="0"/>
          <w:sz w:val="20"/>
          <w:szCs w:val="20"/>
          <w:lang w:eastAsia="es-CR"/>
          <w14:ligatures w14:val="none"/>
        </w:rPr>
        <w:lastRenderedPageBreak/>
        <mc:AlternateContent>
          <mc:Choice Requires="wps">
            <w:drawing>
              <wp:anchor distT="45720" distB="45720" distL="114300" distR="114300" simplePos="0" relativeHeight="252238848" behindDoc="0" locked="0" layoutInCell="1" allowOverlap="1" wp14:anchorId="7D5F76C3" wp14:editId="525C1924">
                <wp:simplePos x="0" y="0"/>
                <wp:positionH relativeFrom="margin">
                  <wp:align>center</wp:align>
                </wp:positionH>
                <wp:positionV relativeFrom="paragraph">
                  <wp:posOffset>-180975</wp:posOffset>
                </wp:positionV>
                <wp:extent cx="7879080" cy="426720"/>
                <wp:effectExtent l="0" t="0" r="26670" b="11430"/>
                <wp:wrapNone/>
                <wp:docPr id="14578538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4D9787E2" w14:textId="77777777" w:rsidR="00DE33C0" w:rsidRPr="00DE33C0" w:rsidRDefault="00DE33C0" w:rsidP="00DE33C0">
                            <w:pPr>
                              <w:jc w:val="center"/>
                              <w:rPr>
                                <w:rFonts w:cs="Calibri"/>
                                <w:b/>
                              </w:rPr>
                            </w:pPr>
                            <w:r w:rsidRPr="00DE33C0">
                              <w:rPr>
                                <w:rFonts w:cs="Calibri"/>
                                <w:b/>
                              </w:rPr>
                              <w:t>RÚBRICA DE EVALUACIÓN – DIARIO REFLEXIVO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F76C3" id="_x0000_s1079" type="#_x0000_t202" style="position:absolute;left:0;text-align:left;margin-left:0;margin-top:-14.25pt;width:620.4pt;height:33.6pt;z-index:2522388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">
                <v:textbox>
                  <w:txbxContent>
                    <w:p w14:paraId="4D9787E2" w14:textId="77777777" w:rsidR="00DE33C0" w:rsidRPr="00DE33C0" w:rsidRDefault="00DE33C0" w:rsidP="00DE33C0">
                      <w:pPr>
                        <w:jc w:val="center"/>
                        <w:rPr>
                          <w:rFonts w:cs="Calibri"/>
                          <w:b/>
                        </w:rPr>
                      </w:pPr>
                      <w:r w:rsidRPr="00DE33C0">
                        <w:rPr>
                          <w:rFonts w:cs="Calibri"/>
                          <w:b/>
                        </w:rPr>
                        <w:t>RÚBRICA DE EVALUACIÓN – DIARIO REFLEXIVO</w:t>
                      </w:r>
                    </w:p>
                  </w:txbxContent>
                </v:textbox>
                <w10:wrap anchorx="margin"/>
              </v:shape>
            </w:pict>
          </mc:Fallback>
        </mc:AlternateContent>
      </w:r>
    </w:p>
    <w:p w14:paraId="33BF7E22" w14:textId="77777777" w:rsidR="00DE33C0" w:rsidRPr="00DE33C0" w:rsidRDefault="00DE33C0" w:rsidP="00DE33C0">
      <w:pPr>
        <w:jc w:val="both"/>
        <w:rPr>
          <w:rFonts w:ascii="Calibri" w:eastAsia="Arial" w:hAnsi="Calibri" w:cs="Calibri"/>
          <w:b/>
          <w:color w:val="000000"/>
          <w:kern w:val="0"/>
          <w:lang w:val="es-ES_tradnl" w:eastAsia="es-CR"/>
          <w14:ligatures w14:val="none"/>
        </w:rPr>
      </w:pPr>
    </w:p>
    <w:p w14:paraId="5456BDE2" w14:textId="77777777" w:rsidR="00DE33C0" w:rsidRPr="00DE33C0" w:rsidRDefault="00DE33C0" w:rsidP="00DE33C0">
      <w:pPr>
        <w:jc w:val="center"/>
        <w:rPr>
          <w:rFonts w:ascii="Calibri" w:eastAsia="Arial" w:hAnsi="Calibri" w:cs="Calibri"/>
          <w:bCs/>
          <w:color w:val="0070C0"/>
          <w:kern w:val="0"/>
          <w:lang w:val="es-ES_tradnl" w:eastAsia="es-CR"/>
          <w14:ligatures w14:val="none"/>
        </w:rPr>
      </w:pPr>
      <w:r w:rsidRPr="00DE33C0">
        <w:rPr>
          <w:rFonts w:ascii="Calibri" w:eastAsia="Arial" w:hAnsi="Calibri" w:cs="Calibri"/>
          <w:bCs/>
          <w:color w:val="0070C0"/>
          <w:kern w:val="0"/>
          <w:lang w:val="es-ES_tradnl" w:eastAsia="es-CR"/>
          <w14:ligatures w14:val="none"/>
        </w:rPr>
        <w:t>El diario reflexivo es una estrategia didáctica que motiva el desarrollo óptimo del proceso de aprendizaje, a través de la toma de conciencia de las propias capacidades, para desarrollar estrategias y recursos que permiten experimentar un aprendizaje más significativo.  Se elabora en las sesiones 1, 2 y 3 y tiene un valor de 15%.</w:t>
      </w:r>
    </w:p>
    <w:p w14:paraId="1EBF77A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
          <w:noProof/>
          <w:color w:val="000000"/>
          <w:kern w:val="0"/>
          <w:lang w:val="es-ES_tradnl" w:eastAsia="es-CR"/>
          <w14:ligatures w14:val="none"/>
        </w:rPr>
        <w:drawing>
          <wp:anchor distT="0" distB="0" distL="114300" distR="114300" simplePos="0" relativeHeight="252239872" behindDoc="0" locked="0" layoutInCell="1" allowOverlap="1" wp14:anchorId="323D4F1F" wp14:editId="75113851">
            <wp:simplePos x="0" y="0"/>
            <wp:positionH relativeFrom="margin">
              <wp:align>center</wp:align>
            </wp:positionH>
            <wp:positionV relativeFrom="paragraph">
              <wp:posOffset>132080</wp:posOffset>
            </wp:positionV>
            <wp:extent cx="8606673" cy="5362575"/>
            <wp:effectExtent l="0" t="0" r="4445" b="0"/>
            <wp:wrapNone/>
            <wp:docPr id="1946648250"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48250" name="Imagen 2" descr="Tabla&#10;&#10;Descripción generada automáticamente"/>
                    <pic:cNvPicPr/>
                  </pic:nvPicPr>
                  <pic:blipFill>
                    <a:blip r:embed="rId127">
                      <a:extLst>
                        <a:ext uri="{28A0092B-C50C-407E-A947-70E740481C1C}">
                          <a14:useLocalDpi xmlns:a14="http://schemas.microsoft.com/office/drawing/2010/main" val="0"/>
                        </a:ext>
                      </a:extLst>
                    </a:blip>
                    <a:stretch>
                      <a:fillRect/>
                    </a:stretch>
                  </pic:blipFill>
                  <pic:spPr>
                    <a:xfrm>
                      <a:off x="0" y="0"/>
                      <a:ext cx="8606673" cy="5362575"/>
                    </a:xfrm>
                    <a:prstGeom prst="rect">
                      <a:avLst/>
                    </a:prstGeom>
                  </pic:spPr>
                </pic:pic>
              </a:graphicData>
            </a:graphic>
            <wp14:sizeRelH relativeFrom="margin">
              <wp14:pctWidth>0</wp14:pctWidth>
            </wp14:sizeRelH>
            <wp14:sizeRelV relativeFrom="margin">
              <wp14:pctHeight>0</wp14:pctHeight>
            </wp14:sizeRelV>
          </wp:anchor>
        </w:drawing>
      </w:r>
    </w:p>
    <w:p w14:paraId="325DC80A" w14:textId="77777777" w:rsidR="00DE33C0" w:rsidRPr="00DE33C0" w:rsidRDefault="00DE33C0" w:rsidP="00DE33C0">
      <w:pPr>
        <w:jc w:val="center"/>
        <w:rPr>
          <w:rFonts w:ascii="Calibri" w:eastAsia="Arial" w:hAnsi="Calibri" w:cs="Calibri"/>
          <w:b/>
          <w:color w:val="000000"/>
          <w:kern w:val="0"/>
          <w:lang w:val="es-ES_tradnl" w:eastAsia="es-CR"/>
          <w14:ligatures w14:val="none"/>
        </w:rPr>
      </w:pPr>
    </w:p>
    <w:p w14:paraId="52CFEBF7" w14:textId="77777777" w:rsidR="00DE33C0" w:rsidRPr="00DE33C0" w:rsidRDefault="00DE33C0" w:rsidP="00DE33C0">
      <w:pPr>
        <w:jc w:val="both"/>
        <w:rPr>
          <w:rFonts w:ascii="Calibri" w:eastAsia="Arial" w:hAnsi="Calibri" w:cs="Calibri"/>
          <w:b/>
          <w:color w:val="000000"/>
          <w:kern w:val="0"/>
          <w:lang w:val="es-ES_tradnl" w:eastAsia="es-CR"/>
          <w14:ligatures w14:val="none"/>
        </w:rPr>
      </w:pPr>
      <w:r w:rsidRPr="00DE33C0">
        <w:rPr>
          <w:rFonts w:ascii="Calibri" w:eastAsia="Arial" w:hAnsi="Calibri" w:cs="Calibri"/>
          <w:b/>
          <w:color w:val="000000"/>
          <w:kern w:val="0"/>
          <w:lang w:val="es-ES_tradnl" w:eastAsia="es-CR"/>
          <w14:ligatures w14:val="none"/>
        </w:rPr>
        <w:br w:type="page"/>
      </w:r>
    </w:p>
    <w:p w14:paraId="0D9C55C0" w14:textId="77777777" w:rsidR="00DE33C0" w:rsidRPr="00DE33C0" w:rsidRDefault="00DE33C0" w:rsidP="00DE33C0">
      <w:pPr>
        <w:jc w:val="both"/>
        <w:rPr>
          <w:rFonts w:ascii="Calibri" w:eastAsia="Arial" w:hAnsi="Calibri" w:cs="Calibri"/>
          <w:b/>
          <w:color w:val="000000"/>
          <w:kern w:val="0"/>
          <w:lang w:val="es-ES_tradnl" w:eastAsia="es-CR"/>
          <w14:ligatures w14:val="none"/>
        </w:rPr>
      </w:pPr>
      <w:r w:rsidRPr="00DE33C0">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240896" behindDoc="0" locked="0" layoutInCell="1" allowOverlap="1" wp14:anchorId="30AA7662" wp14:editId="168C6A4A">
                <wp:simplePos x="0" y="0"/>
                <wp:positionH relativeFrom="margin">
                  <wp:align>center</wp:align>
                </wp:positionH>
                <wp:positionV relativeFrom="paragraph">
                  <wp:posOffset>0</wp:posOffset>
                </wp:positionV>
                <wp:extent cx="6606540" cy="411480"/>
                <wp:effectExtent l="0" t="0" r="22860" b="26670"/>
                <wp:wrapNone/>
                <wp:docPr id="571275797"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CB297D6" w14:textId="77777777" w:rsidR="00DE33C0" w:rsidRPr="00DE33C0" w:rsidRDefault="00DE33C0" w:rsidP="00DE33C0">
                            <w:pPr>
                              <w:jc w:val="center"/>
                              <w:rPr>
                                <w:rFonts w:cs="Calibri"/>
                              </w:rPr>
                            </w:pPr>
                            <w:r w:rsidRPr="00DE33C0">
                              <w:rPr>
                                <w:rFonts w:cs="Calibri"/>
                                <w:b/>
                              </w:rPr>
                              <w:t>RÚBRICA DE EVALUACIÓN – RESEÑA CRÍTICA DE LECTURA</w:t>
                            </w:r>
                          </w:p>
                          <w:p w14:paraId="1A77CB74" w14:textId="77777777" w:rsidR="00DE33C0" w:rsidRPr="00DE33C0" w:rsidRDefault="00DE33C0" w:rsidP="00DE33C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AA7662" id="_x0000_s1080" type="#_x0000_t202" style="position:absolute;left:0;text-align:left;margin-left:0;margin-top:0;width:520.2pt;height:32.4pt;z-index:2522408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" fillcolor="window" strokeweight=".5pt">
                <v:textbox>
                  <w:txbxContent>
                    <w:p w14:paraId="6CB297D6" w14:textId="77777777" w:rsidR="00DE33C0" w:rsidRPr="00DE33C0" w:rsidRDefault="00DE33C0" w:rsidP="00DE33C0">
                      <w:pPr>
                        <w:jc w:val="center"/>
                        <w:rPr>
                          <w:rFonts w:cs="Calibri"/>
                        </w:rPr>
                      </w:pPr>
                      <w:r w:rsidRPr="00DE33C0">
                        <w:rPr>
                          <w:rFonts w:cs="Calibri"/>
                          <w:b/>
                        </w:rPr>
                        <w:t>RÚBRICA DE EVALUACIÓN – RESEÑA CRÍTICA DE LECTURA</w:t>
                      </w:r>
                    </w:p>
                    <w:p w14:paraId="1A77CB74" w14:textId="77777777" w:rsidR="00DE33C0" w:rsidRPr="00DE33C0" w:rsidRDefault="00DE33C0" w:rsidP="00DE33C0">
                      <w:pPr>
                        <w:jc w:val="center"/>
                        <w:rPr>
                          <w:rFonts w:cs="Calibri"/>
                        </w:rPr>
                      </w:pPr>
                    </w:p>
                  </w:txbxContent>
                </v:textbox>
                <w10:wrap anchorx="margin"/>
              </v:shape>
            </w:pict>
          </mc:Fallback>
        </mc:AlternateContent>
      </w:r>
    </w:p>
    <w:p w14:paraId="41925342" w14:textId="77777777" w:rsidR="00DE33C0" w:rsidRPr="00DE33C0" w:rsidRDefault="00DE33C0" w:rsidP="00DE33C0">
      <w:pPr>
        <w:jc w:val="both"/>
        <w:rPr>
          <w:rFonts w:ascii="Calibri" w:eastAsia="Arial" w:hAnsi="Calibri" w:cs="Calibri"/>
          <w:b/>
          <w:color w:val="000000"/>
          <w:kern w:val="0"/>
          <w:lang w:val="es-ES_tradnl" w:eastAsia="es-CR"/>
          <w14:ligatures w14:val="none"/>
        </w:rPr>
      </w:pPr>
    </w:p>
    <w:p w14:paraId="2590E0C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20BBE95" w14:textId="77777777" w:rsidR="00DE33C0" w:rsidRPr="00DE33C0" w:rsidRDefault="00DE33C0" w:rsidP="00DE33C0">
      <w:pPr>
        <w:jc w:val="center"/>
        <w:rPr>
          <w:rFonts w:ascii="Calibri" w:eastAsia="Arial" w:hAnsi="Calibri" w:cs="Calibri"/>
          <w:bCs/>
          <w:color w:val="0070C0"/>
          <w:kern w:val="0"/>
          <w:lang w:val="es-ES_tradnl" w:eastAsia="es-CR"/>
          <w14:ligatures w14:val="none"/>
        </w:rPr>
      </w:pPr>
      <w:r w:rsidRPr="00DE33C0">
        <w:rPr>
          <w:rFonts w:ascii="Calibri" w:eastAsia="Arial" w:hAnsi="Calibri" w:cs="Calibri"/>
          <w:bCs/>
          <w:color w:val="0070C0"/>
          <w:kern w:val="0"/>
          <w:lang w:val="es-ES_tradnl" w:eastAsia="es-CR"/>
          <w14:ligatures w14:val="none"/>
        </w:rPr>
        <w:t>La reseña crítica es un texto argumentativo y expositivo que nace del análisis de las ideas contenidas en la lectura a reseñar. Se elaboran en las sesiones 4, 5 y 7. Cada reseña tiene un valor de 5%.</w:t>
      </w:r>
    </w:p>
    <w:p w14:paraId="579B2BE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6EF10BB"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
          <w:noProof/>
          <w:color w:val="000000"/>
          <w:kern w:val="0"/>
          <w:lang w:val="es-ES_tradnl" w:eastAsia="es-CR"/>
          <w14:ligatures w14:val="none"/>
        </w:rPr>
        <w:drawing>
          <wp:anchor distT="0" distB="0" distL="114300" distR="114300" simplePos="0" relativeHeight="252241920" behindDoc="0" locked="0" layoutInCell="1" allowOverlap="1" wp14:anchorId="23D666CF" wp14:editId="7332E970">
            <wp:simplePos x="0" y="0"/>
            <wp:positionH relativeFrom="margin">
              <wp:align>right</wp:align>
            </wp:positionH>
            <wp:positionV relativeFrom="paragraph">
              <wp:posOffset>46037</wp:posOffset>
            </wp:positionV>
            <wp:extent cx="9144000" cy="4926965"/>
            <wp:effectExtent l="0" t="0" r="0" b="6985"/>
            <wp:wrapNone/>
            <wp:docPr id="778026684"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026684" name="Imagen 3" descr="Tabla&#10;&#10;Descripción generada automáticamente"/>
                    <pic:cNvPicPr/>
                  </pic:nvPicPr>
                  <pic:blipFill>
                    <a:blip r:embed="rId128">
                      <a:extLst>
                        <a:ext uri="{28A0092B-C50C-407E-A947-70E740481C1C}">
                          <a14:useLocalDpi xmlns:a14="http://schemas.microsoft.com/office/drawing/2010/main" val="0"/>
                        </a:ext>
                      </a:extLst>
                    </a:blip>
                    <a:stretch>
                      <a:fillRect/>
                    </a:stretch>
                  </pic:blipFill>
                  <pic:spPr>
                    <a:xfrm>
                      <a:off x="0" y="0"/>
                      <a:ext cx="9144000" cy="4926965"/>
                    </a:xfrm>
                    <a:prstGeom prst="rect">
                      <a:avLst/>
                    </a:prstGeom>
                  </pic:spPr>
                </pic:pic>
              </a:graphicData>
            </a:graphic>
          </wp:anchor>
        </w:drawing>
      </w:r>
    </w:p>
    <w:p w14:paraId="4C61C66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E05299E"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71A8831"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FE7619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A97DAFD"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EB8DC6B"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4ED0423"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3C47194"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24623D2"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7D8D5BA"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48C2162"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EE96ACA"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BB2BE71"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340E704"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BEB68D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12282A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3FC475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049D7A8"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242944" behindDoc="0" locked="0" layoutInCell="1" allowOverlap="1" wp14:anchorId="03327084" wp14:editId="41133120">
                <wp:simplePos x="0" y="0"/>
                <wp:positionH relativeFrom="margin">
                  <wp:align>center</wp:align>
                </wp:positionH>
                <wp:positionV relativeFrom="paragraph">
                  <wp:posOffset>-47625</wp:posOffset>
                </wp:positionV>
                <wp:extent cx="6606540" cy="411480"/>
                <wp:effectExtent l="0" t="0" r="22860" b="26670"/>
                <wp:wrapNone/>
                <wp:docPr id="714832415" name="Cuadro de texto 714832415"/>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D875BC2" w14:textId="77777777" w:rsidR="00DE33C0" w:rsidRPr="00DE33C0" w:rsidRDefault="00DE33C0" w:rsidP="00DE33C0">
                            <w:pPr>
                              <w:jc w:val="center"/>
                              <w:rPr>
                                <w:rFonts w:cs="Calibri"/>
                              </w:rPr>
                            </w:pPr>
                            <w:r w:rsidRPr="00DE33C0">
                              <w:rPr>
                                <w:rFonts w:cs="Calibri"/>
                                <w:b/>
                              </w:rPr>
                              <w:t>RÚBRICA DE EVALUACIÓN – VIDEO FORO VIRTUAL</w:t>
                            </w:r>
                          </w:p>
                          <w:p w14:paraId="6CD7E1B0" w14:textId="77777777" w:rsidR="00DE33C0" w:rsidRPr="00DE33C0" w:rsidRDefault="00DE33C0" w:rsidP="00DE33C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327084" id="Cuadro de texto 714832415" o:spid="_x0000_s1081" type="#_x0000_t202" style="position:absolute;left:0;text-align:left;margin-left:0;margin-top:-3.75pt;width:520.2pt;height:32.4pt;z-index:2522429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" fillcolor="window" strokeweight=".5pt">
                <v:textbox>
                  <w:txbxContent>
                    <w:p w14:paraId="1D875BC2" w14:textId="77777777" w:rsidR="00DE33C0" w:rsidRPr="00DE33C0" w:rsidRDefault="00DE33C0" w:rsidP="00DE33C0">
                      <w:pPr>
                        <w:jc w:val="center"/>
                        <w:rPr>
                          <w:rFonts w:cs="Calibri"/>
                        </w:rPr>
                      </w:pPr>
                      <w:r w:rsidRPr="00DE33C0">
                        <w:rPr>
                          <w:rFonts w:cs="Calibri"/>
                          <w:b/>
                        </w:rPr>
                        <w:t>RÚBRICA DE EVALUACIÓN – VIDEO FORO VIRTUAL</w:t>
                      </w:r>
                    </w:p>
                    <w:p w14:paraId="6CD7E1B0" w14:textId="77777777" w:rsidR="00DE33C0" w:rsidRPr="00DE33C0" w:rsidRDefault="00DE33C0" w:rsidP="00DE33C0">
                      <w:pPr>
                        <w:jc w:val="center"/>
                        <w:rPr>
                          <w:rFonts w:cs="Calibri"/>
                        </w:rPr>
                      </w:pPr>
                    </w:p>
                  </w:txbxContent>
                </v:textbox>
                <w10:wrap anchorx="margin"/>
              </v:shape>
            </w:pict>
          </mc:Fallback>
        </mc:AlternateContent>
      </w:r>
    </w:p>
    <w:p w14:paraId="3BE315F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1CE2E40" w14:textId="77777777" w:rsidR="00DE33C0" w:rsidRPr="00DE33C0" w:rsidRDefault="00DE33C0" w:rsidP="00DE33C0">
      <w:pPr>
        <w:jc w:val="center"/>
        <w:rPr>
          <w:rFonts w:ascii="Calibri" w:eastAsia="Arial" w:hAnsi="Calibri" w:cs="Calibri"/>
          <w:bCs/>
          <w:color w:val="0070C0"/>
          <w:kern w:val="0"/>
          <w:lang w:val="es-ES_tradnl" w:eastAsia="es-CR"/>
          <w14:ligatures w14:val="none"/>
        </w:rPr>
      </w:pPr>
      <w:r w:rsidRPr="00DE33C0">
        <w:rPr>
          <w:rFonts w:ascii="Calibri" w:eastAsia="Arial" w:hAnsi="Calibri" w:cs="Calibri"/>
          <w:bCs/>
          <w:color w:val="0070C0"/>
          <w:kern w:val="0"/>
          <w:lang w:val="es-ES_tradnl" w:eastAsia="es-CR"/>
          <w14:ligatures w14:val="none"/>
        </w:rPr>
        <w:t>Un video foro es una herramienta metodológica o una sesión didáctica donde se presenta un video para introducir el debate de un tema de interés para la audiencia.  Se llevan a cabo en las sesiones 6 y 10. Cada video foro tiene un valor de 5%.</w:t>
      </w:r>
    </w:p>
    <w:p w14:paraId="2DD1035A"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Cs/>
          <w:noProof/>
          <w:color w:val="000000"/>
          <w:kern w:val="0"/>
          <w:lang w:val="es-ES_tradnl" w:eastAsia="es-CR"/>
          <w14:ligatures w14:val="none"/>
        </w:rPr>
        <w:drawing>
          <wp:anchor distT="0" distB="0" distL="114300" distR="114300" simplePos="0" relativeHeight="252243968" behindDoc="0" locked="0" layoutInCell="1" allowOverlap="1" wp14:anchorId="185062CF" wp14:editId="5EEB62EF">
            <wp:simplePos x="0" y="0"/>
            <wp:positionH relativeFrom="margin">
              <wp:align>center</wp:align>
            </wp:positionH>
            <wp:positionV relativeFrom="paragraph">
              <wp:posOffset>170180</wp:posOffset>
            </wp:positionV>
            <wp:extent cx="8258175" cy="5285768"/>
            <wp:effectExtent l="0" t="0" r="0" b="0"/>
            <wp:wrapNone/>
            <wp:docPr id="1947236610"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236610" name="Imagen 4" descr="Tabla&#10;&#10;Descripción generada automáticamente"/>
                    <pic:cNvPicPr/>
                  </pic:nvPicPr>
                  <pic:blipFill>
                    <a:blip r:embed="rId129">
                      <a:extLst>
                        <a:ext uri="{28A0092B-C50C-407E-A947-70E740481C1C}">
                          <a14:useLocalDpi xmlns:a14="http://schemas.microsoft.com/office/drawing/2010/main" val="0"/>
                        </a:ext>
                      </a:extLst>
                    </a:blip>
                    <a:stretch>
                      <a:fillRect/>
                    </a:stretch>
                  </pic:blipFill>
                  <pic:spPr>
                    <a:xfrm>
                      <a:off x="0" y="0"/>
                      <a:ext cx="8258175" cy="5285768"/>
                    </a:xfrm>
                    <a:prstGeom prst="rect">
                      <a:avLst/>
                    </a:prstGeom>
                  </pic:spPr>
                </pic:pic>
              </a:graphicData>
            </a:graphic>
            <wp14:sizeRelH relativeFrom="margin">
              <wp14:pctWidth>0</wp14:pctWidth>
            </wp14:sizeRelH>
            <wp14:sizeRelV relativeFrom="margin">
              <wp14:pctHeight>0</wp14:pctHeight>
            </wp14:sizeRelV>
          </wp:anchor>
        </w:drawing>
      </w:r>
    </w:p>
    <w:p w14:paraId="467A4CB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CDDEB16"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8908654"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B7E2E76"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2C95EE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24B7FE4"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57626D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20BCFE38"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D71645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22327B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29B73D3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5B5625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A8A963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1B2C56E"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24CDEF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A1145B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3ACAE5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2A8175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593599D"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0E1B81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244992" behindDoc="0" locked="0" layoutInCell="1" allowOverlap="1" wp14:anchorId="073F4C76" wp14:editId="2264F1FB">
                <wp:simplePos x="0" y="0"/>
                <wp:positionH relativeFrom="margin">
                  <wp:align>center</wp:align>
                </wp:positionH>
                <wp:positionV relativeFrom="paragraph">
                  <wp:posOffset>4763</wp:posOffset>
                </wp:positionV>
                <wp:extent cx="6606540" cy="411480"/>
                <wp:effectExtent l="0" t="0" r="22860" b="26670"/>
                <wp:wrapNone/>
                <wp:docPr id="119421986" name="Cuadro de texto 119421986"/>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60A720E" w14:textId="77777777" w:rsidR="00DE33C0" w:rsidRPr="00DE33C0" w:rsidRDefault="00DE33C0" w:rsidP="00DE33C0">
                            <w:pPr>
                              <w:jc w:val="center"/>
                              <w:rPr>
                                <w:rFonts w:cs="Calibri"/>
                              </w:rPr>
                            </w:pPr>
                            <w:r w:rsidRPr="00DE33C0">
                              <w:rPr>
                                <w:rFonts w:cs="Calibri"/>
                                <w:b/>
                              </w:rPr>
                              <w:t>RÚBRICA DE EVALUACIÓN – ENSAYO GRUPAL</w:t>
                            </w:r>
                          </w:p>
                          <w:p w14:paraId="59C634FD" w14:textId="77777777" w:rsidR="00DE33C0" w:rsidRPr="00DE33C0" w:rsidRDefault="00DE33C0" w:rsidP="00DE33C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3F4C76" id="Cuadro de texto 119421986" o:spid="_x0000_s1082" type="#_x0000_t202" style="position:absolute;left:0;text-align:left;margin-left:0;margin-top:.4pt;width:520.2pt;height:32.4pt;z-index:2522449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" fillcolor="window" strokeweight=".5pt">
                <v:textbox>
                  <w:txbxContent>
                    <w:p w14:paraId="060A720E" w14:textId="77777777" w:rsidR="00DE33C0" w:rsidRPr="00DE33C0" w:rsidRDefault="00DE33C0" w:rsidP="00DE33C0">
                      <w:pPr>
                        <w:jc w:val="center"/>
                        <w:rPr>
                          <w:rFonts w:cs="Calibri"/>
                        </w:rPr>
                      </w:pPr>
                      <w:r w:rsidRPr="00DE33C0">
                        <w:rPr>
                          <w:rFonts w:cs="Calibri"/>
                          <w:b/>
                        </w:rPr>
                        <w:t>RÚBRICA DE EVALUACIÓN – ENSAYO GRUPAL</w:t>
                      </w:r>
                    </w:p>
                    <w:p w14:paraId="59C634FD" w14:textId="77777777" w:rsidR="00DE33C0" w:rsidRPr="00DE33C0" w:rsidRDefault="00DE33C0" w:rsidP="00DE33C0">
                      <w:pPr>
                        <w:jc w:val="center"/>
                        <w:rPr>
                          <w:rFonts w:cs="Calibri"/>
                        </w:rPr>
                      </w:pPr>
                    </w:p>
                  </w:txbxContent>
                </v:textbox>
                <w10:wrap anchorx="margin"/>
              </v:shape>
            </w:pict>
          </mc:Fallback>
        </mc:AlternateContent>
      </w:r>
    </w:p>
    <w:p w14:paraId="1E61602B"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8B32279" w14:textId="77777777" w:rsidR="00DE33C0" w:rsidRPr="00DE33C0" w:rsidRDefault="00DE33C0" w:rsidP="00DE33C0">
      <w:pPr>
        <w:jc w:val="center"/>
        <w:rPr>
          <w:rFonts w:ascii="Calibri" w:eastAsia="Arial" w:hAnsi="Calibri" w:cs="Calibri"/>
          <w:bCs/>
          <w:color w:val="0070C0"/>
          <w:kern w:val="0"/>
          <w:lang w:val="es-ES_tradnl" w:eastAsia="es-CR"/>
          <w14:ligatures w14:val="none"/>
        </w:rPr>
      </w:pPr>
      <w:r w:rsidRPr="00DE33C0">
        <w:rPr>
          <w:rFonts w:ascii="Calibri" w:eastAsia="Arial" w:hAnsi="Calibri" w:cs="Calibri"/>
          <w:bCs/>
          <w:color w:val="0070C0"/>
          <w:kern w:val="0"/>
          <w:lang w:val="es-ES_tradnl" w:eastAsia="es-CR"/>
          <w14:ligatures w14:val="none"/>
        </w:rPr>
        <w:t>Un ensayo grupal es la elaboración de un documento académico con el formato de ensayo en grupo.  Se elabora de la sesión 8 a la 13. La evaluación docente tiene un valor de 35% y la coevaluación tiene un valor de 10%.</w:t>
      </w:r>
    </w:p>
    <w:p w14:paraId="2B3E2F0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BA027A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Cs/>
          <w:noProof/>
          <w:color w:val="000000"/>
          <w:kern w:val="0"/>
          <w:lang w:val="es-ES_tradnl" w:eastAsia="es-CR"/>
          <w14:ligatures w14:val="none"/>
        </w:rPr>
        <w:drawing>
          <wp:anchor distT="0" distB="0" distL="114300" distR="114300" simplePos="0" relativeHeight="252246016" behindDoc="0" locked="0" layoutInCell="1" allowOverlap="1" wp14:anchorId="15A3FCFB" wp14:editId="4F2CF802">
            <wp:simplePos x="0" y="0"/>
            <wp:positionH relativeFrom="margin">
              <wp:align>right</wp:align>
            </wp:positionH>
            <wp:positionV relativeFrom="paragraph">
              <wp:posOffset>88582</wp:posOffset>
            </wp:positionV>
            <wp:extent cx="9144000" cy="5011420"/>
            <wp:effectExtent l="0" t="0" r="0" b="0"/>
            <wp:wrapNone/>
            <wp:docPr id="48270361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703611" name="Imagen 482703611"/>
                    <pic:cNvPicPr/>
                  </pic:nvPicPr>
                  <pic:blipFill>
                    <a:blip r:embed="rId130">
                      <a:extLst>
                        <a:ext uri="{28A0092B-C50C-407E-A947-70E740481C1C}">
                          <a14:useLocalDpi xmlns:a14="http://schemas.microsoft.com/office/drawing/2010/main" val="0"/>
                        </a:ext>
                      </a:extLst>
                    </a:blip>
                    <a:stretch>
                      <a:fillRect/>
                    </a:stretch>
                  </pic:blipFill>
                  <pic:spPr>
                    <a:xfrm>
                      <a:off x="0" y="0"/>
                      <a:ext cx="9144000" cy="5011420"/>
                    </a:xfrm>
                    <a:prstGeom prst="rect">
                      <a:avLst/>
                    </a:prstGeom>
                  </pic:spPr>
                </pic:pic>
              </a:graphicData>
            </a:graphic>
          </wp:anchor>
        </w:drawing>
      </w:r>
    </w:p>
    <w:p w14:paraId="1A1DAC93"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F724FC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F6A7C7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3361463"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CB8D90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A6BC5AD"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38B64A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5A1163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FDEE525"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5509A51E"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E10404B"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007F79A2"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569DD0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951DAB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44197F9"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336FE2FB"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6638183"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26C5FA0"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629D393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247040" behindDoc="0" locked="0" layoutInCell="1" allowOverlap="1" wp14:anchorId="0B3341DE" wp14:editId="48728CA8">
                <wp:simplePos x="0" y="0"/>
                <wp:positionH relativeFrom="margin">
                  <wp:align>center</wp:align>
                </wp:positionH>
                <wp:positionV relativeFrom="paragraph">
                  <wp:posOffset>-56833</wp:posOffset>
                </wp:positionV>
                <wp:extent cx="7917180" cy="428625"/>
                <wp:effectExtent l="0" t="0" r="26670" b="28575"/>
                <wp:wrapNone/>
                <wp:docPr id="613953366" name="Rectángulo 613953366"/>
                <wp:cNvGraphicFramePr/>
                <a:graphic xmlns:a="http://schemas.openxmlformats.org/drawingml/2006/main">
                  <a:graphicData uri="http://schemas.microsoft.com/office/word/2010/wordprocessingShape">
                    <wps:wsp>
                      <wps:cNvSpPr/>
                      <wps:spPr>
                        <a:xfrm>
                          <a:off x="0" y="0"/>
                          <a:ext cx="7917180" cy="42862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267043C" w14:textId="77777777" w:rsidR="00DE33C0" w:rsidRPr="00DE33C0" w:rsidRDefault="00DE33C0" w:rsidP="00DE33C0">
                            <w:pPr>
                              <w:jc w:val="center"/>
                              <w:rPr>
                                <w:rFonts w:cs="Calibri"/>
                                <w:b/>
                              </w:rPr>
                            </w:pPr>
                            <w:r w:rsidRPr="00DE33C0">
                              <w:rPr>
                                <w:rFonts w:cs="Calibri"/>
                                <w:b/>
                              </w:rPr>
                              <w:t>ESCALA PARA LA COEVALUACIÓN DEL ENSAYO GRUPAL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341DE" id="Rectángulo 613953366" o:spid="_x0000_s1083" style="position:absolute;left:0;text-align:left;margin-left:0;margin-top:-4.5pt;width:623.4pt;height:33.75pt;z-index:252247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" fillcolor="window" strokecolor="windowText" strokeweight=".25pt">
                <v:textbox>
                  <w:txbxContent>
                    <w:p w14:paraId="2267043C" w14:textId="77777777" w:rsidR="00DE33C0" w:rsidRPr="00DE33C0" w:rsidRDefault="00DE33C0" w:rsidP="00DE33C0">
                      <w:pPr>
                        <w:jc w:val="center"/>
                        <w:rPr>
                          <w:rFonts w:cs="Calibri"/>
                          <w:b/>
                        </w:rPr>
                      </w:pPr>
                      <w:r w:rsidRPr="00DE33C0">
                        <w:rPr>
                          <w:rFonts w:cs="Calibri"/>
                          <w:b/>
                        </w:rPr>
                        <w:t>ESCALA PARA LA COEVALUACIÓN DEL ENSAYO GRUPAL</w:t>
                      </w:r>
                    </w:p>
                  </w:txbxContent>
                </v:textbox>
                <w10:wrap anchorx="margin"/>
              </v:rect>
            </w:pict>
          </mc:Fallback>
        </mc:AlternateContent>
      </w:r>
    </w:p>
    <w:p w14:paraId="44A8E6BF"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EA8F937"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Cs/>
          <w:color w:val="0070C0"/>
          <w:kern w:val="0"/>
          <w:lang w:val="es-ES_tradnl" w:eastAsia="es-CR"/>
          <w14:ligatures w14:val="none"/>
        </w:rPr>
        <w:t xml:space="preserve">El ensayo grupal que se realiza en las sesiones 8-13 cuenta con evaluación docente (35%) y la coevaluación entre estudiantes que tiene un valor de 10%. La siguiente rúbrica es para la coevaluación. </w:t>
      </w:r>
    </w:p>
    <w:p w14:paraId="536D85ED"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r w:rsidRPr="00DE33C0">
        <w:rPr>
          <w:rFonts w:ascii="Calibri" w:eastAsia="Arial" w:hAnsi="Calibri" w:cs="Calibri"/>
          <w:bCs/>
          <w:noProof/>
          <w:color w:val="000000"/>
          <w:kern w:val="0"/>
          <w:lang w:val="es-ES_tradnl" w:eastAsia="es-CR"/>
          <w14:ligatures w14:val="none"/>
        </w:rPr>
        <w:drawing>
          <wp:anchor distT="0" distB="0" distL="114300" distR="114300" simplePos="0" relativeHeight="252248064" behindDoc="0" locked="0" layoutInCell="1" allowOverlap="1" wp14:anchorId="6D8AECE9" wp14:editId="05AF855C">
            <wp:simplePos x="0" y="0"/>
            <wp:positionH relativeFrom="column">
              <wp:posOffset>442913</wp:posOffset>
            </wp:positionH>
            <wp:positionV relativeFrom="paragraph">
              <wp:posOffset>635</wp:posOffset>
            </wp:positionV>
            <wp:extent cx="8253984" cy="5151120"/>
            <wp:effectExtent l="0" t="0" r="0" b="0"/>
            <wp:wrapNone/>
            <wp:docPr id="122969194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91943" name="Imagen 1229691943"/>
                    <pic:cNvPicPr/>
                  </pic:nvPicPr>
                  <pic:blipFill>
                    <a:blip r:embed="rId131">
                      <a:extLst>
                        <a:ext uri="{28A0092B-C50C-407E-A947-70E740481C1C}">
                          <a14:useLocalDpi xmlns:a14="http://schemas.microsoft.com/office/drawing/2010/main" val="0"/>
                        </a:ext>
                      </a:extLst>
                    </a:blip>
                    <a:stretch>
                      <a:fillRect/>
                    </a:stretch>
                  </pic:blipFill>
                  <pic:spPr>
                    <a:xfrm>
                      <a:off x="0" y="0"/>
                      <a:ext cx="8253984" cy="5151120"/>
                    </a:xfrm>
                    <a:prstGeom prst="rect">
                      <a:avLst/>
                    </a:prstGeom>
                  </pic:spPr>
                </pic:pic>
              </a:graphicData>
            </a:graphic>
          </wp:anchor>
        </w:drawing>
      </w:r>
    </w:p>
    <w:p w14:paraId="2BB7B1D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12F19D1"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46FE390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21DF5E33"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12D8008"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9955A8C"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11BF63B6" w14:textId="77777777" w:rsidR="00DE33C0" w:rsidRPr="00DE33C0" w:rsidRDefault="00DE33C0" w:rsidP="00DE33C0">
      <w:pPr>
        <w:jc w:val="center"/>
        <w:rPr>
          <w:rFonts w:ascii="Calibri" w:eastAsia="Arial" w:hAnsi="Calibri" w:cs="Calibri"/>
          <w:bCs/>
          <w:color w:val="000000"/>
          <w:kern w:val="0"/>
          <w:lang w:val="es-ES_tradnl" w:eastAsia="es-CR"/>
          <w14:ligatures w14:val="none"/>
        </w:rPr>
      </w:pPr>
    </w:p>
    <w:p w14:paraId="7660EF17" w14:textId="77777777" w:rsidR="00DE33C0" w:rsidRPr="00DE33C0" w:rsidRDefault="00DE33C0" w:rsidP="00DE33C0">
      <w:pPr>
        <w:jc w:val="both"/>
        <w:rPr>
          <w:rFonts w:ascii="Calibri" w:eastAsia="Arial" w:hAnsi="Calibri" w:cs="Calibri"/>
          <w:b/>
          <w:color w:val="000000"/>
          <w:kern w:val="0"/>
          <w:lang w:val="es-ES_tradnl" w:eastAsia="es-CR"/>
          <w14:ligatures w14:val="none"/>
        </w:rPr>
      </w:pPr>
      <w:r w:rsidRPr="00DE33C0">
        <w:rPr>
          <w:rFonts w:ascii="Calibri" w:eastAsia="Arial" w:hAnsi="Calibri" w:cs="Calibri"/>
          <w:b/>
          <w:color w:val="000000"/>
          <w:kern w:val="0"/>
          <w:lang w:val="es-ES_tradnl" w:eastAsia="es-CR"/>
          <w14:ligatures w14:val="none"/>
        </w:rPr>
        <w:br w:type="page"/>
      </w:r>
    </w:p>
    <w:p w14:paraId="7FC14B79" w14:textId="77777777" w:rsidR="00DE33C0" w:rsidRPr="00DE33C0" w:rsidRDefault="00DE33C0" w:rsidP="00DE33C0">
      <w:pPr>
        <w:jc w:val="both"/>
        <w:rPr>
          <w:rFonts w:ascii="Calibri" w:eastAsia="Arial" w:hAnsi="Calibri" w:cs="Calibri"/>
          <w:b/>
          <w:color w:val="000000"/>
          <w:kern w:val="0"/>
          <w:lang w:val="es-ES_tradnl" w:eastAsia="es-CR"/>
          <w14:ligatures w14:val="none"/>
        </w:rPr>
        <w:sectPr w:rsidR="00DE33C0" w:rsidRPr="00DE33C0" w:rsidSect="005C1895">
          <w:pgSz w:w="15840" w:h="12240" w:orient="landscape"/>
          <w:pgMar w:top="720" w:right="720" w:bottom="720" w:left="720" w:header="709" w:footer="709" w:gutter="0"/>
          <w:pgNumType w:start="95"/>
          <w:cols w:space="708"/>
          <w:docGrid w:linePitch="360"/>
        </w:sectPr>
      </w:pPr>
    </w:p>
    <w:p w14:paraId="3579668E" w14:textId="77777777" w:rsidR="00DE33C0" w:rsidRPr="00DE33C0" w:rsidRDefault="00DE33C0" w:rsidP="00DE33C0">
      <w:pPr>
        <w:jc w:val="both"/>
        <w:rPr>
          <w:rFonts w:ascii="Calibri" w:eastAsia="Arial" w:hAnsi="Calibri" w:cs="Calibri"/>
          <w:b/>
          <w:color w:val="000000"/>
          <w:kern w:val="0"/>
          <w:lang w:val="es-ES_tradnl" w:eastAsia="es-CR"/>
          <w14:ligatures w14:val="none"/>
        </w:rPr>
      </w:pPr>
      <w:r w:rsidRPr="00DE33C0">
        <w:rPr>
          <w:rFonts w:ascii="Calibri" w:eastAsia="Arial" w:hAnsi="Calibri" w:cs="Calibri"/>
          <w:b/>
          <w:color w:val="000000"/>
          <w:kern w:val="0"/>
          <w:lang w:val="es-ES_tradnl" w:eastAsia="es-CR"/>
          <w14:ligatures w14:val="none"/>
        </w:rPr>
        <w:lastRenderedPageBreak/>
        <w:t>XI. Bibliografía obligatoria</w:t>
      </w:r>
    </w:p>
    <w:p w14:paraId="0D602A55"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DE33C0">
        <w:rPr>
          <w:rFonts w:ascii="Calibri" w:eastAsia="Times New Roman" w:hAnsi="Calibri" w:cs="Arial"/>
          <w:b/>
          <w:color w:val="000000"/>
          <w:kern w:val="0"/>
          <w:lang w:eastAsia="es-CR"/>
          <w14:ligatures w14:val="none"/>
        </w:rPr>
        <w:t>Nota:</w:t>
      </w:r>
      <w:r w:rsidRPr="00DE33C0">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DE33C0">
        <w:rPr>
          <w:rFonts w:ascii="Calibri" w:eastAsia="Times New Roman" w:hAnsi="Calibri" w:cs="Arial"/>
          <w:bCs/>
          <w:color w:val="000000"/>
          <w:kern w:val="0"/>
          <w:lang w:eastAsia="es-CR"/>
          <w14:ligatures w14:val="none"/>
        </w:rPr>
        <w:t>pdf</w:t>
      </w:r>
      <w:proofErr w:type="spellEnd"/>
      <w:r w:rsidRPr="00DE33C0">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3D44C310"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sz w:val="20"/>
          <w:szCs w:val="20"/>
          <w:lang w:val="es-ES_tradnl" w:eastAsia="es-CR"/>
          <w14:ligatures w14:val="none"/>
        </w:rPr>
      </w:pPr>
      <w:r w:rsidRPr="00DE33C0">
        <w:rPr>
          <w:rFonts w:ascii="Calibri" w:eastAsia="Times New Roman" w:hAnsi="Calibri" w:cs="Calibri"/>
          <w:bCs/>
          <w:color w:val="000000"/>
          <w:kern w:val="0"/>
          <w:lang w:val="es-ES_tradnl" w:eastAsia="es-CR"/>
          <w14:ligatures w14:val="none"/>
        </w:rPr>
        <w:t xml:space="preserve">Carbajosa Ignacio, Joaquín González Echegaray y Francisco Varo. </w:t>
      </w:r>
      <w:r w:rsidRPr="00DE33C0">
        <w:rPr>
          <w:rFonts w:ascii="Calibri" w:eastAsia="Times New Roman" w:hAnsi="Calibri" w:cs="Calibri"/>
          <w:bCs/>
          <w:i/>
          <w:iCs/>
          <w:color w:val="000000"/>
          <w:kern w:val="0"/>
          <w:lang w:val="es-ES_tradnl" w:eastAsia="es-CR"/>
          <w14:ligatures w14:val="none"/>
        </w:rPr>
        <w:t>La Biblia en su entorno</w:t>
      </w:r>
      <w:r w:rsidRPr="00DE33C0">
        <w:rPr>
          <w:rFonts w:ascii="Calibri" w:eastAsia="Times New Roman" w:hAnsi="Calibri" w:cs="Calibri"/>
          <w:bCs/>
          <w:color w:val="000000"/>
          <w:kern w:val="0"/>
          <w:lang w:val="es-ES_tradnl" w:eastAsia="es-CR"/>
          <w14:ligatures w14:val="none"/>
        </w:rPr>
        <w:t>. Estella: Verbo Divino, 2023.</w:t>
      </w:r>
    </w:p>
    <w:p w14:paraId="11FC21E5" w14:textId="77777777" w:rsidR="00DE33C0" w:rsidRPr="00DE33C0" w:rsidRDefault="00DE33C0" w:rsidP="4C9C2619">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 w:eastAsia="es-CR"/>
          <w14:ligatures w14:val="none"/>
        </w:rPr>
      </w:pPr>
      <w:proofErr w:type="spellStart"/>
      <w:r w:rsidRPr="4C9C2619">
        <w:rPr>
          <w:rFonts w:ascii="Calibri" w:eastAsia="Arial" w:hAnsi="Calibri" w:cs="Calibri"/>
          <w:color w:val="000000"/>
          <w:kern w:val="0"/>
          <w:lang w:val="es-ES" w:eastAsia="es-CR"/>
          <w14:ligatures w14:val="none"/>
        </w:rPr>
        <w:t>Finsterbuch</w:t>
      </w:r>
      <w:proofErr w:type="spellEnd"/>
      <w:r w:rsidRPr="4C9C2619">
        <w:rPr>
          <w:rFonts w:ascii="Calibri" w:eastAsia="Arial" w:hAnsi="Calibri" w:cs="Calibri"/>
          <w:color w:val="000000"/>
          <w:kern w:val="0"/>
          <w:lang w:val="es-ES" w:eastAsia="es-CR"/>
          <w14:ligatures w14:val="none"/>
        </w:rPr>
        <w:t xml:space="preserve">, Karin. “Mujeres: entre “dependencia” y “autonomía”. Aspectos relevantes de género en los textos legislativos de la </w:t>
      </w:r>
      <w:proofErr w:type="spellStart"/>
      <w:r w:rsidRPr="4C9C2619">
        <w:rPr>
          <w:rFonts w:ascii="Calibri" w:eastAsia="Arial" w:hAnsi="Calibri" w:cs="Calibri"/>
          <w:color w:val="000000"/>
          <w:kern w:val="0"/>
          <w:lang w:val="es-ES" w:eastAsia="es-CR"/>
          <w14:ligatures w14:val="none"/>
        </w:rPr>
        <w:t>Torah</w:t>
      </w:r>
      <w:proofErr w:type="spellEnd"/>
      <w:r w:rsidRPr="4C9C2619">
        <w:rPr>
          <w:rFonts w:ascii="Calibri" w:eastAsia="Arial" w:hAnsi="Calibri" w:cs="Calibri"/>
          <w:color w:val="000000"/>
          <w:kern w:val="0"/>
          <w:lang w:val="es-ES" w:eastAsia="es-CR"/>
          <w14:ligatures w14:val="none"/>
        </w:rPr>
        <w:t xml:space="preserve">”. En </w:t>
      </w:r>
      <w:r w:rsidRPr="4C9C2619">
        <w:rPr>
          <w:rFonts w:ascii="Calibri" w:eastAsia="Arial" w:hAnsi="Calibri" w:cs="Calibri"/>
          <w:i/>
          <w:iCs/>
          <w:color w:val="000000"/>
          <w:kern w:val="0"/>
          <w:lang w:val="es-ES" w:eastAsia="es-CR"/>
          <w14:ligatures w14:val="none"/>
        </w:rPr>
        <w:t>La Torá</w:t>
      </w:r>
      <w:r w:rsidRPr="4C9C2619">
        <w:rPr>
          <w:rFonts w:ascii="Calibri" w:eastAsia="Arial" w:hAnsi="Calibri" w:cs="Calibri"/>
          <w:color w:val="000000"/>
          <w:kern w:val="0"/>
          <w:lang w:val="es-ES" w:eastAsia="es-CR"/>
          <w14:ligatures w14:val="none"/>
        </w:rPr>
        <w:t xml:space="preserve">, editado por Mercedes Navarro e </w:t>
      </w:r>
      <w:proofErr w:type="spellStart"/>
      <w:r w:rsidRPr="4C9C2619">
        <w:rPr>
          <w:rFonts w:ascii="Calibri" w:eastAsia="Arial" w:hAnsi="Calibri" w:cs="Calibri"/>
          <w:color w:val="000000"/>
          <w:kern w:val="0"/>
          <w:lang w:val="es-ES" w:eastAsia="es-CR"/>
          <w14:ligatures w14:val="none"/>
        </w:rPr>
        <w:t>Irmtraud</w:t>
      </w:r>
      <w:proofErr w:type="spellEnd"/>
      <w:r w:rsidRPr="4C9C2619">
        <w:rPr>
          <w:rFonts w:ascii="Calibri" w:eastAsia="Arial" w:hAnsi="Calibri" w:cs="Calibri"/>
          <w:color w:val="000000"/>
          <w:kern w:val="0"/>
          <w:lang w:val="es-ES" w:eastAsia="es-CR"/>
          <w14:ligatures w14:val="none"/>
        </w:rPr>
        <w:t xml:space="preserve"> Fischer, 409-435. Estella: Verbo Divino, 2010. (</w:t>
      </w:r>
      <w:r w:rsidRPr="4C9C2619">
        <w:rPr>
          <w:rFonts w:ascii="Calibri" w:eastAsia="Arial" w:hAnsi="Calibri" w:cs="Calibri"/>
          <w:color w:val="0070C0"/>
          <w:kern w:val="0"/>
          <w:lang w:val="es-ES" w:eastAsia="es-CR"/>
          <w14:ligatures w14:val="none"/>
        </w:rPr>
        <w:t>clásico</w:t>
      </w:r>
      <w:r w:rsidRPr="4C9C2619">
        <w:rPr>
          <w:rFonts w:ascii="Calibri" w:eastAsia="Arial" w:hAnsi="Calibri" w:cs="Calibri"/>
          <w:color w:val="000000"/>
          <w:kern w:val="0"/>
          <w:lang w:val="es-ES" w:eastAsia="es-CR"/>
          <w14:ligatures w14:val="none"/>
        </w:rPr>
        <w:t xml:space="preserve">, última edición) </w:t>
      </w:r>
    </w:p>
    <w:p w14:paraId="10AD02F2"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García, Félix. </w:t>
      </w:r>
      <w:r w:rsidRPr="00DE33C0">
        <w:rPr>
          <w:rFonts w:ascii="Calibri" w:eastAsia="Arial" w:hAnsi="Calibri" w:cs="Calibri"/>
          <w:i/>
          <w:color w:val="000000"/>
          <w:kern w:val="0"/>
          <w:lang w:val="es-ES_tradnl" w:eastAsia="es-CR"/>
          <w14:ligatures w14:val="none"/>
        </w:rPr>
        <w:t xml:space="preserve">Pentateuco: introducción a la lectura de los cinco primeros libros de la Biblia.  </w:t>
      </w:r>
      <w:r w:rsidRPr="00DE33C0">
        <w:rPr>
          <w:rFonts w:ascii="Calibri" w:eastAsia="Arial" w:hAnsi="Calibri" w:cs="Calibri"/>
          <w:color w:val="000000"/>
          <w:kern w:val="0"/>
          <w:lang w:val="es-ES_tradnl" w:eastAsia="es-CR"/>
          <w14:ligatures w14:val="none"/>
        </w:rPr>
        <w:t>Estella: Verbo Divino, 2016.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color w:val="000000"/>
          <w:kern w:val="0"/>
          <w:lang w:val="es-ES_tradnl" w:eastAsia="es-CR"/>
          <w14:ligatures w14:val="none"/>
        </w:rPr>
        <w:t>, última edición)</w:t>
      </w:r>
    </w:p>
    <w:p w14:paraId="5856AC98"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González Lamadrid, Antonio. “Los libros de Samuel. De los jueces a la monarquía”. En </w:t>
      </w:r>
      <w:r w:rsidRPr="00DE33C0">
        <w:rPr>
          <w:rFonts w:ascii="Calibri" w:eastAsia="Arial" w:hAnsi="Calibri" w:cs="Calibri"/>
          <w:i/>
          <w:color w:val="000000"/>
          <w:kern w:val="0"/>
          <w:lang w:val="es-ES_tradnl" w:eastAsia="es-CR"/>
          <w14:ligatures w14:val="none"/>
        </w:rPr>
        <w:t xml:space="preserve">Historia, Narrativa, Apocalíptica, </w:t>
      </w:r>
      <w:r w:rsidRPr="00DE33C0">
        <w:rPr>
          <w:rFonts w:ascii="Calibri" w:eastAsia="Arial" w:hAnsi="Calibri" w:cs="Calibri"/>
          <w:color w:val="000000"/>
          <w:kern w:val="0"/>
          <w:lang w:val="es-ES_tradnl" w:eastAsia="es-CR"/>
          <w14:ligatures w14:val="none"/>
        </w:rPr>
        <w:t>coordinado por José Manuel Sánchez Caro, 119-167. Estella: Verbo Divino, 2003.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color w:val="000000"/>
          <w:kern w:val="0"/>
          <w:lang w:val="es-ES_tradnl" w:eastAsia="es-CR"/>
          <w14:ligatures w14:val="none"/>
        </w:rPr>
        <w:t xml:space="preserve">, última edición)  </w:t>
      </w:r>
    </w:p>
    <w:p w14:paraId="10282348" w14:textId="77777777" w:rsidR="00DE33C0" w:rsidRPr="00DE33C0" w:rsidRDefault="00DE33C0" w:rsidP="4C9C2619">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 w:eastAsia="es-CR"/>
          <w14:ligatures w14:val="none"/>
        </w:rPr>
      </w:pPr>
      <w:proofErr w:type="spellStart"/>
      <w:r w:rsidRPr="4C9C2619">
        <w:rPr>
          <w:rFonts w:ascii="Calibri" w:eastAsia="Arial" w:hAnsi="Calibri" w:cs="Calibri"/>
          <w:color w:val="000000"/>
          <w:kern w:val="0"/>
          <w:lang w:val="es-ES" w:eastAsia="es-CR"/>
          <w14:ligatures w14:val="none"/>
        </w:rPr>
        <w:t>Michaud</w:t>
      </w:r>
      <w:proofErr w:type="spellEnd"/>
      <w:r w:rsidRPr="4C9C2619">
        <w:rPr>
          <w:rFonts w:ascii="Calibri" w:eastAsia="Arial" w:hAnsi="Calibri" w:cs="Calibri"/>
          <w:color w:val="000000"/>
          <w:kern w:val="0"/>
          <w:lang w:val="es-ES" w:eastAsia="es-CR"/>
          <w14:ligatures w14:val="none"/>
        </w:rPr>
        <w:t xml:space="preserve">, Robert. </w:t>
      </w:r>
      <w:r w:rsidRPr="4C9C2619">
        <w:rPr>
          <w:rFonts w:ascii="Calibri" w:eastAsia="Arial" w:hAnsi="Calibri" w:cs="Calibri"/>
          <w:i/>
          <w:iCs/>
          <w:color w:val="000000"/>
          <w:kern w:val="0"/>
          <w:lang w:val="es-ES" w:eastAsia="es-CR"/>
          <w14:ligatures w14:val="none"/>
        </w:rPr>
        <w:t xml:space="preserve">Los patriarcas: historia y teología. </w:t>
      </w:r>
      <w:r w:rsidRPr="4C9C2619">
        <w:rPr>
          <w:rFonts w:ascii="Calibri" w:eastAsia="Arial" w:hAnsi="Calibri" w:cs="Calibri"/>
          <w:color w:val="000000"/>
          <w:kern w:val="0"/>
          <w:lang w:val="es-ES" w:eastAsia="es-CR"/>
          <w14:ligatures w14:val="none"/>
        </w:rPr>
        <w:t xml:space="preserve">Estella: Verbo Divino, 1976. (Clásico, </w:t>
      </w:r>
      <w:r w:rsidRPr="4C9C2619">
        <w:rPr>
          <w:rFonts w:ascii="Calibri" w:eastAsia="Arial" w:hAnsi="Calibri" w:cs="Calibri"/>
          <w:color w:val="0070C0"/>
          <w:kern w:val="0"/>
          <w:lang w:val="es-ES" w:eastAsia="es-CR"/>
          <w14:ligatures w14:val="none"/>
        </w:rPr>
        <w:t>última reimpresión, 2000</w:t>
      </w:r>
      <w:r w:rsidRPr="4C9C2619">
        <w:rPr>
          <w:rFonts w:ascii="Calibri" w:eastAsia="Arial" w:hAnsi="Calibri" w:cs="Calibri"/>
          <w:color w:val="000000"/>
          <w:kern w:val="0"/>
          <w:lang w:val="es-ES" w:eastAsia="es-CR"/>
          <w14:ligatures w14:val="none"/>
        </w:rPr>
        <w:t xml:space="preserve">) </w:t>
      </w:r>
    </w:p>
    <w:p w14:paraId="6EDE2F62"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n-US" w:eastAsia="es-CR"/>
          <w14:ligatures w14:val="none"/>
        </w:rPr>
        <w:t xml:space="preserve">Nihan, Christophe y Thomas Römer. </w:t>
      </w:r>
      <w:r w:rsidRPr="00DE33C0">
        <w:rPr>
          <w:rFonts w:ascii="Calibri" w:eastAsia="Arial" w:hAnsi="Calibri" w:cs="Calibri"/>
          <w:color w:val="000000"/>
          <w:kern w:val="0"/>
          <w:lang w:val="es-ES_tradnl" w:eastAsia="es-CR"/>
          <w14:ligatures w14:val="none"/>
        </w:rPr>
        <w:t xml:space="preserve">“El debate actual sobre la formación del Pentateuco”. En </w:t>
      </w:r>
      <w:r w:rsidRPr="00DE33C0">
        <w:rPr>
          <w:rFonts w:ascii="Calibri" w:eastAsia="Arial" w:hAnsi="Calibri" w:cs="Calibri"/>
          <w:i/>
          <w:color w:val="000000"/>
          <w:kern w:val="0"/>
          <w:lang w:val="es-ES_tradnl" w:eastAsia="es-CR"/>
          <w14:ligatures w14:val="none"/>
        </w:rPr>
        <w:t xml:space="preserve">Introducción al Antiguo Testamento, </w:t>
      </w:r>
      <w:r w:rsidRPr="00DE33C0">
        <w:rPr>
          <w:rFonts w:ascii="Calibri" w:eastAsia="Arial" w:hAnsi="Calibri" w:cs="Calibri"/>
          <w:color w:val="000000"/>
          <w:kern w:val="0"/>
          <w:lang w:val="es-ES_tradnl" w:eastAsia="es-CR"/>
          <w14:ligatures w14:val="none"/>
        </w:rPr>
        <w:t xml:space="preserve">editado por Thomas </w:t>
      </w:r>
      <w:proofErr w:type="spellStart"/>
      <w:r w:rsidRPr="00DE33C0">
        <w:rPr>
          <w:rFonts w:ascii="Calibri" w:eastAsia="Arial" w:hAnsi="Calibri" w:cs="Calibri"/>
          <w:color w:val="000000"/>
          <w:kern w:val="0"/>
          <w:lang w:val="es-ES_tradnl" w:eastAsia="es-CR"/>
          <w14:ligatures w14:val="none"/>
        </w:rPr>
        <w:t>Römer</w:t>
      </w:r>
      <w:proofErr w:type="spellEnd"/>
      <w:r w:rsidRPr="00DE33C0">
        <w:rPr>
          <w:rFonts w:ascii="Calibri" w:eastAsia="Arial" w:hAnsi="Calibri" w:cs="Calibri"/>
          <w:color w:val="000000"/>
          <w:kern w:val="0"/>
          <w:lang w:val="es-ES_tradnl" w:eastAsia="es-CR"/>
          <w14:ligatures w14:val="none"/>
        </w:rPr>
        <w:t xml:space="preserve">, Jean-Daniel Macchi y </w:t>
      </w:r>
      <w:proofErr w:type="spellStart"/>
      <w:r w:rsidRPr="00DE33C0">
        <w:rPr>
          <w:rFonts w:ascii="Calibri" w:eastAsia="Arial" w:hAnsi="Calibri" w:cs="Calibri"/>
          <w:color w:val="000000"/>
          <w:kern w:val="0"/>
          <w:lang w:val="es-ES_tradnl" w:eastAsia="es-CR"/>
          <w14:ligatures w14:val="none"/>
        </w:rPr>
        <w:t>Christophe</w:t>
      </w:r>
      <w:proofErr w:type="spellEnd"/>
      <w:r w:rsidRPr="00DE33C0">
        <w:rPr>
          <w:rFonts w:ascii="Calibri" w:eastAsia="Arial" w:hAnsi="Calibri" w:cs="Calibri"/>
          <w:color w:val="000000"/>
          <w:kern w:val="0"/>
          <w:lang w:val="es-ES_tradnl" w:eastAsia="es-CR"/>
          <w14:ligatures w14:val="none"/>
        </w:rPr>
        <w:t xml:space="preserve"> </w:t>
      </w:r>
      <w:proofErr w:type="spellStart"/>
      <w:r w:rsidRPr="00DE33C0">
        <w:rPr>
          <w:rFonts w:ascii="Calibri" w:eastAsia="Arial" w:hAnsi="Calibri" w:cs="Calibri"/>
          <w:color w:val="000000"/>
          <w:kern w:val="0"/>
          <w:lang w:val="es-ES_tradnl" w:eastAsia="es-CR"/>
          <w14:ligatures w14:val="none"/>
        </w:rPr>
        <w:t>Nihan</w:t>
      </w:r>
      <w:proofErr w:type="spellEnd"/>
      <w:r w:rsidRPr="00DE33C0">
        <w:rPr>
          <w:rFonts w:ascii="Calibri" w:eastAsia="Arial" w:hAnsi="Calibri" w:cs="Calibri"/>
          <w:color w:val="000000"/>
          <w:kern w:val="0"/>
          <w:lang w:val="es-ES_tradnl" w:eastAsia="es-CR"/>
          <w14:ligatures w14:val="none"/>
        </w:rPr>
        <w:t>, 85-111. Bilbao: Desclée de Brouwer, 2008.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color w:val="000000"/>
          <w:kern w:val="0"/>
          <w:lang w:val="es-ES_tradnl" w:eastAsia="es-CR"/>
          <w14:ligatures w14:val="none"/>
        </w:rPr>
        <w:t>, última edición)</w:t>
      </w:r>
    </w:p>
    <w:p w14:paraId="5CCCC593"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Prior, Michael. </w:t>
      </w:r>
      <w:r w:rsidRPr="00DE33C0">
        <w:rPr>
          <w:rFonts w:ascii="Calibri" w:eastAsia="Arial" w:hAnsi="Calibri" w:cs="Calibri"/>
          <w:i/>
          <w:color w:val="000000"/>
          <w:kern w:val="0"/>
          <w:lang w:val="es-ES_tradnl" w:eastAsia="es-CR"/>
          <w14:ligatures w14:val="none"/>
        </w:rPr>
        <w:t xml:space="preserve">La Biblia y el colonialismo: una crítica moral. </w:t>
      </w:r>
      <w:r w:rsidRPr="00DE33C0">
        <w:rPr>
          <w:rFonts w:ascii="Calibri" w:eastAsia="Arial" w:hAnsi="Calibri" w:cs="Calibri"/>
          <w:color w:val="000000"/>
          <w:kern w:val="0"/>
          <w:lang w:val="es-ES_tradnl" w:eastAsia="es-CR"/>
          <w14:ligatures w14:val="none"/>
        </w:rPr>
        <w:t>Buenos Aires: Canaán, 2005.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color w:val="000000"/>
          <w:kern w:val="0"/>
          <w:lang w:val="es-ES_tradnl" w:eastAsia="es-CR"/>
          <w14:ligatures w14:val="none"/>
        </w:rPr>
        <w:t>, última edición)</w:t>
      </w:r>
    </w:p>
    <w:p w14:paraId="36C485B9"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Ramírez, José Enrique. </w:t>
      </w:r>
      <w:r w:rsidRPr="00DE33C0">
        <w:rPr>
          <w:rFonts w:ascii="Calibri" w:eastAsia="Arial" w:hAnsi="Calibri" w:cs="Calibri"/>
          <w:i/>
          <w:color w:val="000000"/>
          <w:kern w:val="0"/>
          <w:lang w:val="es-ES_tradnl" w:eastAsia="es-CR"/>
          <w14:ligatures w14:val="none"/>
        </w:rPr>
        <w:t xml:space="preserve">Para comprender el Antiguo Testamento. </w:t>
      </w:r>
      <w:r w:rsidRPr="00DE33C0">
        <w:rPr>
          <w:rFonts w:ascii="Calibri" w:eastAsia="Arial" w:hAnsi="Calibri" w:cs="Calibri"/>
          <w:color w:val="000000"/>
          <w:kern w:val="0"/>
          <w:lang w:val="es-ES_tradnl" w:eastAsia="es-CR"/>
          <w14:ligatures w14:val="none"/>
        </w:rPr>
        <w:t xml:space="preserve">San José: SEBILA, 2019. </w:t>
      </w:r>
    </w:p>
    <w:p w14:paraId="2C4AE492"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Renaud, Bernard. </w:t>
      </w:r>
      <w:r w:rsidRPr="00DE33C0">
        <w:rPr>
          <w:rFonts w:ascii="Calibri" w:eastAsia="Arial" w:hAnsi="Calibri" w:cs="Calibri"/>
          <w:i/>
          <w:color w:val="000000"/>
          <w:kern w:val="0"/>
          <w:lang w:val="es-ES_tradnl" w:eastAsia="es-CR"/>
          <w14:ligatures w14:val="none"/>
        </w:rPr>
        <w:t xml:space="preserve">La alianza: en el corazón de la Torá. </w:t>
      </w:r>
      <w:r w:rsidRPr="00DE33C0">
        <w:rPr>
          <w:rFonts w:ascii="Calibri" w:eastAsia="Arial" w:hAnsi="Calibri" w:cs="Calibri"/>
          <w:color w:val="000000"/>
          <w:kern w:val="0"/>
          <w:lang w:val="es-ES_tradnl" w:eastAsia="es-CR"/>
          <w14:ligatures w14:val="none"/>
        </w:rPr>
        <w:t>Estella: Verbo Divino, 2009.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color w:val="000000"/>
          <w:kern w:val="0"/>
          <w:lang w:val="es-ES_tradnl" w:eastAsia="es-CR"/>
          <w14:ligatures w14:val="none"/>
        </w:rPr>
        <w:t>, última edición)</w:t>
      </w:r>
    </w:p>
    <w:p w14:paraId="502F9120"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kern w:val="0"/>
          <w:lang w:val="es-ES_tradnl" w:eastAsia="es-CR"/>
          <w14:ligatures w14:val="none"/>
        </w:rPr>
      </w:pPr>
      <w:r w:rsidRPr="00DE33C0">
        <w:rPr>
          <w:rFonts w:ascii="Calibri" w:eastAsia="Times New Roman" w:hAnsi="Calibri" w:cs="Calibri"/>
          <w:bCs/>
          <w:kern w:val="0"/>
          <w:lang w:val="es-ES_tradnl" w:eastAsia="es-CR"/>
          <w14:ligatures w14:val="none"/>
        </w:rPr>
        <w:t xml:space="preserve">Schmid, Konrad. </w:t>
      </w:r>
      <w:r w:rsidRPr="00DE33C0">
        <w:rPr>
          <w:rFonts w:ascii="Calibri" w:eastAsia="Times New Roman" w:hAnsi="Calibri" w:cs="Calibri"/>
          <w:bCs/>
          <w:i/>
          <w:iCs/>
          <w:kern w:val="0"/>
          <w:lang w:val="es-ES_tradnl" w:eastAsia="es-CR"/>
          <w14:ligatures w14:val="none"/>
        </w:rPr>
        <w:t>Historia literaria del Antiguo Testamento: Una introducción</w:t>
      </w:r>
      <w:r w:rsidRPr="00DE33C0">
        <w:rPr>
          <w:rFonts w:ascii="Calibri" w:eastAsia="Times New Roman" w:hAnsi="Calibri" w:cs="Calibri"/>
          <w:bCs/>
          <w:kern w:val="0"/>
          <w:lang w:val="es-ES_tradnl" w:eastAsia="es-CR"/>
          <w14:ligatures w14:val="none"/>
        </w:rPr>
        <w:t>. Madrid: Editorial Trotta, 2019.</w:t>
      </w:r>
      <w:r w:rsidRPr="00DE33C0">
        <w:rPr>
          <w:rFonts w:ascii="Calibri" w:eastAsia="Arial" w:hAnsi="Calibri" w:cs="Calibri"/>
          <w:kern w:val="0"/>
          <w:lang w:val="es-ES_tradnl" w:eastAsia="es-CR"/>
          <w14:ligatures w14:val="none"/>
        </w:rPr>
        <w:t xml:space="preserve"> </w:t>
      </w:r>
    </w:p>
    <w:p w14:paraId="4BDF5B88" w14:textId="77777777" w:rsidR="00DE33C0" w:rsidRPr="00DE33C0" w:rsidRDefault="00DE33C0" w:rsidP="4C9C2619">
      <w:pPr>
        <w:widowControl w:val="0"/>
        <w:overflowPunct w:val="0"/>
        <w:autoSpaceDE w:val="0"/>
        <w:autoSpaceDN w:val="0"/>
        <w:adjustRightInd w:val="0"/>
        <w:spacing w:before="120" w:after="0" w:line="240" w:lineRule="auto"/>
        <w:ind w:left="709" w:hanging="709"/>
        <w:jc w:val="both"/>
        <w:rPr>
          <w:rFonts w:ascii="Calibri" w:eastAsia="Arial" w:hAnsi="Calibri" w:cs="Calibri"/>
          <w:kern w:val="0"/>
          <w:lang w:val="es-ES" w:eastAsia="es-CR"/>
          <w14:ligatures w14:val="none"/>
        </w:rPr>
      </w:pPr>
      <w:proofErr w:type="spellStart"/>
      <w:r w:rsidRPr="4C9C2619">
        <w:rPr>
          <w:rFonts w:ascii="Calibri" w:eastAsia="Arial" w:hAnsi="Calibri" w:cs="Calibri"/>
          <w:kern w:val="0"/>
          <w:lang w:val="es-ES" w:eastAsia="es-CR"/>
          <w14:ligatures w14:val="none"/>
        </w:rPr>
        <w:t>Ska</w:t>
      </w:r>
      <w:proofErr w:type="spellEnd"/>
      <w:r w:rsidRPr="4C9C2619">
        <w:rPr>
          <w:rFonts w:ascii="Calibri" w:eastAsia="Arial" w:hAnsi="Calibri" w:cs="Calibri"/>
          <w:kern w:val="0"/>
          <w:lang w:val="es-ES" w:eastAsia="es-CR"/>
          <w14:ligatures w14:val="none"/>
        </w:rPr>
        <w:t xml:space="preserve">, Jean-Louis. </w:t>
      </w:r>
      <w:r w:rsidRPr="4C9C2619">
        <w:rPr>
          <w:rFonts w:ascii="Calibri" w:eastAsia="Arial" w:hAnsi="Calibri" w:cs="Calibri"/>
          <w:i/>
          <w:iCs/>
          <w:kern w:val="0"/>
          <w:lang w:val="es-ES" w:eastAsia="es-CR"/>
          <w14:ligatures w14:val="none"/>
        </w:rPr>
        <w:t xml:space="preserve">Enigmas del pasado: historia de Israel y relato bíblico. </w:t>
      </w:r>
      <w:r w:rsidRPr="4C9C2619">
        <w:rPr>
          <w:rFonts w:ascii="Calibri" w:eastAsia="Arial" w:hAnsi="Calibri" w:cs="Calibri"/>
          <w:kern w:val="0"/>
          <w:lang w:val="es-ES" w:eastAsia="es-CR"/>
          <w14:ligatures w14:val="none"/>
        </w:rPr>
        <w:t xml:space="preserve">Estella: Verbo Divino, 2003. </w:t>
      </w:r>
      <w:r w:rsidRPr="4C9C2619">
        <w:rPr>
          <w:rFonts w:ascii="Calibri" w:eastAsia="Arial" w:hAnsi="Calibri" w:cs="Calibri"/>
          <w:color w:val="000000"/>
          <w:kern w:val="0"/>
          <w:lang w:val="es-ES" w:eastAsia="es-CR"/>
          <w14:ligatures w14:val="none"/>
        </w:rPr>
        <w:t>(</w:t>
      </w:r>
      <w:r w:rsidRPr="4C9C2619">
        <w:rPr>
          <w:rFonts w:ascii="Calibri" w:eastAsia="Arial" w:hAnsi="Calibri" w:cs="Calibri"/>
          <w:color w:val="0070C0"/>
          <w:kern w:val="0"/>
          <w:lang w:val="es-ES" w:eastAsia="es-CR"/>
          <w14:ligatures w14:val="none"/>
        </w:rPr>
        <w:t>clásico</w:t>
      </w:r>
      <w:r w:rsidRPr="4C9C2619">
        <w:rPr>
          <w:rFonts w:ascii="Calibri" w:eastAsia="Arial" w:hAnsi="Calibri" w:cs="Calibri"/>
          <w:color w:val="000000"/>
          <w:kern w:val="0"/>
          <w:lang w:val="es-ES" w:eastAsia="es-CR"/>
          <w14:ligatures w14:val="none"/>
        </w:rPr>
        <w:t>, última edición)</w:t>
      </w:r>
      <w:r w:rsidRPr="4C9C2619">
        <w:rPr>
          <w:rFonts w:ascii="Calibri" w:eastAsia="Arial" w:hAnsi="Calibri" w:cs="Calibri"/>
          <w:kern w:val="0"/>
          <w:lang w:val="es-ES" w:eastAsia="es-CR"/>
          <w14:ligatures w14:val="none"/>
        </w:rPr>
        <w:t xml:space="preserve"> </w:t>
      </w:r>
    </w:p>
    <w:p w14:paraId="52C74141"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kern w:val="0"/>
          <w:lang w:val="es-ES_tradnl" w:eastAsia="es-CR"/>
          <w14:ligatures w14:val="none"/>
        </w:rPr>
      </w:pPr>
      <w:r w:rsidRPr="00DE33C0">
        <w:rPr>
          <w:rFonts w:ascii="Calibri" w:eastAsia="Arial" w:hAnsi="Calibri" w:cs="Calibri"/>
          <w:kern w:val="0"/>
          <w:lang w:val="es-ES_tradnl" w:eastAsia="es-CR"/>
          <w14:ligatures w14:val="none"/>
        </w:rPr>
        <w:t xml:space="preserve">Smith, Morton. “Partidos político-religiosos que conformaron el Antiguo Testamento”. </w:t>
      </w:r>
      <w:r w:rsidRPr="00DE33C0">
        <w:rPr>
          <w:rFonts w:ascii="Calibri" w:eastAsia="Arial" w:hAnsi="Calibri" w:cs="Calibri"/>
          <w:i/>
          <w:kern w:val="0"/>
          <w:lang w:val="es-ES_tradnl" w:eastAsia="es-CR"/>
          <w14:ligatures w14:val="none"/>
        </w:rPr>
        <w:t>Aportes Bíblicos</w:t>
      </w:r>
      <w:r w:rsidRPr="00DE33C0">
        <w:rPr>
          <w:rFonts w:ascii="Calibri" w:eastAsia="Arial" w:hAnsi="Calibri" w:cs="Calibri"/>
          <w:kern w:val="0"/>
          <w:lang w:val="es-ES_tradnl" w:eastAsia="es-CR"/>
          <w14:ligatures w14:val="none"/>
        </w:rPr>
        <w:t xml:space="preserve">, n.4 (2007): 1-65. </w:t>
      </w:r>
    </w:p>
    <w:p w14:paraId="411F3414" w14:textId="77777777" w:rsidR="00DE33C0" w:rsidRPr="00DE33C0" w:rsidRDefault="00DE33C0" w:rsidP="4C9C2619">
      <w:pPr>
        <w:widowControl w:val="0"/>
        <w:overflowPunct w:val="0"/>
        <w:autoSpaceDE w:val="0"/>
        <w:autoSpaceDN w:val="0"/>
        <w:adjustRightInd w:val="0"/>
        <w:spacing w:before="120" w:after="0" w:line="240" w:lineRule="auto"/>
        <w:ind w:left="709" w:hanging="709"/>
        <w:jc w:val="both"/>
        <w:rPr>
          <w:rFonts w:ascii="Calibri" w:eastAsia="Arial" w:hAnsi="Calibri" w:cs="Calibri"/>
          <w:kern w:val="0"/>
          <w:lang w:val="es-ES" w:eastAsia="es-CR"/>
          <w14:ligatures w14:val="none"/>
        </w:rPr>
      </w:pPr>
      <w:proofErr w:type="spellStart"/>
      <w:r w:rsidRPr="4C9C2619">
        <w:rPr>
          <w:rFonts w:ascii="Calibri" w:eastAsia="Arial" w:hAnsi="Calibri" w:cs="Calibri"/>
          <w:kern w:val="0"/>
          <w:lang w:val="es-ES" w:eastAsia="es-CR"/>
          <w14:ligatures w14:val="none"/>
        </w:rPr>
        <w:t>Trebolle</w:t>
      </w:r>
      <w:proofErr w:type="spellEnd"/>
      <w:r w:rsidRPr="4C9C2619">
        <w:rPr>
          <w:rFonts w:ascii="Calibri" w:eastAsia="Arial" w:hAnsi="Calibri" w:cs="Calibri"/>
          <w:kern w:val="0"/>
          <w:lang w:val="es-ES" w:eastAsia="es-CR"/>
          <w14:ligatures w14:val="none"/>
        </w:rPr>
        <w:t xml:space="preserve">, Julio. </w:t>
      </w:r>
      <w:r w:rsidRPr="4C9C2619">
        <w:rPr>
          <w:rFonts w:ascii="Calibri" w:eastAsia="Arial" w:hAnsi="Calibri" w:cs="Calibri"/>
          <w:i/>
          <w:iCs/>
          <w:kern w:val="0"/>
          <w:lang w:val="es-ES" w:eastAsia="es-CR"/>
          <w14:ligatures w14:val="none"/>
        </w:rPr>
        <w:t>Texturas bíblicas del antiguo Oriente al Occidente moderno</w:t>
      </w:r>
      <w:r w:rsidRPr="4C9C2619">
        <w:rPr>
          <w:rFonts w:ascii="Calibri" w:eastAsia="Arial" w:hAnsi="Calibri" w:cs="Calibri"/>
          <w:kern w:val="0"/>
          <w:lang w:val="es-ES" w:eastAsia="es-CR"/>
          <w14:ligatures w14:val="none"/>
        </w:rPr>
        <w:t>. Madrid: Editorial Trotta, 2019.</w:t>
      </w:r>
    </w:p>
    <w:p w14:paraId="651DB875"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kern w:val="0"/>
          <w:sz w:val="20"/>
          <w:szCs w:val="20"/>
          <w:lang w:eastAsia="es-CR"/>
          <w14:ligatures w14:val="none"/>
        </w:rPr>
      </w:pPr>
    </w:p>
    <w:p w14:paraId="403A4E80" w14:textId="77777777" w:rsidR="00DE33C0" w:rsidRPr="00DE33C0" w:rsidRDefault="00DE33C0" w:rsidP="00DE33C0">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DE33C0">
        <w:rPr>
          <w:rFonts w:ascii="Calibri" w:eastAsia="Arial" w:hAnsi="Calibri" w:cs="Calibri"/>
          <w:b/>
          <w:color w:val="000000"/>
          <w:kern w:val="0"/>
          <w:lang w:eastAsia="es-CR"/>
          <w14:ligatures w14:val="none"/>
        </w:rPr>
        <w:t xml:space="preserve">XII. </w:t>
      </w:r>
      <w:r w:rsidRPr="00DE33C0">
        <w:rPr>
          <w:rFonts w:ascii="Calibri" w:eastAsia="Arial" w:hAnsi="Calibri" w:cs="Calibri"/>
          <w:b/>
          <w:color w:val="000000"/>
          <w:kern w:val="0"/>
          <w:lang w:val="es-ES_tradnl" w:eastAsia="es-CR"/>
          <w14:ligatures w14:val="none"/>
        </w:rPr>
        <w:t>Bibliografía complementaria</w:t>
      </w:r>
    </w:p>
    <w:p w14:paraId="17E250DB" w14:textId="77777777" w:rsidR="00DE33C0" w:rsidRPr="00DE33C0" w:rsidRDefault="00DE33C0" w:rsidP="00DE33C0">
      <w:pPr>
        <w:widowControl w:val="0"/>
        <w:overflowPunct w:val="0"/>
        <w:autoSpaceDE w:val="0"/>
        <w:autoSpaceDN w:val="0"/>
        <w:adjustRightInd w:val="0"/>
        <w:spacing w:before="120" w:after="120" w:line="240" w:lineRule="auto"/>
        <w:jc w:val="both"/>
        <w:rPr>
          <w:rFonts w:ascii="Calibri" w:eastAsia="Times New Roman" w:hAnsi="Calibri" w:cs="Arial"/>
          <w:bCs/>
          <w:color w:val="000000"/>
          <w:kern w:val="0"/>
          <w:lang w:eastAsia="es-CR"/>
          <w14:ligatures w14:val="none"/>
        </w:rPr>
      </w:pPr>
      <w:r w:rsidRPr="00DE33C0">
        <w:rPr>
          <w:rFonts w:ascii="Calibri" w:eastAsia="Times New Roman" w:hAnsi="Calibri" w:cs="Arial"/>
          <w:b/>
          <w:color w:val="000000"/>
          <w:kern w:val="0"/>
          <w:lang w:eastAsia="es-CR"/>
          <w14:ligatures w14:val="none"/>
        </w:rPr>
        <w:t>Nota:</w:t>
      </w:r>
      <w:r w:rsidRPr="00DE33C0">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DE33C0">
        <w:rPr>
          <w:rFonts w:ascii="Calibri" w:eastAsia="Times New Roman" w:hAnsi="Calibri" w:cs="Arial"/>
          <w:bCs/>
          <w:color w:val="000000"/>
          <w:kern w:val="0"/>
          <w:lang w:eastAsia="es-CR"/>
          <w14:ligatures w14:val="none"/>
        </w:rPr>
        <w:t>pdf</w:t>
      </w:r>
      <w:proofErr w:type="spellEnd"/>
      <w:r w:rsidRPr="00DE33C0">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6044988E" w14:textId="77777777" w:rsidR="00DE33C0" w:rsidRPr="00DE33C0" w:rsidRDefault="00DE33C0" w:rsidP="00DE33C0">
      <w:pPr>
        <w:widowControl w:val="0"/>
        <w:overflowPunct w:val="0"/>
        <w:autoSpaceDE w:val="0"/>
        <w:autoSpaceDN w:val="0"/>
        <w:adjustRightInd w:val="0"/>
        <w:spacing w:before="120" w:after="0" w:line="240" w:lineRule="auto"/>
        <w:ind w:left="709" w:hanging="709"/>
        <w:jc w:val="both"/>
        <w:rPr>
          <w:rFonts w:ascii="Calibri" w:eastAsia="Arial" w:hAnsi="Calibri" w:cs="Calibri"/>
          <w:kern w:val="0"/>
          <w:lang w:val="es-ES_tradnl" w:eastAsia="es-CR"/>
          <w14:ligatures w14:val="none"/>
        </w:rPr>
      </w:pPr>
      <w:r w:rsidRPr="00DE33C0">
        <w:rPr>
          <w:rFonts w:ascii="Calibri" w:eastAsia="Arial" w:hAnsi="Calibri" w:cs="Calibri"/>
          <w:bCs/>
          <w:kern w:val="0"/>
          <w:lang w:val="es-ES_tradnl" w:eastAsia="es-CR"/>
          <w14:ligatures w14:val="none"/>
        </w:rPr>
        <w:t xml:space="preserve">Cervantes Gabarrón, José. “La Biblia en la nueva evangelización de América”. </w:t>
      </w:r>
      <w:r w:rsidRPr="00DE33C0">
        <w:rPr>
          <w:rFonts w:ascii="Calibri" w:eastAsia="Arial" w:hAnsi="Calibri" w:cs="Calibri"/>
          <w:bCs/>
          <w:i/>
          <w:kern w:val="0"/>
          <w:lang w:val="es-ES_tradnl" w:eastAsia="es-CR"/>
          <w14:ligatures w14:val="none"/>
        </w:rPr>
        <w:t>Reseña Bíblica</w:t>
      </w:r>
      <w:r w:rsidRPr="00DE33C0">
        <w:rPr>
          <w:rFonts w:ascii="Calibri" w:eastAsia="Arial" w:hAnsi="Calibri" w:cs="Calibri"/>
          <w:bCs/>
          <w:kern w:val="0"/>
          <w:lang w:val="es-ES_tradnl" w:eastAsia="es-CR"/>
          <w14:ligatures w14:val="none"/>
        </w:rPr>
        <w:t>, n. 96 (2017): 53-61.</w:t>
      </w:r>
    </w:p>
    <w:p w14:paraId="429D65DD" w14:textId="77777777" w:rsidR="00DE33C0" w:rsidRPr="00DE33C0" w:rsidRDefault="00DE33C0" w:rsidP="00DE33C0">
      <w:pPr>
        <w:widowControl w:val="0"/>
        <w:overflowPunct w:val="0"/>
        <w:autoSpaceDE w:val="0"/>
        <w:autoSpaceDN w:val="0"/>
        <w:adjustRightInd w:val="0"/>
        <w:spacing w:before="120" w:after="120" w:line="240" w:lineRule="auto"/>
        <w:ind w:left="709" w:hanging="709"/>
        <w:jc w:val="both"/>
        <w:rPr>
          <w:rFonts w:ascii="Calibri" w:eastAsia="Arial" w:hAnsi="Calibri" w:cs="Calibri"/>
          <w:color w:val="000000"/>
          <w:kern w:val="0"/>
          <w:lang w:val="es-ES_tradnl" w:eastAsia="es-CR"/>
          <w14:ligatures w14:val="none"/>
        </w:rPr>
      </w:pPr>
      <w:r w:rsidRPr="00DE33C0">
        <w:rPr>
          <w:rFonts w:ascii="Calibri" w:eastAsia="Arial" w:hAnsi="Calibri" w:cs="Calibri"/>
          <w:color w:val="000000"/>
          <w:kern w:val="0"/>
          <w:lang w:val="es-ES_tradnl" w:eastAsia="es-CR"/>
          <w14:ligatures w14:val="none"/>
        </w:rPr>
        <w:t xml:space="preserve">Finkelstein, Israel. </w:t>
      </w:r>
      <w:r w:rsidRPr="00DE33C0">
        <w:rPr>
          <w:rFonts w:ascii="Calibri" w:eastAsia="Arial" w:hAnsi="Calibri" w:cs="Calibri"/>
          <w:i/>
          <w:color w:val="000000"/>
          <w:kern w:val="0"/>
          <w:lang w:val="es-ES_tradnl" w:eastAsia="es-CR"/>
          <w14:ligatures w14:val="none"/>
        </w:rPr>
        <w:t xml:space="preserve">La Biblia desenterrada: una nueva visión arqueológica del antiguo Israel y de los orígenes de sus textos sagrados. </w:t>
      </w:r>
      <w:r w:rsidRPr="00DE33C0">
        <w:rPr>
          <w:rFonts w:ascii="Calibri" w:eastAsia="Arial" w:hAnsi="Calibri" w:cs="Calibri"/>
          <w:color w:val="000000"/>
          <w:kern w:val="0"/>
          <w:lang w:val="es-ES_tradnl" w:eastAsia="es-CR"/>
          <w14:ligatures w14:val="none"/>
        </w:rPr>
        <w:t>Madrid: Siglo XXI, 2005. (</w:t>
      </w:r>
      <w:r w:rsidRPr="00DE33C0">
        <w:rPr>
          <w:rFonts w:ascii="Calibri" w:eastAsia="Arial" w:hAnsi="Calibri" w:cs="Calibri"/>
          <w:color w:val="0070C0"/>
          <w:kern w:val="0"/>
          <w:lang w:val="es-ES_tradnl" w:eastAsia="es-CR"/>
          <w14:ligatures w14:val="none"/>
        </w:rPr>
        <w:t>clásico</w:t>
      </w:r>
      <w:r w:rsidRPr="00DE33C0">
        <w:rPr>
          <w:rFonts w:ascii="Calibri" w:eastAsia="Arial" w:hAnsi="Calibri" w:cs="Calibri"/>
          <w:kern w:val="0"/>
          <w:lang w:val="es-ES_tradnl" w:eastAsia="es-CR"/>
          <w14:ligatures w14:val="none"/>
        </w:rPr>
        <w:t>, última edición</w:t>
      </w:r>
      <w:r w:rsidRPr="00DE33C0">
        <w:rPr>
          <w:rFonts w:ascii="Calibri" w:eastAsia="Arial" w:hAnsi="Calibri" w:cs="Calibri"/>
          <w:color w:val="000000"/>
          <w:kern w:val="0"/>
          <w:lang w:val="es-ES_tradnl" w:eastAsia="es-CR"/>
          <w14:ligatures w14:val="none"/>
        </w:rPr>
        <w:t>)</w:t>
      </w:r>
    </w:p>
    <w:p w14:paraId="2B59A6CE" w14:textId="77777777" w:rsidR="00DE33C0" w:rsidRPr="00DE33C0" w:rsidRDefault="00DE33C0" w:rsidP="4C9C2619">
      <w:pPr>
        <w:framePr w:hSpace="141" w:wrap="around" w:vAnchor="text" w:hAnchor="margin" w:y="10"/>
        <w:widowControl w:val="0"/>
        <w:overflowPunct w:val="0"/>
        <w:autoSpaceDE w:val="0"/>
        <w:autoSpaceDN w:val="0"/>
        <w:adjustRightInd w:val="0"/>
        <w:spacing w:before="120" w:after="0" w:line="276" w:lineRule="auto"/>
        <w:ind w:left="709" w:hanging="709"/>
        <w:jc w:val="both"/>
        <w:rPr>
          <w:rFonts w:ascii="Calibri" w:eastAsia="Arial" w:hAnsi="Calibri" w:cs="Calibri"/>
          <w:kern w:val="0"/>
          <w:lang w:val="es-ES" w:eastAsia="es-CR"/>
          <w14:ligatures w14:val="none"/>
        </w:rPr>
      </w:pPr>
      <w:proofErr w:type="spellStart"/>
      <w:r w:rsidRPr="4C9C2619">
        <w:rPr>
          <w:rFonts w:ascii="Calibri" w:eastAsia="Arial" w:hAnsi="Calibri" w:cs="Calibri"/>
          <w:kern w:val="0"/>
          <w:lang w:val="es-ES" w:eastAsia="es-CR"/>
          <w14:ligatures w14:val="none"/>
        </w:rPr>
        <w:lastRenderedPageBreak/>
        <w:t>Nannini</w:t>
      </w:r>
      <w:proofErr w:type="spellEnd"/>
      <w:r w:rsidRPr="4C9C2619">
        <w:rPr>
          <w:rFonts w:ascii="Calibri" w:eastAsia="Arial" w:hAnsi="Calibri" w:cs="Calibri"/>
          <w:kern w:val="0"/>
          <w:lang w:val="es-ES" w:eastAsia="es-CR"/>
          <w14:ligatures w14:val="none"/>
        </w:rPr>
        <w:t xml:space="preserve">, Damián. “Panorama de la literatura bíblica que surge del exilio”. </w:t>
      </w:r>
      <w:r w:rsidRPr="4C9C2619">
        <w:rPr>
          <w:rFonts w:ascii="Calibri" w:eastAsia="Arial" w:hAnsi="Calibri" w:cs="Calibri"/>
          <w:i/>
          <w:iCs/>
          <w:kern w:val="0"/>
          <w:lang w:val="es-ES" w:eastAsia="es-CR"/>
          <w14:ligatures w14:val="none"/>
        </w:rPr>
        <w:t>Reseña Bíblica</w:t>
      </w:r>
      <w:r w:rsidRPr="4C9C2619">
        <w:rPr>
          <w:rFonts w:ascii="Calibri" w:eastAsia="Arial" w:hAnsi="Calibri" w:cs="Calibri"/>
          <w:kern w:val="0"/>
          <w:lang w:val="es-ES" w:eastAsia="es-CR"/>
          <w14:ligatures w14:val="none"/>
        </w:rPr>
        <w:t>, n. 99 (2018): 26-35.</w:t>
      </w:r>
    </w:p>
    <w:p w14:paraId="2960E64F" w14:textId="77777777" w:rsidR="00DE33C0" w:rsidRPr="00DE33C0" w:rsidRDefault="00DE33C0" w:rsidP="00DE33C0">
      <w:pPr>
        <w:widowControl w:val="0"/>
        <w:overflowPunct w:val="0"/>
        <w:autoSpaceDE w:val="0"/>
        <w:autoSpaceDN w:val="0"/>
        <w:adjustRightInd w:val="0"/>
        <w:spacing w:before="120" w:after="120" w:line="240" w:lineRule="auto"/>
        <w:rPr>
          <w:rFonts w:ascii="Calibri" w:eastAsia="Arial" w:hAnsi="Calibri" w:cs="Calibri"/>
          <w:bCs/>
          <w:kern w:val="0"/>
          <w:sz w:val="8"/>
          <w:szCs w:val="8"/>
          <w:lang w:val="es-ES_tradnl" w:eastAsia="es-CR"/>
          <w14:ligatures w14:val="none"/>
        </w:rPr>
      </w:pPr>
    </w:p>
    <w:p w14:paraId="05702464" w14:textId="77777777" w:rsidR="00DE33C0" w:rsidRPr="00DE33C0" w:rsidRDefault="00DE33C0" w:rsidP="00DE33C0">
      <w:pPr>
        <w:widowControl w:val="0"/>
        <w:overflowPunct w:val="0"/>
        <w:autoSpaceDE w:val="0"/>
        <w:autoSpaceDN w:val="0"/>
        <w:adjustRightInd w:val="0"/>
        <w:spacing w:before="120" w:after="120" w:line="240" w:lineRule="auto"/>
        <w:ind w:left="709" w:hanging="709"/>
        <w:rPr>
          <w:rFonts w:ascii="Calibri" w:eastAsia="Times New Roman" w:hAnsi="Calibri" w:cs="Calibri"/>
          <w:bCs/>
          <w:color w:val="000000"/>
          <w:kern w:val="0"/>
          <w:sz w:val="20"/>
          <w:szCs w:val="20"/>
          <w:lang w:eastAsia="es-CR"/>
          <w14:ligatures w14:val="none"/>
        </w:rPr>
      </w:pPr>
      <w:r w:rsidRPr="00DE33C0">
        <w:rPr>
          <w:rFonts w:ascii="Calibri" w:eastAsia="Arial" w:hAnsi="Calibri" w:cs="Calibri"/>
          <w:bCs/>
          <w:kern w:val="0"/>
          <w:lang w:val="es-ES_tradnl" w:eastAsia="es-CR"/>
          <w14:ligatures w14:val="none"/>
        </w:rPr>
        <w:t xml:space="preserve">Piquer Otero, Andrés. “El mundo de los cananeos: textos y creencias”. </w:t>
      </w:r>
      <w:r w:rsidRPr="00DE33C0">
        <w:rPr>
          <w:rFonts w:ascii="Calibri" w:eastAsia="Arial" w:hAnsi="Calibri" w:cs="Calibri"/>
          <w:bCs/>
          <w:i/>
          <w:kern w:val="0"/>
          <w:lang w:val="es-ES_tradnl" w:eastAsia="es-CR"/>
          <w14:ligatures w14:val="none"/>
        </w:rPr>
        <w:t>Reseña Bíblica</w:t>
      </w:r>
      <w:r w:rsidRPr="00DE33C0">
        <w:rPr>
          <w:rFonts w:ascii="Calibri" w:eastAsia="Arial" w:hAnsi="Calibri" w:cs="Calibri"/>
          <w:bCs/>
          <w:kern w:val="0"/>
          <w:lang w:val="es-ES_tradnl" w:eastAsia="es-CR"/>
          <w14:ligatures w14:val="none"/>
        </w:rPr>
        <w:t>, n. 84 (2014): 5-14.</w:t>
      </w:r>
    </w:p>
    <w:p w14:paraId="0D313526" w14:textId="77777777" w:rsidR="0060285C" w:rsidRDefault="0060285C" w:rsidP="00C5474A">
      <w:pPr>
        <w:pStyle w:val="SPECIAL2"/>
      </w:pPr>
    </w:p>
    <w:p w14:paraId="04686DE1" w14:textId="77777777" w:rsidR="0060285C" w:rsidRDefault="0060285C" w:rsidP="00C5474A">
      <w:pPr>
        <w:pStyle w:val="SPECIAL2"/>
      </w:pPr>
    </w:p>
    <w:p w14:paraId="42DC8D4C" w14:textId="77777777" w:rsidR="009454F8" w:rsidRDefault="009454F8" w:rsidP="00C5474A">
      <w:pPr>
        <w:pStyle w:val="SPECIAL2"/>
      </w:pPr>
    </w:p>
    <w:p w14:paraId="0F470D98" w14:textId="77777777" w:rsidR="009454F8" w:rsidRDefault="009454F8" w:rsidP="00C5474A">
      <w:pPr>
        <w:pStyle w:val="SPECIAL2"/>
      </w:pPr>
    </w:p>
    <w:p w14:paraId="6388AE50" w14:textId="77777777" w:rsidR="009454F8" w:rsidRDefault="009454F8" w:rsidP="00C5474A">
      <w:pPr>
        <w:pStyle w:val="SPECIAL2"/>
      </w:pPr>
    </w:p>
    <w:p w14:paraId="08BC122C" w14:textId="77777777" w:rsidR="009454F8" w:rsidRDefault="009454F8" w:rsidP="00C5474A">
      <w:pPr>
        <w:pStyle w:val="SPECIAL2"/>
      </w:pPr>
    </w:p>
    <w:p w14:paraId="72E60E23" w14:textId="77777777" w:rsidR="009454F8" w:rsidRDefault="009454F8" w:rsidP="00C5474A">
      <w:pPr>
        <w:pStyle w:val="SPECIAL2"/>
      </w:pPr>
    </w:p>
    <w:p w14:paraId="26439566" w14:textId="77777777" w:rsidR="009454F8" w:rsidRDefault="009454F8" w:rsidP="00C5474A">
      <w:pPr>
        <w:pStyle w:val="SPECIAL2"/>
      </w:pPr>
    </w:p>
    <w:p w14:paraId="3709B8FA" w14:textId="77777777" w:rsidR="009454F8" w:rsidRDefault="009454F8" w:rsidP="00C5474A">
      <w:pPr>
        <w:pStyle w:val="SPECIAL2"/>
      </w:pPr>
    </w:p>
    <w:p w14:paraId="1C629420" w14:textId="77777777" w:rsidR="009454F8" w:rsidRDefault="009454F8" w:rsidP="00C5474A">
      <w:pPr>
        <w:pStyle w:val="SPECIAL2"/>
      </w:pPr>
    </w:p>
    <w:p w14:paraId="086871AB" w14:textId="77777777" w:rsidR="009454F8" w:rsidRDefault="009454F8" w:rsidP="00C5474A">
      <w:pPr>
        <w:pStyle w:val="SPECIAL2"/>
      </w:pPr>
    </w:p>
    <w:p w14:paraId="2EDAC7B8" w14:textId="77777777" w:rsidR="009454F8" w:rsidRDefault="009454F8" w:rsidP="00C5474A">
      <w:pPr>
        <w:pStyle w:val="SPECIAL2"/>
      </w:pPr>
    </w:p>
    <w:p w14:paraId="3D53AB7E" w14:textId="77777777" w:rsidR="009454F8" w:rsidRDefault="009454F8" w:rsidP="00C5474A">
      <w:pPr>
        <w:pStyle w:val="SPECIAL2"/>
      </w:pPr>
    </w:p>
    <w:p w14:paraId="2BF04F9F" w14:textId="77777777" w:rsidR="009454F8" w:rsidRDefault="009454F8" w:rsidP="00C5474A">
      <w:pPr>
        <w:pStyle w:val="SPECIAL2"/>
      </w:pPr>
    </w:p>
    <w:p w14:paraId="448D40F6" w14:textId="77777777" w:rsidR="009454F8" w:rsidRDefault="009454F8" w:rsidP="00C5474A">
      <w:pPr>
        <w:pStyle w:val="SPECIAL2"/>
      </w:pPr>
    </w:p>
    <w:p w14:paraId="3927B5E9" w14:textId="77777777" w:rsidR="009454F8" w:rsidRDefault="009454F8" w:rsidP="00C5474A">
      <w:pPr>
        <w:pStyle w:val="SPECIAL2"/>
      </w:pPr>
    </w:p>
    <w:p w14:paraId="4A82E435" w14:textId="77777777" w:rsidR="009454F8" w:rsidRDefault="009454F8" w:rsidP="00C5474A">
      <w:pPr>
        <w:pStyle w:val="SPECIAL2"/>
      </w:pPr>
    </w:p>
    <w:p w14:paraId="4682F145" w14:textId="77777777" w:rsidR="009454F8" w:rsidRDefault="009454F8" w:rsidP="00C5474A">
      <w:pPr>
        <w:pStyle w:val="SPECIAL2"/>
      </w:pPr>
    </w:p>
    <w:p w14:paraId="3CAEB0FD" w14:textId="14C89C3A" w:rsidR="009454F8" w:rsidRDefault="009454F8">
      <w:pPr>
        <w:rPr>
          <w:b/>
          <w:bCs/>
          <w:sz w:val="28"/>
          <w:szCs w:val="28"/>
          <w:lang w:val="es-ES"/>
        </w:rPr>
      </w:pPr>
      <w:r>
        <w:br w:type="page"/>
      </w:r>
    </w:p>
    <w:p w14:paraId="73489C73" w14:textId="77777777" w:rsidR="00836EE8" w:rsidRPr="00836EE8" w:rsidRDefault="00836EE8" w:rsidP="00836EE8">
      <w:pPr>
        <w:widowControl w:val="0"/>
        <w:overflowPunct w:val="0"/>
        <w:autoSpaceDE w:val="0"/>
        <w:autoSpaceDN w:val="0"/>
        <w:adjustRightInd w:val="0"/>
        <w:spacing w:before="120" w:after="0" w:line="240" w:lineRule="auto"/>
        <w:jc w:val="center"/>
        <w:rPr>
          <w:rFonts w:ascii="Arial" w:eastAsia="Times New Roman" w:hAnsi="Arial" w:cs="Arial"/>
          <w:color w:val="000000"/>
          <w:kern w:val="0"/>
          <w:sz w:val="24"/>
          <w:szCs w:val="20"/>
          <w:lang w:val="es-ES_tradnl" w:eastAsia="es-CR"/>
          <w14:ligatures w14:val="none"/>
        </w:rPr>
      </w:pPr>
      <w:r w:rsidRPr="00836EE8">
        <w:rPr>
          <w:rFonts w:ascii="Arial" w:eastAsia="Times New Roman" w:hAnsi="Arial" w:cs="Arial"/>
          <w:noProof/>
          <w:color w:val="000000"/>
          <w:kern w:val="0"/>
          <w:sz w:val="24"/>
          <w:szCs w:val="24"/>
          <w:lang w:eastAsia="es-CR"/>
          <w14:ligatures w14:val="none"/>
        </w:rPr>
        <w:lastRenderedPageBreak/>
        <w:drawing>
          <wp:inline distT="0" distB="0" distL="0" distR="0" wp14:anchorId="4034C86F" wp14:editId="43FA2C41">
            <wp:extent cx="2009775" cy="1548377"/>
            <wp:effectExtent l="0" t="0" r="0" b="0"/>
            <wp:docPr id="17504188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43A6CC7B" w14:textId="77777777" w:rsidR="00836EE8" w:rsidRPr="00836EE8" w:rsidRDefault="00836EE8" w:rsidP="00836EE8">
      <w:pPr>
        <w:keepNext/>
        <w:widowControl w:val="0"/>
        <w:overflowPunct w:val="0"/>
        <w:autoSpaceDE w:val="0"/>
        <w:autoSpaceDN w:val="0"/>
        <w:adjustRightInd w:val="0"/>
        <w:spacing w:after="0" w:line="240" w:lineRule="auto"/>
        <w:ind w:left="-426"/>
        <w:jc w:val="center"/>
        <w:outlineLvl w:val="0"/>
        <w:rPr>
          <w:rFonts w:ascii="Arial" w:eastAsia="Times New Roman" w:hAnsi="Arial" w:cs="Arial"/>
          <w:b/>
          <w:color w:val="000000"/>
          <w:spacing w:val="-2"/>
          <w:kern w:val="0"/>
          <w:sz w:val="24"/>
          <w:szCs w:val="24"/>
          <w:lang w:eastAsia="es-CR"/>
          <w14:ligatures w14:val="none"/>
        </w:rPr>
      </w:pPr>
    </w:p>
    <w:p w14:paraId="70FF6951" w14:textId="77777777" w:rsidR="00836EE8" w:rsidRPr="00836EE8" w:rsidRDefault="00836EE8" w:rsidP="00836EE8">
      <w:pPr>
        <w:keepNext/>
        <w:widowControl w:val="0"/>
        <w:overflowPunct w:val="0"/>
        <w:autoSpaceDE w:val="0"/>
        <w:autoSpaceDN w:val="0"/>
        <w:adjustRightInd w:val="0"/>
        <w:spacing w:after="0" w:line="240" w:lineRule="auto"/>
        <w:jc w:val="center"/>
        <w:outlineLvl w:val="0"/>
        <w:rPr>
          <w:rFonts w:ascii="Calibri" w:eastAsia="Times New Roman" w:hAnsi="Calibri" w:cs="Calibri"/>
          <w:b/>
          <w:color w:val="000000"/>
          <w:spacing w:val="-2"/>
          <w:kern w:val="0"/>
          <w:sz w:val="24"/>
          <w:szCs w:val="24"/>
          <w:lang w:eastAsia="es-CR"/>
          <w14:ligatures w14:val="none"/>
        </w:rPr>
      </w:pPr>
      <w:r w:rsidRPr="00836EE8">
        <w:rPr>
          <w:rFonts w:ascii="Calibri" w:eastAsia="Times New Roman" w:hAnsi="Calibri" w:cs="Calibri"/>
          <w:b/>
          <w:color w:val="000000"/>
          <w:spacing w:val="-2"/>
          <w:kern w:val="0"/>
          <w:sz w:val="24"/>
          <w:szCs w:val="24"/>
          <w:lang w:eastAsia="es-CR"/>
          <w14:ligatures w14:val="none"/>
        </w:rPr>
        <w:t>Universidad Bíblica Latinoamericana</w:t>
      </w:r>
    </w:p>
    <w:p w14:paraId="11783214" w14:textId="77777777" w:rsidR="00836EE8" w:rsidRPr="00836EE8" w:rsidRDefault="00836EE8" w:rsidP="00836EE8">
      <w:pPr>
        <w:keepNext/>
        <w:widowControl w:val="0"/>
        <w:overflowPunct w:val="0"/>
        <w:autoSpaceDE w:val="0"/>
        <w:autoSpaceDN w:val="0"/>
        <w:adjustRightInd w:val="0"/>
        <w:spacing w:after="0" w:line="240" w:lineRule="auto"/>
        <w:jc w:val="center"/>
        <w:outlineLvl w:val="1"/>
        <w:rPr>
          <w:rFonts w:ascii="Calibri" w:eastAsia="Times New Roman" w:hAnsi="Calibri" w:cs="Calibri"/>
          <w:b/>
          <w:i/>
          <w:color w:val="000000"/>
          <w:spacing w:val="-2"/>
          <w:kern w:val="28"/>
          <w:sz w:val="24"/>
          <w:szCs w:val="24"/>
          <w:lang w:eastAsia="es-CR"/>
          <w14:ligatures w14:val="none"/>
        </w:rPr>
      </w:pPr>
      <w:r w:rsidRPr="00836EE8">
        <w:rPr>
          <w:rFonts w:ascii="Calibri" w:eastAsia="Times New Roman" w:hAnsi="Calibri" w:cs="Calibri"/>
          <w:b/>
          <w:i/>
          <w:color w:val="000000"/>
          <w:spacing w:val="-2"/>
          <w:kern w:val="28"/>
          <w:sz w:val="24"/>
          <w:szCs w:val="24"/>
          <w:lang w:eastAsia="es-CR"/>
          <w14:ligatures w14:val="none"/>
        </w:rPr>
        <w:t>Facultad de Teología</w:t>
      </w:r>
    </w:p>
    <w:p w14:paraId="4B25E13D" w14:textId="77777777" w:rsidR="00836EE8" w:rsidRPr="00836EE8" w:rsidRDefault="00836EE8" w:rsidP="00836EE8">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836EE8">
        <w:rPr>
          <w:rFonts w:ascii="Calibri" w:eastAsia="Times New Roman" w:hAnsi="Calibri" w:cs="Arial"/>
          <w:b/>
          <w:bCs/>
          <w:color w:val="000000"/>
          <w:kern w:val="0"/>
          <w:sz w:val="24"/>
          <w:szCs w:val="20"/>
          <w:lang w:val="es-ES_tradnl" w:eastAsia="es-CR"/>
          <w14:ligatures w14:val="none"/>
        </w:rPr>
        <w:t xml:space="preserve">Bachillerato en </w:t>
      </w:r>
      <w:r w:rsidRPr="00836EE8">
        <w:rPr>
          <w:rFonts w:ascii="Calibri" w:eastAsia="Times New Roman" w:hAnsi="Calibri" w:cs="Calibri"/>
          <w:b/>
          <w:bCs/>
          <w:color w:val="000000"/>
          <w:kern w:val="0"/>
          <w:sz w:val="24"/>
          <w:szCs w:val="24"/>
          <w:lang w:val="es-ES_tradnl" w:eastAsia="es-CR"/>
          <w14:ligatures w14:val="none"/>
        </w:rPr>
        <w:t xml:space="preserve">Ciencias </w:t>
      </w:r>
      <w:r w:rsidRPr="00836EE8">
        <w:rPr>
          <w:rFonts w:ascii="Calibri" w:eastAsia="Times New Roman" w:hAnsi="Calibri" w:cs="Arial"/>
          <w:b/>
          <w:kern w:val="0"/>
          <w:sz w:val="24"/>
          <w:szCs w:val="24"/>
          <w:lang w:val="es-ES_tradnl" w:eastAsia="es-CR"/>
          <w14:ligatures w14:val="none"/>
        </w:rPr>
        <w:t>Bíblicas</w:t>
      </w:r>
    </w:p>
    <w:p w14:paraId="073EAEF1" w14:textId="77777777" w:rsidR="00836EE8" w:rsidRPr="00836EE8" w:rsidRDefault="00836EE8" w:rsidP="00836EE8">
      <w:pPr>
        <w:widowControl w:val="0"/>
        <w:overflowPunct w:val="0"/>
        <w:autoSpaceDE w:val="0"/>
        <w:autoSpaceDN w:val="0"/>
        <w:adjustRightInd w:val="0"/>
        <w:spacing w:after="0" w:line="240" w:lineRule="auto"/>
        <w:ind w:left="-426"/>
        <w:jc w:val="center"/>
        <w:rPr>
          <w:rFonts w:ascii="Calibri" w:eastAsia="Times New Roman" w:hAnsi="Calibri" w:cs="Calibri"/>
          <w:b/>
          <w:bCs/>
          <w:color w:val="000000"/>
          <w:kern w:val="0"/>
          <w:sz w:val="24"/>
          <w:szCs w:val="24"/>
          <w:lang w:val="es-ES_tradnl" w:eastAsia="es-CR"/>
          <w14:ligatures w14:val="none"/>
        </w:rPr>
      </w:pPr>
    </w:p>
    <w:p w14:paraId="0AC9F57F" w14:textId="77777777" w:rsidR="00836EE8" w:rsidRPr="00836EE8" w:rsidRDefault="00836EE8" w:rsidP="00836EE8">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Sílabo</w:t>
      </w:r>
    </w:p>
    <w:p w14:paraId="00DBC77B" w14:textId="77777777" w:rsidR="00836EE8" w:rsidRPr="00836EE8" w:rsidRDefault="00836EE8" w:rsidP="00836EE8">
      <w:pPr>
        <w:keepNext/>
        <w:widowControl w:val="0"/>
        <w:overflowPunct w:val="0"/>
        <w:autoSpaceDE w:val="0"/>
        <w:autoSpaceDN w:val="0"/>
        <w:adjustRightInd w:val="0"/>
        <w:spacing w:after="0" w:line="240" w:lineRule="auto"/>
        <w:jc w:val="center"/>
        <w:outlineLvl w:val="0"/>
        <w:rPr>
          <w:rFonts w:ascii="Calibri" w:eastAsia="Times New Roman" w:hAnsi="Calibri" w:cs="Calibri"/>
          <w:b/>
          <w:color w:val="000000"/>
          <w:spacing w:val="-2"/>
          <w:kern w:val="0"/>
          <w:sz w:val="24"/>
          <w:szCs w:val="24"/>
          <w:lang w:val="es-ES_tradnl" w:eastAsia="es-CR"/>
          <w14:ligatures w14:val="none"/>
        </w:rPr>
      </w:pPr>
      <w:bookmarkStart w:id="18" w:name="CBX109"/>
      <w:r w:rsidRPr="00836EE8">
        <w:rPr>
          <w:rFonts w:ascii="Calibri" w:eastAsia="Times New Roman" w:hAnsi="Calibri" w:cs="Calibri"/>
          <w:b/>
          <w:color w:val="000000"/>
          <w:spacing w:val="-2"/>
          <w:kern w:val="0"/>
          <w:sz w:val="24"/>
          <w:szCs w:val="24"/>
          <w:lang w:val="es-ES_tradnl" w:eastAsia="es-CR"/>
          <w14:ligatures w14:val="none"/>
        </w:rPr>
        <w:t>Nuevo Testamento I</w:t>
      </w:r>
    </w:p>
    <w:bookmarkEnd w:id="18"/>
    <w:p w14:paraId="0A8071F5" w14:textId="77777777" w:rsidR="00836EE8" w:rsidRPr="00836EE8" w:rsidRDefault="00836EE8" w:rsidP="00836EE8">
      <w:pPr>
        <w:widowControl w:val="0"/>
        <w:overflowPunct w:val="0"/>
        <w:autoSpaceDE w:val="0"/>
        <w:autoSpaceDN w:val="0"/>
        <w:adjustRightInd w:val="0"/>
        <w:spacing w:after="0" w:line="240" w:lineRule="auto"/>
        <w:rPr>
          <w:rFonts w:ascii="Arial" w:eastAsia="Arial" w:hAnsi="Arial" w:cs="Arial"/>
          <w:color w:val="000000"/>
          <w:kern w:val="0"/>
          <w:sz w:val="24"/>
          <w:szCs w:val="20"/>
          <w:lang w:val="es-ES_tradnl" w:eastAsia="es-CR"/>
          <w14:ligatures w14:val="none"/>
        </w:rPr>
      </w:pPr>
    </w:p>
    <w:p w14:paraId="7CA0874A" w14:textId="77777777" w:rsidR="00836EE8" w:rsidRPr="00836EE8" w:rsidRDefault="00836EE8" w:rsidP="00836EE8">
      <w:pPr>
        <w:widowControl w:val="0"/>
        <w:overflowPunct w:val="0"/>
        <w:autoSpaceDE w:val="0"/>
        <w:autoSpaceDN w:val="0"/>
        <w:adjustRightInd w:val="0"/>
        <w:spacing w:after="0" w:line="240" w:lineRule="auto"/>
        <w:rPr>
          <w:rFonts w:ascii="Arial" w:eastAsia="Arial" w:hAnsi="Arial" w:cs="Arial"/>
          <w:color w:val="000000"/>
          <w:kern w:val="0"/>
          <w:sz w:val="24"/>
          <w:szCs w:val="20"/>
          <w:lang w:val="es-ES_tradnl" w:eastAsia="es-CR"/>
          <w14:ligatures w14:val="none"/>
        </w:rPr>
      </w:pPr>
    </w:p>
    <w:p w14:paraId="35730B92" w14:textId="77777777" w:rsidR="00836EE8" w:rsidRPr="00836EE8" w:rsidRDefault="00836EE8" w:rsidP="00836EE8">
      <w:pPr>
        <w:widowControl w:val="0"/>
        <w:overflowPunct w:val="0"/>
        <w:autoSpaceDE w:val="0"/>
        <w:autoSpaceDN w:val="0"/>
        <w:adjustRightInd w:val="0"/>
        <w:spacing w:after="0" w:line="240" w:lineRule="auto"/>
        <w:rPr>
          <w:rFonts w:ascii="Arial" w:eastAsia="Arial" w:hAnsi="Arial" w:cs="Arial"/>
          <w:color w:val="000000"/>
          <w:kern w:val="0"/>
          <w:sz w:val="24"/>
          <w:szCs w:val="20"/>
          <w:lang w:val="es-ES_tradnl" w:eastAsia="es-CR"/>
          <w14:ligatures w14:val="none"/>
        </w:rPr>
      </w:pPr>
    </w:p>
    <w:tbl>
      <w:tblPr>
        <w:tblStyle w:val="TableGrid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7161"/>
      </w:tblGrid>
      <w:tr w:rsidR="00836EE8" w:rsidRPr="00836EE8" w14:paraId="7A858FEE" w14:textId="77777777" w:rsidTr="00CE7124">
        <w:tc>
          <w:tcPr>
            <w:tcW w:w="1667" w:type="dxa"/>
          </w:tcPr>
          <w:p w14:paraId="198FAEA4"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Código</w:t>
            </w:r>
          </w:p>
        </w:tc>
        <w:tc>
          <w:tcPr>
            <w:tcW w:w="7161" w:type="dxa"/>
          </w:tcPr>
          <w:p w14:paraId="382B91CF"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CBX 109</w:t>
            </w:r>
          </w:p>
        </w:tc>
      </w:tr>
      <w:tr w:rsidR="00836EE8" w:rsidRPr="00836EE8" w14:paraId="1FF4D228" w14:textId="77777777" w:rsidTr="00CE7124">
        <w:tc>
          <w:tcPr>
            <w:tcW w:w="1667" w:type="dxa"/>
          </w:tcPr>
          <w:p w14:paraId="70EFA694"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Créditos</w:t>
            </w:r>
          </w:p>
        </w:tc>
        <w:tc>
          <w:tcPr>
            <w:tcW w:w="7161" w:type="dxa"/>
          </w:tcPr>
          <w:p w14:paraId="34D66531"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4</w:t>
            </w:r>
          </w:p>
        </w:tc>
      </w:tr>
      <w:tr w:rsidR="00836EE8" w:rsidRPr="00836EE8" w14:paraId="6E9CDC31" w14:textId="77777777" w:rsidTr="00CE7124">
        <w:tc>
          <w:tcPr>
            <w:tcW w:w="1667" w:type="dxa"/>
          </w:tcPr>
          <w:p w14:paraId="0E2F1BB4"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Requisitos</w:t>
            </w:r>
          </w:p>
        </w:tc>
        <w:tc>
          <w:tcPr>
            <w:tcW w:w="7161" w:type="dxa"/>
          </w:tcPr>
          <w:p w14:paraId="404693B2"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CBX 104</w:t>
            </w:r>
          </w:p>
        </w:tc>
      </w:tr>
      <w:tr w:rsidR="00836EE8" w:rsidRPr="00836EE8" w14:paraId="6C442826" w14:textId="77777777" w:rsidTr="00CE7124">
        <w:tc>
          <w:tcPr>
            <w:tcW w:w="1667" w:type="dxa"/>
          </w:tcPr>
          <w:p w14:paraId="12B83D6A"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Modalidad</w:t>
            </w:r>
          </w:p>
        </w:tc>
        <w:tc>
          <w:tcPr>
            <w:tcW w:w="7161" w:type="dxa"/>
          </w:tcPr>
          <w:p w14:paraId="4118B77E"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Virtual</w:t>
            </w:r>
          </w:p>
        </w:tc>
      </w:tr>
      <w:tr w:rsidR="00836EE8" w:rsidRPr="00836EE8" w14:paraId="210E5D68" w14:textId="77777777" w:rsidTr="00CE7124">
        <w:tc>
          <w:tcPr>
            <w:tcW w:w="1667" w:type="dxa"/>
          </w:tcPr>
          <w:p w14:paraId="0DC52FAC"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Naturaleza</w:t>
            </w:r>
          </w:p>
        </w:tc>
        <w:tc>
          <w:tcPr>
            <w:tcW w:w="7161" w:type="dxa"/>
          </w:tcPr>
          <w:p w14:paraId="60C28252"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Teórico</w:t>
            </w:r>
          </w:p>
        </w:tc>
      </w:tr>
      <w:tr w:rsidR="00836EE8" w:rsidRPr="00836EE8" w14:paraId="6268E722" w14:textId="77777777" w:rsidTr="00CE7124">
        <w:tc>
          <w:tcPr>
            <w:tcW w:w="1667" w:type="dxa"/>
          </w:tcPr>
          <w:p w14:paraId="3F221B8C"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Periodo</w:t>
            </w:r>
          </w:p>
        </w:tc>
        <w:tc>
          <w:tcPr>
            <w:tcW w:w="7161" w:type="dxa"/>
          </w:tcPr>
          <w:p w14:paraId="1A87AF9D"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Cuatrimestral (15 semanas lectivas)</w:t>
            </w:r>
          </w:p>
        </w:tc>
      </w:tr>
      <w:tr w:rsidR="00836EE8" w:rsidRPr="00836EE8" w14:paraId="11B3BC95" w14:textId="77777777" w:rsidTr="00CE7124">
        <w:tc>
          <w:tcPr>
            <w:tcW w:w="1667" w:type="dxa"/>
          </w:tcPr>
          <w:p w14:paraId="6D780008"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Nivel</w:t>
            </w:r>
          </w:p>
        </w:tc>
        <w:tc>
          <w:tcPr>
            <w:tcW w:w="7161" w:type="dxa"/>
          </w:tcPr>
          <w:p w14:paraId="2FA61656"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II Cuatrimestre</w:t>
            </w:r>
          </w:p>
        </w:tc>
      </w:tr>
      <w:tr w:rsidR="00836EE8" w:rsidRPr="00836EE8" w14:paraId="091D8F12" w14:textId="77777777" w:rsidTr="00CE7124">
        <w:tc>
          <w:tcPr>
            <w:tcW w:w="1667" w:type="dxa"/>
          </w:tcPr>
          <w:p w14:paraId="375663B7"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Horario</w:t>
            </w:r>
          </w:p>
        </w:tc>
        <w:tc>
          <w:tcPr>
            <w:tcW w:w="7161" w:type="dxa"/>
          </w:tcPr>
          <w:p w14:paraId="083C372E"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El curso requiere de 12 horas de trabajo semanal</w:t>
            </w:r>
          </w:p>
        </w:tc>
      </w:tr>
      <w:tr w:rsidR="00836EE8" w:rsidRPr="00836EE8" w14:paraId="79E96062" w14:textId="77777777" w:rsidTr="00CE7124">
        <w:tc>
          <w:tcPr>
            <w:tcW w:w="1667" w:type="dxa"/>
          </w:tcPr>
          <w:p w14:paraId="4E065139"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Aula</w:t>
            </w:r>
          </w:p>
        </w:tc>
        <w:tc>
          <w:tcPr>
            <w:tcW w:w="7161" w:type="dxa"/>
          </w:tcPr>
          <w:p w14:paraId="6366CD93"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color w:val="000000"/>
                <w:lang w:eastAsia="es-CR"/>
              </w:rPr>
              <w:t>Plataforma virtual de la UBL</w:t>
            </w:r>
          </w:p>
        </w:tc>
      </w:tr>
      <w:tr w:rsidR="00836EE8" w:rsidRPr="00836EE8" w14:paraId="5DC81F70" w14:textId="77777777" w:rsidTr="00CE7124">
        <w:tc>
          <w:tcPr>
            <w:tcW w:w="1667" w:type="dxa"/>
          </w:tcPr>
          <w:p w14:paraId="09238398" w14:textId="77777777" w:rsidR="00836EE8" w:rsidRPr="00836EE8" w:rsidRDefault="00836EE8" w:rsidP="00836EE8">
            <w:pPr>
              <w:widowControl w:val="0"/>
              <w:overflowPunct w:val="0"/>
              <w:autoSpaceDE w:val="0"/>
              <w:autoSpaceDN w:val="0"/>
              <w:adjustRightInd w:val="0"/>
              <w:rPr>
                <w:rFonts w:ascii="Calibri" w:eastAsia="Times New Roman" w:hAnsi="Calibri" w:cs="Calibri"/>
                <w:b/>
                <w:color w:val="000000"/>
                <w:lang w:eastAsia="es-CR"/>
              </w:rPr>
            </w:pPr>
            <w:r w:rsidRPr="00836EE8">
              <w:rPr>
                <w:rFonts w:ascii="Calibri" w:eastAsia="Times New Roman" w:hAnsi="Calibri" w:cs="Calibri"/>
                <w:b/>
                <w:color w:val="000000"/>
                <w:lang w:eastAsia="es-CR"/>
              </w:rPr>
              <w:t>Docente</w:t>
            </w:r>
          </w:p>
        </w:tc>
        <w:tc>
          <w:tcPr>
            <w:tcW w:w="7161" w:type="dxa"/>
          </w:tcPr>
          <w:p w14:paraId="327C1897"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p>
        </w:tc>
      </w:tr>
      <w:tr w:rsidR="00836EE8" w:rsidRPr="00836EE8" w14:paraId="74F31A2F" w14:textId="77777777" w:rsidTr="00CE7124">
        <w:tc>
          <w:tcPr>
            <w:tcW w:w="1667" w:type="dxa"/>
          </w:tcPr>
          <w:p w14:paraId="616AE992" w14:textId="77777777" w:rsidR="00836EE8" w:rsidRPr="00836EE8" w:rsidRDefault="00836EE8" w:rsidP="00836EE8">
            <w:pPr>
              <w:widowControl w:val="0"/>
              <w:overflowPunct w:val="0"/>
              <w:autoSpaceDE w:val="0"/>
              <w:autoSpaceDN w:val="0"/>
              <w:adjustRightInd w:val="0"/>
              <w:rPr>
                <w:rFonts w:ascii="Calibri" w:eastAsia="Times New Roman" w:hAnsi="Calibri" w:cs="Calibri"/>
                <w:color w:val="000000"/>
                <w:lang w:eastAsia="es-CR"/>
              </w:rPr>
            </w:pPr>
            <w:r w:rsidRPr="00836EE8">
              <w:rPr>
                <w:rFonts w:ascii="Calibri" w:eastAsia="Times New Roman" w:hAnsi="Calibri" w:cs="Calibri"/>
                <w:b/>
                <w:color w:val="000000"/>
                <w:lang w:eastAsia="es-CR"/>
              </w:rPr>
              <w:t>Instrucciones administrativas</w:t>
            </w:r>
          </w:p>
        </w:tc>
        <w:tc>
          <w:tcPr>
            <w:tcW w:w="7161" w:type="dxa"/>
          </w:tcPr>
          <w:p w14:paraId="5D8F76BB" w14:textId="77777777" w:rsidR="00836EE8" w:rsidRPr="00836EE8" w:rsidRDefault="00836EE8" w:rsidP="00836EE8">
            <w:pPr>
              <w:widowControl w:val="0"/>
              <w:overflowPunct w:val="0"/>
              <w:autoSpaceDE w:val="0"/>
              <w:autoSpaceDN w:val="0"/>
              <w:adjustRightInd w:val="0"/>
              <w:jc w:val="both"/>
              <w:rPr>
                <w:rFonts w:ascii="Calibri" w:eastAsia="Times New Roman" w:hAnsi="Calibri" w:cs="Calibri"/>
                <w:lang w:eastAsia="es-CR"/>
              </w:rPr>
            </w:pPr>
            <w:r w:rsidRPr="00836EE8">
              <w:rPr>
                <w:rFonts w:ascii="Calibri" w:eastAsia="Times New Roman" w:hAnsi="Calibri" w:cs="Calibri"/>
                <w:color w:val="000000"/>
                <w:lang w:eastAsia="es-CR"/>
              </w:rPr>
              <w:t xml:space="preserve">El curso es virtual, por lo que se requiere de acceso a una computadora con conexión a Internet, además de destrezas básicas para el manejo de correo electrónico y la plataforma Moodle desde el rol de estudiante. </w:t>
            </w:r>
            <w:r w:rsidRPr="00836EE8">
              <w:rPr>
                <w:rFonts w:ascii="Calibri" w:eastAsia="Times New Roman" w:hAnsi="Calibri" w:cs="Calibri"/>
                <w:lang w:eastAsia="es-CR"/>
              </w:rPr>
              <w:t>La dirección de acceso a la plataforma es la siguiente:</w:t>
            </w:r>
          </w:p>
          <w:p w14:paraId="63CAC4F7" w14:textId="77777777" w:rsidR="00836EE8" w:rsidRPr="00836EE8" w:rsidRDefault="00DD16F2" w:rsidP="00836EE8">
            <w:pPr>
              <w:widowControl w:val="0"/>
              <w:overflowPunct w:val="0"/>
              <w:autoSpaceDE w:val="0"/>
              <w:autoSpaceDN w:val="0"/>
              <w:adjustRightInd w:val="0"/>
              <w:jc w:val="both"/>
              <w:rPr>
                <w:rFonts w:ascii="Calibri" w:eastAsia="Times New Roman" w:hAnsi="Calibri" w:cs="Calibri"/>
                <w:color w:val="000000"/>
                <w:lang w:eastAsia="es-CR"/>
              </w:rPr>
            </w:pPr>
            <w:hyperlink r:id="rId132" w:history="1">
              <w:r w:rsidR="00836EE8" w:rsidRPr="00836EE8">
                <w:rPr>
                  <w:rFonts w:ascii="Calibri" w:eastAsia="Times New Roman" w:hAnsi="Calibri" w:cs="Calibri"/>
                  <w:color w:val="0000FF"/>
                  <w:u w:val="single"/>
                  <w:lang w:eastAsia="es-CR"/>
                </w:rPr>
                <w:t>https://campus.ubl.ac.cr/login/index.php</w:t>
              </w:r>
            </w:hyperlink>
            <w:r w:rsidR="00836EE8" w:rsidRPr="00836EE8">
              <w:rPr>
                <w:rFonts w:ascii="Calibri" w:eastAsia="Times New Roman" w:hAnsi="Calibri" w:cs="Calibri"/>
                <w:color w:val="000000"/>
                <w:lang w:eastAsia="es-CR"/>
              </w:rPr>
              <w:t xml:space="preserve"> </w:t>
            </w:r>
          </w:p>
        </w:tc>
      </w:tr>
    </w:tbl>
    <w:p w14:paraId="2D4070D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1C35B403" w14:textId="77777777" w:rsidR="00836EE8" w:rsidRPr="00836EE8" w:rsidRDefault="00836EE8" w:rsidP="00836EE8">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I. Descripción          </w:t>
      </w:r>
    </w:p>
    <w:p w14:paraId="53478AA4"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Mediante una variedad de métodos de análisis histórico y literario se estudian los cuatro evangelios y las comunidades eclesiales en que fueron escritos.  Se estimula al estudiante a ubicar el personaje Jesús de Nazaret en el mundo judío del primer siglo, y a construir su comprensión de las enseñanzas, las acciones y las actitudes de Jesús frente a la realidad de su entorno, relacionando estos elementos con la situación actual en América Latina.</w:t>
      </w:r>
    </w:p>
    <w:p w14:paraId="7A9E8E3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2FC2CF9D" w14:textId="77777777" w:rsidR="00836EE8" w:rsidRPr="00836EE8" w:rsidRDefault="00836EE8" w:rsidP="00836EE8">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color w:val="000000"/>
          <w:kern w:val="0"/>
          <w:lang w:val="es-ES_tradnl" w:eastAsia="es-CR"/>
          <w14:ligatures w14:val="none"/>
        </w:rPr>
        <w:t>II.</w:t>
      </w:r>
      <w:r w:rsidRPr="00836EE8">
        <w:rPr>
          <w:rFonts w:ascii="Calibri" w:eastAsia="Times New Roman" w:hAnsi="Calibri" w:cs="Calibri"/>
          <w:color w:val="000000"/>
          <w:kern w:val="0"/>
          <w:lang w:val="es-ES_tradnl" w:eastAsia="es-CR"/>
          <w14:ligatures w14:val="none"/>
        </w:rPr>
        <w:t xml:space="preserve"> </w:t>
      </w:r>
      <w:r w:rsidRPr="00836EE8">
        <w:rPr>
          <w:rFonts w:ascii="Calibri" w:eastAsia="Times New Roman" w:hAnsi="Calibri" w:cs="Calibri"/>
          <w:b/>
          <w:bCs/>
          <w:color w:val="000000"/>
          <w:kern w:val="0"/>
          <w:lang w:val="es-ES_tradnl" w:eastAsia="es-CR"/>
          <w14:ligatures w14:val="none"/>
        </w:rPr>
        <w:t>Objetivo general</w:t>
      </w:r>
      <w:r w:rsidRPr="00836EE8">
        <w:rPr>
          <w:rFonts w:ascii="Calibri" w:eastAsia="Times New Roman" w:hAnsi="Calibri" w:cs="Calibri"/>
          <w:b/>
          <w:bCs/>
          <w:color w:val="000000"/>
          <w:kern w:val="0"/>
          <w:lang w:val="es-ES_tradnl" w:eastAsia="es-CR"/>
          <w14:ligatures w14:val="none"/>
        </w:rPr>
        <w:tab/>
      </w:r>
    </w:p>
    <w:p w14:paraId="5FA388C8"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Lograr una comprensión de los cuatro evangelios en relación con su ubicación en las comunidades cristianas primitivas, su elaboración literaria y teológica y la relevancia de su testimonio acerca de Jesús de Nazaret para las comunidades cristianas hoy.</w:t>
      </w:r>
    </w:p>
    <w:p w14:paraId="1FC35D30"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b/>
          <w:color w:val="000000"/>
          <w:kern w:val="0"/>
          <w:lang w:val="es-ES_tradnl" w:eastAsia="es-CR"/>
          <w14:ligatures w14:val="none"/>
        </w:rPr>
        <w:lastRenderedPageBreak/>
        <w:t>III.</w:t>
      </w:r>
      <w:r w:rsidRPr="00836EE8">
        <w:rPr>
          <w:rFonts w:ascii="Calibri" w:eastAsia="Times New Roman" w:hAnsi="Calibri" w:cs="Calibri"/>
          <w:color w:val="000000"/>
          <w:kern w:val="0"/>
          <w:lang w:val="es-ES_tradnl" w:eastAsia="es-CR"/>
          <w14:ligatures w14:val="none"/>
        </w:rPr>
        <w:t xml:space="preserve"> </w:t>
      </w:r>
      <w:r w:rsidRPr="00836EE8">
        <w:rPr>
          <w:rFonts w:ascii="Calibri" w:eastAsia="Times New Roman" w:hAnsi="Calibri" w:cs="Calibri"/>
          <w:b/>
          <w:bCs/>
          <w:iCs/>
          <w:color w:val="000000"/>
          <w:kern w:val="0"/>
          <w:lang w:val="es-ES_tradnl" w:eastAsia="es-CR"/>
          <w14:ligatures w14:val="none"/>
        </w:rPr>
        <w:t>Objetivos específicos</w:t>
      </w:r>
      <w:r w:rsidRPr="00836EE8">
        <w:rPr>
          <w:rFonts w:ascii="Calibri" w:eastAsia="Times New Roman" w:hAnsi="Calibri" w:cs="Calibri"/>
          <w:b/>
          <w:bCs/>
          <w:iCs/>
          <w:color w:val="000000"/>
          <w:kern w:val="0"/>
          <w:lang w:val="es-ES_tradnl" w:eastAsia="es-CR"/>
          <w14:ligatures w14:val="none"/>
        </w:rPr>
        <w:tab/>
      </w:r>
    </w:p>
    <w:p w14:paraId="24DACFEF"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lang w:val="es-ES_tradnl" w:eastAsia="es-CR"/>
          <w14:ligatures w14:val="none"/>
        </w:rPr>
      </w:pPr>
      <w:r w:rsidRPr="00836EE8">
        <w:rPr>
          <w:rFonts w:ascii="Calibri" w:eastAsia="Times New Roman" w:hAnsi="Calibri" w:cs="Calibri"/>
          <w:bCs/>
          <w:iCs/>
          <w:color w:val="000000"/>
          <w:kern w:val="0"/>
          <w:lang w:val="es-ES_tradnl" w:eastAsia="es-CR"/>
          <w14:ligatures w14:val="none"/>
        </w:rPr>
        <w:t xml:space="preserve">1. Investigar la historia de la producción de los cuatro evangelios: las cuatro comunidades que conservaron en forma oral y luego escrita las tradiciones acerca de Jesús y su movimiento. </w:t>
      </w:r>
    </w:p>
    <w:p w14:paraId="7967C0F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lang w:val="es-ES_tradnl" w:eastAsia="es-CR"/>
          <w14:ligatures w14:val="none"/>
        </w:rPr>
      </w:pPr>
      <w:r w:rsidRPr="00836EE8">
        <w:rPr>
          <w:rFonts w:ascii="Calibri" w:eastAsia="Times New Roman" w:hAnsi="Calibri" w:cs="Calibri"/>
          <w:bCs/>
          <w:iCs/>
          <w:color w:val="000000"/>
          <w:kern w:val="0"/>
          <w:lang w:val="es-ES_tradnl" w:eastAsia="es-CR"/>
          <w14:ligatures w14:val="none"/>
        </w:rPr>
        <w:t xml:space="preserve">2. Practicar diferentes aproximaciones al estudio de los evangelios: histórico-literarias, psicológicas y sociológicas. </w:t>
      </w:r>
    </w:p>
    <w:p w14:paraId="1C62A5F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3. Examinar varias hipótesis sobre Jesús: ¿profeta escatológico? ¿campesino itinerante? ¿fundador de una iglesia? ¿rabino sin pretensiones? ¿moralista? ¿mártir de una causa imposible? con el fin de lograr una interpretación consecuente acerca de su vida y su muerte. </w:t>
      </w:r>
    </w:p>
    <w:p w14:paraId="0F85AD4E"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iCs/>
          <w:color w:val="000000"/>
          <w:kern w:val="0"/>
          <w:lang w:val="es-ES_tradnl" w:eastAsia="es-CR"/>
          <w14:ligatures w14:val="none"/>
        </w:rPr>
      </w:pPr>
      <w:r w:rsidRPr="00836EE8">
        <w:rPr>
          <w:rFonts w:ascii="Calibri" w:eastAsia="Times New Roman" w:hAnsi="Calibri" w:cs="Calibri"/>
          <w:bCs/>
          <w:iCs/>
          <w:color w:val="000000"/>
          <w:kern w:val="0"/>
          <w:lang w:val="es-ES_tradnl" w:eastAsia="es-CR"/>
          <w14:ligatures w14:val="none"/>
        </w:rPr>
        <w:t xml:space="preserve">4. Analizar el contenido teológico de los evangelios con miras a concentrar mejor nuestra apropiación actual en América Latina del ministerio y la intención de Jesús. </w:t>
      </w:r>
    </w:p>
    <w:p w14:paraId="16564222"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633E00E" w14:textId="77777777" w:rsidR="00836EE8" w:rsidRPr="00836EE8" w:rsidRDefault="00836EE8" w:rsidP="00836EE8">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IV. Contenidos</w:t>
      </w:r>
    </w:p>
    <w:p w14:paraId="0F273A6D"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EF92A0E"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Unidad 1: </w:t>
      </w:r>
      <w:r w:rsidRPr="00836EE8">
        <w:rPr>
          <w:rFonts w:ascii="Calibri" w:eastAsia="Times New Roman" w:hAnsi="Calibri" w:cs="Calibri"/>
          <w:b/>
          <w:color w:val="000000"/>
          <w:kern w:val="0"/>
          <w:lang w:val="es-ES_tradnl" w:eastAsia="es-CR"/>
          <w14:ligatures w14:val="none"/>
        </w:rPr>
        <w:t>La investigación científica sobre los cuatro evangelios</w:t>
      </w:r>
    </w:p>
    <w:p w14:paraId="67CF5FB5"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19979014"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1.1 Estudio de la historia de las formas e historia de la redacción de los cuatro evangelios</w:t>
      </w:r>
    </w:p>
    <w:p w14:paraId="667F0344"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31AD23CB"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1.2 Estudio de los varios tipos de análisis literario</w:t>
      </w:r>
    </w:p>
    <w:p w14:paraId="5A42DF49"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527CEABB"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Unidad 2: </w:t>
      </w:r>
      <w:r w:rsidRPr="00836EE8">
        <w:rPr>
          <w:rFonts w:ascii="Calibri" w:eastAsia="Times New Roman" w:hAnsi="Calibri" w:cs="Calibri"/>
          <w:b/>
          <w:color w:val="000000"/>
          <w:kern w:val="0"/>
          <w:lang w:val="es-ES_tradnl" w:eastAsia="es-CR"/>
          <w14:ligatures w14:val="none"/>
        </w:rPr>
        <w:t>Etapas en el itinerario de Jesús</w:t>
      </w:r>
    </w:p>
    <w:p w14:paraId="1D45E167"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1CE4DB40"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2.1 Estudio de los relatos relativos al nacimiento de Jesús, movimiento de Juan el Bautista, incorporación de los primeros discípulos, itinerario en el ministerio de Jesús y sus obras de poder</w:t>
      </w:r>
    </w:p>
    <w:p w14:paraId="12BBEDE2"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4EA1C374"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 xml:space="preserve">2.2 Estudio de las parábolas y otras formas de enseñanza, su muerte y la temática de su regreso como clímax de la historia (triunfo final). Se estudia la óptica de cada evangelista a partir de un trabajo de investigación propia basado en el uso de la sinopsis de los evangelios </w:t>
      </w:r>
    </w:p>
    <w:p w14:paraId="2ED41681"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197012C8"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836EE8">
        <w:rPr>
          <w:rFonts w:ascii="Calibri" w:eastAsia="Times New Roman" w:hAnsi="Calibri" w:cs="Calibri"/>
          <w:b/>
          <w:color w:val="000000"/>
          <w:kern w:val="0"/>
          <w:lang w:val="es-ES_tradnl" w:eastAsia="es-CR"/>
          <w14:ligatures w14:val="none"/>
        </w:rPr>
        <w:t>Unidad 3: Los evangelios y su entorno sociocultural</w:t>
      </w:r>
    </w:p>
    <w:p w14:paraId="7B8D33CE"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73096C08"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3.1 El Nuevo Testamento y su mundo</w:t>
      </w:r>
    </w:p>
    <w:p w14:paraId="4B825508"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620503EC"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3.2 Los evangelios y su entorno socio-literarios</w:t>
      </w:r>
    </w:p>
    <w:p w14:paraId="757463C6"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0D24AA7A"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836EE8">
        <w:rPr>
          <w:rFonts w:ascii="Calibri" w:eastAsia="Times New Roman" w:hAnsi="Calibri" w:cs="Calibri"/>
          <w:b/>
          <w:color w:val="000000"/>
          <w:kern w:val="0"/>
          <w:lang w:val="es-ES_tradnl" w:eastAsia="es-CR"/>
          <w14:ligatures w14:val="none"/>
        </w:rPr>
        <w:t>Unidad 4: Evangelios y literatura</w:t>
      </w:r>
    </w:p>
    <w:p w14:paraId="52ACD46C"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4B5E25B9"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4.1 De evento Jesús a los evangelios</w:t>
      </w:r>
    </w:p>
    <w:p w14:paraId="75DA1906"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4AFEEDD2"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4.2 Los evangelios como literatura…frente a “la” literatura</w:t>
      </w:r>
    </w:p>
    <w:p w14:paraId="30F667D5"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77FA2859"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4.3 Entrega y exposición del ensayo final</w:t>
      </w:r>
    </w:p>
    <w:p w14:paraId="52EAD398"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15C4526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V. Metodología</w:t>
      </w:r>
    </w:p>
    <w:p w14:paraId="2799E74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w:t>
      </w:r>
      <w:r w:rsidRPr="00836EE8">
        <w:rPr>
          <w:rFonts w:ascii="Calibri" w:eastAsia="Times New Roman" w:hAnsi="Calibri" w:cs="Arial"/>
          <w:color w:val="000000"/>
          <w:kern w:val="0"/>
          <w:lang w:val="es-ES" w:eastAsia="es-CR"/>
          <w14:ligatures w14:val="none"/>
        </w:rPr>
        <w:lastRenderedPageBreak/>
        <w:t>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564A4890"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La naturaleza del curso es de carácter teórico debido a que es introductorio al conocimiento del Nuevo Testamento. El aprendizaje estará enfocado en la aprehensión de conceptos, teorías, métodos y contenidos básicos que se requieren para la comprensión de los cuatro evangelios con los que inicia el Nuevo Testamento de la Biblia cristiana. La metodología permitirá el análisis crítico en el estudiantado, a partir de la lectura de textos de diversas disciplinas del campo de las ciencias bíblicas y de las ciencias sociales y humanas. Se desarrollarán destrezas en el análisis de textos bíblicos mediante ejercicios de reflexión, para lo cual contarán con las herramientas necesarias para su manejo y familiarización, tanto a nivel individual como en el aula virtual, contando con la orientación docente respecto a los contenidos.</w:t>
      </w:r>
    </w:p>
    <w:p w14:paraId="7ACE97DF"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836EE8">
        <w:rPr>
          <w:rFonts w:ascii="Calibri" w:eastAsia="Times New Roman" w:hAnsi="Calibri" w:cs="Calibri"/>
          <w:color w:val="000000"/>
          <w:kern w:val="0"/>
          <w:lang w:val="es-ES_tradnl" w:eastAsia="es-CR"/>
          <w14:ligatures w14:val="none"/>
        </w:rPr>
        <w:t xml:space="preserve">La dinámica metodológica contempla la participación activa de los y las estudiantes en el aula virtual, así como discusiones grupales virtuales desde los contenidos estudiados, además del conocimiento previo de los y las estudiantes. La persona docente ofrecerá insumos de profundización y de aclaración, así como las herramientas necesarias para optimizar los procesos de reflexión y de apropiación de los y las estudiantes sobre el análisis y comprensión de los evangelios en general y de temas particulares dentro de ellos. </w:t>
      </w:r>
      <w:r w:rsidRPr="00836EE8">
        <w:rPr>
          <w:rFonts w:ascii="Calibri" w:eastAsia="Times New Roman" w:hAnsi="Calibri" w:cs="Calibri"/>
          <w:bCs/>
          <w:kern w:val="0"/>
          <w:lang w:eastAsia="es-CR"/>
          <w14:ligatures w14:val="none"/>
        </w:rPr>
        <w:t xml:space="preserve">Durante el curso se realizarán encuentros sincrónicos virtuales en la plataforma virtual. </w:t>
      </w:r>
      <w:r w:rsidRPr="00836EE8">
        <w:rPr>
          <w:rFonts w:ascii="Calibri" w:eastAsia="Times New Roman" w:hAnsi="Calibri" w:cs="Calibri"/>
          <w:bCs/>
          <w:kern w:val="0"/>
          <w:lang w:val="es-ES_tradnl" w:eastAsia="es-CR"/>
          <w14:ligatures w14:val="none"/>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62A544DD"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B050"/>
          <w:kern w:val="0"/>
          <w:lang w:val="es-ES_tradnl" w:eastAsia="es-CR"/>
          <w14:ligatures w14:val="none"/>
        </w:rPr>
      </w:pPr>
    </w:p>
    <w:p w14:paraId="794FC00D"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VI. Estrategias de aprendizaje </w:t>
      </w:r>
    </w:p>
    <w:p w14:paraId="0387B6E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El aprendizaje que se busca en este curso consiste en obtener una comprensión de los cuatro evangelios en relación con su ubicación en las comunidades cristianas primitivas, su elaboración literaria y teológica y la relevancia de su testimonio acerca de Jesús de Nazaret para las comunidades cristianas hoy.</w:t>
      </w:r>
    </w:p>
    <w:p w14:paraId="088058EB"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Se utilizan las siguientes estrategias de aprendizaje:</w:t>
      </w:r>
    </w:p>
    <w:p w14:paraId="3EDFEE29"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a) Foro: </w:t>
      </w:r>
      <w:r w:rsidRPr="00836EE8">
        <w:rPr>
          <w:rFonts w:ascii="Calibri" w:eastAsia="Calibri" w:hAnsi="Calibri" w:cs="Calibri"/>
          <w:bCs/>
          <w:kern w:val="0"/>
          <w14:ligatures w14:val="none"/>
        </w:rPr>
        <w:t>Con la finalidad de proveer experiencias de aprendizaje interactivas y colaborativas los foros buscan la participación de los y las estudiantes con base en las lecturas asignadas para el debate y la discusión de temas claves del curso. Se utilizarán herramientas de estudio bíblico tales como la sinopsis y la concordancia para desarrollar trabajos grupales virtuales con base en las lecturas, los aportes personales y las réplicas a otros aportes (compañeros/as). Estas actividades buscan cubrir temas tales como: el aporte del estudio científico de los evangelios, los milagros sanadores de Jesús,</w:t>
      </w:r>
      <w:r w:rsidRPr="00836EE8">
        <w:rPr>
          <w:rFonts w:ascii="Calibri" w:eastAsia="Times New Roman" w:hAnsi="Calibri" w:cs="Calibri"/>
          <w:kern w:val="0"/>
          <w:lang w:val="es-ES_tradnl" w:eastAsia="es-CR"/>
          <w14:ligatures w14:val="none"/>
        </w:rPr>
        <w:t xml:space="preserve"> elementos económicos y culturales que se determinan en </w:t>
      </w:r>
      <w:proofErr w:type="spellStart"/>
      <w:r w:rsidRPr="00836EE8">
        <w:rPr>
          <w:rFonts w:ascii="Calibri" w:eastAsia="Times New Roman" w:hAnsi="Calibri" w:cs="Calibri"/>
          <w:kern w:val="0"/>
          <w:lang w:val="es-ES_tradnl" w:eastAsia="es-CR"/>
          <w14:ligatures w14:val="none"/>
        </w:rPr>
        <w:t>Lc</w:t>
      </w:r>
      <w:proofErr w:type="spellEnd"/>
      <w:r w:rsidRPr="00836EE8">
        <w:rPr>
          <w:rFonts w:ascii="Calibri" w:eastAsia="Times New Roman" w:hAnsi="Calibri" w:cs="Calibri"/>
          <w:kern w:val="0"/>
          <w:lang w:val="es-ES_tradnl" w:eastAsia="es-CR"/>
          <w14:ligatures w14:val="none"/>
        </w:rPr>
        <w:t xml:space="preserve"> 16, 1-9 y el </w:t>
      </w:r>
      <w:r w:rsidRPr="00836EE8">
        <w:rPr>
          <w:rFonts w:ascii="Calibri" w:eastAsia="Calibri" w:hAnsi="Calibri" w:cs="Calibri"/>
          <w:bCs/>
          <w:kern w:val="0"/>
          <w14:ligatures w14:val="none"/>
        </w:rPr>
        <w:t xml:space="preserve">análisis de </w:t>
      </w:r>
      <w:r w:rsidRPr="00836EE8">
        <w:rPr>
          <w:rFonts w:ascii="Calibri" w:eastAsia="Times New Roman" w:hAnsi="Calibri" w:cs="Calibri"/>
          <w:kern w:val="0"/>
          <w:lang w:val="es-ES_tradnl" w:eastAsia="es-CR"/>
          <w14:ligatures w14:val="none"/>
        </w:rPr>
        <w:t>Mc 7, 24-30 desde una visión de género.</w:t>
      </w:r>
    </w:p>
    <w:p w14:paraId="2FC07CFA"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836EE8">
        <w:rPr>
          <w:rFonts w:ascii="Calibri" w:eastAsia="Times New Roman" w:hAnsi="Calibri" w:cs="Arial"/>
          <w:b/>
          <w:bCs/>
          <w:kern w:val="0"/>
          <w:lang w:val="es-ES_tradnl" w:eastAsia="es-CR"/>
          <w14:ligatures w14:val="none"/>
        </w:rPr>
        <w:t xml:space="preserve">b) Encuentro sincrónico virtual: </w:t>
      </w:r>
      <w:r w:rsidRPr="00836EE8">
        <w:rPr>
          <w:rFonts w:ascii="Calibri" w:eastAsia="Times New Roman" w:hAnsi="Calibri" w:cs="Arial"/>
          <w:kern w:val="0"/>
          <w:lang w:val="es-ES_tradnl" w:eastAsia="es-CR"/>
          <w14:ligatures w14:val="none"/>
        </w:rPr>
        <w:t>Los encuentros sincrónicos virtuales se programaron en este curso en varias de las sesiones</w:t>
      </w:r>
      <w:r w:rsidRPr="00836EE8">
        <w:rPr>
          <w:rFonts w:ascii="Calibri" w:eastAsia="Times New Roman" w:hAnsi="Calibri" w:cs="Arial"/>
          <w:kern w:val="0"/>
          <w:lang w:eastAsia="es-CR"/>
          <w14:ligatures w14:val="none"/>
        </w:rPr>
        <w:t xml:space="preserve">. Su carácter es formativo y de encuentro con la persona docente, no </w:t>
      </w:r>
      <w:r w:rsidRPr="00836EE8">
        <w:rPr>
          <w:rFonts w:ascii="Calibri" w:eastAsia="Times New Roman" w:hAnsi="Calibri" w:cs="Arial"/>
          <w:kern w:val="0"/>
          <w:lang w:eastAsia="es-CR"/>
          <w14:ligatures w14:val="none"/>
        </w:rPr>
        <w:lastRenderedPageBreak/>
        <w:t>sumativo. Se grabarán para las personas estudiantes que no puedan participar y lo soliciten. La persona docente ofrecerá en ellos insumos, trabajos grupales, debate y discusión sobre temas tales como: la investigación científica en los cuatro evangelios, las etapas del itinerario de Jesús, los evangelios y su entorno sociocultural y los evangelios, el canon y la marginación hacia las mujeres.</w:t>
      </w:r>
    </w:p>
    <w:p w14:paraId="068753BF"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eastAsia="es-CR"/>
          <w14:ligatures w14:val="none"/>
        </w:rPr>
      </w:pPr>
      <w:r w:rsidRPr="00836EE8">
        <w:rPr>
          <w:rFonts w:ascii="Calibri" w:eastAsia="Times New Roman" w:hAnsi="Calibri" w:cs="Calibri"/>
          <w:b/>
          <w:color w:val="000000"/>
          <w:kern w:val="0"/>
          <w:lang w:val="es-ES_tradnl" w:eastAsia="es-CR"/>
          <w14:ligatures w14:val="none"/>
        </w:rPr>
        <w:t xml:space="preserve">c) Diario reflexivo: </w:t>
      </w:r>
      <w:r w:rsidRPr="00836EE8">
        <w:rPr>
          <w:rFonts w:ascii="Calibri" w:eastAsia="Times New Roman" w:hAnsi="Calibri" w:cs="Calibri"/>
          <w:bCs/>
          <w:kern w:val="0"/>
          <w:lang w:val="es-ES_tradnl" w:eastAsia="es-CR"/>
          <w14:ligatures w14:val="none"/>
        </w:rPr>
        <w:t>El diario reflexivo tiene entre sus bondades la organización autónoma y la internalización del conocimiento significativo, de una forma creativa, innovadora, gráfica, ilustrativa y crítica a la vez. La actividad se desarrolla en este curso con el fin de integrar los aportes de los contenidos de la primera mitad del curso. Con esta estrategia de aprendizaje se abordan temas que van desde la comprensión de la investigación científica de los cuatro evangelios, pasando por las etapas del itinerario de Jesús, el estudio de algunas formas literarias como las parábolas y el mundo en el que surge el Nuevo Testamento, entre otros.</w:t>
      </w:r>
    </w:p>
    <w:p w14:paraId="10A4807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836EE8">
        <w:rPr>
          <w:rFonts w:ascii="Calibri" w:eastAsia="Times New Roman" w:hAnsi="Calibri" w:cs="Calibri"/>
          <w:b/>
          <w:bCs/>
          <w:color w:val="000000"/>
          <w:kern w:val="0"/>
          <w:lang w:eastAsia="es-CR"/>
          <w14:ligatures w14:val="none"/>
        </w:rPr>
        <w:t xml:space="preserve">d) Reseña crítica de lectura: </w:t>
      </w:r>
      <w:r w:rsidRPr="00836EE8">
        <w:rPr>
          <w:rFonts w:ascii="Calibri" w:eastAsia="Times New Roman" w:hAnsi="Calibri" w:cs="Arial"/>
          <w:color w:val="000000"/>
          <w:kern w:val="0"/>
          <w:lang w:val="es-ES_tradnl" w:eastAsia="es-CR"/>
          <w14:ligatures w14:val="none"/>
        </w:rPr>
        <w:t xml:space="preserve">La reseña crítica es un texto argumentativo y expositivo que nace del análisis de las ideas contenidas en la lectura a reseñar. </w:t>
      </w:r>
      <w:r w:rsidRPr="00836EE8">
        <w:rPr>
          <w:rFonts w:ascii="Calibri" w:eastAsia="Times New Roman" w:hAnsi="Calibri" w:cs="Arial"/>
          <w:kern w:val="0"/>
          <w:lang w:val="es-ES_tradnl" w:eastAsia="es-CR"/>
          <w14:ligatures w14:val="none"/>
        </w:rPr>
        <w:t>Esta estrategia pedagógica se desarrolla por parte de las personas estudiantes en varias de las sesiones del curso.</w:t>
      </w:r>
    </w:p>
    <w:p w14:paraId="11E0D994"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836EE8">
        <w:rPr>
          <w:rFonts w:ascii="Calibri" w:eastAsia="Times New Roman" w:hAnsi="Calibri" w:cs="Calibri"/>
          <w:b/>
          <w:color w:val="000000"/>
          <w:kern w:val="0"/>
          <w:lang w:val="es-ES_tradnl" w:eastAsia="es-CR"/>
          <w14:ligatures w14:val="none"/>
        </w:rPr>
        <w:t xml:space="preserve">e) Wiki: </w:t>
      </w:r>
      <w:r w:rsidRPr="00836EE8">
        <w:rPr>
          <w:rFonts w:ascii="Calibri" w:eastAsia="Times New Roman" w:hAnsi="Calibri" w:cs="Calibri"/>
          <w:bCs/>
          <w:kern w:val="0"/>
          <w:lang w:val="es-ES_tradnl" w:eastAsia="es-CR"/>
          <w14:ligatures w14:val="none"/>
        </w:rPr>
        <w:t xml:space="preserve">La herramienta colaborativa denominada wiki permite el desarrollo conjunto de una síntesis sobre un tema o temas. Se trata de una colección de documentos web escritos en forma colaborativa. La página en un wiki es similar a una página web donde todas las personas del curso pueden crear directamente desde la herramienta en la plataforma Moodle. En este curso, esta herramienta se utilizará para trabajar en grupo el tema sobre el uso de la sinopsis en el estudio de los evangelios, según orientaciones de la persona docente. </w:t>
      </w:r>
    </w:p>
    <w:p w14:paraId="7A07CAC5"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836EE8">
        <w:rPr>
          <w:rFonts w:ascii="Calibri" w:eastAsia="Times New Roman" w:hAnsi="Calibri" w:cs="Calibri"/>
          <w:b/>
          <w:bCs/>
          <w:color w:val="000000"/>
          <w:kern w:val="0"/>
          <w:lang w:eastAsia="es-CR"/>
          <w14:ligatures w14:val="none"/>
        </w:rPr>
        <w:t xml:space="preserve">f) Ensayo monográfico: </w:t>
      </w:r>
      <w:r w:rsidRPr="00836EE8">
        <w:rPr>
          <w:rFonts w:ascii="Calibri" w:eastAsia="Times New Roman" w:hAnsi="Calibri" w:cs="Calibri"/>
          <w:color w:val="000000"/>
          <w:kern w:val="0"/>
          <w:lang w:eastAsia="es-CR"/>
          <w14:ligatures w14:val="none"/>
        </w:rPr>
        <w:t>Un ensayo es un tipo de documento académico en el cual se analiza, evalúa o interpreta un tema determinad</w:t>
      </w:r>
      <w:r w:rsidRPr="00836EE8">
        <w:rPr>
          <w:rFonts w:ascii="Calibri" w:eastAsia="Times New Roman" w:hAnsi="Calibri" w:cs="Calibri"/>
          <w:kern w:val="0"/>
          <w:lang w:eastAsia="es-CR"/>
          <w14:ligatures w14:val="none"/>
        </w:rPr>
        <w:t xml:space="preserve">o, ya sea de manera dirigida o libre. Consta de una introducción, un desarrollo y una conclusión. En este curso se hará uso de la estrategia de aprendizaje denominada ensayo monográfico, con la cual se busca el abordaje crítico de los contenidos de la Unidad IV del curso. Se deben incluir conceptos y aportes de las lecturas de dicha unidad y de la investigación propia en el tratamiento del tema seleccionado. </w:t>
      </w:r>
    </w:p>
    <w:p w14:paraId="17FAD6C3"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0D0DBF99"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637C125E"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VII. Recursos didácticos </w:t>
      </w:r>
    </w:p>
    <w:p w14:paraId="29D98C6C"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19ECD0C5"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D11DE9F"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2196576D"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FA4A606"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0A81FB37"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78F27F3"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c) Material audiovisual en algunas de las sesiones que se asigna para su observación con el fin de ampliar las temáticas.</w:t>
      </w:r>
    </w:p>
    <w:p w14:paraId="09FC6D3F"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3F7C6CE"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 xml:space="preserve">d) En cada una de las sesiones en la plataforma virtual encontrará una ruta de aprendizaje con información tal como: los contenidos que estudiará, el material obligatorio y/o complementario, </w:t>
      </w:r>
      <w:r w:rsidRPr="00836EE8">
        <w:rPr>
          <w:rFonts w:ascii="Calibri" w:eastAsia="Times New Roman" w:hAnsi="Calibri" w:cs="Calibri"/>
          <w:color w:val="000000"/>
          <w:kern w:val="0"/>
          <w:lang w:val="es-ES" w:eastAsia="es-ES"/>
          <w14:ligatures w14:val="none"/>
        </w:rPr>
        <w:lastRenderedPageBreak/>
        <w:t>instrucciones detalladas para la elaboración/participación en la actividad asignada y la evaluación de esta.</w:t>
      </w:r>
    </w:p>
    <w:p w14:paraId="43929A29"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A31021D"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 xml:space="preserve">e) En la plataforma virtual también dispondrá de guías generales que se encuentran en el material complementario de la sesión correspondiente para la participación en un foro, un wiki y mediante la herramienta Big Blue </w:t>
      </w:r>
      <w:proofErr w:type="spellStart"/>
      <w:r w:rsidRPr="00836EE8">
        <w:rPr>
          <w:rFonts w:ascii="Calibri" w:eastAsia="Times New Roman" w:hAnsi="Calibri" w:cs="Calibri"/>
          <w:color w:val="000000"/>
          <w:kern w:val="0"/>
          <w:lang w:val="es-ES" w:eastAsia="es-ES"/>
          <w14:ligatures w14:val="none"/>
        </w:rPr>
        <w:t>Button</w:t>
      </w:r>
      <w:proofErr w:type="spellEnd"/>
      <w:r w:rsidRPr="00836EE8">
        <w:rPr>
          <w:rFonts w:ascii="Calibri" w:eastAsia="Times New Roman" w:hAnsi="Calibri" w:cs="Calibri"/>
          <w:color w:val="000000"/>
          <w:kern w:val="0"/>
          <w:lang w:val="es-ES" w:eastAsia="es-ES"/>
          <w14:ligatures w14:val="none"/>
        </w:rPr>
        <w:t xml:space="preserve"> en la plataforma Moodle; para la elaboración de un diario reflexivo y una reseña crítica de lectura; así como de guías para un wiki grupal, un foro temático grupal y el ensayo monográfico final que se encuentran en la sección de actividades de la sesión correspondiente.</w:t>
      </w:r>
    </w:p>
    <w:p w14:paraId="752B0FF6"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010531F"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836EE8">
        <w:rPr>
          <w:rFonts w:ascii="Calibri" w:eastAsia="Times New Roman" w:hAnsi="Calibri" w:cs="Calibri"/>
          <w:color w:val="000000"/>
          <w:kern w:val="0"/>
          <w:lang w:val="es-ES" w:eastAsia="es-ES"/>
          <w14:ligatures w14:val="none"/>
        </w:rPr>
        <w:t>f) También puede disponer de las bases de datos, revistas en línea, repositorios y buscadores especializados a los cuales puede acceder mediante la Biblioteca Enrique Atracan (</w:t>
      </w:r>
      <w:hyperlink r:id="rId133" w:history="1">
        <w:r w:rsidRPr="00836EE8">
          <w:rPr>
            <w:rFonts w:ascii="Calibri" w:eastAsia="Times New Roman" w:hAnsi="Calibri" w:cs="Calibri"/>
            <w:color w:val="0000FF"/>
            <w:kern w:val="0"/>
            <w:u w:val="single"/>
            <w:lang w:val="es-ES" w:eastAsia="es-ES"/>
            <w14:ligatures w14:val="none"/>
          </w:rPr>
          <w:t>https://www.ubl.ac.cr/biblioteca</w:t>
        </w:r>
      </w:hyperlink>
      <w:r w:rsidRPr="00836EE8">
        <w:rPr>
          <w:rFonts w:ascii="Calibri" w:eastAsia="Times New Roman" w:hAnsi="Calibri" w:cs="Calibri"/>
          <w:color w:val="000000"/>
          <w:kern w:val="0"/>
          <w:lang w:val="es-ES" w:eastAsia="es-ES"/>
          <w14:ligatures w14:val="none"/>
        </w:rPr>
        <w:t>), así como consultar el Portal de Revistas de la UBL (</w:t>
      </w:r>
      <w:hyperlink r:id="rId134" w:history="1">
        <w:r w:rsidRPr="00836EE8">
          <w:rPr>
            <w:rFonts w:ascii="Calibri" w:eastAsia="Times New Roman" w:hAnsi="Calibri" w:cs="Calibri"/>
            <w:color w:val="0000FF"/>
            <w:kern w:val="0"/>
            <w:u w:val="single"/>
            <w:lang w:val="es-ES" w:eastAsia="es-ES"/>
            <w14:ligatures w14:val="none"/>
          </w:rPr>
          <w:t>http://revistas.ubl.ac.cr/</w:t>
        </w:r>
      </w:hyperlink>
      <w:r w:rsidRPr="00836EE8">
        <w:rPr>
          <w:rFonts w:ascii="Calibri" w:eastAsia="Times New Roman" w:hAnsi="Calibri" w:cs="Calibri"/>
          <w:color w:val="000000"/>
          <w:kern w:val="0"/>
          <w:lang w:val="es-ES" w:eastAsia="es-ES"/>
          <w14:ligatures w14:val="none"/>
        </w:rPr>
        <w:t>). A través del correo de la biblioteca (</w:t>
      </w:r>
      <w:hyperlink r:id="rId135" w:history="1">
        <w:r w:rsidRPr="00836EE8">
          <w:rPr>
            <w:rFonts w:ascii="Calibri" w:eastAsia="Times New Roman" w:hAnsi="Calibri" w:cs="Calibri"/>
            <w:color w:val="0000FF"/>
            <w:kern w:val="0"/>
            <w:u w:val="single"/>
            <w:lang w:val="es-ES" w:eastAsia="es-ES"/>
            <w14:ligatures w14:val="none"/>
          </w:rPr>
          <w:t>biblioteca@ubl.ac.cr</w:t>
        </w:r>
      </w:hyperlink>
      <w:r w:rsidRPr="00836EE8">
        <w:rPr>
          <w:rFonts w:ascii="Calibri" w:eastAsia="Times New Roman" w:hAnsi="Calibri" w:cs="Calibri"/>
          <w:color w:val="000000"/>
          <w:kern w:val="0"/>
          <w:lang w:val="es-ES" w:eastAsia="es-ES"/>
          <w14:ligatures w14:val="none"/>
        </w:rPr>
        <w:t>) puede solicitar recursos que se encuentren en la colección física.</w:t>
      </w:r>
      <w:r w:rsidRPr="00836EE8">
        <w:rPr>
          <w:rFonts w:ascii="Calibri" w:eastAsia="Times New Roman" w:hAnsi="Calibri" w:cs="Calibri"/>
          <w:color w:val="000000"/>
          <w:kern w:val="0"/>
          <w:sz w:val="20"/>
          <w:szCs w:val="20"/>
          <w:lang w:val="es-ES" w:eastAsia="es-ES"/>
          <w14:ligatures w14:val="none"/>
        </w:rPr>
        <w:t xml:space="preserve"> </w:t>
      </w:r>
    </w:p>
    <w:p w14:paraId="5D517E63"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1A6A89AA" w14:textId="28793603"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g)</w:t>
      </w:r>
      <w:r w:rsidRPr="00836EE8">
        <w:rPr>
          <w:rFonts w:ascii="Times New Roman" w:eastAsia="Times New Roman" w:hAnsi="Times New Roman" w:cs="Calibri"/>
          <w:bCs/>
          <w:kern w:val="0"/>
          <w:sz w:val="28"/>
          <w:szCs w:val="28"/>
          <w:lang w:val="es-ES_tradnl" w:eastAsia="es-CR"/>
          <w14:ligatures w14:val="none"/>
        </w:rPr>
        <w:t xml:space="preserve"> </w:t>
      </w:r>
      <w:r w:rsidRPr="00836EE8">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836EE8">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136" w:history="1">
        <w:r w:rsidRPr="00836EE8">
          <w:rPr>
            <w:rFonts w:ascii="Calibri" w:eastAsia="Times New Roman" w:hAnsi="Calibri" w:cs="Calibri"/>
            <w:bCs/>
            <w:color w:val="0000FF"/>
            <w:kern w:val="0"/>
            <w:u w:val="single"/>
            <w:lang w:val="es-ES_tradnl" w:eastAsia="es-CR"/>
            <w14:ligatures w14:val="none"/>
          </w:rPr>
          <w:t>https://campus.ubl.ac.cr/course/index.php?categoryid=186</w:t>
        </w:r>
      </w:hyperlink>
    </w:p>
    <w:p w14:paraId="042FEF3E" w14:textId="77777777" w:rsidR="00836EE8" w:rsidRPr="00836EE8" w:rsidRDefault="00836EE8" w:rsidP="00836EE8">
      <w:pPr>
        <w:widowControl w:val="0"/>
        <w:overflowPunct w:val="0"/>
        <w:autoSpaceDE w:val="0"/>
        <w:autoSpaceDN w:val="0"/>
        <w:adjustRightInd w:val="0"/>
        <w:spacing w:after="0" w:line="240" w:lineRule="auto"/>
        <w:jc w:val="both"/>
        <w:rPr>
          <w:rFonts w:ascii="Calibri" w:eastAsia="Times New Roman" w:hAnsi="Calibri" w:cs="Calibri"/>
          <w:color w:val="000000"/>
          <w:kern w:val="0"/>
          <w:sz w:val="12"/>
          <w:szCs w:val="12"/>
          <w:lang w:val="es-ES" w:eastAsia="es-ES"/>
          <w14:ligatures w14:val="none"/>
        </w:rPr>
      </w:pPr>
    </w:p>
    <w:p w14:paraId="3DF9BEA4"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r w:rsidRPr="00836EE8">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31137E5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53E34EA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524D8EE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0470D24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774069E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7D2C8B66"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30ECD43F"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0897490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2ED99113"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6B9F3F3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574945D2" w14:textId="77777777" w:rsid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0AD61C9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31087A8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2D509250"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0709CCA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1DFDB283"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28B5FEC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68FB815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139EB6A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p>
    <w:p w14:paraId="4AD23E1F"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 xml:space="preserve">VIII. Cronograma de trabajo </w:t>
      </w:r>
    </w:p>
    <w:p w14:paraId="7EA60519" w14:textId="77777777" w:rsidR="00836EE8" w:rsidRPr="00836EE8" w:rsidRDefault="00836EE8" w:rsidP="00836EE8">
      <w:pPr>
        <w:widowControl w:val="0"/>
        <w:overflowPunct w:val="0"/>
        <w:autoSpaceDE w:val="0"/>
        <w:autoSpaceDN w:val="0"/>
        <w:adjustRightInd w:val="0"/>
        <w:spacing w:before="120" w:after="0" w:line="240" w:lineRule="auto"/>
        <w:ind w:left="360"/>
        <w:rPr>
          <w:rFonts w:ascii="Calibri" w:eastAsia="Times New Roman" w:hAnsi="Calibri" w:cs="Calibri"/>
          <w:b/>
          <w:color w:val="000000"/>
          <w:kern w:val="0"/>
          <w:lang w:val="es-ES_tradnl" w:eastAsia="es-CR"/>
          <w14:ligatures w14:val="non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2268"/>
        <w:gridCol w:w="3119"/>
        <w:gridCol w:w="3402"/>
      </w:tblGrid>
      <w:tr w:rsidR="00836EE8" w:rsidRPr="00836EE8" w14:paraId="2112668F" w14:textId="77777777" w:rsidTr="4C9C2619">
        <w:trPr>
          <w:trHeight w:val="477"/>
          <w:jc w:val="center"/>
        </w:trPr>
        <w:tc>
          <w:tcPr>
            <w:tcW w:w="1129" w:type="dxa"/>
            <w:vMerge w:val="restart"/>
            <w:vAlign w:val="center"/>
          </w:tcPr>
          <w:p w14:paraId="421E881E" w14:textId="77777777" w:rsidR="00836EE8" w:rsidRPr="00836EE8" w:rsidRDefault="00836EE8" w:rsidP="00836EE8">
            <w:pPr>
              <w:widowControl w:val="0"/>
              <w:overflowPunct w:val="0"/>
              <w:autoSpaceDE w:val="0"/>
              <w:autoSpaceDN w:val="0"/>
              <w:adjustRightInd w:val="0"/>
              <w:spacing w:after="0" w:line="240" w:lineRule="auto"/>
              <w:ind w:left="-426" w:right="-391"/>
              <w:jc w:val="center"/>
              <w:rPr>
                <w:rFonts w:ascii="Calibri" w:eastAsia="Times New Roman" w:hAnsi="Calibri" w:cs="Calibri"/>
                <w:b/>
                <w:color w:val="000000"/>
                <w:kern w:val="0"/>
                <w:sz w:val="24"/>
                <w:szCs w:val="24"/>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Sesión</w:t>
            </w:r>
          </w:p>
          <w:p w14:paraId="2858C071" w14:textId="77777777" w:rsidR="00836EE8" w:rsidRPr="00836EE8" w:rsidRDefault="00836EE8" w:rsidP="00836EE8">
            <w:pPr>
              <w:widowControl w:val="0"/>
              <w:overflowPunct w:val="0"/>
              <w:autoSpaceDE w:val="0"/>
              <w:autoSpaceDN w:val="0"/>
              <w:adjustRightInd w:val="0"/>
              <w:spacing w:after="0" w:line="240" w:lineRule="auto"/>
              <w:ind w:left="-426" w:right="-391"/>
              <w:jc w:val="center"/>
              <w:rPr>
                <w:rFonts w:ascii="Calibri" w:eastAsia="Times New Roman" w:hAnsi="Calibri" w:cs="Calibri"/>
                <w:b/>
                <w:color w:val="000000"/>
                <w:kern w:val="0"/>
                <w:sz w:val="16"/>
                <w:szCs w:val="16"/>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(semana)</w:t>
            </w:r>
          </w:p>
        </w:tc>
        <w:tc>
          <w:tcPr>
            <w:tcW w:w="2268" w:type="dxa"/>
            <w:vMerge w:val="restart"/>
            <w:vAlign w:val="center"/>
          </w:tcPr>
          <w:p w14:paraId="6FDB64D9" w14:textId="77777777" w:rsidR="00836EE8" w:rsidRPr="00836EE8" w:rsidRDefault="00836EE8" w:rsidP="00836EE8">
            <w:pPr>
              <w:widowControl w:val="0"/>
              <w:overflowPunct w:val="0"/>
              <w:autoSpaceDE w:val="0"/>
              <w:autoSpaceDN w:val="0"/>
              <w:adjustRightInd w:val="0"/>
              <w:spacing w:after="0" w:line="240" w:lineRule="auto"/>
              <w:ind w:left="-426" w:right="-392"/>
              <w:jc w:val="center"/>
              <w:rPr>
                <w:rFonts w:ascii="Calibri" w:eastAsia="Times New Roman" w:hAnsi="Calibri" w:cs="Calibri"/>
                <w:b/>
                <w:kern w:val="0"/>
                <w:sz w:val="24"/>
                <w:szCs w:val="24"/>
                <w:lang w:val="es-ES_tradnl" w:eastAsia="es-CR"/>
                <w14:ligatures w14:val="none"/>
              </w:rPr>
            </w:pPr>
            <w:r w:rsidRPr="00836EE8">
              <w:rPr>
                <w:rFonts w:ascii="Calibri" w:eastAsia="Times New Roman" w:hAnsi="Calibri" w:cs="Calibri"/>
                <w:b/>
                <w:kern w:val="0"/>
                <w:sz w:val="24"/>
                <w:szCs w:val="24"/>
                <w:lang w:val="es-ES_tradnl" w:eastAsia="es-CR"/>
                <w14:ligatures w14:val="none"/>
              </w:rPr>
              <w:t>Contenidos temáticos</w:t>
            </w:r>
          </w:p>
        </w:tc>
        <w:tc>
          <w:tcPr>
            <w:tcW w:w="6521" w:type="dxa"/>
            <w:gridSpan w:val="2"/>
            <w:vAlign w:val="center"/>
          </w:tcPr>
          <w:p w14:paraId="4EB8C2B5" w14:textId="77777777" w:rsidR="00836EE8" w:rsidRPr="00836EE8" w:rsidRDefault="00836EE8" w:rsidP="00836EE8">
            <w:pPr>
              <w:widowControl w:val="0"/>
              <w:overflowPunct w:val="0"/>
              <w:autoSpaceDE w:val="0"/>
              <w:autoSpaceDN w:val="0"/>
              <w:adjustRightInd w:val="0"/>
              <w:spacing w:after="0" w:line="240" w:lineRule="auto"/>
              <w:ind w:left="-426" w:right="-249"/>
              <w:jc w:val="center"/>
              <w:rPr>
                <w:rFonts w:ascii="Calibri" w:eastAsia="Times New Roman" w:hAnsi="Calibri" w:cs="Calibri"/>
                <w:b/>
                <w:color w:val="000000"/>
                <w:kern w:val="0"/>
                <w:sz w:val="24"/>
                <w:szCs w:val="24"/>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Actividades de enseñanza-aprendizaje</w:t>
            </w:r>
          </w:p>
        </w:tc>
      </w:tr>
      <w:tr w:rsidR="00836EE8" w:rsidRPr="00836EE8" w14:paraId="7C231F00" w14:textId="77777777" w:rsidTr="4C9C2619">
        <w:trPr>
          <w:trHeight w:val="453"/>
          <w:jc w:val="center"/>
        </w:trPr>
        <w:tc>
          <w:tcPr>
            <w:tcW w:w="1129" w:type="dxa"/>
            <w:vMerge/>
          </w:tcPr>
          <w:p w14:paraId="59F53664" w14:textId="77777777" w:rsidR="00836EE8" w:rsidRPr="00836EE8" w:rsidRDefault="00836EE8" w:rsidP="00836EE8">
            <w:pPr>
              <w:widowControl w:val="0"/>
              <w:overflowPunct w:val="0"/>
              <w:autoSpaceDE w:val="0"/>
              <w:autoSpaceDN w:val="0"/>
              <w:adjustRightInd w:val="0"/>
              <w:spacing w:after="0" w:line="240" w:lineRule="auto"/>
              <w:ind w:left="-426" w:right="-391"/>
              <w:jc w:val="center"/>
              <w:rPr>
                <w:rFonts w:ascii="Calibri" w:eastAsia="Times New Roman" w:hAnsi="Calibri" w:cs="Calibri"/>
                <w:b/>
                <w:color w:val="000000"/>
                <w:kern w:val="0"/>
                <w:lang w:val="es-ES_tradnl" w:eastAsia="es-CR"/>
                <w14:ligatures w14:val="none"/>
              </w:rPr>
            </w:pPr>
          </w:p>
        </w:tc>
        <w:tc>
          <w:tcPr>
            <w:tcW w:w="2268" w:type="dxa"/>
            <w:vMerge/>
            <w:vAlign w:val="center"/>
          </w:tcPr>
          <w:p w14:paraId="2F348E3E" w14:textId="77777777" w:rsidR="00836EE8" w:rsidRPr="00836EE8" w:rsidRDefault="00836EE8" w:rsidP="00836EE8">
            <w:pPr>
              <w:widowControl w:val="0"/>
              <w:overflowPunct w:val="0"/>
              <w:autoSpaceDE w:val="0"/>
              <w:autoSpaceDN w:val="0"/>
              <w:adjustRightInd w:val="0"/>
              <w:spacing w:after="0" w:line="240" w:lineRule="auto"/>
              <w:ind w:left="-426" w:right="-392"/>
              <w:jc w:val="center"/>
              <w:rPr>
                <w:rFonts w:ascii="Calibri" w:eastAsia="Times New Roman" w:hAnsi="Calibri" w:cs="Calibri"/>
                <w:b/>
                <w:kern w:val="0"/>
                <w:lang w:val="es-ES_tradnl" w:eastAsia="es-CR"/>
                <w14:ligatures w14:val="none"/>
              </w:rPr>
            </w:pPr>
          </w:p>
        </w:tc>
        <w:tc>
          <w:tcPr>
            <w:tcW w:w="3119" w:type="dxa"/>
            <w:vAlign w:val="center"/>
          </w:tcPr>
          <w:p w14:paraId="0E41BA4A" w14:textId="77777777" w:rsidR="00836EE8" w:rsidRPr="00836EE8" w:rsidRDefault="00836EE8" w:rsidP="00836EE8">
            <w:pPr>
              <w:widowControl w:val="0"/>
              <w:overflowPunct w:val="0"/>
              <w:autoSpaceDE w:val="0"/>
              <w:autoSpaceDN w:val="0"/>
              <w:adjustRightInd w:val="0"/>
              <w:spacing w:after="0" w:line="240" w:lineRule="auto"/>
              <w:ind w:left="-426" w:right="-392"/>
              <w:jc w:val="center"/>
              <w:rPr>
                <w:rFonts w:ascii="Calibri" w:eastAsia="Times New Roman" w:hAnsi="Calibri" w:cs="Calibri"/>
                <w:b/>
                <w:color w:val="000000"/>
                <w:kern w:val="0"/>
                <w:sz w:val="24"/>
                <w:szCs w:val="24"/>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Recursos didácticos</w:t>
            </w:r>
          </w:p>
        </w:tc>
        <w:tc>
          <w:tcPr>
            <w:tcW w:w="3402" w:type="dxa"/>
            <w:vAlign w:val="center"/>
          </w:tcPr>
          <w:p w14:paraId="0A947397" w14:textId="77777777" w:rsidR="00836EE8" w:rsidRPr="00836EE8" w:rsidRDefault="00836EE8" w:rsidP="00836EE8">
            <w:pPr>
              <w:widowControl w:val="0"/>
              <w:overflowPunct w:val="0"/>
              <w:autoSpaceDE w:val="0"/>
              <w:autoSpaceDN w:val="0"/>
              <w:adjustRightInd w:val="0"/>
              <w:spacing w:after="0" w:line="240" w:lineRule="auto"/>
              <w:ind w:right="-249"/>
              <w:rPr>
                <w:rFonts w:ascii="Calibri" w:eastAsia="Times New Roman" w:hAnsi="Calibri" w:cs="Calibri"/>
                <w:b/>
                <w:color w:val="000000"/>
                <w:kern w:val="0"/>
                <w:sz w:val="24"/>
                <w:szCs w:val="24"/>
                <w:lang w:val="es-ES_tradnl" w:eastAsia="es-CR"/>
                <w14:ligatures w14:val="none"/>
              </w:rPr>
            </w:pPr>
            <w:r w:rsidRPr="00836EE8">
              <w:rPr>
                <w:rFonts w:ascii="Calibri" w:eastAsia="Times New Roman" w:hAnsi="Calibri" w:cs="Calibri"/>
                <w:b/>
                <w:color w:val="000000"/>
                <w:kern w:val="0"/>
                <w:sz w:val="24"/>
                <w:szCs w:val="24"/>
                <w:lang w:val="es-ES_tradnl" w:eastAsia="es-CR"/>
                <w14:ligatures w14:val="none"/>
              </w:rPr>
              <w:t xml:space="preserve">     Actividades de aprendizaje</w:t>
            </w:r>
          </w:p>
        </w:tc>
      </w:tr>
      <w:tr w:rsidR="00836EE8" w:rsidRPr="00836EE8" w14:paraId="1C174550" w14:textId="77777777" w:rsidTr="4C9C2619">
        <w:trPr>
          <w:jc w:val="center"/>
        </w:trPr>
        <w:tc>
          <w:tcPr>
            <w:tcW w:w="1129" w:type="dxa"/>
          </w:tcPr>
          <w:p w14:paraId="6A69373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w:t>
            </w:r>
          </w:p>
          <w:p w14:paraId="61780854"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54E46611"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1: La investigación científica sobre los cuatro evangelios</w:t>
            </w:r>
          </w:p>
          <w:p w14:paraId="592C7510"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1.1 Estudio de la historia de las formas e historia de la redacción de los cuatro evangelios</w:t>
            </w:r>
          </w:p>
          <w:p w14:paraId="1993CD51"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5638627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119" w:type="dxa"/>
          </w:tcPr>
          <w:p w14:paraId="4C270284"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0F98692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Guijarro, Santiago. “Introducción: La selección de los cuatro”. En </w:t>
            </w:r>
            <w:r w:rsidRPr="00836EE8">
              <w:rPr>
                <w:rFonts w:ascii="Calibri" w:eastAsia="Times New Roman" w:hAnsi="Calibri" w:cs="Calibri"/>
                <w:bCs/>
                <w:i/>
                <w:color w:val="000000"/>
                <w:kern w:val="0"/>
                <w:lang w:val="es-ES_tradnl" w:eastAsia="es-CR"/>
                <w14:ligatures w14:val="none"/>
              </w:rPr>
              <w:t xml:space="preserve">Los cuatro evangelios, </w:t>
            </w:r>
            <w:r w:rsidRPr="00836EE8">
              <w:rPr>
                <w:rFonts w:ascii="Calibri" w:eastAsia="Times New Roman" w:hAnsi="Calibri" w:cs="Calibri"/>
                <w:bCs/>
                <w:color w:val="000000"/>
                <w:kern w:val="0"/>
                <w:lang w:val="es-ES_tradnl" w:eastAsia="es-CR"/>
                <w14:ligatures w14:val="none"/>
              </w:rPr>
              <w:t>21-60.</w:t>
            </w:r>
            <w:r w:rsidRPr="00836EE8">
              <w:rPr>
                <w:rFonts w:ascii="Calibri" w:eastAsia="Times New Roman" w:hAnsi="Calibri" w:cs="Calibri"/>
                <w:bCs/>
                <w:i/>
                <w:color w:val="000000"/>
                <w:kern w:val="0"/>
                <w:lang w:val="es-ES_tradnl" w:eastAsia="es-CR"/>
                <w14:ligatures w14:val="none"/>
              </w:rPr>
              <w:t xml:space="preserve"> </w:t>
            </w:r>
            <w:r w:rsidRPr="00836EE8">
              <w:rPr>
                <w:rFonts w:ascii="Calibri" w:eastAsia="Times New Roman" w:hAnsi="Calibri" w:cs="Calibri"/>
                <w:bCs/>
                <w:color w:val="000000"/>
                <w:kern w:val="0"/>
                <w:lang w:val="es-ES_tradnl" w:eastAsia="es-CR"/>
                <w14:ligatures w14:val="none"/>
              </w:rPr>
              <w:t xml:space="preserve">Salamanca: Sígueme, 2021. </w:t>
            </w:r>
          </w:p>
          <w:p w14:paraId="6505F56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30A41ECD" w14:textId="77777777" w:rsidR="00836EE8" w:rsidRPr="00836EE8" w:rsidRDefault="00836EE8"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233E62A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participación en un foro en la plataforma Moodle</w:t>
            </w:r>
          </w:p>
          <w:p w14:paraId="2B5BAC1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FF0000"/>
                <w:kern w:val="0"/>
                <w:lang w:val="es-ES_tradnl" w:eastAsia="es-CR"/>
                <w14:ligatures w14:val="none"/>
              </w:rPr>
            </w:pPr>
          </w:p>
        </w:tc>
        <w:tc>
          <w:tcPr>
            <w:tcW w:w="3402" w:type="dxa"/>
          </w:tcPr>
          <w:p w14:paraId="76E68948"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social CAFETERÍA.</w:t>
            </w:r>
          </w:p>
          <w:p w14:paraId="052D8A91"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de dudas.</w:t>
            </w:r>
          </w:p>
          <w:p w14:paraId="3F29967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Presentación del sílabo en un encuentro sincrónico virtual (formativo).</w:t>
            </w:r>
          </w:p>
          <w:p w14:paraId="397D6EFA"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temático: Los cuatro evangelios, su formación y selección (exposición docente) (formativo).</w:t>
            </w:r>
          </w:p>
        </w:tc>
      </w:tr>
      <w:tr w:rsidR="00836EE8" w:rsidRPr="00836EE8" w14:paraId="273EFC90" w14:textId="77777777" w:rsidTr="4C9C2619">
        <w:trPr>
          <w:trHeight w:val="2708"/>
          <w:jc w:val="center"/>
        </w:trPr>
        <w:tc>
          <w:tcPr>
            <w:tcW w:w="1129" w:type="dxa"/>
          </w:tcPr>
          <w:p w14:paraId="43CAD565"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2</w:t>
            </w:r>
          </w:p>
          <w:p w14:paraId="57695A88"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7FC3013F"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1: La investigación científica sobre los cuatro evangelios</w:t>
            </w:r>
          </w:p>
          <w:p w14:paraId="7713D90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1.1 Estudio de la historia de las formas e historia de la redacción de los cuatro evangelios</w:t>
            </w:r>
          </w:p>
          <w:p w14:paraId="4F79C73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0DDC9BEB"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119" w:type="dxa"/>
          </w:tcPr>
          <w:p w14:paraId="6356416A"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7F185E70"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64EBF435"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Aguirre, Rafael y Antonio Rodríguez. “Origen y naturaleza de los evangelios sinópticos”. En </w:t>
            </w:r>
            <w:r w:rsidRPr="00836EE8">
              <w:rPr>
                <w:rFonts w:ascii="Calibri" w:eastAsia="Times New Roman" w:hAnsi="Calibri" w:cs="Calibri"/>
                <w:bCs/>
                <w:i/>
                <w:color w:val="000000"/>
                <w:kern w:val="0"/>
                <w:lang w:val="es-ES_tradnl" w:eastAsia="es-CR"/>
                <w14:ligatures w14:val="none"/>
              </w:rPr>
              <w:t xml:space="preserve">Evangelios sinópticos y Hechos de los Apóstoles, </w:t>
            </w:r>
            <w:r w:rsidRPr="00836EE8">
              <w:rPr>
                <w:rFonts w:ascii="Calibri" w:eastAsia="Times New Roman" w:hAnsi="Calibri" w:cs="Calibri"/>
                <w:bCs/>
                <w:color w:val="000000"/>
                <w:kern w:val="0"/>
                <w:lang w:val="es-ES_tradnl" w:eastAsia="es-CR"/>
                <w14:ligatures w14:val="none"/>
              </w:rPr>
              <w:t>29-77.</w:t>
            </w:r>
            <w:r w:rsidRPr="00836EE8">
              <w:rPr>
                <w:rFonts w:ascii="Calibri" w:eastAsia="Times New Roman" w:hAnsi="Calibri" w:cs="Calibri"/>
                <w:bCs/>
                <w:i/>
                <w:color w:val="000000"/>
                <w:kern w:val="0"/>
                <w:lang w:val="es-ES_tradnl" w:eastAsia="es-CR"/>
                <w14:ligatures w14:val="none"/>
              </w:rPr>
              <w:t xml:space="preserve"> </w:t>
            </w:r>
            <w:r w:rsidRPr="00836EE8">
              <w:rPr>
                <w:rFonts w:ascii="Calibri" w:eastAsia="Times New Roman" w:hAnsi="Calibri" w:cs="Calibri"/>
                <w:bCs/>
                <w:color w:val="000000"/>
                <w:kern w:val="0"/>
                <w:lang w:val="es-ES_tradnl" w:eastAsia="es-CR"/>
                <w14:ligatures w14:val="none"/>
              </w:rPr>
              <w:t>Estella: Verbo Divino, 2021.</w:t>
            </w:r>
          </w:p>
          <w:p w14:paraId="4B048978"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081A8FDF"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7E0E183A"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p>
          <w:p w14:paraId="7DC46E70"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elaboración de un diario reflexivo</w:t>
            </w:r>
          </w:p>
          <w:p w14:paraId="73CDCB2D"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p>
          <w:p w14:paraId="38F86D5E" w14:textId="77777777" w:rsidR="00836EE8" w:rsidRPr="00836EE8" w:rsidRDefault="00836EE8" w:rsidP="4C9C2619">
            <w:pPr>
              <w:spacing w:after="0" w:line="240" w:lineRule="auto"/>
              <w:contextualSpacing/>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2D8877E8"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676CC111"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lectura del texto asignado.</w:t>
            </w:r>
          </w:p>
          <w:p w14:paraId="5237957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Iniciar la elaboración de un diario reflexivo.</w:t>
            </w:r>
          </w:p>
          <w:p w14:paraId="396D225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y discusión grupal de los temas presentados en un encuentro sincrónico virtual (formativo).</w:t>
            </w:r>
          </w:p>
          <w:p w14:paraId="2ACA201F"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4CA203C3" w14:textId="77777777" w:rsidTr="4C9C2619">
        <w:trPr>
          <w:trHeight w:val="699"/>
          <w:jc w:val="center"/>
        </w:trPr>
        <w:tc>
          <w:tcPr>
            <w:tcW w:w="1129" w:type="dxa"/>
          </w:tcPr>
          <w:p w14:paraId="366BD5BD"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3</w:t>
            </w:r>
          </w:p>
          <w:p w14:paraId="61F37AB1"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54B6B9A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1: La investigación científica sobre los cuatro evangelios</w:t>
            </w:r>
          </w:p>
          <w:p w14:paraId="00FC53D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 xml:space="preserve">1.2 Estudio de los </w:t>
            </w:r>
            <w:r w:rsidRPr="00836EE8">
              <w:rPr>
                <w:rFonts w:ascii="Calibri" w:eastAsia="Times New Roman" w:hAnsi="Calibri" w:cs="Calibri"/>
                <w:kern w:val="0"/>
                <w:lang w:val="es-ES_tradnl" w:eastAsia="es-CR"/>
                <w14:ligatures w14:val="none"/>
              </w:rPr>
              <w:lastRenderedPageBreak/>
              <w:t>varios tipos de análisis literario</w:t>
            </w:r>
          </w:p>
        </w:tc>
        <w:tc>
          <w:tcPr>
            <w:tcW w:w="3119" w:type="dxa"/>
          </w:tcPr>
          <w:p w14:paraId="6B285C34" w14:textId="77777777" w:rsidR="00836EE8" w:rsidRPr="00836EE8" w:rsidRDefault="00836EE8" w:rsidP="00836EE8">
            <w:pPr>
              <w:spacing w:after="0" w:line="240" w:lineRule="auto"/>
              <w:contextualSpacing/>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lastRenderedPageBreak/>
              <w:t>Ruta de aprendizaje</w:t>
            </w:r>
          </w:p>
          <w:p w14:paraId="06662A96" w14:textId="77777777" w:rsidR="00836EE8" w:rsidRPr="00836EE8" w:rsidRDefault="00836EE8" w:rsidP="00836EE8">
            <w:pPr>
              <w:spacing w:after="0" w:line="240" w:lineRule="auto"/>
              <w:contextualSpacing/>
              <w:rPr>
                <w:rFonts w:ascii="Calibri" w:eastAsia="Times New Roman" w:hAnsi="Calibri" w:cs="Arial"/>
                <w:color w:val="000000"/>
                <w:kern w:val="0"/>
                <w:lang w:val="es-ES" w:eastAsia="es-CR"/>
                <w14:ligatures w14:val="none"/>
              </w:rPr>
            </w:pPr>
          </w:p>
          <w:p w14:paraId="187C6688"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proofErr w:type="spellStart"/>
            <w:r w:rsidRPr="00836EE8">
              <w:rPr>
                <w:rFonts w:ascii="Calibri" w:eastAsia="Times New Roman" w:hAnsi="Calibri" w:cs="Arial"/>
                <w:color w:val="000000"/>
                <w:kern w:val="0"/>
                <w:lang w:val="es-ES" w:eastAsia="es-CR"/>
                <w14:ligatures w14:val="none"/>
              </w:rPr>
              <w:t>Marguerat</w:t>
            </w:r>
            <w:proofErr w:type="spellEnd"/>
            <w:r w:rsidRPr="00836EE8">
              <w:rPr>
                <w:rFonts w:ascii="Calibri" w:eastAsia="Times New Roman" w:hAnsi="Calibri" w:cs="Arial"/>
                <w:color w:val="000000"/>
                <w:kern w:val="0"/>
                <w:lang w:val="es-ES" w:eastAsia="es-CR"/>
                <w14:ligatures w14:val="none"/>
              </w:rPr>
              <w:t xml:space="preserve">, Daniel. “El problema sinóptico”. En </w:t>
            </w:r>
            <w:r w:rsidRPr="00836EE8">
              <w:rPr>
                <w:rFonts w:ascii="Calibri" w:eastAsia="Times New Roman" w:hAnsi="Calibri" w:cs="Arial"/>
                <w:i/>
                <w:iCs/>
                <w:color w:val="000000"/>
                <w:kern w:val="0"/>
                <w:lang w:val="es-ES" w:eastAsia="es-CR"/>
                <w14:ligatures w14:val="none"/>
              </w:rPr>
              <w:t xml:space="preserve">Introducción al Nuevo Testamento: su historia, su escritura, su teología, </w:t>
            </w:r>
            <w:r w:rsidRPr="00836EE8">
              <w:rPr>
                <w:rFonts w:ascii="Calibri" w:eastAsia="Times New Roman" w:hAnsi="Calibri" w:cs="Arial"/>
                <w:color w:val="000000"/>
                <w:kern w:val="0"/>
                <w:lang w:val="es-ES" w:eastAsia="es-CR"/>
                <w14:ligatures w14:val="none"/>
              </w:rPr>
              <w:lastRenderedPageBreak/>
              <w:t xml:space="preserve">editado por Daniel </w:t>
            </w:r>
            <w:proofErr w:type="spellStart"/>
            <w:r w:rsidRPr="00836EE8">
              <w:rPr>
                <w:rFonts w:ascii="Calibri" w:eastAsia="Times New Roman" w:hAnsi="Calibri" w:cs="Arial"/>
                <w:color w:val="000000"/>
                <w:kern w:val="0"/>
                <w:lang w:val="es-ES" w:eastAsia="es-CR"/>
                <w14:ligatures w14:val="none"/>
              </w:rPr>
              <w:t>Marguerat</w:t>
            </w:r>
            <w:proofErr w:type="spellEnd"/>
            <w:r w:rsidRPr="00836EE8">
              <w:rPr>
                <w:rFonts w:ascii="Calibri" w:eastAsia="Times New Roman" w:hAnsi="Calibri" w:cs="Arial"/>
                <w:color w:val="000000"/>
                <w:kern w:val="0"/>
                <w:lang w:val="es-ES" w:eastAsia="es-CR"/>
                <w14:ligatures w14:val="none"/>
              </w:rPr>
              <w:t xml:space="preserve">, 11-25. Bilbao: </w:t>
            </w:r>
            <w:proofErr w:type="spellStart"/>
            <w:r w:rsidRPr="00836EE8">
              <w:rPr>
                <w:rFonts w:ascii="Calibri" w:eastAsia="Times New Roman" w:hAnsi="Calibri" w:cs="Arial"/>
                <w:color w:val="000000"/>
                <w:kern w:val="0"/>
                <w:lang w:val="es-ES" w:eastAsia="es-CR"/>
                <w14:ligatures w14:val="none"/>
              </w:rPr>
              <w:t>Desclee</w:t>
            </w:r>
            <w:proofErr w:type="spellEnd"/>
            <w:r w:rsidRPr="00836EE8">
              <w:rPr>
                <w:rFonts w:ascii="Calibri" w:eastAsia="Times New Roman" w:hAnsi="Calibri" w:cs="Arial"/>
                <w:color w:val="000000"/>
                <w:kern w:val="0"/>
                <w:lang w:val="es-ES" w:eastAsia="es-CR"/>
                <w14:ligatures w14:val="none"/>
              </w:rPr>
              <w:t xml:space="preserve"> de Brouwer, 2008. </w:t>
            </w:r>
            <w:r w:rsidRPr="00836EE8">
              <w:rPr>
                <w:rFonts w:ascii="Calibri" w:eastAsia="Times New Roman" w:hAnsi="Calibri" w:cs="Arial"/>
                <w:color w:val="0070C0"/>
                <w:kern w:val="0"/>
                <w:lang w:val="es-ES" w:eastAsia="es-CR"/>
                <w14:ligatures w14:val="none"/>
              </w:rPr>
              <w:t>(clásico, última edición)</w:t>
            </w:r>
          </w:p>
          <w:p w14:paraId="77761F0F"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0992705F"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Aguirre, Rafael y Antonio Rodríguez. “Historia de la interpretación y cuestiones abiertas”. En </w:t>
            </w:r>
            <w:r w:rsidRPr="00836EE8">
              <w:rPr>
                <w:rFonts w:ascii="Calibri" w:eastAsia="Times New Roman" w:hAnsi="Calibri" w:cs="Calibri"/>
                <w:bCs/>
                <w:i/>
                <w:color w:val="000000"/>
                <w:kern w:val="0"/>
                <w:lang w:val="es-ES_tradnl" w:eastAsia="es-CR"/>
                <w14:ligatures w14:val="none"/>
              </w:rPr>
              <w:t xml:space="preserve">Evangelios sinópticos y Hechos de los Apóstoles, </w:t>
            </w:r>
            <w:r w:rsidRPr="00836EE8">
              <w:rPr>
                <w:rFonts w:ascii="Calibri" w:eastAsia="Times New Roman" w:hAnsi="Calibri" w:cs="Calibri"/>
                <w:bCs/>
                <w:color w:val="000000"/>
                <w:kern w:val="0"/>
                <w:lang w:val="es-ES_tradnl" w:eastAsia="es-CR"/>
                <w14:ligatures w14:val="none"/>
              </w:rPr>
              <w:t xml:space="preserve">79-143. Estella: Verbo Divino, 2021. </w:t>
            </w:r>
          </w:p>
          <w:p w14:paraId="51EDB1F8"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26D15F8C"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494B3947"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65E13434"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Guía para la participación en un foro en la plataforma Moodle</w:t>
            </w:r>
          </w:p>
          <w:p w14:paraId="0B9C9FD0"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tc>
        <w:tc>
          <w:tcPr>
            <w:tcW w:w="3402" w:type="dxa"/>
          </w:tcPr>
          <w:p w14:paraId="12AB97C7"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lastRenderedPageBreak/>
              <w:t>Realizar la lectura de los textos asignados.</w:t>
            </w:r>
          </w:p>
          <w:p w14:paraId="5BEA5D05"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aportes al diario reflexivo.</w:t>
            </w:r>
          </w:p>
          <w:p w14:paraId="48FF7DB4"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 xml:space="preserve">Participación en el foro temático grupal: ¿Qué aporta el estudio </w:t>
            </w:r>
            <w:r w:rsidRPr="00836EE8">
              <w:rPr>
                <w:rFonts w:ascii="Calibri" w:eastAsia="Times New Roman" w:hAnsi="Calibri" w:cs="Calibri"/>
                <w:color w:val="000000"/>
                <w:kern w:val="0"/>
                <w:lang w:val="es-ES_tradnl" w:eastAsia="es-CR"/>
                <w14:ligatures w14:val="none"/>
              </w:rPr>
              <w:lastRenderedPageBreak/>
              <w:t>científico de los evangelios?</w:t>
            </w:r>
          </w:p>
          <w:p w14:paraId="0C864A05"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Aporte docente sobre el tema en el foro temático grupal.</w:t>
            </w:r>
          </w:p>
          <w:p w14:paraId="16D25D5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Respuesta docente al trabajo en el foro temático grupal.</w:t>
            </w:r>
          </w:p>
          <w:p w14:paraId="1F528215"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sobre los tipos de análisis literarios en el foro temático grupal.</w:t>
            </w:r>
          </w:p>
          <w:p w14:paraId="3B552610"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08D8F025" w14:textId="77777777" w:rsidTr="4C9C2619">
        <w:trPr>
          <w:jc w:val="center"/>
        </w:trPr>
        <w:tc>
          <w:tcPr>
            <w:tcW w:w="1129" w:type="dxa"/>
          </w:tcPr>
          <w:p w14:paraId="7E772268"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lastRenderedPageBreak/>
              <w:t>4</w:t>
            </w:r>
          </w:p>
          <w:p w14:paraId="3B6FF66E"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514D9D2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2: Etapas en el itinerario de Jesús</w:t>
            </w:r>
          </w:p>
          <w:p w14:paraId="29937834"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kern w:val="0"/>
                <w:lang w:val="es-ES_tradnl" w:eastAsia="es-CR"/>
                <w14:ligatures w14:val="none"/>
              </w:rPr>
              <w:t>2.1 Estudio de los relatos relativos al nacimiento de Jesús, movimiento de Juan el Bautista, incorporación de los primeros discípulos, itinerario en el ministerio de Jesús y sus obras de poder</w:t>
            </w:r>
          </w:p>
          <w:p w14:paraId="197726DA" w14:textId="77777777" w:rsidR="00836EE8" w:rsidRPr="00836EE8" w:rsidRDefault="00836EE8" w:rsidP="00836EE8">
            <w:pPr>
              <w:widowControl w:val="0"/>
              <w:overflowPunct w:val="0"/>
              <w:autoSpaceDE w:val="0"/>
              <w:autoSpaceDN w:val="0"/>
              <w:adjustRightInd w:val="0"/>
              <w:spacing w:before="120" w:after="0" w:line="240" w:lineRule="auto"/>
              <w:ind w:firstLine="175"/>
              <w:rPr>
                <w:rFonts w:ascii="Calibri" w:eastAsia="Times New Roman" w:hAnsi="Calibri" w:cs="Calibri"/>
                <w:kern w:val="0"/>
                <w:lang w:val="es-ES_tradnl" w:eastAsia="es-CR"/>
                <w14:ligatures w14:val="none"/>
              </w:rPr>
            </w:pPr>
          </w:p>
        </w:tc>
        <w:tc>
          <w:tcPr>
            <w:tcW w:w="3119" w:type="dxa"/>
          </w:tcPr>
          <w:p w14:paraId="0B1A495F" w14:textId="77777777" w:rsidR="00836EE8" w:rsidRPr="00836EE8" w:rsidRDefault="00836EE8" w:rsidP="00836EE8">
            <w:pPr>
              <w:spacing w:after="0" w:line="240" w:lineRule="auto"/>
              <w:contextualSpacing/>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0A7D82A1" w14:textId="77777777" w:rsidR="00836EE8" w:rsidRPr="00836EE8" w:rsidRDefault="00836EE8" w:rsidP="00836EE8">
            <w:pPr>
              <w:spacing w:after="0" w:line="240" w:lineRule="auto"/>
              <w:contextualSpacing/>
              <w:rPr>
                <w:rFonts w:ascii="Calibri" w:eastAsia="Times New Roman" w:hAnsi="Calibri" w:cs="Arial"/>
                <w:color w:val="000000"/>
                <w:kern w:val="0"/>
                <w:lang w:val="es-ES" w:eastAsia="es-CR"/>
                <w14:ligatures w14:val="none"/>
              </w:rPr>
            </w:pPr>
          </w:p>
          <w:p w14:paraId="0C09080C"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proofErr w:type="spellStart"/>
            <w:r w:rsidRPr="00836EE8">
              <w:rPr>
                <w:rFonts w:ascii="Calibri" w:eastAsia="Times New Roman" w:hAnsi="Calibri" w:cs="Arial"/>
                <w:color w:val="000000"/>
                <w:kern w:val="0"/>
                <w:lang w:val="es-ES" w:eastAsia="es-CR"/>
                <w14:ligatures w14:val="none"/>
              </w:rPr>
              <w:t>Norelli</w:t>
            </w:r>
            <w:proofErr w:type="spellEnd"/>
            <w:r w:rsidRPr="00836EE8">
              <w:rPr>
                <w:rFonts w:ascii="Calibri" w:eastAsia="Times New Roman" w:hAnsi="Calibri" w:cs="Arial"/>
                <w:color w:val="000000"/>
                <w:kern w:val="0"/>
                <w:lang w:val="es-ES" w:eastAsia="es-CR"/>
                <w14:ligatures w14:val="none"/>
              </w:rPr>
              <w:t>, Enrico. “</w:t>
            </w:r>
            <w:r w:rsidRPr="00836EE8">
              <w:rPr>
                <w:rFonts w:ascii="Arial" w:eastAsia="Times New Roman" w:hAnsi="Arial" w:cs="Arial"/>
                <w:color w:val="3C4043"/>
                <w:kern w:val="0"/>
                <w:sz w:val="21"/>
                <w:szCs w:val="21"/>
                <w:shd w:val="clear" w:color="auto" w:fill="FFFFFF"/>
                <w:lang w:val="es-ES" w:eastAsia="es-CR"/>
                <w14:ligatures w14:val="none"/>
              </w:rPr>
              <w:t>¿</w:t>
            </w:r>
            <w:r w:rsidRPr="00836EE8">
              <w:rPr>
                <w:rFonts w:ascii="Calibri" w:eastAsia="Times New Roman" w:hAnsi="Calibri" w:cs="Arial"/>
                <w:color w:val="000000"/>
                <w:kern w:val="0"/>
                <w:lang w:val="es-ES" w:eastAsia="es-CR"/>
                <w14:ligatures w14:val="none"/>
              </w:rPr>
              <w:t xml:space="preserve">Cómo nacieron los relatos sobre María y José en Mt 1-2 y </w:t>
            </w:r>
            <w:proofErr w:type="spellStart"/>
            <w:r w:rsidRPr="00836EE8">
              <w:rPr>
                <w:rFonts w:ascii="Calibri" w:eastAsia="Times New Roman" w:hAnsi="Calibri" w:cs="Arial"/>
                <w:color w:val="000000"/>
                <w:kern w:val="0"/>
                <w:lang w:val="es-ES" w:eastAsia="es-CR"/>
                <w14:ligatures w14:val="none"/>
              </w:rPr>
              <w:t>Lc</w:t>
            </w:r>
            <w:proofErr w:type="spellEnd"/>
            <w:r w:rsidRPr="00836EE8">
              <w:rPr>
                <w:rFonts w:ascii="Calibri" w:eastAsia="Times New Roman" w:hAnsi="Calibri" w:cs="Arial"/>
                <w:color w:val="000000"/>
                <w:kern w:val="0"/>
                <w:lang w:val="es-ES" w:eastAsia="es-CR"/>
                <w14:ligatures w14:val="none"/>
              </w:rPr>
              <w:t xml:space="preserve"> 1-2?”.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 xml:space="preserve">editado por Mercedes Navarro y </w:t>
            </w:r>
            <w:proofErr w:type="spellStart"/>
            <w:r w:rsidRPr="00836EE8">
              <w:rPr>
                <w:rFonts w:ascii="Calibri" w:eastAsia="Times New Roman" w:hAnsi="Calibri" w:cs="Arial"/>
                <w:color w:val="000000"/>
                <w:kern w:val="0"/>
                <w:lang w:val="es-ES" w:eastAsia="es-CR"/>
                <w14:ligatures w14:val="none"/>
              </w:rPr>
              <w:t>Marinella</w:t>
            </w:r>
            <w:proofErr w:type="spellEnd"/>
            <w:r w:rsidRPr="00836EE8">
              <w:rPr>
                <w:rFonts w:ascii="Calibri" w:eastAsia="Times New Roman" w:hAnsi="Calibri" w:cs="Arial"/>
                <w:color w:val="000000"/>
                <w:kern w:val="0"/>
                <w:lang w:val="es-ES" w:eastAsia="es-CR"/>
                <w14:ligatures w14:val="none"/>
              </w:rPr>
              <w:t xml:space="preserve"> Perroni, 329-347. Estella: Verbo Divino, 2011. </w:t>
            </w:r>
            <w:r w:rsidRPr="00836EE8">
              <w:rPr>
                <w:rFonts w:ascii="Calibri" w:eastAsia="Times New Roman" w:hAnsi="Calibri" w:cs="Arial"/>
                <w:color w:val="0070C0"/>
                <w:kern w:val="0"/>
                <w:lang w:val="es-ES" w:eastAsia="es-CR"/>
                <w14:ligatures w14:val="none"/>
              </w:rPr>
              <w:t>(clásico, última edición)</w:t>
            </w:r>
          </w:p>
          <w:p w14:paraId="5186789E" w14:textId="77777777" w:rsidR="00836EE8" w:rsidRPr="00836EE8" w:rsidRDefault="00836EE8" w:rsidP="00836EE8">
            <w:pPr>
              <w:spacing w:after="0" w:line="240" w:lineRule="auto"/>
              <w:contextualSpacing/>
              <w:rPr>
                <w:rFonts w:ascii="Calibri" w:eastAsia="Times New Roman" w:hAnsi="Calibri" w:cs="Arial"/>
                <w:color w:val="000000"/>
                <w:kern w:val="0"/>
                <w:lang w:val="es-ES" w:eastAsia="es-CR"/>
                <w14:ligatures w14:val="none"/>
              </w:rPr>
            </w:pPr>
          </w:p>
          <w:p w14:paraId="2ECE3172" w14:textId="77777777" w:rsidR="00836EE8" w:rsidRPr="00836EE8" w:rsidRDefault="00836EE8" w:rsidP="00836EE8">
            <w:pPr>
              <w:spacing w:after="0" w:line="240" w:lineRule="auto"/>
              <w:contextualSpacing/>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Material complementario</w:t>
            </w:r>
          </w:p>
          <w:p w14:paraId="374BB968" w14:textId="77777777" w:rsidR="00836EE8" w:rsidRPr="00836EE8" w:rsidRDefault="00836EE8" w:rsidP="00836EE8">
            <w:pPr>
              <w:spacing w:after="0" w:line="240" w:lineRule="auto"/>
              <w:contextualSpacing/>
              <w:rPr>
                <w:rFonts w:ascii="Calibri" w:eastAsia="Times New Roman" w:hAnsi="Calibri" w:cs="Calibri"/>
                <w:b/>
                <w:bCs/>
                <w:color w:val="000000"/>
                <w:kern w:val="0"/>
                <w:lang w:val="es-ES_tradnl" w:eastAsia="es-CR"/>
                <w14:ligatures w14:val="none"/>
              </w:rPr>
            </w:pPr>
          </w:p>
          <w:p w14:paraId="6F14A032"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r w:rsidRPr="00836EE8">
              <w:rPr>
                <w:rFonts w:ascii="Calibri" w:eastAsia="Times New Roman" w:hAnsi="Calibri" w:cs="Calibri"/>
                <w:bCs/>
                <w:kern w:val="0"/>
                <w:lang w:val="es-ES_tradnl" w:eastAsia="es-CR"/>
                <w14:ligatures w14:val="none"/>
              </w:rPr>
              <w:t xml:space="preserve">Piñero, Antonio. “La existencia histórica de Jesús de Nazaret, hoy”. En </w:t>
            </w:r>
            <w:r w:rsidRPr="00836EE8">
              <w:rPr>
                <w:rFonts w:ascii="Calibri" w:eastAsia="Times New Roman" w:hAnsi="Calibri" w:cs="Calibri"/>
                <w:bCs/>
                <w:i/>
                <w:kern w:val="0"/>
                <w:lang w:val="es-ES_tradnl" w:eastAsia="es-CR"/>
                <w14:ligatures w14:val="none"/>
              </w:rPr>
              <w:t>Aproximación al Jesús histórico</w:t>
            </w:r>
            <w:r w:rsidRPr="00836EE8">
              <w:rPr>
                <w:rFonts w:ascii="Calibri" w:eastAsia="Times New Roman" w:hAnsi="Calibri" w:cs="Calibri"/>
                <w:bCs/>
                <w:kern w:val="0"/>
                <w:lang w:val="es-ES_tradnl" w:eastAsia="es-CR"/>
                <w14:ligatures w14:val="none"/>
              </w:rPr>
              <w:t xml:space="preserve">, 26-42. Madrid: Editorial Trotta, 2018. </w:t>
            </w:r>
            <w:r w:rsidRPr="00836EE8">
              <w:rPr>
                <w:rFonts w:ascii="Calibri" w:eastAsia="Times New Roman" w:hAnsi="Calibri" w:cs="Arial"/>
                <w:color w:val="0070C0"/>
                <w:kern w:val="0"/>
                <w:lang w:val="es-ES" w:eastAsia="es-CR"/>
                <w14:ligatures w14:val="none"/>
              </w:rPr>
              <w:t>(clásico, última edición)</w:t>
            </w:r>
          </w:p>
          <w:p w14:paraId="0552A111" w14:textId="77777777" w:rsidR="00836EE8" w:rsidRPr="00836EE8" w:rsidRDefault="00836EE8" w:rsidP="00836EE8">
            <w:pPr>
              <w:spacing w:after="0" w:line="240" w:lineRule="auto"/>
              <w:contextualSpacing/>
              <w:rPr>
                <w:rFonts w:ascii="Calibri" w:eastAsia="Times New Roman" w:hAnsi="Calibri" w:cs="Calibri"/>
                <w:bCs/>
                <w:kern w:val="0"/>
                <w:lang w:val="es-ES_tradnl" w:eastAsia="es-CR"/>
                <w14:ligatures w14:val="none"/>
              </w:rPr>
            </w:pPr>
          </w:p>
          <w:p w14:paraId="4DF9C93D"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Guía para la elaboración de una reseña crítica de lectura</w:t>
            </w:r>
          </w:p>
          <w:p w14:paraId="02AA0E9E"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p>
          <w:p w14:paraId="50FF74A0" w14:textId="77777777" w:rsidR="00836EE8" w:rsidRPr="00836EE8" w:rsidRDefault="00836EE8" w:rsidP="4C9C2619">
            <w:pPr>
              <w:spacing w:after="0" w:line="240" w:lineRule="auto"/>
              <w:contextualSpacing/>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732A04ED"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p>
          <w:p w14:paraId="767EAD37" w14:textId="2EED4A87" w:rsidR="00836EE8" w:rsidRPr="00836EE8" w:rsidRDefault="00836EE8" w:rsidP="00CD2173">
            <w:pPr>
              <w:spacing w:after="0" w:line="240" w:lineRule="auto"/>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Guía para la participación en un wiki en la plataforma Moodle</w:t>
            </w:r>
          </w:p>
          <w:p w14:paraId="74C8062C"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38A1B51B"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Elaboración de una reseña crítica de la lectura.</w:t>
            </w:r>
          </w:p>
          <w:p w14:paraId="2EAD8EAC"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aportes al diario reflexivo.</w:t>
            </w:r>
          </w:p>
          <w:p w14:paraId="5347295C"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Los relatos literarios de la infancia de Jesús en un encuentro sincrónico virtual (formativo).</w:t>
            </w:r>
          </w:p>
          <w:p w14:paraId="6C0A963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la elaboración del wiki grupal: Uso de la sinopsis de los evangelios.</w:t>
            </w:r>
          </w:p>
          <w:p w14:paraId="6D30EBF4"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51DC6347" w14:textId="77777777" w:rsidTr="4C9C2619">
        <w:trPr>
          <w:jc w:val="center"/>
        </w:trPr>
        <w:tc>
          <w:tcPr>
            <w:tcW w:w="1129" w:type="dxa"/>
          </w:tcPr>
          <w:p w14:paraId="058182B4"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lastRenderedPageBreak/>
              <w:t>5</w:t>
            </w:r>
          </w:p>
          <w:p w14:paraId="547FDCE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484A558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2: Etapas en el itinerario de Jesús</w:t>
            </w:r>
          </w:p>
          <w:p w14:paraId="66BFB3B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kern w:val="0"/>
                <w:lang w:val="es-ES_tradnl" w:eastAsia="es-CR"/>
                <w14:ligatures w14:val="none"/>
              </w:rPr>
              <w:t>2.1 Estudio de los relatos relativos al nacimiento de Jesús, movimiento de Juan el Bautista, incorporación de los primeros discípulos, itinerario en el ministerio de Jesús y sus obras de poder</w:t>
            </w:r>
          </w:p>
          <w:p w14:paraId="635E82F7" w14:textId="77777777" w:rsidR="00836EE8" w:rsidRPr="00836EE8" w:rsidRDefault="00836EE8" w:rsidP="00836EE8">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119" w:type="dxa"/>
          </w:tcPr>
          <w:p w14:paraId="3BD337D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3112F5F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proofErr w:type="spellStart"/>
            <w:r w:rsidRPr="00836EE8">
              <w:rPr>
                <w:rFonts w:ascii="Calibri" w:eastAsia="Times New Roman" w:hAnsi="Calibri" w:cs="Arial"/>
                <w:color w:val="000000"/>
                <w:kern w:val="0"/>
                <w:lang w:val="es-ES" w:eastAsia="es-CR"/>
                <w14:ligatures w14:val="none"/>
              </w:rPr>
              <w:t>Lohfink</w:t>
            </w:r>
            <w:proofErr w:type="spellEnd"/>
            <w:r w:rsidRPr="00836EE8">
              <w:rPr>
                <w:rFonts w:ascii="Calibri" w:eastAsia="Times New Roman" w:hAnsi="Calibri" w:cs="Arial"/>
                <w:color w:val="000000"/>
                <w:kern w:val="0"/>
                <w:lang w:val="es-ES" w:eastAsia="es-CR"/>
                <w14:ligatures w14:val="none"/>
              </w:rPr>
              <w:t xml:space="preserve">, Gerhard. “¿Cómo funcionan las parábolas? En </w:t>
            </w:r>
            <w:r w:rsidRPr="00836EE8">
              <w:rPr>
                <w:rFonts w:ascii="Calibri" w:eastAsia="Times New Roman" w:hAnsi="Calibri" w:cs="Arial"/>
                <w:i/>
                <w:iCs/>
                <w:color w:val="000000"/>
                <w:kern w:val="0"/>
                <w:lang w:val="es-ES" w:eastAsia="es-CR"/>
                <w14:ligatures w14:val="none"/>
              </w:rPr>
              <w:t>Cuarenta parábolas de Jesús</w:t>
            </w:r>
            <w:r w:rsidRPr="00836EE8">
              <w:rPr>
                <w:rFonts w:ascii="Calibri" w:eastAsia="Times New Roman" w:hAnsi="Calibri" w:cs="Arial"/>
                <w:color w:val="000000"/>
                <w:kern w:val="0"/>
                <w:lang w:val="es-ES" w:eastAsia="es-CR"/>
                <w14:ligatures w14:val="none"/>
              </w:rPr>
              <w:t>, 19-54. Estella: Verbo Divino, 2021.</w:t>
            </w:r>
          </w:p>
          <w:p w14:paraId="3F731F6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Material complementario</w:t>
            </w:r>
          </w:p>
          <w:p w14:paraId="3E87C8D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836EE8">
              <w:rPr>
                <w:rFonts w:ascii="Calibri" w:eastAsia="Times New Roman" w:hAnsi="Calibri" w:cs="Calibri"/>
                <w:bCs/>
                <w:kern w:val="0"/>
                <w:lang w:val="es-ES_tradnl" w:eastAsia="es-CR"/>
                <w14:ligatures w14:val="none"/>
              </w:rPr>
              <w:t xml:space="preserve">Unzurrunzaga Hernández, Ana. “El rostro de Jesús en el evangelio de Juan”. </w:t>
            </w:r>
            <w:r w:rsidRPr="00836EE8">
              <w:rPr>
                <w:rFonts w:ascii="Calibri" w:eastAsia="Times New Roman" w:hAnsi="Calibri" w:cs="Calibri"/>
                <w:bCs/>
                <w:i/>
                <w:kern w:val="0"/>
                <w:lang w:val="es-ES_tradnl" w:eastAsia="es-CR"/>
                <w14:ligatures w14:val="none"/>
              </w:rPr>
              <w:t>Reseña Bíblica</w:t>
            </w:r>
            <w:r w:rsidRPr="00836EE8">
              <w:rPr>
                <w:rFonts w:ascii="Calibri" w:eastAsia="Times New Roman" w:hAnsi="Calibri" w:cs="Calibri"/>
                <w:bCs/>
                <w:kern w:val="0"/>
                <w:lang w:val="es-ES_tradnl" w:eastAsia="es-CR"/>
                <w14:ligatures w14:val="none"/>
              </w:rPr>
              <w:t>, n. 95 (2017): 14-22.</w:t>
            </w:r>
          </w:p>
          <w:p w14:paraId="7A30E2E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Guía para la participación en un foro en la plataforma Moodle</w:t>
            </w:r>
          </w:p>
          <w:p w14:paraId="407EA3D8" w14:textId="77777777" w:rsidR="00836EE8" w:rsidRPr="00836EE8" w:rsidRDefault="00836EE8"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55607826"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Guía para la elaboración de un diario reflexivo</w:t>
            </w:r>
          </w:p>
          <w:p w14:paraId="70EE2C1C"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7C1F13FF"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lectura del texto asignado.</w:t>
            </w:r>
          </w:p>
          <w:p w14:paraId="4F4F1825"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primera entrega del diario reflexivo.</w:t>
            </w:r>
          </w:p>
          <w:p w14:paraId="285E1CAF"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El ciclo de la pasión, muerte y resurrección de Jesús en un encuentro sincrónico virtual (formativo).</w:t>
            </w:r>
          </w:p>
          <w:p w14:paraId="3D7F25DD"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temático grupal: Los milagros sanadores de Jesús (con el uso de sinopsis de los evangelios y de la concordancia bíblica).</w:t>
            </w:r>
          </w:p>
        </w:tc>
      </w:tr>
      <w:tr w:rsidR="00836EE8" w:rsidRPr="00836EE8" w14:paraId="1EB08DC0" w14:textId="77777777" w:rsidTr="4C9C2619">
        <w:trPr>
          <w:jc w:val="center"/>
        </w:trPr>
        <w:tc>
          <w:tcPr>
            <w:tcW w:w="1129" w:type="dxa"/>
          </w:tcPr>
          <w:p w14:paraId="0ED98C63"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6</w:t>
            </w:r>
          </w:p>
          <w:p w14:paraId="4AEB7387"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45BBD96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2: Etapas en el itinerario de Jesús</w:t>
            </w:r>
          </w:p>
          <w:p w14:paraId="5290630A"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2.2 Estudio de las parábolas y otras formas de enseñanza, su muerte y la temática de su regreso como clímax de la historia (triunfo final).  Estudio de la óptica de cada evangelista a partir de un trabajo de investigación propia basado en el uso de la sinopsis de los evangelios</w:t>
            </w:r>
          </w:p>
          <w:p w14:paraId="083464E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3119" w:type="dxa"/>
          </w:tcPr>
          <w:p w14:paraId="5D10C05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66AEFD0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Bermejo Rubio, Fernando. “Causas de la crucifixión o la dimensión </w:t>
            </w:r>
            <w:proofErr w:type="spellStart"/>
            <w:r w:rsidRPr="00836EE8">
              <w:rPr>
                <w:rFonts w:ascii="Calibri" w:eastAsia="Times New Roman" w:hAnsi="Calibri" w:cs="Arial"/>
                <w:color w:val="000000"/>
                <w:kern w:val="0"/>
                <w:lang w:val="es-ES" w:eastAsia="es-CR"/>
                <w14:ligatures w14:val="none"/>
              </w:rPr>
              <w:t>antirromana</w:t>
            </w:r>
            <w:proofErr w:type="spellEnd"/>
            <w:r w:rsidRPr="00836EE8">
              <w:rPr>
                <w:rFonts w:ascii="Calibri" w:eastAsia="Times New Roman" w:hAnsi="Calibri" w:cs="Arial"/>
                <w:color w:val="000000"/>
                <w:kern w:val="0"/>
                <w:lang w:val="es-ES" w:eastAsia="es-CR"/>
                <w14:ligatures w14:val="none"/>
              </w:rPr>
              <w:t xml:space="preserve">”. En </w:t>
            </w:r>
            <w:r w:rsidRPr="00836EE8">
              <w:rPr>
                <w:rFonts w:ascii="Calibri" w:eastAsia="Times New Roman" w:hAnsi="Calibri" w:cs="Arial"/>
                <w:i/>
                <w:iCs/>
                <w:color w:val="000000"/>
                <w:kern w:val="0"/>
                <w:lang w:val="es-ES" w:eastAsia="es-CR"/>
                <w14:ligatures w14:val="none"/>
              </w:rPr>
              <w:t>La invención de Jesús de Nazaret: historia, ficción, historiografía</w:t>
            </w:r>
            <w:r w:rsidRPr="00836EE8">
              <w:rPr>
                <w:rFonts w:ascii="Calibri" w:eastAsia="Times New Roman" w:hAnsi="Calibri" w:cs="Arial"/>
                <w:color w:val="000000"/>
                <w:kern w:val="0"/>
                <w:lang w:val="es-ES" w:eastAsia="es-CR"/>
                <w14:ligatures w14:val="none"/>
              </w:rPr>
              <w:t xml:space="preserve">, 169-225. Madrid: Siglo XXI, 2019. </w:t>
            </w:r>
          </w:p>
          <w:p w14:paraId="622DDD51"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14905C39"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p w14:paraId="012EAA7D"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elaboración de una reseña crítica de lectura</w:t>
            </w:r>
          </w:p>
          <w:p w14:paraId="764F1E3A"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p>
          <w:p w14:paraId="54478657" w14:textId="77777777" w:rsidR="00836EE8" w:rsidRPr="00836EE8" w:rsidRDefault="00836EE8" w:rsidP="4C9C2619">
            <w:pPr>
              <w:spacing w:after="0" w:line="240" w:lineRule="auto"/>
              <w:contextualSpacing/>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56F992F1"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3F87118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Elaboración de una reseña crítica de la lectura.</w:t>
            </w:r>
          </w:p>
          <w:p w14:paraId="3BB72F3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aportes al diario reflexivo.</w:t>
            </w:r>
          </w:p>
          <w:p w14:paraId="7D9A66E1"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sobre las parábolas y pedagogía de Jesús, seguida de una discusión grupal en un encuentro sincrónico virtual (formativo).</w:t>
            </w:r>
          </w:p>
          <w:p w14:paraId="2769BE26"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7A9E7C54" w14:textId="77777777" w:rsidTr="4C9C2619">
        <w:trPr>
          <w:jc w:val="center"/>
        </w:trPr>
        <w:tc>
          <w:tcPr>
            <w:tcW w:w="1129" w:type="dxa"/>
          </w:tcPr>
          <w:p w14:paraId="763ABF5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7</w:t>
            </w:r>
          </w:p>
          <w:p w14:paraId="46CB361C"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7CE7B15A"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2: Etapas en el itinerario de Jesús</w:t>
            </w:r>
          </w:p>
          <w:p w14:paraId="5F8BBA16"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 xml:space="preserve">2.2 Estudio de las parábolas y otras formas de enseñanza, su muerte y la </w:t>
            </w:r>
            <w:r w:rsidRPr="00836EE8">
              <w:rPr>
                <w:rFonts w:ascii="Calibri" w:eastAsia="Times New Roman" w:hAnsi="Calibri" w:cs="Calibri"/>
                <w:kern w:val="0"/>
                <w:lang w:val="es-ES_tradnl" w:eastAsia="es-CR"/>
                <w14:ligatures w14:val="none"/>
              </w:rPr>
              <w:lastRenderedPageBreak/>
              <w:t>temática de su regreso como clímax de la historia (triunfo final).  Estudio de la óptica de cada evangelista a partir de un trabajo de investigación propia basado en el uso de la sinopsis de los evangelios</w:t>
            </w:r>
          </w:p>
          <w:p w14:paraId="0E6EC98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3119" w:type="dxa"/>
          </w:tcPr>
          <w:p w14:paraId="4B35998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lastRenderedPageBreak/>
              <w:t>Ruta de aprendizaje</w:t>
            </w:r>
          </w:p>
          <w:p w14:paraId="624FC24F"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r w:rsidRPr="00836EE8">
              <w:rPr>
                <w:rFonts w:ascii="Calibri" w:eastAsia="Times New Roman" w:hAnsi="Calibri" w:cs="Calibri"/>
                <w:bCs/>
                <w:color w:val="000000"/>
                <w:kern w:val="0"/>
                <w:lang w:val="es-ES_tradnl" w:eastAsia="es-CR"/>
                <w14:ligatures w14:val="none"/>
              </w:rPr>
              <w:t xml:space="preserve">Dunn, James. “El nacimiento de un nuevo género: Marcos y los evangelios sinópticos”. En </w:t>
            </w:r>
            <w:r w:rsidRPr="00836EE8">
              <w:rPr>
                <w:rFonts w:ascii="Calibri" w:eastAsia="Times New Roman" w:hAnsi="Calibri" w:cs="Calibri"/>
                <w:bCs/>
                <w:i/>
                <w:color w:val="000000"/>
                <w:kern w:val="0"/>
                <w:lang w:val="es-ES_tradnl" w:eastAsia="es-CR"/>
                <w14:ligatures w14:val="none"/>
              </w:rPr>
              <w:t xml:space="preserve">Del Evangelio a los evangelios, </w:t>
            </w:r>
            <w:r w:rsidRPr="00836EE8">
              <w:rPr>
                <w:rFonts w:ascii="Calibri" w:eastAsia="Times New Roman" w:hAnsi="Calibri" w:cs="Calibri"/>
                <w:bCs/>
                <w:color w:val="000000"/>
                <w:kern w:val="0"/>
                <w:lang w:val="es-ES_tradnl" w:eastAsia="es-CR"/>
                <w14:ligatures w14:val="none"/>
              </w:rPr>
              <w:t>65-88.</w:t>
            </w:r>
            <w:r w:rsidRPr="00836EE8">
              <w:rPr>
                <w:rFonts w:ascii="Calibri" w:eastAsia="Times New Roman" w:hAnsi="Calibri" w:cs="Calibri"/>
                <w:bCs/>
                <w:i/>
                <w:color w:val="000000"/>
                <w:kern w:val="0"/>
                <w:lang w:val="es-ES_tradnl" w:eastAsia="es-CR"/>
                <w14:ligatures w14:val="none"/>
              </w:rPr>
              <w:t xml:space="preserve"> </w:t>
            </w:r>
            <w:r w:rsidRPr="00836EE8">
              <w:rPr>
                <w:rFonts w:ascii="Calibri" w:eastAsia="Times New Roman" w:hAnsi="Calibri" w:cs="Calibri"/>
                <w:bCs/>
                <w:color w:val="000000"/>
                <w:kern w:val="0"/>
                <w:lang w:val="es-ES_tradnl" w:eastAsia="es-CR"/>
                <w14:ligatures w14:val="none"/>
              </w:rPr>
              <w:t xml:space="preserve">Bogotá: San Pablo, 2013. </w:t>
            </w:r>
            <w:r w:rsidRPr="00836EE8">
              <w:rPr>
                <w:rFonts w:ascii="Calibri" w:eastAsia="Times New Roman" w:hAnsi="Calibri" w:cs="Arial"/>
                <w:color w:val="0070C0"/>
                <w:kern w:val="0"/>
                <w:lang w:val="es-ES" w:eastAsia="es-CR"/>
                <w14:ligatures w14:val="none"/>
              </w:rPr>
              <w:t>(clásico, última edición)</w:t>
            </w:r>
          </w:p>
          <w:p w14:paraId="28DE2A9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lastRenderedPageBreak/>
              <w:t>Material complementario</w:t>
            </w:r>
          </w:p>
          <w:p w14:paraId="6E15A1A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elaboración de una reseña crítica de lectura</w:t>
            </w:r>
          </w:p>
          <w:p w14:paraId="4EE83F1E" w14:textId="77777777" w:rsidR="00836EE8" w:rsidRPr="00836EE8" w:rsidRDefault="00836EE8" w:rsidP="4C9C2619">
            <w:pPr>
              <w:widowControl w:val="0"/>
              <w:overflowPunct w:val="0"/>
              <w:autoSpaceDE w:val="0"/>
              <w:autoSpaceDN w:val="0"/>
              <w:adjustRightInd w:val="0"/>
              <w:spacing w:before="120" w:after="0" w:line="240" w:lineRule="auto"/>
              <w:rPr>
                <w:rFonts w:ascii="Calibri" w:eastAsia="Times New Roman" w:hAnsi="Calibri" w:cs="Calibri"/>
                <w:color w:val="FF000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tc>
        <w:tc>
          <w:tcPr>
            <w:tcW w:w="3402" w:type="dxa"/>
          </w:tcPr>
          <w:p w14:paraId="3ECA30A6"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lastRenderedPageBreak/>
              <w:t>Elaboración de una reseña crítica de la lectura.</w:t>
            </w:r>
          </w:p>
          <w:p w14:paraId="6DB92678"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aportes al diario reflexivo.</w:t>
            </w:r>
          </w:p>
          <w:p w14:paraId="7305C573"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 xml:space="preserve">Exposición docente: Las características teológicas de los evangelios, seguida de una </w:t>
            </w:r>
            <w:r w:rsidRPr="00836EE8">
              <w:rPr>
                <w:rFonts w:ascii="Calibri" w:eastAsia="Times New Roman" w:hAnsi="Calibri" w:cs="Calibri"/>
                <w:color w:val="000000"/>
                <w:kern w:val="0"/>
                <w:lang w:val="es-ES_tradnl" w:eastAsia="es-CR"/>
                <w14:ligatures w14:val="none"/>
              </w:rPr>
              <w:lastRenderedPageBreak/>
              <w:t>discusión grupal en un encuentro sincrónico virtual (formativo).</w:t>
            </w:r>
          </w:p>
          <w:p w14:paraId="3F74B05B"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69C0987D" w14:textId="77777777" w:rsidTr="4C9C2619">
        <w:trPr>
          <w:jc w:val="center"/>
        </w:trPr>
        <w:tc>
          <w:tcPr>
            <w:tcW w:w="1129" w:type="dxa"/>
          </w:tcPr>
          <w:p w14:paraId="2D14AA9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lastRenderedPageBreak/>
              <w:t>8</w:t>
            </w:r>
          </w:p>
          <w:p w14:paraId="0CE110F1"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315395D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3: Los evangelios y su entorno sociocultural</w:t>
            </w:r>
          </w:p>
          <w:p w14:paraId="6EA90E7B"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3.1 El Nuevo Testamento y su mundo</w:t>
            </w:r>
          </w:p>
          <w:p w14:paraId="669D84A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119" w:type="dxa"/>
          </w:tcPr>
          <w:p w14:paraId="43F72A86"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7C273C6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sz w:val="20"/>
                <w:szCs w:val="2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Carbajosa Ignacio, Joaquín González Echegaray y Francisco Varo. “La religión judía en ambiente helenístico”. En </w:t>
            </w:r>
            <w:r w:rsidRPr="00836EE8">
              <w:rPr>
                <w:rFonts w:ascii="Calibri" w:eastAsia="Times New Roman" w:hAnsi="Calibri" w:cs="Calibri"/>
                <w:bCs/>
                <w:i/>
                <w:iCs/>
                <w:color w:val="000000"/>
                <w:kern w:val="0"/>
                <w:lang w:val="es-ES_tradnl" w:eastAsia="es-CR"/>
                <w14:ligatures w14:val="none"/>
              </w:rPr>
              <w:t>La Biblia en su entorno</w:t>
            </w:r>
            <w:r w:rsidRPr="00836EE8">
              <w:rPr>
                <w:rFonts w:ascii="Calibri" w:eastAsia="Times New Roman" w:hAnsi="Calibri" w:cs="Calibri"/>
                <w:bCs/>
                <w:color w:val="000000"/>
                <w:kern w:val="0"/>
                <w:lang w:val="es-ES_tradnl" w:eastAsia="es-CR"/>
                <w14:ligatures w14:val="none"/>
              </w:rPr>
              <w:t>, 363-377. Estella: Verbo Divino, 2023.</w:t>
            </w:r>
            <w:r w:rsidRPr="00836EE8">
              <w:rPr>
                <w:rFonts w:ascii="Calibri" w:eastAsia="Times New Roman" w:hAnsi="Calibri" w:cs="Calibri"/>
                <w:bCs/>
                <w:color w:val="000000"/>
                <w:kern w:val="0"/>
                <w:sz w:val="20"/>
                <w:szCs w:val="20"/>
                <w:lang w:val="es-ES_tradnl" w:eastAsia="es-CR"/>
                <w14:ligatures w14:val="none"/>
              </w:rPr>
              <w:t xml:space="preserve"> </w:t>
            </w:r>
          </w:p>
          <w:p w14:paraId="08463B6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Material complementario</w:t>
            </w:r>
          </w:p>
          <w:p w14:paraId="09629AF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kern w:val="0"/>
                <w:lang w:val="es-ES" w:eastAsia="es-CR"/>
                <w14:ligatures w14:val="none"/>
              </w:rPr>
            </w:pPr>
            <w:r w:rsidRPr="00836EE8">
              <w:rPr>
                <w:rFonts w:ascii="Calibri" w:eastAsia="Times New Roman" w:hAnsi="Calibri" w:cs="Arial"/>
                <w:kern w:val="0"/>
                <w:lang w:val="es-ES" w:eastAsia="es-CR"/>
                <w14:ligatures w14:val="none"/>
              </w:rPr>
              <w:t xml:space="preserve">Gil </w:t>
            </w:r>
            <w:proofErr w:type="spellStart"/>
            <w:r w:rsidRPr="00836EE8">
              <w:rPr>
                <w:rFonts w:ascii="Calibri" w:eastAsia="Times New Roman" w:hAnsi="Calibri" w:cs="Arial"/>
                <w:kern w:val="0"/>
                <w:lang w:val="es-ES" w:eastAsia="es-CR"/>
                <w14:ligatures w14:val="none"/>
              </w:rPr>
              <w:t>Arbiol</w:t>
            </w:r>
            <w:proofErr w:type="spellEnd"/>
            <w:r w:rsidRPr="00836EE8">
              <w:rPr>
                <w:rFonts w:ascii="Calibri" w:eastAsia="Times New Roman" w:hAnsi="Calibri" w:cs="Arial"/>
                <w:kern w:val="0"/>
                <w:lang w:val="es-ES" w:eastAsia="es-CR"/>
                <w14:ligatures w14:val="none"/>
              </w:rPr>
              <w:t xml:space="preserve">, Carlos. “Seguidores de Jesús: el judaísmo del siglo I en crisis”. </w:t>
            </w:r>
            <w:r w:rsidRPr="00836EE8">
              <w:rPr>
                <w:rFonts w:ascii="Calibri" w:eastAsia="Times New Roman" w:hAnsi="Calibri" w:cs="Arial"/>
                <w:i/>
                <w:iCs/>
                <w:kern w:val="0"/>
                <w:lang w:val="es-ES" w:eastAsia="es-CR"/>
                <w14:ligatures w14:val="none"/>
              </w:rPr>
              <w:t>Reseña Bíblica</w:t>
            </w:r>
            <w:r w:rsidRPr="00836EE8">
              <w:rPr>
                <w:rFonts w:ascii="Calibri" w:eastAsia="Times New Roman" w:hAnsi="Calibri" w:cs="Arial"/>
                <w:kern w:val="0"/>
                <w:lang w:val="es-ES" w:eastAsia="es-CR"/>
                <w14:ligatures w14:val="none"/>
              </w:rPr>
              <w:t>, n. 98 (2018): 25-33.</w:t>
            </w:r>
          </w:p>
          <w:p w14:paraId="26E0C64F"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70C0"/>
                <w:kern w:val="0"/>
                <w:lang w:val="es-ES" w:eastAsia="es-CR"/>
                <w14:ligatures w14:val="none"/>
              </w:rPr>
            </w:pPr>
            <w:r w:rsidRPr="00836EE8">
              <w:rPr>
                <w:rFonts w:ascii="Calibri" w:eastAsia="Times New Roman" w:hAnsi="Calibri" w:cs="Arial"/>
                <w:color w:val="0070C0"/>
                <w:kern w:val="0"/>
                <w:lang w:val="es-ES" w:eastAsia="es-CR"/>
                <w14:ligatures w14:val="none"/>
              </w:rPr>
              <w:t>Guía para la elaboración de una reseña crítica de lectura</w:t>
            </w:r>
          </w:p>
          <w:p w14:paraId="18249BD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70C0"/>
                <w:kern w:val="0"/>
                <w:lang w:val="es-ES" w:eastAsia="es-CR"/>
                <w14:ligatures w14:val="none"/>
              </w:rPr>
            </w:pPr>
            <w:r w:rsidRPr="00836EE8">
              <w:rPr>
                <w:rFonts w:ascii="Calibri" w:eastAsia="Times New Roman" w:hAnsi="Calibri" w:cs="Arial"/>
                <w:color w:val="0070C0"/>
                <w:kern w:val="0"/>
                <w:lang w:val="es-ES" w:eastAsia="es-CR"/>
                <w14:ligatures w14:val="none"/>
              </w:rPr>
              <w:t>Guía para la participación en un foro en la plataforma Moodle</w:t>
            </w:r>
          </w:p>
          <w:p w14:paraId="4F7B6A76"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4CB00529"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Elaboración de una reseña crítica de la lectura.</w:t>
            </w:r>
          </w:p>
          <w:p w14:paraId="17C2DD0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aportes al diario reflexivo.</w:t>
            </w:r>
          </w:p>
          <w:p w14:paraId="29A4FA14"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sobre la economía y los patrones culturales mediterráneos del siglo I en el foro temático grupal.</w:t>
            </w:r>
          </w:p>
          <w:p w14:paraId="391AAA2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Foro temático grupal: ¿Qué elementos económicos y culturales se determinan en </w:t>
            </w:r>
            <w:proofErr w:type="spellStart"/>
            <w:r w:rsidRPr="00836EE8">
              <w:rPr>
                <w:rFonts w:ascii="Calibri" w:eastAsia="Times New Roman" w:hAnsi="Calibri" w:cs="Arial"/>
                <w:color w:val="000000"/>
                <w:kern w:val="0"/>
                <w:lang w:val="es-ES" w:eastAsia="es-CR"/>
                <w14:ligatures w14:val="none"/>
              </w:rPr>
              <w:t>Lc</w:t>
            </w:r>
            <w:proofErr w:type="spellEnd"/>
            <w:r w:rsidRPr="00836EE8">
              <w:rPr>
                <w:rFonts w:ascii="Calibri" w:eastAsia="Times New Roman" w:hAnsi="Calibri" w:cs="Arial"/>
                <w:color w:val="000000"/>
                <w:kern w:val="0"/>
                <w:lang w:val="es-ES" w:eastAsia="es-CR"/>
                <w14:ligatures w14:val="none"/>
              </w:rPr>
              <w:t xml:space="preserve"> 16, 1-9?</w:t>
            </w:r>
          </w:p>
          <w:p w14:paraId="4EFD9E29"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Respuesta docente al trabajo en el foro temático grupal.</w:t>
            </w:r>
          </w:p>
          <w:p w14:paraId="72A9737E"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0C12B4D0" w14:textId="77777777" w:rsidTr="4C9C2619">
        <w:trPr>
          <w:jc w:val="center"/>
        </w:trPr>
        <w:tc>
          <w:tcPr>
            <w:tcW w:w="1129" w:type="dxa"/>
          </w:tcPr>
          <w:p w14:paraId="1CA6ED05"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9</w:t>
            </w:r>
          </w:p>
          <w:p w14:paraId="4ADFAB1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01B355C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3: Los evangelios y su entorno sociocultural</w:t>
            </w:r>
          </w:p>
          <w:p w14:paraId="57EE13D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3.1 El Nuevo Testamento y su mundo</w:t>
            </w:r>
          </w:p>
          <w:p w14:paraId="637B546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3119" w:type="dxa"/>
          </w:tcPr>
          <w:p w14:paraId="0D61E09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7EF1CD47"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proofErr w:type="spellStart"/>
            <w:r w:rsidRPr="00836EE8">
              <w:rPr>
                <w:rFonts w:ascii="Calibri" w:eastAsia="Times New Roman" w:hAnsi="Calibri" w:cs="Arial"/>
                <w:color w:val="000000"/>
                <w:kern w:val="0"/>
                <w:lang w:val="es-ES" w:eastAsia="es-CR"/>
                <w14:ligatures w14:val="none"/>
              </w:rPr>
              <w:t>Freyne</w:t>
            </w:r>
            <w:proofErr w:type="spellEnd"/>
            <w:r w:rsidRPr="00836EE8">
              <w:rPr>
                <w:rFonts w:ascii="Calibri" w:eastAsia="Times New Roman" w:hAnsi="Calibri" w:cs="Arial"/>
                <w:color w:val="000000"/>
                <w:kern w:val="0"/>
                <w:lang w:val="es-ES" w:eastAsia="es-CR"/>
                <w14:ligatures w14:val="none"/>
              </w:rPr>
              <w:t xml:space="preserve">, Sean. “Entre imperio y sinagoga: explorando los papeles de mujeres en la Palestina romana temprana a través de la lente </w:t>
            </w:r>
            <w:proofErr w:type="spellStart"/>
            <w:r w:rsidRPr="00836EE8">
              <w:rPr>
                <w:rFonts w:ascii="Calibri" w:eastAsia="Times New Roman" w:hAnsi="Calibri" w:cs="Arial"/>
                <w:color w:val="000000"/>
                <w:kern w:val="0"/>
                <w:lang w:val="es-ES" w:eastAsia="es-CR"/>
                <w14:ligatures w14:val="none"/>
              </w:rPr>
              <w:t>marcana</w:t>
            </w:r>
            <w:proofErr w:type="spellEnd"/>
            <w:r w:rsidRPr="00836EE8">
              <w:rPr>
                <w:rFonts w:ascii="Calibri" w:eastAsia="Times New Roman" w:hAnsi="Calibri" w:cs="Arial"/>
                <w:color w:val="000000"/>
                <w:kern w:val="0"/>
                <w:lang w:val="es-ES" w:eastAsia="es-CR"/>
                <w14:ligatures w14:val="none"/>
              </w:rPr>
              <w:t xml:space="preserve">”.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 xml:space="preserve">editado por Mercedes Navarro y </w:t>
            </w:r>
            <w:proofErr w:type="spellStart"/>
            <w:r w:rsidRPr="00836EE8">
              <w:rPr>
                <w:rFonts w:ascii="Calibri" w:eastAsia="Times New Roman" w:hAnsi="Calibri" w:cs="Arial"/>
                <w:color w:val="000000"/>
                <w:kern w:val="0"/>
                <w:lang w:val="es-ES" w:eastAsia="es-CR"/>
                <w14:ligatures w14:val="none"/>
              </w:rPr>
              <w:t>Marinella</w:t>
            </w:r>
            <w:proofErr w:type="spellEnd"/>
            <w:r w:rsidRPr="00836EE8">
              <w:rPr>
                <w:rFonts w:ascii="Calibri" w:eastAsia="Times New Roman" w:hAnsi="Calibri" w:cs="Arial"/>
                <w:color w:val="000000"/>
                <w:kern w:val="0"/>
                <w:lang w:val="es-ES" w:eastAsia="es-CR"/>
                <w14:ligatures w14:val="none"/>
              </w:rPr>
              <w:t xml:space="preserve"> Perroni, 47-68. Estella: Verbo Divino, 2011.  </w:t>
            </w:r>
            <w:r w:rsidRPr="00836EE8">
              <w:rPr>
                <w:rFonts w:ascii="Calibri" w:eastAsia="Times New Roman" w:hAnsi="Calibri" w:cs="Arial"/>
                <w:color w:val="0070C0"/>
                <w:kern w:val="0"/>
                <w:lang w:val="es-ES" w:eastAsia="es-CR"/>
                <w14:ligatures w14:val="none"/>
              </w:rPr>
              <w:t>(clásico, última edición)</w:t>
            </w:r>
          </w:p>
          <w:p w14:paraId="1D5D277D"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Material complementario</w:t>
            </w:r>
          </w:p>
          <w:p w14:paraId="19C0A24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kern w:val="0"/>
                <w:lang w:val="es-ES" w:eastAsia="es-CR"/>
                <w14:ligatures w14:val="none"/>
              </w:rPr>
            </w:pPr>
            <w:proofErr w:type="spellStart"/>
            <w:r w:rsidRPr="00836EE8">
              <w:rPr>
                <w:rFonts w:ascii="Calibri" w:eastAsia="Times New Roman" w:hAnsi="Calibri" w:cs="Arial"/>
                <w:kern w:val="0"/>
                <w:lang w:val="es-ES" w:eastAsia="es-CR"/>
                <w14:ligatures w14:val="none"/>
              </w:rPr>
              <w:t>Olábarri</w:t>
            </w:r>
            <w:proofErr w:type="spellEnd"/>
            <w:r w:rsidRPr="00836EE8">
              <w:rPr>
                <w:rFonts w:ascii="Calibri" w:eastAsia="Times New Roman" w:hAnsi="Calibri" w:cs="Arial"/>
                <w:kern w:val="0"/>
                <w:lang w:val="es-ES" w:eastAsia="es-CR"/>
                <w14:ligatures w14:val="none"/>
              </w:rPr>
              <w:t xml:space="preserve"> Azagra, Tomás. “Las mujeres en Mt 1, 1-17: “Status </w:t>
            </w:r>
            <w:proofErr w:type="spellStart"/>
            <w:r w:rsidRPr="00836EE8">
              <w:rPr>
                <w:rFonts w:ascii="Calibri" w:eastAsia="Times New Roman" w:hAnsi="Calibri" w:cs="Arial"/>
                <w:kern w:val="0"/>
                <w:lang w:val="es-ES" w:eastAsia="es-CR"/>
                <w14:ligatures w14:val="none"/>
              </w:rPr>
              <w:t>quaestionis</w:t>
            </w:r>
            <w:proofErr w:type="spellEnd"/>
            <w:r w:rsidRPr="00836EE8">
              <w:rPr>
                <w:rFonts w:ascii="Calibri" w:eastAsia="Times New Roman" w:hAnsi="Calibri" w:cs="Arial"/>
                <w:kern w:val="0"/>
                <w:lang w:val="es-ES" w:eastAsia="es-CR"/>
                <w14:ligatures w14:val="none"/>
              </w:rPr>
              <w:t xml:space="preserve">” y perspectivas”. </w:t>
            </w:r>
            <w:r w:rsidRPr="00836EE8">
              <w:rPr>
                <w:rFonts w:ascii="Calibri" w:eastAsia="Times New Roman" w:hAnsi="Calibri" w:cs="Arial"/>
                <w:i/>
                <w:iCs/>
                <w:kern w:val="0"/>
                <w:lang w:val="es-ES" w:eastAsia="es-CR"/>
                <w14:ligatures w14:val="none"/>
              </w:rPr>
              <w:t>Estudios Bíblicos</w:t>
            </w:r>
            <w:r w:rsidRPr="00836EE8">
              <w:rPr>
                <w:rFonts w:ascii="Calibri" w:eastAsia="Times New Roman" w:hAnsi="Calibri" w:cs="Arial"/>
                <w:kern w:val="0"/>
                <w:lang w:val="es-ES" w:eastAsia="es-CR"/>
                <w14:ligatures w14:val="none"/>
              </w:rPr>
              <w:t xml:space="preserve"> 77, Cuaderno 2 (2019): 199-217.</w:t>
            </w:r>
          </w:p>
          <w:p w14:paraId="0E1E5CA8"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B050"/>
                <w:kern w:val="0"/>
                <w:lang w:val="es-ES" w:eastAsia="es-CR"/>
                <w14:ligatures w14:val="none"/>
              </w:rPr>
            </w:pPr>
            <w:r w:rsidRPr="00836EE8">
              <w:rPr>
                <w:rFonts w:ascii="Calibri" w:eastAsia="Times New Roman" w:hAnsi="Calibri" w:cs="Arial"/>
                <w:kern w:val="0"/>
                <w:lang w:val="es-ES" w:eastAsia="es-CR"/>
                <w14:ligatures w14:val="none"/>
              </w:rPr>
              <w:lastRenderedPageBreak/>
              <w:t xml:space="preserve">Sarasa Gallego, Luis Guillermo. “Las comunidades </w:t>
            </w:r>
            <w:proofErr w:type="spellStart"/>
            <w:r w:rsidRPr="00836EE8">
              <w:rPr>
                <w:rFonts w:ascii="Calibri" w:eastAsia="Times New Roman" w:hAnsi="Calibri" w:cs="Arial"/>
                <w:kern w:val="0"/>
                <w:lang w:val="es-ES" w:eastAsia="es-CR"/>
                <w14:ligatures w14:val="none"/>
              </w:rPr>
              <w:t>juánicas</w:t>
            </w:r>
            <w:proofErr w:type="spellEnd"/>
            <w:r w:rsidRPr="00836EE8">
              <w:rPr>
                <w:rFonts w:ascii="Calibri" w:eastAsia="Times New Roman" w:hAnsi="Calibri" w:cs="Arial"/>
                <w:kern w:val="0"/>
                <w:lang w:val="es-ES" w:eastAsia="es-CR"/>
                <w14:ligatures w14:val="none"/>
              </w:rPr>
              <w:t xml:space="preserve">: la original diversidad”. </w:t>
            </w:r>
            <w:proofErr w:type="spellStart"/>
            <w:r w:rsidRPr="00836EE8">
              <w:rPr>
                <w:rFonts w:ascii="Calibri" w:eastAsia="Times New Roman" w:hAnsi="Calibri" w:cs="Arial"/>
                <w:i/>
                <w:iCs/>
                <w:kern w:val="0"/>
                <w:lang w:val="es-ES" w:eastAsia="es-CR"/>
                <w14:ligatures w14:val="none"/>
              </w:rPr>
              <w:t>Theologica</w:t>
            </w:r>
            <w:proofErr w:type="spellEnd"/>
            <w:r w:rsidRPr="00836EE8">
              <w:rPr>
                <w:rFonts w:ascii="Calibri" w:eastAsia="Times New Roman" w:hAnsi="Calibri" w:cs="Arial"/>
                <w:i/>
                <w:iCs/>
                <w:kern w:val="0"/>
                <w:lang w:val="es-ES" w:eastAsia="es-CR"/>
                <w14:ligatures w14:val="none"/>
              </w:rPr>
              <w:t xml:space="preserve"> </w:t>
            </w:r>
            <w:proofErr w:type="spellStart"/>
            <w:r w:rsidRPr="00836EE8">
              <w:rPr>
                <w:rFonts w:ascii="Calibri" w:eastAsia="Times New Roman" w:hAnsi="Calibri" w:cs="Arial"/>
                <w:i/>
                <w:iCs/>
                <w:kern w:val="0"/>
                <w:lang w:val="es-ES" w:eastAsia="es-CR"/>
                <w14:ligatures w14:val="none"/>
              </w:rPr>
              <w:t>Xaveriana</w:t>
            </w:r>
            <w:proofErr w:type="spellEnd"/>
            <w:r w:rsidRPr="00836EE8">
              <w:rPr>
                <w:rFonts w:ascii="Calibri" w:eastAsia="Times New Roman" w:hAnsi="Calibri" w:cs="Arial"/>
                <w:kern w:val="0"/>
                <w:lang w:val="es-ES" w:eastAsia="es-CR"/>
                <w14:ligatures w14:val="none"/>
              </w:rPr>
              <w:t xml:space="preserve">, n. 177 (2014): 211-240. Acceso el 18 de diciembre de 2020.  </w:t>
            </w:r>
            <w:hyperlink r:id="rId137">
              <w:r w:rsidRPr="00836EE8">
                <w:rPr>
                  <w:rFonts w:ascii="Calibri" w:eastAsia="Times New Roman" w:hAnsi="Calibri" w:cs="Arial"/>
                  <w:color w:val="0000FF"/>
                  <w:kern w:val="0"/>
                  <w:u w:val="single"/>
                  <w:lang w:val="es-ES" w:eastAsia="es-CR"/>
                  <w14:ligatures w14:val="none"/>
                </w:rPr>
                <w:t>https://revistas.javeriana.edu.co/index.php/teoxaveriana/article/view/10969</w:t>
              </w:r>
            </w:hyperlink>
            <w:r w:rsidRPr="00836EE8">
              <w:rPr>
                <w:rFonts w:ascii="Calibri" w:eastAsia="Times New Roman" w:hAnsi="Calibri" w:cs="Arial"/>
                <w:color w:val="00B050"/>
                <w:kern w:val="0"/>
                <w:lang w:val="es-ES" w:eastAsia="es-CR"/>
                <w14:ligatures w14:val="none"/>
              </w:rPr>
              <w:t xml:space="preserve"> </w:t>
            </w:r>
          </w:p>
          <w:p w14:paraId="3DD54ADC"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70C0"/>
                <w:kern w:val="0"/>
                <w:lang w:val="es-ES" w:eastAsia="es-CR"/>
                <w14:ligatures w14:val="none"/>
              </w:rPr>
            </w:pPr>
            <w:r w:rsidRPr="00836EE8">
              <w:rPr>
                <w:rFonts w:ascii="Calibri" w:eastAsia="Times New Roman" w:hAnsi="Calibri" w:cs="Arial"/>
                <w:color w:val="0070C0"/>
                <w:kern w:val="0"/>
                <w:lang w:val="es-ES" w:eastAsia="es-CR"/>
                <w14:ligatures w14:val="none"/>
              </w:rPr>
              <w:t>Guía para la participación en un foro en la plataforma Moodle</w:t>
            </w:r>
          </w:p>
          <w:p w14:paraId="3AA5ABBF"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70C0"/>
                <w:kern w:val="0"/>
                <w:lang w:val="es-ES" w:eastAsia="es-CR"/>
                <w14:ligatures w14:val="none"/>
              </w:rPr>
            </w:pPr>
            <w:r w:rsidRPr="00836EE8">
              <w:rPr>
                <w:rFonts w:ascii="Calibri" w:eastAsia="Times New Roman" w:hAnsi="Calibri" w:cs="Arial"/>
                <w:color w:val="0070C0"/>
                <w:kern w:val="0"/>
                <w:lang w:val="es-ES" w:eastAsia="es-CR"/>
                <w14:ligatures w14:val="none"/>
              </w:rPr>
              <w:t>Guía para la elaboración de un diario reflexivo</w:t>
            </w:r>
          </w:p>
          <w:p w14:paraId="00BA7F5B"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0DB465AF"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lastRenderedPageBreak/>
              <w:t>Realizar la lectura del texto asignado.</w:t>
            </w:r>
          </w:p>
          <w:p w14:paraId="5CAD90B6"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segunda entrega del diario reflexivo.</w:t>
            </w:r>
          </w:p>
          <w:p w14:paraId="09958CEB"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sobre la cultura helenista y la situación de la mujer en los evangelios en el foro temático grupal.</w:t>
            </w:r>
          </w:p>
          <w:p w14:paraId="494BD9A7"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Foro temático grupal: ¿Qué elementos sobre la cultura y la situación de las mujeres encontramos en Mc 7, 24-30?</w:t>
            </w:r>
          </w:p>
          <w:p w14:paraId="7DE9C40A"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 xml:space="preserve">Respuesta docente al trabajo en el foro temático grupal. </w:t>
            </w:r>
          </w:p>
        </w:tc>
      </w:tr>
      <w:tr w:rsidR="00836EE8" w:rsidRPr="00836EE8" w14:paraId="38D11CF6" w14:textId="77777777" w:rsidTr="4C9C2619">
        <w:trPr>
          <w:jc w:val="center"/>
        </w:trPr>
        <w:tc>
          <w:tcPr>
            <w:tcW w:w="1129" w:type="dxa"/>
          </w:tcPr>
          <w:p w14:paraId="44AF48BC"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10</w:t>
            </w:r>
          </w:p>
          <w:p w14:paraId="13861E7B"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1B4C016B"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3: Los evangelios y su entorno sociocultural</w:t>
            </w:r>
          </w:p>
          <w:p w14:paraId="4DDF2A3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 xml:space="preserve">3.1 </w:t>
            </w:r>
            <w:r w:rsidRPr="00836EE8">
              <w:rPr>
                <w:rFonts w:ascii="Calibri" w:eastAsia="Times New Roman" w:hAnsi="Calibri" w:cs="Calibri"/>
                <w:bCs/>
                <w:kern w:val="0"/>
                <w:lang w:val="es-ES_tradnl" w:eastAsia="es-CR"/>
                <w14:ligatures w14:val="none"/>
              </w:rPr>
              <w:t xml:space="preserve">El </w:t>
            </w:r>
            <w:r w:rsidRPr="00836EE8">
              <w:rPr>
                <w:rFonts w:ascii="Calibri" w:eastAsia="Times New Roman" w:hAnsi="Calibri" w:cs="Calibri"/>
                <w:kern w:val="0"/>
                <w:lang w:val="es-ES_tradnl" w:eastAsia="es-CR"/>
                <w14:ligatures w14:val="none"/>
              </w:rPr>
              <w:t>Nuevo Testamento y su mundo</w:t>
            </w:r>
          </w:p>
        </w:tc>
        <w:tc>
          <w:tcPr>
            <w:tcW w:w="3119" w:type="dxa"/>
          </w:tcPr>
          <w:p w14:paraId="0562FFE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42003A2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Gil </w:t>
            </w:r>
            <w:proofErr w:type="spellStart"/>
            <w:r w:rsidRPr="00836EE8">
              <w:rPr>
                <w:rFonts w:ascii="Calibri" w:eastAsia="Times New Roman" w:hAnsi="Calibri" w:cs="Arial"/>
                <w:color w:val="000000"/>
                <w:kern w:val="0"/>
                <w:lang w:val="es-ES" w:eastAsia="es-CR"/>
                <w14:ligatures w14:val="none"/>
              </w:rPr>
              <w:t>Arbiol</w:t>
            </w:r>
            <w:proofErr w:type="spellEnd"/>
            <w:r w:rsidRPr="00836EE8">
              <w:rPr>
                <w:rFonts w:ascii="Calibri" w:eastAsia="Times New Roman" w:hAnsi="Calibri" w:cs="Arial"/>
                <w:color w:val="000000"/>
                <w:kern w:val="0"/>
                <w:lang w:val="es-ES" w:eastAsia="es-CR"/>
                <w14:ligatures w14:val="none"/>
              </w:rPr>
              <w:t xml:space="preserve">, Carlos. “Jesús y el judaísmo de su tiempo: conflicto y muerte”. </w:t>
            </w:r>
            <w:r w:rsidRPr="00836EE8">
              <w:rPr>
                <w:rFonts w:ascii="Calibri" w:eastAsia="Times New Roman" w:hAnsi="Calibri" w:cs="Arial"/>
                <w:i/>
                <w:iCs/>
                <w:color w:val="000000"/>
                <w:kern w:val="0"/>
                <w:lang w:val="es-ES" w:eastAsia="es-CR"/>
                <w14:ligatures w14:val="none"/>
              </w:rPr>
              <w:t xml:space="preserve">Reseña Bíblica </w:t>
            </w:r>
            <w:r w:rsidRPr="00836EE8">
              <w:rPr>
                <w:rFonts w:ascii="Calibri" w:eastAsia="Times New Roman" w:hAnsi="Calibri" w:cs="Arial"/>
                <w:color w:val="000000"/>
                <w:kern w:val="0"/>
                <w:lang w:val="es-ES" w:eastAsia="es-CR"/>
                <w14:ligatures w14:val="none"/>
              </w:rPr>
              <w:t xml:space="preserve">n.109 (2021): 36-47. </w:t>
            </w:r>
          </w:p>
          <w:p w14:paraId="1DC3BFF7"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Carbajosa Ignacio, Joaquín González Echegaray y Francisco Varo. “El nacimiento del judaísmo rabínico”. En La Biblia en su entorno, 392-405. Estella: Verbo Divino, 2023.</w:t>
            </w:r>
          </w:p>
          <w:p w14:paraId="79A81961"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40E29659"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elaboración de una reseña crítica de lectura</w:t>
            </w:r>
          </w:p>
          <w:p w14:paraId="4FAEB4C4" w14:textId="77777777" w:rsidR="00836EE8" w:rsidRPr="00836EE8" w:rsidRDefault="00836EE8" w:rsidP="4C9C2619">
            <w:pPr>
              <w:widowControl w:val="0"/>
              <w:overflowPunct w:val="0"/>
              <w:autoSpaceDE w:val="0"/>
              <w:autoSpaceDN w:val="0"/>
              <w:adjustRightInd w:val="0"/>
              <w:spacing w:before="120" w:after="0" w:line="240" w:lineRule="auto"/>
              <w:rPr>
                <w:rFonts w:ascii="Calibri" w:eastAsia="Times New Roman" w:hAnsi="Calibri" w:cs="Calibri"/>
                <w:color w:val="000000"/>
                <w:kern w:val="0"/>
                <w:sz w:val="20"/>
                <w:szCs w:val="2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7C599446"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tc>
        <w:tc>
          <w:tcPr>
            <w:tcW w:w="3402" w:type="dxa"/>
          </w:tcPr>
          <w:p w14:paraId="139A2FCD"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Elaboración de una reseña crítica de la lectura.</w:t>
            </w:r>
          </w:p>
          <w:p w14:paraId="1D289461"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El Imperio Romano, seguida de una discusión grupal en un encuentro sincrónico virtual (formativo).</w:t>
            </w:r>
          </w:p>
        </w:tc>
      </w:tr>
      <w:tr w:rsidR="00836EE8" w:rsidRPr="00836EE8" w14:paraId="799E1845" w14:textId="77777777" w:rsidTr="4C9C2619">
        <w:trPr>
          <w:jc w:val="center"/>
        </w:trPr>
        <w:tc>
          <w:tcPr>
            <w:tcW w:w="1129" w:type="dxa"/>
          </w:tcPr>
          <w:p w14:paraId="4950ED65"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11</w:t>
            </w:r>
          </w:p>
          <w:p w14:paraId="40B02856"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4108539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836EE8">
              <w:rPr>
                <w:rFonts w:ascii="Calibri" w:eastAsia="Times New Roman" w:hAnsi="Calibri" w:cs="Calibri"/>
                <w:b/>
                <w:bCs/>
                <w:kern w:val="0"/>
                <w:lang w:val="es-ES_tradnl" w:eastAsia="es-CR"/>
                <w14:ligatures w14:val="none"/>
              </w:rPr>
              <w:t>Unidad 3: Los evangelios y su entorno sociocultural</w:t>
            </w:r>
          </w:p>
          <w:p w14:paraId="777CAF35"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3.2 Los evangelios y su entorno socio-literario</w:t>
            </w:r>
          </w:p>
        </w:tc>
        <w:tc>
          <w:tcPr>
            <w:tcW w:w="3119" w:type="dxa"/>
          </w:tcPr>
          <w:p w14:paraId="055A8A28"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7D72C46B" w14:textId="77777777" w:rsidR="00836EE8" w:rsidRPr="00836EE8" w:rsidRDefault="00836EE8" w:rsidP="00836EE8">
            <w:pPr>
              <w:spacing w:after="0" w:line="240" w:lineRule="auto"/>
              <w:contextualSpacing/>
              <w:rPr>
                <w:rFonts w:ascii="Calibri" w:eastAsia="Times New Roman" w:hAnsi="Calibri" w:cs="Calibri"/>
                <w:bCs/>
                <w:color w:val="000000"/>
                <w:kern w:val="0"/>
                <w:lang w:val="es-ES_tradnl" w:eastAsia="es-CR"/>
                <w14:ligatures w14:val="none"/>
              </w:rPr>
            </w:pPr>
          </w:p>
          <w:p w14:paraId="36E63D4D"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r w:rsidRPr="00836EE8">
              <w:rPr>
                <w:rFonts w:ascii="Calibri" w:eastAsia="Times New Roman" w:hAnsi="Calibri" w:cs="Calibri"/>
                <w:bCs/>
                <w:color w:val="000000"/>
                <w:kern w:val="0"/>
                <w:lang w:val="es-ES_tradnl" w:eastAsia="es-CR"/>
                <w14:ligatures w14:val="none"/>
              </w:rPr>
              <w:t xml:space="preserve">Piñero, Antonio. “Evangelio y evangelios: cuestiones candentes y su posible respuesta”. En </w:t>
            </w:r>
            <w:r w:rsidRPr="00836EE8">
              <w:rPr>
                <w:rFonts w:ascii="Calibri" w:eastAsia="Times New Roman" w:hAnsi="Calibri" w:cs="Calibri"/>
                <w:bCs/>
                <w:i/>
                <w:iCs/>
                <w:color w:val="000000"/>
                <w:kern w:val="0"/>
                <w:lang w:val="es-ES_tradnl" w:eastAsia="es-CR"/>
                <w14:ligatures w14:val="none"/>
              </w:rPr>
              <w:t>Aproximación al Jesús histórico</w:t>
            </w:r>
            <w:r w:rsidRPr="00836EE8">
              <w:rPr>
                <w:rFonts w:ascii="Calibri" w:eastAsia="Times New Roman" w:hAnsi="Calibri" w:cs="Calibri"/>
                <w:bCs/>
                <w:color w:val="000000"/>
                <w:kern w:val="0"/>
                <w:lang w:val="es-ES_tradnl" w:eastAsia="es-CR"/>
                <w14:ligatures w14:val="none"/>
              </w:rPr>
              <w:t xml:space="preserve">, 103-152. Madrid: Trotta, 2018. </w:t>
            </w:r>
            <w:r w:rsidRPr="00836EE8">
              <w:rPr>
                <w:rFonts w:ascii="Calibri" w:eastAsia="Times New Roman" w:hAnsi="Calibri" w:cs="Arial"/>
                <w:color w:val="0070C0"/>
                <w:kern w:val="0"/>
                <w:lang w:val="es-ES" w:eastAsia="es-CR"/>
                <w14:ligatures w14:val="none"/>
              </w:rPr>
              <w:t>(clásico, última edición)</w:t>
            </w:r>
          </w:p>
          <w:p w14:paraId="39CA7356" w14:textId="77777777" w:rsidR="00836EE8" w:rsidRPr="00836EE8" w:rsidRDefault="00836EE8" w:rsidP="00836EE8">
            <w:pPr>
              <w:spacing w:after="0" w:line="240" w:lineRule="auto"/>
              <w:contextualSpacing/>
              <w:rPr>
                <w:rFonts w:ascii="Calibri" w:eastAsia="Times New Roman" w:hAnsi="Calibri" w:cs="Calibri"/>
                <w:color w:val="FF0000"/>
                <w:kern w:val="0"/>
                <w:lang w:val="es-ES_tradnl" w:eastAsia="es-CR"/>
                <w14:ligatures w14:val="none"/>
              </w:rPr>
            </w:pPr>
          </w:p>
          <w:p w14:paraId="26B78535"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697E095C"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p>
          <w:p w14:paraId="2339F6B9" w14:textId="77777777" w:rsidR="00836EE8" w:rsidRPr="00836EE8" w:rsidRDefault="00836EE8" w:rsidP="4C9C2619">
            <w:pPr>
              <w:spacing w:after="0" w:line="240" w:lineRule="auto"/>
              <w:contextualSpacing/>
              <w:rPr>
                <w:rFonts w:ascii="Calibri" w:eastAsia="Times New Roman" w:hAnsi="Calibri" w:cs="Calibri"/>
                <w:color w:val="FF0000"/>
                <w:kern w:val="0"/>
                <w:lang w:val="es-ES" w:eastAsia="es-CR"/>
                <w14:ligatures w14:val="none"/>
              </w:rPr>
            </w:pPr>
            <w:r w:rsidRPr="4C9C2619">
              <w:rPr>
                <w:rFonts w:ascii="Calibri" w:eastAsia="Times New Roman" w:hAnsi="Calibri" w:cs="Calibri"/>
                <w:color w:val="0070C0"/>
                <w:kern w:val="0"/>
                <w:lang w:val="es-ES" w:eastAsia="es-CR"/>
                <w14:ligatures w14:val="none"/>
              </w:rPr>
              <w:lastRenderedPageBreak/>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tc>
        <w:tc>
          <w:tcPr>
            <w:tcW w:w="3402" w:type="dxa"/>
          </w:tcPr>
          <w:p w14:paraId="01BAEB0E"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lastRenderedPageBreak/>
              <w:t>Realizar la lectura del texto asignado.</w:t>
            </w:r>
          </w:p>
          <w:p w14:paraId="7AD8356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Iniciar la elaboración del ensayo final.</w:t>
            </w:r>
          </w:p>
          <w:p w14:paraId="5384940B"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Los evangelios como literatura, seguida de una discusión grupal en un encuentro sincrónico virtual (formativo).</w:t>
            </w:r>
          </w:p>
          <w:p w14:paraId="2030579E"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1D3ECD1A" w14:textId="77777777" w:rsidTr="4C9C2619">
        <w:trPr>
          <w:jc w:val="center"/>
        </w:trPr>
        <w:tc>
          <w:tcPr>
            <w:tcW w:w="1129" w:type="dxa"/>
          </w:tcPr>
          <w:p w14:paraId="41160108"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12</w:t>
            </w:r>
          </w:p>
          <w:p w14:paraId="04327464"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1EA7C3B2"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836EE8">
              <w:rPr>
                <w:rFonts w:ascii="Calibri" w:eastAsia="Times New Roman" w:hAnsi="Calibri" w:cs="Calibri"/>
                <w:b/>
                <w:kern w:val="0"/>
                <w:lang w:val="es-ES_tradnl" w:eastAsia="es-CR"/>
                <w14:ligatures w14:val="none"/>
              </w:rPr>
              <w:t>Unidad 4: Evangelios y literatura</w:t>
            </w:r>
          </w:p>
          <w:p w14:paraId="250B5351"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bCs/>
                <w:kern w:val="0"/>
                <w:lang w:val="es-ES_tradnl" w:eastAsia="es-CR"/>
                <w14:ligatures w14:val="none"/>
              </w:rPr>
              <w:t>4.1 Del evento Jesús a los evangelios</w:t>
            </w:r>
          </w:p>
        </w:tc>
        <w:tc>
          <w:tcPr>
            <w:tcW w:w="3119" w:type="dxa"/>
          </w:tcPr>
          <w:p w14:paraId="3E880120"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029FF308" w14:textId="77777777" w:rsidR="00836EE8" w:rsidRPr="00836EE8" w:rsidRDefault="00836EE8" w:rsidP="00836EE8">
            <w:pPr>
              <w:spacing w:after="0" w:line="240" w:lineRule="auto"/>
              <w:contextualSpacing/>
              <w:rPr>
                <w:rFonts w:ascii="Calibri" w:eastAsia="Times New Roman" w:hAnsi="Calibri" w:cs="Arial"/>
                <w:color w:val="0070C0"/>
                <w:kern w:val="0"/>
                <w:lang w:val="es-ES" w:eastAsia="es-CR"/>
                <w14:ligatures w14:val="none"/>
              </w:rPr>
            </w:pPr>
            <w:proofErr w:type="spellStart"/>
            <w:r w:rsidRPr="00836EE8">
              <w:rPr>
                <w:rFonts w:ascii="Calibri" w:eastAsia="Times New Roman" w:hAnsi="Calibri" w:cs="Arial"/>
                <w:color w:val="000000"/>
                <w:kern w:val="0"/>
                <w:lang w:val="es-ES" w:eastAsia="es-CR"/>
                <w14:ligatures w14:val="none"/>
              </w:rPr>
              <w:t>Schüssler</w:t>
            </w:r>
            <w:proofErr w:type="spellEnd"/>
            <w:r w:rsidRPr="00836EE8">
              <w:rPr>
                <w:rFonts w:ascii="Calibri" w:eastAsia="Times New Roman" w:hAnsi="Calibri" w:cs="Arial"/>
                <w:color w:val="000000"/>
                <w:kern w:val="0"/>
                <w:lang w:val="es-ES" w:eastAsia="es-CR"/>
                <w14:ligatures w14:val="none"/>
              </w:rPr>
              <w:t xml:space="preserve"> Fiereza, Elisabeth. “La formación del canon del Nuevo Testamento y la marginalización de las mujeres”.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 xml:space="preserve">editado por Mercedes Navarro y </w:t>
            </w:r>
            <w:proofErr w:type="spellStart"/>
            <w:r w:rsidRPr="00836EE8">
              <w:rPr>
                <w:rFonts w:ascii="Calibri" w:eastAsia="Times New Roman" w:hAnsi="Calibri" w:cs="Arial"/>
                <w:color w:val="000000"/>
                <w:kern w:val="0"/>
                <w:lang w:val="es-ES" w:eastAsia="es-CR"/>
                <w14:ligatures w14:val="none"/>
              </w:rPr>
              <w:t>Marinella</w:t>
            </w:r>
            <w:proofErr w:type="spellEnd"/>
            <w:r w:rsidRPr="00836EE8">
              <w:rPr>
                <w:rFonts w:ascii="Calibri" w:eastAsia="Times New Roman" w:hAnsi="Calibri" w:cs="Arial"/>
                <w:color w:val="000000"/>
                <w:kern w:val="0"/>
                <w:lang w:val="es-ES" w:eastAsia="es-CR"/>
                <w14:ligatures w14:val="none"/>
              </w:rPr>
              <w:t xml:space="preserve"> Perroni, 33-44. Estella: Verbo Divino, 2011.  </w:t>
            </w:r>
            <w:r w:rsidRPr="00836EE8">
              <w:rPr>
                <w:rFonts w:ascii="Calibri" w:eastAsia="Times New Roman" w:hAnsi="Calibri" w:cs="Arial"/>
                <w:color w:val="0070C0"/>
                <w:kern w:val="0"/>
                <w:lang w:val="es-ES" w:eastAsia="es-CR"/>
                <w14:ligatures w14:val="none"/>
              </w:rPr>
              <w:t>(clásico, última edición)</w:t>
            </w:r>
          </w:p>
          <w:p w14:paraId="4D3B3B8B"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p w14:paraId="746821D5"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59E6CD28"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p>
          <w:p w14:paraId="06595D36"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participación en un foro en la plataforma Moodle</w:t>
            </w:r>
          </w:p>
          <w:p w14:paraId="2D59A6C0"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c>
          <w:tcPr>
            <w:tcW w:w="3402" w:type="dxa"/>
          </w:tcPr>
          <w:p w14:paraId="635EEE3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Realizar la lectura del texto asignado.</w:t>
            </w:r>
          </w:p>
          <w:p w14:paraId="4BE48A7E"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Continuar avanzando en la elaboración del ensayo final.</w:t>
            </w:r>
          </w:p>
          <w:p w14:paraId="19A1E28F"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de discusión grupal: La formación del canon y la marginalización de las mujeres (donde se compartirá una exposición docente) (formativo).</w:t>
            </w:r>
          </w:p>
          <w:p w14:paraId="727D592B"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p w14:paraId="4DD2C2ED"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p w14:paraId="298CE520"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5B359034" w14:textId="77777777" w:rsidTr="4C9C2619">
        <w:trPr>
          <w:jc w:val="center"/>
        </w:trPr>
        <w:tc>
          <w:tcPr>
            <w:tcW w:w="1129" w:type="dxa"/>
          </w:tcPr>
          <w:p w14:paraId="0D4F1512"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13</w:t>
            </w:r>
          </w:p>
          <w:p w14:paraId="2DE816FA"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3BC63A94"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836EE8">
              <w:rPr>
                <w:rFonts w:ascii="Calibri" w:eastAsia="Times New Roman" w:hAnsi="Calibri" w:cs="Calibri"/>
                <w:b/>
                <w:kern w:val="0"/>
                <w:lang w:val="es-ES_tradnl" w:eastAsia="es-CR"/>
                <w14:ligatures w14:val="none"/>
              </w:rPr>
              <w:t>Unidad 4: Evangelios y literatura</w:t>
            </w:r>
          </w:p>
          <w:p w14:paraId="3EC21DBA"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836EE8">
              <w:rPr>
                <w:rFonts w:ascii="Calibri" w:eastAsia="Times New Roman" w:hAnsi="Calibri" w:cs="Calibri"/>
                <w:bCs/>
                <w:kern w:val="0"/>
                <w:lang w:val="es-ES_tradnl" w:eastAsia="es-CR"/>
                <w14:ligatures w14:val="none"/>
              </w:rPr>
              <w:t>4.2 Los evangelios como literatura…frente a “la” literatura</w:t>
            </w:r>
          </w:p>
        </w:tc>
        <w:tc>
          <w:tcPr>
            <w:tcW w:w="3119" w:type="dxa"/>
          </w:tcPr>
          <w:p w14:paraId="37FB39D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3BE7D68F"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p w14:paraId="481F0EC8"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6A86D889"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p>
          <w:p w14:paraId="522DDD5B"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70C0"/>
                <w:kern w:val="0"/>
                <w:lang w:val="es-ES_tradnl" w:eastAsia="es-CR"/>
                <w14:ligatures w14:val="none"/>
              </w:rPr>
              <w:t>Guía para la participación en un foro en la plataforma Moodle</w:t>
            </w:r>
          </w:p>
        </w:tc>
        <w:tc>
          <w:tcPr>
            <w:tcW w:w="3402" w:type="dxa"/>
          </w:tcPr>
          <w:p w14:paraId="4491C0E1"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Continuar avanzando en la elaboración del ensayo final.</w:t>
            </w:r>
          </w:p>
          <w:p w14:paraId="26A142E5"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Exposición docente: Las formas tradicionales de la literatura en el foro temático grupal.</w:t>
            </w:r>
          </w:p>
          <w:p w14:paraId="139005CA"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Foro temático grupal: ¿Cuáles son las formas más conocidas del material tradicional? (formativo)</w:t>
            </w:r>
          </w:p>
          <w:p w14:paraId="173ACB83"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Respuesta docente al trabajo en el foro temático grupal.</w:t>
            </w:r>
          </w:p>
          <w:p w14:paraId="459E0BC0"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p>
        </w:tc>
      </w:tr>
      <w:tr w:rsidR="00836EE8" w:rsidRPr="00836EE8" w14:paraId="2D34585B" w14:textId="77777777" w:rsidTr="4C9C2619">
        <w:trPr>
          <w:jc w:val="center"/>
        </w:trPr>
        <w:tc>
          <w:tcPr>
            <w:tcW w:w="1129" w:type="dxa"/>
          </w:tcPr>
          <w:p w14:paraId="30E9F15C"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14</w:t>
            </w:r>
          </w:p>
          <w:p w14:paraId="19DD216E"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5358259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836EE8">
              <w:rPr>
                <w:rFonts w:ascii="Calibri" w:eastAsia="Times New Roman" w:hAnsi="Calibri" w:cs="Calibri"/>
                <w:b/>
                <w:kern w:val="0"/>
                <w:lang w:val="es-ES_tradnl" w:eastAsia="es-CR"/>
                <w14:ligatures w14:val="none"/>
              </w:rPr>
              <w:t>Unidad 4: Evangelios y literatura</w:t>
            </w:r>
          </w:p>
          <w:p w14:paraId="77A80220" w14:textId="77777777" w:rsidR="00836EE8" w:rsidRPr="00836EE8" w:rsidRDefault="00836EE8" w:rsidP="00836EE8">
            <w:pPr>
              <w:spacing w:after="0" w:line="240" w:lineRule="auto"/>
              <w:contextualSpacing/>
              <w:rPr>
                <w:rFonts w:ascii="Calibri" w:eastAsia="Times New Roman" w:hAnsi="Calibri" w:cs="Calibri"/>
                <w:kern w:val="0"/>
                <w:lang w:val="es-ES_tradnl" w:eastAsia="es-CR"/>
                <w14:ligatures w14:val="none"/>
              </w:rPr>
            </w:pPr>
          </w:p>
          <w:p w14:paraId="03667CC4" w14:textId="77777777" w:rsidR="00836EE8" w:rsidRPr="00836EE8" w:rsidRDefault="00836EE8" w:rsidP="00836EE8">
            <w:pPr>
              <w:spacing w:after="0" w:line="240" w:lineRule="auto"/>
              <w:contextualSpacing/>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4.3 Entrega y exposición del ensayo final</w:t>
            </w:r>
          </w:p>
        </w:tc>
        <w:tc>
          <w:tcPr>
            <w:tcW w:w="3119" w:type="dxa"/>
          </w:tcPr>
          <w:p w14:paraId="0DCD177D" w14:textId="77777777" w:rsidR="00836EE8" w:rsidRPr="00836EE8" w:rsidRDefault="00836EE8" w:rsidP="00836EE8">
            <w:pPr>
              <w:spacing w:after="0" w:line="246" w:lineRule="auto"/>
              <w:ind w:right="-12"/>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100AD74D" w14:textId="77777777" w:rsidR="00836EE8" w:rsidRPr="00836EE8" w:rsidRDefault="00836EE8" w:rsidP="00836EE8">
            <w:pPr>
              <w:spacing w:after="0" w:line="246" w:lineRule="auto"/>
              <w:ind w:right="-12"/>
              <w:contextualSpacing/>
              <w:rPr>
                <w:rFonts w:ascii="Calibri" w:eastAsia="Times New Roman" w:hAnsi="Calibri" w:cs="Calibri"/>
                <w:bCs/>
                <w:color w:val="0070C0"/>
                <w:kern w:val="0"/>
                <w:lang w:val="es-ES_tradnl" w:eastAsia="es-CR"/>
                <w14:ligatures w14:val="none"/>
              </w:rPr>
            </w:pPr>
          </w:p>
          <w:p w14:paraId="0AF263FE" w14:textId="77777777" w:rsidR="00836EE8" w:rsidRPr="00836EE8" w:rsidRDefault="00836EE8" w:rsidP="00836EE8">
            <w:pPr>
              <w:spacing w:after="0" w:line="246" w:lineRule="auto"/>
              <w:ind w:right="-12"/>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0FF2B189" w14:textId="77777777" w:rsidR="00836EE8" w:rsidRPr="00836EE8" w:rsidRDefault="00836EE8" w:rsidP="00836EE8">
            <w:pPr>
              <w:spacing w:after="0" w:line="246" w:lineRule="auto"/>
              <w:ind w:right="-12"/>
              <w:contextualSpacing/>
              <w:rPr>
                <w:rFonts w:ascii="Calibri" w:eastAsia="Times New Roman" w:hAnsi="Calibri" w:cs="Calibri"/>
                <w:b/>
                <w:bCs/>
                <w:color w:val="0070C0"/>
                <w:kern w:val="0"/>
                <w:lang w:val="es-ES_tradnl" w:eastAsia="es-CR"/>
                <w14:ligatures w14:val="none"/>
              </w:rPr>
            </w:pPr>
          </w:p>
          <w:p w14:paraId="6C919954" w14:textId="77777777" w:rsidR="00836EE8" w:rsidRPr="00836EE8" w:rsidRDefault="00836EE8" w:rsidP="4C9C2619">
            <w:pPr>
              <w:spacing w:after="0" w:line="246" w:lineRule="auto"/>
              <w:ind w:right="-12"/>
              <w:contextualSpacing/>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28B40D13" w14:textId="77777777" w:rsidR="00836EE8" w:rsidRPr="00836EE8" w:rsidRDefault="00836EE8" w:rsidP="00836EE8">
            <w:pPr>
              <w:spacing w:after="0" w:line="246" w:lineRule="auto"/>
              <w:ind w:right="-12"/>
              <w:contextualSpacing/>
              <w:rPr>
                <w:rFonts w:ascii="Calibri" w:eastAsia="Times New Roman" w:hAnsi="Calibri" w:cs="Calibri"/>
                <w:color w:val="000000"/>
                <w:kern w:val="0"/>
                <w:lang w:val="es-ES_tradnl" w:eastAsia="es-CR"/>
                <w14:ligatures w14:val="none"/>
              </w:rPr>
            </w:pPr>
          </w:p>
        </w:tc>
        <w:tc>
          <w:tcPr>
            <w:tcW w:w="3402" w:type="dxa"/>
          </w:tcPr>
          <w:p w14:paraId="1E665890"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Entrega del ensayo final.</w:t>
            </w:r>
          </w:p>
          <w:p w14:paraId="57604ACD"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Exposiciones de estudiantes en un encuentro sincrónico virtual (formativo).</w:t>
            </w:r>
          </w:p>
          <w:p w14:paraId="2422870C"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Retroalimentación docente en el encuentro sincrónico.</w:t>
            </w:r>
          </w:p>
          <w:p w14:paraId="5BA39267"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r w:rsidR="00836EE8" w:rsidRPr="00836EE8" w14:paraId="44BCD688" w14:textId="77777777" w:rsidTr="4C9C2619">
        <w:trPr>
          <w:jc w:val="center"/>
        </w:trPr>
        <w:tc>
          <w:tcPr>
            <w:tcW w:w="1129" w:type="dxa"/>
          </w:tcPr>
          <w:p w14:paraId="4C2E53DB"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15</w:t>
            </w:r>
          </w:p>
          <w:p w14:paraId="2853C643" w14:textId="77777777" w:rsidR="00836EE8" w:rsidRPr="00836EE8" w:rsidRDefault="00836EE8" w:rsidP="00836EE8">
            <w:pPr>
              <w:widowControl w:val="0"/>
              <w:overflowPunct w:val="0"/>
              <w:autoSpaceDE w:val="0"/>
              <w:autoSpaceDN w:val="0"/>
              <w:adjustRightInd w:val="0"/>
              <w:spacing w:before="120" w:after="0" w:line="240" w:lineRule="auto"/>
              <w:ind w:left="-43"/>
              <w:jc w:val="center"/>
              <w:rPr>
                <w:rFonts w:ascii="Calibri" w:eastAsia="Times New Roman" w:hAnsi="Calibri" w:cs="Calibri"/>
                <w:color w:val="FF0000"/>
                <w:kern w:val="0"/>
                <w:lang w:val="es-ES_tradnl" w:eastAsia="es-CR"/>
                <w14:ligatures w14:val="none"/>
              </w:rPr>
            </w:pPr>
          </w:p>
        </w:tc>
        <w:tc>
          <w:tcPr>
            <w:tcW w:w="2268" w:type="dxa"/>
          </w:tcPr>
          <w:p w14:paraId="30E9B9AE" w14:textId="77777777" w:rsidR="00836EE8" w:rsidRPr="00836EE8" w:rsidRDefault="00836EE8" w:rsidP="00836EE8">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836EE8">
              <w:rPr>
                <w:rFonts w:ascii="Calibri" w:eastAsia="Times New Roman" w:hAnsi="Calibri" w:cs="Calibri"/>
                <w:b/>
                <w:kern w:val="0"/>
                <w:lang w:val="es-ES_tradnl" w:eastAsia="es-CR"/>
                <w14:ligatures w14:val="none"/>
              </w:rPr>
              <w:t>Unidad 4: Evangelios y literatura</w:t>
            </w:r>
          </w:p>
          <w:p w14:paraId="11850AAD" w14:textId="77777777" w:rsidR="00836EE8" w:rsidRPr="00836EE8" w:rsidRDefault="00836EE8" w:rsidP="00836EE8">
            <w:pPr>
              <w:spacing w:after="0" w:line="240" w:lineRule="auto"/>
              <w:contextualSpacing/>
              <w:rPr>
                <w:rFonts w:ascii="Calibri" w:eastAsia="Times New Roman" w:hAnsi="Calibri" w:cs="Calibri"/>
                <w:kern w:val="0"/>
                <w:lang w:val="es-ES_tradnl" w:eastAsia="es-CR"/>
                <w14:ligatures w14:val="none"/>
              </w:rPr>
            </w:pPr>
          </w:p>
          <w:p w14:paraId="37F746BF" w14:textId="77777777" w:rsidR="00836EE8" w:rsidRPr="00836EE8" w:rsidRDefault="00836EE8" w:rsidP="00836EE8">
            <w:pPr>
              <w:spacing w:after="0" w:line="240" w:lineRule="auto"/>
              <w:contextualSpacing/>
              <w:rPr>
                <w:rFonts w:ascii="Calibri" w:eastAsia="Times New Roman" w:hAnsi="Calibri" w:cs="Calibri"/>
                <w:kern w:val="0"/>
                <w:lang w:val="es-ES_tradnl" w:eastAsia="es-CR"/>
                <w14:ligatures w14:val="none"/>
              </w:rPr>
            </w:pPr>
            <w:r w:rsidRPr="00836EE8">
              <w:rPr>
                <w:rFonts w:ascii="Calibri" w:eastAsia="Times New Roman" w:hAnsi="Calibri" w:cs="Calibri"/>
                <w:kern w:val="0"/>
                <w:lang w:val="es-ES_tradnl" w:eastAsia="es-CR"/>
                <w14:ligatures w14:val="none"/>
              </w:rPr>
              <w:t>4.3 Entrega y exposición del ensayo final</w:t>
            </w:r>
          </w:p>
          <w:p w14:paraId="2461D432" w14:textId="77777777" w:rsidR="00836EE8" w:rsidRPr="00836EE8" w:rsidRDefault="00836EE8" w:rsidP="00836EE8">
            <w:pPr>
              <w:spacing w:after="0" w:line="240" w:lineRule="auto"/>
              <w:contextualSpacing/>
              <w:rPr>
                <w:rFonts w:ascii="Calibri" w:eastAsia="Times New Roman" w:hAnsi="Calibri" w:cs="Calibri"/>
                <w:kern w:val="0"/>
                <w:lang w:val="es-ES_tradnl" w:eastAsia="es-CR"/>
                <w14:ligatures w14:val="none"/>
              </w:rPr>
            </w:pPr>
          </w:p>
        </w:tc>
        <w:tc>
          <w:tcPr>
            <w:tcW w:w="3119" w:type="dxa"/>
          </w:tcPr>
          <w:p w14:paraId="58164E97"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r w:rsidRPr="00836EE8">
              <w:rPr>
                <w:rFonts w:ascii="Calibri" w:eastAsia="Times New Roman" w:hAnsi="Calibri" w:cs="Calibri"/>
                <w:bCs/>
                <w:color w:val="0070C0"/>
                <w:kern w:val="0"/>
                <w:lang w:val="es-ES_tradnl" w:eastAsia="es-CR"/>
                <w14:ligatures w14:val="none"/>
              </w:rPr>
              <w:t>Ruta de aprendizaje</w:t>
            </w:r>
          </w:p>
          <w:p w14:paraId="6AD1DB2F" w14:textId="77777777" w:rsidR="00836EE8" w:rsidRPr="00836EE8" w:rsidRDefault="00836EE8" w:rsidP="00836EE8">
            <w:pPr>
              <w:spacing w:after="0" w:line="240" w:lineRule="auto"/>
              <w:contextualSpacing/>
              <w:rPr>
                <w:rFonts w:ascii="Calibri" w:eastAsia="Times New Roman" w:hAnsi="Calibri" w:cs="Calibri"/>
                <w:bCs/>
                <w:color w:val="0070C0"/>
                <w:kern w:val="0"/>
                <w:lang w:val="es-ES_tradnl" w:eastAsia="es-CR"/>
                <w14:ligatures w14:val="none"/>
              </w:rPr>
            </w:pPr>
          </w:p>
          <w:p w14:paraId="0FD27C3C"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r w:rsidRPr="00836EE8">
              <w:rPr>
                <w:rFonts w:ascii="Calibri" w:eastAsia="Times New Roman" w:hAnsi="Calibri" w:cs="Calibri"/>
                <w:b/>
                <w:bCs/>
                <w:color w:val="0070C0"/>
                <w:kern w:val="0"/>
                <w:lang w:val="es-ES_tradnl" w:eastAsia="es-CR"/>
                <w14:ligatures w14:val="none"/>
              </w:rPr>
              <w:t>Material complementario</w:t>
            </w:r>
          </w:p>
          <w:p w14:paraId="18F4BB7A" w14:textId="77777777" w:rsidR="00836EE8" w:rsidRPr="00836EE8" w:rsidRDefault="00836EE8" w:rsidP="00836EE8">
            <w:pPr>
              <w:spacing w:after="0" w:line="240" w:lineRule="auto"/>
              <w:contextualSpacing/>
              <w:rPr>
                <w:rFonts w:ascii="Calibri" w:eastAsia="Times New Roman" w:hAnsi="Calibri" w:cs="Calibri"/>
                <w:b/>
                <w:bCs/>
                <w:color w:val="0070C0"/>
                <w:kern w:val="0"/>
                <w:lang w:val="es-ES_tradnl" w:eastAsia="es-CR"/>
                <w14:ligatures w14:val="none"/>
              </w:rPr>
            </w:pPr>
          </w:p>
          <w:p w14:paraId="7FC8FB34" w14:textId="77777777" w:rsidR="00836EE8" w:rsidRPr="00836EE8" w:rsidRDefault="00836EE8" w:rsidP="4C9C2619">
            <w:pPr>
              <w:spacing w:after="0" w:line="240" w:lineRule="auto"/>
              <w:contextualSpacing/>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5C59E975" w14:textId="77777777" w:rsidR="00836EE8" w:rsidRPr="00836EE8" w:rsidRDefault="00836EE8" w:rsidP="00836EE8">
            <w:pPr>
              <w:spacing w:after="0" w:line="240" w:lineRule="auto"/>
              <w:contextualSpacing/>
              <w:rPr>
                <w:rFonts w:ascii="Calibri" w:eastAsia="Times New Roman" w:hAnsi="Calibri" w:cs="Calibri"/>
                <w:color w:val="0070C0"/>
                <w:kern w:val="0"/>
                <w:lang w:val="es-ES_tradnl" w:eastAsia="es-CR"/>
                <w14:ligatures w14:val="none"/>
              </w:rPr>
            </w:pPr>
          </w:p>
          <w:p w14:paraId="005E192E" w14:textId="77777777" w:rsidR="00836EE8" w:rsidRPr="00836EE8" w:rsidRDefault="00836EE8" w:rsidP="00836EE8">
            <w:pPr>
              <w:spacing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70C0"/>
                <w:kern w:val="0"/>
                <w:lang w:val="es-ES_tradnl" w:eastAsia="es-CR"/>
                <w14:ligatures w14:val="none"/>
              </w:rPr>
              <w:lastRenderedPageBreak/>
              <w:t>Guía para la participación en un foro en la plataforma Moodle</w:t>
            </w:r>
          </w:p>
        </w:tc>
        <w:tc>
          <w:tcPr>
            <w:tcW w:w="3402" w:type="dxa"/>
          </w:tcPr>
          <w:p w14:paraId="34F8ADDD"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lastRenderedPageBreak/>
              <w:t>Exposición de estudiantes en un encuentro sincrónico virtual (formativo).</w:t>
            </w:r>
          </w:p>
          <w:p w14:paraId="4332BAF2" w14:textId="77777777" w:rsidR="00836EE8" w:rsidRPr="00836EE8" w:rsidRDefault="00836EE8" w:rsidP="00836EE8">
            <w:pPr>
              <w:widowControl w:val="0"/>
              <w:numPr>
                <w:ilvl w:val="0"/>
                <w:numId w:val="72"/>
              </w:numPr>
              <w:overflowPunct w:val="0"/>
              <w:autoSpaceDE w:val="0"/>
              <w:autoSpaceDN w:val="0"/>
              <w:adjustRightInd w:val="0"/>
              <w:spacing w:before="120" w:after="0" w:line="240" w:lineRule="auto"/>
              <w:contextualSpacing/>
              <w:rPr>
                <w:rFonts w:ascii="Calibri" w:eastAsia="Times New Roman" w:hAnsi="Calibri" w:cs="Calibri"/>
                <w:color w:val="000000"/>
                <w:kern w:val="0"/>
                <w:lang w:val="es-ES_tradnl" w:eastAsia="es-CR"/>
                <w14:ligatures w14:val="none"/>
              </w:rPr>
            </w:pPr>
            <w:r w:rsidRPr="00836EE8">
              <w:rPr>
                <w:rFonts w:ascii="Calibri" w:eastAsia="Times New Roman" w:hAnsi="Calibri" w:cs="Calibri"/>
                <w:color w:val="000000"/>
                <w:kern w:val="0"/>
                <w:lang w:val="es-ES_tradnl" w:eastAsia="es-CR"/>
                <w14:ligatures w14:val="none"/>
              </w:rPr>
              <w:t>Participación en el foro: Evaluación del curso (formativo).</w:t>
            </w:r>
          </w:p>
          <w:p w14:paraId="0C3ABEF8" w14:textId="77777777" w:rsidR="00836EE8" w:rsidRPr="00836EE8" w:rsidRDefault="00836EE8" w:rsidP="00836EE8">
            <w:pPr>
              <w:spacing w:after="0" w:line="240" w:lineRule="auto"/>
              <w:ind w:left="144"/>
              <w:contextualSpacing/>
              <w:rPr>
                <w:rFonts w:ascii="Calibri" w:eastAsia="Times New Roman" w:hAnsi="Calibri" w:cs="Calibri"/>
                <w:color w:val="000000"/>
                <w:kern w:val="0"/>
                <w:lang w:val="es-ES_tradnl" w:eastAsia="es-CR"/>
                <w14:ligatures w14:val="none"/>
              </w:rPr>
            </w:pPr>
          </w:p>
        </w:tc>
      </w:tr>
    </w:tbl>
    <w:p w14:paraId="1B7F003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IX. Distribución de tiempo semanal</w:t>
      </w:r>
    </w:p>
    <w:p w14:paraId="72380B87"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 La distribución de tiempos es la siguiente:</w:t>
      </w:r>
    </w:p>
    <w:p w14:paraId="6B1F3A2B"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2"/>
        <w:tblW w:w="8784" w:type="dxa"/>
        <w:tblLook w:val="04A0" w:firstRow="1" w:lastRow="0" w:firstColumn="1" w:lastColumn="0" w:noHBand="0" w:noVBand="1"/>
      </w:tblPr>
      <w:tblGrid>
        <w:gridCol w:w="1980"/>
        <w:gridCol w:w="1417"/>
        <w:gridCol w:w="5387"/>
      </w:tblGrid>
      <w:tr w:rsidR="00836EE8" w:rsidRPr="00836EE8" w14:paraId="5604E15D" w14:textId="77777777" w:rsidTr="00CE7124">
        <w:tc>
          <w:tcPr>
            <w:tcW w:w="1980" w:type="dxa"/>
          </w:tcPr>
          <w:p w14:paraId="280774D7"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6EE8">
              <w:rPr>
                <w:rFonts w:ascii="Calibri" w:eastAsia="Times New Roman" w:hAnsi="Calibri" w:cs="Calibri"/>
                <w:b/>
                <w:bCs/>
                <w:color w:val="000000"/>
                <w:lang w:val="es-ES_tradnl" w:eastAsia="es-CR"/>
              </w:rPr>
              <w:t>Tipo de horas</w:t>
            </w:r>
          </w:p>
          <w:p w14:paraId="411A2144"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6EE8">
              <w:rPr>
                <w:rFonts w:ascii="Calibri" w:eastAsia="Times New Roman" w:hAnsi="Calibri" w:cs="Calibri"/>
                <w:b/>
                <w:bCs/>
                <w:color w:val="000000"/>
                <w:lang w:val="es-ES_tradnl" w:eastAsia="es-CR"/>
              </w:rPr>
              <w:t>(categoría)</w:t>
            </w:r>
          </w:p>
        </w:tc>
        <w:tc>
          <w:tcPr>
            <w:tcW w:w="1417" w:type="dxa"/>
          </w:tcPr>
          <w:p w14:paraId="227AFA48"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6EE8">
              <w:rPr>
                <w:rFonts w:ascii="Calibri" w:eastAsia="Times New Roman" w:hAnsi="Calibri" w:cs="Calibri"/>
                <w:b/>
                <w:bCs/>
                <w:color w:val="000000"/>
                <w:lang w:val="es-ES_tradnl" w:eastAsia="es-CR"/>
              </w:rPr>
              <w:t>Horas por semana</w:t>
            </w:r>
          </w:p>
        </w:tc>
        <w:tc>
          <w:tcPr>
            <w:tcW w:w="5387" w:type="dxa"/>
            <w:vAlign w:val="center"/>
          </w:tcPr>
          <w:p w14:paraId="62E0680F"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6EE8">
              <w:rPr>
                <w:rFonts w:ascii="Calibri" w:eastAsia="Times New Roman" w:hAnsi="Calibri" w:cs="Calibri"/>
                <w:b/>
                <w:bCs/>
                <w:color w:val="000000"/>
                <w:lang w:val="es-ES_tradnl" w:eastAsia="es-CR"/>
              </w:rPr>
              <w:t>Actividades relacionadas</w:t>
            </w:r>
          </w:p>
        </w:tc>
      </w:tr>
      <w:tr w:rsidR="00836EE8" w:rsidRPr="00836EE8" w14:paraId="4808015D" w14:textId="77777777" w:rsidTr="00CE7124">
        <w:trPr>
          <w:trHeight w:val="749"/>
        </w:trPr>
        <w:tc>
          <w:tcPr>
            <w:tcW w:w="1980" w:type="dxa"/>
            <w:vAlign w:val="center"/>
          </w:tcPr>
          <w:p w14:paraId="1446856E"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Horas de Estudio Individual (HEI)</w:t>
            </w:r>
          </w:p>
        </w:tc>
        <w:tc>
          <w:tcPr>
            <w:tcW w:w="1417" w:type="dxa"/>
            <w:vAlign w:val="center"/>
          </w:tcPr>
          <w:p w14:paraId="70797BDD"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4</w:t>
            </w:r>
          </w:p>
        </w:tc>
        <w:tc>
          <w:tcPr>
            <w:tcW w:w="5387" w:type="dxa"/>
          </w:tcPr>
          <w:p w14:paraId="7F91C23F" w14:textId="77777777" w:rsidR="00836EE8" w:rsidRPr="00836EE8" w:rsidRDefault="00836EE8" w:rsidP="00836EE8">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Lectura de los textos (materiales en formato digital).</w:t>
            </w:r>
          </w:p>
          <w:p w14:paraId="15D5D98F" w14:textId="77777777" w:rsidR="00836EE8" w:rsidRPr="00836EE8" w:rsidRDefault="00836EE8" w:rsidP="00836EE8">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Análisis de lecturas e investigación por cuenta propia.</w:t>
            </w:r>
          </w:p>
        </w:tc>
      </w:tr>
      <w:tr w:rsidR="00836EE8" w:rsidRPr="00836EE8" w14:paraId="4961B625" w14:textId="77777777" w:rsidTr="00CE7124">
        <w:trPr>
          <w:trHeight w:val="973"/>
        </w:trPr>
        <w:tc>
          <w:tcPr>
            <w:tcW w:w="1980" w:type="dxa"/>
            <w:vAlign w:val="center"/>
          </w:tcPr>
          <w:p w14:paraId="76293263"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Horas de Trabajo Colaborativo (HTC)</w:t>
            </w:r>
          </w:p>
        </w:tc>
        <w:tc>
          <w:tcPr>
            <w:tcW w:w="1417" w:type="dxa"/>
            <w:vAlign w:val="center"/>
          </w:tcPr>
          <w:p w14:paraId="257EE57F"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3</w:t>
            </w:r>
          </w:p>
        </w:tc>
        <w:tc>
          <w:tcPr>
            <w:tcW w:w="5387" w:type="dxa"/>
          </w:tcPr>
          <w:p w14:paraId="1036F169" w14:textId="77777777" w:rsidR="00836EE8" w:rsidRPr="00836EE8" w:rsidRDefault="00836EE8" w:rsidP="00836EE8">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Participación en los trabajos grupales virtuales (foros temáticos y un wiki).</w:t>
            </w:r>
          </w:p>
          <w:p w14:paraId="26D80C6F" w14:textId="77777777" w:rsidR="00836EE8" w:rsidRPr="00836EE8" w:rsidRDefault="00836EE8" w:rsidP="00836EE8">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Participación en los encuentros sincrónicos virtuales.</w:t>
            </w:r>
          </w:p>
        </w:tc>
      </w:tr>
      <w:tr w:rsidR="00836EE8" w:rsidRPr="00836EE8" w14:paraId="550B5E18" w14:textId="77777777" w:rsidTr="00CE7124">
        <w:trPr>
          <w:trHeight w:val="987"/>
        </w:trPr>
        <w:tc>
          <w:tcPr>
            <w:tcW w:w="1980" w:type="dxa"/>
            <w:vAlign w:val="center"/>
          </w:tcPr>
          <w:p w14:paraId="44958FA5"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Horas de Producción Individual (HPI)</w:t>
            </w:r>
          </w:p>
        </w:tc>
        <w:tc>
          <w:tcPr>
            <w:tcW w:w="1417" w:type="dxa"/>
            <w:vAlign w:val="center"/>
          </w:tcPr>
          <w:p w14:paraId="38B47D7D"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836EE8">
              <w:rPr>
                <w:rFonts w:ascii="Calibri" w:eastAsia="Times New Roman" w:hAnsi="Calibri" w:cs="Calibri"/>
                <w:bCs/>
                <w:color w:val="000000"/>
                <w:lang w:val="es-ES_tradnl" w:eastAsia="es-CR"/>
              </w:rPr>
              <w:t>5</w:t>
            </w:r>
          </w:p>
        </w:tc>
        <w:tc>
          <w:tcPr>
            <w:tcW w:w="5387" w:type="dxa"/>
          </w:tcPr>
          <w:p w14:paraId="7F3F085C" w14:textId="77777777" w:rsidR="00836EE8" w:rsidRPr="00836EE8" w:rsidRDefault="00836EE8" w:rsidP="00836EE8">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Elaboración de reseñas críticas de lecturas.</w:t>
            </w:r>
          </w:p>
          <w:p w14:paraId="3030BD77" w14:textId="77777777" w:rsidR="00836EE8" w:rsidRPr="00836EE8" w:rsidRDefault="00836EE8" w:rsidP="00836EE8">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Elaboración de un diario reflexivo.</w:t>
            </w:r>
          </w:p>
          <w:p w14:paraId="58E14470" w14:textId="77777777" w:rsidR="00836EE8" w:rsidRPr="00836EE8" w:rsidRDefault="00836EE8" w:rsidP="00836EE8">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836EE8">
              <w:rPr>
                <w:rFonts w:ascii="Calibri" w:eastAsia="Calibri" w:hAnsi="Calibri" w:cs="Calibri"/>
                <w:bCs/>
                <w:color w:val="000000"/>
              </w:rPr>
              <w:t>Elaboración del ensayo monográfico final.</w:t>
            </w:r>
          </w:p>
        </w:tc>
      </w:tr>
      <w:tr w:rsidR="00836EE8" w:rsidRPr="00836EE8" w14:paraId="783B3C2E" w14:textId="77777777" w:rsidTr="00CE7124">
        <w:tc>
          <w:tcPr>
            <w:tcW w:w="1980" w:type="dxa"/>
            <w:vAlign w:val="center"/>
          </w:tcPr>
          <w:p w14:paraId="30259DA7" w14:textId="77777777" w:rsidR="00836EE8" w:rsidRPr="00836EE8" w:rsidRDefault="00836EE8" w:rsidP="00836EE8">
            <w:pPr>
              <w:widowControl w:val="0"/>
              <w:overflowPunct w:val="0"/>
              <w:autoSpaceDE w:val="0"/>
              <w:autoSpaceDN w:val="0"/>
              <w:adjustRightInd w:val="0"/>
              <w:jc w:val="center"/>
              <w:rPr>
                <w:rFonts w:ascii="Calibri" w:eastAsia="Times New Roman" w:hAnsi="Calibri" w:cs="Arial"/>
                <w:b/>
                <w:bCs/>
                <w:color w:val="000000"/>
                <w:lang w:eastAsia="es-CR"/>
              </w:rPr>
            </w:pPr>
            <w:r w:rsidRPr="00836EE8">
              <w:rPr>
                <w:rFonts w:ascii="Calibri" w:eastAsia="Times New Roman" w:hAnsi="Calibri" w:cs="Arial"/>
                <w:b/>
                <w:bCs/>
                <w:color w:val="000000"/>
                <w:lang w:eastAsia="es-CR"/>
              </w:rPr>
              <w:t>Total de horas (TH)</w:t>
            </w:r>
          </w:p>
        </w:tc>
        <w:tc>
          <w:tcPr>
            <w:tcW w:w="1417" w:type="dxa"/>
          </w:tcPr>
          <w:p w14:paraId="2E1DEED4"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836EE8">
              <w:rPr>
                <w:rFonts w:ascii="Calibri" w:eastAsia="Times New Roman" w:hAnsi="Calibri" w:cs="Calibri"/>
                <w:b/>
                <w:bCs/>
                <w:color w:val="000000"/>
                <w:lang w:val="es-ES_tradnl" w:eastAsia="es-CR"/>
              </w:rPr>
              <w:t>12</w:t>
            </w:r>
          </w:p>
        </w:tc>
        <w:tc>
          <w:tcPr>
            <w:tcW w:w="5387" w:type="dxa"/>
          </w:tcPr>
          <w:p w14:paraId="4D6008B7" w14:textId="77777777" w:rsidR="00836EE8" w:rsidRPr="00836EE8" w:rsidRDefault="00836EE8" w:rsidP="00836EE8">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1380998A"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78EFB1B"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53440895"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518B8D0"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X. Evaluación</w:t>
      </w:r>
      <w:r w:rsidRPr="00836EE8">
        <w:rPr>
          <w:rFonts w:ascii="Calibri" w:eastAsia="Times New Roman" w:hAnsi="Calibri" w:cs="Calibri"/>
          <w:b/>
          <w:bCs/>
          <w:color w:val="000000"/>
          <w:kern w:val="0"/>
          <w:lang w:val="es-ES_tradnl" w:eastAsia="es-CR"/>
          <w14:ligatures w14:val="none"/>
        </w:rPr>
        <w:tab/>
      </w:r>
    </w:p>
    <w:p w14:paraId="6076E232"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836EE8">
        <w:rPr>
          <w:rFonts w:ascii="Calibri" w:eastAsia="Times New Roman" w:hAnsi="Calibri" w:cs="Arial"/>
          <w:bCs/>
          <w:color w:val="000000"/>
          <w:kern w:val="0"/>
          <w:lang w:val="es-ES_tradnl" w:eastAsia="es-CR"/>
          <w14:ligatures w14:val="none"/>
        </w:rPr>
        <w:t xml:space="preserve">La evaluación sumativa se basará en las actividades de reseñas críticas sobre las lecturas asignadas, el diario reflexivo, los trabajos grupales virtuales (foros temáticos y wiki), el uso de herramientas bíblicas y el ensayo final que se desarrollará a partir de los contenidos de la Unidad IV a nivel individual. Se considera la asistencia a los encuentros sincrónicos virtuales y la participación en el aula virtual como fundamentales por la naturaleza teórica del curso. </w:t>
      </w:r>
      <w:r w:rsidRPr="00836EE8">
        <w:rPr>
          <w:rFonts w:ascii="Calibri" w:eastAsia="Times New Roman" w:hAnsi="Calibri" w:cs="Calibri"/>
          <w:bCs/>
          <w:color w:val="000000"/>
          <w:kern w:val="0"/>
          <w:lang w:val="es-ES_tradnl" w:eastAsia="es-CR"/>
          <w14:ligatures w14:val="none"/>
        </w:rPr>
        <w:t xml:space="preserve">El curso se aprueba con una nota mínima de 7.00 (en escala decimal).  </w:t>
      </w:r>
      <w:r w:rsidRPr="00836EE8">
        <w:rPr>
          <w:rFonts w:ascii="Calibri" w:eastAsia="Times New Roman" w:hAnsi="Calibri" w:cs="Arial"/>
          <w:bCs/>
          <w:color w:val="000000"/>
          <w:kern w:val="0"/>
          <w:lang w:val="es-ES_tradnl" w:eastAsia="es-CR"/>
          <w14:ligatures w14:val="none"/>
        </w:rPr>
        <w:t xml:space="preserve">Los porcentajes asignados a cada elemento del curso son los siguientes: </w:t>
      </w:r>
    </w:p>
    <w:p w14:paraId="4BD081D0"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tbl>
      <w:tblPr>
        <w:tblW w:w="8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51"/>
        <w:gridCol w:w="1740"/>
      </w:tblGrid>
      <w:tr w:rsidR="00836EE8" w:rsidRPr="00836EE8" w14:paraId="38711397" w14:textId="77777777" w:rsidTr="00CE7124">
        <w:trPr>
          <w:trHeight w:val="217"/>
          <w:jc w:val="center"/>
        </w:trPr>
        <w:tc>
          <w:tcPr>
            <w:tcW w:w="8791" w:type="dxa"/>
            <w:gridSpan w:val="2"/>
            <w:tcBorders>
              <w:top w:val="single" w:sz="4" w:space="0" w:color="auto"/>
              <w:left w:val="single" w:sz="4" w:space="0" w:color="auto"/>
              <w:bottom w:val="single" w:sz="4" w:space="0" w:color="auto"/>
              <w:right w:val="single" w:sz="4" w:space="0" w:color="auto"/>
            </w:tcBorders>
            <w:vAlign w:val="center"/>
            <w:hideMark/>
          </w:tcPr>
          <w:p w14:paraId="1910E6C0" w14:textId="77777777" w:rsidR="00836EE8" w:rsidRPr="00836EE8" w:rsidRDefault="00836EE8" w:rsidP="00836EE8">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836EE8">
              <w:rPr>
                <w:rFonts w:ascii="Calibri" w:eastAsia="Times New Roman" w:hAnsi="Calibri" w:cs="Arial"/>
                <w:b/>
                <w:color w:val="000000"/>
                <w:kern w:val="0"/>
                <w:lang w:eastAsia="es-CR"/>
                <w14:ligatures w14:val="none"/>
              </w:rPr>
              <w:t>Síntesis cuantitativa de la evaluación</w:t>
            </w:r>
          </w:p>
        </w:tc>
      </w:tr>
      <w:tr w:rsidR="00836EE8" w:rsidRPr="00836EE8" w14:paraId="686E5AEE" w14:textId="77777777" w:rsidTr="00CE7124">
        <w:trPr>
          <w:trHeight w:val="616"/>
          <w:jc w:val="center"/>
        </w:trPr>
        <w:tc>
          <w:tcPr>
            <w:tcW w:w="7051" w:type="dxa"/>
            <w:tcBorders>
              <w:top w:val="single" w:sz="4" w:space="0" w:color="auto"/>
              <w:left w:val="single" w:sz="4" w:space="0" w:color="auto"/>
              <w:bottom w:val="single" w:sz="4" w:space="0" w:color="auto"/>
              <w:right w:val="single" w:sz="4" w:space="0" w:color="auto"/>
            </w:tcBorders>
            <w:vAlign w:val="center"/>
            <w:hideMark/>
          </w:tcPr>
          <w:p w14:paraId="65095867" w14:textId="77777777" w:rsidR="00836EE8" w:rsidRPr="00836EE8" w:rsidRDefault="00836EE8" w:rsidP="00836EE8">
            <w:pPr>
              <w:widowControl w:val="0"/>
              <w:overflowPunct w:val="0"/>
              <w:autoSpaceDE w:val="0"/>
              <w:autoSpaceDN w:val="0"/>
              <w:adjustRightInd w:val="0"/>
              <w:spacing w:before="120" w:after="0" w:line="254" w:lineRule="auto"/>
              <w:rPr>
                <w:rFonts w:ascii="Calibri" w:eastAsia="Times New Roman" w:hAnsi="Calibri" w:cs="Arial"/>
                <w:b/>
                <w:color w:val="000000"/>
                <w:kern w:val="0"/>
                <w:lang w:eastAsia="es-CR"/>
                <w14:ligatures w14:val="none"/>
              </w:rPr>
            </w:pPr>
            <w:r w:rsidRPr="00836EE8">
              <w:rPr>
                <w:rFonts w:ascii="Calibri" w:eastAsia="Times New Roman" w:hAnsi="Calibri" w:cs="Arial"/>
                <w:b/>
                <w:color w:val="000000"/>
                <w:kern w:val="0"/>
                <w:lang w:eastAsia="es-CR"/>
                <w14:ligatures w14:val="none"/>
              </w:rPr>
              <w:t>Rubros para a evaluar</w:t>
            </w:r>
          </w:p>
          <w:p w14:paraId="32914B60" w14:textId="77777777" w:rsidR="00836EE8" w:rsidRPr="00836EE8" w:rsidRDefault="00836EE8" w:rsidP="00836EE8">
            <w:pPr>
              <w:widowControl w:val="0"/>
              <w:overflowPunct w:val="0"/>
              <w:autoSpaceDE w:val="0"/>
              <w:autoSpaceDN w:val="0"/>
              <w:adjustRightInd w:val="0"/>
              <w:spacing w:before="120" w:after="0" w:line="254" w:lineRule="auto"/>
              <w:rPr>
                <w:rFonts w:ascii="Calibri" w:eastAsia="Times New Roman" w:hAnsi="Calibri" w:cs="Arial"/>
                <w:b/>
                <w:color w:val="000000"/>
                <w:kern w:val="0"/>
                <w:lang w:eastAsia="es-CR"/>
                <w14:ligatures w14:val="none"/>
              </w:rPr>
            </w:pPr>
          </w:p>
        </w:tc>
        <w:tc>
          <w:tcPr>
            <w:tcW w:w="1740" w:type="dxa"/>
            <w:tcBorders>
              <w:top w:val="single" w:sz="4" w:space="0" w:color="auto"/>
              <w:left w:val="single" w:sz="4" w:space="0" w:color="auto"/>
              <w:bottom w:val="single" w:sz="4" w:space="0" w:color="auto"/>
              <w:right w:val="single" w:sz="4" w:space="0" w:color="auto"/>
            </w:tcBorders>
            <w:vAlign w:val="center"/>
            <w:hideMark/>
          </w:tcPr>
          <w:p w14:paraId="0B056131" w14:textId="77777777" w:rsidR="00836EE8" w:rsidRPr="00836EE8" w:rsidRDefault="00836EE8" w:rsidP="00836EE8">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836EE8">
              <w:rPr>
                <w:rFonts w:ascii="Calibri" w:eastAsia="Times New Roman" w:hAnsi="Calibri" w:cs="Arial"/>
                <w:b/>
                <w:color w:val="000000"/>
                <w:kern w:val="0"/>
                <w:lang w:eastAsia="es-CR"/>
                <w14:ligatures w14:val="none"/>
              </w:rPr>
              <w:t>Porcentaje    total</w:t>
            </w:r>
          </w:p>
        </w:tc>
      </w:tr>
      <w:tr w:rsidR="00836EE8" w:rsidRPr="00836EE8" w14:paraId="08491C4A" w14:textId="77777777" w:rsidTr="00CE7124">
        <w:trPr>
          <w:trHeight w:val="865"/>
          <w:jc w:val="center"/>
        </w:trPr>
        <w:tc>
          <w:tcPr>
            <w:tcW w:w="7051" w:type="dxa"/>
            <w:tcBorders>
              <w:top w:val="single" w:sz="4" w:space="0" w:color="auto"/>
              <w:left w:val="single" w:sz="4" w:space="0" w:color="auto"/>
              <w:bottom w:val="single" w:sz="4" w:space="0" w:color="auto"/>
              <w:right w:val="single" w:sz="4" w:space="0" w:color="auto"/>
            </w:tcBorders>
            <w:hideMark/>
          </w:tcPr>
          <w:p w14:paraId="6CA35D43"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836EE8">
              <w:rPr>
                <w:rFonts w:ascii="Calibri" w:eastAsia="Times New Roman" w:hAnsi="Calibri" w:cs="Arial"/>
                <w:b/>
                <w:i/>
                <w:color w:val="000000"/>
                <w:kern w:val="0"/>
                <w:lang w:eastAsia="es-CR"/>
                <w14:ligatures w14:val="none"/>
              </w:rPr>
              <w:lastRenderedPageBreak/>
              <w:t>Encuentros sincrónicos virtuales</w:t>
            </w:r>
          </w:p>
          <w:p w14:paraId="523DB665"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kern w:val="0"/>
                <w:lang w:eastAsia="es-CR"/>
                <w14:ligatures w14:val="none"/>
              </w:rPr>
            </w:pPr>
            <w:r w:rsidRPr="00836EE8">
              <w:rPr>
                <w:rFonts w:ascii="Calibri" w:eastAsia="Times New Roman" w:hAnsi="Calibri" w:cs="Arial"/>
                <w:kern w:val="0"/>
                <w:lang w:eastAsia="es-CR"/>
                <w14:ligatures w14:val="none"/>
              </w:rPr>
              <w:t xml:space="preserve">Se llevan a cabo en las sesiones 1, 2, 4, 5, 6, 7, 10, 11, 14 y 15. Tienen un valor formativo y no sumativo. </w:t>
            </w:r>
          </w:p>
        </w:tc>
        <w:tc>
          <w:tcPr>
            <w:tcW w:w="1740" w:type="dxa"/>
            <w:tcBorders>
              <w:top w:val="single" w:sz="4" w:space="0" w:color="auto"/>
              <w:left w:val="single" w:sz="4" w:space="0" w:color="auto"/>
              <w:bottom w:val="single" w:sz="4" w:space="0" w:color="auto"/>
              <w:right w:val="single" w:sz="4" w:space="0" w:color="auto"/>
            </w:tcBorders>
            <w:vAlign w:val="center"/>
            <w:hideMark/>
          </w:tcPr>
          <w:p w14:paraId="248B1FA1" w14:textId="77777777" w:rsidR="00836EE8" w:rsidRPr="00836EE8" w:rsidRDefault="00836EE8" w:rsidP="00836EE8">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836EE8">
              <w:rPr>
                <w:rFonts w:ascii="Calibri" w:eastAsia="Times New Roman" w:hAnsi="Calibri" w:cs="Calibri"/>
                <w:color w:val="000000"/>
                <w:kern w:val="0"/>
                <w:lang w:eastAsia="es-CR"/>
                <w14:ligatures w14:val="none"/>
              </w:rPr>
              <w:t>̶</w:t>
            </w:r>
          </w:p>
        </w:tc>
      </w:tr>
      <w:tr w:rsidR="00836EE8" w:rsidRPr="00836EE8" w14:paraId="25392A8D" w14:textId="77777777" w:rsidTr="00CE7124">
        <w:trPr>
          <w:trHeight w:val="577"/>
          <w:jc w:val="center"/>
        </w:trPr>
        <w:tc>
          <w:tcPr>
            <w:tcW w:w="7051" w:type="dxa"/>
            <w:tcBorders>
              <w:top w:val="single" w:sz="4" w:space="0" w:color="auto"/>
              <w:left w:val="single" w:sz="4" w:space="0" w:color="auto"/>
              <w:bottom w:val="single" w:sz="4" w:space="0" w:color="auto"/>
              <w:right w:val="single" w:sz="4" w:space="0" w:color="auto"/>
            </w:tcBorders>
          </w:tcPr>
          <w:p w14:paraId="77CEEA38"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b/>
                <w:i/>
                <w:color w:val="000000"/>
                <w:kern w:val="0"/>
                <w:lang w:eastAsia="es-CR"/>
                <w14:ligatures w14:val="none"/>
              </w:rPr>
            </w:pPr>
            <w:r w:rsidRPr="00836EE8">
              <w:rPr>
                <w:rFonts w:ascii="Calibri" w:eastAsia="Times New Roman" w:hAnsi="Calibri" w:cs="Arial"/>
                <w:b/>
                <w:i/>
                <w:color w:val="000000"/>
                <w:kern w:val="0"/>
                <w:lang w:eastAsia="es-CR"/>
                <w14:ligatures w14:val="none"/>
              </w:rPr>
              <w:t>Diario reflexivo</w:t>
            </w:r>
          </w:p>
          <w:p w14:paraId="57FC4E0B"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bCs/>
                <w:iCs/>
                <w:color w:val="000000"/>
                <w:kern w:val="0"/>
                <w:lang w:eastAsia="es-CR"/>
                <w14:ligatures w14:val="none"/>
              </w:rPr>
            </w:pPr>
            <w:r w:rsidRPr="00836EE8">
              <w:rPr>
                <w:rFonts w:ascii="Calibri" w:eastAsia="Times New Roman" w:hAnsi="Calibri" w:cs="Arial"/>
                <w:bCs/>
                <w:iCs/>
                <w:color w:val="000000"/>
                <w:kern w:val="0"/>
                <w:lang w:eastAsia="es-CR"/>
                <w14:ligatures w14:val="none"/>
              </w:rPr>
              <w:t>Se elabora desde la sesión 2 hasta la 9.</w:t>
            </w:r>
          </w:p>
        </w:tc>
        <w:tc>
          <w:tcPr>
            <w:tcW w:w="1740" w:type="dxa"/>
            <w:tcBorders>
              <w:top w:val="single" w:sz="4" w:space="0" w:color="auto"/>
              <w:left w:val="single" w:sz="4" w:space="0" w:color="auto"/>
              <w:bottom w:val="single" w:sz="4" w:space="0" w:color="auto"/>
              <w:right w:val="single" w:sz="4" w:space="0" w:color="auto"/>
            </w:tcBorders>
            <w:vAlign w:val="center"/>
          </w:tcPr>
          <w:p w14:paraId="054AE4D3" w14:textId="77777777" w:rsidR="00836EE8" w:rsidRPr="00836EE8" w:rsidRDefault="00836EE8" w:rsidP="00836EE8">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836EE8">
              <w:rPr>
                <w:rFonts w:ascii="Calibri" w:eastAsia="Times New Roman" w:hAnsi="Calibri" w:cs="Arial"/>
                <w:color w:val="000000"/>
                <w:kern w:val="0"/>
                <w:lang w:eastAsia="es-CR"/>
                <w14:ligatures w14:val="none"/>
              </w:rPr>
              <w:t>20%</w:t>
            </w:r>
          </w:p>
        </w:tc>
      </w:tr>
      <w:tr w:rsidR="00836EE8" w:rsidRPr="00836EE8" w14:paraId="330AA9C8" w14:textId="77777777" w:rsidTr="00CE7124">
        <w:trPr>
          <w:trHeight w:val="2020"/>
          <w:jc w:val="center"/>
        </w:trPr>
        <w:tc>
          <w:tcPr>
            <w:tcW w:w="7051" w:type="dxa"/>
            <w:tcBorders>
              <w:top w:val="single" w:sz="4" w:space="0" w:color="auto"/>
              <w:left w:val="single" w:sz="4" w:space="0" w:color="auto"/>
              <w:bottom w:val="single" w:sz="4" w:space="0" w:color="auto"/>
              <w:right w:val="single" w:sz="4" w:space="0" w:color="auto"/>
            </w:tcBorders>
            <w:hideMark/>
          </w:tcPr>
          <w:p w14:paraId="1D222A08"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b/>
                <w:bCs/>
                <w:i/>
                <w:iCs/>
                <w:color w:val="000000"/>
                <w:kern w:val="0"/>
                <w:lang w:eastAsia="es-CR"/>
                <w14:ligatures w14:val="none"/>
              </w:rPr>
            </w:pPr>
            <w:r w:rsidRPr="00836EE8">
              <w:rPr>
                <w:rFonts w:ascii="Calibri" w:eastAsia="Times New Roman" w:hAnsi="Calibri" w:cs="Arial"/>
                <w:b/>
                <w:bCs/>
                <w:i/>
                <w:iCs/>
                <w:color w:val="000000"/>
                <w:kern w:val="0"/>
                <w:lang w:eastAsia="es-CR"/>
                <w14:ligatures w14:val="none"/>
              </w:rPr>
              <w:t xml:space="preserve">Trabajos grupales con el uso de sinopsis y concordancia </w:t>
            </w:r>
          </w:p>
          <w:p w14:paraId="42B34155"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836EE8">
              <w:rPr>
                <w:rFonts w:ascii="Calibri" w:eastAsia="Times New Roman" w:hAnsi="Calibri" w:cs="Arial"/>
                <w:color w:val="000000"/>
                <w:kern w:val="0"/>
                <w:lang w:eastAsia="es-CR"/>
                <w14:ligatures w14:val="none"/>
              </w:rPr>
              <w:t>Estos trabajos se distribuyen de la siguiente forma:</w:t>
            </w:r>
          </w:p>
          <w:p w14:paraId="71DE3E35"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p>
          <w:p w14:paraId="76055968"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836EE8">
              <w:rPr>
                <w:rFonts w:ascii="Calibri" w:eastAsia="Times New Roman" w:hAnsi="Calibri" w:cs="Arial"/>
                <w:b/>
                <w:bCs/>
                <w:color w:val="000000"/>
                <w:kern w:val="0"/>
                <w:lang w:eastAsia="es-CR"/>
                <w14:ligatures w14:val="none"/>
              </w:rPr>
              <w:t>- Foros temáticos:</w:t>
            </w:r>
            <w:r w:rsidRPr="00836EE8">
              <w:rPr>
                <w:rFonts w:ascii="Calibri" w:eastAsia="Times New Roman" w:hAnsi="Calibri" w:cs="Arial"/>
                <w:color w:val="000000"/>
                <w:kern w:val="0"/>
                <w:lang w:eastAsia="es-CR"/>
                <w14:ligatures w14:val="none"/>
              </w:rPr>
              <w:t xml:space="preserve"> se desarrollan en las sesiones 3, 5, 8 y 9. Cada foro tiene un valor de </w:t>
            </w:r>
            <w:r w:rsidRPr="00836EE8">
              <w:rPr>
                <w:rFonts w:ascii="Calibri" w:eastAsia="Times New Roman" w:hAnsi="Calibri" w:cs="Arial"/>
                <w:color w:val="0070C0"/>
                <w:kern w:val="0"/>
                <w:lang w:eastAsia="es-CR"/>
                <w14:ligatures w14:val="none"/>
              </w:rPr>
              <w:t>5%</w:t>
            </w:r>
            <w:r w:rsidRPr="00836EE8">
              <w:rPr>
                <w:rFonts w:ascii="Calibri" w:eastAsia="Times New Roman" w:hAnsi="Calibri" w:cs="Arial"/>
                <w:color w:val="000000"/>
                <w:kern w:val="0"/>
                <w:lang w:eastAsia="es-CR"/>
                <w14:ligatures w14:val="none"/>
              </w:rPr>
              <w:t>.</w:t>
            </w:r>
          </w:p>
          <w:p w14:paraId="4643E92F"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p>
          <w:p w14:paraId="36559A66"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836EE8">
              <w:rPr>
                <w:rFonts w:ascii="Calibri" w:eastAsia="Times New Roman" w:hAnsi="Calibri" w:cs="Arial"/>
                <w:b/>
                <w:bCs/>
                <w:color w:val="000000"/>
                <w:kern w:val="0"/>
                <w:lang w:eastAsia="es-CR"/>
                <w14:ligatures w14:val="none"/>
              </w:rPr>
              <w:t>- Wiki:</w:t>
            </w:r>
            <w:r w:rsidRPr="00836EE8">
              <w:rPr>
                <w:rFonts w:ascii="Calibri" w:eastAsia="Times New Roman" w:hAnsi="Calibri" w:cs="Arial"/>
                <w:color w:val="000000"/>
                <w:kern w:val="0"/>
                <w:lang w:eastAsia="es-CR"/>
                <w14:ligatures w14:val="none"/>
              </w:rPr>
              <w:t xml:space="preserve"> se desarrolla en la sesión 4. Tiene un valor de </w:t>
            </w:r>
            <w:r w:rsidRPr="00836EE8">
              <w:rPr>
                <w:rFonts w:ascii="Calibri" w:eastAsia="Times New Roman" w:hAnsi="Calibri" w:cs="Arial"/>
                <w:color w:val="0070C0"/>
                <w:kern w:val="0"/>
                <w:lang w:eastAsia="es-CR"/>
                <w14:ligatures w14:val="none"/>
              </w:rPr>
              <w:t>5%</w:t>
            </w:r>
            <w:r w:rsidRPr="00836EE8">
              <w:rPr>
                <w:rFonts w:ascii="Calibri" w:eastAsia="Times New Roman" w:hAnsi="Calibri" w:cs="Arial"/>
                <w:color w:val="000000"/>
                <w:kern w:val="0"/>
                <w:lang w:eastAsia="es-CR"/>
                <w14:ligatures w14:val="none"/>
              </w:rPr>
              <w:t>.</w:t>
            </w:r>
          </w:p>
          <w:p w14:paraId="0D110B3B"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p>
        </w:tc>
        <w:tc>
          <w:tcPr>
            <w:tcW w:w="1740" w:type="dxa"/>
            <w:tcBorders>
              <w:top w:val="single" w:sz="4" w:space="0" w:color="auto"/>
              <w:left w:val="single" w:sz="4" w:space="0" w:color="auto"/>
              <w:bottom w:val="single" w:sz="4" w:space="0" w:color="auto"/>
              <w:right w:val="single" w:sz="4" w:space="0" w:color="auto"/>
            </w:tcBorders>
            <w:vAlign w:val="center"/>
            <w:hideMark/>
          </w:tcPr>
          <w:p w14:paraId="61E8978B" w14:textId="77777777" w:rsidR="00836EE8" w:rsidRPr="00836EE8" w:rsidRDefault="00836EE8" w:rsidP="00836EE8">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836EE8">
              <w:rPr>
                <w:rFonts w:ascii="Calibri" w:eastAsia="Times New Roman" w:hAnsi="Calibri" w:cs="Arial"/>
                <w:color w:val="0070C0"/>
                <w:kern w:val="0"/>
                <w:lang w:eastAsia="es-CR"/>
                <w14:ligatures w14:val="none"/>
              </w:rPr>
              <w:t>25%</w:t>
            </w:r>
          </w:p>
        </w:tc>
      </w:tr>
      <w:tr w:rsidR="00836EE8" w:rsidRPr="00836EE8" w14:paraId="24FC4EB0" w14:textId="77777777" w:rsidTr="00CE7124">
        <w:trPr>
          <w:trHeight w:val="554"/>
          <w:jc w:val="center"/>
        </w:trPr>
        <w:tc>
          <w:tcPr>
            <w:tcW w:w="7051" w:type="dxa"/>
            <w:tcBorders>
              <w:top w:val="single" w:sz="4" w:space="0" w:color="auto"/>
              <w:left w:val="single" w:sz="4" w:space="0" w:color="auto"/>
              <w:bottom w:val="single" w:sz="4" w:space="0" w:color="auto"/>
              <w:right w:val="single" w:sz="4" w:space="0" w:color="auto"/>
            </w:tcBorders>
          </w:tcPr>
          <w:p w14:paraId="3B2021EB"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b/>
                <w:bCs/>
                <w:i/>
                <w:iCs/>
                <w:color w:val="000000"/>
                <w:kern w:val="0"/>
                <w:lang w:eastAsia="es-CR"/>
                <w14:ligatures w14:val="none"/>
              </w:rPr>
            </w:pPr>
            <w:r w:rsidRPr="00836EE8">
              <w:rPr>
                <w:rFonts w:ascii="Calibri" w:eastAsia="Times New Roman" w:hAnsi="Calibri" w:cs="Arial"/>
                <w:b/>
                <w:bCs/>
                <w:i/>
                <w:iCs/>
                <w:color w:val="000000"/>
                <w:kern w:val="0"/>
                <w:lang w:eastAsia="es-CR"/>
                <w14:ligatures w14:val="none"/>
              </w:rPr>
              <w:t>Reseñas críticas de lecturas</w:t>
            </w:r>
          </w:p>
          <w:p w14:paraId="5AC1FA0E"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color w:val="000000"/>
                <w:kern w:val="0"/>
                <w:lang w:eastAsia="es-CR"/>
                <w14:ligatures w14:val="none"/>
              </w:rPr>
            </w:pPr>
            <w:r w:rsidRPr="00836EE8">
              <w:rPr>
                <w:rFonts w:ascii="Calibri" w:eastAsia="Times New Roman" w:hAnsi="Calibri" w:cs="Arial"/>
                <w:color w:val="000000"/>
                <w:kern w:val="0"/>
                <w:lang w:eastAsia="es-CR"/>
                <w14:ligatures w14:val="none"/>
              </w:rPr>
              <w:t xml:space="preserve">Se elaboran en las sesiones 4, 6, 7, 8 y 10. Cada reseña tiene un valor de </w:t>
            </w:r>
            <w:r w:rsidRPr="00836EE8">
              <w:rPr>
                <w:rFonts w:ascii="Calibri" w:eastAsia="Times New Roman" w:hAnsi="Calibri" w:cs="Arial"/>
                <w:color w:val="0070C0"/>
                <w:kern w:val="0"/>
                <w:lang w:eastAsia="es-CR"/>
                <w14:ligatures w14:val="none"/>
              </w:rPr>
              <w:t>5%</w:t>
            </w:r>
            <w:r w:rsidRPr="00836EE8">
              <w:rPr>
                <w:rFonts w:ascii="Calibri" w:eastAsia="Times New Roman" w:hAnsi="Calibri" w:cs="Arial"/>
                <w:color w:val="000000"/>
                <w:kern w:val="0"/>
                <w:lang w:eastAsia="es-CR"/>
                <w14:ligatures w14:val="none"/>
              </w:rPr>
              <w:t>.</w:t>
            </w:r>
          </w:p>
        </w:tc>
        <w:tc>
          <w:tcPr>
            <w:tcW w:w="1740" w:type="dxa"/>
            <w:tcBorders>
              <w:top w:val="single" w:sz="4" w:space="0" w:color="auto"/>
              <w:left w:val="single" w:sz="4" w:space="0" w:color="auto"/>
              <w:bottom w:val="single" w:sz="4" w:space="0" w:color="auto"/>
              <w:right w:val="single" w:sz="4" w:space="0" w:color="auto"/>
            </w:tcBorders>
            <w:vAlign w:val="center"/>
          </w:tcPr>
          <w:p w14:paraId="5EA2C213" w14:textId="77777777" w:rsidR="00836EE8" w:rsidRPr="00836EE8" w:rsidRDefault="00836EE8" w:rsidP="00836EE8">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836EE8">
              <w:rPr>
                <w:rFonts w:ascii="Calibri" w:eastAsia="Times New Roman" w:hAnsi="Calibri" w:cs="Arial"/>
                <w:color w:val="0070C0"/>
                <w:kern w:val="0"/>
                <w:lang w:eastAsia="es-CR"/>
                <w14:ligatures w14:val="none"/>
              </w:rPr>
              <w:t>25%</w:t>
            </w:r>
          </w:p>
        </w:tc>
      </w:tr>
      <w:tr w:rsidR="00836EE8" w:rsidRPr="00836EE8" w14:paraId="499821B6" w14:textId="77777777" w:rsidTr="00CE7124">
        <w:trPr>
          <w:trHeight w:val="482"/>
          <w:jc w:val="center"/>
        </w:trPr>
        <w:tc>
          <w:tcPr>
            <w:tcW w:w="7051" w:type="dxa"/>
            <w:tcBorders>
              <w:top w:val="single" w:sz="4" w:space="0" w:color="auto"/>
              <w:left w:val="single" w:sz="4" w:space="0" w:color="auto"/>
              <w:bottom w:val="single" w:sz="4" w:space="0" w:color="auto"/>
              <w:right w:val="single" w:sz="4" w:space="0" w:color="auto"/>
            </w:tcBorders>
          </w:tcPr>
          <w:p w14:paraId="7E636C1B" w14:textId="77777777" w:rsidR="00836EE8" w:rsidRPr="00836EE8" w:rsidRDefault="00836EE8" w:rsidP="00836EE8">
            <w:pPr>
              <w:widowControl w:val="0"/>
              <w:overflowPunct w:val="0"/>
              <w:autoSpaceDE w:val="0"/>
              <w:autoSpaceDN w:val="0"/>
              <w:adjustRightInd w:val="0"/>
              <w:spacing w:after="0" w:line="254" w:lineRule="auto"/>
              <w:rPr>
                <w:rFonts w:ascii="Calibri" w:eastAsia="Times New Roman" w:hAnsi="Calibri" w:cs="Arial"/>
                <w:b/>
                <w:bCs/>
                <w:i/>
                <w:iCs/>
                <w:color w:val="000000"/>
                <w:kern w:val="0"/>
                <w:lang w:eastAsia="es-CR"/>
                <w14:ligatures w14:val="none"/>
              </w:rPr>
            </w:pPr>
            <w:r w:rsidRPr="00836EE8">
              <w:rPr>
                <w:rFonts w:ascii="Calibri" w:eastAsia="Times New Roman" w:hAnsi="Calibri" w:cs="Arial"/>
                <w:b/>
                <w:bCs/>
                <w:i/>
                <w:iCs/>
                <w:color w:val="000000"/>
                <w:kern w:val="0"/>
                <w:lang w:eastAsia="es-CR"/>
                <w14:ligatures w14:val="none"/>
              </w:rPr>
              <w:t>Ensayo monográfico final</w:t>
            </w:r>
          </w:p>
          <w:p w14:paraId="47375486" w14:textId="77777777" w:rsidR="00836EE8" w:rsidRPr="00836EE8" w:rsidRDefault="00836EE8" w:rsidP="00836EE8">
            <w:pPr>
              <w:widowControl w:val="0"/>
              <w:overflowPunct w:val="0"/>
              <w:autoSpaceDE w:val="0"/>
              <w:autoSpaceDN w:val="0"/>
              <w:adjustRightInd w:val="0"/>
              <w:spacing w:after="0" w:line="254" w:lineRule="auto"/>
              <w:jc w:val="both"/>
              <w:rPr>
                <w:rFonts w:ascii="Calibri" w:eastAsia="Times New Roman" w:hAnsi="Calibri" w:cs="Arial"/>
                <w:color w:val="000000"/>
                <w:kern w:val="0"/>
                <w:lang w:eastAsia="es-CR"/>
                <w14:ligatures w14:val="none"/>
              </w:rPr>
            </w:pPr>
            <w:r w:rsidRPr="00836EE8">
              <w:rPr>
                <w:rFonts w:ascii="Calibri" w:eastAsia="Times New Roman" w:hAnsi="Calibri" w:cs="Arial"/>
                <w:color w:val="000000"/>
                <w:kern w:val="0"/>
                <w:lang w:eastAsia="es-CR"/>
                <w14:ligatures w14:val="none"/>
              </w:rPr>
              <w:t>Se elabora desde la sesión 11 hasta la 14.</w:t>
            </w:r>
          </w:p>
        </w:tc>
        <w:tc>
          <w:tcPr>
            <w:tcW w:w="1740" w:type="dxa"/>
            <w:tcBorders>
              <w:top w:val="single" w:sz="4" w:space="0" w:color="auto"/>
              <w:left w:val="single" w:sz="4" w:space="0" w:color="auto"/>
              <w:bottom w:val="single" w:sz="4" w:space="0" w:color="auto"/>
              <w:right w:val="single" w:sz="4" w:space="0" w:color="auto"/>
            </w:tcBorders>
            <w:vAlign w:val="center"/>
          </w:tcPr>
          <w:p w14:paraId="30B27751" w14:textId="77777777" w:rsidR="00836EE8" w:rsidRPr="00836EE8" w:rsidRDefault="00836EE8" w:rsidP="00836EE8">
            <w:pPr>
              <w:widowControl w:val="0"/>
              <w:overflowPunct w:val="0"/>
              <w:autoSpaceDE w:val="0"/>
              <w:autoSpaceDN w:val="0"/>
              <w:adjustRightInd w:val="0"/>
              <w:spacing w:after="0" w:line="254" w:lineRule="auto"/>
              <w:jc w:val="center"/>
              <w:rPr>
                <w:rFonts w:ascii="Calibri" w:eastAsia="Times New Roman" w:hAnsi="Calibri" w:cs="Arial"/>
                <w:color w:val="000000"/>
                <w:kern w:val="0"/>
                <w:lang w:eastAsia="es-CR"/>
                <w14:ligatures w14:val="none"/>
              </w:rPr>
            </w:pPr>
            <w:r w:rsidRPr="00836EE8">
              <w:rPr>
                <w:rFonts w:ascii="Calibri" w:eastAsia="Times New Roman" w:hAnsi="Calibri" w:cs="Arial"/>
                <w:color w:val="000000"/>
                <w:kern w:val="0"/>
                <w:lang w:eastAsia="es-CR"/>
                <w14:ligatures w14:val="none"/>
              </w:rPr>
              <w:t>30%</w:t>
            </w:r>
          </w:p>
        </w:tc>
      </w:tr>
      <w:tr w:rsidR="00836EE8" w:rsidRPr="00836EE8" w14:paraId="616D27E5" w14:textId="77777777" w:rsidTr="00CE7124">
        <w:trPr>
          <w:trHeight w:val="410"/>
          <w:jc w:val="center"/>
        </w:trPr>
        <w:tc>
          <w:tcPr>
            <w:tcW w:w="7051" w:type="dxa"/>
            <w:tcBorders>
              <w:top w:val="single" w:sz="4" w:space="0" w:color="auto"/>
              <w:left w:val="single" w:sz="4" w:space="0" w:color="auto"/>
              <w:bottom w:val="single" w:sz="4" w:space="0" w:color="auto"/>
              <w:right w:val="single" w:sz="4" w:space="0" w:color="auto"/>
            </w:tcBorders>
            <w:hideMark/>
          </w:tcPr>
          <w:p w14:paraId="6C52214D" w14:textId="77777777" w:rsidR="00836EE8" w:rsidRPr="00836EE8" w:rsidRDefault="00836EE8" w:rsidP="00836EE8">
            <w:pPr>
              <w:widowControl w:val="0"/>
              <w:overflowPunct w:val="0"/>
              <w:autoSpaceDE w:val="0"/>
              <w:autoSpaceDN w:val="0"/>
              <w:adjustRightInd w:val="0"/>
              <w:spacing w:before="120" w:after="0" w:line="254" w:lineRule="auto"/>
              <w:rPr>
                <w:rFonts w:ascii="Calibri" w:eastAsia="Times New Roman" w:hAnsi="Calibri" w:cs="Arial"/>
                <w:b/>
                <w:color w:val="000000"/>
                <w:kern w:val="0"/>
                <w:lang w:eastAsia="es-CR"/>
                <w14:ligatures w14:val="none"/>
              </w:rPr>
            </w:pPr>
            <w:r w:rsidRPr="00836EE8">
              <w:rPr>
                <w:rFonts w:ascii="Calibri" w:eastAsia="Times New Roman" w:hAnsi="Calibri" w:cs="Arial"/>
                <w:b/>
                <w:color w:val="000000"/>
                <w:kern w:val="0"/>
                <w:lang w:eastAsia="es-CR"/>
                <w14:ligatures w14:val="none"/>
              </w:rPr>
              <w:t>Total</w:t>
            </w:r>
          </w:p>
        </w:tc>
        <w:tc>
          <w:tcPr>
            <w:tcW w:w="1740" w:type="dxa"/>
            <w:tcBorders>
              <w:top w:val="single" w:sz="4" w:space="0" w:color="auto"/>
              <w:left w:val="single" w:sz="4" w:space="0" w:color="auto"/>
              <w:bottom w:val="single" w:sz="4" w:space="0" w:color="auto"/>
              <w:right w:val="single" w:sz="4" w:space="0" w:color="auto"/>
            </w:tcBorders>
            <w:hideMark/>
          </w:tcPr>
          <w:p w14:paraId="25D46D2D" w14:textId="77777777" w:rsidR="00836EE8" w:rsidRPr="00836EE8" w:rsidRDefault="00836EE8" w:rsidP="00836EE8">
            <w:pPr>
              <w:widowControl w:val="0"/>
              <w:overflowPunct w:val="0"/>
              <w:autoSpaceDE w:val="0"/>
              <w:autoSpaceDN w:val="0"/>
              <w:adjustRightInd w:val="0"/>
              <w:spacing w:before="120" w:after="0" w:line="254" w:lineRule="auto"/>
              <w:jc w:val="center"/>
              <w:rPr>
                <w:rFonts w:ascii="Calibri" w:eastAsia="Times New Roman" w:hAnsi="Calibri" w:cs="Arial"/>
                <w:b/>
                <w:color w:val="000000"/>
                <w:kern w:val="0"/>
                <w:lang w:eastAsia="es-CR"/>
                <w14:ligatures w14:val="none"/>
              </w:rPr>
            </w:pPr>
            <w:r w:rsidRPr="00836EE8">
              <w:rPr>
                <w:rFonts w:ascii="Calibri" w:eastAsia="Times New Roman" w:hAnsi="Calibri" w:cs="Arial"/>
                <w:b/>
                <w:color w:val="000000"/>
                <w:kern w:val="0"/>
                <w:lang w:eastAsia="es-CR"/>
                <w14:ligatures w14:val="none"/>
              </w:rPr>
              <w:t>100%</w:t>
            </w:r>
          </w:p>
        </w:tc>
      </w:tr>
    </w:tbl>
    <w:p w14:paraId="33A0602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A95511F"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D55D865"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15B7522"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4CA9560B"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756C2C8"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67B43E0"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1E7E4AE"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83CCE3C"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FC0CAB4"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sectPr w:rsidR="00836EE8" w:rsidRPr="00836EE8" w:rsidSect="005C1895">
          <w:pgSz w:w="12240" w:h="15840"/>
          <w:pgMar w:top="1417" w:right="1701" w:bottom="851" w:left="1701" w:header="708" w:footer="708" w:gutter="0"/>
          <w:pgNumType w:start="108"/>
          <w:cols w:space="708"/>
          <w:docGrid w:linePitch="360"/>
        </w:sectPr>
      </w:pPr>
    </w:p>
    <w:p w14:paraId="222D65B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eastAsia="es-CR"/>
          <w14:ligatures w14:val="none"/>
        </w:rPr>
      </w:pPr>
      <w:r w:rsidRPr="00836EE8">
        <w:rPr>
          <w:rFonts w:ascii="Calibri" w:eastAsia="Times New Roman" w:hAnsi="Calibri" w:cs="Calibri"/>
          <w:bCs/>
          <w:noProof/>
          <w:kern w:val="0"/>
          <w:sz w:val="20"/>
          <w:szCs w:val="20"/>
          <w:lang w:eastAsia="es-CR"/>
          <w14:ligatures w14:val="none"/>
        </w:rPr>
        <w:lastRenderedPageBreak/>
        <mc:AlternateContent>
          <mc:Choice Requires="wps">
            <w:drawing>
              <wp:anchor distT="45720" distB="45720" distL="114300" distR="114300" simplePos="0" relativeHeight="252250112" behindDoc="0" locked="0" layoutInCell="1" allowOverlap="1" wp14:anchorId="6F80A2F6" wp14:editId="34F8A00B">
                <wp:simplePos x="0" y="0"/>
                <wp:positionH relativeFrom="margin">
                  <wp:align>center</wp:align>
                </wp:positionH>
                <wp:positionV relativeFrom="paragraph">
                  <wp:posOffset>0</wp:posOffset>
                </wp:positionV>
                <wp:extent cx="7879080" cy="426720"/>
                <wp:effectExtent l="0" t="0" r="26670" b="11430"/>
                <wp:wrapNone/>
                <wp:docPr id="9695161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4CEDFE22" w14:textId="77777777" w:rsidR="00836EE8" w:rsidRPr="00836EE8" w:rsidRDefault="00836EE8" w:rsidP="00836EE8">
                            <w:pPr>
                              <w:jc w:val="center"/>
                              <w:rPr>
                                <w:rFonts w:cs="Calibri"/>
                                <w:b/>
                              </w:rPr>
                            </w:pPr>
                            <w:r w:rsidRPr="00836EE8">
                              <w:rPr>
                                <w:rFonts w:cs="Calibri"/>
                                <w:b/>
                              </w:rPr>
                              <w:t>RÚBRICA DE EVALUACIÓN – DIARIO REFLEXIVO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0A2F6" id="_x0000_s1084" type="#_x0000_t202" style="position:absolute;left:0;text-align:left;margin-left:0;margin-top:0;width:620.4pt;height:33.6pt;z-index:2522501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">
                <v:textbox>
                  <w:txbxContent>
                    <w:p w14:paraId="4CEDFE22" w14:textId="77777777" w:rsidR="00836EE8" w:rsidRPr="00836EE8" w:rsidRDefault="00836EE8" w:rsidP="00836EE8">
                      <w:pPr>
                        <w:jc w:val="center"/>
                        <w:rPr>
                          <w:rFonts w:cs="Calibri"/>
                          <w:b/>
                        </w:rPr>
                      </w:pPr>
                      <w:r w:rsidRPr="00836EE8">
                        <w:rPr>
                          <w:rFonts w:cs="Calibri"/>
                          <w:b/>
                        </w:rPr>
                        <w:t>RÚBRICA DE EVALUACIÓN – DIARIO REFLEXIVO</w:t>
                      </w:r>
                    </w:p>
                  </w:txbxContent>
                </v:textbox>
                <w10:wrap anchorx="margin"/>
              </v:shape>
            </w:pict>
          </mc:Fallback>
        </mc:AlternateContent>
      </w:r>
    </w:p>
    <w:p w14:paraId="42A3B695"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eastAsia="es-CR"/>
          <w14:ligatures w14:val="none"/>
        </w:rPr>
      </w:pPr>
    </w:p>
    <w:p w14:paraId="1DA04633"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eastAsia="es-CR"/>
          <w14:ligatures w14:val="none"/>
        </w:rPr>
      </w:pPr>
      <w:r w:rsidRPr="00836EE8">
        <w:rPr>
          <w:rFonts w:ascii="Calibri" w:eastAsia="Times New Roman" w:hAnsi="Calibri" w:cs="Calibri"/>
          <w:color w:val="0070C0"/>
          <w:kern w:val="0"/>
          <w:lang w:eastAsia="es-CR"/>
          <w14:ligatures w14:val="none"/>
        </w:rPr>
        <w:t>El diario reflexivo tiene entre sus bondades la organización autónoma y la internalización del conocimiento significativo, de una forma creativa, innovadora, gráfica, ilustrativa y crítica a la vez. Se elabora desde la sesión 2 hasta la 9 y tiene un valor de 20%.</w:t>
      </w:r>
    </w:p>
    <w:p w14:paraId="28B1E4BA"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eastAsia="es-CR"/>
          <w14:ligatures w14:val="none"/>
        </w:rPr>
      </w:pPr>
    </w:p>
    <w:p w14:paraId="4BA07103"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noProof/>
          <w:color w:val="000000"/>
          <w:kern w:val="0"/>
          <w:lang w:val="es-ES_tradnl" w:eastAsia="es-CR"/>
          <w14:ligatures w14:val="none"/>
        </w:rPr>
        <w:drawing>
          <wp:anchor distT="0" distB="0" distL="114300" distR="114300" simplePos="0" relativeHeight="252251136" behindDoc="0" locked="0" layoutInCell="1" allowOverlap="1" wp14:anchorId="41209665" wp14:editId="1A3676B6">
            <wp:simplePos x="0" y="0"/>
            <wp:positionH relativeFrom="margin">
              <wp:align>center</wp:align>
            </wp:positionH>
            <wp:positionV relativeFrom="paragraph">
              <wp:posOffset>80327</wp:posOffset>
            </wp:positionV>
            <wp:extent cx="8555984" cy="5500687"/>
            <wp:effectExtent l="0" t="0" r="0" b="5080"/>
            <wp:wrapNone/>
            <wp:docPr id="105327855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278550" name="Imagen 1" descr="Tabla&#10;&#10;Descripción generada automáticamente"/>
                    <pic:cNvPicPr/>
                  </pic:nvPicPr>
                  <pic:blipFill>
                    <a:blip r:embed="rId138">
                      <a:extLst>
                        <a:ext uri="{28A0092B-C50C-407E-A947-70E740481C1C}">
                          <a14:useLocalDpi xmlns:a14="http://schemas.microsoft.com/office/drawing/2010/main" val="0"/>
                        </a:ext>
                      </a:extLst>
                    </a:blip>
                    <a:stretch>
                      <a:fillRect/>
                    </a:stretch>
                  </pic:blipFill>
                  <pic:spPr>
                    <a:xfrm>
                      <a:off x="0" y="0"/>
                      <a:ext cx="8555984" cy="5500687"/>
                    </a:xfrm>
                    <a:prstGeom prst="rect">
                      <a:avLst/>
                    </a:prstGeom>
                  </pic:spPr>
                </pic:pic>
              </a:graphicData>
            </a:graphic>
            <wp14:sizeRelH relativeFrom="margin">
              <wp14:pctWidth>0</wp14:pctWidth>
            </wp14:sizeRelH>
            <wp14:sizeRelV relativeFrom="margin">
              <wp14:pctHeight>0</wp14:pctHeight>
            </wp14:sizeRelV>
          </wp:anchor>
        </w:drawing>
      </w:r>
    </w:p>
    <w:p w14:paraId="651C57D4"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br w:type="page"/>
      </w:r>
    </w:p>
    <w:p w14:paraId="0B6254C2"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252160" behindDoc="0" locked="0" layoutInCell="1" allowOverlap="1" wp14:anchorId="3674EBAD" wp14:editId="3E82113B">
                <wp:simplePos x="0" y="0"/>
                <wp:positionH relativeFrom="margin">
                  <wp:align>center</wp:align>
                </wp:positionH>
                <wp:positionV relativeFrom="paragraph">
                  <wp:posOffset>-109537</wp:posOffset>
                </wp:positionV>
                <wp:extent cx="7879080" cy="419100"/>
                <wp:effectExtent l="0" t="0" r="26670" b="19050"/>
                <wp:wrapNone/>
                <wp:docPr id="18499569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9100"/>
                        </a:xfrm>
                        <a:prstGeom prst="rect">
                          <a:avLst/>
                        </a:prstGeom>
                        <a:solidFill>
                          <a:srgbClr val="FFFFFF"/>
                        </a:solidFill>
                        <a:ln w="9525">
                          <a:solidFill>
                            <a:srgbClr val="000000"/>
                          </a:solidFill>
                          <a:miter lim="800000"/>
                          <a:headEnd/>
                          <a:tailEnd/>
                        </a:ln>
                      </wps:spPr>
                      <wps:txbx>
                        <w:txbxContent>
                          <w:p w14:paraId="395A5C41" w14:textId="77777777" w:rsidR="00836EE8" w:rsidRPr="00836EE8" w:rsidRDefault="00836EE8" w:rsidP="00836EE8">
                            <w:pPr>
                              <w:jc w:val="center"/>
                              <w:rPr>
                                <w:rFonts w:cs="Calibri"/>
                                <w:b/>
                                <w:szCs w:val="24"/>
                              </w:rPr>
                            </w:pPr>
                            <w:r w:rsidRPr="00836EE8">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74EBAD" id="_x0000_s1085" type="#_x0000_t202" style="position:absolute;left:0;text-align:left;margin-left:0;margin-top:-8.6pt;width:620.4pt;height:33pt;z-index:2522521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">
                <v:textbox>
                  <w:txbxContent>
                    <w:p w14:paraId="395A5C41" w14:textId="77777777" w:rsidR="00836EE8" w:rsidRPr="00836EE8" w:rsidRDefault="00836EE8" w:rsidP="00836EE8">
                      <w:pPr>
                        <w:jc w:val="center"/>
                        <w:rPr>
                          <w:rFonts w:cs="Calibri"/>
                          <w:b/>
                          <w:szCs w:val="24"/>
                        </w:rPr>
                      </w:pPr>
                      <w:r w:rsidRPr="00836EE8">
                        <w:rPr>
                          <w:rFonts w:cs="Calibri"/>
                          <w:b/>
                          <w:szCs w:val="24"/>
                        </w:rPr>
                        <w:t>RÚBRICA DE EVALUACIÓN – FORO TEMÁTICO</w:t>
                      </w:r>
                    </w:p>
                  </w:txbxContent>
                </v:textbox>
                <w10:wrap anchorx="margin"/>
              </v:shape>
            </w:pict>
          </mc:Fallback>
        </mc:AlternateContent>
      </w:r>
    </w:p>
    <w:p w14:paraId="565A49CD"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0CE2792" w14:textId="77777777" w:rsidR="00836EE8" w:rsidRPr="00836EE8" w:rsidRDefault="00836EE8"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Con la finalidad de proveer experiencias de aprendizaje interactivas y colaborativas los foros buscan la participación de los y las estudiantes con base en las lecturas asignadas para el debate y la discusión de temas claves del curso. Se desarrollan en las sesiones 3, 5, 8 y 9. Cada foro tiene un valor de 5%.</w:t>
      </w:r>
    </w:p>
    <w:p w14:paraId="5FD0EDAB"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b/>
          <w:bCs/>
          <w:noProof/>
          <w:color w:val="000000"/>
          <w:kern w:val="0"/>
          <w:lang w:val="es-ES_tradnl" w:eastAsia="es-CR"/>
          <w14:ligatures w14:val="none"/>
        </w:rPr>
        <w:drawing>
          <wp:anchor distT="0" distB="0" distL="114300" distR="114300" simplePos="0" relativeHeight="252253184" behindDoc="0" locked="0" layoutInCell="1" allowOverlap="1" wp14:anchorId="1EDBE5EB" wp14:editId="751027E8">
            <wp:simplePos x="0" y="0"/>
            <wp:positionH relativeFrom="margin">
              <wp:align>center</wp:align>
            </wp:positionH>
            <wp:positionV relativeFrom="paragraph">
              <wp:posOffset>227647</wp:posOffset>
            </wp:positionV>
            <wp:extent cx="8164599" cy="5910263"/>
            <wp:effectExtent l="0" t="0" r="8255" b="0"/>
            <wp:wrapNone/>
            <wp:docPr id="258764738"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764738" name="Imagen 2" descr="Tabla&#10;&#10;Descripción generada automáticamente"/>
                    <pic:cNvPicPr/>
                  </pic:nvPicPr>
                  <pic:blipFill>
                    <a:blip r:embed="rId139">
                      <a:extLst>
                        <a:ext uri="{28A0092B-C50C-407E-A947-70E740481C1C}">
                          <a14:useLocalDpi xmlns:a14="http://schemas.microsoft.com/office/drawing/2010/main" val="0"/>
                        </a:ext>
                      </a:extLst>
                    </a:blip>
                    <a:stretch>
                      <a:fillRect/>
                    </a:stretch>
                  </pic:blipFill>
                  <pic:spPr>
                    <a:xfrm>
                      <a:off x="0" y="0"/>
                      <a:ext cx="8164599" cy="5910263"/>
                    </a:xfrm>
                    <a:prstGeom prst="rect">
                      <a:avLst/>
                    </a:prstGeom>
                  </pic:spPr>
                </pic:pic>
              </a:graphicData>
            </a:graphic>
            <wp14:sizeRelH relativeFrom="margin">
              <wp14:pctWidth>0</wp14:pctWidth>
            </wp14:sizeRelH>
            <wp14:sizeRelV relativeFrom="margin">
              <wp14:pctHeight>0</wp14:pctHeight>
            </wp14:sizeRelV>
          </wp:anchor>
        </w:drawing>
      </w:r>
    </w:p>
    <w:p w14:paraId="6D3AACF5"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7F0A2C29"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br w:type="page"/>
      </w:r>
    </w:p>
    <w:p w14:paraId="444D1628"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254208" behindDoc="0" locked="0" layoutInCell="1" allowOverlap="1" wp14:anchorId="07D7F0B0" wp14:editId="023937BB">
                <wp:simplePos x="0" y="0"/>
                <wp:positionH relativeFrom="margin">
                  <wp:align>center</wp:align>
                </wp:positionH>
                <wp:positionV relativeFrom="paragraph">
                  <wp:posOffset>-100012</wp:posOffset>
                </wp:positionV>
                <wp:extent cx="7025640" cy="395287"/>
                <wp:effectExtent l="0" t="0" r="22860" b="24130"/>
                <wp:wrapNone/>
                <wp:docPr id="1400804575" name="Cuadro de texto 1"/>
                <wp:cNvGraphicFramePr/>
                <a:graphic xmlns:a="http://schemas.openxmlformats.org/drawingml/2006/main">
                  <a:graphicData uri="http://schemas.microsoft.com/office/word/2010/wordprocessingShape">
                    <wps:wsp>
                      <wps:cNvSpPr txBox="1"/>
                      <wps:spPr>
                        <a:xfrm>
                          <a:off x="0" y="0"/>
                          <a:ext cx="7025640" cy="395287"/>
                        </a:xfrm>
                        <a:prstGeom prst="rect">
                          <a:avLst/>
                        </a:prstGeom>
                        <a:solidFill>
                          <a:sysClr val="window" lastClr="FFFFFF"/>
                        </a:solidFill>
                        <a:ln w="6350">
                          <a:solidFill>
                            <a:prstClr val="black"/>
                          </a:solidFill>
                        </a:ln>
                      </wps:spPr>
                      <wps:txbx>
                        <w:txbxContent>
                          <w:p w14:paraId="2E284FFD" w14:textId="77777777" w:rsidR="00836EE8" w:rsidRPr="00836EE8" w:rsidRDefault="00836EE8" w:rsidP="00836EE8">
                            <w:pPr>
                              <w:jc w:val="center"/>
                              <w:rPr>
                                <w:rFonts w:cs="Calibri"/>
                                <w:b/>
                              </w:rPr>
                            </w:pPr>
                            <w:r w:rsidRPr="00836EE8">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D7F0B0" id="_x0000_s1086" type="#_x0000_t202" style="position:absolute;left:0;text-align:left;margin-left:0;margin-top:-7.85pt;width:553.2pt;height:31.1pt;z-index:252254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" fillcolor="window" strokeweight=".5pt">
                <v:textbox>
                  <w:txbxContent>
                    <w:p w14:paraId="2E284FFD" w14:textId="77777777" w:rsidR="00836EE8" w:rsidRPr="00836EE8" w:rsidRDefault="00836EE8" w:rsidP="00836EE8">
                      <w:pPr>
                        <w:jc w:val="center"/>
                        <w:rPr>
                          <w:rFonts w:cs="Calibri"/>
                          <w:b/>
                        </w:rPr>
                      </w:pPr>
                      <w:r w:rsidRPr="00836EE8">
                        <w:rPr>
                          <w:rFonts w:cs="Calibri"/>
                          <w:b/>
                        </w:rPr>
                        <w:t>RÚBRICA DE EVALUACIÓN – WIKI</w:t>
                      </w:r>
                    </w:p>
                  </w:txbxContent>
                </v:textbox>
                <w10:wrap anchorx="margin"/>
              </v:shape>
            </w:pict>
          </mc:Fallback>
        </mc:AlternateContent>
      </w:r>
    </w:p>
    <w:p w14:paraId="5C57E0B5"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2547A56"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La herramienta colaborativa denominada wiki permite el desarrollo conjunto de una síntesis sobre un tema o temas. Se trata de una colección de documentos web escritos en forma colaborativa. Se desarrolla en la sesión 4 y tiene un valor de 5%.</w:t>
      </w:r>
    </w:p>
    <w:p w14:paraId="6DE6155F"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ECEDF70"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15EA454"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b/>
          <w:bCs/>
          <w:noProof/>
          <w:color w:val="000000"/>
          <w:kern w:val="0"/>
          <w:lang w:val="es-ES_tradnl" w:eastAsia="es-CR"/>
          <w14:ligatures w14:val="none"/>
        </w:rPr>
        <w:drawing>
          <wp:anchor distT="0" distB="0" distL="114300" distR="114300" simplePos="0" relativeHeight="252255232" behindDoc="0" locked="0" layoutInCell="1" allowOverlap="1" wp14:anchorId="681B9F5A" wp14:editId="06BD362A">
            <wp:simplePos x="0" y="0"/>
            <wp:positionH relativeFrom="margin">
              <wp:align>right</wp:align>
            </wp:positionH>
            <wp:positionV relativeFrom="paragraph">
              <wp:posOffset>81597</wp:posOffset>
            </wp:positionV>
            <wp:extent cx="9144000" cy="4649470"/>
            <wp:effectExtent l="0" t="0" r="0" b="0"/>
            <wp:wrapNone/>
            <wp:docPr id="1178165643"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65643" name="Imagen 3" descr="Tabla&#10;&#10;Descripción generada automáticamente"/>
                    <pic:cNvPicPr/>
                  </pic:nvPicPr>
                  <pic:blipFill>
                    <a:blip r:embed="rId140">
                      <a:extLst>
                        <a:ext uri="{28A0092B-C50C-407E-A947-70E740481C1C}">
                          <a14:useLocalDpi xmlns:a14="http://schemas.microsoft.com/office/drawing/2010/main" val="0"/>
                        </a:ext>
                      </a:extLst>
                    </a:blip>
                    <a:stretch>
                      <a:fillRect/>
                    </a:stretch>
                  </pic:blipFill>
                  <pic:spPr>
                    <a:xfrm>
                      <a:off x="0" y="0"/>
                      <a:ext cx="9144000" cy="4649470"/>
                    </a:xfrm>
                    <a:prstGeom prst="rect">
                      <a:avLst/>
                    </a:prstGeom>
                  </pic:spPr>
                </pic:pic>
              </a:graphicData>
            </a:graphic>
          </wp:anchor>
        </w:drawing>
      </w:r>
    </w:p>
    <w:p w14:paraId="36D2FFC9"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7AB909E"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BD7EBFE"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5854D0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5E8288E"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668BFD4"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B9405C0"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8AD7981"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21B3324"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885A76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A74AEA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95E17E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9C72ED0"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95BC91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13F386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1646DB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4D2B1B9"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1F8B350"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D03EB3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A6461A5"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802D2BB"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F5B16F7"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256256" behindDoc="0" locked="0" layoutInCell="1" allowOverlap="1" wp14:anchorId="23D3940B" wp14:editId="06E338F9">
                <wp:simplePos x="0" y="0"/>
                <wp:positionH relativeFrom="margin">
                  <wp:align>center</wp:align>
                </wp:positionH>
                <wp:positionV relativeFrom="paragraph">
                  <wp:posOffset>0</wp:posOffset>
                </wp:positionV>
                <wp:extent cx="6606540" cy="411480"/>
                <wp:effectExtent l="0" t="0" r="22860" b="26670"/>
                <wp:wrapNone/>
                <wp:docPr id="430240717" name="Cuadro de texto 43024071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726964C1" w14:textId="77777777" w:rsidR="00836EE8" w:rsidRPr="00836EE8" w:rsidRDefault="00836EE8" w:rsidP="00836EE8">
                            <w:pPr>
                              <w:jc w:val="center"/>
                              <w:rPr>
                                <w:rFonts w:cs="Calibri"/>
                              </w:rPr>
                            </w:pPr>
                            <w:r w:rsidRPr="00836EE8">
                              <w:rPr>
                                <w:rFonts w:cs="Calibri"/>
                                <w:b/>
                              </w:rPr>
                              <w:t>RÚBRICA DE EVALUACIÓN – RESEÑA CRÍTICA DE LECTURA</w:t>
                            </w:r>
                          </w:p>
                          <w:p w14:paraId="504B25A4" w14:textId="77777777" w:rsidR="00836EE8" w:rsidRPr="00836EE8" w:rsidRDefault="00836EE8" w:rsidP="00836EE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D3940B" id="Cuadro de texto 430240717" o:spid="_x0000_s1087" type="#_x0000_t202" style="position:absolute;left:0;text-align:left;margin-left:0;margin-top:0;width:520.2pt;height:32.4pt;z-index:2522562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" fillcolor="window" strokeweight=".5pt">
                <v:textbox>
                  <w:txbxContent>
                    <w:p w14:paraId="726964C1" w14:textId="77777777" w:rsidR="00836EE8" w:rsidRPr="00836EE8" w:rsidRDefault="00836EE8" w:rsidP="00836EE8">
                      <w:pPr>
                        <w:jc w:val="center"/>
                        <w:rPr>
                          <w:rFonts w:cs="Calibri"/>
                        </w:rPr>
                      </w:pPr>
                      <w:r w:rsidRPr="00836EE8">
                        <w:rPr>
                          <w:rFonts w:cs="Calibri"/>
                          <w:b/>
                        </w:rPr>
                        <w:t>RÚBRICA DE EVALUACIÓN – RESEÑA CRÍTICA DE LECTURA</w:t>
                      </w:r>
                    </w:p>
                    <w:p w14:paraId="504B25A4" w14:textId="77777777" w:rsidR="00836EE8" w:rsidRPr="00836EE8" w:rsidRDefault="00836EE8" w:rsidP="00836EE8">
                      <w:pPr>
                        <w:jc w:val="center"/>
                        <w:rPr>
                          <w:rFonts w:cs="Calibri"/>
                        </w:rPr>
                      </w:pPr>
                    </w:p>
                  </w:txbxContent>
                </v:textbox>
                <w10:wrap anchorx="margin"/>
              </v:shape>
            </w:pict>
          </mc:Fallback>
        </mc:AlternateContent>
      </w:r>
    </w:p>
    <w:p w14:paraId="148CE311"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BEFB4DA"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5F9F97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La reseña crítica es un texto argumentativo y expositivo que nace del análisis de las ideas contenidas en la lectura a reseñar. Cada reseña tiene un valor de 5% y se elaboran en las sesiones 4, 6, 7, 8 y 10.</w:t>
      </w:r>
    </w:p>
    <w:p w14:paraId="51E353C5"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9117FB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noProof/>
          <w:color w:val="000000"/>
          <w:kern w:val="0"/>
          <w:lang w:val="es-ES_tradnl" w:eastAsia="es-CR"/>
          <w14:ligatures w14:val="none"/>
        </w:rPr>
        <w:drawing>
          <wp:anchor distT="0" distB="0" distL="114300" distR="114300" simplePos="0" relativeHeight="252257280" behindDoc="0" locked="0" layoutInCell="1" allowOverlap="1" wp14:anchorId="560D6D2A" wp14:editId="5C21D3C0">
            <wp:simplePos x="0" y="0"/>
            <wp:positionH relativeFrom="margin">
              <wp:align>right</wp:align>
            </wp:positionH>
            <wp:positionV relativeFrom="paragraph">
              <wp:posOffset>80010</wp:posOffset>
            </wp:positionV>
            <wp:extent cx="9144000" cy="4906645"/>
            <wp:effectExtent l="0" t="0" r="0" b="8255"/>
            <wp:wrapNone/>
            <wp:docPr id="796149146"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149146" name="Imagen 4" descr="Tabla&#10;&#10;Descripción generada automáticamente"/>
                    <pic:cNvPicPr/>
                  </pic:nvPicPr>
                  <pic:blipFill>
                    <a:blip r:embed="rId141">
                      <a:extLst>
                        <a:ext uri="{28A0092B-C50C-407E-A947-70E740481C1C}">
                          <a14:useLocalDpi xmlns:a14="http://schemas.microsoft.com/office/drawing/2010/main" val="0"/>
                        </a:ext>
                      </a:extLst>
                    </a:blip>
                    <a:stretch>
                      <a:fillRect/>
                    </a:stretch>
                  </pic:blipFill>
                  <pic:spPr>
                    <a:xfrm>
                      <a:off x="0" y="0"/>
                      <a:ext cx="9144000" cy="4906645"/>
                    </a:xfrm>
                    <a:prstGeom prst="rect">
                      <a:avLst/>
                    </a:prstGeom>
                  </pic:spPr>
                </pic:pic>
              </a:graphicData>
            </a:graphic>
          </wp:anchor>
        </w:drawing>
      </w:r>
    </w:p>
    <w:p w14:paraId="4F5E40F6"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DEF0C4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6B63997"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7CC01D7"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86F607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3D5448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7B37DF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BF4FF31"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0EEE20D"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762F21A"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9EEA01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27F971A"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3D47BA4"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9980916"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8A167E8"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31C2419"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9A18D61"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5B981DB"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8B76A34"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F7216D8"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6E34107"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7425407"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258304" behindDoc="0" locked="0" layoutInCell="1" allowOverlap="1" wp14:anchorId="18C55162" wp14:editId="64CFCDE7">
                <wp:simplePos x="0" y="0"/>
                <wp:positionH relativeFrom="margin">
                  <wp:align>center</wp:align>
                </wp:positionH>
                <wp:positionV relativeFrom="paragraph">
                  <wp:posOffset>-79693</wp:posOffset>
                </wp:positionV>
                <wp:extent cx="6606540" cy="411480"/>
                <wp:effectExtent l="0" t="0" r="22860" b="26670"/>
                <wp:wrapNone/>
                <wp:docPr id="741026639" name="Cuadro de texto 741026639"/>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6EC7845" w14:textId="77777777" w:rsidR="00836EE8" w:rsidRPr="00836EE8" w:rsidRDefault="00836EE8" w:rsidP="00836EE8">
                            <w:pPr>
                              <w:jc w:val="center"/>
                              <w:rPr>
                                <w:rFonts w:cs="Calibri"/>
                              </w:rPr>
                            </w:pPr>
                            <w:r w:rsidRPr="00836EE8">
                              <w:rPr>
                                <w:rFonts w:cs="Calibri"/>
                                <w:b/>
                              </w:rPr>
                              <w:t>RÚBRICA DE EVALUACIÓN – ENSAYO MONOGRÁFICO</w:t>
                            </w:r>
                          </w:p>
                          <w:p w14:paraId="58CEA709" w14:textId="77777777" w:rsidR="00836EE8" w:rsidRPr="00836EE8" w:rsidRDefault="00836EE8" w:rsidP="00836EE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C55162" id="Cuadro de texto 741026639" o:spid="_x0000_s1088" type="#_x0000_t202" style="position:absolute;left:0;text-align:left;margin-left:0;margin-top:-6.3pt;width:520.2pt;height:32.4pt;z-index:2522583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" fillcolor="window" strokeweight=".5pt">
                <v:textbox>
                  <w:txbxContent>
                    <w:p w14:paraId="26EC7845" w14:textId="77777777" w:rsidR="00836EE8" w:rsidRPr="00836EE8" w:rsidRDefault="00836EE8" w:rsidP="00836EE8">
                      <w:pPr>
                        <w:jc w:val="center"/>
                        <w:rPr>
                          <w:rFonts w:cs="Calibri"/>
                        </w:rPr>
                      </w:pPr>
                      <w:r w:rsidRPr="00836EE8">
                        <w:rPr>
                          <w:rFonts w:cs="Calibri"/>
                          <w:b/>
                        </w:rPr>
                        <w:t>RÚBRICA DE EVALUACIÓN – ENSAYO MONOGRÁFICO</w:t>
                      </w:r>
                    </w:p>
                    <w:p w14:paraId="58CEA709" w14:textId="77777777" w:rsidR="00836EE8" w:rsidRPr="00836EE8" w:rsidRDefault="00836EE8" w:rsidP="00836EE8">
                      <w:pPr>
                        <w:jc w:val="center"/>
                        <w:rPr>
                          <w:rFonts w:cs="Calibri"/>
                        </w:rPr>
                      </w:pPr>
                    </w:p>
                  </w:txbxContent>
                </v:textbox>
                <w10:wrap anchorx="margin"/>
              </v:shape>
            </w:pict>
          </mc:Fallback>
        </mc:AlternateContent>
      </w:r>
    </w:p>
    <w:p w14:paraId="269E6A02"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655A3E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836EE8">
        <w:rPr>
          <w:rFonts w:ascii="Calibri" w:eastAsia="Times New Roman" w:hAnsi="Calibri" w:cs="Calibri"/>
          <w:color w:val="0070C0"/>
          <w:kern w:val="0"/>
          <w:lang w:val="es-ES_tradnl" w:eastAsia="es-CR"/>
          <w14:ligatures w14:val="none"/>
        </w:rPr>
        <w:t>Un ensayo es un tipo de documento académico en el cual se analiza, evalúa o interpreta un tema determinado, ya sea de manera dirigida o libre. Consta de una introducción, un desarrollo y una conclusión. Se elabora desde la sesión 11 hasta la 14 y vale 30%.</w:t>
      </w:r>
    </w:p>
    <w:p w14:paraId="3E7E5C5E"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0AA4E81"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836EE8">
        <w:rPr>
          <w:rFonts w:ascii="Calibri" w:eastAsia="Times New Roman" w:hAnsi="Calibri" w:cs="Calibri"/>
          <w:noProof/>
          <w:color w:val="000000"/>
          <w:kern w:val="0"/>
          <w:lang w:val="es-ES_tradnl" w:eastAsia="es-CR"/>
          <w14:ligatures w14:val="none"/>
        </w:rPr>
        <w:drawing>
          <wp:anchor distT="0" distB="0" distL="114300" distR="114300" simplePos="0" relativeHeight="252259328" behindDoc="0" locked="0" layoutInCell="1" allowOverlap="1" wp14:anchorId="131B04B1" wp14:editId="0E8FB1C0">
            <wp:simplePos x="0" y="0"/>
            <wp:positionH relativeFrom="margin">
              <wp:align>center</wp:align>
            </wp:positionH>
            <wp:positionV relativeFrom="paragraph">
              <wp:posOffset>41910</wp:posOffset>
            </wp:positionV>
            <wp:extent cx="8551558" cy="5591175"/>
            <wp:effectExtent l="0" t="0" r="1905" b="0"/>
            <wp:wrapNone/>
            <wp:docPr id="46995006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950061" name="Imagen 5" descr="Tabla&#10;&#10;Descripción generada automáticamente"/>
                    <pic:cNvPicPr/>
                  </pic:nvPicPr>
                  <pic:blipFill>
                    <a:blip r:embed="rId142">
                      <a:extLst>
                        <a:ext uri="{28A0092B-C50C-407E-A947-70E740481C1C}">
                          <a14:useLocalDpi xmlns:a14="http://schemas.microsoft.com/office/drawing/2010/main" val="0"/>
                        </a:ext>
                      </a:extLst>
                    </a:blip>
                    <a:stretch>
                      <a:fillRect/>
                    </a:stretch>
                  </pic:blipFill>
                  <pic:spPr>
                    <a:xfrm>
                      <a:off x="0" y="0"/>
                      <a:ext cx="8551558" cy="5591175"/>
                    </a:xfrm>
                    <a:prstGeom prst="rect">
                      <a:avLst/>
                    </a:prstGeom>
                  </pic:spPr>
                </pic:pic>
              </a:graphicData>
            </a:graphic>
            <wp14:sizeRelH relativeFrom="margin">
              <wp14:pctWidth>0</wp14:pctWidth>
            </wp14:sizeRelH>
            <wp14:sizeRelV relativeFrom="margin">
              <wp14:pctHeight>0</wp14:pctHeight>
            </wp14:sizeRelV>
          </wp:anchor>
        </w:drawing>
      </w:r>
    </w:p>
    <w:p w14:paraId="709261DC" w14:textId="77777777" w:rsidR="00836EE8" w:rsidRPr="00836EE8" w:rsidRDefault="00836EE8" w:rsidP="00836EE8">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3AC11B33"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br w:type="page"/>
      </w:r>
    </w:p>
    <w:p w14:paraId="1D3D4B1F"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sectPr w:rsidR="00836EE8" w:rsidRPr="00836EE8" w:rsidSect="005C1895">
          <w:pgSz w:w="15840" w:h="12240" w:orient="landscape"/>
          <w:pgMar w:top="720" w:right="720" w:bottom="720" w:left="720" w:header="709" w:footer="709" w:gutter="0"/>
          <w:pgNumType w:start="108"/>
          <w:cols w:space="708"/>
          <w:docGrid w:linePitch="360"/>
        </w:sectPr>
      </w:pPr>
    </w:p>
    <w:p w14:paraId="5377A4B3"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lastRenderedPageBreak/>
        <w:t>XI. Bibliografía obligatoria</w:t>
      </w:r>
    </w:p>
    <w:p w14:paraId="2FF648F6"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Arial"/>
          <w:b/>
          <w:color w:val="000000"/>
          <w:kern w:val="0"/>
          <w:lang w:eastAsia="es-CR"/>
          <w14:ligatures w14:val="none"/>
        </w:rPr>
        <w:t>Nota:</w:t>
      </w:r>
      <w:r w:rsidRPr="00836EE8">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836EE8">
        <w:rPr>
          <w:rFonts w:ascii="Calibri" w:eastAsia="Times New Roman" w:hAnsi="Calibri" w:cs="Arial"/>
          <w:bCs/>
          <w:color w:val="000000"/>
          <w:kern w:val="0"/>
          <w:lang w:eastAsia="es-CR"/>
          <w14:ligatures w14:val="none"/>
        </w:rPr>
        <w:t>pdf</w:t>
      </w:r>
      <w:proofErr w:type="spellEnd"/>
      <w:r w:rsidRPr="00836EE8">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1659C85B"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Aguirre, Rafael y Antonio Rodríguez. </w:t>
      </w:r>
      <w:r w:rsidRPr="00836EE8">
        <w:rPr>
          <w:rFonts w:ascii="Calibri" w:eastAsia="Times New Roman" w:hAnsi="Calibri" w:cs="Calibri"/>
          <w:bCs/>
          <w:i/>
          <w:color w:val="000000"/>
          <w:kern w:val="0"/>
          <w:lang w:val="es-ES_tradnl" w:eastAsia="es-CR"/>
          <w14:ligatures w14:val="none"/>
        </w:rPr>
        <w:t xml:space="preserve">Evangelios sinópticos y Hechos de los Apóstoles. </w:t>
      </w:r>
      <w:r w:rsidRPr="00836EE8">
        <w:rPr>
          <w:rFonts w:ascii="Calibri" w:eastAsia="Times New Roman" w:hAnsi="Calibri" w:cs="Calibri"/>
          <w:bCs/>
          <w:color w:val="000000"/>
          <w:kern w:val="0"/>
          <w:lang w:val="es-ES_tradnl" w:eastAsia="es-CR"/>
          <w14:ligatures w14:val="none"/>
        </w:rPr>
        <w:t>Estella: Verbo Divino, 2021.</w:t>
      </w:r>
    </w:p>
    <w:p w14:paraId="0D680D60"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Bermejo Rubio, Fernando. </w:t>
      </w:r>
      <w:r w:rsidRPr="00836EE8">
        <w:rPr>
          <w:rFonts w:ascii="Calibri" w:eastAsia="Times New Roman" w:hAnsi="Calibri" w:cs="Calibri"/>
          <w:bCs/>
          <w:i/>
          <w:iCs/>
          <w:color w:val="000000"/>
          <w:kern w:val="0"/>
          <w:lang w:val="es-ES_tradnl" w:eastAsia="es-CR"/>
          <w14:ligatures w14:val="none"/>
        </w:rPr>
        <w:t>La invención de Jesús de Nazaret: historia, ficción, historiografía</w:t>
      </w:r>
      <w:r w:rsidRPr="00836EE8">
        <w:rPr>
          <w:rFonts w:ascii="Calibri" w:eastAsia="Times New Roman" w:hAnsi="Calibri" w:cs="Calibri"/>
          <w:bCs/>
          <w:color w:val="000000"/>
          <w:kern w:val="0"/>
          <w:lang w:val="es-ES_tradnl" w:eastAsia="es-CR"/>
          <w14:ligatures w14:val="none"/>
        </w:rPr>
        <w:t xml:space="preserve">. Madrid: Siglo XXI, 2019. </w:t>
      </w:r>
    </w:p>
    <w:p w14:paraId="6BD5C5D5"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70C0"/>
          <w:kern w:val="0"/>
          <w:sz w:val="20"/>
          <w:szCs w:val="2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Carbajosa Ignacio, Joaquín González Echegaray y Francisco Varo. </w:t>
      </w:r>
      <w:r w:rsidRPr="00836EE8">
        <w:rPr>
          <w:rFonts w:ascii="Calibri" w:eastAsia="Times New Roman" w:hAnsi="Calibri" w:cs="Calibri"/>
          <w:bCs/>
          <w:i/>
          <w:iCs/>
          <w:color w:val="000000"/>
          <w:kern w:val="0"/>
          <w:lang w:val="es-ES_tradnl" w:eastAsia="es-CR"/>
          <w14:ligatures w14:val="none"/>
        </w:rPr>
        <w:t>La Biblia en su entorno</w:t>
      </w:r>
      <w:r w:rsidRPr="00836EE8">
        <w:rPr>
          <w:rFonts w:ascii="Calibri" w:eastAsia="Times New Roman" w:hAnsi="Calibri" w:cs="Calibri"/>
          <w:bCs/>
          <w:color w:val="000000"/>
          <w:kern w:val="0"/>
          <w:lang w:val="es-ES_tradnl" w:eastAsia="es-CR"/>
          <w14:ligatures w14:val="none"/>
        </w:rPr>
        <w:t>. Estella: Verbo Divino, 2023.</w:t>
      </w:r>
    </w:p>
    <w:p w14:paraId="031371CC"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Dunn, James. </w:t>
      </w:r>
      <w:r w:rsidRPr="00836EE8">
        <w:rPr>
          <w:rFonts w:ascii="Calibri" w:eastAsia="Times New Roman" w:hAnsi="Calibri" w:cs="Calibri"/>
          <w:bCs/>
          <w:i/>
          <w:color w:val="000000"/>
          <w:kern w:val="0"/>
          <w:lang w:val="es-ES_tradnl" w:eastAsia="es-CR"/>
          <w14:ligatures w14:val="none"/>
        </w:rPr>
        <w:t xml:space="preserve">Del Evangelio a los evangelios. </w:t>
      </w:r>
      <w:r w:rsidRPr="00836EE8">
        <w:rPr>
          <w:rFonts w:ascii="Calibri" w:eastAsia="Times New Roman" w:hAnsi="Calibri" w:cs="Calibri"/>
          <w:bCs/>
          <w:color w:val="000000"/>
          <w:kern w:val="0"/>
          <w:lang w:val="es-ES_tradnl" w:eastAsia="es-CR"/>
          <w14:ligatures w14:val="none"/>
        </w:rPr>
        <w:t>Bogotá: San Pablo, 2013. (</w:t>
      </w:r>
      <w:r w:rsidRPr="00836EE8">
        <w:rPr>
          <w:rFonts w:ascii="Calibri" w:eastAsia="Times New Roman" w:hAnsi="Calibri" w:cs="Calibri"/>
          <w:bCs/>
          <w:color w:val="0070C0"/>
          <w:kern w:val="0"/>
          <w:lang w:val="es-ES_tradnl" w:eastAsia="es-CR"/>
          <w14:ligatures w14:val="none"/>
        </w:rPr>
        <w:t>clásico</w:t>
      </w:r>
      <w:r w:rsidRPr="00836EE8">
        <w:rPr>
          <w:rFonts w:ascii="Calibri" w:eastAsia="Times New Roman" w:hAnsi="Calibri" w:cs="Calibri"/>
          <w:bCs/>
          <w:color w:val="000000"/>
          <w:kern w:val="0"/>
          <w:lang w:val="es-ES_tradnl" w:eastAsia="es-CR"/>
          <w14:ligatures w14:val="none"/>
        </w:rPr>
        <w:t xml:space="preserve">, última edición) </w:t>
      </w:r>
    </w:p>
    <w:p w14:paraId="1C014480"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proofErr w:type="spellStart"/>
      <w:r w:rsidRPr="00836EE8">
        <w:rPr>
          <w:rFonts w:ascii="Calibri" w:eastAsia="Times New Roman" w:hAnsi="Calibri" w:cs="Arial"/>
          <w:color w:val="000000"/>
          <w:kern w:val="0"/>
          <w:lang w:val="es-ES" w:eastAsia="es-CR"/>
          <w14:ligatures w14:val="none"/>
        </w:rPr>
        <w:t>Freyne</w:t>
      </w:r>
      <w:proofErr w:type="spellEnd"/>
      <w:r w:rsidRPr="00836EE8">
        <w:rPr>
          <w:rFonts w:ascii="Calibri" w:eastAsia="Times New Roman" w:hAnsi="Calibri" w:cs="Arial"/>
          <w:color w:val="000000"/>
          <w:kern w:val="0"/>
          <w:lang w:val="es-ES" w:eastAsia="es-CR"/>
          <w14:ligatures w14:val="none"/>
        </w:rPr>
        <w:t xml:space="preserve">, Sean. “Entre imperio y sinagoga: explorando los papeles de mujeres en la Palestina romana temprana a través de la lente </w:t>
      </w:r>
      <w:proofErr w:type="spellStart"/>
      <w:r w:rsidRPr="00836EE8">
        <w:rPr>
          <w:rFonts w:ascii="Calibri" w:eastAsia="Times New Roman" w:hAnsi="Calibri" w:cs="Arial"/>
          <w:color w:val="000000"/>
          <w:kern w:val="0"/>
          <w:lang w:val="es-ES" w:eastAsia="es-CR"/>
          <w14:ligatures w14:val="none"/>
        </w:rPr>
        <w:t>marcana</w:t>
      </w:r>
      <w:proofErr w:type="spellEnd"/>
      <w:r w:rsidRPr="00836EE8">
        <w:rPr>
          <w:rFonts w:ascii="Calibri" w:eastAsia="Times New Roman" w:hAnsi="Calibri" w:cs="Arial"/>
          <w:color w:val="000000"/>
          <w:kern w:val="0"/>
          <w:lang w:val="es-ES" w:eastAsia="es-CR"/>
          <w14:ligatures w14:val="none"/>
        </w:rPr>
        <w:t xml:space="preserve">”.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 xml:space="preserve">editado por Mercedes Navarro y </w:t>
      </w:r>
      <w:proofErr w:type="spellStart"/>
      <w:r w:rsidRPr="00836EE8">
        <w:rPr>
          <w:rFonts w:ascii="Calibri" w:eastAsia="Times New Roman" w:hAnsi="Calibri" w:cs="Arial"/>
          <w:color w:val="000000"/>
          <w:kern w:val="0"/>
          <w:lang w:val="es-ES" w:eastAsia="es-CR"/>
          <w14:ligatures w14:val="none"/>
        </w:rPr>
        <w:t>Marinella</w:t>
      </w:r>
      <w:proofErr w:type="spellEnd"/>
      <w:r w:rsidRPr="00836EE8">
        <w:rPr>
          <w:rFonts w:ascii="Calibri" w:eastAsia="Times New Roman" w:hAnsi="Calibri" w:cs="Arial"/>
          <w:color w:val="000000"/>
          <w:kern w:val="0"/>
          <w:lang w:val="es-ES" w:eastAsia="es-CR"/>
          <w14:ligatures w14:val="none"/>
        </w:rPr>
        <w:t xml:space="preserve"> Perroni, 47-68. Estella: Verbo Divino, 2011. (</w:t>
      </w:r>
      <w:r w:rsidRPr="00836EE8">
        <w:rPr>
          <w:rFonts w:ascii="Calibri" w:eastAsia="Times New Roman" w:hAnsi="Calibri" w:cs="Arial"/>
          <w:color w:val="0070C0"/>
          <w:kern w:val="0"/>
          <w:lang w:val="es-ES" w:eastAsia="es-CR"/>
          <w14:ligatures w14:val="none"/>
        </w:rPr>
        <w:t>clásico</w:t>
      </w:r>
      <w:r w:rsidRPr="00836EE8">
        <w:rPr>
          <w:rFonts w:ascii="Calibri" w:eastAsia="Times New Roman" w:hAnsi="Calibri" w:cs="Arial"/>
          <w:color w:val="000000"/>
          <w:kern w:val="0"/>
          <w:lang w:val="es-ES" w:eastAsia="es-CR"/>
          <w14:ligatures w14:val="none"/>
        </w:rPr>
        <w:t>, última edición)</w:t>
      </w:r>
    </w:p>
    <w:p w14:paraId="77ADAE7A"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r w:rsidRPr="00836EE8">
        <w:rPr>
          <w:rFonts w:ascii="Calibri" w:eastAsia="Times New Roman" w:hAnsi="Calibri" w:cs="Arial"/>
          <w:color w:val="000000"/>
          <w:kern w:val="0"/>
          <w:lang w:val="es-ES" w:eastAsia="es-CR"/>
          <w14:ligatures w14:val="none"/>
        </w:rPr>
        <w:t xml:space="preserve">Gil </w:t>
      </w:r>
      <w:proofErr w:type="spellStart"/>
      <w:r w:rsidRPr="00836EE8">
        <w:rPr>
          <w:rFonts w:ascii="Calibri" w:eastAsia="Times New Roman" w:hAnsi="Calibri" w:cs="Arial"/>
          <w:color w:val="000000"/>
          <w:kern w:val="0"/>
          <w:lang w:val="es-ES" w:eastAsia="es-CR"/>
          <w14:ligatures w14:val="none"/>
        </w:rPr>
        <w:t>Arbiol</w:t>
      </w:r>
      <w:proofErr w:type="spellEnd"/>
      <w:r w:rsidRPr="00836EE8">
        <w:rPr>
          <w:rFonts w:ascii="Calibri" w:eastAsia="Times New Roman" w:hAnsi="Calibri" w:cs="Arial"/>
          <w:color w:val="000000"/>
          <w:kern w:val="0"/>
          <w:lang w:val="es-ES" w:eastAsia="es-CR"/>
          <w14:ligatures w14:val="none"/>
        </w:rPr>
        <w:t xml:space="preserve">, Carlos. “Jesús y el judaísmo de su tiempo: conflicto y muerte”. </w:t>
      </w:r>
      <w:r w:rsidRPr="00836EE8">
        <w:rPr>
          <w:rFonts w:ascii="Calibri" w:eastAsia="Times New Roman" w:hAnsi="Calibri" w:cs="Arial"/>
          <w:i/>
          <w:iCs/>
          <w:color w:val="000000"/>
          <w:kern w:val="0"/>
          <w:lang w:val="es-ES" w:eastAsia="es-CR"/>
          <w14:ligatures w14:val="none"/>
        </w:rPr>
        <w:t xml:space="preserve">Reseña Bíblica </w:t>
      </w:r>
      <w:r w:rsidRPr="00836EE8">
        <w:rPr>
          <w:rFonts w:ascii="Calibri" w:eastAsia="Times New Roman" w:hAnsi="Calibri" w:cs="Arial"/>
          <w:color w:val="000000"/>
          <w:kern w:val="0"/>
          <w:lang w:val="es-ES" w:eastAsia="es-CR"/>
          <w14:ligatures w14:val="none"/>
        </w:rPr>
        <w:t>n.109 (2021): 36-47.</w:t>
      </w:r>
    </w:p>
    <w:p w14:paraId="5D0B7634"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Guijarro, Santiago. </w:t>
      </w:r>
      <w:r w:rsidRPr="00836EE8">
        <w:rPr>
          <w:rFonts w:ascii="Calibri" w:eastAsia="Times New Roman" w:hAnsi="Calibri" w:cs="Calibri"/>
          <w:bCs/>
          <w:i/>
          <w:color w:val="000000"/>
          <w:kern w:val="0"/>
          <w:lang w:val="es-ES_tradnl" w:eastAsia="es-CR"/>
          <w14:ligatures w14:val="none"/>
        </w:rPr>
        <w:t xml:space="preserve">Los cuatro evangelios. </w:t>
      </w:r>
      <w:r w:rsidRPr="00836EE8">
        <w:rPr>
          <w:rFonts w:ascii="Calibri" w:eastAsia="Times New Roman" w:hAnsi="Calibri" w:cs="Calibri"/>
          <w:bCs/>
          <w:color w:val="000000"/>
          <w:kern w:val="0"/>
          <w:lang w:val="es-ES_tradnl" w:eastAsia="es-CR"/>
          <w14:ligatures w14:val="none"/>
        </w:rPr>
        <w:t xml:space="preserve">Salamanca: Sígueme, 2021. </w:t>
      </w:r>
    </w:p>
    <w:p w14:paraId="1BC29AB6"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proofErr w:type="spellStart"/>
      <w:r w:rsidRPr="00836EE8">
        <w:rPr>
          <w:rFonts w:ascii="Calibri" w:eastAsia="Times New Roman" w:hAnsi="Calibri" w:cs="Arial"/>
          <w:color w:val="000000"/>
          <w:kern w:val="0"/>
          <w:lang w:val="es-ES" w:eastAsia="es-CR"/>
          <w14:ligatures w14:val="none"/>
        </w:rPr>
        <w:t>Lohfink</w:t>
      </w:r>
      <w:proofErr w:type="spellEnd"/>
      <w:r w:rsidRPr="00836EE8">
        <w:rPr>
          <w:rFonts w:ascii="Calibri" w:eastAsia="Times New Roman" w:hAnsi="Calibri" w:cs="Arial"/>
          <w:color w:val="000000"/>
          <w:kern w:val="0"/>
          <w:lang w:val="es-ES" w:eastAsia="es-CR"/>
          <w14:ligatures w14:val="none"/>
        </w:rPr>
        <w:t xml:space="preserve">, Gerhard. </w:t>
      </w:r>
      <w:r w:rsidRPr="00836EE8">
        <w:rPr>
          <w:rFonts w:ascii="Calibri" w:eastAsia="Times New Roman" w:hAnsi="Calibri" w:cs="Arial"/>
          <w:i/>
          <w:iCs/>
          <w:color w:val="000000"/>
          <w:kern w:val="0"/>
          <w:lang w:val="es-ES" w:eastAsia="es-CR"/>
          <w14:ligatures w14:val="none"/>
        </w:rPr>
        <w:t>Cuarenta parábolas de Jesús</w:t>
      </w:r>
      <w:r w:rsidRPr="00836EE8">
        <w:rPr>
          <w:rFonts w:ascii="Calibri" w:eastAsia="Times New Roman" w:hAnsi="Calibri" w:cs="Arial"/>
          <w:color w:val="000000"/>
          <w:kern w:val="0"/>
          <w:lang w:val="es-ES" w:eastAsia="es-CR"/>
          <w14:ligatures w14:val="none"/>
        </w:rPr>
        <w:t xml:space="preserve">. Estella: Verbo Divino, 2021. </w:t>
      </w:r>
    </w:p>
    <w:p w14:paraId="13B5E839"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proofErr w:type="spellStart"/>
      <w:r w:rsidRPr="00836EE8">
        <w:rPr>
          <w:rFonts w:ascii="Calibri" w:eastAsia="Times New Roman" w:hAnsi="Calibri" w:cs="Arial"/>
          <w:color w:val="000000"/>
          <w:kern w:val="0"/>
          <w:lang w:val="es-ES" w:eastAsia="es-CR"/>
          <w14:ligatures w14:val="none"/>
        </w:rPr>
        <w:t>Marguerat</w:t>
      </w:r>
      <w:proofErr w:type="spellEnd"/>
      <w:r w:rsidRPr="00836EE8">
        <w:rPr>
          <w:rFonts w:ascii="Calibri" w:eastAsia="Times New Roman" w:hAnsi="Calibri" w:cs="Arial"/>
          <w:color w:val="000000"/>
          <w:kern w:val="0"/>
          <w:lang w:val="es-ES" w:eastAsia="es-CR"/>
          <w14:ligatures w14:val="none"/>
        </w:rPr>
        <w:t xml:space="preserve">, Daniel. “El problema sinóptico”. En </w:t>
      </w:r>
      <w:r w:rsidRPr="00836EE8">
        <w:rPr>
          <w:rFonts w:ascii="Calibri" w:eastAsia="Times New Roman" w:hAnsi="Calibri" w:cs="Arial"/>
          <w:i/>
          <w:iCs/>
          <w:color w:val="000000"/>
          <w:kern w:val="0"/>
          <w:lang w:val="es-ES" w:eastAsia="es-CR"/>
          <w14:ligatures w14:val="none"/>
        </w:rPr>
        <w:t xml:space="preserve">Introducción al Nuevo Testamento: su historia, su escritura, su teología, </w:t>
      </w:r>
      <w:r w:rsidRPr="00836EE8">
        <w:rPr>
          <w:rFonts w:ascii="Calibri" w:eastAsia="Times New Roman" w:hAnsi="Calibri" w:cs="Arial"/>
          <w:color w:val="000000"/>
          <w:kern w:val="0"/>
          <w:lang w:val="es-ES" w:eastAsia="es-CR"/>
          <w14:ligatures w14:val="none"/>
        </w:rPr>
        <w:t xml:space="preserve">editado por Daniel </w:t>
      </w:r>
      <w:proofErr w:type="spellStart"/>
      <w:r w:rsidRPr="00836EE8">
        <w:rPr>
          <w:rFonts w:ascii="Calibri" w:eastAsia="Times New Roman" w:hAnsi="Calibri" w:cs="Arial"/>
          <w:color w:val="000000"/>
          <w:kern w:val="0"/>
          <w:lang w:val="es-ES" w:eastAsia="es-CR"/>
          <w14:ligatures w14:val="none"/>
        </w:rPr>
        <w:t>Marguerat</w:t>
      </w:r>
      <w:proofErr w:type="spellEnd"/>
      <w:r w:rsidRPr="00836EE8">
        <w:rPr>
          <w:rFonts w:ascii="Calibri" w:eastAsia="Times New Roman" w:hAnsi="Calibri" w:cs="Arial"/>
          <w:color w:val="000000"/>
          <w:kern w:val="0"/>
          <w:lang w:val="es-ES" w:eastAsia="es-CR"/>
          <w14:ligatures w14:val="none"/>
        </w:rPr>
        <w:t xml:space="preserve">, 11-25. Bilbao: </w:t>
      </w:r>
      <w:proofErr w:type="spellStart"/>
      <w:r w:rsidRPr="00836EE8">
        <w:rPr>
          <w:rFonts w:ascii="Calibri" w:eastAsia="Times New Roman" w:hAnsi="Calibri" w:cs="Arial"/>
          <w:color w:val="000000"/>
          <w:kern w:val="0"/>
          <w:lang w:val="es-ES" w:eastAsia="es-CR"/>
          <w14:ligatures w14:val="none"/>
        </w:rPr>
        <w:t>Desclee</w:t>
      </w:r>
      <w:proofErr w:type="spellEnd"/>
      <w:r w:rsidRPr="00836EE8">
        <w:rPr>
          <w:rFonts w:ascii="Calibri" w:eastAsia="Times New Roman" w:hAnsi="Calibri" w:cs="Arial"/>
          <w:color w:val="000000"/>
          <w:kern w:val="0"/>
          <w:lang w:val="es-ES" w:eastAsia="es-CR"/>
          <w14:ligatures w14:val="none"/>
        </w:rPr>
        <w:t xml:space="preserve"> de Brouwer, 2008. (</w:t>
      </w:r>
      <w:r w:rsidRPr="00836EE8">
        <w:rPr>
          <w:rFonts w:ascii="Calibri" w:eastAsia="Times New Roman" w:hAnsi="Calibri" w:cs="Arial"/>
          <w:color w:val="0070C0"/>
          <w:kern w:val="0"/>
          <w:lang w:val="es-ES" w:eastAsia="es-CR"/>
          <w14:ligatures w14:val="none"/>
        </w:rPr>
        <w:t>clásico</w:t>
      </w:r>
      <w:r w:rsidRPr="00836EE8">
        <w:rPr>
          <w:rFonts w:ascii="Calibri" w:eastAsia="Times New Roman" w:hAnsi="Calibri" w:cs="Arial"/>
          <w:color w:val="000000"/>
          <w:kern w:val="0"/>
          <w:lang w:val="es-ES" w:eastAsia="es-CR"/>
          <w14:ligatures w14:val="none"/>
        </w:rPr>
        <w:t>, última edición)</w:t>
      </w:r>
    </w:p>
    <w:p w14:paraId="449A9DB6"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14:ligatures w14:val="none"/>
        </w:rPr>
      </w:pPr>
      <w:proofErr w:type="spellStart"/>
      <w:r w:rsidRPr="00836EE8">
        <w:rPr>
          <w:rFonts w:ascii="Calibri" w:eastAsia="Times New Roman" w:hAnsi="Calibri" w:cs="Arial"/>
          <w:color w:val="000000"/>
          <w:kern w:val="0"/>
          <w:lang w:val="es-ES" w:eastAsia="es-CR"/>
          <w14:ligatures w14:val="none"/>
        </w:rPr>
        <w:t>Norelli</w:t>
      </w:r>
      <w:proofErr w:type="spellEnd"/>
      <w:r w:rsidRPr="00836EE8">
        <w:rPr>
          <w:rFonts w:ascii="Calibri" w:eastAsia="Times New Roman" w:hAnsi="Calibri" w:cs="Arial"/>
          <w:color w:val="000000"/>
          <w:kern w:val="0"/>
          <w:lang w:val="es-ES" w:eastAsia="es-CR"/>
          <w14:ligatures w14:val="none"/>
        </w:rPr>
        <w:t>, Enrico. “</w:t>
      </w:r>
      <w:r w:rsidRPr="00836EE8">
        <w:rPr>
          <w:rFonts w:ascii="Calibri" w:eastAsia="Times New Roman" w:hAnsi="Calibri" w:cs="Arial"/>
          <w:color w:val="3C4043"/>
          <w:kern w:val="0"/>
          <w:shd w:val="clear" w:color="auto" w:fill="FFFFFF"/>
          <w:lang w:val="es-ES" w:eastAsia="es-CR"/>
          <w14:ligatures w14:val="none"/>
        </w:rPr>
        <w:t>¿</w:t>
      </w:r>
      <w:r w:rsidRPr="00836EE8">
        <w:rPr>
          <w:rFonts w:ascii="Calibri" w:eastAsia="Times New Roman" w:hAnsi="Calibri" w:cs="Arial"/>
          <w:color w:val="000000"/>
          <w:kern w:val="0"/>
          <w:lang w:val="es-ES" w:eastAsia="es-CR"/>
          <w14:ligatures w14:val="none"/>
        </w:rPr>
        <w:t xml:space="preserve">Cómo nacieron los relatos sobre María y José en Mt 1-2 y </w:t>
      </w:r>
      <w:proofErr w:type="spellStart"/>
      <w:r w:rsidRPr="00836EE8">
        <w:rPr>
          <w:rFonts w:ascii="Calibri" w:eastAsia="Times New Roman" w:hAnsi="Calibri" w:cs="Arial"/>
          <w:color w:val="000000"/>
          <w:kern w:val="0"/>
          <w:lang w:val="es-ES" w:eastAsia="es-CR"/>
          <w14:ligatures w14:val="none"/>
        </w:rPr>
        <w:t>Lc</w:t>
      </w:r>
      <w:proofErr w:type="spellEnd"/>
      <w:r w:rsidRPr="00836EE8">
        <w:rPr>
          <w:rFonts w:ascii="Calibri" w:eastAsia="Times New Roman" w:hAnsi="Calibri" w:cs="Arial"/>
          <w:color w:val="000000"/>
          <w:kern w:val="0"/>
          <w:lang w:val="es-ES" w:eastAsia="es-CR"/>
          <w14:ligatures w14:val="none"/>
        </w:rPr>
        <w:t xml:space="preserve"> 1-2?”.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 xml:space="preserve">editado por Mercedes Navarro y </w:t>
      </w:r>
      <w:proofErr w:type="spellStart"/>
      <w:r w:rsidRPr="00836EE8">
        <w:rPr>
          <w:rFonts w:ascii="Calibri" w:eastAsia="Times New Roman" w:hAnsi="Calibri" w:cs="Arial"/>
          <w:color w:val="000000"/>
          <w:kern w:val="0"/>
          <w:lang w:val="es-ES" w:eastAsia="es-CR"/>
          <w14:ligatures w14:val="none"/>
        </w:rPr>
        <w:t>Marinella</w:t>
      </w:r>
      <w:proofErr w:type="spellEnd"/>
      <w:r w:rsidRPr="00836EE8">
        <w:rPr>
          <w:rFonts w:ascii="Calibri" w:eastAsia="Times New Roman" w:hAnsi="Calibri" w:cs="Arial"/>
          <w:color w:val="000000"/>
          <w:kern w:val="0"/>
          <w:lang w:val="es-ES" w:eastAsia="es-CR"/>
          <w14:ligatures w14:val="none"/>
        </w:rPr>
        <w:t xml:space="preserve"> Perroni, 329-347. Estella: Verbo Divino, 2011. (</w:t>
      </w:r>
      <w:r w:rsidRPr="00836EE8">
        <w:rPr>
          <w:rFonts w:ascii="Calibri" w:eastAsia="Times New Roman" w:hAnsi="Calibri" w:cs="Arial"/>
          <w:color w:val="0070C0"/>
          <w:kern w:val="0"/>
          <w:lang w:val="es-ES" w:eastAsia="es-CR"/>
          <w14:ligatures w14:val="none"/>
        </w:rPr>
        <w:t>clásico</w:t>
      </w:r>
      <w:r w:rsidRPr="00836EE8">
        <w:rPr>
          <w:rFonts w:ascii="Calibri" w:eastAsia="Times New Roman" w:hAnsi="Calibri" w:cs="Arial"/>
          <w:color w:val="000000"/>
          <w:kern w:val="0"/>
          <w:lang w:val="es-ES" w:eastAsia="es-CR"/>
          <w14:ligatures w14:val="none"/>
        </w:rPr>
        <w:t>, última edición)</w:t>
      </w:r>
    </w:p>
    <w:p w14:paraId="7AA12222"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val="es-ES_tradnl" w:eastAsia="es-CR"/>
          <w14:ligatures w14:val="none"/>
        </w:rPr>
      </w:pPr>
      <w:r w:rsidRPr="00836EE8">
        <w:rPr>
          <w:rFonts w:ascii="Calibri" w:eastAsia="Times New Roman" w:hAnsi="Calibri" w:cs="Calibri"/>
          <w:bCs/>
          <w:color w:val="000000"/>
          <w:kern w:val="0"/>
          <w:lang w:val="es-ES_tradnl" w:eastAsia="es-CR"/>
          <w14:ligatures w14:val="none"/>
        </w:rPr>
        <w:t xml:space="preserve">Piñero, Antonio. </w:t>
      </w:r>
      <w:r w:rsidRPr="00836EE8">
        <w:rPr>
          <w:rFonts w:ascii="Calibri" w:eastAsia="Times New Roman" w:hAnsi="Calibri" w:cs="Calibri"/>
          <w:bCs/>
          <w:i/>
          <w:iCs/>
          <w:color w:val="000000"/>
          <w:kern w:val="0"/>
          <w:lang w:val="es-ES_tradnl" w:eastAsia="es-CR"/>
          <w14:ligatures w14:val="none"/>
        </w:rPr>
        <w:t>Aproximación al Jesús histórico</w:t>
      </w:r>
      <w:r w:rsidRPr="00836EE8">
        <w:rPr>
          <w:rFonts w:ascii="Calibri" w:eastAsia="Times New Roman" w:hAnsi="Calibri" w:cs="Calibri"/>
          <w:bCs/>
          <w:color w:val="000000"/>
          <w:kern w:val="0"/>
          <w:lang w:val="es-ES_tradnl" w:eastAsia="es-CR"/>
          <w14:ligatures w14:val="none"/>
        </w:rPr>
        <w:t>. Madrid: Trotta, 2018. (</w:t>
      </w:r>
      <w:r w:rsidRPr="00836EE8">
        <w:rPr>
          <w:rFonts w:ascii="Calibri" w:eastAsia="Times New Roman" w:hAnsi="Calibri" w:cs="Calibri"/>
          <w:bCs/>
          <w:color w:val="0070C0"/>
          <w:kern w:val="0"/>
          <w:lang w:val="es-ES_tradnl" w:eastAsia="es-CR"/>
          <w14:ligatures w14:val="none"/>
        </w:rPr>
        <w:t>clásico</w:t>
      </w:r>
      <w:r w:rsidRPr="00836EE8">
        <w:rPr>
          <w:rFonts w:ascii="Calibri" w:eastAsia="Times New Roman" w:hAnsi="Calibri" w:cs="Calibri"/>
          <w:bCs/>
          <w:kern w:val="0"/>
          <w:lang w:val="es-ES_tradnl" w:eastAsia="es-CR"/>
          <w14:ligatures w14:val="none"/>
        </w:rPr>
        <w:t>, última edición</w:t>
      </w:r>
      <w:r w:rsidRPr="00836EE8">
        <w:rPr>
          <w:rFonts w:ascii="Calibri" w:eastAsia="Times New Roman" w:hAnsi="Calibri" w:cs="Calibri"/>
          <w:bCs/>
          <w:color w:val="000000"/>
          <w:kern w:val="0"/>
          <w:lang w:val="es-ES_tradnl" w:eastAsia="es-CR"/>
          <w14:ligatures w14:val="none"/>
        </w:rPr>
        <w:t>)</w:t>
      </w:r>
    </w:p>
    <w:p w14:paraId="12A77C73"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sz w:val="20"/>
          <w:szCs w:val="20"/>
          <w:lang w:val="es-ES" w:eastAsia="es-CR"/>
          <w14:ligatures w14:val="none"/>
        </w:rPr>
      </w:pPr>
      <w:proofErr w:type="spellStart"/>
      <w:r w:rsidRPr="00836EE8">
        <w:rPr>
          <w:rFonts w:ascii="Calibri" w:eastAsia="Times New Roman" w:hAnsi="Calibri" w:cs="Arial"/>
          <w:color w:val="000000"/>
          <w:kern w:val="0"/>
          <w:lang w:val="es-ES" w:eastAsia="es-CR"/>
          <w14:ligatures w14:val="none"/>
        </w:rPr>
        <w:t>Schüssler</w:t>
      </w:r>
      <w:proofErr w:type="spellEnd"/>
      <w:r w:rsidRPr="00836EE8">
        <w:rPr>
          <w:rFonts w:ascii="Calibri" w:eastAsia="Times New Roman" w:hAnsi="Calibri" w:cs="Arial"/>
          <w:color w:val="000000"/>
          <w:kern w:val="0"/>
          <w:lang w:val="es-ES" w:eastAsia="es-CR"/>
          <w14:ligatures w14:val="none"/>
        </w:rPr>
        <w:t xml:space="preserve"> </w:t>
      </w:r>
      <w:proofErr w:type="spellStart"/>
      <w:r w:rsidRPr="00836EE8">
        <w:rPr>
          <w:rFonts w:ascii="Calibri" w:eastAsia="Times New Roman" w:hAnsi="Calibri" w:cs="Arial"/>
          <w:color w:val="000000"/>
          <w:kern w:val="0"/>
          <w:lang w:val="es-ES" w:eastAsia="es-CR"/>
          <w14:ligatures w14:val="none"/>
        </w:rPr>
        <w:t>Fiorenza</w:t>
      </w:r>
      <w:proofErr w:type="spellEnd"/>
      <w:r w:rsidRPr="00836EE8">
        <w:rPr>
          <w:rFonts w:ascii="Calibri" w:eastAsia="Times New Roman" w:hAnsi="Calibri" w:cs="Arial"/>
          <w:color w:val="000000"/>
          <w:kern w:val="0"/>
          <w:lang w:val="es-ES" w:eastAsia="es-CR"/>
          <w14:ligatures w14:val="none"/>
        </w:rPr>
        <w:t xml:space="preserve">, Elisabeth. “La formación del canon del Nuevo Testamento y la marginalización de las mujeres”. En </w:t>
      </w:r>
      <w:r w:rsidRPr="00836EE8">
        <w:rPr>
          <w:rFonts w:ascii="Calibri" w:eastAsia="Times New Roman" w:hAnsi="Calibri" w:cs="Arial"/>
          <w:i/>
          <w:iCs/>
          <w:color w:val="000000"/>
          <w:kern w:val="0"/>
          <w:lang w:val="es-ES" w:eastAsia="es-CR"/>
          <w14:ligatures w14:val="none"/>
        </w:rPr>
        <w:t xml:space="preserve">Los Evangelios. Narraciones e historia, </w:t>
      </w:r>
      <w:r w:rsidRPr="00836EE8">
        <w:rPr>
          <w:rFonts w:ascii="Calibri" w:eastAsia="Times New Roman" w:hAnsi="Calibri" w:cs="Arial"/>
          <w:color w:val="000000"/>
          <w:kern w:val="0"/>
          <w:lang w:val="es-ES" w:eastAsia="es-CR"/>
          <w14:ligatures w14:val="none"/>
        </w:rPr>
        <w:t xml:space="preserve">editado por Mercedes Navarro y </w:t>
      </w:r>
      <w:proofErr w:type="spellStart"/>
      <w:r w:rsidRPr="00836EE8">
        <w:rPr>
          <w:rFonts w:ascii="Calibri" w:eastAsia="Times New Roman" w:hAnsi="Calibri" w:cs="Arial"/>
          <w:color w:val="000000"/>
          <w:kern w:val="0"/>
          <w:lang w:val="es-ES" w:eastAsia="es-CR"/>
          <w14:ligatures w14:val="none"/>
        </w:rPr>
        <w:t>Marinella</w:t>
      </w:r>
      <w:proofErr w:type="spellEnd"/>
      <w:r w:rsidRPr="00836EE8">
        <w:rPr>
          <w:rFonts w:ascii="Calibri" w:eastAsia="Times New Roman" w:hAnsi="Calibri" w:cs="Arial"/>
          <w:color w:val="000000"/>
          <w:kern w:val="0"/>
          <w:lang w:val="es-ES" w:eastAsia="es-CR"/>
          <w14:ligatures w14:val="none"/>
        </w:rPr>
        <w:t xml:space="preserve"> Perroni, 33-44. Estella: Verbo Divino, 2011. (</w:t>
      </w:r>
      <w:r w:rsidRPr="00836EE8">
        <w:rPr>
          <w:rFonts w:ascii="Calibri" w:eastAsia="Times New Roman" w:hAnsi="Calibri" w:cs="Arial"/>
          <w:color w:val="0070C0"/>
          <w:kern w:val="0"/>
          <w:lang w:val="es-ES" w:eastAsia="es-CR"/>
          <w14:ligatures w14:val="none"/>
        </w:rPr>
        <w:t>clásico</w:t>
      </w:r>
      <w:r w:rsidRPr="00836EE8">
        <w:rPr>
          <w:rFonts w:ascii="Calibri" w:eastAsia="Times New Roman" w:hAnsi="Calibri" w:cs="Arial"/>
          <w:color w:val="000000"/>
          <w:kern w:val="0"/>
          <w:lang w:val="es-ES" w:eastAsia="es-CR"/>
          <w14:ligatures w14:val="none"/>
        </w:rPr>
        <w:t>, última edición)</w:t>
      </w:r>
    </w:p>
    <w:p w14:paraId="3E5DF243"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523CDCE"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836EE8">
        <w:rPr>
          <w:rFonts w:ascii="Calibri" w:eastAsia="Times New Roman" w:hAnsi="Calibri" w:cs="Calibri"/>
          <w:b/>
          <w:bCs/>
          <w:color w:val="000000"/>
          <w:kern w:val="0"/>
          <w:lang w:val="es-ES_tradnl" w:eastAsia="es-CR"/>
          <w14:ligatures w14:val="none"/>
        </w:rPr>
        <w:t>XII. Bibliografía complementaria</w:t>
      </w:r>
    </w:p>
    <w:p w14:paraId="399B2D08" w14:textId="77777777" w:rsidR="00836EE8" w:rsidRPr="00836EE8" w:rsidRDefault="00836EE8" w:rsidP="00836EE8">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836EE8">
        <w:rPr>
          <w:rFonts w:ascii="Calibri" w:eastAsia="Times New Roman" w:hAnsi="Calibri" w:cs="Arial"/>
          <w:b/>
          <w:color w:val="000000"/>
          <w:kern w:val="0"/>
          <w:lang w:eastAsia="es-CR"/>
          <w14:ligatures w14:val="none"/>
        </w:rPr>
        <w:t>Nota:</w:t>
      </w:r>
      <w:r w:rsidRPr="00836EE8">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836EE8">
        <w:rPr>
          <w:rFonts w:ascii="Calibri" w:eastAsia="Times New Roman" w:hAnsi="Calibri" w:cs="Arial"/>
          <w:bCs/>
          <w:color w:val="000000"/>
          <w:kern w:val="0"/>
          <w:lang w:eastAsia="es-CR"/>
          <w14:ligatures w14:val="none"/>
        </w:rPr>
        <w:t>pdf</w:t>
      </w:r>
      <w:proofErr w:type="spellEnd"/>
      <w:r w:rsidRPr="00836EE8">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111B538A"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kern w:val="0"/>
          <w:lang w:val="es-ES" w:eastAsia="es-CR"/>
          <w14:ligatures w14:val="none"/>
        </w:rPr>
      </w:pPr>
      <w:r w:rsidRPr="00836EE8">
        <w:rPr>
          <w:rFonts w:ascii="Calibri" w:eastAsia="Times New Roman" w:hAnsi="Calibri" w:cs="Arial"/>
          <w:kern w:val="0"/>
          <w:lang w:val="es-ES" w:eastAsia="es-CR"/>
          <w14:ligatures w14:val="none"/>
        </w:rPr>
        <w:t xml:space="preserve">Gil </w:t>
      </w:r>
      <w:proofErr w:type="spellStart"/>
      <w:r w:rsidRPr="00836EE8">
        <w:rPr>
          <w:rFonts w:ascii="Calibri" w:eastAsia="Times New Roman" w:hAnsi="Calibri" w:cs="Arial"/>
          <w:kern w:val="0"/>
          <w:lang w:val="es-ES" w:eastAsia="es-CR"/>
          <w14:ligatures w14:val="none"/>
        </w:rPr>
        <w:t>Arbiol</w:t>
      </w:r>
      <w:proofErr w:type="spellEnd"/>
      <w:r w:rsidRPr="00836EE8">
        <w:rPr>
          <w:rFonts w:ascii="Calibri" w:eastAsia="Times New Roman" w:hAnsi="Calibri" w:cs="Arial"/>
          <w:kern w:val="0"/>
          <w:lang w:val="es-ES" w:eastAsia="es-CR"/>
          <w14:ligatures w14:val="none"/>
        </w:rPr>
        <w:t xml:space="preserve">, Carlos. “Seguidores de Jesús: el judaísmo del siglo I en crisis”. </w:t>
      </w:r>
      <w:r w:rsidRPr="00836EE8">
        <w:rPr>
          <w:rFonts w:ascii="Calibri" w:eastAsia="Times New Roman" w:hAnsi="Calibri" w:cs="Arial"/>
          <w:i/>
          <w:iCs/>
          <w:kern w:val="0"/>
          <w:lang w:val="es-ES" w:eastAsia="es-CR"/>
          <w14:ligatures w14:val="none"/>
        </w:rPr>
        <w:t>Reseña Bíblica</w:t>
      </w:r>
      <w:r w:rsidRPr="00836EE8">
        <w:rPr>
          <w:rFonts w:ascii="Calibri" w:eastAsia="Times New Roman" w:hAnsi="Calibri" w:cs="Arial"/>
          <w:kern w:val="0"/>
          <w:lang w:val="es-ES" w:eastAsia="es-CR"/>
          <w14:ligatures w14:val="none"/>
        </w:rPr>
        <w:t xml:space="preserve">, n. 98 (2018): 25-33. </w:t>
      </w:r>
    </w:p>
    <w:p w14:paraId="6060A17C"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Arial"/>
          <w:kern w:val="0"/>
          <w:lang w:val="es-ES" w:eastAsia="es-CR"/>
          <w14:ligatures w14:val="none"/>
        </w:rPr>
      </w:pPr>
      <w:proofErr w:type="spellStart"/>
      <w:r w:rsidRPr="00836EE8">
        <w:rPr>
          <w:rFonts w:ascii="Calibri" w:eastAsia="Times New Roman" w:hAnsi="Calibri" w:cs="Arial"/>
          <w:kern w:val="0"/>
          <w:lang w:val="es-ES" w:eastAsia="es-CR"/>
          <w14:ligatures w14:val="none"/>
        </w:rPr>
        <w:t>Olábarri</w:t>
      </w:r>
      <w:proofErr w:type="spellEnd"/>
      <w:r w:rsidRPr="00836EE8">
        <w:rPr>
          <w:rFonts w:ascii="Calibri" w:eastAsia="Times New Roman" w:hAnsi="Calibri" w:cs="Arial"/>
          <w:kern w:val="0"/>
          <w:lang w:val="es-ES" w:eastAsia="es-CR"/>
          <w14:ligatures w14:val="none"/>
        </w:rPr>
        <w:t xml:space="preserve"> Azagra, Tomás. “Las mujeres en Mt 1, 1-17: “Status </w:t>
      </w:r>
      <w:proofErr w:type="spellStart"/>
      <w:r w:rsidRPr="00836EE8">
        <w:rPr>
          <w:rFonts w:ascii="Calibri" w:eastAsia="Times New Roman" w:hAnsi="Calibri" w:cs="Arial"/>
          <w:kern w:val="0"/>
          <w:lang w:val="es-ES" w:eastAsia="es-CR"/>
          <w14:ligatures w14:val="none"/>
        </w:rPr>
        <w:t>quaestionis</w:t>
      </w:r>
      <w:proofErr w:type="spellEnd"/>
      <w:r w:rsidRPr="00836EE8">
        <w:rPr>
          <w:rFonts w:ascii="Calibri" w:eastAsia="Times New Roman" w:hAnsi="Calibri" w:cs="Arial"/>
          <w:kern w:val="0"/>
          <w:lang w:val="es-ES" w:eastAsia="es-CR"/>
          <w14:ligatures w14:val="none"/>
        </w:rPr>
        <w:t xml:space="preserve">” y perspectivas”. </w:t>
      </w:r>
      <w:r w:rsidRPr="00836EE8">
        <w:rPr>
          <w:rFonts w:ascii="Calibri" w:eastAsia="Times New Roman" w:hAnsi="Calibri" w:cs="Arial"/>
          <w:i/>
          <w:iCs/>
          <w:kern w:val="0"/>
          <w:lang w:val="es-ES" w:eastAsia="es-CR"/>
          <w14:ligatures w14:val="none"/>
        </w:rPr>
        <w:t>Estudios Bíblicos</w:t>
      </w:r>
      <w:r w:rsidRPr="00836EE8">
        <w:rPr>
          <w:rFonts w:ascii="Calibri" w:eastAsia="Times New Roman" w:hAnsi="Calibri" w:cs="Arial"/>
          <w:kern w:val="0"/>
          <w:lang w:val="es-ES" w:eastAsia="es-CR"/>
          <w14:ligatures w14:val="none"/>
        </w:rPr>
        <w:t xml:space="preserve"> 77, Cuaderno 2 (2019): 199-217.</w:t>
      </w:r>
    </w:p>
    <w:p w14:paraId="761FEF68"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kern w:val="0"/>
          <w:lang w:val="es-ES_tradnl" w:eastAsia="es-CR"/>
          <w14:ligatures w14:val="none"/>
        </w:rPr>
      </w:pPr>
      <w:r w:rsidRPr="00836EE8">
        <w:rPr>
          <w:rFonts w:ascii="Calibri" w:eastAsia="Times New Roman" w:hAnsi="Calibri" w:cs="Calibri"/>
          <w:bCs/>
          <w:kern w:val="0"/>
          <w:lang w:val="es-ES_tradnl" w:eastAsia="es-CR"/>
          <w14:ligatures w14:val="none"/>
        </w:rPr>
        <w:t xml:space="preserve">Piñero, Antonio. </w:t>
      </w:r>
      <w:r w:rsidRPr="00836EE8">
        <w:rPr>
          <w:rFonts w:ascii="Calibri" w:eastAsia="Times New Roman" w:hAnsi="Calibri" w:cs="Calibri"/>
          <w:bCs/>
          <w:i/>
          <w:kern w:val="0"/>
          <w:lang w:val="es-ES_tradnl" w:eastAsia="es-CR"/>
          <w14:ligatures w14:val="none"/>
        </w:rPr>
        <w:t>Aproximación al Jesús histórico</w:t>
      </w:r>
      <w:r w:rsidRPr="00836EE8">
        <w:rPr>
          <w:rFonts w:ascii="Calibri" w:eastAsia="Times New Roman" w:hAnsi="Calibri" w:cs="Calibri"/>
          <w:bCs/>
          <w:kern w:val="0"/>
          <w:lang w:val="es-ES_tradnl" w:eastAsia="es-CR"/>
          <w14:ligatures w14:val="none"/>
        </w:rPr>
        <w:t xml:space="preserve">. Madrid: Editorial Trotta, 2018. </w:t>
      </w:r>
      <w:r w:rsidRPr="00836EE8">
        <w:rPr>
          <w:rFonts w:ascii="Calibri" w:eastAsia="Times New Roman" w:hAnsi="Calibri" w:cs="Calibri"/>
          <w:bCs/>
          <w:color w:val="000000"/>
          <w:kern w:val="0"/>
          <w:lang w:val="es-ES_tradnl" w:eastAsia="es-CR"/>
          <w14:ligatures w14:val="none"/>
        </w:rPr>
        <w:t>(</w:t>
      </w:r>
      <w:r w:rsidRPr="00836EE8">
        <w:rPr>
          <w:rFonts w:ascii="Calibri" w:eastAsia="Times New Roman" w:hAnsi="Calibri" w:cs="Calibri"/>
          <w:bCs/>
          <w:color w:val="0070C0"/>
          <w:kern w:val="0"/>
          <w:lang w:val="es-ES_tradnl" w:eastAsia="es-CR"/>
          <w14:ligatures w14:val="none"/>
        </w:rPr>
        <w:t>clásico</w:t>
      </w:r>
      <w:r w:rsidRPr="00836EE8">
        <w:rPr>
          <w:rFonts w:ascii="Calibri" w:eastAsia="Times New Roman" w:hAnsi="Calibri" w:cs="Calibri"/>
          <w:bCs/>
          <w:color w:val="000000"/>
          <w:kern w:val="0"/>
          <w:lang w:val="es-ES_tradnl" w:eastAsia="es-CR"/>
          <w14:ligatures w14:val="none"/>
        </w:rPr>
        <w:t>, última edición)</w:t>
      </w:r>
    </w:p>
    <w:p w14:paraId="42304F0F" w14:textId="77777777" w:rsidR="00836EE8" w:rsidRPr="00836EE8" w:rsidRDefault="00836EE8"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B050"/>
          <w:kern w:val="0"/>
          <w:lang w:val="es-ES" w:eastAsia="es-CR"/>
          <w14:ligatures w14:val="none"/>
        </w:rPr>
      </w:pPr>
      <w:r w:rsidRPr="4C9C2619">
        <w:rPr>
          <w:rFonts w:ascii="Calibri" w:eastAsia="Times New Roman" w:hAnsi="Calibri" w:cs="Calibri"/>
          <w:kern w:val="0"/>
          <w:lang w:val="es-ES" w:eastAsia="es-CR"/>
          <w14:ligatures w14:val="none"/>
        </w:rPr>
        <w:lastRenderedPageBreak/>
        <w:t xml:space="preserve">Sarasa Gallego, Luis Guillermo. “Las comunidades </w:t>
      </w:r>
      <w:proofErr w:type="spellStart"/>
      <w:r w:rsidRPr="4C9C2619">
        <w:rPr>
          <w:rFonts w:ascii="Calibri" w:eastAsia="Times New Roman" w:hAnsi="Calibri" w:cs="Calibri"/>
          <w:kern w:val="0"/>
          <w:lang w:val="es-ES" w:eastAsia="es-CR"/>
          <w14:ligatures w14:val="none"/>
        </w:rPr>
        <w:t>juánicas</w:t>
      </w:r>
      <w:proofErr w:type="spellEnd"/>
      <w:r w:rsidRPr="4C9C2619">
        <w:rPr>
          <w:rFonts w:ascii="Calibri" w:eastAsia="Times New Roman" w:hAnsi="Calibri" w:cs="Calibri"/>
          <w:kern w:val="0"/>
          <w:lang w:val="es-ES" w:eastAsia="es-CR"/>
          <w14:ligatures w14:val="none"/>
        </w:rPr>
        <w:t xml:space="preserve">: la original diversidad”. </w:t>
      </w:r>
      <w:proofErr w:type="spellStart"/>
      <w:r w:rsidRPr="4C9C2619">
        <w:rPr>
          <w:rFonts w:ascii="Calibri" w:eastAsia="Times New Roman" w:hAnsi="Calibri" w:cs="Calibri"/>
          <w:i/>
          <w:iCs/>
          <w:kern w:val="0"/>
          <w:lang w:val="es-ES" w:eastAsia="es-CR"/>
          <w14:ligatures w14:val="none"/>
        </w:rPr>
        <w:t>Theologica</w:t>
      </w:r>
      <w:proofErr w:type="spellEnd"/>
      <w:r w:rsidRPr="4C9C2619">
        <w:rPr>
          <w:rFonts w:ascii="Calibri" w:eastAsia="Times New Roman" w:hAnsi="Calibri" w:cs="Calibri"/>
          <w:i/>
          <w:iCs/>
          <w:kern w:val="0"/>
          <w:lang w:val="es-ES" w:eastAsia="es-CR"/>
          <w14:ligatures w14:val="none"/>
        </w:rPr>
        <w:t xml:space="preserve"> </w:t>
      </w:r>
      <w:proofErr w:type="spellStart"/>
      <w:r w:rsidRPr="4C9C2619">
        <w:rPr>
          <w:rFonts w:ascii="Calibri" w:eastAsia="Times New Roman" w:hAnsi="Calibri" w:cs="Calibri"/>
          <w:i/>
          <w:iCs/>
          <w:kern w:val="0"/>
          <w:lang w:val="es-ES" w:eastAsia="es-CR"/>
          <w14:ligatures w14:val="none"/>
        </w:rPr>
        <w:t>Xaveriana</w:t>
      </w:r>
      <w:proofErr w:type="spellEnd"/>
      <w:r w:rsidRPr="4C9C2619">
        <w:rPr>
          <w:rFonts w:ascii="Calibri" w:eastAsia="Times New Roman" w:hAnsi="Calibri" w:cs="Calibri"/>
          <w:kern w:val="0"/>
          <w:lang w:val="es-ES" w:eastAsia="es-CR"/>
          <w14:ligatures w14:val="none"/>
        </w:rPr>
        <w:t xml:space="preserve">, n. 177 (2014): 211-240. Acceso el 18 de diciembre de 2020. </w:t>
      </w:r>
      <w:hyperlink r:id="rId143" w:history="1">
        <w:r w:rsidRPr="4C9C2619">
          <w:rPr>
            <w:rFonts w:ascii="Calibri" w:eastAsia="Times New Roman" w:hAnsi="Calibri" w:cs="Calibri"/>
            <w:color w:val="0000FF"/>
            <w:kern w:val="0"/>
            <w:u w:val="single"/>
            <w:lang w:val="es-ES" w:eastAsia="es-CR"/>
            <w14:ligatures w14:val="none"/>
          </w:rPr>
          <w:t>https://revistas.javeriana.edu.co/index.php/teoxaveriana/article/view/10969</w:t>
        </w:r>
      </w:hyperlink>
      <w:r w:rsidRPr="4C9C2619">
        <w:rPr>
          <w:rFonts w:ascii="Calibri" w:eastAsia="Times New Roman" w:hAnsi="Calibri" w:cs="Calibri"/>
          <w:color w:val="00B050"/>
          <w:kern w:val="0"/>
          <w:lang w:val="es-ES" w:eastAsia="es-CR"/>
          <w14:ligatures w14:val="none"/>
        </w:rPr>
        <w:t xml:space="preserve"> </w:t>
      </w:r>
    </w:p>
    <w:p w14:paraId="5255CA0A" w14:textId="77777777" w:rsidR="00836EE8" w:rsidRPr="00836EE8" w:rsidRDefault="00836EE8" w:rsidP="00836EE8">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sz w:val="20"/>
          <w:szCs w:val="20"/>
          <w:lang w:val="es-ES_tradnl" w:eastAsia="es-CR"/>
          <w14:ligatures w14:val="none"/>
        </w:rPr>
      </w:pPr>
      <w:r w:rsidRPr="00836EE8">
        <w:rPr>
          <w:rFonts w:ascii="Calibri" w:eastAsia="Times New Roman" w:hAnsi="Calibri" w:cs="Calibri"/>
          <w:bCs/>
          <w:kern w:val="0"/>
          <w:lang w:val="es-ES_tradnl" w:eastAsia="es-CR"/>
          <w14:ligatures w14:val="none"/>
        </w:rPr>
        <w:t xml:space="preserve">Unzurrunzaga Hernández, Ana. “El rostro de Jesús en el evangelio de Juan”. </w:t>
      </w:r>
      <w:r w:rsidRPr="00836EE8">
        <w:rPr>
          <w:rFonts w:ascii="Calibri" w:eastAsia="Times New Roman" w:hAnsi="Calibri" w:cs="Calibri"/>
          <w:bCs/>
          <w:i/>
          <w:kern w:val="0"/>
          <w:lang w:val="es-ES_tradnl" w:eastAsia="es-CR"/>
          <w14:ligatures w14:val="none"/>
        </w:rPr>
        <w:t>Reseña Bíblica</w:t>
      </w:r>
      <w:r w:rsidRPr="00836EE8">
        <w:rPr>
          <w:rFonts w:ascii="Calibri" w:eastAsia="Times New Roman" w:hAnsi="Calibri" w:cs="Calibri"/>
          <w:bCs/>
          <w:kern w:val="0"/>
          <w:lang w:val="es-ES_tradnl" w:eastAsia="es-CR"/>
          <w14:ligatures w14:val="none"/>
        </w:rPr>
        <w:t>, n. 95 (2017): 14-22.</w:t>
      </w:r>
    </w:p>
    <w:p w14:paraId="6F1E0707" w14:textId="77777777" w:rsidR="009454F8" w:rsidRDefault="009454F8" w:rsidP="00C5474A">
      <w:pPr>
        <w:pStyle w:val="SPECIAL2"/>
      </w:pPr>
    </w:p>
    <w:p w14:paraId="3EC6751D" w14:textId="53146576" w:rsidR="00836EE8" w:rsidRDefault="00836EE8">
      <w:pPr>
        <w:rPr>
          <w:b/>
          <w:bCs/>
          <w:sz w:val="28"/>
          <w:szCs w:val="28"/>
          <w:lang w:val="es-ES"/>
        </w:rPr>
      </w:pPr>
      <w:r>
        <w:br w:type="page"/>
      </w:r>
    </w:p>
    <w:p w14:paraId="628E935B" w14:textId="77777777" w:rsidR="00467386" w:rsidRPr="006B5A49" w:rsidRDefault="00467386" w:rsidP="00467386">
      <w:pPr>
        <w:pStyle w:val="SPECIAL2"/>
      </w:pPr>
      <w:bookmarkStart w:id="19" w:name="_Toc166526880"/>
      <w:r w:rsidRPr="00C5474A">
        <w:lastRenderedPageBreak/>
        <w:t>III CUATRIMESTRE</w:t>
      </w:r>
      <w:bookmarkEnd w:id="19"/>
    </w:p>
    <w:p w14:paraId="12B7F330" w14:textId="77777777" w:rsidR="00467386" w:rsidRDefault="00467386" w:rsidP="00467386">
      <w:pPr>
        <w:jc w:val="center"/>
        <w:rPr>
          <w:b/>
          <w:bCs/>
          <w:sz w:val="32"/>
          <w:szCs w:val="32"/>
          <w:lang w:val="es-ES"/>
        </w:rPr>
      </w:pPr>
    </w:p>
    <w:p w14:paraId="35F925D8" w14:textId="62D6E4B4" w:rsidR="00467386" w:rsidRPr="006B5A49" w:rsidRDefault="00DD16F2" w:rsidP="00467386">
      <w:pPr>
        <w:rPr>
          <w:sz w:val="24"/>
          <w:szCs w:val="24"/>
        </w:rPr>
      </w:pPr>
      <w:hyperlink w:anchor="CTX109" w:history="1">
        <w:r w:rsidR="00467386" w:rsidRPr="00497DDB">
          <w:rPr>
            <w:rStyle w:val="Hipervnculo"/>
            <w:sz w:val="24"/>
            <w:szCs w:val="24"/>
            <w:lang w:val="es-ES"/>
          </w:rPr>
          <w:t>CTX109 Historia de la Iglesia I</w:t>
        </w:r>
      </w:hyperlink>
    </w:p>
    <w:p w14:paraId="322DAC28" w14:textId="16FEB4F3" w:rsidR="00467386" w:rsidRPr="006B5A49" w:rsidRDefault="00DD16F2" w:rsidP="00467386">
      <w:pPr>
        <w:rPr>
          <w:sz w:val="24"/>
          <w:szCs w:val="24"/>
        </w:rPr>
      </w:pPr>
      <w:hyperlink w:anchor="CTX101" w:history="1">
        <w:r w:rsidR="00467386" w:rsidRPr="00497DDB">
          <w:rPr>
            <w:rStyle w:val="Hipervnculo"/>
            <w:sz w:val="24"/>
            <w:szCs w:val="24"/>
          </w:rPr>
          <w:t>CTX101 Introducción a la Filosofía</w:t>
        </w:r>
      </w:hyperlink>
    </w:p>
    <w:p w14:paraId="1D324876" w14:textId="64200086" w:rsidR="00467386" w:rsidRPr="006B5A49" w:rsidRDefault="00DD16F2" w:rsidP="00467386">
      <w:pPr>
        <w:rPr>
          <w:sz w:val="24"/>
          <w:szCs w:val="24"/>
        </w:rPr>
      </w:pPr>
      <w:hyperlink w:anchor="CBX108" w:history="1">
        <w:r w:rsidR="00467386" w:rsidRPr="00497DDB">
          <w:rPr>
            <w:rStyle w:val="Hipervnculo"/>
            <w:sz w:val="24"/>
            <w:szCs w:val="24"/>
          </w:rPr>
          <w:t>CBX108 Antiguo Testamento II</w:t>
        </w:r>
      </w:hyperlink>
    </w:p>
    <w:p w14:paraId="2D1286BF" w14:textId="60CF2984" w:rsidR="00B80E78" w:rsidRDefault="00DD16F2" w:rsidP="00467386">
      <w:pPr>
        <w:rPr>
          <w:sz w:val="24"/>
          <w:szCs w:val="24"/>
        </w:rPr>
      </w:pPr>
      <w:hyperlink w:anchor="CBX110" w:history="1">
        <w:r w:rsidR="00467386" w:rsidRPr="00497DDB">
          <w:rPr>
            <w:rStyle w:val="Hipervnculo"/>
            <w:sz w:val="24"/>
            <w:szCs w:val="24"/>
          </w:rPr>
          <w:t>CBX110 Nuevo Testamento II</w:t>
        </w:r>
      </w:hyperlink>
    </w:p>
    <w:p w14:paraId="04048AE7" w14:textId="77777777" w:rsidR="00B80E78" w:rsidRDefault="00B80E78">
      <w:pPr>
        <w:rPr>
          <w:sz w:val="24"/>
          <w:szCs w:val="24"/>
        </w:rPr>
      </w:pPr>
      <w:r>
        <w:rPr>
          <w:sz w:val="24"/>
          <w:szCs w:val="24"/>
        </w:rPr>
        <w:br w:type="page"/>
      </w:r>
    </w:p>
    <w:p w14:paraId="7D64408F" w14:textId="77777777" w:rsidR="00DD2A75" w:rsidRPr="00826E28" w:rsidRDefault="00DD2A75" w:rsidP="00DD2A75">
      <w:pPr>
        <w:jc w:val="center"/>
        <w:rPr>
          <w:rFonts w:ascii="Arial" w:hAnsi="Arial" w:cs="Arial"/>
          <w:noProof/>
          <w:lang w:val="pt-BR" w:eastAsia="pt-BR"/>
        </w:rPr>
      </w:pPr>
      <w:r w:rsidRPr="00826E28">
        <w:rPr>
          <w:rFonts w:ascii="Arial" w:hAnsi="Arial" w:cs="Arial"/>
          <w:noProof/>
          <w:szCs w:val="24"/>
        </w:rPr>
        <w:lastRenderedPageBreak/>
        <w:drawing>
          <wp:inline distT="0" distB="0" distL="0" distR="0" wp14:anchorId="32411341" wp14:editId="0FE6B84B">
            <wp:extent cx="2009775" cy="1548377"/>
            <wp:effectExtent l="0" t="0" r="0" b="0"/>
            <wp:docPr id="402602293"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602293"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0A0D9B20" w14:textId="77777777" w:rsidR="00DD2A75" w:rsidRPr="00826E28" w:rsidRDefault="00DD2A75" w:rsidP="00DD2A75">
      <w:pPr>
        <w:jc w:val="center"/>
        <w:rPr>
          <w:rFonts w:ascii="Arial" w:hAnsi="Arial" w:cs="Arial"/>
        </w:rPr>
      </w:pPr>
    </w:p>
    <w:p w14:paraId="4704C0C3" w14:textId="77777777" w:rsidR="00DD2A75" w:rsidRPr="00826E28" w:rsidRDefault="00DD2A75" w:rsidP="00DD2A75">
      <w:pPr>
        <w:pStyle w:val="Ttulo1"/>
        <w:spacing w:before="0" w:after="0"/>
        <w:rPr>
          <w:rFonts w:asciiTheme="minorHAnsi" w:hAnsiTheme="minorHAnsi" w:cs="Arial"/>
          <w:lang w:val="es-CR"/>
        </w:rPr>
      </w:pPr>
      <w:r w:rsidRPr="00826E28">
        <w:rPr>
          <w:rFonts w:asciiTheme="minorHAnsi" w:hAnsiTheme="minorHAnsi" w:cs="Arial"/>
          <w:lang w:val="es-CR"/>
        </w:rPr>
        <w:t>Universidad Bíblica Latinoamericana</w:t>
      </w:r>
    </w:p>
    <w:p w14:paraId="1C63E424" w14:textId="77777777" w:rsidR="00DD2A75" w:rsidRPr="00826E28" w:rsidRDefault="00DD2A75" w:rsidP="00DD2A75">
      <w:pPr>
        <w:pStyle w:val="Ttulo2"/>
        <w:spacing w:before="0" w:after="0"/>
        <w:jc w:val="center"/>
        <w:rPr>
          <w:rFonts w:asciiTheme="minorHAnsi" w:hAnsiTheme="minorHAnsi" w:cs="Arial"/>
          <w:i/>
          <w:lang w:val="es-CR"/>
        </w:rPr>
      </w:pPr>
      <w:r w:rsidRPr="00826E28">
        <w:rPr>
          <w:rFonts w:asciiTheme="minorHAnsi" w:hAnsiTheme="minorHAnsi" w:cs="Arial"/>
          <w:i/>
          <w:lang w:val="es-CR"/>
        </w:rPr>
        <w:t>Facultad de Teología</w:t>
      </w:r>
    </w:p>
    <w:p w14:paraId="3F33F0C0" w14:textId="77777777" w:rsidR="00DD2A75" w:rsidRPr="00826E28" w:rsidRDefault="00DD2A75" w:rsidP="00DD2A75">
      <w:pPr>
        <w:jc w:val="center"/>
        <w:rPr>
          <w:rFonts w:cs="Arial"/>
          <w:b/>
          <w:bCs/>
        </w:rPr>
      </w:pPr>
      <w:r w:rsidRPr="00826E28">
        <w:rPr>
          <w:rFonts w:cs="Arial"/>
          <w:b/>
          <w:bCs/>
        </w:rPr>
        <w:t xml:space="preserve">Bachillerato en </w:t>
      </w:r>
      <w:r>
        <w:rPr>
          <w:rFonts w:cs="Arial"/>
          <w:b/>
          <w:bCs/>
        </w:rPr>
        <w:t>Ciencias Bíblicas</w:t>
      </w:r>
    </w:p>
    <w:p w14:paraId="46A7CE04" w14:textId="77777777" w:rsidR="00DD2A75" w:rsidRPr="00826E28" w:rsidRDefault="00DD2A75" w:rsidP="00DD2A75">
      <w:pPr>
        <w:jc w:val="center"/>
        <w:rPr>
          <w:rFonts w:cs="Arial"/>
          <w:b/>
          <w:bCs/>
        </w:rPr>
      </w:pPr>
    </w:p>
    <w:p w14:paraId="2E97483F" w14:textId="77777777" w:rsidR="00DD2A75" w:rsidRPr="00826E28" w:rsidRDefault="00DD2A75" w:rsidP="00DD2A75">
      <w:pPr>
        <w:jc w:val="center"/>
        <w:rPr>
          <w:rFonts w:cs="Arial"/>
          <w:b/>
        </w:rPr>
      </w:pPr>
      <w:r w:rsidRPr="00826E28">
        <w:rPr>
          <w:rFonts w:cs="Arial"/>
          <w:b/>
        </w:rPr>
        <w:t>Sílabo</w:t>
      </w:r>
    </w:p>
    <w:p w14:paraId="7CBB55BA" w14:textId="77777777" w:rsidR="00DD2A75" w:rsidRPr="00826E28" w:rsidRDefault="00DD2A75" w:rsidP="00DD2A75">
      <w:pPr>
        <w:jc w:val="center"/>
        <w:rPr>
          <w:rFonts w:cs="Arial"/>
          <w:b/>
        </w:rPr>
      </w:pPr>
      <w:bookmarkStart w:id="20" w:name="CTX109"/>
      <w:r w:rsidRPr="00826E28">
        <w:rPr>
          <w:rFonts w:cs="Arial"/>
          <w:b/>
        </w:rPr>
        <w:t>Historia de la Iglesia I</w:t>
      </w:r>
    </w:p>
    <w:bookmarkEnd w:id="20"/>
    <w:p w14:paraId="39D4AD4B" w14:textId="77777777" w:rsidR="00DD2A75" w:rsidRPr="00826E28" w:rsidRDefault="00DD2A75" w:rsidP="00DD2A75">
      <w:pPr>
        <w:jc w:val="center"/>
        <w:rPr>
          <w:rFonts w:ascii="Arial" w:hAnsi="Arial" w:cs="Arial"/>
          <w:b/>
        </w:rPr>
      </w:pPr>
    </w:p>
    <w:p w14:paraId="2F08DF4D" w14:textId="77777777" w:rsidR="00DD2A75" w:rsidRPr="00826E28" w:rsidRDefault="00DD2A75" w:rsidP="00DD2A75">
      <w:pPr>
        <w:rPr>
          <w:rFonts w:ascii="Arial" w:eastAsia="Arial" w:hAnsi="Arial" w:cs="Arial"/>
          <w:color w:val="0070C0"/>
        </w:rPr>
      </w:pPr>
    </w:p>
    <w:tbl>
      <w:tblPr>
        <w:tblStyle w:val="Tablaconcuadrcula"/>
        <w:tblW w:w="0" w:type="auto"/>
        <w:tblLook w:val="04A0" w:firstRow="1" w:lastRow="0" w:firstColumn="1" w:lastColumn="0" w:noHBand="0" w:noVBand="1"/>
      </w:tblPr>
      <w:tblGrid>
        <w:gridCol w:w="1667"/>
        <w:gridCol w:w="7161"/>
      </w:tblGrid>
      <w:tr w:rsidR="00DD2A75" w:rsidRPr="00826E28" w14:paraId="4446EE9D" w14:textId="77777777" w:rsidTr="00104785">
        <w:tc>
          <w:tcPr>
            <w:tcW w:w="1667" w:type="dxa"/>
          </w:tcPr>
          <w:p w14:paraId="026B6AA3" w14:textId="77777777" w:rsidR="00DD2A75" w:rsidRPr="00826E28" w:rsidRDefault="00DD2A75" w:rsidP="00104785">
            <w:pPr>
              <w:rPr>
                <w:rFonts w:cstheme="minorHAnsi"/>
                <w:b/>
              </w:rPr>
            </w:pPr>
            <w:r w:rsidRPr="00826E28">
              <w:rPr>
                <w:rFonts w:cstheme="minorHAnsi"/>
                <w:b/>
              </w:rPr>
              <w:t>Código</w:t>
            </w:r>
          </w:p>
        </w:tc>
        <w:tc>
          <w:tcPr>
            <w:tcW w:w="7161" w:type="dxa"/>
          </w:tcPr>
          <w:p w14:paraId="6DE6A4A3" w14:textId="77777777" w:rsidR="00DD2A75" w:rsidRPr="00826E28" w:rsidRDefault="00DD2A75" w:rsidP="00104785">
            <w:pPr>
              <w:rPr>
                <w:rFonts w:cstheme="minorHAnsi"/>
              </w:rPr>
            </w:pPr>
            <w:r w:rsidRPr="00826E28">
              <w:rPr>
                <w:rFonts w:cstheme="minorHAnsi"/>
              </w:rPr>
              <w:t>CTX 109</w:t>
            </w:r>
          </w:p>
        </w:tc>
      </w:tr>
      <w:tr w:rsidR="00DD2A75" w:rsidRPr="00826E28" w14:paraId="44C19E45" w14:textId="77777777" w:rsidTr="00104785">
        <w:tc>
          <w:tcPr>
            <w:tcW w:w="1667" w:type="dxa"/>
          </w:tcPr>
          <w:p w14:paraId="703CCF14" w14:textId="77777777" w:rsidR="00DD2A75" w:rsidRPr="00826E28" w:rsidRDefault="00DD2A75" w:rsidP="00104785">
            <w:pPr>
              <w:rPr>
                <w:rFonts w:cstheme="minorHAnsi"/>
                <w:b/>
              </w:rPr>
            </w:pPr>
            <w:r w:rsidRPr="00826E28">
              <w:rPr>
                <w:rFonts w:cstheme="minorHAnsi"/>
                <w:b/>
              </w:rPr>
              <w:t>Créditos</w:t>
            </w:r>
          </w:p>
        </w:tc>
        <w:tc>
          <w:tcPr>
            <w:tcW w:w="7161" w:type="dxa"/>
          </w:tcPr>
          <w:p w14:paraId="67E12E7F" w14:textId="77777777" w:rsidR="00DD2A75" w:rsidRPr="00826E28" w:rsidRDefault="00DD2A75" w:rsidP="00104785">
            <w:pPr>
              <w:rPr>
                <w:rFonts w:cstheme="minorHAnsi"/>
              </w:rPr>
            </w:pPr>
            <w:r w:rsidRPr="00826E28">
              <w:rPr>
                <w:rFonts w:cstheme="minorHAnsi"/>
              </w:rPr>
              <w:t>4</w:t>
            </w:r>
          </w:p>
        </w:tc>
      </w:tr>
      <w:tr w:rsidR="00DD2A75" w:rsidRPr="00826E28" w14:paraId="7CC8D483" w14:textId="77777777" w:rsidTr="00104785">
        <w:tc>
          <w:tcPr>
            <w:tcW w:w="1667" w:type="dxa"/>
          </w:tcPr>
          <w:p w14:paraId="52E198A1" w14:textId="77777777" w:rsidR="00DD2A75" w:rsidRPr="00826E28" w:rsidRDefault="00DD2A75" w:rsidP="00104785">
            <w:pPr>
              <w:rPr>
                <w:rFonts w:cstheme="minorHAnsi"/>
                <w:b/>
              </w:rPr>
            </w:pPr>
            <w:r w:rsidRPr="00826E28">
              <w:rPr>
                <w:rFonts w:cstheme="minorHAnsi"/>
                <w:b/>
              </w:rPr>
              <w:t>Requisitos</w:t>
            </w:r>
          </w:p>
        </w:tc>
        <w:tc>
          <w:tcPr>
            <w:tcW w:w="7161" w:type="dxa"/>
          </w:tcPr>
          <w:p w14:paraId="33A930FB" w14:textId="77777777" w:rsidR="00DD2A75" w:rsidRPr="00826E28" w:rsidRDefault="00DD2A75" w:rsidP="00104785">
            <w:pPr>
              <w:rPr>
                <w:rFonts w:cstheme="minorHAnsi"/>
              </w:rPr>
            </w:pPr>
            <w:r w:rsidRPr="00826E28">
              <w:rPr>
                <w:rFonts w:cstheme="minorHAnsi"/>
              </w:rPr>
              <w:t>CTX 101 y CTX 102</w:t>
            </w:r>
          </w:p>
        </w:tc>
      </w:tr>
      <w:tr w:rsidR="00DD2A75" w:rsidRPr="00826E28" w14:paraId="3DE9EC81" w14:textId="77777777" w:rsidTr="00104785">
        <w:tc>
          <w:tcPr>
            <w:tcW w:w="1667" w:type="dxa"/>
          </w:tcPr>
          <w:p w14:paraId="3F8DA2CC" w14:textId="77777777" w:rsidR="00DD2A75" w:rsidRPr="00826E28" w:rsidRDefault="00DD2A75" w:rsidP="00104785">
            <w:pPr>
              <w:rPr>
                <w:rFonts w:cstheme="minorHAnsi"/>
                <w:b/>
              </w:rPr>
            </w:pPr>
            <w:r w:rsidRPr="00826E28">
              <w:rPr>
                <w:rFonts w:cstheme="minorHAnsi"/>
                <w:b/>
              </w:rPr>
              <w:t>Modalidad</w:t>
            </w:r>
          </w:p>
        </w:tc>
        <w:tc>
          <w:tcPr>
            <w:tcW w:w="7161" w:type="dxa"/>
          </w:tcPr>
          <w:p w14:paraId="37AB33AB" w14:textId="77777777" w:rsidR="00DD2A75" w:rsidRPr="00826E28" w:rsidRDefault="00DD2A75" w:rsidP="00104785">
            <w:pPr>
              <w:rPr>
                <w:rFonts w:cstheme="minorHAnsi"/>
              </w:rPr>
            </w:pPr>
            <w:r>
              <w:rPr>
                <w:rFonts w:cstheme="minorHAnsi"/>
              </w:rPr>
              <w:t>Virtual</w:t>
            </w:r>
          </w:p>
        </w:tc>
      </w:tr>
      <w:tr w:rsidR="00DD2A75" w:rsidRPr="00826E28" w14:paraId="2ADFE90D" w14:textId="77777777" w:rsidTr="00104785">
        <w:tc>
          <w:tcPr>
            <w:tcW w:w="1667" w:type="dxa"/>
          </w:tcPr>
          <w:p w14:paraId="5222F258" w14:textId="77777777" w:rsidR="00DD2A75" w:rsidRPr="00826E28" w:rsidRDefault="00DD2A75" w:rsidP="00104785">
            <w:pPr>
              <w:rPr>
                <w:rFonts w:cstheme="minorHAnsi"/>
                <w:b/>
              </w:rPr>
            </w:pPr>
            <w:r w:rsidRPr="00826E28">
              <w:rPr>
                <w:rFonts w:cstheme="minorHAnsi"/>
                <w:b/>
              </w:rPr>
              <w:t>Naturaleza</w:t>
            </w:r>
          </w:p>
        </w:tc>
        <w:tc>
          <w:tcPr>
            <w:tcW w:w="7161" w:type="dxa"/>
          </w:tcPr>
          <w:p w14:paraId="21B7FFE0" w14:textId="77777777" w:rsidR="00DD2A75" w:rsidRPr="00826E28" w:rsidRDefault="00DD2A75" w:rsidP="00104785">
            <w:pPr>
              <w:rPr>
                <w:rFonts w:cstheme="minorHAnsi"/>
              </w:rPr>
            </w:pPr>
            <w:r w:rsidRPr="00826E28">
              <w:rPr>
                <w:rFonts w:cstheme="minorHAnsi"/>
              </w:rPr>
              <w:t>Teórico</w:t>
            </w:r>
          </w:p>
        </w:tc>
      </w:tr>
      <w:tr w:rsidR="00DD2A75" w:rsidRPr="00826E28" w14:paraId="1F22162E" w14:textId="77777777" w:rsidTr="00104785">
        <w:tc>
          <w:tcPr>
            <w:tcW w:w="1667" w:type="dxa"/>
          </w:tcPr>
          <w:p w14:paraId="6AFC65CC" w14:textId="77777777" w:rsidR="00DD2A75" w:rsidRPr="00826E28" w:rsidRDefault="00DD2A75" w:rsidP="00104785">
            <w:pPr>
              <w:rPr>
                <w:rFonts w:cstheme="minorHAnsi"/>
                <w:b/>
              </w:rPr>
            </w:pPr>
            <w:r w:rsidRPr="00826E28">
              <w:rPr>
                <w:rFonts w:cstheme="minorHAnsi"/>
                <w:b/>
              </w:rPr>
              <w:t>Periodo</w:t>
            </w:r>
          </w:p>
        </w:tc>
        <w:tc>
          <w:tcPr>
            <w:tcW w:w="7161" w:type="dxa"/>
          </w:tcPr>
          <w:p w14:paraId="6FDA2749" w14:textId="77777777" w:rsidR="00DD2A75" w:rsidRPr="00826E28" w:rsidRDefault="00DD2A75" w:rsidP="00104785">
            <w:pPr>
              <w:rPr>
                <w:rFonts w:cstheme="minorHAnsi"/>
              </w:rPr>
            </w:pPr>
            <w:r w:rsidRPr="00826E28">
              <w:rPr>
                <w:rFonts w:cstheme="minorHAnsi"/>
              </w:rPr>
              <w:t>Cuatrimestral (15 semanas lectivas)</w:t>
            </w:r>
          </w:p>
        </w:tc>
      </w:tr>
      <w:tr w:rsidR="00DD2A75" w:rsidRPr="00826E28" w14:paraId="1732891A" w14:textId="77777777" w:rsidTr="00104785">
        <w:tc>
          <w:tcPr>
            <w:tcW w:w="1667" w:type="dxa"/>
          </w:tcPr>
          <w:p w14:paraId="79B9A385" w14:textId="77777777" w:rsidR="00DD2A75" w:rsidRPr="00826E28" w:rsidRDefault="00DD2A75" w:rsidP="00104785">
            <w:pPr>
              <w:rPr>
                <w:rFonts w:cstheme="minorHAnsi"/>
                <w:b/>
              </w:rPr>
            </w:pPr>
            <w:r>
              <w:rPr>
                <w:rFonts w:cstheme="minorHAnsi"/>
                <w:b/>
              </w:rPr>
              <w:t>Nivel</w:t>
            </w:r>
          </w:p>
        </w:tc>
        <w:tc>
          <w:tcPr>
            <w:tcW w:w="7161" w:type="dxa"/>
          </w:tcPr>
          <w:p w14:paraId="61C32A16" w14:textId="77777777" w:rsidR="00DD2A75" w:rsidRPr="00826E28" w:rsidRDefault="00DD2A75" w:rsidP="00104785">
            <w:pPr>
              <w:rPr>
                <w:rFonts w:cstheme="minorHAnsi"/>
              </w:rPr>
            </w:pPr>
            <w:r>
              <w:rPr>
                <w:rFonts w:cstheme="minorHAnsi"/>
              </w:rPr>
              <w:t>III Cuatrimestre</w:t>
            </w:r>
          </w:p>
        </w:tc>
      </w:tr>
      <w:tr w:rsidR="00DD2A75" w:rsidRPr="00826E28" w14:paraId="7431C4C9" w14:textId="77777777" w:rsidTr="00104785">
        <w:tc>
          <w:tcPr>
            <w:tcW w:w="1667" w:type="dxa"/>
          </w:tcPr>
          <w:p w14:paraId="08C26EA2" w14:textId="77777777" w:rsidR="00DD2A75" w:rsidRPr="00826E28" w:rsidRDefault="00DD2A75" w:rsidP="00104785">
            <w:pPr>
              <w:rPr>
                <w:rFonts w:cstheme="minorHAnsi"/>
                <w:b/>
              </w:rPr>
            </w:pPr>
            <w:r w:rsidRPr="00826E28">
              <w:rPr>
                <w:rFonts w:cstheme="minorHAnsi"/>
                <w:b/>
              </w:rPr>
              <w:t>Horario</w:t>
            </w:r>
          </w:p>
        </w:tc>
        <w:tc>
          <w:tcPr>
            <w:tcW w:w="7161" w:type="dxa"/>
          </w:tcPr>
          <w:p w14:paraId="261AFB92" w14:textId="77777777" w:rsidR="00DD2A75" w:rsidRPr="00826E28" w:rsidRDefault="00DD2A75" w:rsidP="00104785">
            <w:pPr>
              <w:rPr>
                <w:rFonts w:cstheme="minorHAnsi"/>
              </w:rPr>
            </w:pPr>
            <w:r w:rsidRPr="00826E28">
              <w:rPr>
                <w:rFonts w:cstheme="minorHAnsi"/>
              </w:rPr>
              <w:t>El curso requiere de 12 horas de trabajo semanal</w:t>
            </w:r>
          </w:p>
        </w:tc>
      </w:tr>
      <w:tr w:rsidR="00DD2A75" w:rsidRPr="00826E28" w14:paraId="09C56080" w14:textId="77777777" w:rsidTr="00104785">
        <w:tc>
          <w:tcPr>
            <w:tcW w:w="1667" w:type="dxa"/>
          </w:tcPr>
          <w:p w14:paraId="34574E6D" w14:textId="77777777" w:rsidR="00DD2A75" w:rsidRPr="00826E28" w:rsidRDefault="00DD2A75" w:rsidP="00104785">
            <w:pPr>
              <w:rPr>
                <w:rFonts w:cstheme="minorHAnsi"/>
                <w:b/>
              </w:rPr>
            </w:pPr>
            <w:r w:rsidRPr="00826E28">
              <w:rPr>
                <w:rFonts w:cstheme="minorHAnsi"/>
                <w:b/>
              </w:rPr>
              <w:t>Aula</w:t>
            </w:r>
          </w:p>
        </w:tc>
        <w:tc>
          <w:tcPr>
            <w:tcW w:w="7161" w:type="dxa"/>
          </w:tcPr>
          <w:p w14:paraId="14688BBC" w14:textId="77777777" w:rsidR="00DD2A75" w:rsidRPr="00826E28" w:rsidRDefault="00DD2A75" w:rsidP="00104785">
            <w:pPr>
              <w:rPr>
                <w:rFonts w:cstheme="minorHAnsi"/>
              </w:rPr>
            </w:pPr>
            <w:r w:rsidRPr="00826E28">
              <w:rPr>
                <w:rFonts w:cstheme="minorHAnsi"/>
              </w:rPr>
              <w:t>Plataforma virtual de la UBL</w:t>
            </w:r>
          </w:p>
        </w:tc>
      </w:tr>
      <w:tr w:rsidR="00DD2A75" w:rsidRPr="00826E28" w14:paraId="6A1FFA21" w14:textId="77777777" w:rsidTr="00104785">
        <w:tc>
          <w:tcPr>
            <w:tcW w:w="1667" w:type="dxa"/>
          </w:tcPr>
          <w:p w14:paraId="7413C0A0" w14:textId="77777777" w:rsidR="00DD2A75" w:rsidRPr="00826E28" w:rsidRDefault="00DD2A75" w:rsidP="00104785">
            <w:pPr>
              <w:rPr>
                <w:rFonts w:cstheme="minorHAnsi"/>
                <w:b/>
              </w:rPr>
            </w:pPr>
            <w:r>
              <w:rPr>
                <w:rFonts w:cstheme="minorHAnsi"/>
                <w:b/>
              </w:rPr>
              <w:t>Docente</w:t>
            </w:r>
          </w:p>
        </w:tc>
        <w:tc>
          <w:tcPr>
            <w:tcW w:w="7161" w:type="dxa"/>
          </w:tcPr>
          <w:p w14:paraId="34D1A7D2" w14:textId="77777777" w:rsidR="00DD2A75" w:rsidRPr="00826E28" w:rsidRDefault="00DD2A75" w:rsidP="00104785">
            <w:pPr>
              <w:rPr>
                <w:rFonts w:cstheme="minorHAnsi"/>
              </w:rPr>
            </w:pPr>
          </w:p>
        </w:tc>
      </w:tr>
      <w:tr w:rsidR="00DD2A75" w:rsidRPr="00826E28" w14:paraId="66C896E1" w14:textId="77777777" w:rsidTr="00104785">
        <w:tc>
          <w:tcPr>
            <w:tcW w:w="1667" w:type="dxa"/>
          </w:tcPr>
          <w:p w14:paraId="67CBB1D5" w14:textId="77777777" w:rsidR="00DD2A75" w:rsidRPr="00826E28" w:rsidRDefault="00DD2A75" w:rsidP="00104785">
            <w:pPr>
              <w:rPr>
                <w:rFonts w:cstheme="minorHAnsi"/>
              </w:rPr>
            </w:pPr>
            <w:r w:rsidRPr="00826E28">
              <w:rPr>
                <w:rFonts w:cstheme="minorHAnsi"/>
                <w:b/>
              </w:rPr>
              <w:t>Instrucciones administrativas</w:t>
            </w:r>
          </w:p>
        </w:tc>
        <w:tc>
          <w:tcPr>
            <w:tcW w:w="7161" w:type="dxa"/>
          </w:tcPr>
          <w:p w14:paraId="0C721D29" w14:textId="77777777" w:rsidR="00DD2A75" w:rsidRDefault="00DD2A75" w:rsidP="00104785">
            <w:pPr>
              <w:jc w:val="both"/>
              <w:rPr>
                <w:rFonts w:cstheme="minorHAnsi"/>
              </w:rPr>
            </w:pPr>
            <w:r w:rsidRPr="00826E28">
              <w:rPr>
                <w:rFonts w:cstheme="minorHAnsi"/>
              </w:rPr>
              <w:t>El curso es virtual, por lo que se requiere de acceso a una computadora con conexión a Internet, además de destrezas básicas para el manejo de correo electrónico y la plataforma Moodle desde el rol de estudiante.</w:t>
            </w:r>
            <w:r>
              <w:rPr>
                <w:rFonts w:cstheme="minorHAnsi"/>
              </w:rPr>
              <w:t xml:space="preserve"> La dirección de acceso a la plataforma es la siguiente:</w:t>
            </w:r>
          </w:p>
          <w:p w14:paraId="10D56D23" w14:textId="77777777" w:rsidR="00DD2A75" w:rsidRPr="00826E28" w:rsidRDefault="00DD16F2" w:rsidP="00104785">
            <w:pPr>
              <w:jc w:val="both"/>
              <w:rPr>
                <w:rFonts w:cstheme="minorHAnsi"/>
              </w:rPr>
            </w:pPr>
            <w:hyperlink r:id="rId144" w:history="1">
              <w:r w:rsidR="00DD2A75" w:rsidRPr="00B96849">
                <w:rPr>
                  <w:rStyle w:val="Hipervnculo"/>
                  <w:rFonts w:cstheme="minorHAnsi"/>
                </w:rPr>
                <w:t>https://campus.ubl.ac.cr/login/index.php</w:t>
              </w:r>
            </w:hyperlink>
          </w:p>
        </w:tc>
      </w:tr>
    </w:tbl>
    <w:p w14:paraId="3851144C" w14:textId="77777777" w:rsidR="00DD2A75" w:rsidRPr="00826E28" w:rsidRDefault="00DD2A75" w:rsidP="00DD2A75">
      <w:pPr>
        <w:jc w:val="both"/>
        <w:rPr>
          <w:rFonts w:cs="Arial"/>
          <w:b/>
          <w:bCs/>
        </w:rPr>
      </w:pPr>
    </w:p>
    <w:p w14:paraId="19848A4B" w14:textId="77777777" w:rsidR="00DD2A75" w:rsidRPr="00826E28" w:rsidRDefault="00DD2A75" w:rsidP="00DD2A75">
      <w:pPr>
        <w:jc w:val="both"/>
        <w:rPr>
          <w:rFonts w:cs="Arial"/>
          <w:b/>
          <w:bCs/>
        </w:rPr>
      </w:pPr>
      <w:r w:rsidRPr="00826E28">
        <w:rPr>
          <w:rFonts w:cs="Arial"/>
          <w:b/>
          <w:bCs/>
        </w:rPr>
        <w:t>I.</w:t>
      </w:r>
      <w:r>
        <w:rPr>
          <w:rFonts w:cs="Arial"/>
          <w:b/>
          <w:bCs/>
        </w:rPr>
        <w:t xml:space="preserve"> </w:t>
      </w:r>
      <w:r w:rsidRPr="00826E28">
        <w:rPr>
          <w:rFonts w:cs="Arial"/>
          <w:b/>
          <w:bCs/>
        </w:rPr>
        <w:t>Descripción</w:t>
      </w:r>
    </w:p>
    <w:p w14:paraId="0CBA1B31" w14:textId="77777777" w:rsidR="00DD2A75" w:rsidRPr="00826E28" w:rsidRDefault="00DD2A75" w:rsidP="00DD2A75">
      <w:pPr>
        <w:jc w:val="both"/>
        <w:rPr>
          <w:rFonts w:cs="Arial"/>
          <w:bCs/>
        </w:rPr>
      </w:pPr>
      <w:r w:rsidRPr="00826E28">
        <w:rPr>
          <w:rFonts w:cs="Arial"/>
          <w:bCs/>
        </w:rPr>
        <w:t xml:space="preserve">Las técnicas y metodologías de </w:t>
      </w:r>
      <w:r>
        <w:rPr>
          <w:rFonts w:cs="Arial"/>
          <w:bCs/>
        </w:rPr>
        <w:t xml:space="preserve">la </w:t>
      </w:r>
      <w:r w:rsidRPr="00826E28">
        <w:rPr>
          <w:rFonts w:cs="Arial"/>
          <w:bCs/>
        </w:rPr>
        <w:t>historiología están aplicadas al estudio de la historia de la iglesia en relación con la realidad socio-histórica de cada época. Se presta atención especial al significado del período constantiniano para el desarrollo posterior de la iglesia y su pensamiento</w:t>
      </w:r>
      <w:r>
        <w:rPr>
          <w:rFonts w:cs="Arial"/>
          <w:bCs/>
        </w:rPr>
        <w:t>. L</w:t>
      </w:r>
      <w:r w:rsidRPr="00826E28">
        <w:rPr>
          <w:rFonts w:cs="Arial"/>
          <w:bCs/>
        </w:rPr>
        <w:t>as controversias teológicas principales, incluyendo el concepto y significado de “herejía” para</w:t>
      </w:r>
      <w:r>
        <w:rPr>
          <w:rFonts w:cs="Arial"/>
          <w:bCs/>
        </w:rPr>
        <w:t xml:space="preserve"> el pensamiento cristiano están analizadas</w:t>
      </w:r>
      <w:r w:rsidRPr="00826E28">
        <w:rPr>
          <w:rFonts w:cs="Arial"/>
          <w:bCs/>
        </w:rPr>
        <w:t xml:space="preserve"> en su contexto histórico-social.</w:t>
      </w:r>
    </w:p>
    <w:p w14:paraId="5AB1E644" w14:textId="77777777" w:rsidR="00DD2A75" w:rsidRDefault="00DD2A75" w:rsidP="00DD2A75">
      <w:pPr>
        <w:jc w:val="both"/>
        <w:rPr>
          <w:rFonts w:cs="Arial"/>
          <w:b/>
          <w:bCs/>
        </w:rPr>
      </w:pPr>
    </w:p>
    <w:p w14:paraId="75DB92C5" w14:textId="77777777" w:rsidR="00DD2A75" w:rsidRPr="00826E28" w:rsidRDefault="00DD2A75" w:rsidP="00DD2A75">
      <w:pPr>
        <w:jc w:val="both"/>
        <w:rPr>
          <w:rFonts w:cs="Arial"/>
          <w:b/>
          <w:bCs/>
        </w:rPr>
      </w:pPr>
      <w:r w:rsidRPr="00826E28">
        <w:rPr>
          <w:rFonts w:cs="Arial"/>
          <w:b/>
          <w:bCs/>
        </w:rPr>
        <w:t>II. Objetivos generales</w:t>
      </w:r>
    </w:p>
    <w:p w14:paraId="039A8821" w14:textId="77777777" w:rsidR="00DD2A75" w:rsidRDefault="00DD2A75" w:rsidP="00DD2A75">
      <w:pPr>
        <w:spacing w:line="276" w:lineRule="auto"/>
        <w:jc w:val="both"/>
        <w:rPr>
          <w:rFonts w:cs="Arial"/>
        </w:rPr>
      </w:pPr>
    </w:p>
    <w:p w14:paraId="5A651781" w14:textId="77777777" w:rsidR="00DD2A75" w:rsidRDefault="00DD2A75" w:rsidP="00DD2A75">
      <w:pPr>
        <w:spacing w:line="276" w:lineRule="auto"/>
        <w:jc w:val="both"/>
        <w:rPr>
          <w:rFonts w:cs="Arial"/>
          <w:bCs/>
          <w:iCs/>
        </w:rPr>
      </w:pPr>
      <w:r>
        <w:rPr>
          <w:rFonts w:cs="Arial"/>
          <w:bCs/>
          <w:iCs/>
        </w:rPr>
        <w:t xml:space="preserve">1. </w:t>
      </w:r>
      <w:r w:rsidRPr="00826E28">
        <w:rPr>
          <w:rFonts w:cs="Arial"/>
          <w:bCs/>
          <w:iCs/>
        </w:rPr>
        <w:t>Comprender la historia d</w:t>
      </w:r>
      <w:r>
        <w:rPr>
          <w:rFonts w:cs="Arial"/>
          <w:bCs/>
          <w:iCs/>
        </w:rPr>
        <w:t>e la Iglesia desde sus orígenes</w:t>
      </w:r>
      <w:r w:rsidRPr="00826E28">
        <w:rPr>
          <w:rFonts w:cs="Arial"/>
          <w:bCs/>
          <w:iCs/>
        </w:rPr>
        <w:t xml:space="preserve"> hasta los tiempos que facilitan las condiciones para que se dé la Reforma Luterana en el Siglo XVI. </w:t>
      </w:r>
    </w:p>
    <w:p w14:paraId="01C167A9" w14:textId="5A9F0C6E" w:rsidR="00DD2A75" w:rsidRPr="00826E28" w:rsidRDefault="00DD2A75" w:rsidP="00A1248E">
      <w:pPr>
        <w:spacing w:line="276" w:lineRule="auto"/>
        <w:jc w:val="both"/>
        <w:rPr>
          <w:rFonts w:cs="Arial"/>
          <w:bCs/>
          <w:iCs/>
        </w:rPr>
      </w:pPr>
      <w:r w:rsidRPr="00826E28">
        <w:rPr>
          <w:rFonts w:cs="Arial"/>
          <w:bCs/>
          <w:iCs/>
        </w:rPr>
        <w:t xml:space="preserve"> </w:t>
      </w:r>
      <w:r>
        <w:rPr>
          <w:rFonts w:cs="Arial"/>
          <w:bCs/>
          <w:iCs/>
        </w:rPr>
        <w:t xml:space="preserve">2. </w:t>
      </w:r>
      <w:r w:rsidRPr="00826E28">
        <w:rPr>
          <w:rFonts w:cs="Arial"/>
          <w:bCs/>
          <w:iCs/>
        </w:rPr>
        <w:t>Identificar y analizar las discusiones teológicas que generaron distintas escuelas del pensamiento cristiano.</w:t>
      </w:r>
    </w:p>
    <w:p w14:paraId="73B2722B" w14:textId="77777777" w:rsidR="00DD2A75" w:rsidRPr="00826E28" w:rsidRDefault="00DD2A75" w:rsidP="00DD2A75">
      <w:pPr>
        <w:jc w:val="both"/>
        <w:rPr>
          <w:rFonts w:cs="Arial"/>
          <w:bCs/>
          <w:iCs/>
        </w:rPr>
      </w:pPr>
    </w:p>
    <w:p w14:paraId="1FD2C92C" w14:textId="77777777" w:rsidR="00DD2A75" w:rsidRPr="00826E28" w:rsidRDefault="00DD2A75" w:rsidP="00DD2A75">
      <w:pPr>
        <w:spacing w:after="240"/>
        <w:jc w:val="both"/>
        <w:rPr>
          <w:rFonts w:cs="Arial"/>
          <w:b/>
          <w:bCs/>
          <w:iCs/>
        </w:rPr>
      </w:pPr>
      <w:r w:rsidRPr="00826E28">
        <w:rPr>
          <w:rFonts w:cs="Arial"/>
          <w:b/>
          <w:bCs/>
          <w:iCs/>
        </w:rPr>
        <w:t>III.</w:t>
      </w:r>
      <w:r>
        <w:rPr>
          <w:rFonts w:cs="Arial"/>
          <w:b/>
          <w:bCs/>
          <w:iCs/>
        </w:rPr>
        <w:t xml:space="preserve"> </w:t>
      </w:r>
      <w:r w:rsidRPr="00826E28">
        <w:rPr>
          <w:rFonts w:cs="Arial"/>
          <w:b/>
          <w:bCs/>
          <w:iCs/>
        </w:rPr>
        <w:t>Objetivos específicos</w:t>
      </w:r>
    </w:p>
    <w:p w14:paraId="747C569A" w14:textId="77777777" w:rsidR="00DD2A75" w:rsidRPr="00826E28" w:rsidRDefault="00DD2A75" w:rsidP="00DD2A75">
      <w:pPr>
        <w:spacing w:after="240"/>
        <w:jc w:val="both"/>
        <w:rPr>
          <w:rFonts w:cs="Arial"/>
          <w:bCs/>
        </w:rPr>
      </w:pPr>
      <w:r w:rsidRPr="00826E28">
        <w:rPr>
          <w:rFonts w:cs="Arial"/>
          <w:bCs/>
        </w:rPr>
        <w:t>Al concluir el curso el/la estudiante podrá:</w:t>
      </w:r>
    </w:p>
    <w:p w14:paraId="611345EF" w14:textId="77777777" w:rsidR="00DD2A75" w:rsidRPr="00826E28" w:rsidRDefault="00DD2A75" w:rsidP="00DD2A75">
      <w:pPr>
        <w:spacing w:line="276" w:lineRule="auto"/>
        <w:jc w:val="both"/>
        <w:rPr>
          <w:rFonts w:cs="Arial"/>
          <w:bCs/>
        </w:rPr>
      </w:pPr>
      <w:r>
        <w:rPr>
          <w:rFonts w:cs="Arial"/>
          <w:bCs/>
        </w:rPr>
        <w:t xml:space="preserve">1. </w:t>
      </w:r>
      <w:r w:rsidRPr="00826E28">
        <w:rPr>
          <w:rFonts w:cs="Arial"/>
          <w:bCs/>
        </w:rPr>
        <w:t>Explicar la importancia del estudio de la historia de la iglesia.</w:t>
      </w:r>
    </w:p>
    <w:p w14:paraId="3B6EC28F" w14:textId="77777777" w:rsidR="00DD2A75" w:rsidRPr="00826E28" w:rsidRDefault="00DD2A75" w:rsidP="00DD2A75">
      <w:pPr>
        <w:spacing w:line="276" w:lineRule="auto"/>
        <w:jc w:val="both"/>
        <w:rPr>
          <w:rFonts w:cs="Arial"/>
          <w:bCs/>
        </w:rPr>
      </w:pPr>
      <w:r>
        <w:rPr>
          <w:rFonts w:cs="Arial"/>
          <w:bCs/>
        </w:rPr>
        <w:t xml:space="preserve">2. </w:t>
      </w:r>
      <w:r w:rsidRPr="00826E28">
        <w:rPr>
          <w:rFonts w:cs="Arial"/>
          <w:bCs/>
        </w:rPr>
        <w:t>Comentar las limitaciones que hoy contribuyen para que la iglesia no manifieste una clara conciencia histórica.</w:t>
      </w:r>
    </w:p>
    <w:p w14:paraId="232AAE89" w14:textId="77777777" w:rsidR="00DD2A75" w:rsidRPr="00826E28" w:rsidRDefault="00DD2A75" w:rsidP="00DD2A75">
      <w:pPr>
        <w:spacing w:line="276" w:lineRule="auto"/>
        <w:jc w:val="both"/>
        <w:rPr>
          <w:rFonts w:cs="Arial"/>
          <w:bCs/>
        </w:rPr>
      </w:pPr>
      <w:r>
        <w:rPr>
          <w:rFonts w:cs="Arial"/>
          <w:bCs/>
        </w:rPr>
        <w:t xml:space="preserve">3. </w:t>
      </w:r>
      <w:r w:rsidRPr="00826E28">
        <w:rPr>
          <w:rFonts w:cs="Arial"/>
          <w:bCs/>
        </w:rPr>
        <w:t>Enumerar los factores principales del contexto religioso y social en el momento del surgimiento del cristianismo.</w:t>
      </w:r>
    </w:p>
    <w:p w14:paraId="3776754B" w14:textId="77777777" w:rsidR="00DD2A75" w:rsidRPr="00826E28" w:rsidRDefault="00DD2A75" w:rsidP="00DD2A75">
      <w:pPr>
        <w:spacing w:line="276" w:lineRule="auto"/>
        <w:jc w:val="both"/>
        <w:rPr>
          <w:rFonts w:cs="Arial"/>
          <w:bCs/>
        </w:rPr>
      </w:pPr>
      <w:r>
        <w:rPr>
          <w:rFonts w:cs="Arial"/>
          <w:bCs/>
        </w:rPr>
        <w:t xml:space="preserve">4. </w:t>
      </w:r>
      <w:r w:rsidRPr="00826E28">
        <w:rPr>
          <w:rFonts w:cs="Arial"/>
          <w:bCs/>
        </w:rPr>
        <w:t>Analizar el proceso de “</w:t>
      </w:r>
      <w:proofErr w:type="spellStart"/>
      <w:r w:rsidRPr="00826E28">
        <w:rPr>
          <w:rFonts w:cs="Arial"/>
          <w:bCs/>
        </w:rPr>
        <w:t>constantinización</w:t>
      </w:r>
      <w:proofErr w:type="spellEnd"/>
      <w:r w:rsidRPr="00826E28">
        <w:rPr>
          <w:rFonts w:cs="Arial"/>
          <w:bCs/>
        </w:rPr>
        <w:t>” de la iglesia.</w:t>
      </w:r>
    </w:p>
    <w:p w14:paraId="567E8893" w14:textId="77777777" w:rsidR="00DD2A75" w:rsidRPr="00826E28" w:rsidRDefault="00DD2A75" w:rsidP="00DD2A75">
      <w:pPr>
        <w:spacing w:line="276" w:lineRule="auto"/>
        <w:jc w:val="both"/>
        <w:rPr>
          <w:rFonts w:cs="Arial"/>
          <w:bCs/>
        </w:rPr>
      </w:pPr>
      <w:r>
        <w:rPr>
          <w:rFonts w:cs="Arial"/>
          <w:bCs/>
        </w:rPr>
        <w:t xml:space="preserve">5. </w:t>
      </w:r>
      <w:r w:rsidRPr="00826E28">
        <w:rPr>
          <w:rFonts w:cs="Arial"/>
          <w:bCs/>
        </w:rPr>
        <w:t>Señalar los móviles que provocaron la división de la cristiandad y el origen del papado.</w:t>
      </w:r>
    </w:p>
    <w:p w14:paraId="4F4A506F" w14:textId="77777777" w:rsidR="00DD2A75" w:rsidRPr="00826E28" w:rsidRDefault="00DD2A75" w:rsidP="00DD2A75">
      <w:pPr>
        <w:spacing w:line="276" w:lineRule="auto"/>
        <w:jc w:val="both"/>
        <w:rPr>
          <w:rFonts w:cs="Arial"/>
          <w:bCs/>
        </w:rPr>
      </w:pPr>
      <w:r>
        <w:rPr>
          <w:rFonts w:cs="Arial"/>
          <w:bCs/>
        </w:rPr>
        <w:t xml:space="preserve">6. </w:t>
      </w:r>
      <w:r w:rsidRPr="00826E28">
        <w:rPr>
          <w:rFonts w:cs="Arial"/>
          <w:bCs/>
        </w:rPr>
        <w:t>Desarrollar la importancia de la herejía como movimiento de protesta social y religiosa en el contexto de la sociedad medieval.</w:t>
      </w:r>
    </w:p>
    <w:p w14:paraId="70FC94C7" w14:textId="77777777" w:rsidR="00DD2A75" w:rsidRPr="00826E28" w:rsidRDefault="00DD2A75" w:rsidP="00DD2A75">
      <w:pPr>
        <w:spacing w:line="276" w:lineRule="auto"/>
        <w:jc w:val="both"/>
        <w:rPr>
          <w:rFonts w:cs="Arial"/>
          <w:bCs/>
        </w:rPr>
      </w:pPr>
      <w:r>
        <w:rPr>
          <w:rFonts w:cs="Arial"/>
          <w:bCs/>
        </w:rPr>
        <w:t xml:space="preserve">7. </w:t>
      </w:r>
      <w:r w:rsidRPr="00826E28">
        <w:rPr>
          <w:rFonts w:cs="Arial"/>
          <w:bCs/>
        </w:rPr>
        <w:t>Esquematizar los acontecimientos que fueron preparando las condiciones para el surgimiento de la Reforma Luterana en el siglo XVI.</w:t>
      </w:r>
    </w:p>
    <w:p w14:paraId="6E912D59" w14:textId="77777777" w:rsidR="00DD2A75" w:rsidRPr="00826E28" w:rsidRDefault="00DD2A75" w:rsidP="00DD2A75">
      <w:pPr>
        <w:jc w:val="both"/>
        <w:rPr>
          <w:rFonts w:cs="Arial"/>
          <w:b/>
          <w:bCs/>
        </w:rPr>
      </w:pPr>
    </w:p>
    <w:p w14:paraId="5285AF9C" w14:textId="77777777" w:rsidR="00DD2A75" w:rsidRPr="00826E28" w:rsidRDefault="00DD2A75" w:rsidP="00A1248E">
      <w:pPr>
        <w:spacing w:after="0" w:line="276" w:lineRule="auto"/>
        <w:jc w:val="both"/>
        <w:rPr>
          <w:rFonts w:cs="Arial"/>
          <w:b/>
          <w:bCs/>
        </w:rPr>
      </w:pPr>
      <w:r w:rsidRPr="00826E28">
        <w:rPr>
          <w:rFonts w:cs="Arial"/>
          <w:b/>
          <w:bCs/>
        </w:rPr>
        <w:t>IV.</w:t>
      </w:r>
      <w:r>
        <w:rPr>
          <w:rFonts w:cs="Arial"/>
          <w:b/>
          <w:bCs/>
        </w:rPr>
        <w:t xml:space="preserve"> </w:t>
      </w:r>
      <w:r w:rsidRPr="00826E28">
        <w:rPr>
          <w:rFonts w:cs="Arial"/>
          <w:b/>
          <w:bCs/>
        </w:rPr>
        <w:t xml:space="preserve">Contenidos   </w:t>
      </w:r>
    </w:p>
    <w:p w14:paraId="6DAECC4F" w14:textId="77777777" w:rsidR="00DD2A75" w:rsidRPr="00826E28" w:rsidRDefault="00DD2A75" w:rsidP="00A1248E">
      <w:pPr>
        <w:pStyle w:val="Normalcontenido"/>
        <w:spacing w:line="276" w:lineRule="auto"/>
        <w:ind w:left="0"/>
        <w:rPr>
          <w:rFonts w:asciiTheme="minorHAnsi" w:hAnsiTheme="minorHAnsi" w:cs="Arial"/>
          <w:sz w:val="22"/>
          <w:szCs w:val="22"/>
        </w:rPr>
      </w:pPr>
    </w:p>
    <w:p w14:paraId="65E0EE54"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1</w:t>
      </w:r>
      <w:r w:rsidRPr="00826E28">
        <w:rPr>
          <w:rFonts w:cs="Arial"/>
          <w:b/>
          <w:lang w:val="es-ES"/>
        </w:rPr>
        <w:t>: Consideraciones historiográficas</w:t>
      </w:r>
    </w:p>
    <w:p w14:paraId="012401A2" w14:textId="77777777" w:rsidR="00DD2A75" w:rsidRPr="00826E28" w:rsidRDefault="00DD2A75" w:rsidP="00A1248E">
      <w:pPr>
        <w:spacing w:after="0" w:line="276" w:lineRule="auto"/>
        <w:jc w:val="both"/>
        <w:rPr>
          <w:rFonts w:cs="Arial"/>
          <w:lang w:val="es-ES"/>
        </w:rPr>
      </w:pPr>
      <w:r w:rsidRPr="00826E28">
        <w:rPr>
          <w:rFonts w:cs="Arial"/>
          <w:lang w:val="es-ES"/>
        </w:rPr>
        <w:t>1.1</w:t>
      </w:r>
      <w:r w:rsidRPr="00826E28">
        <w:rPr>
          <w:rFonts w:cs="Arial"/>
          <w:b/>
          <w:lang w:val="es-ES"/>
        </w:rPr>
        <w:t xml:space="preserve"> </w:t>
      </w:r>
      <w:r w:rsidRPr="00826E28">
        <w:rPr>
          <w:rFonts w:cs="Arial"/>
        </w:rPr>
        <w:t>Cuestiones metodológicas</w:t>
      </w:r>
    </w:p>
    <w:p w14:paraId="5D5F53A8" w14:textId="77777777" w:rsidR="00DD2A75" w:rsidRPr="00826E28" w:rsidRDefault="00DD2A75" w:rsidP="00A1248E">
      <w:pPr>
        <w:spacing w:after="0" w:line="276" w:lineRule="auto"/>
        <w:jc w:val="both"/>
        <w:rPr>
          <w:rFonts w:cs="Arial"/>
          <w:lang w:val="es-ES"/>
        </w:rPr>
      </w:pPr>
      <w:r w:rsidRPr="00826E28">
        <w:rPr>
          <w:rFonts w:cs="Arial"/>
          <w:lang w:val="es-ES"/>
        </w:rPr>
        <w:t xml:space="preserve">1.2 </w:t>
      </w:r>
      <w:r w:rsidRPr="00826E28">
        <w:rPr>
          <w:rFonts w:cs="Arial"/>
        </w:rPr>
        <w:t>Desarrollo e importancia de la Historia de la Iglesia</w:t>
      </w:r>
    </w:p>
    <w:p w14:paraId="2D192987" w14:textId="77777777" w:rsidR="00DD2A75" w:rsidRDefault="00DD2A75" w:rsidP="00A1248E">
      <w:pPr>
        <w:spacing w:after="0" w:line="276" w:lineRule="auto"/>
        <w:ind w:left="720"/>
        <w:jc w:val="both"/>
        <w:rPr>
          <w:rFonts w:cs="Arial"/>
          <w:b/>
          <w:lang w:val="es-ES"/>
        </w:rPr>
      </w:pPr>
    </w:p>
    <w:p w14:paraId="395AE8A6"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2</w:t>
      </w:r>
      <w:r w:rsidRPr="00826E28">
        <w:rPr>
          <w:rFonts w:cs="Arial"/>
          <w:b/>
          <w:lang w:val="es-ES"/>
        </w:rPr>
        <w:t>: Siglos I, II y III</w:t>
      </w:r>
    </w:p>
    <w:p w14:paraId="6F9C0284" w14:textId="77777777" w:rsidR="00DD2A75" w:rsidRPr="00826E28" w:rsidRDefault="00DD2A75" w:rsidP="00A1248E">
      <w:pPr>
        <w:spacing w:after="0" w:line="276" w:lineRule="auto"/>
        <w:jc w:val="both"/>
        <w:rPr>
          <w:rFonts w:cs="Arial"/>
        </w:rPr>
      </w:pPr>
      <w:r w:rsidRPr="00826E28">
        <w:rPr>
          <w:rFonts w:cs="Arial"/>
          <w:lang w:val="es-ES"/>
        </w:rPr>
        <w:t xml:space="preserve">2.1 </w:t>
      </w:r>
      <w:r w:rsidRPr="00826E28">
        <w:rPr>
          <w:rFonts w:cs="Arial"/>
        </w:rPr>
        <w:t>Contexto social y religioso en los inicios del cristianismo</w:t>
      </w:r>
    </w:p>
    <w:p w14:paraId="4F197677" w14:textId="77777777" w:rsidR="00DD2A75" w:rsidRPr="00826E28" w:rsidRDefault="00DD2A75" w:rsidP="00A1248E">
      <w:pPr>
        <w:spacing w:after="0" w:line="276" w:lineRule="auto"/>
        <w:jc w:val="both"/>
        <w:rPr>
          <w:rFonts w:cs="Arial"/>
          <w:lang w:val="es-ES"/>
        </w:rPr>
      </w:pPr>
      <w:r w:rsidRPr="00826E28">
        <w:rPr>
          <w:rFonts w:cs="Arial"/>
          <w:lang w:val="es-ES"/>
        </w:rPr>
        <w:t>2.2 Evangelio y cultura en el siglo II</w:t>
      </w:r>
    </w:p>
    <w:p w14:paraId="1EE29E75" w14:textId="77777777" w:rsidR="00DD2A75" w:rsidRDefault="00DD2A75" w:rsidP="00A1248E">
      <w:pPr>
        <w:spacing w:after="0" w:line="276" w:lineRule="auto"/>
        <w:jc w:val="both"/>
        <w:rPr>
          <w:rFonts w:cs="Arial"/>
        </w:rPr>
      </w:pPr>
      <w:r w:rsidRPr="00826E28">
        <w:rPr>
          <w:rFonts w:cs="Arial"/>
          <w:lang w:val="es-ES"/>
        </w:rPr>
        <w:t xml:space="preserve">2.3 </w:t>
      </w:r>
      <w:r w:rsidRPr="00826E28">
        <w:rPr>
          <w:rFonts w:cs="Arial"/>
        </w:rPr>
        <w:t>Orígenes y organización de la iglesia</w:t>
      </w:r>
    </w:p>
    <w:p w14:paraId="76E59F34" w14:textId="77777777" w:rsidR="00DD2A75" w:rsidRPr="00656235" w:rsidRDefault="00DD2A75" w:rsidP="00A1248E">
      <w:pPr>
        <w:spacing w:after="0" w:line="276" w:lineRule="auto"/>
        <w:ind w:left="720"/>
        <w:jc w:val="both"/>
        <w:rPr>
          <w:rFonts w:cs="Arial"/>
          <w:sz w:val="2"/>
        </w:rPr>
      </w:pPr>
    </w:p>
    <w:p w14:paraId="621990A4" w14:textId="77777777" w:rsidR="00DD2A75" w:rsidRPr="00826E28" w:rsidRDefault="00DD2A75" w:rsidP="00A1248E">
      <w:pPr>
        <w:pStyle w:val="Normalcontenido"/>
        <w:spacing w:line="276" w:lineRule="auto"/>
        <w:ind w:left="0" w:firstLine="0"/>
        <w:rPr>
          <w:rFonts w:asciiTheme="minorHAnsi" w:hAnsiTheme="minorHAnsi" w:cs="Arial"/>
          <w:sz w:val="22"/>
          <w:szCs w:val="22"/>
        </w:rPr>
      </w:pPr>
      <w:r w:rsidRPr="00826E28">
        <w:rPr>
          <w:rFonts w:asciiTheme="minorHAnsi" w:hAnsiTheme="minorHAnsi" w:cs="Arial"/>
          <w:sz w:val="22"/>
          <w:szCs w:val="22"/>
        </w:rPr>
        <w:t>2.4 La relación del cristianismo con el Imperio Romano</w:t>
      </w:r>
    </w:p>
    <w:p w14:paraId="09CEBC12" w14:textId="77777777" w:rsidR="00DD2A75" w:rsidRDefault="00DD2A75" w:rsidP="00A1248E">
      <w:pPr>
        <w:spacing w:after="0" w:line="276" w:lineRule="auto"/>
        <w:jc w:val="both"/>
        <w:rPr>
          <w:rFonts w:cs="Arial"/>
          <w:lang w:val="es-ES"/>
        </w:rPr>
      </w:pPr>
      <w:r w:rsidRPr="00826E28">
        <w:rPr>
          <w:rFonts w:cs="Arial"/>
          <w:lang w:val="es-ES"/>
        </w:rPr>
        <w:t>2.5 Participación de las mujeres</w:t>
      </w:r>
    </w:p>
    <w:p w14:paraId="5B11C5DF" w14:textId="77777777" w:rsidR="00DD2A75" w:rsidRPr="00656235" w:rsidRDefault="00DD2A75" w:rsidP="00A1248E">
      <w:pPr>
        <w:spacing w:after="0" w:line="276" w:lineRule="auto"/>
        <w:ind w:left="720"/>
        <w:jc w:val="both"/>
        <w:rPr>
          <w:rFonts w:cs="Arial"/>
          <w:sz w:val="2"/>
          <w:lang w:val="es-ES"/>
        </w:rPr>
      </w:pPr>
    </w:p>
    <w:p w14:paraId="53E0D2DA" w14:textId="77777777" w:rsidR="00DD2A75" w:rsidRPr="00826E28" w:rsidRDefault="00DD2A75" w:rsidP="00A1248E">
      <w:pPr>
        <w:pStyle w:val="Normalcontenido"/>
        <w:spacing w:line="276" w:lineRule="auto"/>
        <w:ind w:left="0" w:firstLine="0"/>
        <w:rPr>
          <w:rFonts w:asciiTheme="minorHAnsi" w:hAnsiTheme="minorHAnsi" w:cs="Arial"/>
          <w:sz w:val="22"/>
          <w:szCs w:val="22"/>
        </w:rPr>
      </w:pPr>
      <w:r>
        <w:rPr>
          <w:rFonts w:asciiTheme="minorHAnsi" w:hAnsiTheme="minorHAnsi" w:cs="Arial"/>
          <w:sz w:val="22"/>
          <w:szCs w:val="22"/>
          <w:lang w:val="es-ES"/>
        </w:rPr>
        <w:t>2.6</w:t>
      </w:r>
      <w:r w:rsidRPr="00826E28">
        <w:rPr>
          <w:rFonts w:asciiTheme="minorHAnsi" w:hAnsiTheme="minorHAnsi" w:cs="Arial"/>
          <w:sz w:val="22"/>
          <w:szCs w:val="22"/>
          <w:lang w:val="es-ES"/>
        </w:rPr>
        <w:t xml:space="preserve"> </w:t>
      </w:r>
      <w:r w:rsidRPr="00826E28">
        <w:rPr>
          <w:rFonts w:asciiTheme="minorHAnsi" w:hAnsiTheme="minorHAnsi" w:cs="Arial"/>
          <w:sz w:val="22"/>
          <w:szCs w:val="22"/>
        </w:rPr>
        <w:t>El desafío de las herejías al cristianismo</w:t>
      </w:r>
    </w:p>
    <w:p w14:paraId="7305E30A" w14:textId="77777777" w:rsidR="00DD2A75" w:rsidRPr="00826E28" w:rsidRDefault="00DD2A75" w:rsidP="00A1248E">
      <w:pPr>
        <w:spacing w:after="0" w:line="276" w:lineRule="auto"/>
        <w:ind w:left="720"/>
        <w:jc w:val="both"/>
        <w:rPr>
          <w:rFonts w:cs="Arial"/>
          <w:lang w:val="es-ES"/>
        </w:rPr>
      </w:pPr>
    </w:p>
    <w:p w14:paraId="43E3DB69"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3</w:t>
      </w:r>
      <w:r w:rsidRPr="00826E28">
        <w:rPr>
          <w:rFonts w:cs="Arial"/>
          <w:b/>
          <w:lang w:val="es-ES"/>
        </w:rPr>
        <w:t>: Siglos IV y V</w:t>
      </w:r>
    </w:p>
    <w:p w14:paraId="176530D3" w14:textId="77777777" w:rsidR="00DD2A75" w:rsidRPr="00826E28" w:rsidRDefault="00DD2A75" w:rsidP="00A1248E">
      <w:pPr>
        <w:spacing w:after="0" w:line="276" w:lineRule="auto"/>
        <w:jc w:val="both"/>
        <w:rPr>
          <w:rFonts w:cs="Arial"/>
          <w:lang w:val="es-ES"/>
        </w:rPr>
      </w:pPr>
      <w:r w:rsidRPr="00826E28">
        <w:rPr>
          <w:rFonts w:cs="Arial"/>
          <w:lang w:val="es-ES"/>
        </w:rPr>
        <w:t xml:space="preserve">3.1 </w:t>
      </w:r>
      <w:r w:rsidRPr="00826E28">
        <w:rPr>
          <w:rFonts w:cs="Arial"/>
        </w:rPr>
        <w:t>La relación Iglesia-Estado hasta el siglo V</w:t>
      </w:r>
    </w:p>
    <w:p w14:paraId="200ED4CA" w14:textId="77777777" w:rsidR="00DD2A75" w:rsidRDefault="00DD2A75" w:rsidP="00A1248E">
      <w:pPr>
        <w:spacing w:after="0" w:line="276" w:lineRule="auto"/>
        <w:jc w:val="both"/>
        <w:rPr>
          <w:rFonts w:cs="Arial"/>
        </w:rPr>
      </w:pPr>
      <w:r w:rsidRPr="00826E28">
        <w:rPr>
          <w:rFonts w:cs="Arial"/>
          <w:lang w:val="es-ES"/>
        </w:rPr>
        <w:t xml:space="preserve">3.2 </w:t>
      </w:r>
      <w:r w:rsidRPr="00826E28">
        <w:rPr>
          <w:rFonts w:cs="Arial"/>
        </w:rPr>
        <w:t>Las controversias trinitario-cristológicas</w:t>
      </w:r>
    </w:p>
    <w:p w14:paraId="7405FD75" w14:textId="77777777" w:rsidR="00DD2A75" w:rsidRPr="001D0E70" w:rsidRDefault="00DD2A75" w:rsidP="00A1248E">
      <w:pPr>
        <w:spacing w:after="0" w:line="276" w:lineRule="auto"/>
        <w:ind w:left="720"/>
        <w:jc w:val="both"/>
        <w:rPr>
          <w:rFonts w:cs="Arial"/>
          <w:sz w:val="2"/>
          <w:lang w:val="es-ES"/>
        </w:rPr>
      </w:pPr>
    </w:p>
    <w:p w14:paraId="24D95490" w14:textId="77777777" w:rsidR="00DD2A75" w:rsidRDefault="00DD2A75" w:rsidP="00A1248E">
      <w:pPr>
        <w:pStyle w:val="Normalcontenido"/>
        <w:spacing w:line="276" w:lineRule="auto"/>
        <w:ind w:left="0" w:firstLine="0"/>
        <w:rPr>
          <w:rFonts w:asciiTheme="minorHAnsi" w:hAnsiTheme="minorHAnsi" w:cs="Arial"/>
          <w:sz w:val="22"/>
          <w:szCs w:val="22"/>
        </w:rPr>
      </w:pPr>
      <w:r w:rsidRPr="00826E28">
        <w:rPr>
          <w:rFonts w:asciiTheme="minorHAnsi" w:hAnsiTheme="minorHAnsi" w:cs="Arial"/>
          <w:sz w:val="22"/>
          <w:szCs w:val="22"/>
          <w:lang w:val="es-ES"/>
        </w:rPr>
        <w:t xml:space="preserve">3.3 </w:t>
      </w:r>
      <w:r w:rsidRPr="00826E28">
        <w:rPr>
          <w:rFonts w:asciiTheme="minorHAnsi" w:hAnsiTheme="minorHAnsi" w:cs="Arial"/>
          <w:sz w:val="22"/>
          <w:szCs w:val="22"/>
        </w:rPr>
        <w:t>La herejía como protesta social y religiosa</w:t>
      </w:r>
    </w:p>
    <w:p w14:paraId="7B6F2F7E" w14:textId="77777777" w:rsidR="00A1248E" w:rsidRPr="00826E28" w:rsidRDefault="00A1248E" w:rsidP="00A1248E">
      <w:pPr>
        <w:pStyle w:val="Normalcontenido"/>
        <w:spacing w:line="276" w:lineRule="auto"/>
        <w:ind w:left="0" w:firstLine="0"/>
        <w:rPr>
          <w:rFonts w:asciiTheme="minorHAnsi" w:hAnsiTheme="minorHAnsi" w:cs="Arial"/>
          <w:sz w:val="22"/>
          <w:szCs w:val="22"/>
        </w:rPr>
      </w:pPr>
    </w:p>
    <w:p w14:paraId="408DD0E2"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4</w:t>
      </w:r>
      <w:r w:rsidRPr="00826E28">
        <w:rPr>
          <w:rFonts w:cs="Arial"/>
          <w:b/>
          <w:lang w:val="es-ES"/>
        </w:rPr>
        <w:t>: Siglos VI al X</w:t>
      </w:r>
    </w:p>
    <w:p w14:paraId="1B934D43" w14:textId="77777777" w:rsidR="00DD2A75" w:rsidRPr="00826E28" w:rsidRDefault="00DD2A75" w:rsidP="00A1248E">
      <w:pPr>
        <w:spacing w:after="0" w:line="276" w:lineRule="auto"/>
        <w:jc w:val="both"/>
        <w:rPr>
          <w:rFonts w:cs="Arial"/>
          <w:lang w:val="es-ES"/>
        </w:rPr>
      </w:pPr>
      <w:r w:rsidRPr="00826E28">
        <w:rPr>
          <w:rFonts w:cs="Arial"/>
          <w:lang w:val="es-ES"/>
        </w:rPr>
        <w:t>4.1 La iglesia cristiana en la Alta Edad Media</w:t>
      </w:r>
    </w:p>
    <w:p w14:paraId="7D07D109" w14:textId="77777777" w:rsidR="00DD2A75" w:rsidRPr="00826E28" w:rsidRDefault="00DD2A75" w:rsidP="00A1248E">
      <w:pPr>
        <w:spacing w:after="0" w:line="276" w:lineRule="auto"/>
        <w:jc w:val="both"/>
        <w:rPr>
          <w:rFonts w:cs="Arial"/>
          <w:lang w:val="es-ES"/>
        </w:rPr>
      </w:pPr>
      <w:r w:rsidRPr="00826E28">
        <w:rPr>
          <w:rFonts w:cs="Arial"/>
          <w:lang w:val="es-ES"/>
        </w:rPr>
        <w:t>4.2 Participación de las mujeres</w:t>
      </w:r>
    </w:p>
    <w:p w14:paraId="2FEB5456" w14:textId="77777777" w:rsidR="00DD2A75" w:rsidRPr="00826E28" w:rsidRDefault="00DD2A75" w:rsidP="00A1248E">
      <w:pPr>
        <w:spacing w:after="0" w:line="276" w:lineRule="auto"/>
        <w:jc w:val="both"/>
        <w:rPr>
          <w:rFonts w:cs="Arial"/>
        </w:rPr>
      </w:pPr>
      <w:r w:rsidRPr="00826E28">
        <w:rPr>
          <w:rFonts w:cs="Arial"/>
          <w:lang w:val="es-ES"/>
        </w:rPr>
        <w:t xml:space="preserve">4.3 </w:t>
      </w:r>
      <w:r w:rsidRPr="00826E28">
        <w:rPr>
          <w:rFonts w:cs="Arial"/>
        </w:rPr>
        <w:t>El origen del papado</w:t>
      </w:r>
    </w:p>
    <w:p w14:paraId="720F29B3" w14:textId="77777777" w:rsidR="00DD2A75" w:rsidRPr="00826E28" w:rsidRDefault="00DD2A75" w:rsidP="00A1248E">
      <w:pPr>
        <w:spacing w:after="0" w:line="276" w:lineRule="auto"/>
        <w:jc w:val="both"/>
        <w:rPr>
          <w:rFonts w:cs="Arial"/>
        </w:rPr>
      </w:pPr>
      <w:r w:rsidRPr="00826E28">
        <w:rPr>
          <w:rFonts w:cs="Arial"/>
          <w:lang w:val="es-ES"/>
        </w:rPr>
        <w:t xml:space="preserve">4.4 </w:t>
      </w:r>
      <w:r w:rsidRPr="00826E28">
        <w:rPr>
          <w:rFonts w:cs="Arial"/>
        </w:rPr>
        <w:t>La división de la cristiandad</w:t>
      </w:r>
    </w:p>
    <w:p w14:paraId="4ABFBCA6" w14:textId="77777777" w:rsidR="00DD2A75" w:rsidRPr="00826E28" w:rsidRDefault="00DD2A75" w:rsidP="00A1248E">
      <w:pPr>
        <w:spacing w:after="0" w:line="276" w:lineRule="auto"/>
        <w:jc w:val="both"/>
        <w:rPr>
          <w:rFonts w:cs="Arial"/>
          <w:lang w:val="es-ES"/>
        </w:rPr>
      </w:pPr>
      <w:r w:rsidRPr="00826E28">
        <w:rPr>
          <w:rFonts w:cs="Arial"/>
          <w:lang w:val="es-ES"/>
        </w:rPr>
        <w:t>4.5 El Islam</w:t>
      </w:r>
    </w:p>
    <w:p w14:paraId="38B519A0" w14:textId="77777777" w:rsidR="00DD2A75" w:rsidRPr="00826E28" w:rsidRDefault="00DD2A75" w:rsidP="00A1248E">
      <w:pPr>
        <w:spacing w:after="0" w:line="276" w:lineRule="auto"/>
        <w:ind w:left="720"/>
        <w:jc w:val="both"/>
        <w:rPr>
          <w:rFonts w:cs="Arial"/>
          <w:lang w:val="es-ES"/>
        </w:rPr>
      </w:pPr>
    </w:p>
    <w:p w14:paraId="16A4E97E"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5</w:t>
      </w:r>
      <w:r w:rsidRPr="00826E28">
        <w:rPr>
          <w:rFonts w:cs="Arial"/>
          <w:b/>
          <w:lang w:val="es-ES"/>
        </w:rPr>
        <w:t>: Siglos XI al XIII</w:t>
      </w:r>
    </w:p>
    <w:p w14:paraId="4F9E3C7F" w14:textId="77777777" w:rsidR="00DD2A75" w:rsidRPr="00826E28" w:rsidRDefault="00DD2A75" w:rsidP="00A1248E">
      <w:pPr>
        <w:spacing w:after="0" w:line="276" w:lineRule="auto"/>
        <w:jc w:val="both"/>
        <w:rPr>
          <w:rFonts w:cs="Arial"/>
          <w:lang w:val="es-ES"/>
        </w:rPr>
      </w:pPr>
      <w:r w:rsidRPr="00826E28">
        <w:rPr>
          <w:rFonts w:cs="Arial"/>
          <w:lang w:val="es-ES"/>
        </w:rPr>
        <w:t>5.1 Condiciones en la baja edad media</w:t>
      </w:r>
    </w:p>
    <w:p w14:paraId="0483B70C" w14:textId="77777777" w:rsidR="00DD2A75" w:rsidRPr="00826E28" w:rsidRDefault="00DD2A75" w:rsidP="00A1248E">
      <w:pPr>
        <w:spacing w:after="0" w:line="276" w:lineRule="auto"/>
        <w:jc w:val="both"/>
        <w:rPr>
          <w:rFonts w:cs="Arial"/>
        </w:rPr>
      </w:pPr>
      <w:r w:rsidRPr="00826E28">
        <w:rPr>
          <w:rFonts w:cs="Arial"/>
          <w:lang w:val="es-ES"/>
        </w:rPr>
        <w:t>5.2 Herejía</w:t>
      </w:r>
      <w:r w:rsidRPr="00826E28">
        <w:rPr>
          <w:rFonts w:cs="Arial"/>
        </w:rPr>
        <w:t xml:space="preserve"> y sociedad a partir del siglo XI</w:t>
      </w:r>
    </w:p>
    <w:p w14:paraId="4C11F1D8" w14:textId="77777777" w:rsidR="00DD2A75" w:rsidRPr="00826E28" w:rsidRDefault="00DD2A75" w:rsidP="00A1248E">
      <w:pPr>
        <w:spacing w:after="0" w:line="276" w:lineRule="auto"/>
        <w:jc w:val="both"/>
        <w:rPr>
          <w:rFonts w:cs="Arial"/>
          <w:lang w:val="es-ES"/>
        </w:rPr>
      </w:pPr>
      <w:r w:rsidRPr="00826E28">
        <w:rPr>
          <w:rFonts w:cs="Arial"/>
          <w:lang w:val="es-ES"/>
        </w:rPr>
        <w:t>5.3 Cruzadas y Reconquista</w:t>
      </w:r>
    </w:p>
    <w:p w14:paraId="6777C4EE" w14:textId="77777777" w:rsidR="00DD2A75" w:rsidRPr="00826E28" w:rsidRDefault="00DD2A75" w:rsidP="00A1248E">
      <w:pPr>
        <w:spacing w:after="0" w:line="276" w:lineRule="auto"/>
        <w:ind w:left="720"/>
        <w:jc w:val="both"/>
        <w:rPr>
          <w:rFonts w:cs="Arial"/>
          <w:b/>
          <w:lang w:val="es-ES"/>
        </w:rPr>
      </w:pPr>
    </w:p>
    <w:p w14:paraId="78CADA04" w14:textId="77777777" w:rsidR="00DD2A75" w:rsidRPr="00826E28" w:rsidRDefault="00DD2A75" w:rsidP="00A1248E">
      <w:pPr>
        <w:spacing w:after="0" w:line="276" w:lineRule="auto"/>
        <w:jc w:val="both"/>
        <w:rPr>
          <w:rFonts w:cs="Arial"/>
          <w:b/>
          <w:lang w:val="es-ES"/>
        </w:rPr>
      </w:pPr>
      <w:r w:rsidRPr="00826E28">
        <w:rPr>
          <w:rFonts w:cs="Arial"/>
          <w:b/>
          <w:lang w:val="es-ES"/>
        </w:rPr>
        <w:t xml:space="preserve">Unidad </w:t>
      </w:r>
      <w:r>
        <w:rPr>
          <w:rFonts w:cs="Arial"/>
          <w:b/>
          <w:lang w:val="es-ES"/>
        </w:rPr>
        <w:t>6</w:t>
      </w:r>
      <w:r w:rsidRPr="00826E28">
        <w:rPr>
          <w:rFonts w:cs="Arial"/>
          <w:b/>
          <w:lang w:val="es-ES"/>
        </w:rPr>
        <w:t>: Siglos XIV y XV</w:t>
      </w:r>
    </w:p>
    <w:p w14:paraId="191AB973" w14:textId="77777777" w:rsidR="00DD2A75" w:rsidRPr="00826E28" w:rsidRDefault="00DD2A75" w:rsidP="00A1248E">
      <w:pPr>
        <w:spacing w:after="0" w:line="276" w:lineRule="auto"/>
        <w:jc w:val="both"/>
        <w:rPr>
          <w:rFonts w:cs="Arial"/>
          <w:lang w:val="es-ES"/>
        </w:rPr>
      </w:pPr>
      <w:r w:rsidRPr="00826E28">
        <w:rPr>
          <w:rFonts w:cs="Arial"/>
          <w:lang w:val="es-ES"/>
        </w:rPr>
        <w:t>6.1 La crisis de la Edad Media y los cambios sociales</w:t>
      </w:r>
    </w:p>
    <w:p w14:paraId="31493D21" w14:textId="77777777" w:rsidR="00DD2A75" w:rsidRDefault="00DD2A75" w:rsidP="00A1248E">
      <w:pPr>
        <w:spacing w:after="0" w:line="276" w:lineRule="auto"/>
        <w:jc w:val="both"/>
        <w:rPr>
          <w:rFonts w:cs="Arial"/>
        </w:rPr>
      </w:pPr>
      <w:r w:rsidRPr="00826E28">
        <w:rPr>
          <w:rFonts w:cs="Arial"/>
          <w:lang w:val="es-ES"/>
        </w:rPr>
        <w:t xml:space="preserve">6.2 </w:t>
      </w:r>
      <w:r w:rsidRPr="00826E28">
        <w:rPr>
          <w:rFonts w:cs="Arial"/>
        </w:rPr>
        <w:t>Movimientos de protesta</w:t>
      </w:r>
    </w:p>
    <w:p w14:paraId="61BAF859" w14:textId="77777777" w:rsidR="00DD2A75" w:rsidRPr="00826E28" w:rsidRDefault="00DD2A75" w:rsidP="00A1248E">
      <w:pPr>
        <w:spacing w:after="0" w:line="276" w:lineRule="auto"/>
        <w:jc w:val="both"/>
        <w:rPr>
          <w:rFonts w:cs="Arial"/>
        </w:rPr>
      </w:pPr>
      <w:r>
        <w:rPr>
          <w:rFonts w:cs="Arial"/>
        </w:rPr>
        <w:t>6.3 Conclusión</w:t>
      </w:r>
    </w:p>
    <w:p w14:paraId="5CD6549C" w14:textId="77777777" w:rsidR="00DD2A75" w:rsidRDefault="00DD2A75" w:rsidP="00DD2A75">
      <w:pPr>
        <w:pStyle w:val="Listavistosa-nfasis11"/>
        <w:autoSpaceDE w:val="0"/>
        <w:autoSpaceDN w:val="0"/>
        <w:adjustRightInd w:val="0"/>
        <w:spacing w:after="0" w:line="240" w:lineRule="auto"/>
        <w:ind w:left="0"/>
        <w:jc w:val="both"/>
        <w:rPr>
          <w:rFonts w:asciiTheme="minorHAnsi" w:eastAsia="Times New Roman" w:hAnsiTheme="minorHAnsi" w:cs="Arial"/>
          <w:color w:val="000000" w:themeColor="text1"/>
          <w:lang w:val="es-ES_tradnl" w:eastAsia="es-CR"/>
        </w:rPr>
      </w:pPr>
    </w:p>
    <w:p w14:paraId="2578BC31" w14:textId="77777777" w:rsidR="00DD2A75" w:rsidRPr="00826E28" w:rsidRDefault="00DD2A75" w:rsidP="00DD2A75">
      <w:pPr>
        <w:pStyle w:val="Listavistosa-nfasis11"/>
        <w:autoSpaceDE w:val="0"/>
        <w:autoSpaceDN w:val="0"/>
        <w:adjustRightInd w:val="0"/>
        <w:spacing w:after="0" w:line="240" w:lineRule="auto"/>
        <w:ind w:left="0"/>
        <w:jc w:val="both"/>
        <w:rPr>
          <w:rFonts w:asciiTheme="minorHAnsi" w:hAnsiTheme="minorHAnsi" w:cs="Arial"/>
          <w:b/>
          <w:bCs/>
          <w:color w:val="000000" w:themeColor="text1"/>
        </w:rPr>
      </w:pPr>
      <w:r w:rsidRPr="00826E28">
        <w:rPr>
          <w:rFonts w:asciiTheme="minorHAnsi" w:hAnsiTheme="minorHAnsi" w:cs="Arial"/>
          <w:b/>
          <w:bCs/>
          <w:color w:val="000000" w:themeColor="text1"/>
        </w:rPr>
        <w:t>V.</w:t>
      </w:r>
      <w:r w:rsidRPr="00826E28">
        <w:rPr>
          <w:rFonts w:asciiTheme="minorHAnsi" w:eastAsia="Times New Roman" w:hAnsiTheme="minorHAnsi" w:cs="Arial"/>
          <w:color w:val="000000" w:themeColor="text1"/>
          <w:lang w:val="es-ES_tradnl" w:eastAsia="es-CR"/>
        </w:rPr>
        <w:t xml:space="preserve"> </w:t>
      </w:r>
      <w:r w:rsidRPr="00826E28">
        <w:rPr>
          <w:rFonts w:asciiTheme="minorHAnsi" w:hAnsiTheme="minorHAnsi" w:cs="Arial"/>
          <w:b/>
          <w:bCs/>
          <w:color w:val="000000" w:themeColor="text1"/>
        </w:rPr>
        <w:t>Metodología</w:t>
      </w:r>
    </w:p>
    <w:p w14:paraId="23D85D46" w14:textId="77777777" w:rsidR="00DD2A75" w:rsidRDefault="00DD2A75" w:rsidP="00DD2A75">
      <w:pPr>
        <w:jc w:val="both"/>
        <w:rPr>
          <w:rFonts w:cs="Arial"/>
          <w:b/>
          <w:bCs/>
          <w:color w:val="000000" w:themeColor="text1"/>
        </w:rPr>
      </w:pPr>
    </w:p>
    <w:p w14:paraId="3E7F061F" w14:textId="77777777" w:rsidR="00DD2A75" w:rsidRPr="003D3909" w:rsidRDefault="00DD2A75" w:rsidP="00DD2A75">
      <w:pPr>
        <w:jc w:val="both"/>
        <w:rPr>
          <w:rFonts w:cs="Arial"/>
          <w:bCs/>
          <w:color w:val="000000" w:themeColor="text1"/>
        </w:rPr>
      </w:pPr>
      <w:r>
        <w:rPr>
          <w:rFonts w:cstheme="minorHAnsi"/>
          <w:color w:val="000000" w:themeColor="text1"/>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58F47835" w14:textId="77777777" w:rsidR="00DD2A75" w:rsidRDefault="00DD2A75" w:rsidP="00DD2A75">
      <w:pPr>
        <w:jc w:val="both"/>
        <w:rPr>
          <w:rFonts w:cs="Arial"/>
          <w:bCs/>
          <w:color w:val="000000" w:themeColor="text1"/>
        </w:rPr>
      </w:pPr>
      <w:r>
        <w:rPr>
          <w:rFonts w:cs="Arial"/>
          <w:bCs/>
          <w:color w:val="000000" w:themeColor="text1"/>
        </w:rPr>
        <w:t xml:space="preserve">El curso es de naturaleza teórica. Es un curso introductorio que combina una comprensión básica con los primeros pasos para hacer un análisis de eventos históricos. Por un lado, se busca construir colectivamente un conocimiento básico del desarrollo de la Iglesia en sus primeros quince siglos, a través del compartir resúmenes de lecturas de trasfondo que presentan un panorama histórico general. Con los resúmenes se busca desarrollar la destreza de seleccionar y resumir información y presentarla en una forma clara y concisa en formato digital. La persona docente seleccionará las </w:t>
      </w:r>
      <w:r>
        <w:rPr>
          <w:rFonts w:cs="Arial"/>
          <w:bCs/>
          <w:color w:val="000000" w:themeColor="text1"/>
        </w:rPr>
        <w:lastRenderedPageBreak/>
        <w:t xml:space="preserve">lecturas y guiará el proceso de la entrega de los resúmenes en el aula virtual, resaltando los aspectos importantes de los contextos sociales y el desarrollo de comunidades cristianas. Este conocimiento básico de la historia de la Iglesia es fundamental para los estudios de teología. La monografía final es una oportunidad de profundizar la comprensión de un evento específico o un personaje que fue importante en la historia de la Iglesia. </w:t>
      </w:r>
    </w:p>
    <w:p w14:paraId="65F3CE40" w14:textId="77777777" w:rsidR="00DD2A75" w:rsidRDefault="00DD2A75" w:rsidP="00DD2A75">
      <w:pPr>
        <w:jc w:val="both"/>
        <w:rPr>
          <w:rFonts w:cs="Arial"/>
          <w:bCs/>
          <w:color w:val="000000" w:themeColor="text1"/>
        </w:rPr>
      </w:pPr>
      <w:r>
        <w:rPr>
          <w:rFonts w:cs="Arial"/>
          <w:bCs/>
          <w:color w:val="000000" w:themeColor="text1"/>
        </w:rPr>
        <w:t xml:space="preserve">Por otro lado, los criterios para el análisis de la relación entre los discursos teológicos de las comunidades cristianas y sus contextos históricos vendrán de las exposiciones, en los encuentros sincrónicos virtuales, de las lecturas de análisis que presentan distintos acercamientos historiográficos. </w:t>
      </w:r>
      <w:r w:rsidRPr="00635D84">
        <w:rPr>
          <w:rFonts w:cs="Arial"/>
          <w:bCs/>
          <w:color w:val="000000" w:themeColor="text1"/>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r>
        <w:rPr>
          <w:rFonts w:cs="Arial"/>
          <w:bCs/>
          <w:color w:val="000000" w:themeColor="text1"/>
        </w:rPr>
        <w:t xml:space="preserve"> Otra vez, la persona docente seleccionará las lecturas y guiará el proceso de las exposiciones en el aula virtual. En trabajos grupales en el aula virtual, los y las participantes estudiarán fuentes primarias con la orientación de la persona docente para conocer y analizar las posturas de las comunidades cristianas del pasado. Otro tipo de trabajos grupales en el aula virtual como el sociodrama y los debates guiados por la persona docente permiten a los y las participantes apropiarse del nuevo conocimiento a nivel intelectual como afectivo. </w:t>
      </w:r>
    </w:p>
    <w:p w14:paraId="05044915" w14:textId="563BE787" w:rsidR="00DD2A75" w:rsidRDefault="00DD2A75" w:rsidP="00DD2A75">
      <w:pPr>
        <w:jc w:val="both"/>
        <w:rPr>
          <w:rFonts w:cs="Arial"/>
          <w:bCs/>
          <w:color w:val="000000" w:themeColor="text1"/>
        </w:rPr>
      </w:pPr>
      <w:r>
        <w:rPr>
          <w:rFonts w:cs="Arial"/>
          <w:bCs/>
          <w:color w:val="000000" w:themeColor="text1"/>
        </w:rPr>
        <w:t>l inicio del curso se pedirá a los y las estudiantes reflexionar sobre su experiencia de estudiar la historia en el pasado y las actitudes hacia la historia que se manifiestan en las iglesias. A través del debate inicial y el ejercicio grupal guiado por la persona docente, los y las participantes podrán definir su propia ubicación histórica. Al final del curso, las y los participantes compartirán sus reflexiones finales sobre la importancia de la historia en la vida de las iglesias en un foro de discusión virtual.</w:t>
      </w:r>
    </w:p>
    <w:p w14:paraId="10745FE8" w14:textId="77777777" w:rsidR="00DD2A75" w:rsidRPr="00826E28" w:rsidRDefault="00DD2A75" w:rsidP="00DD2A75">
      <w:pPr>
        <w:jc w:val="both"/>
        <w:rPr>
          <w:rFonts w:cs="Arial"/>
          <w:b/>
          <w:bCs/>
          <w:color w:val="000000" w:themeColor="text1"/>
        </w:rPr>
      </w:pPr>
    </w:p>
    <w:p w14:paraId="5B900060" w14:textId="77777777" w:rsidR="00DD2A75" w:rsidRPr="00826E28" w:rsidRDefault="00DD2A75" w:rsidP="00DD2A75">
      <w:pPr>
        <w:jc w:val="both"/>
        <w:rPr>
          <w:rFonts w:cs="Arial"/>
          <w:bCs/>
          <w:color w:val="000000" w:themeColor="text1"/>
        </w:rPr>
      </w:pPr>
      <w:r w:rsidRPr="00826E28">
        <w:rPr>
          <w:rFonts w:cs="Arial"/>
          <w:b/>
          <w:bCs/>
          <w:color w:val="000000" w:themeColor="text1"/>
        </w:rPr>
        <w:t>VI.</w:t>
      </w:r>
      <w:r>
        <w:rPr>
          <w:rFonts w:cs="Arial"/>
          <w:b/>
          <w:bCs/>
          <w:color w:val="000000" w:themeColor="text1"/>
        </w:rPr>
        <w:t xml:space="preserve"> </w:t>
      </w:r>
      <w:r w:rsidRPr="00826E28">
        <w:rPr>
          <w:rFonts w:cs="Arial"/>
          <w:b/>
          <w:bCs/>
          <w:color w:val="000000" w:themeColor="text1"/>
        </w:rPr>
        <w:t>E</w:t>
      </w:r>
      <w:r>
        <w:rPr>
          <w:rFonts w:cs="Arial"/>
          <w:b/>
          <w:bCs/>
          <w:color w:val="000000" w:themeColor="text1"/>
        </w:rPr>
        <w:t>strategias</w:t>
      </w:r>
      <w:r w:rsidRPr="00826E28">
        <w:rPr>
          <w:rFonts w:cs="Arial"/>
          <w:b/>
          <w:bCs/>
          <w:color w:val="000000" w:themeColor="text1"/>
        </w:rPr>
        <w:t xml:space="preserve"> de aprendizaje </w:t>
      </w:r>
    </w:p>
    <w:p w14:paraId="3E6B4C73" w14:textId="77777777" w:rsidR="00DD2A75" w:rsidRDefault="00DD2A75" w:rsidP="00DD2A75">
      <w:pPr>
        <w:jc w:val="both"/>
        <w:rPr>
          <w:rFonts w:cs="Arial"/>
          <w:bCs/>
          <w:color w:val="000000" w:themeColor="text1"/>
        </w:rPr>
      </w:pPr>
      <w:r w:rsidRPr="007775E8">
        <w:rPr>
          <w:rFonts w:cs="Arial"/>
          <w:bCs/>
          <w:color w:val="000000" w:themeColor="text1"/>
        </w:rPr>
        <w:t>El propósito del aprendizaje en este curso co</w:t>
      </w:r>
      <w:r>
        <w:rPr>
          <w:rFonts w:cs="Arial"/>
          <w:bCs/>
          <w:color w:val="000000" w:themeColor="text1"/>
        </w:rPr>
        <w:t>mprende</w:t>
      </w:r>
      <w:r w:rsidRPr="007775E8">
        <w:rPr>
          <w:rFonts w:cs="Arial"/>
          <w:bCs/>
          <w:color w:val="000000" w:themeColor="text1"/>
        </w:rPr>
        <w:t xml:space="preserve"> que las personas estudiantes comprendan la historia de la Iglesia desde sus orígenes hasta los tiempos que facilitan las condiciones para que se dé la Reforma Luterana en el Siglo XVI, con el fin de que puedan </w:t>
      </w:r>
      <w:r>
        <w:rPr>
          <w:rFonts w:cs="Arial"/>
          <w:bCs/>
          <w:color w:val="000000" w:themeColor="text1"/>
        </w:rPr>
        <w:t>i</w:t>
      </w:r>
      <w:r w:rsidRPr="007775E8">
        <w:rPr>
          <w:rFonts w:cs="Arial"/>
          <w:bCs/>
          <w:color w:val="000000" w:themeColor="text1"/>
        </w:rPr>
        <w:t>dentificar y analizar las discusiones teológicas que generaron distintas escuelas del pensamiento cristiano.</w:t>
      </w:r>
    </w:p>
    <w:p w14:paraId="3560AEFF" w14:textId="77777777" w:rsidR="00DD2A75" w:rsidRDefault="00DD2A75" w:rsidP="00DD2A75">
      <w:pPr>
        <w:jc w:val="both"/>
        <w:rPr>
          <w:rFonts w:cs="Arial"/>
          <w:bCs/>
          <w:color w:val="000000" w:themeColor="text1"/>
        </w:rPr>
      </w:pPr>
      <w:r>
        <w:rPr>
          <w:rFonts w:cs="Arial"/>
          <w:bCs/>
          <w:color w:val="000000" w:themeColor="text1"/>
        </w:rPr>
        <w:t>Se utilizan las siguientes estrategias de aprendizaje:</w:t>
      </w:r>
    </w:p>
    <w:p w14:paraId="59263098" w14:textId="77777777" w:rsidR="00DD2A75" w:rsidRPr="00063544" w:rsidRDefault="00DD2A75" w:rsidP="00DD2A75">
      <w:pPr>
        <w:jc w:val="both"/>
        <w:rPr>
          <w:rFonts w:cstheme="minorHAnsi"/>
          <w:bCs/>
          <w:color w:val="000000" w:themeColor="text1"/>
        </w:rPr>
      </w:pPr>
      <w:r>
        <w:rPr>
          <w:rFonts w:cstheme="minorHAnsi"/>
          <w:b/>
          <w:color w:val="000000" w:themeColor="text1"/>
        </w:rPr>
        <w:t xml:space="preserve">a) Foro: </w:t>
      </w:r>
      <w:bookmarkStart w:id="21" w:name="_Hlk118815391"/>
      <w:bookmarkStart w:id="22" w:name="_Hlk118821316"/>
      <w:r w:rsidRPr="00063544">
        <w:rPr>
          <w:rFonts w:ascii="Calibri" w:eastAsia="Calibri" w:hAnsi="Calibri" w:cs="Calibri"/>
          <w:bCs/>
        </w:rPr>
        <w:t xml:space="preserve">Con el propósito de proveer experiencias de aprendizaje </w:t>
      </w:r>
      <w:r>
        <w:rPr>
          <w:rFonts w:ascii="Calibri" w:eastAsia="Calibri" w:hAnsi="Calibri" w:cs="Calibri"/>
          <w:bCs/>
        </w:rPr>
        <w:t>interactivo y</w:t>
      </w:r>
      <w:r w:rsidRPr="00063544">
        <w:rPr>
          <w:rFonts w:ascii="Calibri" w:eastAsia="Calibri" w:hAnsi="Calibri" w:cs="Calibri"/>
          <w:bCs/>
        </w:rPr>
        <w:t xml:space="preserve"> colaborativ</w:t>
      </w:r>
      <w:r>
        <w:rPr>
          <w:rFonts w:ascii="Calibri" w:eastAsia="Calibri" w:hAnsi="Calibri" w:cs="Calibri"/>
          <w:bCs/>
        </w:rPr>
        <w:t>o</w:t>
      </w:r>
      <w:r w:rsidRPr="00063544">
        <w:rPr>
          <w:rFonts w:ascii="Calibri" w:eastAsia="Calibri" w:hAnsi="Calibri" w:cs="Calibri"/>
          <w:bCs/>
        </w:rPr>
        <w:t>, los foros temáticos buscan</w:t>
      </w:r>
      <w:r>
        <w:rPr>
          <w:rFonts w:ascii="Calibri" w:eastAsia="Calibri" w:hAnsi="Calibri" w:cs="Calibri"/>
          <w:bCs/>
        </w:rPr>
        <w:t xml:space="preserve"> la participación de los y las estudiantes</w:t>
      </w:r>
      <w:r w:rsidRPr="00063544">
        <w:rPr>
          <w:rFonts w:ascii="Calibri" w:eastAsia="Calibri" w:hAnsi="Calibri" w:cs="Calibri"/>
          <w:bCs/>
        </w:rPr>
        <w:t xml:space="preserve"> con base en las lecturas asignadas</w:t>
      </w:r>
      <w:bookmarkEnd w:id="21"/>
      <w:r>
        <w:rPr>
          <w:rFonts w:ascii="Calibri" w:eastAsia="Calibri" w:hAnsi="Calibri" w:cs="Calibri"/>
          <w:bCs/>
        </w:rPr>
        <w:t xml:space="preserve"> para</w:t>
      </w:r>
      <w:r w:rsidRPr="00063544">
        <w:rPr>
          <w:rFonts w:ascii="Calibri" w:eastAsia="Calibri" w:hAnsi="Calibri" w:cs="Calibri"/>
          <w:bCs/>
        </w:rPr>
        <w:t xml:space="preserve"> el debate y la discusión grupal. </w:t>
      </w:r>
      <w:bookmarkEnd w:id="22"/>
      <w:r w:rsidRPr="00063544">
        <w:rPr>
          <w:rFonts w:ascii="Calibri" w:eastAsia="Calibri" w:hAnsi="Calibri"/>
          <w:lang w:val="es-MX"/>
        </w:rPr>
        <w:t xml:space="preserve">En este curso esta estrategia se utilizará </w:t>
      </w:r>
      <w:r>
        <w:rPr>
          <w:rFonts w:ascii="Calibri" w:eastAsia="Calibri" w:hAnsi="Calibri"/>
          <w:lang w:val="es-MX"/>
        </w:rPr>
        <w:t>abordando</w:t>
      </w:r>
      <w:r w:rsidRPr="00063544">
        <w:rPr>
          <w:rFonts w:ascii="Calibri" w:eastAsia="Calibri" w:hAnsi="Calibri"/>
          <w:iCs/>
        </w:rPr>
        <w:t xml:space="preserve"> a la luz de las lecturas temas de debate tales como: </w:t>
      </w:r>
      <w:r>
        <w:rPr>
          <w:rFonts w:ascii="Calibri" w:eastAsia="Calibri" w:hAnsi="Calibri"/>
          <w:iCs/>
        </w:rPr>
        <w:t>u</w:t>
      </w:r>
      <w:r w:rsidRPr="00063544">
        <w:rPr>
          <w:rFonts w:ascii="Calibri" w:eastAsia="Calibri" w:hAnsi="Calibri"/>
          <w:iCs/>
        </w:rPr>
        <w:t xml:space="preserve">bicación histórica, tipos de fuentes y de citas, </w:t>
      </w:r>
      <w:r>
        <w:rPr>
          <w:rFonts w:ascii="Calibri" w:eastAsia="Calibri" w:hAnsi="Calibri"/>
          <w:iCs/>
        </w:rPr>
        <w:t>f</w:t>
      </w:r>
      <w:r w:rsidRPr="00063544">
        <w:rPr>
          <w:rFonts w:ascii="Calibri" w:eastAsia="Calibri" w:hAnsi="Calibri"/>
          <w:iCs/>
        </w:rPr>
        <w:t xml:space="preserve">uentes para el estudio de las primeras comunidades cristianas, </w:t>
      </w:r>
      <w:r>
        <w:rPr>
          <w:rFonts w:ascii="Calibri" w:eastAsia="Calibri" w:hAnsi="Calibri"/>
          <w:iCs/>
        </w:rPr>
        <w:t>o</w:t>
      </w:r>
      <w:r w:rsidRPr="00063544">
        <w:rPr>
          <w:rFonts w:ascii="Calibri" w:eastAsia="Calibri" w:hAnsi="Calibri"/>
          <w:iCs/>
        </w:rPr>
        <w:t>pciones para entender la relación entre evangelio y cultura hoy y lecturas del Corán</w:t>
      </w:r>
      <w:r>
        <w:rPr>
          <w:rFonts w:ascii="Calibri" w:eastAsia="Calibri" w:hAnsi="Calibri"/>
          <w:iCs/>
        </w:rPr>
        <w:t>,</w:t>
      </w:r>
      <w:r w:rsidRPr="00063544">
        <w:rPr>
          <w:rFonts w:ascii="Calibri" w:eastAsia="Calibri" w:hAnsi="Calibri"/>
          <w:iCs/>
        </w:rPr>
        <w:t xml:space="preserve"> entre otros temas claves de debate en el curso.</w:t>
      </w:r>
    </w:p>
    <w:p w14:paraId="29232DC2" w14:textId="77777777" w:rsidR="00DD2A75" w:rsidRPr="00EA6CFE" w:rsidRDefault="00DD2A75" w:rsidP="00DD2A75">
      <w:pPr>
        <w:jc w:val="both"/>
        <w:rPr>
          <w:rFonts w:ascii="Calibri" w:eastAsia="Calibri" w:hAnsi="Calibri" w:cs="Calibri"/>
          <w:bCs/>
        </w:rPr>
      </w:pPr>
      <w:r>
        <w:rPr>
          <w:rFonts w:cstheme="minorHAnsi"/>
          <w:b/>
          <w:color w:val="000000" w:themeColor="text1"/>
        </w:rPr>
        <w:t xml:space="preserve">b) Encuentro sincrónico virtual: </w:t>
      </w:r>
      <w:bookmarkStart w:id="23" w:name="_Hlk118815460"/>
      <w:r w:rsidRPr="00E42DBD">
        <w:rPr>
          <w:rFonts w:ascii="Calibri" w:eastAsia="Calibri" w:hAnsi="Calibri" w:cs="Calibri"/>
          <w:bCs/>
        </w:rPr>
        <w:t xml:space="preserve">Los encuentros sincrónicos virtuales </w:t>
      </w:r>
      <w:r>
        <w:rPr>
          <w:rFonts w:ascii="Calibri" w:eastAsia="Calibri" w:hAnsi="Calibri" w:cs="Calibri"/>
          <w:bCs/>
        </w:rPr>
        <w:t>permiten el encuentro entre estudiantes y la persona docente</w:t>
      </w:r>
      <w:r w:rsidRPr="00E42DBD">
        <w:rPr>
          <w:rFonts w:ascii="Calibri" w:eastAsia="Calibri" w:hAnsi="Calibri" w:cs="Calibri"/>
          <w:bCs/>
        </w:rPr>
        <w:t>.</w:t>
      </w:r>
      <w:bookmarkEnd w:id="23"/>
      <w:r>
        <w:rPr>
          <w:rFonts w:ascii="Calibri" w:eastAsia="Calibri" w:hAnsi="Calibri" w:cs="Calibri"/>
          <w:bCs/>
        </w:rPr>
        <w:t xml:space="preserve"> En este espacio los y las estudiantes realicen sus exposiciones </w:t>
      </w:r>
      <w:r>
        <w:rPr>
          <w:rFonts w:ascii="Calibri" w:eastAsia="Calibri" w:hAnsi="Calibri" w:cs="Calibri"/>
          <w:bCs/>
        </w:rPr>
        <w:lastRenderedPageBreak/>
        <w:t xml:space="preserve">individuales sobre lecturas de análisis. A su vez, la participación de la persona docente contribuirá retroalimentando los aportes compartidos en cada una de las exposiciones. Tienen un valor formativo. </w:t>
      </w:r>
    </w:p>
    <w:p w14:paraId="459F2C97" w14:textId="77777777" w:rsidR="00DD2A75" w:rsidRPr="00354F60" w:rsidRDefault="00DD2A75" w:rsidP="00DD2A75">
      <w:pPr>
        <w:jc w:val="both"/>
        <w:rPr>
          <w:rFonts w:cs="Calibri"/>
          <w:bCs/>
          <w:color w:val="C00000"/>
        </w:rPr>
      </w:pPr>
      <w:r>
        <w:rPr>
          <w:rFonts w:cstheme="minorHAnsi"/>
          <w:b/>
          <w:color w:val="000000" w:themeColor="text1"/>
        </w:rPr>
        <w:t xml:space="preserve">c) Wiki: </w:t>
      </w:r>
      <w:r>
        <w:rPr>
          <w:rFonts w:cstheme="minorHAnsi"/>
          <w:bCs/>
          <w:color w:val="000000" w:themeColor="text1"/>
        </w:rPr>
        <w:t xml:space="preserve">El wiki funciona </w:t>
      </w:r>
      <w:r w:rsidRPr="00273A1C">
        <w:rPr>
          <w:rFonts w:ascii="Calibri" w:eastAsia="Calibri" w:hAnsi="Calibri" w:cs="Calibri"/>
          <w:bCs/>
        </w:rPr>
        <w:t xml:space="preserve">mediante la creación de páginas </w:t>
      </w:r>
      <w:r>
        <w:rPr>
          <w:rFonts w:ascii="Calibri" w:eastAsia="Calibri" w:hAnsi="Calibri" w:cs="Calibri"/>
          <w:bCs/>
        </w:rPr>
        <w:t xml:space="preserve">digitales </w:t>
      </w:r>
      <w:r w:rsidRPr="00273A1C">
        <w:rPr>
          <w:rFonts w:ascii="Calibri" w:eastAsia="Calibri" w:hAnsi="Calibri" w:cs="Calibri"/>
          <w:bCs/>
        </w:rPr>
        <w:t>que pueden ser editadas por varios participantes a través de la plataforma Moodle</w:t>
      </w:r>
      <w:r>
        <w:rPr>
          <w:rFonts w:ascii="Calibri" w:eastAsia="Calibri" w:hAnsi="Calibri" w:cs="Calibri"/>
          <w:bCs/>
        </w:rPr>
        <w:t>, de esta forma es posible obtener una especie de</w:t>
      </w:r>
      <w:r w:rsidRPr="00273A1C">
        <w:rPr>
          <w:rFonts w:ascii="Calibri" w:eastAsia="Calibri" w:hAnsi="Calibri" w:cs="Calibri"/>
          <w:bCs/>
        </w:rPr>
        <w:t xml:space="preserve"> catálogo de documentos web creados y editados en forma colaborativa. En </w:t>
      </w:r>
      <w:r w:rsidRPr="00273A1C">
        <w:rPr>
          <w:rFonts w:eastAsia="Calibri" w:cstheme="minorHAnsi"/>
          <w:bCs/>
        </w:rPr>
        <w:t xml:space="preserve">este curso el </w:t>
      </w:r>
      <w:r>
        <w:rPr>
          <w:rFonts w:eastAsia="Calibri" w:cstheme="minorHAnsi"/>
          <w:bCs/>
        </w:rPr>
        <w:t>desarrollo del w</w:t>
      </w:r>
      <w:r w:rsidRPr="00273A1C">
        <w:rPr>
          <w:rFonts w:eastAsia="Calibri" w:cstheme="minorHAnsi"/>
          <w:bCs/>
        </w:rPr>
        <w:t>iki trata sobre el Concilio de Nicea.</w:t>
      </w:r>
    </w:p>
    <w:p w14:paraId="3BB9468E" w14:textId="77777777" w:rsidR="00DD2A75" w:rsidRPr="000D3454" w:rsidRDefault="00DD2A75" w:rsidP="00DD2A75">
      <w:pPr>
        <w:jc w:val="both"/>
        <w:rPr>
          <w:rFonts w:cstheme="minorHAnsi"/>
          <w:bCs/>
          <w:color w:val="000000" w:themeColor="text1"/>
        </w:rPr>
      </w:pPr>
      <w:r>
        <w:rPr>
          <w:rFonts w:cstheme="minorHAnsi"/>
          <w:b/>
          <w:color w:val="000000" w:themeColor="text1"/>
        </w:rPr>
        <w:t xml:space="preserve">d) Resumen de lectura: </w:t>
      </w:r>
      <w:r w:rsidRPr="000D3454">
        <w:rPr>
          <w:rFonts w:cstheme="minorHAnsi"/>
          <w:bCs/>
          <w:color w:val="000000" w:themeColor="text1"/>
        </w:rPr>
        <w:t xml:space="preserve">Un resumen de lectura es un escrito de carácter informativo que tiene como propósito principal presentar una síntesis de los contenidos que el autor o la autora del texto original transmitió a través del escrito. Esto ayudará a facilitar la comprensión de los contenidos por medio de la síntesis de la información que </w:t>
      </w:r>
      <w:r>
        <w:rPr>
          <w:rFonts w:cstheme="minorHAnsi"/>
          <w:bCs/>
          <w:color w:val="000000" w:themeColor="text1"/>
        </w:rPr>
        <w:t>contienen</w:t>
      </w:r>
      <w:r w:rsidRPr="000D3454">
        <w:rPr>
          <w:rFonts w:cstheme="minorHAnsi"/>
          <w:bCs/>
          <w:color w:val="000000" w:themeColor="text1"/>
        </w:rPr>
        <w:t xml:space="preserve"> las lecturas que la persona docente asigna para leer. En ese curso se solicitan resúmenes de </w:t>
      </w:r>
      <w:r w:rsidRPr="00D865FB">
        <w:rPr>
          <w:rFonts w:cstheme="minorHAnsi"/>
          <w:bCs/>
        </w:rPr>
        <w:t xml:space="preserve">lectura </w:t>
      </w:r>
      <w:r>
        <w:rPr>
          <w:rFonts w:cstheme="minorHAnsi"/>
          <w:bCs/>
        </w:rPr>
        <w:t xml:space="preserve">sobre temas </w:t>
      </w:r>
      <w:r w:rsidRPr="00D865FB">
        <w:rPr>
          <w:rFonts w:cs="Arial"/>
          <w:iCs/>
        </w:rPr>
        <w:t>como: la iglesia de Jerusalén, ser cristiano en los primeros siglos, el impacto de Constantino, el donatismo, el papado, la reforma monástica y la crisis de la edad media y los cambios sociales</w:t>
      </w:r>
      <w:r>
        <w:rPr>
          <w:rFonts w:cs="Arial"/>
          <w:iCs/>
        </w:rPr>
        <w:t>,</w:t>
      </w:r>
      <w:r w:rsidRPr="00D865FB">
        <w:rPr>
          <w:rFonts w:cs="Arial"/>
          <w:iCs/>
        </w:rPr>
        <w:t xml:space="preserve"> entre varios.</w:t>
      </w:r>
    </w:p>
    <w:p w14:paraId="4DD47B45" w14:textId="77777777" w:rsidR="00DD2A75" w:rsidRPr="00F858F1" w:rsidRDefault="00DD2A75" w:rsidP="00DD2A75">
      <w:pPr>
        <w:jc w:val="both"/>
        <w:rPr>
          <w:rFonts w:cstheme="minorHAnsi"/>
          <w:bCs/>
          <w:color w:val="000000" w:themeColor="text1"/>
        </w:rPr>
      </w:pPr>
      <w:r>
        <w:rPr>
          <w:rFonts w:cstheme="minorHAnsi"/>
          <w:b/>
          <w:color w:val="000000" w:themeColor="text1"/>
        </w:rPr>
        <w:t xml:space="preserve">e) Exposición: </w:t>
      </w:r>
      <w:r>
        <w:rPr>
          <w:rFonts w:cstheme="minorHAnsi"/>
          <w:bCs/>
          <w:color w:val="000000" w:themeColor="text1"/>
        </w:rPr>
        <w:t xml:space="preserve">Una exposición es una forma habitual de presentar un tema realizando una explicación detallada de su contenido y </w:t>
      </w:r>
      <w:r w:rsidRPr="00F858F1">
        <w:rPr>
          <w:rFonts w:cstheme="minorHAnsi"/>
          <w:bCs/>
        </w:rPr>
        <w:t>abordando y desarrollando los aspectos más importantes de una manera clara y convincente. Las</w:t>
      </w:r>
      <w:r>
        <w:rPr>
          <w:rFonts w:cstheme="minorHAnsi"/>
          <w:bCs/>
        </w:rPr>
        <w:t xml:space="preserve"> temáticas/lecturas que se exponen</w:t>
      </w:r>
      <w:r w:rsidRPr="00F858F1">
        <w:rPr>
          <w:rFonts w:cstheme="minorHAnsi"/>
          <w:bCs/>
        </w:rPr>
        <w:t xml:space="preserve"> </w:t>
      </w:r>
      <w:r>
        <w:rPr>
          <w:rFonts w:cstheme="minorHAnsi"/>
          <w:bCs/>
        </w:rPr>
        <w:t>en este curso s</w:t>
      </w:r>
      <w:r w:rsidRPr="00F858F1">
        <w:rPr>
          <w:rFonts w:cstheme="minorHAnsi"/>
          <w:bCs/>
          <w:iCs/>
        </w:rPr>
        <w:t>on asignadas a las</w:t>
      </w:r>
      <w:r>
        <w:rPr>
          <w:rFonts w:cstheme="minorHAnsi"/>
          <w:bCs/>
          <w:iCs/>
        </w:rPr>
        <w:t xml:space="preserve"> y los</w:t>
      </w:r>
      <w:r w:rsidRPr="00F858F1">
        <w:rPr>
          <w:rFonts w:cstheme="minorHAnsi"/>
          <w:bCs/>
          <w:iCs/>
        </w:rPr>
        <w:t xml:space="preserve"> estudiantes por </w:t>
      </w:r>
      <w:r>
        <w:rPr>
          <w:rFonts w:cstheme="minorHAnsi"/>
          <w:bCs/>
          <w:iCs/>
        </w:rPr>
        <w:t xml:space="preserve">parte de </w:t>
      </w:r>
      <w:r w:rsidRPr="00F858F1">
        <w:rPr>
          <w:rFonts w:cstheme="minorHAnsi"/>
          <w:bCs/>
          <w:iCs/>
        </w:rPr>
        <w:t>la persona docente. Cubren varias temáticas tales como: el valor de la historia par</w:t>
      </w:r>
      <w:r>
        <w:rPr>
          <w:rFonts w:cstheme="minorHAnsi"/>
          <w:bCs/>
          <w:iCs/>
        </w:rPr>
        <w:t>a</w:t>
      </w:r>
      <w:r w:rsidRPr="00F858F1">
        <w:rPr>
          <w:rFonts w:cstheme="minorHAnsi"/>
          <w:bCs/>
          <w:iCs/>
        </w:rPr>
        <w:t xml:space="preserve"> la vida de la iglesia, evangelio y cultura en el siglo II, organización del cristianismo originario, mujeres diaconisas en la iglesia oriental, relaciones estado-iglesia, las llamadas herejías, el papado, la iglesia oriental, la reforma monástica, las cruzadas, y los movimientos de protesta y populares</w:t>
      </w:r>
      <w:r>
        <w:rPr>
          <w:rFonts w:cstheme="minorHAnsi"/>
          <w:bCs/>
          <w:iCs/>
        </w:rPr>
        <w:t>,</w:t>
      </w:r>
      <w:r w:rsidRPr="00F858F1">
        <w:rPr>
          <w:rFonts w:cstheme="minorHAnsi"/>
          <w:bCs/>
          <w:iCs/>
        </w:rPr>
        <w:t xml:space="preserve"> entre otros.</w:t>
      </w:r>
    </w:p>
    <w:p w14:paraId="6B89DD0E" w14:textId="77777777" w:rsidR="00DD2A75" w:rsidRPr="001F48A8" w:rsidRDefault="00DD2A75" w:rsidP="00DD2A75">
      <w:pPr>
        <w:jc w:val="both"/>
        <w:rPr>
          <w:rFonts w:cstheme="minorHAnsi"/>
          <w:bCs/>
          <w:color w:val="000000" w:themeColor="text1"/>
        </w:rPr>
      </w:pPr>
      <w:r>
        <w:rPr>
          <w:rFonts w:cstheme="minorHAnsi"/>
          <w:b/>
          <w:color w:val="000000" w:themeColor="text1"/>
        </w:rPr>
        <w:t xml:space="preserve">f) Monografía: </w:t>
      </w:r>
      <w:r>
        <w:rPr>
          <w:rFonts w:cstheme="minorHAnsi"/>
          <w:bCs/>
          <w:color w:val="000000" w:themeColor="text1"/>
        </w:rPr>
        <w:t>Una monografía es un tipo de documento expositivo o explicativo en el que se aborda un tema específico desde una o más perspectivas posibles. Se consultan diversas fuentes hasta agotar lo más posible el abordaje del tema en cu</w:t>
      </w:r>
      <w:r w:rsidRPr="002C7EC7">
        <w:rPr>
          <w:rFonts w:cstheme="minorHAnsi"/>
          <w:bCs/>
        </w:rPr>
        <w:t xml:space="preserve">estión. En este curso se desarrolla una monografía final sobre un evento, movimiento o personaje en la historia de la iglesia en un contexto histórico específico. Se </w:t>
      </w:r>
      <w:r>
        <w:rPr>
          <w:rFonts w:cstheme="minorHAnsi"/>
          <w:bCs/>
        </w:rPr>
        <w:t>deben</w:t>
      </w:r>
      <w:r w:rsidRPr="002C7EC7">
        <w:rPr>
          <w:rFonts w:cstheme="minorHAnsi"/>
          <w:bCs/>
        </w:rPr>
        <w:t xml:space="preserve"> utilizar </w:t>
      </w:r>
      <w:r>
        <w:rPr>
          <w:rFonts w:cstheme="minorHAnsi"/>
          <w:bCs/>
        </w:rPr>
        <w:t xml:space="preserve">una </w:t>
      </w:r>
      <w:r w:rsidRPr="002C7EC7">
        <w:rPr>
          <w:rFonts w:cstheme="minorHAnsi"/>
          <w:bCs/>
        </w:rPr>
        <w:t>variedad de fuentes y se contará con la retroalimentación de la persona docente</w:t>
      </w:r>
      <w:r>
        <w:rPr>
          <w:rFonts w:cstheme="minorHAnsi"/>
          <w:bCs/>
        </w:rPr>
        <w:t xml:space="preserve"> durante la elaboración</w:t>
      </w:r>
      <w:r w:rsidRPr="002C7EC7">
        <w:rPr>
          <w:rFonts w:cstheme="minorHAnsi"/>
          <w:bCs/>
        </w:rPr>
        <w:t>.</w:t>
      </w:r>
    </w:p>
    <w:p w14:paraId="22F25DDF" w14:textId="77777777" w:rsidR="00DD2A75" w:rsidRDefault="00DD2A75" w:rsidP="00DD2A75">
      <w:pPr>
        <w:jc w:val="both"/>
        <w:rPr>
          <w:rFonts w:cs="Arial"/>
          <w:bCs/>
          <w:color w:val="000000" w:themeColor="text1"/>
        </w:rPr>
      </w:pPr>
      <w:r w:rsidRPr="00302F8B">
        <w:rPr>
          <w:rFonts w:cs="Arial"/>
          <w:bCs/>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4707EA2F" w14:textId="77777777" w:rsidR="00DD2A75" w:rsidRPr="000F1B75" w:rsidRDefault="00DD2A75" w:rsidP="00DD2A75">
      <w:pPr>
        <w:jc w:val="both"/>
        <w:rPr>
          <w:rFonts w:cs="Arial"/>
          <w:bCs/>
          <w:color w:val="000000" w:themeColor="text1"/>
          <w:sz w:val="6"/>
          <w:szCs w:val="6"/>
        </w:rPr>
      </w:pPr>
    </w:p>
    <w:p w14:paraId="15AFF36E" w14:textId="77777777" w:rsidR="00DD2A75" w:rsidRDefault="00DD2A75" w:rsidP="00DD2A75">
      <w:pPr>
        <w:jc w:val="both"/>
        <w:rPr>
          <w:rFonts w:cs="Arial"/>
          <w:b/>
          <w:bCs/>
          <w:color w:val="000000" w:themeColor="text1"/>
        </w:rPr>
      </w:pPr>
      <w:r w:rsidRPr="00826E28">
        <w:rPr>
          <w:rFonts w:cs="Arial"/>
          <w:b/>
          <w:bCs/>
          <w:color w:val="000000" w:themeColor="text1"/>
        </w:rPr>
        <w:t>VII.</w:t>
      </w:r>
      <w:r>
        <w:rPr>
          <w:rFonts w:cs="Arial"/>
          <w:b/>
          <w:bCs/>
          <w:color w:val="000000" w:themeColor="text1"/>
        </w:rPr>
        <w:t xml:space="preserve"> </w:t>
      </w:r>
      <w:r w:rsidRPr="00826E28">
        <w:rPr>
          <w:rFonts w:cs="Arial"/>
          <w:b/>
          <w:bCs/>
          <w:color w:val="000000" w:themeColor="text1"/>
        </w:rPr>
        <w:t xml:space="preserve">Recursos didácticos </w:t>
      </w:r>
    </w:p>
    <w:p w14:paraId="1A1A7B16" w14:textId="77777777" w:rsidR="00DD2A75" w:rsidRPr="000F1B75" w:rsidRDefault="00DD2A75" w:rsidP="00DD2A75">
      <w:pPr>
        <w:jc w:val="both"/>
        <w:rPr>
          <w:rFonts w:cs="Arial"/>
          <w:bCs/>
          <w:color w:val="000000" w:themeColor="text1"/>
          <w:sz w:val="10"/>
          <w:szCs w:val="10"/>
        </w:rPr>
      </w:pPr>
    </w:p>
    <w:p w14:paraId="04F0B058" w14:textId="77777777" w:rsidR="00DD2A75" w:rsidRDefault="00DD2A75" w:rsidP="00DD2A75">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3004785C"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368A3904" w14:textId="77777777" w:rsidR="00DD2A75" w:rsidRDefault="00DD2A75" w:rsidP="00DD2A75">
      <w:pPr>
        <w:jc w:val="both"/>
        <w:rPr>
          <w:rFonts w:cstheme="minorHAnsi"/>
          <w:color w:val="000000" w:themeColor="text1"/>
          <w:lang w:val="es-ES" w:eastAsia="es-ES"/>
        </w:rPr>
      </w:pPr>
    </w:p>
    <w:p w14:paraId="6FBA0EE4"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lastRenderedPageBreak/>
        <w:t>b) Lecturas complementarias en algunas de las sesiones que se asignan para su lectura con el fin de ampliar las temáticas. Realizar estas lecturas es opcional.</w:t>
      </w:r>
    </w:p>
    <w:p w14:paraId="7E7455E6"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c) Material audiovisual en algunas de las sesiones que se asigna para su observación con el fin de ampliar las temáticas.</w:t>
      </w:r>
    </w:p>
    <w:p w14:paraId="1BAE98E2"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d)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6F681E5B"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un wiki y mediante la herramienta Big Blue </w:t>
      </w:r>
      <w:proofErr w:type="spellStart"/>
      <w:r>
        <w:rPr>
          <w:rFonts w:cstheme="minorHAnsi"/>
          <w:color w:val="000000" w:themeColor="text1"/>
          <w:lang w:val="es-ES" w:eastAsia="es-ES"/>
        </w:rPr>
        <w:t>Button</w:t>
      </w:r>
      <w:proofErr w:type="spellEnd"/>
      <w:r>
        <w:rPr>
          <w:rFonts w:cstheme="minorHAnsi"/>
          <w:color w:val="000000" w:themeColor="text1"/>
          <w:lang w:val="es-ES" w:eastAsia="es-ES"/>
        </w:rPr>
        <w:t xml:space="preserve"> en la plataforma Moodle; </w:t>
      </w:r>
      <w:r w:rsidRPr="006014C5">
        <w:rPr>
          <w:rFonts w:cstheme="minorHAnsi"/>
          <w:color w:val="000000" w:themeColor="text1"/>
          <w:lang w:val="es-ES" w:eastAsia="es-ES"/>
        </w:rPr>
        <w:t>así como de guía</w:t>
      </w:r>
      <w:r>
        <w:rPr>
          <w:rFonts w:cstheme="minorHAnsi"/>
          <w:color w:val="000000" w:themeColor="text1"/>
          <w:lang w:val="es-ES" w:eastAsia="es-ES"/>
        </w:rPr>
        <w:t>s</w:t>
      </w:r>
      <w:r w:rsidRPr="006014C5">
        <w:rPr>
          <w:rFonts w:cstheme="minorHAnsi"/>
          <w:color w:val="000000" w:themeColor="text1"/>
          <w:lang w:val="es-ES" w:eastAsia="es-ES"/>
        </w:rPr>
        <w:t xml:space="preserve"> para </w:t>
      </w:r>
      <w:r>
        <w:rPr>
          <w:rFonts w:cstheme="minorHAnsi"/>
          <w:color w:val="000000" w:themeColor="text1"/>
          <w:lang w:val="es-ES" w:eastAsia="es-ES"/>
        </w:rPr>
        <w:t xml:space="preserve">el sociodrama sobre el Concilio de Nicea, para el foro temático grupal de lecturas del Corán y para la monografía final </w:t>
      </w:r>
      <w:r w:rsidRPr="006014C5">
        <w:rPr>
          <w:rFonts w:cstheme="minorHAnsi"/>
          <w:color w:val="000000" w:themeColor="text1"/>
          <w:lang w:val="es-ES" w:eastAsia="es-ES"/>
        </w:rPr>
        <w:t>que se encuentra</w:t>
      </w:r>
      <w:r>
        <w:rPr>
          <w:rFonts w:cstheme="minorHAnsi"/>
          <w:color w:val="000000" w:themeColor="text1"/>
          <w:lang w:val="es-ES" w:eastAsia="es-ES"/>
        </w:rPr>
        <w:t>n</w:t>
      </w:r>
      <w:r w:rsidRPr="006014C5">
        <w:rPr>
          <w:rFonts w:cstheme="minorHAnsi"/>
          <w:color w:val="000000" w:themeColor="text1"/>
          <w:lang w:val="es-ES" w:eastAsia="es-ES"/>
        </w:rPr>
        <w:t xml:space="preserve"> en la sección de actividades de la sesión correspondiente.</w:t>
      </w:r>
    </w:p>
    <w:p w14:paraId="20828506"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 xml:space="preserve">f) </w:t>
      </w:r>
      <w:r w:rsidRPr="006014C5">
        <w:rPr>
          <w:rFonts w:cstheme="minorHAnsi"/>
          <w:color w:val="000000" w:themeColor="text1"/>
          <w:lang w:val="es-ES" w:eastAsia="es-ES"/>
        </w:rPr>
        <w:t xml:space="preserve">También puede disponer de las bases de datos, revistas en línea, repositorios y buscadores especializados a los cuales puede acceder mediante la Biblioteca Enrique </w:t>
      </w:r>
      <w:proofErr w:type="spellStart"/>
      <w:r w:rsidRPr="006014C5">
        <w:rPr>
          <w:rFonts w:cstheme="minorHAnsi"/>
          <w:color w:val="000000" w:themeColor="text1"/>
          <w:lang w:val="es-ES" w:eastAsia="es-ES"/>
        </w:rPr>
        <w:t>Strachan</w:t>
      </w:r>
      <w:proofErr w:type="spellEnd"/>
      <w:r w:rsidRPr="006014C5">
        <w:rPr>
          <w:rFonts w:cstheme="minorHAnsi"/>
          <w:color w:val="000000" w:themeColor="text1"/>
          <w:lang w:val="es-ES" w:eastAsia="es-ES"/>
        </w:rPr>
        <w:t xml:space="preserve"> (</w:t>
      </w:r>
      <w:hyperlink r:id="rId145" w:history="1">
        <w:r w:rsidRPr="006014C5">
          <w:rPr>
            <w:rStyle w:val="Hipervnculo"/>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146" w:history="1">
        <w:r w:rsidRPr="006014C5">
          <w:rPr>
            <w:rStyle w:val="Hipervnculo"/>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w:t>
      </w:r>
      <w:r w:rsidRPr="008516D9">
        <w:rPr>
          <w:rFonts w:cstheme="minorHAnsi"/>
          <w:color w:val="000000" w:themeColor="text1"/>
          <w:lang w:val="es-ES" w:eastAsia="es-ES"/>
        </w:rPr>
        <w:t>A través del correo de la biblioteca (</w:t>
      </w:r>
      <w:hyperlink r:id="rId147" w:history="1">
        <w:r w:rsidRPr="008516D9">
          <w:rPr>
            <w:rStyle w:val="Hipervnculo"/>
            <w:rFonts w:cstheme="minorHAnsi"/>
            <w:lang w:val="es-ES" w:eastAsia="es-ES"/>
          </w:rPr>
          <w:t>biblioteca@ubl.ac.cr</w:t>
        </w:r>
      </w:hyperlink>
      <w:r w:rsidRPr="008516D9">
        <w:rPr>
          <w:rFonts w:cstheme="minorHAnsi"/>
          <w:color w:val="000000" w:themeColor="text1"/>
          <w:lang w:val="es-ES" w:eastAsia="es-ES"/>
        </w:rPr>
        <w:t>) puede solicitar recursos que se encuentren en la colección física.</w:t>
      </w:r>
    </w:p>
    <w:p w14:paraId="134C8BA0" w14:textId="7570887A" w:rsidR="00DD2A75" w:rsidRPr="00950141" w:rsidRDefault="00DD2A75" w:rsidP="00DD2A75">
      <w:pPr>
        <w:jc w:val="both"/>
        <w:rPr>
          <w:rFonts w:cstheme="minorHAnsi"/>
          <w:color w:val="000000" w:themeColor="text1"/>
          <w:lang w:val="es-ES" w:eastAsia="es-ES"/>
        </w:rPr>
      </w:pPr>
      <w:r w:rsidRPr="00950141">
        <w:rPr>
          <w:rFonts w:cstheme="minorHAnsi"/>
          <w:color w:val="000000" w:themeColor="text1"/>
          <w:lang w:val="es-ES" w:eastAsia="es-ES"/>
        </w:rPr>
        <w:t>g)</w:t>
      </w:r>
      <w:r w:rsidRPr="00950141">
        <w:rPr>
          <w:rFonts w:cstheme="minorHAnsi"/>
          <w:bCs/>
        </w:rPr>
        <w:t xml:space="preserve"> 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cstheme="minorHAnsi"/>
          <w:bCs/>
        </w:rPr>
        <w:t>Bachillerato en Ciencias Bíblicas</w:t>
      </w:r>
      <w:r w:rsidRPr="00950141">
        <w:rPr>
          <w:rFonts w:cstheme="minorHAnsi"/>
          <w:bCs/>
        </w:rPr>
        <w:t xml:space="preserve">. Dicho espacio está disponible para todas las personas registradas en el campus virtual y se puede acceder a través del siguiente enlace: </w:t>
      </w:r>
      <w:hyperlink r:id="rId148" w:history="1">
        <w:r w:rsidRPr="00950141">
          <w:rPr>
            <w:rStyle w:val="Hipervnculo"/>
            <w:rFonts w:cstheme="minorHAnsi"/>
            <w:bCs/>
          </w:rPr>
          <w:t>https://campus.ubl.ac.cr/course/index.php?categoryid=186</w:t>
        </w:r>
      </w:hyperlink>
    </w:p>
    <w:p w14:paraId="4A9D21EF" w14:textId="77777777" w:rsidR="00DD2A75" w:rsidRDefault="00DD2A75" w:rsidP="00DD2A75">
      <w:pPr>
        <w:jc w:val="both"/>
        <w:rPr>
          <w:rFonts w:cstheme="minorHAnsi"/>
          <w:color w:val="000000" w:themeColor="text1"/>
          <w:lang w:val="es-ES" w:eastAsia="es-ES"/>
        </w:rPr>
      </w:pPr>
      <w:r>
        <w:rPr>
          <w:rFonts w:cstheme="minorHAnsi"/>
          <w:color w:val="000000" w:themeColor="text1"/>
          <w:lang w:val="es-ES" w:eastAsia="es-ES"/>
        </w:rPr>
        <w:t>h) Mediante el campus virtual accederá al espacio de soporte técnico en el cual puede evacuar sus dudas o preguntas frecuentes y al correo electrónico para comunicarse con la persona docente.</w:t>
      </w:r>
    </w:p>
    <w:p w14:paraId="092B9B14" w14:textId="77777777" w:rsidR="00DD2A75" w:rsidRDefault="00DD2A75" w:rsidP="00DD2A75">
      <w:pPr>
        <w:spacing w:after="240"/>
        <w:jc w:val="both"/>
        <w:rPr>
          <w:rFonts w:cstheme="minorHAnsi"/>
          <w:color w:val="000000" w:themeColor="text1"/>
          <w:lang w:val="es-ES" w:eastAsia="es-ES"/>
        </w:rPr>
      </w:pPr>
    </w:p>
    <w:p w14:paraId="68E90C27" w14:textId="77777777" w:rsidR="00DD2A75" w:rsidRDefault="00DD2A75" w:rsidP="00DD2A75">
      <w:pPr>
        <w:spacing w:after="240"/>
        <w:jc w:val="both"/>
        <w:rPr>
          <w:rFonts w:cstheme="minorHAnsi"/>
          <w:color w:val="000000" w:themeColor="text1"/>
          <w:lang w:val="es-ES" w:eastAsia="es-ES"/>
        </w:rPr>
      </w:pPr>
    </w:p>
    <w:p w14:paraId="4F8435B8" w14:textId="77777777" w:rsidR="00DD2A75" w:rsidRDefault="00DD2A75" w:rsidP="00DD2A75">
      <w:pPr>
        <w:spacing w:after="240"/>
        <w:jc w:val="both"/>
        <w:rPr>
          <w:rFonts w:cstheme="minorHAnsi"/>
          <w:color w:val="000000" w:themeColor="text1"/>
          <w:lang w:val="es-ES" w:eastAsia="es-ES"/>
        </w:rPr>
      </w:pPr>
    </w:p>
    <w:p w14:paraId="1E0DAFDC" w14:textId="77777777" w:rsidR="00DD2A75" w:rsidRDefault="00DD2A75" w:rsidP="00DD2A75">
      <w:pPr>
        <w:spacing w:after="240"/>
        <w:jc w:val="both"/>
        <w:rPr>
          <w:rFonts w:cstheme="minorHAnsi"/>
          <w:color w:val="000000" w:themeColor="text1"/>
          <w:lang w:val="es-ES" w:eastAsia="es-ES"/>
        </w:rPr>
      </w:pPr>
    </w:p>
    <w:p w14:paraId="0E204080" w14:textId="77777777" w:rsidR="00DD2A75" w:rsidRDefault="00DD2A75" w:rsidP="00DD2A75">
      <w:pPr>
        <w:spacing w:after="240"/>
        <w:jc w:val="both"/>
        <w:rPr>
          <w:rFonts w:cstheme="minorHAnsi"/>
          <w:color w:val="000000" w:themeColor="text1"/>
          <w:lang w:val="es-ES" w:eastAsia="es-ES"/>
        </w:rPr>
      </w:pPr>
    </w:p>
    <w:p w14:paraId="06571D1C" w14:textId="77777777" w:rsidR="00DD2A75" w:rsidRDefault="00DD2A75" w:rsidP="00DD2A75">
      <w:pPr>
        <w:spacing w:after="240"/>
        <w:jc w:val="both"/>
        <w:rPr>
          <w:rFonts w:cstheme="minorHAnsi"/>
          <w:color w:val="000000" w:themeColor="text1"/>
          <w:lang w:val="es-ES" w:eastAsia="es-ES"/>
        </w:rPr>
      </w:pPr>
    </w:p>
    <w:p w14:paraId="57046DE6" w14:textId="77777777" w:rsidR="00DD2A75" w:rsidRDefault="00DD2A75" w:rsidP="00DD2A75">
      <w:pPr>
        <w:spacing w:after="240"/>
        <w:jc w:val="both"/>
        <w:rPr>
          <w:rFonts w:cstheme="minorHAnsi"/>
          <w:color w:val="000000" w:themeColor="text1"/>
          <w:lang w:val="es-ES" w:eastAsia="es-ES"/>
        </w:rPr>
      </w:pPr>
    </w:p>
    <w:p w14:paraId="5FF8E945" w14:textId="77777777" w:rsidR="00DD2A75" w:rsidRDefault="00DD2A75" w:rsidP="00DD2A75">
      <w:pPr>
        <w:spacing w:after="240"/>
        <w:jc w:val="both"/>
        <w:rPr>
          <w:rFonts w:cstheme="minorHAnsi"/>
          <w:color w:val="000000" w:themeColor="text1"/>
          <w:lang w:val="es-ES" w:eastAsia="es-ES"/>
        </w:rPr>
      </w:pPr>
    </w:p>
    <w:p w14:paraId="6B19D84D" w14:textId="77777777" w:rsidR="00DD2A75" w:rsidRDefault="00DD2A75" w:rsidP="00DD2A75">
      <w:pPr>
        <w:spacing w:after="240"/>
        <w:jc w:val="both"/>
        <w:rPr>
          <w:rFonts w:cstheme="minorHAnsi"/>
          <w:color w:val="000000" w:themeColor="text1"/>
          <w:lang w:val="es-ES" w:eastAsia="es-ES"/>
        </w:rPr>
      </w:pPr>
    </w:p>
    <w:p w14:paraId="0D34452C" w14:textId="77777777" w:rsidR="00DD2A75" w:rsidRPr="00826E28" w:rsidRDefault="00DD2A75" w:rsidP="00DD2A75">
      <w:pPr>
        <w:rPr>
          <w:rFonts w:cs="Arial"/>
          <w:b/>
          <w:bCs/>
          <w:color w:val="000000" w:themeColor="text1"/>
        </w:rPr>
      </w:pPr>
      <w:r w:rsidRPr="00826E28">
        <w:rPr>
          <w:rFonts w:cs="Arial"/>
          <w:b/>
          <w:bCs/>
          <w:color w:val="000000" w:themeColor="text1"/>
        </w:rPr>
        <w:lastRenderedPageBreak/>
        <w:t>VIII.</w:t>
      </w:r>
      <w:r>
        <w:rPr>
          <w:rFonts w:cs="Arial"/>
          <w:b/>
          <w:bCs/>
          <w:color w:val="000000" w:themeColor="text1"/>
        </w:rPr>
        <w:t xml:space="preserve"> </w:t>
      </w:r>
      <w:r w:rsidRPr="00826E28">
        <w:rPr>
          <w:rFonts w:cs="Arial"/>
          <w:b/>
          <w:bCs/>
          <w:color w:val="000000" w:themeColor="text1"/>
        </w:rPr>
        <w:t xml:space="preserve">Cronograma de trabajo </w:t>
      </w:r>
    </w:p>
    <w:p w14:paraId="294E7005" w14:textId="77777777" w:rsidR="00DD2A75" w:rsidRPr="00826E28" w:rsidRDefault="00DD2A75" w:rsidP="00DD2A75">
      <w:pPr>
        <w:ind w:left="180" w:hanging="180"/>
        <w:rPr>
          <w:rFonts w:ascii="Arial" w:hAnsi="Arial"/>
          <w:b/>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118"/>
      </w:tblGrid>
      <w:tr w:rsidR="00DD2A75" w:rsidRPr="002408C7" w14:paraId="45446CD4" w14:textId="77777777" w:rsidTr="00104785">
        <w:trPr>
          <w:trHeight w:val="463"/>
          <w:jc w:val="center"/>
        </w:trPr>
        <w:tc>
          <w:tcPr>
            <w:tcW w:w="1271" w:type="dxa"/>
            <w:vMerge w:val="restart"/>
            <w:vAlign w:val="center"/>
          </w:tcPr>
          <w:p w14:paraId="412C2AC9" w14:textId="77777777" w:rsidR="00DD2A75" w:rsidRPr="002408C7" w:rsidRDefault="00DD2A75" w:rsidP="00104785">
            <w:pPr>
              <w:jc w:val="center"/>
              <w:rPr>
                <w:b/>
                <w:color w:val="000000" w:themeColor="text1"/>
                <w:szCs w:val="24"/>
              </w:rPr>
            </w:pPr>
            <w:r w:rsidRPr="002408C7">
              <w:rPr>
                <w:b/>
                <w:color w:val="000000" w:themeColor="text1"/>
                <w:szCs w:val="24"/>
              </w:rPr>
              <w:t>Sesión</w:t>
            </w:r>
          </w:p>
          <w:p w14:paraId="567238FC" w14:textId="77777777" w:rsidR="00DD2A75" w:rsidRPr="002408C7" w:rsidRDefault="00DD2A75" w:rsidP="00104785">
            <w:pPr>
              <w:jc w:val="center"/>
              <w:rPr>
                <w:b/>
                <w:color w:val="000000" w:themeColor="text1"/>
                <w:szCs w:val="24"/>
              </w:rPr>
            </w:pPr>
            <w:r w:rsidRPr="002408C7">
              <w:rPr>
                <w:b/>
                <w:color w:val="000000" w:themeColor="text1"/>
                <w:szCs w:val="24"/>
              </w:rPr>
              <w:t>(semana)</w:t>
            </w:r>
          </w:p>
        </w:tc>
        <w:tc>
          <w:tcPr>
            <w:tcW w:w="2410" w:type="dxa"/>
            <w:vMerge w:val="restart"/>
            <w:vAlign w:val="center"/>
          </w:tcPr>
          <w:p w14:paraId="7700FED3" w14:textId="77777777" w:rsidR="00DD2A75" w:rsidRPr="005A0DA8" w:rsidRDefault="00DD2A75" w:rsidP="00104785">
            <w:pPr>
              <w:jc w:val="center"/>
              <w:rPr>
                <w:b/>
                <w:szCs w:val="24"/>
              </w:rPr>
            </w:pPr>
            <w:r w:rsidRPr="005A0DA8">
              <w:rPr>
                <w:b/>
                <w:szCs w:val="24"/>
              </w:rPr>
              <w:t>Contenidos temáticos</w:t>
            </w:r>
          </w:p>
        </w:tc>
        <w:tc>
          <w:tcPr>
            <w:tcW w:w="5953" w:type="dxa"/>
            <w:gridSpan w:val="2"/>
            <w:vAlign w:val="center"/>
          </w:tcPr>
          <w:p w14:paraId="7C3CD857" w14:textId="77777777" w:rsidR="00DD2A75" w:rsidRPr="002408C7" w:rsidRDefault="00DD2A75" w:rsidP="00104785">
            <w:pPr>
              <w:jc w:val="center"/>
              <w:rPr>
                <w:b/>
                <w:color w:val="000000" w:themeColor="text1"/>
                <w:szCs w:val="24"/>
              </w:rPr>
            </w:pPr>
            <w:r w:rsidRPr="002408C7">
              <w:rPr>
                <w:b/>
                <w:color w:val="000000" w:themeColor="text1"/>
                <w:szCs w:val="24"/>
              </w:rPr>
              <w:t xml:space="preserve">Actividades de </w:t>
            </w:r>
            <w:r>
              <w:rPr>
                <w:b/>
                <w:color w:val="000000" w:themeColor="text1"/>
                <w:szCs w:val="24"/>
              </w:rPr>
              <w:t>enseñanza-</w:t>
            </w:r>
            <w:r w:rsidRPr="002408C7">
              <w:rPr>
                <w:b/>
                <w:color w:val="000000" w:themeColor="text1"/>
                <w:szCs w:val="24"/>
              </w:rPr>
              <w:t>aprendizaje</w:t>
            </w:r>
          </w:p>
        </w:tc>
      </w:tr>
      <w:tr w:rsidR="00DD2A75" w:rsidRPr="002408C7" w14:paraId="4A22A2FD" w14:textId="77777777" w:rsidTr="00104785">
        <w:trPr>
          <w:trHeight w:val="413"/>
          <w:jc w:val="center"/>
        </w:trPr>
        <w:tc>
          <w:tcPr>
            <w:tcW w:w="1271" w:type="dxa"/>
            <w:vMerge/>
            <w:vAlign w:val="center"/>
          </w:tcPr>
          <w:p w14:paraId="6D0FD828" w14:textId="77777777" w:rsidR="00DD2A75" w:rsidRPr="002408C7" w:rsidRDefault="00DD2A75" w:rsidP="00104785">
            <w:pPr>
              <w:jc w:val="center"/>
              <w:rPr>
                <w:b/>
                <w:color w:val="000000" w:themeColor="text1"/>
              </w:rPr>
            </w:pPr>
          </w:p>
        </w:tc>
        <w:tc>
          <w:tcPr>
            <w:tcW w:w="2410" w:type="dxa"/>
            <w:vMerge/>
            <w:vAlign w:val="center"/>
          </w:tcPr>
          <w:p w14:paraId="13E459E4" w14:textId="77777777" w:rsidR="00DD2A75" w:rsidRPr="005A0DA8" w:rsidRDefault="00DD2A75" w:rsidP="00104785">
            <w:pPr>
              <w:jc w:val="center"/>
              <w:rPr>
                <w:bCs/>
              </w:rPr>
            </w:pPr>
          </w:p>
        </w:tc>
        <w:tc>
          <w:tcPr>
            <w:tcW w:w="2835" w:type="dxa"/>
            <w:vAlign w:val="center"/>
          </w:tcPr>
          <w:p w14:paraId="3A592DE9" w14:textId="77777777" w:rsidR="00DD2A75" w:rsidRPr="002408C7" w:rsidRDefault="00DD2A75" w:rsidP="00104785">
            <w:pPr>
              <w:jc w:val="center"/>
              <w:rPr>
                <w:b/>
                <w:color w:val="000000" w:themeColor="text1"/>
                <w:szCs w:val="24"/>
              </w:rPr>
            </w:pPr>
            <w:r>
              <w:rPr>
                <w:b/>
                <w:color w:val="000000" w:themeColor="text1"/>
                <w:szCs w:val="24"/>
              </w:rPr>
              <w:t>Recursos didácticos</w:t>
            </w:r>
          </w:p>
        </w:tc>
        <w:tc>
          <w:tcPr>
            <w:tcW w:w="3118" w:type="dxa"/>
            <w:vAlign w:val="center"/>
          </w:tcPr>
          <w:p w14:paraId="0A431253" w14:textId="77777777" w:rsidR="00DD2A75" w:rsidRPr="002408C7" w:rsidRDefault="00DD2A75" w:rsidP="00104785">
            <w:pPr>
              <w:jc w:val="center"/>
              <w:rPr>
                <w:b/>
                <w:color w:val="000000" w:themeColor="text1"/>
                <w:szCs w:val="24"/>
              </w:rPr>
            </w:pPr>
            <w:r w:rsidRPr="002408C7">
              <w:rPr>
                <w:b/>
                <w:color w:val="000000" w:themeColor="text1"/>
                <w:szCs w:val="24"/>
              </w:rPr>
              <w:t>Actividades</w:t>
            </w:r>
            <w:r>
              <w:rPr>
                <w:b/>
                <w:color w:val="000000" w:themeColor="text1"/>
                <w:szCs w:val="24"/>
              </w:rPr>
              <w:t xml:space="preserve"> de aprendizaje</w:t>
            </w:r>
          </w:p>
        </w:tc>
      </w:tr>
      <w:tr w:rsidR="00DD2A75" w:rsidRPr="002408C7" w14:paraId="002E3AD0" w14:textId="77777777" w:rsidTr="00104785">
        <w:trPr>
          <w:jc w:val="center"/>
        </w:trPr>
        <w:tc>
          <w:tcPr>
            <w:tcW w:w="1271" w:type="dxa"/>
          </w:tcPr>
          <w:p w14:paraId="2DD39D87" w14:textId="77777777" w:rsidR="00DD2A75" w:rsidRPr="002408C7" w:rsidRDefault="00DD2A75" w:rsidP="00104785">
            <w:pPr>
              <w:jc w:val="center"/>
              <w:rPr>
                <w:color w:val="000000" w:themeColor="text1"/>
              </w:rPr>
            </w:pPr>
            <w:r w:rsidRPr="002408C7">
              <w:rPr>
                <w:color w:val="000000" w:themeColor="text1"/>
              </w:rPr>
              <w:t>1</w:t>
            </w:r>
          </w:p>
        </w:tc>
        <w:tc>
          <w:tcPr>
            <w:tcW w:w="2410" w:type="dxa"/>
          </w:tcPr>
          <w:p w14:paraId="2A4F00D0" w14:textId="77777777" w:rsidR="00DD2A75" w:rsidRPr="009621CD" w:rsidRDefault="00DD2A75" w:rsidP="00104785">
            <w:pPr>
              <w:ind w:firstLine="5"/>
              <w:rPr>
                <w:rFonts w:cs="Arial"/>
                <w:b/>
                <w:lang w:val="es-ES"/>
              </w:rPr>
            </w:pPr>
            <w:r w:rsidRPr="009621CD">
              <w:rPr>
                <w:rFonts w:cs="Arial"/>
                <w:b/>
                <w:lang w:val="es-ES"/>
              </w:rPr>
              <w:t>Unidad 1: Consideraciones historiográficas</w:t>
            </w:r>
          </w:p>
          <w:p w14:paraId="33DEEAF4" w14:textId="77777777" w:rsidR="00DD2A75" w:rsidRPr="005A0DA8" w:rsidRDefault="00DD2A75" w:rsidP="00104785">
            <w:pPr>
              <w:ind w:firstLine="5"/>
              <w:rPr>
                <w:rFonts w:cs="Arial"/>
                <w:bCs/>
                <w:lang w:val="es-ES"/>
              </w:rPr>
            </w:pPr>
            <w:r w:rsidRPr="005A0DA8">
              <w:rPr>
                <w:rFonts w:cs="Arial"/>
                <w:bCs/>
                <w:lang w:val="es-ES"/>
              </w:rPr>
              <w:t xml:space="preserve">1.1 </w:t>
            </w:r>
            <w:r w:rsidRPr="005A0DA8">
              <w:rPr>
                <w:rFonts w:cs="Arial"/>
                <w:bCs/>
              </w:rPr>
              <w:t>Cuestiones metodológicas</w:t>
            </w:r>
          </w:p>
        </w:tc>
        <w:tc>
          <w:tcPr>
            <w:tcW w:w="2835" w:type="dxa"/>
          </w:tcPr>
          <w:p w14:paraId="09E85FBF" w14:textId="77777777" w:rsidR="00DD2A75" w:rsidRDefault="00DD2A75" w:rsidP="00104785">
            <w:pPr>
              <w:contextualSpacing/>
              <w:rPr>
                <w:rFonts w:cs="Arial"/>
                <w:lang w:eastAsia="es-ES"/>
              </w:rPr>
            </w:pPr>
            <w:r w:rsidRPr="00A178E2">
              <w:rPr>
                <w:rFonts w:cs="Arial"/>
                <w:color w:val="0070C0"/>
                <w:lang w:eastAsia="es-ES"/>
              </w:rPr>
              <w:t>Ruta de aprendizaje</w:t>
            </w:r>
          </w:p>
          <w:p w14:paraId="32ADD258" w14:textId="77777777" w:rsidR="00DD2A75" w:rsidRDefault="00DD2A75" w:rsidP="00104785">
            <w:pPr>
              <w:contextualSpacing/>
              <w:rPr>
                <w:rFonts w:cs="Arial"/>
                <w:lang w:eastAsia="es-ES"/>
              </w:rPr>
            </w:pPr>
          </w:p>
          <w:p w14:paraId="516B3709" w14:textId="77777777" w:rsidR="00DD2A75" w:rsidRPr="00433B70" w:rsidRDefault="00DD2A75" w:rsidP="00104785">
            <w:pPr>
              <w:contextualSpacing/>
              <w:rPr>
                <w:rFonts w:cs="Arial"/>
                <w:color w:val="0070C0"/>
                <w:lang w:eastAsia="es-ES"/>
              </w:rPr>
            </w:pPr>
            <w:r w:rsidRPr="002408C7">
              <w:rPr>
                <w:rFonts w:cs="Arial"/>
                <w:lang w:eastAsia="es-ES"/>
              </w:rPr>
              <w:t xml:space="preserve">Driver, Juan. “La historia del pueblo cristiano”, “Hacia una visión bíblica del </w:t>
            </w:r>
            <w:r w:rsidRPr="002408C7">
              <w:rPr>
                <w:rFonts w:cstheme="minorHAnsi"/>
                <w:lang w:eastAsia="es-ES"/>
              </w:rPr>
              <w:t xml:space="preserve">pueblo de Dios”. En </w:t>
            </w:r>
            <w:r w:rsidRPr="002408C7">
              <w:rPr>
                <w:rFonts w:cstheme="minorHAnsi"/>
                <w:i/>
                <w:lang w:eastAsia="es-ES"/>
              </w:rPr>
              <w:t xml:space="preserve">La fe en la periferia de la historia: </w:t>
            </w:r>
            <w:r w:rsidRPr="002408C7">
              <w:rPr>
                <w:rFonts w:cstheme="minorHAnsi"/>
                <w:spacing w:val="3"/>
                <w:shd w:val="clear" w:color="auto" w:fill="FFFFFF"/>
              </w:rPr>
              <w:t>una historia del pueblo cristiano desde la perspectiva de los movimientos de restauración y reforma radical</w:t>
            </w:r>
            <w:r w:rsidRPr="002408C7">
              <w:rPr>
                <w:rFonts w:cstheme="minorHAnsi"/>
                <w:i/>
                <w:lang w:eastAsia="es-ES"/>
              </w:rPr>
              <w:t xml:space="preserve">, </w:t>
            </w:r>
            <w:r w:rsidRPr="002408C7">
              <w:rPr>
                <w:rFonts w:cstheme="minorHAnsi"/>
                <w:lang w:eastAsia="es-ES"/>
              </w:rPr>
              <w:t>23-43</w:t>
            </w:r>
            <w:r w:rsidRPr="002408C7">
              <w:rPr>
                <w:rFonts w:cs="Arial"/>
                <w:lang w:eastAsia="es-ES"/>
              </w:rPr>
              <w:t>.</w:t>
            </w:r>
            <w:r w:rsidRPr="002408C7">
              <w:rPr>
                <w:rFonts w:cs="Arial"/>
                <w:i/>
                <w:lang w:eastAsia="es-ES"/>
              </w:rPr>
              <w:t xml:space="preserve"> </w:t>
            </w:r>
            <w:r w:rsidRPr="002408C7">
              <w:rPr>
                <w:rFonts w:cs="Arial"/>
                <w:lang w:eastAsia="es-ES"/>
              </w:rPr>
              <w:t>Guatemala: CLARA/SEMILLA, 1997.</w:t>
            </w:r>
            <w:r>
              <w:rPr>
                <w:rFonts w:cs="Arial"/>
                <w:lang w:eastAsia="es-ES"/>
              </w:rPr>
              <w:t xml:space="preserve"> </w:t>
            </w:r>
            <w:r w:rsidRPr="00433B70">
              <w:rPr>
                <w:rFonts w:cs="Arial"/>
                <w:color w:val="0070C0"/>
                <w:lang w:eastAsia="es-ES"/>
              </w:rPr>
              <w:t>(clásico, última edición)</w:t>
            </w:r>
          </w:p>
          <w:p w14:paraId="192B2F89" w14:textId="77777777" w:rsidR="00DD2A75" w:rsidRDefault="00DD2A75" w:rsidP="00104785">
            <w:pPr>
              <w:contextualSpacing/>
              <w:rPr>
                <w:rFonts w:cs="Arial"/>
                <w:lang w:eastAsia="es-ES"/>
              </w:rPr>
            </w:pPr>
          </w:p>
          <w:p w14:paraId="28CB5763" w14:textId="77777777" w:rsidR="00DD2A75" w:rsidRDefault="00DD2A75" w:rsidP="00104785">
            <w:pPr>
              <w:contextualSpacing/>
              <w:rPr>
                <w:rStyle w:val="Hipervnculo"/>
                <w:rFonts w:cstheme="minorHAnsi"/>
                <w:b/>
                <w:color w:val="0070C0"/>
              </w:rPr>
            </w:pPr>
            <w:r w:rsidRPr="00821B7C">
              <w:rPr>
                <w:rStyle w:val="Hipervnculo"/>
                <w:rFonts w:cstheme="minorHAnsi"/>
                <w:b/>
                <w:color w:val="0070C0"/>
              </w:rPr>
              <w:t>Material complementario</w:t>
            </w:r>
          </w:p>
          <w:p w14:paraId="1BE448C9" w14:textId="77777777" w:rsidR="00DD2A75" w:rsidRDefault="00DD2A75" w:rsidP="00104785">
            <w:pPr>
              <w:contextualSpacing/>
              <w:rPr>
                <w:rStyle w:val="Hipervnculo"/>
              </w:rPr>
            </w:pPr>
          </w:p>
          <w:p w14:paraId="1FC8F600" w14:textId="77777777" w:rsidR="00DD2A75" w:rsidRPr="00641118" w:rsidRDefault="00DD2A75" w:rsidP="00104785">
            <w:pPr>
              <w:contextualSpacing/>
              <w:rPr>
                <w:rStyle w:val="Hipervnculo"/>
                <w:rFonts w:cstheme="minorHAnsi"/>
              </w:rPr>
            </w:pPr>
            <w:r w:rsidRPr="00641118">
              <w:rPr>
                <w:rStyle w:val="Hipervnculo"/>
                <w:rFonts w:cstheme="minorHAnsi"/>
              </w:rPr>
              <w:t>Guía para la participación en un foro en la plataforma Moodle</w:t>
            </w:r>
          </w:p>
          <w:p w14:paraId="7B923391" w14:textId="77777777" w:rsidR="00DD2A75" w:rsidRPr="00641118" w:rsidRDefault="00DD2A75" w:rsidP="00104785">
            <w:pPr>
              <w:contextualSpacing/>
              <w:rPr>
                <w:rFonts w:cstheme="minorHAnsi"/>
                <w:b/>
                <w:color w:val="0070C0"/>
              </w:rPr>
            </w:pPr>
          </w:p>
        </w:tc>
        <w:tc>
          <w:tcPr>
            <w:tcW w:w="3118" w:type="dxa"/>
          </w:tcPr>
          <w:p w14:paraId="32D12C26" w14:textId="77777777" w:rsidR="00DD2A75" w:rsidRPr="002408C7" w:rsidRDefault="00DD2A75" w:rsidP="00DD2A75">
            <w:pPr>
              <w:pStyle w:val="Prrafodelista"/>
              <w:numPr>
                <w:ilvl w:val="0"/>
                <w:numId w:val="73"/>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Presentación docente a través del</w:t>
            </w:r>
            <w:r>
              <w:rPr>
                <w:rFonts w:asciiTheme="minorHAnsi" w:hAnsiTheme="minorHAnsi" w:cstheme="minorHAnsi"/>
                <w:color w:val="000000" w:themeColor="text1"/>
              </w:rPr>
              <w:t xml:space="preserve"> foro social CAFETERÍA</w:t>
            </w:r>
            <w:r w:rsidRPr="002408C7">
              <w:rPr>
                <w:rFonts w:asciiTheme="minorHAnsi" w:hAnsiTheme="minorHAnsi" w:cstheme="minorHAnsi"/>
                <w:color w:val="000000" w:themeColor="text1"/>
              </w:rPr>
              <w:t>.</w:t>
            </w:r>
          </w:p>
          <w:p w14:paraId="1D978BFE" w14:textId="77777777" w:rsidR="00DD2A75" w:rsidRPr="002408C7" w:rsidRDefault="00DD2A75" w:rsidP="00DD2A75">
            <w:pPr>
              <w:pStyle w:val="Prrafodelista"/>
              <w:numPr>
                <w:ilvl w:val="0"/>
                <w:numId w:val="73"/>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Participación en el foro social CAFETERÍA.</w:t>
            </w:r>
          </w:p>
          <w:p w14:paraId="59E24F1C" w14:textId="77777777" w:rsidR="00DD2A75" w:rsidRPr="002408C7" w:rsidRDefault="00DD2A75" w:rsidP="00DD2A75">
            <w:pPr>
              <w:pStyle w:val="Prrafodelista"/>
              <w:numPr>
                <w:ilvl w:val="0"/>
                <w:numId w:val="73"/>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Participación en el foro de dudas.</w:t>
            </w:r>
          </w:p>
          <w:p w14:paraId="5A01DC15" w14:textId="77777777" w:rsidR="00DD2A75" w:rsidRPr="002408C7" w:rsidRDefault="00DD2A75" w:rsidP="00DD2A75">
            <w:pPr>
              <w:pStyle w:val="Prrafodelista"/>
              <w:numPr>
                <w:ilvl w:val="0"/>
                <w:numId w:val="73"/>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Participación en el foro temático grupal: Ubicación histórica, tipos de fuentes y de citas.</w:t>
            </w:r>
          </w:p>
          <w:p w14:paraId="1464F596" w14:textId="77777777" w:rsidR="00DD2A75" w:rsidRPr="00A95CF6" w:rsidRDefault="00DD2A75" w:rsidP="00DD2A75">
            <w:pPr>
              <w:pStyle w:val="Prrafodelista"/>
              <w:numPr>
                <w:ilvl w:val="0"/>
                <w:numId w:val="73"/>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Asignación de lectura para exponer la próxima sesión.</w:t>
            </w:r>
          </w:p>
        </w:tc>
      </w:tr>
      <w:tr w:rsidR="00DD2A75" w:rsidRPr="002408C7" w14:paraId="4CBD5518" w14:textId="77777777" w:rsidTr="00104785">
        <w:trPr>
          <w:jc w:val="center"/>
        </w:trPr>
        <w:tc>
          <w:tcPr>
            <w:tcW w:w="1271" w:type="dxa"/>
          </w:tcPr>
          <w:p w14:paraId="0892DD56" w14:textId="77777777" w:rsidR="00DD2A75" w:rsidRPr="002408C7" w:rsidRDefault="00DD2A75" w:rsidP="00104785">
            <w:pPr>
              <w:jc w:val="center"/>
              <w:rPr>
                <w:color w:val="000000" w:themeColor="text1"/>
              </w:rPr>
            </w:pPr>
            <w:r w:rsidRPr="002408C7">
              <w:rPr>
                <w:color w:val="000000" w:themeColor="text1"/>
              </w:rPr>
              <w:t>2</w:t>
            </w:r>
          </w:p>
        </w:tc>
        <w:tc>
          <w:tcPr>
            <w:tcW w:w="2410" w:type="dxa"/>
          </w:tcPr>
          <w:p w14:paraId="0541E053" w14:textId="77777777" w:rsidR="00DD2A75" w:rsidRPr="009621CD" w:rsidRDefault="00DD2A75" w:rsidP="00104785">
            <w:pPr>
              <w:ind w:firstLine="5"/>
              <w:rPr>
                <w:rFonts w:cs="Arial"/>
                <w:b/>
                <w:lang w:val="es-ES"/>
              </w:rPr>
            </w:pPr>
            <w:r w:rsidRPr="009621CD">
              <w:rPr>
                <w:rFonts w:cs="Arial"/>
                <w:b/>
                <w:lang w:val="es-ES"/>
              </w:rPr>
              <w:t>Unidad 1: Consideraciones historiográficas</w:t>
            </w:r>
          </w:p>
          <w:p w14:paraId="4B4774DC" w14:textId="77777777" w:rsidR="00DD2A75" w:rsidRPr="005A0DA8" w:rsidRDefault="00DD2A75" w:rsidP="00104785">
            <w:pPr>
              <w:ind w:firstLine="5"/>
              <w:rPr>
                <w:rFonts w:cs="Arial"/>
                <w:bCs/>
              </w:rPr>
            </w:pPr>
            <w:r w:rsidRPr="005A0DA8">
              <w:rPr>
                <w:rFonts w:cs="Arial"/>
                <w:bCs/>
                <w:lang w:val="es-ES"/>
              </w:rPr>
              <w:t xml:space="preserve">1.2 </w:t>
            </w:r>
            <w:r w:rsidRPr="005A0DA8">
              <w:rPr>
                <w:rFonts w:cs="Arial"/>
                <w:bCs/>
              </w:rPr>
              <w:t>Desarrollo e importancia de la historia de la Iglesia</w:t>
            </w:r>
          </w:p>
          <w:p w14:paraId="0F5AE6A8" w14:textId="77777777" w:rsidR="00DD2A75" w:rsidRPr="005A0DA8" w:rsidRDefault="00DD2A75" w:rsidP="00104785">
            <w:pPr>
              <w:ind w:firstLine="5"/>
              <w:rPr>
                <w:rFonts w:cs="Arial"/>
                <w:bCs/>
                <w:lang w:val="es-ES"/>
              </w:rPr>
            </w:pPr>
          </w:p>
        </w:tc>
        <w:tc>
          <w:tcPr>
            <w:tcW w:w="2835" w:type="dxa"/>
          </w:tcPr>
          <w:p w14:paraId="2D4F7999" w14:textId="77777777" w:rsidR="00DD2A75" w:rsidRDefault="00DD2A75" w:rsidP="00104785">
            <w:pPr>
              <w:contextualSpacing/>
              <w:rPr>
                <w:rFonts w:cs="Arial"/>
                <w:color w:val="000000" w:themeColor="text1"/>
                <w:lang w:eastAsia="es-ES"/>
              </w:rPr>
            </w:pPr>
            <w:r w:rsidRPr="00A178E2">
              <w:rPr>
                <w:rFonts w:cs="Arial"/>
                <w:color w:val="0070C0"/>
                <w:lang w:eastAsia="es-ES"/>
              </w:rPr>
              <w:t>Ruta de aprendizaje</w:t>
            </w:r>
          </w:p>
          <w:p w14:paraId="5CF8AFC2" w14:textId="77777777" w:rsidR="00DD2A75" w:rsidRDefault="00DD2A75" w:rsidP="00104785">
            <w:pPr>
              <w:contextualSpacing/>
              <w:rPr>
                <w:rFonts w:cs="Arial"/>
                <w:color w:val="000000" w:themeColor="text1"/>
                <w:lang w:eastAsia="es-ES"/>
              </w:rPr>
            </w:pPr>
          </w:p>
          <w:p w14:paraId="4B7B82C3" w14:textId="77777777" w:rsidR="00DD2A75" w:rsidRDefault="00DD2A75" w:rsidP="00104785">
            <w:pPr>
              <w:contextualSpacing/>
              <w:rPr>
                <w:rFonts w:cs="Arial"/>
                <w:color w:val="000000" w:themeColor="text1"/>
                <w:lang w:eastAsia="es-ES"/>
              </w:rPr>
            </w:pPr>
            <w:r w:rsidRPr="002408C7">
              <w:rPr>
                <w:rFonts w:cs="Arial"/>
                <w:color w:val="000000" w:themeColor="text1"/>
                <w:lang w:eastAsia="es-ES"/>
              </w:rPr>
              <w:t xml:space="preserve">Piedra, Arturo. “El valor de la historia para la vida de la iglesia”. </w:t>
            </w:r>
            <w:r w:rsidRPr="002408C7">
              <w:rPr>
                <w:rFonts w:cs="Arial"/>
                <w:i/>
                <w:color w:val="000000" w:themeColor="text1"/>
                <w:lang w:eastAsia="es-ES"/>
              </w:rPr>
              <w:t>Vida y Pensamiento 5</w:t>
            </w:r>
            <w:r w:rsidRPr="002408C7">
              <w:rPr>
                <w:rFonts w:cs="Arial"/>
                <w:color w:val="000000" w:themeColor="text1"/>
                <w:lang w:eastAsia="es-ES"/>
              </w:rPr>
              <w:t xml:space="preserve">, n.2 (1985): pp. </w:t>
            </w:r>
            <w:r w:rsidRPr="002408C7">
              <w:rPr>
                <w:rFonts w:cs="Arial"/>
                <w:lang w:eastAsia="es-ES"/>
              </w:rPr>
              <w:t>23-32</w:t>
            </w:r>
            <w:r w:rsidRPr="002408C7">
              <w:rPr>
                <w:rFonts w:cs="Arial"/>
                <w:color w:val="000000" w:themeColor="text1"/>
                <w:lang w:eastAsia="es-ES"/>
              </w:rPr>
              <w:t xml:space="preserve">. </w:t>
            </w:r>
          </w:p>
          <w:p w14:paraId="5C545226" w14:textId="77777777" w:rsidR="00DD2A75" w:rsidRDefault="00DD2A75" w:rsidP="00104785">
            <w:pPr>
              <w:contextualSpacing/>
              <w:rPr>
                <w:rFonts w:cs="Arial"/>
                <w:color w:val="000000" w:themeColor="text1"/>
                <w:lang w:eastAsia="es-ES"/>
              </w:rPr>
            </w:pPr>
          </w:p>
          <w:p w14:paraId="29E05772" w14:textId="77777777" w:rsidR="00DD2A75" w:rsidRDefault="00DD2A75" w:rsidP="00104785">
            <w:pPr>
              <w:contextualSpacing/>
              <w:rPr>
                <w:rStyle w:val="Hipervnculo"/>
                <w:rFonts w:cstheme="minorHAnsi"/>
                <w:b/>
                <w:color w:val="0070C0"/>
              </w:rPr>
            </w:pPr>
            <w:r w:rsidRPr="00821B7C">
              <w:rPr>
                <w:rStyle w:val="Hipervnculo"/>
                <w:rFonts w:cstheme="minorHAnsi"/>
                <w:b/>
                <w:color w:val="0070C0"/>
              </w:rPr>
              <w:t>Material complementario</w:t>
            </w:r>
          </w:p>
          <w:p w14:paraId="1E876983" w14:textId="77777777" w:rsidR="00DD2A75" w:rsidRDefault="00DD2A75" w:rsidP="00104785">
            <w:pPr>
              <w:contextualSpacing/>
              <w:rPr>
                <w:rStyle w:val="Hipervnculo"/>
                <w:rFonts w:cstheme="minorHAnsi"/>
                <w:b/>
                <w:color w:val="0070C0"/>
              </w:rPr>
            </w:pPr>
          </w:p>
          <w:p w14:paraId="4BE789CD" w14:textId="77777777" w:rsidR="00DD2A75" w:rsidRPr="00707C51" w:rsidRDefault="00DD2A75" w:rsidP="00104785">
            <w:pPr>
              <w:contextualSpacing/>
              <w:rPr>
                <w:rFonts w:cstheme="minorHAnsi"/>
                <w:bCs/>
              </w:rPr>
            </w:pPr>
            <w:r w:rsidRPr="00707C51">
              <w:rPr>
                <w:rStyle w:val="Hipervnculo"/>
                <w:rFonts w:cstheme="minorHAnsi"/>
                <w:color w:val="0070C0"/>
              </w:rPr>
              <w:t xml:space="preserve">Guía para la participación mediante la herramienta Big Blue </w:t>
            </w:r>
            <w:proofErr w:type="spellStart"/>
            <w:r w:rsidRPr="00707C51">
              <w:rPr>
                <w:rStyle w:val="Hipervnculo"/>
                <w:rFonts w:cstheme="minorHAnsi"/>
                <w:color w:val="0070C0"/>
              </w:rPr>
              <w:t>Button</w:t>
            </w:r>
            <w:proofErr w:type="spellEnd"/>
            <w:r w:rsidRPr="00707C51">
              <w:rPr>
                <w:rStyle w:val="Hipervnculo"/>
                <w:rFonts w:cstheme="minorHAnsi"/>
                <w:color w:val="0070C0"/>
              </w:rPr>
              <w:t xml:space="preserve"> en la plataforma Moodle</w:t>
            </w:r>
          </w:p>
        </w:tc>
        <w:tc>
          <w:tcPr>
            <w:tcW w:w="3118" w:type="dxa"/>
          </w:tcPr>
          <w:p w14:paraId="0C9E54B1" w14:textId="77777777" w:rsidR="00DD2A75" w:rsidRPr="002408C7" w:rsidRDefault="00DD2A75" w:rsidP="00DD2A75">
            <w:pPr>
              <w:pStyle w:val="Prrafodelista"/>
              <w:numPr>
                <w:ilvl w:val="0"/>
                <w:numId w:val="74"/>
              </w:numPr>
              <w:ind w:left="420"/>
              <w:rPr>
                <w:rFonts w:asciiTheme="minorHAnsi" w:hAnsiTheme="minorHAnsi"/>
                <w:color w:val="000000" w:themeColor="text1"/>
              </w:rPr>
            </w:pPr>
            <w:r w:rsidRPr="002408C7">
              <w:rPr>
                <w:rFonts w:asciiTheme="minorHAnsi" w:hAnsiTheme="minorHAnsi"/>
                <w:color w:val="000000" w:themeColor="text1"/>
              </w:rPr>
              <w:t>Exposición sobre distintas propuestas historiográficas, seguida de un debate plenario: ¿Historia de quiénes, para quiénes?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p w14:paraId="3123CE43" w14:textId="77777777" w:rsidR="00DD2A75" w:rsidRDefault="00DD2A75" w:rsidP="00DD2A75">
            <w:pPr>
              <w:pStyle w:val="Prrafodelista"/>
              <w:numPr>
                <w:ilvl w:val="0"/>
                <w:numId w:val="74"/>
              </w:numPr>
              <w:ind w:left="420"/>
              <w:rPr>
                <w:rFonts w:asciiTheme="minorHAnsi" w:hAnsiTheme="minorHAnsi"/>
                <w:color w:val="000000" w:themeColor="text1"/>
              </w:rPr>
            </w:pPr>
            <w:r w:rsidRPr="002408C7">
              <w:rPr>
                <w:rFonts w:asciiTheme="minorHAnsi" w:hAnsiTheme="minorHAnsi"/>
                <w:color w:val="000000" w:themeColor="text1"/>
              </w:rPr>
              <w:t>Asignación de lecturas para resúmenes y exposiciones en la Unidad II.</w:t>
            </w:r>
          </w:p>
          <w:p w14:paraId="45ACB083" w14:textId="77777777" w:rsidR="00DD2A75" w:rsidRDefault="00DD2A75" w:rsidP="00104785">
            <w:pPr>
              <w:pStyle w:val="Prrafodelista"/>
              <w:ind w:left="420"/>
              <w:rPr>
                <w:rFonts w:asciiTheme="minorHAnsi" w:hAnsiTheme="minorHAnsi"/>
                <w:color w:val="000000" w:themeColor="text1"/>
              </w:rPr>
            </w:pPr>
          </w:p>
          <w:p w14:paraId="0CFC7912" w14:textId="77777777" w:rsidR="00DD2A75" w:rsidRPr="002408C7" w:rsidRDefault="00DD2A75" w:rsidP="00104785">
            <w:pPr>
              <w:pStyle w:val="Prrafodelista"/>
              <w:ind w:left="420"/>
              <w:rPr>
                <w:rFonts w:asciiTheme="minorHAnsi" w:hAnsiTheme="minorHAnsi"/>
                <w:color w:val="000000" w:themeColor="text1"/>
              </w:rPr>
            </w:pPr>
          </w:p>
        </w:tc>
      </w:tr>
      <w:tr w:rsidR="00DD2A75" w:rsidRPr="002408C7" w14:paraId="3C9715DA" w14:textId="77777777" w:rsidTr="00104785">
        <w:trPr>
          <w:jc w:val="center"/>
        </w:trPr>
        <w:tc>
          <w:tcPr>
            <w:tcW w:w="1271" w:type="dxa"/>
          </w:tcPr>
          <w:p w14:paraId="16766458" w14:textId="77777777" w:rsidR="00DD2A75" w:rsidRPr="002408C7" w:rsidRDefault="00DD2A75" w:rsidP="00104785">
            <w:pPr>
              <w:jc w:val="center"/>
              <w:rPr>
                <w:color w:val="000000" w:themeColor="text1"/>
              </w:rPr>
            </w:pPr>
            <w:r w:rsidRPr="002408C7">
              <w:rPr>
                <w:color w:val="000000" w:themeColor="text1"/>
              </w:rPr>
              <w:t>3</w:t>
            </w:r>
          </w:p>
        </w:tc>
        <w:tc>
          <w:tcPr>
            <w:tcW w:w="2410" w:type="dxa"/>
          </w:tcPr>
          <w:p w14:paraId="56F449A7" w14:textId="77777777" w:rsidR="00DD2A75" w:rsidRPr="009621CD" w:rsidRDefault="00DD2A75" w:rsidP="00104785">
            <w:pPr>
              <w:ind w:firstLine="5"/>
              <w:rPr>
                <w:rFonts w:cs="Arial"/>
                <w:b/>
                <w:lang w:val="es-ES"/>
              </w:rPr>
            </w:pPr>
            <w:r w:rsidRPr="009621CD">
              <w:rPr>
                <w:rFonts w:cs="Arial"/>
                <w:b/>
                <w:lang w:val="es-ES"/>
              </w:rPr>
              <w:t>Unidad 2: Siglos I, II y III</w:t>
            </w:r>
          </w:p>
          <w:p w14:paraId="74BA62A8" w14:textId="77777777" w:rsidR="00DD2A75" w:rsidRPr="005A0DA8" w:rsidRDefault="00DD2A75" w:rsidP="00104785">
            <w:pPr>
              <w:ind w:firstLine="5"/>
              <w:rPr>
                <w:rFonts w:cs="Arial"/>
                <w:bCs/>
              </w:rPr>
            </w:pPr>
            <w:r w:rsidRPr="005A0DA8">
              <w:rPr>
                <w:rFonts w:cs="Arial"/>
                <w:bCs/>
                <w:lang w:val="es-ES"/>
              </w:rPr>
              <w:lastRenderedPageBreak/>
              <w:t xml:space="preserve">2.1 </w:t>
            </w:r>
            <w:r w:rsidRPr="005A0DA8">
              <w:rPr>
                <w:rFonts w:cs="Arial"/>
                <w:bCs/>
              </w:rPr>
              <w:t>Contexto social y religioso en los inicios del cristianismo</w:t>
            </w:r>
          </w:p>
        </w:tc>
        <w:tc>
          <w:tcPr>
            <w:tcW w:w="2835" w:type="dxa"/>
          </w:tcPr>
          <w:p w14:paraId="2D67C2D0" w14:textId="77777777" w:rsidR="00DD2A75" w:rsidRDefault="00DD2A75" w:rsidP="00104785">
            <w:pPr>
              <w:contextualSpacing/>
              <w:rPr>
                <w:rFonts w:cs="Arial"/>
                <w:color w:val="000000" w:themeColor="text1"/>
                <w:lang w:eastAsia="es-ES"/>
              </w:rPr>
            </w:pPr>
            <w:r w:rsidRPr="00A178E2">
              <w:rPr>
                <w:rFonts w:cs="Arial"/>
                <w:color w:val="0070C0"/>
                <w:lang w:eastAsia="es-ES"/>
              </w:rPr>
              <w:lastRenderedPageBreak/>
              <w:t>Ruta de aprendizaje</w:t>
            </w:r>
          </w:p>
          <w:p w14:paraId="00A9821A" w14:textId="77777777" w:rsidR="00DD2A75" w:rsidRDefault="00DD2A75" w:rsidP="00104785">
            <w:pPr>
              <w:contextualSpacing/>
              <w:rPr>
                <w:rFonts w:cs="Arial"/>
                <w:color w:val="000000" w:themeColor="text1"/>
                <w:lang w:eastAsia="es-ES"/>
              </w:rPr>
            </w:pPr>
          </w:p>
          <w:p w14:paraId="01F0DF70" w14:textId="77777777" w:rsidR="00DD2A75" w:rsidRPr="00433B70" w:rsidRDefault="00DD2A75" w:rsidP="00104785">
            <w:pPr>
              <w:contextualSpacing/>
              <w:rPr>
                <w:rFonts w:cs="Arial"/>
                <w:color w:val="0070C0"/>
                <w:lang w:eastAsia="es-ES"/>
              </w:rPr>
            </w:pPr>
            <w:r w:rsidRPr="002408C7">
              <w:rPr>
                <w:rFonts w:cs="Arial"/>
                <w:color w:val="000000" w:themeColor="text1"/>
                <w:lang w:eastAsia="es-ES"/>
              </w:rPr>
              <w:lastRenderedPageBreak/>
              <w:t xml:space="preserve">González, Justo. “El cumplimiento del tiempo”, “La iglesia de Jerusalén”, “La misión a los gentiles”, “Los primeros conflictos con el estado”.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25-54.</w:t>
            </w:r>
            <w:r w:rsidRPr="002408C7">
              <w:rPr>
                <w:rFonts w:cs="Arial"/>
                <w:i/>
                <w:color w:val="000000" w:themeColor="text1"/>
                <w:lang w:eastAsia="es-ES"/>
              </w:rPr>
              <w:t xml:space="preserve"> </w:t>
            </w:r>
            <w:r w:rsidRPr="002408C7">
              <w:rPr>
                <w:rFonts w:cs="Arial"/>
                <w:color w:val="000000" w:themeColor="text1"/>
                <w:lang w:eastAsia="es-ES"/>
              </w:rPr>
              <w:t xml:space="preserve">Miami: </w:t>
            </w:r>
            <w:proofErr w:type="spellStart"/>
            <w:r w:rsidRPr="002408C7">
              <w:rPr>
                <w:rFonts w:cs="Arial"/>
                <w:color w:val="000000" w:themeColor="text1"/>
                <w:lang w:eastAsia="es-ES"/>
              </w:rPr>
              <w:t>Unilit</w:t>
            </w:r>
            <w:proofErr w:type="spellEnd"/>
            <w:r w:rsidRPr="002408C7">
              <w:rPr>
                <w:rFonts w:cs="Arial"/>
                <w:color w:val="000000" w:themeColor="text1"/>
                <w:lang w:eastAsia="es-ES"/>
              </w:rPr>
              <w:t>, 2009.</w:t>
            </w:r>
            <w:r>
              <w:rPr>
                <w:rFonts w:cs="Arial"/>
                <w:color w:val="000000" w:themeColor="text1"/>
                <w:lang w:eastAsia="es-ES"/>
              </w:rPr>
              <w:t xml:space="preserve"> </w:t>
            </w:r>
            <w:r w:rsidRPr="00433B70">
              <w:rPr>
                <w:rFonts w:cs="Arial"/>
                <w:color w:val="0070C0"/>
                <w:lang w:eastAsia="es-ES"/>
              </w:rPr>
              <w:t>(clásico, última edición)</w:t>
            </w:r>
          </w:p>
          <w:p w14:paraId="10B883D0" w14:textId="77777777" w:rsidR="00DD2A75" w:rsidRDefault="00DD2A75" w:rsidP="00104785">
            <w:pPr>
              <w:contextualSpacing/>
              <w:rPr>
                <w:rFonts w:cs="Arial"/>
                <w:color w:val="000000" w:themeColor="text1"/>
                <w:lang w:eastAsia="es-ES"/>
              </w:rPr>
            </w:pPr>
          </w:p>
          <w:p w14:paraId="11A5836A" w14:textId="77777777" w:rsidR="00DD2A75" w:rsidRDefault="00DD2A75" w:rsidP="00104785">
            <w:pPr>
              <w:contextualSpacing/>
              <w:rPr>
                <w:rStyle w:val="Hipervnculo"/>
                <w:rFonts w:cstheme="minorHAnsi"/>
                <w:b/>
                <w:color w:val="0070C0"/>
              </w:rPr>
            </w:pPr>
            <w:r w:rsidRPr="00821B7C">
              <w:rPr>
                <w:rStyle w:val="Hipervnculo"/>
                <w:rFonts w:cstheme="minorHAnsi"/>
                <w:b/>
                <w:color w:val="0070C0"/>
              </w:rPr>
              <w:t>Material complementario</w:t>
            </w:r>
          </w:p>
          <w:p w14:paraId="15AF3138" w14:textId="77777777" w:rsidR="00DD2A75" w:rsidRDefault="00DD2A75" w:rsidP="00104785">
            <w:pPr>
              <w:contextualSpacing/>
              <w:rPr>
                <w:rStyle w:val="Hipervnculo"/>
                <w:rFonts w:cstheme="minorHAnsi"/>
                <w:b/>
                <w:color w:val="0070C0"/>
              </w:rPr>
            </w:pPr>
          </w:p>
          <w:p w14:paraId="7CFFF9E9" w14:textId="77777777" w:rsidR="00DD2A75" w:rsidRPr="00964E56" w:rsidRDefault="00DD2A75" w:rsidP="00104785">
            <w:pPr>
              <w:contextualSpacing/>
              <w:rPr>
                <w:rFonts w:cstheme="minorHAnsi"/>
                <w:bCs/>
                <w:color w:val="000000" w:themeColor="text1"/>
                <w:lang w:eastAsia="es-ES"/>
              </w:rPr>
            </w:pPr>
            <w:r w:rsidRPr="00964E56">
              <w:rPr>
                <w:rStyle w:val="Hipervnculo"/>
                <w:rFonts w:cstheme="minorHAnsi"/>
                <w:bCs/>
                <w:color w:val="0070C0"/>
              </w:rPr>
              <w:t>Guía para la participación en un foro en la plataforma Moodle</w:t>
            </w:r>
          </w:p>
          <w:p w14:paraId="0323498F" w14:textId="77777777" w:rsidR="00DD2A75" w:rsidRPr="002408C7" w:rsidRDefault="00DD2A75" w:rsidP="00104785">
            <w:pPr>
              <w:contextualSpacing/>
              <w:rPr>
                <w:rFonts w:cs="Calibri"/>
                <w:bCs/>
              </w:rPr>
            </w:pPr>
          </w:p>
        </w:tc>
        <w:tc>
          <w:tcPr>
            <w:tcW w:w="3118" w:type="dxa"/>
          </w:tcPr>
          <w:p w14:paraId="7BC9B003" w14:textId="77777777" w:rsidR="00DD2A75" w:rsidRPr="002408C7" w:rsidRDefault="00DD2A75" w:rsidP="00DD2A75">
            <w:pPr>
              <w:pStyle w:val="Prrafodelista"/>
              <w:numPr>
                <w:ilvl w:val="0"/>
                <w:numId w:val="75"/>
              </w:numPr>
              <w:ind w:left="420"/>
              <w:rPr>
                <w:rFonts w:asciiTheme="minorHAnsi" w:hAnsiTheme="minorHAnsi" w:cstheme="minorHAnsi"/>
              </w:rPr>
            </w:pPr>
            <w:r w:rsidRPr="002408C7">
              <w:rPr>
                <w:rFonts w:asciiTheme="minorHAnsi" w:hAnsiTheme="minorHAnsi" w:cstheme="minorHAnsi"/>
              </w:rPr>
              <w:lastRenderedPageBreak/>
              <w:t>Elaboración de resumen de lectura de trasfondo.</w:t>
            </w:r>
          </w:p>
          <w:p w14:paraId="037264B9" w14:textId="77777777" w:rsidR="00DD2A75" w:rsidRPr="002408C7" w:rsidRDefault="00DD2A75" w:rsidP="00DD2A75">
            <w:pPr>
              <w:pStyle w:val="Prrafodelista"/>
              <w:numPr>
                <w:ilvl w:val="0"/>
                <w:numId w:val="75"/>
              </w:numPr>
              <w:ind w:left="420"/>
              <w:rPr>
                <w:rFonts w:asciiTheme="minorHAnsi" w:hAnsiTheme="minorHAnsi" w:cstheme="minorHAnsi"/>
              </w:rPr>
            </w:pPr>
            <w:r w:rsidRPr="002408C7">
              <w:rPr>
                <w:rFonts w:asciiTheme="minorHAnsi" w:hAnsiTheme="minorHAnsi" w:cstheme="minorHAnsi"/>
              </w:rPr>
              <w:lastRenderedPageBreak/>
              <w:t xml:space="preserve">Participación en el foro temático grupal: Fuentes para el estudio de las primeras comunidades cristianas. </w:t>
            </w:r>
          </w:p>
          <w:p w14:paraId="568EBA8A" w14:textId="77777777" w:rsidR="00DD2A75" w:rsidRPr="002408C7" w:rsidRDefault="00DD2A75" w:rsidP="00DD2A75">
            <w:pPr>
              <w:pStyle w:val="Prrafodelista"/>
              <w:numPr>
                <w:ilvl w:val="0"/>
                <w:numId w:val="75"/>
              </w:numPr>
              <w:ind w:left="420"/>
              <w:rPr>
                <w:rFonts w:asciiTheme="minorHAnsi" w:hAnsiTheme="minorHAnsi" w:cstheme="minorHAnsi"/>
              </w:rPr>
            </w:pPr>
            <w:r w:rsidRPr="002408C7">
              <w:rPr>
                <w:rFonts w:asciiTheme="minorHAnsi" w:hAnsiTheme="minorHAnsi" w:cstheme="minorHAnsi"/>
              </w:rPr>
              <w:t>Participación en el foro para discutir el tema de la monografía final.</w:t>
            </w:r>
          </w:p>
        </w:tc>
      </w:tr>
      <w:tr w:rsidR="00DD2A75" w:rsidRPr="002408C7" w14:paraId="69FB678C" w14:textId="77777777" w:rsidTr="00104785">
        <w:trPr>
          <w:jc w:val="center"/>
        </w:trPr>
        <w:tc>
          <w:tcPr>
            <w:tcW w:w="1271" w:type="dxa"/>
          </w:tcPr>
          <w:p w14:paraId="0B2E1E3F" w14:textId="77777777" w:rsidR="00DD2A75" w:rsidRPr="002408C7" w:rsidRDefault="00DD2A75" w:rsidP="00104785">
            <w:pPr>
              <w:jc w:val="center"/>
              <w:rPr>
                <w:color w:val="000000" w:themeColor="text1"/>
              </w:rPr>
            </w:pPr>
            <w:r w:rsidRPr="002408C7">
              <w:rPr>
                <w:color w:val="000000" w:themeColor="text1"/>
              </w:rPr>
              <w:lastRenderedPageBreak/>
              <w:t>4</w:t>
            </w:r>
          </w:p>
        </w:tc>
        <w:tc>
          <w:tcPr>
            <w:tcW w:w="2410" w:type="dxa"/>
          </w:tcPr>
          <w:p w14:paraId="034B0665" w14:textId="77777777" w:rsidR="00DD2A75" w:rsidRPr="009621CD" w:rsidRDefault="00DD2A75" w:rsidP="00104785">
            <w:pPr>
              <w:ind w:firstLine="5"/>
              <w:rPr>
                <w:rFonts w:cs="Arial"/>
                <w:b/>
                <w:lang w:val="es-ES"/>
              </w:rPr>
            </w:pPr>
            <w:r w:rsidRPr="009621CD">
              <w:rPr>
                <w:rFonts w:cs="Arial"/>
                <w:b/>
                <w:lang w:val="es-ES"/>
              </w:rPr>
              <w:t>Unidad 2: Siglos I, II y III</w:t>
            </w:r>
          </w:p>
          <w:p w14:paraId="70410A4F" w14:textId="77777777" w:rsidR="00DD2A75" w:rsidRPr="005A0DA8" w:rsidRDefault="00DD2A75" w:rsidP="00104785">
            <w:pPr>
              <w:ind w:firstLine="5"/>
              <w:rPr>
                <w:rFonts w:cs="Arial"/>
                <w:bCs/>
                <w:lang w:val="es-ES"/>
              </w:rPr>
            </w:pPr>
            <w:r w:rsidRPr="005A0DA8">
              <w:rPr>
                <w:rFonts w:cs="Arial"/>
                <w:bCs/>
                <w:lang w:val="es-ES"/>
              </w:rPr>
              <w:t>2.2 Evangelio y cultura en el siglo II</w:t>
            </w:r>
          </w:p>
          <w:p w14:paraId="0A356CB2" w14:textId="77777777" w:rsidR="00DD2A75" w:rsidRPr="005A0DA8" w:rsidRDefault="00DD2A75" w:rsidP="00104785">
            <w:pPr>
              <w:jc w:val="both"/>
              <w:rPr>
                <w:bCs/>
                <w:lang w:val="es-ES"/>
              </w:rPr>
            </w:pPr>
          </w:p>
        </w:tc>
        <w:tc>
          <w:tcPr>
            <w:tcW w:w="2835" w:type="dxa"/>
          </w:tcPr>
          <w:p w14:paraId="3E9793C0" w14:textId="77777777" w:rsidR="00DD2A75" w:rsidRDefault="00DD2A75" w:rsidP="00104785">
            <w:pPr>
              <w:contextualSpacing/>
              <w:rPr>
                <w:rFonts w:cs="Arial"/>
                <w:color w:val="000000" w:themeColor="text1"/>
                <w:lang w:eastAsia="es-ES"/>
              </w:rPr>
            </w:pPr>
            <w:r w:rsidRPr="00A178E2">
              <w:rPr>
                <w:rFonts w:cs="Arial"/>
                <w:color w:val="0070C0"/>
                <w:lang w:eastAsia="es-ES"/>
              </w:rPr>
              <w:t>Ruta de aprendizaje</w:t>
            </w:r>
          </w:p>
          <w:p w14:paraId="580BF13C" w14:textId="77777777" w:rsidR="00DD2A75" w:rsidRDefault="00DD2A75" w:rsidP="00104785">
            <w:pPr>
              <w:contextualSpacing/>
              <w:rPr>
                <w:rFonts w:cs="Arial"/>
                <w:color w:val="000000" w:themeColor="text1"/>
                <w:lang w:eastAsia="es-ES"/>
              </w:rPr>
            </w:pPr>
          </w:p>
          <w:p w14:paraId="5D326562" w14:textId="77777777" w:rsidR="00DD2A75" w:rsidRDefault="00DD2A75" w:rsidP="00104785">
            <w:pPr>
              <w:contextualSpacing/>
              <w:rPr>
                <w:rFonts w:cs="Arial"/>
                <w:color w:val="0070C0"/>
                <w:lang w:eastAsia="es-ES"/>
              </w:rPr>
            </w:pPr>
            <w:r w:rsidRPr="002408C7">
              <w:rPr>
                <w:rFonts w:cs="Arial"/>
                <w:color w:val="000000" w:themeColor="text1"/>
                <w:lang w:eastAsia="es-ES"/>
              </w:rPr>
              <w:t xml:space="preserve">González, Justo. “La defensa de la fe”, “Los maestros de la iglesia”.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67-76 y 87-102.</w:t>
            </w:r>
            <w:r w:rsidRPr="002408C7">
              <w:rPr>
                <w:rFonts w:cs="Arial"/>
                <w:i/>
                <w:color w:val="000000" w:themeColor="text1"/>
                <w:lang w:eastAsia="es-ES"/>
              </w:rPr>
              <w:t xml:space="preserve"> </w:t>
            </w:r>
            <w:r w:rsidRPr="002408C7">
              <w:rPr>
                <w:rFonts w:cs="Arial"/>
                <w:color w:val="000000" w:themeColor="text1"/>
                <w:lang w:eastAsia="es-ES"/>
              </w:rPr>
              <w:t xml:space="preserve">Miami: </w:t>
            </w:r>
            <w:proofErr w:type="spellStart"/>
            <w:r w:rsidRPr="002408C7">
              <w:rPr>
                <w:rFonts w:cs="Arial"/>
                <w:color w:val="000000" w:themeColor="text1"/>
                <w:lang w:eastAsia="es-ES"/>
              </w:rPr>
              <w:t>Unilit</w:t>
            </w:r>
            <w:proofErr w:type="spellEnd"/>
            <w:r w:rsidRPr="002408C7">
              <w:rPr>
                <w:rFonts w:cs="Arial"/>
                <w:color w:val="000000" w:themeColor="text1"/>
                <w:lang w:eastAsia="es-ES"/>
              </w:rPr>
              <w:t>, 2009.</w:t>
            </w:r>
            <w:r>
              <w:rPr>
                <w:rFonts w:cs="Arial"/>
                <w:color w:val="000000" w:themeColor="text1"/>
                <w:lang w:eastAsia="es-ES"/>
              </w:rPr>
              <w:t xml:space="preserve"> </w:t>
            </w:r>
            <w:r w:rsidRPr="00433B70">
              <w:rPr>
                <w:rFonts w:cs="Arial"/>
                <w:color w:val="0070C0"/>
                <w:lang w:eastAsia="es-ES"/>
              </w:rPr>
              <w:t>(clásico, última edición)</w:t>
            </w:r>
          </w:p>
          <w:p w14:paraId="71685197" w14:textId="77777777" w:rsidR="00DD2A75" w:rsidRPr="00433B70" w:rsidRDefault="00DD2A75" w:rsidP="00104785">
            <w:pPr>
              <w:contextualSpacing/>
              <w:rPr>
                <w:rFonts w:cs="Arial"/>
                <w:color w:val="0070C0"/>
                <w:lang w:eastAsia="es-ES"/>
              </w:rPr>
            </w:pPr>
          </w:p>
          <w:p w14:paraId="4A0F0AC3" w14:textId="77777777" w:rsidR="00DD2A75" w:rsidRPr="00433B70" w:rsidRDefault="00DD2A75" w:rsidP="00104785">
            <w:pPr>
              <w:contextualSpacing/>
              <w:rPr>
                <w:rFonts w:cs="Arial"/>
                <w:color w:val="0070C0"/>
                <w:lang w:eastAsia="es-ES"/>
              </w:rPr>
            </w:pPr>
            <w:r w:rsidRPr="002408C7">
              <w:rPr>
                <w:rFonts w:cs="Arial"/>
                <w:color w:val="000000" w:themeColor="text1"/>
                <w:lang w:eastAsia="es-ES"/>
              </w:rPr>
              <w:t xml:space="preserve">González, Justo. “Clemente de Alejandría”. En </w:t>
            </w:r>
            <w:r w:rsidRPr="002408C7">
              <w:rPr>
                <w:rFonts w:cs="Arial"/>
                <w:i/>
                <w:color w:val="000000" w:themeColor="text1"/>
                <w:lang w:eastAsia="es-ES"/>
              </w:rPr>
              <w:t xml:space="preserve">Historia del pensamiento cristiano, </w:t>
            </w:r>
            <w:r w:rsidRPr="002408C7">
              <w:rPr>
                <w:rFonts w:cs="Arial"/>
                <w:color w:val="000000" w:themeColor="text1"/>
                <w:lang w:eastAsia="es-ES"/>
              </w:rPr>
              <w:t>188-201.</w:t>
            </w:r>
            <w:r w:rsidRPr="002408C7">
              <w:rPr>
                <w:rFonts w:cs="Arial"/>
                <w:i/>
                <w:color w:val="000000" w:themeColor="text1"/>
                <w:lang w:eastAsia="es-ES"/>
              </w:rPr>
              <w:t xml:space="preserve"> </w:t>
            </w:r>
            <w:r w:rsidRPr="002408C7">
              <w:rPr>
                <w:rFonts w:cs="Arial"/>
                <w:color w:val="000000" w:themeColor="text1"/>
                <w:lang w:eastAsia="es-ES"/>
              </w:rPr>
              <w:t>Miami: Caribe, 1993.</w:t>
            </w:r>
            <w:r>
              <w:rPr>
                <w:rFonts w:cs="Arial"/>
                <w:color w:val="000000" w:themeColor="text1"/>
                <w:lang w:eastAsia="es-ES"/>
              </w:rPr>
              <w:t xml:space="preserve"> </w:t>
            </w:r>
            <w:r w:rsidRPr="00433B70">
              <w:rPr>
                <w:rFonts w:cs="Arial"/>
                <w:color w:val="0070C0"/>
                <w:lang w:eastAsia="es-ES"/>
              </w:rPr>
              <w:t>(clásico, última edición)</w:t>
            </w:r>
          </w:p>
          <w:p w14:paraId="3E1CACE3" w14:textId="77777777" w:rsidR="00DD2A75" w:rsidRDefault="00DD2A75" w:rsidP="00104785">
            <w:pPr>
              <w:contextualSpacing/>
              <w:rPr>
                <w:rFonts w:cs="Arial"/>
                <w:color w:val="000000" w:themeColor="text1"/>
                <w:lang w:eastAsia="es-ES"/>
              </w:rPr>
            </w:pPr>
          </w:p>
          <w:p w14:paraId="6D215655" w14:textId="77777777" w:rsidR="00DD2A75" w:rsidRPr="00433B70" w:rsidRDefault="00DD2A75" w:rsidP="00104785">
            <w:pPr>
              <w:contextualSpacing/>
              <w:rPr>
                <w:rFonts w:cs="Arial"/>
                <w:color w:val="0070C0"/>
                <w:lang w:eastAsia="es-ES"/>
              </w:rPr>
            </w:pPr>
            <w:r w:rsidRPr="002408C7">
              <w:rPr>
                <w:rFonts w:cs="Arial"/>
                <w:color w:val="000000" w:themeColor="text1"/>
                <w:lang w:eastAsia="es-ES"/>
              </w:rPr>
              <w:t xml:space="preserve">González, Justo. “Justino Mártir”. En </w:t>
            </w:r>
            <w:r w:rsidRPr="002408C7">
              <w:rPr>
                <w:rFonts w:cs="Arial"/>
                <w:i/>
                <w:color w:val="000000" w:themeColor="text1"/>
                <w:lang w:eastAsia="es-ES"/>
              </w:rPr>
              <w:t xml:space="preserve">Historia del pensamiento cristiano, </w:t>
            </w:r>
            <w:r w:rsidRPr="002408C7">
              <w:rPr>
                <w:rFonts w:cs="Arial"/>
                <w:color w:val="000000" w:themeColor="text1"/>
                <w:lang w:eastAsia="es-ES"/>
              </w:rPr>
              <w:t>100-107.</w:t>
            </w:r>
            <w:r w:rsidRPr="002408C7">
              <w:rPr>
                <w:rFonts w:cs="Arial"/>
                <w:i/>
                <w:color w:val="000000" w:themeColor="text1"/>
                <w:lang w:eastAsia="es-ES"/>
              </w:rPr>
              <w:t xml:space="preserve"> </w:t>
            </w:r>
            <w:r w:rsidRPr="002408C7">
              <w:rPr>
                <w:rFonts w:cs="Arial"/>
                <w:color w:val="000000" w:themeColor="text1"/>
                <w:lang w:eastAsia="es-ES"/>
              </w:rPr>
              <w:t>Miami: Caribe, 1993.</w:t>
            </w:r>
            <w:r>
              <w:rPr>
                <w:rFonts w:cs="Arial"/>
                <w:color w:val="000000" w:themeColor="text1"/>
                <w:lang w:eastAsia="es-ES"/>
              </w:rPr>
              <w:t xml:space="preserve"> </w:t>
            </w:r>
            <w:r w:rsidRPr="00433B70">
              <w:rPr>
                <w:rFonts w:cs="Arial"/>
                <w:color w:val="0070C0"/>
                <w:lang w:eastAsia="es-ES"/>
              </w:rPr>
              <w:t>(clásico, última edición)</w:t>
            </w:r>
          </w:p>
          <w:p w14:paraId="32F9DADD" w14:textId="77777777" w:rsidR="00DD2A75" w:rsidRDefault="00DD2A75" w:rsidP="00104785">
            <w:pPr>
              <w:rPr>
                <w:rFonts w:cs="Arial"/>
                <w:color w:val="000000" w:themeColor="text1"/>
                <w:lang w:eastAsia="es-ES"/>
              </w:rPr>
            </w:pPr>
            <w:proofErr w:type="spellStart"/>
            <w:r w:rsidRPr="002408C7">
              <w:rPr>
                <w:rFonts w:cs="Arial"/>
                <w:color w:val="000000" w:themeColor="text1"/>
                <w:lang w:eastAsia="es-ES"/>
              </w:rPr>
              <w:t>Moingt</w:t>
            </w:r>
            <w:proofErr w:type="spellEnd"/>
            <w:r w:rsidRPr="002408C7">
              <w:rPr>
                <w:rFonts w:cs="Arial"/>
                <w:color w:val="000000" w:themeColor="text1"/>
                <w:lang w:eastAsia="es-ES"/>
              </w:rPr>
              <w:t xml:space="preserve">, Joseph. “La cristología de la iglesia primitiva: el precio de una mediación cultural”. </w:t>
            </w:r>
            <w:r w:rsidRPr="002408C7">
              <w:rPr>
                <w:rFonts w:cs="Arial"/>
                <w:i/>
                <w:color w:val="000000" w:themeColor="text1"/>
                <w:lang w:eastAsia="es-ES"/>
              </w:rPr>
              <w:t xml:space="preserve">Selecciones de Teología 37, </w:t>
            </w:r>
            <w:r w:rsidRPr="002408C7">
              <w:rPr>
                <w:rFonts w:cs="Arial"/>
                <w:color w:val="000000" w:themeColor="text1"/>
                <w:lang w:eastAsia="es-ES"/>
              </w:rPr>
              <w:t>n. 147 (1998): pp. 175-180.</w:t>
            </w:r>
          </w:p>
          <w:p w14:paraId="364E1DFD" w14:textId="77777777" w:rsidR="00DD2A75" w:rsidRDefault="00DD2A75" w:rsidP="00104785">
            <w:pPr>
              <w:rPr>
                <w:rStyle w:val="Hipervnculo"/>
                <w:rFonts w:cstheme="minorHAnsi"/>
                <w:b/>
                <w:color w:val="0070C0"/>
              </w:rPr>
            </w:pPr>
            <w:r w:rsidRPr="00821B7C">
              <w:rPr>
                <w:rStyle w:val="Hipervnculo"/>
                <w:rFonts w:cstheme="minorHAnsi"/>
                <w:b/>
                <w:color w:val="0070C0"/>
              </w:rPr>
              <w:lastRenderedPageBreak/>
              <w:t>Material complementario</w:t>
            </w:r>
          </w:p>
          <w:p w14:paraId="6DE1343F" w14:textId="77777777" w:rsidR="00DD2A75" w:rsidRPr="006E7140" w:rsidRDefault="00DD2A75" w:rsidP="00104785">
            <w:pPr>
              <w:rPr>
                <w:rStyle w:val="Hipervnculo"/>
                <w:rFonts w:cstheme="minorHAnsi"/>
                <w:bCs/>
                <w:color w:val="0070C0"/>
              </w:rPr>
            </w:pPr>
            <w:r w:rsidRPr="006E7140">
              <w:rPr>
                <w:rStyle w:val="Hipervnculo"/>
                <w:rFonts w:cstheme="minorHAnsi"/>
                <w:bCs/>
                <w:color w:val="0070C0"/>
              </w:rPr>
              <w:t xml:space="preserve">Guía para la participación mediante la herramienta Big Blue </w:t>
            </w:r>
            <w:proofErr w:type="spellStart"/>
            <w:r w:rsidRPr="006E7140">
              <w:rPr>
                <w:rStyle w:val="Hipervnculo"/>
                <w:rFonts w:cstheme="minorHAnsi"/>
                <w:bCs/>
                <w:color w:val="0070C0"/>
              </w:rPr>
              <w:t>Button</w:t>
            </w:r>
            <w:proofErr w:type="spellEnd"/>
            <w:r w:rsidRPr="006E7140">
              <w:rPr>
                <w:rStyle w:val="Hipervnculo"/>
                <w:rFonts w:cstheme="minorHAnsi"/>
                <w:bCs/>
                <w:color w:val="0070C0"/>
              </w:rPr>
              <w:t xml:space="preserve"> en la plataforma Moodle</w:t>
            </w:r>
          </w:p>
          <w:p w14:paraId="739E3DB5" w14:textId="77777777" w:rsidR="00DD2A75" w:rsidRPr="002408C7" w:rsidRDefault="00DD2A75" w:rsidP="00104785">
            <w:r w:rsidRPr="006E7140">
              <w:rPr>
                <w:rStyle w:val="Hipervnculo"/>
                <w:rFonts w:cstheme="minorHAnsi"/>
                <w:bCs/>
                <w:color w:val="0070C0"/>
              </w:rPr>
              <w:t>Guía para la participación en un foro en la plataforma Moodle</w:t>
            </w:r>
          </w:p>
        </w:tc>
        <w:tc>
          <w:tcPr>
            <w:tcW w:w="3118" w:type="dxa"/>
          </w:tcPr>
          <w:p w14:paraId="18B24D74" w14:textId="77777777" w:rsidR="00DD2A75" w:rsidRPr="002408C7" w:rsidRDefault="00DD2A75" w:rsidP="00DD2A75">
            <w:pPr>
              <w:pStyle w:val="Prrafodelista"/>
              <w:numPr>
                <w:ilvl w:val="0"/>
                <w:numId w:val="76"/>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lastRenderedPageBreak/>
              <w:t>Exposiciones sobre el pensamiento de distintos líderes cristianos (análisis) y trabajo en grupos pequeños con fuentes primarias en un encuentro sincrónico</w:t>
            </w:r>
            <w:r>
              <w:rPr>
                <w:rFonts w:asciiTheme="minorHAnsi" w:hAnsiTheme="minorHAnsi" w:cstheme="minorHAnsi"/>
                <w:color w:val="000000" w:themeColor="text1"/>
              </w:rPr>
              <w:t xml:space="preserve"> virtual</w:t>
            </w:r>
            <w:r w:rsidRPr="002408C7">
              <w:rPr>
                <w:rFonts w:asciiTheme="minorHAnsi" w:hAnsiTheme="minorHAnsi" w:cstheme="minorHAnsi"/>
                <w:color w:val="000000" w:themeColor="text1"/>
              </w:rPr>
              <w:t>.</w:t>
            </w:r>
          </w:p>
          <w:p w14:paraId="0B5228FF" w14:textId="77777777" w:rsidR="00DD2A75" w:rsidRPr="002408C7" w:rsidRDefault="00DD2A75" w:rsidP="00DD2A75">
            <w:pPr>
              <w:pStyle w:val="Prrafodelista"/>
              <w:numPr>
                <w:ilvl w:val="0"/>
                <w:numId w:val="76"/>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 xml:space="preserve">Participación en el foro temático grupal: Opciones para entender la relación entre evangelio y cultura hoy. </w:t>
            </w:r>
          </w:p>
        </w:tc>
      </w:tr>
      <w:tr w:rsidR="00DD2A75" w:rsidRPr="002408C7" w14:paraId="17D7B60A" w14:textId="77777777" w:rsidTr="00104785">
        <w:trPr>
          <w:jc w:val="center"/>
        </w:trPr>
        <w:tc>
          <w:tcPr>
            <w:tcW w:w="1271" w:type="dxa"/>
          </w:tcPr>
          <w:p w14:paraId="6CC04671" w14:textId="77777777" w:rsidR="00DD2A75" w:rsidRPr="002408C7" w:rsidRDefault="00DD2A75" w:rsidP="00104785">
            <w:pPr>
              <w:jc w:val="center"/>
              <w:rPr>
                <w:color w:val="000000" w:themeColor="text1"/>
              </w:rPr>
            </w:pPr>
            <w:r w:rsidRPr="002408C7">
              <w:rPr>
                <w:color w:val="000000" w:themeColor="text1"/>
              </w:rPr>
              <w:t>5</w:t>
            </w:r>
          </w:p>
        </w:tc>
        <w:tc>
          <w:tcPr>
            <w:tcW w:w="2410" w:type="dxa"/>
          </w:tcPr>
          <w:p w14:paraId="275B3C10" w14:textId="77777777" w:rsidR="00DD2A75" w:rsidRPr="00DB14BB" w:rsidRDefault="00DD2A75" w:rsidP="00104785">
            <w:pPr>
              <w:rPr>
                <w:rFonts w:cs="Arial"/>
                <w:b/>
                <w:lang w:val="es-ES"/>
              </w:rPr>
            </w:pPr>
            <w:r w:rsidRPr="00DB14BB">
              <w:rPr>
                <w:rFonts w:cs="Arial"/>
                <w:b/>
                <w:lang w:val="es-ES"/>
              </w:rPr>
              <w:t>Unidad 2: Siglos I, II y III</w:t>
            </w:r>
          </w:p>
          <w:p w14:paraId="721BF193" w14:textId="77777777" w:rsidR="00DD2A75" w:rsidRPr="005A0DA8" w:rsidRDefault="00DD2A75" w:rsidP="00104785">
            <w:pPr>
              <w:ind w:firstLine="5"/>
              <w:rPr>
                <w:rFonts w:cs="Arial"/>
                <w:bCs/>
              </w:rPr>
            </w:pPr>
            <w:r w:rsidRPr="005A0DA8">
              <w:rPr>
                <w:rFonts w:cs="Arial"/>
                <w:bCs/>
                <w:lang w:val="es-ES"/>
              </w:rPr>
              <w:t xml:space="preserve">2.3 </w:t>
            </w:r>
            <w:r w:rsidRPr="005A0DA8">
              <w:rPr>
                <w:rFonts w:cs="Arial"/>
                <w:bCs/>
              </w:rPr>
              <w:t>Orígenes y organización de la iglesia</w:t>
            </w:r>
          </w:p>
          <w:p w14:paraId="350F8459" w14:textId="77777777" w:rsidR="00DD2A75" w:rsidRPr="005A0DA8" w:rsidRDefault="00DD2A75" w:rsidP="00104785">
            <w:pPr>
              <w:ind w:firstLine="5"/>
              <w:rPr>
                <w:rFonts w:cs="Arial"/>
                <w:bCs/>
              </w:rPr>
            </w:pPr>
            <w:r w:rsidRPr="005A0DA8">
              <w:rPr>
                <w:rFonts w:cs="Arial"/>
                <w:bCs/>
              </w:rPr>
              <w:t>2.4 La relación del cristianismo con el Imperio Romano</w:t>
            </w:r>
          </w:p>
          <w:p w14:paraId="2F550C32" w14:textId="77777777" w:rsidR="00DD2A75" w:rsidRPr="005A0DA8" w:rsidRDefault="00DD2A75" w:rsidP="00104785">
            <w:pPr>
              <w:pStyle w:val="Normalcontenido"/>
              <w:ind w:left="0" w:firstLine="0"/>
              <w:rPr>
                <w:rFonts w:asciiTheme="minorHAnsi" w:hAnsiTheme="minorHAnsi" w:cs="Arial"/>
                <w:bCs/>
                <w:sz w:val="22"/>
                <w:szCs w:val="22"/>
              </w:rPr>
            </w:pPr>
          </w:p>
        </w:tc>
        <w:tc>
          <w:tcPr>
            <w:tcW w:w="2835" w:type="dxa"/>
          </w:tcPr>
          <w:p w14:paraId="6CC1A70A" w14:textId="77777777" w:rsidR="00DD2A75" w:rsidRDefault="00DD2A75" w:rsidP="00104785">
            <w:pPr>
              <w:contextualSpacing/>
              <w:rPr>
                <w:rFonts w:cs="Arial"/>
                <w:color w:val="000000" w:themeColor="text1"/>
                <w:lang w:eastAsia="es-ES"/>
              </w:rPr>
            </w:pPr>
            <w:r w:rsidRPr="00A178E2">
              <w:rPr>
                <w:rFonts w:cs="Arial"/>
                <w:color w:val="0070C0"/>
                <w:lang w:eastAsia="es-ES"/>
              </w:rPr>
              <w:t>Ruta de aprendizaje</w:t>
            </w:r>
          </w:p>
          <w:p w14:paraId="5C321268" w14:textId="77777777" w:rsidR="00DD2A75" w:rsidRDefault="00DD2A75" w:rsidP="00104785">
            <w:pPr>
              <w:contextualSpacing/>
              <w:rPr>
                <w:rFonts w:cs="Arial"/>
                <w:color w:val="000000" w:themeColor="text1"/>
                <w:lang w:eastAsia="es-ES"/>
              </w:rPr>
            </w:pPr>
          </w:p>
          <w:p w14:paraId="07F90FA7" w14:textId="77777777" w:rsidR="00DD2A75" w:rsidRPr="00433B70" w:rsidRDefault="00DD2A75" w:rsidP="00104785">
            <w:pPr>
              <w:contextualSpacing/>
              <w:rPr>
                <w:rFonts w:cs="Arial"/>
                <w:color w:val="0070C0"/>
                <w:lang w:eastAsia="es-ES"/>
              </w:rPr>
            </w:pPr>
            <w:proofErr w:type="spellStart"/>
            <w:r w:rsidRPr="002408C7">
              <w:rPr>
                <w:rFonts w:cs="Arial"/>
                <w:color w:val="000000" w:themeColor="text1"/>
                <w:lang w:eastAsia="es-ES"/>
              </w:rPr>
              <w:t>Comby</w:t>
            </w:r>
            <w:proofErr w:type="spellEnd"/>
            <w:r w:rsidRPr="002408C7">
              <w:rPr>
                <w:rFonts w:cs="Arial"/>
                <w:color w:val="000000" w:themeColor="text1"/>
                <w:lang w:eastAsia="es-ES"/>
              </w:rPr>
              <w:t xml:space="preserve">, Jean. “Los cristianos en un mundo que no los comprende”, “Ser cristiano en los primeros siglos”. En </w:t>
            </w:r>
            <w:r w:rsidRPr="002408C7">
              <w:rPr>
                <w:rFonts w:cs="Arial"/>
                <w:i/>
                <w:color w:val="000000" w:themeColor="text1"/>
                <w:lang w:eastAsia="es-ES"/>
              </w:rPr>
              <w:t xml:space="preserve">Para leer la historia de la Iglesia: Desde los orígenes hasta el siglo XXI, </w:t>
            </w:r>
            <w:r w:rsidRPr="002408C7">
              <w:rPr>
                <w:rFonts w:cs="Arial"/>
                <w:color w:val="000000" w:themeColor="text1"/>
                <w:lang w:eastAsia="es-ES"/>
              </w:rPr>
              <w:t>35-72.</w:t>
            </w:r>
            <w:r w:rsidRPr="002408C7">
              <w:rPr>
                <w:rFonts w:cs="Arial"/>
                <w:i/>
                <w:color w:val="000000" w:themeColor="text1"/>
                <w:lang w:eastAsia="es-ES"/>
              </w:rPr>
              <w:t xml:space="preserve"> </w:t>
            </w:r>
            <w:r w:rsidRPr="002408C7">
              <w:rPr>
                <w:rFonts w:cs="Arial"/>
                <w:color w:val="000000" w:themeColor="text1"/>
                <w:lang w:eastAsia="es-ES"/>
              </w:rPr>
              <w:t>Estella: Verbo Divino, 1998.</w:t>
            </w:r>
            <w:r>
              <w:rPr>
                <w:rFonts w:cs="Arial"/>
                <w:color w:val="000000" w:themeColor="text1"/>
                <w:lang w:eastAsia="es-ES"/>
              </w:rPr>
              <w:t xml:space="preserve"> </w:t>
            </w:r>
            <w:r w:rsidRPr="00433B70">
              <w:rPr>
                <w:rFonts w:cs="Arial"/>
                <w:color w:val="0070C0"/>
                <w:lang w:eastAsia="es-ES"/>
              </w:rPr>
              <w:t xml:space="preserve">(clásico, última </w:t>
            </w:r>
            <w:r>
              <w:rPr>
                <w:rFonts w:cs="Arial"/>
                <w:color w:val="0070C0"/>
                <w:lang w:eastAsia="es-ES"/>
              </w:rPr>
              <w:t>reimpresión 2007</w:t>
            </w:r>
            <w:r w:rsidRPr="00433B70">
              <w:rPr>
                <w:rFonts w:cs="Arial"/>
                <w:color w:val="0070C0"/>
                <w:lang w:eastAsia="es-ES"/>
              </w:rPr>
              <w:t>)</w:t>
            </w:r>
          </w:p>
          <w:p w14:paraId="78DA3469" w14:textId="77777777" w:rsidR="00DD2A75" w:rsidRPr="002408C7" w:rsidRDefault="00DD2A75" w:rsidP="00104785">
            <w:pPr>
              <w:contextualSpacing/>
              <w:rPr>
                <w:rFonts w:cs="Arial"/>
                <w:color w:val="000000" w:themeColor="text1"/>
                <w:lang w:eastAsia="es-ES"/>
              </w:rPr>
            </w:pPr>
          </w:p>
          <w:p w14:paraId="66198991" w14:textId="77777777" w:rsidR="00DD2A75" w:rsidRPr="002408C7" w:rsidRDefault="00DD2A75" w:rsidP="00104785">
            <w:pPr>
              <w:contextualSpacing/>
              <w:rPr>
                <w:rFonts w:cs="Arial"/>
                <w:b/>
                <w:color w:val="000000" w:themeColor="text1"/>
                <w:lang w:eastAsia="es-ES"/>
              </w:rPr>
            </w:pPr>
            <w:r w:rsidRPr="002408C7">
              <w:rPr>
                <w:rFonts w:cs="Arial"/>
                <w:b/>
                <w:color w:val="000000" w:themeColor="text1"/>
                <w:lang w:eastAsia="es-ES"/>
              </w:rPr>
              <w:t>Material complementario</w:t>
            </w:r>
          </w:p>
          <w:p w14:paraId="7CBF6F64" w14:textId="77777777" w:rsidR="00DD2A75" w:rsidRPr="002408C7" w:rsidRDefault="00DD2A75" w:rsidP="00104785">
            <w:pPr>
              <w:contextualSpacing/>
              <w:rPr>
                <w:rFonts w:cs="Arial"/>
                <w:b/>
                <w:color w:val="000000" w:themeColor="text1"/>
                <w:lang w:eastAsia="es-ES"/>
              </w:rPr>
            </w:pPr>
          </w:p>
          <w:p w14:paraId="572148DC" w14:textId="77777777" w:rsidR="00DD2A75" w:rsidRPr="002408C7" w:rsidRDefault="00DD2A75" w:rsidP="00104785">
            <w:pPr>
              <w:contextualSpacing/>
              <w:rPr>
                <w:rFonts w:cs="Arial"/>
                <w:color w:val="000000" w:themeColor="text1"/>
                <w:lang w:eastAsia="es-ES"/>
              </w:rPr>
            </w:pPr>
            <w:r w:rsidRPr="002408C7">
              <w:rPr>
                <w:rFonts w:cs="Arial"/>
                <w:bCs/>
              </w:rPr>
              <w:t xml:space="preserve">Pedregal Rodríguez, María Amparo. “Las mártires cristianas: género, violencia y dominación del cuerpo femenino”. </w:t>
            </w:r>
            <w:proofErr w:type="spellStart"/>
            <w:r w:rsidRPr="002408C7">
              <w:rPr>
                <w:rFonts w:cs="Arial"/>
                <w:bCs/>
                <w:i/>
              </w:rPr>
              <w:t>Studia</w:t>
            </w:r>
            <w:proofErr w:type="spellEnd"/>
            <w:r w:rsidRPr="002408C7">
              <w:rPr>
                <w:rFonts w:cs="Arial"/>
                <w:bCs/>
                <w:i/>
              </w:rPr>
              <w:t xml:space="preserve"> Histórica. Historia Antigua</w:t>
            </w:r>
            <w:r w:rsidRPr="002408C7">
              <w:rPr>
                <w:rFonts w:cs="Arial"/>
                <w:bCs/>
              </w:rPr>
              <w:t xml:space="preserve">, n. 18 (2000): 277-294. Acceso el 18 de diciembre de 2020. </w:t>
            </w:r>
            <w:hyperlink r:id="rId149" w:history="1">
              <w:r w:rsidRPr="002408C7">
                <w:rPr>
                  <w:rStyle w:val="Hipervnculo"/>
                  <w:rFonts w:cs="Arial"/>
                  <w:bCs/>
                </w:rPr>
                <w:t>https://revistas.usal.es//index.php/0213-2052/article/view/6230/6244</w:t>
              </w:r>
            </w:hyperlink>
          </w:p>
          <w:p w14:paraId="32F511BD" w14:textId="77777777" w:rsidR="00DD2A75" w:rsidRDefault="00DD2A75" w:rsidP="00104785">
            <w:pPr>
              <w:contextualSpacing/>
              <w:rPr>
                <w:color w:val="000000" w:themeColor="text1"/>
              </w:rPr>
            </w:pPr>
          </w:p>
          <w:p w14:paraId="7EB65620" w14:textId="77777777" w:rsidR="00DD2A75" w:rsidRPr="005D0A58" w:rsidRDefault="00DD2A75" w:rsidP="00104785">
            <w:pPr>
              <w:contextualSpacing/>
              <w:rPr>
                <w:color w:val="0070C0"/>
              </w:rPr>
            </w:pPr>
            <w:r w:rsidRPr="005D0A58">
              <w:rPr>
                <w:color w:val="0070C0"/>
              </w:rPr>
              <w:t xml:space="preserve">Guía para la participación mediante la herramienta Big Blue </w:t>
            </w:r>
            <w:proofErr w:type="spellStart"/>
            <w:r w:rsidRPr="005D0A58">
              <w:rPr>
                <w:color w:val="0070C0"/>
              </w:rPr>
              <w:t>Button</w:t>
            </w:r>
            <w:proofErr w:type="spellEnd"/>
            <w:r w:rsidRPr="005D0A58">
              <w:rPr>
                <w:color w:val="0070C0"/>
              </w:rPr>
              <w:t xml:space="preserve"> en la plataforma Moodle</w:t>
            </w:r>
          </w:p>
          <w:p w14:paraId="3412FAFE" w14:textId="77777777" w:rsidR="00DD2A75" w:rsidRPr="002408C7" w:rsidRDefault="00DD2A75" w:rsidP="00104785">
            <w:pPr>
              <w:contextualSpacing/>
              <w:rPr>
                <w:color w:val="000000" w:themeColor="text1"/>
              </w:rPr>
            </w:pPr>
          </w:p>
        </w:tc>
        <w:tc>
          <w:tcPr>
            <w:tcW w:w="3118" w:type="dxa"/>
          </w:tcPr>
          <w:p w14:paraId="5733B55E" w14:textId="77777777" w:rsidR="00DD2A75" w:rsidRPr="002408C7" w:rsidRDefault="00DD2A75" w:rsidP="00DD2A75">
            <w:pPr>
              <w:pStyle w:val="Prrafodelista"/>
              <w:numPr>
                <w:ilvl w:val="0"/>
                <w:numId w:val="74"/>
              </w:numPr>
              <w:ind w:left="427"/>
              <w:rPr>
                <w:rFonts w:asciiTheme="minorHAnsi" w:hAnsiTheme="minorHAnsi" w:cstheme="minorHAnsi"/>
              </w:rPr>
            </w:pPr>
            <w:r w:rsidRPr="002408C7">
              <w:rPr>
                <w:rFonts w:asciiTheme="minorHAnsi" w:hAnsiTheme="minorHAnsi" w:cstheme="minorHAnsi"/>
                <w:color w:val="000000" w:themeColor="text1"/>
              </w:rPr>
              <w:t xml:space="preserve">Elaboración de </w:t>
            </w:r>
            <w:r w:rsidRPr="002408C7">
              <w:rPr>
                <w:rFonts w:asciiTheme="minorHAnsi" w:hAnsiTheme="minorHAnsi" w:cstheme="minorHAnsi"/>
              </w:rPr>
              <w:t>resumen</w:t>
            </w:r>
            <w:r w:rsidRPr="002408C7">
              <w:rPr>
                <w:rFonts w:asciiTheme="minorHAnsi" w:hAnsiTheme="minorHAnsi" w:cstheme="minorHAnsi"/>
                <w:color w:val="000000" w:themeColor="text1"/>
              </w:rPr>
              <w:t xml:space="preserve"> de lectura de trasfondo</w:t>
            </w:r>
            <w:r w:rsidRPr="002408C7">
              <w:rPr>
                <w:rFonts w:asciiTheme="minorHAnsi" w:hAnsiTheme="minorHAnsi" w:cstheme="minorHAnsi"/>
              </w:rPr>
              <w:t>.</w:t>
            </w:r>
          </w:p>
          <w:p w14:paraId="75C1C1D8" w14:textId="77777777" w:rsidR="00DD2A75" w:rsidRPr="002408C7" w:rsidRDefault="00DD2A75" w:rsidP="00DD2A75">
            <w:pPr>
              <w:pStyle w:val="Prrafodelista"/>
              <w:numPr>
                <w:ilvl w:val="0"/>
                <w:numId w:val="74"/>
              </w:numPr>
              <w:ind w:left="427"/>
              <w:rPr>
                <w:rFonts w:asciiTheme="minorHAnsi" w:hAnsiTheme="minorHAnsi" w:cstheme="minorHAnsi"/>
              </w:rPr>
            </w:pPr>
            <w:r w:rsidRPr="002408C7">
              <w:rPr>
                <w:rFonts w:asciiTheme="minorHAnsi" w:hAnsiTheme="minorHAnsi" w:cstheme="minorHAnsi"/>
                <w:color w:val="000000" w:themeColor="text1"/>
              </w:rPr>
              <w:t>Exposición basada en lectura de análisis en un encuentro sincrónico</w:t>
            </w:r>
            <w:r>
              <w:rPr>
                <w:rFonts w:asciiTheme="minorHAnsi" w:hAnsiTheme="minorHAnsi" w:cstheme="minorHAnsi"/>
                <w:color w:val="000000" w:themeColor="text1"/>
              </w:rPr>
              <w:t xml:space="preserve"> virtual</w:t>
            </w:r>
            <w:r w:rsidRPr="002408C7">
              <w:rPr>
                <w:rFonts w:asciiTheme="minorHAnsi" w:hAnsiTheme="minorHAnsi" w:cstheme="minorHAnsi"/>
                <w:color w:val="000000" w:themeColor="text1"/>
              </w:rPr>
              <w:t>.</w:t>
            </w:r>
          </w:p>
          <w:p w14:paraId="25366E7C" w14:textId="77777777" w:rsidR="00DD2A75" w:rsidRPr="002408C7" w:rsidRDefault="00DD2A75" w:rsidP="00DD2A75">
            <w:pPr>
              <w:pStyle w:val="Prrafodelista"/>
              <w:numPr>
                <w:ilvl w:val="0"/>
                <w:numId w:val="74"/>
              </w:numPr>
              <w:ind w:left="427"/>
              <w:rPr>
                <w:rFonts w:asciiTheme="minorHAnsi" w:hAnsiTheme="minorHAnsi" w:cstheme="minorHAnsi"/>
              </w:rPr>
            </w:pPr>
            <w:r w:rsidRPr="002408C7">
              <w:rPr>
                <w:rFonts w:asciiTheme="minorHAnsi" w:hAnsiTheme="minorHAnsi" w:cstheme="minorHAnsi"/>
                <w:color w:val="000000" w:themeColor="text1"/>
              </w:rPr>
              <w:t>Entrega de la bibliografía preliminar de la monografía.</w:t>
            </w:r>
          </w:p>
          <w:p w14:paraId="34395DFE" w14:textId="77777777" w:rsidR="00DD2A75" w:rsidRPr="002408C7" w:rsidRDefault="00DD2A75" w:rsidP="00104785">
            <w:pPr>
              <w:pStyle w:val="Prrafodelista"/>
              <w:rPr>
                <w:rFonts w:asciiTheme="minorHAnsi" w:hAnsiTheme="minorHAnsi"/>
                <w:color w:val="000000" w:themeColor="text1"/>
              </w:rPr>
            </w:pPr>
          </w:p>
        </w:tc>
      </w:tr>
      <w:tr w:rsidR="00DD2A75" w:rsidRPr="002408C7" w14:paraId="4845919F" w14:textId="77777777" w:rsidTr="00104785">
        <w:trPr>
          <w:jc w:val="center"/>
        </w:trPr>
        <w:tc>
          <w:tcPr>
            <w:tcW w:w="1271" w:type="dxa"/>
          </w:tcPr>
          <w:p w14:paraId="496F4C2A" w14:textId="77777777" w:rsidR="00DD2A75" w:rsidRPr="002408C7" w:rsidRDefault="00DD2A75" w:rsidP="00104785">
            <w:pPr>
              <w:jc w:val="center"/>
              <w:rPr>
                <w:color w:val="000000" w:themeColor="text1"/>
              </w:rPr>
            </w:pPr>
            <w:r w:rsidRPr="002408C7">
              <w:rPr>
                <w:color w:val="000000" w:themeColor="text1"/>
              </w:rPr>
              <w:lastRenderedPageBreak/>
              <w:t>6</w:t>
            </w:r>
          </w:p>
        </w:tc>
        <w:tc>
          <w:tcPr>
            <w:tcW w:w="2410" w:type="dxa"/>
          </w:tcPr>
          <w:p w14:paraId="4DC9B961" w14:textId="77777777" w:rsidR="00DD2A75" w:rsidRPr="00DB14BB" w:rsidRDefault="00DD2A75" w:rsidP="00104785">
            <w:pPr>
              <w:ind w:firstLine="5"/>
              <w:rPr>
                <w:rFonts w:cs="Arial"/>
                <w:b/>
                <w:lang w:val="es-ES"/>
              </w:rPr>
            </w:pPr>
            <w:r w:rsidRPr="00DB14BB">
              <w:rPr>
                <w:rFonts w:cs="Arial"/>
                <w:b/>
                <w:lang w:val="es-ES"/>
              </w:rPr>
              <w:t>Unidad 2: Siglos I, II y III</w:t>
            </w:r>
          </w:p>
          <w:p w14:paraId="4ED99B13" w14:textId="77777777" w:rsidR="00DD2A75" w:rsidRPr="005A0DA8" w:rsidRDefault="00DD2A75" w:rsidP="00104785">
            <w:pPr>
              <w:ind w:firstLine="5"/>
              <w:rPr>
                <w:rFonts w:cs="Arial"/>
                <w:bCs/>
                <w:lang w:val="es-ES"/>
              </w:rPr>
            </w:pPr>
            <w:r w:rsidRPr="005A0DA8">
              <w:rPr>
                <w:rFonts w:cs="Arial"/>
                <w:bCs/>
                <w:lang w:val="es-ES"/>
              </w:rPr>
              <w:t>2.5 Participación de las mujeres</w:t>
            </w:r>
          </w:p>
          <w:p w14:paraId="0D1F03C5" w14:textId="77777777" w:rsidR="00DD2A75" w:rsidRPr="005A0DA8" w:rsidRDefault="00DD2A75" w:rsidP="00104785">
            <w:pPr>
              <w:rPr>
                <w:bCs/>
              </w:rPr>
            </w:pPr>
            <w:r w:rsidRPr="005A0DA8">
              <w:rPr>
                <w:rFonts w:cs="Arial"/>
                <w:bCs/>
                <w:lang w:val="es-ES"/>
              </w:rPr>
              <w:t xml:space="preserve">2.6 </w:t>
            </w:r>
            <w:r w:rsidRPr="005A0DA8">
              <w:rPr>
                <w:rFonts w:cs="Arial"/>
                <w:bCs/>
              </w:rPr>
              <w:t>El desafío de las herejías al cristianismo</w:t>
            </w:r>
          </w:p>
        </w:tc>
        <w:tc>
          <w:tcPr>
            <w:tcW w:w="2835" w:type="dxa"/>
          </w:tcPr>
          <w:p w14:paraId="79E04433"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2BA55C1A" w14:textId="77777777" w:rsidR="00DD2A75" w:rsidRDefault="00DD2A75" w:rsidP="00104785">
            <w:pPr>
              <w:contextualSpacing/>
              <w:rPr>
                <w:rFonts w:cs="Arial"/>
                <w:color w:val="0070C0"/>
                <w:lang w:eastAsia="es-ES"/>
              </w:rPr>
            </w:pPr>
            <w:proofErr w:type="spellStart"/>
            <w:r w:rsidRPr="002408C7">
              <w:rPr>
                <w:rFonts w:cs="Arial"/>
                <w:color w:val="000000" w:themeColor="text1"/>
                <w:lang w:eastAsia="es-ES"/>
              </w:rPr>
              <w:t>Madigan</w:t>
            </w:r>
            <w:proofErr w:type="spellEnd"/>
            <w:r w:rsidRPr="002408C7">
              <w:rPr>
                <w:rFonts w:cs="Arial"/>
                <w:color w:val="000000" w:themeColor="text1"/>
                <w:lang w:eastAsia="es-ES"/>
              </w:rPr>
              <w:t xml:space="preserve">, Kevin y Carolyn </w:t>
            </w:r>
            <w:proofErr w:type="spellStart"/>
            <w:r w:rsidRPr="002408C7">
              <w:rPr>
                <w:rFonts w:cs="Arial"/>
                <w:color w:val="000000" w:themeColor="text1"/>
                <w:lang w:eastAsia="es-ES"/>
              </w:rPr>
              <w:t>Osiek</w:t>
            </w:r>
            <w:proofErr w:type="spellEnd"/>
            <w:r w:rsidRPr="002408C7">
              <w:rPr>
                <w:rFonts w:cs="Arial"/>
                <w:color w:val="000000" w:themeColor="text1"/>
                <w:lang w:eastAsia="es-ES"/>
              </w:rPr>
              <w:t xml:space="preserve">, eds. “Mujeres diáconos en la iglesia oriental. Textos literarios, referencias literarias, inscripciones”. En </w:t>
            </w:r>
            <w:r w:rsidRPr="002408C7">
              <w:rPr>
                <w:rFonts w:cs="Arial"/>
                <w:i/>
                <w:color w:val="000000" w:themeColor="text1"/>
                <w:lang w:eastAsia="es-ES"/>
              </w:rPr>
              <w:t xml:space="preserve">Mujeres ordenadas en la iglesia primitiva: una historia documentada, </w:t>
            </w:r>
            <w:r w:rsidRPr="002408C7">
              <w:rPr>
                <w:rFonts w:cs="Arial"/>
                <w:color w:val="000000" w:themeColor="text1"/>
                <w:lang w:eastAsia="es-ES"/>
              </w:rPr>
              <w:t>51-52 y 116-159.</w:t>
            </w:r>
            <w:r w:rsidRPr="002408C7">
              <w:rPr>
                <w:rFonts w:cs="Arial"/>
                <w:i/>
                <w:color w:val="000000" w:themeColor="text1"/>
                <w:lang w:eastAsia="es-ES"/>
              </w:rPr>
              <w:t xml:space="preserve"> </w:t>
            </w:r>
            <w:r w:rsidRPr="002408C7">
              <w:rPr>
                <w:rFonts w:cs="Arial"/>
                <w:color w:val="000000" w:themeColor="text1"/>
                <w:lang w:eastAsia="es-ES"/>
              </w:rPr>
              <w:t>Estella: Verbo Divino, 2006.</w:t>
            </w:r>
            <w:r>
              <w:rPr>
                <w:rFonts w:cs="Arial"/>
                <w:color w:val="000000" w:themeColor="text1"/>
                <w:lang w:eastAsia="es-ES"/>
              </w:rPr>
              <w:t xml:space="preserve"> </w:t>
            </w:r>
            <w:r w:rsidRPr="00433B70">
              <w:rPr>
                <w:rFonts w:cs="Arial"/>
                <w:color w:val="0070C0"/>
                <w:lang w:eastAsia="es-ES"/>
              </w:rPr>
              <w:t>(clásico, última edición)</w:t>
            </w:r>
          </w:p>
          <w:p w14:paraId="01CB29CA" w14:textId="77777777" w:rsidR="00DD2A75" w:rsidRPr="00433B70" w:rsidRDefault="00DD2A75" w:rsidP="00104785">
            <w:pPr>
              <w:contextualSpacing/>
              <w:rPr>
                <w:rFonts w:cs="Arial"/>
                <w:color w:val="0070C0"/>
                <w:lang w:eastAsia="es-ES"/>
              </w:rPr>
            </w:pPr>
          </w:p>
          <w:p w14:paraId="6A0EE3C7" w14:textId="77777777" w:rsidR="00DD2A75" w:rsidRPr="00433B70" w:rsidRDefault="00DD2A75" w:rsidP="00104785">
            <w:pPr>
              <w:contextualSpacing/>
              <w:rPr>
                <w:rFonts w:cs="Arial"/>
                <w:color w:val="0070C0"/>
                <w:lang w:eastAsia="es-ES"/>
              </w:rPr>
            </w:pPr>
            <w:r w:rsidRPr="002408C7">
              <w:rPr>
                <w:rFonts w:cs="Arial"/>
                <w:color w:val="000000" w:themeColor="text1"/>
                <w:lang w:eastAsia="es-ES"/>
              </w:rPr>
              <w:t xml:space="preserve">González, Justo. “El depósito de la fe”.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77-86.</w:t>
            </w:r>
            <w:r w:rsidRPr="002408C7">
              <w:rPr>
                <w:rFonts w:cs="Arial"/>
                <w:i/>
                <w:color w:val="000000" w:themeColor="text1"/>
                <w:lang w:eastAsia="es-ES"/>
              </w:rPr>
              <w:t xml:space="preserve"> </w:t>
            </w:r>
            <w:r w:rsidRPr="002408C7">
              <w:rPr>
                <w:rFonts w:cs="Arial"/>
                <w:color w:val="000000" w:themeColor="text1"/>
                <w:lang w:eastAsia="es-ES"/>
              </w:rPr>
              <w:t xml:space="preserve">Miami: </w:t>
            </w:r>
            <w:proofErr w:type="spellStart"/>
            <w:r w:rsidRPr="002408C7">
              <w:rPr>
                <w:rFonts w:cs="Arial"/>
                <w:color w:val="000000" w:themeColor="text1"/>
                <w:lang w:eastAsia="es-ES"/>
              </w:rPr>
              <w:t>Unilit</w:t>
            </w:r>
            <w:proofErr w:type="spellEnd"/>
            <w:r w:rsidRPr="002408C7">
              <w:rPr>
                <w:rFonts w:cs="Arial"/>
                <w:color w:val="000000" w:themeColor="text1"/>
                <w:lang w:eastAsia="es-ES"/>
              </w:rPr>
              <w:t>, 2009.</w:t>
            </w:r>
            <w:r>
              <w:rPr>
                <w:rFonts w:cs="Arial"/>
                <w:color w:val="000000" w:themeColor="text1"/>
                <w:lang w:eastAsia="es-ES"/>
              </w:rPr>
              <w:t xml:space="preserve"> </w:t>
            </w:r>
            <w:r w:rsidRPr="00433B70">
              <w:rPr>
                <w:rFonts w:cs="Arial"/>
                <w:color w:val="0070C0"/>
                <w:lang w:eastAsia="es-ES"/>
              </w:rPr>
              <w:t>(clásico, última edición)</w:t>
            </w:r>
          </w:p>
          <w:p w14:paraId="58452861" w14:textId="77777777" w:rsidR="00DD2A75" w:rsidRPr="002408C7" w:rsidRDefault="00DD2A75" w:rsidP="00104785">
            <w:pPr>
              <w:rPr>
                <w:rFonts w:cs="Arial"/>
                <w:color w:val="000000" w:themeColor="text1"/>
                <w:lang w:eastAsia="es-ES"/>
              </w:rPr>
            </w:pPr>
            <w:r w:rsidRPr="002408C7">
              <w:rPr>
                <w:rFonts w:cs="Arial"/>
                <w:color w:val="000000" w:themeColor="text1"/>
                <w:lang w:eastAsia="es-ES"/>
              </w:rPr>
              <w:t xml:space="preserve">Richard, Pablo. “Ortodoxia y herejía en los orígenes del cristianismo”. </w:t>
            </w:r>
            <w:r w:rsidRPr="002408C7">
              <w:rPr>
                <w:rFonts w:cs="Arial"/>
                <w:i/>
                <w:color w:val="000000" w:themeColor="text1"/>
                <w:lang w:eastAsia="es-ES"/>
              </w:rPr>
              <w:t xml:space="preserve">Senderos 65, </w:t>
            </w:r>
            <w:r w:rsidRPr="002408C7">
              <w:rPr>
                <w:rFonts w:cs="Arial"/>
                <w:color w:val="000000" w:themeColor="text1"/>
                <w:lang w:eastAsia="es-ES"/>
              </w:rPr>
              <w:t>(2000): pp. 219-235.</w:t>
            </w:r>
          </w:p>
          <w:p w14:paraId="702AEEF9" w14:textId="77777777" w:rsidR="00DD2A75" w:rsidRPr="002408C7" w:rsidRDefault="00DD2A75" w:rsidP="00104785">
            <w:pPr>
              <w:rPr>
                <w:rFonts w:cs="Arial"/>
                <w:b/>
                <w:color w:val="000000" w:themeColor="text1"/>
                <w:lang w:eastAsia="es-ES"/>
              </w:rPr>
            </w:pPr>
            <w:r w:rsidRPr="002408C7">
              <w:rPr>
                <w:rFonts w:cs="Arial"/>
                <w:b/>
                <w:color w:val="000000" w:themeColor="text1"/>
                <w:lang w:eastAsia="es-ES"/>
              </w:rPr>
              <w:t>Material complementario</w:t>
            </w:r>
          </w:p>
          <w:p w14:paraId="3A1EA937" w14:textId="77777777" w:rsidR="00DD2A75" w:rsidRPr="002408C7" w:rsidRDefault="00DD2A75" w:rsidP="00104785">
            <w:pPr>
              <w:rPr>
                <w:rFonts w:cs="Arial"/>
                <w:b/>
                <w:color w:val="000000" w:themeColor="text1"/>
                <w:lang w:eastAsia="es-ES"/>
              </w:rPr>
            </w:pPr>
            <w:r w:rsidRPr="002408C7">
              <w:rPr>
                <w:rFonts w:cs="Arial"/>
                <w:bCs/>
              </w:rPr>
              <w:t xml:space="preserve">Rocco </w:t>
            </w:r>
            <w:proofErr w:type="spellStart"/>
            <w:r w:rsidRPr="002408C7">
              <w:rPr>
                <w:rFonts w:cs="Arial"/>
                <w:bCs/>
              </w:rPr>
              <w:t>Tedesco</w:t>
            </w:r>
            <w:proofErr w:type="spellEnd"/>
            <w:r w:rsidRPr="002408C7">
              <w:rPr>
                <w:rFonts w:cs="Arial"/>
                <w:bCs/>
              </w:rPr>
              <w:t xml:space="preserve">, Diana. “Iglesia y poder: el rostro oculto de lo femenino”. </w:t>
            </w:r>
            <w:proofErr w:type="spellStart"/>
            <w:r w:rsidRPr="002408C7">
              <w:rPr>
                <w:rFonts w:cs="Arial"/>
                <w:bCs/>
                <w:i/>
              </w:rPr>
              <w:t>Theologica</w:t>
            </w:r>
            <w:proofErr w:type="spellEnd"/>
            <w:r w:rsidRPr="002408C7">
              <w:rPr>
                <w:rFonts w:cs="Arial"/>
                <w:bCs/>
                <w:i/>
              </w:rPr>
              <w:t xml:space="preserve"> </w:t>
            </w:r>
            <w:proofErr w:type="spellStart"/>
            <w:r w:rsidRPr="002408C7">
              <w:rPr>
                <w:rFonts w:cs="Arial"/>
                <w:bCs/>
                <w:i/>
              </w:rPr>
              <w:t>Xaveriana</w:t>
            </w:r>
            <w:proofErr w:type="spellEnd"/>
            <w:r w:rsidRPr="002408C7">
              <w:rPr>
                <w:rFonts w:cs="Arial"/>
                <w:bCs/>
              </w:rPr>
              <w:t xml:space="preserve">, n. 173 (2012): 169-198. Acceso el 18 de diciembre de 2020. </w:t>
            </w:r>
            <w:hyperlink r:id="rId150" w:history="1">
              <w:r w:rsidRPr="002408C7">
                <w:rPr>
                  <w:rStyle w:val="Hipervnculo"/>
                  <w:rFonts w:cs="Arial"/>
                  <w:bCs/>
                </w:rPr>
                <w:t>https://revistas.javeriana.edu.co/index.php/teoxaveriana/article/view/9340</w:t>
              </w:r>
            </w:hyperlink>
            <w:r w:rsidRPr="002408C7">
              <w:rPr>
                <w:rFonts w:cs="Arial"/>
                <w:bCs/>
                <w:color w:val="00B050"/>
              </w:rPr>
              <w:t xml:space="preserve"> </w:t>
            </w:r>
          </w:p>
          <w:p w14:paraId="454E660B" w14:textId="77777777" w:rsidR="00DD2A75" w:rsidRPr="00862139" w:rsidRDefault="00DD2A75" w:rsidP="00104785">
            <w:pPr>
              <w:rPr>
                <w:rFonts w:cs="Arial"/>
                <w:color w:val="0070C0"/>
                <w:lang w:eastAsia="es-ES"/>
              </w:rPr>
            </w:pPr>
            <w:r w:rsidRPr="00862139">
              <w:rPr>
                <w:rFonts w:cs="Arial"/>
                <w:color w:val="0070C0"/>
                <w:lang w:eastAsia="es-ES"/>
              </w:rPr>
              <w:t xml:space="preserve">Guía para la participación mediante la herramienta Big Blue </w:t>
            </w:r>
            <w:proofErr w:type="spellStart"/>
            <w:r w:rsidRPr="00862139">
              <w:rPr>
                <w:rFonts w:cs="Arial"/>
                <w:color w:val="0070C0"/>
                <w:lang w:eastAsia="es-ES"/>
              </w:rPr>
              <w:t>Button</w:t>
            </w:r>
            <w:proofErr w:type="spellEnd"/>
            <w:r w:rsidRPr="00862139">
              <w:rPr>
                <w:rFonts w:cs="Arial"/>
                <w:color w:val="0070C0"/>
                <w:lang w:eastAsia="es-ES"/>
              </w:rPr>
              <w:t xml:space="preserve"> en la plataforma Moodle</w:t>
            </w:r>
          </w:p>
          <w:p w14:paraId="6BAD7D46" w14:textId="77777777" w:rsidR="00DD2A75" w:rsidRPr="002408C7" w:rsidRDefault="00DD2A75" w:rsidP="00104785">
            <w:pPr>
              <w:rPr>
                <w:rFonts w:cs="Arial"/>
                <w:color w:val="000000" w:themeColor="text1"/>
                <w:lang w:eastAsia="es-ES"/>
              </w:rPr>
            </w:pPr>
            <w:r w:rsidRPr="00862139">
              <w:rPr>
                <w:rFonts w:cs="Arial"/>
                <w:color w:val="0070C0"/>
                <w:lang w:eastAsia="es-ES"/>
              </w:rPr>
              <w:t>Guía para la participación en un foro en la plataforma Moodle</w:t>
            </w:r>
          </w:p>
        </w:tc>
        <w:tc>
          <w:tcPr>
            <w:tcW w:w="3118" w:type="dxa"/>
          </w:tcPr>
          <w:p w14:paraId="79ABD8FE" w14:textId="77777777" w:rsidR="00DD2A75" w:rsidRPr="002408C7" w:rsidRDefault="00DD2A75" w:rsidP="00DD2A75">
            <w:pPr>
              <w:pStyle w:val="Prrafodelista"/>
              <w:numPr>
                <w:ilvl w:val="0"/>
                <w:numId w:val="77"/>
              </w:numPr>
              <w:ind w:left="420"/>
              <w:rPr>
                <w:rFonts w:asciiTheme="minorHAnsi" w:hAnsiTheme="minorHAnsi"/>
                <w:color w:val="000000" w:themeColor="text1"/>
              </w:rPr>
            </w:pPr>
            <w:r w:rsidRPr="002408C7">
              <w:rPr>
                <w:rFonts w:asciiTheme="minorHAnsi" w:hAnsiTheme="minorHAnsi"/>
                <w:color w:val="000000" w:themeColor="text1"/>
              </w:rPr>
              <w:t>Exposiciones basadas en lecturas de análisis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p w14:paraId="50B07E23" w14:textId="77777777" w:rsidR="00DD2A75" w:rsidRPr="002408C7" w:rsidRDefault="00DD2A75" w:rsidP="00DD2A75">
            <w:pPr>
              <w:pStyle w:val="Prrafodelista"/>
              <w:numPr>
                <w:ilvl w:val="0"/>
                <w:numId w:val="77"/>
              </w:numPr>
              <w:ind w:left="420"/>
              <w:rPr>
                <w:rFonts w:asciiTheme="minorHAnsi" w:hAnsiTheme="minorHAnsi"/>
                <w:color w:val="000000" w:themeColor="text1"/>
              </w:rPr>
            </w:pPr>
            <w:r w:rsidRPr="002408C7">
              <w:rPr>
                <w:rFonts w:asciiTheme="minorHAnsi" w:hAnsiTheme="minorHAnsi"/>
                <w:color w:val="000000" w:themeColor="text1"/>
              </w:rPr>
              <w:t>Participación en el foro temático grupal: Ortodoxia y Herejía.</w:t>
            </w:r>
          </w:p>
          <w:p w14:paraId="1DE3D3EB" w14:textId="77777777" w:rsidR="00DD2A75" w:rsidRPr="002408C7" w:rsidRDefault="00DD2A75" w:rsidP="00DD2A75">
            <w:pPr>
              <w:pStyle w:val="Prrafodelista"/>
              <w:numPr>
                <w:ilvl w:val="0"/>
                <w:numId w:val="77"/>
              </w:numPr>
              <w:ind w:left="420"/>
              <w:rPr>
                <w:rFonts w:asciiTheme="minorHAnsi" w:hAnsiTheme="minorHAnsi"/>
                <w:color w:val="000000" w:themeColor="text1"/>
              </w:rPr>
            </w:pPr>
            <w:r w:rsidRPr="002408C7">
              <w:rPr>
                <w:rFonts w:asciiTheme="minorHAnsi" w:hAnsiTheme="minorHAnsi"/>
                <w:color w:val="000000" w:themeColor="text1"/>
              </w:rPr>
              <w:t>Asignación de lecturas para resúmenes y exposiciones en la Unidad III.</w:t>
            </w:r>
          </w:p>
        </w:tc>
      </w:tr>
      <w:tr w:rsidR="00DD2A75" w:rsidRPr="002408C7" w14:paraId="048B2B21" w14:textId="77777777" w:rsidTr="00104785">
        <w:trPr>
          <w:jc w:val="center"/>
        </w:trPr>
        <w:tc>
          <w:tcPr>
            <w:tcW w:w="1271" w:type="dxa"/>
          </w:tcPr>
          <w:p w14:paraId="2FF063E5" w14:textId="77777777" w:rsidR="00DD2A75" w:rsidRPr="002408C7" w:rsidRDefault="00DD2A75" w:rsidP="00104785">
            <w:pPr>
              <w:jc w:val="center"/>
              <w:rPr>
                <w:color w:val="000000" w:themeColor="text1"/>
              </w:rPr>
            </w:pPr>
            <w:r w:rsidRPr="002408C7">
              <w:rPr>
                <w:color w:val="000000" w:themeColor="text1"/>
              </w:rPr>
              <w:lastRenderedPageBreak/>
              <w:t>7</w:t>
            </w:r>
          </w:p>
        </w:tc>
        <w:tc>
          <w:tcPr>
            <w:tcW w:w="2410" w:type="dxa"/>
          </w:tcPr>
          <w:p w14:paraId="34350795" w14:textId="77777777" w:rsidR="00DD2A75" w:rsidRPr="00DB14BB" w:rsidRDefault="00DD2A75" w:rsidP="00104785">
            <w:pPr>
              <w:rPr>
                <w:rFonts w:cs="Arial"/>
                <w:b/>
                <w:lang w:val="es-ES"/>
              </w:rPr>
            </w:pPr>
            <w:r w:rsidRPr="00DB14BB">
              <w:rPr>
                <w:rFonts w:cs="Arial"/>
                <w:b/>
                <w:lang w:val="es-ES"/>
              </w:rPr>
              <w:t>Unidad 3: Siglos IV y V</w:t>
            </w:r>
          </w:p>
          <w:p w14:paraId="7170AC3A" w14:textId="77777777" w:rsidR="00DD2A75" w:rsidRPr="005A0DA8" w:rsidRDefault="00DD2A75" w:rsidP="00104785">
            <w:pPr>
              <w:rPr>
                <w:rFonts w:cs="Arial"/>
                <w:bCs/>
                <w:lang w:val="es-ES"/>
              </w:rPr>
            </w:pPr>
            <w:r w:rsidRPr="005A0DA8">
              <w:rPr>
                <w:rFonts w:cs="Arial"/>
                <w:bCs/>
                <w:lang w:val="es-ES"/>
              </w:rPr>
              <w:t xml:space="preserve">3.1 </w:t>
            </w:r>
            <w:r w:rsidRPr="005A0DA8">
              <w:rPr>
                <w:rFonts w:cs="Arial"/>
                <w:bCs/>
              </w:rPr>
              <w:t>La relación Iglesia-Estado hasta el siglo V</w:t>
            </w:r>
          </w:p>
          <w:p w14:paraId="0A8C29C1" w14:textId="77777777" w:rsidR="00DD2A75" w:rsidRPr="005A0DA8" w:rsidRDefault="00DD2A75" w:rsidP="00104785">
            <w:pPr>
              <w:rPr>
                <w:rFonts w:cs="Arial"/>
                <w:bCs/>
                <w:lang w:val="es-ES"/>
              </w:rPr>
            </w:pPr>
            <w:r w:rsidRPr="005A0DA8">
              <w:rPr>
                <w:rFonts w:cs="Arial"/>
                <w:bCs/>
                <w:lang w:val="es-ES"/>
              </w:rPr>
              <w:t xml:space="preserve">3.2 </w:t>
            </w:r>
            <w:r w:rsidRPr="005A0DA8">
              <w:rPr>
                <w:rFonts w:cs="Arial"/>
                <w:bCs/>
              </w:rPr>
              <w:t>Las controversias trinitario-cristológicas</w:t>
            </w:r>
          </w:p>
        </w:tc>
        <w:tc>
          <w:tcPr>
            <w:tcW w:w="2835" w:type="dxa"/>
          </w:tcPr>
          <w:p w14:paraId="3E2A8E2E"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019D55FA" w14:textId="77777777" w:rsidR="00DD2A75" w:rsidRPr="00433B70" w:rsidRDefault="00DD2A75" w:rsidP="00104785">
            <w:pPr>
              <w:contextualSpacing/>
              <w:rPr>
                <w:rFonts w:cs="Arial"/>
                <w:color w:val="0070C0"/>
                <w:lang w:eastAsia="es-ES"/>
              </w:rPr>
            </w:pPr>
            <w:r w:rsidRPr="002408C7">
              <w:rPr>
                <w:rFonts w:cs="Arial"/>
                <w:color w:val="000000" w:themeColor="text1"/>
                <w:lang w:eastAsia="es-ES"/>
              </w:rPr>
              <w:t xml:space="preserve">González, Justo. “El impacto de Constantino”, “La teología oficial: Eusebio de </w:t>
            </w:r>
            <w:proofErr w:type="spellStart"/>
            <w:r w:rsidRPr="002408C7">
              <w:rPr>
                <w:rFonts w:cs="Arial"/>
                <w:color w:val="000000" w:themeColor="text1"/>
                <w:lang w:eastAsia="es-ES"/>
              </w:rPr>
              <w:t>Cesarea</w:t>
            </w:r>
            <w:proofErr w:type="spellEnd"/>
            <w:r w:rsidRPr="002408C7">
              <w:rPr>
                <w:rFonts w:cs="Arial"/>
                <w:color w:val="000000" w:themeColor="text1"/>
                <w:lang w:eastAsia="es-ES"/>
              </w:rPr>
              <w:t xml:space="preserve">”, “La controversia arriana y el Concilio de Nicea”, “Atanasio de Alejandría”, “Los Grandes Capadocios”, “Agustín de Hipona”.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129-150, 169-178, 185-202 y 221-230.</w:t>
            </w:r>
            <w:r w:rsidRPr="002408C7">
              <w:rPr>
                <w:rFonts w:cs="Arial"/>
                <w:i/>
                <w:color w:val="000000" w:themeColor="text1"/>
                <w:lang w:eastAsia="es-ES"/>
              </w:rPr>
              <w:t xml:space="preserve"> </w:t>
            </w:r>
            <w:r w:rsidRPr="002408C7">
              <w:rPr>
                <w:rFonts w:cs="Arial"/>
                <w:color w:val="000000" w:themeColor="text1"/>
                <w:lang w:eastAsia="es-ES"/>
              </w:rPr>
              <w:t xml:space="preserve">Miami: </w:t>
            </w:r>
            <w:proofErr w:type="spellStart"/>
            <w:r w:rsidRPr="002408C7">
              <w:rPr>
                <w:rFonts w:cs="Arial"/>
                <w:color w:val="000000" w:themeColor="text1"/>
                <w:lang w:eastAsia="es-ES"/>
              </w:rPr>
              <w:t>Unilit</w:t>
            </w:r>
            <w:proofErr w:type="spellEnd"/>
            <w:r w:rsidRPr="002408C7">
              <w:rPr>
                <w:rFonts w:cs="Arial"/>
                <w:color w:val="000000" w:themeColor="text1"/>
                <w:lang w:eastAsia="es-ES"/>
              </w:rPr>
              <w:t>, 2009.</w:t>
            </w:r>
            <w:r>
              <w:rPr>
                <w:rFonts w:cs="Arial"/>
                <w:color w:val="000000" w:themeColor="text1"/>
                <w:lang w:eastAsia="es-ES"/>
              </w:rPr>
              <w:t xml:space="preserve"> </w:t>
            </w:r>
            <w:r w:rsidRPr="00433B70">
              <w:rPr>
                <w:rFonts w:cs="Arial"/>
                <w:color w:val="0070C0"/>
                <w:lang w:eastAsia="es-ES"/>
              </w:rPr>
              <w:t>(clásico, última edición)</w:t>
            </w:r>
          </w:p>
          <w:p w14:paraId="0BF81471" w14:textId="77777777" w:rsidR="00DD2A75" w:rsidRPr="002408C7" w:rsidRDefault="00DD2A75" w:rsidP="00104785">
            <w:pPr>
              <w:rPr>
                <w:rFonts w:cs="Arial"/>
                <w:color w:val="000000" w:themeColor="text1"/>
                <w:lang w:eastAsia="es-ES"/>
              </w:rPr>
            </w:pPr>
          </w:p>
          <w:p w14:paraId="4734E481" w14:textId="77777777" w:rsidR="00DD2A75" w:rsidRPr="00A82C28" w:rsidRDefault="00DD2A75" w:rsidP="00104785">
            <w:pPr>
              <w:rPr>
                <w:rFonts w:cs="Arial"/>
                <w:color w:val="0070C0"/>
                <w:lang w:eastAsia="es-ES"/>
              </w:rPr>
            </w:pPr>
            <w:r w:rsidRPr="002408C7">
              <w:rPr>
                <w:rFonts w:cs="Arial"/>
                <w:color w:val="000000" w:themeColor="text1"/>
                <w:lang w:eastAsia="es-ES"/>
              </w:rPr>
              <w:t>Iglesia Presbiteriana EUA. “El Credo de los Apóstoles”. En</w:t>
            </w:r>
            <w:r w:rsidRPr="002408C7">
              <w:rPr>
                <w:rFonts w:cs="Arial"/>
                <w:i/>
                <w:color w:val="000000" w:themeColor="text1"/>
                <w:lang w:eastAsia="es-ES"/>
              </w:rPr>
              <w:t xml:space="preserve"> La constitución de la iglesia presbiteriana (E.U.A.): parte I, libro de confesiones</w:t>
            </w:r>
            <w:r w:rsidRPr="002408C7">
              <w:rPr>
                <w:rFonts w:cs="Arial"/>
                <w:color w:val="000000" w:themeColor="text1"/>
                <w:lang w:eastAsia="es-ES"/>
              </w:rPr>
              <w:t>, 6-7.</w:t>
            </w:r>
            <w:r w:rsidRPr="002408C7">
              <w:rPr>
                <w:rFonts w:cs="Arial"/>
                <w:i/>
                <w:color w:val="000000" w:themeColor="text1"/>
                <w:lang w:eastAsia="es-ES"/>
              </w:rPr>
              <w:t xml:space="preserve"> </w:t>
            </w:r>
            <w:r w:rsidRPr="002408C7">
              <w:rPr>
                <w:rFonts w:cs="Arial"/>
                <w:color w:val="000000" w:themeColor="text1"/>
                <w:lang w:eastAsia="es-ES"/>
              </w:rPr>
              <w:t>Louisville: Oficina de la Asamblea General, 1995.</w:t>
            </w:r>
            <w:r>
              <w:rPr>
                <w:rFonts w:cs="Arial"/>
                <w:color w:val="000000" w:themeColor="text1"/>
                <w:lang w:eastAsia="es-ES"/>
              </w:rPr>
              <w:t xml:space="preserve"> </w:t>
            </w:r>
            <w:r w:rsidRPr="00A82C28">
              <w:rPr>
                <w:rFonts w:cs="Arial"/>
                <w:color w:val="0070C0"/>
                <w:lang w:eastAsia="es-ES"/>
              </w:rPr>
              <w:t>(clásico, última edición)</w:t>
            </w:r>
          </w:p>
          <w:p w14:paraId="532F09B5" w14:textId="77777777" w:rsidR="00DD2A75" w:rsidRPr="00A82C28" w:rsidRDefault="00DD2A75" w:rsidP="00104785">
            <w:pPr>
              <w:rPr>
                <w:rFonts w:cs="Arial"/>
                <w:color w:val="0070C0"/>
                <w:lang w:eastAsia="es-ES"/>
              </w:rPr>
            </w:pPr>
            <w:r w:rsidRPr="002408C7">
              <w:rPr>
                <w:rFonts w:cs="Arial"/>
                <w:color w:val="000000" w:themeColor="text1"/>
                <w:lang w:eastAsia="es-ES"/>
              </w:rPr>
              <w:t xml:space="preserve">Iglesia Presbiteriana EUA. “El Credo Niceno”. En </w:t>
            </w:r>
            <w:r w:rsidRPr="002408C7">
              <w:rPr>
                <w:rFonts w:cs="Arial"/>
                <w:i/>
                <w:color w:val="000000" w:themeColor="text1"/>
                <w:lang w:eastAsia="es-ES"/>
              </w:rPr>
              <w:t>La constitución de la iglesia presbiteriana (E.U.A.): parte I, libro de confesiones</w:t>
            </w:r>
            <w:r w:rsidRPr="002408C7">
              <w:rPr>
                <w:rFonts w:cs="Arial"/>
                <w:color w:val="000000" w:themeColor="text1"/>
                <w:lang w:eastAsia="es-ES"/>
              </w:rPr>
              <w:t>, 2-3.</w:t>
            </w:r>
            <w:r w:rsidRPr="002408C7">
              <w:rPr>
                <w:rFonts w:cs="Arial"/>
                <w:i/>
                <w:color w:val="000000" w:themeColor="text1"/>
                <w:lang w:eastAsia="es-ES"/>
              </w:rPr>
              <w:t xml:space="preserve"> </w:t>
            </w:r>
            <w:r w:rsidRPr="002408C7">
              <w:rPr>
                <w:rFonts w:cs="Arial"/>
                <w:color w:val="000000" w:themeColor="text1"/>
                <w:lang w:eastAsia="es-ES"/>
              </w:rPr>
              <w:t>Louisville: Oficina de la Asamblea General, 1995.</w:t>
            </w:r>
            <w:r w:rsidRPr="00A82C28">
              <w:rPr>
                <w:rFonts w:cs="Arial"/>
                <w:color w:val="0070C0"/>
                <w:lang w:eastAsia="es-ES"/>
              </w:rPr>
              <w:t xml:space="preserve"> (clásico, última edición)</w:t>
            </w:r>
          </w:p>
          <w:p w14:paraId="4E944902" w14:textId="77777777" w:rsidR="00DD2A75" w:rsidRPr="002408C7" w:rsidRDefault="00DD2A75" w:rsidP="00104785">
            <w:pPr>
              <w:rPr>
                <w:rFonts w:cs="Arial"/>
                <w:b/>
                <w:color w:val="000000" w:themeColor="text1"/>
                <w:lang w:eastAsia="es-ES"/>
              </w:rPr>
            </w:pPr>
            <w:r w:rsidRPr="002408C7">
              <w:rPr>
                <w:rFonts w:cs="Arial"/>
                <w:b/>
                <w:color w:val="000000" w:themeColor="text1"/>
                <w:lang w:eastAsia="es-ES"/>
              </w:rPr>
              <w:t>Material complementario</w:t>
            </w:r>
          </w:p>
          <w:p w14:paraId="29C1ACEA" w14:textId="77777777" w:rsidR="00DD2A75" w:rsidRDefault="00DD2A75" w:rsidP="00104785">
            <w:pPr>
              <w:rPr>
                <w:rFonts w:cs="Arial"/>
                <w:bCs/>
              </w:rPr>
            </w:pPr>
            <w:r w:rsidRPr="002408C7">
              <w:rPr>
                <w:rFonts w:cs="Arial"/>
                <w:bCs/>
              </w:rPr>
              <w:t xml:space="preserve">Piñero, Antonio. “Arrio y el arrianismo: el concilio de Nicea”, “Una teología moderna: Pelagio y la controversia pelagiana”, “Otras disputas teológicas de los siglos IV y V”, “Nestorio y las iglesias nestorianas”, “El Concilio de Calcedonia del 451”. En </w:t>
            </w:r>
            <w:r w:rsidRPr="002408C7">
              <w:rPr>
                <w:rFonts w:cs="Arial"/>
                <w:bCs/>
                <w:i/>
              </w:rPr>
              <w:t xml:space="preserve">Los cristianismos derrotados: ¿Cuál fue el </w:t>
            </w:r>
            <w:r w:rsidRPr="002408C7">
              <w:rPr>
                <w:rFonts w:cs="Arial"/>
                <w:bCs/>
                <w:i/>
              </w:rPr>
              <w:lastRenderedPageBreak/>
              <w:t>pensamiento de los primeros cristianos heréticos y heterodoxos?</w:t>
            </w:r>
            <w:r w:rsidRPr="002408C7">
              <w:rPr>
                <w:rFonts w:cs="Arial"/>
                <w:bCs/>
              </w:rPr>
              <w:t>, 219-260. Madrid: Editorial EDAF, 2019.</w:t>
            </w:r>
          </w:p>
          <w:p w14:paraId="06136906" w14:textId="77777777" w:rsidR="00DD2A75" w:rsidRDefault="00DD2A75" w:rsidP="00104785">
            <w:pPr>
              <w:rPr>
                <w:rFonts w:cs="Arial"/>
                <w:bCs/>
                <w:color w:val="0070C0"/>
              </w:rPr>
            </w:pPr>
            <w:r>
              <w:rPr>
                <w:rFonts w:cs="Arial"/>
                <w:bCs/>
                <w:color w:val="0070C0"/>
              </w:rPr>
              <w:t xml:space="preserve">Guía para la participación mediante la herramienta Big Blue </w:t>
            </w:r>
            <w:proofErr w:type="spellStart"/>
            <w:r>
              <w:rPr>
                <w:rFonts w:cs="Arial"/>
                <w:bCs/>
                <w:color w:val="0070C0"/>
              </w:rPr>
              <w:t>Button</w:t>
            </w:r>
            <w:proofErr w:type="spellEnd"/>
            <w:r>
              <w:rPr>
                <w:rFonts w:cs="Arial"/>
                <w:bCs/>
                <w:color w:val="0070C0"/>
              </w:rPr>
              <w:t xml:space="preserve"> en la plataforma Moodle</w:t>
            </w:r>
          </w:p>
          <w:p w14:paraId="31B0C0C1" w14:textId="77777777" w:rsidR="00DD2A75" w:rsidRPr="00115CF0" w:rsidRDefault="00DD2A75" w:rsidP="00104785">
            <w:pPr>
              <w:rPr>
                <w:rFonts w:cs="Arial"/>
                <w:color w:val="0070C0"/>
                <w:lang w:eastAsia="es-ES"/>
              </w:rPr>
            </w:pPr>
            <w:r>
              <w:rPr>
                <w:rFonts w:cs="Arial"/>
                <w:bCs/>
                <w:color w:val="0070C0"/>
              </w:rPr>
              <w:t>Guía para la participación en un wiki en la plataforma Moodle</w:t>
            </w:r>
          </w:p>
          <w:p w14:paraId="64DF8114" w14:textId="77777777" w:rsidR="00DD2A75" w:rsidRPr="002408C7" w:rsidRDefault="00DD2A75" w:rsidP="00104785">
            <w:pPr>
              <w:rPr>
                <w:rFonts w:cs="Arial"/>
                <w:lang w:eastAsia="es-ES"/>
              </w:rPr>
            </w:pPr>
          </w:p>
        </w:tc>
        <w:tc>
          <w:tcPr>
            <w:tcW w:w="3118" w:type="dxa"/>
          </w:tcPr>
          <w:p w14:paraId="6D67DBB7" w14:textId="77777777" w:rsidR="00DD2A75" w:rsidRPr="002408C7" w:rsidRDefault="00DD2A75" w:rsidP="00DD2A75">
            <w:pPr>
              <w:pStyle w:val="Prrafodelista"/>
              <w:numPr>
                <w:ilvl w:val="0"/>
                <w:numId w:val="78"/>
              </w:numPr>
              <w:ind w:left="420"/>
              <w:rPr>
                <w:rFonts w:asciiTheme="minorHAnsi" w:hAnsiTheme="minorHAnsi"/>
                <w:color w:val="000000" w:themeColor="text1"/>
              </w:rPr>
            </w:pPr>
            <w:r w:rsidRPr="002408C7">
              <w:rPr>
                <w:rFonts w:asciiTheme="minorHAnsi" w:hAnsiTheme="minorHAnsi"/>
                <w:color w:val="000000" w:themeColor="text1"/>
              </w:rPr>
              <w:lastRenderedPageBreak/>
              <w:t>Elaboración de resúmenes de lecturas de trasfondo.</w:t>
            </w:r>
          </w:p>
          <w:p w14:paraId="4464FA8F" w14:textId="77777777" w:rsidR="00DD2A75" w:rsidRPr="002408C7" w:rsidRDefault="00DD2A75" w:rsidP="00DD2A75">
            <w:pPr>
              <w:pStyle w:val="Prrafodelista"/>
              <w:numPr>
                <w:ilvl w:val="0"/>
                <w:numId w:val="78"/>
              </w:numPr>
              <w:ind w:left="420"/>
              <w:rPr>
                <w:rFonts w:asciiTheme="minorHAnsi" w:hAnsiTheme="minorHAnsi"/>
                <w:color w:val="000000" w:themeColor="text1"/>
              </w:rPr>
            </w:pPr>
            <w:r w:rsidRPr="002408C7">
              <w:rPr>
                <w:rFonts w:asciiTheme="minorHAnsi" w:hAnsiTheme="minorHAnsi"/>
                <w:color w:val="000000" w:themeColor="text1"/>
              </w:rPr>
              <w:t>Exposiciones basadas en lecturas de análisis y debate en plenaria sobre las consecuencias del compromiso de la iglesia con el imperio romano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p w14:paraId="70ED1C2F" w14:textId="77777777" w:rsidR="00DD2A75" w:rsidRPr="002408C7" w:rsidRDefault="00DD2A75" w:rsidP="00DD2A75">
            <w:pPr>
              <w:pStyle w:val="Prrafodelista"/>
              <w:numPr>
                <w:ilvl w:val="0"/>
                <w:numId w:val="78"/>
              </w:numPr>
              <w:ind w:left="420"/>
              <w:rPr>
                <w:rFonts w:asciiTheme="minorHAnsi" w:hAnsiTheme="minorHAnsi"/>
                <w:color w:val="000000" w:themeColor="text1"/>
              </w:rPr>
            </w:pPr>
            <w:r w:rsidRPr="002408C7">
              <w:rPr>
                <w:rFonts w:asciiTheme="minorHAnsi" w:hAnsiTheme="minorHAnsi"/>
                <w:color w:val="000000" w:themeColor="text1"/>
              </w:rPr>
              <w:t>Participación en la elaboración del wiki: Sociodrama sobre el Concilio de Nicea.</w:t>
            </w:r>
          </w:p>
          <w:p w14:paraId="535F27EA" w14:textId="77777777" w:rsidR="00DD2A75" w:rsidRPr="002408C7" w:rsidRDefault="00DD2A75" w:rsidP="00DD2A75">
            <w:pPr>
              <w:pStyle w:val="Prrafodelista"/>
              <w:numPr>
                <w:ilvl w:val="0"/>
                <w:numId w:val="78"/>
              </w:numPr>
              <w:ind w:left="420"/>
              <w:rPr>
                <w:rFonts w:asciiTheme="minorHAnsi" w:hAnsiTheme="minorHAnsi"/>
                <w:color w:val="000000" w:themeColor="text1"/>
              </w:rPr>
            </w:pPr>
            <w:r w:rsidRPr="002408C7">
              <w:rPr>
                <w:rFonts w:asciiTheme="minorHAnsi" w:hAnsiTheme="minorHAnsi"/>
                <w:color w:val="000000" w:themeColor="text1"/>
              </w:rPr>
              <w:t>Entrega del bosquejo preliminar de la monografía.</w:t>
            </w:r>
          </w:p>
        </w:tc>
      </w:tr>
      <w:tr w:rsidR="00DD2A75" w:rsidRPr="002408C7" w14:paraId="09269342" w14:textId="77777777" w:rsidTr="00104785">
        <w:trPr>
          <w:jc w:val="center"/>
        </w:trPr>
        <w:tc>
          <w:tcPr>
            <w:tcW w:w="1271" w:type="dxa"/>
          </w:tcPr>
          <w:p w14:paraId="6A0252C6" w14:textId="77777777" w:rsidR="00DD2A75" w:rsidRPr="002408C7" w:rsidRDefault="00DD2A75" w:rsidP="00104785">
            <w:pPr>
              <w:jc w:val="center"/>
              <w:rPr>
                <w:color w:val="000000" w:themeColor="text1"/>
              </w:rPr>
            </w:pPr>
            <w:r w:rsidRPr="002408C7">
              <w:rPr>
                <w:color w:val="000000" w:themeColor="text1"/>
              </w:rPr>
              <w:t>8</w:t>
            </w:r>
          </w:p>
        </w:tc>
        <w:tc>
          <w:tcPr>
            <w:tcW w:w="2410" w:type="dxa"/>
          </w:tcPr>
          <w:p w14:paraId="762E6233" w14:textId="77777777" w:rsidR="00DD2A75" w:rsidRDefault="00DD2A75" w:rsidP="00104785">
            <w:pPr>
              <w:rPr>
                <w:rFonts w:cs="Arial"/>
                <w:b/>
                <w:lang w:val="es-ES"/>
              </w:rPr>
            </w:pPr>
            <w:r w:rsidRPr="00DB14BB">
              <w:rPr>
                <w:rFonts w:cs="Arial"/>
                <w:b/>
                <w:lang w:val="es-ES"/>
              </w:rPr>
              <w:t>Unidad 3: Siglos IV y V</w:t>
            </w:r>
          </w:p>
          <w:p w14:paraId="6C7A2A6C" w14:textId="77777777" w:rsidR="00DD2A75" w:rsidRPr="00F36FC4" w:rsidRDefault="00DD2A75" w:rsidP="00104785">
            <w:pPr>
              <w:rPr>
                <w:rFonts w:cs="Arial"/>
                <w:b/>
                <w:lang w:val="es-ES"/>
              </w:rPr>
            </w:pPr>
            <w:r w:rsidRPr="005A0DA8">
              <w:rPr>
                <w:rFonts w:cs="Arial"/>
                <w:bCs/>
                <w:lang w:val="es-ES"/>
              </w:rPr>
              <w:t xml:space="preserve">3.3 </w:t>
            </w:r>
            <w:r w:rsidRPr="005A0DA8">
              <w:rPr>
                <w:rFonts w:cs="Arial"/>
                <w:bCs/>
              </w:rPr>
              <w:t>La herejía como protesta social y religiosa</w:t>
            </w:r>
          </w:p>
        </w:tc>
        <w:tc>
          <w:tcPr>
            <w:tcW w:w="2835" w:type="dxa"/>
          </w:tcPr>
          <w:p w14:paraId="25BA60A8" w14:textId="77777777" w:rsidR="00DD2A75" w:rsidRDefault="00DD2A75" w:rsidP="00104785">
            <w:pPr>
              <w:rPr>
                <w:rFonts w:cstheme="minorHAnsi"/>
                <w:lang w:eastAsia="es-ES"/>
              </w:rPr>
            </w:pPr>
            <w:r w:rsidRPr="00A178E2">
              <w:rPr>
                <w:rFonts w:cs="Arial"/>
                <w:color w:val="0070C0"/>
                <w:lang w:eastAsia="es-ES"/>
              </w:rPr>
              <w:t>Ruta de aprendizaje</w:t>
            </w:r>
          </w:p>
          <w:p w14:paraId="7A1AC466" w14:textId="77777777" w:rsidR="00DD2A75" w:rsidRDefault="00DD2A75" w:rsidP="00104785">
            <w:pPr>
              <w:rPr>
                <w:rFonts w:cstheme="minorHAnsi"/>
                <w:lang w:eastAsia="es-ES"/>
              </w:rPr>
            </w:pPr>
            <w:r w:rsidRPr="002408C7">
              <w:rPr>
                <w:rFonts w:cstheme="minorHAnsi"/>
                <w:lang w:eastAsia="es-ES"/>
              </w:rPr>
              <w:t xml:space="preserve">Driver, Juan. “El donatismo” En </w:t>
            </w:r>
            <w:r w:rsidRPr="002408C7">
              <w:rPr>
                <w:rFonts w:cstheme="minorHAnsi"/>
                <w:i/>
                <w:lang w:eastAsia="es-ES"/>
              </w:rPr>
              <w:t xml:space="preserve">La fe en la periferia de la historia: </w:t>
            </w:r>
            <w:r w:rsidRPr="002408C7">
              <w:rPr>
                <w:rFonts w:cstheme="minorHAnsi"/>
                <w:spacing w:val="3"/>
                <w:shd w:val="clear" w:color="auto" w:fill="FFFFFF"/>
              </w:rPr>
              <w:t>una historia del pueblo cristiano desde la perspectiva de los movimientos de restauración y reforma radical</w:t>
            </w:r>
            <w:r w:rsidRPr="002408C7">
              <w:rPr>
                <w:rFonts w:cstheme="minorHAnsi"/>
                <w:i/>
                <w:lang w:eastAsia="es-ES"/>
              </w:rPr>
              <w:t xml:space="preserve">, </w:t>
            </w:r>
            <w:r w:rsidRPr="002408C7">
              <w:rPr>
                <w:rFonts w:cstheme="minorHAnsi"/>
                <w:lang w:eastAsia="es-ES"/>
              </w:rPr>
              <w:t>79-91.</w:t>
            </w:r>
            <w:r w:rsidRPr="002408C7">
              <w:rPr>
                <w:rFonts w:cstheme="minorHAnsi"/>
                <w:i/>
                <w:lang w:eastAsia="es-ES"/>
              </w:rPr>
              <w:t xml:space="preserve"> </w:t>
            </w:r>
            <w:r w:rsidRPr="002408C7">
              <w:rPr>
                <w:rFonts w:cstheme="minorHAnsi"/>
                <w:lang w:eastAsia="es-ES"/>
              </w:rPr>
              <w:t>Guatemala: CLARA/SEMILLA, 1997.</w:t>
            </w:r>
            <w:r>
              <w:rPr>
                <w:rFonts w:cstheme="minorHAnsi"/>
                <w:lang w:eastAsia="es-ES"/>
              </w:rPr>
              <w:t xml:space="preserve"> </w:t>
            </w:r>
            <w:r w:rsidRPr="001A4F62">
              <w:rPr>
                <w:rFonts w:cstheme="minorHAnsi"/>
                <w:color w:val="0070C0"/>
                <w:lang w:eastAsia="es-ES"/>
              </w:rPr>
              <w:t>(clásico, última edición)</w:t>
            </w:r>
          </w:p>
          <w:p w14:paraId="6FED862C" w14:textId="77777777" w:rsidR="00DD2A75" w:rsidRDefault="00DD2A75" w:rsidP="00104785">
            <w:pPr>
              <w:rPr>
                <w:rStyle w:val="Hipervnculo"/>
                <w:rFonts w:cstheme="minorHAnsi"/>
                <w:b/>
                <w:color w:val="0070C0"/>
              </w:rPr>
            </w:pPr>
            <w:r w:rsidRPr="00821B7C">
              <w:rPr>
                <w:rStyle w:val="Hipervnculo"/>
                <w:rFonts w:cstheme="minorHAnsi"/>
                <w:b/>
                <w:color w:val="0070C0"/>
              </w:rPr>
              <w:t>Material complementario</w:t>
            </w:r>
          </w:p>
          <w:p w14:paraId="06412F6A" w14:textId="77777777" w:rsidR="00DD2A75" w:rsidRPr="00FB075F" w:rsidRDefault="00DD2A75" w:rsidP="00104785">
            <w:pPr>
              <w:rPr>
                <w:rFonts w:cstheme="minorHAnsi"/>
                <w:bCs/>
                <w:lang w:eastAsia="es-ES"/>
              </w:rPr>
            </w:pPr>
            <w:r w:rsidRPr="00FB075F">
              <w:rPr>
                <w:rStyle w:val="Hipervnculo"/>
                <w:rFonts w:cstheme="minorHAnsi"/>
                <w:bCs/>
                <w:color w:val="0070C0"/>
              </w:rPr>
              <w:t xml:space="preserve">Guía para la participación mediante la herramienta Big Blue </w:t>
            </w:r>
            <w:proofErr w:type="spellStart"/>
            <w:r w:rsidRPr="00FB075F">
              <w:rPr>
                <w:rStyle w:val="Hipervnculo"/>
                <w:rFonts w:cstheme="minorHAnsi"/>
                <w:bCs/>
                <w:color w:val="0070C0"/>
              </w:rPr>
              <w:t>Button</w:t>
            </w:r>
            <w:proofErr w:type="spellEnd"/>
            <w:r w:rsidRPr="00FB075F">
              <w:rPr>
                <w:rStyle w:val="Hipervnculo"/>
                <w:rFonts w:cstheme="minorHAnsi"/>
                <w:bCs/>
                <w:color w:val="0070C0"/>
              </w:rPr>
              <w:t xml:space="preserve"> en la plataforma Moodle</w:t>
            </w:r>
          </w:p>
          <w:p w14:paraId="0DC49881" w14:textId="77777777" w:rsidR="00DD2A75" w:rsidRPr="002408C7" w:rsidRDefault="00DD2A75" w:rsidP="00104785">
            <w:pPr>
              <w:rPr>
                <w:rFonts w:cstheme="minorHAnsi"/>
                <w:lang w:eastAsia="es-ES"/>
              </w:rPr>
            </w:pPr>
          </w:p>
        </w:tc>
        <w:tc>
          <w:tcPr>
            <w:tcW w:w="3118" w:type="dxa"/>
          </w:tcPr>
          <w:p w14:paraId="4A1B39AC" w14:textId="77777777" w:rsidR="00DD2A75" w:rsidRPr="002408C7" w:rsidRDefault="00DD2A75" w:rsidP="00DD2A75">
            <w:pPr>
              <w:pStyle w:val="Prrafodelista"/>
              <w:numPr>
                <w:ilvl w:val="0"/>
                <w:numId w:val="79"/>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Elaboración de resumen de lectura de trasfondo.</w:t>
            </w:r>
          </w:p>
          <w:p w14:paraId="118046CA" w14:textId="77777777" w:rsidR="00DD2A75" w:rsidRPr="002408C7" w:rsidRDefault="00DD2A75" w:rsidP="00DD2A75">
            <w:pPr>
              <w:pStyle w:val="Prrafodelista"/>
              <w:numPr>
                <w:ilvl w:val="0"/>
                <w:numId w:val="79"/>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Exposición basada en lectura de análisis en un encuentro sincrónico</w:t>
            </w:r>
            <w:r>
              <w:rPr>
                <w:rFonts w:asciiTheme="minorHAnsi" w:hAnsiTheme="minorHAnsi" w:cstheme="minorHAnsi"/>
                <w:color w:val="000000" w:themeColor="text1"/>
              </w:rPr>
              <w:t xml:space="preserve"> virtual</w:t>
            </w:r>
            <w:r w:rsidRPr="002408C7">
              <w:rPr>
                <w:rFonts w:asciiTheme="minorHAnsi" w:hAnsiTheme="minorHAnsi" w:cstheme="minorHAnsi"/>
                <w:color w:val="000000" w:themeColor="text1"/>
              </w:rPr>
              <w:t>.</w:t>
            </w:r>
          </w:p>
          <w:p w14:paraId="01287BEB" w14:textId="77777777" w:rsidR="00DD2A75" w:rsidRPr="002408C7" w:rsidRDefault="00DD2A75" w:rsidP="00DD2A75">
            <w:pPr>
              <w:pStyle w:val="Prrafodelista"/>
              <w:numPr>
                <w:ilvl w:val="0"/>
                <w:numId w:val="79"/>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Asignación de lecturas para resúmenes y exposiciones en la Unidad IV.</w:t>
            </w:r>
          </w:p>
        </w:tc>
      </w:tr>
      <w:tr w:rsidR="00DD2A75" w:rsidRPr="002408C7" w14:paraId="11822A22" w14:textId="77777777" w:rsidTr="00104785">
        <w:trPr>
          <w:jc w:val="center"/>
        </w:trPr>
        <w:tc>
          <w:tcPr>
            <w:tcW w:w="1271" w:type="dxa"/>
          </w:tcPr>
          <w:p w14:paraId="27EBF6E3" w14:textId="77777777" w:rsidR="00DD2A75" w:rsidRPr="002408C7" w:rsidRDefault="00DD2A75" w:rsidP="00104785">
            <w:pPr>
              <w:jc w:val="center"/>
              <w:rPr>
                <w:color w:val="000000" w:themeColor="text1"/>
              </w:rPr>
            </w:pPr>
            <w:r w:rsidRPr="002408C7">
              <w:rPr>
                <w:color w:val="000000" w:themeColor="text1"/>
              </w:rPr>
              <w:t>9</w:t>
            </w:r>
          </w:p>
        </w:tc>
        <w:tc>
          <w:tcPr>
            <w:tcW w:w="2410" w:type="dxa"/>
          </w:tcPr>
          <w:p w14:paraId="226B3261" w14:textId="77777777" w:rsidR="00DD2A75" w:rsidRPr="00F36FC4" w:rsidRDefault="00DD2A75" w:rsidP="00104785">
            <w:pPr>
              <w:rPr>
                <w:rFonts w:cs="Arial"/>
                <w:b/>
                <w:lang w:val="es-ES"/>
              </w:rPr>
            </w:pPr>
            <w:r w:rsidRPr="00F36FC4">
              <w:rPr>
                <w:rFonts w:cs="Arial"/>
                <w:b/>
                <w:lang w:val="es-ES"/>
              </w:rPr>
              <w:t>Unidad 4: Siglos VI al X</w:t>
            </w:r>
          </w:p>
          <w:p w14:paraId="05786F26" w14:textId="77777777" w:rsidR="00DD2A75" w:rsidRPr="005A0DA8" w:rsidRDefault="00DD2A75" w:rsidP="00104785">
            <w:pPr>
              <w:rPr>
                <w:rFonts w:cs="Arial"/>
                <w:bCs/>
                <w:lang w:val="es-ES"/>
              </w:rPr>
            </w:pPr>
            <w:r w:rsidRPr="005A0DA8">
              <w:rPr>
                <w:rFonts w:cs="Arial"/>
                <w:bCs/>
                <w:lang w:val="es-ES"/>
              </w:rPr>
              <w:t>4.1 La iglesia cristiana en la Alta Edad Media</w:t>
            </w:r>
          </w:p>
          <w:p w14:paraId="784CAD9A" w14:textId="77777777" w:rsidR="00DD2A75" w:rsidRPr="005A0DA8" w:rsidRDefault="00DD2A75" w:rsidP="00104785">
            <w:pPr>
              <w:rPr>
                <w:rFonts w:cs="Arial"/>
                <w:bCs/>
                <w:lang w:val="es-ES"/>
              </w:rPr>
            </w:pPr>
            <w:r w:rsidRPr="005A0DA8">
              <w:rPr>
                <w:rFonts w:cs="Arial"/>
                <w:bCs/>
                <w:lang w:val="es-ES"/>
              </w:rPr>
              <w:t>4.2 Participación de las mujeres</w:t>
            </w:r>
          </w:p>
          <w:p w14:paraId="30ACD642" w14:textId="77777777" w:rsidR="00DD2A75" w:rsidRPr="005A0DA8" w:rsidRDefault="00DD2A75" w:rsidP="00104785">
            <w:pPr>
              <w:rPr>
                <w:rFonts w:cs="Arial"/>
                <w:bCs/>
              </w:rPr>
            </w:pPr>
            <w:r w:rsidRPr="005A0DA8">
              <w:rPr>
                <w:rFonts w:cs="Arial"/>
                <w:bCs/>
                <w:lang w:val="es-ES"/>
              </w:rPr>
              <w:t xml:space="preserve">4.3 </w:t>
            </w:r>
            <w:r w:rsidRPr="005A0DA8">
              <w:rPr>
                <w:rFonts w:cs="Arial"/>
                <w:bCs/>
              </w:rPr>
              <w:t>El origen del papado</w:t>
            </w:r>
          </w:p>
          <w:p w14:paraId="71A47405" w14:textId="77777777" w:rsidR="00DD2A75" w:rsidRPr="005A0DA8" w:rsidRDefault="00DD2A75" w:rsidP="00104785">
            <w:pPr>
              <w:rPr>
                <w:rFonts w:cs="Arial"/>
                <w:bCs/>
              </w:rPr>
            </w:pPr>
            <w:r w:rsidRPr="005A0DA8">
              <w:rPr>
                <w:rFonts w:cs="Arial"/>
                <w:bCs/>
                <w:lang w:val="es-ES"/>
              </w:rPr>
              <w:t xml:space="preserve">4.4 </w:t>
            </w:r>
            <w:r w:rsidRPr="005A0DA8">
              <w:rPr>
                <w:rFonts w:cs="Arial"/>
                <w:bCs/>
              </w:rPr>
              <w:t>La división de la cristiandad</w:t>
            </w:r>
          </w:p>
          <w:p w14:paraId="4D03E00C" w14:textId="77777777" w:rsidR="00DD2A75" w:rsidRPr="005A0DA8" w:rsidRDefault="00DD2A75" w:rsidP="00104785">
            <w:pPr>
              <w:rPr>
                <w:rFonts w:cs="Arial"/>
                <w:bCs/>
              </w:rPr>
            </w:pPr>
          </w:p>
        </w:tc>
        <w:tc>
          <w:tcPr>
            <w:tcW w:w="2835" w:type="dxa"/>
          </w:tcPr>
          <w:p w14:paraId="28B70C7E" w14:textId="77777777" w:rsidR="00DD2A75" w:rsidRDefault="00DD2A75" w:rsidP="00104785">
            <w:pPr>
              <w:rPr>
                <w:rFonts w:cs="Arial"/>
                <w:color w:val="000000" w:themeColor="text1"/>
                <w:lang w:eastAsia="es-ES"/>
              </w:rPr>
            </w:pPr>
            <w:r w:rsidRPr="00A178E2">
              <w:rPr>
                <w:rFonts w:cs="Arial"/>
                <w:color w:val="0070C0"/>
                <w:lang w:eastAsia="es-ES"/>
              </w:rPr>
              <w:lastRenderedPageBreak/>
              <w:t>Ruta de aprendizaje</w:t>
            </w:r>
          </w:p>
          <w:p w14:paraId="11671957" w14:textId="77777777" w:rsidR="00DD2A75" w:rsidRPr="002408C7" w:rsidRDefault="00DD2A75" w:rsidP="00104785">
            <w:pPr>
              <w:rPr>
                <w:rFonts w:cs="Arial"/>
                <w:color w:val="000000" w:themeColor="text1"/>
                <w:lang w:eastAsia="es-ES"/>
              </w:rPr>
            </w:pPr>
            <w:r w:rsidRPr="002408C7">
              <w:rPr>
                <w:rFonts w:cs="Arial"/>
                <w:color w:val="000000" w:themeColor="text1"/>
                <w:lang w:eastAsia="es-ES"/>
              </w:rPr>
              <w:t xml:space="preserve">González, Justo. “El papado”.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273-288.</w:t>
            </w:r>
            <w:r w:rsidRPr="002408C7">
              <w:rPr>
                <w:rFonts w:cs="Arial"/>
                <w:i/>
                <w:color w:val="000000" w:themeColor="text1"/>
                <w:lang w:eastAsia="es-ES"/>
              </w:rPr>
              <w:t xml:space="preserve"> </w:t>
            </w:r>
            <w:r w:rsidRPr="002408C7">
              <w:rPr>
                <w:rFonts w:cs="Arial"/>
                <w:color w:val="000000" w:themeColor="text1"/>
                <w:lang w:eastAsia="es-ES"/>
              </w:rPr>
              <w:t xml:space="preserve">Miami: </w:t>
            </w:r>
            <w:proofErr w:type="spellStart"/>
            <w:r w:rsidRPr="002408C7">
              <w:rPr>
                <w:rFonts w:cs="Arial"/>
                <w:color w:val="000000" w:themeColor="text1"/>
                <w:lang w:eastAsia="es-ES"/>
              </w:rPr>
              <w:t>Unilit</w:t>
            </w:r>
            <w:proofErr w:type="spellEnd"/>
            <w:r w:rsidRPr="002408C7">
              <w:rPr>
                <w:rFonts w:cs="Arial"/>
                <w:color w:val="000000" w:themeColor="text1"/>
                <w:lang w:eastAsia="es-ES"/>
              </w:rPr>
              <w:t xml:space="preserve">, 2009. </w:t>
            </w:r>
            <w:r w:rsidRPr="001A4F62">
              <w:rPr>
                <w:rFonts w:cstheme="minorHAnsi"/>
                <w:color w:val="0070C0"/>
                <w:lang w:eastAsia="es-ES"/>
              </w:rPr>
              <w:t>(clásico, última edición)</w:t>
            </w:r>
          </w:p>
          <w:p w14:paraId="3B43D0BC" w14:textId="77777777" w:rsidR="00DD2A75" w:rsidRDefault="00DD2A75" w:rsidP="00104785">
            <w:pPr>
              <w:rPr>
                <w:rFonts w:cs="Arial"/>
                <w:color w:val="000000" w:themeColor="text1"/>
                <w:lang w:eastAsia="es-ES"/>
              </w:rPr>
            </w:pPr>
            <w:proofErr w:type="spellStart"/>
            <w:r w:rsidRPr="002408C7">
              <w:rPr>
                <w:rFonts w:cs="Arial"/>
                <w:color w:val="000000" w:themeColor="text1"/>
                <w:lang w:eastAsia="es-ES"/>
              </w:rPr>
              <w:t>Reily</w:t>
            </w:r>
            <w:proofErr w:type="spellEnd"/>
            <w:r w:rsidRPr="002408C7">
              <w:rPr>
                <w:rFonts w:cs="Arial"/>
                <w:color w:val="000000" w:themeColor="text1"/>
                <w:lang w:eastAsia="es-ES"/>
              </w:rPr>
              <w:t xml:space="preserve">, Duncan Alexander. “Los ministerios femeninos en la Edad Media”. En </w:t>
            </w:r>
            <w:r w:rsidRPr="002408C7">
              <w:rPr>
                <w:rFonts w:cs="Arial"/>
                <w:i/>
                <w:color w:val="000000" w:themeColor="text1"/>
                <w:lang w:eastAsia="es-ES"/>
              </w:rPr>
              <w:t xml:space="preserve">Los ministerios femeninos en </w:t>
            </w:r>
            <w:r w:rsidRPr="002408C7">
              <w:rPr>
                <w:rFonts w:cs="Arial"/>
                <w:i/>
                <w:color w:val="000000" w:themeColor="text1"/>
                <w:lang w:eastAsia="es-ES"/>
              </w:rPr>
              <w:lastRenderedPageBreak/>
              <w:t xml:space="preserve">perspectiva histórica, </w:t>
            </w:r>
            <w:r w:rsidRPr="002408C7">
              <w:rPr>
                <w:rFonts w:cs="Arial"/>
                <w:color w:val="000000" w:themeColor="text1"/>
                <w:lang w:eastAsia="es-ES"/>
              </w:rPr>
              <w:t>95-156.</w:t>
            </w:r>
            <w:r w:rsidRPr="002408C7">
              <w:rPr>
                <w:rFonts w:cs="Arial"/>
                <w:i/>
                <w:color w:val="000000" w:themeColor="text1"/>
                <w:lang w:eastAsia="es-ES"/>
              </w:rPr>
              <w:t xml:space="preserve"> </w:t>
            </w:r>
            <w:r w:rsidRPr="002408C7">
              <w:rPr>
                <w:rFonts w:cs="Arial"/>
                <w:color w:val="000000" w:themeColor="text1"/>
                <w:lang w:eastAsia="es-ES"/>
              </w:rPr>
              <w:t>San José: SEBILA, 2001.</w:t>
            </w:r>
            <w:r>
              <w:rPr>
                <w:rFonts w:cs="Arial"/>
                <w:color w:val="000000" w:themeColor="text1"/>
                <w:lang w:eastAsia="es-ES"/>
              </w:rPr>
              <w:t xml:space="preserve"> </w:t>
            </w:r>
            <w:r w:rsidRPr="001A4F62">
              <w:rPr>
                <w:rFonts w:cstheme="minorHAnsi"/>
                <w:color w:val="0070C0"/>
                <w:lang w:eastAsia="es-ES"/>
              </w:rPr>
              <w:t>(clásico, última edición)</w:t>
            </w:r>
          </w:p>
          <w:p w14:paraId="33AB83A1" w14:textId="77777777" w:rsidR="00DD2A75" w:rsidRDefault="00DD2A75" w:rsidP="00104785">
            <w:pPr>
              <w:rPr>
                <w:rStyle w:val="Hipervnculo"/>
                <w:rFonts w:cstheme="minorHAnsi"/>
                <w:b/>
                <w:color w:val="0070C0"/>
              </w:rPr>
            </w:pPr>
            <w:r w:rsidRPr="00821B7C">
              <w:rPr>
                <w:rStyle w:val="Hipervnculo"/>
                <w:rFonts w:cstheme="minorHAnsi"/>
                <w:b/>
                <w:color w:val="0070C0"/>
              </w:rPr>
              <w:t>Material complementario</w:t>
            </w:r>
          </w:p>
          <w:p w14:paraId="55E58E54" w14:textId="77777777" w:rsidR="00DD2A75" w:rsidRPr="002408C7" w:rsidRDefault="00DD2A75" w:rsidP="00104785">
            <w:pPr>
              <w:rPr>
                <w:rFonts w:cs="Calibri"/>
                <w:bCs/>
              </w:rPr>
            </w:pPr>
            <w:r w:rsidRPr="005E5D7D">
              <w:rPr>
                <w:rStyle w:val="Hipervnculo"/>
                <w:rFonts w:cstheme="minorHAnsi"/>
                <w:bCs/>
                <w:color w:val="0070C0"/>
              </w:rPr>
              <w:t xml:space="preserve">Guía para la participación mediante la herramienta Big Blue </w:t>
            </w:r>
            <w:proofErr w:type="spellStart"/>
            <w:r w:rsidRPr="005E5D7D">
              <w:rPr>
                <w:rStyle w:val="Hipervnculo"/>
                <w:rFonts w:cstheme="minorHAnsi"/>
                <w:bCs/>
                <w:color w:val="0070C0"/>
              </w:rPr>
              <w:t>Button</w:t>
            </w:r>
            <w:proofErr w:type="spellEnd"/>
            <w:r w:rsidRPr="005E5D7D">
              <w:rPr>
                <w:rStyle w:val="Hipervnculo"/>
                <w:rFonts w:cstheme="minorHAnsi"/>
                <w:bCs/>
                <w:color w:val="0070C0"/>
              </w:rPr>
              <w:t xml:space="preserve"> en la plataforma Moodle</w:t>
            </w:r>
          </w:p>
        </w:tc>
        <w:tc>
          <w:tcPr>
            <w:tcW w:w="3118" w:type="dxa"/>
          </w:tcPr>
          <w:p w14:paraId="62921A5C" w14:textId="77777777" w:rsidR="00DD2A75" w:rsidRPr="002408C7" w:rsidRDefault="00DD2A75" w:rsidP="00DD2A75">
            <w:pPr>
              <w:pStyle w:val="Prrafodelista"/>
              <w:numPr>
                <w:ilvl w:val="0"/>
                <w:numId w:val="80"/>
              </w:numPr>
              <w:ind w:left="420"/>
              <w:rPr>
                <w:rFonts w:asciiTheme="minorHAnsi" w:hAnsiTheme="minorHAnsi"/>
                <w:color w:val="000000" w:themeColor="text1"/>
              </w:rPr>
            </w:pPr>
            <w:r w:rsidRPr="002408C7">
              <w:rPr>
                <w:rFonts w:asciiTheme="minorHAnsi" w:hAnsiTheme="minorHAnsi"/>
                <w:color w:val="000000" w:themeColor="text1"/>
              </w:rPr>
              <w:lastRenderedPageBreak/>
              <w:t>Elaboración de resúmenes de lecturas de trasfondo.</w:t>
            </w:r>
          </w:p>
          <w:p w14:paraId="1A0A2034" w14:textId="77777777" w:rsidR="00DD2A75" w:rsidRPr="002408C7" w:rsidRDefault="00DD2A75" w:rsidP="00DD2A75">
            <w:pPr>
              <w:pStyle w:val="Prrafodelista"/>
              <w:numPr>
                <w:ilvl w:val="0"/>
                <w:numId w:val="80"/>
              </w:numPr>
              <w:ind w:left="420"/>
              <w:rPr>
                <w:rFonts w:asciiTheme="minorHAnsi" w:hAnsiTheme="minorHAnsi"/>
                <w:color w:val="000000" w:themeColor="text1"/>
              </w:rPr>
            </w:pPr>
            <w:r w:rsidRPr="002408C7">
              <w:rPr>
                <w:rFonts w:asciiTheme="minorHAnsi" w:hAnsiTheme="minorHAnsi"/>
                <w:color w:val="000000" w:themeColor="text1"/>
              </w:rPr>
              <w:t>Exposiciones basadas en lecturas de análisis y presentación del video sobre la Edad media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tc>
      </w:tr>
      <w:tr w:rsidR="00DD2A75" w:rsidRPr="002408C7" w14:paraId="1E971B18" w14:textId="77777777" w:rsidTr="00104785">
        <w:trPr>
          <w:jc w:val="center"/>
        </w:trPr>
        <w:tc>
          <w:tcPr>
            <w:tcW w:w="1271" w:type="dxa"/>
          </w:tcPr>
          <w:p w14:paraId="49971984" w14:textId="77777777" w:rsidR="00DD2A75" w:rsidRPr="002408C7" w:rsidRDefault="00DD2A75" w:rsidP="00104785">
            <w:pPr>
              <w:jc w:val="center"/>
              <w:rPr>
                <w:color w:val="000000" w:themeColor="text1"/>
              </w:rPr>
            </w:pPr>
            <w:r w:rsidRPr="002408C7">
              <w:rPr>
                <w:color w:val="000000" w:themeColor="text1"/>
              </w:rPr>
              <w:t>10</w:t>
            </w:r>
          </w:p>
        </w:tc>
        <w:tc>
          <w:tcPr>
            <w:tcW w:w="2410" w:type="dxa"/>
          </w:tcPr>
          <w:p w14:paraId="44BABB83" w14:textId="77777777" w:rsidR="00DD2A75" w:rsidRPr="00F36FC4" w:rsidRDefault="00DD2A75" w:rsidP="00104785">
            <w:pPr>
              <w:rPr>
                <w:rFonts w:cs="Arial"/>
                <w:b/>
                <w:lang w:val="es-ES"/>
              </w:rPr>
            </w:pPr>
            <w:r w:rsidRPr="00F36FC4">
              <w:rPr>
                <w:rFonts w:cs="Arial"/>
                <w:b/>
                <w:lang w:val="es-ES"/>
              </w:rPr>
              <w:t>Unidad 4: Siglos VI al X</w:t>
            </w:r>
          </w:p>
          <w:p w14:paraId="4AB87345" w14:textId="77777777" w:rsidR="00DD2A75" w:rsidRPr="005A0DA8" w:rsidRDefault="00DD2A75" w:rsidP="00104785">
            <w:pPr>
              <w:jc w:val="both"/>
              <w:rPr>
                <w:rFonts w:cs="Arial"/>
                <w:bCs/>
                <w:lang w:val="es-ES"/>
              </w:rPr>
            </w:pPr>
            <w:r w:rsidRPr="005A0DA8">
              <w:rPr>
                <w:rFonts w:cs="Arial"/>
                <w:bCs/>
                <w:lang w:val="es-ES"/>
              </w:rPr>
              <w:t>4.5 El Islam</w:t>
            </w:r>
          </w:p>
        </w:tc>
        <w:tc>
          <w:tcPr>
            <w:tcW w:w="2835" w:type="dxa"/>
          </w:tcPr>
          <w:p w14:paraId="212B0060"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09BA2258" w14:textId="77777777" w:rsidR="00DD2A75" w:rsidRPr="002408C7" w:rsidRDefault="00DD2A75" w:rsidP="00104785">
            <w:pPr>
              <w:rPr>
                <w:rFonts w:cs="Calibri"/>
                <w:bCs/>
              </w:rPr>
            </w:pPr>
            <w:r w:rsidRPr="002408C7">
              <w:rPr>
                <w:rFonts w:cs="Arial"/>
                <w:color w:val="000000" w:themeColor="text1"/>
                <w:lang w:eastAsia="es-ES"/>
              </w:rPr>
              <w:t xml:space="preserve">González, Justo. “La iglesia oriental”, “Las iglesias disidentes”, “La iglesia de Oriente después de las conquistas árabes”.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289-314 y 333-338.</w:t>
            </w:r>
            <w:r w:rsidRPr="002408C7">
              <w:rPr>
                <w:rFonts w:cs="Arial"/>
                <w:i/>
                <w:color w:val="000000" w:themeColor="text1"/>
                <w:lang w:eastAsia="es-ES"/>
              </w:rPr>
              <w:t xml:space="preserve"> </w:t>
            </w:r>
            <w:r w:rsidRPr="002408C7">
              <w:rPr>
                <w:rFonts w:cs="Arial"/>
                <w:color w:val="000000" w:themeColor="text1"/>
                <w:lang w:eastAsia="es-ES"/>
              </w:rPr>
              <w:t xml:space="preserve">Miami: </w:t>
            </w:r>
            <w:proofErr w:type="spellStart"/>
            <w:r w:rsidRPr="002408C7">
              <w:rPr>
                <w:rFonts w:cs="Arial"/>
                <w:color w:val="000000" w:themeColor="text1"/>
                <w:lang w:eastAsia="es-ES"/>
              </w:rPr>
              <w:t>Unilit</w:t>
            </w:r>
            <w:proofErr w:type="spellEnd"/>
            <w:r w:rsidRPr="002408C7">
              <w:rPr>
                <w:rFonts w:cs="Arial"/>
                <w:color w:val="000000" w:themeColor="text1"/>
                <w:lang w:eastAsia="es-ES"/>
              </w:rPr>
              <w:t>, 2009.</w:t>
            </w:r>
            <w:r w:rsidRPr="001A4F62">
              <w:rPr>
                <w:rFonts w:cstheme="minorHAnsi"/>
                <w:color w:val="0070C0"/>
                <w:lang w:eastAsia="es-ES"/>
              </w:rPr>
              <w:t xml:space="preserve"> (clásico, última edición)</w:t>
            </w:r>
          </w:p>
          <w:p w14:paraId="44C437AD" w14:textId="77777777" w:rsidR="00DD2A75" w:rsidRDefault="00DD2A75" w:rsidP="00104785">
            <w:pPr>
              <w:rPr>
                <w:rFonts w:cstheme="minorHAnsi"/>
                <w:color w:val="000000" w:themeColor="text1"/>
                <w:lang w:eastAsia="es-ES"/>
              </w:rPr>
            </w:pPr>
            <w:proofErr w:type="spellStart"/>
            <w:r w:rsidRPr="00DD5A1C">
              <w:rPr>
                <w:rFonts w:cstheme="minorHAnsi"/>
                <w:color w:val="000000" w:themeColor="text1"/>
                <w:lang w:eastAsia="es-ES"/>
              </w:rPr>
              <w:t>Küng</w:t>
            </w:r>
            <w:proofErr w:type="spellEnd"/>
            <w:r w:rsidRPr="00DD5A1C">
              <w:rPr>
                <w:rFonts w:cstheme="minorHAnsi"/>
                <w:color w:val="000000" w:themeColor="text1"/>
                <w:lang w:eastAsia="es-ES"/>
              </w:rPr>
              <w:t>, Hans.</w:t>
            </w:r>
            <w:r>
              <w:rPr>
                <w:rFonts w:cstheme="minorHAnsi"/>
                <w:color w:val="000000" w:themeColor="text1"/>
                <w:lang w:eastAsia="es-ES"/>
              </w:rPr>
              <w:t xml:space="preserve"> “La palabra de Dios se hizo libro”. En</w:t>
            </w:r>
            <w:r w:rsidRPr="00DD5A1C">
              <w:rPr>
                <w:rFonts w:cstheme="minorHAnsi"/>
                <w:color w:val="000000" w:themeColor="text1"/>
                <w:lang w:eastAsia="es-ES"/>
              </w:rPr>
              <w:t xml:space="preserve"> </w:t>
            </w:r>
            <w:r w:rsidRPr="00DD5A1C">
              <w:rPr>
                <w:rFonts w:cstheme="minorHAnsi"/>
                <w:i/>
                <w:iCs/>
                <w:color w:val="000000" w:themeColor="text1"/>
                <w:lang w:eastAsia="es-ES"/>
              </w:rPr>
              <w:t>El Islam: historia, presente, futuro</w:t>
            </w:r>
            <w:r>
              <w:rPr>
                <w:rFonts w:cstheme="minorHAnsi"/>
                <w:color w:val="000000" w:themeColor="text1"/>
                <w:lang w:eastAsia="es-ES"/>
              </w:rPr>
              <w:t>, 79-98.</w:t>
            </w:r>
            <w:r w:rsidRPr="00DD5A1C">
              <w:rPr>
                <w:rFonts w:cstheme="minorHAnsi"/>
                <w:color w:val="000000" w:themeColor="text1"/>
                <w:lang w:eastAsia="es-ES"/>
              </w:rPr>
              <w:t xml:space="preserve"> Madrid: Trotta, 2019.</w:t>
            </w:r>
          </w:p>
          <w:p w14:paraId="3698BA0B" w14:textId="77777777" w:rsidR="00DD2A75" w:rsidRDefault="00DD2A75" w:rsidP="00104785">
            <w:pPr>
              <w:rPr>
                <w:rStyle w:val="Hipervnculo"/>
                <w:rFonts w:cstheme="minorHAnsi"/>
                <w:b/>
                <w:color w:val="0070C0"/>
              </w:rPr>
            </w:pPr>
            <w:r w:rsidRPr="00821B7C">
              <w:rPr>
                <w:rStyle w:val="Hipervnculo"/>
                <w:rFonts w:cstheme="minorHAnsi"/>
                <w:b/>
                <w:color w:val="0070C0"/>
              </w:rPr>
              <w:t>Material complementario</w:t>
            </w:r>
          </w:p>
          <w:p w14:paraId="1C261BCE" w14:textId="77777777" w:rsidR="00DD2A75" w:rsidRPr="00301B14" w:rsidRDefault="00DD2A75" w:rsidP="00104785">
            <w:pPr>
              <w:rPr>
                <w:rStyle w:val="Hipervnculo"/>
                <w:rFonts w:cstheme="minorHAnsi"/>
                <w:bCs/>
                <w:color w:val="0070C0"/>
              </w:rPr>
            </w:pPr>
            <w:r w:rsidRPr="00301B14">
              <w:rPr>
                <w:rStyle w:val="Hipervnculo"/>
                <w:rFonts w:cstheme="minorHAnsi"/>
                <w:bCs/>
                <w:color w:val="0070C0"/>
              </w:rPr>
              <w:t xml:space="preserve">Guía para la participación mediante la herramienta Big Blue </w:t>
            </w:r>
            <w:proofErr w:type="spellStart"/>
            <w:r w:rsidRPr="00301B14">
              <w:rPr>
                <w:rStyle w:val="Hipervnculo"/>
                <w:rFonts w:cstheme="minorHAnsi"/>
                <w:bCs/>
                <w:color w:val="0070C0"/>
              </w:rPr>
              <w:t>Button</w:t>
            </w:r>
            <w:proofErr w:type="spellEnd"/>
            <w:r w:rsidRPr="00301B14">
              <w:rPr>
                <w:rStyle w:val="Hipervnculo"/>
                <w:rFonts w:cstheme="minorHAnsi"/>
                <w:bCs/>
                <w:color w:val="0070C0"/>
              </w:rPr>
              <w:t xml:space="preserve"> en la plataforma Moodle</w:t>
            </w:r>
          </w:p>
          <w:p w14:paraId="7D055F36" w14:textId="77777777" w:rsidR="00DD2A75" w:rsidRPr="002408C7" w:rsidRDefault="00DD2A75" w:rsidP="00104785">
            <w:pPr>
              <w:rPr>
                <w:rFonts w:cs="Calibri"/>
                <w:bCs/>
              </w:rPr>
            </w:pPr>
            <w:r w:rsidRPr="00301B14">
              <w:rPr>
                <w:rStyle w:val="Hipervnculo"/>
                <w:rFonts w:cstheme="minorHAnsi"/>
                <w:bCs/>
                <w:color w:val="0070C0"/>
              </w:rPr>
              <w:t>Guía para la participación en un foro en la plataforma Moodle</w:t>
            </w:r>
          </w:p>
        </w:tc>
        <w:tc>
          <w:tcPr>
            <w:tcW w:w="3118" w:type="dxa"/>
          </w:tcPr>
          <w:p w14:paraId="52228F5B" w14:textId="77777777" w:rsidR="00DD2A75" w:rsidRPr="002408C7" w:rsidRDefault="00DD2A75" w:rsidP="00DD2A75">
            <w:pPr>
              <w:pStyle w:val="Prrafodelista"/>
              <w:numPr>
                <w:ilvl w:val="0"/>
                <w:numId w:val="81"/>
              </w:numPr>
              <w:ind w:left="420"/>
              <w:rPr>
                <w:rFonts w:asciiTheme="minorHAnsi" w:hAnsiTheme="minorHAnsi"/>
                <w:color w:val="000000" w:themeColor="text1"/>
              </w:rPr>
            </w:pPr>
            <w:r w:rsidRPr="002408C7">
              <w:rPr>
                <w:rFonts w:asciiTheme="minorHAnsi" w:hAnsiTheme="minorHAnsi"/>
                <w:color w:val="000000" w:themeColor="text1"/>
              </w:rPr>
              <w:t>Exposiciones basadas en lecturas de análisis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p w14:paraId="12E26FE7" w14:textId="77777777" w:rsidR="00DD2A75" w:rsidRPr="002408C7" w:rsidRDefault="00DD2A75" w:rsidP="00DD2A75">
            <w:pPr>
              <w:pStyle w:val="Prrafodelista"/>
              <w:numPr>
                <w:ilvl w:val="0"/>
                <w:numId w:val="81"/>
              </w:numPr>
              <w:ind w:left="420"/>
              <w:rPr>
                <w:rFonts w:asciiTheme="minorHAnsi" w:hAnsiTheme="minorHAnsi"/>
                <w:color w:val="000000" w:themeColor="text1"/>
              </w:rPr>
            </w:pPr>
            <w:r w:rsidRPr="002408C7">
              <w:rPr>
                <w:rFonts w:asciiTheme="minorHAnsi" w:hAnsiTheme="minorHAnsi"/>
                <w:color w:val="000000" w:themeColor="text1"/>
              </w:rPr>
              <w:t>Participación en el foro temático grupal: Lecturas del Corán.</w:t>
            </w:r>
          </w:p>
          <w:p w14:paraId="13EB9C3B" w14:textId="77777777" w:rsidR="00DD2A75" w:rsidRPr="002408C7" w:rsidRDefault="00DD2A75" w:rsidP="00DD2A75">
            <w:pPr>
              <w:pStyle w:val="Prrafodelista"/>
              <w:numPr>
                <w:ilvl w:val="0"/>
                <w:numId w:val="81"/>
              </w:numPr>
              <w:ind w:left="420"/>
              <w:rPr>
                <w:rFonts w:asciiTheme="minorHAnsi" w:hAnsiTheme="minorHAnsi"/>
                <w:color w:val="000000" w:themeColor="text1"/>
              </w:rPr>
            </w:pPr>
            <w:r w:rsidRPr="002408C7">
              <w:rPr>
                <w:rFonts w:asciiTheme="minorHAnsi" w:hAnsiTheme="minorHAnsi"/>
                <w:color w:val="000000" w:themeColor="text1"/>
              </w:rPr>
              <w:t>Asignación de lecturas para resúmenes y exposiciones en la Unidad V.</w:t>
            </w:r>
          </w:p>
          <w:p w14:paraId="50D53676" w14:textId="77777777" w:rsidR="00DD2A75" w:rsidRPr="002408C7" w:rsidRDefault="00DD2A75" w:rsidP="00DD2A75">
            <w:pPr>
              <w:pStyle w:val="Prrafodelista"/>
              <w:numPr>
                <w:ilvl w:val="0"/>
                <w:numId w:val="81"/>
              </w:numPr>
              <w:ind w:left="420"/>
              <w:rPr>
                <w:rFonts w:asciiTheme="minorHAnsi" w:hAnsiTheme="minorHAnsi"/>
                <w:color w:val="000000" w:themeColor="text1"/>
              </w:rPr>
            </w:pPr>
            <w:r w:rsidRPr="002408C7">
              <w:rPr>
                <w:rFonts w:asciiTheme="minorHAnsi" w:hAnsiTheme="minorHAnsi"/>
                <w:color w:val="000000" w:themeColor="text1"/>
              </w:rPr>
              <w:t>Entrega de bibliografía y bosquejo con los cambios incorporados.</w:t>
            </w:r>
          </w:p>
        </w:tc>
      </w:tr>
      <w:tr w:rsidR="00DD2A75" w:rsidRPr="002408C7" w14:paraId="4B4C0BBE" w14:textId="77777777" w:rsidTr="00104785">
        <w:trPr>
          <w:jc w:val="center"/>
        </w:trPr>
        <w:tc>
          <w:tcPr>
            <w:tcW w:w="1271" w:type="dxa"/>
          </w:tcPr>
          <w:p w14:paraId="25F73379" w14:textId="77777777" w:rsidR="00DD2A75" w:rsidRPr="002408C7" w:rsidRDefault="00DD2A75" w:rsidP="00104785">
            <w:pPr>
              <w:jc w:val="center"/>
              <w:rPr>
                <w:color w:val="000000" w:themeColor="text1"/>
              </w:rPr>
            </w:pPr>
            <w:r w:rsidRPr="002408C7">
              <w:rPr>
                <w:color w:val="000000" w:themeColor="text1"/>
              </w:rPr>
              <w:t>11</w:t>
            </w:r>
          </w:p>
        </w:tc>
        <w:tc>
          <w:tcPr>
            <w:tcW w:w="2410" w:type="dxa"/>
          </w:tcPr>
          <w:p w14:paraId="177E74F0" w14:textId="77777777" w:rsidR="00DD2A75" w:rsidRPr="00F36FC4" w:rsidRDefault="00DD2A75" w:rsidP="00104785">
            <w:pPr>
              <w:jc w:val="both"/>
              <w:rPr>
                <w:rFonts w:cs="Arial"/>
                <w:b/>
                <w:lang w:val="es-ES"/>
              </w:rPr>
            </w:pPr>
            <w:r w:rsidRPr="00F36FC4">
              <w:rPr>
                <w:rFonts w:cs="Arial"/>
                <w:b/>
                <w:lang w:val="es-ES"/>
              </w:rPr>
              <w:t>Unidad 5: Siglos XI al XIII</w:t>
            </w:r>
          </w:p>
          <w:p w14:paraId="6958D5B4" w14:textId="77777777" w:rsidR="00DD2A75" w:rsidRPr="005A0DA8" w:rsidRDefault="00DD2A75" w:rsidP="00104785">
            <w:pPr>
              <w:rPr>
                <w:rFonts w:cs="Arial"/>
                <w:bCs/>
                <w:lang w:val="es-ES"/>
              </w:rPr>
            </w:pPr>
            <w:r w:rsidRPr="005A0DA8">
              <w:rPr>
                <w:rFonts w:cs="Arial"/>
                <w:bCs/>
                <w:lang w:val="es-ES"/>
              </w:rPr>
              <w:t>5.1 Condiciones en la baja edad media</w:t>
            </w:r>
          </w:p>
          <w:p w14:paraId="100B5547" w14:textId="77777777" w:rsidR="00DD2A75" w:rsidRPr="005A0DA8" w:rsidRDefault="00DD2A75" w:rsidP="00104785">
            <w:pPr>
              <w:rPr>
                <w:rFonts w:cs="Arial"/>
                <w:bCs/>
              </w:rPr>
            </w:pPr>
            <w:r w:rsidRPr="005A0DA8">
              <w:rPr>
                <w:rFonts w:cs="Arial"/>
                <w:bCs/>
                <w:lang w:val="es-ES"/>
              </w:rPr>
              <w:t>5.2 H</w:t>
            </w:r>
            <w:proofErr w:type="spellStart"/>
            <w:r w:rsidRPr="005A0DA8">
              <w:rPr>
                <w:rFonts w:cs="Arial"/>
                <w:bCs/>
              </w:rPr>
              <w:t>erejía</w:t>
            </w:r>
            <w:proofErr w:type="spellEnd"/>
            <w:r w:rsidRPr="005A0DA8">
              <w:rPr>
                <w:rFonts w:cs="Arial"/>
                <w:bCs/>
              </w:rPr>
              <w:t xml:space="preserve"> y sociedad a partir del siglo XI</w:t>
            </w:r>
          </w:p>
          <w:p w14:paraId="1DD33413" w14:textId="77777777" w:rsidR="00DD2A75" w:rsidRPr="005A0DA8" w:rsidRDefault="00DD2A75" w:rsidP="00104785">
            <w:pPr>
              <w:rPr>
                <w:rFonts w:cs="Arial"/>
                <w:bCs/>
              </w:rPr>
            </w:pPr>
          </w:p>
        </w:tc>
        <w:tc>
          <w:tcPr>
            <w:tcW w:w="2835" w:type="dxa"/>
          </w:tcPr>
          <w:p w14:paraId="4A8187FB" w14:textId="77777777" w:rsidR="00DD2A75" w:rsidRDefault="00DD2A75" w:rsidP="00104785">
            <w:pPr>
              <w:rPr>
                <w:rStyle w:val="Hipervnculo"/>
                <w:rFonts w:cstheme="minorHAnsi"/>
              </w:rPr>
            </w:pPr>
            <w:r w:rsidRPr="00A178E2">
              <w:rPr>
                <w:rFonts w:cs="Arial"/>
                <w:color w:val="0070C0"/>
                <w:lang w:eastAsia="es-ES"/>
              </w:rPr>
              <w:t>Ruta de aprendizaje</w:t>
            </w:r>
          </w:p>
          <w:p w14:paraId="664A822C" w14:textId="77777777" w:rsidR="00DD2A75" w:rsidRPr="002408C7" w:rsidRDefault="00DD2A75" w:rsidP="00104785">
            <w:pPr>
              <w:rPr>
                <w:rStyle w:val="Hipervnculo"/>
                <w:rFonts w:cstheme="minorHAnsi"/>
              </w:rPr>
            </w:pPr>
            <w:proofErr w:type="spellStart"/>
            <w:r w:rsidRPr="002408C7">
              <w:rPr>
                <w:rStyle w:val="Hipervnculo"/>
                <w:rFonts w:cstheme="minorHAnsi"/>
              </w:rPr>
              <w:t>Comby</w:t>
            </w:r>
            <w:proofErr w:type="spellEnd"/>
            <w:r w:rsidRPr="002408C7">
              <w:rPr>
                <w:rStyle w:val="Hipervnculo"/>
                <w:rFonts w:cstheme="minorHAnsi"/>
              </w:rPr>
              <w:t xml:space="preserve">, Jean. “La cristiandad: los fundamentos de una sociedad”. En </w:t>
            </w:r>
            <w:r w:rsidRPr="002408C7">
              <w:rPr>
                <w:rStyle w:val="Hipervnculo"/>
                <w:rFonts w:cstheme="minorHAnsi"/>
                <w:i/>
              </w:rPr>
              <w:t>Para leer la historia de la Iglesia: Desde los orígenes hasta el siglo XXI</w:t>
            </w:r>
            <w:r w:rsidRPr="002408C7">
              <w:rPr>
                <w:rStyle w:val="Hipervnculo"/>
                <w:rFonts w:cstheme="minorHAnsi"/>
              </w:rPr>
              <w:t xml:space="preserve">, 141-160. Estella: Verbo </w:t>
            </w:r>
            <w:r w:rsidRPr="002408C7">
              <w:rPr>
                <w:rStyle w:val="Hipervnculo"/>
                <w:rFonts w:cstheme="minorHAnsi"/>
              </w:rPr>
              <w:lastRenderedPageBreak/>
              <w:t xml:space="preserve">Divino, 1998. </w:t>
            </w:r>
            <w:r>
              <w:rPr>
                <w:rStyle w:val="Hipervnculo"/>
                <w:rFonts w:cstheme="minorHAnsi"/>
              </w:rPr>
              <w:t xml:space="preserve"> </w:t>
            </w:r>
            <w:r w:rsidRPr="001A4F62">
              <w:rPr>
                <w:rFonts w:cstheme="minorHAnsi"/>
                <w:color w:val="0070C0"/>
                <w:lang w:eastAsia="es-ES"/>
              </w:rPr>
              <w:t xml:space="preserve">(clásico, última </w:t>
            </w:r>
            <w:r>
              <w:rPr>
                <w:rFonts w:cstheme="minorHAnsi"/>
                <w:color w:val="0070C0"/>
                <w:lang w:eastAsia="es-ES"/>
              </w:rPr>
              <w:t>reimpresión 2007</w:t>
            </w:r>
            <w:r w:rsidRPr="001A4F62">
              <w:rPr>
                <w:rFonts w:cstheme="minorHAnsi"/>
                <w:color w:val="0070C0"/>
                <w:lang w:eastAsia="es-ES"/>
              </w:rPr>
              <w:t>)</w:t>
            </w:r>
          </w:p>
          <w:p w14:paraId="5370B198" w14:textId="77777777" w:rsidR="00DD2A75" w:rsidRPr="002408C7" w:rsidRDefault="00DD2A75" w:rsidP="00104785">
            <w:pPr>
              <w:rPr>
                <w:rStyle w:val="Hipervnculo"/>
                <w:rFonts w:cstheme="minorHAnsi"/>
              </w:rPr>
            </w:pPr>
            <w:r w:rsidRPr="002408C7">
              <w:rPr>
                <w:rStyle w:val="Hipervnculo"/>
                <w:rFonts w:cstheme="minorHAnsi"/>
              </w:rPr>
              <w:t xml:space="preserve">González Justo. “La reforma monástica”, “La reforma papal”. En </w:t>
            </w:r>
            <w:r w:rsidRPr="002408C7">
              <w:rPr>
                <w:rStyle w:val="Hipervnculo"/>
                <w:rFonts w:cstheme="minorHAnsi"/>
                <w:i/>
              </w:rPr>
              <w:t>Historia del cristianismo: obra completa</w:t>
            </w:r>
            <w:r w:rsidRPr="002408C7">
              <w:rPr>
                <w:rStyle w:val="Hipervnculo"/>
                <w:rFonts w:cstheme="minorHAnsi"/>
              </w:rPr>
              <w:t xml:space="preserve">, 351-366. Miami: </w:t>
            </w:r>
            <w:proofErr w:type="spellStart"/>
            <w:r w:rsidRPr="002408C7">
              <w:rPr>
                <w:rStyle w:val="Hipervnculo"/>
                <w:rFonts w:cstheme="minorHAnsi"/>
              </w:rPr>
              <w:t>Unilit</w:t>
            </w:r>
            <w:proofErr w:type="spellEnd"/>
            <w:r w:rsidRPr="002408C7">
              <w:rPr>
                <w:rStyle w:val="Hipervnculo"/>
                <w:rFonts w:cstheme="minorHAnsi"/>
              </w:rPr>
              <w:t xml:space="preserve">, 2009. </w:t>
            </w:r>
            <w:r w:rsidRPr="001A4F62">
              <w:rPr>
                <w:rFonts w:cstheme="minorHAnsi"/>
                <w:color w:val="0070C0"/>
                <w:lang w:eastAsia="es-ES"/>
              </w:rPr>
              <w:t>(clásico, última edición)</w:t>
            </w:r>
          </w:p>
          <w:p w14:paraId="2559E55E" w14:textId="77777777" w:rsidR="00DD2A75" w:rsidRPr="002408C7" w:rsidRDefault="00DD2A75" w:rsidP="00104785">
            <w:pPr>
              <w:rPr>
                <w:rStyle w:val="Hipervnculo"/>
                <w:rFonts w:cstheme="minorHAnsi"/>
                <w:b/>
              </w:rPr>
            </w:pPr>
            <w:r w:rsidRPr="002408C7">
              <w:rPr>
                <w:rStyle w:val="Hipervnculo"/>
                <w:rFonts w:cstheme="minorHAnsi"/>
                <w:b/>
              </w:rPr>
              <w:t>Material complementario</w:t>
            </w:r>
          </w:p>
          <w:p w14:paraId="04C11620" w14:textId="77777777" w:rsidR="00DD2A75" w:rsidRDefault="00DD2A75" w:rsidP="00104785">
            <w:pPr>
              <w:rPr>
                <w:rFonts w:cs="Arial"/>
                <w:bCs/>
              </w:rPr>
            </w:pPr>
            <w:r w:rsidRPr="002408C7">
              <w:rPr>
                <w:rFonts w:cs="Arial"/>
                <w:bCs/>
              </w:rPr>
              <w:t xml:space="preserve">Piñero, Antonio. “Heterodoxias y movimientos de renovación en la Edad Media”. En </w:t>
            </w:r>
            <w:r w:rsidRPr="002408C7">
              <w:rPr>
                <w:rFonts w:cs="Arial"/>
                <w:bCs/>
                <w:i/>
              </w:rPr>
              <w:t>Los cristianismos derrotados: ¿Cuál fue el pensamiento de los primeros cristianos heréticos y heterodoxos?</w:t>
            </w:r>
            <w:r w:rsidRPr="002408C7">
              <w:rPr>
                <w:rFonts w:cs="Arial"/>
                <w:bCs/>
              </w:rPr>
              <w:t>, 281-307. Madrid: Editorial EDAF, 2019.</w:t>
            </w:r>
          </w:p>
          <w:p w14:paraId="7E7A8E55" w14:textId="77777777" w:rsidR="00DD2A75" w:rsidRPr="00CC7FD0" w:rsidRDefault="00DD2A75" w:rsidP="00104785">
            <w:pPr>
              <w:rPr>
                <w:rFonts w:cstheme="minorHAnsi"/>
                <w:color w:val="0070C0"/>
                <w:lang w:eastAsia="es-ES"/>
              </w:rPr>
            </w:pPr>
            <w:r>
              <w:rPr>
                <w:rFonts w:cs="Arial"/>
                <w:bCs/>
                <w:color w:val="0070C0"/>
              </w:rPr>
              <w:t xml:space="preserve">Guía para la participación mediante la herramienta Big Blue </w:t>
            </w:r>
            <w:proofErr w:type="spellStart"/>
            <w:r>
              <w:rPr>
                <w:rFonts w:cs="Arial"/>
                <w:bCs/>
                <w:color w:val="0070C0"/>
              </w:rPr>
              <w:t>Button</w:t>
            </w:r>
            <w:proofErr w:type="spellEnd"/>
            <w:r>
              <w:rPr>
                <w:rFonts w:cs="Arial"/>
                <w:bCs/>
                <w:color w:val="0070C0"/>
              </w:rPr>
              <w:t xml:space="preserve"> en la plataforma Moodle</w:t>
            </w:r>
          </w:p>
        </w:tc>
        <w:tc>
          <w:tcPr>
            <w:tcW w:w="3118" w:type="dxa"/>
          </w:tcPr>
          <w:p w14:paraId="3EB3425F" w14:textId="77777777" w:rsidR="00DD2A75" w:rsidRPr="002408C7" w:rsidRDefault="00DD2A75" w:rsidP="00DD2A75">
            <w:pPr>
              <w:pStyle w:val="Prrafodelista"/>
              <w:numPr>
                <w:ilvl w:val="0"/>
                <w:numId w:val="82"/>
              </w:numPr>
              <w:ind w:left="420"/>
              <w:rPr>
                <w:rFonts w:asciiTheme="minorHAnsi" w:hAnsiTheme="minorHAnsi"/>
                <w:color w:val="000000" w:themeColor="text1"/>
              </w:rPr>
            </w:pPr>
            <w:r w:rsidRPr="002408C7">
              <w:rPr>
                <w:rFonts w:asciiTheme="minorHAnsi" w:hAnsiTheme="minorHAnsi"/>
                <w:color w:val="000000" w:themeColor="text1"/>
              </w:rPr>
              <w:lastRenderedPageBreak/>
              <w:t>Elaboración de resúmenes de lecturas de trasfondo.</w:t>
            </w:r>
          </w:p>
          <w:p w14:paraId="7E061B23" w14:textId="77777777" w:rsidR="00DD2A75" w:rsidRPr="002408C7" w:rsidRDefault="00DD2A75" w:rsidP="00DD2A75">
            <w:pPr>
              <w:pStyle w:val="Prrafodelista"/>
              <w:numPr>
                <w:ilvl w:val="0"/>
                <w:numId w:val="82"/>
              </w:numPr>
              <w:ind w:left="420"/>
              <w:rPr>
                <w:rFonts w:asciiTheme="minorHAnsi" w:hAnsiTheme="minorHAnsi"/>
                <w:color w:val="000000" w:themeColor="text1"/>
              </w:rPr>
            </w:pPr>
            <w:r w:rsidRPr="002408C7">
              <w:rPr>
                <w:rFonts w:asciiTheme="minorHAnsi" w:hAnsiTheme="minorHAnsi"/>
                <w:color w:val="000000" w:themeColor="text1"/>
              </w:rPr>
              <w:t xml:space="preserve">Exposiciones basadas en lecturas de análisis y presentación de una película (video) en un </w:t>
            </w:r>
            <w:r w:rsidRPr="002408C7">
              <w:rPr>
                <w:rFonts w:asciiTheme="minorHAnsi" w:hAnsiTheme="minorHAnsi"/>
                <w:color w:val="000000" w:themeColor="text1"/>
              </w:rPr>
              <w:lastRenderedPageBreak/>
              <w:t>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tc>
      </w:tr>
      <w:tr w:rsidR="00DD2A75" w:rsidRPr="002408C7" w14:paraId="75BFFEE2" w14:textId="77777777" w:rsidTr="00104785">
        <w:trPr>
          <w:jc w:val="center"/>
        </w:trPr>
        <w:tc>
          <w:tcPr>
            <w:tcW w:w="1271" w:type="dxa"/>
          </w:tcPr>
          <w:p w14:paraId="3F6B65F2" w14:textId="77777777" w:rsidR="00DD2A75" w:rsidRPr="002408C7" w:rsidRDefault="00DD2A75" w:rsidP="00104785">
            <w:pPr>
              <w:jc w:val="center"/>
              <w:rPr>
                <w:color w:val="000000" w:themeColor="text1"/>
              </w:rPr>
            </w:pPr>
            <w:r w:rsidRPr="002408C7">
              <w:rPr>
                <w:color w:val="000000" w:themeColor="text1"/>
              </w:rPr>
              <w:lastRenderedPageBreak/>
              <w:t>12</w:t>
            </w:r>
          </w:p>
        </w:tc>
        <w:tc>
          <w:tcPr>
            <w:tcW w:w="2410" w:type="dxa"/>
          </w:tcPr>
          <w:p w14:paraId="1632BA4D" w14:textId="77777777" w:rsidR="00DD2A75" w:rsidRPr="00F36FC4" w:rsidRDefault="00DD2A75" w:rsidP="00104785">
            <w:pPr>
              <w:jc w:val="both"/>
              <w:rPr>
                <w:rFonts w:cs="Arial"/>
                <w:b/>
                <w:lang w:val="es-ES"/>
              </w:rPr>
            </w:pPr>
            <w:r w:rsidRPr="00F36FC4">
              <w:rPr>
                <w:rFonts w:cs="Arial"/>
                <w:b/>
                <w:lang w:val="es-ES"/>
              </w:rPr>
              <w:t>Unidad 5: Siglos XI al XIII</w:t>
            </w:r>
          </w:p>
          <w:p w14:paraId="3321D718" w14:textId="77777777" w:rsidR="00DD2A75" w:rsidRPr="005A0DA8" w:rsidRDefault="00DD2A75" w:rsidP="00104785">
            <w:pPr>
              <w:rPr>
                <w:rFonts w:cs="Arial"/>
                <w:bCs/>
                <w:lang w:val="es-ES"/>
              </w:rPr>
            </w:pPr>
            <w:r w:rsidRPr="005A0DA8">
              <w:rPr>
                <w:rFonts w:cs="Arial"/>
                <w:bCs/>
                <w:lang w:val="es-ES"/>
              </w:rPr>
              <w:t>5.3 Cruzadas y reconquista</w:t>
            </w:r>
          </w:p>
        </w:tc>
        <w:tc>
          <w:tcPr>
            <w:tcW w:w="2835" w:type="dxa"/>
          </w:tcPr>
          <w:p w14:paraId="34457342"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67638603" w14:textId="77777777" w:rsidR="00DD2A75" w:rsidRDefault="00DD2A75" w:rsidP="00104785">
            <w:pPr>
              <w:rPr>
                <w:rFonts w:cs="Arial"/>
                <w:color w:val="000000" w:themeColor="text1"/>
                <w:lang w:eastAsia="es-ES"/>
              </w:rPr>
            </w:pPr>
            <w:r w:rsidRPr="002408C7">
              <w:rPr>
                <w:rFonts w:cs="Arial"/>
                <w:color w:val="000000" w:themeColor="text1"/>
                <w:lang w:eastAsia="es-ES"/>
              </w:rPr>
              <w:t xml:space="preserve">Marín Riveros, José. “A modo de introducción”, “El llamado a la primera cruzada”. En </w:t>
            </w:r>
            <w:r w:rsidRPr="002408C7">
              <w:rPr>
                <w:rFonts w:cs="Arial"/>
                <w:i/>
                <w:color w:val="000000" w:themeColor="text1"/>
                <w:lang w:eastAsia="es-ES"/>
              </w:rPr>
              <w:t xml:space="preserve">Cruzada, Guerra Santa y Yihad: La Edad Media y nosotros, </w:t>
            </w:r>
            <w:r w:rsidRPr="002408C7">
              <w:rPr>
                <w:rFonts w:cs="Arial"/>
                <w:color w:val="000000" w:themeColor="text1"/>
                <w:lang w:eastAsia="es-ES"/>
              </w:rPr>
              <w:t>13-31 y 133-136.</w:t>
            </w:r>
            <w:r w:rsidRPr="002408C7">
              <w:rPr>
                <w:rFonts w:cs="Arial"/>
                <w:i/>
                <w:color w:val="000000" w:themeColor="text1"/>
                <w:lang w:eastAsia="es-ES"/>
              </w:rPr>
              <w:t xml:space="preserve"> </w:t>
            </w:r>
            <w:r w:rsidRPr="002408C7">
              <w:rPr>
                <w:rFonts w:cs="Arial"/>
                <w:color w:val="000000" w:themeColor="text1"/>
                <w:lang w:eastAsia="es-ES"/>
              </w:rPr>
              <w:t>Valparaíso: Ediciones Universitarias de Valparaíso, 2003.</w:t>
            </w:r>
            <w:r>
              <w:rPr>
                <w:rFonts w:cs="Arial"/>
                <w:color w:val="000000" w:themeColor="text1"/>
                <w:lang w:eastAsia="es-ES"/>
              </w:rPr>
              <w:t xml:space="preserve"> </w:t>
            </w:r>
            <w:r w:rsidRPr="001A4F62">
              <w:rPr>
                <w:rFonts w:cstheme="minorHAnsi"/>
                <w:color w:val="0070C0"/>
                <w:lang w:eastAsia="es-ES"/>
              </w:rPr>
              <w:t>(clásico, última edición)</w:t>
            </w:r>
          </w:p>
          <w:p w14:paraId="70191587" w14:textId="77777777" w:rsidR="00DD2A75" w:rsidRDefault="00DD2A75" w:rsidP="00104785">
            <w:pPr>
              <w:rPr>
                <w:rStyle w:val="Hipervnculo"/>
                <w:rFonts w:cstheme="minorHAnsi"/>
                <w:b/>
                <w:color w:val="0070C0"/>
              </w:rPr>
            </w:pPr>
            <w:r w:rsidRPr="00821B7C">
              <w:rPr>
                <w:rStyle w:val="Hipervnculo"/>
                <w:rFonts w:cstheme="minorHAnsi"/>
                <w:b/>
                <w:color w:val="0070C0"/>
              </w:rPr>
              <w:t>Material complementario</w:t>
            </w:r>
          </w:p>
          <w:p w14:paraId="0D5BC03A" w14:textId="77777777" w:rsidR="00DD2A75" w:rsidRPr="002408C7" w:rsidRDefault="00DD2A75" w:rsidP="00104785">
            <w:pPr>
              <w:rPr>
                <w:rFonts w:cs="Calibri"/>
                <w:bCs/>
              </w:rPr>
            </w:pPr>
            <w:r w:rsidRPr="007B10F7">
              <w:rPr>
                <w:rStyle w:val="Hipervnculo"/>
                <w:rFonts w:cstheme="minorHAnsi"/>
                <w:bCs/>
                <w:color w:val="0070C0"/>
              </w:rPr>
              <w:t xml:space="preserve">Guía para la participación mediante la herramienta Big Blue </w:t>
            </w:r>
            <w:proofErr w:type="spellStart"/>
            <w:r w:rsidRPr="007B10F7">
              <w:rPr>
                <w:rStyle w:val="Hipervnculo"/>
                <w:rFonts w:cstheme="minorHAnsi"/>
                <w:bCs/>
                <w:color w:val="0070C0"/>
              </w:rPr>
              <w:t>Button</w:t>
            </w:r>
            <w:proofErr w:type="spellEnd"/>
            <w:r w:rsidRPr="007B10F7">
              <w:rPr>
                <w:rStyle w:val="Hipervnculo"/>
                <w:rFonts w:cstheme="minorHAnsi"/>
                <w:bCs/>
                <w:color w:val="0070C0"/>
              </w:rPr>
              <w:t xml:space="preserve"> en la plataforma Moodle</w:t>
            </w:r>
          </w:p>
        </w:tc>
        <w:tc>
          <w:tcPr>
            <w:tcW w:w="3118" w:type="dxa"/>
          </w:tcPr>
          <w:p w14:paraId="13EA1F01" w14:textId="77777777" w:rsidR="00DD2A75" w:rsidRPr="002408C7" w:rsidRDefault="00DD2A75" w:rsidP="00DD2A75">
            <w:pPr>
              <w:pStyle w:val="Prrafodelista"/>
              <w:numPr>
                <w:ilvl w:val="0"/>
                <w:numId w:val="83"/>
              </w:numPr>
              <w:ind w:left="420"/>
              <w:rPr>
                <w:rFonts w:asciiTheme="minorHAnsi" w:hAnsiTheme="minorHAnsi"/>
                <w:color w:val="000000" w:themeColor="text1"/>
              </w:rPr>
            </w:pPr>
            <w:r w:rsidRPr="002408C7">
              <w:rPr>
                <w:rFonts w:asciiTheme="minorHAnsi" w:hAnsiTheme="minorHAnsi"/>
                <w:color w:val="000000" w:themeColor="text1"/>
              </w:rPr>
              <w:t>Exposición basada en lectura de análisis, presentación docente y debate en plenaria sobre la lectura en un encuentro sincrónico</w:t>
            </w:r>
            <w:r>
              <w:rPr>
                <w:rFonts w:asciiTheme="minorHAnsi" w:hAnsiTheme="minorHAnsi"/>
                <w:color w:val="000000" w:themeColor="text1"/>
              </w:rPr>
              <w:t xml:space="preserve"> virtual</w:t>
            </w:r>
            <w:r w:rsidRPr="002408C7">
              <w:rPr>
                <w:rFonts w:asciiTheme="minorHAnsi" w:hAnsiTheme="minorHAnsi"/>
                <w:color w:val="000000" w:themeColor="text1"/>
              </w:rPr>
              <w:t>.</w:t>
            </w:r>
          </w:p>
          <w:p w14:paraId="17B42A1B" w14:textId="77777777" w:rsidR="00DD2A75" w:rsidRPr="001A1378" w:rsidRDefault="00DD2A75" w:rsidP="00DD2A75">
            <w:pPr>
              <w:pStyle w:val="Prrafodelista"/>
              <w:numPr>
                <w:ilvl w:val="0"/>
                <w:numId w:val="83"/>
              </w:numPr>
              <w:ind w:left="420"/>
              <w:rPr>
                <w:rFonts w:asciiTheme="minorHAnsi" w:hAnsiTheme="minorHAnsi"/>
                <w:color w:val="000000" w:themeColor="text1"/>
              </w:rPr>
            </w:pPr>
            <w:r w:rsidRPr="002408C7">
              <w:rPr>
                <w:rFonts w:asciiTheme="minorHAnsi" w:hAnsiTheme="minorHAnsi"/>
                <w:color w:val="000000" w:themeColor="text1"/>
              </w:rPr>
              <w:t>Asignación de lecturas para resúmenes y exposiciones en la Unidad VI.</w:t>
            </w:r>
          </w:p>
        </w:tc>
      </w:tr>
      <w:tr w:rsidR="00DD2A75" w:rsidRPr="002408C7" w14:paraId="0E2B17F5" w14:textId="77777777" w:rsidTr="00104785">
        <w:trPr>
          <w:jc w:val="center"/>
        </w:trPr>
        <w:tc>
          <w:tcPr>
            <w:tcW w:w="1271" w:type="dxa"/>
          </w:tcPr>
          <w:p w14:paraId="61A22354" w14:textId="77777777" w:rsidR="00DD2A75" w:rsidRPr="002408C7" w:rsidRDefault="00DD2A75" w:rsidP="00104785">
            <w:pPr>
              <w:jc w:val="center"/>
              <w:rPr>
                <w:color w:val="000000" w:themeColor="text1"/>
              </w:rPr>
            </w:pPr>
            <w:r w:rsidRPr="002408C7">
              <w:rPr>
                <w:color w:val="000000" w:themeColor="text1"/>
              </w:rPr>
              <w:lastRenderedPageBreak/>
              <w:t>13</w:t>
            </w:r>
          </w:p>
        </w:tc>
        <w:tc>
          <w:tcPr>
            <w:tcW w:w="2410" w:type="dxa"/>
          </w:tcPr>
          <w:p w14:paraId="243237D7" w14:textId="77777777" w:rsidR="00DD2A75" w:rsidRPr="00F36FC4" w:rsidRDefault="00DD2A75" w:rsidP="00104785">
            <w:pPr>
              <w:rPr>
                <w:rFonts w:cs="Arial"/>
                <w:b/>
                <w:lang w:val="es-ES"/>
              </w:rPr>
            </w:pPr>
            <w:r w:rsidRPr="00F36FC4">
              <w:rPr>
                <w:rFonts w:cs="Arial"/>
                <w:b/>
                <w:lang w:val="es-ES"/>
              </w:rPr>
              <w:t>Unidad 6: Siglos XIV y XV</w:t>
            </w:r>
          </w:p>
          <w:p w14:paraId="35950348" w14:textId="77777777" w:rsidR="00DD2A75" w:rsidRPr="005A0DA8" w:rsidRDefault="00DD2A75" w:rsidP="00104785">
            <w:pPr>
              <w:rPr>
                <w:rFonts w:cs="Arial"/>
                <w:bCs/>
                <w:lang w:val="es-ES"/>
              </w:rPr>
            </w:pPr>
            <w:r w:rsidRPr="005A0DA8">
              <w:rPr>
                <w:rFonts w:cs="Arial"/>
                <w:bCs/>
                <w:lang w:val="es-ES"/>
              </w:rPr>
              <w:t>6.1 La crisis de la Edad Media y los cambios sociales</w:t>
            </w:r>
          </w:p>
        </w:tc>
        <w:tc>
          <w:tcPr>
            <w:tcW w:w="2835" w:type="dxa"/>
          </w:tcPr>
          <w:p w14:paraId="30ABA245"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437D04FC" w14:textId="77777777" w:rsidR="00DD2A75" w:rsidRDefault="00DD2A75" w:rsidP="00104785">
            <w:pPr>
              <w:rPr>
                <w:rFonts w:cs="Arial"/>
                <w:color w:val="000000" w:themeColor="text1"/>
                <w:lang w:eastAsia="es-ES"/>
              </w:rPr>
            </w:pPr>
            <w:r w:rsidRPr="002408C7">
              <w:rPr>
                <w:rFonts w:cs="Arial"/>
                <w:color w:val="000000" w:themeColor="text1"/>
                <w:lang w:eastAsia="es-ES"/>
              </w:rPr>
              <w:t xml:space="preserve">González, Justo. “Las nuevas condiciones”.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461-474.</w:t>
            </w:r>
            <w:r w:rsidRPr="002408C7">
              <w:rPr>
                <w:rFonts w:cs="Arial"/>
                <w:i/>
                <w:color w:val="000000" w:themeColor="text1"/>
                <w:lang w:eastAsia="es-ES"/>
              </w:rPr>
              <w:t xml:space="preserve"> </w:t>
            </w:r>
            <w:r w:rsidRPr="002408C7">
              <w:rPr>
                <w:rFonts w:cs="Arial"/>
                <w:color w:val="000000" w:themeColor="text1"/>
                <w:lang w:eastAsia="es-ES"/>
              </w:rPr>
              <w:t xml:space="preserve">Miami: </w:t>
            </w:r>
            <w:proofErr w:type="spellStart"/>
            <w:r w:rsidRPr="002408C7">
              <w:rPr>
                <w:rFonts w:cs="Arial"/>
                <w:color w:val="000000" w:themeColor="text1"/>
                <w:lang w:eastAsia="es-ES"/>
              </w:rPr>
              <w:t>Unilit</w:t>
            </w:r>
            <w:proofErr w:type="spellEnd"/>
            <w:r w:rsidRPr="002408C7">
              <w:rPr>
                <w:rFonts w:cs="Arial"/>
                <w:color w:val="000000" w:themeColor="text1"/>
                <w:lang w:eastAsia="es-ES"/>
              </w:rPr>
              <w:t>, 2009.</w:t>
            </w:r>
            <w:r>
              <w:rPr>
                <w:rFonts w:cs="Arial"/>
                <w:color w:val="000000" w:themeColor="text1"/>
                <w:lang w:eastAsia="es-ES"/>
              </w:rPr>
              <w:t xml:space="preserve"> </w:t>
            </w:r>
            <w:r w:rsidRPr="001A4F62">
              <w:rPr>
                <w:rFonts w:cstheme="minorHAnsi"/>
                <w:color w:val="0070C0"/>
                <w:lang w:eastAsia="es-ES"/>
              </w:rPr>
              <w:t>(clásico, última edición)</w:t>
            </w:r>
          </w:p>
          <w:p w14:paraId="2E35222C" w14:textId="77777777" w:rsidR="00DD2A75" w:rsidRPr="002408C7" w:rsidRDefault="00DD2A75" w:rsidP="00104785">
            <w:pPr>
              <w:rPr>
                <w:b/>
              </w:rPr>
            </w:pPr>
          </w:p>
        </w:tc>
        <w:tc>
          <w:tcPr>
            <w:tcW w:w="3118" w:type="dxa"/>
          </w:tcPr>
          <w:p w14:paraId="476CB7AB" w14:textId="77777777" w:rsidR="00DD2A75" w:rsidRPr="002408C7" w:rsidRDefault="00DD2A75" w:rsidP="00DD2A75">
            <w:pPr>
              <w:pStyle w:val="Prrafodelista"/>
              <w:numPr>
                <w:ilvl w:val="0"/>
                <w:numId w:val="84"/>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Elaboración de resumen de lectura de trasfondo.</w:t>
            </w:r>
          </w:p>
          <w:p w14:paraId="30CEF21D" w14:textId="77777777" w:rsidR="00DD2A75" w:rsidRPr="002408C7" w:rsidRDefault="00DD2A75" w:rsidP="00DD2A75">
            <w:pPr>
              <w:pStyle w:val="Prrafodelista"/>
              <w:numPr>
                <w:ilvl w:val="0"/>
                <w:numId w:val="84"/>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Entrega del borrador completo de la monografía final.</w:t>
            </w:r>
          </w:p>
        </w:tc>
      </w:tr>
      <w:tr w:rsidR="00DD2A75" w:rsidRPr="002408C7" w14:paraId="4BE68DE9" w14:textId="77777777" w:rsidTr="00104785">
        <w:trPr>
          <w:jc w:val="center"/>
        </w:trPr>
        <w:tc>
          <w:tcPr>
            <w:tcW w:w="1271" w:type="dxa"/>
          </w:tcPr>
          <w:p w14:paraId="2642C82E" w14:textId="77777777" w:rsidR="00DD2A75" w:rsidRPr="002408C7" w:rsidRDefault="00DD2A75" w:rsidP="00104785">
            <w:pPr>
              <w:jc w:val="center"/>
              <w:rPr>
                <w:color w:val="000000" w:themeColor="text1"/>
              </w:rPr>
            </w:pPr>
            <w:r w:rsidRPr="002408C7">
              <w:rPr>
                <w:color w:val="000000" w:themeColor="text1"/>
              </w:rPr>
              <w:t>14</w:t>
            </w:r>
          </w:p>
        </w:tc>
        <w:tc>
          <w:tcPr>
            <w:tcW w:w="2410" w:type="dxa"/>
          </w:tcPr>
          <w:p w14:paraId="6B064CB3" w14:textId="77777777" w:rsidR="00DD2A75" w:rsidRPr="00F36FC4" w:rsidRDefault="00DD2A75" w:rsidP="00104785">
            <w:pPr>
              <w:rPr>
                <w:rFonts w:cs="Arial"/>
                <w:b/>
                <w:lang w:val="es-ES"/>
              </w:rPr>
            </w:pPr>
            <w:r w:rsidRPr="00F36FC4">
              <w:rPr>
                <w:rFonts w:cs="Arial"/>
                <w:b/>
                <w:lang w:val="es-ES"/>
              </w:rPr>
              <w:t>Unidad 6: Siglos XIV y XV</w:t>
            </w:r>
          </w:p>
          <w:p w14:paraId="6BB94D82" w14:textId="77777777" w:rsidR="00DD2A75" w:rsidRPr="005A0DA8" w:rsidRDefault="00DD2A75" w:rsidP="00104785">
            <w:pPr>
              <w:rPr>
                <w:rFonts w:cs="Arial"/>
                <w:bCs/>
              </w:rPr>
            </w:pPr>
            <w:r w:rsidRPr="005A0DA8">
              <w:rPr>
                <w:rFonts w:cs="Arial"/>
                <w:bCs/>
                <w:lang w:val="es-ES"/>
              </w:rPr>
              <w:t xml:space="preserve">6.2 </w:t>
            </w:r>
            <w:r w:rsidRPr="005A0DA8">
              <w:rPr>
                <w:rFonts w:cs="Arial"/>
                <w:bCs/>
              </w:rPr>
              <w:t>Movimientos de protesta</w:t>
            </w:r>
          </w:p>
        </w:tc>
        <w:tc>
          <w:tcPr>
            <w:tcW w:w="2835" w:type="dxa"/>
          </w:tcPr>
          <w:p w14:paraId="3EDF7661" w14:textId="77777777" w:rsidR="00DD2A75" w:rsidRDefault="00DD2A75" w:rsidP="00104785">
            <w:pPr>
              <w:rPr>
                <w:rFonts w:cs="Arial"/>
                <w:color w:val="000000" w:themeColor="text1"/>
                <w:lang w:eastAsia="es-ES"/>
              </w:rPr>
            </w:pPr>
            <w:r w:rsidRPr="00A178E2">
              <w:rPr>
                <w:rFonts w:cs="Arial"/>
                <w:color w:val="0070C0"/>
                <w:lang w:eastAsia="es-ES"/>
              </w:rPr>
              <w:t>Ruta de aprendizaje</w:t>
            </w:r>
          </w:p>
          <w:p w14:paraId="1DCD2E59" w14:textId="77777777" w:rsidR="00DD2A75" w:rsidRDefault="00DD2A75" w:rsidP="00104785">
            <w:pPr>
              <w:rPr>
                <w:rFonts w:cs="Arial"/>
                <w:color w:val="000000" w:themeColor="text1"/>
                <w:lang w:eastAsia="es-ES"/>
              </w:rPr>
            </w:pPr>
            <w:r w:rsidRPr="002408C7">
              <w:rPr>
                <w:rFonts w:cs="Arial"/>
                <w:color w:val="000000" w:themeColor="text1"/>
                <w:lang w:eastAsia="es-ES"/>
              </w:rPr>
              <w:t xml:space="preserve">González, Justo. “Juan </w:t>
            </w:r>
            <w:proofErr w:type="spellStart"/>
            <w:r w:rsidRPr="002408C7">
              <w:rPr>
                <w:rFonts w:cs="Arial"/>
                <w:color w:val="000000" w:themeColor="text1"/>
                <w:lang w:eastAsia="es-ES"/>
              </w:rPr>
              <w:t>Wyclif</w:t>
            </w:r>
            <w:proofErr w:type="spellEnd"/>
            <w:r w:rsidRPr="002408C7">
              <w:rPr>
                <w:rFonts w:cs="Arial"/>
                <w:color w:val="000000" w:themeColor="text1"/>
                <w:lang w:eastAsia="es-ES"/>
              </w:rPr>
              <w:t xml:space="preserve">”, “Juan </w:t>
            </w:r>
            <w:proofErr w:type="spellStart"/>
            <w:r w:rsidRPr="002408C7">
              <w:rPr>
                <w:rFonts w:cs="Arial"/>
                <w:color w:val="000000" w:themeColor="text1"/>
                <w:lang w:eastAsia="es-ES"/>
              </w:rPr>
              <w:t>Huss</w:t>
            </w:r>
            <w:proofErr w:type="spellEnd"/>
            <w:r w:rsidRPr="002408C7">
              <w:rPr>
                <w:rFonts w:cs="Arial"/>
                <w:color w:val="000000" w:themeColor="text1"/>
                <w:lang w:eastAsia="es-ES"/>
              </w:rPr>
              <w:t xml:space="preserve">”, “Los movimientos populares”. En </w:t>
            </w:r>
            <w:r w:rsidRPr="002408C7">
              <w:rPr>
                <w:rFonts w:cs="Arial"/>
                <w:i/>
                <w:color w:val="000000" w:themeColor="text1"/>
                <w:lang w:eastAsia="es-ES"/>
              </w:rPr>
              <w:t xml:space="preserve">Historia del cristianismo: obra completa, </w:t>
            </w:r>
            <w:r w:rsidRPr="002408C7">
              <w:rPr>
                <w:rFonts w:cs="Arial"/>
                <w:color w:val="000000" w:themeColor="text1"/>
                <w:lang w:eastAsia="es-ES"/>
              </w:rPr>
              <w:t>505-528.</w:t>
            </w:r>
            <w:r w:rsidRPr="002408C7">
              <w:rPr>
                <w:rFonts w:cs="Arial"/>
                <w:i/>
                <w:color w:val="000000" w:themeColor="text1"/>
                <w:lang w:eastAsia="es-ES"/>
              </w:rPr>
              <w:t xml:space="preserve"> </w:t>
            </w:r>
            <w:r w:rsidRPr="002408C7">
              <w:rPr>
                <w:rFonts w:cs="Arial"/>
                <w:color w:val="000000" w:themeColor="text1"/>
                <w:lang w:eastAsia="es-ES"/>
              </w:rPr>
              <w:t xml:space="preserve">Miami: </w:t>
            </w:r>
            <w:proofErr w:type="spellStart"/>
            <w:r w:rsidRPr="002408C7">
              <w:rPr>
                <w:rFonts w:cs="Arial"/>
                <w:color w:val="000000" w:themeColor="text1"/>
                <w:lang w:eastAsia="es-ES"/>
              </w:rPr>
              <w:t>Unilit</w:t>
            </w:r>
            <w:proofErr w:type="spellEnd"/>
            <w:r w:rsidRPr="002408C7">
              <w:rPr>
                <w:rFonts w:cs="Arial"/>
                <w:color w:val="000000" w:themeColor="text1"/>
                <w:lang w:eastAsia="es-ES"/>
              </w:rPr>
              <w:t xml:space="preserve">, 2009. </w:t>
            </w:r>
            <w:r w:rsidRPr="001A4F62">
              <w:rPr>
                <w:rFonts w:cstheme="minorHAnsi"/>
                <w:color w:val="0070C0"/>
                <w:lang w:eastAsia="es-ES"/>
              </w:rPr>
              <w:t>(clásico, última edición)</w:t>
            </w:r>
          </w:p>
          <w:p w14:paraId="6377CE44" w14:textId="77777777" w:rsidR="00DD2A75" w:rsidRDefault="00DD2A75" w:rsidP="00104785">
            <w:pPr>
              <w:rPr>
                <w:rStyle w:val="Hipervnculo"/>
                <w:rFonts w:cstheme="minorHAnsi"/>
                <w:b/>
                <w:color w:val="0070C0"/>
              </w:rPr>
            </w:pPr>
            <w:r w:rsidRPr="00821B7C">
              <w:rPr>
                <w:rStyle w:val="Hipervnculo"/>
                <w:rFonts w:cstheme="minorHAnsi"/>
                <w:b/>
                <w:color w:val="0070C0"/>
              </w:rPr>
              <w:t>Material complementario</w:t>
            </w:r>
          </w:p>
          <w:p w14:paraId="063100EA" w14:textId="77777777" w:rsidR="00DD2A75" w:rsidRPr="00F61DAE" w:rsidRDefault="00DD2A75" w:rsidP="00104785">
            <w:pPr>
              <w:rPr>
                <w:rFonts w:cstheme="minorHAnsi"/>
                <w:bCs/>
                <w:color w:val="000000" w:themeColor="text1"/>
                <w:lang w:eastAsia="es-ES"/>
              </w:rPr>
            </w:pPr>
            <w:r w:rsidRPr="00F61DAE">
              <w:rPr>
                <w:rStyle w:val="Hipervnculo"/>
                <w:rFonts w:cstheme="minorHAnsi"/>
                <w:bCs/>
                <w:color w:val="0070C0"/>
              </w:rPr>
              <w:t xml:space="preserve">Guía para la participación mediante la herramienta Big Blue </w:t>
            </w:r>
            <w:proofErr w:type="spellStart"/>
            <w:r w:rsidRPr="00F61DAE">
              <w:rPr>
                <w:rStyle w:val="Hipervnculo"/>
                <w:rFonts w:cstheme="minorHAnsi"/>
                <w:bCs/>
                <w:color w:val="0070C0"/>
              </w:rPr>
              <w:t>Button</w:t>
            </w:r>
            <w:proofErr w:type="spellEnd"/>
            <w:r w:rsidRPr="00F61DAE">
              <w:rPr>
                <w:rStyle w:val="Hipervnculo"/>
                <w:rFonts w:cstheme="minorHAnsi"/>
                <w:bCs/>
                <w:color w:val="0070C0"/>
              </w:rPr>
              <w:t xml:space="preserve"> en la plataforma Moodle</w:t>
            </w:r>
          </w:p>
          <w:p w14:paraId="20FCCE4D" w14:textId="77777777" w:rsidR="00DD2A75" w:rsidRPr="002408C7" w:rsidRDefault="00DD2A75" w:rsidP="00104785">
            <w:pPr>
              <w:rPr>
                <w:rFonts w:cs="Arial"/>
                <w:color w:val="000000" w:themeColor="text1"/>
                <w:lang w:eastAsia="es-ES"/>
              </w:rPr>
            </w:pPr>
          </w:p>
        </w:tc>
        <w:tc>
          <w:tcPr>
            <w:tcW w:w="3118" w:type="dxa"/>
          </w:tcPr>
          <w:p w14:paraId="1D8329C8" w14:textId="77777777" w:rsidR="00DD2A75" w:rsidRPr="002408C7" w:rsidRDefault="00DD2A75" w:rsidP="00DD2A75">
            <w:pPr>
              <w:pStyle w:val="Prrafodelista"/>
              <w:numPr>
                <w:ilvl w:val="0"/>
                <w:numId w:val="85"/>
              </w:numPr>
              <w:ind w:left="420"/>
              <w:rPr>
                <w:rFonts w:asciiTheme="minorHAnsi" w:hAnsiTheme="minorHAnsi" w:cstheme="minorHAnsi"/>
                <w:color w:val="000000" w:themeColor="text1"/>
              </w:rPr>
            </w:pPr>
            <w:r w:rsidRPr="002408C7">
              <w:rPr>
                <w:rFonts w:asciiTheme="minorHAnsi" w:hAnsiTheme="minorHAnsi" w:cstheme="minorHAnsi"/>
                <w:color w:val="000000" w:themeColor="text1"/>
              </w:rPr>
              <w:t>Exposición basada en lectura de análisis.</w:t>
            </w:r>
          </w:p>
        </w:tc>
      </w:tr>
      <w:tr w:rsidR="00DD2A75" w:rsidRPr="00826E28" w14:paraId="48831A77" w14:textId="77777777" w:rsidTr="00104785">
        <w:trPr>
          <w:jc w:val="center"/>
        </w:trPr>
        <w:tc>
          <w:tcPr>
            <w:tcW w:w="1271" w:type="dxa"/>
          </w:tcPr>
          <w:p w14:paraId="66DEFC95" w14:textId="77777777" w:rsidR="00DD2A75" w:rsidRPr="002408C7" w:rsidRDefault="00DD2A75" w:rsidP="00104785">
            <w:pPr>
              <w:jc w:val="center"/>
              <w:rPr>
                <w:color w:val="000000" w:themeColor="text1"/>
              </w:rPr>
            </w:pPr>
            <w:r w:rsidRPr="002408C7">
              <w:rPr>
                <w:color w:val="000000" w:themeColor="text1"/>
              </w:rPr>
              <w:t>15</w:t>
            </w:r>
          </w:p>
        </w:tc>
        <w:tc>
          <w:tcPr>
            <w:tcW w:w="2410" w:type="dxa"/>
          </w:tcPr>
          <w:p w14:paraId="138CD146" w14:textId="77777777" w:rsidR="00DD2A75" w:rsidRPr="003B27CE" w:rsidRDefault="00DD2A75" w:rsidP="00104785">
            <w:pPr>
              <w:pStyle w:val="Normalcontenido"/>
              <w:ind w:left="0" w:hanging="6"/>
              <w:rPr>
                <w:rFonts w:asciiTheme="minorHAnsi" w:hAnsiTheme="minorHAnsi" w:cs="Arial"/>
                <w:bCs/>
                <w:sz w:val="10"/>
                <w:szCs w:val="10"/>
              </w:rPr>
            </w:pPr>
          </w:p>
          <w:p w14:paraId="1C45288C" w14:textId="77777777" w:rsidR="00DD2A75" w:rsidRPr="00F36FC4" w:rsidRDefault="00DD2A75" w:rsidP="00104785">
            <w:pPr>
              <w:pStyle w:val="Normalcontenido"/>
              <w:ind w:left="0" w:hanging="6"/>
              <w:rPr>
                <w:rFonts w:asciiTheme="minorHAnsi" w:hAnsiTheme="minorHAnsi" w:cs="Arial"/>
                <w:b/>
                <w:sz w:val="22"/>
                <w:szCs w:val="22"/>
              </w:rPr>
            </w:pPr>
            <w:r w:rsidRPr="00F36FC4">
              <w:rPr>
                <w:rFonts w:asciiTheme="minorHAnsi" w:hAnsiTheme="minorHAnsi" w:cs="Arial"/>
                <w:b/>
                <w:sz w:val="22"/>
                <w:szCs w:val="22"/>
              </w:rPr>
              <w:t>Unidad 6: Siglos XIV y XV</w:t>
            </w:r>
          </w:p>
          <w:p w14:paraId="24314C97" w14:textId="77777777" w:rsidR="00DD2A75" w:rsidRPr="00744F12" w:rsidRDefault="00DD2A75" w:rsidP="00104785">
            <w:pPr>
              <w:pStyle w:val="Normalcontenido"/>
              <w:ind w:left="0" w:hanging="6"/>
              <w:rPr>
                <w:rFonts w:asciiTheme="minorHAnsi" w:hAnsiTheme="minorHAnsi" w:cs="Arial"/>
                <w:bCs/>
                <w:sz w:val="14"/>
                <w:szCs w:val="14"/>
              </w:rPr>
            </w:pPr>
          </w:p>
          <w:p w14:paraId="12540C82" w14:textId="77777777" w:rsidR="00DD2A75" w:rsidRPr="005A0DA8" w:rsidRDefault="00DD2A75" w:rsidP="00104785">
            <w:pPr>
              <w:pStyle w:val="Normalcontenido"/>
              <w:ind w:left="0" w:hanging="6"/>
              <w:rPr>
                <w:rFonts w:asciiTheme="minorHAnsi" w:hAnsiTheme="minorHAnsi" w:cs="Arial"/>
                <w:bCs/>
                <w:sz w:val="22"/>
                <w:szCs w:val="22"/>
              </w:rPr>
            </w:pPr>
            <w:r w:rsidRPr="005A0DA8">
              <w:rPr>
                <w:rFonts w:asciiTheme="minorHAnsi" w:hAnsiTheme="minorHAnsi" w:cs="Arial"/>
                <w:bCs/>
                <w:sz w:val="22"/>
                <w:szCs w:val="22"/>
              </w:rPr>
              <w:t>6.3 Conclusión</w:t>
            </w:r>
          </w:p>
        </w:tc>
        <w:tc>
          <w:tcPr>
            <w:tcW w:w="2835" w:type="dxa"/>
          </w:tcPr>
          <w:p w14:paraId="3D708DED" w14:textId="77777777" w:rsidR="00DD2A75" w:rsidRDefault="00DD2A75" w:rsidP="00104785">
            <w:pPr>
              <w:tabs>
                <w:tab w:val="left" w:pos="1490"/>
              </w:tabs>
              <w:rPr>
                <w:rFonts w:cs="Arial"/>
                <w:color w:val="0070C0"/>
                <w:lang w:eastAsia="es-ES"/>
              </w:rPr>
            </w:pPr>
            <w:r w:rsidRPr="00A178E2">
              <w:rPr>
                <w:rFonts w:cs="Arial"/>
                <w:color w:val="0070C0"/>
                <w:lang w:eastAsia="es-ES"/>
              </w:rPr>
              <w:t>Ruta de aprendizaje</w:t>
            </w:r>
          </w:p>
          <w:p w14:paraId="22018781" w14:textId="77777777" w:rsidR="00DD2A75" w:rsidRDefault="00DD2A75" w:rsidP="00104785">
            <w:pPr>
              <w:tabs>
                <w:tab w:val="left" w:pos="1490"/>
              </w:tabs>
              <w:rPr>
                <w:rStyle w:val="Hipervnculo"/>
                <w:rFonts w:cstheme="minorHAnsi"/>
                <w:b/>
                <w:color w:val="0070C0"/>
              </w:rPr>
            </w:pPr>
          </w:p>
          <w:p w14:paraId="2FB82180" w14:textId="77777777" w:rsidR="00DD2A75" w:rsidRDefault="00DD2A75" w:rsidP="00104785">
            <w:pPr>
              <w:tabs>
                <w:tab w:val="left" w:pos="1490"/>
              </w:tabs>
              <w:rPr>
                <w:rStyle w:val="Hipervnculo"/>
                <w:rFonts w:cstheme="minorHAnsi"/>
                <w:b/>
                <w:color w:val="0070C0"/>
              </w:rPr>
            </w:pPr>
            <w:r w:rsidRPr="00821B7C">
              <w:rPr>
                <w:rStyle w:val="Hipervnculo"/>
                <w:rFonts w:cstheme="minorHAnsi"/>
                <w:b/>
                <w:color w:val="0070C0"/>
              </w:rPr>
              <w:t>Material</w:t>
            </w:r>
            <w:r>
              <w:rPr>
                <w:rStyle w:val="Hipervnculo"/>
                <w:rFonts w:cstheme="minorHAnsi"/>
                <w:b/>
                <w:color w:val="0070C0"/>
              </w:rPr>
              <w:t xml:space="preserve"> </w:t>
            </w:r>
            <w:r w:rsidRPr="00821B7C">
              <w:rPr>
                <w:rStyle w:val="Hipervnculo"/>
                <w:rFonts w:cstheme="minorHAnsi"/>
                <w:b/>
                <w:color w:val="0070C0"/>
              </w:rPr>
              <w:t>complementario</w:t>
            </w:r>
          </w:p>
          <w:p w14:paraId="45EA09D6" w14:textId="77777777" w:rsidR="00DD2A75" w:rsidRPr="000B23B1" w:rsidRDefault="00DD2A75" w:rsidP="00104785">
            <w:pPr>
              <w:tabs>
                <w:tab w:val="left" w:pos="1490"/>
              </w:tabs>
              <w:rPr>
                <w:rFonts w:cstheme="minorHAnsi"/>
                <w:bCs/>
                <w:color w:val="000000" w:themeColor="text1"/>
              </w:rPr>
            </w:pPr>
            <w:r w:rsidRPr="000B23B1">
              <w:rPr>
                <w:rStyle w:val="Hipervnculo"/>
                <w:rFonts w:cstheme="minorHAnsi"/>
                <w:bCs/>
                <w:color w:val="0070C0"/>
              </w:rPr>
              <w:t>Guía para la participación en un foro en la plataforma Moodle</w:t>
            </w:r>
          </w:p>
        </w:tc>
        <w:tc>
          <w:tcPr>
            <w:tcW w:w="3118" w:type="dxa"/>
          </w:tcPr>
          <w:p w14:paraId="3E882485" w14:textId="77777777" w:rsidR="00DD2A75" w:rsidRPr="002408C7" w:rsidRDefault="00DD2A75" w:rsidP="00DD2A75">
            <w:pPr>
              <w:pStyle w:val="Prrafodelista"/>
              <w:numPr>
                <w:ilvl w:val="0"/>
                <w:numId w:val="86"/>
              </w:numPr>
              <w:ind w:left="420"/>
              <w:rPr>
                <w:rFonts w:asciiTheme="minorHAnsi" w:hAnsiTheme="minorHAnsi"/>
                <w:color w:val="000000" w:themeColor="text1"/>
              </w:rPr>
            </w:pPr>
            <w:r w:rsidRPr="002408C7">
              <w:rPr>
                <w:rFonts w:asciiTheme="minorHAnsi" w:hAnsiTheme="minorHAnsi" w:cstheme="minorHAnsi"/>
                <w:color w:val="000000" w:themeColor="text1"/>
              </w:rPr>
              <w:t>Entrega de su monografía final.</w:t>
            </w:r>
          </w:p>
          <w:p w14:paraId="07EDCAA0" w14:textId="77777777" w:rsidR="00DD2A75" w:rsidRPr="002408C7" w:rsidRDefault="00DD2A75" w:rsidP="00DD2A75">
            <w:pPr>
              <w:pStyle w:val="Prrafodelista"/>
              <w:numPr>
                <w:ilvl w:val="0"/>
                <w:numId w:val="86"/>
              </w:numPr>
              <w:ind w:left="420"/>
              <w:rPr>
                <w:rFonts w:asciiTheme="minorHAnsi" w:hAnsiTheme="minorHAnsi"/>
                <w:color w:val="000000" w:themeColor="text1"/>
              </w:rPr>
            </w:pPr>
            <w:r w:rsidRPr="002408C7">
              <w:rPr>
                <w:rFonts w:asciiTheme="minorHAnsi" w:hAnsiTheme="minorHAnsi" w:cstheme="minorHAnsi"/>
                <w:color w:val="000000" w:themeColor="text1"/>
              </w:rPr>
              <w:t>Participación en el foro de discusión: La importancia del estudio de la historia para la vida de la iglesia</w:t>
            </w:r>
            <w:r>
              <w:rPr>
                <w:rFonts w:asciiTheme="minorHAnsi" w:hAnsiTheme="minorHAnsi" w:cstheme="minorHAnsi"/>
                <w:color w:val="000000" w:themeColor="text1"/>
              </w:rPr>
              <w:t xml:space="preserve"> (formativo)</w:t>
            </w:r>
            <w:r w:rsidRPr="002408C7">
              <w:rPr>
                <w:rFonts w:asciiTheme="minorHAnsi" w:hAnsiTheme="minorHAnsi" w:cstheme="minorHAnsi"/>
                <w:color w:val="000000" w:themeColor="text1"/>
              </w:rPr>
              <w:t>.</w:t>
            </w:r>
          </w:p>
        </w:tc>
      </w:tr>
    </w:tbl>
    <w:p w14:paraId="689B25DD" w14:textId="77777777" w:rsidR="00DD2A75" w:rsidRDefault="00DD2A75" w:rsidP="00DD2A75">
      <w:pPr>
        <w:jc w:val="both"/>
        <w:rPr>
          <w:rFonts w:cstheme="minorHAnsi"/>
          <w:b/>
          <w:bCs/>
          <w:color w:val="000000" w:themeColor="text1"/>
        </w:rPr>
      </w:pPr>
    </w:p>
    <w:p w14:paraId="230878F0" w14:textId="77777777" w:rsidR="00DD2A75" w:rsidRDefault="00DD2A75" w:rsidP="00DD2A75">
      <w:pPr>
        <w:jc w:val="both"/>
        <w:rPr>
          <w:rFonts w:cstheme="minorHAnsi"/>
          <w:b/>
          <w:bCs/>
          <w:color w:val="000000" w:themeColor="text1"/>
        </w:rPr>
      </w:pPr>
    </w:p>
    <w:p w14:paraId="7E76D756" w14:textId="77777777" w:rsidR="00A1248E" w:rsidRDefault="00A1248E" w:rsidP="00DD2A75">
      <w:pPr>
        <w:jc w:val="both"/>
        <w:rPr>
          <w:rFonts w:cstheme="minorHAnsi"/>
          <w:b/>
          <w:bCs/>
          <w:color w:val="000000" w:themeColor="text1"/>
        </w:rPr>
      </w:pPr>
    </w:p>
    <w:p w14:paraId="3C2A2E32" w14:textId="77777777" w:rsidR="00A1248E" w:rsidRDefault="00A1248E" w:rsidP="00DD2A75">
      <w:pPr>
        <w:jc w:val="both"/>
        <w:rPr>
          <w:rFonts w:cstheme="minorHAnsi"/>
          <w:b/>
          <w:bCs/>
          <w:color w:val="000000" w:themeColor="text1"/>
        </w:rPr>
      </w:pPr>
    </w:p>
    <w:p w14:paraId="29C02C19" w14:textId="77777777" w:rsidR="00A1248E" w:rsidRDefault="00A1248E" w:rsidP="00DD2A75">
      <w:pPr>
        <w:jc w:val="both"/>
        <w:rPr>
          <w:rFonts w:cstheme="minorHAnsi"/>
          <w:b/>
          <w:bCs/>
          <w:color w:val="000000" w:themeColor="text1"/>
        </w:rPr>
      </w:pPr>
    </w:p>
    <w:p w14:paraId="17144703" w14:textId="77777777" w:rsidR="00DD2A75" w:rsidRDefault="00DD2A75" w:rsidP="00DD2A75">
      <w:pPr>
        <w:jc w:val="both"/>
        <w:rPr>
          <w:rFonts w:cstheme="minorHAnsi"/>
          <w:b/>
          <w:bCs/>
          <w:color w:val="000000" w:themeColor="text1"/>
        </w:rPr>
      </w:pPr>
    </w:p>
    <w:p w14:paraId="7FF4FDED" w14:textId="77777777" w:rsidR="00DD2A75" w:rsidRDefault="00DD2A75" w:rsidP="00DD2A75">
      <w:pPr>
        <w:jc w:val="both"/>
        <w:rPr>
          <w:rFonts w:cstheme="minorHAnsi"/>
          <w:b/>
          <w:bCs/>
          <w:color w:val="000000" w:themeColor="text1"/>
        </w:rPr>
      </w:pPr>
    </w:p>
    <w:p w14:paraId="74BE6402" w14:textId="77777777" w:rsidR="00DD2A75" w:rsidRPr="00826E28" w:rsidRDefault="00DD2A75" w:rsidP="00DD2A75">
      <w:pPr>
        <w:jc w:val="both"/>
        <w:rPr>
          <w:rFonts w:cstheme="minorHAnsi"/>
          <w:b/>
          <w:bCs/>
          <w:color w:val="000000" w:themeColor="text1"/>
        </w:rPr>
      </w:pPr>
      <w:r w:rsidRPr="00826E28">
        <w:rPr>
          <w:rFonts w:cstheme="minorHAnsi"/>
          <w:b/>
          <w:bCs/>
          <w:color w:val="000000" w:themeColor="text1"/>
        </w:rPr>
        <w:lastRenderedPageBreak/>
        <w:t>IX. Distribución de tiempo semanal</w:t>
      </w:r>
    </w:p>
    <w:p w14:paraId="470F84C1" w14:textId="77777777" w:rsidR="00DD2A75" w:rsidRPr="00826E28" w:rsidRDefault="00DD2A75" w:rsidP="00DD2A75">
      <w:pPr>
        <w:jc w:val="both"/>
        <w:rPr>
          <w:rFonts w:cstheme="minorHAnsi"/>
          <w:bCs/>
          <w:color w:val="000000" w:themeColor="text1"/>
        </w:rPr>
      </w:pPr>
      <w:r w:rsidRPr="00826E28">
        <w:rPr>
          <w:rFonts w:cstheme="minorHAnsi"/>
          <w:bCs/>
          <w:color w:val="000000" w:themeColor="text1"/>
        </w:rPr>
        <w:t>Al ser este un curso im</w:t>
      </w:r>
      <w:r>
        <w:rPr>
          <w:rFonts w:cstheme="minorHAnsi"/>
          <w:bCs/>
          <w:color w:val="000000" w:themeColor="text1"/>
        </w:rPr>
        <w:t>partido en la modalidad virtual</w:t>
      </w:r>
      <w:r w:rsidRPr="00826E28">
        <w:rPr>
          <w:rFonts w:cstheme="minorHAnsi"/>
          <w:bCs/>
          <w:color w:val="000000" w:themeColor="text1"/>
        </w:rPr>
        <w:t xml:space="preserve"> no se requiere la asistencia a clases presenciales.  Por ello, cada semana se asignan actividades que los estudiantes deben realizar para promover el diálogo con los contenidos y la asimilación de los temas a través de lecturas crí</w:t>
      </w:r>
      <w:r>
        <w:rPr>
          <w:rFonts w:cstheme="minorHAnsi"/>
          <w:bCs/>
          <w:color w:val="000000" w:themeColor="text1"/>
        </w:rPr>
        <w:t>ticas, análisis, tareas, reseñas</w:t>
      </w:r>
      <w:r w:rsidRPr="00826E28">
        <w:rPr>
          <w:rFonts w:cstheme="minorHAnsi"/>
          <w:bCs/>
          <w:color w:val="000000" w:themeColor="text1"/>
        </w:rPr>
        <w:t>, discusiones en foros o trabajos colaborativos.  Debe considerarse que, al tener este curso asignados 4 créditos, se debe invertir 12 horas de trabajo por semana.  La distribución de tiempos es la siguiente:</w:t>
      </w:r>
    </w:p>
    <w:p w14:paraId="3964CCD6" w14:textId="77777777" w:rsidR="00DD2A75" w:rsidRPr="00826E28" w:rsidRDefault="00DD2A75" w:rsidP="00DD2A75">
      <w:pPr>
        <w:jc w:val="both"/>
        <w:rPr>
          <w:rFonts w:cstheme="minorHAnsi"/>
          <w:bCs/>
          <w:color w:val="000000" w:themeColor="text1"/>
        </w:rPr>
      </w:pPr>
    </w:p>
    <w:tbl>
      <w:tblPr>
        <w:tblStyle w:val="Tablaconcuadrcula"/>
        <w:tblW w:w="8784" w:type="dxa"/>
        <w:tblLook w:val="04A0" w:firstRow="1" w:lastRow="0" w:firstColumn="1" w:lastColumn="0" w:noHBand="0" w:noVBand="1"/>
      </w:tblPr>
      <w:tblGrid>
        <w:gridCol w:w="1980"/>
        <w:gridCol w:w="1417"/>
        <w:gridCol w:w="5387"/>
      </w:tblGrid>
      <w:tr w:rsidR="00DD2A75" w:rsidRPr="00826E28" w14:paraId="02F39237" w14:textId="77777777" w:rsidTr="00104785">
        <w:tc>
          <w:tcPr>
            <w:tcW w:w="1980" w:type="dxa"/>
          </w:tcPr>
          <w:p w14:paraId="6B12F6B8"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Tipo de horas</w:t>
            </w:r>
          </w:p>
          <w:p w14:paraId="518FEDE6"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(categoría)</w:t>
            </w:r>
          </w:p>
        </w:tc>
        <w:tc>
          <w:tcPr>
            <w:tcW w:w="1417" w:type="dxa"/>
          </w:tcPr>
          <w:p w14:paraId="19A6708A"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Horas por semana</w:t>
            </w:r>
          </w:p>
        </w:tc>
        <w:tc>
          <w:tcPr>
            <w:tcW w:w="5387" w:type="dxa"/>
            <w:vAlign w:val="center"/>
          </w:tcPr>
          <w:p w14:paraId="21382BC3"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Actividades relacionadas</w:t>
            </w:r>
          </w:p>
        </w:tc>
      </w:tr>
      <w:tr w:rsidR="00DD2A75" w:rsidRPr="00826E28" w14:paraId="786272F7" w14:textId="77777777" w:rsidTr="00104785">
        <w:trPr>
          <w:trHeight w:val="734"/>
        </w:trPr>
        <w:tc>
          <w:tcPr>
            <w:tcW w:w="1980" w:type="dxa"/>
            <w:vAlign w:val="center"/>
          </w:tcPr>
          <w:p w14:paraId="553CE833"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Horas de Estudio Individual (HEI)</w:t>
            </w:r>
          </w:p>
        </w:tc>
        <w:tc>
          <w:tcPr>
            <w:tcW w:w="1417" w:type="dxa"/>
            <w:vAlign w:val="center"/>
          </w:tcPr>
          <w:p w14:paraId="1CA4CA6B"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4</w:t>
            </w:r>
          </w:p>
        </w:tc>
        <w:tc>
          <w:tcPr>
            <w:tcW w:w="5387" w:type="dxa"/>
          </w:tcPr>
          <w:p w14:paraId="78F625D6" w14:textId="77777777" w:rsidR="00DD2A75" w:rsidRPr="00826E28" w:rsidRDefault="00DD2A75" w:rsidP="00DD2A75">
            <w:pPr>
              <w:pStyle w:val="Prrafodelista"/>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826E28">
              <w:rPr>
                <w:rFonts w:asciiTheme="minorHAnsi" w:hAnsiTheme="minorHAnsi" w:cstheme="minorHAnsi"/>
                <w:bCs/>
                <w:color w:val="000000" w:themeColor="text1"/>
              </w:rPr>
              <w:t>Lectura de los textos (materiales en formato digital)</w:t>
            </w:r>
            <w:r>
              <w:rPr>
                <w:rFonts w:asciiTheme="minorHAnsi" w:hAnsiTheme="minorHAnsi" w:cstheme="minorHAnsi"/>
                <w:bCs/>
                <w:color w:val="000000" w:themeColor="text1"/>
              </w:rPr>
              <w:t>.</w:t>
            </w:r>
          </w:p>
          <w:p w14:paraId="16168113" w14:textId="77777777" w:rsidR="00DD2A75" w:rsidRPr="00826E28" w:rsidRDefault="00DD2A75" w:rsidP="00DD2A75">
            <w:pPr>
              <w:pStyle w:val="Prrafodelista"/>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826E28">
              <w:rPr>
                <w:rFonts w:asciiTheme="minorHAnsi" w:hAnsiTheme="minorHAnsi" w:cstheme="minorHAnsi"/>
                <w:bCs/>
                <w:color w:val="000000" w:themeColor="text1"/>
              </w:rPr>
              <w:t>Análisis de lecturas e investigación por cuenta propia</w:t>
            </w:r>
            <w:r>
              <w:rPr>
                <w:rFonts w:asciiTheme="minorHAnsi" w:hAnsiTheme="minorHAnsi" w:cstheme="minorHAnsi"/>
                <w:bCs/>
                <w:color w:val="000000" w:themeColor="text1"/>
              </w:rPr>
              <w:t>.</w:t>
            </w:r>
          </w:p>
        </w:tc>
      </w:tr>
      <w:tr w:rsidR="00DD2A75" w:rsidRPr="00826E28" w14:paraId="7EC93E1F" w14:textId="77777777" w:rsidTr="00104785">
        <w:trPr>
          <w:trHeight w:val="985"/>
        </w:trPr>
        <w:tc>
          <w:tcPr>
            <w:tcW w:w="1980" w:type="dxa"/>
            <w:vAlign w:val="center"/>
          </w:tcPr>
          <w:p w14:paraId="73E16F5B"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Horas de Trabajo Colaborativo (HTC)</w:t>
            </w:r>
          </w:p>
        </w:tc>
        <w:tc>
          <w:tcPr>
            <w:tcW w:w="1417" w:type="dxa"/>
            <w:vAlign w:val="center"/>
          </w:tcPr>
          <w:p w14:paraId="2A79D931"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2</w:t>
            </w:r>
          </w:p>
        </w:tc>
        <w:tc>
          <w:tcPr>
            <w:tcW w:w="5387" w:type="dxa"/>
          </w:tcPr>
          <w:p w14:paraId="1F8DEC44" w14:textId="77777777" w:rsidR="00DD2A75" w:rsidRDefault="00DD2A75" w:rsidP="00DD2A75">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826E28">
              <w:rPr>
                <w:rFonts w:asciiTheme="minorHAnsi" w:hAnsiTheme="minorHAnsi" w:cstheme="minorHAnsi"/>
                <w:bCs/>
                <w:color w:val="000000" w:themeColor="text1"/>
              </w:rPr>
              <w:t xml:space="preserve">Participación en </w:t>
            </w:r>
            <w:r>
              <w:rPr>
                <w:rFonts w:asciiTheme="minorHAnsi" w:hAnsiTheme="minorHAnsi" w:cstheme="minorHAnsi"/>
                <w:bCs/>
                <w:color w:val="000000" w:themeColor="text1"/>
              </w:rPr>
              <w:t>los trabajos grupales y debates en el aula virtual (foros temáticos y wiki).</w:t>
            </w:r>
          </w:p>
          <w:p w14:paraId="22ADC0C6" w14:textId="77777777" w:rsidR="00DD2A75" w:rsidRPr="00495AE6" w:rsidRDefault="00DD2A75" w:rsidP="00DD2A75">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DD2A75" w:rsidRPr="00826E28" w14:paraId="23CF0C62" w14:textId="77777777" w:rsidTr="00104785">
        <w:trPr>
          <w:trHeight w:val="971"/>
        </w:trPr>
        <w:tc>
          <w:tcPr>
            <w:tcW w:w="1980" w:type="dxa"/>
            <w:vAlign w:val="center"/>
          </w:tcPr>
          <w:p w14:paraId="0961356F"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Horas de Producción Individual (HPI)</w:t>
            </w:r>
          </w:p>
        </w:tc>
        <w:tc>
          <w:tcPr>
            <w:tcW w:w="1417" w:type="dxa"/>
            <w:vAlign w:val="center"/>
          </w:tcPr>
          <w:p w14:paraId="714B94B3" w14:textId="77777777" w:rsidR="00DD2A75" w:rsidRPr="00826E28" w:rsidRDefault="00DD2A75" w:rsidP="00104785">
            <w:pPr>
              <w:jc w:val="center"/>
              <w:rPr>
                <w:rFonts w:cstheme="minorHAnsi"/>
                <w:bCs/>
                <w:color w:val="000000" w:themeColor="text1"/>
              </w:rPr>
            </w:pPr>
            <w:r w:rsidRPr="00826E28">
              <w:rPr>
                <w:rFonts w:cstheme="minorHAnsi"/>
                <w:bCs/>
                <w:color w:val="000000" w:themeColor="text1"/>
              </w:rPr>
              <w:t>6</w:t>
            </w:r>
          </w:p>
        </w:tc>
        <w:tc>
          <w:tcPr>
            <w:tcW w:w="5387" w:type="dxa"/>
          </w:tcPr>
          <w:p w14:paraId="7B948BC3" w14:textId="77777777" w:rsidR="00DD2A75" w:rsidRDefault="00DD2A75" w:rsidP="00DD2A75">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resúmenes de lecturas de trasfondo.</w:t>
            </w:r>
          </w:p>
          <w:p w14:paraId="0CC2B80C" w14:textId="77777777" w:rsidR="00DD2A75" w:rsidRDefault="00DD2A75" w:rsidP="00DD2A75">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Exposiciones individuales sobre lecturas de análisis.</w:t>
            </w:r>
          </w:p>
          <w:p w14:paraId="251B4FBF" w14:textId="77777777" w:rsidR="00DD2A75" w:rsidRPr="00826E28" w:rsidRDefault="00DD2A75" w:rsidP="00DD2A75">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la monografía final.</w:t>
            </w:r>
          </w:p>
        </w:tc>
      </w:tr>
      <w:tr w:rsidR="00DD2A75" w:rsidRPr="00826E28" w14:paraId="4A7D344D" w14:textId="77777777" w:rsidTr="00104785">
        <w:tc>
          <w:tcPr>
            <w:tcW w:w="1980" w:type="dxa"/>
            <w:vAlign w:val="center"/>
          </w:tcPr>
          <w:p w14:paraId="591AD5B4"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Total de horas (TH)</w:t>
            </w:r>
          </w:p>
        </w:tc>
        <w:tc>
          <w:tcPr>
            <w:tcW w:w="1417" w:type="dxa"/>
          </w:tcPr>
          <w:p w14:paraId="75854CE1" w14:textId="77777777" w:rsidR="00DD2A75" w:rsidRPr="00826E28" w:rsidRDefault="00DD2A75" w:rsidP="00104785">
            <w:pPr>
              <w:jc w:val="center"/>
              <w:rPr>
                <w:rFonts w:cstheme="minorHAnsi"/>
                <w:b/>
                <w:bCs/>
                <w:color w:val="000000" w:themeColor="text1"/>
              </w:rPr>
            </w:pPr>
            <w:r w:rsidRPr="00826E28">
              <w:rPr>
                <w:rFonts w:cstheme="minorHAnsi"/>
                <w:b/>
                <w:bCs/>
                <w:color w:val="000000" w:themeColor="text1"/>
              </w:rPr>
              <w:t>12</w:t>
            </w:r>
          </w:p>
        </w:tc>
        <w:tc>
          <w:tcPr>
            <w:tcW w:w="5387" w:type="dxa"/>
          </w:tcPr>
          <w:p w14:paraId="15E3428F" w14:textId="77777777" w:rsidR="00DD2A75" w:rsidRPr="00826E28" w:rsidRDefault="00DD2A75" w:rsidP="00104785">
            <w:pPr>
              <w:jc w:val="center"/>
              <w:rPr>
                <w:rFonts w:cstheme="minorHAnsi"/>
                <w:b/>
                <w:bCs/>
                <w:color w:val="000000" w:themeColor="text1"/>
              </w:rPr>
            </w:pPr>
          </w:p>
        </w:tc>
      </w:tr>
    </w:tbl>
    <w:p w14:paraId="404C4B55" w14:textId="77777777" w:rsidR="00DD2A75" w:rsidRPr="00826E28" w:rsidRDefault="00DD2A75" w:rsidP="00DD2A75">
      <w:pPr>
        <w:jc w:val="both"/>
        <w:rPr>
          <w:rFonts w:cstheme="minorHAnsi"/>
          <w:bCs/>
          <w:color w:val="000000" w:themeColor="text1"/>
        </w:rPr>
      </w:pPr>
    </w:p>
    <w:p w14:paraId="49F2E228" w14:textId="77777777" w:rsidR="00DD2A75" w:rsidRPr="00826E28" w:rsidRDefault="00DD2A75" w:rsidP="00DD2A75">
      <w:pPr>
        <w:jc w:val="both"/>
        <w:rPr>
          <w:rFonts w:cstheme="minorHAnsi"/>
          <w:bCs/>
          <w:color w:val="000000" w:themeColor="text1"/>
        </w:rPr>
      </w:pPr>
      <w:r w:rsidRPr="00826E28">
        <w:rPr>
          <w:rFonts w:cstheme="minorHAnsi"/>
          <w:bCs/>
          <w:color w:val="000000" w:themeColor="text1"/>
        </w:rPr>
        <w:t>Las horas de trabajo en cada categoría corresponden a un promedio estimado semanal.  Dependiendo de la programac</w:t>
      </w:r>
      <w:r>
        <w:rPr>
          <w:rFonts w:cstheme="minorHAnsi"/>
          <w:bCs/>
          <w:color w:val="000000" w:themeColor="text1"/>
        </w:rPr>
        <w:t>ión estipulada en el cronograma</w:t>
      </w:r>
      <w:r w:rsidRPr="00826E28">
        <w:rPr>
          <w:rFonts w:cstheme="minorHAnsi"/>
          <w:bCs/>
          <w:color w:val="000000" w:themeColor="text1"/>
        </w:rPr>
        <w:t xml:space="preserve"> se podrá requerir un mayor o menor tiempo de dedicación a cada tipo de actividad durante una semana específica.  Sin embargo, el curso está diseñado de forma que el total de horas semanales</w:t>
      </w:r>
      <w:r>
        <w:rPr>
          <w:rFonts w:cstheme="minorHAnsi"/>
          <w:bCs/>
          <w:color w:val="000000" w:themeColor="text1"/>
        </w:rPr>
        <w:t xml:space="preserve"> nunca sobrepase las 12 horas. </w:t>
      </w:r>
      <w:r w:rsidRPr="00826E28">
        <w:rPr>
          <w:rFonts w:cstheme="minorHAnsi"/>
          <w:bCs/>
          <w:color w:val="000000" w:themeColor="text1"/>
        </w:rPr>
        <w:t>La distribución de tiempos por tipo de horas (categoría) es congruente, en todos sus extremos, con lo que establece el plan de estudios de la modalidad virtual.</w:t>
      </w:r>
    </w:p>
    <w:p w14:paraId="05DAF00D" w14:textId="77777777" w:rsidR="00DD2A75" w:rsidRPr="00826E28" w:rsidRDefault="00DD2A75" w:rsidP="00DD2A75">
      <w:pPr>
        <w:jc w:val="both"/>
        <w:rPr>
          <w:rFonts w:cs="Arial"/>
          <w:b/>
          <w:bCs/>
          <w:color w:val="000000" w:themeColor="text1"/>
        </w:rPr>
      </w:pPr>
    </w:p>
    <w:p w14:paraId="3B37DC31" w14:textId="77777777" w:rsidR="00DD2A75" w:rsidRPr="00826E28" w:rsidRDefault="00DD2A75" w:rsidP="00DD2A75">
      <w:pPr>
        <w:jc w:val="both"/>
        <w:rPr>
          <w:rFonts w:cs="Arial"/>
          <w:b/>
          <w:bCs/>
          <w:color w:val="000000" w:themeColor="text1"/>
        </w:rPr>
      </w:pPr>
    </w:p>
    <w:p w14:paraId="690729DA" w14:textId="77777777" w:rsidR="00DD2A75" w:rsidRPr="00826E28" w:rsidRDefault="00DD2A75" w:rsidP="00DD2A75">
      <w:pPr>
        <w:jc w:val="both"/>
        <w:rPr>
          <w:rFonts w:cs="Arial"/>
          <w:b/>
          <w:bCs/>
          <w:color w:val="000000" w:themeColor="text1"/>
        </w:rPr>
      </w:pPr>
    </w:p>
    <w:p w14:paraId="52DD792B" w14:textId="77777777" w:rsidR="00DD2A75" w:rsidRDefault="00DD2A75" w:rsidP="00DD2A75">
      <w:pPr>
        <w:jc w:val="both"/>
        <w:rPr>
          <w:rFonts w:cs="Arial"/>
          <w:b/>
          <w:bCs/>
          <w:color w:val="000000" w:themeColor="text1"/>
        </w:rPr>
      </w:pPr>
    </w:p>
    <w:p w14:paraId="157E52D2" w14:textId="77777777" w:rsidR="00DD2A75" w:rsidRDefault="00DD2A75" w:rsidP="00DD2A75">
      <w:pPr>
        <w:jc w:val="both"/>
        <w:rPr>
          <w:rFonts w:cs="Arial"/>
          <w:b/>
          <w:bCs/>
          <w:color w:val="000000" w:themeColor="text1"/>
        </w:rPr>
      </w:pPr>
    </w:p>
    <w:p w14:paraId="2A3C00DB" w14:textId="77777777" w:rsidR="00DD2A75" w:rsidRDefault="00DD2A75" w:rsidP="00DD2A75">
      <w:pPr>
        <w:jc w:val="both"/>
        <w:rPr>
          <w:rFonts w:cs="Arial"/>
          <w:b/>
          <w:bCs/>
          <w:color w:val="000000" w:themeColor="text1"/>
        </w:rPr>
      </w:pPr>
    </w:p>
    <w:p w14:paraId="5AF99EBC" w14:textId="77777777" w:rsidR="00DD2A75" w:rsidRDefault="00DD2A75" w:rsidP="00DD2A75">
      <w:pPr>
        <w:jc w:val="both"/>
        <w:rPr>
          <w:rFonts w:cs="Arial"/>
          <w:b/>
          <w:bCs/>
          <w:color w:val="000000" w:themeColor="text1"/>
        </w:rPr>
      </w:pPr>
    </w:p>
    <w:p w14:paraId="354B6F95" w14:textId="77777777" w:rsidR="00DD2A75" w:rsidRDefault="00DD2A75" w:rsidP="00DD2A75">
      <w:pPr>
        <w:jc w:val="both"/>
        <w:rPr>
          <w:rFonts w:cs="Arial"/>
          <w:b/>
          <w:bCs/>
          <w:color w:val="000000" w:themeColor="text1"/>
        </w:rPr>
      </w:pPr>
    </w:p>
    <w:p w14:paraId="2A048670" w14:textId="77777777" w:rsidR="00DD2A75" w:rsidRDefault="00DD2A75" w:rsidP="00DD2A75">
      <w:pPr>
        <w:jc w:val="both"/>
        <w:rPr>
          <w:rFonts w:cs="Arial"/>
          <w:b/>
          <w:bCs/>
          <w:color w:val="000000" w:themeColor="text1"/>
        </w:rPr>
      </w:pPr>
    </w:p>
    <w:p w14:paraId="0AA65254" w14:textId="77777777" w:rsidR="00DD2A75" w:rsidRDefault="00DD2A75" w:rsidP="00DD2A75">
      <w:pPr>
        <w:jc w:val="both"/>
        <w:rPr>
          <w:rFonts w:cs="Arial"/>
          <w:b/>
          <w:bCs/>
          <w:color w:val="000000" w:themeColor="text1"/>
        </w:rPr>
      </w:pPr>
    </w:p>
    <w:p w14:paraId="29B1199D" w14:textId="77777777" w:rsidR="00DD2A75" w:rsidRDefault="00DD2A75" w:rsidP="00DD2A75">
      <w:pPr>
        <w:jc w:val="both"/>
        <w:rPr>
          <w:rFonts w:cs="Arial"/>
          <w:b/>
          <w:bCs/>
          <w:color w:val="000000" w:themeColor="text1"/>
        </w:rPr>
      </w:pPr>
    </w:p>
    <w:p w14:paraId="57F68EC4" w14:textId="77777777" w:rsidR="00DD2A75" w:rsidRPr="00826E28" w:rsidRDefault="00DD2A75" w:rsidP="00DD2A75">
      <w:pPr>
        <w:jc w:val="both"/>
        <w:rPr>
          <w:rFonts w:cs="Arial"/>
          <w:b/>
          <w:bCs/>
          <w:color w:val="000000" w:themeColor="text1"/>
        </w:rPr>
      </w:pPr>
      <w:r w:rsidRPr="00826E28">
        <w:rPr>
          <w:rFonts w:cs="Arial"/>
          <w:b/>
          <w:bCs/>
          <w:color w:val="000000" w:themeColor="text1"/>
        </w:rPr>
        <w:t>X. Evaluación</w:t>
      </w:r>
      <w:r w:rsidRPr="00826E28">
        <w:rPr>
          <w:rFonts w:cs="Arial"/>
          <w:b/>
          <w:bCs/>
          <w:color w:val="000000" w:themeColor="text1"/>
        </w:rPr>
        <w:tab/>
      </w:r>
    </w:p>
    <w:p w14:paraId="28CFEBD1" w14:textId="77777777" w:rsidR="00DD2A75" w:rsidRPr="00826E28" w:rsidRDefault="00DD2A75" w:rsidP="00DD2A75">
      <w:pPr>
        <w:jc w:val="both"/>
        <w:rPr>
          <w:rFonts w:cs="Arial"/>
          <w:bCs/>
          <w:color w:val="000000" w:themeColor="text1"/>
        </w:rPr>
      </w:pPr>
      <w:r w:rsidRPr="000751E1">
        <w:rPr>
          <w:rFonts w:cs="Arial"/>
          <w:bCs/>
          <w:color w:val="000000" w:themeColor="text1"/>
        </w:rPr>
        <w:t>La evaluación diagnóstica se realizará con base en las discusiones grupales y los aportes iniciales</w:t>
      </w:r>
      <w:r>
        <w:rPr>
          <w:rFonts w:cs="Arial"/>
          <w:bCs/>
          <w:color w:val="000000" w:themeColor="text1"/>
        </w:rPr>
        <w:t xml:space="preserve"> en el aula virtual</w:t>
      </w:r>
      <w:r w:rsidRPr="000751E1">
        <w:rPr>
          <w:rFonts w:cs="Arial"/>
          <w:bCs/>
          <w:color w:val="000000" w:themeColor="text1"/>
        </w:rPr>
        <w:t>. Como aspectos de la evaluación formativa se analizarán los procesos de aprendizaje y su desarrollo durante el curso, las experiencias de aprendizaje, la interacción grupal y la capacidad de construir sobre lo trabajado en cada sesión</w:t>
      </w:r>
      <w:r>
        <w:rPr>
          <w:rFonts w:cs="Arial"/>
          <w:bCs/>
          <w:color w:val="000000" w:themeColor="text1"/>
        </w:rPr>
        <w:t xml:space="preserve"> virtual</w:t>
      </w:r>
      <w:r w:rsidRPr="000751E1">
        <w:rPr>
          <w:rFonts w:cs="Arial"/>
          <w:bCs/>
          <w:color w:val="000000" w:themeColor="text1"/>
        </w:rPr>
        <w:t>. La retroalimentación de la persona docente será fundamental para orientar el desarrollo de las capacidades cognitivas de los y las estudiantes. La evaluación sumativa se realiza</w:t>
      </w:r>
      <w:r>
        <w:rPr>
          <w:rFonts w:cs="Arial"/>
          <w:bCs/>
          <w:color w:val="000000" w:themeColor="text1"/>
        </w:rPr>
        <w:t>rá</w:t>
      </w:r>
      <w:r w:rsidRPr="000751E1">
        <w:rPr>
          <w:rFonts w:cs="Arial"/>
          <w:bCs/>
          <w:color w:val="000000" w:themeColor="text1"/>
        </w:rPr>
        <w:t xml:space="preserve"> con base</w:t>
      </w:r>
      <w:r>
        <w:rPr>
          <w:rFonts w:cs="Arial"/>
          <w:bCs/>
          <w:color w:val="000000" w:themeColor="text1"/>
        </w:rPr>
        <w:t xml:space="preserve"> en</w:t>
      </w:r>
      <w:r w:rsidRPr="000751E1">
        <w:rPr>
          <w:rFonts w:cs="Arial"/>
          <w:bCs/>
          <w:color w:val="000000" w:themeColor="text1"/>
        </w:rPr>
        <w:t xml:space="preserve"> los resúmenes de lecturas de trasfondo, las exposiciones basadas en las lecturas de análisis, los trabajos grupales en </w:t>
      </w:r>
      <w:r>
        <w:rPr>
          <w:rFonts w:cs="Arial"/>
          <w:bCs/>
          <w:color w:val="000000" w:themeColor="text1"/>
        </w:rPr>
        <w:t xml:space="preserve">el </w:t>
      </w:r>
      <w:r w:rsidRPr="000751E1">
        <w:rPr>
          <w:rFonts w:cs="Arial"/>
          <w:bCs/>
          <w:color w:val="000000" w:themeColor="text1"/>
        </w:rPr>
        <w:t>aula</w:t>
      </w:r>
      <w:r>
        <w:rPr>
          <w:rFonts w:cs="Arial"/>
          <w:bCs/>
          <w:color w:val="000000" w:themeColor="text1"/>
        </w:rPr>
        <w:t xml:space="preserve"> virtual, la asistencia a los encuentros sincrónicos virtuales</w:t>
      </w:r>
      <w:r w:rsidRPr="000751E1">
        <w:rPr>
          <w:rFonts w:cs="Arial"/>
          <w:bCs/>
          <w:color w:val="000000" w:themeColor="text1"/>
        </w:rPr>
        <w:t xml:space="preserve"> y la monografía final. El curso se aprueba con</w:t>
      </w:r>
      <w:r>
        <w:rPr>
          <w:rFonts w:cs="Arial"/>
          <w:bCs/>
          <w:color w:val="000000" w:themeColor="text1"/>
        </w:rPr>
        <w:t xml:space="preserve"> una nota mínima de</w:t>
      </w:r>
      <w:r w:rsidRPr="000751E1">
        <w:rPr>
          <w:rFonts w:cs="Arial"/>
          <w:bCs/>
          <w:color w:val="000000" w:themeColor="text1"/>
        </w:rPr>
        <w:t xml:space="preserve"> 7.00 (en escala decimal). Los porcentajes asignados a cada elemento del curso son los siguientes:</w:t>
      </w:r>
    </w:p>
    <w:tbl>
      <w:tblPr>
        <w:tblpPr w:leftFromText="141" w:rightFromText="141" w:vertAnchor="text" w:horzAnchor="page" w:tblpXSpec="center" w:tblpY="324"/>
        <w:tblW w:w="10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619"/>
        <w:gridCol w:w="1563"/>
      </w:tblGrid>
      <w:tr w:rsidR="00DD2A75" w:rsidRPr="00826E28" w14:paraId="66AD1186" w14:textId="77777777" w:rsidTr="00104785">
        <w:tc>
          <w:tcPr>
            <w:tcW w:w="10182" w:type="dxa"/>
            <w:gridSpan w:val="2"/>
            <w:vAlign w:val="center"/>
          </w:tcPr>
          <w:p w14:paraId="4B967902" w14:textId="77777777" w:rsidR="00DD2A75" w:rsidRPr="00826E28" w:rsidRDefault="00DD2A75" w:rsidP="00104785">
            <w:pPr>
              <w:jc w:val="center"/>
              <w:rPr>
                <w:rFonts w:cs="Arial"/>
                <w:b/>
                <w:bCs/>
                <w:color w:val="000000" w:themeColor="text1"/>
              </w:rPr>
            </w:pPr>
            <w:r w:rsidRPr="00826E28">
              <w:rPr>
                <w:rFonts w:cs="Arial"/>
                <w:b/>
                <w:color w:val="000000" w:themeColor="text1"/>
              </w:rPr>
              <w:t>Síntesis cuantitativa de la evaluación</w:t>
            </w:r>
          </w:p>
        </w:tc>
      </w:tr>
      <w:tr w:rsidR="00DD2A75" w:rsidRPr="00826E28" w14:paraId="5FA91243" w14:textId="77777777" w:rsidTr="00104785">
        <w:trPr>
          <w:trHeight w:val="308"/>
        </w:trPr>
        <w:tc>
          <w:tcPr>
            <w:tcW w:w="8619" w:type="dxa"/>
            <w:vAlign w:val="center"/>
          </w:tcPr>
          <w:p w14:paraId="18862CAE" w14:textId="77777777" w:rsidR="00DD2A75" w:rsidRPr="00826E28" w:rsidRDefault="00DD2A75" w:rsidP="00104785">
            <w:pPr>
              <w:rPr>
                <w:rFonts w:cs="Arial"/>
                <w:b/>
                <w:color w:val="000000" w:themeColor="text1"/>
              </w:rPr>
            </w:pPr>
            <w:r>
              <w:rPr>
                <w:rFonts w:cs="Arial"/>
                <w:b/>
                <w:color w:val="000000" w:themeColor="text1"/>
              </w:rPr>
              <w:t>Rubros para</w:t>
            </w:r>
            <w:r w:rsidRPr="00826E28">
              <w:rPr>
                <w:rFonts w:cs="Arial"/>
                <w:b/>
                <w:color w:val="000000" w:themeColor="text1"/>
              </w:rPr>
              <w:t xml:space="preserve"> evaluar</w:t>
            </w:r>
          </w:p>
        </w:tc>
        <w:tc>
          <w:tcPr>
            <w:tcW w:w="1563" w:type="dxa"/>
            <w:vAlign w:val="center"/>
          </w:tcPr>
          <w:p w14:paraId="6E6CD15F" w14:textId="77777777" w:rsidR="00DD2A75" w:rsidRPr="00826E28" w:rsidRDefault="00DD2A75" w:rsidP="00104785">
            <w:pPr>
              <w:jc w:val="center"/>
              <w:rPr>
                <w:rFonts w:cs="Arial"/>
                <w:b/>
                <w:bCs/>
                <w:color w:val="000000" w:themeColor="text1"/>
              </w:rPr>
            </w:pPr>
            <w:r w:rsidRPr="00826E28">
              <w:rPr>
                <w:rFonts w:cs="Arial"/>
                <w:b/>
                <w:bCs/>
                <w:color w:val="000000" w:themeColor="text1"/>
              </w:rPr>
              <w:t>Porcentaje</w:t>
            </w:r>
            <w:r>
              <w:rPr>
                <w:rFonts w:cs="Arial"/>
                <w:b/>
                <w:bCs/>
                <w:color w:val="000000" w:themeColor="text1"/>
              </w:rPr>
              <w:t xml:space="preserve"> total</w:t>
            </w:r>
          </w:p>
        </w:tc>
      </w:tr>
      <w:tr w:rsidR="00DD2A75" w:rsidRPr="00826E28" w14:paraId="6F8F0BC0" w14:textId="77777777" w:rsidTr="00104785">
        <w:trPr>
          <w:trHeight w:val="308"/>
        </w:trPr>
        <w:tc>
          <w:tcPr>
            <w:tcW w:w="8619" w:type="dxa"/>
            <w:vAlign w:val="center"/>
          </w:tcPr>
          <w:p w14:paraId="742E6BC7" w14:textId="77777777" w:rsidR="00DD2A75" w:rsidRPr="000E4991" w:rsidRDefault="00DD2A75" w:rsidP="00104785">
            <w:pPr>
              <w:rPr>
                <w:rFonts w:cs="Arial"/>
                <w:b/>
                <w:i/>
                <w:iCs/>
                <w:color w:val="0070C0"/>
              </w:rPr>
            </w:pPr>
            <w:r w:rsidRPr="000E4991">
              <w:rPr>
                <w:rFonts w:cs="Arial"/>
                <w:b/>
                <w:i/>
                <w:iCs/>
                <w:color w:val="0070C0"/>
              </w:rPr>
              <w:t>Encuentros sincrónicos virtuales</w:t>
            </w:r>
          </w:p>
          <w:p w14:paraId="33E9B086" w14:textId="77777777" w:rsidR="00DD2A75" w:rsidRPr="00597C3C" w:rsidRDefault="00DD2A75" w:rsidP="00104785">
            <w:pPr>
              <w:rPr>
                <w:rFonts w:cs="Arial"/>
                <w:bCs/>
                <w:color w:val="000000" w:themeColor="text1"/>
              </w:rPr>
            </w:pPr>
            <w:r w:rsidRPr="000E4991">
              <w:rPr>
                <w:rFonts w:cs="Arial"/>
                <w:bCs/>
                <w:color w:val="0070C0"/>
              </w:rPr>
              <w:t>Se llevan a cabo en las sesiones 2, 4, 5, 6, 7, 8, 9, 10, 11, 12 y 14. Tienen un valor formativo y no sumativo.</w:t>
            </w:r>
          </w:p>
        </w:tc>
        <w:tc>
          <w:tcPr>
            <w:tcW w:w="1563" w:type="dxa"/>
            <w:vAlign w:val="center"/>
          </w:tcPr>
          <w:p w14:paraId="2725C8A4" w14:textId="77777777" w:rsidR="00DD2A75" w:rsidRPr="000E4991" w:rsidRDefault="00DD2A75" w:rsidP="00104785">
            <w:pPr>
              <w:jc w:val="center"/>
              <w:rPr>
                <w:rFonts w:cs="Arial"/>
                <w:b/>
                <w:bCs/>
                <w:color w:val="0070C0"/>
              </w:rPr>
            </w:pPr>
            <w:r w:rsidRPr="000E4991">
              <w:rPr>
                <w:rFonts w:cstheme="minorHAnsi"/>
                <w:bCs/>
                <w:color w:val="0070C0"/>
              </w:rPr>
              <w:t>̶</w:t>
            </w:r>
          </w:p>
        </w:tc>
      </w:tr>
      <w:tr w:rsidR="00DD2A75" w:rsidRPr="00826E28" w14:paraId="47DCBB58" w14:textId="77777777" w:rsidTr="00104785">
        <w:tc>
          <w:tcPr>
            <w:tcW w:w="8619" w:type="dxa"/>
          </w:tcPr>
          <w:p w14:paraId="5DC2AC39" w14:textId="77777777" w:rsidR="00DD2A75" w:rsidRDefault="00DD2A75" w:rsidP="00104785">
            <w:pPr>
              <w:pStyle w:val="Listavistosa-nfasis11"/>
              <w:autoSpaceDE w:val="0"/>
              <w:autoSpaceDN w:val="0"/>
              <w:adjustRightInd w:val="0"/>
              <w:spacing w:after="0" w:line="240" w:lineRule="auto"/>
              <w:ind w:left="0"/>
              <w:rPr>
                <w:rFonts w:asciiTheme="minorHAnsi" w:hAnsiTheme="minorHAnsi" w:cs="Arial"/>
                <w:b/>
                <w:bCs/>
                <w:i/>
                <w:color w:val="000000" w:themeColor="text1"/>
              </w:rPr>
            </w:pPr>
            <w:r w:rsidRPr="0096061C">
              <w:rPr>
                <w:rFonts w:asciiTheme="minorHAnsi" w:hAnsiTheme="minorHAnsi" w:cs="Arial"/>
                <w:b/>
                <w:bCs/>
                <w:i/>
                <w:color w:val="000000" w:themeColor="text1"/>
              </w:rPr>
              <w:t>Resúmenes de lecturas de trasfondo</w:t>
            </w:r>
          </w:p>
          <w:p w14:paraId="10560111" w14:textId="77777777" w:rsidR="00DD2A75" w:rsidRPr="0096061C"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sidRPr="0096061C">
              <w:rPr>
                <w:rFonts w:asciiTheme="minorHAnsi" w:hAnsiTheme="minorHAnsi" w:cs="Arial"/>
                <w:iCs/>
                <w:color w:val="000000" w:themeColor="text1"/>
              </w:rPr>
              <w:t>Cada estudiante únicamente elaborará tres resúmenes durante el curso</w:t>
            </w:r>
            <w:r>
              <w:rPr>
                <w:rFonts w:asciiTheme="minorHAnsi" w:hAnsiTheme="minorHAnsi" w:cs="Arial"/>
                <w:iCs/>
                <w:color w:val="000000" w:themeColor="text1"/>
              </w:rPr>
              <w:t xml:space="preserve"> con un valor de 10% cada uno. E</w:t>
            </w:r>
            <w:r w:rsidRPr="0096061C">
              <w:rPr>
                <w:rFonts w:asciiTheme="minorHAnsi" w:hAnsiTheme="minorHAnsi" w:cs="Arial"/>
                <w:iCs/>
                <w:color w:val="000000" w:themeColor="text1"/>
              </w:rPr>
              <w:t xml:space="preserve">stos se </w:t>
            </w:r>
            <w:r>
              <w:rPr>
                <w:rFonts w:asciiTheme="minorHAnsi" w:hAnsiTheme="minorHAnsi" w:cs="Arial"/>
                <w:iCs/>
                <w:color w:val="000000" w:themeColor="text1"/>
              </w:rPr>
              <w:t xml:space="preserve">asignarán durante </w:t>
            </w:r>
            <w:r w:rsidRPr="0096061C">
              <w:rPr>
                <w:rFonts w:asciiTheme="minorHAnsi" w:hAnsiTheme="minorHAnsi" w:cs="Arial"/>
                <w:iCs/>
                <w:color w:val="000000" w:themeColor="text1"/>
              </w:rPr>
              <w:t>las sesiones 3, 5, 7, 8, 9, 11 y 13</w:t>
            </w:r>
            <w:r>
              <w:rPr>
                <w:rFonts w:asciiTheme="minorHAnsi" w:hAnsiTheme="minorHAnsi" w:cs="Arial"/>
                <w:iCs/>
                <w:color w:val="000000" w:themeColor="text1"/>
              </w:rPr>
              <w:t xml:space="preserve">. </w:t>
            </w:r>
          </w:p>
        </w:tc>
        <w:tc>
          <w:tcPr>
            <w:tcW w:w="1563" w:type="dxa"/>
            <w:vAlign w:val="center"/>
          </w:tcPr>
          <w:p w14:paraId="4E73B467" w14:textId="77777777" w:rsidR="00DD2A75" w:rsidRPr="00826E28" w:rsidRDefault="00DD2A75" w:rsidP="00104785">
            <w:pPr>
              <w:jc w:val="center"/>
              <w:rPr>
                <w:rFonts w:cs="Arial"/>
                <w:bCs/>
                <w:color w:val="000000" w:themeColor="text1"/>
              </w:rPr>
            </w:pPr>
            <w:r>
              <w:rPr>
                <w:rFonts w:cs="Arial"/>
                <w:bCs/>
                <w:color w:val="000000" w:themeColor="text1"/>
              </w:rPr>
              <w:t>30%</w:t>
            </w:r>
          </w:p>
        </w:tc>
      </w:tr>
      <w:tr w:rsidR="00DD2A75" w:rsidRPr="00826E28" w14:paraId="6C9458D2" w14:textId="77777777" w:rsidTr="00104785">
        <w:tc>
          <w:tcPr>
            <w:tcW w:w="8619" w:type="dxa"/>
          </w:tcPr>
          <w:p w14:paraId="7A0BF655" w14:textId="77777777" w:rsidR="00DD2A75" w:rsidRPr="0096061C" w:rsidRDefault="00DD2A75" w:rsidP="00104785">
            <w:pPr>
              <w:pStyle w:val="Listavistosa-nfasis11"/>
              <w:autoSpaceDE w:val="0"/>
              <w:autoSpaceDN w:val="0"/>
              <w:adjustRightInd w:val="0"/>
              <w:spacing w:after="0" w:line="240" w:lineRule="auto"/>
              <w:ind w:left="0"/>
              <w:rPr>
                <w:rFonts w:asciiTheme="minorHAnsi" w:hAnsiTheme="minorHAnsi" w:cs="Arial"/>
                <w:b/>
                <w:bCs/>
                <w:i/>
                <w:color w:val="000000" w:themeColor="text1"/>
              </w:rPr>
            </w:pPr>
            <w:r w:rsidRPr="0096061C">
              <w:rPr>
                <w:rFonts w:asciiTheme="minorHAnsi" w:hAnsiTheme="minorHAnsi" w:cs="Arial"/>
                <w:b/>
                <w:bCs/>
                <w:i/>
                <w:color w:val="000000" w:themeColor="text1"/>
              </w:rPr>
              <w:t>Exposiciones individuales sobre lecturas de análisis</w:t>
            </w:r>
          </w:p>
          <w:p w14:paraId="37F61324" w14:textId="77777777" w:rsidR="00DD2A75" w:rsidRPr="0096061C"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sidRPr="0096061C">
              <w:rPr>
                <w:rFonts w:asciiTheme="minorHAnsi" w:hAnsiTheme="minorHAnsi" w:cs="Arial"/>
                <w:iCs/>
                <w:color w:val="000000" w:themeColor="text1"/>
              </w:rPr>
              <w:t xml:space="preserve">Cada estudiante </w:t>
            </w:r>
            <w:r>
              <w:rPr>
                <w:rFonts w:asciiTheme="minorHAnsi" w:hAnsiTheme="minorHAnsi" w:cs="Arial"/>
                <w:iCs/>
                <w:color w:val="000000" w:themeColor="text1"/>
              </w:rPr>
              <w:t xml:space="preserve">únicamente </w:t>
            </w:r>
            <w:r w:rsidRPr="0096061C">
              <w:rPr>
                <w:rFonts w:asciiTheme="minorHAnsi" w:hAnsiTheme="minorHAnsi" w:cs="Arial"/>
                <w:iCs/>
                <w:color w:val="000000" w:themeColor="text1"/>
              </w:rPr>
              <w:t>realizará un total de 2 exposiciones sobre</w:t>
            </w:r>
            <w:r>
              <w:rPr>
                <w:rFonts w:asciiTheme="minorHAnsi" w:hAnsiTheme="minorHAnsi" w:cs="Arial"/>
                <w:iCs/>
                <w:color w:val="000000" w:themeColor="text1"/>
              </w:rPr>
              <w:t xml:space="preserve"> lecturas de análisis durante el curso con un valor de 12,5% cada una. Estas se distribuirán entre todos los y las estudiantes en las sesiones </w:t>
            </w:r>
            <w:r w:rsidRPr="0096061C">
              <w:rPr>
                <w:rFonts w:asciiTheme="minorHAnsi" w:hAnsiTheme="minorHAnsi" w:cs="Arial"/>
                <w:iCs/>
                <w:color w:val="000000" w:themeColor="text1"/>
              </w:rPr>
              <w:t>2, 4, 5, 6, 7, 8, 9, 10, 11, 12 y 14</w:t>
            </w:r>
            <w:r>
              <w:rPr>
                <w:rFonts w:asciiTheme="minorHAnsi" w:hAnsiTheme="minorHAnsi" w:cs="Arial"/>
                <w:iCs/>
                <w:color w:val="000000" w:themeColor="text1"/>
              </w:rPr>
              <w:t xml:space="preserve"> por parte de la persona docente.</w:t>
            </w:r>
          </w:p>
        </w:tc>
        <w:tc>
          <w:tcPr>
            <w:tcW w:w="1563" w:type="dxa"/>
            <w:vAlign w:val="center"/>
          </w:tcPr>
          <w:p w14:paraId="76491415" w14:textId="77777777" w:rsidR="00DD2A75" w:rsidRPr="00130F13" w:rsidRDefault="00DD2A75" w:rsidP="00104785">
            <w:pPr>
              <w:jc w:val="center"/>
              <w:rPr>
                <w:rFonts w:cs="Arial"/>
                <w:bCs/>
                <w:color w:val="000000" w:themeColor="text1"/>
              </w:rPr>
            </w:pPr>
            <w:r>
              <w:rPr>
                <w:rFonts w:cs="Arial"/>
                <w:bCs/>
                <w:color w:val="000000" w:themeColor="text1"/>
              </w:rPr>
              <w:t>25%</w:t>
            </w:r>
          </w:p>
        </w:tc>
      </w:tr>
      <w:tr w:rsidR="00DD2A75" w:rsidRPr="00826E28" w14:paraId="26DAD9DF" w14:textId="77777777" w:rsidTr="00104785">
        <w:tc>
          <w:tcPr>
            <w:tcW w:w="8619" w:type="dxa"/>
          </w:tcPr>
          <w:p w14:paraId="12205F69" w14:textId="77777777" w:rsidR="00DD2A75" w:rsidRDefault="00DD2A75" w:rsidP="00104785">
            <w:pPr>
              <w:pStyle w:val="Listavistosa-nfasis11"/>
              <w:autoSpaceDE w:val="0"/>
              <w:autoSpaceDN w:val="0"/>
              <w:adjustRightInd w:val="0"/>
              <w:spacing w:after="0" w:line="240" w:lineRule="auto"/>
              <w:ind w:left="0"/>
              <w:rPr>
                <w:rFonts w:asciiTheme="minorHAnsi" w:hAnsiTheme="minorHAnsi" w:cs="Arial"/>
                <w:b/>
                <w:bCs/>
                <w:i/>
                <w:color w:val="000000" w:themeColor="text1"/>
              </w:rPr>
            </w:pPr>
            <w:r>
              <w:rPr>
                <w:rFonts w:asciiTheme="minorHAnsi" w:hAnsiTheme="minorHAnsi" w:cs="Arial"/>
                <w:b/>
                <w:bCs/>
                <w:i/>
                <w:color w:val="000000" w:themeColor="text1"/>
              </w:rPr>
              <w:t>Trabajos grupales y debates en el aula virtual</w:t>
            </w:r>
          </w:p>
          <w:p w14:paraId="7EF90101" w14:textId="77777777" w:rsidR="00DD2A75" w:rsidRPr="00E4630E"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El porcentaje total establecido para este rubro se aplica para las actividades que implican la participación de las personas estudiante en el aula virtual en las sesiones 1, 3, 4, 6, 7 y 10.</w:t>
            </w:r>
          </w:p>
        </w:tc>
        <w:tc>
          <w:tcPr>
            <w:tcW w:w="1563" w:type="dxa"/>
            <w:vAlign w:val="center"/>
          </w:tcPr>
          <w:p w14:paraId="31A8769B" w14:textId="77777777" w:rsidR="00DD2A75" w:rsidRPr="00826E28" w:rsidRDefault="00DD2A75" w:rsidP="00104785">
            <w:pPr>
              <w:jc w:val="center"/>
              <w:rPr>
                <w:rFonts w:cs="Arial"/>
                <w:bCs/>
                <w:color w:val="000000" w:themeColor="text1"/>
              </w:rPr>
            </w:pPr>
            <w:r>
              <w:rPr>
                <w:rFonts w:cs="Arial"/>
                <w:bCs/>
                <w:color w:val="000000" w:themeColor="text1"/>
              </w:rPr>
              <w:t>10%</w:t>
            </w:r>
          </w:p>
        </w:tc>
      </w:tr>
      <w:tr w:rsidR="00DD2A75" w:rsidRPr="00826E28" w14:paraId="011FB72D" w14:textId="77777777" w:rsidTr="00104785">
        <w:tc>
          <w:tcPr>
            <w:tcW w:w="8619" w:type="dxa"/>
          </w:tcPr>
          <w:p w14:paraId="34E51761" w14:textId="77777777" w:rsidR="00DD2A75" w:rsidRDefault="00DD2A75" w:rsidP="00104785">
            <w:pPr>
              <w:pStyle w:val="Listavistosa-nfasis11"/>
              <w:autoSpaceDE w:val="0"/>
              <w:autoSpaceDN w:val="0"/>
              <w:adjustRightInd w:val="0"/>
              <w:spacing w:after="0" w:line="240" w:lineRule="auto"/>
              <w:ind w:left="0"/>
              <w:rPr>
                <w:rFonts w:asciiTheme="minorHAnsi" w:hAnsiTheme="minorHAnsi" w:cs="Arial"/>
                <w:b/>
                <w:bCs/>
                <w:i/>
                <w:color w:val="000000" w:themeColor="text1"/>
              </w:rPr>
            </w:pPr>
            <w:r>
              <w:rPr>
                <w:rFonts w:asciiTheme="minorHAnsi" w:hAnsiTheme="minorHAnsi" w:cs="Arial"/>
                <w:b/>
                <w:bCs/>
                <w:i/>
                <w:color w:val="000000" w:themeColor="text1"/>
              </w:rPr>
              <w:t>Monografía final</w:t>
            </w:r>
          </w:p>
          <w:p w14:paraId="53BEB622"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Se elabora desde la sesión 3 hasta la 15 de la siguiente forma:</w:t>
            </w:r>
          </w:p>
          <w:p w14:paraId="565E24A5"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3 (elección del tema).</w:t>
            </w:r>
          </w:p>
          <w:p w14:paraId="74B0B62A"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5 (elaboración de una bibliografía básica)</w:t>
            </w:r>
          </w:p>
          <w:p w14:paraId="3A495C80"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7 (elaboración de un bosquejo preliminar)</w:t>
            </w:r>
          </w:p>
          <w:p w14:paraId="2B6E5C10"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10 (bibliografía y bosquejo con cambios incorporados)</w:t>
            </w:r>
          </w:p>
          <w:p w14:paraId="43CEA92E" w14:textId="77777777" w:rsidR="00DD2A75"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13 (borrador completo de la monografía)</w:t>
            </w:r>
          </w:p>
          <w:p w14:paraId="6A3D1B9B" w14:textId="77777777" w:rsidR="00DD2A75" w:rsidRPr="00FC0A03" w:rsidRDefault="00DD2A75" w:rsidP="00104785">
            <w:pPr>
              <w:pStyle w:val="Listavistosa-nfasis11"/>
              <w:autoSpaceDE w:val="0"/>
              <w:autoSpaceDN w:val="0"/>
              <w:adjustRightInd w:val="0"/>
              <w:spacing w:after="0" w:line="240" w:lineRule="auto"/>
              <w:ind w:left="0"/>
              <w:jc w:val="both"/>
              <w:rPr>
                <w:rFonts w:asciiTheme="minorHAnsi" w:hAnsiTheme="minorHAnsi" w:cs="Arial"/>
                <w:iCs/>
                <w:color w:val="000000" w:themeColor="text1"/>
              </w:rPr>
            </w:pPr>
            <w:r>
              <w:rPr>
                <w:rFonts w:asciiTheme="minorHAnsi" w:hAnsiTheme="minorHAnsi" w:cs="Arial"/>
                <w:iCs/>
                <w:color w:val="000000" w:themeColor="text1"/>
              </w:rPr>
              <w:t>- Sesión 15 (Versión final de la monografía)</w:t>
            </w:r>
          </w:p>
        </w:tc>
        <w:tc>
          <w:tcPr>
            <w:tcW w:w="1563" w:type="dxa"/>
            <w:vAlign w:val="center"/>
          </w:tcPr>
          <w:p w14:paraId="4558F79A" w14:textId="77777777" w:rsidR="00DD2A75" w:rsidRDefault="00DD2A75" w:rsidP="00104785">
            <w:pPr>
              <w:jc w:val="center"/>
              <w:rPr>
                <w:rFonts w:cs="Arial"/>
                <w:bCs/>
                <w:color w:val="000000" w:themeColor="text1"/>
              </w:rPr>
            </w:pPr>
            <w:r w:rsidRPr="00BA6674">
              <w:rPr>
                <w:rFonts w:cs="Arial"/>
                <w:bCs/>
                <w:color w:val="0070C0"/>
              </w:rPr>
              <w:t>35%</w:t>
            </w:r>
          </w:p>
        </w:tc>
      </w:tr>
      <w:tr w:rsidR="00DD2A75" w:rsidRPr="00826E28" w14:paraId="1A8FC1EC" w14:textId="77777777" w:rsidTr="00104785">
        <w:trPr>
          <w:trHeight w:val="219"/>
        </w:trPr>
        <w:tc>
          <w:tcPr>
            <w:tcW w:w="8619" w:type="dxa"/>
          </w:tcPr>
          <w:p w14:paraId="38C2DFDD" w14:textId="77777777" w:rsidR="00DD2A75" w:rsidRPr="00826E28" w:rsidRDefault="00DD2A75" w:rsidP="00104785">
            <w:pPr>
              <w:pStyle w:val="Listavistosa-nfasis11"/>
              <w:autoSpaceDE w:val="0"/>
              <w:autoSpaceDN w:val="0"/>
              <w:adjustRightInd w:val="0"/>
              <w:spacing w:after="0" w:line="240" w:lineRule="auto"/>
              <w:ind w:left="0"/>
              <w:jc w:val="both"/>
              <w:rPr>
                <w:rFonts w:asciiTheme="minorHAnsi" w:hAnsiTheme="minorHAnsi" w:cs="Arial"/>
                <w:b/>
                <w:bCs/>
                <w:color w:val="000000" w:themeColor="text1"/>
              </w:rPr>
            </w:pPr>
            <w:r>
              <w:rPr>
                <w:rFonts w:asciiTheme="minorHAnsi" w:hAnsiTheme="minorHAnsi" w:cs="Arial"/>
                <w:b/>
                <w:bCs/>
                <w:color w:val="000000" w:themeColor="text1"/>
              </w:rPr>
              <w:t>Total</w:t>
            </w:r>
          </w:p>
        </w:tc>
        <w:tc>
          <w:tcPr>
            <w:tcW w:w="1563" w:type="dxa"/>
          </w:tcPr>
          <w:p w14:paraId="2712E2B3" w14:textId="77777777" w:rsidR="00DD2A75" w:rsidRPr="00826E28" w:rsidRDefault="00DD2A75" w:rsidP="00104785">
            <w:pPr>
              <w:pStyle w:val="Listavistosa-nfasis11"/>
              <w:autoSpaceDE w:val="0"/>
              <w:autoSpaceDN w:val="0"/>
              <w:adjustRightInd w:val="0"/>
              <w:spacing w:after="0" w:line="240" w:lineRule="auto"/>
              <w:ind w:left="0"/>
              <w:jc w:val="center"/>
              <w:rPr>
                <w:rFonts w:asciiTheme="minorHAnsi" w:hAnsiTheme="minorHAnsi" w:cs="Arial"/>
                <w:b/>
                <w:bCs/>
                <w:color w:val="000000" w:themeColor="text1"/>
              </w:rPr>
            </w:pPr>
            <w:r>
              <w:rPr>
                <w:rFonts w:asciiTheme="minorHAnsi" w:hAnsiTheme="minorHAnsi" w:cs="Arial"/>
                <w:b/>
                <w:bCs/>
                <w:color w:val="000000" w:themeColor="text1"/>
              </w:rPr>
              <w:t>100%</w:t>
            </w:r>
          </w:p>
        </w:tc>
      </w:tr>
    </w:tbl>
    <w:p w14:paraId="180F4CDC" w14:textId="77777777" w:rsidR="00DD2A75" w:rsidRPr="00826E28" w:rsidRDefault="00DD2A75" w:rsidP="00DD2A75">
      <w:pPr>
        <w:rPr>
          <w:rFonts w:cs="Arial"/>
          <w:bCs/>
          <w:color w:val="000000" w:themeColor="text1"/>
        </w:rPr>
      </w:pPr>
    </w:p>
    <w:p w14:paraId="1E044A66" w14:textId="77777777" w:rsidR="00DD2A75" w:rsidRPr="00826E28" w:rsidRDefault="00DD2A75" w:rsidP="00DD2A75">
      <w:pPr>
        <w:rPr>
          <w:rFonts w:cs="Arial"/>
          <w:b/>
          <w:bCs/>
          <w:color w:val="000000" w:themeColor="text1"/>
        </w:rPr>
      </w:pPr>
      <w:r w:rsidRPr="00826E28">
        <w:rPr>
          <w:rFonts w:cs="Arial"/>
          <w:b/>
          <w:bCs/>
          <w:color w:val="000000" w:themeColor="text1"/>
        </w:rPr>
        <w:br w:type="page"/>
      </w:r>
    </w:p>
    <w:p w14:paraId="25A6E08E" w14:textId="77777777" w:rsidR="00DD2A75" w:rsidRDefault="00DD2A75" w:rsidP="00DD2A75">
      <w:pPr>
        <w:jc w:val="both"/>
        <w:rPr>
          <w:rFonts w:cs="Arial"/>
          <w:b/>
          <w:bCs/>
          <w:color w:val="000000" w:themeColor="text1"/>
        </w:rPr>
        <w:sectPr w:rsidR="00DD2A75" w:rsidSect="00DD2A75">
          <w:pgSz w:w="12240" w:h="15840"/>
          <w:pgMar w:top="1417" w:right="1701" w:bottom="1276" w:left="1701" w:header="708" w:footer="708" w:gutter="0"/>
          <w:pgNumType w:start="123"/>
          <w:cols w:space="708"/>
          <w:docGrid w:linePitch="360"/>
        </w:sectPr>
      </w:pPr>
    </w:p>
    <w:p w14:paraId="0E017597" w14:textId="77777777" w:rsidR="00DD2A75" w:rsidRDefault="00DD2A75" w:rsidP="00DD2A75">
      <w:pPr>
        <w:jc w:val="both"/>
        <w:rPr>
          <w:rFonts w:cs="Arial"/>
          <w:b/>
          <w:bCs/>
          <w:color w:val="000000" w:themeColor="text1"/>
        </w:rPr>
      </w:pPr>
      <w:r w:rsidRPr="00B85E9C">
        <w:rPr>
          <w:noProof/>
        </w:rPr>
        <w:lastRenderedPageBreak/>
        <mc:AlternateContent>
          <mc:Choice Requires="wps">
            <w:drawing>
              <wp:anchor distT="0" distB="0" distL="114300" distR="114300" simplePos="0" relativeHeight="252717056" behindDoc="0" locked="0" layoutInCell="1" allowOverlap="1" wp14:anchorId="75B189CA" wp14:editId="37000484">
                <wp:simplePos x="0" y="0"/>
                <wp:positionH relativeFrom="margin">
                  <wp:align>center</wp:align>
                </wp:positionH>
                <wp:positionV relativeFrom="paragraph">
                  <wp:posOffset>-99695</wp:posOffset>
                </wp:positionV>
                <wp:extent cx="6606540" cy="411480"/>
                <wp:effectExtent l="0" t="0" r="22860" b="26670"/>
                <wp:wrapNone/>
                <wp:docPr id="1778179052"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7FA16E3A"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RESUMEN DE LECTURA DE TRANSFONDO</w:t>
                            </w:r>
                          </w:p>
                          <w:p w14:paraId="6F0E9D9B" w14:textId="77777777" w:rsidR="00DD2A75" w:rsidRPr="00C25376" w:rsidRDefault="00DD2A75" w:rsidP="00DD2A75">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B189CA" id="_x0000_s1089" type="#_x0000_t202" style="position:absolute;left:0;text-align:left;margin-left:0;margin-top:-7.85pt;width:520.2pt;height:32.4pt;z-index:2527170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YSkOQIAAIQ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" fillcolor="white [3201]" strokeweight=".5pt">
                <v:textbox>
                  <w:txbxContent>
                    <w:p w14:paraId="7FA16E3A"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RESUMEN DE LECTURA DE TRANSFONDO</w:t>
                      </w:r>
                    </w:p>
                    <w:p w14:paraId="6F0E9D9B" w14:textId="77777777" w:rsidR="00DD2A75" w:rsidRPr="00C25376" w:rsidRDefault="00DD2A75" w:rsidP="00DD2A75">
                      <w:pPr>
                        <w:jc w:val="center"/>
                        <w:rPr>
                          <w:rFonts w:cstheme="minorHAnsi"/>
                        </w:rPr>
                      </w:pPr>
                    </w:p>
                  </w:txbxContent>
                </v:textbox>
                <w10:wrap anchorx="margin"/>
              </v:shape>
            </w:pict>
          </mc:Fallback>
        </mc:AlternateContent>
      </w:r>
    </w:p>
    <w:p w14:paraId="6908D8B3" w14:textId="77777777" w:rsidR="00DD2A75" w:rsidRDefault="00DD2A75" w:rsidP="00DD2A75">
      <w:pPr>
        <w:jc w:val="both"/>
        <w:rPr>
          <w:rFonts w:cs="Arial"/>
          <w:b/>
          <w:bCs/>
          <w:color w:val="000000" w:themeColor="text1"/>
        </w:rPr>
      </w:pPr>
    </w:p>
    <w:p w14:paraId="136E49BC" w14:textId="77777777" w:rsidR="00DD2A75" w:rsidRPr="00D30177" w:rsidRDefault="00DD2A75" w:rsidP="00DD2A75">
      <w:pPr>
        <w:jc w:val="center"/>
        <w:rPr>
          <w:rFonts w:cs="Arial"/>
          <w:color w:val="0070C0"/>
        </w:rPr>
      </w:pPr>
      <w:r w:rsidRPr="00D30177">
        <w:rPr>
          <w:rFonts w:cs="Arial"/>
          <w:color w:val="0070C0"/>
        </w:rPr>
        <w:t>Un resumen de lectura es un escrito de carácter informativo que tiene como propósito principal presentar una síntesis de los contenidos que el autor o la autora del texto original transmitió a través del escrito. Cada estudiante únicamente elaborará tres resúmenes durante el curso con un valor de 10% cada uno. Estos se distribuirán entre todos los y las estudiantes en las sesiones 3, 5, 7, 8, 9, 11 y 13 por parte de la persona docente.</w:t>
      </w:r>
    </w:p>
    <w:p w14:paraId="090F6AB2" w14:textId="77777777" w:rsidR="00DD2A75" w:rsidRDefault="00DD2A75" w:rsidP="00DD2A75">
      <w:pPr>
        <w:jc w:val="center"/>
        <w:rPr>
          <w:rFonts w:cs="Arial"/>
          <w:color w:val="000000" w:themeColor="text1"/>
        </w:rPr>
      </w:pPr>
      <w:r>
        <w:rPr>
          <w:rFonts w:cs="Arial"/>
          <w:b/>
          <w:bCs/>
          <w:noProof/>
          <w:color w:val="000000" w:themeColor="text1"/>
        </w:rPr>
        <w:drawing>
          <wp:anchor distT="0" distB="0" distL="114300" distR="114300" simplePos="0" relativeHeight="252718080" behindDoc="0" locked="0" layoutInCell="1" allowOverlap="1" wp14:anchorId="16BA18CB" wp14:editId="7C55D93E">
            <wp:simplePos x="0" y="0"/>
            <wp:positionH relativeFrom="margin">
              <wp:align>center</wp:align>
            </wp:positionH>
            <wp:positionV relativeFrom="paragraph">
              <wp:posOffset>218668</wp:posOffset>
            </wp:positionV>
            <wp:extent cx="8877030" cy="5553075"/>
            <wp:effectExtent l="0" t="0" r="635" b="0"/>
            <wp:wrapNone/>
            <wp:docPr id="33174212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42121" name="Imagen 1" descr="Tabla&#10;&#10;Descripción generada automáticamente"/>
                    <pic:cNvPicPr/>
                  </pic:nvPicPr>
                  <pic:blipFill>
                    <a:blip r:embed="rId151">
                      <a:extLst>
                        <a:ext uri="{28A0092B-C50C-407E-A947-70E740481C1C}">
                          <a14:useLocalDpi xmlns:a14="http://schemas.microsoft.com/office/drawing/2010/main" val="0"/>
                        </a:ext>
                      </a:extLst>
                    </a:blip>
                    <a:stretch>
                      <a:fillRect/>
                    </a:stretch>
                  </pic:blipFill>
                  <pic:spPr>
                    <a:xfrm>
                      <a:off x="0" y="0"/>
                      <a:ext cx="8877030" cy="5553075"/>
                    </a:xfrm>
                    <a:prstGeom prst="rect">
                      <a:avLst/>
                    </a:prstGeom>
                  </pic:spPr>
                </pic:pic>
              </a:graphicData>
            </a:graphic>
            <wp14:sizeRelH relativeFrom="margin">
              <wp14:pctWidth>0</wp14:pctWidth>
            </wp14:sizeRelH>
            <wp14:sizeRelV relativeFrom="margin">
              <wp14:pctHeight>0</wp14:pctHeight>
            </wp14:sizeRelV>
          </wp:anchor>
        </w:drawing>
      </w:r>
    </w:p>
    <w:p w14:paraId="2F7CE763" w14:textId="77777777" w:rsidR="00DD2A75" w:rsidRPr="00D457DA" w:rsidRDefault="00DD2A75" w:rsidP="00DD2A75">
      <w:pPr>
        <w:jc w:val="center"/>
        <w:rPr>
          <w:rFonts w:cs="Arial"/>
          <w:b/>
          <w:bCs/>
          <w:color w:val="000000" w:themeColor="text1"/>
        </w:rPr>
      </w:pPr>
    </w:p>
    <w:p w14:paraId="65C587B2" w14:textId="77777777" w:rsidR="00DD2A75" w:rsidRDefault="00DD2A75" w:rsidP="00DD2A75">
      <w:pPr>
        <w:jc w:val="both"/>
        <w:rPr>
          <w:rFonts w:cs="Arial"/>
          <w:b/>
          <w:bCs/>
          <w:color w:val="000000" w:themeColor="text1"/>
        </w:rPr>
      </w:pPr>
      <w:r>
        <w:rPr>
          <w:rFonts w:cs="Arial"/>
          <w:b/>
          <w:bCs/>
          <w:color w:val="000000" w:themeColor="text1"/>
        </w:rPr>
        <w:br w:type="page"/>
      </w:r>
    </w:p>
    <w:p w14:paraId="65F3A37C" w14:textId="77777777" w:rsidR="00DD2A75" w:rsidRDefault="00DD2A75" w:rsidP="00DD2A75">
      <w:pPr>
        <w:jc w:val="both"/>
        <w:rPr>
          <w:rFonts w:cs="Arial"/>
          <w:b/>
          <w:bCs/>
          <w:color w:val="000000" w:themeColor="text1"/>
        </w:rPr>
      </w:pPr>
      <w:r w:rsidRPr="00B85E9C">
        <w:rPr>
          <w:noProof/>
        </w:rPr>
        <w:lastRenderedPageBreak/>
        <mc:AlternateContent>
          <mc:Choice Requires="wps">
            <w:drawing>
              <wp:anchor distT="0" distB="0" distL="114300" distR="114300" simplePos="0" relativeHeight="252719104" behindDoc="0" locked="0" layoutInCell="1" allowOverlap="1" wp14:anchorId="047C13E4" wp14:editId="2713C8C1">
                <wp:simplePos x="0" y="0"/>
                <wp:positionH relativeFrom="margin">
                  <wp:align>center</wp:align>
                </wp:positionH>
                <wp:positionV relativeFrom="paragraph">
                  <wp:posOffset>0</wp:posOffset>
                </wp:positionV>
                <wp:extent cx="6606540" cy="411480"/>
                <wp:effectExtent l="0" t="0" r="22860" b="26670"/>
                <wp:wrapNone/>
                <wp:docPr id="774344990"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1EC12AF0"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EXPOSICIÓN DE LECTURA DE ANÁLISIS</w:t>
                            </w:r>
                          </w:p>
                          <w:p w14:paraId="7398F4C1" w14:textId="77777777" w:rsidR="00DD2A75" w:rsidRPr="00C25376" w:rsidRDefault="00DD2A75" w:rsidP="00DD2A75">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7C13E4" id="_x0000_s1090" type="#_x0000_t202" style="position:absolute;left:0;text-align:left;margin-left:0;margin-top:0;width:520.2pt;height:32.4pt;z-index:2527191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" fillcolor="white [3201]" strokeweight=".5pt">
                <v:textbox>
                  <w:txbxContent>
                    <w:p w14:paraId="1EC12AF0"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EXPOSICIÓN DE LECTURA DE ANÁLISIS</w:t>
                      </w:r>
                    </w:p>
                    <w:p w14:paraId="7398F4C1" w14:textId="77777777" w:rsidR="00DD2A75" w:rsidRPr="00C25376" w:rsidRDefault="00DD2A75" w:rsidP="00DD2A75">
                      <w:pPr>
                        <w:jc w:val="center"/>
                        <w:rPr>
                          <w:rFonts w:cstheme="minorHAnsi"/>
                        </w:rPr>
                      </w:pPr>
                    </w:p>
                  </w:txbxContent>
                </v:textbox>
                <w10:wrap anchorx="margin"/>
              </v:shape>
            </w:pict>
          </mc:Fallback>
        </mc:AlternateContent>
      </w:r>
    </w:p>
    <w:p w14:paraId="4ED3B47F" w14:textId="77777777" w:rsidR="00DD2A75" w:rsidRDefault="00DD2A75" w:rsidP="00DD2A75">
      <w:pPr>
        <w:jc w:val="both"/>
        <w:rPr>
          <w:rFonts w:cs="Arial"/>
          <w:b/>
          <w:bCs/>
          <w:color w:val="000000" w:themeColor="text1"/>
        </w:rPr>
      </w:pPr>
    </w:p>
    <w:p w14:paraId="2AC04DEB" w14:textId="7189D6D3" w:rsidR="00DD2A75" w:rsidRPr="00D30177" w:rsidRDefault="00DD2A75" w:rsidP="00DD2A75">
      <w:pPr>
        <w:jc w:val="center"/>
        <w:rPr>
          <w:rFonts w:cs="Arial"/>
          <w:color w:val="0070C0"/>
        </w:rPr>
      </w:pPr>
      <w:r>
        <w:rPr>
          <w:rFonts w:cs="Arial"/>
          <w:b/>
          <w:bCs/>
          <w:noProof/>
          <w:color w:val="000000" w:themeColor="text1"/>
        </w:rPr>
        <w:drawing>
          <wp:anchor distT="0" distB="0" distL="114300" distR="114300" simplePos="0" relativeHeight="252720128" behindDoc="0" locked="0" layoutInCell="1" allowOverlap="1" wp14:anchorId="3D094D0F" wp14:editId="50035C1B">
            <wp:simplePos x="0" y="0"/>
            <wp:positionH relativeFrom="margin">
              <wp:align>center</wp:align>
            </wp:positionH>
            <wp:positionV relativeFrom="paragraph">
              <wp:posOffset>705658</wp:posOffset>
            </wp:positionV>
            <wp:extent cx="8215312" cy="5365055"/>
            <wp:effectExtent l="0" t="0" r="0" b="7620"/>
            <wp:wrapNone/>
            <wp:docPr id="2080404803"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04803" name="Imagen 2" descr="Tabla&#10;&#10;Descripción generada automáticamente"/>
                    <pic:cNvPicPr/>
                  </pic:nvPicPr>
                  <pic:blipFill>
                    <a:blip r:embed="rId152">
                      <a:extLst>
                        <a:ext uri="{28A0092B-C50C-407E-A947-70E740481C1C}">
                          <a14:useLocalDpi xmlns:a14="http://schemas.microsoft.com/office/drawing/2010/main" val="0"/>
                        </a:ext>
                      </a:extLst>
                    </a:blip>
                    <a:stretch>
                      <a:fillRect/>
                    </a:stretch>
                  </pic:blipFill>
                  <pic:spPr>
                    <a:xfrm>
                      <a:off x="0" y="0"/>
                      <a:ext cx="8215312" cy="5365055"/>
                    </a:xfrm>
                    <a:prstGeom prst="rect">
                      <a:avLst/>
                    </a:prstGeom>
                  </pic:spPr>
                </pic:pic>
              </a:graphicData>
            </a:graphic>
            <wp14:sizeRelH relativeFrom="margin">
              <wp14:pctWidth>0</wp14:pctWidth>
            </wp14:sizeRelH>
            <wp14:sizeRelV relativeFrom="margin">
              <wp14:pctHeight>0</wp14:pctHeight>
            </wp14:sizeRelV>
          </wp:anchor>
        </w:drawing>
      </w:r>
      <w:r w:rsidRPr="00D30177">
        <w:rPr>
          <w:rFonts w:cs="Arial"/>
          <w:color w:val="0070C0"/>
        </w:rPr>
        <w:t>Una exposición es una forma habitual de presentar un tema realizando una explicación detallada de su contenido y abordando y desarrollando los aspectos más importantes de una manera clara y convincente. Cada estudiante únicamente realizará un total de 2 exposiciones sobre lecturas de análisis durante el curso con un valor de 12,5% cada una. Estas se distribuirán entre todos los y las estudiantes en las sesiones 2, 4, 5, 6, 7, 8, 9, 10, 11, 12 y 14 por parte de la persona docente.</w:t>
      </w:r>
    </w:p>
    <w:p w14:paraId="2E7A0BC9" w14:textId="77777777" w:rsidR="00DD2A75" w:rsidRDefault="00DD2A75" w:rsidP="00DD2A75">
      <w:pPr>
        <w:jc w:val="center"/>
        <w:rPr>
          <w:rFonts w:cs="Arial"/>
          <w:color w:val="000000" w:themeColor="text1"/>
        </w:rPr>
      </w:pPr>
    </w:p>
    <w:p w14:paraId="1B22E893" w14:textId="2699B38C" w:rsidR="00DD2A75" w:rsidRPr="00F62400" w:rsidRDefault="00DD2A75" w:rsidP="00DD2A75">
      <w:pPr>
        <w:jc w:val="center"/>
        <w:rPr>
          <w:rFonts w:cs="Arial"/>
          <w:b/>
          <w:bCs/>
          <w:color w:val="000000" w:themeColor="text1"/>
        </w:rPr>
      </w:pPr>
    </w:p>
    <w:p w14:paraId="25411EFA" w14:textId="77777777" w:rsidR="00DD2A75" w:rsidRDefault="00DD2A75" w:rsidP="00DD2A75">
      <w:pPr>
        <w:jc w:val="both"/>
        <w:rPr>
          <w:rFonts w:cs="Arial"/>
          <w:b/>
          <w:bCs/>
          <w:color w:val="000000" w:themeColor="text1"/>
        </w:rPr>
      </w:pPr>
      <w:r>
        <w:rPr>
          <w:rFonts w:cs="Arial"/>
          <w:b/>
          <w:bCs/>
          <w:color w:val="000000" w:themeColor="text1"/>
        </w:rPr>
        <w:br w:type="page"/>
      </w:r>
    </w:p>
    <w:p w14:paraId="4E4E32EA" w14:textId="77777777" w:rsidR="00DD2A75" w:rsidRDefault="00DD2A75" w:rsidP="00DD2A75">
      <w:pPr>
        <w:jc w:val="both"/>
        <w:rPr>
          <w:rFonts w:cs="Arial"/>
          <w:b/>
          <w:bCs/>
          <w:color w:val="000000" w:themeColor="text1"/>
        </w:rPr>
      </w:pPr>
      <w:r>
        <w:rPr>
          <w:rFonts w:cs="Arial"/>
          <w:b/>
          <w:bCs/>
          <w:noProof/>
          <w:color w:val="000000" w:themeColor="text1"/>
        </w:rPr>
        <w:lastRenderedPageBreak/>
        <w:drawing>
          <wp:anchor distT="0" distB="0" distL="114300" distR="114300" simplePos="0" relativeHeight="252721152" behindDoc="0" locked="0" layoutInCell="1" allowOverlap="1" wp14:anchorId="6AB56F73" wp14:editId="4D81785A">
            <wp:simplePos x="0" y="0"/>
            <wp:positionH relativeFrom="margin">
              <wp:posOffset>455874</wp:posOffset>
            </wp:positionH>
            <wp:positionV relativeFrom="paragraph">
              <wp:posOffset>0</wp:posOffset>
            </wp:positionV>
            <wp:extent cx="8225643" cy="1185863"/>
            <wp:effectExtent l="0" t="0" r="4445" b="0"/>
            <wp:wrapNone/>
            <wp:docPr id="761048227"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048227" name="Imagen 3" descr="Diagrama&#10;&#10;Descripción generada automáticamente"/>
                    <pic:cNvPicPr/>
                  </pic:nvPicPr>
                  <pic:blipFill>
                    <a:blip r:embed="rId153">
                      <a:extLst>
                        <a:ext uri="{28A0092B-C50C-407E-A947-70E740481C1C}">
                          <a14:useLocalDpi xmlns:a14="http://schemas.microsoft.com/office/drawing/2010/main" val="0"/>
                        </a:ext>
                      </a:extLst>
                    </a:blip>
                    <a:stretch>
                      <a:fillRect/>
                    </a:stretch>
                  </pic:blipFill>
                  <pic:spPr>
                    <a:xfrm>
                      <a:off x="0" y="0"/>
                      <a:ext cx="8251745" cy="1189626"/>
                    </a:xfrm>
                    <a:prstGeom prst="rect">
                      <a:avLst/>
                    </a:prstGeom>
                  </pic:spPr>
                </pic:pic>
              </a:graphicData>
            </a:graphic>
            <wp14:sizeRelH relativeFrom="margin">
              <wp14:pctWidth>0</wp14:pctWidth>
            </wp14:sizeRelH>
            <wp14:sizeRelV relativeFrom="margin">
              <wp14:pctHeight>0</wp14:pctHeight>
            </wp14:sizeRelV>
          </wp:anchor>
        </w:drawing>
      </w:r>
      <w:r>
        <w:rPr>
          <w:rFonts w:cs="Arial"/>
          <w:b/>
          <w:bCs/>
          <w:color w:val="000000" w:themeColor="text1"/>
        </w:rPr>
        <w:br w:type="page"/>
      </w:r>
    </w:p>
    <w:p w14:paraId="29040989" w14:textId="77777777" w:rsidR="00DD2A75" w:rsidRDefault="00DD2A75" w:rsidP="00DD2A75">
      <w:pPr>
        <w:jc w:val="both"/>
        <w:rPr>
          <w:rFonts w:cs="Arial"/>
          <w:b/>
          <w:bCs/>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722176" behindDoc="0" locked="0" layoutInCell="1" allowOverlap="1" wp14:anchorId="7AF2EBE9" wp14:editId="545133F8">
                <wp:simplePos x="0" y="0"/>
                <wp:positionH relativeFrom="margin">
                  <wp:align>center</wp:align>
                </wp:positionH>
                <wp:positionV relativeFrom="paragraph">
                  <wp:posOffset>-161925</wp:posOffset>
                </wp:positionV>
                <wp:extent cx="7879080" cy="426720"/>
                <wp:effectExtent l="0" t="0" r="26670" b="11430"/>
                <wp:wrapNone/>
                <wp:docPr id="1972135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4DF27976" w14:textId="77777777" w:rsidR="00DD2A75" w:rsidRPr="00D06599" w:rsidRDefault="00DD2A75" w:rsidP="00DD2A75">
                            <w:pPr>
                              <w:jc w:val="center"/>
                              <w:rPr>
                                <w:rFonts w:cstheme="minorHAnsi"/>
                                <w:b/>
                              </w:rPr>
                            </w:pPr>
                            <w:r w:rsidRPr="00D06599">
                              <w:rPr>
                                <w:rFonts w:cstheme="minorHAnsi"/>
                                <w:b/>
                              </w:rPr>
                              <w:t>RÚBRICA DE EVALUACIÓN</w:t>
                            </w:r>
                            <w:r>
                              <w:rPr>
                                <w:rFonts w:cstheme="minorHAnsi"/>
                                <w:b/>
                              </w:rPr>
                              <w:t xml:space="preserve"> – TRABAJOS GRUPALES Y DEBATES EN EL AULA VIRTUAL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2EBE9" id="_x0000_s1091" type="#_x0000_t202" style="position:absolute;left:0;text-align:left;margin-left:0;margin-top:-12.75pt;width:620.4pt;height:33.6pt;z-index:2527221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">
                <v:textbox>
                  <w:txbxContent>
                    <w:p w14:paraId="4DF27976" w14:textId="77777777" w:rsidR="00DD2A75" w:rsidRPr="00D06599" w:rsidRDefault="00DD2A75" w:rsidP="00DD2A75">
                      <w:pPr>
                        <w:jc w:val="center"/>
                        <w:rPr>
                          <w:rFonts w:cstheme="minorHAnsi"/>
                          <w:b/>
                        </w:rPr>
                      </w:pPr>
                      <w:r w:rsidRPr="00D06599">
                        <w:rPr>
                          <w:rFonts w:cstheme="minorHAnsi"/>
                          <w:b/>
                        </w:rPr>
                        <w:t>RÚBRICA DE EVALUACIÓN</w:t>
                      </w:r>
                      <w:r>
                        <w:rPr>
                          <w:rFonts w:cstheme="minorHAnsi"/>
                          <w:b/>
                        </w:rPr>
                        <w:t xml:space="preserve"> – TRABAJOS GRUPALES Y DEBATES EN EL AULA VIRTUAL</w:t>
                      </w:r>
                    </w:p>
                  </w:txbxContent>
                </v:textbox>
                <w10:wrap anchorx="margin"/>
              </v:shape>
            </w:pict>
          </mc:Fallback>
        </mc:AlternateContent>
      </w:r>
    </w:p>
    <w:p w14:paraId="1AEE8E09" w14:textId="77777777" w:rsidR="00DD2A75" w:rsidRDefault="00DD2A75" w:rsidP="00DD2A75">
      <w:pPr>
        <w:jc w:val="both"/>
        <w:rPr>
          <w:rFonts w:cs="Arial"/>
          <w:b/>
          <w:bCs/>
          <w:color w:val="000000" w:themeColor="text1"/>
        </w:rPr>
      </w:pPr>
    </w:p>
    <w:p w14:paraId="4CCBAAC3" w14:textId="77777777" w:rsidR="00DD2A75" w:rsidRPr="00D30177" w:rsidRDefault="00DD2A75" w:rsidP="00DD2A75">
      <w:pPr>
        <w:jc w:val="center"/>
        <w:rPr>
          <w:rFonts w:ascii="Calibri" w:eastAsia="Calibri" w:hAnsi="Calibri" w:cs="Calibri"/>
          <w:bCs/>
          <w:color w:val="0070C0"/>
        </w:rPr>
      </w:pPr>
      <w:r w:rsidRPr="00D30177">
        <w:rPr>
          <w:rFonts w:cs="Arial"/>
          <w:color w:val="0070C0"/>
        </w:rPr>
        <w:t xml:space="preserve">El porcentaje total establecido para este rubro, el cual es un 10%, se aplica para las actividades que implican la participación de las personas estudiante en el aula virtual en las sesiones 1, 3, 4, 6, 7 y 10. Dichas actividades se desarrollarán a través de foros y un wiki. </w:t>
      </w:r>
      <w:r w:rsidRPr="00D30177">
        <w:rPr>
          <w:rFonts w:ascii="Calibri" w:eastAsia="Calibri" w:hAnsi="Calibri" w:cs="Calibri"/>
          <w:bCs/>
          <w:color w:val="0070C0"/>
        </w:rPr>
        <w:t>Con el propósito de proveer experiencias de aprendizaje interactivo y colaborativo, los foros temáticos buscan la participación de los y las estudiantes con base en las lecturas asignadas para el debate y la discusión grupal. Por su parte, el desarrollo del wiki trata sobre el Concilio de Nicea.</w:t>
      </w:r>
    </w:p>
    <w:p w14:paraId="3C62DD39" w14:textId="77777777" w:rsidR="00DD2A75" w:rsidRDefault="00DD2A75" w:rsidP="00DD2A75">
      <w:pPr>
        <w:jc w:val="center"/>
        <w:rPr>
          <w:rFonts w:ascii="Calibri" w:eastAsia="Calibri" w:hAnsi="Calibri" w:cs="Calibri"/>
          <w:bCs/>
        </w:rPr>
      </w:pPr>
    </w:p>
    <w:p w14:paraId="37CD9A24" w14:textId="77777777" w:rsidR="00DD2A75" w:rsidRPr="0064205A" w:rsidRDefault="00DD2A75" w:rsidP="00DD2A75">
      <w:pPr>
        <w:jc w:val="center"/>
        <w:rPr>
          <w:rFonts w:cs="Arial"/>
          <w:b/>
          <w:bCs/>
          <w:color w:val="000000" w:themeColor="text1"/>
        </w:rPr>
      </w:pPr>
      <w:r>
        <w:rPr>
          <w:rFonts w:cs="Arial"/>
          <w:b/>
          <w:bCs/>
          <w:noProof/>
          <w:color w:val="000000" w:themeColor="text1"/>
        </w:rPr>
        <w:drawing>
          <wp:anchor distT="0" distB="0" distL="114300" distR="114300" simplePos="0" relativeHeight="252723200" behindDoc="0" locked="0" layoutInCell="1" allowOverlap="1" wp14:anchorId="4A438157" wp14:editId="1AC5D50D">
            <wp:simplePos x="0" y="0"/>
            <wp:positionH relativeFrom="margin">
              <wp:align>center</wp:align>
            </wp:positionH>
            <wp:positionV relativeFrom="paragraph">
              <wp:posOffset>75883</wp:posOffset>
            </wp:positionV>
            <wp:extent cx="8420100" cy="4970783"/>
            <wp:effectExtent l="0" t="0" r="0" b="1270"/>
            <wp:wrapNone/>
            <wp:docPr id="2124113904" name="Imagen 4"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113904" name="Imagen 4" descr="Texto, Tabla&#10;&#10;Descripción generada automáticamente"/>
                    <pic:cNvPicPr/>
                  </pic:nvPicPr>
                  <pic:blipFill>
                    <a:blip r:embed="rId154">
                      <a:extLst>
                        <a:ext uri="{28A0092B-C50C-407E-A947-70E740481C1C}">
                          <a14:useLocalDpi xmlns:a14="http://schemas.microsoft.com/office/drawing/2010/main" val="0"/>
                        </a:ext>
                      </a:extLst>
                    </a:blip>
                    <a:stretch>
                      <a:fillRect/>
                    </a:stretch>
                  </pic:blipFill>
                  <pic:spPr>
                    <a:xfrm>
                      <a:off x="0" y="0"/>
                      <a:ext cx="8420100" cy="4970783"/>
                    </a:xfrm>
                    <a:prstGeom prst="rect">
                      <a:avLst/>
                    </a:prstGeom>
                  </pic:spPr>
                </pic:pic>
              </a:graphicData>
            </a:graphic>
            <wp14:sizeRelH relativeFrom="margin">
              <wp14:pctWidth>0</wp14:pctWidth>
            </wp14:sizeRelH>
            <wp14:sizeRelV relativeFrom="margin">
              <wp14:pctHeight>0</wp14:pctHeight>
            </wp14:sizeRelV>
          </wp:anchor>
        </w:drawing>
      </w:r>
    </w:p>
    <w:p w14:paraId="659F2706" w14:textId="77777777" w:rsidR="00DD2A75" w:rsidRDefault="00DD2A75" w:rsidP="00DD2A75">
      <w:pPr>
        <w:jc w:val="both"/>
        <w:rPr>
          <w:rFonts w:cs="Arial"/>
          <w:b/>
          <w:bCs/>
          <w:color w:val="000000" w:themeColor="text1"/>
        </w:rPr>
      </w:pPr>
    </w:p>
    <w:p w14:paraId="25A90A1E" w14:textId="77777777" w:rsidR="00DD2A75" w:rsidRDefault="00DD2A75" w:rsidP="00DD2A75">
      <w:pPr>
        <w:jc w:val="both"/>
        <w:rPr>
          <w:rFonts w:cs="Arial"/>
          <w:b/>
          <w:bCs/>
          <w:color w:val="000000" w:themeColor="text1"/>
        </w:rPr>
      </w:pPr>
    </w:p>
    <w:p w14:paraId="60F5DAD1" w14:textId="77777777" w:rsidR="00DD2A75" w:rsidRDefault="00DD2A75" w:rsidP="00DD2A75">
      <w:pPr>
        <w:jc w:val="both"/>
        <w:rPr>
          <w:rFonts w:cs="Arial"/>
          <w:b/>
          <w:bCs/>
          <w:color w:val="000000" w:themeColor="text1"/>
        </w:rPr>
      </w:pPr>
    </w:p>
    <w:p w14:paraId="52D86D6D" w14:textId="77777777" w:rsidR="00DD2A75" w:rsidRDefault="00DD2A75" w:rsidP="00DD2A75">
      <w:pPr>
        <w:jc w:val="both"/>
        <w:rPr>
          <w:rFonts w:cs="Arial"/>
          <w:b/>
          <w:bCs/>
          <w:color w:val="000000" w:themeColor="text1"/>
        </w:rPr>
      </w:pPr>
    </w:p>
    <w:p w14:paraId="53EABED8" w14:textId="77777777" w:rsidR="00DD2A75" w:rsidRDefault="00DD2A75" w:rsidP="00DD2A75">
      <w:pPr>
        <w:jc w:val="both"/>
        <w:rPr>
          <w:rFonts w:cs="Arial"/>
          <w:b/>
          <w:bCs/>
          <w:color w:val="000000" w:themeColor="text1"/>
        </w:rPr>
      </w:pPr>
    </w:p>
    <w:p w14:paraId="6FA852E9" w14:textId="77777777" w:rsidR="00DD2A75" w:rsidRDefault="00DD2A75" w:rsidP="00DD2A75">
      <w:pPr>
        <w:jc w:val="both"/>
        <w:rPr>
          <w:rFonts w:cs="Arial"/>
          <w:b/>
          <w:bCs/>
          <w:color w:val="000000" w:themeColor="text1"/>
        </w:rPr>
      </w:pPr>
    </w:p>
    <w:p w14:paraId="2781AACF" w14:textId="77777777" w:rsidR="00DD2A75" w:rsidRDefault="00DD2A75" w:rsidP="00DD2A75">
      <w:pPr>
        <w:jc w:val="both"/>
        <w:rPr>
          <w:rFonts w:cs="Arial"/>
          <w:b/>
          <w:bCs/>
          <w:color w:val="000000" w:themeColor="text1"/>
        </w:rPr>
      </w:pPr>
    </w:p>
    <w:p w14:paraId="34828BE9" w14:textId="77777777" w:rsidR="00DD2A75" w:rsidRDefault="00DD2A75" w:rsidP="00DD2A75">
      <w:pPr>
        <w:jc w:val="both"/>
        <w:rPr>
          <w:rFonts w:cs="Arial"/>
          <w:b/>
          <w:bCs/>
          <w:color w:val="000000" w:themeColor="text1"/>
        </w:rPr>
      </w:pPr>
    </w:p>
    <w:p w14:paraId="0F3E32C7" w14:textId="77777777" w:rsidR="00DD2A75" w:rsidRDefault="00DD2A75" w:rsidP="00DD2A75">
      <w:pPr>
        <w:jc w:val="both"/>
        <w:rPr>
          <w:rFonts w:cs="Arial"/>
          <w:b/>
          <w:bCs/>
          <w:color w:val="000000" w:themeColor="text1"/>
        </w:rPr>
      </w:pPr>
    </w:p>
    <w:p w14:paraId="602EBA8F" w14:textId="77777777" w:rsidR="00DD2A75" w:rsidRDefault="00DD2A75" w:rsidP="00DD2A75">
      <w:pPr>
        <w:jc w:val="both"/>
        <w:rPr>
          <w:rFonts w:cs="Arial"/>
          <w:b/>
          <w:bCs/>
          <w:color w:val="000000" w:themeColor="text1"/>
        </w:rPr>
      </w:pPr>
    </w:p>
    <w:p w14:paraId="7BB7D79D" w14:textId="77777777" w:rsidR="00DD2A75" w:rsidRDefault="00DD2A75" w:rsidP="00DD2A75">
      <w:pPr>
        <w:jc w:val="both"/>
        <w:rPr>
          <w:rFonts w:cs="Arial"/>
          <w:b/>
          <w:bCs/>
          <w:color w:val="000000" w:themeColor="text1"/>
        </w:rPr>
      </w:pPr>
    </w:p>
    <w:p w14:paraId="56D78FCE" w14:textId="77777777" w:rsidR="00DD2A75" w:rsidRDefault="00DD2A75" w:rsidP="00DD2A75">
      <w:pPr>
        <w:jc w:val="both"/>
        <w:rPr>
          <w:rFonts w:cs="Arial"/>
          <w:b/>
          <w:bCs/>
          <w:color w:val="000000" w:themeColor="text1"/>
        </w:rPr>
      </w:pPr>
    </w:p>
    <w:p w14:paraId="26B4AFB9" w14:textId="77777777" w:rsidR="00DD2A75" w:rsidRDefault="00DD2A75" w:rsidP="00DD2A75">
      <w:pPr>
        <w:jc w:val="both"/>
        <w:rPr>
          <w:rFonts w:cs="Arial"/>
          <w:b/>
          <w:bCs/>
          <w:color w:val="000000" w:themeColor="text1"/>
        </w:rPr>
      </w:pPr>
    </w:p>
    <w:p w14:paraId="7CC61688" w14:textId="77777777" w:rsidR="00DD2A75" w:rsidRDefault="00DD2A75" w:rsidP="00DD2A75">
      <w:pPr>
        <w:jc w:val="both"/>
        <w:rPr>
          <w:rFonts w:cs="Arial"/>
          <w:b/>
          <w:bCs/>
          <w:color w:val="000000" w:themeColor="text1"/>
        </w:rPr>
      </w:pPr>
    </w:p>
    <w:p w14:paraId="565B66CD" w14:textId="77777777" w:rsidR="00DD2A75" w:rsidRDefault="00DD2A75" w:rsidP="00DD2A75">
      <w:pPr>
        <w:jc w:val="both"/>
        <w:rPr>
          <w:rFonts w:cs="Arial"/>
          <w:b/>
          <w:bCs/>
          <w:color w:val="000000" w:themeColor="text1"/>
        </w:rPr>
      </w:pPr>
    </w:p>
    <w:p w14:paraId="0B83A902" w14:textId="77777777" w:rsidR="00DD2A75" w:rsidRDefault="00DD2A75" w:rsidP="00DD2A75">
      <w:pPr>
        <w:jc w:val="both"/>
        <w:rPr>
          <w:rFonts w:cs="Arial"/>
          <w:b/>
          <w:bCs/>
          <w:color w:val="000000" w:themeColor="text1"/>
        </w:rPr>
      </w:pPr>
    </w:p>
    <w:p w14:paraId="2F2BF6D1" w14:textId="7FED71C3" w:rsidR="00DD2A75" w:rsidRDefault="00DD2A75" w:rsidP="00DD2A75">
      <w:pPr>
        <w:jc w:val="both"/>
        <w:rPr>
          <w:rFonts w:cs="Arial"/>
          <w:b/>
          <w:bCs/>
          <w:color w:val="000000" w:themeColor="text1"/>
        </w:rPr>
      </w:pPr>
      <w:r w:rsidRPr="00B85E9C">
        <w:rPr>
          <w:noProof/>
        </w:rPr>
        <w:lastRenderedPageBreak/>
        <mc:AlternateContent>
          <mc:Choice Requires="wps">
            <w:drawing>
              <wp:anchor distT="0" distB="0" distL="114300" distR="114300" simplePos="0" relativeHeight="252724224" behindDoc="0" locked="0" layoutInCell="1" allowOverlap="1" wp14:anchorId="328B2386" wp14:editId="551476DE">
                <wp:simplePos x="0" y="0"/>
                <wp:positionH relativeFrom="margin">
                  <wp:posOffset>1243041</wp:posOffset>
                </wp:positionH>
                <wp:positionV relativeFrom="paragraph">
                  <wp:posOffset>9987</wp:posOffset>
                </wp:positionV>
                <wp:extent cx="6606540" cy="411480"/>
                <wp:effectExtent l="0" t="0" r="22860" b="26670"/>
                <wp:wrapNone/>
                <wp:docPr id="417751178"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6A2A8CB1"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MONOGRAFÍA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8B2386" id="_x0000_s1092" type="#_x0000_t202" style="position:absolute;left:0;text-align:left;margin-left:97.9pt;margin-top:.8pt;width:520.2pt;height:32.4pt;z-index:252724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" fillcolor="white [3201]" strokeweight=".5pt">
                <v:textbox>
                  <w:txbxContent>
                    <w:p w14:paraId="6A2A8CB1" w14:textId="77777777" w:rsidR="00DD2A75" w:rsidRPr="00C25376" w:rsidRDefault="00DD2A75" w:rsidP="00DD2A75">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MONOGRAFÍA FINAL</w:t>
                      </w:r>
                    </w:p>
                  </w:txbxContent>
                </v:textbox>
                <w10:wrap anchorx="margin"/>
              </v:shape>
            </w:pict>
          </mc:Fallback>
        </mc:AlternateContent>
      </w:r>
    </w:p>
    <w:p w14:paraId="44A87037" w14:textId="1825DF1F" w:rsidR="00DD2A75" w:rsidRDefault="00DD2A75" w:rsidP="00DD2A75">
      <w:pPr>
        <w:jc w:val="both"/>
        <w:rPr>
          <w:rFonts w:cs="Arial"/>
          <w:b/>
          <w:bCs/>
          <w:color w:val="000000" w:themeColor="text1"/>
        </w:rPr>
      </w:pPr>
    </w:p>
    <w:p w14:paraId="30FE3749" w14:textId="77777777" w:rsidR="00DD2A75" w:rsidRPr="00D30177" w:rsidRDefault="00DD2A75" w:rsidP="00DD2A75">
      <w:pPr>
        <w:jc w:val="center"/>
        <w:rPr>
          <w:rFonts w:cs="Arial"/>
          <w:color w:val="0070C0"/>
        </w:rPr>
      </w:pPr>
      <w:r w:rsidRPr="00D30177">
        <w:rPr>
          <w:rFonts w:cs="Arial"/>
          <w:color w:val="0070C0"/>
        </w:rPr>
        <w:t>Una monografía es un tipo de documento expositivo o explicativo en el que se aborda un tema específico desde una o más perspectivas posibles. Se elabora desde la sesión 3 hasta la 15 de la siguiente forma: Sesión 3 (elección del tema). Sesión 5 (elaboración de una bibliografía básica). Sesión 7 (elaboración de un bosquejo preliminar). Sesión 10 (bibliografía y bosquejo con cambios incorporados). Sesión 13 (borrador completo de la monografía). Sesión 15 (Versión final de la monografía). Tiene un valor de 35%.</w:t>
      </w:r>
    </w:p>
    <w:p w14:paraId="239BC2E3" w14:textId="19977F62" w:rsidR="00DD2A75" w:rsidRDefault="00DD2A75" w:rsidP="00DD2A75">
      <w:pPr>
        <w:jc w:val="center"/>
        <w:rPr>
          <w:rFonts w:cs="Arial"/>
          <w:color w:val="000000" w:themeColor="text1"/>
        </w:rPr>
      </w:pPr>
      <w:r>
        <w:rPr>
          <w:rFonts w:cs="Arial"/>
          <w:noProof/>
          <w:color w:val="000000" w:themeColor="text1"/>
        </w:rPr>
        <w:drawing>
          <wp:anchor distT="0" distB="0" distL="114300" distR="114300" simplePos="0" relativeHeight="252725248" behindDoc="0" locked="0" layoutInCell="1" allowOverlap="1" wp14:anchorId="5B533596" wp14:editId="63FE99DB">
            <wp:simplePos x="0" y="0"/>
            <wp:positionH relativeFrom="margin">
              <wp:align>center</wp:align>
            </wp:positionH>
            <wp:positionV relativeFrom="paragraph">
              <wp:posOffset>9005</wp:posOffset>
            </wp:positionV>
            <wp:extent cx="8058150" cy="5391686"/>
            <wp:effectExtent l="0" t="0" r="0" b="0"/>
            <wp:wrapNone/>
            <wp:docPr id="726016131" name="Imagen 5" descr="Un periódico con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016131" name="Imagen 5" descr="Un periódico con texto&#10;&#10;Descripción generada automáticamente"/>
                    <pic:cNvPicPr/>
                  </pic:nvPicPr>
                  <pic:blipFill>
                    <a:blip r:embed="rId155">
                      <a:extLst>
                        <a:ext uri="{28A0092B-C50C-407E-A947-70E740481C1C}">
                          <a14:useLocalDpi xmlns:a14="http://schemas.microsoft.com/office/drawing/2010/main" val="0"/>
                        </a:ext>
                      </a:extLst>
                    </a:blip>
                    <a:stretch>
                      <a:fillRect/>
                    </a:stretch>
                  </pic:blipFill>
                  <pic:spPr>
                    <a:xfrm>
                      <a:off x="0" y="0"/>
                      <a:ext cx="8058150" cy="5391686"/>
                    </a:xfrm>
                    <a:prstGeom prst="rect">
                      <a:avLst/>
                    </a:prstGeom>
                  </pic:spPr>
                </pic:pic>
              </a:graphicData>
            </a:graphic>
            <wp14:sizeRelH relativeFrom="margin">
              <wp14:pctWidth>0</wp14:pctWidth>
            </wp14:sizeRelH>
            <wp14:sizeRelV relativeFrom="margin">
              <wp14:pctHeight>0</wp14:pctHeight>
            </wp14:sizeRelV>
          </wp:anchor>
        </w:drawing>
      </w:r>
    </w:p>
    <w:p w14:paraId="2990505D" w14:textId="43FE9B45" w:rsidR="00DD2A75" w:rsidRPr="00B473FC" w:rsidRDefault="00DD2A75" w:rsidP="00DD2A75">
      <w:pPr>
        <w:jc w:val="center"/>
        <w:rPr>
          <w:rFonts w:cs="Arial"/>
          <w:color w:val="000000" w:themeColor="text1"/>
        </w:rPr>
      </w:pPr>
    </w:p>
    <w:p w14:paraId="2067C7B8" w14:textId="77777777" w:rsidR="00DD2A75" w:rsidRDefault="00DD2A75" w:rsidP="00DD2A75">
      <w:pPr>
        <w:jc w:val="both"/>
        <w:rPr>
          <w:rFonts w:cs="Arial"/>
          <w:b/>
          <w:bCs/>
          <w:color w:val="000000" w:themeColor="text1"/>
        </w:rPr>
      </w:pPr>
    </w:p>
    <w:p w14:paraId="48659FB5" w14:textId="77777777" w:rsidR="00DD2A75" w:rsidRDefault="00DD2A75" w:rsidP="00DD2A75">
      <w:pPr>
        <w:jc w:val="both"/>
        <w:rPr>
          <w:rFonts w:cs="Arial"/>
          <w:b/>
          <w:bCs/>
          <w:color w:val="000000" w:themeColor="text1"/>
        </w:rPr>
      </w:pPr>
    </w:p>
    <w:p w14:paraId="7DACAFA0" w14:textId="77777777" w:rsidR="00DD2A75" w:rsidRDefault="00DD2A75" w:rsidP="00DD2A75">
      <w:pPr>
        <w:jc w:val="both"/>
        <w:rPr>
          <w:rFonts w:cs="Arial"/>
          <w:b/>
          <w:bCs/>
          <w:color w:val="000000" w:themeColor="text1"/>
        </w:rPr>
      </w:pPr>
    </w:p>
    <w:p w14:paraId="64DA9B43" w14:textId="77777777" w:rsidR="00DD2A75" w:rsidRDefault="00DD2A75" w:rsidP="00DD2A75">
      <w:pPr>
        <w:jc w:val="both"/>
        <w:rPr>
          <w:rFonts w:cs="Arial"/>
          <w:b/>
          <w:bCs/>
          <w:color w:val="000000" w:themeColor="text1"/>
        </w:rPr>
      </w:pPr>
    </w:p>
    <w:p w14:paraId="31834936" w14:textId="77777777" w:rsidR="00DD2A75" w:rsidRDefault="00DD2A75" w:rsidP="00DD2A75">
      <w:pPr>
        <w:jc w:val="both"/>
        <w:rPr>
          <w:rFonts w:cs="Arial"/>
          <w:b/>
          <w:bCs/>
          <w:color w:val="000000" w:themeColor="text1"/>
        </w:rPr>
      </w:pPr>
    </w:p>
    <w:p w14:paraId="149C575D" w14:textId="77777777" w:rsidR="00DD2A75" w:rsidRDefault="00DD2A75" w:rsidP="00DD2A75">
      <w:pPr>
        <w:jc w:val="both"/>
        <w:rPr>
          <w:rFonts w:cs="Arial"/>
          <w:b/>
          <w:bCs/>
          <w:color w:val="000000" w:themeColor="text1"/>
        </w:rPr>
      </w:pPr>
    </w:p>
    <w:p w14:paraId="4CD04DD8" w14:textId="77777777" w:rsidR="00DD2A75" w:rsidRDefault="00DD2A75" w:rsidP="00DD2A75">
      <w:pPr>
        <w:jc w:val="both"/>
        <w:rPr>
          <w:rFonts w:cs="Arial"/>
          <w:b/>
          <w:bCs/>
          <w:color w:val="000000" w:themeColor="text1"/>
        </w:rPr>
      </w:pPr>
    </w:p>
    <w:p w14:paraId="6E47471C" w14:textId="77777777" w:rsidR="00DD2A75" w:rsidRDefault="00DD2A75" w:rsidP="00DD2A75">
      <w:pPr>
        <w:jc w:val="both"/>
        <w:rPr>
          <w:rFonts w:cs="Arial"/>
          <w:b/>
          <w:bCs/>
          <w:color w:val="000000" w:themeColor="text1"/>
        </w:rPr>
      </w:pPr>
    </w:p>
    <w:p w14:paraId="3F7FEFBD" w14:textId="77777777" w:rsidR="00DD2A75" w:rsidRDefault="00DD2A75" w:rsidP="00DD2A75">
      <w:pPr>
        <w:jc w:val="both"/>
        <w:rPr>
          <w:rFonts w:cs="Arial"/>
          <w:b/>
          <w:bCs/>
          <w:color w:val="000000" w:themeColor="text1"/>
        </w:rPr>
      </w:pPr>
    </w:p>
    <w:p w14:paraId="2A1CF529" w14:textId="77777777" w:rsidR="00DD2A75" w:rsidRDefault="00DD2A75" w:rsidP="00DD2A75">
      <w:pPr>
        <w:jc w:val="both"/>
        <w:rPr>
          <w:rFonts w:cs="Arial"/>
          <w:b/>
          <w:bCs/>
          <w:color w:val="000000" w:themeColor="text1"/>
        </w:rPr>
      </w:pPr>
    </w:p>
    <w:p w14:paraId="33F5F505" w14:textId="77777777" w:rsidR="00DD2A75" w:rsidRDefault="00DD2A75" w:rsidP="00DD2A75">
      <w:pPr>
        <w:jc w:val="both"/>
        <w:rPr>
          <w:rFonts w:cs="Arial"/>
          <w:b/>
          <w:bCs/>
          <w:color w:val="000000" w:themeColor="text1"/>
        </w:rPr>
      </w:pPr>
    </w:p>
    <w:p w14:paraId="7DC59375" w14:textId="77777777" w:rsidR="00DD2A75" w:rsidRDefault="00DD2A75" w:rsidP="00DD2A75">
      <w:pPr>
        <w:jc w:val="both"/>
        <w:rPr>
          <w:rFonts w:cs="Arial"/>
          <w:b/>
          <w:bCs/>
          <w:color w:val="000000" w:themeColor="text1"/>
        </w:rPr>
      </w:pPr>
    </w:p>
    <w:p w14:paraId="1FB6FD1F" w14:textId="77777777" w:rsidR="00DD2A75" w:rsidRDefault="00DD2A75" w:rsidP="00DD2A75">
      <w:pPr>
        <w:jc w:val="both"/>
        <w:rPr>
          <w:rFonts w:cs="Arial"/>
          <w:b/>
          <w:bCs/>
          <w:color w:val="000000" w:themeColor="text1"/>
        </w:rPr>
      </w:pPr>
    </w:p>
    <w:p w14:paraId="4A194D6D" w14:textId="77777777" w:rsidR="00DD2A75" w:rsidRDefault="00DD2A75" w:rsidP="00DD2A75">
      <w:pPr>
        <w:jc w:val="both"/>
        <w:rPr>
          <w:rFonts w:cs="Arial"/>
          <w:b/>
          <w:bCs/>
          <w:color w:val="000000" w:themeColor="text1"/>
        </w:rPr>
      </w:pPr>
    </w:p>
    <w:p w14:paraId="47BC2D28" w14:textId="77777777" w:rsidR="00DD2A75" w:rsidRDefault="00DD2A75" w:rsidP="00DD2A75">
      <w:pPr>
        <w:jc w:val="both"/>
        <w:rPr>
          <w:rFonts w:cs="Arial"/>
          <w:b/>
          <w:bCs/>
          <w:color w:val="000000" w:themeColor="text1"/>
        </w:rPr>
      </w:pPr>
    </w:p>
    <w:p w14:paraId="191D3A37" w14:textId="77777777" w:rsidR="00DD2A75" w:rsidRDefault="00DD2A75" w:rsidP="00DD2A75">
      <w:pPr>
        <w:jc w:val="both"/>
        <w:rPr>
          <w:rFonts w:cs="Arial"/>
          <w:b/>
          <w:bCs/>
          <w:color w:val="000000" w:themeColor="text1"/>
        </w:rPr>
      </w:pPr>
    </w:p>
    <w:p w14:paraId="114F0BED" w14:textId="0D93C0DC" w:rsidR="00DD2A75" w:rsidRDefault="00DD2A75" w:rsidP="00DD2A75">
      <w:pPr>
        <w:jc w:val="both"/>
        <w:rPr>
          <w:rFonts w:cs="Arial"/>
          <w:b/>
          <w:bCs/>
          <w:color w:val="000000" w:themeColor="text1"/>
        </w:rPr>
      </w:pPr>
      <w:r>
        <w:rPr>
          <w:rFonts w:cs="Arial"/>
          <w:b/>
          <w:bCs/>
          <w:noProof/>
          <w:color w:val="000000" w:themeColor="text1"/>
        </w:rPr>
        <w:lastRenderedPageBreak/>
        <w:drawing>
          <wp:anchor distT="0" distB="0" distL="114300" distR="114300" simplePos="0" relativeHeight="252726272" behindDoc="0" locked="0" layoutInCell="1" allowOverlap="1" wp14:anchorId="6518B5D0" wp14:editId="0732D253">
            <wp:simplePos x="0" y="0"/>
            <wp:positionH relativeFrom="margin">
              <wp:posOffset>524857</wp:posOffset>
            </wp:positionH>
            <wp:positionV relativeFrom="paragraph">
              <wp:posOffset>8024</wp:posOffset>
            </wp:positionV>
            <wp:extent cx="8030849" cy="1054606"/>
            <wp:effectExtent l="0" t="0" r="0" b="0"/>
            <wp:wrapNone/>
            <wp:docPr id="300330271" name="Imagen 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30271" name="Imagen 6" descr="Imagen que contiene Texto&#10;&#10;Descripción generada automáticamente"/>
                    <pic:cNvPicPr/>
                  </pic:nvPicPr>
                  <pic:blipFill>
                    <a:blip r:embed="rId156">
                      <a:extLst>
                        <a:ext uri="{28A0092B-C50C-407E-A947-70E740481C1C}">
                          <a14:useLocalDpi xmlns:a14="http://schemas.microsoft.com/office/drawing/2010/main" val="0"/>
                        </a:ext>
                      </a:extLst>
                    </a:blip>
                    <a:stretch>
                      <a:fillRect/>
                    </a:stretch>
                  </pic:blipFill>
                  <pic:spPr>
                    <a:xfrm>
                      <a:off x="0" y="0"/>
                      <a:ext cx="8030849" cy="1054606"/>
                    </a:xfrm>
                    <a:prstGeom prst="rect">
                      <a:avLst/>
                    </a:prstGeom>
                  </pic:spPr>
                </pic:pic>
              </a:graphicData>
            </a:graphic>
            <wp14:sizeRelH relativeFrom="margin">
              <wp14:pctWidth>0</wp14:pctWidth>
            </wp14:sizeRelH>
            <wp14:sizeRelV relativeFrom="margin">
              <wp14:pctHeight>0</wp14:pctHeight>
            </wp14:sizeRelV>
          </wp:anchor>
        </w:drawing>
      </w:r>
    </w:p>
    <w:p w14:paraId="20894290" w14:textId="4A53C2AF" w:rsidR="00DD2A75" w:rsidRDefault="00DD2A75" w:rsidP="00DD2A75">
      <w:pPr>
        <w:jc w:val="both"/>
        <w:rPr>
          <w:rFonts w:cs="Arial"/>
          <w:b/>
          <w:bCs/>
          <w:color w:val="000000" w:themeColor="text1"/>
        </w:rPr>
      </w:pPr>
    </w:p>
    <w:p w14:paraId="4CCB6262" w14:textId="559764AE" w:rsidR="00DD2A75" w:rsidRDefault="00DD2A75" w:rsidP="00DD2A75">
      <w:pPr>
        <w:jc w:val="both"/>
        <w:rPr>
          <w:rFonts w:cs="Arial"/>
          <w:b/>
          <w:bCs/>
          <w:color w:val="000000" w:themeColor="text1"/>
        </w:rPr>
      </w:pPr>
    </w:p>
    <w:p w14:paraId="318A1BCD" w14:textId="77777777" w:rsidR="00DD2A75" w:rsidRDefault="00DD2A75" w:rsidP="00DD2A75">
      <w:pPr>
        <w:jc w:val="both"/>
        <w:rPr>
          <w:rFonts w:cs="Arial"/>
          <w:b/>
          <w:bCs/>
          <w:color w:val="000000" w:themeColor="text1"/>
        </w:rPr>
      </w:pPr>
    </w:p>
    <w:p w14:paraId="1A5944EB" w14:textId="657773EB" w:rsidR="00DD2A75" w:rsidRDefault="00DD2A75" w:rsidP="00DD2A75">
      <w:pPr>
        <w:jc w:val="both"/>
        <w:rPr>
          <w:rFonts w:cs="Arial"/>
          <w:b/>
          <w:bCs/>
          <w:color w:val="000000" w:themeColor="text1"/>
        </w:rPr>
      </w:pPr>
    </w:p>
    <w:p w14:paraId="6DB59CBF" w14:textId="2A7CB761" w:rsidR="00DD2A75" w:rsidRDefault="00DD2A75" w:rsidP="00DD2A75">
      <w:pPr>
        <w:jc w:val="both"/>
        <w:rPr>
          <w:rFonts w:cs="Arial"/>
          <w:b/>
          <w:bCs/>
          <w:color w:val="000000" w:themeColor="text1"/>
        </w:rPr>
      </w:pPr>
    </w:p>
    <w:p w14:paraId="6B4B401F" w14:textId="77777777" w:rsidR="00DD2A75" w:rsidRDefault="00DD2A75" w:rsidP="00DD2A75">
      <w:pPr>
        <w:jc w:val="both"/>
        <w:rPr>
          <w:rFonts w:cs="Arial"/>
          <w:b/>
          <w:bCs/>
          <w:color w:val="000000" w:themeColor="text1"/>
        </w:rPr>
      </w:pPr>
    </w:p>
    <w:p w14:paraId="40E7E577" w14:textId="77777777" w:rsidR="00DD2A75" w:rsidRDefault="00DD2A75" w:rsidP="00DD2A75">
      <w:pPr>
        <w:jc w:val="both"/>
        <w:rPr>
          <w:rFonts w:cs="Arial"/>
          <w:b/>
          <w:bCs/>
          <w:color w:val="000000" w:themeColor="text1"/>
        </w:rPr>
      </w:pPr>
    </w:p>
    <w:p w14:paraId="1B5AD7FB" w14:textId="77777777" w:rsidR="00DD2A75" w:rsidRDefault="00DD2A75" w:rsidP="00DD2A75">
      <w:pPr>
        <w:jc w:val="both"/>
        <w:rPr>
          <w:rFonts w:cs="Arial"/>
          <w:b/>
          <w:bCs/>
          <w:color w:val="000000" w:themeColor="text1"/>
        </w:rPr>
      </w:pPr>
    </w:p>
    <w:p w14:paraId="071C722F" w14:textId="77777777" w:rsidR="00DD2A75" w:rsidRDefault="00DD2A75" w:rsidP="00DD2A75">
      <w:pPr>
        <w:jc w:val="both"/>
        <w:rPr>
          <w:rFonts w:cs="Arial"/>
          <w:b/>
          <w:bCs/>
          <w:color w:val="000000" w:themeColor="text1"/>
        </w:rPr>
      </w:pPr>
    </w:p>
    <w:p w14:paraId="695518D0" w14:textId="77777777" w:rsidR="00DD2A75" w:rsidRDefault="00DD2A75" w:rsidP="00DD2A75">
      <w:pPr>
        <w:jc w:val="both"/>
        <w:rPr>
          <w:rFonts w:cs="Arial"/>
          <w:b/>
          <w:bCs/>
          <w:color w:val="000000" w:themeColor="text1"/>
        </w:rPr>
      </w:pPr>
    </w:p>
    <w:p w14:paraId="00A5D60F" w14:textId="77777777" w:rsidR="00DD2A75" w:rsidRDefault="00DD2A75" w:rsidP="00DD2A75">
      <w:pPr>
        <w:jc w:val="both"/>
        <w:rPr>
          <w:rFonts w:cs="Arial"/>
          <w:b/>
          <w:bCs/>
          <w:color w:val="000000" w:themeColor="text1"/>
        </w:rPr>
      </w:pPr>
    </w:p>
    <w:p w14:paraId="75119F8A" w14:textId="77777777" w:rsidR="00DD2A75" w:rsidRDefault="00DD2A75" w:rsidP="00DD2A75">
      <w:pPr>
        <w:jc w:val="both"/>
        <w:rPr>
          <w:rFonts w:cs="Arial"/>
          <w:b/>
          <w:bCs/>
          <w:color w:val="000000" w:themeColor="text1"/>
        </w:rPr>
      </w:pPr>
    </w:p>
    <w:p w14:paraId="402263C6" w14:textId="77777777" w:rsidR="00DD2A75" w:rsidRDefault="00DD2A75" w:rsidP="00DD2A75">
      <w:pPr>
        <w:jc w:val="both"/>
        <w:rPr>
          <w:rFonts w:cs="Arial"/>
          <w:b/>
          <w:bCs/>
          <w:color w:val="000000" w:themeColor="text1"/>
        </w:rPr>
      </w:pPr>
    </w:p>
    <w:p w14:paraId="025A84DD" w14:textId="77777777" w:rsidR="00DD2A75" w:rsidRDefault="00DD2A75" w:rsidP="00DD2A75">
      <w:pPr>
        <w:jc w:val="both"/>
        <w:rPr>
          <w:rFonts w:cs="Arial"/>
          <w:b/>
          <w:bCs/>
          <w:color w:val="000000" w:themeColor="text1"/>
        </w:rPr>
      </w:pPr>
    </w:p>
    <w:p w14:paraId="65A7D545" w14:textId="77777777" w:rsidR="00DD2A75" w:rsidRDefault="00DD2A75" w:rsidP="00DD2A75">
      <w:pPr>
        <w:jc w:val="both"/>
        <w:rPr>
          <w:rFonts w:cs="Arial"/>
          <w:b/>
          <w:bCs/>
          <w:color w:val="000000" w:themeColor="text1"/>
        </w:rPr>
      </w:pPr>
    </w:p>
    <w:p w14:paraId="72ADA0BE" w14:textId="77777777" w:rsidR="00DD2A75" w:rsidRDefault="00DD2A75" w:rsidP="00DD2A75">
      <w:pPr>
        <w:jc w:val="both"/>
        <w:rPr>
          <w:rFonts w:cs="Arial"/>
          <w:b/>
          <w:bCs/>
          <w:color w:val="000000" w:themeColor="text1"/>
        </w:rPr>
      </w:pPr>
    </w:p>
    <w:p w14:paraId="09FC805A" w14:textId="77777777" w:rsidR="00DD2A75" w:rsidRDefault="00DD2A75" w:rsidP="00DD2A75">
      <w:pPr>
        <w:jc w:val="both"/>
        <w:rPr>
          <w:rFonts w:cs="Arial"/>
          <w:b/>
          <w:bCs/>
          <w:color w:val="000000" w:themeColor="text1"/>
        </w:rPr>
      </w:pPr>
    </w:p>
    <w:p w14:paraId="36D4C2C1" w14:textId="77777777" w:rsidR="00DD2A75" w:rsidRDefault="00DD2A75" w:rsidP="00DD2A75">
      <w:pPr>
        <w:jc w:val="both"/>
        <w:rPr>
          <w:rFonts w:cs="Arial"/>
          <w:b/>
          <w:bCs/>
          <w:color w:val="000000" w:themeColor="text1"/>
        </w:rPr>
      </w:pPr>
    </w:p>
    <w:p w14:paraId="1B403996" w14:textId="77777777" w:rsidR="00DD2A75" w:rsidRDefault="00DD2A75" w:rsidP="00DD2A75">
      <w:pPr>
        <w:jc w:val="both"/>
        <w:rPr>
          <w:rFonts w:cs="Arial"/>
          <w:b/>
          <w:bCs/>
          <w:color w:val="000000" w:themeColor="text1"/>
        </w:rPr>
      </w:pPr>
    </w:p>
    <w:p w14:paraId="09EDF04F" w14:textId="77777777" w:rsidR="00DD2A75" w:rsidRDefault="00DD2A75" w:rsidP="00DD2A75">
      <w:pPr>
        <w:jc w:val="both"/>
        <w:rPr>
          <w:rFonts w:cs="Arial"/>
          <w:b/>
          <w:bCs/>
          <w:color w:val="000000" w:themeColor="text1"/>
        </w:rPr>
      </w:pPr>
    </w:p>
    <w:p w14:paraId="0828BEC0" w14:textId="77777777" w:rsidR="00DD2A75" w:rsidRDefault="00DD2A75" w:rsidP="00DD2A75">
      <w:pPr>
        <w:jc w:val="both"/>
        <w:rPr>
          <w:rFonts w:cs="Arial"/>
          <w:b/>
          <w:bCs/>
          <w:color w:val="000000" w:themeColor="text1"/>
        </w:rPr>
      </w:pPr>
    </w:p>
    <w:p w14:paraId="1E2A7A22" w14:textId="77777777" w:rsidR="00DD2A75" w:rsidRDefault="00DD2A75" w:rsidP="00DD2A75">
      <w:pPr>
        <w:jc w:val="both"/>
        <w:rPr>
          <w:rFonts w:cs="Arial"/>
          <w:b/>
          <w:bCs/>
          <w:color w:val="000000" w:themeColor="text1"/>
        </w:rPr>
      </w:pPr>
    </w:p>
    <w:p w14:paraId="5E9C2E89" w14:textId="77777777" w:rsidR="00DD2A75" w:rsidRDefault="00DD2A75" w:rsidP="00DD2A75">
      <w:pPr>
        <w:jc w:val="both"/>
        <w:rPr>
          <w:rFonts w:cs="Arial"/>
          <w:b/>
          <w:bCs/>
          <w:color w:val="000000" w:themeColor="text1"/>
        </w:rPr>
        <w:sectPr w:rsidR="00DD2A75" w:rsidSect="00DD2A75">
          <w:pgSz w:w="15840" w:h="12240" w:orient="landscape"/>
          <w:pgMar w:top="720" w:right="720" w:bottom="720" w:left="720" w:header="709" w:footer="709" w:gutter="0"/>
          <w:pgNumType w:start="123"/>
          <w:cols w:space="708"/>
          <w:docGrid w:linePitch="360"/>
        </w:sectPr>
      </w:pPr>
    </w:p>
    <w:p w14:paraId="28B222D9" w14:textId="77777777" w:rsidR="00DD2A75" w:rsidRPr="00826E28" w:rsidRDefault="00DD2A75" w:rsidP="00DD2A75">
      <w:pPr>
        <w:jc w:val="both"/>
        <w:rPr>
          <w:rFonts w:cs="Arial"/>
          <w:b/>
          <w:bCs/>
          <w:color w:val="000000" w:themeColor="text1"/>
        </w:rPr>
      </w:pPr>
      <w:r w:rsidRPr="00826E28">
        <w:rPr>
          <w:rFonts w:cs="Arial"/>
          <w:b/>
          <w:bCs/>
          <w:color w:val="000000" w:themeColor="text1"/>
        </w:rPr>
        <w:lastRenderedPageBreak/>
        <w:t>XI.</w:t>
      </w:r>
      <w:r>
        <w:rPr>
          <w:rFonts w:cs="Arial"/>
          <w:b/>
          <w:bCs/>
          <w:color w:val="000000" w:themeColor="text1"/>
        </w:rPr>
        <w:t xml:space="preserve"> </w:t>
      </w:r>
      <w:r w:rsidRPr="00826E28">
        <w:rPr>
          <w:rFonts w:cs="Arial"/>
          <w:b/>
          <w:bCs/>
          <w:color w:val="000000" w:themeColor="text1"/>
        </w:rPr>
        <w:t xml:space="preserve">Bibliografía </w:t>
      </w:r>
      <w:r>
        <w:rPr>
          <w:rFonts w:cs="Arial"/>
          <w:b/>
          <w:bCs/>
          <w:color w:val="000000" w:themeColor="text1"/>
        </w:rPr>
        <w:t>obligatoria</w:t>
      </w:r>
    </w:p>
    <w:p w14:paraId="54EFB9F2" w14:textId="77777777" w:rsidR="00DD2A75" w:rsidRDefault="00DD2A75" w:rsidP="00DD2A75">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0BBD4DF6" w14:textId="77777777" w:rsidR="00DD2A75" w:rsidRPr="00DD5A1C" w:rsidRDefault="00DD2A75" w:rsidP="00DD2A75">
      <w:pPr>
        <w:ind w:left="709" w:hanging="709"/>
        <w:jc w:val="both"/>
        <w:rPr>
          <w:rFonts w:cstheme="minorHAnsi"/>
          <w:color w:val="000000" w:themeColor="text1"/>
          <w:lang w:eastAsia="es-ES"/>
        </w:rPr>
      </w:pPr>
      <w:proofErr w:type="spellStart"/>
      <w:r w:rsidRPr="00DD5A1C">
        <w:rPr>
          <w:rFonts w:cstheme="minorHAnsi"/>
          <w:color w:val="000000" w:themeColor="text1"/>
          <w:lang w:eastAsia="es-ES"/>
        </w:rPr>
        <w:t>Comby</w:t>
      </w:r>
      <w:proofErr w:type="spellEnd"/>
      <w:r w:rsidRPr="00DD5A1C">
        <w:rPr>
          <w:rFonts w:cstheme="minorHAnsi"/>
          <w:color w:val="000000" w:themeColor="text1"/>
          <w:lang w:eastAsia="es-ES"/>
        </w:rPr>
        <w:t xml:space="preserve">, Jean. </w:t>
      </w:r>
      <w:r w:rsidRPr="00DD5A1C">
        <w:rPr>
          <w:rFonts w:cstheme="minorHAnsi"/>
          <w:i/>
          <w:color w:val="000000" w:themeColor="text1"/>
          <w:lang w:eastAsia="es-ES"/>
        </w:rPr>
        <w:t xml:space="preserve">Para leer la historia de la Iglesia: Desde los orígenes hasta el siglo XXI. </w:t>
      </w:r>
      <w:r w:rsidRPr="00DD5A1C">
        <w:rPr>
          <w:rFonts w:cstheme="minorHAnsi"/>
          <w:color w:val="000000" w:themeColor="text1"/>
          <w:lang w:eastAsia="es-ES"/>
        </w:rPr>
        <w:t>Estella: Verbo Divino, 1998. (</w:t>
      </w:r>
      <w:r w:rsidRPr="004D4C7A">
        <w:rPr>
          <w:rFonts w:cstheme="minorHAnsi"/>
          <w:color w:val="0070C0"/>
          <w:lang w:eastAsia="es-ES"/>
        </w:rPr>
        <w:t>Clásico</w:t>
      </w:r>
      <w:r w:rsidRPr="00DD5A1C">
        <w:rPr>
          <w:rFonts w:cstheme="minorHAnsi"/>
          <w:color w:val="000000" w:themeColor="text1"/>
          <w:lang w:eastAsia="es-ES"/>
        </w:rPr>
        <w:t xml:space="preserve">, última reimpresión, 2007) </w:t>
      </w:r>
    </w:p>
    <w:p w14:paraId="7864900F"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Driver, Juan. </w:t>
      </w:r>
      <w:r w:rsidRPr="00DD5A1C">
        <w:rPr>
          <w:rFonts w:cstheme="minorHAnsi"/>
          <w:i/>
          <w:color w:val="000000" w:themeColor="text1"/>
          <w:lang w:eastAsia="es-ES"/>
        </w:rPr>
        <w:t xml:space="preserve">La fe en la periferia de la historia: una historia del pueblo cristiano desde la perspectiva de los movimientos de restauración y reforma radical. </w:t>
      </w:r>
      <w:r w:rsidRPr="00DD5A1C">
        <w:rPr>
          <w:rFonts w:cstheme="minorHAnsi"/>
          <w:color w:val="000000" w:themeColor="text1"/>
          <w:lang w:eastAsia="es-ES"/>
        </w:rPr>
        <w:t>Guatemala: CLARA/SEMILLA, 1997. (</w:t>
      </w:r>
      <w:r w:rsidRPr="004D4C7A">
        <w:rPr>
          <w:rFonts w:cstheme="minorHAnsi"/>
          <w:color w:val="0070C0"/>
          <w:lang w:eastAsia="es-ES"/>
        </w:rPr>
        <w:t>Clásico</w:t>
      </w:r>
      <w:r>
        <w:rPr>
          <w:rFonts w:cstheme="minorHAnsi"/>
          <w:color w:val="000000" w:themeColor="text1"/>
          <w:lang w:eastAsia="es-ES"/>
        </w:rPr>
        <w:t>, última edición</w:t>
      </w:r>
      <w:r w:rsidRPr="00DD5A1C">
        <w:rPr>
          <w:rFonts w:cstheme="minorHAnsi"/>
          <w:color w:val="000000" w:themeColor="text1"/>
          <w:lang w:eastAsia="es-ES"/>
        </w:rPr>
        <w:t xml:space="preserve">) </w:t>
      </w:r>
    </w:p>
    <w:p w14:paraId="44F78A68"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González, Justo. </w:t>
      </w:r>
      <w:r w:rsidRPr="00DD5A1C">
        <w:rPr>
          <w:rFonts w:cstheme="minorHAnsi"/>
          <w:i/>
          <w:color w:val="000000" w:themeColor="text1"/>
          <w:lang w:eastAsia="es-ES"/>
        </w:rPr>
        <w:t xml:space="preserve">Historia del cristianismo: obra completa. </w:t>
      </w:r>
      <w:r w:rsidRPr="00DD5A1C">
        <w:rPr>
          <w:rFonts w:cstheme="minorHAnsi"/>
          <w:color w:val="000000" w:themeColor="text1"/>
          <w:lang w:eastAsia="es-ES"/>
        </w:rPr>
        <w:t xml:space="preserve">Miami: </w:t>
      </w:r>
      <w:proofErr w:type="spellStart"/>
      <w:r w:rsidRPr="00DD5A1C">
        <w:rPr>
          <w:rFonts w:cstheme="minorHAnsi"/>
          <w:color w:val="000000" w:themeColor="text1"/>
          <w:lang w:eastAsia="es-ES"/>
        </w:rPr>
        <w:t>Unilit</w:t>
      </w:r>
      <w:proofErr w:type="spellEnd"/>
      <w:r w:rsidRPr="00DD5A1C">
        <w:rPr>
          <w:rFonts w:cstheme="minorHAnsi"/>
          <w:color w:val="000000" w:themeColor="text1"/>
          <w:lang w:eastAsia="es-ES"/>
        </w:rPr>
        <w:t>, 2009. (</w:t>
      </w:r>
      <w:r w:rsidRPr="004D4C7A">
        <w:rPr>
          <w:rFonts w:cstheme="minorHAnsi"/>
          <w:color w:val="0070C0"/>
          <w:lang w:eastAsia="es-ES"/>
        </w:rPr>
        <w:t>clásico</w:t>
      </w:r>
      <w:r>
        <w:rPr>
          <w:rFonts w:cstheme="minorHAnsi"/>
          <w:color w:val="000000" w:themeColor="text1"/>
          <w:lang w:eastAsia="es-ES"/>
        </w:rPr>
        <w:t xml:space="preserve">, </w:t>
      </w:r>
      <w:r w:rsidRPr="00DD5A1C">
        <w:rPr>
          <w:rFonts w:cstheme="minorHAnsi"/>
          <w:color w:val="000000" w:themeColor="text1"/>
          <w:lang w:eastAsia="es-ES"/>
        </w:rPr>
        <w:t xml:space="preserve">última edición) </w:t>
      </w:r>
    </w:p>
    <w:p w14:paraId="67859477"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González, Justo. </w:t>
      </w:r>
      <w:r w:rsidRPr="00DD5A1C">
        <w:rPr>
          <w:rFonts w:cstheme="minorHAnsi"/>
          <w:i/>
          <w:color w:val="000000" w:themeColor="text1"/>
          <w:lang w:eastAsia="es-ES"/>
        </w:rPr>
        <w:t xml:space="preserve">Historia del pensamiento cristiano. </w:t>
      </w:r>
      <w:r w:rsidRPr="00DD5A1C">
        <w:rPr>
          <w:rFonts w:cstheme="minorHAnsi"/>
          <w:color w:val="000000" w:themeColor="text1"/>
          <w:lang w:eastAsia="es-ES"/>
        </w:rPr>
        <w:t>Miami: Caribe, 1993. (</w:t>
      </w:r>
      <w:r w:rsidRPr="004D4C7A">
        <w:rPr>
          <w:rFonts w:cstheme="minorHAnsi"/>
          <w:color w:val="0070C0"/>
          <w:lang w:eastAsia="es-ES"/>
        </w:rPr>
        <w:t>Clásico</w:t>
      </w:r>
      <w:r w:rsidRPr="00DD5A1C">
        <w:rPr>
          <w:rFonts w:cstheme="minorHAnsi"/>
          <w:color w:val="000000" w:themeColor="text1"/>
          <w:lang w:eastAsia="es-ES"/>
        </w:rPr>
        <w:t>, última edición, 2011)</w:t>
      </w:r>
    </w:p>
    <w:p w14:paraId="0A9D8D86" w14:textId="77777777" w:rsidR="00DD2A75" w:rsidRPr="00A82C28" w:rsidRDefault="00DD2A75" w:rsidP="00DD2A75">
      <w:pPr>
        <w:ind w:left="709" w:hanging="709"/>
        <w:jc w:val="both"/>
        <w:rPr>
          <w:rFonts w:cstheme="minorHAnsi"/>
          <w:color w:val="0070C0"/>
          <w:lang w:eastAsia="es-ES"/>
        </w:rPr>
      </w:pPr>
      <w:r w:rsidRPr="00DD5A1C">
        <w:rPr>
          <w:rFonts w:cstheme="minorHAnsi"/>
          <w:color w:val="000000" w:themeColor="text1"/>
          <w:lang w:eastAsia="es-ES"/>
        </w:rPr>
        <w:t xml:space="preserve">Iglesia Presbiteriana EUA. </w:t>
      </w:r>
      <w:r w:rsidRPr="00C77390">
        <w:rPr>
          <w:rFonts w:cstheme="minorHAnsi"/>
          <w:i/>
          <w:iCs/>
          <w:color w:val="000000" w:themeColor="text1"/>
          <w:lang w:eastAsia="es-ES"/>
        </w:rPr>
        <w:t>La constitución de la iglesia presbiteriana</w:t>
      </w:r>
      <w:r w:rsidRPr="00DD5A1C">
        <w:rPr>
          <w:rFonts w:cstheme="minorHAnsi"/>
          <w:color w:val="000000" w:themeColor="text1"/>
          <w:lang w:eastAsia="es-ES"/>
        </w:rPr>
        <w:t xml:space="preserve"> (E.U.A.): parte I, </w:t>
      </w:r>
      <w:r w:rsidRPr="00DD5A1C">
        <w:rPr>
          <w:rFonts w:cstheme="minorHAnsi"/>
          <w:i/>
          <w:color w:val="000000" w:themeColor="text1"/>
          <w:lang w:eastAsia="es-ES"/>
        </w:rPr>
        <w:t xml:space="preserve">libro de confesiones. </w:t>
      </w:r>
      <w:r w:rsidRPr="00DD5A1C">
        <w:rPr>
          <w:rFonts w:cstheme="minorHAnsi"/>
          <w:color w:val="000000" w:themeColor="text1"/>
          <w:lang w:eastAsia="es-ES"/>
        </w:rPr>
        <w:t xml:space="preserve">Louisville: Oficina de la Asamblea General, 1995. </w:t>
      </w:r>
      <w:r w:rsidRPr="00A82C28">
        <w:rPr>
          <w:rFonts w:cstheme="minorHAnsi"/>
          <w:color w:val="0070C0"/>
          <w:lang w:eastAsia="es-ES"/>
        </w:rPr>
        <w:t>(clásico, última edición)</w:t>
      </w:r>
    </w:p>
    <w:p w14:paraId="594AFD8F" w14:textId="77777777" w:rsidR="00DD2A75" w:rsidRPr="00DD5A1C" w:rsidRDefault="00DD2A75" w:rsidP="00DD2A75">
      <w:pPr>
        <w:ind w:left="709" w:hanging="709"/>
        <w:jc w:val="both"/>
        <w:rPr>
          <w:rFonts w:cstheme="minorHAnsi"/>
          <w:color w:val="000000" w:themeColor="text1"/>
          <w:lang w:eastAsia="es-ES"/>
        </w:rPr>
      </w:pPr>
      <w:proofErr w:type="spellStart"/>
      <w:r w:rsidRPr="00DD5A1C">
        <w:rPr>
          <w:rFonts w:cstheme="minorHAnsi"/>
          <w:color w:val="000000" w:themeColor="text1"/>
          <w:lang w:eastAsia="es-ES"/>
        </w:rPr>
        <w:t>Küng</w:t>
      </w:r>
      <w:proofErr w:type="spellEnd"/>
      <w:r w:rsidRPr="00DD5A1C">
        <w:rPr>
          <w:rFonts w:cstheme="minorHAnsi"/>
          <w:color w:val="000000" w:themeColor="text1"/>
          <w:lang w:eastAsia="es-ES"/>
        </w:rPr>
        <w:t xml:space="preserve">, Hans. </w:t>
      </w:r>
      <w:r w:rsidRPr="00DD5A1C">
        <w:rPr>
          <w:rFonts w:cstheme="minorHAnsi"/>
          <w:i/>
          <w:iCs/>
          <w:color w:val="000000" w:themeColor="text1"/>
          <w:lang w:eastAsia="es-ES"/>
        </w:rPr>
        <w:t>El Islam: historia, presente, futuro</w:t>
      </w:r>
      <w:r w:rsidRPr="00DD5A1C">
        <w:rPr>
          <w:rFonts w:cstheme="minorHAnsi"/>
          <w:color w:val="000000" w:themeColor="text1"/>
          <w:lang w:eastAsia="es-ES"/>
        </w:rPr>
        <w:t xml:space="preserve">. Madrid: Trotta, 2019. </w:t>
      </w:r>
    </w:p>
    <w:p w14:paraId="2CEE336A" w14:textId="77777777" w:rsidR="00DD2A75" w:rsidRPr="00DD5A1C" w:rsidRDefault="00DD2A75" w:rsidP="00DD2A75">
      <w:pPr>
        <w:ind w:left="709" w:hanging="709"/>
        <w:jc w:val="both"/>
        <w:rPr>
          <w:rFonts w:cstheme="minorHAnsi"/>
          <w:color w:val="000000" w:themeColor="text1"/>
          <w:lang w:eastAsia="es-ES"/>
        </w:rPr>
      </w:pPr>
      <w:proofErr w:type="spellStart"/>
      <w:r w:rsidRPr="00DD5A1C">
        <w:rPr>
          <w:rFonts w:cstheme="minorHAnsi"/>
          <w:color w:val="000000" w:themeColor="text1"/>
          <w:lang w:eastAsia="es-ES"/>
        </w:rPr>
        <w:t>Madigan</w:t>
      </w:r>
      <w:proofErr w:type="spellEnd"/>
      <w:r w:rsidRPr="00DD5A1C">
        <w:rPr>
          <w:rFonts w:cstheme="minorHAnsi"/>
          <w:color w:val="000000" w:themeColor="text1"/>
          <w:lang w:eastAsia="es-ES"/>
        </w:rPr>
        <w:t xml:space="preserve">, Kevin y Carolyn </w:t>
      </w:r>
      <w:proofErr w:type="spellStart"/>
      <w:r w:rsidRPr="00DD5A1C">
        <w:rPr>
          <w:rFonts w:cstheme="minorHAnsi"/>
          <w:color w:val="000000" w:themeColor="text1"/>
          <w:lang w:eastAsia="es-ES"/>
        </w:rPr>
        <w:t>Osiek</w:t>
      </w:r>
      <w:proofErr w:type="spellEnd"/>
      <w:r w:rsidRPr="00DD5A1C">
        <w:rPr>
          <w:rFonts w:cstheme="minorHAnsi"/>
          <w:color w:val="000000" w:themeColor="text1"/>
          <w:lang w:eastAsia="es-ES"/>
        </w:rPr>
        <w:t xml:space="preserve">, eds. </w:t>
      </w:r>
      <w:r w:rsidRPr="00DD5A1C">
        <w:rPr>
          <w:rFonts w:cstheme="minorHAnsi"/>
          <w:i/>
          <w:color w:val="000000" w:themeColor="text1"/>
          <w:lang w:eastAsia="es-ES"/>
        </w:rPr>
        <w:t xml:space="preserve">Mujeres ordenadas en la iglesia primitiva: una historia documentada. </w:t>
      </w:r>
      <w:r w:rsidRPr="00DD5A1C">
        <w:rPr>
          <w:rFonts w:cstheme="minorHAnsi"/>
          <w:color w:val="000000" w:themeColor="text1"/>
          <w:lang w:eastAsia="es-ES"/>
        </w:rPr>
        <w:t>Estella: Verbo Divino, 2006. (</w:t>
      </w:r>
      <w:r w:rsidRPr="00AC506C">
        <w:rPr>
          <w:rFonts w:cstheme="minorHAnsi"/>
          <w:color w:val="0070C0"/>
          <w:lang w:eastAsia="es-ES"/>
        </w:rPr>
        <w:t xml:space="preserve">clásico, </w:t>
      </w:r>
      <w:r w:rsidRPr="00DD5A1C">
        <w:rPr>
          <w:rFonts w:cstheme="minorHAnsi"/>
          <w:color w:val="000000" w:themeColor="text1"/>
          <w:lang w:eastAsia="es-ES"/>
        </w:rPr>
        <w:t xml:space="preserve">última edición) </w:t>
      </w:r>
    </w:p>
    <w:p w14:paraId="49372287"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Marín Riveros, José. </w:t>
      </w:r>
      <w:r w:rsidRPr="00DD5A1C">
        <w:rPr>
          <w:rFonts w:cstheme="minorHAnsi"/>
          <w:i/>
          <w:color w:val="000000" w:themeColor="text1"/>
          <w:lang w:eastAsia="es-ES"/>
        </w:rPr>
        <w:t xml:space="preserve">Cruzada, Guerra Santa y Yihad: La Edad Media y nosotros. </w:t>
      </w:r>
      <w:r w:rsidRPr="00DD5A1C">
        <w:rPr>
          <w:rFonts w:cstheme="minorHAnsi"/>
          <w:color w:val="000000" w:themeColor="text1"/>
          <w:lang w:eastAsia="es-ES"/>
        </w:rPr>
        <w:t>Valparaíso: Ediciones Universitarias de Valparaíso, 2003. (</w:t>
      </w:r>
      <w:r>
        <w:rPr>
          <w:rFonts w:cstheme="minorHAnsi"/>
          <w:color w:val="000000" w:themeColor="text1"/>
          <w:lang w:eastAsia="es-ES"/>
        </w:rPr>
        <w:t>c</w:t>
      </w:r>
      <w:r w:rsidRPr="00AC506C">
        <w:rPr>
          <w:rFonts w:cstheme="minorHAnsi"/>
          <w:color w:val="0070C0"/>
          <w:lang w:eastAsia="es-ES"/>
        </w:rPr>
        <w:t>lásico</w:t>
      </w:r>
      <w:r>
        <w:rPr>
          <w:rFonts w:cstheme="minorHAnsi"/>
          <w:color w:val="000000" w:themeColor="text1"/>
          <w:lang w:eastAsia="es-ES"/>
        </w:rPr>
        <w:t xml:space="preserve">, </w:t>
      </w:r>
      <w:r w:rsidRPr="00DD5A1C">
        <w:rPr>
          <w:rFonts w:cstheme="minorHAnsi"/>
          <w:color w:val="000000" w:themeColor="text1"/>
          <w:lang w:eastAsia="es-ES"/>
        </w:rPr>
        <w:t>última edición)</w:t>
      </w:r>
    </w:p>
    <w:p w14:paraId="633477A6" w14:textId="77777777" w:rsidR="00DD2A75" w:rsidRPr="00DD5A1C" w:rsidRDefault="00DD2A75" w:rsidP="00DD2A75">
      <w:pPr>
        <w:ind w:left="709" w:hanging="709"/>
        <w:jc w:val="both"/>
        <w:rPr>
          <w:rFonts w:cstheme="minorHAnsi"/>
          <w:color w:val="000000" w:themeColor="text1"/>
          <w:lang w:eastAsia="es-ES"/>
        </w:rPr>
      </w:pPr>
      <w:proofErr w:type="spellStart"/>
      <w:r w:rsidRPr="00DD5A1C">
        <w:rPr>
          <w:rFonts w:cstheme="minorHAnsi"/>
          <w:color w:val="000000" w:themeColor="text1"/>
          <w:lang w:eastAsia="es-ES"/>
        </w:rPr>
        <w:t>Moingt</w:t>
      </w:r>
      <w:proofErr w:type="spellEnd"/>
      <w:r w:rsidRPr="00DD5A1C">
        <w:rPr>
          <w:rFonts w:cstheme="minorHAnsi"/>
          <w:color w:val="000000" w:themeColor="text1"/>
          <w:lang w:eastAsia="es-ES"/>
        </w:rPr>
        <w:t xml:space="preserve">, Joseph. “La cristología de la iglesia primitiva: el precio de una mediación cultural”. </w:t>
      </w:r>
      <w:r w:rsidRPr="00DD5A1C">
        <w:rPr>
          <w:rFonts w:cstheme="minorHAnsi"/>
          <w:i/>
          <w:color w:val="000000" w:themeColor="text1"/>
          <w:lang w:eastAsia="es-ES"/>
        </w:rPr>
        <w:t xml:space="preserve">Selecciones de Teología 37, </w:t>
      </w:r>
      <w:r w:rsidRPr="00DD5A1C">
        <w:rPr>
          <w:rFonts w:cstheme="minorHAnsi"/>
          <w:color w:val="000000" w:themeColor="text1"/>
          <w:lang w:eastAsia="es-ES"/>
        </w:rPr>
        <w:t xml:space="preserve">n. 147 (1998): pp. 175-180. </w:t>
      </w:r>
    </w:p>
    <w:p w14:paraId="6EDEF6A4" w14:textId="77777777" w:rsidR="00DD2A75" w:rsidRPr="00DD5A1C"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Piedra, Arturo. “El valor de la historia para la vida de la iglesia”. </w:t>
      </w:r>
      <w:r w:rsidRPr="00DD5A1C">
        <w:rPr>
          <w:rFonts w:cstheme="minorHAnsi"/>
          <w:i/>
          <w:color w:val="000000" w:themeColor="text1"/>
          <w:lang w:eastAsia="es-ES"/>
        </w:rPr>
        <w:t>Vida y Pensamiento 5</w:t>
      </w:r>
      <w:r w:rsidRPr="00DD5A1C">
        <w:rPr>
          <w:rFonts w:cstheme="minorHAnsi"/>
          <w:color w:val="000000" w:themeColor="text1"/>
          <w:lang w:eastAsia="es-ES"/>
        </w:rPr>
        <w:t>, n.2 (1985): pp. 23-32.</w:t>
      </w:r>
    </w:p>
    <w:p w14:paraId="7AA8DB86" w14:textId="77777777" w:rsidR="00DD2A75" w:rsidRPr="00DD5A1C" w:rsidRDefault="00DD2A75" w:rsidP="00DD2A75">
      <w:pPr>
        <w:ind w:left="709" w:hanging="709"/>
        <w:jc w:val="both"/>
        <w:rPr>
          <w:rFonts w:cstheme="minorHAnsi"/>
          <w:color w:val="000000" w:themeColor="text1"/>
          <w:lang w:eastAsia="es-ES"/>
        </w:rPr>
      </w:pPr>
      <w:proofErr w:type="spellStart"/>
      <w:r w:rsidRPr="00DD5A1C">
        <w:rPr>
          <w:rFonts w:cstheme="minorHAnsi"/>
          <w:color w:val="000000" w:themeColor="text1"/>
          <w:lang w:eastAsia="es-ES"/>
        </w:rPr>
        <w:t>Reily</w:t>
      </w:r>
      <w:proofErr w:type="spellEnd"/>
      <w:r w:rsidRPr="00DD5A1C">
        <w:rPr>
          <w:rFonts w:cstheme="minorHAnsi"/>
          <w:color w:val="000000" w:themeColor="text1"/>
          <w:lang w:eastAsia="es-ES"/>
        </w:rPr>
        <w:t xml:space="preserve">, Duncan Alexander. </w:t>
      </w:r>
      <w:r w:rsidRPr="00DD5A1C">
        <w:rPr>
          <w:rFonts w:cstheme="minorHAnsi"/>
          <w:i/>
          <w:color w:val="000000" w:themeColor="text1"/>
          <w:lang w:eastAsia="es-ES"/>
        </w:rPr>
        <w:t xml:space="preserve">Los ministerios femeninos en perspectiva histórica. </w:t>
      </w:r>
      <w:r w:rsidRPr="00DD5A1C">
        <w:rPr>
          <w:rFonts w:cstheme="minorHAnsi"/>
          <w:color w:val="000000" w:themeColor="text1"/>
          <w:lang w:eastAsia="es-ES"/>
        </w:rPr>
        <w:t>San José: SEBILA, 2001. (</w:t>
      </w:r>
      <w:r w:rsidRPr="00AC506C">
        <w:rPr>
          <w:rFonts w:cstheme="minorHAnsi"/>
          <w:color w:val="0070C0"/>
          <w:lang w:eastAsia="es-ES"/>
        </w:rPr>
        <w:t>clásico</w:t>
      </w:r>
      <w:r>
        <w:rPr>
          <w:rFonts w:cstheme="minorHAnsi"/>
          <w:color w:val="000000" w:themeColor="text1"/>
          <w:lang w:eastAsia="es-ES"/>
        </w:rPr>
        <w:t xml:space="preserve">, </w:t>
      </w:r>
      <w:r w:rsidRPr="00DD5A1C">
        <w:rPr>
          <w:rFonts w:cstheme="minorHAnsi"/>
          <w:color w:val="000000" w:themeColor="text1"/>
          <w:lang w:eastAsia="es-ES"/>
        </w:rPr>
        <w:t xml:space="preserve">última edición) </w:t>
      </w:r>
    </w:p>
    <w:p w14:paraId="3AFA9DE3" w14:textId="77777777" w:rsidR="00DD2A75" w:rsidRDefault="00DD2A75" w:rsidP="00DD2A75">
      <w:pPr>
        <w:ind w:left="709" w:hanging="709"/>
        <w:jc w:val="both"/>
        <w:rPr>
          <w:rFonts w:cstheme="minorHAnsi"/>
          <w:color w:val="000000" w:themeColor="text1"/>
          <w:lang w:eastAsia="es-ES"/>
        </w:rPr>
      </w:pPr>
      <w:r w:rsidRPr="00DD5A1C">
        <w:rPr>
          <w:rFonts w:cstheme="minorHAnsi"/>
          <w:color w:val="000000" w:themeColor="text1"/>
          <w:lang w:eastAsia="es-ES"/>
        </w:rPr>
        <w:t xml:space="preserve">Richard, Pablo. “Ortodoxia y herejía en los orígenes del cristianismo”. </w:t>
      </w:r>
      <w:r w:rsidRPr="00DD5A1C">
        <w:rPr>
          <w:rFonts w:cstheme="minorHAnsi"/>
          <w:i/>
          <w:color w:val="000000" w:themeColor="text1"/>
          <w:lang w:eastAsia="es-ES"/>
        </w:rPr>
        <w:t xml:space="preserve">Senderos 65, </w:t>
      </w:r>
      <w:r w:rsidRPr="00DD5A1C">
        <w:rPr>
          <w:rFonts w:cstheme="minorHAnsi"/>
          <w:color w:val="000000" w:themeColor="text1"/>
          <w:lang w:eastAsia="es-ES"/>
        </w:rPr>
        <w:t>(2000): pp. 219-235.</w:t>
      </w:r>
    </w:p>
    <w:p w14:paraId="3B87F132" w14:textId="77777777" w:rsidR="00DD2A75" w:rsidRPr="00DD5A1C" w:rsidRDefault="00DD2A75" w:rsidP="00DD2A75">
      <w:pPr>
        <w:ind w:left="709" w:hanging="709"/>
        <w:jc w:val="both"/>
        <w:rPr>
          <w:rFonts w:cstheme="minorHAnsi"/>
          <w:color w:val="000000" w:themeColor="text1"/>
          <w:sz w:val="20"/>
          <w:lang w:eastAsia="es-ES"/>
        </w:rPr>
      </w:pPr>
    </w:p>
    <w:p w14:paraId="693CDBEF" w14:textId="77777777" w:rsidR="00DD2A75" w:rsidRDefault="00DD2A75" w:rsidP="00DD2A75">
      <w:pPr>
        <w:jc w:val="both"/>
        <w:rPr>
          <w:rFonts w:cs="Arial"/>
          <w:b/>
          <w:bCs/>
          <w:color w:val="000000" w:themeColor="text1"/>
        </w:rPr>
      </w:pPr>
      <w:r w:rsidRPr="00826E28">
        <w:rPr>
          <w:rFonts w:cs="Arial"/>
          <w:b/>
          <w:bCs/>
          <w:color w:val="000000" w:themeColor="text1"/>
        </w:rPr>
        <w:t>XI.</w:t>
      </w:r>
      <w:r>
        <w:rPr>
          <w:rFonts w:cs="Arial"/>
          <w:b/>
          <w:bCs/>
          <w:color w:val="000000" w:themeColor="text1"/>
        </w:rPr>
        <w:t xml:space="preserve"> </w:t>
      </w:r>
      <w:r w:rsidRPr="00826E28">
        <w:rPr>
          <w:rFonts w:cs="Arial"/>
          <w:b/>
          <w:bCs/>
          <w:color w:val="000000" w:themeColor="text1"/>
        </w:rPr>
        <w:t xml:space="preserve">Bibliografía </w:t>
      </w:r>
      <w:r>
        <w:rPr>
          <w:rFonts w:cs="Arial"/>
          <w:b/>
          <w:bCs/>
          <w:color w:val="000000" w:themeColor="text1"/>
        </w:rPr>
        <w:t>complementaria</w:t>
      </w:r>
    </w:p>
    <w:p w14:paraId="5ECE58AF" w14:textId="77777777" w:rsidR="00DD2A75" w:rsidRDefault="00DD2A75" w:rsidP="00DD2A75">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2D2D0AE4" w14:textId="77777777" w:rsidR="00DD2A75" w:rsidRPr="00981E75" w:rsidRDefault="00DD2A75" w:rsidP="00DD2A75">
      <w:pPr>
        <w:ind w:left="709" w:hanging="709"/>
        <w:jc w:val="both"/>
        <w:rPr>
          <w:rFonts w:cstheme="minorHAnsi"/>
          <w:bCs/>
          <w:color w:val="000000" w:themeColor="text1"/>
        </w:rPr>
      </w:pPr>
      <w:r w:rsidRPr="00981E75">
        <w:rPr>
          <w:rFonts w:cstheme="minorHAnsi"/>
          <w:bCs/>
          <w:color w:val="000000" w:themeColor="text1"/>
        </w:rPr>
        <w:lastRenderedPageBreak/>
        <w:t xml:space="preserve">Pedregal Rodríguez, María Amparo. “Las mártires cristianas: género, violencia y dominación del cuerpo femenino”. </w:t>
      </w:r>
      <w:proofErr w:type="spellStart"/>
      <w:r w:rsidRPr="00981E75">
        <w:rPr>
          <w:rFonts w:cstheme="minorHAnsi"/>
          <w:bCs/>
          <w:i/>
          <w:color w:val="000000" w:themeColor="text1"/>
        </w:rPr>
        <w:t>Studia</w:t>
      </w:r>
      <w:proofErr w:type="spellEnd"/>
      <w:r w:rsidRPr="00981E75">
        <w:rPr>
          <w:rFonts w:cstheme="minorHAnsi"/>
          <w:bCs/>
          <w:i/>
          <w:color w:val="000000" w:themeColor="text1"/>
        </w:rPr>
        <w:t xml:space="preserve"> Histórica. Historia Antigua</w:t>
      </w:r>
      <w:r w:rsidRPr="00981E75">
        <w:rPr>
          <w:rFonts w:cstheme="minorHAnsi"/>
          <w:bCs/>
          <w:color w:val="000000" w:themeColor="text1"/>
        </w:rPr>
        <w:t xml:space="preserve">, n. 18 (2000): 277-294. Acceso el 18 de diciembre de 2020. </w:t>
      </w:r>
      <w:hyperlink r:id="rId157" w:history="1">
        <w:r w:rsidRPr="00981E75">
          <w:rPr>
            <w:rStyle w:val="Hipervnculo"/>
            <w:rFonts w:cstheme="minorHAnsi"/>
            <w:bCs/>
          </w:rPr>
          <w:t>https://revistas.usal.es//index.php/0213-2052/article/view/6230/6244</w:t>
        </w:r>
      </w:hyperlink>
      <w:r w:rsidRPr="00981E75">
        <w:rPr>
          <w:rFonts w:cstheme="minorHAnsi"/>
          <w:bCs/>
          <w:color w:val="000000" w:themeColor="text1"/>
        </w:rPr>
        <w:t xml:space="preserve"> </w:t>
      </w:r>
    </w:p>
    <w:p w14:paraId="34079416" w14:textId="77777777" w:rsidR="00DD2A75" w:rsidRPr="00981E75" w:rsidRDefault="00DD2A75" w:rsidP="00DD2A75">
      <w:pPr>
        <w:ind w:left="709" w:hanging="709"/>
        <w:jc w:val="both"/>
        <w:rPr>
          <w:rFonts w:cstheme="minorHAnsi"/>
          <w:bCs/>
          <w:color w:val="000000" w:themeColor="text1"/>
        </w:rPr>
      </w:pPr>
      <w:r w:rsidRPr="00981E75">
        <w:rPr>
          <w:rFonts w:cstheme="minorHAnsi"/>
          <w:bCs/>
          <w:color w:val="000000" w:themeColor="text1"/>
        </w:rPr>
        <w:t xml:space="preserve">Piñero, Antonio. </w:t>
      </w:r>
      <w:r w:rsidRPr="00981E75">
        <w:rPr>
          <w:rFonts w:cstheme="minorHAnsi"/>
          <w:bCs/>
          <w:i/>
          <w:color w:val="000000" w:themeColor="text1"/>
        </w:rPr>
        <w:t>Los cristianismos derrotados: ¿Cuál fue el pensamiento de los primeros cristianos heréticos y heterodoxos?</w:t>
      </w:r>
      <w:r w:rsidRPr="00981E75">
        <w:rPr>
          <w:rFonts w:cstheme="minorHAnsi"/>
          <w:bCs/>
          <w:color w:val="000000" w:themeColor="text1"/>
        </w:rPr>
        <w:t xml:space="preserve"> Madrid: Editorial EDAF, 2019.</w:t>
      </w:r>
    </w:p>
    <w:p w14:paraId="21C8DFDE" w14:textId="77777777" w:rsidR="00DD2A75" w:rsidRDefault="00DD2A75" w:rsidP="00DD2A75">
      <w:pPr>
        <w:ind w:left="709" w:hanging="709"/>
        <w:jc w:val="both"/>
        <w:rPr>
          <w:rFonts w:cs="Arial"/>
          <w:bCs/>
          <w:color w:val="000000" w:themeColor="text1"/>
        </w:rPr>
      </w:pPr>
      <w:r w:rsidRPr="00981E75">
        <w:rPr>
          <w:rFonts w:cstheme="minorHAnsi"/>
          <w:bCs/>
          <w:color w:val="000000" w:themeColor="text1"/>
        </w:rPr>
        <w:t xml:space="preserve">Rocco </w:t>
      </w:r>
      <w:proofErr w:type="spellStart"/>
      <w:r w:rsidRPr="00981E75">
        <w:rPr>
          <w:rFonts w:cstheme="minorHAnsi"/>
          <w:bCs/>
          <w:color w:val="000000" w:themeColor="text1"/>
        </w:rPr>
        <w:t>Tedesco</w:t>
      </w:r>
      <w:proofErr w:type="spellEnd"/>
      <w:r w:rsidRPr="00981E75">
        <w:rPr>
          <w:rFonts w:cstheme="minorHAnsi"/>
          <w:bCs/>
          <w:color w:val="000000" w:themeColor="text1"/>
        </w:rPr>
        <w:t xml:space="preserve">, Diana. “Iglesia y poder: el rostro oculto de lo femenino”. </w:t>
      </w:r>
      <w:proofErr w:type="spellStart"/>
      <w:r w:rsidRPr="00981E75">
        <w:rPr>
          <w:rFonts w:cstheme="minorHAnsi"/>
          <w:bCs/>
          <w:i/>
          <w:color w:val="000000" w:themeColor="text1"/>
        </w:rPr>
        <w:t>Theologica</w:t>
      </w:r>
      <w:proofErr w:type="spellEnd"/>
      <w:r w:rsidRPr="00981E75">
        <w:rPr>
          <w:rFonts w:cstheme="minorHAnsi"/>
          <w:bCs/>
          <w:i/>
          <w:color w:val="000000" w:themeColor="text1"/>
        </w:rPr>
        <w:t xml:space="preserve"> </w:t>
      </w:r>
      <w:proofErr w:type="spellStart"/>
      <w:r w:rsidRPr="00981E75">
        <w:rPr>
          <w:rFonts w:cstheme="minorHAnsi"/>
          <w:bCs/>
          <w:i/>
          <w:color w:val="000000" w:themeColor="text1"/>
        </w:rPr>
        <w:t>Xaveriana</w:t>
      </w:r>
      <w:proofErr w:type="spellEnd"/>
      <w:r w:rsidRPr="00981E75">
        <w:rPr>
          <w:rFonts w:cstheme="minorHAnsi"/>
          <w:bCs/>
          <w:color w:val="000000" w:themeColor="text1"/>
        </w:rPr>
        <w:t xml:space="preserve">, n. 173 (2012): 169-198. Acceso el 18 de diciembre de 2020. </w:t>
      </w:r>
      <w:hyperlink r:id="rId158" w:history="1">
        <w:r w:rsidRPr="00981E75">
          <w:rPr>
            <w:rStyle w:val="Hipervnculo"/>
            <w:rFonts w:cstheme="minorHAnsi"/>
            <w:bCs/>
          </w:rPr>
          <w:t>https://revistas.javeriana.edu.co/index.php/teoxaveriana/article/view/9340</w:t>
        </w:r>
      </w:hyperlink>
    </w:p>
    <w:p w14:paraId="531BB9BB" w14:textId="77777777" w:rsidR="00086FC8" w:rsidRDefault="00086FC8"/>
    <w:p w14:paraId="4996602E" w14:textId="77777777" w:rsidR="00086FC8" w:rsidRDefault="00086FC8"/>
    <w:p w14:paraId="4A56C5B3" w14:textId="77777777" w:rsidR="00086FC8" w:rsidRDefault="00086FC8"/>
    <w:p w14:paraId="42867848" w14:textId="77777777" w:rsidR="00086FC8" w:rsidRDefault="00086FC8"/>
    <w:p w14:paraId="7D8F49AB" w14:textId="77777777" w:rsidR="00086FC8" w:rsidRDefault="00086FC8"/>
    <w:p w14:paraId="0AAB22DE" w14:textId="77777777" w:rsidR="00086FC8" w:rsidRDefault="00086FC8"/>
    <w:p w14:paraId="6331F120" w14:textId="77777777" w:rsidR="00086FC8" w:rsidRDefault="00086FC8"/>
    <w:p w14:paraId="200906D1" w14:textId="77777777" w:rsidR="00086FC8" w:rsidRDefault="00086FC8"/>
    <w:p w14:paraId="50DC9FBD" w14:textId="77777777" w:rsidR="00086FC8" w:rsidRDefault="00086FC8"/>
    <w:p w14:paraId="17F073E1" w14:textId="77777777" w:rsidR="00086FC8" w:rsidRDefault="00086FC8"/>
    <w:p w14:paraId="7C79BA2B" w14:textId="77777777" w:rsidR="00086FC8" w:rsidRDefault="00086FC8"/>
    <w:p w14:paraId="3094ADAE" w14:textId="2AB10013" w:rsidR="00086FC8" w:rsidRDefault="00086FC8">
      <w:r>
        <w:br w:type="page"/>
      </w:r>
    </w:p>
    <w:p w14:paraId="48B1CBCE" w14:textId="77777777" w:rsidR="002557A5" w:rsidRPr="002557A5" w:rsidRDefault="002557A5" w:rsidP="002557A5">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r w:rsidRPr="002557A5">
        <w:rPr>
          <w:rFonts w:ascii="Arial" w:eastAsia="Times New Roman" w:hAnsi="Arial" w:cs="Arial"/>
          <w:noProof/>
          <w:kern w:val="0"/>
          <w:sz w:val="24"/>
          <w:szCs w:val="24"/>
          <w:lang w:eastAsia="es-CR"/>
          <w14:ligatures w14:val="none"/>
        </w:rPr>
        <w:lastRenderedPageBreak/>
        <w:drawing>
          <wp:inline distT="0" distB="0" distL="0" distR="0" wp14:anchorId="40868841" wp14:editId="0425EAED">
            <wp:extent cx="2009775" cy="1548377"/>
            <wp:effectExtent l="0" t="0" r="0" b="0"/>
            <wp:docPr id="158269499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7E47A98" w14:textId="77777777" w:rsidR="002557A5" w:rsidRPr="002557A5" w:rsidRDefault="002557A5" w:rsidP="002557A5">
      <w:pPr>
        <w:widowControl w:val="0"/>
        <w:overflowPunct w:val="0"/>
        <w:autoSpaceDE w:val="0"/>
        <w:autoSpaceDN w:val="0"/>
        <w:adjustRightInd w:val="0"/>
        <w:spacing w:before="120" w:after="0" w:line="240" w:lineRule="auto"/>
        <w:ind w:left="-426"/>
        <w:jc w:val="center"/>
        <w:rPr>
          <w:rFonts w:ascii="Calibri" w:eastAsia="Times New Roman" w:hAnsi="Calibri" w:cs="Arial"/>
          <w:kern w:val="0"/>
          <w:sz w:val="24"/>
          <w:szCs w:val="24"/>
          <w:lang w:val="es-ES_tradnl" w:eastAsia="es-CR"/>
          <w14:ligatures w14:val="none"/>
        </w:rPr>
      </w:pPr>
    </w:p>
    <w:p w14:paraId="4340147A" w14:textId="77777777" w:rsidR="002557A5" w:rsidRPr="002557A5" w:rsidRDefault="002557A5" w:rsidP="002557A5">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r w:rsidRPr="002557A5">
        <w:rPr>
          <w:rFonts w:ascii="Calibri" w:eastAsia="Times New Roman" w:hAnsi="Calibri" w:cs="Arial"/>
          <w:b/>
          <w:spacing w:val="-2"/>
          <w:kern w:val="0"/>
          <w:sz w:val="24"/>
          <w:szCs w:val="24"/>
          <w:lang w:eastAsia="es-CR"/>
          <w14:ligatures w14:val="none"/>
        </w:rPr>
        <w:t>Universidad Bíblica Latinoamericana</w:t>
      </w:r>
    </w:p>
    <w:p w14:paraId="0C5E5E72" w14:textId="77777777" w:rsidR="002557A5" w:rsidRPr="002557A5" w:rsidRDefault="002557A5" w:rsidP="002557A5">
      <w:pPr>
        <w:keepNext/>
        <w:widowControl w:val="0"/>
        <w:overflowPunct w:val="0"/>
        <w:autoSpaceDE w:val="0"/>
        <w:autoSpaceDN w:val="0"/>
        <w:adjustRightInd w:val="0"/>
        <w:spacing w:after="0" w:line="240" w:lineRule="auto"/>
        <w:jc w:val="center"/>
        <w:outlineLvl w:val="1"/>
        <w:rPr>
          <w:rFonts w:ascii="Calibri" w:eastAsia="Times New Roman" w:hAnsi="Calibri" w:cs="Arial"/>
          <w:b/>
          <w:i/>
          <w:spacing w:val="-2"/>
          <w:kern w:val="28"/>
          <w:sz w:val="24"/>
          <w:szCs w:val="24"/>
          <w:lang w:eastAsia="es-CR"/>
          <w14:ligatures w14:val="none"/>
        </w:rPr>
      </w:pPr>
      <w:r w:rsidRPr="002557A5">
        <w:rPr>
          <w:rFonts w:ascii="Calibri" w:eastAsia="Times New Roman" w:hAnsi="Calibri" w:cs="Arial"/>
          <w:b/>
          <w:i/>
          <w:spacing w:val="-2"/>
          <w:kern w:val="28"/>
          <w:sz w:val="24"/>
          <w:szCs w:val="24"/>
          <w:lang w:eastAsia="es-CR"/>
          <w14:ligatures w14:val="none"/>
        </w:rPr>
        <w:t>Facultad de Teología</w:t>
      </w:r>
    </w:p>
    <w:p w14:paraId="1B59F1E4"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2557A5">
        <w:rPr>
          <w:rFonts w:ascii="Calibri" w:eastAsia="Times New Roman" w:hAnsi="Calibri" w:cs="Arial"/>
          <w:b/>
          <w:bCs/>
          <w:kern w:val="0"/>
          <w:sz w:val="24"/>
          <w:szCs w:val="20"/>
          <w:lang w:val="es-ES_tradnl" w:eastAsia="es-CR"/>
          <w14:ligatures w14:val="none"/>
        </w:rPr>
        <w:t xml:space="preserve">Bachillerato en </w:t>
      </w:r>
      <w:r w:rsidRPr="002557A5">
        <w:rPr>
          <w:rFonts w:ascii="Calibri" w:eastAsia="Times New Roman" w:hAnsi="Calibri" w:cs="Arial"/>
          <w:b/>
          <w:bCs/>
          <w:kern w:val="0"/>
          <w:sz w:val="24"/>
          <w:szCs w:val="24"/>
          <w:lang w:val="es-ES_tradnl" w:eastAsia="es-CR"/>
          <w14:ligatures w14:val="none"/>
        </w:rPr>
        <w:t xml:space="preserve">Ciencias </w:t>
      </w:r>
      <w:r w:rsidRPr="002557A5">
        <w:rPr>
          <w:rFonts w:ascii="Calibri" w:eastAsia="Times New Roman" w:hAnsi="Calibri" w:cs="Arial"/>
          <w:b/>
          <w:kern w:val="0"/>
          <w:sz w:val="24"/>
          <w:szCs w:val="24"/>
          <w:lang w:val="es-ES_tradnl" w:eastAsia="es-CR"/>
          <w14:ligatures w14:val="none"/>
        </w:rPr>
        <w:t>Bíblicas</w:t>
      </w:r>
    </w:p>
    <w:p w14:paraId="64A16D53"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p>
    <w:p w14:paraId="1FEBFD85"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2557A5">
        <w:rPr>
          <w:rFonts w:ascii="Calibri" w:eastAsia="Times New Roman" w:hAnsi="Calibri" w:cs="Arial"/>
          <w:b/>
          <w:kern w:val="0"/>
          <w:sz w:val="24"/>
          <w:szCs w:val="24"/>
          <w:lang w:val="es-ES_tradnl" w:eastAsia="es-CR"/>
          <w14:ligatures w14:val="none"/>
        </w:rPr>
        <w:t>Sílabo</w:t>
      </w:r>
    </w:p>
    <w:p w14:paraId="3B698E2A"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bookmarkStart w:id="24" w:name="CTX101"/>
      <w:r w:rsidRPr="002557A5">
        <w:rPr>
          <w:rFonts w:ascii="Calibri" w:eastAsia="Times New Roman" w:hAnsi="Calibri" w:cs="Arial"/>
          <w:b/>
          <w:kern w:val="0"/>
          <w:sz w:val="24"/>
          <w:szCs w:val="24"/>
          <w:lang w:val="es-ES_tradnl" w:eastAsia="es-CR"/>
          <w14:ligatures w14:val="none"/>
        </w:rPr>
        <w:t>Introducción a la Filosofía</w:t>
      </w:r>
      <w:bookmarkEnd w:id="24"/>
    </w:p>
    <w:p w14:paraId="5B7FB999" w14:textId="77777777" w:rsidR="002557A5" w:rsidRPr="002557A5" w:rsidRDefault="002557A5" w:rsidP="002557A5">
      <w:pPr>
        <w:widowControl w:val="0"/>
        <w:overflowPunct w:val="0"/>
        <w:autoSpaceDE w:val="0"/>
        <w:autoSpaceDN w:val="0"/>
        <w:adjustRightInd w:val="0"/>
        <w:spacing w:before="120" w:after="0" w:line="240" w:lineRule="auto"/>
        <w:ind w:left="-426"/>
        <w:jc w:val="center"/>
        <w:rPr>
          <w:rFonts w:ascii="Calibri" w:eastAsia="Times New Roman" w:hAnsi="Calibri" w:cs="Arial"/>
          <w:kern w:val="0"/>
          <w:sz w:val="24"/>
          <w:szCs w:val="24"/>
          <w:lang w:val="es-ES_tradnl" w:eastAsia="es-CR"/>
          <w14:ligatures w14:val="none"/>
        </w:rPr>
      </w:pPr>
    </w:p>
    <w:p w14:paraId="4E000257" w14:textId="77777777" w:rsidR="002557A5" w:rsidRPr="002557A5" w:rsidRDefault="002557A5" w:rsidP="002557A5">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aconcuadrcula"/>
        <w:tblW w:w="0" w:type="auto"/>
        <w:tblLook w:val="04A0" w:firstRow="1" w:lastRow="0" w:firstColumn="1" w:lastColumn="0" w:noHBand="0" w:noVBand="1"/>
      </w:tblPr>
      <w:tblGrid>
        <w:gridCol w:w="1666"/>
        <w:gridCol w:w="7162"/>
      </w:tblGrid>
      <w:tr w:rsidR="002557A5" w:rsidRPr="002557A5" w14:paraId="7AF249BA" w14:textId="77777777" w:rsidTr="00CE7124">
        <w:tc>
          <w:tcPr>
            <w:tcW w:w="1668" w:type="dxa"/>
          </w:tcPr>
          <w:p w14:paraId="7166A2B0" w14:textId="77777777" w:rsidR="002557A5" w:rsidRPr="002557A5" w:rsidRDefault="002557A5" w:rsidP="002557A5">
            <w:pPr>
              <w:rPr>
                <w:rFonts w:ascii="Calibri" w:hAnsi="Calibri" w:cs="Calibri"/>
                <w:b/>
              </w:rPr>
            </w:pPr>
            <w:r w:rsidRPr="002557A5">
              <w:rPr>
                <w:rFonts w:ascii="Calibri" w:hAnsi="Calibri" w:cs="Calibri"/>
                <w:b/>
              </w:rPr>
              <w:t>Código</w:t>
            </w:r>
          </w:p>
        </w:tc>
        <w:tc>
          <w:tcPr>
            <w:tcW w:w="7386" w:type="dxa"/>
          </w:tcPr>
          <w:p w14:paraId="097C2709" w14:textId="77777777" w:rsidR="002557A5" w:rsidRPr="002557A5" w:rsidRDefault="002557A5" w:rsidP="002557A5">
            <w:pPr>
              <w:rPr>
                <w:rFonts w:ascii="Calibri" w:hAnsi="Calibri" w:cs="Calibri"/>
              </w:rPr>
            </w:pPr>
            <w:r w:rsidRPr="002557A5">
              <w:rPr>
                <w:rFonts w:ascii="Calibri" w:hAnsi="Calibri" w:cs="Calibri"/>
              </w:rPr>
              <w:t>CTX 101</w:t>
            </w:r>
          </w:p>
        </w:tc>
      </w:tr>
      <w:tr w:rsidR="002557A5" w:rsidRPr="002557A5" w14:paraId="76737ABC" w14:textId="77777777" w:rsidTr="00CE7124">
        <w:tc>
          <w:tcPr>
            <w:tcW w:w="1668" w:type="dxa"/>
          </w:tcPr>
          <w:p w14:paraId="3C034D05" w14:textId="77777777" w:rsidR="002557A5" w:rsidRPr="002557A5" w:rsidRDefault="002557A5" w:rsidP="002557A5">
            <w:pPr>
              <w:rPr>
                <w:rFonts w:ascii="Calibri" w:hAnsi="Calibri" w:cs="Calibri"/>
                <w:b/>
              </w:rPr>
            </w:pPr>
            <w:r w:rsidRPr="002557A5">
              <w:rPr>
                <w:rFonts w:ascii="Calibri" w:hAnsi="Calibri" w:cs="Calibri"/>
                <w:b/>
              </w:rPr>
              <w:t>Créditos</w:t>
            </w:r>
          </w:p>
        </w:tc>
        <w:tc>
          <w:tcPr>
            <w:tcW w:w="7386" w:type="dxa"/>
          </w:tcPr>
          <w:p w14:paraId="65AE9ABF" w14:textId="77777777" w:rsidR="002557A5" w:rsidRPr="002557A5" w:rsidRDefault="002557A5" w:rsidP="002557A5">
            <w:pPr>
              <w:rPr>
                <w:rFonts w:ascii="Calibri" w:hAnsi="Calibri" w:cs="Calibri"/>
              </w:rPr>
            </w:pPr>
            <w:r w:rsidRPr="002557A5">
              <w:rPr>
                <w:rFonts w:ascii="Calibri" w:hAnsi="Calibri" w:cs="Calibri"/>
              </w:rPr>
              <w:t>3</w:t>
            </w:r>
          </w:p>
        </w:tc>
      </w:tr>
      <w:tr w:rsidR="002557A5" w:rsidRPr="002557A5" w14:paraId="15B95D94" w14:textId="77777777" w:rsidTr="00CE7124">
        <w:tc>
          <w:tcPr>
            <w:tcW w:w="1668" w:type="dxa"/>
          </w:tcPr>
          <w:p w14:paraId="473866F9" w14:textId="77777777" w:rsidR="002557A5" w:rsidRPr="002557A5" w:rsidRDefault="002557A5" w:rsidP="002557A5">
            <w:pPr>
              <w:rPr>
                <w:rFonts w:ascii="Calibri" w:hAnsi="Calibri" w:cs="Calibri"/>
                <w:b/>
              </w:rPr>
            </w:pPr>
            <w:r w:rsidRPr="002557A5">
              <w:rPr>
                <w:rFonts w:ascii="Calibri" w:hAnsi="Calibri" w:cs="Calibri"/>
                <w:b/>
              </w:rPr>
              <w:t>Requisitos</w:t>
            </w:r>
          </w:p>
        </w:tc>
        <w:tc>
          <w:tcPr>
            <w:tcW w:w="7386" w:type="dxa"/>
          </w:tcPr>
          <w:p w14:paraId="59D32EDB" w14:textId="77777777" w:rsidR="002557A5" w:rsidRPr="002557A5" w:rsidRDefault="002557A5" w:rsidP="002557A5">
            <w:pPr>
              <w:rPr>
                <w:rFonts w:ascii="Calibri" w:hAnsi="Calibri" w:cs="Calibri"/>
              </w:rPr>
            </w:pPr>
            <w:r w:rsidRPr="002557A5">
              <w:rPr>
                <w:rFonts w:ascii="Calibri" w:hAnsi="Calibri" w:cs="Calibri"/>
              </w:rPr>
              <w:t>Ninguno</w:t>
            </w:r>
          </w:p>
        </w:tc>
      </w:tr>
      <w:tr w:rsidR="002557A5" w:rsidRPr="002557A5" w14:paraId="7DC1D840" w14:textId="77777777" w:rsidTr="00CE7124">
        <w:tc>
          <w:tcPr>
            <w:tcW w:w="1668" w:type="dxa"/>
          </w:tcPr>
          <w:p w14:paraId="0347BE54" w14:textId="77777777" w:rsidR="002557A5" w:rsidRPr="002557A5" w:rsidRDefault="002557A5" w:rsidP="002557A5">
            <w:pPr>
              <w:rPr>
                <w:rFonts w:ascii="Calibri" w:hAnsi="Calibri" w:cs="Calibri"/>
                <w:b/>
              </w:rPr>
            </w:pPr>
            <w:r w:rsidRPr="002557A5">
              <w:rPr>
                <w:rFonts w:ascii="Calibri" w:hAnsi="Calibri" w:cs="Calibri"/>
                <w:b/>
              </w:rPr>
              <w:t>Modalidad</w:t>
            </w:r>
          </w:p>
        </w:tc>
        <w:tc>
          <w:tcPr>
            <w:tcW w:w="7386" w:type="dxa"/>
          </w:tcPr>
          <w:p w14:paraId="725D3B88" w14:textId="77777777" w:rsidR="002557A5" w:rsidRPr="002557A5" w:rsidRDefault="002557A5" w:rsidP="002557A5">
            <w:pPr>
              <w:rPr>
                <w:rFonts w:ascii="Calibri" w:hAnsi="Calibri" w:cs="Calibri"/>
              </w:rPr>
            </w:pPr>
            <w:r w:rsidRPr="002557A5">
              <w:rPr>
                <w:rFonts w:ascii="Calibri" w:hAnsi="Calibri" w:cs="Calibri"/>
              </w:rPr>
              <w:t>Virtual</w:t>
            </w:r>
          </w:p>
        </w:tc>
      </w:tr>
      <w:tr w:rsidR="002557A5" w:rsidRPr="002557A5" w14:paraId="055FFFA3" w14:textId="77777777" w:rsidTr="00CE7124">
        <w:tc>
          <w:tcPr>
            <w:tcW w:w="1668" w:type="dxa"/>
          </w:tcPr>
          <w:p w14:paraId="10920C29" w14:textId="77777777" w:rsidR="002557A5" w:rsidRPr="002557A5" w:rsidRDefault="002557A5" w:rsidP="002557A5">
            <w:pPr>
              <w:rPr>
                <w:rFonts w:ascii="Calibri" w:hAnsi="Calibri" w:cs="Calibri"/>
                <w:b/>
              </w:rPr>
            </w:pPr>
            <w:r w:rsidRPr="002557A5">
              <w:rPr>
                <w:rFonts w:ascii="Calibri" w:hAnsi="Calibri" w:cs="Calibri"/>
                <w:b/>
              </w:rPr>
              <w:t>Naturaleza</w:t>
            </w:r>
          </w:p>
        </w:tc>
        <w:tc>
          <w:tcPr>
            <w:tcW w:w="7386" w:type="dxa"/>
          </w:tcPr>
          <w:p w14:paraId="4DE92C94" w14:textId="77777777" w:rsidR="002557A5" w:rsidRPr="002557A5" w:rsidRDefault="002557A5" w:rsidP="002557A5">
            <w:pPr>
              <w:rPr>
                <w:rFonts w:ascii="Calibri" w:hAnsi="Calibri" w:cs="Calibri"/>
              </w:rPr>
            </w:pPr>
            <w:r w:rsidRPr="002557A5">
              <w:rPr>
                <w:rFonts w:ascii="Calibri" w:hAnsi="Calibri" w:cs="Calibri"/>
              </w:rPr>
              <w:t>Teórico</w:t>
            </w:r>
          </w:p>
        </w:tc>
      </w:tr>
      <w:tr w:rsidR="002557A5" w:rsidRPr="002557A5" w14:paraId="01D2CAE3" w14:textId="77777777" w:rsidTr="00CE7124">
        <w:tc>
          <w:tcPr>
            <w:tcW w:w="1668" w:type="dxa"/>
          </w:tcPr>
          <w:p w14:paraId="4EDEC9D6" w14:textId="77777777" w:rsidR="002557A5" w:rsidRPr="002557A5" w:rsidRDefault="002557A5" w:rsidP="002557A5">
            <w:pPr>
              <w:rPr>
                <w:rFonts w:ascii="Calibri" w:hAnsi="Calibri" w:cs="Calibri"/>
                <w:b/>
              </w:rPr>
            </w:pPr>
            <w:r w:rsidRPr="002557A5">
              <w:rPr>
                <w:rFonts w:ascii="Calibri" w:hAnsi="Calibri" w:cs="Calibri"/>
                <w:b/>
              </w:rPr>
              <w:t>Periodo</w:t>
            </w:r>
          </w:p>
        </w:tc>
        <w:tc>
          <w:tcPr>
            <w:tcW w:w="7386" w:type="dxa"/>
          </w:tcPr>
          <w:p w14:paraId="53F1E45E" w14:textId="77777777" w:rsidR="002557A5" w:rsidRPr="002557A5" w:rsidRDefault="002557A5" w:rsidP="002557A5">
            <w:pPr>
              <w:rPr>
                <w:rFonts w:ascii="Calibri" w:hAnsi="Calibri" w:cs="Calibri"/>
              </w:rPr>
            </w:pPr>
            <w:r w:rsidRPr="002557A5">
              <w:rPr>
                <w:rFonts w:ascii="Calibri" w:hAnsi="Calibri" w:cs="Calibri"/>
              </w:rPr>
              <w:t>Cuatrimestral (15 semanas lectivas)</w:t>
            </w:r>
          </w:p>
        </w:tc>
      </w:tr>
      <w:tr w:rsidR="002557A5" w:rsidRPr="002557A5" w14:paraId="1D5CA134" w14:textId="77777777" w:rsidTr="00CE7124">
        <w:tc>
          <w:tcPr>
            <w:tcW w:w="1668" w:type="dxa"/>
          </w:tcPr>
          <w:p w14:paraId="0EBE06B0" w14:textId="77777777" w:rsidR="002557A5" w:rsidRPr="002557A5" w:rsidRDefault="002557A5" w:rsidP="002557A5">
            <w:pPr>
              <w:rPr>
                <w:rFonts w:ascii="Calibri" w:hAnsi="Calibri" w:cs="Calibri"/>
                <w:b/>
              </w:rPr>
            </w:pPr>
            <w:r w:rsidRPr="002557A5">
              <w:rPr>
                <w:rFonts w:ascii="Calibri" w:hAnsi="Calibri" w:cs="Calibri"/>
                <w:b/>
              </w:rPr>
              <w:t>Nivel</w:t>
            </w:r>
          </w:p>
        </w:tc>
        <w:tc>
          <w:tcPr>
            <w:tcW w:w="7386" w:type="dxa"/>
          </w:tcPr>
          <w:p w14:paraId="2B134577" w14:textId="77777777" w:rsidR="002557A5" w:rsidRPr="002557A5" w:rsidRDefault="002557A5" w:rsidP="002557A5">
            <w:pPr>
              <w:rPr>
                <w:rFonts w:ascii="Calibri" w:hAnsi="Calibri" w:cs="Calibri"/>
              </w:rPr>
            </w:pPr>
            <w:r w:rsidRPr="002557A5">
              <w:rPr>
                <w:rFonts w:ascii="Calibri" w:hAnsi="Calibri" w:cs="Calibri"/>
              </w:rPr>
              <w:t>III Cuatrimestre</w:t>
            </w:r>
          </w:p>
        </w:tc>
      </w:tr>
      <w:tr w:rsidR="002557A5" w:rsidRPr="002557A5" w14:paraId="370FF86A" w14:textId="77777777" w:rsidTr="00CE7124">
        <w:tc>
          <w:tcPr>
            <w:tcW w:w="1668" w:type="dxa"/>
          </w:tcPr>
          <w:p w14:paraId="05A0F97F" w14:textId="77777777" w:rsidR="002557A5" w:rsidRPr="002557A5" w:rsidRDefault="002557A5" w:rsidP="002557A5">
            <w:pPr>
              <w:rPr>
                <w:rFonts w:ascii="Calibri" w:hAnsi="Calibri" w:cs="Calibri"/>
                <w:b/>
              </w:rPr>
            </w:pPr>
            <w:r w:rsidRPr="002557A5">
              <w:rPr>
                <w:rFonts w:ascii="Calibri" w:hAnsi="Calibri" w:cs="Calibri"/>
                <w:b/>
              </w:rPr>
              <w:t>Horario</w:t>
            </w:r>
          </w:p>
        </w:tc>
        <w:tc>
          <w:tcPr>
            <w:tcW w:w="7386" w:type="dxa"/>
          </w:tcPr>
          <w:p w14:paraId="0B903A0F" w14:textId="77777777" w:rsidR="002557A5" w:rsidRPr="002557A5" w:rsidRDefault="002557A5" w:rsidP="002557A5">
            <w:pPr>
              <w:rPr>
                <w:rFonts w:ascii="Calibri" w:hAnsi="Calibri" w:cs="Calibri"/>
              </w:rPr>
            </w:pPr>
            <w:r w:rsidRPr="002557A5">
              <w:rPr>
                <w:rFonts w:ascii="Calibri" w:hAnsi="Calibri" w:cs="Calibri"/>
              </w:rPr>
              <w:t>El curso requiere de 9 horas de trabajo semanal</w:t>
            </w:r>
          </w:p>
        </w:tc>
      </w:tr>
      <w:tr w:rsidR="002557A5" w:rsidRPr="002557A5" w14:paraId="71E52A84" w14:textId="77777777" w:rsidTr="00CE7124">
        <w:tc>
          <w:tcPr>
            <w:tcW w:w="1668" w:type="dxa"/>
          </w:tcPr>
          <w:p w14:paraId="7AB9BF5D" w14:textId="77777777" w:rsidR="002557A5" w:rsidRPr="002557A5" w:rsidRDefault="002557A5" w:rsidP="002557A5">
            <w:pPr>
              <w:rPr>
                <w:rFonts w:ascii="Calibri" w:hAnsi="Calibri" w:cs="Calibri"/>
                <w:b/>
              </w:rPr>
            </w:pPr>
            <w:r w:rsidRPr="002557A5">
              <w:rPr>
                <w:rFonts w:ascii="Calibri" w:hAnsi="Calibri" w:cs="Calibri"/>
                <w:b/>
              </w:rPr>
              <w:t>Aula</w:t>
            </w:r>
          </w:p>
        </w:tc>
        <w:tc>
          <w:tcPr>
            <w:tcW w:w="7386" w:type="dxa"/>
          </w:tcPr>
          <w:p w14:paraId="42EF5037" w14:textId="77777777" w:rsidR="002557A5" w:rsidRPr="002557A5" w:rsidRDefault="002557A5" w:rsidP="002557A5">
            <w:pPr>
              <w:rPr>
                <w:rFonts w:ascii="Calibri" w:hAnsi="Calibri" w:cs="Calibri"/>
              </w:rPr>
            </w:pPr>
            <w:r w:rsidRPr="002557A5">
              <w:rPr>
                <w:rFonts w:ascii="Calibri" w:hAnsi="Calibri" w:cs="Calibri"/>
              </w:rPr>
              <w:t>Plataforma virtual de la UBL</w:t>
            </w:r>
          </w:p>
        </w:tc>
      </w:tr>
      <w:tr w:rsidR="002557A5" w:rsidRPr="002557A5" w14:paraId="379A19D2" w14:textId="77777777" w:rsidTr="00CE7124">
        <w:tc>
          <w:tcPr>
            <w:tcW w:w="1668" w:type="dxa"/>
          </w:tcPr>
          <w:p w14:paraId="7F9CF04D" w14:textId="77777777" w:rsidR="002557A5" w:rsidRPr="002557A5" w:rsidRDefault="002557A5" w:rsidP="002557A5">
            <w:pPr>
              <w:rPr>
                <w:rFonts w:ascii="Calibri" w:hAnsi="Calibri" w:cs="Calibri"/>
                <w:b/>
              </w:rPr>
            </w:pPr>
            <w:r w:rsidRPr="002557A5">
              <w:rPr>
                <w:rFonts w:ascii="Calibri" w:hAnsi="Calibri" w:cs="Calibri"/>
                <w:b/>
              </w:rPr>
              <w:t>Docente</w:t>
            </w:r>
          </w:p>
        </w:tc>
        <w:tc>
          <w:tcPr>
            <w:tcW w:w="7386" w:type="dxa"/>
          </w:tcPr>
          <w:p w14:paraId="42BBBEF8" w14:textId="77777777" w:rsidR="002557A5" w:rsidRPr="002557A5" w:rsidRDefault="002557A5" w:rsidP="002557A5">
            <w:pPr>
              <w:rPr>
                <w:rFonts w:ascii="Calibri" w:hAnsi="Calibri" w:cs="Calibri"/>
              </w:rPr>
            </w:pPr>
          </w:p>
        </w:tc>
      </w:tr>
      <w:tr w:rsidR="002557A5" w:rsidRPr="002557A5" w14:paraId="19A7EE0C" w14:textId="77777777" w:rsidTr="00CE7124">
        <w:tc>
          <w:tcPr>
            <w:tcW w:w="1668" w:type="dxa"/>
            <w:vAlign w:val="center"/>
          </w:tcPr>
          <w:p w14:paraId="2DDD4C15" w14:textId="77777777" w:rsidR="002557A5" w:rsidRPr="002557A5" w:rsidRDefault="002557A5" w:rsidP="002557A5">
            <w:pPr>
              <w:rPr>
                <w:rFonts w:ascii="Calibri" w:hAnsi="Calibri" w:cs="Calibri"/>
              </w:rPr>
            </w:pPr>
            <w:r w:rsidRPr="002557A5">
              <w:rPr>
                <w:rFonts w:ascii="Calibri" w:hAnsi="Calibri" w:cs="Calibri"/>
                <w:b/>
              </w:rPr>
              <w:t>Instrucciones administrativas</w:t>
            </w:r>
          </w:p>
        </w:tc>
        <w:tc>
          <w:tcPr>
            <w:tcW w:w="7386" w:type="dxa"/>
          </w:tcPr>
          <w:p w14:paraId="1DBC7D59" w14:textId="77777777" w:rsidR="002557A5" w:rsidRPr="002557A5" w:rsidRDefault="002557A5" w:rsidP="002557A5">
            <w:pPr>
              <w:jc w:val="both"/>
              <w:rPr>
                <w:rFonts w:ascii="Calibri" w:hAnsi="Calibri" w:cs="Calibri"/>
              </w:rPr>
            </w:pPr>
            <w:r w:rsidRPr="002557A5">
              <w:rPr>
                <w:rFonts w:ascii="Calibri" w:hAnsi="Calibri" w:cs="Calibri"/>
              </w:rPr>
              <w:t>El curso es virtual, por lo que se requiere de acceso a una computadora con conexión a Internet, además de destrezas básicas para el manejo de correo electrónico y la plataforma Moodle desde el rol de estudiante. La dirección de acceso a la plataforma es la siguiente:</w:t>
            </w:r>
          </w:p>
          <w:p w14:paraId="63219041" w14:textId="77777777" w:rsidR="002557A5" w:rsidRPr="002557A5" w:rsidRDefault="00DD16F2" w:rsidP="002557A5">
            <w:pPr>
              <w:jc w:val="both"/>
              <w:rPr>
                <w:rFonts w:ascii="Calibri" w:hAnsi="Calibri" w:cs="Calibri"/>
              </w:rPr>
            </w:pPr>
            <w:hyperlink r:id="rId159" w:history="1">
              <w:r w:rsidR="002557A5" w:rsidRPr="002557A5">
                <w:rPr>
                  <w:rFonts w:ascii="Calibri" w:hAnsi="Calibri" w:cs="Calibri"/>
                  <w:color w:val="0563C1"/>
                  <w:u w:val="single"/>
                </w:rPr>
                <w:t>https://campus.ubl.ac.cr/login/index.php</w:t>
              </w:r>
            </w:hyperlink>
          </w:p>
        </w:tc>
      </w:tr>
    </w:tbl>
    <w:p w14:paraId="5A64136E" w14:textId="77777777" w:rsidR="002557A5" w:rsidRPr="002557A5" w:rsidRDefault="002557A5" w:rsidP="002557A5">
      <w:pPr>
        <w:widowControl w:val="0"/>
        <w:overflowPunct w:val="0"/>
        <w:autoSpaceDE w:val="0"/>
        <w:autoSpaceDN w:val="0"/>
        <w:adjustRightInd w:val="0"/>
        <w:spacing w:after="0" w:line="240" w:lineRule="auto"/>
        <w:jc w:val="both"/>
        <w:rPr>
          <w:rFonts w:ascii="Arial" w:eastAsia="Times New Roman" w:hAnsi="Arial" w:cs="Arial"/>
          <w:b/>
          <w:bCs/>
          <w:color w:val="231F20"/>
          <w:kern w:val="0"/>
          <w:sz w:val="24"/>
          <w:szCs w:val="24"/>
          <w:lang w:val="es-ES_tradnl" w:eastAsia="es-CR"/>
          <w14:ligatures w14:val="none"/>
        </w:rPr>
      </w:pPr>
    </w:p>
    <w:p w14:paraId="4C4A5154" w14:textId="77777777" w:rsidR="002557A5" w:rsidRPr="002557A5" w:rsidRDefault="002557A5" w:rsidP="002557A5">
      <w:pPr>
        <w:widowControl w:val="0"/>
        <w:overflowPunct w:val="0"/>
        <w:autoSpaceDE w:val="0"/>
        <w:autoSpaceDN w:val="0"/>
        <w:adjustRightInd w:val="0"/>
        <w:spacing w:after="0" w:line="240" w:lineRule="auto"/>
        <w:jc w:val="both"/>
        <w:rPr>
          <w:rFonts w:ascii="Arial" w:eastAsia="Times New Roman" w:hAnsi="Arial" w:cs="Arial"/>
          <w:b/>
          <w:bCs/>
          <w:color w:val="231F20"/>
          <w:kern w:val="0"/>
          <w:sz w:val="24"/>
          <w:szCs w:val="24"/>
          <w:lang w:val="es-ES_tradnl" w:eastAsia="es-CR"/>
          <w14:ligatures w14:val="none"/>
        </w:rPr>
      </w:pPr>
    </w:p>
    <w:p w14:paraId="5A1EF2B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I. Descripción</w:t>
      </w:r>
    </w:p>
    <w:p w14:paraId="7051F8DF"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 xml:space="preserve">El curso consiste en un panorama histórico de las grandes corrientes de pensamiento que han agitado a la cultura occidental desde sus orígenes griegos. Se enfatizan aquellos conceptos de la humanidad que han tenido las más significativas corrientes de pensamiento en cada época. </w:t>
      </w:r>
    </w:p>
    <w:p w14:paraId="13C56B2A" w14:textId="77777777" w:rsidR="002557A5" w:rsidRPr="002557A5" w:rsidRDefault="002557A5" w:rsidP="002557A5">
      <w:pPr>
        <w:widowControl w:val="0"/>
        <w:overflowPunct w:val="0"/>
        <w:autoSpaceDE w:val="0"/>
        <w:autoSpaceDN w:val="0"/>
        <w:adjustRightInd w:val="0"/>
        <w:spacing w:before="120" w:after="0" w:line="240" w:lineRule="auto"/>
        <w:ind w:left="142"/>
        <w:jc w:val="both"/>
        <w:rPr>
          <w:rFonts w:ascii="Calibri" w:eastAsia="Times New Roman" w:hAnsi="Calibri" w:cs="Arial"/>
          <w:color w:val="000000"/>
          <w:kern w:val="0"/>
          <w:lang w:val="es-ES_tradnl" w:eastAsia="es-CR"/>
          <w14:ligatures w14:val="none"/>
        </w:rPr>
      </w:pPr>
    </w:p>
    <w:p w14:paraId="17ACF05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II. Objetivo general</w:t>
      </w:r>
    </w:p>
    <w:p w14:paraId="608C26E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 xml:space="preserve">Analizar los problemas más importantes de la filosofía histórica y actual y los pensadores principales de las diferentes corrientes de pensamiento filosófico. </w:t>
      </w:r>
    </w:p>
    <w:p w14:paraId="7BBD065D"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iCs/>
          <w:color w:val="000000"/>
          <w:kern w:val="0"/>
          <w:lang w:val="es-ES_tradnl" w:eastAsia="es-CR"/>
          <w14:ligatures w14:val="none"/>
        </w:rPr>
        <w:lastRenderedPageBreak/>
        <w:t>III. Objetivos específicos</w:t>
      </w:r>
    </w:p>
    <w:p w14:paraId="1DAA228F"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Cs/>
          <w:color w:val="000000"/>
          <w:kern w:val="0"/>
          <w:szCs w:val="18"/>
          <w:lang w:val="es-ES_tradnl" w:eastAsia="es-CR"/>
          <w14:ligatures w14:val="none"/>
        </w:rPr>
      </w:pPr>
    </w:p>
    <w:p w14:paraId="22FC9CB2"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Cs/>
          <w:color w:val="000000"/>
          <w:kern w:val="0"/>
          <w:szCs w:val="18"/>
          <w:lang w:val="es-ES_tradnl" w:eastAsia="es-CR"/>
          <w14:ligatures w14:val="none"/>
        </w:rPr>
        <w:t xml:space="preserve">1. Explicar cómo la filosofía actual se ha desarrollado a partir del proceso histórico. </w:t>
      </w:r>
    </w:p>
    <w:p w14:paraId="50141CD9" w14:textId="77777777" w:rsidR="002557A5" w:rsidRPr="002557A5" w:rsidRDefault="002557A5" w:rsidP="002557A5">
      <w:pPr>
        <w:autoSpaceDE w:val="0"/>
        <w:autoSpaceDN w:val="0"/>
        <w:adjustRightInd w:val="0"/>
        <w:spacing w:after="0" w:line="240" w:lineRule="auto"/>
        <w:ind w:left="862"/>
        <w:contextualSpacing/>
        <w:jc w:val="both"/>
        <w:rPr>
          <w:rFonts w:ascii="Calibri" w:eastAsia="Calibri" w:hAnsi="Calibri" w:cs="Arial"/>
          <w:bCs/>
          <w:color w:val="000000"/>
          <w:kern w:val="0"/>
          <w:sz w:val="20"/>
          <w:szCs w:val="20"/>
          <w14:ligatures w14:val="none"/>
        </w:rPr>
      </w:pPr>
    </w:p>
    <w:p w14:paraId="2EA395E9"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Cs/>
          <w:color w:val="000000"/>
          <w:kern w:val="0"/>
          <w:szCs w:val="18"/>
          <w:lang w:val="es-ES_tradnl" w:eastAsia="es-CR"/>
          <w14:ligatures w14:val="none"/>
        </w:rPr>
      </w:pPr>
      <w:r w:rsidRPr="002557A5">
        <w:rPr>
          <w:rFonts w:ascii="Calibri" w:eastAsia="Times New Roman" w:hAnsi="Calibri" w:cs="Arial"/>
          <w:bCs/>
          <w:color w:val="000000"/>
          <w:kern w:val="0"/>
          <w:szCs w:val="18"/>
          <w:lang w:eastAsia="es-CR"/>
          <w14:ligatures w14:val="none"/>
        </w:rPr>
        <w:t xml:space="preserve">2. </w:t>
      </w:r>
      <w:r w:rsidRPr="002557A5">
        <w:rPr>
          <w:rFonts w:ascii="Calibri" w:eastAsia="Times New Roman" w:hAnsi="Calibri" w:cs="Arial"/>
          <w:bCs/>
          <w:color w:val="000000"/>
          <w:kern w:val="0"/>
          <w:szCs w:val="18"/>
          <w:lang w:val="es-ES_tradnl" w:eastAsia="es-CR"/>
          <w14:ligatures w14:val="none"/>
        </w:rPr>
        <w:t>Identificar las diferentes corrientes del pensamiento filosófico y sus protagonistas.</w:t>
      </w:r>
    </w:p>
    <w:p w14:paraId="54BAE6C2"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Cs/>
          <w:color w:val="000000"/>
          <w:kern w:val="0"/>
          <w:szCs w:val="18"/>
          <w:lang w:val="es-ES_tradnl" w:eastAsia="es-CR"/>
          <w14:ligatures w14:val="none"/>
        </w:rPr>
      </w:pPr>
    </w:p>
    <w:p w14:paraId="21337586"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Cs/>
          <w:color w:val="000000"/>
          <w:kern w:val="0"/>
          <w:szCs w:val="18"/>
          <w:lang w:val="es-ES_tradnl" w:eastAsia="es-CR"/>
          <w14:ligatures w14:val="none"/>
        </w:rPr>
      </w:pPr>
      <w:r w:rsidRPr="002557A5">
        <w:rPr>
          <w:rFonts w:ascii="Calibri" w:eastAsia="Times New Roman" w:hAnsi="Calibri" w:cs="Arial"/>
          <w:bCs/>
          <w:color w:val="000000"/>
          <w:kern w:val="0"/>
          <w:szCs w:val="18"/>
          <w:lang w:val="es-ES_tradnl" w:eastAsia="es-CR"/>
          <w14:ligatures w14:val="none"/>
        </w:rPr>
        <w:t>3. Identificar los problemas más importantes de la filosofía histórica.</w:t>
      </w:r>
    </w:p>
    <w:p w14:paraId="4E304F60" w14:textId="77777777" w:rsidR="002557A5" w:rsidRPr="002557A5" w:rsidRDefault="002557A5" w:rsidP="002557A5">
      <w:pPr>
        <w:autoSpaceDE w:val="0"/>
        <w:autoSpaceDN w:val="0"/>
        <w:adjustRightInd w:val="0"/>
        <w:spacing w:after="0" w:line="240" w:lineRule="auto"/>
        <w:ind w:left="862"/>
        <w:contextualSpacing/>
        <w:jc w:val="both"/>
        <w:rPr>
          <w:rFonts w:ascii="Calibri" w:eastAsia="Calibri" w:hAnsi="Calibri" w:cs="Arial"/>
          <w:bCs/>
          <w:color w:val="000000"/>
          <w:kern w:val="0"/>
          <w:sz w:val="20"/>
          <w:szCs w:val="20"/>
          <w:lang w:val="es-ES_tradnl"/>
          <w14:ligatures w14:val="none"/>
        </w:rPr>
      </w:pPr>
    </w:p>
    <w:p w14:paraId="2E61EA78"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Cs/>
          <w:color w:val="000000"/>
          <w:kern w:val="0"/>
          <w:szCs w:val="18"/>
          <w:lang w:val="es-ES_tradnl" w:eastAsia="es-CR"/>
          <w14:ligatures w14:val="none"/>
        </w:rPr>
      </w:pPr>
      <w:r w:rsidRPr="002557A5">
        <w:rPr>
          <w:rFonts w:ascii="Calibri" w:eastAsia="Times New Roman" w:hAnsi="Calibri" w:cs="Arial"/>
          <w:bCs/>
          <w:color w:val="000000"/>
          <w:kern w:val="0"/>
          <w:szCs w:val="18"/>
          <w:lang w:val="es-ES_tradnl" w:eastAsia="es-CR"/>
          <w14:ligatures w14:val="none"/>
        </w:rPr>
        <w:t xml:space="preserve">4. Comparar y evaluar las corrientes actuales de la filosofía y sus implicaciones para la teología, la práctica pastoral y la vida diaria. </w:t>
      </w:r>
    </w:p>
    <w:p w14:paraId="7D6CDA34"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Cs/>
          <w:color w:val="000000"/>
          <w:kern w:val="0"/>
          <w:lang w:val="es-ES_tradnl" w:eastAsia="es-CR"/>
          <w14:ligatures w14:val="none"/>
        </w:rPr>
      </w:pPr>
    </w:p>
    <w:p w14:paraId="53FBEA36"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IV. Contenidos temáticos</w:t>
      </w:r>
    </w:p>
    <w:p w14:paraId="0254F40F" w14:textId="77777777" w:rsidR="002557A5" w:rsidRPr="002557A5" w:rsidRDefault="002557A5" w:rsidP="002557A5">
      <w:pPr>
        <w:autoSpaceDE w:val="0"/>
        <w:autoSpaceDN w:val="0"/>
        <w:adjustRightInd w:val="0"/>
        <w:spacing w:after="0" w:line="240" w:lineRule="auto"/>
        <w:ind w:left="502"/>
        <w:contextualSpacing/>
        <w:jc w:val="both"/>
        <w:rPr>
          <w:rFonts w:ascii="Calibri" w:eastAsia="Calibri" w:hAnsi="Calibri" w:cs="Arial"/>
          <w:bCs/>
          <w:color w:val="000000"/>
          <w:kern w:val="0"/>
          <w14:ligatures w14:val="none"/>
        </w:rPr>
      </w:pPr>
    </w:p>
    <w:p w14:paraId="1023A02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2557A5">
        <w:rPr>
          <w:rFonts w:ascii="Calibri" w:eastAsia="Times New Roman" w:hAnsi="Calibri" w:cs="Arial"/>
          <w:b/>
          <w:color w:val="000000"/>
          <w:kern w:val="0"/>
          <w:lang w:val="es-ES_tradnl" w:eastAsia="es-CR"/>
          <w14:ligatures w14:val="none"/>
        </w:rPr>
        <w:t>Unidad 1: Aspectos introductorios</w:t>
      </w:r>
    </w:p>
    <w:p w14:paraId="41C363DD"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1.1 Presentación del curso, metodología y sílabo</w:t>
      </w:r>
    </w:p>
    <w:p w14:paraId="7FDAFD8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1.2 Conceptos básicos del curso</w:t>
      </w:r>
    </w:p>
    <w:p w14:paraId="0F3C577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1.3 La función de la filosofía en los estudios teológicos</w:t>
      </w:r>
    </w:p>
    <w:p w14:paraId="18F45829"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p w14:paraId="70E6CDE5"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Cs/>
          <w:color w:val="000000"/>
          <w:kern w:val="0"/>
          <w:lang w:val="es-ES_tradnl" w:eastAsia="es-CR"/>
          <w14:ligatures w14:val="none"/>
        </w:rPr>
      </w:pPr>
      <w:r w:rsidRPr="002557A5">
        <w:rPr>
          <w:rFonts w:ascii="Calibri" w:eastAsia="Times New Roman" w:hAnsi="Calibri" w:cs="Arial"/>
          <w:b/>
          <w:color w:val="000000"/>
          <w:kern w:val="0"/>
          <w:lang w:val="es-ES_tradnl" w:eastAsia="es-CR"/>
          <w14:ligatures w14:val="none"/>
        </w:rPr>
        <w:t>Unidad 2: El proceso histórico de la filosofía y sus protagonistas: desde la Antigüedad hasta nuestros días</w:t>
      </w:r>
    </w:p>
    <w:p w14:paraId="6175C273"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Cs/>
          <w:color w:val="000000"/>
          <w:kern w:val="0"/>
          <w:lang w:val="es-ES_tradnl" w:eastAsia="es-CR"/>
          <w14:ligatures w14:val="none"/>
        </w:rPr>
      </w:pPr>
      <w:r w:rsidRPr="002557A5">
        <w:rPr>
          <w:rFonts w:ascii="Calibri" w:eastAsia="Times New Roman" w:hAnsi="Calibri" w:cs="Arial"/>
          <w:color w:val="000000"/>
          <w:kern w:val="0"/>
          <w:szCs w:val="18"/>
          <w:lang w:val="es-ES_tradnl" w:eastAsia="es-CR"/>
          <w14:ligatures w14:val="none"/>
        </w:rPr>
        <w:t>2.1 Filosofía Antigua</w:t>
      </w:r>
    </w:p>
    <w:p w14:paraId="7DB1A42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2.2 Filosofía Medieval</w:t>
      </w:r>
    </w:p>
    <w:p w14:paraId="22F30EA3"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2.3 Filosofía en la Modernidad</w:t>
      </w:r>
    </w:p>
    <w:p w14:paraId="61854BF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2.4 Filosofía Contemporánea</w:t>
      </w:r>
    </w:p>
    <w:p w14:paraId="51C0513E"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iCs/>
          <w:color w:val="000000"/>
          <w:kern w:val="0"/>
          <w:sz w:val="24"/>
          <w:szCs w:val="20"/>
          <w:lang w:val="es-ES_tradnl" w:eastAsia="es-CR"/>
          <w14:ligatures w14:val="none"/>
        </w:rPr>
      </w:pPr>
    </w:p>
    <w:p w14:paraId="59F9A3CB"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CR"/>
          <w14:ligatures w14:val="none"/>
        </w:rPr>
      </w:pPr>
      <w:r w:rsidRPr="002557A5">
        <w:rPr>
          <w:rFonts w:ascii="Calibri" w:eastAsia="Times New Roman" w:hAnsi="Calibri" w:cs="Arial"/>
          <w:b/>
          <w:color w:val="000000"/>
          <w:kern w:val="0"/>
          <w:lang w:val="es-ES_tradnl" w:eastAsia="es-CR"/>
          <w14:ligatures w14:val="none"/>
        </w:rPr>
        <w:t>Unidad 3: Problemas principales de la filosofía a lo largo de la historia</w:t>
      </w:r>
    </w:p>
    <w:p w14:paraId="590D8EA4"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CR"/>
          <w14:ligatures w14:val="none"/>
        </w:rPr>
      </w:pPr>
      <w:r w:rsidRPr="002557A5">
        <w:rPr>
          <w:rFonts w:ascii="Calibri" w:eastAsia="Times New Roman" w:hAnsi="Calibri" w:cs="Arial"/>
          <w:color w:val="000000"/>
          <w:kern w:val="0"/>
          <w:szCs w:val="18"/>
          <w:lang w:val="es-ES_tradnl" w:eastAsia="es-CR"/>
          <w14:ligatures w14:val="none"/>
        </w:rPr>
        <w:t>3.1 Los problemas de la metafísica</w:t>
      </w:r>
    </w:p>
    <w:p w14:paraId="782618FE"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3.2 Los problemas del conocimiento</w:t>
      </w:r>
    </w:p>
    <w:p w14:paraId="6899CC4C"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3.3 Los problemas de la ética</w:t>
      </w:r>
    </w:p>
    <w:p w14:paraId="6F3F5B8B" w14:textId="77777777" w:rsidR="002557A5" w:rsidRPr="002557A5" w:rsidRDefault="002557A5" w:rsidP="002557A5">
      <w:pPr>
        <w:widowControl w:val="0"/>
        <w:tabs>
          <w:tab w:val="left" w:pos="142"/>
        </w:tabs>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 xml:space="preserve">3.4 Los problemas de la estética </w:t>
      </w:r>
    </w:p>
    <w:p w14:paraId="6CA7DED3" w14:textId="77777777" w:rsidR="002557A5" w:rsidRPr="002557A5" w:rsidRDefault="002557A5" w:rsidP="002557A5">
      <w:pPr>
        <w:widowControl w:val="0"/>
        <w:tabs>
          <w:tab w:val="left" w:pos="142"/>
        </w:tabs>
        <w:overflowPunct w:val="0"/>
        <w:autoSpaceDE w:val="0"/>
        <w:autoSpaceDN w:val="0"/>
        <w:adjustRightInd w:val="0"/>
        <w:spacing w:before="120" w:after="0" w:line="240" w:lineRule="auto"/>
        <w:jc w:val="both"/>
        <w:rPr>
          <w:rFonts w:ascii="Calibri" w:eastAsia="Times New Roman" w:hAnsi="Calibri" w:cs="Arial"/>
          <w:iCs/>
          <w:color w:val="000000"/>
          <w:kern w:val="0"/>
          <w:lang w:val="es-ES_tradnl" w:eastAsia="es-CR"/>
          <w14:ligatures w14:val="none"/>
        </w:rPr>
      </w:pPr>
    </w:p>
    <w:p w14:paraId="7F1C4440"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CR"/>
          <w14:ligatures w14:val="none"/>
        </w:rPr>
      </w:pPr>
      <w:r w:rsidRPr="002557A5">
        <w:rPr>
          <w:rFonts w:ascii="Calibri" w:eastAsia="Times New Roman" w:hAnsi="Calibri" w:cs="Arial"/>
          <w:b/>
          <w:color w:val="000000"/>
          <w:kern w:val="0"/>
          <w:lang w:val="es-ES_tradnl" w:eastAsia="es-CR"/>
          <w14:ligatures w14:val="none"/>
        </w:rPr>
        <w:t>Unidad 4: Corrientes actuales de la filosofía: implicaciones para la teología, la práctica pastoral y la vida</w:t>
      </w:r>
    </w:p>
    <w:p w14:paraId="7A735856"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CR"/>
          <w14:ligatures w14:val="none"/>
        </w:rPr>
      </w:pPr>
      <w:r w:rsidRPr="002557A5">
        <w:rPr>
          <w:rFonts w:ascii="Calibri" w:eastAsia="Times New Roman" w:hAnsi="Calibri" w:cs="Arial"/>
          <w:color w:val="000000"/>
          <w:kern w:val="0"/>
          <w:szCs w:val="18"/>
          <w:lang w:val="es-ES_tradnl" w:eastAsia="es-CR"/>
          <w14:ligatures w14:val="none"/>
        </w:rPr>
        <w:t>4.1 Hermenéutica filosófica y filosofía intercultural</w:t>
      </w:r>
    </w:p>
    <w:p w14:paraId="3610DCA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4.2 Filosofía y feminismo</w:t>
      </w:r>
    </w:p>
    <w:p w14:paraId="3FED741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4.3 Filosofía desde Latinoamérica y el Caribe</w:t>
      </w:r>
    </w:p>
    <w:p w14:paraId="138B818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Cs w:val="18"/>
          <w:lang w:val="es-ES_tradnl" w:eastAsia="es-CR"/>
          <w14:ligatures w14:val="none"/>
        </w:rPr>
      </w:pPr>
      <w:r w:rsidRPr="002557A5">
        <w:rPr>
          <w:rFonts w:ascii="Calibri" w:eastAsia="Times New Roman" w:hAnsi="Calibri" w:cs="Arial"/>
          <w:color w:val="000000"/>
          <w:kern w:val="0"/>
          <w:szCs w:val="18"/>
          <w:lang w:val="es-ES_tradnl" w:eastAsia="es-CR"/>
          <w14:ligatures w14:val="none"/>
        </w:rPr>
        <w:t>4.4 Presentación de trabajos finales</w:t>
      </w:r>
    </w:p>
    <w:p w14:paraId="69F401F6"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FF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lastRenderedPageBreak/>
        <w:t xml:space="preserve">V. Metodología </w:t>
      </w:r>
    </w:p>
    <w:p w14:paraId="4ED10F14" w14:textId="77777777" w:rsidR="00A1248E" w:rsidRDefault="00A1248E"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p>
    <w:p w14:paraId="50FC1AE0" w14:textId="56D89B77" w:rsidR="002557A5" w:rsidRPr="002557A5" w:rsidRDefault="002557A5"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729FDB6A" w14:textId="77777777" w:rsidR="002557A5" w:rsidRPr="002557A5" w:rsidRDefault="002557A5"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El curso es de carácter teórico y combina las exposiciones de la persona docente a través de encuentros sincrónicos virtuales, con los comentarios, las preguntas y las críticas realizadas por los y las estudiantes a través de los foros temáticos, los glosarios y el wiki en la plataforma virtual.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79B15BC1"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Se realizarán lecturas en formato digital y se participará en la plataforma virtual a partir de dichos insumos, con el propósito de desarrollar capacidades críticas y analíticas frente a los contenidos del curso y propiciar la participación grupal y la construcción colectiva del conocimiento. Además, los y las estudiantes elaborarán tres ensayos enfocados desde temáticas específicas y trabajarán en la elaboración de una monografía final sobre alguna temática filosófica tratada en el curso, misma cuyas ideas centrales expondrán a través de un encuentro sincrónico virtual en la última sesión. </w:t>
      </w:r>
      <w:r w:rsidRPr="002557A5">
        <w:rPr>
          <w:rFonts w:ascii="Calibri" w:eastAsia="Times New Roman" w:hAnsi="Calibri" w:cs="Arial"/>
          <w:color w:val="000000"/>
          <w:kern w:val="0"/>
          <w:lang w:val="es-ES" w:eastAsia="es-CR"/>
          <w14:ligatures w14:val="none"/>
        </w:rPr>
        <w:t xml:space="preserve">El rol de la persona estudiante será el de apropiarse de su propio proceso de aprendizaje y construir nuevos conocimientos mediante la revisión, el análisis y la reflexión crítica como estrategias metodológicas del curso. </w:t>
      </w:r>
    </w:p>
    <w:p w14:paraId="2419EAD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1152C0A1"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 xml:space="preserve">VI. Estrategias de aprendizaje </w:t>
      </w:r>
    </w:p>
    <w:p w14:paraId="2EB48C66"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5F7AE976" w14:textId="77777777" w:rsidR="002557A5" w:rsidRPr="002557A5" w:rsidRDefault="002557A5"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El aprendizaje en este curso consiste en lograr un panorama histórico de las grandes corrientes de pensamiento que han agitado a la cultura occidental desde sus orígenes griegos. Se enfatizan aquellos conceptos de la humanidad que han tenido las más significativas corrientes de pensamiento en cada época con el fin de que se correlacionen con la reflexión teológica.</w:t>
      </w:r>
    </w:p>
    <w:p w14:paraId="095B4DD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Se utilizan las siguientes estrategias de aprendizaje:</w:t>
      </w:r>
    </w:p>
    <w:p w14:paraId="0EC672F3" w14:textId="77777777" w:rsidR="002557A5" w:rsidRPr="002557A5" w:rsidRDefault="002557A5"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b/>
          <w:bCs/>
          <w:color w:val="000000"/>
          <w:kern w:val="0"/>
          <w:lang w:val="es-ES" w:eastAsia="es-CR"/>
          <w14:ligatures w14:val="none"/>
        </w:rPr>
        <w:t>a) Foro:</w:t>
      </w:r>
      <w:r w:rsidRPr="4C9C2619">
        <w:rPr>
          <w:rFonts w:ascii="Calibri" w:eastAsia="Times New Roman" w:hAnsi="Calibri" w:cs="Arial"/>
          <w:color w:val="000000"/>
          <w:kern w:val="0"/>
          <w:lang w:val="es-ES" w:eastAsia="es-CR"/>
          <w14:ligatures w14:val="none"/>
        </w:rPr>
        <w:t xml:space="preserve"> Es una actividad de discusión académica asincrónica, ya que los y las participantes no tienen que acceder a la herramienta al mismo tiempo, constituyéndose en un escenario virtual para la exposición de ideas y debate. En este curso se participará en los foros debatiendo temas claves del curso tales como: los desafíos del curso, interacción entre la filosofía y la teología, ¿el cristianismo es platonismo para el pueblo?, ¿cómo pueden dialogar la fe y la razón?, el descubrimiento de América y de la subjetividad, los problemas de la ética y finalmente, hermenéutica y obras de arte.</w:t>
      </w:r>
    </w:p>
    <w:p w14:paraId="6E348414"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 xml:space="preserve">b) Wiki: </w:t>
      </w:r>
      <w:r w:rsidRPr="002557A5">
        <w:rPr>
          <w:rFonts w:ascii="Calibri" w:eastAsia="Calibri" w:hAnsi="Calibri" w:cs="Calibri"/>
          <w:bCs/>
          <w:kern w:val="0"/>
          <w14:ligatures w14:val="none"/>
        </w:rPr>
        <w:t xml:space="preserve">La herramienta denominada wiki permite el desarrollo conjunto de una síntesis sobre un </w:t>
      </w:r>
      <w:r w:rsidRPr="002557A5">
        <w:rPr>
          <w:rFonts w:ascii="Calibri" w:eastAsia="Calibri" w:hAnsi="Calibri" w:cs="Calibri"/>
          <w:bCs/>
          <w:kern w:val="0"/>
          <w14:ligatures w14:val="none"/>
        </w:rPr>
        <w:lastRenderedPageBreak/>
        <w:t xml:space="preserve">tema o temas. Se trata de una colección de documentos escritos en forma colaborativa. Una página de un wiki es similar a una página web que todas las personas del curso pueden crear juntas directamente desde la plataforma virtual. En este curso se creará </w:t>
      </w:r>
      <w:r w:rsidRPr="002557A5">
        <w:rPr>
          <w:rFonts w:ascii="Calibri" w:eastAsia="Calibri" w:hAnsi="Calibri" w:cs="Calibri"/>
          <w:bCs/>
          <w:kern w:val="0"/>
          <w:lang w:val="es-ES_tradnl"/>
          <w14:ligatures w14:val="none"/>
        </w:rPr>
        <w:t>un wiki, entre todos y todas, sobre la dimensión emocional en el conocimiento filosófico.</w:t>
      </w:r>
    </w:p>
    <w:p w14:paraId="6FBBEF1F"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c) Glosario:</w:t>
      </w:r>
      <w:r w:rsidRPr="002557A5">
        <w:rPr>
          <w:rFonts w:ascii="Calibri" w:eastAsia="Times New Roman" w:hAnsi="Calibri" w:cs="Arial"/>
          <w:color w:val="000000"/>
          <w:kern w:val="0"/>
          <w:lang w:val="es-ES_tradnl" w:eastAsia="es-CR"/>
          <w14:ligatures w14:val="none"/>
        </w:rPr>
        <w:t xml:space="preserve"> </w:t>
      </w:r>
      <w:bookmarkStart w:id="25" w:name="_Hlk118962822"/>
      <w:r w:rsidRPr="002557A5">
        <w:rPr>
          <w:rFonts w:ascii="Calibri" w:eastAsia="Calibri" w:hAnsi="Calibri" w:cs="Calibri"/>
          <w:kern w:val="0"/>
          <w14:ligatures w14:val="none"/>
        </w:rPr>
        <w:t>Conocer los conceptos fundamentales de una disciplina o de un tópico de estudio es una competencia sustancial en el abordaje de esta.  En este c</w:t>
      </w:r>
      <w:bookmarkEnd w:id="25"/>
      <w:r w:rsidRPr="002557A5">
        <w:rPr>
          <w:rFonts w:ascii="Calibri" w:eastAsia="Calibri" w:hAnsi="Calibri" w:cs="Calibri"/>
          <w:kern w:val="0"/>
          <w14:ligatures w14:val="none"/>
        </w:rPr>
        <w:t>urso elaboraremos dos glosarios. El primero de ellos sobre la filosofía en la Modernidad y el segundo sobre la filosofía desde Latinoamérica. En ellos no solamente se colocarán y explicarán conceptos de las lecturas asignadas, sino que también se comentarán entre todos y todas.</w:t>
      </w:r>
    </w:p>
    <w:p w14:paraId="17D15BD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d) Encuentro sincrónico virtual:</w:t>
      </w:r>
      <w:r w:rsidRPr="002557A5">
        <w:rPr>
          <w:rFonts w:ascii="Calibri" w:eastAsia="Times New Roman" w:hAnsi="Calibri" w:cs="Arial"/>
          <w:color w:val="000000"/>
          <w:kern w:val="0"/>
          <w:lang w:val="es-ES_tradnl" w:eastAsia="es-CR"/>
          <w14:ligatures w14:val="none"/>
        </w:rPr>
        <w:t xml:space="preserve"> </w:t>
      </w:r>
      <w:bookmarkStart w:id="26" w:name="_Hlk118962775"/>
      <w:r w:rsidRPr="002557A5">
        <w:rPr>
          <w:rFonts w:ascii="Calibri" w:eastAsia="Calibri" w:hAnsi="Calibri" w:cs="Calibri"/>
          <w:bCs/>
          <w:kern w:val="0"/>
          <w14:ligatures w14:val="none"/>
        </w:rPr>
        <w:t>Los encuentros sincrónicos virtuales son espacios de encuentro entre estudiantes y con la persona docente que se realizan mediante una plataforma virtual que permite videoconferencias. La persona docente profundizará en temáticas del curso y se realizarán actividades de discusión e intercambio entre estudiantes. En este curso l</w:t>
      </w:r>
      <w:r w:rsidRPr="002557A5">
        <w:rPr>
          <w:rFonts w:ascii="Calibri" w:eastAsia="Times New Roman" w:hAnsi="Calibri" w:cs="Arial"/>
          <w:kern w:val="0"/>
          <w:lang w:val="es-ES_tradnl" w:eastAsia="es-CR"/>
          <w14:ligatures w14:val="none"/>
        </w:rPr>
        <w:t xml:space="preserve">os encuentros sincrónicos son formativos, no sumativos y se grabarán para aquellas personas que lo soliciten. En ellos la persona docente desarrollará temas tales como: aspectos introductorios del curso, el proceso histórico de la filosofía y sus protagonistas, </w:t>
      </w:r>
      <w:r w:rsidRPr="002557A5">
        <w:rPr>
          <w:rFonts w:ascii="Calibri" w:eastAsia="Times New Roman" w:hAnsi="Calibri" w:cs="Arial"/>
          <w:kern w:val="0"/>
          <w:lang w:eastAsia="es-CR"/>
          <w14:ligatures w14:val="none"/>
        </w:rPr>
        <w:t>la filosofía en la Modernidad</w:t>
      </w:r>
      <w:r w:rsidRPr="002557A5">
        <w:rPr>
          <w:rFonts w:ascii="Calibri" w:eastAsia="Times New Roman" w:hAnsi="Calibri" w:cs="Arial"/>
          <w:kern w:val="0"/>
          <w:lang w:val="es-ES_tradnl" w:eastAsia="es-CR"/>
          <w14:ligatures w14:val="none"/>
        </w:rPr>
        <w:t>, problemas principales de la filosofía a lo largo de la historia, los problemas de la ética, corrientes actuales de la filosofía, la práctica pastoral y la vida y, por último, filosofías desde Latinoamérica y el Caribe.</w:t>
      </w:r>
      <w:bookmarkEnd w:id="26"/>
    </w:p>
    <w:p w14:paraId="55BD3061"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 xml:space="preserve">e) Ensayo: </w:t>
      </w:r>
      <w:bookmarkStart w:id="27" w:name="_Hlk118962292"/>
      <w:r w:rsidRPr="002557A5">
        <w:rPr>
          <w:rFonts w:ascii="Calibri" w:eastAsia="Calibri" w:hAnsi="Calibri" w:cs="Times New Roman"/>
          <w:kern w:val="0"/>
          <w:lang w:val="es-MX"/>
          <w14:ligatures w14:val="none"/>
        </w:rPr>
        <w:t xml:space="preserve">El ensayo es un ejercicio académico, argumentativo y fundamentado que se realiza para el tratamiento de un tema o tópico. Contiene introducción, desarrollo y conclusión, así como las respectivas referencias bibliográficas bajo el sistema Chicago-Deusto que usa la UBL. </w:t>
      </w:r>
      <w:bookmarkEnd w:id="27"/>
      <w:r w:rsidRPr="002557A5">
        <w:rPr>
          <w:rFonts w:ascii="Calibri" w:eastAsia="Calibri" w:hAnsi="Calibri" w:cs="Times New Roman"/>
          <w:kern w:val="0"/>
          <w:lang w:val="es-MX"/>
          <w14:ligatures w14:val="none"/>
        </w:rPr>
        <w:t xml:space="preserve">Durante el curso se elaborarán tres ensayos sobre las siguientes temáticas: la alteridad, la hermenéutica filosófica y la teología latinoamericana y el feminismo y la teología latinoamericana. </w:t>
      </w:r>
    </w:p>
    <w:p w14:paraId="55F5DAF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 xml:space="preserve">f) Monografía: </w:t>
      </w:r>
      <w:r w:rsidRPr="002557A5">
        <w:rPr>
          <w:rFonts w:ascii="Calibri" w:eastAsia="Calibri" w:hAnsi="Calibri" w:cs="Times New Roman"/>
          <w:kern w:val="0"/>
          <w:lang w:val="es-MX"/>
          <w14:ligatures w14:val="none"/>
        </w:rPr>
        <w:t xml:space="preserve">Se define esta estrategia de aprendizaje como un trabajo académico escrito producto de la investigación documental o bibliográfica, en el que se busca analizar mediante sus temas y subtemas un tópico claramente delimitado, estructurado en forma lógica y sistemática con el objetivo de compartir conocimiento sobre este. En este curso se realizará una monografía como trabajo final. Antes de entregar el trabajo escrito completo se presentan avances a la persona docente con el fin de recibir retroalimentación. </w:t>
      </w:r>
      <w:r w:rsidRPr="002557A5">
        <w:rPr>
          <w:rFonts w:ascii="Calibri" w:eastAsia="Times New Roman" w:hAnsi="Calibri" w:cs="Arial"/>
          <w:bCs/>
          <w:kern w:val="0"/>
          <w:lang w:val="es-ES_tradnl" w:eastAsia="es-CR"/>
          <w14:ligatures w14:val="none"/>
        </w:rPr>
        <w:t xml:space="preserve">Podrá escoger alguna temática filosófica abordada en el curso que desee profundizar con la orientación de la persona docente. </w:t>
      </w:r>
      <w:r w:rsidRPr="002557A5">
        <w:rPr>
          <w:rFonts w:ascii="Calibri" w:eastAsia="Times New Roman" w:hAnsi="Calibri" w:cs="Arial"/>
          <w:b/>
          <w:bCs/>
          <w:kern w:val="0"/>
          <w:lang w:val="es-ES_tradnl" w:eastAsia="es-CR"/>
          <w14:ligatures w14:val="none"/>
        </w:rPr>
        <w:t xml:space="preserve">  </w:t>
      </w:r>
    </w:p>
    <w:p w14:paraId="53DD4A5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 xml:space="preserve">g) Exposición de la monografía: </w:t>
      </w:r>
      <w:r w:rsidRPr="002557A5">
        <w:rPr>
          <w:rFonts w:ascii="Calibri" w:eastAsia="Times New Roman" w:hAnsi="Calibri" w:cs="Arial"/>
          <w:bCs/>
          <w:kern w:val="0"/>
          <w:lang w:val="es-ES_tradnl" w:eastAsia="es-CR"/>
          <w14:ligatures w14:val="none"/>
        </w:rPr>
        <w:t xml:space="preserve">Una exposición es la presentación ante una audiencia de un tema particular en forma estructura, ordenada, sistemática y clara, en la que se busca informar los resultados de la investigación de un tópico. Las ideas más importantes se deben presentar en forma organizada y es importante utilizar ayuda audiovisual para ello. En la última sesión cada persona estudiante expondrá los principales puntos de su monografía (en no más de 10 minutos) mediante un encuentro sincrónico virtual. </w:t>
      </w:r>
    </w:p>
    <w:p w14:paraId="6B7A7A1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54AAE048"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2"/>
          <w:szCs w:val="2"/>
          <w:lang w:val="es-ES_tradnl" w:eastAsia="es-CR"/>
          <w14:ligatures w14:val="none"/>
        </w:rPr>
      </w:pPr>
    </w:p>
    <w:p w14:paraId="3A6B03D9"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VII. Recursos didácticos</w:t>
      </w:r>
    </w:p>
    <w:p w14:paraId="367F5F91"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F821F4F"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4DF7E72D"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A6C7C25"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lastRenderedPageBreak/>
        <w:t xml:space="preserve">a) Lecturas semanales obligatorias que se asignan como insumo para las actividades individuales y colaborativas. Todos los materiales de lectura están disponibles en formato digital en la plataforma virtual.  </w:t>
      </w:r>
    </w:p>
    <w:p w14:paraId="6EE36643"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4D71BD7"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6B53D88D"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AA78413"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 xml:space="preserve">c) Material audiovisual en algunas de las sesiones que se asigna para su observación con el fin de ampliar las temáticas. Observar este material es opcional. </w:t>
      </w:r>
    </w:p>
    <w:p w14:paraId="57828147"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4A6595C"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 xml:space="preserve">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w:t>
      </w:r>
      <w:proofErr w:type="gramStart"/>
      <w:r w:rsidRPr="002557A5">
        <w:rPr>
          <w:rFonts w:ascii="Calibri" w:eastAsia="Times New Roman" w:hAnsi="Calibri" w:cs="Calibri"/>
          <w:color w:val="000000"/>
          <w:kern w:val="0"/>
          <w:lang w:val="es-ES" w:eastAsia="es-ES"/>
          <w14:ligatures w14:val="none"/>
        </w:rPr>
        <w:t>la misma</w:t>
      </w:r>
      <w:proofErr w:type="gramEnd"/>
      <w:r w:rsidRPr="002557A5">
        <w:rPr>
          <w:rFonts w:ascii="Calibri" w:eastAsia="Times New Roman" w:hAnsi="Calibri" w:cs="Calibri"/>
          <w:color w:val="000000"/>
          <w:kern w:val="0"/>
          <w:lang w:val="es-ES" w:eastAsia="es-ES"/>
          <w14:ligatures w14:val="none"/>
        </w:rPr>
        <w:t>.</w:t>
      </w:r>
    </w:p>
    <w:p w14:paraId="3CBEECB9"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38C47EF"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 xml:space="preserve">e) En la plataforma virtual también dispondrá de guías generales que se encuentran en el material complementario de la sesión correspondiente para la participación en un foro, un glosario, un wiki y mediante la herramienta Big Blue </w:t>
      </w:r>
      <w:proofErr w:type="spellStart"/>
      <w:r w:rsidRPr="002557A5">
        <w:rPr>
          <w:rFonts w:ascii="Calibri" w:eastAsia="Times New Roman" w:hAnsi="Calibri" w:cs="Calibri"/>
          <w:color w:val="000000"/>
          <w:kern w:val="0"/>
          <w:lang w:val="es-ES" w:eastAsia="es-ES"/>
          <w14:ligatures w14:val="none"/>
        </w:rPr>
        <w:t>Button</w:t>
      </w:r>
      <w:proofErr w:type="spellEnd"/>
      <w:r w:rsidRPr="002557A5">
        <w:rPr>
          <w:rFonts w:ascii="Calibri" w:eastAsia="Times New Roman" w:hAnsi="Calibri" w:cs="Calibri"/>
          <w:color w:val="000000"/>
          <w:kern w:val="0"/>
          <w:lang w:val="es-ES" w:eastAsia="es-ES"/>
          <w14:ligatures w14:val="none"/>
        </w:rPr>
        <w:t xml:space="preserve"> en la plataforma Moodle; así como de guías para los ensayos y la monografía final que se encuentran en la sección de actividades de la sesión correspondiente.</w:t>
      </w:r>
    </w:p>
    <w:p w14:paraId="37B03D51"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F2D2DAE"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 xml:space="preserve">f) También puede disponer de las bases de datos, revistas en línea, repositorios y buscadores especializados a los cuales puede acceder mediante la Biblioteca Enrique </w:t>
      </w:r>
      <w:proofErr w:type="spellStart"/>
      <w:r w:rsidRPr="002557A5">
        <w:rPr>
          <w:rFonts w:ascii="Calibri" w:eastAsia="Times New Roman" w:hAnsi="Calibri" w:cs="Calibri"/>
          <w:color w:val="000000"/>
          <w:kern w:val="0"/>
          <w:lang w:val="es-ES" w:eastAsia="es-ES"/>
          <w14:ligatures w14:val="none"/>
        </w:rPr>
        <w:t>Strachan</w:t>
      </w:r>
      <w:proofErr w:type="spellEnd"/>
      <w:r w:rsidRPr="002557A5">
        <w:rPr>
          <w:rFonts w:ascii="Calibri" w:eastAsia="Times New Roman" w:hAnsi="Calibri" w:cs="Calibri"/>
          <w:color w:val="000000"/>
          <w:kern w:val="0"/>
          <w:lang w:val="es-ES" w:eastAsia="es-ES"/>
          <w14:ligatures w14:val="none"/>
        </w:rPr>
        <w:t xml:space="preserve"> (</w:t>
      </w:r>
      <w:hyperlink r:id="rId160" w:history="1">
        <w:r w:rsidRPr="002557A5">
          <w:rPr>
            <w:rFonts w:ascii="Calibri" w:eastAsia="Times New Roman" w:hAnsi="Calibri" w:cs="Calibri"/>
            <w:color w:val="0563C1"/>
            <w:kern w:val="0"/>
            <w:u w:val="single"/>
            <w:lang w:val="es-ES" w:eastAsia="es-ES"/>
            <w14:ligatures w14:val="none"/>
          </w:rPr>
          <w:t>https://www.ubl.ac.cr/biblioteca</w:t>
        </w:r>
      </w:hyperlink>
      <w:r w:rsidRPr="002557A5">
        <w:rPr>
          <w:rFonts w:ascii="Calibri" w:eastAsia="Times New Roman" w:hAnsi="Calibri" w:cs="Calibri"/>
          <w:color w:val="000000"/>
          <w:kern w:val="0"/>
          <w:lang w:val="es-ES" w:eastAsia="es-ES"/>
          <w14:ligatures w14:val="none"/>
        </w:rPr>
        <w:t>), así como consultar el Portal de Revistas de la UBL (</w:t>
      </w:r>
      <w:hyperlink r:id="rId161" w:history="1">
        <w:r w:rsidRPr="002557A5">
          <w:rPr>
            <w:rFonts w:ascii="Calibri" w:eastAsia="Times New Roman" w:hAnsi="Calibri" w:cs="Calibri"/>
            <w:color w:val="0563C1"/>
            <w:kern w:val="0"/>
            <w:u w:val="single"/>
            <w:lang w:val="es-ES" w:eastAsia="es-ES"/>
            <w14:ligatures w14:val="none"/>
          </w:rPr>
          <w:t>http://revistas.ubl.ac.cr/</w:t>
        </w:r>
      </w:hyperlink>
      <w:r w:rsidRPr="002557A5">
        <w:rPr>
          <w:rFonts w:ascii="Calibri" w:eastAsia="Times New Roman" w:hAnsi="Calibri" w:cs="Calibri"/>
          <w:color w:val="000000"/>
          <w:kern w:val="0"/>
          <w:lang w:val="es-ES" w:eastAsia="es-ES"/>
          <w14:ligatures w14:val="none"/>
        </w:rPr>
        <w:t>). A través del correo de la biblioteca (</w:t>
      </w:r>
      <w:hyperlink r:id="rId162" w:history="1">
        <w:r w:rsidRPr="002557A5">
          <w:rPr>
            <w:rFonts w:ascii="Calibri" w:eastAsia="Times New Roman" w:hAnsi="Calibri" w:cs="Calibri"/>
            <w:color w:val="0563C1"/>
            <w:kern w:val="0"/>
            <w:u w:val="single"/>
            <w:lang w:val="es-ES" w:eastAsia="es-ES"/>
            <w14:ligatures w14:val="none"/>
          </w:rPr>
          <w:t>biblioteca@ubl.ac.cr</w:t>
        </w:r>
      </w:hyperlink>
      <w:r w:rsidRPr="002557A5">
        <w:rPr>
          <w:rFonts w:ascii="Calibri" w:eastAsia="Times New Roman" w:hAnsi="Calibri" w:cs="Calibri"/>
          <w:color w:val="000000"/>
          <w:kern w:val="0"/>
          <w:lang w:val="es-ES" w:eastAsia="es-ES"/>
          <w14:ligatures w14:val="none"/>
        </w:rPr>
        <w:t>) puede solicitar recursos que se encuentren en la colección física.</w:t>
      </w:r>
    </w:p>
    <w:p w14:paraId="033E6393"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B7EBF85" w14:textId="5989B21A"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2557A5">
        <w:rPr>
          <w:rFonts w:ascii="Calibri" w:eastAsia="Times New Roman" w:hAnsi="Calibri" w:cs="Calibri"/>
          <w:color w:val="000000"/>
          <w:kern w:val="0"/>
          <w:lang w:val="es-ES" w:eastAsia="es-ES"/>
          <w14:ligatures w14:val="none"/>
        </w:rPr>
        <w:t xml:space="preserve">g) </w:t>
      </w:r>
      <w:r w:rsidRPr="002557A5">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2557A5">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163" w:history="1">
        <w:r w:rsidRPr="002557A5">
          <w:rPr>
            <w:rFonts w:ascii="Calibri" w:eastAsia="Times New Roman" w:hAnsi="Calibri" w:cs="Calibri"/>
            <w:bCs/>
            <w:color w:val="0563C1"/>
            <w:kern w:val="0"/>
            <w:u w:val="single"/>
            <w:lang w:val="es-ES_tradnl" w:eastAsia="es-CR"/>
            <w14:ligatures w14:val="none"/>
          </w:rPr>
          <w:t>https://campus.ubl.ac.cr/course/index.php?categoryid=186</w:t>
        </w:r>
      </w:hyperlink>
    </w:p>
    <w:p w14:paraId="1885FEE1"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Calibri"/>
          <w:color w:val="000000"/>
          <w:kern w:val="0"/>
          <w:sz w:val="14"/>
          <w:szCs w:val="14"/>
          <w:lang w:val="es-ES" w:eastAsia="es-ES"/>
          <w14:ligatures w14:val="none"/>
        </w:rPr>
      </w:pPr>
    </w:p>
    <w:p w14:paraId="678FB2A0"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r w:rsidRPr="002557A5">
        <w:rPr>
          <w:rFonts w:ascii="Calibri" w:eastAsia="Times New Roman" w:hAnsi="Calibri" w:cs="Arial"/>
          <w:b/>
          <w:bCs/>
          <w:color w:val="000000"/>
          <w:kern w:val="0"/>
          <w:lang w:val="es-ES_tradnl" w:eastAsia="es-CR"/>
          <w14:ligatures w14:val="none"/>
        </w:rPr>
        <w:t xml:space="preserve"> </w:t>
      </w:r>
    </w:p>
    <w:p w14:paraId="0EC49E39"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27F6B6B1" w14:textId="77777777" w:rsidR="002557A5" w:rsidRPr="002557A5" w:rsidRDefault="002557A5" w:rsidP="002557A5">
      <w:pP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br w:type="page"/>
      </w:r>
    </w:p>
    <w:p w14:paraId="3ECB70CE"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color w:val="FF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lastRenderedPageBreak/>
        <w:t>VIII. Cronograma de trabajo</w:t>
      </w:r>
    </w:p>
    <w:p w14:paraId="1DB353C6"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tbl>
      <w:tblPr>
        <w:tblW w:w="9776" w:type="dxa"/>
        <w:jc w:val="center"/>
        <w:tblBorders>
          <w:top w:val="single" w:sz="4" w:space="0" w:color="000000"/>
          <w:left w:val="single" w:sz="4" w:space="0" w:color="000000"/>
          <w:bottom w:val="single" w:sz="6"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1271"/>
        <w:gridCol w:w="2552"/>
        <w:gridCol w:w="2835"/>
        <w:gridCol w:w="3118"/>
      </w:tblGrid>
      <w:tr w:rsidR="002557A5" w:rsidRPr="002557A5" w14:paraId="4875FE45" w14:textId="77777777" w:rsidTr="4C9C2619">
        <w:trPr>
          <w:trHeight w:val="499"/>
          <w:jc w:val="center"/>
        </w:trPr>
        <w:tc>
          <w:tcPr>
            <w:tcW w:w="1271" w:type="dxa"/>
            <w:vMerge w:val="restart"/>
            <w:vAlign w:val="center"/>
          </w:tcPr>
          <w:p w14:paraId="03A18A9B"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sz w:val="24"/>
                <w:szCs w:val="24"/>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Sesión</w:t>
            </w:r>
          </w:p>
          <w:p w14:paraId="674F0E35"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sz w:val="16"/>
                <w:szCs w:val="16"/>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(semana)</w:t>
            </w:r>
          </w:p>
        </w:tc>
        <w:tc>
          <w:tcPr>
            <w:tcW w:w="2552" w:type="dxa"/>
            <w:vMerge w:val="restart"/>
            <w:vAlign w:val="center"/>
          </w:tcPr>
          <w:p w14:paraId="5EE10668"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Contenidos temáticos</w:t>
            </w:r>
          </w:p>
        </w:tc>
        <w:tc>
          <w:tcPr>
            <w:tcW w:w="5953" w:type="dxa"/>
            <w:gridSpan w:val="2"/>
            <w:vAlign w:val="center"/>
          </w:tcPr>
          <w:p w14:paraId="79BFA6FC" w14:textId="77777777" w:rsidR="002557A5" w:rsidRPr="002557A5" w:rsidRDefault="002557A5" w:rsidP="002557A5">
            <w:pPr>
              <w:widowControl w:val="0"/>
              <w:overflowPunct w:val="0"/>
              <w:autoSpaceDE w:val="0"/>
              <w:autoSpaceDN w:val="0"/>
              <w:adjustRightInd w:val="0"/>
              <w:spacing w:after="0" w:line="276" w:lineRule="auto"/>
              <w:ind w:left="-426"/>
              <w:jc w:val="center"/>
              <w:rPr>
                <w:rFonts w:ascii="Calibri" w:eastAsia="Times New Roman" w:hAnsi="Calibri" w:cs="Arial"/>
                <w:b/>
                <w:color w:val="000000"/>
                <w:kern w:val="0"/>
                <w:sz w:val="24"/>
                <w:szCs w:val="24"/>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Actividades de enseñanza-aprendizaje</w:t>
            </w:r>
          </w:p>
        </w:tc>
      </w:tr>
      <w:tr w:rsidR="002557A5" w:rsidRPr="002557A5" w14:paraId="53851B3B" w14:textId="77777777" w:rsidTr="4C9C2619">
        <w:trPr>
          <w:trHeight w:val="499"/>
          <w:jc w:val="center"/>
        </w:trPr>
        <w:tc>
          <w:tcPr>
            <w:tcW w:w="1271" w:type="dxa"/>
            <w:vMerge/>
          </w:tcPr>
          <w:p w14:paraId="71A8661E"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lang w:val="es-ES_tradnl" w:eastAsia="es-CR"/>
                <w14:ligatures w14:val="none"/>
              </w:rPr>
            </w:pPr>
          </w:p>
        </w:tc>
        <w:tc>
          <w:tcPr>
            <w:tcW w:w="2552" w:type="dxa"/>
            <w:vMerge/>
          </w:tcPr>
          <w:p w14:paraId="646290EC"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lang w:val="es-ES_tradnl" w:eastAsia="es-CR"/>
                <w14:ligatures w14:val="none"/>
              </w:rPr>
            </w:pPr>
          </w:p>
        </w:tc>
        <w:tc>
          <w:tcPr>
            <w:tcW w:w="2835" w:type="dxa"/>
            <w:vAlign w:val="center"/>
          </w:tcPr>
          <w:p w14:paraId="345E89AC" w14:textId="77777777" w:rsidR="002557A5" w:rsidRPr="002557A5" w:rsidRDefault="002557A5" w:rsidP="002557A5">
            <w:pPr>
              <w:widowControl w:val="0"/>
              <w:overflowPunct w:val="0"/>
              <w:autoSpaceDE w:val="0"/>
              <w:autoSpaceDN w:val="0"/>
              <w:adjustRightInd w:val="0"/>
              <w:spacing w:after="0" w:line="276" w:lineRule="auto"/>
              <w:ind w:left="-40"/>
              <w:jc w:val="center"/>
              <w:rPr>
                <w:rFonts w:ascii="Calibri" w:eastAsia="Times New Roman" w:hAnsi="Calibri" w:cs="Arial"/>
                <w:b/>
                <w:color w:val="000000"/>
                <w:kern w:val="0"/>
                <w:sz w:val="24"/>
                <w:szCs w:val="24"/>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Recursos didácticos</w:t>
            </w:r>
          </w:p>
        </w:tc>
        <w:tc>
          <w:tcPr>
            <w:tcW w:w="3118" w:type="dxa"/>
            <w:vAlign w:val="center"/>
          </w:tcPr>
          <w:p w14:paraId="29D46074" w14:textId="77777777" w:rsidR="002557A5" w:rsidRPr="002557A5" w:rsidRDefault="002557A5" w:rsidP="002557A5">
            <w:pPr>
              <w:widowControl w:val="0"/>
              <w:overflowPunct w:val="0"/>
              <w:autoSpaceDE w:val="0"/>
              <w:autoSpaceDN w:val="0"/>
              <w:adjustRightInd w:val="0"/>
              <w:spacing w:after="0" w:line="276" w:lineRule="auto"/>
              <w:jc w:val="center"/>
              <w:rPr>
                <w:rFonts w:ascii="Calibri" w:eastAsia="Times New Roman" w:hAnsi="Calibri" w:cs="Arial"/>
                <w:b/>
                <w:color w:val="000000"/>
                <w:kern w:val="0"/>
                <w:sz w:val="24"/>
                <w:szCs w:val="24"/>
                <w:lang w:val="es-ES_tradnl" w:eastAsia="es-CR"/>
                <w14:ligatures w14:val="none"/>
              </w:rPr>
            </w:pPr>
            <w:r w:rsidRPr="002557A5">
              <w:rPr>
                <w:rFonts w:ascii="Calibri" w:eastAsia="Times New Roman" w:hAnsi="Calibri" w:cs="Arial"/>
                <w:b/>
                <w:color w:val="000000"/>
                <w:kern w:val="0"/>
                <w:sz w:val="24"/>
                <w:szCs w:val="24"/>
                <w:lang w:val="es-ES_tradnl" w:eastAsia="es-CR"/>
                <w14:ligatures w14:val="none"/>
              </w:rPr>
              <w:t>Actividades de aprendizaje</w:t>
            </w:r>
          </w:p>
        </w:tc>
      </w:tr>
      <w:tr w:rsidR="002557A5" w:rsidRPr="002557A5" w14:paraId="5952EDB2" w14:textId="77777777" w:rsidTr="4C9C2619">
        <w:trPr>
          <w:jc w:val="center"/>
        </w:trPr>
        <w:tc>
          <w:tcPr>
            <w:tcW w:w="1271" w:type="dxa"/>
          </w:tcPr>
          <w:p w14:paraId="34727F26"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kern w:val="0"/>
                <w:lang w:val="es-ES_tradnl" w:eastAsia="es-CR"/>
                <w14:ligatures w14:val="none"/>
              </w:rPr>
            </w:pPr>
            <w:r w:rsidRPr="002557A5">
              <w:rPr>
                <w:rFonts w:ascii="Calibri" w:eastAsia="Times New Roman" w:hAnsi="Calibri" w:cs="Arial"/>
                <w:kern w:val="0"/>
                <w:lang w:val="es-ES_tradnl" w:eastAsia="es-CR"/>
                <w14:ligatures w14:val="none"/>
              </w:rPr>
              <w:t>1</w:t>
            </w:r>
          </w:p>
          <w:p w14:paraId="2784B10B" w14:textId="77777777" w:rsidR="002557A5" w:rsidRPr="002557A5" w:rsidRDefault="002557A5" w:rsidP="002557A5">
            <w:pPr>
              <w:widowControl w:val="0"/>
              <w:overflowPunct w:val="0"/>
              <w:autoSpaceDE w:val="0"/>
              <w:autoSpaceDN w:val="0"/>
              <w:adjustRightInd w:val="0"/>
              <w:spacing w:before="120" w:after="0" w:line="240" w:lineRule="auto"/>
              <w:ind w:left="-58"/>
              <w:rPr>
                <w:rFonts w:ascii="Calibri" w:eastAsia="Times New Roman" w:hAnsi="Calibri" w:cs="Arial"/>
                <w:color w:val="FF0000"/>
                <w:kern w:val="0"/>
                <w:lang w:val="es-ES_tradnl" w:eastAsia="es-CR"/>
                <w14:ligatures w14:val="none"/>
              </w:rPr>
            </w:pPr>
          </w:p>
        </w:tc>
        <w:tc>
          <w:tcPr>
            <w:tcW w:w="2552" w:type="dxa"/>
          </w:tcPr>
          <w:p w14:paraId="2888BD7A"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b/>
                <w:bCs/>
                <w:kern w:val="0"/>
                <w:lang w:val="es-ES_tradnl" w:eastAsia="es-CR"/>
                <w14:ligatures w14:val="none"/>
              </w:rPr>
            </w:pPr>
            <w:r w:rsidRPr="002557A5">
              <w:rPr>
                <w:rFonts w:ascii="Calibri" w:eastAsia="Times New Roman" w:hAnsi="Calibri" w:cs="Arial"/>
                <w:b/>
                <w:bCs/>
                <w:kern w:val="0"/>
                <w:lang w:val="es-ES_tradnl" w:eastAsia="es-CR"/>
                <w14:ligatures w14:val="none"/>
              </w:rPr>
              <w:t>Unidad 1: Aspectos introductorios</w:t>
            </w:r>
          </w:p>
          <w:p w14:paraId="20D9B9EE"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kern w:val="0"/>
                <w:lang w:val="es-ES_tradnl" w:eastAsia="es-CR"/>
                <w14:ligatures w14:val="none"/>
              </w:rPr>
            </w:pPr>
          </w:p>
          <w:p w14:paraId="5BBE934F"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kern w:val="0"/>
                <w:lang w:val="es-ES_tradnl" w:eastAsia="es-CR"/>
                <w14:ligatures w14:val="none"/>
              </w:rPr>
            </w:pPr>
            <w:r w:rsidRPr="002557A5">
              <w:rPr>
                <w:rFonts w:ascii="Calibri" w:eastAsia="Times New Roman" w:hAnsi="Calibri" w:cs="Arial"/>
                <w:kern w:val="0"/>
                <w:lang w:val="es-ES_tradnl" w:eastAsia="es-CR"/>
                <w14:ligatures w14:val="none"/>
              </w:rPr>
              <w:t>1.1 Presentación del curso, metodología y sílabo</w:t>
            </w:r>
          </w:p>
          <w:p w14:paraId="39263237"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kern w:val="0"/>
                <w:lang w:val="es-ES_tradnl" w:eastAsia="es-CR"/>
                <w14:ligatures w14:val="none"/>
              </w:rPr>
            </w:pPr>
            <w:r w:rsidRPr="002557A5">
              <w:rPr>
                <w:rFonts w:ascii="Calibri" w:eastAsia="Times New Roman" w:hAnsi="Calibri" w:cs="Arial"/>
                <w:kern w:val="0"/>
                <w:lang w:val="es-ES_tradnl" w:eastAsia="es-CR"/>
                <w14:ligatures w14:val="none"/>
              </w:rPr>
              <w:t>1.2 Conceptos básicos del curso</w:t>
            </w:r>
          </w:p>
          <w:p w14:paraId="09612CC5"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color w:val="000000"/>
                <w:kern w:val="0"/>
                <w:lang w:val="es-ES_tradnl" w:eastAsia="es-CR"/>
                <w14:ligatures w14:val="none"/>
              </w:rPr>
            </w:pPr>
          </w:p>
        </w:tc>
        <w:tc>
          <w:tcPr>
            <w:tcW w:w="2835" w:type="dxa"/>
          </w:tcPr>
          <w:p w14:paraId="6FFF2B4D"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2B2D097B" w14:textId="77777777" w:rsidR="002557A5" w:rsidRPr="002557A5" w:rsidRDefault="002557A5" w:rsidP="002557A5">
            <w:pPr>
              <w:spacing w:after="0" w:line="240" w:lineRule="auto"/>
              <w:rPr>
                <w:rFonts w:ascii="Calibri" w:eastAsia="Times New Roman" w:hAnsi="Calibri" w:cs="Arial"/>
                <w:color w:val="000000"/>
                <w:kern w:val="0"/>
                <w:lang w:val="es-ES_tradnl" w:eastAsia="es-CR"/>
                <w14:ligatures w14:val="none"/>
              </w:rPr>
            </w:pPr>
          </w:p>
          <w:p w14:paraId="79D18BB9"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r w:rsidRPr="002557A5">
              <w:rPr>
                <w:rFonts w:ascii="Calibri" w:eastAsia="Times New Roman" w:hAnsi="Calibri" w:cs="Arial"/>
                <w:b/>
                <w:bCs/>
                <w:color w:val="0070C0"/>
                <w:kern w:val="0"/>
                <w:lang w:val="es-ES_tradnl" w:eastAsia="es-CR"/>
                <w14:ligatures w14:val="none"/>
              </w:rPr>
              <w:t>Material complementario</w:t>
            </w:r>
          </w:p>
          <w:p w14:paraId="76EA2274"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p>
          <w:p w14:paraId="0F38ABDD"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Arial"/>
                <w:color w:val="0070C0"/>
                <w:kern w:val="0"/>
                <w:lang w:val="es-ES" w:eastAsia="es-CR"/>
                <w14:ligatures w14:val="none"/>
              </w:rPr>
              <w:t>Button</w:t>
            </w:r>
            <w:proofErr w:type="spellEnd"/>
            <w:r w:rsidRPr="4C9C2619">
              <w:rPr>
                <w:rFonts w:ascii="Calibri" w:eastAsia="Times New Roman" w:hAnsi="Calibri" w:cs="Arial"/>
                <w:color w:val="0070C0"/>
                <w:kern w:val="0"/>
                <w:lang w:val="es-ES" w:eastAsia="es-CR"/>
                <w14:ligatures w14:val="none"/>
              </w:rPr>
              <w:t xml:space="preserve"> en la plataforma Moodle</w:t>
            </w:r>
          </w:p>
          <w:p w14:paraId="0C25EA2C"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p>
          <w:p w14:paraId="259545E5" w14:textId="77777777" w:rsidR="002557A5" w:rsidRPr="002557A5" w:rsidRDefault="002557A5" w:rsidP="002557A5">
            <w:pPr>
              <w:spacing w:after="0" w:line="240" w:lineRule="auto"/>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70C0"/>
                <w:kern w:val="0"/>
                <w:lang w:val="es-ES_tradnl" w:eastAsia="es-CR"/>
                <w14:ligatures w14:val="none"/>
              </w:rPr>
              <w:t>Guía para la participación en un foro en la plataforma Moodle</w:t>
            </w:r>
          </w:p>
        </w:tc>
        <w:tc>
          <w:tcPr>
            <w:tcW w:w="3118" w:type="dxa"/>
          </w:tcPr>
          <w:p w14:paraId="6AA72699" w14:textId="77777777" w:rsidR="002557A5" w:rsidRPr="002557A5" w:rsidRDefault="002557A5" w:rsidP="002557A5">
            <w:pPr>
              <w:widowControl w:val="0"/>
              <w:numPr>
                <w:ilvl w:val="0"/>
                <w:numId w:val="87"/>
              </w:numPr>
              <w:overflowPunct w:val="0"/>
              <w:autoSpaceDE w:val="0"/>
              <w:autoSpaceDN w:val="0"/>
              <w:adjustRightInd w:val="0"/>
              <w:spacing w:before="120" w:after="200" w:line="276" w:lineRule="auto"/>
              <w:ind w:left="316"/>
              <w:contextualSpacing/>
              <w:rPr>
                <w:rFonts w:ascii="Calibri" w:eastAsia="Calibri" w:hAnsi="Calibri" w:cs="Calibri"/>
                <w:color w:val="000000"/>
                <w:kern w:val="0"/>
                <w14:ligatures w14:val="none"/>
              </w:rPr>
            </w:pPr>
            <w:r w:rsidRPr="002557A5">
              <w:rPr>
                <w:rFonts w:ascii="Calibri" w:eastAsia="Calibri" w:hAnsi="Calibri" w:cs="Calibri"/>
                <w:color w:val="000000"/>
                <w:kern w:val="0"/>
                <w14:ligatures w14:val="none"/>
              </w:rPr>
              <w:t>Participación en el foro social CAFETERÍA.</w:t>
            </w:r>
          </w:p>
          <w:p w14:paraId="2980B591" w14:textId="77777777" w:rsidR="002557A5" w:rsidRPr="002557A5" w:rsidRDefault="002557A5" w:rsidP="002557A5">
            <w:pPr>
              <w:widowControl w:val="0"/>
              <w:numPr>
                <w:ilvl w:val="0"/>
                <w:numId w:val="87"/>
              </w:numPr>
              <w:overflowPunct w:val="0"/>
              <w:autoSpaceDE w:val="0"/>
              <w:autoSpaceDN w:val="0"/>
              <w:adjustRightInd w:val="0"/>
              <w:spacing w:before="120" w:after="200" w:line="276" w:lineRule="auto"/>
              <w:ind w:left="316"/>
              <w:contextualSpacing/>
              <w:rPr>
                <w:rFonts w:ascii="Calibri" w:eastAsia="Calibri" w:hAnsi="Calibri" w:cs="Calibri"/>
                <w:color w:val="000000"/>
                <w:kern w:val="0"/>
                <w14:ligatures w14:val="none"/>
              </w:rPr>
            </w:pPr>
            <w:r w:rsidRPr="002557A5">
              <w:rPr>
                <w:rFonts w:ascii="Calibri" w:eastAsia="Calibri" w:hAnsi="Calibri" w:cs="Calibri"/>
                <w:color w:val="000000"/>
                <w:kern w:val="0"/>
                <w14:ligatures w14:val="none"/>
              </w:rPr>
              <w:t>Participación en el foro de dudas.</w:t>
            </w:r>
          </w:p>
          <w:p w14:paraId="49C24A6D" w14:textId="77777777" w:rsidR="002557A5" w:rsidRPr="002557A5" w:rsidRDefault="002557A5" w:rsidP="002557A5">
            <w:pPr>
              <w:widowControl w:val="0"/>
              <w:numPr>
                <w:ilvl w:val="0"/>
                <w:numId w:val="87"/>
              </w:numPr>
              <w:overflowPunct w:val="0"/>
              <w:autoSpaceDE w:val="0"/>
              <w:autoSpaceDN w:val="0"/>
              <w:adjustRightInd w:val="0"/>
              <w:spacing w:before="120" w:after="200" w:line="276" w:lineRule="auto"/>
              <w:ind w:left="316"/>
              <w:contextualSpacing/>
              <w:rPr>
                <w:rFonts w:ascii="Calibri" w:eastAsia="Calibri" w:hAnsi="Calibri" w:cs="Calibri"/>
                <w:color w:val="000000"/>
                <w:kern w:val="0"/>
                <w14:ligatures w14:val="none"/>
              </w:rPr>
            </w:pPr>
            <w:r w:rsidRPr="002557A5">
              <w:rPr>
                <w:rFonts w:ascii="Calibri" w:eastAsia="Calibri" w:hAnsi="Calibri" w:cs="Calibri"/>
                <w:kern w:val="0"/>
                <w14:ligatures w14:val="none"/>
              </w:rPr>
              <w:t>Presentación del curso y exposición docente en un encuentro sincrónico virtual (formativo).</w:t>
            </w:r>
          </w:p>
          <w:p w14:paraId="3DAE0DC4" w14:textId="77777777" w:rsidR="002557A5" w:rsidRPr="002557A5" w:rsidRDefault="002557A5" w:rsidP="002557A5">
            <w:pPr>
              <w:widowControl w:val="0"/>
              <w:numPr>
                <w:ilvl w:val="0"/>
                <w:numId w:val="87"/>
              </w:numPr>
              <w:overflowPunct w:val="0"/>
              <w:autoSpaceDE w:val="0"/>
              <w:autoSpaceDN w:val="0"/>
              <w:adjustRightInd w:val="0"/>
              <w:spacing w:before="120" w:after="200" w:line="276" w:lineRule="auto"/>
              <w:ind w:left="316"/>
              <w:contextualSpacing/>
              <w:rPr>
                <w:rFonts w:ascii="Calibri" w:eastAsia="Calibri" w:hAnsi="Calibri" w:cs="Calibri"/>
                <w:color w:val="000000"/>
                <w:kern w:val="0"/>
                <w14:ligatures w14:val="none"/>
              </w:rPr>
            </w:pPr>
            <w:r w:rsidRPr="002557A5">
              <w:rPr>
                <w:rFonts w:ascii="Calibri" w:eastAsia="Calibri" w:hAnsi="Calibri" w:cs="Calibri"/>
                <w:color w:val="000000"/>
                <w:kern w:val="0"/>
                <w14:ligatures w14:val="none"/>
              </w:rPr>
              <w:t>Participación en el foro temático: Los desafíos del curso.</w:t>
            </w:r>
          </w:p>
        </w:tc>
      </w:tr>
      <w:tr w:rsidR="002557A5" w:rsidRPr="002557A5" w14:paraId="39217991" w14:textId="77777777" w:rsidTr="4C9C2619">
        <w:trPr>
          <w:jc w:val="center"/>
        </w:trPr>
        <w:tc>
          <w:tcPr>
            <w:tcW w:w="1271" w:type="dxa"/>
          </w:tcPr>
          <w:p w14:paraId="5D75A92B"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  2 </w:t>
            </w:r>
          </w:p>
          <w:p w14:paraId="05E7B8DB"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p>
        </w:tc>
        <w:tc>
          <w:tcPr>
            <w:tcW w:w="2552" w:type="dxa"/>
          </w:tcPr>
          <w:p w14:paraId="25AB620E"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b/>
                <w:bCs/>
                <w:kern w:val="0"/>
                <w:lang w:val="es-ES_tradnl" w:eastAsia="es-CR"/>
                <w14:ligatures w14:val="none"/>
              </w:rPr>
            </w:pPr>
            <w:r w:rsidRPr="002557A5">
              <w:rPr>
                <w:rFonts w:ascii="Calibri" w:eastAsia="Times New Roman" w:hAnsi="Calibri" w:cs="Arial"/>
                <w:b/>
                <w:bCs/>
                <w:kern w:val="0"/>
                <w:lang w:val="es-ES_tradnl" w:eastAsia="es-CR"/>
                <w14:ligatures w14:val="none"/>
              </w:rPr>
              <w:t>Unidad 1: Aspectos introductorios</w:t>
            </w:r>
          </w:p>
          <w:p w14:paraId="3ADD8B47"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kern w:val="0"/>
                <w:lang w:val="es-ES_tradnl" w:eastAsia="es-CR"/>
                <w14:ligatures w14:val="none"/>
              </w:rPr>
            </w:pPr>
          </w:p>
          <w:p w14:paraId="6034F49D" w14:textId="77777777" w:rsidR="002557A5" w:rsidRPr="002557A5" w:rsidRDefault="002557A5" w:rsidP="002557A5">
            <w:pPr>
              <w:widowControl w:val="0"/>
              <w:tabs>
                <w:tab w:val="left" w:pos="3038"/>
                <w:tab w:val="left" w:pos="3328"/>
              </w:tabs>
              <w:overflowPunct w:val="0"/>
              <w:autoSpaceDE w:val="0"/>
              <w:autoSpaceDN w:val="0"/>
              <w:adjustRightInd w:val="0"/>
              <w:spacing w:before="120" w:after="0" w:line="240" w:lineRule="auto"/>
              <w:ind w:left="34"/>
              <w:rPr>
                <w:rFonts w:ascii="Calibri" w:eastAsia="Times New Roman" w:hAnsi="Calibri" w:cs="Arial"/>
                <w:kern w:val="0"/>
                <w:lang w:val="es-ES_tradnl" w:eastAsia="es-CR"/>
                <w14:ligatures w14:val="none"/>
              </w:rPr>
            </w:pPr>
            <w:r w:rsidRPr="002557A5">
              <w:rPr>
                <w:rFonts w:ascii="Calibri" w:eastAsia="Times New Roman" w:hAnsi="Calibri" w:cs="Arial"/>
                <w:kern w:val="0"/>
                <w:lang w:val="es-ES_tradnl" w:eastAsia="es-CR"/>
                <w14:ligatures w14:val="none"/>
              </w:rPr>
              <w:t>1.3 La función de la filosofía en los estudios teológicos</w:t>
            </w:r>
          </w:p>
        </w:tc>
        <w:tc>
          <w:tcPr>
            <w:tcW w:w="2835" w:type="dxa"/>
          </w:tcPr>
          <w:p w14:paraId="6A99125C"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0D623FC6"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0D353512"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proofErr w:type="spellStart"/>
            <w:r w:rsidRPr="4C9C2619">
              <w:rPr>
                <w:rFonts w:ascii="Calibri" w:eastAsia="Times New Roman" w:hAnsi="Calibri" w:cs="Arial"/>
                <w:kern w:val="0"/>
                <w:lang w:val="es-ES" w:eastAsia="es-CR"/>
                <w14:ligatures w14:val="none"/>
              </w:rPr>
              <w:t>Pannenberg</w:t>
            </w:r>
            <w:proofErr w:type="spellEnd"/>
            <w:r w:rsidRPr="4C9C2619">
              <w:rPr>
                <w:rFonts w:ascii="Calibri" w:eastAsia="Times New Roman" w:hAnsi="Calibri" w:cs="Arial"/>
                <w:kern w:val="0"/>
                <w:lang w:val="es-ES" w:eastAsia="es-CR"/>
                <w14:ligatures w14:val="none"/>
              </w:rPr>
              <w:t xml:space="preserve">, </w:t>
            </w:r>
            <w:proofErr w:type="spellStart"/>
            <w:r w:rsidRPr="4C9C2619">
              <w:rPr>
                <w:rFonts w:ascii="Calibri" w:eastAsia="Times New Roman" w:hAnsi="Calibri" w:cs="Arial"/>
                <w:kern w:val="0"/>
                <w:lang w:val="es-ES" w:eastAsia="es-CR"/>
                <w14:ligatures w14:val="none"/>
              </w:rPr>
              <w:t>Wolfhart</w:t>
            </w:r>
            <w:proofErr w:type="spellEnd"/>
            <w:r w:rsidRPr="4C9C2619">
              <w:rPr>
                <w:rFonts w:ascii="Calibri" w:eastAsia="Times New Roman" w:hAnsi="Calibri" w:cs="Arial"/>
                <w:kern w:val="0"/>
                <w:lang w:val="es-ES" w:eastAsia="es-CR"/>
                <w14:ligatures w14:val="none"/>
              </w:rPr>
              <w:t xml:space="preserve">. “Introducción”, “Tipos de definición sobre la relación entre filosofía y teología”. En </w:t>
            </w:r>
            <w:r w:rsidRPr="4C9C2619">
              <w:rPr>
                <w:rFonts w:ascii="Calibri" w:eastAsia="Times New Roman" w:hAnsi="Calibri" w:cs="Arial"/>
                <w:i/>
                <w:iCs/>
                <w:kern w:val="0"/>
                <w:lang w:val="es-ES" w:eastAsia="es-CR"/>
                <w14:ligatures w14:val="none"/>
              </w:rPr>
              <w:t xml:space="preserve">Una historia de la filosofía desde la idea de Dios: teología y filosofía, </w:t>
            </w:r>
            <w:r w:rsidRPr="4C9C2619">
              <w:rPr>
                <w:rFonts w:ascii="Calibri" w:eastAsia="Times New Roman" w:hAnsi="Calibri" w:cs="Arial"/>
                <w:kern w:val="0"/>
                <w:lang w:val="es-ES" w:eastAsia="es-CR"/>
                <w14:ligatures w14:val="none"/>
              </w:rPr>
              <w:t>13-44.</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Traducción de Rafael Fernández de </w:t>
            </w:r>
            <w:proofErr w:type="spellStart"/>
            <w:r w:rsidRPr="4C9C2619">
              <w:rPr>
                <w:rFonts w:ascii="Calibri" w:eastAsia="Times New Roman" w:hAnsi="Calibri" w:cs="Arial"/>
                <w:kern w:val="0"/>
                <w:lang w:val="es-ES" w:eastAsia="es-CR"/>
                <w14:ligatures w14:val="none"/>
              </w:rPr>
              <w:t>Mururi</w:t>
            </w:r>
            <w:proofErr w:type="spellEnd"/>
            <w:r w:rsidRPr="4C9C2619">
              <w:rPr>
                <w:rFonts w:ascii="Calibri" w:eastAsia="Times New Roman" w:hAnsi="Calibri" w:cs="Arial"/>
                <w:kern w:val="0"/>
                <w:lang w:val="es-ES" w:eastAsia="es-CR"/>
                <w14:ligatures w14:val="none"/>
              </w:rPr>
              <w:t xml:space="preserve"> Duque. Salamanca: Sígueme, 2002. </w:t>
            </w:r>
            <w:r w:rsidRPr="4C9C2619">
              <w:rPr>
                <w:rFonts w:ascii="Calibri" w:eastAsia="Times New Roman" w:hAnsi="Calibri" w:cs="Calibri"/>
                <w:color w:val="0070C0"/>
                <w:kern w:val="0"/>
                <w:lang w:val="es-ES" w:eastAsia="es-CR"/>
                <w14:ligatures w14:val="none"/>
              </w:rPr>
              <w:t>(clásico, última edición 2016)</w:t>
            </w:r>
          </w:p>
          <w:p w14:paraId="4D41B879"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6D4ED7FD" w14:textId="77777777" w:rsidR="002557A5" w:rsidRPr="002557A5" w:rsidRDefault="002557A5" w:rsidP="002557A5">
            <w:pPr>
              <w:spacing w:after="0" w:line="240" w:lineRule="auto"/>
              <w:rPr>
                <w:rFonts w:ascii="Calibri" w:eastAsia="Times New Roman" w:hAnsi="Calibri" w:cs="Arial"/>
                <w:b/>
                <w:bCs/>
                <w:kern w:val="0"/>
                <w:lang w:val="es-ES_tradnl" w:eastAsia="es-CR"/>
                <w14:ligatures w14:val="none"/>
              </w:rPr>
            </w:pPr>
            <w:r w:rsidRPr="002557A5">
              <w:rPr>
                <w:rFonts w:ascii="Calibri" w:eastAsia="Times New Roman" w:hAnsi="Calibri" w:cs="Arial"/>
                <w:b/>
                <w:bCs/>
                <w:kern w:val="0"/>
                <w:lang w:val="es-ES_tradnl" w:eastAsia="es-CR"/>
                <w14:ligatures w14:val="none"/>
              </w:rPr>
              <w:t>Material complementario</w:t>
            </w:r>
          </w:p>
          <w:p w14:paraId="04C1038B" w14:textId="77777777" w:rsidR="002557A5" w:rsidRPr="002557A5" w:rsidRDefault="002557A5" w:rsidP="002557A5">
            <w:pPr>
              <w:spacing w:after="0" w:line="240" w:lineRule="auto"/>
              <w:rPr>
                <w:rFonts w:ascii="Calibri" w:eastAsia="Times New Roman" w:hAnsi="Calibri" w:cs="Arial"/>
                <w:b/>
                <w:bCs/>
                <w:kern w:val="0"/>
                <w:lang w:val="es-ES_tradnl" w:eastAsia="es-CR"/>
                <w14:ligatures w14:val="none"/>
              </w:rPr>
            </w:pPr>
          </w:p>
          <w:p w14:paraId="7BB19E12"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proofErr w:type="spellStart"/>
            <w:r w:rsidRPr="4C9C2619">
              <w:rPr>
                <w:rFonts w:ascii="Calibri" w:eastAsia="Times New Roman" w:hAnsi="Calibri" w:cs="Calibri"/>
                <w:kern w:val="0"/>
                <w:lang w:val="es-ES" w:eastAsia="es-CR"/>
                <w14:ligatures w14:val="none"/>
              </w:rPr>
              <w:t>Panikkar</w:t>
            </w:r>
            <w:proofErr w:type="spellEnd"/>
            <w:r w:rsidRPr="4C9C2619">
              <w:rPr>
                <w:rFonts w:ascii="Calibri" w:eastAsia="Times New Roman" w:hAnsi="Calibri" w:cs="Calibri"/>
                <w:kern w:val="0"/>
                <w:lang w:val="es-ES" w:eastAsia="es-CR"/>
                <w14:ligatures w14:val="none"/>
              </w:rPr>
              <w:t xml:space="preserve">, Raimon. “El lenguaje cristiano”. En </w:t>
            </w:r>
            <w:r w:rsidRPr="4C9C2619">
              <w:rPr>
                <w:rFonts w:ascii="Calibri" w:eastAsia="Times New Roman" w:hAnsi="Calibri" w:cs="Calibri"/>
                <w:i/>
                <w:iCs/>
                <w:kern w:val="0"/>
                <w:lang w:val="es-ES" w:eastAsia="es-CR"/>
                <w14:ligatures w14:val="none"/>
              </w:rPr>
              <w:t>De la mística: experiencia plena de la vida</w:t>
            </w:r>
            <w:r w:rsidRPr="4C9C2619">
              <w:rPr>
                <w:rFonts w:ascii="Calibri" w:eastAsia="Times New Roman" w:hAnsi="Calibri" w:cs="Calibri"/>
                <w:kern w:val="0"/>
                <w:lang w:val="es-ES" w:eastAsia="es-CR"/>
                <w14:ligatures w14:val="none"/>
              </w:rPr>
              <w:t xml:space="preserve">, 241-256. Barcelona: Herder, 2005. </w:t>
            </w:r>
            <w:r w:rsidRPr="4C9C2619">
              <w:rPr>
                <w:rFonts w:ascii="Calibri" w:eastAsia="Times New Roman" w:hAnsi="Calibri" w:cs="Calibri"/>
                <w:color w:val="0070C0"/>
                <w:kern w:val="0"/>
                <w:lang w:val="es-ES" w:eastAsia="es-CR"/>
                <w14:ligatures w14:val="none"/>
              </w:rPr>
              <w:t>(clásico, última edición)</w:t>
            </w:r>
          </w:p>
          <w:p w14:paraId="680A09AE" w14:textId="77777777" w:rsidR="002557A5" w:rsidRPr="002557A5" w:rsidRDefault="002557A5" w:rsidP="002557A5">
            <w:pPr>
              <w:spacing w:after="0" w:line="240" w:lineRule="auto"/>
              <w:rPr>
                <w:rFonts w:ascii="Calibri" w:eastAsia="Times New Roman" w:hAnsi="Calibri" w:cs="Calibri"/>
                <w:kern w:val="0"/>
                <w:lang w:val="es-ES_tradnl" w:eastAsia="es-CR"/>
                <w14:ligatures w14:val="none"/>
              </w:rPr>
            </w:pPr>
          </w:p>
          <w:p w14:paraId="64223CD6" w14:textId="77777777" w:rsidR="002557A5" w:rsidRPr="002557A5" w:rsidRDefault="002557A5" w:rsidP="002557A5">
            <w:pPr>
              <w:spacing w:after="0" w:line="240" w:lineRule="auto"/>
              <w:rPr>
                <w:rFonts w:ascii="Calibri" w:eastAsia="Times New Roman" w:hAnsi="Calibri" w:cs="Calibri"/>
                <w:kern w:val="0"/>
                <w:lang w:val="es-ES_tradnl" w:eastAsia="es-CR"/>
                <w14:ligatures w14:val="none"/>
              </w:rPr>
            </w:pPr>
          </w:p>
          <w:p w14:paraId="1084DBC6"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Calibri"/>
                <w:color w:val="0070C0"/>
                <w:kern w:val="0"/>
                <w:lang w:val="es-ES_tradnl" w:eastAsia="es-CR"/>
                <w14:ligatures w14:val="none"/>
              </w:rPr>
              <w:t>Guía para la participación en un foro en la plataforma Moodle</w:t>
            </w:r>
          </w:p>
          <w:p w14:paraId="53F00256"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tc>
        <w:tc>
          <w:tcPr>
            <w:tcW w:w="3118" w:type="dxa"/>
          </w:tcPr>
          <w:p w14:paraId="39967B0E" w14:textId="77777777" w:rsidR="002557A5" w:rsidRPr="002557A5" w:rsidRDefault="002557A5" w:rsidP="002557A5">
            <w:pPr>
              <w:widowControl w:val="0"/>
              <w:numPr>
                <w:ilvl w:val="0"/>
                <w:numId w:val="88"/>
              </w:numPr>
              <w:overflowPunct w:val="0"/>
              <w:autoSpaceDE w:val="0"/>
              <w:autoSpaceDN w:val="0"/>
              <w:adjustRightInd w:val="0"/>
              <w:spacing w:before="120"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color w:val="000000"/>
                <w:kern w:val="0"/>
                <w14:ligatures w14:val="none"/>
              </w:rPr>
              <w:t>Participación en el foro temático grupal: Interacción entre la filosofía y la teología.</w:t>
            </w:r>
          </w:p>
          <w:p w14:paraId="5CFB8B72" w14:textId="77777777" w:rsidR="002557A5" w:rsidRPr="002557A5" w:rsidRDefault="002557A5" w:rsidP="002557A5">
            <w:pPr>
              <w:spacing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color w:val="000000"/>
                <w:kern w:val="0"/>
                <w14:ligatures w14:val="none"/>
              </w:rPr>
              <w:t xml:space="preserve"> </w:t>
            </w:r>
          </w:p>
        </w:tc>
      </w:tr>
      <w:tr w:rsidR="002557A5" w:rsidRPr="002557A5" w14:paraId="6F9125F0" w14:textId="77777777" w:rsidTr="4C9C2619">
        <w:trPr>
          <w:jc w:val="center"/>
        </w:trPr>
        <w:tc>
          <w:tcPr>
            <w:tcW w:w="1271" w:type="dxa"/>
          </w:tcPr>
          <w:p w14:paraId="544191C2"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lastRenderedPageBreak/>
              <w:t xml:space="preserve">  3 </w:t>
            </w:r>
          </w:p>
          <w:p w14:paraId="72819065"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6F8D797C"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2: El proceso histórico de la filosofía y sus protagonistas: desde la Antigüedad hasta nuestros días</w:t>
            </w:r>
          </w:p>
          <w:p w14:paraId="217A818F"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73C919FF"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04F73DAE"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2.1 La filosofía Antigua</w:t>
            </w:r>
          </w:p>
          <w:p w14:paraId="1C06015F"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p>
        </w:tc>
        <w:tc>
          <w:tcPr>
            <w:tcW w:w="2835" w:type="dxa"/>
          </w:tcPr>
          <w:p w14:paraId="2D6F6617"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25AC4C42"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5DF659E4"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proofErr w:type="spellStart"/>
            <w:r w:rsidRPr="4C9C2619">
              <w:rPr>
                <w:rFonts w:ascii="Calibri" w:eastAsia="Times New Roman" w:hAnsi="Calibri" w:cs="Arial"/>
                <w:kern w:val="0"/>
                <w:lang w:val="es-ES" w:eastAsia="es-CR"/>
                <w14:ligatures w14:val="none"/>
              </w:rPr>
              <w:t>Pannenberg</w:t>
            </w:r>
            <w:proofErr w:type="spellEnd"/>
            <w:r w:rsidRPr="4C9C2619">
              <w:rPr>
                <w:rFonts w:ascii="Calibri" w:eastAsia="Times New Roman" w:hAnsi="Calibri" w:cs="Arial"/>
                <w:kern w:val="0"/>
                <w:lang w:val="es-ES" w:eastAsia="es-CR"/>
                <w14:ligatures w14:val="none"/>
              </w:rPr>
              <w:t xml:space="preserve">, </w:t>
            </w:r>
            <w:proofErr w:type="spellStart"/>
            <w:r w:rsidRPr="4C9C2619">
              <w:rPr>
                <w:rFonts w:ascii="Calibri" w:eastAsia="Times New Roman" w:hAnsi="Calibri" w:cs="Arial"/>
                <w:kern w:val="0"/>
                <w:lang w:val="es-ES" w:eastAsia="es-CR"/>
                <w14:ligatures w14:val="none"/>
              </w:rPr>
              <w:t>Wolfhart</w:t>
            </w:r>
            <w:proofErr w:type="spellEnd"/>
            <w:r w:rsidRPr="4C9C2619">
              <w:rPr>
                <w:rFonts w:ascii="Calibri" w:eastAsia="Times New Roman" w:hAnsi="Calibri" w:cs="Arial"/>
                <w:kern w:val="0"/>
                <w:lang w:val="es-ES" w:eastAsia="es-CR"/>
                <w14:ligatures w14:val="none"/>
              </w:rPr>
              <w:t xml:space="preserve">. “La recepción cristiana del platonismo”, “El influjo de Aristóteles en la teología cristiana”, “La relación del pensamiento cristiano con la filosofía estoica”. En </w:t>
            </w:r>
            <w:r w:rsidRPr="4C9C2619">
              <w:rPr>
                <w:rFonts w:ascii="Calibri" w:eastAsia="Times New Roman" w:hAnsi="Calibri" w:cs="Arial"/>
                <w:i/>
                <w:iCs/>
                <w:kern w:val="0"/>
                <w:lang w:val="es-ES" w:eastAsia="es-CR"/>
                <w14:ligatures w14:val="none"/>
              </w:rPr>
              <w:t xml:space="preserve">Una historia de la filosofía desde la idea de Dios: teología y filosofía, </w:t>
            </w:r>
            <w:r w:rsidRPr="4C9C2619">
              <w:rPr>
                <w:rFonts w:ascii="Calibri" w:eastAsia="Times New Roman" w:hAnsi="Calibri" w:cs="Arial"/>
                <w:kern w:val="0"/>
                <w:lang w:val="es-ES" w:eastAsia="es-CR"/>
                <w14:ligatures w14:val="none"/>
              </w:rPr>
              <w:t>45-121.</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Traducción de Rafael Fernández de </w:t>
            </w:r>
            <w:proofErr w:type="spellStart"/>
            <w:r w:rsidRPr="4C9C2619">
              <w:rPr>
                <w:rFonts w:ascii="Calibri" w:eastAsia="Times New Roman" w:hAnsi="Calibri" w:cs="Arial"/>
                <w:kern w:val="0"/>
                <w:lang w:val="es-ES" w:eastAsia="es-CR"/>
                <w14:ligatures w14:val="none"/>
              </w:rPr>
              <w:t>Mururi</w:t>
            </w:r>
            <w:proofErr w:type="spellEnd"/>
            <w:r w:rsidRPr="4C9C2619">
              <w:rPr>
                <w:rFonts w:ascii="Calibri" w:eastAsia="Times New Roman" w:hAnsi="Calibri" w:cs="Arial"/>
                <w:kern w:val="0"/>
                <w:lang w:val="es-ES" w:eastAsia="es-CR"/>
                <w14:ligatures w14:val="none"/>
              </w:rPr>
              <w:t xml:space="preserve"> Duque. Salamanca: Sígueme, 2002. </w:t>
            </w:r>
            <w:r w:rsidRPr="4C9C2619">
              <w:rPr>
                <w:rFonts w:ascii="Calibri" w:eastAsia="Times New Roman" w:hAnsi="Calibri" w:cs="Calibri"/>
                <w:color w:val="0070C0"/>
                <w:kern w:val="0"/>
                <w:lang w:val="es-ES" w:eastAsia="es-CR"/>
                <w14:ligatures w14:val="none"/>
              </w:rPr>
              <w:t>(clásico, última edición 2016)</w:t>
            </w:r>
          </w:p>
          <w:p w14:paraId="4EE35878"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02C5C8DE"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78B794E2"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r w:rsidRPr="002557A5">
              <w:rPr>
                <w:rFonts w:ascii="Calibri" w:eastAsia="Times New Roman" w:hAnsi="Calibri" w:cs="Arial"/>
                <w:b/>
                <w:bCs/>
                <w:color w:val="0070C0"/>
                <w:kern w:val="0"/>
                <w:lang w:val="es-ES_tradnl" w:eastAsia="es-CR"/>
                <w14:ligatures w14:val="none"/>
              </w:rPr>
              <w:t>Material complementario</w:t>
            </w:r>
          </w:p>
          <w:p w14:paraId="35D790B3"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p>
          <w:p w14:paraId="29D6F17B"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Guía para la participación en un foro en la plataforma Moodle</w:t>
            </w:r>
          </w:p>
          <w:p w14:paraId="35FAB5FB"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p>
          <w:p w14:paraId="6E241DCC" w14:textId="77777777" w:rsidR="002557A5" w:rsidRPr="002557A5" w:rsidRDefault="002557A5"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Arial"/>
                <w:color w:val="0070C0"/>
                <w:kern w:val="0"/>
                <w:lang w:val="es-ES" w:eastAsia="es-CR"/>
                <w14:ligatures w14:val="none"/>
              </w:rPr>
              <w:t>Button</w:t>
            </w:r>
            <w:proofErr w:type="spellEnd"/>
            <w:r w:rsidRPr="4C9C2619">
              <w:rPr>
                <w:rFonts w:ascii="Calibri" w:eastAsia="Times New Roman" w:hAnsi="Calibri" w:cs="Arial"/>
                <w:color w:val="0070C0"/>
                <w:kern w:val="0"/>
                <w:lang w:val="es-ES" w:eastAsia="es-CR"/>
                <w14:ligatures w14:val="none"/>
              </w:rPr>
              <w:t xml:space="preserve"> en la plataforma Moodle</w:t>
            </w:r>
          </w:p>
          <w:p w14:paraId="7A97FD1D" w14:textId="77777777" w:rsidR="002557A5" w:rsidRPr="002557A5" w:rsidRDefault="002557A5" w:rsidP="002557A5">
            <w:pPr>
              <w:spacing w:after="0" w:line="240" w:lineRule="auto"/>
              <w:rPr>
                <w:rFonts w:ascii="Calibri" w:eastAsia="Times New Roman" w:hAnsi="Calibri" w:cs="Arial"/>
                <w:color w:val="000000"/>
                <w:kern w:val="0"/>
                <w:lang w:val="es-ES_tradnl" w:eastAsia="es-CR"/>
                <w14:ligatures w14:val="none"/>
              </w:rPr>
            </w:pPr>
          </w:p>
        </w:tc>
        <w:tc>
          <w:tcPr>
            <w:tcW w:w="3118" w:type="dxa"/>
          </w:tcPr>
          <w:p w14:paraId="33D631DB" w14:textId="77777777" w:rsidR="002557A5" w:rsidRPr="002557A5" w:rsidRDefault="002557A5" w:rsidP="002557A5">
            <w:pPr>
              <w:widowControl w:val="0"/>
              <w:numPr>
                <w:ilvl w:val="0"/>
                <w:numId w:val="89"/>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Participación en el foro temático: ¿El cristianismo es platonismo para el pueblo?</w:t>
            </w:r>
          </w:p>
          <w:p w14:paraId="3B435CD3" w14:textId="77777777" w:rsidR="002557A5" w:rsidRPr="002557A5" w:rsidRDefault="002557A5" w:rsidP="002557A5">
            <w:pPr>
              <w:widowControl w:val="0"/>
              <w:numPr>
                <w:ilvl w:val="0"/>
                <w:numId w:val="89"/>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Exposición docente en un encuentro sincrónico virtual (formativo).</w:t>
            </w:r>
          </w:p>
          <w:p w14:paraId="224CE252" w14:textId="77777777" w:rsidR="002557A5" w:rsidRPr="002557A5" w:rsidRDefault="002557A5" w:rsidP="002557A5">
            <w:pPr>
              <w:widowControl w:val="0"/>
              <w:numPr>
                <w:ilvl w:val="0"/>
                <w:numId w:val="89"/>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Iniciar la elaboración de la monografía final.</w:t>
            </w:r>
          </w:p>
          <w:p w14:paraId="7A932B31" w14:textId="77777777" w:rsidR="002557A5" w:rsidRPr="002557A5" w:rsidRDefault="002557A5" w:rsidP="002557A5">
            <w:pPr>
              <w:spacing w:after="200" w:line="276" w:lineRule="auto"/>
              <w:ind w:left="312"/>
              <w:contextualSpacing/>
              <w:rPr>
                <w:rFonts w:ascii="Calibri" w:eastAsia="Calibri" w:hAnsi="Calibri" w:cs="Arial"/>
                <w:color w:val="00B050"/>
                <w:kern w:val="0"/>
                <w14:ligatures w14:val="none"/>
              </w:rPr>
            </w:pPr>
          </w:p>
          <w:p w14:paraId="7AECFAF9" w14:textId="77777777" w:rsidR="002557A5" w:rsidRPr="002557A5" w:rsidRDefault="002557A5" w:rsidP="002557A5">
            <w:pPr>
              <w:spacing w:after="200" w:line="276" w:lineRule="auto"/>
              <w:ind w:left="312"/>
              <w:contextualSpacing/>
              <w:rPr>
                <w:rFonts w:ascii="Calibri" w:eastAsia="Calibri" w:hAnsi="Calibri" w:cs="Arial"/>
                <w:color w:val="00B050"/>
                <w:kern w:val="0"/>
                <w14:ligatures w14:val="none"/>
              </w:rPr>
            </w:pPr>
          </w:p>
          <w:p w14:paraId="70650C2E" w14:textId="77777777" w:rsidR="002557A5" w:rsidRPr="002557A5" w:rsidRDefault="002557A5" w:rsidP="002557A5">
            <w:pPr>
              <w:spacing w:after="200" w:line="276" w:lineRule="auto"/>
              <w:ind w:left="312"/>
              <w:contextualSpacing/>
              <w:rPr>
                <w:rFonts w:ascii="Calibri" w:eastAsia="Calibri" w:hAnsi="Calibri" w:cs="Arial"/>
                <w:color w:val="000000"/>
                <w:kern w:val="0"/>
                <w14:ligatures w14:val="none"/>
              </w:rPr>
            </w:pPr>
          </w:p>
        </w:tc>
      </w:tr>
      <w:tr w:rsidR="002557A5" w:rsidRPr="002557A5" w14:paraId="662839E6" w14:textId="77777777" w:rsidTr="4C9C2619">
        <w:trPr>
          <w:jc w:val="center"/>
        </w:trPr>
        <w:tc>
          <w:tcPr>
            <w:tcW w:w="1271" w:type="dxa"/>
          </w:tcPr>
          <w:p w14:paraId="2E695150"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4</w:t>
            </w:r>
          </w:p>
          <w:p w14:paraId="19613DE9"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4290D0F0"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2: El proceso histórico de la filosofía y sus protagonistas: desde la Antigüedad hasta nuestros días</w:t>
            </w:r>
          </w:p>
          <w:p w14:paraId="48AC50FE"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15ABF6E5"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012B61C6"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2.2 La filosofía Medieval</w:t>
            </w:r>
          </w:p>
          <w:p w14:paraId="78528D57" w14:textId="77777777" w:rsidR="002557A5" w:rsidRPr="002557A5" w:rsidRDefault="002557A5" w:rsidP="002557A5">
            <w:pPr>
              <w:tabs>
                <w:tab w:val="left" w:pos="339"/>
              </w:tabs>
              <w:spacing w:after="0" w:line="240" w:lineRule="auto"/>
              <w:ind w:left="720"/>
              <w:contextualSpacing/>
              <w:rPr>
                <w:rFonts w:ascii="Calibri" w:eastAsia="Calibri" w:hAnsi="Calibri" w:cs="Arial"/>
                <w:color w:val="000000"/>
                <w:kern w:val="0"/>
                <w14:ligatures w14:val="none"/>
              </w:rPr>
            </w:pPr>
          </w:p>
        </w:tc>
        <w:tc>
          <w:tcPr>
            <w:tcW w:w="2835" w:type="dxa"/>
          </w:tcPr>
          <w:p w14:paraId="12054D74"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70790A1E"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6E861CD4"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proofErr w:type="spellStart"/>
            <w:r w:rsidRPr="4C9C2619">
              <w:rPr>
                <w:rFonts w:ascii="Calibri" w:eastAsia="Times New Roman" w:hAnsi="Calibri" w:cs="Arial"/>
                <w:kern w:val="0"/>
                <w:lang w:val="es-ES" w:eastAsia="es-CR"/>
                <w14:ligatures w14:val="none"/>
              </w:rPr>
              <w:t>Pannenberg</w:t>
            </w:r>
            <w:proofErr w:type="spellEnd"/>
            <w:r w:rsidRPr="4C9C2619">
              <w:rPr>
                <w:rFonts w:ascii="Calibri" w:eastAsia="Times New Roman" w:hAnsi="Calibri" w:cs="Arial"/>
                <w:kern w:val="0"/>
                <w:lang w:val="es-ES" w:eastAsia="es-CR"/>
                <w14:ligatures w14:val="none"/>
              </w:rPr>
              <w:t xml:space="preserve">, </w:t>
            </w:r>
            <w:proofErr w:type="spellStart"/>
            <w:r w:rsidRPr="4C9C2619">
              <w:rPr>
                <w:rFonts w:ascii="Calibri" w:eastAsia="Times New Roman" w:hAnsi="Calibri" w:cs="Arial"/>
                <w:kern w:val="0"/>
                <w:lang w:val="es-ES" w:eastAsia="es-CR"/>
                <w14:ligatures w14:val="none"/>
              </w:rPr>
              <w:t>Wolfhart</w:t>
            </w:r>
            <w:proofErr w:type="spellEnd"/>
            <w:r w:rsidRPr="4C9C2619">
              <w:rPr>
                <w:rFonts w:ascii="Calibri" w:eastAsia="Times New Roman" w:hAnsi="Calibri" w:cs="Arial"/>
                <w:kern w:val="0"/>
                <w:lang w:val="es-ES" w:eastAsia="es-CR"/>
                <w14:ligatures w14:val="none"/>
              </w:rPr>
              <w:t xml:space="preserve">. “Contribuciones del cristianismo al repertorio de temas de la filosofía”, “La emancipación de la cultura moderna del cristianismo”. En </w:t>
            </w:r>
            <w:r w:rsidRPr="4C9C2619">
              <w:rPr>
                <w:rFonts w:ascii="Calibri" w:eastAsia="Times New Roman" w:hAnsi="Calibri" w:cs="Arial"/>
                <w:i/>
                <w:iCs/>
                <w:kern w:val="0"/>
                <w:lang w:val="es-ES" w:eastAsia="es-CR"/>
                <w14:ligatures w14:val="none"/>
              </w:rPr>
              <w:t xml:space="preserve">Una historia de la filosofía desde la idea de Dios: teología y filosofía, </w:t>
            </w:r>
            <w:r w:rsidRPr="4C9C2619">
              <w:rPr>
                <w:rFonts w:ascii="Calibri" w:eastAsia="Times New Roman" w:hAnsi="Calibri" w:cs="Arial"/>
                <w:kern w:val="0"/>
                <w:lang w:val="es-ES" w:eastAsia="es-CR"/>
                <w14:ligatures w14:val="none"/>
              </w:rPr>
              <w:t>123-163.</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Traducción de Rafael Fernández de </w:t>
            </w:r>
            <w:proofErr w:type="spellStart"/>
            <w:r w:rsidRPr="4C9C2619">
              <w:rPr>
                <w:rFonts w:ascii="Calibri" w:eastAsia="Times New Roman" w:hAnsi="Calibri" w:cs="Arial"/>
                <w:kern w:val="0"/>
                <w:lang w:val="es-ES" w:eastAsia="es-CR"/>
                <w14:ligatures w14:val="none"/>
              </w:rPr>
              <w:t>Mururi</w:t>
            </w:r>
            <w:proofErr w:type="spellEnd"/>
            <w:r w:rsidRPr="4C9C2619">
              <w:rPr>
                <w:rFonts w:ascii="Calibri" w:eastAsia="Times New Roman" w:hAnsi="Calibri" w:cs="Arial"/>
                <w:kern w:val="0"/>
                <w:lang w:val="es-ES" w:eastAsia="es-CR"/>
                <w14:ligatures w14:val="none"/>
              </w:rPr>
              <w:t xml:space="preserve"> Duque. Salamanca: Sígueme, 2002. </w:t>
            </w:r>
            <w:r w:rsidRPr="4C9C2619">
              <w:rPr>
                <w:rFonts w:ascii="Calibri" w:eastAsia="Times New Roman" w:hAnsi="Calibri" w:cs="Calibri"/>
                <w:color w:val="0070C0"/>
                <w:kern w:val="0"/>
                <w:lang w:val="es-ES" w:eastAsia="es-CR"/>
                <w14:ligatures w14:val="none"/>
              </w:rPr>
              <w:t>(clásico, última edición 2016)</w:t>
            </w:r>
          </w:p>
          <w:p w14:paraId="2A0CDBA4"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4A52E856"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69A80933"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r w:rsidRPr="002557A5">
              <w:rPr>
                <w:rFonts w:ascii="Calibri" w:eastAsia="Times New Roman" w:hAnsi="Calibri" w:cs="Arial"/>
                <w:b/>
                <w:bCs/>
                <w:color w:val="0070C0"/>
                <w:kern w:val="0"/>
                <w:lang w:val="es-ES_tradnl" w:eastAsia="es-CR"/>
                <w14:ligatures w14:val="none"/>
              </w:rPr>
              <w:t>Material complementario</w:t>
            </w:r>
          </w:p>
          <w:p w14:paraId="6E75E12F"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p>
          <w:p w14:paraId="3B4CCB59" w14:textId="77777777" w:rsidR="002557A5" w:rsidRPr="002557A5" w:rsidRDefault="002557A5" w:rsidP="002557A5">
            <w:pPr>
              <w:spacing w:after="0" w:line="240" w:lineRule="auto"/>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70C0"/>
                <w:kern w:val="0"/>
                <w:lang w:val="es-ES_tradnl" w:eastAsia="es-CR"/>
                <w14:ligatures w14:val="none"/>
              </w:rPr>
              <w:lastRenderedPageBreak/>
              <w:t>Guía para la participación en un foro en la plataforma Moodle</w:t>
            </w:r>
          </w:p>
          <w:p w14:paraId="0C21F82A" w14:textId="77777777" w:rsidR="002557A5" w:rsidRPr="002557A5" w:rsidRDefault="002557A5" w:rsidP="002557A5">
            <w:pPr>
              <w:spacing w:after="0" w:line="240" w:lineRule="auto"/>
              <w:ind w:left="15"/>
              <w:rPr>
                <w:rFonts w:ascii="Calibri" w:eastAsia="Times New Roman" w:hAnsi="Calibri" w:cs="Arial"/>
                <w:color w:val="000000"/>
                <w:kern w:val="0"/>
                <w:lang w:val="es-ES_tradnl" w:eastAsia="es-CR"/>
                <w14:ligatures w14:val="none"/>
              </w:rPr>
            </w:pPr>
          </w:p>
        </w:tc>
        <w:tc>
          <w:tcPr>
            <w:tcW w:w="3118" w:type="dxa"/>
          </w:tcPr>
          <w:p w14:paraId="0E3A2D24" w14:textId="77777777" w:rsidR="002557A5" w:rsidRPr="002557A5" w:rsidRDefault="002557A5" w:rsidP="002557A5">
            <w:pPr>
              <w:widowControl w:val="0"/>
              <w:numPr>
                <w:ilvl w:val="0"/>
                <w:numId w:val="90"/>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lastRenderedPageBreak/>
              <w:t>Participación en el foro temático grupal: ¿Cómo pueden dialogar la fe y la razón?</w:t>
            </w:r>
          </w:p>
          <w:p w14:paraId="68E2754C" w14:textId="77777777" w:rsidR="002557A5" w:rsidRPr="002557A5" w:rsidRDefault="002557A5" w:rsidP="002557A5">
            <w:pPr>
              <w:widowControl w:val="0"/>
              <w:numPr>
                <w:ilvl w:val="0"/>
                <w:numId w:val="90"/>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Continuar con la elaboración de la monografía final. </w:t>
            </w:r>
          </w:p>
          <w:p w14:paraId="52BADFCA" w14:textId="77777777" w:rsidR="002557A5" w:rsidRPr="002557A5" w:rsidRDefault="002557A5" w:rsidP="002557A5">
            <w:pPr>
              <w:spacing w:after="200" w:line="276" w:lineRule="auto"/>
              <w:ind w:left="312"/>
              <w:contextualSpacing/>
              <w:rPr>
                <w:rFonts w:ascii="Calibri" w:eastAsia="Calibri" w:hAnsi="Calibri" w:cs="Arial"/>
                <w:color w:val="000000"/>
                <w:kern w:val="0"/>
                <w14:ligatures w14:val="none"/>
              </w:rPr>
            </w:pPr>
          </w:p>
        </w:tc>
      </w:tr>
      <w:tr w:rsidR="002557A5" w:rsidRPr="002557A5" w14:paraId="4158EE90" w14:textId="77777777" w:rsidTr="4C9C2619">
        <w:trPr>
          <w:jc w:val="center"/>
        </w:trPr>
        <w:tc>
          <w:tcPr>
            <w:tcW w:w="1271" w:type="dxa"/>
          </w:tcPr>
          <w:p w14:paraId="30420D83"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5</w:t>
            </w:r>
          </w:p>
          <w:p w14:paraId="710D3613"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22E06ECA"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2: El proceso histórico de la filosofía y sus protagonistas: desde la Antigüedad hasta nuestros días</w:t>
            </w:r>
          </w:p>
          <w:p w14:paraId="170706D7"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039E1637"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62C6E09E"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2.3 La filosofía en la Modernidad</w:t>
            </w:r>
          </w:p>
          <w:p w14:paraId="02A406C9" w14:textId="77777777" w:rsidR="002557A5" w:rsidRPr="002557A5" w:rsidRDefault="002557A5" w:rsidP="002557A5">
            <w:pPr>
              <w:spacing w:after="0" w:line="240" w:lineRule="auto"/>
              <w:ind w:left="720"/>
              <w:contextualSpacing/>
              <w:rPr>
                <w:rFonts w:ascii="Calibri" w:eastAsia="Calibri" w:hAnsi="Calibri" w:cs="Arial"/>
                <w:color w:val="000000"/>
                <w:kern w:val="0"/>
                <w14:ligatures w14:val="none"/>
              </w:rPr>
            </w:pPr>
          </w:p>
        </w:tc>
        <w:tc>
          <w:tcPr>
            <w:tcW w:w="2835" w:type="dxa"/>
          </w:tcPr>
          <w:p w14:paraId="69A50A62"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Ruta de aprendizaje</w:t>
            </w:r>
          </w:p>
          <w:p w14:paraId="7B8C48BD"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kern w:val="0"/>
                <w:lang w:val="es-ES_tradnl" w:eastAsia="es-CR"/>
                <w14:ligatures w14:val="none"/>
              </w:rPr>
              <w:t xml:space="preserve">Mora Rodríguez, Arnoldo. “El concepto de hombre en la filosofía moderna”. En </w:t>
            </w:r>
            <w:r w:rsidRPr="002557A5">
              <w:rPr>
                <w:rFonts w:ascii="Calibri" w:eastAsia="Times New Roman" w:hAnsi="Calibri" w:cs="Arial"/>
                <w:i/>
                <w:kern w:val="0"/>
                <w:lang w:val="es-ES_tradnl" w:eastAsia="es-CR"/>
                <w14:ligatures w14:val="none"/>
              </w:rPr>
              <w:t xml:space="preserve">Perspectivas filosóficas del hombre, </w:t>
            </w:r>
            <w:r w:rsidRPr="002557A5">
              <w:rPr>
                <w:rFonts w:ascii="Calibri" w:eastAsia="Times New Roman" w:hAnsi="Calibri" w:cs="Arial"/>
                <w:kern w:val="0"/>
                <w:lang w:val="es-ES_tradnl" w:eastAsia="es-CR"/>
                <w14:ligatures w14:val="none"/>
              </w:rPr>
              <w:t>113-163.</w:t>
            </w:r>
            <w:r w:rsidRPr="002557A5">
              <w:rPr>
                <w:rFonts w:ascii="Calibri" w:eastAsia="Times New Roman" w:hAnsi="Calibri" w:cs="Arial"/>
                <w:i/>
                <w:kern w:val="0"/>
                <w:lang w:val="es-ES_tradnl" w:eastAsia="es-CR"/>
                <w14:ligatures w14:val="none"/>
              </w:rPr>
              <w:t xml:space="preserve"> </w:t>
            </w:r>
            <w:r w:rsidRPr="002557A5">
              <w:rPr>
                <w:rFonts w:ascii="Calibri" w:eastAsia="Times New Roman" w:hAnsi="Calibri" w:cs="Arial"/>
                <w:kern w:val="0"/>
                <w:lang w:val="es-ES_tradnl" w:eastAsia="es-CR"/>
                <w14:ligatures w14:val="none"/>
              </w:rPr>
              <w:t xml:space="preserve">San José: EUNED, 2006. </w:t>
            </w:r>
            <w:r w:rsidRPr="002557A5">
              <w:rPr>
                <w:rFonts w:ascii="Calibri" w:eastAsia="Times New Roman" w:hAnsi="Calibri" w:cs="Calibri"/>
                <w:bCs/>
                <w:color w:val="0070C0"/>
                <w:kern w:val="0"/>
                <w:lang w:val="es-ES_tradnl" w:eastAsia="es-CR"/>
                <w14:ligatures w14:val="none"/>
              </w:rPr>
              <w:t>(clásico, última edición)</w:t>
            </w:r>
          </w:p>
          <w:p w14:paraId="4FCF6429" w14:textId="77777777" w:rsidR="002557A5" w:rsidRPr="002557A5" w:rsidRDefault="002557A5" w:rsidP="002557A5">
            <w:pPr>
              <w:spacing w:after="120" w:line="240" w:lineRule="auto"/>
              <w:rPr>
                <w:rFonts w:ascii="Calibri" w:eastAsia="Times New Roman" w:hAnsi="Calibri" w:cs="Arial"/>
                <w:kern w:val="0"/>
                <w14:ligatures w14:val="none"/>
              </w:rPr>
            </w:pPr>
          </w:p>
          <w:p w14:paraId="62424924" w14:textId="77777777" w:rsidR="002557A5" w:rsidRPr="002557A5" w:rsidRDefault="002557A5" w:rsidP="002557A5">
            <w:pPr>
              <w:spacing w:after="120" w:line="240" w:lineRule="auto"/>
              <w:rPr>
                <w:rFonts w:ascii="Calibri" w:eastAsia="Times New Roman" w:hAnsi="Calibri" w:cs="Arial"/>
                <w:b/>
                <w:bCs/>
                <w:color w:val="0070C0"/>
                <w:kern w:val="0"/>
                <w14:ligatures w14:val="none"/>
              </w:rPr>
            </w:pPr>
            <w:r w:rsidRPr="002557A5">
              <w:rPr>
                <w:rFonts w:ascii="Calibri" w:eastAsia="Times New Roman" w:hAnsi="Calibri" w:cs="Arial"/>
                <w:b/>
                <w:bCs/>
                <w:color w:val="0070C0"/>
                <w:kern w:val="0"/>
                <w14:ligatures w14:val="none"/>
              </w:rPr>
              <w:t>Material complementario</w:t>
            </w:r>
          </w:p>
          <w:p w14:paraId="23FCD886" w14:textId="77777777" w:rsidR="002557A5" w:rsidRPr="002557A5" w:rsidRDefault="002557A5" w:rsidP="002557A5">
            <w:pPr>
              <w:spacing w:after="120" w:line="240" w:lineRule="auto"/>
              <w:rPr>
                <w:rFonts w:ascii="Calibri" w:eastAsia="Times New Roman" w:hAnsi="Calibri" w:cs="Arial"/>
                <w:color w:val="0070C0"/>
                <w:kern w:val="0"/>
                <w14:ligatures w14:val="none"/>
              </w:rPr>
            </w:pPr>
            <w:r w:rsidRPr="002557A5">
              <w:rPr>
                <w:rFonts w:ascii="Calibri" w:eastAsia="Times New Roman" w:hAnsi="Calibri" w:cs="Arial"/>
                <w:color w:val="0070C0"/>
                <w:kern w:val="0"/>
                <w14:ligatures w14:val="none"/>
              </w:rPr>
              <w:t>Guía para la participación en un glosario en la plataforma Moodle</w:t>
            </w:r>
          </w:p>
          <w:p w14:paraId="360B5C7B" w14:textId="77777777" w:rsidR="002557A5" w:rsidRPr="002557A5" w:rsidRDefault="002557A5" w:rsidP="002557A5">
            <w:pPr>
              <w:spacing w:after="120" w:line="240" w:lineRule="auto"/>
              <w:rPr>
                <w:rFonts w:ascii="Calibri" w:eastAsia="Times New Roman" w:hAnsi="Calibri" w:cs="Arial"/>
                <w:color w:val="0070C0"/>
                <w:kern w:val="0"/>
                <w14:ligatures w14:val="none"/>
              </w:rPr>
            </w:pPr>
            <w:r w:rsidRPr="002557A5">
              <w:rPr>
                <w:rFonts w:ascii="Calibri" w:eastAsia="Times New Roman" w:hAnsi="Calibri" w:cs="Arial"/>
                <w:color w:val="0070C0"/>
                <w:kern w:val="0"/>
                <w14:ligatures w14:val="none"/>
              </w:rPr>
              <w:t xml:space="preserve">Guía para la participación mediante la herramienta Big Blue </w:t>
            </w:r>
            <w:proofErr w:type="spellStart"/>
            <w:r w:rsidRPr="002557A5">
              <w:rPr>
                <w:rFonts w:ascii="Calibri" w:eastAsia="Times New Roman" w:hAnsi="Calibri" w:cs="Arial"/>
                <w:color w:val="0070C0"/>
                <w:kern w:val="0"/>
                <w14:ligatures w14:val="none"/>
              </w:rPr>
              <w:t>Button</w:t>
            </w:r>
            <w:proofErr w:type="spellEnd"/>
            <w:r w:rsidRPr="002557A5">
              <w:rPr>
                <w:rFonts w:ascii="Calibri" w:eastAsia="Times New Roman" w:hAnsi="Calibri" w:cs="Arial"/>
                <w:color w:val="0070C0"/>
                <w:kern w:val="0"/>
                <w14:ligatures w14:val="none"/>
              </w:rPr>
              <w:t xml:space="preserve"> en la plataforma Moodle</w:t>
            </w:r>
          </w:p>
          <w:p w14:paraId="6CE79F51" w14:textId="77777777" w:rsidR="002557A5" w:rsidRPr="002557A5" w:rsidRDefault="002557A5" w:rsidP="002557A5">
            <w:pPr>
              <w:spacing w:after="120" w:line="240" w:lineRule="auto"/>
              <w:rPr>
                <w:rFonts w:ascii="Calibri" w:eastAsia="Times New Roman" w:hAnsi="Calibri" w:cs="Arial"/>
                <w:color w:val="000000"/>
                <w:kern w:val="0"/>
                <w14:ligatures w14:val="none"/>
              </w:rPr>
            </w:pPr>
          </w:p>
        </w:tc>
        <w:tc>
          <w:tcPr>
            <w:tcW w:w="3118" w:type="dxa"/>
          </w:tcPr>
          <w:p w14:paraId="0CD7CEF4" w14:textId="77777777" w:rsidR="002557A5" w:rsidRPr="002557A5" w:rsidRDefault="002557A5" w:rsidP="002557A5">
            <w:pPr>
              <w:widowControl w:val="0"/>
              <w:numPr>
                <w:ilvl w:val="0"/>
                <w:numId w:val="91"/>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Participación en la elaboración de un glosario sobre la filosofía en la Modernidad.</w:t>
            </w:r>
          </w:p>
          <w:p w14:paraId="4E2B291A" w14:textId="77777777" w:rsidR="002557A5" w:rsidRPr="002557A5" w:rsidRDefault="002557A5" w:rsidP="002557A5">
            <w:pPr>
              <w:widowControl w:val="0"/>
              <w:numPr>
                <w:ilvl w:val="0"/>
                <w:numId w:val="91"/>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Exposición docente en un encuentro sincrónico virtual (formativo).</w:t>
            </w:r>
          </w:p>
          <w:p w14:paraId="68D4A8B4" w14:textId="77777777" w:rsidR="002557A5" w:rsidRPr="002557A5" w:rsidRDefault="002557A5" w:rsidP="002557A5">
            <w:pPr>
              <w:widowControl w:val="0"/>
              <w:numPr>
                <w:ilvl w:val="0"/>
                <w:numId w:val="91"/>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Continuar con la elaboración de la monografía final.</w:t>
            </w:r>
          </w:p>
        </w:tc>
      </w:tr>
      <w:tr w:rsidR="002557A5" w:rsidRPr="002557A5" w14:paraId="5DE71074" w14:textId="77777777" w:rsidTr="4C9C2619">
        <w:trPr>
          <w:jc w:val="center"/>
        </w:trPr>
        <w:tc>
          <w:tcPr>
            <w:tcW w:w="1271" w:type="dxa"/>
          </w:tcPr>
          <w:p w14:paraId="0BC4D6BE"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6</w:t>
            </w:r>
          </w:p>
          <w:p w14:paraId="196EF4FE"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50B97011"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2: El proceso histórico de la filosofía y sus protagonistas: desde la Antigüedad hasta nuestros días</w:t>
            </w:r>
          </w:p>
          <w:p w14:paraId="750D1410"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kern w:val="0"/>
                <w:sz w:val="24"/>
                <w:szCs w:val="20"/>
                <w:lang w:val="es-ES_tradnl" w:eastAsia="es-CR"/>
                <w14:ligatures w14:val="none"/>
              </w:rPr>
            </w:pPr>
          </w:p>
          <w:p w14:paraId="11C7AC7E"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kern w:val="0"/>
                <w:szCs w:val="18"/>
                <w:lang w:val="es-ES_tradnl" w:eastAsia="es-CR"/>
                <w14:ligatures w14:val="none"/>
              </w:rPr>
            </w:pPr>
            <w:r w:rsidRPr="002557A5">
              <w:rPr>
                <w:rFonts w:ascii="Calibri" w:eastAsia="Times New Roman" w:hAnsi="Calibri" w:cs="Arial"/>
                <w:kern w:val="0"/>
                <w:szCs w:val="18"/>
                <w:lang w:val="es-ES_tradnl" w:eastAsia="es-CR"/>
                <w14:ligatures w14:val="none"/>
              </w:rPr>
              <w:t>2.4 La filosofía Contemporánea</w:t>
            </w:r>
          </w:p>
          <w:p w14:paraId="343108DC" w14:textId="77777777" w:rsidR="002557A5" w:rsidRPr="002557A5" w:rsidRDefault="002557A5" w:rsidP="002557A5">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p>
        </w:tc>
        <w:tc>
          <w:tcPr>
            <w:tcW w:w="2835" w:type="dxa"/>
          </w:tcPr>
          <w:p w14:paraId="582DA468"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Ruta de aprendizaje</w:t>
            </w:r>
          </w:p>
          <w:p w14:paraId="6A09045E"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kern w:val="0"/>
                <w:lang w:val="es-ES_tradnl" w:eastAsia="es-CR"/>
                <w14:ligatures w14:val="none"/>
              </w:rPr>
              <w:t xml:space="preserve">Mora Rodríguez, Arnoldo. “El concepto de hombre en la filosofía contemporánea”. En </w:t>
            </w:r>
            <w:r w:rsidRPr="002557A5">
              <w:rPr>
                <w:rFonts w:ascii="Calibri" w:eastAsia="Times New Roman" w:hAnsi="Calibri" w:cs="Arial"/>
                <w:i/>
                <w:kern w:val="0"/>
                <w:lang w:val="es-ES_tradnl" w:eastAsia="es-CR"/>
                <w14:ligatures w14:val="none"/>
              </w:rPr>
              <w:t xml:space="preserve">Perspectivas filosóficas del hombre, </w:t>
            </w:r>
            <w:r w:rsidRPr="002557A5">
              <w:rPr>
                <w:rFonts w:ascii="Calibri" w:eastAsia="Times New Roman" w:hAnsi="Calibri" w:cs="Arial"/>
                <w:kern w:val="0"/>
                <w:lang w:val="es-ES_tradnl" w:eastAsia="es-CR"/>
                <w14:ligatures w14:val="none"/>
              </w:rPr>
              <w:t>165-200.</w:t>
            </w:r>
            <w:r w:rsidRPr="002557A5">
              <w:rPr>
                <w:rFonts w:ascii="Calibri" w:eastAsia="Times New Roman" w:hAnsi="Calibri" w:cs="Arial"/>
                <w:i/>
                <w:kern w:val="0"/>
                <w:lang w:val="es-ES_tradnl" w:eastAsia="es-CR"/>
                <w14:ligatures w14:val="none"/>
              </w:rPr>
              <w:t xml:space="preserve"> </w:t>
            </w:r>
            <w:r w:rsidRPr="002557A5">
              <w:rPr>
                <w:rFonts w:ascii="Calibri" w:eastAsia="Times New Roman" w:hAnsi="Calibri" w:cs="Arial"/>
                <w:kern w:val="0"/>
                <w:lang w:val="es-ES_tradnl" w:eastAsia="es-CR"/>
                <w14:ligatures w14:val="none"/>
              </w:rPr>
              <w:t xml:space="preserve">San José: EUNED, 2006. </w:t>
            </w:r>
            <w:r w:rsidRPr="002557A5">
              <w:rPr>
                <w:rFonts w:ascii="Calibri" w:eastAsia="Times New Roman" w:hAnsi="Calibri" w:cs="Calibri"/>
                <w:bCs/>
                <w:color w:val="0070C0"/>
                <w:kern w:val="0"/>
                <w:lang w:val="es-ES_tradnl" w:eastAsia="es-CR"/>
                <w14:ligatures w14:val="none"/>
              </w:rPr>
              <w:t>(clásico, última edición)</w:t>
            </w:r>
          </w:p>
          <w:p w14:paraId="76F97B23" w14:textId="77777777" w:rsidR="002557A5" w:rsidRPr="002557A5" w:rsidRDefault="002557A5" w:rsidP="002557A5">
            <w:pPr>
              <w:spacing w:after="120" w:line="240" w:lineRule="auto"/>
              <w:rPr>
                <w:rFonts w:ascii="Calibri" w:eastAsia="Times New Roman" w:hAnsi="Calibri" w:cs="Arial"/>
                <w:kern w:val="0"/>
                <w14:ligatures w14:val="none"/>
              </w:rPr>
            </w:pPr>
          </w:p>
          <w:p w14:paraId="5BF5EA9E"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proofErr w:type="spellStart"/>
            <w:r w:rsidRPr="4C9C2619">
              <w:rPr>
                <w:rFonts w:ascii="Calibri" w:eastAsia="Times New Roman" w:hAnsi="Calibri" w:cs="Arial"/>
                <w:kern w:val="0"/>
                <w:lang w:val="es-ES" w:eastAsia="es-CR"/>
                <w14:ligatures w14:val="none"/>
              </w:rPr>
              <w:t>Ladrière</w:t>
            </w:r>
            <w:proofErr w:type="spellEnd"/>
            <w:r w:rsidRPr="4C9C2619">
              <w:rPr>
                <w:rFonts w:ascii="Calibri" w:eastAsia="Times New Roman" w:hAnsi="Calibri" w:cs="Arial"/>
                <w:kern w:val="0"/>
                <w:lang w:val="es-ES" w:eastAsia="es-CR"/>
                <w14:ligatures w14:val="none"/>
              </w:rPr>
              <w:t xml:space="preserve">, Jean. “Aproximación filosófica a una reflexión sobre la eucaristía”. En </w:t>
            </w:r>
            <w:r w:rsidRPr="4C9C2619">
              <w:rPr>
                <w:rFonts w:ascii="Calibri" w:eastAsia="Times New Roman" w:hAnsi="Calibri" w:cs="Arial"/>
                <w:i/>
                <w:iCs/>
                <w:kern w:val="0"/>
                <w:lang w:val="es-ES" w:eastAsia="es-CR"/>
                <w14:ligatures w14:val="none"/>
              </w:rPr>
              <w:t>La articulación del sentido,</w:t>
            </w:r>
            <w:r w:rsidRPr="4C9C2619">
              <w:rPr>
                <w:rFonts w:ascii="Calibri" w:eastAsia="Times New Roman" w:hAnsi="Calibri" w:cs="Arial"/>
                <w:kern w:val="0"/>
                <w:lang w:val="es-ES" w:eastAsia="es-CR"/>
                <w14:ligatures w14:val="none"/>
              </w:rPr>
              <w:t xml:space="preserve"> 575-601.</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Traducción de Ricardo Salas y José María Aguirre. Salamanca: Sígueme, 2001. </w:t>
            </w:r>
            <w:r w:rsidRPr="4C9C2619">
              <w:rPr>
                <w:rFonts w:ascii="Calibri" w:eastAsia="Times New Roman" w:hAnsi="Calibri" w:cs="Calibri"/>
                <w:color w:val="0070C0"/>
                <w:kern w:val="0"/>
                <w:lang w:val="es-ES" w:eastAsia="es-CR"/>
                <w14:ligatures w14:val="none"/>
              </w:rPr>
              <w:t>(clásico, última edición)</w:t>
            </w:r>
          </w:p>
          <w:p w14:paraId="0436A7D0" w14:textId="77777777" w:rsidR="002557A5" w:rsidRPr="002557A5" w:rsidRDefault="002557A5" w:rsidP="002557A5">
            <w:pPr>
              <w:spacing w:after="0" w:line="240" w:lineRule="auto"/>
              <w:rPr>
                <w:rFonts w:ascii="Calibri" w:eastAsia="Times New Roman" w:hAnsi="Calibri" w:cs="Arial"/>
                <w:kern w:val="0"/>
                <w:lang w:val="es-ES_tradnl" w:eastAsia="es-CR"/>
                <w14:ligatures w14:val="none"/>
              </w:rPr>
            </w:pPr>
          </w:p>
          <w:p w14:paraId="3FD08611" w14:textId="77777777" w:rsidR="002557A5" w:rsidRPr="002557A5" w:rsidRDefault="002557A5" w:rsidP="002557A5">
            <w:pPr>
              <w:spacing w:after="0" w:line="240" w:lineRule="auto"/>
              <w:rPr>
                <w:rFonts w:ascii="Calibri" w:eastAsia="Times New Roman" w:hAnsi="Calibri" w:cs="Arial"/>
                <w:b/>
                <w:bCs/>
                <w:kern w:val="0"/>
                <w:lang w:val="es-ES_tradnl" w:eastAsia="es-CR"/>
                <w14:ligatures w14:val="none"/>
              </w:rPr>
            </w:pPr>
          </w:p>
          <w:p w14:paraId="3DB41A29" w14:textId="77777777" w:rsidR="002557A5" w:rsidRPr="002557A5" w:rsidRDefault="002557A5" w:rsidP="002557A5">
            <w:pPr>
              <w:spacing w:after="0" w:line="240" w:lineRule="auto"/>
              <w:rPr>
                <w:rFonts w:ascii="Calibri" w:eastAsia="Times New Roman" w:hAnsi="Calibri" w:cs="Arial"/>
                <w:b/>
                <w:bCs/>
                <w:kern w:val="0"/>
                <w:lang w:val="es-ES_tradnl" w:eastAsia="es-CR"/>
                <w14:ligatures w14:val="none"/>
              </w:rPr>
            </w:pPr>
            <w:r w:rsidRPr="002557A5">
              <w:rPr>
                <w:rFonts w:ascii="Calibri" w:eastAsia="Times New Roman" w:hAnsi="Calibri" w:cs="Arial"/>
                <w:b/>
                <w:bCs/>
                <w:kern w:val="0"/>
                <w:lang w:val="es-ES_tradnl" w:eastAsia="es-CR"/>
                <w14:ligatures w14:val="none"/>
              </w:rPr>
              <w:t>Material complementario</w:t>
            </w:r>
          </w:p>
          <w:p w14:paraId="415C6485" w14:textId="77777777" w:rsidR="002557A5" w:rsidRPr="002557A5" w:rsidRDefault="002557A5" w:rsidP="002557A5">
            <w:pPr>
              <w:spacing w:after="0" w:line="240" w:lineRule="auto"/>
              <w:rPr>
                <w:rFonts w:ascii="Calibri" w:eastAsia="Times New Roman" w:hAnsi="Calibri" w:cs="Arial"/>
                <w:b/>
                <w:bCs/>
                <w:kern w:val="0"/>
                <w:lang w:val="es-ES_tradnl" w:eastAsia="es-CR"/>
                <w14:ligatures w14:val="none"/>
              </w:rPr>
            </w:pPr>
          </w:p>
          <w:p w14:paraId="1089230D"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Calibri"/>
                <w:kern w:val="0"/>
                <w14:ligatures w14:val="none"/>
              </w:rPr>
              <w:lastRenderedPageBreak/>
              <w:t xml:space="preserve">Blanco, Juan. “La filosofía en el mundo actual: La actualidad de la (alter) filosofía”. </w:t>
            </w:r>
            <w:r w:rsidRPr="002557A5">
              <w:rPr>
                <w:rFonts w:ascii="Calibri" w:eastAsia="Times New Roman" w:hAnsi="Calibri" w:cs="Calibri"/>
                <w:i/>
                <w:kern w:val="0"/>
                <w14:ligatures w14:val="none"/>
              </w:rPr>
              <w:t>Realidad: Revista de Ciencias Sociales y Humanidades</w:t>
            </w:r>
            <w:r w:rsidRPr="002557A5">
              <w:rPr>
                <w:rFonts w:ascii="Calibri" w:eastAsia="Times New Roman" w:hAnsi="Calibri" w:cs="Calibri"/>
                <w:kern w:val="0"/>
                <w14:ligatures w14:val="none"/>
              </w:rPr>
              <w:t xml:space="preserve">, n. 148 (2016): 113-141. Acceso el 18 de diciembre de 2020. </w:t>
            </w:r>
            <w:hyperlink r:id="rId164" w:history="1">
              <w:r w:rsidRPr="002557A5">
                <w:rPr>
                  <w:rFonts w:ascii="Calibri" w:eastAsia="Times New Roman" w:hAnsi="Calibri" w:cs="Calibri"/>
                  <w:color w:val="0563C1"/>
                  <w:kern w:val="0"/>
                  <w:u w:val="single"/>
                  <w:shd w:val="clear" w:color="auto" w:fill="FFFFFF"/>
                  <w14:ligatures w14:val="none"/>
                </w:rPr>
                <w:t>https://doi.org/10.5377/realidad.v0i148.4584</w:t>
              </w:r>
            </w:hyperlink>
          </w:p>
          <w:p w14:paraId="7812704D"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Guía para la participación en un foro en la plataforma Moodle</w:t>
            </w:r>
          </w:p>
          <w:p w14:paraId="766B3E38"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p>
        </w:tc>
        <w:tc>
          <w:tcPr>
            <w:tcW w:w="3118" w:type="dxa"/>
          </w:tcPr>
          <w:p w14:paraId="0B3EDB1D" w14:textId="77777777" w:rsidR="002557A5" w:rsidRPr="002557A5" w:rsidRDefault="002557A5" w:rsidP="002557A5">
            <w:pPr>
              <w:widowControl w:val="0"/>
              <w:numPr>
                <w:ilvl w:val="0"/>
                <w:numId w:val="92"/>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lastRenderedPageBreak/>
              <w:t xml:space="preserve">Participación en el foro temático: El descubrimiento de América y de la subjetividad. </w:t>
            </w:r>
          </w:p>
          <w:p w14:paraId="0568A940" w14:textId="77777777" w:rsidR="002557A5" w:rsidRPr="002557A5" w:rsidRDefault="002557A5" w:rsidP="002557A5">
            <w:pPr>
              <w:widowControl w:val="0"/>
              <w:numPr>
                <w:ilvl w:val="0"/>
                <w:numId w:val="92"/>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Entregar un primer avance de la monografía final. </w:t>
            </w:r>
          </w:p>
          <w:p w14:paraId="1B31BB31" w14:textId="77777777" w:rsidR="002557A5" w:rsidRPr="002557A5" w:rsidRDefault="002557A5" w:rsidP="002557A5">
            <w:pPr>
              <w:spacing w:after="200" w:line="276" w:lineRule="auto"/>
              <w:ind w:left="312"/>
              <w:contextualSpacing/>
              <w:rPr>
                <w:rFonts w:ascii="Calibri" w:eastAsia="Calibri" w:hAnsi="Calibri" w:cs="Arial"/>
                <w:color w:val="000000"/>
                <w:kern w:val="0"/>
                <w14:ligatures w14:val="none"/>
              </w:rPr>
            </w:pPr>
          </w:p>
        </w:tc>
      </w:tr>
      <w:tr w:rsidR="002557A5" w:rsidRPr="002557A5" w14:paraId="634A413E" w14:textId="77777777" w:rsidTr="4C9C2619">
        <w:trPr>
          <w:trHeight w:val="1161"/>
          <w:jc w:val="center"/>
        </w:trPr>
        <w:tc>
          <w:tcPr>
            <w:tcW w:w="1271" w:type="dxa"/>
          </w:tcPr>
          <w:p w14:paraId="046F2130"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7</w:t>
            </w:r>
          </w:p>
          <w:p w14:paraId="3658E942" w14:textId="77777777" w:rsidR="002557A5" w:rsidRPr="002557A5" w:rsidRDefault="002557A5" w:rsidP="002557A5">
            <w:pPr>
              <w:widowControl w:val="0"/>
              <w:overflowPunct w:val="0"/>
              <w:autoSpaceDE w:val="0"/>
              <w:autoSpaceDN w:val="0"/>
              <w:adjustRightInd w:val="0"/>
              <w:spacing w:before="120" w:after="0" w:line="240" w:lineRule="auto"/>
              <w:ind w:left="-58"/>
              <w:rPr>
                <w:rFonts w:ascii="Calibri" w:eastAsia="Times New Roman" w:hAnsi="Calibri" w:cs="Arial"/>
                <w:color w:val="FF0000"/>
                <w:kern w:val="0"/>
                <w:lang w:val="es-ES_tradnl" w:eastAsia="es-CR"/>
                <w14:ligatures w14:val="none"/>
              </w:rPr>
            </w:pPr>
          </w:p>
        </w:tc>
        <w:tc>
          <w:tcPr>
            <w:tcW w:w="2552" w:type="dxa"/>
          </w:tcPr>
          <w:p w14:paraId="0BF95302" w14:textId="77777777" w:rsidR="002557A5" w:rsidRPr="002557A5" w:rsidRDefault="002557A5" w:rsidP="002557A5">
            <w:pPr>
              <w:spacing w:after="0" w:line="240" w:lineRule="auto"/>
              <w:ind w:left="34"/>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3: Problemas principales de la filosofía a lo largo de la historia</w:t>
            </w:r>
          </w:p>
          <w:p w14:paraId="76F238E2"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457D290B"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6D9C570C" w14:textId="77777777" w:rsidR="002557A5" w:rsidRPr="002557A5" w:rsidRDefault="002557A5" w:rsidP="002557A5">
            <w:pPr>
              <w:spacing w:after="0" w:line="240" w:lineRule="auto"/>
              <w:ind w:left="34"/>
              <w:contextualSpacing/>
              <w:rPr>
                <w:rFonts w:ascii="Calibri" w:eastAsia="Calibri" w:hAnsi="Calibri" w:cs="Arial"/>
                <w:color w:val="FF0000"/>
                <w:kern w:val="0"/>
                <w14:ligatures w14:val="none"/>
              </w:rPr>
            </w:pPr>
            <w:r w:rsidRPr="002557A5">
              <w:rPr>
                <w:rFonts w:ascii="Calibri" w:eastAsia="Calibri" w:hAnsi="Calibri" w:cs="Arial"/>
                <w:kern w:val="0"/>
                <w14:ligatures w14:val="none"/>
              </w:rPr>
              <w:t xml:space="preserve">3.1 </w:t>
            </w:r>
            <w:r w:rsidRPr="002557A5">
              <w:rPr>
                <w:rFonts w:ascii="Calibri" w:eastAsia="Calibri" w:hAnsi="Calibri" w:cs="Arial"/>
                <w:kern w:val="0"/>
                <w:szCs w:val="18"/>
                <w14:ligatures w14:val="none"/>
              </w:rPr>
              <w:t>Los problemas de la metafísica</w:t>
            </w:r>
          </w:p>
        </w:tc>
        <w:tc>
          <w:tcPr>
            <w:tcW w:w="2835" w:type="dxa"/>
          </w:tcPr>
          <w:p w14:paraId="21C44F36"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Ruta de aprendizaje</w:t>
            </w:r>
          </w:p>
          <w:p w14:paraId="031F9B2B"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proofErr w:type="spellStart"/>
            <w:r w:rsidRPr="4C9C2619">
              <w:rPr>
                <w:rFonts w:ascii="Calibri" w:eastAsia="Times New Roman" w:hAnsi="Calibri" w:cs="Arial"/>
                <w:kern w:val="0"/>
                <w:lang w:val="es-ES" w:eastAsia="es-CR"/>
                <w14:ligatures w14:val="none"/>
              </w:rPr>
              <w:t>Levinas</w:t>
            </w:r>
            <w:proofErr w:type="spellEnd"/>
            <w:r w:rsidRPr="4C9C2619">
              <w:rPr>
                <w:rFonts w:ascii="Calibri" w:eastAsia="Times New Roman" w:hAnsi="Calibri" w:cs="Arial"/>
                <w:kern w:val="0"/>
                <w:lang w:val="es-ES" w:eastAsia="es-CR"/>
                <w14:ligatures w14:val="none"/>
              </w:rPr>
              <w:t xml:space="preserve">, Emmanuel. “El Mismo y lo Otro”. En </w:t>
            </w:r>
            <w:r w:rsidRPr="4C9C2619">
              <w:rPr>
                <w:rFonts w:ascii="Calibri" w:eastAsia="Times New Roman" w:hAnsi="Calibri" w:cs="Arial"/>
                <w:i/>
                <w:iCs/>
                <w:kern w:val="0"/>
                <w:lang w:val="es-ES" w:eastAsia="es-CR"/>
                <w14:ligatures w14:val="none"/>
              </w:rPr>
              <w:t xml:space="preserve">Totalidad e infinito. Ensayo sobre la exterioridad, </w:t>
            </w:r>
            <w:r w:rsidRPr="4C9C2619">
              <w:rPr>
                <w:rFonts w:ascii="Calibri" w:eastAsia="Times New Roman" w:hAnsi="Calibri" w:cs="Arial"/>
                <w:kern w:val="0"/>
                <w:lang w:val="es-ES" w:eastAsia="es-CR"/>
                <w14:ligatures w14:val="none"/>
              </w:rPr>
              <w:t>57-76.</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Traducción de Daniel E. Guillot. Salamanca: Sígueme, 2002. </w:t>
            </w:r>
            <w:r w:rsidRPr="4C9C2619">
              <w:rPr>
                <w:rFonts w:ascii="Calibri" w:eastAsia="Times New Roman" w:hAnsi="Calibri" w:cs="Calibri"/>
                <w:color w:val="0070C0"/>
                <w:kern w:val="0"/>
                <w:lang w:val="es-ES" w:eastAsia="es-CR"/>
                <w14:ligatures w14:val="none"/>
              </w:rPr>
              <w:t>(clásico, última edición 2020)</w:t>
            </w:r>
          </w:p>
          <w:p w14:paraId="6E907E36" w14:textId="77777777" w:rsidR="002557A5" w:rsidRPr="002557A5" w:rsidRDefault="002557A5" w:rsidP="002557A5">
            <w:pPr>
              <w:spacing w:after="120" w:line="240" w:lineRule="auto"/>
              <w:rPr>
                <w:rFonts w:ascii="Calibri" w:eastAsia="Times New Roman" w:hAnsi="Calibri" w:cs="Arial"/>
                <w:kern w:val="0"/>
                <w14:ligatures w14:val="none"/>
              </w:rPr>
            </w:pPr>
          </w:p>
          <w:p w14:paraId="3846C34C"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Estrada, Juan Antonio. “La religión en una época </w:t>
            </w:r>
            <w:proofErr w:type="spellStart"/>
            <w:r w:rsidRPr="4C9C2619">
              <w:rPr>
                <w:rFonts w:ascii="Calibri" w:eastAsia="Times New Roman" w:hAnsi="Calibri" w:cs="Arial"/>
                <w:kern w:val="0"/>
                <w:lang w:val="es-ES" w:eastAsia="es-CR"/>
                <w14:ligatures w14:val="none"/>
              </w:rPr>
              <w:t>postmetafísica</w:t>
            </w:r>
            <w:proofErr w:type="spellEnd"/>
            <w:r w:rsidRPr="4C9C2619">
              <w:rPr>
                <w:rFonts w:ascii="Calibri" w:eastAsia="Times New Roman" w:hAnsi="Calibri" w:cs="Arial"/>
                <w:kern w:val="0"/>
                <w:lang w:val="es-ES" w:eastAsia="es-CR"/>
                <w14:ligatures w14:val="none"/>
              </w:rPr>
              <w:t xml:space="preserve">”. En </w:t>
            </w:r>
            <w:r w:rsidRPr="4C9C2619">
              <w:rPr>
                <w:rFonts w:ascii="Calibri" w:eastAsia="Times New Roman" w:hAnsi="Calibri" w:cs="Arial"/>
                <w:i/>
                <w:iCs/>
                <w:kern w:val="0"/>
                <w:lang w:val="es-ES" w:eastAsia="es-CR"/>
                <w14:ligatures w14:val="none"/>
              </w:rPr>
              <w:t xml:space="preserve">Por una ética sin teología: Habermas como filósofo de la religión, </w:t>
            </w:r>
            <w:r w:rsidRPr="4C9C2619">
              <w:rPr>
                <w:rFonts w:ascii="Calibri" w:eastAsia="Times New Roman" w:hAnsi="Calibri" w:cs="Arial"/>
                <w:kern w:val="0"/>
                <w:lang w:val="es-ES" w:eastAsia="es-CR"/>
                <w14:ligatures w14:val="none"/>
              </w:rPr>
              <w:t>145-169.</w:t>
            </w:r>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 xml:space="preserve">Madrid: Trotta, 2004. </w:t>
            </w:r>
            <w:r w:rsidRPr="4C9C2619">
              <w:rPr>
                <w:rFonts w:ascii="Calibri" w:eastAsia="Times New Roman" w:hAnsi="Calibri" w:cs="Calibri"/>
                <w:color w:val="0070C0"/>
                <w:kern w:val="0"/>
                <w:lang w:val="es-ES" w:eastAsia="es-CR"/>
                <w14:ligatures w14:val="none"/>
              </w:rPr>
              <w:t>(clásico, última edición)</w:t>
            </w:r>
          </w:p>
          <w:p w14:paraId="0DBF17C0" w14:textId="77777777" w:rsidR="002557A5" w:rsidRPr="002557A5" w:rsidRDefault="002557A5" w:rsidP="002557A5">
            <w:pPr>
              <w:spacing w:after="120" w:line="240" w:lineRule="auto"/>
              <w:rPr>
                <w:rFonts w:ascii="Calibri" w:eastAsia="Times New Roman" w:hAnsi="Calibri" w:cs="Arial"/>
                <w:bCs/>
                <w:kern w:val="0"/>
                <w:lang w:val="es-ES_tradnl" w:eastAsia="es-CR"/>
                <w14:ligatures w14:val="none"/>
              </w:rPr>
            </w:pPr>
          </w:p>
          <w:p w14:paraId="76FECBC1" w14:textId="77777777" w:rsidR="002557A5" w:rsidRPr="002557A5" w:rsidRDefault="002557A5" w:rsidP="002557A5">
            <w:pPr>
              <w:spacing w:after="120" w:line="240" w:lineRule="auto"/>
              <w:rPr>
                <w:rFonts w:ascii="Calibri" w:eastAsia="Times New Roman" w:hAnsi="Calibri" w:cs="Arial"/>
                <w:b/>
                <w:bCs/>
                <w:color w:val="0070C0"/>
                <w:kern w:val="0"/>
                <w14:ligatures w14:val="none"/>
              </w:rPr>
            </w:pPr>
            <w:r w:rsidRPr="002557A5">
              <w:rPr>
                <w:rFonts w:ascii="Calibri" w:eastAsia="Times New Roman" w:hAnsi="Calibri" w:cs="Arial"/>
                <w:b/>
                <w:bCs/>
                <w:color w:val="0070C0"/>
                <w:kern w:val="0"/>
                <w14:ligatures w14:val="none"/>
              </w:rPr>
              <w:t>Material complementario</w:t>
            </w:r>
          </w:p>
          <w:p w14:paraId="27DBB55C" w14:textId="77777777" w:rsidR="002557A5" w:rsidRPr="002557A5" w:rsidRDefault="002557A5" w:rsidP="002557A5">
            <w:pPr>
              <w:spacing w:after="120" w:line="240" w:lineRule="auto"/>
              <w:rPr>
                <w:rFonts w:ascii="Calibri" w:eastAsia="Times New Roman" w:hAnsi="Calibri" w:cs="Arial"/>
                <w:kern w:val="0"/>
                <w:lang w:val="es-ES_tradnl" w:eastAsia="es-CR"/>
                <w14:ligatures w14:val="none"/>
              </w:rPr>
            </w:pPr>
            <w:r w:rsidRPr="002557A5">
              <w:rPr>
                <w:rFonts w:ascii="Calibri" w:eastAsia="Times New Roman" w:hAnsi="Calibri" w:cs="Arial"/>
                <w:color w:val="0070C0"/>
                <w:kern w:val="0"/>
                <w14:ligatures w14:val="none"/>
              </w:rPr>
              <w:t xml:space="preserve">Guía para la participación mediante la herramienta Big Blue </w:t>
            </w:r>
            <w:proofErr w:type="spellStart"/>
            <w:r w:rsidRPr="002557A5">
              <w:rPr>
                <w:rFonts w:ascii="Calibri" w:eastAsia="Times New Roman" w:hAnsi="Calibri" w:cs="Arial"/>
                <w:color w:val="0070C0"/>
                <w:kern w:val="0"/>
                <w14:ligatures w14:val="none"/>
              </w:rPr>
              <w:t>Button</w:t>
            </w:r>
            <w:proofErr w:type="spellEnd"/>
            <w:r w:rsidRPr="002557A5">
              <w:rPr>
                <w:rFonts w:ascii="Calibri" w:eastAsia="Times New Roman" w:hAnsi="Calibri" w:cs="Arial"/>
                <w:color w:val="0070C0"/>
                <w:kern w:val="0"/>
                <w14:ligatures w14:val="none"/>
              </w:rPr>
              <w:t xml:space="preserve"> en la plataforma Moodle</w:t>
            </w:r>
          </w:p>
        </w:tc>
        <w:tc>
          <w:tcPr>
            <w:tcW w:w="3118" w:type="dxa"/>
          </w:tcPr>
          <w:p w14:paraId="32C942D8" w14:textId="77777777" w:rsidR="002557A5" w:rsidRPr="002557A5" w:rsidRDefault="002557A5" w:rsidP="002557A5">
            <w:pPr>
              <w:widowControl w:val="0"/>
              <w:numPr>
                <w:ilvl w:val="0"/>
                <w:numId w:val="93"/>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Elaboración de un ensayo sobre la alteridad.</w:t>
            </w:r>
          </w:p>
          <w:p w14:paraId="6E1629B0" w14:textId="77777777" w:rsidR="002557A5" w:rsidRPr="002557A5" w:rsidRDefault="002557A5" w:rsidP="002557A5">
            <w:pPr>
              <w:widowControl w:val="0"/>
              <w:numPr>
                <w:ilvl w:val="0"/>
                <w:numId w:val="93"/>
              </w:numPr>
              <w:overflowPunct w:val="0"/>
              <w:autoSpaceDE w:val="0"/>
              <w:autoSpaceDN w:val="0"/>
              <w:adjustRightInd w:val="0"/>
              <w:spacing w:before="120"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kern w:val="0"/>
                <w14:ligatures w14:val="none"/>
              </w:rPr>
              <w:t>Exposición docente en un encuentro sincrónico virtual (formativo).</w:t>
            </w:r>
          </w:p>
        </w:tc>
      </w:tr>
      <w:tr w:rsidR="002557A5" w:rsidRPr="002557A5" w14:paraId="68D8C5E0" w14:textId="77777777" w:rsidTr="4C9C2619">
        <w:trPr>
          <w:jc w:val="center"/>
        </w:trPr>
        <w:tc>
          <w:tcPr>
            <w:tcW w:w="1271" w:type="dxa"/>
          </w:tcPr>
          <w:p w14:paraId="32B5CE8D"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8</w:t>
            </w:r>
          </w:p>
          <w:p w14:paraId="03C1C7B3"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p w14:paraId="3C16D4A7"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p>
        </w:tc>
        <w:tc>
          <w:tcPr>
            <w:tcW w:w="2552" w:type="dxa"/>
          </w:tcPr>
          <w:p w14:paraId="52E8CE1A" w14:textId="77777777" w:rsidR="002557A5" w:rsidRPr="002557A5" w:rsidRDefault="002557A5" w:rsidP="002557A5">
            <w:pPr>
              <w:spacing w:after="0" w:line="240" w:lineRule="auto"/>
              <w:ind w:left="34"/>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3: Problemas principales de la filosofía a lo largo de la historia</w:t>
            </w:r>
          </w:p>
          <w:p w14:paraId="4837A791"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1A2443A3"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7C439582" w14:textId="77777777" w:rsidR="002557A5" w:rsidRPr="002557A5" w:rsidRDefault="002557A5" w:rsidP="002557A5">
            <w:pPr>
              <w:spacing w:after="0" w:line="240" w:lineRule="auto"/>
              <w:ind w:left="34"/>
              <w:contextualSpacing/>
              <w:rPr>
                <w:rFonts w:ascii="Calibri" w:eastAsia="Calibri" w:hAnsi="Calibri" w:cs="Arial"/>
                <w:kern w:val="0"/>
                <w14:ligatures w14:val="none"/>
              </w:rPr>
            </w:pPr>
            <w:r w:rsidRPr="002557A5">
              <w:rPr>
                <w:rFonts w:ascii="Calibri" w:eastAsia="Calibri" w:hAnsi="Calibri" w:cs="Arial"/>
                <w:kern w:val="0"/>
                <w14:ligatures w14:val="none"/>
              </w:rPr>
              <w:t>3.2 Los problemas del conocimiento</w:t>
            </w:r>
          </w:p>
          <w:p w14:paraId="47CB9F80" w14:textId="77777777" w:rsidR="002557A5" w:rsidRPr="002557A5" w:rsidRDefault="002557A5" w:rsidP="002557A5">
            <w:pPr>
              <w:tabs>
                <w:tab w:val="left" w:pos="142"/>
              </w:tabs>
              <w:spacing w:after="0" w:line="240" w:lineRule="auto"/>
              <w:contextualSpacing/>
              <w:rPr>
                <w:rFonts w:ascii="Calibri" w:eastAsia="Calibri" w:hAnsi="Calibri" w:cs="Arial"/>
                <w:color w:val="000000"/>
                <w:kern w:val="0"/>
                <w14:ligatures w14:val="none"/>
              </w:rPr>
            </w:pPr>
          </w:p>
        </w:tc>
        <w:tc>
          <w:tcPr>
            <w:tcW w:w="2835" w:type="dxa"/>
          </w:tcPr>
          <w:p w14:paraId="69B2D454"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lastRenderedPageBreak/>
              <w:t>Ruta de aprendizaje</w:t>
            </w:r>
          </w:p>
          <w:p w14:paraId="0C888AC3"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kern w:val="0"/>
                <w:lang w:val="es-ES_tradnl" w:eastAsia="es-CR"/>
                <w14:ligatures w14:val="none"/>
              </w:rPr>
              <w:t xml:space="preserve">Nussbaum, Martha C. “Las emociones como juicios de valor”. En </w:t>
            </w:r>
            <w:r w:rsidRPr="002557A5">
              <w:rPr>
                <w:rFonts w:ascii="Calibri" w:eastAsia="Times New Roman" w:hAnsi="Calibri" w:cs="Arial"/>
                <w:i/>
                <w:kern w:val="0"/>
                <w:lang w:val="es-ES_tradnl" w:eastAsia="es-CR"/>
                <w14:ligatures w14:val="none"/>
              </w:rPr>
              <w:t>Paisajes del pensamiento: la inteligencia de las emociones,</w:t>
            </w:r>
            <w:r w:rsidRPr="002557A5">
              <w:rPr>
                <w:rFonts w:ascii="Calibri" w:eastAsia="Times New Roman" w:hAnsi="Calibri" w:cs="Arial"/>
                <w:kern w:val="0"/>
                <w:lang w:val="es-ES_tradnl" w:eastAsia="es-CR"/>
                <w14:ligatures w14:val="none"/>
              </w:rPr>
              <w:t xml:space="preserve"> 41-112.</w:t>
            </w:r>
            <w:r w:rsidRPr="002557A5">
              <w:rPr>
                <w:rFonts w:ascii="Calibri" w:eastAsia="Times New Roman" w:hAnsi="Calibri" w:cs="Arial"/>
                <w:i/>
                <w:kern w:val="0"/>
                <w:lang w:val="es-ES_tradnl" w:eastAsia="es-CR"/>
                <w14:ligatures w14:val="none"/>
              </w:rPr>
              <w:t xml:space="preserve">  </w:t>
            </w:r>
            <w:r w:rsidRPr="002557A5">
              <w:rPr>
                <w:rFonts w:ascii="Calibri" w:eastAsia="Times New Roman" w:hAnsi="Calibri" w:cs="Arial"/>
                <w:kern w:val="0"/>
                <w:lang w:val="es-ES_tradnl" w:eastAsia="es-CR"/>
                <w14:ligatures w14:val="none"/>
              </w:rPr>
              <w:t xml:space="preserve">Traducción de Araceli Maira. </w:t>
            </w:r>
            <w:r w:rsidRPr="002557A5">
              <w:rPr>
                <w:rFonts w:ascii="Calibri" w:eastAsia="Times New Roman" w:hAnsi="Calibri" w:cs="Arial"/>
                <w:kern w:val="0"/>
                <w:lang w:val="es-ES_tradnl" w:eastAsia="es-CR"/>
                <w14:ligatures w14:val="none"/>
              </w:rPr>
              <w:lastRenderedPageBreak/>
              <w:t>Barcelona: Paidós, 2008.</w:t>
            </w:r>
            <w:r w:rsidRPr="002557A5">
              <w:rPr>
                <w:rFonts w:ascii="Calibri" w:eastAsia="Times New Roman" w:hAnsi="Calibri" w:cs="Calibri"/>
                <w:bCs/>
                <w:color w:val="0070C0"/>
                <w:kern w:val="0"/>
                <w:lang w:val="es-ES_tradnl" w:eastAsia="es-CR"/>
                <w14:ligatures w14:val="none"/>
              </w:rPr>
              <w:t xml:space="preserve"> (clásico, última edición)</w:t>
            </w:r>
          </w:p>
          <w:p w14:paraId="6D40120F" w14:textId="77777777" w:rsidR="002557A5" w:rsidRPr="002557A5" w:rsidRDefault="002557A5" w:rsidP="002557A5">
            <w:pPr>
              <w:spacing w:after="120" w:line="240" w:lineRule="auto"/>
              <w:rPr>
                <w:rFonts w:ascii="Calibri" w:eastAsia="Times New Roman" w:hAnsi="Calibri" w:cs="Arial"/>
                <w:kern w:val="0"/>
                <w14:ligatures w14:val="none"/>
              </w:rPr>
            </w:pPr>
          </w:p>
          <w:p w14:paraId="4E01C4A1" w14:textId="77777777" w:rsidR="002557A5" w:rsidRPr="002557A5" w:rsidRDefault="002557A5" w:rsidP="002557A5">
            <w:pPr>
              <w:spacing w:after="120" w:line="240" w:lineRule="auto"/>
              <w:rPr>
                <w:rFonts w:ascii="Calibri" w:eastAsia="Times New Roman" w:hAnsi="Calibri" w:cs="Arial"/>
                <w:b/>
                <w:bCs/>
                <w:color w:val="0070C0"/>
                <w:kern w:val="0"/>
                <w14:ligatures w14:val="none"/>
              </w:rPr>
            </w:pPr>
            <w:r w:rsidRPr="002557A5">
              <w:rPr>
                <w:rFonts w:ascii="Calibri" w:eastAsia="Times New Roman" w:hAnsi="Calibri" w:cs="Arial"/>
                <w:b/>
                <w:bCs/>
                <w:color w:val="0070C0"/>
                <w:kern w:val="0"/>
                <w14:ligatures w14:val="none"/>
              </w:rPr>
              <w:t>Material complementario</w:t>
            </w:r>
          </w:p>
          <w:p w14:paraId="34E14601"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Guía para la participación en un wiki en la plataforma Moodle</w:t>
            </w:r>
          </w:p>
        </w:tc>
        <w:tc>
          <w:tcPr>
            <w:tcW w:w="3118" w:type="dxa"/>
          </w:tcPr>
          <w:p w14:paraId="41477552" w14:textId="77777777" w:rsidR="002557A5" w:rsidRPr="002557A5" w:rsidRDefault="002557A5" w:rsidP="002557A5">
            <w:pPr>
              <w:widowControl w:val="0"/>
              <w:numPr>
                <w:ilvl w:val="0"/>
                <w:numId w:val="94"/>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lastRenderedPageBreak/>
              <w:t xml:space="preserve">Participación en la elaboración de un wiki sobre los problemas del conocimiento. </w:t>
            </w:r>
          </w:p>
          <w:p w14:paraId="6D6CA646" w14:textId="77777777" w:rsidR="002557A5" w:rsidRPr="002557A5" w:rsidRDefault="002557A5" w:rsidP="002557A5">
            <w:pPr>
              <w:widowControl w:val="0"/>
              <w:numPr>
                <w:ilvl w:val="0"/>
                <w:numId w:val="94"/>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Continuar con la elaboración de la monografía final.</w:t>
            </w:r>
          </w:p>
          <w:p w14:paraId="7C33C350" w14:textId="77777777" w:rsidR="002557A5" w:rsidRPr="002557A5" w:rsidRDefault="002557A5" w:rsidP="002557A5">
            <w:pPr>
              <w:spacing w:after="200" w:line="276" w:lineRule="auto"/>
              <w:ind w:left="312"/>
              <w:contextualSpacing/>
              <w:rPr>
                <w:rFonts w:ascii="Calibri" w:eastAsia="Calibri" w:hAnsi="Calibri" w:cs="Arial"/>
                <w:color w:val="000000"/>
                <w:kern w:val="0"/>
                <w14:ligatures w14:val="none"/>
              </w:rPr>
            </w:pPr>
          </w:p>
        </w:tc>
      </w:tr>
      <w:tr w:rsidR="002557A5" w:rsidRPr="002557A5" w14:paraId="4DF2FBEC" w14:textId="77777777" w:rsidTr="4C9C2619">
        <w:trPr>
          <w:jc w:val="center"/>
        </w:trPr>
        <w:tc>
          <w:tcPr>
            <w:tcW w:w="1271" w:type="dxa"/>
          </w:tcPr>
          <w:p w14:paraId="5F2C1F47" w14:textId="77777777" w:rsidR="002557A5" w:rsidRPr="002557A5" w:rsidRDefault="002557A5" w:rsidP="002557A5">
            <w:pPr>
              <w:tabs>
                <w:tab w:val="left" w:pos="142"/>
              </w:tabs>
              <w:spacing w:after="0" w:line="240" w:lineRule="auto"/>
              <w:ind w:left="-58"/>
              <w:contextualSpacing/>
              <w:jc w:val="center"/>
              <w:rPr>
                <w:rFonts w:ascii="Calibri" w:eastAsia="Calibri" w:hAnsi="Calibri" w:cs="Arial"/>
                <w:color w:val="000000"/>
                <w:kern w:val="0"/>
                <w14:ligatures w14:val="none"/>
              </w:rPr>
            </w:pPr>
            <w:r w:rsidRPr="002557A5">
              <w:rPr>
                <w:rFonts w:ascii="Calibri" w:eastAsia="Calibri" w:hAnsi="Calibri" w:cs="Arial"/>
                <w:color w:val="000000"/>
                <w:kern w:val="0"/>
                <w14:ligatures w14:val="none"/>
              </w:rPr>
              <w:lastRenderedPageBreak/>
              <w:t>9</w:t>
            </w:r>
          </w:p>
          <w:p w14:paraId="3AB8DF21" w14:textId="77777777" w:rsidR="002557A5" w:rsidRPr="002557A5" w:rsidRDefault="002557A5" w:rsidP="002557A5">
            <w:pPr>
              <w:tabs>
                <w:tab w:val="left" w:pos="142"/>
              </w:tabs>
              <w:spacing w:after="0" w:line="240" w:lineRule="auto"/>
              <w:ind w:left="-58"/>
              <w:contextualSpacing/>
              <w:jc w:val="center"/>
              <w:rPr>
                <w:rFonts w:ascii="Calibri" w:eastAsia="Calibri" w:hAnsi="Calibri" w:cs="Arial"/>
                <w:color w:val="000000"/>
                <w:kern w:val="0"/>
                <w14:ligatures w14:val="none"/>
              </w:rPr>
            </w:pPr>
          </w:p>
          <w:p w14:paraId="6154C3E3" w14:textId="77777777" w:rsidR="002557A5" w:rsidRPr="002557A5" w:rsidRDefault="002557A5" w:rsidP="002557A5">
            <w:pPr>
              <w:tabs>
                <w:tab w:val="left" w:pos="142"/>
              </w:tabs>
              <w:spacing w:after="0" w:line="240" w:lineRule="auto"/>
              <w:ind w:left="-58"/>
              <w:contextualSpacing/>
              <w:jc w:val="center"/>
              <w:rPr>
                <w:rFonts w:ascii="Calibri" w:eastAsia="Calibri" w:hAnsi="Calibri" w:cs="Arial"/>
                <w:color w:val="FF0000"/>
                <w:kern w:val="0"/>
                <w14:ligatures w14:val="none"/>
              </w:rPr>
            </w:pPr>
          </w:p>
        </w:tc>
        <w:tc>
          <w:tcPr>
            <w:tcW w:w="2552" w:type="dxa"/>
          </w:tcPr>
          <w:p w14:paraId="0BEBBF93" w14:textId="77777777" w:rsidR="002557A5" w:rsidRPr="002557A5" w:rsidRDefault="002557A5" w:rsidP="002557A5">
            <w:pPr>
              <w:spacing w:after="0" w:line="240" w:lineRule="auto"/>
              <w:ind w:left="34"/>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3: Problemas principales de la filosofía a lo largo de la historia</w:t>
            </w:r>
          </w:p>
          <w:p w14:paraId="6E21114A"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05A12824"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128DA20E" w14:textId="77777777" w:rsidR="002557A5" w:rsidRPr="002557A5" w:rsidRDefault="002557A5" w:rsidP="002557A5">
            <w:pPr>
              <w:spacing w:after="0" w:line="240" w:lineRule="auto"/>
              <w:ind w:left="34"/>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3.3 </w:t>
            </w:r>
            <w:r w:rsidRPr="002557A5">
              <w:rPr>
                <w:rFonts w:ascii="Calibri" w:eastAsia="Calibri" w:hAnsi="Calibri" w:cs="Arial"/>
                <w:kern w:val="0"/>
                <w:szCs w:val="18"/>
                <w14:ligatures w14:val="none"/>
              </w:rPr>
              <w:t>Los problemas de la ética</w:t>
            </w:r>
          </w:p>
          <w:p w14:paraId="5E8EB6AB" w14:textId="77777777" w:rsidR="002557A5" w:rsidRPr="002557A5" w:rsidRDefault="002557A5" w:rsidP="002557A5">
            <w:pPr>
              <w:spacing w:after="0" w:line="240" w:lineRule="auto"/>
              <w:ind w:left="318"/>
              <w:contextualSpacing/>
              <w:rPr>
                <w:rFonts w:ascii="Calibri" w:eastAsia="Calibri" w:hAnsi="Calibri" w:cs="Arial"/>
                <w:i/>
                <w:color w:val="000000"/>
                <w:kern w:val="0"/>
                <w14:ligatures w14:val="none"/>
              </w:rPr>
            </w:pPr>
          </w:p>
          <w:p w14:paraId="2402B82E" w14:textId="77777777" w:rsidR="002557A5" w:rsidRPr="002557A5" w:rsidRDefault="002557A5" w:rsidP="002557A5">
            <w:pPr>
              <w:widowControl w:val="0"/>
              <w:tabs>
                <w:tab w:val="left" w:pos="142"/>
              </w:tabs>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p>
        </w:tc>
        <w:tc>
          <w:tcPr>
            <w:tcW w:w="2835" w:type="dxa"/>
          </w:tcPr>
          <w:p w14:paraId="1760926F" w14:textId="77777777" w:rsidR="002557A5" w:rsidRPr="002557A5" w:rsidRDefault="002557A5" w:rsidP="002557A5">
            <w:pPr>
              <w:spacing w:after="120" w:line="240" w:lineRule="auto"/>
              <w:rPr>
                <w:rFonts w:ascii="Calibri" w:eastAsia="Times New Roman" w:hAnsi="Calibri" w:cs="Calibri"/>
                <w:bCs/>
                <w:kern w:val="0"/>
                <w:lang w:val="es-ES_tradnl" w:eastAsia="es-CR"/>
                <w14:ligatures w14:val="none"/>
              </w:rPr>
            </w:pPr>
            <w:r w:rsidRPr="002557A5">
              <w:rPr>
                <w:rFonts w:ascii="Calibri" w:eastAsia="Times New Roman" w:hAnsi="Calibri" w:cs="Arial"/>
                <w:color w:val="0070C0"/>
                <w:kern w:val="0"/>
                <w14:ligatures w14:val="none"/>
              </w:rPr>
              <w:t>Ruta de aprendizaje</w:t>
            </w:r>
          </w:p>
          <w:p w14:paraId="6EDE5801"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Calibri"/>
                <w:bCs/>
                <w:kern w:val="0"/>
                <w:lang w:val="es-ES_tradnl" w:eastAsia="es-CR"/>
                <w14:ligatures w14:val="none"/>
              </w:rPr>
              <w:t xml:space="preserve">Cifuentes Medina, José </w:t>
            </w:r>
            <w:proofErr w:type="spellStart"/>
            <w:r w:rsidRPr="002557A5">
              <w:rPr>
                <w:rFonts w:ascii="Calibri" w:eastAsia="Times New Roman" w:hAnsi="Calibri" w:cs="Calibri"/>
                <w:bCs/>
                <w:kern w:val="0"/>
                <w:lang w:val="es-ES_tradnl" w:eastAsia="es-CR"/>
                <w14:ligatures w14:val="none"/>
              </w:rPr>
              <w:t>Eriberto</w:t>
            </w:r>
            <w:proofErr w:type="spellEnd"/>
            <w:r w:rsidRPr="002557A5">
              <w:rPr>
                <w:rFonts w:ascii="Calibri" w:eastAsia="Times New Roman" w:hAnsi="Calibri" w:cs="Calibri"/>
                <w:bCs/>
                <w:kern w:val="0"/>
                <w:lang w:val="es-ES_tradnl" w:eastAsia="es-CR"/>
                <w14:ligatures w14:val="none"/>
              </w:rPr>
              <w:t xml:space="preserve"> y Jaime Andrés Torres Ortiz. “Reflexiones en y para la enseñanza de la historia de la ética”. </w:t>
            </w:r>
            <w:r w:rsidRPr="002557A5">
              <w:rPr>
                <w:rFonts w:ascii="Calibri" w:eastAsia="Times New Roman" w:hAnsi="Calibri" w:cs="Calibri"/>
                <w:bCs/>
                <w:i/>
                <w:iCs/>
                <w:kern w:val="0"/>
                <w:lang w:val="es-ES_tradnl" w:eastAsia="es-CR"/>
                <w14:ligatures w14:val="none"/>
              </w:rPr>
              <w:t>Hallazgos</w:t>
            </w:r>
            <w:r w:rsidRPr="002557A5">
              <w:rPr>
                <w:rFonts w:ascii="Calibri" w:eastAsia="Times New Roman" w:hAnsi="Calibri" w:cs="Calibri"/>
                <w:bCs/>
                <w:kern w:val="0"/>
                <w:lang w:val="es-ES_tradnl" w:eastAsia="es-CR"/>
                <w14:ligatures w14:val="none"/>
              </w:rPr>
              <w:t xml:space="preserve">, n. 31 (2019): 167–186. Acceso el 25 de agosto de 2023. </w:t>
            </w:r>
            <w:hyperlink r:id="rId165" w:history="1">
              <w:r w:rsidRPr="002557A5">
                <w:rPr>
                  <w:rFonts w:ascii="Calibri" w:eastAsia="Times New Roman" w:hAnsi="Calibri" w:cs="Calibri"/>
                  <w:bCs/>
                  <w:color w:val="0563C1"/>
                  <w:kern w:val="0"/>
                  <w:u w:val="single"/>
                  <w:lang w:val="es-ES_tradnl"/>
                  <w14:ligatures w14:val="none"/>
                </w:rPr>
                <w:t>https://doi.org/10.15332/s1794-3841.2019.0031.07</w:t>
              </w:r>
            </w:hyperlink>
            <w:r w:rsidRPr="002557A5">
              <w:rPr>
                <w:rFonts w:ascii="Calibri" w:eastAsia="Times New Roman" w:hAnsi="Calibri" w:cs="Arial"/>
                <w:kern w:val="0"/>
                <w14:ligatures w14:val="none"/>
              </w:rPr>
              <w:t xml:space="preserve">  </w:t>
            </w:r>
          </w:p>
          <w:p w14:paraId="62E31A98" w14:textId="77777777" w:rsidR="002557A5" w:rsidRPr="002557A5" w:rsidRDefault="002557A5" w:rsidP="002557A5">
            <w:pPr>
              <w:spacing w:after="120" w:line="240" w:lineRule="auto"/>
              <w:rPr>
                <w:rFonts w:ascii="Calibri" w:eastAsia="Times New Roman" w:hAnsi="Calibri" w:cs="Arial"/>
                <w:b/>
                <w:bCs/>
                <w:color w:val="0070C0"/>
                <w:kern w:val="0"/>
                <w14:ligatures w14:val="none"/>
              </w:rPr>
            </w:pPr>
            <w:r w:rsidRPr="002557A5">
              <w:rPr>
                <w:rFonts w:ascii="Calibri" w:eastAsia="Times New Roman" w:hAnsi="Calibri" w:cs="Arial"/>
                <w:b/>
                <w:bCs/>
                <w:color w:val="0070C0"/>
                <w:kern w:val="0"/>
                <w14:ligatures w14:val="none"/>
              </w:rPr>
              <w:t>Material complementario</w:t>
            </w:r>
          </w:p>
          <w:p w14:paraId="3D80195A" w14:textId="77777777" w:rsidR="002557A5" w:rsidRPr="002557A5" w:rsidRDefault="002557A5" w:rsidP="002557A5">
            <w:pPr>
              <w:spacing w:after="120" w:line="240" w:lineRule="auto"/>
              <w:rPr>
                <w:rFonts w:ascii="Calibri" w:eastAsia="Times New Roman" w:hAnsi="Calibri" w:cs="Arial"/>
                <w:color w:val="0070C0"/>
                <w:kern w:val="0"/>
                <w14:ligatures w14:val="none"/>
              </w:rPr>
            </w:pPr>
            <w:r w:rsidRPr="002557A5">
              <w:rPr>
                <w:rFonts w:ascii="Calibri" w:eastAsia="Times New Roman" w:hAnsi="Calibri" w:cs="Arial"/>
                <w:color w:val="0070C0"/>
                <w:kern w:val="0"/>
                <w14:ligatures w14:val="none"/>
              </w:rPr>
              <w:t>Guía para la participación en un foro en la plataforma Moodle</w:t>
            </w:r>
          </w:p>
          <w:p w14:paraId="76596D41" w14:textId="77777777" w:rsidR="002557A5" w:rsidRPr="002557A5" w:rsidRDefault="002557A5" w:rsidP="002557A5">
            <w:pPr>
              <w:spacing w:after="120" w:line="240" w:lineRule="auto"/>
              <w:rPr>
                <w:rFonts w:ascii="Calibri" w:eastAsia="Times New Roman" w:hAnsi="Calibri" w:cs="Arial"/>
                <w:color w:val="000000"/>
                <w:kern w:val="0"/>
                <w14:ligatures w14:val="none"/>
              </w:rPr>
            </w:pPr>
            <w:r w:rsidRPr="002557A5">
              <w:rPr>
                <w:rFonts w:ascii="Calibri" w:eastAsia="Times New Roman" w:hAnsi="Calibri" w:cs="Arial"/>
                <w:color w:val="0070C0"/>
                <w:kern w:val="0"/>
                <w14:ligatures w14:val="none"/>
              </w:rPr>
              <w:t xml:space="preserve">Guía para la participación mediante la herramienta Big Blue </w:t>
            </w:r>
            <w:proofErr w:type="spellStart"/>
            <w:r w:rsidRPr="002557A5">
              <w:rPr>
                <w:rFonts w:ascii="Calibri" w:eastAsia="Times New Roman" w:hAnsi="Calibri" w:cs="Arial"/>
                <w:color w:val="0070C0"/>
                <w:kern w:val="0"/>
                <w14:ligatures w14:val="none"/>
              </w:rPr>
              <w:t>Button</w:t>
            </w:r>
            <w:proofErr w:type="spellEnd"/>
            <w:r w:rsidRPr="002557A5">
              <w:rPr>
                <w:rFonts w:ascii="Calibri" w:eastAsia="Times New Roman" w:hAnsi="Calibri" w:cs="Arial"/>
                <w:color w:val="0070C0"/>
                <w:kern w:val="0"/>
                <w14:ligatures w14:val="none"/>
              </w:rPr>
              <w:t xml:space="preserve"> en la plataforma Moodle</w:t>
            </w:r>
          </w:p>
        </w:tc>
        <w:tc>
          <w:tcPr>
            <w:tcW w:w="3118" w:type="dxa"/>
          </w:tcPr>
          <w:p w14:paraId="5FC15577" w14:textId="77777777" w:rsidR="002557A5" w:rsidRPr="002557A5" w:rsidRDefault="002557A5" w:rsidP="002557A5">
            <w:pPr>
              <w:widowControl w:val="0"/>
              <w:numPr>
                <w:ilvl w:val="0"/>
                <w:numId w:val="95"/>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Participación en el foro temático grupal: Los problemas de la ética. </w:t>
            </w:r>
          </w:p>
          <w:p w14:paraId="16F8A401" w14:textId="77777777" w:rsidR="002557A5" w:rsidRPr="002557A5" w:rsidRDefault="002557A5" w:rsidP="002557A5">
            <w:pPr>
              <w:widowControl w:val="0"/>
              <w:numPr>
                <w:ilvl w:val="0"/>
                <w:numId w:val="95"/>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Exposición docente en un encuentro sincrónico virtual (formativo). </w:t>
            </w:r>
          </w:p>
          <w:p w14:paraId="5BB871CF" w14:textId="77777777" w:rsidR="002557A5" w:rsidRPr="002557A5" w:rsidRDefault="002557A5" w:rsidP="002557A5">
            <w:pPr>
              <w:widowControl w:val="0"/>
              <w:numPr>
                <w:ilvl w:val="0"/>
                <w:numId w:val="95"/>
              </w:numPr>
              <w:overflowPunct w:val="0"/>
              <w:autoSpaceDE w:val="0"/>
              <w:autoSpaceDN w:val="0"/>
              <w:adjustRightInd w:val="0"/>
              <w:spacing w:before="120"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kern w:val="0"/>
                <w14:ligatures w14:val="none"/>
              </w:rPr>
              <w:t>Continuar con la elaboración de la monografía final.</w:t>
            </w:r>
          </w:p>
        </w:tc>
      </w:tr>
      <w:tr w:rsidR="002557A5" w:rsidRPr="002557A5" w14:paraId="72AF65DC" w14:textId="77777777" w:rsidTr="4C9C2619">
        <w:trPr>
          <w:jc w:val="center"/>
        </w:trPr>
        <w:tc>
          <w:tcPr>
            <w:tcW w:w="1271" w:type="dxa"/>
          </w:tcPr>
          <w:p w14:paraId="7DB771E2"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10 </w:t>
            </w:r>
          </w:p>
          <w:p w14:paraId="0198F38D"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63C412DB" w14:textId="77777777" w:rsidR="002557A5" w:rsidRPr="002557A5" w:rsidRDefault="002557A5" w:rsidP="002557A5">
            <w:pPr>
              <w:spacing w:after="0" w:line="240" w:lineRule="auto"/>
              <w:ind w:left="34"/>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3: Problemas principales de la filosofía a lo largo de la historia</w:t>
            </w:r>
          </w:p>
          <w:p w14:paraId="741442F5"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4859AFC8" w14:textId="77777777" w:rsidR="002557A5" w:rsidRPr="002557A5" w:rsidRDefault="002557A5" w:rsidP="002557A5">
            <w:pPr>
              <w:spacing w:after="0" w:line="240" w:lineRule="auto"/>
              <w:ind w:left="34"/>
              <w:contextualSpacing/>
              <w:rPr>
                <w:rFonts w:ascii="Calibri" w:eastAsia="Calibri" w:hAnsi="Calibri" w:cs="Arial"/>
                <w:kern w:val="0"/>
                <w14:ligatures w14:val="none"/>
              </w:rPr>
            </w:pPr>
          </w:p>
          <w:p w14:paraId="33B97262" w14:textId="77777777" w:rsidR="002557A5" w:rsidRPr="002557A5" w:rsidRDefault="002557A5" w:rsidP="002557A5">
            <w:pPr>
              <w:spacing w:after="0" w:line="240" w:lineRule="auto"/>
              <w:ind w:left="34"/>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3.4 Los problemas de la estética </w:t>
            </w:r>
          </w:p>
          <w:p w14:paraId="6C65F490" w14:textId="77777777" w:rsidR="002557A5" w:rsidRPr="002557A5" w:rsidRDefault="002557A5" w:rsidP="002557A5">
            <w:pPr>
              <w:widowControl w:val="0"/>
              <w:overflowPunct w:val="0"/>
              <w:autoSpaceDE w:val="0"/>
              <w:autoSpaceDN w:val="0"/>
              <w:adjustRightInd w:val="0"/>
              <w:spacing w:before="120" w:after="0" w:line="240" w:lineRule="auto"/>
              <w:ind w:left="34"/>
              <w:rPr>
                <w:rFonts w:ascii="Calibri" w:eastAsia="Times New Roman" w:hAnsi="Calibri" w:cs="Arial"/>
                <w:color w:val="000000"/>
                <w:kern w:val="0"/>
                <w:lang w:val="es-ES_tradnl" w:eastAsia="es-CR"/>
                <w14:ligatures w14:val="none"/>
              </w:rPr>
            </w:pPr>
          </w:p>
        </w:tc>
        <w:tc>
          <w:tcPr>
            <w:tcW w:w="2835" w:type="dxa"/>
          </w:tcPr>
          <w:p w14:paraId="1E6425C9"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t>Ruta de aprendizaje</w:t>
            </w:r>
          </w:p>
          <w:p w14:paraId="030A5209"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Marrades, Julián. “Experiencia y verdad en la hermenéutica de Gadamer. Algunos problemas”. En </w:t>
            </w:r>
            <w:r w:rsidRPr="4C9C2619">
              <w:rPr>
                <w:rFonts w:ascii="Calibri" w:eastAsia="Times New Roman" w:hAnsi="Calibri" w:cs="Arial"/>
                <w:i/>
                <w:iCs/>
                <w:kern w:val="0"/>
                <w:lang w:val="es-ES" w:eastAsia="es-CR"/>
                <w14:ligatures w14:val="none"/>
              </w:rPr>
              <w:t xml:space="preserve">Caminos de la hermenéutica, </w:t>
            </w:r>
            <w:r w:rsidRPr="4C9C2619">
              <w:rPr>
                <w:rFonts w:ascii="Calibri" w:eastAsia="Times New Roman" w:hAnsi="Calibri" w:cs="Arial"/>
                <w:kern w:val="0"/>
                <w:lang w:val="es-ES" w:eastAsia="es-CR"/>
                <w14:ligatures w14:val="none"/>
              </w:rPr>
              <w:t xml:space="preserve">editado por Jacobo Muñoz y Ángel Manuel </w:t>
            </w:r>
            <w:proofErr w:type="spellStart"/>
            <w:r w:rsidRPr="4C9C2619">
              <w:rPr>
                <w:rFonts w:ascii="Calibri" w:eastAsia="Times New Roman" w:hAnsi="Calibri" w:cs="Arial"/>
                <w:kern w:val="0"/>
                <w:lang w:val="es-ES" w:eastAsia="es-CR"/>
                <w14:ligatures w14:val="none"/>
              </w:rPr>
              <w:t>Faerna</w:t>
            </w:r>
            <w:proofErr w:type="spellEnd"/>
            <w:r w:rsidRPr="4C9C2619">
              <w:rPr>
                <w:rFonts w:ascii="Calibri" w:eastAsia="Times New Roman" w:hAnsi="Calibri" w:cs="Arial"/>
                <w:kern w:val="0"/>
                <w:lang w:val="es-ES" w:eastAsia="es-CR"/>
                <w14:ligatures w14:val="none"/>
              </w:rPr>
              <w:t xml:space="preserve">, 71-95. Madrid: Biblioteca Nueva, 2006. </w:t>
            </w:r>
            <w:r w:rsidRPr="4C9C2619">
              <w:rPr>
                <w:rFonts w:ascii="Calibri" w:eastAsia="Times New Roman" w:hAnsi="Calibri" w:cs="Calibri"/>
                <w:color w:val="0070C0"/>
                <w:kern w:val="0"/>
                <w:lang w:val="es-ES" w:eastAsia="es-CR"/>
                <w14:ligatures w14:val="none"/>
              </w:rPr>
              <w:t>(clásico, última edición)</w:t>
            </w:r>
          </w:p>
          <w:p w14:paraId="3DF9D7B8" w14:textId="77777777" w:rsidR="002557A5" w:rsidRPr="002557A5" w:rsidRDefault="002557A5" w:rsidP="002557A5">
            <w:pPr>
              <w:spacing w:after="120" w:line="240" w:lineRule="auto"/>
              <w:rPr>
                <w:rFonts w:ascii="Calibri" w:eastAsia="Times New Roman" w:hAnsi="Calibri" w:cs="Arial"/>
                <w:kern w:val="0"/>
                <w14:ligatures w14:val="none"/>
              </w:rPr>
            </w:pPr>
          </w:p>
          <w:p w14:paraId="34D58D61" w14:textId="77777777" w:rsidR="002557A5" w:rsidRPr="002557A5" w:rsidRDefault="002557A5" w:rsidP="002557A5">
            <w:pPr>
              <w:spacing w:after="120" w:line="240" w:lineRule="auto"/>
              <w:rPr>
                <w:rFonts w:ascii="Calibri" w:eastAsia="Times New Roman" w:hAnsi="Calibri" w:cs="Arial"/>
                <w:kern w:val="0"/>
                <w14:ligatures w14:val="none"/>
              </w:rPr>
            </w:pPr>
          </w:p>
          <w:p w14:paraId="7F9DA36B" w14:textId="77777777" w:rsidR="002557A5" w:rsidRPr="002557A5" w:rsidRDefault="002557A5" w:rsidP="002557A5">
            <w:pPr>
              <w:shd w:val="clear" w:color="auto" w:fill="FFFFFF"/>
              <w:spacing w:after="0" w:line="0" w:lineRule="auto"/>
              <w:rPr>
                <w:rFonts w:ascii="Calibri" w:eastAsia="Times New Roman" w:hAnsi="Calibri" w:cs="Calibri"/>
                <w:color w:val="000000"/>
                <w:kern w:val="0"/>
                <w14:ligatures w14:val="none"/>
              </w:rPr>
            </w:pPr>
            <w:r w:rsidRPr="002557A5">
              <w:rPr>
                <w:rFonts w:ascii="Calibri" w:eastAsia="Times New Roman" w:hAnsi="Calibri" w:cs="Calibri"/>
                <w:color w:val="000000"/>
                <w:kern w:val="0"/>
                <w14:ligatures w14:val="none"/>
              </w:rPr>
              <w:t>hermenéutica.</w:t>
            </w:r>
          </w:p>
        </w:tc>
        <w:tc>
          <w:tcPr>
            <w:tcW w:w="3118" w:type="dxa"/>
          </w:tcPr>
          <w:p w14:paraId="5D933043" w14:textId="77777777" w:rsidR="002557A5" w:rsidRPr="002557A5" w:rsidRDefault="002557A5" w:rsidP="002557A5">
            <w:pPr>
              <w:widowControl w:val="0"/>
              <w:numPr>
                <w:ilvl w:val="0"/>
                <w:numId w:val="96"/>
              </w:numPr>
              <w:overflowPunct w:val="0"/>
              <w:autoSpaceDE w:val="0"/>
              <w:autoSpaceDN w:val="0"/>
              <w:adjustRightInd w:val="0"/>
              <w:spacing w:before="120" w:after="200" w:line="276" w:lineRule="auto"/>
              <w:ind w:left="312"/>
              <w:contextualSpacing/>
              <w:rPr>
                <w:rFonts w:ascii="Calibri" w:eastAsia="Calibri" w:hAnsi="Calibri" w:cs="Arial"/>
                <w:b/>
                <w:i/>
                <w:color w:val="000000"/>
                <w:kern w:val="0"/>
                <w14:ligatures w14:val="none"/>
              </w:rPr>
            </w:pPr>
            <w:r w:rsidRPr="002557A5">
              <w:rPr>
                <w:rFonts w:ascii="Calibri" w:eastAsia="Calibri" w:hAnsi="Calibri" w:cs="Arial"/>
                <w:color w:val="000000"/>
                <w:kern w:val="0"/>
                <w14:ligatures w14:val="none"/>
              </w:rPr>
              <w:t xml:space="preserve">Elaboración de un ensayo sobre hermenéutica filosófica y teología latinoamericana. </w:t>
            </w:r>
          </w:p>
        </w:tc>
      </w:tr>
      <w:tr w:rsidR="002557A5" w:rsidRPr="002557A5" w14:paraId="7B8F4CF3" w14:textId="77777777" w:rsidTr="4C9C2619">
        <w:trPr>
          <w:jc w:val="center"/>
        </w:trPr>
        <w:tc>
          <w:tcPr>
            <w:tcW w:w="1271" w:type="dxa"/>
          </w:tcPr>
          <w:p w14:paraId="4DE39BDD"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11 </w:t>
            </w:r>
          </w:p>
          <w:p w14:paraId="2FDF3957"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21A78018"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 xml:space="preserve">Unidad 4: Corrientes actuales de la filosofía: implicaciones para la </w:t>
            </w:r>
            <w:r w:rsidRPr="002557A5">
              <w:rPr>
                <w:rFonts w:ascii="Calibri" w:eastAsia="Calibri" w:hAnsi="Calibri" w:cs="Arial"/>
                <w:b/>
                <w:bCs/>
                <w:kern w:val="0"/>
                <w14:ligatures w14:val="none"/>
              </w:rPr>
              <w:lastRenderedPageBreak/>
              <w:t>teología, la práctica pastoral y la vida</w:t>
            </w:r>
          </w:p>
          <w:p w14:paraId="31E9E91E"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75A0F9EA"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3BA073EE" w14:textId="77777777" w:rsidR="002557A5" w:rsidRPr="002557A5" w:rsidRDefault="002557A5" w:rsidP="002557A5">
            <w:pPr>
              <w:spacing w:after="0" w:line="240" w:lineRule="auto"/>
              <w:contextualSpacing/>
              <w:rPr>
                <w:rFonts w:ascii="Calibri" w:eastAsia="Calibri" w:hAnsi="Calibri" w:cs="Arial"/>
                <w:color w:val="FF0000"/>
                <w:kern w:val="0"/>
                <w14:ligatures w14:val="none"/>
              </w:rPr>
            </w:pPr>
            <w:r w:rsidRPr="002557A5">
              <w:rPr>
                <w:rFonts w:ascii="Calibri" w:eastAsia="Calibri" w:hAnsi="Calibri" w:cs="Arial"/>
                <w:kern w:val="0"/>
                <w14:ligatures w14:val="none"/>
              </w:rPr>
              <w:t>4.1 Hermenéutica filosófica y filosofía intercultural</w:t>
            </w:r>
          </w:p>
        </w:tc>
        <w:tc>
          <w:tcPr>
            <w:tcW w:w="2835" w:type="dxa"/>
          </w:tcPr>
          <w:p w14:paraId="158C36EC"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lastRenderedPageBreak/>
              <w:t>Ruta de aprendizaje</w:t>
            </w:r>
          </w:p>
          <w:p w14:paraId="3F23BDD2"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Recas Bayón, Javier. “Hermenéutica crítica: seis </w:t>
            </w:r>
            <w:r w:rsidRPr="4C9C2619">
              <w:rPr>
                <w:rFonts w:ascii="Calibri" w:eastAsia="Times New Roman" w:hAnsi="Calibri" w:cs="Arial"/>
                <w:kern w:val="0"/>
                <w:lang w:val="es-ES" w:eastAsia="es-CR"/>
                <w14:ligatures w14:val="none"/>
              </w:rPr>
              <w:lastRenderedPageBreak/>
              <w:t xml:space="preserve">modelos”. En </w:t>
            </w:r>
            <w:r w:rsidRPr="4C9C2619">
              <w:rPr>
                <w:rFonts w:ascii="Calibri" w:eastAsia="Times New Roman" w:hAnsi="Calibri" w:cs="Arial"/>
                <w:i/>
                <w:iCs/>
                <w:kern w:val="0"/>
                <w:lang w:val="es-ES" w:eastAsia="es-CR"/>
                <w14:ligatures w14:val="none"/>
              </w:rPr>
              <w:t xml:space="preserve">Caminos de la hermenéutica, </w:t>
            </w:r>
            <w:r w:rsidRPr="4C9C2619">
              <w:rPr>
                <w:rFonts w:ascii="Calibri" w:eastAsia="Times New Roman" w:hAnsi="Calibri" w:cs="Arial"/>
                <w:kern w:val="0"/>
                <w:lang w:val="es-ES" w:eastAsia="es-CR"/>
                <w14:ligatures w14:val="none"/>
              </w:rPr>
              <w:t xml:space="preserve">editado por Jacobo Muñoz y Ángel Manuel </w:t>
            </w:r>
            <w:proofErr w:type="spellStart"/>
            <w:r w:rsidRPr="4C9C2619">
              <w:rPr>
                <w:rFonts w:ascii="Calibri" w:eastAsia="Times New Roman" w:hAnsi="Calibri" w:cs="Arial"/>
                <w:kern w:val="0"/>
                <w:lang w:val="es-ES" w:eastAsia="es-CR"/>
                <w14:ligatures w14:val="none"/>
              </w:rPr>
              <w:t>Faerna</w:t>
            </w:r>
            <w:proofErr w:type="spellEnd"/>
            <w:r w:rsidRPr="4C9C2619">
              <w:rPr>
                <w:rFonts w:ascii="Calibri" w:eastAsia="Times New Roman" w:hAnsi="Calibri" w:cs="Arial"/>
                <w:kern w:val="0"/>
                <w:lang w:val="es-ES" w:eastAsia="es-CR"/>
                <w14:ligatures w14:val="none"/>
              </w:rPr>
              <w:t xml:space="preserve">, 137-175. Madrid: Biblioteca Nueva, 2006. </w:t>
            </w:r>
            <w:r w:rsidRPr="4C9C2619">
              <w:rPr>
                <w:rFonts w:ascii="Calibri" w:eastAsia="Times New Roman" w:hAnsi="Calibri" w:cs="Calibri"/>
                <w:color w:val="0070C0"/>
                <w:kern w:val="0"/>
                <w:lang w:val="es-ES" w:eastAsia="es-CR"/>
                <w14:ligatures w14:val="none"/>
              </w:rPr>
              <w:t>(clásico, última edición)</w:t>
            </w:r>
          </w:p>
          <w:p w14:paraId="59360312" w14:textId="77777777" w:rsidR="002557A5" w:rsidRPr="002557A5" w:rsidRDefault="002557A5" w:rsidP="002557A5">
            <w:pPr>
              <w:spacing w:after="120" w:line="240" w:lineRule="auto"/>
              <w:rPr>
                <w:rFonts w:ascii="Calibri" w:eastAsia="Times New Roman" w:hAnsi="Calibri" w:cs="Arial"/>
                <w:kern w:val="0"/>
                <w14:ligatures w14:val="none"/>
              </w:rPr>
            </w:pPr>
          </w:p>
          <w:p w14:paraId="0820A4F5" w14:textId="77777777" w:rsidR="002557A5" w:rsidRPr="002557A5" w:rsidRDefault="002557A5" w:rsidP="002557A5">
            <w:pPr>
              <w:spacing w:after="120" w:line="240" w:lineRule="auto"/>
              <w:rPr>
                <w:rFonts w:ascii="Calibri" w:eastAsia="Times New Roman" w:hAnsi="Calibri" w:cs="Arial"/>
                <w:b/>
                <w:bCs/>
                <w:kern w:val="0"/>
                <w14:ligatures w14:val="none"/>
              </w:rPr>
            </w:pPr>
            <w:r w:rsidRPr="002557A5">
              <w:rPr>
                <w:rFonts w:ascii="Calibri" w:eastAsia="Times New Roman" w:hAnsi="Calibri" w:cs="Arial"/>
                <w:b/>
                <w:bCs/>
                <w:kern w:val="0"/>
                <w14:ligatures w14:val="none"/>
              </w:rPr>
              <w:t>Material complementario</w:t>
            </w:r>
          </w:p>
          <w:p w14:paraId="6764EF31" w14:textId="77777777" w:rsidR="002557A5" w:rsidRPr="002557A5" w:rsidRDefault="002557A5" w:rsidP="4C9C2619">
            <w:pPr>
              <w:spacing w:after="0" w:line="240" w:lineRule="auto"/>
              <w:rPr>
                <w:rFonts w:ascii="Calibri" w:eastAsia="Times New Roman" w:hAnsi="Calibri" w:cs="Arial"/>
                <w:color w:val="0070C0"/>
                <w:kern w:val="0"/>
                <w:lang w:val="es-ES" w:eastAsia="es-CR"/>
                <w14:ligatures w14:val="none"/>
              </w:rPr>
            </w:pPr>
            <w:proofErr w:type="spellStart"/>
            <w:r w:rsidRPr="4C9C2619">
              <w:rPr>
                <w:rFonts w:ascii="Calibri" w:eastAsia="Times New Roman" w:hAnsi="Calibri" w:cs="Calibri"/>
                <w:kern w:val="0"/>
                <w:lang w:val="es-ES" w:eastAsia="es-CR"/>
                <w14:ligatures w14:val="none"/>
              </w:rPr>
              <w:t>Scannone</w:t>
            </w:r>
            <w:proofErr w:type="spellEnd"/>
            <w:r w:rsidRPr="4C9C2619">
              <w:rPr>
                <w:rFonts w:ascii="Calibri" w:eastAsia="Times New Roman" w:hAnsi="Calibri" w:cs="Calibri"/>
                <w:kern w:val="0"/>
                <w:lang w:val="es-ES" w:eastAsia="es-CR"/>
                <w14:ligatures w14:val="none"/>
              </w:rPr>
              <w:t xml:space="preserve">, Juan Carlos. Prólogo a </w:t>
            </w:r>
            <w:r w:rsidRPr="4C9C2619">
              <w:rPr>
                <w:rFonts w:ascii="Calibri" w:eastAsia="Times New Roman" w:hAnsi="Calibri" w:cs="Calibri"/>
                <w:i/>
                <w:iCs/>
                <w:kern w:val="0"/>
                <w:lang w:val="es-ES" w:eastAsia="es-CR"/>
                <w14:ligatures w14:val="none"/>
              </w:rPr>
              <w:t>Hermenéutica y acción: de la hermenéutica del texto a la hermenéutica de la acción</w:t>
            </w:r>
            <w:r w:rsidRPr="4C9C2619">
              <w:rPr>
                <w:rFonts w:ascii="Calibri" w:eastAsia="Times New Roman" w:hAnsi="Calibri" w:cs="Calibri"/>
                <w:kern w:val="0"/>
                <w:lang w:val="es-ES" w:eastAsia="es-CR"/>
                <w14:ligatures w14:val="none"/>
              </w:rPr>
              <w:t xml:space="preserve">, de Paul Ricoeur, 9-19. Buenos Aires: Prometeo libros, 2008. </w:t>
            </w:r>
            <w:r w:rsidRPr="4C9C2619">
              <w:rPr>
                <w:rFonts w:ascii="Calibri" w:eastAsia="Times New Roman" w:hAnsi="Calibri" w:cs="Calibri"/>
                <w:color w:val="0070C0"/>
                <w:kern w:val="0"/>
                <w:lang w:val="es-ES" w:eastAsia="es-CR"/>
                <w14:ligatures w14:val="none"/>
              </w:rPr>
              <w:t>(clásico, última edición)</w:t>
            </w:r>
          </w:p>
          <w:p w14:paraId="263920BD" w14:textId="77777777" w:rsidR="002557A5" w:rsidRPr="002557A5" w:rsidRDefault="002557A5" w:rsidP="002557A5">
            <w:pPr>
              <w:spacing w:after="120" w:line="240" w:lineRule="auto"/>
              <w:rPr>
                <w:rFonts w:ascii="Calibri" w:eastAsia="Times New Roman" w:hAnsi="Calibri" w:cs="Calibri"/>
                <w:kern w:val="0"/>
                <w14:ligatures w14:val="none"/>
              </w:rPr>
            </w:pPr>
          </w:p>
          <w:p w14:paraId="78A9C8C0" w14:textId="77777777" w:rsidR="002557A5" w:rsidRPr="002557A5" w:rsidRDefault="002557A5" w:rsidP="002557A5">
            <w:pPr>
              <w:spacing w:after="120" w:line="240" w:lineRule="auto"/>
              <w:rPr>
                <w:rFonts w:ascii="Calibri" w:eastAsia="Times New Roman" w:hAnsi="Calibri" w:cs="Calibri"/>
                <w:color w:val="0070C0"/>
                <w:kern w:val="0"/>
                <w14:ligatures w14:val="none"/>
              </w:rPr>
            </w:pPr>
            <w:r w:rsidRPr="002557A5">
              <w:rPr>
                <w:rFonts w:ascii="Calibri" w:eastAsia="Times New Roman" w:hAnsi="Calibri" w:cs="Calibri"/>
                <w:color w:val="0070C0"/>
                <w:kern w:val="0"/>
                <w14:ligatures w14:val="none"/>
              </w:rPr>
              <w:t>Guía para la participación en un foro en la plataforma Moodle</w:t>
            </w:r>
          </w:p>
          <w:p w14:paraId="248762A4"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Calibri"/>
                <w:color w:val="0070C0"/>
                <w:kern w:val="0"/>
                <w14:ligatures w14:val="none"/>
              </w:rPr>
              <w:t xml:space="preserve">Guía para la participación mediante la herramienta Big Blue </w:t>
            </w:r>
            <w:proofErr w:type="spellStart"/>
            <w:r w:rsidRPr="002557A5">
              <w:rPr>
                <w:rFonts w:ascii="Calibri" w:eastAsia="Times New Roman" w:hAnsi="Calibri" w:cs="Calibri"/>
                <w:color w:val="0070C0"/>
                <w:kern w:val="0"/>
                <w14:ligatures w14:val="none"/>
              </w:rPr>
              <w:t>Button</w:t>
            </w:r>
            <w:proofErr w:type="spellEnd"/>
            <w:r w:rsidRPr="002557A5">
              <w:rPr>
                <w:rFonts w:ascii="Calibri" w:eastAsia="Times New Roman" w:hAnsi="Calibri" w:cs="Calibri"/>
                <w:color w:val="0070C0"/>
                <w:kern w:val="0"/>
                <w14:ligatures w14:val="none"/>
              </w:rPr>
              <w:t xml:space="preserve"> en la plataforma Moodle</w:t>
            </w:r>
          </w:p>
        </w:tc>
        <w:tc>
          <w:tcPr>
            <w:tcW w:w="3118" w:type="dxa"/>
          </w:tcPr>
          <w:p w14:paraId="78DFEED6" w14:textId="77777777" w:rsidR="002557A5" w:rsidRPr="002557A5" w:rsidRDefault="002557A5" w:rsidP="002557A5">
            <w:pPr>
              <w:widowControl w:val="0"/>
              <w:numPr>
                <w:ilvl w:val="0"/>
                <w:numId w:val="98"/>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lastRenderedPageBreak/>
              <w:t xml:space="preserve">Participación en el foro temático: Hermenéutica y obra de arte. </w:t>
            </w:r>
          </w:p>
          <w:p w14:paraId="41DA8FF6" w14:textId="77777777" w:rsidR="002557A5" w:rsidRPr="002557A5" w:rsidRDefault="002557A5" w:rsidP="002557A5">
            <w:pPr>
              <w:widowControl w:val="0"/>
              <w:numPr>
                <w:ilvl w:val="0"/>
                <w:numId w:val="98"/>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lastRenderedPageBreak/>
              <w:t xml:space="preserve">Exposición docente en un encuentro sincrónico virtual (formativo). </w:t>
            </w:r>
          </w:p>
          <w:p w14:paraId="78D1B2E5" w14:textId="77777777" w:rsidR="002557A5" w:rsidRPr="002557A5" w:rsidRDefault="002557A5" w:rsidP="002557A5">
            <w:pPr>
              <w:widowControl w:val="0"/>
              <w:numPr>
                <w:ilvl w:val="0"/>
                <w:numId w:val="98"/>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Entregar un segundo avance de la monografía final. </w:t>
            </w:r>
          </w:p>
          <w:p w14:paraId="1FC8F5ED" w14:textId="77777777" w:rsidR="002557A5" w:rsidRPr="002557A5" w:rsidRDefault="002557A5" w:rsidP="002557A5">
            <w:pPr>
              <w:spacing w:after="200" w:line="276" w:lineRule="auto"/>
              <w:ind w:left="720"/>
              <w:contextualSpacing/>
              <w:rPr>
                <w:rFonts w:ascii="Calibri" w:eastAsia="Calibri" w:hAnsi="Calibri" w:cs="Arial"/>
                <w:color w:val="000000"/>
                <w:kern w:val="0"/>
                <w14:ligatures w14:val="none"/>
              </w:rPr>
            </w:pPr>
          </w:p>
        </w:tc>
      </w:tr>
      <w:tr w:rsidR="002557A5" w:rsidRPr="002557A5" w14:paraId="6AC8593F" w14:textId="77777777" w:rsidTr="4C9C2619">
        <w:trPr>
          <w:jc w:val="center"/>
        </w:trPr>
        <w:tc>
          <w:tcPr>
            <w:tcW w:w="1271" w:type="dxa"/>
          </w:tcPr>
          <w:p w14:paraId="43880DE6"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lastRenderedPageBreak/>
              <w:t xml:space="preserve">  12 </w:t>
            </w:r>
          </w:p>
          <w:p w14:paraId="558A01B3"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2A70255E"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4: Corrientes actuales de la filosofía: implicaciones para la teología, la práctica pastoral y la vida</w:t>
            </w:r>
          </w:p>
          <w:p w14:paraId="2B564BDC"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28A9000E"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7673D759" w14:textId="77777777" w:rsidR="002557A5" w:rsidRPr="002557A5" w:rsidRDefault="002557A5" w:rsidP="002557A5">
            <w:pPr>
              <w:spacing w:after="0" w:line="240" w:lineRule="auto"/>
              <w:contextualSpacing/>
              <w:rPr>
                <w:rFonts w:ascii="Calibri" w:eastAsia="Calibri" w:hAnsi="Calibri" w:cs="Arial"/>
                <w:color w:val="FF0000"/>
                <w:kern w:val="0"/>
                <w14:ligatures w14:val="none"/>
              </w:rPr>
            </w:pPr>
            <w:r w:rsidRPr="002557A5">
              <w:rPr>
                <w:rFonts w:ascii="Calibri" w:eastAsia="Calibri" w:hAnsi="Calibri" w:cs="Arial"/>
                <w:kern w:val="0"/>
                <w14:ligatures w14:val="none"/>
              </w:rPr>
              <w:t xml:space="preserve">4.2 </w:t>
            </w:r>
            <w:r w:rsidRPr="002557A5">
              <w:rPr>
                <w:rFonts w:ascii="Calibri" w:eastAsia="Calibri" w:hAnsi="Calibri" w:cs="Calibri"/>
                <w:spacing w:val="-2"/>
                <w:kern w:val="28"/>
                <w14:ligatures w14:val="none"/>
              </w:rPr>
              <w:t>Filosofía y feminismo</w:t>
            </w:r>
          </w:p>
        </w:tc>
        <w:tc>
          <w:tcPr>
            <w:tcW w:w="2835" w:type="dxa"/>
          </w:tcPr>
          <w:p w14:paraId="55196F5C" w14:textId="77777777" w:rsidR="002557A5" w:rsidRPr="002557A5" w:rsidRDefault="002557A5" w:rsidP="002557A5">
            <w:pPr>
              <w:spacing w:after="120" w:line="240" w:lineRule="auto"/>
              <w:rPr>
                <w:rFonts w:ascii="Calibri" w:eastAsia="Times New Roman" w:hAnsi="Calibri" w:cs="Calibri"/>
                <w:kern w:val="0"/>
                <w14:ligatures w14:val="none"/>
              </w:rPr>
            </w:pPr>
            <w:r w:rsidRPr="002557A5">
              <w:rPr>
                <w:rFonts w:ascii="Calibri" w:eastAsia="Times New Roman" w:hAnsi="Calibri" w:cs="Arial"/>
                <w:color w:val="0070C0"/>
                <w:kern w:val="0"/>
                <w14:ligatures w14:val="none"/>
              </w:rPr>
              <w:t>Ruta de aprendizaje</w:t>
            </w:r>
          </w:p>
          <w:p w14:paraId="4BD20A57" w14:textId="77777777" w:rsidR="002557A5" w:rsidRPr="002557A5" w:rsidRDefault="002557A5" w:rsidP="002557A5">
            <w:pPr>
              <w:spacing w:after="120" w:line="240" w:lineRule="auto"/>
              <w:rPr>
                <w:rFonts w:ascii="Calibri" w:eastAsia="Times New Roman" w:hAnsi="Calibri" w:cs="Calibri"/>
                <w:color w:val="0563C1"/>
                <w:kern w:val="0"/>
                <w:u w:val="single"/>
                <w:shd w:val="clear" w:color="auto" w:fill="FFFFFF"/>
                <w14:ligatures w14:val="none"/>
              </w:rPr>
            </w:pPr>
            <w:r w:rsidRPr="002557A5">
              <w:rPr>
                <w:rFonts w:ascii="Calibri" w:eastAsia="Times New Roman" w:hAnsi="Calibri" w:cs="Calibri"/>
                <w:kern w:val="0"/>
                <w14:ligatures w14:val="none"/>
              </w:rPr>
              <w:t xml:space="preserve">Meléndez, Miriam. “Ethos feminista en filosofía”. </w:t>
            </w:r>
            <w:r w:rsidRPr="002557A5">
              <w:rPr>
                <w:rFonts w:ascii="Calibri" w:eastAsia="Times New Roman" w:hAnsi="Calibri" w:cs="Calibri"/>
                <w:i/>
                <w:kern w:val="0"/>
                <w14:ligatures w14:val="none"/>
              </w:rPr>
              <w:t>Realidad: Revista de Ciencias Sociales y Humanidades</w:t>
            </w:r>
            <w:r w:rsidRPr="002557A5">
              <w:rPr>
                <w:rFonts w:ascii="Calibri" w:eastAsia="Times New Roman" w:hAnsi="Calibri" w:cs="Calibri"/>
                <w:kern w:val="0"/>
                <w14:ligatures w14:val="none"/>
              </w:rPr>
              <w:t xml:space="preserve">, n. 151 (2018): 147-155. Acceso el 18 de diciembre de 2020. </w:t>
            </w:r>
            <w:hyperlink r:id="rId166" w:history="1">
              <w:r w:rsidRPr="002557A5">
                <w:rPr>
                  <w:rFonts w:ascii="Calibri" w:eastAsia="Times New Roman" w:hAnsi="Calibri" w:cs="Calibri"/>
                  <w:color w:val="0563C1"/>
                  <w:kern w:val="0"/>
                  <w:u w:val="single"/>
                  <w:shd w:val="clear" w:color="auto" w:fill="FFFFFF"/>
                  <w14:ligatures w14:val="none"/>
                </w:rPr>
                <w:t>https://doi.org/10.5377/realidad.v0i151.6808</w:t>
              </w:r>
            </w:hyperlink>
          </w:p>
          <w:p w14:paraId="53E3975A" w14:textId="77777777" w:rsidR="002557A5" w:rsidRPr="002557A5" w:rsidRDefault="002557A5" w:rsidP="002557A5">
            <w:pPr>
              <w:spacing w:after="120" w:line="240" w:lineRule="auto"/>
              <w:rPr>
                <w:rFonts w:ascii="Calibri" w:eastAsia="Times New Roman" w:hAnsi="Calibri" w:cs="Arial"/>
                <w:color w:val="000000"/>
                <w:kern w:val="0"/>
                <w14:ligatures w14:val="none"/>
              </w:rPr>
            </w:pPr>
          </w:p>
        </w:tc>
        <w:tc>
          <w:tcPr>
            <w:tcW w:w="3118" w:type="dxa"/>
          </w:tcPr>
          <w:p w14:paraId="5D32392D" w14:textId="77777777" w:rsidR="002557A5" w:rsidRPr="002557A5" w:rsidRDefault="002557A5" w:rsidP="002557A5">
            <w:pPr>
              <w:widowControl w:val="0"/>
              <w:numPr>
                <w:ilvl w:val="0"/>
                <w:numId w:val="97"/>
              </w:numPr>
              <w:overflowPunct w:val="0"/>
              <w:autoSpaceDE w:val="0"/>
              <w:autoSpaceDN w:val="0"/>
              <w:adjustRightInd w:val="0"/>
              <w:spacing w:before="120"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color w:val="000000"/>
                <w:kern w:val="0"/>
                <w14:ligatures w14:val="none"/>
              </w:rPr>
              <w:t xml:space="preserve">Elaboración de un ensayo sobre el feminismo y la teología latinoamericana. </w:t>
            </w:r>
          </w:p>
        </w:tc>
      </w:tr>
      <w:tr w:rsidR="002557A5" w:rsidRPr="002557A5" w14:paraId="4494735A" w14:textId="77777777" w:rsidTr="4C9C2619">
        <w:trPr>
          <w:jc w:val="center"/>
        </w:trPr>
        <w:tc>
          <w:tcPr>
            <w:tcW w:w="1271" w:type="dxa"/>
          </w:tcPr>
          <w:p w14:paraId="2314C74A"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13</w:t>
            </w:r>
          </w:p>
          <w:p w14:paraId="6F2E3008"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p w14:paraId="59F58E0D"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xml:space="preserve"> </w:t>
            </w:r>
          </w:p>
        </w:tc>
        <w:tc>
          <w:tcPr>
            <w:tcW w:w="2552" w:type="dxa"/>
          </w:tcPr>
          <w:p w14:paraId="3C577F56"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4: Corrientes actuales de la filosofía: implicaciones para la teología, la práctica pastoral y la vida</w:t>
            </w:r>
          </w:p>
          <w:p w14:paraId="03BCCE54"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7D4415F3"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380AF647"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4.3 Filosofía desde Latinoamérica y el Caribe</w:t>
            </w:r>
          </w:p>
          <w:p w14:paraId="1796C3F5" w14:textId="77777777" w:rsidR="002557A5" w:rsidRPr="002557A5" w:rsidRDefault="002557A5" w:rsidP="002557A5">
            <w:pPr>
              <w:spacing w:after="0" w:line="240" w:lineRule="auto"/>
              <w:ind w:left="34"/>
              <w:contextualSpacing/>
              <w:rPr>
                <w:rFonts w:ascii="Calibri" w:eastAsia="Calibri" w:hAnsi="Calibri" w:cs="Arial"/>
                <w:color w:val="000000"/>
                <w:kern w:val="0"/>
                <w14:ligatures w14:val="none"/>
              </w:rPr>
            </w:pPr>
          </w:p>
        </w:tc>
        <w:tc>
          <w:tcPr>
            <w:tcW w:w="2835" w:type="dxa"/>
          </w:tcPr>
          <w:p w14:paraId="0DE85065" w14:textId="77777777" w:rsidR="002557A5" w:rsidRPr="002557A5" w:rsidRDefault="002557A5" w:rsidP="002557A5">
            <w:pPr>
              <w:spacing w:after="120" w:line="240" w:lineRule="auto"/>
              <w:rPr>
                <w:rFonts w:ascii="Calibri" w:eastAsia="Times New Roman" w:hAnsi="Calibri" w:cs="Arial"/>
                <w:kern w:val="0"/>
                <w14:ligatures w14:val="none"/>
              </w:rPr>
            </w:pPr>
            <w:r w:rsidRPr="002557A5">
              <w:rPr>
                <w:rFonts w:ascii="Calibri" w:eastAsia="Times New Roman" w:hAnsi="Calibri" w:cs="Arial"/>
                <w:color w:val="0070C0"/>
                <w:kern w:val="0"/>
                <w14:ligatures w14:val="none"/>
              </w:rPr>
              <w:lastRenderedPageBreak/>
              <w:t>Ruta de aprendizaje</w:t>
            </w:r>
          </w:p>
          <w:p w14:paraId="2460E39F"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kern w:val="0"/>
                <w:lang w:val="es-ES_tradnl" w:eastAsia="es-CR"/>
                <w14:ligatures w14:val="none"/>
              </w:rPr>
              <w:t xml:space="preserve">Mora Rodríguez, Arnoldo. “El tema del hombre en la filosofía del siglo XX”. En </w:t>
            </w:r>
            <w:r w:rsidRPr="002557A5">
              <w:rPr>
                <w:rFonts w:ascii="Calibri" w:eastAsia="Times New Roman" w:hAnsi="Calibri" w:cs="Arial"/>
                <w:i/>
                <w:kern w:val="0"/>
                <w:lang w:val="es-ES_tradnl" w:eastAsia="es-CR"/>
                <w14:ligatures w14:val="none"/>
              </w:rPr>
              <w:t xml:space="preserve">Perspectivas filosóficas del hombre, </w:t>
            </w:r>
            <w:r w:rsidRPr="002557A5">
              <w:rPr>
                <w:rFonts w:ascii="Calibri" w:eastAsia="Times New Roman" w:hAnsi="Calibri" w:cs="Arial"/>
                <w:kern w:val="0"/>
                <w:lang w:val="es-ES_tradnl" w:eastAsia="es-CR"/>
                <w14:ligatures w14:val="none"/>
              </w:rPr>
              <w:t>187-200.</w:t>
            </w:r>
            <w:r w:rsidRPr="002557A5">
              <w:rPr>
                <w:rFonts w:ascii="Calibri" w:eastAsia="Times New Roman" w:hAnsi="Calibri" w:cs="Arial"/>
                <w:i/>
                <w:kern w:val="0"/>
                <w:lang w:val="es-ES_tradnl" w:eastAsia="es-CR"/>
                <w14:ligatures w14:val="none"/>
              </w:rPr>
              <w:t xml:space="preserve"> </w:t>
            </w:r>
            <w:r w:rsidRPr="002557A5">
              <w:rPr>
                <w:rFonts w:ascii="Calibri" w:eastAsia="Times New Roman" w:hAnsi="Calibri" w:cs="Arial"/>
                <w:kern w:val="0"/>
                <w:lang w:val="es-ES_tradnl" w:eastAsia="es-CR"/>
                <w14:ligatures w14:val="none"/>
              </w:rPr>
              <w:t xml:space="preserve">San José: EUNED, 2006. </w:t>
            </w:r>
            <w:r w:rsidRPr="002557A5">
              <w:rPr>
                <w:rFonts w:ascii="Calibri" w:eastAsia="Times New Roman" w:hAnsi="Calibri" w:cs="Calibri"/>
                <w:bCs/>
                <w:color w:val="0070C0"/>
                <w:kern w:val="0"/>
                <w:lang w:val="es-ES_tradnl" w:eastAsia="es-CR"/>
                <w14:ligatures w14:val="none"/>
              </w:rPr>
              <w:t>(clásico, última edición)</w:t>
            </w:r>
          </w:p>
          <w:p w14:paraId="340915B1" w14:textId="77777777" w:rsidR="002557A5" w:rsidRPr="002557A5" w:rsidRDefault="002557A5" w:rsidP="002557A5">
            <w:pPr>
              <w:spacing w:after="120" w:line="240" w:lineRule="auto"/>
              <w:rPr>
                <w:rFonts w:ascii="Calibri" w:eastAsia="Times New Roman" w:hAnsi="Calibri" w:cs="Arial"/>
                <w:b/>
                <w:bCs/>
                <w:kern w:val="0"/>
                <w14:ligatures w14:val="none"/>
              </w:rPr>
            </w:pPr>
            <w:r w:rsidRPr="002557A5">
              <w:rPr>
                <w:rFonts w:ascii="Calibri" w:eastAsia="Times New Roman" w:hAnsi="Calibri" w:cs="Arial"/>
                <w:b/>
                <w:bCs/>
                <w:kern w:val="0"/>
                <w14:ligatures w14:val="none"/>
              </w:rPr>
              <w:lastRenderedPageBreak/>
              <w:t>Material complementario</w:t>
            </w:r>
          </w:p>
          <w:p w14:paraId="5B91F35A"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Calibri"/>
                <w:kern w:val="0"/>
                <w:lang w:val="es-ES_tradnl" w:eastAsia="es-CR"/>
                <w14:ligatures w14:val="none"/>
              </w:rPr>
              <w:t xml:space="preserve">Mora Rodríguez, Arnoldo. “La filosofía latinoamericana en el siglo XX: etapas históricas y rasgos característicos”. En </w:t>
            </w:r>
            <w:r w:rsidRPr="002557A5">
              <w:rPr>
                <w:rFonts w:ascii="Calibri" w:eastAsia="Times New Roman" w:hAnsi="Calibri" w:cs="Calibri"/>
                <w:i/>
                <w:kern w:val="0"/>
                <w:lang w:val="es-ES_tradnl" w:eastAsia="es-CR"/>
                <w14:ligatures w14:val="none"/>
              </w:rPr>
              <w:t>La filosofía latinoamericana: introducción histórica</w:t>
            </w:r>
            <w:r w:rsidRPr="002557A5">
              <w:rPr>
                <w:rFonts w:ascii="Calibri" w:eastAsia="Times New Roman" w:hAnsi="Calibri" w:cs="Calibri"/>
                <w:iCs/>
                <w:kern w:val="0"/>
                <w:lang w:val="es-ES_tradnl" w:eastAsia="es-CR"/>
                <w14:ligatures w14:val="none"/>
              </w:rPr>
              <w:t>, 330-352.</w:t>
            </w:r>
            <w:r w:rsidRPr="002557A5">
              <w:rPr>
                <w:rFonts w:ascii="Calibri" w:eastAsia="Times New Roman" w:hAnsi="Calibri" w:cs="Calibri"/>
                <w:i/>
                <w:kern w:val="0"/>
                <w:lang w:val="es-ES_tradnl" w:eastAsia="es-CR"/>
                <w14:ligatures w14:val="none"/>
              </w:rPr>
              <w:t xml:space="preserve"> </w:t>
            </w:r>
            <w:r w:rsidRPr="002557A5">
              <w:rPr>
                <w:rFonts w:ascii="Calibri" w:eastAsia="Times New Roman" w:hAnsi="Calibri" w:cs="Calibri"/>
                <w:kern w:val="0"/>
                <w:lang w:val="es-ES_tradnl" w:eastAsia="es-CR"/>
                <w14:ligatures w14:val="none"/>
              </w:rPr>
              <w:t xml:space="preserve">San José, C.R.: EUNED, 2006. </w:t>
            </w:r>
            <w:r w:rsidRPr="002557A5">
              <w:rPr>
                <w:rFonts w:ascii="Calibri" w:eastAsia="Times New Roman" w:hAnsi="Calibri" w:cs="Calibri"/>
                <w:bCs/>
                <w:color w:val="0070C0"/>
                <w:kern w:val="0"/>
                <w:lang w:val="es-ES_tradnl" w:eastAsia="es-CR"/>
                <w14:ligatures w14:val="none"/>
              </w:rPr>
              <w:t>(clásico, última edición)</w:t>
            </w:r>
          </w:p>
          <w:p w14:paraId="0931AB8D" w14:textId="77777777" w:rsidR="002557A5" w:rsidRPr="002557A5" w:rsidRDefault="002557A5" w:rsidP="002557A5">
            <w:pPr>
              <w:spacing w:after="120" w:line="240" w:lineRule="auto"/>
              <w:rPr>
                <w:rFonts w:ascii="Calibri" w:eastAsia="Times New Roman" w:hAnsi="Calibri" w:cs="Calibri"/>
                <w:kern w:val="0"/>
                <w14:ligatures w14:val="none"/>
              </w:rPr>
            </w:pPr>
          </w:p>
          <w:p w14:paraId="518EEA42" w14:textId="77777777" w:rsidR="002557A5" w:rsidRPr="002557A5" w:rsidRDefault="002557A5" w:rsidP="002557A5">
            <w:pPr>
              <w:spacing w:after="120" w:line="240" w:lineRule="auto"/>
              <w:rPr>
                <w:rFonts w:ascii="Calibri" w:eastAsia="Times New Roman" w:hAnsi="Calibri" w:cs="Calibri"/>
                <w:color w:val="0070C0"/>
                <w:kern w:val="0"/>
                <w14:ligatures w14:val="none"/>
              </w:rPr>
            </w:pPr>
            <w:r w:rsidRPr="002557A5">
              <w:rPr>
                <w:rFonts w:ascii="Calibri" w:eastAsia="Times New Roman" w:hAnsi="Calibri" w:cs="Calibri"/>
                <w:color w:val="0070C0"/>
                <w:kern w:val="0"/>
                <w14:ligatures w14:val="none"/>
              </w:rPr>
              <w:t>Guía para la participación en un glosario en la plataforma Moodle</w:t>
            </w:r>
          </w:p>
          <w:p w14:paraId="72BDBBFE" w14:textId="77777777" w:rsidR="002557A5" w:rsidRPr="002557A5" w:rsidRDefault="002557A5" w:rsidP="002557A5">
            <w:pPr>
              <w:spacing w:after="120" w:line="240" w:lineRule="auto"/>
              <w:rPr>
                <w:rFonts w:ascii="Calibri" w:eastAsia="Times New Roman" w:hAnsi="Calibri" w:cs="Calibri"/>
                <w:color w:val="0070C0"/>
                <w:kern w:val="0"/>
                <w14:ligatures w14:val="none"/>
              </w:rPr>
            </w:pPr>
            <w:r w:rsidRPr="002557A5">
              <w:rPr>
                <w:rFonts w:ascii="Calibri" w:eastAsia="Times New Roman" w:hAnsi="Calibri" w:cs="Calibri"/>
                <w:color w:val="0070C0"/>
                <w:kern w:val="0"/>
                <w14:ligatures w14:val="none"/>
              </w:rPr>
              <w:t xml:space="preserve">Guía para la participación mediante la herramienta Big Blue </w:t>
            </w:r>
            <w:proofErr w:type="spellStart"/>
            <w:r w:rsidRPr="002557A5">
              <w:rPr>
                <w:rFonts w:ascii="Calibri" w:eastAsia="Times New Roman" w:hAnsi="Calibri" w:cs="Calibri"/>
                <w:color w:val="0070C0"/>
                <w:kern w:val="0"/>
                <w14:ligatures w14:val="none"/>
              </w:rPr>
              <w:t>Button</w:t>
            </w:r>
            <w:proofErr w:type="spellEnd"/>
            <w:r w:rsidRPr="002557A5">
              <w:rPr>
                <w:rFonts w:ascii="Calibri" w:eastAsia="Times New Roman" w:hAnsi="Calibri" w:cs="Calibri"/>
                <w:color w:val="0070C0"/>
                <w:kern w:val="0"/>
                <w14:ligatures w14:val="none"/>
              </w:rPr>
              <w:t xml:space="preserve"> en la plataforma Moodle</w:t>
            </w:r>
          </w:p>
          <w:p w14:paraId="73E1ED31" w14:textId="77777777" w:rsidR="002557A5" w:rsidRPr="002557A5" w:rsidRDefault="002557A5" w:rsidP="002557A5">
            <w:pPr>
              <w:spacing w:after="120" w:line="240" w:lineRule="auto"/>
              <w:rPr>
                <w:rFonts w:ascii="Calibri" w:eastAsia="Times New Roman" w:hAnsi="Calibri" w:cs="Calibri"/>
                <w:kern w:val="0"/>
                <w14:ligatures w14:val="none"/>
              </w:rPr>
            </w:pPr>
          </w:p>
        </w:tc>
        <w:tc>
          <w:tcPr>
            <w:tcW w:w="3118" w:type="dxa"/>
          </w:tcPr>
          <w:p w14:paraId="3D555CA0" w14:textId="77777777" w:rsidR="002557A5" w:rsidRPr="002557A5" w:rsidRDefault="002557A5" w:rsidP="002557A5">
            <w:pPr>
              <w:widowControl w:val="0"/>
              <w:numPr>
                <w:ilvl w:val="0"/>
                <w:numId w:val="99"/>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lastRenderedPageBreak/>
              <w:t xml:space="preserve">Participación en la elaboración de un glosario sobre la filosofía desde Latinoamérica.  </w:t>
            </w:r>
          </w:p>
          <w:p w14:paraId="0ECF284A" w14:textId="77777777" w:rsidR="002557A5" w:rsidRPr="002557A5" w:rsidRDefault="002557A5" w:rsidP="002557A5">
            <w:pPr>
              <w:widowControl w:val="0"/>
              <w:numPr>
                <w:ilvl w:val="0"/>
                <w:numId w:val="99"/>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t>Exposición docente en un encuentro sincrónico virtual (formativo).</w:t>
            </w:r>
          </w:p>
          <w:p w14:paraId="3C496145" w14:textId="77777777" w:rsidR="002557A5" w:rsidRPr="002557A5" w:rsidRDefault="002557A5" w:rsidP="002557A5">
            <w:pPr>
              <w:widowControl w:val="0"/>
              <w:numPr>
                <w:ilvl w:val="0"/>
                <w:numId w:val="99"/>
              </w:numPr>
              <w:overflowPunct w:val="0"/>
              <w:autoSpaceDE w:val="0"/>
              <w:autoSpaceDN w:val="0"/>
              <w:adjustRightInd w:val="0"/>
              <w:spacing w:before="120" w:after="200" w:line="276" w:lineRule="auto"/>
              <w:ind w:left="316"/>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Continuar con la elaboración </w:t>
            </w:r>
            <w:r w:rsidRPr="002557A5">
              <w:rPr>
                <w:rFonts w:ascii="Calibri" w:eastAsia="Calibri" w:hAnsi="Calibri" w:cs="Arial"/>
                <w:kern w:val="0"/>
                <w14:ligatures w14:val="none"/>
              </w:rPr>
              <w:lastRenderedPageBreak/>
              <w:t xml:space="preserve">de la monografía final. </w:t>
            </w:r>
          </w:p>
          <w:p w14:paraId="66256B5B" w14:textId="77777777" w:rsidR="002557A5" w:rsidRPr="002557A5" w:rsidRDefault="002557A5" w:rsidP="002557A5">
            <w:pPr>
              <w:spacing w:after="200" w:line="276" w:lineRule="auto"/>
              <w:ind w:left="316"/>
              <w:contextualSpacing/>
              <w:rPr>
                <w:rFonts w:ascii="Calibri" w:eastAsia="Calibri" w:hAnsi="Calibri" w:cs="Arial"/>
                <w:color w:val="000000"/>
                <w:kern w:val="0"/>
                <w14:ligatures w14:val="none"/>
              </w:rPr>
            </w:pPr>
          </w:p>
        </w:tc>
      </w:tr>
      <w:tr w:rsidR="002557A5" w:rsidRPr="002557A5" w14:paraId="3E3C1825" w14:textId="77777777" w:rsidTr="4C9C2619">
        <w:trPr>
          <w:jc w:val="center"/>
        </w:trPr>
        <w:tc>
          <w:tcPr>
            <w:tcW w:w="1271" w:type="dxa"/>
          </w:tcPr>
          <w:p w14:paraId="0E1A0FC0"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lastRenderedPageBreak/>
              <w:t>14</w:t>
            </w:r>
          </w:p>
          <w:p w14:paraId="18DAFA3D"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23BEC68F"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4: Corrientes actuales de la filosofía: implicaciones para la teología, la práctica pastoral y la vida</w:t>
            </w:r>
          </w:p>
          <w:p w14:paraId="68D431F7"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2F8DBEA7"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6BD7D20D"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4.4 Presentación de trabajos finales</w:t>
            </w:r>
          </w:p>
          <w:p w14:paraId="51A21E34" w14:textId="77777777" w:rsidR="002557A5" w:rsidRPr="002557A5" w:rsidRDefault="002557A5" w:rsidP="002557A5">
            <w:pPr>
              <w:spacing w:after="0" w:line="240" w:lineRule="auto"/>
              <w:contextualSpacing/>
              <w:rPr>
                <w:rFonts w:ascii="Calibri" w:eastAsia="Calibri" w:hAnsi="Calibri" w:cs="Arial"/>
                <w:color w:val="FF0000"/>
                <w:kern w:val="0"/>
                <w14:ligatures w14:val="none"/>
              </w:rPr>
            </w:pPr>
          </w:p>
        </w:tc>
        <w:tc>
          <w:tcPr>
            <w:tcW w:w="2835" w:type="dxa"/>
          </w:tcPr>
          <w:p w14:paraId="536D96DE"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2E41A4A8"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p>
          <w:p w14:paraId="27568AFD" w14:textId="77777777" w:rsidR="002557A5" w:rsidRPr="002557A5" w:rsidRDefault="002557A5" w:rsidP="002557A5">
            <w:pPr>
              <w:spacing w:after="0" w:line="240" w:lineRule="auto"/>
              <w:rPr>
                <w:rFonts w:ascii="Calibri" w:eastAsia="Times New Roman" w:hAnsi="Calibri" w:cs="Arial"/>
                <w:color w:val="000000"/>
                <w:kern w:val="0"/>
                <w:lang w:val="es-ES_tradnl" w:eastAsia="es-CR"/>
                <w14:ligatures w14:val="none"/>
              </w:rPr>
            </w:pPr>
          </w:p>
        </w:tc>
        <w:tc>
          <w:tcPr>
            <w:tcW w:w="3118" w:type="dxa"/>
          </w:tcPr>
          <w:p w14:paraId="3E1ECA1A" w14:textId="77777777" w:rsidR="002557A5" w:rsidRPr="002557A5" w:rsidRDefault="002557A5" w:rsidP="002557A5">
            <w:pPr>
              <w:widowControl w:val="0"/>
              <w:numPr>
                <w:ilvl w:val="0"/>
                <w:numId w:val="100"/>
              </w:numPr>
              <w:overflowPunct w:val="0"/>
              <w:autoSpaceDE w:val="0"/>
              <w:autoSpaceDN w:val="0"/>
              <w:adjustRightInd w:val="0"/>
              <w:spacing w:before="120" w:after="200" w:line="276" w:lineRule="auto"/>
              <w:ind w:left="312"/>
              <w:contextualSpacing/>
              <w:rPr>
                <w:rFonts w:ascii="Calibri" w:eastAsia="Calibri" w:hAnsi="Calibri" w:cs="Arial"/>
                <w:kern w:val="0"/>
                <w14:ligatures w14:val="none"/>
              </w:rPr>
            </w:pPr>
            <w:r w:rsidRPr="002557A5">
              <w:rPr>
                <w:rFonts w:ascii="Calibri" w:eastAsia="Calibri" w:hAnsi="Calibri" w:cs="Arial"/>
                <w:kern w:val="0"/>
                <w14:ligatures w14:val="none"/>
              </w:rPr>
              <w:t xml:space="preserve">Entregar la monografía final. </w:t>
            </w:r>
          </w:p>
        </w:tc>
      </w:tr>
      <w:tr w:rsidR="002557A5" w:rsidRPr="002557A5" w14:paraId="535C5030" w14:textId="77777777" w:rsidTr="4C9C2619">
        <w:trPr>
          <w:jc w:val="center"/>
        </w:trPr>
        <w:tc>
          <w:tcPr>
            <w:tcW w:w="1271" w:type="dxa"/>
          </w:tcPr>
          <w:p w14:paraId="22770EF9"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15</w:t>
            </w:r>
          </w:p>
          <w:p w14:paraId="4C861D87" w14:textId="77777777" w:rsidR="002557A5" w:rsidRPr="002557A5" w:rsidRDefault="002557A5" w:rsidP="002557A5">
            <w:pPr>
              <w:widowControl w:val="0"/>
              <w:overflowPunct w:val="0"/>
              <w:autoSpaceDE w:val="0"/>
              <w:autoSpaceDN w:val="0"/>
              <w:adjustRightInd w:val="0"/>
              <w:spacing w:before="120" w:after="0" w:line="240" w:lineRule="auto"/>
              <w:ind w:left="-58"/>
              <w:jc w:val="center"/>
              <w:rPr>
                <w:rFonts w:ascii="Calibri" w:eastAsia="Times New Roman" w:hAnsi="Calibri" w:cs="Arial"/>
                <w:color w:val="FF0000"/>
                <w:kern w:val="0"/>
                <w:lang w:val="es-ES_tradnl" w:eastAsia="es-CR"/>
                <w14:ligatures w14:val="none"/>
              </w:rPr>
            </w:pPr>
          </w:p>
        </w:tc>
        <w:tc>
          <w:tcPr>
            <w:tcW w:w="2552" w:type="dxa"/>
          </w:tcPr>
          <w:p w14:paraId="5027B14A" w14:textId="77777777" w:rsidR="002557A5" w:rsidRPr="002557A5" w:rsidRDefault="002557A5" w:rsidP="002557A5">
            <w:pPr>
              <w:spacing w:after="0" w:line="240" w:lineRule="auto"/>
              <w:contextualSpacing/>
              <w:rPr>
                <w:rFonts w:ascii="Calibri" w:eastAsia="Calibri" w:hAnsi="Calibri" w:cs="Arial"/>
                <w:b/>
                <w:bCs/>
                <w:kern w:val="0"/>
                <w14:ligatures w14:val="none"/>
              </w:rPr>
            </w:pPr>
            <w:r w:rsidRPr="002557A5">
              <w:rPr>
                <w:rFonts w:ascii="Calibri" w:eastAsia="Calibri" w:hAnsi="Calibri" w:cs="Arial"/>
                <w:b/>
                <w:bCs/>
                <w:kern w:val="0"/>
                <w14:ligatures w14:val="none"/>
              </w:rPr>
              <w:t>Unidad 4: Corrientes actuales de la filosofía: implicaciones para la teología, la práctica pastoral y la vida</w:t>
            </w:r>
          </w:p>
          <w:p w14:paraId="1DC93748"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4B5A7F00" w14:textId="77777777" w:rsidR="002557A5" w:rsidRPr="002557A5" w:rsidRDefault="002557A5" w:rsidP="002557A5">
            <w:pPr>
              <w:spacing w:after="0" w:line="240" w:lineRule="auto"/>
              <w:contextualSpacing/>
              <w:rPr>
                <w:rFonts w:ascii="Calibri" w:eastAsia="Calibri" w:hAnsi="Calibri" w:cs="Arial"/>
                <w:kern w:val="0"/>
                <w14:ligatures w14:val="none"/>
              </w:rPr>
            </w:pPr>
          </w:p>
          <w:p w14:paraId="69C70587" w14:textId="77777777" w:rsidR="002557A5" w:rsidRPr="002557A5" w:rsidRDefault="002557A5" w:rsidP="002557A5">
            <w:pPr>
              <w:spacing w:after="0" w:line="240" w:lineRule="auto"/>
              <w:contextualSpacing/>
              <w:rPr>
                <w:rFonts w:ascii="Calibri" w:eastAsia="Calibri" w:hAnsi="Calibri" w:cs="Arial"/>
                <w:kern w:val="0"/>
                <w14:ligatures w14:val="none"/>
              </w:rPr>
            </w:pPr>
            <w:r w:rsidRPr="002557A5">
              <w:rPr>
                <w:rFonts w:ascii="Calibri" w:eastAsia="Calibri" w:hAnsi="Calibri" w:cs="Arial"/>
                <w:kern w:val="0"/>
                <w14:ligatures w14:val="none"/>
              </w:rPr>
              <w:t>4.4 Presentación de trabajos finales</w:t>
            </w:r>
          </w:p>
          <w:p w14:paraId="132C06C7" w14:textId="77777777" w:rsidR="002557A5" w:rsidRPr="002557A5" w:rsidRDefault="002557A5" w:rsidP="002557A5">
            <w:pPr>
              <w:spacing w:after="0" w:line="240" w:lineRule="auto"/>
              <w:contextualSpacing/>
              <w:rPr>
                <w:rFonts w:ascii="Calibri" w:eastAsia="Calibri" w:hAnsi="Calibri" w:cs="Arial"/>
                <w:color w:val="FF0000"/>
                <w:kern w:val="0"/>
                <w14:ligatures w14:val="none"/>
              </w:rPr>
            </w:pPr>
          </w:p>
        </w:tc>
        <w:tc>
          <w:tcPr>
            <w:tcW w:w="2835" w:type="dxa"/>
          </w:tcPr>
          <w:p w14:paraId="1B0CC800"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Ruta de aprendizaje</w:t>
            </w:r>
          </w:p>
          <w:p w14:paraId="54617B52" w14:textId="77777777" w:rsidR="002557A5" w:rsidRPr="002557A5" w:rsidRDefault="002557A5" w:rsidP="002557A5">
            <w:pPr>
              <w:spacing w:after="0" w:line="240" w:lineRule="auto"/>
              <w:rPr>
                <w:rFonts w:ascii="Calibri" w:eastAsia="Times New Roman" w:hAnsi="Calibri" w:cs="Arial"/>
                <w:color w:val="0070C0"/>
                <w:kern w:val="0"/>
                <w:lang w:val="es-ES_tradnl" w:eastAsia="es-CR"/>
                <w14:ligatures w14:val="none"/>
              </w:rPr>
            </w:pPr>
          </w:p>
          <w:p w14:paraId="3AC4D208"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r w:rsidRPr="002557A5">
              <w:rPr>
                <w:rFonts w:ascii="Calibri" w:eastAsia="Times New Roman" w:hAnsi="Calibri" w:cs="Arial"/>
                <w:b/>
                <w:bCs/>
                <w:color w:val="0070C0"/>
                <w:kern w:val="0"/>
                <w:lang w:val="es-ES_tradnl" w:eastAsia="es-CR"/>
                <w14:ligatures w14:val="none"/>
              </w:rPr>
              <w:t>Material complementario</w:t>
            </w:r>
          </w:p>
          <w:p w14:paraId="2BBA3D32" w14:textId="77777777" w:rsidR="002557A5" w:rsidRPr="002557A5" w:rsidRDefault="002557A5" w:rsidP="002557A5">
            <w:pPr>
              <w:spacing w:after="0" w:line="240" w:lineRule="auto"/>
              <w:rPr>
                <w:rFonts w:ascii="Calibri" w:eastAsia="Times New Roman" w:hAnsi="Calibri" w:cs="Arial"/>
                <w:b/>
                <w:bCs/>
                <w:color w:val="0070C0"/>
                <w:kern w:val="0"/>
                <w:lang w:val="es-ES_tradnl" w:eastAsia="es-CR"/>
                <w14:ligatures w14:val="none"/>
              </w:rPr>
            </w:pPr>
          </w:p>
          <w:p w14:paraId="22CA7B29" w14:textId="77777777" w:rsidR="002557A5" w:rsidRPr="002557A5" w:rsidRDefault="002557A5" w:rsidP="4C9C2619">
            <w:pPr>
              <w:spacing w:after="0" w:line="240" w:lineRule="auto"/>
              <w:rPr>
                <w:rFonts w:ascii="Calibri" w:eastAsia="Times New Roman" w:hAnsi="Calibri" w:cs="Arial"/>
                <w:color w:val="000000"/>
                <w:kern w:val="0"/>
                <w:lang w:val="es-ES" w:eastAsia="es-CR"/>
                <w14:ligatures w14:val="none"/>
              </w:rPr>
            </w:pPr>
            <w:r w:rsidRPr="4C9C2619">
              <w:rPr>
                <w:rFonts w:ascii="Calibri" w:eastAsia="Times New Roman" w:hAnsi="Calibri" w:cs="Arial"/>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Arial"/>
                <w:color w:val="0070C0"/>
                <w:kern w:val="0"/>
                <w:lang w:val="es-ES" w:eastAsia="es-CR"/>
                <w14:ligatures w14:val="none"/>
              </w:rPr>
              <w:t>Button</w:t>
            </w:r>
            <w:proofErr w:type="spellEnd"/>
            <w:r w:rsidRPr="4C9C2619">
              <w:rPr>
                <w:rFonts w:ascii="Calibri" w:eastAsia="Times New Roman" w:hAnsi="Calibri" w:cs="Arial"/>
                <w:color w:val="0070C0"/>
                <w:kern w:val="0"/>
                <w:lang w:val="es-ES" w:eastAsia="es-CR"/>
                <w14:ligatures w14:val="none"/>
              </w:rPr>
              <w:t xml:space="preserve"> en la plataforma Moodle</w:t>
            </w:r>
          </w:p>
        </w:tc>
        <w:tc>
          <w:tcPr>
            <w:tcW w:w="3118" w:type="dxa"/>
          </w:tcPr>
          <w:p w14:paraId="4CE39F1F" w14:textId="77777777" w:rsidR="002557A5" w:rsidRPr="002557A5" w:rsidRDefault="002557A5" w:rsidP="002557A5">
            <w:pPr>
              <w:widowControl w:val="0"/>
              <w:numPr>
                <w:ilvl w:val="0"/>
                <w:numId w:val="101"/>
              </w:numPr>
              <w:overflowPunct w:val="0"/>
              <w:autoSpaceDE w:val="0"/>
              <w:autoSpaceDN w:val="0"/>
              <w:adjustRightInd w:val="0"/>
              <w:spacing w:before="120" w:after="200" w:line="276" w:lineRule="auto"/>
              <w:ind w:left="312"/>
              <w:contextualSpacing/>
              <w:rPr>
                <w:rFonts w:ascii="Calibri" w:eastAsia="Calibri" w:hAnsi="Calibri" w:cs="Arial"/>
                <w:color w:val="000000"/>
                <w:kern w:val="0"/>
                <w14:ligatures w14:val="none"/>
              </w:rPr>
            </w:pPr>
            <w:r w:rsidRPr="002557A5">
              <w:rPr>
                <w:rFonts w:ascii="Calibri" w:eastAsia="Calibri" w:hAnsi="Calibri" w:cs="Arial"/>
                <w:kern w:val="0"/>
                <w14:ligatures w14:val="none"/>
              </w:rPr>
              <w:t xml:space="preserve">Exposición de los principales puntos de la monografía final en un encuentro sincrónico virtual. </w:t>
            </w:r>
          </w:p>
        </w:tc>
      </w:tr>
    </w:tbl>
    <w:p w14:paraId="177D18CF" w14:textId="77777777" w:rsidR="002557A5" w:rsidRPr="002557A5" w:rsidRDefault="002557A5" w:rsidP="002557A5">
      <w:pPr>
        <w:rPr>
          <w:rFonts w:ascii="Calibri" w:eastAsia="Times New Roman" w:hAnsi="Calibri" w:cs="Calibri"/>
          <w:b/>
          <w:bCs/>
          <w:color w:val="000000"/>
          <w:kern w:val="0"/>
          <w:lang w:val="es-ES_tradnl" w:eastAsia="es-CR"/>
          <w14:ligatures w14:val="none"/>
        </w:rPr>
      </w:pPr>
      <w:r w:rsidRPr="002557A5">
        <w:rPr>
          <w:rFonts w:ascii="Calibri" w:eastAsia="Times New Roman" w:hAnsi="Calibri" w:cs="Calibri"/>
          <w:b/>
          <w:bCs/>
          <w:color w:val="000000"/>
          <w:kern w:val="0"/>
          <w:lang w:val="es-ES_tradnl" w:eastAsia="es-CR"/>
          <w14:ligatures w14:val="none"/>
        </w:rPr>
        <w:br w:type="page"/>
      </w:r>
    </w:p>
    <w:p w14:paraId="352D68BC"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2557A5">
        <w:rPr>
          <w:rFonts w:ascii="Calibri" w:eastAsia="Times New Roman" w:hAnsi="Calibri" w:cs="Calibri"/>
          <w:b/>
          <w:bCs/>
          <w:color w:val="000000"/>
          <w:kern w:val="0"/>
          <w:lang w:val="es-ES_tradnl" w:eastAsia="es-CR"/>
          <w14:ligatures w14:val="none"/>
        </w:rPr>
        <w:lastRenderedPageBreak/>
        <w:t>IX. Distribución de tiempo semanal</w:t>
      </w:r>
    </w:p>
    <w:p w14:paraId="2A17BC3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2557A5">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informes, discusiones en foros o trabajos colaborativos.  Debe considerarse que, al tener este curso asignados 3 créditos, se debe invertir 9 horas de trabajo por semana. La distribución de tiempos es la siguiente:</w:t>
      </w:r>
    </w:p>
    <w:p w14:paraId="6B9CE54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7769" w:type="dxa"/>
        <w:tblInd w:w="529" w:type="dxa"/>
        <w:tblLook w:val="04A0" w:firstRow="1" w:lastRow="0" w:firstColumn="1" w:lastColumn="0" w:noHBand="0" w:noVBand="1"/>
      </w:tblPr>
      <w:tblGrid>
        <w:gridCol w:w="1751"/>
        <w:gridCol w:w="1253"/>
        <w:gridCol w:w="4765"/>
      </w:tblGrid>
      <w:tr w:rsidR="002557A5" w:rsidRPr="002557A5" w14:paraId="28513F32" w14:textId="77777777" w:rsidTr="00CE7124">
        <w:trPr>
          <w:trHeight w:val="649"/>
        </w:trPr>
        <w:tc>
          <w:tcPr>
            <w:tcW w:w="1751" w:type="dxa"/>
            <w:vAlign w:val="center"/>
          </w:tcPr>
          <w:p w14:paraId="7D15617B"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Tipo de horas</w:t>
            </w:r>
          </w:p>
          <w:p w14:paraId="3849B9F9"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(categoría)</w:t>
            </w:r>
          </w:p>
        </w:tc>
        <w:tc>
          <w:tcPr>
            <w:tcW w:w="1253" w:type="dxa"/>
            <w:vAlign w:val="center"/>
          </w:tcPr>
          <w:p w14:paraId="7F705CE5"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Horas por semana</w:t>
            </w:r>
          </w:p>
        </w:tc>
        <w:tc>
          <w:tcPr>
            <w:tcW w:w="4765" w:type="dxa"/>
            <w:vAlign w:val="center"/>
          </w:tcPr>
          <w:p w14:paraId="14A8BC6C"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Actividades relacionadas</w:t>
            </w:r>
          </w:p>
        </w:tc>
      </w:tr>
      <w:tr w:rsidR="002557A5" w:rsidRPr="002557A5" w14:paraId="7C675AE9" w14:textId="77777777" w:rsidTr="00CE7124">
        <w:trPr>
          <w:trHeight w:val="1190"/>
        </w:trPr>
        <w:tc>
          <w:tcPr>
            <w:tcW w:w="1751" w:type="dxa"/>
            <w:vAlign w:val="center"/>
          </w:tcPr>
          <w:p w14:paraId="4FF23156"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Horas de Estudio Individual (HEI)</w:t>
            </w:r>
          </w:p>
        </w:tc>
        <w:tc>
          <w:tcPr>
            <w:tcW w:w="1253" w:type="dxa"/>
            <w:vAlign w:val="center"/>
          </w:tcPr>
          <w:p w14:paraId="195B97B9"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3</w:t>
            </w:r>
          </w:p>
        </w:tc>
        <w:tc>
          <w:tcPr>
            <w:tcW w:w="4765" w:type="dxa"/>
          </w:tcPr>
          <w:p w14:paraId="69D841C3" w14:textId="77777777" w:rsidR="002557A5" w:rsidRPr="002557A5" w:rsidRDefault="002557A5" w:rsidP="002557A5">
            <w:pPr>
              <w:numPr>
                <w:ilvl w:val="0"/>
                <w:numId w:val="34"/>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Lectura de los textos (materiales en formato digital)</w:t>
            </w:r>
          </w:p>
          <w:p w14:paraId="285FC077" w14:textId="77777777" w:rsidR="002557A5" w:rsidRPr="002557A5" w:rsidRDefault="002557A5" w:rsidP="002557A5">
            <w:pPr>
              <w:numPr>
                <w:ilvl w:val="0"/>
                <w:numId w:val="34"/>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Análisis de lecturas e investigación por cuenta propia</w:t>
            </w:r>
          </w:p>
        </w:tc>
      </w:tr>
      <w:tr w:rsidR="002557A5" w:rsidRPr="002557A5" w14:paraId="3BE6D084" w14:textId="77777777" w:rsidTr="00CE7124">
        <w:trPr>
          <w:trHeight w:val="1986"/>
        </w:trPr>
        <w:tc>
          <w:tcPr>
            <w:tcW w:w="1751" w:type="dxa"/>
            <w:vAlign w:val="center"/>
          </w:tcPr>
          <w:p w14:paraId="24179A00"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Horas de Trabajo Colaborativo (HTC)</w:t>
            </w:r>
          </w:p>
        </w:tc>
        <w:tc>
          <w:tcPr>
            <w:tcW w:w="1253" w:type="dxa"/>
            <w:vAlign w:val="center"/>
          </w:tcPr>
          <w:p w14:paraId="387BC77E"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2</w:t>
            </w:r>
          </w:p>
        </w:tc>
        <w:tc>
          <w:tcPr>
            <w:tcW w:w="4765" w:type="dxa"/>
          </w:tcPr>
          <w:p w14:paraId="7FA11046" w14:textId="77777777" w:rsidR="002557A5" w:rsidRPr="002557A5" w:rsidRDefault="002557A5" w:rsidP="002557A5">
            <w:pPr>
              <w:numPr>
                <w:ilvl w:val="0"/>
                <w:numId w:val="35"/>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Participación en los foros (incluye aportes personales y réplicas a los y las demás estudiantes.</w:t>
            </w:r>
          </w:p>
          <w:p w14:paraId="60FA5606" w14:textId="77777777" w:rsidR="002557A5" w:rsidRPr="002557A5" w:rsidRDefault="002557A5" w:rsidP="002557A5">
            <w:pPr>
              <w:numPr>
                <w:ilvl w:val="0"/>
                <w:numId w:val="35"/>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 xml:space="preserve">Participación en la elaboración de glosarios. </w:t>
            </w:r>
          </w:p>
          <w:p w14:paraId="7EC3031C" w14:textId="77777777" w:rsidR="002557A5" w:rsidRPr="002557A5" w:rsidRDefault="002557A5" w:rsidP="002557A5">
            <w:pPr>
              <w:numPr>
                <w:ilvl w:val="0"/>
                <w:numId w:val="35"/>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 xml:space="preserve">Participación en la elaboración de un wiki. </w:t>
            </w:r>
          </w:p>
          <w:p w14:paraId="1A5B4EB2" w14:textId="77777777" w:rsidR="002557A5" w:rsidRPr="002557A5" w:rsidRDefault="002557A5" w:rsidP="002557A5">
            <w:pPr>
              <w:numPr>
                <w:ilvl w:val="0"/>
                <w:numId w:val="35"/>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 xml:space="preserve">Participación en los encuentros sincrónicos virtuales. </w:t>
            </w:r>
          </w:p>
        </w:tc>
      </w:tr>
      <w:tr w:rsidR="002557A5" w:rsidRPr="002557A5" w14:paraId="06944822" w14:textId="77777777" w:rsidTr="00CE7124">
        <w:trPr>
          <w:trHeight w:val="965"/>
        </w:trPr>
        <w:tc>
          <w:tcPr>
            <w:tcW w:w="1751" w:type="dxa"/>
            <w:vAlign w:val="center"/>
          </w:tcPr>
          <w:p w14:paraId="20DA273B"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Horas de Producción Individual (HPI)</w:t>
            </w:r>
          </w:p>
        </w:tc>
        <w:tc>
          <w:tcPr>
            <w:tcW w:w="1253" w:type="dxa"/>
            <w:vAlign w:val="center"/>
          </w:tcPr>
          <w:p w14:paraId="6C1FBCA7" w14:textId="77777777" w:rsidR="002557A5" w:rsidRPr="002557A5" w:rsidRDefault="002557A5" w:rsidP="002557A5">
            <w:pPr>
              <w:jc w:val="center"/>
              <w:rPr>
                <w:rFonts w:ascii="Calibri" w:hAnsi="Calibri" w:cs="Calibri"/>
                <w:bCs/>
                <w:color w:val="000000"/>
              </w:rPr>
            </w:pPr>
            <w:r w:rsidRPr="002557A5">
              <w:rPr>
                <w:rFonts w:ascii="Calibri" w:hAnsi="Calibri" w:cs="Calibri"/>
                <w:bCs/>
                <w:color w:val="000000"/>
              </w:rPr>
              <w:t>4</w:t>
            </w:r>
          </w:p>
        </w:tc>
        <w:tc>
          <w:tcPr>
            <w:tcW w:w="4765" w:type="dxa"/>
          </w:tcPr>
          <w:p w14:paraId="189531AE" w14:textId="77777777" w:rsidR="002557A5" w:rsidRPr="002557A5" w:rsidRDefault="002557A5" w:rsidP="002557A5">
            <w:pPr>
              <w:numPr>
                <w:ilvl w:val="0"/>
                <w:numId w:val="36"/>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 xml:space="preserve">Elaboración de ensayos. </w:t>
            </w:r>
          </w:p>
          <w:p w14:paraId="2E9F9FFA" w14:textId="77777777" w:rsidR="002557A5" w:rsidRPr="002557A5" w:rsidRDefault="002557A5" w:rsidP="002557A5">
            <w:pPr>
              <w:numPr>
                <w:ilvl w:val="0"/>
                <w:numId w:val="36"/>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Elaboración de una monografía.</w:t>
            </w:r>
          </w:p>
          <w:p w14:paraId="3CC90367" w14:textId="77777777" w:rsidR="002557A5" w:rsidRPr="002557A5" w:rsidRDefault="002557A5" w:rsidP="002557A5">
            <w:pPr>
              <w:numPr>
                <w:ilvl w:val="0"/>
                <w:numId w:val="36"/>
              </w:numPr>
              <w:spacing w:before="120"/>
              <w:contextualSpacing/>
              <w:jc w:val="both"/>
              <w:rPr>
                <w:rFonts w:ascii="Calibri" w:eastAsia="Calibri" w:hAnsi="Calibri" w:cs="Calibri"/>
                <w:bCs/>
                <w:color w:val="000000"/>
              </w:rPr>
            </w:pPr>
            <w:r w:rsidRPr="002557A5">
              <w:rPr>
                <w:rFonts w:ascii="Calibri" w:eastAsia="Calibri" w:hAnsi="Calibri" w:cs="Calibri"/>
                <w:bCs/>
                <w:color w:val="000000"/>
              </w:rPr>
              <w:t xml:space="preserve">Exposición de la monografía en un encuentro sincrónico virtual. </w:t>
            </w:r>
          </w:p>
        </w:tc>
      </w:tr>
      <w:tr w:rsidR="002557A5" w:rsidRPr="002557A5" w14:paraId="3522994E" w14:textId="77777777" w:rsidTr="00CE7124">
        <w:trPr>
          <w:trHeight w:val="334"/>
        </w:trPr>
        <w:tc>
          <w:tcPr>
            <w:tcW w:w="1751" w:type="dxa"/>
            <w:vAlign w:val="center"/>
          </w:tcPr>
          <w:p w14:paraId="019FFF4C"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Total de horas (TH)</w:t>
            </w:r>
          </w:p>
        </w:tc>
        <w:tc>
          <w:tcPr>
            <w:tcW w:w="1253" w:type="dxa"/>
            <w:vAlign w:val="center"/>
          </w:tcPr>
          <w:p w14:paraId="7211A9E6" w14:textId="77777777" w:rsidR="002557A5" w:rsidRPr="002557A5" w:rsidRDefault="002557A5" w:rsidP="002557A5">
            <w:pPr>
              <w:jc w:val="center"/>
              <w:rPr>
                <w:rFonts w:ascii="Calibri" w:hAnsi="Calibri" w:cs="Calibri"/>
                <w:b/>
                <w:bCs/>
                <w:color w:val="000000"/>
              </w:rPr>
            </w:pPr>
            <w:r w:rsidRPr="002557A5">
              <w:rPr>
                <w:rFonts w:ascii="Calibri" w:hAnsi="Calibri" w:cs="Calibri"/>
                <w:b/>
                <w:bCs/>
                <w:color w:val="000000"/>
              </w:rPr>
              <w:t>9</w:t>
            </w:r>
          </w:p>
        </w:tc>
        <w:tc>
          <w:tcPr>
            <w:tcW w:w="4765" w:type="dxa"/>
          </w:tcPr>
          <w:p w14:paraId="2AAFCB9A" w14:textId="77777777" w:rsidR="002557A5" w:rsidRPr="002557A5" w:rsidRDefault="002557A5" w:rsidP="002557A5">
            <w:pPr>
              <w:jc w:val="center"/>
              <w:rPr>
                <w:rFonts w:ascii="Calibri" w:hAnsi="Calibri" w:cs="Calibri"/>
                <w:b/>
                <w:bCs/>
                <w:color w:val="000000"/>
              </w:rPr>
            </w:pPr>
          </w:p>
        </w:tc>
      </w:tr>
    </w:tbl>
    <w:p w14:paraId="0B600E5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F12101D" w14:textId="77777777" w:rsidR="002557A5" w:rsidRPr="002557A5" w:rsidRDefault="002557A5"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9 horas.  La distribución de tiempos por tipo de horas (categoría) es congruente, en todos sus extremos, con lo que establece el plan de estudios de la modalidad virtual.</w:t>
      </w:r>
    </w:p>
    <w:p w14:paraId="73012ECE"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F6D81DC"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71B937C"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7F5EF9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0F52AEE"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87CB36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2FBEA3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555DBE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lastRenderedPageBreak/>
        <w:t>X. Evaluación</w:t>
      </w:r>
      <w:r w:rsidRPr="002557A5">
        <w:rPr>
          <w:rFonts w:ascii="Calibri" w:eastAsia="Times New Roman" w:hAnsi="Calibri" w:cs="Arial"/>
          <w:b/>
          <w:bCs/>
          <w:color w:val="000000"/>
          <w:kern w:val="0"/>
          <w:lang w:val="es-ES_tradnl" w:eastAsia="es-CR"/>
          <w14:ligatures w14:val="none"/>
        </w:rPr>
        <w:tab/>
      </w:r>
    </w:p>
    <w:p w14:paraId="09E15016"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La evaluación incorpora un componente diagnóstico que busca medir, durante el desarrollo del curso, el alcance de los objetivos. También incluye un componente formativo basado en las actividades de aprendizaje (foros temáticos, glosarios, wiki, ensayos) valoradas por medio de rúbricas y escalas. Finalmente, la evaluación sumativa toma en cuenta la calificación obtenida en la monografía final, su exposición y el resto de las tareas. La interacción continua entre los y las estudiantes, la persona docente y los recursos didácticos son el fundamento de la construcción individual del aprendizaje. La retroalimentación de la persona docente será fundamental para orientar el desarrollo de las capacidades cognitivas de los y las estudiantes. El curso de aprueba con una nota mínima de 7.00 (en escala decimal). La evaluación sumativa se basa en los elementos plasmados a continuación:</w:t>
      </w:r>
    </w:p>
    <w:p w14:paraId="23CA0D7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tbl>
      <w:tblPr>
        <w:tblW w:w="920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559"/>
        <w:gridCol w:w="1648"/>
      </w:tblGrid>
      <w:tr w:rsidR="002557A5" w:rsidRPr="002557A5" w14:paraId="5E011F0B" w14:textId="77777777" w:rsidTr="4C9C2619">
        <w:trPr>
          <w:trHeight w:val="275"/>
          <w:jc w:val="center"/>
        </w:trPr>
        <w:tc>
          <w:tcPr>
            <w:tcW w:w="9207"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72A3C3"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Síntesis cuantitativa de la evaluación</w:t>
            </w:r>
          </w:p>
        </w:tc>
      </w:tr>
      <w:tr w:rsidR="002557A5" w:rsidRPr="002557A5" w14:paraId="0547C6CC" w14:textId="77777777" w:rsidTr="4C9C2619">
        <w:trPr>
          <w:trHeight w:val="542"/>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C10D378" w14:textId="77777777" w:rsidR="002557A5" w:rsidRPr="002557A5" w:rsidRDefault="002557A5" w:rsidP="002557A5">
            <w:pPr>
              <w:widowControl w:val="0"/>
              <w:overflowPunct w:val="0"/>
              <w:autoSpaceDE w:val="0"/>
              <w:autoSpaceDN w:val="0"/>
              <w:adjustRightInd w:val="0"/>
              <w:spacing w:after="0" w:line="240" w:lineRule="auto"/>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color w:val="000000"/>
                <w:kern w:val="0"/>
                <w:lang w:val="es-ES_tradnl" w:eastAsia="es-CR"/>
                <w14:ligatures w14:val="none"/>
              </w:rPr>
              <w:t>Rubros para evaluar</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8D80B4"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Porcentaje</w:t>
            </w:r>
          </w:p>
          <w:p w14:paraId="3B8F58A0"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total</w:t>
            </w:r>
          </w:p>
        </w:tc>
      </w:tr>
      <w:tr w:rsidR="002557A5" w:rsidRPr="002557A5" w14:paraId="2C0827E4"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A23D54"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Encuentros sincrónicos virtuales</w:t>
            </w:r>
          </w:p>
          <w:p w14:paraId="4417825A"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Se llevan a cabo en las sesiones 1, 3, 5, 7, 9, 11 y 13. Tienen un valor formativo y no sumativo.</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F0916F"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Calibri"/>
                <w:bCs/>
                <w:color w:val="000000"/>
                <w:kern w:val="0"/>
                <w:lang w:val="es-ES_tradnl" w:eastAsia="es-CR"/>
                <w14:ligatures w14:val="none"/>
              </w:rPr>
              <w:t>̶</w:t>
            </w:r>
          </w:p>
        </w:tc>
      </w:tr>
      <w:tr w:rsidR="002557A5" w:rsidRPr="002557A5" w14:paraId="151F82B8"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EF2421"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
                <w:i/>
                <w:iCs/>
                <w:color w:val="000000"/>
                <w:kern w:val="0"/>
                <w:lang w:val="es-ES" w:eastAsia="es-ES"/>
                <w14:ligatures w14:val="none"/>
              </w:rPr>
            </w:pPr>
            <w:r w:rsidRPr="002557A5">
              <w:rPr>
                <w:rFonts w:ascii="Calibri" w:eastAsia="Times New Roman" w:hAnsi="Calibri" w:cs="Arial"/>
                <w:b/>
                <w:bCs/>
                <w:i/>
                <w:iCs/>
                <w:color w:val="000000"/>
                <w:kern w:val="0"/>
                <w:lang w:val="es-ES_tradnl" w:eastAsia="es-CR"/>
                <w14:ligatures w14:val="none"/>
              </w:rPr>
              <w:t>Foros temáticos</w:t>
            </w:r>
          </w:p>
          <w:p w14:paraId="2449D8B6"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Se desarrollan en las sesiones 1, 2, 3, 4, 6, 9 y 11. Cada foro tiene un valor de 4%.</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0B85F9"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28%</w:t>
            </w:r>
          </w:p>
        </w:tc>
      </w:tr>
      <w:tr w:rsidR="002557A5" w:rsidRPr="002557A5" w14:paraId="4956D546"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E6777A"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Glosarios</w:t>
            </w:r>
          </w:p>
          <w:p w14:paraId="48826AB9"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Se desarrollan en las sesiones 5 y 13. Cada glosario tiene un valor de 4%.</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450828"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8%</w:t>
            </w:r>
          </w:p>
        </w:tc>
      </w:tr>
      <w:tr w:rsidR="002557A5" w:rsidRPr="002557A5" w14:paraId="44384D35"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40CA1B"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Wiki</w:t>
            </w:r>
          </w:p>
          <w:p w14:paraId="079621F6"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Se desarrolla en la sesión 8.</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A19E08"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4%</w:t>
            </w:r>
          </w:p>
        </w:tc>
      </w:tr>
      <w:tr w:rsidR="002557A5" w:rsidRPr="002557A5" w14:paraId="2F2F59C4"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F6BBDA"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Ensayos</w:t>
            </w:r>
          </w:p>
          <w:p w14:paraId="1A916C9E" w14:textId="77777777" w:rsidR="002557A5" w:rsidRPr="002557A5" w:rsidRDefault="002557A5" w:rsidP="4C9C2619">
            <w:pPr>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Se elaboran un total de tres ensayos en las sesiones 7, 10 y 12. Cada ensayo tiene un valor de 10%.</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800BBBE"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30%</w:t>
            </w:r>
          </w:p>
        </w:tc>
      </w:tr>
      <w:tr w:rsidR="002557A5" w:rsidRPr="002557A5" w14:paraId="06B915CA"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9383B4"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Monografía</w:t>
            </w:r>
          </w:p>
          <w:p w14:paraId="24305F84"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Se elabora desde la sesión 3 hasta la 14 de la siguiente forma:</w:t>
            </w:r>
          </w:p>
          <w:p w14:paraId="6ECD1D99"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Sesión 6 (primer avance)</w:t>
            </w:r>
          </w:p>
          <w:p w14:paraId="4DF55DD5"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Sesión 11 (segundo avance)</w:t>
            </w:r>
          </w:p>
          <w:p w14:paraId="591D99E8"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 Sesión 14 (monografía completa)</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A637D7"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25%</w:t>
            </w:r>
          </w:p>
        </w:tc>
      </w:tr>
      <w:tr w:rsidR="002557A5" w:rsidRPr="002557A5" w14:paraId="670083F5" w14:textId="77777777" w:rsidTr="4C9C2619">
        <w:trPr>
          <w:trHeight w:val="425"/>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85A254"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557A5">
              <w:rPr>
                <w:rFonts w:ascii="Calibri" w:eastAsia="Times New Roman" w:hAnsi="Calibri" w:cs="Arial"/>
                <w:b/>
                <w:bCs/>
                <w:i/>
                <w:iCs/>
                <w:color w:val="000000"/>
                <w:kern w:val="0"/>
                <w:lang w:val="es-ES_tradnl" w:eastAsia="es-CR"/>
                <w14:ligatures w14:val="none"/>
              </w:rPr>
              <w:t>Exposición de la monografía</w:t>
            </w:r>
          </w:p>
          <w:p w14:paraId="72B12FFA" w14:textId="77777777" w:rsidR="002557A5" w:rsidRPr="002557A5" w:rsidRDefault="002557A5" w:rsidP="002557A5">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t>Se lleva a cabo en la sesión 15.</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28A8442" w14:textId="77777777" w:rsidR="002557A5" w:rsidRPr="002557A5" w:rsidRDefault="002557A5" w:rsidP="002557A5">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557A5">
              <w:rPr>
                <w:rFonts w:ascii="Calibri" w:eastAsia="Times New Roman" w:hAnsi="Calibri" w:cs="Arial"/>
                <w:bCs/>
                <w:color w:val="000000"/>
                <w:kern w:val="0"/>
                <w:lang w:val="es-ES_tradnl" w:eastAsia="es-CR"/>
                <w14:ligatures w14:val="none"/>
              </w:rPr>
              <w:t>5%</w:t>
            </w:r>
          </w:p>
        </w:tc>
      </w:tr>
      <w:tr w:rsidR="002557A5" w:rsidRPr="002557A5" w14:paraId="5CEF4096" w14:textId="77777777" w:rsidTr="4C9C2619">
        <w:trPr>
          <w:trHeight w:val="271"/>
          <w:jc w:val="center"/>
        </w:trPr>
        <w:tc>
          <w:tcPr>
            <w:tcW w:w="75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D33FBF" w14:textId="77777777" w:rsidR="002557A5" w:rsidRPr="002557A5" w:rsidRDefault="002557A5" w:rsidP="002557A5">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Total</w:t>
            </w:r>
          </w:p>
        </w:tc>
        <w:tc>
          <w:tcPr>
            <w:tcW w:w="164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4151E2" w14:textId="77777777" w:rsidR="002557A5" w:rsidRPr="002557A5" w:rsidRDefault="002557A5" w:rsidP="002557A5">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t>100%</w:t>
            </w:r>
          </w:p>
        </w:tc>
      </w:tr>
    </w:tbl>
    <w:p w14:paraId="618DB380"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p w14:paraId="142C1CC1"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7B57D720"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73E4DD9C"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2E169499"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334F6CDA"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090FB4AD"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br w:type="page"/>
      </w:r>
    </w:p>
    <w:p w14:paraId="3A92FD48"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sectPr w:rsidR="002557A5" w:rsidRPr="002557A5" w:rsidSect="005C1895">
          <w:pgSz w:w="12240" w:h="15840"/>
          <w:pgMar w:top="1417" w:right="1701" w:bottom="1417" w:left="1701" w:header="708" w:footer="708" w:gutter="0"/>
          <w:pgNumType w:start="142"/>
          <w:cols w:space="708"/>
          <w:docGrid w:linePitch="360"/>
        </w:sectPr>
      </w:pPr>
    </w:p>
    <w:p w14:paraId="340B81FB"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285952" behindDoc="0" locked="0" layoutInCell="1" allowOverlap="1" wp14:anchorId="3DB23A40" wp14:editId="79716CE8">
                <wp:simplePos x="0" y="0"/>
                <wp:positionH relativeFrom="margin">
                  <wp:align>center</wp:align>
                </wp:positionH>
                <wp:positionV relativeFrom="paragraph">
                  <wp:posOffset>0</wp:posOffset>
                </wp:positionV>
                <wp:extent cx="7879080" cy="414338"/>
                <wp:effectExtent l="0" t="0" r="26670" b="24130"/>
                <wp:wrapNone/>
                <wp:docPr id="16868807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4338"/>
                        </a:xfrm>
                        <a:prstGeom prst="rect">
                          <a:avLst/>
                        </a:prstGeom>
                        <a:solidFill>
                          <a:srgbClr val="FFFFFF"/>
                        </a:solidFill>
                        <a:ln w="9525">
                          <a:solidFill>
                            <a:srgbClr val="000000"/>
                          </a:solidFill>
                          <a:miter lim="800000"/>
                          <a:headEnd/>
                          <a:tailEnd/>
                        </a:ln>
                      </wps:spPr>
                      <wps:txbx>
                        <w:txbxContent>
                          <w:p w14:paraId="3288CCF9" w14:textId="77777777" w:rsidR="002557A5" w:rsidRPr="002557A5" w:rsidRDefault="002557A5" w:rsidP="002557A5">
                            <w:pPr>
                              <w:jc w:val="center"/>
                              <w:rPr>
                                <w:rFonts w:cs="Calibri"/>
                                <w:b/>
                                <w:szCs w:val="24"/>
                              </w:rPr>
                            </w:pPr>
                            <w:r w:rsidRPr="002557A5">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B23A40" id="_x0000_s1093" type="#_x0000_t202" style="position:absolute;left:0;text-align:left;margin-left:0;margin-top:0;width:620.4pt;height:32.65pt;z-index:2522859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">
                <v:textbox>
                  <w:txbxContent>
                    <w:p w14:paraId="3288CCF9" w14:textId="77777777" w:rsidR="002557A5" w:rsidRPr="002557A5" w:rsidRDefault="002557A5" w:rsidP="002557A5">
                      <w:pPr>
                        <w:jc w:val="center"/>
                        <w:rPr>
                          <w:rFonts w:cs="Calibri"/>
                          <w:b/>
                          <w:szCs w:val="24"/>
                        </w:rPr>
                      </w:pPr>
                      <w:r w:rsidRPr="002557A5">
                        <w:rPr>
                          <w:rFonts w:cs="Calibri"/>
                          <w:b/>
                          <w:szCs w:val="24"/>
                        </w:rPr>
                        <w:t>RÚBRICA DE EVALUACIÓN – FORO TEMÁTICO</w:t>
                      </w:r>
                    </w:p>
                  </w:txbxContent>
                </v:textbox>
                <w10:wrap anchorx="margin"/>
              </v:shape>
            </w:pict>
          </mc:Fallback>
        </mc:AlternateContent>
      </w:r>
    </w:p>
    <w:p w14:paraId="38865752"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14D0B62A" w14:textId="77777777" w:rsidR="002557A5" w:rsidRPr="002557A5" w:rsidRDefault="002557A5" w:rsidP="002557A5">
      <w:pPr>
        <w:jc w:val="center"/>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Es una actividad de discusión académica asincrónica, ya que los y las participantes no tienen que acceder a la herramienta al mismo tiempo, constituyéndose en un escenario virtual para la exposición de ideas y debate. Se desarrollan en las sesiones 1, 2, 3, 4, 6, 9 y 11. Cada foro tiene un valor de 4%.</w:t>
      </w:r>
    </w:p>
    <w:p w14:paraId="25E926C7"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noProof/>
          <w:color w:val="000000"/>
          <w:kern w:val="0"/>
          <w:lang w:val="es-ES_tradnl" w:eastAsia="es-CR"/>
          <w14:ligatures w14:val="none"/>
        </w:rPr>
        <w:drawing>
          <wp:anchor distT="0" distB="0" distL="114300" distR="114300" simplePos="0" relativeHeight="252286976" behindDoc="0" locked="0" layoutInCell="1" allowOverlap="1" wp14:anchorId="0F6C0150" wp14:editId="3D7B0572">
            <wp:simplePos x="0" y="0"/>
            <wp:positionH relativeFrom="margin">
              <wp:align>center</wp:align>
            </wp:positionH>
            <wp:positionV relativeFrom="paragraph">
              <wp:posOffset>106362</wp:posOffset>
            </wp:positionV>
            <wp:extent cx="8239125" cy="5983092"/>
            <wp:effectExtent l="0" t="0" r="0" b="0"/>
            <wp:wrapNone/>
            <wp:docPr id="77089289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892897" name="Imagen 1" descr="Tabla&#10;&#10;Descripción generada automáticamente"/>
                    <pic:cNvPicPr/>
                  </pic:nvPicPr>
                  <pic:blipFill>
                    <a:blip r:embed="rId167">
                      <a:extLst>
                        <a:ext uri="{28A0092B-C50C-407E-A947-70E740481C1C}">
                          <a14:useLocalDpi xmlns:a14="http://schemas.microsoft.com/office/drawing/2010/main" val="0"/>
                        </a:ext>
                      </a:extLst>
                    </a:blip>
                    <a:stretch>
                      <a:fillRect/>
                    </a:stretch>
                  </pic:blipFill>
                  <pic:spPr>
                    <a:xfrm>
                      <a:off x="0" y="0"/>
                      <a:ext cx="8239125" cy="5983092"/>
                    </a:xfrm>
                    <a:prstGeom prst="rect">
                      <a:avLst/>
                    </a:prstGeom>
                  </pic:spPr>
                </pic:pic>
              </a:graphicData>
            </a:graphic>
            <wp14:sizeRelH relativeFrom="margin">
              <wp14:pctWidth>0</wp14:pctWidth>
            </wp14:sizeRelH>
            <wp14:sizeRelV relativeFrom="margin">
              <wp14:pctHeight>0</wp14:pctHeight>
            </wp14:sizeRelV>
          </wp:anchor>
        </w:drawing>
      </w:r>
    </w:p>
    <w:p w14:paraId="7C8158A3"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color w:val="000000"/>
          <w:kern w:val="0"/>
          <w:lang w:val="es-ES_tradnl" w:eastAsia="es-CR"/>
          <w14:ligatures w14:val="none"/>
        </w:rPr>
        <w:br w:type="page"/>
      </w:r>
    </w:p>
    <w:p w14:paraId="093255D6"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288000" behindDoc="0" locked="0" layoutInCell="1" allowOverlap="1" wp14:anchorId="338CC6C6" wp14:editId="3AB26409">
                <wp:simplePos x="0" y="0"/>
                <wp:positionH relativeFrom="margin">
                  <wp:align>center</wp:align>
                </wp:positionH>
                <wp:positionV relativeFrom="paragraph">
                  <wp:posOffset>0</wp:posOffset>
                </wp:positionV>
                <wp:extent cx="6606540" cy="411480"/>
                <wp:effectExtent l="0" t="0" r="22860" b="26670"/>
                <wp:wrapNone/>
                <wp:docPr id="1890899385"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A72B2BE" w14:textId="77777777" w:rsidR="002557A5" w:rsidRPr="002557A5" w:rsidRDefault="002557A5" w:rsidP="002557A5">
                            <w:pPr>
                              <w:jc w:val="center"/>
                              <w:rPr>
                                <w:rFonts w:cs="Calibri"/>
                              </w:rPr>
                            </w:pPr>
                            <w:r w:rsidRPr="002557A5">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CC6C6" id="_x0000_s1094" type="#_x0000_t202" style="position:absolute;left:0;text-align:left;margin-left:0;margin-top:0;width:520.2pt;height:32.4pt;z-index:25228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" fillcolor="window" strokeweight=".5pt">
                <v:textbox>
                  <w:txbxContent>
                    <w:p w14:paraId="4A72B2BE" w14:textId="77777777" w:rsidR="002557A5" w:rsidRPr="002557A5" w:rsidRDefault="002557A5" w:rsidP="002557A5">
                      <w:pPr>
                        <w:jc w:val="center"/>
                        <w:rPr>
                          <w:rFonts w:cs="Calibri"/>
                        </w:rPr>
                      </w:pPr>
                      <w:r w:rsidRPr="002557A5">
                        <w:rPr>
                          <w:rFonts w:cs="Calibri"/>
                          <w:b/>
                        </w:rPr>
                        <w:t>RÚBRICA DE EVALUACIÓN – GLOSARIO</w:t>
                      </w:r>
                    </w:p>
                  </w:txbxContent>
                </v:textbox>
                <w10:wrap anchorx="margin"/>
              </v:shape>
            </w:pict>
          </mc:Fallback>
        </mc:AlternateContent>
      </w:r>
    </w:p>
    <w:p w14:paraId="6B13A684"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6BE8037F" w14:textId="77777777" w:rsidR="002557A5" w:rsidRPr="002557A5" w:rsidRDefault="002557A5" w:rsidP="002557A5">
      <w:pPr>
        <w:jc w:val="center"/>
        <w:rPr>
          <w:rFonts w:ascii="Calibri" w:eastAsia="Times New Roman" w:hAnsi="Calibri" w:cs="Arial"/>
          <w:color w:val="0070C0"/>
          <w:kern w:val="0"/>
          <w:lang w:val="es-ES_tradnl" w:eastAsia="es-CR"/>
          <w14:ligatures w14:val="none"/>
        </w:rPr>
      </w:pPr>
      <w:r w:rsidRPr="002557A5">
        <w:rPr>
          <w:rFonts w:ascii="Calibri" w:eastAsia="Calibri" w:hAnsi="Calibri" w:cs="Calibri"/>
          <w:color w:val="0070C0"/>
          <w:kern w:val="0"/>
          <w14:ligatures w14:val="none"/>
        </w:rPr>
        <w:t>En este curso elaboraremos dos glosarios. El primero de ellos sobre la filosofía en la Modernidad y el segundo sobre la filosofía desde Latinoamérica. En ellos no solamente se colocarán y explicarán conceptos de las lecturas asignadas, sino que también se comentarán entre todos y todas.</w:t>
      </w:r>
      <w:r w:rsidRPr="002557A5">
        <w:rPr>
          <w:rFonts w:ascii="Calibri" w:eastAsia="Times New Roman" w:hAnsi="Calibri" w:cs="Arial"/>
          <w:color w:val="0070C0"/>
          <w:kern w:val="0"/>
          <w:lang w:val="es-ES_tradnl" w:eastAsia="es-CR"/>
          <w14:ligatures w14:val="none"/>
        </w:rPr>
        <w:t xml:space="preserve"> Se desarrollan en las sesiones 5 y 13 y cada uno tiene un valor de 4%.</w:t>
      </w:r>
    </w:p>
    <w:p w14:paraId="3EDB0E8E"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p>
    <w:p w14:paraId="74CA3B51"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noProof/>
          <w:color w:val="000000"/>
          <w:kern w:val="0"/>
          <w:lang w:val="es-ES_tradnl" w:eastAsia="es-CR"/>
          <w14:ligatures w14:val="none"/>
        </w:rPr>
        <w:drawing>
          <wp:anchor distT="0" distB="0" distL="114300" distR="114300" simplePos="0" relativeHeight="252289024" behindDoc="0" locked="0" layoutInCell="1" allowOverlap="1" wp14:anchorId="68B47965" wp14:editId="6EA20682">
            <wp:simplePos x="0" y="0"/>
            <wp:positionH relativeFrom="column">
              <wp:posOffset>490538</wp:posOffset>
            </wp:positionH>
            <wp:positionV relativeFrom="paragraph">
              <wp:posOffset>-952</wp:posOffset>
            </wp:positionV>
            <wp:extent cx="8162544" cy="5334000"/>
            <wp:effectExtent l="0" t="0" r="0" b="0"/>
            <wp:wrapNone/>
            <wp:docPr id="1199478556"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78556" name="Imagen 2" descr="Tabla&#10;&#10;Descripción generada automáticamente"/>
                    <pic:cNvPicPr/>
                  </pic:nvPicPr>
                  <pic:blipFill>
                    <a:blip r:embed="rId168">
                      <a:extLst>
                        <a:ext uri="{28A0092B-C50C-407E-A947-70E740481C1C}">
                          <a14:useLocalDpi xmlns:a14="http://schemas.microsoft.com/office/drawing/2010/main" val="0"/>
                        </a:ext>
                      </a:extLst>
                    </a:blip>
                    <a:stretch>
                      <a:fillRect/>
                    </a:stretch>
                  </pic:blipFill>
                  <pic:spPr>
                    <a:xfrm>
                      <a:off x="0" y="0"/>
                      <a:ext cx="8162544" cy="5334000"/>
                    </a:xfrm>
                    <a:prstGeom prst="rect">
                      <a:avLst/>
                    </a:prstGeom>
                  </pic:spPr>
                </pic:pic>
              </a:graphicData>
            </a:graphic>
          </wp:anchor>
        </w:drawing>
      </w:r>
      <w:r w:rsidRPr="002557A5">
        <w:rPr>
          <w:rFonts w:ascii="Calibri" w:eastAsia="Times New Roman" w:hAnsi="Calibri" w:cs="Arial"/>
          <w:b/>
          <w:bCs/>
          <w:color w:val="000000"/>
          <w:kern w:val="0"/>
          <w:lang w:val="es-ES_tradnl" w:eastAsia="es-CR"/>
          <w14:ligatures w14:val="none"/>
        </w:rPr>
        <w:br w:type="page"/>
      </w:r>
    </w:p>
    <w:p w14:paraId="0D529B8C"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290048" behindDoc="0" locked="0" layoutInCell="1" allowOverlap="1" wp14:anchorId="58E09BDE" wp14:editId="3BC86A31">
                <wp:simplePos x="0" y="0"/>
                <wp:positionH relativeFrom="margin">
                  <wp:align>center</wp:align>
                </wp:positionH>
                <wp:positionV relativeFrom="paragraph">
                  <wp:posOffset>4763</wp:posOffset>
                </wp:positionV>
                <wp:extent cx="7025640" cy="419100"/>
                <wp:effectExtent l="0" t="0" r="22860" b="19050"/>
                <wp:wrapNone/>
                <wp:docPr id="56603792" name="Cuadro de texto 56603792"/>
                <wp:cNvGraphicFramePr/>
                <a:graphic xmlns:a="http://schemas.openxmlformats.org/drawingml/2006/main">
                  <a:graphicData uri="http://schemas.microsoft.com/office/word/2010/wordprocessingShape">
                    <wps:wsp>
                      <wps:cNvSpPr txBox="1"/>
                      <wps:spPr>
                        <a:xfrm>
                          <a:off x="0" y="0"/>
                          <a:ext cx="7025640" cy="419100"/>
                        </a:xfrm>
                        <a:prstGeom prst="rect">
                          <a:avLst/>
                        </a:prstGeom>
                        <a:solidFill>
                          <a:sysClr val="window" lastClr="FFFFFF"/>
                        </a:solidFill>
                        <a:ln w="6350">
                          <a:solidFill>
                            <a:prstClr val="black"/>
                          </a:solidFill>
                        </a:ln>
                      </wps:spPr>
                      <wps:txbx>
                        <w:txbxContent>
                          <w:p w14:paraId="0D3300AC" w14:textId="77777777" w:rsidR="002557A5" w:rsidRPr="002557A5" w:rsidRDefault="002557A5" w:rsidP="002557A5">
                            <w:pPr>
                              <w:jc w:val="center"/>
                              <w:rPr>
                                <w:rFonts w:cs="Calibri"/>
                                <w:b/>
                              </w:rPr>
                            </w:pPr>
                            <w:r w:rsidRPr="002557A5">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09BDE" id="Cuadro de texto 56603792" o:spid="_x0000_s1095" type="#_x0000_t202" style="position:absolute;left:0;text-align:left;margin-left:0;margin-top:.4pt;width:553.2pt;height:33pt;z-index:252290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" fillcolor="window" strokeweight=".5pt">
                <v:textbox>
                  <w:txbxContent>
                    <w:p w14:paraId="0D3300AC" w14:textId="77777777" w:rsidR="002557A5" w:rsidRPr="002557A5" w:rsidRDefault="002557A5" w:rsidP="002557A5">
                      <w:pPr>
                        <w:jc w:val="center"/>
                        <w:rPr>
                          <w:rFonts w:cs="Calibri"/>
                          <w:b/>
                        </w:rPr>
                      </w:pPr>
                      <w:r w:rsidRPr="002557A5">
                        <w:rPr>
                          <w:rFonts w:cs="Calibri"/>
                          <w:b/>
                        </w:rPr>
                        <w:t>RÚBRICA DE EVALUACIÓN – WIKI</w:t>
                      </w:r>
                    </w:p>
                  </w:txbxContent>
                </v:textbox>
                <w10:wrap anchorx="margin"/>
              </v:shape>
            </w:pict>
          </mc:Fallback>
        </mc:AlternateContent>
      </w:r>
    </w:p>
    <w:p w14:paraId="35260CEC"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0FCA8304" w14:textId="77777777" w:rsidR="002557A5" w:rsidRPr="002557A5" w:rsidRDefault="002557A5" w:rsidP="002557A5">
      <w:pPr>
        <w:jc w:val="center"/>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 xml:space="preserve">La herramienta denominada wiki permite el desarrollo conjunto de una síntesis sobre un tema o temas. </w:t>
      </w:r>
      <w:r w:rsidRPr="002557A5">
        <w:rPr>
          <w:rFonts w:ascii="Calibri" w:eastAsia="Calibri" w:hAnsi="Calibri" w:cs="Calibri"/>
          <w:bCs/>
          <w:color w:val="0070C0"/>
          <w:kern w:val="0"/>
          <w14:ligatures w14:val="none"/>
        </w:rPr>
        <w:t xml:space="preserve">En este curso se creará </w:t>
      </w:r>
      <w:r w:rsidRPr="002557A5">
        <w:rPr>
          <w:rFonts w:ascii="Calibri" w:eastAsia="Calibri" w:hAnsi="Calibri" w:cs="Calibri"/>
          <w:bCs/>
          <w:color w:val="0070C0"/>
          <w:kern w:val="0"/>
          <w:lang w:val="es-ES_tradnl"/>
          <w14:ligatures w14:val="none"/>
        </w:rPr>
        <w:t>un wiki, entre todos y todas, sobre la dimensión emocional en el conocimiento filosófico.</w:t>
      </w:r>
      <w:r w:rsidRPr="002557A5">
        <w:rPr>
          <w:rFonts w:ascii="Calibri" w:eastAsia="Times New Roman" w:hAnsi="Calibri" w:cs="Arial"/>
          <w:color w:val="0070C0"/>
          <w:kern w:val="0"/>
          <w:lang w:val="es-ES_tradnl" w:eastAsia="es-CR"/>
          <w14:ligatures w14:val="none"/>
        </w:rPr>
        <w:t xml:space="preserve"> Se desarrolla en la sesión 8 y tiene un valor de 4%. </w:t>
      </w:r>
    </w:p>
    <w:p w14:paraId="6710FCA7"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noProof/>
          <w:color w:val="000000"/>
          <w:kern w:val="0"/>
          <w:lang w:val="es-ES_tradnl" w:eastAsia="es-CR"/>
          <w14:ligatures w14:val="none"/>
        </w:rPr>
        <w:drawing>
          <wp:anchor distT="0" distB="0" distL="114300" distR="114300" simplePos="0" relativeHeight="252291072" behindDoc="0" locked="0" layoutInCell="1" allowOverlap="1" wp14:anchorId="129EABC7" wp14:editId="6C3099D4">
            <wp:simplePos x="0" y="0"/>
            <wp:positionH relativeFrom="margin">
              <wp:align>right</wp:align>
            </wp:positionH>
            <wp:positionV relativeFrom="paragraph">
              <wp:posOffset>240030</wp:posOffset>
            </wp:positionV>
            <wp:extent cx="9144000" cy="4663440"/>
            <wp:effectExtent l="0" t="0" r="0" b="3810"/>
            <wp:wrapNone/>
            <wp:docPr id="1748378319"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378319" name="Imagen 3" descr="Tabla&#10;&#10;Descripción generada automáticamente"/>
                    <pic:cNvPicPr/>
                  </pic:nvPicPr>
                  <pic:blipFill>
                    <a:blip r:embed="rId169">
                      <a:extLst>
                        <a:ext uri="{28A0092B-C50C-407E-A947-70E740481C1C}">
                          <a14:useLocalDpi xmlns:a14="http://schemas.microsoft.com/office/drawing/2010/main" val="0"/>
                        </a:ext>
                      </a:extLst>
                    </a:blip>
                    <a:stretch>
                      <a:fillRect/>
                    </a:stretch>
                  </pic:blipFill>
                  <pic:spPr>
                    <a:xfrm>
                      <a:off x="0" y="0"/>
                      <a:ext cx="9144000" cy="4663440"/>
                    </a:xfrm>
                    <a:prstGeom prst="rect">
                      <a:avLst/>
                    </a:prstGeom>
                  </pic:spPr>
                </pic:pic>
              </a:graphicData>
            </a:graphic>
          </wp:anchor>
        </w:drawing>
      </w:r>
      <w:r w:rsidRPr="002557A5">
        <w:rPr>
          <w:rFonts w:ascii="Calibri" w:eastAsia="Times New Roman" w:hAnsi="Calibri" w:cs="Arial"/>
          <w:color w:val="000000"/>
          <w:kern w:val="0"/>
          <w:lang w:val="es-ES_tradnl" w:eastAsia="es-CR"/>
          <w14:ligatures w14:val="none"/>
        </w:rPr>
        <w:br w:type="page"/>
      </w:r>
    </w:p>
    <w:p w14:paraId="11B98875"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bCs/>
          <w:noProof/>
          <w:kern w:val="0"/>
          <w:sz w:val="20"/>
          <w:szCs w:val="20"/>
          <w:lang w:val="es-ES_tradnl" w:eastAsia="es-CR"/>
          <w14:ligatures w14:val="none"/>
        </w:rPr>
        <w:lastRenderedPageBreak/>
        <mc:AlternateContent>
          <mc:Choice Requires="wps">
            <w:drawing>
              <wp:anchor distT="0" distB="0" distL="114300" distR="114300" simplePos="0" relativeHeight="252292096" behindDoc="0" locked="0" layoutInCell="1" allowOverlap="1" wp14:anchorId="1F8A3E1F" wp14:editId="157DF884">
                <wp:simplePos x="0" y="0"/>
                <wp:positionH relativeFrom="margin">
                  <wp:align>center</wp:align>
                </wp:positionH>
                <wp:positionV relativeFrom="paragraph">
                  <wp:posOffset>5080</wp:posOffset>
                </wp:positionV>
                <wp:extent cx="7879080" cy="426720"/>
                <wp:effectExtent l="0" t="0" r="26670" b="11430"/>
                <wp:wrapNone/>
                <wp:docPr id="1498760521"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3406EEB4" w14:textId="77777777" w:rsidR="002557A5" w:rsidRPr="002557A5" w:rsidRDefault="002557A5" w:rsidP="002557A5">
                            <w:pPr>
                              <w:jc w:val="center"/>
                              <w:rPr>
                                <w:rFonts w:cs="Calibri"/>
                                <w:b/>
                              </w:rPr>
                            </w:pPr>
                            <w:r w:rsidRPr="002557A5">
                              <w:rPr>
                                <w:rFonts w:cs="Calibri"/>
                                <w:b/>
                              </w:rPr>
                              <w:t>ESCALA DE EVALUACIÓN – ENSAYO SOBRE LA ALTERIDAD</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F8A3E1F" id="_x0000_s1096" type="#_x0000_t202" style="position:absolute;left:0;text-align:left;margin-left:0;margin-top:.4pt;width:620.4pt;height:33.6pt;z-index:25229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">
                <v:textbox>
                  <w:txbxContent>
                    <w:p w14:paraId="3406EEB4" w14:textId="77777777" w:rsidR="002557A5" w:rsidRPr="002557A5" w:rsidRDefault="002557A5" w:rsidP="002557A5">
                      <w:pPr>
                        <w:jc w:val="center"/>
                        <w:rPr>
                          <w:rFonts w:cs="Calibri"/>
                          <w:b/>
                        </w:rPr>
                      </w:pPr>
                      <w:r w:rsidRPr="002557A5">
                        <w:rPr>
                          <w:rFonts w:cs="Calibri"/>
                          <w:b/>
                        </w:rPr>
                        <w:t>ESCALA DE EVALUACIÓN – ENSAYO SOBRE LA ALTERIDAD</w:t>
                      </w:r>
                    </w:p>
                  </w:txbxContent>
                </v:textbox>
                <w10:wrap anchorx="margin"/>
              </v:shape>
            </w:pict>
          </mc:Fallback>
        </mc:AlternateContent>
      </w:r>
    </w:p>
    <w:p w14:paraId="15B4B8AA"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511D0229" w14:textId="77777777" w:rsidR="002557A5" w:rsidRPr="002557A5" w:rsidRDefault="002557A5" w:rsidP="002557A5">
      <w:pPr>
        <w:jc w:val="center"/>
        <w:rPr>
          <w:rFonts w:ascii="Calibri" w:eastAsia="Times New Roman" w:hAnsi="Calibri" w:cs="Arial"/>
          <w:color w:val="0070C0"/>
          <w:kern w:val="0"/>
          <w:lang w:val="es-ES_tradnl" w:eastAsia="es-CR"/>
          <w14:ligatures w14:val="none"/>
        </w:rPr>
      </w:pPr>
      <w:r w:rsidRPr="002557A5">
        <w:rPr>
          <w:rFonts w:ascii="Calibri" w:eastAsia="Times New Roman" w:hAnsi="Calibri" w:cs="Arial"/>
          <w:color w:val="0070C0"/>
          <w:kern w:val="0"/>
          <w:lang w:val="es-ES_tradnl" w:eastAsia="es-CR"/>
          <w14:ligatures w14:val="none"/>
        </w:rPr>
        <w:t xml:space="preserve">El ensayo es un ejercicio académico, argumentativo y fundamentado que se realiza para el tratamiento de un tema o tópico. </w:t>
      </w:r>
      <w:r w:rsidRPr="002557A5">
        <w:rPr>
          <w:rFonts w:ascii="Calibri" w:eastAsia="Calibri" w:hAnsi="Calibri" w:cs="Times New Roman"/>
          <w:color w:val="0070C0"/>
          <w:kern w:val="0"/>
          <w:lang w:val="es-MX"/>
          <w14:ligatures w14:val="none"/>
        </w:rPr>
        <w:t>Durante el curso se elaborarán tres ensayos sobre las siguientes temáticas: la alteridad, la hermenéutica filosófica y la teología latinoamericana y el feminismo y la teología latinoamericana.</w:t>
      </w:r>
      <w:r w:rsidRPr="002557A5">
        <w:rPr>
          <w:rFonts w:ascii="Calibri" w:eastAsia="Times New Roman" w:hAnsi="Calibri" w:cs="Arial"/>
          <w:color w:val="0070C0"/>
          <w:kern w:val="0"/>
          <w:lang w:val="es-ES_tradnl" w:eastAsia="es-CR"/>
          <w14:ligatures w14:val="none"/>
        </w:rPr>
        <w:t xml:space="preserve"> Cada ensayo tiene un valor de 10% y se elaboran en las sesiones 7, 10 y 12. La siguiente escala corresponde al ensayo sobre la alteridad que se entrega en la sesión 7. </w:t>
      </w:r>
    </w:p>
    <w:p w14:paraId="60E8C5C5"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r w:rsidRPr="002557A5">
        <w:rPr>
          <w:rFonts w:ascii="Calibri" w:eastAsia="Times New Roman" w:hAnsi="Calibri" w:cs="Arial"/>
          <w:b/>
          <w:bCs/>
          <w:noProof/>
          <w:color w:val="000000"/>
          <w:kern w:val="0"/>
          <w:lang w:val="es-ES_tradnl" w:eastAsia="es-CR"/>
          <w14:ligatures w14:val="none"/>
        </w:rPr>
        <w:drawing>
          <wp:anchor distT="0" distB="0" distL="114300" distR="114300" simplePos="0" relativeHeight="252293120" behindDoc="0" locked="0" layoutInCell="1" allowOverlap="1" wp14:anchorId="1CB39DD9" wp14:editId="31BB42A8">
            <wp:simplePos x="0" y="0"/>
            <wp:positionH relativeFrom="margin">
              <wp:align>center</wp:align>
            </wp:positionH>
            <wp:positionV relativeFrom="paragraph">
              <wp:posOffset>127318</wp:posOffset>
            </wp:positionV>
            <wp:extent cx="7567613" cy="5597807"/>
            <wp:effectExtent l="0" t="0" r="0" b="3175"/>
            <wp:wrapNone/>
            <wp:docPr id="64960936" name="Imagen 4"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60936" name="Imagen 4" descr="Interfaz de usuario gráfica&#10;&#10;Descripción generada automáticamente con confianza media"/>
                    <pic:cNvPicPr/>
                  </pic:nvPicPr>
                  <pic:blipFill>
                    <a:blip r:embed="rId170">
                      <a:extLst>
                        <a:ext uri="{28A0092B-C50C-407E-A947-70E740481C1C}">
                          <a14:useLocalDpi xmlns:a14="http://schemas.microsoft.com/office/drawing/2010/main" val="0"/>
                        </a:ext>
                      </a:extLst>
                    </a:blip>
                    <a:stretch>
                      <a:fillRect/>
                    </a:stretch>
                  </pic:blipFill>
                  <pic:spPr>
                    <a:xfrm>
                      <a:off x="0" y="0"/>
                      <a:ext cx="7567613" cy="5597807"/>
                    </a:xfrm>
                    <a:prstGeom prst="rect">
                      <a:avLst/>
                    </a:prstGeom>
                  </pic:spPr>
                </pic:pic>
              </a:graphicData>
            </a:graphic>
            <wp14:sizeRelH relativeFrom="margin">
              <wp14:pctWidth>0</wp14:pctWidth>
            </wp14:sizeRelH>
            <wp14:sizeRelV relativeFrom="margin">
              <wp14:pctHeight>0</wp14:pctHeight>
            </wp14:sizeRelV>
          </wp:anchor>
        </w:drawing>
      </w:r>
    </w:p>
    <w:p w14:paraId="5CF7FF77"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br w:type="page"/>
      </w:r>
    </w:p>
    <w:p w14:paraId="31105D76"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bCs/>
          <w:noProof/>
          <w:kern w:val="0"/>
          <w:sz w:val="20"/>
          <w:szCs w:val="20"/>
          <w:lang w:val="es-ES_tradnl" w:eastAsia="es-CR"/>
          <w14:ligatures w14:val="none"/>
        </w:rPr>
        <w:lastRenderedPageBreak/>
        <mc:AlternateContent>
          <mc:Choice Requires="wps">
            <w:drawing>
              <wp:anchor distT="0" distB="0" distL="114300" distR="114300" simplePos="0" relativeHeight="252294144" behindDoc="0" locked="0" layoutInCell="1" allowOverlap="1" wp14:anchorId="77F9030A" wp14:editId="26F698EF">
                <wp:simplePos x="0" y="0"/>
                <wp:positionH relativeFrom="margin">
                  <wp:posOffset>644525</wp:posOffset>
                </wp:positionH>
                <wp:positionV relativeFrom="paragraph">
                  <wp:posOffset>-228600</wp:posOffset>
                </wp:positionV>
                <wp:extent cx="7879080" cy="426720"/>
                <wp:effectExtent l="0" t="0" r="26670" b="11430"/>
                <wp:wrapNone/>
                <wp:docPr id="460769172" name="Cuadro de texto 460769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66CD5EBB" w14:textId="77777777" w:rsidR="002557A5" w:rsidRPr="002557A5" w:rsidRDefault="002557A5" w:rsidP="002557A5">
                            <w:pPr>
                              <w:jc w:val="center"/>
                              <w:rPr>
                                <w:rFonts w:cs="Calibri"/>
                                <w:b/>
                              </w:rPr>
                            </w:pPr>
                            <w:r w:rsidRPr="002557A5">
                              <w:rPr>
                                <w:rFonts w:cs="Calibri"/>
                                <w:b/>
                              </w:rPr>
                              <w:t>ESCALA DE EVALUACIÓN – ENSAYO SOBRE HERMENÉUTICA FILOSÓFICA Y TEOLOGÍA LATINOAMERICANA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7F9030A" id="Cuadro de texto 460769172" o:spid="_x0000_s1097" type="#_x0000_t202" style="position:absolute;left:0;text-align:left;margin-left:50.75pt;margin-top:-18pt;width:620.4pt;height:33.6pt;z-index:25229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">
                <v:textbox>
                  <w:txbxContent>
                    <w:p w14:paraId="66CD5EBB" w14:textId="77777777" w:rsidR="002557A5" w:rsidRPr="002557A5" w:rsidRDefault="002557A5" w:rsidP="002557A5">
                      <w:pPr>
                        <w:jc w:val="center"/>
                        <w:rPr>
                          <w:rFonts w:cs="Calibri"/>
                          <w:b/>
                        </w:rPr>
                      </w:pPr>
                      <w:r w:rsidRPr="002557A5">
                        <w:rPr>
                          <w:rFonts w:cs="Calibri"/>
                          <w:b/>
                        </w:rPr>
                        <w:t>ESCALA DE EVALUACIÓN – ENSAYO SOBRE HERMENÉUTICA FILOSÓFICA Y TEOLOGÍA LATINOAMERICANA</w:t>
                      </w:r>
                    </w:p>
                  </w:txbxContent>
                </v:textbox>
                <w10:wrap anchorx="margin"/>
              </v:shape>
            </w:pict>
          </mc:Fallback>
        </mc:AlternateContent>
      </w:r>
    </w:p>
    <w:p w14:paraId="5BDE3A8D" w14:textId="77777777" w:rsidR="002557A5" w:rsidRPr="002557A5" w:rsidRDefault="002557A5" w:rsidP="002557A5">
      <w:pP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noProof/>
          <w:color w:val="0070C0"/>
          <w:kern w:val="0"/>
          <w:lang w:val="es-ES_tradnl" w:eastAsia="es-CR"/>
          <w14:ligatures w14:val="none"/>
        </w:rPr>
        <w:drawing>
          <wp:anchor distT="0" distB="0" distL="114300" distR="114300" simplePos="0" relativeHeight="252295168" behindDoc="0" locked="0" layoutInCell="1" allowOverlap="1" wp14:anchorId="5D55DDDE" wp14:editId="422D6DB5">
            <wp:simplePos x="0" y="0"/>
            <wp:positionH relativeFrom="margin">
              <wp:posOffset>362294</wp:posOffset>
            </wp:positionH>
            <wp:positionV relativeFrom="paragraph">
              <wp:posOffset>782955</wp:posOffset>
            </wp:positionV>
            <wp:extent cx="8418576" cy="5900928"/>
            <wp:effectExtent l="0" t="0" r="1905" b="5080"/>
            <wp:wrapNone/>
            <wp:docPr id="2024290089"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290089" name="Imagen 5" descr="Tabla&#10;&#10;Descripción generada automáticamente"/>
                    <pic:cNvPicPr/>
                  </pic:nvPicPr>
                  <pic:blipFill>
                    <a:blip r:embed="rId171">
                      <a:extLst>
                        <a:ext uri="{28A0092B-C50C-407E-A947-70E740481C1C}">
                          <a14:useLocalDpi xmlns:a14="http://schemas.microsoft.com/office/drawing/2010/main" val="0"/>
                        </a:ext>
                      </a:extLst>
                    </a:blip>
                    <a:stretch>
                      <a:fillRect/>
                    </a:stretch>
                  </pic:blipFill>
                  <pic:spPr>
                    <a:xfrm>
                      <a:off x="0" y="0"/>
                      <a:ext cx="8418576" cy="5900928"/>
                    </a:xfrm>
                    <a:prstGeom prst="rect">
                      <a:avLst/>
                    </a:prstGeom>
                  </pic:spPr>
                </pic:pic>
              </a:graphicData>
            </a:graphic>
          </wp:anchor>
        </w:drawing>
      </w:r>
      <w:r w:rsidRPr="002557A5">
        <w:rPr>
          <w:rFonts w:ascii="Calibri" w:eastAsia="Times New Roman" w:hAnsi="Calibri" w:cs="Arial"/>
          <w:color w:val="0070C0"/>
          <w:kern w:val="0"/>
          <w:lang w:val="es-ES_tradnl" w:eastAsia="es-CR"/>
          <w14:ligatures w14:val="none"/>
        </w:rPr>
        <w:t xml:space="preserve">El ensayo es un ejercicio académico, argumentativo y fundamentado que se realiza para el tratamiento de un tema o tópico. Durante el curso se elaborarán tres ensayos sobre las siguientes temáticas: la alteridad, la hermenéutica filosófica y la teología latinoamericana y el feminismo y la teología latinoamericana. Cada ensayo tiene un valor de 10% y se elaboran en las sesiones 7, 10 y 12. La siguiente escala corresponde al ensayo sobre la hermenéutica filosófica que se entrega en la sesión 10. </w:t>
      </w:r>
      <w:r w:rsidRPr="002557A5">
        <w:rPr>
          <w:rFonts w:ascii="Calibri" w:eastAsia="Times New Roman" w:hAnsi="Calibri" w:cs="Arial"/>
          <w:b/>
          <w:bCs/>
          <w:color w:val="000000"/>
          <w:kern w:val="0"/>
          <w:lang w:val="es-ES_tradnl" w:eastAsia="es-CR"/>
          <w14:ligatures w14:val="none"/>
        </w:rPr>
        <w:br w:type="page"/>
      </w:r>
    </w:p>
    <w:p w14:paraId="77792662"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bCs/>
          <w:noProof/>
          <w:kern w:val="0"/>
          <w:sz w:val="20"/>
          <w:szCs w:val="20"/>
          <w:lang w:val="es-ES_tradnl" w:eastAsia="es-CR"/>
          <w14:ligatures w14:val="none"/>
        </w:rPr>
        <w:lastRenderedPageBreak/>
        <mc:AlternateContent>
          <mc:Choice Requires="wps">
            <w:drawing>
              <wp:anchor distT="0" distB="0" distL="114300" distR="114300" simplePos="0" relativeHeight="252296192" behindDoc="0" locked="0" layoutInCell="1" allowOverlap="1" wp14:anchorId="63D68D59" wp14:editId="38F96BF2">
                <wp:simplePos x="0" y="0"/>
                <wp:positionH relativeFrom="margin">
                  <wp:posOffset>619125</wp:posOffset>
                </wp:positionH>
                <wp:positionV relativeFrom="paragraph">
                  <wp:posOffset>-195368</wp:posOffset>
                </wp:positionV>
                <wp:extent cx="7879080" cy="426720"/>
                <wp:effectExtent l="0" t="0" r="26670" b="11430"/>
                <wp:wrapNone/>
                <wp:docPr id="55273729" name="Cuadro de texto 55273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03EFF584" w14:textId="77777777" w:rsidR="002557A5" w:rsidRPr="002557A5" w:rsidRDefault="002557A5" w:rsidP="002557A5">
                            <w:pPr>
                              <w:jc w:val="center"/>
                              <w:rPr>
                                <w:rFonts w:cs="Calibri"/>
                                <w:b/>
                              </w:rPr>
                            </w:pPr>
                            <w:r w:rsidRPr="002557A5">
                              <w:rPr>
                                <w:rFonts w:cs="Calibri"/>
                                <w:b/>
                              </w:rPr>
                              <w:t>ESCALA DE EVALUACIÓN – ENSAYO SOBRE EL FEMINISMO Y LA TEOLOGÍA LATINOAMERICANA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D68D59" id="Cuadro de texto 55273729" o:spid="_x0000_s1098" type="#_x0000_t202" style="position:absolute;left:0;text-align:left;margin-left:48.75pt;margin-top:-15.4pt;width:620.4pt;height:33.6pt;z-index:25229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">
                <v:textbox>
                  <w:txbxContent>
                    <w:p w14:paraId="03EFF584" w14:textId="77777777" w:rsidR="002557A5" w:rsidRPr="002557A5" w:rsidRDefault="002557A5" w:rsidP="002557A5">
                      <w:pPr>
                        <w:jc w:val="center"/>
                        <w:rPr>
                          <w:rFonts w:cs="Calibri"/>
                          <w:b/>
                        </w:rPr>
                      </w:pPr>
                      <w:r w:rsidRPr="002557A5">
                        <w:rPr>
                          <w:rFonts w:cs="Calibri"/>
                          <w:b/>
                        </w:rPr>
                        <w:t>ESCALA DE EVALUACIÓN – ENSAYO SOBRE EL FEMINISMO Y LA TEOLOGÍA LATINOAMERICANA</w:t>
                      </w:r>
                    </w:p>
                  </w:txbxContent>
                </v:textbox>
                <w10:wrap anchorx="margin"/>
              </v:shape>
            </w:pict>
          </mc:Fallback>
        </mc:AlternateContent>
      </w:r>
    </w:p>
    <w:p w14:paraId="7DC284C5" w14:textId="77777777" w:rsidR="002557A5" w:rsidRPr="002557A5" w:rsidRDefault="002557A5" w:rsidP="002557A5">
      <w:pP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color w:val="0070C0"/>
          <w:kern w:val="0"/>
          <w:lang w:val="es-ES_tradnl" w:eastAsia="es-CR"/>
          <w14:ligatures w14:val="none"/>
        </w:rPr>
        <w:t>El ensayo es un ejercicio académico, argumentativo y fundamentado que se realiza para el tratamiento de un tema o tópico. Durante el curso se elaborarán tres ensayos sobre las siguientes temáticas: la alteridad, la hermenéutica filosófica y la teología latinoamericana y el feminismo y la teología latinoamericana. Cada ensayo tiene un valor de 10% y se elaboran en las sesiones 7, 10 y 12. La siguiente escala corresponde al ensayo sobre el feminismo y la teología latinoamericana que se entrega en la sesión 12.</w:t>
      </w:r>
    </w:p>
    <w:p w14:paraId="2A6C6D7B"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noProof/>
          <w:color w:val="000000"/>
          <w:kern w:val="0"/>
          <w:lang w:val="es-ES_tradnl" w:eastAsia="es-CR"/>
          <w14:ligatures w14:val="none"/>
        </w:rPr>
        <w:drawing>
          <wp:anchor distT="0" distB="0" distL="114300" distR="114300" simplePos="0" relativeHeight="252297216" behindDoc="0" locked="0" layoutInCell="1" allowOverlap="1" wp14:anchorId="53AEE9DF" wp14:editId="784EEA5F">
            <wp:simplePos x="0" y="0"/>
            <wp:positionH relativeFrom="margin">
              <wp:align>center</wp:align>
            </wp:positionH>
            <wp:positionV relativeFrom="paragraph">
              <wp:posOffset>5398</wp:posOffset>
            </wp:positionV>
            <wp:extent cx="8442441" cy="5977466"/>
            <wp:effectExtent l="0" t="0" r="0" b="4445"/>
            <wp:wrapNone/>
            <wp:docPr id="209022134"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2134" name="Imagen 6" descr="Tabla&#10;&#10;Descripción generada automáticamente"/>
                    <pic:cNvPicPr/>
                  </pic:nvPicPr>
                  <pic:blipFill>
                    <a:blip r:embed="rId172">
                      <a:extLst>
                        <a:ext uri="{28A0092B-C50C-407E-A947-70E740481C1C}">
                          <a14:useLocalDpi xmlns:a14="http://schemas.microsoft.com/office/drawing/2010/main" val="0"/>
                        </a:ext>
                      </a:extLst>
                    </a:blip>
                    <a:stretch>
                      <a:fillRect/>
                    </a:stretch>
                  </pic:blipFill>
                  <pic:spPr>
                    <a:xfrm>
                      <a:off x="0" y="0"/>
                      <a:ext cx="8444256" cy="5978751"/>
                    </a:xfrm>
                    <a:prstGeom prst="rect">
                      <a:avLst/>
                    </a:prstGeom>
                  </pic:spPr>
                </pic:pic>
              </a:graphicData>
            </a:graphic>
            <wp14:sizeRelV relativeFrom="margin">
              <wp14:pctHeight>0</wp14:pctHeight>
            </wp14:sizeRelV>
          </wp:anchor>
        </w:drawing>
      </w:r>
      <w:r w:rsidRPr="002557A5">
        <w:rPr>
          <w:rFonts w:ascii="Calibri" w:eastAsia="Times New Roman" w:hAnsi="Calibri" w:cs="Arial"/>
          <w:b/>
          <w:bCs/>
          <w:color w:val="000000"/>
          <w:kern w:val="0"/>
          <w:lang w:val="es-ES_tradnl" w:eastAsia="es-CR"/>
          <w14:ligatures w14:val="none"/>
        </w:rPr>
        <w:br w:type="page"/>
      </w:r>
    </w:p>
    <w:p w14:paraId="1CB0E186"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Calibri"/>
          <w:bCs/>
          <w:noProof/>
          <w:kern w:val="0"/>
          <w:sz w:val="20"/>
          <w:szCs w:val="20"/>
          <w:lang w:val="es-ES_tradnl" w:eastAsia="es-CR"/>
          <w14:ligatures w14:val="none"/>
        </w:rPr>
        <w:lastRenderedPageBreak/>
        <mc:AlternateContent>
          <mc:Choice Requires="wps">
            <w:drawing>
              <wp:anchor distT="0" distB="0" distL="114300" distR="114300" simplePos="0" relativeHeight="252298240" behindDoc="0" locked="0" layoutInCell="1" allowOverlap="1" wp14:anchorId="068240F7" wp14:editId="4E030059">
                <wp:simplePos x="0" y="0"/>
                <wp:positionH relativeFrom="margin">
                  <wp:align>center</wp:align>
                </wp:positionH>
                <wp:positionV relativeFrom="paragraph">
                  <wp:posOffset>-138748</wp:posOffset>
                </wp:positionV>
                <wp:extent cx="7879080" cy="426720"/>
                <wp:effectExtent l="0" t="0" r="26670" b="11430"/>
                <wp:wrapNone/>
                <wp:docPr id="343392213" name="Cuadro de texto 343392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534ECFCE" w14:textId="77777777" w:rsidR="002557A5" w:rsidRPr="002557A5" w:rsidRDefault="002557A5" w:rsidP="002557A5">
                            <w:pPr>
                              <w:jc w:val="center"/>
                              <w:rPr>
                                <w:rFonts w:cs="Calibri"/>
                                <w:b/>
                              </w:rPr>
                            </w:pPr>
                            <w:r w:rsidRPr="002557A5">
                              <w:rPr>
                                <w:rFonts w:cs="Calibri"/>
                                <w:b/>
                              </w:rPr>
                              <w:t>RÚBRICA DE EVALUACIÓN – MONOGRAFÍA</w:t>
                            </w:r>
                          </w:p>
                        </w:txbxContent>
                      </wps:txbx>
                      <wps:bodyPr rot="0" vert="horz" wrap="square" lIns="91440" tIns="45720" rIns="91440" bIns="45720" anchor="ctr" anchorCtr="0">
                        <a:noAutofit/>
                      </wps:bodyPr>
                    </wps:wsp>
                  </a:graphicData>
                </a:graphic>
              </wp:anchor>
            </w:drawing>
          </mc:Choice>
          <mc:Fallback>
            <w:pict>
              <v:shape w14:anchorId="068240F7" id="Cuadro de texto 343392213" o:spid="_x0000_s1099" type="#_x0000_t202" style="position:absolute;left:0;text-align:left;margin-left:0;margin-top:-10.95pt;width:620.4pt;height:33.6pt;z-index:25229824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">
                <v:textbox>
                  <w:txbxContent>
                    <w:p w14:paraId="534ECFCE" w14:textId="77777777" w:rsidR="002557A5" w:rsidRPr="002557A5" w:rsidRDefault="002557A5" w:rsidP="002557A5">
                      <w:pPr>
                        <w:jc w:val="center"/>
                        <w:rPr>
                          <w:rFonts w:cs="Calibri"/>
                          <w:b/>
                        </w:rPr>
                      </w:pPr>
                      <w:r w:rsidRPr="002557A5">
                        <w:rPr>
                          <w:rFonts w:cs="Calibri"/>
                          <w:b/>
                        </w:rPr>
                        <w:t>RÚBRICA DE EVALUACIÓN – MONOGRAFÍA</w:t>
                      </w:r>
                    </w:p>
                  </w:txbxContent>
                </v:textbox>
                <w10:wrap anchorx="margin"/>
              </v:shape>
            </w:pict>
          </mc:Fallback>
        </mc:AlternateContent>
      </w:r>
    </w:p>
    <w:p w14:paraId="48C8A35A" w14:textId="77777777" w:rsidR="002557A5" w:rsidRPr="002557A5" w:rsidRDefault="002557A5" w:rsidP="4C9C2619">
      <w:pPr>
        <w:rPr>
          <w:rFonts w:ascii="Calibri" w:eastAsia="Times New Roman" w:hAnsi="Calibri" w:cs="Arial"/>
          <w:color w:val="0070C0"/>
          <w:kern w:val="0"/>
          <w:lang w:val="es-ES" w:eastAsia="es-CR"/>
          <w14:ligatures w14:val="none"/>
        </w:rPr>
      </w:pPr>
      <w:r w:rsidRPr="002557A5">
        <w:rPr>
          <w:rFonts w:ascii="Calibri" w:eastAsia="Times New Roman" w:hAnsi="Calibri" w:cs="Arial"/>
          <w:noProof/>
          <w:color w:val="000000"/>
          <w:kern w:val="0"/>
          <w:lang w:val="es-ES_tradnl" w:eastAsia="es-CR"/>
          <w14:ligatures w14:val="none"/>
        </w:rPr>
        <w:drawing>
          <wp:anchor distT="0" distB="0" distL="114300" distR="114300" simplePos="0" relativeHeight="252299264" behindDoc="0" locked="0" layoutInCell="1" allowOverlap="1" wp14:anchorId="64312E25" wp14:editId="4DC43D26">
            <wp:simplePos x="0" y="0"/>
            <wp:positionH relativeFrom="margin">
              <wp:posOffset>300990</wp:posOffset>
            </wp:positionH>
            <wp:positionV relativeFrom="paragraph">
              <wp:posOffset>773007</wp:posOffset>
            </wp:positionV>
            <wp:extent cx="8541665" cy="5438775"/>
            <wp:effectExtent l="0" t="0" r="0" b="0"/>
            <wp:wrapNone/>
            <wp:docPr id="292038819"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38819" name="Imagen 7" descr="Tabla&#10;&#10;Descripción generada automáticamente"/>
                    <pic:cNvPicPr/>
                  </pic:nvPicPr>
                  <pic:blipFill>
                    <a:blip r:embed="rId173">
                      <a:extLst>
                        <a:ext uri="{28A0092B-C50C-407E-A947-70E740481C1C}">
                          <a14:useLocalDpi xmlns:a14="http://schemas.microsoft.com/office/drawing/2010/main" val="0"/>
                        </a:ext>
                      </a:extLst>
                    </a:blip>
                    <a:stretch>
                      <a:fillRect/>
                    </a:stretch>
                  </pic:blipFill>
                  <pic:spPr>
                    <a:xfrm>
                      <a:off x="0" y="0"/>
                      <a:ext cx="8541665" cy="5438775"/>
                    </a:xfrm>
                    <a:prstGeom prst="rect">
                      <a:avLst/>
                    </a:prstGeom>
                  </pic:spPr>
                </pic:pic>
              </a:graphicData>
            </a:graphic>
            <wp14:sizeRelH relativeFrom="margin">
              <wp14:pctWidth>0</wp14:pctWidth>
            </wp14:sizeRelH>
            <wp14:sizeRelV relativeFrom="margin">
              <wp14:pctHeight>0</wp14:pctHeight>
            </wp14:sizeRelV>
          </wp:anchor>
        </w:drawing>
      </w:r>
      <w:r w:rsidRPr="4C9C2619">
        <w:rPr>
          <w:rFonts w:ascii="Calibri" w:eastAsia="Times New Roman" w:hAnsi="Calibri" w:cs="Arial"/>
          <w:color w:val="0070C0"/>
          <w:kern w:val="0"/>
          <w:lang w:val="es-ES" w:eastAsia="es-CR"/>
          <w14:ligatures w14:val="none"/>
        </w:rPr>
        <w:t>Se define esta estrategia de aprendizaje como un trabajo académico escrito producto de la investigación documental o bibliográfica, en el que se busca analizar mediante sus temas y subtemas un tópico claramente delimitado, estructurado en forma lógica y sistemática con el objetivo de compartir conocimiento sobre este. Se elabora desde la sesión 3 hasta la 14 de la siguiente forma: sesión 6 (primer avance), sesión 11 (segundo avance), sesión 14 (monografía completa). Tiene un valor de 25%.</w:t>
      </w:r>
    </w:p>
    <w:p w14:paraId="542F8D15" w14:textId="77777777" w:rsidR="002557A5" w:rsidRPr="002557A5" w:rsidRDefault="002557A5" w:rsidP="002557A5">
      <w:pPr>
        <w:rPr>
          <w:rFonts w:ascii="Calibri" w:eastAsia="Times New Roman" w:hAnsi="Calibri" w:cs="Arial"/>
          <w:color w:val="0070C0"/>
          <w:kern w:val="0"/>
          <w:lang w:val="es-ES_tradnl" w:eastAsia="es-CR"/>
          <w14:ligatures w14:val="none"/>
        </w:rPr>
      </w:pPr>
    </w:p>
    <w:p w14:paraId="3F445338"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p>
    <w:p w14:paraId="3B395719" w14:textId="77777777" w:rsidR="002557A5" w:rsidRPr="002557A5" w:rsidRDefault="002557A5" w:rsidP="002557A5">
      <w:pPr>
        <w:jc w:val="center"/>
        <w:rPr>
          <w:rFonts w:ascii="Calibri" w:eastAsia="Times New Roman" w:hAnsi="Calibri" w:cs="Arial"/>
          <w:color w:val="000000"/>
          <w:kern w:val="0"/>
          <w:lang w:val="es-ES_tradnl" w:eastAsia="es-CR"/>
          <w14:ligatures w14:val="none"/>
        </w:rPr>
      </w:pPr>
    </w:p>
    <w:p w14:paraId="21CF2610"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color w:val="000000"/>
          <w:kern w:val="0"/>
          <w:lang w:val="es-ES_tradnl" w:eastAsia="es-CR"/>
          <w14:ligatures w14:val="none"/>
        </w:rPr>
        <w:br w:type="page"/>
      </w:r>
    </w:p>
    <w:p w14:paraId="22F3EE55"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noProof/>
          <w:color w:val="000000"/>
          <w:kern w:val="0"/>
          <w:lang w:val="es-ES_tradnl" w:eastAsia="es-CR"/>
          <w14:ligatures w14:val="none"/>
        </w:rPr>
        <w:lastRenderedPageBreak/>
        <w:drawing>
          <wp:anchor distT="0" distB="0" distL="114300" distR="114300" simplePos="0" relativeHeight="252300288" behindDoc="0" locked="0" layoutInCell="1" allowOverlap="1" wp14:anchorId="7C6AB05F" wp14:editId="23FD16FD">
            <wp:simplePos x="0" y="0"/>
            <wp:positionH relativeFrom="column">
              <wp:posOffset>328613</wp:posOffset>
            </wp:positionH>
            <wp:positionV relativeFrom="paragraph">
              <wp:posOffset>0</wp:posOffset>
            </wp:positionV>
            <wp:extent cx="8550808" cy="1152525"/>
            <wp:effectExtent l="0" t="0" r="3175" b="0"/>
            <wp:wrapNone/>
            <wp:docPr id="1342530184" name="Imagen 8"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30184" name="Imagen 8" descr="Tabla&#10;&#10;Descripción generada automáticamente con confianza media"/>
                    <pic:cNvPicPr/>
                  </pic:nvPicPr>
                  <pic:blipFill>
                    <a:blip r:embed="rId174">
                      <a:extLst>
                        <a:ext uri="{28A0092B-C50C-407E-A947-70E740481C1C}">
                          <a14:useLocalDpi xmlns:a14="http://schemas.microsoft.com/office/drawing/2010/main" val="0"/>
                        </a:ext>
                      </a:extLst>
                    </a:blip>
                    <a:stretch>
                      <a:fillRect/>
                    </a:stretch>
                  </pic:blipFill>
                  <pic:spPr>
                    <a:xfrm>
                      <a:off x="0" y="0"/>
                      <a:ext cx="8705990" cy="1173441"/>
                    </a:xfrm>
                    <a:prstGeom prst="rect">
                      <a:avLst/>
                    </a:prstGeom>
                  </pic:spPr>
                </pic:pic>
              </a:graphicData>
            </a:graphic>
            <wp14:sizeRelH relativeFrom="margin">
              <wp14:pctWidth>0</wp14:pctWidth>
            </wp14:sizeRelH>
            <wp14:sizeRelV relativeFrom="margin">
              <wp14:pctHeight>0</wp14:pctHeight>
            </wp14:sizeRelV>
          </wp:anchor>
        </w:drawing>
      </w:r>
      <w:r w:rsidRPr="002557A5">
        <w:rPr>
          <w:rFonts w:ascii="Calibri" w:eastAsia="Times New Roman" w:hAnsi="Calibri" w:cs="Arial"/>
          <w:b/>
          <w:bCs/>
          <w:color w:val="000000"/>
          <w:kern w:val="0"/>
          <w:lang w:val="es-ES_tradnl" w:eastAsia="es-CR"/>
          <w14:ligatures w14:val="none"/>
        </w:rPr>
        <w:br w:type="page"/>
      </w:r>
    </w:p>
    <w:p w14:paraId="030B0767"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Times New Roman" w:eastAsia="Times New Roman" w:hAnsi="Times New Roman" w:cs="Times New Roman"/>
          <w:b/>
          <w:noProof/>
          <w:color w:val="000000"/>
          <w:kern w:val="0"/>
          <w:sz w:val="24"/>
          <w:szCs w:val="24"/>
          <w:lang w:val="es-ES_tradnl" w:eastAsia="es-CR"/>
          <w14:ligatures w14:val="none"/>
        </w:rPr>
        <w:lastRenderedPageBreak/>
        <mc:AlternateContent>
          <mc:Choice Requires="wps">
            <w:drawing>
              <wp:anchor distT="0" distB="0" distL="114300" distR="114300" simplePos="0" relativeHeight="252301312" behindDoc="0" locked="0" layoutInCell="1" allowOverlap="1" wp14:anchorId="3F679FBB" wp14:editId="0567AF24">
                <wp:simplePos x="0" y="0"/>
                <wp:positionH relativeFrom="margin">
                  <wp:align>center</wp:align>
                </wp:positionH>
                <wp:positionV relativeFrom="paragraph">
                  <wp:posOffset>-635</wp:posOffset>
                </wp:positionV>
                <wp:extent cx="6591300" cy="404813"/>
                <wp:effectExtent l="0" t="0" r="19050" b="14605"/>
                <wp:wrapNone/>
                <wp:docPr id="438427255" name="Cuadro de texto 438427255"/>
                <wp:cNvGraphicFramePr/>
                <a:graphic xmlns:a="http://schemas.openxmlformats.org/drawingml/2006/main">
                  <a:graphicData uri="http://schemas.microsoft.com/office/word/2010/wordprocessingShape">
                    <wps:wsp>
                      <wps:cNvSpPr txBox="1"/>
                      <wps:spPr>
                        <a:xfrm>
                          <a:off x="0" y="0"/>
                          <a:ext cx="6591300" cy="404813"/>
                        </a:xfrm>
                        <a:prstGeom prst="rect">
                          <a:avLst/>
                        </a:prstGeom>
                        <a:solidFill>
                          <a:sysClr val="window" lastClr="FFFFFF"/>
                        </a:solidFill>
                        <a:ln w="6350">
                          <a:solidFill>
                            <a:prstClr val="black"/>
                          </a:solidFill>
                        </a:ln>
                      </wps:spPr>
                      <wps:txbx>
                        <w:txbxContent>
                          <w:p w14:paraId="7F096928" w14:textId="77777777" w:rsidR="002557A5" w:rsidRPr="002557A5" w:rsidRDefault="002557A5" w:rsidP="002557A5">
                            <w:pPr>
                              <w:jc w:val="center"/>
                              <w:rPr>
                                <w:rFonts w:cs="Calibri"/>
                                <w:b/>
                              </w:rPr>
                            </w:pPr>
                            <w:r w:rsidRPr="002557A5">
                              <w:rPr>
                                <w:rFonts w:cs="Calibri"/>
                                <w:b/>
                              </w:rPr>
                              <w:t>ESCALA DE EVALUACIÓN – EXPOSICIÓN DE LA MONOGRAFÍA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79FBB" id="Cuadro de texto 438427255" o:spid="_x0000_s1100" type="#_x0000_t202" style="position:absolute;left:0;text-align:left;margin-left:0;margin-top:-.05pt;width:519pt;height:31.9pt;z-index:25230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" fillcolor="window" strokeweight=".5pt">
                <v:textbox>
                  <w:txbxContent>
                    <w:p w14:paraId="7F096928" w14:textId="77777777" w:rsidR="002557A5" w:rsidRPr="002557A5" w:rsidRDefault="002557A5" w:rsidP="002557A5">
                      <w:pPr>
                        <w:jc w:val="center"/>
                        <w:rPr>
                          <w:rFonts w:cs="Calibri"/>
                          <w:b/>
                        </w:rPr>
                      </w:pPr>
                      <w:r w:rsidRPr="002557A5">
                        <w:rPr>
                          <w:rFonts w:cs="Calibri"/>
                          <w:b/>
                        </w:rPr>
                        <w:t>ESCALA DE EVALUACIÓN – EXPOSICIÓN DE LA MONOGRAFÍA</w:t>
                      </w:r>
                    </w:p>
                  </w:txbxContent>
                </v:textbox>
                <w10:wrap anchorx="margin"/>
              </v:shape>
            </w:pict>
          </mc:Fallback>
        </mc:AlternateContent>
      </w:r>
    </w:p>
    <w:p w14:paraId="5927A9B2"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p>
    <w:p w14:paraId="61A6031B" w14:textId="77777777" w:rsidR="002557A5" w:rsidRPr="002557A5" w:rsidRDefault="002557A5" w:rsidP="002557A5">
      <w:pPr>
        <w:jc w:val="center"/>
        <w:rPr>
          <w:rFonts w:ascii="Calibri" w:eastAsia="Times New Roman" w:hAnsi="Calibri" w:cs="Arial"/>
          <w:bCs/>
          <w:color w:val="0070C0"/>
          <w:kern w:val="0"/>
          <w:lang w:val="es-ES_tradnl" w:eastAsia="es-CR"/>
          <w14:ligatures w14:val="none"/>
        </w:rPr>
      </w:pPr>
      <w:r w:rsidRPr="002557A5">
        <w:rPr>
          <w:rFonts w:ascii="Calibri" w:eastAsia="Times New Roman" w:hAnsi="Calibri" w:cs="Arial"/>
          <w:bCs/>
          <w:color w:val="0070C0"/>
          <w:kern w:val="0"/>
          <w:lang w:val="es-ES_tradnl" w:eastAsia="es-CR"/>
          <w14:ligatures w14:val="none"/>
        </w:rPr>
        <w:t>En la última sesión cada persona estudiante expondrá los principales puntos de su monografía (en no más de 10 minutos) mediante un encuentro sincrónico virtual. Tiene un valor de 5%.</w:t>
      </w:r>
    </w:p>
    <w:p w14:paraId="38D213CD" w14:textId="77777777" w:rsidR="002557A5" w:rsidRPr="002557A5" w:rsidRDefault="002557A5" w:rsidP="002557A5">
      <w:pPr>
        <w:jc w:val="center"/>
        <w:rPr>
          <w:rFonts w:ascii="Calibri" w:eastAsia="Times New Roman" w:hAnsi="Calibri" w:cs="Arial"/>
          <w:b/>
          <w:bCs/>
          <w:color w:val="000000"/>
          <w:kern w:val="0"/>
          <w:lang w:val="es-ES_tradnl" w:eastAsia="es-CR"/>
          <w14:ligatures w14:val="none"/>
        </w:rPr>
      </w:pPr>
      <w:r w:rsidRPr="002557A5">
        <w:rPr>
          <w:rFonts w:ascii="Calibri" w:eastAsia="Times New Roman" w:hAnsi="Calibri" w:cs="Arial"/>
          <w:b/>
          <w:bCs/>
          <w:noProof/>
          <w:color w:val="000000"/>
          <w:kern w:val="0"/>
          <w:lang w:val="es-ES_tradnl" w:eastAsia="es-CR"/>
          <w14:ligatures w14:val="none"/>
        </w:rPr>
        <w:drawing>
          <wp:anchor distT="0" distB="0" distL="114300" distR="114300" simplePos="0" relativeHeight="252302336" behindDoc="0" locked="0" layoutInCell="1" allowOverlap="1" wp14:anchorId="75B6A243" wp14:editId="7A7BC84A">
            <wp:simplePos x="0" y="0"/>
            <wp:positionH relativeFrom="margin">
              <wp:align>center</wp:align>
            </wp:positionH>
            <wp:positionV relativeFrom="paragraph">
              <wp:posOffset>6668</wp:posOffset>
            </wp:positionV>
            <wp:extent cx="8595360" cy="4559808"/>
            <wp:effectExtent l="0" t="0" r="0" b="0"/>
            <wp:wrapNone/>
            <wp:docPr id="97217772" name="Imagen 9"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17772" name="Imagen 9" descr="Interfaz de usuario gráfica, Tabla&#10;&#10;Descripción generada automáticamente"/>
                    <pic:cNvPicPr/>
                  </pic:nvPicPr>
                  <pic:blipFill>
                    <a:blip r:embed="rId175">
                      <a:extLst>
                        <a:ext uri="{28A0092B-C50C-407E-A947-70E740481C1C}">
                          <a14:useLocalDpi xmlns:a14="http://schemas.microsoft.com/office/drawing/2010/main" val="0"/>
                        </a:ext>
                      </a:extLst>
                    </a:blip>
                    <a:stretch>
                      <a:fillRect/>
                    </a:stretch>
                  </pic:blipFill>
                  <pic:spPr>
                    <a:xfrm>
                      <a:off x="0" y="0"/>
                      <a:ext cx="8595360" cy="4559808"/>
                    </a:xfrm>
                    <a:prstGeom prst="rect">
                      <a:avLst/>
                    </a:prstGeom>
                  </pic:spPr>
                </pic:pic>
              </a:graphicData>
            </a:graphic>
          </wp:anchor>
        </w:drawing>
      </w:r>
      <w:r w:rsidRPr="002557A5">
        <w:rPr>
          <w:rFonts w:ascii="Calibri" w:eastAsia="Times New Roman" w:hAnsi="Calibri" w:cs="Arial"/>
          <w:b/>
          <w:bCs/>
          <w:color w:val="000000"/>
          <w:kern w:val="0"/>
          <w:lang w:val="es-ES_tradnl" w:eastAsia="es-CR"/>
          <w14:ligatures w14:val="none"/>
        </w:rPr>
        <w:br w:type="page"/>
      </w:r>
    </w:p>
    <w:p w14:paraId="6E4E7603"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sectPr w:rsidR="002557A5" w:rsidRPr="002557A5" w:rsidSect="005C1895">
          <w:pgSz w:w="15840" w:h="12240" w:orient="landscape"/>
          <w:pgMar w:top="720" w:right="720" w:bottom="720" w:left="720" w:header="709" w:footer="709" w:gutter="0"/>
          <w:pgNumType w:start="142"/>
          <w:cols w:space="708"/>
          <w:docGrid w:linePitch="360"/>
        </w:sectPr>
      </w:pPr>
    </w:p>
    <w:p w14:paraId="5312496D"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2557A5">
        <w:rPr>
          <w:rFonts w:ascii="Calibri" w:eastAsia="Times New Roman" w:hAnsi="Calibri" w:cs="Arial"/>
          <w:b/>
          <w:bCs/>
          <w:kern w:val="0"/>
          <w:lang w:val="es-ES_tradnl" w:eastAsia="es-CR"/>
          <w14:ligatures w14:val="none"/>
        </w:rPr>
        <w:lastRenderedPageBreak/>
        <w:t xml:space="preserve">XI. Bibliografía obligatoria  </w:t>
      </w:r>
    </w:p>
    <w:p w14:paraId="7F97A9A5"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2557A5">
        <w:rPr>
          <w:rFonts w:ascii="Calibri" w:eastAsia="Times New Roman" w:hAnsi="Calibri" w:cs="Arial"/>
          <w:b/>
          <w:color w:val="000000"/>
          <w:kern w:val="0"/>
          <w:lang w:eastAsia="es-CR"/>
          <w14:ligatures w14:val="none"/>
        </w:rPr>
        <w:t>Nota:</w:t>
      </w:r>
      <w:r w:rsidRPr="002557A5">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2557A5">
        <w:rPr>
          <w:rFonts w:ascii="Calibri" w:eastAsia="Times New Roman" w:hAnsi="Calibri" w:cs="Arial"/>
          <w:bCs/>
          <w:color w:val="000000"/>
          <w:kern w:val="0"/>
          <w:lang w:eastAsia="es-CR"/>
          <w14:ligatures w14:val="none"/>
        </w:rPr>
        <w:t>pdf</w:t>
      </w:r>
      <w:proofErr w:type="spellEnd"/>
      <w:r w:rsidRPr="002557A5">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785410FB"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p>
    <w:p w14:paraId="4C1C58B5" w14:textId="77777777" w:rsidR="002557A5" w:rsidRPr="002557A5" w:rsidRDefault="002557A5" w:rsidP="4C9C2619">
      <w:pPr>
        <w:spacing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Cifuentes Medina, José </w:t>
      </w:r>
      <w:proofErr w:type="spellStart"/>
      <w:r w:rsidRPr="4C9C2619">
        <w:rPr>
          <w:rFonts w:ascii="Calibri" w:eastAsia="Times New Roman" w:hAnsi="Calibri" w:cs="Calibri"/>
          <w:kern w:val="0"/>
          <w:lang w:val="es-ES" w:eastAsia="es-CR"/>
          <w14:ligatures w14:val="none"/>
        </w:rPr>
        <w:t>Eriberto</w:t>
      </w:r>
      <w:proofErr w:type="spellEnd"/>
      <w:r w:rsidRPr="4C9C2619">
        <w:rPr>
          <w:rFonts w:ascii="Calibri" w:eastAsia="Times New Roman" w:hAnsi="Calibri" w:cs="Calibri"/>
          <w:kern w:val="0"/>
          <w:lang w:val="es-ES" w:eastAsia="es-CR"/>
          <w14:ligatures w14:val="none"/>
        </w:rPr>
        <w:t xml:space="preserve"> y Jaime Andrés Torres Ortiz. “Reflexiones en y para la enseñanza de la historia de la ética”. </w:t>
      </w:r>
      <w:r w:rsidRPr="4C9C2619">
        <w:rPr>
          <w:rFonts w:ascii="Calibri" w:eastAsia="Times New Roman" w:hAnsi="Calibri" w:cs="Calibri"/>
          <w:i/>
          <w:iCs/>
          <w:kern w:val="0"/>
          <w:lang w:val="es-ES" w:eastAsia="es-CR"/>
          <w14:ligatures w14:val="none"/>
        </w:rPr>
        <w:t>Hallazgos</w:t>
      </w:r>
      <w:r w:rsidRPr="4C9C2619">
        <w:rPr>
          <w:rFonts w:ascii="Calibri" w:eastAsia="Times New Roman" w:hAnsi="Calibri" w:cs="Calibri"/>
          <w:kern w:val="0"/>
          <w:lang w:val="es-ES" w:eastAsia="es-CR"/>
          <w14:ligatures w14:val="none"/>
        </w:rPr>
        <w:t xml:space="preserve">, n. 31 (2019): 167–186. Acceso el 25 de agosto de 2023. </w:t>
      </w:r>
      <w:hyperlink r:id="rId176" w:history="1">
        <w:r w:rsidRPr="4C9C2619">
          <w:rPr>
            <w:rFonts w:ascii="Calibri" w:eastAsia="Times New Roman" w:hAnsi="Calibri" w:cs="Calibri"/>
            <w:color w:val="0563C1"/>
            <w:kern w:val="0"/>
            <w:u w:val="single"/>
            <w:lang w:val="es-ES"/>
            <w14:ligatures w14:val="none"/>
          </w:rPr>
          <w:t>https://doi.org/10.15332/s1794-3841.2019.0031.07</w:t>
        </w:r>
      </w:hyperlink>
      <w:r w:rsidRPr="4C9C2619">
        <w:rPr>
          <w:rFonts w:ascii="Calibri" w:eastAsia="Times New Roman" w:hAnsi="Calibri" w:cs="Calibri"/>
          <w:kern w:val="0"/>
          <w:lang w:val="es-ES" w:eastAsia="es-CR"/>
          <w14:ligatures w14:val="none"/>
        </w:rPr>
        <w:t xml:space="preserve"> </w:t>
      </w:r>
    </w:p>
    <w:p w14:paraId="7683E467" w14:textId="77777777" w:rsidR="002557A5" w:rsidRPr="002557A5" w:rsidRDefault="002557A5" w:rsidP="002557A5">
      <w:pPr>
        <w:spacing w:after="120" w:line="240" w:lineRule="auto"/>
        <w:ind w:left="709" w:hanging="709"/>
        <w:jc w:val="both"/>
        <w:rPr>
          <w:rFonts w:ascii="Calibri" w:eastAsia="Times New Roman" w:hAnsi="Calibri" w:cs="Calibri"/>
          <w:bCs/>
          <w:kern w:val="0"/>
          <w:lang w:val="es-ES_tradnl" w:eastAsia="es-CR"/>
          <w14:ligatures w14:val="none"/>
        </w:rPr>
      </w:pPr>
      <w:r w:rsidRPr="002557A5">
        <w:rPr>
          <w:rFonts w:ascii="Calibri" w:eastAsia="Times New Roman" w:hAnsi="Calibri" w:cs="Calibri"/>
          <w:bCs/>
          <w:kern w:val="0"/>
          <w:lang w:val="es-ES_tradnl" w:eastAsia="es-CR"/>
          <w14:ligatures w14:val="none"/>
        </w:rPr>
        <w:t xml:space="preserve">Estrada, Juan Antonio. </w:t>
      </w:r>
      <w:r w:rsidRPr="002557A5">
        <w:rPr>
          <w:rFonts w:ascii="Calibri" w:eastAsia="Times New Roman" w:hAnsi="Calibri" w:cs="Calibri"/>
          <w:bCs/>
          <w:i/>
          <w:kern w:val="0"/>
          <w:lang w:val="es-ES_tradnl" w:eastAsia="es-CR"/>
          <w14:ligatures w14:val="none"/>
        </w:rPr>
        <w:t xml:space="preserve">Por una ética sin teología: Habermas como filósofo de la religión. </w:t>
      </w:r>
      <w:r w:rsidRPr="002557A5">
        <w:rPr>
          <w:rFonts w:ascii="Calibri" w:eastAsia="Times New Roman" w:hAnsi="Calibri" w:cs="Calibri"/>
          <w:bCs/>
          <w:kern w:val="0"/>
          <w:lang w:val="es-ES_tradnl" w:eastAsia="es-CR"/>
          <w14:ligatures w14:val="none"/>
        </w:rPr>
        <w:t>Madrid: Trotta, 2004. (</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p>
    <w:p w14:paraId="3CDE3CA7"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proofErr w:type="spellStart"/>
      <w:r w:rsidRPr="002557A5">
        <w:rPr>
          <w:rFonts w:ascii="Calibri" w:eastAsia="Times New Roman" w:hAnsi="Calibri" w:cs="Calibri"/>
          <w:kern w:val="0"/>
          <w14:ligatures w14:val="none"/>
        </w:rPr>
        <w:t>Ladrière</w:t>
      </w:r>
      <w:proofErr w:type="spellEnd"/>
      <w:r w:rsidRPr="002557A5">
        <w:rPr>
          <w:rFonts w:ascii="Calibri" w:eastAsia="Times New Roman" w:hAnsi="Calibri" w:cs="Calibri"/>
          <w:kern w:val="0"/>
          <w14:ligatures w14:val="none"/>
        </w:rPr>
        <w:t xml:space="preserve">, Jean. </w:t>
      </w:r>
      <w:r w:rsidRPr="002557A5">
        <w:rPr>
          <w:rFonts w:ascii="Calibri" w:eastAsia="Times New Roman" w:hAnsi="Calibri" w:cs="Calibri"/>
          <w:i/>
          <w:kern w:val="0"/>
          <w14:ligatures w14:val="none"/>
        </w:rPr>
        <w:t xml:space="preserve">La articulación del sentido. </w:t>
      </w:r>
      <w:r w:rsidRPr="002557A5">
        <w:rPr>
          <w:rFonts w:ascii="Calibri" w:eastAsia="Times New Roman" w:hAnsi="Calibri" w:cs="Calibri"/>
          <w:kern w:val="0"/>
          <w14:ligatures w14:val="none"/>
        </w:rPr>
        <w:t xml:space="preserve">Traducción de Ricardo Salas y José María Aguirre. Salamanca: Sígueme, 2001.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p>
    <w:p w14:paraId="34C9A89D"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proofErr w:type="spellStart"/>
      <w:r w:rsidRPr="002557A5">
        <w:rPr>
          <w:rFonts w:ascii="Calibri" w:eastAsia="Times New Roman" w:hAnsi="Calibri" w:cs="Calibri"/>
          <w:kern w:val="0"/>
          <w14:ligatures w14:val="none"/>
        </w:rPr>
        <w:t>Levinas</w:t>
      </w:r>
      <w:proofErr w:type="spellEnd"/>
      <w:r w:rsidRPr="002557A5">
        <w:rPr>
          <w:rFonts w:ascii="Calibri" w:eastAsia="Times New Roman" w:hAnsi="Calibri" w:cs="Calibri"/>
          <w:kern w:val="0"/>
          <w14:ligatures w14:val="none"/>
        </w:rPr>
        <w:t xml:space="preserve">, Emmanuel. </w:t>
      </w:r>
      <w:r w:rsidRPr="002557A5">
        <w:rPr>
          <w:rFonts w:ascii="Calibri" w:eastAsia="Times New Roman" w:hAnsi="Calibri" w:cs="Calibri"/>
          <w:i/>
          <w:kern w:val="0"/>
          <w14:ligatures w14:val="none"/>
        </w:rPr>
        <w:t xml:space="preserve">Totalidad e infinito. Ensayo sobre la exterioridad. </w:t>
      </w:r>
      <w:r w:rsidRPr="002557A5">
        <w:rPr>
          <w:rFonts w:ascii="Calibri" w:eastAsia="Times New Roman" w:hAnsi="Calibri" w:cs="Calibri"/>
          <w:kern w:val="0"/>
          <w14:ligatures w14:val="none"/>
        </w:rPr>
        <w:t>Traducción de Daniel E. Guillot. Salamanca: Sígueme, 2002. (</w:t>
      </w:r>
      <w:r w:rsidRPr="002557A5">
        <w:rPr>
          <w:rFonts w:ascii="Calibri" w:eastAsia="Times New Roman" w:hAnsi="Calibri" w:cs="Calibri"/>
          <w:color w:val="0070C0"/>
          <w:kern w:val="0"/>
          <w14:ligatures w14:val="none"/>
        </w:rPr>
        <w:t>Clásico</w:t>
      </w:r>
      <w:r w:rsidRPr="002557A5">
        <w:rPr>
          <w:rFonts w:ascii="Calibri" w:eastAsia="Times New Roman" w:hAnsi="Calibri" w:cs="Calibri"/>
          <w:kern w:val="0"/>
          <w14:ligatures w14:val="none"/>
        </w:rPr>
        <w:t xml:space="preserve">, última edición </w:t>
      </w:r>
      <w:r w:rsidRPr="002557A5">
        <w:rPr>
          <w:rFonts w:ascii="Calibri" w:eastAsia="Times New Roman" w:hAnsi="Calibri" w:cs="Calibri"/>
          <w:color w:val="0070C0"/>
          <w:kern w:val="0"/>
          <w14:ligatures w14:val="none"/>
        </w:rPr>
        <w:t>2020</w:t>
      </w:r>
      <w:r w:rsidRPr="002557A5">
        <w:rPr>
          <w:rFonts w:ascii="Calibri" w:eastAsia="Times New Roman" w:hAnsi="Calibri" w:cs="Calibri"/>
          <w:kern w:val="0"/>
          <w14:ligatures w14:val="none"/>
        </w:rPr>
        <w:t>)</w:t>
      </w:r>
    </w:p>
    <w:p w14:paraId="37564FA0" w14:textId="77777777" w:rsidR="002557A5" w:rsidRPr="002557A5" w:rsidRDefault="002557A5" w:rsidP="002557A5">
      <w:pPr>
        <w:spacing w:after="120" w:line="240" w:lineRule="auto"/>
        <w:ind w:left="709" w:hanging="709"/>
        <w:jc w:val="both"/>
        <w:rPr>
          <w:rFonts w:ascii="Calibri" w:eastAsia="Times New Roman" w:hAnsi="Calibri" w:cs="Calibri"/>
          <w:bCs/>
          <w:kern w:val="0"/>
          <w:lang w:val="es-ES_tradnl" w:eastAsia="es-CR"/>
          <w14:ligatures w14:val="none"/>
        </w:rPr>
      </w:pPr>
      <w:r w:rsidRPr="002557A5">
        <w:rPr>
          <w:rFonts w:ascii="Calibri" w:eastAsia="Times New Roman" w:hAnsi="Calibri" w:cs="Calibri"/>
          <w:kern w:val="0"/>
          <w14:ligatures w14:val="none"/>
        </w:rPr>
        <w:t xml:space="preserve">Marrades, Julián. “Experiencia y verdad en la hermenéutica de Gadamer. Algunos problemas”. En </w:t>
      </w:r>
      <w:r w:rsidRPr="002557A5">
        <w:rPr>
          <w:rFonts w:ascii="Calibri" w:eastAsia="Times New Roman" w:hAnsi="Calibri" w:cs="Calibri"/>
          <w:i/>
          <w:kern w:val="0"/>
          <w14:ligatures w14:val="none"/>
        </w:rPr>
        <w:t xml:space="preserve">Caminos de la hermenéutica, </w:t>
      </w:r>
      <w:r w:rsidRPr="002557A5">
        <w:rPr>
          <w:rFonts w:ascii="Calibri" w:eastAsia="Times New Roman" w:hAnsi="Calibri" w:cs="Calibri"/>
          <w:kern w:val="0"/>
          <w14:ligatures w14:val="none"/>
        </w:rPr>
        <w:t xml:space="preserve">editado por Jacobo Muñoz y Ángel Manuel </w:t>
      </w:r>
      <w:proofErr w:type="spellStart"/>
      <w:r w:rsidRPr="002557A5">
        <w:rPr>
          <w:rFonts w:ascii="Calibri" w:eastAsia="Times New Roman" w:hAnsi="Calibri" w:cs="Calibri"/>
          <w:kern w:val="0"/>
          <w14:ligatures w14:val="none"/>
        </w:rPr>
        <w:t>Faerna</w:t>
      </w:r>
      <w:proofErr w:type="spellEnd"/>
      <w:r w:rsidRPr="002557A5">
        <w:rPr>
          <w:rFonts w:ascii="Calibri" w:eastAsia="Times New Roman" w:hAnsi="Calibri" w:cs="Calibri"/>
          <w:kern w:val="0"/>
          <w14:ligatures w14:val="none"/>
        </w:rPr>
        <w:t xml:space="preserve">, 71-95. Madrid: Biblioteca Nueva, 2006.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p>
    <w:p w14:paraId="053976A2"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r w:rsidRPr="002557A5">
        <w:rPr>
          <w:rFonts w:ascii="Calibri" w:eastAsia="Times New Roman" w:hAnsi="Calibri" w:cs="Calibri"/>
          <w:kern w:val="0"/>
          <w14:ligatures w14:val="none"/>
        </w:rPr>
        <w:t xml:space="preserve">Meléndez, Miriam. “Ethos feminista en filosofía”. </w:t>
      </w:r>
      <w:r w:rsidRPr="002557A5">
        <w:rPr>
          <w:rFonts w:ascii="Calibri" w:eastAsia="Times New Roman" w:hAnsi="Calibri" w:cs="Calibri"/>
          <w:i/>
          <w:kern w:val="0"/>
          <w14:ligatures w14:val="none"/>
        </w:rPr>
        <w:t>Realidad: Revista de Ciencias Sociales y Humanidades</w:t>
      </w:r>
      <w:r w:rsidRPr="002557A5">
        <w:rPr>
          <w:rFonts w:ascii="Calibri" w:eastAsia="Times New Roman" w:hAnsi="Calibri" w:cs="Calibri"/>
          <w:kern w:val="0"/>
          <w14:ligatures w14:val="none"/>
        </w:rPr>
        <w:t xml:space="preserve">, n. 151 (2018): 147-155. Acceso el 18 de diciembre de 2020. </w:t>
      </w:r>
      <w:hyperlink r:id="rId177" w:history="1">
        <w:r w:rsidRPr="002557A5">
          <w:rPr>
            <w:rFonts w:ascii="Calibri" w:eastAsia="Times New Roman" w:hAnsi="Calibri" w:cs="Calibri"/>
            <w:color w:val="0563C1"/>
            <w:kern w:val="0"/>
            <w:u w:val="single"/>
            <w:shd w:val="clear" w:color="auto" w:fill="FFFFFF"/>
            <w14:ligatures w14:val="none"/>
          </w:rPr>
          <w:t>https://doi.org/10.5377/realidad.v0i151.6808</w:t>
        </w:r>
      </w:hyperlink>
    </w:p>
    <w:p w14:paraId="0888DF99"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r w:rsidRPr="002557A5">
        <w:rPr>
          <w:rFonts w:ascii="Calibri" w:eastAsia="Times New Roman" w:hAnsi="Calibri" w:cs="Calibri"/>
          <w:kern w:val="0"/>
          <w14:ligatures w14:val="none"/>
        </w:rPr>
        <w:t xml:space="preserve">Mora Rodríguez, Arnoldo. </w:t>
      </w:r>
      <w:r w:rsidRPr="002557A5">
        <w:rPr>
          <w:rFonts w:ascii="Calibri" w:eastAsia="Times New Roman" w:hAnsi="Calibri" w:cs="Calibri"/>
          <w:i/>
          <w:kern w:val="0"/>
          <w14:ligatures w14:val="none"/>
        </w:rPr>
        <w:t xml:space="preserve">Perspectivas filosóficas del hombre. </w:t>
      </w:r>
      <w:r w:rsidRPr="002557A5">
        <w:rPr>
          <w:rFonts w:ascii="Calibri" w:eastAsia="Times New Roman" w:hAnsi="Calibri" w:cs="Calibri"/>
          <w:kern w:val="0"/>
          <w14:ligatures w14:val="none"/>
        </w:rPr>
        <w:t xml:space="preserve">San José: EUNED, 2006.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p>
    <w:p w14:paraId="05F6B3A6"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r w:rsidRPr="002557A5">
        <w:rPr>
          <w:rFonts w:ascii="Calibri" w:eastAsia="Times New Roman" w:hAnsi="Calibri" w:cs="Calibri"/>
          <w:kern w:val="0"/>
          <w14:ligatures w14:val="none"/>
        </w:rPr>
        <w:t xml:space="preserve">Nussbaum, Martha C. </w:t>
      </w:r>
      <w:r w:rsidRPr="002557A5">
        <w:rPr>
          <w:rFonts w:ascii="Calibri" w:eastAsia="Times New Roman" w:hAnsi="Calibri" w:cs="Calibri"/>
          <w:i/>
          <w:kern w:val="0"/>
          <w14:ligatures w14:val="none"/>
        </w:rPr>
        <w:t xml:space="preserve">Paisajes del pensamiento: la inteligencia de las emociones. </w:t>
      </w:r>
      <w:r w:rsidRPr="002557A5">
        <w:rPr>
          <w:rFonts w:ascii="Calibri" w:eastAsia="Times New Roman" w:hAnsi="Calibri" w:cs="Calibri"/>
          <w:kern w:val="0"/>
          <w14:ligatures w14:val="none"/>
        </w:rPr>
        <w:t xml:space="preserve">Traducción de Araceli Maira. Barcelona: Paidós, 2008.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p>
    <w:p w14:paraId="64568A38" w14:textId="77777777" w:rsidR="002557A5" w:rsidRPr="002557A5" w:rsidRDefault="002557A5" w:rsidP="002557A5">
      <w:pPr>
        <w:spacing w:after="120" w:line="240" w:lineRule="auto"/>
        <w:ind w:left="709" w:hanging="709"/>
        <w:jc w:val="both"/>
        <w:rPr>
          <w:rFonts w:ascii="Calibri" w:eastAsia="Times New Roman" w:hAnsi="Calibri" w:cs="Calibri"/>
          <w:kern w:val="0"/>
          <w14:ligatures w14:val="none"/>
        </w:rPr>
      </w:pPr>
      <w:proofErr w:type="spellStart"/>
      <w:r w:rsidRPr="002557A5">
        <w:rPr>
          <w:rFonts w:ascii="Calibri" w:eastAsia="Times New Roman" w:hAnsi="Calibri" w:cs="Calibri"/>
          <w:kern w:val="0"/>
          <w14:ligatures w14:val="none"/>
        </w:rPr>
        <w:t>Pannenberg</w:t>
      </w:r>
      <w:proofErr w:type="spellEnd"/>
      <w:r w:rsidRPr="002557A5">
        <w:rPr>
          <w:rFonts w:ascii="Calibri" w:eastAsia="Times New Roman" w:hAnsi="Calibri" w:cs="Calibri"/>
          <w:kern w:val="0"/>
          <w14:ligatures w14:val="none"/>
        </w:rPr>
        <w:t xml:space="preserve">, </w:t>
      </w:r>
      <w:proofErr w:type="spellStart"/>
      <w:r w:rsidRPr="002557A5">
        <w:rPr>
          <w:rFonts w:ascii="Calibri" w:eastAsia="Times New Roman" w:hAnsi="Calibri" w:cs="Calibri"/>
          <w:kern w:val="0"/>
          <w14:ligatures w14:val="none"/>
        </w:rPr>
        <w:t>Wolfhart</w:t>
      </w:r>
      <w:proofErr w:type="spellEnd"/>
      <w:r w:rsidRPr="002557A5">
        <w:rPr>
          <w:rFonts w:ascii="Calibri" w:eastAsia="Times New Roman" w:hAnsi="Calibri" w:cs="Calibri"/>
          <w:kern w:val="0"/>
          <w14:ligatures w14:val="none"/>
        </w:rPr>
        <w:t xml:space="preserve">. </w:t>
      </w:r>
      <w:r w:rsidRPr="002557A5">
        <w:rPr>
          <w:rFonts w:ascii="Calibri" w:eastAsia="Times New Roman" w:hAnsi="Calibri" w:cs="Calibri"/>
          <w:i/>
          <w:kern w:val="0"/>
          <w14:ligatures w14:val="none"/>
        </w:rPr>
        <w:t xml:space="preserve">Una historia de la filosofía desde la idea de Dios: teología y filosofía. </w:t>
      </w:r>
      <w:r w:rsidRPr="002557A5">
        <w:rPr>
          <w:rFonts w:ascii="Calibri" w:eastAsia="Times New Roman" w:hAnsi="Calibri" w:cs="Calibri"/>
          <w:kern w:val="0"/>
          <w14:ligatures w14:val="none"/>
        </w:rPr>
        <w:t xml:space="preserve">Traducción de Rafael Fernández de </w:t>
      </w:r>
      <w:proofErr w:type="spellStart"/>
      <w:r w:rsidRPr="002557A5">
        <w:rPr>
          <w:rFonts w:ascii="Calibri" w:eastAsia="Times New Roman" w:hAnsi="Calibri" w:cs="Calibri"/>
          <w:kern w:val="0"/>
          <w14:ligatures w14:val="none"/>
        </w:rPr>
        <w:t>Mururi</w:t>
      </w:r>
      <w:proofErr w:type="spellEnd"/>
      <w:r w:rsidRPr="002557A5">
        <w:rPr>
          <w:rFonts w:ascii="Calibri" w:eastAsia="Times New Roman" w:hAnsi="Calibri" w:cs="Calibri"/>
          <w:kern w:val="0"/>
          <w14:ligatures w14:val="none"/>
        </w:rPr>
        <w:t xml:space="preserve"> Duque. Salamanca: Sígueme, 2002.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xml:space="preserve">, última edición </w:t>
      </w:r>
      <w:r w:rsidRPr="002557A5">
        <w:rPr>
          <w:rFonts w:ascii="Calibri" w:eastAsia="Times New Roman" w:hAnsi="Calibri" w:cs="Calibri"/>
          <w:bCs/>
          <w:color w:val="0070C0"/>
          <w:kern w:val="0"/>
          <w:lang w:val="es-ES_tradnl" w:eastAsia="es-CR"/>
          <w14:ligatures w14:val="none"/>
        </w:rPr>
        <w:t>2016</w:t>
      </w:r>
      <w:r w:rsidRPr="002557A5">
        <w:rPr>
          <w:rFonts w:ascii="Calibri" w:eastAsia="Times New Roman" w:hAnsi="Calibri" w:cs="Calibri"/>
          <w:bCs/>
          <w:kern w:val="0"/>
          <w:lang w:val="es-ES_tradnl" w:eastAsia="es-CR"/>
          <w14:ligatures w14:val="none"/>
        </w:rPr>
        <w:t>)</w:t>
      </w:r>
    </w:p>
    <w:p w14:paraId="670178E8" w14:textId="77777777" w:rsidR="002557A5" w:rsidRPr="002557A5" w:rsidRDefault="002557A5" w:rsidP="002557A5">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color w:val="000000"/>
          <w:kern w:val="0"/>
          <w:lang w:eastAsia="es-CR"/>
          <w14:ligatures w14:val="none"/>
        </w:rPr>
      </w:pPr>
      <w:r w:rsidRPr="002557A5">
        <w:rPr>
          <w:rFonts w:ascii="Calibri" w:eastAsia="Times New Roman" w:hAnsi="Calibri" w:cs="Calibri"/>
          <w:kern w:val="0"/>
          <w:lang w:val="es-ES_tradnl" w:eastAsia="es-CR"/>
          <w14:ligatures w14:val="none"/>
        </w:rPr>
        <w:t xml:space="preserve">Recas Bayón, Javier. “Hermenéutica crítica: seis modelos”. En </w:t>
      </w:r>
      <w:r w:rsidRPr="002557A5">
        <w:rPr>
          <w:rFonts w:ascii="Calibri" w:eastAsia="Times New Roman" w:hAnsi="Calibri" w:cs="Calibri"/>
          <w:i/>
          <w:kern w:val="0"/>
          <w:lang w:val="es-ES_tradnl" w:eastAsia="es-CR"/>
          <w14:ligatures w14:val="none"/>
        </w:rPr>
        <w:t xml:space="preserve">Caminos de la hermenéutica, </w:t>
      </w:r>
      <w:r w:rsidRPr="002557A5">
        <w:rPr>
          <w:rFonts w:ascii="Calibri" w:eastAsia="Times New Roman" w:hAnsi="Calibri" w:cs="Calibri"/>
          <w:kern w:val="0"/>
          <w:lang w:val="es-ES_tradnl" w:eastAsia="es-CR"/>
          <w14:ligatures w14:val="none"/>
        </w:rPr>
        <w:t xml:space="preserve">editado por Jacobo Muñoz y Ángel Manuel </w:t>
      </w:r>
      <w:proofErr w:type="spellStart"/>
      <w:r w:rsidRPr="002557A5">
        <w:rPr>
          <w:rFonts w:ascii="Calibri" w:eastAsia="Times New Roman" w:hAnsi="Calibri" w:cs="Calibri"/>
          <w:kern w:val="0"/>
          <w:lang w:val="es-ES_tradnl" w:eastAsia="es-CR"/>
          <w14:ligatures w14:val="none"/>
        </w:rPr>
        <w:t>Faerna</w:t>
      </w:r>
      <w:proofErr w:type="spellEnd"/>
      <w:r w:rsidRPr="002557A5">
        <w:rPr>
          <w:rFonts w:ascii="Calibri" w:eastAsia="Times New Roman" w:hAnsi="Calibri" w:cs="Calibri"/>
          <w:kern w:val="0"/>
          <w:lang w:val="es-ES_tradnl" w:eastAsia="es-CR"/>
          <w14:ligatures w14:val="none"/>
        </w:rPr>
        <w:t xml:space="preserve">, 137-175. Madrid: Biblioteca Nueva, 2006. </w:t>
      </w:r>
      <w:r w:rsidRPr="002557A5">
        <w:rPr>
          <w:rFonts w:ascii="Calibri" w:eastAsia="Times New Roman" w:hAnsi="Calibri" w:cs="Calibri"/>
          <w:bCs/>
          <w:kern w:val="0"/>
          <w:lang w:val="es-ES_tradnl" w:eastAsia="es-CR"/>
          <w14:ligatures w14:val="none"/>
        </w:rPr>
        <w:t>(última edición)</w:t>
      </w:r>
    </w:p>
    <w:p w14:paraId="3E885212" w14:textId="77777777" w:rsidR="002557A5" w:rsidRPr="002557A5" w:rsidRDefault="002557A5" w:rsidP="002557A5">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p>
    <w:p w14:paraId="0EC144B3" w14:textId="77777777" w:rsidR="002557A5" w:rsidRPr="002557A5" w:rsidRDefault="002557A5" w:rsidP="002557A5">
      <w:pPr>
        <w:spacing w:after="120" w:line="240" w:lineRule="auto"/>
        <w:ind w:left="709" w:hanging="709"/>
        <w:rPr>
          <w:rFonts w:ascii="Calibri" w:eastAsia="Times New Roman" w:hAnsi="Calibri" w:cs="Arial"/>
          <w:b/>
          <w:kern w:val="0"/>
          <w14:ligatures w14:val="none"/>
        </w:rPr>
      </w:pPr>
      <w:r w:rsidRPr="002557A5">
        <w:rPr>
          <w:rFonts w:ascii="Calibri" w:eastAsia="Times New Roman" w:hAnsi="Calibri" w:cs="Arial"/>
          <w:b/>
          <w:kern w:val="0"/>
          <w14:ligatures w14:val="none"/>
        </w:rPr>
        <w:t>XII. Bibliografía complementaria</w:t>
      </w:r>
    </w:p>
    <w:p w14:paraId="2775376F" w14:textId="77777777" w:rsidR="002557A5" w:rsidRPr="002557A5" w:rsidRDefault="002557A5" w:rsidP="002557A5">
      <w:pPr>
        <w:spacing w:after="120" w:line="240" w:lineRule="auto"/>
        <w:jc w:val="both"/>
        <w:rPr>
          <w:rFonts w:ascii="Calibri" w:eastAsia="Times New Roman" w:hAnsi="Calibri" w:cs="Arial"/>
          <w:bCs/>
          <w:color w:val="000000"/>
          <w:kern w:val="0"/>
          <w14:ligatures w14:val="none"/>
        </w:rPr>
      </w:pPr>
      <w:r w:rsidRPr="002557A5">
        <w:rPr>
          <w:rFonts w:ascii="Calibri" w:eastAsia="Times New Roman" w:hAnsi="Calibri" w:cs="Arial"/>
          <w:b/>
          <w:color w:val="000000"/>
          <w:kern w:val="0"/>
          <w14:ligatures w14:val="none"/>
        </w:rPr>
        <w:t>Nota:</w:t>
      </w:r>
      <w:r w:rsidRPr="002557A5">
        <w:rPr>
          <w:rFonts w:ascii="Calibri" w:eastAsia="Times New Roman" w:hAnsi="Calibri" w:cs="Arial"/>
          <w:bCs/>
          <w:color w:val="000000"/>
          <w:kern w:val="0"/>
          <w14:ligatures w14:val="none"/>
        </w:rPr>
        <w:t xml:space="preserve"> Los materiales que no cuentan con enlace de acceso son digitalizaciones en formato </w:t>
      </w:r>
      <w:proofErr w:type="spellStart"/>
      <w:r w:rsidRPr="002557A5">
        <w:rPr>
          <w:rFonts w:ascii="Calibri" w:eastAsia="Times New Roman" w:hAnsi="Calibri" w:cs="Arial"/>
          <w:bCs/>
          <w:color w:val="000000"/>
          <w:kern w:val="0"/>
          <w14:ligatures w14:val="none"/>
        </w:rPr>
        <w:t>pdf</w:t>
      </w:r>
      <w:proofErr w:type="spellEnd"/>
      <w:r w:rsidRPr="002557A5">
        <w:rPr>
          <w:rFonts w:ascii="Calibri" w:eastAsia="Times New Roman" w:hAnsi="Calibri" w:cs="Arial"/>
          <w:bCs/>
          <w:color w:val="000000"/>
          <w:kern w:val="0"/>
          <w14:ligatures w14:val="none"/>
        </w:rPr>
        <w:t xml:space="preserve"> de bibliografía física disponible en la Biblioteca de la UBL, los cuales se encuentran disponibles en el aula virtual.</w:t>
      </w:r>
    </w:p>
    <w:p w14:paraId="56DC5DD6" w14:textId="77777777" w:rsidR="002557A5" w:rsidRPr="002557A5" w:rsidRDefault="002557A5" w:rsidP="002557A5">
      <w:pPr>
        <w:widowControl w:val="0"/>
        <w:tabs>
          <w:tab w:val="left" w:pos="840"/>
        </w:tabs>
        <w:overflowPunct w:val="0"/>
        <w:autoSpaceDE w:val="0"/>
        <w:autoSpaceDN w:val="0"/>
        <w:adjustRightInd w:val="0"/>
        <w:spacing w:before="120" w:after="0" w:line="276" w:lineRule="auto"/>
        <w:ind w:left="720" w:hanging="720"/>
        <w:jc w:val="both"/>
        <w:rPr>
          <w:rFonts w:ascii="Calibri" w:eastAsia="Times New Roman" w:hAnsi="Calibri" w:cs="Calibri"/>
          <w:color w:val="FF0000"/>
          <w:kern w:val="0"/>
          <w:lang w:val="es-ES_tradnl" w:eastAsia="es-CR"/>
          <w14:ligatures w14:val="none"/>
        </w:rPr>
      </w:pPr>
      <w:r w:rsidRPr="002557A5">
        <w:rPr>
          <w:rFonts w:ascii="Calibri" w:eastAsia="Times New Roman" w:hAnsi="Calibri" w:cs="Calibri"/>
          <w:kern w:val="0"/>
          <w:lang w:val="es-ES_tradnl" w:eastAsia="es-CR"/>
          <w14:ligatures w14:val="none"/>
        </w:rPr>
        <w:t xml:space="preserve">Blanco, Juan. “La filosofía en el mundo actual: La actualidad de la (alter) filosofía”. </w:t>
      </w:r>
      <w:r w:rsidRPr="002557A5">
        <w:rPr>
          <w:rFonts w:ascii="Calibri" w:eastAsia="Times New Roman" w:hAnsi="Calibri" w:cs="Calibri"/>
          <w:i/>
          <w:kern w:val="0"/>
          <w:lang w:val="es-ES_tradnl" w:eastAsia="es-CR"/>
          <w14:ligatures w14:val="none"/>
        </w:rPr>
        <w:t>Realidad: Revista de Ciencias Sociales y Humanidades</w:t>
      </w:r>
      <w:r w:rsidRPr="002557A5">
        <w:rPr>
          <w:rFonts w:ascii="Calibri" w:eastAsia="Times New Roman" w:hAnsi="Calibri" w:cs="Calibri"/>
          <w:kern w:val="0"/>
          <w:lang w:val="es-ES_tradnl" w:eastAsia="es-CR"/>
          <w14:ligatures w14:val="none"/>
        </w:rPr>
        <w:t xml:space="preserve">, n. 148 (2016): 113-141. Acceso el 18 de diciembre de 2020. </w:t>
      </w:r>
      <w:hyperlink r:id="rId178" w:history="1">
        <w:r w:rsidRPr="002557A5">
          <w:rPr>
            <w:rFonts w:ascii="Calibri" w:eastAsia="Times New Roman" w:hAnsi="Calibri" w:cs="Calibri"/>
            <w:color w:val="0563C1"/>
            <w:kern w:val="0"/>
            <w:u w:val="single"/>
            <w:shd w:val="clear" w:color="auto" w:fill="FFFFFF"/>
            <w:lang w:val="es-ES_tradnl" w:eastAsia="es-CR"/>
            <w14:ligatures w14:val="none"/>
          </w:rPr>
          <w:t>https://doi.org/10.5377/realidad.v0i148.4584</w:t>
        </w:r>
      </w:hyperlink>
    </w:p>
    <w:p w14:paraId="5F08C3A4" w14:textId="77777777" w:rsidR="002557A5" w:rsidRPr="002557A5" w:rsidRDefault="002557A5" w:rsidP="002557A5">
      <w:pPr>
        <w:widowControl w:val="0"/>
        <w:overflowPunct w:val="0"/>
        <w:autoSpaceDE w:val="0"/>
        <w:autoSpaceDN w:val="0"/>
        <w:adjustRightInd w:val="0"/>
        <w:spacing w:before="120" w:after="0" w:line="276" w:lineRule="auto"/>
        <w:ind w:left="720" w:hanging="720"/>
        <w:jc w:val="both"/>
        <w:rPr>
          <w:rFonts w:ascii="Calibri" w:eastAsia="Times New Roman" w:hAnsi="Calibri" w:cs="Calibri"/>
          <w:kern w:val="0"/>
          <w:lang w:val="es-ES_tradnl" w:eastAsia="es-CR"/>
          <w14:ligatures w14:val="none"/>
        </w:rPr>
      </w:pPr>
      <w:r w:rsidRPr="002557A5">
        <w:rPr>
          <w:rFonts w:ascii="Calibri" w:eastAsia="Times New Roman" w:hAnsi="Calibri" w:cs="Calibri"/>
          <w:kern w:val="0"/>
          <w:lang w:val="es-ES_tradnl" w:eastAsia="es-CR"/>
          <w14:ligatures w14:val="none"/>
        </w:rPr>
        <w:t xml:space="preserve">Mora Rodríguez, Arnoldo. </w:t>
      </w:r>
      <w:r w:rsidRPr="002557A5">
        <w:rPr>
          <w:rFonts w:ascii="Calibri" w:eastAsia="Times New Roman" w:hAnsi="Calibri" w:cs="Calibri"/>
          <w:i/>
          <w:kern w:val="0"/>
          <w:lang w:val="es-ES_tradnl" w:eastAsia="es-CR"/>
          <w14:ligatures w14:val="none"/>
        </w:rPr>
        <w:t xml:space="preserve">La filosofía latinoamericana: introducción histórica. </w:t>
      </w:r>
      <w:r w:rsidRPr="002557A5">
        <w:rPr>
          <w:rFonts w:ascii="Calibri" w:eastAsia="Times New Roman" w:hAnsi="Calibri" w:cs="Calibri"/>
          <w:kern w:val="0"/>
          <w:lang w:val="es-ES_tradnl" w:eastAsia="es-CR"/>
          <w14:ligatures w14:val="none"/>
        </w:rPr>
        <w:t xml:space="preserve">San José, C.R.: EUNED, 2006. </w:t>
      </w:r>
      <w:r w:rsidRPr="002557A5">
        <w:rPr>
          <w:rFonts w:ascii="Calibri" w:eastAsia="Times New Roman" w:hAnsi="Calibri" w:cs="Calibri"/>
          <w:bCs/>
          <w:kern w:val="0"/>
          <w:lang w:val="es-ES_tradnl" w:eastAsia="es-CR"/>
          <w14:ligatures w14:val="none"/>
        </w:rPr>
        <w:t>(</w:t>
      </w:r>
      <w:r w:rsidRPr="002557A5">
        <w:rPr>
          <w:rFonts w:ascii="Calibri" w:eastAsia="Times New Roman" w:hAnsi="Calibri" w:cs="Calibri"/>
          <w:bCs/>
          <w:color w:val="0070C0"/>
          <w:kern w:val="0"/>
          <w:lang w:val="es-ES_tradnl" w:eastAsia="es-CR"/>
          <w14:ligatures w14:val="none"/>
        </w:rPr>
        <w:t>clásico</w:t>
      </w:r>
      <w:r w:rsidRPr="002557A5">
        <w:rPr>
          <w:rFonts w:ascii="Calibri" w:eastAsia="Times New Roman" w:hAnsi="Calibri" w:cs="Calibri"/>
          <w:bCs/>
          <w:kern w:val="0"/>
          <w:lang w:val="es-ES_tradnl" w:eastAsia="es-CR"/>
          <w14:ligatures w14:val="none"/>
        </w:rPr>
        <w:t>, última edición)</w:t>
      </w:r>
      <w:r w:rsidRPr="002557A5">
        <w:rPr>
          <w:rFonts w:ascii="Calibri" w:eastAsia="Times New Roman" w:hAnsi="Calibri" w:cs="Calibri"/>
          <w:kern w:val="0"/>
          <w:lang w:val="es-ES_tradnl" w:eastAsia="es-CR"/>
          <w14:ligatures w14:val="none"/>
        </w:rPr>
        <w:t xml:space="preserve"> </w:t>
      </w:r>
    </w:p>
    <w:p w14:paraId="6E464FCE" w14:textId="77777777" w:rsidR="002557A5" w:rsidRPr="002557A5" w:rsidRDefault="002557A5" w:rsidP="4C9C2619">
      <w:pPr>
        <w:widowControl w:val="0"/>
        <w:overflowPunct w:val="0"/>
        <w:autoSpaceDE w:val="0"/>
        <w:autoSpaceDN w:val="0"/>
        <w:adjustRightInd w:val="0"/>
        <w:spacing w:before="120" w:after="0" w:line="276" w:lineRule="auto"/>
        <w:ind w:left="720" w:hanging="720"/>
        <w:jc w:val="both"/>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Panikkar</w:t>
      </w:r>
      <w:proofErr w:type="spellEnd"/>
      <w:r w:rsidRPr="4C9C2619">
        <w:rPr>
          <w:rFonts w:ascii="Calibri" w:eastAsia="Times New Roman" w:hAnsi="Calibri" w:cs="Calibri"/>
          <w:kern w:val="0"/>
          <w:lang w:val="es-ES" w:eastAsia="es-CR"/>
          <w14:ligatures w14:val="none"/>
        </w:rPr>
        <w:t xml:space="preserve">, Raimon. </w:t>
      </w:r>
      <w:r w:rsidRPr="4C9C2619">
        <w:rPr>
          <w:rFonts w:ascii="Calibri" w:eastAsia="Times New Roman" w:hAnsi="Calibri" w:cs="Calibri"/>
          <w:i/>
          <w:iCs/>
          <w:kern w:val="0"/>
          <w:lang w:val="es-ES" w:eastAsia="es-CR"/>
          <w14:ligatures w14:val="none"/>
        </w:rPr>
        <w:t>De la mística: experiencia plena de la vida</w:t>
      </w:r>
      <w:r w:rsidRPr="4C9C2619">
        <w:rPr>
          <w:rFonts w:ascii="Calibri" w:eastAsia="Times New Roman" w:hAnsi="Calibri" w:cs="Calibri"/>
          <w:kern w:val="0"/>
          <w:lang w:val="es-ES" w:eastAsia="es-CR"/>
          <w14:ligatures w14:val="none"/>
        </w:rPr>
        <w:t>. Barcelona: Herder, 2005.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kern w:val="0"/>
          <w:lang w:val="es-ES" w:eastAsia="es-CR"/>
          <w14:ligatures w14:val="none"/>
        </w:rPr>
        <w:t xml:space="preserve">, </w:t>
      </w:r>
      <w:r w:rsidRPr="4C9C2619">
        <w:rPr>
          <w:rFonts w:ascii="Calibri" w:eastAsia="Times New Roman" w:hAnsi="Calibri" w:cs="Calibri"/>
          <w:kern w:val="0"/>
          <w:lang w:val="es-ES" w:eastAsia="es-CR"/>
          <w14:ligatures w14:val="none"/>
        </w:rPr>
        <w:lastRenderedPageBreak/>
        <w:t xml:space="preserve">última edición </w:t>
      </w:r>
      <w:r w:rsidRPr="4C9C2619">
        <w:rPr>
          <w:rFonts w:ascii="Calibri" w:eastAsia="Times New Roman" w:hAnsi="Calibri" w:cs="Calibri"/>
          <w:color w:val="0070C0"/>
          <w:kern w:val="0"/>
          <w:lang w:val="es-ES" w:eastAsia="es-CR"/>
          <w14:ligatures w14:val="none"/>
        </w:rPr>
        <w:t>2008</w:t>
      </w:r>
      <w:r w:rsidRPr="4C9C2619">
        <w:rPr>
          <w:rFonts w:ascii="Calibri" w:eastAsia="Times New Roman" w:hAnsi="Calibri" w:cs="Calibri"/>
          <w:kern w:val="0"/>
          <w:lang w:val="es-ES" w:eastAsia="es-CR"/>
          <w14:ligatures w14:val="none"/>
        </w:rPr>
        <w:t xml:space="preserve">) </w:t>
      </w:r>
    </w:p>
    <w:p w14:paraId="1A707AE3" w14:textId="77777777" w:rsidR="002557A5" w:rsidRPr="002557A5" w:rsidRDefault="002557A5" w:rsidP="4C9C2619">
      <w:pPr>
        <w:widowControl w:val="0"/>
        <w:overflowPunct w:val="0"/>
        <w:autoSpaceDE w:val="0"/>
        <w:autoSpaceDN w:val="0"/>
        <w:adjustRightInd w:val="0"/>
        <w:spacing w:before="120" w:after="0" w:line="276" w:lineRule="auto"/>
        <w:ind w:left="720" w:hanging="720"/>
        <w:jc w:val="both"/>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Scannone</w:t>
      </w:r>
      <w:proofErr w:type="spellEnd"/>
      <w:r w:rsidRPr="4C9C2619">
        <w:rPr>
          <w:rFonts w:ascii="Calibri" w:eastAsia="Times New Roman" w:hAnsi="Calibri" w:cs="Calibri"/>
          <w:kern w:val="0"/>
          <w:lang w:val="es-ES" w:eastAsia="es-CR"/>
          <w14:ligatures w14:val="none"/>
        </w:rPr>
        <w:t xml:space="preserve">, Juan Carlos. Prólogo a </w:t>
      </w:r>
      <w:r w:rsidRPr="4C9C2619">
        <w:rPr>
          <w:rFonts w:ascii="Calibri" w:eastAsia="Times New Roman" w:hAnsi="Calibri" w:cs="Calibri"/>
          <w:i/>
          <w:iCs/>
          <w:kern w:val="0"/>
          <w:lang w:val="es-ES" w:eastAsia="es-CR"/>
          <w14:ligatures w14:val="none"/>
        </w:rPr>
        <w:t>Hermenéutica y acción: de la hermenéutica del texto a la hermenéutica de la acción</w:t>
      </w:r>
      <w:r w:rsidRPr="4C9C2619">
        <w:rPr>
          <w:rFonts w:ascii="Calibri" w:eastAsia="Times New Roman" w:hAnsi="Calibri" w:cs="Calibri"/>
          <w:kern w:val="0"/>
          <w:lang w:val="es-ES" w:eastAsia="es-CR"/>
          <w14:ligatures w14:val="none"/>
        </w:rPr>
        <w:t>, de Paul Ricoeur, 9-19. Buenos Aires: Prometeo libros, 2008.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kern w:val="0"/>
          <w:lang w:val="es-ES" w:eastAsia="es-CR"/>
          <w14:ligatures w14:val="none"/>
        </w:rPr>
        <w:t>, última edición)</w:t>
      </w:r>
    </w:p>
    <w:p w14:paraId="6827236A" w14:textId="77777777" w:rsidR="002557A5" w:rsidRPr="002557A5" w:rsidRDefault="002557A5" w:rsidP="002557A5">
      <w:pPr>
        <w:widowControl w:val="0"/>
        <w:tabs>
          <w:tab w:val="left" w:pos="840"/>
        </w:tabs>
        <w:overflowPunct w:val="0"/>
        <w:autoSpaceDE w:val="0"/>
        <w:autoSpaceDN w:val="0"/>
        <w:adjustRightInd w:val="0"/>
        <w:spacing w:before="120" w:after="0" w:line="276" w:lineRule="auto"/>
        <w:ind w:left="720" w:hanging="720"/>
        <w:rPr>
          <w:rFonts w:ascii="Calibri" w:eastAsia="Times New Roman" w:hAnsi="Calibri" w:cs="Calibri"/>
          <w:kern w:val="0"/>
          <w:sz w:val="2"/>
          <w:szCs w:val="2"/>
          <w:lang w:val="es-ES_tradnl" w:eastAsia="es-CR"/>
          <w14:ligatures w14:val="none"/>
        </w:rPr>
      </w:pPr>
    </w:p>
    <w:p w14:paraId="635C9AFD" w14:textId="77777777" w:rsidR="00086FC8" w:rsidRDefault="00086FC8"/>
    <w:p w14:paraId="3AA4D498" w14:textId="77777777" w:rsidR="00086FC8" w:rsidRDefault="00086FC8"/>
    <w:p w14:paraId="27C3EE69" w14:textId="77777777" w:rsidR="00086FC8" w:rsidRDefault="00086FC8"/>
    <w:p w14:paraId="1F9B69A2" w14:textId="77777777" w:rsidR="00086FC8" w:rsidRDefault="00086FC8"/>
    <w:p w14:paraId="5B36F3C7" w14:textId="77777777" w:rsidR="00086FC8" w:rsidRDefault="00086FC8"/>
    <w:p w14:paraId="4EC82CF1" w14:textId="36D46ED0" w:rsidR="002557A5" w:rsidRDefault="002557A5">
      <w:r>
        <w:br w:type="page"/>
      </w:r>
    </w:p>
    <w:p w14:paraId="1AB334D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r w:rsidRPr="00C542B4">
        <w:rPr>
          <w:rFonts w:ascii="Arial" w:eastAsia="Times New Roman" w:hAnsi="Arial" w:cs="Arial"/>
          <w:noProof/>
          <w:kern w:val="0"/>
          <w:sz w:val="24"/>
          <w:szCs w:val="24"/>
          <w:lang w:eastAsia="es-CR"/>
          <w14:ligatures w14:val="none"/>
        </w:rPr>
        <w:lastRenderedPageBreak/>
        <w:drawing>
          <wp:inline distT="0" distB="0" distL="0" distR="0" wp14:anchorId="5D13E54B" wp14:editId="5F505126">
            <wp:extent cx="2009775" cy="1548377"/>
            <wp:effectExtent l="0" t="0" r="0" b="0"/>
            <wp:docPr id="801827762"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827762"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7FFCB90" w14:textId="77777777" w:rsidR="00C542B4" w:rsidRPr="00C542B4" w:rsidRDefault="00C542B4" w:rsidP="00C542B4">
      <w:pPr>
        <w:keepNext/>
        <w:widowControl w:val="0"/>
        <w:overflowPunct w:val="0"/>
        <w:autoSpaceDE w:val="0"/>
        <w:autoSpaceDN w:val="0"/>
        <w:adjustRightInd w:val="0"/>
        <w:spacing w:after="0" w:line="240" w:lineRule="auto"/>
        <w:jc w:val="center"/>
        <w:outlineLvl w:val="0"/>
        <w:rPr>
          <w:rFonts w:ascii="Arial" w:eastAsia="Times New Roman" w:hAnsi="Arial" w:cs="Arial"/>
          <w:b/>
          <w:spacing w:val="-2"/>
          <w:kern w:val="0"/>
          <w:sz w:val="24"/>
          <w:szCs w:val="24"/>
          <w:lang w:eastAsia="es-CR"/>
          <w14:ligatures w14:val="none"/>
        </w:rPr>
      </w:pPr>
    </w:p>
    <w:p w14:paraId="5B3145E0" w14:textId="77777777" w:rsidR="00C542B4" w:rsidRPr="00C542B4" w:rsidRDefault="00C542B4" w:rsidP="00C542B4">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r w:rsidRPr="00C542B4">
        <w:rPr>
          <w:rFonts w:ascii="Calibri" w:eastAsia="Times New Roman" w:hAnsi="Calibri" w:cs="Calibri"/>
          <w:b/>
          <w:spacing w:val="-2"/>
          <w:kern w:val="0"/>
          <w:sz w:val="24"/>
          <w:szCs w:val="24"/>
          <w:lang w:eastAsia="es-CR"/>
          <w14:ligatures w14:val="none"/>
        </w:rPr>
        <w:t>Universidad Bíblica Latinoamericana</w:t>
      </w:r>
    </w:p>
    <w:p w14:paraId="0C52982A" w14:textId="77777777" w:rsidR="00C542B4" w:rsidRPr="00C542B4" w:rsidRDefault="00C542B4" w:rsidP="00C542B4">
      <w:pPr>
        <w:keepNext/>
        <w:widowControl w:val="0"/>
        <w:overflowPunct w:val="0"/>
        <w:autoSpaceDE w:val="0"/>
        <w:autoSpaceDN w:val="0"/>
        <w:adjustRightInd w:val="0"/>
        <w:spacing w:after="0" w:line="240" w:lineRule="auto"/>
        <w:jc w:val="center"/>
        <w:outlineLvl w:val="1"/>
        <w:rPr>
          <w:rFonts w:ascii="Calibri" w:eastAsia="Times New Roman" w:hAnsi="Calibri" w:cs="Calibri"/>
          <w:b/>
          <w:i/>
          <w:spacing w:val="-2"/>
          <w:kern w:val="28"/>
          <w:sz w:val="24"/>
          <w:szCs w:val="24"/>
          <w:lang w:eastAsia="es-CR"/>
          <w14:ligatures w14:val="none"/>
        </w:rPr>
      </w:pPr>
      <w:r w:rsidRPr="00C542B4">
        <w:rPr>
          <w:rFonts w:ascii="Calibri" w:eastAsia="Times New Roman" w:hAnsi="Calibri" w:cs="Calibri"/>
          <w:b/>
          <w:i/>
          <w:spacing w:val="-2"/>
          <w:kern w:val="28"/>
          <w:sz w:val="24"/>
          <w:szCs w:val="24"/>
          <w:lang w:eastAsia="es-CR"/>
          <w14:ligatures w14:val="none"/>
        </w:rPr>
        <w:t>Facultad de Teología</w:t>
      </w:r>
    </w:p>
    <w:p w14:paraId="57A44B6A" w14:textId="77777777" w:rsidR="00C542B4" w:rsidRPr="00C542B4" w:rsidRDefault="00C542B4" w:rsidP="00C542B4">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C542B4">
        <w:rPr>
          <w:rFonts w:ascii="Calibri" w:eastAsia="Times New Roman" w:hAnsi="Calibri" w:cs="Arial"/>
          <w:b/>
          <w:bCs/>
          <w:kern w:val="0"/>
          <w:sz w:val="24"/>
          <w:szCs w:val="20"/>
          <w:lang w:val="es-ES_tradnl" w:eastAsia="es-CR"/>
          <w14:ligatures w14:val="none"/>
        </w:rPr>
        <w:t xml:space="preserve">Bachillerato en </w:t>
      </w:r>
      <w:r w:rsidRPr="00C542B4">
        <w:rPr>
          <w:rFonts w:ascii="Calibri" w:eastAsia="Times New Roman" w:hAnsi="Calibri" w:cs="Calibri"/>
          <w:b/>
          <w:bCs/>
          <w:kern w:val="0"/>
          <w:sz w:val="24"/>
          <w:szCs w:val="24"/>
          <w:lang w:val="es-ES_tradnl" w:eastAsia="es-CR"/>
          <w14:ligatures w14:val="none"/>
        </w:rPr>
        <w:t xml:space="preserve">Ciencias </w:t>
      </w:r>
      <w:r w:rsidRPr="00C542B4">
        <w:rPr>
          <w:rFonts w:ascii="Calibri" w:eastAsia="Times New Roman" w:hAnsi="Calibri" w:cs="Arial"/>
          <w:b/>
          <w:kern w:val="0"/>
          <w:sz w:val="24"/>
          <w:szCs w:val="24"/>
          <w:lang w:val="es-ES_tradnl" w:eastAsia="es-CR"/>
          <w14:ligatures w14:val="none"/>
        </w:rPr>
        <w:t>Bíblicas</w:t>
      </w:r>
    </w:p>
    <w:p w14:paraId="54EDF846" w14:textId="77777777" w:rsidR="00C542B4" w:rsidRPr="00C542B4" w:rsidRDefault="00C542B4" w:rsidP="00C542B4">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p>
    <w:p w14:paraId="485A7C4E" w14:textId="77777777" w:rsidR="00C542B4" w:rsidRPr="00C542B4" w:rsidRDefault="00C542B4" w:rsidP="00C542B4">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C542B4">
        <w:rPr>
          <w:rFonts w:ascii="Calibri" w:eastAsia="Times New Roman" w:hAnsi="Calibri" w:cs="Calibri"/>
          <w:b/>
          <w:kern w:val="0"/>
          <w:sz w:val="24"/>
          <w:szCs w:val="24"/>
          <w:lang w:val="es-ES_tradnl" w:eastAsia="es-CR"/>
          <w14:ligatures w14:val="none"/>
        </w:rPr>
        <w:t>Sílabo</w:t>
      </w:r>
    </w:p>
    <w:p w14:paraId="525FA53C" w14:textId="77777777" w:rsidR="00C542B4" w:rsidRPr="00C542B4" w:rsidRDefault="00C542B4" w:rsidP="00C542B4">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bookmarkStart w:id="28" w:name="CBX108"/>
      <w:r w:rsidRPr="00C542B4">
        <w:rPr>
          <w:rFonts w:ascii="Calibri" w:eastAsia="Times New Roman" w:hAnsi="Calibri" w:cs="Calibri"/>
          <w:b/>
          <w:kern w:val="0"/>
          <w:sz w:val="24"/>
          <w:szCs w:val="24"/>
          <w:lang w:val="es-ES_tradnl" w:eastAsia="es-CR"/>
          <w14:ligatures w14:val="none"/>
        </w:rPr>
        <w:t>Antiguo Testamento II</w:t>
      </w:r>
    </w:p>
    <w:bookmarkEnd w:id="28"/>
    <w:p w14:paraId="3A52D40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Arial" w:eastAsia="Times New Roman" w:hAnsi="Arial" w:cs="Arial"/>
          <w:b/>
          <w:kern w:val="0"/>
          <w:sz w:val="24"/>
          <w:szCs w:val="24"/>
          <w:lang w:val="es-ES_tradnl" w:eastAsia="es-CR"/>
          <w14:ligatures w14:val="none"/>
        </w:rPr>
      </w:pPr>
    </w:p>
    <w:p w14:paraId="169CD33B" w14:textId="77777777" w:rsidR="00C542B4" w:rsidRPr="00C542B4" w:rsidRDefault="00C542B4" w:rsidP="00C542B4">
      <w:pPr>
        <w:widowControl w:val="0"/>
        <w:overflowPunct w:val="0"/>
        <w:autoSpaceDE w:val="0"/>
        <w:autoSpaceDN w:val="0"/>
        <w:adjustRightInd w:val="0"/>
        <w:spacing w:after="0" w:line="240" w:lineRule="auto"/>
        <w:rPr>
          <w:rFonts w:ascii="Arial" w:eastAsia="Arial" w:hAnsi="Arial" w:cs="Arial"/>
          <w:b/>
          <w:color w:val="000000"/>
          <w:kern w:val="0"/>
          <w:sz w:val="24"/>
          <w:szCs w:val="20"/>
          <w:lang w:val="es-ES_tradnl" w:eastAsia="es-CR"/>
          <w14:ligatures w14:val="none"/>
        </w:rPr>
      </w:pPr>
    </w:p>
    <w:tbl>
      <w:tblPr>
        <w:tblStyle w:val="TableGrid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7161"/>
      </w:tblGrid>
      <w:tr w:rsidR="00C542B4" w:rsidRPr="00C542B4" w14:paraId="2A0390DC" w14:textId="77777777" w:rsidTr="00CE7124">
        <w:tc>
          <w:tcPr>
            <w:tcW w:w="1667" w:type="dxa"/>
          </w:tcPr>
          <w:p w14:paraId="19604B3D"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Código</w:t>
            </w:r>
          </w:p>
        </w:tc>
        <w:tc>
          <w:tcPr>
            <w:tcW w:w="7161" w:type="dxa"/>
          </w:tcPr>
          <w:p w14:paraId="1E331D9B"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CBX 108</w:t>
            </w:r>
          </w:p>
        </w:tc>
      </w:tr>
      <w:tr w:rsidR="00C542B4" w:rsidRPr="00C542B4" w14:paraId="2C739C17" w14:textId="77777777" w:rsidTr="00CE7124">
        <w:tc>
          <w:tcPr>
            <w:tcW w:w="1667" w:type="dxa"/>
          </w:tcPr>
          <w:p w14:paraId="65D921AF"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Créditos</w:t>
            </w:r>
          </w:p>
        </w:tc>
        <w:tc>
          <w:tcPr>
            <w:tcW w:w="7161" w:type="dxa"/>
          </w:tcPr>
          <w:p w14:paraId="55EE27A4"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4</w:t>
            </w:r>
          </w:p>
        </w:tc>
      </w:tr>
      <w:tr w:rsidR="00C542B4" w:rsidRPr="00C542B4" w14:paraId="494F27A0" w14:textId="77777777" w:rsidTr="00CE7124">
        <w:tc>
          <w:tcPr>
            <w:tcW w:w="1667" w:type="dxa"/>
          </w:tcPr>
          <w:p w14:paraId="6A37EC34"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Requisitos</w:t>
            </w:r>
          </w:p>
        </w:tc>
        <w:tc>
          <w:tcPr>
            <w:tcW w:w="7161" w:type="dxa"/>
          </w:tcPr>
          <w:p w14:paraId="7E6D7C86"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CBX 107</w:t>
            </w:r>
          </w:p>
        </w:tc>
      </w:tr>
      <w:tr w:rsidR="00C542B4" w:rsidRPr="00C542B4" w14:paraId="5FCA0C27" w14:textId="77777777" w:rsidTr="00CE7124">
        <w:tc>
          <w:tcPr>
            <w:tcW w:w="1667" w:type="dxa"/>
          </w:tcPr>
          <w:p w14:paraId="7CB00435"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Modalidad</w:t>
            </w:r>
          </w:p>
        </w:tc>
        <w:tc>
          <w:tcPr>
            <w:tcW w:w="7161" w:type="dxa"/>
          </w:tcPr>
          <w:p w14:paraId="079E525A"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Virtual</w:t>
            </w:r>
          </w:p>
        </w:tc>
      </w:tr>
      <w:tr w:rsidR="00C542B4" w:rsidRPr="00C542B4" w14:paraId="5A60AF1F" w14:textId="77777777" w:rsidTr="00CE7124">
        <w:tc>
          <w:tcPr>
            <w:tcW w:w="1667" w:type="dxa"/>
          </w:tcPr>
          <w:p w14:paraId="65411C9E"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Naturaleza</w:t>
            </w:r>
          </w:p>
        </w:tc>
        <w:tc>
          <w:tcPr>
            <w:tcW w:w="7161" w:type="dxa"/>
          </w:tcPr>
          <w:p w14:paraId="0DF3BB2F"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Teórico</w:t>
            </w:r>
          </w:p>
        </w:tc>
      </w:tr>
      <w:tr w:rsidR="00C542B4" w:rsidRPr="00C542B4" w14:paraId="0E205B9E" w14:textId="77777777" w:rsidTr="00CE7124">
        <w:tc>
          <w:tcPr>
            <w:tcW w:w="1667" w:type="dxa"/>
          </w:tcPr>
          <w:p w14:paraId="4A2B292E"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Periodo</w:t>
            </w:r>
          </w:p>
        </w:tc>
        <w:tc>
          <w:tcPr>
            <w:tcW w:w="7161" w:type="dxa"/>
          </w:tcPr>
          <w:p w14:paraId="74D79948"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Cuatrimestral (15 semanas lectivas)</w:t>
            </w:r>
          </w:p>
        </w:tc>
      </w:tr>
      <w:tr w:rsidR="00C542B4" w:rsidRPr="00C542B4" w14:paraId="1981B827" w14:textId="77777777" w:rsidTr="00CE7124">
        <w:tc>
          <w:tcPr>
            <w:tcW w:w="1667" w:type="dxa"/>
          </w:tcPr>
          <w:p w14:paraId="0A6764A3"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 xml:space="preserve">Nivel </w:t>
            </w:r>
          </w:p>
        </w:tc>
        <w:tc>
          <w:tcPr>
            <w:tcW w:w="7161" w:type="dxa"/>
          </w:tcPr>
          <w:p w14:paraId="3B8C8972"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III Cuatrimestre</w:t>
            </w:r>
          </w:p>
        </w:tc>
      </w:tr>
      <w:tr w:rsidR="00C542B4" w:rsidRPr="00C542B4" w14:paraId="739BD369" w14:textId="77777777" w:rsidTr="00CE7124">
        <w:tc>
          <w:tcPr>
            <w:tcW w:w="1667" w:type="dxa"/>
          </w:tcPr>
          <w:p w14:paraId="20826C90"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Horario</w:t>
            </w:r>
          </w:p>
        </w:tc>
        <w:tc>
          <w:tcPr>
            <w:tcW w:w="7161" w:type="dxa"/>
          </w:tcPr>
          <w:p w14:paraId="468B9339"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El curso requiere de 12 horas de trabajo semanal</w:t>
            </w:r>
          </w:p>
        </w:tc>
      </w:tr>
      <w:tr w:rsidR="00C542B4" w:rsidRPr="00C542B4" w14:paraId="7DF15A7E" w14:textId="77777777" w:rsidTr="00CE7124">
        <w:tc>
          <w:tcPr>
            <w:tcW w:w="1667" w:type="dxa"/>
          </w:tcPr>
          <w:p w14:paraId="3C0A5DF4"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Aula</w:t>
            </w:r>
          </w:p>
        </w:tc>
        <w:tc>
          <w:tcPr>
            <w:tcW w:w="7161" w:type="dxa"/>
          </w:tcPr>
          <w:p w14:paraId="74C32863"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color w:val="000000"/>
                <w:lang w:eastAsia="es-CR"/>
              </w:rPr>
              <w:t>Plataforma virtual de la UBL</w:t>
            </w:r>
          </w:p>
        </w:tc>
      </w:tr>
      <w:tr w:rsidR="00C542B4" w:rsidRPr="00C542B4" w14:paraId="39DB0428" w14:textId="77777777" w:rsidTr="00CE7124">
        <w:tc>
          <w:tcPr>
            <w:tcW w:w="1667" w:type="dxa"/>
          </w:tcPr>
          <w:p w14:paraId="2F298FC8" w14:textId="77777777" w:rsidR="00C542B4" w:rsidRPr="00C542B4" w:rsidRDefault="00C542B4" w:rsidP="00C542B4">
            <w:pPr>
              <w:widowControl w:val="0"/>
              <w:overflowPunct w:val="0"/>
              <w:autoSpaceDE w:val="0"/>
              <w:autoSpaceDN w:val="0"/>
              <w:adjustRightInd w:val="0"/>
              <w:rPr>
                <w:rFonts w:ascii="Calibri" w:eastAsia="Times New Roman" w:hAnsi="Calibri" w:cs="Calibri"/>
                <w:b/>
                <w:color w:val="000000"/>
                <w:lang w:eastAsia="es-CR"/>
              </w:rPr>
            </w:pPr>
            <w:r w:rsidRPr="00C542B4">
              <w:rPr>
                <w:rFonts w:ascii="Calibri" w:eastAsia="Times New Roman" w:hAnsi="Calibri" w:cs="Calibri"/>
                <w:b/>
                <w:color w:val="000000"/>
                <w:lang w:eastAsia="es-CR"/>
              </w:rPr>
              <w:t>Docente</w:t>
            </w:r>
          </w:p>
        </w:tc>
        <w:tc>
          <w:tcPr>
            <w:tcW w:w="7161" w:type="dxa"/>
          </w:tcPr>
          <w:p w14:paraId="687DB6CF"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p>
        </w:tc>
      </w:tr>
      <w:tr w:rsidR="00C542B4" w:rsidRPr="00C542B4" w14:paraId="03DBD5EC" w14:textId="77777777" w:rsidTr="00CE7124">
        <w:tc>
          <w:tcPr>
            <w:tcW w:w="1667" w:type="dxa"/>
          </w:tcPr>
          <w:p w14:paraId="223B4E05" w14:textId="77777777" w:rsidR="00C542B4" w:rsidRPr="00C542B4" w:rsidRDefault="00C542B4" w:rsidP="00C542B4">
            <w:pPr>
              <w:widowControl w:val="0"/>
              <w:overflowPunct w:val="0"/>
              <w:autoSpaceDE w:val="0"/>
              <w:autoSpaceDN w:val="0"/>
              <w:adjustRightInd w:val="0"/>
              <w:rPr>
                <w:rFonts w:ascii="Calibri" w:eastAsia="Times New Roman" w:hAnsi="Calibri" w:cs="Calibri"/>
                <w:color w:val="000000"/>
                <w:lang w:eastAsia="es-CR"/>
              </w:rPr>
            </w:pPr>
            <w:r w:rsidRPr="00C542B4">
              <w:rPr>
                <w:rFonts w:ascii="Calibri" w:eastAsia="Times New Roman" w:hAnsi="Calibri" w:cs="Calibri"/>
                <w:b/>
                <w:color w:val="000000"/>
                <w:lang w:eastAsia="es-CR"/>
              </w:rPr>
              <w:t>Instrucciones administrativas</w:t>
            </w:r>
          </w:p>
        </w:tc>
        <w:tc>
          <w:tcPr>
            <w:tcW w:w="7161" w:type="dxa"/>
          </w:tcPr>
          <w:p w14:paraId="582CE756" w14:textId="77777777" w:rsidR="00C542B4" w:rsidRPr="00C542B4" w:rsidRDefault="00C542B4" w:rsidP="00C542B4">
            <w:pPr>
              <w:widowControl w:val="0"/>
              <w:overflowPunct w:val="0"/>
              <w:autoSpaceDE w:val="0"/>
              <w:autoSpaceDN w:val="0"/>
              <w:adjustRightInd w:val="0"/>
              <w:jc w:val="both"/>
              <w:rPr>
                <w:rFonts w:ascii="Calibri" w:eastAsia="Times New Roman" w:hAnsi="Calibri" w:cs="Calibri"/>
                <w:lang w:eastAsia="es-CR"/>
              </w:rPr>
            </w:pPr>
            <w:r w:rsidRPr="00C542B4">
              <w:rPr>
                <w:rFonts w:ascii="Calibri" w:eastAsia="Times New Roman" w:hAnsi="Calibri" w:cs="Calibri"/>
                <w:color w:val="000000"/>
                <w:lang w:eastAsia="es-CR"/>
              </w:rPr>
              <w:t>El curso es virtual, por lo que se requiere de acceso a una computadora con conexión a Internet, además de destrezas básicas para el manejo de correo electrónico y la plataforma Moodle desde el rol de estudiante.</w:t>
            </w:r>
            <w:r w:rsidRPr="00C542B4">
              <w:rPr>
                <w:rFonts w:ascii="Calibri" w:eastAsia="Times New Roman" w:hAnsi="Calibri" w:cs="Calibri"/>
                <w:lang w:eastAsia="es-CR"/>
              </w:rPr>
              <w:t xml:space="preserve"> La dirección de acceso a la plataforma es la siguiente:</w:t>
            </w:r>
          </w:p>
          <w:p w14:paraId="4DB3C00F" w14:textId="77777777" w:rsidR="00C542B4" w:rsidRPr="00C542B4" w:rsidRDefault="00DD16F2" w:rsidP="00C542B4">
            <w:pPr>
              <w:widowControl w:val="0"/>
              <w:overflowPunct w:val="0"/>
              <w:autoSpaceDE w:val="0"/>
              <w:autoSpaceDN w:val="0"/>
              <w:adjustRightInd w:val="0"/>
              <w:jc w:val="both"/>
              <w:rPr>
                <w:rFonts w:ascii="Calibri" w:eastAsia="Times New Roman" w:hAnsi="Calibri" w:cs="Calibri"/>
                <w:color w:val="000000"/>
                <w:lang w:eastAsia="es-CR"/>
              </w:rPr>
            </w:pPr>
            <w:hyperlink r:id="rId179" w:history="1">
              <w:r w:rsidR="00C542B4" w:rsidRPr="00C542B4">
                <w:rPr>
                  <w:rFonts w:ascii="Calibri" w:eastAsia="Times New Roman" w:hAnsi="Calibri" w:cs="Calibri"/>
                  <w:color w:val="0563C1"/>
                  <w:u w:val="single"/>
                  <w:lang w:eastAsia="es-CR"/>
                </w:rPr>
                <w:t>https://campus.ubl.ac.cr/login/index.php</w:t>
              </w:r>
            </w:hyperlink>
          </w:p>
        </w:tc>
      </w:tr>
    </w:tbl>
    <w:p w14:paraId="23AA6360" w14:textId="77777777" w:rsidR="00C542B4" w:rsidRPr="00C542B4" w:rsidRDefault="00C542B4" w:rsidP="00C542B4">
      <w:pPr>
        <w:widowControl w:val="0"/>
        <w:overflowPunct w:val="0"/>
        <w:autoSpaceDE w:val="0"/>
        <w:autoSpaceDN w:val="0"/>
        <w:adjustRightInd w:val="0"/>
        <w:spacing w:after="0" w:line="240" w:lineRule="auto"/>
        <w:rPr>
          <w:rFonts w:ascii="Arial" w:eastAsia="Arial" w:hAnsi="Arial" w:cs="Arial"/>
          <w:b/>
          <w:color w:val="000000"/>
          <w:kern w:val="0"/>
          <w:lang w:val="es-ES_tradnl" w:eastAsia="es-CR"/>
          <w14:ligatures w14:val="none"/>
        </w:rPr>
      </w:pPr>
    </w:p>
    <w:p w14:paraId="5AB32CE5" w14:textId="77777777" w:rsidR="00C542B4" w:rsidRPr="00C542B4" w:rsidRDefault="00C542B4" w:rsidP="00C542B4">
      <w:pPr>
        <w:autoSpaceDE w:val="0"/>
        <w:autoSpaceDN w:val="0"/>
        <w:adjustRightInd w:val="0"/>
        <w:spacing w:after="0" w:line="240" w:lineRule="auto"/>
        <w:jc w:val="both"/>
        <w:rPr>
          <w:rFonts w:ascii="Arial" w:eastAsia="Times New Roman" w:hAnsi="Arial" w:cs="Arial"/>
          <w:b/>
          <w:bCs/>
          <w:kern w:val="0"/>
          <w:lang w:val="es-ES_tradnl" w:eastAsia="es-CR"/>
          <w14:ligatures w14:val="none"/>
        </w:rPr>
      </w:pPr>
    </w:p>
    <w:p w14:paraId="26CE30EC"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 xml:space="preserve">I. Descripción          </w:t>
      </w:r>
    </w:p>
    <w:p w14:paraId="4F379E82" w14:textId="77777777" w:rsidR="00C542B4" w:rsidRPr="00C542B4" w:rsidRDefault="00C542B4" w:rsidP="00C542B4">
      <w:pPr>
        <w:widowControl w:val="0"/>
        <w:overflowPunct w:val="0"/>
        <w:autoSpaceDE w:val="0"/>
        <w:autoSpaceDN w:val="0"/>
        <w:adjustRightInd w:val="0"/>
        <w:spacing w:before="120" w:after="0" w:line="276" w:lineRule="auto"/>
        <w:jc w:val="both"/>
        <w:rPr>
          <w:rFonts w:ascii="Calibri" w:eastAsia="Times New Roman" w:hAnsi="Calibri" w:cs="Arial"/>
          <w:color w:val="000000"/>
          <w:kern w:val="0"/>
          <w:lang w:val="es-ES" w:eastAsia="es-CR"/>
          <w14:ligatures w14:val="none"/>
        </w:rPr>
      </w:pPr>
      <w:r w:rsidRPr="00C542B4">
        <w:rPr>
          <w:rFonts w:ascii="Calibri" w:eastAsia="Times New Roman" w:hAnsi="Calibri" w:cs="Arial"/>
          <w:color w:val="000000"/>
          <w:kern w:val="0"/>
          <w:lang w:val="es-ES" w:eastAsia="es-CR"/>
          <w14:ligatures w14:val="none"/>
        </w:rPr>
        <w:t xml:space="preserve">El curso estudia de manera introductoria aspectos básicos para la comprensión del fenómeno de la profecía en Israel y, a la vez, introduce al estudiante a la literatura sapiencial y </w:t>
      </w:r>
      <w:proofErr w:type="spellStart"/>
      <w:r w:rsidRPr="00C542B4">
        <w:rPr>
          <w:rFonts w:ascii="Calibri" w:eastAsia="Times New Roman" w:hAnsi="Calibri" w:cs="Arial"/>
          <w:color w:val="000000"/>
          <w:kern w:val="0"/>
          <w:lang w:val="es-ES" w:eastAsia="es-CR"/>
          <w14:ligatures w14:val="none"/>
        </w:rPr>
        <w:t>sálmica</w:t>
      </w:r>
      <w:proofErr w:type="spellEnd"/>
      <w:r w:rsidRPr="00C542B4">
        <w:rPr>
          <w:rFonts w:ascii="Calibri" w:eastAsia="Times New Roman" w:hAnsi="Calibri" w:cs="Arial"/>
          <w:color w:val="000000"/>
          <w:kern w:val="0"/>
          <w:lang w:val="es-ES" w:eastAsia="es-CR"/>
          <w14:ligatures w14:val="none"/>
        </w:rPr>
        <w:t>.</w:t>
      </w:r>
    </w:p>
    <w:p w14:paraId="23C8B3BA"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65A39985"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504570F0"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II.</w:t>
      </w:r>
      <w:r w:rsidRPr="00C542B4">
        <w:rPr>
          <w:rFonts w:ascii="Calibri" w:eastAsia="Times New Roman" w:hAnsi="Calibri" w:cs="Calibri"/>
          <w:color w:val="000000"/>
          <w:kern w:val="0"/>
          <w:lang w:val="es-ES_tradnl" w:eastAsia="es-CR"/>
          <w14:ligatures w14:val="none"/>
        </w:rPr>
        <w:t xml:space="preserve"> </w:t>
      </w:r>
      <w:r w:rsidRPr="00C542B4">
        <w:rPr>
          <w:rFonts w:ascii="Calibri" w:eastAsia="Times New Roman" w:hAnsi="Calibri" w:cs="Calibri"/>
          <w:b/>
          <w:bCs/>
          <w:color w:val="000000"/>
          <w:kern w:val="0"/>
          <w:lang w:val="es-ES_tradnl" w:eastAsia="es-CR"/>
          <w14:ligatures w14:val="none"/>
        </w:rPr>
        <w:t>Objetivos generales</w:t>
      </w:r>
      <w:r w:rsidRPr="00C542B4">
        <w:rPr>
          <w:rFonts w:ascii="Calibri" w:eastAsia="Times New Roman" w:hAnsi="Calibri" w:cs="Calibri"/>
          <w:b/>
          <w:bCs/>
          <w:color w:val="000000"/>
          <w:kern w:val="0"/>
          <w:lang w:val="es-ES_tradnl" w:eastAsia="es-CR"/>
          <w14:ligatures w14:val="none"/>
        </w:rPr>
        <w:tab/>
      </w:r>
    </w:p>
    <w:p w14:paraId="130A7710" w14:textId="77777777" w:rsidR="00C542B4" w:rsidRPr="00C542B4" w:rsidRDefault="00C542B4" w:rsidP="00C542B4">
      <w:pPr>
        <w:widowControl w:val="0"/>
        <w:overflowPunct w:val="0"/>
        <w:autoSpaceDE w:val="0"/>
        <w:autoSpaceDN w:val="0"/>
        <w:adjustRightInd w:val="0"/>
        <w:spacing w:after="0" w:line="276" w:lineRule="auto"/>
        <w:ind w:left="720"/>
        <w:jc w:val="both"/>
        <w:rPr>
          <w:rFonts w:ascii="Calibri" w:eastAsia="Times New Roman" w:hAnsi="Calibri" w:cs="Calibri"/>
          <w:color w:val="000000"/>
          <w:kern w:val="0"/>
          <w:lang w:val="es-ES_tradnl" w:eastAsia="es-CR"/>
          <w14:ligatures w14:val="none"/>
        </w:rPr>
      </w:pPr>
    </w:p>
    <w:p w14:paraId="13866C6B"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r w:rsidRPr="00C542B4">
        <w:rPr>
          <w:rFonts w:ascii="Calibri" w:eastAsia="Times New Roman" w:hAnsi="Calibri" w:cs="Calibri"/>
          <w:bCs/>
          <w:iCs/>
          <w:color w:val="000000"/>
          <w:kern w:val="0"/>
          <w:lang w:val="es-ES_tradnl" w:eastAsia="es-CR"/>
          <w14:ligatures w14:val="none"/>
        </w:rPr>
        <w:t xml:space="preserve">1. Introducir a los estudiantes a las literaturas profética y sapiencial planteando de manera general los principales problemas histórico-literarios y teológicos de dicha literatura. </w:t>
      </w:r>
    </w:p>
    <w:p w14:paraId="26FA02EA"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p>
    <w:p w14:paraId="604E8DC4"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Cs/>
          <w:iCs/>
          <w:color w:val="000000"/>
          <w:kern w:val="0"/>
          <w:lang w:val="es-ES_tradnl" w:eastAsia="es-CR"/>
          <w14:ligatures w14:val="none"/>
        </w:rPr>
      </w:pPr>
      <w:r w:rsidRPr="00C542B4">
        <w:rPr>
          <w:rFonts w:ascii="Calibri" w:eastAsia="Times New Roman" w:hAnsi="Calibri" w:cs="Calibri"/>
          <w:bCs/>
          <w:iCs/>
          <w:color w:val="000000"/>
          <w:kern w:val="0"/>
          <w:lang w:val="es-ES_tradnl" w:eastAsia="es-CR"/>
          <w14:ligatures w14:val="none"/>
        </w:rPr>
        <w:t>2. Estudiar los procesos sociohistóricos que estimulan el nacimiento de los profetas y los sabios en Israel.</w:t>
      </w:r>
    </w:p>
    <w:p w14:paraId="40A19256"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r w:rsidRPr="00C542B4">
        <w:rPr>
          <w:rFonts w:ascii="Calibri" w:eastAsia="Times New Roman" w:hAnsi="Calibri" w:cs="Calibri"/>
          <w:b/>
          <w:bCs/>
          <w:iCs/>
          <w:color w:val="000000"/>
          <w:kern w:val="0"/>
          <w:lang w:val="es-ES_tradnl" w:eastAsia="es-CR"/>
          <w14:ligatures w14:val="none"/>
        </w:rPr>
        <w:lastRenderedPageBreak/>
        <w:t>III. Objetivos específicos</w:t>
      </w:r>
    </w:p>
    <w:p w14:paraId="1177C9EF"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b/>
          <w:bCs/>
          <w:iCs/>
          <w:color w:val="000000"/>
          <w:kern w:val="0"/>
          <w:lang w:val="es-ES_tradnl" w:eastAsia="es-CR"/>
          <w14:ligatures w14:val="none"/>
        </w:rPr>
      </w:pPr>
    </w:p>
    <w:p w14:paraId="3B8A7D63"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1. Definir y explicar los conceptos “profeta” y “profecía” incluyendo elementos sociohistóricos, literarios y teológicos. </w:t>
      </w:r>
    </w:p>
    <w:p w14:paraId="50AF6EB7"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2. Describir y explicar las características y los problemas introductorios básicos de la literatura profética que forma parte de la Biblia Hebrea. </w:t>
      </w:r>
    </w:p>
    <w:p w14:paraId="63E69DE4"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3. Definir y explicar los conceptos de “sabio”, “sabiduría” y “literatura sapiencial” en el contexto de la Biblia Hebrea. </w:t>
      </w:r>
    </w:p>
    <w:p w14:paraId="4B06A835"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4. Explicar las características teológicas y literarias de los libros que componen la literatura sapiencial. </w:t>
      </w:r>
    </w:p>
    <w:p w14:paraId="31165BFF"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5. Describir las características literarias y teológicas del libro de los Salmos. </w:t>
      </w:r>
    </w:p>
    <w:p w14:paraId="41D417AF"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color w:val="000000"/>
          <w:kern w:val="0"/>
          <w:lang w:val="es-ES_tradnl" w:eastAsia="es-CR"/>
          <w14:ligatures w14:val="none"/>
        </w:rPr>
      </w:pPr>
    </w:p>
    <w:p w14:paraId="009D6A72"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IV. Contenidos</w:t>
      </w:r>
    </w:p>
    <w:p w14:paraId="32095109" w14:textId="77777777" w:rsidR="00C542B4" w:rsidRPr="00C542B4" w:rsidRDefault="00C542B4" w:rsidP="00C542B4">
      <w:pPr>
        <w:widowControl w:val="0"/>
        <w:overflowPunct w:val="0"/>
        <w:autoSpaceDE w:val="0"/>
        <w:autoSpaceDN w:val="0"/>
        <w:adjustRightInd w:val="0"/>
        <w:spacing w:after="0" w:line="276" w:lineRule="auto"/>
        <w:jc w:val="both"/>
        <w:rPr>
          <w:rFonts w:ascii="Calibri" w:eastAsia="Times New Roman" w:hAnsi="Calibri" w:cs="Calibri"/>
          <w:b/>
          <w:bCs/>
          <w:color w:val="000000"/>
          <w:kern w:val="0"/>
          <w:lang w:val="es-ES_tradnl" w:eastAsia="es-CR"/>
          <w14:ligatures w14:val="none"/>
        </w:rPr>
      </w:pPr>
    </w:p>
    <w:p w14:paraId="2A7693E6" w14:textId="77777777" w:rsidR="00C542B4" w:rsidRPr="00C542B4" w:rsidRDefault="00C542B4" w:rsidP="006D51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Unidad 1: La literatura profética</w:t>
      </w:r>
    </w:p>
    <w:p w14:paraId="2214A46D"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1.1 </w:t>
      </w:r>
      <w:r w:rsidRPr="006D51B2">
        <w:rPr>
          <w:rFonts w:ascii="Calibri" w:eastAsia="Times New Roman" w:hAnsi="Calibri" w:cs="Calibri"/>
          <w:bCs/>
          <w:color w:val="000000"/>
          <w:kern w:val="0"/>
          <w:lang w:val="es-ES_tradnl" w:eastAsia="es-CR"/>
          <w14:ligatures w14:val="none"/>
        </w:rPr>
        <w:t>Introducción a los problemas histórico-críticos de la literatura profética</w:t>
      </w:r>
    </w:p>
    <w:p w14:paraId="0CF4BED5"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1.2 </w:t>
      </w:r>
      <w:r w:rsidRPr="006D51B2">
        <w:rPr>
          <w:rFonts w:ascii="Calibri" w:eastAsia="Times New Roman" w:hAnsi="Calibri" w:cs="Calibri"/>
          <w:bCs/>
          <w:color w:val="000000"/>
          <w:kern w:val="0"/>
          <w:lang w:val="es-ES_tradnl" w:eastAsia="es-CR"/>
          <w14:ligatures w14:val="none"/>
        </w:rPr>
        <w:t>Papel socio-religioso del discurso profético</w:t>
      </w:r>
    </w:p>
    <w:p w14:paraId="2449A951" w14:textId="77777777" w:rsidR="00C542B4" w:rsidRPr="006D51B2"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6D51B2">
        <w:rPr>
          <w:rFonts w:ascii="Calibri" w:eastAsia="Times New Roman" w:hAnsi="Calibri" w:cs="Calibri"/>
          <w:bCs/>
          <w:color w:val="000000"/>
          <w:kern w:val="0"/>
          <w:lang w:val="es-ES_tradnl" w:eastAsia="es-CR"/>
          <w14:ligatures w14:val="none"/>
        </w:rPr>
        <w:t xml:space="preserve">1.3 Los libros proféticos: </w:t>
      </w:r>
      <w:proofErr w:type="spellStart"/>
      <w:r w:rsidRPr="006D51B2">
        <w:rPr>
          <w:rFonts w:ascii="Calibri" w:eastAsia="Times New Roman" w:hAnsi="Calibri" w:cs="Calibri"/>
          <w:bCs/>
          <w:color w:val="000000"/>
          <w:kern w:val="0"/>
          <w:lang w:val="es-ES_tradnl" w:eastAsia="es-CR"/>
          <w14:ligatures w14:val="none"/>
        </w:rPr>
        <w:t>pre-exílicos</w:t>
      </w:r>
      <w:proofErr w:type="spellEnd"/>
      <w:r w:rsidRPr="006D51B2">
        <w:rPr>
          <w:rFonts w:ascii="Calibri" w:eastAsia="Times New Roman" w:hAnsi="Calibri" w:cs="Calibri"/>
          <w:bCs/>
          <w:color w:val="000000"/>
          <w:kern w:val="0"/>
          <w:lang w:val="es-ES_tradnl" w:eastAsia="es-CR"/>
          <w14:ligatures w14:val="none"/>
        </w:rPr>
        <w:t xml:space="preserve">, exílicos, </w:t>
      </w:r>
      <w:proofErr w:type="spellStart"/>
      <w:r w:rsidRPr="006D51B2">
        <w:rPr>
          <w:rFonts w:ascii="Calibri" w:eastAsia="Times New Roman" w:hAnsi="Calibri" w:cs="Calibri"/>
          <w:bCs/>
          <w:color w:val="000000"/>
          <w:kern w:val="0"/>
          <w:lang w:val="es-ES_tradnl" w:eastAsia="es-CR"/>
          <w14:ligatures w14:val="none"/>
        </w:rPr>
        <w:t>post-exílicos</w:t>
      </w:r>
      <w:proofErr w:type="spellEnd"/>
    </w:p>
    <w:p w14:paraId="38F13F89" w14:textId="77777777" w:rsidR="00C542B4" w:rsidRPr="006D51B2"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A1F4852"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Unidad 2: La literatura sapiencial</w:t>
      </w:r>
    </w:p>
    <w:p w14:paraId="3D262FFB"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2.1 </w:t>
      </w:r>
      <w:r w:rsidRPr="00C542B4">
        <w:rPr>
          <w:rFonts w:ascii="Calibri" w:eastAsia="Times New Roman" w:hAnsi="Calibri" w:cs="Calibri"/>
          <w:color w:val="000000"/>
          <w:kern w:val="0"/>
          <w:lang w:val="es-ES_tradnl" w:eastAsia="es-CR"/>
          <w14:ligatures w14:val="none"/>
        </w:rPr>
        <w:t>Contextualización sociológica del fenómeno de la sabiduría en Israel</w:t>
      </w:r>
    </w:p>
    <w:p w14:paraId="7D0B80E1"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2.2 </w:t>
      </w:r>
      <w:r w:rsidRPr="00C542B4">
        <w:rPr>
          <w:rFonts w:ascii="Calibri" w:eastAsia="Times New Roman" w:hAnsi="Calibri" w:cs="Calibri"/>
          <w:color w:val="000000"/>
          <w:kern w:val="0"/>
          <w:lang w:val="es-ES_tradnl" w:eastAsia="es-CR"/>
          <w14:ligatures w14:val="none"/>
        </w:rPr>
        <w:t>Características literarias y teológicas de la literatura sapiencial</w:t>
      </w:r>
    </w:p>
    <w:p w14:paraId="3D5C29A1"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3B5E2ED"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 w:eastAsia="es-CR"/>
          <w14:ligatures w14:val="none"/>
        </w:rPr>
      </w:pPr>
      <w:r w:rsidRPr="00C542B4">
        <w:rPr>
          <w:rFonts w:ascii="Calibri" w:eastAsia="Times New Roman" w:hAnsi="Calibri" w:cs="Arial"/>
          <w:b/>
          <w:bCs/>
          <w:color w:val="000000"/>
          <w:kern w:val="0"/>
          <w:lang w:val="es-ES" w:eastAsia="es-CR"/>
          <w14:ligatures w14:val="none"/>
        </w:rPr>
        <w:t xml:space="preserve">Unidad 3: La literatura </w:t>
      </w:r>
      <w:proofErr w:type="spellStart"/>
      <w:r w:rsidRPr="00C542B4">
        <w:rPr>
          <w:rFonts w:ascii="Calibri" w:eastAsia="Times New Roman" w:hAnsi="Calibri" w:cs="Arial"/>
          <w:b/>
          <w:bCs/>
          <w:color w:val="000000"/>
          <w:kern w:val="0"/>
          <w:lang w:val="es-ES" w:eastAsia="es-CR"/>
          <w14:ligatures w14:val="none"/>
        </w:rPr>
        <w:t>sálmica</w:t>
      </w:r>
      <w:proofErr w:type="spellEnd"/>
    </w:p>
    <w:p w14:paraId="43CF64FB"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3.1 </w:t>
      </w:r>
      <w:r w:rsidRPr="00C542B4">
        <w:rPr>
          <w:rFonts w:ascii="Calibri" w:eastAsia="Times New Roman" w:hAnsi="Calibri" w:cs="Calibri"/>
          <w:color w:val="000000"/>
          <w:kern w:val="0"/>
          <w:lang w:val="es-ES_tradnl" w:eastAsia="es-CR"/>
          <w14:ligatures w14:val="none"/>
        </w:rPr>
        <w:t>Introducción literaria al libro de los Salmos</w:t>
      </w:r>
    </w:p>
    <w:p w14:paraId="0661C495"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 xml:space="preserve">3.2 </w:t>
      </w:r>
      <w:r w:rsidRPr="00C542B4">
        <w:rPr>
          <w:rFonts w:ascii="Calibri" w:eastAsia="Times New Roman" w:hAnsi="Calibri" w:cs="Calibri"/>
          <w:color w:val="000000"/>
          <w:kern w:val="0"/>
          <w:lang w:val="es-ES_tradnl" w:eastAsia="es-CR"/>
          <w14:ligatures w14:val="none"/>
        </w:rPr>
        <w:t>Teología de los Salmos</w:t>
      </w:r>
    </w:p>
    <w:p w14:paraId="6FBF41F9"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p>
    <w:p w14:paraId="1752CFFE"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Unidad 4: Las novelas cortas</w:t>
      </w:r>
    </w:p>
    <w:p w14:paraId="5F01F15A" w14:textId="77777777" w:rsidR="00C542B4" w:rsidRPr="00C542B4" w:rsidRDefault="00C542B4" w:rsidP="006D51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4.1 Características y contexto de producción</w:t>
      </w:r>
    </w:p>
    <w:p w14:paraId="6894FEBB" w14:textId="77777777" w:rsidR="00C542B4" w:rsidRPr="00C542B4" w:rsidRDefault="00C542B4" w:rsidP="006D51B2">
      <w:pPr>
        <w:widowControl w:val="0"/>
        <w:numPr>
          <w:ilvl w:val="1"/>
          <w:numId w:val="345"/>
        </w:numPr>
        <w:overflowPunct w:val="0"/>
        <w:autoSpaceDE w:val="0"/>
        <w:autoSpaceDN w:val="0"/>
        <w:adjustRightInd w:val="0"/>
        <w:spacing w:before="120" w:after="0" w:line="240" w:lineRule="auto"/>
        <w:ind w:left="360"/>
        <w:jc w:val="both"/>
        <w:rPr>
          <w:rFonts w:ascii="Calibri" w:eastAsia="Times New Roman" w:hAnsi="Calibri" w:cs="Arial"/>
          <w:color w:val="000000"/>
          <w:kern w:val="0"/>
          <w:lang w:val="es-ES" w:eastAsia="es-CR"/>
          <w14:ligatures w14:val="none"/>
        </w:rPr>
      </w:pPr>
      <w:r w:rsidRPr="00C542B4">
        <w:rPr>
          <w:rFonts w:ascii="Calibri" w:eastAsia="Times New Roman" w:hAnsi="Calibri" w:cs="Arial"/>
          <w:color w:val="000000"/>
          <w:kern w:val="0"/>
          <w:lang w:val="es-ES" w:eastAsia="es-CR"/>
          <w14:ligatures w14:val="none"/>
        </w:rPr>
        <w:t xml:space="preserve">Las novelas del </w:t>
      </w:r>
      <w:proofErr w:type="spellStart"/>
      <w:r w:rsidRPr="00C542B4">
        <w:rPr>
          <w:rFonts w:ascii="Calibri" w:eastAsia="Times New Roman" w:hAnsi="Calibri" w:cs="Arial"/>
          <w:color w:val="000000"/>
          <w:kern w:val="0"/>
          <w:lang w:val="es-ES" w:eastAsia="es-CR"/>
          <w14:ligatures w14:val="none"/>
        </w:rPr>
        <w:t>post-exilio</w:t>
      </w:r>
      <w:proofErr w:type="spellEnd"/>
      <w:r w:rsidRPr="00C542B4">
        <w:rPr>
          <w:rFonts w:ascii="Calibri" w:eastAsia="Times New Roman" w:hAnsi="Calibri" w:cs="Arial"/>
          <w:color w:val="000000"/>
          <w:kern w:val="0"/>
          <w:lang w:val="es-ES" w:eastAsia="es-CR"/>
          <w14:ligatures w14:val="none"/>
        </w:rPr>
        <w:t>: Ester, Judit, Rut, Tobit</w:t>
      </w:r>
    </w:p>
    <w:p w14:paraId="36FD417F" w14:textId="77777777" w:rsidR="00C542B4" w:rsidRDefault="00C542B4" w:rsidP="006D51B2">
      <w:pPr>
        <w:widowControl w:val="0"/>
        <w:numPr>
          <w:ilvl w:val="1"/>
          <w:numId w:val="345"/>
        </w:numPr>
        <w:overflowPunct w:val="0"/>
        <w:autoSpaceDE w:val="0"/>
        <w:autoSpaceDN w:val="0"/>
        <w:adjustRightInd w:val="0"/>
        <w:spacing w:before="120" w:after="0" w:line="240" w:lineRule="auto"/>
        <w:ind w:left="360"/>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Síntesis y evaluación</w:t>
      </w:r>
    </w:p>
    <w:p w14:paraId="36F74B56" w14:textId="77777777" w:rsidR="00C542B4" w:rsidRPr="00C542B4" w:rsidRDefault="00C542B4" w:rsidP="00C542B4">
      <w:pPr>
        <w:widowControl w:val="0"/>
        <w:overflowPunct w:val="0"/>
        <w:autoSpaceDE w:val="0"/>
        <w:autoSpaceDN w:val="0"/>
        <w:adjustRightInd w:val="0"/>
        <w:spacing w:before="120" w:after="0" w:line="360" w:lineRule="auto"/>
        <w:ind w:left="360"/>
        <w:jc w:val="both"/>
        <w:rPr>
          <w:rFonts w:ascii="Calibri" w:eastAsia="Times New Roman" w:hAnsi="Calibri" w:cs="Calibri"/>
          <w:color w:val="000000"/>
          <w:kern w:val="0"/>
          <w:lang w:val="es-ES_tradnl" w:eastAsia="es-CR"/>
          <w14:ligatures w14:val="none"/>
        </w:rPr>
      </w:pPr>
    </w:p>
    <w:p w14:paraId="2CC67EC1"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
          <w:bCs/>
          <w:kern w:val="0"/>
          <w:lang w:val="es-ES_tradnl" w:eastAsia="es-CR"/>
          <w14:ligatures w14:val="none"/>
        </w:rPr>
      </w:pPr>
    </w:p>
    <w:p w14:paraId="55F96EE1" w14:textId="77777777" w:rsidR="00C542B4" w:rsidRPr="00C542B4" w:rsidRDefault="00C542B4" w:rsidP="00C542B4">
      <w:pPr>
        <w:autoSpaceDE w:val="0"/>
        <w:autoSpaceDN w:val="0"/>
        <w:adjustRightInd w:val="0"/>
        <w:spacing w:after="0" w:line="240" w:lineRule="auto"/>
        <w:jc w:val="both"/>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 xml:space="preserve">V. Metodología </w:t>
      </w:r>
    </w:p>
    <w:p w14:paraId="5D1F937D"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C542B4">
        <w:rPr>
          <w:rFonts w:ascii="Calibri" w:eastAsia="Times New Roman" w:hAnsi="Calibri" w:cs="Arial"/>
          <w:color w:val="000000"/>
          <w:kern w:val="0"/>
          <w:lang w:val="es-ES" w:eastAsia="es-CR"/>
          <w14:ligatures w14:val="none"/>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w:t>
      </w:r>
      <w:r w:rsidRPr="00C542B4">
        <w:rPr>
          <w:rFonts w:ascii="Calibri" w:eastAsia="Times New Roman" w:hAnsi="Calibri" w:cs="Arial"/>
          <w:color w:val="000000"/>
          <w:kern w:val="0"/>
          <w:lang w:val="es-ES" w:eastAsia="es-CR"/>
          <w14:ligatures w14:val="none"/>
        </w:rPr>
        <w:lastRenderedPageBreak/>
        <w:t>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1F6A15E1"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C542B4">
        <w:rPr>
          <w:rFonts w:ascii="Calibri" w:eastAsia="Times New Roman" w:hAnsi="Calibri" w:cs="Arial"/>
          <w:kern w:val="0"/>
          <w:lang w:val="es-ES" w:eastAsia="es-CR"/>
          <w14:ligatures w14:val="none"/>
        </w:rPr>
        <w:t xml:space="preserve">El curso es de naturaleza teórica y prioriza las áreas de conocimiento, comprensión y aplicación. Por medio de lecturas digitales individuales, asistencia a los encuentros sincrónicos virtuales en los que se ofrecen aportes docentes, revisión de contenidos fundamentales y actividades grupales virtuales de análisis y reflexión, la persona estudiante entrará en contacto con las temáticas y discusiones críticas respecto a la literatura profética, sapiencial y </w:t>
      </w:r>
      <w:proofErr w:type="spellStart"/>
      <w:r w:rsidRPr="00C542B4">
        <w:rPr>
          <w:rFonts w:ascii="Calibri" w:eastAsia="Times New Roman" w:hAnsi="Calibri" w:cs="Arial"/>
          <w:kern w:val="0"/>
          <w:lang w:val="es-ES" w:eastAsia="es-CR"/>
          <w14:ligatures w14:val="none"/>
        </w:rPr>
        <w:t>sálmica</w:t>
      </w:r>
      <w:proofErr w:type="spellEnd"/>
      <w:r w:rsidRPr="00C542B4">
        <w:rPr>
          <w:rFonts w:ascii="Calibri" w:eastAsia="Times New Roman" w:hAnsi="Calibri" w:cs="Arial"/>
          <w:kern w:val="0"/>
          <w:lang w:val="es-ES" w:eastAsia="es-CR"/>
          <w14:ligatures w14:val="none"/>
        </w:rPr>
        <w:t>.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Las actividades planeadas no solo conducen a la explicación y síntesis de los contenidos, sino también a su reflexión a nivel individual y grupal desde los conocimientos y experiencias propias, y sus implicaciones para la labor bíblica y pastoral en diversos espacios sociales y eclesiales.</w:t>
      </w:r>
    </w:p>
    <w:p w14:paraId="43D608B1"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kern w:val="0"/>
          <w:sz w:val="2"/>
          <w:szCs w:val="2"/>
          <w:lang w:val="es-ES_tradnl" w:eastAsia="es-CR"/>
          <w14:ligatures w14:val="none"/>
        </w:rPr>
      </w:pPr>
    </w:p>
    <w:p w14:paraId="051851BC"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 xml:space="preserve">VI. Estrategias de aprendizaje </w:t>
      </w:r>
    </w:p>
    <w:p w14:paraId="11044E33"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C542B4">
        <w:rPr>
          <w:rFonts w:ascii="Calibri" w:eastAsia="Times New Roman" w:hAnsi="Calibri" w:cs="Arial"/>
          <w:kern w:val="0"/>
          <w:lang w:val="es-ES" w:eastAsia="es-CR"/>
          <w14:ligatures w14:val="none"/>
        </w:rPr>
        <w:t>Este curso tiene como propósito tratar los principales problemas histórico-literarios y teológicos de las literaturas profética y sapiencial, con el fin de estudiar los procesos sociohistóricos fundantes de estos tipos de literaturas en el antiguo Israel.</w:t>
      </w:r>
    </w:p>
    <w:p w14:paraId="6D38B724"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Se utilizan las siguientes estrategias de aprendizaje:</w:t>
      </w:r>
    </w:p>
    <w:p w14:paraId="33D6DE42"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 xml:space="preserve">a) Foro: </w:t>
      </w:r>
      <w:r w:rsidRPr="00C542B4">
        <w:rPr>
          <w:rFonts w:ascii="Calibri" w:eastAsia="Times New Roman" w:hAnsi="Calibri" w:cs="Calibri"/>
          <w:bCs/>
          <w:color w:val="000000"/>
          <w:kern w:val="0"/>
          <w:lang w:val="es-ES_tradnl" w:eastAsia="es-CR"/>
          <w14:ligatures w14:val="none"/>
        </w:rPr>
        <w:t xml:space="preserve">Es una </w:t>
      </w:r>
      <w:r w:rsidRPr="00C542B4">
        <w:rPr>
          <w:rFonts w:ascii="Calibri" w:eastAsia="Times New Roman" w:hAnsi="Calibri" w:cs="Calibri"/>
          <w:bCs/>
          <w:kern w:val="0"/>
          <w:lang w:val="es-ES_tradnl" w:eastAsia="es-CR"/>
          <w14:ligatures w14:val="none"/>
        </w:rPr>
        <w:t xml:space="preserve">actividad de discusión académica asincrónica ya que los y las participantes no tienen que acceder al sistema al mismo tiempo, constituyéndose en un escenario virtual para la exposición de ideas y debate. Cada persona estudiante ofrecerá su aporte desde las lecturas asignadas en las diferentes sesiones y hará réplicas críticas constructivas a los aportes de las personas compañeras según indicaciones. Los foros versarán sobre la literatura profética, sus características, sus problemas histórico-críticos y el papel socio-religioso; la literatura sapiencial y su desarrollo en el antiguo Israel, así como sus funciones sociológicas, políticas y elementos teológicos. </w:t>
      </w:r>
    </w:p>
    <w:p w14:paraId="55195F52"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C542B4">
        <w:rPr>
          <w:rFonts w:ascii="Calibri" w:eastAsia="Times New Roman" w:hAnsi="Calibri" w:cs="Arial"/>
          <w:b/>
          <w:bCs/>
          <w:color w:val="000000"/>
          <w:kern w:val="0"/>
          <w:lang w:val="es-ES" w:eastAsia="es-CR"/>
          <w14:ligatures w14:val="none"/>
        </w:rPr>
        <w:t xml:space="preserve">b) Wiki: </w:t>
      </w:r>
      <w:r w:rsidRPr="00C542B4">
        <w:rPr>
          <w:rFonts w:ascii="Calibri" w:eastAsia="Times New Roman" w:hAnsi="Calibri" w:cs="Arial"/>
          <w:kern w:val="0"/>
          <w:lang w:val="es-ES" w:eastAsia="es-CR"/>
          <w14:ligatures w14:val="none"/>
        </w:rPr>
        <w:t>Para la construcción colectiva de una síntesis final grupal sobre el curso se utilizará la herramienta wiki.</w:t>
      </w:r>
      <w:r w:rsidRPr="00C542B4">
        <w:rPr>
          <w:rFonts w:ascii="Calibri" w:eastAsia="Times New Roman" w:hAnsi="Calibri" w:cs="Arial"/>
          <w:b/>
          <w:bCs/>
          <w:kern w:val="0"/>
          <w:lang w:val="es-ES" w:eastAsia="es-CR"/>
          <w14:ligatures w14:val="none"/>
        </w:rPr>
        <w:t xml:space="preserve"> </w:t>
      </w:r>
      <w:r w:rsidRPr="00C542B4">
        <w:rPr>
          <w:rFonts w:ascii="Calibri" w:eastAsia="Times New Roman" w:hAnsi="Calibri" w:cs="Arial"/>
          <w:kern w:val="0"/>
          <w:lang w:val="es-ES" w:eastAsia="es-CR"/>
          <w14:ligatures w14:val="none"/>
        </w:rPr>
        <w:t>Un wiki es una colección de documentos digitales escritos en forma colaborativa. Básicamente, la página de un wiki es similar a una página web que todas las personas del grupo pueden crear juntas directo desde la plataforma virtual. En este curso, el wiki se desarrollará en la última sesión en forma grupal, a modo de crear una síntesis sobre el curso y sus principales aprendizajes con la forma de un ensayo, es decir, que incluya introducción, desarrollo y conclusión.</w:t>
      </w:r>
    </w:p>
    <w:p w14:paraId="496AA25B"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C542B4">
        <w:rPr>
          <w:rFonts w:ascii="Calibri" w:eastAsia="Times New Roman" w:hAnsi="Calibri" w:cs="Calibri"/>
          <w:b/>
          <w:bCs/>
          <w:color w:val="000000"/>
          <w:kern w:val="0"/>
          <w:lang w:eastAsia="es-CR"/>
          <w14:ligatures w14:val="none"/>
        </w:rPr>
        <w:t xml:space="preserve">c) Ensayo: </w:t>
      </w:r>
      <w:r w:rsidRPr="00C542B4">
        <w:rPr>
          <w:rFonts w:ascii="Calibri" w:eastAsia="Times New Roman" w:hAnsi="Calibri" w:cs="Calibri"/>
          <w:color w:val="000000"/>
          <w:kern w:val="0"/>
          <w:lang w:eastAsia="es-CR"/>
          <w14:ligatures w14:val="none"/>
        </w:rPr>
        <w:t>L</w:t>
      </w:r>
      <w:r w:rsidRPr="00C542B4">
        <w:rPr>
          <w:rFonts w:ascii="Calibri" w:eastAsia="Times New Roman" w:hAnsi="Calibri" w:cs="Calibri"/>
          <w:kern w:val="0"/>
          <w:lang w:eastAsia="es-CR"/>
          <w14:ligatures w14:val="none"/>
        </w:rPr>
        <w:t>a principal característica de un ensayo es que se trata de un texto en el que la persona escritora cuenta con mayor libertad para organizar el contenido y la información. Se articula en torno a una introducción, un desarrollo y una conclusión. En este curso se elaborará un ensayo sobre un acercamiento de género a los textos proféticos. Lo que se busca con él es realizar una valoración crítica del acercamiento de género al estudio de los textos proféticos, particularmente analizando el texto de Ezequiel 16. Se pretende que los y las estudiantes valoren, entre otros, las presuposiciones que refleja el texto acerca de los roles de hombres y mujeres.</w:t>
      </w:r>
    </w:p>
    <w:p w14:paraId="1AE3678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C542B4">
        <w:rPr>
          <w:rFonts w:ascii="Calibri" w:eastAsia="Times New Roman" w:hAnsi="Calibri" w:cs="Calibri"/>
          <w:b/>
          <w:bCs/>
          <w:color w:val="000000"/>
          <w:kern w:val="0"/>
          <w:lang w:eastAsia="es-CR"/>
          <w14:ligatures w14:val="none"/>
        </w:rPr>
        <w:t xml:space="preserve">d) Glosario: </w:t>
      </w:r>
      <w:r w:rsidRPr="00C542B4">
        <w:rPr>
          <w:rFonts w:ascii="Calibri" w:eastAsia="Times New Roman" w:hAnsi="Calibri" w:cs="Calibri"/>
          <w:color w:val="000000"/>
          <w:kern w:val="0"/>
          <w:lang w:eastAsia="es-CR"/>
          <w14:ligatures w14:val="none"/>
        </w:rPr>
        <w:t>El glosario se compone de una lista de concept</w:t>
      </w:r>
      <w:r w:rsidRPr="00C542B4">
        <w:rPr>
          <w:rFonts w:ascii="Calibri" w:eastAsia="Times New Roman" w:hAnsi="Calibri" w:cs="Calibri"/>
          <w:kern w:val="0"/>
          <w:lang w:eastAsia="es-CR"/>
          <w14:ligatures w14:val="none"/>
        </w:rPr>
        <w:t xml:space="preserve">os, en forma de catálogo, de una misma </w:t>
      </w:r>
      <w:r w:rsidRPr="00C542B4">
        <w:rPr>
          <w:rFonts w:ascii="Calibri" w:eastAsia="Times New Roman" w:hAnsi="Calibri" w:cs="Calibri"/>
          <w:kern w:val="0"/>
          <w:lang w:eastAsia="es-CR"/>
          <w14:ligatures w14:val="none"/>
        </w:rPr>
        <w:lastRenderedPageBreak/>
        <w:t>disciplina o campo de estudio que aparecen definidas, explicadas o comentadas. En este curso la actividad se desarrolla en forma grupal destacando 10 conceptos claves tomados de las lecturas de varias sesiones para el abordaje de temas tales como: contextualización sociológica de la sabiduría en Israel, características de la literatura sapiencial y elementos teológicos que aporta esta literatura.</w:t>
      </w:r>
    </w:p>
    <w:p w14:paraId="2107AA85"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C542B4">
        <w:rPr>
          <w:rFonts w:ascii="Calibri" w:eastAsia="Times New Roman" w:hAnsi="Calibri" w:cs="Arial"/>
          <w:b/>
          <w:bCs/>
          <w:kern w:val="0"/>
          <w:lang w:val="es-ES" w:eastAsia="es-CR"/>
          <w14:ligatures w14:val="none"/>
        </w:rPr>
        <w:t xml:space="preserve">e) Encuentro sincrónico virtual: </w:t>
      </w:r>
      <w:r w:rsidRPr="00C542B4">
        <w:rPr>
          <w:rFonts w:ascii="Calibri" w:eastAsia="Times New Roman" w:hAnsi="Calibri" w:cs="Arial"/>
          <w:kern w:val="0"/>
          <w:lang w:val="es-ES" w:eastAsia="es-CR"/>
          <w14:ligatures w14:val="none"/>
        </w:rPr>
        <w:t xml:space="preserve">Los encuentros sincrónicos virtuales en este curso tienen carácter formativo y no sumativo. En ellos la persona docente propiciará el diálogo y la aclaración de dudas, así como compartirá insumos sobre temas tales como: la literatura profética y los problemas histórico-críticos, la literatura profética en el </w:t>
      </w:r>
      <w:proofErr w:type="spellStart"/>
      <w:r w:rsidRPr="00C542B4">
        <w:rPr>
          <w:rFonts w:ascii="Calibri" w:eastAsia="Times New Roman" w:hAnsi="Calibri" w:cs="Arial"/>
          <w:kern w:val="0"/>
          <w:lang w:val="es-ES" w:eastAsia="es-CR"/>
          <w14:ligatures w14:val="none"/>
        </w:rPr>
        <w:t>pre-exilio</w:t>
      </w:r>
      <w:proofErr w:type="spellEnd"/>
      <w:r w:rsidRPr="00C542B4">
        <w:rPr>
          <w:rFonts w:ascii="Calibri" w:eastAsia="Times New Roman" w:hAnsi="Calibri" w:cs="Arial"/>
          <w:kern w:val="0"/>
          <w:lang w:val="es-ES" w:eastAsia="es-CR"/>
          <w14:ligatures w14:val="none"/>
        </w:rPr>
        <w:t xml:space="preserve">, durante el exilio y en el </w:t>
      </w:r>
      <w:proofErr w:type="spellStart"/>
      <w:r w:rsidRPr="00C542B4">
        <w:rPr>
          <w:rFonts w:ascii="Calibri" w:eastAsia="Times New Roman" w:hAnsi="Calibri" w:cs="Arial"/>
          <w:kern w:val="0"/>
          <w:lang w:val="es-ES" w:eastAsia="es-CR"/>
          <w14:ligatures w14:val="none"/>
        </w:rPr>
        <w:t>postexilio</w:t>
      </w:r>
      <w:proofErr w:type="spellEnd"/>
      <w:r w:rsidRPr="00C542B4">
        <w:rPr>
          <w:rFonts w:ascii="Calibri" w:eastAsia="Times New Roman" w:hAnsi="Calibri" w:cs="Arial"/>
          <w:kern w:val="0"/>
          <w:lang w:val="es-ES" w:eastAsia="es-CR"/>
          <w14:ligatures w14:val="none"/>
        </w:rPr>
        <w:t>, la literatura sapiencial y sus características, el libro de los salmos y las novelas postexílicas: Esther, Judith, Ruth y Tobit.</w:t>
      </w:r>
    </w:p>
    <w:p w14:paraId="3E256930"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C542B4">
        <w:rPr>
          <w:rFonts w:ascii="Calibri" w:eastAsia="Times New Roman" w:hAnsi="Calibri" w:cs="Calibri"/>
          <w:b/>
          <w:bCs/>
          <w:color w:val="000000"/>
          <w:kern w:val="0"/>
          <w:lang w:eastAsia="es-CR"/>
          <w14:ligatures w14:val="none"/>
        </w:rPr>
        <w:t xml:space="preserve">f) Reseña crítica de lectura: </w:t>
      </w:r>
      <w:r w:rsidRPr="00C542B4">
        <w:rPr>
          <w:rFonts w:ascii="Calibri" w:eastAsia="Times New Roman" w:hAnsi="Calibri" w:cs="Arial"/>
          <w:kern w:val="0"/>
          <w:lang w:val="es-ES_tradnl" w:eastAsia="es-CR"/>
          <w14:ligatures w14:val="none"/>
        </w:rPr>
        <w:t xml:space="preserve">La reseña crítica es un resumen argumentativo y analítico de las ideas expresadas en un documento literario. Se compone de tres partes claramente definidas: el resumen de las principales ideas de las personas autoras de la lectura analizada, el análisis y la contextualización. En este curso se solicitan cuatro reseñas con el fin de abordar desde las lecturas asignadas tópicos del curso tales como: profetas, libros proféticos y formación de los profetas posteriores, la justicia social en los profetas, géneros literarios en los salmos y elementos teológicos en los </w:t>
      </w:r>
      <w:bookmarkStart w:id="29" w:name="_Hlk118800387"/>
      <w:r w:rsidRPr="00C542B4">
        <w:rPr>
          <w:rFonts w:ascii="Calibri" w:eastAsia="Times New Roman" w:hAnsi="Calibri" w:cs="Arial"/>
          <w:kern w:val="0"/>
          <w:lang w:val="es-ES_tradnl" w:eastAsia="es-CR"/>
          <w14:ligatures w14:val="none"/>
        </w:rPr>
        <w:t>salmos.</w:t>
      </w:r>
      <w:bookmarkEnd w:id="29"/>
    </w:p>
    <w:p w14:paraId="3C412B1B"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C542B4">
        <w:rPr>
          <w:rFonts w:ascii="Calibri" w:eastAsia="Times New Roman" w:hAnsi="Calibri" w:cs="Arial"/>
          <w:b/>
          <w:bCs/>
          <w:color w:val="000000"/>
          <w:kern w:val="0"/>
          <w:lang w:val="es-ES" w:eastAsia="es-CR"/>
          <w14:ligatures w14:val="none"/>
        </w:rPr>
        <w:t xml:space="preserve">g) Festival de citas: </w:t>
      </w:r>
      <w:r w:rsidRPr="00C542B4">
        <w:rPr>
          <w:rFonts w:ascii="Calibri" w:eastAsia="Times New Roman" w:hAnsi="Calibri" w:cs="Arial"/>
          <w:color w:val="000000"/>
          <w:kern w:val="0"/>
          <w:lang w:val="es-ES" w:eastAsia="es-CR"/>
          <w14:ligatures w14:val="none"/>
        </w:rPr>
        <w:t>Un festival de citas es una estrategia pedagógica mediante la cual se escogen citas de un texto o textos en cuestión, se comparten con el resto de los compañeros y compañeras y estas pueden ser comentadas y/o analizadas</w:t>
      </w:r>
      <w:r w:rsidRPr="00C542B4">
        <w:rPr>
          <w:rFonts w:ascii="Calibri" w:eastAsia="Times New Roman" w:hAnsi="Calibri" w:cs="Arial"/>
          <w:kern w:val="0"/>
          <w:lang w:val="es-ES" w:eastAsia="es-CR"/>
          <w14:ligatures w14:val="none"/>
        </w:rPr>
        <w:t xml:space="preserve">. En el curso cada estudiante elegirá cuatro citas que considere ser representativas del impacto del exilio en la profecía bíblica para explicar su importancia, cómo aclara, ilustra o profundiza el tema asignado. </w:t>
      </w:r>
    </w:p>
    <w:p w14:paraId="2B1F8E64"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C542B4">
        <w:rPr>
          <w:rFonts w:ascii="Calibri" w:eastAsia="Times New Roman" w:hAnsi="Calibri" w:cs="Arial"/>
          <w:b/>
          <w:bCs/>
          <w:kern w:val="0"/>
          <w:lang w:val="es-ES" w:eastAsia="es-CR"/>
          <w14:ligatures w14:val="none"/>
        </w:rPr>
        <w:t xml:space="preserve">h) Autoevaluación: </w:t>
      </w:r>
      <w:r w:rsidRPr="00C542B4">
        <w:rPr>
          <w:rFonts w:ascii="Calibri" w:eastAsia="Times New Roman" w:hAnsi="Calibri" w:cs="Arial"/>
          <w:kern w:val="0"/>
          <w:lang w:val="es-ES" w:eastAsia="es-CR"/>
          <w14:ligatures w14:val="none"/>
        </w:rPr>
        <w:t xml:space="preserve">Al finalizar el curso cada persona estudiante tendrá la oportunidad de realizar una autoevaluación, con la cual podrá reflexionar sobre su participación, aprovechamiento y aprendizajes en el curso. Estará basada en los objetivos del curso, las actividades y los criterios de evaluación. Con ella se busca obtener su valoración del grado de aprovechamiento del curso según los objetivos y las actividades realizadas. </w:t>
      </w:r>
    </w:p>
    <w:p w14:paraId="74A6552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2C1E06FF"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sz w:val="12"/>
          <w:szCs w:val="12"/>
          <w:lang w:val="es-ES_tradnl" w:eastAsia="es-CR"/>
          <w14:ligatures w14:val="none"/>
        </w:rPr>
      </w:pPr>
    </w:p>
    <w:p w14:paraId="16FF3D48"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t xml:space="preserve">VII. Recursos didácticos </w:t>
      </w:r>
    </w:p>
    <w:p w14:paraId="58DEA20F"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FFC0E69"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33C1C0BD"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B0BF066"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colaborativas. Todos los materiales de lectura están disponibles en formato digital en la plataforma virtual.  </w:t>
      </w:r>
    </w:p>
    <w:p w14:paraId="04123573"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9993FB0"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172D24A6"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9E3A263"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c) Material audiovisual en algunas de las sesiones que se asigna para su observación con el fin de ampliar las temáticas. Observar este material es opcional.</w:t>
      </w:r>
    </w:p>
    <w:p w14:paraId="6CD97EA3"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EDC28C6"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 xml:space="preserve">d) En cada una de las sesiones en la plataforma virtual encontrará una ruta de aprendizaje con </w:t>
      </w:r>
      <w:r w:rsidRPr="00C542B4">
        <w:rPr>
          <w:rFonts w:ascii="Calibri" w:eastAsia="Times New Roman" w:hAnsi="Calibri" w:cs="Calibri"/>
          <w:color w:val="000000"/>
          <w:kern w:val="0"/>
          <w:lang w:val="es-ES" w:eastAsia="es-ES"/>
          <w14:ligatures w14:val="none"/>
        </w:rPr>
        <w:lastRenderedPageBreak/>
        <w:t xml:space="preserve">información tal como: los contenidos que estudiará, el material obligatorio y/o complementario, instrucciones detalladas para la elaboración/participación en la actividad asignada y la evaluación de </w:t>
      </w:r>
      <w:proofErr w:type="gramStart"/>
      <w:r w:rsidRPr="00C542B4">
        <w:rPr>
          <w:rFonts w:ascii="Calibri" w:eastAsia="Times New Roman" w:hAnsi="Calibri" w:cs="Calibri"/>
          <w:color w:val="000000"/>
          <w:kern w:val="0"/>
          <w:lang w:val="es-ES" w:eastAsia="es-ES"/>
          <w14:ligatures w14:val="none"/>
        </w:rPr>
        <w:t>la misma</w:t>
      </w:r>
      <w:proofErr w:type="gramEnd"/>
      <w:r w:rsidRPr="00C542B4">
        <w:rPr>
          <w:rFonts w:ascii="Calibri" w:eastAsia="Times New Roman" w:hAnsi="Calibri" w:cs="Calibri"/>
          <w:color w:val="000000"/>
          <w:kern w:val="0"/>
          <w:lang w:val="es-ES" w:eastAsia="es-ES"/>
          <w14:ligatures w14:val="none"/>
        </w:rPr>
        <w:t>.</w:t>
      </w:r>
    </w:p>
    <w:p w14:paraId="0F1533FC"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B780E5C"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 xml:space="preserve">e) En la plataforma virtual también dispondrá de guías generales que se encuentran en el material complementario de la sesión correspondiente para la participación en un foro, en un glosario, en un wiki y mediante la herramienta Big Blue </w:t>
      </w:r>
      <w:proofErr w:type="spellStart"/>
      <w:r w:rsidRPr="00C542B4">
        <w:rPr>
          <w:rFonts w:ascii="Calibri" w:eastAsia="Times New Roman" w:hAnsi="Calibri" w:cs="Calibri"/>
          <w:color w:val="000000"/>
          <w:kern w:val="0"/>
          <w:lang w:val="es-ES" w:eastAsia="es-ES"/>
          <w14:ligatures w14:val="none"/>
        </w:rPr>
        <w:t>Button</w:t>
      </w:r>
      <w:proofErr w:type="spellEnd"/>
      <w:r w:rsidRPr="00C542B4">
        <w:rPr>
          <w:rFonts w:ascii="Calibri" w:eastAsia="Times New Roman" w:hAnsi="Calibri" w:cs="Calibri"/>
          <w:color w:val="000000"/>
          <w:kern w:val="0"/>
          <w:lang w:val="es-ES" w:eastAsia="es-ES"/>
          <w14:ligatures w14:val="none"/>
        </w:rPr>
        <w:t xml:space="preserve"> en la plataforma Moodle; para la elaboración de una reseña crítica de lectura y un festival de citas; así como de guías para un ensayo reflexivo, para la síntesis final de grupo y para el glosario grupal que se encuentran en la sección de actividades de la sesión correspondiente.</w:t>
      </w:r>
    </w:p>
    <w:p w14:paraId="07CBA1AA"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A0599C0"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C542B4">
        <w:rPr>
          <w:rFonts w:ascii="Calibri" w:eastAsia="Times New Roman" w:hAnsi="Calibri" w:cs="Calibri"/>
          <w:color w:val="000000"/>
          <w:kern w:val="0"/>
          <w:lang w:val="es-ES" w:eastAsia="es-ES"/>
          <w14:ligatures w14:val="none"/>
        </w:rPr>
        <w:t xml:space="preserve">f) También puede disponer de las bases de datos, revistas en línea, repositorios y buscadores especializados a los cuales puede acceder mediante la Biblioteca Enrique </w:t>
      </w:r>
      <w:proofErr w:type="spellStart"/>
      <w:r w:rsidRPr="00C542B4">
        <w:rPr>
          <w:rFonts w:ascii="Calibri" w:eastAsia="Times New Roman" w:hAnsi="Calibri" w:cs="Calibri"/>
          <w:color w:val="000000"/>
          <w:kern w:val="0"/>
          <w:lang w:val="es-ES" w:eastAsia="es-ES"/>
          <w14:ligatures w14:val="none"/>
        </w:rPr>
        <w:t>Strachan</w:t>
      </w:r>
      <w:proofErr w:type="spellEnd"/>
      <w:r w:rsidRPr="00C542B4">
        <w:rPr>
          <w:rFonts w:ascii="Calibri" w:eastAsia="Times New Roman" w:hAnsi="Calibri" w:cs="Calibri"/>
          <w:color w:val="000000"/>
          <w:kern w:val="0"/>
          <w:lang w:val="es-ES" w:eastAsia="es-ES"/>
          <w14:ligatures w14:val="none"/>
        </w:rPr>
        <w:t xml:space="preserve"> (</w:t>
      </w:r>
      <w:hyperlink r:id="rId180" w:history="1">
        <w:r w:rsidRPr="00C542B4">
          <w:rPr>
            <w:rFonts w:ascii="Calibri" w:eastAsia="Times New Roman" w:hAnsi="Calibri" w:cs="Calibri"/>
            <w:color w:val="0563C1"/>
            <w:kern w:val="0"/>
            <w:u w:val="single"/>
            <w:lang w:val="es-ES" w:eastAsia="es-ES"/>
            <w14:ligatures w14:val="none"/>
          </w:rPr>
          <w:t>https://www.ubl.ac.cr/biblioteca</w:t>
        </w:r>
      </w:hyperlink>
      <w:r w:rsidRPr="00C542B4">
        <w:rPr>
          <w:rFonts w:ascii="Calibri" w:eastAsia="Times New Roman" w:hAnsi="Calibri" w:cs="Calibri"/>
          <w:color w:val="000000"/>
          <w:kern w:val="0"/>
          <w:lang w:val="es-ES" w:eastAsia="es-ES"/>
          <w14:ligatures w14:val="none"/>
        </w:rPr>
        <w:t>), así como consultar el Portal de Revistas de la UBL (</w:t>
      </w:r>
      <w:hyperlink r:id="rId181" w:history="1">
        <w:r w:rsidRPr="00C542B4">
          <w:rPr>
            <w:rFonts w:ascii="Calibri" w:eastAsia="Times New Roman" w:hAnsi="Calibri" w:cs="Calibri"/>
            <w:color w:val="0563C1"/>
            <w:kern w:val="0"/>
            <w:u w:val="single"/>
            <w:lang w:val="es-ES" w:eastAsia="es-ES"/>
            <w14:ligatures w14:val="none"/>
          </w:rPr>
          <w:t>http://revistas.ubl.ac.cr/</w:t>
        </w:r>
      </w:hyperlink>
      <w:r w:rsidRPr="00C542B4">
        <w:rPr>
          <w:rFonts w:ascii="Calibri" w:eastAsia="Times New Roman" w:hAnsi="Calibri" w:cs="Calibri"/>
          <w:color w:val="000000"/>
          <w:kern w:val="0"/>
          <w:lang w:val="es-ES" w:eastAsia="es-ES"/>
          <w14:ligatures w14:val="none"/>
        </w:rPr>
        <w:t>). A través del correo de la biblioteca (</w:t>
      </w:r>
      <w:hyperlink r:id="rId182" w:history="1">
        <w:r w:rsidRPr="00C542B4">
          <w:rPr>
            <w:rFonts w:ascii="Calibri" w:eastAsia="Times New Roman" w:hAnsi="Calibri" w:cs="Calibri"/>
            <w:color w:val="0563C1"/>
            <w:kern w:val="0"/>
            <w:u w:val="single"/>
            <w:lang w:val="es-ES" w:eastAsia="es-ES"/>
            <w14:ligatures w14:val="none"/>
          </w:rPr>
          <w:t>biblioteca@ubl.ac.cr</w:t>
        </w:r>
      </w:hyperlink>
      <w:r w:rsidRPr="00C542B4">
        <w:rPr>
          <w:rFonts w:ascii="Calibri" w:eastAsia="Times New Roman" w:hAnsi="Calibri" w:cs="Calibri"/>
          <w:color w:val="000000"/>
          <w:kern w:val="0"/>
          <w:lang w:val="es-ES" w:eastAsia="es-ES"/>
          <w14:ligatures w14:val="none"/>
        </w:rPr>
        <w:t>) puede solicitar recursos que se encuentren en la colección física.</w:t>
      </w:r>
      <w:r w:rsidRPr="00C542B4">
        <w:rPr>
          <w:rFonts w:ascii="Calibri" w:eastAsia="Times New Roman" w:hAnsi="Calibri" w:cs="Calibri"/>
          <w:color w:val="000000"/>
          <w:kern w:val="0"/>
          <w:sz w:val="20"/>
          <w:szCs w:val="20"/>
          <w:lang w:val="es-ES" w:eastAsia="es-ES"/>
          <w14:ligatures w14:val="none"/>
        </w:rPr>
        <w:t xml:space="preserve"> </w:t>
      </w:r>
    </w:p>
    <w:p w14:paraId="33E82DEC"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6D368209" w14:textId="30F99C9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C542B4">
        <w:rPr>
          <w:rFonts w:ascii="Calibri" w:eastAsia="Times New Roman" w:hAnsi="Calibri" w:cs="Calibri"/>
          <w:color w:val="000000"/>
          <w:kern w:val="0"/>
          <w:lang w:val="es-ES" w:eastAsia="es-ES"/>
          <w14:ligatures w14:val="none"/>
        </w:rPr>
        <w:t>g)</w:t>
      </w:r>
      <w:r w:rsidRPr="00C542B4">
        <w:rPr>
          <w:rFonts w:ascii="Calibri" w:eastAsia="Times New Roman" w:hAnsi="Calibri" w:cs="Calibri"/>
          <w:bCs/>
          <w:kern w:val="0"/>
          <w:lang w:val="es-ES_tradnl" w:eastAsia="es-CR"/>
          <w14:ligatures w14:val="none"/>
        </w:rPr>
        <w:t xml:space="preserve"> 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C542B4">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183" w:history="1">
        <w:r w:rsidRPr="00C542B4">
          <w:rPr>
            <w:rFonts w:ascii="Calibri" w:eastAsia="Times New Roman" w:hAnsi="Calibri" w:cs="Calibri"/>
            <w:bCs/>
            <w:color w:val="0563C1"/>
            <w:kern w:val="0"/>
            <w:u w:val="single"/>
            <w:lang w:val="es-ES_tradnl" w:eastAsia="es-CR"/>
            <w14:ligatures w14:val="none"/>
          </w:rPr>
          <w:t>https://campus.ubl.ac.cr/course/index.php?categoryid=186</w:t>
        </w:r>
      </w:hyperlink>
    </w:p>
    <w:p w14:paraId="5F278229"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09B95882" w14:textId="77777777" w:rsidR="00C542B4" w:rsidRPr="00C542B4" w:rsidRDefault="00C542B4" w:rsidP="00C542B4">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C542B4">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26851F23" w14:textId="77777777" w:rsidR="00C542B4" w:rsidRPr="00C542B4" w:rsidRDefault="00C542B4" w:rsidP="00C542B4">
      <w:pPr>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br w:type="page"/>
      </w:r>
    </w:p>
    <w:p w14:paraId="5C08461F"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lastRenderedPageBreak/>
        <w:t xml:space="preserve">VIII. Cronograma de trabajo </w:t>
      </w:r>
    </w:p>
    <w:p w14:paraId="44770D3F" w14:textId="77777777" w:rsidR="00C542B4" w:rsidRPr="00C542B4" w:rsidRDefault="00C542B4" w:rsidP="00C542B4">
      <w:pPr>
        <w:spacing w:after="0" w:line="240" w:lineRule="auto"/>
        <w:ind w:left="-720"/>
        <w:contextualSpacing/>
        <w:rPr>
          <w:rFonts w:ascii="Calibri" w:eastAsia="Calibri" w:hAnsi="Calibri" w:cs="Calibri"/>
          <w:b/>
          <w:bCs/>
          <w:color w:val="000000"/>
          <w:kern w:val="0"/>
          <w:sz w:val="24"/>
          <w:szCs w:val="24"/>
          <w14:ligatures w14:val="non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402"/>
      </w:tblGrid>
      <w:tr w:rsidR="00C542B4" w:rsidRPr="00C542B4" w14:paraId="1A9A403A" w14:textId="77777777" w:rsidTr="4C9C2619">
        <w:trPr>
          <w:trHeight w:val="561"/>
          <w:jc w:val="center"/>
        </w:trPr>
        <w:tc>
          <w:tcPr>
            <w:tcW w:w="1271" w:type="dxa"/>
            <w:vMerge w:val="restart"/>
            <w:vAlign w:val="center"/>
          </w:tcPr>
          <w:p w14:paraId="2643F8A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color w:val="000000"/>
                <w:kern w:val="0"/>
                <w:sz w:val="24"/>
                <w:szCs w:val="24"/>
                <w:lang w:val="es-ES_tradnl" w:eastAsia="es-CR"/>
                <w14:ligatures w14:val="none"/>
              </w:rPr>
            </w:pPr>
            <w:r w:rsidRPr="00C542B4">
              <w:rPr>
                <w:rFonts w:ascii="Calibri" w:eastAsia="Times New Roman" w:hAnsi="Calibri" w:cs="Calibri"/>
                <w:b/>
                <w:color w:val="000000"/>
                <w:kern w:val="0"/>
                <w:sz w:val="24"/>
                <w:szCs w:val="24"/>
                <w:lang w:val="es-ES_tradnl" w:eastAsia="es-CR"/>
                <w14:ligatures w14:val="none"/>
              </w:rPr>
              <w:t>Sesión (semana)</w:t>
            </w:r>
          </w:p>
        </w:tc>
        <w:tc>
          <w:tcPr>
            <w:tcW w:w="2410" w:type="dxa"/>
            <w:vMerge w:val="restart"/>
            <w:vAlign w:val="center"/>
          </w:tcPr>
          <w:p w14:paraId="18A65B6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color w:val="000000"/>
                <w:kern w:val="0"/>
                <w:sz w:val="24"/>
                <w:szCs w:val="24"/>
                <w:lang w:val="es-ES_tradnl" w:eastAsia="es-CR"/>
                <w14:ligatures w14:val="none"/>
              </w:rPr>
            </w:pPr>
            <w:r w:rsidRPr="00C542B4">
              <w:rPr>
                <w:rFonts w:ascii="Calibri" w:eastAsia="Times New Roman" w:hAnsi="Calibri" w:cs="Calibri"/>
                <w:b/>
                <w:color w:val="000000"/>
                <w:kern w:val="0"/>
                <w:sz w:val="24"/>
                <w:szCs w:val="24"/>
                <w:lang w:val="es-ES_tradnl" w:eastAsia="es-CR"/>
                <w14:ligatures w14:val="none"/>
              </w:rPr>
              <w:t>Contenidos temáticos</w:t>
            </w:r>
          </w:p>
        </w:tc>
        <w:tc>
          <w:tcPr>
            <w:tcW w:w="6237" w:type="dxa"/>
            <w:gridSpan w:val="2"/>
          </w:tcPr>
          <w:p w14:paraId="410C941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color w:val="000000"/>
                <w:kern w:val="0"/>
                <w:sz w:val="24"/>
                <w:szCs w:val="24"/>
                <w:lang w:val="es-ES_tradnl" w:eastAsia="es-CR"/>
                <w14:ligatures w14:val="none"/>
              </w:rPr>
            </w:pPr>
            <w:r w:rsidRPr="00C542B4">
              <w:rPr>
                <w:rFonts w:ascii="Calibri" w:eastAsia="Times New Roman" w:hAnsi="Calibri" w:cs="Calibri"/>
                <w:b/>
                <w:color w:val="000000"/>
                <w:kern w:val="0"/>
                <w:sz w:val="24"/>
                <w:szCs w:val="24"/>
                <w:lang w:val="es-ES_tradnl" w:eastAsia="es-CR"/>
                <w14:ligatures w14:val="none"/>
              </w:rPr>
              <w:t>Actividades de enseñanza-aprendizaje</w:t>
            </w:r>
          </w:p>
        </w:tc>
      </w:tr>
      <w:tr w:rsidR="00C542B4" w:rsidRPr="00C542B4" w14:paraId="1DEB3253" w14:textId="77777777" w:rsidTr="4C9C2619">
        <w:trPr>
          <w:trHeight w:val="555"/>
          <w:jc w:val="center"/>
        </w:trPr>
        <w:tc>
          <w:tcPr>
            <w:tcW w:w="1271" w:type="dxa"/>
            <w:vMerge/>
          </w:tcPr>
          <w:p w14:paraId="2A9EACF1"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tc>
        <w:tc>
          <w:tcPr>
            <w:tcW w:w="2410" w:type="dxa"/>
            <w:vMerge/>
          </w:tcPr>
          <w:p w14:paraId="245D520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color w:val="000000"/>
                <w:kern w:val="0"/>
                <w:lang w:val="es-ES_tradnl" w:eastAsia="es-CR"/>
                <w14:ligatures w14:val="none"/>
              </w:rPr>
            </w:pPr>
          </w:p>
        </w:tc>
        <w:tc>
          <w:tcPr>
            <w:tcW w:w="2835" w:type="dxa"/>
          </w:tcPr>
          <w:p w14:paraId="2B216E8D" w14:textId="77777777" w:rsidR="00C542B4" w:rsidRPr="00C542B4" w:rsidRDefault="00C542B4" w:rsidP="00C542B4">
            <w:pPr>
              <w:widowControl w:val="0"/>
              <w:overflowPunct w:val="0"/>
              <w:autoSpaceDE w:val="0"/>
              <w:autoSpaceDN w:val="0"/>
              <w:adjustRightInd w:val="0"/>
              <w:spacing w:before="120" w:after="0" w:line="240" w:lineRule="auto"/>
              <w:ind w:left="73"/>
              <w:jc w:val="center"/>
              <w:rPr>
                <w:rFonts w:ascii="Calibri" w:eastAsia="Times New Roman" w:hAnsi="Calibri" w:cs="Calibri"/>
                <w:b/>
                <w:color w:val="000000"/>
                <w:kern w:val="0"/>
                <w:sz w:val="24"/>
                <w:szCs w:val="24"/>
                <w:lang w:val="es-ES_tradnl" w:eastAsia="es-CR"/>
                <w14:ligatures w14:val="none"/>
              </w:rPr>
            </w:pPr>
            <w:r w:rsidRPr="00C542B4">
              <w:rPr>
                <w:rFonts w:ascii="Calibri" w:eastAsia="Times New Roman" w:hAnsi="Calibri" w:cs="Calibri"/>
                <w:b/>
                <w:color w:val="000000"/>
                <w:kern w:val="0"/>
                <w:sz w:val="24"/>
                <w:szCs w:val="24"/>
                <w:lang w:val="es-ES_tradnl" w:eastAsia="es-CR"/>
                <w14:ligatures w14:val="none"/>
              </w:rPr>
              <w:t>Recursos didácticos</w:t>
            </w:r>
          </w:p>
        </w:tc>
        <w:tc>
          <w:tcPr>
            <w:tcW w:w="3402" w:type="dxa"/>
          </w:tcPr>
          <w:p w14:paraId="3C9AE90B" w14:textId="77777777" w:rsidR="00C542B4" w:rsidRPr="00C542B4" w:rsidRDefault="00C542B4" w:rsidP="00C542B4">
            <w:pPr>
              <w:widowControl w:val="0"/>
              <w:overflowPunct w:val="0"/>
              <w:autoSpaceDE w:val="0"/>
              <w:autoSpaceDN w:val="0"/>
              <w:adjustRightInd w:val="0"/>
              <w:spacing w:before="120" w:after="0" w:line="240" w:lineRule="auto"/>
              <w:ind w:left="73"/>
              <w:jc w:val="center"/>
              <w:rPr>
                <w:rFonts w:ascii="Calibri" w:eastAsia="Times New Roman" w:hAnsi="Calibri" w:cs="Calibri"/>
                <w:b/>
                <w:color w:val="000000"/>
                <w:kern w:val="0"/>
                <w:sz w:val="24"/>
                <w:szCs w:val="24"/>
                <w:lang w:val="es-ES_tradnl" w:eastAsia="es-CR"/>
                <w14:ligatures w14:val="none"/>
              </w:rPr>
            </w:pPr>
            <w:r w:rsidRPr="00C542B4">
              <w:rPr>
                <w:rFonts w:ascii="Calibri" w:eastAsia="Times New Roman" w:hAnsi="Calibri" w:cs="Calibri"/>
                <w:b/>
                <w:color w:val="000000"/>
                <w:kern w:val="0"/>
                <w:sz w:val="24"/>
                <w:szCs w:val="24"/>
                <w:lang w:val="es-ES_tradnl" w:eastAsia="es-CR"/>
                <w14:ligatures w14:val="none"/>
              </w:rPr>
              <w:t>Actividades de aprendizaje</w:t>
            </w:r>
          </w:p>
        </w:tc>
      </w:tr>
      <w:tr w:rsidR="00C542B4" w:rsidRPr="00C542B4" w14:paraId="7F0DF4B7" w14:textId="77777777" w:rsidTr="4C9C2619">
        <w:trPr>
          <w:jc w:val="center"/>
        </w:trPr>
        <w:tc>
          <w:tcPr>
            <w:tcW w:w="1271" w:type="dxa"/>
          </w:tcPr>
          <w:p w14:paraId="62F6602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w:t>
            </w:r>
          </w:p>
          <w:p w14:paraId="20D2EB3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6968847"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67F6E9D3"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1.1 Introducción a los problemas histórico-críticos de la literatura profética</w:t>
            </w:r>
          </w:p>
          <w:p w14:paraId="06754249"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5B7C9CF2"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569DD31E"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p>
          <w:p w14:paraId="7FB9129E"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7A0C26BD"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3F371DDE"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p w14:paraId="4081953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645D7A3" w14:textId="77777777" w:rsidR="00C542B4" w:rsidRPr="00C542B4" w:rsidRDefault="00C542B4" w:rsidP="00C542B4">
            <w:pPr>
              <w:spacing w:after="0" w:line="240" w:lineRule="auto"/>
              <w:rPr>
                <w:rFonts w:ascii="Times New Roman" w:eastAsia="Times New Roman" w:hAnsi="Times New Roman" w:cs="Times New Roman"/>
                <w:kern w:val="0"/>
                <w:sz w:val="24"/>
                <w:szCs w:val="20"/>
                <w:lang w:val="es-ES_tradnl" w:eastAsia="es-CR"/>
                <w14:ligatures w14:val="none"/>
              </w:rPr>
            </w:pPr>
          </w:p>
          <w:p w14:paraId="006E69B3"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p w14:paraId="26D9B792"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p w14:paraId="096410B8"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5EE2160E"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Presentación del curso en un encuentro sincrónico virtual (formativo).</w:t>
            </w:r>
          </w:p>
          <w:p w14:paraId="227509EA"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social CAFETERÍA.</w:t>
            </w:r>
          </w:p>
          <w:p w14:paraId="7F0A2AAC"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Revisión del sílabo y participación en el foro de dudas.</w:t>
            </w:r>
          </w:p>
          <w:p w14:paraId="4414126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Participación en el foro temático: Ejercicio diagnóstico: ¿Qué es la profecía? </w:t>
            </w:r>
          </w:p>
          <w:p w14:paraId="5113C8DF"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tc>
      </w:tr>
      <w:tr w:rsidR="00C542B4" w:rsidRPr="00C542B4" w14:paraId="0B57C6A9" w14:textId="77777777" w:rsidTr="4C9C2619">
        <w:trPr>
          <w:jc w:val="center"/>
        </w:trPr>
        <w:tc>
          <w:tcPr>
            <w:tcW w:w="1271" w:type="dxa"/>
          </w:tcPr>
          <w:p w14:paraId="55720B4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2</w:t>
            </w:r>
          </w:p>
          <w:p w14:paraId="1327E4A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C7AF104"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137D2250"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C542B4">
              <w:rPr>
                <w:rFonts w:ascii="Calibri" w:eastAsia="Times New Roman" w:hAnsi="Calibri" w:cs="Calibri"/>
                <w:kern w:val="0"/>
                <w:lang w:val="es-ES_tradnl" w:eastAsia="es-CR"/>
                <w14:ligatures w14:val="none"/>
              </w:rPr>
              <w:t>1.1 Introducción a los problemas histórico-críticos de la literatura profética</w:t>
            </w:r>
          </w:p>
          <w:p w14:paraId="429A1447"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2C08D0FE"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69467B02"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color w:val="000000"/>
                <w:kern w:val="0"/>
                <w:sz w:val="20"/>
                <w:szCs w:val="20"/>
                <w:lang w:val="es-ES" w:eastAsia="es-CR"/>
                <w14:ligatures w14:val="none"/>
              </w:rPr>
            </w:pPr>
            <w:proofErr w:type="spellStart"/>
            <w:r w:rsidRPr="4C9C2619">
              <w:rPr>
                <w:rFonts w:ascii="Calibri" w:eastAsia="Times New Roman" w:hAnsi="Calibri" w:cs="Calibri"/>
                <w:kern w:val="0"/>
                <w:lang w:val="es-ES" w:eastAsia="es-CR"/>
                <w14:ligatures w14:val="none"/>
              </w:rPr>
              <w:t>Barriocanal</w:t>
            </w:r>
            <w:proofErr w:type="spellEnd"/>
            <w:r w:rsidRPr="4C9C2619">
              <w:rPr>
                <w:rFonts w:ascii="Calibri" w:eastAsia="Times New Roman" w:hAnsi="Calibri" w:cs="Calibri"/>
                <w:kern w:val="0"/>
                <w:lang w:val="es-ES" w:eastAsia="es-CR"/>
                <w14:ligatures w14:val="none"/>
              </w:rPr>
              <w:t xml:space="preserve"> Gómez, José Luis; Francisco Ramis </w:t>
            </w:r>
            <w:proofErr w:type="spellStart"/>
            <w:r w:rsidRPr="4C9C2619">
              <w:rPr>
                <w:rFonts w:ascii="Calibri" w:eastAsia="Times New Roman" w:hAnsi="Calibri" w:cs="Calibri"/>
                <w:kern w:val="0"/>
                <w:lang w:val="es-ES" w:eastAsia="es-CR"/>
                <w14:ligatures w14:val="none"/>
              </w:rPr>
              <w:t>Darder</w:t>
            </w:r>
            <w:proofErr w:type="spellEnd"/>
            <w:r w:rsidRPr="4C9C2619">
              <w:rPr>
                <w:rFonts w:ascii="Calibri" w:eastAsia="Times New Roman" w:hAnsi="Calibri" w:cs="Calibri"/>
                <w:kern w:val="0"/>
                <w:lang w:val="es-ES" w:eastAsia="es-CR"/>
                <w14:ligatures w14:val="none"/>
              </w:rPr>
              <w:t xml:space="preserve"> y Santiago </w:t>
            </w:r>
            <w:proofErr w:type="spellStart"/>
            <w:r w:rsidRPr="4C9C2619">
              <w:rPr>
                <w:rFonts w:ascii="Calibri" w:eastAsia="Times New Roman" w:hAnsi="Calibri" w:cs="Calibri"/>
                <w:kern w:val="0"/>
                <w:lang w:val="es-ES" w:eastAsia="es-CR"/>
                <w14:ligatures w14:val="none"/>
              </w:rPr>
              <w:t>Ausín</w:t>
            </w:r>
            <w:proofErr w:type="spellEnd"/>
            <w:r w:rsidRPr="4C9C2619">
              <w:rPr>
                <w:rFonts w:ascii="Calibri" w:eastAsia="Times New Roman" w:hAnsi="Calibri" w:cs="Calibri"/>
                <w:kern w:val="0"/>
                <w:lang w:val="es-ES" w:eastAsia="es-CR"/>
                <w14:ligatures w14:val="none"/>
              </w:rPr>
              <w:t xml:space="preserve"> Olmos. “Profetas, libros e historia”. En </w:t>
            </w:r>
            <w:r w:rsidRPr="4C9C2619">
              <w:rPr>
                <w:rFonts w:ascii="Calibri" w:eastAsia="Times New Roman" w:hAnsi="Calibri" w:cs="Calibri"/>
                <w:i/>
                <w:iCs/>
                <w:kern w:val="0"/>
                <w:lang w:val="es-ES" w:eastAsia="es-CR"/>
                <w14:ligatures w14:val="none"/>
              </w:rPr>
              <w:t>Libros proféticos</w:t>
            </w:r>
            <w:r w:rsidRPr="4C9C2619">
              <w:rPr>
                <w:rFonts w:ascii="Calibri" w:eastAsia="Times New Roman" w:hAnsi="Calibri" w:cs="Calibri"/>
                <w:kern w:val="0"/>
                <w:lang w:val="es-ES" w:eastAsia="es-CR"/>
                <w14:ligatures w14:val="none"/>
              </w:rPr>
              <w:t>, 19-39. Estella: Verbo Divino, 2023.</w:t>
            </w:r>
          </w:p>
          <w:p w14:paraId="4FE9FAA8"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p w14:paraId="5E41CD54" w14:textId="77777777" w:rsidR="00C542B4" w:rsidRPr="00C542B4" w:rsidRDefault="00C542B4" w:rsidP="4C9C2619">
            <w:pPr>
              <w:spacing w:after="0" w:line="240" w:lineRule="auto"/>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Schmid, Konrad. “La formación de los profetas posteriores”. En </w:t>
            </w:r>
            <w:r w:rsidRPr="4C9C2619">
              <w:rPr>
                <w:rFonts w:ascii="Calibri" w:eastAsia="Times New Roman" w:hAnsi="Calibri" w:cs="Calibri"/>
                <w:i/>
                <w:iCs/>
                <w:color w:val="000000"/>
                <w:kern w:val="0"/>
                <w:lang w:val="es-ES" w:eastAsia="es-CR"/>
                <w14:ligatures w14:val="none"/>
              </w:rPr>
              <w:t xml:space="preserve">Introducción al Antiguo Testamento, </w:t>
            </w:r>
            <w:r w:rsidRPr="4C9C2619">
              <w:rPr>
                <w:rFonts w:ascii="Calibri" w:eastAsia="Times New Roman" w:hAnsi="Calibri" w:cs="Calibri"/>
                <w:color w:val="000000"/>
                <w:kern w:val="0"/>
                <w:lang w:val="es-ES" w:eastAsia="es-CR"/>
                <w14:ligatures w14:val="none"/>
              </w:rPr>
              <w:t xml:space="preserve">editado por Thomas </w:t>
            </w:r>
            <w:proofErr w:type="spellStart"/>
            <w:r w:rsidRPr="4C9C2619">
              <w:rPr>
                <w:rFonts w:ascii="Calibri" w:eastAsia="Times New Roman" w:hAnsi="Calibri" w:cs="Calibri"/>
                <w:color w:val="000000"/>
                <w:kern w:val="0"/>
                <w:lang w:val="es-ES" w:eastAsia="es-CR"/>
                <w14:ligatures w14:val="none"/>
              </w:rPr>
              <w:t>Romer</w:t>
            </w:r>
            <w:proofErr w:type="spellEnd"/>
            <w:r w:rsidRPr="4C9C2619">
              <w:rPr>
                <w:rFonts w:ascii="Calibri" w:eastAsia="Times New Roman" w:hAnsi="Calibri" w:cs="Calibri"/>
                <w:color w:val="000000"/>
                <w:kern w:val="0"/>
                <w:lang w:val="es-ES" w:eastAsia="es-CR"/>
                <w14:ligatures w14:val="none"/>
              </w:rPr>
              <w:t xml:space="preserve">, Jean-Daniel Macchi y </w:t>
            </w:r>
            <w:proofErr w:type="spellStart"/>
            <w:r w:rsidRPr="4C9C2619">
              <w:rPr>
                <w:rFonts w:ascii="Calibri" w:eastAsia="Times New Roman" w:hAnsi="Calibri" w:cs="Calibri"/>
                <w:color w:val="000000"/>
                <w:kern w:val="0"/>
                <w:lang w:val="es-ES" w:eastAsia="es-CR"/>
                <w14:ligatures w14:val="none"/>
              </w:rPr>
              <w:t>Christophe</w:t>
            </w:r>
            <w:proofErr w:type="spellEnd"/>
            <w:r w:rsidRPr="4C9C2619">
              <w:rPr>
                <w:rFonts w:ascii="Calibri" w:eastAsia="Times New Roman" w:hAnsi="Calibri" w:cs="Calibri"/>
                <w:color w:val="000000"/>
                <w:kern w:val="0"/>
                <w:lang w:val="es-ES" w:eastAsia="es-CR"/>
                <w14:ligatures w14:val="none"/>
              </w:rPr>
              <w:t xml:space="preserve"> </w:t>
            </w:r>
            <w:proofErr w:type="spellStart"/>
            <w:r w:rsidRPr="4C9C2619">
              <w:rPr>
                <w:rFonts w:ascii="Calibri" w:eastAsia="Times New Roman" w:hAnsi="Calibri" w:cs="Calibri"/>
                <w:color w:val="000000"/>
                <w:kern w:val="0"/>
                <w:lang w:val="es-ES" w:eastAsia="es-CR"/>
                <w14:ligatures w14:val="none"/>
              </w:rPr>
              <w:t>Nihan</w:t>
            </w:r>
            <w:proofErr w:type="spellEnd"/>
            <w:r w:rsidRPr="4C9C2619">
              <w:rPr>
                <w:rFonts w:ascii="Calibri" w:eastAsia="Times New Roman" w:hAnsi="Calibri" w:cs="Calibri"/>
                <w:color w:val="000000"/>
                <w:kern w:val="0"/>
                <w:lang w:val="es-ES" w:eastAsia="es-CR"/>
                <w14:ligatures w14:val="none"/>
              </w:rPr>
              <w:t xml:space="preserve">, 318-328. Bilbao: </w:t>
            </w:r>
            <w:proofErr w:type="spellStart"/>
            <w:r w:rsidRPr="4C9C2619">
              <w:rPr>
                <w:rFonts w:ascii="Calibri" w:eastAsia="Times New Roman" w:hAnsi="Calibri" w:cs="Calibri"/>
                <w:color w:val="000000"/>
                <w:kern w:val="0"/>
                <w:lang w:val="es-ES" w:eastAsia="es-CR"/>
                <w14:ligatures w14:val="none"/>
              </w:rPr>
              <w:t>Desclee</w:t>
            </w:r>
            <w:proofErr w:type="spellEnd"/>
            <w:r w:rsidRPr="4C9C2619">
              <w:rPr>
                <w:rFonts w:ascii="Calibri" w:eastAsia="Times New Roman" w:hAnsi="Calibri" w:cs="Calibri"/>
                <w:color w:val="000000"/>
                <w:kern w:val="0"/>
                <w:lang w:val="es-ES" w:eastAsia="es-CR"/>
                <w14:ligatures w14:val="none"/>
              </w:rPr>
              <w:t xml:space="preserve"> de Brouwer, 2008. </w:t>
            </w:r>
            <w:r w:rsidRPr="4C9C2619">
              <w:rPr>
                <w:rFonts w:ascii="Calibri" w:eastAsia="Times New Roman" w:hAnsi="Calibri" w:cs="Calibri"/>
                <w:color w:val="0070C0"/>
                <w:kern w:val="0"/>
                <w:lang w:val="es-ES" w:eastAsia="es-CR"/>
                <w14:ligatures w14:val="none"/>
              </w:rPr>
              <w:t>(clásico, última impresión)</w:t>
            </w:r>
          </w:p>
          <w:p w14:paraId="1D6F089A"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7A9C3CD"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Material complementario</w:t>
            </w:r>
          </w:p>
          <w:p w14:paraId="56C970BA"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p>
          <w:p w14:paraId="08F686EF" w14:textId="77777777" w:rsidR="00C542B4" w:rsidRPr="00C542B4" w:rsidRDefault="00C542B4" w:rsidP="4C9C2619">
            <w:pPr>
              <w:spacing w:after="0" w:line="240" w:lineRule="auto"/>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Barriocanal</w:t>
            </w:r>
            <w:proofErr w:type="spellEnd"/>
            <w:r w:rsidRPr="4C9C2619">
              <w:rPr>
                <w:rFonts w:ascii="Calibri" w:eastAsia="Times New Roman" w:hAnsi="Calibri" w:cs="Calibri"/>
                <w:kern w:val="0"/>
                <w:lang w:val="es-ES" w:eastAsia="es-CR"/>
                <w14:ligatures w14:val="none"/>
              </w:rPr>
              <w:t xml:space="preserve"> Gómez, José Luis. “Del profetismo de Mari al profetismo ideal bíblico”. </w:t>
            </w:r>
            <w:r w:rsidRPr="4C9C2619">
              <w:rPr>
                <w:rFonts w:ascii="Calibri" w:eastAsia="Times New Roman" w:hAnsi="Calibri" w:cs="Calibri"/>
                <w:i/>
                <w:iCs/>
                <w:kern w:val="0"/>
                <w:lang w:val="es-ES" w:eastAsia="es-CR"/>
                <w14:ligatures w14:val="none"/>
              </w:rPr>
              <w:t>Reseña Bíblica</w:t>
            </w:r>
            <w:r w:rsidRPr="4C9C2619">
              <w:rPr>
                <w:rFonts w:ascii="Calibri" w:eastAsia="Times New Roman" w:hAnsi="Calibri" w:cs="Calibri"/>
                <w:kern w:val="0"/>
                <w:lang w:val="es-ES" w:eastAsia="es-CR"/>
                <w14:ligatures w14:val="none"/>
              </w:rPr>
              <w:t>, n. 93 (2017): 15-22.</w:t>
            </w:r>
          </w:p>
          <w:p w14:paraId="74A33FDC"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p>
          <w:p w14:paraId="35D5CE3D"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lastRenderedPageBreak/>
              <w:t>Guía para la elaboración de una reseña crítica de lectura</w:t>
            </w:r>
          </w:p>
          <w:p w14:paraId="6655C29D"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p>
          <w:p w14:paraId="0317F3AE"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r w:rsidRPr="00C542B4">
              <w:rPr>
                <w:rFonts w:ascii="Calibri" w:eastAsia="Times New Roman" w:hAnsi="Calibri" w:cs="Calibri"/>
                <w:color w:val="0070C0"/>
                <w:kern w:val="0"/>
                <w:lang w:val="es-ES_tradnl" w:eastAsia="es-CR"/>
                <w14:ligatures w14:val="none"/>
              </w:rPr>
              <w:t>Guía para la participación en un foro en la plataforma Moodle</w:t>
            </w:r>
          </w:p>
          <w:p w14:paraId="48EC0A3D"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2251B090"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lastRenderedPageBreak/>
              <w:t>Realizar las lecturas de la sesión.</w:t>
            </w:r>
          </w:p>
          <w:p w14:paraId="32EF4C1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Elaboración de una reseña crítica de las lecturas.</w:t>
            </w:r>
          </w:p>
          <w:p w14:paraId="21470F02"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grupal: Descripción de la profecía y la literatura profética.</w:t>
            </w:r>
          </w:p>
          <w:p w14:paraId="3E1794D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Aporte docente en el foro temático grupal.</w:t>
            </w:r>
          </w:p>
          <w:p w14:paraId="29B6097F"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Reflexión plenaria en el foro temático grupal.</w:t>
            </w:r>
          </w:p>
          <w:p w14:paraId="47971D9C"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2D7A2640" w14:textId="77777777" w:rsidTr="4C9C2619">
        <w:trPr>
          <w:jc w:val="center"/>
        </w:trPr>
        <w:tc>
          <w:tcPr>
            <w:tcW w:w="1271" w:type="dxa"/>
          </w:tcPr>
          <w:p w14:paraId="416D04D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3</w:t>
            </w:r>
          </w:p>
          <w:p w14:paraId="0E5F252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3208DAC"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42E7F725"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1.2 Papel socio-religioso del discurso profético</w:t>
            </w:r>
          </w:p>
          <w:p w14:paraId="5801236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3EB8F666"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58D16CD0"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7548458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Sicre, José Luis. “La evolución socioeconómica de Israel”. En </w:t>
            </w:r>
            <w:r w:rsidRPr="00C542B4">
              <w:rPr>
                <w:rFonts w:ascii="Calibri" w:eastAsia="Times New Roman" w:hAnsi="Calibri" w:cs="Calibri"/>
                <w:i/>
                <w:color w:val="000000"/>
                <w:kern w:val="0"/>
                <w:lang w:val="es-ES_tradnl" w:eastAsia="es-CR"/>
                <w14:ligatures w14:val="none"/>
              </w:rPr>
              <w:t xml:space="preserve">Con los pobres de la tierra: la justicia social en los profetas de Israel, </w:t>
            </w:r>
            <w:r w:rsidRPr="00C542B4">
              <w:rPr>
                <w:rFonts w:ascii="Calibri" w:eastAsia="Times New Roman" w:hAnsi="Calibri" w:cs="Calibri"/>
                <w:color w:val="000000"/>
                <w:kern w:val="0"/>
                <w:lang w:val="es-ES_tradnl" w:eastAsia="es-CR"/>
                <w14:ligatures w14:val="none"/>
              </w:rPr>
              <w:t>48-83.</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 xml:space="preserve">Madrid: Cristiandad, 1984. </w:t>
            </w:r>
            <w:r w:rsidRPr="00C542B4">
              <w:rPr>
                <w:rFonts w:ascii="Calibri" w:eastAsia="Times New Roman" w:hAnsi="Calibri" w:cs="Calibri"/>
                <w:color w:val="0070C0"/>
                <w:kern w:val="0"/>
                <w:lang w:val="es-ES_tradnl" w:eastAsia="es-CR"/>
                <w14:ligatures w14:val="none"/>
              </w:rPr>
              <w:t>(clásico, última impresión)</w:t>
            </w:r>
          </w:p>
          <w:p w14:paraId="709FF6F9"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3D2B1CE"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Material complementario</w:t>
            </w:r>
          </w:p>
          <w:p w14:paraId="04FC15B7"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p>
          <w:p w14:paraId="55D9B3D8"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 xml:space="preserve">García Recio, Jesús. “La legitimación profética del rey”. </w:t>
            </w:r>
            <w:r w:rsidRPr="00C542B4">
              <w:rPr>
                <w:rFonts w:ascii="Calibri" w:eastAsia="Times New Roman" w:hAnsi="Calibri" w:cs="Calibri"/>
                <w:i/>
                <w:kern w:val="0"/>
                <w:lang w:val="es-ES_tradnl" w:eastAsia="es-CR"/>
                <w14:ligatures w14:val="none"/>
              </w:rPr>
              <w:t>Reseña Bíblica</w:t>
            </w:r>
            <w:r w:rsidRPr="00C542B4">
              <w:rPr>
                <w:rFonts w:ascii="Calibri" w:eastAsia="Times New Roman" w:hAnsi="Calibri" w:cs="Calibri"/>
                <w:kern w:val="0"/>
                <w:lang w:val="es-ES_tradnl" w:eastAsia="es-CR"/>
                <w14:ligatures w14:val="none"/>
              </w:rPr>
              <w:t>, n. 93 (2017): 49-58.</w:t>
            </w:r>
          </w:p>
          <w:p w14:paraId="1BD53F4F"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p>
          <w:p w14:paraId="5EEA8B5F"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Guía para la elaboración de una reseña crítica de lectura</w:t>
            </w:r>
          </w:p>
          <w:p w14:paraId="66F194E6"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p>
          <w:p w14:paraId="5CEA3024"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Guía para la participación en un foro en la plataforma Moodle</w:t>
            </w:r>
          </w:p>
          <w:p w14:paraId="1F45C732"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52F79524"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 lectura de la sesión.</w:t>
            </w:r>
          </w:p>
          <w:p w14:paraId="7F2166F5"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Elaboración de una reseña crítica de la lectura.</w:t>
            </w:r>
          </w:p>
          <w:p w14:paraId="3F77BFE3"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Ejercicio de estudio de Amós 5,1-17, donde se realizará una discusión a partir de la lectura y habrá retroalimentación y aporte docente.</w:t>
            </w:r>
          </w:p>
          <w:p w14:paraId="70093D1B"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036FAA0B" w14:textId="77777777" w:rsidTr="4C9C2619">
        <w:trPr>
          <w:jc w:val="center"/>
        </w:trPr>
        <w:tc>
          <w:tcPr>
            <w:tcW w:w="1271" w:type="dxa"/>
          </w:tcPr>
          <w:p w14:paraId="421A3F6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4</w:t>
            </w:r>
          </w:p>
          <w:p w14:paraId="03FEA68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B46B87E"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4320AFDC"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1.2 Papel socio-religioso del discurso profético</w:t>
            </w:r>
          </w:p>
        </w:tc>
        <w:tc>
          <w:tcPr>
            <w:tcW w:w="2835" w:type="dxa"/>
          </w:tcPr>
          <w:p w14:paraId="58076EF3"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30384CE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color w:val="000000"/>
                <w:kern w:val="0"/>
                <w:sz w:val="20"/>
                <w:szCs w:val="20"/>
                <w:lang w:val="es-ES_tradnl" w:eastAsia="es-CR"/>
                <w14:ligatures w14:val="none"/>
              </w:rPr>
            </w:pPr>
            <w:r w:rsidRPr="00C542B4">
              <w:rPr>
                <w:rFonts w:ascii="Calibri" w:eastAsia="Times New Roman" w:hAnsi="Calibri" w:cs="Calibri"/>
                <w:bCs/>
                <w:color w:val="000000"/>
                <w:kern w:val="0"/>
                <w:lang w:val="es-ES_tradnl" w:eastAsia="es-CR"/>
                <w14:ligatures w14:val="none"/>
              </w:rPr>
              <w:t>Carbajosa Ignacio, Joaquín González Echegaray y Francisco Varo. “El templo de Jerusalén y la ciudad santa”. En La Biblia en su entorno, 277-292. Estella: Verbo Divino, 2023.</w:t>
            </w:r>
            <w:r w:rsidRPr="00C542B4">
              <w:rPr>
                <w:rFonts w:ascii="Calibri" w:eastAsia="Times New Roman" w:hAnsi="Calibri" w:cs="Calibri"/>
                <w:color w:val="000000"/>
                <w:kern w:val="0"/>
                <w:sz w:val="20"/>
                <w:szCs w:val="20"/>
                <w:lang w:val="es-ES_tradnl" w:eastAsia="es-CR"/>
                <w14:ligatures w14:val="none"/>
              </w:rPr>
              <w:t xml:space="preserve"> </w:t>
            </w:r>
          </w:p>
          <w:p w14:paraId="7AEBE21B"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val="es-ES_tradnl" w:eastAsia="es-CR"/>
                <w14:ligatures w14:val="none"/>
              </w:rPr>
            </w:pPr>
          </w:p>
          <w:p w14:paraId="464E26FC" w14:textId="77777777" w:rsidR="00C542B4" w:rsidRPr="00C542B4" w:rsidRDefault="00C542B4" w:rsidP="4C9C2619">
            <w:pPr>
              <w:spacing w:after="0" w:line="240" w:lineRule="auto"/>
              <w:rPr>
                <w:rFonts w:ascii="Calibri" w:eastAsia="Times New Roman" w:hAnsi="Calibri" w:cs="Calibri"/>
                <w:color w:val="000000"/>
                <w:kern w:val="0"/>
                <w:lang w:val="es-ES" w:eastAsia="es-CR"/>
                <w14:ligatures w14:val="none"/>
              </w:rPr>
            </w:pPr>
            <w:proofErr w:type="spellStart"/>
            <w:r w:rsidRPr="4C9C2619">
              <w:rPr>
                <w:rFonts w:ascii="Calibri" w:eastAsia="Times New Roman" w:hAnsi="Calibri" w:cs="Calibri"/>
                <w:color w:val="000000"/>
                <w:kern w:val="0"/>
                <w:lang w:val="es-ES" w:eastAsia="es-CR"/>
                <w14:ligatures w14:val="none"/>
              </w:rPr>
              <w:t>Weems</w:t>
            </w:r>
            <w:proofErr w:type="spellEnd"/>
            <w:r w:rsidRPr="4C9C2619">
              <w:rPr>
                <w:rFonts w:ascii="Calibri" w:eastAsia="Times New Roman" w:hAnsi="Calibri" w:cs="Calibri"/>
                <w:color w:val="000000"/>
                <w:kern w:val="0"/>
                <w:lang w:val="es-ES" w:eastAsia="es-CR"/>
                <w14:ligatures w14:val="none"/>
              </w:rPr>
              <w:t xml:space="preserve">, </w:t>
            </w:r>
            <w:proofErr w:type="spellStart"/>
            <w:r w:rsidRPr="4C9C2619">
              <w:rPr>
                <w:rFonts w:ascii="Calibri" w:eastAsia="Times New Roman" w:hAnsi="Calibri" w:cs="Calibri"/>
                <w:color w:val="000000"/>
                <w:kern w:val="0"/>
                <w:lang w:val="es-ES" w:eastAsia="es-CR"/>
                <w14:ligatures w14:val="none"/>
              </w:rPr>
              <w:t>Renita</w:t>
            </w:r>
            <w:proofErr w:type="spellEnd"/>
            <w:r w:rsidRPr="4C9C2619">
              <w:rPr>
                <w:rFonts w:ascii="Calibri" w:eastAsia="Times New Roman" w:hAnsi="Calibri" w:cs="Calibri"/>
                <w:color w:val="000000"/>
                <w:kern w:val="0"/>
                <w:lang w:val="es-ES" w:eastAsia="es-CR"/>
                <w14:ligatures w14:val="none"/>
              </w:rPr>
              <w:t xml:space="preserve">. “Recordaré mi alianza contigo. El mundo del idilio y la violación”. En </w:t>
            </w:r>
            <w:r w:rsidRPr="4C9C2619">
              <w:rPr>
                <w:rFonts w:ascii="Calibri" w:eastAsia="Times New Roman" w:hAnsi="Calibri" w:cs="Calibri"/>
                <w:i/>
                <w:iCs/>
                <w:color w:val="000000"/>
                <w:kern w:val="0"/>
                <w:lang w:val="es-ES" w:eastAsia="es-CR"/>
                <w14:ligatures w14:val="none"/>
              </w:rPr>
              <w:t xml:space="preserve">Amor maltratado: matrimonio, sexo y violencia en los profetas hebreos, </w:t>
            </w:r>
            <w:r w:rsidRPr="4C9C2619">
              <w:rPr>
                <w:rFonts w:ascii="Calibri" w:eastAsia="Times New Roman" w:hAnsi="Calibri" w:cs="Calibri"/>
                <w:color w:val="000000"/>
                <w:kern w:val="0"/>
                <w:lang w:val="es-ES" w:eastAsia="es-CR"/>
                <w14:ligatures w14:val="none"/>
              </w:rPr>
              <w:t>105-144.</w:t>
            </w:r>
            <w:r w:rsidRPr="4C9C2619">
              <w:rPr>
                <w:rFonts w:ascii="Calibri" w:eastAsia="Times New Roman" w:hAnsi="Calibri" w:cs="Calibri"/>
                <w:i/>
                <w:iCs/>
                <w:color w:val="000000"/>
                <w:kern w:val="0"/>
                <w:lang w:val="es-ES" w:eastAsia="es-CR"/>
                <w14:ligatures w14:val="none"/>
              </w:rPr>
              <w:t xml:space="preserve"> </w:t>
            </w:r>
            <w:r w:rsidRPr="4C9C2619">
              <w:rPr>
                <w:rFonts w:ascii="Calibri" w:eastAsia="Times New Roman" w:hAnsi="Calibri" w:cs="Calibri"/>
                <w:color w:val="000000"/>
                <w:kern w:val="0"/>
                <w:lang w:val="es-ES" w:eastAsia="es-CR"/>
                <w14:ligatures w14:val="none"/>
              </w:rPr>
              <w:t xml:space="preserve">Bilbao: </w:t>
            </w:r>
            <w:proofErr w:type="spellStart"/>
            <w:r w:rsidRPr="4C9C2619">
              <w:rPr>
                <w:rFonts w:ascii="Calibri" w:eastAsia="Times New Roman" w:hAnsi="Calibri" w:cs="Calibri"/>
                <w:color w:val="000000"/>
                <w:kern w:val="0"/>
                <w:lang w:val="es-ES" w:eastAsia="es-CR"/>
                <w14:ligatures w14:val="none"/>
              </w:rPr>
              <w:t>Desclee</w:t>
            </w:r>
            <w:proofErr w:type="spellEnd"/>
            <w:r w:rsidRPr="4C9C2619">
              <w:rPr>
                <w:rFonts w:ascii="Calibri" w:eastAsia="Times New Roman" w:hAnsi="Calibri" w:cs="Calibri"/>
                <w:color w:val="000000"/>
                <w:kern w:val="0"/>
                <w:lang w:val="es-ES" w:eastAsia="es-CR"/>
                <w14:ligatures w14:val="none"/>
              </w:rPr>
              <w:t xml:space="preserve"> de </w:t>
            </w:r>
            <w:r w:rsidRPr="4C9C2619">
              <w:rPr>
                <w:rFonts w:ascii="Calibri" w:eastAsia="Times New Roman" w:hAnsi="Calibri" w:cs="Calibri"/>
                <w:color w:val="000000"/>
                <w:kern w:val="0"/>
                <w:lang w:val="es-ES" w:eastAsia="es-CR"/>
                <w14:ligatures w14:val="none"/>
              </w:rPr>
              <w:lastRenderedPageBreak/>
              <w:t xml:space="preserve">Brouwer, 1997.  </w:t>
            </w:r>
            <w:r w:rsidRPr="4C9C2619">
              <w:rPr>
                <w:rFonts w:ascii="Calibri" w:eastAsia="Times New Roman" w:hAnsi="Calibri" w:cs="Calibri"/>
                <w:color w:val="0070C0"/>
                <w:kern w:val="0"/>
                <w:lang w:val="es-ES" w:eastAsia="es-CR"/>
                <w14:ligatures w14:val="none"/>
              </w:rPr>
              <w:t>(clásico, última impresión)</w:t>
            </w:r>
          </w:p>
          <w:p w14:paraId="3F3A711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010FCCF"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66BF644B"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57777BF1" w14:textId="77777777" w:rsidR="00C542B4" w:rsidRPr="00C542B4" w:rsidRDefault="00C542B4" w:rsidP="00C542B4">
            <w:pPr>
              <w:spacing w:after="0" w:line="240" w:lineRule="auto"/>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p w14:paraId="1DDABF91"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6BF3F08B"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lastRenderedPageBreak/>
              <w:t>Realizar las lecturas de la sesión.</w:t>
            </w:r>
          </w:p>
          <w:p w14:paraId="086000A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Elaboración de un ensayo reflexivo sobre acercamiento de género.</w:t>
            </w:r>
          </w:p>
          <w:p w14:paraId="6605DFC1"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Ejercicio de estudio de Ezequiel 16 mediante el ensayo reflexivo.</w:t>
            </w:r>
          </w:p>
          <w:p w14:paraId="0A65EE32"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grupal: Conclusiones e implicaciones desde las lecturas.</w:t>
            </w:r>
          </w:p>
        </w:tc>
      </w:tr>
      <w:tr w:rsidR="00C542B4" w:rsidRPr="00C542B4" w14:paraId="30310650" w14:textId="77777777" w:rsidTr="4C9C2619">
        <w:trPr>
          <w:jc w:val="center"/>
        </w:trPr>
        <w:tc>
          <w:tcPr>
            <w:tcW w:w="1271" w:type="dxa"/>
          </w:tcPr>
          <w:p w14:paraId="6DDB0C1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5</w:t>
            </w:r>
          </w:p>
          <w:p w14:paraId="076C7D2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809A85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558CF344"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1.3 Los libros proféticos: </w:t>
            </w:r>
            <w:proofErr w:type="spellStart"/>
            <w:r w:rsidRPr="4C9C2619">
              <w:rPr>
                <w:rFonts w:ascii="Calibri" w:eastAsia="Times New Roman" w:hAnsi="Calibri" w:cs="Calibri"/>
                <w:kern w:val="0"/>
                <w:lang w:val="es-ES" w:eastAsia="es-CR"/>
                <w14:ligatures w14:val="none"/>
              </w:rPr>
              <w:t>pre-exílicos</w:t>
            </w:r>
            <w:proofErr w:type="spellEnd"/>
            <w:r w:rsidRPr="4C9C2619">
              <w:rPr>
                <w:rFonts w:ascii="Calibri" w:eastAsia="Times New Roman" w:hAnsi="Calibri" w:cs="Calibri"/>
                <w:kern w:val="0"/>
                <w:lang w:val="es-ES" w:eastAsia="es-CR"/>
                <w14:ligatures w14:val="none"/>
              </w:rPr>
              <w:t xml:space="preserve">, exílicos, </w:t>
            </w:r>
            <w:proofErr w:type="spellStart"/>
            <w:r w:rsidRPr="4C9C2619">
              <w:rPr>
                <w:rFonts w:ascii="Calibri" w:eastAsia="Times New Roman" w:hAnsi="Calibri" w:cs="Calibri"/>
                <w:kern w:val="0"/>
                <w:lang w:val="es-ES" w:eastAsia="es-CR"/>
                <w14:ligatures w14:val="none"/>
              </w:rPr>
              <w:t>post-exílicos</w:t>
            </w:r>
            <w:proofErr w:type="spellEnd"/>
          </w:p>
          <w:p w14:paraId="1B5D5EBB"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6807FC68" w14:textId="77777777" w:rsidR="00C542B4" w:rsidRPr="00C542B4" w:rsidRDefault="00C542B4" w:rsidP="00C542B4">
            <w:pPr>
              <w:spacing w:after="0" w:line="240" w:lineRule="auto"/>
              <w:rPr>
                <w:rFonts w:ascii="Calibri" w:eastAsia="Times New Roman" w:hAnsi="Calibri" w:cs="Calibri"/>
                <w:bCs/>
                <w:kern w:val="0"/>
                <w:lang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156AFEC5" w14:textId="77777777" w:rsidR="00C542B4" w:rsidRPr="00C542B4" w:rsidRDefault="00C542B4" w:rsidP="00C542B4">
            <w:pPr>
              <w:spacing w:after="0" w:line="240" w:lineRule="auto"/>
              <w:rPr>
                <w:rFonts w:ascii="Calibri" w:eastAsia="Times New Roman" w:hAnsi="Calibri" w:cs="Calibri"/>
                <w:bCs/>
                <w:kern w:val="0"/>
                <w:lang w:eastAsia="es-CR"/>
                <w14:ligatures w14:val="none"/>
              </w:rPr>
            </w:pPr>
          </w:p>
          <w:p w14:paraId="44BC8F00" w14:textId="77777777" w:rsidR="00C542B4" w:rsidRPr="00C542B4" w:rsidRDefault="00C542B4" w:rsidP="00C542B4">
            <w:pPr>
              <w:spacing w:after="0" w:line="240" w:lineRule="auto"/>
              <w:rPr>
                <w:rFonts w:ascii="Calibri" w:eastAsia="Times New Roman" w:hAnsi="Calibri" w:cs="Calibri"/>
                <w:bCs/>
                <w:kern w:val="0"/>
                <w:lang w:eastAsia="es-CR"/>
                <w14:ligatures w14:val="none"/>
              </w:rPr>
            </w:pPr>
            <w:r w:rsidRPr="00C542B4">
              <w:rPr>
                <w:rFonts w:ascii="Calibri" w:eastAsia="Times New Roman" w:hAnsi="Calibri" w:cs="Calibri"/>
                <w:bCs/>
                <w:kern w:val="0"/>
                <w:lang w:eastAsia="es-CR"/>
                <w14:ligatures w14:val="none"/>
              </w:rPr>
              <w:t>Carbajosa Ignacio, Joaquín González Echegaray y Francisco Varo. “La restauración de Judá bajo los persas”. En La Biblia en su entorno, 313-330. Estella: Verbo Divino, 2023.</w:t>
            </w:r>
          </w:p>
          <w:p w14:paraId="10C6DF20" w14:textId="77777777" w:rsidR="00C542B4" w:rsidRPr="00C542B4" w:rsidRDefault="00C542B4" w:rsidP="00C542B4">
            <w:pPr>
              <w:spacing w:after="0" w:line="240" w:lineRule="auto"/>
              <w:rPr>
                <w:rFonts w:ascii="Calibri" w:eastAsia="Times New Roman" w:hAnsi="Calibri" w:cs="Calibri"/>
                <w:bCs/>
                <w:kern w:val="0"/>
                <w:lang w:eastAsia="es-CR"/>
                <w14:ligatures w14:val="none"/>
              </w:rPr>
            </w:pPr>
          </w:p>
          <w:p w14:paraId="386A8639"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69AC0A01"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0808A547"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elaboración de un festival de citas</w:t>
            </w:r>
          </w:p>
          <w:p w14:paraId="4EB95142" w14:textId="77777777" w:rsidR="00C542B4" w:rsidRPr="00C542B4" w:rsidRDefault="00C542B4" w:rsidP="00C542B4">
            <w:pPr>
              <w:spacing w:after="0" w:line="240" w:lineRule="auto"/>
              <w:rPr>
                <w:rFonts w:ascii="Calibri" w:eastAsia="Times New Roman" w:hAnsi="Calibri" w:cs="Calibri"/>
                <w:bCs/>
                <w:color w:val="000000"/>
                <w:kern w:val="0"/>
                <w:shd w:val="clear" w:color="auto" w:fill="FFFFFF"/>
                <w:lang w:eastAsia="es-CR"/>
                <w14:ligatures w14:val="none"/>
              </w:rPr>
            </w:pPr>
          </w:p>
        </w:tc>
        <w:tc>
          <w:tcPr>
            <w:tcW w:w="3402" w:type="dxa"/>
          </w:tcPr>
          <w:p w14:paraId="366F413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las lecturas de la sesión.</w:t>
            </w:r>
          </w:p>
          <w:p w14:paraId="6525DEE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la elaboración de un festival de citas.</w:t>
            </w:r>
          </w:p>
          <w:p w14:paraId="78E62547"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Aporte docente en el festival de citas.</w:t>
            </w:r>
          </w:p>
        </w:tc>
      </w:tr>
      <w:tr w:rsidR="00C542B4" w:rsidRPr="00C542B4" w14:paraId="74091270" w14:textId="77777777" w:rsidTr="4C9C2619">
        <w:trPr>
          <w:jc w:val="center"/>
        </w:trPr>
        <w:tc>
          <w:tcPr>
            <w:tcW w:w="1271" w:type="dxa"/>
          </w:tcPr>
          <w:p w14:paraId="63CBE5B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6</w:t>
            </w:r>
          </w:p>
          <w:p w14:paraId="2039196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498FDEBB"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1: La literatura profética</w:t>
            </w:r>
          </w:p>
          <w:p w14:paraId="2F6077C3"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1.3 Los libros proféticos: </w:t>
            </w:r>
            <w:proofErr w:type="spellStart"/>
            <w:r w:rsidRPr="4C9C2619">
              <w:rPr>
                <w:rFonts w:ascii="Calibri" w:eastAsia="Times New Roman" w:hAnsi="Calibri" w:cs="Calibri"/>
                <w:kern w:val="0"/>
                <w:lang w:val="es-ES" w:eastAsia="es-CR"/>
                <w14:ligatures w14:val="none"/>
              </w:rPr>
              <w:t>pre-exílicos</w:t>
            </w:r>
            <w:proofErr w:type="spellEnd"/>
            <w:r w:rsidRPr="4C9C2619">
              <w:rPr>
                <w:rFonts w:ascii="Calibri" w:eastAsia="Times New Roman" w:hAnsi="Calibri" w:cs="Calibri"/>
                <w:kern w:val="0"/>
                <w:lang w:val="es-ES" w:eastAsia="es-CR"/>
                <w14:ligatures w14:val="none"/>
              </w:rPr>
              <w:t xml:space="preserve">, exílicos, </w:t>
            </w:r>
            <w:proofErr w:type="spellStart"/>
            <w:r w:rsidRPr="4C9C2619">
              <w:rPr>
                <w:rFonts w:ascii="Calibri" w:eastAsia="Times New Roman" w:hAnsi="Calibri" w:cs="Calibri"/>
                <w:kern w:val="0"/>
                <w:lang w:val="es-ES" w:eastAsia="es-CR"/>
                <w14:ligatures w14:val="none"/>
              </w:rPr>
              <w:t>post-exílicos</w:t>
            </w:r>
            <w:proofErr w:type="spellEnd"/>
          </w:p>
          <w:p w14:paraId="22DF46CA"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6AAB69C7"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4D05F28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7836DD57"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color w:val="000000"/>
                <w:kern w:val="0"/>
                <w:sz w:val="20"/>
                <w:szCs w:val="20"/>
                <w:lang w:val="es-ES" w:eastAsia="es-CR"/>
                <w14:ligatures w14:val="none"/>
              </w:rPr>
            </w:pPr>
            <w:proofErr w:type="spellStart"/>
            <w:r w:rsidRPr="4C9C2619">
              <w:rPr>
                <w:rFonts w:ascii="Calibri" w:eastAsia="Times New Roman" w:hAnsi="Calibri" w:cs="Calibri"/>
                <w:kern w:val="0"/>
                <w:lang w:val="es-ES" w:eastAsia="es-CR"/>
                <w14:ligatures w14:val="none"/>
              </w:rPr>
              <w:t>Barriocanal</w:t>
            </w:r>
            <w:proofErr w:type="spellEnd"/>
            <w:r w:rsidRPr="4C9C2619">
              <w:rPr>
                <w:rFonts w:ascii="Calibri" w:eastAsia="Times New Roman" w:hAnsi="Calibri" w:cs="Calibri"/>
                <w:kern w:val="0"/>
                <w:lang w:val="es-ES" w:eastAsia="es-CR"/>
                <w14:ligatures w14:val="none"/>
              </w:rPr>
              <w:t xml:space="preserve"> Gómez, José Luis; Francisco Ramis </w:t>
            </w:r>
            <w:proofErr w:type="spellStart"/>
            <w:r w:rsidRPr="4C9C2619">
              <w:rPr>
                <w:rFonts w:ascii="Calibri" w:eastAsia="Times New Roman" w:hAnsi="Calibri" w:cs="Calibri"/>
                <w:kern w:val="0"/>
                <w:lang w:val="es-ES" w:eastAsia="es-CR"/>
                <w14:ligatures w14:val="none"/>
              </w:rPr>
              <w:t>Darder</w:t>
            </w:r>
            <w:proofErr w:type="spellEnd"/>
            <w:r w:rsidRPr="4C9C2619">
              <w:rPr>
                <w:rFonts w:ascii="Calibri" w:eastAsia="Times New Roman" w:hAnsi="Calibri" w:cs="Calibri"/>
                <w:kern w:val="0"/>
                <w:lang w:val="es-ES" w:eastAsia="es-CR"/>
                <w14:ligatures w14:val="none"/>
              </w:rPr>
              <w:t xml:space="preserve"> y Santiago </w:t>
            </w:r>
            <w:proofErr w:type="spellStart"/>
            <w:r w:rsidRPr="4C9C2619">
              <w:rPr>
                <w:rFonts w:ascii="Calibri" w:eastAsia="Times New Roman" w:hAnsi="Calibri" w:cs="Calibri"/>
                <w:kern w:val="0"/>
                <w:lang w:val="es-ES" w:eastAsia="es-CR"/>
                <w14:ligatures w14:val="none"/>
              </w:rPr>
              <w:t>Ausín</w:t>
            </w:r>
            <w:proofErr w:type="spellEnd"/>
            <w:r w:rsidRPr="4C9C2619">
              <w:rPr>
                <w:rFonts w:ascii="Calibri" w:eastAsia="Times New Roman" w:hAnsi="Calibri" w:cs="Calibri"/>
                <w:kern w:val="0"/>
                <w:lang w:val="es-ES" w:eastAsia="es-CR"/>
                <w14:ligatures w14:val="none"/>
              </w:rPr>
              <w:t xml:space="preserve"> Olmos. “El libro de Ezequiel”. En </w:t>
            </w:r>
            <w:r w:rsidRPr="4C9C2619">
              <w:rPr>
                <w:rFonts w:ascii="Calibri" w:eastAsia="Times New Roman" w:hAnsi="Calibri" w:cs="Calibri"/>
                <w:i/>
                <w:iCs/>
                <w:kern w:val="0"/>
                <w:lang w:val="es-ES" w:eastAsia="es-CR"/>
                <w14:ligatures w14:val="none"/>
              </w:rPr>
              <w:t>Libros proféticos</w:t>
            </w:r>
            <w:r w:rsidRPr="4C9C2619">
              <w:rPr>
                <w:rFonts w:ascii="Calibri" w:eastAsia="Times New Roman" w:hAnsi="Calibri" w:cs="Calibri"/>
                <w:kern w:val="0"/>
                <w:lang w:val="es-ES" w:eastAsia="es-CR"/>
                <w14:ligatures w14:val="none"/>
              </w:rPr>
              <w:t>, 283-363. Estella: Verbo Divino, 2023.</w:t>
            </w:r>
            <w:r w:rsidRPr="4C9C2619">
              <w:rPr>
                <w:rFonts w:ascii="Calibri" w:eastAsia="Times New Roman" w:hAnsi="Calibri" w:cs="Calibri"/>
                <w:color w:val="000000"/>
                <w:kern w:val="0"/>
                <w:sz w:val="20"/>
                <w:szCs w:val="20"/>
                <w:lang w:val="es-ES" w:eastAsia="es-CR"/>
                <w14:ligatures w14:val="none"/>
              </w:rPr>
              <w:t xml:space="preserve"> </w:t>
            </w:r>
          </w:p>
          <w:p w14:paraId="6BD655C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color w:val="000000"/>
                <w:kern w:val="0"/>
                <w:sz w:val="20"/>
                <w:szCs w:val="2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18A69BC7" w14:textId="77777777" w:rsidR="00C542B4" w:rsidRPr="00C542B4" w:rsidRDefault="00C542B4" w:rsidP="00C542B4">
            <w:pPr>
              <w:spacing w:after="0" w:line="240" w:lineRule="auto"/>
              <w:rPr>
                <w:rFonts w:ascii="Calibri" w:eastAsia="Times New Roman" w:hAnsi="Calibri" w:cs="Calibri"/>
                <w:color w:val="FF0000"/>
                <w:kern w:val="0"/>
                <w:shd w:val="clear" w:color="auto" w:fill="FFFFFF"/>
                <w:lang w:eastAsia="es-CR"/>
                <w14:ligatures w14:val="none"/>
              </w:rPr>
            </w:pPr>
          </w:p>
          <w:p w14:paraId="4AB2CFF9" w14:textId="77777777" w:rsidR="00C542B4" w:rsidRPr="00C542B4" w:rsidRDefault="00C542B4" w:rsidP="00C542B4">
            <w:pPr>
              <w:spacing w:after="0" w:line="240" w:lineRule="auto"/>
              <w:rPr>
                <w:rFonts w:ascii="Calibri" w:eastAsia="Times New Roman" w:hAnsi="Calibri" w:cs="Calibri"/>
                <w:color w:val="0070C0"/>
                <w:kern w:val="0"/>
                <w:shd w:val="clear" w:color="auto" w:fill="FFFFFF"/>
                <w:lang w:eastAsia="es-CR"/>
                <w14:ligatures w14:val="none"/>
              </w:rPr>
            </w:pPr>
            <w:r w:rsidRPr="00C542B4">
              <w:rPr>
                <w:rFonts w:ascii="Calibri" w:eastAsia="Times New Roman" w:hAnsi="Calibri" w:cs="Calibri"/>
                <w:color w:val="0070C0"/>
                <w:kern w:val="0"/>
                <w:shd w:val="clear" w:color="auto" w:fill="FFFFFF"/>
                <w:lang w:eastAsia="es-CR"/>
                <w14:ligatures w14:val="none"/>
              </w:rPr>
              <w:t>Guía para la participación en un foro en la plataforma Moodle</w:t>
            </w:r>
          </w:p>
          <w:p w14:paraId="48E16384" w14:textId="77777777" w:rsidR="00C542B4" w:rsidRPr="00C542B4" w:rsidRDefault="00C542B4" w:rsidP="00C542B4">
            <w:pPr>
              <w:spacing w:after="0" w:line="240" w:lineRule="auto"/>
              <w:rPr>
                <w:rFonts w:ascii="Calibri" w:eastAsia="Times New Roman" w:hAnsi="Calibri" w:cs="Calibri"/>
                <w:color w:val="0070C0"/>
                <w:kern w:val="0"/>
                <w:shd w:val="clear" w:color="auto" w:fill="FFFFFF"/>
                <w:lang w:eastAsia="es-CR"/>
                <w14:ligatures w14:val="none"/>
              </w:rPr>
            </w:pPr>
          </w:p>
          <w:p w14:paraId="09B3938D" w14:textId="77777777" w:rsidR="00C542B4" w:rsidRPr="00C542B4" w:rsidRDefault="00C542B4" w:rsidP="00C542B4">
            <w:pPr>
              <w:spacing w:after="0" w:line="240" w:lineRule="auto"/>
              <w:rPr>
                <w:rFonts w:ascii="Calibri" w:eastAsia="Times New Roman" w:hAnsi="Calibri" w:cs="Calibri"/>
                <w:color w:val="0070C0"/>
                <w:kern w:val="0"/>
                <w:shd w:val="clear" w:color="auto" w:fill="FFFFFF"/>
                <w:lang w:eastAsia="es-CR"/>
                <w14:ligatures w14:val="none"/>
              </w:rPr>
            </w:pPr>
            <w:r w:rsidRPr="00C542B4">
              <w:rPr>
                <w:rFonts w:ascii="Calibri" w:eastAsia="Times New Roman" w:hAnsi="Calibri" w:cs="Calibri"/>
                <w:color w:val="0070C0"/>
                <w:kern w:val="0"/>
                <w:shd w:val="clear" w:color="auto" w:fill="FFFFFF"/>
                <w:lang w:eastAsia="es-CR"/>
                <w14:ligatures w14:val="none"/>
              </w:rPr>
              <w:t xml:space="preserve">Guía para la participación mediante la herramienta Big Blue </w:t>
            </w:r>
            <w:proofErr w:type="spellStart"/>
            <w:r w:rsidRPr="00C542B4">
              <w:rPr>
                <w:rFonts w:ascii="Calibri" w:eastAsia="Times New Roman" w:hAnsi="Calibri" w:cs="Calibri"/>
                <w:color w:val="0070C0"/>
                <w:kern w:val="0"/>
                <w:shd w:val="clear" w:color="auto" w:fill="FFFFFF"/>
                <w:lang w:eastAsia="es-CR"/>
                <w14:ligatures w14:val="none"/>
              </w:rPr>
              <w:t>Button</w:t>
            </w:r>
            <w:proofErr w:type="spellEnd"/>
            <w:r w:rsidRPr="00C542B4">
              <w:rPr>
                <w:rFonts w:ascii="Calibri" w:eastAsia="Times New Roman" w:hAnsi="Calibri" w:cs="Calibri"/>
                <w:color w:val="0070C0"/>
                <w:kern w:val="0"/>
                <w:shd w:val="clear" w:color="auto" w:fill="FFFFFF"/>
                <w:lang w:eastAsia="es-CR"/>
                <w14:ligatures w14:val="none"/>
              </w:rPr>
              <w:t xml:space="preserve"> en la plataforma Moodle</w:t>
            </w:r>
          </w:p>
          <w:p w14:paraId="49303E78" w14:textId="77777777" w:rsidR="00C542B4" w:rsidRPr="00C542B4" w:rsidRDefault="00C542B4" w:rsidP="00C542B4">
            <w:pPr>
              <w:spacing w:after="0" w:line="240" w:lineRule="auto"/>
              <w:rPr>
                <w:rFonts w:ascii="Calibri" w:eastAsia="Times New Roman" w:hAnsi="Calibri" w:cs="Calibri"/>
                <w:color w:val="FF0000"/>
                <w:kern w:val="0"/>
                <w:shd w:val="clear" w:color="auto" w:fill="FFFFFF"/>
                <w:lang w:eastAsia="es-CR"/>
                <w14:ligatures w14:val="none"/>
              </w:rPr>
            </w:pPr>
          </w:p>
        </w:tc>
        <w:tc>
          <w:tcPr>
            <w:tcW w:w="3402" w:type="dxa"/>
          </w:tcPr>
          <w:p w14:paraId="5AD96EEA"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Realizar la lectura de la sesión y tomar apuntes sobre los temas principales. </w:t>
            </w:r>
          </w:p>
          <w:p w14:paraId="6280E15F" w14:textId="77777777" w:rsidR="00C542B4" w:rsidRPr="00C542B4" w:rsidRDefault="00C542B4" w:rsidP="4C9C2619">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Participación en el foro temático grupal: La literatura profética del </w:t>
            </w:r>
            <w:proofErr w:type="spellStart"/>
            <w:r w:rsidRPr="4C9C2619">
              <w:rPr>
                <w:rFonts w:ascii="Calibri" w:eastAsia="Times New Roman" w:hAnsi="Calibri" w:cs="Calibri"/>
                <w:color w:val="000000"/>
                <w:kern w:val="0"/>
                <w:lang w:val="es-ES" w:eastAsia="es-CR"/>
                <w14:ligatures w14:val="none"/>
              </w:rPr>
              <w:t>post-exilio</w:t>
            </w:r>
            <w:proofErr w:type="spellEnd"/>
            <w:r w:rsidRPr="4C9C2619">
              <w:rPr>
                <w:rFonts w:ascii="Calibri" w:eastAsia="Times New Roman" w:hAnsi="Calibri" w:cs="Calibri"/>
                <w:color w:val="000000"/>
                <w:kern w:val="0"/>
                <w:lang w:val="es-ES" w:eastAsia="es-CR"/>
                <w14:ligatures w14:val="none"/>
              </w:rPr>
              <w:t xml:space="preserve">, donde se realizará una socialización/informe en grupos. </w:t>
            </w:r>
          </w:p>
          <w:p w14:paraId="0552D59A"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Aporte docente y plenaria en un encuentro sincrónico virtual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 xml:space="preserve">. </w:t>
            </w:r>
          </w:p>
          <w:p w14:paraId="55D9317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Designación de grupos de investigación para sesiones 7-9 (glosario).</w:t>
            </w:r>
          </w:p>
          <w:p w14:paraId="084C5943" w14:textId="77777777" w:rsidR="00C542B4" w:rsidRPr="00C542B4" w:rsidRDefault="00C542B4" w:rsidP="00C542B4">
            <w:pPr>
              <w:spacing w:after="0" w:line="240" w:lineRule="auto"/>
              <w:rPr>
                <w:rFonts w:ascii="Calibri" w:eastAsia="Times New Roman" w:hAnsi="Calibri" w:cs="Calibri"/>
                <w:color w:val="FF0000"/>
                <w:kern w:val="0"/>
                <w:lang w:val="es-ES_tradnl" w:eastAsia="es-CR"/>
                <w14:ligatures w14:val="none"/>
              </w:rPr>
            </w:pPr>
          </w:p>
        </w:tc>
      </w:tr>
      <w:tr w:rsidR="00C542B4" w:rsidRPr="00C542B4" w14:paraId="7EEFDBBC" w14:textId="77777777" w:rsidTr="4C9C2619">
        <w:trPr>
          <w:jc w:val="center"/>
        </w:trPr>
        <w:tc>
          <w:tcPr>
            <w:tcW w:w="1271" w:type="dxa"/>
          </w:tcPr>
          <w:p w14:paraId="1B154E3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7</w:t>
            </w:r>
          </w:p>
          <w:p w14:paraId="1B678E9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ED63089"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2: La literatura sapiencial</w:t>
            </w:r>
          </w:p>
          <w:p w14:paraId="2A10F760"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2.1 Contextualiza-</w:t>
            </w:r>
            <w:proofErr w:type="spellStart"/>
            <w:r w:rsidRPr="4C9C2619">
              <w:rPr>
                <w:rFonts w:ascii="Calibri" w:eastAsia="Times New Roman" w:hAnsi="Calibri" w:cs="Calibri"/>
                <w:kern w:val="0"/>
                <w:lang w:val="es-ES" w:eastAsia="es-CR"/>
                <w14:ligatures w14:val="none"/>
              </w:rPr>
              <w:t>ción</w:t>
            </w:r>
            <w:proofErr w:type="spellEnd"/>
            <w:r w:rsidRPr="4C9C2619">
              <w:rPr>
                <w:rFonts w:ascii="Calibri" w:eastAsia="Times New Roman" w:hAnsi="Calibri" w:cs="Calibri"/>
                <w:kern w:val="0"/>
                <w:lang w:val="es-ES" w:eastAsia="es-CR"/>
                <w14:ligatures w14:val="none"/>
              </w:rPr>
              <w:t xml:space="preserve"> sociológica del fenómeno de la </w:t>
            </w:r>
            <w:r w:rsidRPr="4C9C2619">
              <w:rPr>
                <w:rFonts w:ascii="Calibri" w:eastAsia="Times New Roman" w:hAnsi="Calibri" w:cs="Calibri"/>
                <w:kern w:val="0"/>
                <w:lang w:val="es-ES" w:eastAsia="es-CR"/>
                <w14:ligatures w14:val="none"/>
              </w:rPr>
              <w:lastRenderedPageBreak/>
              <w:t>sabiduría en Israel</w:t>
            </w:r>
          </w:p>
        </w:tc>
        <w:tc>
          <w:tcPr>
            <w:tcW w:w="2835" w:type="dxa"/>
          </w:tcPr>
          <w:p w14:paraId="67EEDE3C"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lastRenderedPageBreak/>
              <w:t>Ruta de aprendizaje</w:t>
            </w:r>
          </w:p>
          <w:p w14:paraId="51D0A51F"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C5B83BB"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Vílchez, José. “Israel y su entorno”, “La Sabiduría en Israel y sus fuentes principales”. En </w:t>
            </w:r>
            <w:r w:rsidRPr="00C542B4">
              <w:rPr>
                <w:rFonts w:ascii="Calibri" w:eastAsia="Times New Roman" w:hAnsi="Calibri" w:cs="Calibri"/>
                <w:i/>
                <w:color w:val="000000"/>
                <w:kern w:val="0"/>
                <w:lang w:val="es-ES_tradnl" w:eastAsia="es-CR"/>
                <w14:ligatures w14:val="none"/>
              </w:rPr>
              <w:t xml:space="preserve">Sabiduría y </w:t>
            </w:r>
            <w:r w:rsidRPr="00C542B4">
              <w:rPr>
                <w:rFonts w:ascii="Calibri" w:eastAsia="Times New Roman" w:hAnsi="Calibri" w:cs="Calibri"/>
                <w:i/>
                <w:color w:val="000000"/>
                <w:kern w:val="0"/>
                <w:lang w:val="es-ES_tradnl" w:eastAsia="es-CR"/>
                <w14:ligatures w14:val="none"/>
              </w:rPr>
              <w:lastRenderedPageBreak/>
              <w:t xml:space="preserve">sabios en Israel, </w:t>
            </w:r>
            <w:r w:rsidRPr="00C542B4">
              <w:rPr>
                <w:rFonts w:ascii="Calibri" w:eastAsia="Times New Roman" w:hAnsi="Calibri" w:cs="Calibri"/>
                <w:color w:val="000000"/>
                <w:kern w:val="0"/>
                <w:lang w:val="es-ES_tradnl" w:eastAsia="es-CR"/>
                <w14:ligatures w14:val="none"/>
              </w:rPr>
              <w:t>17-43</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 xml:space="preserve">Estella: Verbo Divino, 1995. </w:t>
            </w:r>
            <w:r w:rsidRPr="00C542B4">
              <w:rPr>
                <w:rFonts w:ascii="Calibri" w:eastAsia="Times New Roman" w:hAnsi="Calibri" w:cs="Calibri"/>
                <w:color w:val="0070C0"/>
                <w:kern w:val="0"/>
                <w:lang w:val="es-ES_tradnl" w:eastAsia="es-CR"/>
                <w14:ligatures w14:val="none"/>
              </w:rPr>
              <w:t>(clásico, última impresión)</w:t>
            </w:r>
          </w:p>
          <w:p w14:paraId="6DD9853B"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CD922A4"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Material complementario</w:t>
            </w:r>
          </w:p>
          <w:p w14:paraId="4112D14F"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p>
          <w:p w14:paraId="09F4947A" w14:textId="77777777" w:rsidR="00C542B4" w:rsidRPr="00C542B4" w:rsidRDefault="00C542B4" w:rsidP="4C9C2619">
            <w:pPr>
              <w:spacing w:after="0" w:line="240" w:lineRule="auto"/>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Trebolle</w:t>
            </w:r>
            <w:proofErr w:type="spellEnd"/>
            <w:r w:rsidRPr="4C9C2619">
              <w:rPr>
                <w:rFonts w:ascii="Calibri" w:eastAsia="Times New Roman" w:hAnsi="Calibri" w:cs="Calibri"/>
                <w:kern w:val="0"/>
                <w:lang w:val="es-ES" w:eastAsia="es-CR"/>
                <w14:ligatures w14:val="none"/>
              </w:rPr>
              <w:t xml:space="preserve">, Julio. “Figuras de mediadores en los cielos y en la tierra”. En </w:t>
            </w:r>
            <w:r w:rsidRPr="4C9C2619">
              <w:rPr>
                <w:rFonts w:ascii="Calibri" w:eastAsia="Times New Roman" w:hAnsi="Calibri" w:cs="Calibri"/>
                <w:i/>
                <w:iCs/>
                <w:kern w:val="0"/>
                <w:lang w:val="es-ES" w:eastAsia="es-CR"/>
                <w14:ligatures w14:val="none"/>
              </w:rPr>
              <w:t>Texturas bíblicas del antiguo Oriente al Occidente moderno</w:t>
            </w:r>
            <w:r w:rsidRPr="4C9C2619">
              <w:rPr>
                <w:rFonts w:ascii="Calibri" w:eastAsia="Times New Roman" w:hAnsi="Calibri" w:cs="Calibri"/>
                <w:kern w:val="0"/>
                <w:lang w:val="es-ES" w:eastAsia="es-CR"/>
                <w14:ligatures w14:val="none"/>
              </w:rPr>
              <w:t>, 68-79. Madrid: Editorial Trotta, 2019.</w:t>
            </w:r>
          </w:p>
          <w:p w14:paraId="06F0B875"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p>
          <w:p w14:paraId="5BE11374"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Guía para la participación en un foro en la plataforma Moodle</w:t>
            </w:r>
          </w:p>
          <w:p w14:paraId="64B436C2"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70A5A6B6"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lastRenderedPageBreak/>
              <w:t>Realizar la lectura de la sesión.</w:t>
            </w:r>
          </w:p>
          <w:p w14:paraId="1DF98616"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Iniciar el trabajo para el glosario grupal sobre las tradiciones sapienciales del AT con la participación en el foro para la </w:t>
            </w:r>
            <w:r w:rsidRPr="00C542B4">
              <w:rPr>
                <w:rFonts w:ascii="Calibri" w:eastAsia="Times New Roman" w:hAnsi="Calibri" w:cs="Calibri"/>
                <w:color w:val="000000"/>
                <w:kern w:val="0"/>
                <w:lang w:val="es-ES_tradnl" w:eastAsia="es-CR"/>
                <w14:ligatures w14:val="none"/>
              </w:rPr>
              <w:lastRenderedPageBreak/>
              <w:t xml:space="preserve">discusión del glosario grupal. </w:t>
            </w:r>
          </w:p>
          <w:p w14:paraId="0899B81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Participación en el foro temático: Análisis de textos sapienciales desde ejes de género, cultura, edad y situación socioeconómica. </w:t>
            </w:r>
          </w:p>
          <w:p w14:paraId="0C38D3E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Síntesis docente en el foro temático. </w:t>
            </w:r>
          </w:p>
          <w:p w14:paraId="7B261490"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0992EA68" w14:textId="77777777" w:rsidTr="4C9C2619">
        <w:trPr>
          <w:jc w:val="center"/>
        </w:trPr>
        <w:tc>
          <w:tcPr>
            <w:tcW w:w="1271" w:type="dxa"/>
          </w:tcPr>
          <w:p w14:paraId="52CDAC3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lastRenderedPageBreak/>
              <w:t>8</w:t>
            </w:r>
          </w:p>
          <w:p w14:paraId="375489A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4130C28D"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2: La literatura sapiencial</w:t>
            </w:r>
          </w:p>
          <w:p w14:paraId="06A465A1"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2.2 Características literarias y teológicas de la literatura sapiencial</w:t>
            </w:r>
          </w:p>
          <w:p w14:paraId="6BDB9320"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61A810F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079F7B39"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0C46E29F"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Vílchez, José. “La Sabiduría antigua y Proverbios”. En </w:t>
            </w:r>
            <w:r w:rsidRPr="00C542B4">
              <w:rPr>
                <w:rFonts w:ascii="Calibri" w:eastAsia="Times New Roman" w:hAnsi="Calibri" w:cs="Calibri"/>
                <w:i/>
                <w:color w:val="000000"/>
                <w:kern w:val="0"/>
                <w:lang w:val="es-ES_tradnl" w:eastAsia="es-CR"/>
                <w14:ligatures w14:val="none"/>
              </w:rPr>
              <w:t xml:space="preserve">Sabiduría y sabios en Israel, </w:t>
            </w:r>
            <w:r w:rsidRPr="00C542B4">
              <w:rPr>
                <w:rFonts w:ascii="Calibri" w:eastAsia="Times New Roman" w:hAnsi="Calibri" w:cs="Calibri"/>
                <w:color w:val="000000"/>
                <w:kern w:val="0"/>
                <w:lang w:val="es-ES_tradnl" w:eastAsia="es-CR"/>
                <w14:ligatures w14:val="none"/>
              </w:rPr>
              <w:t>83-119.</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 xml:space="preserve">Estella: Verbo Divino, 1995. </w:t>
            </w:r>
            <w:r w:rsidRPr="00C542B4">
              <w:rPr>
                <w:rFonts w:ascii="Calibri" w:eastAsia="Times New Roman" w:hAnsi="Calibri" w:cs="Calibri"/>
                <w:color w:val="0070C0"/>
                <w:kern w:val="0"/>
                <w:lang w:val="es-ES_tradnl" w:eastAsia="es-CR"/>
                <w14:ligatures w14:val="none"/>
              </w:rPr>
              <w:t>(clásico, última impresión)</w:t>
            </w:r>
          </w:p>
          <w:p w14:paraId="1670A7FC"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7AE92730"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5D9168E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2E733C1E" w14:textId="77777777" w:rsidR="00C542B4" w:rsidRPr="00C542B4" w:rsidRDefault="00C542B4" w:rsidP="4C9C2619">
            <w:pPr>
              <w:spacing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15D61395"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p>
        </w:tc>
        <w:tc>
          <w:tcPr>
            <w:tcW w:w="3402" w:type="dxa"/>
          </w:tcPr>
          <w:p w14:paraId="50B9F5F2"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 lectura de la sesión.</w:t>
            </w:r>
          </w:p>
          <w:p w14:paraId="091D354F"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Continuar con el trabajo para el glosario grupal sobre las tradiciones sapienciales del AT con la participación en el foro para la discusión del glosario grupal de la sesión anterior.</w:t>
            </w:r>
          </w:p>
          <w:p w14:paraId="4092DCDC"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Aporte docente y discusión en plenaria en un encuentro sincrónico virtual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w:t>
            </w:r>
          </w:p>
          <w:p w14:paraId="5D2FB07F"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5A70D9D0" w14:textId="77777777" w:rsidTr="4C9C2619">
        <w:trPr>
          <w:jc w:val="center"/>
        </w:trPr>
        <w:tc>
          <w:tcPr>
            <w:tcW w:w="1271" w:type="dxa"/>
          </w:tcPr>
          <w:p w14:paraId="64374B5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9</w:t>
            </w:r>
          </w:p>
          <w:p w14:paraId="3851D48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3652C796"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2: La literatura sapiencial</w:t>
            </w:r>
          </w:p>
          <w:p w14:paraId="20BF9418"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2.2 Características literarias y teológicas de la literatura sapiencial</w:t>
            </w:r>
          </w:p>
          <w:p w14:paraId="70A124F2"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strike/>
                <w:kern w:val="0"/>
                <w:lang w:val="es-ES_tradnl" w:eastAsia="es-CR"/>
                <w14:ligatures w14:val="none"/>
              </w:rPr>
            </w:pPr>
          </w:p>
        </w:tc>
        <w:tc>
          <w:tcPr>
            <w:tcW w:w="2835" w:type="dxa"/>
          </w:tcPr>
          <w:p w14:paraId="71135C03"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0EBDC1EC"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20C544B1"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Morla, Víctor. “El libro del Eclesiastés”. En </w:t>
            </w:r>
            <w:r w:rsidRPr="00C542B4">
              <w:rPr>
                <w:rFonts w:ascii="Calibri" w:eastAsia="Times New Roman" w:hAnsi="Calibri" w:cs="Calibri"/>
                <w:i/>
                <w:iCs/>
                <w:color w:val="000000"/>
                <w:kern w:val="0"/>
                <w:lang w:val="es-ES_tradnl" w:eastAsia="es-CR"/>
                <w14:ligatures w14:val="none"/>
              </w:rPr>
              <w:t>Libros</w:t>
            </w:r>
            <w:r w:rsidRPr="00C542B4">
              <w:rPr>
                <w:rFonts w:ascii="Calibri" w:eastAsia="Times New Roman" w:hAnsi="Calibri" w:cs="Calibri"/>
                <w:color w:val="000000"/>
                <w:kern w:val="0"/>
                <w:lang w:val="es-ES_tradnl" w:eastAsia="es-CR"/>
                <w14:ligatures w14:val="none"/>
              </w:rPr>
              <w:t xml:space="preserve"> </w:t>
            </w:r>
            <w:r w:rsidRPr="00C542B4">
              <w:rPr>
                <w:rFonts w:ascii="Calibri" w:eastAsia="Times New Roman" w:hAnsi="Calibri" w:cs="Calibri"/>
                <w:i/>
                <w:color w:val="000000"/>
                <w:kern w:val="0"/>
                <w:lang w:val="es-ES_tradnl" w:eastAsia="es-CR"/>
                <w14:ligatures w14:val="none"/>
              </w:rPr>
              <w:t>sapienciales y otros escritos</w:t>
            </w:r>
            <w:r w:rsidRPr="00C542B4">
              <w:rPr>
                <w:rFonts w:ascii="Calibri" w:eastAsia="Times New Roman" w:hAnsi="Calibri" w:cs="Calibri"/>
                <w:color w:val="000000"/>
                <w:kern w:val="0"/>
                <w:lang w:val="es-ES_tradnl" w:eastAsia="es-CR"/>
                <w14:ligatures w14:val="none"/>
              </w:rPr>
              <w:t>, 181-208.</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Estella: Verbo Divino, 2019.</w:t>
            </w:r>
          </w:p>
          <w:p w14:paraId="4AE8F87E"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6691CA78"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Material complementario</w:t>
            </w:r>
          </w:p>
          <w:p w14:paraId="02114F7D" w14:textId="77777777" w:rsidR="00C542B4" w:rsidRPr="00C542B4" w:rsidRDefault="00C542B4" w:rsidP="00C542B4">
            <w:pPr>
              <w:spacing w:after="0" w:line="240" w:lineRule="auto"/>
              <w:rPr>
                <w:rFonts w:ascii="Calibri" w:eastAsia="Times New Roman" w:hAnsi="Calibri" w:cs="Calibri"/>
                <w:b/>
                <w:color w:val="000000"/>
                <w:kern w:val="0"/>
                <w:lang w:val="es-ES_tradnl" w:eastAsia="es-CR"/>
                <w14:ligatures w14:val="none"/>
              </w:rPr>
            </w:pPr>
          </w:p>
          <w:p w14:paraId="6D23257B"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kern w:val="0"/>
                <w:lang w:val="es-ES_tradnl" w:eastAsia="es-CR"/>
                <w14:ligatures w14:val="none"/>
              </w:rPr>
              <w:t xml:space="preserve">Elorza, José Luis. “Job: cuando Dios pone difícil creer en Él”. En </w:t>
            </w:r>
            <w:r w:rsidRPr="00C542B4">
              <w:rPr>
                <w:rFonts w:ascii="Calibri" w:eastAsia="Times New Roman" w:hAnsi="Calibri" w:cs="Calibri"/>
                <w:i/>
                <w:kern w:val="0"/>
                <w:lang w:val="es-ES_tradnl" w:eastAsia="es-CR"/>
                <w14:ligatures w14:val="none"/>
              </w:rPr>
              <w:t xml:space="preserve">Drama y esperanza: Lectura existencial del Antiguo </w:t>
            </w:r>
            <w:r w:rsidRPr="00C542B4">
              <w:rPr>
                <w:rFonts w:ascii="Calibri" w:eastAsia="Times New Roman" w:hAnsi="Calibri" w:cs="Calibri"/>
                <w:i/>
                <w:kern w:val="0"/>
                <w:lang w:val="es-ES_tradnl" w:eastAsia="es-CR"/>
                <w14:ligatures w14:val="none"/>
              </w:rPr>
              <w:lastRenderedPageBreak/>
              <w:t>Testamento. Tomo III: El ser humano interrogado por la realidad: Libros sapienciales</w:t>
            </w:r>
            <w:r w:rsidRPr="00C542B4">
              <w:rPr>
                <w:rFonts w:ascii="Calibri" w:eastAsia="Times New Roman" w:hAnsi="Calibri" w:cs="Calibri"/>
                <w:kern w:val="0"/>
                <w:lang w:val="es-ES_tradnl" w:eastAsia="es-CR"/>
                <w14:ligatures w14:val="none"/>
              </w:rPr>
              <w:t xml:space="preserve">, 101-154. Estella: Verbo Divino, 2017. </w:t>
            </w:r>
            <w:r w:rsidRPr="00C542B4">
              <w:rPr>
                <w:rFonts w:ascii="Calibri" w:eastAsia="Times New Roman" w:hAnsi="Calibri" w:cs="Calibri"/>
                <w:color w:val="0070C0"/>
                <w:kern w:val="0"/>
                <w:lang w:val="es-ES_tradnl" w:eastAsia="es-CR"/>
                <w14:ligatures w14:val="none"/>
              </w:rPr>
              <w:t>(clásico, última impresión)</w:t>
            </w:r>
          </w:p>
          <w:p w14:paraId="7861CCEE" w14:textId="77777777" w:rsidR="00C542B4" w:rsidRPr="00C542B4" w:rsidRDefault="00C542B4" w:rsidP="00C542B4">
            <w:pPr>
              <w:spacing w:after="0" w:line="240" w:lineRule="auto"/>
              <w:rPr>
                <w:rFonts w:ascii="Calibri" w:eastAsia="Times New Roman" w:hAnsi="Calibri" w:cs="Calibri"/>
                <w:kern w:val="0"/>
                <w:lang w:val="es-ES_tradnl" w:eastAsia="es-CR"/>
                <w14:ligatures w14:val="none"/>
              </w:rPr>
            </w:pPr>
          </w:p>
          <w:p w14:paraId="5AFFB0EF"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Guía para la participación en un glosario en la plataforma Moodle</w:t>
            </w:r>
          </w:p>
          <w:p w14:paraId="1E339F03" w14:textId="77777777" w:rsidR="00C542B4" w:rsidRPr="00C542B4" w:rsidRDefault="00C542B4" w:rsidP="00C542B4">
            <w:pPr>
              <w:spacing w:after="0" w:line="240" w:lineRule="auto"/>
              <w:rPr>
                <w:rFonts w:ascii="Calibri" w:eastAsia="Times New Roman" w:hAnsi="Calibri" w:cs="Calibri"/>
                <w:color w:val="0070C0"/>
                <w:kern w:val="0"/>
                <w:lang w:val="es-ES_tradnl" w:eastAsia="es-CR"/>
                <w14:ligatures w14:val="none"/>
              </w:rPr>
            </w:pPr>
          </w:p>
          <w:p w14:paraId="3D67F5EE" w14:textId="77777777" w:rsidR="00C542B4" w:rsidRPr="00C542B4" w:rsidRDefault="00C542B4" w:rsidP="00C542B4">
            <w:pPr>
              <w:spacing w:after="0" w:line="240" w:lineRule="auto"/>
              <w:rPr>
                <w:rFonts w:ascii="Calibri" w:eastAsia="Times New Roman" w:hAnsi="Calibri" w:cs="Calibri"/>
                <w:b/>
                <w:color w:val="0070C0"/>
                <w:kern w:val="0"/>
                <w:shd w:val="clear" w:color="auto" w:fill="FFFFFF"/>
                <w:lang w:eastAsia="es-CR"/>
                <w14:ligatures w14:val="none"/>
              </w:rPr>
            </w:pPr>
            <w:r w:rsidRPr="00C542B4">
              <w:rPr>
                <w:rFonts w:ascii="Calibri" w:eastAsia="Times New Roman" w:hAnsi="Calibri" w:cs="Calibri"/>
                <w:color w:val="0070C0"/>
                <w:kern w:val="0"/>
                <w:lang w:val="es-ES_tradnl" w:eastAsia="es-CR"/>
                <w14:ligatures w14:val="none"/>
              </w:rPr>
              <w:t>Guía para la participación en un foro en la plataforma Moodle</w:t>
            </w:r>
          </w:p>
          <w:p w14:paraId="58527C02" w14:textId="77777777" w:rsidR="00C542B4" w:rsidRPr="00C542B4" w:rsidRDefault="00C542B4" w:rsidP="00C542B4">
            <w:pPr>
              <w:spacing w:after="0" w:line="240" w:lineRule="auto"/>
              <w:rPr>
                <w:rFonts w:ascii="Calibri" w:eastAsia="Times New Roman" w:hAnsi="Calibri" w:cs="Calibri"/>
                <w:color w:val="FF0000"/>
                <w:kern w:val="0"/>
                <w:shd w:val="clear" w:color="auto" w:fill="FFFFFF"/>
                <w:lang w:eastAsia="es-CR"/>
                <w14:ligatures w14:val="none"/>
              </w:rPr>
            </w:pPr>
          </w:p>
        </w:tc>
        <w:tc>
          <w:tcPr>
            <w:tcW w:w="3402" w:type="dxa"/>
          </w:tcPr>
          <w:p w14:paraId="6F6C3CAE"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lastRenderedPageBreak/>
              <w:t>Realizar la lectura de la sesión.</w:t>
            </w:r>
          </w:p>
          <w:p w14:paraId="2660C4E4"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Elaboración del glosario grupal. </w:t>
            </w:r>
          </w:p>
          <w:p w14:paraId="696E2509"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Socialización de glosarios digitales.</w:t>
            </w:r>
          </w:p>
          <w:p w14:paraId="418FABA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Entrega de la coevaluación del glosario grupal.</w:t>
            </w:r>
          </w:p>
          <w:p w14:paraId="3FB9EAC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Participación en el foro de discusión sobre el ejercicio del glosario, donde se realizará una síntesis docente y se discutirá sobre sus aplicaciones. </w:t>
            </w:r>
          </w:p>
        </w:tc>
      </w:tr>
      <w:tr w:rsidR="00C542B4" w:rsidRPr="00C542B4" w14:paraId="45A9FBEE" w14:textId="77777777" w:rsidTr="4C9C2619">
        <w:trPr>
          <w:jc w:val="center"/>
        </w:trPr>
        <w:tc>
          <w:tcPr>
            <w:tcW w:w="1271" w:type="dxa"/>
          </w:tcPr>
          <w:p w14:paraId="3660F4A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10</w:t>
            </w:r>
          </w:p>
          <w:p w14:paraId="409585D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433BD87A"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b/>
                <w:bCs/>
                <w:kern w:val="0"/>
                <w:lang w:val="es-ES" w:eastAsia="es-CR"/>
                <w14:ligatures w14:val="none"/>
              </w:rPr>
            </w:pPr>
            <w:r w:rsidRPr="4C9C2619">
              <w:rPr>
                <w:rFonts w:ascii="Calibri" w:eastAsia="Times New Roman" w:hAnsi="Calibri" w:cs="Calibri"/>
                <w:b/>
                <w:bCs/>
                <w:kern w:val="0"/>
                <w:lang w:val="es-ES" w:eastAsia="es-CR"/>
                <w14:ligatures w14:val="none"/>
              </w:rPr>
              <w:t xml:space="preserve">Unidad 3: La literatura </w:t>
            </w:r>
            <w:proofErr w:type="spellStart"/>
            <w:r w:rsidRPr="4C9C2619">
              <w:rPr>
                <w:rFonts w:ascii="Calibri" w:eastAsia="Times New Roman" w:hAnsi="Calibri" w:cs="Calibri"/>
                <w:b/>
                <w:bCs/>
                <w:kern w:val="0"/>
                <w:lang w:val="es-ES" w:eastAsia="es-CR"/>
                <w14:ligatures w14:val="none"/>
              </w:rPr>
              <w:t>sálmica</w:t>
            </w:r>
            <w:proofErr w:type="spellEnd"/>
          </w:p>
          <w:p w14:paraId="69EC9E94"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3.1 Introducción literaria al libro de los salmos</w:t>
            </w:r>
          </w:p>
          <w:p w14:paraId="358C80F0"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6A3B439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7E9DC25C"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05364BF2"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Morla, Víctor. “Géneros literarios del salterio”. En Libros </w:t>
            </w:r>
            <w:r w:rsidRPr="00C542B4">
              <w:rPr>
                <w:rFonts w:ascii="Calibri" w:eastAsia="Times New Roman" w:hAnsi="Calibri" w:cs="Calibri"/>
                <w:i/>
                <w:color w:val="000000"/>
                <w:kern w:val="0"/>
                <w:lang w:val="es-ES_tradnl" w:eastAsia="es-CR"/>
                <w14:ligatures w14:val="none"/>
              </w:rPr>
              <w:t xml:space="preserve">sapienciales y otros escritos, </w:t>
            </w:r>
            <w:r w:rsidRPr="00C542B4">
              <w:rPr>
                <w:rFonts w:ascii="Calibri" w:eastAsia="Times New Roman" w:hAnsi="Calibri" w:cs="Calibri"/>
                <w:color w:val="000000"/>
                <w:kern w:val="0"/>
                <w:lang w:val="es-ES_tradnl" w:eastAsia="es-CR"/>
                <w14:ligatures w14:val="none"/>
              </w:rPr>
              <w:t>325-363.</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Estella: Verbo Divino, 2019.</w:t>
            </w:r>
          </w:p>
          <w:p w14:paraId="0F0C3498"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624A6F1A"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roofErr w:type="spellStart"/>
            <w:r w:rsidRPr="00C542B4">
              <w:rPr>
                <w:rFonts w:ascii="Calibri" w:eastAsia="Times New Roman" w:hAnsi="Calibri" w:cs="Arial"/>
                <w:color w:val="000000"/>
                <w:kern w:val="0"/>
                <w:lang w:val="es-ES" w:eastAsia="es-CR"/>
                <w14:ligatures w14:val="none"/>
              </w:rPr>
              <w:t>Drijvers</w:t>
            </w:r>
            <w:proofErr w:type="spellEnd"/>
            <w:r w:rsidRPr="00C542B4">
              <w:rPr>
                <w:rFonts w:ascii="Calibri" w:eastAsia="Times New Roman" w:hAnsi="Calibri" w:cs="Arial"/>
                <w:color w:val="000000"/>
                <w:kern w:val="0"/>
                <w:lang w:val="es-ES" w:eastAsia="es-CR"/>
                <w14:ligatures w14:val="none"/>
              </w:rPr>
              <w:t xml:space="preserve">, Pius. “Salmos de acción de gracias”. En </w:t>
            </w:r>
            <w:r w:rsidRPr="00C542B4">
              <w:rPr>
                <w:rFonts w:ascii="Calibri" w:eastAsia="Times New Roman" w:hAnsi="Calibri" w:cs="Arial"/>
                <w:i/>
                <w:iCs/>
                <w:color w:val="000000"/>
                <w:kern w:val="0"/>
                <w:lang w:val="es-ES" w:eastAsia="es-CR"/>
                <w14:ligatures w14:val="none"/>
              </w:rPr>
              <w:t xml:space="preserve">Salmos: Introducción a su contenido espiritual y doctrinal, </w:t>
            </w:r>
            <w:r w:rsidRPr="00C542B4">
              <w:rPr>
                <w:rFonts w:ascii="Calibri" w:eastAsia="Times New Roman" w:hAnsi="Calibri" w:cs="Arial"/>
                <w:color w:val="000000"/>
                <w:kern w:val="0"/>
                <w:lang w:val="es-ES" w:eastAsia="es-CR"/>
                <w14:ligatures w14:val="none"/>
              </w:rPr>
              <w:t>105-119.</w:t>
            </w:r>
            <w:r w:rsidRPr="00C542B4">
              <w:rPr>
                <w:rFonts w:ascii="Calibri" w:eastAsia="Times New Roman" w:hAnsi="Calibri" w:cs="Arial"/>
                <w:i/>
                <w:iCs/>
                <w:color w:val="000000"/>
                <w:kern w:val="0"/>
                <w:lang w:val="es-ES" w:eastAsia="es-CR"/>
                <w14:ligatures w14:val="none"/>
              </w:rPr>
              <w:t xml:space="preserve"> </w:t>
            </w:r>
            <w:r w:rsidRPr="00C542B4">
              <w:rPr>
                <w:rFonts w:ascii="Calibri" w:eastAsia="Times New Roman" w:hAnsi="Calibri" w:cs="Arial"/>
                <w:color w:val="000000"/>
                <w:kern w:val="0"/>
                <w:lang w:val="es-ES" w:eastAsia="es-CR"/>
                <w14:ligatures w14:val="none"/>
              </w:rPr>
              <w:t xml:space="preserve">Barcelona: Herder, 1962. </w:t>
            </w:r>
            <w:r w:rsidRPr="00C542B4">
              <w:rPr>
                <w:rFonts w:ascii="Calibri" w:eastAsia="Times New Roman" w:hAnsi="Calibri" w:cs="Calibri"/>
                <w:color w:val="0070C0"/>
                <w:kern w:val="0"/>
                <w:lang w:val="es-ES_tradnl" w:eastAsia="es-CR"/>
                <w14:ligatures w14:val="none"/>
              </w:rPr>
              <w:t>(clásico, última impresión 1964)</w:t>
            </w:r>
          </w:p>
          <w:p w14:paraId="5C952803" w14:textId="77777777" w:rsidR="00C542B4" w:rsidRPr="00C542B4" w:rsidRDefault="00C542B4" w:rsidP="00C542B4">
            <w:pPr>
              <w:spacing w:after="0" w:line="240" w:lineRule="auto"/>
              <w:rPr>
                <w:rFonts w:ascii="Calibri" w:eastAsia="Times New Roman" w:hAnsi="Calibri" w:cs="Arial"/>
                <w:color w:val="000000"/>
                <w:kern w:val="0"/>
                <w:lang w:val="es-ES" w:eastAsia="es-CR"/>
                <w14:ligatures w14:val="none"/>
              </w:rPr>
            </w:pPr>
          </w:p>
          <w:p w14:paraId="612CE6AF" w14:textId="77777777" w:rsidR="00C542B4" w:rsidRPr="00C542B4" w:rsidRDefault="00C542B4" w:rsidP="00C542B4">
            <w:pPr>
              <w:spacing w:after="0" w:line="240" w:lineRule="auto"/>
              <w:rPr>
                <w:rFonts w:ascii="Calibri" w:eastAsia="Times New Roman" w:hAnsi="Calibri" w:cs="Arial"/>
                <w:color w:val="000000"/>
                <w:kern w:val="0"/>
                <w:lang w:val="es-ES" w:eastAsia="es-CR"/>
                <w14:ligatures w14:val="none"/>
              </w:rPr>
            </w:pPr>
          </w:p>
          <w:p w14:paraId="129AC17C"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55FD79D4"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7837944D" w14:textId="77777777" w:rsidR="00C542B4" w:rsidRPr="00C542B4" w:rsidRDefault="00C542B4" w:rsidP="00C542B4">
            <w:pPr>
              <w:spacing w:after="0" w:line="240" w:lineRule="auto"/>
              <w:rPr>
                <w:rFonts w:ascii="Calibri" w:eastAsia="Times New Roman" w:hAnsi="Calibri" w:cs="Arial"/>
                <w:bCs/>
                <w:color w:val="000000"/>
                <w:kern w:val="0"/>
                <w:lang w:val="es-ES" w:eastAsia="es-CR"/>
                <w14:ligatures w14:val="none"/>
              </w:rPr>
            </w:pPr>
            <w:r w:rsidRPr="00C542B4">
              <w:rPr>
                <w:rFonts w:ascii="Calibri" w:eastAsia="Times New Roman" w:hAnsi="Calibri" w:cs="Calibri"/>
                <w:bCs/>
                <w:color w:val="0070C0"/>
                <w:kern w:val="0"/>
                <w:lang w:val="es-ES_tradnl" w:eastAsia="es-CR"/>
                <w14:ligatures w14:val="none"/>
              </w:rPr>
              <w:t xml:space="preserve">Guía para la participación mediante la herramienta Big Blue </w:t>
            </w:r>
            <w:proofErr w:type="spellStart"/>
            <w:r w:rsidRPr="00C542B4">
              <w:rPr>
                <w:rFonts w:ascii="Calibri" w:eastAsia="Times New Roman" w:hAnsi="Calibri" w:cs="Calibri"/>
                <w:bCs/>
                <w:color w:val="0070C0"/>
                <w:kern w:val="0"/>
                <w:lang w:val="es-ES_tradnl" w:eastAsia="es-CR"/>
                <w14:ligatures w14:val="none"/>
              </w:rPr>
              <w:t>Button</w:t>
            </w:r>
            <w:proofErr w:type="spellEnd"/>
            <w:r w:rsidRPr="00C542B4">
              <w:rPr>
                <w:rFonts w:ascii="Calibri" w:eastAsia="Times New Roman" w:hAnsi="Calibri" w:cs="Calibri"/>
                <w:bCs/>
                <w:color w:val="0070C0"/>
                <w:kern w:val="0"/>
                <w:lang w:val="es-ES_tradnl" w:eastAsia="es-CR"/>
                <w14:ligatures w14:val="none"/>
              </w:rPr>
              <w:t xml:space="preserve"> en la plataforma Moodle</w:t>
            </w:r>
          </w:p>
          <w:p w14:paraId="0741497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tc>
        <w:tc>
          <w:tcPr>
            <w:tcW w:w="3402" w:type="dxa"/>
          </w:tcPr>
          <w:p w14:paraId="6EABCE2A"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las lecturas de la sesión.</w:t>
            </w:r>
          </w:p>
          <w:p w14:paraId="50111818"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Arial"/>
                <w:color w:val="000000"/>
                <w:kern w:val="0"/>
                <w:lang w:val="es-ES" w:eastAsia="es-CR"/>
                <w14:ligatures w14:val="none"/>
              </w:rPr>
            </w:pPr>
            <w:r w:rsidRPr="00C542B4">
              <w:rPr>
                <w:rFonts w:ascii="Calibri" w:eastAsia="Times New Roman" w:hAnsi="Calibri" w:cs="Arial"/>
                <w:color w:val="000000"/>
                <w:kern w:val="0"/>
                <w:lang w:val="es-ES" w:eastAsia="es-CR"/>
                <w14:ligatures w14:val="none"/>
              </w:rPr>
              <w:t xml:space="preserve">Ejercicio de lectura y </w:t>
            </w:r>
            <w:proofErr w:type="spellStart"/>
            <w:r w:rsidRPr="00C542B4">
              <w:rPr>
                <w:rFonts w:ascii="Calibri" w:eastAsia="Times New Roman" w:hAnsi="Calibri" w:cs="Arial"/>
                <w:color w:val="000000"/>
                <w:kern w:val="0"/>
                <w:lang w:val="es-ES" w:eastAsia="es-CR"/>
                <w14:ligatures w14:val="none"/>
              </w:rPr>
              <w:t>performancia</w:t>
            </w:r>
            <w:proofErr w:type="spellEnd"/>
            <w:r w:rsidRPr="00C542B4">
              <w:rPr>
                <w:rFonts w:ascii="Calibri" w:eastAsia="Times New Roman" w:hAnsi="Calibri" w:cs="Arial"/>
                <w:color w:val="000000"/>
                <w:kern w:val="0"/>
                <w:lang w:val="es-ES" w:eastAsia="es-CR"/>
                <w14:ligatures w14:val="none"/>
              </w:rPr>
              <w:t xml:space="preserve"> de salmos, aporte docente y discusión en un encuentro sincrónico virtual </w:t>
            </w:r>
            <w:r w:rsidRPr="00C542B4">
              <w:rPr>
                <w:rFonts w:ascii="Calibri" w:eastAsia="Times New Roman" w:hAnsi="Calibri" w:cs="Arial"/>
                <w:kern w:val="0"/>
                <w:lang w:val="es-ES" w:eastAsia="es-CR"/>
                <w14:ligatures w14:val="none"/>
              </w:rPr>
              <w:t>(formativo)</w:t>
            </w:r>
            <w:r w:rsidRPr="00C542B4">
              <w:rPr>
                <w:rFonts w:ascii="Calibri" w:eastAsia="Times New Roman" w:hAnsi="Calibri" w:cs="Arial"/>
                <w:color w:val="000000"/>
                <w:kern w:val="0"/>
                <w:lang w:val="es-ES" w:eastAsia="es-CR"/>
                <w14:ligatures w14:val="none"/>
              </w:rPr>
              <w:t xml:space="preserve">. </w:t>
            </w:r>
          </w:p>
          <w:p w14:paraId="3AD62DDB"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7855072D" w14:textId="77777777" w:rsidTr="4C9C2619">
        <w:trPr>
          <w:jc w:val="center"/>
        </w:trPr>
        <w:tc>
          <w:tcPr>
            <w:tcW w:w="1271" w:type="dxa"/>
          </w:tcPr>
          <w:p w14:paraId="2532BD5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11</w:t>
            </w:r>
          </w:p>
          <w:p w14:paraId="2696915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9519AAD"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b/>
                <w:bCs/>
                <w:kern w:val="0"/>
                <w:lang w:val="es-ES" w:eastAsia="es-CR"/>
                <w14:ligatures w14:val="none"/>
              </w:rPr>
            </w:pPr>
            <w:r w:rsidRPr="4C9C2619">
              <w:rPr>
                <w:rFonts w:ascii="Calibri" w:eastAsia="Times New Roman" w:hAnsi="Calibri" w:cs="Calibri"/>
                <w:b/>
                <w:bCs/>
                <w:kern w:val="0"/>
                <w:lang w:val="es-ES" w:eastAsia="es-CR"/>
                <w14:ligatures w14:val="none"/>
              </w:rPr>
              <w:t xml:space="preserve">Unidad 3: La literatura </w:t>
            </w:r>
            <w:proofErr w:type="spellStart"/>
            <w:r w:rsidRPr="4C9C2619">
              <w:rPr>
                <w:rFonts w:ascii="Calibri" w:eastAsia="Times New Roman" w:hAnsi="Calibri" w:cs="Calibri"/>
                <w:b/>
                <w:bCs/>
                <w:kern w:val="0"/>
                <w:lang w:val="es-ES" w:eastAsia="es-CR"/>
                <w14:ligatures w14:val="none"/>
              </w:rPr>
              <w:t>sálmica</w:t>
            </w:r>
            <w:proofErr w:type="spellEnd"/>
            <w:r w:rsidRPr="4C9C2619">
              <w:rPr>
                <w:rFonts w:ascii="Calibri" w:eastAsia="Times New Roman" w:hAnsi="Calibri" w:cs="Calibri"/>
                <w:b/>
                <w:bCs/>
                <w:kern w:val="0"/>
                <w:lang w:val="es-ES" w:eastAsia="es-CR"/>
                <w14:ligatures w14:val="none"/>
              </w:rPr>
              <w:t xml:space="preserve"> </w:t>
            </w:r>
          </w:p>
          <w:p w14:paraId="4AA7DF46"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3.2 Teología de los salmos</w:t>
            </w:r>
          </w:p>
        </w:tc>
        <w:tc>
          <w:tcPr>
            <w:tcW w:w="2835" w:type="dxa"/>
          </w:tcPr>
          <w:p w14:paraId="252D6729"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59DB447E"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Morla, Víctor. “Teología del salterio”. En Libros </w:t>
            </w:r>
            <w:r w:rsidRPr="00C542B4">
              <w:rPr>
                <w:rFonts w:ascii="Calibri" w:eastAsia="Times New Roman" w:hAnsi="Calibri" w:cs="Calibri"/>
                <w:i/>
                <w:color w:val="000000"/>
                <w:kern w:val="0"/>
                <w:lang w:val="es-ES_tradnl" w:eastAsia="es-CR"/>
                <w14:ligatures w14:val="none"/>
              </w:rPr>
              <w:t xml:space="preserve">sapienciales y otros escritos, </w:t>
            </w:r>
            <w:r w:rsidRPr="00C542B4">
              <w:rPr>
                <w:rFonts w:ascii="Calibri" w:eastAsia="Times New Roman" w:hAnsi="Calibri" w:cs="Calibri"/>
                <w:color w:val="000000"/>
                <w:kern w:val="0"/>
                <w:lang w:val="es-ES_tradnl" w:eastAsia="es-CR"/>
                <w14:ligatures w14:val="none"/>
              </w:rPr>
              <w:t>365-401.</w:t>
            </w:r>
            <w:r w:rsidRPr="00C542B4">
              <w:rPr>
                <w:rFonts w:ascii="Calibri" w:eastAsia="Times New Roman" w:hAnsi="Calibri" w:cs="Calibri"/>
                <w:i/>
                <w:color w:val="000000"/>
                <w:kern w:val="0"/>
                <w:lang w:val="es-ES_tradnl" w:eastAsia="es-CR"/>
                <w14:ligatures w14:val="none"/>
              </w:rPr>
              <w:t xml:space="preserve"> </w:t>
            </w:r>
            <w:r w:rsidRPr="00C542B4">
              <w:rPr>
                <w:rFonts w:ascii="Calibri" w:eastAsia="Times New Roman" w:hAnsi="Calibri" w:cs="Calibri"/>
                <w:color w:val="000000"/>
                <w:kern w:val="0"/>
                <w:lang w:val="es-ES_tradnl" w:eastAsia="es-CR"/>
                <w14:ligatures w14:val="none"/>
              </w:rPr>
              <w:t xml:space="preserve">Estella: Verbo Divino, 2019. </w:t>
            </w:r>
          </w:p>
          <w:p w14:paraId="4BDF833E"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val="es-ES_tradnl" w:eastAsia="es-CR"/>
                <w14:ligatures w14:val="none"/>
              </w:rPr>
            </w:pPr>
          </w:p>
          <w:p w14:paraId="58BAC9D3"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10DD7780"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1B3E26CB"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elaboración de una reseña crítica de lectura</w:t>
            </w:r>
          </w:p>
          <w:p w14:paraId="3A63038D"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p>
          <w:p w14:paraId="038C0ED8"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p w14:paraId="2F22270C"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p>
          <w:p w14:paraId="4C40C223"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p>
          <w:p w14:paraId="6B649D31" w14:textId="77777777" w:rsidR="00C542B4" w:rsidRPr="00C542B4" w:rsidRDefault="00C542B4" w:rsidP="00C542B4">
            <w:pPr>
              <w:spacing w:after="0" w:line="240" w:lineRule="auto"/>
              <w:rPr>
                <w:rFonts w:ascii="Calibri" w:eastAsia="Times New Roman" w:hAnsi="Calibri" w:cs="Calibri"/>
                <w:bCs/>
                <w:color w:val="000000"/>
                <w:kern w:val="0"/>
                <w:shd w:val="clear" w:color="auto" w:fill="FFFFFF"/>
                <w:lang w:val="es-ES_tradnl" w:eastAsia="es-CR"/>
                <w14:ligatures w14:val="none"/>
              </w:rPr>
            </w:pPr>
          </w:p>
        </w:tc>
        <w:tc>
          <w:tcPr>
            <w:tcW w:w="3402" w:type="dxa"/>
          </w:tcPr>
          <w:p w14:paraId="0DEF50E6"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lastRenderedPageBreak/>
              <w:t xml:space="preserve">Realizar la lectura de la sesión. </w:t>
            </w:r>
          </w:p>
          <w:p w14:paraId="30FF30D7"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Elaboración de una reseña crítica de las lecturas de las sesiones 9 y 10.</w:t>
            </w:r>
          </w:p>
          <w:p w14:paraId="4901852B"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grupal: Ejercicio de lectura del Salmo 107, donde se realizará un aporte docente.</w:t>
            </w:r>
          </w:p>
          <w:p w14:paraId="5A5E8D06"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52A5337C" w14:textId="77777777" w:rsidTr="4C9C2619">
        <w:trPr>
          <w:jc w:val="center"/>
        </w:trPr>
        <w:tc>
          <w:tcPr>
            <w:tcW w:w="1271" w:type="dxa"/>
          </w:tcPr>
          <w:p w14:paraId="71014E0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lastRenderedPageBreak/>
              <w:t>12</w:t>
            </w:r>
          </w:p>
          <w:p w14:paraId="5A1BF03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CDB16F6"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4: Las novelas cortas</w:t>
            </w:r>
          </w:p>
          <w:p w14:paraId="7C0CE947"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4.1 Características y contexto de producción</w:t>
            </w:r>
          </w:p>
          <w:p w14:paraId="165E4A32"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3A512E51"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576A9E3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30444DB8" w14:textId="77777777" w:rsidR="00C542B4" w:rsidRPr="00C542B4" w:rsidRDefault="00C542B4" w:rsidP="4C9C2619">
            <w:pPr>
              <w:spacing w:after="0" w:line="240" w:lineRule="auto"/>
              <w:rPr>
                <w:rFonts w:ascii="Calibri" w:eastAsia="Times New Roman" w:hAnsi="Calibri" w:cs="Calibri"/>
                <w:color w:val="000000"/>
                <w:kern w:val="0"/>
                <w:lang w:val="es-ES" w:eastAsia="es-CR"/>
                <w14:ligatures w14:val="none"/>
              </w:rPr>
            </w:pPr>
            <w:proofErr w:type="spellStart"/>
            <w:r w:rsidRPr="4C9C2619">
              <w:rPr>
                <w:rFonts w:ascii="Calibri" w:eastAsia="Times New Roman" w:hAnsi="Calibri" w:cs="Calibri"/>
                <w:color w:val="000000"/>
                <w:kern w:val="0"/>
                <w:lang w:val="es-ES" w:eastAsia="es-CR"/>
                <w14:ligatures w14:val="none"/>
              </w:rPr>
              <w:t>Loretz</w:t>
            </w:r>
            <w:proofErr w:type="spellEnd"/>
            <w:r w:rsidRPr="4C9C2619">
              <w:rPr>
                <w:rFonts w:ascii="Calibri" w:eastAsia="Times New Roman" w:hAnsi="Calibri" w:cs="Calibri"/>
                <w:color w:val="000000"/>
                <w:kern w:val="0"/>
                <w:lang w:val="es-ES" w:eastAsia="es-CR"/>
                <w14:ligatures w14:val="none"/>
              </w:rPr>
              <w:t xml:space="preserve">, Oswald. “Novela y narración corta en Israel”. En </w:t>
            </w:r>
            <w:r w:rsidRPr="4C9C2619">
              <w:rPr>
                <w:rFonts w:ascii="Calibri" w:eastAsia="Times New Roman" w:hAnsi="Calibri" w:cs="Calibri"/>
                <w:i/>
                <w:iCs/>
                <w:color w:val="000000"/>
                <w:kern w:val="0"/>
                <w:lang w:val="es-ES" w:eastAsia="es-CR"/>
                <w14:ligatures w14:val="none"/>
              </w:rPr>
              <w:t>Palabra y mensaje del Antiguo Testamento</w:t>
            </w:r>
            <w:r w:rsidRPr="4C9C2619">
              <w:rPr>
                <w:rFonts w:ascii="Calibri" w:eastAsia="Times New Roman" w:hAnsi="Calibri" w:cs="Calibri"/>
                <w:color w:val="000000"/>
                <w:kern w:val="0"/>
                <w:lang w:val="es-ES" w:eastAsia="es-CR"/>
                <w14:ligatures w14:val="none"/>
              </w:rPr>
              <w:t xml:space="preserve">, editado por Josef </w:t>
            </w:r>
            <w:proofErr w:type="spellStart"/>
            <w:r w:rsidRPr="4C9C2619">
              <w:rPr>
                <w:rFonts w:ascii="Calibri" w:eastAsia="Times New Roman" w:hAnsi="Calibri" w:cs="Calibri"/>
                <w:color w:val="000000"/>
                <w:kern w:val="0"/>
                <w:lang w:val="es-ES" w:eastAsia="es-CR"/>
                <w14:ligatures w14:val="none"/>
              </w:rPr>
              <w:t>Schreiner</w:t>
            </w:r>
            <w:proofErr w:type="spellEnd"/>
            <w:r w:rsidRPr="4C9C2619">
              <w:rPr>
                <w:rFonts w:ascii="Calibri" w:eastAsia="Times New Roman" w:hAnsi="Calibri" w:cs="Calibri"/>
                <w:color w:val="000000"/>
                <w:kern w:val="0"/>
                <w:lang w:val="es-ES" w:eastAsia="es-CR"/>
                <w14:ligatures w14:val="none"/>
              </w:rPr>
              <w:t xml:space="preserve">, 387-407. Barcelona: Herder, 1972. </w:t>
            </w:r>
            <w:r w:rsidRPr="4C9C2619">
              <w:rPr>
                <w:rFonts w:ascii="Calibri" w:eastAsia="Times New Roman" w:hAnsi="Calibri" w:cs="Calibri"/>
                <w:color w:val="0070C0"/>
                <w:kern w:val="0"/>
                <w:lang w:val="es-ES" w:eastAsia="es-CR"/>
                <w14:ligatures w14:val="none"/>
              </w:rPr>
              <w:t>(clásico, última impresión)</w:t>
            </w:r>
          </w:p>
          <w:p w14:paraId="476645F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3997D2F4"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10849E87"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4AC26A3F"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1F72DE7C"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elaboración de una reseña crítica de lectura</w:t>
            </w:r>
          </w:p>
          <w:p w14:paraId="14CE0E98" w14:textId="77777777" w:rsidR="00C542B4" w:rsidRPr="00C542B4" w:rsidRDefault="00C542B4" w:rsidP="00C542B4">
            <w:pPr>
              <w:spacing w:after="0" w:line="240" w:lineRule="auto"/>
              <w:rPr>
                <w:rFonts w:ascii="Calibri" w:eastAsia="Times New Roman" w:hAnsi="Calibri" w:cs="Calibri"/>
                <w:bCs/>
                <w:color w:val="0070C0"/>
                <w:kern w:val="0"/>
                <w:lang w:val="es-ES_tradnl" w:eastAsia="es-CR"/>
                <w14:ligatures w14:val="none"/>
              </w:rPr>
            </w:pPr>
          </w:p>
          <w:p w14:paraId="4012A500" w14:textId="77777777" w:rsidR="00C542B4" w:rsidRPr="00C542B4" w:rsidRDefault="00C542B4" w:rsidP="00C542B4">
            <w:pPr>
              <w:spacing w:after="0" w:line="240" w:lineRule="auto"/>
              <w:rPr>
                <w:rFonts w:ascii="Calibri" w:eastAsia="Times New Roman" w:hAnsi="Calibri" w:cs="Calibri"/>
                <w:bCs/>
                <w:color w:val="000000"/>
                <w:kern w:val="0"/>
                <w:shd w:val="clear" w:color="auto" w:fill="FFFFFF"/>
                <w:lang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p w14:paraId="2650CB4A" w14:textId="77777777" w:rsidR="00C542B4" w:rsidRPr="00C542B4" w:rsidRDefault="00C542B4" w:rsidP="00C542B4">
            <w:pPr>
              <w:spacing w:after="0" w:line="240" w:lineRule="auto"/>
              <w:rPr>
                <w:rFonts w:ascii="Calibri" w:eastAsia="Times New Roman" w:hAnsi="Calibri" w:cs="Calibri"/>
                <w:kern w:val="0"/>
                <w:shd w:val="clear" w:color="auto" w:fill="FFFFFF"/>
                <w:lang w:eastAsia="es-CR"/>
                <w14:ligatures w14:val="none"/>
              </w:rPr>
            </w:pPr>
          </w:p>
        </w:tc>
        <w:tc>
          <w:tcPr>
            <w:tcW w:w="3402" w:type="dxa"/>
          </w:tcPr>
          <w:p w14:paraId="0493AB01"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 lectura de la sesión.</w:t>
            </w:r>
          </w:p>
          <w:p w14:paraId="30140607"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Elaboración de una reseña crítica de la lectura.</w:t>
            </w:r>
          </w:p>
          <w:p w14:paraId="0B380B05"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Novelas latinoamericanas y bíblicas: contextos de producción, género literario y función, donde se realizará un aporte docente.</w:t>
            </w:r>
          </w:p>
          <w:p w14:paraId="000B7572"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227AD546" w14:textId="77777777" w:rsidTr="4C9C2619">
        <w:trPr>
          <w:jc w:val="center"/>
        </w:trPr>
        <w:tc>
          <w:tcPr>
            <w:tcW w:w="1271" w:type="dxa"/>
          </w:tcPr>
          <w:p w14:paraId="26B5082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13</w:t>
            </w:r>
          </w:p>
          <w:p w14:paraId="0A07453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3F748E3"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4: Las novelas cortas</w:t>
            </w:r>
          </w:p>
          <w:p w14:paraId="50B41A9C"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4.2 Las novelas del </w:t>
            </w:r>
            <w:proofErr w:type="spellStart"/>
            <w:r w:rsidRPr="4C9C2619">
              <w:rPr>
                <w:rFonts w:ascii="Calibri" w:eastAsia="Times New Roman" w:hAnsi="Calibri" w:cs="Calibri"/>
                <w:kern w:val="0"/>
                <w:lang w:val="es-ES" w:eastAsia="es-CR"/>
                <w14:ligatures w14:val="none"/>
              </w:rPr>
              <w:t>post-exilio</w:t>
            </w:r>
            <w:proofErr w:type="spellEnd"/>
            <w:r w:rsidRPr="4C9C2619">
              <w:rPr>
                <w:rFonts w:ascii="Calibri" w:eastAsia="Times New Roman" w:hAnsi="Calibri" w:cs="Calibri"/>
                <w:kern w:val="0"/>
                <w:lang w:val="es-ES" w:eastAsia="es-CR"/>
                <w14:ligatures w14:val="none"/>
              </w:rPr>
              <w:t>: Ester, Judit, Rut, Tobit</w:t>
            </w:r>
          </w:p>
          <w:p w14:paraId="286DACF6"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12912E7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66B13212"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36DAD360"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Ester”.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xml:space="preserve">, editado por A. González Lamadrid, J. Campos Santiago, V. Pastor Julián, M. Navarro Puerto, J. Asurmendi y J.M. Sánchez Caro, 453-478. Estella: Verbo Divino, 2003. </w:t>
            </w:r>
            <w:r w:rsidRPr="00C542B4">
              <w:rPr>
                <w:rFonts w:ascii="Calibri" w:eastAsia="Times New Roman" w:hAnsi="Calibri" w:cs="Calibri"/>
                <w:color w:val="0070C0"/>
                <w:kern w:val="0"/>
                <w:lang w:val="es-ES_tradnl" w:eastAsia="es-CR"/>
                <w14:ligatures w14:val="none"/>
              </w:rPr>
              <w:t>(clásico, última impresión)</w:t>
            </w:r>
          </w:p>
          <w:p w14:paraId="03EBE6D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0C046FB9"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p w14:paraId="213ED1F8"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Judit”.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xml:space="preserve">, editado por A. González </w:t>
            </w:r>
            <w:r w:rsidRPr="00C542B4">
              <w:rPr>
                <w:rFonts w:ascii="Calibri" w:eastAsia="Times New Roman" w:hAnsi="Calibri" w:cs="Calibri"/>
                <w:color w:val="000000"/>
                <w:kern w:val="0"/>
                <w:lang w:val="es-ES_tradnl" w:eastAsia="es-CR"/>
                <w14:ligatures w14:val="none"/>
              </w:rPr>
              <w:lastRenderedPageBreak/>
              <w:t xml:space="preserve">Lamadrid, J. Campos Santiago, V. Pastor Julián, M. Navarro Puerto, J. Asurmendi y J.M. Sánchez Caro, 425-451. Estella: Verbo Divino, 2003. </w:t>
            </w:r>
            <w:r w:rsidRPr="00C542B4">
              <w:rPr>
                <w:rFonts w:ascii="Calibri" w:eastAsia="Times New Roman" w:hAnsi="Calibri" w:cs="Calibri"/>
                <w:color w:val="0070C0"/>
                <w:kern w:val="0"/>
                <w:lang w:val="es-ES_tradnl" w:eastAsia="es-CR"/>
                <w14:ligatures w14:val="none"/>
              </w:rPr>
              <w:t>(clásico, última impresión)</w:t>
            </w:r>
          </w:p>
          <w:p w14:paraId="0209CEB2"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4D4B2D99"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5821237F"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0A5B929C" w14:textId="77777777" w:rsidR="00C542B4" w:rsidRPr="00C542B4" w:rsidRDefault="00C542B4" w:rsidP="00C542B4">
            <w:pPr>
              <w:spacing w:after="0" w:line="240" w:lineRule="auto"/>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p w14:paraId="76142B7B" w14:textId="77777777" w:rsidR="00C542B4" w:rsidRPr="00C542B4" w:rsidRDefault="00C542B4" w:rsidP="00C542B4">
            <w:pPr>
              <w:spacing w:after="0" w:line="240" w:lineRule="auto"/>
              <w:rPr>
                <w:rFonts w:ascii="Calibri" w:eastAsia="Times New Roman" w:hAnsi="Calibri" w:cs="Calibri"/>
                <w:color w:val="000000"/>
                <w:kern w:val="0"/>
                <w:shd w:val="clear" w:color="auto" w:fill="FFFFFF"/>
                <w:lang w:eastAsia="es-CR"/>
                <w14:ligatures w14:val="none"/>
              </w:rPr>
            </w:pPr>
          </w:p>
        </w:tc>
        <w:tc>
          <w:tcPr>
            <w:tcW w:w="3402" w:type="dxa"/>
          </w:tcPr>
          <w:p w14:paraId="7ED51274"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lastRenderedPageBreak/>
              <w:t>Realizar las lecturas de la sesión.</w:t>
            </w:r>
          </w:p>
          <w:p w14:paraId="4F31E73F"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Elaboración de un cuadro sinóptico de las novelas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 xml:space="preserve">. </w:t>
            </w:r>
          </w:p>
          <w:p w14:paraId="48814682"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el foro temático grupal: Preguntas de análisis, donde se realizará una discusión plenaria y un aporte docente.</w:t>
            </w:r>
          </w:p>
        </w:tc>
      </w:tr>
      <w:tr w:rsidR="00C542B4" w:rsidRPr="00C542B4" w14:paraId="3CDC646B" w14:textId="77777777" w:rsidTr="4C9C2619">
        <w:trPr>
          <w:jc w:val="center"/>
        </w:trPr>
        <w:tc>
          <w:tcPr>
            <w:tcW w:w="1271" w:type="dxa"/>
          </w:tcPr>
          <w:p w14:paraId="5D54B56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14</w:t>
            </w:r>
          </w:p>
          <w:p w14:paraId="15C0C5A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1F6B7435"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4: Las novelas cortas</w:t>
            </w:r>
          </w:p>
          <w:p w14:paraId="7855D53D" w14:textId="77777777" w:rsidR="00C542B4" w:rsidRPr="00C542B4" w:rsidRDefault="00C542B4"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4.2 Las novelas del </w:t>
            </w:r>
            <w:proofErr w:type="spellStart"/>
            <w:r w:rsidRPr="4C9C2619">
              <w:rPr>
                <w:rFonts w:ascii="Calibri" w:eastAsia="Times New Roman" w:hAnsi="Calibri" w:cs="Calibri"/>
                <w:kern w:val="0"/>
                <w:lang w:val="es-ES" w:eastAsia="es-CR"/>
                <w14:ligatures w14:val="none"/>
              </w:rPr>
              <w:t>post-exilio</w:t>
            </w:r>
            <w:proofErr w:type="spellEnd"/>
            <w:r w:rsidRPr="4C9C2619">
              <w:rPr>
                <w:rFonts w:ascii="Calibri" w:eastAsia="Times New Roman" w:hAnsi="Calibri" w:cs="Calibri"/>
                <w:kern w:val="0"/>
                <w:lang w:val="es-ES" w:eastAsia="es-CR"/>
                <w14:ligatures w14:val="none"/>
              </w:rPr>
              <w:t>: Ester, Judit, Rut, Tobit</w:t>
            </w:r>
          </w:p>
          <w:p w14:paraId="0FE28A03"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color w:val="FF0000"/>
                <w:kern w:val="0"/>
                <w:lang w:val="es-ES_tradnl" w:eastAsia="es-CR"/>
                <w14:ligatures w14:val="none"/>
              </w:rPr>
            </w:pPr>
          </w:p>
        </w:tc>
        <w:tc>
          <w:tcPr>
            <w:tcW w:w="2835" w:type="dxa"/>
          </w:tcPr>
          <w:p w14:paraId="00D54A85"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119870FD"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203354E2"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Tobías”.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xml:space="preserve">, editado por A. González Lamadrid, J. Campos Santiago, V. Pastor Julián, M. Navarro Puerto, J. Asurmendi y J.M. Sánchez Caro, 403-417. Estella: Verbo Divino, 2003. </w:t>
            </w:r>
            <w:r w:rsidRPr="00C542B4">
              <w:rPr>
                <w:rFonts w:ascii="Calibri" w:eastAsia="Times New Roman" w:hAnsi="Calibri" w:cs="Calibri"/>
                <w:color w:val="0070C0"/>
                <w:kern w:val="0"/>
                <w:lang w:val="es-ES_tradnl" w:eastAsia="es-CR"/>
                <w14:ligatures w14:val="none"/>
              </w:rPr>
              <w:t>(clásico, última impresión)</w:t>
            </w:r>
          </w:p>
          <w:p w14:paraId="6C4C1F34" w14:textId="77777777" w:rsidR="00C542B4" w:rsidRPr="00C542B4" w:rsidRDefault="00C542B4" w:rsidP="00C542B4">
            <w:pPr>
              <w:spacing w:after="0" w:line="240" w:lineRule="auto"/>
              <w:rPr>
                <w:rFonts w:ascii="Calibri" w:eastAsia="Times New Roman" w:hAnsi="Calibri" w:cs="Calibri"/>
                <w:color w:val="000000"/>
                <w:kern w:val="0"/>
                <w:lang w:val="es-ES_tradnl" w:eastAsia="es-CR"/>
                <w14:ligatures w14:val="none"/>
              </w:rPr>
            </w:pPr>
          </w:p>
          <w:p w14:paraId="3F55FFD2"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6143E923" w14:textId="77777777" w:rsidR="00C542B4" w:rsidRPr="00C542B4" w:rsidRDefault="00C542B4" w:rsidP="00C542B4">
            <w:pPr>
              <w:spacing w:after="0" w:line="240" w:lineRule="auto"/>
              <w:rPr>
                <w:rFonts w:ascii="Calibri" w:eastAsia="Times New Roman" w:hAnsi="Calibri" w:cs="Calibri"/>
                <w:b/>
                <w:color w:val="0070C0"/>
                <w:kern w:val="0"/>
                <w:lang w:val="es-ES_tradnl" w:eastAsia="es-CR"/>
                <w14:ligatures w14:val="none"/>
              </w:rPr>
            </w:pPr>
          </w:p>
          <w:p w14:paraId="0553D95B" w14:textId="77777777" w:rsidR="00C542B4" w:rsidRPr="00C542B4" w:rsidRDefault="00C542B4" w:rsidP="4C9C2619">
            <w:pPr>
              <w:spacing w:after="0" w:line="240" w:lineRule="auto"/>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7CC63246" w14:textId="77777777" w:rsidR="00C542B4" w:rsidRPr="00C542B4" w:rsidRDefault="00C542B4" w:rsidP="00C542B4">
            <w:pPr>
              <w:spacing w:after="0" w:line="240" w:lineRule="auto"/>
              <w:rPr>
                <w:rFonts w:ascii="Calibri" w:eastAsia="Times New Roman" w:hAnsi="Calibri" w:cs="Calibri"/>
                <w:color w:val="FF0000"/>
                <w:kern w:val="0"/>
                <w:shd w:val="clear" w:color="auto" w:fill="FFFFFF"/>
                <w:lang w:eastAsia="es-CR"/>
                <w14:ligatures w14:val="none"/>
              </w:rPr>
            </w:pPr>
          </w:p>
        </w:tc>
        <w:tc>
          <w:tcPr>
            <w:tcW w:w="3402" w:type="dxa"/>
          </w:tcPr>
          <w:p w14:paraId="5A83ACCD"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Realizar la lectura de la sesión tomando en cuenta las preguntas de análisis.</w:t>
            </w:r>
          </w:p>
          <w:p w14:paraId="08891A9B"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Continuar con la elaboración del cuadro sinóptico de las cuatro novelas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 xml:space="preserve">. </w:t>
            </w:r>
          </w:p>
          <w:p w14:paraId="0ECE4F87"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Aporte docente: novelas e identidad en el post exilio y discusión grupal en un encuentro sincrónico virtual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w:t>
            </w:r>
          </w:p>
          <w:p w14:paraId="1BCDAFC2"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r w:rsidR="00C542B4" w:rsidRPr="00C542B4" w14:paraId="7AB58232" w14:textId="77777777" w:rsidTr="4C9C2619">
        <w:trPr>
          <w:jc w:val="center"/>
        </w:trPr>
        <w:tc>
          <w:tcPr>
            <w:tcW w:w="1271" w:type="dxa"/>
          </w:tcPr>
          <w:p w14:paraId="6E05268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15</w:t>
            </w:r>
          </w:p>
        </w:tc>
        <w:tc>
          <w:tcPr>
            <w:tcW w:w="2410" w:type="dxa"/>
          </w:tcPr>
          <w:p w14:paraId="56A3D1B9"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C542B4">
              <w:rPr>
                <w:rFonts w:ascii="Calibri" w:eastAsia="Times New Roman" w:hAnsi="Calibri" w:cs="Calibri"/>
                <w:b/>
                <w:bCs/>
                <w:kern w:val="0"/>
                <w:lang w:val="es-ES_tradnl" w:eastAsia="es-CR"/>
                <w14:ligatures w14:val="none"/>
              </w:rPr>
              <w:t>Unidad 4: Las novelas cortas</w:t>
            </w:r>
          </w:p>
          <w:p w14:paraId="65B18789" w14:textId="77777777" w:rsidR="00C542B4" w:rsidRPr="00C542B4" w:rsidRDefault="00C542B4" w:rsidP="00C542B4">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 xml:space="preserve">4.3 Síntesis y evaluación </w:t>
            </w:r>
          </w:p>
        </w:tc>
        <w:tc>
          <w:tcPr>
            <w:tcW w:w="2835" w:type="dxa"/>
          </w:tcPr>
          <w:p w14:paraId="66A99119" w14:textId="77777777" w:rsidR="00C542B4" w:rsidRPr="00C542B4" w:rsidRDefault="00C542B4" w:rsidP="00C542B4">
            <w:pPr>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Ruta de aprendizaje</w:t>
            </w:r>
          </w:p>
          <w:p w14:paraId="12304F5D" w14:textId="77777777" w:rsidR="00C542B4" w:rsidRPr="00C542B4" w:rsidRDefault="00C542B4" w:rsidP="00C542B4">
            <w:pPr>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6261701C" w14:textId="77777777" w:rsidR="00C542B4" w:rsidRPr="00C542B4" w:rsidRDefault="00C542B4" w:rsidP="00C542B4">
            <w:pPr>
              <w:autoSpaceDE w:val="0"/>
              <w:autoSpaceDN w:val="0"/>
              <w:adjustRightInd w:val="0"/>
              <w:spacing w:after="0" w:line="240" w:lineRule="auto"/>
              <w:rPr>
                <w:rFonts w:ascii="Calibri" w:eastAsia="Times New Roman" w:hAnsi="Calibri" w:cs="Calibri"/>
                <w:b/>
                <w:color w:val="0070C0"/>
                <w:kern w:val="0"/>
                <w:lang w:val="es-ES_tradnl" w:eastAsia="es-CR"/>
                <w14:ligatures w14:val="none"/>
              </w:rPr>
            </w:pPr>
            <w:r w:rsidRPr="00C542B4">
              <w:rPr>
                <w:rFonts w:ascii="Calibri" w:eastAsia="Times New Roman" w:hAnsi="Calibri" w:cs="Calibri"/>
                <w:b/>
                <w:color w:val="0070C0"/>
                <w:kern w:val="0"/>
                <w:lang w:val="es-ES_tradnl" w:eastAsia="es-CR"/>
                <w14:ligatures w14:val="none"/>
              </w:rPr>
              <w:t>Material complementario</w:t>
            </w:r>
          </w:p>
          <w:p w14:paraId="4F16CD65" w14:textId="77777777" w:rsidR="00C542B4" w:rsidRPr="00C542B4" w:rsidRDefault="00C542B4" w:rsidP="00C542B4">
            <w:pPr>
              <w:autoSpaceDE w:val="0"/>
              <w:autoSpaceDN w:val="0"/>
              <w:adjustRightInd w:val="0"/>
              <w:spacing w:after="0" w:line="240" w:lineRule="auto"/>
              <w:rPr>
                <w:rFonts w:ascii="Calibri" w:eastAsia="Times New Roman" w:hAnsi="Calibri" w:cs="Calibri"/>
                <w:b/>
                <w:color w:val="0070C0"/>
                <w:kern w:val="0"/>
                <w:lang w:val="es-ES_tradnl" w:eastAsia="es-CR"/>
                <w14:ligatures w14:val="none"/>
              </w:rPr>
            </w:pPr>
          </w:p>
          <w:p w14:paraId="38D272C2" w14:textId="77777777" w:rsidR="00C542B4" w:rsidRPr="00C542B4" w:rsidRDefault="00C542B4" w:rsidP="00C542B4">
            <w:pPr>
              <w:autoSpaceDE w:val="0"/>
              <w:autoSpaceDN w:val="0"/>
              <w:adjustRightInd w:val="0"/>
              <w:spacing w:after="0" w:line="240" w:lineRule="auto"/>
              <w:rPr>
                <w:rFonts w:ascii="Calibri" w:eastAsia="Times New Roman" w:hAnsi="Calibri" w:cs="Calibri"/>
                <w:bCs/>
                <w:color w:val="0070C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wiki en la plataforma Moodle</w:t>
            </w:r>
          </w:p>
          <w:p w14:paraId="7C8958DC" w14:textId="77777777" w:rsidR="00C542B4" w:rsidRPr="00C542B4" w:rsidRDefault="00C542B4" w:rsidP="00C542B4">
            <w:pPr>
              <w:autoSpaceDE w:val="0"/>
              <w:autoSpaceDN w:val="0"/>
              <w:adjustRightInd w:val="0"/>
              <w:spacing w:after="0" w:line="240" w:lineRule="auto"/>
              <w:rPr>
                <w:rFonts w:ascii="Calibri" w:eastAsia="Times New Roman" w:hAnsi="Calibri" w:cs="Calibri"/>
                <w:bCs/>
                <w:color w:val="0070C0"/>
                <w:kern w:val="0"/>
                <w:lang w:val="es-ES_tradnl" w:eastAsia="es-CR"/>
                <w14:ligatures w14:val="none"/>
              </w:rPr>
            </w:pPr>
          </w:p>
          <w:p w14:paraId="3C22EEB3" w14:textId="77777777" w:rsidR="00C542B4" w:rsidRPr="00C542B4" w:rsidRDefault="00C542B4" w:rsidP="00C542B4">
            <w:pPr>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70C0"/>
                <w:kern w:val="0"/>
                <w:lang w:val="es-ES_tradnl" w:eastAsia="es-CR"/>
                <w14:ligatures w14:val="none"/>
              </w:rPr>
              <w:t>Guía para la participación en un foro en la plataforma Moodle</w:t>
            </w:r>
          </w:p>
        </w:tc>
        <w:tc>
          <w:tcPr>
            <w:tcW w:w="3402" w:type="dxa"/>
          </w:tcPr>
          <w:p w14:paraId="232C2FC2"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Participación en la elaboración de la síntesis grupal del aprendizaje en el curso (wiki).</w:t>
            </w:r>
          </w:p>
          <w:p w14:paraId="7130DA13"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Presentación de la síntesis grupal a través del wiki.</w:t>
            </w:r>
          </w:p>
          <w:p w14:paraId="7A2AF85F"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Participación en el foro: Evaluación colectiva del curso </w:t>
            </w:r>
            <w:r w:rsidRPr="00C542B4">
              <w:rPr>
                <w:rFonts w:ascii="Calibri" w:eastAsia="Times New Roman" w:hAnsi="Calibri" w:cs="Calibri"/>
                <w:kern w:val="0"/>
                <w:lang w:val="es-ES_tradnl" w:eastAsia="es-CR"/>
                <w14:ligatures w14:val="none"/>
              </w:rPr>
              <w:t>(formativo)</w:t>
            </w:r>
            <w:r w:rsidRPr="00C542B4">
              <w:rPr>
                <w:rFonts w:ascii="Calibri" w:eastAsia="Times New Roman" w:hAnsi="Calibri" w:cs="Calibri"/>
                <w:color w:val="000000"/>
                <w:kern w:val="0"/>
                <w:lang w:val="es-ES_tradnl" w:eastAsia="es-CR"/>
                <w14:ligatures w14:val="none"/>
              </w:rPr>
              <w:t>.</w:t>
            </w:r>
          </w:p>
          <w:p w14:paraId="5D873CE3" w14:textId="77777777" w:rsidR="00C542B4" w:rsidRPr="00C542B4" w:rsidRDefault="00C542B4" w:rsidP="00C542B4">
            <w:pPr>
              <w:widowControl w:val="0"/>
              <w:numPr>
                <w:ilvl w:val="1"/>
                <w:numId w:val="102"/>
              </w:numPr>
              <w:overflowPunct w:val="0"/>
              <w:autoSpaceDE w:val="0"/>
              <w:autoSpaceDN w:val="0"/>
              <w:adjustRightInd w:val="0"/>
              <w:spacing w:before="120" w:after="0" w:line="240" w:lineRule="auto"/>
              <w:ind w:left="243"/>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Entrega de la auto evaluación del proceso de aprendizaje en el curso.</w:t>
            </w:r>
          </w:p>
          <w:p w14:paraId="2837AB5B" w14:textId="77777777" w:rsidR="00C542B4" w:rsidRPr="00C542B4" w:rsidRDefault="00C542B4" w:rsidP="00C542B4">
            <w:pPr>
              <w:spacing w:after="0" w:line="240" w:lineRule="auto"/>
              <w:ind w:left="243"/>
              <w:rPr>
                <w:rFonts w:ascii="Calibri" w:eastAsia="Times New Roman" w:hAnsi="Calibri" w:cs="Calibri"/>
                <w:color w:val="000000"/>
                <w:kern w:val="0"/>
                <w:lang w:val="es-ES_tradnl" w:eastAsia="es-CR"/>
                <w14:ligatures w14:val="none"/>
              </w:rPr>
            </w:pPr>
          </w:p>
        </w:tc>
      </w:tr>
    </w:tbl>
    <w:p w14:paraId="50C6E209" w14:textId="77777777" w:rsidR="00C542B4" w:rsidRPr="00C542B4" w:rsidRDefault="00C542B4" w:rsidP="00C542B4">
      <w:pPr>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br w:type="page"/>
      </w:r>
      <w:r w:rsidRPr="00C542B4">
        <w:rPr>
          <w:rFonts w:ascii="Calibri" w:eastAsia="Times New Roman" w:hAnsi="Calibri" w:cs="Calibri"/>
          <w:b/>
          <w:bCs/>
          <w:color w:val="000000"/>
          <w:kern w:val="0"/>
          <w:lang w:val="es-ES_tradnl" w:eastAsia="es-CR"/>
          <w14:ligatures w14:val="none"/>
        </w:rPr>
        <w:lastRenderedPageBreak/>
        <w:t>IX. Distribución de tiempo semanal</w:t>
      </w:r>
    </w:p>
    <w:p w14:paraId="78DA616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de textos bíblicos, tareas y discusiones en foros o trabajos colaborativos.  Debe considerarse que, al tener este curso asignados 4 créditos, se debe invertir 12 horas de trabajo por semana. La distribución de tiempos es la siguiente:</w:t>
      </w:r>
    </w:p>
    <w:p w14:paraId="6CD7F9CB"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3"/>
        <w:tblW w:w="8784" w:type="dxa"/>
        <w:tblLook w:val="04A0" w:firstRow="1" w:lastRow="0" w:firstColumn="1" w:lastColumn="0" w:noHBand="0" w:noVBand="1"/>
      </w:tblPr>
      <w:tblGrid>
        <w:gridCol w:w="1980"/>
        <w:gridCol w:w="1417"/>
        <w:gridCol w:w="5387"/>
      </w:tblGrid>
      <w:tr w:rsidR="00C542B4" w:rsidRPr="00C542B4" w14:paraId="0C3BE16A" w14:textId="77777777" w:rsidTr="4C9C2619">
        <w:trPr>
          <w:trHeight w:val="657"/>
        </w:trPr>
        <w:tc>
          <w:tcPr>
            <w:tcW w:w="1980" w:type="dxa"/>
            <w:vAlign w:val="center"/>
          </w:tcPr>
          <w:p w14:paraId="3496DC4E"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C542B4">
              <w:rPr>
                <w:rFonts w:ascii="Calibri" w:eastAsia="Times New Roman" w:hAnsi="Calibri" w:cs="Calibri"/>
                <w:b/>
                <w:bCs/>
                <w:color w:val="000000"/>
                <w:lang w:val="es-ES_tradnl" w:eastAsia="es-CR"/>
              </w:rPr>
              <w:t>Tipo de horas</w:t>
            </w:r>
          </w:p>
          <w:p w14:paraId="1A8E640C"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C542B4">
              <w:rPr>
                <w:rFonts w:ascii="Calibri" w:eastAsia="Times New Roman" w:hAnsi="Calibri" w:cs="Calibri"/>
                <w:b/>
                <w:bCs/>
                <w:color w:val="000000"/>
                <w:lang w:val="es-ES_tradnl" w:eastAsia="es-CR"/>
              </w:rPr>
              <w:t>(categoría)</w:t>
            </w:r>
          </w:p>
        </w:tc>
        <w:tc>
          <w:tcPr>
            <w:tcW w:w="1417" w:type="dxa"/>
            <w:vAlign w:val="center"/>
          </w:tcPr>
          <w:p w14:paraId="63A0CD51"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C542B4">
              <w:rPr>
                <w:rFonts w:ascii="Calibri" w:eastAsia="Times New Roman" w:hAnsi="Calibri" w:cs="Calibri"/>
                <w:b/>
                <w:bCs/>
                <w:color w:val="000000"/>
                <w:lang w:val="es-ES_tradnl" w:eastAsia="es-CR"/>
              </w:rPr>
              <w:t>Horas por semana</w:t>
            </w:r>
          </w:p>
        </w:tc>
        <w:tc>
          <w:tcPr>
            <w:tcW w:w="5387" w:type="dxa"/>
            <w:vAlign w:val="center"/>
          </w:tcPr>
          <w:p w14:paraId="2AF175AB"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C542B4">
              <w:rPr>
                <w:rFonts w:ascii="Calibri" w:eastAsia="Times New Roman" w:hAnsi="Calibri" w:cs="Calibri"/>
                <w:b/>
                <w:bCs/>
                <w:color w:val="000000"/>
                <w:lang w:val="es-ES_tradnl" w:eastAsia="es-CR"/>
              </w:rPr>
              <w:t>Actividades relacionadas</w:t>
            </w:r>
          </w:p>
        </w:tc>
      </w:tr>
      <w:tr w:rsidR="00C542B4" w:rsidRPr="00C542B4" w14:paraId="562CD3CD" w14:textId="77777777" w:rsidTr="4C9C2619">
        <w:trPr>
          <w:trHeight w:val="679"/>
        </w:trPr>
        <w:tc>
          <w:tcPr>
            <w:tcW w:w="1980" w:type="dxa"/>
            <w:vAlign w:val="center"/>
          </w:tcPr>
          <w:p w14:paraId="70434D23"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Horas de Estudio Individual (HEI)</w:t>
            </w:r>
          </w:p>
        </w:tc>
        <w:tc>
          <w:tcPr>
            <w:tcW w:w="1417" w:type="dxa"/>
            <w:vAlign w:val="center"/>
          </w:tcPr>
          <w:p w14:paraId="60F3294E"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3</w:t>
            </w:r>
          </w:p>
        </w:tc>
        <w:tc>
          <w:tcPr>
            <w:tcW w:w="5387" w:type="dxa"/>
          </w:tcPr>
          <w:p w14:paraId="6B847D42" w14:textId="77777777" w:rsidR="00C542B4" w:rsidRPr="00C542B4" w:rsidRDefault="00C542B4" w:rsidP="00C542B4">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Lectura de los textos (materiales en formato digital).</w:t>
            </w:r>
          </w:p>
          <w:p w14:paraId="54C64AB5" w14:textId="77777777" w:rsidR="00C542B4" w:rsidRPr="00C542B4" w:rsidRDefault="00C542B4" w:rsidP="00C542B4">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Análisis de lecturas e investigación por cuenta propia.</w:t>
            </w:r>
          </w:p>
        </w:tc>
      </w:tr>
      <w:tr w:rsidR="00C542B4" w:rsidRPr="00C542B4" w14:paraId="6903D8DF" w14:textId="77777777" w:rsidTr="4C9C2619">
        <w:trPr>
          <w:trHeight w:val="1824"/>
        </w:trPr>
        <w:tc>
          <w:tcPr>
            <w:tcW w:w="1980" w:type="dxa"/>
            <w:vAlign w:val="center"/>
          </w:tcPr>
          <w:p w14:paraId="10C63558"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Horas de Trabajo Colaborativo (HTC)</w:t>
            </w:r>
          </w:p>
        </w:tc>
        <w:tc>
          <w:tcPr>
            <w:tcW w:w="1417" w:type="dxa"/>
            <w:vAlign w:val="center"/>
          </w:tcPr>
          <w:p w14:paraId="1EF92A97"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3</w:t>
            </w:r>
          </w:p>
        </w:tc>
        <w:tc>
          <w:tcPr>
            <w:tcW w:w="5387" w:type="dxa"/>
          </w:tcPr>
          <w:p w14:paraId="57E3B07B" w14:textId="77777777" w:rsidR="00C542B4" w:rsidRPr="00C542B4" w:rsidRDefault="00C542B4" w:rsidP="00C542B4">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Participación en los foros temáticos (incluye aportes personales y réplicas a los demás estudiantes).</w:t>
            </w:r>
          </w:p>
          <w:p w14:paraId="54F63F6A" w14:textId="77777777" w:rsidR="00C542B4" w:rsidRPr="00C542B4" w:rsidRDefault="00C542B4" w:rsidP="00C542B4">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Participación en la elaboración de un glosario.</w:t>
            </w:r>
          </w:p>
          <w:p w14:paraId="05EBB275" w14:textId="77777777" w:rsidR="00C542B4" w:rsidRPr="00C542B4" w:rsidRDefault="00C542B4" w:rsidP="00C542B4">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Participación en la elaboración de la síntesis final del grupo (wiki).</w:t>
            </w:r>
          </w:p>
          <w:p w14:paraId="3E29EA07" w14:textId="77777777" w:rsidR="00C542B4" w:rsidRPr="00C542B4" w:rsidRDefault="00C542B4" w:rsidP="00C542B4">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Participación en los encuentros sincrónicos virtuales.</w:t>
            </w:r>
          </w:p>
        </w:tc>
      </w:tr>
      <w:tr w:rsidR="00C542B4" w:rsidRPr="00C542B4" w14:paraId="6726F9D8" w14:textId="77777777" w:rsidTr="4C9C2619">
        <w:trPr>
          <w:trHeight w:val="1298"/>
        </w:trPr>
        <w:tc>
          <w:tcPr>
            <w:tcW w:w="1980" w:type="dxa"/>
            <w:vAlign w:val="center"/>
          </w:tcPr>
          <w:p w14:paraId="53A3C40B"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Horas de Producción Individual (HPI)</w:t>
            </w:r>
          </w:p>
        </w:tc>
        <w:tc>
          <w:tcPr>
            <w:tcW w:w="1417" w:type="dxa"/>
            <w:vAlign w:val="center"/>
          </w:tcPr>
          <w:p w14:paraId="4CA4BC74"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C542B4">
              <w:rPr>
                <w:rFonts w:ascii="Calibri" w:eastAsia="Times New Roman" w:hAnsi="Calibri" w:cs="Calibri"/>
                <w:bCs/>
                <w:color w:val="000000"/>
                <w:lang w:val="es-ES_tradnl" w:eastAsia="es-CR"/>
              </w:rPr>
              <w:t>6</w:t>
            </w:r>
          </w:p>
        </w:tc>
        <w:tc>
          <w:tcPr>
            <w:tcW w:w="5387" w:type="dxa"/>
          </w:tcPr>
          <w:p w14:paraId="66DE7B8A" w14:textId="77777777" w:rsidR="00C542B4" w:rsidRPr="00C542B4" w:rsidRDefault="00C542B4" w:rsidP="00C542B4">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Elaboración de un ensayo sobre un acercamiento de género a los textos proféticos.</w:t>
            </w:r>
          </w:p>
          <w:p w14:paraId="00364F54" w14:textId="77777777" w:rsidR="00C542B4" w:rsidRPr="00C542B4" w:rsidRDefault="00C542B4" w:rsidP="00C542B4">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Elaboración de reseñas críticas de lecturas.</w:t>
            </w:r>
          </w:p>
          <w:p w14:paraId="3E8DF619" w14:textId="77777777" w:rsidR="00C542B4" w:rsidRPr="00C542B4" w:rsidRDefault="00C542B4" w:rsidP="00C542B4">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C542B4">
              <w:rPr>
                <w:rFonts w:ascii="Calibri" w:eastAsia="Calibri" w:hAnsi="Calibri" w:cs="Calibri"/>
                <w:bCs/>
                <w:color w:val="000000"/>
              </w:rPr>
              <w:t>Elaboración de un festival de citas.</w:t>
            </w:r>
          </w:p>
        </w:tc>
      </w:tr>
      <w:tr w:rsidR="00C542B4" w:rsidRPr="00C542B4" w14:paraId="73B9CFB0" w14:textId="77777777" w:rsidTr="4C9C2619">
        <w:tc>
          <w:tcPr>
            <w:tcW w:w="1980" w:type="dxa"/>
            <w:vAlign w:val="center"/>
          </w:tcPr>
          <w:p w14:paraId="5D4BB6BF" w14:textId="77777777" w:rsidR="00C542B4" w:rsidRPr="00C542B4" w:rsidRDefault="4C9C2619" w:rsidP="4C9C2619">
            <w:pPr>
              <w:widowControl w:val="0"/>
              <w:overflowPunct w:val="0"/>
              <w:autoSpaceDE w:val="0"/>
              <w:autoSpaceDN w:val="0"/>
              <w:adjustRightInd w:val="0"/>
              <w:jc w:val="center"/>
              <w:rPr>
                <w:rFonts w:ascii="Calibri" w:eastAsia="Times New Roman" w:hAnsi="Calibri" w:cs="Calibri"/>
                <w:b/>
                <w:bCs/>
                <w:color w:val="000000"/>
                <w:lang w:eastAsia="es-CR"/>
              </w:rPr>
            </w:pPr>
            <w:r w:rsidRPr="4C9C2619">
              <w:rPr>
                <w:rFonts w:ascii="Calibri" w:eastAsia="Times New Roman" w:hAnsi="Calibri" w:cs="Calibri"/>
                <w:b/>
                <w:bCs/>
                <w:color w:val="000000" w:themeColor="text1"/>
                <w:lang w:eastAsia="es-CR"/>
              </w:rPr>
              <w:t>Total de horas (TH)</w:t>
            </w:r>
          </w:p>
        </w:tc>
        <w:tc>
          <w:tcPr>
            <w:tcW w:w="1417" w:type="dxa"/>
          </w:tcPr>
          <w:p w14:paraId="3CAEB114"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C542B4">
              <w:rPr>
                <w:rFonts w:ascii="Calibri" w:eastAsia="Times New Roman" w:hAnsi="Calibri" w:cs="Calibri"/>
                <w:b/>
                <w:bCs/>
                <w:color w:val="000000"/>
                <w:lang w:val="es-ES_tradnl" w:eastAsia="es-CR"/>
              </w:rPr>
              <w:t>12</w:t>
            </w:r>
          </w:p>
        </w:tc>
        <w:tc>
          <w:tcPr>
            <w:tcW w:w="5387" w:type="dxa"/>
          </w:tcPr>
          <w:p w14:paraId="14CC1121" w14:textId="77777777" w:rsidR="00C542B4" w:rsidRPr="00C542B4" w:rsidRDefault="00C542B4" w:rsidP="00C542B4">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3A6195B0"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CB8596D" w14:textId="77777777" w:rsidR="00C542B4" w:rsidRPr="00C542B4" w:rsidRDefault="00C542B4"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574B984B"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A1E4C17"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 w:val="24"/>
          <w:szCs w:val="24"/>
          <w:lang w:val="es-ES_tradnl" w:eastAsia="es-CR"/>
          <w14:ligatures w14:val="none"/>
        </w:rPr>
      </w:pPr>
    </w:p>
    <w:p w14:paraId="4759D5D6" w14:textId="77777777" w:rsidR="00C542B4" w:rsidRPr="00C542B4" w:rsidRDefault="00C542B4" w:rsidP="00C542B4">
      <w:pPr>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br w:type="page"/>
      </w:r>
    </w:p>
    <w:p w14:paraId="5C6D5785"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lastRenderedPageBreak/>
        <w:t>X. Evaluación</w:t>
      </w:r>
      <w:r w:rsidRPr="00C542B4">
        <w:rPr>
          <w:rFonts w:ascii="Calibri" w:eastAsia="Times New Roman" w:hAnsi="Calibri" w:cs="Calibri"/>
          <w:b/>
          <w:bCs/>
          <w:color w:val="000000"/>
          <w:kern w:val="0"/>
          <w:lang w:val="es-ES_tradnl" w:eastAsia="es-CR"/>
          <w14:ligatures w14:val="none"/>
        </w:rPr>
        <w:tab/>
      </w:r>
    </w:p>
    <w:p w14:paraId="69C36EEB" w14:textId="77777777" w:rsidR="00C542B4" w:rsidRPr="00C542B4" w:rsidRDefault="00C542B4"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El curso incorpora diversos tipos de evaluación. La evaluación diagnóstica se realiza en la primera sesión del curso. Como aspectos de la evaluación formativa se analizarán los procesos de aprendizaje y su desarrollo a lo largo del curso, como también la realización de las actividades y la interacción grupal virtual. La retroalimentación de la persona docente será fundamental para orientar el desarrollo de las capacidades cognitivas y reflexivas de los y las estudiantes. La evaluación cuantitativa asigna un porcentaje a las diversas actividades a ser realizadas durante el curso, como también a la participación en las sesiones en la plataforma Moodle y las actividades que se realizan en el aula virtual. El curso se aprueba con una nota mínima de 7.00 (en escala decimal). A continuación, se detalla el porcentaje asignado a cada uno de los rubros que se considerarán para el cálculo de la nota final:</w:t>
      </w:r>
    </w:p>
    <w:tbl>
      <w:tblPr>
        <w:tblpPr w:leftFromText="141" w:rightFromText="141" w:vertAnchor="text" w:horzAnchor="page" w:tblpXSpec="center" w:tblpY="324"/>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915"/>
        <w:gridCol w:w="1260"/>
      </w:tblGrid>
      <w:tr w:rsidR="00C542B4" w:rsidRPr="00C542B4" w14:paraId="0478E01E" w14:textId="77777777" w:rsidTr="00CE7124">
        <w:trPr>
          <w:trHeight w:val="281"/>
        </w:trPr>
        <w:tc>
          <w:tcPr>
            <w:tcW w:w="9175" w:type="dxa"/>
            <w:gridSpan w:val="2"/>
            <w:vAlign w:val="center"/>
          </w:tcPr>
          <w:p w14:paraId="098312E7" w14:textId="77777777" w:rsidR="00C542B4" w:rsidRPr="00C542B4" w:rsidRDefault="00C542B4" w:rsidP="00C542B4">
            <w:pPr>
              <w:autoSpaceDE w:val="0"/>
              <w:autoSpaceDN w:val="0"/>
              <w:adjustRightInd w:val="0"/>
              <w:spacing w:after="0" w:line="240" w:lineRule="auto"/>
              <w:contextualSpacing/>
              <w:jc w:val="center"/>
              <w:rPr>
                <w:rFonts w:ascii="Calibri" w:eastAsia="Calibri" w:hAnsi="Calibri" w:cs="Calibri"/>
                <w:b/>
                <w:color w:val="000000"/>
                <w:kern w:val="0"/>
                <w:lang w:val="es-ES_tradnl" w:eastAsia="es-CR"/>
                <w14:ligatures w14:val="none"/>
              </w:rPr>
            </w:pPr>
            <w:r w:rsidRPr="00C542B4">
              <w:rPr>
                <w:rFonts w:ascii="Calibri" w:eastAsia="Calibri" w:hAnsi="Calibri" w:cs="Calibri"/>
                <w:b/>
                <w:color w:val="000000"/>
                <w:kern w:val="0"/>
                <w:lang w:val="es-ES_tradnl" w:eastAsia="es-CR"/>
                <w14:ligatures w14:val="none"/>
              </w:rPr>
              <w:t>Síntesis cuantitativa de la evaluación</w:t>
            </w:r>
          </w:p>
        </w:tc>
      </w:tr>
      <w:tr w:rsidR="00C542B4" w:rsidRPr="00C542B4" w14:paraId="37F72959" w14:textId="77777777" w:rsidTr="00CE7124">
        <w:tc>
          <w:tcPr>
            <w:tcW w:w="7915" w:type="dxa"/>
            <w:vAlign w:val="center"/>
          </w:tcPr>
          <w:p w14:paraId="2C3A9B38"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Calibri"/>
                <w:bCs/>
                <w:color w:val="000000"/>
                <w:kern w:val="0"/>
                <w14:ligatures w14:val="none"/>
              </w:rPr>
            </w:pPr>
            <w:r w:rsidRPr="00C542B4">
              <w:rPr>
                <w:rFonts w:ascii="Calibri" w:eastAsia="Calibri" w:hAnsi="Calibri" w:cs="Calibri"/>
                <w:b/>
                <w:color w:val="000000"/>
                <w:kern w:val="0"/>
                <w:lang w:val="es-ES_tradnl" w:eastAsia="es-CR"/>
                <w14:ligatures w14:val="none"/>
              </w:rPr>
              <w:t>Rubros para evaluar</w:t>
            </w:r>
          </w:p>
        </w:tc>
        <w:tc>
          <w:tcPr>
            <w:tcW w:w="1260" w:type="dxa"/>
            <w:vAlign w:val="center"/>
          </w:tcPr>
          <w:p w14:paraId="5F616F49" w14:textId="77777777" w:rsidR="00C542B4" w:rsidRPr="00C542B4" w:rsidRDefault="00C542B4" w:rsidP="00C542B4">
            <w:pPr>
              <w:autoSpaceDE w:val="0"/>
              <w:autoSpaceDN w:val="0"/>
              <w:adjustRightInd w:val="0"/>
              <w:spacing w:after="0" w:line="240" w:lineRule="auto"/>
              <w:contextualSpacing/>
              <w:jc w:val="center"/>
              <w:rPr>
                <w:rFonts w:ascii="Calibri" w:eastAsia="Calibri" w:hAnsi="Calibri" w:cs="Calibri"/>
                <w:b/>
                <w:bCs/>
                <w:i/>
                <w:color w:val="000000"/>
                <w:kern w:val="0"/>
                <w14:ligatures w14:val="none"/>
              </w:rPr>
            </w:pPr>
            <w:r w:rsidRPr="00C542B4">
              <w:rPr>
                <w:rFonts w:ascii="Calibri" w:eastAsia="Calibri" w:hAnsi="Calibri" w:cs="Calibri"/>
                <w:b/>
                <w:color w:val="000000"/>
                <w:kern w:val="0"/>
                <w:lang w:val="es-ES_tradnl" w:eastAsia="es-CR"/>
                <w14:ligatures w14:val="none"/>
              </w:rPr>
              <w:t>Porcentaje total</w:t>
            </w:r>
          </w:p>
        </w:tc>
      </w:tr>
      <w:tr w:rsidR="00C542B4" w:rsidRPr="00C542B4" w14:paraId="5BE9E5D8" w14:textId="77777777" w:rsidTr="00CE7124">
        <w:tc>
          <w:tcPr>
            <w:tcW w:w="7915" w:type="dxa"/>
          </w:tcPr>
          <w:p w14:paraId="1FFA0F67"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Encuentros sincrónicos virtuales</w:t>
            </w:r>
          </w:p>
          <w:p w14:paraId="572DB49D"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Cs/>
                <w:color w:val="000000"/>
                <w:kern w:val="0"/>
                <w14:ligatures w14:val="none"/>
              </w:rPr>
              <w:t>Se llevan a cabo en las sesiones 1, 6, 8, 10 y 14. Tienen un valor formativo y no sumativo.</w:t>
            </w:r>
          </w:p>
        </w:tc>
        <w:tc>
          <w:tcPr>
            <w:tcW w:w="1260" w:type="dxa"/>
            <w:vAlign w:val="center"/>
          </w:tcPr>
          <w:p w14:paraId="0F76CED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bCs/>
                <w:color w:val="000000"/>
                <w:kern w:val="0"/>
                <w:lang w:val="es-ES_tradnl" w:eastAsia="es-CR"/>
                <w14:ligatures w14:val="none"/>
              </w:rPr>
              <w:t>̶</w:t>
            </w:r>
          </w:p>
        </w:tc>
      </w:tr>
      <w:tr w:rsidR="00C542B4" w:rsidRPr="00C542B4" w14:paraId="34457AF0" w14:textId="77777777" w:rsidTr="00CE7124">
        <w:tc>
          <w:tcPr>
            <w:tcW w:w="7915" w:type="dxa"/>
          </w:tcPr>
          <w:p w14:paraId="37238435"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70C0"/>
                <w:kern w:val="0"/>
                <w14:ligatures w14:val="none"/>
              </w:rPr>
            </w:pPr>
            <w:r w:rsidRPr="00C542B4">
              <w:rPr>
                <w:rFonts w:ascii="Calibri" w:eastAsia="Calibri" w:hAnsi="Calibri" w:cs="Calibri"/>
                <w:b/>
                <w:bCs/>
                <w:i/>
                <w:color w:val="0070C0"/>
                <w:kern w:val="0"/>
                <w14:ligatures w14:val="none"/>
              </w:rPr>
              <w:t>Foros temáticos</w:t>
            </w:r>
          </w:p>
          <w:p w14:paraId="6893BEF1"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70C0"/>
                <w:kern w:val="0"/>
                <w14:ligatures w14:val="none"/>
              </w:rPr>
              <w:t>La participación en el aula virtual comprende los foros temáticos de las sesiones 1, 2, 3, 4, 6, 7, 9, 11, 12 y 13. Cada foro tiene un valor de 1,5%.</w:t>
            </w:r>
          </w:p>
        </w:tc>
        <w:tc>
          <w:tcPr>
            <w:tcW w:w="1260" w:type="dxa"/>
            <w:vAlign w:val="center"/>
          </w:tcPr>
          <w:p w14:paraId="07110DA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C542B4">
              <w:rPr>
                <w:rFonts w:ascii="Calibri" w:eastAsia="Times New Roman" w:hAnsi="Calibri" w:cs="Calibri"/>
                <w:iCs/>
                <w:color w:val="0070C0"/>
                <w:kern w:val="0"/>
                <w:lang w:val="es-ES_tradnl" w:eastAsia="es-CR"/>
                <w14:ligatures w14:val="none"/>
              </w:rPr>
              <w:t>15%</w:t>
            </w:r>
          </w:p>
        </w:tc>
      </w:tr>
      <w:tr w:rsidR="00C542B4" w:rsidRPr="00C542B4" w14:paraId="5ED2B147" w14:textId="77777777" w:rsidTr="00CE7124">
        <w:tc>
          <w:tcPr>
            <w:tcW w:w="7915" w:type="dxa"/>
          </w:tcPr>
          <w:p w14:paraId="688A16A9"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Festival de citas</w:t>
            </w:r>
          </w:p>
          <w:p w14:paraId="14944A8E"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Se desarrolla en la sesión 5.</w:t>
            </w:r>
          </w:p>
        </w:tc>
        <w:tc>
          <w:tcPr>
            <w:tcW w:w="1260" w:type="dxa"/>
            <w:vAlign w:val="center"/>
          </w:tcPr>
          <w:p w14:paraId="17FCF86A"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15%</w:t>
            </w:r>
          </w:p>
        </w:tc>
      </w:tr>
      <w:tr w:rsidR="00C542B4" w:rsidRPr="00C542B4" w14:paraId="4F79C1AB" w14:textId="77777777" w:rsidTr="00CE7124">
        <w:tc>
          <w:tcPr>
            <w:tcW w:w="7915" w:type="dxa"/>
          </w:tcPr>
          <w:p w14:paraId="53E7E887"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Reseñas críticas de lecturas</w:t>
            </w:r>
          </w:p>
          <w:p w14:paraId="02D066ED"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 xml:space="preserve">Las reseñas críticas que se elaboran en las sesiones 2, 3 y 12 tienen un valor de 3% cada una. La reseña crítica que se elabora en la sesión 11 (que incluye las lecturas de las sesiones 9 y 10) tiene un valor de 6%. </w:t>
            </w:r>
          </w:p>
        </w:tc>
        <w:tc>
          <w:tcPr>
            <w:tcW w:w="1260" w:type="dxa"/>
            <w:vAlign w:val="center"/>
          </w:tcPr>
          <w:p w14:paraId="10094A7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15%</w:t>
            </w:r>
          </w:p>
        </w:tc>
      </w:tr>
      <w:tr w:rsidR="00C542B4" w:rsidRPr="00C542B4" w14:paraId="786E7D56" w14:textId="77777777" w:rsidTr="00CE7124">
        <w:tc>
          <w:tcPr>
            <w:tcW w:w="7915" w:type="dxa"/>
          </w:tcPr>
          <w:p w14:paraId="0D07AE31"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Glosario grupal de literatura sapiencial</w:t>
            </w:r>
          </w:p>
          <w:p w14:paraId="7AB244F2"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Se desarrolla en las sesiones 7, 8 y 9. Un 15% corresponde a la evaluación docente y un 5% corresponde a la coevaluación entre los y las estudiantes integrantes de cada grupo.</w:t>
            </w:r>
          </w:p>
        </w:tc>
        <w:tc>
          <w:tcPr>
            <w:tcW w:w="1260" w:type="dxa"/>
            <w:vAlign w:val="center"/>
          </w:tcPr>
          <w:p w14:paraId="240BEC2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20%</w:t>
            </w:r>
          </w:p>
        </w:tc>
      </w:tr>
      <w:tr w:rsidR="00C542B4" w:rsidRPr="00C542B4" w14:paraId="6C4E8AE5" w14:textId="77777777" w:rsidTr="00CE7124">
        <w:tc>
          <w:tcPr>
            <w:tcW w:w="7915" w:type="dxa"/>
          </w:tcPr>
          <w:p w14:paraId="41CB33CB"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Ensayo sobre un acercamiento de género a los textos proféticos</w:t>
            </w:r>
          </w:p>
          <w:p w14:paraId="2B8ECDC9"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Se elabora en la sesión 4.</w:t>
            </w:r>
          </w:p>
        </w:tc>
        <w:tc>
          <w:tcPr>
            <w:tcW w:w="1260" w:type="dxa"/>
            <w:vAlign w:val="center"/>
          </w:tcPr>
          <w:p w14:paraId="2079661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20%</w:t>
            </w:r>
          </w:p>
        </w:tc>
      </w:tr>
      <w:tr w:rsidR="00C542B4" w:rsidRPr="00C542B4" w14:paraId="7638E583" w14:textId="77777777" w:rsidTr="00CE7124">
        <w:tc>
          <w:tcPr>
            <w:tcW w:w="7915" w:type="dxa"/>
          </w:tcPr>
          <w:p w14:paraId="1C336DC7"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Síntesis final del grupo</w:t>
            </w:r>
          </w:p>
          <w:p w14:paraId="7C07250F"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Se elabora en la sesión 15.</w:t>
            </w:r>
          </w:p>
        </w:tc>
        <w:tc>
          <w:tcPr>
            <w:tcW w:w="1260" w:type="dxa"/>
            <w:vAlign w:val="center"/>
          </w:tcPr>
          <w:p w14:paraId="3925B26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10%</w:t>
            </w:r>
          </w:p>
        </w:tc>
      </w:tr>
      <w:tr w:rsidR="00C542B4" w:rsidRPr="00C542B4" w14:paraId="567E88EC" w14:textId="77777777" w:rsidTr="00CE7124">
        <w:tc>
          <w:tcPr>
            <w:tcW w:w="7915" w:type="dxa"/>
          </w:tcPr>
          <w:p w14:paraId="7FC9CE38"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b/>
                <w:bCs/>
                <w:i/>
                <w:color w:val="000000"/>
                <w:kern w:val="0"/>
                <w14:ligatures w14:val="none"/>
              </w:rPr>
              <w:t>Autoevaluación</w:t>
            </w:r>
          </w:p>
          <w:p w14:paraId="7BF92F74" w14:textId="77777777" w:rsidR="00C542B4" w:rsidRPr="00C542B4" w:rsidRDefault="00C542B4" w:rsidP="00C542B4">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C542B4">
              <w:rPr>
                <w:rFonts w:ascii="Calibri" w:eastAsia="Calibri" w:hAnsi="Calibri" w:cs="Calibri"/>
                <w:iCs/>
                <w:color w:val="000000"/>
                <w:kern w:val="0"/>
                <w14:ligatures w14:val="none"/>
              </w:rPr>
              <w:t>Se realiza en la sesión 15.</w:t>
            </w:r>
          </w:p>
        </w:tc>
        <w:tc>
          <w:tcPr>
            <w:tcW w:w="1260" w:type="dxa"/>
            <w:vAlign w:val="center"/>
          </w:tcPr>
          <w:p w14:paraId="219E71C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C542B4">
              <w:rPr>
                <w:rFonts w:ascii="Calibri" w:eastAsia="Times New Roman" w:hAnsi="Calibri" w:cs="Calibri"/>
                <w:iCs/>
                <w:color w:val="000000"/>
                <w:kern w:val="0"/>
                <w:lang w:val="es-ES_tradnl" w:eastAsia="es-CR"/>
                <w14:ligatures w14:val="none"/>
              </w:rPr>
              <w:t>5%</w:t>
            </w:r>
          </w:p>
        </w:tc>
      </w:tr>
      <w:tr w:rsidR="00C542B4" w:rsidRPr="00C542B4" w14:paraId="300C7209" w14:textId="77777777" w:rsidTr="00CE7124">
        <w:trPr>
          <w:trHeight w:val="442"/>
        </w:trPr>
        <w:tc>
          <w:tcPr>
            <w:tcW w:w="7915" w:type="dxa"/>
            <w:vAlign w:val="center"/>
          </w:tcPr>
          <w:p w14:paraId="4F57AC16" w14:textId="77777777" w:rsidR="00C542B4" w:rsidRPr="00C542B4" w:rsidRDefault="00C542B4" w:rsidP="00C542B4">
            <w:pPr>
              <w:autoSpaceDE w:val="0"/>
              <w:autoSpaceDN w:val="0"/>
              <w:adjustRightInd w:val="0"/>
              <w:spacing w:after="0" w:line="240" w:lineRule="auto"/>
              <w:contextualSpacing/>
              <w:rPr>
                <w:rFonts w:ascii="Calibri" w:eastAsia="Calibri" w:hAnsi="Calibri" w:cs="Calibri"/>
                <w:b/>
                <w:bCs/>
                <w:color w:val="000000"/>
                <w:kern w:val="0"/>
                <w14:ligatures w14:val="none"/>
              </w:rPr>
            </w:pPr>
            <w:r w:rsidRPr="00C542B4">
              <w:rPr>
                <w:rFonts w:ascii="Calibri" w:eastAsia="Calibri" w:hAnsi="Calibri" w:cs="Calibri"/>
                <w:b/>
                <w:bCs/>
                <w:color w:val="000000"/>
                <w:kern w:val="0"/>
                <w14:ligatures w14:val="none"/>
              </w:rPr>
              <w:t>Total</w:t>
            </w:r>
          </w:p>
        </w:tc>
        <w:tc>
          <w:tcPr>
            <w:tcW w:w="1260" w:type="dxa"/>
            <w:vAlign w:val="center"/>
          </w:tcPr>
          <w:p w14:paraId="7171A67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iCs/>
                <w:color w:val="000000"/>
                <w:kern w:val="0"/>
                <w:lang w:val="es-ES_tradnl" w:eastAsia="es-CR"/>
                <w14:ligatures w14:val="none"/>
              </w:rPr>
            </w:pPr>
            <w:r w:rsidRPr="00C542B4">
              <w:rPr>
                <w:rFonts w:ascii="Calibri" w:eastAsia="Times New Roman" w:hAnsi="Calibri" w:cs="Calibri"/>
                <w:b/>
                <w:iCs/>
                <w:color w:val="000000"/>
                <w:kern w:val="0"/>
                <w:lang w:val="es-ES_tradnl" w:eastAsia="es-CR"/>
                <w14:ligatures w14:val="none"/>
              </w:rPr>
              <w:t>100%</w:t>
            </w:r>
          </w:p>
        </w:tc>
      </w:tr>
    </w:tbl>
    <w:p w14:paraId="687F8355"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EDE3954"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E4A497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2F16778"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21B4F7F"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CC57A00"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EE63B0D"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1742E87"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sectPr w:rsidR="00C542B4" w:rsidRPr="00C542B4" w:rsidSect="005C1895">
          <w:pgSz w:w="12240" w:h="15840"/>
          <w:pgMar w:top="1417" w:right="1701" w:bottom="993" w:left="1701" w:header="708" w:footer="708" w:gutter="0"/>
          <w:pgNumType w:start="161"/>
          <w:cols w:space="708"/>
          <w:docGrid w:linePitch="360"/>
        </w:sectPr>
      </w:pPr>
      <w:r w:rsidRPr="00C542B4">
        <w:rPr>
          <w:rFonts w:ascii="Calibri" w:eastAsia="Times New Roman" w:hAnsi="Calibri" w:cs="Calibri"/>
          <w:b/>
          <w:bCs/>
          <w:color w:val="000000"/>
          <w:kern w:val="0"/>
          <w:lang w:val="es-ES_tradnl" w:eastAsia="es-CR"/>
          <w14:ligatures w14:val="none"/>
        </w:rPr>
        <w:br w:type="page"/>
      </w:r>
    </w:p>
    <w:p w14:paraId="6129AB7C"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04384" behindDoc="0" locked="0" layoutInCell="1" allowOverlap="1" wp14:anchorId="27461604" wp14:editId="46C770EB">
                <wp:simplePos x="0" y="0"/>
                <wp:positionH relativeFrom="margin">
                  <wp:align>center</wp:align>
                </wp:positionH>
                <wp:positionV relativeFrom="paragraph">
                  <wp:posOffset>-109220</wp:posOffset>
                </wp:positionV>
                <wp:extent cx="7879080" cy="414338"/>
                <wp:effectExtent l="0" t="0" r="26670" b="24130"/>
                <wp:wrapNone/>
                <wp:docPr id="6898292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4338"/>
                        </a:xfrm>
                        <a:prstGeom prst="rect">
                          <a:avLst/>
                        </a:prstGeom>
                        <a:solidFill>
                          <a:srgbClr val="FFFFFF"/>
                        </a:solidFill>
                        <a:ln w="9525">
                          <a:solidFill>
                            <a:srgbClr val="000000"/>
                          </a:solidFill>
                          <a:miter lim="800000"/>
                          <a:headEnd/>
                          <a:tailEnd/>
                        </a:ln>
                      </wps:spPr>
                      <wps:txbx>
                        <w:txbxContent>
                          <w:p w14:paraId="0896C9BE" w14:textId="77777777" w:rsidR="00C542B4" w:rsidRPr="00C542B4" w:rsidRDefault="00C542B4" w:rsidP="00C542B4">
                            <w:pPr>
                              <w:jc w:val="center"/>
                              <w:rPr>
                                <w:rFonts w:cs="Calibri"/>
                                <w:b/>
                                <w:szCs w:val="24"/>
                              </w:rPr>
                            </w:pPr>
                            <w:r w:rsidRPr="00C542B4">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461604" id="_x0000_s1101" type="#_x0000_t202" style="position:absolute;left:0;text-align:left;margin-left:0;margin-top:-8.6pt;width:620.4pt;height:32.65pt;z-index:2523043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">
                <v:textbox>
                  <w:txbxContent>
                    <w:p w14:paraId="0896C9BE" w14:textId="77777777" w:rsidR="00C542B4" w:rsidRPr="00C542B4" w:rsidRDefault="00C542B4" w:rsidP="00C542B4">
                      <w:pPr>
                        <w:jc w:val="center"/>
                        <w:rPr>
                          <w:rFonts w:cs="Calibri"/>
                          <w:b/>
                          <w:szCs w:val="24"/>
                        </w:rPr>
                      </w:pPr>
                      <w:r w:rsidRPr="00C542B4">
                        <w:rPr>
                          <w:rFonts w:cs="Calibri"/>
                          <w:b/>
                          <w:szCs w:val="24"/>
                        </w:rPr>
                        <w:t>RÚBRICA DE EVALUACIÓN – FORO TEMÁTICO</w:t>
                      </w:r>
                    </w:p>
                  </w:txbxContent>
                </v:textbox>
                <w10:wrap anchorx="margin"/>
              </v:shape>
            </w:pict>
          </mc:Fallback>
        </mc:AlternateContent>
      </w:r>
    </w:p>
    <w:p w14:paraId="16A4A7F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45CC6D9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Es una actividad de discusión académica asincrónica ya que los y las participantes no tienen que acceder al sistema al mismo tiempo, constituyéndose en un escenario virtual para la exposición de ideas y debate. Se desarrollan en las sesiones 1, 2, 3, 4, 6, 7, 9, 11, 12 y 13 y cada uno tiene un valor de 1,5%.</w:t>
      </w:r>
    </w:p>
    <w:p w14:paraId="4E95494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b/>
          <w:bCs/>
          <w:noProof/>
          <w:color w:val="000000"/>
          <w:kern w:val="0"/>
          <w:lang w:val="es-ES_tradnl" w:eastAsia="es-CR"/>
          <w14:ligatures w14:val="none"/>
        </w:rPr>
        <w:drawing>
          <wp:anchor distT="0" distB="0" distL="114300" distR="114300" simplePos="0" relativeHeight="252305408" behindDoc="0" locked="0" layoutInCell="1" allowOverlap="1" wp14:anchorId="6C43BC90" wp14:editId="7DA5CE4E">
            <wp:simplePos x="0" y="0"/>
            <wp:positionH relativeFrom="margin">
              <wp:align>center</wp:align>
            </wp:positionH>
            <wp:positionV relativeFrom="paragraph">
              <wp:posOffset>221298</wp:posOffset>
            </wp:positionV>
            <wp:extent cx="8310563" cy="6018810"/>
            <wp:effectExtent l="0" t="0" r="0" b="1270"/>
            <wp:wrapNone/>
            <wp:docPr id="133159019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90196" name="Imagen 1" descr="Tabla&#10;&#10;Descripción generada automáticamente"/>
                    <pic:cNvPicPr/>
                  </pic:nvPicPr>
                  <pic:blipFill>
                    <a:blip r:embed="rId184">
                      <a:extLst>
                        <a:ext uri="{28A0092B-C50C-407E-A947-70E740481C1C}">
                          <a14:useLocalDpi xmlns:a14="http://schemas.microsoft.com/office/drawing/2010/main" val="0"/>
                        </a:ext>
                      </a:extLst>
                    </a:blip>
                    <a:stretch>
                      <a:fillRect/>
                    </a:stretch>
                  </pic:blipFill>
                  <pic:spPr>
                    <a:xfrm>
                      <a:off x="0" y="0"/>
                      <a:ext cx="8310563" cy="6018810"/>
                    </a:xfrm>
                    <a:prstGeom prst="rect">
                      <a:avLst/>
                    </a:prstGeom>
                  </pic:spPr>
                </pic:pic>
              </a:graphicData>
            </a:graphic>
            <wp14:sizeRelH relativeFrom="margin">
              <wp14:pctWidth>0</wp14:pctWidth>
            </wp14:sizeRelH>
            <wp14:sizeRelV relativeFrom="margin">
              <wp14:pctHeight>0</wp14:pctHeight>
            </wp14:sizeRelV>
          </wp:anchor>
        </w:drawing>
      </w:r>
    </w:p>
    <w:p w14:paraId="5028A8D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42E32D75"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br w:type="page"/>
      </w:r>
    </w:p>
    <w:p w14:paraId="2053AF0F"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06432" behindDoc="0" locked="0" layoutInCell="1" allowOverlap="1" wp14:anchorId="5CE8790D" wp14:editId="5D78C528">
                <wp:simplePos x="0" y="0"/>
                <wp:positionH relativeFrom="margin">
                  <wp:align>center</wp:align>
                </wp:positionH>
                <wp:positionV relativeFrom="paragraph">
                  <wp:posOffset>-156210</wp:posOffset>
                </wp:positionV>
                <wp:extent cx="7879080" cy="426720"/>
                <wp:effectExtent l="0" t="0" r="26670" b="11430"/>
                <wp:wrapNone/>
                <wp:docPr id="11237748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1ED2DCC0" w14:textId="77777777" w:rsidR="00C542B4" w:rsidRPr="00C542B4" w:rsidRDefault="00C542B4" w:rsidP="00C542B4">
                            <w:pPr>
                              <w:jc w:val="center"/>
                              <w:rPr>
                                <w:rFonts w:cs="Calibri"/>
                                <w:b/>
                              </w:rPr>
                            </w:pPr>
                            <w:r w:rsidRPr="00C542B4">
                              <w:rPr>
                                <w:rFonts w:cs="Calibri"/>
                                <w:b/>
                              </w:rPr>
                              <w:t>RÚBRICA DE EVALUACIÓN – FESTIVAL DE CITAS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E8790D" id="_x0000_s1102" type="#_x0000_t202" style="position:absolute;left:0;text-align:left;margin-left:0;margin-top:-12.3pt;width:620.4pt;height:33.6pt;z-index:2523064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">
                <v:textbox>
                  <w:txbxContent>
                    <w:p w14:paraId="1ED2DCC0" w14:textId="77777777" w:rsidR="00C542B4" w:rsidRPr="00C542B4" w:rsidRDefault="00C542B4" w:rsidP="00C542B4">
                      <w:pPr>
                        <w:jc w:val="center"/>
                        <w:rPr>
                          <w:rFonts w:cs="Calibri"/>
                          <w:b/>
                        </w:rPr>
                      </w:pPr>
                      <w:r w:rsidRPr="00C542B4">
                        <w:rPr>
                          <w:rFonts w:cs="Calibri"/>
                          <w:b/>
                        </w:rPr>
                        <w:t>RÚBRICA DE EVALUACIÓN – FESTIVAL DE CITAS</w:t>
                      </w:r>
                    </w:p>
                  </w:txbxContent>
                </v:textbox>
                <w10:wrap anchorx="margin"/>
              </v:shape>
            </w:pict>
          </mc:Fallback>
        </mc:AlternateContent>
      </w:r>
    </w:p>
    <w:p w14:paraId="456F85DA"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26EC6E6" w14:textId="77777777" w:rsidR="00C542B4" w:rsidRPr="00C542B4" w:rsidRDefault="00C542B4"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Un festival de citas es una estrategia pedagógica mediante la cual se escogen citas de un texto o textos en cuestión, se comparten con el resto de los compañeros y compañeras y estas pueden ser comentadas y/o analizadas. Se desarrolla en la sesión 5 y tiene un valor de 15%.</w:t>
      </w:r>
    </w:p>
    <w:p w14:paraId="4ED1431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07456" behindDoc="0" locked="0" layoutInCell="1" allowOverlap="1" wp14:anchorId="7D307CC6" wp14:editId="482FB1B0">
            <wp:simplePos x="0" y="0"/>
            <wp:positionH relativeFrom="margin">
              <wp:align>center</wp:align>
            </wp:positionH>
            <wp:positionV relativeFrom="paragraph">
              <wp:posOffset>240983</wp:posOffset>
            </wp:positionV>
            <wp:extent cx="8401050" cy="5754719"/>
            <wp:effectExtent l="0" t="0" r="0" b="0"/>
            <wp:wrapNone/>
            <wp:docPr id="485483"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483" name="Imagen 2" descr="Tabla&#10;&#10;Descripción generada automáticamente"/>
                    <pic:cNvPicPr/>
                  </pic:nvPicPr>
                  <pic:blipFill>
                    <a:blip r:embed="rId185">
                      <a:extLst>
                        <a:ext uri="{28A0092B-C50C-407E-A947-70E740481C1C}">
                          <a14:useLocalDpi xmlns:a14="http://schemas.microsoft.com/office/drawing/2010/main" val="0"/>
                        </a:ext>
                      </a:extLst>
                    </a:blip>
                    <a:stretch>
                      <a:fillRect/>
                    </a:stretch>
                  </pic:blipFill>
                  <pic:spPr>
                    <a:xfrm>
                      <a:off x="0" y="0"/>
                      <a:ext cx="8401050" cy="5754719"/>
                    </a:xfrm>
                    <a:prstGeom prst="rect">
                      <a:avLst/>
                    </a:prstGeom>
                  </pic:spPr>
                </pic:pic>
              </a:graphicData>
            </a:graphic>
            <wp14:sizeRelH relativeFrom="margin">
              <wp14:pctWidth>0</wp14:pctWidth>
            </wp14:sizeRelH>
            <wp14:sizeRelV relativeFrom="margin">
              <wp14:pctHeight>0</wp14:pctHeight>
            </wp14:sizeRelV>
          </wp:anchor>
        </w:drawing>
      </w:r>
    </w:p>
    <w:p w14:paraId="4D06B10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br w:type="page"/>
      </w:r>
    </w:p>
    <w:p w14:paraId="14C228D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08480" behindDoc="0" locked="0" layoutInCell="1" allowOverlap="1" wp14:anchorId="68C08D38" wp14:editId="3DF686D8">
                <wp:simplePos x="0" y="0"/>
                <wp:positionH relativeFrom="margin">
                  <wp:align>center</wp:align>
                </wp:positionH>
                <wp:positionV relativeFrom="paragraph">
                  <wp:posOffset>-231140</wp:posOffset>
                </wp:positionV>
                <wp:extent cx="7879080" cy="426720"/>
                <wp:effectExtent l="0" t="0" r="26670" b="11430"/>
                <wp:wrapNone/>
                <wp:docPr id="20463634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2713FCDA" w14:textId="77777777" w:rsidR="00C542B4" w:rsidRPr="00C542B4" w:rsidRDefault="00C542B4" w:rsidP="00C542B4">
                            <w:pPr>
                              <w:jc w:val="center"/>
                              <w:rPr>
                                <w:rFonts w:cs="Calibri"/>
                                <w:b/>
                              </w:rPr>
                            </w:pPr>
                            <w:r w:rsidRPr="00C542B4">
                              <w:rPr>
                                <w:rFonts w:cs="Calibri"/>
                                <w:b/>
                              </w:rPr>
                              <w:t>RÚBRICA DE EVALUACIÓN – RESEÑA CRÍTICA DE LECTURA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08D38" id="_x0000_s1103" type="#_x0000_t202" style="position:absolute;left:0;text-align:left;margin-left:0;margin-top:-18.2pt;width:620.4pt;height:33.6pt;z-index:2523084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WeFQ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">
                <v:textbox>
                  <w:txbxContent>
                    <w:p w14:paraId="2713FCDA" w14:textId="77777777" w:rsidR="00C542B4" w:rsidRPr="00C542B4" w:rsidRDefault="00C542B4" w:rsidP="00C542B4">
                      <w:pPr>
                        <w:jc w:val="center"/>
                        <w:rPr>
                          <w:rFonts w:cs="Calibri"/>
                          <w:b/>
                        </w:rPr>
                      </w:pPr>
                      <w:r w:rsidRPr="00C542B4">
                        <w:rPr>
                          <w:rFonts w:cs="Calibri"/>
                          <w:b/>
                        </w:rPr>
                        <w:t>RÚBRICA DE EVALUACIÓN – RESEÑA CRÍTICA DE LECTURA</w:t>
                      </w:r>
                    </w:p>
                  </w:txbxContent>
                </v:textbox>
                <w10:wrap anchorx="margin"/>
              </v:shape>
            </w:pict>
          </mc:Fallback>
        </mc:AlternateContent>
      </w:r>
    </w:p>
    <w:p w14:paraId="77A4BA8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593EC3D" w14:textId="77777777" w:rsidR="00C542B4" w:rsidRPr="00C542B4" w:rsidRDefault="00C542B4"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La reseña crítica es un resumen argumentativo y analítico de las ideas expresadas en un documento literario. Se compone de tres partes claramente definidas: el resumen de las principales ideas de las personas autoras de la lectura analizada, el análisis y la contextualización. Las reseñas críticas que se elaboran en las sesiones 2, 3 y 12 tienen un valor de 3% cada una. La reseña crítica que se elabora en la sesión 11 (que incluye las lecturas de las sesiones 9 y 10) tiene un valor de 6%.</w:t>
      </w:r>
    </w:p>
    <w:p w14:paraId="16DA9FE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C3610A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09504" behindDoc="0" locked="0" layoutInCell="1" allowOverlap="1" wp14:anchorId="359FDCB8" wp14:editId="50E346ED">
            <wp:simplePos x="0" y="0"/>
            <wp:positionH relativeFrom="margin">
              <wp:align>center</wp:align>
            </wp:positionH>
            <wp:positionV relativeFrom="paragraph">
              <wp:posOffset>101283</wp:posOffset>
            </wp:positionV>
            <wp:extent cx="8448097" cy="5376862"/>
            <wp:effectExtent l="0" t="0" r="0" b="0"/>
            <wp:wrapNone/>
            <wp:docPr id="149212844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128441" name="Imagen 3" descr="Tabla&#10;&#10;Descripción generada automáticamente"/>
                    <pic:cNvPicPr/>
                  </pic:nvPicPr>
                  <pic:blipFill>
                    <a:blip r:embed="rId186">
                      <a:extLst>
                        <a:ext uri="{28A0092B-C50C-407E-A947-70E740481C1C}">
                          <a14:useLocalDpi xmlns:a14="http://schemas.microsoft.com/office/drawing/2010/main" val="0"/>
                        </a:ext>
                      </a:extLst>
                    </a:blip>
                    <a:stretch>
                      <a:fillRect/>
                    </a:stretch>
                  </pic:blipFill>
                  <pic:spPr>
                    <a:xfrm>
                      <a:off x="0" y="0"/>
                      <a:ext cx="8448097" cy="5376862"/>
                    </a:xfrm>
                    <a:prstGeom prst="rect">
                      <a:avLst/>
                    </a:prstGeom>
                  </pic:spPr>
                </pic:pic>
              </a:graphicData>
            </a:graphic>
            <wp14:sizeRelH relativeFrom="margin">
              <wp14:pctWidth>0</wp14:pctWidth>
            </wp14:sizeRelH>
            <wp14:sizeRelV relativeFrom="margin">
              <wp14:pctHeight>0</wp14:pctHeight>
            </wp14:sizeRelV>
          </wp:anchor>
        </w:drawing>
      </w:r>
      <w:r w:rsidRPr="00C542B4">
        <w:rPr>
          <w:rFonts w:ascii="Calibri" w:eastAsia="Times New Roman" w:hAnsi="Calibri" w:cs="Calibri"/>
          <w:color w:val="000000"/>
          <w:kern w:val="0"/>
          <w:lang w:val="es-ES_tradnl" w:eastAsia="es-CR"/>
          <w14:ligatures w14:val="none"/>
        </w:rPr>
        <w:br w:type="page"/>
      </w:r>
    </w:p>
    <w:p w14:paraId="212AA4ED"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10528" behindDoc="0" locked="0" layoutInCell="1" allowOverlap="1" wp14:anchorId="3A24C1E6" wp14:editId="2F2F5931">
                <wp:simplePos x="0" y="0"/>
                <wp:positionH relativeFrom="margin">
                  <wp:align>center</wp:align>
                </wp:positionH>
                <wp:positionV relativeFrom="paragraph">
                  <wp:posOffset>-209550</wp:posOffset>
                </wp:positionV>
                <wp:extent cx="7879080" cy="426720"/>
                <wp:effectExtent l="0" t="0" r="26670" b="11430"/>
                <wp:wrapNone/>
                <wp:docPr id="28372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2FECF9A0" w14:textId="77777777" w:rsidR="00C542B4" w:rsidRPr="00C542B4" w:rsidRDefault="00C542B4" w:rsidP="00C542B4">
                            <w:pPr>
                              <w:jc w:val="center"/>
                              <w:rPr>
                                <w:rFonts w:cs="Calibri"/>
                                <w:b/>
                              </w:rPr>
                            </w:pPr>
                            <w:r w:rsidRPr="00C542B4">
                              <w:rPr>
                                <w:rFonts w:cs="Calibri"/>
                                <w:b/>
                              </w:rPr>
                              <w:t>RÚBRICA DE EVALUACIÓN – GLOSARIO GRUPAL DE LITERATURA SAPIENCIAL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4C1E6" id="_x0000_s1104" type="#_x0000_t202" style="position:absolute;left:0;text-align:left;margin-left:0;margin-top:-16.5pt;width:620.4pt;height:33.6pt;z-index:2523105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7uFA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">
                <v:textbox>
                  <w:txbxContent>
                    <w:p w14:paraId="2FECF9A0" w14:textId="77777777" w:rsidR="00C542B4" w:rsidRPr="00C542B4" w:rsidRDefault="00C542B4" w:rsidP="00C542B4">
                      <w:pPr>
                        <w:jc w:val="center"/>
                        <w:rPr>
                          <w:rFonts w:cs="Calibri"/>
                          <w:b/>
                        </w:rPr>
                      </w:pPr>
                      <w:r w:rsidRPr="00C542B4">
                        <w:rPr>
                          <w:rFonts w:cs="Calibri"/>
                          <w:b/>
                        </w:rPr>
                        <w:t>RÚBRICA DE EVALUACIÓN – GLOSARIO GRUPAL DE LITERATURA SAPIENCIAL</w:t>
                      </w:r>
                    </w:p>
                  </w:txbxContent>
                </v:textbox>
                <w10:wrap anchorx="margin"/>
              </v:shape>
            </w:pict>
          </mc:Fallback>
        </mc:AlternateContent>
      </w:r>
    </w:p>
    <w:p w14:paraId="7C05D70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717644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El glosario se compone de una lista de conceptos, en forma de catálogo, de una misma disciplina o campo de estudio que aparecen definidas, explicadas o comentadas. Se desarrolla en las sesiones 7, 8 y 9. Un 15% corresponde a la evaluación docente y un 5% corresponde a la coevaluación entre los y las estudiantes integrantes de cada grupo.</w:t>
      </w:r>
    </w:p>
    <w:p w14:paraId="276F33A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01CDC5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b/>
          <w:bCs/>
          <w:noProof/>
          <w:color w:val="000000"/>
          <w:kern w:val="0"/>
          <w:lang w:val="es-ES_tradnl" w:eastAsia="es-CR"/>
          <w14:ligatures w14:val="none"/>
        </w:rPr>
        <w:drawing>
          <wp:anchor distT="0" distB="0" distL="114300" distR="114300" simplePos="0" relativeHeight="252311552" behindDoc="0" locked="0" layoutInCell="1" allowOverlap="1" wp14:anchorId="467D6EF6" wp14:editId="5516BC1E">
            <wp:simplePos x="0" y="0"/>
            <wp:positionH relativeFrom="margin">
              <wp:align>right</wp:align>
            </wp:positionH>
            <wp:positionV relativeFrom="paragraph">
              <wp:posOffset>81597</wp:posOffset>
            </wp:positionV>
            <wp:extent cx="9144000" cy="5345430"/>
            <wp:effectExtent l="0" t="0" r="0" b="7620"/>
            <wp:wrapNone/>
            <wp:docPr id="1537861117"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61117" name="Imagen 4" descr="Tabla&#10;&#10;Descripción generada automáticamente"/>
                    <pic:cNvPicPr/>
                  </pic:nvPicPr>
                  <pic:blipFill>
                    <a:blip r:embed="rId187">
                      <a:extLst>
                        <a:ext uri="{28A0092B-C50C-407E-A947-70E740481C1C}">
                          <a14:useLocalDpi xmlns:a14="http://schemas.microsoft.com/office/drawing/2010/main" val="0"/>
                        </a:ext>
                      </a:extLst>
                    </a:blip>
                    <a:stretch>
                      <a:fillRect/>
                    </a:stretch>
                  </pic:blipFill>
                  <pic:spPr>
                    <a:xfrm>
                      <a:off x="0" y="0"/>
                      <a:ext cx="9144000" cy="5345430"/>
                    </a:xfrm>
                    <a:prstGeom prst="rect">
                      <a:avLst/>
                    </a:prstGeom>
                  </pic:spPr>
                </pic:pic>
              </a:graphicData>
            </a:graphic>
          </wp:anchor>
        </w:drawing>
      </w:r>
    </w:p>
    <w:p w14:paraId="1E3EC80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98DAD0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B34E87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7C7437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2753B5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6739C5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C4217D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E986EB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8DC288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10C099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5D9404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A83836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255460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C6BA60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8CD123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E40A03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05069A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7F2F50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EAFE07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C424CC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688668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9D31D8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12576" behindDoc="0" locked="0" layoutInCell="1" allowOverlap="1" wp14:anchorId="643BA230" wp14:editId="5EC9FCBA">
                <wp:simplePos x="0" y="0"/>
                <wp:positionH relativeFrom="margin">
                  <wp:align>center</wp:align>
                </wp:positionH>
                <wp:positionV relativeFrom="paragraph">
                  <wp:posOffset>-124143</wp:posOffset>
                </wp:positionV>
                <wp:extent cx="7879080" cy="426720"/>
                <wp:effectExtent l="0" t="0" r="26670" b="11430"/>
                <wp:wrapNone/>
                <wp:docPr id="8791659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473F8624" w14:textId="77777777" w:rsidR="00C542B4" w:rsidRPr="00C542B4" w:rsidRDefault="00C542B4" w:rsidP="00C542B4">
                            <w:pPr>
                              <w:jc w:val="center"/>
                              <w:rPr>
                                <w:rFonts w:cs="Calibri"/>
                                <w:b/>
                              </w:rPr>
                            </w:pPr>
                            <w:r w:rsidRPr="00C542B4">
                              <w:rPr>
                                <w:rFonts w:cs="Calibri"/>
                                <w:b/>
                              </w:rPr>
                              <w:t>ESCALA DE COEVALUACIÓN – GLOSARIO GRUPAL DE LITERATURA SAPIENCIAL</w:t>
                            </w:r>
                          </w:p>
                          <w:p w14:paraId="6B09E63F" w14:textId="77777777" w:rsidR="00C542B4" w:rsidRPr="00C542B4" w:rsidRDefault="00C542B4" w:rsidP="00C542B4">
                            <w:pPr>
                              <w:jc w:val="center"/>
                              <w:rPr>
                                <w:rFonts w:cs="Calibr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BA230" id="_x0000_s1105" type="#_x0000_t202" style="position:absolute;left:0;text-align:left;margin-left:0;margin-top:-9.8pt;width:620.4pt;height:33.6pt;z-index:2523125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uAYFQ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">
                <v:textbox>
                  <w:txbxContent>
                    <w:p w14:paraId="473F8624" w14:textId="77777777" w:rsidR="00C542B4" w:rsidRPr="00C542B4" w:rsidRDefault="00C542B4" w:rsidP="00C542B4">
                      <w:pPr>
                        <w:jc w:val="center"/>
                        <w:rPr>
                          <w:rFonts w:cs="Calibri"/>
                          <w:b/>
                        </w:rPr>
                      </w:pPr>
                      <w:r w:rsidRPr="00C542B4">
                        <w:rPr>
                          <w:rFonts w:cs="Calibri"/>
                          <w:b/>
                        </w:rPr>
                        <w:t>ESCALA DE COEVALUACIÓN – GLOSARIO GRUPAL DE LITERATURA SAPIENCIAL</w:t>
                      </w:r>
                    </w:p>
                    <w:p w14:paraId="6B09E63F" w14:textId="77777777" w:rsidR="00C542B4" w:rsidRPr="00C542B4" w:rsidRDefault="00C542B4" w:rsidP="00C542B4">
                      <w:pPr>
                        <w:jc w:val="center"/>
                        <w:rPr>
                          <w:rFonts w:cs="Calibri"/>
                          <w:b/>
                        </w:rPr>
                      </w:pPr>
                    </w:p>
                  </w:txbxContent>
                </v:textbox>
                <w10:wrap anchorx="margin"/>
              </v:shape>
            </w:pict>
          </mc:Fallback>
        </mc:AlternateContent>
      </w:r>
    </w:p>
    <w:p w14:paraId="7320392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63E669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 xml:space="preserve">El glosario grupal desarrollado en las sesiones 7, 8 y 9 tiene un componente de coevaluación entre personas del grupo. La coevaluación tiene un valor del 5% y se realiza con la siguiente rúbrica. </w:t>
      </w:r>
    </w:p>
    <w:p w14:paraId="12F2706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9CF903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13600" behindDoc="0" locked="0" layoutInCell="1" allowOverlap="1" wp14:anchorId="05F15DFD" wp14:editId="17AF7466">
            <wp:simplePos x="0" y="0"/>
            <wp:positionH relativeFrom="margin">
              <wp:align>right</wp:align>
            </wp:positionH>
            <wp:positionV relativeFrom="paragraph">
              <wp:posOffset>70167</wp:posOffset>
            </wp:positionV>
            <wp:extent cx="9144000" cy="3812540"/>
            <wp:effectExtent l="0" t="0" r="0" b="0"/>
            <wp:wrapNone/>
            <wp:docPr id="1455395150"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395150" name="Imagen 5" descr="Tabla&#10;&#10;Descripción generada automáticamente"/>
                    <pic:cNvPicPr/>
                  </pic:nvPicPr>
                  <pic:blipFill>
                    <a:blip r:embed="rId188">
                      <a:extLst>
                        <a:ext uri="{28A0092B-C50C-407E-A947-70E740481C1C}">
                          <a14:useLocalDpi xmlns:a14="http://schemas.microsoft.com/office/drawing/2010/main" val="0"/>
                        </a:ext>
                      </a:extLst>
                    </a:blip>
                    <a:stretch>
                      <a:fillRect/>
                    </a:stretch>
                  </pic:blipFill>
                  <pic:spPr>
                    <a:xfrm>
                      <a:off x="0" y="0"/>
                      <a:ext cx="9144000" cy="3812540"/>
                    </a:xfrm>
                    <a:prstGeom prst="rect">
                      <a:avLst/>
                    </a:prstGeom>
                  </pic:spPr>
                </pic:pic>
              </a:graphicData>
            </a:graphic>
          </wp:anchor>
        </w:drawing>
      </w:r>
    </w:p>
    <w:p w14:paraId="2ADD460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5D5757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907D25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C1CF5F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E161FCA"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1CE4E7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2A4188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C4D8D7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639F92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9196BE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F4D18B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BBA0D3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B9A67B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D8A158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5679B8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2C7581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48AA17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5609CB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669979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BEA282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113D40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0BB2681" w14:textId="56472636" w:rsidR="00C542B4" w:rsidRPr="00C542B4" w:rsidRDefault="006D51B2"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14624" behindDoc="0" locked="0" layoutInCell="1" allowOverlap="1" wp14:anchorId="41113D74" wp14:editId="0291D32B">
                <wp:simplePos x="0" y="0"/>
                <wp:positionH relativeFrom="margin">
                  <wp:align>center</wp:align>
                </wp:positionH>
                <wp:positionV relativeFrom="paragraph">
                  <wp:posOffset>6004</wp:posOffset>
                </wp:positionV>
                <wp:extent cx="7879080" cy="426720"/>
                <wp:effectExtent l="0" t="0" r="26670" b="11430"/>
                <wp:wrapNone/>
                <wp:docPr id="19916813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38634031" w14:textId="77777777" w:rsidR="00C542B4" w:rsidRPr="00C542B4" w:rsidRDefault="00C542B4" w:rsidP="00C542B4">
                            <w:pPr>
                              <w:jc w:val="center"/>
                              <w:rPr>
                                <w:rFonts w:cs="Calibri"/>
                                <w:b/>
                              </w:rPr>
                            </w:pPr>
                            <w:r w:rsidRPr="00C542B4">
                              <w:rPr>
                                <w:rFonts w:cs="Calibri"/>
                                <w:b/>
                              </w:rPr>
                              <w:t>RÚBRICA DE EVALUACIÓN – ENSAYO SOBRE UN ACERCAMIENTO DE GÉNERO A LOS TEXTOS PROFÉTICOS</w:t>
                            </w:r>
                          </w:p>
                          <w:p w14:paraId="52A27217" w14:textId="77777777" w:rsidR="00C542B4" w:rsidRPr="00C542B4" w:rsidRDefault="00C542B4" w:rsidP="00C542B4">
                            <w:pPr>
                              <w:jc w:val="center"/>
                              <w:rPr>
                                <w:rFonts w:cs="Calibri"/>
                                <w:b/>
                              </w:rPr>
                            </w:pPr>
                          </w:p>
                          <w:p w14:paraId="3CFFB179" w14:textId="77777777" w:rsidR="00C542B4" w:rsidRPr="00C542B4" w:rsidRDefault="00C542B4" w:rsidP="00C542B4">
                            <w:pPr>
                              <w:jc w:val="center"/>
                              <w:rPr>
                                <w:rFonts w:cs="Calibr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13D74" id="_x0000_s1106" type="#_x0000_t202" style="position:absolute;left:0;text-align:left;margin-left:0;margin-top:.45pt;width:620.4pt;height:33.6pt;z-index:2523146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CEEFA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">
                <v:textbox>
                  <w:txbxContent>
                    <w:p w14:paraId="38634031" w14:textId="77777777" w:rsidR="00C542B4" w:rsidRPr="00C542B4" w:rsidRDefault="00C542B4" w:rsidP="00C542B4">
                      <w:pPr>
                        <w:jc w:val="center"/>
                        <w:rPr>
                          <w:rFonts w:cs="Calibri"/>
                          <w:b/>
                        </w:rPr>
                      </w:pPr>
                      <w:r w:rsidRPr="00C542B4">
                        <w:rPr>
                          <w:rFonts w:cs="Calibri"/>
                          <w:b/>
                        </w:rPr>
                        <w:t>RÚBRICA DE EVALUACIÓN – ENSAYO SOBRE UN ACERCAMIENTO DE GÉNERO A LOS TEXTOS PROFÉTICOS</w:t>
                      </w:r>
                    </w:p>
                    <w:p w14:paraId="52A27217" w14:textId="77777777" w:rsidR="00C542B4" w:rsidRPr="00C542B4" w:rsidRDefault="00C542B4" w:rsidP="00C542B4">
                      <w:pPr>
                        <w:jc w:val="center"/>
                        <w:rPr>
                          <w:rFonts w:cs="Calibri"/>
                          <w:b/>
                        </w:rPr>
                      </w:pPr>
                    </w:p>
                    <w:p w14:paraId="3CFFB179" w14:textId="77777777" w:rsidR="00C542B4" w:rsidRPr="00C542B4" w:rsidRDefault="00C542B4" w:rsidP="00C542B4">
                      <w:pPr>
                        <w:jc w:val="center"/>
                        <w:rPr>
                          <w:rFonts w:cs="Calibri"/>
                          <w:b/>
                        </w:rPr>
                      </w:pPr>
                    </w:p>
                  </w:txbxContent>
                </v:textbox>
                <w10:wrap anchorx="margin"/>
              </v:shape>
            </w:pict>
          </mc:Fallback>
        </mc:AlternateContent>
      </w:r>
    </w:p>
    <w:p w14:paraId="16C101A7" w14:textId="0DBB8D78"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5690E88" w14:textId="082A3530"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F86900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eastAsia="es-CR"/>
          <w14:ligatures w14:val="none"/>
        </w:rPr>
        <w:t xml:space="preserve">En este curso se elaborará un ensayo sobre un acercamiento de género a los textos proféticos. Lo que se busca con él es realizar una valoración crítica del acercamiento de género al estudio de los textos proféticos, particularmente analizando el texto de Ezequiel 16. </w:t>
      </w:r>
      <w:r w:rsidRPr="00C542B4">
        <w:rPr>
          <w:rFonts w:ascii="Calibri" w:eastAsia="Times New Roman" w:hAnsi="Calibri" w:cs="Calibri"/>
          <w:color w:val="0070C0"/>
          <w:kern w:val="0"/>
          <w:lang w:val="es-ES_tradnl" w:eastAsia="es-CR"/>
          <w14:ligatures w14:val="none"/>
        </w:rPr>
        <w:t>Se elabora en la sesión 4. Tiene un valor de 20%.</w:t>
      </w:r>
    </w:p>
    <w:p w14:paraId="484F5778"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15648" behindDoc="0" locked="0" layoutInCell="1" allowOverlap="1" wp14:anchorId="44EF2973" wp14:editId="26160C87">
            <wp:simplePos x="0" y="0"/>
            <wp:positionH relativeFrom="margin">
              <wp:align>center</wp:align>
            </wp:positionH>
            <wp:positionV relativeFrom="paragraph">
              <wp:posOffset>222250</wp:posOffset>
            </wp:positionV>
            <wp:extent cx="8329612" cy="5540349"/>
            <wp:effectExtent l="0" t="0" r="0" b="3810"/>
            <wp:wrapNone/>
            <wp:docPr id="1986497808"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97808" name="Imagen 6" descr="Tabla&#10;&#10;Descripción generada automáticamente"/>
                    <pic:cNvPicPr/>
                  </pic:nvPicPr>
                  <pic:blipFill>
                    <a:blip r:embed="rId189">
                      <a:extLst>
                        <a:ext uri="{28A0092B-C50C-407E-A947-70E740481C1C}">
                          <a14:useLocalDpi xmlns:a14="http://schemas.microsoft.com/office/drawing/2010/main" val="0"/>
                        </a:ext>
                      </a:extLst>
                    </a:blip>
                    <a:stretch>
                      <a:fillRect/>
                    </a:stretch>
                  </pic:blipFill>
                  <pic:spPr>
                    <a:xfrm>
                      <a:off x="0" y="0"/>
                      <a:ext cx="8329612" cy="5540349"/>
                    </a:xfrm>
                    <a:prstGeom prst="rect">
                      <a:avLst/>
                    </a:prstGeom>
                  </pic:spPr>
                </pic:pic>
              </a:graphicData>
            </a:graphic>
            <wp14:sizeRelH relativeFrom="margin">
              <wp14:pctWidth>0</wp14:pctWidth>
            </wp14:sizeRelH>
            <wp14:sizeRelV relativeFrom="margin">
              <wp14:pctHeight>0</wp14:pctHeight>
            </wp14:sizeRelV>
          </wp:anchor>
        </w:drawing>
      </w:r>
    </w:p>
    <w:p w14:paraId="26DB800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DCB091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128D04A"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5CB4FF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3C6BF1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A9CF7C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2DB8F5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C17A5C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23F5F3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4359DD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7F55CE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AF915C7"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0C55EAB"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ECD84C3"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D6B00F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D119CB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7B5D1C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53E7D9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964D4B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C410F3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6F1038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720158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4E68F3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316672" behindDoc="0" locked="0" layoutInCell="1" allowOverlap="1" wp14:anchorId="36EB522A" wp14:editId="7CBBD4CB">
                <wp:simplePos x="0" y="0"/>
                <wp:positionH relativeFrom="margin">
                  <wp:align>center</wp:align>
                </wp:positionH>
                <wp:positionV relativeFrom="paragraph">
                  <wp:posOffset>-90488</wp:posOffset>
                </wp:positionV>
                <wp:extent cx="7025640" cy="414337"/>
                <wp:effectExtent l="0" t="0" r="22860" b="24130"/>
                <wp:wrapNone/>
                <wp:docPr id="941710725" name="Cuadro de texto 941710725"/>
                <wp:cNvGraphicFramePr/>
                <a:graphic xmlns:a="http://schemas.openxmlformats.org/drawingml/2006/main">
                  <a:graphicData uri="http://schemas.microsoft.com/office/word/2010/wordprocessingShape">
                    <wps:wsp>
                      <wps:cNvSpPr txBox="1"/>
                      <wps:spPr>
                        <a:xfrm>
                          <a:off x="0" y="0"/>
                          <a:ext cx="7025640" cy="414337"/>
                        </a:xfrm>
                        <a:prstGeom prst="rect">
                          <a:avLst/>
                        </a:prstGeom>
                        <a:solidFill>
                          <a:sysClr val="window" lastClr="FFFFFF"/>
                        </a:solidFill>
                        <a:ln w="6350">
                          <a:solidFill>
                            <a:prstClr val="black"/>
                          </a:solidFill>
                        </a:ln>
                      </wps:spPr>
                      <wps:txbx>
                        <w:txbxContent>
                          <w:p w14:paraId="4A177505" w14:textId="77777777" w:rsidR="00C542B4" w:rsidRPr="00C542B4" w:rsidRDefault="00C542B4" w:rsidP="00C542B4">
                            <w:pPr>
                              <w:jc w:val="center"/>
                              <w:rPr>
                                <w:rFonts w:cs="Calibri"/>
                                <w:b/>
                              </w:rPr>
                            </w:pPr>
                            <w:r w:rsidRPr="00C542B4">
                              <w:rPr>
                                <w:rFonts w:cs="Calibri"/>
                                <w:b/>
                              </w:rPr>
                              <w:t>RÚBRICA DE EVALUACIÓN – WIKI (SÍNTESIS FINAL DEL GRUPO)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EB522A" id="Cuadro de texto 941710725" o:spid="_x0000_s1107" type="#_x0000_t202" style="position:absolute;left:0;text-align:left;margin-left:0;margin-top:-7.15pt;width:553.2pt;height:32.6pt;z-index:25231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" fillcolor="window" strokeweight=".5pt">
                <v:textbox>
                  <w:txbxContent>
                    <w:p w14:paraId="4A177505" w14:textId="77777777" w:rsidR="00C542B4" w:rsidRPr="00C542B4" w:rsidRDefault="00C542B4" w:rsidP="00C542B4">
                      <w:pPr>
                        <w:jc w:val="center"/>
                        <w:rPr>
                          <w:rFonts w:cs="Calibri"/>
                          <w:b/>
                        </w:rPr>
                      </w:pPr>
                      <w:r w:rsidRPr="00C542B4">
                        <w:rPr>
                          <w:rFonts w:cs="Calibri"/>
                          <w:b/>
                        </w:rPr>
                        <w:t>RÚBRICA DE EVALUACIÓN – WIKI (SÍNTESIS FINAL DEL GRUPO)</w:t>
                      </w:r>
                    </w:p>
                  </w:txbxContent>
                </v:textbox>
                <w10:wrap anchorx="margin"/>
              </v:shape>
            </w:pict>
          </mc:Fallback>
        </mc:AlternateContent>
      </w:r>
    </w:p>
    <w:p w14:paraId="1C11338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AF1C5B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C542B4">
        <w:rPr>
          <w:rFonts w:ascii="Calibri" w:eastAsia="Times New Roman" w:hAnsi="Calibri" w:cs="Calibri"/>
          <w:color w:val="0070C0"/>
          <w:kern w:val="0"/>
          <w:lang w:val="es-ES_tradnl" w:eastAsia="es-CR"/>
          <w14:ligatures w14:val="none"/>
        </w:rPr>
        <w:t>Para la construcción colectiva de una síntesis final grupal sobre el curso se utilizará la herramienta wiki.</w:t>
      </w:r>
      <w:r w:rsidRPr="00C542B4">
        <w:rPr>
          <w:rFonts w:ascii="Calibri" w:eastAsia="Times New Roman" w:hAnsi="Calibri" w:cs="Calibri"/>
          <w:b/>
          <w:bCs/>
          <w:color w:val="0070C0"/>
          <w:kern w:val="0"/>
          <w:lang w:val="es-ES_tradnl" w:eastAsia="es-CR"/>
          <w14:ligatures w14:val="none"/>
        </w:rPr>
        <w:t xml:space="preserve"> </w:t>
      </w:r>
      <w:r w:rsidRPr="00C542B4">
        <w:rPr>
          <w:rFonts w:ascii="Calibri" w:eastAsia="Times New Roman" w:hAnsi="Calibri" w:cs="Calibri"/>
          <w:color w:val="0070C0"/>
          <w:kern w:val="0"/>
          <w:lang w:val="es-ES_tradnl" w:eastAsia="es-CR"/>
          <w14:ligatures w14:val="none"/>
        </w:rPr>
        <w:t>Un wiki es una colección de documentos digitales escritos en forma colaborativa. Se elabora en la sesión 15 y tiene un valor de 10%.</w:t>
      </w:r>
    </w:p>
    <w:p w14:paraId="083BB064"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4EA9FC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17696" behindDoc="0" locked="0" layoutInCell="1" allowOverlap="1" wp14:anchorId="4CDF7126" wp14:editId="33048CF5">
            <wp:simplePos x="0" y="0"/>
            <wp:positionH relativeFrom="column">
              <wp:posOffset>0</wp:posOffset>
            </wp:positionH>
            <wp:positionV relativeFrom="paragraph">
              <wp:posOffset>75883</wp:posOffset>
            </wp:positionV>
            <wp:extent cx="9144000" cy="5605145"/>
            <wp:effectExtent l="0" t="0" r="0" b="0"/>
            <wp:wrapNone/>
            <wp:docPr id="71403909"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03909" name="Imagen 7" descr="Tabla&#10;&#10;Descripción generada automáticamente"/>
                    <pic:cNvPicPr/>
                  </pic:nvPicPr>
                  <pic:blipFill>
                    <a:blip r:embed="rId190">
                      <a:extLst>
                        <a:ext uri="{28A0092B-C50C-407E-A947-70E740481C1C}">
                          <a14:useLocalDpi xmlns:a14="http://schemas.microsoft.com/office/drawing/2010/main" val="0"/>
                        </a:ext>
                      </a:extLst>
                    </a:blip>
                    <a:stretch>
                      <a:fillRect/>
                    </a:stretch>
                  </pic:blipFill>
                  <pic:spPr>
                    <a:xfrm>
                      <a:off x="0" y="0"/>
                      <a:ext cx="9144000" cy="5605145"/>
                    </a:xfrm>
                    <a:prstGeom prst="rect">
                      <a:avLst/>
                    </a:prstGeom>
                  </pic:spPr>
                </pic:pic>
              </a:graphicData>
            </a:graphic>
          </wp:anchor>
        </w:drawing>
      </w:r>
    </w:p>
    <w:p w14:paraId="68017381"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1AB91BC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A6B0A5D"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07797BAA"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5A89CF1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3DBB219"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E4C611E"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63369570"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00FC5DA"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3825FFB5"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24CF8F7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49C03B86"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6EB8555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0AF3716"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br w:type="page"/>
      </w:r>
    </w:p>
    <w:p w14:paraId="4CE1154B"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318720" behindDoc="0" locked="0" layoutInCell="1" allowOverlap="1" wp14:anchorId="50A057CA" wp14:editId="3254B07B">
                <wp:simplePos x="0" y="0"/>
                <wp:positionH relativeFrom="margin">
                  <wp:align>center</wp:align>
                </wp:positionH>
                <wp:positionV relativeFrom="paragraph">
                  <wp:posOffset>-162560</wp:posOffset>
                </wp:positionV>
                <wp:extent cx="7025640" cy="390525"/>
                <wp:effectExtent l="0" t="0" r="22860" b="28575"/>
                <wp:wrapNone/>
                <wp:docPr id="2093732558" name="Cuadro de texto 2093732558"/>
                <wp:cNvGraphicFramePr/>
                <a:graphic xmlns:a="http://schemas.openxmlformats.org/drawingml/2006/main">
                  <a:graphicData uri="http://schemas.microsoft.com/office/word/2010/wordprocessingShape">
                    <wps:wsp>
                      <wps:cNvSpPr txBox="1"/>
                      <wps:spPr>
                        <a:xfrm>
                          <a:off x="0" y="0"/>
                          <a:ext cx="7025640" cy="390525"/>
                        </a:xfrm>
                        <a:prstGeom prst="rect">
                          <a:avLst/>
                        </a:prstGeom>
                        <a:solidFill>
                          <a:sysClr val="window" lastClr="FFFFFF"/>
                        </a:solidFill>
                        <a:ln w="6350">
                          <a:solidFill>
                            <a:prstClr val="black"/>
                          </a:solidFill>
                        </a:ln>
                      </wps:spPr>
                      <wps:txbx>
                        <w:txbxContent>
                          <w:p w14:paraId="3D112B46" w14:textId="77777777" w:rsidR="00C542B4" w:rsidRPr="00C542B4" w:rsidRDefault="00C542B4" w:rsidP="00C542B4">
                            <w:pPr>
                              <w:jc w:val="center"/>
                              <w:rPr>
                                <w:rFonts w:cs="Calibri"/>
                                <w:b/>
                              </w:rPr>
                            </w:pPr>
                            <w:r w:rsidRPr="00C542B4">
                              <w:rPr>
                                <w:rFonts w:cs="Calibri"/>
                                <w:b/>
                              </w:rPr>
                              <w:t>ESCALA PARA LA AUTOEVALUACIÓN DEL PROCESO DE APRENDIZAJE EN EL CURSO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057CA" id="Cuadro de texto 2093732558" o:spid="_x0000_s1108" type="#_x0000_t202" style="position:absolute;left:0;text-align:left;margin-left:0;margin-top:-12.8pt;width:553.2pt;height:30.75pt;z-index:25231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" fillcolor="window" strokeweight=".5pt">
                <v:textbox>
                  <w:txbxContent>
                    <w:p w14:paraId="3D112B46" w14:textId="77777777" w:rsidR="00C542B4" w:rsidRPr="00C542B4" w:rsidRDefault="00C542B4" w:rsidP="00C542B4">
                      <w:pPr>
                        <w:jc w:val="center"/>
                        <w:rPr>
                          <w:rFonts w:cs="Calibri"/>
                          <w:b/>
                        </w:rPr>
                      </w:pPr>
                      <w:r w:rsidRPr="00C542B4">
                        <w:rPr>
                          <w:rFonts w:cs="Calibri"/>
                          <w:b/>
                        </w:rPr>
                        <w:t>ESCALA PARA LA AUTOEVALUACIÓN DEL PROCESO DE APRENDIZAJE EN EL CURSO</w:t>
                      </w:r>
                    </w:p>
                  </w:txbxContent>
                </v:textbox>
                <w10:wrap anchorx="margin"/>
              </v:shape>
            </w:pict>
          </mc:Fallback>
        </mc:AlternateContent>
      </w:r>
    </w:p>
    <w:p w14:paraId="71FAB0F7"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963E1F3" w14:textId="77777777" w:rsidR="00C542B4" w:rsidRPr="00C542B4" w:rsidRDefault="00C542B4" w:rsidP="4C9C2619">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Al finalizar el curso cada persona estudiante tendrá la oportunidad de realizar una autoevaluación, con la cual podrá reflexionar sobre su participación, aprovechamiento y aprendizajes en el curso. Se realiza en la sesión 15 y tiene un valor de 5%.</w:t>
      </w:r>
    </w:p>
    <w:p w14:paraId="47E0089C"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p w14:paraId="78B720A2"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C542B4">
        <w:rPr>
          <w:rFonts w:ascii="Calibri" w:eastAsia="Times New Roman" w:hAnsi="Calibri" w:cs="Calibri"/>
          <w:noProof/>
          <w:color w:val="000000"/>
          <w:kern w:val="0"/>
          <w:lang w:val="es-ES_tradnl" w:eastAsia="es-CR"/>
          <w14:ligatures w14:val="none"/>
        </w:rPr>
        <w:drawing>
          <wp:anchor distT="0" distB="0" distL="114300" distR="114300" simplePos="0" relativeHeight="252319744" behindDoc="0" locked="0" layoutInCell="1" allowOverlap="1" wp14:anchorId="76033F30" wp14:editId="759C12D7">
            <wp:simplePos x="0" y="0"/>
            <wp:positionH relativeFrom="margin">
              <wp:align>center</wp:align>
            </wp:positionH>
            <wp:positionV relativeFrom="paragraph">
              <wp:posOffset>80328</wp:posOffset>
            </wp:positionV>
            <wp:extent cx="8327676" cy="5386387"/>
            <wp:effectExtent l="0" t="0" r="0" b="5080"/>
            <wp:wrapNone/>
            <wp:docPr id="1717630023"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630023" name="Imagen 8" descr="Tabla&#10;&#10;Descripción generada automáticamente"/>
                    <pic:cNvPicPr/>
                  </pic:nvPicPr>
                  <pic:blipFill>
                    <a:blip r:embed="rId191">
                      <a:extLst>
                        <a:ext uri="{28A0092B-C50C-407E-A947-70E740481C1C}">
                          <a14:useLocalDpi xmlns:a14="http://schemas.microsoft.com/office/drawing/2010/main" val="0"/>
                        </a:ext>
                      </a:extLst>
                    </a:blip>
                    <a:stretch>
                      <a:fillRect/>
                    </a:stretch>
                  </pic:blipFill>
                  <pic:spPr>
                    <a:xfrm>
                      <a:off x="0" y="0"/>
                      <a:ext cx="8327676" cy="5386387"/>
                    </a:xfrm>
                    <a:prstGeom prst="rect">
                      <a:avLst/>
                    </a:prstGeom>
                  </pic:spPr>
                </pic:pic>
              </a:graphicData>
            </a:graphic>
            <wp14:sizeRelH relativeFrom="margin">
              <wp14:pctWidth>0</wp14:pctWidth>
            </wp14:sizeRelH>
            <wp14:sizeRelV relativeFrom="margin">
              <wp14:pctHeight>0</wp14:pctHeight>
            </wp14:sizeRelV>
          </wp:anchor>
        </w:drawing>
      </w:r>
    </w:p>
    <w:p w14:paraId="246BF07F" w14:textId="77777777" w:rsidR="00C542B4" w:rsidRPr="00C542B4" w:rsidRDefault="00C542B4" w:rsidP="00C542B4">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sectPr w:rsidR="00C542B4" w:rsidRPr="00C542B4" w:rsidSect="005C1895">
          <w:pgSz w:w="15840" w:h="12240" w:orient="landscape"/>
          <w:pgMar w:top="720" w:right="720" w:bottom="720" w:left="720" w:header="709" w:footer="709" w:gutter="0"/>
          <w:pgNumType w:start="161"/>
          <w:cols w:space="708"/>
          <w:docGrid w:linePitch="360"/>
        </w:sectPr>
      </w:pPr>
    </w:p>
    <w:p w14:paraId="5BF60589"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C542B4">
        <w:rPr>
          <w:rFonts w:ascii="Calibri" w:eastAsia="Times New Roman" w:hAnsi="Calibri" w:cs="Calibri"/>
          <w:b/>
          <w:bCs/>
          <w:color w:val="000000"/>
          <w:kern w:val="0"/>
          <w:lang w:val="es-ES_tradnl" w:eastAsia="es-CR"/>
          <w14:ligatures w14:val="none"/>
        </w:rPr>
        <w:lastRenderedPageBreak/>
        <w:t>XI. Bibliografía obligatoria</w:t>
      </w:r>
    </w:p>
    <w:p w14:paraId="083F4AF7"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C542B4">
        <w:rPr>
          <w:rFonts w:ascii="Calibri" w:eastAsia="Times New Roman" w:hAnsi="Calibri" w:cs="Arial"/>
          <w:b/>
          <w:color w:val="000000"/>
          <w:kern w:val="0"/>
          <w:lang w:eastAsia="es-CR"/>
          <w14:ligatures w14:val="none"/>
        </w:rPr>
        <w:t>Nota:</w:t>
      </w:r>
      <w:r w:rsidRPr="00C542B4">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C542B4">
        <w:rPr>
          <w:rFonts w:ascii="Calibri" w:eastAsia="Times New Roman" w:hAnsi="Calibri" w:cs="Arial"/>
          <w:bCs/>
          <w:color w:val="000000"/>
          <w:kern w:val="0"/>
          <w:lang w:eastAsia="es-CR"/>
          <w14:ligatures w14:val="none"/>
        </w:rPr>
        <w:t>pdf</w:t>
      </w:r>
      <w:proofErr w:type="spellEnd"/>
      <w:r w:rsidRPr="00C542B4">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7F2B924F"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p>
    <w:p w14:paraId="4598E3D3" w14:textId="77777777" w:rsidR="00C542B4" w:rsidRPr="00C542B4" w:rsidRDefault="00C542B4" w:rsidP="00C542B4">
      <w:pPr>
        <w:spacing w:after="120" w:line="276" w:lineRule="auto"/>
        <w:ind w:left="709" w:hanging="709"/>
        <w:jc w:val="both"/>
        <w:rPr>
          <w:rFonts w:ascii="Calibri" w:eastAsia="Arial Unicode MS" w:hAnsi="Calibri" w:cs="Calibri"/>
          <w:bCs/>
          <w:kern w:val="0"/>
          <w14:ligatures w14:val="none"/>
        </w:rPr>
      </w:pPr>
      <w:proofErr w:type="spellStart"/>
      <w:r w:rsidRPr="00C542B4">
        <w:rPr>
          <w:rFonts w:ascii="Calibri" w:eastAsia="Arial Unicode MS" w:hAnsi="Calibri" w:cs="Calibri"/>
          <w:bCs/>
          <w:kern w:val="0"/>
          <w14:ligatures w14:val="none"/>
        </w:rPr>
        <w:t>Barriocanal</w:t>
      </w:r>
      <w:proofErr w:type="spellEnd"/>
      <w:r w:rsidRPr="00C542B4">
        <w:rPr>
          <w:rFonts w:ascii="Calibri" w:eastAsia="Arial Unicode MS" w:hAnsi="Calibri" w:cs="Calibri"/>
          <w:bCs/>
          <w:kern w:val="0"/>
          <w14:ligatures w14:val="none"/>
        </w:rPr>
        <w:t xml:space="preserve"> Gómez, José Luis; Francisco Ramis </w:t>
      </w:r>
      <w:proofErr w:type="spellStart"/>
      <w:r w:rsidRPr="00C542B4">
        <w:rPr>
          <w:rFonts w:ascii="Calibri" w:eastAsia="Arial Unicode MS" w:hAnsi="Calibri" w:cs="Calibri"/>
          <w:bCs/>
          <w:kern w:val="0"/>
          <w14:ligatures w14:val="none"/>
        </w:rPr>
        <w:t>Darder</w:t>
      </w:r>
      <w:proofErr w:type="spellEnd"/>
      <w:r w:rsidRPr="00C542B4">
        <w:rPr>
          <w:rFonts w:ascii="Calibri" w:eastAsia="Arial Unicode MS" w:hAnsi="Calibri" w:cs="Calibri"/>
          <w:bCs/>
          <w:kern w:val="0"/>
          <w14:ligatures w14:val="none"/>
        </w:rPr>
        <w:t xml:space="preserve"> y Santiago </w:t>
      </w:r>
      <w:proofErr w:type="spellStart"/>
      <w:r w:rsidRPr="00C542B4">
        <w:rPr>
          <w:rFonts w:ascii="Calibri" w:eastAsia="Arial Unicode MS" w:hAnsi="Calibri" w:cs="Calibri"/>
          <w:bCs/>
          <w:kern w:val="0"/>
          <w14:ligatures w14:val="none"/>
        </w:rPr>
        <w:t>Ausín</w:t>
      </w:r>
      <w:proofErr w:type="spellEnd"/>
      <w:r w:rsidRPr="00C542B4">
        <w:rPr>
          <w:rFonts w:ascii="Calibri" w:eastAsia="Arial Unicode MS" w:hAnsi="Calibri" w:cs="Calibri"/>
          <w:bCs/>
          <w:kern w:val="0"/>
          <w14:ligatures w14:val="none"/>
        </w:rPr>
        <w:t xml:space="preserve"> Olmos. </w:t>
      </w:r>
      <w:r w:rsidRPr="00C542B4">
        <w:rPr>
          <w:rFonts w:ascii="Calibri" w:eastAsia="Arial Unicode MS" w:hAnsi="Calibri" w:cs="Calibri"/>
          <w:bCs/>
          <w:i/>
          <w:iCs/>
          <w:kern w:val="0"/>
          <w14:ligatures w14:val="none"/>
        </w:rPr>
        <w:t>Libros proféticos</w:t>
      </w:r>
      <w:r w:rsidRPr="00C542B4">
        <w:rPr>
          <w:rFonts w:ascii="Calibri" w:eastAsia="Arial Unicode MS" w:hAnsi="Calibri" w:cs="Calibri"/>
          <w:bCs/>
          <w:kern w:val="0"/>
          <w14:ligatures w14:val="none"/>
        </w:rPr>
        <w:t xml:space="preserve">. Estella: Verbo Divino, 2023. </w:t>
      </w:r>
    </w:p>
    <w:p w14:paraId="1568EAB3" w14:textId="77777777" w:rsidR="00C542B4" w:rsidRPr="00C542B4" w:rsidRDefault="00C542B4" w:rsidP="00C542B4">
      <w:pPr>
        <w:spacing w:after="120" w:line="276" w:lineRule="auto"/>
        <w:ind w:left="709" w:hanging="709"/>
        <w:jc w:val="both"/>
        <w:rPr>
          <w:rFonts w:ascii="Calibri" w:eastAsia="Arial Unicode MS" w:hAnsi="Calibri" w:cs="Calibri"/>
          <w:kern w:val="0"/>
          <w:sz w:val="20"/>
          <w:szCs w:val="20"/>
          <w:shd w:val="clear" w:color="auto" w:fill="FFFFFF"/>
          <w14:ligatures w14:val="none"/>
        </w:rPr>
      </w:pPr>
      <w:r w:rsidRPr="00C542B4">
        <w:rPr>
          <w:rFonts w:ascii="Calibri" w:eastAsia="Arial Unicode MS" w:hAnsi="Calibri" w:cs="Calibri"/>
          <w:bCs/>
          <w:color w:val="000000"/>
          <w:kern w:val="0"/>
          <w14:ligatures w14:val="none"/>
        </w:rPr>
        <w:t xml:space="preserve">Carbajosa Ignacio, Joaquín González Echegaray y Francisco Varo. </w:t>
      </w:r>
      <w:r w:rsidRPr="00C542B4">
        <w:rPr>
          <w:rFonts w:ascii="Calibri" w:eastAsia="Arial Unicode MS" w:hAnsi="Calibri" w:cs="Calibri"/>
          <w:bCs/>
          <w:i/>
          <w:iCs/>
          <w:color w:val="000000"/>
          <w:kern w:val="0"/>
          <w14:ligatures w14:val="none"/>
        </w:rPr>
        <w:t>La Biblia en su entorno</w:t>
      </w:r>
      <w:r w:rsidRPr="00C542B4">
        <w:rPr>
          <w:rFonts w:ascii="Calibri" w:eastAsia="Arial Unicode MS" w:hAnsi="Calibri" w:cs="Calibri"/>
          <w:bCs/>
          <w:color w:val="000000"/>
          <w:kern w:val="0"/>
          <w14:ligatures w14:val="none"/>
        </w:rPr>
        <w:t>. Estella: Verbo Divino, 2023.</w:t>
      </w:r>
    </w:p>
    <w:p w14:paraId="75008EB8" w14:textId="77777777" w:rsidR="00C542B4" w:rsidRPr="00C542B4" w:rsidRDefault="00C542B4"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 w:eastAsia="es-CR"/>
          <w14:ligatures w14:val="none"/>
        </w:rPr>
      </w:pPr>
      <w:proofErr w:type="spellStart"/>
      <w:r w:rsidRPr="4C9C2619">
        <w:rPr>
          <w:rFonts w:ascii="Calibri" w:eastAsia="Times New Roman" w:hAnsi="Calibri" w:cs="Calibri"/>
          <w:color w:val="000000"/>
          <w:kern w:val="0"/>
          <w:lang w:val="es-ES" w:eastAsia="es-CR"/>
          <w14:ligatures w14:val="none"/>
        </w:rPr>
        <w:t>Drijvers</w:t>
      </w:r>
      <w:proofErr w:type="spellEnd"/>
      <w:r w:rsidRPr="4C9C2619">
        <w:rPr>
          <w:rFonts w:ascii="Calibri" w:eastAsia="Times New Roman" w:hAnsi="Calibri" w:cs="Calibri"/>
          <w:color w:val="000000"/>
          <w:kern w:val="0"/>
          <w:lang w:val="es-ES" w:eastAsia="es-CR"/>
          <w14:ligatures w14:val="none"/>
        </w:rPr>
        <w:t xml:space="preserve">, Pius. </w:t>
      </w:r>
      <w:r w:rsidRPr="4C9C2619">
        <w:rPr>
          <w:rFonts w:ascii="Calibri" w:eastAsia="Times New Roman" w:hAnsi="Calibri" w:cs="Calibri"/>
          <w:i/>
          <w:iCs/>
          <w:color w:val="000000"/>
          <w:kern w:val="0"/>
          <w:lang w:val="es-ES" w:eastAsia="es-CR"/>
          <w14:ligatures w14:val="none"/>
        </w:rPr>
        <w:t xml:space="preserve">Salmos: Introducción a su contenido espiritual y doctrinal. </w:t>
      </w:r>
      <w:r w:rsidRPr="4C9C2619">
        <w:rPr>
          <w:rFonts w:ascii="Calibri" w:eastAsia="Times New Roman" w:hAnsi="Calibri" w:cs="Calibri"/>
          <w:color w:val="000000"/>
          <w:kern w:val="0"/>
          <w:lang w:val="es-ES" w:eastAsia="es-CR"/>
          <w14:ligatures w14:val="none"/>
        </w:rPr>
        <w:t xml:space="preserve">Barcelona: Herder, 1962. (Clásico, </w:t>
      </w:r>
      <w:r w:rsidRPr="4C9C2619">
        <w:rPr>
          <w:rFonts w:ascii="Calibri" w:eastAsia="Times New Roman" w:hAnsi="Calibri" w:cs="Calibri"/>
          <w:color w:val="0070C0"/>
          <w:kern w:val="0"/>
          <w:lang w:val="es-ES" w:eastAsia="es-CR"/>
          <w14:ligatures w14:val="none"/>
        </w:rPr>
        <w:t>última edición 1964</w:t>
      </w:r>
      <w:r w:rsidRPr="4C9C2619">
        <w:rPr>
          <w:rFonts w:ascii="Calibri" w:eastAsia="Times New Roman" w:hAnsi="Calibri" w:cs="Calibri"/>
          <w:color w:val="000000"/>
          <w:kern w:val="0"/>
          <w:lang w:val="es-ES" w:eastAsia="es-CR"/>
          <w14:ligatures w14:val="none"/>
        </w:rPr>
        <w:t>)</w:t>
      </w:r>
    </w:p>
    <w:p w14:paraId="317023CD" w14:textId="77777777" w:rsidR="00C542B4" w:rsidRPr="00C542B4" w:rsidRDefault="00C542B4"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 w:eastAsia="es-CR"/>
          <w14:ligatures w14:val="none"/>
        </w:rPr>
      </w:pPr>
      <w:proofErr w:type="spellStart"/>
      <w:r w:rsidRPr="4C9C2619">
        <w:rPr>
          <w:rFonts w:ascii="Calibri" w:eastAsia="Times New Roman" w:hAnsi="Calibri" w:cs="Calibri"/>
          <w:color w:val="000000"/>
          <w:kern w:val="0"/>
          <w:lang w:val="es-ES" w:eastAsia="es-CR"/>
          <w14:ligatures w14:val="none"/>
        </w:rPr>
        <w:t>Loretz</w:t>
      </w:r>
      <w:proofErr w:type="spellEnd"/>
      <w:r w:rsidRPr="4C9C2619">
        <w:rPr>
          <w:rFonts w:ascii="Calibri" w:eastAsia="Times New Roman" w:hAnsi="Calibri" w:cs="Calibri"/>
          <w:color w:val="000000"/>
          <w:kern w:val="0"/>
          <w:lang w:val="es-ES" w:eastAsia="es-CR"/>
          <w14:ligatures w14:val="none"/>
        </w:rPr>
        <w:t xml:space="preserve">, Oswald. “Novela y narración corta en Israel”. En </w:t>
      </w:r>
      <w:r w:rsidRPr="4C9C2619">
        <w:rPr>
          <w:rFonts w:ascii="Calibri" w:eastAsia="Times New Roman" w:hAnsi="Calibri" w:cs="Calibri"/>
          <w:i/>
          <w:iCs/>
          <w:color w:val="000000"/>
          <w:kern w:val="0"/>
          <w:lang w:val="es-ES" w:eastAsia="es-CR"/>
          <w14:ligatures w14:val="none"/>
        </w:rPr>
        <w:t>Palabra y mensaje del Antiguo Testamento</w:t>
      </w:r>
      <w:r w:rsidRPr="4C9C2619">
        <w:rPr>
          <w:rFonts w:ascii="Calibri" w:eastAsia="Times New Roman" w:hAnsi="Calibri" w:cs="Calibri"/>
          <w:color w:val="000000"/>
          <w:kern w:val="0"/>
          <w:lang w:val="es-ES" w:eastAsia="es-CR"/>
          <w14:ligatures w14:val="none"/>
        </w:rPr>
        <w:t xml:space="preserve">, editado por Josef </w:t>
      </w:r>
      <w:proofErr w:type="spellStart"/>
      <w:r w:rsidRPr="4C9C2619">
        <w:rPr>
          <w:rFonts w:ascii="Calibri" w:eastAsia="Times New Roman" w:hAnsi="Calibri" w:cs="Calibri"/>
          <w:color w:val="000000"/>
          <w:kern w:val="0"/>
          <w:lang w:val="es-ES" w:eastAsia="es-CR"/>
          <w14:ligatures w14:val="none"/>
        </w:rPr>
        <w:t>Schreiner</w:t>
      </w:r>
      <w:proofErr w:type="spellEnd"/>
      <w:r w:rsidRPr="4C9C2619">
        <w:rPr>
          <w:rFonts w:ascii="Calibri" w:eastAsia="Times New Roman" w:hAnsi="Calibri" w:cs="Calibri"/>
          <w:color w:val="000000"/>
          <w:kern w:val="0"/>
          <w:lang w:val="es-ES" w:eastAsia="es-CR"/>
          <w14:ligatures w14:val="none"/>
        </w:rPr>
        <w:t>, 387-407. Barcelona: Herder, 1972.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xml:space="preserve">, última edición ) </w:t>
      </w:r>
    </w:p>
    <w:p w14:paraId="361A4C29"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Morla, Víctor. Libros </w:t>
      </w:r>
      <w:r w:rsidRPr="00C542B4">
        <w:rPr>
          <w:rFonts w:ascii="Calibri" w:eastAsia="Times New Roman" w:hAnsi="Calibri" w:cs="Calibri"/>
          <w:i/>
          <w:color w:val="000000"/>
          <w:kern w:val="0"/>
          <w:lang w:val="es-ES_tradnl" w:eastAsia="es-CR"/>
          <w14:ligatures w14:val="none"/>
        </w:rPr>
        <w:t xml:space="preserve">sapienciales y otros escritos. </w:t>
      </w:r>
      <w:r w:rsidRPr="00C542B4">
        <w:rPr>
          <w:rFonts w:ascii="Calibri" w:eastAsia="Times New Roman" w:hAnsi="Calibri" w:cs="Calibri"/>
          <w:color w:val="000000"/>
          <w:kern w:val="0"/>
          <w:lang w:val="es-ES_tradnl" w:eastAsia="es-CR"/>
          <w14:ligatures w14:val="none"/>
        </w:rPr>
        <w:t>Estella: Verbo Divino, 2019.</w:t>
      </w:r>
    </w:p>
    <w:p w14:paraId="29E88ED2"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Ester”.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editado por A. González Lamadrid, J. Campos Santiago, V. Pastor Julián, M. Navarro Puerto, J. Asurmendi y J.M. Sánchez Caro, 453-478. Estella: Verbo Divino, 2003. (</w:t>
      </w:r>
      <w:r w:rsidRPr="00C542B4">
        <w:rPr>
          <w:rFonts w:ascii="Calibri" w:eastAsia="Times New Roman" w:hAnsi="Calibri" w:cs="Calibri"/>
          <w:color w:val="0070C0"/>
          <w:kern w:val="0"/>
          <w:lang w:val="es-ES_tradnl" w:eastAsia="es-CR"/>
          <w14:ligatures w14:val="none"/>
        </w:rPr>
        <w:t>clásico</w:t>
      </w:r>
      <w:r w:rsidRPr="00C542B4">
        <w:rPr>
          <w:rFonts w:ascii="Calibri" w:eastAsia="Times New Roman" w:hAnsi="Calibri" w:cs="Calibri"/>
          <w:color w:val="000000"/>
          <w:kern w:val="0"/>
          <w:lang w:val="es-ES_tradnl" w:eastAsia="es-CR"/>
          <w14:ligatures w14:val="none"/>
        </w:rPr>
        <w:t>, última edición)</w:t>
      </w:r>
    </w:p>
    <w:p w14:paraId="59BBE488"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Judit”.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editado por A. González Lamadrid, J. Campos Santiago, V. Pastor Julián, M. Navarro Puerto, J. Asurmendi y J.M. Sánchez Caro, 425-451. Estella: Verbo Divino, 2003. (</w:t>
      </w:r>
      <w:r w:rsidRPr="00C542B4">
        <w:rPr>
          <w:rFonts w:ascii="Calibri" w:eastAsia="Times New Roman" w:hAnsi="Calibri" w:cs="Calibri"/>
          <w:color w:val="0070C0"/>
          <w:kern w:val="0"/>
          <w:lang w:val="es-ES_tradnl" w:eastAsia="es-CR"/>
          <w14:ligatures w14:val="none"/>
        </w:rPr>
        <w:t>clásico</w:t>
      </w:r>
      <w:r w:rsidRPr="00C542B4">
        <w:rPr>
          <w:rFonts w:ascii="Calibri" w:eastAsia="Times New Roman" w:hAnsi="Calibri" w:cs="Calibri"/>
          <w:color w:val="000000"/>
          <w:kern w:val="0"/>
          <w:lang w:val="es-ES_tradnl" w:eastAsia="es-CR"/>
          <w14:ligatures w14:val="none"/>
        </w:rPr>
        <w:t>, última edición)</w:t>
      </w:r>
    </w:p>
    <w:p w14:paraId="183B11DF"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Navarro, Mercedes. “El libro de Tobías”. En </w:t>
      </w:r>
      <w:r w:rsidRPr="00C542B4">
        <w:rPr>
          <w:rFonts w:ascii="Calibri" w:eastAsia="Times New Roman" w:hAnsi="Calibri" w:cs="Calibri"/>
          <w:i/>
          <w:color w:val="000000"/>
          <w:kern w:val="0"/>
          <w:lang w:val="es-ES_tradnl" w:eastAsia="es-CR"/>
          <w14:ligatures w14:val="none"/>
        </w:rPr>
        <w:t>Historia, Narrativa, Apocalíptica</w:t>
      </w:r>
      <w:r w:rsidRPr="00C542B4">
        <w:rPr>
          <w:rFonts w:ascii="Calibri" w:eastAsia="Times New Roman" w:hAnsi="Calibri" w:cs="Calibri"/>
          <w:color w:val="000000"/>
          <w:kern w:val="0"/>
          <w:lang w:val="es-ES_tradnl" w:eastAsia="es-CR"/>
          <w14:ligatures w14:val="none"/>
        </w:rPr>
        <w:t>, editado por A. González Lamadrid, J. Campos Santiago, V. Pastor Julián, M. Navarro Puerto, J. Asurmendi y J.M. Sánchez Caro, 403-417. Estella: Verbo Divino, 2003. (</w:t>
      </w:r>
      <w:r w:rsidRPr="00C542B4">
        <w:rPr>
          <w:rFonts w:ascii="Calibri" w:eastAsia="Times New Roman" w:hAnsi="Calibri" w:cs="Calibri"/>
          <w:color w:val="0070C0"/>
          <w:kern w:val="0"/>
          <w:lang w:val="es-ES_tradnl" w:eastAsia="es-CR"/>
          <w14:ligatures w14:val="none"/>
        </w:rPr>
        <w:t>clásico</w:t>
      </w:r>
      <w:r w:rsidRPr="00C542B4">
        <w:rPr>
          <w:rFonts w:ascii="Calibri" w:eastAsia="Times New Roman" w:hAnsi="Calibri" w:cs="Calibri"/>
          <w:color w:val="000000"/>
          <w:kern w:val="0"/>
          <w:lang w:val="es-ES_tradnl" w:eastAsia="es-CR"/>
          <w14:ligatures w14:val="none"/>
        </w:rPr>
        <w:t>, última edición)</w:t>
      </w:r>
    </w:p>
    <w:p w14:paraId="2D295109" w14:textId="77777777" w:rsidR="00C542B4" w:rsidRPr="00C542B4" w:rsidRDefault="00C542B4"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Schmid, Konrad. “La formación de los profetas posteriores”. En </w:t>
      </w:r>
      <w:r w:rsidRPr="4C9C2619">
        <w:rPr>
          <w:rFonts w:ascii="Calibri" w:eastAsia="Times New Roman" w:hAnsi="Calibri" w:cs="Calibri"/>
          <w:i/>
          <w:iCs/>
          <w:color w:val="000000"/>
          <w:kern w:val="0"/>
          <w:lang w:val="es-ES" w:eastAsia="es-CR"/>
          <w14:ligatures w14:val="none"/>
        </w:rPr>
        <w:t xml:space="preserve">Introducción al Antiguo Testamento, </w:t>
      </w:r>
      <w:r w:rsidRPr="4C9C2619">
        <w:rPr>
          <w:rFonts w:ascii="Calibri" w:eastAsia="Times New Roman" w:hAnsi="Calibri" w:cs="Calibri"/>
          <w:color w:val="000000"/>
          <w:kern w:val="0"/>
          <w:lang w:val="es-ES" w:eastAsia="es-CR"/>
          <w14:ligatures w14:val="none"/>
        </w:rPr>
        <w:t xml:space="preserve">editado por Thomas </w:t>
      </w:r>
      <w:proofErr w:type="spellStart"/>
      <w:r w:rsidRPr="4C9C2619">
        <w:rPr>
          <w:rFonts w:ascii="Calibri" w:eastAsia="Times New Roman" w:hAnsi="Calibri" w:cs="Calibri"/>
          <w:color w:val="000000"/>
          <w:kern w:val="0"/>
          <w:lang w:val="es-ES" w:eastAsia="es-CR"/>
          <w14:ligatures w14:val="none"/>
        </w:rPr>
        <w:t>Romer</w:t>
      </w:r>
      <w:proofErr w:type="spellEnd"/>
      <w:r w:rsidRPr="4C9C2619">
        <w:rPr>
          <w:rFonts w:ascii="Calibri" w:eastAsia="Times New Roman" w:hAnsi="Calibri" w:cs="Calibri"/>
          <w:color w:val="000000"/>
          <w:kern w:val="0"/>
          <w:lang w:val="es-ES" w:eastAsia="es-CR"/>
          <w14:ligatures w14:val="none"/>
        </w:rPr>
        <w:t xml:space="preserve">, Jean-Daniel Macchi y </w:t>
      </w:r>
      <w:proofErr w:type="spellStart"/>
      <w:r w:rsidRPr="4C9C2619">
        <w:rPr>
          <w:rFonts w:ascii="Calibri" w:eastAsia="Times New Roman" w:hAnsi="Calibri" w:cs="Calibri"/>
          <w:color w:val="000000"/>
          <w:kern w:val="0"/>
          <w:lang w:val="es-ES" w:eastAsia="es-CR"/>
          <w14:ligatures w14:val="none"/>
        </w:rPr>
        <w:t>Christophe</w:t>
      </w:r>
      <w:proofErr w:type="spellEnd"/>
      <w:r w:rsidRPr="4C9C2619">
        <w:rPr>
          <w:rFonts w:ascii="Calibri" w:eastAsia="Times New Roman" w:hAnsi="Calibri" w:cs="Calibri"/>
          <w:color w:val="000000"/>
          <w:kern w:val="0"/>
          <w:lang w:val="es-ES" w:eastAsia="es-CR"/>
          <w14:ligatures w14:val="none"/>
        </w:rPr>
        <w:t xml:space="preserve"> </w:t>
      </w:r>
      <w:proofErr w:type="spellStart"/>
      <w:r w:rsidRPr="4C9C2619">
        <w:rPr>
          <w:rFonts w:ascii="Calibri" w:eastAsia="Times New Roman" w:hAnsi="Calibri" w:cs="Calibri"/>
          <w:color w:val="000000"/>
          <w:kern w:val="0"/>
          <w:lang w:val="es-ES" w:eastAsia="es-CR"/>
          <w14:ligatures w14:val="none"/>
        </w:rPr>
        <w:t>Nihan</w:t>
      </w:r>
      <w:proofErr w:type="spellEnd"/>
      <w:r w:rsidRPr="4C9C2619">
        <w:rPr>
          <w:rFonts w:ascii="Calibri" w:eastAsia="Times New Roman" w:hAnsi="Calibri" w:cs="Calibri"/>
          <w:color w:val="000000"/>
          <w:kern w:val="0"/>
          <w:lang w:val="es-ES" w:eastAsia="es-CR"/>
          <w14:ligatures w14:val="none"/>
        </w:rPr>
        <w:t xml:space="preserve">, 318-328. Bilbao: </w:t>
      </w:r>
      <w:proofErr w:type="spellStart"/>
      <w:r w:rsidRPr="4C9C2619">
        <w:rPr>
          <w:rFonts w:ascii="Calibri" w:eastAsia="Times New Roman" w:hAnsi="Calibri" w:cs="Calibri"/>
          <w:color w:val="000000"/>
          <w:kern w:val="0"/>
          <w:lang w:val="es-ES" w:eastAsia="es-CR"/>
          <w14:ligatures w14:val="none"/>
        </w:rPr>
        <w:t>Desclee</w:t>
      </w:r>
      <w:proofErr w:type="spellEnd"/>
      <w:r w:rsidRPr="4C9C2619">
        <w:rPr>
          <w:rFonts w:ascii="Calibri" w:eastAsia="Times New Roman" w:hAnsi="Calibri" w:cs="Calibri"/>
          <w:color w:val="000000"/>
          <w:kern w:val="0"/>
          <w:lang w:val="es-ES" w:eastAsia="es-CR"/>
          <w14:ligatures w14:val="none"/>
        </w:rPr>
        <w:t xml:space="preserve"> de Brouwer, 2008.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última edición)</w:t>
      </w:r>
    </w:p>
    <w:p w14:paraId="25168284"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Sicre, José Luis. </w:t>
      </w:r>
      <w:r w:rsidRPr="00C542B4">
        <w:rPr>
          <w:rFonts w:ascii="Calibri" w:eastAsia="Times New Roman" w:hAnsi="Calibri" w:cs="Calibri"/>
          <w:i/>
          <w:color w:val="000000"/>
          <w:kern w:val="0"/>
          <w:lang w:val="es-ES_tradnl" w:eastAsia="es-CR"/>
          <w14:ligatures w14:val="none"/>
        </w:rPr>
        <w:t xml:space="preserve">Con los pobres de la tierra: la justicia social en los profetas de Israel. </w:t>
      </w:r>
      <w:r w:rsidRPr="00C542B4">
        <w:rPr>
          <w:rFonts w:ascii="Calibri" w:eastAsia="Times New Roman" w:hAnsi="Calibri" w:cs="Calibri"/>
          <w:color w:val="000000"/>
          <w:kern w:val="0"/>
          <w:lang w:val="es-ES_tradnl" w:eastAsia="es-CR"/>
          <w14:ligatures w14:val="none"/>
        </w:rPr>
        <w:t xml:space="preserve">Madrid: Cristiandad, 1984. (Clásico, </w:t>
      </w:r>
      <w:r w:rsidRPr="00C542B4">
        <w:rPr>
          <w:rFonts w:ascii="Calibri" w:eastAsia="Times New Roman" w:hAnsi="Calibri" w:cs="Calibri"/>
          <w:color w:val="0070C0"/>
          <w:kern w:val="0"/>
          <w:lang w:val="es-ES_tradnl" w:eastAsia="es-CR"/>
          <w14:ligatures w14:val="none"/>
        </w:rPr>
        <w:t>última edición</w:t>
      </w:r>
      <w:r w:rsidRPr="00C542B4">
        <w:rPr>
          <w:rFonts w:ascii="Calibri" w:eastAsia="Times New Roman" w:hAnsi="Calibri" w:cs="Calibri"/>
          <w:color w:val="000000"/>
          <w:kern w:val="0"/>
          <w:lang w:val="es-ES_tradnl" w:eastAsia="es-CR"/>
          <w14:ligatures w14:val="none"/>
        </w:rPr>
        <w:t>)</w:t>
      </w:r>
    </w:p>
    <w:p w14:paraId="6B99B6ED"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0000"/>
          <w:kern w:val="0"/>
          <w:lang w:val="es-ES_tradnl" w:eastAsia="es-CR"/>
          <w14:ligatures w14:val="none"/>
        </w:rPr>
      </w:pPr>
      <w:r w:rsidRPr="00C542B4">
        <w:rPr>
          <w:rFonts w:ascii="Calibri" w:eastAsia="Times New Roman" w:hAnsi="Calibri" w:cs="Calibri"/>
          <w:color w:val="000000"/>
          <w:kern w:val="0"/>
          <w:lang w:val="es-ES_tradnl" w:eastAsia="es-CR"/>
          <w14:ligatures w14:val="none"/>
        </w:rPr>
        <w:t xml:space="preserve">Vílchez, José. </w:t>
      </w:r>
      <w:r w:rsidRPr="00C542B4">
        <w:rPr>
          <w:rFonts w:ascii="Calibri" w:eastAsia="Times New Roman" w:hAnsi="Calibri" w:cs="Calibri"/>
          <w:i/>
          <w:color w:val="000000"/>
          <w:kern w:val="0"/>
          <w:lang w:val="es-ES_tradnl" w:eastAsia="es-CR"/>
          <w14:ligatures w14:val="none"/>
        </w:rPr>
        <w:t xml:space="preserve">Sabiduría y sabios en Israel. </w:t>
      </w:r>
      <w:r w:rsidRPr="00C542B4">
        <w:rPr>
          <w:rFonts w:ascii="Calibri" w:eastAsia="Times New Roman" w:hAnsi="Calibri" w:cs="Calibri"/>
          <w:color w:val="000000"/>
          <w:kern w:val="0"/>
          <w:lang w:val="es-ES_tradnl" w:eastAsia="es-CR"/>
          <w14:ligatures w14:val="none"/>
        </w:rPr>
        <w:t>Estella: Verbo Divino, 1995. (</w:t>
      </w:r>
      <w:r w:rsidRPr="00C542B4">
        <w:rPr>
          <w:rFonts w:ascii="Calibri" w:eastAsia="Times New Roman" w:hAnsi="Calibri" w:cs="Calibri"/>
          <w:color w:val="0070C0"/>
          <w:kern w:val="0"/>
          <w:lang w:val="es-ES_tradnl" w:eastAsia="es-CR"/>
          <w14:ligatures w14:val="none"/>
        </w:rPr>
        <w:t>clásico</w:t>
      </w:r>
      <w:r w:rsidRPr="00C542B4">
        <w:rPr>
          <w:rFonts w:ascii="Calibri" w:eastAsia="Times New Roman" w:hAnsi="Calibri" w:cs="Calibri"/>
          <w:color w:val="000000"/>
          <w:kern w:val="0"/>
          <w:lang w:val="es-ES_tradnl" w:eastAsia="es-CR"/>
          <w14:ligatures w14:val="none"/>
        </w:rPr>
        <w:t xml:space="preserve">, última edición) </w:t>
      </w:r>
    </w:p>
    <w:p w14:paraId="030B8C0D" w14:textId="77777777" w:rsidR="00C542B4" w:rsidRPr="00C542B4" w:rsidRDefault="00C542B4"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proofErr w:type="spellStart"/>
      <w:r w:rsidRPr="4C9C2619">
        <w:rPr>
          <w:rFonts w:ascii="Calibri" w:eastAsia="Times New Roman" w:hAnsi="Calibri" w:cs="Calibri"/>
          <w:color w:val="000000"/>
          <w:kern w:val="0"/>
          <w:lang w:val="es-ES" w:eastAsia="es-CR"/>
          <w14:ligatures w14:val="none"/>
        </w:rPr>
        <w:t>Weems</w:t>
      </w:r>
      <w:proofErr w:type="spellEnd"/>
      <w:r w:rsidRPr="4C9C2619">
        <w:rPr>
          <w:rFonts w:ascii="Calibri" w:eastAsia="Times New Roman" w:hAnsi="Calibri" w:cs="Calibri"/>
          <w:color w:val="000000"/>
          <w:kern w:val="0"/>
          <w:lang w:val="es-ES" w:eastAsia="es-CR"/>
          <w14:ligatures w14:val="none"/>
        </w:rPr>
        <w:t xml:space="preserve">, </w:t>
      </w:r>
      <w:proofErr w:type="spellStart"/>
      <w:r w:rsidRPr="4C9C2619">
        <w:rPr>
          <w:rFonts w:ascii="Calibri" w:eastAsia="Times New Roman" w:hAnsi="Calibri" w:cs="Calibri"/>
          <w:color w:val="000000"/>
          <w:kern w:val="0"/>
          <w:lang w:val="es-ES" w:eastAsia="es-CR"/>
          <w14:ligatures w14:val="none"/>
        </w:rPr>
        <w:t>Renita</w:t>
      </w:r>
      <w:proofErr w:type="spellEnd"/>
      <w:r w:rsidRPr="4C9C2619">
        <w:rPr>
          <w:rFonts w:ascii="Calibri" w:eastAsia="Times New Roman" w:hAnsi="Calibri" w:cs="Calibri"/>
          <w:color w:val="000000"/>
          <w:kern w:val="0"/>
          <w:lang w:val="es-ES" w:eastAsia="es-CR"/>
          <w14:ligatures w14:val="none"/>
        </w:rPr>
        <w:t xml:space="preserve">. </w:t>
      </w:r>
      <w:r w:rsidRPr="4C9C2619">
        <w:rPr>
          <w:rFonts w:ascii="Calibri" w:eastAsia="Times New Roman" w:hAnsi="Calibri" w:cs="Calibri"/>
          <w:i/>
          <w:iCs/>
          <w:color w:val="000000"/>
          <w:kern w:val="0"/>
          <w:lang w:val="es-ES" w:eastAsia="es-CR"/>
          <w14:ligatures w14:val="none"/>
        </w:rPr>
        <w:t xml:space="preserve">Amor maltratado: matrimonio, sexo y violencia en los profetas hebreos. </w:t>
      </w:r>
      <w:r w:rsidRPr="4C9C2619">
        <w:rPr>
          <w:rFonts w:ascii="Calibri" w:eastAsia="Times New Roman" w:hAnsi="Calibri" w:cs="Calibri"/>
          <w:color w:val="000000"/>
          <w:kern w:val="0"/>
          <w:lang w:val="es-ES" w:eastAsia="es-CR"/>
          <w14:ligatures w14:val="none"/>
        </w:rPr>
        <w:t xml:space="preserve">Bilbao: </w:t>
      </w:r>
      <w:proofErr w:type="spellStart"/>
      <w:r w:rsidRPr="4C9C2619">
        <w:rPr>
          <w:rFonts w:ascii="Calibri" w:eastAsia="Times New Roman" w:hAnsi="Calibri" w:cs="Calibri"/>
          <w:color w:val="000000"/>
          <w:kern w:val="0"/>
          <w:lang w:val="es-ES" w:eastAsia="es-CR"/>
          <w14:ligatures w14:val="none"/>
        </w:rPr>
        <w:t>Desclee</w:t>
      </w:r>
      <w:proofErr w:type="spellEnd"/>
      <w:r w:rsidRPr="4C9C2619">
        <w:rPr>
          <w:rFonts w:ascii="Calibri" w:eastAsia="Times New Roman" w:hAnsi="Calibri" w:cs="Calibri"/>
          <w:color w:val="000000"/>
          <w:kern w:val="0"/>
          <w:lang w:val="es-ES" w:eastAsia="es-CR"/>
          <w14:ligatures w14:val="none"/>
        </w:rPr>
        <w:t xml:space="preserve"> de Brouwer, 1997.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última edición)</w:t>
      </w:r>
    </w:p>
    <w:p w14:paraId="6D087C34" w14:textId="77777777" w:rsidR="00C542B4" w:rsidRPr="00C542B4" w:rsidRDefault="00C542B4" w:rsidP="00C542B4">
      <w:pPr>
        <w:widowControl w:val="0"/>
        <w:overflowPunct w:val="0"/>
        <w:autoSpaceDE w:val="0"/>
        <w:autoSpaceDN w:val="0"/>
        <w:adjustRightInd w:val="0"/>
        <w:spacing w:before="120" w:after="0" w:line="276" w:lineRule="auto"/>
        <w:rPr>
          <w:rFonts w:ascii="Calibri" w:eastAsia="Times New Roman" w:hAnsi="Calibri" w:cs="Calibri"/>
          <w:b/>
          <w:color w:val="000000"/>
          <w:kern w:val="0"/>
          <w:lang w:val="es-ES_tradnl" w:eastAsia="es-CR"/>
          <w14:ligatures w14:val="none"/>
        </w:rPr>
      </w:pPr>
    </w:p>
    <w:p w14:paraId="7991BA8B" w14:textId="77777777" w:rsidR="00C542B4" w:rsidRPr="00C542B4" w:rsidRDefault="00C542B4" w:rsidP="00C542B4">
      <w:pPr>
        <w:widowControl w:val="0"/>
        <w:overflowPunct w:val="0"/>
        <w:autoSpaceDE w:val="0"/>
        <w:autoSpaceDN w:val="0"/>
        <w:adjustRightInd w:val="0"/>
        <w:spacing w:before="120" w:after="0" w:line="276" w:lineRule="auto"/>
        <w:ind w:left="709" w:hanging="709"/>
        <w:rPr>
          <w:rFonts w:ascii="Calibri" w:eastAsia="Times New Roman" w:hAnsi="Calibri" w:cs="Calibri"/>
          <w:b/>
          <w:color w:val="000000"/>
          <w:kern w:val="0"/>
          <w:lang w:val="es-ES_tradnl" w:eastAsia="es-CR"/>
          <w14:ligatures w14:val="none"/>
        </w:rPr>
      </w:pPr>
      <w:r w:rsidRPr="00C542B4">
        <w:rPr>
          <w:rFonts w:ascii="Calibri" w:eastAsia="Times New Roman" w:hAnsi="Calibri" w:cs="Calibri"/>
          <w:b/>
          <w:color w:val="000000"/>
          <w:kern w:val="0"/>
          <w:lang w:val="es-ES_tradnl" w:eastAsia="es-CR"/>
          <w14:ligatures w14:val="none"/>
        </w:rPr>
        <w:t>XII. Bibliografía complementaria</w:t>
      </w:r>
    </w:p>
    <w:p w14:paraId="66AE6DBD" w14:textId="77777777" w:rsidR="00C542B4" w:rsidRPr="00C542B4" w:rsidRDefault="00C542B4" w:rsidP="00C542B4">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C542B4">
        <w:rPr>
          <w:rFonts w:ascii="Calibri" w:eastAsia="Times New Roman" w:hAnsi="Calibri" w:cs="Arial"/>
          <w:b/>
          <w:color w:val="000000"/>
          <w:kern w:val="0"/>
          <w:lang w:eastAsia="es-CR"/>
          <w14:ligatures w14:val="none"/>
        </w:rPr>
        <w:t>Nota:</w:t>
      </w:r>
      <w:r w:rsidRPr="00C542B4">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C542B4">
        <w:rPr>
          <w:rFonts w:ascii="Calibri" w:eastAsia="Times New Roman" w:hAnsi="Calibri" w:cs="Arial"/>
          <w:bCs/>
          <w:color w:val="000000"/>
          <w:kern w:val="0"/>
          <w:lang w:eastAsia="es-CR"/>
          <w14:ligatures w14:val="none"/>
        </w:rPr>
        <w:t>pdf</w:t>
      </w:r>
      <w:proofErr w:type="spellEnd"/>
      <w:r w:rsidRPr="00C542B4">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4CB4E69E" w14:textId="77777777" w:rsidR="00C542B4" w:rsidRPr="00C542B4" w:rsidRDefault="00C542B4"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lastRenderedPageBreak/>
        <w:t>Barriocanal</w:t>
      </w:r>
      <w:proofErr w:type="spellEnd"/>
      <w:r w:rsidRPr="4C9C2619">
        <w:rPr>
          <w:rFonts w:ascii="Calibri" w:eastAsia="Times New Roman" w:hAnsi="Calibri" w:cs="Calibri"/>
          <w:kern w:val="0"/>
          <w:lang w:val="es-ES" w:eastAsia="es-CR"/>
          <w14:ligatures w14:val="none"/>
        </w:rPr>
        <w:t xml:space="preserve"> Gómez, José Luis. “Del profetismo de Mari al profetismo ideal bíblico”. </w:t>
      </w:r>
      <w:r w:rsidRPr="4C9C2619">
        <w:rPr>
          <w:rFonts w:ascii="Calibri" w:eastAsia="Times New Roman" w:hAnsi="Calibri" w:cs="Calibri"/>
          <w:i/>
          <w:iCs/>
          <w:kern w:val="0"/>
          <w:lang w:val="es-ES" w:eastAsia="es-CR"/>
          <w14:ligatures w14:val="none"/>
        </w:rPr>
        <w:t>Reseña Bíblica</w:t>
      </w:r>
      <w:r w:rsidRPr="4C9C2619">
        <w:rPr>
          <w:rFonts w:ascii="Calibri" w:eastAsia="Times New Roman" w:hAnsi="Calibri" w:cs="Calibri"/>
          <w:kern w:val="0"/>
          <w:lang w:val="es-ES" w:eastAsia="es-CR"/>
          <w14:ligatures w14:val="none"/>
        </w:rPr>
        <w:t>, n. 93 (2017): 15-22.</w:t>
      </w:r>
    </w:p>
    <w:p w14:paraId="53001802"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 xml:space="preserve">Elorza, José Luis. </w:t>
      </w:r>
      <w:r w:rsidRPr="00C542B4">
        <w:rPr>
          <w:rFonts w:ascii="Calibri" w:eastAsia="Times New Roman" w:hAnsi="Calibri" w:cs="Calibri"/>
          <w:i/>
          <w:kern w:val="0"/>
          <w:lang w:val="es-ES_tradnl" w:eastAsia="es-CR"/>
          <w14:ligatures w14:val="none"/>
        </w:rPr>
        <w:t>Drama y esperanza: Lectura existencial del Antiguo Testamento. Tomo III: El ser humano interrogado por la realidad: Libros sapienciales</w:t>
      </w:r>
      <w:r w:rsidRPr="00C542B4">
        <w:rPr>
          <w:rFonts w:ascii="Calibri" w:eastAsia="Times New Roman" w:hAnsi="Calibri" w:cs="Calibri"/>
          <w:kern w:val="0"/>
          <w:lang w:val="es-ES_tradnl" w:eastAsia="es-CR"/>
          <w14:ligatures w14:val="none"/>
        </w:rPr>
        <w:t xml:space="preserve">. Estella: Verbo Divino, 2017. </w:t>
      </w:r>
      <w:r w:rsidRPr="00C542B4">
        <w:rPr>
          <w:rFonts w:ascii="Calibri" w:eastAsia="Times New Roman" w:hAnsi="Calibri" w:cs="Calibri"/>
          <w:color w:val="000000"/>
          <w:kern w:val="0"/>
          <w:lang w:val="es-ES_tradnl" w:eastAsia="es-CR"/>
          <w14:ligatures w14:val="none"/>
        </w:rPr>
        <w:t>(</w:t>
      </w:r>
      <w:r w:rsidRPr="00C542B4">
        <w:rPr>
          <w:rFonts w:ascii="Calibri" w:eastAsia="Times New Roman" w:hAnsi="Calibri" w:cs="Calibri"/>
          <w:color w:val="0070C0"/>
          <w:kern w:val="0"/>
          <w:lang w:val="es-ES_tradnl" w:eastAsia="es-CR"/>
          <w14:ligatures w14:val="none"/>
        </w:rPr>
        <w:t>clásico</w:t>
      </w:r>
      <w:r w:rsidRPr="00C542B4">
        <w:rPr>
          <w:rFonts w:ascii="Calibri" w:eastAsia="Times New Roman" w:hAnsi="Calibri" w:cs="Calibri"/>
          <w:color w:val="000000"/>
          <w:kern w:val="0"/>
          <w:lang w:val="es-ES_tradnl" w:eastAsia="es-CR"/>
          <w14:ligatures w14:val="none"/>
        </w:rPr>
        <w:t>, última edición)</w:t>
      </w:r>
    </w:p>
    <w:p w14:paraId="45A5F20C" w14:textId="77777777" w:rsidR="00C542B4" w:rsidRPr="00C542B4" w:rsidRDefault="00C542B4" w:rsidP="00C542B4">
      <w:pPr>
        <w:widowControl w:val="0"/>
        <w:overflowPunct w:val="0"/>
        <w:autoSpaceDE w:val="0"/>
        <w:autoSpaceDN w:val="0"/>
        <w:adjustRightInd w:val="0"/>
        <w:spacing w:before="120" w:after="0" w:line="276" w:lineRule="auto"/>
        <w:ind w:left="709" w:hanging="709"/>
        <w:jc w:val="both"/>
        <w:rPr>
          <w:rFonts w:ascii="Calibri" w:eastAsia="Times New Roman" w:hAnsi="Calibri" w:cs="Calibri"/>
          <w:kern w:val="0"/>
          <w:lang w:val="es-ES_tradnl" w:eastAsia="es-CR"/>
          <w14:ligatures w14:val="none"/>
        </w:rPr>
      </w:pPr>
      <w:r w:rsidRPr="00C542B4">
        <w:rPr>
          <w:rFonts w:ascii="Calibri" w:eastAsia="Times New Roman" w:hAnsi="Calibri" w:cs="Calibri"/>
          <w:kern w:val="0"/>
          <w:lang w:val="es-ES_tradnl" w:eastAsia="es-CR"/>
          <w14:ligatures w14:val="none"/>
        </w:rPr>
        <w:t xml:space="preserve">García Recio, Jesús. “La legitimación profética del rey”. </w:t>
      </w:r>
      <w:r w:rsidRPr="00C542B4">
        <w:rPr>
          <w:rFonts w:ascii="Calibri" w:eastAsia="Times New Roman" w:hAnsi="Calibri" w:cs="Calibri"/>
          <w:i/>
          <w:kern w:val="0"/>
          <w:lang w:val="es-ES_tradnl" w:eastAsia="es-CR"/>
          <w14:ligatures w14:val="none"/>
        </w:rPr>
        <w:t>Reseña Bíblica</w:t>
      </w:r>
      <w:r w:rsidRPr="00C542B4">
        <w:rPr>
          <w:rFonts w:ascii="Calibri" w:eastAsia="Times New Roman" w:hAnsi="Calibri" w:cs="Calibri"/>
          <w:kern w:val="0"/>
          <w:lang w:val="es-ES_tradnl" w:eastAsia="es-CR"/>
          <w14:ligatures w14:val="none"/>
        </w:rPr>
        <w:t>, n. 93 (2017): 49-58.</w:t>
      </w:r>
    </w:p>
    <w:p w14:paraId="0A4390BA" w14:textId="77777777" w:rsidR="00C542B4" w:rsidRPr="00C542B4" w:rsidRDefault="00C542B4"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b/>
          <w:bCs/>
          <w:color w:val="000000"/>
          <w:kern w:val="0"/>
          <w:sz w:val="20"/>
          <w:szCs w:val="20"/>
          <w:lang w:val="es-ES" w:eastAsia="es-CR"/>
          <w14:ligatures w14:val="none"/>
        </w:rPr>
      </w:pPr>
      <w:proofErr w:type="spellStart"/>
      <w:r w:rsidRPr="4C9C2619">
        <w:rPr>
          <w:rFonts w:ascii="Calibri" w:eastAsia="Times New Roman" w:hAnsi="Calibri" w:cs="Calibri"/>
          <w:kern w:val="0"/>
          <w:lang w:val="es-ES" w:eastAsia="es-CR"/>
          <w14:ligatures w14:val="none"/>
        </w:rPr>
        <w:t>Trebolle</w:t>
      </w:r>
      <w:proofErr w:type="spellEnd"/>
      <w:r w:rsidRPr="4C9C2619">
        <w:rPr>
          <w:rFonts w:ascii="Calibri" w:eastAsia="Times New Roman" w:hAnsi="Calibri" w:cs="Calibri"/>
          <w:kern w:val="0"/>
          <w:lang w:val="es-ES" w:eastAsia="es-CR"/>
          <w14:ligatures w14:val="none"/>
        </w:rPr>
        <w:t xml:space="preserve">, Julio. </w:t>
      </w:r>
      <w:r w:rsidRPr="4C9C2619">
        <w:rPr>
          <w:rFonts w:ascii="Calibri" w:eastAsia="Times New Roman" w:hAnsi="Calibri" w:cs="Calibri"/>
          <w:i/>
          <w:iCs/>
          <w:kern w:val="0"/>
          <w:lang w:val="es-ES" w:eastAsia="es-CR"/>
          <w14:ligatures w14:val="none"/>
        </w:rPr>
        <w:t>Texturas bíblicas del antiguo Oriente al Occidente moderno</w:t>
      </w:r>
      <w:r w:rsidRPr="4C9C2619">
        <w:rPr>
          <w:rFonts w:ascii="Calibri" w:eastAsia="Times New Roman" w:hAnsi="Calibri" w:cs="Calibri"/>
          <w:kern w:val="0"/>
          <w:lang w:val="es-ES" w:eastAsia="es-CR"/>
          <w14:ligatures w14:val="none"/>
        </w:rPr>
        <w:t>. Madrid: Editorial Trotta, 2019.</w:t>
      </w:r>
    </w:p>
    <w:p w14:paraId="0EABE06E" w14:textId="77777777" w:rsidR="00086FC8" w:rsidRDefault="00086FC8"/>
    <w:p w14:paraId="384FF3D6" w14:textId="77777777" w:rsidR="00086FC8" w:rsidRDefault="00086FC8"/>
    <w:p w14:paraId="2FA5CE40" w14:textId="77777777" w:rsidR="00086FC8" w:rsidRDefault="00086FC8"/>
    <w:p w14:paraId="498D22AF" w14:textId="77777777" w:rsidR="00086FC8" w:rsidRDefault="00086FC8"/>
    <w:p w14:paraId="16DBF83B" w14:textId="77777777" w:rsidR="00086FC8" w:rsidRDefault="00086FC8"/>
    <w:p w14:paraId="08AAEF86" w14:textId="77777777" w:rsidR="00086FC8" w:rsidRDefault="00086FC8"/>
    <w:p w14:paraId="23F56EFC" w14:textId="77777777" w:rsidR="00086FC8" w:rsidRDefault="00086FC8"/>
    <w:p w14:paraId="7A804AA4" w14:textId="77777777" w:rsidR="00086FC8" w:rsidRDefault="00086FC8"/>
    <w:p w14:paraId="26081687" w14:textId="77777777" w:rsidR="00086FC8" w:rsidRDefault="00086FC8"/>
    <w:p w14:paraId="1A5B40F6" w14:textId="77777777" w:rsidR="00086FC8" w:rsidRDefault="00086FC8"/>
    <w:p w14:paraId="2A8A3C94" w14:textId="77777777" w:rsidR="00086FC8" w:rsidRDefault="00086FC8"/>
    <w:p w14:paraId="5F8F3794" w14:textId="77777777" w:rsidR="00086FC8" w:rsidRDefault="00086FC8"/>
    <w:p w14:paraId="7830CC3E" w14:textId="4811FB8E" w:rsidR="00C542B4" w:rsidRDefault="00C542B4">
      <w:r>
        <w:br w:type="page"/>
      </w:r>
    </w:p>
    <w:p w14:paraId="362133E3" w14:textId="77777777" w:rsidR="00C7239A" w:rsidRPr="00F24BC3" w:rsidRDefault="00C7239A" w:rsidP="00C7239A">
      <w:pPr>
        <w:jc w:val="center"/>
        <w:rPr>
          <w:rFonts w:ascii="Arial" w:hAnsi="Arial" w:cs="Arial"/>
          <w:color w:val="000000" w:themeColor="text1"/>
          <w:szCs w:val="24"/>
        </w:rPr>
      </w:pPr>
      <w:r w:rsidRPr="00F24BC3">
        <w:rPr>
          <w:rFonts w:ascii="Arial" w:hAnsi="Arial" w:cs="Arial"/>
          <w:noProof/>
          <w:color w:val="000000" w:themeColor="text1"/>
          <w:szCs w:val="24"/>
        </w:rPr>
        <w:lastRenderedPageBreak/>
        <w:drawing>
          <wp:inline distT="0" distB="0" distL="0" distR="0" wp14:anchorId="1EFE7A9E" wp14:editId="7303A936">
            <wp:extent cx="2009775" cy="1548377"/>
            <wp:effectExtent l="0" t="0" r="0" b="0"/>
            <wp:docPr id="1213771032"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71032"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32D04A7B" w14:textId="77777777" w:rsidR="00C7239A" w:rsidRPr="00F24BC3" w:rsidRDefault="00C7239A" w:rsidP="00C7239A">
      <w:pPr>
        <w:pStyle w:val="Ttulo1"/>
        <w:spacing w:before="0" w:after="0"/>
        <w:rPr>
          <w:rFonts w:cs="Arial"/>
          <w:color w:val="000000" w:themeColor="text1"/>
          <w:szCs w:val="24"/>
          <w:lang w:val="es-CR"/>
        </w:rPr>
      </w:pPr>
    </w:p>
    <w:p w14:paraId="7BC6214E" w14:textId="77777777" w:rsidR="00C7239A" w:rsidRPr="00F24BC3" w:rsidRDefault="00C7239A" w:rsidP="00C7239A">
      <w:pPr>
        <w:pStyle w:val="Ttulo1"/>
        <w:spacing w:before="0" w:after="0"/>
        <w:rPr>
          <w:rFonts w:asciiTheme="minorHAnsi" w:hAnsiTheme="minorHAnsi" w:cstheme="minorHAnsi"/>
          <w:color w:val="000000" w:themeColor="text1"/>
          <w:szCs w:val="24"/>
          <w:lang w:val="es-CR"/>
        </w:rPr>
      </w:pPr>
      <w:r w:rsidRPr="00F24BC3">
        <w:rPr>
          <w:rFonts w:asciiTheme="minorHAnsi" w:hAnsiTheme="minorHAnsi" w:cstheme="minorHAnsi"/>
          <w:color w:val="000000" w:themeColor="text1"/>
          <w:szCs w:val="24"/>
          <w:lang w:val="es-CR"/>
        </w:rPr>
        <w:t>Universidad Bíblica Latinoamericana</w:t>
      </w:r>
    </w:p>
    <w:p w14:paraId="7AF89841" w14:textId="77777777" w:rsidR="00C7239A" w:rsidRPr="00F24BC3" w:rsidRDefault="00C7239A" w:rsidP="00C7239A">
      <w:pPr>
        <w:pStyle w:val="Ttulo2"/>
        <w:spacing w:before="0" w:after="0"/>
        <w:jc w:val="center"/>
        <w:rPr>
          <w:rFonts w:asciiTheme="minorHAnsi" w:hAnsiTheme="minorHAnsi" w:cstheme="minorHAnsi"/>
          <w:i/>
          <w:color w:val="000000" w:themeColor="text1"/>
          <w:szCs w:val="24"/>
          <w:lang w:val="es-CR"/>
        </w:rPr>
      </w:pPr>
      <w:r w:rsidRPr="00F24BC3">
        <w:rPr>
          <w:rFonts w:asciiTheme="minorHAnsi" w:hAnsiTheme="minorHAnsi" w:cstheme="minorHAnsi"/>
          <w:i/>
          <w:color w:val="000000" w:themeColor="text1"/>
          <w:szCs w:val="24"/>
          <w:lang w:val="es-CR"/>
        </w:rPr>
        <w:t>Facultad de Teología</w:t>
      </w:r>
    </w:p>
    <w:p w14:paraId="2DF5FD9C" w14:textId="77777777" w:rsidR="00C7239A" w:rsidRPr="00F24BC3" w:rsidRDefault="00C7239A" w:rsidP="00C7239A">
      <w:pPr>
        <w:jc w:val="center"/>
        <w:rPr>
          <w:rFonts w:cstheme="minorHAnsi"/>
          <w:b/>
          <w:bCs/>
          <w:color w:val="000000" w:themeColor="text1"/>
          <w:szCs w:val="24"/>
        </w:rPr>
      </w:pPr>
      <w:r w:rsidRPr="00F24BC3">
        <w:rPr>
          <w:rFonts w:cs="Arial"/>
          <w:b/>
          <w:bCs/>
          <w:color w:val="000000" w:themeColor="text1"/>
        </w:rPr>
        <w:t xml:space="preserve">Bachillerato en </w:t>
      </w:r>
      <w:r>
        <w:rPr>
          <w:rFonts w:cstheme="minorHAnsi"/>
          <w:b/>
          <w:bCs/>
          <w:color w:val="000000" w:themeColor="text1"/>
          <w:szCs w:val="24"/>
        </w:rPr>
        <w:t>Ciencias Bíblicas</w:t>
      </w:r>
    </w:p>
    <w:p w14:paraId="510F1739" w14:textId="77777777" w:rsidR="00C7239A" w:rsidRPr="00F24BC3" w:rsidRDefault="00C7239A" w:rsidP="00C7239A">
      <w:pPr>
        <w:jc w:val="center"/>
        <w:rPr>
          <w:rFonts w:cstheme="minorHAnsi"/>
          <w:b/>
          <w:color w:val="000000" w:themeColor="text1"/>
          <w:szCs w:val="24"/>
        </w:rPr>
      </w:pPr>
    </w:p>
    <w:p w14:paraId="4AFABF79" w14:textId="77777777" w:rsidR="00C7239A" w:rsidRPr="00F24BC3" w:rsidRDefault="00C7239A" w:rsidP="00C7239A">
      <w:pPr>
        <w:jc w:val="center"/>
        <w:rPr>
          <w:rFonts w:cstheme="minorHAnsi"/>
          <w:b/>
          <w:color w:val="000000" w:themeColor="text1"/>
          <w:szCs w:val="24"/>
        </w:rPr>
      </w:pPr>
      <w:r w:rsidRPr="00F24BC3">
        <w:rPr>
          <w:rFonts w:cstheme="minorHAnsi"/>
          <w:b/>
          <w:color w:val="000000" w:themeColor="text1"/>
          <w:szCs w:val="24"/>
        </w:rPr>
        <w:t>Sílabo</w:t>
      </w:r>
    </w:p>
    <w:p w14:paraId="10904FAA" w14:textId="77777777" w:rsidR="00C7239A" w:rsidRPr="00F24BC3" w:rsidRDefault="00C7239A" w:rsidP="00C7239A">
      <w:pPr>
        <w:pStyle w:val="Ttulo1"/>
        <w:spacing w:before="0" w:after="0"/>
        <w:rPr>
          <w:rFonts w:asciiTheme="minorHAnsi" w:hAnsiTheme="minorHAnsi" w:cstheme="minorHAnsi"/>
          <w:b w:val="0"/>
          <w:color w:val="000000" w:themeColor="text1"/>
          <w:szCs w:val="24"/>
          <w:lang w:val="es-CR"/>
        </w:rPr>
      </w:pPr>
      <w:bookmarkStart w:id="30" w:name="CBX110"/>
      <w:r w:rsidRPr="00F24BC3">
        <w:rPr>
          <w:rFonts w:asciiTheme="minorHAnsi" w:hAnsiTheme="minorHAnsi" w:cstheme="minorHAnsi"/>
          <w:color w:val="000000" w:themeColor="text1"/>
          <w:szCs w:val="24"/>
          <w:lang w:val="es-ES_tradnl"/>
        </w:rPr>
        <w:t>Nuevo Testamento II</w:t>
      </w:r>
      <w:bookmarkEnd w:id="30"/>
    </w:p>
    <w:p w14:paraId="0B4CE3E9" w14:textId="77777777" w:rsidR="00C7239A" w:rsidRPr="00F24BC3" w:rsidRDefault="00C7239A" w:rsidP="00C7239A">
      <w:pPr>
        <w:jc w:val="both"/>
        <w:rPr>
          <w:rFonts w:ascii="Arial" w:hAnsi="Arial" w:cs="Arial"/>
          <w:b/>
          <w:color w:val="000000" w:themeColor="text1"/>
          <w:szCs w:val="24"/>
        </w:rPr>
      </w:pPr>
    </w:p>
    <w:p w14:paraId="1FD00922" w14:textId="77777777" w:rsidR="00C7239A" w:rsidRPr="00F24BC3" w:rsidRDefault="00C7239A" w:rsidP="00C7239A">
      <w:pPr>
        <w:rPr>
          <w:rFonts w:ascii="Arial" w:eastAsia="Arial" w:hAnsi="Arial" w:cs="Arial"/>
          <w:b/>
          <w:color w:val="000000" w:themeColor="text1"/>
        </w:rPr>
      </w:pPr>
    </w:p>
    <w:tbl>
      <w:tblPr>
        <w:tblStyle w:val="Tablaconcuadrcula"/>
        <w:tblW w:w="0" w:type="auto"/>
        <w:tblLook w:val="04A0" w:firstRow="1" w:lastRow="0" w:firstColumn="1" w:lastColumn="0" w:noHBand="0" w:noVBand="1"/>
      </w:tblPr>
      <w:tblGrid>
        <w:gridCol w:w="1667"/>
        <w:gridCol w:w="7161"/>
      </w:tblGrid>
      <w:tr w:rsidR="00C7239A" w:rsidRPr="00F24BC3" w14:paraId="5298BCC3" w14:textId="77777777" w:rsidTr="00104785">
        <w:tc>
          <w:tcPr>
            <w:tcW w:w="1667" w:type="dxa"/>
          </w:tcPr>
          <w:p w14:paraId="0AFB2CA1" w14:textId="77777777" w:rsidR="00C7239A" w:rsidRPr="00F24BC3" w:rsidRDefault="00C7239A" w:rsidP="00104785">
            <w:pPr>
              <w:rPr>
                <w:rFonts w:cstheme="minorHAnsi"/>
                <w:b/>
                <w:color w:val="000000" w:themeColor="text1"/>
              </w:rPr>
            </w:pPr>
            <w:r w:rsidRPr="00F24BC3">
              <w:rPr>
                <w:rFonts w:cstheme="minorHAnsi"/>
                <w:b/>
                <w:color w:val="000000" w:themeColor="text1"/>
              </w:rPr>
              <w:t>Código</w:t>
            </w:r>
          </w:p>
        </w:tc>
        <w:tc>
          <w:tcPr>
            <w:tcW w:w="7161" w:type="dxa"/>
          </w:tcPr>
          <w:p w14:paraId="60EBD6B5" w14:textId="77777777" w:rsidR="00C7239A" w:rsidRPr="00F24BC3" w:rsidRDefault="00C7239A" w:rsidP="00104785">
            <w:pPr>
              <w:rPr>
                <w:rFonts w:cstheme="minorHAnsi"/>
                <w:color w:val="000000" w:themeColor="text1"/>
              </w:rPr>
            </w:pPr>
            <w:r w:rsidRPr="00F24BC3">
              <w:rPr>
                <w:rFonts w:cstheme="minorHAnsi"/>
                <w:color w:val="000000" w:themeColor="text1"/>
              </w:rPr>
              <w:t>CBX 110</w:t>
            </w:r>
          </w:p>
        </w:tc>
      </w:tr>
      <w:tr w:rsidR="00C7239A" w:rsidRPr="00F24BC3" w14:paraId="18712F90" w14:textId="77777777" w:rsidTr="00104785">
        <w:tc>
          <w:tcPr>
            <w:tcW w:w="1667" w:type="dxa"/>
          </w:tcPr>
          <w:p w14:paraId="488E6AF8" w14:textId="77777777" w:rsidR="00C7239A" w:rsidRPr="00F24BC3" w:rsidRDefault="00C7239A" w:rsidP="00104785">
            <w:pPr>
              <w:rPr>
                <w:rFonts w:cstheme="minorHAnsi"/>
                <w:b/>
                <w:color w:val="000000" w:themeColor="text1"/>
              </w:rPr>
            </w:pPr>
            <w:r w:rsidRPr="00F24BC3">
              <w:rPr>
                <w:rFonts w:cstheme="minorHAnsi"/>
                <w:b/>
                <w:color w:val="000000" w:themeColor="text1"/>
              </w:rPr>
              <w:t>Créditos</w:t>
            </w:r>
          </w:p>
        </w:tc>
        <w:tc>
          <w:tcPr>
            <w:tcW w:w="7161" w:type="dxa"/>
          </w:tcPr>
          <w:p w14:paraId="1AAA75AD" w14:textId="77777777" w:rsidR="00C7239A" w:rsidRPr="00F24BC3" w:rsidRDefault="00C7239A" w:rsidP="00104785">
            <w:pPr>
              <w:rPr>
                <w:rFonts w:cstheme="minorHAnsi"/>
                <w:color w:val="000000" w:themeColor="text1"/>
              </w:rPr>
            </w:pPr>
            <w:r w:rsidRPr="00F24BC3">
              <w:rPr>
                <w:rFonts w:cstheme="minorHAnsi"/>
                <w:color w:val="000000" w:themeColor="text1"/>
              </w:rPr>
              <w:t>4</w:t>
            </w:r>
          </w:p>
        </w:tc>
      </w:tr>
      <w:tr w:rsidR="00C7239A" w:rsidRPr="00F24BC3" w14:paraId="007840C0" w14:textId="77777777" w:rsidTr="00104785">
        <w:tc>
          <w:tcPr>
            <w:tcW w:w="1667" w:type="dxa"/>
          </w:tcPr>
          <w:p w14:paraId="493A6641" w14:textId="77777777" w:rsidR="00C7239A" w:rsidRPr="00F24BC3" w:rsidRDefault="00C7239A" w:rsidP="00104785">
            <w:pPr>
              <w:rPr>
                <w:rFonts w:cstheme="minorHAnsi"/>
                <w:b/>
                <w:color w:val="000000" w:themeColor="text1"/>
              </w:rPr>
            </w:pPr>
            <w:r w:rsidRPr="00F24BC3">
              <w:rPr>
                <w:rFonts w:cstheme="minorHAnsi"/>
                <w:b/>
                <w:color w:val="000000" w:themeColor="text1"/>
              </w:rPr>
              <w:t>Requisitos</w:t>
            </w:r>
          </w:p>
        </w:tc>
        <w:tc>
          <w:tcPr>
            <w:tcW w:w="7161" w:type="dxa"/>
          </w:tcPr>
          <w:p w14:paraId="60719544" w14:textId="77777777" w:rsidR="00C7239A" w:rsidRPr="00F24BC3" w:rsidRDefault="00C7239A" w:rsidP="00104785">
            <w:pPr>
              <w:rPr>
                <w:rFonts w:cstheme="minorHAnsi"/>
                <w:color w:val="000000" w:themeColor="text1"/>
              </w:rPr>
            </w:pPr>
            <w:r w:rsidRPr="00F24BC3">
              <w:rPr>
                <w:rFonts w:cstheme="minorHAnsi"/>
                <w:color w:val="000000" w:themeColor="text1"/>
              </w:rPr>
              <w:t>CBX 109</w:t>
            </w:r>
          </w:p>
        </w:tc>
      </w:tr>
      <w:tr w:rsidR="00C7239A" w:rsidRPr="00F24BC3" w14:paraId="47786233" w14:textId="77777777" w:rsidTr="00104785">
        <w:tc>
          <w:tcPr>
            <w:tcW w:w="1667" w:type="dxa"/>
          </w:tcPr>
          <w:p w14:paraId="2058C092" w14:textId="77777777" w:rsidR="00C7239A" w:rsidRPr="00F24BC3" w:rsidRDefault="00C7239A" w:rsidP="00104785">
            <w:pPr>
              <w:rPr>
                <w:rFonts w:cstheme="minorHAnsi"/>
                <w:b/>
                <w:color w:val="000000" w:themeColor="text1"/>
              </w:rPr>
            </w:pPr>
            <w:r w:rsidRPr="00F24BC3">
              <w:rPr>
                <w:rFonts w:cstheme="minorHAnsi"/>
                <w:b/>
                <w:color w:val="000000" w:themeColor="text1"/>
              </w:rPr>
              <w:t>Modalidad</w:t>
            </w:r>
          </w:p>
        </w:tc>
        <w:tc>
          <w:tcPr>
            <w:tcW w:w="7161" w:type="dxa"/>
          </w:tcPr>
          <w:p w14:paraId="07E06B13" w14:textId="77777777" w:rsidR="00C7239A" w:rsidRPr="00F24BC3" w:rsidRDefault="00C7239A" w:rsidP="00104785">
            <w:pPr>
              <w:rPr>
                <w:rFonts w:cstheme="minorHAnsi"/>
                <w:color w:val="000000" w:themeColor="text1"/>
              </w:rPr>
            </w:pPr>
            <w:r>
              <w:rPr>
                <w:rFonts w:cstheme="minorHAnsi"/>
                <w:color w:val="000000" w:themeColor="text1"/>
              </w:rPr>
              <w:t>Virtual</w:t>
            </w:r>
          </w:p>
        </w:tc>
      </w:tr>
      <w:tr w:rsidR="00C7239A" w:rsidRPr="00F24BC3" w14:paraId="08584BE0" w14:textId="77777777" w:rsidTr="00104785">
        <w:tc>
          <w:tcPr>
            <w:tcW w:w="1667" w:type="dxa"/>
          </w:tcPr>
          <w:p w14:paraId="705C19C0" w14:textId="77777777" w:rsidR="00C7239A" w:rsidRPr="00F24BC3" w:rsidRDefault="00C7239A" w:rsidP="00104785">
            <w:pPr>
              <w:rPr>
                <w:rFonts w:cstheme="minorHAnsi"/>
                <w:b/>
                <w:color w:val="000000" w:themeColor="text1"/>
              </w:rPr>
            </w:pPr>
            <w:r w:rsidRPr="00F24BC3">
              <w:rPr>
                <w:rFonts w:cstheme="minorHAnsi"/>
                <w:b/>
                <w:color w:val="000000" w:themeColor="text1"/>
              </w:rPr>
              <w:t>Naturaleza</w:t>
            </w:r>
          </w:p>
        </w:tc>
        <w:tc>
          <w:tcPr>
            <w:tcW w:w="7161" w:type="dxa"/>
          </w:tcPr>
          <w:p w14:paraId="1854CD65" w14:textId="77777777" w:rsidR="00C7239A" w:rsidRPr="00F24BC3" w:rsidRDefault="00C7239A" w:rsidP="00104785">
            <w:pPr>
              <w:rPr>
                <w:rFonts w:cstheme="minorHAnsi"/>
                <w:color w:val="000000" w:themeColor="text1"/>
              </w:rPr>
            </w:pPr>
            <w:r w:rsidRPr="00F24BC3">
              <w:rPr>
                <w:rFonts w:cstheme="minorHAnsi"/>
                <w:color w:val="000000" w:themeColor="text1"/>
              </w:rPr>
              <w:t>Teórico</w:t>
            </w:r>
          </w:p>
        </w:tc>
      </w:tr>
      <w:tr w:rsidR="00C7239A" w:rsidRPr="00F24BC3" w14:paraId="31139685" w14:textId="77777777" w:rsidTr="00104785">
        <w:tc>
          <w:tcPr>
            <w:tcW w:w="1667" w:type="dxa"/>
          </w:tcPr>
          <w:p w14:paraId="3E637BFC" w14:textId="77777777" w:rsidR="00C7239A" w:rsidRPr="00F24BC3" w:rsidRDefault="00C7239A" w:rsidP="00104785">
            <w:pPr>
              <w:rPr>
                <w:rFonts w:cstheme="minorHAnsi"/>
                <w:b/>
                <w:color w:val="000000" w:themeColor="text1"/>
              </w:rPr>
            </w:pPr>
            <w:r w:rsidRPr="00F24BC3">
              <w:rPr>
                <w:rFonts w:cstheme="minorHAnsi"/>
                <w:b/>
                <w:color w:val="000000" w:themeColor="text1"/>
              </w:rPr>
              <w:t>Periodo</w:t>
            </w:r>
          </w:p>
        </w:tc>
        <w:tc>
          <w:tcPr>
            <w:tcW w:w="7161" w:type="dxa"/>
          </w:tcPr>
          <w:p w14:paraId="09984173" w14:textId="77777777" w:rsidR="00C7239A" w:rsidRPr="00F24BC3" w:rsidRDefault="00C7239A" w:rsidP="00104785">
            <w:pPr>
              <w:rPr>
                <w:rFonts w:cstheme="minorHAnsi"/>
                <w:color w:val="000000" w:themeColor="text1"/>
              </w:rPr>
            </w:pPr>
            <w:r w:rsidRPr="00F24BC3">
              <w:rPr>
                <w:rFonts w:cstheme="minorHAnsi"/>
                <w:color w:val="000000" w:themeColor="text1"/>
              </w:rPr>
              <w:t>Cuatrimestral (15 semanas lectivas)</w:t>
            </w:r>
          </w:p>
        </w:tc>
      </w:tr>
      <w:tr w:rsidR="00C7239A" w:rsidRPr="00F24BC3" w14:paraId="7A8BACA5" w14:textId="77777777" w:rsidTr="00104785">
        <w:tc>
          <w:tcPr>
            <w:tcW w:w="1667" w:type="dxa"/>
          </w:tcPr>
          <w:p w14:paraId="57823991" w14:textId="77777777" w:rsidR="00C7239A" w:rsidRPr="00F24BC3" w:rsidRDefault="00C7239A" w:rsidP="00104785">
            <w:pPr>
              <w:rPr>
                <w:rFonts w:cstheme="minorHAnsi"/>
                <w:b/>
                <w:color w:val="000000" w:themeColor="text1"/>
              </w:rPr>
            </w:pPr>
            <w:r>
              <w:rPr>
                <w:rFonts w:cstheme="minorHAnsi"/>
                <w:b/>
                <w:color w:val="000000" w:themeColor="text1"/>
              </w:rPr>
              <w:t>Nivel</w:t>
            </w:r>
          </w:p>
        </w:tc>
        <w:tc>
          <w:tcPr>
            <w:tcW w:w="7161" w:type="dxa"/>
          </w:tcPr>
          <w:p w14:paraId="39E753EE" w14:textId="77777777" w:rsidR="00C7239A" w:rsidRPr="00F24BC3" w:rsidRDefault="00C7239A" w:rsidP="00104785">
            <w:pPr>
              <w:rPr>
                <w:rFonts w:cstheme="minorHAnsi"/>
                <w:color w:val="000000" w:themeColor="text1"/>
              </w:rPr>
            </w:pPr>
            <w:r>
              <w:rPr>
                <w:rFonts w:cstheme="minorHAnsi"/>
                <w:color w:val="000000" w:themeColor="text1"/>
              </w:rPr>
              <w:t>III Cuatrimestre</w:t>
            </w:r>
          </w:p>
        </w:tc>
      </w:tr>
      <w:tr w:rsidR="00C7239A" w:rsidRPr="00F24BC3" w14:paraId="60905FC1" w14:textId="77777777" w:rsidTr="00104785">
        <w:tc>
          <w:tcPr>
            <w:tcW w:w="1667" w:type="dxa"/>
          </w:tcPr>
          <w:p w14:paraId="5B6B3851" w14:textId="77777777" w:rsidR="00C7239A" w:rsidRPr="00F24BC3" w:rsidRDefault="00C7239A" w:rsidP="00104785">
            <w:pPr>
              <w:rPr>
                <w:rFonts w:cstheme="minorHAnsi"/>
                <w:b/>
                <w:color w:val="000000" w:themeColor="text1"/>
              </w:rPr>
            </w:pPr>
            <w:r w:rsidRPr="00F24BC3">
              <w:rPr>
                <w:rFonts w:cstheme="minorHAnsi"/>
                <w:b/>
                <w:color w:val="000000" w:themeColor="text1"/>
              </w:rPr>
              <w:t>Horario</w:t>
            </w:r>
          </w:p>
        </w:tc>
        <w:tc>
          <w:tcPr>
            <w:tcW w:w="7161" w:type="dxa"/>
          </w:tcPr>
          <w:p w14:paraId="3B5C575D" w14:textId="77777777" w:rsidR="00C7239A" w:rsidRPr="00F24BC3" w:rsidRDefault="00C7239A" w:rsidP="00104785">
            <w:pPr>
              <w:rPr>
                <w:rFonts w:cstheme="minorHAnsi"/>
                <w:color w:val="000000" w:themeColor="text1"/>
              </w:rPr>
            </w:pPr>
            <w:r w:rsidRPr="00F24BC3">
              <w:rPr>
                <w:rFonts w:cstheme="minorHAnsi"/>
                <w:color w:val="000000" w:themeColor="text1"/>
              </w:rPr>
              <w:t>El curso requiere de 12 horas de trabajo semanal</w:t>
            </w:r>
          </w:p>
        </w:tc>
      </w:tr>
      <w:tr w:rsidR="00C7239A" w:rsidRPr="00F24BC3" w14:paraId="211BD58C" w14:textId="77777777" w:rsidTr="00104785">
        <w:tc>
          <w:tcPr>
            <w:tcW w:w="1667" w:type="dxa"/>
          </w:tcPr>
          <w:p w14:paraId="1DB64835" w14:textId="77777777" w:rsidR="00C7239A" w:rsidRPr="00F24BC3" w:rsidRDefault="00C7239A" w:rsidP="00104785">
            <w:pPr>
              <w:rPr>
                <w:rFonts w:cstheme="minorHAnsi"/>
                <w:b/>
                <w:color w:val="000000" w:themeColor="text1"/>
              </w:rPr>
            </w:pPr>
            <w:r w:rsidRPr="00F24BC3">
              <w:rPr>
                <w:rFonts w:cstheme="minorHAnsi"/>
                <w:b/>
                <w:color w:val="000000" w:themeColor="text1"/>
              </w:rPr>
              <w:t>Aula</w:t>
            </w:r>
          </w:p>
        </w:tc>
        <w:tc>
          <w:tcPr>
            <w:tcW w:w="7161" w:type="dxa"/>
          </w:tcPr>
          <w:p w14:paraId="74FCCB9A" w14:textId="77777777" w:rsidR="00C7239A" w:rsidRPr="00F24BC3" w:rsidRDefault="00C7239A" w:rsidP="00104785">
            <w:pPr>
              <w:rPr>
                <w:rFonts w:cstheme="minorHAnsi"/>
                <w:color w:val="000000" w:themeColor="text1"/>
              </w:rPr>
            </w:pPr>
            <w:r w:rsidRPr="00F24BC3">
              <w:rPr>
                <w:rFonts w:cstheme="minorHAnsi"/>
                <w:color w:val="000000" w:themeColor="text1"/>
              </w:rPr>
              <w:t>Plataforma virtual de la UBL</w:t>
            </w:r>
          </w:p>
        </w:tc>
      </w:tr>
      <w:tr w:rsidR="00C7239A" w:rsidRPr="00F24BC3" w14:paraId="60D07BB8" w14:textId="77777777" w:rsidTr="00104785">
        <w:tc>
          <w:tcPr>
            <w:tcW w:w="1667" w:type="dxa"/>
          </w:tcPr>
          <w:p w14:paraId="43DC266A" w14:textId="77777777" w:rsidR="00C7239A" w:rsidRPr="00F24BC3" w:rsidRDefault="00C7239A" w:rsidP="00104785">
            <w:pPr>
              <w:rPr>
                <w:rFonts w:cstheme="minorHAnsi"/>
                <w:b/>
                <w:color w:val="000000" w:themeColor="text1"/>
              </w:rPr>
            </w:pPr>
            <w:r>
              <w:rPr>
                <w:rFonts w:cstheme="minorHAnsi"/>
                <w:b/>
                <w:color w:val="000000" w:themeColor="text1"/>
              </w:rPr>
              <w:t>Docente</w:t>
            </w:r>
          </w:p>
        </w:tc>
        <w:tc>
          <w:tcPr>
            <w:tcW w:w="7161" w:type="dxa"/>
          </w:tcPr>
          <w:p w14:paraId="6FBA8014" w14:textId="77777777" w:rsidR="00C7239A" w:rsidRPr="00F24BC3" w:rsidRDefault="00C7239A" w:rsidP="00104785">
            <w:pPr>
              <w:rPr>
                <w:rFonts w:cstheme="minorHAnsi"/>
                <w:color w:val="000000" w:themeColor="text1"/>
              </w:rPr>
            </w:pPr>
          </w:p>
        </w:tc>
      </w:tr>
      <w:tr w:rsidR="00C7239A" w:rsidRPr="00F24BC3" w14:paraId="30B7E76C" w14:textId="77777777" w:rsidTr="00104785">
        <w:tc>
          <w:tcPr>
            <w:tcW w:w="1667" w:type="dxa"/>
            <w:vAlign w:val="center"/>
          </w:tcPr>
          <w:p w14:paraId="392736CF" w14:textId="77777777" w:rsidR="00C7239A" w:rsidRPr="00F24BC3" w:rsidRDefault="00C7239A" w:rsidP="00104785">
            <w:pPr>
              <w:rPr>
                <w:rFonts w:cstheme="minorHAnsi"/>
                <w:color w:val="000000" w:themeColor="text1"/>
              </w:rPr>
            </w:pPr>
            <w:r w:rsidRPr="00F24BC3">
              <w:rPr>
                <w:rFonts w:cstheme="minorHAnsi"/>
                <w:b/>
                <w:color w:val="000000" w:themeColor="text1"/>
              </w:rPr>
              <w:t>Instrucciones administrativas</w:t>
            </w:r>
          </w:p>
        </w:tc>
        <w:tc>
          <w:tcPr>
            <w:tcW w:w="7161" w:type="dxa"/>
          </w:tcPr>
          <w:p w14:paraId="306E6B6E" w14:textId="77777777" w:rsidR="00C7239A" w:rsidRDefault="00C7239A" w:rsidP="00104785">
            <w:pPr>
              <w:jc w:val="both"/>
              <w:rPr>
                <w:rFonts w:cstheme="minorHAnsi"/>
              </w:rPr>
            </w:pPr>
            <w:r w:rsidRPr="00F24BC3">
              <w:rPr>
                <w:rFonts w:cstheme="minorHAnsi"/>
                <w:color w:val="000000" w:themeColor="text1"/>
              </w:rPr>
              <w:t>El curso es virtual, por lo que se requiere de acceso a una computadora con conexión a Internet, además de destrezas básicas para el manejo de correo electrónico y la plataforma Moodle desde el rol de estudiante.</w:t>
            </w:r>
            <w:r>
              <w:rPr>
                <w:rFonts w:cstheme="minorHAnsi"/>
              </w:rPr>
              <w:t xml:space="preserve"> La dirección de acceso a la plataforma es la siguiente:</w:t>
            </w:r>
          </w:p>
          <w:p w14:paraId="171C38B3" w14:textId="77777777" w:rsidR="00C7239A" w:rsidRPr="00F24BC3" w:rsidRDefault="00DD16F2" w:rsidP="00104785">
            <w:pPr>
              <w:jc w:val="both"/>
              <w:rPr>
                <w:rFonts w:cstheme="minorHAnsi"/>
                <w:color w:val="000000" w:themeColor="text1"/>
              </w:rPr>
            </w:pPr>
            <w:hyperlink r:id="rId192" w:history="1">
              <w:r w:rsidR="00C7239A" w:rsidRPr="00B96849">
                <w:rPr>
                  <w:rStyle w:val="Hipervnculo"/>
                  <w:rFonts w:cstheme="minorHAnsi"/>
                </w:rPr>
                <w:t>https://campus.ubl.ac.cr/login/index.php</w:t>
              </w:r>
            </w:hyperlink>
            <w:r w:rsidR="00C7239A" w:rsidRPr="00F24BC3">
              <w:rPr>
                <w:rFonts w:cstheme="minorHAnsi"/>
                <w:color w:val="000000" w:themeColor="text1"/>
              </w:rPr>
              <w:t xml:space="preserve"> </w:t>
            </w:r>
          </w:p>
        </w:tc>
      </w:tr>
    </w:tbl>
    <w:p w14:paraId="1A35DD26" w14:textId="77777777" w:rsidR="00C7239A" w:rsidRPr="00F24BC3" w:rsidRDefault="00C7239A" w:rsidP="00C7239A">
      <w:pPr>
        <w:jc w:val="both"/>
        <w:rPr>
          <w:rFonts w:ascii="Arial" w:hAnsi="Arial" w:cs="Arial"/>
          <w:b/>
          <w:bCs/>
          <w:color w:val="000000" w:themeColor="text1"/>
          <w:szCs w:val="24"/>
        </w:rPr>
      </w:pPr>
    </w:p>
    <w:p w14:paraId="1F71B626" w14:textId="77777777" w:rsidR="00C7239A" w:rsidRPr="00F24BC3" w:rsidRDefault="00C7239A" w:rsidP="00C7239A">
      <w:pPr>
        <w:jc w:val="both"/>
        <w:rPr>
          <w:rFonts w:cstheme="minorHAnsi"/>
          <w:b/>
          <w:bCs/>
          <w:color w:val="000000" w:themeColor="text1"/>
        </w:rPr>
      </w:pPr>
      <w:r>
        <w:rPr>
          <w:rFonts w:cstheme="minorHAnsi"/>
          <w:b/>
          <w:bCs/>
          <w:color w:val="000000" w:themeColor="text1"/>
        </w:rPr>
        <w:t xml:space="preserve">I. </w:t>
      </w:r>
      <w:r w:rsidRPr="00F24BC3">
        <w:rPr>
          <w:rFonts w:cstheme="minorHAnsi"/>
          <w:b/>
          <w:bCs/>
          <w:color w:val="000000" w:themeColor="text1"/>
        </w:rPr>
        <w:t xml:space="preserve">Descripción          </w:t>
      </w:r>
    </w:p>
    <w:p w14:paraId="6865A43F" w14:textId="77777777" w:rsidR="00C7239A" w:rsidRPr="00F24BC3" w:rsidRDefault="00C7239A" w:rsidP="00C7239A">
      <w:pPr>
        <w:jc w:val="both"/>
        <w:rPr>
          <w:color w:val="000000" w:themeColor="text1"/>
          <w:lang w:val="es-ES"/>
        </w:rPr>
      </w:pPr>
      <w:r w:rsidRPr="08BEFFDB">
        <w:rPr>
          <w:color w:val="000000" w:themeColor="text1"/>
          <w:lang w:val="es-ES"/>
        </w:rPr>
        <w:t xml:space="preserve">En este curso se estudia el conjunto de documentos del Nuevo Testamento que reflejan el nacimiento y desarrollo de la iglesia cristiana, es decir, el libro de los Hechos de los Apóstoles, las cartas de Pablo y otros. Se traza la expansión del cristianismo primitivo dentro del contexto judío y helenístico del S. 1° y se analiza las formulaciones teológicas y pastorales contenidas en estos libros del Nuevo Testamento.  Leídos con conciencia de los desafíos que enfrentan las iglesias en el mundo </w:t>
      </w:r>
      <w:r w:rsidRPr="08BEFFDB">
        <w:rPr>
          <w:color w:val="000000" w:themeColor="text1"/>
          <w:lang w:val="es-ES"/>
        </w:rPr>
        <w:lastRenderedPageBreak/>
        <w:t xml:space="preserve">de hoy, los documentos del primer siglo se muestran relevantes para iluminar la vida y orientar la acción de la comunidad de fe hoy.  </w:t>
      </w:r>
    </w:p>
    <w:p w14:paraId="1E5AF9ED" w14:textId="77777777" w:rsidR="00C7239A" w:rsidRPr="00F24BC3" w:rsidRDefault="00C7239A" w:rsidP="00C7239A">
      <w:pPr>
        <w:jc w:val="both"/>
        <w:rPr>
          <w:rFonts w:cstheme="minorHAnsi"/>
          <w:color w:val="000000" w:themeColor="text1"/>
        </w:rPr>
      </w:pPr>
    </w:p>
    <w:p w14:paraId="2332C84D" w14:textId="77777777" w:rsidR="00C7239A" w:rsidRPr="00F24BC3" w:rsidRDefault="00C7239A" w:rsidP="00C7239A">
      <w:pPr>
        <w:jc w:val="both"/>
        <w:rPr>
          <w:rFonts w:cstheme="minorHAnsi"/>
          <w:color w:val="000000" w:themeColor="text1"/>
        </w:rPr>
      </w:pPr>
      <w:r>
        <w:rPr>
          <w:rFonts w:cstheme="minorHAnsi"/>
          <w:b/>
          <w:bCs/>
          <w:color w:val="000000" w:themeColor="text1"/>
        </w:rPr>
        <w:t xml:space="preserve">II. </w:t>
      </w:r>
      <w:r w:rsidRPr="00F24BC3">
        <w:rPr>
          <w:rFonts w:cstheme="minorHAnsi"/>
          <w:b/>
          <w:bCs/>
          <w:color w:val="000000" w:themeColor="text1"/>
        </w:rPr>
        <w:t>Objetivo general</w:t>
      </w:r>
      <w:r w:rsidRPr="00F24BC3">
        <w:rPr>
          <w:rFonts w:cstheme="minorHAnsi"/>
          <w:b/>
          <w:bCs/>
          <w:color w:val="000000" w:themeColor="text1"/>
        </w:rPr>
        <w:tab/>
      </w:r>
    </w:p>
    <w:p w14:paraId="6E3AE539" w14:textId="77777777" w:rsidR="00C7239A" w:rsidRDefault="00C7239A" w:rsidP="00C7239A">
      <w:pPr>
        <w:tabs>
          <w:tab w:val="left" w:pos="280"/>
        </w:tabs>
        <w:jc w:val="both"/>
        <w:rPr>
          <w:rFonts w:cstheme="minorHAnsi"/>
          <w:color w:val="000000" w:themeColor="text1"/>
        </w:rPr>
      </w:pPr>
      <w:r w:rsidRPr="00F24BC3">
        <w:rPr>
          <w:rFonts w:cstheme="minorHAnsi"/>
          <w:color w:val="000000" w:themeColor="text1"/>
        </w:rPr>
        <w:t>Lograr una comprensión del libro de los Hechos y las cartas del Nuevo Testamento como obras literario-teológicas que iluminan el desarrollo de la iglesia del S. 1° y también la vida de la iglesia hoy en Latinoamérica.</w:t>
      </w:r>
    </w:p>
    <w:p w14:paraId="64789ED6" w14:textId="77777777" w:rsidR="00C7239A" w:rsidRPr="00F24BC3" w:rsidRDefault="00C7239A" w:rsidP="00C7239A">
      <w:pPr>
        <w:tabs>
          <w:tab w:val="left" w:pos="280"/>
        </w:tabs>
        <w:jc w:val="both"/>
        <w:rPr>
          <w:rFonts w:cstheme="minorHAnsi"/>
          <w:color w:val="000000" w:themeColor="text1"/>
        </w:rPr>
      </w:pPr>
    </w:p>
    <w:p w14:paraId="02725D93" w14:textId="77777777" w:rsidR="00C7239A" w:rsidRDefault="00C7239A" w:rsidP="00C7239A">
      <w:pPr>
        <w:jc w:val="both"/>
        <w:rPr>
          <w:rFonts w:cstheme="minorHAnsi"/>
          <w:b/>
          <w:bCs/>
          <w:iCs/>
          <w:color w:val="000000" w:themeColor="text1"/>
        </w:rPr>
      </w:pPr>
      <w:r>
        <w:rPr>
          <w:rFonts w:cstheme="minorHAnsi"/>
          <w:b/>
          <w:bCs/>
          <w:iCs/>
          <w:color w:val="000000" w:themeColor="text1"/>
        </w:rPr>
        <w:t xml:space="preserve">III. </w:t>
      </w:r>
      <w:r w:rsidRPr="00F24BC3">
        <w:rPr>
          <w:rFonts w:cstheme="minorHAnsi"/>
          <w:b/>
          <w:bCs/>
          <w:iCs/>
          <w:color w:val="000000" w:themeColor="text1"/>
        </w:rPr>
        <w:t>Objetivos específicos</w:t>
      </w:r>
      <w:r w:rsidRPr="00F24BC3">
        <w:rPr>
          <w:rFonts w:cstheme="minorHAnsi"/>
          <w:b/>
          <w:bCs/>
          <w:iCs/>
          <w:color w:val="000000" w:themeColor="text1"/>
        </w:rPr>
        <w:tab/>
      </w:r>
    </w:p>
    <w:p w14:paraId="787C7E1B" w14:textId="77777777" w:rsidR="00C7239A" w:rsidRDefault="00C7239A" w:rsidP="008E0715">
      <w:pPr>
        <w:spacing w:after="0"/>
        <w:jc w:val="both"/>
        <w:rPr>
          <w:rFonts w:cstheme="minorHAnsi"/>
          <w:b/>
          <w:bCs/>
          <w:iCs/>
          <w:color w:val="000000" w:themeColor="text1"/>
        </w:rPr>
      </w:pPr>
    </w:p>
    <w:p w14:paraId="5AFECA5F" w14:textId="77777777" w:rsidR="00C7239A" w:rsidRDefault="00C7239A" w:rsidP="008E0715">
      <w:pPr>
        <w:spacing w:after="0"/>
        <w:jc w:val="both"/>
        <w:rPr>
          <w:rFonts w:cstheme="minorHAnsi"/>
          <w:bCs/>
          <w:iCs/>
          <w:color w:val="000000" w:themeColor="text1"/>
        </w:rPr>
      </w:pPr>
      <w:r>
        <w:rPr>
          <w:rFonts w:cstheme="minorHAnsi"/>
          <w:bCs/>
          <w:iCs/>
          <w:color w:val="000000" w:themeColor="text1"/>
        </w:rPr>
        <w:t xml:space="preserve">1. Investigar, a partir del libro de los Hechos y las cartas, las primeras comunidades cristianas en Palestina y el mundo grecorromano: sus orígenes, sus luchas y su proceso de autodefinición. </w:t>
      </w:r>
    </w:p>
    <w:p w14:paraId="7BA672F4" w14:textId="77777777" w:rsidR="00C7239A" w:rsidRDefault="00C7239A" w:rsidP="008E0715">
      <w:pPr>
        <w:spacing w:after="0"/>
        <w:jc w:val="both"/>
        <w:rPr>
          <w:rFonts w:cstheme="minorHAnsi"/>
          <w:bCs/>
          <w:iCs/>
          <w:color w:val="000000" w:themeColor="text1"/>
        </w:rPr>
      </w:pPr>
    </w:p>
    <w:p w14:paraId="3B94EFAE" w14:textId="77777777" w:rsidR="00C7239A" w:rsidRDefault="00C7239A" w:rsidP="008E0715">
      <w:pPr>
        <w:spacing w:after="0"/>
        <w:jc w:val="both"/>
        <w:rPr>
          <w:rFonts w:cstheme="minorHAnsi"/>
          <w:bCs/>
          <w:iCs/>
          <w:color w:val="000000" w:themeColor="text1"/>
        </w:rPr>
      </w:pPr>
      <w:r>
        <w:rPr>
          <w:rFonts w:cstheme="minorHAnsi"/>
          <w:bCs/>
          <w:iCs/>
          <w:color w:val="000000" w:themeColor="text1"/>
        </w:rPr>
        <w:t xml:space="preserve">2. Analizar la estructura, el contenido y el contexto de las cartas. </w:t>
      </w:r>
    </w:p>
    <w:p w14:paraId="5BBBB58F" w14:textId="77777777" w:rsidR="00C7239A" w:rsidRDefault="00C7239A" w:rsidP="008E0715">
      <w:pPr>
        <w:spacing w:after="0"/>
        <w:jc w:val="both"/>
        <w:rPr>
          <w:rFonts w:cstheme="minorHAnsi"/>
          <w:bCs/>
          <w:iCs/>
          <w:color w:val="000000" w:themeColor="text1"/>
        </w:rPr>
      </w:pPr>
    </w:p>
    <w:p w14:paraId="4B311680" w14:textId="77777777" w:rsidR="00C7239A" w:rsidRDefault="00C7239A" w:rsidP="008E0715">
      <w:pPr>
        <w:spacing w:after="0"/>
        <w:jc w:val="both"/>
        <w:rPr>
          <w:rFonts w:cstheme="minorHAnsi"/>
          <w:bCs/>
          <w:iCs/>
          <w:color w:val="000000" w:themeColor="text1"/>
        </w:rPr>
      </w:pPr>
      <w:r>
        <w:rPr>
          <w:rFonts w:cstheme="minorHAnsi"/>
          <w:bCs/>
          <w:iCs/>
          <w:color w:val="000000" w:themeColor="text1"/>
        </w:rPr>
        <w:t xml:space="preserve">3. Analizar los principales temas teológicos de las cartas de Pablo, dentro de su entorno original y también en su relación con la vivencia cristiana actual. </w:t>
      </w:r>
    </w:p>
    <w:p w14:paraId="35390764" w14:textId="77777777" w:rsidR="00C7239A" w:rsidRDefault="00C7239A" w:rsidP="008E0715">
      <w:pPr>
        <w:spacing w:after="0"/>
        <w:jc w:val="both"/>
        <w:rPr>
          <w:rFonts w:cstheme="minorHAnsi"/>
          <w:bCs/>
          <w:iCs/>
          <w:color w:val="000000" w:themeColor="text1"/>
        </w:rPr>
      </w:pPr>
    </w:p>
    <w:p w14:paraId="67DD4777" w14:textId="77777777" w:rsidR="00C7239A" w:rsidRPr="007E16E1" w:rsidRDefault="00C7239A" w:rsidP="008E0715">
      <w:pPr>
        <w:spacing w:after="0"/>
        <w:jc w:val="both"/>
        <w:rPr>
          <w:rFonts w:cstheme="minorHAnsi"/>
          <w:bCs/>
          <w:iCs/>
          <w:color w:val="000000" w:themeColor="text1"/>
        </w:rPr>
      </w:pPr>
    </w:p>
    <w:p w14:paraId="2F0B8CA7" w14:textId="77777777" w:rsidR="00C7239A" w:rsidRDefault="00C7239A" w:rsidP="00C7239A">
      <w:pPr>
        <w:pStyle w:val="Prrafodelista"/>
        <w:autoSpaceDE w:val="0"/>
        <w:autoSpaceDN w:val="0"/>
        <w:adjustRightInd w:val="0"/>
        <w:spacing w:after="0" w:line="240" w:lineRule="auto"/>
        <w:ind w:left="0"/>
        <w:jc w:val="both"/>
        <w:rPr>
          <w:rFonts w:asciiTheme="minorHAnsi" w:hAnsiTheme="minorHAnsi" w:cstheme="minorHAnsi"/>
          <w:b/>
          <w:bCs/>
          <w:color w:val="000000" w:themeColor="text1"/>
        </w:rPr>
      </w:pPr>
      <w:r w:rsidRPr="00F24BC3">
        <w:rPr>
          <w:rFonts w:asciiTheme="minorHAnsi" w:hAnsiTheme="minorHAnsi" w:cstheme="minorHAnsi"/>
          <w:b/>
          <w:bCs/>
          <w:color w:val="000000" w:themeColor="text1"/>
        </w:rPr>
        <w:t>IV. Contenidos</w:t>
      </w:r>
    </w:p>
    <w:p w14:paraId="691FB623" w14:textId="77777777" w:rsidR="00C7239A" w:rsidRDefault="00C7239A" w:rsidP="00C7239A">
      <w:pPr>
        <w:pStyle w:val="Prrafodelista"/>
        <w:autoSpaceDE w:val="0"/>
        <w:autoSpaceDN w:val="0"/>
        <w:adjustRightInd w:val="0"/>
        <w:spacing w:after="0" w:line="240" w:lineRule="auto"/>
        <w:ind w:left="0"/>
        <w:jc w:val="both"/>
        <w:rPr>
          <w:rFonts w:asciiTheme="minorHAnsi" w:hAnsiTheme="minorHAnsi" w:cstheme="minorHAnsi"/>
          <w:b/>
          <w:bCs/>
          <w:color w:val="000000" w:themeColor="text1"/>
        </w:rPr>
      </w:pPr>
    </w:p>
    <w:p w14:paraId="009B43E5" w14:textId="77777777" w:rsidR="00C7239A" w:rsidRDefault="00C7239A" w:rsidP="008E0715">
      <w:pPr>
        <w:pStyle w:val="Sinespaciado"/>
        <w:rPr>
          <w:rFonts w:asciiTheme="minorHAnsi" w:hAnsiTheme="minorHAnsi" w:cstheme="minorHAnsi"/>
          <w:b/>
          <w:color w:val="000000"/>
        </w:rPr>
      </w:pPr>
      <w:r>
        <w:rPr>
          <w:rFonts w:asciiTheme="minorHAnsi" w:hAnsiTheme="minorHAnsi" w:cstheme="minorHAnsi"/>
          <w:b/>
          <w:color w:val="000000"/>
        </w:rPr>
        <w:t>Unidad 1</w:t>
      </w:r>
      <w:r w:rsidRPr="00D05A36">
        <w:rPr>
          <w:rFonts w:asciiTheme="minorHAnsi" w:hAnsiTheme="minorHAnsi" w:cstheme="minorHAnsi"/>
          <w:b/>
          <w:color w:val="000000"/>
        </w:rPr>
        <w:t>: Hech</w:t>
      </w:r>
      <w:r>
        <w:rPr>
          <w:rFonts w:asciiTheme="minorHAnsi" w:hAnsiTheme="minorHAnsi" w:cstheme="minorHAnsi"/>
          <w:b/>
          <w:color w:val="000000"/>
        </w:rPr>
        <w:t>os de los Apóstoles: misión, l</w:t>
      </w:r>
      <w:r w:rsidRPr="00D05A36">
        <w:rPr>
          <w:rFonts w:asciiTheme="minorHAnsi" w:hAnsiTheme="minorHAnsi" w:cstheme="minorHAnsi"/>
          <w:b/>
          <w:color w:val="000000"/>
        </w:rPr>
        <w:t xml:space="preserve">iteratura, teología e historia </w:t>
      </w:r>
    </w:p>
    <w:p w14:paraId="5F88603C" w14:textId="77777777" w:rsidR="00C7239A" w:rsidRDefault="00C7239A" w:rsidP="008E0715">
      <w:pPr>
        <w:pStyle w:val="Sinespaciado"/>
        <w:rPr>
          <w:rFonts w:asciiTheme="minorHAnsi" w:hAnsiTheme="minorHAnsi" w:cstheme="minorHAnsi"/>
          <w:color w:val="000000"/>
        </w:rPr>
      </w:pPr>
    </w:p>
    <w:p w14:paraId="0DE0D8E9" w14:textId="77777777" w:rsidR="00C7239A" w:rsidRPr="00D05A36" w:rsidRDefault="00C7239A" w:rsidP="008E0715">
      <w:pPr>
        <w:pStyle w:val="Sinespaciado"/>
        <w:spacing w:after="120"/>
        <w:rPr>
          <w:rFonts w:asciiTheme="minorHAnsi" w:hAnsiTheme="minorHAnsi" w:cstheme="minorHAnsi"/>
          <w:color w:val="000000"/>
        </w:rPr>
      </w:pPr>
      <w:r w:rsidRPr="00D05A36">
        <w:rPr>
          <w:rFonts w:asciiTheme="minorHAnsi" w:hAnsiTheme="minorHAnsi" w:cstheme="minorHAnsi"/>
          <w:color w:val="000000"/>
        </w:rPr>
        <w:t>1.</w:t>
      </w:r>
      <w:r>
        <w:rPr>
          <w:rFonts w:asciiTheme="minorHAnsi" w:hAnsiTheme="minorHAnsi" w:cstheme="minorHAnsi"/>
          <w:color w:val="000000"/>
        </w:rPr>
        <w:t xml:space="preserve">1 </w:t>
      </w:r>
      <w:r w:rsidRPr="00D05A36">
        <w:rPr>
          <w:rFonts w:asciiTheme="minorHAnsi" w:hAnsiTheme="minorHAnsi" w:cstheme="minorHAnsi"/>
          <w:color w:val="000000"/>
        </w:rPr>
        <w:t xml:space="preserve">Los viajes misioneros y la construcción de personajes </w:t>
      </w:r>
      <w:r>
        <w:rPr>
          <w:rFonts w:asciiTheme="minorHAnsi" w:hAnsiTheme="minorHAnsi" w:cstheme="minorHAnsi"/>
          <w:color w:val="000000"/>
        </w:rPr>
        <w:t>emblemáticos como héroes</w:t>
      </w:r>
    </w:p>
    <w:p w14:paraId="05EE0BEF" w14:textId="77777777" w:rsidR="00C7239A" w:rsidRPr="00D05A36" w:rsidRDefault="00C7239A" w:rsidP="008E0715">
      <w:pPr>
        <w:pStyle w:val="Sinespaciado"/>
        <w:spacing w:after="120"/>
        <w:rPr>
          <w:rFonts w:asciiTheme="minorHAnsi" w:hAnsiTheme="minorHAnsi" w:cstheme="minorHAnsi"/>
          <w:b/>
          <w:bCs/>
          <w:color w:val="231F20"/>
        </w:rPr>
      </w:pPr>
      <w:r>
        <w:rPr>
          <w:rFonts w:asciiTheme="minorHAnsi" w:hAnsiTheme="minorHAnsi" w:cstheme="minorHAnsi"/>
          <w:color w:val="000000"/>
        </w:rPr>
        <w:t>1</w:t>
      </w:r>
      <w:r w:rsidRPr="00D05A36">
        <w:rPr>
          <w:rFonts w:asciiTheme="minorHAnsi" w:hAnsiTheme="minorHAnsi" w:cstheme="minorHAnsi"/>
          <w:color w:val="000000"/>
        </w:rPr>
        <w:t>.</w:t>
      </w:r>
      <w:r>
        <w:rPr>
          <w:rFonts w:asciiTheme="minorHAnsi" w:hAnsiTheme="minorHAnsi" w:cstheme="minorHAnsi"/>
          <w:color w:val="000000"/>
        </w:rPr>
        <w:t xml:space="preserve">2 </w:t>
      </w:r>
      <w:r w:rsidRPr="00D05A36">
        <w:rPr>
          <w:rFonts w:asciiTheme="minorHAnsi" w:hAnsiTheme="minorHAnsi" w:cstheme="minorHAnsi"/>
          <w:color w:val="000000"/>
        </w:rPr>
        <w:t>Continuidad y discontinuidad del movimiento de Jesús</w:t>
      </w:r>
    </w:p>
    <w:p w14:paraId="184C8686" w14:textId="77777777" w:rsidR="00C7239A" w:rsidRDefault="00C7239A" w:rsidP="008E0715">
      <w:pPr>
        <w:spacing w:line="240" w:lineRule="auto"/>
        <w:jc w:val="both"/>
        <w:rPr>
          <w:rFonts w:cstheme="minorHAnsi"/>
          <w:b/>
          <w:bCs/>
          <w:color w:val="000000"/>
        </w:rPr>
      </w:pPr>
    </w:p>
    <w:p w14:paraId="4AD18D15" w14:textId="77777777" w:rsidR="00C7239A" w:rsidRDefault="00C7239A" w:rsidP="008E0715">
      <w:pPr>
        <w:spacing w:line="240" w:lineRule="auto"/>
        <w:jc w:val="both"/>
        <w:rPr>
          <w:rFonts w:cstheme="minorHAnsi"/>
          <w:b/>
          <w:color w:val="000000"/>
        </w:rPr>
      </w:pPr>
      <w:r w:rsidRPr="00D05A36">
        <w:rPr>
          <w:rFonts w:cstheme="minorHAnsi"/>
          <w:b/>
          <w:bCs/>
          <w:color w:val="000000"/>
        </w:rPr>
        <w:t xml:space="preserve">Unidad 2: </w:t>
      </w:r>
      <w:r w:rsidRPr="00D05A36">
        <w:rPr>
          <w:rFonts w:cstheme="minorHAnsi"/>
          <w:b/>
          <w:color w:val="000000"/>
        </w:rPr>
        <w:t>Ejes teológicos de las cartas paulinas y de la escuela paulina</w:t>
      </w:r>
    </w:p>
    <w:p w14:paraId="641E46A1" w14:textId="77777777" w:rsidR="00C7239A" w:rsidRPr="008417F4" w:rsidRDefault="00C7239A" w:rsidP="008E0715">
      <w:pPr>
        <w:spacing w:line="240" w:lineRule="auto"/>
        <w:jc w:val="both"/>
        <w:rPr>
          <w:rFonts w:cstheme="minorHAnsi"/>
          <w:b/>
          <w:bCs/>
          <w:color w:val="000000"/>
          <w:sz w:val="2"/>
          <w:szCs w:val="2"/>
        </w:rPr>
      </w:pPr>
    </w:p>
    <w:p w14:paraId="78886CD2" w14:textId="77777777" w:rsidR="00C7239A" w:rsidRPr="00D05A36" w:rsidRDefault="00C7239A" w:rsidP="008E0715">
      <w:pPr>
        <w:spacing w:line="240" w:lineRule="auto"/>
        <w:jc w:val="both"/>
        <w:rPr>
          <w:rFonts w:cstheme="minorHAnsi"/>
          <w:bCs/>
          <w:color w:val="000000"/>
        </w:rPr>
      </w:pPr>
      <w:r>
        <w:rPr>
          <w:rFonts w:cstheme="minorHAnsi"/>
          <w:color w:val="000000"/>
        </w:rPr>
        <w:t>2</w:t>
      </w:r>
      <w:r w:rsidRPr="00D05A36">
        <w:rPr>
          <w:rFonts w:cstheme="minorHAnsi"/>
          <w:color w:val="000000"/>
        </w:rPr>
        <w:t>.1 El papel de las c</w:t>
      </w:r>
      <w:r>
        <w:rPr>
          <w:rFonts w:cstheme="minorHAnsi"/>
          <w:color w:val="000000"/>
        </w:rPr>
        <w:t>artas paulinas: ejes teológicos</w:t>
      </w:r>
    </w:p>
    <w:p w14:paraId="24C3A86E" w14:textId="77777777" w:rsidR="00C7239A" w:rsidRDefault="00C7239A" w:rsidP="008E0715">
      <w:pPr>
        <w:spacing w:line="240" w:lineRule="auto"/>
        <w:jc w:val="both"/>
        <w:rPr>
          <w:rFonts w:cstheme="minorHAnsi"/>
          <w:b/>
          <w:bCs/>
          <w:color w:val="000000"/>
        </w:rPr>
      </w:pPr>
      <w:r>
        <w:rPr>
          <w:rFonts w:cstheme="minorHAnsi"/>
          <w:color w:val="000000"/>
        </w:rPr>
        <w:t>2</w:t>
      </w:r>
      <w:r w:rsidRPr="00D05A36">
        <w:rPr>
          <w:rFonts w:cstheme="minorHAnsi"/>
          <w:color w:val="000000"/>
        </w:rPr>
        <w:t xml:space="preserve">.2 </w:t>
      </w:r>
      <w:r>
        <w:rPr>
          <w:rFonts w:cstheme="minorHAnsi"/>
          <w:bCs/>
          <w:color w:val="000000"/>
        </w:rPr>
        <w:t>La escuela paulina</w:t>
      </w:r>
    </w:p>
    <w:p w14:paraId="01214C6C" w14:textId="77777777" w:rsidR="00C7239A" w:rsidRDefault="00C7239A" w:rsidP="008E0715">
      <w:pPr>
        <w:spacing w:line="240" w:lineRule="auto"/>
        <w:jc w:val="both"/>
        <w:rPr>
          <w:rFonts w:cstheme="minorHAnsi"/>
          <w:b/>
          <w:bCs/>
          <w:color w:val="000000"/>
        </w:rPr>
      </w:pPr>
    </w:p>
    <w:p w14:paraId="757D7125" w14:textId="77777777" w:rsidR="00C7239A" w:rsidRPr="008417F4" w:rsidRDefault="00C7239A" w:rsidP="008E0715">
      <w:pPr>
        <w:spacing w:line="240" w:lineRule="auto"/>
        <w:jc w:val="both"/>
        <w:rPr>
          <w:rFonts w:cstheme="minorHAnsi"/>
          <w:b/>
          <w:bCs/>
          <w:color w:val="000000"/>
        </w:rPr>
      </w:pPr>
      <w:r w:rsidRPr="00C44401">
        <w:rPr>
          <w:rFonts w:cstheme="minorHAnsi"/>
          <w:b/>
          <w:bCs/>
          <w:color w:val="000000"/>
        </w:rPr>
        <w:t>Unidad 3</w:t>
      </w:r>
      <w:r w:rsidRPr="00236187">
        <w:rPr>
          <w:rFonts w:cstheme="minorHAnsi"/>
          <w:b/>
          <w:bCs/>
          <w:color w:val="000000"/>
        </w:rPr>
        <w:t>:</w:t>
      </w:r>
      <w:r w:rsidRPr="00D05A36">
        <w:rPr>
          <w:rFonts w:cstheme="minorHAnsi"/>
          <w:b/>
          <w:bCs/>
          <w:color w:val="000000"/>
        </w:rPr>
        <w:t xml:space="preserve"> </w:t>
      </w:r>
      <w:r w:rsidRPr="00D05A36">
        <w:rPr>
          <w:rFonts w:cstheme="minorHAnsi"/>
          <w:b/>
          <w:color w:val="000000"/>
        </w:rPr>
        <w:t xml:space="preserve">Conflicto </w:t>
      </w:r>
      <w:r>
        <w:rPr>
          <w:rFonts w:cstheme="minorHAnsi"/>
          <w:b/>
          <w:color w:val="000000"/>
        </w:rPr>
        <w:t>y consolidación de las iglesias:</w:t>
      </w:r>
      <w:r w:rsidRPr="00D05A36">
        <w:rPr>
          <w:rFonts w:cstheme="minorHAnsi"/>
          <w:b/>
          <w:color w:val="000000"/>
        </w:rPr>
        <w:t xml:space="preserve"> el papel de las cartas</w:t>
      </w:r>
    </w:p>
    <w:p w14:paraId="686A9532" w14:textId="77777777" w:rsidR="00C7239A" w:rsidRPr="008417F4" w:rsidRDefault="00C7239A" w:rsidP="008E0715">
      <w:pPr>
        <w:spacing w:line="240" w:lineRule="auto"/>
        <w:jc w:val="both"/>
        <w:rPr>
          <w:rFonts w:cstheme="minorHAnsi"/>
          <w:b/>
          <w:bCs/>
          <w:color w:val="000000"/>
          <w:sz w:val="2"/>
          <w:szCs w:val="2"/>
        </w:rPr>
      </w:pPr>
    </w:p>
    <w:p w14:paraId="5BEA952D" w14:textId="77777777" w:rsidR="00C7239A" w:rsidRPr="00D05A36" w:rsidRDefault="00C7239A" w:rsidP="008E0715">
      <w:pPr>
        <w:spacing w:line="240" w:lineRule="auto"/>
        <w:jc w:val="both"/>
        <w:rPr>
          <w:rFonts w:cstheme="minorHAnsi"/>
          <w:bCs/>
          <w:color w:val="000000"/>
        </w:rPr>
      </w:pPr>
      <w:r>
        <w:rPr>
          <w:rFonts w:cstheme="minorHAnsi"/>
          <w:bCs/>
          <w:color w:val="000000"/>
        </w:rPr>
        <w:t>3</w:t>
      </w:r>
      <w:r w:rsidRPr="00D05A36">
        <w:rPr>
          <w:rFonts w:cstheme="minorHAnsi"/>
          <w:bCs/>
          <w:color w:val="000000"/>
        </w:rPr>
        <w:t>.1 I Tesa</w:t>
      </w:r>
      <w:r>
        <w:rPr>
          <w:rFonts w:cstheme="minorHAnsi"/>
          <w:bCs/>
          <w:color w:val="000000"/>
        </w:rPr>
        <w:t>lonicenses, Gálatas y Filipenses</w:t>
      </w:r>
    </w:p>
    <w:p w14:paraId="5169BC68" w14:textId="77777777" w:rsidR="00C7239A" w:rsidRPr="00D05A36" w:rsidRDefault="00C7239A" w:rsidP="008E0715">
      <w:pPr>
        <w:spacing w:line="240" w:lineRule="auto"/>
        <w:jc w:val="both"/>
        <w:rPr>
          <w:rFonts w:cstheme="minorHAnsi"/>
          <w:bCs/>
          <w:color w:val="000000"/>
        </w:rPr>
      </w:pPr>
      <w:r>
        <w:rPr>
          <w:rFonts w:cstheme="minorHAnsi"/>
          <w:bCs/>
          <w:color w:val="000000"/>
        </w:rPr>
        <w:t>3</w:t>
      </w:r>
      <w:r w:rsidRPr="00D05A36">
        <w:rPr>
          <w:rFonts w:cstheme="minorHAnsi"/>
          <w:bCs/>
          <w:color w:val="000000"/>
        </w:rPr>
        <w:t xml:space="preserve">.2 </w:t>
      </w:r>
      <w:r>
        <w:rPr>
          <w:rFonts w:cstheme="minorHAnsi"/>
          <w:bCs/>
          <w:color w:val="000000"/>
        </w:rPr>
        <w:t>Filemón, 1-2 Corintios y Romanos</w:t>
      </w:r>
    </w:p>
    <w:p w14:paraId="606DD28C" w14:textId="77777777" w:rsidR="00C7239A" w:rsidRDefault="00C7239A" w:rsidP="008E0715">
      <w:pPr>
        <w:spacing w:line="240" w:lineRule="auto"/>
        <w:jc w:val="both"/>
        <w:rPr>
          <w:color w:val="000000"/>
          <w:lang w:val="es-ES"/>
        </w:rPr>
      </w:pPr>
      <w:r w:rsidRPr="08BEFFDB">
        <w:rPr>
          <w:color w:val="000000" w:themeColor="text1"/>
          <w:lang w:val="es-ES"/>
        </w:rPr>
        <w:t xml:space="preserve">3.3 Las cartas </w:t>
      </w:r>
      <w:proofErr w:type="spellStart"/>
      <w:r w:rsidRPr="08BEFFDB">
        <w:rPr>
          <w:color w:val="000000" w:themeColor="text1"/>
          <w:lang w:val="es-ES"/>
        </w:rPr>
        <w:t>deuteropaulinas</w:t>
      </w:r>
      <w:proofErr w:type="spellEnd"/>
      <w:r w:rsidRPr="08BEFFDB">
        <w:rPr>
          <w:color w:val="000000" w:themeColor="text1"/>
          <w:lang w:val="es-ES"/>
        </w:rPr>
        <w:t>: II Tesalonicenses, Colosenses, Efesios, I y II Timoteo y Tito</w:t>
      </w:r>
    </w:p>
    <w:p w14:paraId="70332CDB" w14:textId="77777777" w:rsidR="00C7239A" w:rsidRPr="00D05A36" w:rsidRDefault="00C7239A" w:rsidP="008E0715">
      <w:pPr>
        <w:spacing w:line="240" w:lineRule="auto"/>
        <w:jc w:val="both"/>
        <w:rPr>
          <w:rFonts w:cstheme="minorHAnsi"/>
          <w:b/>
          <w:bCs/>
          <w:color w:val="000000"/>
        </w:rPr>
      </w:pPr>
    </w:p>
    <w:p w14:paraId="764CD241" w14:textId="77777777" w:rsidR="00C7239A" w:rsidRDefault="00C7239A" w:rsidP="008E0715">
      <w:pPr>
        <w:spacing w:line="240" w:lineRule="auto"/>
        <w:jc w:val="both"/>
        <w:rPr>
          <w:rFonts w:cstheme="minorHAnsi"/>
          <w:b/>
          <w:bCs/>
          <w:color w:val="231F20"/>
        </w:rPr>
      </w:pPr>
      <w:r>
        <w:rPr>
          <w:rFonts w:cstheme="minorHAnsi"/>
          <w:b/>
          <w:bCs/>
          <w:color w:val="231F20"/>
        </w:rPr>
        <w:lastRenderedPageBreak/>
        <w:t>Unidad 4</w:t>
      </w:r>
      <w:r w:rsidRPr="00236187">
        <w:rPr>
          <w:rFonts w:cstheme="minorHAnsi"/>
          <w:b/>
          <w:bCs/>
          <w:color w:val="231F20"/>
        </w:rPr>
        <w:t>: Cartas generales y Apocalipsis</w:t>
      </w:r>
    </w:p>
    <w:p w14:paraId="7C2AFBD3" w14:textId="77777777" w:rsidR="00C7239A" w:rsidRPr="008417F4" w:rsidRDefault="00C7239A" w:rsidP="008E0715">
      <w:pPr>
        <w:spacing w:line="240" w:lineRule="auto"/>
        <w:jc w:val="both"/>
        <w:rPr>
          <w:rFonts w:cstheme="minorHAnsi"/>
          <w:b/>
          <w:bCs/>
          <w:color w:val="231F20"/>
          <w:sz w:val="2"/>
          <w:szCs w:val="2"/>
        </w:rPr>
      </w:pPr>
    </w:p>
    <w:p w14:paraId="180BC35E" w14:textId="77777777" w:rsidR="00C7239A" w:rsidRPr="00D05A36" w:rsidRDefault="00C7239A" w:rsidP="008E0715">
      <w:pPr>
        <w:spacing w:after="120" w:line="240" w:lineRule="auto"/>
        <w:jc w:val="both"/>
        <w:rPr>
          <w:rFonts w:cstheme="minorHAnsi"/>
          <w:bCs/>
          <w:color w:val="231F20"/>
          <w:lang w:val="pt-BR"/>
        </w:rPr>
      </w:pPr>
      <w:r w:rsidRPr="00D05A36">
        <w:rPr>
          <w:rFonts w:cstheme="minorHAnsi"/>
          <w:bCs/>
          <w:color w:val="231F20"/>
          <w:lang w:val="pt-BR"/>
        </w:rPr>
        <w:t>4.1 Hebreos</w:t>
      </w:r>
      <w:r>
        <w:rPr>
          <w:rFonts w:cstheme="minorHAnsi"/>
          <w:bCs/>
          <w:color w:val="231F20"/>
          <w:lang w:val="pt-BR"/>
        </w:rPr>
        <w:t>,</w:t>
      </w:r>
      <w:r w:rsidRPr="00D05A36">
        <w:rPr>
          <w:rFonts w:cstheme="minorHAnsi"/>
          <w:bCs/>
          <w:color w:val="231F20"/>
          <w:lang w:val="pt-BR"/>
        </w:rPr>
        <w:t xml:space="preserve"> Santiago</w:t>
      </w:r>
      <w:r>
        <w:rPr>
          <w:rFonts w:cstheme="minorHAnsi"/>
          <w:bCs/>
          <w:color w:val="231F20"/>
          <w:lang w:val="pt-BR"/>
        </w:rPr>
        <w:t>,</w:t>
      </w:r>
      <w:r w:rsidRPr="00D05A36">
        <w:rPr>
          <w:rFonts w:cstheme="minorHAnsi"/>
          <w:bCs/>
          <w:color w:val="231F20"/>
          <w:lang w:val="pt-BR"/>
        </w:rPr>
        <w:t xml:space="preserve"> I y II Pedro</w:t>
      </w:r>
      <w:r>
        <w:rPr>
          <w:rFonts w:cstheme="minorHAnsi"/>
          <w:bCs/>
          <w:color w:val="231F20"/>
          <w:lang w:val="pt-BR"/>
        </w:rPr>
        <w:t>,</w:t>
      </w:r>
      <w:r w:rsidRPr="00D05A36">
        <w:rPr>
          <w:rFonts w:cstheme="minorHAnsi"/>
          <w:bCs/>
          <w:color w:val="231F20"/>
          <w:lang w:val="pt-BR"/>
        </w:rPr>
        <w:t xml:space="preserve"> Judas</w:t>
      </w:r>
      <w:r>
        <w:rPr>
          <w:rFonts w:cstheme="minorHAnsi"/>
          <w:bCs/>
          <w:color w:val="231F20"/>
          <w:lang w:val="pt-BR"/>
        </w:rPr>
        <w:t>,</w:t>
      </w:r>
      <w:r w:rsidRPr="00D05A36">
        <w:rPr>
          <w:rFonts w:cstheme="minorHAnsi"/>
          <w:bCs/>
          <w:color w:val="231F20"/>
          <w:lang w:val="pt-BR"/>
        </w:rPr>
        <w:t xml:space="preserve"> I, II y III Juan</w:t>
      </w:r>
    </w:p>
    <w:p w14:paraId="1652AE6A" w14:textId="77777777" w:rsidR="00C7239A" w:rsidRDefault="00C7239A" w:rsidP="008E0715">
      <w:pPr>
        <w:pStyle w:val="Prrafodelista"/>
        <w:autoSpaceDE w:val="0"/>
        <w:autoSpaceDN w:val="0"/>
        <w:adjustRightInd w:val="0"/>
        <w:spacing w:after="120" w:line="240" w:lineRule="auto"/>
        <w:ind w:left="0"/>
        <w:jc w:val="both"/>
        <w:rPr>
          <w:rFonts w:asciiTheme="minorHAnsi" w:hAnsiTheme="minorHAnsi" w:cstheme="minorHAnsi"/>
          <w:bCs/>
          <w:color w:val="231F20"/>
        </w:rPr>
      </w:pPr>
      <w:r>
        <w:rPr>
          <w:rFonts w:asciiTheme="minorHAnsi" w:hAnsiTheme="minorHAnsi" w:cstheme="minorHAnsi"/>
          <w:bCs/>
          <w:color w:val="231F20"/>
        </w:rPr>
        <w:t>4.2 Apocalipsis</w:t>
      </w:r>
    </w:p>
    <w:p w14:paraId="7CF9D3FF" w14:textId="77777777" w:rsidR="00C7239A" w:rsidRPr="003C343F" w:rsidRDefault="00C7239A" w:rsidP="008E0715">
      <w:pPr>
        <w:pStyle w:val="Prrafodelista"/>
        <w:autoSpaceDE w:val="0"/>
        <w:autoSpaceDN w:val="0"/>
        <w:adjustRightInd w:val="0"/>
        <w:spacing w:after="120" w:line="240" w:lineRule="auto"/>
        <w:ind w:left="0"/>
        <w:jc w:val="both"/>
        <w:rPr>
          <w:rFonts w:asciiTheme="minorHAnsi" w:hAnsiTheme="minorHAnsi" w:cstheme="minorHAnsi"/>
          <w:bCs/>
          <w:color w:val="231F20"/>
          <w:sz w:val="12"/>
          <w:szCs w:val="12"/>
        </w:rPr>
      </w:pPr>
    </w:p>
    <w:p w14:paraId="1746E662" w14:textId="77777777" w:rsidR="00C7239A" w:rsidRDefault="00C7239A" w:rsidP="008E0715">
      <w:pPr>
        <w:pStyle w:val="Prrafodelista"/>
        <w:autoSpaceDE w:val="0"/>
        <w:autoSpaceDN w:val="0"/>
        <w:adjustRightInd w:val="0"/>
        <w:spacing w:after="120" w:line="240" w:lineRule="auto"/>
        <w:ind w:left="0"/>
        <w:jc w:val="both"/>
        <w:rPr>
          <w:rFonts w:asciiTheme="minorHAnsi" w:hAnsiTheme="minorHAnsi" w:cstheme="minorHAnsi"/>
          <w:bCs/>
          <w:color w:val="231F20"/>
        </w:rPr>
      </w:pPr>
      <w:r>
        <w:rPr>
          <w:rFonts w:asciiTheme="minorHAnsi" w:hAnsiTheme="minorHAnsi" w:cstheme="minorHAnsi"/>
        </w:rPr>
        <w:t>4.3 Entrega y presentación del ensayo final</w:t>
      </w:r>
    </w:p>
    <w:p w14:paraId="1601041D" w14:textId="77777777" w:rsidR="00C7239A" w:rsidRDefault="00C7239A" w:rsidP="008E0715">
      <w:pPr>
        <w:spacing w:line="240" w:lineRule="auto"/>
        <w:jc w:val="both"/>
        <w:rPr>
          <w:rFonts w:cstheme="minorHAnsi"/>
          <w:b/>
          <w:bCs/>
          <w:color w:val="000000" w:themeColor="text1"/>
        </w:rPr>
      </w:pPr>
    </w:p>
    <w:p w14:paraId="40077D17" w14:textId="77777777" w:rsidR="00C7239A" w:rsidRPr="00A22D5D" w:rsidRDefault="00C7239A" w:rsidP="00C7239A">
      <w:pPr>
        <w:jc w:val="both"/>
        <w:rPr>
          <w:rFonts w:cstheme="minorHAnsi"/>
          <w:b/>
          <w:bCs/>
          <w:color w:val="000000" w:themeColor="text1"/>
        </w:rPr>
      </w:pPr>
      <w:r w:rsidRPr="00A22D5D">
        <w:rPr>
          <w:rFonts w:cstheme="minorHAnsi"/>
          <w:b/>
          <w:bCs/>
          <w:color w:val="000000" w:themeColor="text1"/>
        </w:rPr>
        <w:t>V. Metodología</w:t>
      </w:r>
    </w:p>
    <w:p w14:paraId="7A56A9CD" w14:textId="77777777" w:rsidR="00C7239A" w:rsidRDefault="00C7239A" w:rsidP="00C7239A">
      <w:pPr>
        <w:jc w:val="both"/>
        <w:rPr>
          <w:color w:val="000000" w:themeColor="text1"/>
          <w:lang w:val="es-ES"/>
        </w:rPr>
      </w:pPr>
      <w:r w:rsidRPr="08BEFFDB">
        <w:rPr>
          <w:color w:val="000000" w:themeColor="text1"/>
          <w:lang w:val="es-ES"/>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69BD247E" w14:textId="77777777" w:rsidR="00C7239A" w:rsidRDefault="00C7239A" w:rsidP="00C7239A">
      <w:pPr>
        <w:jc w:val="both"/>
        <w:rPr>
          <w:color w:val="000000" w:themeColor="text1"/>
          <w:lang w:val="es-ES"/>
        </w:rPr>
      </w:pPr>
      <w:r w:rsidRPr="08BEFFDB">
        <w:rPr>
          <w:color w:val="000000" w:themeColor="text1"/>
          <w:lang w:val="es-ES"/>
        </w:rPr>
        <w:t>El curso es de naturaleza teórica y busca aportar elementos introductorios a nivel de historia, terminología, métodos y conceptos fundamentales para la comprensión de 23 libros del Nuevo Testamento, de los cuales la mayoría son cartas. La metodología del curso se basa en lecturas en formato digital, trabajos de reflexión y síntesis, tanto a nivel individual como en el aula virtual, contando con la orientación docente respecto a los contenidos, así como su profundización. La dinámica metodológica parte de los conocimientos previos de los y las estudiantes y busca, por medio de actividades asignadas, que logren participar en el aula virtual y las discusiones grupales virtuales desde los contenidos aportados (lecturas, insumos docentes).</w:t>
      </w:r>
    </w:p>
    <w:p w14:paraId="182DDBE7" w14:textId="77777777" w:rsidR="00C7239A" w:rsidRDefault="00C7239A" w:rsidP="00C7239A">
      <w:pPr>
        <w:jc w:val="both"/>
        <w:rPr>
          <w:rFonts w:cstheme="minorHAnsi"/>
          <w:bCs/>
        </w:rPr>
      </w:pPr>
      <w:r>
        <w:rPr>
          <w:rFonts w:cstheme="minorHAnsi"/>
          <w:bCs/>
        </w:rPr>
        <w:t xml:space="preserve">Durante el curso se realizarán encuentros sincrónicos virtuales en la plataforma virtual. </w:t>
      </w:r>
      <w:r w:rsidRPr="0023680A">
        <w:rPr>
          <w:rFonts w:cstheme="minorHAnsi"/>
          <w:bCs/>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3259F680" w14:textId="77777777" w:rsidR="00C7239A" w:rsidRDefault="00C7239A" w:rsidP="00C7239A">
      <w:pPr>
        <w:jc w:val="both"/>
        <w:rPr>
          <w:rFonts w:cstheme="minorHAnsi"/>
          <w:color w:val="000000" w:themeColor="text1"/>
        </w:rPr>
      </w:pPr>
    </w:p>
    <w:p w14:paraId="40524E36" w14:textId="77777777" w:rsidR="00C7239A" w:rsidRPr="00A22D5D" w:rsidRDefault="00C7239A" w:rsidP="00C7239A">
      <w:pPr>
        <w:jc w:val="both"/>
        <w:rPr>
          <w:rFonts w:cstheme="minorHAnsi"/>
          <w:color w:val="000000" w:themeColor="text1"/>
        </w:rPr>
      </w:pPr>
      <w:r w:rsidRPr="00A22D5D">
        <w:rPr>
          <w:rFonts w:cstheme="minorHAnsi"/>
          <w:b/>
          <w:bCs/>
          <w:color w:val="000000" w:themeColor="text1"/>
        </w:rPr>
        <w:t xml:space="preserve">VI. </w:t>
      </w:r>
      <w:r>
        <w:rPr>
          <w:rFonts w:cstheme="minorHAnsi"/>
          <w:b/>
          <w:bCs/>
          <w:color w:val="000000" w:themeColor="text1"/>
        </w:rPr>
        <w:t>Estrategias de</w:t>
      </w:r>
      <w:r w:rsidRPr="00A22D5D">
        <w:rPr>
          <w:rFonts w:cstheme="minorHAnsi"/>
          <w:b/>
          <w:bCs/>
          <w:color w:val="000000" w:themeColor="text1"/>
        </w:rPr>
        <w:t xml:space="preserve"> aprendizaje </w:t>
      </w:r>
    </w:p>
    <w:p w14:paraId="308F52EC" w14:textId="77777777" w:rsidR="00C7239A" w:rsidRDefault="00C7239A" w:rsidP="00C7239A">
      <w:pPr>
        <w:jc w:val="both"/>
        <w:rPr>
          <w:rFonts w:cstheme="minorHAnsi"/>
          <w:bCs/>
          <w:color w:val="000000" w:themeColor="text1"/>
        </w:rPr>
      </w:pPr>
      <w:r w:rsidRPr="00842D2C">
        <w:rPr>
          <w:rFonts w:cstheme="minorHAnsi"/>
          <w:bCs/>
          <w:color w:val="000000" w:themeColor="text1"/>
        </w:rPr>
        <w:t>El estudio del presente curso es conducente a lograr una comprensión del libro de los Hechos y las cartas del Nuevo Testamento como obras literario-teológicas que iluminan el desarrollo de la iglesia del S. 1° y también la vida de la</w:t>
      </w:r>
      <w:r>
        <w:rPr>
          <w:rFonts w:cstheme="minorHAnsi"/>
          <w:bCs/>
          <w:color w:val="000000" w:themeColor="text1"/>
        </w:rPr>
        <w:t>s</w:t>
      </w:r>
      <w:r w:rsidRPr="00842D2C">
        <w:rPr>
          <w:rFonts w:cstheme="minorHAnsi"/>
          <w:bCs/>
          <w:color w:val="000000" w:themeColor="text1"/>
        </w:rPr>
        <w:t xml:space="preserve"> iglesia</w:t>
      </w:r>
      <w:r>
        <w:rPr>
          <w:rFonts w:cstheme="minorHAnsi"/>
          <w:bCs/>
          <w:color w:val="000000" w:themeColor="text1"/>
        </w:rPr>
        <w:t>s</w:t>
      </w:r>
      <w:r w:rsidRPr="00842D2C">
        <w:rPr>
          <w:rFonts w:cstheme="minorHAnsi"/>
          <w:bCs/>
          <w:color w:val="000000" w:themeColor="text1"/>
        </w:rPr>
        <w:t xml:space="preserve"> hoy en América Latina y el </w:t>
      </w:r>
      <w:r>
        <w:rPr>
          <w:rFonts w:cstheme="minorHAnsi"/>
          <w:bCs/>
          <w:color w:val="000000" w:themeColor="text1"/>
        </w:rPr>
        <w:t>C</w:t>
      </w:r>
      <w:r w:rsidRPr="00842D2C">
        <w:rPr>
          <w:rFonts w:cstheme="minorHAnsi"/>
          <w:bCs/>
          <w:color w:val="000000" w:themeColor="text1"/>
        </w:rPr>
        <w:t>aribe.</w:t>
      </w:r>
    </w:p>
    <w:p w14:paraId="056CF165" w14:textId="77777777" w:rsidR="00C7239A" w:rsidRDefault="00C7239A" w:rsidP="00C7239A">
      <w:pPr>
        <w:jc w:val="both"/>
        <w:rPr>
          <w:rFonts w:cstheme="minorHAnsi"/>
          <w:bCs/>
          <w:color w:val="000000" w:themeColor="text1"/>
        </w:rPr>
      </w:pPr>
      <w:r>
        <w:rPr>
          <w:rFonts w:cstheme="minorHAnsi"/>
          <w:bCs/>
          <w:color w:val="000000" w:themeColor="text1"/>
        </w:rPr>
        <w:t>Se utilizan las siguientes estrategias de aprendizaje:</w:t>
      </w:r>
    </w:p>
    <w:p w14:paraId="3F755202" w14:textId="77777777" w:rsidR="00C7239A" w:rsidRPr="00E6316F" w:rsidRDefault="00C7239A" w:rsidP="00C7239A">
      <w:pPr>
        <w:jc w:val="both"/>
        <w:rPr>
          <w:rFonts w:cstheme="minorHAnsi"/>
          <w:bCs/>
          <w:color w:val="000000" w:themeColor="text1"/>
        </w:rPr>
      </w:pPr>
      <w:r>
        <w:rPr>
          <w:rFonts w:cstheme="minorHAnsi"/>
          <w:b/>
          <w:color w:val="000000" w:themeColor="text1"/>
        </w:rPr>
        <w:lastRenderedPageBreak/>
        <w:t xml:space="preserve">a) Foro: </w:t>
      </w:r>
      <w:r w:rsidRPr="00E6316F">
        <w:rPr>
          <w:rFonts w:cstheme="minorHAnsi"/>
          <w:bCs/>
        </w:rPr>
        <w:t xml:space="preserve">Con el propósito de proveer experiencias de aprendizaje </w:t>
      </w:r>
      <w:r>
        <w:rPr>
          <w:rFonts w:cstheme="minorHAnsi"/>
          <w:bCs/>
        </w:rPr>
        <w:t>interactivas y</w:t>
      </w:r>
      <w:r w:rsidRPr="00E6316F">
        <w:rPr>
          <w:rFonts w:cstheme="minorHAnsi"/>
          <w:bCs/>
        </w:rPr>
        <w:t xml:space="preserve"> colaborativas los foros buscan</w:t>
      </w:r>
      <w:r>
        <w:rPr>
          <w:rFonts w:cstheme="minorHAnsi"/>
          <w:bCs/>
        </w:rPr>
        <w:t xml:space="preserve"> promover la participación</w:t>
      </w:r>
      <w:r w:rsidRPr="00E6316F">
        <w:rPr>
          <w:rFonts w:cstheme="minorHAnsi"/>
          <w:bCs/>
        </w:rPr>
        <w:t xml:space="preserve"> con base en las lecturas asignadas</w:t>
      </w:r>
      <w:r>
        <w:rPr>
          <w:rFonts w:cstheme="minorHAnsi"/>
          <w:bCs/>
        </w:rPr>
        <w:t>,</w:t>
      </w:r>
      <w:r w:rsidRPr="00E6316F">
        <w:rPr>
          <w:rFonts w:cstheme="minorHAnsi"/>
          <w:bCs/>
        </w:rPr>
        <w:t xml:space="preserve"> el debate y la discusión grupal. En este curso se desarrollarán </w:t>
      </w:r>
      <w:r>
        <w:rPr>
          <w:rFonts w:cstheme="minorHAnsi"/>
          <w:bCs/>
        </w:rPr>
        <w:t xml:space="preserve">foros en los que se </w:t>
      </w:r>
      <w:r w:rsidRPr="00E6316F">
        <w:rPr>
          <w:rFonts w:cstheme="minorHAnsi"/>
        </w:rPr>
        <w:t>abordarán temas tales como: el libro de Hechos de los Apóstoles, su historia y teología</w:t>
      </w:r>
      <w:r>
        <w:rPr>
          <w:rFonts w:cstheme="minorHAnsi"/>
        </w:rPr>
        <w:t>;</w:t>
      </w:r>
      <w:r w:rsidRPr="00E6316F">
        <w:rPr>
          <w:rFonts w:cstheme="minorHAnsi"/>
        </w:rPr>
        <w:t xml:space="preserve"> ejes teológicos de las cartas paulinas, el papel de las cartas a las iglesias</w:t>
      </w:r>
      <w:r>
        <w:rPr>
          <w:rFonts w:cstheme="minorHAnsi"/>
        </w:rPr>
        <w:t>;</w:t>
      </w:r>
      <w:r w:rsidRPr="00E6316F">
        <w:rPr>
          <w:rFonts w:cstheme="minorHAnsi"/>
        </w:rPr>
        <w:t xml:space="preserve"> conflicto y consolidación del cristianismo originario y el libro de Apocalipsis.</w:t>
      </w:r>
    </w:p>
    <w:p w14:paraId="12D7F7E9" w14:textId="77777777" w:rsidR="00C7239A" w:rsidRPr="00324FF9" w:rsidRDefault="00C7239A" w:rsidP="00C7239A">
      <w:pPr>
        <w:jc w:val="both"/>
        <w:rPr>
          <w:rFonts w:cstheme="minorHAnsi"/>
          <w:bCs/>
          <w:color w:val="000000" w:themeColor="text1"/>
        </w:rPr>
      </w:pPr>
      <w:r>
        <w:rPr>
          <w:rFonts w:cstheme="minorHAnsi"/>
          <w:b/>
        </w:rPr>
        <w:t xml:space="preserve">b) Encuentro sincrónico virtual: </w:t>
      </w:r>
      <w:r w:rsidRPr="00324FF9">
        <w:rPr>
          <w:rFonts w:cstheme="minorHAnsi"/>
          <w:bCs/>
          <w:szCs w:val="18"/>
        </w:rPr>
        <w:t xml:space="preserve">Esta herramienta virtual sincrónica permite el encuentro entre las personas estudiantes y </w:t>
      </w:r>
      <w:r>
        <w:rPr>
          <w:rFonts w:cstheme="minorHAnsi"/>
          <w:bCs/>
          <w:szCs w:val="18"/>
        </w:rPr>
        <w:t xml:space="preserve">la persona </w:t>
      </w:r>
      <w:r w:rsidRPr="00324FF9">
        <w:rPr>
          <w:rFonts w:cstheme="minorHAnsi"/>
          <w:bCs/>
          <w:szCs w:val="18"/>
        </w:rPr>
        <w:t>docente con el fin de dialogar, debatir, escuchar presentaciones, o hacer trabajo en grupos pequeños sobre un tema en particular. En este curso los encuentros son de carácter formativo y no sumativo. Servirán para que la persona docente desarrolle las temáticas del curso o profundice en ellas. Se grabará</w:t>
      </w:r>
      <w:r>
        <w:rPr>
          <w:rFonts w:cstheme="minorHAnsi"/>
          <w:bCs/>
          <w:szCs w:val="18"/>
        </w:rPr>
        <w:t>n los encuentros</w:t>
      </w:r>
      <w:r w:rsidRPr="00324FF9">
        <w:rPr>
          <w:rFonts w:cstheme="minorHAnsi"/>
          <w:bCs/>
          <w:szCs w:val="18"/>
        </w:rPr>
        <w:t xml:space="preserve"> para las personas estudiantes que no puedan participar y así lo soliciten.</w:t>
      </w:r>
    </w:p>
    <w:p w14:paraId="024E6FAE" w14:textId="77777777" w:rsidR="00C7239A" w:rsidRDefault="00C7239A" w:rsidP="00C7239A">
      <w:pPr>
        <w:jc w:val="both"/>
        <w:rPr>
          <w:rFonts w:cs="Arial"/>
          <w:color w:val="000000" w:themeColor="text1"/>
        </w:rPr>
      </w:pPr>
      <w:r>
        <w:rPr>
          <w:rFonts w:cstheme="minorHAnsi"/>
          <w:b/>
          <w:bCs/>
          <w:color w:val="000000" w:themeColor="text1"/>
        </w:rPr>
        <w:t xml:space="preserve">c) Reseña crítica de lectura: </w:t>
      </w:r>
      <w:bookmarkStart w:id="31" w:name="_Hlk118815699"/>
      <w:r w:rsidRPr="00D96537">
        <w:rPr>
          <w:rFonts w:ascii="Calibri" w:eastAsia="Calibri" w:hAnsi="Calibri" w:cs="Arial"/>
        </w:rPr>
        <w:t xml:space="preserve">La reseña crítica es un texto argumentativo y expositivo que nace del análisis de las ideas contenidas en la lectura a reseñar. Esta estrategia pedagógica se desarrolla por parte de las personas estudiantes en </w:t>
      </w:r>
      <w:r>
        <w:rPr>
          <w:rFonts w:ascii="Calibri" w:eastAsia="Calibri" w:hAnsi="Calibri" w:cs="Arial"/>
        </w:rPr>
        <w:t>varias</w:t>
      </w:r>
      <w:r w:rsidRPr="00D96537">
        <w:rPr>
          <w:rFonts w:ascii="Calibri" w:eastAsia="Calibri" w:hAnsi="Calibri" w:cs="Arial"/>
        </w:rPr>
        <w:t xml:space="preserve"> sesiones</w:t>
      </w:r>
      <w:bookmarkEnd w:id="31"/>
      <w:r w:rsidRPr="00D96537">
        <w:rPr>
          <w:rFonts w:ascii="Calibri" w:eastAsia="Calibri" w:hAnsi="Calibri" w:cs="Arial"/>
        </w:rPr>
        <w:t xml:space="preserve">. En este curso </w:t>
      </w:r>
      <w:r w:rsidRPr="00D96537">
        <w:rPr>
          <w:rFonts w:cstheme="minorHAnsi"/>
        </w:rPr>
        <w:t>cubrirá las lecturas e</w:t>
      </w:r>
      <w:r>
        <w:rPr>
          <w:rFonts w:cstheme="minorHAnsi"/>
        </w:rPr>
        <w:t>n las cuales se abordan temas como: el</w:t>
      </w:r>
      <w:r w:rsidRPr="00D96537">
        <w:rPr>
          <w:rFonts w:cstheme="minorHAnsi"/>
        </w:rPr>
        <w:t xml:space="preserve"> papel de las cartas paulinas en la iglesia cristiana originaria en medio de los conflictos que se viven</w:t>
      </w:r>
      <w:r>
        <w:rPr>
          <w:rFonts w:cstheme="minorHAnsi"/>
        </w:rPr>
        <w:t xml:space="preserve">, </w:t>
      </w:r>
      <w:r w:rsidRPr="00D96537">
        <w:rPr>
          <w:rFonts w:cstheme="minorHAnsi"/>
        </w:rPr>
        <w:t>la relación literaria entre las cartas generales y el libro de Apocalipsis.</w:t>
      </w:r>
      <w:r w:rsidRPr="00D96537">
        <w:rPr>
          <w:rFonts w:cstheme="minorHAnsi"/>
          <w:b/>
          <w:bCs/>
        </w:rPr>
        <w:t xml:space="preserve"> </w:t>
      </w:r>
    </w:p>
    <w:p w14:paraId="161F0502" w14:textId="77777777" w:rsidR="00C7239A" w:rsidRDefault="00C7239A" w:rsidP="00C7239A">
      <w:pPr>
        <w:jc w:val="both"/>
        <w:rPr>
          <w:rFonts w:cstheme="minorHAnsi"/>
          <w:bCs/>
          <w:color w:val="000000" w:themeColor="text1"/>
        </w:rPr>
      </w:pPr>
      <w:r>
        <w:rPr>
          <w:rFonts w:cs="Arial"/>
          <w:b/>
          <w:color w:val="000000" w:themeColor="text1"/>
        </w:rPr>
        <w:t>d) Mapa conceptual:</w:t>
      </w:r>
      <w:r>
        <w:rPr>
          <w:rFonts w:cs="Arial"/>
          <w:bCs/>
          <w:color w:val="000000" w:themeColor="text1"/>
        </w:rPr>
        <w:t xml:space="preserve"> </w:t>
      </w:r>
      <w:r w:rsidRPr="00E558A3">
        <w:rPr>
          <w:rFonts w:ascii="Calibri" w:eastAsia="Calibri" w:hAnsi="Calibri"/>
          <w:lang w:val="es-MX"/>
        </w:rPr>
        <w:t>El mapa conceptual es una estrategia de aprendizaje para organizar los aportes y conocimientos que nos brindan documentos escritos</w:t>
      </w:r>
      <w:r>
        <w:rPr>
          <w:rFonts w:ascii="Calibri" w:eastAsia="Calibri" w:hAnsi="Calibri"/>
          <w:lang w:val="es-MX"/>
        </w:rPr>
        <w:t>,</w:t>
      </w:r>
      <w:r w:rsidRPr="00E558A3">
        <w:rPr>
          <w:rFonts w:ascii="Calibri" w:eastAsia="Calibri" w:hAnsi="Calibri"/>
          <w:lang w:val="es-MX"/>
        </w:rPr>
        <w:t xml:space="preserve"> al lograr representar en un mapa y graficar conceptos y sus derivaciones. En este </w:t>
      </w:r>
      <w:r w:rsidRPr="00E558A3">
        <w:rPr>
          <w:rFonts w:eastAsia="Calibri" w:cstheme="minorHAnsi"/>
          <w:lang w:val="es-MX"/>
        </w:rPr>
        <w:t>curso</w:t>
      </w:r>
      <w:r>
        <w:rPr>
          <w:rFonts w:eastAsia="Calibri" w:cstheme="minorHAnsi"/>
          <w:lang w:val="es-MX"/>
        </w:rPr>
        <w:t xml:space="preserve"> </w:t>
      </w:r>
      <w:r w:rsidRPr="00E558A3">
        <w:rPr>
          <w:rFonts w:ascii="Calibri" w:eastAsia="Calibri" w:hAnsi="Calibri"/>
          <w:lang w:val="es-MX"/>
        </w:rPr>
        <w:t>se elaborarán mapas conceptuales de tópicos tales como</w:t>
      </w:r>
      <w:r>
        <w:rPr>
          <w:rFonts w:ascii="Calibri" w:eastAsia="Calibri" w:hAnsi="Calibri"/>
          <w:lang w:val="es-MX"/>
        </w:rPr>
        <w:t>:</w:t>
      </w:r>
      <w:r w:rsidRPr="00E558A3">
        <w:rPr>
          <w:rFonts w:ascii="Calibri" w:eastAsia="Calibri" w:hAnsi="Calibri"/>
          <w:lang w:val="es-MX"/>
        </w:rPr>
        <w:t xml:space="preserve"> el conflicto en la iglesia cristiana originaria, el papel de las cartas en ese conflicto, las cartas </w:t>
      </w:r>
      <w:proofErr w:type="spellStart"/>
      <w:r w:rsidRPr="00E558A3">
        <w:rPr>
          <w:rFonts w:ascii="Calibri" w:eastAsia="Calibri" w:hAnsi="Calibri"/>
          <w:lang w:val="es-MX"/>
        </w:rPr>
        <w:t>jo</w:t>
      </w:r>
      <w:r>
        <w:rPr>
          <w:rFonts w:ascii="Calibri" w:eastAsia="Calibri" w:hAnsi="Calibri"/>
          <w:lang w:val="es-MX"/>
        </w:rPr>
        <w:t>á</w:t>
      </w:r>
      <w:r w:rsidRPr="00E558A3">
        <w:rPr>
          <w:rFonts w:ascii="Calibri" w:eastAsia="Calibri" w:hAnsi="Calibri"/>
          <w:lang w:val="es-MX"/>
        </w:rPr>
        <w:t>nicas</w:t>
      </w:r>
      <w:proofErr w:type="spellEnd"/>
      <w:r w:rsidRPr="00E558A3">
        <w:rPr>
          <w:rFonts w:ascii="Calibri" w:eastAsia="Calibri" w:hAnsi="Calibri"/>
          <w:lang w:val="es-MX"/>
        </w:rPr>
        <w:t xml:space="preserve"> y las epístolas católicas o universales, así como el Apocalipsis de Juan. </w:t>
      </w:r>
      <w:r w:rsidRPr="00E558A3">
        <w:rPr>
          <w:rFonts w:cs="Arial"/>
          <w:b/>
        </w:rPr>
        <w:t xml:space="preserve"> </w:t>
      </w:r>
    </w:p>
    <w:p w14:paraId="3F0FEA4E" w14:textId="77777777" w:rsidR="00C7239A" w:rsidRPr="00D44859" w:rsidRDefault="00C7239A" w:rsidP="00C7239A">
      <w:pPr>
        <w:jc w:val="both"/>
        <w:rPr>
          <w:rFonts w:cstheme="minorHAnsi"/>
          <w:color w:val="000000" w:themeColor="text1"/>
        </w:rPr>
      </w:pPr>
      <w:r>
        <w:rPr>
          <w:rFonts w:cstheme="minorHAnsi"/>
          <w:b/>
          <w:bCs/>
          <w:color w:val="000000" w:themeColor="text1"/>
        </w:rPr>
        <w:t xml:space="preserve">e) Ensayo: </w:t>
      </w:r>
      <w:r w:rsidRPr="00D44859">
        <w:rPr>
          <w:rFonts w:ascii="Calibri" w:eastAsia="Calibri" w:hAnsi="Calibri" w:cs="Calibri"/>
          <w:bCs/>
        </w:rPr>
        <w:t xml:space="preserve">Se define al </w:t>
      </w:r>
      <w:r>
        <w:rPr>
          <w:rFonts w:ascii="Calibri" w:eastAsia="Calibri" w:hAnsi="Calibri" w:cs="Calibri"/>
          <w:bCs/>
        </w:rPr>
        <w:t>e</w:t>
      </w:r>
      <w:r w:rsidRPr="00D44859">
        <w:rPr>
          <w:rFonts w:ascii="Calibri" w:eastAsia="Calibri" w:hAnsi="Calibri" w:cs="Calibri"/>
          <w:bCs/>
        </w:rPr>
        <w:t xml:space="preserve">nsayo como un documento académico estructurado </w:t>
      </w:r>
      <w:r>
        <w:rPr>
          <w:rFonts w:ascii="Calibri" w:eastAsia="Calibri" w:hAnsi="Calibri" w:cs="Calibri"/>
          <w:bCs/>
        </w:rPr>
        <w:t>en</w:t>
      </w:r>
      <w:r w:rsidRPr="00D44859">
        <w:rPr>
          <w:rFonts w:ascii="Calibri" w:eastAsia="Calibri" w:hAnsi="Calibri" w:cs="Calibri"/>
          <w:bCs/>
        </w:rPr>
        <w:t xml:space="preserve"> una introducción, desarrollo, conclusión y </w:t>
      </w:r>
      <w:r>
        <w:rPr>
          <w:rFonts w:ascii="Calibri" w:eastAsia="Calibri" w:hAnsi="Calibri" w:cs="Calibri"/>
          <w:bCs/>
        </w:rPr>
        <w:t>r</w:t>
      </w:r>
      <w:r w:rsidRPr="00D44859">
        <w:rPr>
          <w:rFonts w:ascii="Calibri" w:eastAsia="Calibri" w:hAnsi="Calibri" w:cs="Calibri"/>
          <w:bCs/>
        </w:rPr>
        <w:t>eferencias bibliográficas (</w:t>
      </w:r>
      <w:r>
        <w:rPr>
          <w:rFonts w:ascii="Calibri" w:eastAsia="Calibri" w:hAnsi="Calibri" w:cs="Calibri"/>
          <w:bCs/>
        </w:rPr>
        <w:t xml:space="preserve">bajo el </w:t>
      </w:r>
      <w:r w:rsidRPr="00D44859">
        <w:rPr>
          <w:rFonts w:ascii="Calibri" w:eastAsia="Calibri" w:hAnsi="Calibri" w:cs="Calibri"/>
          <w:bCs/>
        </w:rPr>
        <w:t xml:space="preserve">sistema Chicago-Deusto </w:t>
      </w:r>
      <w:r>
        <w:rPr>
          <w:rFonts w:ascii="Calibri" w:eastAsia="Calibri" w:hAnsi="Calibri" w:cs="Calibri"/>
          <w:bCs/>
        </w:rPr>
        <w:t xml:space="preserve">utilizado </w:t>
      </w:r>
      <w:r w:rsidRPr="00D44859">
        <w:rPr>
          <w:rFonts w:ascii="Calibri" w:eastAsia="Calibri" w:hAnsi="Calibri" w:cs="Calibri"/>
          <w:bCs/>
        </w:rPr>
        <w:t>por</w:t>
      </w:r>
      <w:r>
        <w:rPr>
          <w:rFonts w:ascii="Calibri" w:eastAsia="Calibri" w:hAnsi="Calibri" w:cs="Calibri"/>
          <w:bCs/>
        </w:rPr>
        <w:t xml:space="preserve"> la</w:t>
      </w:r>
      <w:r w:rsidRPr="00D44859">
        <w:rPr>
          <w:rFonts w:ascii="Calibri" w:eastAsia="Calibri" w:hAnsi="Calibri" w:cs="Calibri"/>
          <w:bCs/>
        </w:rPr>
        <w:t xml:space="preserve"> UBL). </w:t>
      </w:r>
      <w:r>
        <w:rPr>
          <w:rFonts w:ascii="Calibri" w:eastAsia="Calibri" w:hAnsi="Calibri" w:cs="Calibri"/>
          <w:bCs/>
        </w:rPr>
        <w:t>Con él s</w:t>
      </w:r>
      <w:r w:rsidRPr="00D44859">
        <w:rPr>
          <w:rFonts w:ascii="Calibri" w:eastAsia="Calibri" w:hAnsi="Calibri" w:cs="Calibri"/>
          <w:bCs/>
        </w:rPr>
        <w:t xml:space="preserve">e busca la exposición, </w:t>
      </w:r>
      <w:r>
        <w:rPr>
          <w:rFonts w:ascii="Calibri" w:eastAsia="Calibri" w:hAnsi="Calibri" w:cs="Calibri"/>
          <w:bCs/>
        </w:rPr>
        <w:t xml:space="preserve">el </w:t>
      </w:r>
      <w:r w:rsidRPr="00D44859">
        <w:rPr>
          <w:rFonts w:ascii="Calibri" w:eastAsia="Calibri" w:hAnsi="Calibri" w:cs="Calibri"/>
          <w:bCs/>
        </w:rPr>
        <w:t>estudio y análisis de un tema o tópico seleccionado o asignado. En este curso</w:t>
      </w:r>
      <w:r w:rsidRPr="00D44859">
        <w:t xml:space="preserve"> </w:t>
      </w:r>
      <w:r w:rsidRPr="00D44859">
        <w:rPr>
          <w:rFonts w:ascii="Calibri" w:eastAsia="Calibri" w:hAnsi="Calibri" w:cs="Calibri"/>
          <w:bCs/>
        </w:rPr>
        <w:t xml:space="preserve">este trabajo se realizará en forma individual a partir de la selección de un tema clave del curso. </w:t>
      </w:r>
      <w:r>
        <w:rPr>
          <w:rFonts w:ascii="Calibri" w:eastAsia="Calibri" w:hAnsi="Calibri" w:cs="Calibri"/>
          <w:bCs/>
        </w:rPr>
        <w:t>Además de presentar el ensayo en forma escrita, en las últimas dos sesiones se expondrá un resumen de los puntos centrales del ensayo mediante un encuentro sincrónico virtual, el cual tiene un valor formativo en cuanto a la evaluación.</w:t>
      </w:r>
    </w:p>
    <w:p w14:paraId="609C953D" w14:textId="77777777" w:rsidR="00C7239A" w:rsidRDefault="00C7239A" w:rsidP="00C7239A">
      <w:pPr>
        <w:jc w:val="both"/>
        <w:rPr>
          <w:rFonts w:cstheme="minorHAnsi"/>
          <w:bCs/>
          <w:color w:val="000000" w:themeColor="text1"/>
        </w:rPr>
      </w:pPr>
      <w:r w:rsidRPr="00CE1426">
        <w:rPr>
          <w:rFonts w:cstheme="minorHAnsi"/>
          <w:bCs/>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72163C5E" w14:textId="77777777" w:rsidR="00C7239A" w:rsidRDefault="00C7239A" w:rsidP="00C7239A">
      <w:pPr>
        <w:jc w:val="both"/>
        <w:rPr>
          <w:rFonts w:cstheme="minorHAnsi"/>
          <w:bCs/>
          <w:color w:val="000000" w:themeColor="text1"/>
        </w:rPr>
      </w:pPr>
    </w:p>
    <w:p w14:paraId="5A16E1FA" w14:textId="77777777" w:rsidR="00C7239A" w:rsidRPr="001A58FB" w:rsidRDefault="00C7239A" w:rsidP="00C7239A">
      <w:pPr>
        <w:jc w:val="both"/>
        <w:rPr>
          <w:rFonts w:cstheme="minorHAnsi"/>
          <w:bCs/>
          <w:color w:val="000000" w:themeColor="text1"/>
        </w:rPr>
      </w:pPr>
      <w:r>
        <w:rPr>
          <w:rFonts w:cstheme="minorHAnsi"/>
          <w:b/>
          <w:bCs/>
          <w:color w:val="000000" w:themeColor="text1"/>
        </w:rPr>
        <w:t xml:space="preserve">VII. </w:t>
      </w:r>
      <w:r w:rsidRPr="00F24BC3">
        <w:rPr>
          <w:rFonts w:cstheme="minorHAnsi"/>
          <w:b/>
          <w:bCs/>
          <w:color w:val="000000" w:themeColor="text1"/>
        </w:rPr>
        <w:t>Recursos didácticos</w:t>
      </w:r>
    </w:p>
    <w:p w14:paraId="72B465D3" w14:textId="77777777" w:rsidR="00C7239A" w:rsidRDefault="00C7239A" w:rsidP="00C7239A">
      <w:pPr>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2FC9BBD0" w14:textId="7777777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6936DA66" w14:textId="77777777" w:rsidR="00C7239A" w:rsidRDefault="00C7239A" w:rsidP="00C7239A">
      <w:pPr>
        <w:jc w:val="both"/>
        <w:rPr>
          <w:rFonts w:cstheme="minorHAnsi"/>
          <w:color w:val="000000" w:themeColor="text1"/>
          <w:lang w:val="es-ES" w:eastAsia="es-ES"/>
        </w:rPr>
      </w:pPr>
    </w:p>
    <w:p w14:paraId="786571F6" w14:textId="7777777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lastRenderedPageBreak/>
        <w:t>b) Lecturas complementarias en algunas de las sesiones que se asignan para su lectura con el fin de ampliar las temáticas. Realizar estas lecturas es opcional.</w:t>
      </w:r>
    </w:p>
    <w:p w14:paraId="1FA4C367" w14:textId="7777777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1FA9FF9C" w14:textId="7777777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y mediante la herramienta Big Blue </w:t>
      </w:r>
      <w:proofErr w:type="spellStart"/>
      <w:r>
        <w:rPr>
          <w:rFonts w:cstheme="minorHAnsi"/>
          <w:color w:val="000000" w:themeColor="text1"/>
          <w:lang w:val="es-ES" w:eastAsia="es-ES"/>
        </w:rPr>
        <w:t>Button</w:t>
      </w:r>
      <w:proofErr w:type="spellEnd"/>
      <w:r>
        <w:rPr>
          <w:rFonts w:cstheme="minorHAnsi"/>
          <w:color w:val="000000" w:themeColor="text1"/>
          <w:lang w:val="es-ES" w:eastAsia="es-ES"/>
        </w:rPr>
        <w:t xml:space="preserve"> en la plataforma Moodle;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 xml:space="preserve"> mapa conceptual y una reseña crítica de lectura</w:t>
      </w:r>
      <w:r w:rsidRPr="006014C5">
        <w:rPr>
          <w:rFonts w:cstheme="minorHAnsi"/>
          <w:color w:val="000000" w:themeColor="text1"/>
          <w:lang w:val="es-ES" w:eastAsia="es-ES"/>
        </w:rPr>
        <w:t xml:space="preserve">; así como de </w:t>
      </w:r>
      <w:r>
        <w:rPr>
          <w:rFonts w:cstheme="minorHAnsi"/>
          <w:color w:val="000000" w:themeColor="text1"/>
          <w:lang w:val="es-ES" w:eastAsia="es-ES"/>
        </w:rPr>
        <w:t xml:space="preserve">una </w:t>
      </w:r>
      <w:r w:rsidRPr="006014C5">
        <w:rPr>
          <w:rFonts w:cstheme="minorHAnsi"/>
          <w:color w:val="000000" w:themeColor="text1"/>
          <w:lang w:val="es-ES" w:eastAsia="es-ES"/>
        </w:rPr>
        <w:t>guía para el</w:t>
      </w:r>
      <w:r>
        <w:rPr>
          <w:rFonts w:cstheme="minorHAnsi"/>
          <w:color w:val="000000" w:themeColor="text1"/>
          <w:lang w:val="es-ES" w:eastAsia="es-ES"/>
        </w:rPr>
        <w:t xml:space="preserve">aborar el ensayo final </w:t>
      </w:r>
      <w:r w:rsidRPr="006014C5">
        <w:rPr>
          <w:rFonts w:cstheme="minorHAnsi"/>
          <w:color w:val="000000" w:themeColor="text1"/>
          <w:lang w:val="es-ES" w:eastAsia="es-ES"/>
        </w:rPr>
        <w:t>que se encuentra en la sección de actividades de la sesión correspondiente.</w:t>
      </w:r>
    </w:p>
    <w:p w14:paraId="72604D46" w14:textId="7777777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 xml:space="preserve">También puede disponer de las bases de datos, revistas en línea, repositorios y buscadores especializados a los cuales puede acceder mediante la Biblioteca Enrique </w:t>
      </w:r>
      <w:proofErr w:type="spellStart"/>
      <w:r w:rsidRPr="006014C5">
        <w:rPr>
          <w:rFonts w:cstheme="minorHAnsi"/>
          <w:color w:val="000000" w:themeColor="text1"/>
          <w:lang w:val="es-ES" w:eastAsia="es-ES"/>
        </w:rPr>
        <w:t>Strachan</w:t>
      </w:r>
      <w:proofErr w:type="spellEnd"/>
      <w:r w:rsidRPr="006014C5">
        <w:rPr>
          <w:rFonts w:cstheme="minorHAnsi"/>
          <w:color w:val="000000" w:themeColor="text1"/>
          <w:lang w:val="es-ES" w:eastAsia="es-ES"/>
        </w:rPr>
        <w:t xml:space="preserve"> (</w:t>
      </w:r>
      <w:hyperlink r:id="rId193" w:history="1">
        <w:r w:rsidRPr="006014C5">
          <w:rPr>
            <w:rStyle w:val="Hipervnculo"/>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194" w:history="1">
        <w:r w:rsidRPr="006014C5">
          <w:rPr>
            <w:rStyle w:val="Hipervnculo"/>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w:t>
      </w:r>
      <w:r w:rsidRPr="00194D6C">
        <w:rPr>
          <w:rFonts w:cstheme="minorHAnsi"/>
          <w:color w:val="000000" w:themeColor="text1"/>
          <w:lang w:val="es-ES" w:eastAsia="es-ES"/>
        </w:rPr>
        <w:t>A través del correo de la biblioteca (</w:t>
      </w:r>
      <w:hyperlink r:id="rId195" w:history="1">
        <w:r w:rsidRPr="00194D6C">
          <w:rPr>
            <w:rStyle w:val="Hipervnculo"/>
            <w:rFonts w:cstheme="minorHAnsi"/>
            <w:lang w:val="es-ES" w:eastAsia="es-ES"/>
          </w:rPr>
          <w:t>biblioteca@ubl.ac.cr</w:t>
        </w:r>
      </w:hyperlink>
      <w:r w:rsidRPr="00194D6C">
        <w:rPr>
          <w:rFonts w:cstheme="minorHAnsi"/>
          <w:color w:val="000000" w:themeColor="text1"/>
          <w:lang w:val="es-ES" w:eastAsia="es-ES"/>
        </w:rPr>
        <w:t>) puede solicitar recursos que se encuentren en la colección física.</w:t>
      </w:r>
    </w:p>
    <w:p w14:paraId="46F92A76" w14:textId="569702A7" w:rsidR="00C7239A" w:rsidRDefault="00C7239A" w:rsidP="00C7239A">
      <w:pPr>
        <w:jc w:val="both"/>
        <w:rPr>
          <w:rFonts w:cstheme="minorHAnsi"/>
          <w:color w:val="000000" w:themeColor="text1"/>
          <w:lang w:val="es-ES" w:eastAsia="es-ES"/>
        </w:rPr>
      </w:pPr>
      <w:r>
        <w:rPr>
          <w:rFonts w:cstheme="minorHAnsi"/>
          <w:color w:val="000000" w:themeColor="text1"/>
          <w:lang w:val="es-ES" w:eastAsia="es-ES"/>
        </w:rPr>
        <w:t>f)</w:t>
      </w:r>
      <w:r w:rsidRPr="007577DA">
        <w:rPr>
          <w:rFonts w:cstheme="minorHAnsi"/>
          <w:bCs/>
          <w:szCs w:val="24"/>
        </w:rPr>
        <w:t xml:space="preserve"> </w:t>
      </w:r>
      <w:r w:rsidRPr="007577DA">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cstheme="minorHAnsi"/>
          <w:bCs/>
        </w:rPr>
        <w:t>Bachillerato en Ciencias Bíblicas</w:t>
      </w:r>
      <w:r w:rsidRPr="007577DA">
        <w:rPr>
          <w:rFonts w:cstheme="minorHAnsi"/>
          <w:bCs/>
        </w:rPr>
        <w:t xml:space="preserve">. Dicho espacio está disponible para todas las personas registradas en el campus virtual y se puede acceder a través del siguiente enlace: </w:t>
      </w:r>
      <w:hyperlink r:id="rId196" w:history="1">
        <w:r w:rsidRPr="007577DA">
          <w:rPr>
            <w:rStyle w:val="Hipervnculo"/>
            <w:rFonts w:cstheme="minorHAnsi"/>
            <w:bCs/>
          </w:rPr>
          <w:t>https://campus.ubl.ac.cr/course/index.php?categoryid=186</w:t>
        </w:r>
      </w:hyperlink>
    </w:p>
    <w:p w14:paraId="7FDCE164" w14:textId="77777777" w:rsidR="00C7239A" w:rsidRPr="007577DA" w:rsidRDefault="00C7239A" w:rsidP="00C7239A">
      <w:pPr>
        <w:jc w:val="both"/>
        <w:rPr>
          <w:rFonts w:cstheme="minorHAnsi"/>
          <w:color w:val="000000" w:themeColor="text1"/>
          <w:lang w:val="es-ES" w:eastAsia="es-ES"/>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57BFA9CB" w14:textId="77777777" w:rsidR="00C7239A" w:rsidRDefault="00C7239A" w:rsidP="00C7239A">
      <w:pPr>
        <w:rPr>
          <w:rFonts w:cstheme="minorHAnsi"/>
          <w:b/>
          <w:bCs/>
          <w:color w:val="000000" w:themeColor="text1"/>
        </w:rPr>
      </w:pPr>
    </w:p>
    <w:p w14:paraId="69A521B9" w14:textId="77777777" w:rsidR="00C7239A" w:rsidRDefault="00C7239A" w:rsidP="00C7239A">
      <w:pPr>
        <w:rPr>
          <w:rFonts w:cstheme="minorHAnsi"/>
          <w:b/>
          <w:bCs/>
          <w:color w:val="000000" w:themeColor="text1"/>
        </w:rPr>
      </w:pPr>
    </w:p>
    <w:p w14:paraId="7F0BAA6B" w14:textId="77777777" w:rsidR="00C7239A" w:rsidRDefault="00C7239A" w:rsidP="00C7239A">
      <w:pPr>
        <w:rPr>
          <w:rFonts w:cstheme="minorHAnsi"/>
          <w:b/>
          <w:bCs/>
          <w:color w:val="000000" w:themeColor="text1"/>
        </w:rPr>
      </w:pPr>
    </w:p>
    <w:p w14:paraId="7D95C081" w14:textId="77777777" w:rsidR="00C7239A" w:rsidRDefault="00C7239A" w:rsidP="00C7239A">
      <w:pPr>
        <w:rPr>
          <w:rFonts w:cstheme="minorHAnsi"/>
          <w:b/>
          <w:bCs/>
          <w:color w:val="000000" w:themeColor="text1"/>
        </w:rPr>
      </w:pPr>
    </w:p>
    <w:p w14:paraId="75071BF5" w14:textId="77777777" w:rsidR="00C7239A" w:rsidRDefault="00C7239A" w:rsidP="00C7239A">
      <w:pPr>
        <w:rPr>
          <w:rFonts w:cstheme="minorHAnsi"/>
          <w:b/>
          <w:bCs/>
          <w:color w:val="000000" w:themeColor="text1"/>
        </w:rPr>
      </w:pPr>
    </w:p>
    <w:p w14:paraId="2CC87307" w14:textId="77777777" w:rsidR="00C7239A" w:rsidRDefault="00C7239A" w:rsidP="00C7239A">
      <w:pPr>
        <w:rPr>
          <w:rFonts w:cstheme="minorHAnsi"/>
          <w:b/>
          <w:bCs/>
          <w:color w:val="000000" w:themeColor="text1"/>
        </w:rPr>
      </w:pPr>
    </w:p>
    <w:p w14:paraId="20F1921C" w14:textId="77777777" w:rsidR="00C7239A" w:rsidRDefault="00C7239A" w:rsidP="00C7239A">
      <w:pPr>
        <w:rPr>
          <w:rFonts w:cstheme="minorHAnsi"/>
          <w:b/>
          <w:bCs/>
          <w:color w:val="000000" w:themeColor="text1"/>
        </w:rPr>
      </w:pPr>
    </w:p>
    <w:p w14:paraId="6E7F0958" w14:textId="77777777" w:rsidR="00C7239A" w:rsidRDefault="00C7239A" w:rsidP="00C7239A">
      <w:pPr>
        <w:rPr>
          <w:rFonts w:cstheme="minorHAnsi"/>
          <w:b/>
          <w:bCs/>
          <w:color w:val="000000" w:themeColor="text1"/>
        </w:rPr>
      </w:pPr>
    </w:p>
    <w:p w14:paraId="1A96789F" w14:textId="77777777" w:rsidR="00C7239A" w:rsidRDefault="00C7239A" w:rsidP="00C7239A">
      <w:pPr>
        <w:rPr>
          <w:rFonts w:cstheme="minorHAnsi"/>
          <w:b/>
          <w:bCs/>
          <w:color w:val="000000" w:themeColor="text1"/>
        </w:rPr>
      </w:pPr>
    </w:p>
    <w:p w14:paraId="199E24C9" w14:textId="77777777" w:rsidR="00C7239A" w:rsidRDefault="00C7239A" w:rsidP="00C7239A">
      <w:pPr>
        <w:rPr>
          <w:rFonts w:cstheme="minorHAnsi"/>
          <w:b/>
          <w:bCs/>
          <w:color w:val="000000" w:themeColor="text1"/>
        </w:rPr>
      </w:pPr>
    </w:p>
    <w:p w14:paraId="62F5EF43" w14:textId="77777777" w:rsidR="00C7239A" w:rsidRDefault="00C7239A" w:rsidP="00C7239A">
      <w:pPr>
        <w:rPr>
          <w:rFonts w:cstheme="minorHAnsi"/>
          <w:b/>
          <w:bCs/>
          <w:color w:val="000000" w:themeColor="text1"/>
        </w:rPr>
      </w:pPr>
    </w:p>
    <w:p w14:paraId="0FE8B8AE" w14:textId="77777777" w:rsidR="00C7239A" w:rsidRDefault="00C7239A" w:rsidP="00C7239A">
      <w:pPr>
        <w:rPr>
          <w:rFonts w:cstheme="minorHAnsi"/>
          <w:b/>
          <w:bCs/>
          <w:color w:val="000000" w:themeColor="text1"/>
        </w:rPr>
      </w:pPr>
    </w:p>
    <w:p w14:paraId="59B503A1" w14:textId="77777777" w:rsidR="00C7239A" w:rsidRPr="00F24BC3" w:rsidRDefault="00C7239A" w:rsidP="00C7239A">
      <w:pPr>
        <w:rPr>
          <w:rFonts w:cstheme="minorHAnsi"/>
          <w:b/>
          <w:bCs/>
          <w:color w:val="000000" w:themeColor="text1"/>
        </w:rPr>
      </w:pPr>
      <w:r w:rsidRPr="00F24BC3">
        <w:rPr>
          <w:rFonts w:cstheme="minorHAnsi"/>
          <w:b/>
          <w:bCs/>
          <w:color w:val="000000" w:themeColor="text1"/>
        </w:rPr>
        <w:lastRenderedPageBreak/>
        <w:t>VIII. Cronograma de trabajo</w:t>
      </w:r>
    </w:p>
    <w:p w14:paraId="10591082" w14:textId="77777777" w:rsidR="00C7239A" w:rsidRPr="00F24BC3" w:rsidRDefault="00C7239A" w:rsidP="00C7239A">
      <w:pPr>
        <w:rPr>
          <w:rFonts w:cstheme="minorHAnsi"/>
          <w:b/>
          <w:color w:val="000000" w:themeColor="text1"/>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3118"/>
        <w:gridCol w:w="3261"/>
      </w:tblGrid>
      <w:tr w:rsidR="00C7239A" w:rsidRPr="0016295D" w14:paraId="3A9AFF38" w14:textId="77777777" w:rsidTr="00104785">
        <w:trPr>
          <w:trHeight w:val="463"/>
          <w:jc w:val="center"/>
        </w:trPr>
        <w:tc>
          <w:tcPr>
            <w:tcW w:w="1271" w:type="dxa"/>
            <w:vMerge w:val="restart"/>
            <w:shd w:val="clear" w:color="auto" w:fill="auto"/>
            <w:vAlign w:val="center"/>
          </w:tcPr>
          <w:p w14:paraId="43DAF69C" w14:textId="77777777" w:rsidR="00C7239A" w:rsidRPr="0016295D" w:rsidRDefault="00C7239A" w:rsidP="00104785">
            <w:pPr>
              <w:jc w:val="center"/>
              <w:rPr>
                <w:rFonts w:cstheme="minorHAnsi"/>
                <w:b/>
              </w:rPr>
            </w:pPr>
            <w:r w:rsidRPr="0016295D">
              <w:rPr>
                <w:rFonts w:cstheme="minorHAnsi"/>
                <w:b/>
                <w:szCs w:val="24"/>
              </w:rPr>
              <w:t>Sesión (semana)</w:t>
            </w:r>
          </w:p>
        </w:tc>
        <w:tc>
          <w:tcPr>
            <w:tcW w:w="2410" w:type="dxa"/>
            <w:vMerge w:val="restart"/>
            <w:shd w:val="clear" w:color="auto" w:fill="auto"/>
            <w:vAlign w:val="center"/>
          </w:tcPr>
          <w:p w14:paraId="42339F08" w14:textId="77777777" w:rsidR="00C7239A" w:rsidRPr="0016295D" w:rsidRDefault="00C7239A" w:rsidP="00104785">
            <w:pPr>
              <w:jc w:val="center"/>
              <w:rPr>
                <w:rFonts w:cstheme="minorHAnsi"/>
                <w:b/>
                <w:szCs w:val="24"/>
              </w:rPr>
            </w:pPr>
            <w:r w:rsidRPr="0016295D">
              <w:rPr>
                <w:rFonts w:cstheme="minorHAnsi"/>
                <w:b/>
                <w:szCs w:val="24"/>
              </w:rPr>
              <w:t>Contenidos temáticos</w:t>
            </w:r>
          </w:p>
        </w:tc>
        <w:tc>
          <w:tcPr>
            <w:tcW w:w="6379" w:type="dxa"/>
            <w:gridSpan w:val="2"/>
            <w:shd w:val="clear" w:color="auto" w:fill="auto"/>
            <w:vAlign w:val="center"/>
          </w:tcPr>
          <w:p w14:paraId="5168C002" w14:textId="77777777" w:rsidR="00C7239A" w:rsidRPr="0016295D" w:rsidRDefault="00C7239A" w:rsidP="00104785">
            <w:pPr>
              <w:jc w:val="center"/>
              <w:rPr>
                <w:rFonts w:cstheme="minorHAnsi"/>
                <w:b/>
                <w:color w:val="000000" w:themeColor="text1"/>
                <w:szCs w:val="24"/>
              </w:rPr>
            </w:pPr>
            <w:r w:rsidRPr="0016295D">
              <w:rPr>
                <w:rFonts w:cstheme="minorHAnsi"/>
                <w:b/>
                <w:color w:val="000000" w:themeColor="text1"/>
                <w:szCs w:val="24"/>
              </w:rPr>
              <w:t xml:space="preserve">Actividades de </w:t>
            </w:r>
            <w:r>
              <w:rPr>
                <w:rFonts w:cstheme="minorHAnsi"/>
                <w:b/>
                <w:color w:val="000000" w:themeColor="text1"/>
                <w:szCs w:val="24"/>
              </w:rPr>
              <w:t>enseñanza-</w:t>
            </w:r>
            <w:r w:rsidRPr="0016295D">
              <w:rPr>
                <w:rFonts w:cstheme="minorHAnsi"/>
                <w:b/>
                <w:color w:val="000000" w:themeColor="text1"/>
                <w:szCs w:val="24"/>
              </w:rPr>
              <w:t>aprendizaje</w:t>
            </w:r>
          </w:p>
        </w:tc>
      </w:tr>
      <w:tr w:rsidR="00C7239A" w:rsidRPr="0016295D" w14:paraId="730FE176" w14:textId="77777777" w:rsidTr="00104785">
        <w:trPr>
          <w:trHeight w:val="463"/>
          <w:jc w:val="center"/>
        </w:trPr>
        <w:tc>
          <w:tcPr>
            <w:tcW w:w="1271" w:type="dxa"/>
            <w:vMerge/>
            <w:shd w:val="clear" w:color="auto" w:fill="auto"/>
            <w:vAlign w:val="center"/>
          </w:tcPr>
          <w:p w14:paraId="673DCFCC" w14:textId="77777777" w:rsidR="00C7239A" w:rsidRPr="0016295D" w:rsidRDefault="00C7239A" w:rsidP="00104785">
            <w:pPr>
              <w:jc w:val="center"/>
              <w:rPr>
                <w:rFonts w:cstheme="minorHAnsi"/>
                <w:b/>
              </w:rPr>
            </w:pPr>
          </w:p>
        </w:tc>
        <w:tc>
          <w:tcPr>
            <w:tcW w:w="2410" w:type="dxa"/>
            <w:vMerge/>
            <w:shd w:val="clear" w:color="auto" w:fill="auto"/>
            <w:vAlign w:val="center"/>
          </w:tcPr>
          <w:p w14:paraId="4959B7C0" w14:textId="77777777" w:rsidR="00C7239A" w:rsidRPr="0016295D" w:rsidRDefault="00C7239A" w:rsidP="00104785">
            <w:pPr>
              <w:jc w:val="center"/>
              <w:rPr>
                <w:rFonts w:cstheme="minorHAnsi"/>
                <w:b/>
              </w:rPr>
            </w:pPr>
          </w:p>
        </w:tc>
        <w:tc>
          <w:tcPr>
            <w:tcW w:w="3118" w:type="dxa"/>
            <w:shd w:val="clear" w:color="auto" w:fill="auto"/>
            <w:vAlign w:val="center"/>
          </w:tcPr>
          <w:p w14:paraId="11EB1725" w14:textId="77777777" w:rsidR="00C7239A" w:rsidRPr="0016295D" w:rsidRDefault="00C7239A" w:rsidP="00104785">
            <w:pPr>
              <w:jc w:val="center"/>
              <w:rPr>
                <w:rFonts w:cstheme="minorHAnsi"/>
                <w:b/>
                <w:color w:val="000000" w:themeColor="text1"/>
                <w:szCs w:val="24"/>
              </w:rPr>
            </w:pPr>
            <w:r>
              <w:rPr>
                <w:rFonts w:cstheme="minorHAnsi"/>
                <w:b/>
                <w:color w:val="000000" w:themeColor="text1"/>
                <w:szCs w:val="24"/>
              </w:rPr>
              <w:t>Recursos didácticos</w:t>
            </w:r>
          </w:p>
        </w:tc>
        <w:tc>
          <w:tcPr>
            <w:tcW w:w="3261" w:type="dxa"/>
            <w:shd w:val="clear" w:color="auto" w:fill="auto"/>
            <w:vAlign w:val="center"/>
          </w:tcPr>
          <w:p w14:paraId="02E3AA7B" w14:textId="77777777" w:rsidR="00C7239A" w:rsidRPr="0016295D" w:rsidRDefault="00C7239A" w:rsidP="00104785">
            <w:pPr>
              <w:jc w:val="center"/>
              <w:rPr>
                <w:rFonts w:cstheme="minorHAnsi"/>
                <w:b/>
                <w:color w:val="000000" w:themeColor="text1"/>
                <w:szCs w:val="24"/>
              </w:rPr>
            </w:pPr>
            <w:r w:rsidRPr="0016295D">
              <w:rPr>
                <w:rFonts w:cstheme="minorHAnsi"/>
                <w:b/>
                <w:color w:val="000000" w:themeColor="text1"/>
                <w:szCs w:val="24"/>
              </w:rPr>
              <w:t>Actividades</w:t>
            </w:r>
            <w:r>
              <w:rPr>
                <w:rFonts w:cstheme="minorHAnsi"/>
                <w:b/>
                <w:color w:val="000000" w:themeColor="text1"/>
                <w:szCs w:val="24"/>
              </w:rPr>
              <w:t xml:space="preserve"> de aprendizaje</w:t>
            </w:r>
          </w:p>
        </w:tc>
      </w:tr>
      <w:tr w:rsidR="00C7239A" w:rsidRPr="0016295D" w14:paraId="2B7E2C68" w14:textId="77777777" w:rsidTr="00104785">
        <w:trPr>
          <w:jc w:val="center"/>
        </w:trPr>
        <w:tc>
          <w:tcPr>
            <w:tcW w:w="1271" w:type="dxa"/>
            <w:shd w:val="clear" w:color="auto" w:fill="auto"/>
          </w:tcPr>
          <w:p w14:paraId="43494F39" w14:textId="77777777" w:rsidR="00C7239A" w:rsidRPr="0016295D" w:rsidRDefault="00C7239A" w:rsidP="00104785">
            <w:pPr>
              <w:jc w:val="center"/>
              <w:rPr>
                <w:rFonts w:cstheme="minorHAnsi"/>
              </w:rPr>
            </w:pPr>
            <w:r w:rsidRPr="0016295D">
              <w:rPr>
                <w:rFonts w:cstheme="minorHAnsi"/>
              </w:rPr>
              <w:t>1</w:t>
            </w:r>
          </w:p>
          <w:p w14:paraId="6E712914" w14:textId="77777777" w:rsidR="00C7239A" w:rsidRPr="0016295D" w:rsidRDefault="00C7239A" w:rsidP="00104785">
            <w:pPr>
              <w:jc w:val="center"/>
              <w:rPr>
                <w:rFonts w:cstheme="minorHAnsi"/>
                <w:color w:val="FF0000"/>
              </w:rPr>
            </w:pPr>
          </w:p>
          <w:p w14:paraId="0641C946" w14:textId="77777777" w:rsidR="00C7239A" w:rsidRPr="0016295D" w:rsidRDefault="00C7239A" w:rsidP="00104785">
            <w:pPr>
              <w:jc w:val="center"/>
              <w:rPr>
                <w:rFonts w:cstheme="minorHAnsi"/>
                <w:color w:val="FF0000"/>
              </w:rPr>
            </w:pPr>
          </w:p>
        </w:tc>
        <w:tc>
          <w:tcPr>
            <w:tcW w:w="2410" w:type="dxa"/>
            <w:shd w:val="clear" w:color="auto" w:fill="auto"/>
          </w:tcPr>
          <w:p w14:paraId="24D33036" w14:textId="77777777" w:rsidR="00C7239A" w:rsidRPr="00665911" w:rsidRDefault="00C7239A" w:rsidP="00104785">
            <w:pPr>
              <w:rPr>
                <w:rFonts w:cstheme="minorHAnsi"/>
                <w:b/>
                <w:bCs/>
              </w:rPr>
            </w:pPr>
            <w:r w:rsidRPr="00665911">
              <w:rPr>
                <w:rFonts w:cstheme="minorHAnsi"/>
                <w:b/>
                <w:bCs/>
              </w:rPr>
              <w:t>Unidad 1: Hechos de los Apóstoles: misión, literatura, teología e historia</w:t>
            </w:r>
          </w:p>
          <w:p w14:paraId="54ED60C8" w14:textId="77777777" w:rsidR="00C7239A" w:rsidRPr="006E285E" w:rsidRDefault="00C7239A" w:rsidP="00104785">
            <w:pPr>
              <w:rPr>
                <w:rFonts w:cstheme="minorHAnsi"/>
                <w:color w:val="FF0000"/>
              </w:rPr>
            </w:pPr>
            <w:r w:rsidRPr="00AF6A0C">
              <w:rPr>
                <w:rFonts w:cstheme="minorHAnsi"/>
              </w:rPr>
              <w:t>1.1 Los viajes misioneros y la construcción de personajes emblemáticos como héroes</w:t>
            </w:r>
          </w:p>
        </w:tc>
        <w:tc>
          <w:tcPr>
            <w:tcW w:w="3118" w:type="dxa"/>
            <w:shd w:val="clear" w:color="auto" w:fill="auto"/>
          </w:tcPr>
          <w:p w14:paraId="31A6B857" w14:textId="77777777" w:rsidR="00C7239A" w:rsidRPr="003819F6" w:rsidRDefault="00C7239A" w:rsidP="00104785">
            <w:pPr>
              <w:rPr>
                <w:rFonts w:cstheme="minorHAnsi"/>
                <w:color w:val="0070C0"/>
              </w:rPr>
            </w:pPr>
            <w:r>
              <w:rPr>
                <w:rFonts w:cstheme="minorHAnsi"/>
                <w:color w:val="0070C0"/>
              </w:rPr>
              <w:t>Ruta de aprendizaje</w:t>
            </w:r>
          </w:p>
          <w:p w14:paraId="63FAB9B8" w14:textId="77777777" w:rsidR="00C7239A" w:rsidRPr="00585267" w:rsidRDefault="00C7239A" w:rsidP="00104785">
            <w:pPr>
              <w:rPr>
                <w:rFonts w:cstheme="minorHAnsi"/>
                <w:color w:val="0070C0"/>
              </w:rPr>
            </w:pPr>
            <w:r w:rsidRPr="0016295D">
              <w:rPr>
                <w:rFonts w:cstheme="minorHAnsi"/>
                <w:color w:val="000000" w:themeColor="text1"/>
              </w:rPr>
              <w:t xml:space="preserve">Vouga, François. “Las personas y los grupos en juego”. En </w:t>
            </w:r>
            <w:r w:rsidRPr="0016295D">
              <w:rPr>
                <w:rFonts w:cstheme="minorHAnsi"/>
                <w:i/>
                <w:color w:val="000000" w:themeColor="text1"/>
              </w:rPr>
              <w:t>Los primeros pasos del cristianismo: escritos, protagonistas, debates</w:t>
            </w:r>
            <w:r w:rsidRPr="0016295D">
              <w:rPr>
                <w:rFonts w:cstheme="minorHAnsi"/>
                <w:color w:val="000000" w:themeColor="text1"/>
              </w:rPr>
              <w:t>,</w:t>
            </w:r>
            <w:r w:rsidRPr="0016295D">
              <w:rPr>
                <w:rFonts w:cstheme="minorHAnsi"/>
                <w:i/>
                <w:color w:val="000000" w:themeColor="text1"/>
              </w:rPr>
              <w:t xml:space="preserve"> </w:t>
            </w:r>
            <w:r w:rsidRPr="0016295D">
              <w:rPr>
                <w:rFonts w:cstheme="minorHAnsi"/>
                <w:color w:val="000000" w:themeColor="text1"/>
              </w:rPr>
              <w:t>33-56.</w:t>
            </w:r>
            <w:r w:rsidRPr="0016295D">
              <w:rPr>
                <w:rFonts w:cstheme="minorHAnsi"/>
                <w:i/>
                <w:color w:val="000000" w:themeColor="text1"/>
              </w:rPr>
              <w:t xml:space="preserve"> </w:t>
            </w:r>
            <w:r w:rsidRPr="0016295D">
              <w:rPr>
                <w:rFonts w:cstheme="minorHAnsi"/>
                <w:color w:val="000000" w:themeColor="text1"/>
              </w:rPr>
              <w:t>Estella: Verbo Divino, 2001.</w:t>
            </w:r>
            <w:r>
              <w:rPr>
                <w:rFonts w:cstheme="minorHAnsi"/>
                <w:color w:val="000000" w:themeColor="text1"/>
              </w:rPr>
              <w:t xml:space="preserve"> </w:t>
            </w:r>
            <w:r w:rsidRPr="00585267">
              <w:rPr>
                <w:rFonts w:cstheme="minorHAnsi"/>
                <w:color w:val="0070C0"/>
              </w:rPr>
              <w:t>(clásico, última edición)</w:t>
            </w:r>
          </w:p>
          <w:p w14:paraId="24B3B910" w14:textId="77777777" w:rsidR="00C7239A" w:rsidRPr="0016295D" w:rsidRDefault="00C7239A" w:rsidP="00104785">
            <w:pPr>
              <w:rPr>
                <w:rFonts w:cstheme="minorHAnsi"/>
                <w:b/>
                <w:color w:val="000000" w:themeColor="text1"/>
              </w:rPr>
            </w:pPr>
            <w:r w:rsidRPr="0016295D">
              <w:rPr>
                <w:rFonts w:cstheme="minorHAnsi"/>
                <w:b/>
                <w:color w:val="000000" w:themeColor="text1"/>
              </w:rPr>
              <w:t>Material complementario</w:t>
            </w:r>
          </w:p>
          <w:p w14:paraId="1DCF5FE6" w14:textId="77777777" w:rsidR="00C7239A" w:rsidRDefault="00C7239A" w:rsidP="00104785">
            <w:pPr>
              <w:rPr>
                <w:rFonts w:cstheme="minorHAnsi"/>
              </w:rPr>
            </w:pPr>
            <w:r w:rsidRPr="0016295D">
              <w:rPr>
                <w:rFonts w:cstheme="minorHAnsi"/>
                <w:bCs/>
              </w:rPr>
              <w:t xml:space="preserve">Badiola </w:t>
            </w:r>
            <w:proofErr w:type="spellStart"/>
            <w:r w:rsidRPr="0016295D">
              <w:rPr>
                <w:rFonts w:cstheme="minorHAnsi"/>
                <w:bCs/>
              </w:rPr>
              <w:t>Saenz</w:t>
            </w:r>
            <w:proofErr w:type="spellEnd"/>
            <w:r w:rsidRPr="0016295D">
              <w:rPr>
                <w:rFonts w:cstheme="minorHAnsi"/>
                <w:bCs/>
              </w:rPr>
              <w:t xml:space="preserve"> de Ugarte, José Antonio. “Tensiones entre el judaísmo y el cristianismo en la tercera generación cristiana (</w:t>
            </w:r>
            <w:proofErr w:type="spellStart"/>
            <w:r w:rsidRPr="0016295D">
              <w:rPr>
                <w:rFonts w:cstheme="minorHAnsi"/>
                <w:bCs/>
              </w:rPr>
              <w:t>Hch</w:t>
            </w:r>
            <w:proofErr w:type="spellEnd"/>
            <w:r w:rsidRPr="0016295D">
              <w:rPr>
                <w:rFonts w:cstheme="minorHAnsi"/>
                <w:bCs/>
              </w:rPr>
              <w:t xml:space="preserve">, </w:t>
            </w:r>
            <w:proofErr w:type="spellStart"/>
            <w:r w:rsidRPr="0016295D">
              <w:rPr>
                <w:rFonts w:cstheme="minorHAnsi"/>
                <w:bCs/>
              </w:rPr>
              <w:t>Jn</w:t>
            </w:r>
            <w:proofErr w:type="spellEnd"/>
            <w:r w:rsidRPr="0016295D">
              <w:rPr>
                <w:rFonts w:cstheme="minorHAnsi"/>
                <w:bCs/>
              </w:rPr>
              <w:t xml:space="preserve"> y </w:t>
            </w:r>
            <w:proofErr w:type="spellStart"/>
            <w:r w:rsidRPr="0016295D">
              <w:rPr>
                <w:rFonts w:cstheme="minorHAnsi"/>
                <w:bCs/>
              </w:rPr>
              <w:t>Ap</w:t>
            </w:r>
            <w:proofErr w:type="spellEnd"/>
            <w:r w:rsidRPr="0016295D">
              <w:rPr>
                <w:rFonts w:cstheme="minorHAnsi"/>
                <w:bCs/>
              </w:rPr>
              <w:t xml:space="preserve">)”. </w:t>
            </w:r>
            <w:r w:rsidRPr="0016295D">
              <w:rPr>
                <w:rFonts w:cstheme="minorHAnsi"/>
                <w:bCs/>
                <w:i/>
              </w:rPr>
              <w:t>Reseña Bíblica</w:t>
            </w:r>
            <w:r w:rsidRPr="0016295D">
              <w:rPr>
                <w:rFonts w:cstheme="minorHAnsi"/>
                <w:bCs/>
              </w:rPr>
              <w:t>, n. 98 (2018): 34-42.</w:t>
            </w:r>
            <w:r w:rsidRPr="0016295D">
              <w:rPr>
                <w:rFonts w:cstheme="minorHAnsi"/>
              </w:rPr>
              <w:t xml:space="preserve"> </w:t>
            </w:r>
          </w:p>
          <w:p w14:paraId="379EC02A" w14:textId="77777777" w:rsidR="00C7239A" w:rsidRPr="00507A5A" w:rsidRDefault="00C7239A" w:rsidP="00104785">
            <w:pPr>
              <w:rPr>
                <w:rFonts w:cstheme="minorHAnsi"/>
                <w:color w:val="0070C0"/>
              </w:rPr>
            </w:pPr>
            <w:r>
              <w:rPr>
                <w:rFonts w:cstheme="minorHAnsi"/>
                <w:color w:val="0070C0"/>
              </w:rPr>
              <w:t xml:space="preserve">Guía para la participación mediante la herramienta Big Blue </w:t>
            </w:r>
            <w:proofErr w:type="spellStart"/>
            <w:r>
              <w:rPr>
                <w:rFonts w:cstheme="minorHAnsi"/>
                <w:color w:val="0070C0"/>
              </w:rPr>
              <w:t>Button</w:t>
            </w:r>
            <w:proofErr w:type="spellEnd"/>
            <w:r>
              <w:rPr>
                <w:rFonts w:cstheme="minorHAnsi"/>
                <w:color w:val="0070C0"/>
              </w:rPr>
              <w:t xml:space="preserve"> en la plataforma Moodle</w:t>
            </w:r>
          </w:p>
          <w:p w14:paraId="603EDB48" w14:textId="77777777" w:rsidR="00C7239A" w:rsidRPr="0016295D" w:rsidRDefault="00C7239A" w:rsidP="00104785">
            <w:pPr>
              <w:rPr>
                <w:rFonts w:cstheme="minorHAnsi"/>
                <w:color w:val="000000" w:themeColor="text1"/>
              </w:rPr>
            </w:pPr>
          </w:p>
        </w:tc>
        <w:tc>
          <w:tcPr>
            <w:tcW w:w="3261" w:type="dxa"/>
            <w:shd w:val="clear" w:color="auto" w:fill="auto"/>
          </w:tcPr>
          <w:p w14:paraId="666F32B2"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Participación en el foro social CAFETERÍA.</w:t>
            </w:r>
          </w:p>
          <w:p w14:paraId="52F8B2D3"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Participación en el foro de dudas.</w:t>
            </w:r>
          </w:p>
          <w:p w14:paraId="29F13287" w14:textId="77777777" w:rsidR="00C7239A" w:rsidRDefault="00C7239A" w:rsidP="00C7239A">
            <w:pPr>
              <w:numPr>
                <w:ilvl w:val="0"/>
                <w:numId w:val="103"/>
              </w:numPr>
              <w:spacing w:after="0" w:line="240" w:lineRule="auto"/>
              <w:rPr>
                <w:rFonts w:cstheme="minorHAnsi"/>
                <w:color w:val="000000" w:themeColor="text1"/>
              </w:rPr>
            </w:pPr>
            <w:r>
              <w:rPr>
                <w:rFonts w:cstheme="minorHAnsi"/>
                <w:color w:val="000000" w:themeColor="text1"/>
              </w:rPr>
              <w:t>Presentación del sílabo, v</w:t>
            </w:r>
            <w:r w:rsidRPr="0016295D">
              <w:rPr>
                <w:rFonts w:cstheme="minorHAnsi"/>
                <w:color w:val="000000" w:themeColor="text1"/>
              </w:rPr>
              <w:t>ideo “Los primeros cristianos” y exposición docente: Los procesos de conversión y adhesión de las primeras comunidades cristianas en un encuentro sincrónico</w:t>
            </w:r>
            <w:r>
              <w:rPr>
                <w:rFonts w:cstheme="minorHAnsi"/>
                <w:color w:val="000000" w:themeColor="text1"/>
              </w:rPr>
              <w:t xml:space="preserve"> virtual (formativo)</w:t>
            </w:r>
            <w:r w:rsidRPr="0016295D">
              <w:rPr>
                <w:rFonts w:cstheme="minorHAnsi"/>
                <w:color w:val="000000" w:themeColor="text1"/>
              </w:rPr>
              <w:t>.</w:t>
            </w:r>
          </w:p>
          <w:p w14:paraId="252C31C6" w14:textId="77777777" w:rsidR="00C7239A" w:rsidRPr="0016295D" w:rsidRDefault="00C7239A" w:rsidP="00104785">
            <w:pPr>
              <w:ind w:left="227"/>
              <w:rPr>
                <w:rFonts w:cstheme="minorHAnsi"/>
                <w:color w:val="000000" w:themeColor="text1"/>
              </w:rPr>
            </w:pPr>
          </w:p>
        </w:tc>
      </w:tr>
      <w:tr w:rsidR="00C7239A" w:rsidRPr="0016295D" w14:paraId="52D86378" w14:textId="77777777" w:rsidTr="00104785">
        <w:trPr>
          <w:jc w:val="center"/>
        </w:trPr>
        <w:tc>
          <w:tcPr>
            <w:tcW w:w="1271" w:type="dxa"/>
            <w:shd w:val="clear" w:color="auto" w:fill="auto"/>
          </w:tcPr>
          <w:p w14:paraId="227A6375" w14:textId="77777777" w:rsidR="00C7239A" w:rsidRPr="0016295D" w:rsidRDefault="00C7239A" w:rsidP="00104785">
            <w:pPr>
              <w:jc w:val="center"/>
              <w:rPr>
                <w:rFonts w:cstheme="minorHAnsi"/>
              </w:rPr>
            </w:pPr>
            <w:r w:rsidRPr="0016295D">
              <w:rPr>
                <w:rFonts w:cstheme="minorHAnsi"/>
              </w:rPr>
              <w:t>2</w:t>
            </w:r>
          </w:p>
          <w:p w14:paraId="4C463288" w14:textId="77777777" w:rsidR="00C7239A" w:rsidRPr="0016295D" w:rsidRDefault="00C7239A" w:rsidP="00104785">
            <w:pPr>
              <w:jc w:val="center"/>
              <w:rPr>
                <w:rFonts w:cstheme="minorHAnsi"/>
                <w:color w:val="FF0000"/>
              </w:rPr>
            </w:pPr>
          </w:p>
          <w:p w14:paraId="3C0D59A2" w14:textId="77777777" w:rsidR="00C7239A" w:rsidRPr="0016295D" w:rsidRDefault="00C7239A" w:rsidP="00104785">
            <w:pPr>
              <w:jc w:val="center"/>
              <w:rPr>
                <w:rFonts w:cstheme="minorHAnsi"/>
                <w:color w:val="FF0000"/>
              </w:rPr>
            </w:pPr>
          </w:p>
        </w:tc>
        <w:tc>
          <w:tcPr>
            <w:tcW w:w="2410" w:type="dxa"/>
            <w:shd w:val="clear" w:color="auto" w:fill="auto"/>
          </w:tcPr>
          <w:p w14:paraId="6734679A" w14:textId="77777777" w:rsidR="00C7239A" w:rsidRPr="00665911" w:rsidRDefault="00C7239A" w:rsidP="00104785">
            <w:pPr>
              <w:rPr>
                <w:rFonts w:cstheme="minorHAnsi"/>
                <w:b/>
                <w:bCs/>
              </w:rPr>
            </w:pPr>
            <w:r w:rsidRPr="00665911">
              <w:rPr>
                <w:rFonts w:cstheme="minorHAnsi"/>
                <w:b/>
                <w:bCs/>
              </w:rPr>
              <w:t>Unidad 1: Hechos de los Apóstoles: misión, literatura, teología e historia</w:t>
            </w:r>
          </w:p>
          <w:p w14:paraId="60777149" w14:textId="77777777" w:rsidR="00C7239A" w:rsidRPr="00F87F06" w:rsidRDefault="00C7239A" w:rsidP="00104785">
            <w:pPr>
              <w:rPr>
                <w:rFonts w:cstheme="minorHAnsi"/>
              </w:rPr>
            </w:pPr>
            <w:r w:rsidRPr="00F87F06">
              <w:rPr>
                <w:rFonts w:cstheme="minorHAnsi"/>
              </w:rPr>
              <w:t>1.2 Continuidad y discontinuidad del movimiento de Jesús</w:t>
            </w:r>
          </w:p>
          <w:p w14:paraId="6141DE66" w14:textId="77777777" w:rsidR="00C7239A" w:rsidRPr="00547464" w:rsidRDefault="00C7239A" w:rsidP="00104785">
            <w:pPr>
              <w:rPr>
                <w:rFonts w:cstheme="minorHAnsi"/>
                <w:strike/>
              </w:rPr>
            </w:pPr>
          </w:p>
        </w:tc>
        <w:tc>
          <w:tcPr>
            <w:tcW w:w="3118" w:type="dxa"/>
            <w:shd w:val="clear" w:color="auto" w:fill="auto"/>
          </w:tcPr>
          <w:p w14:paraId="36FDE9F0" w14:textId="77777777" w:rsidR="00C7239A" w:rsidRDefault="00C7239A" w:rsidP="00104785">
            <w:pPr>
              <w:rPr>
                <w:color w:val="000000" w:themeColor="text1"/>
              </w:rPr>
            </w:pPr>
            <w:r>
              <w:rPr>
                <w:rFonts w:cstheme="minorHAnsi"/>
                <w:color w:val="0070C0"/>
              </w:rPr>
              <w:t>Ruta de aprendizaje</w:t>
            </w:r>
          </w:p>
          <w:p w14:paraId="460471D5" w14:textId="77777777" w:rsidR="00C7239A" w:rsidRPr="00585267" w:rsidRDefault="00C7239A" w:rsidP="00104785">
            <w:pPr>
              <w:rPr>
                <w:color w:val="0070C0"/>
              </w:rPr>
            </w:pPr>
            <w:proofErr w:type="spellStart"/>
            <w:r w:rsidRPr="0016295D">
              <w:rPr>
                <w:color w:val="000000" w:themeColor="text1"/>
              </w:rPr>
              <w:t>Arens</w:t>
            </w:r>
            <w:proofErr w:type="spellEnd"/>
            <w:r w:rsidRPr="0016295D">
              <w:rPr>
                <w:color w:val="000000" w:themeColor="text1"/>
              </w:rPr>
              <w:t xml:space="preserve">, Eduardo. “Estructuración de la sociedad grecorromana”, “Los esclavos”, “Vida en las ciudades”. En </w:t>
            </w:r>
            <w:r w:rsidRPr="0016295D">
              <w:rPr>
                <w:i/>
                <w:color w:val="000000" w:themeColor="text1"/>
              </w:rPr>
              <w:t xml:space="preserve">Asia Menor en tiempos de Pablo, Lucas y Juan: aspectos sociales y económicos para la comprensión del Nuevo Testamento, </w:t>
            </w:r>
            <w:r w:rsidRPr="0016295D">
              <w:rPr>
                <w:color w:val="000000" w:themeColor="text1"/>
              </w:rPr>
              <w:t>52-58, 68-91 y 111-136.</w:t>
            </w:r>
            <w:r w:rsidRPr="0016295D">
              <w:rPr>
                <w:i/>
                <w:color w:val="000000" w:themeColor="text1"/>
              </w:rPr>
              <w:t xml:space="preserve"> </w:t>
            </w:r>
            <w:r w:rsidRPr="0016295D">
              <w:rPr>
                <w:color w:val="000000" w:themeColor="text1"/>
              </w:rPr>
              <w:t>Córdoba: El Almendro, 1995.</w:t>
            </w:r>
            <w:r>
              <w:rPr>
                <w:color w:val="000000" w:themeColor="text1"/>
              </w:rPr>
              <w:t xml:space="preserve"> </w:t>
            </w:r>
            <w:r w:rsidRPr="00585267">
              <w:rPr>
                <w:color w:val="0070C0"/>
              </w:rPr>
              <w:t>(Clásico, última edición)</w:t>
            </w:r>
          </w:p>
          <w:p w14:paraId="338FC375" w14:textId="77777777" w:rsidR="00C7239A" w:rsidRDefault="00C7239A" w:rsidP="00104785">
            <w:pPr>
              <w:rPr>
                <w:rFonts w:cstheme="minorHAnsi"/>
                <w:b/>
                <w:color w:val="0070C0"/>
              </w:rPr>
            </w:pPr>
            <w:r w:rsidRPr="00E54586">
              <w:rPr>
                <w:rFonts w:cstheme="minorHAnsi"/>
                <w:b/>
                <w:color w:val="0070C0"/>
              </w:rPr>
              <w:t>Material complementario</w:t>
            </w:r>
          </w:p>
          <w:p w14:paraId="2D4A397F" w14:textId="77777777" w:rsidR="00C7239A" w:rsidRDefault="00C7239A" w:rsidP="00104785">
            <w:pPr>
              <w:rPr>
                <w:rFonts w:cstheme="minorHAnsi"/>
                <w:bCs/>
                <w:color w:val="0070C0"/>
              </w:rPr>
            </w:pPr>
            <w:r>
              <w:rPr>
                <w:rFonts w:cstheme="minorHAnsi"/>
                <w:bCs/>
                <w:color w:val="0070C0"/>
              </w:rPr>
              <w:t xml:space="preserve">Guía para la participación mediante la herramienta Big </w:t>
            </w:r>
            <w:r>
              <w:rPr>
                <w:rFonts w:cstheme="minorHAnsi"/>
                <w:bCs/>
                <w:color w:val="0070C0"/>
              </w:rPr>
              <w:lastRenderedPageBreak/>
              <w:t xml:space="preserve">Blue </w:t>
            </w:r>
            <w:proofErr w:type="spellStart"/>
            <w:r>
              <w:rPr>
                <w:rFonts w:cstheme="minorHAnsi"/>
                <w:bCs/>
                <w:color w:val="0070C0"/>
              </w:rPr>
              <w:t>Button</w:t>
            </w:r>
            <w:proofErr w:type="spellEnd"/>
            <w:r>
              <w:rPr>
                <w:rFonts w:cstheme="minorHAnsi"/>
                <w:bCs/>
                <w:color w:val="0070C0"/>
              </w:rPr>
              <w:t xml:space="preserve"> en la plataforma Moodle</w:t>
            </w:r>
          </w:p>
          <w:p w14:paraId="138C7663" w14:textId="77777777" w:rsidR="00C7239A" w:rsidRPr="0016295D" w:rsidRDefault="00C7239A" w:rsidP="00104785">
            <w:pPr>
              <w:rPr>
                <w:rFonts w:cstheme="minorHAnsi"/>
                <w:color w:val="000000" w:themeColor="text1"/>
              </w:rPr>
            </w:pPr>
            <w:r>
              <w:rPr>
                <w:rFonts w:cstheme="minorHAnsi"/>
                <w:bCs/>
                <w:color w:val="0070C0"/>
              </w:rPr>
              <w:t>Guía para la participación en un foro en la plataforma Moodle</w:t>
            </w:r>
          </w:p>
        </w:tc>
        <w:tc>
          <w:tcPr>
            <w:tcW w:w="3261" w:type="dxa"/>
            <w:shd w:val="clear" w:color="auto" w:fill="auto"/>
          </w:tcPr>
          <w:p w14:paraId="0EA65EC1"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lastRenderedPageBreak/>
              <w:t>Realizar la lectura de la sesión.</w:t>
            </w:r>
          </w:p>
          <w:p w14:paraId="1F8DBABA"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Del movimiento de Jesús a la iglesia cristiana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p w14:paraId="1B413648"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Participación en el foro temático grupal: Trabajo con textos bíblicos.</w:t>
            </w:r>
          </w:p>
          <w:p w14:paraId="2FCC314A" w14:textId="77777777" w:rsidR="00C7239A"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Respuesta docente al trabajo grupal en el foro.</w:t>
            </w:r>
          </w:p>
          <w:p w14:paraId="478BA226" w14:textId="77777777" w:rsidR="00C7239A" w:rsidRPr="0016295D" w:rsidRDefault="00C7239A" w:rsidP="00104785">
            <w:pPr>
              <w:ind w:left="227"/>
              <w:rPr>
                <w:rFonts w:cstheme="minorHAnsi"/>
                <w:color w:val="000000" w:themeColor="text1"/>
              </w:rPr>
            </w:pPr>
          </w:p>
        </w:tc>
      </w:tr>
      <w:tr w:rsidR="00C7239A" w:rsidRPr="0016295D" w14:paraId="644D165A" w14:textId="77777777" w:rsidTr="00104785">
        <w:trPr>
          <w:jc w:val="center"/>
        </w:trPr>
        <w:tc>
          <w:tcPr>
            <w:tcW w:w="1271" w:type="dxa"/>
            <w:shd w:val="clear" w:color="auto" w:fill="auto"/>
          </w:tcPr>
          <w:p w14:paraId="526CE05D" w14:textId="77777777" w:rsidR="00C7239A" w:rsidRPr="0016295D" w:rsidRDefault="00C7239A" w:rsidP="00104785">
            <w:pPr>
              <w:jc w:val="center"/>
              <w:rPr>
                <w:rFonts w:cstheme="minorHAnsi"/>
              </w:rPr>
            </w:pPr>
            <w:r w:rsidRPr="0016295D">
              <w:rPr>
                <w:rFonts w:cstheme="minorHAnsi"/>
              </w:rPr>
              <w:t>3</w:t>
            </w:r>
          </w:p>
          <w:p w14:paraId="35E82D99" w14:textId="77777777" w:rsidR="00C7239A" w:rsidRPr="0016295D" w:rsidRDefault="00C7239A" w:rsidP="00104785">
            <w:pPr>
              <w:jc w:val="center"/>
              <w:rPr>
                <w:rFonts w:cstheme="minorHAnsi"/>
                <w:color w:val="FF0000"/>
              </w:rPr>
            </w:pPr>
          </w:p>
          <w:p w14:paraId="272A09F2" w14:textId="77777777" w:rsidR="00C7239A" w:rsidRPr="0016295D" w:rsidRDefault="00C7239A" w:rsidP="00104785">
            <w:pPr>
              <w:jc w:val="center"/>
              <w:rPr>
                <w:rFonts w:cstheme="minorHAnsi"/>
                <w:color w:val="FF0000"/>
              </w:rPr>
            </w:pPr>
          </w:p>
        </w:tc>
        <w:tc>
          <w:tcPr>
            <w:tcW w:w="2410" w:type="dxa"/>
            <w:shd w:val="clear" w:color="auto" w:fill="auto"/>
          </w:tcPr>
          <w:p w14:paraId="12CC47B5" w14:textId="77777777" w:rsidR="00C7239A" w:rsidRPr="00665911" w:rsidRDefault="00C7239A" w:rsidP="00104785">
            <w:pPr>
              <w:rPr>
                <w:rFonts w:cstheme="minorHAnsi"/>
                <w:b/>
                <w:bCs/>
              </w:rPr>
            </w:pPr>
            <w:r w:rsidRPr="00665911">
              <w:rPr>
                <w:rFonts w:cstheme="minorHAnsi"/>
                <w:b/>
                <w:bCs/>
              </w:rPr>
              <w:t>Unidad 2: Ejes teológicos de las cartas paulinas y de la escuela paulina</w:t>
            </w:r>
          </w:p>
          <w:p w14:paraId="41E7A679" w14:textId="77777777" w:rsidR="00C7239A" w:rsidRPr="008E7062" w:rsidRDefault="00C7239A" w:rsidP="00104785">
            <w:pPr>
              <w:rPr>
                <w:rFonts w:cstheme="minorHAnsi"/>
              </w:rPr>
            </w:pPr>
            <w:r w:rsidRPr="008E7062">
              <w:rPr>
                <w:rFonts w:cstheme="minorHAnsi"/>
              </w:rPr>
              <w:t>2.1 El papel de las cartas paulinas: ejes teológicos</w:t>
            </w:r>
          </w:p>
          <w:p w14:paraId="6EEA40E1" w14:textId="77777777" w:rsidR="00C7239A" w:rsidRPr="00B612DC" w:rsidRDefault="00C7239A" w:rsidP="00104785">
            <w:pPr>
              <w:rPr>
                <w:rFonts w:cstheme="minorHAnsi"/>
                <w:color w:val="FF0000"/>
              </w:rPr>
            </w:pPr>
            <w:r w:rsidRPr="008E7062">
              <w:rPr>
                <w:rFonts w:cstheme="minorHAnsi"/>
              </w:rPr>
              <w:t>2.2 La escuela paulina</w:t>
            </w:r>
          </w:p>
        </w:tc>
        <w:tc>
          <w:tcPr>
            <w:tcW w:w="3118" w:type="dxa"/>
            <w:shd w:val="clear" w:color="auto" w:fill="auto"/>
          </w:tcPr>
          <w:p w14:paraId="2BC7D82C" w14:textId="77777777" w:rsidR="00C7239A" w:rsidRDefault="00C7239A" w:rsidP="00104785">
            <w:pPr>
              <w:rPr>
                <w:rFonts w:cstheme="minorHAnsi"/>
              </w:rPr>
            </w:pPr>
            <w:r>
              <w:rPr>
                <w:rFonts w:cstheme="minorHAnsi"/>
                <w:color w:val="0070C0"/>
              </w:rPr>
              <w:t>Ruta de aprendizaje</w:t>
            </w:r>
          </w:p>
          <w:p w14:paraId="2CBCE122" w14:textId="77777777" w:rsidR="00C7239A" w:rsidRPr="00585267" w:rsidRDefault="00C7239A" w:rsidP="00104785">
            <w:pPr>
              <w:rPr>
                <w:rFonts w:cstheme="minorHAnsi"/>
                <w:bCs/>
                <w:color w:val="0070C0"/>
              </w:rPr>
            </w:pPr>
            <w:r w:rsidRPr="0016295D">
              <w:rPr>
                <w:rFonts w:cstheme="minorHAnsi"/>
              </w:rPr>
              <w:t xml:space="preserve">Vouga, </w:t>
            </w:r>
            <w:proofErr w:type="spellStart"/>
            <w:r w:rsidRPr="0016295D">
              <w:rPr>
                <w:rFonts w:cstheme="minorHAnsi"/>
              </w:rPr>
              <w:t>Francois</w:t>
            </w:r>
            <w:proofErr w:type="spellEnd"/>
            <w:r w:rsidRPr="0016295D">
              <w:rPr>
                <w:rFonts w:cstheme="minorHAnsi"/>
              </w:rPr>
              <w:t xml:space="preserve">. “El corpus paulino”. </w:t>
            </w:r>
            <w:r w:rsidRPr="0016295D">
              <w:rPr>
                <w:rFonts w:cstheme="minorHAnsi"/>
                <w:bCs/>
                <w:color w:val="000000" w:themeColor="text1"/>
              </w:rPr>
              <w:t xml:space="preserve">En </w:t>
            </w:r>
            <w:r w:rsidRPr="0016295D">
              <w:rPr>
                <w:rFonts w:cstheme="minorHAnsi"/>
                <w:bCs/>
                <w:i/>
                <w:color w:val="000000" w:themeColor="text1"/>
              </w:rPr>
              <w:t xml:space="preserve">Introducción al Nuevo Testamento: su historia, su escritura, su teología, </w:t>
            </w:r>
            <w:r w:rsidRPr="0016295D">
              <w:rPr>
                <w:rFonts w:cstheme="minorHAnsi"/>
                <w:bCs/>
                <w:color w:val="000000" w:themeColor="text1"/>
              </w:rPr>
              <w:t xml:space="preserve">editado por Daniel </w:t>
            </w:r>
            <w:proofErr w:type="spellStart"/>
            <w:r w:rsidRPr="0016295D">
              <w:rPr>
                <w:rFonts w:cstheme="minorHAnsi"/>
                <w:bCs/>
                <w:color w:val="000000" w:themeColor="text1"/>
              </w:rPr>
              <w:t>Marguerat</w:t>
            </w:r>
            <w:proofErr w:type="spellEnd"/>
            <w:r w:rsidRPr="0016295D">
              <w:rPr>
                <w:rFonts w:cstheme="minorHAnsi"/>
                <w:bCs/>
                <w:color w:val="000000" w:themeColor="text1"/>
              </w:rPr>
              <w:t xml:space="preserve">, 139-146. Bilbao: </w:t>
            </w:r>
            <w:proofErr w:type="spellStart"/>
            <w:r w:rsidRPr="0016295D">
              <w:rPr>
                <w:rFonts w:cstheme="minorHAnsi"/>
                <w:bCs/>
                <w:color w:val="000000" w:themeColor="text1"/>
              </w:rPr>
              <w:t>Desclee</w:t>
            </w:r>
            <w:proofErr w:type="spellEnd"/>
            <w:r w:rsidRPr="0016295D">
              <w:rPr>
                <w:rFonts w:cstheme="minorHAnsi"/>
                <w:bCs/>
                <w:color w:val="000000" w:themeColor="text1"/>
              </w:rPr>
              <w:t xml:space="preserve"> de Brouwer, 2008.</w:t>
            </w:r>
            <w:r>
              <w:rPr>
                <w:rFonts w:cstheme="minorHAnsi"/>
                <w:bCs/>
                <w:color w:val="000000" w:themeColor="text1"/>
              </w:rPr>
              <w:t xml:space="preserve"> </w:t>
            </w:r>
            <w:r w:rsidRPr="00585267">
              <w:rPr>
                <w:rFonts w:cstheme="minorHAnsi"/>
                <w:bCs/>
                <w:color w:val="0070C0"/>
              </w:rPr>
              <w:t>(clásico, última edición)</w:t>
            </w:r>
          </w:p>
          <w:p w14:paraId="6515A453" w14:textId="77777777" w:rsidR="00C7239A" w:rsidRPr="0016295D" w:rsidRDefault="00C7239A" w:rsidP="00104785">
            <w:pPr>
              <w:rPr>
                <w:rFonts w:cstheme="minorHAnsi"/>
                <w:b/>
                <w:bCs/>
                <w:color w:val="000000" w:themeColor="text1"/>
              </w:rPr>
            </w:pPr>
            <w:r w:rsidRPr="0016295D">
              <w:rPr>
                <w:rFonts w:cstheme="minorHAnsi"/>
                <w:b/>
                <w:bCs/>
                <w:color w:val="000000" w:themeColor="text1"/>
              </w:rPr>
              <w:t>Material complementario</w:t>
            </w:r>
          </w:p>
          <w:p w14:paraId="0A4DEF3A" w14:textId="77777777" w:rsidR="00C7239A" w:rsidRPr="0016295D" w:rsidRDefault="00C7239A" w:rsidP="00104785">
            <w:pPr>
              <w:rPr>
                <w:rFonts w:cstheme="minorHAnsi"/>
              </w:rPr>
            </w:pPr>
            <w:r w:rsidRPr="0016295D">
              <w:rPr>
                <w:rFonts w:cstheme="minorHAnsi"/>
                <w:bCs/>
              </w:rPr>
              <w:t xml:space="preserve">Liceaga, Gabriel. “San Pablo en la filosofía política contemporánea: un estado de la cuestión”. </w:t>
            </w:r>
            <w:r w:rsidRPr="0016295D">
              <w:rPr>
                <w:rFonts w:cstheme="minorHAnsi"/>
                <w:bCs/>
                <w:i/>
              </w:rPr>
              <w:t>Realidad: Revista De Ciencias Sociales y Humanidades</w:t>
            </w:r>
            <w:r w:rsidRPr="0016295D">
              <w:rPr>
                <w:rFonts w:cstheme="minorHAnsi"/>
                <w:bCs/>
              </w:rPr>
              <w:t xml:space="preserve">, n. 121 (2009): 471-485. Acceso el 17 de diciembre de 2020. </w:t>
            </w:r>
            <w:hyperlink r:id="rId197" w:history="1">
              <w:r w:rsidRPr="0016295D">
                <w:rPr>
                  <w:rStyle w:val="Hipervnculo"/>
                  <w:rFonts w:cstheme="minorHAnsi"/>
                  <w:shd w:val="clear" w:color="auto" w:fill="FFFFFF"/>
                </w:rPr>
                <w:t>https://doi.org/10.5377/realidad.v0i121.3322</w:t>
              </w:r>
            </w:hyperlink>
          </w:p>
          <w:p w14:paraId="6ADF4D33" w14:textId="77777777" w:rsidR="00C7239A" w:rsidRDefault="00C7239A" w:rsidP="00104785">
            <w:pPr>
              <w:rPr>
                <w:rFonts w:cstheme="minorHAnsi"/>
                <w:color w:val="000000" w:themeColor="text1"/>
              </w:rPr>
            </w:pPr>
          </w:p>
          <w:p w14:paraId="13A18229" w14:textId="77777777" w:rsidR="00C7239A" w:rsidRDefault="00C7239A" w:rsidP="00104785">
            <w:pPr>
              <w:rPr>
                <w:rFonts w:cstheme="minorHAnsi"/>
                <w:color w:val="0070C0"/>
              </w:rPr>
            </w:pPr>
            <w:r>
              <w:rPr>
                <w:rFonts w:cstheme="minorHAnsi"/>
                <w:color w:val="0070C0"/>
              </w:rPr>
              <w:t>Guía para la elaboración de una reseña crítica de lectura</w:t>
            </w:r>
          </w:p>
          <w:p w14:paraId="360B1046" w14:textId="77777777" w:rsidR="00C7239A" w:rsidRDefault="00C7239A" w:rsidP="00104785">
            <w:pPr>
              <w:rPr>
                <w:rFonts w:cstheme="minorHAnsi"/>
                <w:color w:val="0070C0"/>
              </w:rPr>
            </w:pPr>
          </w:p>
          <w:p w14:paraId="617C1BCE" w14:textId="77777777" w:rsidR="00C7239A" w:rsidRDefault="00C7239A" w:rsidP="00104785">
            <w:pPr>
              <w:rPr>
                <w:rFonts w:cstheme="minorHAnsi"/>
                <w:color w:val="0070C0"/>
              </w:rPr>
            </w:pPr>
            <w:r>
              <w:rPr>
                <w:rFonts w:cstheme="minorHAnsi"/>
                <w:color w:val="0070C0"/>
              </w:rPr>
              <w:t xml:space="preserve">Guía para la participación mediante la herramienta Big Blue </w:t>
            </w:r>
            <w:proofErr w:type="spellStart"/>
            <w:r>
              <w:rPr>
                <w:rFonts w:cstheme="minorHAnsi"/>
                <w:color w:val="0070C0"/>
              </w:rPr>
              <w:t>Button</w:t>
            </w:r>
            <w:proofErr w:type="spellEnd"/>
            <w:r>
              <w:rPr>
                <w:rFonts w:cstheme="minorHAnsi"/>
                <w:color w:val="0070C0"/>
              </w:rPr>
              <w:t xml:space="preserve"> en la plataforma Moodle</w:t>
            </w:r>
          </w:p>
          <w:p w14:paraId="71438786" w14:textId="77777777" w:rsidR="00C7239A" w:rsidRPr="00B70EC7" w:rsidRDefault="00C7239A" w:rsidP="00104785">
            <w:pPr>
              <w:rPr>
                <w:rFonts w:cstheme="minorHAnsi"/>
                <w:color w:val="0070C0"/>
              </w:rPr>
            </w:pPr>
          </w:p>
        </w:tc>
        <w:tc>
          <w:tcPr>
            <w:tcW w:w="3261" w:type="dxa"/>
            <w:shd w:val="clear" w:color="auto" w:fill="auto"/>
          </w:tcPr>
          <w:p w14:paraId="46B309C7"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 lectura de la sesión.</w:t>
            </w:r>
          </w:p>
          <w:p w14:paraId="5D8AF8EC"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una reseña crítica de la lectura.</w:t>
            </w:r>
          </w:p>
          <w:p w14:paraId="377C6993"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Corpus paulino y discusión grupal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p w14:paraId="3AEAFF33" w14:textId="77777777" w:rsidR="00C7239A" w:rsidRPr="0016295D" w:rsidRDefault="00C7239A" w:rsidP="00104785">
            <w:pPr>
              <w:ind w:left="227"/>
              <w:rPr>
                <w:rFonts w:cstheme="minorHAnsi"/>
                <w:color w:val="000000" w:themeColor="text1"/>
              </w:rPr>
            </w:pPr>
          </w:p>
        </w:tc>
      </w:tr>
      <w:tr w:rsidR="00C7239A" w:rsidRPr="0016295D" w14:paraId="15767AED" w14:textId="77777777" w:rsidTr="00104785">
        <w:trPr>
          <w:jc w:val="center"/>
        </w:trPr>
        <w:tc>
          <w:tcPr>
            <w:tcW w:w="1271" w:type="dxa"/>
            <w:shd w:val="clear" w:color="auto" w:fill="auto"/>
          </w:tcPr>
          <w:p w14:paraId="7C5F57D4" w14:textId="77777777" w:rsidR="00C7239A" w:rsidRPr="0016295D" w:rsidRDefault="00C7239A" w:rsidP="00104785">
            <w:pPr>
              <w:jc w:val="center"/>
              <w:rPr>
                <w:rFonts w:cstheme="minorHAnsi"/>
              </w:rPr>
            </w:pPr>
            <w:r w:rsidRPr="0016295D">
              <w:rPr>
                <w:rFonts w:cstheme="minorHAnsi"/>
              </w:rPr>
              <w:t>4</w:t>
            </w:r>
          </w:p>
          <w:p w14:paraId="70B957C0" w14:textId="77777777" w:rsidR="00C7239A" w:rsidRPr="0016295D" w:rsidRDefault="00C7239A" w:rsidP="00104785">
            <w:pPr>
              <w:jc w:val="center"/>
              <w:rPr>
                <w:rFonts w:cstheme="minorHAnsi"/>
                <w:color w:val="FF0000"/>
              </w:rPr>
            </w:pPr>
          </w:p>
          <w:p w14:paraId="116844C8" w14:textId="77777777" w:rsidR="00C7239A" w:rsidRPr="0016295D" w:rsidRDefault="00C7239A" w:rsidP="00104785">
            <w:pPr>
              <w:jc w:val="center"/>
              <w:rPr>
                <w:rFonts w:cstheme="minorHAnsi"/>
                <w:color w:val="FF0000"/>
              </w:rPr>
            </w:pPr>
          </w:p>
        </w:tc>
        <w:tc>
          <w:tcPr>
            <w:tcW w:w="2410" w:type="dxa"/>
            <w:shd w:val="clear" w:color="auto" w:fill="auto"/>
          </w:tcPr>
          <w:p w14:paraId="68237303" w14:textId="77777777" w:rsidR="00C7239A" w:rsidRPr="00665911" w:rsidRDefault="00C7239A" w:rsidP="00104785">
            <w:pPr>
              <w:rPr>
                <w:rFonts w:cstheme="minorHAnsi"/>
                <w:b/>
              </w:rPr>
            </w:pPr>
            <w:r w:rsidRPr="00665911">
              <w:rPr>
                <w:rFonts w:cstheme="minorHAnsi"/>
                <w:b/>
              </w:rPr>
              <w:t>Unidad 3: Conflicto y consolidación de las iglesias: el papel de las cartas</w:t>
            </w:r>
          </w:p>
          <w:p w14:paraId="3300296F" w14:textId="77777777" w:rsidR="00C7239A" w:rsidRPr="0016295D" w:rsidRDefault="00C7239A" w:rsidP="00104785">
            <w:pPr>
              <w:rPr>
                <w:rFonts w:cstheme="minorHAnsi"/>
              </w:rPr>
            </w:pPr>
            <w:r w:rsidRPr="008E04EB">
              <w:rPr>
                <w:rFonts w:cstheme="minorHAnsi"/>
                <w:bCs/>
              </w:rPr>
              <w:lastRenderedPageBreak/>
              <w:t>3.1 1 Tesalonicenses, Gálatas y Filipenses</w:t>
            </w:r>
          </w:p>
        </w:tc>
        <w:tc>
          <w:tcPr>
            <w:tcW w:w="3118" w:type="dxa"/>
            <w:shd w:val="clear" w:color="auto" w:fill="auto"/>
          </w:tcPr>
          <w:p w14:paraId="28425E05" w14:textId="77777777" w:rsidR="00C7239A" w:rsidRDefault="00C7239A" w:rsidP="00104785">
            <w:pPr>
              <w:rPr>
                <w:rFonts w:cstheme="minorHAnsi"/>
                <w:color w:val="000000" w:themeColor="text1"/>
              </w:rPr>
            </w:pPr>
            <w:r>
              <w:rPr>
                <w:rFonts w:cstheme="minorHAnsi"/>
                <w:color w:val="0070C0"/>
              </w:rPr>
              <w:lastRenderedPageBreak/>
              <w:t>Ruta de aprendizaje</w:t>
            </w:r>
          </w:p>
          <w:p w14:paraId="151D9F5D" w14:textId="77777777" w:rsidR="00C7239A" w:rsidRDefault="00C7239A" w:rsidP="00104785">
            <w:pPr>
              <w:rPr>
                <w:rFonts w:cstheme="minorHAnsi"/>
                <w:color w:val="000000" w:themeColor="text1"/>
              </w:rPr>
            </w:pPr>
            <w:r w:rsidRPr="0016295D">
              <w:rPr>
                <w:rFonts w:cstheme="minorHAnsi"/>
                <w:color w:val="000000" w:themeColor="text1"/>
              </w:rPr>
              <w:t xml:space="preserve">White, Michael. “El primer recorrido (49-51 d.C.): 1 Tesalonicenses”, “Éfeso (54-56 d.C.): cartas desde la prisión </w:t>
            </w:r>
            <w:r w:rsidRPr="0016295D">
              <w:rPr>
                <w:rFonts w:cstheme="minorHAnsi"/>
                <w:color w:val="000000" w:themeColor="text1"/>
              </w:rPr>
              <w:lastRenderedPageBreak/>
              <w:t xml:space="preserve">(Filipenses y Filemón), “Éfeso (55-57 d.C.): aumenta la oposición (Gálatas y Corintios). En </w:t>
            </w:r>
            <w:r w:rsidRPr="0016295D">
              <w:rPr>
                <w:rFonts w:cstheme="minorHAnsi"/>
                <w:i/>
                <w:color w:val="000000" w:themeColor="text1"/>
              </w:rPr>
              <w:t xml:space="preserve">De Jesús al cristianismo: el Nuevo Testamento y la fe cristiana, </w:t>
            </w:r>
            <w:r w:rsidRPr="0016295D">
              <w:rPr>
                <w:rFonts w:cstheme="minorHAnsi"/>
                <w:color w:val="000000" w:themeColor="text1"/>
              </w:rPr>
              <w:t>traducción de José Pérez Escobar,</w:t>
            </w:r>
            <w:r w:rsidRPr="0016295D">
              <w:rPr>
                <w:rFonts w:cstheme="minorHAnsi"/>
                <w:i/>
                <w:color w:val="000000" w:themeColor="text1"/>
              </w:rPr>
              <w:t xml:space="preserve"> </w:t>
            </w:r>
            <w:r w:rsidRPr="0016295D">
              <w:rPr>
                <w:rFonts w:cstheme="minorHAnsi"/>
                <w:color w:val="000000" w:themeColor="text1"/>
              </w:rPr>
              <w:t>221-225 y 236-255.</w:t>
            </w:r>
            <w:r w:rsidRPr="0016295D">
              <w:rPr>
                <w:rFonts w:cstheme="minorHAnsi"/>
                <w:i/>
                <w:color w:val="000000" w:themeColor="text1"/>
              </w:rPr>
              <w:t xml:space="preserve"> </w:t>
            </w:r>
            <w:r w:rsidRPr="0016295D">
              <w:rPr>
                <w:rFonts w:cstheme="minorHAnsi"/>
                <w:color w:val="000000" w:themeColor="text1"/>
              </w:rPr>
              <w:t>Estella: Verbo Divino, 2007.</w:t>
            </w:r>
            <w:r>
              <w:rPr>
                <w:rFonts w:cstheme="minorHAnsi"/>
                <w:color w:val="000000" w:themeColor="text1"/>
              </w:rPr>
              <w:t xml:space="preserve"> </w:t>
            </w:r>
            <w:r w:rsidRPr="00D10838">
              <w:rPr>
                <w:rFonts w:cstheme="minorHAnsi"/>
                <w:color w:val="000000" w:themeColor="text1"/>
              </w:rPr>
              <w:t>(Clásico</w:t>
            </w:r>
            <w:r>
              <w:rPr>
                <w:rFonts w:cstheme="minorHAnsi"/>
                <w:color w:val="000000" w:themeColor="text1"/>
              </w:rPr>
              <w:t xml:space="preserve">, </w:t>
            </w:r>
            <w:r w:rsidRPr="00D64E09">
              <w:rPr>
                <w:rFonts w:cstheme="minorHAnsi"/>
                <w:color w:val="0070C0"/>
              </w:rPr>
              <w:t xml:space="preserve">última </w:t>
            </w:r>
            <w:r>
              <w:rPr>
                <w:rFonts w:cstheme="minorHAnsi"/>
                <w:color w:val="0070C0"/>
              </w:rPr>
              <w:t>reimpresión</w:t>
            </w:r>
            <w:r w:rsidRPr="00D64E09">
              <w:rPr>
                <w:rFonts w:cstheme="minorHAnsi"/>
                <w:color w:val="0070C0"/>
              </w:rPr>
              <w:t xml:space="preserve"> 2014</w:t>
            </w:r>
            <w:r w:rsidRPr="00D10838">
              <w:rPr>
                <w:rFonts w:cstheme="minorHAnsi"/>
                <w:color w:val="000000" w:themeColor="text1"/>
              </w:rPr>
              <w:t>)</w:t>
            </w:r>
          </w:p>
          <w:p w14:paraId="2C777972" w14:textId="77777777" w:rsidR="00C7239A" w:rsidRDefault="00C7239A" w:rsidP="00104785">
            <w:pPr>
              <w:rPr>
                <w:rFonts w:cstheme="minorHAnsi"/>
                <w:color w:val="000000" w:themeColor="text1"/>
              </w:rPr>
            </w:pPr>
            <w:r w:rsidRPr="00E54586">
              <w:rPr>
                <w:rFonts w:cstheme="minorHAnsi"/>
                <w:b/>
                <w:color w:val="0070C0"/>
              </w:rPr>
              <w:t>Material complementario</w:t>
            </w:r>
            <w:r w:rsidRPr="0016295D">
              <w:rPr>
                <w:rFonts w:cstheme="minorHAnsi"/>
                <w:color w:val="000000" w:themeColor="text1"/>
              </w:rPr>
              <w:t xml:space="preserve"> </w:t>
            </w:r>
          </w:p>
          <w:p w14:paraId="7E7AC8E7" w14:textId="77777777" w:rsidR="00C7239A" w:rsidRDefault="00C7239A" w:rsidP="00104785">
            <w:pPr>
              <w:rPr>
                <w:rFonts w:cstheme="minorHAnsi"/>
                <w:color w:val="0070C0"/>
              </w:rPr>
            </w:pPr>
            <w:r>
              <w:rPr>
                <w:rFonts w:cstheme="minorHAnsi"/>
                <w:color w:val="0070C0"/>
              </w:rPr>
              <w:t>Guía para la elaboración de una reseña crítica de lectura</w:t>
            </w:r>
          </w:p>
          <w:p w14:paraId="477A327D" w14:textId="77777777" w:rsidR="00C7239A" w:rsidRDefault="00C7239A" w:rsidP="00104785">
            <w:pPr>
              <w:rPr>
                <w:rFonts w:cstheme="minorHAnsi"/>
                <w:color w:val="0070C0"/>
              </w:rPr>
            </w:pPr>
            <w:r>
              <w:rPr>
                <w:rFonts w:cstheme="minorHAnsi"/>
                <w:color w:val="0070C0"/>
              </w:rPr>
              <w:t xml:space="preserve">Guía para la participación mediante la herramienta Big Blue </w:t>
            </w:r>
            <w:proofErr w:type="spellStart"/>
            <w:r>
              <w:rPr>
                <w:rFonts w:cstheme="minorHAnsi"/>
                <w:color w:val="0070C0"/>
              </w:rPr>
              <w:t>Button</w:t>
            </w:r>
            <w:proofErr w:type="spellEnd"/>
            <w:r>
              <w:rPr>
                <w:rFonts w:cstheme="minorHAnsi"/>
                <w:color w:val="0070C0"/>
              </w:rPr>
              <w:t xml:space="preserve"> en la plataforma Moodle</w:t>
            </w:r>
          </w:p>
          <w:p w14:paraId="35EFC6E5" w14:textId="77777777" w:rsidR="00C7239A" w:rsidRPr="0048242B" w:rsidRDefault="00C7239A" w:rsidP="00104785">
            <w:pPr>
              <w:rPr>
                <w:rFonts w:cstheme="minorHAnsi"/>
                <w:color w:val="0070C0"/>
              </w:rPr>
            </w:pPr>
            <w:r>
              <w:rPr>
                <w:rFonts w:cstheme="minorHAnsi"/>
                <w:color w:val="0070C0"/>
              </w:rPr>
              <w:t>Guía para la participación en un foro en la plataforma Moodle</w:t>
            </w:r>
          </w:p>
          <w:p w14:paraId="4AADFEBB" w14:textId="77777777" w:rsidR="00C7239A" w:rsidRPr="0016295D" w:rsidRDefault="00C7239A" w:rsidP="00104785">
            <w:pPr>
              <w:rPr>
                <w:rFonts w:cstheme="minorHAnsi"/>
                <w:color w:val="000000" w:themeColor="text1"/>
              </w:rPr>
            </w:pPr>
          </w:p>
        </w:tc>
        <w:tc>
          <w:tcPr>
            <w:tcW w:w="3261" w:type="dxa"/>
            <w:shd w:val="clear" w:color="auto" w:fill="auto"/>
          </w:tcPr>
          <w:p w14:paraId="101226FA"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lastRenderedPageBreak/>
              <w:t>Realizar la lectura de la sesión.</w:t>
            </w:r>
          </w:p>
          <w:p w14:paraId="236DEC89"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Elaboración de una reseña crítica de la lectura. </w:t>
            </w:r>
          </w:p>
          <w:p w14:paraId="4B180196"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Exposición docente: Perspectiva teológica de las </w:t>
            </w:r>
            <w:r w:rsidRPr="0016295D">
              <w:rPr>
                <w:rFonts w:cstheme="minorHAnsi"/>
                <w:color w:val="000000" w:themeColor="text1"/>
              </w:rPr>
              <w:lastRenderedPageBreak/>
              <w:t xml:space="preserve">cartas paulinas en un encuentro sincrónico </w:t>
            </w:r>
            <w:r>
              <w:rPr>
                <w:rFonts w:cstheme="minorHAnsi"/>
                <w:color w:val="000000" w:themeColor="text1"/>
              </w:rPr>
              <w:t>virtual (formativo)</w:t>
            </w:r>
            <w:r w:rsidRPr="0016295D">
              <w:rPr>
                <w:rFonts w:cstheme="minorHAnsi"/>
                <w:color w:val="000000" w:themeColor="text1"/>
              </w:rPr>
              <w:t>.</w:t>
            </w:r>
          </w:p>
          <w:p w14:paraId="7301ABB5"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Participación en el foro temático grupal: Trabajo con textos bíblicos. </w:t>
            </w:r>
          </w:p>
          <w:p w14:paraId="22254541" w14:textId="77777777" w:rsidR="00C7239A"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Respuesta docente al trabajo grupal en el foro.</w:t>
            </w:r>
          </w:p>
          <w:p w14:paraId="0ADE83E4" w14:textId="77777777" w:rsidR="00C7239A" w:rsidRPr="0016295D" w:rsidRDefault="00C7239A" w:rsidP="00104785">
            <w:pPr>
              <w:ind w:left="227"/>
              <w:rPr>
                <w:rFonts w:cstheme="minorHAnsi"/>
                <w:color w:val="000000" w:themeColor="text1"/>
              </w:rPr>
            </w:pPr>
          </w:p>
        </w:tc>
      </w:tr>
      <w:tr w:rsidR="00C7239A" w:rsidRPr="0016295D" w14:paraId="2F37B697" w14:textId="77777777" w:rsidTr="00104785">
        <w:trPr>
          <w:jc w:val="center"/>
        </w:trPr>
        <w:tc>
          <w:tcPr>
            <w:tcW w:w="1271" w:type="dxa"/>
            <w:shd w:val="clear" w:color="auto" w:fill="auto"/>
          </w:tcPr>
          <w:p w14:paraId="7D56994E" w14:textId="77777777" w:rsidR="00C7239A" w:rsidRPr="0016295D" w:rsidRDefault="00C7239A" w:rsidP="00104785">
            <w:pPr>
              <w:jc w:val="center"/>
              <w:rPr>
                <w:rFonts w:cstheme="minorHAnsi"/>
              </w:rPr>
            </w:pPr>
            <w:r w:rsidRPr="0016295D">
              <w:rPr>
                <w:rFonts w:cstheme="minorHAnsi"/>
              </w:rPr>
              <w:lastRenderedPageBreak/>
              <w:t>5</w:t>
            </w:r>
          </w:p>
          <w:p w14:paraId="7E4442EA" w14:textId="77777777" w:rsidR="00C7239A" w:rsidRPr="0016295D" w:rsidRDefault="00C7239A" w:rsidP="00104785">
            <w:pPr>
              <w:jc w:val="center"/>
              <w:rPr>
                <w:rFonts w:cstheme="minorHAnsi"/>
                <w:color w:val="FF0000"/>
              </w:rPr>
            </w:pPr>
          </w:p>
          <w:p w14:paraId="1BC7F555" w14:textId="77777777" w:rsidR="00C7239A" w:rsidRPr="0016295D" w:rsidRDefault="00C7239A" w:rsidP="00104785">
            <w:pPr>
              <w:jc w:val="center"/>
              <w:rPr>
                <w:rFonts w:cstheme="minorHAnsi"/>
                <w:color w:val="FF0000"/>
              </w:rPr>
            </w:pPr>
          </w:p>
        </w:tc>
        <w:tc>
          <w:tcPr>
            <w:tcW w:w="2410" w:type="dxa"/>
            <w:shd w:val="clear" w:color="auto" w:fill="auto"/>
          </w:tcPr>
          <w:p w14:paraId="611B8E20" w14:textId="77777777" w:rsidR="00C7239A" w:rsidRPr="00665911" w:rsidRDefault="00C7239A" w:rsidP="00104785">
            <w:pPr>
              <w:rPr>
                <w:rFonts w:cstheme="minorHAnsi"/>
                <w:b/>
              </w:rPr>
            </w:pPr>
            <w:r w:rsidRPr="00665911">
              <w:rPr>
                <w:rFonts w:cstheme="minorHAnsi"/>
                <w:b/>
              </w:rPr>
              <w:t>Unidad 3: Conflicto y consolidación de las iglesias: el papel de las cartas</w:t>
            </w:r>
          </w:p>
          <w:p w14:paraId="79285011" w14:textId="77777777" w:rsidR="00C7239A" w:rsidRPr="0016295D" w:rsidRDefault="00C7239A" w:rsidP="00104785">
            <w:pPr>
              <w:rPr>
                <w:rFonts w:cstheme="minorHAnsi"/>
              </w:rPr>
            </w:pPr>
            <w:r w:rsidRPr="008E04EB">
              <w:rPr>
                <w:rFonts w:cstheme="minorHAnsi"/>
              </w:rPr>
              <w:t>3.2 Filemón, 1-2 Corintios y Romanos</w:t>
            </w:r>
          </w:p>
        </w:tc>
        <w:tc>
          <w:tcPr>
            <w:tcW w:w="3118" w:type="dxa"/>
            <w:shd w:val="clear" w:color="auto" w:fill="auto"/>
          </w:tcPr>
          <w:p w14:paraId="1A949257" w14:textId="77777777" w:rsidR="00C7239A" w:rsidRDefault="00C7239A" w:rsidP="00104785">
            <w:pPr>
              <w:rPr>
                <w:rFonts w:cstheme="minorHAnsi"/>
                <w:color w:val="000000" w:themeColor="text1"/>
              </w:rPr>
            </w:pPr>
            <w:r>
              <w:rPr>
                <w:rFonts w:cstheme="minorHAnsi"/>
                <w:color w:val="0070C0"/>
              </w:rPr>
              <w:t>Ruta de aprendizaje</w:t>
            </w:r>
          </w:p>
          <w:p w14:paraId="50BED850" w14:textId="77777777" w:rsidR="00C7239A" w:rsidRPr="0016295D" w:rsidRDefault="00C7239A" w:rsidP="00104785">
            <w:pPr>
              <w:rPr>
                <w:rFonts w:cstheme="minorHAnsi"/>
                <w:color w:val="000000" w:themeColor="text1"/>
              </w:rPr>
            </w:pPr>
            <w:r w:rsidRPr="0016295D">
              <w:rPr>
                <w:rFonts w:cstheme="minorHAnsi"/>
                <w:color w:val="000000" w:themeColor="text1"/>
              </w:rPr>
              <w:t xml:space="preserve">Tamez, Elsa. “Cómo entender la carta a los romanos”. </w:t>
            </w:r>
            <w:r w:rsidRPr="0016295D">
              <w:rPr>
                <w:rFonts w:cstheme="minorHAnsi"/>
                <w:i/>
                <w:color w:val="000000" w:themeColor="text1"/>
              </w:rPr>
              <w:t>RIBLA</w:t>
            </w:r>
            <w:r w:rsidRPr="0016295D">
              <w:rPr>
                <w:rFonts w:cstheme="minorHAnsi"/>
                <w:color w:val="000000" w:themeColor="text1"/>
              </w:rPr>
              <w:t xml:space="preserve">, n. 20 (1995): 75-98. </w:t>
            </w:r>
          </w:p>
          <w:p w14:paraId="447D648E" w14:textId="77777777" w:rsidR="00C7239A" w:rsidRPr="00585267" w:rsidRDefault="00C7239A" w:rsidP="00104785">
            <w:pPr>
              <w:rPr>
                <w:rFonts w:cstheme="minorHAnsi"/>
                <w:color w:val="0070C0"/>
              </w:rPr>
            </w:pPr>
            <w:r w:rsidRPr="0016295D">
              <w:rPr>
                <w:rFonts w:cstheme="minorHAnsi"/>
              </w:rPr>
              <w:t xml:space="preserve">Piñero, Antonio. “Carta a Filemón”. En </w:t>
            </w:r>
            <w:r w:rsidRPr="0016295D">
              <w:rPr>
                <w:rFonts w:cstheme="minorHAnsi"/>
                <w:i/>
              </w:rPr>
              <w:t>Guía para entender a Pablo de Tarso: Una interpretación del pensamiento paulino</w:t>
            </w:r>
            <w:r w:rsidRPr="0016295D">
              <w:rPr>
                <w:rFonts w:cstheme="minorHAnsi"/>
              </w:rPr>
              <w:t>, 439-445. Madrid: Editorial Trotta, 201</w:t>
            </w:r>
            <w:r>
              <w:rPr>
                <w:rFonts w:cstheme="minorHAnsi"/>
              </w:rPr>
              <w:t>8</w:t>
            </w:r>
            <w:r w:rsidRPr="0016295D">
              <w:rPr>
                <w:rFonts w:cstheme="minorHAnsi"/>
              </w:rPr>
              <w:t xml:space="preserve">. </w:t>
            </w:r>
            <w:r w:rsidRPr="00585267">
              <w:rPr>
                <w:rFonts w:cstheme="minorHAnsi"/>
                <w:color w:val="0070C0"/>
              </w:rPr>
              <w:t>(clásico, última edición)</w:t>
            </w:r>
          </w:p>
          <w:p w14:paraId="19878038" w14:textId="77777777" w:rsidR="00C7239A" w:rsidRPr="0016295D" w:rsidRDefault="00C7239A" w:rsidP="00104785">
            <w:pPr>
              <w:rPr>
                <w:rFonts w:cstheme="minorHAnsi"/>
                <w:b/>
              </w:rPr>
            </w:pPr>
            <w:r w:rsidRPr="0016295D">
              <w:rPr>
                <w:rFonts w:cstheme="minorHAnsi"/>
                <w:b/>
              </w:rPr>
              <w:t>Material complementario</w:t>
            </w:r>
          </w:p>
          <w:p w14:paraId="7E4E95A5" w14:textId="77777777" w:rsidR="00C7239A" w:rsidRDefault="00C7239A" w:rsidP="00104785">
            <w:pPr>
              <w:rPr>
                <w:rFonts w:cstheme="minorHAnsi"/>
                <w:bCs/>
              </w:rPr>
            </w:pPr>
            <w:r w:rsidRPr="0016295D">
              <w:rPr>
                <w:rFonts w:cstheme="minorHAnsi"/>
                <w:bCs/>
              </w:rPr>
              <w:t xml:space="preserve">Cardozo Mindiola, Cristian Daniel. “El juicio en Romanos 14, 10c-12: apuntes exegéticos y teológicos”. </w:t>
            </w:r>
            <w:r w:rsidRPr="0016295D">
              <w:rPr>
                <w:rFonts w:cstheme="minorHAnsi"/>
                <w:bCs/>
                <w:i/>
              </w:rPr>
              <w:t xml:space="preserve">Estudios bíblicos </w:t>
            </w:r>
            <w:r w:rsidRPr="0016295D">
              <w:rPr>
                <w:rFonts w:cstheme="minorHAnsi"/>
                <w:bCs/>
              </w:rPr>
              <w:t>77, Cuaderno 1 (2019): 47-63.</w:t>
            </w:r>
          </w:p>
          <w:p w14:paraId="27CFC8B7" w14:textId="77777777" w:rsidR="00C7239A" w:rsidRDefault="00C7239A" w:rsidP="00104785">
            <w:pPr>
              <w:rPr>
                <w:rFonts w:cstheme="minorHAnsi"/>
                <w:bCs/>
                <w:color w:val="0070C0"/>
              </w:rPr>
            </w:pPr>
            <w:r>
              <w:rPr>
                <w:rFonts w:cstheme="minorHAnsi"/>
                <w:bCs/>
                <w:color w:val="0070C0"/>
              </w:rPr>
              <w:lastRenderedPageBreak/>
              <w:t>Guía para la elaboración de una reseña crítica de lectura</w:t>
            </w:r>
          </w:p>
          <w:p w14:paraId="6953CC00" w14:textId="77777777" w:rsidR="00C7239A" w:rsidRDefault="00C7239A" w:rsidP="00104785">
            <w:pPr>
              <w:rPr>
                <w:rFonts w:cstheme="minorHAnsi"/>
                <w:bCs/>
                <w:color w:val="0070C0"/>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p w14:paraId="1EE1C356" w14:textId="533A652F" w:rsidR="00C7239A" w:rsidRPr="0016295D" w:rsidRDefault="00C7239A" w:rsidP="008E0715">
            <w:pPr>
              <w:rPr>
                <w:rFonts w:cstheme="minorHAnsi"/>
                <w:color w:val="000000" w:themeColor="text1"/>
              </w:rPr>
            </w:pPr>
            <w:r>
              <w:rPr>
                <w:rFonts w:cstheme="minorHAnsi"/>
                <w:bCs/>
                <w:color w:val="0070C0"/>
              </w:rPr>
              <w:t>Guía para la participación en un foro en la plataforma Moodle</w:t>
            </w:r>
          </w:p>
        </w:tc>
        <w:tc>
          <w:tcPr>
            <w:tcW w:w="3261" w:type="dxa"/>
            <w:shd w:val="clear" w:color="auto" w:fill="auto"/>
          </w:tcPr>
          <w:p w14:paraId="560F7655"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lastRenderedPageBreak/>
              <w:t>Realizar las lecturas de la sesión.</w:t>
            </w:r>
          </w:p>
          <w:p w14:paraId="2A3B8EA5"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una reseña crítica de las lecturas.</w:t>
            </w:r>
          </w:p>
          <w:p w14:paraId="49DC1BC5"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Exclusión y esclavitud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p w14:paraId="1C222784"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Participación en el foro temático grupal: La respuesta de Pablo a contextos de injusticia social, donde se realizará una discusión grupal.</w:t>
            </w:r>
          </w:p>
          <w:p w14:paraId="6552A959" w14:textId="77777777" w:rsidR="00C7239A" w:rsidRPr="0016295D" w:rsidRDefault="00C7239A" w:rsidP="00104785">
            <w:pPr>
              <w:ind w:left="227"/>
              <w:rPr>
                <w:rFonts w:cstheme="minorHAnsi"/>
                <w:color w:val="000000" w:themeColor="text1"/>
              </w:rPr>
            </w:pPr>
          </w:p>
        </w:tc>
      </w:tr>
      <w:tr w:rsidR="00C7239A" w:rsidRPr="0016295D" w14:paraId="4D477580" w14:textId="77777777" w:rsidTr="00104785">
        <w:trPr>
          <w:jc w:val="center"/>
        </w:trPr>
        <w:tc>
          <w:tcPr>
            <w:tcW w:w="1271" w:type="dxa"/>
            <w:shd w:val="clear" w:color="auto" w:fill="auto"/>
          </w:tcPr>
          <w:p w14:paraId="076490FB" w14:textId="77777777" w:rsidR="00C7239A" w:rsidRPr="0016295D" w:rsidRDefault="00C7239A" w:rsidP="00104785">
            <w:pPr>
              <w:jc w:val="center"/>
              <w:rPr>
                <w:rFonts w:cstheme="minorHAnsi"/>
              </w:rPr>
            </w:pPr>
            <w:r w:rsidRPr="0016295D">
              <w:rPr>
                <w:rFonts w:cstheme="minorHAnsi"/>
              </w:rPr>
              <w:t>6</w:t>
            </w:r>
          </w:p>
          <w:p w14:paraId="381AA3A8" w14:textId="77777777" w:rsidR="00C7239A" w:rsidRPr="0016295D" w:rsidRDefault="00C7239A" w:rsidP="00104785">
            <w:pPr>
              <w:jc w:val="center"/>
              <w:rPr>
                <w:rFonts w:cstheme="minorHAnsi"/>
                <w:color w:val="FF0000"/>
              </w:rPr>
            </w:pPr>
          </w:p>
          <w:p w14:paraId="71053FE4" w14:textId="77777777" w:rsidR="00C7239A" w:rsidRPr="0016295D" w:rsidRDefault="00C7239A" w:rsidP="00104785">
            <w:pPr>
              <w:jc w:val="center"/>
              <w:rPr>
                <w:rFonts w:cstheme="minorHAnsi"/>
                <w:color w:val="FF0000"/>
              </w:rPr>
            </w:pPr>
          </w:p>
        </w:tc>
        <w:tc>
          <w:tcPr>
            <w:tcW w:w="2410" w:type="dxa"/>
            <w:shd w:val="clear" w:color="auto" w:fill="auto"/>
          </w:tcPr>
          <w:p w14:paraId="71710230" w14:textId="77777777" w:rsidR="00C7239A" w:rsidRPr="00665911" w:rsidRDefault="00C7239A" w:rsidP="00104785">
            <w:pPr>
              <w:rPr>
                <w:rFonts w:cstheme="minorHAnsi"/>
                <w:b/>
              </w:rPr>
            </w:pPr>
            <w:r w:rsidRPr="00665911">
              <w:rPr>
                <w:rFonts w:cstheme="minorHAnsi"/>
                <w:b/>
              </w:rPr>
              <w:t>Unidad 3: Conflicto y consolidación de las iglesias: el papel de las cartas</w:t>
            </w:r>
          </w:p>
          <w:p w14:paraId="176DEF17" w14:textId="77777777" w:rsidR="00C7239A" w:rsidRPr="00242A21" w:rsidRDefault="00C7239A" w:rsidP="00104785">
            <w:pPr>
              <w:rPr>
                <w:rFonts w:cstheme="minorHAnsi"/>
              </w:rPr>
            </w:pPr>
            <w:r w:rsidRPr="00242A21">
              <w:rPr>
                <w:rFonts w:cstheme="minorHAnsi"/>
              </w:rPr>
              <w:t>3.2 Filemón, 1-2 Corintios y Romanos</w:t>
            </w:r>
          </w:p>
          <w:p w14:paraId="6F79FE60" w14:textId="77777777" w:rsidR="00C7239A" w:rsidRPr="00715DC3" w:rsidRDefault="00C7239A" w:rsidP="00104785">
            <w:pPr>
              <w:rPr>
                <w:rFonts w:cstheme="minorHAnsi"/>
                <w:strike/>
              </w:rPr>
            </w:pPr>
          </w:p>
        </w:tc>
        <w:tc>
          <w:tcPr>
            <w:tcW w:w="3118" w:type="dxa"/>
            <w:shd w:val="clear" w:color="auto" w:fill="auto"/>
          </w:tcPr>
          <w:p w14:paraId="36208B7B" w14:textId="77777777" w:rsidR="00C7239A" w:rsidRDefault="00C7239A" w:rsidP="00104785">
            <w:pPr>
              <w:rPr>
                <w:rFonts w:cstheme="minorHAnsi"/>
              </w:rPr>
            </w:pPr>
            <w:r>
              <w:rPr>
                <w:rFonts w:cstheme="minorHAnsi"/>
                <w:color w:val="0070C0"/>
              </w:rPr>
              <w:t>Ruta de aprendizaje</w:t>
            </w:r>
          </w:p>
          <w:p w14:paraId="1993C906" w14:textId="77777777" w:rsidR="00C7239A" w:rsidRPr="00585267" w:rsidRDefault="00C7239A" w:rsidP="00104785">
            <w:pPr>
              <w:rPr>
                <w:rFonts w:cstheme="minorHAnsi"/>
                <w:color w:val="0070C0"/>
              </w:rPr>
            </w:pPr>
            <w:r w:rsidRPr="0016295D">
              <w:rPr>
                <w:rFonts w:cstheme="minorHAnsi"/>
              </w:rPr>
              <w:t xml:space="preserve">Piñero, Antonio. “Carta primera a los Corintios”. En </w:t>
            </w:r>
            <w:r w:rsidRPr="0016295D">
              <w:rPr>
                <w:rFonts w:cstheme="minorHAnsi"/>
                <w:i/>
              </w:rPr>
              <w:t>Guía para entender a Pablo de Tarso: Una interpretación del pensamiento paulino</w:t>
            </w:r>
            <w:r w:rsidRPr="0016295D">
              <w:rPr>
                <w:rFonts w:cstheme="minorHAnsi"/>
              </w:rPr>
              <w:t>, 243-350. Madrid: Editorial Trotta, 201</w:t>
            </w:r>
            <w:r>
              <w:rPr>
                <w:rFonts w:cstheme="minorHAnsi"/>
              </w:rPr>
              <w:t>8</w:t>
            </w:r>
            <w:r w:rsidRPr="0016295D">
              <w:rPr>
                <w:rFonts w:cstheme="minorHAnsi"/>
              </w:rPr>
              <w:t xml:space="preserve">. </w:t>
            </w:r>
            <w:r w:rsidRPr="00585267">
              <w:rPr>
                <w:rFonts w:cstheme="minorHAnsi"/>
                <w:color w:val="0070C0"/>
              </w:rPr>
              <w:t>(clásico, última edición)</w:t>
            </w:r>
          </w:p>
          <w:p w14:paraId="5593AEC4" w14:textId="77777777" w:rsidR="00C7239A" w:rsidRPr="0016295D" w:rsidRDefault="00C7239A" w:rsidP="00104785">
            <w:pPr>
              <w:rPr>
                <w:rFonts w:cstheme="minorHAnsi"/>
              </w:rPr>
            </w:pPr>
          </w:p>
          <w:p w14:paraId="1DA468E7" w14:textId="77777777" w:rsidR="00C7239A" w:rsidRPr="00585267" w:rsidRDefault="00C7239A" w:rsidP="00104785">
            <w:pPr>
              <w:rPr>
                <w:rFonts w:cstheme="minorHAnsi"/>
                <w:color w:val="0070C0"/>
              </w:rPr>
            </w:pPr>
            <w:r w:rsidRPr="0016295D">
              <w:rPr>
                <w:rFonts w:cstheme="minorHAnsi"/>
              </w:rPr>
              <w:t xml:space="preserve">Piñero, Antonio. “Carta segunda a los Corintios”. En </w:t>
            </w:r>
            <w:r w:rsidRPr="0016295D">
              <w:rPr>
                <w:rFonts w:cstheme="minorHAnsi"/>
                <w:i/>
              </w:rPr>
              <w:t>Guía para entender a Pablo de Tarso: Una interpretación del pensamiento paulino</w:t>
            </w:r>
            <w:r w:rsidRPr="0016295D">
              <w:rPr>
                <w:rFonts w:cstheme="minorHAnsi"/>
              </w:rPr>
              <w:t>, 351-393. Madrid: Editorial Trotta, 201</w:t>
            </w:r>
            <w:r>
              <w:rPr>
                <w:rFonts w:cstheme="minorHAnsi"/>
              </w:rPr>
              <w:t>8</w:t>
            </w:r>
            <w:r w:rsidRPr="0016295D">
              <w:rPr>
                <w:rFonts w:cstheme="minorHAnsi"/>
              </w:rPr>
              <w:t xml:space="preserve">. </w:t>
            </w:r>
            <w:r w:rsidRPr="00585267">
              <w:rPr>
                <w:rFonts w:cstheme="minorHAnsi"/>
                <w:color w:val="0070C0"/>
              </w:rPr>
              <w:t>(clásico, última edición)</w:t>
            </w:r>
          </w:p>
          <w:p w14:paraId="47591546" w14:textId="77777777" w:rsidR="00C7239A" w:rsidRDefault="00C7239A" w:rsidP="00104785">
            <w:pPr>
              <w:rPr>
                <w:rFonts w:cstheme="minorHAnsi"/>
                <w:b/>
                <w:color w:val="0070C0"/>
              </w:rPr>
            </w:pPr>
            <w:r w:rsidRPr="00E54586">
              <w:rPr>
                <w:rFonts w:cstheme="minorHAnsi"/>
                <w:b/>
                <w:color w:val="0070C0"/>
              </w:rPr>
              <w:t>Material complementario</w:t>
            </w:r>
          </w:p>
          <w:p w14:paraId="3F91F07A" w14:textId="77777777" w:rsidR="00C7239A" w:rsidRDefault="00C7239A" w:rsidP="00104785">
            <w:pPr>
              <w:rPr>
                <w:rFonts w:cstheme="minorHAnsi"/>
                <w:bCs/>
                <w:color w:val="0070C0"/>
              </w:rPr>
            </w:pPr>
            <w:r>
              <w:rPr>
                <w:rFonts w:cstheme="minorHAnsi"/>
                <w:bCs/>
                <w:color w:val="0070C0"/>
              </w:rPr>
              <w:t>Guía para la elaboración de un mapa mental</w:t>
            </w:r>
          </w:p>
          <w:p w14:paraId="5CC34E30" w14:textId="77777777" w:rsidR="00C7239A" w:rsidRDefault="00C7239A" w:rsidP="00104785">
            <w:pPr>
              <w:rPr>
                <w:rFonts w:cstheme="minorHAnsi"/>
                <w:bCs/>
                <w:color w:val="0070C0"/>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p w14:paraId="23DB67DD" w14:textId="488F30FE" w:rsidR="00C7239A" w:rsidRPr="00177FC5" w:rsidRDefault="00C7239A" w:rsidP="008E0715">
            <w:pPr>
              <w:rPr>
                <w:rFonts w:cstheme="minorHAnsi"/>
                <w:bCs/>
              </w:rPr>
            </w:pPr>
            <w:r>
              <w:rPr>
                <w:rFonts w:cstheme="minorHAnsi"/>
                <w:bCs/>
                <w:color w:val="0070C0"/>
              </w:rPr>
              <w:t>Guía para la participación en un foro en la plataforma Moodle</w:t>
            </w:r>
          </w:p>
        </w:tc>
        <w:tc>
          <w:tcPr>
            <w:tcW w:w="3261" w:type="dxa"/>
            <w:shd w:val="clear" w:color="auto" w:fill="auto"/>
          </w:tcPr>
          <w:p w14:paraId="332C43A8"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las lecturas de la sesión.</w:t>
            </w:r>
          </w:p>
          <w:p w14:paraId="442C4A9D"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 mapa conceptual.</w:t>
            </w:r>
          </w:p>
          <w:p w14:paraId="723746EB"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Conflicto y unidad como clave de lectura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p w14:paraId="4DA89610"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Participación en el foro temático grupal: Trabajo con textos bíblicos. </w:t>
            </w:r>
          </w:p>
          <w:p w14:paraId="5791C4D8"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Respuesta docente al trabajo grupal en el foro.</w:t>
            </w:r>
          </w:p>
          <w:p w14:paraId="0E3974EE" w14:textId="77777777" w:rsidR="00C7239A" w:rsidRPr="0016295D" w:rsidRDefault="00C7239A" w:rsidP="00104785">
            <w:pPr>
              <w:ind w:left="227"/>
              <w:rPr>
                <w:rFonts w:cstheme="minorHAnsi"/>
                <w:color w:val="000000" w:themeColor="text1"/>
              </w:rPr>
            </w:pPr>
          </w:p>
        </w:tc>
      </w:tr>
      <w:tr w:rsidR="00C7239A" w:rsidRPr="0016295D" w14:paraId="128631A6" w14:textId="77777777" w:rsidTr="00104785">
        <w:trPr>
          <w:jc w:val="center"/>
        </w:trPr>
        <w:tc>
          <w:tcPr>
            <w:tcW w:w="1271" w:type="dxa"/>
            <w:shd w:val="clear" w:color="auto" w:fill="auto"/>
          </w:tcPr>
          <w:p w14:paraId="49737B54" w14:textId="77777777" w:rsidR="00C7239A" w:rsidRPr="0016295D" w:rsidRDefault="00C7239A" w:rsidP="00104785">
            <w:pPr>
              <w:jc w:val="center"/>
              <w:rPr>
                <w:rFonts w:cstheme="minorHAnsi"/>
              </w:rPr>
            </w:pPr>
            <w:r w:rsidRPr="0016295D">
              <w:rPr>
                <w:rFonts w:cstheme="minorHAnsi"/>
              </w:rPr>
              <w:t>7</w:t>
            </w:r>
          </w:p>
          <w:p w14:paraId="6E4F1875" w14:textId="77777777" w:rsidR="00C7239A" w:rsidRPr="0016295D" w:rsidRDefault="00C7239A" w:rsidP="00104785">
            <w:pPr>
              <w:jc w:val="center"/>
              <w:rPr>
                <w:rFonts w:cstheme="minorHAnsi"/>
                <w:color w:val="FF0000"/>
              </w:rPr>
            </w:pPr>
          </w:p>
          <w:p w14:paraId="6B6A43A0" w14:textId="77777777" w:rsidR="00C7239A" w:rsidRPr="0016295D" w:rsidRDefault="00C7239A" w:rsidP="00104785">
            <w:pPr>
              <w:jc w:val="center"/>
              <w:rPr>
                <w:rFonts w:cstheme="minorHAnsi"/>
                <w:color w:val="FF0000"/>
              </w:rPr>
            </w:pPr>
          </w:p>
        </w:tc>
        <w:tc>
          <w:tcPr>
            <w:tcW w:w="2410" w:type="dxa"/>
            <w:shd w:val="clear" w:color="auto" w:fill="auto"/>
          </w:tcPr>
          <w:p w14:paraId="66B14C88" w14:textId="77777777" w:rsidR="00C7239A" w:rsidRPr="00665911" w:rsidRDefault="00C7239A" w:rsidP="00104785">
            <w:pPr>
              <w:rPr>
                <w:rFonts w:cstheme="minorHAnsi"/>
                <w:b/>
              </w:rPr>
            </w:pPr>
            <w:r w:rsidRPr="00665911">
              <w:rPr>
                <w:rFonts w:cstheme="minorHAnsi"/>
                <w:b/>
              </w:rPr>
              <w:t>Unidad 3: Conflicto y consolidación de las iglesias: el papel de las cartas</w:t>
            </w:r>
          </w:p>
          <w:p w14:paraId="3AD1DD8A" w14:textId="77777777" w:rsidR="00C7239A" w:rsidRPr="00A21FFF" w:rsidRDefault="00C7239A" w:rsidP="00104785">
            <w:pPr>
              <w:rPr>
                <w:rFonts w:cstheme="minorHAnsi"/>
                <w:bCs/>
              </w:rPr>
            </w:pPr>
            <w:r w:rsidRPr="00A21FFF">
              <w:rPr>
                <w:rFonts w:cstheme="minorHAnsi"/>
                <w:bCs/>
              </w:rPr>
              <w:lastRenderedPageBreak/>
              <w:t xml:space="preserve">3.3 Las cartas </w:t>
            </w:r>
            <w:proofErr w:type="spellStart"/>
            <w:r w:rsidRPr="00A21FFF">
              <w:rPr>
                <w:rFonts w:cstheme="minorHAnsi"/>
                <w:bCs/>
              </w:rPr>
              <w:t>deuteropaulinas</w:t>
            </w:r>
            <w:proofErr w:type="spellEnd"/>
            <w:r w:rsidRPr="00A21FFF">
              <w:rPr>
                <w:rFonts w:cstheme="minorHAnsi"/>
                <w:bCs/>
              </w:rPr>
              <w:t>: II Tesalonicenses, Colosenses, Efesios, I y II Timoteo y Tito</w:t>
            </w:r>
          </w:p>
          <w:p w14:paraId="202CD2B3" w14:textId="77777777" w:rsidR="00C7239A" w:rsidRPr="00D91911" w:rsidRDefault="00C7239A" w:rsidP="00104785">
            <w:pPr>
              <w:rPr>
                <w:rFonts w:cstheme="minorHAnsi"/>
                <w:bCs/>
                <w:strike/>
              </w:rPr>
            </w:pPr>
          </w:p>
        </w:tc>
        <w:tc>
          <w:tcPr>
            <w:tcW w:w="3118" w:type="dxa"/>
            <w:shd w:val="clear" w:color="auto" w:fill="auto"/>
          </w:tcPr>
          <w:p w14:paraId="729BCF27" w14:textId="77777777" w:rsidR="00C7239A" w:rsidRDefault="00C7239A" w:rsidP="00104785">
            <w:pPr>
              <w:rPr>
                <w:rFonts w:cstheme="minorHAnsi"/>
                <w:color w:val="000000" w:themeColor="text1"/>
              </w:rPr>
            </w:pPr>
            <w:r>
              <w:rPr>
                <w:rFonts w:cstheme="minorHAnsi"/>
                <w:color w:val="0070C0"/>
              </w:rPr>
              <w:lastRenderedPageBreak/>
              <w:t>Ruta de aprendizaje</w:t>
            </w:r>
          </w:p>
          <w:p w14:paraId="5E66F8DD" w14:textId="77777777" w:rsidR="00C7239A" w:rsidRPr="00585267" w:rsidRDefault="00C7239A" w:rsidP="00104785">
            <w:pPr>
              <w:rPr>
                <w:rFonts w:cstheme="minorHAnsi"/>
                <w:color w:val="0070C0"/>
              </w:rPr>
            </w:pPr>
            <w:r w:rsidRPr="0016295D">
              <w:rPr>
                <w:rFonts w:cstheme="minorHAnsi"/>
                <w:color w:val="000000" w:themeColor="text1"/>
              </w:rPr>
              <w:t xml:space="preserve">Piñero, Antonio. “Epístolas a los colosenses y a los efesios”. En </w:t>
            </w:r>
            <w:r w:rsidRPr="0016295D">
              <w:rPr>
                <w:rFonts w:cstheme="minorHAnsi"/>
                <w:i/>
                <w:color w:val="000000" w:themeColor="text1"/>
              </w:rPr>
              <w:t xml:space="preserve">Guía para entender el Nuevo Testamento, </w:t>
            </w:r>
            <w:r w:rsidRPr="0016295D">
              <w:rPr>
                <w:rFonts w:cstheme="minorHAnsi"/>
                <w:color w:val="000000" w:themeColor="text1"/>
              </w:rPr>
              <w:t>407-432.</w:t>
            </w:r>
            <w:r w:rsidRPr="0016295D">
              <w:rPr>
                <w:rFonts w:cstheme="minorHAnsi"/>
                <w:i/>
                <w:color w:val="000000" w:themeColor="text1"/>
              </w:rPr>
              <w:t xml:space="preserve"> </w:t>
            </w:r>
            <w:r w:rsidRPr="0016295D">
              <w:rPr>
                <w:rFonts w:cstheme="minorHAnsi"/>
                <w:color w:val="000000" w:themeColor="text1"/>
              </w:rPr>
              <w:t xml:space="preserve">Madrid: </w:t>
            </w:r>
            <w:r w:rsidRPr="0016295D">
              <w:rPr>
                <w:rFonts w:cstheme="minorHAnsi"/>
                <w:color w:val="000000" w:themeColor="text1"/>
              </w:rPr>
              <w:lastRenderedPageBreak/>
              <w:t>Trotta, 20</w:t>
            </w:r>
            <w:r>
              <w:rPr>
                <w:rFonts w:cstheme="minorHAnsi"/>
                <w:color w:val="000000" w:themeColor="text1"/>
              </w:rPr>
              <w:t>1</w:t>
            </w:r>
            <w:r w:rsidRPr="0016295D">
              <w:rPr>
                <w:rFonts w:cstheme="minorHAnsi"/>
                <w:color w:val="000000" w:themeColor="text1"/>
              </w:rPr>
              <w:t xml:space="preserve">6. </w:t>
            </w:r>
            <w:r w:rsidRPr="00585267">
              <w:rPr>
                <w:rFonts w:cstheme="minorHAnsi"/>
                <w:color w:val="0070C0"/>
              </w:rPr>
              <w:t>(clásico, última edición)</w:t>
            </w:r>
          </w:p>
          <w:p w14:paraId="2F660D21" w14:textId="77777777" w:rsidR="00C7239A" w:rsidRPr="00585267" w:rsidRDefault="00C7239A" w:rsidP="00104785">
            <w:pPr>
              <w:rPr>
                <w:rFonts w:cstheme="minorHAnsi"/>
                <w:color w:val="0070C0"/>
              </w:rPr>
            </w:pPr>
            <w:r w:rsidRPr="0016295D">
              <w:rPr>
                <w:rFonts w:cstheme="minorHAnsi"/>
                <w:color w:val="000000" w:themeColor="text1"/>
              </w:rPr>
              <w:t xml:space="preserve">Piñero, Antonio. “Cartas pastorales”. En </w:t>
            </w:r>
            <w:r w:rsidRPr="0016295D">
              <w:rPr>
                <w:rFonts w:cstheme="minorHAnsi"/>
                <w:i/>
                <w:color w:val="000000" w:themeColor="text1"/>
              </w:rPr>
              <w:t xml:space="preserve">Guía para entender el Nuevo Testamento, </w:t>
            </w:r>
            <w:r w:rsidRPr="0016295D">
              <w:rPr>
                <w:rFonts w:cstheme="minorHAnsi"/>
                <w:color w:val="000000" w:themeColor="text1"/>
              </w:rPr>
              <w:t>443-459.</w:t>
            </w:r>
            <w:r w:rsidRPr="0016295D">
              <w:rPr>
                <w:rFonts w:cstheme="minorHAnsi"/>
                <w:i/>
                <w:color w:val="000000" w:themeColor="text1"/>
              </w:rPr>
              <w:t xml:space="preserve"> </w:t>
            </w:r>
            <w:r w:rsidRPr="0016295D">
              <w:rPr>
                <w:rFonts w:cstheme="minorHAnsi"/>
                <w:color w:val="000000" w:themeColor="text1"/>
              </w:rPr>
              <w:t>Madrid: Trotta, 20</w:t>
            </w:r>
            <w:r>
              <w:rPr>
                <w:rFonts w:cstheme="minorHAnsi"/>
                <w:color w:val="000000" w:themeColor="text1"/>
              </w:rPr>
              <w:t>1</w:t>
            </w:r>
            <w:r w:rsidRPr="0016295D">
              <w:rPr>
                <w:rFonts w:cstheme="minorHAnsi"/>
                <w:color w:val="000000" w:themeColor="text1"/>
              </w:rPr>
              <w:t>6.</w:t>
            </w:r>
            <w:r w:rsidRPr="00585267">
              <w:rPr>
                <w:rFonts w:cstheme="minorHAnsi"/>
                <w:color w:val="0070C0"/>
              </w:rPr>
              <w:t xml:space="preserve"> (clásico, última edición)</w:t>
            </w:r>
          </w:p>
          <w:p w14:paraId="79127277" w14:textId="77777777" w:rsidR="00C7239A" w:rsidRDefault="00C7239A" w:rsidP="00104785">
            <w:pPr>
              <w:rPr>
                <w:rFonts w:cstheme="minorHAnsi"/>
                <w:color w:val="000000" w:themeColor="text1"/>
              </w:rPr>
            </w:pPr>
          </w:p>
          <w:p w14:paraId="53BE4A5F" w14:textId="77777777" w:rsidR="00C7239A" w:rsidRDefault="00C7239A" w:rsidP="00104785">
            <w:pPr>
              <w:rPr>
                <w:rFonts w:cstheme="minorHAnsi"/>
                <w:b/>
                <w:color w:val="0070C0"/>
              </w:rPr>
            </w:pPr>
            <w:r w:rsidRPr="00E54586">
              <w:rPr>
                <w:rFonts w:cstheme="minorHAnsi"/>
                <w:b/>
                <w:color w:val="0070C0"/>
              </w:rPr>
              <w:t>Material complementario</w:t>
            </w:r>
          </w:p>
          <w:p w14:paraId="46380430" w14:textId="77777777" w:rsidR="00C7239A" w:rsidRDefault="00C7239A" w:rsidP="00104785">
            <w:pPr>
              <w:rPr>
                <w:rFonts w:cstheme="minorHAnsi"/>
                <w:bCs/>
                <w:color w:val="0070C0"/>
              </w:rPr>
            </w:pPr>
            <w:r>
              <w:rPr>
                <w:rFonts w:cstheme="minorHAnsi"/>
                <w:bCs/>
                <w:color w:val="0070C0"/>
              </w:rPr>
              <w:t>Guía para la elaboración de un mapa conceptual</w:t>
            </w:r>
          </w:p>
          <w:p w14:paraId="6E0591EE" w14:textId="77777777" w:rsidR="00C7239A" w:rsidRDefault="00C7239A" w:rsidP="00104785">
            <w:pPr>
              <w:rPr>
                <w:rFonts w:cstheme="minorHAnsi"/>
                <w:bCs/>
                <w:color w:val="0070C0"/>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p w14:paraId="66BC5843" w14:textId="77777777" w:rsidR="00C7239A" w:rsidRDefault="00C7239A" w:rsidP="00104785">
            <w:pPr>
              <w:rPr>
                <w:rFonts w:cstheme="minorHAnsi"/>
                <w:bCs/>
                <w:color w:val="0070C0"/>
              </w:rPr>
            </w:pPr>
            <w:r>
              <w:rPr>
                <w:rFonts w:cstheme="minorHAnsi"/>
                <w:bCs/>
                <w:color w:val="0070C0"/>
              </w:rPr>
              <w:t>Guía para la participación en un foro en la plataforma Moodle</w:t>
            </w:r>
          </w:p>
          <w:p w14:paraId="6292E578" w14:textId="77777777" w:rsidR="00C7239A" w:rsidRPr="00B85242" w:rsidRDefault="00C7239A" w:rsidP="00104785">
            <w:pPr>
              <w:rPr>
                <w:rFonts w:cstheme="minorHAnsi"/>
                <w:bCs/>
                <w:color w:val="000000" w:themeColor="text1"/>
              </w:rPr>
            </w:pPr>
          </w:p>
        </w:tc>
        <w:tc>
          <w:tcPr>
            <w:tcW w:w="3261" w:type="dxa"/>
            <w:shd w:val="clear" w:color="auto" w:fill="auto"/>
          </w:tcPr>
          <w:p w14:paraId="387A1259"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lastRenderedPageBreak/>
              <w:t>Realizar las lecturas de la sesión.</w:t>
            </w:r>
          </w:p>
          <w:p w14:paraId="3E1EAD6F"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 mapa conceptual.</w:t>
            </w:r>
          </w:p>
          <w:p w14:paraId="39F051A4"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lastRenderedPageBreak/>
              <w:t xml:space="preserve">Exposición docente: Las cartas </w:t>
            </w:r>
            <w:proofErr w:type="spellStart"/>
            <w:r w:rsidRPr="0016295D">
              <w:rPr>
                <w:rFonts w:cstheme="minorHAnsi"/>
                <w:color w:val="000000" w:themeColor="text1"/>
              </w:rPr>
              <w:t>deuteropaulinas</w:t>
            </w:r>
            <w:proofErr w:type="spellEnd"/>
            <w:r w:rsidRPr="0016295D">
              <w:rPr>
                <w:rFonts w:cstheme="minorHAnsi"/>
                <w:color w:val="000000" w:themeColor="text1"/>
              </w:rPr>
              <w:t xml:space="preserve"> y los códigos domésticos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p w14:paraId="5378E402"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Participación en el foro temático grupal: Trabajo con textos bíblicos. </w:t>
            </w:r>
          </w:p>
          <w:p w14:paraId="5FCFFBFD"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Respuesta docente al trabajo grupal en el foro.</w:t>
            </w:r>
          </w:p>
          <w:p w14:paraId="4902FBE4" w14:textId="77777777" w:rsidR="00C7239A" w:rsidRPr="0016295D" w:rsidRDefault="00C7239A" w:rsidP="00104785">
            <w:pPr>
              <w:ind w:left="227"/>
              <w:rPr>
                <w:rFonts w:cstheme="minorHAnsi"/>
                <w:color w:val="000000" w:themeColor="text1"/>
              </w:rPr>
            </w:pPr>
            <w:r w:rsidRPr="0016295D">
              <w:rPr>
                <w:rFonts w:cstheme="minorHAnsi"/>
                <w:color w:val="000000" w:themeColor="text1"/>
              </w:rPr>
              <w:t xml:space="preserve"> </w:t>
            </w:r>
          </w:p>
        </w:tc>
      </w:tr>
      <w:tr w:rsidR="00C7239A" w:rsidRPr="0016295D" w14:paraId="38C17472" w14:textId="77777777" w:rsidTr="00104785">
        <w:trPr>
          <w:jc w:val="center"/>
        </w:trPr>
        <w:tc>
          <w:tcPr>
            <w:tcW w:w="1271" w:type="dxa"/>
            <w:shd w:val="clear" w:color="auto" w:fill="auto"/>
          </w:tcPr>
          <w:p w14:paraId="412B5C49" w14:textId="77777777" w:rsidR="00C7239A" w:rsidRPr="0016295D" w:rsidRDefault="00C7239A" w:rsidP="00104785">
            <w:pPr>
              <w:jc w:val="center"/>
              <w:rPr>
                <w:rFonts w:cstheme="minorHAnsi"/>
              </w:rPr>
            </w:pPr>
            <w:r w:rsidRPr="0016295D">
              <w:rPr>
                <w:rFonts w:cstheme="minorHAnsi"/>
              </w:rPr>
              <w:lastRenderedPageBreak/>
              <w:t>8</w:t>
            </w:r>
          </w:p>
          <w:p w14:paraId="37803217" w14:textId="77777777" w:rsidR="00C7239A" w:rsidRPr="0016295D" w:rsidRDefault="00C7239A" w:rsidP="00104785">
            <w:pPr>
              <w:jc w:val="center"/>
              <w:rPr>
                <w:rFonts w:cstheme="minorHAnsi"/>
                <w:color w:val="FF0000"/>
              </w:rPr>
            </w:pPr>
          </w:p>
          <w:p w14:paraId="4C0E6077" w14:textId="77777777" w:rsidR="00C7239A" w:rsidRPr="0016295D" w:rsidRDefault="00C7239A" w:rsidP="00104785">
            <w:pPr>
              <w:jc w:val="center"/>
              <w:rPr>
                <w:rFonts w:cstheme="minorHAnsi"/>
                <w:color w:val="FF0000"/>
              </w:rPr>
            </w:pPr>
          </w:p>
        </w:tc>
        <w:tc>
          <w:tcPr>
            <w:tcW w:w="2410" w:type="dxa"/>
            <w:shd w:val="clear" w:color="auto" w:fill="auto"/>
          </w:tcPr>
          <w:p w14:paraId="5E979357" w14:textId="77777777" w:rsidR="00C7239A" w:rsidRPr="00665911" w:rsidRDefault="00C7239A" w:rsidP="00104785">
            <w:pPr>
              <w:rPr>
                <w:rFonts w:cstheme="minorHAnsi"/>
                <w:b/>
              </w:rPr>
            </w:pPr>
            <w:r w:rsidRPr="00665911">
              <w:rPr>
                <w:rFonts w:cstheme="minorHAnsi"/>
                <w:b/>
              </w:rPr>
              <w:t>Unidad 3: Conflicto y consolidación de las iglesias: el papel de las cartas</w:t>
            </w:r>
          </w:p>
          <w:p w14:paraId="77FC4FD6" w14:textId="77777777" w:rsidR="00C7239A" w:rsidRPr="00157DA3" w:rsidRDefault="00C7239A" w:rsidP="00104785">
            <w:pPr>
              <w:rPr>
                <w:rFonts w:cstheme="minorHAnsi"/>
                <w:bCs/>
              </w:rPr>
            </w:pPr>
            <w:r w:rsidRPr="00157DA3">
              <w:rPr>
                <w:rFonts w:cstheme="minorHAnsi"/>
                <w:bCs/>
              </w:rPr>
              <w:t xml:space="preserve">3.3 Las cartas </w:t>
            </w:r>
            <w:proofErr w:type="spellStart"/>
            <w:r w:rsidRPr="00157DA3">
              <w:rPr>
                <w:rFonts w:cstheme="minorHAnsi"/>
                <w:bCs/>
              </w:rPr>
              <w:t>deuteropaulinas</w:t>
            </w:r>
            <w:proofErr w:type="spellEnd"/>
            <w:r w:rsidRPr="00157DA3">
              <w:rPr>
                <w:rFonts w:cstheme="minorHAnsi"/>
                <w:bCs/>
              </w:rPr>
              <w:t>: II Tesalonicenses, Colosenses, Efesios, I y II Timoteo y Tito</w:t>
            </w:r>
          </w:p>
          <w:p w14:paraId="258FBFC7" w14:textId="77777777" w:rsidR="00C7239A" w:rsidRPr="002F0313" w:rsidRDefault="00C7239A" w:rsidP="00104785">
            <w:pPr>
              <w:rPr>
                <w:rFonts w:cstheme="minorHAnsi"/>
                <w:strike/>
              </w:rPr>
            </w:pPr>
          </w:p>
        </w:tc>
        <w:tc>
          <w:tcPr>
            <w:tcW w:w="3118" w:type="dxa"/>
            <w:shd w:val="clear" w:color="auto" w:fill="auto"/>
          </w:tcPr>
          <w:p w14:paraId="16BCF2A9" w14:textId="77777777" w:rsidR="00C7239A" w:rsidRDefault="00C7239A" w:rsidP="00104785">
            <w:pPr>
              <w:rPr>
                <w:rFonts w:cstheme="minorHAnsi"/>
                <w:color w:val="000000" w:themeColor="text1"/>
              </w:rPr>
            </w:pPr>
            <w:r>
              <w:rPr>
                <w:rFonts w:cstheme="minorHAnsi"/>
                <w:color w:val="0070C0"/>
              </w:rPr>
              <w:t>Ruta de aprendizaje</w:t>
            </w:r>
          </w:p>
          <w:p w14:paraId="69B60E2A" w14:textId="77777777" w:rsidR="00C7239A" w:rsidRPr="00585267" w:rsidRDefault="00C7239A" w:rsidP="00104785">
            <w:pPr>
              <w:rPr>
                <w:rFonts w:cstheme="minorHAnsi"/>
                <w:color w:val="0070C0"/>
              </w:rPr>
            </w:pPr>
            <w:r w:rsidRPr="0016295D">
              <w:rPr>
                <w:rFonts w:cstheme="minorHAnsi"/>
                <w:color w:val="000000" w:themeColor="text1"/>
              </w:rPr>
              <w:t xml:space="preserve">Piñero, Antonio. “La escuela paulina. Segunda epístola a los tesalonicenses”. En </w:t>
            </w:r>
            <w:r w:rsidRPr="0016295D">
              <w:rPr>
                <w:rFonts w:cstheme="minorHAnsi"/>
                <w:i/>
                <w:color w:val="000000" w:themeColor="text1"/>
              </w:rPr>
              <w:t xml:space="preserve">Guía para entender el Nuevo Testamento, </w:t>
            </w:r>
            <w:r w:rsidRPr="0016295D">
              <w:rPr>
                <w:rFonts w:cstheme="minorHAnsi"/>
                <w:color w:val="000000" w:themeColor="text1"/>
              </w:rPr>
              <w:t>407-417.</w:t>
            </w:r>
            <w:r w:rsidRPr="0016295D">
              <w:rPr>
                <w:rFonts w:cstheme="minorHAnsi"/>
                <w:i/>
                <w:color w:val="000000" w:themeColor="text1"/>
              </w:rPr>
              <w:t xml:space="preserve"> </w:t>
            </w:r>
            <w:r w:rsidRPr="0016295D">
              <w:rPr>
                <w:rFonts w:cstheme="minorHAnsi"/>
                <w:color w:val="000000" w:themeColor="text1"/>
              </w:rPr>
              <w:t>Madrid: Trotta, 20</w:t>
            </w:r>
            <w:r>
              <w:rPr>
                <w:rFonts w:cstheme="minorHAnsi"/>
                <w:color w:val="000000" w:themeColor="text1"/>
              </w:rPr>
              <w:t>1</w:t>
            </w:r>
            <w:r w:rsidRPr="0016295D">
              <w:rPr>
                <w:rFonts w:cstheme="minorHAnsi"/>
                <w:color w:val="000000" w:themeColor="text1"/>
              </w:rPr>
              <w:t>6.</w:t>
            </w:r>
            <w:r>
              <w:rPr>
                <w:rFonts w:cstheme="minorHAnsi"/>
                <w:color w:val="000000" w:themeColor="text1"/>
              </w:rPr>
              <w:t xml:space="preserve"> </w:t>
            </w:r>
            <w:r w:rsidRPr="00585267">
              <w:rPr>
                <w:rFonts w:cstheme="minorHAnsi"/>
                <w:color w:val="0070C0"/>
              </w:rPr>
              <w:t>(clásico, última edición)</w:t>
            </w:r>
          </w:p>
          <w:p w14:paraId="084A5A1F" w14:textId="77777777" w:rsidR="00C7239A" w:rsidRDefault="00C7239A" w:rsidP="00104785">
            <w:pPr>
              <w:rPr>
                <w:rFonts w:cstheme="minorHAnsi"/>
                <w:color w:val="000000" w:themeColor="text1"/>
              </w:rPr>
            </w:pPr>
          </w:p>
          <w:p w14:paraId="27700A37" w14:textId="77777777" w:rsidR="00C7239A" w:rsidRDefault="00C7239A" w:rsidP="00104785">
            <w:pPr>
              <w:rPr>
                <w:rFonts w:cstheme="minorHAnsi"/>
                <w:b/>
                <w:color w:val="0070C0"/>
              </w:rPr>
            </w:pPr>
            <w:r w:rsidRPr="00E54586">
              <w:rPr>
                <w:rFonts w:cstheme="minorHAnsi"/>
                <w:b/>
                <w:color w:val="0070C0"/>
              </w:rPr>
              <w:t>Material complementario</w:t>
            </w:r>
          </w:p>
          <w:p w14:paraId="1044A73E" w14:textId="77777777" w:rsidR="00C7239A" w:rsidRDefault="00C7239A" w:rsidP="00104785">
            <w:pPr>
              <w:rPr>
                <w:rFonts w:cstheme="minorHAnsi"/>
                <w:bCs/>
                <w:color w:val="0070C0"/>
              </w:rPr>
            </w:pPr>
            <w:r>
              <w:rPr>
                <w:rFonts w:cstheme="minorHAnsi"/>
                <w:bCs/>
                <w:color w:val="0070C0"/>
              </w:rPr>
              <w:t>Guía para la elaboración de un mapa conceptual</w:t>
            </w:r>
          </w:p>
          <w:p w14:paraId="34D09F09" w14:textId="77777777" w:rsidR="00C7239A" w:rsidRPr="00296620" w:rsidRDefault="00C7239A" w:rsidP="00104785">
            <w:pPr>
              <w:rPr>
                <w:rFonts w:cstheme="minorHAnsi"/>
                <w:bCs/>
                <w:color w:val="0070C0"/>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p w14:paraId="4271E7DF" w14:textId="77777777" w:rsidR="00C7239A" w:rsidRPr="0016295D" w:rsidRDefault="00C7239A" w:rsidP="00104785">
            <w:pPr>
              <w:rPr>
                <w:rFonts w:cstheme="minorHAnsi"/>
                <w:color w:val="000000" w:themeColor="text1"/>
              </w:rPr>
            </w:pPr>
          </w:p>
        </w:tc>
        <w:tc>
          <w:tcPr>
            <w:tcW w:w="3261" w:type="dxa"/>
            <w:shd w:val="clear" w:color="auto" w:fill="auto"/>
          </w:tcPr>
          <w:p w14:paraId="26D93A6B"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 lectura de la sesión.</w:t>
            </w:r>
          </w:p>
          <w:p w14:paraId="76A2DDA1"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 mapa conceptual.</w:t>
            </w:r>
          </w:p>
          <w:p w14:paraId="611D639F"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Exposición docente: </w:t>
            </w:r>
            <w:proofErr w:type="spellStart"/>
            <w:r w:rsidRPr="0016295D">
              <w:rPr>
                <w:rFonts w:cstheme="minorHAnsi"/>
                <w:color w:val="000000" w:themeColor="text1"/>
              </w:rPr>
              <w:t>Pseudoepigrafía</w:t>
            </w:r>
            <w:proofErr w:type="spellEnd"/>
            <w:r w:rsidRPr="0016295D">
              <w:rPr>
                <w:rFonts w:cstheme="minorHAnsi"/>
                <w:color w:val="000000" w:themeColor="text1"/>
              </w:rPr>
              <w:t xml:space="preserve"> y discusión grupal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 xml:space="preserve">. </w:t>
            </w:r>
          </w:p>
          <w:p w14:paraId="3F83A799" w14:textId="77777777" w:rsidR="00C7239A" w:rsidRPr="0016295D" w:rsidRDefault="00C7239A" w:rsidP="00104785">
            <w:pPr>
              <w:ind w:left="227"/>
              <w:rPr>
                <w:rFonts w:cstheme="minorHAnsi"/>
                <w:color w:val="000000" w:themeColor="text1"/>
              </w:rPr>
            </w:pPr>
          </w:p>
        </w:tc>
      </w:tr>
      <w:tr w:rsidR="00C7239A" w:rsidRPr="0016295D" w14:paraId="39645A95" w14:textId="77777777" w:rsidTr="00104785">
        <w:trPr>
          <w:jc w:val="center"/>
        </w:trPr>
        <w:tc>
          <w:tcPr>
            <w:tcW w:w="1271" w:type="dxa"/>
            <w:shd w:val="clear" w:color="auto" w:fill="auto"/>
          </w:tcPr>
          <w:p w14:paraId="709D0769" w14:textId="77777777" w:rsidR="00C7239A" w:rsidRPr="0016295D" w:rsidRDefault="00C7239A" w:rsidP="00104785">
            <w:pPr>
              <w:jc w:val="center"/>
              <w:rPr>
                <w:rFonts w:cstheme="minorHAnsi"/>
              </w:rPr>
            </w:pPr>
            <w:r w:rsidRPr="0016295D">
              <w:rPr>
                <w:rFonts w:cstheme="minorHAnsi"/>
              </w:rPr>
              <w:lastRenderedPageBreak/>
              <w:t>9</w:t>
            </w:r>
          </w:p>
          <w:p w14:paraId="53324AB8" w14:textId="77777777" w:rsidR="00C7239A" w:rsidRPr="0016295D" w:rsidRDefault="00C7239A" w:rsidP="00104785">
            <w:pPr>
              <w:jc w:val="center"/>
              <w:rPr>
                <w:rFonts w:cstheme="minorHAnsi"/>
                <w:color w:val="FF0000"/>
              </w:rPr>
            </w:pPr>
          </w:p>
          <w:p w14:paraId="4B694D2F" w14:textId="77777777" w:rsidR="00C7239A" w:rsidRPr="0016295D" w:rsidRDefault="00C7239A" w:rsidP="00104785">
            <w:pPr>
              <w:jc w:val="center"/>
              <w:rPr>
                <w:rFonts w:cstheme="minorHAnsi"/>
                <w:color w:val="FF0000"/>
              </w:rPr>
            </w:pPr>
          </w:p>
        </w:tc>
        <w:tc>
          <w:tcPr>
            <w:tcW w:w="2410" w:type="dxa"/>
            <w:shd w:val="clear" w:color="auto" w:fill="auto"/>
          </w:tcPr>
          <w:p w14:paraId="21C2E3D6" w14:textId="77777777" w:rsidR="00C7239A" w:rsidRPr="00665911" w:rsidRDefault="00C7239A" w:rsidP="00104785">
            <w:pPr>
              <w:rPr>
                <w:rFonts w:cstheme="minorHAnsi"/>
                <w:b/>
                <w:bCs/>
              </w:rPr>
            </w:pPr>
            <w:r w:rsidRPr="00665911">
              <w:rPr>
                <w:rFonts w:cstheme="minorHAnsi"/>
                <w:b/>
                <w:bCs/>
              </w:rPr>
              <w:t>Unidad 4: Cartas generales y Apocalipsis</w:t>
            </w:r>
          </w:p>
          <w:p w14:paraId="4CAB4176" w14:textId="77777777" w:rsidR="00C7239A" w:rsidRPr="005D6149" w:rsidRDefault="00C7239A" w:rsidP="00104785">
            <w:pPr>
              <w:rPr>
                <w:rFonts w:cstheme="minorHAnsi"/>
              </w:rPr>
            </w:pPr>
            <w:r w:rsidRPr="005D6149">
              <w:rPr>
                <w:rFonts w:cstheme="minorHAnsi"/>
              </w:rPr>
              <w:t>4.1 Hebreos, Santiago, I y II Pedro, Judas y I, II y III Juan</w:t>
            </w:r>
          </w:p>
          <w:p w14:paraId="60FB38F6" w14:textId="77777777" w:rsidR="00C7239A" w:rsidRPr="00637D4B" w:rsidRDefault="00C7239A" w:rsidP="00104785">
            <w:pPr>
              <w:rPr>
                <w:rFonts w:cstheme="minorHAnsi"/>
                <w:strike/>
              </w:rPr>
            </w:pPr>
          </w:p>
        </w:tc>
        <w:tc>
          <w:tcPr>
            <w:tcW w:w="3118" w:type="dxa"/>
            <w:shd w:val="clear" w:color="auto" w:fill="auto"/>
          </w:tcPr>
          <w:p w14:paraId="20C52131" w14:textId="77777777" w:rsidR="00C7239A" w:rsidRDefault="00C7239A" w:rsidP="00104785">
            <w:pPr>
              <w:rPr>
                <w:rFonts w:cstheme="minorHAnsi"/>
                <w:color w:val="000000" w:themeColor="text1"/>
              </w:rPr>
            </w:pPr>
            <w:r>
              <w:rPr>
                <w:rFonts w:cstheme="minorHAnsi"/>
                <w:color w:val="0070C0"/>
              </w:rPr>
              <w:t>Ruta de aprendizaje</w:t>
            </w:r>
          </w:p>
          <w:p w14:paraId="459716E3" w14:textId="77777777" w:rsidR="00C7239A" w:rsidRPr="00585267" w:rsidRDefault="00C7239A" w:rsidP="00104785">
            <w:pPr>
              <w:rPr>
                <w:rFonts w:cstheme="minorHAnsi"/>
                <w:color w:val="0070C0"/>
              </w:rPr>
            </w:pPr>
            <w:r w:rsidRPr="0016295D">
              <w:rPr>
                <w:rFonts w:cstheme="minorHAnsi"/>
                <w:color w:val="000000" w:themeColor="text1"/>
              </w:rPr>
              <w:t xml:space="preserve">Piñero, Antonio. “Epístola a los Hebreos”. En </w:t>
            </w:r>
            <w:r w:rsidRPr="0016295D">
              <w:rPr>
                <w:rFonts w:cstheme="minorHAnsi"/>
                <w:i/>
                <w:color w:val="000000" w:themeColor="text1"/>
              </w:rPr>
              <w:t xml:space="preserve">Guía para entender el Nuevo Testamento, </w:t>
            </w:r>
            <w:r w:rsidRPr="0016295D">
              <w:rPr>
                <w:rFonts w:cstheme="minorHAnsi"/>
                <w:color w:val="000000" w:themeColor="text1"/>
              </w:rPr>
              <w:t>433-441.</w:t>
            </w:r>
            <w:r w:rsidRPr="0016295D">
              <w:rPr>
                <w:rFonts w:cstheme="minorHAnsi"/>
                <w:i/>
                <w:color w:val="000000" w:themeColor="text1"/>
              </w:rPr>
              <w:t xml:space="preserve"> </w:t>
            </w:r>
            <w:r w:rsidRPr="0016295D">
              <w:rPr>
                <w:rFonts w:cstheme="minorHAnsi"/>
                <w:color w:val="000000" w:themeColor="text1"/>
              </w:rPr>
              <w:t>Madrid: Trotta, 20</w:t>
            </w:r>
            <w:r>
              <w:rPr>
                <w:rFonts w:cstheme="minorHAnsi"/>
                <w:color w:val="000000" w:themeColor="text1"/>
              </w:rPr>
              <w:t>1</w:t>
            </w:r>
            <w:r w:rsidRPr="0016295D">
              <w:rPr>
                <w:rFonts w:cstheme="minorHAnsi"/>
                <w:color w:val="000000" w:themeColor="text1"/>
              </w:rPr>
              <w:t xml:space="preserve">6. </w:t>
            </w:r>
            <w:r w:rsidRPr="00585267">
              <w:rPr>
                <w:rFonts w:cstheme="minorHAnsi"/>
                <w:color w:val="0070C0"/>
              </w:rPr>
              <w:t>(clásico, última edición)</w:t>
            </w:r>
          </w:p>
          <w:p w14:paraId="5055E43F" w14:textId="77777777" w:rsidR="00C7239A" w:rsidRPr="0016295D" w:rsidRDefault="00C7239A" w:rsidP="00104785">
            <w:pPr>
              <w:rPr>
                <w:rFonts w:cstheme="minorHAnsi"/>
                <w:color w:val="FF0000"/>
              </w:rPr>
            </w:pPr>
          </w:p>
          <w:p w14:paraId="0A22204E" w14:textId="77777777" w:rsidR="00C7239A" w:rsidRPr="00585267" w:rsidRDefault="00C7239A" w:rsidP="00104785">
            <w:pPr>
              <w:rPr>
                <w:rFonts w:cstheme="minorHAnsi"/>
                <w:color w:val="0070C0"/>
              </w:rPr>
            </w:pPr>
            <w:r w:rsidRPr="0016295D">
              <w:rPr>
                <w:rFonts w:cstheme="minorHAnsi"/>
                <w:color w:val="000000" w:themeColor="text1"/>
              </w:rPr>
              <w:t xml:space="preserve">White, Michael. “La reflexión cristológica como </w:t>
            </w:r>
            <w:proofErr w:type="spellStart"/>
            <w:r w:rsidRPr="0016295D">
              <w:rPr>
                <w:rFonts w:cstheme="minorHAnsi"/>
                <w:color w:val="000000" w:themeColor="text1"/>
              </w:rPr>
              <w:t>midrás</w:t>
            </w:r>
            <w:proofErr w:type="spellEnd"/>
            <w:r w:rsidRPr="0016295D">
              <w:rPr>
                <w:rFonts w:cstheme="minorHAnsi"/>
                <w:color w:val="000000" w:themeColor="text1"/>
              </w:rPr>
              <w:t xml:space="preserve">”. En </w:t>
            </w:r>
            <w:r w:rsidRPr="0016295D">
              <w:rPr>
                <w:rFonts w:cstheme="minorHAnsi"/>
                <w:i/>
                <w:color w:val="000000" w:themeColor="text1"/>
              </w:rPr>
              <w:t xml:space="preserve">De Jesús al cristianismo: el Nuevo Testamento y la fe cristiana, </w:t>
            </w:r>
            <w:r w:rsidRPr="0016295D">
              <w:rPr>
                <w:rFonts w:cstheme="minorHAnsi"/>
                <w:color w:val="000000" w:themeColor="text1"/>
              </w:rPr>
              <w:t>traducción de José Pérez Escobar,</w:t>
            </w:r>
            <w:r w:rsidRPr="0016295D">
              <w:rPr>
                <w:rFonts w:cstheme="minorHAnsi"/>
                <w:i/>
                <w:color w:val="000000" w:themeColor="text1"/>
              </w:rPr>
              <w:t xml:space="preserve"> </w:t>
            </w:r>
            <w:r w:rsidRPr="0016295D">
              <w:rPr>
                <w:rFonts w:cstheme="minorHAnsi"/>
                <w:color w:val="000000" w:themeColor="text1"/>
              </w:rPr>
              <w:t>402-406.</w:t>
            </w:r>
            <w:r w:rsidRPr="0016295D">
              <w:rPr>
                <w:rFonts w:cstheme="minorHAnsi"/>
                <w:i/>
                <w:color w:val="000000" w:themeColor="text1"/>
              </w:rPr>
              <w:t xml:space="preserve"> </w:t>
            </w:r>
            <w:r w:rsidRPr="0016295D">
              <w:rPr>
                <w:rFonts w:cstheme="minorHAnsi"/>
                <w:color w:val="000000" w:themeColor="text1"/>
              </w:rPr>
              <w:t xml:space="preserve">Estella: Verbo Divino, 2007. </w:t>
            </w:r>
            <w:r w:rsidRPr="00585267">
              <w:rPr>
                <w:rFonts w:cstheme="minorHAnsi"/>
                <w:color w:val="0070C0"/>
              </w:rPr>
              <w:t xml:space="preserve">(clásico, última </w:t>
            </w:r>
            <w:r>
              <w:rPr>
                <w:rFonts w:cstheme="minorHAnsi"/>
                <w:color w:val="0070C0"/>
              </w:rPr>
              <w:t>impresión 2014</w:t>
            </w:r>
            <w:r w:rsidRPr="00585267">
              <w:rPr>
                <w:rFonts w:cstheme="minorHAnsi"/>
                <w:color w:val="0070C0"/>
              </w:rPr>
              <w:t>)</w:t>
            </w:r>
          </w:p>
          <w:p w14:paraId="5A3DF486" w14:textId="77777777" w:rsidR="00C7239A" w:rsidRPr="0016295D" w:rsidRDefault="00C7239A" w:rsidP="00104785">
            <w:pPr>
              <w:rPr>
                <w:rFonts w:cstheme="minorHAnsi"/>
                <w:color w:val="000000" w:themeColor="text1"/>
              </w:rPr>
            </w:pPr>
          </w:p>
          <w:p w14:paraId="15DAAE9F" w14:textId="77777777" w:rsidR="00C7239A" w:rsidRPr="0016295D" w:rsidRDefault="00C7239A" w:rsidP="00104785">
            <w:pPr>
              <w:rPr>
                <w:rFonts w:cstheme="minorHAnsi"/>
                <w:b/>
                <w:color w:val="000000" w:themeColor="text1"/>
              </w:rPr>
            </w:pPr>
            <w:r w:rsidRPr="0016295D">
              <w:rPr>
                <w:rFonts w:cstheme="minorHAnsi"/>
                <w:b/>
                <w:color w:val="000000" w:themeColor="text1"/>
              </w:rPr>
              <w:t>Material complementario</w:t>
            </w:r>
          </w:p>
          <w:p w14:paraId="0169B97F" w14:textId="77777777" w:rsidR="00C7239A" w:rsidRDefault="00C7239A" w:rsidP="00104785">
            <w:pPr>
              <w:rPr>
                <w:rFonts w:cstheme="minorHAnsi"/>
                <w:bCs/>
              </w:rPr>
            </w:pPr>
            <w:proofErr w:type="spellStart"/>
            <w:r w:rsidRPr="0016295D">
              <w:rPr>
                <w:rFonts w:cstheme="minorHAnsi"/>
                <w:bCs/>
              </w:rPr>
              <w:t>Puigdollers</w:t>
            </w:r>
            <w:proofErr w:type="spellEnd"/>
            <w:r w:rsidRPr="0016295D">
              <w:rPr>
                <w:rFonts w:cstheme="minorHAnsi"/>
                <w:bCs/>
              </w:rPr>
              <w:t xml:space="preserve"> </w:t>
            </w:r>
            <w:proofErr w:type="spellStart"/>
            <w:r w:rsidRPr="0016295D">
              <w:rPr>
                <w:rFonts w:cstheme="minorHAnsi"/>
                <w:bCs/>
              </w:rPr>
              <w:t>Noblom</w:t>
            </w:r>
            <w:proofErr w:type="spellEnd"/>
            <w:r w:rsidRPr="0016295D">
              <w:rPr>
                <w:rFonts w:cstheme="minorHAnsi"/>
                <w:bCs/>
              </w:rPr>
              <w:t xml:space="preserve">, Rodolfo. “La Carta a los hebreos y su inserción en las Cartas paulinas”. </w:t>
            </w:r>
            <w:r w:rsidRPr="0016295D">
              <w:rPr>
                <w:rFonts w:cstheme="minorHAnsi"/>
                <w:bCs/>
                <w:i/>
              </w:rPr>
              <w:t>Estudios Bíblicos</w:t>
            </w:r>
            <w:r w:rsidRPr="0016295D">
              <w:rPr>
                <w:rFonts w:cstheme="minorHAnsi"/>
                <w:bCs/>
              </w:rPr>
              <w:t xml:space="preserve"> 74, Cuaderno 1 (2016): 51-76.</w:t>
            </w:r>
          </w:p>
          <w:p w14:paraId="4FFDE54C" w14:textId="77777777" w:rsidR="00C7239A" w:rsidRDefault="00C7239A" w:rsidP="00104785">
            <w:pPr>
              <w:rPr>
                <w:rFonts w:cstheme="minorHAnsi"/>
                <w:bCs/>
                <w:color w:val="0070C0"/>
              </w:rPr>
            </w:pPr>
            <w:r>
              <w:rPr>
                <w:rFonts w:cstheme="minorHAnsi"/>
                <w:bCs/>
                <w:color w:val="0070C0"/>
              </w:rPr>
              <w:t>Guía para la elaboración de una reseña crítica de lectura</w:t>
            </w:r>
          </w:p>
          <w:p w14:paraId="5A527C3C" w14:textId="77777777" w:rsidR="00C7239A" w:rsidRPr="006F2893" w:rsidRDefault="00C7239A" w:rsidP="00104785">
            <w:pPr>
              <w:rPr>
                <w:rFonts w:cstheme="minorHAnsi"/>
                <w:bCs/>
                <w:color w:val="0070C0"/>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p w14:paraId="2974F71E" w14:textId="77777777" w:rsidR="00C7239A" w:rsidRPr="0016295D" w:rsidRDefault="00C7239A" w:rsidP="00104785">
            <w:pPr>
              <w:rPr>
                <w:rFonts w:cstheme="minorHAnsi"/>
                <w:bCs/>
                <w:color w:val="00B050"/>
              </w:rPr>
            </w:pPr>
          </w:p>
        </w:tc>
        <w:tc>
          <w:tcPr>
            <w:tcW w:w="3261" w:type="dxa"/>
            <w:shd w:val="clear" w:color="auto" w:fill="auto"/>
          </w:tcPr>
          <w:p w14:paraId="07391444"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las lecturas de la sesión.</w:t>
            </w:r>
          </w:p>
          <w:p w14:paraId="33CB2A6E"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una reseña crítica de las lecturas.</w:t>
            </w:r>
          </w:p>
          <w:p w14:paraId="14277A82"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Exposición docente: Hebreos y cartas católicas y discusión grupal en un encuentro sincrónico </w:t>
            </w:r>
            <w:r>
              <w:rPr>
                <w:rFonts w:cstheme="minorHAnsi"/>
                <w:color w:val="000000" w:themeColor="text1"/>
              </w:rPr>
              <w:t>virtual (formativo)</w:t>
            </w:r>
            <w:r w:rsidRPr="0016295D">
              <w:rPr>
                <w:rFonts w:cstheme="minorHAnsi"/>
                <w:color w:val="000000" w:themeColor="text1"/>
              </w:rPr>
              <w:t>.</w:t>
            </w:r>
          </w:p>
          <w:p w14:paraId="499377B6" w14:textId="77777777" w:rsidR="00C7239A" w:rsidRPr="0016295D" w:rsidRDefault="00C7239A" w:rsidP="00104785">
            <w:pPr>
              <w:ind w:left="227"/>
              <w:rPr>
                <w:rFonts w:cstheme="minorHAnsi"/>
                <w:color w:val="000000" w:themeColor="text1"/>
              </w:rPr>
            </w:pPr>
          </w:p>
        </w:tc>
      </w:tr>
      <w:tr w:rsidR="00C7239A" w:rsidRPr="0016295D" w14:paraId="6582025F" w14:textId="77777777" w:rsidTr="00104785">
        <w:trPr>
          <w:jc w:val="center"/>
        </w:trPr>
        <w:tc>
          <w:tcPr>
            <w:tcW w:w="1271" w:type="dxa"/>
            <w:shd w:val="clear" w:color="auto" w:fill="auto"/>
          </w:tcPr>
          <w:p w14:paraId="59F3DB52" w14:textId="77777777" w:rsidR="00C7239A" w:rsidRPr="0016295D" w:rsidRDefault="00C7239A" w:rsidP="00104785">
            <w:pPr>
              <w:jc w:val="center"/>
              <w:rPr>
                <w:rFonts w:cstheme="minorHAnsi"/>
              </w:rPr>
            </w:pPr>
            <w:r w:rsidRPr="0016295D">
              <w:rPr>
                <w:rFonts w:cstheme="minorHAnsi"/>
              </w:rPr>
              <w:t>10</w:t>
            </w:r>
          </w:p>
          <w:p w14:paraId="7B31C6C8" w14:textId="77777777" w:rsidR="00C7239A" w:rsidRPr="0016295D" w:rsidRDefault="00C7239A" w:rsidP="00104785">
            <w:pPr>
              <w:jc w:val="center"/>
              <w:rPr>
                <w:rFonts w:cstheme="minorHAnsi"/>
                <w:color w:val="FF0000"/>
              </w:rPr>
            </w:pPr>
          </w:p>
          <w:p w14:paraId="3FA3D95F" w14:textId="77777777" w:rsidR="00C7239A" w:rsidRPr="0016295D" w:rsidRDefault="00C7239A" w:rsidP="00104785">
            <w:pPr>
              <w:jc w:val="center"/>
              <w:rPr>
                <w:rFonts w:cstheme="minorHAnsi"/>
                <w:color w:val="FF0000"/>
              </w:rPr>
            </w:pPr>
          </w:p>
        </w:tc>
        <w:tc>
          <w:tcPr>
            <w:tcW w:w="2410" w:type="dxa"/>
            <w:shd w:val="clear" w:color="auto" w:fill="auto"/>
          </w:tcPr>
          <w:p w14:paraId="0BD6EEF3" w14:textId="77777777" w:rsidR="00C7239A" w:rsidRPr="00665911" w:rsidRDefault="00C7239A" w:rsidP="00104785">
            <w:pPr>
              <w:rPr>
                <w:rFonts w:cstheme="minorHAnsi"/>
                <w:b/>
                <w:bCs/>
              </w:rPr>
            </w:pPr>
            <w:r w:rsidRPr="00665911">
              <w:rPr>
                <w:rFonts w:cstheme="minorHAnsi"/>
                <w:b/>
                <w:bCs/>
              </w:rPr>
              <w:t>Unidad 4: Cartas generales y Apocalipsis</w:t>
            </w:r>
          </w:p>
          <w:p w14:paraId="4F99A729" w14:textId="77777777" w:rsidR="00C7239A" w:rsidRPr="00A31631" w:rsidRDefault="00C7239A" w:rsidP="00104785">
            <w:pPr>
              <w:rPr>
                <w:rFonts w:cstheme="minorHAnsi"/>
              </w:rPr>
            </w:pPr>
            <w:r w:rsidRPr="00A31631">
              <w:rPr>
                <w:rFonts w:cstheme="minorHAnsi"/>
              </w:rPr>
              <w:t>4.1 Hebreos, Santiago, I y II Pedro, Judas y I, II y II Juan</w:t>
            </w:r>
          </w:p>
          <w:p w14:paraId="54AEA34A" w14:textId="77777777" w:rsidR="00C7239A" w:rsidRPr="00E4602F" w:rsidRDefault="00C7239A" w:rsidP="00104785">
            <w:pPr>
              <w:rPr>
                <w:rFonts w:cstheme="minorHAnsi"/>
                <w:strike/>
              </w:rPr>
            </w:pPr>
          </w:p>
        </w:tc>
        <w:tc>
          <w:tcPr>
            <w:tcW w:w="3118" w:type="dxa"/>
            <w:shd w:val="clear" w:color="auto" w:fill="auto"/>
          </w:tcPr>
          <w:p w14:paraId="4ABB2E17" w14:textId="77777777" w:rsidR="00C7239A" w:rsidRDefault="00C7239A" w:rsidP="00104785">
            <w:pPr>
              <w:rPr>
                <w:rFonts w:cstheme="minorHAnsi"/>
                <w:color w:val="000000" w:themeColor="text1"/>
              </w:rPr>
            </w:pPr>
            <w:r>
              <w:rPr>
                <w:rFonts w:cstheme="minorHAnsi"/>
                <w:color w:val="0070C0"/>
              </w:rPr>
              <w:t>Ruta de aprendizaje</w:t>
            </w:r>
          </w:p>
          <w:p w14:paraId="09E40AE4" w14:textId="77777777" w:rsidR="00C7239A" w:rsidRDefault="00C7239A" w:rsidP="00104785">
            <w:pPr>
              <w:rPr>
                <w:rFonts w:cstheme="minorHAnsi"/>
                <w:color w:val="000000" w:themeColor="text1"/>
                <w:sz w:val="20"/>
              </w:rPr>
            </w:pPr>
            <w:proofErr w:type="spellStart"/>
            <w:r w:rsidRPr="00EB75BA">
              <w:rPr>
                <w:rFonts w:cstheme="minorHAnsi"/>
                <w:color w:val="000000" w:themeColor="text1"/>
              </w:rPr>
              <w:t>Tuñí</w:t>
            </w:r>
            <w:proofErr w:type="spellEnd"/>
            <w:r w:rsidRPr="00EB75BA">
              <w:rPr>
                <w:rFonts w:cstheme="minorHAnsi"/>
                <w:color w:val="000000" w:themeColor="text1"/>
              </w:rPr>
              <w:t xml:space="preserve">, Josep y Xavier Alegre. “La Carta de Santiago”, “La Carta de Judas”. En </w:t>
            </w:r>
            <w:r w:rsidRPr="00EB75BA">
              <w:rPr>
                <w:rFonts w:cstheme="minorHAnsi"/>
                <w:i/>
                <w:color w:val="000000" w:themeColor="text1"/>
              </w:rPr>
              <w:t xml:space="preserve">Escritos </w:t>
            </w:r>
            <w:proofErr w:type="spellStart"/>
            <w:r w:rsidRPr="00EB75BA">
              <w:rPr>
                <w:rFonts w:cstheme="minorHAnsi"/>
                <w:i/>
                <w:color w:val="000000" w:themeColor="text1"/>
              </w:rPr>
              <w:t>joánicos</w:t>
            </w:r>
            <w:proofErr w:type="spellEnd"/>
            <w:r w:rsidRPr="00EB75BA">
              <w:rPr>
                <w:rFonts w:cstheme="minorHAnsi"/>
                <w:i/>
                <w:color w:val="000000" w:themeColor="text1"/>
              </w:rPr>
              <w:t xml:space="preserve"> y cartas católicas: introducción al estudio de la Biblia, </w:t>
            </w:r>
            <w:r w:rsidRPr="00EB75BA">
              <w:rPr>
                <w:rFonts w:cstheme="minorHAnsi"/>
                <w:color w:val="000000" w:themeColor="text1"/>
              </w:rPr>
              <w:t>317-353 y 399-407.</w:t>
            </w:r>
            <w:r w:rsidRPr="00EB75BA">
              <w:rPr>
                <w:rFonts w:cstheme="minorHAnsi"/>
                <w:i/>
                <w:color w:val="000000" w:themeColor="text1"/>
              </w:rPr>
              <w:t xml:space="preserve"> </w:t>
            </w:r>
            <w:r w:rsidRPr="00EB75BA">
              <w:rPr>
                <w:rFonts w:cstheme="minorHAnsi"/>
                <w:color w:val="000000" w:themeColor="text1"/>
              </w:rPr>
              <w:t>Estella: Verbo Divino, 2022.</w:t>
            </w:r>
            <w:r w:rsidRPr="00EB75BA">
              <w:rPr>
                <w:rFonts w:cstheme="minorHAnsi"/>
                <w:color w:val="000000" w:themeColor="text1"/>
                <w:sz w:val="20"/>
              </w:rPr>
              <w:t xml:space="preserve"> </w:t>
            </w:r>
          </w:p>
          <w:p w14:paraId="0C827AD6" w14:textId="77777777" w:rsidR="00C7239A" w:rsidRDefault="00C7239A" w:rsidP="00104785">
            <w:pPr>
              <w:rPr>
                <w:rFonts w:cstheme="minorHAnsi"/>
                <w:b/>
                <w:color w:val="0070C0"/>
              </w:rPr>
            </w:pPr>
            <w:r w:rsidRPr="00E54586">
              <w:rPr>
                <w:rFonts w:cstheme="minorHAnsi"/>
                <w:b/>
                <w:color w:val="0070C0"/>
              </w:rPr>
              <w:lastRenderedPageBreak/>
              <w:t>Material complementario</w:t>
            </w:r>
          </w:p>
          <w:p w14:paraId="04AF2B74" w14:textId="77777777" w:rsidR="00C7239A" w:rsidRDefault="00C7239A" w:rsidP="00104785">
            <w:pPr>
              <w:rPr>
                <w:rFonts w:cstheme="minorHAnsi"/>
                <w:bCs/>
                <w:color w:val="0070C0"/>
              </w:rPr>
            </w:pPr>
            <w:r>
              <w:rPr>
                <w:rFonts w:cstheme="minorHAnsi"/>
                <w:bCs/>
                <w:color w:val="0070C0"/>
              </w:rPr>
              <w:t>Guía para la elaboración de una reseña crítica de lectura</w:t>
            </w:r>
          </w:p>
          <w:p w14:paraId="4F22AE19" w14:textId="77777777" w:rsidR="00C7239A" w:rsidRPr="00A61514" w:rsidRDefault="00C7239A" w:rsidP="00104785">
            <w:pPr>
              <w:rPr>
                <w:rFonts w:cstheme="minorHAnsi"/>
                <w:bCs/>
                <w:color w:val="000000" w:themeColor="text1"/>
                <w:sz w:val="20"/>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p w14:paraId="007DCE53" w14:textId="77777777" w:rsidR="00C7239A" w:rsidRPr="0016295D" w:rsidRDefault="00C7239A" w:rsidP="00104785">
            <w:pPr>
              <w:ind w:left="-10"/>
              <w:rPr>
                <w:rFonts w:cstheme="minorHAnsi"/>
                <w:color w:val="000000" w:themeColor="text1"/>
              </w:rPr>
            </w:pPr>
          </w:p>
        </w:tc>
        <w:tc>
          <w:tcPr>
            <w:tcW w:w="3261" w:type="dxa"/>
            <w:shd w:val="clear" w:color="auto" w:fill="auto"/>
          </w:tcPr>
          <w:p w14:paraId="75610670"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lastRenderedPageBreak/>
              <w:t>Realizar la lectura de la sesión.</w:t>
            </w:r>
          </w:p>
          <w:p w14:paraId="2640F10C"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una reseña crítica de la lectura.</w:t>
            </w:r>
          </w:p>
          <w:p w14:paraId="246C3034"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y discusión grupal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tc>
      </w:tr>
      <w:tr w:rsidR="00C7239A" w:rsidRPr="0016295D" w14:paraId="37A567C0" w14:textId="77777777" w:rsidTr="00104785">
        <w:trPr>
          <w:jc w:val="center"/>
        </w:trPr>
        <w:tc>
          <w:tcPr>
            <w:tcW w:w="1271" w:type="dxa"/>
            <w:shd w:val="clear" w:color="auto" w:fill="auto"/>
          </w:tcPr>
          <w:p w14:paraId="47A1DB4A" w14:textId="77777777" w:rsidR="00C7239A" w:rsidRPr="0016295D" w:rsidRDefault="00C7239A" w:rsidP="00104785">
            <w:pPr>
              <w:jc w:val="center"/>
              <w:rPr>
                <w:rFonts w:cstheme="minorHAnsi"/>
              </w:rPr>
            </w:pPr>
            <w:r w:rsidRPr="0016295D">
              <w:rPr>
                <w:rFonts w:cstheme="minorHAnsi"/>
              </w:rPr>
              <w:t>11</w:t>
            </w:r>
          </w:p>
          <w:p w14:paraId="27668B7D" w14:textId="77777777" w:rsidR="00C7239A" w:rsidRPr="0016295D" w:rsidRDefault="00C7239A" w:rsidP="00104785">
            <w:pPr>
              <w:jc w:val="center"/>
              <w:rPr>
                <w:rFonts w:cstheme="minorHAnsi"/>
                <w:color w:val="FF0000"/>
              </w:rPr>
            </w:pPr>
          </w:p>
        </w:tc>
        <w:tc>
          <w:tcPr>
            <w:tcW w:w="2410" w:type="dxa"/>
            <w:shd w:val="clear" w:color="auto" w:fill="auto"/>
          </w:tcPr>
          <w:p w14:paraId="2401F994" w14:textId="77777777" w:rsidR="00C7239A" w:rsidRPr="00665911" w:rsidRDefault="00C7239A" w:rsidP="00104785">
            <w:pPr>
              <w:rPr>
                <w:rFonts w:cstheme="minorHAnsi"/>
                <w:b/>
                <w:bCs/>
              </w:rPr>
            </w:pPr>
            <w:r w:rsidRPr="00665911">
              <w:rPr>
                <w:rFonts w:cstheme="minorHAnsi"/>
                <w:b/>
                <w:bCs/>
              </w:rPr>
              <w:t>Unidad 4: Cartas generales y Apocalipsis</w:t>
            </w:r>
          </w:p>
          <w:p w14:paraId="7AD05AF5" w14:textId="77777777" w:rsidR="00C7239A" w:rsidRPr="000D6B91" w:rsidRDefault="00C7239A" w:rsidP="00104785">
            <w:pPr>
              <w:rPr>
                <w:rFonts w:cstheme="minorHAnsi"/>
              </w:rPr>
            </w:pPr>
            <w:r w:rsidRPr="000D6B91">
              <w:rPr>
                <w:rFonts w:cstheme="minorHAnsi"/>
              </w:rPr>
              <w:t>4.1 Hebreos, Santiago, I y II Pedro, Judas y I, II y II Juan</w:t>
            </w:r>
          </w:p>
          <w:p w14:paraId="263E720D" w14:textId="77777777" w:rsidR="00C7239A" w:rsidRPr="0016295D" w:rsidRDefault="00C7239A" w:rsidP="00104785">
            <w:pPr>
              <w:rPr>
                <w:rFonts w:cstheme="minorHAnsi"/>
                <w:bCs/>
              </w:rPr>
            </w:pPr>
          </w:p>
        </w:tc>
        <w:tc>
          <w:tcPr>
            <w:tcW w:w="3118" w:type="dxa"/>
            <w:shd w:val="clear" w:color="auto" w:fill="auto"/>
          </w:tcPr>
          <w:p w14:paraId="44AA18BE" w14:textId="77777777" w:rsidR="00C7239A" w:rsidRDefault="00C7239A" w:rsidP="00104785">
            <w:pPr>
              <w:rPr>
                <w:rFonts w:cstheme="minorHAnsi"/>
              </w:rPr>
            </w:pPr>
            <w:r>
              <w:rPr>
                <w:rFonts w:cstheme="minorHAnsi"/>
                <w:color w:val="0070C0"/>
              </w:rPr>
              <w:t>Ruta de aprendizaje</w:t>
            </w:r>
          </w:p>
          <w:p w14:paraId="4C83F775" w14:textId="77777777" w:rsidR="00C7239A" w:rsidRPr="00585267" w:rsidRDefault="00C7239A" w:rsidP="00104785">
            <w:pPr>
              <w:rPr>
                <w:rFonts w:cstheme="minorHAnsi"/>
                <w:color w:val="0070C0"/>
              </w:rPr>
            </w:pPr>
            <w:proofErr w:type="spellStart"/>
            <w:r w:rsidRPr="0016295D">
              <w:rPr>
                <w:rFonts w:cstheme="minorHAnsi"/>
              </w:rPr>
              <w:t>Zumstein</w:t>
            </w:r>
            <w:proofErr w:type="spellEnd"/>
            <w:r w:rsidRPr="0016295D">
              <w:rPr>
                <w:rFonts w:cstheme="minorHAnsi"/>
              </w:rPr>
              <w:t xml:space="preserve">, Jean. “Las cartas </w:t>
            </w:r>
            <w:proofErr w:type="spellStart"/>
            <w:r w:rsidRPr="0016295D">
              <w:rPr>
                <w:rFonts w:cstheme="minorHAnsi"/>
              </w:rPr>
              <w:t>joánicas</w:t>
            </w:r>
            <w:proofErr w:type="spellEnd"/>
            <w:r w:rsidRPr="0016295D">
              <w:rPr>
                <w:rFonts w:cstheme="minorHAnsi"/>
              </w:rPr>
              <w:t xml:space="preserve">”. </w:t>
            </w:r>
            <w:r w:rsidRPr="0016295D">
              <w:rPr>
                <w:rFonts w:cstheme="minorHAnsi"/>
                <w:bCs/>
                <w:color w:val="000000" w:themeColor="text1"/>
              </w:rPr>
              <w:t xml:space="preserve">En </w:t>
            </w:r>
            <w:r w:rsidRPr="0016295D">
              <w:rPr>
                <w:rFonts w:cstheme="minorHAnsi"/>
                <w:bCs/>
                <w:i/>
                <w:color w:val="000000" w:themeColor="text1"/>
              </w:rPr>
              <w:t xml:space="preserve">Introducción al Nuevo Testamento: su historia, su escritura, su teología, </w:t>
            </w:r>
            <w:r w:rsidRPr="0016295D">
              <w:rPr>
                <w:rFonts w:cstheme="minorHAnsi"/>
                <w:bCs/>
                <w:color w:val="000000" w:themeColor="text1"/>
              </w:rPr>
              <w:t xml:space="preserve">editado por Daniel </w:t>
            </w:r>
            <w:proofErr w:type="spellStart"/>
            <w:r w:rsidRPr="0016295D">
              <w:rPr>
                <w:rFonts w:cstheme="minorHAnsi"/>
                <w:bCs/>
                <w:color w:val="000000" w:themeColor="text1"/>
              </w:rPr>
              <w:t>Marguerat</w:t>
            </w:r>
            <w:proofErr w:type="spellEnd"/>
            <w:r w:rsidRPr="0016295D">
              <w:rPr>
                <w:rFonts w:cstheme="minorHAnsi"/>
                <w:bCs/>
                <w:color w:val="000000" w:themeColor="text1"/>
              </w:rPr>
              <w:t xml:space="preserve">, 371-386. Bilbao: </w:t>
            </w:r>
            <w:proofErr w:type="spellStart"/>
            <w:r w:rsidRPr="0016295D">
              <w:rPr>
                <w:rFonts w:cstheme="minorHAnsi"/>
                <w:bCs/>
                <w:color w:val="000000" w:themeColor="text1"/>
              </w:rPr>
              <w:t>Desclee</w:t>
            </w:r>
            <w:proofErr w:type="spellEnd"/>
            <w:r w:rsidRPr="0016295D">
              <w:rPr>
                <w:rFonts w:cstheme="minorHAnsi"/>
                <w:bCs/>
                <w:color w:val="000000" w:themeColor="text1"/>
              </w:rPr>
              <w:t xml:space="preserve"> de Brouwer, 2008.</w:t>
            </w:r>
            <w:r>
              <w:rPr>
                <w:rFonts w:cstheme="minorHAnsi"/>
                <w:bCs/>
                <w:color w:val="000000" w:themeColor="text1"/>
              </w:rPr>
              <w:t xml:space="preserve"> </w:t>
            </w:r>
            <w:r w:rsidRPr="00585267">
              <w:rPr>
                <w:rFonts w:cstheme="minorHAnsi"/>
                <w:color w:val="0070C0"/>
              </w:rPr>
              <w:t>(clásico, última edición)</w:t>
            </w:r>
          </w:p>
          <w:p w14:paraId="7DB91373" w14:textId="77777777" w:rsidR="00C7239A" w:rsidRPr="00585267" w:rsidRDefault="00C7239A" w:rsidP="00104785">
            <w:pPr>
              <w:rPr>
                <w:rFonts w:cstheme="minorHAnsi"/>
                <w:color w:val="0070C0"/>
              </w:rPr>
            </w:pPr>
            <w:r w:rsidRPr="0016295D">
              <w:rPr>
                <w:rFonts w:cstheme="minorHAnsi"/>
                <w:color w:val="000000" w:themeColor="text1"/>
              </w:rPr>
              <w:t xml:space="preserve">Piñero, Antonio. “Epístolas católicas. Primera carta de Pedro”. En </w:t>
            </w:r>
            <w:r w:rsidRPr="0016295D">
              <w:rPr>
                <w:rFonts w:cstheme="minorHAnsi"/>
                <w:i/>
                <w:color w:val="000000" w:themeColor="text1"/>
              </w:rPr>
              <w:t xml:space="preserve">Guía para entender el Nuevo Testamento, </w:t>
            </w:r>
            <w:r w:rsidRPr="0016295D">
              <w:rPr>
                <w:rFonts w:cstheme="minorHAnsi"/>
                <w:color w:val="000000" w:themeColor="text1"/>
              </w:rPr>
              <w:t>461-467.</w:t>
            </w:r>
            <w:r w:rsidRPr="0016295D">
              <w:rPr>
                <w:rFonts w:cstheme="minorHAnsi"/>
                <w:i/>
                <w:color w:val="000000" w:themeColor="text1"/>
              </w:rPr>
              <w:t xml:space="preserve"> </w:t>
            </w:r>
            <w:r w:rsidRPr="0016295D">
              <w:rPr>
                <w:rFonts w:cstheme="minorHAnsi"/>
                <w:color w:val="000000" w:themeColor="text1"/>
              </w:rPr>
              <w:t>Madrid: Trotta, 20</w:t>
            </w:r>
            <w:r>
              <w:rPr>
                <w:rFonts w:cstheme="minorHAnsi"/>
                <w:color w:val="000000" w:themeColor="text1"/>
              </w:rPr>
              <w:t>1</w:t>
            </w:r>
            <w:r w:rsidRPr="0016295D">
              <w:rPr>
                <w:rFonts w:cstheme="minorHAnsi"/>
                <w:color w:val="000000" w:themeColor="text1"/>
              </w:rPr>
              <w:t xml:space="preserve">6. </w:t>
            </w:r>
            <w:r w:rsidRPr="00585267">
              <w:rPr>
                <w:rFonts w:cstheme="minorHAnsi"/>
                <w:color w:val="0070C0"/>
              </w:rPr>
              <w:t>(clásico, última edición)</w:t>
            </w:r>
          </w:p>
          <w:p w14:paraId="402C1BB6" w14:textId="77777777" w:rsidR="00C7239A" w:rsidRPr="0016295D" w:rsidRDefault="00C7239A" w:rsidP="00104785">
            <w:pPr>
              <w:rPr>
                <w:rFonts w:cstheme="minorHAnsi"/>
              </w:rPr>
            </w:pPr>
          </w:p>
          <w:p w14:paraId="772FF58C" w14:textId="77777777" w:rsidR="00C7239A" w:rsidRDefault="00C7239A" w:rsidP="00104785">
            <w:pPr>
              <w:ind w:left="-10"/>
              <w:rPr>
                <w:rFonts w:cstheme="minorHAnsi"/>
                <w:b/>
                <w:color w:val="0070C0"/>
              </w:rPr>
            </w:pPr>
            <w:r w:rsidRPr="00E54586">
              <w:rPr>
                <w:rFonts w:cstheme="minorHAnsi"/>
                <w:b/>
                <w:color w:val="0070C0"/>
              </w:rPr>
              <w:t>Material complementario</w:t>
            </w:r>
          </w:p>
          <w:p w14:paraId="05EBF34D" w14:textId="77777777" w:rsidR="00C7239A" w:rsidRDefault="00C7239A" w:rsidP="00104785">
            <w:pPr>
              <w:ind w:left="-10"/>
              <w:rPr>
                <w:rFonts w:cstheme="minorHAnsi"/>
                <w:b/>
                <w:color w:val="0070C0"/>
              </w:rPr>
            </w:pPr>
          </w:p>
          <w:p w14:paraId="47E172C4" w14:textId="77777777" w:rsidR="00C7239A" w:rsidRDefault="00C7239A" w:rsidP="00104785">
            <w:pPr>
              <w:ind w:left="-10"/>
              <w:rPr>
                <w:rFonts w:cstheme="minorHAnsi"/>
                <w:bCs/>
                <w:color w:val="0070C0"/>
              </w:rPr>
            </w:pPr>
            <w:r>
              <w:rPr>
                <w:rFonts w:cstheme="minorHAnsi"/>
                <w:bCs/>
                <w:color w:val="0070C0"/>
              </w:rPr>
              <w:t>Guía para la elaboración de un mapa conceptual</w:t>
            </w:r>
          </w:p>
          <w:p w14:paraId="717DB9FE" w14:textId="3B240544" w:rsidR="00C7239A" w:rsidRPr="005A78BB" w:rsidRDefault="00C7239A" w:rsidP="008E0715">
            <w:pPr>
              <w:ind w:left="-10"/>
              <w:rPr>
                <w:rFonts w:cstheme="minorHAnsi"/>
                <w:bCs/>
                <w:color w:val="0070C0"/>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tc>
        <w:tc>
          <w:tcPr>
            <w:tcW w:w="3261" w:type="dxa"/>
            <w:shd w:val="clear" w:color="auto" w:fill="auto"/>
          </w:tcPr>
          <w:p w14:paraId="7F552A7F"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las lecturas de la sesión.</w:t>
            </w:r>
          </w:p>
          <w:p w14:paraId="014C59A1"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Elaboración de un mapa conceptual. </w:t>
            </w:r>
          </w:p>
          <w:p w14:paraId="691722F8"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Exposición docente y discusión grupal en un encuentro sincrónico</w:t>
            </w:r>
            <w:r>
              <w:rPr>
                <w:rFonts w:cstheme="minorHAnsi"/>
                <w:color w:val="000000" w:themeColor="text1"/>
              </w:rPr>
              <w:t xml:space="preserve"> virtual</w:t>
            </w:r>
            <w:r w:rsidRPr="0016295D">
              <w:rPr>
                <w:rFonts w:cstheme="minorHAnsi"/>
                <w:color w:val="000000" w:themeColor="text1"/>
              </w:rPr>
              <w:t xml:space="preserve"> </w:t>
            </w:r>
            <w:r>
              <w:rPr>
                <w:rFonts w:cstheme="minorHAnsi"/>
                <w:color w:val="000000" w:themeColor="text1"/>
              </w:rPr>
              <w:t>(formativo)</w:t>
            </w:r>
            <w:r w:rsidRPr="0016295D">
              <w:rPr>
                <w:rFonts w:cstheme="minorHAnsi"/>
                <w:color w:val="000000" w:themeColor="text1"/>
              </w:rPr>
              <w:t>.</w:t>
            </w:r>
          </w:p>
        </w:tc>
      </w:tr>
      <w:tr w:rsidR="00C7239A" w:rsidRPr="0016295D" w14:paraId="6AFA612E" w14:textId="77777777" w:rsidTr="00104785">
        <w:trPr>
          <w:jc w:val="center"/>
        </w:trPr>
        <w:tc>
          <w:tcPr>
            <w:tcW w:w="1271" w:type="dxa"/>
            <w:shd w:val="clear" w:color="auto" w:fill="auto"/>
          </w:tcPr>
          <w:p w14:paraId="5F8A0604" w14:textId="77777777" w:rsidR="00C7239A" w:rsidRPr="0016295D" w:rsidRDefault="00C7239A" w:rsidP="00104785">
            <w:pPr>
              <w:jc w:val="center"/>
              <w:rPr>
                <w:rFonts w:cstheme="minorHAnsi"/>
              </w:rPr>
            </w:pPr>
            <w:r w:rsidRPr="0016295D">
              <w:rPr>
                <w:rFonts w:cstheme="minorHAnsi"/>
              </w:rPr>
              <w:t>12</w:t>
            </w:r>
          </w:p>
          <w:p w14:paraId="4D15BC6A" w14:textId="77777777" w:rsidR="00C7239A" w:rsidRPr="0016295D" w:rsidRDefault="00C7239A" w:rsidP="00104785">
            <w:pPr>
              <w:jc w:val="center"/>
              <w:rPr>
                <w:rFonts w:cstheme="minorHAnsi"/>
                <w:color w:val="FF0000"/>
              </w:rPr>
            </w:pPr>
          </w:p>
          <w:p w14:paraId="55EA1D1A" w14:textId="77777777" w:rsidR="00C7239A" w:rsidRPr="0016295D" w:rsidRDefault="00C7239A" w:rsidP="00104785">
            <w:pPr>
              <w:jc w:val="center"/>
              <w:rPr>
                <w:rFonts w:cstheme="minorHAnsi"/>
                <w:color w:val="FF0000"/>
              </w:rPr>
            </w:pPr>
          </w:p>
        </w:tc>
        <w:tc>
          <w:tcPr>
            <w:tcW w:w="2410" w:type="dxa"/>
            <w:shd w:val="clear" w:color="auto" w:fill="auto"/>
          </w:tcPr>
          <w:p w14:paraId="116B4C2F" w14:textId="77777777" w:rsidR="00C7239A" w:rsidRPr="00665911" w:rsidRDefault="00C7239A" w:rsidP="00104785">
            <w:pPr>
              <w:rPr>
                <w:rFonts w:cstheme="minorHAnsi"/>
                <w:b/>
                <w:bCs/>
              </w:rPr>
            </w:pPr>
            <w:r w:rsidRPr="00665911">
              <w:rPr>
                <w:rFonts w:cstheme="minorHAnsi"/>
                <w:b/>
                <w:bCs/>
              </w:rPr>
              <w:t>Unidad 4: Cartas generales y Apocalipsis</w:t>
            </w:r>
          </w:p>
          <w:p w14:paraId="5C566377" w14:textId="77777777" w:rsidR="00C7239A" w:rsidRPr="00750499" w:rsidRDefault="00C7239A" w:rsidP="00104785">
            <w:pPr>
              <w:rPr>
                <w:rFonts w:cstheme="minorHAnsi"/>
              </w:rPr>
            </w:pPr>
            <w:r w:rsidRPr="00750499">
              <w:rPr>
                <w:rFonts w:cstheme="minorHAnsi"/>
              </w:rPr>
              <w:t>4.2 Apocalipsis</w:t>
            </w:r>
          </w:p>
          <w:p w14:paraId="7932B580" w14:textId="77777777" w:rsidR="00C7239A" w:rsidRPr="00246CBB" w:rsidRDefault="00C7239A" w:rsidP="00104785">
            <w:pPr>
              <w:rPr>
                <w:rFonts w:cstheme="minorHAnsi"/>
                <w:strike/>
              </w:rPr>
            </w:pPr>
          </w:p>
        </w:tc>
        <w:tc>
          <w:tcPr>
            <w:tcW w:w="3118" w:type="dxa"/>
            <w:shd w:val="clear" w:color="auto" w:fill="auto"/>
          </w:tcPr>
          <w:p w14:paraId="2969F792" w14:textId="77777777" w:rsidR="00C7239A" w:rsidRDefault="00C7239A" w:rsidP="00104785">
            <w:pPr>
              <w:rPr>
                <w:rFonts w:cstheme="minorHAnsi"/>
                <w:color w:val="000000" w:themeColor="text1"/>
              </w:rPr>
            </w:pPr>
            <w:r>
              <w:rPr>
                <w:rFonts w:cstheme="minorHAnsi"/>
                <w:color w:val="0070C0"/>
              </w:rPr>
              <w:t>Ruta de aprendizaje</w:t>
            </w:r>
          </w:p>
          <w:p w14:paraId="614B707B" w14:textId="77777777" w:rsidR="00C7239A" w:rsidRDefault="00C7239A" w:rsidP="00104785">
            <w:pPr>
              <w:rPr>
                <w:rFonts w:cstheme="minorHAnsi"/>
                <w:color w:val="000000" w:themeColor="text1"/>
              </w:rPr>
            </w:pPr>
            <w:proofErr w:type="spellStart"/>
            <w:r w:rsidRPr="0016295D">
              <w:rPr>
                <w:rFonts w:cstheme="minorHAnsi"/>
                <w:color w:val="000000" w:themeColor="text1"/>
              </w:rPr>
              <w:t>Tuñí</w:t>
            </w:r>
            <w:proofErr w:type="spellEnd"/>
            <w:r w:rsidRPr="0016295D">
              <w:rPr>
                <w:rFonts w:cstheme="minorHAnsi"/>
                <w:color w:val="000000" w:themeColor="text1"/>
              </w:rPr>
              <w:t xml:space="preserve">, Josep y Xavier Alegre. “El Apocalipsis de Juan”. En </w:t>
            </w:r>
            <w:r w:rsidRPr="0016295D">
              <w:rPr>
                <w:rFonts w:cstheme="minorHAnsi"/>
                <w:i/>
                <w:color w:val="000000" w:themeColor="text1"/>
              </w:rPr>
              <w:t xml:space="preserve">Escritos </w:t>
            </w:r>
            <w:proofErr w:type="spellStart"/>
            <w:r w:rsidRPr="0016295D">
              <w:rPr>
                <w:rFonts w:cstheme="minorHAnsi"/>
                <w:i/>
                <w:color w:val="000000" w:themeColor="text1"/>
              </w:rPr>
              <w:t>joánicos</w:t>
            </w:r>
            <w:proofErr w:type="spellEnd"/>
            <w:r w:rsidRPr="0016295D">
              <w:rPr>
                <w:rFonts w:cstheme="minorHAnsi"/>
                <w:i/>
                <w:color w:val="000000" w:themeColor="text1"/>
              </w:rPr>
              <w:t xml:space="preserve"> y cartas católicas: introducción al estudio de la </w:t>
            </w:r>
            <w:r w:rsidRPr="0016295D">
              <w:rPr>
                <w:rFonts w:cstheme="minorHAnsi"/>
                <w:i/>
                <w:color w:val="000000" w:themeColor="text1"/>
              </w:rPr>
              <w:lastRenderedPageBreak/>
              <w:t xml:space="preserve">Biblia, </w:t>
            </w:r>
            <w:r w:rsidRPr="0016295D">
              <w:rPr>
                <w:rFonts w:cstheme="minorHAnsi"/>
                <w:color w:val="000000" w:themeColor="text1"/>
              </w:rPr>
              <w:t>213-257.</w:t>
            </w:r>
            <w:r w:rsidRPr="0016295D">
              <w:rPr>
                <w:rFonts w:cstheme="minorHAnsi"/>
                <w:i/>
                <w:color w:val="000000" w:themeColor="text1"/>
              </w:rPr>
              <w:t xml:space="preserve"> </w:t>
            </w:r>
            <w:r w:rsidRPr="0016295D">
              <w:rPr>
                <w:rFonts w:cstheme="minorHAnsi"/>
                <w:color w:val="000000" w:themeColor="text1"/>
              </w:rPr>
              <w:t>Estella: Verbo Divino, 20</w:t>
            </w:r>
            <w:r>
              <w:rPr>
                <w:rFonts w:cstheme="minorHAnsi"/>
                <w:color w:val="000000" w:themeColor="text1"/>
              </w:rPr>
              <w:t>22</w:t>
            </w:r>
            <w:r w:rsidRPr="0016295D">
              <w:rPr>
                <w:rFonts w:cstheme="minorHAnsi"/>
                <w:color w:val="000000" w:themeColor="text1"/>
              </w:rPr>
              <w:t xml:space="preserve">. </w:t>
            </w:r>
          </w:p>
          <w:p w14:paraId="262713B9" w14:textId="77777777" w:rsidR="00C7239A" w:rsidRDefault="00C7239A" w:rsidP="00104785">
            <w:pPr>
              <w:rPr>
                <w:rFonts w:cstheme="minorHAnsi"/>
                <w:b/>
                <w:color w:val="0070C0"/>
              </w:rPr>
            </w:pPr>
            <w:r w:rsidRPr="00E54586">
              <w:rPr>
                <w:rFonts w:cstheme="minorHAnsi"/>
                <w:b/>
                <w:color w:val="0070C0"/>
              </w:rPr>
              <w:t>Material complementario</w:t>
            </w:r>
          </w:p>
          <w:p w14:paraId="442C6F68" w14:textId="77777777" w:rsidR="00C7239A" w:rsidRDefault="00C7239A" w:rsidP="00104785">
            <w:pPr>
              <w:rPr>
                <w:rFonts w:cstheme="minorHAnsi"/>
                <w:bCs/>
                <w:color w:val="0070C0"/>
              </w:rPr>
            </w:pPr>
            <w:r>
              <w:rPr>
                <w:rFonts w:cstheme="minorHAnsi"/>
                <w:bCs/>
                <w:color w:val="0070C0"/>
              </w:rPr>
              <w:t>Guía para la elaboración de un mapa conceptual</w:t>
            </w:r>
          </w:p>
          <w:p w14:paraId="77BAC264" w14:textId="77777777" w:rsidR="00C7239A" w:rsidRDefault="00C7239A" w:rsidP="00104785">
            <w:pPr>
              <w:rPr>
                <w:rFonts w:cstheme="minorHAnsi"/>
                <w:bCs/>
                <w:color w:val="0070C0"/>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p w14:paraId="3DF4811E" w14:textId="403A7E2A" w:rsidR="00C7239A" w:rsidRPr="0016295D" w:rsidRDefault="00C7239A" w:rsidP="008E0715">
            <w:pPr>
              <w:rPr>
                <w:rFonts w:cstheme="minorHAnsi"/>
                <w:color w:val="000000" w:themeColor="text1"/>
              </w:rPr>
            </w:pPr>
            <w:r>
              <w:rPr>
                <w:rFonts w:cstheme="minorHAnsi"/>
                <w:bCs/>
                <w:color w:val="0070C0"/>
              </w:rPr>
              <w:t>Guía para la participación en un foro en la plataforma Moodle</w:t>
            </w:r>
          </w:p>
        </w:tc>
        <w:tc>
          <w:tcPr>
            <w:tcW w:w="3261" w:type="dxa"/>
            <w:shd w:val="clear" w:color="auto" w:fill="auto"/>
          </w:tcPr>
          <w:p w14:paraId="680A2FF7"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lastRenderedPageBreak/>
              <w:t>Realizar la lectura de la sesión.</w:t>
            </w:r>
          </w:p>
          <w:p w14:paraId="69DF0F4A"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Elaboración de un mapa conceptual.</w:t>
            </w:r>
          </w:p>
          <w:p w14:paraId="2D5A6DB0"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Exposición docente en un encuentro sincrónico </w:t>
            </w:r>
            <w:r>
              <w:rPr>
                <w:rFonts w:cstheme="minorHAnsi"/>
                <w:color w:val="000000" w:themeColor="text1"/>
              </w:rPr>
              <w:t>virtual (formativo)</w:t>
            </w:r>
            <w:r w:rsidRPr="0016295D">
              <w:rPr>
                <w:rFonts w:cstheme="minorHAnsi"/>
                <w:color w:val="000000" w:themeColor="text1"/>
              </w:rPr>
              <w:t>.</w:t>
            </w:r>
          </w:p>
          <w:p w14:paraId="012ED0AF"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lastRenderedPageBreak/>
              <w:t>Participación en el foro temático grupal: El libro del Apocalipsis, donde se realizará una discusión grupal.</w:t>
            </w:r>
          </w:p>
          <w:p w14:paraId="7C087195" w14:textId="77777777" w:rsidR="00C7239A" w:rsidRPr="0016295D" w:rsidRDefault="00C7239A" w:rsidP="00104785">
            <w:pPr>
              <w:ind w:left="227"/>
              <w:rPr>
                <w:rFonts w:cstheme="minorHAnsi"/>
                <w:color w:val="000000" w:themeColor="text1"/>
              </w:rPr>
            </w:pPr>
          </w:p>
        </w:tc>
      </w:tr>
      <w:tr w:rsidR="00C7239A" w:rsidRPr="0016295D" w14:paraId="295D37A0" w14:textId="77777777" w:rsidTr="00104785">
        <w:trPr>
          <w:jc w:val="center"/>
        </w:trPr>
        <w:tc>
          <w:tcPr>
            <w:tcW w:w="1271" w:type="dxa"/>
            <w:shd w:val="clear" w:color="auto" w:fill="auto"/>
          </w:tcPr>
          <w:p w14:paraId="226F176D" w14:textId="77777777" w:rsidR="00C7239A" w:rsidRPr="0016295D" w:rsidRDefault="00C7239A" w:rsidP="00104785">
            <w:pPr>
              <w:jc w:val="center"/>
              <w:rPr>
                <w:rFonts w:cstheme="minorHAnsi"/>
              </w:rPr>
            </w:pPr>
            <w:r w:rsidRPr="0016295D">
              <w:rPr>
                <w:rFonts w:cstheme="minorHAnsi"/>
              </w:rPr>
              <w:lastRenderedPageBreak/>
              <w:t>13</w:t>
            </w:r>
          </w:p>
          <w:p w14:paraId="1AE271DD" w14:textId="77777777" w:rsidR="00C7239A" w:rsidRPr="0016295D" w:rsidRDefault="00C7239A" w:rsidP="00104785">
            <w:pPr>
              <w:jc w:val="center"/>
              <w:rPr>
                <w:rFonts w:cstheme="minorHAnsi"/>
                <w:color w:val="FF0000"/>
              </w:rPr>
            </w:pPr>
          </w:p>
          <w:p w14:paraId="7C36E6C6" w14:textId="77777777" w:rsidR="00C7239A" w:rsidRPr="0016295D" w:rsidRDefault="00C7239A" w:rsidP="00104785">
            <w:pPr>
              <w:jc w:val="center"/>
              <w:rPr>
                <w:rFonts w:cstheme="minorHAnsi"/>
                <w:color w:val="FF0000"/>
              </w:rPr>
            </w:pPr>
          </w:p>
        </w:tc>
        <w:tc>
          <w:tcPr>
            <w:tcW w:w="2410" w:type="dxa"/>
            <w:shd w:val="clear" w:color="auto" w:fill="auto"/>
          </w:tcPr>
          <w:p w14:paraId="614042AC" w14:textId="77777777" w:rsidR="00C7239A" w:rsidRPr="00665911" w:rsidRDefault="00C7239A" w:rsidP="00104785">
            <w:pPr>
              <w:rPr>
                <w:rFonts w:cstheme="minorHAnsi"/>
                <w:b/>
                <w:bCs/>
              </w:rPr>
            </w:pPr>
            <w:r w:rsidRPr="00665911">
              <w:rPr>
                <w:rFonts w:cstheme="minorHAnsi"/>
                <w:b/>
                <w:bCs/>
              </w:rPr>
              <w:t>Unidad 4: Cartas generales y Apocalipsis</w:t>
            </w:r>
          </w:p>
          <w:p w14:paraId="794AAD5A" w14:textId="77777777" w:rsidR="00C7239A" w:rsidRPr="00931F62" w:rsidRDefault="00C7239A" w:rsidP="00104785">
            <w:pPr>
              <w:rPr>
                <w:rFonts w:cstheme="minorHAnsi"/>
              </w:rPr>
            </w:pPr>
            <w:r w:rsidRPr="00931F62">
              <w:rPr>
                <w:rFonts w:cstheme="minorHAnsi"/>
              </w:rPr>
              <w:t>4.2 Apocalipsis</w:t>
            </w:r>
          </w:p>
          <w:p w14:paraId="40E952FA" w14:textId="77777777" w:rsidR="00C7239A" w:rsidRPr="00246CBB" w:rsidRDefault="00C7239A" w:rsidP="00104785">
            <w:pPr>
              <w:rPr>
                <w:rFonts w:cstheme="minorHAnsi"/>
                <w:strike/>
              </w:rPr>
            </w:pPr>
          </w:p>
        </w:tc>
        <w:tc>
          <w:tcPr>
            <w:tcW w:w="3118" w:type="dxa"/>
            <w:shd w:val="clear" w:color="auto" w:fill="auto"/>
          </w:tcPr>
          <w:p w14:paraId="52210F45" w14:textId="77777777" w:rsidR="00C7239A" w:rsidRDefault="00C7239A" w:rsidP="00104785">
            <w:pPr>
              <w:ind w:left="-10"/>
              <w:rPr>
                <w:rFonts w:cstheme="minorHAnsi"/>
                <w:color w:val="000000" w:themeColor="text1"/>
              </w:rPr>
            </w:pPr>
            <w:r>
              <w:rPr>
                <w:rFonts w:cstheme="minorHAnsi"/>
                <w:color w:val="0070C0"/>
              </w:rPr>
              <w:t>Ruta de aprendizaje</w:t>
            </w:r>
          </w:p>
          <w:p w14:paraId="5953AAB9" w14:textId="77777777" w:rsidR="00C7239A" w:rsidRDefault="00C7239A" w:rsidP="00104785">
            <w:pPr>
              <w:ind w:left="-10"/>
              <w:rPr>
                <w:rFonts w:cstheme="minorHAnsi"/>
                <w:color w:val="000000" w:themeColor="text1"/>
              </w:rPr>
            </w:pPr>
          </w:p>
          <w:p w14:paraId="79C9612E" w14:textId="77777777" w:rsidR="00C7239A" w:rsidRDefault="00C7239A" w:rsidP="00104785">
            <w:pPr>
              <w:ind w:left="-10"/>
              <w:rPr>
                <w:rFonts w:cstheme="minorHAnsi"/>
                <w:color w:val="000000" w:themeColor="text1"/>
              </w:rPr>
            </w:pPr>
            <w:proofErr w:type="spellStart"/>
            <w:r w:rsidRPr="0016295D">
              <w:rPr>
                <w:rFonts w:cstheme="minorHAnsi"/>
                <w:color w:val="000000" w:themeColor="text1"/>
              </w:rPr>
              <w:t>Tuñí</w:t>
            </w:r>
            <w:proofErr w:type="spellEnd"/>
            <w:r w:rsidRPr="0016295D">
              <w:rPr>
                <w:rFonts w:cstheme="minorHAnsi"/>
                <w:color w:val="000000" w:themeColor="text1"/>
              </w:rPr>
              <w:t xml:space="preserve">, Josep y Xavier Alegre. “Teología y dimensión socio-histórica”. En </w:t>
            </w:r>
            <w:r w:rsidRPr="0016295D">
              <w:rPr>
                <w:rFonts w:cstheme="minorHAnsi"/>
                <w:i/>
                <w:color w:val="000000" w:themeColor="text1"/>
              </w:rPr>
              <w:t xml:space="preserve">Escritos </w:t>
            </w:r>
            <w:proofErr w:type="spellStart"/>
            <w:r w:rsidRPr="0016295D">
              <w:rPr>
                <w:rFonts w:cstheme="minorHAnsi"/>
                <w:i/>
                <w:color w:val="000000" w:themeColor="text1"/>
              </w:rPr>
              <w:t>joánicos</w:t>
            </w:r>
            <w:proofErr w:type="spellEnd"/>
            <w:r w:rsidRPr="0016295D">
              <w:rPr>
                <w:rFonts w:cstheme="minorHAnsi"/>
                <w:i/>
                <w:color w:val="000000" w:themeColor="text1"/>
              </w:rPr>
              <w:t xml:space="preserve"> y cartas católicas: introducción al estudio de la Biblia, </w:t>
            </w:r>
            <w:r w:rsidRPr="0016295D">
              <w:rPr>
                <w:rFonts w:cstheme="minorHAnsi"/>
                <w:color w:val="000000" w:themeColor="text1"/>
              </w:rPr>
              <w:t>259-287. Estella: Verbo Divino, 20</w:t>
            </w:r>
            <w:r>
              <w:rPr>
                <w:rFonts w:cstheme="minorHAnsi"/>
                <w:color w:val="000000" w:themeColor="text1"/>
              </w:rPr>
              <w:t>22</w:t>
            </w:r>
            <w:r w:rsidRPr="0016295D">
              <w:rPr>
                <w:rFonts w:cstheme="minorHAnsi"/>
                <w:color w:val="000000" w:themeColor="text1"/>
              </w:rPr>
              <w:t>.</w:t>
            </w:r>
          </w:p>
          <w:p w14:paraId="3DA22A15" w14:textId="77777777" w:rsidR="00C7239A" w:rsidRDefault="00C7239A" w:rsidP="00104785">
            <w:pPr>
              <w:ind w:left="-10"/>
              <w:rPr>
                <w:rFonts w:cstheme="minorHAnsi"/>
                <w:color w:val="000000" w:themeColor="text1"/>
              </w:rPr>
            </w:pPr>
          </w:p>
          <w:p w14:paraId="11353196" w14:textId="77777777" w:rsidR="00C7239A" w:rsidRDefault="00C7239A" w:rsidP="00104785">
            <w:pPr>
              <w:ind w:left="-10"/>
              <w:rPr>
                <w:rFonts w:cstheme="minorHAnsi"/>
                <w:b/>
                <w:color w:val="0070C0"/>
              </w:rPr>
            </w:pPr>
            <w:r w:rsidRPr="00E54586">
              <w:rPr>
                <w:rFonts w:cstheme="minorHAnsi"/>
                <w:b/>
                <w:color w:val="0070C0"/>
              </w:rPr>
              <w:t>Material complementario</w:t>
            </w:r>
          </w:p>
          <w:p w14:paraId="40BC05AF" w14:textId="77777777" w:rsidR="00C7239A" w:rsidRDefault="00C7239A" w:rsidP="00104785">
            <w:pPr>
              <w:ind w:left="-10"/>
              <w:rPr>
                <w:rFonts w:cstheme="minorHAnsi"/>
                <w:b/>
                <w:color w:val="0070C0"/>
              </w:rPr>
            </w:pPr>
          </w:p>
          <w:p w14:paraId="0832DB47" w14:textId="77777777" w:rsidR="00C7239A" w:rsidRPr="007F3246" w:rsidRDefault="00C7239A" w:rsidP="00104785">
            <w:pPr>
              <w:ind w:left="-10"/>
              <w:rPr>
                <w:rFonts w:cstheme="minorHAnsi"/>
                <w:bCs/>
                <w:color w:val="000000" w:themeColor="text1"/>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p w14:paraId="2212D7F6" w14:textId="77777777" w:rsidR="00C7239A" w:rsidRPr="0016295D" w:rsidRDefault="00C7239A" w:rsidP="00104785">
            <w:pPr>
              <w:ind w:left="-10"/>
              <w:rPr>
                <w:rFonts w:cstheme="minorHAnsi"/>
                <w:color w:val="000000" w:themeColor="text1"/>
              </w:rPr>
            </w:pPr>
          </w:p>
        </w:tc>
        <w:tc>
          <w:tcPr>
            <w:tcW w:w="3261" w:type="dxa"/>
            <w:shd w:val="clear" w:color="auto" w:fill="auto"/>
          </w:tcPr>
          <w:p w14:paraId="47F3AF70"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Realizar la lectura de la sesión.</w:t>
            </w:r>
          </w:p>
          <w:p w14:paraId="6A9E48EE"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 xml:space="preserve">Cine foro “Big Fish” en un encuentro sincrónico </w:t>
            </w:r>
            <w:r>
              <w:rPr>
                <w:rFonts w:cstheme="minorHAnsi"/>
                <w:color w:val="000000" w:themeColor="text1"/>
              </w:rPr>
              <w:t>virtual (formativo)</w:t>
            </w:r>
            <w:r w:rsidRPr="0016295D">
              <w:rPr>
                <w:rFonts w:cstheme="minorHAnsi"/>
                <w:color w:val="000000" w:themeColor="text1"/>
              </w:rPr>
              <w:t>.</w:t>
            </w:r>
          </w:p>
          <w:p w14:paraId="5560CC38" w14:textId="77777777" w:rsidR="00C7239A"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Retroalimentación docente en el encuentro sincrónico</w:t>
            </w:r>
            <w:r>
              <w:rPr>
                <w:rFonts w:cstheme="minorHAnsi"/>
                <w:color w:val="000000" w:themeColor="text1"/>
              </w:rPr>
              <w:t xml:space="preserve"> virtual</w:t>
            </w:r>
            <w:r w:rsidRPr="0016295D">
              <w:rPr>
                <w:rFonts w:cstheme="minorHAnsi"/>
                <w:color w:val="000000" w:themeColor="text1"/>
              </w:rPr>
              <w:t>.</w:t>
            </w:r>
          </w:p>
          <w:p w14:paraId="7D87608C" w14:textId="77777777" w:rsidR="00C7239A" w:rsidRDefault="00C7239A" w:rsidP="00104785">
            <w:pPr>
              <w:rPr>
                <w:rFonts w:cstheme="minorHAnsi"/>
                <w:color w:val="000000" w:themeColor="text1"/>
              </w:rPr>
            </w:pPr>
          </w:p>
          <w:p w14:paraId="4D8FE3C1" w14:textId="77777777" w:rsidR="00C7239A" w:rsidRDefault="00C7239A" w:rsidP="00104785">
            <w:pPr>
              <w:rPr>
                <w:rFonts w:cstheme="minorHAnsi"/>
                <w:color w:val="000000" w:themeColor="text1"/>
              </w:rPr>
            </w:pPr>
          </w:p>
          <w:p w14:paraId="2421378F" w14:textId="77777777" w:rsidR="00C7239A" w:rsidRPr="0016295D" w:rsidRDefault="00C7239A" w:rsidP="00104785">
            <w:pPr>
              <w:ind w:left="227"/>
              <w:rPr>
                <w:rFonts w:cstheme="minorHAnsi"/>
                <w:color w:val="000000" w:themeColor="text1"/>
              </w:rPr>
            </w:pPr>
          </w:p>
        </w:tc>
      </w:tr>
      <w:tr w:rsidR="00C7239A" w:rsidRPr="0016295D" w14:paraId="15CD542D" w14:textId="77777777" w:rsidTr="00104785">
        <w:trPr>
          <w:jc w:val="center"/>
        </w:trPr>
        <w:tc>
          <w:tcPr>
            <w:tcW w:w="1271" w:type="dxa"/>
            <w:shd w:val="clear" w:color="auto" w:fill="auto"/>
          </w:tcPr>
          <w:p w14:paraId="782BC452" w14:textId="77777777" w:rsidR="00C7239A" w:rsidRPr="0016295D" w:rsidRDefault="00C7239A" w:rsidP="00104785">
            <w:pPr>
              <w:jc w:val="center"/>
              <w:rPr>
                <w:rFonts w:cstheme="minorHAnsi"/>
              </w:rPr>
            </w:pPr>
            <w:r w:rsidRPr="0016295D">
              <w:rPr>
                <w:rFonts w:cstheme="minorHAnsi"/>
              </w:rPr>
              <w:t>14</w:t>
            </w:r>
          </w:p>
          <w:p w14:paraId="42177DC4" w14:textId="77777777" w:rsidR="00C7239A" w:rsidRPr="0016295D" w:rsidRDefault="00C7239A" w:rsidP="00104785">
            <w:pPr>
              <w:jc w:val="center"/>
              <w:rPr>
                <w:rFonts w:cstheme="minorHAnsi"/>
                <w:color w:val="FF0000"/>
              </w:rPr>
            </w:pPr>
          </w:p>
          <w:p w14:paraId="1A40AB56" w14:textId="77777777" w:rsidR="00C7239A" w:rsidRPr="0016295D" w:rsidRDefault="00C7239A" w:rsidP="00104785">
            <w:pPr>
              <w:jc w:val="center"/>
              <w:rPr>
                <w:rFonts w:cstheme="minorHAnsi"/>
                <w:color w:val="FF0000"/>
              </w:rPr>
            </w:pPr>
          </w:p>
        </w:tc>
        <w:tc>
          <w:tcPr>
            <w:tcW w:w="2410" w:type="dxa"/>
            <w:shd w:val="clear" w:color="auto" w:fill="auto"/>
          </w:tcPr>
          <w:p w14:paraId="3DF9C1A2" w14:textId="77777777" w:rsidR="00C7239A" w:rsidRPr="00665911" w:rsidRDefault="00C7239A" w:rsidP="00104785">
            <w:pPr>
              <w:rPr>
                <w:rFonts w:cstheme="minorHAnsi"/>
                <w:b/>
                <w:bCs/>
              </w:rPr>
            </w:pPr>
            <w:r w:rsidRPr="00665911">
              <w:rPr>
                <w:rFonts w:cstheme="minorHAnsi"/>
                <w:b/>
                <w:bCs/>
              </w:rPr>
              <w:t>Unidad 4: Cartas generales y Apocalipsis</w:t>
            </w:r>
          </w:p>
          <w:p w14:paraId="318630F4" w14:textId="77777777" w:rsidR="00C7239A" w:rsidRPr="0016295D" w:rsidRDefault="00C7239A" w:rsidP="00104785">
            <w:pPr>
              <w:rPr>
                <w:rFonts w:cstheme="minorHAnsi"/>
              </w:rPr>
            </w:pPr>
            <w:r>
              <w:rPr>
                <w:rFonts w:cstheme="minorHAnsi"/>
              </w:rPr>
              <w:t>4.3 Entrega y presentación del ensayo final</w:t>
            </w:r>
          </w:p>
        </w:tc>
        <w:tc>
          <w:tcPr>
            <w:tcW w:w="3118" w:type="dxa"/>
            <w:shd w:val="clear" w:color="auto" w:fill="auto"/>
          </w:tcPr>
          <w:p w14:paraId="0410D6F6" w14:textId="77777777" w:rsidR="00C7239A" w:rsidRDefault="00C7239A" w:rsidP="00104785">
            <w:pPr>
              <w:ind w:left="-10"/>
              <w:rPr>
                <w:rFonts w:cstheme="minorHAnsi"/>
                <w:color w:val="0070C0"/>
              </w:rPr>
            </w:pPr>
            <w:r>
              <w:rPr>
                <w:rFonts w:cstheme="minorHAnsi"/>
                <w:color w:val="0070C0"/>
              </w:rPr>
              <w:t>Ruta de aprendizaje</w:t>
            </w:r>
          </w:p>
          <w:p w14:paraId="15135870" w14:textId="77777777" w:rsidR="00C7239A" w:rsidRDefault="00C7239A" w:rsidP="00104785">
            <w:pPr>
              <w:ind w:left="-10"/>
              <w:rPr>
                <w:rFonts w:cstheme="minorHAnsi"/>
                <w:color w:val="0070C0"/>
              </w:rPr>
            </w:pPr>
          </w:p>
          <w:p w14:paraId="22347597" w14:textId="77777777" w:rsidR="00C7239A" w:rsidRDefault="00C7239A" w:rsidP="00104785">
            <w:pPr>
              <w:ind w:left="-10"/>
              <w:rPr>
                <w:rFonts w:cstheme="minorHAnsi"/>
                <w:b/>
                <w:color w:val="0070C0"/>
              </w:rPr>
            </w:pPr>
            <w:r w:rsidRPr="00E54586">
              <w:rPr>
                <w:rFonts w:cstheme="minorHAnsi"/>
                <w:b/>
                <w:color w:val="0070C0"/>
              </w:rPr>
              <w:t>Material complementario</w:t>
            </w:r>
          </w:p>
          <w:p w14:paraId="17569FC7" w14:textId="77777777" w:rsidR="00C7239A" w:rsidRDefault="00C7239A" w:rsidP="00104785">
            <w:pPr>
              <w:ind w:left="-10"/>
              <w:rPr>
                <w:rFonts w:cstheme="minorHAnsi"/>
                <w:bCs/>
                <w:color w:val="0070C0"/>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p w14:paraId="713C4445" w14:textId="77777777" w:rsidR="00C7239A" w:rsidRPr="002C27DA" w:rsidRDefault="00C7239A" w:rsidP="00104785">
            <w:pPr>
              <w:ind w:left="-10"/>
              <w:rPr>
                <w:rFonts w:cstheme="minorHAnsi"/>
                <w:bCs/>
                <w:color w:val="000000" w:themeColor="text1"/>
              </w:rPr>
            </w:pPr>
          </w:p>
        </w:tc>
        <w:tc>
          <w:tcPr>
            <w:tcW w:w="3261" w:type="dxa"/>
            <w:shd w:val="clear" w:color="auto" w:fill="auto"/>
          </w:tcPr>
          <w:p w14:paraId="30140700"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lastRenderedPageBreak/>
              <w:t>Entrega del ensayo final.</w:t>
            </w:r>
          </w:p>
          <w:p w14:paraId="0B5D4F43"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Presentación del ensayo final en un encuentro sincrónico</w:t>
            </w:r>
            <w:r>
              <w:rPr>
                <w:rFonts w:cstheme="minorHAnsi"/>
                <w:color w:val="000000" w:themeColor="text1"/>
              </w:rPr>
              <w:t xml:space="preserve"> virtual</w:t>
            </w:r>
            <w:r w:rsidRPr="0016295D">
              <w:rPr>
                <w:rFonts w:cstheme="minorHAnsi"/>
                <w:color w:val="000000" w:themeColor="text1"/>
              </w:rPr>
              <w:t>, donde se realizará una discusión grupal y retroalimentación docente</w:t>
            </w:r>
            <w:r>
              <w:rPr>
                <w:rFonts w:cstheme="minorHAnsi"/>
                <w:color w:val="000000" w:themeColor="text1"/>
              </w:rPr>
              <w:t xml:space="preserve"> (formativo)</w:t>
            </w:r>
            <w:r w:rsidRPr="0016295D">
              <w:rPr>
                <w:rFonts w:cstheme="minorHAnsi"/>
                <w:color w:val="000000" w:themeColor="text1"/>
              </w:rPr>
              <w:t>.</w:t>
            </w:r>
          </w:p>
          <w:p w14:paraId="15B68307" w14:textId="77777777" w:rsidR="00C7239A" w:rsidRPr="0016295D" w:rsidRDefault="00C7239A" w:rsidP="00104785">
            <w:pPr>
              <w:ind w:left="227"/>
              <w:rPr>
                <w:rFonts w:cstheme="minorHAnsi"/>
                <w:color w:val="000000" w:themeColor="text1"/>
              </w:rPr>
            </w:pPr>
          </w:p>
        </w:tc>
      </w:tr>
      <w:tr w:rsidR="00C7239A" w:rsidRPr="00F02DAB" w14:paraId="038D6DB5" w14:textId="77777777" w:rsidTr="00104785">
        <w:trPr>
          <w:jc w:val="center"/>
        </w:trPr>
        <w:tc>
          <w:tcPr>
            <w:tcW w:w="1271" w:type="dxa"/>
            <w:shd w:val="clear" w:color="auto" w:fill="auto"/>
          </w:tcPr>
          <w:p w14:paraId="0122F168" w14:textId="77777777" w:rsidR="00C7239A" w:rsidRPr="0016295D" w:rsidRDefault="00C7239A" w:rsidP="00104785">
            <w:pPr>
              <w:jc w:val="center"/>
              <w:rPr>
                <w:rFonts w:cstheme="minorHAnsi"/>
              </w:rPr>
            </w:pPr>
            <w:r w:rsidRPr="0016295D">
              <w:rPr>
                <w:rFonts w:cstheme="minorHAnsi"/>
              </w:rPr>
              <w:t>15</w:t>
            </w:r>
          </w:p>
          <w:p w14:paraId="3493D8F5" w14:textId="77777777" w:rsidR="00C7239A" w:rsidRPr="0016295D" w:rsidRDefault="00C7239A" w:rsidP="00104785">
            <w:pPr>
              <w:jc w:val="center"/>
              <w:rPr>
                <w:rFonts w:cstheme="minorHAnsi"/>
                <w:color w:val="FF0000"/>
              </w:rPr>
            </w:pPr>
          </w:p>
          <w:p w14:paraId="26F6EEFF" w14:textId="77777777" w:rsidR="00C7239A" w:rsidRPr="0016295D" w:rsidRDefault="00C7239A" w:rsidP="00104785">
            <w:pPr>
              <w:jc w:val="center"/>
              <w:rPr>
                <w:rFonts w:cstheme="minorHAnsi"/>
              </w:rPr>
            </w:pPr>
          </w:p>
        </w:tc>
        <w:tc>
          <w:tcPr>
            <w:tcW w:w="2410" w:type="dxa"/>
            <w:shd w:val="clear" w:color="auto" w:fill="auto"/>
          </w:tcPr>
          <w:p w14:paraId="6A3B7042" w14:textId="77777777" w:rsidR="00C7239A" w:rsidRPr="00665911" w:rsidRDefault="00C7239A" w:rsidP="00104785">
            <w:pPr>
              <w:rPr>
                <w:rFonts w:cstheme="minorHAnsi"/>
                <w:b/>
                <w:bCs/>
              </w:rPr>
            </w:pPr>
            <w:r w:rsidRPr="00665911">
              <w:rPr>
                <w:rFonts w:cstheme="minorHAnsi"/>
                <w:b/>
                <w:bCs/>
              </w:rPr>
              <w:t>Unidad 4: Cartas generales y Apocalipsis</w:t>
            </w:r>
          </w:p>
          <w:p w14:paraId="054E7E57" w14:textId="77777777" w:rsidR="00C7239A" w:rsidRDefault="00C7239A" w:rsidP="00104785">
            <w:pPr>
              <w:rPr>
                <w:rFonts w:cstheme="minorHAnsi"/>
              </w:rPr>
            </w:pPr>
            <w:r>
              <w:rPr>
                <w:rFonts w:cstheme="minorHAnsi"/>
              </w:rPr>
              <w:t>4.3 Entrega y presentación del ensayo final</w:t>
            </w:r>
          </w:p>
          <w:p w14:paraId="2F51900C" w14:textId="77777777" w:rsidR="00C7239A" w:rsidRPr="0016295D" w:rsidRDefault="00C7239A" w:rsidP="00104785">
            <w:pPr>
              <w:rPr>
                <w:rFonts w:cstheme="minorHAnsi"/>
              </w:rPr>
            </w:pPr>
          </w:p>
        </w:tc>
        <w:tc>
          <w:tcPr>
            <w:tcW w:w="3118" w:type="dxa"/>
            <w:shd w:val="clear" w:color="auto" w:fill="auto"/>
          </w:tcPr>
          <w:p w14:paraId="670FD7ED" w14:textId="77777777" w:rsidR="00C7239A" w:rsidRDefault="00C7239A" w:rsidP="00104785">
            <w:pPr>
              <w:ind w:left="-10"/>
              <w:rPr>
                <w:rFonts w:cstheme="minorHAnsi"/>
                <w:color w:val="0070C0"/>
              </w:rPr>
            </w:pPr>
            <w:r>
              <w:rPr>
                <w:rFonts w:cstheme="minorHAnsi"/>
                <w:color w:val="0070C0"/>
              </w:rPr>
              <w:t>Ruta de aprendizaje</w:t>
            </w:r>
          </w:p>
          <w:p w14:paraId="65DB8872" w14:textId="77777777" w:rsidR="00C7239A" w:rsidRDefault="00C7239A" w:rsidP="00104785">
            <w:pPr>
              <w:ind w:left="-10"/>
              <w:rPr>
                <w:rFonts w:cstheme="minorHAnsi"/>
                <w:color w:val="0070C0"/>
              </w:rPr>
            </w:pPr>
          </w:p>
          <w:p w14:paraId="320E6617" w14:textId="77777777" w:rsidR="00C7239A" w:rsidRDefault="00C7239A" w:rsidP="00104785">
            <w:pPr>
              <w:ind w:left="-10"/>
              <w:rPr>
                <w:rFonts w:cstheme="minorHAnsi"/>
                <w:b/>
                <w:color w:val="0070C0"/>
              </w:rPr>
            </w:pPr>
            <w:r w:rsidRPr="00E54586">
              <w:rPr>
                <w:rFonts w:cstheme="minorHAnsi"/>
                <w:b/>
                <w:color w:val="0070C0"/>
              </w:rPr>
              <w:t>Material complementario</w:t>
            </w:r>
          </w:p>
          <w:p w14:paraId="6276F242" w14:textId="77777777" w:rsidR="00C7239A" w:rsidRDefault="00C7239A" w:rsidP="00104785">
            <w:pPr>
              <w:ind w:left="-10"/>
              <w:rPr>
                <w:rFonts w:cstheme="minorHAnsi"/>
                <w:bCs/>
                <w:color w:val="0070C0"/>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p w14:paraId="042E24B3" w14:textId="77777777" w:rsidR="00C7239A" w:rsidRDefault="00C7239A" w:rsidP="00104785">
            <w:pPr>
              <w:ind w:left="-10"/>
              <w:rPr>
                <w:rFonts w:cstheme="minorHAnsi"/>
                <w:bCs/>
                <w:color w:val="0070C0"/>
              </w:rPr>
            </w:pPr>
            <w:r>
              <w:rPr>
                <w:rFonts w:cstheme="minorHAnsi"/>
                <w:bCs/>
                <w:color w:val="0070C0"/>
              </w:rPr>
              <w:t>Guía para la participación en un foro en la plataforma Moodle</w:t>
            </w:r>
          </w:p>
          <w:p w14:paraId="7942A18B" w14:textId="77777777" w:rsidR="00C7239A" w:rsidRPr="00C820DD" w:rsidRDefault="00C7239A" w:rsidP="00104785">
            <w:pPr>
              <w:ind w:left="-10"/>
              <w:rPr>
                <w:rFonts w:cstheme="minorHAnsi"/>
                <w:bCs/>
                <w:color w:val="0070C0"/>
              </w:rPr>
            </w:pPr>
          </w:p>
        </w:tc>
        <w:tc>
          <w:tcPr>
            <w:tcW w:w="3261" w:type="dxa"/>
            <w:shd w:val="clear" w:color="auto" w:fill="auto"/>
          </w:tcPr>
          <w:p w14:paraId="0C3C4C62"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Presentación del ensayo final en un encuentro sincrónico</w:t>
            </w:r>
            <w:r>
              <w:rPr>
                <w:rFonts w:cstheme="minorHAnsi"/>
                <w:color w:val="000000" w:themeColor="text1"/>
              </w:rPr>
              <w:t xml:space="preserve"> virtual</w:t>
            </w:r>
            <w:r w:rsidRPr="0016295D">
              <w:rPr>
                <w:rFonts w:cstheme="minorHAnsi"/>
                <w:color w:val="000000" w:themeColor="text1"/>
              </w:rPr>
              <w:t>, donde se realizará una discusión grupal y retroalimentación docente</w:t>
            </w:r>
            <w:r>
              <w:rPr>
                <w:rFonts w:cstheme="minorHAnsi"/>
                <w:color w:val="000000" w:themeColor="text1"/>
              </w:rPr>
              <w:t xml:space="preserve"> (formativo)</w:t>
            </w:r>
            <w:r w:rsidRPr="0016295D">
              <w:rPr>
                <w:rFonts w:cstheme="minorHAnsi"/>
                <w:color w:val="000000" w:themeColor="text1"/>
              </w:rPr>
              <w:t>.</w:t>
            </w:r>
          </w:p>
          <w:p w14:paraId="004AFAE3" w14:textId="77777777" w:rsidR="00C7239A" w:rsidRPr="0016295D" w:rsidRDefault="00C7239A" w:rsidP="00C7239A">
            <w:pPr>
              <w:numPr>
                <w:ilvl w:val="0"/>
                <w:numId w:val="103"/>
              </w:numPr>
              <w:spacing w:after="0" w:line="240" w:lineRule="auto"/>
              <w:rPr>
                <w:rFonts w:cstheme="minorHAnsi"/>
                <w:color w:val="000000" w:themeColor="text1"/>
              </w:rPr>
            </w:pPr>
            <w:r w:rsidRPr="0016295D">
              <w:rPr>
                <w:rFonts w:cstheme="minorHAnsi"/>
                <w:color w:val="000000" w:themeColor="text1"/>
              </w:rPr>
              <w:t>Participación en el foro social: Evaluación del curso</w:t>
            </w:r>
            <w:r>
              <w:rPr>
                <w:rFonts w:cstheme="minorHAnsi"/>
                <w:color w:val="000000" w:themeColor="text1"/>
              </w:rPr>
              <w:t xml:space="preserve"> (formativo)</w:t>
            </w:r>
            <w:r w:rsidRPr="0016295D">
              <w:rPr>
                <w:rFonts w:cstheme="minorHAnsi"/>
                <w:color w:val="000000" w:themeColor="text1"/>
              </w:rPr>
              <w:t>.</w:t>
            </w:r>
          </w:p>
          <w:p w14:paraId="57877B2E" w14:textId="77777777" w:rsidR="00C7239A" w:rsidRPr="0016295D" w:rsidRDefault="00C7239A" w:rsidP="00104785">
            <w:pPr>
              <w:ind w:left="227"/>
              <w:rPr>
                <w:rFonts w:cstheme="minorHAnsi"/>
                <w:color w:val="000000" w:themeColor="text1"/>
              </w:rPr>
            </w:pPr>
          </w:p>
        </w:tc>
      </w:tr>
    </w:tbl>
    <w:p w14:paraId="63B65A05" w14:textId="77777777" w:rsidR="00C7239A" w:rsidRPr="00F24BC3" w:rsidRDefault="00C7239A" w:rsidP="00C7239A">
      <w:pPr>
        <w:jc w:val="both"/>
        <w:rPr>
          <w:rFonts w:cstheme="minorHAnsi"/>
          <w:b/>
          <w:bCs/>
          <w:color w:val="000000" w:themeColor="text1"/>
        </w:rPr>
      </w:pPr>
    </w:p>
    <w:p w14:paraId="65A86488" w14:textId="77777777" w:rsidR="00C7239A" w:rsidRDefault="00C7239A" w:rsidP="00C7239A">
      <w:pPr>
        <w:jc w:val="both"/>
        <w:rPr>
          <w:rFonts w:cstheme="minorHAnsi"/>
          <w:b/>
          <w:bCs/>
          <w:color w:val="000000" w:themeColor="text1"/>
        </w:rPr>
      </w:pPr>
    </w:p>
    <w:p w14:paraId="082592C5" w14:textId="77777777" w:rsidR="00C7239A" w:rsidRPr="00F24BC3" w:rsidRDefault="00C7239A" w:rsidP="00C7239A">
      <w:pPr>
        <w:jc w:val="both"/>
        <w:rPr>
          <w:rFonts w:cstheme="minorHAnsi"/>
          <w:b/>
          <w:bCs/>
          <w:color w:val="000000" w:themeColor="text1"/>
        </w:rPr>
      </w:pPr>
      <w:r w:rsidRPr="00F24BC3">
        <w:rPr>
          <w:rFonts w:cstheme="minorHAnsi"/>
          <w:b/>
          <w:bCs/>
          <w:color w:val="000000" w:themeColor="text1"/>
        </w:rPr>
        <w:t>IX. Distribución de tiempo semanal</w:t>
      </w:r>
    </w:p>
    <w:p w14:paraId="247C4F7B" w14:textId="77777777" w:rsidR="00C7239A" w:rsidRPr="00F24BC3" w:rsidRDefault="00C7239A" w:rsidP="00C7239A">
      <w:pPr>
        <w:jc w:val="both"/>
        <w:rPr>
          <w:rFonts w:cstheme="minorHAnsi"/>
          <w:bCs/>
          <w:color w:val="000000" w:themeColor="text1"/>
        </w:rPr>
      </w:pPr>
      <w:r w:rsidRPr="00F24BC3">
        <w:rPr>
          <w:rFonts w:cstheme="minorHAnsi"/>
          <w:bCs/>
          <w:color w:val="000000" w:themeColor="text1"/>
        </w:rPr>
        <w:t>Al se</w:t>
      </w:r>
      <w:r>
        <w:rPr>
          <w:rFonts w:cstheme="minorHAnsi"/>
          <w:bCs/>
          <w:color w:val="000000" w:themeColor="text1"/>
        </w:rPr>
        <w:t xml:space="preserve">r este un curso impartido en modalidad virtual </w:t>
      </w:r>
      <w:r w:rsidRPr="00F24BC3">
        <w:rPr>
          <w:rFonts w:cstheme="minorHAnsi"/>
          <w:bCs/>
          <w:color w:val="000000" w:themeColor="text1"/>
        </w:rPr>
        <w:t>no se requiere la asistencia a clases presenciales.  Por ello, cada semana se asignan actividades que los</w:t>
      </w:r>
      <w:r>
        <w:rPr>
          <w:rFonts w:cstheme="minorHAnsi"/>
          <w:bCs/>
          <w:color w:val="000000" w:themeColor="text1"/>
        </w:rPr>
        <w:t xml:space="preserve"> y las</w:t>
      </w:r>
      <w:r w:rsidRPr="00F24BC3">
        <w:rPr>
          <w:rFonts w:cstheme="minorHAnsi"/>
          <w:bCs/>
          <w:color w:val="000000" w:themeColor="text1"/>
        </w:rPr>
        <w:t xml:space="preserve"> estudiantes deben realizar para promover el diálogo con los contenidos y la asimilación de los tem</w:t>
      </w:r>
      <w:r>
        <w:rPr>
          <w:rFonts w:cstheme="minorHAnsi"/>
          <w:bCs/>
          <w:color w:val="000000" w:themeColor="text1"/>
        </w:rPr>
        <w:t>as a través de lectura y</w:t>
      </w:r>
      <w:r w:rsidRPr="00F24BC3">
        <w:rPr>
          <w:rFonts w:cstheme="minorHAnsi"/>
          <w:bCs/>
          <w:color w:val="000000" w:themeColor="text1"/>
        </w:rPr>
        <w:t xml:space="preserve"> análisis</w:t>
      </w:r>
      <w:r>
        <w:rPr>
          <w:rFonts w:cstheme="minorHAnsi"/>
          <w:bCs/>
          <w:color w:val="000000" w:themeColor="text1"/>
        </w:rPr>
        <w:t xml:space="preserve"> de textos, tareas, reseñas</w:t>
      </w:r>
      <w:r w:rsidRPr="00F24BC3">
        <w:rPr>
          <w:rFonts w:cstheme="minorHAnsi"/>
          <w:bCs/>
          <w:color w:val="000000" w:themeColor="text1"/>
        </w:rPr>
        <w:t>, discusiones en foros o trabajos colaborativos.  Debe considerarse que, al tener este curso asignados 4 créditos, se debe invertir 12 horas de trabajo por semana.  La distribución de tiempos es la siguiente:</w:t>
      </w:r>
    </w:p>
    <w:p w14:paraId="5001F933" w14:textId="77777777" w:rsidR="00C7239A" w:rsidRPr="00F24BC3" w:rsidRDefault="00C7239A" w:rsidP="00C7239A">
      <w:pPr>
        <w:jc w:val="both"/>
        <w:rPr>
          <w:rFonts w:cstheme="minorHAnsi"/>
          <w:bCs/>
          <w:color w:val="000000" w:themeColor="text1"/>
        </w:rPr>
      </w:pPr>
    </w:p>
    <w:tbl>
      <w:tblPr>
        <w:tblStyle w:val="Tablaconcuadrcula"/>
        <w:tblW w:w="8784" w:type="dxa"/>
        <w:tblLook w:val="04A0" w:firstRow="1" w:lastRow="0" w:firstColumn="1" w:lastColumn="0" w:noHBand="0" w:noVBand="1"/>
      </w:tblPr>
      <w:tblGrid>
        <w:gridCol w:w="1980"/>
        <w:gridCol w:w="1417"/>
        <w:gridCol w:w="5387"/>
      </w:tblGrid>
      <w:tr w:rsidR="00C7239A" w:rsidRPr="00F24BC3" w14:paraId="7726F1BD" w14:textId="77777777" w:rsidTr="00104785">
        <w:tc>
          <w:tcPr>
            <w:tcW w:w="1980" w:type="dxa"/>
          </w:tcPr>
          <w:p w14:paraId="76C1F95C" w14:textId="77777777" w:rsidR="00C7239A" w:rsidRPr="00F24BC3" w:rsidRDefault="00C7239A" w:rsidP="00104785">
            <w:pPr>
              <w:jc w:val="center"/>
              <w:rPr>
                <w:rFonts w:cstheme="minorHAnsi"/>
                <w:b/>
                <w:bCs/>
                <w:color w:val="000000" w:themeColor="text1"/>
              </w:rPr>
            </w:pPr>
            <w:r w:rsidRPr="00F24BC3">
              <w:rPr>
                <w:rFonts w:cstheme="minorHAnsi"/>
                <w:b/>
                <w:bCs/>
                <w:color w:val="000000" w:themeColor="text1"/>
              </w:rPr>
              <w:t>Tipo de horas</w:t>
            </w:r>
          </w:p>
          <w:p w14:paraId="0A88247A" w14:textId="77777777" w:rsidR="00C7239A" w:rsidRPr="00F24BC3" w:rsidRDefault="00C7239A" w:rsidP="00104785">
            <w:pPr>
              <w:jc w:val="center"/>
              <w:rPr>
                <w:rFonts w:cstheme="minorHAnsi"/>
                <w:b/>
                <w:bCs/>
                <w:color w:val="000000" w:themeColor="text1"/>
              </w:rPr>
            </w:pPr>
            <w:r w:rsidRPr="00F24BC3">
              <w:rPr>
                <w:rFonts w:cstheme="minorHAnsi"/>
                <w:b/>
                <w:bCs/>
                <w:color w:val="000000" w:themeColor="text1"/>
              </w:rPr>
              <w:t>(categoría)</w:t>
            </w:r>
          </w:p>
        </w:tc>
        <w:tc>
          <w:tcPr>
            <w:tcW w:w="1417" w:type="dxa"/>
          </w:tcPr>
          <w:p w14:paraId="23EC1F15" w14:textId="77777777" w:rsidR="00C7239A" w:rsidRPr="00F24BC3" w:rsidRDefault="00C7239A" w:rsidP="00104785">
            <w:pPr>
              <w:jc w:val="center"/>
              <w:rPr>
                <w:rFonts w:cstheme="minorHAnsi"/>
                <w:b/>
                <w:bCs/>
                <w:color w:val="000000" w:themeColor="text1"/>
              </w:rPr>
            </w:pPr>
            <w:r w:rsidRPr="00F24BC3">
              <w:rPr>
                <w:rFonts w:cstheme="minorHAnsi"/>
                <w:b/>
                <w:bCs/>
                <w:color w:val="000000" w:themeColor="text1"/>
              </w:rPr>
              <w:t>Horas por semana</w:t>
            </w:r>
          </w:p>
        </w:tc>
        <w:tc>
          <w:tcPr>
            <w:tcW w:w="5387" w:type="dxa"/>
            <w:vAlign w:val="center"/>
          </w:tcPr>
          <w:p w14:paraId="34713C66" w14:textId="77777777" w:rsidR="00C7239A" w:rsidRPr="00F24BC3" w:rsidRDefault="00C7239A" w:rsidP="00104785">
            <w:pPr>
              <w:jc w:val="center"/>
              <w:rPr>
                <w:rFonts w:cstheme="minorHAnsi"/>
                <w:b/>
                <w:bCs/>
                <w:color w:val="000000" w:themeColor="text1"/>
              </w:rPr>
            </w:pPr>
            <w:r w:rsidRPr="00F24BC3">
              <w:rPr>
                <w:rFonts w:cstheme="minorHAnsi"/>
                <w:b/>
                <w:bCs/>
                <w:color w:val="000000" w:themeColor="text1"/>
              </w:rPr>
              <w:t>Actividades relacionadas</w:t>
            </w:r>
          </w:p>
        </w:tc>
      </w:tr>
      <w:tr w:rsidR="00C7239A" w:rsidRPr="00F24BC3" w14:paraId="07AB3975" w14:textId="77777777" w:rsidTr="00104785">
        <w:trPr>
          <w:trHeight w:val="607"/>
        </w:trPr>
        <w:tc>
          <w:tcPr>
            <w:tcW w:w="1980" w:type="dxa"/>
            <w:vAlign w:val="center"/>
          </w:tcPr>
          <w:p w14:paraId="2C14D3F3" w14:textId="77777777" w:rsidR="00C7239A" w:rsidRPr="00F24BC3" w:rsidRDefault="00C7239A" w:rsidP="00104785">
            <w:pPr>
              <w:jc w:val="center"/>
              <w:rPr>
                <w:rFonts w:cstheme="minorHAnsi"/>
                <w:bCs/>
                <w:color w:val="000000" w:themeColor="text1"/>
              </w:rPr>
            </w:pPr>
            <w:r w:rsidRPr="00F24BC3">
              <w:rPr>
                <w:rFonts w:cstheme="minorHAnsi"/>
                <w:bCs/>
                <w:color w:val="000000" w:themeColor="text1"/>
              </w:rPr>
              <w:t>Horas de Estudio Individual (HEI)</w:t>
            </w:r>
          </w:p>
        </w:tc>
        <w:tc>
          <w:tcPr>
            <w:tcW w:w="1417" w:type="dxa"/>
            <w:vAlign w:val="center"/>
          </w:tcPr>
          <w:p w14:paraId="3613E785" w14:textId="77777777" w:rsidR="00C7239A" w:rsidRPr="00F24BC3" w:rsidRDefault="00C7239A" w:rsidP="00104785">
            <w:pPr>
              <w:jc w:val="center"/>
              <w:rPr>
                <w:rFonts w:cstheme="minorHAnsi"/>
                <w:bCs/>
                <w:color w:val="000000" w:themeColor="text1"/>
              </w:rPr>
            </w:pPr>
            <w:r>
              <w:rPr>
                <w:rFonts w:cstheme="minorHAnsi"/>
                <w:bCs/>
                <w:color w:val="000000" w:themeColor="text1"/>
              </w:rPr>
              <w:t>4</w:t>
            </w:r>
          </w:p>
        </w:tc>
        <w:tc>
          <w:tcPr>
            <w:tcW w:w="5387" w:type="dxa"/>
          </w:tcPr>
          <w:p w14:paraId="34A5B5C7" w14:textId="77777777" w:rsidR="00C7239A" w:rsidRPr="00F24BC3" w:rsidRDefault="00C7239A" w:rsidP="00C7239A">
            <w:pPr>
              <w:pStyle w:val="Prrafodelista"/>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F24BC3">
              <w:rPr>
                <w:rFonts w:asciiTheme="minorHAnsi" w:hAnsiTheme="minorHAnsi" w:cstheme="minorHAnsi"/>
                <w:bCs/>
                <w:color w:val="000000" w:themeColor="text1"/>
              </w:rPr>
              <w:t>Lectura de los textos (materiales en formato digital)</w:t>
            </w:r>
            <w:r>
              <w:rPr>
                <w:rFonts w:asciiTheme="minorHAnsi" w:hAnsiTheme="minorHAnsi" w:cstheme="minorHAnsi"/>
                <w:bCs/>
                <w:color w:val="000000" w:themeColor="text1"/>
              </w:rPr>
              <w:t>.</w:t>
            </w:r>
          </w:p>
          <w:p w14:paraId="543B72AD" w14:textId="77777777" w:rsidR="00C7239A" w:rsidRPr="00F24BC3" w:rsidRDefault="00C7239A" w:rsidP="00C7239A">
            <w:pPr>
              <w:pStyle w:val="Prrafodelista"/>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F24BC3">
              <w:rPr>
                <w:rFonts w:asciiTheme="minorHAnsi" w:hAnsiTheme="minorHAnsi" w:cstheme="minorHAnsi"/>
                <w:bCs/>
                <w:color w:val="000000" w:themeColor="text1"/>
              </w:rPr>
              <w:t>Análisis de lecturas e investigación por cuenta propia</w:t>
            </w:r>
            <w:r>
              <w:rPr>
                <w:rFonts w:asciiTheme="minorHAnsi" w:hAnsiTheme="minorHAnsi" w:cstheme="minorHAnsi"/>
                <w:bCs/>
                <w:color w:val="000000" w:themeColor="text1"/>
              </w:rPr>
              <w:t>.</w:t>
            </w:r>
          </w:p>
        </w:tc>
      </w:tr>
      <w:tr w:rsidR="00C7239A" w:rsidRPr="00F24BC3" w14:paraId="0CF5DC00" w14:textId="77777777" w:rsidTr="00104785">
        <w:trPr>
          <w:trHeight w:val="985"/>
        </w:trPr>
        <w:tc>
          <w:tcPr>
            <w:tcW w:w="1980" w:type="dxa"/>
            <w:vAlign w:val="center"/>
          </w:tcPr>
          <w:p w14:paraId="4EC7F27A" w14:textId="77777777" w:rsidR="00C7239A" w:rsidRPr="00F24BC3" w:rsidRDefault="00C7239A" w:rsidP="00104785">
            <w:pPr>
              <w:jc w:val="center"/>
              <w:rPr>
                <w:rFonts w:cstheme="minorHAnsi"/>
                <w:bCs/>
                <w:color w:val="000000" w:themeColor="text1"/>
              </w:rPr>
            </w:pPr>
            <w:r w:rsidRPr="00F24BC3">
              <w:rPr>
                <w:rFonts w:cstheme="minorHAnsi"/>
                <w:bCs/>
                <w:color w:val="000000" w:themeColor="text1"/>
              </w:rPr>
              <w:t>Horas de Trabajo Colaborativo (HTC)</w:t>
            </w:r>
          </w:p>
        </w:tc>
        <w:tc>
          <w:tcPr>
            <w:tcW w:w="1417" w:type="dxa"/>
            <w:vAlign w:val="center"/>
          </w:tcPr>
          <w:p w14:paraId="67AE1C44" w14:textId="77777777" w:rsidR="00C7239A" w:rsidRPr="00F24BC3" w:rsidRDefault="00C7239A" w:rsidP="00104785">
            <w:pPr>
              <w:jc w:val="center"/>
              <w:rPr>
                <w:rFonts w:cstheme="minorHAnsi"/>
                <w:bCs/>
                <w:color w:val="000000" w:themeColor="text1"/>
              </w:rPr>
            </w:pPr>
            <w:r>
              <w:rPr>
                <w:rFonts w:cstheme="minorHAnsi"/>
                <w:bCs/>
                <w:color w:val="000000" w:themeColor="text1"/>
              </w:rPr>
              <w:t>2</w:t>
            </w:r>
          </w:p>
        </w:tc>
        <w:tc>
          <w:tcPr>
            <w:tcW w:w="5387" w:type="dxa"/>
          </w:tcPr>
          <w:p w14:paraId="1D7F56C4" w14:textId="77777777" w:rsidR="00C7239A" w:rsidRDefault="00C7239A" w:rsidP="00C7239A">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F24BC3">
              <w:rPr>
                <w:rFonts w:asciiTheme="minorHAnsi" w:hAnsiTheme="minorHAnsi" w:cstheme="minorHAnsi"/>
                <w:bCs/>
                <w:color w:val="000000" w:themeColor="text1"/>
              </w:rPr>
              <w:t>Participación en los foros temáticos (incluye aportes personales y réplicas a los</w:t>
            </w:r>
            <w:r>
              <w:rPr>
                <w:rFonts w:asciiTheme="minorHAnsi" w:hAnsiTheme="minorHAnsi" w:cstheme="minorHAnsi"/>
                <w:bCs/>
                <w:color w:val="000000" w:themeColor="text1"/>
              </w:rPr>
              <w:t xml:space="preserve"> y las</w:t>
            </w:r>
            <w:r w:rsidRPr="00F24BC3">
              <w:rPr>
                <w:rFonts w:asciiTheme="minorHAnsi" w:hAnsiTheme="minorHAnsi" w:cstheme="minorHAnsi"/>
                <w:bCs/>
                <w:color w:val="000000" w:themeColor="text1"/>
              </w:rPr>
              <w:t xml:space="preserve"> demás estudiantes)</w:t>
            </w:r>
            <w:r>
              <w:rPr>
                <w:rFonts w:asciiTheme="minorHAnsi" w:hAnsiTheme="minorHAnsi" w:cstheme="minorHAnsi"/>
                <w:bCs/>
                <w:color w:val="000000" w:themeColor="text1"/>
              </w:rPr>
              <w:t>.</w:t>
            </w:r>
          </w:p>
          <w:p w14:paraId="39304C8F" w14:textId="77777777" w:rsidR="00C7239A" w:rsidRPr="00F24BC3" w:rsidRDefault="00C7239A" w:rsidP="00C7239A">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C7239A" w:rsidRPr="00F24BC3" w14:paraId="086E56EA" w14:textId="77777777" w:rsidTr="00104785">
        <w:trPr>
          <w:trHeight w:val="971"/>
        </w:trPr>
        <w:tc>
          <w:tcPr>
            <w:tcW w:w="1980" w:type="dxa"/>
            <w:vAlign w:val="center"/>
          </w:tcPr>
          <w:p w14:paraId="4F059B81" w14:textId="77777777" w:rsidR="00C7239A" w:rsidRPr="00F24BC3" w:rsidRDefault="00C7239A" w:rsidP="00104785">
            <w:pPr>
              <w:jc w:val="center"/>
              <w:rPr>
                <w:rFonts w:cstheme="minorHAnsi"/>
                <w:bCs/>
                <w:color w:val="000000" w:themeColor="text1"/>
              </w:rPr>
            </w:pPr>
            <w:r w:rsidRPr="00F24BC3">
              <w:rPr>
                <w:rFonts w:cstheme="minorHAnsi"/>
                <w:bCs/>
                <w:color w:val="000000" w:themeColor="text1"/>
              </w:rPr>
              <w:t>Horas de Producción Individual (HPI)</w:t>
            </w:r>
          </w:p>
        </w:tc>
        <w:tc>
          <w:tcPr>
            <w:tcW w:w="1417" w:type="dxa"/>
            <w:vAlign w:val="center"/>
          </w:tcPr>
          <w:p w14:paraId="252B83D9" w14:textId="77777777" w:rsidR="00C7239A" w:rsidRPr="00F24BC3" w:rsidRDefault="00C7239A" w:rsidP="00104785">
            <w:pPr>
              <w:jc w:val="center"/>
              <w:rPr>
                <w:rFonts w:cstheme="minorHAnsi"/>
                <w:bCs/>
                <w:color w:val="000000" w:themeColor="text1"/>
              </w:rPr>
            </w:pPr>
            <w:r w:rsidRPr="00F24BC3">
              <w:rPr>
                <w:rFonts w:cstheme="minorHAnsi"/>
                <w:bCs/>
                <w:color w:val="000000" w:themeColor="text1"/>
              </w:rPr>
              <w:t>6</w:t>
            </w:r>
          </w:p>
        </w:tc>
        <w:tc>
          <w:tcPr>
            <w:tcW w:w="5387" w:type="dxa"/>
          </w:tcPr>
          <w:p w14:paraId="116DE976" w14:textId="77777777" w:rsidR="00C7239A" w:rsidRDefault="00C7239A" w:rsidP="00C7239A">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mapas conceptuales.</w:t>
            </w:r>
          </w:p>
          <w:p w14:paraId="40A20E3D" w14:textId="77777777" w:rsidR="00C7239A" w:rsidRPr="00F24BC3" w:rsidRDefault="00C7239A" w:rsidP="00C7239A">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reseñas críticas de lecturas.</w:t>
            </w:r>
          </w:p>
          <w:p w14:paraId="240900BF" w14:textId="77777777" w:rsidR="00C7239A" w:rsidRPr="00F24BC3" w:rsidRDefault="00C7239A" w:rsidP="00C7239A">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w:t>
            </w:r>
            <w:r w:rsidRPr="00F24BC3">
              <w:rPr>
                <w:rFonts w:asciiTheme="minorHAnsi" w:hAnsiTheme="minorHAnsi" w:cstheme="minorHAnsi"/>
                <w:bCs/>
                <w:color w:val="000000" w:themeColor="text1"/>
              </w:rPr>
              <w:t>e</w:t>
            </w:r>
            <w:r>
              <w:rPr>
                <w:rFonts w:asciiTheme="minorHAnsi" w:hAnsiTheme="minorHAnsi" w:cstheme="minorHAnsi"/>
                <w:bCs/>
                <w:color w:val="000000" w:themeColor="text1"/>
              </w:rPr>
              <w:t>l ensayo final.</w:t>
            </w:r>
          </w:p>
        </w:tc>
      </w:tr>
      <w:tr w:rsidR="00C7239A" w:rsidRPr="00F24BC3" w14:paraId="4DCA4E0D" w14:textId="77777777" w:rsidTr="00104785">
        <w:tc>
          <w:tcPr>
            <w:tcW w:w="1980" w:type="dxa"/>
          </w:tcPr>
          <w:p w14:paraId="0C08F2FA" w14:textId="77777777" w:rsidR="00C7239A" w:rsidRPr="00F24BC3" w:rsidRDefault="00C7239A" w:rsidP="00104785">
            <w:pPr>
              <w:rPr>
                <w:rFonts w:cstheme="minorHAnsi"/>
                <w:b/>
                <w:bCs/>
                <w:color w:val="000000" w:themeColor="text1"/>
              </w:rPr>
            </w:pPr>
            <w:r w:rsidRPr="00F24BC3">
              <w:rPr>
                <w:rFonts w:cstheme="minorHAnsi"/>
                <w:b/>
                <w:bCs/>
                <w:color w:val="000000" w:themeColor="text1"/>
              </w:rPr>
              <w:t>Total de horas (TH)</w:t>
            </w:r>
          </w:p>
        </w:tc>
        <w:tc>
          <w:tcPr>
            <w:tcW w:w="1417" w:type="dxa"/>
          </w:tcPr>
          <w:p w14:paraId="4E5E1B7D" w14:textId="77777777" w:rsidR="00C7239A" w:rsidRPr="00F24BC3" w:rsidRDefault="00C7239A" w:rsidP="00104785">
            <w:pPr>
              <w:jc w:val="center"/>
              <w:rPr>
                <w:rFonts w:cstheme="minorHAnsi"/>
                <w:b/>
                <w:bCs/>
                <w:color w:val="000000" w:themeColor="text1"/>
              </w:rPr>
            </w:pPr>
            <w:r w:rsidRPr="00F24BC3">
              <w:rPr>
                <w:rFonts w:cstheme="minorHAnsi"/>
                <w:b/>
                <w:bCs/>
                <w:color w:val="000000" w:themeColor="text1"/>
              </w:rPr>
              <w:t>12</w:t>
            </w:r>
          </w:p>
        </w:tc>
        <w:tc>
          <w:tcPr>
            <w:tcW w:w="5387" w:type="dxa"/>
          </w:tcPr>
          <w:p w14:paraId="0B516CDF" w14:textId="77777777" w:rsidR="00C7239A" w:rsidRPr="00F24BC3" w:rsidRDefault="00C7239A" w:rsidP="00104785">
            <w:pPr>
              <w:jc w:val="center"/>
              <w:rPr>
                <w:rFonts w:cstheme="minorHAnsi"/>
                <w:b/>
                <w:bCs/>
                <w:color w:val="000000" w:themeColor="text1"/>
              </w:rPr>
            </w:pPr>
          </w:p>
        </w:tc>
      </w:tr>
    </w:tbl>
    <w:p w14:paraId="6521148C" w14:textId="77777777" w:rsidR="00C7239A" w:rsidRPr="00F24BC3" w:rsidRDefault="00C7239A" w:rsidP="00C7239A">
      <w:pPr>
        <w:jc w:val="both"/>
        <w:rPr>
          <w:rFonts w:cstheme="minorHAnsi"/>
          <w:bCs/>
          <w:color w:val="000000" w:themeColor="text1"/>
        </w:rPr>
      </w:pPr>
    </w:p>
    <w:p w14:paraId="411E382B" w14:textId="77777777" w:rsidR="00C7239A" w:rsidRDefault="00C7239A" w:rsidP="00C7239A">
      <w:pPr>
        <w:jc w:val="both"/>
        <w:rPr>
          <w:rFonts w:cstheme="minorHAnsi"/>
          <w:bCs/>
          <w:color w:val="000000" w:themeColor="text1"/>
        </w:rPr>
      </w:pPr>
      <w:r w:rsidRPr="00F24BC3">
        <w:rPr>
          <w:rFonts w:cstheme="minorHAnsi"/>
          <w:bCs/>
          <w:color w:val="000000" w:themeColor="text1"/>
        </w:rPr>
        <w:t>Las horas de trabajo en cada categoría corresponden a un promedio estimado semanal.  Dependiendo de la programaci</w:t>
      </w:r>
      <w:r>
        <w:rPr>
          <w:rFonts w:cstheme="minorHAnsi"/>
          <w:bCs/>
          <w:color w:val="000000" w:themeColor="text1"/>
        </w:rPr>
        <w:t xml:space="preserve">ón estipulada en el cronograma </w:t>
      </w:r>
      <w:r w:rsidRPr="00F24BC3">
        <w:rPr>
          <w:rFonts w:cstheme="minorHAnsi"/>
          <w:bCs/>
          <w:color w:val="000000" w:themeColor="text1"/>
        </w:rPr>
        <w:t xml:space="preserve">se podrá requerir un mayor o menor tiempo de dedicación a cada tipo de actividad durante una semana específica.  Sin embargo, el curso </w:t>
      </w:r>
      <w:r w:rsidRPr="00F24BC3">
        <w:rPr>
          <w:rFonts w:cstheme="minorHAnsi"/>
          <w:bCs/>
          <w:color w:val="000000" w:themeColor="text1"/>
        </w:rPr>
        <w:lastRenderedPageBreak/>
        <w:t>está diseñado de forma que el total de horas semanale</w:t>
      </w:r>
      <w:r>
        <w:rPr>
          <w:rFonts w:cstheme="minorHAnsi"/>
          <w:bCs/>
          <w:color w:val="000000" w:themeColor="text1"/>
        </w:rPr>
        <w:t xml:space="preserve">s nunca sobrepase las 12 horas. </w:t>
      </w:r>
      <w:r w:rsidRPr="00F24BC3">
        <w:rPr>
          <w:rFonts w:cstheme="minorHAnsi"/>
          <w:bCs/>
          <w:color w:val="000000" w:themeColor="text1"/>
        </w:rPr>
        <w:t>La distribución de tiempos por tipo de horas (categoría) es congruente, en todos sus extremos, con lo que establece el plan de estudios de la modalidad virtual.</w:t>
      </w:r>
    </w:p>
    <w:p w14:paraId="3F5DA662" w14:textId="77777777" w:rsidR="00C7239A" w:rsidRDefault="00C7239A" w:rsidP="00C7239A">
      <w:pPr>
        <w:jc w:val="both"/>
        <w:rPr>
          <w:rFonts w:cstheme="minorHAnsi"/>
          <w:bCs/>
          <w:color w:val="000000" w:themeColor="text1"/>
        </w:rPr>
      </w:pPr>
    </w:p>
    <w:p w14:paraId="47E97066" w14:textId="77777777" w:rsidR="00C7239A" w:rsidRDefault="00C7239A" w:rsidP="00C7239A">
      <w:pPr>
        <w:jc w:val="both"/>
        <w:rPr>
          <w:rFonts w:cstheme="minorHAnsi"/>
          <w:b/>
          <w:bCs/>
          <w:color w:val="000000" w:themeColor="text1"/>
        </w:rPr>
      </w:pPr>
      <w:r w:rsidRPr="00544F2C">
        <w:rPr>
          <w:rFonts w:cstheme="minorHAnsi"/>
          <w:b/>
          <w:color w:val="000000" w:themeColor="text1"/>
        </w:rPr>
        <w:t>X</w:t>
      </w:r>
      <w:r w:rsidRPr="00F24BC3">
        <w:rPr>
          <w:rFonts w:cstheme="minorHAnsi"/>
          <w:b/>
          <w:bCs/>
          <w:color w:val="000000" w:themeColor="text1"/>
        </w:rPr>
        <w:t>. Evaluación</w:t>
      </w:r>
    </w:p>
    <w:p w14:paraId="6189E733" w14:textId="77777777" w:rsidR="00C7239A" w:rsidRDefault="00C7239A" w:rsidP="00C7239A">
      <w:pPr>
        <w:jc w:val="both"/>
        <w:rPr>
          <w:rFonts w:cstheme="minorHAnsi"/>
          <w:color w:val="000000" w:themeColor="text1"/>
        </w:rPr>
      </w:pPr>
      <w:r w:rsidRPr="000E2B12">
        <w:rPr>
          <w:rFonts w:cstheme="minorHAnsi"/>
          <w:color w:val="000000" w:themeColor="text1"/>
        </w:rPr>
        <w:t>La evaluación sumativa se basará en la elaboración de reseñas críticas de lecturas y mapas conceptuales a nivel individual. También habrá trabajo grupal a través de foros temáticos virtuales. Al finalizar el curso se entregará un ensayo final de una carta, libro o tema del curso. Se considera la asistencia a los encuentros sincrónicos virtuales y la participación en el aula virtual como fundamentales por la naturaleza teórica del curso. El curso se aprueba con una nota mínima de 7.00 (en escala decimal). La evaluación sumativa se basa en los elementos plasmados a continuación:</w:t>
      </w:r>
    </w:p>
    <w:p w14:paraId="3A234C0C" w14:textId="77777777" w:rsidR="00C7239A" w:rsidRDefault="00C7239A" w:rsidP="00C7239A">
      <w:pPr>
        <w:jc w:val="both"/>
        <w:rPr>
          <w:rFonts w:cstheme="minorHAnsi"/>
          <w:color w:val="000000" w:themeColor="text1"/>
        </w:rPr>
      </w:pPr>
    </w:p>
    <w:tbl>
      <w:tblPr>
        <w:tblStyle w:val="Tablaconcuadrcula"/>
        <w:tblW w:w="0" w:type="auto"/>
        <w:tblLook w:val="04A0" w:firstRow="1" w:lastRow="0" w:firstColumn="1" w:lastColumn="0" w:noHBand="0" w:noVBand="1"/>
      </w:tblPr>
      <w:tblGrid>
        <w:gridCol w:w="7225"/>
        <w:gridCol w:w="1603"/>
      </w:tblGrid>
      <w:tr w:rsidR="00C7239A" w14:paraId="0117B2A9" w14:textId="77777777" w:rsidTr="00104785">
        <w:tc>
          <w:tcPr>
            <w:tcW w:w="8828" w:type="dxa"/>
            <w:gridSpan w:val="2"/>
          </w:tcPr>
          <w:p w14:paraId="77292906" w14:textId="77777777" w:rsidR="00C7239A" w:rsidRDefault="00C7239A" w:rsidP="00104785">
            <w:pPr>
              <w:jc w:val="center"/>
              <w:rPr>
                <w:rFonts w:cstheme="minorHAnsi"/>
                <w:color w:val="000000" w:themeColor="text1"/>
              </w:rPr>
            </w:pPr>
            <w:r w:rsidRPr="00F24BC3">
              <w:rPr>
                <w:rFonts w:cstheme="minorHAnsi"/>
                <w:b/>
                <w:bCs/>
                <w:color w:val="000000" w:themeColor="text1"/>
              </w:rPr>
              <w:t>Síntesis cuantitativa de la evaluación</w:t>
            </w:r>
          </w:p>
        </w:tc>
      </w:tr>
      <w:tr w:rsidR="00C7239A" w14:paraId="5A35D6FD" w14:textId="77777777" w:rsidTr="00104785">
        <w:tc>
          <w:tcPr>
            <w:tcW w:w="7225" w:type="dxa"/>
          </w:tcPr>
          <w:p w14:paraId="052DAB08" w14:textId="77777777" w:rsidR="00C7239A" w:rsidRPr="00E4459E" w:rsidRDefault="00C7239A" w:rsidP="00104785">
            <w:pPr>
              <w:jc w:val="both"/>
              <w:rPr>
                <w:rFonts w:cstheme="minorHAnsi"/>
                <w:b/>
                <w:bCs/>
                <w:color w:val="000000" w:themeColor="text1"/>
              </w:rPr>
            </w:pPr>
            <w:r w:rsidRPr="00E4459E">
              <w:rPr>
                <w:rFonts w:cstheme="minorHAnsi"/>
                <w:b/>
                <w:bCs/>
                <w:color w:val="000000" w:themeColor="text1"/>
              </w:rPr>
              <w:t>Rubros para evaluar</w:t>
            </w:r>
          </w:p>
        </w:tc>
        <w:tc>
          <w:tcPr>
            <w:tcW w:w="1603" w:type="dxa"/>
          </w:tcPr>
          <w:p w14:paraId="4406F6C6" w14:textId="77777777" w:rsidR="00C7239A" w:rsidRDefault="00C7239A" w:rsidP="00104785">
            <w:pPr>
              <w:jc w:val="center"/>
              <w:rPr>
                <w:rFonts w:cstheme="minorHAnsi"/>
                <w:color w:val="000000" w:themeColor="text1"/>
              </w:rPr>
            </w:pPr>
            <w:r w:rsidRPr="00F24BC3">
              <w:rPr>
                <w:rFonts w:cstheme="minorHAnsi"/>
                <w:b/>
                <w:bCs/>
                <w:color w:val="000000" w:themeColor="text1"/>
              </w:rPr>
              <w:t>Porcentaje</w:t>
            </w:r>
            <w:r>
              <w:rPr>
                <w:rFonts w:cstheme="minorHAnsi"/>
                <w:b/>
                <w:bCs/>
                <w:color w:val="000000" w:themeColor="text1"/>
              </w:rPr>
              <w:t xml:space="preserve"> total</w:t>
            </w:r>
          </w:p>
        </w:tc>
      </w:tr>
      <w:tr w:rsidR="00C7239A" w14:paraId="3695E0B8" w14:textId="77777777" w:rsidTr="00104785">
        <w:tc>
          <w:tcPr>
            <w:tcW w:w="7225" w:type="dxa"/>
          </w:tcPr>
          <w:p w14:paraId="5E858651" w14:textId="77777777" w:rsidR="00C7239A" w:rsidRDefault="00C7239A" w:rsidP="00104785">
            <w:pPr>
              <w:jc w:val="both"/>
              <w:rPr>
                <w:rFonts w:cstheme="minorHAnsi"/>
                <w:b/>
                <w:bCs/>
                <w:i/>
                <w:iCs/>
                <w:color w:val="000000" w:themeColor="text1"/>
              </w:rPr>
            </w:pPr>
            <w:r>
              <w:rPr>
                <w:rFonts w:cstheme="minorHAnsi"/>
                <w:b/>
                <w:bCs/>
                <w:i/>
                <w:iCs/>
                <w:color w:val="000000" w:themeColor="text1"/>
              </w:rPr>
              <w:t>E</w:t>
            </w:r>
            <w:r w:rsidRPr="00B83AC5">
              <w:rPr>
                <w:rFonts w:cstheme="minorHAnsi"/>
                <w:b/>
                <w:bCs/>
                <w:i/>
                <w:iCs/>
                <w:color w:val="000000" w:themeColor="text1"/>
              </w:rPr>
              <w:t>ncuentros sincrónicos virtuales</w:t>
            </w:r>
          </w:p>
          <w:p w14:paraId="437ECC88" w14:textId="77777777" w:rsidR="00C7239A" w:rsidRPr="00B83AC5" w:rsidRDefault="00C7239A" w:rsidP="00104785">
            <w:pPr>
              <w:jc w:val="both"/>
              <w:rPr>
                <w:rFonts w:cstheme="minorHAnsi"/>
                <w:color w:val="000000" w:themeColor="text1"/>
              </w:rPr>
            </w:pPr>
            <w:r>
              <w:rPr>
                <w:rFonts w:cstheme="minorHAnsi"/>
                <w:color w:val="000000" w:themeColor="text1"/>
              </w:rPr>
              <w:t>D</w:t>
            </w:r>
            <w:r w:rsidRPr="00B83AC5">
              <w:rPr>
                <w:rFonts w:cstheme="minorHAnsi"/>
                <w:color w:val="000000" w:themeColor="text1"/>
              </w:rPr>
              <w:t xml:space="preserve">urante todo el curso se realizan encuentros sincrónicos virtuales, los cuales tienen un valor formativo y no sumativo. </w:t>
            </w:r>
          </w:p>
        </w:tc>
        <w:tc>
          <w:tcPr>
            <w:tcW w:w="1603" w:type="dxa"/>
            <w:vAlign w:val="center"/>
          </w:tcPr>
          <w:p w14:paraId="727967F4" w14:textId="77777777" w:rsidR="00C7239A" w:rsidRDefault="00C7239A" w:rsidP="00104785">
            <w:pPr>
              <w:jc w:val="center"/>
              <w:rPr>
                <w:rFonts w:cstheme="minorHAnsi"/>
                <w:color w:val="000000" w:themeColor="text1"/>
              </w:rPr>
            </w:pPr>
            <w:r>
              <w:rPr>
                <w:rFonts w:ascii="Calibri" w:hAnsi="Calibri" w:cs="Calibri"/>
                <w:color w:val="000000" w:themeColor="text1"/>
              </w:rPr>
              <w:t>̶</w:t>
            </w:r>
            <w:r>
              <w:rPr>
                <w:rFonts w:cstheme="minorHAnsi"/>
                <w:color w:val="000000" w:themeColor="text1"/>
              </w:rPr>
              <w:t>̶</w:t>
            </w:r>
          </w:p>
        </w:tc>
      </w:tr>
      <w:tr w:rsidR="00C7239A" w14:paraId="53F696AB" w14:textId="77777777" w:rsidTr="00104785">
        <w:tc>
          <w:tcPr>
            <w:tcW w:w="7225" w:type="dxa"/>
          </w:tcPr>
          <w:p w14:paraId="2EDACE08" w14:textId="77777777" w:rsidR="00C7239A" w:rsidRPr="0059784A" w:rsidRDefault="00C7239A" w:rsidP="00104785">
            <w:pPr>
              <w:jc w:val="both"/>
              <w:rPr>
                <w:rFonts w:cstheme="minorHAnsi"/>
                <w:b/>
                <w:bCs/>
                <w:i/>
                <w:iCs/>
                <w:color w:val="0070C0"/>
              </w:rPr>
            </w:pPr>
            <w:r w:rsidRPr="0059784A">
              <w:rPr>
                <w:rFonts w:cstheme="minorHAnsi"/>
                <w:b/>
                <w:bCs/>
                <w:i/>
                <w:iCs/>
                <w:color w:val="0070C0"/>
              </w:rPr>
              <w:t>Foros temáticos</w:t>
            </w:r>
          </w:p>
          <w:p w14:paraId="1B1EE4EC" w14:textId="77777777" w:rsidR="00C7239A" w:rsidRPr="00517A75" w:rsidRDefault="00C7239A" w:rsidP="00104785">
            <w:pPr>
              <w:jc w:val="both"/>
              <w:rPr>
                <w:rFonts w:cstheme="minorHAnsi"/>
                <w:color w:val="000000" w:themeColor="text1"/>
              </w:rPr>
            </w:pPr>
            <w:r w:rsidRPr="0059784A">
              <w:rPr>
                <w:rFonts w:cstheme="minorHAnsi"/>
                <w:color w:val="0070C0"/>
              </w:rPr>
              <w:t>La participación en el aula virtual comprende los foros temáticos grupales de las sesiones 2, 4, 6 y 7, los cuales tienen un valor de 4% cada uno; así como los foros temáticos grupales de las sesiones 5 y 12, los cuales tiene un valor de 2% cada uno.</w:t>
            </w:r>
          </w:p>
        </w:tc>
        <w:tc>
          <w:tcPr>
            <w:tcW w:w="1603" w:type="dxa"/>
            <w:vAlign w:val="center"/>
          </w:tcPr>
          <w:p w14:paraId="0B40E750" w14:textId="77777777" w:rsidR="00C7239A" w:rsidRDefault="00C7239A" w:rsidP="00104785">
            <w:pPr>
              <w:jc w:val="center"/>
              <w:rPr>
                <w:rFonts w:ascii="Calibri" w:hAnsi="Calibri" w:cs="Calibri"/>
                <w:color w:val="000000" w:themeColor="text1"/>
              </w:rPr>
            </w:pPr>
            <w:r w:rsidRPr="0059784A">
              <w:rPr>
                <w:rFonts w:cstheme="minorHAnsi"/>
                <w:color w:val="0070C0"/>
              </w:rPr>
              <w:t>20%</w:t>
            </w:r>
          </w:p>
        </w:tc>
      </w:tr>
      <w:tr w:rsidR="00C7239A" w14:paraId="5CA72160" w14:textId="77777777" w:rsidTr="00104785">
        <w:tc>
          <w:tcPr>
            <w:tcW w:w="7225" w:type="dxa"/>
          </w:tcPr>
          <w:p w14:paraId="35FEF736" w14:textId="77777777" w:rsidR="00C7239A" w:rsidRPr="00F83AEB" w:rsidRDefault="00C7239A" w:rsidP="00104785">
            <w:pPr>
              <w:jc w:val="both"/>
              <w:rPr>
                <w:rFonts w:cstheme="minorHAnsi"/>
                <w:b/>
                <w:bCs/>
                <w:i/>
                <w:iCs/>
                <w:color w:val="000000" w:themeColor="text1"/>
              </w:rPr>
            </w:pPr>
            <w:r w:rsidRPr="00F83AEB">
              <w:rPr>
                <w:rFonts w:cstheme="minorHAnsi"/>
                <w:b/>
                <w:bCs/>
                <w:i/>
                <w:iCs/>
                <w:color w:val="000000" w:themeColor="text1"/>
              </w:rPr>
              <w:t>Reseña crítica de lectura</w:t>
            </w:r>
          </w:p>
          <w:p w14:paraId="115EAB56" w14:textId="77777777" w:rsidR="00C7239A" w:rsidRDefault="00C7239A" w:rsidP="00104785">
            <w:pPr>
              <w:jc w:val="both"/>
              <w:rPr>
                <w:rFonts w:cstheme="minorHAnsi"/>
                <w:color w:val="000000" w:themeColor="text1"/>
              </w:rPr>
            </w:pPr>
            <w:r>
              <w:rPr>
                <w:rFonts w:cstheme="minorHAnsi"/>
                <w:color w:val="000000" w:themeColor="text1"/>
              </w:rPr>
              <w:t>Se elaboran e</w:t>
            </w:r>
            <w:r w:rsidRPr="00F83AEB">
              <w:rPr>
                <w:rFonts w:cstheme="minorHAnsi"/>
                <w:color w:val="000000" w:themeColor="text1"/>
              </w:rPr>
              <w:t>n las sesiones 3, 4, 5, 9, y 10</w:t>
            </w:r>
            <w:r>
              <w:rPr>
                <w:rFonts w:cstheme="minorHAnsi"/>
                <w:color w:val="000000" w:themeColor="text1"/>
              </w:rPr>
              <w:t>. Cada reseña tiene un valor de 4%.</w:t>
            </w:r>
          </w:p>
        </w:tc>
        <w:tc>
          <w:tcPr>
            <w:tcW w:w="1603" w:type="dxa"/>
            <w:vAlign w:val="center"/>
          </w:tcPr>
          <w:p w14:paraId="77DFB81D" w14:textId="77777777" w:rsidR="00C7239A" w:rsidRDefault="00C7239A" w:rsidP="00104785">
            <w:pPr>
              <w:jc w:val="center"/>
              <w:rPr>
                <w:rFonts w:cstheme="minorHAnsi"/>
                <w:color w:val="000000" w:themeColor="text1"/>
              </w:rPr>
            </w:pPr>
            <w:r>
              <w:rPr>
                <w:rFonts w:cstheme="minorHAnsi"/>
                <w:color w:val="000000" w:themeColor="text1"/>
              </w:rPr>
              <w:t>20%</w:t>
            </w:r>
          </w:p>
        </w:tc>
      </w:tr>
      <w:tr w:rsidR="00C7239A" w14:paraId="6F5B4DC2" w14:textId="77777777" w:rsidTr="00104785">
        <w:tc>
          <w:tcPr>
            <w:tcW w:w="7225" w:type="dxa"/>
          </w:tcPr>
          <w:p w14:paraId="12B84EFF" w14:textId="77777777" w:rsidR="00C7239A" w:rsidRPr="00F83AEB" w:rsidRDefault="00C7239A" w:rsidP="00104785">
            <w:pPr>
              <w:jc w:val="both"/>
              <w:rPr>
                <w:rFonts w:cstheme="minorHAnsi"/>
                <w:b/>
                <w:bCs/>
                <w:i/>
                <w:iCs/>
                <w:color w:val="000000" w:themeColor="text1"/>
              </w:rPr>
            </w:pPr>
            <w:r w:rsidRPr="00F83AEB">
              <w:rPr>
                <w:rFonts w:cstheme="minorHAnsi"/>
                <w:b/>
                <w:bCs/>
                <w:i/>
                <w:iCs/>
                <w:color w:val="000000" w:themeColor="text1"/>
              </w:rPr>
              <w:t>Mapa conceptual</w:t>
            </w:r>
          </w:p>
          <w:p w14:paraId="43BB4E6D" w14:textId="77777777" w:rsidR="00C7239A" w:rsidRDefault="00C7239A" w:rsidP="00104785">
            <w:pPr>
              <w:jc w:val="both"/>
              <w:rPr>
                <w:rFonts w:cstheme="minorHAnsi"/>
                <w:color w:val="000000" w:themeColor="text1"/>
              </w:rPr>
            </w:pPr>
            <w:r>
              <w:rPr>
                <w:rFonts w:cstheme="minorHAnsi"/>
                <w:color w:val="000000" w:themeColor="text1"/>
              </w:rPr>
              <w:t>Se elaboran e</w:t>
            </w:r>
            <w:r w:rsidRPr="00F83AEB">
              <w:rPr>
                <w:rFonts w:cstheme="minorHAnsi"/>
                <w:color w:val="000000" w:themeColor="text1"/>
              </w:rPr>
              <w:t>n las sesiones 6, 7, 8, 11 y 12</w:t>
            </w:r>
            <w:r>
              <w:rPr>
                <w:rFonts w:cstheme="minorHAnsi"/>
                <w:color w:val="000000" w:themeColor="text1"/>
              </w:rPr>
              <w:t>. Cada mapa tiene un valor de 4%.</w:t>
            </w:r>
          </w:p>
        </w:tc>
        <w:tc>
          <w:tcPr>
            <w:tcW w:w="1603" w:type="dxa"/>
            <w:vAlign w:val="center"/>
          </w:tcPr>
          <w:p w14:paraId="03BC7182" w14:textId="77777777" w:rsidR="00C7239A" w:rsidRDefault="00C7239A" w:rsidP="00104785">
            <w:pPr>
              <w:jc w:val="center"/>
              <w:rPr>
                <w:rFonts w:cstheme="minorHAnsi"/>
                <w:color w:val="000000" w:themeColor="text1"/>
              </w:rPr>
            </w:pPr>
            <w:r>
              <w:rPr>
                <w:rFonts w:cstheme="minorHAnsi"/>
                <w:color w:val="000000" w:themeColor="text1"/>
              </w:rPr>
              <w:t>20%</w:t>
            </w:r>
          </w:p>
        </w:tc>
      </w:tr>
      <w:tr w:rsidR="00C7239A" w14:paraId="1B06A29F" w14:textId="77777777" w:rsidTr="00104785">
        <w:tc>
          <w:tcPr>
            <w:tcW w:w="7225" w:type="dxa"/>
          </w:tcPr>
          <w:p w14:paraId="1CC2FAE6" w14:textId="77777777" w:rsidR="00C7239A" w:rsidRDefault="00C7239A" w:rsidP="00104785">
            <w:pPr>
              <w:jc w:val="both"/>
              <w:rPr>
                <w:rFonts w:cstheme="minorHAnsi"/>
                <w:b/>
                <w:bCs/>
                <w:i/>
                <w:iCs/>
                <w:color w:val="000000" w:themeColor="text1"/>
              </w:rPr>
            </w:pPr>
            <w:r>
              <w:rPr>
                <w:rFonts w:cstheme="minorHAnsi"/>
                <w:b/>
                <w:bCs/>
                <w:i/>
                <w:iCs/>
                <w:color w:val="000000" w:themeColor="text1"/>
              </w:rPr>
              <w:t>Ensayo final</w:t>
            </w:r>
          </w:p>
          <w:p w14:paraId="7F2000EC" w14:textId="77777777" w:rsidR="00C7239A" w:rsidRPr="002C1B3E" w:rsidRDefault="00C7239A" w:rsidP="00104785">
            <w:pPr>
              <w:jc w:val="both"/>
              <w:rPr>
                <w:rFonts w:cstheme="minorHAnsi"/>
                <w:color w:val="000000" w:themeColor="text1"/>
              </w:rPr>
            </w:pPr>
            <w:r>
              <w:rPr>
                <w:rFonts w:cstheme="minorHAnsi"/>
                <w:color w:val="000000" w:themeColor="text1"/>
              </w:rPr>
              <w:t>Se elabora en la sesión 14 y se presenta al resto de la clase en las sesiones 14 y 15 según asignación docente. Esto último tiene un valor formativo en cuando a la evaluación.</w:t>
            </w:r>
          </w:p>
        </w:tc>
        <w:tc>
          <w:tcPr>
            <w:tcW w:w="1603" w:type="dxa"/>
            <w:vAlign w:val="center"/>
          </w:tcPr>
          <w:p w14:paraId="09D066DB" w14:textId="77777777" w:rsidR="00C7239A" w:rsidRDefault="00C7239A" w:rsidP="00104785">
            <w:pPr>
              <w:jc w:val="center"/>
              <w:rPr>
                <w:rFonts w:cstheme="minorHAnsi"/>
                <w:color w:val="000000" w:themeColor="text1"/>
              </w:rPr>
            </w:pPr>
            <w:r>
              <w:rPr>
                <w:rFonts w:cstheme="minorHAnsi"/>
                <w:color w:val="000000" w:themeColor="text1"/>
              </w:rPr>
              <w:t>40%</w:t>
            </w:r>
          </w:p>
        </w:tc>
      </w:tr>
      <w:tr w:rsidR="00C7239A" w14:paraId="4A994CF3" w14:textId="77777777" w:rsidTr="00104785">
        <w:tc>
          <w:tcPr>
            <w:tcW w:w="7225" w:type="dxa"/>
          </w:tcPr>
          <w:p w14:paraId="6899770A" w14:textId="77777777" w:rsidR="00C7239A" w:rsidRPr="00542950" w:rsidRDefault="00C7239A" w:rsidP="00104785">
            <w:pPr>
              <w:jc w:val="both"/>
              <w:rPr>
                <w:rFonts w:cstheme="minorHAnsi"/>
                <w:b/>
                <w:bCs/>
                <w:color w:val="000000" w:themeColor="text1"/>
              </w:rPr>
            </w:pPr>
            <w:r>
              <w:rPr>
                <w:rFonts w:cstheme="minorHAnsi"/>
                <w:b/>
                <w:bCs/>
                <w:color w:val="000000" w:themeColor="text1"/>
              </w:rPr>
              <w:t xml:space="preserve">Total </w:t>
            </w:r>
          </w:p>
        </w:tc>
        <w:tc>
          <w:tcPr>
            <w:tcW w:w="1603" w:type="dxa"/>
            <w:vAlign w:val="center"/>
          </w:tcPr>
          <w:p w14:paraId="6278AD32" w14:textId="77777777" w:rsidR="00C7239A" w:rsidRPr="00542950" w:rsidRDefault="00C7239A" w:rsidP="00104785">
            <w:pPr>
              <w:jc w:val="center"/>
              <w:rPr>
                <w:rFonts w:cstheme="minorHAnsi"/>
                <w:b/>
                <w:bCs/>
                <w:color w:val="000000" w:themeColor="text1"/>
              </w:rPr>
            </w:pPr>
            <w:r w:rsidRPr="00542950">
              <w:rPr>
                <w:rFonts w:cstheme="minorHAnsi"/>
                <w:b/>
                <w:bCs/>
                <w:color w:val="000000" w:themeColor="text1"/>
              </w:rPr>
              <w:t>100%</w:t>
            </w:r>
          </w:p>
        </w:tc>
      </w:tr>
    </w:tbl>
    <w:p w14:paraId="409CD634" w14:textId="77777777" w:rsidR="00C7239A" w:rsidRDefault="00C7239A" w:rsidP="00C7239A">
      <w:pPr>
        <w:rPr>
          <w:rFonts w:cstheme="minorHAnsi"/>
          <w:b/>
          <w:bCs/>
          <w:color w:val="000000" w:themeColor="text1"/>
        </w:rPr>
        <w:sectPr w:rsidR="00C7239A" w:rsidSect="00C7239A">
          <w:pgSz w:w="12240" w:h="15840"/>
          <w:pgMar w:top="1417" w:right="1701" w:bottom="1417" w:left="1701" w:header="708" w:footer="708" w:gutter="0"/>
          <w:pgNumType w:start="176"/>
          <w:cols w:space="708"/>
          <w:docGrid w:linePitch="360"/>
        </w:sectPr>
      </w:pPr>
    </w:p>
    <w:p w14:paraId="5BD2667A" w14:textId="77777777" w:rsidR="00C7239A" w:rsidRDefault="00C7239A" w:rsidP="00C7239A">
      <w:pPr>
        <w:rPr>
          <w:rFonts w:cstheme="minorHAnsi"/>
          <w:b/>
          <w:bCs/>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707840" behindDoc="0" locked="0" layoutInCell="1" allowOverlap="1" wp14:anchorId="1A3D04C6" wp14:editId="31ECD7C1">
                <wp:simplePos x="0" y="0"/>
                <wp:positionH relativeFrom="margin">
                  <wp:align>center</wp:align>
                </wp:positionH>
                <wp:positionV relativeFrom="paragraph">
                  <wp:posOffset>-128270</wp:posOffset>
                </wp:positionV>
                <wp:extent cx="7879080" cy="414338"/>
                <wp:effectExtent l="0" t="0" r="26670" b="24130"/>
                <wp:wrapNone/>
                <wp:docPr id="18653032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14338"/>
                        </a:xfrm>
                        <a:prstGeom prst="rect">
                          <a:avLst/>
                        </a:prstGeom>
                        <a:solidFill>
                          <a:srgbClr val="FFFFFF"/>
                        </a:solidFill>
                        <a:ln w="9525">
                          <a:solidFill>
                            <a:srgbClr val="000000"/>
                          </a:solidFill>
                          <a:miter lim="800000"/>
                          <a:headEnd/>
                          <a:tailEnd/>
                        </a:ln>
                      </wps:spPr>
                      <wps:txbx>
                        <w:txbxContent>
                          <w:p w14:paraId="1A56433D" w14:textId="77777777" w:rsidR="00C7239A" w:rsidRPr="002A747D" w:rsidRDefault="00C7239A" w:rsidP="00C7239A">
                            <w:pPr>
                              <w:jc w:val="center"/>
                              <w:rPr>
                                <w:rFonts w:cstheme="minorHAnsi"/>
                                <w:b/>
                                <w:szCs w:val="24"/>
                              </w:rPr>
                            </w:pPr>
                            <w:r w:rsidRPr="002A747D">
                              <w:rPr>
                                <w:rFonts w:cstheme="minorHAns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3D04C6" id="_x0000_s1109" type="#_x0000_t202" style="position:absolute;margin-left:0;margin-top:-10.1pt;width:620.4pt;height:32.65pt;z-index:2527078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">
                <v:textbox>
                  <w:txbxContent>
                    <w:p w14:paraId="1A56433D" w14:textId="77777777" w:rsidR="00C7239A" w:rsidRPr="002A747D" w:rsidRDefault="00C7239A" w:rsidP="00C7239A">
                      <w:pPr>
                        <w:jc w:val="center"/>
                        <w:rPr>
                          <w:rFonts w:cstheme="minorHAnsi"/>
                          <w:b/>
                          <w:szCs w:val="24"/>
                        </w:rPr>
                      </w:pPr>
                      <w:r w:rsidRPr="002A747D">
                        <w:rPr>
                          <w:rFonts w:cstheme="minorHAnsi"/>
                          <w:b/>
                          <w:szCs w:val="24"/>
                        </w:rPr>
                        <w:t>RÚBRICA DE EVALUACIÓN – FORO TEMÁTICO</w:t>
                      </w:r>
                    </w:p>
                  </w:txbxContent>
                </v:textbox>
                <w10:wrap anchorx="margin"/>
              </v:shape>
            </w:pict>
          </mc:Fallback>
        </mc:AlternateContent>
      </w:r>
    </w:p>
    <w:p w14:paraId="31B22B24" w14:textId="77777777" w:rsidR="00C7239A" w:rsidRDefault="00C7239A" w:rsidP="00C7239A">
      <w:pPr>
        <w:rPr>
          <w:rFonts w:cstheme="minorHAnsi"/>
          <w:b/>
          <w:bCs/>
          <w:color w:val="000000" w:themeColor="text1"/>
        </w:rPr>
      </w:pPr>
    </w:p>
    <w:p w14:paraId="1B2DCF3C" w14:textId="77777777" w:rsidR="00C7239A" w:rsidRPr="00516A9C" w:rsidRDefault="00C7239A" w:rsidP="00C7239A">
      <w:pPr>
        <w:jc w:val="center"/>
        <w:rPr>
          <w:rFonts w:cstheme="minorHAnsi"/>
          <w:color w:val="0070C0"/>
        </w:rPr>
      </w:pPr>
      <w:r w:rsidRPr="00516A9C">
        <w:rPr>
          <w:rFonts w:cstheme="minorHAnsi"/>
          <w:color w:val="0070C0"/>
        </w:rPr>
        <w:t>Con el propósito de proveer experiencias de aprendizaje interactivas y colaborativas los foros buscan promover la participación con base en las lecturas asignadas, el debate y la discusión grupal. Los foros temáticos grupales de las sesiones 2, 4, 6 y 7 tienen un valor de 4% cada uno; los foros temáticos grupales de las sesiones 5 y 12 tienen un valor de 2% cada uno.</w:t>
      </w:r>
    </w:p>
    <w:p w14:paraId="4773EB64" w14:textId="77777777" w:rsidR="00C7239A" w:rsidRDefault="00C7239A" w:rsidP="00C7239A">
      <w:pPr>
        <w:jc w:val="center"/>
        <w:rPr>
          <w:rFonts w:cstheme="minorHAnsi"/>
          <w:color w:val="000000" w:themeColor="text1"/>
        </w:rPr>
      </w:pPr>
      <w:r>
        <w:rPr>
          <w:rFonts w:cstheme="minorHAnsi"/>
          <w:b/>
          <w:bCs/>
          <w:noProof/>
          <w:color w:val="000000" w:themeColor="text1"/>
        </w:rPr>
        <w:drawing>
          <wp:anchor distT="0" distB="0" distL="114300" distR="114300" simplePos="0" relativeHeight="252708864" behindDoc="0" locked="0" layoutInCell="1" allowOverlap="1" wp14:anchorId="661DC6F3" wp14:editId="1F664F31">
            <wp:simplePos x="0" y="0"/>
            <wp:positionH relativeFrom="margin">
              <wp:align>center</wp:align>
            </wp:positionH>
            <wp:positionV relativeFrom="paragraph">
              <wp:posOffset>189865</wp:posOffset>
            </wp:positionV>
            <wp:extent cx="8031382" cy="5812155"/>
            <wp:effectExtent l="0" t="0" r="8255" b="0"/>
            <wp:wrapNone/>
            <wp:docPr id="208409469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094693" name="Imagen 1" descr="Tabla&#10;&#10;Descripción generada automáticamente"/>
                    <pic:cNvPicPr/>
                  </pic:nvPicPr>
                  <pic:blipFill>
                    <a:blip r:embed="rId198">
                      <a:extLst>
                        <a:ext uri="{28A0092B-C50C-407E-A947-70E740481C1C}">
                          <a14:useLocalDpi xmlns:a14="http://schemas.microsoft.com/office/drawing/2010/main" val="0"/>
                        </a:ext>
                      </a:extLst>
                    </a:blip>
                    <a:stretch>
                      <a:fillRect/>
                    </a:stretch>
                  </pic:blipFill>
                  <pic:spPr>
                    <a:xfrm>
                      <a:off x="0" y="0"/>
                      <a:ext cx="8031382" cy="5812155"/>
                    </a:xfrm>
                    <a:prstGeom prst="rect">
                      <a:avLst/>
                    </a:prstGeom>
                  </pic:spPr>
                </pic:pic>
              </a:graphicData>
            </a:graphic>
            <wp14:sizeRelH relativeFrom="margin">
              <wp14:pctWidth>0</wp14:pctWidth>
            </wp14:sizeRelH>
            <wp14:sizeRelV relativeFrom="margin">
              <wp14:pctHeight>0</wp14:pctHeight>
            </wp14:sizeRelV>
          </wp:anchor>
        </w:drawing>
      </w:r>
    </w:p>
    <w:p w14:paraId="451A36D1" w14:textId="77777777" w:rsidR="00C7239A" w:rsidRPr="0077516A" w:rsidRDefault="00C7239A" w:rsidP="00C7239A">
      <w:pPr>
        <w:jc w:val="center"/>
        <w:rPr>
          <w:rFonts w:cstheme="minorHAnsi"/>
          <w:b/>
          <w:bCs/>
          <w:color w:val="000000" w:themeColor="text1"/>
        </w:rPr>
      </w:pPr>
    </w:p>
    <w:p w14:paraId="19B5C173" w14:textId="77777777" w:rsidR="00C7239A" w:rsidRDefault="00C7239A" w:rsidP="00C7239A">
      <w:pPr>
        <w:rPr>
          <w:rFonts w:cstheme="minorHAnsi"/>
          <w:b/>
          <w:bCs/>
          <w:color w:val="000000" w:themeColor="text1"/>
        </w:rPr>
      </w:pPr>
      <w:r>
        <w:rPr>
          <w:rFonts w:cstheme="minorHAnsi"/>
          <w:b/>
          <w:bCs/>
          <w:color w:val="000000" w:themeColor="text1"/>
        </w:rPr>
        <w:br w:type="page"/>
      </w:r>
    </w:p>
    <w:p w14:paraId="6CCB243A" w14:textId="77777777" w:rsidR="00C7239A" w:rsidRDefault="00C7239A" w:rsidP="00C7239A">
      <w:pPr>
        <w:rPr>
          <w:rFonts w:cstheme="minorHAnsi"/>
          <w:b/>
          <w:bCs/>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709888" behindDoc="0" locked="0" layoutInCell="1" allowOverlap="1" wp14:anchorId="32F8C865" wp14:editId="0D2C8A02">
                <wp:simplePos x="0" y="0"/>
                <wp:positionH relativeFrom="margin">
                  <wp:align>center</wp:align>
                </wp:positionH>
                <wp:positionV relativeFrom="paragraph">
                  <wp:posOffset>-171450</wp:posOffset>
                </wp:positionV>
                <wp:extent cx="7879080" cy="426720"/>
                <wp:effectExtent l="0" t="0" r="26670" b="11430"/>
                <wp:wrapNone/>
                <wp:docPr id="20349125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7A5E4470" w14:textId="77777777" w:rsidR="00C7239A" w:rsidRPr="00D06599" w:rsidRDefault="00C7239A" w:rsidP="00C7239A">
                            <w:pPr>
                              <w:jc w:val="center"/>
                              <w:rPr>
                                <w:rFonts w:cstheme="minorHAnsi"/>
                                <w:b/>
                              </w:rPr>
                            </w:pPr>
                            <w:r w:rsidRPr="00D06599">
                              <w:rPr>
                                <w:rFonts w:cstheme="minorHAnsi"/>
                                <w:b/>
                              </w:rPr>
                              <w:t>RÚBRICA DE EVALUACIÓN</w:t>
                            </w:r>
                            <w:r>
                              <w:rPr>
                                <w:rFonts w:cstheme="minorHAnsi"/>
                                <w:b/>
                              </w:rPr>
                              <w:t xml:space="preserve"> – RESEÑA CRÍTICA DE LECTURA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8C865" id="_x0000_s1110" type="#_x0000_t202" style="position:absolute;margin-left:0;margin-top:-13.5pt;width:620.4pt;height:33.6pt;z-index:25270988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3lrFAIAACc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">
                <v:textbox>
                  <w:txbxContent>
                    <w:p w14:paraId="7A5E4470" w14:textId="77777777" w:rsidR="00C7239A" w:rsidRPr="00D06599" w:rsidRDefault="00C7239A" w:rsidP="00C7239A">
                      <w:pPr>
                        <w:jc w:val="center"/>
                        <w:rPr>
                          <w:rFonts w:cstheme="minorHAnsi"/>
                          <w:b/>
                        </w:rPr>
                      </w:pPr>
                      <w:r w:rsidRPr="00D06599">
                        <w:rPr>
                          <w:rFonts w:cstheme="minorHAnsi"/>
                          <w:b/>
                        </w:rPr>
                        <w:t>RÚBRICA DE EVALUACIÓN</w:t>
                      </w:r>
                      <w:r>
                        <w:rPr>
                          <w:rFonts w:cstheme="minorHAnsi"/>
                          <w:b/>
                        </w:rPr>
                        <w:t xml:space="preserve"> – RESEÑA CRÍTICA DE LECTURA</w:t>
                      </w:r>
                    </w:p>
                  </w:txbxContent>
                </v:textbox>
                <w10:wrap anchorx="margin"/>
              </v:shape>
            </w:pict>
          </mc:Fallback>
        </mc:AlternateContent>
      </w:r>
    </w:p>
    <w:p w14:paraId="4839C1E7" w14:textId="77777777" w:rsidR="00C7239A" w:rsidRDefault="00C7239A" w:rsidP="00C7239A">
      <w:pPr>
        <w:rPr>
          <w:rFonts w:cstheme="minorHAnsi"/>
          <w:b/>
          <w:bCs/>
          <w:color w:val="000000" w:themeColor="text1"/>
        </w:rPr>
      </w:pPr>
    </w:p>
    <w:p w14:paraId="6AD08612" w14:textId="77777777" w:rsidR="00C7239A" w:rsidRPr="00516A9C" w:rsidRDefault="00C7239A" w:rsidP="00C7239A">
      <w:pPr>
        <w:jc w:val="center"/>
        <w:rPr>
          <w:rFonts w:cstheme="minorHAnsi"/>
          <w:color w:val="0070C0"/>
        </w:rPr>
      </w:pPr>
      <w:r w:rsidRPr="00516A9C">
        <w:rPr>
          <w:rFonts w:cstheme="minorHAnsi"/>
          <w:color w:val="0070C0"/>
        </w:rPr>
        <w:t>La reseña crítica es un texto argumentativo y expositivo que nace del análisis de las ideas contenidas en la lectura a reseñar. Esta estrategia pedagógica se desarrolla por parte de las personas estudiantes en las sesiones 3, 4, 5, 9, y 10. Cada reseña tiene un valor de 4%.</w:t>
      </w:r>
    </w:p>
    <w:p w14:paraId="5CB4417F" w14:textId="77777777" w:rsidR="00C7239A" w:rsidRDefault="00C7239A" w:rsidP="00C7239A">
      <w:pPr>
        <w:jc w:val="center"/>
        <w:rPr>
          <w:rFonts w:cstheme="minorHAnsi"/>
          <w:color w:val="000000" w:themeColor="text1"/>
        </w:rPr>
      </w:pPr>
    </w:p>
    <w:p w14:paraId="0A4180C7" w14:textId="77777777" w:rsidR="00C7239A" w:rsidRDefault="00C7239A" w:rsidP="00C7239A">
      <w:pPr>
        <w:jc w:val="center"/>
        <w:rPr>
          <w:rFonts w:cstheme="minorHAnsi"/>
          <w:color w:val="000000" w:themeColor="text1"/>
        </w:rPr>
      </w:pPr>
      <w:r>
        <w:rPr>
          <w:rFonts w:cstheme="minorHAnsi"/>
          <w:b/>
          <w:bCs/>
          <w:noProof/>
          <w:color w:val="000000" w:themeColor="text1"/>
        </w:rPr>
        <w:drawing>
          <wp:anchor distT="0" distB="0" distL="114300" distR="114300" simplePos="0" relativeHeight="252710912" behindDoc="0" locked="0" layoutInCell="1" allowOverlap="1" wp14:anchorId="00B734DD" wp14:editId="0F73B65D">
            <wp:simplePos x="0" y="0"/>
            <wp:positionH relativeFrom="margin">
              <wp:align>center</wp:align>
            </wp:positionH>
            <wp:positionV relativeFrom="paragraph">
              <wp:posOffset>173673</wp:posOffset>
            </wp:positionV>
            <wp:extent cx="8386445" cy="5331460"/>
            <wp:effectExtent l="0" t="0" r="0" b="2540"/>
            <wp:wrapNone/>
            <wp:docPr id="298900692"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00692" name="Imagen 2" descr="Tabla&#10;&#10;Descripción generada automáticamente"/>
                    <pic:cNvPicPr/>
                  </pic:nvPicPr>
                  <pic:blipFill>
                    <a:blip r:embed="rId199">
                      <a:extLst>
                        <a:ext uri="{28A0092B-C50C-407E-A947-70E740481C1C}">
                          <a14:useLocalDpi xmlns:a14="http://schemas.microsoft.com/office/drawing/2010/main" val="0"/>
                        </a:ext>
                      </a:extLst>
                    </a:blip>
                    <a:stretch>
                      <a:fillRect/>
                    </a:stretch>
                  </pic:blipFill>
                  <pic:spPr>
                    <a:xfrm>
                      <a:off x="0" y="0"/>
                      <a:ext cx="8386445" cy="5331460"/>
                    </a:xfrm>
                    <a:prstGeom prst="rect">
                      <a:avLst/>
                    </a:prstGeom>
                  </pic:spPr>
                </pic:pic>
              </a:graphicData>
            </a:graphic>
            <wp14:sizeRelH relativeFrom="margin">
              <wp14:pctWidth>0</wp14:pctWidth>
            </wp14:sizeRelH>
            <wp14:sizeRelV relativeFrom="margin">
              <wp14:pctHeight>0</wp14:pctHeight>
            </wp14:sizeRelV>
          </wp:anchor>
        </w:drawing>
      </w:r>
    </w:p>
    <w:p w14:paraId="0DF60B64" w14:textId="77777777" w:rsidR="00C7239A" w:rsidRDefault="00C7239A" w:rsidP="00C7239A">
      <w:pPr>
        <w:jc w:val="center"/>
        <w:rPr>
          <w:rFonts w:cstheme="minorHAnsi"/>
          <w:color w:val="000000" w:themeColor="text1"/>
        </w:rPr>
      </w:pPr>
    </w:p>
    <w:p w14:paraId="331FBE8A" w14:textId="77777777" w:rsidR="00C7239A" w:rsidRDefault="00C7239A" w:rsidP="00C7239A">
      <w:pPr>
        <w:jc w:val="center"/>
        <w:rPr>
          <w:rFonts w:cstheme="minorHAnsi"/>
          <w:color w:val="000000" w:themeColor="text1"/>
        </w:rPr>
      </w:pPr>
    </w:p>
    <w:p w14:paraId="63DD8B59" w14:textId="77777777" w:rsidR="00C7239A" w:rsidRDefault="00C7239A" w:rsidP="00C7239A">
      <w:pPr>
        <w:jc w:val="center"/>
        <w:rPr>
          <w:rFonts w:cstheme="minorHAnsi"/>
          <w:color w:val="000000" w:themeColor="text1"/>
        </w:rPr>
      </w:pPr>
    </w:p>
    <w:p w14:paraId="4537BFA8" w14:textId="77777777" w:rsidR="00C7239A" w:rsidRDefault="00C7239A" w:rsidP="00C7239A">
      <w:pPr>
        <w:jc w:val="center"/>
        <w:rPr>
          <w:rFonts w:cstheme="minorHAnsi"/>
          <w:color w:val="000000" w:themeColor="text1"/>
        </w:rPr>
      </w:pPr>
    </w:p>
    <w:p w14:paraId="06C06035" w14:textId="77777777" w:rsidR="00C7239A" w:rsidRDefault="00C7239A" w:rsidP="00C7239A">
      <w:pPr>
        <w:jc w:val="center"/>
        <w:rPr>
          <w:rFonts w:cstheme="minorHAnsi"/>
          <w:color w:val="000000" w:themeColor="text1"/>
        </w:rPr>
      </w:pPr>
    </w:p>
    <w:p w14:paraId="1D37925E" w14:textId="77777777" w:rsidR="00C7239A" w:rsidRDefault="00C7239A" w:rsidP="00C7239A">
      <w:pPr>
        <w:jc w:val="center"/>
        <w:rPr>
          <w:rFonts w:cstheme="minorHAnsi"/>
          <w:color w:val="000000" w:themeColor="text1"/>
        </w:rPr>
      </w:pPr>
    </w:p>
    <w:p w14:paraId="77F6F411" w14:textId="77777777" w:rsidR="00C7239A" w:rsidRDefault="00C7239A" w:rsidP="00C7239A">
      <w:pPr>
        <w:jc w:val="center"/>
        <w:rPr>
          <w:rFonts w:cstheme="minorHAnsi"/>
          <w:color w:val="000000" w:themeColor="text1"/>
        </w:rPr>
      </w:pPr>
    </w:p>
    <w:p w14:paraId="57FE1ACC" w14:textId="77777777" w:rsidR="00C7239A" w:rsidRDefault="00C7239A" w:rsidP="00C7239A">
      <w:pPr>
        <w:jc w:val="center"/>
        <w:rPr>
          <w:rFonts w:cstheme="minorHAnsi"/>
          <w:color w:val="000000" w:themeColor="text1"/>
        </w:rPr>
      </w:pPr>
    </w:p>
    <w:p w14:paraId="4A56F03B" w14:textId="77777777" w:rsidR="00C7239A" w:rsidRDefault="00C7239A" w:rsidP="00C7239A">
      <w:pPr>
        <w:jc w:val="center"/>
        <w:rPr>
          <w:rFonts w:cstheme="minorHAnsi"/>
          <w:color w:val="000000" w:themeColor="text1"/>
        </w:rPr>
      </w:pPr>
    </w:p>
    <w:p w14:paraId="044AE566" w14:textId="77777777" w:rsidR="00C7239A" w:rsidRDefault="00C7239A" w:rsidP="00C7239A">
      <w:pPr>
        <w:jc w:val="center"/>
        <w:rPr>
          <w:rFonts w:cstheme="minorHAnsi"/>
          <w:color w:val="000000" w:themeColor="text1"/>
        </w:rPr>
      </w:pPr>
    </w:p>
    <w:p w14:paraId="484F24FD" w14:textId="77777777" w:rsidR="00C7239A" w:rsidRDefault="00C7239A" w:rsidP="00C7239A">
      <w:pPr>
        <w:jc w:val="center"/>
        <w:rPr>
          <w:rFonts w:cstheme="minorHAnsi"/>
          <w:color w:val="000000" w:themeColor="text1"/>
        </w:rPr>
      </w:pPr>
    </w:p>
    <w:p w14:paraId="1F4ADAD3" w14:textId="77777777" w:rsidR="00C7239A" w:rsidRDefault="00C7239A" w:rsidP="00C7239A">
      <w:pPr>
        <w:jc w:val="center"/>
        <w:rPr>
          <w:rFonts w:cstheme="minorHAnsi"/>
          <w:color w:val="000000" w:themeColor="text1"/>
        </w:rPr>
      </w:pPr>
    </w:p>
    <w:p w14:paraId="15B98D1F" w14:textId="77777777" w:rsidR="00C7239A" w:rsidRDefault="00C7239A" w:rsidP="00C7239A">
      <w:pPr>
        <w:jc w:val="center"/>
        <w:rPr>
          <w:rFonts w:cstheme="minorHAnsi"/>
          <w:color w:val="000000" w:themeColor="text1"/>
        </w:rPr>
      </w:pPr>
    </w:p>
    <w:p w14:paraId="0A67A825" w14:textId="77777777" w:rsidR="00C7239A" w:rsidRDefault="00C7239A" w:rsidP="00C7239A">
      <w:pPr>
        <w:jc w:val="center"/>
        <w:rPr>
          <w:rFonts w:cstheme="minorHAnsi"/>
          <w:color w:val="000000" w:themeColor="text1"/>
        </w:rPr>
      </w:pPr>
    </w:p>
    <w:p w14:paraId="45AA4AAA" w14:textId="77777777" w:rsidR="00C7239A" w:rsidRDefault="00C7239A" w:rsidP="00C7239A">
      <w:pPr>
        <w:jc w:val="center"/>
        <w:rPr>
          <w:rFonts w:cstheme="minorHAnsi"/>
          <w:color w:val="000000" w:themeColor="text1"/>
        </w:rPr>
      </w:pPr>
    </w:p>
    <w:p w14:paraId="30FF3094" w14:textId="77777777" w:rsidR="00C7239A" w:rsidRDefault="00C7239A" w:rsidP="00C7239A">
      <w:pPr>
        <w:jc w:val="center"/>
        <w:rPr>
          <w:rFonts w:cstheme="minorHAnsi"/>
          <w:color w:val="000000" w:themeColor="text1"/>
        </w:rPr>
      </w:pPr>
    </w:p>
    <w:p w14:paraId="48F768EB" w14:textId="77777777" w:rsidR="00C7239A" w:rsidRDefault="00C7239A" w:rsidP="00C7239A">
      <w:pPr>
        <w:jc w:val="center"/>
        <w:rPr>
          <w:rFonts w:cstheme="minorHAnsi"/>
          <w:color w:val="000000" w:themeColor="text1"/>
        </w:rPr>
      </w:pPr>
    </w:p>
    <w:p w14:paraId="5680E054" w14:textId="77777777" w:rsidR="00C7239A" w:rsidRDefault="00C7239A" w:rsidP="00C7239A">
      <w:pPr>
        <w:jc w:val="center"/>
        <w:rPr>
          <w:rFonts w:cstheme="minorHAnsi"/>
          <w:color w:val="000000" w:themeColor="text1"/>
        </w:rPr>
      </w:pPr>
    </w:p>
    <w:p w14:paraId="48D2680E" w14:textId="77777777" w:rsidR="00C7239A" w:rsidRDefault="00C7239A" w:rsidP="00C7239A">
      <w:pPr>
        <w:jc w:val="center"/>
        <w:rPr>
          <w:rFonts w:cstheme="minorHAnsi"/>
          <w:color w:val="000000" w:themeColor="text1"/>
        </w:rPr>
      </w:pPr>
      <w:r>
        <w:rPr>
          <w:noProof/>
        </w:rPr>
        <w:lastRenderedPageBreak/>
        <mc:AlternateContent>
          <mc:Choice Requires="wps">
            <w:drawing>
              <wp:anchor distT="0" distB="0" distL="114300" distR="114300" simplePos="0" relativeHeight="252711936" behindDoc="0" locked="0" layoutInCell="1" allowOverlap="1" wp14:anchorId="6527CA7A" wp14:editId="428F949B">
                <wp:simplePos x="0" y="0"/>
                <wp:positionH relativeFrom="margin">
                  <wp:align>center</wp:align>
                </wp:positionH>
                <wp:positionV relativeFrom="paragraph">
                  <wp:posOffset>0</wp:posOffset>
                </wp:positionV>
                <wp:extent cx="6606540" cy="411480"/>
                <wp:effectExtent l="0" t="0" r="22860" b="26670"/>
                <wp:wrapNone/>
                <wp:docPr id="596128735" name="Cuadro de texto 596128735"/>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0D746F42" w14:textId="77777777" w:rsidR="00C7239A" w:rsidRDefault="00C7239A" w:rsidP="00C7239A">
                            <w:pPr>
                              <w:jc w:val="center"/>
                              <w:rPr>
                                <w:rFonts w:cstheme="minorHAnsi"/>
                              </w:rPr>
                            </w:pPr>
                            <w:r>
                              <w:rPr>
                                <w:rFonts w:cstheme="minorHAnsi"/>
                                <w:b/>
                              </w:rPr>
                              <w:t>RÚBRICA DE EVALUACIÓN – MAPA CONCEPTUAL</w:t>
                            </w:r>
                          </w:p>
                          <w:p w14:paraId="46DCE01D" w14:textId="77777777" w:rsidR="00C7239A" w:rsidRPr="00C25376" w:rsidRDefault="00C7239A" w:rsidP="00C7239A">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7CA7A" id="Cuadro de texto 596128735" o:spid="_x0000_s1111" type="#_x0000_t202" style="position:absolute;left:0;text-align:left;margin-left:0;margin-top:0;width:520.2pt;height:32.4pt;z-index:252711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" fillcolor="white [3201]" strokeweight=".5pt">
                <v:textbox>
                  <w:txbxContent>
                    <w:p w14:paraId="0D746F42" w14:textId="77777777" w:rsidR="00C7239A" w:rsidRDefault="00C7239A" w:rsidP="00C7239A">
                      <w:pPr>
                        <w:jc w:val="center"/>
                        <w:rPr>
                          <w:rFonts w:cstheme="minorHAnsi"/>
                        </w:rPr>
                      </w:pPr>
                      <w:r>
                        <w:rPr>
                          <w:rFonts w:cstheme="minorHAnsi"/>
                          <w:b/>
                        </w:rPr>
                        <w:t>RÚBRICA DE EVALUACIÓN – MAPA CONCEPTUAL</w:t>
                      </w:r>
                    </w:p>
                    <w:p w14:paraId="46DCE01D" w14:textId="77777777" w:rsidR="00C7239A" w:rsidRPr="00C25376" w:rsidRDefault="00C7239A" w:rsidP="00C7239A">
                      <w:pPr>
                        <w:jc w:val="center"/>
                        <w:rPr>
                          <w:rFonts w:cstheme="minorHAnsi"/>
                        </w:rPr>
                      </w:pPr>
                    </w:p>
                  </w:txbxContent>
                </v:textbox>
                <w10:wrap anchorx="margin"/>
              </v:shape>
            </w:pict>
          </mc:Fallback>
        </mc:AlternateContent>
      </w:r>
    </w:p>
    <w:p w14:paraId="4AEEB6F4" w14:textId="77777777" w:rsidR="00C7239A" w:rsidRDefault="00C7239A" w:rsidP="00C7239A">
      <w:pPr>
        <w:jc w:val="center"/>
        <w:rPr>
          <w:rFonts w:cstheme="minorHAnsi"/>
          <w:color w:val="000000" w:themeColor="text1"/>
        </w:rPr>
      </w:pPr>
    </w:p>
    <w:p w14:paraId="42ED8EA0" w14:textId="77777777" w:rsidR="00C7239A" w:rsidRDefault="00C7239A" w:rsidP="00C7239A">
      <w:pPr>
        <w:jc w:val="center"/>
        <w:rPr>
          <w:rFonts w:cstheme="minorHAnsi"/>
          <w:color w:val="000000" w:themeColor="text1"/>
        </w:rPr>
      </w:pPr>
    </w:p>
    <w:p w14:paraId="2E855DC1" w14:textId="77777777" w:rsidR="00C7239A" w:rsidRPr="00516A9C" w:rsidRDefault="00C7239A" w:rsidP="00C7239A">
      <w:pPr>
        <w:jc w:val="center"/>
        <w:rPr>
          <w:rFonts w:cstheme="minorHAnsi"/>
          <w:color w:val="0070C0"/>
        </w:rPr>
      </w:pPr>
      <w:r w:rsidRPr="00516A9C">
        <w:rPr>
          <w:rFonts w:cstheme="minorHAnsi"/>
          <w:color w:val="0070C0"/>
        </w:rPr>
        <w:t>El mapa conceptual es una estrategia de aprendizaje para organizar los aportes y conocimientos que nos brindan documentos escritos, al lograr representar en un mapa y graficar conceptos y sus derivaciones. Se elaboran en las sesiones 6, 7, 8, 11 y 12. Cada mapa tiene un valor de 4%.</w:t>
      </w:r>
    </w:p>
    <w:p w14:paraId="4D6A6F7B" w14:textId="77777777" w:rsidR="00C7239A" w:rsidRDefault="00C7239A" w:rsidP="00C7239A">
      <w:pPr>
        <w:jc w:val="center"/>
        <w:rPr>
          <w:rFonts w:cstheme="minorHAnsi"/>
          <w:color w:val="000000" w:themeColor="text1"/>
        </w:rPr>
      </w:pPr>
    </w:p>
    <w:p w14:paraId="0743AEA2" w14:textId="77777777" w:rsidR="00C7239A" w:rsidRDefault="00C7239A" w:rsidP="00C7239A">
      <w:pPr>
        <w:jc w:val="center"/>
        <w:rPr>
          <w:rFonts w:cstheme="minorHAnsi"/>
          <w:color w:val="000000" w:themeColor="text1"/>
        </w:rPr>
      </w:pPr>
      <w:r>
        <w:rPr>
          <w:rFonts w:cstheme="minorHAnsi"/>
          <w:noProof/>
          <w:color w:val="000000" w:themeColor="text1"/>
        </w:rPr>
        <w:drawing>
          <wp:anchor distT="0" distB="0" distL="114300" distR="114300" simplePos="0" relativeHeight="252712960" behindDoc="0" locked="0" layoutInCell="1" allowOverlap="1" wp14:anchorId="1944DE38" wp14:editId="6E7F64B1">
            <wp:simplePos x="0" y="0"/>
            <wp:positionH relativeFrom="margin">
              <wp:align>right</wp:align>
            </wp:positionH>
            <wp:positionV relativeFrom="paragraph">
              <wp:posOffset>233997</wp:posOffset>
            </wp:positionV>
            <wp:extent cx="9144000" cy="4457065"/>
            <wp:effectExtent l="0" t="0" r="0" b="635"/>
            <wp:wrapNone/>
            <wp:docPr id="394675004" name="Imagen 3"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675004" name="Imagen 3" descr="Texto, Tabla&#10;&#10;Descripción generada automáticamente"/>
                    <pic:cNvPicPr/>
                  </pic:nvPicPr>
                  <pic:blipFill>
                    <a:blip r:embed="rId200">
                      <a:extLst>
                        <a:ext uri="{28A0092B-C50C-407E-A947-70E740481C1C}">
                          <a14:useLocalDpi xmlns:a14="http://schemas.microsoft.com/office/drawing/2010/main" val="0"/>
                        </a:ext>
                      </a:extLst>
                    </a:blip>
                    <a:stretch>
                      <a:fillRect/>
                    </a:stretch>
                  </pic:blipFill>
                  <pic:spPr>
                    <a:xfrm>
                      <a:off x="0" y="0"/>
                      <a:ext cx="9144000" cy="4457065"/>
                    </a:xfrm>
                    <a:prstGeom prst="rect">
                      <a:avLst/>
                    </a:prstGeom>
                  </pic:spPr>
                </pic:pic>
              </a:graphicData>
            </a:graphic>
          </wp:anchor>
        </w:drawing>
      </w:r>
    </w:p>
    <w:p w14:paraId="4A8F3460" w14:textId="77777777" w:rsidR="00C7239A" w:rsidRDefault="00C7239A" w:rsidP="00C7239A">
      <w:pPr>
        <w:jc w:val="center"/>
        <w:rPr>
          <w:rFonts w:cstheme="minorHAnsi"/>
          <w:color w:val="000000" w:themeColor="text1"/>
        </w:rPr>
      </w:pPr>
    </w:p>
    <w:p w14:paraId="72D91133" w14:textId="77777777" w:rsidR="00C7239A" w:rsidRDefault="00C7239A" w:rsidP="00C7239A">
      <w:pPr>
        <w:jc w:val="center"/>
        <w:rPr>
          <w:rFonts w:cstheme="minorHAnsi"/>
          <w:color w:val="000000" w:themeColor="text1"/>
        </w:rPr>
      </w:pPr>
    </w:p>
    <w:p w14:paraId="0C75D8ED" w14:textId="77777777" w:rsidR="00C7239A" w:rsidRDefault="00C7239A" w:rsidP="00C7239A">
      <w:pPr>
        <w:jc w:val="center"/>
        <w:rPr>
          <w:rFonts w:cstheme="minorHAnsi"/>
          <w:color w:val="000000" w:themeColor="text1"/>
        </w:rPr>
      </w:pPr>
    </w:p>
    <w:p w14:paraId="200FB844" w14:textId="77777777" w:rsidR="00C7239A" w:rsidRDefault="00C7239A" w:rsidP="00C7239A">
      <w:pPr>
        <w:jc w:val="center"/>
        <w:rPr>
          <w:rFonts w:cstheme="minorHAnsi"/>
          <w:color w:val="000000" w:themeColor="text1"/>
        </w:rPr>
      </w:pPr>
    </w:p>
    <w:p w14:paraId="161CDD13" w14:textId="77777777" w:rsidR="00C7239A" w:rsidRDefault="00C7239A" w:rsidP="00C7239A">
      <w:pPr>
        <w:jc w:val="center"/>
        <w:rPr>
          <w:rFonts w:cstheme="minorHAnsi"/>
          <w:color w:val="000000" w:themeColor="text1"/>
        </w:rPr>
      </w:pPr>
    </w:p>
    <w:p w14:paraId="6C59E99B" w14:textId="77777777" w:rsidR="00C7239A" w:rsidRDefault="00C7239A" w:rsidP="00C7239A">
      <w:pPr>
        <w:jc w:val="center"/>
        <w:rPr>
          <w:rFonts w:cstheme="minorHAnsi"/>
          <w:color w:val="000000" w:themeColor="text1"/>
        </w:rPr>
      </w:pPr>
    </w:p>
    <w:p w14:paraId="5063D8FE" w14:textId="77777777" w:rsidR="00C7239A" w:rsidRDefault="00C7239A" w:rsidP="00C7239A">
      <w:pPr>
        <w:jc w:val="center"/>
        <w:rPr>
          <w:rFonts w:cstheme="minorHAnsi"/>
          <w:color w:val="000000" w:themeColor="text1"/>
        </w:rPr>
      </w:pPr>
    </w:p>
    <w:p w14:paraId="21886184" w14:textId="77777777" w:rsidR="00C7239A" w:rsidRDefault="00C7239A" w:rsidP="00C7239A">
      <w:pPr>
        <w:jc w:val="center"/>
        <w:rPr>
          <w:rFonts w:cstheme="minorHAnsi"/>
          <w:color w:val="000000" w:themeColor="text1"/>
        </w:rPr>
      </w:pPr>
    </w:p>
    <w:p w14:paraId="0811C53F" w14:textId="77777777" w:rsidR="00C7239A" w:rsidRDefault="00C7239A" w:rsidP="00C7239A">
      <w:pPr>
        <w:jc w:val="center"/>
        <w:rPr>
          <w:rFonts w:cstheme="minorHAnsi"/>
          <w:color w:val="000000" w:themeColor="text1"/>
        </w:rPr>
      </w:pPr>
    </w:p>
    <w:p w14:paraId="2CC8AF85" w14:textId="77777777" w:rsidR="00C7239A" w:rsidRDefault="00C7239A" w:rsidP="00C7239A">
      <w:pPr>
        <w:jc w:val="center"/>
        <w:rPr>
          <w:rFonts w:cstheme="minorHAnsi"/>
          <w:color w:val="000000" w:themeColor="text1"/>
        </w:rPr>
      </w:pPr>
    </w:p>
    <w:p w14:paraId="2A024C8C" w14:textId="77777777" w:rsidR="00C7239A" w:rsidRDefault="00C7239A" w:rsidP="00C7239A">
      <w:pPr>
        <w:jc w:val="center"/>
        <w:rPr>
          <w:rFonts w:cstheme="minorHAnsi"/>
          <w:color w:val="000000" w:themeColor="text1"/>
        </w:rPr>
      </w:pPr>
    </w:p>
    <w:p w14:paraId="353F586C" w14:textId="77777777" w:rsidR="00C7239A" w:rsidRDefault="00C7239A" w:rsidP="00C7239A">
      <w:pPr>
        <w:jc w:val="center"/>
        <w:rPr>
          <w:rFonts w:cstheme="minorHAnsi"/>
          <w:color w:val="000000" w:themeColor="text1"/>
        </w:rPr>
      </w:pPr>
    </w:p>
    <w:p w14:paraId="5A2FFE99" w14:textId="77777777" w:rsidR="00C7239A" w:rsidRDefault="00C7239A" w:rsidP="00C7239A">
      <w:pPr>
        <w:jc w:val="center"/>
        <w:rPr>
          <w:rFonts w:cstheme="minorHAnsi"/>
          <w:color w:val="000000" w:themeColor="text1"/>
        </w:rPr>
      </w:pPr>
    </w:p>
    <w:p w14:paraId="365D7A74" w14:textId="77777777" w:rsidR="00C7239A" w:rsidRDefault="00C7239A" w:rsidP="00C7239A">
      <w:pPr>
        <w:jc w:val="center"/>
        <w:rPr>
          <w:rFonts w:cstheme="minorHAnsi"/>
          <w:color w:val="000000" w:themeColor="text1"/>
        </w:rPr>
      </w:pPr>
    </w:p>
    <w:p w14:paraId="3B2F7601" w14:textId="51D6D499" w:rsidR="00C7239A" w:rsidRDefault="00C7239A" w:rsidP="00C7239A">
      <w:pPr>
        <w:jc w:val="center"/>
        <w:rPr>
          <w:rFonts w:cstheme="minorHAnsi"/>
          <w:color w:val="000000" w:themeColor="text1"/>
        </w:rPr>
      </w:pPr>
    </w:p>
    <w:p w14:paraId="26CED13E" w14:textId="03909767" w:rsidR="00C7239A" w:rsidRDefault="00C7239A" w:rsidP="00C7239A">
      <w:pPr>
        <w:jc w:val="center"/>
        <w:rPr>
          <w:rFonts w:cstheme="minorHAnsi"/>
          <w:color w:val="000000" w:themeColor="text1"/>
        </w:rPr>
      </w:pPr>
    </w:p>
    <w:p w14:paraId="6B6CFB5B" w14:textId="77777777" w:rsidR="00C7239A" w:rsidRDefault="00C7239A" w:rsidP="00C7239A">
      <w:pPr>
        <w:jc w:val="center"/>
        <w:rPr>
          <w:rFonts w:cstheme="minorHAnsi"/>
          <w:color w:val="0070C0"/>
        </w:rPr>
      </w:pPr>
    </w:p>
    <w:p w14:paraId="785522D9" w14:textId="00FA7BFB" w:rsidR="00C7239A" w:rsidRDefault="00C7239A" w:rsidP="00C7239A">
      <w:pPr>
        <w:jc w:val="center"/>
        <w:rPr>
          <w:rFonts w:cstheme="minorHAnsi"/>
          <w:color w:val="0070C0"/>
        </w:rPr>
      </w:pPr>
      <w:r>
        <w:rPr>
          <w:noProof/>
        </w:rPr>
        <w:lastRenderedPageBreak/>
        <mc:AlternateContent>
          <mc:Choice Requires="wps">
            <w:drawing>
              <wp:anchor distT="0" distB="0" distL="114300" distR="114300" simplePos="0" relativeHeight="252713984" behindDoc="0" locked="0" layoutInCell="1" allowOverlap="1" wp14:anchorId="6717D1DA" wp14:editId="263A6437">
                <wp:simplePos x="0" y="0"/>
                <wp:positionH relativeFrom="margin">
                  <wp:posOffset>1519844</wp:posOffset>
                </wp:positionH>
                <wp:positionV relativeFrom="paragraph">
                  <wp:posOffset>-808</wp:posOffset>
                </wp:positionV>
                <wp:extent cx="6606540" cy="411480"/>
                <wp:effectExtent l="0" t="0" r="22860" b="26670"/>
                <wp:wrapNone/>
                <wp:docPr id="1549645649" name="Cuadro de texto 1549645649"/>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228E87A9" w14:textId="77777777" w:rsidR="00C7239A" w:rsidRDefault="00C7239A" w:rsidP="00C7239A">
                            <w:pPr>
                              <w:jc w:val="center"/>
                              <w:rPr>
                                <w:rFonts w:cstheme="minorHAnsi"/>
                              </w:rPr>
                            </w:pPr>
                            <w:r>
                              <w:rPr>
                                <w:rFonts w:cstheme="minorHAnsi"/>
                                <w:b/>
                              </w:rPr>
                              <w:t>RÚBRICA DE EVALUACIÓN – ENSAYO</w:t>
                            </w:r>
                          </w:p>
                          <w:p w14:paraId="50F7310A" w14:textId="77777777" w:rsidR="00C7239A" w:rsidRPr="00C25376" w:rsidRDefault="00C7239A" w:rsidP="00C7239A">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7D1DA" id="Cuadro de texto 1549645649" o:spid="_x0000_s1112" type="#_x0000_t202" style="position:absolute;left:0;text-align:left;margin-left:119.65pt;margin-top:-.05pt;width:520.2pt;height:32.4pt;z-index:25271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" fillcolor="white [3201]" strokeweight=".5pt">
                <v:textbox>
                  <w:txbxContent>
                    <w:p w14:paraId="228E87A9" w14:textId="77777777" w:rsidR="00C7239A" w:rsidRDefault="00C7239A" w:rsidP="00C7239A">
                      <w:pPr>
                        <w:jc w:val="center"/>
                        <w:rPr>
                          <w:rFonts w:cstheme="minorHAnsi"/>
                        </w:rPr>
                      </w:pPr>
                      <w:r>
                        <w:rPr>
                          <w:rFonts w:cstheme="minorHAnsi"/>
                          <w:b/>
                        </w:rPr>
                        <w:t>RÚBRICA DE EVALUACIÓN – ENSAYO</w:t>
                      </w:r>
                    </w:p>
                    <w:p w14:paraId="50F7310A" w14:textId="77777777" w:rsidR="00C7239A" w:rsidRPr="00C25376" w:rsidRDefault="00C7239A" w:rsidP="00C7239A">
                      <w:pPr>
                        <w:jc w:val="center"/>
                        <w:rPr>
                          <w:rFonts w:cstheme="minorHAnsi"/>
                        </w:rPr>
                      </w:pPr>
                    </w:p>
                  </w:txbxContent>
                </v:textbox>
                <w10:wrap anchorx="margin"/>
              </v:shape>
            </w:pict>
          </mc:Fallback>
        </mc:AlternateContent>
      </w:r>
    </w:p>
    <w:p w14:paraId="68F7FCE3" w14:textId="77777777" w:rsidR="00C7239A" w:rsidRDefault="00C7239A" w:rsidP="00C7239A">
      <w:pPr>
        <w:jc w:val="center"/>
        <w:rPr>
          <w:rFonts w:cstheme="minorHAnsi"/>
          <w:color w:val="0070C0"/>
        </w:rPr>
      </w:pPr>
    </w:p>
    <w:p w14:paraId="673DF8EF" w14:textId="2472F399" w:rsidR="00C7239A" w:rsidRPr="00516A9C" w:rsidRDefault="00C7239A" w:rsidP="00C7239A">
      <w:pPr>
        <w:jc w:val="center"/>
        <w:rPr>
          <w:rFonts w:cstheme="minorHAnsi"/>
          <w:color w:val="0070C0"/>
        </w:rPr>
      </w:pPr>
      <w:r w:rsidRPr="00516A9C">
        <w:rPr>
          <w:rFonts w:cstheme="minorHAnsi"/>
          <w:color w:val="0070C0"/>
        </w:rPr>
        <w:t>Se define al ensayo como un documento académico estructurado en una introducción, desarrollo, conclusión y referencias bibliográficas (bajo el sistema Chicago-Deusto utilizado por la UBL). Con él se busca la exposición, el estudio y análisis de un tema o tópico seleccionado o asignado. Se elabora en la sesión 14 y tiene un valor de 40%</w:t>
      </w:r>
    </w:p>
    <w:p w14:paraId="4F83D89E" w14:textId="3CC3DA61" w:rsidR="00C7239A" w:rsidRDefault="00C7239A" w:rsidP="00C7239A">
      <w:pPr>
        <w:jc w:val="center"/>
        <w:rPr>
          <w:rFonts w:cstheme="minorHAnsi"/>
          <w:color w:val="000000" w:themeColor="text1"/>
        </w:rPr>
      </w:pPr>
      <w:r>
        <w:rPr>
          <w:rFonts w:cstheme="minorHAnsi"/>
          <w:noProof/>
          <w:color w:val="000000" w:themeColor="text1"/>
        </w:rPr>
        <w:drawing>
          <wp:anchor distT="0" distB="0" distL="114300" distR="114300" simplePos="0" relativeHeight="252715008" behindDoc="0" locked="0" layoutInCell="1" allowOverlap="1" wp14:anchorId="35244B9D" wp14:editId="137CDC3C">
            <wp:simplePos x="0" y="0"/>
            <wp:positionH relativeFrom="column">
              <wp:posOffset>41563</wp:posOffset>
            </wp:positionH>
            <wp:positionV relativeFrom="paragraph">
              <wp:posOffset>9294</wp:posOffset>
            </wp:positionV>
            <wp:extent cx="9144000" cy="5114925"/>
            <wp:effectExtent l="0" t="0" r="0" b="9525"/>
            <wp:wrapNone/>
            <wp:docPr id="1223082982"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82982" name="Imagen 4" descr="Tabla&#10;&#10;Descripción generada automáticamente"/>
                    <pic:cNvPicPr/>
                  </pic:nvPicPr>
                  <pic:blipFill>
                    <a:blip r:embed="rId201">
                      <a:extLst>
                        <a:ext uri="{28A0092B-C50C-407E-A947-70E740481C1C}">
                          <a14:useLocalDpi xmlns:a14="http://schemas.microsoft.com/office/drawing/2010/main" val="0"/>
                        </a:ext>
                      </a:extLst>
                    </a:blip>
                    <a:stretch>
                      <a:fillRect/>
                    </a:stretch>
                  </pic:blipFill>
                  <pic:spPr>
                    <a:xfrm>
                      <a:off x="0" y="0"/>
                      <a:ext cx="9144000" cy="5114925"/>
                    </a:xfrm>
                    <a:prstGeom prst="rect">
                      <a:avLst/>
                    </a:prstGeom>
                  </pic:spPr>
                </pic:pic>
              </a:graphicData>
            </a:graphic>
          </wp:anchor>
        </w:drawing>
      </w:r>
    </w:p>
    <w:p w14:paraId="1019FF8A" w14:textId="525FB587" w:rsidR="00C7239A" w:rsidRDefault="00C7239A" w:rsidP="00C7239A">
      <w:pPr>
        <w:jc w:val="center"/>
        <w:rPr>
          <w:rFonts w:cstheme="minorHAnsi"/>
          <w:color w:val="000000" w:themeColor="text1"/>
        </w:rPr>
      </w:pPr>
    </w:p>
    <w:p w14:paraId="506D1850" w14:textId="77777777" w:rsidR="00C7239A" w:rsidRPr="001C445E" w:rsidRDefault="00C7239A" w:rsidP="00C7239A">
      <w:pPr>
        <w:jc w:val="center"/>
        <w:rPr>
          <w:rFonts w:cstheme="minorHAnsi"/>
          <w:b/>
          <w:bCs/>
          <w:color w:val="000000" w:themeColor="text1"/>
        </w:rPr>
      </w:pPr>
    </w:p>
    <w:p w14:paraId="044AA456" w14:textId="77777777" w:rsidR="00C7239A" w:rsidRDefault="00C7239A" w:rsidP="00C7239A">
      <w:pPr>
        <w:rPr>
          <w:rFonts w:cstheme="minorHAnsi"/>
          <w:b/>
          <w:bCs/>
          <w:color w:val="000000" w:themeColor="text1"/>
        </w:rPr>
      </w:pPr>
      <w:r>
        <w:rPr>
          <w:rFonts w:cstheme="minorHAnsi"/>
          <w:b/>
          <w:bCs/>
          <w:color w:val="000000" w:themeColor="text1"/>
        </w:rPr>
        <w:br w:type="page"/>
      </w:r>
    </w:p>
    <w:p w14:paraId="3E8F209A" w14:textId="77777777" w:rsidR="00C7239A" w:rsidRDefault="00C7239A" w:rsidP="00C7239A">
      <w:pPr>
        <w:rPr>
          <w:rFonts w:cstheme="minorHAnsi"/>
          <w:b/>
          <w:bCs/>
          <w:color w:val="000000" w:themeColor="text1"/>
        </w:rPr>
        <w:sectPr w:rsidR="00C7239A" w:rsidSect="00C7239A">
          <w:pgSz w:w="15840" w:h="12240" w:orient="landscape"/>
          <w:pgMar w:top="720" w:right="720" w:bottom="720" w:left="720" w:header="709" w:footer="709" w:gutter="0"/>
          <w:pgNumType w:start="176"/>
          <w:cols w:space="708"/>
          <w:docGrid w:linePitch="360"/>
        </w:sectPr>
      </w:pPr>
    </w:p>
    <w:p w14:paraId="13E297FA" w14:textId="77777777" w:rsidR="00C7239A" w:rsidRDefault="00C7239A" w:rsidP="00C7239A">
      <w:pPr>
        <w:rPr>
          <w:rFonts w:cstheme="minorHAnsi"/>
          <w:b/>
          <w:bCs/>
          <w:color w:val="000000" w:themeColor="text1"/>
        </w:rPr>
      </w:pPr>
      <w:r w:rsidRPr="00F24BC3">
        <w:rPr>
          <w:rFonts w:cstheme="minorHAnsi"/>
          <w:b/>
          <w:bCs/>
          <w:color w:val="000000" w:themeColor="text1"/>
        </w:rPr>
        <w:lastRenderedPageBreak/>
        <w:t>XI. Bibliografía</w:t>
      </w:r>
      <w:r>
        <w:rPr>
          <w:rFonts w:cstheme="minorHAnsi"/>
          <w:b/>
          <w:bCs/>
          <w:color w:val="000000" w:themeColor="text1"/>
        </w:rPr>
        <w:t xml:space="preserve"> obligatoria</w:t>
      </w:r>
    </w:p>
    <w:p w14:paraId="76ED181A" w14:textId="77777777" w:rsidR="00C7239A" w:rsidRDefault="00C7239A" w:rsidP="00C7239A">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00C285D3" w14:textId="77777777" w:rsidR="00C7239A" w:rsidRPr="00D10838" w:rsidRDefault="00C7239A" w:rsidP="00C7239A">
      <w:pPr>
        <w:ind w:left="709" w:hanging="709"/>
        <w:jc w:val="both"/>
        <w:rPr>
          <w:rFonts w:cstheme="minorHAnsi"/>
          <w:color w:val="000000" w:themeColor="text1"/>
        </w:rPr>
      </w:pPr>
      <w:proofErr w:type="spellStart"/>
      <w:r w:rsidRPr="00D10838">
        <w:rPr>
          <w:rFonts w:cstheme="minorHAnsi"/>
          <w:color w:val="000000" w:themeColor="text1"/>
        </w:rPr>
        <w:t>Arens</w:t>
      </w:r>
      <w:proofErr w:type="spellEnd"/>
      <w:r w:rsidRPr="00D10838">
        <w:rPr>
          <w:rFonts w:cstheme="minorHAnsi"/>
          <w:color w:val="000000" w:themeColor="text1"/>
        </w:rPr>
        <w:t xml:space="preserve">, Eduardo. </w:t>
      </w:r>
      <w:r w:rsidRPr="00D10838">
        <w:rPr>
          <w:rFonts w:cstheme="minorHAnsi"/>
          <w:i/>
          <w:color w:val="000000" w:themeColor="text1"/>
        </w:rPr>
        <w:t>Asia Menor en tiempos de Pablo, Lucas y Juan: aspectos sociales y económicos para la comprensión del Nuevo Testamento</w:t>
      </w:r>
      <w:r w:rsidRPr="00D10838">
        <w:rPr>
          <w:rFonts w:cstheme="minorHAnsi"/>
          <w:color w:val="000000" w:themeColor="text1"/>
        </w:rPr>
        <w:t>. Córdoba: El Almendro, 1995. (</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última edición)</w:t>
      </w:r>
    </w:p>
    <w:p w14:paraId="4194A42D" w14:textId="77777777" w:rsidR="00C7239A" w:rsidRPr="00D10838" w:rsidRDefault="00C7239A" w:rsidP="00C7239A">
      <w:pPr>
        <w:ind w:left="709" w:hanging="709"/>
        <w:jc w:val="both"/>
        <w:rPr>
          <w:rFonts w:cstheme="minorHAnsi"/>
        </w:rPr>
      </w:pPr>
      <w:r w:rsidRPr="00D10838">
        <w:rPr>
          <w:rFonts w:cstheme="minorHAnsi"/>
        </w:rPr>
        <w:t xml:space="preserve">Piñero Antonio. </w:t>
      </w:r>
      <w:r w:rsidRPr="00D10838">
        <w:rPr>
          <w:rFonts w:cstheme="minorHAnsi"/>
          <w:i/>
        </w:rPr>
        <w:t xml:space="preserve">Guía para entender a Pablo de Tarso: Una interpretación del pensamiento paulino. </w:t>
      </w:r>
      <w:r w:rsidRPr="00D10838">
        <w:rPr>
          <w:rFonts w:cstheme="minorHAnsi"/>
        </w:rPr>
        <w:t xml:space="preserve">Madrid: Editorial Trotta, 2018. </w:t>
      </w:r>
      <w:r w:rsidRPr="00D10838">
        <w:rPr>
          <w:rFonts w:cstheme="minorHAnsi"/>
          <w:color w:val="000000" w:themeColor="text1"/>
        </w:rPr>
        <w:t>(</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última edición)</w:t>
      </w:r>
    </w:p>
    <w:p w14:paraId="7E6B38D9" w14:textId="77777777" w:rsidR="00C7239A" w:rsidRPr="00D10838" w:rsidRDefault="00C7239A" w:rsidP="00C7239A">
      <w:pPr>
        <w:ind w:left="709" w:hanging="709"/>
        <w:jc w:val="both"/>
        <w:rPr>
          <w:rFonts w:cstheme="minorHAnsi"/>
          <w:color w:val="0070C0"/>
        </w:rPr>
      </w:pPr>
      <w:r w:rsidRPr="00D10838">
        <w:rPr>
          <w:rFonts w:cstheme="minorHAnsi"/>
          <w:color w:val="000000" w:themeColor="text1"/>
        </w:rPr>
        <w:t xml:space="preserve">Piñero, Antonio. </w:t>
      </w:r>
      <w:r w:rsidRPr="00D10838">
        <w:rPr>
          <w:rFonts w:cstheme="minorHAnsi"/>
          <w:i/>
          <w:color w:val="000000" w:themeColor="text1"/>
        </w:rPr>
        <w:t>Guía para entender el Nuevo Testamento</w:t>
      </w:r>
      <w:r w:rsidRPr="00D10838">
        <w:rPr>
          <w:rFonts w:cstheme="minorHAnsi"/>
          <w:color w:val="000000" w:themeColor="text1"/>
        </w:rPr>
        <w:t>. Madrid: Trotta, 2016. (</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 xml:space="preserve">última edición) </w:t>
      </w:r>
    </w:p>
    <w:p w14:paraId="7270D4B7" w14:textId="77777777" w:rsidR="00C7239A" w:rsidRPr="00D10838" w:rsidRDefault="00C7239A" w:rsidP="00C7239A">
      <w:pPr>
        <w:ind w:left="709" w:hanging="709"/>
        <w:jc w:val="both"/>
        <w:rPr>
          <w:rFonts w:cstheme="minorHAnsi"/>
          <w:color w:val="000000" w:themeColor="text1"/>
        </w:rPr>
      </w:pPr>
      <w:r w:rsidRPr="00D10838">
        <w:rPr>
          <w:rFonts w:cstheme="minorHAnsi"/>
          <w:color w:val="000000" w:themeColor="text1"/>
        </w:rPr>
        <w:t xml:space="preserve">Tamez, Elsa. “Cómo entender la carta a los romanos”. </w:t>
      </w:r>
      <w:r w:rsidRPr="00D10838">
        <w:rPr>
          <w:rFonts w:cstheme="minorHAnsi"/>
          <w:i/>
          <w:color w:val="000000" w:themeColor="text1"/>
        </w:rPr>
        <w:t>RIBLA</w:t>
      </w:r>
      <w:r w:rsidRPr="00D10838">
        <w:rPr>
          <w:rFonts w:cstheme="minorHAnsi"/>
          <w:color w:val="000000" w:themeColor="text1"/>
        </w:rPr>
        <w:t>, n. 20 (1995): 75-98.</w:t>
      </w:r>
    </w:p>
    <w:p w14:paraId="6D9D624B" w14:textId="77777777" w:rsidR="00C7239A" w:rsidRPr="00D10838" w:rsidRDefault="00C7239A" w:rsidP="00C7239A">
      <w:pPr>
        <w:ind w:left="709" w:hanging="709"/>
        <w:jc w:val="both"/>
        <w:rPr>
          <w:rFonts w:cstheme="minorHAnsi"/>
          <w:color w:val="000000" w:themeColor="text1"/>
        </w:rPr>
      </w:pPr>
      <w:proofErr w:type="spellStart"/>
      <w:r w:rsidRPr="00D10838">
        <w:rPr>
          <w:rFonts w:cstheme="minorHAnsi"/>
          <w:color w:val="000000" w:themeColor="text1"/>
        </w:rPr>
        <w:t>Tuñí</w:t>
      </w:r>
      <w:proofErr w:type="spellEnd"/>
      <w:r w:rsidRPr="00D10838">
        <w:rPr>
          <w:rFonts w:cstheme="minorHAnsi"/>
          <w:color w:val="000000" w:themeColor="text1"/>
        </w:rPr>
        <w:t xml:space="preserve">, Josep y Xavier Alegre. </w:t>
      </w:r>
      <w:r w:rsidRPr="00D10838">
        <w:rPr>
          <w:rFonts w:cstheme="minorHAnsi"/>
          <w:i/>
          <w:color w:val="000000" w:themeColor="text1"/>
        </w:rPr>
        <w:t xml:space="preserve">Escritos </w:t>
      </w:r>
      <w:proofErr w:type="spellStart"/>
      <w:r w:rsidRPr="00D10838">
        <w:rPr>
          <w:rFonts w:cstheme="minorHAnsi"/>
          <w:i/>
          <w:color w:val="000000" w:themeColor="text1"/>
        </w:rPr>
        <w:t>joánicos</w:t>
      </w:r>
      <w:proofErr w:type="spellEnd"/>
      <w:r w:rsidRPr="00D10838">
        <w:rPr>
          <w:rFonts w:cstheme="minorHAnsi"/>
          <w:i/>
          <w:color w:val="000000" w:themeColor="text1"/>
        </w:rPr>
        <w:t xml:space="preserve"> y cartas católicas</w:t>
      </w:r>
      <w:r w:rsidRPr="00D10838">
        <w:rPr>
          <w:rFonts w:cstheme="minorHAnsi"/>
          <w:color w:val="000000" w:themeColor="text1"/>
        </w:rPr>
        <w:t xml:space="preserve">. Estella: Verbo Divino, 2022. </w:t>
      </w:r>
    </w:p>
    <w:p w14:paraId="49D0D427" w14:textId="77777777" w:rsidR="00C7239A" w:rsidRPr="00D10838" w:rsidRDefault="00C7239A" w:rsidP="00C7239A">
      <w:pPr>
        <w:ind w:left="709" w:hanging="709"/>
        <w:jc w:val="both"/>
        <w:rPr>
          <w:rFonts w:cstheme="minorHAnsi"/>
          <w:color w:val="000000" w:themeColor="text1"/>
        </w:rPr>
      </w:pPr>
      <w:r w:rsidRPr="00D10838">
        <w:rPr>
          <w:rFonts w:cstheme="minorHAnsi"/>
          <w:color w:val="000000" w:themeColor="text1"/>
        </w:rPr>
        <w:t xml:space="preserve">Vouga, </w:t>
      </w:r>
      <w:proofErr w:type="spellStart"/>
      <w:r w:rsidRPr="00D10838">
        <w:rPr>
          <w:rFonts w:cstheme="minorHAnsi"/>
          <w:color w:val="000000" w:themeColor="text1"/>
        </w:rPr>
        <w:t>Francois</w:t>
      </w:r>
      <w:proofErr w:type="spellEnd"/>
      <w:r w:rsidRPr="00D10838">
        <w:rPr>
          <w:rFonts w:cstheme="minorHAnsi"/>
          <w:color w:val="000000" w:themeColor="text1"/>
        </w:rPr>
        <w:t xml:space="preserve">. “El corpus paulino”. En </w:t>
      </w:r>
      <w:r w:rsidRPr="00D10838">
        <w:rPr>
          <w:rFonts w:cstheme="minorHAnsi"/>
          <w:i/>
          <w:color w:val="000000" w:themeColor="text1"/>
        </w:rPr>
        <w:t>Introducción al Nuevo Testamento: su historia, su escritura, su teología</w:t>
      </w:r>
      <w:r w:rsidRPr="00D10838">
        <w:rPr>
          <w:rFonts w:cstheme="minorHAnsi"/>
          <w:color w:val="000000" w:themeColor="text1"/>
        </w:rPr>
        <w:t xml:space="preserve">, editado por Daniel </w:t>
      </w:r>
      <w:proofErr w:type="spellStart"/>
      <w:r w:rsidRPr="00D10838">
        <w:rPr>
          <w:rFonts w:cstheme="minorHAnsi"/>
          <w:color w:val="000000" w:themeColor="text1"/>
        </w:rPr>
        <w:t>Marguerat</w:t>
      </w:r>
      <w:proofErr w:type="spellEnd"/>
      <w:r w:rsidRPr="00D10838">
        <w:rPr>
          <w:rFonts w:cstheme="minorHAnsi"/>
          <w:color w:val="000000" w:themeColor="text1"/>
        </w:rPr>
        <w:t xml:space="preserve">, 139-146. Bilbao: </w:t>
      </w:r>
      <w:proofErr w:type="spellStart"/>
      <w:r w:rsidRPr="00D10838">
        <w:rPr>
          <w:rFonts w:cstheme="minorHAnsi"/>
          <w:color w:val="000000" w:themeColor="text1"/>
        </w:rPr>
        <w:t>Desclee</w:t>
      </w:r>
      <w:proofErr w:type="spellEnd"/>
      <w:r w:rsidRPr="00D10838">
        <w:rPr>
          <w:rFonts w:cstheme="minorHAnsi"/>
          <w:color w:val="000000" w:themeColor="text1"/>
        </w:rPr>
        <w:t xml:space="preserve"> de Brouwer, 2008. (</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última edición)</w:t>
      </w:r>
    </w:p>
    <w:p w14:paraId="6B67AE36" w14:textId="77777777" w:rsidR="00C7239A" w:rsidRPr="00D10838" w:rsidRDefault="00C7239A" w:rsidP="00C7239A">
      <w:pPr>
        <w:ind w:left="709" w:hanging="709"/>
        <w:jc w:val="both"/>
        <w:rPr>
          <w:rFonts w:cstheme="minorHAnsi"/>
          <w:color w:val="000000" w:themeColor="text1"/>
        </w:rPr>
      </w:pPr>
      <w:r w:rsidRPr="00D10838">
        <w:rPr>
          <w:rFonts w:cstheme="minorHAnsi"/>
          <w:color w:val="000000" w:themeColor="text1"/>
        </w:rPr>
        <w:t xml:space="preserve">Vouga, </w:t>
      </w:r>
      <w:proofErr w:type="spellStart"/>
      <w:r w:rsidRPr="00D10838">
        <w:rPr>
          <w:rFonts w:cstheme="minorHAnsi"/>
          <w:color w:val="000000" w:themeColor="text1"/>
        </w:rPr>
        <w:t>Francois</w:t>
      </w:r>
      <w:proofErr w:type="spellEnd"/>
      <w:r w:rsidRPr="00D10838">
        <w:rPr>
          <w:rFonts w:cstheme="minorHAnsi"/>
          <w:color w:val="000000" w:themeColor="text1"/>
        </w:rPr>
        <w:t xml:space="preserve">. </w:t>
      </w:r>
      <w:r w:rsidRPr="00D10838">
        <w:rPr>
          <w:rFonts w:cstheme="minorHAnsi"/>
          <w:i/>
          <w:color w:val="000000" w:themeColor="text1"/>
        </w:rPr>
        <w:t>Los primeros pasos del cristianismo: escritos, protagonistas, debates</w:t>
      </w:r>
      <w:r w:rsidRPr="00D10838">
        <w:rPr>
          <w:rFonts w:cstheme="minorHAnsi"/>
          <w:color w:val="000000" w:themeColor="text1"/>
        </w:rPr>
        <w:t>. Estella: Verbo Divino, 2001. (</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última edición)</w:t>
      </w:r>
    </w:p>
    <w:p w14:paraId="039349DA" w14:textId="77777777" w:rsidR="00C7239A" w:rsidRPr="00D10838" w:rsidRDefault="00C7239A" w:rsidP="00C7239A">
      <w:pPr>
        <w:ind w:left="709" w:hanging="709"/>
        <w:jc w:val="both"/>
        <w:rPr>
          <w:rFonts w:cstheme="minorHAnsi"/>
          <w:color w:val="000000" w:themeColor="text1"/>
        </w:rPr>
      </w:pPr>
      <w:r w:rsidRPr="00D10838">
        <w:rPr>
          <w:rFonts w:cstheme="minorHAnsi"/>
          <w:color w:val="000000" w:themeColor="text1"/>
        </w:rPr>
        <w:t xml:space="preserve">White, Michael. </w:t>
      </w:r>
      <w:r w:rsidRPr="00D10838">
        <w:rPr>
          <w:rFonts w:cstheme="minorHAnsi"/>
          <w:i/>
          <w:color w:val="000000" w:themeColor="text1"/>
        </w:rPr>
        <w:t>De Jesús al cristianismo: el Nuevo Testamento y la fe cristiana</w:t>
      </w:r>
      <w:r w:rsidRPr="00D10838">
        <w:rPr>
          <w:rFonts w:cstheme="minorHAnsi"/>
          <w:color w:val="000000" w:themeColor="text1"/>
        </w:rPr>
        <w:t>, Traducción de José Pérez Escobar. Estella: Verbo Divino, 2007. (Clásico</w:t>
      </w:r>
      <w:r>
        <w:rPr>
          <w:rFonts w:cstheme="minorHAnsi"/>
          <w:color w:val="000000" w:themeColor="text1"/>
        </w:rPr>
        <w:t xml:space="preserve">, </w:t>
      </w:r>
      <w:r w:rsidRPr="00D64E09">
        <w:rPr>
          <w:rFonts w:cstheme="minorHAnsi"/>
          <w:color w:val="0070C0"/>
        </w:rPr>
        <w:t xml:space="preserve">última </w:t>
      </w:r>
      <w:r>
        <w:rPr>
          <w:rFonts w:cstheme="minorHAnsi"/>
          <w:color w:val="0070C0"/>
        </w:rPr>
        <w:t>reimpresión</w:t>
      </w:r>
      <w:r w:rsidRPr="00D64E09">
        <w:rPr>
          <w:rFonts w:cstheme="minorHAnsi"/>
          <w:color w:val="0070C0"/>
        </w:rPr>
        <w:t xml:space="preserve"> 2014</w:t>
      </w:r>
      <w:r w:rsidRPr="00D10838">
        <w:rPr>
          <w:rFonts w:cstheme="minorHAnsi"/>
          <w:color w:val="000000" w:themeColor="text1"/>
        </w:rPr>
        <w:t>)</w:t>
      </w:r>
    </w:p>
    <w:p w14:paraId="4484E9F7" w14:textId="77777777" w:rsidR="00C7239A" w:rsidRDefault="00C7239A" w:rsidP="00C7239A">
      <w:pPr>
        <w:ind w:left="709" w:hanging="709"/>
        <w:jc w:val="both"/>
        <w:rPr>
          <w:rFonts w:cstheme="minorHAnsi"/>
          <w:color w:val="000000" w:themeColor="text1"/>
        </w:rPr>
      </w:pPr>
      <w:proofErr w:type="spellStart"/>
      <w:r w:rsidRPr="00D10838">
        <w:rPr>
          <w:rFonts w:cstheme="minorHAnsi"/>
          <w:color w:val="000000" w:themeColor="text1"/>
        </w:rPr>
        <w:t>Zumstein</w:t>
      </w:r>
      <w:proofErr w:type="spellEnd"/>
      <w:r w:rsidRPr="00D10838">
        <w:rPr>
          <w:rFonts w:cstheme="minorHAnsi"/>
          <w:color w:val="000000" w:themeColor="text1"/>
        </w:rPr>
        <w:t xml:space="preserve">, Jean. “Las cartas </w:t>
      </w:r>
      <w:proofErr w:type="spellStart"/>
      <w:r w:rsidRPr="00D10838">
        <w:rPr>
          <w:rFonts w:cstheme="minorHAnsi"/>
          <w:color w:val="000000" w:themeColor="text1"/>
        </w:rPr>
        <w:t>joánicas</w:t>
      </w:r>
      <w:proofErr w:type="spellEnd"/>
      <w:r w:rsidRPr="00D10838">
        <w:rPr>
          <w:rFonts w:cstheme="minorHAnsi"/>
          <w:color w:val="000000" w:themeColor="text1"/>
        </w:rPr>
        <w:t xml:space="preserve">”. En </w:t>
      </w:r>
      <w:r w:rsidRPr="00D10838">
        <w:rPr>
          <w:rFonts w:cstheme="minorHAnsi"/>
          <w:i/>
          <w:color w:val="000000" w:themeColor="text1"/>
        </w:rPr>
        <w:t>Introducción al Nuevo Testamento: su historia, su escritura, su teología</w:t>
      </w:r>
      <w:r w:rsidRPr="00D10838">
        <w:rPr>
          <w:rFonts w:cstheme="minorHAnsi"/>
          <w:color w:val="000000" w:themeColor="text1"/>
        </w:rPr>
        <w:t xml:space="preserve">, editado por Daniel </w:t>
      </w:r>
      <w:proofErr w:type="spellStart"/>
      <w:r w:rsidRPr="00D10838">
        <w:rPr>
          <w:rFonts w:cstheme="minorHAnsi"/>
          <w:color w:val="000000" w:themeColor="text1"/>
        </w:rPr>
        <w:t>Marguerat</w:t>
      </w:r>
      <w:proofErr w:type="spellEnd"/>
      <w:r w:rsidRPr="00D10838">
        <w:rPr>
          <w:rFonts w:cstheme="minorHAnsi"/>
          <w:color w:val="000000" w:themeColor="text1"/>
        </w:rPr>
        <w:t xml:space="preserve">, 371-386. Bilbao: </w:t>
      </w:r>
      <w:proofErr w:type="spellStart"/>
      <w:r w:rsidRPr="00D10838">
        <w:rPr>
          <w:rFonts w:cstheme="minorHAnsi"/>
          <w:color w:val="000000" w:themeColor="text1"/>
        </w:rPr>
        <w:t>Desclee</w:t>
      </w:r>
      <w:proofErr w:type="spellEnd"/>
      <w:r w:rsidRPr="00D10838">
        <w:rPr>
          <w:rFonts w:cstheme="minorHAnsi"/>
          <w:color w:val="000000" w:themeColor="text1"/>
        </w:rPr>
        <w:t xml:space="preserve"> de Brouwer, 2008. (</w:t>
      </w:r>
      <w:r w:rsidRPr="0063667D">
        <w:rPr>
          <w:rFonts w:cstheme="minorHAnsi"/>
          <w:color w:val="0070C0"/>
        </w:rPr>
        <w:t>clásico</w:t>
      </w:r>
      <w:r>
        <w:rPr>
          <w:rFonts w:cstheme="minorHAnsi"/>
          <w:color w:val="000000" w:themeColor="text1"/>
        </w:rPr>
        <w:t xml:space="preserve">, </w:t>
      </w:r>
      <w:r w:rsidRPr="00D10838">
        <w:rPr>
          <w:rFonts w:cstheme="minorHAnsi"/>
          <w:color w:val="000000" w:themeColor="text1"/>
        </w:rPr>
        <w:t>última edición)</w:t>
      </w:r>
    </w:p>
    <w:p w14:paraId="26B009BD" w14:textId="77777777" w:rsidR="00C7239A" w:rsidRDefault="00C7239A" w:rsidP="00C7239A">
      <w:pPr>
        <w:ind w:left="709" w:hanging="709"/>
        <w:rPr>
          <w:b/>
          <w:color w:val="000000" w:themeColor="text1"/>
        </w:rPr>
      </w:pPr>
      <w:r>
        <w:rPr>
          <w:b/>
          <w:color w:val="000000" w:themeColor="text1"/>
        </w:rPr>
        <w:t>XII. Bibliografía complementaria</w:t>
      </w:r>
    </w:p>
    <w:p w14:paraId="4A725EFE" w14:textId="77777777" w:rsidR="00C7239A" w:rsidRDefault="00C7239A" w:rsidP="00C7239A">
      <w:pPr>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20B30D1E" w14:textId="77777777" w:rsidR="00C7239A" w:rsidRPr="00CD119A" w:rsidRDefault="00C7239A" w:rsidP="00C7239A">
      <w:pPr>
        <w:spacing w:line="276" w:lineRule="auto"/>
        <w:ind w:left="709" w:hanging="709"/>
        <w:jc w:val="both"/>
        <w:rPr>
          <w:rFonts w:cstheme="minorHAnsi"/>
          <w:bCs/>
        </w:rPr>
      </w:pPr>
      <w:r w:rsidRPr="00CD119A">
        <w:rPr>
          <w:rFonts w:cstheme="minorHAnsi"/>
          <w:bCs/>
        </w:rPr>
        <w:t xml:space="preserve">Badiola </w:t>
      </w:r>
      <w:proofErr w:type="spellStart"/>
      <w:r w:rsidRPr="00CD119A">
        <w:rPr>
          <w:rFonts w:cstheme="minorHAnsi"/>
          <w:bCs/>
        </w:rPr>
        <w:t>Saenz</w:t>
      </w:r>
      <w:proofErr w:type="spellEnd"/>
      <w:r w:rsidRPr="00CD119A">
        <w:rPr>
          <w:rFonts w:cstheme="minorHAnsi"/>
          <w:bCs/>
        </w:rPr>
        <w:t xml:space="preserve"> de Ugarte, José Antonio. “Tensiones entre el judaísmo y el cristianismo en la tercera generación cristiana (</w:t>
      </w:r>
      <w:proofErr w:type="spellStart"/>
      <w:r w:rsidRPr="00CD119A">
        <w:rPr>
          <w:rFonts w:cstheme="minorHAnsi"/>
          <w:bCs/>
        </w:rPr>
        <w:t>Hch</w:t>
      </w:r>
      <w:proofErr w:type="spellEnd"/>
      <w:r w:rsidRPr="00CD119A">
        <w:rPr>
          <w:rFonts w:cstheme="minorHAnsi"/>
          <w:bCs/>
        </w:rPr>
        <w:t xml:space="preserve">, </w:t>
      </w:r>
      <w:proofErr w:type="spellStart"/>
      <w:r w:rsidRPr="00CD119A">
        <w:rPr>
          <w:rFonts w:cstheme="minorHAnsi"/>
          <w:bCs/>
        </w:rPr>
        <w:t>Jn</w:t>
      </w:r>
      <w:proofErr w:type="spellEnd"/>
      <w:r w:rsidRPr="00CD119A">
        <w:rPr>
          <w:rFonts w:cstheme="minorHAnsi"/>
          <w:bCs/>
        </w:rPr>
        <w:t xml:space="preserve"> y </w:t>
      </w:r>
      <w:proofErr w:type="spellStart"/>
      <w:r w:rsidRPr="00CD119A">
        <w:rPr>
          <w:rFonts w:cstheme="minorHAnsi"/>
          <w:bCs/>
        </w:rPr>
        <w:t>Ap</w:t>
      </w:r>
      <w:proofErr w:type="spellEnd"/>
      <w:r w:rsidRPr="00CD119A">
        <w:rPr>
          <w:rFonts w:cstheme="minorHAnsi"/>
          <w:bCs/>
        </w:rPr>
        <w:t xml:space="preserve">)”. </w:t>
      </w:r>
      <w:r w:rsidRPr="00CD119A">
        <w:rPr>
          <w:rFonts w:cstheme="minorHAnsi"/>
          <w:bCs/>
          <w:i/>
        </w:rPr>
        <w:t>Reseña Bíblica</w:t>
      </w:r>
      <w:r w:rsidRPr="00CD119A">
        <w:rPr>
          <w:rFonts w:cstheme="minorHAnsi"/>
          <w:bCs/>
        </w:rPr>
        <w:t xml:space="preserve">, n. 98 (2018): 34-42. </w:t>
      </w:r>
    </w:p>
    <w:p w14:paraId="100AFF62" w14:textId="77777777" w:rsidR="00C7239A" w:rsidRPr="00CD119A" w:rsidRDefault="00C7239A" w:rsidP="00C7239A">
      <w:pPr>
        <w:spacing w:line="276" w:lineRule="auto"/>
        <w:ind w:left="709" w:hanging="709"/>
        <w:jc w:val="both"/>
        <w:rPr>
          <w:rFonts w:cstheme="minorHAnsi"/>
          <w:bCs/>
        </w:rPr>
      </w:pPr>
      <w:r w:rsidRPr="00CD119A">
        <w:rPr>
          <w:rFonts w:cstheme="minorHAnsi"/>
          <w:bCs/>
        </w:rPr>
        <w:t xml:space="preserve">Cardozo Mindiola, Cristian Daniel. “El juicio en Romanos 14, 10c-12: apuntes exegéticos y teológicos”. </w:t>
      </w:r>
      <w:r w:rsidRPr="00CD119A">
        <w:rPr>
          <w:rFonts w:cstheme="minorHAnsi"/>
          <w:bCs/>
          <w:i/>
        </w:rPr>
        <w:t xml:space="preserve">Estudios bíblicos </w:t>
      </w:r>
      <w:r w:rsidRPr="00CD119A">
        <w:rPr>
          <w:rFonts w:cstheme="minorHAnsi"/>
          <w:bCs/>
        </w:rPr>
        <w:t xml:space="preserve">77, Cuaderno 1 (2019): 47-63. </w:t>
      </w:r>
    </w:p>
    <w:p w14:paraId="10F41105" w14:textId="77777777" w:rsidR="00C7239A" w:rsidRDefault="00C7239A" w:rsidP="00C7239A">
      <w:pPr>
        <w:ind w:left="709" w:hanging="709"/>
        <w:jc w:val="both"/>
        <w:rPr>
          <w:rStyle w:val="Hipervnculo"/>
          <w:rFonts w:cstheme="minorHAnsi"/>
          <w:shd w:val="clear" w:color="auto" w:fill="FFFFFF"/>
        </w:rPr>
      </w:pPr>
      <w:r w:rsidRPr="00CD119A">
        <w:rPr>
          <w:rFonts w:cstheme="minorHAnsi"/>
          <w:bCs/>
        </w:rPr>
        <w:t xml:space="preserve">Liceaga, Gabriel. “San Pablo en la filosofía política contemporánea: un estado de la cuestión”. </w:t>
      </w:r>
      <w:r w:rsidRPr="00CD119A">
        <w:rPr>
          <w:rFonts w:cstheme="minorHAnsi"/>
          <w:bCs/>
          <w:i/>
        </w:rPr>
        <w:t>Realidad: Revista De Ciencias Sociales y Humanidades</w:t>
      </w:r>
      <w:r w:rsidRPr="00CD119A">
        <w:rPr>
          <w:rFonts w:cstheme="minorHAnsi"/>
          <w:bCs/>
        </w:rPr>
        <w:t xml:space="preserve">, n. 121 (2009): 471-485. Acceso el 17 de diciembre de 2020. </w:t>
      </w:r>
      <w:hyperlink r:id="rId202" w:history="1">
        <w:r w:rsidRPr="00CD119A">
          <w:rPr>
            <w:rStyle w:val="Hipervnculo"/>
            <w:rFonts w:cstheme="minorHAnsi"/>
            <w:color w:val="0070C0"/>
            <w:shd w:val="clear" w:color="auto" w:fill="FFFFFF"/>
          </w:rPr>
          <w:t>https://doi.org/10.5377/realidad.v0i121.3322</w:t>
        </w:r>
      </w:hyperlink>
      <w:r w:rsidRPr="00CD119A">
        <w:rPr>
          <w:rFonts w:cstheme="minorHAnsi"/>
        </w:rPr>
        <w:t xml:space="preserve"> </w:t>
      </w:r>
    </w:p>
    <w:p w14:paraId="7E3DAC0D" w14:textId="77777777" w:rsidR="00C7239A" w:rsidRPr="00CD119A" w:rsidRDefault="00C7239A" w:rsidP="00C7239A">
      <w:pPr>
        <w:ind w:left="709" w:hanging="709"/>
        <w:jc w:val="both"/>
        <w:rPr>
          <w:rFonts w:cstheme="minorHAnsi"/>
          <w:color w:val="0563C1" w:themeColor="hyperlink"/>
          <w:u w:val="single"/>
          <w:shd w:val="clear" w:color="auto" w:fill="FFFFFF"/>
        </w:rPr>
      </w:pPr>
      <w:proofErr w:type="spellStart"/>
      <w:r w:rsidRPr="00CD119A">
        <w:rPr>
          <w:rFonts w:cstheme="minorHAnsi"/>
          <w:bCs/>
        </w:rPr>
        <w:t>Puigdollers</w:t>
      </w:r>
      <w:proofErr w:type="spellEnd"/>
      <w:r w:rsidRPr="00CD119A">
        <w:rPr>
          <w:rFonts w:cstheme="minorHAnsi"/>
          <w:bCs/>
        </w:rPr>
        <w:t xml:space="preserve"> </w:t>
      </w:r>
      <w:proofErr w:type="spellStart"/>
      <w:r w:rsidRPr="00CD119A">
        <w:rPr>
          <w:rFonts w:cstheme="minorHAnsi"/>
          <w:bCs/>
        </w:rPr>
        <w:t>Noblom</w:t>
      </w:r>
      <w:proofErr w:type="spellEnd"/>
      <w:r w:rsidRPr="00CD119A">
        <w:rPr>
          <w:rFonts w:cstheme="minorHAnsi"/>
          <w:bCs/>
        </w:rPr>
        <w:t xml:space="preserve">, Rodolfo. “La Carta a los hebreos y su inserción en las Cartas paulinas”. </w:t>
      </w:r>
      <w:r w:rsidRPr="00CD119A">
        <w:rPr>
          <w:rFonts w:cstheme="minorHAnsi"/>
          <w:bCs/>
          <w:i/>
        </w:rPr>
        <w:t>Estudios Bíblicos</w:t>
      </w:r>
      <w:r w:rsidRPr="00CD119A">
        <w:rPr>
          <w:rFonts w:cstheme="minorHAnsi"/>
          <w:bCs/>
        </w:rPr>
        <w:t xml:space="preserve"> 74, Cuaderno 1 (2016): 51-76.</w:t>
      </w:r>
    </w:p>
    <w:p w14:paraId="44E26180" w14:textId="4A38BA05" w:rsidR="005107B2" w:rsidRPr="006B5A49" w:rsidRDefault="005107B2" w:rsidP="00C5474A">
      <w:pPr>
        <w:pStyle w:val="SPECIAL2"/>
      </w:pPr>
      <w:bookmarkStart w:id="32" w:name="_Toc166526881"/>
      <w:r w:rsidRPr="00C5474A">
        <w:lastRenderedPageBreak/>
        <w:t>IV CUATRIMESTRE</w:t>
      </w:r>
      <w:bookmarkEnd w:id="32"/>
    </w:p>
    <w:p w14:paraId="3BC33C0C" w14:textId="77777777" w:rsidR="005107B2" w:rsidRDefault="005107B2" w:rsidP="005107B2">
      <w:pPr>
        <w:jc w:val="center"/>
        <w:rPr>
          <w:b/>
          <w:bCs/>
          <w:sz w:val="32"/>
          <w:szCs w:val="32"/>
          <w:lang w:val="es-ES"/>
        </w:rPr>
      </w:pPr>
    </w:p>
    <w:p w14:paraId="4BE37C50" w14:textId="67C1C685" w:rsidR="005107B2" w:rsidRPr="006B5A49" w:rsidRDefault="00DD16F2" w:rsidP="005107B2">
      <w:pPr>
        <w:rPr>
          <w:sz w:val="24"/>
          <w:szCs w:val="24"/>
        </w:rPr>
      </w:pPr>
      <w:hyperlink w:anchor="CTX108" w:history="1">
        <w:r w:rsidR="005107B2" w:rsidRPr="00497DDB">
          <w:rPr>
            <w:rStyle w:val="Hipervnculo"/>
            <w:sz w:val="24"/>
            <w:szCs w:val="24"/>
            <w:lang w:val="es-ES"/>
          </w:rPr>
          <w:t>CTX10</w:t>
        </w:r>
        <w:r w:rsidR="000E64D1" w:rsidRPr="00497DDB">
          <w:rPr>
            <w:rStyle w:val="Hipervnculo"/>
            <w:sz w:val="24"/>
            <w:szCs w:val="24"/>
            <w:lang w:val="es-ES"/>
          </w:rPr>
          <w:t>8 Historia y Realidad Latinoamericana</w:t>
        </w:r>
      </w:hyperlink>
    </w:p>
    <w:p w14:paraId="7124EEBD" w14:textId="484FFC4B" w:rsidR="005107B2" w:rsidRPr="006B5A49" w:rsidRDefault="00DD16F2" w:rsidP="005107B2">
      <w:pPr>
        <w:rPr>
          <w:sz w:val="24"/>
          <w:szCs w:val="24"/>
        </w:rPr>
      </w:pPr>
      <w:hyperlink w:anchor="CTX113" w:history="1">
        <w:r w:rsidR="005107B2" w:rsidRPr="00497DDB">
          <w:rPr>
            <w:rStyle w:val="Hipervnculo"/>
            <w:sz w:val="24"/>
            <w:szCs w:val="24"/>
          </w:rPr>
          <w:t>CTX1</w:t>
        </w:r>
        <w:r w:rsidR="000E64D1" w:rsidRPr="00497DDB">
          <w:rPr>
            <w:rStyle w:val="Hipervnculo"/>
            <w:sz w:val="24"/>
            <w:szCs w:val="24"/>
          </w:rPr>
          <w:t>13 Cristología</w:t>
        </w:r>
      </w:hyperlink>
    </w:p>
    <w:p w14:paraId="30E7B528" w14:textId="50009654" w:rsidR="005107B2" w:rsidRPr="006B5A49" w:rsidRDefault="00DD16F2" w:rsidP="005107B2">
      <w:pPr>
        <w:rPr>
          <w:sz w:val="24"/>
          <w:szCs w:val="24"/>
        </w:rPr>
      </w:pPr>
      <w:hyperlink w:anchor="CTX124" w:history="1">
        <w:r w:rsidR="005107B2" w:rsidRPr="00497DDB">
          <w:rPr>
            <w:rStyle w:val="Hipervnculo"/>
            <w:sz w:val="24"/>
            <w:szCs w:val="24"/>
          </w:rPr>
          <w:t>CTX1</w:t>
        </w:r>
        <w:r w:rsidR="000E64D1" w:rsidRPr="00497DDB">
          <w:rPr>
            <w:rStyle w:val="Hipervnculo"/>
            <w:sz w:val="24"/>
            <w:szCs w:val="24"/>
          </w:rPr>
          <w:t>24 Género e Identidad</w:t>
        </w:r>
      </w:hyperlink>
    </w:p>
    <w:p w14:paraId="415DE319" w14:textId="07548A47" w:rsidR="00DB6B21" w:rsidRDefault="00DD16F2" w:rsidP="005107B2">
      <w:pPr>
        <w:ind w:left="709" w:hanging="709"/>
        <w:jc w:val="both"/>
        <w:rPr>
          <w:sz w:val="24"/>
          <w:szCs w:val="24"/>
        </w:rPr>
      </w:pPr>
      <w:hyperlink w:anchor="CB101" w:history="1">
        <w:r w:rsidR="007D47C5" w:rsidRPr="00497DDB">
          <w:rPr>
            <w:rStyle w:val="Hipervnculo"/>
            <w:sz w:val="24"/>
            <w:szCs w:val="24"/>
          </w:rPr>
          <w:t>C</w:t>
        </w:r>
        <w:r w:rsidR="00DF6256" w:rsidRPr="00497DDB">
          <w:rPr>
            <w:rStyle w:val="Hipervnculo"/>
            <w:sz w:val="24"/>
            <w:szCs w:val="24"/>
          </w:rPr>
          <w:t>B101 Hebreo</w:t>
        </w:r>
      </w:hyperlink>
    </w:p>
    <w:p w14:paraId="2163047D" w14:textId="77777777" w:rsidR="007D47C5" w:rsidRDefault="007D47C5" w:rsidP="005107B2">
      <w:pPr>
        <w:ind w:left="709" w:hanging="709"/>
        <w:jc w:val="both"/>
        <w:rPr>
          <w:sz w:val="24"/>
          <w:szCs w:val="24"/>
        </w:rPr>
      </w:pPr>
    </w:p>
    <w:p w14:paraId="7148DA77" w14:textId="77777777" w:rsidR="007D47C5" w:rsidRDefault="007D47C5" w:rsidP="005107B2">
      <w:pPr>
        <w:ind w:left="709" w:hanging="709"/>
        <w:jc w:val="both"/>
        <w:rPr>
          <w:sz w:val="24"/>
          <w:szCs w:val="24"/>
        </w:rPr>
      </w:pPr>
    </w:p>
    <w:p w14:paraId="66AFE620" w14:textId="04057A64" w:rsidR="00B14BEF" w:rsidRDefault="00B14BEF">
      <w:pPr>
        <w:rPr>
          <w:sz w:val="24"/>
          <w:szCs w:val="24"/>
        </w:rPr>
      </w:pPr>
      <w:r>
        <w:rPr>
          <w:sz w:val="24"/>
          <w:szCs w:val="24"/>
        </w:rPr>
        <w:br w:type="page"/>
      </w:r>
    </w:p>
    <w:p w14:paraId="2A20123C" w14:textId="77777777" w:rsidR="00501810" w:rsidRPr="00501810" w:rsidRDefault="00501810" w:rsidP="00501810">
      <w:pPr>
        <w:widowControl w:val="0"/>
        <w:overflowPunct w:val="0"/>
        <w:autoSpaceDE w:val="0"/>
        <w:autoSpaceDN w:val="0"/>
        <w:adjustRightInd w:val="0"/>
        <w:spacing w:before="120" w:after="0" w:line="240" w:lineRule="auto"/>
        <w:jc w:val="center"/>
        <w:rPr>
          <w:rFonts w:ascii="Arial" w:eastAsia="Times New Roman" w:hAnsi="Arial" w:cs="Arial"/>
          <w:kern w:val="0"/>
          <w:sz w:val="24"/>
          <w:szCs w:val="20"/>
          <w:lang w:val="es-ES_tradnl" w:eastAsia="es-CR"/>
          <w14:ligatures w14:val="none"/>
        </w:rPr>
      </w:pPr>
      <w:r w:rsidRPr="00501810">
        <w:rPr>
          <w:rFonts w:ascii="Arial" w:eastAsia="Times New Roman" w:hAnsi="Arial" w:cs="Arial"/>
          <w:noProof/>
          <w:kern w:val="0"/>
          <w:sz w:val="24"/>
          <w:szCs w:val="24"/>
          <w:lang w:eastAsia="es-CR"/>
          <w14:ligatures w14:val="none"/>
        </w:rPr>
        <w:lastRenderedPageBreak/>
        <w:drawing>
          <wp:inline distT="0" distB="0" distL="0" distR="0" wp14:anchorId="58470B87" wp14:editId="38923048">
            <wp:extent cx="2009775" cy="1548377"/>
            <wp:effectExtent l="0" t="0" r="0" b="0"/>
            <wp:docPr id="826328111"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328111"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2B686229" w14:textId="77777777" w:rsidR="00501810" w:rsidRPr="00501810" w:rsidRDefault="00501810" w:rsidP="00501810">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p>
    <w:p w14:paraId="5E8A9AFB" w14:textId="77777777" w:rsidR="00501810" w:rsidRPr="00501810" w:rsidRDefault="00501810" w:rsidP="00501810">
      <w:pPr>
        <w:keepNext/>
        <w:widowControl w:val="0"/>
        <w:overflowPunct w:val="0"/>
        <w:autoSpaceDE w:val="0"/>
        <w:autoSpaceDN w:val="0"/>
        <w:adjustRightInd w:val="0"/>
        <w:spacing w:after="0" w:line="276" w:lineRule="auto"/>
        <w:jc w:val="center"/>
        <w:outlineLvl w:val="0"/>
        <w:rPr>
          <w:rFonts w:ascii="Calibri" w:eastAsia="Times New Roman" w:hAnsi="Calibri" w:cs="Arial"/>
          <w:b/>
          <w:spacing w:val="-2"/>
          <w:kern w:val="0"/>
          <w:sz w:val="24"/>
          <w:szCs w:val="24"/>
          <w:lang w:eastAsia="es-CR"/>
          <w14:ligatures w14:val="none"/>
        </w:rPr>
      </w:pPr>
      <w:r w:rsidRPr="00501810">
        <w:rPr>
          <w:rFonts w:ascii="Calibri" w:eastAsia="Times New Roman" w:hAnsi="Calibri" w:cs="Arial"/>
          <w:b/>
          <w:spacing w:val="-2"/>
          <w:kern w:val="0"/>
          <w:sz w:val="24"/>
          <w:szCs w:val="24"/>
          <w:lang w:eastAsia="es-CR"/>
          <w14:ligatures w14:val="none"/>
        </w:rPr>
        <w:t>Universidad Bíblica Latinoamericana</w:t>
      </w:r>
    </w:p>
    <w:p w14:paraId="06687218" w14:textId="77777777" w:rsidR="00501810" w:rsidRPr="00501810" w:rsidRDefault="00501810" w:rsidP="00501810">
      <w:pPr>
        <w:keepNext/>
        <w:widowControl w:val="0"/>
        <w:overflowPunct w:val="0"/>
        <w:autoSpaceDE w:val="0"/>
        <w:autoSpaceDN w:val="0"/>
        <w:adjustRightInd w:val="0"/>
        <w:spacing w:after="0" w:line="276" w:lineRule="auto"/>
        <w:jc w:val="center"/>
        <w:outlineLvl w:val="1"/>
        <w:rPr>
          <w:rFonts w:ascii="Calibri" w:eastAsia="Times New Roman" w:hAnsi="Calibri" w:cs="Arial"/>
          <w:b/>
          <w:i/>
          <w:spacing w:val="-2"/>
          <w:kern w:val="28"/>
          <w:sz w:val="24"/>
          <w:szCs w:val="24"/>
          <w:lang w:eastAsia="es-CR"/>
          <w14:ligatures w14:val="none"/>
        </w:rPr>
      </w:pPr>
      <w:r w:rsidRPr="00501810">
        <w:rPr>
          <w:rFonts w:ascii="Calibri" w:eastAsia="Times New Roman" w:hAnsi="Calibri" w:cs="Arial"/>
          <w:b/>
          <w:i/>
          <w:spacing w:val="-2"/>
          <w:kern w:val="28"/>
          <w:sz w:val="24"/>
          <w:szCs w:val="24"/>
          <w:lang w:eastAsia="es-CR"/>
          <w14:ligatures w14:val="none"/>
        </w:rPr>
        <w:t>Facultad de Teología</w:t>
      </w:r>
    </w:p>
    <w:p w14:paraId="6FEDAD33" w14:textId="77777777" w:rsidR="00501810" w:rsidRPr="00501810" w:rsidRDefault="00501810" w:rsidP="00501810">
      <w:pPr>
        <w:widowControl w:val="0"/>
        <w:overflowPunct w:val="0"/>
        <w:autoSpaceDE w:val="0"/>
        <w:autoSpaceDN w:val="0"/>
        <w:adjustRightInd w:val="0"/>
        <w:spacing w:after="0" w:line="276" w:lineRule="auto"/>
        <w:jc w:val="center"/>
        <w:rPr>
          <w:rFonts w:ascii="Calibri" w:eastAsia="Times New Roman" w:hAnsi="Calibri" w:cs="Arial"/>
          <w:b/>
          <w:bCs/>
          <w:kern w:val="0"/>
          <w:sz w:val="24"/>
          <w:szCs w:val="24"/>
          <w:lang w:val="es-ES_tradnl" w:eastAsia="es-CR"/>
          <w14:ligatures w14:val="none"/>
        </w:rPr>
      </w:pPr>
      <w:r w:rsidRPr="00501810">
        <w:rPr>
          <w:rFonts w:ascii="Calibri" w:eastAsia="Times New Roman" w:hAnsi="Calibri" w:cs="Arial"/>
          <w:b/>
          <w:bCs/>
          <w:kern w:val="0"/>
          <w:sz w:val="24"/>
          <w:szCs w:val="24"/>
          <w:lang w:val="es-ES_tradnl" w:eastAsia="es-CR"/>
          <w14:ligatures w14:val="none"/>
        </w:rPr>
        <w:t xml:space="preserve">Bachillerato en Ciencias </w:t>
      </w:r>
      <w:r w:rsidRPr="00501810">
        <w:rPr>
          <w:rFonts w:ascii="Calibri" w:eastAsia="Times New Roman" w:hAnsi="Calibri" w:cs="Arial"/>
          <w:b/>
          <w:bCs/>
          <w:kern w:val="0"/>
          <w:sz w:val="24"/>
          <w:szCs w:val="20"/>
          <w:lang w:val="es-ES_tradnl" w:eastAsia="es-CR"/>
          <w14:ligatures w14:val="none"/>
        </w:rPr>
        <w:t>Bíblicas</w:t>
      </w:r>
      <w:r w:rsidRPr="00501810">
        <w:rPr>
          <w:rFonts w:ascii="Calibri" w:eastAsia="Times New Roman" w:hAnsi="Calibri" w:cs="Arial"/>
          <w:b/>
          <w:bCs/>
          <w:kern w:val="0"/>
          <w:sz w:val="24"/>
          <w:szCs w:val="24"/>
          <w:lang w:val="es-ES_tradnl" w:eastAsia="es-CR"/>
          <w14:ligatures w14:val="none"/>
        </w:rPr>
        <w:t xml:space="preserve"> </w:t>
      </w:r>
    </w:p>
    <w:p w14:paraId="0C1A7D5C" w14:textId="77777777" w:rsidR="00501810" w:rsidRPr="00501810" w:rsidRDefault="00501810" w:rsidP="00501810">
      <w:pPr>
        <w:widowControl w:val="0"/>
        <w:overflowPunct w:val="0"/>
        <w:autoSpaceDE w:val="0"/>
        <w:autoSpaceDN w:val="0"/>
        <w:adjustRightInd w:val="0"/>
        <w:spacing w:after="0" w:line="240" w:lineRule="auto"/>
        <w:ind w:left="-426"/>
        <w:jc w:val="center"/>
        <w:rPr>
          <w:rFonts w:ascii="Calibri" w:eastAsia="Times New Roman" w:hAnsi="Calibri" w:cs="Arial"/>
          <w:b/>
          <w:bCs/>
          <w:kern w:val="0"/>
          <w:sz w:val="24"/>
          <w:szCs w:val="24"/>
          <w:lang w:val="es-ES_tradnl" w:eastAsia="es-CR"/>
          <w14:ligatures w14:val="none"/>
        </w:rPr>
      </w:pPr>
    </w:p>
    <w:p w14:paraId="6F47E166"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501810">
        <w:rPr>
          <w:rFonts w:ascii="Calibri" w:eastAsia="Times New Roman" w:hAnsi="Calibri" w:cs="Arial"/>
          <w:b/>
          <w:kern w:val="0"/>
          <w:sz w:val="24"/>
          <w:szCs w:val="24"/>
          <w:lang w:val="es-ES_tradnl" w:eastAsia="es-CR"/>
          <w14:ligatures w14:val="none"/>
        </w:rPr>
        <w:t>Sílabo</w:t>
      </w:r>
    </w:p>
    <w:p w14:paraId="339F01FD"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bookmarkStart w:id="33" w:name="CTX108"/>
      <w:r w:rsidRPr="00501810">
        <w:rPr>
          <w:rFonts w:ascii="Calibri" w:eastAsia="Times New Roman" w:hAnsi="Calibri" w:cs="Arial"/>
          <w:b/>
          <w:kern w:val="0"/>
          <w:sz w:val="24"/>
          <w:szCs w:val="24"/>
          <w:lang w:val="es-ES_tradnl" w:eastAsia="es-CR"/>
          <w14:ligatures w14:val="none"/>
        </w:rPr>
        <w:t>Historia y Realidad Latinoamericana</w:t>
      </w:r>
    </w:p>
    <w:bookmarkEnd w:id="33"/>
    <w:p w14:paraId="761C0B2B" w14:textId="77777777" w:rsidR="00501810" w:rsidRPr="00501810" w:rsidRDefault="00501810" w:rsidP="00501810">
      <w:pPr>
        <w:widowControl w:val="0"/>
        <w:overflowPunct w:val="0"/>
        <w:autoSpaceDE w:val="0"/>
        <w:autoSpaceDN w:val="0"/>
        <w:adjustRightInd w:val="0"/>
        <w:spacing w:before="120" w:after="0" w:line="240" w:lineRule="auto"/>
        <w:ind w:left="-426"/>
        <w:jc w:val="center"/>
        <w:rPr>
          <w:rFonts w:ascii="Arial" w:eastAsia="Times New Roman" w:hAnsi="Arial" w:cs="Arial"/>
          <w:b/>
          <w:kern w:val="0"/>
          <w:sz w:val="28"/>
          <w:szCs w:val="20"/>
          <w:lang w:val="es-ES_tradnl" w:eastAsia="es-CR"/>
          <w14:ligatures w14:val="none"/>
        </w:rPr>
      </w:pPr>
    </w:p>
    <w:p w14:paraId="2CE55CAB"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bl>
      <w:tblPr>
        <w:tblStyle w:val="Tablaconcuadrcula"/>
        <w:tblW w:w="0" w:type="auto"/>
        <w:tblLook w:val="04A0" w:firstRow="1" w:lastRow="0" w:firstColumn="1" w:lastColumn="0" w:noHBand="0" w:noVBand="1"/>
      </w:tblPr>
      <w:tblGrid>
        <w:gridCol w:w="1666"/>
        <w:gridCol w:w="7162"/>
      </w:tblGrid>
      <w:tr w:rsidR="00501810" w:rsidRPr="00501810" w14:paraId="3E12D51C" w14:textId="77777777" w:rsidTr="00CE7124">
        <w:tc>
          <w:tcPr>
            <w:tcW w:w="1668" w:type="dxa"/>
          </w:tcPr>
          <w:p w14:paraId="7620E342"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Código</w:t>
            </w:r>
          </w:p>
        </w:tc>
        <w:tc>
          <w:tcPr>
            <w:tcW w:w="7386" w:type="dxa"/>
          </w:tcPr>
          <w:p w14:paraId="66BB64B1"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CTX 108</w:t>
            </w:r>
          </w:p>
        </w:tc>
      </w:tr>
      <w:tr w:rsidR="00501810" w:rsidRPr="00501810" w14:paraId="7E1CB998" w14:textId="77777777" w:rsidTr="00CE7124">
        <w:tc>
          <w:tcPr>
            <w:tcW w:w="1668" w:type="dxa"/>
          </w:tcPr>
          <w:p w14:paraId="738661D8"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Créditos</w:t>
            </w:r>
          </w:p>
        </w:tc>
        <w:tc>
          <w:tcPr>
            <w:tcW w:w="7386" w:type="dxa"/>
          </w:tcPr>
          <w:p w14:paraId="05649109"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4</w:t>
            </w:r>
          </w:p>
        </w:tc>
      </w:tr>
      <w:tr w:rsidR="00501810" w:rsidRPr="00501810" w14:paraId="43AE73ED" w14:textId="77777777" w:rsidTr="00CE7124">
        <w:tc>
          <w:tcPr>
            <w:tcW w:w="1668" w:type="dxa"/>
          </w:tcPr>
          <w:p w14:paraId="2F08E652"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Requisitos</w:t>
            </w:r>
          </w:p>
        </w:tc>
        <w:tc>
          <w:tcPr>
            <w:tcW w:w="7386" w:type="dxa"/>
          </w:tcPr>
          <w:p w14:paraId="03789310"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CTX 109</w:t>
            </w:r>
          </w:p>
        </w:tc>
      </w:tr>
      <w:tr w:rsidR="00501810" w:rsidRPr="00501810" w14:paraId="119DDB98" w14:textId="77777777" w:rsidTr="00CE7124">
        <w:tc>
          <w:tcPr>
            <w:tcW w:w="1668" w:type="dxa"/>
          </w:tcPr>
          <w:p w14:paraId="16A21DE5"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Modalidad</w:t>
            </w:r>
          </w:p>
        </w:tc>
        <w:tc>
          <w:tcPr>
            <w:tcW w:w="7386" w:type="dxa"/>
          </w:tcPr>
          <w:p w14:paraId="6461A904"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Virtual</w:t>
            </w:r>
          </w:p>
        </w:tc>
      </w:tr>
      <w:tr w:rsidR="00501810" w:rsidRPr="00501810" w14:paraId="5A2BD60F" w14:textId="77777777" w:rsidTr="00CE7124">
        <w:tc>
          <w:tcPr>
            <w:tcW w:w="1668" w:type="dxa"/>
          </w:tcPr>
          <w:p w14:paraId="6FFE013A"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Naturaleza</w:t>
            </w:r>
          </w:p>
        </w:tc>
        <w:tc>
          <w:tcPr>
            <w:tcW w:w="7386" w:type="dxa"/>
          </w:tcPr>
          <w:p w14:paraId="7E81F1F2"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Teórico-práctico</w:t>
            </w:r>
          </w:p>
        </w:tc>
      </w:tr>
      <w:tr w:rsidR="00501810" w:rsidRPr="00501810" w14:paraId="6014D875" w14:textId="77777777" w:rsidTr="00CE7124">
        <w:tc>
          <w:tcPr>
            <w:tcW w:w="1668" w:type="dxa"/>
          </w:tcPr>
          <w:p w14:paraId="5EBFF51C"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Periodo</w:t>
            </w:r>
          </w:p>
        </w:tc>
        <w:tc>
          <w:tcPr>
            <w:tcW w:w="7386" w:type="dxa"/>
          </w:tcPr>
          <w:p w14:paraId="052B1016"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Cuatrimestral (15 semanas lectivas)</w:t>
            </w:r>
          </w:p>
        </w:tc>
      </w:tr>
      <w:tr w:rsidR="00501810" w:rsidRPr="00501810" w14:paraId="2458A147" w14:textId="77777777" w:rsidTr="00CE7124">
        <w:tc>
          <w:tcPr>
            <w:tcW w:w="1668" w:type="dxa"/>
          </w:tcPr>
          <w:p w14:paraId="1AC0F0C0"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Nivel</w:t>
            </w:r>
          </w:p>
        </w:tc>
        <w:tc>
          <w:tcPr>
            <w:tcW w:w="7386" w:type="dxa"/>
          </w:tcPr>
          <w:p w14:paraId="76E0ACF8"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IV Cuatrimestre</w:t>
            </w:r>
          </w:p>
        </w:tc>
      </w:tr>
      <w:tr w:rsidR="00501810" w:rsidRPr="00501810" w14:paraId="117EDDA7" w14:textId="77777777" w:rsidTr="00CE7124">
        <w:tc>
          <w:tcPr>
            <w:tcW w:w="1668" w:type="dxa"/>
          </w:tcPr>
          <w:p w14:paraId="772FEBF1"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Horario</w:t>
            </w:r>
          </w:p>
        </w:tc>
        <w:tc>
          <w:tcPr>
            <w:tcW w:w="7386" w:type="dxa"/>
          </w:tcPr>
          <w:p w14:paraId="047B83E0"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El curso requiere de 12 horas de trabajo semanal</w:t>
            </w:r>
          </w:p>
        </w:tc>
      </w:tr>
      <w:tr w:rsidR="00501810" w:rsidRPr="00501810" w14:paraId="053F5BBA" w14:textId="77777777" w:rsidTr="00CE7124">
        <w:tc>
          <w:tcPr>
            <w:tcW w:w="1668" w:type="dxa"/>
          </w:tcPr>
          <w:p w14:paraId="4B0A08C3"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Aula</w:t>
            </w:r>
          </w:p>
        </w:tc>
        <w:tc>
          <w:tcPr>
            <w:tcW w:w="7386" w:type="dxa"/>
          </w:tcPr>
          <w:p w14:paraId="5AFF0A6A"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lang w:eastAsia="es-CR"/>
              </w:rPr>
              <w:t>Plataforma virtual de la UBL</w:t>
            </w:r>
          </w:p>
        </w:tc>
      </w:tr>
      <w:tr w:rsidR="00501810" w:rsidRPr="00501810" w14:paraId="6E0BA43D" w14:textId="77777777" w:rsidTr="00CE7124">
        <w:tc>
          <w:tcPr>
            <w:tcW w:w="1668" w:type="dxa"/>
          </w:tcPr>
          <w:p w14:paraId="6AAEB287" w14:textId="77777777" w:rsidR="00501810" w:rsidRPr="00501810" w:rsidRDefault="00501810" w:rsidP="00501810">
            <w:pPr>
              <w:widowControl w:val="0"/>
              <w:overflowPunct w:val="0"/>
              <w:autoSpaceDE w:val="0"/>
              <w:autoSpaceDN w:val="0"/>
              <w:adjustRightInd w:val="0"/>
              <w:rPr>
                <w:rFonts w:ascii="Calibri" w:eastAsia="Times New Roman" w:hAnsi="Calibri" w:cs="Calibri"/>
                <w:b/>
                <w:lang w:eastAsia="es-CR"/>
              </w:rPr>
            </w:pPr>
            <w:r w:rsidRPr="00501810">
              <w:rPr>
                <w:rFonts w:ascii="Calibri" w:eastAsia="Times New Roman" w:hAnsi="Calibri" w:cs="Calibri"/>
                <w:b/>
                <w:lang w:eastAsia="es-CR"/>
              </w:rPr>
              <w:t>Docente</w:t>
            </w:r>
          </w:p>
        </w:tc>
        <w:tc>
          <w:tcPr>
            <w:tcW w:w="7386" w:type="dxa"/>
          </w:tcPr>
          <w:p w14:paraId="4B03DB94"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p>
        </w:tc>
      </w:tr>
      <w:tr w:rsidR="00501810" w:rsidRPr="00501810" w14:paraId="009BBD67" w14:textId="77777777" w:rsidTr="00CE7124">
        <w:tc>
          <w:tcPr>
            <w:tcW w:w="1668" w:type="dxa"/>
            <w:vAlign w:val="center"/>
          </w:tcPr>
          <w:p w14:paraId="4FA8B271" w14:textId="77777777" w:rsidR="00501810" w:rsidRPr="00501810" w:rsidRDefault="00501810" w:rsidP="00501810">
            <w:pPr>
              <w:widowControl w:val="0"/>
              <w:overflowPunct w:val="0"/>
              <w:autoSpaceDE w:val="0"/>
              <w:autoSpaceDN w:val="0"/>
              <w:adjustRightInd w:val="0"/>
              <w:rPr>
                <w:rFonts w:ascii="Calibri" w:eastAsia="Times New Roman" w:hAnsi="Calibri" w:cs="Calibri"/>
                <w:lang w:eastAsia="es-CR"/>
              </w:rPr>
            </w:pPr>
            <w:r w:rsidRPr="00501810">
              <w:rPr>
                <w:rFonts w:ascii="Calibri" w:eastAsia="Times New Roman" w:hAnsi="Calibri" w:cs="Calibri"/>
                <w:b/>
                <w:lang w:eastAsia="es-CR"/>
              </w:rPr>
              <w:t>Instrucciones administrativas</w:t>
            </w:r>
          </w:p>
        </w:tc>
        <w:tc>
          <w:tcPr>
            <w:tcW w:w="7386" w:type="dxa"/>
          </w:tcPr>
          <w:p w14:paraId="15D283AD" w14:textId="77777777" w:rsidR="00501810" w:rsidRPr="00501810" w:rsidRDefault="00501810" w:rsidP="00501810">
            <w:pPr>
              <w:widowControl w:val="0"/>
              <w:overflowPunct w:val="0"/>
              <w:autoSpaceDE w:val="0"/>
              <w:autoSpaceDN w:val="0"/>
              <w:adjustRightInd w:val="0"/>
              <w:jc w:val="both"/>
              <w:rPr>
                <w:rFonts w:ascii="Calibri" w:eastAsia="Times New Roman" w:hAnsi="Calibri" w:cs="Calibri"/>
                <w:lang w:eastAsia="es-CR"/>
              </w:rPr>
            </w:pPr>
            <w:r w:rsidRPr="00501810">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una hora semanal de trabajo práctico. La dirección de acceso a la plataforma es la siguiente:</w:t>
            </w:r>
          </w:p>
          <w:p w14:paraId="48124988" w14:textId="77777777" w:rsidR="00501810" w:rsidRPr="00501810" w:rsidRDefault="00DD16F2" w:rsidP="00501810">
            <w:pPr>
              <w:widowControl w:val="0"/>
              <w:overflowPunct w:val="0"/>
              <w:autoSpaceDE w:val="0"/>
              <w:autoSpaceDN w:val="0"/>
              <w:adjustRightInd w:val="0"/>
              <w:jc w:val="both"/>
              <w:rPr>
                <w:rFonts w:ascii="Calibri" w:eastAsia="Times New Roman" w:hAnsi="Calibri" w:cs="Calibri"/>
                <w:lang w:eastAsia="es-CR"/>
              </w:rPr>
            </w:pPr>
            <w:hyperlink r:id="rId203" w:history="1">
              <w:r w:rsidR="00501810" w:rsidRPr="00501810">
                <w:rPr>
                  <w:rFonts w:ascii="Calibri" w:eastAsia="Times New Roman" w:hAnsi="Calibri" w:cs="Calibri"/>
                  <w:color w:val="0000FF"/>
                  <w:u w:val="single"/>
                  <w:lang w:eastAsia="es-CR"/>
                </w:rPr>
                <w:t>https://campus.ubl.ac.cr/login/index.php</w:t>
              </w:r>
            </w:hyperlink>
          </w:p>
        </w:tc>
      </w:tr>
    </w:tbl>
    <w:p w14:paraId="71BDC77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p w14:paraId="189A497F"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p w14:paraId="720258BD" w14:textId="77777777" w:rsidR="00501810" w:rsidRPr="00501810" w:rsidRDefault="00501810" w:rsidP="00501810">
      <w:pPr>
        <w:keepNext/>
        <w:widowControl w:val="0"/>
        <w:overflowPunct w:val="0"/>
        <w:autoSpaceDE w:val="0"/>
        <w:autoSpaceDN w:val="0"/>
        <w:adjustRightInd w:val="0"/>
        <w:spacing w:before="240" w:after="120" w:line="240" w:lineRule="auto"/>
        <w:outlineLvl w:val="1"/>
        <w:rPr>
          <w:rFonts w:ascii="Calibri" w:eastAsia="Times New Roman" w:hAnsi="Calibri" w:cs="Arial"/>
          <w:b/>
          <w:spacing w:val="-2"/>
          <w:kern w:val="28"/>
          <w:lang w:val="es-ES_tradnl" w:eastAsia="es-CR"/>
          <w14:ligatures w14:val="none"/>
        </w:rPr>
      </w:pPr>
      <w:r w:rsidRPr="00501810">
        <w:rPr>
          <w:rFonts w:ascii="Calibri" w:eastAsia="Times New Roman" w:hAnsi="Calibri" w:cs="Arial"/>
          <w:b/>
          <w:spacing w:val="-2"/>
          <w:kern w:val="28"/>
          <w:lang w:val="es-ES_tradnl" w:eastAsia="es-CR"/>
          <w14:ligatures w14:val="none"/>
        </w:rPr>
        <w:t>I. Descripción</w:t>
      </w:r>
    </w:p>
    <w:p w14:paraId="5F132F10"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 xml:space="preserve">La historia social y cultural desde la perspectiva continental, incluyendo las culturas mestizas, indígenas y afrocaribeñas está presentada y acompañada por instrumentos para el análisis de la realidad socioeconómica y política del contexto. Se explora la relación entre ciencias sociales y el campo bíblico-teológico-pastoral. </w:t>
      </w:r>
    </w:p>
    <w:p w14:paraId="7E0161EF" w14:textId="77777777" w:rsidR="00501810" w:rsidRPr="00501810" w:rsidRDefault="00501810" w:rsidP="00501810">
      <w:pPr>
        <w:widowControl w:val="0"/>
        <w:overflowPunct w:val="0"/>
        <w:autoSpaceDE w:val="0"/>
        <w:autoSpaceDN w:val="0"/>
        <w:adjustRightInd w:val="0"/>
        <w:spacing w:before="120" w:after="0" w:line="240" w:lineRule="auto"/>
        <w:ind w:left="720" w:hanging="720"/>
        <w:jc w:val="both"/>
        <w:rPr>
          <w:rFonts w:ascii="Calibri" w:eastAsia="Times New Roman" w:hAnsi="Calibri" w:cs="Arial"/>
          <w:kern w:val="0"/>
          <w:lang w:val="es-ES_tradnl" w:eastAsia="es-CR"/>
          <w14:ligatures w14:val="none"/>
        </w:rPr>
      </w:pPr>
    </w:p>
    <w:p w14:paraId="161707F6" w14:textId="77777777" w:rsidR="00501810" w:rsidRPr="00501810" w:rsidRDefault="00501810" w:rsidP="00501810">
      <w:pPr>
        <w:keepNext/>
        <w:widowControl w:val="0"/>
        <w:overflowPunct w:val="0"/>
        <w:autoSpaceDE w:val="0"/>
        <w:autoSpaceDN w:val="0"/>
        <w:adjustRightInd w:val="0"/>
        <w:spacing w:before="240" w:after="120" w:line="240" w:lineRule="auto"/>
        <w:outlineLvl w:val="1"/>
        <w:rPr>
          <w:rFonts w:ascii="Calibri" w:eastAsia="Times New Roman" w:hAnsi="Calibri" w:cs="Arial"/>
          <w:b/>
          <w:spacing w:val="-2"/>
          <w:kern w:val="28"/>
          <w:lang w:val="es-ES_tradnl" w:eastAsia="es-CR"/>
          <w14:ligatures w14:val="none"/>
        </w:rPr>
      </w:pPr>
      <w:r w:rsidRPr="00501810">
        <w:rPr>
          <w:rFonts w:ascii="Calibri" w:eastAsia="Times New Roman" w:hAnsi="Calibri" w:cs="Arial"/>
          <w:b/>
          <w:spacing w:val="-2"/>
          <w:kern w:val="28"/>
          <w:lang w:val="es-ES_tradnl" w:eastAsia="es-CR"/>
          <w14:ligatures w14:val="none"/>
        </w:rPr>
        <w:lastRenderedPageBreak/>
        <w:t>II. Objetivo general</w:t>
      </w:r>
    </w:p>
    <w:p w14:paraId="0C991ED8"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Lograr comprender panorámicamente la realidad latinoamericana e integrar este conocimiento a su reflexión bíblico-teológica y a su práctica pastoral, a fin de contribuir eficazmente en los procesos de liberación.</w:t>
      </w:r>
    </w:p>
    <w:p w14:paraId="6940F9F7" w14:textId="77777777" w:rsidR="00501810" w:rsidRPr="00501810" w:rsidRDefault="00501810" w:rsidP="00501810">
      <w:pPr>
        <w:keepNext/>
        <w:widowControl w:val="0"/>
        <w:overflowPunct w:val="0"/>
        <w:autoSpaceDE w:val="0"/>
        <w:autoSpaceDN w:val="0"/>
        <w:adjustRightInd w:val="0"/>
        <w:spacing w:before="240" w:after="120" w:line="240" w:lineRule="auto"/>
        <w:outlineLvl w:val="1"/>
        <w:rPr>
          <w:rFonts w:ascii="Calibri" w:eastAsia="Times New Roman" w:hAnsi="Calibri" w:cs="Arial"/>
          <w:b/>
          <w:spacing w:val="-2"/>
          <w:kern w:val="28"/>
          <w:lang w:val="es-ES_tradnl" w:eastAsia="es-CR"/>
          <w14:ligatures w14:val="none"/>
        </w:rPr>
      </w:pPr>
      <w:r w:rsidRPr="00501810">
        <w:rPr>
          <w:rFonts w:ascii="Calibri" w:eastAsia="Times New Roman" w:hAnsi="Calibri" w:cs="Arial"/>
          <w:b/>
          <w:spacing w:val="-2"/>
          <w:kern w:val="28"/>
          <w:lang w:val="es-ES_tradnl" w:eastAsia="es-CR"/>
          <w14:ligatures w14:val="none"/>
        </w:rPr>
        <w:t>III. Objetivos específicos</w:t>
      </w:r>
    </w:p>
    <w:p w14:paraId="7CC26D17" w14:textId="77777777" w:rsidR="00501810" w:rsidRPr="00501810" w:rsidRDefault="00501810" w:rsidP="00501810">
      <w:pPr>
        <w:keepNext/>
        <w:widowControl w:val="0"/>
        <w:overflowPunct w:val="0"/>
        <w:autoSpaceDE w:val="0"/>
        <w:autoSpaceDN w:val="0"/>
        <w:adjustRightInd w:val="0"/>
        <w:spacing w:before="240" w:after="120" w:line="240" w:lineRule="auto"/>
        <w:jc w:val="both"/>
        <w:outlineLvl w:val="1"/>
        <w:rPr>
          <w:rFonts w:ascii="Calibri" w:eastAsia="Times New Roman" w:hAnsi="Calibri" w:cs="Arial"/>
          <w:bCs/>
          <w:spacing w:val="-2"/>
          <w:kern w:val="28"/>
          <w:lang w:val="es-ES_tradnl" w:eastAsia="es-CR"/>
          <w14:ligatures w14:val="none"/>
        </w:rPr>
      </w:pPr>
      <w:r w:rsidRPr="00501810">
        <w:rPr>
          <w:rFonts w:ascii="Calibri" w:eastAsia="Times New Roman" w:hAnsi="Calibri" w:cs="Arial"/>
          <w:bCs/>
          <w:spacing w:val="-2"/>
          <w:kern w:val="28"/>
          <w:lang w:eastAsia="es-CR"/>
          <w14:ligatures w14:val="none"/>
        </w:rPr>
        <w:t>1. Conocer diversos aspectos de la realidad de América Latina identificando algunos de sus componentes históricos, antropológicos, socioeconómicos y ecológicos.</w:t>
      </w:r>
    </w:p>
    <w:p w14:paraId="49E00EEE"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2. Investigar los hechos históricos más significativos y sus consecuencias en la realidad de América Latina.</w:t>
      </w:r>
    </w:p>
    <w:p w14:paraId="33A998CD"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3. Describir diversos aspectos del subdesarrollo y la dependencia en la realidad de América Latina.</w:t>
      </w:r>
    </w:p>
    <w:p w14:paraId="0C57D03C"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4. Integrar en el análisis la crisis socioeconómica y la crisis ambiental de la realidad de América Latina.</w:t>
      </w:r>
    </w:p>
    <w:p w14:paraId="1FDC4685"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5. Clasificar las diferentes perspectivas de los sectores específicos y sus aportes para el análisis de la realidad de América Latina.</w:t>
      </w:r>
    </w:p>
    <w:p w14:paraId="608A230C"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6. Investigar las diversas cosmovisiones científicas integrando sus aportes para el análisis de la realidad de América Latina a la propia vocación teológica y socio-pastoral del estudiante.</w:t>
      </w:r>
    </w:p>
    <w:p w14:paraId="2E6F6F2F"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7. Asumir con compromiso la vocación cristiana de contribuir a la liberación y desarrollo del ser humano en la realidad de América Latina.</w:t>
      </w:r>
    </w:p>
    <w:p w14:paraId="0409202A"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sz w:val="2"/>
          <w:szCs w:val="2"/>
          <w:lang w:val="es-ES_tradnl" w:eastAsia="es-CR"/>
          <w14:ligatures w14:val="none"/>
        </w:rPr>
      </w:pPr>
    </w:p>
    <w:p w14:paraId="6D23A6AC"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kern w:val="0"/>
          <w:lang w:val="es-ES_tradnl" w:eastAsia="es-CR"/>
          <w14:ligatures w14:val="none"/>
        </w:rPr>
        <w:t>IV. Contenidos temáticos</w:t>
      </w:r>
    </w:p>
    <w:p w14:paraId="0BBE1644" w14:textId="77777777" w:rsidR="00501810" w:rsidRPr="00501810" w:rsidRDefault="00501810" w:rsidP="00501810">
      <w:pPr>
        <w:keepNext/>
        <w:widowControl w:val="0"/>
        <w:overflowPunct w:val="0"/>
        <w:autoSpaceDE w:val="0"/>
        <w:autoSpaceDN w:val="0"/>
        <w:adjustRightInd w:val="0"/>
        <w:spacing w:before="240" w:after="60" w:line="240" w:lineRule="auto"/>
        <w:outlineLvl w:val="2"/>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t>Unidad 1: Introducción al curso y discusión del sílabo</w:t>
      </w:r>
    </w:p>
    <w:p w14:paraId="1668D2E5"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4E6F6AC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1.1 Revisión del sílabo</w:t>
      </w:r>
    </w:p>
    <w:p w14:paraId="235FB74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1.2 Explicación metodológica</w:t>
      </w:r>
    </w:p>
    <w:p w14:paraId="2A07AD2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1.3 Conceptualización de transdisciplinariedad</w:t>
      </w:r>
    </w:p>
    <w:p w14:paraId="0389D8FB" w14:textId="77777777" w:rsidR="00501810" w:rsidRPr="00501810" w:rsidRDefault="00501810" w:rsidP="00501810">
      <w:pPr>
        <w:keepNext/>
        <w:widowControl w:val="0"/>
        <w:overflowPunct w:val="0"/>
        <w:autoSpaceDE w:val="0"/>
        <w:autoSpaceDN w:val="0"/>
        <w:adjustRightInd w:val="0"/>
        <w:spacing w:before="240" w:after="60" w:line="240" w:lineRule="auto"/>
        <w:outlineLvl w:val="2"/>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t>Unidad 2: ¿Qué es América Latina?: Los angustiosos problemas de la realidad latinoamericana</w:t>
      </w:r>
    </w:p>
    <w:p w14:paraId="5A55D0AD"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9335F3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2.1 Una realidad histórica con mucha diversidad</w:t>
      </w:r>
    </w:p>
    <w:p w14:paraId="32D920DE"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2.2 El impacto de la historia en la creación del subdesarrollo</w:t>
      </w:r>
    </w:p>
    <w:p w14:paraId="4ECEB49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2.3 El desarrollo del subdesarrollo</w:t>
      </w:r>
    </w:p>
    <w:p w14:paraId="6AF32427" w14:textId="77777777" w:rsidR="00501810" w:rsidRPr="00501810" w:rsidRDefault="00501810" w:rsidP="00501810">
      <w:pPr>
        <w:keepNext/>
        <w:widowControl w:val="0"/>
        <w:overflowPunct w:val="0"/>
        <w:autoSpaceDE w:val="0"/>
        <w:autoSpaceDN w:val="0"/>
        <w:adjustRightInd w:val="0"/>
        <w:spacing w:before="240" w:after="60" w:line="240" w:lineRule="auto"/>
        <w:outlineLvl w:val="2"/>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t>Unidad 3: Perspectivas para "ver" la realidad actual latinoamericana</w:t>
      </w:r>
    </w:p>
    <w:p w14:paraId="0CBECC7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EB6415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3.1 Desarrollo y medio ambiente</w:t>
      </w:r>
    </w:p>
    <w:p w14:paraId="00F5F0E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3.2 Cambio social</w:t>
      </w:r>
    </w:p>
    <w:p w14:paraId="762804F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3.3 Migraciones y desafíos etarios</w:t>
      </w:r>
    </w:p>
    <w:p w14:paraId="78536E44" w14:textId="77777777" w:rsidR="00501810" w:rsidRPr="00501810" w:rsidRDefault="00501810" w:rsidP="00501810">
      <w:pPr>
        <w:keepNext/>
        <w:widowControl w:val="0"/>
        <w:overflowPunct w:val="0"/>
        <w:autoSpaceDE w:val="0"/>
        <w:autoSpaceDN w:val="0"/>
        <w:adjustRightInd w:val="0"/>
        <w:spacing w:before="240" w:after="60" w:line="240" w:lineRule="auto"/>
        <w:outlineLvl w:val="2"/>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t xml:space="preserve">Unidad 4: Enlace y visión teológica de la realidad latinoamericana </w:t>
      </w:r>
    </w:p>
    <w:p w14:paraId="33BA19B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5797AC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4.1 El uso teológico-pastoral de las ciencias sociales</w:t>
      </w:r>
    </w:p>
    <w:p w14:paraId="20687425"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4.2. La teología contextual: el rol del análisis histórico y coyuntural</w:t>
      </w:r>
    </w:p>
    <w:p w14:paraId="623C8455"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Cs/>
          <w:color w:val="FF0000"/>
          <w:kern w:val="0"/>
          <w:lang w:val="es-ES_tradnl" w:eastAsia="es-CR"/>
          <w14:ligatures w14:val="none"/>
        </w:rPr>
      </w:pPr>
      <w:r w:rsidRPr="00501810">
        <w:rPr>
          <w:rFonts w:ascii="Calibri" w:eastAsia="Times New Roman" w:hAnsi="Calibri" w:cs="Arial"/>
          <w:b/>
          <w:kern w:val="0"/>
          <w:lang w:val="es-ES_tradnl" w:eastAsia="es-CR"/>
          <w14:ligatures w14:val="none"/>
        </w:rPr>
        <w:lastRenderedPageBreak/>
        <w:t>V. Metodología</w:t>
      </w:r>
    </w:p>
    <w:p w14:paraId="46ADA95D"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0F4731A0"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Este es un curso teórico que se fundamenta en el análisis y lectura de documentos digitales (secciones de libros o artículos sobre la temática) y en la investigación de conflictos medioambientales con el fin de profundizar en la realidad latinoamericana actual. Se estimulan las habilidades para la comprensión de lectura, creatividad para realizar enlaces teóricos, para dialogar y trabajar en grupos y destrezas para la realización de las tareas personales y colectivas en la plataforma virtual. La persona docente acompañará al grupo no solamente interviniendo en las actividades desarrolladas en la plataforma virtual, sino también realizando exposiciones para el despertar del análisis crítico de los textos a través de encuentros sincrónicos virtuales en diferentes momentos del curso.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39477CA0"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Se buscará un aprendizaje significativo por medio de las actividades pedagógicas (reseña crítica, mapa mental, ensayo, mapa conceptual, bosquejo de lectura, foros temáticos, glosarios, trabajo grupal sobre conflictos medioambientales y monografía) que no solo conducen a la explicación y síntesis de los contenidos, sino también su reflexión a nivel individual y grupal.</w:t>
      </w:r>
    </w:p>
    <w:p w14:paraId="0684D421"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sz w:val="2"/>
          <w:szCs w:val="2"/>
          <w:lang w:val="es-ES_tradnl" w:eastAsia="es-CR"/>
          <w14:ligatures w14:val="none"/>
        </w:rPr>
      </w:pPr>
    </w:p>
    <w:p w14:paraId="30CAACD6"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VI. Estrategias de aprendizaje</w:t>
      </w:r>
    </w:p>
    <w:p w14:paraId="6A556615"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Cs/>
          <w:iCs/>
          <w:kern w:val="0"/>
          <w:sz w:val="2"/>
          <w:szCs w:val="2"/>
          <w:lang w:val="es-ES_tradnl" w:eastAsia="es-CR"/>
          <w14:ligatures w14:val="none"/>
        </w:rPr>
      </w:pPr>
    </w:p>
    <w:p w14:paraId="693A1363"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501810">
        <w:rPr>
          <w:rFonts w:ascii="Calibri" w:eastAsia="Times New Roman" w:hAnsi="Calibri" w:cs="Arial"/>
          <w:bCs/>
          <w:iCs/>
          <w:kern w:val="0"/>
          <w:lang w:val="es-ES_tradnl" w:eastAsia="es-CR"/>
          <w14:ligatures w14:val="none"/>
        </w:rPr>
        <w:t>El curso tiene como finalidad educativa que las personas estudiantes comprendan panorámicamente la realidad latinoamericana e integren este conocimiento a su reflexión bíblico-teológica y a su práctica pastoral, a fin de contribuir eficazmente en los procesos de transformación.</w:t>
      </w:r>
    </w:p>
    <w:p w14:paraId="74069C0C"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kern w:val="0"/>
          <w:lang w:val="es-ES_tradnl" w:eastAsia="es-CR"/>
          <w14:ligatures w14:val="none"/>
        </w:rPr>
        <w:t>Se utilizan las siguientes estrategias de aprendizaje:</w:t>
      </w:r>
    </w:p>
    <w:p w14:paraId="3C9D6575"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a) Foro:</w:t>
      </w:r>
      <w:r w:rsidRPr="00501810">
        <w:rPr>
          <w:rFonts w:ascii="Calibri" w:eastAsia="Times New Roman" w:hAnsi="Calibri" w:cs="Arial"/>
          <w:kern w:val="0"/>
          <w:lang w:val="es-ES_tradnl" w:eastAsia="es-CR"/>
          <w14:ligatures w14:val="none"/>
        </w:rPr>
        <w:t xml:space="preserve"> </w:t>
      </w:r>
      <w:bookmarkStart w:id="34" w:name="_Hlk118963517"/>
      <w:r w:rsidRPr="00501810">
        <w:rPr>
          <w:rFonts w:ascii="Calibri" w:eastAsia="Times New Roman" w:hAnsi="Calibri" w:cs="Arial"/>
          <w:kern w:val="0"/>
          <w:lang w:val="es-ES_tradnl" w:eastAsia="es-CR"/>
          <w14:ligatures w14:val="none"/>
        </w:rPr>
        <w:t>El foro e</w:t>
      </w:r>
      <w:r w:rsidRPr="00501810">
        <w:rPr>
          <w:rFonts w:ascii="Calibri" w:eastAsia="Calibri" w:hAnsi="Calibri" w:cs="Calibri"/>
          <w:bCs/>
          <w:kern w:val="0"/>
          <w14:ligatures w14:val="none"/>
        </w:rPr>
        <w:t xml:space="preserve">s una actividad de discusión académica asincrónica, ya que los y las participantes no tienen que acceder al sistema al mismo tiempo, constituyéndose en un escenario virtual para la exposición de ideas y debate. Cada persona estudiante ofrecerá su aporte desde las lecturas asignadas en las sesiones </w:t>
      </w:r>
      <w:bookmarkEnd w:id="34"/>
      <w:r w:rsidRPr="00501810">
        <w:rPr>
          <w:rFonts w:ascii="Calibri" w:eastAsia="Times New Roman" w:hAnsi="Calibri" w:cs="Arial"/>
          <w:bCs/>
          <w:kern w:val="0"/>
          <w:lang w:eastAsia="es-CR"/>
          <w14:ligatures w14:val="none"/>
        </w:rPr>
        <w:t>donde se desarrollan los foros.</w:t>
      </w:r>
      <w:r w:rsidRPr="00501810">
        <w:rPr>
          <w:rFonts w:ascii="Calibri" w:eastAsia="Times New Roman" w:hAnsi="Calibri" w:cs="Arial"/>
          <w:bCs/>
          <w:kern w:val="0"/>
          <w:lang w:val="es-ES_tradnl" w:eastAsia="es-CR"/>
          <w14:ligatures w14:val="none"/>
        </w:rPr>
        <w:t xml:space="preserve"> Mediante esta estrategia de aprendizaje se trabajan temas claves del curso tales como: la compleja historia de América Latina y el Caribe; clase, raza, género y edad; pueblo y gobierno; migraciones y desafíos etarios; el saber vivir y, finalmente, teología y ciencias sociales.</w:t>
      </w:r>
    </w:p>
    <w:p w14:paraId="7D49FEF6"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 xml:space="preserve">b) Encuentro sincrónico virtual: </w:t>
      </w:r>
      <w:bookmarkStart w:id="35" w:name="_Hlk118821364"/>
      <w:r w:rsidRPr="00501810">
        <w:rPr>
          <w:rFonts w:ascii="Calibri" w:eastAsia="Calibri" w:hAnsi="Calibri" w:cs="Calibri"/>
          <w:bCs/>
          <w:kern w:val="0"/>
          <w14:ligatures w14:val="none"/>
        </w:rPr>
        <w:t xml:space="preserve">Esta estrategia de aprendizaje virtual sincrónica permite el encuentro entre las personas estudiantes y la docente con el fin de dialogar, debatir, escuchar </w:t>
      </w:r>
      <w:r w:rsidRPr="00501810">
        <w:rPr>
          <w:rFonts w:ascii="Calibri" w:eastAsia="Calibri" w:hAnsi="Calibri" w:cs="Calibri"/>
          <w:bCs/>
          <w:kern w:val="0"/>
          <w14:ligatures w14:val="none"/>
        </w:rPr>
        <w:lastRenderedPageBreak/>
        <w:t>presentaciones o hacer trabajo en grupos pequeños sobre un tema en particular. En este curso</w:t>
      </w:r>
      <w:bookmarkEnd w:id="35"/>
      <w:r w:rsidRPr="00501810">
        <w:rPr>
          <w:rFonts w:ascii="Calibri" w:eastAsia="Calibri" w:hAnsi="Calibri" w:cs="Calibri"/>
          <w:bCs/>
          <w:kern w:val="0"/>
          <w14:ligatures w14:val="none"/>
        </w:rPr>
        <w:t xml:space="preserve"> dichos encuentros t</w:t>
      </w:r>
      <w:r w:rsidRPr="00501810">
        <w:rPr>
          <w:rFonts w:ascii="Calibri" w:eastAsia="Times New Roman" w:hAnsi="Calibri" w:cs="Arial"/>
          <w:bCs/>
          <w:kern w:val="0"/>
          <w:lang w:val="es-ES_tradnl" w:eastAsia="es-CR"/>
          <w14:ligatures w14:val="none"/>
        </w:rPr>
        <w:t xml:space="preserve">tienen un valor formativo y no sumativo. Se grabarán para las personas que lo soliciten. A través de ellos se abordarán los siguientes temas: introducción al curso, los angustiosos problemas de América Latina, perspectivas para ver la realidad latinoamericana y caribeña y, finalmente, enlace y visión teológica de la realidad latinoamericana. La persona docente aprovechará estos espacios para hacer presentaciones y dinámicas grupales. </w:t>
      </w:r>
    </w:p>
    <w:p w14:paraId="1AC70BD2"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c) Reseña crítica de lectura:</w:t>
      </w:r>
      <w:r w:rsidRPr="00501810">
        <w:rPr>
          <w:rFonts w:ascii="Calibri" w:eastAsia="Times New Roman" w:hAnsi="Calibri" w:cs="Arial"/>
          <w:kern w:val="0"/>
          <w:lang w:val="es-ES_tradnl" w:eastAsia="es-CR"/>
          <w14:ligatures w14:val="none"/>
        </w:rPr>
        <w:t xml:space="preserve"> </w:t>
      </w:r>
      <w:r w:rsidRPr="00501810">
        <w:rPr>
          <w:rFonts w:ascii="Calibri" w:eastAsia="Calibri" w:hAnsi="Calibri" w:cs="Arial"/>
          <w:kern w:val="0"/>
          <w14:ligatures w14:val="none"/>
        </w:rPr>
        <w:t xml:space="preserve">La reseña crítica es un resumen argumentativo y analítico de las ideas expresadas en un documento literario. Se compone de tres partes claramente definidas: el resumen de las principales ideas de la persona autora de la lectura analizada, el análisis y la contextualización. En este curso se solicita una reseña crítica de lectura sobre las zonas de contacto entre las diferentes ciencias sociales para tocar el tema de la </w:t>
      </w:r>
      <w:r w:rsidRPr="00501810">
        <w:rPr>
          <w:rFonts w:ascii="Calibri" w:eastAsia="Times New Roman" w:hAnsi="Calibri" w:cs="Calibri"/>
          <w:kern w:val="0"/>
          <w:lang w:val="es-ES_tradnl" w:eastAsia="es-CR"/>
          <w14:ligatures w14:val="none"/>
        </w:rPr>
        <w:t>transdisciplinariedad.</w:t>
      </w:r>
    </w:p>
    <w:p w14:paraId="611D32DB"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d) Mapa mental:</w:t>
      </w:r>
      <w:r w:rsidRPr="00501810">
        <w:rPr>
          <w:rFonts w:ascii="Calibri" w:eastAsia="Times New Roman" w:hAnsi="Calibri" w:cs="Arial"/>
          <w:kern w:val="0"/>
          <w:lang w:val="es-ES_tradnl" w:eastAsia="es-CR"/>
          <w14:ligatures w14:val="none"/>
        </w:rPr>
        <w:t xml:space="preserve"> Con el propósito de lograr un aprendizaje significativo, la representación y organización del conocimiento mediante la herramienta del mapa mental es de suma importancia. Para trabajar el tema sobre la angustiosa situación social de América Latina se solicita la elaboración de un mapa mental, el cual permitirá visualizar claramente diversos problemas que se enfrentan en la región. </w:t>
      </w:r>
    </w:p>
    <w:p w14:paraId="3834E4E9"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e) Glosario:</w:t>
      </w:r>
      <w:r w:rsidRPr="00501810">
        <w:rPr>
          <w:rFonts w:ascii="Calibri" w:eastAsia="Times New Roman" w:hAnsi="Calibri" w:cs="Arial"/>
          <w:kern w:val="0"/>
          <w:lang w:val="es-ES_tradnl" w:eastAsia="es-CR"/>
          <w14:ligatures w14:val="none"/>
        </w:rPr>
        <w:t xml:space="preserve"> </w:t>
      </w:r>
      <w:r w:rsidRPr="00501810">
        <w:rPr>
          <w:rFonts w:ascii="Calibri" w:eastAsia="Calibri" w:hAnsi="Calibri" w:cs="Calibri"/>
          <w:kern w:val="0"/>
          <w14:ligatures w14:val="none"/>
        </w:rPr>
        <w:t>Conocer los conceptos fundamentales de una disciplina o de un tópico de estudio es una competencia sustancial en el abordaje de esta. En este curso se elaboran dos glosarios, el primero sobre el subdesarrollo en América Latina, y el segundo sobre los movimientos sociales. Ambos contribuirán a la profundización y explicación de conceptos que se consideran fundamentales para el estudio de la historia y la realidad latinoamericana.</w:t>
      </w:r>
    </w:p>
    <w:p w14:paraId="603E80F4"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b/>
          <w:bCs/>
          <w:kern w:val="0"/>
          <w:lang w:val="es-ES" w:eastAsia="es-CR"/>
          <w14:ligatures w14:val="none"/>
        </w:rPr>
        <w:t>f) Ensayo:</w:t>
      </w:r>
      <w:r w:rsidRPr="4C9C2619">
        <w:rPr>
          <w:rFonts w:ascii="Calibri" w:eastAsia="Times New Roman" w:hAnsi="Calibri" w:cs="Arial"/>
          <w:kern w:val="0"/>
          <w:lang w:val="es-ES" w:eastAsia="es-CR"/>
          <w14:ligatures w14:val="none"/>
        </w:rPr>
        <w:t xml:space="preserve"> Se define el ensayo académico como aquel documento escrito que, en forma sistemática, estructurada y ordenada, presenta un tópico o tema seleccionado o designado con subtemas de desarrollo, introducción, conclusión y referencias. En este curso, con el fin de trabajar el tema de la relación entre sociedad y ecología se elaborará un ensayo.  </w:t>
      </w:r>
    </w:p>
    <w:p w14:paraId="58E60753"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b/>
          <w:bCs/>
          <w:kern w:val="0"/>
          <w:lang w:val="es-ES" w:eastAsia="es-CR"/>
          <w14:ligatures w14:val="none"/>
        </w:rPr>
        <w:t>g) Mapa conceptual:</w:t>
      </w:r>
      <w:r w:rsidRPr="4C9C2619">
        <w:rPr>
          <w:rFonts w:ascii="Calibri" w:eastAsia="Times New Roman" w:hAnsi="Calibri" w:cs="Arial"/>
          <w:kern w:val="0"/>
          <w:lang w:val="es-ES" w:eastAsia="es-CR"/>
          <w14:ligatures w14:val="none"/>
        </w:rPr>
        <w:t xml:space="preserve"> Se trata de una estrategia de aprendizaje y una herramienta de estudio en la que, en forma gráfica, didáctica, ordenada, jerarquizada y sistemática se ilustran los esquemas conceptuales que se van dando al apropiarse del conocimiento que comparte una lectura o documento. Con el fin de abordar el tema del cambio social se hace uso de esta estrategia educativa.</w:t>
      </w:r>
    </w:p>
    <w:p w14:paraId="0BB3F092"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t xml:space="preserve">h) Bosquejo de lectura: </w:t>
      </w:r>
      <w:r w:rsidRPr="00501810">
        <w:rPr>
          <w:rFonts w:ascii="Calibri" w:eastAsia="Times New Roman" w:hAnsi="Calibri" w:cs="Arial"/>
          <w:kern w:val="0"/>
          <w:lang w:val="es-ES_tradnl" w:eastAsia="es-CR"/>
          <w14:ligatures w14:val="none"/>
        </w:rPr>
        <w:t>Una forma de sistematizar los aportes de una persona autora, se da mediante los bosquejos o esquemas de lectura en donde se explica el contenido del texto, las partes más interesantes para la persona lectora y qué reflexiones provoca, tomando para ello las ideas principales y subtemas que proponen la lectura. Se hace uso de esta estrategia para continuar trabajando el tema sobre conflictos medioambientales.</w:t>
      </w:r>
    </w:p>
    <w:p w14:paraId="1120B65B"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b/>
          <w:bCs/>
          <w:kern w:val="0"/>
          <w:lang w:val="es-ES" w:eastAsia="es-CR"/>
          <w14:ligatures w14:val="none"/>
        </w:rPr>
        <w:t xml:space="preserve">i) Trabajo grupal sobre conflictos medioambientales: </w:t>
      </w:r>
      <w:r w:rsidRPr="4C9C2619">
        <w:rPr>
          <w:rFonts w:ascii="Calibri" w:eastAsia="Times New Roman" w:hAnsi="Calibri" w:cs="Arial"/>
          <w:kern w:val="0"/>
          <w:lang w:val="es-ES" w:eastAsia="es-CR"/>
          <w14:ligatures w14:val="none"/>
        </w:rPr>
        <w:t xml:space="preserve">El trabajo grupal corresponde a una estrategia de aprendizaje de forma colaborativa que pretende potenciar los contenidos e insumos con ejercicios prácticos. En esta ocasión la persona docente dividirá la clase en grupos para trabajar sobre uno de los temas asignados sobre conflictos medioambientales. Inicialmente a través de foros de discusión se identificará un grupo social que se encuentre afectado por el conflicto medioambiental. Posteriormente, se trabajará en la elaboración de insumos para construir un wiki sobre el conflicto medioambiental que le fue asignado a cada grupo. De esta forma, se logrará la creación de un wiki en cada grupo y la interacción con este de forma crítica por parte de todos los y las estudiantes.  </w:t>
      </w:r>
    </w:p>
    <w:p w14:paraId="2F008612"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p>
    <w:p w14:paraId="42241F2E"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501810">
        <w:rPr>
          <w:rFonts w:ascii="Calibri" w:eastAsia="Times New Roman" w:hAnsi="Calibri" w:cs="Arial"/>
          <w:b/>
          <w:bCs/>
          <w:kern w:val="0"/>
          <w:lang w:val="es-ES_tradnl" w:eastAsia="es-CR"/>
          <w14:ligatures w14:val="none"/>
        </w:rPr>
        <w:lastRenderedPageBreak/>
        <w:t xml:space="preserve">j) Monografía: </w:t>
      </w:r>
      <w:r w:rsidRPr="00501810">
        <w:rPr>
          <w:rFonts w:ascii="Calibri" w:eastAsia="Times New Roman" w:hAnsi="Calibri" w:cs="Arial"/>
          <w:kern w:val="0"/>
          <w:lang w:val="es-ES_tradnl" w:eastAsia="es-CR"/>
          <w14:ligatures w14:val="none"/>
        </w:rPr>
        <w:t>Una monografía es un documento académico que, como estrategia de aprendizaje, permite el tratamiento de un tema o tópico del curso particular, sistematizado y trabajado a profundidad mediante la investigación bibliográfica o documental. Conlleva portada, tabla de contenido, introducción, desarrollo, conclusión y referencias bibliográficas (estilo Chicago-Deusto). En esta ocasión permitirá a las personas estudiantes investigar y escribir sobre alguno de los temas principales del curso, según su interés, a través de tres sesiones.</w:t>
      </w:r>
    </w:p>
    <w:p w14:paraId="7ECCFBDA"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501810">
        <w:rPr>
          <w:rFonts w:ascii="Calibri" w:eastAsia="Times New Roman" w:hAnsi="Calibri" w:cs="Calibri"/>
          <w:bCs/>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18E6D9BA"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sz w:val="6"/>
          <w:szCs w:val="6"/>
          <w:lang w:val="es-ES_tradnl" w:eastAsia="es-CR"/>
          <w14:ligatures w14:val="none"/>
        </w:rPr>
      </w:pPr>
    </w:p>
    <w:p w14:paraId="6B3B6E0A"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 xml:space="preserve">VII. Recursos didácticos </w:t>
      </w:r>
    </w:p>
    <w:p w14:paraId="61F95BAF"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sz w:val="14"/>
          <w:szCs w:val="14"/>
          <w:lang w:val="es-ES_tradnl" w:eastAsia="es-CR"/>
          <w14:ligatures w14:val="none"/>
        </w:rPr>
      </w:pPr>
    </w:p>
    <w:p w14:paraId="363F31B3"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316273CC" w14:textId="77777777" w:rsidR="00501810" w:rsidRPr="008E0715"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290135CC"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2E79A109" w14:textId="77777777" w:rsidR="00501810" w:rsidRPr="008E0715"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0B23AC84"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729DFA0C"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18EA41C"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483A827D" w14:textId="77777777" w:rsidR="00501810" w:rsidRPr="008E0715"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07ACD7B8"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glosario, un wiki y mediante la herramienta Big Blue </w:t>
      </w:r>
      <w:proofErr w:type="spellStart"/>
      <w:r w:rsidRPr="00501810">
        <w:rPr>
          <w:rFonts w:ascii="Calibri" w:eastAsia="Times New Roman" w:hAnsi="Calibri" w:cs="Calibri"/>
          <w:color w:val="000000"/>
          <w:kern w:val="0"/>
          <w:lang w:val="es-ES" w:eastAsia="es-ES"/>
          <w14:ligatures w14:val="none"/>
        </w:rPr>
        <w:t>Button</w:t>
      </w:r>
      <w:proofErr w:type="spellEnd"/>
      <w:r w:rsidRPr="00501810">
        <w:rPr>
          <w:rFonts w:ascii="Calibri" w:eastAsia="Times New Roman" w:hAnsi="Calibri" w:cs="Calibri"/>
          <w:color w:val="000000"/>
          <w:kern w:val="0"/>
          <w:lang w:val="es-ES" w:eastAsia="es-ES"/>
          <w14:ligatures w14:val="none"/>
        </w:rPr>
        <w:t xml:space="preserve"> en la plataforma Moodle; para la elaboración de una reseña crítica de lectura, un mapa mental, un ensayo, un mapa conceptual, un bosquejo de lectura y una monografía; así como de una guía para el trabajo grupal sobre conflictos medioambientales que se encuentra en la sección de actividades de la sesión correspondiente.</w:t>
      </w:r>
    </w:p>
    <w:p w14:paraId="0CDC6D50"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F5A43C4"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01810">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501810">
        <w:rPr>
          <w:rFonts w:ascii="Calibri" w:eastAsia="Times New Roman" w:hAnsi="Calibri" w:cs="Calibri"/>
          <w:color w:val="000000"/>
          <w:kern w:val="0"/>
          <w:lang w:val="es-ES" w:eastAsia="es-ES"/>
          <w14:ligatures w14:val="none"/>
        </w:rPr>
        <w:t>Strachan</w:t>
      </w:r>
      <w:proofErr w:type="spellEnd"/>
      <w:r w:rsidRPr="00501810">
        <w:rPr>
          <w:rFonts w:ascii="Calibri" w:eastAsia="Times New Roman" w:hAnsi="Calibri" w:cs="Calibri"/>
          <w:color w:val="000000"/>
          <w:kern w:val="0"/>
          <w:lang w:val="es-ES" w:eastAsia="es-ES"/>
          <w14:ligatures w14:val="none"/>
        </w:rPr>
        <w:t xml:space="preserve"> (</w:t>
      </w:r>
      <w:hyperlink r:id="rId204" w:history="1">
        <w:r w:rsidRPr="00501810">
          <w:rPr>
            <w:rFonts w:ascii="Calibri" w:eastAsia="Times New Roman" w:hAnsi="Calibri" w:cs="Calibri"/>
            <w:color w:val="0000FF"/>
            <w:kern w:val="0"/>
            <w:u w:val="single"/>
            <w:lang w:val="es-ES" w:eastAsia="es-ES"/>
            <w14:ligatures w14:val="none"/>
          </w:rPr>
          <w:t>https://www.ubl.ac.cr/biblioteca</w:t>
        </w:r>
      </w:hyperlink>
      <w:r w:rsidRPr="00501810">
        <w:rPr>
          <w:rFonts w:ascii="Calibri" w:eastAsia="Times New Roman" w:hAnsi="Calibri" w:cs="Calibri"/>
          <w:color w:val="000000"/>
          <w:kern w:val="0"/>
          <w:lang w:val="es-ES" w:eastAsia="es-ES"/>
          <w14:ligatures w14:val="none"/>
        </w:rPr>
        <w:t>), así como consultar el Portal de Revistas de la UBL (</w:t>
      </w:r>
      <w:hyperlink r:id="rId205" w:history="1">
        <w:r w:rsidRPr="00501810">
          <w:rPr>
            <w:rFonts w:ascii="Calibri" w:eastAsia="Times New Roman" w:hAnsi="Calibri" w:cs="Calibri"/>
            <w:color w:val="0000FF"/>
            <w:kern w:val="0"/>
            <w:u w:val="single"/>
            <w:lang w:val="es-ES" w:eastAsia="es-ES"/>
            <w14:ligatures w14:val="none"/>
          </w:rPr>
          <w:t>http://revistas.ubl.ac.cr/</w:t>
        </w:r>
      </w:hyperlink>
      <w:r w:rsidRPr="00501810">
        <w:rPr>
          <w:rFonts w:ascii="Calibri" w:eastAsia="Times New Roman" w:hAnsi="Calibri" w:cs="Calibri"/>
          <w:color w:val="000000"/>
          <w:kern w:val="0"/>
          <w:lang w:val="es-ES" w:eastAsia="es-ES"/>
          <w14:ligatures w14:val="none"/>
        </w:rPr>
        <w:t>). A través del correo de la biblioteca (</w:t>
      </w:r>
      <w:hyperlink r:id="rId206" w:history="1">
        <w:r w:rsidRPr="00501810">
          <w:rPr>
            <w:rFonts w:ascii="Calibri" w:eastAsia="Times New Roman" w:hAnsi="Calibri" w:cs="Calibri"/>
            <w:color w:val="0000FF"/>
            <w:kern w:val="0"/>
            <w:u w:val="single"/>
            <w:lang w:val="es-ES" w:eastAsia="es-ES"/>
            <w14:ligatures w14:val="none"/>
          </w:rPr>
          <w:t>biblioteca@ubl.ac.cr</w:t>
        </w:r>
      </w:hyperlink>
      <w:r w:rsidRPr="00501810">
        <w:rPr>
          <w:rFonts w:ascii="Calibri" w:eastAsia="Times New Roman" w:hAnsi="Calibri" w:cs="Calibri"/>
          <w:color w:val="000000"/>
          <w:kern w:val="0"/>
          <w:lang w:val="es-ES" w:eastAsia="es-ES"/>
          <w14:ligatures w14:val="none"/>
        </w:rPr>
        <w:t xml:space="preserve">) puede solicitar recursos que se encuentren en la colección física. </w:t>
      </w:r>
    </w:p>
    <w:p w14:paraId="44E6AEC3"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0CB52B8" w14:textId="0ECE37A9"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501810">
        <w:rPr>
          <w:rFonts w:ascii="Calibri" w:eastAsia="Times New Roman" w:hAnsi="Calibri" w:cs="Calibri"/>
          <w:color w:val="000000"/>
          <w:kern w:val="0"/>
          <w:lang w:val="es-ES" w:eastAsia="es-ES"/>
          <w14:ligatures w14:val="none"/>
        </w:rPr>
        <w:t>f)</w:t>
      </w:r>
      <w:r w:rsidRPr="00501810">
        <w:rPr>
          <w:rFonts w:ascii="Calibri" w:eastAsia="Times New Roman" w:hAnsi="Calibri" w:cs="Calibri"/>
          <w:bCs/>
          <w:kern w:val="0"/>
          <w:lang w:val="es-ES_tradnl" w:eastAsia="es-CR"/>
          <w14:ligatures w14:val="none"/>
        </w:rPr>
        <w:t xml:space="preserve"> 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501810">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207" w:history="1">
        <w:r w:rsidRPr="00501810">
          <w:rPr>
            <w:rFonts w:ascii="Calibri" w:eastAsia="Times New Roman" w:hAnsi="Calibri" w:cs="Calibri"/>
            <w:bCs/>
            <w:color w:val="0000FF"/>
            <w:kern w:val="0"/>
            <w:u w:val="single"/>
            <w:lang w:val="es-ES_tradnl" w:eastAsia="es-CR"/>
            <w14:ligatures w14:val="none"/>
          </w:rPr>
          <w:t>https://campus.ubl.ac.cr/course/index.php?categoryid=186</w:t>
        </w:r>
      </w:hyperlink>
    </w:p>
    <w:p w14:paraId="73313B8D"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0FCDD44E" w14:textId="3C1A29AF" w:rsidR="00501810" w:rsidRPr="00501810" w:rsidRDefault="00501810" w:rsidP="008E0715">
      <w:pPr>
        <w:widowControl w:val="0"/>
        <w:overflowPunct w:val="0"/>
        <w:autoSpaceDE w:val="0"/>
        <w:autoSpaceDN w:val="0"/>
        <w:adjustRightInd w:val="0"/>
        <w:spacing w:after="0" w:line="240" w:lineRule="auto"/>
        <w:jc w:val="both"/>
        <w:rPr>
          <w:rFonts w:ascii="Calibri" w:eastAsia="Times New Roman" w:hAnsi="Calibri" w:cs="Arial"/>
          <w:color w:val="0070C0"/>
          <w:kern w:val="0"/>
          <w:lang w:val="es-ES_tradnl" w:eastAsia="es-CR"/>
          <w14:ligatures w14:val="none"/>
        </w:rPr>
      </w:pPr>
      <w:r w:rsidRPr="00501810">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7CC418C2"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lastRenderedPageBreak/>
        <w:t>VIII. Cronograma de trabajo</w:t>
      </w:r>
    </w:p>
    <w:p w14:paraId="09F6D2A0" w14:textId="77777777" w:rsidR="00501810" w:rsidRPr="00501810" w:rsidRDefault="00501810" w:rsidP="00501810">
      <w:pPr>
        <w:widowControl w:val="0"/>
        <w:overflowPunct w:val="0"/>
        <w:autoSpaceDE w:val="0"/>
        <w:autoSpaceDN w:val="0"/>
        <w:adjustRightInd w:val="0"/>
        <w:spacing w:before="120" w:after="0" w:line="240" w:lineRule="auto"/>
        <w:rPr>
          <w:rFonts w:ascii="Arial" w:eastAsia="Times New Roman" w:hAnsi="Arial" w:cs="Arial"/>
          <w:kern w:val="0"/>
          <w:sz w:val="24"/>
          <w:szCs w:val="20"/>
          <w:lang w:val="es-ES_tradnl" w:eastAsia="es-CR"/>
          <w14:ligatures w14:val="none"/>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977"/>
        <w:gridCol w:w="3118"/>
      </w:tblGrid>
      <w:tr w:rsidR="00501810" w:rsidRPr="00501810" w14:paraId="44E9EB8B" w14:textId="77777777" w:rsidTr="4C9C2619">
        <w:trPr>
          <w:trHeight w:val="463"/>
          <w:jc w:val="center"/>
        </w:trPr>
        <w:tc>
          <w:tcPr>
            <w:tcW w:w="1271" w:type="dxa"/>
            <w:vMerge w:val="restart"/>
            <w:vAlign w:val="center"/>
          </w:tcPr>
          <w:p w14:paraId="5CFAF93F"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Sesión</w:t>
            </w:r>
          </w:p>
          <w:p w14:paraId="2338DDC6"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(semana)</w:t>
            </w:r>
          </w:p>
        </w:tc>
        <w:tc>
          <w:tcPr>
            <w:tcW w:w="2410" w:type="dxa"/>
            <w:vMerge w:val="restart"/>
            <w:vAlign w:val="center"/>
          </w:tcPr>
          <w:p w14:paraId="57A0C062" w14:textId="77777777" w:rsidR="00501810" w:rsidRPr="00501810" w:rsidRDefault="00501810" w:rsidP="00501810">
            <w:pPr>
              <w:widowControl w:val="0"/>
              <w:overflowPunct w:val="0"/>
              <w:autoSpaceDE w:val="0"/>
              <w:autoSpaceDN w:val="0"/>
              <w:adjustRightInd w:val="0"/>
              <w:spacing w:after="0" w:line="240" w:lineRule="auto"/>
              <w:ind w:left="-69"/>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Contenidos temáticos</w:t>
            </w:r>
          </w:p>
        </w:tc>
        <w:tc>
          <w:tcPr>
            <w:tcW w:w="6095" w:type="dxa"/>
            <w:gridSpan w:val="2"/>
            <w:vAlign w:val="center"/>
          </w:tcPr>
          <w:p w14:paraId="4D014611" w14:textId="77777777" w:rsidR="00501810" w:rsidRPr="00501810" w:rsidRDefault="00501810" w:rsidP="00501810">
            <w:pPr>
              <w:widowControl w:val="0"/>
              <w:overflowPunct w:val="0"/>
              <w:autoSpaceDE w:val="0"/>
              <w:autoSpaceDN w:val="0"/>
              <w:adjustRightInd w:val="0"/>
              <w:spacing w:after="0" w:line="240" w:lineRule="auto"/>
              <w:ind w:left="-107"/>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Actividades de enseñanza-aprendizaje</w:t>
            </w:r>
          </w:p>
        </w:tc>
      </w:tr>
      <w:tr w:rsidR="00501810" w:rsidRPr="00501810" w14:paraId="4DAE3D54" w14:textId="77777777" w:rsidTr="4C9C2619">
        <w:trPr>
          <w:trHeight w:val="413"/>
          <w:jc w:val="center"/>
        </w:trPr>
        <w:tc>
          <w:tcPr>
            <w:tcW w:w="1271" w:type="dxa"/>
            <w:vMerge/>
            <w:vAlign w:val="center"/>
          </w:tcPr>
          <w:p w14:paraId="5CFE0684"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tc>
        <w:tc>
          <w:tcPr>
            <w:tcW w:w="2410" w:type="dxa"/>
            <w:vMerge/>
            <w:vAlign w:val="center"/>
          </w:tcPr>
          <w:p w14:paraId="184CD9AF" w14:textId="77777777" w:rsidR="00501810" w:rsidRPr="00501810" w:rsidRDefault="00501810" w:rsidP="00501810">
            <w:pPr>
              <w:widowControl w:val="0"/>
              <w:overflowPunct w:val="0"/>
              <w:autoSpaceDE w:val="0"/>
              <w:autoSpaceDN w:val="0"/>
              <w:adjustRightInd w:val="0"/>
              <w:spacing w:after="0" w:line="240" w:lineRule="auto"/>
              <w:ind w:left="-69"/>
              <w:jc w:val="center"/>
              <w:rPr>
                <w:rFonts w:ascii="Calibri" w:eastAsia="Times New Roman" w:hAnsi="Calibri" w:cs="Arial"/>
                <w:b/>
                <w:color w:val="000000"/>
                <w:kern w:val="0"/>
                <w:lang w:val="es-ES_tradnl" w:eastAsia="es-CR"/>
                <w14:ligatures w14:val="none"/>
              </w:rPr>
            </w:pPr>
          </w:p>
        </w:tc>
        <w:tc>
          <w:tcPr>
            <w:tcW w:w="2977" w:type="dxa"/>
            <w:vAlign w:val="center"/>
          </w:tcPr>
          <w:p w14:paraId="5747DF59" w14:textId="77777777" w:rsidR="00501810" w:rsidRPr="00501810" w:rsidRDefault="00501810" w:rsidP="00501810">
            <w:pPr>
              <w:widowControl w:val="0"/>
              <w:overflowPunct w:val="0"/>
              <w:autoSpaceDE w:val="0"/>
              <w:autoSpaceDN w:val="0"/>
              <w:adjustRightInd w:val="0"/>
              <w:spacing w:after="0" w:line="240" w:lineRule="auto"/>
              <w:ind w:left="-107"/>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Recursos didácticos</w:t>
            </w:r>
          </w:p>
        </w:tc>
        <w:tc>
          <w:tcPr>
            <w:tcW w:w="3118" w:type="dxa"/>
            <w:vAlign w:val="center"/>
          </w:tcPr>
          <w:p w14:paraId="7B502BD3"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501810">
              <w:rPr>
                <w:rFonts w:ascii="Calibri" w:eastAsia="Times New Roman" w:hAnsi="Calibri" w:cs="Arial"/>
                <w:b/>
                <w:color w:val="000000"/>
                <w:kern w:val="0"/>
                <w:sz w:val="24"/>
                <w:szCs w:val="24"/>
                <w:lang w:val="es-ES_tradnl" w:eastAsia="es-CR"/>
                <w14:ligatures w14:val="none"/>
              </w:rPr>
              <w:t>Actividades de aprendizaje</w:t>
            </w:r>
          </w:p>
        </w:tc>
      </w:tr>
      <w:tr w:rsidR="00501810" w:rsidRPr="00501810" w14:paraId="485010C7" w14:textId="77777777" w:rsidTr="4C9C2619">
        <w:trPr>
          <w:trHeight w:val="1335"/>
          <w:jc w:val="center"/>
        </w:trPr>
        <w:tc>
          <w:tcPr>
            <w:tcW w:w="1271" w:type="dxa"/>
          </w:tcPr>
          <w:p w14:paraId="3073AD23" w14:textId="77777777" w:rsidR="00501810" w:rsidRPr="00501810" w:rsidRDefault="00501810" w:rsidP="00501810">
            <w:pPr>
              <w:widowControl w:val="0"/>
              <w:overflowPunct w:val="0"/>
              <w:autoSpaceDE w:val="0"/>
              <w:autoSpaceDN w:val="0"/>
              <w:adjustRightInd w:val="0"/>
              <w:spacing w:before="120" w:after="0" w:line="240" w:lineRule="auto"/>
              <w:ind w:left="-182" w:right="-108"/>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w:t>
            </w:r>
          </w:p>
          <w:p w14:paraId="60C5E796" w14:textId="77777777" w:rsidR="00501810" w:rsidRPr="00501810" w:rsidRDefault="00501810" w:rsidP="00501810">
            <w:pPr>
              <w:widowControl w:val="0"/>
              <w:overflowPunct w:val="0"/>
              <w:autoSpaceDE w:val="0"/>
              <w:autoSpaceDN w:val="0"/>
              <w:adjustRightInd w:val="0"/>
              <w:spacing w:before="120" w:after="0" w:line="240" w:lineRule="auto"/>
              <w:ind w:left="-182" w:right="-108"/>
              <w:jc w:val="center"/>
              <w:rPr>
                <w:rFonts w:ascii="Calibri" w:eastAsia="Times New Roman" w:hAnsi="Calibri" w:cs="Calibri"/>
                <w:color w:val="FF0000"/>
                <w:kern w:val="0"/>
                <w:lang w:val="es-ES_tradnl" w:eastAsia="es-CR"/>
                <w14:ligatures w14:val="none"/>
              </w:rPr>
            </w:pPr>
          </w:p>
        </w:tc>
        <w:tc>
          <w:tcPr>
            <w:tcW w:w="2410" w:type="dxa"/>
          </w:tcPr>
          <w:p w14:paraId="2352577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1: Introducción al curso y discusión del sílabo</w:t>
            </w:r>
          </w:p>
          <w:p w14:paraId="28F207E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826386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1.1 Revisión del sílabo</w:t>
            </w:r>
          </w:p>
          <w:p w14:paraId="1D4EC18E"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1641AE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1.2 Explicación metodológica</w:t>
            </w:r>
          </w:p>
          <w:p w14:paraId="28692A92"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592F94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1.3 Conceptualización de transdisciplinariedad</w:t>
            </w:r>
          </w:p>
          <w:p w14:paraId="52721B9E"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strike/>
                <w:kern w:val="0"/>
                <w:lang w:val="es-ES_tradnl" w:eastAsia="es-CR"/>
                <w14:ligatures w14:val="none"/>
              </w:rPr>
            </w:pPr>
          </w:p>
        </w:tc>
        <w:tc>
          <w:tcPr>
            <w:tcW w:w="2977" w:type="dxa"/>
          </w:tcPr>
          <w:p w14:paraId="7E9A5BC7" w14:textId="77777777" w:rsidR="00501810" w:rsidRPr="00501810" w:rsidRDefault="00501810" w:rsidP="00501810">
            <w:pPr>
              <w:widowControl w:val="0"/>
              <w:overflowPunct w:val="0"/>
              <w:autoSpaceDE w:val="0"/>
              <w:autoSpaceDN w:val="0"/>
              <w:adjustRightInd w:val="0"/>
              <w:spacing w:after="0" w:line="240" w:lineRule="auto"/>
              <w:ind w:hanging="15"/>
              <w:rPr>
                <w:rFonts w:ascii="Calibri" w:eastAsia="Times New Roman" w:hAnsi="Calibri" w:cs="Calibri"/>
                <w:noProof/>
                <w:color w:val="0070C0"/>
                <w:kern w:val="0"/>
                <w:lang w:eastAsia="es-CR"/>
                <w14:ligatures w14:val="none"/>
              </w:rPr>
            </w:pPr>
            <w:r w:rsidRPr="00501810">
              <w:rPr>
                <w:rFonts w:ascii="Calibri" w:eastAsia="Times New Roman" w:hAnsi="Calibri" w:cs="Calibri"/>
                <w:noProof/>
                <w:color w:val="0070C0"/>
                <w:kern w:val="0"/>
                <w:lang w:eastAsia="es-CR"/>
                <w14:ligatures w14:val="none"/>
              </w:rPr>
              <w:t>Ruta de aprendizaje</w:t>
            </w:r>
          </w:p>
          <w:p w14:paraId="02BFEA44" w14:textId="77777777" w:rsidR="00501810" w:rsidRPr="00501810" w:rsidRDefault="00501810" w:rsidP="00501810">
            <w:pPr>
              <w:widowControl w:val="0"/>
              <w:overflowPunct w:val="0"/>
              <w:autoSpaceDE w:val="0"/>
              <w:autoSpaceDN w:val="0"/>
              <w:adjustRightInd w:val="0"/>
              <w:spacing w:after="0" w:line="240" w:lineRule="auto"/>
              <w:ind w:hanging="15"/>
              <w:rPr>
                <w:rFonts w:ascii="Calibri" w:eastAsia="Times New Roman" w:hAnsi="Calibri" w:cs="Calibri"/>
                <w:noProof/>
                <w:color w:val="000000"/>
                <w:kern w:val="0"/>
                <w:lang w:eastAsia="es-CR"/>
                <w14:ligatures w14:val="none"/>
              </w:rPr>
            </w:pPr>
          </w:p>
          <w:p w14:paraId="178AE7AE" w14:textId="77777777" w:rsidR="00501810" w:rsidRPr="00501810" w:rsidRDefault="00501810" w:rsidP="00501810">
            <w:pPr>
              <w:widowControl w:val="0"/>
              <w:overflowPunct w:val="0"/>
              <w:autoSpaceDE w:val="0"/>
              <w:autoSpaceDN w:val="0"/>
              <w:adjustRightInd w:val="0"/>
              <w:spacing w:after="0" w:line="240" w:lineRule="auto"/>
              <w:ind w:hanging="15"/>
              <w:rPr>
                <w:rFonts w:ascii="Calibri" w:eastAsia="Times New Roman" w:hAnsi="Calibri" w:cs="Calibri"/>
                <w:noProof/>
                <w:color w:val="000000"/>
                <w:kern w:val="0"/>
                <w:lang w:eastAsia="es-CR"/>
                <w14:ligatures w14:val="none"/>
              </w:rPr>
            </w:pPr>
            <w:r w:rsidRPr="00501810">
              <w:rPr>
                <w:rFonts w:ascii="Calibri" w:eastAsia="Times New Roman" w:hAnsi="Calibri" w:cs="Calibri"/>
                <w:noProof/>
                <w:color w:val="000000"/>
                <w:kern w:val="0"/>
                <w:lang w:eastAsia="es-CR"/>
                <w14:ligatures w14:val="none"/>
              </w:rPr>
              <w:t xml:space="preserve">Sandoval García, Carlos. “Zonas de contacto entre las ciencias sociales”. En </w:t>
            </w:r>
            <w:r w:rsidRPr="00501810">
              <w:rPr>
                <w:rFonts w:ascii="Calibri" w:eastAsia="Times New Roman" w:hAnsi="Calibri" w:cs="Calibri"/>
                <w:i/>
                <w:noProof/>
                <w:color w:val="000000"/>
                <w:kern w:val="0"/>
                <w:lang w:eastAsia="es-CR"/>
                <w14:ligatures w14:val="none"/>
              </w:rPr>
              <w:t>Género y Religión: sospechas y aportes para la reflexión</w:t>
            </w:r>
            <w:r w:rsidRPr="00501810">
              <w:rPr>
                <w:rFonts w:ascii="Calibri" w:eastAsia="Times New Roman" w:hAnsi="Calibri" w:cs="Calibri"/>
                <w:noProof/>
                <w:color w:val="000000"/>
                <w:kern w:val="0"/>
                <w:lang w:eastAsia="es-CR"/>
                <w14:ligatures w14:val="none"/>
              </w:rPr>
              <w:t xml:space="preserve">, coordinado por Mireya Baltodano y Gabriela Miranda García, 177-191. San José: Editorial SEBILA, 2009. </w:t>
            </w:r>
            <w:r w:rsidRPr="00501810">
              <w:rPr>
                <w:rFonts w:ascii="Calibri" w:eastAsia="Times New Roman" w:hAnsi="Calibri" w:cs="Calibri"/>
                <w:noProof/>
                <w:color w:val="0070C0"/>
                <w:kern w:val="0"/>
                <w:lang w:eastAsia="es-CR"/>
                <w14:ligatures w14:val="none"/>
              </w:rPr>
              <w:t>(clásico, última edición)</w:t>
            </w:r>
          </w:p>
          <w:p w14:paraId="46E6C1CC"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1DA599CF"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750A66D9"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color w:val="0070C0"/>
                <w:kern w:val="0"/>
                <w:lang w:eastAsia="es-CR"/>
                <w14:ligatures w14:val="none"/>
              </w:rPr>
            </w:pPr>
            <w:r w:rsidRPr="00501810">
              <w:rPr>
                <w:rFonts w:ascii="Calibri" w:eastAsia="Times New Roman" w:hAnsi="Calibri" w:cs="Calibri"/>
                <w:color w:val="0070C0"/>
                <w:kern w:val="0"/>
                <w:lang w:eastAsia="es-CR"/>
                <w14:ligatures w14:val="none"/>
              </w:rPr>
              <w:t>Guía para la elaboración de una reseña crítica de lectura</w:t>
            </w:r>
          </w:p>
          <w:p w14:paraId="2B188C11"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eastAsia="es-CR"/>
                <w14:ligatures w14:val="none"/>
              </w:rPr>
            </w:pPr>
          </w:p>
        </w:tc>
        <w:tc>
          <w:tcPr>
            <w:tcW w:w="3118" w:type="dxa"/>
          </w:tcPr>
          <w:p w14:paraId="67C23E1E" w14:textId="77777777" w:rsidR="00501810" w:rsidRPr="00501810" w:rsidRDefault="00501810" w:rsidP="00501810">
            <w:pPr>
              <w:widowControl w:val="0"/>
              <w:numPr>
                <w:ilvl w:val="0"/>
                <w:numId w:val="10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el foro social CAFETERÍA.</w:t>
            </w:r>
          </w:p>
          <w:p w14:paraId="21D5EBDA" w14:textId="77777777" w:rsidR="00501810" w:rsidRPr="00501810" w:rsidRDefault="00501810" w:rsidP="00501810">
            <w:pPr>
              <w:widowControl w:val="0"/>
              <w:numPr>
                <w:ilvl w:val="0"/>
                <w:numId w:val="10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el foro de dudas. </w:t>
            </w:r>
          </w:p>
          <w:p w14:paraId="26C5D3B4" w14:textId="77777777" w:rsidR="00501810" w:rsidRPr="00501810" w:rsidRDefault="00501810" w:rsidP="00501810">
            <w:pPr>
              <w:widowControl w:val="0"/>
              <w:numPr>
                <w:ilvl w:val="0"/>
                <w:numId w:val="10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Presentación de los temas del curso y exposición docente en un encuentro sincrónico virtual (formativo). </w:t>
            </w:r>
          </w:p>
          <w:p w14:paraId="0E575B23" w14:textId="77777777" w:rsidR="00501810" w:rsidRPr="00501810" w:rsidRDefault="00501810" w:rsidP="00501810">
            <w:pPr>
              <w:widowControl w:val="0"/>
              <w:numPr>
                <w:ilvl w:val="0"/>
                <w:numId w:val="10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Elaboración de una reseña crítica de la lectura. </w:t>
            </w:r>
          </w:p>
        </w:tc>
      </w:tr>
      <w:tr w:rsidR="00501810" w:rsidRPr="00501810" w14:paraId="13F1E710" w14:textId="77777777" w:rsidTr="4C9C2619">
        <w:trPr>
          <w:trHeight w:val="1550"/>
          <w:jc w:val="center"/>
        </w:trPr>
        <w:tc>
          <w:tcPr>
            <w:tcW w:w="1271" w:type="dxa"/>
          </w:tcPr>
          <w:p w14:paraId="42A06B93"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sz w:val="10"/>
                <w:szCs w:val="10"/>
                <w:lang w:val="es-ES_tradnl" w:eastAsia="es-CR"/>
                <w14:ligatures w14:val="none"/>
              </w:rPr>
            </w:pPr>
          </w:p>
          <w:p w14:paraId="1F4BB29B"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2</w:t>
            </w:r>
          </w:p>
          <w:p w14:paraId="360FB3BC" w14:textId="77777777" w:rsidR="00501810" w:rsidRPr="00501810" w:rsidRDefault="00501810" w:rsidP="00501810">
            <w:pPr>
              <w:widowControl w:val="0"/>
              <w:overflowPunct w:val="0"/>
              <w:autoSpaceDE w:val="0"/>
              <w:autoSpaceDN w:val="0"/>
              <w:adjustRightInd w:val="0"/>
              <w:spacing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136EFB75"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2: ¿Qué es América Latina?: Los angustiosos problemas de la realidad latinoamericana</w:t>
            </w:r>
          </w:p>
          <w:p w14:paraId="23B167E9"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7EC1628"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2.1 Una realidad histórica con mucha diversidad</w:t>
            </w:r>
          </w:p>
          <w:p w14:paraId="671AE56E"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color w:val="FF0000"/>
                <w:kern w:val="0"/>
                <w:lang w:val="es-ES_tradnl" w:eastAsia="es-CR"/>
                <w14:ligatures w14:val="none"/>
              </w:rPr>
            </w:pPr>
          </w:p>
          <w:p w14:paraId="0DE09231"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strike/>
                <w:color w:val="000000"/>
                <w:kern w:val="0"/>
                <w:lang w:val="es-ES_tradnl" w:eastAsia="es-CR"/>
                <w14:ligatures w14:val="none"/>
              </w:rPr>
            </w:pPr>
          </w:p>
        </w:tc>
        <w:tc>
          <w:tcPr>
            <w:tcW w:w="2977" w:type="dxa"/>
          </w:tcPr>
          <w:p w14:paraId="7B55247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0C659C3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p>
          <w:p w14:paraId="3126A480"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Times New Roman"/>
                <w:kern w:val="0"/>
                <w:lang w:val="es-ES_tradnl" w:eastAsia="es-CR"/>
                <w14:ligatures w14:val="none"/>
              </w:rPr>
            </w:pPr>
            <w:proofErr w:type="spellStart"/>
            <w:r w:rsidRPr="00501810">
              <w:rPr>
                <w:rFonts w:ascii="Calibri" w:eastAsia="Times New Roman" w:hAnsi="Calibri" w:cs="Calibri"/>
                <w:kern w:val="0"/>
                <w:szCs w:val="20"/>
                <w:lang w:val="es-ES_tradnl" w:eastAsia="es-CR"/>
                <w14:ligatures w14:val="none"/>
              </w:rPr>
              <w:t>Roitman</w:t>
            </w:r>
            <w:proofErr w:type="spellEnd"/>
            <w:r w:rsidRPr="00501810">
              <w:rPr>
                <w:rFonts w:ascii="Calibri" w:eastAsia="Times New Roman" w:hAnsi="Calibri" w:cs="Calibri"/>
                <w:kern w:val="0"/>
                <w:szCs w:val="20"/>
                <w:lang w:val="es-ES_tradnl" w:eastAsia="es-CR"/>
                <w14:ligatures w14:val="none"/>
              </w:rPr>
              <w:t xml:space="preserve">, Marcos. “El marco histórico”. En </w:t>
            </w:r>
            <w:r w:rsidRPr="00501810">
              <w:rPr>
                <w:rFonts w:ascii="Calibri" w:eastAsia="Times New Roman" w:hAnsi="Calibri" w:cs="Times New Roman"/>
                <w:i/>
                <w:kern w:val="0"/>
                <w:lang w:val="es-ES_tradnl" w:eastAsia="es-CR"/>
                <w14:ligatures w14:val="none"/>
              </w:rPr>
              <w:t>Pensar América Latina: El desarrollo de la sociología latinoamericana</w:t>
            </w:r>
            <w:r w:rsidRPr="00501810">
              <w:rPr>
                <w:rFonts w:ascii="Calibri" w:eastAsia="Times New Roman" w:hAnsi="Calibri" w:cs="Times New Roman"/>
                <w:kern w:val="0"/>
                <w:lang w:val="es-ES_tradnl" w:eastAsia="es-CR"/>
                <w14:ligatures w14:val="none"/>
              </w:rPr>
              <w:t xml:space="preserve">, 137-160. Buenos Aires, CLACSO, 2008. </w:t>
            </w:r>
            <w:r w:rsidRPr="00501810">
              <w:rPr>
                <w:rFonts w:ascii="Calibri" w:eastAsia="Times New Roman" w:hAnsi="Calibri" w:cs="Calibri"/>
                <w:noProof/>
                <w:color w:val="0070C0"/>
                <w:kern w:val="0"/>
                <w:lang w:eastAsia="es-CR"/>
                <w14:ligatures w14:val="none"/>
              </w:rPr>
              <w:t>(clásico, última edición)</w:t>
            </w:r>
          </w:p>
          <w:p w14:paraId="32819705"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Times New Roman"/>
                <w:b/>
                <w:bCs/>
                <w:kern w:val="0"/>
                <w:lang w:val="es-ES_tradnl" w:eastAsia="es-CR"/>
                <w14:ligatures w14:val="none"/>
              </w:rPr>
            </w:pPr>
            <w:r w:rsidRPr="00501810">
              <w:rPr>
                <w:rFonts w:ascii="Calibri" w:eastAsia="Times New Roman" w:hAnsi="Calibri" w:cs="Times New Roman"/>
                <w:b/>
                <w:bCs/>
                <w:kern w:val="0"/>
                <w:lang w:val="es-ES_tradnl" w:eastAsia="es-CR"/>
                <w14:ligatures w14:val="none"/>
              </w:rPr>
              <w:t>Material complementario</w:t>
            </w:r>
          </w:p>
          <w:p w14:paraId="308B7076"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kern w:val="0"/>
                <w:sz w:val="20"/>
                <w:szCs w:val="20"/>
                <w:lang w:val="es-ES_tradnl" w:eastAsia="es-CR"/>
                <w14:ligatures w14:val="none"/>
              </w:rPr>
            </w:pPr>
            <w:r w:rsidRPr="00501810">
              <w:rPr>
                <w:rFonts w:ascii="Calibri" w:eastAsia="Times New Roman" w:hAnsi="Calibri" w:cs="Calibri"/>
                <w:bCs/>
                <w:noProof/>
                <w:kern w:val="0"/>
                <w:szCs w:val="20"/>
                <w:lang w:eastAsia="es-CR"/>
                <w14:ligatures w14:val="none"/>
              </w:rPr>
              <w:t xml:space="preserve">Mignolo, Walter. “América: la expansión cristiana y la creación moderna/colonial del racismo”. En </w:t>
            </w:r>
            <w:r w:rsidRPr="00501810">
              <w:rPr>
                <w:rFonts w:ascii="Calibri" w:eastAsia="Times New Roman" w:hAnsi="Calibri" w:cs="Calibri"/>
                <w:bCs/>
                <w:i/>
                <w:iCs/>
                <w:noProof/>
                <w:kern w:val="0"/>
                <w:szCs w:val="20"/>
                <w:lang w:val="es-ES_tradnl" w:eastAsia="es-CR"/>
                <w14:ligatures w14:val="none"/>
              </w:rPr>
              <w:t>La idea de América Latina: La herida colonial y la opción decolonial</w:t>
            </w:r>
            <w:r w:rsidRPr="00501810">
              <w:rPr>
                <w:rFonts w:ascii="Calibri" w:eastAsia="Times New Roman" w:hAnsi="Calibri" w:cs="Calibri"/>
                <w:bCs/>
                <w:noProof/>
                <w:kern w:val="0"/>
                <w:szCs w:val="20"/>
                <w:lang w:val="es-ES_tradnl" w:eastAsia="es-CR"/>
                <w14:ligatures w14:val="none"/>
              </w:rPr>
              <w:t xml:space="preserve">, 27-74. Barcelona: Editorial Gedisa, 2007. Acceso el 18 de diciembre de 2020. </w:t>
            </w:r>
            <w:hyperlink r:id="rId208" w:history="1">
              <w:r w:rsidRPr="00501810">
                <w:rPr>
                  <w:rFonts w:ascii="Calibri" w:eastAsia="Times New Roman" w:hAnsi="Calibri" w:cs="Calibri"/>
                  <w:bCs/>
                  <w:noProof/>
                  <w:color w:val="0000FF"/>
                  <w:kern w:val="0"/>
                  <w:szCs w:val="20"/>
                  <w:u w:val="single"/>
                  <w:lang w:val="es-ES_tradnl" w:eastAsia="es-CR"/>
                  <w14:ligatures w14:val="none"/>
                </w:rPr>
                <w:t>http://www.ceapedi.com.ar/i</w:t>
              </w:r>
              <w:r w:rsidRPr="00501810">
                <w:rPr>
                  <w:rFonts w:ascii="Calibri" w:eastAsia="Times New Roman" w:hAnsi="Calibri" w:cs="Calibri"/>
                  <w:bCs/>
                  <w:noProof/>
                  <w:color w:val="0000FF"/>
                  <w:kern w:val="0"/>
                  <w:szCs w:val="20"/>
                  <w:u w:val="single"/>
                  <w:lang w:val="es-ES_tradnl" w:eastAsia="es-CR"/>
                  <w14:ligatures w14:val="none"/>
                </w:rPr>
                <w:lastRenderedPageBreak/>
                <w:t>magenes/biblioteca/libreria/420.pdf</w:t>
              </w:r>
            </w:hyperlink>
            <w:r w:rsidRPr="00501810">
              <w:rPr>
                <w:rFonts w:ascii="Calibri" w:eastAsia="Times New Roman" w:hAnsi="Calibri" w:cs="Calibri"/>
                <w:bCs/>
                <w:noProof/>
                <w:color w:val="0000FF"/>
                <w:kern w:val="0"/>
                <w:szCs w:val="20"/>
                <w:u w:val="single"/>
                <w:lang w:val="es-ES_tradnl" w:eastAsia="es-CR"/>
                <w14:ligatures w14:val="none"/>
              </w:rPr>
              <w:t xml:space="preserve"> </w:t>
            </w:r>
          </w:p>
          <w:p w14:paraId="706629F1" w14:textId="77777777" w:rsidR="00501810" w:rsidRPr="00501810" w:rsidRDefault="00501810" w:rsidP="00501810">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A6402E8" w14:textId="77777777" w:rsidR="00501810" w:rsidRPr="00501810" w:rsidRDefault="00501810" w:rsidP="00501810">
            <w:pPr>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70C0"/>
                <w:kern w:val="0"/>
                <w:lang w:val="es-ES_tradnl" w:eastAsia="es-CR"/>
                <w14:ligatures w14:val="none"/>
              </w:rPr>
              <w:t>Guía para la participación en un foro en la plataforma Moodle</w:t>
            </w:r>
          </w:p>
        </w:tc>
        <w:tc>
          <w:tcPr>
            <w:tcW w:w="3118" w:type="dxa"/>
          </w:tcPr>
          <w:p w14:paraId="09D0379B"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lastRenderedPageBreak/>
              <w:t xml:space="preserve">Participación en el foro temático: La compleja historia de América Latina. </w:t>
            </w:r>
          </w:p>
        </w:tc>
      </w:tr>
      <w:tr w:rsidR="00501810" w:rsidRPr="00501810" w14:paraId="7D036EA3" w14:textId="77777777" w:rsidTr="4C9C2619">
        <w:trPr>
          <w:jc w:val="center"/>
        </w:trPr>
        <w:tc>
          <w:tcPr>
            <w:tcW w:w="1271" w:type="dxa"/>
          </w:tcPr>
          <w:p w14:paraId="423A1BAB"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3</w:t>
            </w:r>
          </w:p>
          <w:p w14:paraId="4A443434"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35939ADD"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2: ¿Qué es América Latina?: Los angustiosos problemas de la realidad latinoamericana</w:t>
            </w:r>
          </w:p>
          <w:p w14:paraId="7AA8E04E"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BB2103D"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2.2 El impacto de la historia en la creación del subdesarrollo</w:t>
            </w:r>
          </w:p>
          <w:p w14:paraId="3925D06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color w:val="FF0000"/>
                <w:kern w:val="0"/>
                <w:lang w:val="es-ES_tradnl" w:eastAsia="es-CR"/>
                <w14:ligatures w14:val="none"/>
              </w:rPr>
            </w:pPr>
          </w:p>
          <w:p w14:paraId="7AB8A38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strike/>
                <w:kern w:val="0"/>
                <w:lang w:val="es-ES_tradnl" w:eastAsia="es-CR"/>
                <w14:ligatures w14:val="none"/>
              </w:rPr>
            </w:pPr>
          </w:p>
        </w:tc>
        <w:tc>
          <w:tcPr>
            <w:tcW w:w="2977" w:type="dxa"/>
          </w:tcPr>
          <w:p w14:paraId="18668761"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r w:rsidRPr="00501810">
              <w:rPr>
                <w:rFonts w:ascii="Calibri" w:eastAsia="Times New Roman" w:hAnsi="Calibri" w:cs="Calibri"/>
                <w:noProof/>
                <w:color w:val="0070C0"/>
                <w:kern w:val="0"/>
                <w:lang w:eastAsia="es-CR"/>
                <w14:ligatures w14:val="none"/>
              </w:rPr>
              <w:t>Ruta de aprendizaje</w:t>
            </w:r>
          </w:p>
          <w:p w14:paraId="3064482A"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p>
          <w:p w14:paraId="12314861"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r w:rsidRPr="00501810">
              <w:rPr>
                <w:rFonts w:ascii="Calibri" w:eastAsia="Times New Roman" w:hAnsi="Calibri" w:cs="Calibri"/>
                <w:noProof/>
                <w:kern w:val="0"/>
                <w:lang w:eastAsia="es-CR"/>
                <w14:ligatures w14:val="none"/>
              </w:rPr>
              <w:t xml:space="preserve">Marañon Pimentel, Boris. “Hacia una caracterización no eurocéntrica de la crisis global actual del patrón de poder colonial-moderno y la solidaridad económica”. En </w:t>
            </w:r>
            <w:r w:rsidRPr="00501810">
              <w:rPr>
                <w:rFonts w:ascii="Calibri" w:eastAsia="Times New Roman" w:hAnsi="Calibri" w:cs="Calibri"/>
                <w:i/>
                <w:noProof/>
                <w:kern w:val="0"/>
                <w:lang w:eastAsia="es-CR"/>
                <w14:ligatures w14:val="none"/>
              </w:rPr>
              <w:t>Solidaridad económica, buenos víveres y descolonialidad del poder</w:t>
            </w:r>
            <w:r w:rsidRPr="00501810">
              <w:rPr>
                <w:rFonts w:ascii="Calibri" w:eastAsia="Times New Roman" w:hAnsi="Calibri" w:cs="Calibri"/>
                <w:noProof/>
                <w:kern w:val="0"/>
                <w:lang w:eastAsia="es-CR"/>
                <w14:ligatures w14:val="none"/>
              </w:rPr>
              <w:t>, coordinado por Boris Marañon Pimentel, 23-39. México: UNAM/CLACSO, 2019.</w:t>
            </w:r>
          </w:p>
          <w:p w14:paraId="07B271E8"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p>
          <w:p w14:paraId="63C87B64"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r w:rsidRPr="00501810">
              <w:rPr>
                <w:rFonts w:ascii="Calibri" w:eastAsia="Times New Roman" w:hAnsi="Calibri" w:cs="Calibri"/>
                <w:noProof/>
                <w:kern w:val="0"/>
                <w:lang w:eastAsia="es-CR"/>
                <w14:ligatures w14:val="none"/>
              </w:rPr>
              <w:t xml:space="preserve">Martínez, Jarrison. “Tendencias globales y la emergencia de la economía social y solidaria”. En </w:t>
            </w:r>
            <w:r w:rsidRPr="00501810">
              <w:rPr>
                <w:rFonts w:ascii="Calibri" w:eastAsia="Times New Roman" w:hAnsi="Calibri" w:cs="Calibri"/>
                <w:i/>
                <w:noProof/>
                <w:kern w:val="0"/>
                <w:lang w:eastAsia="es-CR"/>
                <w14:ligatures w14:val="none"/>
              </w:rPr>
              <w:t>Solidaridad económica, buenos víveres y descolonialidad del poder</w:t>
            </w:r>
            <w:r w:rsidRPr="00501810">
              <w:rPr>
                <w:rFonts w:ascii="Calibri" w:eastAsia="Times New Roman" w:hAnsi="Calibri" w:cs="Calibri"/>
                <w:noProof/>
                <w:kern w:val="0"/>
                <w:lang w:eastAsia="es-CR"/>
                <w14:ligatures w14:val="none"/>
              </w:rPr>
              <w:t>, coordinado por Boris Marañon Pimentel, 41-52. México: UNAM/CLACSO, 2019.</w:t>
            </w:r>
          </w:p>
          <w:p w14:paraId="1D328851"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eastAsia="es-CR"/>
                <w14:ligatures w14:val="none"/>
              </w:rPr>
            </w:pPr>
          </w:p>
          <w:p w14:paraId="36A44EDD"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58723A0B"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312995F5"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 mapa mental</w:t>
            </w:r>
          </w:p>
          <w:p w14:paraId="236AA94E"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4DEDCBE2"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36B37FEF"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kern w:val="0"/>
                <w:lang w:val="es-ES_tradnl" w:eastAsia="es-CR"/>
                <w14:ligatures w14:val="none"/>
              </w:rPr>
            </w:pPr>
          </w:p>
        </w:tc>
        <w:tc>
          <w:tcPr>
            <w:tcW w:w="3118" w:type="dxa"/>
          </w:tcPr>
          <w:p w14:paraId="1F3FBDB5"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Elaboración de un mapa mental sobre los problemas de la realidad latinoamericana. </w:t>
            </w:r>
          </w:p>
          <w:p w14:paraId="6B5D7FF9"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Exposición docente en un encuentro sincrónico virtual (formativo). </w:t>
            </w:r>
          </w:p>
        </w:tc>
      </w:tr>
      <w:tr w:rsidR="00501810" w:rsidRPr="00501810" w14:paraId="58284D66" w14:textId="77777777" w:rsidTr="4C9C2619">
        <w:trPr>
          <w:trHeight w:val="845"/>
          <w:jc w:val="center"/>
        </w:trPr>
        <w:tc>
          <w:tcPr>
            <w:tcW w:w="1271" w:type="dxa"/>
          </w:tcPr>
          <w:p w14:paraId="07B854BC"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4</w:t>
            </w:r>
          </w:p>
          <w:p w14:paraId="45976AF7"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5CEF682F"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2: ¿Qué es América Latina?: Los angustiosos problemas de la realidad latinoamericana</w:t>
            </w:r>
          </w:p>
          <w:p w14:paraId="677CC6D6"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8E4F1EF"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lastRenderedPageBreak/>
              <w:t>2.3 El desarrollo del subdesarrollo</w:t>
            </w:r>
          </w:p>
          <w:p w14:paraId="422230C5"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4B5D25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E52B56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color w:val="FF0000"/>
                <w:kern w:val="0"/>
                <w:lang w:val="es-ES_tradnl" w:eastAsia="es-CR"/>
                <w14:ligatures w14:val="none"/>
              </w:rPr>
            </w:pPr>
          </w:p>
        </w:tc>
        <w:tc>
          <w:tcPr>
            <w:tcW w:w="2977" w:type="dxa"/>
          </w:tcPr>
          <w:p w14:paraId="06064F45"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noProof/>
                <w:color w:val="0070C0"/>
                <w:kern w:val="0"/>
                <w:lang w:eastAsia="es-CR"/>
                <w14:ligatures w14:val="none"/>
              </w:rPr>
              <w:lastRenderedPageBreak/>
              <w:t>Ruta de aprendizaje</w:t>
            </w:r>
          </w:p>
          <w:p w14:paraId="3B1BC08A"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32B649FF"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 xml:space="preserve">Duarte, </w:t>
            </w:r>
            <w:proofErr w:type="spellStart"/>
            <w:r w:rsidRPr="00501810">
              <w:rPr>
                <w:rFonts w:ascii="Calibri" w:eastAsia="Times New Roman" w:hAnsi="Calibri" w:cs="Calibri"/>
                <w:kern w:val="0"/>
                <w:lang w:val="es-ES_tradnl" w:eastAsia="es-CR"/>
                <w14:ligatures w14:val="none"/>
              </w:rPr>
              <w:t>Klaudio</w:t>
            </w:r>
            <w:proofErr w:type="spellEnd"/>
            <w:r w:rsidRPr="00501810">
              <w:rPr>
                <w:rFonts w:ascii="Calibri" w:eastAsia="Times New Roman" w:hAnsi="Calibri" w:cs="Calibri"/>
                <w:kern w:val="0"/>
                <w:lang w:val="es-ES_tradnl" w:eastAsia="es-CR"/>
                <w14:ligatures w14:val="none"/>
              </w:rPr>
              <w:t xml:space="preserve">. “Tema 1: Identidades juveniles”, “Construcción de identidades de género en contextos </w:t>
            </w:r>
            <w:r w:rsidRPr="00501810">
              <w:rPr>
                <w:rFonts w:ascii="Calibri" w:eastAsia="Times New Roman" w:hAnsi="Calibri" w:cs="Calibri"/>
                <w:kern w:val="0"/>
                <w:lang w:val="es-ES_tradnl" w:eastAsia="es-CR"/>
                <w14:ligatures w14:val="none"/>
              </w:rPr>
              <w:lastRenderedPageBreak/>
              <w:t xml:space="preserve">patriarcales”. En </w:t>
            </w:r>
            <w:r w:rsidRPr="00501810">
              <w:rPr>
                <w:rFonts w:ascii="Calibri" w:eastAsia="Times New Roman" w:hAnsi="Calibri" w:cs="Calibri"/>
                <w:i/>
                <w:kern w:val="0"/>
                <w:lang w:val="es-ES_tradnl" w:eastAsia="es-CR"/>
                <w14:ligatures w14:val="none"/>
              </w:rPr>
              <w:t>Género, generaciones y derecho: nuevos enfoques de trabajo con jóvenes. Una caja de herramientas</w:t>
            </w:r>
            <w:r w:rsidRPr="00501810">
              <w:rPr>
                <w:rFonts w:ascii="Calibri" w:eastAsia="Times New Roman" w:hAnsi="Calibri" w:cs="Calibri"/>
                <w:kern w:val="0"/>
                <w:lang w:val="es-ES_tradnl" w:eastAsia="es-CR"/>
                <w14:ligatures w14:val="none"/>
              </w:rPr>
              <w:t xml:space="preserve">, 6-10 y 13-17. Bolivia: </w:t>
            </w:r>
            <w:proofErr w:type="spellStart"/>
            <w:r w:rsidRPr="00501810">
              <w:rPr>
                <w:rFonts w:ascii="Calibri" w:eastAsia="Times New Roman" w:hAnsi="Calibri" w:cs="Calibri"/>
                <w:kern w:val="0"/>
                <w:lang w:val="es-ES_tradnl" w:eastAsia="es-CR"/>
                <w14:ligatures w14:val="none"/>
              </w:rPr>
              <w:t>Family</w:t>
            </w:r>
            <w:proofErr w:type="spellEnd"/>
            <w:r w:rsidRPr="00501810">
              <w:rPr>
                <w:rFonts w:ascii="Calibri" w:eastAsia="Times New Roman" w:hAnsi="Calibri" w:cs="Calibri"/>
                <w:kern w:val="0"/>
                <w:lang w:val="es-ES_tradnl" w:eastAsia="es-CR"/>
                <w14:ligatures w14:val="none"/>
              </w:rPr>
              <w:t xml:space="preserve"> Care International, 2006. </w:t>
            </w:r>
            <w:r w:rsidRPr="00501810">
              <w:rPr>
                <w:rFonts w:ascii="Calibri" w:eastAsia="Times New Roman" w:hAnsi="Calibri" w:cs="Calibri"/>
                <w:noProof/>
                <w:color w:val="0070C0"/>
                <w:kern w:val="0"/>
                <w:lang w:eastAsia="es-CR"/>
                <w14:ligatures w14:val="none"/>
              </w:rPr>
              <w:t>(clásico, última edición)</w:t>
            </w:r>
          </w:p>
          <w:p w14:paraId="164189A4" w14:textId="77777777" w:rsidR="00501810" w:rsidRPr="00501810" w:rsidRDefault="00501810" w:rsidP="00501810">
            <w:pPr>
              <w:autoSpaceDE w:val="0"/>
              <w:autoSpaceDN w:val="0"/>
              <w:adjustRightInd w:val="0"/>
              <w:spacing w:after="0" w:line="240" w:lineRule="auto"/>
              <w:rPr>
                <w:rFonts w:ascii="Calibri" w:eastAsia="Times New Roman" w:hAnsi="Calibri" w:cs="Times New Roman"/>
                <w:kern w:val="0"/>
                <w:lang w:val="es-ES" w:eastAsia="es-CR"/>
                <w14:ligatures w14:val="none"/>
              </w:rPr>
            </w:pPr>
          </w:p>
          <w:p w14:paraId="6B4A0F6C" w14:textId="77777777" w:rsidR="00501810" w:rsidRPr="00501810" w:rsidRDefault="00501810" w:rsidP="00501810">
            <w:pPr>
              <w:autoSpaceDE w:val="0"/>
              <w:autoSpaceDN w:val="0"/>
              <w:adjustRightInd w:val="0"/>
              <w:spacing w:after="0" w:line="240" w:lineRule="auto"/>
              <w:rPr>
                <w:rFonts w:ascii="Calibri" w:eastAsia="Times New Roman" w:hAnsi="Calibri" w:cs="Times New Roman"/>
                <w:kern w:val="0"/>
                <w:lang w:val="es-ES" w:eastAsia="es-CR"/>
                <w14:ligatures w14:val="none"/>
              </w:rPr>
            </w:pPr>
            <w:r w:rsidRPr="00501810">
              <w:rPr>
                <w:rFonts w:ascii="Calibri" w:eastAsia="Times New Roman" w:hAnsi="Calibri" w:cs="Times New Roman"/>
                <w:kern w:val="0"/>
                <w:lang w:val="en-US" w:eastAsia="es-CR"/>
                <w14:ligatures w14:val="none"/>
              </w:rPr>
              <w:t xml:space="preserve">Giddens Anthony y Philip Sutton. </w:t>
            </w:r>
            <w:r w:rsidRPr="00501810">
              <w:rPr>
                <w:rFonts w:ascii="Calibri" w:eastAsia="Times New Roman" w:hAnsi="Calibri" w:cs="Times New Roman"/>
                <w:kern w:val="0"/>
                <w:lang w:eastAsia="es-CR"/>
                <w14:ligatures w14:val="none"/>
              </w:rPr>
              <w:t>“Desigualdad de oportunidades vitales", “Raza y etnicidad”.</w:t>
            </w:r>
            <w:r w:rsidRPr="00501810">
              <w:rPr>
                <w:rFonts w:ascii="Calibri" w:eastAsia="Times New Roman" w:hAnsi="Calibri" w:cs="Times New Roman"/>
                <w:color w:val="FF0000"/>
                <w:kern w:val="0"/>
                <w:lang w:eastAsia="es-CR"/>
                <w14:ligatures w14:val="none"/>
              </w:rPr>
              <w:t xml:space="preserve"> </w:t>
            </w:r>
            <w:r w:rsidRPr="00501810">
              <w:rPr>
                <w:rFonts w:ascii="Calibri" w:eastAsia="Times New Roman" w:hAnsi="Calibri" w:cs="Times New Roman"/>
                <w:kern w:val="0"/>
                <w:lang w:eastAsia="es-CR"/>
                <w14:ligatures w14:val="none"/>
              </w:rPr>
              <w:t xml:space="preserve">En </w:t>
            </w:r>
            <w:r w:rsidRPr="00501810">
              <w:rPr>
                <w:rFonts w:ascii="Calibri" w:eastAsia="Times New Roman" w:hAnsi="Calibri" w:cs="Times New Roman"/>
                <w:i/>
                <w:kern w:val="0"/>
                <w:lang w:val="es-ES" w:eastAsia="es-CR"/>
                <w14:ligatures w14:val="none"/>
              </w:rPr>
              <w:t>Conceptos esenciales de sociología</w:t>
            </w:r>
            <w:r w:rsidRPr="00501810">
              <w:rPr>
                <w:rFonts w:ascii="Calibri" w:eastAsia="Times New Roman" w:hAnsi="Calibri" w:cs="Times New Roman"/>
                <w:kern w:val="0"/>
                <w:lang w:val="es-ES" w:eastAsia="es-CR"/>
                <w14:ligatures w14:val="none"/>
              </w:rPr>
              <w:t xml:space="preserve">, 145-157 y 167-172. España: Alianza Editorial, 2015. </w:t>
            </w:r>
            <w:r w:rsidRPr="00501810">
              <w:rPr>
                <w:rFonts w:ascii="Calibri" w:eastAsia="Times New Roman" w:hAnsi="Calibri" w:cs="Calibri"/>
                <w:noProof/>
                <w:color w:val="0070C0"/>
                <w:kern w:val="0"/>
                <w:lang w:eastAsia="es-CR"/>
                <w14:ligatures w14:val="none"/>
              </w:rPr>
              <w:t>(clásico, última edición)</w:t>
            </w:r>
          </w:p>
          <w:p w14:paraId="133EA0F1" w14:textId="77777777" w:rsidR="00501810" w:rsidRPr="00501810" w:rsidRDefault="00501810" w:rsidP="00501810">
            <w:pPr>
              <w:autoSpaceDE w:val="0"/>
              <w:autoSpaceDN w:val="0"/>
              <w:adjustRightInd w:val="0"/>
              <w:spacing w:after="0" w:line="240" w:lineRule="auto"/>
              <w:rPr>
                <w:rFonts w:ascii="Calibri" w:eastAsia="Times New Roman" w:hAnsi="Calibri" w:cs="Times New Roman"/>
                <w:kern w:val="0"/>
                <w:lang w:val="es-ES" w:eastAsia="es-CR"/>
                <w14:ligatures w14:val="none"/>
              </w:rPr>
            </w:pPr>
          </w:p>
          <w:p w14:paraId="64B0F705" w14:textId="77777777" w:rsidR="00501810" w:rsidRPr="00501810" w:rsidRDefault="00501810" w:rsidP="00501810">
            <w:pPr>
              <w:autoSpaceDE w:val="0"/>
              <w:autoSpaceDN w:val="0"/>
              <w:adjustRightInd w:val="0"/>
              <w:spacing w:after="0" w:line="240" w:lineRule="auto"/>
              <w:rPr>
                <w:rFonts w:ascii="Calibri" w:eastAsia="Times New Roman" w:hAnsi="Calibri" w:cs="Times New Roman"/>
                <w:b/>
                <w:bCs/>
                <w:kern w:val="0"/>
                <w:lang w:val="es-ES" w:eastAsia="es-CR"/>
                <w14:ligatures w14:val="none"/>
              </w:rPr>
            </w:pPr>
            <w:r w:rsidRPr="00501810">
              <w:rPr>
                <w:rFonts w:ascii="Calibri" w:eastAsia="Times New Roman" w:hAnsi="Calibri" w:cs="Times New Roman"/>
                <w:b/>
                <w:bCs/>
                <w:kern w:val="0"/>
                <w:lang w:val="es-ES" w:eastAsia="es-CR"/>
                <w14:ligatures w14:val="none"/>
              </w:rPr>
              <w:t>Material complementario</w:t>
            </w:r>
          </w:p>
          <w:p w14:paraId="740160DE" w14:textId="77777777" w:rsidR="00501810" w:rsidRPr="00501810" w:rsidRDefault="00501810" w:rsidP="00501810">
            <w:pPr>
              <w:autoSpaceDE w:val="0"/>
              <w:autoSpaceDN w:val="0"/>
              <w:adjustRightInd w:val="0"/>
              <w:spacing w:after="0" w:line="240" w:lineRule="auto"/>
              <w:rPr>
                <w:rFonts w:ascii="Calibri" w:eastAsia="Times New Roman" w:hAnsi="Calibri" w:cs="Times New Roman"/>
                <w:b/>
                <w:bCs/>
                <w:kern w:val="0"/>
                <w:lang w:val="es-ES" w:eastAsia="es-CR"/>
                <w14:ligatures w14:val="none"/>
              </w:rPr>
            </w:pPr>
          </w:p>
          <w:p w14:paraId="73EE0D9F" w14:textId="77777777" w:rsidR="00501810" w:rsidRPr="00501810" w:rsidRDefault="00501810" w:rsidP="00501810">
            <w:pPr>
              <w:autoSpaceDE w:val="0"/>
              <w:autoSpaceDN w:val="0"/>
              <w:adjustRightInd w:val="0"/>
              <w:spacing w:after="0" w:line="240" w:lineRule="auto"/>
              <w:rPr>
                <w:rFonts w:ascii="Calibri" w:eastAsia="Times New Roman" w:hAnsi="Calibri" w:cs="Calibri"/>
                <w:bCs/>
                <w:noProof/>
                <w:color w:val="0000FF"/>
                <w:kern w:val="0"/>
                <w:szCs w:val="20"/>
                <w:u w:val="single"/>
                <w:lang w:eastAsia="es-CR"/>
                <w14:ligatures w14:val="none"/>
              </w:rPr>
            </w:pPr>
            <w:r w:rsidRPr="00501810">
              <w:rPr>
                <w:rFonts w:ascii="Calibri" w:eastAsia="Times New Roman" w:hAnsi="Calibri" w:cs="Calibri"/>
                <w:bCs/>
                <w:noProof/>
                <w:kern w:val="0"/>
                <w:szCs w:val="20"/>
                <w:lang w:val="es-ES_tradnl" w:eastAsia="es-CR"/>
                <w14:ligatures w14:val="none"/>
              </w:rPr>
              <w:t xml:space="preserve">Valdivieso, Magdalena y Carmen Teresa García. “Una aproximación al Movimiento de Mujeres en América Latina: De los grupos de autoconciencia a las redes nacionales y trasnacionales”. </w:t>
            </w:r>
            <w:r w:rsidRPr="00501810">
              <w:rPr>
                <w:rFonts w:ascii="Calibri" w:eastAsia="Times New Roman" w:hAnsi="Calibri" w:cs="Calibri"/>
                <w:bCs/>
                <w:i/>
                <w:noProof/>
                <w:kern w:val="0"/>
                <w:szCs w:val="20"/>
                <w:lang w:val="es-ES_tradnl" w:eastAsia="es-CR"/>
                <w14:ligatures w14:val="none"/>
              </w:rPr>
              <w:t>Observatorio Social de América Latina</w:t>
            </w:r>
            <w:r w:rsidRPr="00501810">
              <w:rPr>
                <w:rFonts w:ascii="Calibri" w:eastAsia="Times New Roman" w:hAnsi="Calibri" w:cs="Calibri"/>
                <w:bCs/>
                <w:noProof/>
                <w:kern w:val="0"/>
                <w:szCs w:val="20"/>
                <w:lang w:val="es-ES_tradnl" w:eastAsia="es-CR"/>
                <w14:ligatures w14:val="none"/>
              </w:rPr>
              <w:t xml:space="preserve">, n. 18 (2005): 41-56. Acceso el 18 de diciembre de 2020. </w:t>
            </w:r>
            <w:hyperlink r:id="rId209" w:history="1">
              <w:r w:rsidRPr="00501810">
                <w:rPr>
                  <w:rFonts w:ascii="Calibri" w:eastAsia="Times New Roman" w:hAnsi="Calibri" w:cs="Calibri"/>
                  <w:bCs/>
                  <w:noProof/>
                  <w:color w:val="0000FF"/>
                  <w:kern w:val="0"/>
                  <w:szCs w:val="20"/>
                  <w:u w:val="single"/>
                  <w:lang w:eastAsia="es-CR"/>
                  <w14:ligatures w14:val="none"/>
                </w:rPr>
                <w:t>http://biblioteca.clacso.edu.ar/clacso/osal/20110318071025/4GarciaValdivieso.pdf</w:t>
              </w:r>
            </w:hyperlink>
          </w:p>
          <w:p w14:paraId="0E8D7909"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eastAsia="es-CR"/>
                <w14:ligatures w14:val="none"/>
              </w:rPr>
            </w:pPr>
          </w:p>
          <w:p w14:paraId="646913E0" w14:textId="77777777" w:rsidR="00501810" w:rsidRPr="00501810" w:rsidRDefault="00501810" w:rsidP="00501810">
            <w:pPr>
              <w:autoSpaceDE w:val="0"/>
              <w:autoSpaceDN w:val="0"/>
              <w:adjustRightInd w:val="0"/>
              <w:spacing w:after="0" w:line="240" w:lineRule="auto"/>
              <w:rPr>
                <w:rFonts w:ascii="Calibri" w:eastAsia="Times New Roman" w:hAnsi="Calibri" w:cs="Calibri"/>
                <w:color w:val="0070C0"/>
                <w:kern w:val="0"/>
                <w:lang w:eastAsia="es-CR"/>
                <w14:ligatures w14:val="none"/>
              </w:rPr>
            </w:pPr>
            <w:r w:rsidRPr="00501810">
              <w:rPr>
                <w:rFonts w:ascii="Calibri" w:eastAsia="Times New Roman" w:hAnsi="Calibri" w:cs="Calibri"/>
                <w:color w:val="0070C0"/>
                <w:kern w:val="0"/>
                <w:lang w:eastAsia="es-CR"/>
                <w14:ligatures w14:val="none"/>
              </w:rPr>
              <w:t>Guía para la participación en un foro en la plataforma Moodle</w:t>
            </w:r>
          </w:p>
          <w:p w14:paraId="2E2C6EC3" w14:textId="77777777" w:rsidR="00501810" w:rsidRPr="00501810" w:rsidRDefault="00501810" w:rsidP="00501810">
            <w:pPr>
              <w:autoSpaceDE w:val="0"/>
              <w:autoSpaceDN w:val="0"/>
              <w:adjustRightInd w:val="0"/>
              <w:spacing w:after="0" w:line="240" w:lineRule="auto"/>
              <w:rPr>
                <w:rFonts w:ascii="Calibri" w:eastAsia="Times New Roman" w:hAnsi="Calibri" w:cs="Calibri"/>
                <w:color w:val="0070C0"/>
                <w:kern w:val="0"/>
                <w:lang w:eastAsia="es-CR"/>
                <w14:ligatures w14:val="none"/>
              </w:rPr>
            </w:pPr>
          </w:p>
        </w:tc>
        <w:tc>
          <w:tcPr>
            <w:tcW w:w="3118" w:type="dxa"/>
          </w:tcPr>
          <w:p w14:paraId="79A20860"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lastRenderedPageBreak/>
              <w:t>Participación en el foro temático: Clase, raza, género y edad.</w:t>
            </w:r>
          </w:p>
        </w:tc>
      </w:tr>
      <w:tr w:rsidR="00501810" w:rsidRPr="00501810" w14:paraId="6209CCA0" w14:textId="77777777" w:rsidTr="4C9C2619">
        <w:trPr>
          <w:jc w:val="center"/>
        </w:trPr>
        <w:tc>
          <w:tcPr>
            <w:tcW w:w="1271" w:type="dxa"/>
          </w:tcPr>
          <w:p w14:paraId="1D2E2C15"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sz w:val="10"/>
                <w:szCs w:val="10"/>
                <w:lang w:val="es-ES_tradnl" w:eastAsia="es-CR"/>
                <w14:ligatures w14:val="none"/>
              </w:rPr>
            </w:pPr>
          </w:p>
          <w:p w14:paraId="0F5DD5EF"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5</w:t>
            </w:r>
          </w:p>
          <w:p w14:paraId="1DE4DD0F" w14:textId="77777777" w:rsidR="00501810" w:rsidRPr="00501810" w:rsidRDefault="00501810" w:rsidP="00501810">
            <w:pPr>
              <w:widowControl w:val="0"/>
              <w:overflowPunct w:val="0"/>
              <w:autoSpaceDE w:val="0"/>
              <w:autoSpaceDN w:val="0"/>
              <w:adjustRightInd w:val="0"/>
              <w:spacing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70015ADE"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2: ¿Qué es América Latina?: Los angustiosos problemas de la realidad latinoamericana</w:t>
            </w:r>
          </w:p>
          <w:p w14:paraId="7F07EF5B"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6E7667DF" w14:textId="77777777" w:rsidR="00501810" w:rsidRPr="00501810" w:rsidRDefault="00501810" w:rsidP="00501810">
            <w:pPr>
              <w:widowControl w:val="0"/>
              <w:tabs>
                <w:tab w:val="center" w:pos="954"/>
              </w:tabs>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2.3 El desarrollo del subdesarrollo</w:t>
            </w:r>
          </w:p>
          <w:p w14:paraId="4F7BD2E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5C57536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strike/>
                <w:color w:val="000000"/>
                <w:kern w:val="0"/>
                <w:lang w:val="es-ES_tradnl" w:eastAsia="es-CR"/>
                <w14:ligatures w14:val="none"/>
              </w:rPr>
            </w:pPr>
          </w:p>
        </w:tc>
        <w:tc>
          <w:tcPr>
            <w:tcW w:w="2977" w:type="dxa"/>
          </w:tcPr>
          <w:p w14:paraId="1D2805BE" w14:textId="77777777" w:rsidR="00501810" w:rsidRPr="00501810" w:rsidRDefault="00501810" w:rsidP="00501810">
            <w:pPr>
              <w:widowControl w:val="0"/>
              <w:overflowPunct w:val="0"/>
              <w:autoSpaceDE w:val="0"/>
              <w:autoSpaceDN w:val="0"/>
              <w:adjustRightInd w:val="0"/>
              <w:spacing w:after="0" w:line="240" w:lineRule="auto"/>
              <w:ind w:left="33"/>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70C0"/>
                <w:kern w:val="0"/>
                <w:lang w:eastAsia="es-CR"/>
                <w14:ligatures w14:val="none"/>
              </w:rPr>
              <w:lastRenderedPageBreak/>
              <w:t>Ruta de aprendizaje</w:t>
            </w:r>
          </w:p>
          <w:p w14:paraId="237103A5" w14:textId="77777777" w:rsidR="00501810" w:rsidRPr="00501810" w:rsidRDefault="00501810" w:rsidP="00501810">
            <w:pPr>
              <w:widowControl w:val="0"/>
              <w:overflowPunct w:val="0"/>
              <w:autoSpaceDE w:val="0"/>
              <w:autoSpaceDN w:val="0"/>
              <w:adjustRightInd w:val="0"/>
              <w:spacing w:after="0" w:line="240" w:lineRule="auto"/>
              <w:ind w:left="33"/>
              <w:rPr>
                <w:rFonts w:ascii="Calibri" w:eastAsia="Times New Roman" w:hAnsi="Calibri" w:cs="Calibri"/>
                <w:noProof/>
                <w:color w:val="000000"/>
                <w:kern w:val="0"/>
                <w:lang w:val="es-ES_tradnl" w:eastAsia="es-CR"/>
                <w14:ligatures w14:val="none"/>
              </w:rPr>
            </w:pPr>
          </w:p>
          <w:p w14:paraId="41A59E91" w14:textId="77777777" w:rsidR="00501810" w:rsidRPr="00501810" w:rsidRDefault="00501810" w:rsidP="00501810">
            <w:pPr>
              <w:widowControl w:val="0"/>
              <w:overflowPunct w:val="0"/>
              <w:autoSpaceDE w:val="0"/>
              <w:autoSpaceDN w:val="0"/>
              <w:adjustRightInd w:val="0"/>
              <w:spacing w:after="0" w:line="240" w:lineRule="auto"/>
              <w:ind w:left="33"/>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García Linera, Álvaro. “El futuro de la izquierda y la dignidad humana”. En </w:t>
            </w:r>
            <w:r w:rsidRPr="00501810">
              <w:rPr>
                <w:rFonts w:ascii="Calibri" w:eastAsia="Times New Roman" w:hAnsi="Calibri" w:cs="Calibri"/>
                <w:i/>
                <w:noProof/>
                <w:color w:val="000000"/>
                <w:kern w:val="0"/>
                <w:lang w:val="es-ES_tradnl" w:eastAsia="es-CR"/>
                <w14:ligatures w14:val="none"/>
              </w:rPr>
              <w:t>Las sendas abiertas en América Latina: aprendizajes y desafíos para una nueva senda de transformaciones</w:t>
            </w:r>
            <w:r w:rsidRPr="00501810">
              <w:rPr>
                <w:rFonts w:ascii="Calibri" w:eastAsia="Times New Roman" w:hAnsi="Calibri" w:cs="Calibri"/>
                <w:noProof/>
                <w:color w:val="000000"/>
                <w:kern w:val="0"/>
                <w:lang w:val="es-ES_tradnl" w:eastAsia="es-CR"/>
                <w14:ligatures w14:val="none"/>
              </w:rPr>
              <w:t xml:space="preserve">, compilado </w:t>
            </w:r>
            <w:r w:rsidRPr="00501810">
              <w:rPr>
                <w:rFonts w:ascii="Calibri" w:eastAsia="Times New Roman" w:hAnsi="Calibri" w:cs="Calibri"/>
                <w:noProof/>
                <w:color w:val="000000"/>
                <w:kern w:val="0"/>
                <w:lang w:val="es-ES_tradnl" w:eastAsia="es-CR"/>
                <w14:ligatures w14:val="none"/>
              </w:rPr>
              <w:lastRenderedPageBreak/>
              <w:t xml:space="preserve">por Daniel Filmus y Lucila Rosso, 197-203. Buenos Aires: CLACSO, 2019. </w:t>
            </w:r>
          </w:p>
          <w:p w14:paraId="09C10169" w14:textId="77777777" w:rsidR="00501810" w:rsidRPr="00501810" w:rsidRDefault="00501810" w:rsidP="00501810">
            <w:pPr>
              <w:widowControl w:val="0"/>
              <w:overflowPunct w:val="0"/>
              <w:autoSpaceDE w:val="0"/>
              <w:autoSpaceDN w:val="0"/>
              <w:adjustRightInd w:val="0"/>
              <w:spacing w:after="0" w:line="240" w:lineRule="auto"/>
              <w:ind w:left="33"/>
              <w:rPr>
                <w:rFonts w:ascii="Calibri" w:eastAsia="Times New Roman" w:hAnsi="Calibri" w:cs="Calibri"/>
                <w:noProof/>
                <w:color w:val="000000"/>
                <w:kern w:val="0"/>
                <w:lang w:val="es-ES_tradnl" w:eastAsia="es-CR"/>
                <w14:ligatures w14:val="none"/>
              </w:rPr>
            </w:pPr>
          </w:p>
          <w:p w14:paraId="4C5FDFBA" w14:textId="77777777" w:rsidR="00501810" w:rsidRPr="00501810" w:rsidRDefault="00501810" w:rsidP="00501810">
            <w:pPr>
              <w:widowControl w:val="0"/>
              <w:overflowPunct w:val="0"/>
              <w:autoSpaceDE w:val="0"/>
              <w:autoSpaceDN w:val="0"/>
              <w:adjustRightInd w:val="0"/>
              <w:spacing w:after="0" w:line="240" w:lineRule="auto"/>
              <w:ind w:left="33"/>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Llorenti, Sacha. “Bolivia en el sistema multilateral de gobernanza: Amenazas y desafíos de la agenda global”. En </w:t>
            </w:r>
            <w:r w:rsidRPr="00501810">
              <w:rPr>
                <w:rFonts w:ascii="Calibri" w:eastAsia="Times New Roman" w:hAnsi="Calibri" w:cs="Calibri"/>
                <w:i/>
                <w:noProof/>
                <w:color w:val="000000"/>
                <w:kern w:val="0"/>
                <w:lang w:val="es-ES_tradnl" w:eastAsia="es-CR"/>
                <w14:ligatures w14:val="none"/>
              </w:rPr>
              <w:t>Las sendas abiertas en América Latina: aprendizajes y desafíos para una nueva senda de transformaciones</w:t>
            </w:r>
            <w:r w:rsidRPr="00501810">
              <w:rPr>
                <w:rFonts w:ascii="Calibri" w:eastAsia="Times New Roman" w:hAnsi="Calibri" w:cs="Calibri"/>
                <w:noProof/>
                <w:color w:val="000000"/>
                <w:kern w:val="0"/>
                <w:lang w:val="es-ES_tradnl" w:eastAsia="es-CR"/>
                <w14:ligatures w14:val="none"/>
              </w:rPr>
              <w:t>, compilado por Daniel Filmus y Lucila Rosso, 207-219. Buenos Aires: CLACSO, 2019.</w:t>
            </w:r>
          </w:p>
          <w:p w14:paraId="1516C075"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kern w:val="0"/>
                <w:szCs w:val="18"/>
                <w:lang w:val="es-ES_tradnl" w:eastAsia="es-CR"/>
                <w14:ligatures w14:val="none"/>
              </w:rPr>
            </w:pPr>
            <w:r w:rsidRPr="00501810">
              <w:rPr>
                <w:rFonts w:ascii="Calibri" w:eastAsia="Times New Roman" w:hAnsi="Calibri" w:cs="Calibri"/>
                <w:b/>
                <w:bCs/>
                <w:kern w:val="0"/>
                <w:szCs w:val="18"/>
                <w:lang w:val="es-ES_tradnl" w:eastAsia="es-CR"/>
                <w14:ligatures w14:val="none"/>
              </w:rPr>
              <w:t>Material complementario</w:t>
            </w:r>
          </w:p>
          <w:p w14:paraId="24E212D6"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Cs/>
                <w:noProof/>
                <w:kern w:val="0"/>
                <w:szCs w:val="20"/>
                <w:lang w:val="es-ES_tradnl" w:eastAsia="es-CR"/>
                <w14:ligatures w14:val="none"/>
              </w:rPr>
            </w:pPr>
            <w:r w:rsidRPr="00501810">
              <w:rPr>
                <w:rFonts w:ascii="Calibri" w:eastAsia="Times New Roman" w:hAnsi="Calibri" w:cs="Calibri"/>
                <w:bCs/>
                <w:noProof/>
                <w:kern w:val="0"/>
                <w:szCs w:val="20"/>
                <w:lang w:val="es-ES_tradnl" w:eastAsia="es-CR"/>
                <w14:ligatures w14:val="none"/>
              </w:rPr>
              <w:t xml:space="preserve">Ugarteche, Oscar. “La crisis general: elementos teóricos”. En </w:t>
            </w:r>
            <w:r w:rsidRPr="00501810">
              <w:rPr>
                <w:rFonts w:ascii="Calibri" w:eastAsia="Times New Roman" w:hAnsi="Calibri" w:cs="Calibri"/>
                <w:bCs/>
                <w:i/>
                <w:noProof/>
                <w:kern w:val="0"/>
                <w:szCs w:val="20"/>
                <w:lang w:val="es-ES_tradnl" w:eastAsia="es-CR"/>
                <w14:ligatures w14:val="none"/>
              </w:rPr>
              <w:t>La crisis global y la regionalización: una visión desde América Latina</w:t>
            </w:r>
            <w:r w:rsidRPr="00501810">
              <w:rPr>
                <w:rFonts w:ascii="Calibri" w:eastAsia="Times New Roman" w:hAnsi="Calibri" w:cs="Calibri"/>
                <w:bCs/>
                <w:noProof/>
                <w:kern w:val="0"/>
                <w:szCs w:val="20"/>
                <w:lang w:val="es-ES_tradnl" w:eastAsia="es-CR"/>
                <w14:ligatures w14:val="none"/>
              </w:rPr>
              <w:t xml:space="preserve">, 11-14. Lima: LATINDADD, 2009. </w:t>
            </w:r>
            <w:r w:rsidRPr="00501810">
              <w:rPr>
                <w:rFonts w:ascii="Calibri" w:eastAsia="Times New Roman" w:hAnsi="Calibri" w:cs="Calibri"/>
                <w:noProof/>
                <w:color w:val="0070C0"/>
                <w:kern w:val="0"/>
                <w:lang w:eastAsia="es-CR"/>
                <w14:ligatures w14:val="none"/>
              </w:rPr>
              <w:t>(clásico, última edición)</w:t>
            </w:r>
          </w:p>
          <w:p w14:paraId="0FF9566A"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Cs/>
                <w:noProof/>
                <w:color w:val="0070C0"/>
                <w:kern w:val="0"/>
                <w:szCs w:val="20"/>
                <w:lang w:val="es-ES_tradnl" w:eastAsia="es-CR"/>
                <w14:ligatures w14:val="none"/>
              </w:rPr>
            </w:pPr>
            <w:r w:rsidRPr="00501810">
              <w:rPr>
                <w:rFonts w:ascii="Calibri" w:eastAsia="Times New Roman" w:hAnsi="Calibri" w:cs="Calibri"/>
                <w:bCs/>
                <w:noProof/>
                <w:color w:val="0070C0"/>
                <w:kern w:val="0"/>
                <w:szCs w:val="20"/>
                <w:lang w:val="es-ES_tradnl" w:eastAsia="es-CR"/>
                <w14:ligatures w14:val="none"/>
              </w:rPr>
              <w:t>Guía para la participación en un glosario en la plataforma Moodle</w:t>
            </w:r>
          </w:p>
          <w:p w14:paraId="6B74DC99"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Cs/>
                <w:noProof/>
                <w:color w:val="0070C0"/>
                <w:kern w:val="0"/>
                <w:szCs w:val="20"/>
                <w:lang w:val="es-ES_tradnl" w:eastAsia="es-CR"/>
                <w14:ligatures w14:val="none"/>
              </w:rPr>
            </w:pPr>
            <w:r w:rsidRPr="00501810">
              <w:rPr>
                <w:rFonts w:ascii="Calibri" w:eastAsia="Times New Roman" w:hAnsi="Calibri" w:cs="Calibri"/>
                <w:bCs/>
                <w:noProof/>
                <w:color w:val="0070C0"/>
                <w:kern w:val="0"/>
                <w:szCs w:val="20"/>
                <w:lang w:val="es-ES_tradnl" w:eastAsia="es-CR"/>
                <w14:ligatures w14:val="none"/>
              </w:rPr>
              <w:t>Guía para la participación mediante la herramienta Big Blue Button en la plataforma Moodle</w:t>
            </w:r>
          </w:p>
          <w:p w14:paraId="7D3FCD58"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color w:val="0070C0"/>
                <w:kern w:val="0"/>
                <w:sz w:val="24"/>
                <w:szCs w:val="20"/>
                <w:lang w:val="es-ES_tradnl" w:eastAsia="es-CR"/>
                <w14:ligatures w14:val="none"/>
              </w:rPr>
            </w:pPr>
          </w:p>
        </w:tc>
        <w:tc>
          <w:tcPr>
            <w:tcW w:w="3118" w:type="dxa"/>
          </w:tcPr>
          <w:p w14:paraId="13B59B3D"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lastRenderedPageBreak/>
              <w:t xml:space="preserve">Participación en la elaboración de un glosario sobre el subdesarrollo en América Latina. </w:t>
            </w:r>
          </w:p>
          <w:p w14:paraId="391126C9" w14:textId="77777777" w:rsidR="00501810" w:rsidRPr="00501810" w:rsidRDefault="00501810" w:rsidP="00501810">
            <w:pPr>
              <w:widowControl w:val="0"/>
              <w:numPr>
                <w:ilvl w:val="0"/>
                <w:numId w:val="105"/>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en un encuentro sincrónico virtual (formativo).</w:t>
            </w:r>
          </w:p>
        </w:tc>
      </w:tr>
      <w:tr w:rsidR="00501810" w:rsidRPr="00501810" w14:paraId="388A79CF" w14:textId="77777777" w:rsidTr="4C9C2619">
        <w:trPr>
          <w:trHeight w:val="1700"/>
          <w:jc w:val="center"/>
        </w:trPr>
        <w:tc>
          <w:tcPr>
            <w:tcW w:w="1271" w:type="dxa"/>
          </w:tcPr>
          <w:p w14:paraId="2CFC0DA3"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sz w:val="10"/>
                <w:szCs w:val="10"/>
                <w:lang w:val="es-ES_tradnl" w:eastAsia="es-CR"/>
                <w14:ligatures w14:val="none"/>
              </w:rPr>
            </w:pPr>
          </w:p>
          <w:p w14:paraId="5CA3F530"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6</w:t>
            </w:r>
          </w:p>
          <w:p w14:paraId="19021D83" w14:textId="77777777" w:rsidR="00501810" w:rsidRPr="00501810" w:rsidRDefault="00501810" w:rsidP="00501810">
            <w:pPr>
              <w:widowControl w:val="0"/>
              <w:overflowPunct w:val="0"/>
              <w:autoSpaceDE w:val="0"/>
              <w:autoSpaceDN w:val="0"/>
              <w:adjustRightInd w:val="0"/>
              <w:spacing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0132F3B9"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1ABCBE7A"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
                <w:szCs w:val="2"/>
                <w:lang w:val="es-ES_tradnl" w:eastAsia="es-CR"/>
                <w14:ligatures w14:val="none"/>
              </w:rPr>
            </w:pPr>
          </w:p>
          <w:p w14:paraId="55E3FFA0"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color w:val="FF0000"/>
                <w:kern w:val="0"/>
                <w:sz w:val="24"/>
                <w:szCs w:val="20"/>
                <w:lang w:val="es-ES_tradnl" w:eastAsia="es-CR"/>
                <w14:ligatures w14:val="none"/>
              </w:rPr>
            </w:pPr>
            <w:r w:rsidRPr="00501810">
              <w:rPr>
                <w:rFonts w:ascii="Calibri" w:eastAsia="Times New Roman" w:hAnsi="Calibri" w:cs="Calibri"/>
                <w:kern w:val="0"/>
                <w:szCs w:val="18"/>
                <w:lang w:val="es-ES_tradnl" w:eastAsia="es-CR"/>
                <w14:ligatures w14:val="none"/>
              </w:rPr>
              <w:t>3.1 Desarrollo y medio ambiente</w:t>
            </w:r>
          </w:p>
        </w:tc>
        <w:tc>
          <w:tcPr>
            <w:tcW w:w="2977" w:type="dxa"/>
          </w:tcPr>
          <w:p w14:paraId="26D2700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7220CF6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p>
          <w:p w14:paraId="6FC17CD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roofErr w:type="spellStart"/>
            <w:r w:rsidRPr="00501810">
              <w:rPr>
                <w:rFonts w:ascii="Calibri" w:eastAsia="Times New Roman" w:hAnsi="Calibri" w:cs="Calibri"/>
                <w:kern w:val="0"/>
                <w:szCs w:val="20"/>
                <w:lang w:val="es-ES_tradnl" w:eastAsia="es-CR"/>
                <w14:ligatures w14:val="none"/>
              </w:rPr>
              <w:t>Bookchin</w:t>
            </w:r>
            <w:proofErr w:type="spellEnd"/>
            <w:r w:rsidRPr="00501810">
              <w:rPr>
                <w:rFonts w:ascii="Calibri" w:eastAsia="Times New Roman" w:hAnsi="Calibri" w:cs="Calibri"/>
                <w:kern w:val="0"/>
                <w:szCs w:val="20"/>
                <w:lang w:val="es-ES_tradnl" w:eastAsia="es-CR"/>
                <w14:ligatures w14:val="none"/>
              </w:rPr>
              <w:t xml:space="preserve">, Murray. “Sociedad y ecología”, “Jerarquías, clases y estados”. En </w:t>
            </w:r>
            <w:r w:rsidRPr="00501810">
              <w:rPr>
                <w:rFonts w:ascii="Calibri" w:eastAsia="Times New Roman" w:hAnsi="Calibri" w:cs="Calibri"/>
                <w:i/>
                <w:noProof/>
                <w:kern w:val="0"/>
                <w:lang w:val="es-ES_tradnl" w:eastAsia="es-CR"/>
                <w14:ligatures w14:val="none"/>
              </w:rPr>
              <w:t>Rehacer la sociedad: Sende…ros hacia un futuro verde</w:t>
            </w:r>
            <w:r w:rsidRPr="00501810">
              <w:rPr>
                <w:rFonts w:ascii="Calibri" w:eastAsia="Times New Roman" w:hAnsi="Calibri" w:cs="Calibri"/>
                <w:noProof/>
                <w:kern w:val="0"/>
                <w:lang w:val="es-ES_tradnl" w:eastAsia="es-CR"/>
                <w14:ligatures w14:val="none"/>
              </w:rPr>
              <w:t xml:space="preserve">, 29-80. Santiago: LOM Ediciones, 2012.  </w:t>
            </w:r>
            <w:r w:rsidRPr="00501810">
              <w:rPr>
                <w:rFonts w:ascii="Calibri" w:eastAsia="Times New Roman" w:hAnsi="Calibri" w:cs="Calibri"/>
                <w:noProof/>
                <w:color w:val="0070C0"/>
                <w:kern w:val="0"/>
                <w:lang w:eastAsia="es-CR"/>
                <w14:ligatures w14:val="none"/>
              </w:rPr>
              <w:t>(clásico, última edición)</w:t>
            </w:r>
          </w:p>
          <w:p w14:paraId="6CDFC0B0"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5EF005C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kern w:val="0"/>
                <w:lang w:val="es-ES_tradnl" w:eastAsia="es-CR"/>
                <w14:ligatures w14:val="none"/>
              </w:rPr>
            </w:pPr>
            <w:r w:rsidRPr="00501810">
              <w:rPr>
                <w:rFonts w:ascii="Calibri" w:eastAsia="Times New Roman" w:hAnsi="Calibri" w:cs="Calibri"/>
                <w:b/>
                <w:bCs/>
                <w:noProof/>
                <w:kern w:val="0"/>
                <w:lang w:val="es-ES_tradnl" w:eastAsia="es-CR"/>
                <w14:ligatures w14:val="none"/>
              </w:rPr>
              <w:t>Material complementario</w:t>
            </w:r>
          </w:p>
          <w:p w14:paraId="391A045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Cs/>
                <w:noProof/>
                <w:kern w:val="0"/>
                <w:szCs w:val="20"/>
                <w:lang w:val="es-ES_tradnl" w:eastAsia="es-CR"/>
                <w14:ligatures w14:val="none"/>
              </w:rPr>
            </w:pPr>
          </w:p>
          <w:p w14:paraId="3625A37F"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Cs/>
                <w:noProof/>
                <w:color w:val="0000FF"/>
                <w:kern w:val="0"/>
                <w:szCs w:val="20"/>
                <w:u w:val="single"/>
                <w:lang w:eastAsia="es-CR"/>
                <w14:ligatures w14:val="none"/>
              </w:rPr>
            </w:pPr>
            <w:r w:rsidRPr="00501810">
              <w:rPr>
                <w:rFonts w:ascii="Calibri" w:eastAsia="Times New Roman" w:hAnsi="Calibri" w:cs="Calibri"/>
                <w:bCs/>
                <w:noProof/>
                <w:kern w:val="0"/>
                <w:szCs w:val="20"/>
                <w:lang w:val="es-ES_tradnl" w:eastAsia="es-CR"/>
                <w14:ligatures w14:val="none"/>
              </w:rPr>
              <w:t xml:space="preserve">Puyana Mutis, Alicia. “El retorno al extractivismo en América Latina: ¿Ruptura o </w:t>
            </w:r>
            <w:r w:rsidRPr="00501810">
              <w:rPr>
                <w:rFonts w:ascii="Calibri" w:eastAsia="Times New Roman" w:hAnsi="Calibri" w:cs="Calibri"/>
                <w:bCs/>
                <w:noProof/>
                <w:kern w:val="0"/>
                <w:szCs w:val="20"/>
                <w:lang w:val="es-ES_tradnl" w:eastAsia="es-CR"/>
                <w14:ligatures w14:val="none"/>
              </w:rPr>
              <w:lastRenderedPageBreak/>
              <w:t xml:space="preserve">profundización del modelo de economía liberal y por qué ahora?” </w:t>
            </w:r>
            <w:r w:rsidRPr="00501810">
              <w:rPr>
                <w:rFonts w:ascii="Calibri" w:eastAsia="Times New Roman" w:hAnsi="Calibri" w:cs="Calibri"/>
                <w:bCs/>
                <w:i/>
                <w:iCs/>
                <w:noProof/>
                <w:kern w:val="0"/>
                <w:szCs w:val="20"/>
                <w:lang w:val="es-ES_tradnl" w:eastAsia="es-CR"/>
                <w14:ligatures w14:val="none"/>
              </w:rPr>
              <w:t>Espiral: Estudios sobre Estado y Sociedad</w:t>
            </w:r>
            <w:r w:rsidRPr="00501810">
              <w:rPr>
                <w:rFonts w:ascii="Calibri" w:eastAsia="Times New Roman" w:hAnsi="Calibri" w:cs="Calibri"/>
                <w:bCs/>
                <w:noProof/>
                <w:kern w:val="0"/>
                <w:szCs w:val="20"/>
                <w:lang w:val="es-ES_tradnl" w:eastAsia="es-CR"/>
                <w14:ligatures w14:val="none"/>
              </w:rPr>
              <w:t xml:space="preserve"> 24, n. 69 (2017): 73-113. Acceso el 18 de diciembre de 2020. </w:t>
            </w:r>
            <w:hyperlink r:id="rId210" w:history="1">
              <w:r w:rsidRPr="00501810">
                <w:rPr>
                  <w:rFonts w:ascii="Calibri" w:eastAsia="Times New Roman" w:hAnsi="Calibri" w:cs="Calibri"/>
                  <w:bCs/>
                  <w:noProof/>
                  <w:color w:val="0000FF"/>
                  <w:kern w:val="0"/>
                  <w:szCs w:val="20"/>
                  <w:u w:val="single"/>
                  <w:lang w:eastAsia="es-CR"/>
                  <w14:ligatures w14:val="none"/>
                </w:rPr>
                <w:t>http://www.scielo.org.mx/pdf/espiral/v24n69/1665-0565-espiral-24-69-00073.pdf</w:t>
              </w:r>
            </w:hyperlink>
          </w:p>
          <w:p w14:paraId="5CFE1ED2"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color w:val="000000"/>
                <w:kern w:val="0"/>
                <w:lang w:val="es-ES_tradnl" w:eastAsia="es-CR"/>
                <w14:ligatures w14:val="none"/>
              </w:rPr>
            </w:pPr>
          </w:p>
          <w:p w14:paraId="1BF1366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 ensayo</w:t>
            </w:r>
          </w:p>
          <w:p w14:paraId="0FC0FEA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79F5784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foro en la plataforma Moodle</w:t>
            </w:r>
          </w:p>
          <w:p w14:paraId="5914E79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tc>
        <w:tc>
          <w:tcPr>
            <w:tcW w:w="3118" w:type="dxa"/>
          </w:tcPr>
          <w:p w14:paraId="12050F3B" w14:textId="77777777" w:rsidR="00501810" w:rsidRPr="00501810" w:rsidRDefault="00501810" w:rsidP="00501810">
            <w:pPr>
              <w:widowControl w:val="0"/>
              <w:numPr>
                <w:ilvl w:val="0"/>
                <w:numId w:val="106"/>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lastRenderedPageBreak/>
              <w:t xml:space="preserve">Elaboración de un ensayo sobre la relación entre sociedad y ecología. </w:t>
            </w:r>
          </w:p>
          <w:p w14:paraId="67260493" w14:textId="77777777" w:rsidR="00501810" w:rsidRPr="00501810" w:rsidRDefault="00501810" w:rsidP="00501810">
            <w:pPr>
              <w:widowControl w:val="0"/>
              <w:numPr>
                <w:ilvl w:val="0"/>
                <w:numId w:val="106"/>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el foro de discusión del grupo al cual ha sido asignado/a para iniciar la elaboración del trabajo grupal sobre conflictos medioambientales.</w:t>
            </w:r>
          </w:p>
        </w:tc>
      </w:tr>
      <w:tr w:rsidR="00501810" w:rsidRPr="00501810" w14:paraId="0FD65A8C" w14:textId="77777777" w:rsidTr="4C9C2619">
        <w:trPr>
          <w:trHeight w:val="708"/>
          <w:jc w:val="center"/>
        </w:trPr>
        <w:tc>
          <w:tcPr>
            <w:tcW w:w="1271" w:type="dxa"/>
          </w:tcPr>
          <w:p w14:paraId="336FBE16"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7</w:t>
            </w:r>
          </w:p>
          <w:p w14:paraId="60DC1B32"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FF0000"/>
                <w:kern w:val="0"/>
                <w:lang w:val="es-ES_tradnl" w:eastAsia="es-CR"/>
                <w14:ligatures w14:val="none"/>
              </w:rPr>
            </w:pPr>
          </w:p>
        </w:tc>
        <w:tc>
          <w:tcPr>
            <w:tcW w:w="2410" w:type="dxa"/>
          </w:tcPr>
          <w:p w14:paraId="770C38C2"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2AEA6463"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
                <w:szCs w:val="2"/>
                <w:lang w:val="es-ES_tradnl" w:eastAsia="es-CR"/>
                <w14:ligatures w14:val="none"/>
              </w:rPr>
            </w:pPr>
          </w:p>
          <w:p w14:paraId="7D19F1D1"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kern w:val="0"/>
                <w:szCs w:val="18"/>
                <w:lang w:val="es-ES_tradnl" w:eastAsia="es-CR"/>
                <w14:ligatures w14:val="none"/>
              </w:rPr>
            </w:pPr>
            <w:r w:rsidRPr="00501810">
              <w:rPr>
                <w:rFonts w:ascii="Calibri" w:eastAsia="Times New Roman" w:hAnsi="Calibri" w:cs="Calibri"/>
                <w:kern w:val="0"/>
                <w:szCs w:val="18"/>
                <w:lang w:val="es-ES_tradnl" w:eastAsia="es-CR"/>
                <w14:ligatures w14:val="none"/>
              </w:rPr>
              <w:t>3.2 Cambio social</w:t>
            </w:r>
          </w:p>
          <w:p w14:paraId="675EE68B"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2977" w:type="dxa"/>
          </w:tcPr>
          <w:p w14:paraId="3EBF5A02"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4DECCDB3"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p>
          <w:p w14:paraId="109C371A"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Quiroga, Hugo. “El asiento del poder. El pueblo y el enigma de la representación”. En </w:t>
            </w:r>
            <w:r w:rsidRPr="00501810">
              <w:rPr>
                <w:rFonts w:ascii="Calibri" w:eastAsia="Times New Roman" w:hAnsi="Calibri" w:cs="Calibri"/>
                <w:i/>
                <w:noProof/>
                <w:color w:val="000000"/>
                <w:kern w:val="0"/>
                <w:lang w:val="es-ES_tradnl" w:eastAsia="es-CR"/>
                <w14:ligatures w14:val="none"/>
              </w:rPr>
              <w:t>Giros políticos y desafíos democráticos en América Latina</w:t>
            </w:r>
            <w:r w:rsidRPr="00501810">
              <w:rPr>
                <w:rFonts w:ascii="Calibri" w:eastAsia="Times New Roman" w:hAnsi="Calibri" w:cs="Calibri"/>
                <w:noProof/>
                <w:color w:val="000000"/>
                <w:kern w:val="0"/>
                <w:lang w:val="es-ES_tradnl" w:eastAsia="es-CR"/>
                <w14:ligatures w14:val="none"/>
              </w:rPr>
              <w:t>, coordinado por Gerardo Caetano y Fernando Mayorga, 221-239. Buenos Aires: CLACSO, 2020.</w:t>
            </w:r>
          </w:p>
          <w:p w14:paraId="53FAA993"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52485108"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foro en la plataforma Moodle</w:t>
            </w:r>
          </w:p>
          <w:p w14:paraId="3B597793"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724D09CE" w14:textId="77777777" w:rsidR="00501810" w:rsidRPr="00501810" w:rsidRDefault="00501810" w:rsidP="00501810">
            <w:pPr>
              <w:spacing w:after="0" w:line="240" w:lineRule="auto"/>
              <w:rPr>
                <w:rFonts w:ascii="Times New Roman" w:eastAsia="Times New Roman" w:hAnsi="Times New Roman" w:cs="Times New Roman"/>
                <w:kern w:val="0"/>
                <w:sz w:val="24"/>
                <w:szCs w:val="20"/>
                <w:lang w:val="es-ES_tradnl" w:eastAsia="es-CR"/>
                <w14:ligatures w14:val="none"/>
              </w:rPr>
            </w:pPr>
          </w:p>
        </w:tc>
        <w:tc>
          <w:tcPr>
            <w:tcW w:w="3118" w:type="dxa"/>
          </w:tcPr>
          <w:p w14:paraId="107E2803" w14:textId="77777777" w:rsidR="00501810" w:rsidRPr="00501810" w:rsidRDefault="00501810" w:rsidP="00501810">
            <w:pPr>
              <w:widowControl w:val="0"/>
              <w:numPr>
                <w:ilvl w:val="0"/>
                <w:numId w:val="107"/>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el foro temático: Pueblo y gobierno. </w:t>
            </w:r>
          </w:p>
          <w:p w14:paraId="52D1BE73" w14:textId="77777777" w:rsidR="00501810" w:rsidRPr="00501810" w:rsidRDefault="00501810" w:rsidP="00501810">
            <w:pPr>
              <w:widowControl w:val="0"/>
              <w:numPr>
                <w:ilvl w:val="0"/>
                <w:numId w:val="107"/>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en un encuentro sincrónico virtual (formativo).</w:t>
            </w:r>
          </w:p>
          <w:p w14:paraId="538426EE" w14:textId="77777777" w:rsidR="00501810" w:rsidRPr="00501810" w:rsidRDefault="00501810" w:rsidP="00501810">
            <w:pPr>
              <w:widowControl w:val="0"/>
              <w:numPr>
                <w:ilvl w:val="0"/>
                <w:numId w:val="107"/>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el foro de discusión del grupo al cual ha sido asignado/a para iniciar la elaboración del trabajo grupal sobre conflictos medioambientales.</w:t>
            </w:r>
          </w:p>
        </w:tc>
      </w:tr>
      <w:tr w:rsidR="00501810" w:rsidRPr="00501810" w14:paraId="12452F03" w14:textId="77777777" w:rsidTr="4C9C2619">
        <w:trPr>
          <w:trHeight w:val="708"/>
          <w:jc w:val="center"/>
        </w:trPr>
        <w:tc>
          <w:tcPr>
            <w:tcW w:w="1271" w:type="dxa"/>
          </w:tcPr>
          <w:p w14:paraId="2D5C576C"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8</w:t>
            </w:r>
          </w:p>
          <w:p w14:paraId="4A92844E"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71EA7568"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4AA70526"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p>
          <w:p w14:paraId="047D7214"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color w:val="FF0000"/>
                <w:kern w:val="0"/>
                <w:lang w:val="es-ES_tradnl" w:eastAsia="es-CR"/>
                <w14:ligatures w14:val="none"/>
              </w:rPr>
            </w:pPr>
            <w:r w:rsidRPr="00501810">
              <w:rPr>
                <w:rFonts w:ascii="Calibri" w:eastAsia="Times New Roman" w:hAnsi="Calibri" w:cs="Calibri"/>
                <w:kern w:val="0"/>
                <w:lang w:val="es-ES_tradnl" w:eastAsia="es-CR"/>
                <w14:ligatures w14:val="none"/>
              </w:rPr>
              <w:t>3.2 Cambio social</w:t>
            </w:r>
          </w:p>
        </w:tc>
        <w:tc>
          <w:tcPr>
            <w:tcW w:w="2977" w:type="dxa"/>
          </w:tcPr>
          <w:p w14:paraId="5B8E12A0"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746D682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24418CD1"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Iazzetta, Osvaldo. “Liderazgos y estabilidad presidencial: las democracias sudamericanas y sus vaivenes”. En </w:t>
            </w:r>
            <w:r w:rsidRPr="00501810">
              <w:rPr>
                <w:rFonts w:ascii="Calibri" w:eastAsia="Times New Roman" w:hAnsi="Calibri" w:cs="Calibri"/>
                <w:i/>
                <w:noProof/>
                <w:kern w:val="0"/>
                <w:lang w:val="es-ES_tradnl" w:eastAsia="es-CR"/>
                <w14:ligatures w14:val="none"/>
              </w:rPr>
              <w:t>Giros políticos y desafíos democráticos en América Latina</w:t>
            </w:r>
            <w:r w:rsidRPr="00501810">
              <w:rPr>
                <w:rFonts w:ascii="Calibri" w:eastAsia="Times New Roman" w:hAnsi="Calibri" w:cs="Calibri"/>
                <w:noProof/>
                <w:kern w:val="0"/>
                <w:lang w:val="es-ES_tradnl" w:eastAsia="es-CR"/>
                <w14:ligatures w14:val="none"/>
              </w:rPr>
              <w:t xml:space="preserve">, coordinado por </w:t>
            </w:r>
            <w:r w:rsidRPr="00501810">
              <w:rPr>
                <w:rFonts w:ascii="Calibri" w:eastAsia="Times New Roman" w:hAnsi="Calibri" w:cs="Calibri"/>
                <w:noProof/>
                <w:kern w:val="0"/>
                <w:lang w:val="es-ES_tradnl" w:eastAsia="es-CR"/>
                <w14:ligatures w14:val="none"/>
              </w:rPr>
              <w:lastRenderedPageBreak/>
              <w:t>Gerardo Caetano y Fernando Mayorga, 199-220. Buenos Aires: CLACSO, 2020.</w:t>
            </w:r>
          </w:p>
          <w:p w14:paraId="01C3F01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54DE64BE"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72CBA451"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096B995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 mapa conceptual</w:t>
            </w:r>
          </w:p>
          <w:p w14:paraId="7FE7217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tc>
        <w:tc>
          <w:tcPr>
            <w:tcW w:w="3118" w:type="dxa"/>
          </w:tcPr>
          <w:p w14:paraId="60FC5B53" w14:textId="77777777" w:rsidR="00501810" w:rsidRPr="00501810" w:rsidRDefault="00501810" w:rsidP="00501810">
            <w:pPr>
              <w:widowControl w:val="0"/>
              <w:numPr>
                <w:ilvl w:val="0"/>
                <w:numId w:val="108"/>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lastRenderedPageBreak/>
              <w:t xml:space="preserve">Elaboración de un mapa conceptual sobre el cambio social. </w:t>
            </w:r>
          </w:p>
          <w:p w14:paraId="4C4871DE" w14:textId="77777777" w:rsidR="00501810" w:rsidRPr="00501810" w:rsidRDefault="00501810" w:rsidP="00501810">
            <w:pPr>
              <w:widowControl w:val="0"/>
              <w:numPr>
                <w:ilvl w:val="0"/>
                <w:numId w:val="108"/>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Continuar con la elaboración del trabajo grupal sobre conflictos medioambientales.</w:t>
            </w:r>
          </w:p>
        </w:tc>
      </w:tr>
      <w:tr w:rsidR="00501810" w:rsidRPr="00501810" w14:paraId="03DD1FFA" w14:textId="77777777" w:rsidTr="4C9C2619">
        <w:trPr>
          <w:trHeight w:val="708"/>
          <w:jc w:val="center"/>
        </w:trPr>
        <w:tc>
          <w:tcPr>
            <w:tcW w:w="1271" w:type="dxa"/>
          </w:tcPr>
          <w:p w14:paraId="03294602"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9</w:t>
            </w:r>
          </w:p>
          <w:p w14:paraId="616F6BE1"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0A8A7694"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7CF3BC17"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p>
          <w:p w14:paraId="2D83C4A1"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3.2 Cambio social</w:t>
            </w:r>
          </w:p>
        </w:tc>
        <w:tc>
          <w:tcPr>
            <w:tcW w:w="2977" w:type="dxa"/>
          </w:tcPr>
          <w:p w14:paraId="331B1B2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01810">
              <w:rPr>
                <w:rFonts w:ascii="Calibri" w:eastAsia="Times New Roman" w:hAnsi="Calibri" w:cs="Calibri"/>
                <w:noProof/>
                <w:color w:val="0070C0"/>
                <w:kern w:val="0"/>
                <w:lang w:eastAsia="es-CR"/>
                <w14:ligatures w14:val="none"/>
              </w:rPr>
              <w:t>Ruta de aprendizaje</w:t>
            </w:r>
          </w:p>
          <w:p w14:paraId="31ED3F4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75A20CD0"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roofErr w:type="spellStart"/>
            <w:r w:rsidRPr="00501810">
              <w:rPr>
                <w:rFonts w:ascii="Calibri" w:eastAsia="Times New Roman" w:hAnsi="Calibri" w:cs="Calibri"/>
                <w:kern w:val="0"/>
                <w:lang w:val="es-ES" w:eastAsia="es-CR"/>
                <w14:ligatures w14:val="none"/>
              </w:rPr>
              <w:t>Pleyers</w:t>
            </w:r>
            <w:proofErr w:type="spellEnd"/>
            <w:r w:rsidRPr="00501810">
              <w:rPr>
                <w:rFonts w:ascii="Calibri" w:eastAsia="Times New Roman" w:hAnsi="Calibri" w:cs="Calibri"/>
                <w:kern w:val="0"/>
                <w:lang w:val="es-ES" w:eastAsia="es-CR"/>
                <w14:ligatures w14:val="none"/>
              </w:rPr>
              <w:t xml:space="preserve">, Geoffrey. “Los movimientos sociales como productores de la sociedad”. En </w:t>
            </w:r>
            <w:r w:rsidRPr="00501810">
              <w:rPr>
                <w:rFonts w:ascii="Calibri" w:eastAsia="Times New Roman" w:hAnsi="Calibri" w:cs="Calibri"/>
                <w:i/>
                <w:kern w:val="0"/>
                <w:lang w:val="es-ES" w:eastAsia="es-CR"/>
                <w14:ligatures w14:val="none"/>
              </w:rPr>
              <w:t>Movimientos sociales en el siglo XXI: perspectivas y herramientas analíticas</w:t>
            </w:r>
            <w:r w:rsidRPr="00501810">
              <w:rPr>
                <w:rFonts w:ascii="Calibri" w:eastAsia="Times New Roman" w:hAnsi="Calibri" w:cs="Calibri"/>
                <w:kern w:val="0"/>
                <w:lang w:val="es-ES" w:eastAsia="es-CR"/>
                <w14:ligatures w14:val="none"/>
              </w:rPr>
              <w:t xml:space="preserve">, 91-111. Buenos Aires: CLACSO, 2018. </w:t>
            </w:r>
            <w:r w:rsidRPr="00501810">
              <w:rPr>
                <w:rFonts w:ascii="Calibri" w:eastAsia="Times New Roman" w:hAnsi="Calibri" w:cs="Calibri"/>
                <w:noProof/>
                <w:color w:val="0070C0"/>
                <w:kern w:val="0"/>
                <w:lang w:eastAsia="es-CR"/>
                <w14:ligatures w14:val="none"/>
              </w:rPr>
              <w:t>(clásico, última edición)</w:t>
            </w:r>
          </w:p>
          <w:p w14:paraId="64D28F55"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7CD18ECF"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0E60A0BA"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glosario en la plataforma Moodle</w:t>
            </w:r>
          </w:p>
          <w:p w14:paraId="2C02A70F" w14:textId="77777777" w:rsidR="00501810" w:rsidRPr="00501810" w:rsidRDefault="00501810"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7CCFB9B8"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tc>
        <w:tc>
          <w:tcPr>
            <w:tcW w:w="3118" w:type="dxa"/>
          </w:tcPr>
          <w:p w14:paraId="4814CECA" w14:textId="77777777" w:rsidR="00501810" w:rsidRPr="00501810" w:rsidRDefault="00501810" w:rsidP="00501810">
            <w:pPr>
              <w:widowControl w:val="0"/>
              <w:numPr>
                <w:ilvl w:val="0"/>
                <w:numId w:val="109"/>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la elaboración de un glosario sobre los movimientos sociales. </w:t>
            </w:r>
          </w:p>
          <w:p w14:paraId="614DFA77" w14:textId="77777777" w:rsidR="00501810" w:rsidRPr="00501810" w:rsidRDefault="00501810" w:rsidP="00501810">
            <w:pPr>
              <w:widowControl w:val="0"/>
              <w:numPr>
                <w:ilvl w:val="0"/>
                <w:numId w:val="109"/>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en un encuentro sincrónico virtual (formativo).</w:t>
            </w:r>
          </w:p>
          <w:p w14:paraId="078E9454" w14:textId="77777777" w:rsidR="00501810" w:rsidRPr="00501810" w:rsidRDefault="00501810" w:rsidP="00501810">
            <w:pPr>
              <w:widowControl w:val="0"/>
              <w:numPr>
                <w:ilvl w:val="0"/>
                <w:numId w:val="109"/>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Continuar con la elaboración del trabajo grupal sobre conflictos medioambientales. </w:t>
            </w:r>
          </w:p>
        </w:tc>
      </w:tr>
      <w:tr w:rsidR="00501810" w:rsidRPr="00501810" w14:paraId="6188809C" w14:textId="77777777" w:rsidTr="4C9C2619">
        <w:trPr>
          <w:trHeight w:val="708"/>
          <w:jc w:val="center"/>
        </w:trPr>
        <w:tc>
          <w:tcPr>
            <w:tcW w:w="1271" w:type="dxa"/>
          </w:tcPr>
          <w:p w14:paraId="55207BE8"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10</w:t>
            </w:r>
          </w:p>
          <w:p w14:paraId="5A3E5510"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2452223A"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7DF7D59F"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p>
          <w:p w14:paraId="27CB2AB3"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3.3 Migraciones y desafíos etarios</w:t>
            </w:r>
          </w:p>
          <w:p w14:paraId="3831EB45"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2977" w:type="dxa"/>
          </w:tcPr>
          <w:p w14:paraId="6E1B9287"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32D1246E"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p>
          <w:p w14:paraId="1C6F4C48"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Acuña, Guillermo. </w:t>
            </w:r>
            <w:r w:rsidRPr="00501810">
              <w:rPr>
                <w:rFonts w:ascii="Calibri" w:eastAsia="Times New Roman" w:hAnsi="Calibri" w:cs="Calibri"/>
                <w:noProof/>
                <w:kern w:val="0"/>
                <w:lang w:val="es-ES_tradnl" w:eastAsia="es-CR"/>
                <w14:ligatures w14:val="none"/>
              </w:rPr>
              <w:t>“Capítulos 1 y 2”. En</w:t>
            </w:r>
            <w:r w:rsidRPr="00501810">
              <w:rPr>
                <w:rFonts w:ascii="Calibri" w:eastAsia="Times New Roman" w:hAnsi="Calibri" w:cs="Calibri"/>
                <w:noProof/>
                <w:color w:val="000000"/>
                <w:kern w:val="0"/>
                <w:lang w:val="es-ES_tradnl" w:eastAsia="es-CR"/>
                <w14:ligatures w14:val="none"/>
              </w:rPr>
              <w:t xml:space="preserve"> </w:t>
            </w:r>
            <w:r w:rsidRPr="00501810">
              <w:rPr>
                <w:rFonts w:ascii="Calibri" w:eastAsia="Times New Roman" w:hAnsi="Calibri" w:cs="Calibri"/>
                <w:i/>
                <w:noProof/>
                <w:color w:val="000000"/>
                <w:kern w:val="0"/>
                <w:lang w:val="es-ES_tradnl" w:eastAsia="es-CR"/>
                <w14:ligatures w14:val="none"/>
              </w:rPr>
              <w:t>Déjennos pasar: Migraciones y Transhumancia en Centroamérica</w:t>
            </w:r>
            <w:r w:rsidRPr="00501810">
              <w:rPr>
                <w:rFonts w:ascii="Calibri" w:eastAsia="Times New Roman" w:hAnsi="Calibri" w:cs="Calibri"/>
                <w:noProof/>
                <w:color w:val="000000"/>
                <w:kern w:val="0"/>
                <w:lang w:val="es-ES_tradnl" w:eastAsia="es-CR"/>
                <w14:ligatures w14:val="none"/>
              </w:rPr>
              <w:t>, 23-75. San José: Amargort Ediciones, 2019.</w:t>
            </w:r>
          </w:p>
          <w:p w14:paraId="74CE2219"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22FEFEE9"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foro en la plataforma Moodle</w:t>
            </w:r>
          </w:p>
          <w:p w14:paraId="2B8604CA"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118" w:type="dxa"/>
          </w:tcPr>
          <w:p w14:paraId="4F72928C" w14:textId="77777777" w:rsidR="00501810" w:rsidRPr="00501810" w:rsidRDefault="00501810" w:rsidP="00501810">
            <w:pPr>
              <w:widowControl w:val="0"/>
              <w:numPr>
                <w:ilvl w:val="0"/>
                <w:numId w:val="110"/>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el foro temático: Migraciones y desafíos etarios.</w:t>
            </w:r>
          </w:p>
          <w:p w14:paraId="796CE48A" w14:textId="77777777" w:rsidR="00501810" w:rsidRPr="00501810" w:rsidRDefault="00501810" w:rsidP="00501810">
            <w:pPr>
              <w:widowControl w:val="0"/>
              <w:numPr>
                <w:ilvl w:val="0"/>
                <w:numId w:val="110"/>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Continuar con la elaboración del trabajo grupal sobre conflictos medioambientales. </w:t>
            </w:r>
          </w:p>
        </w:tc>
      </w:tr>
      <w:tr w:rsidR="00501810" w:rsidRPr="00501810" w14:paraId="0D58BB46" w14:textId="77777777" w:rsidTr="4C9C2619">
        <w:trPr>
          <w:trHeight w:val="3357"/>
          <w:jc w:val="center"/>
        </w:trPr>
        <w:tc>
          <w:tcPr>
            <w:tcW w:w="1271" w:type="dxa"/>
          </w:tcPr>
          <w:p w14:paraId="4CBAD1E3"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lastRenderedPageBreak/>
              <w:t>11</w:t>
            </w:r>
          </w:p>
          <w:p w14:paraId="3612DCEA"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0CB1C29F"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1A83F76D"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p>
          <w:p w14:paraId="53B7C3C6"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3.3 Migraciones y desafíos etarios</w:t>
            </w:r>
          </w:p>
          <w:p w14:paraId="4BDE5F17"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color w:val="FF0000"/>
                <w:kern w:val="0"/>
                <w:lang w:val="es-ES_tradnl" w:eastAsia="es-CR"/>
                <w14:ligatures w14:val="none"/>
              </w:rPr>
            </w:pPr>
          </w:p>
        </w:tc>
        <w:tc>
          <w:tcPr>
            <w:tcW w:w="2977" w:type="dxa"/>
          </w:tcPr>
          <w:p w14:paraId="2CF2DF3B"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7C6AA728"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p>
          <w:p w14:paraId="229BA9BC" w14:textId="77777777" w:rsidR="00501810" w:rsidRPr="00501810" w:rsidRDefault="00501810" w:rsidP="00501810">
            <w:pPr>
              <w:widowControl w:val="0"/>
              <w:overflowPunct w:val="0"/>
              <w:autoSpaceDE w:val="0"/>
              <w:autoSpaceDN w:val="0"/>
              <w:adjustRightInd w:val="0"/>
              <w:spacing w:after="0" w:line="240" w:lineRule="auto"/>
              <w:ind w:left="-4" w:firstLine="4"/>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Santos, Boaventura. </w:t>
            </w:r>
            <w:r w:rsidRPr="00501810">
              <w:rPr>
                <w:rFonts w:ascii="Calibri" w:eastAsia="Times New Roman" w:hAnsi="Calibri" w:cs="Calibri"/>
                <w:noProof/>
                <w:kern w:val="0"/>
                <w:lang w:val="es-ES_tradnl" w:eastAsia="es-CR"/>
                <w14:ligatures w14:val="none"/>
              </w:rPr>
              <w:t>“El virus: todo lo que es sólido se desvanece en el aire”, “La trágica transparencia del virus”, “Al sur de la cuarentena”, “La intensa pedagogía del virus: las primeras lecciones”, “El futuro puede comenzar hoy”.</w:t>
            </w:r>
            <w:r w:rsidRPr="00501810">
              <w:rPr>
                <w:rFonts w:ascii="Calibri" w:eastAsia="Times New Roman" w:hAnsi="Calibri" w:cs="Calibri"/>
                <w:noProof/>
                <w:color w:val="FF0000"/>
                <w:kern w:val="0"/>
                <w:lang w:val="es-ES_tradnl" w:eastAsia="es-CR"/>
                <w14:ligatures w14:val="none"/>
              </w:rPr>
              <w:t xml:space="preserve"> </w:t>
            </w:r>
            <w:r w:rsidRPr="00501810">
              <w:rPr>
                <w:rFonts w:ascii="Calibri" w:eastAsia="Times New Roman" w:hAnsi="Calibri" w:cs="Calibri"/>
                <w:noProof/>
                <w:kern w:val="0"/>
                <w:lang w:val="es-ES_tradnl" w:eastAsia="es-CR"/>
                <w14:ligatures w14:val="none"/>
              </w:rPr>
              <w:t xml:space="preserve">En </w:t>
            </w:r>
            <w:r w:rsidRPr="00501810">
              <w:rPr>
                <w:rFonts w:ascii="Calibri" w:eastAsia="Times New Roman" w:hAnsi="Calibri" w:cs="Calibri"/>
                <w:i/>
                <w:noProof/>
                <w:color w:val="000000"/>
                <w:kern w:val="0"/>
                <w:lang w:val="es-ES_tradnl" w:eastAsia="es-CR"/>
                <w14:ligatures w14:val="none"/>
              </w:rPr>
              <w:t>La cruel pedagogía del virus</w:t>
            </w:r>
            <w:r w:rsidRPr="00501810">
              <w:rPr>
                <w:rFonts w:ascii="Calibri" w:eastAsia="Times New Roman" w:hAnsi="Calibri" w:cs="Calibri"/>
                <w:noProof/>
                <w:color w:val="000000"/>
                <w:kern w:val="0"/>
                <w:lang w:val="es-ES_tradnl" w:eastAsia="es-CR"/>
                <w14:ligatures w14:val="none"/>
              </w:rPr>
              <w:t>, 17-85. Buenos Aires: CLACSO, 2020.</w:t>
            </w:r>
          </w:p>
          <w:p w14:paraId="48CB630B"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3DA37D5B"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 bosquejo de lectura</w:t>
            </w:r>
          </w:p>
          <w:p w14:paraId="440CD62A"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3B80D563"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wiki en la plataforma Moodle</w:t>
            </w:r>
          </w:p>
          <w:p w14:paraId="5886FF6B"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3118" w:type="dxa"/>
          </w:tcPr>
          <w:p w14:paraId="4E019E83" w14:textId="77777777" w:rsidR="00501810" w:rsidRPr="00501810" w:rsidRDefault="00501810" w:rsidP="00501810">
            <w:pPr>
              <w:widowControl w:val="0"/>
              <w:numPr>
                <w:ilvl w:val="0"/>
                <w:numId w:val="111"/>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Elaboración de un bosquejo de la lectura. </w:t>
            </w:r>
          </w:p>
          <w:p w14:paraId="2F2ADDFC" w14:textId="77777777" w:rsidR="00501810" w:rsidRPr="00501810" w:rsidRDefault="00501810" w:rsidP="00501810">
            <w:pPr>
              <w:widowControl w:val="0"/>
              <w:numPr>
                <w:ilvl w:val="0"/>
                <w:numId w:val="111"/>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en un encuentro sincrónico virtual (formativo).</w:t>
            </w:r>
          </w:p>
          <w:p w14:paraId="1A92D096" w14:textId="77777777" w:rsidR="00501810" w:rsidRPr="00501810" w:rsidRDefault="00501810" w:rsidP="00501810">
            <w:pPr>
              <w:widowControl w:val="0"/>
              <w:numPr>
                <w:ilvl w:val="0"/>
                <w:numId w:val="111"/>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la creación del wiki del trabajo grupal sobre conflictos medioambientales. </w:t>
            </w:r>
          </w:p>
        </w:tc>
      </w:tr>
      <w:tr w:rsidR="00501810" w:rsidRPr="00501810" w14:paraId="747CECEC" w14:textId="77777777" w:rsidTr="4C9C2619">
        <w:trPr>
          <w:trHeight w:val="708"/>
          <w:jc w:val="center"/>
        </w:trPr>
        <w:tc>
          <w:tcPr>
            <w:tcW w:w="1271" w:type="dxa"/>
          </w:tcPr>
          <w:p w14:paraId="2015296C"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sz w:val="10"/>
                <w:szCs w:val="10"/>
                <w:lang w:val="es-ES_tradnl" w:eastAsia="es-CR"/>
                <w14:ligatures w14:val="none"/>
              </w:rPr>
            </w:pPr>
          </w:p>
          <w:p w14:paraId="66E2E887"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12</w:t>
            </w:r>
          </w:p>
          <w:p w14:paraId="29FF6A25" w14:textId="77777777" w:rsidR="00501810" w:rsidRPr="00501810" w:rsidRDefault="00501810" w:rsidP="00501810">
            <w:pPr>
              <w:widowControl w:val="0"/>
              <w:overflowPunct w:val="0"/>
              <w:autoSpaceDE w:val="0"/>
              <w:autoSpaceDN w:val="0"/>
              <w:adjustRightInd w:val="0"/>
              <w:spacing w:after="0" w:line="240" w:lineRule="auto"/>
              <w:ind w:left="-126"/>
              <w:jc w:val="center"/>
              <w:rPr>
                <w:rFonts w:ascii="Calibri" w:eastAsia="Times New Roman" w:hAnsi="Calibri" w:cs="Calibri"/>
                <w:color w:val="000000"/>
                <w:kern w:val="0"/>
                <w:lang w:val="es-ES_tradnl" w:eastAsia="es-CR"/>
                <w14:ligatures w14:val="none"/>
              </w:rPr>
            </w:pPr>
          </w:p>
          <w:p w14:paraId="4697E4E2"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4C348AF7"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3: Perspectivas para "ver" la realidad actual latinoamericana</w:t>
            </w:r>
          </w:p>
          <w:p w14:paraId="16C40FE8"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p>
          <w:p w14:paraId="7AA2F984"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3.3 Migraciones y desafíos etarios</w:t>
            </w:r>
          </w:p>
          <w:p w14:paraId="594B2CAC"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color w:val="FF0000"/>
                <w:kern w:val="0"/>
                <w:lang w:val="es-ES_tradnl" w:eastAsia="es-CR"/>
                <w14:ligatures w14:val="none"/>
              </w:rPr>
            </w:pPr>
          </w:p>
        </w:tc>
        <w:tc>
          <w:tcPr>
            <w:tcW w:w="2977" w:type="dxa"/>
          </w:tcPr>
          <w:p w14:paraId="33FD95BB"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2265F935"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3D162AAA"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 xml:space="preserve">Castro, Augusto. “Las condiciones del saber vivir”. En </w:t>
            </w:r>
            <w:r w:rsidRPr="00501810">
              <w:rPr>
                <w:rFonts w:ascii="Calibri" w:eastAsia="Times New Roman" w:hAnsi="Calibri" w:cs="Calibri"/>
                <w:i/>
                <w:kern w:val="0"/>
                <w:lang w:val="es-ES_tradnl" w:eastAsia="es-CR"/>
                <w14:ligatures w14:val="none"/>
              </w:rPr>
              <w:t>El desafío de un pensar diferente: pensamiento, sociedad y naturaleza</w:t>
            </w:r>
            <w:r w:rsidRPr="00501810">
              <w:rPr>
                <w:rFonts w:ascii="Calibri" w:eastAsia="Times New Roman" w:hAnsi="Calibri" w:cs="Calibri"/>
                <w:kern w:val="0"/>
                <w:lang w:val="es-ES_tradnl" w:eastAsia="es-CR"/>
                <w14:ligatures w14:val="none"/>
              </w:rPr>
              <w:t xml:space="preserve">, 335-345. Buenos Aires: CLACSO, 2018. </w:t>
            </w:r>
            <w:r w:rsidRPr="00501810">
              <w:rPr>
                <w:rFonts w:ascii="Calibri" w:eastAsia="Times New Roman" w:hAnsi="Calibri" w:cs="Calibri"/>
                <w:noProof/>
                <w:color w:val="0070C0"/>
                <w:kern w:val="0"/>
                <w:lang w:eastAsia="es-CR"/>
                <w14:ligatures w14:val="none"/>
              </w:rPr>
              <w:t>(clásico, última edición)</w:t>
            </w:r>
          </w:p>
          <w:p w14:paraId="166F8F61"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50DC4AFD"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2E35A214"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5A97AEC2"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foro en la plataforma Moodle</w:t>
            </w:r>
          </w:p>
          <w:p w14:paraId="08182BFC"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225C1E6B"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wiki en la plataforma Moodle</w:t>
            </w:r>
          </w:p>
          <w:p w14:paraId="4307A75E"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3118" w:type="dxa"/>
          </w:tcPr>
          <w:p w14:paraId="17AC9958" w14:textId="77777777" w:rsidR="00501810" w:rsidRPr="00501810" w:rsidRDefault="00501810" w:rsidP="00501810">
            <w:pPr>
              <w:widowControl w:val="0"/>
              <w:numPr>
                <w:ilvl w:val="0"/>
                <w:numId w:val="112"/>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el foro temático: Las condiciones del saber vivir.</w:t>
            </w:r>
          </w:p>
          <w:p w14:paraId="5383706D" w14:textId="77777777" w:rsidR="00501810" w:rsidRPr="00501810" w:rsidRDefault="00501810" w:rsidP="00501810">
            <w:pPr>
              <w:widowControl w:val="0"/>
              <w:numPr>
                <w:ilvl w:val="0"/>
                <w:numId w:val="112"/>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Participación en la creación del wiki del trabajo grupal sobre conflictos medioambientales.</w:t>
            </w:r>
          </w:p>
        </w:tc>
      </w:tr>
      <w:tr w:rsidR="00501810" w:rsidRPr="00501810" w14:paraId="6885FC30" w14:textId="77777777" w:rsidTr="4C9C2619">
        <w:trPr>
          <w:trHeight w:val="708"/>
          <w:jc w:val="center"/>
        </w:trPr>
        <w:tc>
          <w:tcPr>
            <w:tcW w:w="1271" w:type="dxa"/>
          </w:tcPr>
          <w:p w14:paraId="779A0614"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lastRenderedPageBreak/>
              <w:t>13</w:t>
            </w:r>
          </w:p>
          <w:p w14:paraId="6AE82047" w14:textId="77777777" w:rsidR="00501810" w:rsidRPr="00501810" w:rsidRDefault="00501810" w:rsidP="00501810">
            <w:pPr>
              <w:widowControl w:val="0"/>
              <w:overflowPunct w:val="0"/>
              <w:autoSpaceDE w:val="0"/>
              <w:autoSpaceDN w:val="0"/>
              <w:adjustRightInd w:val="0"/>
              <w:spacing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662B3D1A"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lang w:val="es-ES_tradnl" w:eastAsia="es-CR"/>
                <w14:ligatures w14:val="none"/>
              </w:rPr>
            </w:pPr>
            <w:r w:rsidRPr="00501810">
              <w:rPr>
                <w:rFonts w:ascii="Calibri" w:eastAsia="Times New Roman" w:hAnsi="Calibri" w:cs="Calibri"/>
                <w:b/>
                <w:bCs/>
                <w:kern w:val="0"/>
                <w:lang w:val="es-ES_tradnl" w:eastAsia="es-CR"/>
                <w14:ligatures w14:val="none"/>
              </w:rPr>
              <w:t>Unidad 4: Enlace y visión teológica de la realidad</w:t>
            </w:r>
            <w:r w:rsidRPr="00501810">
              <w:rPr>
                <w:rFonts w:ascii="Calibri" w:eastAsia="Times New Roman" w:hAnsi="Calibri" w:cs="Calibri"/>
                <w:kern w:val="0"/>
                <w:lang w:val="es-ES_tradnl" w:eastAsia="es-CR"/>
                <w14:ligatures w14:val="none"/>
              </w:rPr>
              <w:t xml:space="preserve"> latinoamericana</w:t>
            </w:r>
          </w:p>
          <w:p w14:paraId="23D3EB49"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kern w:val="0"/>
                <w:sz w:val="2"/>
                <w:szCs w:val="2"/>
                <w:lang w:val="es-ES_tradnl" w:eastAsia="es-CR"/>
                <w14:ligatures w14:val="none"/>
              </w:rPr>
            </w:pPr>
          </w:p>
          <w:p w14:paraId="13F60505"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Calibri"/>
                <w:kern w:val="0"/>
                <w:szCs w:val="18"/>
                <w:lang w:val="es-ES_tradnl" w:eastAsia="es-CR"/>
                <w14:ligatures w14:val="none"/>
              </w:rPr>
            </w:pPr>
            <w:r w:rsidRPr="00501810">
              <w:rPr>
                <w:rFonts w:ascii="Calibri" w:eastAsia="Times New Roman" w:hAnsi="Calibri" w:cs="Calibri"/>
                <w:kern w:val="0"/>
                <w:szCs w:val="18"/>
                <w:lang w:val="es-ES_tradnl" w:eastAsia="es-CR"/>
                <w14:ligatures w14:val="none"/>
              </w:rPr>
              <w:t>4.1 El uso teológico-pastoral de las ciencias sociales</w:t>
            </w:r>
          </w:p>
          <w:p w14:paraId="602B5ED1" w14:textId="77777777" w:rsidR="00501810" w:rsidRPr="00501810" w:rsidRDefault="00501810" w:rsidP="00501810">
            <w:pPr>
              <w:keepNext/>
              <w:widowControl w:val="0"/>
              <w:overflowPunct w:val="0"/>
              <w:autoSpaceDE w:val="0"/>
              <w:autoSpaceDN w:val="0"/>
              <w:adjustRightInd w:val="0"/>
              <w:spacing w:after="0" w:line="240" w:lineRule="auto"/>
              <w:outlineLvl w:val="2"/>
              <w:rPr>
                <w:rFonts w:ascii="Calibri" w:eastAsia="Times New Roman" w:hAnsi="Calibri" w:cs="Calibri"/>
                <w:color w:val="FF0000"/>
                <w:kern w:val="0"/>
                <w:lang w:val="es-ES_tradnl" w:eastAsia="es-CR"/>
                <w14:ligatures w14:val="none"/>
              </w:rPr>
            </w:pPr>
          </w:p>
        </w:tc>
        <w:tc>
          <w:tcPr>
            <w:tcW w:w="2977" w:type="dxa"/>
          </w:tcPr>
          <w:p w14:paraId="7AE15522"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318BF80E"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61B810EB"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Mallimaci, Fortunato. “Ciencias sociales y teologías: los pobres y el pueblo en las Teologías de la Liberación en Argentina”. En </w:t>
            </w:r>
            <w:r w:rsidRPr="00501810">
              <w:rPr>
                <w:rFonts w:ascii="Calibri" w:eastAsia="Times New Roman" w:hAnsi="Calibri" w:cs="Calibri"/>
                <w:i/>
                <w:noProof/>
                <w:kern w:val="0"/>
                <w:lang w:val="es-ES_tradnl" w:eastAsia="es-CR"/>
                <w14:ligatures w14:val="none"/>
              </w:rPr>
              <w:t>La religión ante los problemas sociales: Espiritualidad, poder y sociabilidad en América Latina</w:t>
            </w:r>
            <w:r w:rsidRPr="00501810">
              <w:rPr>
                <w:rFonts w:ascii="Calibri" w:eastAsia="Times New Roman" w:hAnsi="Calibri" w:cs="Calibri"/>
                <w:noProof/>
                <w:kern w:val="0"/>
                <w:lang w:val="es-ES_tradnl" w:eastAsia="es-CR"/>
                <w14:ligatures w14:val="none"/>
              </w:rPr>
              <w:t xml:space="preserve">, compilado por Verónica Giménez Béliveau, 283-315. Buenos Aires: CLACSO, 2020. </w:t>
            </w:r>
          </w:p>
          <w:p w14:paraId="6D6DED6C"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2D3A313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2C7EAA8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1260C29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en un foro en la plataforma Moodle</w:t>
            </w:r>
          </w:p>
          <w:p w14:paraId="251570D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429605F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106F1711"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10D4AE3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una monografía</w:t>
            </w:r>
          </w:p>
          <w:p w14:paraId="4A2C0896"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tc>
        <w:tc>
          <w:tcPr>
            <w:tcW w:w="3118" w:type="dxa"/>
          </w:tcPr>
          <w:p w14:paraId="16523A76" w14:textId="77777777" w:rsidR="00501810" w:rsidRPr="00501810" w:rsidRDefault="00501810" w:rsidP="00501810">
            <w:pPr>
              <w:widowControl w:val="0"/>
              <w:numPr>
                <w:ilvl w:val="0"/>
                <w:numId w:val="113"/>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Participación en el foro temático: Teología y ciencias sociales. </w:t>
            </w:r>
          </w:p>
          <w:p w14:paraId="6B997DC8" w14:textId="77777777" w:rsidR="00501810" w:rsidRPr="00501810" w:rsidRDefault="00501810" w:rsidP="00501810">
            <w:pPr>
              <w:widowControl w:val="0"/>
              <w:numPr>
                <w:ilvl w:val="0"/>
                <w:numId w:val="113"/>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en un encuentro sincrónico virtual (formativo).</w:t>
            </w:r>
          </w:p>
          <w:p w14:paraId="7A7B5558" w14:textId="77777777" w:rsidR="00501810" w:rsidRPr="00501810" w:rsidRDefault="00501810" w:rsidP="00501810">
            <w:pPr>
              <w:widowControl w:val="0"/>
              <w:numPr>
                <w:ilvl w:val="0"/>
                <w:numId w:val="113"/>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Iniciar la elaboración de la monografía.</w:t>
            </w:r>
          </w:p>
        </w:tc>
      </w:tr>
      <w:tr w:rsidR="00501810" w:rsidRPr="00501810" w14:paraId="0BD5F405" w14:textId="77777777" w:rsidTr="4C9C2619">
        <w:trPr>
          <w:trHeight w:val="708"/>
          <w:jc w:val="center"/>
        </w:trPr>
        <w:tc>
          <w:tcPr>
            <w:tcW w:w="1271" w:type="dxa"/>
          </w:tcPr>
          <w:p w14:paraId="7728BAF0"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14</w:t>
            </w:r>
          </w:p>
          <w:p w14:paraId="709892E7"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b/>
                <w:bCs/>
                <w:color w:val="000000"/>
                <w:kern w:val="0"/>
                <w:lang w:val="es-ES_tradnl" w:eastAsia="es-CR"/>
                <w14:ligatures w14:val="none"/>
              </w:rPr>
            </w:pPr>
          </w:p>
        </w:tc>
        <w:tc>
          <w:tcPr>
            <w:tcW w:w="2410" w:type="dxa"/>
          </w:tcPr>
          <w:p w14:paraId="2848A2BA"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4: Enlace y visión teológica de la realidad latinoamericana</w:t>
            </w:r>
          </w:p>
          <w:p w14:paraId="05978853"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sz w:val="10"/>
                <w:szCs w:val="10"/>
                <w:lang w:val="es-ES_tradnl" w:eastAsia="es-CR"/>
                <w14:ligatures w14:val="none"/>
              </w:rPr>
            </w:pPr>
          </w:p>
          <w:p w14:paraId="215587F5"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szCs w:val="18"/>
                <w:lang w:val="es-ES_tradnl" w:eastAsia="es-CR"/>
                <w14:ligatures w14:val="none"/>
              </w:rPr>
            </w:pPr>
            <w:r w:rsidRPr="00501810">
              <w:rPr>
                <w:rFonts w:ascii="Calibri" w:eastAsia="Times New Roman" w:hAnsi="Calibri" w:cs="Calibri"/>
                <w:kern w:val="0"/>
                <w:szCs w:val="18"/>
                <w:lang w:val="es-ES_tradnl" w:eastAsia="es-CR"/>
                <w14:ligatures w14:val="none"/>
              </w:rPr>
              <w:t>4.2 La teología contextual: el rol del análisis histórico y coyuntural</w:t>
            </w:r>
          </w:p>
          <w:p w14:paraId="694D977F"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2977" w:type="dxa"/>
          </w:tcPr>
          <w:p w14:paraId="60B9C6A4"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noProof/>
                <w:color w:val="0070C0"/>
                <w:kern w:val="0"/>
                <w:lang w:eastAsia="es-CR"/>
                <w14:ligatures w14:val="none"/>
              </w:rPr>
              <w:t>Ruta de aprendizaje</w:t>
            </w:r>
          </w:p>
          <w:p w14:paraId="520663CF"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5A2FDB0F"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 xml:space="preserve">Angarita, Carlos. “Pensamiento crítico y análisis teológico de la realidad”. </w:t>
            </w:r>
            <w:r w:rsidRPr="00501810">
              <w:rPr>
                <w:rFonts w:ascii="Calibri" w:eastAsia="Times New Roman" w:hAnsi="Calibri" w:cs="Calibri"/>
                <w:i/>
                <w:kern w:val="0"/>
                <w:lang w:val="es-ES_tradnl" w:eastAsia="es-CR"/>
                <w14:ligatures w14:val="none"/>
              </w:rPr>
              <w:t>Realidad</w:t>
            </w:r>
            <w:r w:rsidRPr="00501810">
              <w:rPr>
                <w:rFonts w:ascii="Calibri" w:eastAsia="Times New Roman" w:hAnsi="Calibri" w:cs="Calibri"/>
                <w:kern w:val="0"/>
                <w:lang w:val="es-ES_tradnl" w:eastAsia="es-CR"/>
                <w14:ligatures w14:val="none"/>
              </w:rPr>
              <w:t xml:space="preserve">, no. </w:t>
            </w:r>
          </w:p>
          <w:p w14:paraId="78F3A6A3"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121 (2009): pp. 535-561.</w:t>
            </w:r>
          </w:p>
          <w:p w14:paraId="364CB367"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378B3762"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72D87095"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7463F6FE"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participación mediante la herramienta Big Blue Button en la plataforma Moodle</w:t>
            </w:r>
          </w:p>
          <w:p w14:paraId="3A0759A5"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val="es-ES_tradnl" w:eastAsia="es-CR"/>
                <w14:ligatures w14:val="none"/>
              </w:rPr>
            </w:pPr>
          </w:p>
          <w:p w14:paraId="4706F405"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p>
          <w:p w14:paraId="70CC3EED"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Calibri"/>
                <w:noProof/>
                <w:kern w:val="0"/>
                <w:lang w:val="es-ES_tradnl" w:eastAsia="es-CR"/>
                <w14:ligatures w14:val="none"/>
              </w:rPr>
            </w:pPr>
          </w:p>
        </w:tc>
        <w:tc>
          <w:tcPr>
            <w:tcW w:w="3118" w:type="dxa"/>
          </w:tcPr>
          <w:p w14:paraId="66970581" w14:textId="77777777" w:rsidR="00501810" w:rsidRPr="00501810" w:rsidRDefault="00501810" w:rsidP="00501810">
            <w:pPr>
              <w:widowControl w:val="0"/>
              <w:numPr>
                <w:ilvl w:val="0"/>
                <w:numId w:val="11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Exposición docente y discusión en torno al contenido de la lectura en un encuentro sincrónico virtual (formativo).</w:t>
            </w:r>
          </w:p>
          <w:p w14:paraId="4ABB05FF" w14:textId="77777777" w:rsidR="00501810" w:rsidRPr="00501810" w:rsidRDefault="00501810" w:rsidP="00501810">
            <w:pPr>
              <w:widowControl w:val="0"/>
              <w:numPr>
                <w:ilvl w:val="0"/>
                <w:numId w:val="11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Continuar con la elaboración de la monografía. </w:t>
            </w:r>
          </w:p>
          <w:p w14:paraId="03E1E334" w14:textId="77777777" w:rsidR="00501810" w:rsidRPr="00501810" w:rsidRDefault="00501810" w:rsidP="00501810">
            <w:pPr>
              <w:widowControl w:val="0"/>
              <w:overflowPunct w:val="0"/>
              <w:autoSpaceDE w:val="0"/>
              <w:autoSpaceDN w:val="0"/>
              <w:adjustRightInd w:val="0"/>
              <w:spacing w:before="120" w:after="0" w:line="240" w:lineRule="auto"/>
              <w:ind w:left="-36"/>
              <w:rPr>
                <w:rFonts w:ascii="Calibri" w:eastAsia="Times New Roman" w:hAnsi="Calibri" w:cs="Calibri"/>
                <w:kern w:val="0"/>
                <w:sz w:val="24"/>
                <w:szCs w:val="20"/>
                <w:lang w:val="es-ES_tradnl" w:eastAsia="es-CR"/>
                <w14:ligatures w14:val="none"/>
              </w:rPr>
            </w:pPr>
          </w:p>
        </w:tc>
      </w:tr>
      <w:tr w:rsidR="00501810" w:rsidRPr="00501810" w14:paraId="28D6D789" w14:textId="77777777" w:rsidTr="4C9C2619">
        <w:trPr>
          <w:trHeight w:val="708"/>
          <w:jc w:val="center"/>
        </w:trPr>
        <w:tc>
          <w:tcPr>
            <w:tcW w:w="1271" w:type="dxa"/>
          </w:tcPr>
          <w:p w14:paraId="29FF2B26" w14:textId="77777777" w:rsidR="00501810" w:rsidRPr="00501810" w:rsidRDefault="00501810" w:rsidP="00501810">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lastRenderedPageBreak/>
              <w:t>15</w:t>
            </w:r>
          </w:p>
          <w:p w14:paraId="3D2727A6" w14:textId="77777777" w:rsidR="00501810" w:rsidRPr="00501810" w:rsidRDefault="00501810" w:rsidP="00501810">
            <w:pPr>
              <w:widowControl w:val="0"/>
              <w:overflowPunct w:val="0"/>
              <w:autoSpaceDE w:val="0"/>
              <w:autoSpaceDN w:val="0"/>
              <w:adjustRightInd w:val="0"/>
              <w:spacing w:before="120" w:after="0" w:line="240" w:lineRule="auto"/>
              <w:ind w:left="-126"/>
              <w:jc w:val="center"/>
              <w:rPr>
                <w:rFonts w:ascii="Calibri" w:eastAsia="Times New Roman" w:hAnsi="Calibri" w:cs="Calibri"/>
                <w:color w:val="000000"/>
                <w:kern w:val="0"/>
                <w:lang w:val="es-ES_tradnl" w:eastAsia="es-CR"/>
                <w14:ligatures w14:val="none"/>
              </w:rPr>
            </w:pPr>
          </w:p>
        </w:tc>
        <w:tc>
          <w:tcPr>
            <w:tcW w:w="2410" w:type="dxa"/>
          </w:tcPr>
          <w:p w14:paraId="2228D2CA"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b/>
                <w:bCs/>
                <w:kern w:val="0"/>
                <w:lang w:val="es-ES_tradnl" w:eastAsia="es-CR"/>
                <w14:ligatures w14:val="none"/>
              </w:rPr>
            </w:pPr>
            <w:r w:rsidRPr="00501810">
              <w:rPr>
                <w:rFonts w:ascii="Calibri" w:eastAsia="Times New Roman" w:hAnsi="Calibri" w:cs="Calibri"/>
                <w:b/>
                <w:bCs/>
                <w:kern w:val="0"/>
                <w:lang w:val="es-ES_tradnl" w:eastAsia="es-CR"/>
                <w14:ligatures w14:val="none"/>
              </w:rPr>
              <w:t>Unidad 4: Enlace y visión teológica de la realidad latinoamericana</w:t>
            </w:r>
          </w:p>
          <w:p w14:paraId="132B4DCD"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sz w:val="10"/>
                <w:szCs w:val="6"/>
                <w:lang w:val="es-ES_tradnl" w:eastAsia="es-CR"/>
                <w14:ligatures w14:val="none"/>
              </w:rPr>
            </w:pPr>
          </w:p>
          <w:p w14:paraId="7F5470B5" w14:textId="77777777" w:rsidR="00501810" w:rsidRPr="00501810" w:rsidRDefault="00501810" w:rsidP="00501810">
            <w:pPr>
              <w:keepNext/>
              <w:widowControl w:val="0"/>
              <w:overflowPunct w:val="0"/>
              <w:autoSpaceDE w:val="0"/>
              <w:autoSpaceDN w:val="0"/>
              <w:adjustRightInd w:val="0"/>
              <w:spacing w:after="60" w:line="240" w:lineRule="auto"/>
              <w:outlineLvl w:val="2"/>
              <w:rPr>
                <w:rFonts w:ascii="Calibri" w:eastAsia="Times New Roman" w:hAnsi="Calibri" w:cs="Calibri"/>
                <w:kern w:val="0"/>
                <w:szCs w:val="18"/>
                <w:lang w:val="es-ES_tradnl" w:eastAsia="es-CR"/>
                <w14:ligatures w14:val="none"/>
              </w:rPr>
            </w:pPr>
            <w:r w:rsidRPr="00501810">
              <w:rPr>
                <w:rFonts w:ascii="Calibri" w:eastAsia="Times New Roman" w:hAnsi="Calibri" w:cs="Calibri"/>
                <w:kern w:val="0"/>
                <w:szCs w:val="18"/>
                <w:lang w:val="es-ES_tradnl" w:eastAsia="es-CR"/>
                <w14:ligatures w14:val="none"/>
              </w:rPr>
              <w:t>4.2 La teología contextual: el rol del análisis histórico y coyuntural</w:t>
            </w:r>
          </w:p>
          <w:p w14:paraId="6574DBA5" w14:textId="77777777" w:rsidR="00501810" w:rsidRPr="00501810" w:rsidRDefault="00501810" w:rsidP="00501810">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tc>
        <w:tc>
          <w:tcPr>
            <w:tcW w:w="2977" w:type="dxa"/>
          </w:tcPr>
          <w:p w14:paraId="4F1B2793"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eastAsia="es-CR"/>
                <w14:ligatures w14:val="none"/>
              </w:rPr>
            </w:pPr>
            <w:r w:rsidRPr="00501810">
              <w:rPr>
                <w:rFonts w:ascii="Calibri" w:eastAsia="Times New Roman" w:hAnsi="Calibri" w:cs="Calibri"/>
                <w:noProof/>
                <w:color w:val="0070C0"/>
                <w:kern w:val="0"/>
                <w:lang w:eastAsia="es-CR"/>
                <w14:ligatures w14:val="none"/>
              </w:rPr>
              <w:t>Ruta de aprendizaje</w:t>
            </w:r>
          </w:p>
          <w:p w14:paraId="5FCA1C0D" w14:textId="77777777" w:rsidR="00501810" w:rsidRPr="00501810" w:rsidRDefault="00501810" w:rsidP="00501810">
            <w:pPr>
              <w:autoSpaceDE w:val="0"/>
              <w:autoSpaceDN w:val="0"/>
              <w:adjustRightInd w:val="0"/>
              <w:spacing w:after="0" w:line="240" w:lineRule="auto"/>
              <w:rPr>
                <w:rFonts w:ascii="Calibri" w:eastAsia="Times New Roman" w:hAnsi="Calibri" w:cs="Calibri"/>
                <w:noProof/>
                <w:color w:val="0070C0"/>
                <w:kern w:val="0"/>
                <w:lang w:eastAsia="es-CR"/>
                <w14:ligatures w14:val="none"/>
              </w:rPr>
            </w:pPr>
          </w:p>
          <w:p w14:paraId="67A2FCE8"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r w:rsidRPr="00501810">
              <w:rPr>
                <w:rFonts w:ascii="Calibri" w:eastAsia="Times New Roman" w:hAnsi="Calibri" w:cs="Calibri"/>
                <w:b/>
                <w:bCs/>
                <w:noProof/>
                <w:color w:val="0070C0"/>
                <w:kern w:val="0"/>
                <w:lang w:val="es-ES_tradnl" w:eastAsia="es-CR"/>
                <w14:ligatures w14:val="none"/>
              </w:rPr>
              <w:t>Material complementario</w:t>
            </w:r>
          </w:p>
          <w:p w14:paraId="72CD367B" w14:textId="77777777" w:rsidR="00501810" w:rsidRPr="00501810" w:rsidRDefault="00501810" w:rsidP="00501810">
            <w:pPr>
              <w:autoSpaceDE w:val="0"/>
              <w:autoSpaceDN w:val="0"/>
              <w:adjustRightInd w:val="0"/>
              <w:spacing w:after="0" w:line="240" w:lineRule="auto"/>
              <w:rPr>
                <w:rFonts w:ascii="Calibri" w:eastAsia="Times New Roman" w:hAnsi="Calibri" w:cs="Calibri"/>
                <w:b/>
                <w:bCs/>
                <w:noProof/>
                <w:color w:val="0070C0"/>
                <w:kern w:val="0"/>
                <w:lang w:val="es-ES_tradnl" w:eastAsia="es-CR"/>
                <w14:ligatures w14:val="none"/>
              </w:rPr>
            </w:pPr>
          </w:p>
          <w:p w14:paraId="45B00398" w14:textId="77777777" w:rsidR="00501810" w:rsidRPr="00501810" w:rsidRDefault="00501810" w:rsidP="00501810">
            <w:pPr>
              <w:autoSpaceDE w:val="0"/>
              <w:autoSpaceDN w:val="0"/>
              <w:adjustRightInd w:val="0"/>
              <w:spacing w:after="0" w:line="240" w:lineRule="auto"/>
              <w:rPr>
                <w:rFonts w:ascii="Calibri" w:eastAsia="Times New Roman" w:hAnsi="Calibri" w:cs="Calibri"/>
                <w:kern w:val="0"/>
                <w:lang w:val="es-ES_tradnl" w:eastAsia="es-CR"/>
                <w14:ligatures w14:val="none"/>
              </w:rPr>
            </w:pPr>
            <w:r w:rsidRPr="00501810">
              <w:rPr>
                <w:rFonts w:ascii="Calibri" w:eastAsia="Times New Roman" w:hAnsi="Calibri" w:cs="Calibri"/>
                <w:noProof/>
                <w:color w:val="0070C0"/>
                <w:kern w:val="0"/>
                <w:lang w:val="es-ES_tradnl" w:eastAsia="es-CR"/>
                <w14:ligatures w14:val="none"/>
              </w:rPr>
              <w:t>Guía para la elaboración de una monografía</w:t>
            </w:r>
          </w:p>
        </w:tc>
        <w:tc>
          <w:tcPr>
            <w:tcW w:w="3118" w:type="dxa"/>
          </w:tcPr>
          <w:p w14:paraId="0C86C240" w14:textId="77777777" w:rsidR="00501810" w:rsidRPr="00501810" w:rsidRDefault="00501810" w:rsidP="00501810">
            <w:pPr>
              <w:widowControl w:val="0"/>
              <w:numPr>
                <w:ilvl w:val="0"/>
                <w:numId w:val="114"/>
              </w:numPr>
              <w:overflowPunct w:val="0"/>
              <w:autoSpaceDE w:val="0"/>
              <w:autoSpaceDN w:val="0"/>
              <w:adjustRightInd w:val="0"/>
              <w:spacing w:before="120" w:after="200" w:line="276" w:lineRule="auto"/>
              <w:ind w:left="324"/>
              <w:contextualSpacing/>
              <w:rPr>
                <w:rFonts w:ascii="Calibri" w:eastAsia="Calibri" w:hAnsi="Calibri" w:cs="Calibri"/>
                <w:kern w:val="0"/>
                <w14:ligatures w14:val="none"/>
              </w:rPr>
            </w:pPr>
            <w:r w:rsidRPr="00501810">
              <w:rPr>
                <w:rFonts w:ascii="Calibri" w:eastAsia="Calibri" w:hAnsi="Calibri" w:cs="Calibri"/>
                <w:kern w:val="0"/>
                <w14:ligatures w14:val="none"/>
              </w:rPr>
              <w:t xml:space="preserve">Entregar la monografía. </w:t>
            </w:r>
          </w:p>
        </w:tc>
      </w:tr>
    </w:tbl>
    <w:p w14:paraId="551764C8" w14:textId="77777777" w:rsidR="00501810" w:rsidRPr="00501810" w:rsidRDefault="00501810" w:rsidP="00501810">
      <w:pPr>
        <w:rPr>
          <w:rFonts w:ascii="Calibri" w:eastAsia="Times New Roman" w:hAnsi="Calibri" w:cs="Calibri"/>
          <w:b/>
          <w:bCs/>
          <w:color w:val="000000"/>
          <w:kern w:val="0"/>
          <w:lang w:val="es-ES_tradnl" w:eastAsia="es-CR"/>
          <w14:ligatures w14:val="none"/>
        </w:rPr>
      </w:pPr>
    </w:p>
    <w:p w14:paraId="7D822777" w14:textId="77777777" w:rsidR="00501810" w:rsidRPr="00501810" w:rsidRDefault="00501810" w:rsidP="00501810">
      <w:pPr>
        <w:rPr>
          <w:rFonts w:ascii="Calibri" w:eastAsia="Times New Roman" w:hAnsi="Calibri" w:cs="Calibri"/>
          <w:b/>
          <w:bCs/>
          <w:color w:val="000000"/>
          <w:kern w:val="0"/>
          <w:lang w:val="es-ES_tradnl" w:eastAsia="es-CR"/>
          <w14:ligatures w14:val="none"/>
        </w:rPr>
      </w:pPr>
      <w:r w:rsidRPr="00501810">
        <w:rPr>
          <w:rFonts w:ascii="Calibri" w:eastAsia="Times New Roman" w:hAnsi="Calibri" w:cs="Calibri"/>
          <w:b/>
          <w:bCs/>
          <w:color w:val="000000"/>
          <w:kern w:val="0"/>
          <w:lang w:val="es-ES_tradnl" w:eastAsia="es-CR"/>
          <w14:ligatures w14:val="none"/>
        </w:rPr>
        <w:br w:type="page"/>
      </w:r>
      <w:r w:rsidRPr="00501810">
        <w:rPr>
          <w:rFonts w:ascii="Calibri" w:eastAsia="Times New Roman" w:hAnsi="Calibri" w:cs="Calibri"/>
          <w:b/>
          <w:bCs/>
          <w:color w:val="000000"/>
          <w:kern w:val="0"/>
          <w:lang w:val="es-ES_tradnl" w:eastAsia="es-CR"/>
          <w14:ligatures w14:val="none"/>
        </w:rPr>
        <w:lastRenderedPageBreak/>
        <w:t>IX. Distribución de tiempo semanal</w:t>
      </w:r>
    </w:p>
    <w:p w14:paraId="05310622"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01810">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44C4EA3E"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8784" w:type="dxa"/>
        <w:tblLook w:val="04A0" w:firstRow="1" w:lastRow="0" w:firstColumn="1" w:lastColumn="0" w:noHBand="0" w:noVBand="1"/>
      </w:tblPr>
      <w:tblGrid>
        <w:gridCol w:w="1980"/>
        <w:gridCol w:w="1417"/>
        <w:gridCol w:w="5387"/>
      </w:tblGrid>
      <w:tr w:rsidR="00501810" w:rsidRPr="00501810" w14:paraId="7E3091BA" w14:textId="77777777" w:rsidTr="4C9C2619">
        <w:tc>
          <w:tcPr>
            <w:tcW w:w="1980" w:type="dxa"/>
            <w:vAlign w:val="center"/>
          </w:tcPr>
          <w:p w14:paraId="515B2696"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01810">
              <w:rPr>
                <w:rFonts w:ascii="Calibri" w:eastAsia="Times New Roman" w:hAnsi="Calibri" w:cs="Calibri"/>
                <w:b/>
                <w:bCs/>
                <w:color w:val="000000"/>
                <w:lang w:val="es-ES_tradnl" w:eastAsia="es-CR"/>
              </w:rPr>
              <w:t>Tipo de horas</w:t>
            </w:r>
          </w:p>
          <w:p w14:paraId="30E42F12"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01810">
              <w:rPr>
                <w:rFonts w:ascii="Calibri" w:eastAsia="Times New Roman" w:hAnsi="Calibri" w:cs="Calibri"/>
                <w:b/>
                <w:bCs/>
                <w:color w:val="000000"/>
                <w:lang w:val="es-ES_tradnl" w:eastAsia="es-CR"/>
              </w:rPr>
              <w:t>(categoría)</w:t>
            </w:r>
          </w:p>
        </w:tc>
        <w:tc>
          <w:tcPr>
            <w:tcW w:w="1417" w:type="dxa"/>
            <w:vAlign w:val="center"/>
          </w:tcPr>
          <w:p w14:paraId="3CEE9291"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01810">
              <w:rPr>
                <w:rFonts w:ascii="Calibri" w:eastAsia="Times New Roman" w:hAnsi="Calibri" w:cs="Calibri"/>
                <w:b/>
                <w:bCs/>
                <w:color w:val="000000"/>
                <w:lang w:val="es-ES_tradnl" w:eastAsia="es-CR"/>
              </w:rPr>
              <w:t>Horas por semana</w:t>
            </w:r>
          </w:p>
        </w:tc>
        <w:tc>
          <w:tcPr>
            <w:tcW w:w="5387" w:type="dxa"/>
            <w:vAlign w:val="center"/>
          </w:tcPr>
          <w:p w14:paraId="27799407"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01810">
              <w:rPr>
                <w:rFonts w:ascii="Calibri" w:eastAsia="Times New Roman" w:hAnsi="Calibri" w:cs="Calibri"/>
                <w:b/>
                <w:bCs/>
                <w:color w:val="000000"/>
                <w:lang w:val="es-ES_tradnl" w:eastAsia="es-CR"/>
              </w:rPr>
              <w:t>Actividades relacionadas</w:t>
            </w:r>
          </w:p>
        </w:tc>
      </w:tr>
      <w:tr w:rsidR="00501810" w:rsidRPr="00501810" w14:paraId="1605FDB8" w14:textId="77777777" w:rsidTr="4C9C2619">
        <w:tc>
          <w:tcPr>
            <w:tcW w:w="1980" w:type="dxa"/>
            <w:vAlign w:val="center"/>
          </w:tcPr>
          <w:p w14:paraId="28538DD3"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Horas de Estudio Individual (HEI)</w:t>
            </w:r>
          </w:p>
        </w:tc>
        <w:tc>
          <w:tcPr>
            <w:tcW w:w="1417" w:type="dxa"/>
            <w:vAlign w:val="center"/>
          </w:tcPr>
          <w:p w14:paraId="287497DE"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3</w:t>
            </w:r>
          </w:p>
        </w:tc>
        <w:tc>
          <w:tcPr>
            <w:tcW w:w="5387" w:type="dxa"/>
            <w:vAlign w:val="center"/>
          </w:tcPr>
          <w:p w14:paraId="1BF2ECAD" w14:textId="77777777" w:rsidR="00501810" w:rsidRPr="00501810" w:rsidRDefault="00501810" w:rsidP="00501810">
            <w:pPr>
              <w:widowControl w:val="0"/>
              <w:numPr>
                <w:ilvl w:val="0"/>
                <w:numId w:val="114"/>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Lectura de los textos (materiales en formato digital).</w:t>
            </w:r>
          </w:p>
          <w:p w14:paraId="516E7832" w14:textId="77777777" w:rsidR="00501810" w:rsidRPr="00501810" w:rsidRDefault="00501810" w:rsidP="00501810">
            <w:pPr>
              <w:widowControl w:val="0"/>
              <w:numPr>
                <w:ilvl w:val="0"/>
                <w:numId w:val="114"/>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Análisis de lecturas e investigación por cuenta propia.</w:t>
            </w:r>
          </w:p>
        </w:tc>
      </w:tr>
      <w:tr w:rsidR="00501810" w:rsidRPr="00501810" w14:paraId="0C090E81" w14:textId="77777777" w:rsidTr="4C9C2619">
        <w:tc>
          <w:tcPr>
            <w:tcW w:w="1980" w:type="dxa"/>
            <w:vAlign w:val="center"/>
          </w:tcPr>
          <w:p w14:paraId="7EE3305D"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Horas de Trabajo Colaborativo (HTC)</w:t>
            </w:r>
          </w:p>
        </w:tc>
        <w:tc>
          <w:tcPr>
            <w:tcW w:w="1417" w:type="dxa"/>
            <w:vAlign w:val="center"/>
          </w:tcPr>
          <w:p w14:paraId="6CC36CA6"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3</w:t>
            </w:r>
          </w:p>
        </w:tc>
        <w:tc>
          <w:tcPr>
            <w:tcW w:w="5387" w:type="dxa"/>
            <w:vAlign w:val="center"/>
          </w:tcPr>
          <w:p w14:paraId="202C08BA" w14:textId="77777777" w:rsidR="00501810" w:rsidRPr="00501810" w:rsidRDefault="00501810" w:rsidP="00501810">
            <w:pPr>
              <w:widowControl w:val="0"/>
              <w:numPr>
                <w:ilvl w:val="0"/>
                <w:numId w:val="115"/>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Participación en los foros temáticos (incluye aportes personales y réplicas a los y las demás estudiantes).</w:t>
            </w:r>
          </w:p>
          <w:p w14:paraId="54579B1D" w14:textId="77777777" w:rsidR="00501810" w:rsidRPr="00501810" w:rsidRDefault="00501810" w:rsidP="00501810">
            <w:pPr>
              <w:widowControl w:val="0"/>
              <w:numPr>
                <w:ilvl w:val="0"/>
                <w:numId w:val="115"/>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 xml:space="preserve">Participación en la elaboración de glosarios. </w:t>
            </w:r>
          </w:p>
          <w:p w14:paraId="3FE695AE" w14:textId="77777777" w:rsidR="00501810" w:rsidRPr="00501810" w:rsidRDefault="00501810" w:rsidP="00501810">
            <w:pPr>
              <w:widowControl w:val="0"/>
              <w:numPr>
                <w:ilvl w:val="0"/>
                <w:numId w:val="115"/>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Trabajo grupal sobre conflictos medioambientales.</w:t>
            </w:r>
          </w:p>
        </w:tc>
      </w:tr>
      <w:tr w:rsidR="00501810" w:rsidRPr="00501810" w14:paraId="4F57B3F3" w14:textId="77777777" w:rsidTr="4C9C2619">
        <w:tc>
          <w:tcPr>
            <w:tcW w:w="1980" w:type="dxa"/>
            <w:vAlign w:val="center"/>
          </w:tcPr>
          <w:p w14:paraId="527E199E"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Horas de Producción Individual (HPI)</w:t>
            </w:r>
          </w:p>
        </w:tc>
        <w:tc>
          <w:tcPr>
            <w:tcW w:w="1417" w:type="dxa"/>
            <w:vAlign w:val="center"/>
          </w:tcPr>
          <w:p w14:paraId="4AA9A96D"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5</w:t>
            </w:r>
          </w:p>
        </w:tc>
        <w:tc>
          <w:tcPr>
            <w:tcW w:w="5387" w:type="dxa"/>
            <w:vAlign w:val="center"/>
          </w:tcPr>
          <w:p w14:paraId="69D58B12"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Elaboración de una reseña crítica de lectura.</w:t>
            </w:r>
          </w:p>
          <w:p w14:paraId="40450E86"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 xml:space="preserve">Elaboración de un mapa mental. </w:t>
            </w:r>
          </w:p>
          <w:p w14:paraId="344B147B"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Elaboración de un ensayo.</w:t>
            </w:r>
          </w:p>
          <w:p w14:paraId="3F5D7871"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 xml:space="preserve">Elaboración de un mapa conceptual. </w:t>
            </w:r>
          </w:p>
          <w:p w14:paraId="7FE26502"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Elaboración de un bosquejo de lectura.</w:t>
            </w:r>
          </w:p>
          <w:p w14:paraId="2B49F563" w14:textId="77777777" w:rsidR="00501810" w:rsidRPr="00501810" w:rsidRDefault="00501810" w:rsidP="00501810">
            <w:pPr>
              <w:widowControl w:val="0"/>
              <w:numPr>
                <w:ilvl w:val="0"/>
                <w:numId w:val="116"/>
              </w:numPr>
              <w:overflowPunct w:val="0"/>
              <w:autoSpaceDE w:val="0"/>
              <w:autoSpaceDN w:val="0"/>
              <w:adjustRightInd w:val="0"/>
              <w:spacing w:before="120" w:after="200" w:line="276" w:lineRule="auto"/>
              <w:ind w:left="319"/>
              <w:contextualSpacing/>
              <w:rPr>
                <w:rFonts w:ascii="Calibri" w:eastAsia="Calibri" w:hAnsi="Calibri" w:cs="Calibri"/>
                <w:bCs/>
                <w:color w:val="000000"/>
              </w:rPr>
            </w:pPr>
            <w:r w:rsidRPr="00501810">
              <w:rPr>
                <w:rFonts w:ascii="Calibri" w:eastAsia="Calibri" w:hAnsi="Calibri" w:cs="Calibri"/>
                <w:bCs/>
                <w:color w:val="000000"/>
              </w:rPr>
              <w:t xml:space="preserve">Elaboración de una monografía. </w:t>
            </w:r>
          </w:p>
        </w:tc>
      </w:tr>
      <w:tr w:rsidR="00501810" w:rsidRPr="00501810" w14:paraId="1634BE40" w14:textId="77777777" w:rsidTr="4C9C2619">
        <w:tc>
          <w:tcPr>
            <w:tcW w:w="1980" w:type="dxa"/>
            <w:vAlign w:val="center"/>
          </w:tcPr>
          <w:p w14:paraId="729F5B13"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Horas de Práctica (HP)</w:t>
            </w:r>
          </w:p>
        </w:tc>
        <w:tc>
          <w:tcPr>
            <w:tcW w:w="1417" w:type="dxa"/>
            <w:vAlign w:val="center"/>
          </w:tcPr>
          <w:p w14:paraId="6675D406"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501810">
              <w:rPr>
                <w:rFonts w:ascii="Calibri" w:eastAsia="Times New Roman" w:hAnsi="Calibri" w:cs="Calibri"/>
                <w:bCs/>
                <w:color w:val="000000"/>
                <w:lang w:val="es-ES_tradnl" w:eastAsia="es-CR"/>
              </w:rPr>
              <w:t>1</w:t>
            </w:r>
          </w:p>
        </w:tc>
        <w:tc>
          <w:tcPr>
            <w:tcW w:w="5387" w:type="dxa"/>
            <w:vAlign w:val="center"/>
          </w:tcPr>
          <w:p w14:paraId="5153C837" w14:textId="77777777" w:rsidR="00501810" w:rsidRPr="00501810" w:rsidRDefault="00501810" w:rsidP="00501810">
            <w:pPr>
              <w:widowControl w:val="0"/>
              <w:numPr>
                <w:ilvl w:val="0"/>
                <w:numId w:val="117"/>
              </w:numPr>
              <w:overflowPunct w:val="0"/>
              <w:autoSpaceDE w:val="0"/>
              <w:autoSpaceDN w:val="0"/>
              <w:adjustRightInd w:val="0"/>
              <w:spacing w:before="120" w:after="200" w:line="276" w:lineRule="auto"/>
              <w:ind w:left="319"/>
              <w:contextualSpacing/>
              <w:jc w:val="both"/>
              <w:rPr>
                <w:rFonts w:ascii="Calibri" w:eastAsia="Calibri" w:hAnsi="Calibri" w:cs="Calibri"/>
                <w:bCs/>
                <w:color w:val="000000"/>
              </w:rPr>
            </w:pPr>
            <w:r w:rsidRPr="00501810">
              <w:rPr>
                <w:rFonts w:ascii="Calibri" w:eastAsia="Calibri" w:hAnsi="Calibri" w:cs="Calibri"/>
                <w:bCs/>
                <w:color w:val="000000"/>
              </w:rPr>
              <w:t>Por la naturaleza de su objeto de estudio el trabajo práctico de este curso consiste en ejercicios interpretativos y analíticos contemplados en los trabajos colaborativos (foros temáticos, glosarios y trabajo grupal sobre conflictos medioambientales).</w:t>
            </w:r>
          </w:p>
        </w:tc>
      </w:tr>
      <w:tr w:rsidR="00501810" w:rsidRPr="00501810" w14:paraId="02A0C7DD" w14:textId="77777777" w:rsidTr="4C9C2619">
        <w:tc>
          <w:tcPr>
            <w:tcW w:w="1980" w:type="dxa"/>
            <w:vAlign w:val="center"/>
          </w:tcPr>
          <w:p w14:paraId="00734FAE" w14:textId="77777777" w:rsidR="00501810" w:rsidRPr="00501810" w:rsidRDefault="4C9C2619" w:rsidP="4C9C2619">
            <w:pPr>
              <w:widowControl w:val="0"/>
              <w:overflowPunct w:val="0"/>
              <w:autoSpaceDE w:val="0"/>
              <w:autoSpaceDN w:val="0"/>
              <w:adjustRightInd w:val="0"/>
              <w:jc w:val="center"/>
              <w:rPr>
                <w:rFonts w:ascii="Calibri" w:eastAsia="Times New Roman" w:hAnsi="Calibri" w:cs="Calibri"/>
                <w:b/>
                <w:bCs/>
                <w:color w:val="000000"/>
                <w:lang w:val="es-ES" w:eastAsia="es-CR"/>
              </w:rPr>
            </w:pPr>
            <w:r w:rsidRPr="4C9C2619">
              <w:rPr>
                <w:rFonts w:ascii="Calibri" w:eastAsia="Times New Roman" w:hAnsi="Calibri" w:cs="Calibri"/>
                <w:b/>
                <w:bCs/>
                <w:color w:val="000000" w:themeColor="text1"/>
                <w:lang w:val="es-ES" w:eastAsia="es-CR"/>
              </w:rPr>
              <w:t>Total de horas (TH)</w:t>
            </w:r>
          </w:p>
        </w:tc>
        <w:tc>
          <w:tcPr>
            <w:tcW w:w="1417" w:type="dxa"/>
            <w:vAlign w:val="center"/>
          </w:tcPr>
          <w:p w14:paraId="62C4830D"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501810">
              <w:rPr>
                <w:rFonts w:ascii="Calibri" w:eastAsia="Times New Roman" w:hAnsi="Calibri" w:cs="Calibri"/>
                <w:b/>
                <w:bCs/>
                <w:color w:val="000000"/>
                <w:lang w:val="es-ES_tradnl" w:eastAsia="es-CR"/>
              </w:rPr>
              <w:t>12</w:t>
            </w:r>
          </w:p>
        </w:tc>
        <w:tc>
          <w:tcPr>
            <w:tcW w:w="5387" w:type="dxa"/>
            <w:vAlign w:val="center"/>
          </w:tcPr>
          <w:p w14:paraId="27E47672" w14:textId="77777777" w:rsidR="00501810" w:rsidRPr="00501810" w:rsidRDefault="00501810" w:rsidP="00501810">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6D201198" w14:textId="77777777" w:rsidR="00501810" w:rsidRPr="00501810" w:rsidRDefault="00501810" w:rsidP="00501810">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24FE9CA"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4EC88E46" w14:textId="77777777" w:rsidR="00501810" w:rsidRPr="00501810" w:rsidRDefault="00501810" w:rsidP="00501810">
      <w:pPr>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br w:type="page"/>
      </w:r>
    </w:p>
    <w:p w14:paraId="7F06ED7E"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lastRenderedPageBreak/>
        <w:t xml:space="preserve">X. Evaluación </w:t>
      </w:r>
    </w:p>
    <w:p w14:paraId="47D1F85A" w14:textId="77777777" w:rsidR="00501810" w:rsidRPr="00501810" w:rsidRDefault="00501810"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Es fundamental la participación en el aula virtual y la elaboración de tareas individuales por la naturaleza teórica del curso. Los foros temáticos, los glosarios y el trabajo grupal sobre conflictos medioambientales implican diálogo, reflexión, síntesis y manejo de conocimientos fundamentales. Por su parte, las tareas individuales ofrecen la oportunidad de profundizar temáticas que se estudian durante el curso, acompañadas por la retroalimentación de la persona docente. Todas las actividades se evalúan por medio de rúbricas o escalas. El curso se aprueba con una nota mínima de 7.00 (en escala decimal). La evaluación sumativa se basa en los elementos plasmados a continuación:</w:t>
      </w:r>
    </w:p>
    <w:p w14:paraId="5D317F04"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Arial"/>
          <w:bCs/>
          <w:color w:val="000000"/>
          <w:kern w:val="0"/>
          <w:lang w:val="es-ES_tradnl" w:eastAsia="es-CR"/>
          <w14:ligatures w14:val="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3"/>
        <w:gridCol w:w="1339"/>
      </w:tblGrid>
      <w:tr w:rsidR="00501810" w:rsidRPr="00501810" w14:paraId="69F97B62" w14:textId="77777777" w:rsidTr="00CE7124">
        <w:tc>
          <w:tcPr>
            <w:tcW w:w="8612" w:type="dxa"/>
            <w:gridSpan w:val="2"/>
            <w:vAlign w:val="center"/>
          </w:tcPr>
          <w:p w14:paraId="4EE2B2FD"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Síntesis cuantitativa de la evaluación</w:t>
            </w:r>
          </w:p>
        </w:tc>
      </w:tr>
      <w:tr w:rsidR="00501810" w:rsidRPr="00501810" w14:paraId="4E78459B" w14:textId="77777777" w:rsidTr="00CE7124">
        <w:tc>
          <w:tcPr>
            <w:tcW w:w="7273" w:type="dxa"/>
            <w:vAlign w:val="center"/>
          </w:tcPr>
          <w:p w14:paraId="22FF58E3"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Rubros para evaluar</w:t>
            </w:r>
          </w:p>
        </w:tc>
        <w:tc>
          <w:tcPr>
            <w:tcW w:w="1339" w:type="dxa"/>
            <w:vAlign w:val="center"/>
          </w:tcPr>
          <w:p w14:paraId="3901C0BA"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Porcentaje</w:t>
            </w:r>
          </w:p>
          <w:p w14:paraId="134B6542"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total</w:t>
            </w:r>
          </w:p>
        </w:tc>
      </w:tr>
      <w:tr w:rsidR="00501810" w:rsidRPr="00501810" w14:paraId="42510940" w14:textId="77777777" w:rsidTr="00CE7124">
        <w:tc>
          <w:tcPr>
            <w:tcW w:w="7273" w:type="dxa"/>
          </w:tcPr>
          <w:p w14:paraId="771320B9"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Encuentros sincrónicos virtuales</w:t>
            </w:r>
          </w:p>
          <w:p w14:paraId="33DB5C1C"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Se llevan a cabo en las sesiones 1, 3, 5, 7, 9, 11, 13 y 14. Tienen un valor formativo y no sumativo.</w:t>
            </w:r>
          </w:p>
        </w:tc>
        <w:tc>
          <w:tcPr>
            <w:tcW w:w="1339" w:type="dxa"/>
            <w:vAlign w:val="center"/>
          </w:tcPr>
          <w:p w14:paraId="01695E3D"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w:t>
            </w:r>
          </w:p>
        </w:tc>
      </w:tr>
      <w:tr w:rsidR="00501810" w:rsidRPr="00501810" w14:paraId="13D7A53E" w14:textId="77777777" w:rsidTr="00CE7124">
        <w:tc>
          <w:tcPr>
            <w:tcW w:w="7273" w:type="dxa"/>
          </w:tcPr>
          <w:p w14:paraId="39DCB3D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Foros temáticos</w:t>
            </w:r>
          </w:p>
          <w:p w14:paraId="62EC315F"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Se desarrollan en las sesiones 2, 4, 7, 10, 12 y 13. Cada foro tiene un valor de 2,5%.</w:t>
            </w:r>
          </w:p>
        </w:tc>
        <w:tc>
          <w:tcPr>
            <w:tcW w:w="1339" w:type="dxa"/>
            <w:vAlign w:val="center"/>
          </w:tcPr>
          <w:p w14:paraId="1A2EE36E"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15%</w:t>
            </w:r>
          </w:p>
        </w:tc>
      </w:tr>
      <w:tr w:rsidR="00501810" w:rsidRPr="00501810" w14:paraId="334CCA3C" w14:textId="77777777" w:rsidTr="00CE7124">
        <w:tc>
          <w:tcPr>
            <w:tcW w:w="7273" w:type="dxa"/>
          </w:tcPr>
          <w:p w14:paraId="52EAEA6D"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Glosarios</w:t>
            </w:r>
          </w:p>
          <w:p w14:paraId="19304C90"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Se desarrollan en las sesiones 5 y 9. Cada glosario tiene un valor de 2,5%.</w:t>
            </w:r>
          </w:p>
        </w:tc>
        <w:tc>
          <w:tcPr>
            <w:tcW w:w="1339" w:type="dxa"/>
            <w:vAlign w:val="center"/>
          </w:tcPr>
          <w:p w14:paraId="6CF5F88A"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5%</w:t>
            </w:r>
          </w:p>
        </w:tc>
      </w:tr>
      <w:tr w:rsidR="00501810" w:rsidRPr="00501810" w14:paraId="1D92AB31" w14:textId="77777777" w:rsidTr="00CE7124">
        <w:tc>
          <w:tcPr>
            <w:tcW w:w="7273" w:type="dxa"/>
          </w:tcPr>
          <w:p w14:paraId="23F71C44"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Tareas individuales</w:t>
            </w:r>
          </w:p>
          <w:p w14:paraId="5A042695"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Las tareas individuales tienen un valor de 4% cada una y son las siguientes:</w:t>
            </w:r>
          </w:p>
          <w:p w14:paraId="6C48FFB6"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Reseña crítica de lectura (sesión 1)</w:t>
            </w:r>
          </w:p>
          <w:p w14:paraId="4786E44D"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Mapa mental (sesión 3)</w:t>
            </w:r>
          </w:p>
          <w:p w14:paraId="1CF12921"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Ensayo (sesión 6)</w:t>
            </w:r>
          </w:p>
          <w:p w14:paraId="6AC39194"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Mapa conceptual (sesión 8)</w:t>
            </w:r>
          </w:p>
          <w:p w14:paraId="6BB4DC9D"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Bosquejo de lectura (sesión 11)</w:t>
            </w:r>
          </w:p>
        </w:tc>
        <w:tc>
          <w:tcPr>
            <w:tcW w:w="1339" w:type="dxa"/>
            <w:vAlign w:val="center"/>
          </w:tcPr>
          <w:p w14:paraId="14806AEC"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20%</w:t>
            </w:r>
          </w:p>
        </w:tc>
      </w:tr>
      <w:tr w:rsidR="00501810" w:rsidRPr="00501810" w14:paraId="16FC123B" w14:textId="77777777" w:rsidTr="00CE7124">
        <w:tc>
          <w:tcPr>
            <w:tcW w:w="7273" w:type="dxa"/>
          </w:tcPr>
          <w:p w14:paraId="1EBE26E8"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Trabajo grupal sobre conflictos medioambientales</w:t>
            </w:r>
          </w:p>
          <w:p w14:paraId="7FE75D48"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Se inicia en la sesión 6 y finaliza en la sesión 12 distribuyéndose de la siguiente forma:</w:t>
            </w:r>
          </w:p>
          <w:p w14:paraId="69F28C8A"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Foros de discusión (sesiones 6 y 7)</w:t>
            </w:r>
          </w:p>
          <w:p w14:paraId="19066DDD"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Elaboración de insumos para wiki (sesiones 8, 9 y 10)</w:t>
            </w:r>
          </w:p>
          <w:p w14:paraId="26B1880F" w14:textId="77777777" w:rsidR="00501810" w:rsidRPr="00501810" w:rsidRDefault="00501810" w:rsidP="00501810">
            <w:pPr>
              <w:widowControl w:val="0"/>
              <w:overflowPunct w:val="0"/>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 Creación del wiki (sesiones 11 y 12)</w:t>
            </w:r>
          </w:p>
        </w:tc>
        <w:tc>
          <w:tcPr>
            <w:tcW w:w="1339" w:type="dxa"/>
            <w:vAlign w:val="center"/>
          </w:tcPr>
          <w:p w14:paraId="03BD79F3"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30%</w:t>
            </w:r>
          </w:p>
        </w:tc>
      </w:tr>
      <w:tr w:rsidR="00501810" w:rsidRPr="00501810" w14:paraId="71E561AE" w14:textId="77777777" w:rsidTr="00CE7124">
        <w:tc>
          <w:tcPr>
            <w:tcW w:w="7273" w:type="dxa"/>
          </w:tcPr>
          <w:p w14:paraId="5F5428B0"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i/>
                <w:iCs/>
                <w:kern w:val="0"/>
                <w:lang w:val="es-ES_tradnl" w:eastAsia="es-CR"/>
                <w14:ligatures w14:val="none"/>
              </w:rPr>
            </w:pPr>
            <w:r w:rsidRPr="00501810">
              <w:rPr>
                <w:rFonts w:ascii="Calibri" w:eastAsia="Times New Roman" w:hAnsi="Calibri" w:cs="Arial"/>
                <w:b/>
                <w:i/>
                <w:iCs/>
                <w:kern w:val="0"/>
                <w:lang w:val="es-ES_tradnl" w:eastAsia="es-CR"/>
                <w14:ligatures w14:val="none"/>
              </w:rPr>
              <w:t>Monografía</w:t>
            </w:r>
          </w:p>
          <w:p w14:paraId="3AA9DE2D"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01810">
              <w:rPr>
                <w:rFonts w:ascii="Calibri" w:eastAsia="Times New Roman" w:hAnsi="Calibri" w:cs="Arial"/>
                <w:bCs/>
                <w:kern w:val="0"/>
                <w:lang w:val="es-ES_tradnl" w:eastAsia="es-CR"/>
                <w14:ligatures w14:val="none"/>
              </w:rPr>
              <w:t>Se elabora entre las sesiones 13 y 15.</w:t>
            </w:r>
          </w:p>
        </w:tc>
        <w:tc>
          <w:tcPr>
            <w:tcW w:w="1339" w:type="dxa"/>
            <w:vAlign w:val="center"/>
          </w:tcPr>
          <w:p w14:paraId="21BD2FF4"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501810">
              <w:rPr>
                <w:rFonts w:ascii="Calibri" w:eastAsia="Times New Roman" w:hAnsi="Calibri" w:cs="Calibri"/>
                <w:color w:val="000000"/>
                <w:kern w:val="0"/>
                <w:lang w:val="es-ES_tradnl" w:eastAsia="es-CR"/>
                <w14:ligatures w14:val="none"/>
              </w:rPr>
              <w:t>30%</w:t>
            </w:r>
          </w:p>
        </w:tc>
      </w:tr>
      <w:tr w:rsidR="00501810" w:rsidRPr="00501810" w14:paraId="427C6BA6" w14:textId="77777777" w:rsidTr="00CE7124">
        <w:tc>
          <w:tcPr>
            <w:tcW w:w="7273" w:type="dxa"/>
            <w:vAlign w:val="center"/>
          </w:tcPr>
          <w:p w14:paraId="07E13957" w14:textId="77777777" w:rsidR="00501810" w:rsidRPr="00501810" w:rsidRDefault="00501810" w:rsidP="00501810">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Total</w:t>
            </w:r>
          </w:p>
        </w:tc>
        <w:tc>
          <w:tcPr>
            <w:tcW w:w="1339" w:type="dxa"/>
            <w:vAlign w:val="center"/>
          </w:tcPr>
          <w:p w14:paraId="66616C16" w14:textId="77777777" w:rsidR="00501810" w:rsidRPr="00501810" w:rsidRDefault="00501810" w:rsidP="00501810">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501810">
              <w:rPr>
                <w:rFonts w:ascii="Calibri" w:eastAsia="Times New Roman" w:hAnsi="Calibri" w:cs="Arial"/>
                <w:b/>
                <w:color w:val="000000"/>
                <w:kern w:val="0"/>
                <w:lang w:val="es-ES_tradnl" w:eastAsia="es-CR"/>
                <w14:ligatures w14:val="none"/>
              </w:rPr>
              <w:t>100%</w:t>
            </w:r>
          </w:p>
        </w:tc>
      </w:tr>
    </w:tbl>
    <w:p w14:paraId="3A3A891C" w14:textId="77777777" w:rsidR="00501810" w:rsidRPr="00501810" w:rsidRDefault="00501810" w:rsidP="00501810">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p>
    <w:p w14:paraId="72AACDC9" w14:textId="77777777" w:rsidR="00501810" w:rsidRPr="00501810" w:rsidRDefault="00501810" w:rsidP="00501810">
      <w:pPr>
        <w:rPr>
          <w:rFonts w:ascii="Calibri" w:eastAsia="Times New Roman" w:hAnsi="Calibri" w:cs="Arial"/>
          <w:b/>
          <w:color w:val="000000"/>
          <w:kern w:val="0"/>
          <w:lang w:val="es-ES_tradnl" w:eastAsia="es-CR"/>
          <w14:ligatures w14:val="none"/>
        </w:rPr>
      </w:pPr>
    </w:p>
    <w:p w14:paraId="1DA59753" w14:textId="77777777" w:rsidR="00501810" w:rsidRPr="00501810" w:rsidRDefault="00501810" w:rsidP="00501810">
      <w:pPr>
        <w:rPr>
          <w:rFonts w:ascii="Calibri" w:eastAsia="Times New Roman" w:hAnsi="Calibri" w:cs="Arial"/>
          <w:b/>
          <w:color w:val="000000"/>
          <w:kern w:val="0"/>
          <w:lang w:val="es-ES_tradnl" w:eastAsia="es-CR"/>
          <w14:ligatures w14:val="none"/>
        </w:rPr>
      </w:pPr>
    </w:p>
    <w:p w14:paraId="74AB1601" w14:textId="77777777" w:rsidR="00501810" w:rsidRPr="00501810" w:rsidRDefault="00501810" w:rsidP="00501810">
      <w:pPr>
        <w:rPr>
          <w:rFonts w:ascii="Calibri" w:eastAsia="Times New Roman" w:hAnsi="Calibri" w:cs="Arial"/>
          <w:b/>
          <w:color w:val="000000"/>
          <w:kern w:val="0"/>
          <w:lang w:val="es-ES_tradnl" w:eastAsia="es-CR"/>
          <w14:ligatures w14:val="none"/>
        </w:rPr>
      </w:pPr>
    </w:p>
    <w:p w14:paraId="62780FCF" w14:textId="77777777" w:rsidR="00501810" w:rsidRPr="00501810" w:rsidRDefault="00501810" w:rsidP="00501810">
      <w:pPr>
        <w:rPr>
          <w:rFonts w:ascii="Calibri" w:eastAsia="Times New Roman" w:hAnsi="Calibri" w:cs="Arial"/>
          <w:b/>
          <w:color w:val="000000"/>
          <w:kern w:val="0"/>
          <w:lang w:val="es-ES_tradnl" w:eastAsia="es-CR"/>
          <w14:ligatures w14:val="none"/>
        </w:rPr>
      </w:pPr>
    </w:p>
    <w:p w14:paraId="33036452" w14:textId="77777777" w:rsidR="00501810" w:rsidRPr="00501810" w:rsidRDefault="00501810" w:rsidP="00501810">
      <w:pPr>
        <w:rPr>
          <w:rFonts w:ascii="Calibri" w:eastAsia="Times New Roman" w:hAnsi="Calibri" w:cs="Arial"/>
          <w:b/>
          <w:color w:val="000000"/>
          <w:kern w:val="0"/>
          <w:lang w:val="es-ES_tradnl" w:eastAsia="es-CR"/>
          <w14:ligatures w14:val="none"/>
        </w:rPr>
      </w:pPr>
    </w:p>
    <w:sdt>
      <w:sdtPr>
        <w:rPr>
          <w:rFonts w:ascii="Calibri" w:eastAsia="Times New Roman" w:hAnsi="Calibri" w:cs="Arial"/>
          <w:b/>
          <w:color w:val="000000"/>
          <w:kern w:val="0"/>
          <w:lang w:val="es-ES_tradnl" w:eastAsia="es-CR"/>
          <w14:ligatures w14:val="none"/>
        </w:rPr>
        <w:id w:val="111145805"/>
        <w:bibliography/>
      </w:sdtPr>
      <w:sdtEndPr>
        <w:rPr>
          <w:b w:val="0"/>
          <w:color w:val="auto"/>
          <w:highlight w:val="cyan"/>
        </w:rPr>
      </w:sdtEndPr>
      <w:sdtContent>
        <w:p w14:paraId="242C7BC0" w14:textId="77777777" w:rsidR="00501810" w:rsidRPr="00501810" w:rsidRDefault="00501810" w:rsidP="00501810">
          <w:pPr>
            <w:rPr>
              <w:rFonts w:ascii="Calibri" w:eastAsia="Times New Roman" w:hAnsi="Calibri" w:cs="Arial"/>
              <w:b/>
              <w:color w:val="000000"/>
              <w:kern w:val="0"/>
              <w:lang w:val="es-ES_tradnl" w:eastAsia="es-CR"/>
              <w14:ligatures w14:val="none"/>
            </w:rPr>
            <w:sectPr w:rsidR="00501810" w:rsidRPr="00501810" w:rsidSect="005C1895">
              <w:pgSz w:w="12240" w:h="15840"/>
              <w:pgMar w:top="1417" w:right="1701" w:bottom="1417" w:left="1701" w:header="708" w:footer="708" w:gutter="0"/>
              <w:cols w:space="708"/>
              <w:docGrid w:linePitch="360"/>
            </w:sectPr>
          </w:pPr>
        </w:p>
        <w:p w14:paraId="5994460C"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31008" behindDoc="0" locked="0" layoutInCell="1" allowOverlap="1" wp14:anchorId="5B5305C2" wp14:editId="1B10C7E2">
                    <wp:simplePos x="0" y="0"/>
                    <wp:positionH relativeFrom="margin">
                      <wp:align>center</wp:align>
                    </wp:positionH>
                    <wp:positionV relativeFrom="paragraph">
                      <wp:posOffset>-100647</wp:posOffset>
                    </wp:positionV>
                    <wp:extent cx="7879080" cy="404813"/>
                    <wp:effectExtent l="0" t="0" r="26670" b="14605"/>
                    <wp:wrapNone/>
                    <wp:docPr id="9822475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4813"/>
                            </a:xfrm>
                            <a:prstGeom prst="rect">
                              <a:avLst/>
                            </a:prstGeom>
                            <a:solidFill>
                              <a:srgbClr val="FFFFFF"/>
                            </a:solidFill>
                            <a:ln w="9525">
                              <a:solidFill>
                                <a:srgbClr val="000000"/>
                              </a:solidFill>
                              <a:miter lim="800000"/>
                              <a:headEnd/>
                              <a:tailEnd/>
                            </a:ln>
                          </wps:spPr>
                          <wps:txbx>
                            <w:txbxContent>
                              <w:p w14:paraId="6CF9C20E" w14:textId="77777777" w:rsidR="00501810" w:rsidRPr="00501810" w:rsidRDefault="00501810" w:rsidP="00501810">
                                <w:pPr>
                                  <w:jc w:val="center"/>
                                  <w:rPr>
                                    <w:rFonts w:cs="Calibri"/>
                                    <w:b/>
                                    <w:szCs w:val="24"/>
                                  </w:rPr>
                                </w:pPr>
                                <w:r w:rsidRPr="00501810">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305C2" id="_x0000_s1113" type="#_x0000_t202" style="position:absolute;margin-left:0;margin-top:-7.9pt;width:620.4pt;height:31.9pt;z-index:2523310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">
                    <v:textbox>
                      <w:txbxContent>
                        <w:p w14:paraId="6CF9C20E" w14:textId="77777777" w:rsidR="00501810" w:rsidRPr="00501810" w:rsidRDefault="00501810" w:rsidP="00501810">
                          <w:pPr>
                            <w:jc w:val="center"/>
                            <w:rPr>
                              <w:rFonts w:cs="Calibri"/>
                              <w:b/>
                              <w:szCs w:val="24"/>
                            </w:rPr>
                          </w:pPr>
                          <w:r w:rsidRPr="00501810">
                            <w:rPr>
                              <w:rFonts w:cs="Calibri"/>
                              <w:b/>
                              <w:szCs w:val="24"/>
                            </w:rPr>
                            <w:t>RÚBRICA DE EVALUACIÓN – FORO TEMÁTICO</w:t>
                          </w:r>
                        </w:p>
                      </w:txbxContent>
                    </v:textbox>
                    <w10:wrap anchorx="margin"/>
                  </v:shape>
                </w:pict>
              </mc:Fallback>
            </mc:AlternateContent>
          </w:r>
        </w:p>
        <w:p w14:paraId="28501746" w14:textId="77777777" w:rsidR="00501810" w:rsidRPr="00501810" w:rsidRDefault="00501810" w:rsidP="00501810">
          <w:pPr>
            <w:rPr>
              <w:rFonts w:ascii="Calibri" w:eastAsia="Times New Roman" w:hAnsi="Calibri" w:cs="Arial"/>
              <w:b/>
              <w:kern w:val="0"/>
              <w:lang w:val="es-ES_tradnl" w:eastAsia="es-CR"/>
              <w14:ligatures w14:val="none"/>
            </w:rPr>
          </w:pPr>
        </w:p>
        <w:p w14:paraId="239994E6" w14:textId="77777777" w:rsidR="00501810" w:rsidRPr="00501810" w:rsidRDefault="00501810" w:rsidP="00501810">
          <w:pPr>
            <w:jc w:val="center"/>
            <w:rPr>
              <w:rFonts w:ascii="Calibri" w:eastAsia="Times New Roman" w:hAnsi="Calibri" w:cs="Arial"/>
              <w:bCs/>
              <w:color w:val="0070C0"/>
              <w:kern w:val="0"/>
              <w:lang w:val="es-ES_tradnl" w:eastAsia="es-CR"/>
              <w14:ligatures w14:val="none"/>
            </w:rPr>
          </w:pPr>
          <w:r w:rsidRPr="00501810">
            <w:rPr>
              <w:rFonts w:ascii="Calibri" w:eastAsia="Times New Roman" w:hAnsi="Calibri" w:cs="Arial"/>
              <w:bCs/>
              <w:color w:val="0070C0"/>
              <w:kern w:val="0"/>
              <w:lang w:val="es-ES_tradnl" w:eastAsia="es-CR"/>
              <w14:ligatures w14:val="none"/>
            </w:rPr>
            <w:t>El foro es una actividad de discusión académica asincrónica, ya que los y las participantes no tienen que acceder al sistema al mismo tiempo, constituyéndose en un escenario virtual para la exposición de ideas y debate. Se desarrollan en las sesiones 2, 4, 7, 10, 12 y 13. Cada foro tiene un valor de 2,5%.</w:t>
          </w:r>
        </w:p>
        <w:p w14:paraId="55F2056F" w14:textId="77777777" w:rsidR="00501810" w:rsidRPr="00501810" w:rsidRDefault="00501810" w:rsidP="00501810">
          <w:pPr>
            <w:jc w:val="center"/>
            <w:rPr>
              <w:rFonts w:ascii="Calibri" w:eastAsia="Times New Roman" w:hAnsi="Calibri" w:cs="Arial"/>
              <w:bCs/>
              <w:kern w:val="0"/>
              <w:lang w:val="es-ES_tradnl" w:eastAsia="es-CR"/>
              <w14:ligatures w14:val="none"/>
            </w:rPr>
          </w:pPr>
          <w:r w:rsidRPr="00501810">
            <w:rPr>
              <w:rFonts w:ascii="Calibri" w:eastAsia="Times New Roman" w:hAnsi="Calibri" w:cs="Arial"/>
              <w:b/>
              <w:noProof/>
              <w:kern w:val="0"/>
              <w:lang w:val="es-ES_tradnl" w:eastAsia="es-CR"/>
              <w14:ligatures w14:val="none"/>
            </w:rPr>
            <w:drawing>
              <wp:anchor distT="0" distB="0" distL="114300" distR="114300" simplePos="0" relativeHeight="252332032" behindDoc="0" locked="0" layoutInCell="1" allowOverlap="1" wp14:anchorId="6DD0EBDC" wp14:editId="02F5510F">
                <wp:simplePos x="0" y="0"/>
                <wp:positionH relativeFrom="margin">
                  <wp:align>center</wp:align>
                </wp:positionH>
                <wp:positionV relativeFrom="paragraph">
                  <wp:posOffset>83185</wp:posOffset>
                </wp:positionV>
                <wp:extent cx="8121749" cy="5867400"/>
                <wp:effectExtent l="0" t="0" r="0" b="0"/>
                <wp:wrapNone/>
                <wp:docPr id="135629078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290780" name="Imagen 1" descr="Tabla&#10;&#10;Descripción generada automáticamente"/>
                        <pic:cNvPicPr/>
                      </pic:nvPicPr>
                      <pic:blipFill>
                        <a:blip r:embed="rId211">
                          <a:extLst>
                            <a:ext uri="{28A0092B-C50C-407E-A947-70E740481C1C}">
                              <a14:useLocalDpi xmlns:a14="http://schemas.microsoft.com/office/drawing/2010/main" val="0"/>
                            </a:ext>
                          </a:extLst>
                        </a:blip>
                        <a:stretch>
                          <a:fillRect/>
                        </a:stretch>
                      </pic:blipFill>
                      <pic:spPr>
                        <a:xfrm>
                          <a:off x="0" y="0"/>
                          <a:ext cx="8121749" cy="5867400"/>
                        </a:xfrm>
                        <a:prstGeom prst="rect">
                          <a:avLst/>
                        </a:prstGeom>
                      </pic:spPr>
                    </pic:pic>
                  </a:graphicData>
                </a:graphic>
                <wp14:sizeRelH relativeFrom="margin">
                  <wp14:pctWidth>0</wp14:pctWidth>
                </wp14:sizeRelH>
                <wp14:sizeRelV relativeFrom="margin">
                  <wp14:pctHeight>0</wp14:pctHeight>
                </wp14:sizeRelV>
              </wp:anchor>
            </w:drawing>
          </w:r>
        </w:p>
        <w:p w14:paraId="40C750E9" w14:textId="77777777" w:rsidR="00501810" w:rsidRPr="00501810" w:rsidRDefault="00501810" w:rsidP="00501810">
          <w:pPr>
            <w:jc w:val="center"/>
            <w:rPr>
              <w:rFonts w:ascii="Calibri" w:eastAsia="Times New Roman" w:hAnsi="Calibri" w:cs="Arial"/>
              <w:b/>
              <w:kern w:val="0"/>
              <w:lang w:val="es-ES_tradnl" w:eastAsia="es-CR"/>
              <w14:ligatures w14:val="none"/>
            </w:rPr>
          </w:pPr>
        </w:p>
        <w:p w14:paraId="3977CF77"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br w:type="page"/>
          </w:r>
        </w:p>
        <w:p w14:paraId="445ED362" w14:textId="77777777" w:rsidR="00501810" w:rsidRPr="00501810" w:rsidRDefault="00501810" w:rsidP="00501810">
          <w:pPr>
            <w:rPr>
              <w:rFonts w:ascii="Calibri" w:eastAsia="Times New Roman" w:hAnsi="Calibri" w:cs="Arial"/>
              <w:b/>
              <w:kern w:val="0"/>
              <w:lang w:eastAsia="es-CR"/>
              <w14:ligatures w14:val="none"/>
            </w:rPr>
          </w:pPr>
          <w:r w:rsidRPr="00501810">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333056" behindDoc="0" locked="0" layoutInCell="1" allowOverlap="1" wp14:anchorId="183362ED" wp14:editId="0666D39A">
                    <wp:simplePos x="0" y="0"/>
                    <wp:positionH relativeFrom="margin">
                      <wp:align>center</wp:align>
                    </wp:positionH>
                    <wp:positionV relativeFrom="paragraph">
                      <wp:posOffset>-123825</wp:posOffset>
                    </wp:positionV>
                    <wp:extent cx="6606540" cy="411480"/>
                    <wp:effectExtent l="0" t="0" r="22860" b="26670"/>
                    <wp:wrapNone/>
                    <wp:docPr id="621770792"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E1C20F5" w14:textId="77777777" w:rsidR="00501810" w:rsidRPr="00501810" w:rsidRDefault="00501810" w:rsidP="00501810">
                                <w:pPr>
                                  <w:jc w:val="center"/>
                                  <w:rPr>
                                    <w:rFonts w:cs="Calibri"/>
                                  </w:rPr>
                                </w:pPr>
                                <w:r w:rsidRPr="00501810">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3362ED" id="_x0000_s1114" type="#_x0000_t202" style="position:absolute;margin-left:0;margin-top:-9.75pt;width:520.2pt;height:32.4pt;z-index:25233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" fillcolor="window" strokeweight=".5pt">
                    <v:textbox>
                      <w:txbxContent>
                        <w:p w14:paraId="5E1C20F5" w14:textId="77777777" w:rsidR="00501810" w:rsidRPr="00501810" w:rsidRDefault="00501810" w:rsidP="00501810">
                          <w:pPr>
                            <w:jc w:val="center"/>
                            <w:rPr>
                              <w:rFonts w:cs="Calibri"/>
                            </w:rPr>
                          </w:pPr>
                          <w:r w:rsidRPr="00501810">
                            <w:rPr>
                              <w:rFonts w:cs="Calibri"/>
                              <w:b/>
                            </w:rPr>
                            <w:t>RÚBRICA DE EVALUACIÓN – GLOSARIO</w:t>
                          </w:r>
                        </w:p>
                      </w:txbxContent>
                    </v:textbox>
                    <w10:wrap anchorx="margin"/>
                  </v:shape>
                </w:pict>
              </mc:Fallback>
            </mc:AlternateContent>
          </w:r>
        </w:p>
        <w:p w14:paraId="04E03790" w14:textId="77777777" w:rsidR="00501810" w:rsidRPr="00501810" w:rsidRDefault="00501810" w:rsidP="00501810">
          <w:pPr>
            <w:jc w:val="center"/>
            <w:rPr>
              <w:rFonts w:ascii="Calibri" w:eastAsia="Times New Roman" w:hAnsi="Calibri" w:cs="Arial"/>
              <w:b/>
              <w:kern w:val="0"/>
              <w:lang w:eastAsia="es-CR"/>
              <w14:ligatures w14:val="none"/>
            </w:rPr>
          </w:pPr>
        </w:p>
        <w:p w14:paraId="28C04470" w14:textId="77777777" w:rsidR="00501810" w:rsidRPr="00501810" w:rsidRDefault="00501810" w:rsidP="00501810">
          <w:pPr>
            <w:jc w:val="center"/>
            <w:rPr>
              <w:rFonts w:ascii="Calibri" w:eastAsia="Times New Roman" w:hAnsi="Calibri" w:cs="Arial"/>
              <w:bCs/>
              <w:color w:val="0070C0"/>
              <w:kern w:val="0"/>
              <w:lang w:val="es-ES_tradnl" w:eastAsia="es-CR"/>
              <w14:ligatures w14:val="none"/>
            </w:rPr>
          </w:pPr>
          <w:r w:rsidRPr="00501810">
            <w:rPr>
              <w:rFonts w:ascii="Calibri" w:eastAsia="Times New Roman" w:hAnsi="Calibri" w:cs="Arial"/>
              <w:bCs/>
              <w:color w:val="0070C0"/>
              <w:kern w:val="0"/>
              <w:lang w:val="es-ES_tradnl" w:eastAsia="es-CR"/>
              <w14:ligatures w14:val="none"/>
            </w:rPr>
            <w:t>Conocer los conceptos fundamentales de una disciplina o de un tópico de estudio es una competencia sustancial en el abordaje de esta. En este curso se elaboran dos glosarios, el primero sobre el subdesarrollo en América Latina, y el segundo sobre los movimientos sociales. Se desarrollan en las sesiones 5 y 9. Cada glosario tiene un valor de 2,5%.</w:t>
          </w:r>
        </w:p>
        <w:p w14:paraId="730E4E35" w14:textId="77777777" w:rsidR="00501810" w:rsidRPr="00501810" w:rsidRDefault="00501810" w:rsidP="00501810">
          <w:pPr>
            <w:jc w:val="center"/>
            <w:rPr>
              <w:rFonts w:ascii="Calibri" w:eastAsia="Times New Roman" w:hAnsi="Calibri" w:cs="Arial"/>
              <w:bCs/>
              <w:kern w:val="0"/>
              <w:lang w:val="es-ES_tradnl" w:eastAsia="es-CR"/>
              <w14:ligatures w14:val="none"/>
            </w:rPr>
          </w:pPr>
          <w:r w:rsidRPr="00501810">
            <w:rPr>
              <w:rFonts w:ascii="Calibri" w:eastAsia="Times New Roman" w:hAnsi="Calibri" w:cs="Arial"/>
              <w:b/>
              <w:noProof/>
              <w:kern w:val="0"/>
              <w:lang w:val="es-ES_tradnl" w:eastAsia="es-CR"/>
              <w14:ligatures w14:val="none"/>
            </w:rPr>
            <w:drawing>
              <wp:anchor distT="0" distB="0" distL="114300" distR="114300" simplePos="0" relativeHeight="252334080" behindDoc="0" locked="0" layoutInCell="1" allowOverlap="1" wp14:anchorId="31D07996" wp14:editId="25D543A3">
                <wp:simplePos x="0" y="0"/>
                <wp:positionH relativeFrom="margin">
                  <wp:align>center</wp:align>
                </wp:positionH>
                <wp:positionV relativeFrom="paragraph">
                  <wp:posOffset>118110</wp:posOffset>
                </wp:positionV>
                <wp:extent cx="7851648" cy="5382768"/>
                <wp:effectExtent l="0" t="0" r="0" b="8890"/>
                <wp:wrapNone/>
                <wp:docPr id="129185064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850647" name="Imagen 2" descr="Tabla&#10;&#10;Descripción generada automáticamente"/>
                        <pic:cNvPicPr/>
                      </pic:nvPicPr>
                      <pic:blipFill>
                        <a:blip r:embed="rId212">
                          <a:extLst>
                            <a:ext uri="{28A0092B-C50C-407E-A947-70E740481C1C}">
                              <a14:useLocalDpi xmlns:a14="http://schemas.microsoft.com/office/drawing/2010/main" val="0"/>
                            </a:ext>
                          </a:extLst>
                        </a:blip>
                        <a:stretch>
                          <a:fillRect/>
                        </a:stretch>
                      </pic:blipFill>
                      <pic:spPr>
                        <a:xfrm>
                          <a:off x="0" y="0"/>
                          <a:ext cx="7851648" cy="5382768"/>
                        </a:xfrm>
                        <a:prstGeom prst="rect">
                          <a:avLst/>
                        </a:prstGeom>
                      </pic:spPr>
                    </pic:pic>
                  </a:graphicData>
                </a:graphic>
              </wp:anchor>
            </w:drawing>
          </w:r>
        </w:p>
        <w:p w14:paraId="06DB3913" w14:textId="77777777" w:rsidR="00501810" w:rsidRPr="00501810" w:rsidRDefault="00501810" w:rsidP="00501810">
          <w:pPr>
            <w:jc w:val="center"/>
            <w:rPr>
              <w:rFonts w:ascii="Calibri" w:eastAsia="Times New Roman" w:hAnsi="Calibri" w:cs="Arial"/>
              <w:b/>
              <w:kern w:val="0"/>
              <w:lang w:val="es-ES_tradnl" w:eastAsia="es-CR"/>
              <w14:ligatures w14:val="none"/>
            </w:rPr>
          </w:pPr>
        </w:p>
        <w:p w14:paraId="23293E15"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br w:type="page"/>
          </w:r>
        </w:p>
        <w:p w14:paraId="003F7D9B"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335104" behindDoc="0" locked="0" layoutInCell="1" allowOverlap="1" wp14:anchorId="01909D62" wp14:editId="23F271EC">
                    <wp:simplePos x="0" y="0"/>
                    <wp:positionH relativeFrom="margin">
                      <wp:align>center</wp:align>
                    </wp:positionH>
                    <wp:positionV relativeFrom="paragraph">
                      <wp:posOffset>4763</wp:posOffset>
                    </wp:positionV>
                    <wp:extent cx="6606540" cy="411480"/>
                    <wp:effectExtent l="0" t="0" r="22860" b="26670"/>
                    <wp:wrapNone/>
                    <wp:docPr id="1537219056" name="Cuadro de texto 1537219056"/>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2825AC3" w14:textId="77777777" w:rsidR="00501810" w:rsidRPr="00501810" w:rsidRDefault="00501810" w:rsidP="00501810">
                                <w:pPr>
                                  <w:jc w:val="center"/>
                                  <w:rPr>
                                    <w:rFonts w:cs="Calibri"/>
                                  </w:rPr>
                                </w:pPr>
                                <w:r w:rsidRPr="00501810">
                                  <w:rPr>
                                    <w:rFonts w:cs="Calibri"/>
                                    <w:b/>
                                  </w:rPr>
                                  <w:t>RÚBRICA DE EVALUACIÓN – RESEÑA CRÍTICA DE LECTURA</w:t>
                                </w:r>
                              </w:p>
                              <w:p w14:paraId="3DE0E8F2" w14:textId="77777777" w:rsidR="00501810" w:rsidRPr="00501810" w:rsidRDefault="00501810" w:rsidP="0050181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909D62" id="Cuadro de texto 1537219056" o:spid="_x0000_s1115" type="#_x0000_t202" style="position:absolute;margin-left:0;margin-top:.4pt;width:520.2pt;height:32.4pt;z-index:2523351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" fillcolor="window" strokeweight=".5pt">
                    <v:textbox>
                      <w:txbxContent>
                        <w:p w14:paraId="62825AC3" w14:textId="77777777" w:rsidR="00501810" w:rsidRPr="00501810" w:rsidRDefault="00501810" w:rsidP="00501810">
                          <w:pPr>
                            <w:jc w:val="center"/>
                            <w:rPr>
                              <w:rFonts w:cs="Calibri"/>
                            </w:rPr>
                          </w:pPr>
                          <w:r w:rsidRPr="00501810">
                            <w:rPr>
                              <w:rFonts w:cs="Calibri"/>
                              <w:b/>
                            </w:rPr>
                            <w:t>RÚBRICA DE EVALUACIÓN – RESEÑA CRÍTICA DE LECTURA</w:t>
                          </w:r>
                        </w:p>
                        <w:p w14:paraId="3DE0E8F2" w14:textId="77777777" w:rsidR="00501810" w:rsidRPr="00501810" w:rsidRDefault="00501810" w:rsidP="00501810">
                          <w:pPr>
                            <w:jc w:val="center"/>
                            <w:rPr>
                              <w:rFonts w:cs="Calibri"/>
                            </w:rPr>
                          </w:pPr>
                        </w:p>
                      </w:txbxContent>
                    </v:textbox>
                    <w10:wrap anchorx="margin"/>
                  </v:shape>
                </w:pict>
              </mc:Fallback>
            </mc:AlternateContent>
          </w:r>
        </w:p>
        <w:p w14:paraId="1EC24BD9" w14:textId="77777777" w:rsidR="00501810" w:rsidRPr="00501810" w:rsidRDefault="00501810" w:rsidP="00501810">
          <w:pPr>
            <w:rPr>
              <w:rFonts w:ascii="Calibri" w:eastAsia="Times New Roman" w:hAnsi="Calibri" w:cs="Arial"/>
              <w:b/>
              <w:kern w:val="0"/>
              <w:lang w:val="es-ES_tradnl" w:eastAsia="es-CR"/>
              <w14:ligatures w14:val="none"/>
            </w:rPr>
          </w:pPr>
        </w:p>
        <w:p w14:paraId="1EE48194" w14:textId="77777777" w:rsidR="00501810" w:rsidRPr="00501810" w:rsidRDefault="00501810" w:rsidP="00501810">
          <w:pPr>
            <w:jc w:val="center"/>
            <w:rPr>
              <w:rFonts w:ascii="Calibri" w:eastAsia="Times New Roman" w:hAnsi="Calibri" w:cs="Arial"/>
              <w:bCs/>
              <w:color w:val="0070C0"/>
              <w:kern w:val="0"/>
              <w:lang w:val="es-ES_tradnl" w:eastAsia="es-CR"/>
              <w14:ligatures w14:val="none"/>
            </w:rPr>
          </w:pPr>
          <w:r w:rsidRPr="00501810">
            <w:rPr>
              <w:rFonts w:ascii="Calibri" w:eastAsia="Times New Roman" w:hAnsi="Calibri" w:cs="Arial"/>
              <w:bCs/>
              <w:color w:val="0070C0"/>
              <w:kern w:val="0"/>
              <w:lang w:val="es-ES_tradnl" w:eastAsia="es-CR"/>
              <w14:ligatures w14:val="none"/>
            </w:rPr>
            <w:t>La reseña crítica es un resumen argumentativo y analítico de las ideas expresadas en un documento literario. Se compone de tres partes claramente definidas: el resumen de las principales ideas de la persona autora de la lectura analizada, el análisis y la contextualización.  Se elabora en la sesión 1 y vale 4%.</w:t>
          </w:r>
        </w:p>
        <w:p w14:paraId="3F4BC00A" w14:textId="77777777" w:rsidR="00501810" w:rsidRPr="00501810" w:rsidRDefault="00501810" w:rsidP="00501810">
          <w:pPr>
            <w:jc w:val="center"/>
            <w:rPr>
              <w:rFonts w:ascii="Calibri" w:eastAsia="Times New Roman" w:hAnsi="Calibri" w:cs="Arial"/>
              <w:bCs/>
              <w:kern w:val="0"/>
              <w:lang w:val="es-ES_tradnl" w:eastAsia="es-CR"/>
              <w14:ligatures w14:val="none"/>
            </w:rPr>
          </w:pPr>
        </w:p>
        <w:p w14:paraId="58131F17" w14:textId="77777777" w:rsidR="00501810" w:rsidRPr="00501810" w:rsidRDefault="00501810" w:rsidP="00501810">
          <w:pPr>
            <w:jc w:val="center"/>
            <w:rPr>
              <w:rFonts w:ascii="Calibri" w:eastAsia="Times New Roman" w:hAnsi="Calibri" w:cs="Arial"/>
              <w:b/>
              <w:kern w:val="0"/>
              <w:lang w:val="es-ES_tradnl" w:eastAsia="es-CR"/>
              <w14:ligatures w14:val="none"/>
            </w:rPr>
          </w:pPr>
          <w:r w:rsidRPr="00501810">
            <w:rPr>
              <w:rFonts w:ascii="Calibri" w:eastAsia="Times New Roman" w:hAnsi="Calibri" w:cs="Arial"/>
              <w:b/>
              <w:noProof/>
              <w:kern w:val="0"/>
              <w:lang w:val="es-ES_tradnl" w:eastAsia="es-CR"/>
              <w14:ligatures w14:val="none"/>
            </w:rPr>
            <w:drawing>
              <wp:anchor distT="0" distB="0" distL="114300" distR="114300" simplePos="0" relativeHeight="252336128" behindDoc="0" locked="0" layoutInCell="1" allowOverlap="1" wp14:anchorId="270942DA" wp14:editId="29567B8D">
                <wp:simplePos x="0" y="0"/>
                <wp:positionH relativeFrom="column">
                  <wp:posOffset>0</wp:posOffset>
                </wp:positionH>
                <wp:positionV relativeFrom="paragraph">
                  <wp:posOffset>2223</wp:posOffset>
                </wp:positionV>
                <wp:extent cx="9144000" cy="4886960"/>
                <wp:effectExtent l="0" t="0" r="0" b="8890"/>
                <wp:wrapNone/>
                <wp:docPr id="199737136"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37136" name="Imagen 3" descr="Tabla&#10;&#10;Descripción generada automáticamente"/>
                        <pic:cNvPicPr/>
                      </pic:nvPicPr>
                      <pic:blipFill>
                        <a:blip r:embed="rId213">
                          <a:extLst>
                            <a:ext uri="{28A0092B-C50C-407E-A947-70E740481C1C}">
                              <a14:useLocalDpi xmlns:a14="http://schemas.microsoft.com/office/drawing/2010/main" val="0"/>
                            </a:ext>
                          </a:extLst>
                        </a:blip>
                        <a:stretch>
                          <a:fillRect/>
                        </a:stretch>
                      </pic:blipFill>
                      <pic:spPr>
                        <a:xfrm>
                          <a:off x="0" y="0"/>
                          <a:ext cx="9144000" cy="4886960"/>
                        </a:xfrm>
                        <a:prstGeom prst="rect">
                          <a:avLst/>
                        </a:prstGeom>
                      </pic:spPr>
                    </pic:pic>
                  </a:graphicData>
                </a:graphic>
              </wp:anchor>
            </w:drawing>
          </w:r>
        </w:p>
        <w:p w14:paraId="709C9EED"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br w:type="page"/>
          </w:r>
        </w:p>
        <w:p w14:paraId="4389E7AD" w14:textId="77777777" w:rsidR="00501810" w:rsidRPr="00501810" w:rsidRDefault="00501810" w:rsidP="00501810">
          <w:pPr>
            <w:rPr>
              <w:rFonts w:ascii="Calibri" w:eastAsia="Times New Roman" w:hAnsi="Calibri" w:cs="Arial"/>
              <w:b/>
              <w:kern w:val="0"/>
              <w:lang w:eastAsia="es-CR"/>
              <w14:ligatures w14:val="none"/>
            </w:rPr>
          </w:pPr>
          <w:r w:rsidRPr="00501810">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337152" behindDoc="0" locked="0" layoutInCell="1" allowOverlap="1" wp14:anchorId="75CEA3F4" wp14:editId="1374B407">
                    <wp:simplePos x="0" y="0"/>
                    <wp:positionH relativeFrom="margin">
                      <wp:align>center</wp:align>
                    </wp:positionH>
                    <wp:positionV relativeFrom="paragraph">
                      <wp:posOffset>-133350</wp:posOffset>
                    </wp:positionV>
                    <wp:extent cx="6606540" cy="411480"/>
                    <wp:effectExtent l="0" t="0" r="22860" b="26670"/>
                    <wp:wrapNone/>
                    <wp:docPr id="1966518308" name="Cuadro de texto 196651830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7D75A292" w14:textId="77777777" w:rsidR="00501810" w:rsidRPr="00501810" w:rsidRDefault="00501810" w:rsidP="00501810">
                                <w:pPr>
                                  <w:jc w:val="center"/>
                                  <w:rPr>
                                    <w:rFonts w:cs="Calibri"/>
                                  </w:rPr>
                                </w:pPr>
                                <w:r w:rsidRPr="00501810">
                                  <w:rPr>
                                    <w:rFonts w:cs="Calibri"/>
                                    <w:b/>
                                  </w:rPr>
                                  <w:t>RÚBRICA DE EVALUACIÓN – MAPA 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EA3F4" id="Cuadro de texto 1966518308" o:spid="_x0000_s1116" type="#_x0000_t202" style="position:absolute;margin-left:0;margin-top:-10.5pt;width:520.2pt;height:32.4pt;z-index:252337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" fillcolor="window" strokeweight=".5pt">
                    <v:textbox>
                      <w:txbxContent>
                        <w:p w14:paraId="7D75A292" w14:textId="77777777" w:rsidR="00501810" w:rsidRPr="00501810" w:rsidRDefault="00501810" w:rsidP="00501810">
                          <w:pPr>
                            <w:jc w:val="center"/>
                            <w:rPr>
                              <w:rFonts w:cs="Calibri"/>
                            </w:rPr>
                          </w:pPr>
                          <w:r w:rsidRPr="00501810">
                            <w:rPr>
                              <w:rFonts w:cs="Calibri"/>
                              <w:b/>
                            </w:rPr>
                            <w:t>RÚBRICA DE EVALUACIÓN – MAPA MENTAL</w:t>
                          </w:r>
                        </w:p>
                      </w:txbxContent>
                    </v:textbox>
                    <w10:wrap anchorx="margin"/>
                  </v:shape>
                </w:pict>
              </mc:Fallback>
            </mc:AlternateContent>
          </w:r>
        </w:p>
        <w:p w14:paraId="1C89C22C" w14:textId="77777777" w:rsidR="00501810" w:rsidRPr="00501810" w:rsidRDefault="00501810" w:rsidP="00501810">
          <w:pPr>
            <w:rPr>
              <w:rFonts w:ascii="Calibri" w:eastAsia="Times New Roman" w:hAnsi="Calibri" w:cs="Arial"/>
              <w:b/>
              <w:kern w:val="0"/>
              <w:lang w:eastAsia="es-CR"/>
              <w14:ligatures w14:val="none"/>
            </w:rPr>
          </w:pPr>
        </w:p>
        <w:p w14:paraId="6BEAE228" w14:textId="77777777" w:rsidR="00501810" w:rsidRPr="00501810" w:rsidRDefault="00501810" w:rsidP="00501810">
          <w:pPr>
            <w:jc w:val="center"/>
            <w:rPr>
              <w:rFonts w:ascii="Calibri" w:eastAsia="Times New Roman" w:hAnsi="Calibri" w:cs="Arial"/>
              <w:bCs/>
              <w:color w:val="0070C0"/>
              <w:kern w:val="0"/>
              <w:lang w:val="es-ES_tradnl" w:eastAsia="es-CR"/>
              <w14:ligatures w14:val="none"/>
            </w:rPr>
          </w:pPr>
          <w:r w:rsidRPr="00501810">
            <w:rPr>
              <w:rFonts w:ascii="Calibri" w:eastAsia="Times New Roman" w:hAnsi="Calibri" w:cs="Arial"/>
              <w:bCs/>
              <w:color w:val="0070C0"/>
              <w:kern w:val="0"/>
              <w:lang w:val="es-ES_tradnl" w:eastAsia="es-CR"/>
              <w14:ligatures w14:val="none"/>
            </w:rPr>
            <w:t>Para trabajar el tema sobre la angustiosa situación social de América Latina se solicita la elaboración de un mapa mental, el cual permitirá visualizar claramente diversos problemas que se enfrentan en la región. Se elabora en la sesión 3 y tiene un valor de 4%.</w:t>
          </w:r>
        </w:p>
        <w:p w14:paraId="2CF30002" w14:textId="77777777" w:rsidR="00501810" w:rsidRPr="00501810" w:rsidRDefault="00501810" w:rsidP="00501810">
          <w:pPr>
            <w:jc w:val="center"/>
            <w:rPr>
              <w:rFonts w:ascii="Calibri" w:eastAsia="Times New Roman" w:hAnsi="Calibri" w:cs="Arial"/>
              <w:bCs/>
              <w:kern w:val="0"/>
              <w:lang w:val="es-ES_tradnl" w:eastAsia="es-CR"/>
              <w14:ligatures w14:val="none"/>
            </w:rPr>
          </w:pPr>
        </w:p>
        <w:p w14:paraId="015420BA" w14:textId="77777777" w:rsidR="00501810" w:rsidRPr="00501810" w:rsidRDefault="00501810" w:rsidP="00501810">
          <w:pPr>
            <w:jc w:val="center"/>
            <w:rPr>
              <w:rFonts w:ascii="Calibri" w:eastAsia="Times New Roman" w:hAnsi="Calibri" w:cs="Arial"/>
              <w:bCs/>
              <w:kern w:val="0"/>
              <w:lang w:val="es-ES_tradnl" w:eastAsia="es-CR"/>
              <w14:ligatures w14:val="none"/>
            </w:rPr>
          </w:pPr>
          <w:r w:rsidRPr="00501810">
            <w:rPr>
              <w:rFonts w:ascii="Calibri" w:eastAsia="Times New Roman" w:hAnsi="Calibri" w:cs="Arial"/>
              <w:bCs/>
              <w:noProof/>
              <w:kern w:val="0"/>
              <w:lang w:val="es-ES_tradnl" w:eastAsia="es-CR"/>
              <w14:ligatures w14:val="none"/>
            </w:rPr>
            <w:drawing>
              <wp:anchor distT="0" distB="0" distL="114300" distR="114300" simplePos="0" relativeHeight="252338176" behindDoc="0" locked="0" layoutInCell="1" allowOverlap="1" wp14:anchorId="7F2B2D75" wp14:editId="367BD532">
                <wp:simplePos x="0" y="0"/>
                <wp:positionH relativeFrom="column">
                  <wp:posOffset>461963</wp:posOffset>
                </wp:positionH>
                <wp:positionV relativeFrom="paragraph">
                  <wp:posOffset>2223</wp:posOffset>
                </wp:positionV>
                <wp:extent cx="8217408" cy="5401056"/>
                <wp:effectExtent l="0" t="0" r="0" b="9525"/>
                <wp:wrapNone/>
                <wp:docPr id="10837426"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426" name="Imagen 4" descr="Tabla&#10;&#10;Descripción generada automáticamente"/>
                        <pic:cNvPicPr/>
                      </pic:nvPicPr>
                      <pic:blipFill>
                        <a:blip r:embed="rId214">
                          <a:extLst>
                            <a:ext uri="{28A0092B-C50C-407E-A947-70E740481C1C}">
                              <a14:useLocalDpi xmlns:a14="http://schemas.microsoft.com/office/drawing/2010/main" val="0"/>
                            </a:ext>
                          </a:extLst>
                        </a:blip>
                        <a:stretch>
                          <a:fillRect/>
                        </a:stretch>
                      </pic:blipFill>
                      <pic:spPr>
                        <a:xfrm>
                          <a:off x="0" y="0"/>
                          <a:ext cx="8217408" cy="5401056"/>
                        </a:xfrm>
                        <a:prstGeom prst="rect">
                          <a:avLst/>
                        </a:prstGeom>
                      </pic:spPr>
                    </pic:pic>
                  </a:graphicData>
                </a:graphic>
              </wp:anchor>
            </w:drawing>
          </w:r>
        </w:p>
        <w:p w14:paraId="13782470"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br w:type="page"/>
          </w:r>
        </w:p>
        <w:p w14:paraId="031A9E41"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339200" behindDoc="0" locked="0" layoutInCell="1" allowOverlap="1" wp14:anchorId="47AEA406" wp14:editId="11D75140">
                    <wp:simplePos x="0" y="0"/>
                    <wp:positionH relativeFrom="margin">
                      <wp:align>center</wp:align>
                    </wp:positionH>
                    <wp:positionV relativeFrom="paragraph">
                      <wp:posOffset>-81598</wp:posOffset>
                    </wp:positionV>
                    <wp:extent cx="7284720" cy="335280"/>
                    <wp:effectExtent l="0" t="0" r="11430" b="26670"/>
                    <wp:wrapNone/>
                    <wp:docPr id="1811737519" name="Cuadro de texto 1811737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4720" cy="33528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58D0F14A" w14:textId="77777777" w:rsidR="00501810" w:rsidRPr="00501810" w:rsidRDefault="00501810" w:rsidP="00501810">
                                <w:pPr>
                                  <w:spacing w:before="70"/>
                                  <w:ind w:left="3645" w:right="3656"/>
                                  <w:jc w:val="center"/>
                                  <w:rPr>
                                    <w:rFonts w:cs="Calibri"/>
                                    <w:b/>
                                  </w:rPr>
                                </w:pPr>
                                <w:r w:rsidRPr="00501810">
                                  <w:rPr>
                                    <w:rFonts w:cs="Calibri"/>
                                    <w:b/>
                                  </w:rPr>
                                  <w:t>ESCALA</w:t>
                                </w:r>
                                <w:r w:rsidRPr="00501810">
                                  <w:rPr>
                                    <w:rFonts w:cs="Calibri"/>
                                    <w:b/>
                                    <w:spacing w:val="-2"/>
                                  </w:rPr>
                                  <w:t xml:space="preserve"> </w:t>
                                </w:r>
                                <w:r w:rsidRPr="00501810">
                                  <w:rPr>
                                    <w:rFonts w:cs="Calibri"/>
                                    <w:b/>
                                  </w:rPr>
                                  <w:t>DE</w:t>
                                </w:r>
                                <w:r w:rsidRPr="00501810">
                                  <w:rPr>
                                    <w:rFonts w:cs="Calibri"/>
                                    <w:b/>
                                    <w:spacing w:val="-5"/>
                                  </w:rPr>
                                  <w:t xml:space="preserve"> </w:t>
                                </w:r>
                                <w:r w:rsidRPr="00501810">
                                  <w:rPr>
                                    <w:rFonts w:cs="Calibri"/>
                                    <w:b/>
                                  </w:rPr>
                                  <w:t>EVALUACIÓN</w:t>
                                </w:r>
                                <w:r w:rsidRPr="00501810">
                                  <w:rPr>
                                    <w:rFonts w:cs="Calibri"/>
                                    <w:b/>
                                    <w:spacing w:val="-2"/>
                                  </w:rPr>
                                  <w:t xml:space="preserve"> </w:t>
                                </w:r>
                                <w:r w:rsidRPr="00501810">
                                  <w:rPr>
                                    <w:rFonts w:cs="Calibri"/>
                                    <w:b/>
                                  </w:rPr>
                                  <w:t>–</w:t>
                                </w:r>
                                <w:r w:rsidRPr="00501810">
                                  <w:rPr>
                                    <w:rFonts w:cs="Calibri"/>
                                    <w:b/>
                                    <w:spacing w:val="-3"/>
                                  </w:rPr>
                                  <w:t xml:space="preserve"> </w:t>
                                </w:r>
                                <w:r w:rsidRPr="00501810">
                                  <w:rPr>
                                    <w:rFonts w:cs="Calibri"/>
                                    <w:b/>
                                  </w:rPr>
                                  <w:t>ENSAYO</w:t>
                                </w:r>
                              </w:p>
                            </w:txbxContent>
                          </wps:txbx>
                          <wps:bodyPr rot="0" vert="horz" wrap="square" lIns="0" tIns="0" rIns="0" bIns="0" anchor="t" anchorCtr="0" upright="1">
                            <a:noAutofit/>
                          </wps:bodyPr>
                        </wps:wsp>
                      </a:graphicData>
                    </a:graphic>
                  </wp:anchor>
                </w:drawing>
              </mc:Choice>
              <mc:Fallback>
                <w:pict>
                  <v:shape w14:anchorId="47AEA406" id="Cuadro de texto 1811737519" o:spid="_x0000_s1117" type="#_x0000_t202" style="position:absolute;margin-left:0;margin-top:-6.45pt;width:573.6pt;height:26.4pt;z-index:2523392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" filled="f" strokeweight=".72pt">
                    <v:textbox inset="0,0,0,0">
                      <w:txbxContent>
                        <w:p w14:paraId="58D0F14A" w14:textId="77777777" w:rsidR="00501810" w:rsidRPr="00501810" w:rsidRDefault="00501810" w:rsidP="00501810">
                          <w:pPr>
                            <w:spacing w:before="70"/>
                            <w:ind w:left="3645" w:right="3656"/>
                            <w:jc w:val="center"/>
                            <w:rPr>
                              <w:rFonts w:cs="Calibri"/>
                              <w:b/>
                            </w:rPr>
                          </w:pPr>
                          <w:r w:rsidRPr="00501810">
                            <w:rPr>
                              <w:rFonts w:cs="Calibri"/>
                              <w:b/>
                            </w:rPr>
                            <w:t>ESCALA</w:t>
                          </w:r>
                          <w:r w:rsidRPr="00501810">
                            <w:rPr>
                              <w:rFonts w:cs="Calibri"/>
                              <w:b/>
                              <w:spacing w:val="-2"/>
                            </w:rPr>
                            <w:t xml:space="preserve"> </w:t>
                          </w:r>
                          <w:r w:rsidRPr="00501810">
                            <w:rPr>
                              <w:rFonts w:cs="Calibri"/>
                              <w:b/>
                            </w:rPr>
                            <w:t>DE</w:t>
                          </w:r>
                          <w:r w:rsidRPr="00501810">
                            <w:rPr>
                              <w:rFonts w:cs="Calibri"/>
                              <w:b/>
                              <w:spacing w:val="-5"/>
                            </w:rPr>
                            <w:t xml:space="preserve"> </w:t>
                          </w:r>
                          <w:r w:rsidRPr="00501810">
                            <w:rPr>
                              <w:rFonts w:cs="Calibri"/>
                              <w:b/>
                            </w:rPr>
                            <w:t>EVALUACIÓN</w:t>
                          </w:r>
                          <w:r w:rsidRPr="00501810">
                            <w:rPr>
                              <w:rFonts w:cs="Calibri"/>
                              <w:b/>
                              <w:spacing w:val="-2"/>
                            </w:rPr>
                            <w:t xml:space="preserve"> </w:t>
                          </w:r>
                          <w:r w:rsidRPr="00501810">
                            <w:rPr>
                              <w:rFonts w:cs="Calibri"/>
                              <w:b/>
                            </w:rPr>
                            <w:t>–</w:t>
                          </w:r>
                          <w:r w:rsidRPr="00501810">
                            <w:rPr>
                              <w:rFonts w:cs="Calibri"/>
                              <w:b/>
                              <w:spacing w:val="-3"/>
                            </w:rPr>
                            <w:t xml:space="preserve"> </w:t>
                          </w:r>
                          <w:r w:rsidRPr="00501810">
                            <w:rPr>
                              <w:rFonts w:cs="Calibri"/>
                              <w:b/>
                            </w:rPr>
                            <w:t>ENSAYO</w:t>
                          </w:r>
                        </w:p>
                      </w:txbxContent>
                    </v:textbox>
                    <w10:wrap anchorx="margin"/>
                  </v:shape>
                </w:pict>
              </mc:Fallback>
            </mc:AlternateContent>
          </w:r>
        </w:p>
        <w:p w14:paraId="2F35E01F" w14:textId="77777777" w:rsidR="00501810" w:rsidRPr="00501810" w:rsidRDefault="00501810" w:rsidP="00501810">
          <w:pPr>
            <w:rPr>
              <w:rFonts w:ascii="Calibri" w:eastAsia="Times New Roman" w:hAnsi="Calibri" w:cs="Arial"/>
              <w:b/>
              <w:kern w:val="0"/>
              <w:lang w:val="es-ES_tradnl" w:eastAsia="es-CR"/>
              <w14:ligatures w14:val="none"/>
            </w:rPr>
          </w:pPr>
        </w:p>
        <w:p w14:paraId="40E3BF72" w14:textId="77777777" w:rsidR="00501810" w:rsidRPr="00501810" w:rsidRDefault="00501810" w:rsidP="00501810">
          <w:pPr>
            <w:jc w:val="center"/>
            <w:rPr>
              <w:rFonts w:ascii="Calibri" w:eastAsia="Times New Roman" w:hAnsi="Calibri" w:cs="Arial"/>
              <w:bCs/>
              <w:color w:val="0070C0"/>
              <w:kern w:val="0"/>
              <w:lang w:val="es-ES_tradnl" w:eastAsia="es-CR"/>
              <w14:ligatures w14:val="none"/>
            </w:rPr>
          </w:pPr>
          <w:r w:rsidRPr="00501810">
            <w:rPr>
              <w:rFonts w:ascii="Calibri" w:eastAsia="Times New Roman" w:hAnsi="Calibri" w:cs="Arial"/>
              <w:bCs/>
              <w:color w:val="0070C0"/>
              <w:kern w:val="0"/>
              <w:lang w:val="es-ES_tradnl" w:eastAsia="es-CR"/>
              <w14:ligatures w14:val="none"/>
            </w:rPr>
            <w:t>Se define el ensayo académico como aquel documento escrito que, en forma sistemática, estructurada y ordenada, presenta un tópico o tema seleccionado o designado con subtemas de desarrollo, introducción, conclusión y referencias. Se elabora en la sesión 6 y tiene un valor de 4%.</w:t>
          </w:r>
        </w:p>
        <w:p w14:paraId="7C3457C2" w14:textId="77777777" w:rsidR="00501810" w:rsidRPr="00501810" w:rsidRDefault="00501810" w:rsidP="00501810">
          <w:pPr>
            <w:jc w:val="center"/>
            <w:rPr>
              <w:rFonts w:ascii="Calibri" w:eastAsia="Times New Roman" w:hAnsi="Calibri" w:cs="Arial"/>
              <w:bCs/>
              <w:kern w:val="0"/>
              <w:lang w:val="es-ES_tradnl" w:eastAsia="es-CR"/>
              <w14:ligatures w14:val="none"/>
            </w:rPr>
          </w:pPr>
        </w:p>
        <w:p w14:paraId="7F179FD0" w14:textId="77777777" w:rsidR="00501810" w:rsidRPr="00501810" w:rsidRDefault="00501810" w:rsidP="00501810">
          <w:pPr>
            <w:jc w:val="center"/>
            <w:rPr>
              <w:rFonts w:ascii="Calibri" w:eastAsia="Times New Roman" w:hAnsi="Calibri" w:cs="Arial"/>
              <w:b/>
              <w:kern w:val="0"/>
              <w:lang w:val="es-ES_tradnl" w:eastAsia="es-CR"/>
              <w14:ligatures w14:val="none"/>
            </w:rPr>
          </w:pPr>
          <w:r w:rsidRPr="00501810">
            <w:rPr>
              <w:rFonts w:ascii="Calibri" w:eastAsia="Times New Roman" w:hAnsi="Calibri" w:cs="Arial"/>
              <w:b/>
              <w:noProof/>
              <w:kern w:val="0"/>
              <w:lang w:val="es-ES_tradnl" w:eastAsia="es-CR"/>
              <w14:ligatures w14:val="none"/>
            </w:rPr>
            <w:drawing>
              <wp:anchor distT="0" distB="0" distL="114300" distR="114300" simplePos="0" relativeHeight="252340224" behindDoc="0" locked="0" layoutInCell="1" allowOverlap="1" wp14:anchorId="0C54BA47" wp14:editId="297AE7D9">
                <wp:simplePos x="0" y="0"/>
                <wp:positionH relativeFrom="column">
                  <wp:posOffset>1019175</wp:posOffset>
                </wp:positionH>
                <wp:positionV relativeFrom="paragraph">
                  <wp:posOffset>2223</wp:posOffset>
                </wp:positionV>
                <wp:extent cx="7101840" cy="5266944"/>
                <wp:effectExtent l="0" t="0" r="3810" b="0"/>
                <wp:wrapNone/>
                <wp:docPr id="1922589284"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589284" name="Imagen 5" descr="Tabla&#10;&#10;Descripción generada automáticamente"/>
                        <pic:cNvPicPr/>
                      </pic:nvPicPr>
                      <pic:blipFill>
                        <a:blip r:embed="rId215">
                          <a:extLst>
                            <a:ext uri="{28A0092B-C50C-407E-A947-70E740481C1C}">
                              <a14:useLocalDpi xmlns:a14="http://schemas.microsoft.com/office/drawing/2010/main" val="0"/>
                            </a:ext>
                          </a:extLst>
                        </a:blip>
                        <a:stretch>
                          <a:fillRect/>
                        </a:stretch>
                      </pic:blipFill>
                      <pic:spPr>
                        <a:xfrm>
                          <a:off x="0" y="0"/>
                          <a:ext cx="7101840" cy="5266944"/>
                        </a:xfrm>
                        <a:prstGeom prst="rect">
                          <a:avLst/>
                        </a:prstGeom>
                      </pic:spPr>
                    </pic:pic>
                  </a:graphicData>
                </a:graphic>
              </wp:anchor>
            </w:drawing>
          </w:r>
        </w:p>
        <w:p w14:paraId="485AF5F5" w14:textId="77777777" w:rsidR="00501810" w:rsidRPr="00501810" w:rsidRDefault="00501810" w:rsidP="00501810">
          <w:pPr>
            <w:rPr>
              <w:rFonts w:ascii="Calibri" w:eastAsia="Times New Roman" w:hAnsi="Calibri" w:cs="Arial"/>
              <w:kern w:val="0"/>
              <w:lang w:val="es-ES_tradnl" w:eastAsia="es-CR"/>
              <w14:ligatures w14:val="none"/>
            </w:rPr>
          </w:pPr>
        </w:p>
        <w:p w14:paraId="649A9A88" w14:textId="77777777" w:rsidR="00501810" w:rsidRPr="00501810" w:rsidRDefault="00501810" w:rsidP="00501810">
          <w:pPr>
            <w:rPr>
              <w:rFonts w:ascii="Calibri" w:eastAsia="Times New Roman" w:hAnsi="Calibri" w:cs="Arial"/>
              <w:kern w:val="0"/>
              <w:lang w:val="es-ES_tradnl" w:eastAsia="es-CR"/>
              <w14:ligatures w14:val="none"/>
            </w:rPr>
          </w:pPr>
        </w:p>
        <w:p w14:paraId="1A274E24" w14:textId="77777777" w:rsidR="00501810" w:rsidRPr="00501810" w:rsidRDefault="00501810" w:rsidP="00501810">
          <w:pPr>
            <w:rPr>
              <w:rFonts w:ascii="Calibri" w:eastAsia="Times New Roman" w:hAnsi="Calibri" w:cs="Arial"/>
              <w:kern w:val="0"/>
              <w:lang w:val="es-ES_tradnl" w:eastAsia="es-CR"/>
              <w14:ligatures w14:val="none"/>
            </w:rPr>
          </w:pPr>
        </w:p>
        <w:p w14:paraId="70ED82C8" w14:textId="77777777" w:rsidR="00501810" w:rsidRPr="00501810" w:rsidRDefault="00501810" w:rsidP="00501810">
          <w:pPr>
            <w:rPr>
              <w:rFonts w:ascii="Calibri" w:eastAsia="Times New Roman" w:hAnsi="Calibri" w:cs="Arial"/>
              <w:kern w:val="0"/>
              <w:lang w:val="es-ES_tradnl" w:eastAsia="es-CR"/>
              <w14:ligatures w14:val="none"/>
            </w:rPr>
          </w:pPr>
        </w:p>
        <w:p w14:paraId="62BF2C57" w14:textId="77777777" w:rsidR="00501810" w:rsidRPr="00501810" w:rsidRDefault="00501810" w:rsidP="00501810">
          <w:pPr>
            <w:rPr>
              <w:rFonts w:ascii="Calibri" w:eastAsia="Times New Roman" w:hAnsi="Calibri" w:cs="Arial"/>
              <w:kern w:val="0"/>
              <w:lang w:val="es-ES_tradnl" w:eastAsia="es-CR"/>
              <w14:ligatures w14:val="none"/>
            </w:rPr>
          </w:pPr>
        </w:p>
        <w:p w14:paraId="5B14DED8" w14:textId="77777777" w:rsidR="00501810" w:rsidRPr="00501810" w:rsidRDefault="00501810" w:rsidP="00501810">
          <w:pPr>
            <w:rPr>
              <w:rFonts w:ascii="Calibri" w:eastAsia="Times New Roman" w:hAnsi="Calibri" w:cs="Arial"/>
              <w:kern w:val="0"/>
              <w:lang w:val="es-ES_tradnl" w:eastAsia="es-CR"/>
              <w14:ligatures w14:val="none"/>
            </w:rPr>
          </w:pPr>
        </w:p>
        <w:p w14:paraId="4AB5EB1F" w14:textId="77777777" w:rsidR="00501810" w:rsidRPr="00501810" w:rsidRDefault="00501810" w:rsidP="00501810">
          <w:pPr>
            <w:rPr>
              <w:rFonts w:ascii="Calibri" w:eastAsia="Times New Roman" w:hAnsi="Calibri" w:cs="Arial"/>
              <w:kern w:val="0"/>
              <w:lang w:val="es-ES_tradnl" w:eastAsia="es-CR"/>
              <w14:ligatures w14:val="none"/>
            </w:rPr>
          </w:pPr>
        </w:p>
        <w:p w14:paraId="4009D842" w14:textId="77777777" w:rsidR="00501810" w:rsidRPr="00501810" w:rsidRDefault="00501810" w:rsidP="00501810">
          <w:pPr>
            <w:rPr>
              <w:rFonts w:ascii="Calibri" w:eastAsia="Times New Roman" w:hAnsi="Calibri" w:cs="Arial"/>
              <w:kern w:val="0"/>
              <w:lang w:val="es-ES_tradnl" w:eastAsia="es-CR"/>
              <w14:ligatures w14:val="none"/>
            </w:rPr>
          </w:pPr>
        </w:p>
        <w:p w14:paraId="54BA2734" w14:textId="77777777" w:rsidR="00501810" w:rsidRPr="00501810" w:rsidRDefault="00501810" w:rsidP="00501810">
          <w:pPr>
            <w:rPr>
              <w:rFonts w:ascii="Calibri" w:eastAsia="Times New Roman" w:hAnsi="Calibri" w:cs="Arial"/>
              <w:kern w:val="0"/>
              <w:lang w:val="es-ES_tradnl" w:eastAsia="es-CR"/>
              <w14:ligatures w14:val="none"/>
            </w:rPr>
          </w:pPr>
        </w:p>
        <w:p w14:paraId="047EDDD2" w14:textId="77777777" w:rsidR="00501810" w:rsidRPr="00501810" w:rsidRDefault="00501810" w:rsidP="00501810">
          <w:pPr>
            <w:rPr>
              <w:rFonts w:ascii="Calibri" w:eastAsia="Times New Roman" w:hAnsi="Calibri" w:cs="Arial"/>
              <w:kern w:val="0"/>
              <w:lang w:val="es-ES_tradnl" w:eastAsia="es-CR"/>
              <w14:ligatures w14:val="none"/>
            </w:rPr>
          </w:pPr>
        </w:p>
        <w:p w14:paraId="1210724C" w14:textId="77777777" w:rsidR="00501810" w:rsidRPr="00501810" w:rsidRDefault="00501810" w:rsidP="00501810">
          <w:pPr>
            <w:rPr>
              <w:rFonts w:ascii="Calibri" w:eastAsia="Times New Roman" w:hAnsi="Calibri" w:cs="Arial"/>
              <w:kern w:val="0"/>
              <w:lang w:val="es-ES_tradnl" w:eastAsia="es-CR"/>
              <w14:ligatures w14:val="none"/>
            </w:rPr>
          </w:pPr>
        </w:p>
        <w:p w14:paraId="1BFD7925" w14:textId="77777777" w:rsidR="00501810" w:rsidRPr="00501810" w:rsidRDefault="00501810" w:rsidP="00501810">
          <w:pPr>
            <w:rPr>
              <w:rFonts w:ascii="Calibri" w:eastAsia="Times New Roman" w:hAnsi="Calibri" w:cs="Arial"/>
              <w:kern w:val="0"/>
              <w:lang w:val="es-ES_tradnl" w:eastAsia="es-CR"/>
              <w14:ligatures w14:val="none"/>
            </w:rPr>
          </w:pPr>
        </w:p>
        <w:p w14:paraId="661D485F" w14:textId="77777777" w:rsidR="00501810" w:rsidRPr="00501810" w:rsidRDefault="00501810" w:rsidP="00501810">
          <w:pPr>
            <w:rPr>
              <w:rFonts w:ascii="Calibri" w:eastAsia="Times New Roman" w:hAnsi="Calibri" w:cs="Arial"/>
              <w:kern w:val="0"/>
              <w:lang w:val="es-ES_tradnl" w:eastAsia="es-CR"/>
              <w14:ligatures w14:val="none"/>
            </w:rPr>
          </w:pPr>
        </w:p>
        <w:p w14:paraId="0C6E4CBE" w14:textId="77777777" w:rsidR="00501810" w:rsidRPr="00501810" w:rsidRDefault="00501810" w:rsidP="00501810">
          <w:pPr>
            <w:rPr>
              <w:rFonts w:ascii="Calibri" w:eastAsia="Times New Roman" w:hAnsi="Calibri" w:cs="Arial"/>
              <w:kern w:val="0"/>
              <w:lang w:val="es-ES_tradnl" w:eastAsia="es-CR"/>
              <w14:ligatures w14:val="none"/>
            </w:rPr>
          </w:pPr>
        </w:p>
        <w:p w14:paraId="7E82BB88" w14:textId="77777777" w:rsidR="00501810" w:rsidRPr="00501810" w:rsidRDefault="00501810" w:rsidP="00501810">
          <w:pPr>
            <w:rPr>
              <w:rFonts w:ascii="Calibri" w:eastAsia="Times New Roman" w:hAnsi="Calibri" w:cs="Arial"/>
              <w:kern w:val="0"/>
              <w:lang w:val="es-ES_tradnl" w:eastAsia="es-CR"/>
              <w14:ligatures w14:val="none"/>
            </w:rPr>
          </w:pPr>
        </w:p>
        <w:p w14:paraId="78615E8B" w14:textId="77777777" w:rsidR="00501810" w:rsidRPr="00501810" w:rsidRDefault="00501810" w:rsidP="00501810">
          <w:pPr>
            <w:rPr>
              <w:rFonts w:ascii="Calibri" w:eastAsia="Times New Roman" w:hAnsi="Calibri" w:cs="Arial"/>
              <w:kern w:val="0"/>
              <w:lang w:val="es-ES_tradnl" w:eastAsia="es-CR"/>
              <w14:ligatures w14:val="none"/>
            </w:rPr>
          </w:pPr>
        </w:p>
        <w:p w14:paraId="4A74EA5D" w14:textId="77777777" w:rsidR="00501810" w:rsidRPr="00501810" w:rsidRDefault="00501810" w:rsidP="00501810">
          <w:pPr>
            <w:rPr>
              <w:rFonts w:ascii="Calibri" w:eastAsia="Times New Roman" w:hAnsi="Calibri" w:cs="Arial"/>
              <w:kern w:val="0"/>
              <w:lang w:val="es-ES_tradnl" w:eastAsia="es-CR"/>
              <w14:ligatures w14:val="none"/>
            </w:rPr>
          </w:pPr>
        </w:p>
        <w:p w14:paraId="024FD2F9" w14:textId="77777777" w:rsidR="00501810" w:rsidRPr="00501810" w:rsidRDefault="00501810" w:rsidP="00501810">
          <w:pPr>
            <w:rPr>
              <w:rFonts w:ascii="Calibri" w:eastAsia="Times New Roman" w:hAnsi="Calibri" w:cs="Arial"/>
              <w:kern w:val="0"/>
              <w:lang w:val="es-ES_tradnl" w:eastAsia="es-CR"/>
              <w14:ligatures w14:val="none"/>
            </w:rPr>
          </w:pPr>
        </w:p>
        <w:p w14:paraId="4B5D3E1F" w14:textId="77777777" w:rsidR="00501810" w:rsidRPr="00501810" w:rsidRDefault="00501810" w:rsidP="00501810">
          <w:pPr>
            <w:rPr>
              <w:rFonts w:ascii="Calibri" w:eastAsia="Times New Roman" w:hAnsi="Calibri" w:cs="Arial"/>
              <w:kern w:val="0"/>
              <w:lang w:val="es-ES_tradnl" w:eastAsia="es-CR"/>
              <w14:ligatures w14:val="none"/>
            </w:rPr>
          </w:pPr>
          <w:r w:rsidRPr="00501810">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341248" behindDoc="0" locked="0" layoutInCell="1" allowOverlap="1" wp14:anchorId="6B1D3031" wp14:editId="59CEC920">
                    <wp:simplePos x="0" y="0"/>
                    <wp:positionH relativeFrom="margin">
                      <wp:align>center</wp:align>
                    </wp:positionH>
                    <wp:positionV relativeFrom="paragraph">
                      <wp:posOffset>-152400</wp:posOffset>
                    </wp:positionV>
                    <wp:extent cx="6697980" cy="419100"/>
                    <wp:effectExtent l="0" t="0" r="26670" b="19050"/>
                    <wp:wrapNone/>
                    <wp:docPr id="1168402852" name="Rectángulo 1168402852"/>
                    <wp:cNvGraphicFramePr/>
                    <a:graphic xmlns:a="http://schemas.openxmlformats.org/drawingml/2006/main">
                      <a:graphicData uri="http://schemas.microsoft.com/office/word/2010/wordprocessingShape">
                        <wps:wsp>
                          <wps:cNvSpPr/>
                          <wps:spPr>
                            <a:xfrm>
                              <a:off x="0" y="0"/>
                              <a:ext cx="6697980" cy="41910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1C7A216" w14:textId="77777777" w:rsidR="00501810" w:rsidRPr="00501810" w:rsidRDefault="00501810" w:rsidP="00501810">
                                <w:pPr>
                                  <w:jc w:val="center"/>
                                  <w:rPr>
                                    <w:rFonts w:cs="Calibri"/>
                                    <w:b/>
                                  </w:rPr>
                                </w:pPr>
                                <w:r w:rsidRPr="00501810">
                                  <w:rPr>
                                    <w:rFonts w:cs="Calibri"/>
                                    <w:b/>
                                  </w:rPr>
                                  <w:t>RÚBRICA DE EVALUACIÓN – MAPA CONCEPTUAL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D3031" id="Rectángulo 1168402852" o:spid="_x0000_s1118" style="position:absolute;margin-left:0;margin-top:-12pt;width:527.4pt;height:33pt;z-index:252341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" fillcolor="window" strokecolor="windowText" strokeweight=".25pt">
                    <v:textbox>
                      <w:txbxContent>
                        <w:p w14:paraId="51C7A216" w14:textId="77777777" w:rsidR="00501810" w:rsidRPr="00501810" w:rsidRDefault="00501810" w:rsidP="00501810">
                          <w:pPr>
                            <w:jc w:val="center"/>
                            <w:rPr>
                              <w:rFonts w:cs="Calibri"/>
                              <w:b/>
                            </w:rPr>
                          </w:pPr>
                          <w:r w:rsidRPr="00501810">
                            <w:rPr>
                              <w:rFonts w:cs="Calibri"/>
                              <w:b/>
                            </w:rPr>
                            <w:t>RÚBRICA DE EVALUACIÓN – MAPA CONCEPTUAL</w:t>
                          </w:r>
                        </w:p>
                      </w:txbxContent>
                    </v:textbox>
                    <w10:wrap anchorx="margin"/>
                  </v:rect>
                </w:pict>
              </mc:Fallback>
            </mc:AlternateContent>
          </w:r>
        </w:p>
        <w:p w14:paraId="532516C9" w14:textId="77777777" w:rsidR="00501810" w:rsidRPr="00501810" w:rsidRDefault="00501810" w:rsidP="00501810">
          <w:pPr>
            <w:rPr>
              <w:rFonts w:ascii="Calibri" w:eastAsia="Times New Roman" w:hAnsi="Calibri" w:cs="Arial"/>
              <w:kern w:val="0"/>
              <w:lang w:val="es-ES_tradnl" w:eastAsia="es-CR"/>
              <w14:ligatures w14:val="none"/>
            </w:rPr>
          </w:pPr>
        </w:p>
        <w:p w14:paraId="50E80099" w14:textId="77777777" w:rsidR="00501810" w:rsidRPr="00501810" w:rsidRDefault="00501810" w:rsidP="00501810">
          <w:pPr>
            <w:jc w:val="center"/>
            <w:rPr>
              <w:rFonts w:ascii="Calibri" w:eastAsia="Times New Roman" w:hAnsi="Calibri" w:cs="Arial"/>
              <w:color w:val="0070C0"/>
              <w:kern w:val="0"/>
              <w:lang w:val="es-ES_tradnl" w:eastAsia="es-CR"/>
              <w14:ligatures w14:val="none"/>
            </w:rPr>
          </w:pPr>
          <w:r w:rsidRPr="00501810">
            <w:rPr>
              <w:rFonts w:ascii="Calibri" w:eastAsia="Times New Roman" w:hAnsi="Calibri" w:cs="Arial"/>
              <w:color w:val="0070C0"/>
              <w:kern w:val="0"/>
              <w:lang w:val="es-ES_tradnl" w:eastAsia="es-CR"/>
              <w14:ligatures w14:val="none"/>
            </w:rPr>
            <w:t>Se trata de una estrategia de aprendizaje y una herramienta de estudio en la que, en forma gráfica, didáctica, ordenada, jerarquizada y sistemática se ilustran los esquemas conceptuales que se van dando al apropiarse del conocimiento que comparte una lectura o documento. Se elabora en la sesión 8 y vale 4%.</w:t>
          </w:r>
        </w:p>
        <w:p w14:paraId="6F6BD6C7" w14:textId="77777777" w:rsidR="00501810" w:rsidRPr="00501810" w:rsidRDefault="00501810" w:rsidP="00501810">
          <w:pPr>
            <w:jc w:val="center"/>
            <w:rPr>
              <w:rFonts w:ascii="Calibri" w:eastAsia="Times New Roman" w:hAnsi="Calibri" w:cs="Arial"/>
              <w:kern w:val="0"/>
              <w:lang w:val="es-ES_tradnl" w:eastAsia="es-CR"/>
              <w14:ligatures w14:val="none"/>
            </w:rPr>
          </w:pPr>
          <w:r w:rsidRPr="00501810">
            <w:rPr>
              <w:rFonts w:ascii="Calibri" w:eastAsia="Times New Roman" w:hAnsi="Calibri" w:cs="Arial"/>
              <w:noProof/>
              <w:kern w:val="0"/>
              <w:lang w:val="es-ES_tradnl" w:eastAsia="es-CR"/>
              <w14:ligatures w14:val="none"/>
            </w:rPr>
            <w:drawing>
              <wp:anchor distT="0" distB="0" distL="114300" distR="114300" simplePos="0" relativeHeight="252342272" behindDoc="0" locked="0" layoutInCell="1" allowOverlap="1" wp14:anchorId="6D06BE3E" wp14:editId="36BD46C3">
                <wp:simplePos x="0" y="0"/>
                <wp:positionH relativeFrom="margin">
                  <wp:align>center</wp:align>
                </wp:positionH>
                <wp:positionV relativeFrom="paragraph">
                  <wp:posOffset>192723</wp:posOffset>
                </wp:positionV>
                <wp:extent cx="8875776" cy="5760720"/>
                <wp:effectExtent l="0" t="0" r="1905" b="0"/>
                <wp:wrapNone/>
                <wp:docPr id="857644511" name="Imagen 6" descr="Tex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644511" name="Imagen 6" descr="Texto, Tabla&#10;&#10;Descripción generada automáticamente"/>
                        <pic:cNvPicPr/>
                      </pic:nvPicPr>
                      <pic:blipFill>
                        <a:blip r:embed="rId216">
                          <a:extLst>
                            <a:ext uri="{28A0092B-C50C-407E-A947-70E740481C1C}">
                              <a14:useLocalDpi xmlns:a14="http://schemas.microsoft.com/office/drawing/2010/main" val="0"/>
                            </a:ext>
                          </a:extLst>
                        </a:blip>
                        <a:stretch>
                          <a:fillRect/>
                        </a:stretch>
                      </pic:blipFill>
                      <pic:spPr>
                        <a:xfrm>
                          <a:off x="0" y="0"/>
                          <a:ext cx="8875776" cy="5760720"/>
                        </a:xfrm>
                        <a:prstGeom prst="rect">
                          <a:avLst/>
                        </a:prstGeom>
                      </pic:spPr>
                    </pic:pic>
                  </a:graphicData>
                </a:graphic>
              </wp:anchor>
            </w:drawing>
          </w:r>
        </w:p>
        <w:p w14:paraId="171B9166" w14:textId="77777777" w:rsidR="00501810" w:rsidRPr="00501810" w:rsidRDefault="00501810" w:rsidP="00501810">
          <w:pPr>
            <w:jc w:val="center"/>
            <w:rPr>
              <w:rFonts w:ascii="Calibri" w:eastAsia="Times New Roman" w:hAnsi="Calibri" w:cs="Arial"/>
              <w:kern w:val="0"/>
              <w:lang w:val="es-ES_tradnl" w:eastAsia="es-CR"/>
              <w14:ligatures w14:val="none"/>
            </w:rPr>
          </w:pPr>
        </w:p>
        <w:p w14:paraId="17A5A856" w14:textId="77777777" w:rsidR="00501810" w:rsidRPr="00501810" w:rsidRDefault="00501810" w:rsidP="00501810">
          <w:pPr>
            <w:rPr>
              <w:rFonts w:ascii="Calibri" w:eastAsia="Times New Roman" w:hAnsi="Calibri" w:cs="Arial"/>
              <w:kern w:val="0"/>
              <w:lang w:val="es-ES_tradnl" w:eastAsia="es-CR"/>
              <w14:ligatures w14:val="none"/>
            </w:rPr>
          </w:pPr>
        </w:p>
        <w:p w14:paraId="49379A26" w14:textId="77777777" w:rsidR="00501810" w:rsidRPr="00501810" w:rsidRDefault="00501810" w:rsidP="00501810">
          <w:pPr>
            <w:rPr>
              <w:rFonts w:ascii="Calibri" w:eastAsia="Times New Roman" w:hAnsi="Calibri" w:cs="Arial"/>
              <w:kern w:val="0"/>
              <w:lang w:val="es-ES_tradnl" w:eastAsia="es-CR"/>
              <w14:ligatures w14:val="none"/>
            </w:rPr>
          </w:pPr>
        </w:p>
        <w:p w14:paraId="75217267" w14:textId="77777777" w:rsidR="00501810" w:rsidRPr="00501810" w:rsidRDefault="00501810" w:rsidP="00501810">
          <w:pPr>
            <w:rPr>
              <w:rFonts w:ascii="Calibri" w:eastAsia="Times New Roman" w:hAnsi="Calibri" w:cs="Arial"/>
              <w:kern w:val="0"/>
              <w:lang w:val="es-ES_tradnl" w:eastAsia="es-CR"/>
              <w14:ligatures w14:val="none"/>
            </w:rPr>
          </w:pPr>
        </w:p>
        <w:p w14:paraId="1F2EC804" w14:textId="77777777" w:rsidR="00501810" w:rsidRPr="00501810" w:rsidRDefault="00501810" w:rsidP="00501810">
          <w:pPr>
            <w:rPr>
              <w:rFonts w:ascii="Calibri" w:eastAsia="Times New Roman" w:hAnsi="Calibri" w:cs="Arial"/>
              <w:kern w:val="0"/>
              <w:lang w:val="es-ES_tradnl" w:eastAsia="es-CR"/>
              <w14:ligatures w14:val="none"/>
            </w:rPr>
          </w:pPr>
        </w:p>
        <w:p w14:paraId="60BBF8D3" w14:textId="77777777" w:rsidR="00501810" w:rsidRPr="00501810" w:rsidRDefault="00501810" w:rsidP="00501810">
          <w:pPr>
            <w:rPr>
              <w:rFonts w:ascii="Calibri" w:eastAsia="Times New Roman" w:hAnsi="Calibri" w:cs="Arial"/>
              <w:kern w:val="0"/>
              <w:lang w:val="es-ES_tradnl" w:eastAsia="es-CR"/>
              <w14:ligatures w14:val="none"/>
            </w:rPr>
          </w:pPr>
        </w:p>
        <w:p w14:paraId="26459969" w14:textId="77777777" w:rsidR="00501810" w:rsidRPr="00501810" w:rsidRDefault="00501810" w:rsidP="00501810">
          <w:pPr>
            <w:rPr>
              <w:rFonts w:ascii="Calibri" w:eastAsia="Times New Roman" w:hAnsi="Calibri" w:cs="Arial"/>
              <w:kern w:val="0"/>
              <w:lang w:val="es-ES_tradnl" w:eastAsia="es-CR"/>
              <w14:ligatures w14:val="none"/>
            </w:rPr>
          </w:pPr>
        </w:p>
        <w:p w14:paraId="571B140E" w14:textId="77777777" w:rsidR="00501810" w:rsidRPr="00501810" w:rsidRDefault="00501810" w:rsidP="00501810">
          <w:pPr>
            <w:rPr>
              <w:rFonts w:ascii="Calibri" w:eastAsia="Times New Roman" w:hAnsi="Calibri" w:cs="Arial"/>
              <w:kern w:val="0"/>
              <w:lang w:val="es-ES_tradnl" w:eastAsia="es-CR"/>
              <w14:ligatures w14:val="none"/>
            </w:rPr>
          </w:pPr>
        </w:p>
        <w:p w14:paraId="44DD3ECB" w14:textId="77777777" w:rsidR="00501810" w:rsidRPr="00501810" w:rsidRDefault="00501810" w:rsidP="00501810">
          <w:pPr>
            <w:rPr>
              <w:rFonts w:ascii="Calibri" w:eastAsia="Times New Roman" w:hAnsi="Calibri" w:cs="Arial"/>
              <w:kern w:val="0"/>
              <w:lang w:val="es-ES_tradnl" w:eastAsia="es-CR"/>
              <w14:ligatures w14:val="none"/>
            </w:rPr>
          </w:pPr>
        </w:p>
        <w:p w14:paraId="76BEC630" w14:textId="77777777" w:rsidR="00501810" w:rsidRPr="00501810" w:rsidRDefault="00501810" w:rsidP="00501810">
          <w:pPr>
            <w:rPr>
              <w:rFonts w:ascii="Calibri" w:eastAsia="Times New Roman" w:hAnsi="Calibri" w:cs="Arial"/>
              <w:kern w:val="0"/>
              <w:lang w:val="es-ES_tradnl" w:eastAsia="es-CR"/>
              <w14:ligatures w14:val="none"/>
            </w:rPr>
          </w:pPr>
        </w:p>
        <w:p w14:paraId="0FC6147B" w14:textId="77777777" w:rsidR="00501810" w:rsidRPr="00501810" w:rsidRDefault="00501810" w:rsidP="00501810">
          <w:pPr>
            <w:rPr>
              <w:rFonts w:ascii="Calibri" w:eastAsia="Times New Roman" w:hAnsi="Calibri" w:cs="Arial"/>
              <w:kern w:val="0"/>
              <w:lang w:val="es-ES_tradnl" w:eastAsia="es-CR"/>
              <w14:ligatures w14:val="none"/>
            </w:rPr>
          </w:pPr>
        </w:p>
        <w:p w14:paraId="3D0C5BAB" w14:textId="77777777" w:rsidR="00501810" w:rsidRPr="00501810" w:rsidRDefault="00501810" w:rsidP="00501810">
          <w:pPr>
            <w:rPr>
              <w:rFonts w:ascii="Calibri" w:eastAsia="Times New Roman" w:hAnsi="Calibri" w:cs="Arial"/>
              <w:kern w:val="0"/>
              <w:lang w:val="es-ES_tradnl" w:eastAsia="es-CR"/>
              <w14:ligatures w14:val="none"/>
            </w:rPr>
          </w:pPr>
        </w:p>
        <w:p w14:paraId="1E2596AD" w14:textId="77777777" w:rsidR="00501810" w:rsidRPr="00501810" w:rsidRDefault="00501810" w:rsidP="00501810">
          <w:pPr>
            <w:rPr>
              <w:rFonts w:ascii="Calibri" w:eastAsia="Times New Roman" w:hAnsi="Calibri" w:cs="Arial"/>
              <w:kern w:val="0"/>
              <w:lang w:val="es-ES_tradnl" w:eastAsia="es-CR"/>
              <w14:ligatures w14:val="none"/>
            </w:rPr>
          </w:pPr>
        </w:p>
        <w:p w14:paraId="23121F60" w14:textId="77777777" w:rsidR="00501810" w:rsidRPr="00501810" w:rsidRDefault="00501810" w:rsidP="00501810">
          <w:pPr>
            <w:rPr>
              <w:rFonts w:ascii="Calibri" w:eastAsia="Times New Roman" w:hAnsi="Calibri" w:cs="Arial"/>
              <w:kern w:val="0"/>
              <w:lang w:val="es-ES_tradnl" w:eastAsia="es-CR"/>
              <w14:ligatures w14:val="none"/>
            </w:rPr>
          </w:pPr>
        </w:p>
        <w:p w14:paraId="094A6604" w14:textId="77777777" w:rsidR="00501810" w:rsidRPr="00501810" w:rsidRDefault="00501810" w:rsidP="00501810">
          <w:pPr>
            <w:rPr>
              <w:rFonts w:ascii="Calibri" w:eastAsia="Times New Roman" w:hAnsi="Calibri" w:cs="Arial"/>
              <w:kern w:val="0"/>
              <w:lang w:val="es-ES_tradnl" w:eastAsia="es-CR"/>
              <w14:ligatures w14:val="none"/>
            </w:rPr>
          </w:pPr>
        </w:p>
        <w:p w14:paraId="06386D84" w14:textId="77777777" w:rsidR="00501810" w:rsidRPr="00501810" w:rsidRDefault="00501810" w:rsidP="00501810">
          <w:pPr>
            <w:rPr>
              <w:rFonts w:ascii="Calibri" w:eastAsia="Times New Roman" w:hAnsi="Calibri" w:cs="Arial"/>
              <w:kern w:val="0"/>
              <w:lang w:val="es-ES_tradnl" w:eastAsia="es-CR"/>
              <w14:ligatures w14:val="none"/>
            </w:rPr>
          </w:pPr>
        </w:p>
        <w:p w14:paraId="3DCE0E0F" w14:textId="77777777" w:rsidR="00501810" w:rsidRPr="00501810" w:rsidRDefault="00501810" w:rsidP="00501810">
          <w:pPr>
            <w:rPr>
              <w:rFonts w:ascii="Calibri" w:eastAsia="Times New Roman" w:hAnsi="Calibri" w:cs="Arial"/>
              <w:kern w:val="0"/>
              <w:lang w:val="es-ES_tradnl" w:eastAsia="es-CR"/>
              <w14:ligatures w14:val="none"/>
            </w:rPr>
          </w:pPr>
        </w:p>
        <w:p w14:paraId="24FE3CA1" w14:textId="77777777" w:rsidR="00501810" w:rsidRPr="00501810" w:rsidRDefault="00501810" w:rsidP="00501810">
          <w:pPr>
            <w:rPr>
              <w:rFonts w:ascii="Calibri" w:eastAsia="Times New Roman" w:hAnsi="Calibri" w:cs="Arial"/>
              <w:kern w:val="0"/>
              <w:lang w:val="es-ES_tradnl" w:eastAsia="es-CR"/>
              <w14:ligatures w14:val="none"/>
            </w:rPr>
          </w:pPr>
        </w:p>
        <w:p w14:paraId="4868A489" w14:textId="77777777" w:rsidR="00501810" w:rsidRPr="00501810" w:rsidRDefault="00501810" w:rsidP="00501810">
          <w:pPr>
            <w:rPr>
              <w:rFonts w:ascii="Calibri" w:eastAsia="Times New Roman" w:hAnsi="Calibri" w:cs="Arial"/>
              <w:kern w:val="0"/>
              <w:lang w:val="es-ES_tradnl" w:eastAsia="es-CR"/>
              <w14:ligatures w14:val="none"/>
            </w:rPr>
          </w:pPr>
        </w:p>
        <w:p w14:paraId="717CF083" w14:textId="77777777" w:rsidR="00501810" w:rsidRPr="00501810" w:rsidRDefault="00501810" w:rsidP="00501810">
          <w:pPr>
            <w:rPr>
              <w:rFonts w:ascii="Calibri" w:eastAsia="Times New Roman" w:hAnsi="Calibri" w:cs="Arial"/>
              <w:kern w:val="0"/>
              <w:lang w:val="es-ES_tradnl" w:eastAsia="es-CR"/>
              <w14:ligatures w14:val="none"/>
            </w:rPr>
          </w:pPr>
          <w:r w:rsidRPr="00501810">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343296" behindDoc="0" locked="0" layoutInCell="1" allowOverlap="1" wp14:anchorId="16507298" wp14:editId="2748FD33">
                    <wp:simplePos x="0" y="0"/>
                    <wp:positionH relativeFrom="margin">
                      <wp:align>center</wp:align>
                    </wp:positionH>
                    <wp:positionV relativeFrom="paragraph">
                      <wp:posOffset>-123508</wp:posOffset>
                    </wp:positionV>
                    <wp:extent cx="7437120" cy="414337"/>
                    <wp:effectExtent l="0" t="0" r="11430" b="24130"/>
                    <wp:wrapNone/>
                    <wp:docPr id="39123298" name="Cuadro de texto 39123298"/>
                    <wp:cNvGraphicFramePr/>
                    <a:graphic xmlns:a="http://schemas.openxmlformats.org/drawingml/2006/main">
                      <a:graphicData uri="http://schemas.microsoft.com/office/word/2010/wordprocessingShape">
                        <wps:wsp>
                          <wps:cNvSpPr txBox="1"/>
                          <wps:spPr>
                            <a:xfrm>
                              <a:off x="0" y="0"/>
                              <a:ext cx="7437120" cy="414337"/>
                            </a:xfrm>
                            <a:prstGeom prst="rect">
                              <a:avLst/>
                            </a:prstGeom>
                            <a:solidFill>
                              <a:sysClr val="window" lastClr="FFFFFF"/>
                            </a:solidFill>
                            <a:ln w="6350">
                              <a:solidFill>
                                <a:prstClr val="black"/>
                              </a:solidFill>
                            </a:ln>
                          </wps:spPr>
                          <wps:txbx>
                            <w:txbxContent>
                              <w:p w14:paraId="4F80D647" w14:textId="77777777" w:rsidR="00501810" w:rsidRPr="00501810" w:rsidRDefault="00501810" w:rsidP="00501810">
                                <w:pPr>
                                  <w:jc w:val="center"/>
                                  <w:rPr>
                                    <w:rFonts w:cs="Calibri"/>
                                    <w:b/>
                                  </w:rPr>
                                </w:pPr>
                                <w:r w:rsidRPr="00501810">
                                  <w:rPr>
                                    <w:rFonts w:cs="Calibri"/>
                                    <w:b/>
                                  </w:rPr>
                                  <w:t>RÚBRICA DE EVALUACIÓN – BOSQUEJO DE LECTURA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07298" id="Cuadro de texto 39123298" o:spid="_x0000_s1119" type="#_x0000_t202" style="position:absolute;margin-left:0;margin-top:-9.75pt;width:585.6pt;height:32.6pt;z-index:25234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" fillcolor="window" strokeweight=".5pt">
                    <v:textbox>
                      <w:txbxContent>
                        <w:p w14:paraId="4F80D647" w14:textId="77777777" w:rsidR="00501810" w:rsidRPr="00501810" w:rsidRDefault="00501810" w:rsidP="00501810">
                          <w:pPr>
                            <w:jc w:val="center"/>
                            <w:rPr>
                              <w:rFonts w:cs="Calibri"/>
                              <w:b/>
                            </w:rPr>
                          </w:pPr>
                          <w:r w:rsidRPr="00501810">
                            <w:rPr>
                              <w:rFonts w:cs="Calibri"/>
                              <w:b/>
                            </w:rPr>
                            <w:t>RÚBRICA DE EVALUACIÓN – BOSQUEJO DE LECTURA</w:t>
                          </w:r>
                        </w:p>
                      </w:txbxContent>
                    </v:textbox>
                    <w10:wrap anchorx="margin"/>
                  </v:shape>
                </w:pict>
              </mc:Fallback>
            </mc:AlternateContent>
          </w:r>
        </w:p>
        <w:p w14:paraId="6123BC23" w14:textId="77777777" w:rsidR="00501810" w:rsidRPr="00501810" w:rsidRDefault="00501810" w:rsidP="00501810">
          <w:pPr>
            <w:rPr>
              <w:rFonts w:ascii="Calibri" w:eastAsia="Times New Roman" w:hAnsi="Calibri" w:cs="Arial"/>
              <w:kern w:val="0"/>
              <w:lang w:val="es-ES_tradnl" w:eastAsia="es-CR"/>
              <w14:ligatures w14:val="none"/>
            </w:rPr>
          </w:pPr>
        </w:p>
        <w:p w14:paraId="32F56FF2" w14:textId="77777777" w:rsidR="00501810" w:rsidRPr="00501810" w:rsidRDefault="00501810" w:rsidP="00501810">
          <w:pPr>
            <w:jc w:val="center"/>
            <w:rPr>
              <w:rFonts w:ascii="Calibri" w:eastAsia="Times New Roman" w:hAnsi="Calibri" w:cs="Arial"/>
              <w:color w:val="0070C0"/>
              <w:kern w:val="0"/>
              <w:lang w:val="es-ES_tradnl" w:eastAsia="es-CR"/>
              <w14:ligatures w14:val="none"/>
            </w:rPr>
          </w:pPr>
          <w:r w:rsidRPr="00501810">
            <w:rPr>
              <w:rFonts w:ascii="Calibri" w:eastAsia="Times New Roman" w:hAnsi="Calibri" w:cs="Arial"/>
              <w:color w:val="0070C0"/>
              <w:kern w:val="0"/>
              <w:lang w:val="es-ES_tradnl" w:eastAsia="es-CR"/>
              <w14:ligatures w14:val="none"/>
            </w:rPr>
            <w:t>Una forma de sistematizar los aportes de una persona autora se da mediante los bosquejos o esquemas de lectura, en donde se explica el contenido del texto, las partes más interesantes para la persona lectora y qué reflexiones provoca, tomando para ello las ideas principales y subtemas que proponen la lectura. Se elabora en la sesión 11 y tiene un valor de 4%.</w:t>
          </w:r>
        </w:p>
        <w:p w14:paraId="0CD4599B" w14:textId="77777777" w:rsidR="00501810" w:rsidRPr="00501810" w:rsidRDefault="00501810" w:rsidP="00501810">
          <w:pPr>
            <w:jc w:val="center"/>
            <w:rPr>
              <w:rFonts w:ascii="Calibri" w:eastAsia="Times New Roman" w:hAnsi="Calibri" w:cs="Arial"/>
              <w:kern w:val="0"/>
              <w:lang w:val="es-ES_tradnl" w:eastAsia="es-CR"/>
              <w14:ligatures w14:val="none"/>
            </w:rPr>
          </w:pPr>
        </w:p>
        <w:p w14:paraId="497E35BF" w14:textId="77777777" w:rsidR="00501810" w:rsidRPr="00501810" w:rsidRDefault="00501810" w:rsidP="00501810">
          <w:pPr>
            <w:jc w:val="center"/>
            <w:rPr>
              <w:rFonts w:ascii="Calibri" w:eastAsia="Times New Roman" w:hAnsi="Calibri" w:cs="Arial"/>
              <w:kern w:val="0"/>
              <w:lang w:val="es-ES_tradnl" w:eastAsia="es-CR"/>
              <w14:ligatures w14:val="none"/>
            </w:rPr>
          </w:pPr>
          <w:r w:rsidRPr="00501810">
            <w:rPr>
              <w:rFonts w:ascii="Calibri" w:eastAsia="Times New Roman" w:hAnsi="Calibri" w:cs="Arial"/>
              <w:noProof/>
              <w:kern w:val="0"/>
              <w:lang w:val="es-ES_tradnl" w:eastAsia="es-CR"/>
              <w14:ligatures w14:val="none"/>
            </w:rPr>
            <w:drawing>
              <wp:anchor distT="0" distB="0" distL="114300" distR="114300" simplePos="0" relativeHeight="252344320" behindDoc="0" locked="0" layoutInCell="1" allowOverlap="1" wp14:anchorId="3626480C" wp14:editId="75A6C8E0">
                <wp:simplePos x="0" y="0"/>
                <wp:positionH relativeFrom="column">
                  <wp:posOffset>0</wp:posOffset>
                </wp:positionH>
                <wp:positionV relativeFrom="paragraph">
                  <wp:posOffset>-952</wp:posOffset>
                </wp:positionV>
                <wp:extent cx="9144000" cy="4928870"/>
                <wp:effectExtent l="0" t="0" r="0" b="5080"/>
                <wp:wrapNone/>
                <wp:docPr id="842821974" name="Imagen 7"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821974" name="Imagen 7" descr="Tabla, Calendario&#10;&#10;Descripción generada automáticamente"/>
                        <pic:cNvPicPr/>
                      </pic:nvPicPr>
                      <pic:blipFill>
                        <a:blip r:embed="rId217">
                          <a:extLst>
                            <a:ext uri="{28A0092B-C50C-407E-A947-70E740481C1C}">
                              <a14:useLocalDpi xmlns:a14="http://schemas.microsoft.com/office/drawing/2010/main" val="0"/>
                            </a:ext>
                          </a:extLst>
                        </a:blip>
                        <a:stretch>
                          <a:fillRect/>
                        </a:stretch>
                      </pic:blipFill>
                      <pic:spPr>
                        <a:xfrm>
                          <a:off x="0" y="0"/>
                          <a:ext cx="9144000" cy="4928870"/>
                        </a:xfrm>
                        <a:prstGeom prst="rect">
                          <a:avLst/>
                        </a:prstGeom>
                      </pic:spPr>
                    </pic:pic>
                  </a:graphicData>
                </a:graphic>
              </wp:anchor>
            </w:drawing>
          </w:r>
        </w:p>
        <w:p w14:paraId="09E0C133" w14:textId="77777777" w:rsidR="00501810" w:rsidRPr="00501810" w:rsidRDefault="00501810" w:rsidP="00501810">
          <w:pPr>
            <w:rPr>
              <w:rFonts w:ascii="Calibri" w:eastAsia="Times New Roman" w:hAnsi="Calibri" w:cs="Arial"/>
              <w:kern w:val="0"/>
              <w:lang w:val="es-ES_tradnl" w:eastAsia="es-CR"/>
              <w14:ligatures w14:val="none"/>
            </w:rPr>
          </w:pPr>
        </w:p>
        <w:p w14:paraId="0E6068B8" w14:textId="77777777" w:rsidR="00501810" w:rsidRPr="00501810" w:rsidRDefault="00501810" w:rsidP="00501810">
          <w:pPr>
            <w:rPr>
              <w:rFonts w:ascii="Calibri" w:eastAsia="Times New Roman" w:hAnsi="Calibri" w:cs="Arial"/>
              <w:kern w:val="0"/>
              <w:lang w:val="es-ES_tradnl" w:eastAsia="es-CR"/>
              <w14:ligatures w14:val="none"/>
            </w:rPr>
          </w:pPr>
        </w:p>
        <w:p w14:paraId="239E0E3F" w14:textId="77777777" w:rsidR="00501810" w:rsidRPr="00501810" w:rsidRDefault="00501810" w:rsidP="00501810">
          <w:pPr>
            <w:rPr>
              <w:rFonts w:ascii="Calibri" w:eastAsia="Times New Roman" w:hAnsi="Calibri" w:cs="Arial"/>
              <w:kern w:val="0"/>
              <w:lang w:val="es-ES_tradnl" w:eastAsia="es-CR"/>
              <w14:ligatures w14:val="none"/>
            </w:rPr>
          </w:pPr>
        </w:p>
        <w:p w14:paraId="01955198" w14:textId="77777777" w:rsidR="00501810" w:rsidRPr="00501810" w:rsidRDefault="00501810" w:rsidP="00501810">
          <w:pPr>
            <w:rPr>
              <w:rFonts w:ascii="Calibri" w:eastAsia="Times New Roman" w:hAnsi="Calibri" w:cs="Arial"/>
              <w:kern w:val="0"/>
              <w:lang w:val="es-ES_tradnl" w:eastAsia="es-CR"/>
              <w14:ligatures w14:val="none"/>
            </w:rPr>
          </w:pPr>
        </w:p>
        <w:p w14:paraId="5867EB5D" w14:textId="77777777" w:rsidR="00501810" w:rsidRPr="00501810" w:rsidRDefault="00501810" w:rsidP="00501810">
          <w:pPr>
            <w:rPr>
              <w:rFonts w:ascii="Calibri" w:eastAsia="Times New Roman" w:hAnsi="Calibri" w:cs="Arial"/>
              <w:kern w:val="0"/>
              <w:lang w:val="es-ES_tradnl" w:eastAsia="es-CR"/>
              <w14:ligatures w14:val="none"/>
            </w:rPr>
          </w:pPr>
        </w:p>
        <w:p w14:paraId="25BD4301" w14:textId="77777777" w:rsidR="00501810" w:rsidRPr="00501810" w:rsidRDefault="00501810" w:rsidP="00501810">
          <w:pPr>
            <w:rPr>
              <w:rFonts w:ascii="Calibri" w:eastAsia="Times New Roman" w:hAnsi="Calibri" w:cs="Arial"/>
              <w:kern w:val="0"/>
              <w:lang w:val="es-ES_tradnl" w:eastAsia="es-CR"/>
              <w14:ligatures w14:val="none"/>
            </w:rPr>
          </w:pPr>
        </w:p>
        <w:p w14:paraId="68C031BC" w14:textId="77777777" w:rsidR="00501810" w:rsidRPr="00501810" w:rsidRDefault="00501810" w:rsidP="00501810">
          <w:pPr>
            <w:rPr>
              <w:rFonts w:ascii="Calibri" w:eastAsia="Times New Roman" w:hAnsi="Calibri" w:cs="Arial"/>
              <w:kern w:val="0"/>
              <w:lang w:val="es-ES_tradnl" w:eastAsia="es-CR"/>
              <w14:ligatures w14:val="none"/>
            </w:rPr>
          </w:pPr>
        </w:p>
        <w:p w14:paraId="3040F83A" w14:textId="77777777" w:rsidR="00501810" w:rsidRPr="00501810" w:rsidRDefault="00501810" w:rsidP="00501810">
          <w:pPr>
            <w:rPr>
              <w:rFonts w:ascii="Calibri" w:eastAsia="Times New Roman" w:hAnsi="Calibri" w:cs="Arial"/>
              <w:kern w:val="0"/>
              <w:lang w:val="es-ES_tradnl" w:eastAsia="es-CR"/>
              <w14:ligatures w14:val="none"/>
            </w:rPr>
          </w:pPr>
        </w:p>
        <w:p w14:paraId="477F975F" w14:textId="77777777" w:rsidR="00501810" w:rsidRPr="00501810" w:rsidRDefault="00501810" w:rsidP="00501810">
          <w:pPr>
            <w:rPr>
              <w:rFonts w:ascii="Calibri" w:eastAsia="Times New Roman" w:hAnsi="Calibri" w:cs="Arial"/>
              <w:kern w:val="0"/>
              <w:lang w:val="es-ES_tradnl" w:eastAsia="es-CR"/>
              <w14:ligatures w14:val="none"/>
            </w:rPr>
          </w:pPr>
        </w:p>
        <w:p w14:paraId="04DEEA3D" w14:textId="77777777" w:rsidR="00501810" w:rsidRPr="00501810" w:rsidRDefault="00501810" w:rsidP="00501810">
          <w:pPr>
            <w:rPr>
              <w:rFonts w:ascii="Calibri" w:eastAsia="Times New Roman" w:hAnsi="Calibri" w:cs="Arial"/>
              <w:kern w:val="0"/>
              <w:lang w:val="es-ES_tradnl" w:eastAsia="es-CR"/>
              <w14:ligatures w14:val="none"/>
            </w:rPr>
          </w:pPr>
        </w:p>
        <w:p w14:paraId="76CCC7A6" w14:textId="77777777" w:rsidR="00501810" w:rsidRPr="00501810" w:rsidRDefault="00501810" w:rsidP="00501810">
          <w:pPr>
            <w:rPr>
              <w:rFonts w:ascii="Calibri" w:eastAsia="Times New Roman" w:hAnsi="Calibri" w:cs="Arial"/>
              <w:kern w:val="0"/>
              <w:lang w:val="es-ES_tradnl" w:eastAsia="es-CR"/>
              <w14:ligatures w14:val="none"/>
            </w:rPr>
          </w:pPr>
        </w:p>
        <w:p w14:paraId="291432ED" w14:textId="77777777" w:rsidR="00501810" w:rsidRPr="00501810" w:rsidRDefault="00501810" w:rsidP="00501810">
          <w:pPr>
            <w:rPr>
              <w:rFonts w:ascii="Calibri" w:eastAsia="Times New Roman" w:hAnsi="Calibri" w:cs="Arial"/>
              <w:kern w:val="0"/>
              <w:lang w:val="es-ES_tradnl" w:eastAsia="es-CR"/>
              <w14:ligatures w14:val="none"/>
            </w:rPr>
          </w:pPr>
        </w:p>
        <w:p w14:paraId="06F27F40" w14:textId="77777777" w:rsidR="00501810" w:rsidRPr="00501810" w:rsidRDefault="00501810" w:rsidP="00501810">
          <w:pPr>
            <w:rPr>
              <w:rFonts w:ascii="Calibri" w:eastAsia="Times New Roman" w:hAnsi="Calibri" w:cs="Arial"/>
              <w:kern w:val="0"/>
              <w:lang w:val="es-ES_tradnl" w:eastAsia="es-CR"/>
              <w14:ligatures w14:val="none"/>
            </w:rPr>
          </w:pPr>
        </w:p>
        <w:p w14:paraId="200862DD" w14:textId="77777777" w:rsidR="00501810" w:rsidRPr="00501810" w:rsidRDefault="00501810" w:rsidP="00501810">
          <w:pPr>
            <w:rPr>
              <w:rFonts w:ascii="Calibri" w:eastAsia="Times New Roman" w:hAnsi="Calibri" w:cs="Arial"/>
              <w:kern w:val="0"/>
              <w:lang w:val="es-ES_tradnl" w:eastAsia="es-CR"/>
              <w14:ligatures w14:val="none"/>
            </w:rPr>
          </w:pPr>
        </w:p>
        <w:p w14:paraId="7CC57CFE" w14:textId="77777777" w:rsidR="00501810" w:rsidRPr="00501810" w:rsidRDefault="00501810" w:rsidP="00501810">
          <w:pPr>
            <w:rPr>
              <w:rFonts w:ascii="Calibri" w:eastAsia="Times New Roman" w:hAnsi="Calibri" w:cs="Arial"/>
              <w:kern w:val="0"/>
              <w:lang w:val="es-ES_tradnl" w:eastAsia="es-CR"/>
              <w14:ligatures w14:val="none"/>
            </w:rPr>
          </w:pPr>
        </w:p>
        <w:p w14:paraId="3F590BC4" w14:textId="77777777" w:rsidR="00501810" w:rsidRPr="00501810" w:rsidRDefault="00501810" w:rsidP="00501810">
          <w:pPr>
            <w:rPr>
              <w:rFonts w:ascii="Calibri" w:eastAsia="Times New Roman" w:hAnsi="Calibri" w:cs="Arial"/>
              <w:kern w:val="0"/>
              <w:lang w:val="es-ES_tradnl" w:eastAsia="es-CR"/>
              <w14:ligatures w14:val="none"/>
            </w:rPr>
          </w:pPr>
        </w:p>
        <w:p w14:paraId="562542D5" w14:textId="77777777" w:rsidR="00501810" w:rsidRPr="00501810" w:rsidRDefault="00501810" w:rsidP="00501810">
          <w:pPr>
            <w:rPr>
              <w:rFonts w:ascii="Calibri" w:eastAsia="Times New Roman" w:hAnsi="Calibri" w:cs="Arial"/>
              <w:kern w:val="0"/>
              <w:lang w:val="es-ES_tradnl" w:eastAsia="es-CR"/>
              <w14:ligatures w14:val="none"/>
            </w:rPr>
          </w:pPr>
        </w:p>
        <w:p w14:paraId="6E81BD0B" w14:textId="77777777" w:rsidR="00501810" w:rsidRPr="00501810" w:rsidRDefault="00501810" w:rsidP="00501810">
          <w:pPr>
            <w:rPr>
              <w:rFonts w:ascii="Calibri" w:eastAsia="Times New Roman" w:hAnsi="Calibri" w:cs="Arial"/>
              <w:kern w:val="0"/>
              <w:lang w:val="es-ES_tradnl" w:eastAsia="es-CR"/>
              <w14:ligatures w14:val="none"/>
            </w:rPr>
          </w:pPr>
        </w:p>
        <w:p w14:paraId="023E3CC5" w14:textId="77777777" w:rsidR="00501810" w:rsidRPr="00501810" w:rsidRDefault="00501810" w:rsidP="00501810">
          <w:pPr>
            <w:rPr>
              <w:rFonts w:ascii="Calibri" w:eastAsia="Times New Roman" w:hAnsi="Calibri" w:cs="Arial"/>
              <w:kern w:val="0"/>
              <w:lang w:val="es-ES_tradnl" w:eastAsia="es-CR"/>
              <w14:ligatures w14:val="none"/>
            </w:rPr>
          </w:pPr>
          <w:r w:rsidRPr="00501810">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345344" behindDoc="0" locked="0" layoutInCell="1" allowOverlap="1" wp14:anchorId="1A753562" wp14:editId="1D8DBBC2">
                    <wp:simplePos x="0" y="0"/>
                    <wp:positionH relativeFrom="margin">
                      <wp:align>center</wp:align>
                    </wp:positionH>
                    <wp:positionV relativeFrom="paragraph">
                      <wp:posOffset>-209550</wp:posOffset>
                    </wp:positionV>
                    <wp:extent cx="7917180" cy="297180"/>
                    <wp:effectExtent l="0" t="0" r="26670" b="26670"/>
                    <wp:wrapNone/>
                    <wp:docPr id="1840142048" name="Rectángulo 1840142048"/>
                    <wp:cNvGraphicFramePr/>
                    <a:graphic xmlns:a="http://schemas.openxmlformats.org/drawingml/2006/main">
                      <a:graphicData uri="http://schemas.microsoft.com/office/word/2010/wordprocessingShape">
                        <wps:wsp>
                          <wps:cNvSpPr/>
                          <wps:spPr>
                            <a:xfrm>
                              <a:off x="0" y="0"/>
                              <a:ext cx="7917180" cy="2971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510B420" w14:textId="77777777" w:rsidR="00501810" w:rsidRPr="001A27E5" w:rsidRDefault="00501810" w:rsidP="00501810">
                                <w:pPr>
                                  <w:spacing w:after="200" w:line="276" w:lineRule="auto"/>
                                  <w:jc w:val="center"/>
                                  <w:rPr>
                                    <w:b/>
                                  </w:rPr>
                                </w:pPr>
                                <w:r w:rsidRPr="00501810">
                                  <w:rPr>
                                    <w:rFonts w:cs="Calibri"/>
                                    <w:b/>
                                  </w:rPr>
                                  <w:t>ESCALA DE EVALUACIÓN - TRABAJO GRUPAL SOBRE CONFLICTOS MEDIOAMBIENTALES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53562" id="Rectángulo 1840142048" o:spid="_x0000_s1120" style="position:absolute;margin-left:0;margin-top:-16.5pt;width:623.4pt;height:23.4pt;z-index:25234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" fillcolor="window" strokecolor="windowText" strokeweight=".25pt">
                    <v:textbox>
                      <w:txbxContent>
                        <w:p w14:paraId="2510B420" w14:textId="77777777" w:rsidR="00501810" w:rsidRPr="001A27E5" w:rsidRDefault="00501810" w:rsidP="00501810">
                          <w:pPr>
                            <w:spacing w:after="200" w:line="276" w:lineRule="auto"/>
                            <w:jc w:val="center"/>
                            <w:rPr>
                              <w:b/>
                            </w:rPr>
                          </w:pPr>
                          <w:r w:rsidRPr="00501810">
                            <w:rPr>
                              <w:rFonts w:cs="Calibri"/>
                              <w:b/>
                            </w:rPr>
                            <w:t>ESCALA DE EVALUACIÓN - TRABAJO GRUPAL SOBRE CONFLICTOS MEDIOAMBIENTALES</w:t>
                          </w:r>
                        </w:p>
                      </w:txbxContent>
                    </v:textbox>
                    <w10:wrap anchorx="margin"/>
                  </v:rect>
                </w:pict>
              </mc:Fallback>
            </mc:AlternateContent>
          </w:r>
        </w:p>
        <w:p w14:paraId="28AE0917" w14:textId="77777777" w:rsidR="00501810" w:rsidRPr="00501810" w:rsidRDefault="00501810" w:rsidP="4C9C2619">
          <w:pPr>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El trabajo grupal corresponde a una estrategia de aprendizaje de forma colaborativa que pretende potenciar los contenidos e insumos con ejercicios prácticos. En esta ocasión la persona docente dividirá la clase en grupos para trabajar sobre uno de los temas asignados sobre conflictos medioambientales. Se inicia en la sesión 6 y finaliza en la sesión 12 distribuyéndose de la siguiente forma: Foros de discusión (sesiones 6 y 7). Elaboración de insumos para wiki (sesiones 8, 9 y 10). Creación del wiki (sesiones 11 y 12) Tiene un valor de 30%.</w:t>
          </w:r>
        </w:p>
        <w:p w14:paraId="379F81B0" w14:textId="77777777" w:rsidR="00501810" w:rsidRPr="00501810" w:rsidRDefault="00501810" w:rsidP="00501810">
          <w:pPr>
            <w:jc w:val="center"/>
            <w:rPr>
              <w:rFonts w:ascii="Calibri" w:eastAsia="Times New Roman" w:hAnsi="Calibri" w:cs="Arial"/>
              <w:kern w:val="0"/>
              <w:lang w:val="es-ES_tradnl" w:eastAsia="es-CR"/>
              <w14:ligatures w14:val="none"/>
            </w:rPr>
          </w:pPr>
        </w:p>
        <w:p w14:paraId="7D3F0E9B" w14:textId="77777777" w:rsidR="00501810" w:rsidRPr="00501810" w:rsidRDefault="00501810" w:rsidP="00501810">
          <w:pPr>
            <w:jc w:val="center"/>
            <w:rPr>
              <w:rFonts w:ascii="Calibri" w:eastAsia="Times New Roman" w:hAnsi="Calibri" w:cs="Arial"/>
              <w:kern w:val="0"/>
              <w:lang w:val="es-ES_tradnl" w:eastAsia="es-CR"/>
              <w14:ligatures w14:val="none"/>
            </w:rPr>
          </w:pPr>
          <w:r w:rsidRPr="00501810">
            <w:rPr>
              <w:rFonts w:ascii="Calibri" w:eastAsia="Times New Roman" w:hAnsi="Calibri" w:cs="Arial"/>
              <w:noProof/>
              <w:kern w:val="0"/>
              <w:lang w:val="es-ES_tradnl" w:eastAsia="es-CR"/>
              <w14:ligatures w14:val="none"/>
            </w:rPr>
            <w:drawing>
              <wp:anchor distT="0" distB="0" distL="114300" distR="114300" simplePos="0" relativeHeight="252346368" behindDoc="0" locked="0" layoutInCell="1" allowOverlap="1" wp14:anchorId="6168BC12" wp14:editId="0A03DA08">
                <wp:simplePos x="0" y="0"/>
                <wp:positionH relativeFrom="column">
                  <wp:posOffset>100013</wp:posOffset>
                </wp:positionH>
                <wp:positionV relativeFrom="paragraph">
                  <wp:posOffset>635</wp:posOffset>
                </wp:positionV>
                <wp:extent cx="8942832" cy="5108448"/>
                <wp:effectExtent l="0" t="0" r="0" b="0"/>
                <wp:wrapNone/>
                <wp:docPr id="900224279"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24279" name="Imagen 8" descr="Tabla&#10;&#10;Descripción generada automáticamente"/>
                        <pic:cNvPicPr/>
                      </pic:nvPicPr>
                      <pic:blipFill>
                        <a:blip r:embed="rId218">
                          <a:extLst>
                            <a:ext uri="{28A0092B-C50C-407E-A947-70E740481C1C}">
                              <a14:useLocalDpi xmlns:a14="http://schemas.microsoft.com/office/drawing/2010/main" val="0"/>
                            </a:ext>
                          </a:extLst>
                        </a:blip>
                        <a:stretch>
                          <a:fillRect/>
                        </a:stretch>
                      </pic:blipFill>
                      <pic:spPr>
                        <a:xfrm>
                          <a:off x="0" y="0"/>
                          <a:ext cx="8942832" cy="5108448"/>
                        </a:xfrm>
                        <a:prstGeom prst="rect">
                          <a:avLst/>
                        </a:prstGeom>
                      </pic:spPr>
                    </pic:pic>
                  </a:graphicData>
                </a:graphic>
              </wp:anchor>
            </w:drawing>
          </w:r>
        </w:p>
        <w:p w14:paraId="7720500F" w14:textId="77777777" w:rsidR="00501810" w:rsidRPr="00501810" w:rsidRDefault="00501810" w:rsidP="00501810">
          <w:pPr>
            <w:rPr>
              <w:rFonts w:ascii="Calibri" w:eastAsia="Times New Roman" w:hAnsi="Calibri" w:cs="Arial"/>
              <w:kern w:val="0"/>
              <w:lang w:val="es-ES_tradnl" w:eastAsia="es-CR"/>
              <w14:ligatures w14:val="none"/>
            </w:rPr>
          </w:pPr>
        </w:p>
        <w:p w14:paraId="2DAC441D" w14:textId="77777777" w:rsidR="00501810" w:rsidRPr="00501810" w:rsidRDefault="00501810" w:rsidP="00501810">
          <w:pPr>
            <w:rPr>
              <w:rFonts w:ascii="Calibri" w:eastAsia="Times New Roman" w:hAnsi="Calibri" w:cs="Arial"/>
              <w:kern w:val="0"/>
              <w:lang w:val="es-ES_tradnl" w:eastAsia="es-CR"/>
              <w14:ligatures w14:val="none"/>
            </w:rPr>
          </w:pPr>
        </w:p>
        <w:p w14:paraId="44BDDF55" w14:textId="77777777" w:rsidR="00501810" w:rsidRPr="00501810" w:rsidRDefault="00501810" w:rsidP="00501810">
          <w:pPr>
            <w:rPr>
              <w:rFonts w:ascii="Calibri" w:eastAsia="Times New Roman" w:hAnsi="Calibri" w:cs="Arial"/>
              <w:kern w:val="0"/>
              <w:lang w:val="es-ES_tradnl" w:eastAsia="es-CR"/>
              <w14:ligatures w14:val="none"/>
            </w:rPr>
          </w:pPr>
        </w:p>
        <w:p w14:paraId="432D8EB4" w14:textId="77777777" w:rsidR="00501810" w:rsidRPr="00501810" w:rsidRDefault="00501810" w:rsidP="00501810">
          <w:pPr>
            <w:rPr>
              <w:rFonts w:ascii="Calibri" w:eastAsia="Times New Roman" w:hAnsi="Calibri" w:cs="Arial"/>
              <w:kern w:val="0"/>
              <w:lang w:val="es-ES_tradnl" w:eastAsia="es-CR"/>
              <w14:ligatures w14:val="none"/>
            </w:rPr>
          </w:pPr>
        </w:p>
        <w:p w14:paraId="45C86C87" w14:textId="77777777" w:rsidR="00501810" w:rsidRPr="00501810" w:rsidRDefault="00501810" w:rsidP="00501810">
          <w:pPr>
            <w:rPr>
              <w:rFonts w:ascii="Calibri" w:eastAsia="Times New Roman" w:hAnsi="Calibri" w:cs="Arial"/>
              <w:kern w:val="0"/>
              <w:lang w:val="es-ES_tradnl" w:eastAsia="es-CR"/>
              <w14:ligatures w14:val="none"/>
            </w:rPr>
          </w:pPr>
        </w:p>
        <w:p w14:paraId="34F8486B" w14:textId="77777777" w:rsidR="00501810" w:rsidRPr="00501810" w:rsidRDefault="00501810" w:rsidP="00501810">
          <w:pPr>
            <w:rPr>
              <w:rFonts w:ascii="Calibri" w:eastAsia="Times New Roman" w:hAnsi="Calibri" w:cs="Arial"/>
              <w:kern w:val="0"/>
              <w:lang w:val="es-ES_tradnl" w:eastAsia="es-CR"/>
              <w14:ligatures w14:val="none"/>
            </w:rPr>
          </w:pPr>
        </w:p>
        <w:p w14:paraId="33FEEE63" w14:textId="77777777" w:rsidR="00501810" w:rsidRPr="00501810" w:rsidRDefault="00501810" w:rsidP="00501810">
          <w:pPr>
            <w:rPr>
              <w:rFonts w:ascii="Calibri" w:eastAsia="Times New Roman" w:hAnsi="Calibri" w:cs="Arial"/>
              <w:kern w:val="0"/>
              <w:lang w:val="es-ES_tradnl" w:eastAsia="es-CR"/>
              <w14:ligatures w14:val="none"/>
            </w:rPr>
          </w:pPr>
        </w:p>
        <w:p w14:paraId="560C2AAC" w14:textId="77777777" w:rsidR="00501810" w:rsidRPr="00501810" w:rsidRDefault="00501810" w:rsidP="00501810">
          <w:pPr>
            <w:rPr>
              <w:rFonts w:ascii="Calibri" w:eastAsia="Times New Roman" w:hAnsi="Calibri" w:cs="Arial"/>
              <w:kern w:val="0"/>
              <w:lang w:val="es-ES_tradnl" w:eastAsia="es-CR"/>
              <w14:ligatures w14:val="none"/>
            </w:rPr>
          </w:pPr>
        </w:p>
        <w:p w14:paraId="2BCDF91A" w14:textId="77777777" w:rsidR="00501810" w:rsidRPr="00501810" w:rsidRDefault="00501810" w:rsidP="00501810">
          <w:pPr>
            <w:rPr>
              <w:rFonts w:ascii="Calibri" w:eastAsia="Times New Roman" w:hAnsi="Calibri" w:cs="Arial"/>
              <w:kern w:val="0"/>
              <w:lang w:val="es-ES_tradnl" w:eastAsia="es-CR"/>
              <w14:ligatures w14:val="none"/>
            </w:rPr>
          </w:pPr>
        </w:p>
        <w:p w14:paraId="17DA3483" w14:textId="77777777" w:rsidR="00501810" w:rsidRPr="00501810" w:rsidRDefault="00501810" w:rsidP="00501810">
          <w:pPr>
            <w:rPr>
              <w:rFonts w:ascii="Calibri" w:eastAsia="Times New Roman" w:hAnsi="Calibri" w:cs="Arial"/>
              <w:kern w:val="0"/>
              <w:lang w:val="es-ES_tradnl" w:eastAsia="es-CR"/>
              <w14:ligatures w14:val="none"/>
            </w:rPr>
          </w:pPr>
        </w:p>
        <w:p w14:paraId="291D45CE" w14:textId="77777777" w:rsidR="00501810" w:rsidRPr="00501810" w:rsidRDefault="00501810" w:rsidP="00501810">
          <w:pPr>
            <w:rPr>
              <w:rFonts w:ascii="Calibri" w:eastAsia="Times New Roman" w:hAnsi="Calibri" w:cs="Arial"/>
              <w:kern w:val="0"/>
              <w:lang w:val="es-ES_tradnl" w:eastAsia="es-CR"/>
              <w14:ligatures w14:val="none"/>
            </w:rPr>
          </w:pPr>
        </w:p>
        <w:p w14:paraId="630BBCDC" w14:textId="77777777" w:rsidR="00501810" w:rsidRPr="00501810" w:rsidRDefault="00501810" w:rsidP="00501810">
          <w:pPr>
            <w:rPr>
              <w:rFonts w:ascii="Calibri" w:eastAsia="Times New Roman" w:hAnsi="Calibri" w:cs="Arial"/>
              <w:kern w:val="0"/>
              <w:lang w:val="es-ES_tradnl" w:eastAsia="es-CR"/>
              <w14:ligatures w14:val="none"/>
            </w:rPr>
          </w:pPr>
        </w:p>
        <w:p w14:paraId="545939A2" w14:textId="77777777" w:rsidR="00501810" w:rsidRPr="00501810" w:rsidRDefault="00501810" w:rsidP="00501810">
          <w:pPr>
            <w:rPr>
              <w:rFonts w:ascii="Calibri" w:eastAsia="Times New Roman" w:hAnsi="Calibri" w:cs="Arial"/>
              <w:kern w:val="0"/>
              <w:lang w:val="es-ES_tradnl" w:eastAsia="es-CR"/>
              <w14:ligatures w14:val="none"/>
            </w:rPr>
          </w:pPr>
        </w:p>
        <w:p w14:paraId="7E04E366" w14:textId="77777777" w:rsidR="00501810" w:rsidRPr="00501810" w:rsidRDefault="00501810" w:rsidP="00501810">
          <w:pPr>
            <w:rPr>
              <w:rFonts w:ascii="Calibri" w:eastAsia="Times New Roman" w:hAnsi="Calibri" w:cs="Arial"/>
              <w:kern w:val="0"/>
              <w:lang w:val="es-ES_tradnl" w:eastAsia="es-CR"/>
              <w14:ligatures w14:val="none"/>
            </w:rPr>
          </w:pPr>
        </w:p>
        <w:p w14:paraId="1C94C14F" w14:textId="77777777" w:rsidR="00501810" w:rsidRPr="00501810" w:rsidRDefault="00501810" w:rsidP="00501810">
          <w:pPr>
            <w:rPr>
              <w:rFonts w:ascii="Calibri" w:eastAsia="Times New Roman" w:hAnsi="Calibri" w:cs="Arial"/>
              <w:kern w:val="0"/>
              <w:lang w:val="es-ES_tradnl" w:eastAsia="es-CR"/>
              <w14:ligatures w14:val="none"/>
            </w:rPr>
          </w:pPr>
        </w:p>
        <w:p w14:paraId="11C8B3EA" w14:textId="77777777" w:rsidR="00501810" w:rsidRPr="00501810" w:rsidRDefault="00501810" w:rsidP="00501810">
          <w:pPr>
            <w:rPr>
              <w:rFonts w:ascii="Calibri" w:eastAsia="Times New Roman" w:hAnsi="Calibri" w:cs="Arial"/>
              <w:kern w:val="0"/>
              <w:lang w:val="es-ES_tradnl" w:eastAsia="es-CR"/>
              <w14:ligatures w14:val="none"/>
            </w:rPr>
          </w:pPr>
        </w:p>
        <w:p w14:paraId="5BAAE508" w14:textId="77777777" w:rsidR="00501810" w:rsidRPr="00501810" w:rsidRDefault="00501810" w:rsidP="00501810">
          <w:pPr>
            <w:rPr>
              <w:rFonts w:ascii="Calibri" w:eastAsia="Times New Roman" w:hAnsi="Calibri" w:cs="Arial"/>
              <w:kern w:val="0"/>
              <w:lang w:val="es-ES_tradnl" w:eastAsia="es-CR"/>
              <w14:ligatures w14:val="none"/>
            </w:rPr>
          </w:pPr>
        </w:p>
        <w:p w14:paraId="4621599E" w14:textId="77777777" w:rsidR="00501810" w:rsidRPr="00501810" w:rsidRDefault="00501810" w:rsidP="00501810">
          <w:pPr>
            <w:rPr>
              <w:rFonts w:ascii="Calibri" w:eastAsia="Times New Roman" w:hAnsi="Calibri" w:cs="Arial"/>
              <w:kern w:val="0"/>
              <w:lang w:val="es-ES_tradnl" w:eastAsia="es-CR"/>
              <w14:ligatures w14:val="none"/>
            </w:rPr>
          </w:pPr>
        </w:p>
        <w:p w14:paraId="0877E9F4" w14:textId="77777777" w:rsidR="00501810" w:rsidRPr="00501810" w:rsidRDefault="00501810" w:rsidP="00501810">
          <w:pPr>
            <w:rPr>
              <w:rFonts w:ascii="Calibri" w:eastAsia="Times New Roman" w:hAnsi="Calibri" w:cs="Arial"/>
              <w:kern w:val="0"/>
              <w:lang w:val="es-ES_tradnl" w:eastAsia="es-CR"/>
              <w14:ligatures w14:val="none"/>
            </w:rPr>
          </w:pPr>
          <w:r w:rsidRPr="00501810">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47392" behindDoc="0" locked="0" layoutInCell="1" allowOverlap="1" wp14:anchorId="50D01010" wp14:editId="590527A1">
                    <wp:simplePos x="0" y="0"/>
                    <wp:positionH relativeFrom="margin">
                      <wp:align>center</wp:align>
                    </wp:positionH>
                    <wp:positionV relativeFrom="paragraph">
                      <wp:posOffset>-157162</wp:posOffset>
                    </wp:positionV>
                    <wp:extent cx="6606540" cy="411480"/>
                    <wp:effectExtent l="0" t="0" r="22860" b="26670"/>
                    <wp:wrapNone/>
                    <wp:docPr id="530879729"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94EF42E" w14:textId="77777777" w:rsidR="00501810" w:rsidRPr="00501810" w:rsidRDefault="00501810" w:rsidP="00501810">
                                <w:pPr>
                                  <w:jc w:val="center"/>
                                  <w:rPr>
                                    <w:rFonts w:cs="Calibri"/>
                                  </w:rPr>
                                </w:pPr>
                                <w:r w:rsidRPr="00501810">
                                  <w:rPr>
                                    <w:rFonts w:cs="Calibri"/>
                                    <w:b/>
                                  </w:rPr>
                                  <w:t>RÚBRICA DE EVALUACIÓN – MONOGRAFÍA</w:t>
                                </w:r>
                              </w:p>
                              <w:p w14:paraId="74FA5D4D" w14:textId="77777777" w:rsidR="00501810" w:rsidRPr="00501810" w:rsidRDefault="00501810" w:rsidP="00501810">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D01010" id="_x0000_s1121" type="#_x0000_t202" style="position:absolute;margin-left:0;margin-top:-12.35pt;width:520.2pt;height:32.4pt;z-index:2523473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" fillcolor="window" strokeweight=".5pt">
                    <v:textbox>
                      <w:txbxContent>
                        <w:p w14:paraId="494EF42E" w14:textId="77777777" w:rsidR="00501810" w:rsidRPr="00501810" w:rsidRDefault="00501810" w:rsidP="00501810">
                          <w:pPr>
                            <w:jc w:val="center"/>
                            <w:rPr>
                              <w:rFonts w:cs="Calibri"/>
                            </w:rPr>
                          </w:pPr>
                          <w:r w:rsidRPr="00501810">
                            <w:rPr>
                              <w:rFonts w:cs="Calibri"/>
                              <w:b/>
                            </w:rPr>
                            <w:t>RÚBRICA DE EVALUACIÓN – MONOGRAFÍA</w:t>
                          </w:r>
                        </w:p>
                        <w:p w14:paraId="74FA5D4D" w14:textId="77777777" w:rsidR="00501810" w:rsidRPr="00501810" w:rsidRDefault="00501810" w:rsidP="00501810">
                          <w:pPr>
                            <w:jc w:val="center"/>
                            <w:rPr>
                              <w:rFonts w:cs="Calibri"/>
                            </w:rPr>
                          </w:pPr>
                        </w:p>
                      </w:txbxContent>
                    </v:textbox>
                    <w10:wrap anchorx="margin"/>
                  </v:shape>
                </w:pict>
              </mc:Fallback>
            </mc:AlternateContent>
          </w:r>
        </w:p>
        <w:p w14:paraId="7B56EA29" w14:textId="77777777" w:rsidR="00501810" w:rsidRPr="00501810" w:rsidRDefault="00501810" w:rsidP="00501810">
          <w:pPr>
            <w:rPr>
              <w:rFonts w:ascii="Calibri" w:eastAsia="Times New Roman" w:hAnsi="Calibri" w:cs="Arial"/>
              <w:kern w:val="0"/>
              <w:lang w:val="es-ES_tradnl" w:eastAsia="es-CR"/>
              <w14:ligatures w14:val="none"/>
            </w:rPr>
          </w:pPr>
        </w:p>
        <w:p w14:paraId="506233C2" w14:textId="77777777" w:rsidR="00501810" w:rsidRPr="00501810" w:rsidRDefault="00501810" w:rsidP="00501810">
          <w:pPr>
            <w:jc w:val="center"/>
            <w:rPr>
              <w:rFonts w:ascii="Calibri" w:eastAsia="Times New Roman" w:hAnsi="Calibri" w:cs="Arial"/>
              <w:color w:val="0070C0"/>
              <w:kern w:val="0"/>
              <w:lang w:val="es-ES_tradnl" w:eastAsia="es-CR"/>
              <w14:ligatures w14:val="none"/>
            </w:rPr>
          </w:pPr>
          <w:r w:rsidRPr="00501810">
            <w:rPr>
              <w:rFonts w:ascii="Calibri" w:eastAsia="Times New Roman" w:hAnsi="Calibri" w:cs="Arial"/>
              <w:color w:val="0070C0"/>
              <w:kern w:val="0"/>
              <w:lang w:val="es-ES_tradnl" w:eastAsia="es-CR"/>
              <w14:ligatures w14:val="none"/>
            </w:rPr>
            <w:t>Una monografía es un documento académico que, como estrategia de aprendizaje, permite el tratamiento de un tema o tópico del curso particular, sistematizado y trabajado a profundidad mediante la investigación bibliográfica o documental. Se elabora entre las sesiones 13 y 15. Vale un 30%.</w:t>
          </w:r>
        </w:p>
        <w:p w14:paraId="626885E5" w14:textId="77777777" w:rsidR="00501810" w:rsidRPr="00501810" w:rsidRDefault="00501810" w:rsidP="00501810">
          <w:pPr>
            <w:jc w:val="center"/>
            <w:rPr>
              <w:rFonts w:ascii="Calibri" w:eastAsia="Times New Roman" w:hAnsi="Calibri" w:cs="Arial"/>
              <w:kern w:val="0"/>
              <w:lang w:val="es-ES_tradnl" w:eastAsia="es-CR"/>
              <w14:ligatures w14:val="none"/>
            </w:rPr>
          </w:pPr>
        </w:p>
        <w:p w14:paraId="5EE59C06" w14:textId="77777777" w:rsidR="00501810" w:rsidRPr="00501810" w:rsidRDefault="00501810" w:rsidP="00501810">
          <w:pPr>
            <w:jc w:val="center"/>
            <w:rPr>
              <w:rFonts w:ascii="Calibri" w:eastAsia="Times New Roman" w:hAnsi="Calibri" w:cs="Arial"/>
              <w:kern w:val="0"/>
              <w:lang w:val="es-ES_tradnl" w:eastAsia="es-CR"/>
              <w14:ligatures w14:val="none"/>
            </w:rPr>
          </w:pPr>
          <w:r w:rsidRPr="00501810">
            <w:rPr>
              <w:rFonts w:ascii="Calibri" w:eastAsia="Times New Roman" w:hAnsi="Calibri" w:cs="Arial"/>
              <w:noProof/>
              <w:kern w:val="0"/>
              <w:lang w:val="es-ES_tradnl" w:eastAsia="es-CR"/>
              <w14:ligatures w14:val="none"/>
            </w:rPr>
            <w:drawing>
              <wp:anchor distT="0" distB="0" distL="114300" distR="114300" simplePos="0" relativeHeight="252348416" behindDoc="0" locked="0" layoutInCell="1" allowOverlap="1" wp14:anchorId="35CE21F5" wp14:editId="3FF97F02">
                <wp:simplePos x="0" y="0"/>
                <wp:positionH relativeFrom="margin">
                  <wp:align>center</wp:align>
                </wp:positionH>
                <wp:positionV relativeFrom="paragraph">
                  <wp:posOffset>161290</wp:posOffset>
                </wp:positionV>
                <wp:extent cx="8505825" cy="3783348"/>
                <wp:effectExtent l="0" t="0" r="0" b="7620"/>
                <wp:wrapNone/>
                <wp:docPr id="1995943667"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943667" name="Imagen 9" descr="Tabla&#10;&#10;Descripción generada automáticamente"/>
                        <pic:cNvPicPr/>
                      </pic:nvPicPr>
                      <pic:blipFill>
                        <a:blip r:embed="rId219">
                          <a:extLst>
                            <a:ext uri="{28A0092B-C50C-407E-A947-70E740481C1C}">
                              <a14:useLocalDpi xmlns:a14="http://schemas.microsoft.com/office/drawing/2010/main" val="0"/>
                            </a:ext>
                          </a:extLst>
                        </a:blip>
                        <a:stretch>
                          <a:fillRect/>
                        </a:stretch>
                      </pic:blipFill>
                      <pic:spPr>
                        <a:xfrm>
                          <a:off x="0" y="0"/>
                          <a:ext cx="8505825" cy="3783348"/>
                        </a:xfrm>
                        <a:prstGeom prst="rect">
                          <a:avLst/>
                        </a:prstGeom>
                      </pic:spPr>
                    </pic:pic>
                  </a:graphicData>
                </a:graphic>
                <wp14:sizeRelH relativeFrom="margin">
                  <wp14:pctWidth>0</wp14:pctWidth>
                </wp14:sizeRelH>
                <wp14:sizeRelV relativeFrom="margin">
                  <wp14:pctHeight>0</wp14:pctHeight>
                </wp14:sizeRelV>
              </wp:anchor>
            </w:drawing>
          </w:r>
        </w:p>
        <w:p w14:paraId="299F795C" w14:textId="77777777" w:rsidR="00501810" w:rsidRPr="00501810" w:rsidRDefault="00501810" w:rsidP="00501810">
          <w:pPr>
            <w:rPr>
              <w:rFonts w:ascii="Calibri" w:eastAsia="Times New Roman" w:hAnsi="Calibri" w:cs="Arial"/>
              <w:kern w:val="0"/>
              <w:lang w:val="es-ES_tradnl" w:eastAsia="es-CR"/>
              <w14:ligatures w14:val="none"/>
            </w:rPr>
          </w:pPr>
        </w:p>
        <w:p w14:paraId="65FF7677" w14:textId="77777777" w:rsidR="00501810" w:rsidRPr="00501810" w:rsidRDefault="00501810" w:rsidP="00501810">
          <w:pPr>
            <w:rPr>
              <w:rFonts w:ascii="Calibri" w:eastAsia="Times New Roman" w:hAnsi="Calibri" w:cs="Arial"/>
              <w:kern w:val="0"/>
              <w:lang w:val="es-ES_tradnl" w:eastAsia="es-CR"/>
              <w14:ligatures w14:val="none"/>
            </w:rPr>
          </w:pPr>
        </w:p>
        <w:p w14:paraId="1470AE57" w14:textId="77777777" w:rsidR="00501810" w:rsidRPr="00501810" w:rsidRDefault="00501810" w:rsidP="00501810">
          <w:pPr>
            <w:rPr>
              <w:rFonts w:ascii="Calibri" w:eastAsia="Times New Roman" w:hAnsi="Calibri" w:cs="Arial"/>
              <w:kern w:val="0"/>
              <w:lang w:val="es-ES_tradnl" w:eastAsia="es-CR"/>
              <w14:ligatures w14:val="none"/>
            </w:rPr>
          </w:pPr>
        </w:p>
        <w:p w14:paraId="41DD03CA" w14:textId="77777777" w:rsidR="00501810" w:rsidRPr="00501810" w:rsidRDefault="00501810" w:rsidP="00501810">
          <w:pPr>
            <w:rPr>
              <w:rFonts w:ascii="Calibri" w:eastAsia="Times New Roman" w:hAnsi="Calibri" w:cs="Arial"/>
              <w:kern w:val="0"/>
              <w:lang w:val="es-ES_tradnl" w:eastAsia="es-CR"/>
              <w14:ligatures w14:val="none"/>
            </w:rPr>
          </w:pPr>
        </w:p>
        <w:p w14:paraId="56E74176" w14:textId="77777777" w:rsidR="00501810" w:rsidRPr="00501810" w:rsidRDefault="00501810" w:rsidP="00501810">
          <w:pPr>
            <w:rPr>
              <w:rFonts w:ascii="Calibri" w:eastAsia="Times New Roman" w:hAnsi="Calibri" w:cs="Arial"/>
              <w:kern w:val="0"/>
              <w:lang w:val="es-ES_tradnl" w:eastAsia="es-CR"/>
              <w14:ligatures w14:val="none"/>
            </w:rPr>
          </w:pPr>
        </w:p>
        <w:p w14:paraId="00C726FC" w14:textId="77777777" w:rsidR="00501810" w:rsidRPr="00501810" w:rsidRDefault="00501810" w:rsidP="00501810">
          <w:pPr>
            <w:rPr>
              <w:rFonts w:ascii="Calibri" w:eastAsia="Times New Roman" w:hAnsi="Calibri" w:cs="Arial"/>
              <w:kern w:val="0"/>
              <w:lang w:val="es-ES_tradnl" w:eastAsia="es-CR"/>
              <w14:ligatures w14:val="none"/>
            </w:rPr>
          </w:pPr>
        </w:p>
        <w:p w14:paraId="732F4039" w14:textId="77777777" w:rsidR="00501810" w:rsidRPr="00501810" w:rsidRDefault="00501810" w:rsidP="00501810">
          <w:pPr>
            <w:rPr>
              <w:rFonts w:ascii="Calibri" w:eastAsia="Times New Roman" w:hAnsi="Calibri" w:cs="Arial"/>
              <w:kern w:val="0"/>
              <w:lang w:val="es-ES_tradnl" w:eastAsia="es-CR"/>
              <w14:ligatures w14:val="none"/>
            </w:rPr>
          </w:pPr>
        </w:p>
        <w:p w14:paraId="76BFD120" w14:textId="77777777" w:rsidR="00501810" w:rsidRPr="00501810" w:rsidRDefault="00501810" w:rsidP="00501810">
          <w:pPr>
            <w:rPr>
              <w:rFonts w:ascii="Calibri" w:eastAsia="Times New Roman" w:hAnsi="Calibri" w:cs="Arial"/>
              <w:kern w:val="0"/>
              <w:lang w:val="es-ES_tradnl" w:eastAsia="es-CR"/>
              <w14:ligatures w14:val="none"/>
            </w:rPr>
          </w:pPr>
        </w:p>
        <w:p w14:paraId="37C6BF1F" w14:textId="77777777" w:rsidR="00501810" w:rsidRPr="00501810" w:rsidRDefault="00501810" w:rsidP="00501810">
          <w:pPr>
            <w:rPr>
              <w:rFonts w:ascii="Calibri" w:eastAsia="Times New Roman" w:hAnsi="Calibri" w:cs="Arial"/>
              <w:kern w:val="0"/>
              <w:lang w:val="es-ES_tradnl" w:eastAsia="es-CR"/>
              <w14:ligatures w14:val="none"/>
            </w:rPr>
          </w:pPr>
        </w:p>
        <w:p w14:paraId="5E9EE3E6" w14:textId="77777777" w:rsidR="00501810" w:rsidRPr="00501810" w:rsidRDefault="00501810" w:rsidP="00501810">
          <w:pPr>
            <w:rPr>
              <w:rFonts w:ascii="Calibri" w:eastAsia="Times New Roman" w:hAnsi="Calibri" w:cs="Arial"/>
              <w:kern w:val="0"/>
              <w:lang w:val="es-ES_tradnl" w:eastAsia="es-CR"/>
              <w14:ligatures w14:val="none"/>
            </w:rPr>
          </w:pPr>
        </w:p>
        <w:p w14:paraId="1099CE04" w14:textId="77777777" w:rsidR="00501810" w:rsidRPr="00501810" w:rsidRDefault="00501810" w:rsidP="00501810">
          <w:pPr>
            <w:rPr>
              <w:rFonts w:ascii="Calibri" w:eastAsia="Times New Roman" w:hAnsi="Calibri" w:cs="Arial"/>
              <w:kern w:val="0"/>
              <w:lang w:val="es-ES_tradnl" w:eastAsia="es-CR"/>
              <w14:ligatures w14:val="none"/>
            </w:rPr>
          </w:pPr>
        </w:p>
        <w:p w14:paraId="778132A9" w14:textId="77777777" w:rsidR="00501810" w:rsidRPr="00501810" w:rsidRDefault="00501810" w:rsidP="00501810">
          <w:pPr>
            <w:rPr>
              <w:rFonts w:ascii="Calibri" w:eastAsia="Times New Roman" w:hAnsi="Calibri" w:cs="Arial"/>
              <w:kern w:val="0"/>
              <w:lang w:val="es-ES_tradnl" w:eastAsia="es-CR"/>
              <w14:ligatures w14:val="none"/>
            </w:rPr>
          </w:pPr>
        </w:p>
        <w:p w14:paraId="32817AFA" w14:textId="77777777" w:rsidR="00501810" w:rsidRPr="00501810" w:rsidRDefault="00501810" w:rsidP="00501810">
          <w:pPr>
            <w:rPr>
              <w:rFonts w:ascii="Calibri" w:eastAsia="Times New Roman" w:hAnsi="Calibri" w:cs="Arial"/>
              <w:kern w:val="0"/>
              <w:lang w:val="es-ES_tradnl" w:eastAsia="es-CR"/>
              <w14:ligatures w14:val="none"/>
            </w:rPr>
          </w:pPr>
        </w:p>
        <w:p w14:paraId="2C578CC8" w14:textId="77777777" w:rsidR="00501810" w:rsidRPr="00501810" w:rsidRDefault="00501810" w:rsidP="00501810">
          <w:pPr>
            <w:rPr>
              <w:rFonts w:ascii="Calibri" w:eastAsia="Times New Roman" w:hAnsi="Calibri" w:cs="Arial"/>
              <w:kern w:val="0"/>
              <w:lang w:val="es-ES_tradnl" w:eastAsia="es-CR"/>
              <w14:ligatures w14:val="none"/>
            </w:rPr>
          </w:pPr>
        </w:p>
        <w:p w14:paraId="35C0A4D5" w14:textId="77777777" w:rsidR="00501810" w:rsidRPr="00501810" w:rsidRDefault="00501810" w:rsidP="00501810">
          <w:pPr>
            <w:rPr>
              <w:rFonts w:ascii="Calibri" w:eastAsia="Times New Roman" w:hAnsi="Calibri" w:cs="Arial"/>
              <w:kern w:val="0"/>
              <w:lang w:val="es-ES_tradnl" w:eastAsia="es-CR"/>
              <w14:ligatures w14:val="none"/>
            </w:rPr>
          </w:pPr>
        </w:p>
        <w:p w14:paraId="3A80407E" w14:textId="77777777" w:rsidR="00501810" w:rsidRPr="00501810" w:rsidRDefault="00501810" w:rsidP="00501810">
          <w:pPr>
            <w:rPr>
              <w:rFonts w:ascii="Calibri" w:eastAsia="Times New Roman" w:hAnsi="Calibri" w:cs="Arial"/>
              <w:kern w:val="0"/>
              <w:lang w:val="es-ES_tradnl" w:eastAsia="es-CR"/>
              <w14:ligatures w14:val="none"/>
            </w:rPr>
          </w:pPr>
        </w:p>
        <w:p w14:paraId="6536F5B1" w14:textId="77777777" w:rsidR="00501810" w:rsidRPr="00501810" w:rsidRDefault="00501810" w:rsidP="00501810">
          <w:pPr>
            <w:rPr>
              <w:rFonts w:ascii="Calibri" w:eastAsia="Times New Roman" w:hAnsi="Calibri" w:cs="Arial"/>
              <w:kern w:val="0"/>
              <w:lang w:val="es-ES_tradnl" w:eastAsia="es-CR"/>
              <w14:ligatures w14:val="none"/>
            </w:rPr>
            <w:sectPr w:rsidR="00501810" w:rsidRPr="00501810" w:rsidSect="005C1895">
              <w:pgSz w:w="15840" w:h="12240" w:orient="landscape"/>
              <w:pgMar w:top="720" w:right="720" w:bottom="720" w:left="720" w:header="709" w:footer="709" w:gutter="0"/>
              <w:cols w:space="708"/>
              <w:docGrid w:linePitch="360"/>
            </w:sectPr>
          </w:pPr>
        </w:p>
        <w:p w14:paraId="087C71ED" w14:textId="77777777" w:rsidR="00501810" w:rsidRPr="00501810" w:rsidRDefault="00501810" w:rsidP="00501810">
          <w:pPr>
            <w:rPr>
              <w:rFonts w:ascii="Calibri" w:eastAsia="Times New Roman" w:hAnsi="Calibri" w:cs="Arial"/>
              <w:b/>
              <w:color w:val="FF0000"/>
              <w:kern w:val="0"/>
              <w:lang w:val="es-ES_tradnl" w:eastAsia="es-CR"/>
              <w14:ligatures w14:val="none"/>
            </w:rPr>
          </w:pPr>
          <w:r w:rsidRPr="00501810">
            <w:rPr>
              <w:rFonts w:ascii="Calibri" w:eastAsia="Times New Roman" w:hAnsi="Calibri" w:cs="Arial"/>
              <w:b/>
              <w:kern w:val="0"/>
              <w:lang w:val="es-ES_tradnl" w:eastAsia="es-CR"/>
              <w14:ligatures w14:val="none"/>
            </w:rPr>
            <w:lastRenderedPageBreak/>
            <w:t>XI. Bibliografía obligatoria</w:t>
          </w:r>
        </w:p>
        <w:p w14:paraId="292B56C8" w14:textId="77777777" w:rsidR="00501810" w:rsidRPr="00501810" w:rsidRDefault="00501810" w:rsidP="00501810">
          <w:pPr>
            <w:jc w:val="both"/>
            <w:rPr>
              <w:rFonts w:ascii="Calibri" w:eastAsia="Times New Roman" w:hAnsi="Calibri" w:cs="Arial"/>
              <w:bCs/>
              <w:color w:val="000000"/>
              <w:kern w:val="0"/>
              <w:lang w:eastAsia="es-CR"/>
              <w14:ligatures w14:val="none"/>
            </w:rPr>
          </w:pPr>
          <w:r w:rsidRPr="00501810">
            <w:rPr>
              <w:rFonts w:ascii="Calibri" w:eastAsia="Times New Roman" w:hAnsi="Calibri" w:cs="Arial"/>
              <w:b/>
              <w:color w:val="000000"/>
              <w:kern w:val="0"/>
              <w:lang w:eastAsia="es-CR"/>
              <w14:ligatures w14:val="none"/>
            </w:rPr>
            <w:t>Nota:</w:t>
          </w:r>
          <w:r w:rsidRPr="00501810">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501810">
            <w:rPr>
              <w:rFonts w:ascii="Calibri" w:eastAsia="Times New Roman" w:hAnsi="Calibri" w:cs="Arial"/>
              <w:bCs/>
              <w:color w:val="000000"/>
              <w:kern w:val="0"/>
              <w:lang w:eastAsia="es-CR"/>
              <w14:ligatures w14:val="none"/>
            </w:rPr>
            <w:t>pdf</w:t>
          </w:r>
          <w:proofErr w:type="spellEnd"/>
          <w:r w:rsidRPr="00501810">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7EAD0DA5"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Acuña, Guillermo. </w:t>
          </w:r>
          <w:r w:rsidRPr="00501810">
            <w:rPr>
              <w:rFonts w:ascii="Calibri" w:eastAsia="Times New Roman" w:hAnsi="Calibri" w:cs="Calibri"/>
              <w:i/>
              <w:noProof/>
              <w:color w:val="000000"/>
              <w:kern w:val="0"/>
              <w:lang w:val="es-ES_tradnl" w:eastAsia="es-CR"/>
              <w14:ligatures w14:val="none"/>
            </w:rPr>
            <w:t>Déjennos pasar: Migraciones y Transhumancia en Centroamérica.</w:t>
          </w:r>
          <w:r w:rsidRPr="00501810">
            <w:rPr>
              <w:rFonts w:ascii="Calibri" w:eastAsia="Times New Roman" w:hAnsi="Calibri" w:cs="Calibri"/>
              <w:noProof/>
              <w:color w:val="000000"/>
              <w:kern w:val="0"/>
              <w:lang w:val="es-ES_tradnl" w:eastAsia="es-CR"/>
              <w14:ligatures w14:val="none"/>
            </w:rPr>
            <w:t xml:space="preserve"> San José: Amargort Ediciones, 2019. </w:t>
          </w:r>
        </w:p>
        <w:p w14:paraId="4FF16EB9"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 xml:space="preserve">Angarita, Carlos. “Pensamiento crítico y análisis teológico de la realidad”. </w:t>
          </w:r>
          <w:r w:rsidRPr="00501810">
            <w:rPr>
              <w:rFonts w:ascii="Calibri" w:eastAsia="Times New Roman" w:hAnsi="Calibri" w:cs="Calibri"/>
              <w:i/>
              <w:kern w:val="0"/>
              <w:lang w:val="es-ES_tradnl" w:eastAsia="es-CR"/>
              <w14:ligatures w14:val="none"/>
            </w:rPr>
            <w:t>Realidad,</w:t>
          </w:r>
          <w:r w:rsidRPr="00501810">
            <w:rPr>
              <w:rFonts w:ascii="Calibri" w:eastAsia="Times New Roman" w:hAnsi="Calibri" w:cs="Calibri"/>
              <w:kern w:val="0"/>
              <w:lang w:val="es-ES_tradnl" w:eastAsia="es-CR"/>
              <w14:ligatures w14:val="none"/>
            </w:rPr>
            <w:t xml:space="preserve"> no. 121 (2009): pp. 535-561. </w:t>
          </w:r>
        </w:p>
        <w:p w14:paraId="7C318BBD"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Bookchin, Murray. </w:t>
          </w:r>
          <w:r w:rsidRPr="00501810">
            <w:rPr>
              <w:rFonts w:ascii="Calibri" w:eastAsia="Times New Roman" w:hAnsi="Calibri" w:cs="Calibri"/>
              <w:i/>
              <w:noProof/>
              <w:color w:val="000000"/>
              <w:kern w:val="0"/>
              <w:lang w:val="es-ES_tradnl" w:eastAsia="es-CR"/>
              <w14:ligatures w14:val="none"/>
            </w:rPr>
            <w:t>Rehacer la sociedad: Senderos hacia un futuro verde.</w:t>
          </w:r>
          <w:r w:rsidRPr="00501810">
            <w:rPr>
              <w:rFonts w:ascii="Calibri" w:eastAsia="Times New Roman" w:hAnsi="Calibri" w:cs="Calibri"/>
              <w:noProof/>
              <w:color w:val="000000"/>
              <w:kern w:val="0"/>
              <w:lang w:val="es-ES_tradnl" w:eastAsia="es-CR"/>
              <w14:ligatures w14:val="none"/>
            </w:rPr>
            <w:t xml:space="preserve"> Santiago: LOM Ediciones, 2012. (</w:t>
          </w:r>
          <w:r w:rsidRPr="00501810">
            <w:rPr>
              <w:rFonts w:ascii="Calibri" w:eastAsia="Times New Roman" w:hAnsi="Calibri" w:cs="Calibri"/>
              <w:noProof/>
              <w:color w:val="0070C0"/>
              <w:kern w:val="0"/>
              <w:lang w:val="es-ES_tradnl" w:eastAsia="es-CR"/>
              <w14:ligatures w14:val="none"/>
            </w:rPr>
            <w:t>clásico,</w:t>
          </w:r>
          <w:r w:rsidRPr="00501810">
            <w:rPr>
              <w:rFonts w:ascii="Calibri" w:eastAsia="Times New Roman" w:hAnsi="Calibri" w:cs="Calibri"/>
              <w:noProof/>
              <w:color w:val="000000"/>
              <w:kern w:val="0"/>
              <w:lang w:val="es-ES_tradnl" w:eastAsia="es-CR"/>
              <w14:ligatures w14:val="none"/>
            </w:rPr>
            <w:t xml:space="preserve"> última edición)</w:t>
          </w:r>
        </w:p>
        <w:p w14:paraId="13CADE61"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501810">
            <w:rPr>
              <w:rFonts w:ascii="Calibri" w:eastAsia="Times New Roman" w:hAnsi="Calibri" w:cs="Calibri"/>
              <w:kern w:val="0"/>
              <w:lang w:val="es-ES_tradnl" w:eastAsia="es-CR"/>
              <w14:ligatures w14:val="none"/>
            </w:rPr>
            <w:t xml:space="preserve">Castro, Augusto. </w:t>
          </w:r>
          <w:r w:rsidRPr="00501810">
            <w:rPr>
              <w:rFonts w:ascii="Calibri" w:eastAsia="Times New Roman" w:hAnsi="Calibri" w:cs="Calibri"/>
              <w:i/>
              <w:kern w:val="0"/>
              <w:lang w:val="es-ES_tradnl" w:eastAsia="es-CR"/>
              <w14:ligatures w14:val="none"/>
            </w:rPr>
            <w:t>El desafío de un pensar diferente: pensamiento, sociedad y naturaleza.</w:t>
          </w:r>
          <w:r w:rsidRPr="00501810">
            <w:rPr>
              <w:rFonts w:ascii="Calibri" w:eastAsia="Times New Roman" w:hAnsi="Calibri" w:cs="Calibri"/>
              <w:kern w:val="0"/>
              <w:lang w:val="es-ES_tradnl" w:eastAsia="es-CR"/>
              <w14:ligatures w14:val="none"/>
            </w:rPr>
            <w:t xml:space="preserve"> Buenos Aires: CLACSO, 2018. </w:t>
          </w:r>
          <w:r w:rsidRPr="00501810">
            <w:rPr>
              <w:rFonts w:ascii="Calibri" w:eastAsia="Times New Roman" w:hAnsi="Calibri" w:cs="Calibri"/>
              <w:noProof/>
              <w:color w:val="000000"/>
              <w:kern w:val="0"/>
              <w:lang w:val="es-ES_tradnl" w:eastAsia="es-CR"/>
              <w14:ligatures w14:val="none"/>
            </w:rPr>
            <w:t>(</w:t>
          </w:r>
          <w:r w:rsidRPr="00501810">
            <w:rPr>
              <w:rFonts w:ascii="Calibri" w:eastAsia="Times New Roman" w:hAnsi="Calibri" w:cs="Calibri"/>
              <w:noProof/>
              <w:color w:val="0070C0"/>
              <w:kern w:val="0"/>
              <w:lang w:val="es-ES_tradnl" w:eastAsia="es-CR"/>
              <w14:ligatures w14:val="none"/>
            </w:rPr>
            <w:t xml:space="preserve">clásico, </w:t>
          </w:r>
          <w:r w:rsidRPr="00501810">
            <w:rPr>
              <w:rFonts w:ascii="Calibri" w:eastAsia="Times New Roman" w:hAnsi="Calibri" w:cs="Calibri"/>
              <w:noProof/>
              <w:color w:val="000000"/>
              <w:kern w:val="0"/>
              <w:lang w:val="es-ES_tradnl" w:eastAsia="es-CR"/>
              <w14:ligatures w14:val="none"/>
            </w:rPr>
            <w:t>última edición)</w:t>
          </w:r>
        </w:p>
        <w:p w14:paraId="68C1E782" w14:textId="77777777" w:rsidR="00501810" w:rsidRPr="00501810" w:rsidRDefault="00501810"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 w:eastAsia="es-CR"/>
              <w14:ligatures w14:val="none"/>
            </w:rPr>
          </w:pPr>
          <w:r w:rsidRPr="4C9C2619">
            <w:rPr>
              <w:rFonts w:ascii="Calibri" w:eastAsia="Times New Roman" w:hAnsi="Calibri" w:cs="Calibri"/>
              <w:kern w:val="0"/>
              <w:lang w:val="es-ES" w:eastAsia="es-CR"/>
              <w14:ligatures w14:val="none"/>
            </w:rPr>
            <w:t xml:space="preserve">Duarte, </w:t>
          </w:r>
          <w:proofErr w:type="spellStart"/>
          <w:r w:rsidRPr="4C9C2619">
            <w:rPr>
              <w:rFonts w:ascii="Calibri" w:eastAsia="Times New Roman" w:hAnsi="Calibri" w:cs="Calibri"/>
              <w:kern w:val="0"/>
              <w:lang w:val="es-ES" w:eastAsia="es-CR"/>
              <w14:ligatures w14:val="none"/>
            </w:rPr>
            <w:t>Klaudio</w:t>
          </w:r>
          <w:proofErr w:type="spellEnd"/>
          <w:r w:rsidRPr="4C9C2619">
            <w:rPr>
              <w:rFonts w:ascii="Calibri" w:eastAsia="Times New Roman" w:hAnsi="Calibri" w:cs="Calibri"/>
              <w:kern w:val="0"/>
              <w:lang w:val="es-ES" w:eastAsia="es-CR"/>
              <w14:ligatures w14:val="none"/>
            </w:rPr>
            <w:t xml:space="preserve">. </w:t>
          </w:r>
          <w:r w:rsidRPr="4C9C2619">
            <w:rPr>
              <w:rFonts w:ascii="Calibri" w:eastAsia="Times New Roman" w:hAnsi="Calibri" w:cs="Calibri"/>
              <w:i/>
              <w:iCs/>
              <w:kern w:val="0"/>
              <w:lang w:val="es-ES" w:eastAsia="es-CR"/>
              <w14:ligatures w14:val="none"/>
            </w:rPr>
            <w:t>Género, generaciones y derecho: nuevos enfoques de trabajo con jóvenes. Una caja de herramientas</w:t>
          </w:r>
          <w:r w:rsidRPr="4C9C2619">
            <w:rPr>
              <w:rFonts w:ascii="Calibri" w:eastAsia="Times New Roman" w:hAnsi="Calibri" w:cs="Calibri"/>
              <w:kern w:val="0"/>
              <w:lang w:val="es-ES" w:eastAsia="es-CR"/>
              <w14:ligatures w14:val="none"/>
            </w:rPr>
            <w:t xml:space="preserve">. Bolivia: </w:t>
          </w:r>
          <w:proofErr w:type="spellStart"/>
          <w:r w:rsidRPr="4C9C2619">
            <w:rPr>
              <w:rFonts w:ascii="Calibri" w:eastAsia="Times New Roman" w:hAnsi="Calibri" w:cs="Calibri"/>
              <w:kern w:val="0"/>
              <w:lang w:val="es-ES" w:eastAsia="es-CR"/>
              <w14:ligatures w14:val="none"/>
            </w:rPr>
            <w:t>Family</w:t>
          </w:r>
          <w:proofErr w:type="spellEnd"/>
          <w:r w:rsidRPr="4C9C2619">
            <w:rPr>
              <w:rFonts w:ascii="Calibri" w:eastAsia="Times New Roman" w:hAnsi="Calibri" w:cs="Calibri"/>
              <w:kern w:val="0"/>
              <w:lang w:val="es-ES" w:eastAsia="es-CR"/>
              <w14:ligatures w14:val="none"/>
            </w:rPr>
            <w:t xml:space="preserve"> Care International, 2006. </w:t>
          </w:r>
          <w:r w:rsidRPr="4C9C2619">
            <w:rPr>
              <w:rFonts w:ascii="Calibri" w:eastAsia="Times New Roman" w:hAnsi="Calibri" w:cs="Calibri"/>
              <w:noProof/>
              <w:color w:val="000000"/>
              <w:kern w:val="0"/>
              <w:lang w:val="es-ES" w:eastAsia="es-CR"/>
              <w14:ligatures w14:val="none"/>
            </w:rPr>
            <w:t>(</w:t>
          </w:r>
          <w:r w:rsidRPr="4C9C2619">
            <w:rPr>
              <w:rFonts w:ascii="Calibri" w:eastAsia="Times New Roman" w:hAnsi="Calibri" w:cs="Calibri"/>
              <w:noProof/>
              <w:color w:val="0070C0"/>
              <w:kern w:val="0"/>
              <w:lang w:val="es-ES" w:eastAsia="es-CR"/>
              <w14:ligatures w14:val="none"/>
            </w:rPr>
            <w:t xml:space="preserve">clásico, </w:t>
          </w:r>
          <w:r w:rsidRPr="4C9C2619">
            <w:rPr>
              <w:rFonts w:ascii="Calibri" w:eastAsia="Times New Roman" w:hAnsi="Calibri" w:cs="Calibri"/>
              <w:noProof/>
              <w:color w:val="000000"/>
              <w:kern w:val="0"/>
              <w:lang w:val="es-ES" w:eastAsia="es-CR"/>
              <w14:ligatures w14:val="none"/>
            </w:rPr>
            <w:t>última edición)</w:t>
          </w:r>
        </w:p>
        <w:p w14:paraId="71DB4FDF"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García Linera, Alvaro. “El futuro de la izquierda y la dignidad humana”. En </w:t>
          </w:r>
          <w:r w:rsidRPr="00501810">
            <w:rPr>
              <w:rFonts w:ascii="Calibri" w:eastAsia="Times New Roman" w:hAnsi="Calibri" w:cs="Calibri"/>
              <w:i/>
              <w:noProof/>
              <w:color w:val="000000"/>
              <w:kern w:val="0"/>
              <w:lang w:val="es-ES_tradnl" w:eastAsia="es-CR"/>
              <w14:ligatures w14:val="none"/>
            </w:rPr>
            <w:t>Las sendas abiertas en América Latina: aprendizajes y desafíos para una nueva senda de transformaciones</w:t>
          </w:r>
          <w:r w:rsidRPr="00501810">
            <w:rPr>
              <w:rFonts w:ascii="Calibri" w:eastAsia="Times New Roman" w:hAnsi="Calibri" w:cs="Calibri"/>
              <w:noProof/>
              <w:color w:val="000000"/>
              <w:kern w:val="0"/>
              <w:lang w:val="es-ES_tradnl" w:eastAsia="es-CR"/>
              <w14:ligatures w14:val="none"/>
            </w:rPr>
            <w:t xml:space="preserve">, compilado por Daniel Filmus y Lucila Rosso, 197-203. Buenos Aires: CLACSO, 2019. </w:t>
          </w:r>
        </w:p>
        <w:p w14:paraId="05942290"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501810">
            <w:rPr>
              <w:rFonts w:ascii="Calibri" w:eastAsia="Times New Roman" w:hAnsi="Calibri" w:cs="Calibri"/>
              <w:kern w:val="0"/>
              <w:lang w:eastAsia="es-CR"/>
              <w14:ligatures w14:val="none"/>
            </w:rPr>
            <w:t xml:space="preserve">Giddens, Anthony y Philip Sutton. </w:t>
          </w:r>
          <w:r w:rsidRPr="00501810">
            <w:rPr>
              <w:rFonts w:ascii="Calibri" w:eastAsia="Times New Roman" w:hAnsi="Calibri" w:cs="Calibri"/>
              <w:i/>
              <w:kern w:val="0"/>
              <w:lang w:val="es-ES" w:eastAsia="es-CR"/>
              <w14:ligatures w14:val="none"/>
            </w:rPr>
            <w:t>Conceptos esenciales de sociología</w:t>
          </w:r>
          <w:r w:rsidRPr="00501810">
            <w:rPr>
              <w:rFonts w:ascii="Calibri" w:eastAsia="Times New Roman" w:hAnsi="Calibri" w:cs="Calibri"/>
              <w:kern w:val="0"/>
              <w:lang w:val="es-ES" w:eastAsia="es-CR"/>
              <w14:ligatures w14:val="none"/>
            </w:rPr>
            <w:t xml:space="preserve">. España: Alianza Editorial, 2015. </w:t>
          </w:r>
          <w:r w:rsidRPr="00501810">
            <w:rPr>
              <w:rFonts w:ascii="Calibri" w:eastAsia="Times New Roman" w:hAnsi="Calibri" w:cs="Calibri"/>
              <w:noProof/>
              <w:color w:val="000000"/>
              <w:kern w:val="0"/>
              <w:lang w:val="es-ES_tradnl" w:eastAsia="es-CR"/>
              <w14:ligatures w14:val="none"/>
            </w:rPr>
            <w:t>(</w:t>
          </w:r>
          <w:r w:rsidRPr="00501810">
            <w:rPr>
              <w:rFonts w:ascii="Calibri" w:eastAsia="Times New Roman" w:hAnsi="Calibri" w:cs="Calibri"/>
              <w:noProof/>
              <w:color w:val="0070C0"/>
              <w:kern w:val="0"/>
              <w:lang w:val="es-ES_tradnl" w:eastAsia="es-CR"/>
              <w14:ligatures w14:val="none"/>
            </w:rPr>
            <w:t xml:space="preserve">clásico, </w:t>
          </w:r>
          <w:r w:rsidRPr="00501810">
            <w:rPr>
              <w:rFonts w:ascii="Calibri" w:eastAsia="Times New Roman" w:hAnsi="Calibri" w:cs="Calibri"/>
              <w:noProof/>
              <w:color w:val="000000"/>
              <w:kern w:val="0"/>
              <w:lang w:val="es-ES_tradnl" w:eastAsia="es-CR"/>
              <w14:ligatures w14:val="none"/>
            </w:rPr>
            <w:t>última edición)</w:t>
          </w:r>
        </w:p>
        <w:p w14:paraId="1EFEAE3B"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Iazzetta, Osvaldo. “Liderazgos y estabilidad presidencial: las democracias sudamericanas y sus vaivenes”. En </w:t>
          </w:r>
          <w:r w:rsidRPr="00501810">
            <w:rPr>
              <w:rFonts w:ascii="Calibri" w:eastAsia="Times New Roman" w:hAnsi="Calibri" w:cs="Calibri"/>
              <w:i/>
              <w:noProof/>
              <w:color w:val="000000"/>
              <w:kern w:val="0"/>
              <w:lang w:val="es-ES_tradnl" w:eastAsia="es-CR"/>
              <w14:ligatures w14:val="none"/>
            </w:rPr>
            <w:t>Giros políticos y desafíos democráticos en América Latina</w:t>
          </w:r>
          <w:r w:rsidRPr="00501810">
            <w:rPr>
              <w:rFonts w:ascii="Calibri" w:eastAsia="Times New Roman" w:hAnsi="Calibri" w:cs="Calibri"/>
              <w:noProof/>
              <w:color w:val="000000"/>
              <w:kern w:val="0"/>
              <w:lang w:val="es-ES_tradnl" w:eastAsia="es-CR"/>
              <w14:ligatures w14:val="none"/>
            </w:rPr>
            <w:t xml:space="preserve">, coordinado por Gerardo Caetano y Fernando Mayorga, 199-220. Buenos Aires: CLACSO, 2020. </w:t>
          </w:r>
        </w:p>
        <w:p w14:paraId="2B6EBE97"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Llorenti, Sacha. “Bolivia en el sistema multilateral de gobernanza: Amenazas y desafíos de la agenda global”. </w:t>
          </w:r>
          <w:r w:rsidRPr="00501810">
            <w:rPr>
              <w:rFonts w:ascii="Calibri" w:eastAsia="Times New Roman" w:hAnsi="Calibri" w:cs="Calibri"/>
              <w:noProof/>
              <w:kern w:val="0"/>
              <w:lang w:val="es-ES_tradnl" w:eastAsia="es-CR"/>
              <w14:ligatures w14:val="none"/>
            </w:rPr>
            <w:t xml:space="preserve">En </w:t>
          </w:r>
          <w:r w:rsidRPr="00501810">
            <w:rPr>
              <w:rFonts w:ascii="Calibri" w:eastAsia="Times New Roman" w:hAnsi="Calibri" w:cs="Calibri"/>
              <w:i/>
              <w:noProof/>
              <w:color w:val="000000"/>
              <w:kern w:val="0"/>
              <w:lang w:val="es-ES_tradnl" w:eastAsia="es-CR"/>
              <w14:ligatures w14:val="none"/>
            </w:rPr>
            <w:t>Las sendas abiertas en América Latina: aprendizajes y desafíos para una nueva senda de transformaciones</w:t>
          </w:r>
          <w:r w:rsidRPr="00501810">
            <w:rPr>
              <w:rFonts w:ascii="Calibri" w:eastAsia="Times New Roman" w:hAnsi="Calibri" w:cs="Calibri"/>
              <w:noProof/>
              <w:color w:val="000000"/>
              <w:kern w:val="0"/>
              <w:lang w:val="es-ES_tradnl" w:eastAsia="es-CR"/>
              <w14:ligatures w14:val="none"/>
            </w:rPr>
            <w:t>, compilado por Daniel Filmus y Lucila Rosso, 207-219. Buenos Aires: CLACSO, 2019.</w:t>
          </w:r>
        </w:p>
        <w:p w14:paraId="52926053"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Mallimaci, Fortunato. “Ciencias sociales y teologías: los pobres y el pueblo en las Teologías de la Liberación en Argentina”. En La religión ante los problemas sociales: Espiritualidad, poder y sociabilidad en América Latina, compilado por Verónica Giménez Béliveau, 283-315. Buenos Aires: CLACSO, 2020.</w:t>
          </w:r>
        </w:p>
        <w:p w14:paraId="54863634"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Marañon Pimentel, Boris. “Hacia una caracterización no eurocéntrica de la crisis global actual del patrón de poder colonial-moderno y la solidaridad económica”. En </w:t>
          </w:r>
          <w:r w:rsidRPr="00501810">
            <w:rPr>
              <w:rFonts w:ascii="Calibri" w:eastAsia="Times New Roman" w:hAnsi="Calibri" w:cs="Calibri"/>
              <w:i/>
              <w:noProof/>
              <w:kern w:val="0"/>
              <w:lang w:val="es-ES_tradnl" w:eastAsia="es-CR"/>
              <w14:ligatures w14:val="none"/>
            </w:rPr>
            <w:t>Solidaridad económica, buenos víveres y descolonialidad del poder</w:t>
          </w:r>
          <w:r w:rsidRPr="00501810">
            <w:rPr>
              <w:rFonts w:ascii="Calibri" w:eastAsia="Times New Roman" w:hAnsi="Calibri" w:cs="Calibri"/>
              <w:noProof/>
              <w:kern w:val="0"/>
              <w:lang w:val="es-ES_tradnl" w:eastAsia="es-CR"/>
              <w14:ligatures w14:val="none"/>
            </w:rPr>
            <w:t xml:space="preserve">, coordinado por Boris Marañon Pimentel, 23-39. México: UNAM/CLACSO, 2019. </w:t>
          </w:r>
        </w:p>
        <w:p w14:paraId="3BDA51DE"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Martínez, Jarrison. “Tendencias globales y la emergencia de la economía social y solidaria”. En </w:t>
          </w:r>
          <w:r w:rsidRPr="00501810">
            <w:rPr>
              <w:rFonts w:ascii="Calibri" w:eastAsia="Times New Roman" w:hAnsi="Calibri" w:cs="Calibri"/>
              <w:i/>
              <w:noProof/>
              <w:kern w:val="0"/>
              <w:lang w:val="es-ES_tradnl" w:eastAsia="es-CR"/>
              <w14:ligatures w14:val="none"/>
            </w:rPr>
            <w:t>Solidaridad económica, buenos víveres y descolonialidad del poder</w:t>
          </w:r>
          <w:r w:rsidRPr="00501810">
            <w:rPr>
              <w:rFonts w:ascii="Calibri" w:eastAsia="Times New Roman" w:hAnsi="Calibri" w:cs="Calibri"/>
              <w:noProof/>
              <w:kern w:val="0"/>
              <w:lang w:val="es-ES_tradnl" w:eastAsia="es-CR"/>
              <w14:ligatures w14:val="none"/>
            </w:rPr>
            <w:t>, coordinado por Boris Marañon Pimentel, 41-52. México: UNAM/CLACSO, 2019.</w:t>
          </w:r>
        </w:p>
        <w:p w14:paraId="4183777B"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i/>
              <w:kern w:val="0"/>
              <w:lang w:val="es-ES" w:eastAsia="es-CR"/>
              <w14:ligatures w14:val="none"/>
            </w:rPr>
          </w:pPr>
          <w:proofErr w:type="spellStart"/>
          <w:r w:rsidRPr="00501810">
            <w:rPr>
              <w:rFonts w:ascii="Calibri" w:eastAsia="Times New Roman" w:hAnsi="Calibri" w:cs="Calibri"/>
              <w:kern w:val="0"/>
              <w:lang w:val="es-ES_tradnl" w:eastAsia="es-CR"/>
              <w14:ligatures w14:val="none"/>
            </w:rPr>
            <w:t>Pleyers</w:t>
          </w:r>
          <w:proofErr w:type="spellEnd"/>
          <w:r w:rsidRPr="00501810">
            <w:rPr>
              <w:rFonts w:ascii="Calibri" w:eastAsia="Times New Roman" w:hAnsi="Calibri" w:cs="Calibri"/>
              <w:kern w:val="0"/>
              <w:lang w:val="es-ES_tradnl" w:eastAsia="es-CR"/>
              <w14:ligatures w14:val="none"/>
            </w:rPr>
            <w:t xml:space="preserve">, Geoffrey. </w:t>
          </w:r>
          <w:r w:rsidRPr="00501810">
            <w:rPr>
              <w:rFonts w:ascii="Calibri" w:eastAsia="Times New Roman" w:hAnsi="Calibri" w:cs="Calibri"/>
              <w:i/>
              <w:kern w:val="0"/>
              <w:lang w:val="es-ES" w:eastAsia="es-CR"/>
              <w14:ligatures w14:val="none"/>
            </w:rPr>
            <w:t xml:space="preserve">Movimientos sociales en el siglo XXI: perspectivas y herramientas analíticas. </w:t>
          </w:r>
          <w:r w:rsidRPr="00501810">
            <w:rPr>
              <w:rFonts w:ascii="Calibri" w:eastAsia="Times New Roman" w:hAnsi="Calibri" w:cs="Calibri"/>
              <w:kern w:val="0"/>
              <w:lang w:val="es-ES" w:eastAsia="es-CR"/>
              <w14:ligatures w14:val="none"/>
            </w:rPr>
            <w:t xml:space="preserve">Buenos Aires: CLACSO, 2018. </w:t>
          </w:r>
          <w:r w:rsidRPr="00501810">
            <w:rPr>
              <w:rFonts w:ascii="Calibri" w:eastAsia="Times New Roman" w:hAnsi="Calibri" w:cs="Calibri"/>
              <w:noProof/>
              <w:color w:val="000000"/>
              <w:kern w:val="0"/>
              <w:lang w:val="es-ES_tradnl" w:eastAsia="es-CR"/>
              <w14:ligatures w14:val="none"/>
            </w:rPr>
            <w:t>(</w:t>
          </w:r>
          <w:r w:rsidRPr="00501810">
            <w:rPr>
              <w:rFonts w:ascii="Calibri" w:eastAsia="Times New Roman" w:hAnsi="Calibri" w:cs="Calibri"/>
              <w:noProof/>
              <w:color w:val="0070C0"/>
              <w:kern w:val="0"/>
              <w:lang w:val="es-ES_tradnl" w:eastAsia="es-CR"/>
              <w14:ligatures w14:val="none"/>
            </w:rPr>
            <w:t>clásico,</w:t>
          </w:r>
          <w:r w:rsidRPr="00501810">
            <w:rPr>
              <w:rFonts w:ascii="Calibri" w:eastAsia="Times New Roman" w:hAnsi="Calibri" w:cs="Calibri"/>
              <w:noProof/>
              <w:color w:val="000000"/>
              <w:kern w:val="0"/>
              <w:lang w:val="es-ES_tradnl" w:eastAsia="es-CR"/>
              <w14:ligatures w14:val="none"/>
            </w:rPr>
            <w:t xml:space="preserve"> última edición)</w:t>
          </w:r>
        </w:p>
        <w:p w14:paraId="6B8B8E9C"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Quiroga, Hugo. “El asiento del poder. El pueblo y el enigma de la representación”. ”. En </w:t>
          </w:r>
          <w:r w:rsidRPr="00501810">
            <w:rPr>
              <w:rFonts w:ascii="Calibri" w:eastAsia="Times New Roman" w:hAnsi="Calibri" w:cs="Calibri"/>
              <w:i/>
              <w:noProof/>
              <w:color w:val="000000"/>
              <w:kern w:val="0"/>
              <w:lang w:val="es-ES_tradnl" w:eastAsia="es-CR"/>
              <w14:ligatures w14:val="none"/>
            </w:rPr>
            <w:t>Giros políticos y desafío democráticos en América Latina</w:t>
          </w:r>
          <w:r w:rsidRPr="00501810">
            <w:rPr>
              <w:rFonts w:ascii="Calibri" w:eastAsia="Times New Roman" w:hAnsi="Calibri" w:cs="Calibri"/>
              <w:noProof/>
              <w:color w:val="000000"/>
              <w:kern w:val="0"/>
              <w:lang w:val="es-ES_tradnl" w:eastAsia="es-CR"/>
              <w14:ligatures w14:val="none"/>
            </w:rPr>
            <w:t xml:space="preserve">, coordinado por Gerardo Caetano y </w:t>
          </w:r>
          <w:r w:rsidRPr="00501810">
            <w:rPr>
              <w:rFonts w:ascii="Calibri" w:eastAsia="Times New Roman" w:hAnsi="Calibri" w:cs="Calibri"/>
              <w:noProof/>
              <w:color w:val="000000"/>
              <w:kern w:val="0"/>
              <w:lang w:val="es-ES_tradnl" w:eastAsia="es-CR"/>
              <w14:ligatures w14:val="none"/>
            </w:rPr>
            <w:lastRenderedPageBreak/>
            <w:t>Fernando Mayorga, 221-239. Buenos Aires: CLACSO, 2020.</w:t>
          </w:r>
        </w:p>
        <w:p w14:paraId="63EAEA36" w14:textId="77777777" w:rsidR="00501810" w:rsidRPr="00501810" w:rsidRDefault="00501810"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Roitman</w:t>
          </w:r>
          <w:proofErr w:type="spellEnd"/>
          <w:r w:rsidRPr="4C9C2619">
            <w:rPr>
              <w:rFonts w:ascii="Calibri" w:eastAsia="Times New Roman" w:hAnsi="Calibri" w:cs="Calibri"/>
              <w:kern w:val="0"/>
              <w:lang w:val="es-ES" w:eastAsia="es-CR"/>
              <w14:ligatures w14:val="none"/>
            </w:rPr>
            <w:t xml:space="preserve">, Marcos. </w:t>
          </w:r>
          <w:r w:rsidRPr="4C9C2619">
            <w:rPr>
              <w:rFonts w:ascii="Calibri" w:eastAsia="Times New Roman" w:hAnsi="Calibri" w:cs="Calibri"/>
              <w:i/>
              <w:iCs/>
              <w:kern w:val="0"/>
              <w:lang w:val="es-ES" w:eastAsia="es-CR"/>
              <w14:ligatures w14:val="none"/>
            </w:rPr>
            <w:t xml:space="preserve">Pensar América Latina: el desarrollo de la sociología latinoamericana. </w:t>
          </w:r>
          <w:r w:rsidRPr="4C9C2619">
            <w:rPr>
              <w:rFonts w:ascii="Calibri" w:eastAsia="Times New Roman" w:hAnsi="Calibri" w:cs="Calibri"/>
              <w:kern w:val="0"/>
              <w:lang w:val="es-ES" w:eastAsia="es-CR"/>
              <w14:ligatures w14:val="none"/>
            </w:rPr>
            <w:t xml:space="preserve">Buenos Aires: CLACSO, 2008. </w:t>
          </w:r>
          <w:r w:rsidRPr="4C9C2619">
            <w:rPr>
              <w:rFonts w:ascii="Calibri" w:eastAsia="Times New Roman" w:hAnsi="Calibri" w:cs="Calibri"/>
              <w:noProof/>
              <w:color w:val="000000"/>
              <w:kern w:val="0"/>
              <w:lang w:val="es-ES" w:eastAsia="es-CR"/>
              <w14:ligatures w14:val="none"/>
            </w:rPr>
            <w:t>(</w:t>
          </w:r>
          <w:r w:rsidRPr="4C9C2619">
            <w:rPr>
              <w:rFonts w:ascii="Calibri" w:eastAsia="Times New Roman" w:hAnsi="Calibri" w:cs="Calibri"/>
              <w:noProof/>
              <w:color w:val="0070C0"/>
              <w:kern w:val="0"/>
              <w:lang w:val="es-ES" w:eastAsia="es-CR"/>
              <w14:ligatures w14:val="none"/>
            </w:rPr>
            <w:t>clásico</w:t>
          </w:r>
          <w:r w:rsidRPr="4C9C2619">
            <w:rPr>
              <w:rFonts w:ascii="Calibri" w:eastAsia="Times New Roman" w:hAnsi="Calibri" w:cs="Calibri"/>
              <w:noProof/>
              <w:color w:val="000000"/>
              <w:kern w:val="0"/>
              <w:lang w:val="es-ES" w:eastAsia="es-CR"/>
              <w14:ligatures w14:val="none"/>
            </w:rPr>
            <w:t>, última edición)</w:t>
          </w:r>
        </w:p>
        <w:p w14:paraId="4627F70D"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kern w:val="0"/>
              <w:lang w:val="es-ES_tradnl" w:eastAsia="es-CR"/>
              <w14:ligatures w14:val="none"/>
            </w:rPr>
          </w:pPr>
          <w:r w:rsidRPr="00501810">
            <w:rPr>
              <w:rFonts w:ascii="Calibri" w:eastAsia="Times New Roman" w:hAnsi="Calibri" w:cs="Calibri"/>
              <w:noProof/>
              <w:kern w:val="0"/>
              <w:lang w:val="es-ES_tradnl" w:eastAsia="es-CR"/>
              <w14:ligatures w14:val="none"/>
            </w:rPr>
            <w:t xml:space="preserve">Sandoval García, Carlos. “Zonas de contacto entre las ciencias sociales”. En </w:t>
          </w:r>
          <w:r w:rsidRPr="00501810">
            <w:rPr>
              <w:rFonts w:ascii="Calibri" w:eastAsia="Times New Roman" w:hAnsi="Calibri" w:cs="Calibri"/>
              <w:i/>
              <w:noProof/>
              <w:kern w:val="0"/>
              <w:lang w:val="es-ES_tradnl" w:eastAsia="es-CR"/>
              <w14:ligatures w14:val="none"/>
            </w:rPr>
            <w:t>Género y Religión: sospechas y aportes para la reflexión</w:t>
          </w:r>
          <w:r w:rsidRPr="00501810">
            <w:rPr>
              <w:rFonts w:ascii="Calibri" w:eastAsia="Times New Roman" w:hAnsi="Calibri" w:cs="Calibri"/>
              <w:noProof/>
              <w:kern w:val="0"/>
              <w:lang w:val="es-ES_tradnl" w:eastAsia="es-CR"/>
              <w14:ligatures w14:val="none"/>
            </w:rPr>
            <w:t xml:space="preserve">, coordinado por Mireya Baltodano y Gabriela Miranda García, 177-191. San José: Editorial SEBILA, 2009. </w:t>
          </w:r>
          <w:r w:rsidRPr="00501810">
            <w:rPr>
              <w:rFonts w:ascii="Calibri" w:eastAsia="Times New Roman" w:hAnsi="Calibri" w:cs="Calibri"/>
              <w:noProof/>
              <w:color w:val="000000"/>
              <w:kern w:val="0"/>
              <w:lang w:val="es-ES_tradnl" w:eastAsia="es-CR"/>
              <w14:ligatures w14:val="none"/>
            </w:rPr>
            <w:t>(</w:t>
          </w:r>
          <w:r w:rsidRPr="00501810">
            <w:rPr>
              <w:rFonts w:ascii="Calibri" w:eastAsia="Times New Roman" w:hAnsi="Calibri" w:cs="Calibri"/>
              <w:noProof/>
              <w:color w:val="0070C0"/>
              <w:kern w:val="0"/>
              <w:lang w:val="es-ES_tradnl" w:eastAsia="es-CR"/>
              <w14:ligatures w14:val="none"/>
            </w:rPr>
            <w:t>clásico</w:t>
          </w:r>
          <w:r w:rsidRPr="00501810">
            <w:rPr>
              <w:rFonts w:ascii="Calibri" w:eastAsia="Times New Roman" w:hAnsi="Calibri" w:cs="Calibri"/>
              <w:noProof/>
              <w:color w:val="000000"/>
              <w:kern w:val="0"/>
              <w:lang w:val="es-ES_tradnl" w:eastAsia="es-CR"/>
              <w14:ligatures w14:val="none"/>
            </w:rPr>
            <w:t>, última edición)</w:t>
          </w:r>
        </w:p>
        <w:p w14:paraId="063D9AF9"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color w:val="000000"/>
              <w:kern w:val="0"/>
              <w:lang w:val="es-ES_tradnl" w:eastAsia="es-CR"/>
              <w14:ligatures w14:val="none"/>
            </w:rPr>
          </w:pPr>
          <w:r w:rsidRPr="00501810">
            <w:rPr>
              <w:rFonts w:ascii="Calibri" w:eastAsia="Times New Roman" w:hAnsi="Calibri" w:cs="Calibri"/>
              <w:noProof/>
              <w:color w:val="000000"/>
              <w:kern w:val="0"/>
              <w:lang w:val="es-ES_tradnl" w:eastAsia="es-CR"/>
              <w14:ligatures w14:val="none"/>
            </w:rPr>
            <w:t xml:space="preserve">Santos, Boaventura. </w:t>
          </w:r>
          <w:r w:rsidRPr="00501810">
            <w:rPr>
              <w:rFonts w:ascii="Calibri" w:eastAsia="Times New Roman" w:hAnsi="Calibri" w:cs="Calibri"/>
              <w:i/>
              <w:noProof/>
              <w:color w:val="000000"/>
              <w:kern w:val="0"/>
              <w:lang w:val="es-ES_tradnl" w:eastAsia="es-CR"/>
              <w14:ligatures w14:val="none"/>
            </w:rPr>
            <w:t>La cruel pedagogía del virus</w:t>
          </w:r>
          <w:r w:rsidRPr="00501810">
            <w:rPr>
              <w:rFonts w:ascii="Calibri" w:eastAsia="Times New Roman" w:hAnsi="Calibri" w:cs="Calibri"/>
              <w:noProof/>
              <w:color w:val="000000"/>
              <w:kern w:val="0"/>
              <w:lang w:val="es-ES_tradnl" w:eastAsia="es-CR"/>
              <w14:ligatures w14:val="none"/>
            </w:rPr>
            <w:t>. Buenos Aires: CLACSO, 2020.</w:t>
          </w:r>
        </w:p>
        <w:p w14:paraId="046EEF7E"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kern w:val="0"/>
              <w:lang w:val="es-ES_tradnl" w:eastAsia="es-CR"/>
              <w14:ligatures w14:val="none"/>
            </w:rPr>
          </w:pPr>
        </w:p>
        <w:p w14:paraId="2EE66E9F"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noProof/>
              <w:kern w:val="0"/>
              <w:lang w:val="es-ES_tradnl" w:eastAsia="es-CR"/>
              <w14:ligatures w14:val="none"/>
            </w:rPr>
          </w:pPr>
        </w:p>
        <w:p w14:paraId="592E85EE" w14:textId="77777777" w:rsidR="00501810" w:rsidRPr="00501810" w:rsidRDefault="00501810" w:rsidP="00501810">
          <w:pPr>
            <w:rPr>
              <w:rFonts w:ascii="Calibri" w:eastAsia="Times New Roman" w:hAnsi="Calibri" w:cs="Arial"/>
              <w:b/>
              <w:kern w:val="0"/>
              <w:lang w:val="es-ES_tradnl" w:eastAsia="es-CR"/>
              <w14:ligatures w14:val="none"/>
            </w:rPr>
          </w:pPr>
          <w:r w:rsidRPr="00501810">
            <w:rPr>
              <w:rFonts w:ascii="Calibri" w:eastAsia="Times New Roman" w:hAnsi="Calibri" w:cs="Arial"/>
              <w:b/>
              <w:kern w:val="0"/>
              <w:lang w:val="es-ES_tradnl" w:eastAsia="es-CR"/>
              <w14:ligatures w14:val="none"/>
            </w:rPr>
            <w:t xml:space="preserve">XII. Bibliografía complementaria </w:t>
          </w:r>
        </w:p>
        <w:p w14:paraId="68D4CFD4" w14:textId="77777777" w:rsidR="00501810" w:rsidRPr="00501810" w:rsidRDefault="00501810" w:rsidP="00501810">
          <w:pPr>
            <w:jc w:val="both"/>
            <w:rPr>
              <w:rFonts w:ascii="Calibri" w:eastAsia="Times New Roman" w:hAnsi="Calibri" w:cs="Arial"/>
              <w:bCs/>
              <w:color w:val="000000"/>
              <w:kern w:val="0"/>
              <w:lang w:eastAsia="es-CR"/>
              <w14:ligatures w14:val="none"/>
            </w:rPr>
          </w:pPr>
          <w:r w:rsidRPr="00501810">
            <w:rPr>
              <w:rFonts w:ascii="Calibri" w:eastAsia="Times New Roman" w:hAnsi="Calibri" w:cs="Arial"/>
              <w:b/>
              <w:color w:val="000000"/>
              <w:kern w:val="0"/>
              <w:lang w:eastAsia="es-CR"/>
              <w14:ligatures w14:val="none"/>
            </w:rPr>
            <w:t>Nota:</w:t>
          </w:r>
          <w:r w:rsidRPr="00501810">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501810">
            <w:rPr>
              <w:rFonts w:ascii="Calibri" w:eastAsia="Times New Roman" w:hAnsi="Calibri" w:cs="Arial"/>
              <w:bCs/>
              <w:color w:val="000000"/>
              <w:kern w:val="0"/>
              <w:lang w:eastAsia="es-CR"/>
              <w14:ligatures w14:val="none"/>
            </w:rPr>
            <w:t>pdf</w:t>
          </w:r>
          <w:proofErr w:type="spellEnd"/>
          <w:r w:rsidRPr="00501810">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4735E616"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noProof/>
              <w:color w:val="00B050"/>
              <w:kern w:val="0"/>
              <w:lang w:val="en-US" w:eastAsia="es-CR"/>
              <w14:ligatures w14:val="none"/>
            </w:rPr>
          </w:pPr>
          <w:r w:rsidRPr="00501810">
            <w:rPr>
              <w:rFonts w:ascii="Calibri" w:eastAsia="Times New Roman" w:hAnsi="Calibri" w:cs="Calibri"/>
              <w:bCs/>
              <w:noProof/>
              <w:kern w:val="0"/>
              <w:lang w:val="es-ES_tradnl" w:eastAsia="es-CR"/>
              <w14:ligatures w14:val="none"/>
            </w:rPr>
            <w:t xml:space="preserve">Valdivieso, Magdalena y Carmen Teresa García. “Una aproximación al Movimiento de Mujeres en América Latina: De los grupos de autoconciencia a las redes nacionales y trasnacionales”. </w:t>
          </w:r>
          <w:r w:rsidRPr="00501810">
            <w:rPr>
              <w:rFonts w:ascii="Calibri" w:eastAsia="Times New Roman" w:hAnsi="Calibri" w:cs="Calibri"/>
              <w:bCs/>
              <w:i/>
              <w:noProof/>
              <w:kern w:val="0"/>
              <w:lang w:val="es-ES_tradnl" w:eastAsia="es-CR"/>
              <w14:ligatures w14:val="none"/>
            </w:rPr>
            <w:t>Observatorio Social de América Latina</w:t>
          </w:r>
          <w:r w:rsidRPr="00501810">
            <w:rPr>
              <w:rFonts w:ascii="Calibri" w:eastAsia="Times New Roman" w:hAnsi="Calibri" w:cs="Calibri"/>
              <w:bCs/>
              <w:noProof/>
              <w:kern w:val="0"/>
              <w:lang w:val="es-ES_tradnl" w:eastAsia="es-CR"/>
              <w14:ligatures w14:val="none"/>
            </w:rPr>
            <w:t xml:space="preserve">, n. 18 (2005): 41-56. Acceso el 18 de diciembre de 2020. </w:t>
          </w:r>
          <w:hyperlink r:id="rId220" w:history="1">
            <w:r w:rsidRPr="00501810">
              <w:rPr>
                <w:rFonts w:ascii="Calibri" w:eastAsia="Times New Roman" w:hAnsi="Calibri" w:cs="Calibri"/>
                <w:bCs/>
                <w:noProof/>
                <w:color w:val="0000FF"/>
                <w:kern w:val="0"/>
                <w:u w:val="single"/>
                <w:lang w:val="en-US" w:eastAsia="es-CR"/>
                <w14:ligatures w14:val="none"/>
              </w:rPr>
              <w:t>http://biblioteca.clacso.edu.ar/clacso/osal/20110318071025/4GarciaValdivieso.pdf</w:t>
            </w:r>
          </w:hyperlink>
          <w:r w:rsidRPr="00501810">
            <w:rPr>
              <w:rFonts w:ascii="Calibri" w:eastAsia="Times New Roman" w:hAnsi="Calibri" w:cs="Calibri"/>
              <w:bCs/>
              <w:noProof/>
              <w:color w:val="00B050"/>
              <w:kern w:val="0"/>
              <w:lang w:val="en-US" w:eastAsia="es-CR"/>
              <w14:ligatures w14:val="none"/>
            </w:rPr>
            <w:t xml:space="preserve"> </w:t>
          </w:r>
        </w:p>
        <w:p w14:paraId="79C8AD4F"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noProof/>
              <w:color w:val="FF0000"/>
              <w:kern w:val="0"/>
              <w:lang w:val="es-ES_tradnl" w:eastAsia="es-CR"/>
              <w14:ligatures w14:val="none"/>
            </w:rPr>
          </w:pPr>
          <w:r w:rsidRPr="00501810">
            <w:rPr>
              <w:rFonts w:ascii="Calibri" w:eastAsia="Times New Roman" w:hAnsi="Calibri" w:cs="Calibri"/>
              <w:bCs/>
              <w:noProof/>
              <w:kern w:val="0"/>
              <w:lang w:val="en-US" w:eastAsia="es-CR"/>
              <w14:ligatures w14:val="none"/>
            </w:rPr>
            <w:t>Mignolo, Walter</w:t>
          </w:r>
          <w:r w:rsidRPr="00501810">
            <w:rPr>
              <w:rFonts w:ascii="Calibri" w:eastAsia="Times New Roman" w:hAnsi="Calibri" w:cs="Calibri"/>
              <w:bCs/>
              <w:i/>
              <w:iCs/>
              <w:noProof/>
              <w:kern w:val="0"/>
              <w:lang w:val="en-US" w:eastAsia="es-CR"/>
              <w14:ligatures w14:val="none"/>
            </w:rPr>
            <w:t xml:space="preserve">. </w:t>
          </w:r>
          <w:r w:rsidRPr="00501810">
            <w:rPr>
              <w:rFonts w:ascii="Calibri" w:eastAsia="Times New Roman" w:hAnsi="Calibri" w:cs="Calibri"/>
              <w:bCs/>
              <w:i/>
              <w:iCs/>
              <w:noProof/>
              <w:kern w:val="0"/>
              <w:lang w:val="es-ES_tradnl" w:eastAsia="es-CR"/>
              <w14:ligatures w14:val="none"/>
            </w:rPr>
            <w:t>La idea de América Latina: La herida colonial y la opción decolonial</w:t>
          </w:r>
          <w:r w:rsidRPr="00501810">
            <w:rPr>
              <w:rFonts w:ascii="Calibri" w:eastAsia="Times New Roman" w:hAnsi="Calibri" w:cs="Calibri"/>
              <w:bCs/>
              <w:noProof/>
              <w:kern w:val="0"/>
              <w:lang w:val="es-ES_tradnl" w:eastAsia="es-CR"/>
              <w14:ligatures w14:val="none"/>
            </w:rPr>
            <w:t xml:space="preserve">. Barcelona: Editorial Gedisa, 2007. Acceso el 18 de diciembre de 2020. </w:t>
          </w:r>
          <w:hyperlink r:id="rId221" w:history="1">
            <w:r w:rsidRPr="00501810">
              <w:rPr>
                <w:rFonts w:ascii="Calibri" w:eastAsia="Times New Roman" w:hAnsi="Calibri" w:cs="Calibri"/>
                <w:bCs/>
                <w:noProof/>
                <w:color w:val="0000FF"/>
                <w:kern w:val="0"/>
                <w:u w:val="single"/>
                <w:lang w:val="es-ES_tradnl" w:eastAsia="es-CR"/>
                <w14:ligatures w14:val="none"/>
              </w:rPr>
              <w:t>http://www.ceapedi.com.ar/imagenes/biblioteca/libreria/420.pdf</w:t>
            </w:r>
          </w:hyperlink>
          <w:r w:rsidRPr="00501810">
            <w:rPr>
              <w:rFonts w:ascii="Calibri" w:eastAsia="Times New Roman" w:hAnsi="Calibri" w:cs="Calibri"/>
              <w:bCs/>
              <w:noProof/>
              <w:color w:val="00B050"/>
              <w:kern w:val="0"/>
              <w:lang w:val="es-ES_tradnl" w:eastAsia="es-CR"/>
              <w14:ligatures w14:val="none"/>
            </w:rPr>
            <w:t xml:space="preserve"> </w:t>
          </w:r>
        </w:p>
        <w:p w14:paraId="22ADAF4E"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noProof/>
              <w:color w:val="FF0000"/>
              <w:kern w:val="0"/>
              <w:lang w:val="es-ES_tradnl" w:eastAsia="es-CR"/>
              <w14:ligatures w14:val="none"/>
            </w:rPr>
          </w:pPr>
          <w:r w:rsidRPr="00501810">
            <w:rPr>
              <w:rFonts w:ascii="Calibri" w:eastAsia="Times New Roman" w:hAnsi="Calibri" w:cs="Calibri"/>
              <w:bCs/>
              <w:noProof/>
              <w:kern w:val="0"/>
              <w:lang w:val="es-ES_tradnl" w:eastAsia="es-CR"/>
              <w14:ligatures w14:val="none"/>
            </w:rPr>
            <w:t xml:space="preserve">Puyana Mutis, Alicia. “El retorno al extractivismo en América Latina: ¿Ruptura o profundización del modelo de economía liberal y por qué ahora?” </w:t>
          </w:r>
          <w:r w:rsidRPr="00501810">
            <w:rPr>
              <w:rFonts w:ascii="Calibri" w:eastAsia="Times New Roman" w:hAnsi="Calibri" w:cs="Calibri"/>
              <w:bCs/>
              <w:i/>
              <w:iCs/>
              <w:noProof/>
              <w:kern w:val="0"/>
              <w:lang w:val="es-ES_tradnl" w:eastAsia="es-CR"/>
              <w14:ligatures w14:val="none"/>
            </w:rPr>
            <w:t>Espiral: Estudios sobre Estado y Sociedad</w:t>
          </w:r>
          <w:r w:rsidRPr="00501810">
            <w:rPr>
              <w:rFonts w:ascii="Calibri" w:eastAsia="Times New Roman" w:hAnsi="Calibri" w:cs="Calibri"/>
              <w:bCs/>
              <w:noProof/>
              <w:kern w:val="0"/>
              <w:lang w:val="es-ES_tradnl" w:eastAsia="es-CR"/>
              <w14:ligatures w14:val="none"/>
            </w:rPr>
            <w:t xml:space="preserve"> 24, n. 69 (2017): 73-113. Acceso el 18 de diciembre de 2020. </w:t>
          </w:r>
          <w:hyperlink r:id="rId222" w:history="1">
            <w:r w:rsidRPr="00501810">
              <w:rPr>
                <w:rFonts w:ascii="Calibri" w:eastAsia="Times New Roman" w:hAnsi="Calibri" w:cs="Calibri"/>
                <w:bCs/>
                <w:noProof/>
                <w:color w:val="0000FF"/>
                <w:kern w:val="0"/>
                <w:u w:val="single"/>
                <w:lang w:val="es-ES_tradnl" w:eastAsia="es-CR"/>
                <w14:ligatures w14:val="none"/>
              </w:rPr>
              <w:t>http://www.scielo.org.mx/pdf/espiral/v24n69/1665-0565-espiral-24-69-00073.pdf</w:t>
            </w:r>
          </w:hyperlink>
          <w:r w:rsidRPr="00501810">
            <w:rPr>
              <w:rFonts w:ascii="Calibri" w:eastAsia="Times New Roman" w:hAnsi="Calibri" w:cs="Calibri"/>
              <w:bCs/>
              <w:noProof/>
              <w:color w:val="00B050"/>
              <w:kern w:val="0"/>
              <w:lang w:val="es-ES_tradnl" w:eastAsia="es-CR"/>
              <w14:ligatures w14:val="none"/>
            </w:rPr>
            <w:t xml:space="preserve"> </w:t>
          </w:r>
        </w:p>
        <w:p w14:paraId="7C2B03B2" w14:textId="77777777" w:rsidR="00501810" w:rsidRPr="00501810" w:rsidRDefault="00501810" w:rsidP="00501810">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noProof/>
              <w:color w:val="FF0000"/>
              <w:kern w:val="0"/>
              <w:lang w:val="es-ES_tradnl" w:eastAsia="es-CR"/>
              <w14:ligatures w14:val="none"/>
            </w:rPr>
          </w:pPr>
          <w:r w:rsidRPr="00501810">
            <w:rPr>
              <w:rFonts w:ascii="Calibri" w:eastAsia="Times New Roman" w:hAnsi="Calibri" w:cs="Calibri"/>
              <w:bCs/>
              <w:noProof/>
              <w:kern w:val="0"/>
              <w:lang w:val="es-ES_tradnl" w:eastAsia="es-CR"/>
              <w14:ligatures w14:val="none"/>
            </w:rPr>
            <w:t xml:space="preserve">Ugarteche, Oscar. </w:t>
          </w:r>
          <w:r w:rsidRPr="00501810">
            <w:rPr>
              <w:rFonts w:ascii="Calibri" w:eastAsia="Times New Roman" w:hAnsi="Calibri" w:cs="Calibri"/>
              <w:bCs/>
              <w:i/>
              <w:noProof/>
              <w:kern w:val="0"/>
              <w:lang w:val="es-ES_tradnl" w:eastAsia="es-CR"/>
              <w14:ligatures w14:val="none"/>
            </w:rPr>
            <w:t>La crisis global y la regionalización: una visión desde América Latina</w:t>
          </w:r>
          <w:r w:rsidRPr="00501810">
            <w:rPr>
              <w:rFonts w:ascii="Calibri" w:eastAsia="Times New Roman" w:hAnsi="Calibri" w:cs="Calibri"/>
              <w:bCs/>
              <w:noProof/>
              <w:kern w:val="0"/>
              <w:lang w:val="es-ES_tradnl" w:eastAsia="es-CR"/>
              <w14:ligatures w14:val="none"/>
            </w:rPr>
            <w:t xml:space="preserve">. Lima: LATINDADD, 2009. </w:t>
          </w:r>
          <w:r w:rsidRPr="00501810">
            <w:rPr>
              <w:rFonts w:ascii="Calibri" w:eastAsia="Times New Roman" w:hAnsi="Calibri" w:cs="Calibri"/>
              <w:noProof/>
              <w:color w:val="000000"/>
              <w:kern w:val="0"/>
              <w:lang w:val="es-ES_tradnl" w:eastAsia="es-CR"/>
              <w14:ligatures w14:val="none"/>
            </w:rPr>
            <w:t>(</w:t>
          </w:r>
          <w:r w:rsidRPr="00501810">
            <w:rPr>
              <w:rFonts w:ascii="Calibri" w:eastAsia="Times New Roman" w:hAnsi="Calibri" w:cs="Calibri"/>
              <w:noProof/>
              <w:color w:val="0070C0"/>
              <w:kern w:val="0"/>
              <w:lang w:val="es-ES_tradnl" w:eastAsia="es-CR"/>
              <w14:ligatures w14:val="none"/>
            </w:rPr>
            <w:t>clásico</w:t>
          </w:r>
          <w:r w:rsidRPr="00501810">
            <w:rPr>
              <w:rFonts w:ascii="Calibri" w:eastAsia="Times New Roman" w:hAnsi="Calibri" w:cs="Calibri"/>
              <w:noProof/>
              <w:color w:val="000000"/>
              <w:kern w:val="0"/>
              <w:lang w:val="es-ES_tradnl" w:eastAsia="es-CR"/>
              <w14:ligatures w14:val="none"/>
            </w:rPr>
            <w:t>, última edición)</w:t>
          </w:r>
        </w:p>
        <w:p w14:paraId="1939C4FE" w14:textId="77777777" w:rsidR="00501810" w:rsidRPr="00501810" w:rsidRDefault="00DD16F2" w:rsidP="00501810">
          <w:pPr>
            <w:rPr>
              <w:rFonts w:ascii="Calibri" w:eastAsia="Times New Roman" w:hAnsi="Calibri" w:cs="Arial"/>
              <w:kern w:val="0"/>
              <w:lang w:val="es-ES_tradnl" w:eastAsia="es-CR"/>
              <w14:ligatures w14:val="none"/>
            </w:rPr>
          </w:pPr>
        </w:p>
      </w:sdtContent>
    </w:sdt>
    <w:p w14:paraId="6134F956" w14:textId="6C35E30C" w:rsidR="00501810" w:rsidRDefault="00501810">
      <w:pPr>
        <w:rPr>
          <w:sz w:val="24"/>
          <w:szCs w:val="24"/>
        </w:rPr>
      </w:pPr>
      <w:r>
        <w:rPr>
          <w:sz w:val="24"/>
          <w:szCs w:val="24"/>
        </w:rPr>
        <w:br w:type="page"/>
      </w:r>
    </w:p>
    <w:p w14:paraId="0F6AB4F5" w14:textId="77777777" w:rsidR="00543E6C" w:rsidRPr="00543E6C" w:rsidRDefault="00543E6C" w:rsidP="00543E6C">
      <w:pPr>
        <w:spacing w:after="200" w:line="276" w:lineRule="auto"/>
        <w:jc w:val="center"/>
        <w:rPr>
          <w:rFonts w:ascii="Arial" w:eastAsia="MS Mincho" w:hAnsi="Arial" w:cs="Arial"/>
          <w:color w:val="0070C0"/>
          <w:kern w:val="0"/>
          <w:sz w:val="24"/>
          <w:szCs w:val="24"/>
          <w:lang w:val="es-ES_tradnl" w:eastAsia="es-CR"/>
          <w14:ligatures w14:val="none"/>
        </w:rPr>
      </w:pPr>
      <w:r w:rsidRPr="00543E6C">
        <w:rPr>
          <w:rFonts w:ascii="Arial" w:eastAsia="Times New Roman" w:hAnsi="Arial" w:cs="Arial"/>
          <w:noProof/>
          <w:kern w:val="0"/>
          <w:sz w:val="24"/>
          <w:szCs w:val="24"/>
          <w:lang w:eastAsia="es-CR"/>
          <w14:ligatures w14:val="none"/>
        </w:rPr>
        <w:lastRenderedPageBreak/>
        <w:drawing>
          <wp:inline distT="0" distB="0" distL="0" distR="0" wp14:anchorId="3DEACF49" wp14:editId="741EED05">
            <wp:extent cx="2009775" cy="1548377"/>
            <wp:effectExtent l="0" t="0" r="0" b="0"/>
            <wp:docPr id="12043619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0BACDF44" w14:textId="77777777" w:rsidR="00543E6C" w:rsidRPr="00543E6C" w:rsidRDefault="00543E6C" w:rsidP="00543E6C">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val="es-ES_tradnl" w:eastAsia="es-CR"/>
          <w14:ligatures w14:val="none"/>
        </w:rPr>
      </w:pPr>
      <w:r w:rsidRPr="00543E6C">
        <w:rPr>
          <w:rFonts w:ascii="Calibri" w:eastAsia="Times New Roman" w:hAnsi="Calibri" w:cs="Arial"/>
          <w:b/>
          <w:spacing w:val="-2"/>
          <w:kern w:val="0"/>
          <w:sz w:val="24"/>
          <w:szCs w:val="24"/>
          <w:lang w:val="es-ES_tradnl" w:eastAsia="es-CR"/>
          <w14:ligatures w14:val="none"/>
        </w:rPr>
        <w:t>Universidad Bíblica Latinoamericana</w:t>
      </w:r>
    </w:p>
    <w:p w14:paraId="01FDF964" w14:textId="77777777" w:rsidR="00543E6C" w:rsidRPr="00543E6C" w:rsidRDefault="00543E6C" w:rsidP="00543E6C">
      <w:pPr>
        <w:keepNext/>
        <w:widowControl w:val="0"/>
        <w:overflowPunct w:val="0"/>
        <w:autoSpaceDE w:val="0"/>
        <w:autoSpaceDN w:val="0"/>
        <w:adjustRightInd w:val="0"/>
        <w:spacing w:after="0" w:line="240" w:lineRule="auto"/>
        <w:jc w:val="center"/>
        <w:outlineLvl w:val="1"/>
        <w:rPr>
          <w:rFonts w:ascii="Calibri" w:eastAsia="Times New Roman" w:hAnsi="Calibri" w:cs="Arial"/>
          <w:b/>
          <w:i/>
          <w:spacing w:val="-2"/>
          <w:kern w:val="28"/>
          <w:sz w:val="24"/>
          <w:szCs w:val="24"/>
          <w:lang w:val="es-ES_tradnl" w:eastAsia="es-CR"/>
          <w14:ligatures w14:val="none"/>
        </w:rPr>
      </w:pPr>
      <w:r w:rsidRPr="00543E6C">
        <w:rPr>
          <w:rFonts w:ascii="Calibri" w:eastAsia="Times New Roman" w:hAnsi="Calibri" w:cs="Arial"/>
          <w:b/>
          <w:i/>
          <w:spacing w:val="-2"/>
          <w:kern w:val="28"/>
          <w:sz w:val="24"/>
          <w:szCs w:val="24"/>
          <w:lang w:val="es-ES_tradnl" w:eastAsia="es-CR"/>
          <w14:ligatures w14:val="none"/>
        </w:rPr>
        <w:t>Facultad de Teología</w:t>
      </w:r>
    </w:p>
    <w:p w14:paraId="075521F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543E6C">
        <w:rPr>
          <w:rFonts w:ascii="Calibri" w:eastAsia="Times New Roman" w:hAnsi="Calibri" w:cs="Arial"/>
          <w:b/>
          <w:bCs/>
          <w:kern w:val="0"/>
          <w:sz w:val="24"/>
          <w:szCs w:val="24"/>
          <w:lang w:val="es-ES_tradnl" w:eastAsia="es-CR"/>
          <w14:ligatures w14:val="none"/>
        </w:rPr>
        <w:t xml:space="preserve">Bachillerato en Ciencias </w:t>
      </w:r>
      <w:r w:rsidRPr="00543E6C">
        <w:rPr>
          <w:rFonts w:ascii="Calibri" w:eastAsia="Times New Roman" w:hAnsi="Calibri" w:cs="Arial"/>
          <w:b/>
          <w:bCs/>
          <w:kern w:val="0"/>
          <w:sz w:val="24"/>
          <w:szCs w:val="20"/>
          <w:lang w:val="es-ES_tradnl" w:eastAsia="es-CR"/>
          <w14:ligatures w14:val="none"/>
        </w:rPr>
        <w:t>Bíblicas</w:t>
      </w:r>
    </w:p>
    <w:p w14:paraId="6804896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p>
    <w:p w14:paraId="1118E7C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543E6C">
        <w:rPr>
          <w:rFonts w:ascii="Calibri" w:eastAsia="Times New Roman" w:hAnsi="Calibri" w:cs="Arial"/>
          <w:b/>
          <w:kern w:val="0"/>
          <w:sz w:val="24"/>
          <w:szCs w:val="24"/>
          <w:lang w:val="es-ES_tradnl" w:eastAsia="es-CR"/>
          <w14:ligatures w14:val="none"/>
        </w:rPr>
        <w:t>Sílabo</w:t>
      </w:r>
    </w:p>
    <w:p w14:paraId="0380183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bookmarkStart w:id="36" w:name="CTX113"/>
      <w:r w:rsidRPr="00543E6C">
        <w:rPr>
          <w:rFonts w:ascii="Calibri" w:eastAsia="Times New Roman" w:hAnsi="Calibri" w:cs="Arial"/>
          <w:b/>
          <w:kern w:val="0"/>
          <w:sz w:val="24"/>
          <w:szCs w:val="24"/>
          <w:lang w:val="es-ES_tradnl" w:eastAsia="es-CR"/>
          <w14:ligatures w14:val="none"/>
        </w:rPr>
        <w:t>Cristología</w:t>
      </w:r>
    </w:p>
    <w:bookmarkEnd w:id="36"/>
    <w:p w14:paraId="642D6019" w14:textId="77777777" w:rsidR="00543E6C" w:rsidRPr="00543E6C" w:rsidRDefault="00543E6C" w:rsidP="00543E6C">
      <w:pPr>
        <w:widowControl w:val="0"/>
        <w:overflowPunct w:val="0"/>
        <w:autoSpaceDE w:val="0"/>
        <w:autoSpaceDN w:val="0"/>
        <w:adjustRightInd w:val="0"/>
        <w:spacing w:after="0" w:line="240" w:lineRule="auto"/>
        <w:rPr>
          <w:rFonts w:ascii="Arial" w:eastAsia="Times New Roman" w:hAnsi="Arial" w:cs="Arial"/>
          <w:kern w:val="0"/>
          <w:sz w:val="24"/>
          <w:szCs w:val="24"/>
          <w:lang w:val="es-ES_tradnl" w:eastAsia="es-CR"/>
          <w14:ligatures w14:val="none"/>
        </w:rPr>
      </w:pPr>
    </w:p>
    <w:p w14:paraId="3BCC9DC9" w14:textId="77777777" w:rsidR="00543E6C" w:rsidRPr="00543E6C" w:rsidRDefault="00543E6C" w:rsidP="00543E6C">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r w:rsidRPr="00543E6C">
        <w:rPr>
          <w:rFonts w:ascii="Arial" w:eastAsia="Times New Roman" w:hAnsi="Arial" w:cs="Arial"/>
          <w:kern w:val="0"/>
          <w:sz w:val="24"/>
          <w:szCs w:val="24"/>
          <w:lang w:val="es-ES_tradnl" w:eastAsia="es-CR"/>
          <w14:ligatures w14:val="none"/>
        </w:rPr>
        <w:t xml:space="preserve"> </w:t>
      </w:r>
    </w:p>
    <w:tbl>
      <w:tblPr>
        <w:tblStyle w:val="Tablaconcuadrcula"/>
        <w:tblW w:w="0" w:type="auto"/>
        <w:tblLook w:val="04A0" w:firstRow="1" w:lastRow="0" w:firstColumn="1" w:lastColumn="0" w:noHBand="0" w:noVBand="1"/>
      </w:tblPr>
      <w:tblGrid>
        <w:gridCol w:w="1666"/>
        <w:gridCol w:w="7162"/>
      </w:tblGrid>
      <w:tr w:rsidR="00543E6C" w:rsidRPr="00543E6C" w14:paraId="50D21BF8" w14:textId="77777777" w:rsidTr="00CE7124">
        <w:tc>
          <w:tcPr>
            <w:tcW w:w="1668" w:type="dxa"/>
          </w:tcPr>
          <w:p w14:paraId="33CE07C7"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Código</w:t>
            </w:r>
          </w:p>
        </w:tc>
        <w:tc>
          <w:tcPr>
            <w:tcW w:w="7386" w:type="dxa"/>
          </w:tcPr>
          <w:p w14:paraId="020D3C62"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CTX 113</w:t>
            </w:r>
          </w:p>
        </w:tc>
      </w:tr>
      <w:tr w:rsidR="00543E6C" w:rsidRPr="00543E6C" w14:paraId="16FA5B96" w14:textId="77777777" w:rsidTr="00CE7124">
        <w:tc>
          <w:tcPr>
            <w:tcW w:w="1668" w:type="dxa"/>
          </w:tcPr>
          <w:p w14:paraId="2787E4EB"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Créditos</w:t>
            </w:r>
          </w:p>
        </w:tc>
        <w:tc>
          <w:tcPr>
            <w:tcW w:w="7386" w:type="dxa"/>
          </w:tcPr>
          <w:p w14:paraId="2365E477"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4</w:t>
            </w:r>
          </w:p>
        </w:tc>
      </w:tr>
      <w:tr w:rsidR="00543E6C" w:rsidRPr="00543E6C" w14:paraId="1534C019" w14:textId="77777777" w:rsidTr="00CE7124">
        <w:tc>
          <w:tcPr>
            <w:tcW w:w="1668" w:type="dxa"/>
          </w:tcPr>
          <w:p w14:paraId="1D983F5E"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Requisitos</w:t>
            </w:r>
          </w:p>
        </w:tc>
        <w:tc>
          <w:tcPr>
            <w:tcW w:w="7386" w:type="dxa"/>
          </w:tcPr>
          <w:p w14:paraId="74C3C3A0"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CTX 106</w:t>
            </w:r>
          </w:p>
        </w:tc>
      </w:tr>
      <w:tr w:rsidR="00543E6C" w:rsidRPr="00543E6C" w14:paraId="73B14D7E" w14:textId="77777777" w:rsidTr="00CE7124">
        <w:tc>
          <w:tcPr>
            <w:tcW w:w="1668" w:type="dxa"/>
          </w:tcPr>
          <w:p w14:paraId="23BA3302"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Modalidad</w:t>
            </w:r>
          </w:p>
        </w:tc>
        <w:tc>
          <w:tcPr>
            <w:tcW w:w="7386" w:type="dxa"/>
          </w:tcPr>
          <w:p w14:paraId="3943A8D9"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Virtual</w:t>
            </w:r>
          </w:p>
        </w:tc>
      </w:tr>
      <w:tr w:rsidR="00543E6C" w:rsidRPr="00543E6C" w14:paraId="0C7B18A6" w14:textId="77777777" w:rsidTr="00CE7124">
        <w:tc>
          <w:tcPr>
            <w:tcW w:w="1668" w:type="dxa"/>
          </w:tcPr>
          <w:p w14:paraId="73F6D19B"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Naturaleza</w:t>
            </w:r>
          </w:p>
        </w:tc>
        <w:tc>
          <w:tcPr>
            <w:tcW w:w="7386" w:type="dxa"/>
          </w:tcPr>
          <w:p w14:paraId="5ED42ACE"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Teórico</w:t>
            </w:r>
          </w:p>
        </w:tc>
      </w:tr>
      <w:tr w:rsidR="00543E6C" w:rsidRPr="00543E6C" w14:paraId="083F9A17" w14:textId="77777777" w:rsidTr="00CE7124">
        <w:tc>
          <w:tcPr>
            <w:tcW w:w="1668" w:type="dxa"/>
          </w:tcPr>
          <w:p w14:paraId="696D5CC9"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Periodo</w:t>
            </w:r>
          </w:p>
        </w:tc>
        <w:tc>
          <w:tcPr>
            <w:tcW w:w="7386" w:type="dxa"/>
          </w:tcPr>
          <w:p w14:paraId="238D8BF9"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Cuatrimestral (15 semanas lectivas)</w:t>
            </w:r>
          </w:p>
        </w:tc>
      </w:tr>
      <w:tr w:rsidR="00543E6C" w:rsidRPr="00543E6C" w14:paraId="37CF50EC" w14:textId="77777777" w:rsidTr="00CE7124">
        <w:tc>
          <w:tcPr>
            <w:tcW w:w="1668" w:type="dxa"/>
          </w:tcPr>
          <w:p w14:paraId="0B07148A"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Nivel</w:t>
            </w:r>
          </w:p>
        </w:tc>
        <w:tc>
          <w:tcPr>
            <w:tcW w:w="7386" w:type="dxa"/>
          </w:tcPr>
          <w:p w14:paraId="29AB9DBE"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IV Cuatrimestre</w:t>
            </w:r>
          </w:p>
        </w:tc>
      </w:tr>
      <w:tr w:rsidR="00543E6C" w:rsidRPr="00543E6C" w14:paraId="1E9FF151" w14:textId="77777777" w:rsidTr="00CE7124">
        <w:tc>
          <w:tcPr>
            <w:tcW w:w="1668" w:type="dxa"/>
          </w:tcPr>
          <w:p w14:paraId="276051D7"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Horario</w:t>
            </w:r>
          </w:p>
        </w:tc>
        <w:tc>
          <w:tcPr>
            <w:tcW w:w="7386" w:type="dxa"/>
          </w:tcPr>
          <w:p w14:paraId="3530725C"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El curso requiere de 12 horas de trabajo semanal</w:t>
            </w:r>
          </w:p>
        </w:tc>
      </w:tr>
      <w:tr w:rsidR="00543E6C" w:rsidRPr="00543E6C" w14:paraId="3DB1FA47" w14:textId="77777777" w:rsidTr="00CE7124">
        <w:tc>
          <w:tcPr>
            <w:tcW w:w="1668" w:type="dxa"/>
          </w:tcPr>
          <w:p w14:paraId="78F9653F"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Aula</w:t>
            </w:r>
          </w:p>
        </w:tc>
        <w:tc>
          <w:tcPr>
            <w:tcW w:w="7386" w:type="dxa"/>
          </w:tcPr>
          <w:p w14:paraId="12AE2444"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lang w:eastAsia="es-CR"/>
              </w:rPr>
              <w:t>Plataforma virtual de la UBL</w:t>
            </w:r>
          </w:p>
        </w:tc>
      </w:tr>
      <w:tr w:rsidR="00543E6C" w:rsidRPr="00543E6C" w14:paraId="26CDCA41" w14:textId="77777777" w:rsidTr="00CE7124">
        <w:tc>
          <w:tcPr>
            <w:tcW w:w="1668" w:type="dxa"/>
          </w:tcPr>
          <w:p w14:paraId="6FDB4AC2" w14:textId="77777777" w:rsidR="00543E6C" w:rsidRPr="00543E6C" w:rsidRDefault="00543E6C" w:rsidP="00543E6C">
            <w:pPr>
              <w:widowControl w:val="0"/>
              <w:overflowPunct w:val="0"/>
              <w:autoSpaceDE w:val="0"/>
              <w:autoSpaceDN w:val="0"/>
              <w:adjustRightInd w:val="0"/>
              <w:rPr>
                <w:rFonts w:eastAsia="Times New Roman" w:cs="Calibri"/>
                <w:b/>
                <w:lang w:eastAsia="es-CR"/>
              </w:rPr>
            </w:pPr>
            <w:r w:rsidRPr="00543E6C">
              <w:rPr>
                <w:rFonts w:eastAsia="Times New Roman" w:cs="Calibri"/>
                <w:b/>
                <w:lang w:eastAsia="es-CR"/>
              </w:rPr>
              <w:t>Docente</w:t>
            </w:r>
          </w:p>
        </w:tc>
        <w:tc>
          <w:tcPr>
            <w:tcW w:w="7386" w:type="dxa"/>
          </w:tcPr>
          <w:p w14:paraId="4ACFF3EE" w14:textId="77777777" w:rsidR="00543E6C" w:rsidRPr="00543E6C" w:rsidRDefault="00543E6C" w:rsidP="00543E6C">
            <w:pPr>
              <w:widowControl w:val="0"/>
              <w:overflowPunct w:val="0"/>
              <w:autoSpaceDE w:val="0"/>
              <w:autoSpaceDN w:val="0"/>
              <w:adjustRightInd w:val="0"/>
              <w:rPr>
                <w:rFonts w:eastAsia="Times New Roman" w:cs="Calibri"/>
                <w:lang w:eastAsia="es-CR"/>
              </w:rPr>
            </w:pPr>
          </w:p>
        </w:tc>
      </w:tr>
      <w:tr w:rsidR="00543E6C" w:rsidRPr="00543E6C" w14:paraId="06777C66" w14:textId="77777777" w:rsidTr="00CE7124">
        <w:tc>
          <w:tcPr>
            <w:tcW w:w="1668" w:type="dxa"/>
            <w:vAlign w:val="center"/>
          </w:tcPr>
          <w:p w14:paraId="3FD4DC75" w14:textId="77777777" w:rsidR="00543E6C" w:rsidRPr="00543E6C" w:rsidRDefault="00543E6C" w:rsidP="00543E6C">
            <w:pPr>
              <w:widowControl w:val="0"/>
              <w:overflowPunct w:val="0"/>
              <w:autoSpaceDE w:val="0"/>
              <w:autoSpaceDN w:val="0"/>
              <w:adjustRightInd w:val="0"/>
              <w:rPr>
                <w:rFonts w:eastAsia="Times New Roman" w:cs="Calibri"/>
                <w:lang w:eastAsia="es-CR"/>
              </w:rPr>
            </w:pPr>
            <w:r w:rsidRPr="00543E6C">
              <w:rPr>
                <w:rFonts w:eastAsia="Times New Roman" w:cs="Calibri"/>
                <w:b/>
                <w:lang w:eastAsia="es-CR"/>
              </w:rPr>
              <w:t>Instrucciones administrativas</w:t>
            </w:r>
          </w:p>
        </w:tc>
        <w:tc>
          <w:tcPr>
            <w:tcW w:w="7386" w:type="dxa"/>
          </w:tcPr>
          <w:p w14:paraId="641A3ADC" w14:textId="77777777" w:rsidR="00543E6C" w:rsidRPr="00543E6C" w:rsidRDefault="00543E6C" w:rsidP="00543E6C">
            <w:pPr>
              <w:widowControl w:val="0"/>
              <w:overflowPunct w:val="0"/>
              <w:autoSpaceDE w:val="0"/>
              <w:autoSpaceDN w:val="0"/>
              <w:adjustRightInd w:val="0"/>
              <w:jc w:val="both"/>
              <w:rPr>
                <w:rFonts w:eastAsia="Times New Roman" w:cs="Calibri"/>
                <w:lang w:eastAsia="es-CR"/>
              </w:rPr>
            </w:pPr>
            <w:r w:rsidRPr="00543E6C">
              <w:rPr>
                <w:rFonts w:eastAsia="Times New Roman" w:cs="Calibri"/>
                <w:lang w:eastAsia="es-CR"/>
              </w:rPr>
              <w:t>El curso es virtual, por lo que se requiere de acceso a una computadora con conexión a Internet, además de destrezas básicas para el manejo de correo electrónico y la plataforma Moodle desde el rol de estudiante. La dirección de acceso a la plataforma es la siguiente:</w:t>
            </w:r>
          </w:p>
          <w:p w14:paraId="5D50F944" w14:textId="77777777" w:rsidR="00543E6C" w:rsidRPr="00543E6C" w:rsidRDefault="00DD16F2" w:rsidP="00543E6C">
            <w:pPr>
              <w:widowControl w:val="0"/>
              <w:overflowPunct w:val="0"/>
              <w:autoSpaceDE w:val="0"/>
              <w:autoSpaceDN w:val="0"/>
              <w:adjustRightInd w:val="0"/>
              <w:jc w:val="both"/>
              <w:rPr>
                <w:rFonts w:eastAsia="Times New Roman" w:cs="Calibri"/>
                <w:lang w:eastAsia="es-CR"/>
              </w:rPr>
            </w:pPr>
            <w:hyperlink r:id="rId223" w:history="1">
              <w:r w:rsidR="00543E6C" w:rsidRPr="00543E6C">
                <w:rPr>
                  <w:rFonts w:eastAsia="Times New Roman" w:cs="Calibri"/>
                  <w:color w:val="0563C1"/>
                  <w:u w:val="single"/>
                  <w:lang w:eastAsia="es-CR"/>
                </w:rPr>
                <w:t>https://campus.ubl.ac.cr/login/index.php</w:t>
              </w:r>
            </w:hyperlink>
          </w:p>
        </w:tc>
      </w:tr>
    </w:tbl>
    <w:p w14:paraId="30EC0E9A"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b/>
          <w:spacing w:val="-2"/>
          <w:kern w:val="28"/>
          <w:lang w:val="es-ES_tradnl" w:eastAsia="es-CR"/>
          <w14:ligatures w14:val="none"/>
        </w:rPr>
      </w:pPr>
    </w:p>
    <w:p w14:paraId="6AF8F09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Times New Roman"/>
          <w:kern w:val="0"/>
          <w:lang w:val="es-ES_tradnl" w:eastAsia="es-CR"/>
          <w14:ligatures w14:val="none"/>
        </w:rPr>
      </w:pPr>
    </w:p>
    <w:p w14:paraId="6B3328CC"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b/>
          <w:spacing w:val="-2"/>
          <w:kern w:val="28"/>
          <w:lang w:val="es-ES_tradnl" w:eastAsia="es-CR"/>
          <w14:ligatures w14:val="none"/>
        </w:rPr>
      </w:pPr>
      <w:r w:rsidRPr="00543E6C">
        <w:rPr>
          <w:rFonts w:ascii="Calibri" w:eastAsia="Times New Roman" w:hAnsi="Calibri" w:cs="Arial"/>
          <w:b/>
          <w:spacing w:val="-2"/>
          <w:kern w:val="28"/>
          <w:lang w:val="es-ES_tradnl" w:eastAsia="es-CR"/>
          <w14:ligatures w14:val="none"/>
        </w:rPr>
        <w:t>I. Descripción</w:t>
      </w:r>
    </w:p>
    <w:p w14:paraId="24B106D5"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65FE26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A partir del estudio de las imágenes de Jesucristo en las tradiciones de las iglesias latinoamericanas se explorarán cuestiones hermenéuticas relacionadas con la cristología en la historia de la iglesia. Además, se reflexionará sobre los siguientes desafíos para la cristología: teoría del sacrificio, mesianismo y trascendencia y diálogo con otros contextos sociales y otras religiones.</w:t>
      </w:r>
    </w:p>
    <w:p w14:paraId="177E99FD"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b/>
          <w:spacing w:val="-2"/>
          <w:kern w:val="28"/>
          <w:lang w:val="es-ES_tradnl" w:eastAsia="es-CR"/>
          <w14:ligatures w14:val="none"/>
        </w:rPr>
      </w:pPr>
    </w:p>
    <w:p w14:paraId="6EE63455"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spacing w:val="-2"/>
          <w:kern w:val="28"/>
          <w:lang w:val="es-ES_tradnl" w:eastAsia="es-CR"/>
          <w14:ligatures w14:val="none"/>
        </w:rPr>
      </w:pPr>
      <w:r w:rsidRPr="00543E6C">
        <w:rPr>
          <w:rFonts w:ascii="Calibri" w:eastAsia="Times New Roman" w:hAnsi="Calibri" w:cs="Arial"/>
          <w:b/>
          <w:spacing w:val="-2"/>
          <w:kern w:val="28"/>
          <w:lang w:val="es-ES_tradnl" w:eastAsia="es-CR"/>
          <w14:ligatures w14:val="none"/>
        </w:rPr>
        <w:t>II. Objetivo general</w:t>
      </w:r>
    </w:p>
    <w:p w14:paraId="10728E4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5C8F4C4"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Profundizar en el estudio de nuestra experiencia de fe cristológica.  A partir de la profesión de fe "Jesús es el Cristo" intentaremos avanzar en una lectura teológicamente reflexionada de Jesús de Nazaret, evangelio de Dios, en el contexto eclesial de América Latina.</w:t>
      </w:r>
    </w:p>
    <w:p w14:paraId="5962B4CE"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spacing w:val="-2"/>
          <w:kern w:val="28"/>
          <w:lang w:val="es-ES_tradnl" w:eastAsia="es-CR"/>
          <w14:ligatures w14:val="none"/>
        </w:rPr>
      </w:pPr>
      <w:r w:rsidRPr="00543E6C">
        <w:rPr>
          <w:rFonts w:ascii="Calibri" w:eastAsia="Times New Roman" w:hAnsi="Calibri" w:cs="Arial"/>
          <w:b/>
          <w:spacing w:val="-2"/>
          <w:kern w:val="28"/>
          <w:lang w:val="es-ES_tradnl" w:eastAsia="es-CR"/>
          <w14:ligatures w14:val="none"/>
        </w:rPr>
        <w:lastRenderedPageBreak/>
        <w:t>III. Objetivos específicos</w:t>
      </w:r>
    </w:p>
    <w:p w14:paraId="3ABF261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2261A3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En el curso buscamos definir, discutir y profundizar:</w:t>
      </w:r>
    </w:p>
    <w:p w14:paraId="1AC8E7E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8766C88" w14:textId="6FE2EFA0"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1. El paradigma de lectura (mediación hermenéutica) que presupone una lectura histórico-profética significativa de Jesús de Nazaret en el marco de la historia de la salvación.</w:t>
      </w:r>
    </w:p>
    <w:p w14:paraId="622E536E" w14:textId="700FC6A8"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2. La historia de la reflexión cristológica en el marco de la historia del pensamiento cristiano occidental y la historia de la iglesia.</w:t>
      </w:r>
    </w:p>
    <w:p w14:paraId="26437B61" w14:textId="28450CD9"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 La historia de Jesús de Nazaret: una praxis y una Palabra ("el proyecto de Jesús") según el testimonio bíblico.</w:t>
      </w:r>
    </w:p>
    <w:p w14:paraId="05E0F89B" w14:textId="7C0AB75F"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4. Los ejes de la reflexión cristológica latinoamericana desde la perspectiva de los excluidos: "El Jesús histórico" como punto de partida.</w:t>
      </w:r>
    </w:p>
    <w:p w14:paraId="22AE06E9" w14:textId="4229AFD9"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5. Una espiritualidad del seguimiento de Jesús hoy en América Latina.</w:t>
      </w:r>
    </w:p>
    <w:p w14:paraId="094BDFC1" w14:textId="544BE6E1"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6. El anuncio de la Buena Nueva de Jesús en diálogo con otras tradiciones religiosas no-cristianas, particularmente la cosmovisión de los pueblos profundos.</w:t>
      </w:r>
    </w:p>
    <w:p w14:paraId="3ED3B10D"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Arial"/>
          <w:b/>
          <w:spacing w:val="-2"/>
          <w:kern w:val="28"/>
          <w:lang w:val="es-ES_tradnl" w:eastAsia="es-CR"/>
          <w14:ligatures w14:val="none"/>
        </w:rPr>
      </w:pPr>
    </w:p>
    <w:p w14:paraId="5A3C1391" w14:textId="77777777" w:rsidR="00543E6C" w:rsidRPr="00543E6C" w:rsidRDefault="00543E6C" w:rsidP="00543E6C">
      <w:pPr>
        <w:keepNext/>
        <w:widowControl w:val="0"/>
        <w:overflowPunct w:val="0"/>
        <w:autoSpaceDE w:val="0"/>
        <w:autoSpaceDN w:val="0"/>
        <w:adjustRightInd w:val="0"/>
        <w:spacing w:after="0" w:line="240" w:lineRule="auto"/>
        <w:jc w:val="both"/>
        <w:outlineLvl w:val="1"/>
        <w:rPr>
          <w:rFonts w:ascii="Calibri" w:eastAsia="Times New Roman" w:hAnsi="Calibri" w:cs="Calibri"/>
          <w:spacing w:val="-2"/>
          <w:kern w:val="28"/>
          <w:lang w:val="es-ES_tradnl" w:eastAsia="es-CR"/>
          <w14:ligatures w14:val="none"/>
        </w:rPr>
      </w:pPr>
      <w:r w:rsidRPr="00543E6C">
        <w:rPr>
          <w:rFonts w:ascii="Calibri" w:eastAsia="Times New Roman" w:hAnsi="Calibri" w:cs="Calibri"/>
          <w:b/>
          <w:spacing w:val="-2"/>
          <w:kern w:val="28"/>
          <w:lang w:val="es-ES_tradnl" w:eastAsia="es-CR"/>
          <w14:ligatures w14:val="none"/>
        </w:rPr>
        <w:t>IV. Contenidos</w:t>
      </w:r>
    </w:p>
    <w:p w14:paraId="4DC78554"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Calibri"/>
          <w:b/>
          <w:kern w:val="0"/>
          <w:lang w:val="es-ES_tradnl" w:eastAsia="es-CR"/>
          <w14:ligatures w14:val="none"/>
        </w:rPr>
      </w:pPr>
    </w:p>
    <w:p w14:paraId="7A52D7A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1: Introducción</w:t>
      </w:r>
    </w:p>
    <w:p w14:paraId="57292B31" w14:textId="77777777" w:rsidR="00543E6C" w:rsidRPr="00543E6C" w:rsidRDefault="00543E6C"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1.1 La cuestión de fondo: ¿Cómo vivir (seguimiento) y pensar (Cristo-</w:t>
      </w:r>
      <w:proofErr w:type="spellStart"/>
      <w:r w:rsidRPr="4C9C2619">
        <w:rPr>
          <w:rFonts w:ascii="Calibri" w:eastAsia="Times New Roman" w:hAnsi="Calibri" w:cs="Calibri"/>
          <w:kern w:val="0"/>
          <w:lang w:val="es-ES" w:eastAsia="es-CR"/>
          <w14:ligatures w14:val="none"/>
        </w:rPr>
        <w:t>logía</w:t>
      </w:r>
      <w:proofErr w:type="spellEnd"/>
      <w:r w:rsidRPr="4C9C2619">
        <w:rPr>
          <w:rFonts w:ascii="Calibri" w:eastAsia="Times New Roman" w:hAnsi="Calibri" w:cs="Calibri"/>
          <w:kern w:val="0"/>
          <w:lang w:val="es-ES" w:eastAsia="es-CR"/>
          <w14:ligatures w14:val="none"/>
        </w:rPr>
        <w:t>) a Jesús "El Cristo" (misterio de salvación) en el marco histórico del hoy cronológico latinoamericano?</w:t>
      </w:r>
    </w:p>
    <w:p w14:paraId="59B076CD"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2: Hacia una hermenéutica cristológica</w:t>
      </w:r>
    </w:p>
    <w:p w14:paraId="61CA7AF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2.1 Lugar eclesial y social de la cristología</w:t>
      </w:r>
    </w:p>
    <w:p w14:paraId="1970882A"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3: La historia de Jesús de Nazaret</w:t>
      </w:r>
    </w:p>
    <w:p w14:paraId="0D2469F5"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3.1 Las raíces de Jesús según el testimonio bíblico</w:t>
      </w:r>
    </w:p>
    <w:p w14:paraId="5F59CBC8" w14:textId="01959C15" w:rsidR="00543E6C" w:rsidRPr="00543E6C" w:rsidRDefault="008E0715"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Pr>
          <w:rFonts w:ascii="Calibri" w:eastAsia="Times New Roman" w:hAnsi="Calibri" w:cs="Calibri"/>
          <w:b/>
          <w:kern w:val="0"/>
          <w:lang w:val="es-ES_tradnl" w:eastAsia="es-CR"/>
          <w14:ligatures w14:val="none"/>
        </w:rPr>
        <w:t>U</w:t>
      </w:r>
      <w:r w:rsidR="00543E6C" w:rsidRPr="00543E6C">
        <w:rPr>
          <w:rFonts w:ascii="Calibri" w:eastAsia="Times New Roman" w:hAnsi="Calibri" w:cs="Calibri"/>
          <w:b/>
          <w:kern w:val="0"/>
          <w:lang w:val="es-ES_tradnl" w:eastAsia="es-CR"/>
          <w14:ligatures w14:val="none"/>
        </w:rPr>
        <w:t>nidad 4: Historia del pensamiento cristológico</w:t>
      </w:r>
    </w:p>
    <w:p w14:paraId="12EB95F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4.1 Surgimiento y desarrollo de la cristología sistemática (definiciones dogmáticas)</w:t>
      </w:r>
    </w:p>
    <w:p w14:paraId="7C765E06"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5: Experiencias contemporáneas de la fe en Jesucristo</w:t>
      </w:r>
    </w:p>
    <w:p w14:paraId="6402175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 xml:space="preserve">5.1 Jesucristo liberador en lo político, en las relaciones de género y en lo cósmico </w:t>
      </w:r>
    </w:p>
    <w:p w14:paraId="69DDE3B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6. El seguimiento de Jesús</w:t>
      </w:r>
    </w:p>
    <w:p w14:paraId="0076310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6.1 La cristología práctica</w:t>
      </w:r>
    </w:p>
    <w:p w14:paraId="11E8637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7: Confesión y diálogo</w:t>
      </w:r>
    </w:p>
    <w:p w14:paraId="1B3BC2BD" w14:textId="77777777" w:rsid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_tradnl" w:eastAsia="es-CR"/>
          <w14:ligatures w14:val="none"/>
        </w:rPr>
        <w:t>7.1 La “verdad” de la cristología en el diálogo interreligioso</w:t>
      </w:r>
    </w:p>
    <w:p w14:paraId="57BB1307" w14:textId="77777777" w:rsidR="008E0715" w:rsidRPr="00543E6C" w:rsidRDefault="008E0715" w:rsidP="00543E6C">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5EAA9A96" w14:textId="77777777" w:rsidR="00543E6C" w:rsidRPr="00543E6C" w:rsidRDefault="00543E6C" w:rsidP="00543E6C">
      <w:pPr>
        <w:spacing w:after="0" w:line="240" w:lineRule="auto"/>
        <w:jc w:val="both"/>
        <w:rPr>
          <w:rFonts w:ascii="Calibri" w:eastAsia="Times New Roman" w:hAnsi="Calibri" w:cs="Arial"/>
          <w:b/>
          <w:color w:val="000000"/>
          <w:kern w:val="0"/>
          <w:lang w:eastAsia="es-CR"/>
          <w14:ligatures w14:val="none"/>
        </w:rPr>
      </w:pPr>
      <w:r w:rsidRPr="00543E6C">
        <w:rPr>
          <w:rFonts w:ascii="Calibri" w:eastAsia="Times New Roman" w:hAnsi="Calibri" w:cs="Arial"/>
          <w:b/>
          <w:color w:val="000000"/>
          <w:kern w:val="0"/>
          <w:lang w:eastAsia="es-CR"/>
          <w14:ligatures w14:val="none"/>
        </w:rPr>
        <w:t>V. Metodología</w:t>
      </w:r>
    </w:p>
    <w:p w14:paraId="51F942BC" w14:textId="77777777" w:rsidR="00543E6C" w:rsidRPr="00543E6C" w:rsidRDefault="00543E6C" w:rsidP="00543E6C">
      <w:pPr>
        <w:spacing w:after="0" w:line="240" w:lineRule="auto"/>
        <w:jc w:val="both"/>
        <w:rPr>
          <w:rFonts w:ascii="Calibri" w:eastAsia="Times New Roman" w:hAnsi="Calibri" w:cs="Arial"/>
          <w:b/>
          <w:color w:val="000000"/>
          <w:kern w:val="0"/>
          <w:sz w:val="12"/>
          <w:szCs w:val="12"/>
          <w:lang w:eastAsia="es-CR"/>
          <w14:ligatures w14:val="none"/>
        </w:rPr>
      </w:pPr>
    </w:p>
    <w:p w14:paraId="628202C2" w14:textId="77777777" w:rsidR="00543E6C" w:rsidRPr="00543E6C" w:rsidRDefault="00543E6C"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w:t>
      </w:r>
      <w:r w:rsidRPr="4C9C2619">
        <w:rPr>
          <w:rFonts w:ascii="Calibri" w:eastAsia="Times New Roman" w:hAnsi="Calibri" w:cs="Arial"/>
          <w:color w:val="000000"/>
          <w:kern w:val="0"/>
          <w:lang w:val="es-ES" w:eastAsia="es-CR"/>
          <w14:ligatures w14:val="none"/>
        </w:rPr>
        <w:lastRenderedPageBreak/>
        <w:t>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30B0ABDD" w14:textId="77777777" w:rsidR="00543E6C" w:rsidRPr="00543E6C" w:rsidRDefault="00543E6C"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 xml:space="preserve">Este es un curso teórico que prioriza el conocimiento y la comprensión de la cristología. Por medio de lecturas individuales, la elaboración de mapas conceptuales, reseñas críticas, tareas colaborativas y las discusiones grupales en los foros temáticos virtuales la persona estudiante entrará en contacto con las temáticas y las discusiones fundamentales de la importancia de la persona de Jesucristo para la cristiandad y otras religiones. Se buscará un aprendizaje significativo por medio de actividades que no sólo conducen a la explicación y síntesis de los contenidos, sino también a su reflexión a nivel individual y grupal. Durante el curso se realizarán encuentros sincrónicos virtuales, los cuales contribuirán en la profundización y discusión de las temáticas del curso.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Además de una visión general de la historia de la fe en Jesucristo, los trabajos de profundización individual y grupal incluirán espacios para considerar el desarrollo de la doctrina cristológica en la historia de la Iglesia, su interpretación contemporánea frente a los desafíos del hoy y su rol en el diálogo interreligioso. </w:t>
      </w:r>
    </w:p>
    <w:p w14:paraId="04BDF988"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color w:val="000000"/>
          <w:kern w:val="0"/>
          <w:lang w:eastAsia="es-CR"/>
          <w14:ligatures w14:val="none"/>
        </w:rPr>
      </w:pPr>
    </w:p>
    <w:p w14:paraId="071A8B62"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color w:val="000000"/>
          <w:kern w:val="0"/>
          <w:lang w:val="es-ES_tradnl" w:eastAsia="es-CR"/>
          <w14:ligatures w14:val="none"/>
        </w:rPr>
      </w:pPr>
      <w:r w:rsidRPr="00543E6C">
        <w:rPr>
          <w:rFonts w:ascii="Calibri" w:eastAsia="Times New Roman" w:hAnsi="Calibri" w:cs="Arial"/>
          <w:b/>
          <w:color w:val="000000"/>
          <w:kern w:val="0"/>
          <w:lang w:val="es-ES_tradnl" w:eastAsia="es-CR"/>
          <w14:ligatures w14:val="none"/>
        </w:rPr>
        <w:t>VI. Estrategias de aprendizaje</w:t>
      </w:r>
    </w:p>
    <w:p w14:paraId="2061F23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sz w:val="12"/>
          <w:szCs w:val="12"/>
          <w:lang w:val="es-ES_tradnl" w:eastAsia="es-CR"/>
          <w14:ligatures w14:val="none"/>
        </w:rPr>
      </w:pPr>
    </w:p>
    <w:p w14:paraId="6894EF21"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43E6C">
        <w:rPr>
          <w:rFonts w:ascii="Calibri" w:eastAsia="Times New Roman" w:hAnsi="Calibri" w:cs="Calibri"/>
          <w:color w:val="000000"/>
          <w:kern w:val="0"/>
          <w:lang w:val="es-ES_tradnl" w:eastAsia="es-CR"/>
          <w14:ligatures w14:val="none"/>
        </w:rPr>
        <w:t>Este curso examina como aprendizaje preciso el estudio de la experiencia de fe cristológica.  A partir de la profesión de fe "Jesús es el Cristo" se intenta avanzar en una lectura teológicamente reflexionada de Jesús de Nazaret, evangelio de Dios, en el contexto eclesial de América Latina.</w:t>
      </w:r>
    </w:p>
    <w:p w14:paraId="34A6C112"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43E6C">
        <w:rPr>
          <w:rFonts w:ascii="Calibri" w:eastAsia="Times New Roman" w:hAnsi="Calibri" w:cs="Calibri"/>
          <w:color w:val="000000"/>
          <w:kern w:val="0"/>
          <w:lang w:val="es-ES_tradnl" w:eastAsia="es-CR"/>
          <w14:ligatures w14:val="none"/>
        </w:rPr>
        <w:t>Se utilizan las siguientes estrategias de aprendizaje:</w:t>
      </w:r>
    </w:p>
    <w:p w14:paraId="7C49A195"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a) Foro: </w:t>
      </w:r>
      <w:r w:rsidRPr="00543E6C">
        <w:rPr>
          <w:rFonts w:ascii="Calibri" w:eastAsia="Times New Roman" w:hAnsi="Calibri" w:cs="Arial"/>
          <w:color w:val="000000"/>
          <w:kern w:val="0"/>
          <w:lang w:eastAsia="es-CR"/>
          <w14:ligatures w14:val="none"/>
        </w:rPr>
        <w:t>Un foro es una herramienta virtual asincrónica que constituye un escenario virtual de debate sobre un tema particular, que permite el intercambio de los aportes propios y la réplica a los aportes de otras personas compañeras. En este curso se desarrollan foros que tienen que ver con tópicos de debate tales como: ¿qué es la cristología?, la pasión de Jesús, la cristología en la historia de la iglesia y cristología y praxis cristiana.</w:t>
      </w:r>
    </w:p>
    <w:p w14:paraId="2FC8CD5D"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b) Encuentro sincrónico virtual: </w:t>
      </w:r>
      <w:r w:rsidRPr="00543E6C">
        <w:rPr>
          <w:rFonts w:ascii="Calibri" w:eastAsia="Calibri" w:hAnsi="Calibri" w:cs="Calibri"/>
          <w:bCs/>
          <w:kern w:val="0"/>
          <w14:ligatures w14:val="none"/>
        </w:rPr>
        <w:t xml:space="preserve">Los encuentros sincrónicos virtuales permiten el encuentro, diálogo y trabajo colectivo entre estudiantes y con la persona docente. El o la docente expone temas, organiza trabajo en grupos y aclara dudas. Es una estrategia de aprendizaje formativa, más no sumativa. Se grabarán las sesiones para que estén disponibles en el aula virtual. En los diferentes encuentros </w:t>
      </w:r>
      <w:r w:rsidRPr="00543E6C">
        <w:rPr>
          <w:rFonts w:ascii="Calibri" w:eastAsia="Calibri" w:hAnsi="Calibri" w:cs="Calibri"/>
          <w:bCs/>
          <w:iCs/>
          <w:kern w:val="0"/>
          <w:lang w:val="es-ES_tradnl"/>
          <w14:ligatures w14:val="none"/>
        </w:rPr>
        <w:t>la persona docente hará presentaciones y ejercicios de discusión grupal sobre los tópicos claves del curso, a saber: hermenéutica cristológica, la historia de Jesús de Nazaret, historia del pensamiento cristológico, experiencias contemporáneas de la fe en Jesucristo, el seguimiento de Jesús y, finalmente, confesión y diálogo.</w:t>
      </w:r>
    </w:p>
    <w:p w14:paraId="457B228E"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c) Reseña crítica de lectura: </w:t>
      </w:r>
      <w:r w:rsidRPr="00543E6C">
        <w:rPr>
          <w:rFonts w:ascii="Calibri" w:eastAsia="Calibri" w:hAnsi="Calibri" w:cs="Arial"/>
          <w:color w:val="000000"/>
          <w:kern w:val="0"/>
          <w14:ligatures w14:val="none"/>
        </w:rPr>
        <w:t xml:space="preserve">La reseña crítica es un texto argumentativo y expositivo que nace del análisis de las ideas contenidas en la lectura a reseñar. </w:t>
      </w:r>
      <w:r w:rsidRPr="00543E6C">
        <w:rPr>
          <w:rFonts w:ascii="Calibri" w:eastAsia="Calibri" w:hAnsi="Calibri" w:cs="Arial"/>
          <w:kern w:val="0"/>
          <w14:ligatures w14:val="none"/>
        </w:rPr>
        <w:t>Esta estrategia pedagógica se desarrolla por parte de las personas estudiantes en varias sesiones</w:t>
      </w:r>
      <w:r w:rsidRPr="00543E6C">
        <w:rPr>
          <w:rFonts w:ascii="Calibri" w:eastAsia="Calibri" w:hAnsi="Calibri" w:cs="Arial"/>
          <w:bCs/>
          <w:kern w:val="0"/>
          <w:lang w:val="es-ES_tradnl"/>
          <w14:ligatures w14:val="none"/>
        </w:rPr>
        <w:t xml:space="preserve"> con lecturas sobre temas tales como: expectativas mesiánicas del Espíritu, la vía de la práctica de Jesús, la ejecución de Jesús y sus </w:t>
      </w:r>
      <w:r w:rsidRPr="00543E6C">
        <w:rPr>
          <w:rFonts w:ascii="Calibri" w:eastAsia="Calibri" w:hAnsi="Calibri" w:cs="Arial"/>
          <w:bCs/>
          <w:kern w:val="0"/>
          <w:lang w:val="es-ES_tradnl"/>
          <w14:ligatures w14:val="none"/>
        </w:rPr>
        <w:lastRenderedPageBreak/>
        <w:t xml:space="preserve">interpretaciones retóricas, síntesis y reflexión hermenéutica, y </w:t>
      </w:r>
      <w:proofErr w:type="spellStart"/>
      <w:r w:rsidRPr="00543E6C">
        <w:rPr>
          <w:rFonts w:ascii="Calibri" w:eastAsia="Calibri" w:hAnsi="Calibri" w:cs="Arial"/>
          <w:bCs/>
          <w:kern w:val="0"/>
          <w:lang w:val="es-ES_tradnl"/>
          <w14:ligatures w14:val="none"/>
        </w:rPr>
        <w:t>re-imaginando</w:t>
      </w:r>
      <w:proofErr w:type="spellEnd"/>
      <w:r w:rsidRPr="00543E6C">
        <w:rPr>
          <w:rFonts w:ascii="Calibri" w:eastAsia="Calibri" w:hAnsi="Calibri" w:cs="Arial"/>
          <w:bCs/>
          <w:kern w:val="0"/>
          <w:lang w:val="es-ES_tradnl"/>
          <w14:ligatures w14:val="none"/>
        </w:rPr>
        <w:t xml:space="preserve"> a Jesús.</w:t>
      </w:r>
    </w:p>
    <w:p w14:paraId="1FE97D27"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d) Glosario: </w:t>
      </w:r>
      <w:r w:rsidRPr="00543E6C">
        <w:rPr>
          <w:rFonts w:ascii="Calibri" w:eastAsia="Calibri" w:hAnsi="Calibri" w:cs="Calibri"/>
          <w:kern w:val="0"/>
          <w14:ligatures w14:val="none"/>
        </w:rPr>
        <w:t xml:space="preserve">Conocer los conceptos fundamentales de una disciplina o de un tópico de estudio es una competencia sustancial en el abordaje de esta.  En este curso </w:t>
      </w:r>
      <w:r w:rsidRPr="00543E6C">
        <w:rPr>
          <w:rFonts w:ascii="Calibri" w:eastAsia="Calibri" w:hAnsi="Calibri" w:cs="Calibri"/>
          <w:bCs/>
          <w:kern w:val="0"/>
          <w:lang w:val="es-ES_tradnl"/>
          <w14:ligatures w14:val="none"/>
        </w:rPr>
        <w:t>se elaborará, de forma colectiva, un glosario sobre los principales elementos del Reino de Dios, lo cual contribuirá en el manejo y la profundización de conceptos claves de la cristología.</w:t>
      </w:r>
    </w:p>
    <w:p w14:paraId="5B72F34B"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e) Mapa conceptual: </w:t>
      </w:r>
      <w:bookmarkStart w:id="37" w:name="_Hlk118821559"/>
      <w:r w:rsidRPr="00543E6C">
        <w:rPr>
          <w:rFonts w:ascii="Calibri" w:eastAsia="Calibri" w:hAnsi="Calibri" w:cs="Times New Roman"/>
          <w:kern w:val="0"/>
          <w:lang w:val="es-MX"/>
          <w14:ligatures w14:val="none"/>
        </w:rPr>
        <w:t xml:space="preserve">El mapa conceptual es una estrategia de aprendizaje para organizar los aportes y conocimientos que nos brindan documentos escritos, al lograr representar en un mapa y graficar los conceptos y sus derivaciones. </w:t>
      </w:r>
      <w:bookmarkEnd w:id="37"/>
      <w:r w:rsidRPr="00543E6C">
        <w:rPr>
          <w:rFonts w:ascii="Calibri" w:eastAsia="Calibri" w:hAnsi="Calibri" w:cs="Calibri"/>
          <w:bCs/>
          <w:kern w:val="0"/>
          <w14:ligatures w14:val="none"/>
        </w:rPr>
        <w:t xml:space="preserve">En este curso se elaborarán dos mapas conceptuales. El primero de ellos dando un énfasis especial a la pregunta: ¿quién es el Dios de Jesús según sus enseñanzas y acciones?, y el segundo dando un énfasis especial a la pregunta: ¿qué es el Cristo cósmico de Leonardo </w:t>
      </w:r>
      <w:proofErr w:type="spellStart"/>
      <w:r w:rsidRPr="00543E6C">
        <w:rPr>
          <w:rFonts w:ascii="Calibri" w:eastAsia="Calibri" w:hAnsi="Calibri" w:cs="Calibri"/>
          <w:bCs/>
          <w:kern w:val="0"/>
          <w14:ligatures w14:val="none"/>
        </w:rPr>
        <w:t>Boff</w:t>
      </w:r>
      <w:proofErr w:type="spellEnd"/>
      <w:r w:rsidRPr="00543E6C">
        <w:rPr>
          <w:rFonts w:ascii="Calibri" w:eastAsia="Calibri" w:hAnsi="Calibri" w:cs="Calibri"/>
          <w:bCs/>
          <w:kern w:val="0"/>
          <w14:ligatures w14:val="none"/>
        </w:rPr>
        <w:t>? Con la creación de estos mapas se busca estimular la reflexión individual, así como la capacidad de identificar conceptos claves, los vínculos entre ellos y las relaciones verticales y horizontales.</w:t>
      </w:r>
    </w:p>
    <w:p w14:paraId="63EC71F0"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Calibri" w:hAnsi="Calibri" w:cs="Times New Roman"/>
          <w:kern w:val="0"/>
          <w:lang w:val="es-MX"/>
          <w14:ligatures w14:val="none"/>
        </w:rPr>
      </w:pPr>
      <w:r w:rsidRPr="00543E6C">
        <w:rPr>
          <w:rFonts w:ascii="Calibri" w:eastAsia="Times New Roman" w:hAnsi="Calibri" w:cs="Arial"/>
          <w:b/>
          <w:bCs/>
          <w:color w:val="000000"/>
          <w:kern w:val="0"/>
          <w:lang w:eastAsia="es-CR"/>
          <w14:ligatures w14:val="none"/>
        </w:rPr>
        <w:t xml:space="preserve">f) Estudio de un texto bíblico: </w:t>
      </w:r>
      <w:r w:rsidRPr="00543E6C">
        <w:rPr>
          <w:rFonts w:ascii="Calibri" w:eastAsia="Calibri" w:hAnsi="Calibri" w:cs="Times New Roman"/>
          <w:kern w:val="0"/>
          <w:lang w:val="es-MX"/>
          <w14:ligatures w14:val="none"/>
        </w:rPr>
        <w:t>Los estudios bíblicos son espacios que se desarrollan en las comunidades de fe. Las personas estudiantes constantemente se verán desafiadas a presentarlos ante una comunidad eclesial u OBF. Por ello, durante una sesión se elaborará un trabajo grupal en el cual se estudiará, de forma exegética y hermenéutica, el evento de la resurrección narrado en los evangelios a partir del texto de Lucas 24, 1-12.</w:t>
      </w:r>
    </w:p>
    <w:p w14:paraId="00DC016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543E6C">
        <w:rPr>
          <w:rFonts w:ascii="Calibri" w:eastAsia="Times New Roman" w:hAnsi="Calibri" w:cs="Arial"/>
          <w:b/>
          <w:bCs/>
          <w:color w:val="000000"/>
          <w:kern w:val="0"/>
          <w:lang w:eastAsia="es-CR"/>
          <w14:ligatures w14:val="none"/>
        </w:rPr>
        <w:t xml:space="preserve">g) Credo colaborativo: </w:t>
      </w:r>
      <w:r w:rsidRPr="00543E6C">
        <w:rPr>
          <w:rFonts w:ascii="Calibri" w:eastAsia="Times New Roman" w:hAnsi="Calibri" w:cs="Arial"/>
          <w:color w:val="000000"/>
          <w:kern w:val="0"/>
          <w:lang w:eastAsia="es-CR"/>
          <w14:ligatures w14:val="none"/>
        </w:rPr>
        <w:t>Durante una sesión se elaborará, en parejas, un credo, es decir, una afirmación teológica en donde se depositan los principales y fundamentales dogmas de fe. El credo será socializado mediante un foro, lo cual permitirá que se realicen comentarios de profundización por parte de otros compañeros y compañeras. Estimulando así el intercambio de opiniones y saberes entre los y las estudiantes.</w:t>
      </w:r>
    </w:p>
    <w:p w14:paraId="132E472D"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Calibri" w:hAnsi="Calibri" w:cs="Calibri"/>
          <w:bCs/>
          <w:kern w:val="0"/>
          <w14:ligatures w14:val="none"/>
        </w:rPr>
      </w:pPr>
      <w:r w:rsidRPr="00543E6C">
        <w:rPr>
          <w:rFonts w:ascii="Calibri" w:eastAsia="Times New Roman" w:hAnsi="Calibri" w:cs="Arial"/>
          <w:b/>
          <w:bCs/>
          <w:color w:val="000000"/>
          <w:kern w:val="0"/>
          <w:lang w:eastAsia="es-CR"/>
          <w14:ligatures w14:val="none"/>
        </w:rPr>
        <w:t xml:space="preserve">h) Ensayo: </w:t>
      </w:r>
      <w:r w:rsidRPr="00543E6C">
        <w:rPr>
          <w:rFonts w:ascii="Calibri" w:eastAsia="Calibri" w:hAnsi="Calibri" w:cs="Calibri"/>
          <w:bCs/>
          <w:kern w:val="0"/>
          <w14:ligatures w14:val="none"/>
        </w:rPr>
        <w:t xml:space="preserve">Se define el </w:t>
      </w:r>
      <w:bookmarkStart w:id="38" w:name="_Hlk119181038"/>
      <w:r w:rsidRPr="00543E6C">
        <w:rPr>
          <w:rFonts w:ascii="Calibri" w:eastAsia="Calibri" w:hAnsi="Calibri" w:cs="Calibri"/>
          <w:bCs/>
          <w:kern w:val="0"/>
          <w14:ligatures w14:val="none"/>
        </w:rPr>
        <w:t>ensayo</w:t>
      </w:r>
      <w:bookmarkEnd w:id="38"/>
      <w:r w:rsidRPr="00543E6C">
        <w:rPr>
          <w:rFonts w:ascii="Calibri" w:eastAsia="Calibri" w:hAnsi="Calibri" w:cs="Calibri"/>
          <w:bCs/>
          <w:kern w:val="0"/>
          <w14:ligatures w14:val="none"/>
        </w:rPr>
        <w:t xml:space="preserve"> como un documento académico estructurado en una introducción, desarrollo, conclusión y referencias bibliográficas (mediante el sistema Chicago-Deusto usado por UBL). En él se busca la exposición, el estudio y análisis de un tema o tópico seleccionado o asignado. En esta ocasión el ensayo deberá plasmar una discusión propuesta por la persona estudiante en torno a tres tesis/afirmaciones para una práctica cristológica liberadora para su comunidad y/o entorno a partir de elementos teóricos, críticos, bíblicos y teológicos presentados en el curso.</w:t>
      </w:r>
    </w:p>
    <w:p w14:paraId="716D47C3"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43E6C">
        <w:rPr>
          <w:rFonts w:ascii="Calibri" w:eastAsia="Times New Roman" w:hAnsi="Calibri" w:cs="Calibri"/>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0866F4F3" w14:textId="77777777" w:rsidR="00543E6C" w:rsidRPr="00543E6C" w:rsidRDefault="00543E6C" w:rsidP="00543E6C">
      <w:pPr>
        <w:spacing w:after="0" w:line="240" w:lineRule="auto"/>
        <w:jc w:val="both"/>
        <w:rPr>
          <w:rFonts w:ascii="Calibri" w:eastAsia="Times New Roman" w:hAnsi="Calibri" w:cs="Arial"/>
          <w:b/>
          <w:color w:val="000000"/>
          <w:kern w:val="0"/>
          <w:lang w:eastAsia="es-CR"/>
          <w14:ligatures w14:val="none"/>
        </w:rPr>
      </w:pPr>
    </w:p>
    <w:p w14:paraId="70CFB5C3" w14:textId="77777777" w:rsidR="00543E6C" w:rsidRPr="00543E6C" w:rsidRDefault="00543E6C" w:rsidP="00543E6C">
      <w:pPr>
        <w:spacing w:after="0" w:line="240" w:lineRule="auto"/>
        <w:jc w:val="both"/>
        <w:rPr>
          <w:rFonts w:ascii="Calibri" w:eastAsia="Times New Roman" w:hAnsi="Calibri" w:cs="Arial"/>
          <w:b/>
          <w:color w:val="000000"/>
          <w:kern w:val="0"/>
          <w:lang w:eastAsia="es-CR"/>
          <w14:ligatures w14:val="none"/>
        </w:rPr>
      </w:pPr>
      <w:r w:rsidRPr="00543E6C">
        <w:rPr>
          <w:rFonts w:ascii="Calibri" w:eastAsia="Times New Roman" w:hAnsi="Calibri" w:cs="Arial"/>
          <w:b/>
          <w:color w:val="000000"/>
          <w:kern w:val="0"/>
          <w:lang w:eastAsia="es-CR"/>
          <w14:ligatures w14:val="none"/>
        </w:rPr>
        <w:t>VII. Recursos didácticos</w:t>
      </w:r>
    </w:p>
    <w:p w14:paraId="6B7CEF7A" w14:textId="77777777" w:rsidR="00543E6C" w:rsidRPr="00543E6C" w:rsidRDefault="00543E6C" w:rsidP="00543E6C">
      <w:pPr>
        <w:spacing w:after="0" w:line="240" w:lineRule="auto"/>
        <w:jc w:val="both"/>
        <w:rPr>
          <w:rFonts w:ascii="Calibri" w:eastAsia="Times New Roman" w:hAnsi="Calibri" w:cs="Arial"/>
          <w:color w:val="000000"/>
          <w:kern w:val="0"/>
          <w:sz w:val="12"/>
          <w:szCs w:val="12"/>
          <w:lang w:eastAsia="es-CR"/>
          <w14:ligatures w14:val="none"/>
        </w:rPr>
      </w:pPr>
    </w:p>
    <w:p w14:paraId="32FBFC0E"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08016BB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98F3CE1"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471F49F2"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664AA53"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2EE6EAB9"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BC79A5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 xml:space="preserve">c) En cada una de las sesiones en la plataforma virtual encontrará una ruta de aprendizaje con </w:t>
      </w:r>
      <w:r w:rsidRPr="00543E6C">
        <w:rPr>
          <w:rFonts w:ascii="Calibri" w:eastAsia="Times New Roman" w:hAnsi="Calibri" w:cs="Calibri"/>
          <w:color w:val="000000"/>
          <w:kern w:val="0"/>
          <w:lang w:val="es-ES" w:eastAsia="es-ES"/>
          <w14:ligatures w14:val="none"/>
        </w:rPr>
        <w:lastRenderedPageBreak/>
        <w:t>información tal como: los contenidos que estudiará, el material obligatorio y/o complementario, instrucciones detalladas para la elaboración/participación en la actividad asignada y la evaluación de esta.</w:t>
      </w:r>
    </w:p>
    <w:p w14:paraId="6379D5D9"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40DCD9B"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glosario y mediante la herramienta Big Blue </w:t>
      </w:r>
      <w:proofErr w:type="spellStart"/>
      <w:r w:rsidRPr="00543E6C">
        <w:rPr>
          <w:rFonts w:ascii="Calibri" w:eastAsia="Times New Roman" w:hAnsi="Calibri" w:cs="Calibri"/>
          <w:color w:val="000000"/>
          <w:kern w:val="0"/>
          <w:lang w:val="es-ES" w:eastAsia="es-ES"/>
          <w14:ligatures w14:val="none"/>
        </w:rPr>
        <w:t>Button</w:t>
      </w:r>
      <w:proofErr w:type="spellEnd"/>
      <w:r w:rsidRPr="00543E6C">
        <w:rPr>
          <w:rFonts w:ascii="Calibri" w:eastAsia="Times New Roman" w:hAnsi="Calibri" w:cs="Calibri"/>
          <w:color w:val="000000"/>
          <w:kern w:val="0"/>
          <w:lang w:val="es-ES" w:eastAsia="es-ES"/>
          <w14:ligatures w14:val="none"/>
        </w:rPr>
        <w:t xml:space="preserve"> en la plataforma Moodle; para la elaboración de una reseña crítica de lectura y un mapa conceptual; así como de guías para el estudio de un texto bíblico, para elaborar un credo colaborativo y para elaborar el ensayo final que se encuentran en la sección de actividades de la sesión correspondiente.</w:t>
      </w:r>
    </w:p>
    <w:p w14:paraId="3095A31A"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79EF695"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543E6C">
        <w:rPr>
          <w:rFonts w:ascii="Calibri" w:eastAsia="Times New Roman" w:hAnsi="Calibri" w:cs="Calibri"/>
          <w:color w:val="000000"/>
          <w:kern w:val="0"/>
          <w:lang w:val="es-ES" w:eastAsia="es-ES"/>
          <w14:ligatures w14:val="none"/>
        </w:rPr>
        <w:t>Strachan</w:t>
      </w:r>
      <w:proofErr w:type="spellEnd"/>
      <w:r w:rsidRPr="00543E6C">
        <w:rPr>
          <w:rFonts w:ascii="Calibri" w:eastAsia="Times New Roman" w:hAnsi="Calibri" w:cs="Calibri"/>
          <w:color w:val="000000"/>
          <w:kern w:val="0"/>
          <w:lang w:val="es-ES" w:eastAsia="es-ES"/>
          <w14:ligatures w14:val="none"/>
        </w:rPr>
        <w:t xml:space="preserve"> (</w:t>
      </w:r>
      <w:hyperlink r:id="rId224" w:history="1">
        <w:r w:rsidRPr="00543E6C">
          <w:rPr>
            <w:rFonts w:ascii="Calibri" w:eastAsia="Times New Roman" w:hAnsi="Calibri" w:cs="Calibri"/>
            <w:color w:val="0563C1"/>
            <w:kern w:val="0"/>
            <w:u w:val="single"/>
            <w:lang w:val="es-ES" w:eastAsia="es-ES"/>
            <w14:ligatures w14:val="none"/>
          </w:rPr>
          <w:t>https://www.ubl.ac.cr/biblioteca</w:t>
        </w:r>
      </w:hyperlink>
      <w:r w:rsidRPr="00543E6C">
        <w:rPr>
          <w:rFonts w:ascii="Calibri" w:eastAsia="Times New Roman" w:hAnsi="Calibri" w:cs="Calibri"/>
          <w:color w:val="000000"/>
          <w:kern w:val="0"/>
          <w:lang w:val="es-ES" w:eastAsia="es-ES"/>
          <w14:ligatures w14:val="none"/>
        </w:rPr>
        <w:t>), así como consultar el Portal de Revistas de la UBL (</w:t>
      </w:r>
      <w:hyperlink r:id="rId225" w:history="1">
        <w:r w:rsidRPr="00543E6C">
          <w:rPr>
            <w:rFonts w:ascii="Calibri" w:eastAsia="Times New Roman" w:hAnsi="Calibri" w:cs="Calibri"/>
            <w:color w:val="0563C1"/>
            <w:kern w:val="0"/>
            <w:u w:val="single"/>
            <w:lang w:val="es-ES" w:eastAsia="es-ES"/>
            <w14:ligatures w14:val="none"/>
          </w:rPr>
          <w:t>http://revistas.ubl.ac.cr/</w:t>
        </w:r>
      </w:hyperlink>
      <w:r w:rsidRPr="00543E6C">
        <w:rPr>
          <w:rFonts w:ascii="Calibri" w:eastAsia="Times New Roman" w:hAnsi="Calibri" w:cs="Calibri"/>
          <w:color w:val="000000"/>
          <w:kern w:val="0"/>
          <w:lang w:val="es-ES" w:eastAsia="es-ES"/>
          <w14:ligatures w14:val="none"/>
        </w:rPr>
        <w:t>). A través del correo de la biblioteca (</w:t>
      </w:r>
      <w:hyperlink r:id="rId226" w:history="1">
        <w:r w:rsidRPr="00543E6C">
          <w:rPr>
            <w:rFonts w:ascii="Calibri" w:eastAsia="Times New Roman" w:hAnsi="Calibri" w:cs="Calibri"/>
            <w:color w:val="0563C1"/>
            <w:kern w:val="0"/>
            <w:u w:val="single"/>
            <w:lang w:val="es-ES" w:eastAsia="es-ES"/>
            <w14:ligatures w14:val="none"/>
          </w:rPr>
          <w:t>biblioteca@ubl.ac.cr</w:t>
        </w:r>
      </w:hyperlink>
      <w:r w:rsidRPr="00543E6C">
        <w:rPr>
          <w:rFonts w:ascii="Calibri" w:eastAsia="Times New Roman" w:hAnsi="Calibri" w:cs="Calibri"/>
          <w:color w:val="000000"/>
          <w:kern w:val="0"/>
          <w:lang w:val="es-ES" w:eastAsia="es-ES"/>
          <w14:ligatures w14:val="none"/>
        </w:rPr>
        <w:t xml:space="preserve">) puede solicitar recursos que se encuentren en la colección física. </w:t>
      </w:r>
    </w:p>
    <w:p w14:paraId="28669FA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40878E8" w14:textId="04441B3D"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43E6C">
        <w:rPr>
          <w:rFonts w:ascii="Calibri" w:eastAsia="Times New Roman" w:hAnsi="Calibri" w:cs="Calibri"/>
          <w:color w:val="000000"/>
          <w:kern w:val="0"/>
          <w:lang w:val="es-ES" w:eastAsia="es-ES"/>
          <w14:ligatures w14:val="none"/>
        </w:rPr>
        <w:t>f)</w:t>
      </w:r>
      <w:r w:rsidRPr="00543E6C">
        <w:rPr>
          <w:rFonts w:ascii="Calibri" w:eastAsia="Times New Roman" w:hAnsi="Calibri" w:cs="Calibri"/>
          <w:bCs/>
          <w:kern w:val="0"/>
          <w:lang w:val="es-ES_tradnl" w:eastAsia="es-CR"/>
          <w14:ligatures w14:val="none"/>
        </w:rPr>
        <w:t xml:space="preserve"> 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543E6C">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227" w:history="1">
        <w:r w:rsidRPr="00543E6C">
          <w:rPr>
            <w:rFonts w:ascii="Calibri" w:eastAsia="Times New Roman" w:hAnsi="Calibri" w:cs="Calibri"/>
            <w:bCs/>
            <w:color w:val="0563C1"/>
            <w:kern w:val="0"/>
            <w:u w:val="single"/>
            <w:lang w:val="es-ES_tradnl" w:eastAsia="es-CR"/>
            <w14:ligatures w14:val="none"/>
          </w:rPr>
          <w:t>https://campus.ubl.ac.cr/course/index.php?categoryid=186</w:t>
        </w:r>
      </w:hyperlink>
    </w:p>
    <w:p w14:paraId="54131394" w14:textId="77777777" w:rsidR="00543E6C" w:rsidRPr="00543E6C" w:rsidRDefault="00543E6C" w:rsidP="00543E6C">
      <w:pPr>
        <w:spacing w:after="0" w:line="240" w:lineRule="auto"/>
        <w:rPr>
          <w:rFonts w:ascii="Calibri" w:eastAsia="Times New Roman" w:hAnsi="Calibri" w:cs="Calibri"/>
          <w:color w:val="000000"/>
          <w:kern w:val="0"/>
          <w:lang w:val="es-ES" w:eastAsia="es-ES"/>
          <w14:ligatures w14:val="none"/>
        </w:rPr>
      </w:pPr>
    </w:p>
    <w:p w14:paraId="7AE2F08D" w14:textId="77777777" w:rsidR="00543E6C" w:rsidRPr="00543E6C" w:rsidRDefault="00543E6C" w:rsidP="00543E6C">
      <w:pPr>
        <w:spacing w:after="0" w:line="240" w:lineRule="auto"/>
        <w:rPr>
          <w:rFonts w:ascii="Calibri" w:eastAsia="Times New Roman" w:hAnsi="Calibri" w:cs="Arial"/>
          <w:color w:val="000000"/>
          <w:kern w:val="0"/>
          <w:lang w:val="es-ES_tradnl" w:eastAsia="es-CR"/>
          <w14:ligatures w14:val="none"/>
        </w:rPr>
      </w:pPr>
      <w:r w:rsidRPr="00543E6C">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6F333E9E" w14:textId="77777777" w:rsidR="00543E6C" w:rsidRPr="00543E6C" w:rsidRDefault="00543E6C" w:rsidP="00543E6C">
      <w:pPr>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br w:type="page"/>
      </w:r>
    </w:p>
    <w:p w14:paraId="1BF614BC" w14:textId="77777777" w:rsidR="00543E6C" w:rsidRPr="00543E6C" w:rsidRDefault="00543E6C" w:rsidP="00543E6C">
      <w:pPr>
        <w:spacing w:after="0" w:line="240" w:lineRule="auto"/>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lastRenderedPageBreak/>
        <w:t>VIII. Cronograma de trabajo</w:t>
      </w:r>
    </w:p>
    <w:p w14:paraId="4A8621F9" w14:textId="77777777" w:rsidR="00543E6C" w:rsidRPr="00543E6C" w:rsidRDefault="00543E6C" w:rsidP="00543E6C">
      <w:pPr>
        <w:widowControl w:val="0"/>
        <w:overflowPunct w:val="0"/>
        <w:autoSpaceDE w:val="0"/>
        <w:autoSpaceDN w:val="0"/>
        <w:adjustRightInd w:val="0"/>
        <w:spacing w:after="0" w:line="240" w:lineRule="auto"/>
        <w:jc w:val="both"/>
        <w:rPr>
          <w:rFonts w:ascii="Arial" w:eastAsia="Times New Roman" w:hAnsi="Arial" w:cs="Arial"/>
          <w:b/>
          <w:bCs/>
          <w:color w:val="231F20"/>
          <w:kern w:val="0"/>
          <w:sz w:val="24"/>
          <w:szCs w:val="24"/>
          <w:lang w:val="es-ES_tradnl" w:eastAsia="es-CR"/>
          <w14:ligatures w14:val="non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9"/>
        <w:gridCol w:w="2410"/>
        <w:gridCol w:w="2835"/>
        <w:gridCol w:w="3260"/>
      </w:tblGrid>
      <w:tr w:rsidR="00543E6C" w:rsidRPr="00543E6C" w14:paraId="2ACE358E" w14:textId="77777777" w:rsidTr="4C9C2619">
        <w:trPr>
          <w:trHeight w:val="433"/>
          <w:jc w:val="center"/>
        </w:trPr>
        <w:tc>
          <w:tcPr>
            <w:tcW w:w="1129" w:type="dxa"/>
            <w:vMerge w:val="restart"/>
            <w:vAlign w:val="center"/>
          </w:tcPr>
          <w:p w14:paraId="16D237B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sz w:val="24"/>
                <w:szCs w:val="24"/>
                <w:lang w:val="es-ES_tradnl" w:eastAsia="es-CR"/>
                <w14:ligatures w14:val="none"/>
              </w:rPr>
            </w:pPr>
            <w:r w:rsidRPr="00543E6C">
              <w:rPr>
                <w:rFonts w:ascii="Calibri" w:eastAsia="Times New Roman" w:hAnsi="Calibri" w:cs="Arial"/>
                <w:b/>
                <w:bCs/>
                <w:color w:val="000000"/>
                <w:kern w:val="0"/>
                <w:sz w:val="24"/>
                <w:szCs w:val="24"/>
                <w:lang w:val="es-ES_tradnl" w:eastAsia="es-CR"/>
                <w14:ligatures w14:val="none"/>
              </w:rPr>
              <w:t>Sesión</w:t>
            </w:r>
          </w:p>
          <w:p w14:paraId="19AFE3F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sz w:val="18"/>
                <w:szCs w:val="18"/>
                <w:lang w:val="es-ES_tradnl" w:eastAsia="es-CR"/>
                <w14:ligatures w14:val="none"/>
              </w:rPr>
            </w:pPr>
            <w:r w:rsidRPr="00543E6C">
              <w:rPr>
                <w:rFonts w:ascii="Calibri" w:eastAsia="Times New Roman" w:hAnsi="Calibri" w:cs="Arial"/>
                <w:b/>
                <w:bCs/>
                <w:color w:val="000000"/>
                <w:kern w:val="0"/>
                <w:sz w:val="20"/>
                <w:szCs w:val="20"/>
                <w:lang w:val="es-ES_tradnl" w:eastAsia="es-CR"/>
                <w14:ligatures w14:val="none"/>
              </w:rPr>
              <w:t>(semana)</w:t>
            </w:r>
          </w:p>
        </w:tc>
        <w:tc>
          <w:tcPr>
            <w:tcW w:w="2410" w:type="dxa"/>
            <w:vMerge w:val="restart"/>
            <w:vAlign w:val="center"/>
          </w:tcPr>
          <w:p w14:paraId="0BC9199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543E6C">
              <w:rPr>
                <w:rFonts w:ascii="Calibri" w:eastAsia="Times New Roman" w:hAnsi="Calibri" w:cs="Arial"/>
                <w:b/>
                <w:bCs/>
                <w:kern w:val="0"/>
                <w:sz w:val="24"/>
                <w:szCs w:val="24"/>
                <w:lang w:val="es-ES_tradnl" w:eastAsia="es-CR"/>
                <w14:ligatures w14:val="none"/>
              </w:rPr>
              <w:t>Contenidos temáticos</w:t>
            </w:r>
          </w:p>
        </w:tc>
        <w:tc>
          <w:tcPr>
            <w:tcW w:w="6095" w:type="dxa"/>
            <w:gridSpan w:val="2"/>
            <w:vAlign w:val="center"/>
          </w:tcPr>
          <w:p w14:paraId="3CE7FC7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543E6C">
              <w:rPr>
                <w:rFonts w:ascii="Calibri" w:eastAsia="Times New Roman" w:hAnsi="Calibri" w:cs="Arial"/>
                <w:b/>
                <w:bCs/>
                <w:kern w:val="0"/>
                <w:sz w:val="24"/>
                <w:szCs w:val="24"/>
                <w:lang w:val="es-ES_tradnl" w:eastAsia="es-CR"/>
                <w14:ligatures w14:val="none"/>
              </w:rPr>
              <w:t>Actividades de enseñanza-aprendizaje</w:t>
            </w:r>
          </w:p>
        </w:tc>
      </w:tr>
      <w:tr w:rsidR="00543E6C" w:rsidRPr="00543E6C" w14:paraId="5C5F70C5" w14:textId="77777777" w:rsidTr="4C9C2619">
        <w:trPr>
          <w:trHeight w:val="422"/>
          <w:jc w:val="center"/>
        </w:trPr>
        <w:tc>
          <w:tcPr>
            <w:tcW w:w="1129" w:type="dxa"/>
            <w:vMerge/>
            <w:vAlign w:val="center"/>
          </w:tcPr>
          <w:p w14:paraId="43E962E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p>
        </w:tc>
        <w:tc>
          <w:tcPr>
            <w:tcW w:w="2410" w:type="dxa"/>
            <w:vMerge/>
            <w:vAlign w:val="center"/>
          </w:tcPr>
          <w:p w14:paraId="6B83007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lang w:val="es-ES_tradnl" w:eastAsia="es-CR"/>
                <w14:ligatures w14:val="none"/>
              </w:rPr>
            </w:pPr>
          </w:p>
        </w:tc>
        <w:tc>
          <w:tcPr>
            <w:tcW w:w="2835" w:type="dxa"/>
            <w:vAlign w:val="center"/>
          </w:tcPr>
          <w:p w14:paraId="1BB6C8C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543E6C">
              <w:rPr>
                <w:rFonts w:ascii="Calibri" w:eastAsia="Times New Roman" w:hAnsi="Calibri" w:cs="Arial"/>
                <w:b/>
                <w:bCs/>
                <w:kern w:val="0"/>
                <w:sz w:val="24"/>
                <w:szCs w:val="24"/>
                <w:lang w:val="es-ES_tradnl" w:eastAsia="es-CR"/>
                <w14:ligatures w14:val="none"/>
              </w:rPr>
              <w:t>Recursos didácticos</w:t>
            </w:r>
          </w:p>
        </w:tc>
        <w:tc>
          <w:tcPr>
            <w:tcW w:w="3260" w:type="dxa"/>
            <w:vAlign w:val="center"/>
          </w:tcPr>
          <w:p w14:paraId="4E42310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543E6C">
              <w:rPr>
                <w:rFonts w:ascii="Calibri" w:eastAsia="Times New Roman" w:hAnsi="Calibri" w:cs="Arial"/>
                <w:b/>
                <w:bCs/>
                <w:kern w:val="0"/>
                <w:sz w:val="24"/>
                <w:szCs w:val="24"/>
                <w:lang w:val="es-ES_tradnl" w:eastAsia="es-CR"/>
                <w14:ligatures w14:val="none"/>
              </w:rPr>
              <w:t>Actividades de aprendizaje</w:t>
            </w:r>
          </w:p>
        </w:tc>
      </w:tr>
      <w:tr w:rsidR="00543E6C" w:rsidRPr="00543E6C" w14:paraId="17D35DDF" w14:textId="77777777" w:rsidTr="4C9C2619">
        <w:trPr>
          <w:jc w:val="center"/>
        </w:trPr>
        <w:tc>
          <w:tcPr>
            <w:tcW w:w="1129" w:type="dxa"/>
          </w:tcPr>
          <w:p w14:paraId="54761B3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5200060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w:t>
            </w:r>
          </w:p>
        </w:tc>
        <w:tc>
          <w:tcPr>
            <w:tcW w:w="2410" w:type="dxa"/>
          </w:tcPr>
          <w:p w14:paraId="65F3C841"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1: Introducción</w:t>
            </w:r>
          </w:p>
          <w:p w14:paraId="545648AB"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p>
          <w:p w14:paraId="0D2EA6E9" w14:textId="77777777" w:rsidR="00543E6C" w:rsidRPr="00543E6C" w:rsidRDefault="00543E6C" w:rsidP="4C9C2619">
            <w:pPr>
              <w:keepNext/>
              <w:widowControl w:val="0"/>
              <w:overflowPunct w:val="0"/>
              <w:autoSpaceDE w:val="0"/>
              <w:autoSpaceDN w:val="0"/>
              <w:adjustRightInd w:val="0"/>
              <w:spacing w:after="0" w:line="240" w:lineRule="auto"/>
              <w:outlineLvl w:val="2"/>
              <w:rPr>
                <w:rFonts w:ascii="Calibri" w:eastAsia="Times New Roman" w:hAnsi="Calibri" w:cs="Arial"/>
                <w:b/>
                <w:bCs/>
                <w:kern w:val="0"/>
                <w:lang w:val="es-ES" w:eastAsia="es-CR"/>
                <w14:ligatures w14:val="none"/>
              </w:rPr>
            </w:pPr>
            <w:r w:rsidRPr="4C9C2619">
              <w:rPr>
                <w:rFonts w:ascii="Calibri" w:eastAsia="Times New Roman" w:hAnsi="Calibri" w:cs="Arial"/>
                <w:kern w:val="0"/>
                <w:lang w:val="es-ES" w:eastAsia="es-CR"/>
                <w14:ligatures w14:val="none"/>
              </w:rPr>
              <w:t>1.1 La cuestión de fondo: ¿cómo vivir (seguimiento) y pensar (Cristo-</w:t>
            </w:r>
            <w:proofErr w:type="spellStart"/>
            <w:r w:rsidRPr="4C9C2619">
              <w:rPr>
                <w:rFonts w:ascii="Calibri" w:eastAsia="Times New Roman" w:hAnsi="Calibri" w:cs="Arial"/>
                <w:kern w:val="0"/>
                <w:lang w:val="es-ES" w:eastAsia="es-CR"/>
                <w14:ligatures w14:val="none"/>
              </w:rPr>
              <w:t>logía</w:t>
            </w:r>
            <w:proofErr w:type="spellEnd"/>
            <w:r w:rsidRPr="4C9C2619">
              <w:rPr>
                <w:rFonts w:ascii="Calibri" w:eastAsia="Times New Roman" w:hAnsi="Calibri" w:cs="Arial"/>
                <w:kern w:val="0"/>
                <w:lang w:val="es-ES" w:eastAsia="es-CR"/>
                <w14:ligatures w14:val="none"/>
              </w:rPr>
              <w:t>) a Jesús "El Cristo" (misterio de salvación) en el marco histórico del hoy cronológico latinoamericano?</w:t>
            </w:r>
          </w:p>
          <w:p w14:paraId="51C5E38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tc>
        <w:tc>
          <w:tcPr>
            <w:tcW w:w="2835" w:type="dxa"/>
          </w:tcPr>
          <w:p w14:paraId="2FB5A1CF"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660D42C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“Una </w:t>
            </w:r>
            <w:proofErr w:type="gramStart"/>
            <w:r w:rsidRPr="00543E6C">
              <w:rPr>
                <w:rFonts w:ascii="Calibri" w:eastAsia="Times New Roman" w:hAnsi="Calibri" w:cs="Calibri"/>
                <w:kern w:val="0"/>
                <w:szCs w:val="20"/>
                <w:lang w:val="es-ES" w:eastAsia="es-CR"/>
                <w14:ligatures w14:val="none"/>
              </w:rPr>
              <w:t>nueva imagen y una nueva fe</w:t>
            </w:r>
            <w:proofErr w:type="gramEnd"/>
            <w:r w:rsidRPr="00543E6C">
              <w:rPr>
                <w:rFonts w:ascii="Calibri" w:eastAsia="Times New Roman" w:hAnsi="Calibri" w:cs="Calibri"/>
                <w:kern w:val="0"/>
                <w:szCs w:val="20"/>
                <w:lang w:val="es-ES" w:eastAsia="es-CR"/>
                <w14:ligatures w14:val="none"/>
              </w:rPr>
              <w:t xml:space="preserve"> en Cristo”. En </w:t>
            </w:r>
            <w:r w:rsidRPr="00543E6C">
              <w:rPr>
                <w:rFonts w:ascii="Calibri" w:eastAsia="Times New Roman" w:hAnsi="Calibri" w:cs="Calibri"/>
                <w:i/>
                <w:kern w:val="0"/>
                <w:szCs w:val="20"/>
                <w:lang w:val="es-ES" w:eastAsia="es-CR"/>
                <w14:ligatures w14:val="none"/>
              </w:rPr>
              <w:t xml:space="preserve">Jesucristo liberador: lectura histórico-teológica de Jesús de Nazaret, </w:t>
            </w:r>
            <w:r w:rsidRPr="00543E6C">
              <w:rPr>
                <w:rFonts w:ascii="Calibri" w:eastAsia="Times New Roman" w:hAnsi="Calibri" w:cs="Calibri"/>
                <w:kern w:val="0"/>
                <w:szCs w:val="20"/>
                <w:lang w:val="es-ES" w:eastAsia="es-CR"/>
                <w14:ligatures w14:val="none"/>
              </w:rPr>
              <w:t>31-49.</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 Salvador: UCA, 1991. </w:t>
            </w:r>
            <w:r w:rsidRPr="00543E6C">
              <w:rPr>
                <w:rFonts w:ascii="Calibri" w:eastAsia="Times New Roman" w:hAnsi="Calibri" w:cs="Calibri"/>
                <w:color w:val="0070C0"/>
                <w:kern w:val="0"/>
                <w:szCs w:val="20"/>
                <w:lang w:val="es-ES" w:eastAsia="es-CR"/>
                <w14:ligatures w14:val="none"/>
              </w:rPr>
              <w:t>(clásico, última edición Madrid: Trotta, 2020)</w:t>
            </w:r>
          </w:p>
          <w:p w14:paraId="25C808E4"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0609CD9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en un foro en la plataforma Moodle</w:t>
            </w:r>
          </w:p>
          <w:p w14:paraId="41204377"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 xml:space="preserve">Guía para la participación mediante la herramienta Big Blue </w:t>
            </w:r>
            <w:proofErr w:type="spellStart"/>
            <w:r w:rsidRPr="00543E6C">
              <w:rPr>
                <w:rFonts w:ascii="Calibri" w:eastAsia="Times New Roman" w:hAnsi="Calibri" w:cs="Calibri"/>
                <w:bCs/>
                <w:color w:val="0070C0"/>
                <w:kern w:val="0"/>
                <w:szCs w:val="20"/>
                <w:lang w:val="es-ES" w:eastAsia="es-CR"/>
                <w14:ligatures w14:val="none"/>
              </w:rPr>
              <w:t>Button</w:t>
            </w:r>
            <w:proofErr w:type="spellEnd"/>
            <w:r w:rsidRPr="00543E6C">
              <w:rPr>
                <w:rFonts w:ascii="Calibri" w:eastAsia="Times New Roman" w:hAnsi="Calibri" w:cs="Calibri"/>
                <w:bCs/>
                <w:color w:val="0070C0"/>
                <w:kern w:val="0"/>
                <w:szCs w:val="20"/>
                <w:lang w:val="es-ES" w:eastAsia="es-CR"/>
                <w14:ligatures w14:val="none"/>
              </w:rPr>
              <w:t xml:space="preserve"> en la plataforma Moodle</w:t>
            </w:r>
          </w:p>
          <w:p w14:paraId="0DC8F584"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3260" w:type="dxa"/>
          </w:tcPr>
          <w:p w14:paraId="717F6ECA" w14:textId="77777777" w:rsidR="00543E6C" w:rsidRPr="00543E6C" w:rsidRDefault="00543E6C" w:rsidP="00543E6C">
            <w:pPr>
              <w:widowControl w:val="0"/>
              <w:numPr>
                <w:ilvl w:val="0"/>
                <w:numId w:val="11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Presentación del curso, sílabo y actividades en un encuentro sincrónico virtual (formativo).</w:t>
            </w:r>
          </w:p>
          <w:p w14:paraId="40CA312C" w14:textId="77777777" w:rsidR="00543E6C" w:rsidRPr="00543E6C" w:rsidRDefault="00543E6C" w:rsidP="00543E6C">
            <w:pPr>
              <w:widowControl w:val="0"/>
              <w:numPr>
                <w:ilvl w:val="0"/>
                <w:numId w:val="11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Participación en el foro social CAFETERÍA. </w:t>
            </w:r>
          </w:p>
          <w:p w14:paraId="27CD2D24" w14:textId="77777777" w:rsidR="00543E6C" w:rsidRPr="00543E6C" w:rsidRDefault="00543E6C" w:rsidP="00543E6C">
            <w:pPr>
              <w:widowControl w:val="0"/>
              <w:numPr>
                <w:ilvl w:val="0"/>
                <w:numId w:val="11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Participación en el foro de dudas. </w:t>
            </w:r>
          </w:p>
          <w:p w14:paraId="054994D9" w14:textId="77777777" w:rsidR="00543E6C" w:rsidRPr="00543E6C" w:rsidRDefault="00543E6C" w:rsidP="00543E6C">
            <w:pPr>
              <w:widowControl w:val="0"/>
              <w:numPr>
                <w:ilvl w:val="0"/>
                <w:numId w:val="11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72E00958" w14:textId="77777777" w:rsidR="00543E6C" w:rsidRPr="00543E6C" w:rsidRDefault="00543E6C" w:rsidP="00543E6C">
            <w:pPr>
              <w:widowControl w:val="0"/>
              <w:numPr>
                <w:ilvl w:val="0"/>
                <w:numId w:val="11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Participación en el foro temático: ¿Qué es la cristología?</w:t>
            </w:r>
          </w:p>
        </w:tc>
      </w:tr>
      <w:tr w:rsidR="00543E6C" w:rsidRPr="00543E6C" w14:paraId="0713C2DD" w14:textId="77777777" w:rsidTr="4C9C2619">
        <w:trPr>
          <w:jc w:val="center"/>
        </w:trPr>
        <w:tc>
          <w:tcPr>
            <w:tcW w:w="1129" w:type="dxa"/>
          </w:tcPr>
          <w:p w14:paraId="22C4F2E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78A6646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2</w:t>
            </w:r>
          </w:p>
        </w:tc>
        <w:tc>
          <w:tcPr>
            <w:tcW w:w="2410" w:type="dxa"/>
          </w:tcPr>
          <w:p w14:paraId="22677667"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2: Hacia una hermenéutica cristológica</w:t>
            </w:r>
          </w:p>
          <w:p w14:paraId="763607EF"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p>
          <w:p w14:paraId="11DB56B6"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2.1 Lugar eclesial y social de la cristología</w:t>
            </w:r>
          </w:p>
          <w:p w14:paraId="269A336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tc>
        <w:tc>
          <w:tcPr>
            <w:tcW w:w="2835" w:type="dxa"/>
          </w:tcPr>
          <w:p w14:paraId="04B29B2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52F6415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4C35863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proofErr w:type="spellStart"/>
            <w:r w:rsidRPr="00543E6C">
              <w:rPr>
                <w:rFonts w:ascii="Calibri" w:eastAsia="Times New Roman" w:hAnsi="Calibri" w:cs="Calibri"/>
                <w:kern w:val="0"/>
                <w:szCs w:val="20"/>
                <w:lang w:val="es-ES" w:eastAsia="es-CR"/>
                <w14:ligatures w14:val="none"/>
              </w:rPr>
              <w:t>Moltmann</w:t>
            </w:r>
            <w:proofErr w:type="spellEnd"/>
            <w:r w:rsidRPr="00543E6C">
              <w:rPr>
                <w:rFonts w:ascii="Calibri" w:eastAsia="Times New Roman" w:hAnsi="Calibri" w:cs="Calibri"/>
                <w:kern w:val="0"/>
                <w:szCs w:val="20"/>
                <w:lang w:val="es-ES" w:eastAsia="es-CR"/>
                <w14:ligatures w14:val="none"/>
              </w:rPr>
              <w:t xml:space="preserve">, Jürgen. “Expectativas mesiánicas del Espíritu”, “Experiencia trinitaria del Espíritu”. En </w:t>
            </w:r>
            <w:r w:rsidRPr="00543E6C">
              <w:rPr>
                <w:rFonts w:ascii="Calibri" w:eastAsia="Times New Roman" w:hAnsi="Calibri" w:cs="Calibri"/>
                <w:i/>
                <w:kern w:val="0"/>
                <w:szCs w:val="20"/>
                <w:lang w:val="es-ES" w:eastAsia="es-CR"/>
                <w14:ligatures w14:val="none"/>
              </w:rPr>
              <w:t xml:space="preserve">El espíritu de la vida: una </w:t>
            </w:r>
            <w:proofErr w:type="spellStart"/>
            <w:r w:rsidRPr="00543E6C">
              <w:rPr>
                <w:rFonts w:ascii="Calibri" w:eastAsia="Times New Roman" w:hAnsi="Calibri" w:cs="Calibri"/>
                <w:i/>
                <w:kern w:val="0"/>
                <w:szCs w:val="20"/>
                <w:lang w:val="es-ES" w:eastAsia="es-CR"/>
                <w14:ligatures w14:val="none"/>
              </w:rPr>
              <w:t>pneumatología</w:t>
            </w:r>
            <w:proofErr w:type="spellEnd"/>
            <w:r w:rsidRPr="00543E6C">
              <w:rPr>
                <w:rFonts w:ascii="Calibri" w:eastAsia="Times New Roman" w:hAnsi="Calibri" w:cs="Calibri"/>
                <w:i/>
                <w:kern w:val="0"/>
                <w:szCs w:val="20"/>
                <w:lang w:val="es-ES" w:eastAsia="es-CR"/>
                <w14:ligatures w14:val="none"/>
              </w:rPr>
              <w:t xml:space="preserve"> integral, </w:t>
            </w:r>
            <w:r w:rsidRPr="00543E6C">
              <w:rPr>
                <w:rFonts w:ascii="Calibri" w:eastAsia="Times New Roman" w:hAnsi="Calibri" w:cs="Calibri"/>
                <w:kern w:val="0"/>
                <w:szCs w:val="20"/>
                <w:lang w:val="es-ES" w:eastAsia="es-CR"/>
                <w14:ligatures w14:val="none"/>
              </w:rPr>
              <w:t>66-92.</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Salamanca: Sígueme, 1998. </w:t>
            </w:r>
            <w:r w:rsidRPr="00543E6C">
              <w:rPr>
                <w:rFonts w:ascii="Calibri" w:eastAsia="Times New Roman" w:hAnsi="Calibri" w:cs="Calibri"/>
                <w:color w:val="0070C0"/>
                <w:kern w:val="0"/>
                <w:szCs w:val="20"/>
                <w:lang w:val="es-ES" w:eastAsia="es-CR"/>
                <w14:ligatures w14:val="none"/>
              </w:rPr>
              <w:t>(clásico, última edición)</w:t>
            </w:r>
          </w:p>
          <w:p w14:paraId="3C6ABD2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65E669F6"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“El lugar eclesial y social de la cristología”. En </w:t>
            </w:r>
            <w:r w:rsidRPr="00543E6C">
              <w:rPr>
                <w:rFonts w:ascii="Calibri" w:eastAsia="Times New Roman" w:hAnsi="Calibri" w:cs="Calibri"/>
                <w:i/>
                <w:kern w:val="0"/>
                <w:szCs w:val="20"/>
                <w:lang w:val="es-ES" w:eastAsia="es-CR"/>
                <w14:ligatures w14:val="none"/>
              </w:rPr>
              <w:t xml:space="preserve">Jesucristo liberador: lectura histórico-teológica de Jesús de Nazaret, </w:t>
            </w:r>
            <w:r w:rsidRPr="00543E6C">
              <w:rPr>
                <w:rFonts w:ascii="Calibri" w:eastAsia="Times New Roman" w:hAnsi="Calibri" w:cs="Calibri"/>
                <w:kern w:val="0"/>
                <w:szCs w:val="20"/>
                <w:lang w:val="es-ES" w:eastAsia="es-CR"/>
                <w14:ligatures w14:val="none"/>
              </w:rPr>
              <w:t>51-72.</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 Salvador: UCA, 1991. </w:t>
            </w:r>
            <w:r w:rsidRPr="00543E6C">
              <w:rPr>
                <w:rFonts w:ascii="Calibri" w:eastAsia="Times New Roman" w:hAnsi="Calibri" w:cs="Calibri"/>
                <w:color w:val="0070C0"/>
                <w:kern w:val="0"/>
                <w:szCs w:val="20"/>
                <w:lang w:val="es-ES" w:eastAsia="es-CR"/>
                <w14:ligatures w14:val="none"/>
              </w:rPr>
              <w:t xml:space="preserve">(clásico, última edición </w:t>
            </w:r>
            <w:r w:rsidRPr="00543E6C">
              <w:rPr>
                <w:rFonts w:ascii="Calibri" w:eastAsia="Times New Roman" w:hAnsi="Calibri" w:cs="Calibri"/>
                <w:color w:val="0070C0"/>
                <w:kern w:val="0"/>
                <w:szCs w:val="20"/>
                <w:lang w:val="es-ES" w:eastAsia="es-CR"/>
                <w14:ligatures w14:val="none"/>
              </w:rPr>
              <w:lastRenderedPageBreak/>
              <w:t>Madrid: Trotta, 2020)</w:t>
            </w:r>
          </w:p>
          <w:p w14:paraId="537BED7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5450D12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3B75B65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2DE0FF4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p>
          <w:p w14:paraId="2BADE7D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elaboración de una reseña crítica de lectura</w:t>
            </w:r>
          </w:p>
          <w:p w14:paraId="49A3DA8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 xml:space="preserve">Guía para la participación mediante la herramienta Big Blue </w:t>
            </w:r>
            <w:proofErr w:type="spellStart"/>
            <w:r w:rsidRPr="00543E6C">
              <w:rPr>
                <w:rFonts w:ascii="Calibri" w:eastAsia="Times New Roman" w:hAnsi="Calibri" w:cs="Calibri"/>
                <w:bCs/>
                <w:color w:val="0070C0"/>
                <w:kern w:val="0"/>
                <w:szCs w:val="20"/>
                <w:lang w:val="es-ES" w:eastAsia="es-CR"/>
                <w14:ligatures w14:val="none"/>
              </w:rPr>
              <w:t>Button</w:t>
            </w:r>
            <w:proofErr w:type="spellEnd"/>
            <w:r w:rsidRPr="00543E6C">
              <w:rPr>
                <w:rFonts w:ascii="Calibri" w:eastAsia="Times New Roman" w:hAnsi="Calibri" w:cs="Calibri"/>
                <w:bCs/>
                <w:color w:val="0070C0"/>
                <w:kern w:val="0"/>
                <w:szCs w:val="20"/>
                <w:lang w:val="es-ES" w:eastAsia="es-CR"/>
                <w14:ligatures w14:val="none"/>
              </w:rPr>
              <w:t xml:space="preserve"> en la plataforma Moodle</w:t>
            </w:r>
          </w:p>
          <w:p w14:paraId="2E043CF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73A2F510" w14:textId="77777777" w:rsidR="00543E6C" w:rsidRPr="00543E6C" w:rsidRDefault="00543E6C" w:rsidP="00543E6C">
            <w:pPr>
              <w:widowControl w:val="0"/>
              <w:numPr>
                <w:ilvl w:val="0"/>
                <w:numId w:val="119"/>
              </w:numPr>
              <w:overflowPunct w:val="0"/>
              <w:autoSpaceDE w:val="0"/>
              <w:autoSpaceDN w:val="0"/>
              <w:adjustRightInd w:val="0"/>
              <w:spacing w:before="120" w:after="200" w:line="276" w:lineRule="auto"/>
              <w:ind w:left="384"/>
              <w:contextualSpacing/>
              <w:rPr>
                <w:rFonts w:ascii="Calibri" w:eastAsia="Calibri" w:hAnsi="Calibri" w:cs="Arial"/>
                <w:b/>
                <w:bCs/>
                <w:kern w:val="0"/>
                <w14:ligatures w14:val="none"/>
              </w:rPr>
            </w:pPr>
            <w:r w:rsidRPr="00543E6C">
              <w:rPr>
                <w:rFonts w:ascii="Calibri" w:eastAsia="Calibri" w:hAnsi="Calibri" w:cs="Arial"/>
                <w:kern w:val="0"/>
                <w14:ligatures w14:val="none"/>
              </w:rPr>
              <w:lastRenderedPageBreak/>
              <w:t>Realizar las lecturas de la sesión.</w:t>
            </w:r>
          </w:p>
          <w:p w14:paraId="4DA06F42" w14:textId="77777777" w:rsidR="00543E6C" w:rsidRPr="00543E6C" w:rsidRDefault="00543E6C" w:rsidP="00543E6C">
            <w:pPr>
              <w:widowControl w:val="0"/>
              <w:numPr>
                <w:ilvl w:val="0"/>
                <w:numId w:val="119"/>
              </w:numPr>
              <w:overflowPunct w:val="0"/>
              <w:autoSpaceDE w:val="0"/>
              <w:autoSpaceDN w:val="0"/>
              <w:adjustRightInd w:val="0"/>
              <w:spacing w:before="120" w:after="200" w:line="276" w:lineRule="auto"/>
              <w:ind w:left="384"/>
              <w:contextualSpacing/>
              <w:rPr>
                <w:rFonts w:ascii="Calibri" w:eastAsia="Calibri" w:hAnsi="Calibri" w:cs="Arial"/>
                <w:b/>
                <w:bCs/>
                <w:kern w:val="0"/>
                <w14:ligatures w14:val="none"/>
              </w:rPr>
            </w:pPr>
            <w:r w:rsidRPr="00543E6C">
              <w:rPr>
                <w:rFonts w:ascii="Calibri" w:eastAsia="Calibri" w:hAnsi="Calibri" w:cs="Arial"/>
                <w:bCs/>
                <w:kern w:val="0"/>
                <w14:ligatures w14:val="none"/>
              </w:rPr>
              <w:t xml:space="preserve">Elaboración de una reseña crítica de las lecturas. </w:t>
            </w:r>
          </w:p>
          <w:p w14:paraId="1ED907FA" w14:textId="77777777" w:rsidR="00543E6C" w:rsidRPr="00543E6C" w:rsidRDefault="00543E6C" w:rsidP="00543E6C">
            <w:pPr>
              <w:widowControl w:val="0"/>
              <w:numPr>
                <w:ilvl w:val="0"/>
                <w:numId w:val="119"/>
              </w:numPr>
              <w:overflowPunct w:val="0"/>
              <w:autoSpaceDE w:val="0"/>
              <w:autoSpaceDN w:val="0"/>
              <w:adjustRightInd w:val="0"/>
              <w:spacing w:before="120" w:after="200" w:line="276" w:lineRule="auto"/>
              <w:ind w:left="384"/>
              <w:contextualSpacing/>
              <w:rPr>
                <w:rFonts w:ascii="Calibri" w:eastAsia="Calibri" w:hAnsi="Calibri" w:cs="Arial"/>
                <w:b/>
                <w:bCs/>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 xml:space="preserve">. </w:t>
            </w:r>
          </w:p>
        </w:tc>
      </w:tr>
      <w:tr w:rsidR="00543E6C" w:rsidRPr="00543E6C" w14:paraId="5C0DD9F4" w14:textId="77777777" w:rsidTr="4C9C2619">
        <w:trPr>
          <w:jc w:val="center"/>
        </w:trPr>
        <w:tc>
          <w:tcPr>
            <w:tcW w:w="1129" w:type="dxa"/>
          </w:tcPr>
          <w:p w14:paraId="1C273EE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28A3DFC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3</w:t>
            </w:r>
          </w:p>
        </w:tc>
        <w:tc>
          <w:tcPr>
            <w:tcW w:w="2410" w:type="dxa"/>
          </w:tcPr>
          <w:p w14:paraId="31CBDAC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74952B8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9B3EA6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263558B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6798A39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strike/>
                <w:kern w:val="0"/>
                <w:lang w:val="es-ES_tradnl" w:eastAsia="es-CR"/>
                <w14:ligatures w14:val="none"/>
              </w:rPr>
            </w:pPr>
          </w:p>
        </w:tc>
        <w:tc>
          <w:tcPr>
            <w:tcW w:w="2835" w:type="dxa"/>
          </w:tcPr>
          <w:p w14:paraId="65C8CC84"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635ADD0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González, Antonio. “El reinado de Dios”. En </w:t>
            </w:r>
            <w:r w:rsidRPr="00543E6C">
              <w:rPr>
                <w:rFonts w:ascii="Calibri" w:eastAsia="Times New Roman" w:hAnsi="Calibri" w:cs="Calibri"/>
                <w:i/>
                <w:kern w:val="0"/>
                <w:szCs w:val="20"/>
                <w:lang w:val="es-ES" w:eastAsia="es-CR"/>
                <w14:ligatures w14:val="none"/>
              </w:rPr>
              <w:t xml:space="preserve">Reinado de Dios e imperio: ensayo de teología social, </w:t>
            </w:r>
            <w:r w:rsidRPr="00543E6C">
              <w:rPr>
                <w:rFonts w:ascii="Calibri" w:eastAsia="Times New Roman" w:hAnsi="Calibri" w:cs="Calibri"/>
                <w:kern w:val="0"/>
                <w:szCs w:val="20"/>
                <w:lang w:val="es-ES" w:eastAsia="es-CR"/>
                <w14:ligatures w14:val="none"/>
              </w:rPr>
              <w:t>128-136.</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Santander: Sal </w:t>
            </w:r>
            <w:proofErr w:type="spellStart"/>
            <w:r w:rsidRPr="00543E6C">
              <w:rPr>
                <w:rFonts w:ascii="Calibri" w:eastAsia="Times New Roman" w:hAnsi="Calibri" w:cs="Calibri"/>
                <w:kern w:val="0"/>
                <w:szCs w:val="20"/>
                <w:lang w:val="es-ES" w:eastAsia="es-CR"/>
                <w14:ligatures w14:val="none"/>
              </w:rPr>
              <w:t>Terrae</w:t>
            </w:r>
            <w:proofErr w:type="spellEnd"/>
            <w:r w:rsidRPr="00543E6C">
              <w:rPr>
                <w:rFonts w:ascii="Calibri" w:eastAsia="Times New Roman" w:hAnsi="Calibri" w:cs="Calibri"/>
                <w:kern w:val="0"/>
                <w:szCs w:val="20"/>
                <w:lang w:val="es-ES" w:eastAsia="es-CR"/>
                <w14:ligatures w14:val="none"/>
              </w:rPr>
              <w:t xml:space="preserve">, 2003. </w:t>
            </w:r>
            <w:r w:rsidRPr="00543E6C">
              <w:rPr>
                <w:rFonts w:ascii="Calibri" w:eastAsia="Times New Roman" w:hAnsi="Calibri" w:cs="Calibri"/>
                <w:color w:val="0070C0"/>
                <w:kern w:val="0"/>
                <w:szCs w:val="20"/>
                <w:lang w:val="es-ES" w:eastAsia="es-CR"/>
                <w14:ligatures w14:val="none"/>
              </w:rPr>
              <w:t>(clásico, última edición)</w:t>
            </w:r>
          </w:p>
          <w:p w14:paraId="2FDE907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p>
          <w:p w14:paraId="0859ECAC"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szCs w:val="20"/>
                <w:lang w:val="es-ES" w:eastAsia="es-CR"/>
                <w14:ligatures w14:val="none"/>
              </w:rPr>
            </w:pPr>
            <w:r w:rsidRPr="00543E6C">
              <w:rPr>
                <w:rFonts w:ascii="Calibri" w:eastAsia="Times New Roman" w:hAnsi="Calibri" w:cs="Calibri"/>
                <w:b/>
                <w:kern w:val="0"/>
                <w:szCs w:val="20"/>
                <w:lang w:val="es-ES" w:eastAsia="es-CR"/>
                <w14:ligatures w14:val="none"/>
              </w:rPr>
              <w:t>Material complementario</w:t>
            </w:r>
          </w:p>
          <w:p w14:paraId="7CD92D1D" w14:textId="77777777" w:rsidR="00543E6C" w:rsidRPr="00543E6C" w:rsidRDefault="00543E6C"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Sanders, E. </w:t>
            </w:r>
            <w:proofErr w:type="spellStart"/>
            <w:r w:rsidRPr="4C9C2619">
              <w:rPr>
                <w:rFonts w:ascii="Calibri" w:eastAsia="Times New Roman" w:hAnsi="Calibri" w:cs="Calibri"/>
                <w:kern w:val="0"/>
                <w:lang w:val="es-ES" w:eastAsia="es-CR"/>
                <w14:ligatures w14:val="none"/>
              </w:rPr>
              <w:t>Parish</w:t>
            </w:r>
            <w:proofErr w:type="spellEnd"/>
            <w:r w:rsidRPr="4C9C2619">
              <w:rPr>
                <w:rFonts w:ascii="Calibri" w:eastAsia="Times New Roman" w:hAnsi="Calibri" w:cs="Calibri"/>
                <w:kern w:val="0"/>
                <w:lang w:val="es-ES" w:eastAsia="es-CR"/>
                <w14:ligatures w14:val="none"/>
              </w:rPr>
              <w:t xml:space="preserve">. “La llegada del Reino”. En </w:t>
            </w:r>
            <w:r w:rsidRPr="4C9C2619">
              <w:rPr>
                <w:rFonts w:ascii="Calibri" w:eastAsia="Times New Roman" w:hAnsi="Calibri" w:cs="Calibri"/>
                <w:i/>
                <w:iCs/>
                <w:kern w:val="0"/>
                <w:lang w:val="es-ES" w:eastAsia="es-CR"/>
                <w14:ligatures w14:val="none"/>
              </w:rPr>
              <w:t>La figura histórica de Jesús</w:t>
            </w:r>
            <w:r w:rsidRPr="4C9C2619">
              <w:rPr>
                <w:rFonts w:ascii="Calibri" w:eastAsia="Times New Roman" w:hAnsi="Calibri" w:cs="Calibri"/>
                <w:kern w:val="0"/>
                <w:lang w:val="es-ES" w:eastAsia="es-CR"/>
                <w14:ligatures w14:val="none"/>
              </w:rPr>
              <w:t>, 191-210.</w:t>
            </w:r>
            <w:r w:rsidRPr="4C9C2619">
              <w:rPr>
                <w:rFonts w:ascii="Calibri" w:eastAsia="Times New Roman" w:hAnsi="Calibri" w:cs="Calibri"/>
                <w:i/>
                <w:iCs/>
                <w:kern w:val="0"/>
                <w:lang w:val="es-ES" w:eastAsia="es-CR"/>
                <w14:ligatures w14:val="none"/>
              </w:rPr>
              <w:t xml:space="preserve"> </w:t>
            </w:r>
            <w:r w:rsidRPr="4C9C2619">
              <w:rPr>
                <w:rFonts w:ascii="Calibri" w:eastAsia="Times New Roman" w:hAnsi="Calibri" w:cs="Calibri"/>
                <w:kern w:val="0"/>
                <w:lang w:val="es-ES" w:eastAsia="es-CR"/>
                <w14:ligatures w14:val="none"/>
              </w:rPr>
              <w:t xml:space="preserve">Estella: Verbo Divino, 2001. </w:t>
            </w:r>
            <w:r w:rsidRPr="4C9C2619">
              <w:rPr>
                <w:rFonts w:ascii="Calibri" w:eastAsia="Times New Roman" w:hAnsi="Calibri" w:cs="Calibri"/>
                <w:color w:val="0070C0"/>
                <w:kern w:val="0"/>
                <w:lang w:val="es-ES" w:eastAsia="es-CR"/>
                <w14:ligatures w14:val="none"/>
              </w:rPr>
              <w:t>(Clásico, última reimpresión, 2010)</w:t>
            </w:r>
          </w:p>
          <w:p w14:paraId="32A4BF4D"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43E6C">
              <w:rPr>
                <w:rFonts w:ascii="Calibri" w:eastAsia="Times New Roman" w:hAnsi="Calibri" w:cs="Calibri"/>
                <w:color w:val="0070C0"/>
                <w:kern w:val="0"/>
                <w:lang w:val="es-ES_tradnl" w:eastAsia="es-CR"/>
                <w14:ligatures w14:val="none"/>
              </w:rPr>
              <w:t>Guía para la participación en un glosario en la plataforma Moodle</w:t>
            </w:r>
          </w:p>
          <w:p w14:paraId="754BB9EC" w14:textId="77777777" w:rsidR="00543E6C" w:rsidRPr="00543E6C" w:rsidRDefault="00543E6C"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7528817A"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p>
        </w:tc>
        <w:tc>
          <w:tcPr>
            <w:tcW w:w="3260" w:type="dxa"/>
          </w:tcPr>
          <w:p w14:paraId="2DFC1125" w14:textId="77777777" w:rsidR="00543E6C" w:rsidRPr="00543E6C" w:rsidRDefault="00543E6C" w:rsidP="00543E6C">
            <w:pPr>
              <w:widowControl w:val="0"/>
              <w:numPr>
                <w:ilvl w:val="0"/>
                <w:numId w:val="12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3A2A7A9B" w14:textId="77777777" w:rsidR="00543E6C" w:rsidRPr="00543E6C" w:rsidRDefault="00543E6C" w:rsidP="00543E6C">
            <w:pPr>
              <w:widowControl w:val="0"/>
              <w:numPr>
                <w:ilvl w:val="0"/>
                <w:numId w:val="12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Participación en la elaboración de un glosario sobre el Reino de Dios. </w:t>
            </w:r>
          </w:p>
          <w:p w14:paraId="0AAE4EB3" w14:textId="77777777" w:rsidR="00543E6C" w:rsidRPr="00543E6C" w:rsidRDefault="00543E6C" w:rsidP="00543E6C">
            <w:pPr>
              <w:widowControl w:val="0"/>
              <w:numPr>
                <w:ilvl w:val="0"/>
                <w:numId w:val="12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6E5C6656" w14:textId="77777777" w:rsidTr="4C9C2619">
        <w:trPr>
          <w:jc w:val="center"/>
        </w:trPr>
        <w:tc>
          <w:tcPr>
            <w:tcW w:w="1129" w:type="dxa"/>
          </w:tcPr>
          <w:p w14:paraId="1A6F56E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3C66DAE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4</w:t>
            </w:r>
          </w:p>
        </w:tc>
        <w:tc>
          <w:tcPr>
            <w:tcW w:w="2410" w:type="dxa"/>
          </w:tcPr>
          <w:p w14:paraId="50E7AB3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62A0A07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4738F19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6E99DB9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1F8A1B9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1051C495"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2BEF2F3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11F4305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“La vía de la práctica de Jesús”, “Las controversias de Jesús: Dios es controvertible”. En </w:t>
            </w:r>
            <w:r w:rsidRPr="00543E6C">
              <w:rPr>
                <w:rFonts w:ascii="Calibri" w:eastAsia="Times New Roman" w:hAnsi="Calibri" w:cs="Calibri"/>
                <w:i/>
                <w:kern w:val="0"/>
                <w:szCs w:val="20"/>
                <w:lang w:val="es-ES" w:eastAsia="es-CR"/>
                <w14:ligatures w14:val="none"/>
              </w:rPr>
              <w:t xml:space="preserve">Jesucristo liberador: lectura histórico-teológica de Jesús de Nazaret, </w:t>
            </w:r>
            <w:r w:rsidRPr="00543E6C">
              <w:rPr>
                <w:rFonts w:ascii="Calibri" w:eastAsia="Times New Roman" w:hAnsi="Calibri" w:cs="Calibri"/>
                <w:kern w:val="0"/>
                <w:szCs w:val="20"/>
                <w:lang w:val="es-ES" w:eastAsia="es-CR"/>
                <w14:ligatures w14:val="none"/>
              </w:rPr>
              <w:t>156-175 y 278-</w:t>
            </w:r>
            <w:r w:rsidRPr="00543E6C">
              <w:rPr>
                <w:rFonts w:ascii="Calibri" w:eastAsia="Times New Roman" w:hAnsi="Calibri" w:cs="Calibri"/>
                <w:kern w:val="0"/>
                <w:szCs w:val="20"/>
                <w:lang w:val="es-ES" w:eastAsia="es-CR"/>
                <w14:ligatures w14:val="none"/>
              </w:rPr>
              <w:lastRenderedPageBreak/>
              <w:t>287.</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 Salvador: UCA, 1991. </w:t>
            </w:r>
            <w:r w:rsidRPr="00543E6C">
              <w:rPr>
                <w:rFonts w:ascii="Calibri" w:eastAsia="Times New Roman" w:hAnsi="Calibri" w:cs="Calibri"/>
                <w:color w:val="0070C0"/>
                <w:kern w:val="0"/>
                <w:szCs w:val="20"/>
                <w:lang w:val="es-ES" w:eastAsia="es-CR"/>
                <w14:ligatures w14:val="none"/>
              </w:rPr>
              <w:t>(Clásico, última edición Madrid: Trotta, 2020)</w:t>
            </w:r>
          </w:p>
          <w:p w14:paraId="5FEE889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5CFBCC2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42D4855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p>
          <w:p w14:paraId="6E0CD7E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elaboración de una reseña crítica de lectura</w:t>
            </w:r>
          </w:p>
          <w:p w14:paraId="7DC4F0E5"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p>
          <w:p w14:paraId="075A71D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 xml:space="preserve">Guía para la participación mediante la herramienta Big Blue </w:t>
            </w:r>
            <w:proofErr w:type="spellStart"/>
            <w:r w:rsidRPr="00543E6C">
              <w:rPr>
                <w:rFonts w:ascii="Calibri" w:eastAsia="Times New Roman" w:hAnsi="Calibri" w:cs="Calibri"/>
                <w:bCs/>
                <w:color w:val="0070C0"/>
                <w:kern w:val="0"/>
                <w:szCs w:val="20"/>
                <w:lang w:val="es-ES" w:eastAsia="es-CR"/>
                <w14:ligatures w14:val="none"/>
              </w:rPr>
              <w:t>Button</w:t>
            </w:r>
            <w:proofErr w:type="spellEnd"/>
            <w:r w:rsidRPr="00543E6C">
              <w:rPr>
                <w:rFonts w:ascii="Calibri" w:eastAsia="Times New Roman" w:hAnsi="Calibri" w:cs="Calibri"/>
                <w:bCs/>
                <w:color w:val="0070C0"/>
                <w:kern w:val="0"/>
                <w:szCs w:val="20"/>
                <w:lang w:val="es-ES" w:eastAsia="es-CR"/>
                <w14:ligatures w14:val="none"/>
              </w:rPr>
              <w:t xml:space="preserve"> en la plataforma Moodle</w:t>
            </w:r>
          </w:p>
          <w:p w14:paraId="33CCEC5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57938CC9" w14:textId="77777777" w:rsidR="00543E6C" w:rsidRPr="00543E6C" w:rsidRDefault="00543E6C" w:rsidP="00543E6C">
            <w:pPr>
              <w:widowControl w:val="0"/>
              <w:numPr>
                <w:ilvl w:val="0"/>
                <w:numId w:val="12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lastRenderedPageBreak/>
              <w:t>Realizar la lectura de la sesión.</w:t>
            </w:r>
          </w:p>
          <w:p w14:paraId="528CEA4A" w14:textId="77777777" w:rsidR="00543E6C" w:rsidRPr="00543E6C" w:rsidRDefault="00543E6C" w:rsidP="00543E6C">
            <w:pPr>
              <w:widowControl w:val="0"/>
              <w:numPr>
                <w:ilvl w:val="0"/>
                <w:numId w:val="12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una reseña crítica de la lectura.  </w:t>
            </w:r>
          </w:p>
          <w:p w14:paraId="0304E89C" w14:textId="77777777" w:rsidR="00543E6C" w:rsidRPr="00543E6C" w:rsidRDefault="00543E6C" w:rsidP="00543E6C">
            <w:pPr>
              <w:widowControl w:val="0"/>
              <w:numPr>
                <w:ilvl w:val="0"/>
                <w:numId w:val="12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2E98D261" w14:textId="77777777" w:rsidTr="4C9C2619">
        <w:trPr>
          <w:jc w:val="center"/>
        </w:trPr>
        <w:tc>
          <w:tcPr>
            <w:tcW w:w="1129" w:type="dxa"/>
          </w:tcPr>
          <w:p w14:paraId="69CEDDE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40234CE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5</w:t>
            </w:r>
          </w:p>
        </w:tc>
        <w:tc>
          <w:tcPr>
            <w:tcW w:w="2410" w:type="dxa"/>
          </w:tcPr>
          <w:p w14:paraId="254AAC1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3CB8A43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28135E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01FE1A9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0C4FD34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6D680C6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4BB0A73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530B075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“Las nociones de Jesús sobre Dios”. En </w:t>
            </w:r>
            <w:r w:rsidRPr="00543E6C">
              <w:rPr>
                <w:rFonts w:ascii="Calibri" w:eastAsia="Times New Roman" w:hAnsi="Calibri" w:cs="Calibri"/>
                <w:i/>
                <w:kern w:val="0"/>
                <w:szCs w:val="20"/>
                <w:lang w:val="es-ES" w:eastAsia="es-CR"/>
                <w14:ligatures w14:val="none"/>
              </w:rPr>
              <w:t xml:space="preserve">Jesucristo liberador: lectura histórico-teológica de Jesús de Nazaret, </w:t>
            </w:r>
            <w:r w:rsidRPr="00543E6C">
              <w:rPr>
                <w:rFonts w:ascii="Calibri" w:eastAsia="Times New Roman" w:hAnsi="Calibri" w:cs="Calibri"/>
                <w:kern w:val="0"/>
                <w:szCs w:val="20"/>
                <w:lang w:val="es-ES" w:eastAsia="es-CR"/>
                <w14:ligatures w14:val="none"/>
              </w:rPr>
              <w:t>234-265.</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 Salvador: UCA, 1991. </w:t>
            </w:r>
            <w:r w:rsidRPr="00543E6C">
              <w:rPr>
                <w:rFonts w:ascii="Calibri" w:eastAsia="Times New Roman" w:hAnsi="Calibri" w:cs="Calibri"/>
                <w:color w:val="0070C0"/>
                <w:kern w:val="0"/>
                <w:szCs w:val="20"/>
                <w:lang w:val="es-ES" w:eastAsia="es-CR"/>
                <w14:ligatures w14:val="none"/>
              </w:rPr>
              <w:t>(Clásico, última edición Madrid: Trotta, 2020)</w:t>
            </w:r>
          </w:p>
          <w:p w14:paraId="6925C78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6964A35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54DA3E6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p>
          <w:p w14:paraId="5397F4E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elaboración de un mapa conceptual</w:t>
            </w:r>
          </w:p>
          <w:p w14:paraId="079BA18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p>
          <w:p w14:paraId="788FAC4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 xml:space="preserve">Guía para la participación mediante la herramienta Big Blue </w:t>
            </w:r>
            <w:proofErr w:type="spellStart"/>
            <w:r w:rsidRPr="00543E6C">
              <w:rPr>
                <w:rFonts w:ascii="Calibri" w:eastAsia="Times New Roman" w:hAnsi="Calibri" w:cs="Calibri"/>
                <w:bCs/>
                <w:color w:val="0070C0"/>
                <w:kern w:val="0"/>
                <w:szCs w:val="20"/>
                <w:lang w:val="es-ES" w:eastAsia="es-CR"/>
                <w14:ligatures w14:val="none"/>
              </w:rPr>
              <w:t>Button</w:t>
            </w:r>
            <w:proofErr w:type="spellEnd"/>
            <w:r w:rsidRPr="00543E6C">
              <w:rPr>
                <w:rFonts w:ascii="Calibri" w:eastAsia="Times New Roman" w:hAnsi="Calibri" w:cs="Calibri"/>
                <w:bCs/>
                <w:color w:val="0070C0"/>
                <w:kern w:val="0"/>
                <w:szCs w:val="20"/>
                <w:lang w:val="es-ES" w:eastAsia="es-CR"/>
                <w14:ligatures w14:val="none"/>
              </w:rPr>
              <w:t xml:space="preserve"> en la plataforma Moodle</w:t>
            </w:r>
          </w:p>
          <w:p w14:paraId="3AD1E90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21E5907B" w14:textId="77777777" w:rsidR="00543E6C" w:rsidRPr="00543E6C" w:rsidRDefault="00543E6C" w:rsidP="00543E6C">
            <w:pPr>
              <w:widowControl w:val="0"/>
              <w:numPr>
                <w:ilvl w:val="0"/>
                <w:numId w:val="122"/>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7EE4777A" w14:textId="77777777" w:rsidR="00543E6C" w:rsidRPr="00543E6C" w:rsidRDefault="00543E6C" w:rsidP="00543E6C">
            <w:pPr>
              <w:widowControl w:val="0"/>
              <w:numPr>
                <w:ilvl w:val="0"/>
                <w:numId w:val="122"/>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 mapa conceptual a partir de la lectura de la sesión. </w:t>
            </w:r>
          </w:p>
          <w:p w14:paraId="1DC87763" w14:textId="77777777" w:rsidR="00543E6C" w:rsidRPr="00543E6C" w:rsidRDefault="00543E6C" w:rsidP="00543E6C">
            <w:pPr>
              <w:widowControl w:val="0"/>
              <w:numPr>
                <w:ilvl w:val="0"/>
                <w:numId w:val="122"/>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3061CC76" w14:textId="77777777" w:rsidTr="4C9C2619">
        <w:trPr>
          <w:jc w:val="center"/>
        </w:trPr>
        <w:tc>
          <w:tcPr>
            <w:tcW w:w="1129" w:type="dxa"/>
          </w:tcPr>
          <w:p w14:paraId="37CB9CA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p>
          <w:p w14:paraId="1946264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6</w:t>
            </w:r>
          </w:p>
        </w:tc>
        <w:tc>
          <w:tcPr>
            <w:tcW w:w="2410" w:type="dxa"/>
          </w:tcPr>
          <w:p w14:paraId="33369F8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5192A09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1276A3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6022A40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2BFACD6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4FA5A95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215EB47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p>
          <w:p w14:paraId="493F149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“La persecución: clima de la vida de Jesús”. En </w:t>
            </w:r>
            <w:r w:rsidRPr="00543E6C">
              <w:rPr>
                <w:rFonts w:ascii="Calibri" w:eastAsia="Times New Roman" w:hAnsi="Calibri" w:cs="Calibri"/>
                <w:i/>
                <w:kern w:val="0"/>
                <w:szCs w:val="20"/>
                <w:lang w:val="es-ES" w:eastAsia="es-CR"/>
                <w14:ligatures w14:val="none"/>
              </w:rPr>
              <w:t xml:space="preserve">Jesucristo liberador: lectura histórico-teológica de Jesús de Nazaret, </w:t>
            </w:r>
            <w:r w:rsidRPr="00543E6C">
              <w:rPr>
                <w:rFonts w:ascii="Calibri" w:eastAsia="Times New Roman" w:hAnsi="Calibri" w:cs="Calibri"/>
                <w:kern w:val="0"/>
                <w:szCs w:val="20"/>
                <w:lang w:val="es-ES" w:eastAsia="es-CR"/>
                <w14:ligatures w14:val="none"/>
              </w:rPr>
              <w:t>310-317.</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San Salvador: UCA, 1991. </w:t>
            </w:r>
            <w:r w:rsidRPr="00543E6C">
              <w:rPr>
                <w:rFonts w:ascii="Calibri" w:eastAsia="Times New Roman" w:hAnsi="Calibri" w:cs="Calibri"/>
                <w:color w:val="0070C0"/>
                <w:kern w:val="0"/>
                <w:szCs w:val="20"/>
                <w:lang w:val="es-ES" w:eastAsia="es-CR"/>
                <w14:ligatures w14:val="none"/>
              </w:rPr>
              <w:t>(Clásico, última edición Madrid: Trotta, 2020)</w:t>
            </w:r>
          </w:p>
          <w:p w14:paraId="14060EB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proofErr w:type="spellStart"/>
            <w:r w:rsidRPr="00543E6C">
              <w:rPr>
                <w:rFonts w:ascii="Calibri" w:eastAsia="Times New Roman" w:hAnsi="Calibri" w:cs="Calibri"/>
                <w:kern w:val="0"/>
                <w:szCs w:val="20"/>
                <w:lang w:val="es-ES" w:eastAsia="es-CR"/>
                <w14:ligatures w14:val="none"/>
              </w:rPr>
              <w:t>Moltmann</w:t>
            </w:r>
            <w:proofErr w:type="spellEnd"/>
            <w:r w:rsidRPr="00543E6C">
              <w:rPr>
                <w:rFonts w:ascii="Calibri" w:eastAsia="Times New Roman" w:hAnsi="Calibri" w:cs="Calibri"/>
                <w:kern w:val="0"/>
                <w:szCs w:val="20"/>
                <w:lang w:val="es-ES" w:eastAsia="es-CR"/>
                <w14:ligatures w14:val="none"/>
              </w:rPr>
              <w:t xml:space="preserve">, Jürgen. “Los </w:t>
            </w:r>
            <w:r w:rsidRPr="00543E6C">
              <w:rPr>
                <w:rFonts w:ascii="Calibri" w:eastAsia="Times New Roman" w:hAnsi="Calibri" w:cs="Calibri"/>
                <w:kern w:val="0"/>
                <w:szCs w:val="20"/>
                <w:lang w:val="es-ES" w:eastAsia="es-CR"/>
                <w14:ligatures w14:val="none"/>
              </w:rPr>
              <w:lastRenderedPageBreak/>
              <w:t xml:space="preserve">sufrimientos humanos de Cristo: ¿Qué muerte padeció Jesús?”, “Los sufrimientos divinos de Cristo: ¿Dónde está Dios?”, “La justicia, fruto de los sufrimientos de Cristo: ¿Para qué murió Cristo?”. En </w:t>
            </w:r>
            <w:r w:rsidRPr="00543E6C">
              <w:rPr>
                <w:rFonts w:ascii="Calibri" w:eastAsia="Times New Roman" w:hAnsi="Calibri" w:cs="Calibri"/>
                <w:i/>
                <w:kern w:val="0"/>
                <w:szCs w:val="20"/>
                <w:lang w:val="es-ES" w:eastAsia="es-CR"/>
                <w14:ligatures w14:val="none"/>
              </w:rPr>
              <w:t xml:space="preserve">El camino de Jesucristo: cristología en dimensiones mesiánicas, </w:t>
            </w:r>
            <w:r w:rsidRPr="00543E6C">
              <w:rPr>
                <w:rFonts w:ascii="Calibri" w:eastAsia="Times New Roman" w:hAnsi="Calibri" w:cs="Calibri"/>
                <w:kern w:val="0"/>
                <w:szCs w:val="20"/>
                <w:lang w:val="es-ES" w:eastAsia="es-CR"/>
                <w14:ligatures w14:val="none"/>
              </w:rPr>
              <w:t>225-255.</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Salamanca: Sígueme, 2000. </w:t>
            </w:r>
            <w:r w:rsidRPr="00543E6C">
              <w:rPr>
                <w:rFonts w:ascii="Calibri" w:eastAsia="Times New Roman" w:hAnsi="Calibri" w:cs="Calibri"/>
                <w:color w:val="0070C0"/>
                <w:kern w:val="0"/>
                <w:szCs w:val="20"/>
                <w:lang w:val="es-ES" w:eastAsia="es-CR"/>
                <w14:ligatures w14:val="none"/>
              </w:rPr>
              <w:t>(Clásico, última edición)</w:t>
            </w:r>
          </w:p>
          <w:p w14:paraId="476F7A37"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szCs w:val="20"/>
                <w:lang w:val="es-ES" w:eastAsia="es-CR"/>
                <w14:ligatures w14:val="none"/>
              </w:rPr>
            </w:pPr>
            <w:r w:rsidRPr="00543E6C">
              <w:rPr>
                <w:rFonts w:ascii="Calibri" w:eastAsia="Times New Roman" w:hAnsi="Calibri" w:cs="Calibri"/>
                <w:b/>
                <w:kern w:val="0"/>
                <w:szCs w:val="20"/>
                <w:lang w:val="es-ES" w:eastAsia="es-CR"/>
                <w14:ligatures w14:val="none"/>
              </w:rPr>
              <w:t>Material complementario</w:t>
            </w:r>
          </w:p>
          <w:p w14:paraId="1AB073DD"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roofErr w:type="spellStart"/>
            <w:r w:rsidRPr="00DD16F2">
              <w:rPr>
                <w:rFonts w:ascii="Calibri" w:eastAsia="Times New Roman" w:hAnsi="Calibri" w:cs="Calibri"/>
                <w:kern w:val="0"/>
                <w:lang w:eastAsia="es-CR"/>
                <w14:ligatures w14:val="none"/>
              </w:rPr>
              <w:t>Theissen</w:t>
            </w:r>
            <w:proofErr w:type="spellEnd"/>
            <w:r w:rsidRPr="00DD16F2">
              <w:rPr>
                <w:rFonts w:ascii="Calibri" w:eastAsia="Times New Roman" w:hAnsi="Calibri" w:cs="Calibri"/>
                <w:kern w:val="0"/>
                <w:lang w:eastAsia="es-CR"/>
                <w14:ligatures w14:val="none"/>
              </w:rPr>
              <w:t xml:space="preserve">, </w:t>
            </w:r>
            <w:proofErr w:type="spellStart"/>
            <w:r w:rsidRPr="00DD16F2">
              <w:rPr>
                <w:rFonts w:ascii="Calibri" w:eastAsia="Times New Roman" w:hAnsi="Calibri" w:cs="Calibri"/>
                <w:kern w:val="0"/>
                <w:lang w:eastAsia="es-CR"/>
                <w14:ligatures w14:val="none"/>
              </w:rPr>
              <w:t>Gerd</w:t>
            </w:r>
            <w:proofErr w:type="spellEnd"/>
            <w:r w:rsidRPr="00DD16F2">
              <w:rPr>
                <w:rFonts w:ascii="Calibri" w:eastAsia="Times New Roman" w:hAnsi="Calibri" w:cs="Calibri"/>
                <w:kern w:val="0"/>
                <w:lang w:eastAsia="es-CR"/>
                <w14:ligatures w14:val="none"/>
              </w:rPr>
              <w:t xml:space="preserve"> y Anette Merz. </w:t>
            </w:r>
            <w:r w:rsidRPr="00543E6C">
              <w:rPr>
                <w:rFonts w:ascii="Calibri" w:eastAsia="Times New Roman" w:hAnsi="Calibri" w:cs="Calibri"/>
                <w:kern w:val="0"/>
                <w:lang w:eastAsia="es-CR"/>
                <w14:ligatures w14:val="none"/>
              </w:rPr>
              <w:t xml:space="preserve">“Jesús, mártir: la pasión de Jesús”. En </w:t>
            </w:r>
            <w:r w:rsidRPr="00543E6C">
              <w:rPr>
                <w:rFonts w:ascii="Calibri" w:eastAsia="Times New Roman" w:hAnsi="Calibri" w:cs="Calibri"/>
                <w:i/>
                <w:kern w:val="0"/>
                <w:lang w:val="es-ES_tradnl" w:eastAsia="es-CR"/>
                <w14:ligatures w14:val="none"/>
              </w:rPr>
              <w:t>El Jesús histórico: Manual</w:t>
            </w:r>
            <w:r w:rsidRPr="00543E6C">
              <w:rPr>
                <w:rFonts w:ascii="Calibri" w:eastAsia="Times New Roman" w:hAnsi="Calibri" w:cs="Calibri"/>
                <w:kern w:val="0"/>
                <w:lang w:val="es-ES_tradnl" w:eastAsia="es-CR"/>
                <w14:ligatures w14:val="none"/>
              </w:rPr>
              <w:t>, 487-521.</w:t>
            </w:r>
            <w:r w:rsidRPr="00543E6C">
              <w:rPr>
                <w:rFonts w:ascii="Calibri" w:eastAsia="Times New Roman" w:hAnsi="Calibri" w:cs="Calibri"/>
                <w:i/>
                <w:kern w:val="0"/>
                <w:lang w:val="es-ES_tradnl" w:eastAsia="es-CR"/>
                <w14:ligatures w14:val="none"/>
              </w:rPr>
              <w:t xml:space="preserve"> </w:t>
            </w:r>
            <w:r w:rsidRPr="00543E6C">
              <w:rPr>
                <w:rFonts w:ascii="Calibri" w:eastAsia="Times New Roman" w:hAnsi="Calibri" w:cs="Calibri"/>
                <w:kern w:val="0"/>
                <w:lang w:val="es-ES_tradnl" w:eastAsia="es-CR"/>
                <w14:ligatures w14:val="none"/>
              </w:rPr>
              <w:t xml:space="preserve">Salamanca: Sígueme, 2000. . </w:t>
            </w:r>
            <w:r w:rsidRPr="00543E6C">
              <w:rPr>
                <w:rFonts w:ascii="Calibri" w:eastAsia="Times New Roman" w:hAnsi="Calibri" w:cs="Calibri"/>
                <w:color w:val="0070C0"/>
                <w:kern w:val="0"/>
                <w:lang w:val="es-ES_tradnl" w:eastAsia="es-CR"/>
                <w14:ligatures w14:val="none"/>
              </w:rPr>
              <w:t>(Clásico, última reimpresión 2012)</w:t>
            </w:r>
          </w:p>
          <w:p w14:paraId="7E599DA1"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lang w:val="es-ES_tradnl" w:eastAsia="es-CR"/>
                <w14:ligatures w14:val="none"/>
              </w:rPr>
              <w:t>Guía para la participación en un foro en la plataforma Moodle</w:t>
            </w:r>
          </w:p>
        </w:tc>
        <w:tc>
          <w:tcPr>
            <w:tcW w:w="3260" w:type="dxa"/>
          </w:tcPr>
          <w:p w14:paraId="4F011A1B" w14:textId="77777777" w:rsidR="00543E6C" w:rsidRPr="00543E6C" w:rsidRDefault="00543E6C" w:rsidP="00543E6C">
            <w:pPr>
              <w:widowControl w:val="0"/>
              <w:numPr>
                <w:ilvl w:val="0"/>
                <w:numId w:val="123"/>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lastRenderedPageBreak/>
              <w:t>Realizar las lecturas de la sesión.</w:t>
            </w:r>
          </w:p>
          <w:p w14:paraId="785357F2" w14:textId="77777777" w:rsidR="00543E6C" w:rsidRPr="00543E6C" w:rsidRDefault="00543E6C" w:rsidP="00543E6C">
            <w:pPr>
              <w:widowControl w:val="0"/>
              <w:numPr>
                <w:ilvl w:val="0"/>
                <w:numId w:val="123"/>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Participación en el foro temático: La pasión de Jesús.</w:t>
            </w:r>
          </w:p>
        </w:tc>
      </w:tr>
      <w:tr w:rsidR="00543E6C" w:rsidRPr="00543E6C" w14:paraId="450A640F" w14:textId="77777777" w:rsidTr="4C9C2619">
        <w:trPr>
          <w:jc w:val="center"/>
        </w:trPr>
        <w:tc>
          <w:tcPr>
            <w:tcW w:w="1129" w:type="dxa"/>
          </w:tcPr>
          <w:p w14:paraId="32ED93E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F50A26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7</w:t>
            </w:r>
          </w:p>
        </w:tc>
        <w:tc>
          <w:tcPr>
            <w:tcW w:w="2410" w:type="dxa"/>
          </w:tcPr>
          <w:p w14:paraId="3372D87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57E7ADB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E0026C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16DDD18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56BC0B7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0710FC3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31A8D35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proofErr w:type="spellStart"/>
            <w:r w:rsidRPr="00543E6C">
              <w:rPr>
                <w:rFonts w:ascii="Calibri" w:eastAsia="Times New Roman" w:hAnsi="Calibri" w:cs="Calibri"/>
                <w:kern w:val="0"/>
                <w:szCs w:val="20"/>
                <w:lang w:val="es-ES" w:eastAsia="es-CR"/>
                <w14:ligatures w14:val="none"/>
              </w:rPr>
              <w:t>Schüssler-Fiorenza</w:t>
            </w:r>
            <w:proofErr w:type="spellEnd"/>
            <w:r w:rsidRPr="00543E6C">
              <w:rPr>
                <w:rFonts w:ascii="Calibri" w:eastAsia="Times New Roman" w:hAnsi="Calibri" w:cs="Calibri"/>
                <w:kern w:val="0"/>
                <w:szCs w:val="20"/>
                <w:lang w:val="es-ES" w:eastAsia="es-CR"/>
                <w14:ligatures w14:val="none"/>
              </w:rPr>
              <w:t xml:space="preserve">, Elisabeth. “La ejecución de Jesús y sus interpretaciones retóricas”. En </w:t>
            </w:r>
            <w:r w:rsidRPr="00543E6C">
              <w:rPr>
                <w:rFonts w:ascii="Calibri" w:eastAsia="Times New Roman" w:hAnsi="Calibri" w:cs="Calibri"/>
                <w:i/>
                <w:kern w:val="0"/>
                <w:szCs w:val="20"/>
                <w:lang w:val="es-ES" w:eastAsia="es-CR"/>
                <w14:ligatures w14:val="none"/>
              </w:rPr>
              <w:t xml:space="preserve">Cristología Feminista Crítica: Jesús, Hijo de Miriam, Profeta de la Sabiduría, </w:t>
            </w:r>
            <w:r w:rsidRPr="00543E6C">
              <w:rPr>
                <w:rFonts w:ascii="Calibri" w:eastAsia="Times New Roman" w:hAnsi="Calibri" w:cs="Calibri"/>
                <w:kern w:val="0"/>
                <w:szCs w:val="20"/>
                <w:lang w:val="es-ES" w:eastAsia="es-CR"/>
                <w14:ligatures w14:val="none"/>
              </w:rPr>
              <w:t>155-172.</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Madrid: Trotta, 2000. </w:t>
            </w:r>
            <w:r w:rsidRPr="00543E6C">
              <w:rPr>
                <w:rFonts w:ascii="Calibri" w:eastAsia="Times New Roman" w:hAnsi="Calibri" w:cs="Calibri"/>
                <w:color w:val="0070C0"/>
                <w:kern w:val="0"/>
                <w:szCs w:val="20"/>
                <w:lang w:val="es-ES" w:eastAsia="es-CR"/>
                <w14:ligatures w14:val="none"/>
              </w:rPr>
              <w:t>(Clásico, última edición)</w:t>
            </w:r>
          </w:p>
          <w:p w14:paraId="34BFEEF8"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p>
          <w:p w14:paraId="423F7570"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kern w:val="0"/>
                <w:szCs w:val="20"/>
                <w:lang w:val="es-ES" w:eastAsia="es-CR"/>
                <w14:ligatures w14:val="none"/>
              </w:rPr>
            </w:pPr>
            <w:r w:rsidRPr="00543E6C">
              <w:rPr>
                <w:rFonts w:ascii="Calibri" w:eastAsia="Times New Roman" w:hAnsi="Calibri" w:cs="Calibri"/>
                <w:b/>
                <w:kern w:val="0"/>
                <w:szCs w:val="20"/>
                <w:lang w:val="es-ES" w:eastAsia="es-CR"/>
                <w14:ligatures w14:val="none"/>
              </w:rPr>
              <w:t>Material complementario</w:t>
            </w:r>
          </w:p>
          <w:p w14:paraId="17891F4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Noguez Alcántara, Armando. “Cristología y salvación en la obra Jesucristo liberador: Lectura histórico-teológica de Jesús de Nazaret, de J Sobrino”. </w:t>
            </w:r>
            <w:r w:rsidRPr="00543E6C">
              <w:rPr>
                <w:rFonts w:ascii="Calibri" w:eastAsia="Times New Roman" w:hAnsi="Calibri" w:cs="Calibri"/>
                <w:i/>
                <w:iCs/>
                <w:kern w:val="0"/>
                <w:szCs w:val="20"/>
                <w:lang w:val="es-ES" w:eastAsia="es-CR"/>
                <w14:ligatures w14:val="none"/>
              </w:rPr>
              <w:t>Revista Iberoamericana de Teología</w:t>
            </w:r>
            <w:r w:rsidRPr="00543E6C">
              <w:rPr>
                <w:rFonts w:ascii="Calibri" w:eastAsia="Times New Roman" w:hAnsi="Calibri" w:cs="Calibri"/>
                <w:kern w:val="0"/>
                <w:szCs w:val="20"/>
                <w:lang w:val="es-ES" w:eastAsia="es-CR"/>
                <w14:ligatures w14:val="none"/>
              </w:rPr>
              <w:t xml:space="preserve"> 9, n. 16 (2013): 9-39. Acceso </w:t>
            </w:r>
            <w:r w:rsidRPr="00543E6C">
              <w:rPr>
                <w:rFonts w:ascii="Calibri" w:eastAsia="Times New Roman" w:hAnsi="Calibri" w:cs="Calibri"/>
                <w:kern w:val="0"/>
                <w:szCs w:val="20"/>
                <w:lang w:val="es-ES" w:eastAsia="es-CR"/>
                <w14:ligatures w14:val="none"/>
              </w:rPr>
              <w:lastRenderedPageBreak/>
              <w:t>el 18 de diciembre de 2020.</w:t>
            </w:r>
            <w:r w:rsidRPr="00543E6C">
              <w:rPr>
                <w:rFonts w:ascii="Times New Roman" w:eastAsia="Times New Roman" w:hAnsi="Times New Roman" w:cs="Times New Roman"/>
                <w:kern w:val="0"/>
                <w:sz w:val="24"/>
                <w:szCs w:val="20"/>
                <w:lang w:val="es-ES_tradnl" w:eastAsia="es-CR"/>
                <w14:ligatures w14:val="none"/>
              </w:rPr>
              <w:t xml:space="preserve"> </w:t>
            </w:r>
            <w:hyperlink r:id="rId228" w:history="1">
              <w:r w:rsidRPr="00543E6C">
                <w:rPr>
                  <w:rFonts w:ascii="Calibri" w:eastAsia="Times New Roman" w:hAnsi="Calibri" w:cs="Calibri"/>
                  <w:color w:val="0563C1"/>
                  <w:kern w:val="0"/>
                  <w:u w:val="single"/>
                  <w:lang w:eastAsia="es-CR"/>
                  <w14:ligatures w14:val="none"/>
                </w:rPr>
                <w:t>https://www.redalyc.org/articulo.oa?id=125247734001</w:t>
              </w:r>
            </w:hyperlink>
            <w:r w:rsidRPr="00543E6C">
              <w:rPr>
                <w:rFonts w:ascii="Calibri" w:eastAsia="Times New Roman" w:hAnsi="Calibri" w:cs="Calibri"/>
                <w:kern w:val="0"/>
                <w:szCs w:val="20"/>
                <w:lang w:val="es-ES" w:eastAsia="es-CR"/>
                <w14:ligatures w14:val="none"/>
              </w:rPr>
              <w:t xml:space="preserve"> </w:t>
            </w:r>
          </w:p>
          <w:p w14:paraId="0280EB17"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Guía para la elaboración de una reseña crítica de lectura</w:t>
            </w:r>
          </w:p>
          <w:p w14:paraId="26C7891B"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p>
        </w:tc>
        <w:tc>
          <w:tcPr>
            <w:tcW w:w="3260" w:type="dxa"/>
          </w:tcPr>
          <w:p w14:paraId="4FE389AE" w14:textId="77777777" w:rsidR="00543E6C" w:rsidRPr="00543E6C" w:rsidRDefault="00543E6C" w:rsidP="00543E6C">
            <w:pPr>
              <w:widowControl w:val="0"/>
              <w:numPr>
                <w:ilvl w:val="0"/>
                <w:numId w:val="124"/>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lastRenderedPageBreak/>
              <w:t>Realizar la lectura de la sesión.</w:t>
            </w:r>
          </w:p>
          <w:p w14:paraId="6725C3E1" w14:textId="77777777" w:rsidR="00543E6C" w:rsidRPr="00543E6C" w:rsidRDefault="00543E6C" w:rsidP="00543E6C">
            <w:pPr>
              <w:widowControl w:val="0"/>
              <w:numPr>
                <w:ilvl w:val="0"/>
                <w:numId w:val="124"/>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una reseña crítica de la lectura. </w:t>
            </w:r>
          </w:p>
          <w:p w14:paraId="2ED88F9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Arial"/>
                <w:kern w:val="0"/>
                <w:sz w:val="24"/>
                <w:szCs w:val="20"/>
                <w:lang w:val="es-ES_tradnl" w:eastAsia="es-CR"/>
                <w14:ligatures w14:val="none"/>
              </w:rPr>
            </w:pPr>
          </w:p>
        </w:tc>
      </w:tr>
      <w:tr w:rsidR="00543E6C" w:rsidRPr="00543E6C" w14:paraId="79F05DD6" w14:textId="77777777" w:rsidTr="4C9C2619">
        <w:trPr>
          <w:jc w:val="center"/>
        </w:trPr>
        <w:tc>
          <w:tcPr>
            <w:tcW w:w="1129" w:type="dxa"/>
          </w:tcPr>
          <w:p w14:paraId="3AAD6E1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A66202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8</w:t>
            </w:r>
          </w:p>
        </w:tc>
        <w:tc>
          <w:tcPr>
            <w:tcW w:w="2410" w:type="dxa"/>
          </w:tcPr>
          <w:p w14:paraId="2AEB8AC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543E6C">
              <w:rPr>
                <w:rFonts w:ascii="Calibri" w:eastAsia="Times New Roman" w:hAnsi="Calibri" w:cs="Arial"/>
                <w:b/>
                <w:bCs/>
                <w:kern w:val="0"/>
                <w:lang w:val="es-ES_tradnl" w:eastAsia="es-CR"/>
                <w14:ligatures w14:val="none"/>
              </w:rPr>
              <w:t>Unidad 3: La historia de Jesús de Nazaret</w:t>
            </w:r>
          </w:p>
          <w:p w14:paraId="2937A04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60C8F2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543E6C">
              <w:rPr>
                <w:rFonts w:ascii="Calibri" w:eastAsia="Times New Roman" w:hAnsi="Calibri" w:cs="Arial"/>
                <w:kern w:val="0"/>
                <w:lang w:val="es-ES_tradnl" w:eastAsia="es-CR"/>
                <w14:ligatures w14:val="none"/>
              </w:rPr>
              <w:t>3.1 Las raíces de Jesús según el testimonio bíblico</w:t>
            </w:r>
          </w:p>
          <w:p w14:paraId="3ADD5A7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58E5162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p>
          <w:p w14:paraId="679068A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2835" w:type="dxa"/>
          </w:tcPr>
          <w:p w14:paraId="2A0ACFB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7BD06B0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szCs w:val="20"/>
                <w:lang w:val="es-ES" w:eastAsia="es-CR"/>
                <w14:ligatures w14:val="none"/>
              </w:rPr>
              <w:t xml:space="preserve">Sobrino, Jon. “El problema hermenéutico (II): Principios hermenéuticos desde las víctimas”, “El problema histórico (I): Lo real de la resurrección de Jesús”, “Un Dios misterio: El Deus </w:t>
            </w:r>
            <w:proofErr w:type="spellStart"/>
            <w:r w:rsidRPr="00543E6C">
              <w:rPr>
                <w:rFonts w:ascii="Calibri" w:eastAsia="Times New Roman" w:hAnsi="Calibri" w:cs="Calibri"/>
                <w:kern w:val="0"/>
                <w:szCs w:val="20"/>
                <w:lang w:val="es-ES" w:eastAsia="es-CR"/>
                <w14:ligatures w14:val="none"/>
              </w:rPr>
              <w:t>Maior</w:t>
            </w:r>
            <w:proofErr w:type="spellEnd"/>
            <w:r w:rsidRPr="00543E6C">
              <w:rPr>
                <w:rFonts w:ascii="Calibri" w:eastAsia="Times New Roman" w:hAnsi="Calibri" w:cs="Calibri"/>
                <w:kern w:val="0"/>
                <w:szCs w:val="20"/>
                <w:lang w:val="es-ES" w:eastAsia="es-CR"/>
                <w14:ligatures w14:val="none"/>
              </w:rPr>
              <w:t xml:space="preserve"> y el Deus </w:t>
            </w:r>
            <w:proofErr w:type="spellStart"/>
            <w:r w:rsidRPr="00543E6C">
              <w:rPr>
                <w:rFonts w:ascii="Calibri" w:eastAsia="Times New Roman" w:hAnsi="Calibri" w:cs="Calibri"/>
                <w:kern w:val="0"/>
                <w:szCs w:val="20"/>
                <w:lang w:val="es-ES" w:eastAsia="es-CR"/>
                <w14:ligatures w14:val="none"/>
              </w:rPr>
              <w:t>Minor</w:t>
            </w:r>
            <w:proofErr w:type="spellEnd"/>
            <w:r w:rsidRPr="00543E6C">
              <w:rPr>
                <w:rFonts w:ascii="Calibri" w:eastAsia="Times New Roman" w:hAnsi="Calibri" w:cs="Calibri"/>
                <w:kern w:val="0"/>
                <w:szCs w:val="20"/>
                <w:lang w:val="es-ES" w:eastAsia="es-CR"/>
                <w14:ligatures w14:val="none"/>
              </w:rPr>
              <w:t xml:space="preserve">”. En </w:t>
            </w:r>
            <w:r w:rsidRPr="00543E6C">
              <w:rPr>
                <w:rFonts w:ascii="Calibri" w:eastAsia="Times New Roman" w:hAnsi="Calibri" w:cs="Calibri"/>
                <w:i/>
                <w:kern w:val="0"/>
                <w:szCs w:val="20"/>
                <w:lang w:val="es-ES" w:eastAsia="es-CR"/>
                <w14:ligatures w14:val="none"/>
              </w:rPr>
              <w:t xml:space="preserve">La fe en Jesucristo: ensayo desde las víctimas, </w:t>
            </w:r>
            <w:r w:rsidRPr="00543E6C">
              <w:rPr>
                <w:rFonts w:ascii="Calibri" w:eastAsia="Times New Roman" w:hAnsi="Calibri" w:cs="Calibri"/>
                <w:kern w:val="0"/>
                <w:szCs w:val="20"/>
                <w:lang w:val="es-ES" w:eastAsia="es-CR"/>
                <w14:ligatures w14:val="none"/>
              </w:rPr>
              <w:t>59-104 y 133-137.</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Madrid: Trotta, 1999.  </w:t>
            </w:r>
            <w:r w:rsidRPr="00543E6C">
              <w:rPr>
                <w:rFonts w:ascii="Calibri" w:eastAsia="Times New Roman" w:hAnsi="Calibri" w:cs="Calibri"/>
                <w:color w:val="0070C0"/>
                <w:kern w:val="0"/>
                <w:szCs w:val="20"/>
                <w:lang w:val="es-ES" w:eastAsia="es-CR"/>
                <w14:ligatures w14:val="none"/>
              </w:rPr>
              <w:t>(Clásico, última reimpresión, 2007)</w:t>
            </w:r>
          </w:p>
          <w:p w14:paraId="05A72F4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proofErr w:type="spellStart"/>
            <w:r w:rsidRPr="00543E6C">
              <w:rPr>
                <w:rFonts w:ascii="Calibri" w:eastAsia="Times New Roman" w:hAnsi="Calibri" w:cs="Calibri"/>
                <w:kern w:val="0"/>
                <w:szCs w:val="20"/>
                <w:lang w:val="es-ES" w:eastAsia="es-CR"/>
                <w14:ligatures w14:val="none"/>
              </w:rPr>
              <w:t>Moltmann</w:t>
            </w:r>
            <w:proofErr w:type="spellEnd"/>
            <w:r w:rsidRPr="00543E6C">
              <w:rPr>
                <w:rFonts w:ascii="Calibri" w:eastAsia="Times New Roman" w:hAnsi="Calibri" w:cs="Calibri"/>
                <w:kern w:val="0"/>
                <w:szCs w:val="20"/>
                <w:lang w:val="es-ES" w:eastAsia="es-CR"/>
                <w14:ligatures w14:val="none"/>
              </w:rPr>
              <w:t xml:space="preserve">, Jürgen. “Naturaleza y resurrección de Cristo: el problema teológico”. En </w:t>
            </w:r>
            <w:r w:rsidRPr="00543E6C">
              <w:rPr>
                <w:rFonts w:ascii="Calibri" w:eastAsia="Times New Roman" w:hAnsi="Calibri" w:cs="Calibri"/>
                <w:i/>
                <w:kern w:val="0"/>
                <w:szCs w:val="20"/>
                <w:lang w:val="es-ES" w:eastAsia="es-CR"/>
                <w14:ligatures w14:val="none"/>
              </w:rPr>
              <w:t xml:space="preserve">El camino de Jesucristo: cristología en dimensiones mesiánicas, </w:t>
            </w:r>
            <w:r w:rsidRPr="00543E6C">
              <w:rPr>
                <w:rFonts w:ascii="Calibri" w:eastAsia="Times New Roman" w:hAnsi="Calibri" w:cs="Calibri"/>
                <w:kern w:val="0"/>
                <w:szCs w:val="20"/>
                <w:lang w:val="es-ES" w:eastAsia="es-CR"/>
                <w14:ligatures w14:val="none"/>
              </w:rPr>
              <w:t>335-342.</w:t>
            </w:r>
            <w:r w:rsidRPr="00543E6C">
              <w:rPr>
                <w:rFonts w:ascii="Calibri" w:eastAsia="Times New Roman" w:hAnsi="Calibri" w:cs="Calibri"/>
                <w:i/>
                <w:kern w:val="0"/>
                <w:szCs w:val="20"/>
                <w:lang w:val="es-ES" w:eastAsia="es-CR"/>
                <w14:ligatures w14:val="none"/>
              </w:rPr>
              <w:t xml:space="preserve"> </w:t>
            </w:r>
            <w:r w:rsidRPr="00543E6C">
              <w:rPr>
                <w:rFonts w:ascii="Calibri" w:eastAsia="Times New Roman" w:hAnsi="Calibri" w:cs="Calibri"/>
                <w:kern w:val="0"/>
                <w:szCs w:val="20"/>
                <w:lang w:val="es-ES" w:eastAsia="es-CR"/>
                <w14:ligatures w14:val="none"/>
              </w:rPr>
              <w:t xml:space="preserve">Salamanca: Sígueme, 2000. </w:t>
            </w:r>
            <w:r w:rsidRPr="00543E6C">
              <w:rPr>
                <w:rFonts w:ascii="Calibri" w:eastAsia="Times New Roman" w:hAnsi="Calibri" w:cs="Calibri"/>
                <w:color w:val="0070C0"/>
                <w:kern w:val="0"/>
                <w:szCs w:val="20"/>
                <w:lang w:val="es-ES" w:eastAsia="es-CR"/>
                <w14:ligatures w14:val="none"/>
              </w:rPr>
              <w:t>(clásico, última edición)</w:t>
            </w:r>
          </w:p>
          <w:p w14:paraId="79CCBB88"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p>
        </w:tc>
        <w:tc>
          <w:tcPr>
            <w:tcW w:w="3260" w:type="dxa"/>
          </w:tcPr>
          <w:p w14:paraId="3E435854" w14:textId="77777777" w:rsidR="00543E6C" w:rsidRPr="00543E6C" w:rsidRDefault="00543E6C" w:rsidP="00543E6C">
            <w:pPr>
              <w:widowControl w:val="0"/>
              <w:numPr>
                <w:ilvl w:val="0"/>
                <w:numId w:val="125"/>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las lecturas de la sesión.</w:t>
            </w:r>
          </w:p>
          <w:p w14:paraId="38A0552C" w14:textId="77777777" w:rsidR="00543E6C" w:rsidRPr="00543E6C" w:rsidRDefault="00543E6C" w:rsidP="00543E6C">
            <w:pPr>
              <w:widowControl w:val="0"/>
              <w:numPr>
                <w:ilvl w:val="0"/>
                <w:numId w:val="125"/>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 estudio de un texto bíblico en forma grupal. </w:t>
            </w:r>
          </w:p>
        </w:tc>
      </w:tr>
      <w:tr w:rsidR="00543E6C" w:rsidRPr="00543E6C" w14:paraId="68552A1D" w14:textId="77777777" w:rsidTr="4C9C2619">
        <w:trPr>
          <w:jc w:val="center"/>
        </w:trPr>
        <w:tc>
          <w:tcPr>
            <w:tcW w:w="1129" w:type="dxa"/>
          </w:tcPr>
          <w:p w14:paraId="154CC75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D87298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9</w:t>
            </w:r>
          </w:p>
        </w:tc>
        <w:tc>
          <w:tcPr>
            <w:tcW w:w="2410" w:type="dxa"/>
          </w:tcPr>
          <w:p w14:paraId="05519F6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4: Historia del pensamiento cristológico</w:t>
            </w:r>
          </w:p>
          <w:p w14:paraId="275CE71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321A51C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4.1 Surgimiento y desarrollo de la cristología sistemática (definiciones dogmáticas)</w:t>
            </w:r>
          </w:p>
          <w:p w14:paraId="36C0BCE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1B1CA45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szCs w:val="20"/>
                <w:lang w:val="de-DE"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34D8978F"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szCs w:val="20"/>
                <w:lang w:val="de-DE" w:eastAsia="es-CR"/>
                <w14:ligatures w14:val="none"/>
              </w:rPr>
              <w:t xml:space="preserve">Theissen, Gerd y Annette Merz. </w:t>
            </w:r>
            <w:r w:rsidRPr="00543E6C">
              <w:rPr>
                <w:rFonts w:ascii="Calibri" w:eastAsia="Times New Roman" w:hAnsi="Calibri" w:cs="Calibri"/>
                <w:kern w:val="0"/>
                <w:szCs w:val="20"/>
                <w:lang w:eastAsia="es-CR"/>
                <w14:ligatures w14:val="none"/>
              </w:rPr>
              <w:t xml:space="preserve">“Síntesis y reflexión hermenéutica”. En </w:t>
            </w:r>
            <w:r w:rsidRPr="00543E6C">
              <w:rPr>
                <w:rFonts w:ascii="Calibri" w:eastAsia="Times New Roman" w:hAnsi="Calibri" w:cs="Calibri"/>
                <w:i/>
                <w:kern w:val="0"/>
                <w:szCs w:val="20"/>
                <w:lang w:eastAsia="es-CR"/>
                <w14:ligatures w14:val="none"/>
              </w:rPr>
              <w:t xml:space="preserve">El Jesús histórico, </w:t>
            </w:r>
            <w:r w:rsidRPr="00543E6C">
              <w:rPr>
                <w:rFonts w:ascii="Calibri" w:eastAsia="Times New Roman" w:hAnsi="Calibri" w:cs="Calibri"/>
                <w:kern w:val="0"/>
                <w:szCs w:val="20"/>
                <w:lang w:eastAsia="es-CR"/>
                <w14:ligatures w14:val="none"/>
              </w:rPr>
              <w:t>612-615.</w:t>
            </w:r>
            <w:r w:rsidRPr="00543E6C">
              <w:rPr>
                <w:rFonts w:ascii="Calibri" w:eastAsia="Times New Roman" w:hAnsi="Calibri" w:cs="Calibri"/>
                <w:i/>
                <w:kern w:val="0"/>
                <w:szCs w:val="20"/>
                <w:lang w:eastAsia="es-CR"/>
                <w14:ligatures w14:val="none"/>
              </w:rPr>
              <w:t xml:space="preserve"> </w:t>
            </w:r>
            <w:r w:rsidRPr="00543E6C">
              <w:rPr>
                <w:rFonts w:ascii="Calibri" w:eastAsia="Times New Roman" w:hAnsi="Calibri" w:cs="Calibri"/>
                <w:kern w:val="0"/>
                <w:szCs w:val="20"/>
                <w:lang w:eastAsia="es-CR"/>
                <w14:ligatures w14:val="none"/>
              </w:rPr>
              <w:t xml:space="preserve">Salamanca: Sígueme, 2000. </w:t>
            </w:r>
            <w:r w:rsidRPr="00543E6C">
              <w:rPr>
                <w:rFonts w:ascii="Calibri" w:eastAsia="Times New Roman" w:hAnsi="Calibri" w:cs="Calibri"/>
                <w:color w:val="0070C0"/>
                <w:kern w:val="0"/>
                <w:szCs w:val="20"/>
                <w:lang w:val="es-ES" w:eastAsia="es-CR"/>
                <w14:ligatures w14:val="none"/>
              </w:rPr>
              <w:t>(clásico, última reimpresión 2012)</w:t>
            </w:r>
          </w:p>
          <w:p w14:paraId="743B248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1BF48E15"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elaboración de una reseña crítica de lectura</w:t>
            </w:r>
          </w:p>
          <w:p w14:paraId="0FFB830A"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kern w:val="0"/>
                <w:szCs w:val="20"/>
                <w:lang w:eastAsia="es-CR"/>
                <w14:ligatures w14:val="none"/>
              </w:rPr>
            </w:pPr>
            <w:r w:rsidRPr="00543E6C">
              <w:rPr>
                <w:rFonts w:ascii="Calibri" w:eastAsia="Times New Roman" w:hAnsi="Calibri" w:cs="Calibri"/>
                <w:bCs/>
                <w:color w:val="0070C0"/>
                <w:kern w:val="0"/>
                <w:szCs w:val="20"/>
                <w:lang w:val="es-ES" w:eastAsia="es-CR"/>
                <w14:ligatures w14:val="none"/>
              </w:rPr>
              <w:t xml:space="preserve">Guía para la participación mediante la herramienta Big </w:t>
            </w:r>
            <w:r w:rsidRPr="00543E6C">
              <w:rPr>
                <w:rFonts w:ascii="Calibri" w:eastAsia="Times New Roman" w:hAnsi="Calibri" w:cs="Calibri"/>
                <w:bCs/>
                <w:color w:val="0070C0"/>
                <w:kern w:val="0"/>
                <w:szCs w:val="20"/>
                <w:lang w:val="es-ES" w:eastAsia="es-CR"/>
                <w14:ligatures w14:val="none"/>
              </w:rPr>
              <w:lastRenderedPageBreak/>
              <w:t xml:space="preserve">Blue </w:t>
            </w:r>
            <w:proofErr w:type="spellStart"/>
            <w:r w:rsidRPr="00543E6C">
              <w:rPr>
                <w:rFonts w:ascii="Calibri" w:eastAsia="Times New Roman" w:hAnsi="Calibri" w:cs="Calibri"/>
                <w:bCs/>
                <w:color w:val="0070C0"/>
                <w:kern w:val="0"/>
                <w:szCs w:val="20"/>
                <w:lang w:val="es-ES" w:eastAsia="es-CR"/>
                <w14:ligatures w14:val="none"/>
              </w:rPr>
              <w:t>Button</w:t>
            </w:r>
            <w:proofErr w:type="spellEnd"/>
            <w:r w:rsidRPr="00543E6C">
              <w:rPr>
                <w:rFonts w:ascii="Calibri" w:eastAsia="Times New Roman" w:hAnsi="Calibri" w:cs="Calibri"/>
                <w:bCs/>
                <w:color w:val="0070C0"/>
                <w:kern w:val="0"/>
                <w:szCs w:val="20"/>
                <w:lang w:val="es-ES" w:eastAsia="es-CR"/>
                <w14:ligatures w14:val="none"/>
              </w:rPr>
              <w:t xml:space="preserve"> en la plataforma Moodle</w:t>
            </w:r>
          </w:p>
          <w:p w14:paraId="3EDECE15"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eastAsia="es-CR"/>
                <w14:ligatures w14:val="none"/>
              </w:rPr>
            </w:pPr>
          </w:p>
        </w:tc>
        <w:tc>
          <w:tcPr>
            <w:tcW w:w="3260" w:type="dxa"/>
          </w:tcPr>
          <w:p w14:paraId="0494BEFE" w14:textId="77777777" w:rsidR="00543E6C" w:rsidRPr="00543E6C" w:rsidRDefault="00543E6C" w:rsidP="00543E6C">
            <w:pPr>
              <w:widowControl w:val="0"/>
              <w:numPr>
                <w:ilvl w:val="0"/>
                <w:numId w:val="126"/>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lastRenderedPageBreak/>
              <w:t>Realizar la lectura de la sesión.</w:t>
            </w:r>
          </w:p>
          <w:p w14:paraId="596FD510" w14:textId="77777777" w:rsidR="00543E6C" w:rsidRPr="00543E6C" w:rsidRDefault="00543E6C" w:rsidP="00543E6C">
            <w:pPr>
              <w:widowControl w:val="0"/>
              <w:numPr>
                <w:ilvl w:val="0"/>
                <w:numId w:val="126"/>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Elaboración de una reseña crítica de la lectura.</w:t>
            </w:r>
          </w:p>
          <w:p w14:paraId="324DA8E5" w14:textId="77777777" w:rsidR="00543E6C" w:rsidRPr="00543E6C" w:rsidRDefault="00543E6C" w:rsidP="00543E6C">
            <w:pPr>
              <w:widowControl w:val="0"/>
              <w:numPr>
                <w:ilvl w:val="0"/>
                <w:numId w:val="126"/>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Síntesis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48003479" w14:textId="77777777" w:rsidTr="4C9C2619">
        <w:trPr>
          <w:jc w:val="center"/>
        </w:trPr>
        <w:tc>
          <w:tcPr>
            <w:tcW w:w="1129" w:type="dxa"/>
          </w:tcPr>
          <w:p w14:paraId="263D7AF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FA34D2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10</w:t>
            </w:r>
          </w:p>
        </w:tc>
        <w:tc>
          <w:tcPr>
            <w:tcW w:w="2410" w:type="dxa"/>
          </w:tcPr>
          <w:p w14:paraId="56D432A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4: Historia del pensamiento cristológico</w:t>
            </w:r>
          </w:p>
          <w:p w14:paraId="25A7135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159CF98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4.1 Surgimiento y desarrollo de la cristología sistemática (definiciones dogmáticas)</w:t>
            </w:r>
          </w:p>
          <w:p w14:paraId="421E31A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1B637337"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5147CA8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szCs w:val="20"/>
                <w:lang w:val="es-ES" w:eastAsia="es-CR"/>
                <w14:ligatures w14:val="none"/>
              </w:rPr>
            </w:pPr>
            <w:r w:rsidRPr="00543E6C">
              <w:rPr>
                <w:rFonts w:ascii="Calibri" w:eastAsia="Times New Roman" w:hAnsi="Calibri" w:cs="Calibri"/>
                <w:kern w:val="0"/>
                <w:lang w:val="es-ES" w:eastAsia="es-CR"/>
                <w14:ligatures w14:val="none"/>
              </w:rPr>
              <w:t xml:space="preserve">González, Justo. “Jesucristo”. En </w:t>
            </w:r>
            <w:r w:rsidRPr="00543E6C">
              <w:rPr>
                <w:rFonts w:ascii="Calibri" w:eastAsia="Times New Roman" w:hAnsi="Calibri" w:cs="Calibri"/>
                <w:i/>
                <w:kern w:val="0"/>
                <w:lang w:val="es-ES" w:eastAsia="es-CR"/>
                <w14:ligatures w14:val="none"/>
              </w:rPr>
              <w:t xml:space="preserve">Breve historia de las doctrinas cristianas, </w:t>
            </w:r>
            <w:r w:rsidRPr="00543E6C">
              <w:rPr>
                <w:rFonts w:ascii="Calibri" w:eastAsia="Times New Roman" w:hAnsi="Calibri" w:cs="Calibri"/>
                <w:kern w:val="0"/>
                <w:lang w:val="es-ES" w:eastAsia="es-CR"/>
                <w14:ligatures w14:val="none"/>
              </w:rPr>
              <w:t>127-141.</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 xml:space="preserve">Nashville: Abingdon </w:t>
            </w:r>
            <w:proofErr w:type="spellStart"/>
            <w:r w:rsidRPr="00543E6C">
              <w:rPr>
                <w:rFonts w:ascii="Calibri" w:eastAsia="Times New Roman" w:hAnsi="Calibri" w:cs="Calibri"/>
                <w:kern w:val="0"/>
                <w:lang w:val="es-ES" w:eastAsia="es-CR"/>
                <w14:ligatures w14:val="none"/>
              </w:rPr>
              <w:t>Press</w:t>
            </w:r>
            <w:proofErr w:type="spellEnd"/>
            <w:r w:rsidRPr="00543E6C">
              <w:rPr>
                <w:rFonts w:ascii="Calibri" w:eastAsia="Times New Roman" w:hAnsi="Calibri" w:cs="Calibri"/>
                <w:kern w:val="0"/>
                <w:lang w:val="es-ES" w:eastAsia="es-CR"/>
                <w14:ligatures w14:val="none"/>
              </w:rPr>
              <w:t xml:space="preserve">, 2007. </w:t>
            </w:r>
            <w:r w:rsidRPr="00543E6C">
              <w:rPr>
                <w:rFonts w:ascii="Calibri" w:eastAsia="Times New Roman" w:hAnsi="Calibri" w:cs="Calibri"/>
                <w:color w:val="0070C0"/>
                <w:kern w:val="0"/>
                <w:szCs w:val="20"/>
                <w:lang w:val="es-ES" w:eastAsia="es-CR"/>
                <w14:ligatures w14:val="none"/>
              </w:rPr>
              <w:t>(clásico, última edición)</w:t>
            </w:r>
          </w:p>
          <w:p w14:paraId="4A30F302"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52E7716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543E6C">
              <w:rPr>
                <w:rFonts w:ascii="Calibri" w:eastAsia="Times New Roman" w:hAnsi="Calibri" w:cs="Calibri"/>
                <w:color w:val="0070C0"/>
                <w:kern w:val="0"/>
                <w:lang w:val="es-ES_tradnl" w:eastAsia="es-CR"/>
                <w14:ligatures w14:val="none"/>
              </w:rPr>
              <w:t>Guía para la participación en un foro en la plataforma Moodle</w:t>
            </w:r>
          </w:p>
          <w:p w14:paraId="13F5BEC1" w14:textId="77777777" w:rsidR="00543E6C" w:rsidRPr="00543E6C" w:rsidRDefault="00543E6C" w:rsidP="4C9C2619">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tc>
        <w:tc>
          <w:tcPr>
            <w:tcW w:w="3260" w:type="dxa"/>
          </w:tcPr>
          <w:p w14:paraId="55A3B925" w14:textId="77777777" w:rsidR="00543E6C" w:rsidRPr="00543E6C" w:rsidRDefault="00543E6C" w:rsidP="00543E6C">
            <w:pPr>
              <w:widowControl w:val="0"/>
              <w:numPr>
                <w:ilvl w:val="0"/>
                <w:numId w:val="127"/>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0502A1C7" w14:textId="77777777" w:rsidR="00543E6C" w:rsidRPr="00543E6C" w:rsidRDefault="00543E6C" w:rsidP="00543E6C">
            <w:pPr>
              <w:widowControl w:val="0"/>
              <w:numPr>
                <w:ilvl w:val="0"/>
                <w:numId w:val="127"/>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Participación en el foro temático: La cristología en la historia de la iglesia. </w:t>
            </w:r>
          </w:p>
          <w:p w14:paraId="510500E5" w14:textId="77777777" w:rsidR="00543E6C" w:rsidRPr="00543E6C" w:rsidRDefault="00543E6C" w:rsidP="00543E6C">
            <w:pPr>
              <w:widowControl w:val="0"/>
              <w:numPr>
                <w:ilvl w:val="0"/>
                <w:numId w:val="127"/>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Síntesis docente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4858DA0A" w14:textId="77777777" w:rsidTr="4C9C2619">
        <w:trPr>
          <w:trHeight w:val="1713"/>
          <w:jc w:val="center"/>
        </w:trPr>
        <w:tc>
          <w:tcPr>
            <w:tcW w:w="1129" w:type="dxa"/>
          </w:tcPr>
          <w:p w14:paraId="4AE9D34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75B5C6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11</w:t>
            </w:r>
          </w:p>
        </w:tc>
        <w:tc>
          <w:tcPr>
            <w:tcW w:w="2410" w:type="dxa"/>
          </w:tcPr>
          <w:p w14:paraId="56F3CC4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5: Experiencias contemporáneas de la fe en Jesucristo</w:t>
            </w:r>
          </w:p>
          <w:p w14:paraId="61F1A8B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0EE299A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5.1 Jesucristo liberador en lo político, en las relaciones de género y en lo cósmico</w:t>
            </w:r>
          </w:p>
          <w:p w14:paraId="262C4F7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0CF24960"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45F5AEFB"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proofErr w:type="spellStart"/>
            <w:r w:rsidRPr="00543E6C">
              <w:rPr>
                <w:rFonts w:ascii="Calibri" w:eastAsia="Times New Roman" w:hAnsi="Calibri" w:cs="Calibri"/>
                <w:kern w:val="0"/>
                <w:lang w:val="es-ES" w:eastAsia="es-CR"/>
                <w14:ligatures w14:val="none"/>
              </w:rPr>
              <w:t>Boff</w:t>
            </w:r>
            <w:proofErr w:type="spellEnd"/>
            <w:r w:rsidRPr="00543E6C">
              <w:rPr>
                <w:rFonts w:ascii="Calibri" w:eastAsia="Times New Roman" w:hAnsi="Calibri" w:cs="Calibri"/>
                <w:kern w:val="0"/>
                <w:lang w:val="es-ES" w:eastAsia="es-CR"/>
                <w14:ligatures w14:val="none"/>
              </w:rPr>
              <w:t xml:space="preserve">, Leonardo. “Jesucristo liberador: El centro de la fe en la periferia del mundo”. En </w:t>
            </w:r>
            <w:r w:rsidRPr="00543E6C">
              <w:rPr>
                <w:rFonts w:ascii="Calibri" w:eastAsia="Times New Roman" w:hAnsi="Calibri" w:cs="Calibri"/>
                <w:i/>
                <w:kern w:val="0"/>
                <w:lang w:val="es-ES" w:eastAsia="es-CR"/>
                <w14:ligatures w14:val="none"/>
              </w:rPr>
              <w:t xml:space="preserve">La fe en la periferia del mundo, </w:t>
            </w:r>
            <w:r w:rsidRPr="00543E6C">
              <w:rPr>
                <w:rFonts w:ascii="Calibri" w:eastAsia="Times New Roman" w:hAnsi="Calibri" w:cs="Calibri"/>
                <w:kern w:val="0"/>
                <w:lang w:val="es-ES" w:eastAsia="es-CR"/>
                <w14:ligatures w14:val="none"/>
              </w:rPr>
              <w:t>17-31.</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 xml:space="preserve">Santander: Sal </w:t>
            </w:r>
            <w:proofErr w:type="spellStart"/>
            <w:r w:rsidRPr="00543E6C">
              <w:rPr>
                <w:rFonts w:ascii="Calibri" w:eastAsia="Times New Roman" w:hAnsi="Calibri" w:cs="Calibri"/>
                <w:kern w:val="0"/>
                <w:lang w:val="es-ES" w:eastAsia="es-CR"/>
                <w14:ligatures w14:val="none"/>
              </w:rPr>
              <w:t>Terrae</w:t>
            </w:r>
            <w:proofErr w:type="spellEnd"/>
            <w:r w:rsidRPr="00543E6C">
              <w:rPr>
                <w:rFonts w:ascii="Calibri" w:eastAsia="Times New Roman" w:hAnsi="Calibri" w:cs="Calibri"/>
                <w:kern w:val="0"/>
                <w:lang w:val="es-ES" w:eastAsia="es-CR"/>
                <w14:ligatures w14:val="none"/>
              </w:rPr>
              <w:t xml:space="preserve">, 1980.  </w:t>
            </w:r>
            <w:r w:rsidRPr="00543E6C">
              <w:rPr>
                <w:rFonts w:ascii="Calibri" w:eastAsia="Times New Roman" w:hAnsi="Calibri" w:cs="Calibri"/>
                <w:color w:val="0070C0"/>
                <w:kern w:val="0"/>
                <w:lang w:val="es-ES" w:eastAsia="es-CR"/>
                <w14:ligatures w14:val="none"/>
              </w:rPr>
              <w:t>(Clásico, última reimpresión, 2013)</w:t>
            </w:r>
          </w:p>
          <w:p w14:paraId="7D46BB7B"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1D9357E5"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en un foro en la plataforma Moodle</w:t>
            </w:r>
          </w:p>
          <w:p w14:paraId="389FA98F"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kern w:val="0"/>
                <w:lang w:val="es-ES" w:eastAsia="es-CR"/>
                <w14:ligatures w14:val="none"/>
              </w:rPr>
            </w:pPr>
            <w:r w:rsidRPr="00543E6C">
              <w:rPr>
                <w:rFonts w:ascii="Calibri" w:eastAsia="Times New Roman" w:hAnsi="Calibri" w:cs="Calibri"/>
                <w:bCs/>
                <w:color w:val="0070C0"/>
                <w:kern w:val="0"/>
                <w:szCs w:val="20"/>
                <w:lang w:val="es-ES" w:eastAsia="es-CR"/>
                <w14:ligatures w14:val="none"/>
              </w:rPr>
              <w:t xml:space="preserve">Guía para la participación mediante la herramienta Big Blue </w:t>
            </w:r>
            <w:proofErr w:type="spellStart"/>
            <w:r w:rsidRPr="00543E6C">
              <w:rPr>
                <w:rFonts w:ascii="Calibri" w:eastAsia="Times New Roman" w:hAnsi="Calibri" w:cs="Calibri"/>
                <w:bCs/>
                <w:color w:val="0070C0"/>
                <w:kern w:val="0"/>
                <w:szCs w:val="20"/>
                <w:lang w:val="es-ES" w:eastAsia="es-CR"/>
                <w14:ligatures w14:val="none"/>
              </w:rPr>
              <w:t>Button</w:t>
            </w:r>
            <w:proofErr w:type="spellEnd"/>
            <w:r w:rsidRPr="00543E6C">
              <w:rPr>
                <w:rFonts w:ascii="Calibri" w:eastAsia="Times New Roman" w:hAnsi="Calibri" w:cs="Calibri"/>
                <w:bCs/>
                <w:color w:val="0070C0"/>
                <w:kern w:val="0"/>
                <w:szCs w:val="20"/>
                <w:lang w:val="es-ES" w:eastAsia="es-CR"/>
                <w14:ligatures w14:val="none"/>
              </w:rPr>
              <w:t xml:space="preserve"> en la plataforma Moodle</w:t>
            </w:r>
          </w:p>
          <w:p w14:paraId="6038A3B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77EDC2B3" w14:textId="77777777" w:rsidR="00543E6C" w:rsidRPr="00543E6C" w:rsidRDefault="00543E6C" w:rsidP="00543E6C">
            <w:pPr>
              <w:widowControl w:val="0"/>
              <w:numPr>
                <w:ilvl w:val="0"/>
                <w:numId w:val="12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77534CB4" w14:textId="77777777" w:rsidR="00543E6C" w:rsidRPr="00543E6C" w:rsidRDefault="00543E6C" w:rsidP="00543E6C">
            <w:pPr>
              <w:widowControl w:val="0"/>
              <w:numPr>
                <w:ilvl w:val="0"/>
                <w:numId w:val="12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 credo colaborativo en parejas.  </w:t>
            </w:r>
          </w:p>
          <w:p w14:paraId="51B28303" w14:textId="77777777" w:rsidR="00543E6C" w:rsidRPr="00543E6C" w:rsidRDefault="00543E6C" w:rsidP="00543E6C">
            <w:pPr>
              <w:widowControl w:val="0"/>
              <w:numPr>
                <w:ilvl w:val="0"/>
                <w:numId w:val="128"/>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2F198542" w14:textId="77777777" w:rsidTr="4C9C2619">
        <w:trPr>
          <w:jc w:val="center"/>
        </w:trPr>
        <w:tc>
          <w:tcPr>
            <w:tcW w:w="1129" w:type="dxa"/>
          </w:tcPr>
          <w:p w14:paraId="13B1843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C299F2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12</w:t>
            </w:r>
          </w:p>
        </w:tc>
        <w:tc>
          <w:tcPr>
            <w:tcW w:w="2410" w:type="dxa"/>
          </w:tcPr>
          <w:p w14:paraId="03CC447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5: Experiencias contemporáneas de la fe en Jesucristo</w:t>
            </w:r>
          </w:p>
          <w:p w14:paraId="4E6C194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241340B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5.1 Jesucristo liberador en lo político, en las relaciones de género y en lo cósmico</w:t>
            </w:r>
          </w:p>
          <w:p w14:paraId="11A5961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835" w:type="dxa"/>
          </w:tcPr>
          <w:p w14:paraId="187C2815"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lastRenderedPageBreak/>
              <w:t>Ruta de aprendizaje</w:t>
            </w:r>
          </w:p>
          <w:p w14:paraId="6E1A6FC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073F812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proofErr w:type="spellStart"/>
            <w:r w:rsidRPr="00543E6C">
              <w:rPr>
                <w:rFonts w:ascii="Calibri" w:eastAsia="Times New Roman" w:hAnsi="Calibri" w:cs="Calibri"/>
                <w:kern w:val="0"/>
                <w:lang w:val="es-ES" w:eastAsia="es-CR"/>
                <w14:ligatures w14:val="none"/>
              </w:rPr>
              <w:t>Seibert</w:t>
            </w:r>
            <w:proofErr w:type="spellEnd"/>
            <w:r w:rsidRPr="00543E6C">
              <w:rPr>
                <w:rFonts w:ascii="Calibri" w:eastAsia="Times New Roman" w:hAnsi="Calibri" w:cs="Calibri"/>
                <w:kern w:val="0"/>
                <w:lang w:val="es-ES" w:eastAsia="es-CR"/>
                <w14:ligatures w14:val="none"/>
              </w:rPr>
              <w:t xml:space="preserve">, </w:t>
            </w:r>
            <w:proofErr w:type="spellStart"/>
            <w:r w:rsidRPr="00543E6C">
              <w:rPr>
                <w:rFonts w:ascii="Calibri" w:eastAsia="Times New Roman" w:hAnsi="Calibri" w:cs="Calibri"/>
                <w:kern w:val="0"/>
                <w:lang w:val="es-ES" w:eastAsia="es-CR"/>
                <w14:ligatures w14:val="none"/>
              </w:rPr>
              <w:t>Ute</w:t>
            </w:r>
            <w:proofErr w:type="spellEnd"/>
            <w:r w:rsidRPr="00543E6C">
              <w:rPr>
                <w:rFonts w:ascii="Calibri" w:eastAsia="Times New Roman" w:hAnsi="Calibri" w:cs="Calibri"/>
                <w:kern w:val="0"/>
                <w:lang w:val="es-ES" w:eastAsia="es-CR"/>
                <w14:ligatures w14:val="none"/>
              </w:rPr>
              <w:t>. “</w:t>
            </w:r>
            <w:proofErr w:type="spellStart"/>
            <w:r w:rsidRPr="00543E6C">
              <w:rPr>
                <w:rFonts w:ascii="Calibri" w:eastAsia="Times New Roman" w:hAnsi="Calibri" w:cs="Calibri"/>
                <w:kern w:val="0"/>
                <w:lang w:val="es-ES" w:eastAsia="es-CR"/>
                <w14:ligatures w14:val="none"/>
              </w:rPr>
              <w:t>Re-imaginando</w:t>
            </w:r>
            <w:proofErr w:type="spellEnd"/>
            <w:r w:rsidRPr="00543E6C">
              <w:rPr>
                <w:rFonts w:ascii="Calibri" w:eastAsia="Times New Roman" w:hAnsi="Calibri" w:cs="Calibri"/>
                <w:kern w:val="0"/>
                <w:lang w:val="es-ES" w:eastAsia="es-CR"/>
                <w14:ligatures w14:val="none"/>
              </w:rPr>
              <w:t xml:space="preserve"> a Jesús”. En </w:t>
            </w:r>
            <w:r w:rsidRPr="00543E6C">
              <w:rPr>
                <w:rFonts w:ascii="Calibri" w:eastAsia="Times New Roman" w:hAnsi="Calibri" w:cs="Calibri"/>
                <w:i/>
                <w:kern w:val="0"/>
                <w:lang w:val="es-ES" w:eastAsia="es-CR"/>
                <w14:ligatures w14:val="none"/>
              </w:rPr>
              <w:t xml:space="preserve">Espacios abiertos: Caminos de la teología feminista, </w:t>
            </w:r>
            <w:r w:rsidRPr="00543E6C">
              <w:rPr>
                <w:rFonts w:ascii="Calibri" w:eastAsia="Times New Roman" w:hAnsi="Calibri" w:cs="Calibri"/>
                <w:kern w:val="0"/>
                <w:lang w:val="es-ES" w:eastAsia="es-CR"/>
                <w14:ligatures w14:val="none"/>
              </w:rPr>
              <w:t>93-108.</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 xml:space="preserve">Santiago: Forja, 2010. </w:t>
            </w:r>
            <w:r w:rsidRPr="00543E6C">
              <w:rPr>
                <w:rFonts w:ascii="Calibri" w:eastAsia="Times New Roman" w:hAnsi="Calibri" w:cs="Calibri"/>
                <w:color w:val="0070C0"/>
                <w:kern w:val="0"/>
                <w:lang w:val="es-ES" w:eastAsia="es-CR"/>
                <w14:ligatures w14:val="none"/>
              </w:rPr>
              <w:t>(clásico, última edición)</w:t>
            </w:r>
          </w:p>
          <w:p w14:paraId="2A49CCC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6C42609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49812AD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7B558924"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r w:rsidRPr="00543E6C">
              <w:rPr>
                <w:rFonts w:ascii="Calibri" w:eastAsia="Times New Roman" w:hAnsi="Calibri" w:cs="Calibri"/>
                <w:color w:val="0070C0"/>
                <w:kern w:val="0"/>
                <w:lang w:val="es-ES" w:eastAsia="es-CR"/>
                <w14:ligatures w14:val="none"/>
              </w:rPr>
              <w:t>Guía para la elaboración de una reseña crítica de lectura</w:t>
            </w:r>
          </w:p>
          <w:p w14:paraId="1B7B20C4"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p>
        </w:tc>
        <w:tc>
          <w:tcPr>
            <w:tcW w:w="3260" w:type="dxa"/>
          </w:tcPr>
          <w:p w14:paraId="5DA4CE40" w14:textId="77777777" w:rsidR="00543E6C" w:rsidRPr="00543E6C" w:rsidRDefault="00543E6C" w:rsidP="00543E6C">
            <w:pPr>
              <w:widowControl w:val="0"/>
              <w:numPr>
                <w:ilvl w:val="0"/>
                <w:numId w:val="129"/>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lastRenderedPageBreak/>
              <w:t>Realizar la lectura de la sesión.</w:t>
            </w:r>
          </w:p>
          <w:p w14:paraId="16895F4B" w14:textId="77777777" w:rsidR="00543E6C" w:rsidRPr="00543E6C" w:rsidRDefault="00543E6C" w:rsidP="00543E6C">
            <w:pPr>
              <w:widowControl w:val="0"/>
              <w:numPr>
                <w:ilvl w:val="0"/>
                <w:numId w:val="129"/>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una reseña crítica de la lectura. </w:t>
            </w:r>
          </w:p>
        </w:tc>
      </w:tr>
      <w:tr w:rsidR="00543E6C" w:rsidRPr="00543E6C" w14:paraId="71D6547A" w14:textId="77777777" w:rsidTr="4C9C2619">
        <w:trPr>
          <w:jc w:val="center"/>
        </w:trPr>
        <w:tc>
          <w:tcPr>
            <w:tcW w:w="1129" w:type="dxa"/>
          </w:tcPr>
          <w:p w14:paraId="0119F39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BA3C88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13</w:t>
            </w:r>
          </w:p>
        </w:tc>
        <w:tc>
          <w:tcPr>
            <w:tcW w:w="2410" w:type="dxa"/>
          </w:tcPr>
          <w:p w14:paraId="355155A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r w:rsidRPr="00543E6C">
              <w:rPr>
                <w:rFonts w:ascii="Calibri" w:eastAsia="Times New Roman" w:hAnsi="Calibri" w:cs="Calibri"/>
                <w:b/>
                <w:kern w:val="0"/>
                <w:lang w:val="es-ES_tradnl" w:eastAsia="es-CR"/>
                <w14:ligatures w14:val="none"/>
              </w:rPr>
              <w:t>Unidad 5: Experiencias contemporáneas de la fe en Jesucristo</w:t>
            </w:r>
          </w:p>
          <w:p w14:paraId="0C501F8C"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p>
          <w:p w14:paraId="78D6E797"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5.1 Jesucristo liberador en lo político, en las relaciones de género y en lo cósmico</w:t>
            </w:r>
          </w:p>
          <w:p w14:paraId="677F92B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p w14:paraId="242CC19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strike/>
                <w:kern w:val="0"/>
                <w:lang w:val="es-ES_tradnl" w:eastAsia="es-CR"/>
                <w14:ligatures w14:val="none"/>
              </w:rPr>
            </w:pPr>
          </w:p>
        </w:tc>
        <w:tc>
          <w:tcPr>
            <w:tcW w:w="2835" w:type="dxa"/>
          </w:tcPr>
          <w:p w14:paraId="640C67E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4AFB91F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301A8FC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color w:val="0070C0"/>
                <w:kern w:val="0"/>
                <w:lang w:val="es-ES" w:eastAsia="es-CR"/>
                <w14:ligatures w14:val="none"/>
              </w:rPr>
            </w:pPr>
            <w:proofErr w:type="spellStart"/>
            <w:r w:rsidRPr="00543E6C">
              <w:rPr>
                <w:rFonts w:ascii="Calibri" w:eastAsia="Times New Roman" w:hAnsi="Calibri" w:cs="Calibri"/>
                <w:kern w:val="0"/>
                <w:lang w:val="es-ES" w:eastAsia="es-CR"/>
                <w14:ligatures w14:val="none"/>
              </w:rPr>
              <w:t>Boff</w:t>
            </w:r>
            <w:proofErr w:type="spellEnd"/>
            <w:r w:rsidRPr="00543E6C">
              <w:rPr>
                <w:rFonts w:ascii="Calibri" w:eastAsia="Times New Roman" w:hAnsi="Calibri" w:cs="Calibri"/>
                <w:kern w:val="0"/>
                <w:lang w:val="es-ES" w:eastAsia="es-CR"/>
                <w14:ligatures w14:val="none"/>
              </w:rPr>
              <w:t>, Leonardo.</w:t>
            </w:r>
            <w:r w:rsidRPr="00543E6C">
              <w:rPr>
                <w:rFonts w:ascii="Calibri" w:eastAsia="Times New Roman" w:hAnsi="Calibri" w:cs="Calibri"/>
                <w:kern w:val="0"/>
                <w:lang w:eastAsia="es-CR"/>
                <w14:ligatures w14:val="none"/>
              </w:rPr>
              <w:t xml:space="preserve"> “Hiende la leña…y estoy dentro de ella: el Cristo cósmico”. En </w:t>
            </w:r>
            <w:r w:rsidRPr="00543E6C">
              <w:rPr>
                <w:rFonts w:ascii="Calibri" w:eastAsia="Times New Roman" w:hAnsi="Calibri" w:cs="Calibri"/>
                <w:i/>
                <w:iCs/>
                <w:kern w:val="0"/>
                <w:lang w:val="es-ES" w:eastAsia="es-CR"/>
                <w14:ligatures w14:val="none"/>
              </w:rPr>
              <w:t xml:space="preserve">Ecología: Grito de la tierra, grito de los pobres, </w:t>
            </w:r>
            <w:r w:rsidRPr="00543E6C">
              <w:rPr>
                <w:rFonts w:ascii="Calibri" w:eastAsia="Times New Roman" w:hAnsi="Calibri" w:cs="Calibri"/>
                <w:iCs/>
                <w:kern w:val="0"/>
                <w:lang w:val="es-ES" w:eastAsia="es-CR"/>
                <w14:ligatures w14:val="none"/>
              </w:rPr>
              <w:t>221-234.</w:t>
            </w:r>
            <w:r w:rsidRPr="00543E6C">
              <w:rPr>
                <w:rFonts w:ascii="Calibri" w:eastAsia="Times New Roman" w:hAnsi="Calibri" w:cs="Calibri"/>
                <w:kern w:val="0"/>
                <w:lang w:val="es-ES" w:eastAsia="es-CR"/>
                <w14:ligatures w14:val="none"/>
              </w:rPr>
              <w:t xml:space="preserve"> Madrid: Trotta, 1996. (</w:t>
            </w:r>
            <w:r w:rsidRPr="00543E6C">
              <w:rPr>
                <w:rFonts w:ascii="Calibri" w:eastAsia="Times New Roman" w:hAnsi="Calibri" w:cs="Calibri"/>
                <w:color w:val="0070C0"/>
                <w:kern w:val="0"/>
                <w:lang w:val="es-ES" w:eastAsia="es-CR"/>
                <w14:ligatures w14:val="none"/>
              </w:rPr>
              <w:t>Clásico, última reimpresión, 2011)</w:t>
            </w:r>
          </w:p>
          <w:p w14:paraId="060AE59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6B15B374"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3A9269C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
                <w:color w:val="0070C0"/>
                <w:kern w:val="0"/>
                <w:szCs w:val="20"/>
                <w:lang w:val="es-ES" w:eastAsia="es-CR"/>
                <w14:ligatures w14:val="none"/>
              </w:rPr>
            </w:pPr>
          </w:p>
          <w:p w14:paraId="1DF165F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elaboración de un mapa conceptual</w:t>
            </w:r>
          </w:p>
          <w:p w14:paraId="50E0962E"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color w:val="0070C0"/>
                <w:kern w:val="0"/>
                <w:szCs w:val="20"/>
                <w:lang w:val="es-ES" w:eastAsia="es-CR"/>
                <w14:ligatures w14:val="none"/>
              </w:rPr>
            </w:pPr>
          </w:p>
          <w:p w14:paraId="52EE556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bCs/>
                <w:kern w:val="0"/>
                <w:lang w:val="es-ES" w:eastAsia="es-CR"/>
                <w14:ligatures w14:val="none"/>
              </w:rPr>
            </w:pPr>
            <w:r w:rsidRPr="00543E6C">
              <w:rPr>
                <w:rFonts w:ascii="Calibri" w:eastAsia="Times New Roman" w:hAnsi="Calibri" w:cs="Calibri"/>
                <w:bCs/>
                <w:color w:val="0070C0"/>
                <w:kern w:val="0"/>
                <w:szCs w:val="20"/>
                <w:lang w:val="es-ES" w:eastAsia="es-CR"/>
                <w14:ligatures w14:val="none"/>
              </w:rPr>
              <w:t xml:space="preserve">Guía para la participación mediante la herramienta Big Blue </w:t>
            </w:r>
            <w:proofErr w:type="spellStart"/>
            <w:r w:rsidRPr="00543E6C">
              <w:rPr>
                <w:rFonts w:ascii="Calibri" w:eastAsia="Times New Roman" w:hAnsi="Calibri" w:cs="Calibri"/>
                <w:bCs/>
                <w:color w:val="0070C0"/>
                <w:kern w:val="0"/>
                <w:szCs w:val="20"/>
                <w:lang w:val="es-ES" w:eastAsia="es-CR"/>
                <w14:ligatures w14:val="none"/>
              </w:rPr>
              <w:t>Button</w:t>
            </w:r>
            <w:proofErr w:type="spellEnd"/>
            <w:r w:rsidRPr="00543E6C">
              <w:rPr>
                <w:rFonts w:ascii="Calibri" w:eastAsia="Times New Roman" w:hAnsi="Calibri" w:cs="Calibri"/>
                <w:bCs/>
                <w:color w:val="0070C0"/>
                <w:kern w:val="0"/>
                <w:szCs w:val="20"/>
                <w:lang w:val="es-ES" w:eastAsia="es-CR"/>
                <w14:ligatures w14:val="none"/>
              </w:rPr>
              <w:t xml:space="preserve"> en la plataforma Moodle</w:t>
            </w:r>
          </w:p>
          <w:p w14:paraId="1C5013F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MX" w:eastAsia="es-CR"/>
                <w14:ligatures w14:val="none"/>
              </w:rPr>
            </w:pPr>
          </w:p>
        </w:tc>
        <w:tc>
          <w:tcPr>
            <w:tcW w:w="3260" w:type="dxa"/>
          </w:tcPr>
          <w:p w14:paraId="471A8448" w14:textId="77777777" w:rsidR="00543E6C" w:rsidRPr="00543E6C" w:rsidRDefault="00543E6C" w:rsidP="00543E6C">
            <w:pPr>
              <w:widowControl w:val="0"/>
              <w:numPr>
                <w:ilvl w:val="0"/>
                <w:numId w:val="13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5F5195AC" w14:textId="77777777" w:rsidR="00543E6C" w:rsidRPr="00543E6C" w:rsidRDefault="00543E6C" w:rsidP="00543E6C">
            <w:pPr>
              <w:widowControl w:val="0"/>
              <w:numPr>
                <w:ilvl w:val="0"/>
                <w:numId w:val="13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 un mapa conceptual a partir de la lectura de la sesión. </w:t>
            </w:r>
          </w:p>
          <w:p w14:paraId="57E7C751" w14:textId="77777777" w:rsidR="00543E6C" w:rsidRPr="00543E6C" w:rsidRDefault="00543E6C" w:rsidP="00543E6C">
            <w:pPr>
              <w:widowControl w:val="0"/>
              <w:numPr>
                <w:ilvl w:val="0"/>
                <w:numId w:val="130"/>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y debate grupal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72FC7727" w14:textId="77777777" w:rsidTr="4C9C2619">
        <w:trPr>
          <w:jc w:val="center"/>
        </w:trPr>
        <w:tc>
          <w:tcPr>
            <w:tcW w:w="1129" w:type="dxa"/>
          </w:tcPr>
          <w:p w14:paraId="4673B54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FFEEA8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14</w:t>
            </w:r>
          </w:p>
        </w:tc>
        <w:tc>
          <w:tcPr>
            <w:tcW w:w="2410" w:type="dxa"/>
          </w:tcPr>
          <w:p w14:paraId="5177B5D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Unidad 6: El seguimiento de Jesús</w:t>
            </w:r>
          </w:p>
          <w:p w14:paraId="7888353F"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1C6FB5EA"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6.1 La cristología práctica</w:t>
            </w:r>
          </w:p>
          <w:p w14:paraId="04A2879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p w14:paraId="6A383418"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tc>
        <w:tc>
          <w:tcPr>
            <w:tcW w:w="2835" w:type="dxa"/>
          </w:tcPr>
          <w:p w14:paraId="09337C2D"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172F7CB4"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r w:rsidRPr="00543E6C">
              <w:rPr>
                <w:rFonts w:ascii="Calibri" w:eastAsia="Times New Roman" w:hAnsi="Calibri" w:cs="Calibri"/>
                <w:kern w:val="0"/>
                <w:lang w:val="es-ES" w:eastAsia="es-CR"/>
                <w14:ligatures w14:val="none"/>
              </w:rPr>
              <w:t xml:space="preserve">Sobrino, Jon. “La verbalización de la experiencia cristológica”. En </w:t>
            </w:r>
            <w:r w:rsidRPr="00543E6C">
              <w:rPr>
                <w:rFonts w:ascii="Calibri" w:eastAsia="Times New Roman" w:hAnsi="Calibri" w:cs="Calibri"/>
                <w:i/>
                <w:kern w:val="0"/>
                <w:lang w:val="es-ES" w:eastAsia="es-CR"/>
                <w14:ligatures w14:val="none"/>
              </w:rPr>
              <w:t xml:space="preserve">La fe en Jesucristo: ensayo desde las víctimas, </w:t>
            </w:r>
            <w:r w:rsidRPr="00543E6C">
              <w:rPr>
                <w:rFonts w:ascii="Calibri" w:eastAsia="Times New Roman" w:hAnsi="Calibri" w:cs="Calibri"/>
                <w:kern w:val="0"/>
                <w:lang w:val="es-ES" w:eastAsia="es-CR"/>
                <w14:ligatures w14:val="none"/>
              </w:rPr>
              <w:t>458-464.</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Madrid: Trotta, 1999. (</w:t>
            </w:r>
            <w:r w:rsidRPr="00543E6C">
              <w:rPr>
                <w:rFonts w:ascii="Calibri" w:eastAsia="Times New Roman" w:hAnsi="Calibri" w:cs="Calibri"/>
                <w:color w:val="0070C0"/>
                <w:kern w:val="0"/>
                <w:lang w:val="es-ES" w:eastAsia="es-CR"/>
                <w14:ligatures w14:val="none"/>
              </w:rPr>
              <w:t>Clásico, última edición Madrid: Trotta: 2020)</w:t>
            </w:r>
          </w:p>
          <w:p w14:paraId="13CFBB44"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
                <w:color w:val="0070C0"/>
                <w:kern w:val="0"/>
                <w:szCs w:val="20"/>
                <w:lang w:val="es-ES" w:eastAsia="es-CR"/>
                <w14:ligatures w14:val="none"/>
              </w:rPr>
            </w:pPr>
            <w:r w:rsidRPr="00543E6C">
              <w:rPr>
                <w:rFonts w:ascii="Calibri" w:eastAsia="Times New Roman" w:hAnsi="Calibri" w:cs="Calibri"/>
                <w:b/>
                <w:color w:val="0070C0"/>
                <w:kern w:val="0"/>
                <w:szCs w:val="20"/>
                <w:lang w:val="es-ES" w:eastAsia="es-CR"/>
                <w14:ligatures w14:val="none"/>
              </w:rPr>
              <w:t>Material complementario</w:t>
            </w:r>
          </w:p>
          <w:p w14:paraId="234FEA2F"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color w:val="0070C0"/>
                <w:kern w:val="0"/>
                <w:szCs w:val="20"/>
                <w:lang w:val="es-ES" w:eastAsia="es-CR"/>
                <w14:ligatures w14:val="none"/>
              </w:rPr>
            </w:pPr>
            <w:r w:rsidRPr="00543E6C">
              <w:rPr>
                <w:rFonts w:ascii="Calibri" w:eastAsia="Times New Roman" w:hAnsi="Calibri" w:cs="Calibri"/>
                <w:bCs/>
                <w:color w:val="0070C0"/>
                <w:kern w:val="0"/>
                <w:szCs w:val="20"/>
                <w:lang w:val="es-ES" w:eastAsia="es-CR"/>
                <w14:ligatures w14:val="none"/>
              </w:rPr>
              <w:t>Guía para la participación en un foro en la plataforma Moodle</w:t>
            </w:r>
          </w:p>
          <w:p w14:paraId="4BD7D5AE"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bCs/>
                <w:kern w:val="0"/>
                <w:lang w:val="es-ES" w:eastAsia="es-CR"/>
                <w14:ligatures w14:val="none"/>
              </w:rPr>
            </w:pPr>
            <w:r w:rsidRPr="00543E6C">
              <w:rPr>
                <w:rFonts w:ascii="Calibri" w:eastAsia="Times New Roman" w:hAnsi="Calibri" w:cs="Calibri"/>
                <w:bCs/>
                <w:color w:val="0070C0"/>
                <w:kern w:val="0"/>
                <w:szCs w:val="20"/>
                <w:lang w:val="es-ES" w:eastAsia="es-CR"/>
                <w14:ligatures w14:val="none"/>
              </w:rPr>
              <w:t xml:space="preserve">Guía para la participación mediante la herramienta Big Blue </w:t>
            </w:r>
            <w:proofErr w:type="spellStart"/>
            <w:r w:rsidRPr="00543E6C">
              <w:rPr>
                <w:rFonts w:ascii="Calibri" w:eastAsia="Times New Roman" w:hAnsi="Calibri" w:cs="Calibri"/>
                <w:bCs/>
                <w:color w:val="0070C0"/>
                <w:kern w:val="0"/>
                <w:szCs w:val="20"/>
                <w:lang w:val="es-ES" w:eastAsia="es-CR"/>
                <w14:ligatures w14:val="none"/>
              </w:rPr>
              <w:t>Button</w:t>
            </w:r>
            <w:proofErr w:type="spellEnd"/>
            <w:r w:rsidRPr="00543E6C">
              <w:rPr>
                <w:rFonts w:ascii="Calibri" w:eastAsia="Times New Roman" w:hAnsi="Calibri" w:cs="Calibri"/>
                <w:bCs/>
                <w:color w:val="0070C0"/>
                <w:kern w:val="0"/>
                <w:szCs w:val="20"/>
                <w:lang w:val="es-ES" w:eastAsia="es-CR"/>
                <w14:ligatures w14:val="none"/>
              </w:rPr>
              <w:t xml:space="preserve"> en la plataforma Moodle</w:t>
            </w:r>
          </w:p>
          <w:p w14:paraId="322D4E6D"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3260" w:type="dxa"/>
          </w:tcPr>
          <w:p w14:paraId="0F2679C0" w14:textId="77777777" w:rsidR="00543E6C" w:rsidRPr="00543E6C" w:rsidRDefault="00543E6C" w:rsidP="00543E6C">
            <w:pPr>
              <w:widowControl w:val="0"/>
              <w:numPr>
                <w:ilvl w:val="0"/>
                <w:numId w:val="13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 lectura de la sesión.</w:t>
            </w:r>
          </w:p>
          <w:p w14:paraId="52197F89" w14:textId="77777777" w:rsidR="00543E6C" w:rsidRPr="00543E6C" w:rsidRDefault="00543E6C" w:rsidP="00543E6C">
            <w:pPr>
              <w:widowControl w:val="0"/>
              <w:numPr>
                <w:ilvl w:val="0"/>
                <w:numId w:val="13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Participación en el foro temático: Cristología y praxis cristiana.</w:t>
            </w:r>
          </w:p>
          <w:p w14:paraId="373E7ADE" w14:textId="77777777" w:rsidR="00543E6C" w:rsidRPr="00543E6C" w:rsidRDefault="00543E6C" w:rsidP="00543E6C">
            <w:pPr>
              <w:widowControl w:val="0"/>
              <w:numPr>
                <w:ilvl w:val="0"/>
                <w:numId w:val="131"/>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bCs/>
                <w:kern w:val="0"/>
                <w14:ligatures w14:val="none"/>
              </w:rPr>
              <w:t xml:space="preserve">Disertación docente en un encuentro sincrónico virtual </w:t>
            </w:r>
            <w:r w:rsidRPr="00543E6C">
              <w:rPr>
                <w:rFonts w:ascii="Calibri" w:eastAsia="Calibri" w:hAnsi="Calibri" w:cs="Arial"/>
                <w:kern w:val="0"/>
                <w14:ligatures w14:val="none"/>
              </w:rPr>
              <w:t>(formativo)</w:t>
            </w:r>
            <w:r w:rsidRPr="00543E6C">
              <w:rPr>
                <w:rFonts w:ascii="Calibri" w:eastAsia="Calibri" w:hAnsi="Calibri" w:cs="Arial"/>
                <w:bCs/>
                <w:kern w:val="0"/>
                <w14:ligatures w14:val="none"/>
              </w:rPr>
              <w:t>.</w:t>
            </w:r>
          </w:p>
        </w:tc>
      </w:tr>
      <w:tr w:rsidR="00543E6C" w:rsidRPr="00543E6C" w14:paraId="3A842DF4" w14:textId="77777777" w:rsidTr="4C9C2619">
        <w:trPr>
          <w:jc w:val="center"/>
        </w:trPr>
        <w:tc>
          <w:tcPr>
            <w:tcW w:w="1129" w:type="dxa"/>
          </w:tcPr>
          <w:p w14:paraId="5A7411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1D2F85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15</w:t>
            </w:r>
          </w:p>
        </w:tc>
        <w:tc>
          <w:tcPr>
            <w:tcW w:w="2410" w:type="dxa"/>
          </w:tcPr>
          <w:p w14:paraId="058ED7F6"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r w:rsidRPr="00543E6C">
              <w:rPr>
                <w:rFonts w:ascii="Calibri" w:eastAsia="Times New Roman" w:hAnsi="Calibri" w:cs="Arial"/>
                <w:b/>
                <w:kern w:val="0"/>
                <w:lang w:val="es-ES_tradnl" w:eastAsia="es-CR"/>
                <w14:ligatures w14:val="none"/>
              </w:rPr>
              <w:t xml:space="preserve">Unidad 7: Confesión y diálogo </w:t>
            </w:r>
          </w:p>
          <w:p w14:paraId="53FFB97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p>
          <w:p w14:paraId="147B779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Cs/>
                <w:kern w:val="0"/>
                <w:lang w:val="es-ES_tradnl" w:eastAsia="es-CR"/>
                <w14:ligatures w14:val="none"/>
              </w:rPr>
            </w:pPr>
            <w:r w:rsidRPr="00543E6C">
              <w:rPr>
                <w:rFonts w:ascii="Calibri" w:eastAsia="Times New Roman" w:hAnsi="Calibri" w:cs="Arial"/>
                <w:bCs/>
                <w:kern w:val="0"/>
                <w:lang w:val="es-ES_tradnl" w:eastAsia="es-CR"/>
                <w14:ligatures w14:val="none"/>
              </w:rPr>
              <w:t>7.1 La “verdad” de la cristología en el diálogo interreligioso</w:t>
            </w:r>
          </w:p>
          <w:p w14:paraId="5FA83991"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p w14:paraId="53B55BB9" w14:textId="77777777" w:rsidR="00543E6C" w:rsidRPr="00543E6C" w:rsidRDefault="00543E6C" w:rsidP="00543E6C">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6F8C9F3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kern w:val="0"/>
                <w:lang w:val="es-ES_tradnl" w:eastAsia="es-CR"/>
                <w14:ligatures w14:val="none"/>
              </w:rPr>
            </w:pPr>
          </w:p>
        </w:tc>
        <w:tc>
          <w:tcPr>
            <w:tcW w:w="2835" w:type="dxa"/>
          </w:tcPr>
          <w:p w14:paraId="00C43CF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color w:val="0070C0"/>
                <w:kern w:val="0"/>
                <w:szCs w:val="20"/>
                <w:lang w:val="es-ES" w:eastAsia="es-CR"/>
                <w14:ligatures w14:val="none"/>
              </w:rPr>
              <w:t>Ruta de aprendizaje</w:t>
            </w:r>
          </w:p>
          <w:p w14:paraId="0362EC74"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0515DE22"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543E6C">
              <w:rPr>
                <w:rFonts w:ascii="Calibri" w:eastAsia="Times New Roman" w:hAnsi="Calibri" w:cs="Calibri"/>
                <w:kern w:val="0"/>
                <w:lang w:val="es-ES" w:eastAsia="es-CR"/>
                <w14:ligatures w14:val="none"/>
              </w:rPr>
              <w:t xml:space="preserve">González </w:t>
            </w:r>
            <w:proofErr w:type="spellStart"/>
            <w:r w:rsidRPr="00543E6C">
              <w:rPr>
                <w:rFonts w:ascii="Calibri" w:eastAsia="Times New Roman" w:hAnsi="Calibri" w:cs="Calibri"/>
                <w:kern w:val="0"/>
                <w:lang w:val="es-ES" w:eastAsia="es-CR"/>
                <w14:ligatures w14:val="none"/>
              </w:rPr>
              <w:t>Faus</w:t>
            </w:r>
            <w:proofErr w:type="spellEnd"/>
            <w:r w:rsidRPr="00543E6C">
              <w:rPr>
                <w:rFonts w:ascii="Calibri" w:eastAsia="Times New Roman" w:hAnsi="Calibri" w:cs="Calibri"/>
                <w:kern w:val="0"/>
                <w:lang w:val="es-ES" w:eastAsia="es-CR"/>
                <w14:ligatures w14:val="none"/>
              </w:rPr>
              <w:t xml:space="preserve">, José Ignacio. “La divinidad de Jesús y las religiones de la tierra”. En </w:t>
            </w:r>
            <w:r w:rsidRPr="00543E6C">
              <w:rPr>
                <w:rFonts w:ascii="Calibri" w:eastAsia="Times New Roman" w:hAnsi="Calibri" w:cs="Calibri"/>
                <w:i/>
                <w:kern w:val="0"/>
                <w:lang w:val="es-ES" w:eastAsia="es-CR"/>
                <w14:ligatures w14:val="none"/>
              </w:rPr>
              <w:t xml:space="preserve">El rostro humano de Dios: de la revolución de Jesús a la divinidad de Jesús, </w:t>
            </w:r>
            <w:r w:rsidRPr="00543E6C">
              <w:rPr>
                <w:rFonts w:ascii="Calibri" w:eastAsia="Times New Roman" w:hAnsi="Calibri" w:cs="Calibri"/>
                <w:kern w:val="0"/>
                <w:lang w:val="es-ES" w:eastAsia="es-CR"/>
                <w14:ligatures w14:val="none"/>
              </w:rPr>
              <w:t>192-197.</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 xml:space="preserve">Santander: Sal </w:t>
            </w:r>
            <w:proofErr w:type="spellStart"/>
            <w:r w:rsidRPr="00543E6C">
              <w:rPr>
                <w:rFonts w:ascii="Calibri" w:eastAsia="Times New Roman" w:hAnsi="Calibri" w:cs="Calibri"/>
                <w:kern w:val="0"/>
                <w:lang w:val="es-ES" w:eastAsia="es-CR"/>
                <w14:ligatures w14:val="none"/>
              </w:rPr>
              <w:t>Terrae</w:t>
            </w:r>
            <w:proofErr w:type="spellEnd"/>
            <w:r w:rsidRPr="00543E6C">
              <w:rPr>
                <w:rFonts w:ascii="Calibri" w:eastAsia="Times New Roman" w:hAnsi="Calibri" w:cs="Calibri"/>
                <w:kern w:val="0"/>
                <w:lang w:val="es-ES" w:eastAsia="es-CR"/>
                <w14:ligatures w14:val="none"/>
              </w:rPr>
              <w:t xml:space="preserve">, 2007. </w:t>
            </w:r>
            <w:r w:rsidRPr="00543E6C">
              <w:rPr>
                <w:rFonts w:ascii="Calibri" w:eastAsia="Times New Roman" w:hAnsi="Calibri" w:cs="Calibri"/>
                <w:color w:val="0070C0"/>
                <w:kern w:val="0"/>
                <w:lang w:val="es-ES" w:eastAsia="es-CR"/>
                <w14:ligatures w14:val="none"/>
              </w:rPr>
              <w:t>(Clásico, última reimpresión, 2015)</w:t>
            </w:r>
          </w:p>
          <w:p w14:paraId="32F781F9"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color w:val="0070C0"/>
                <w:kern w:val="0"/>
                <w:lang w:val="es-ES" w:eastAsia="es-CR"/>
                <w14:ligatures w14:val="none"/>
              </w:rPr>
            </w:pPr>
            <w:proofErr w:type="spellStart"/>
            <w:r w:rsidRPr="00543E6C">
              <w:rPr>
                <w:rFonts w:ascii="Calibri" w:eastAsia="Times New Roman" w:hAnsi="Calibri" w:cs="Calibri"/>
                <w:kern w:val="0"/>
                <w:lang w:val="es-ES" w:eastAsia="es-CR"/>
                <w14:ligatures w14:val="none"/>
              </w:rPr>
              <w:t>Moltmann</w:t>
            </w:r>
            <w:proofErr w:type="spellEnd"/>
            <w:r w:rsidRPr="00543E6C">
              <w:rPr>
                <w:rFonts w:ascii="Calibri" w:eastAsia="Times New Roman" w:hAnsi="Calibri" w:cs="Calibri"/>
                <w:kern w:val="0"/>
                <w:lang w:val="es-ES" w:eastAsia="es-CR"/>
                <w14:ligatures w14:val="none"/>
              </w:rPr>
              <w:t xml:space="preserve">, Jürgen. “Categorías de lo mesiánico”, “La cristología en el diálogo judío-cristiano”. En </w:t>
            </w:r>
            <w:r w:rsidRPr="00543E6C">
              <w:rPr>
                <w:rFonts w:ascii="Calibri" w:eastAsia="Times New Roman" w:hAnsi="Calibri" w:cs="Calibri"/>
                <w:i/>
                <w:kern w:val="0"/>
                <w:lang w:val="es-ES" w:eastAsia="es-CR"/>
                <w14:ligatures w14:val="none"/>
              </w:rPr>
              <w:t xml:space="preserve">El camino de Jesucristo: cristología en dimensiones mesiánicas, </w:t>
            </w:r>
            <w:r w:rsidRPr="00543E6C">
              <w:rPr>
                <w:rFonts w:ascii="Calibri" w:eastAsia="Times New Roman" w:hAnsi="Calibri" w:cs="Calibri"/>
                <w:kern w:val="0"/>
                <w:lang w:val="es-ES" w:eastAsia="es-CR"/>
                <w14:ligatures w14:val="none"/>
              </w:rPr>
              <w:t>45-64.</w:t>
            </w:r>
            <w:r w:rsidRPr="00543E6C">
              <w:rPr>
                <w:rFonts w:ascii="Calibri" w:eastAsia="Times New Roman" w:hAnsi="Calibri" w:cs="Calibri"/>
                <w:i/>
                <w:kern w:val="0"/>
                <w:lang w:val="es-ES" w:eastAsia="es-CR"/>
                <w14:ligatures w14:val="none"/>
              </w:rPr>
              <w:t xml:space="preserve"> </w:t>
            </w:r>
            <w:r w:rsidRPr="00543E6C">
              <w:rPr>
                <w:rFonts w:ascii="Calibri" w:eastAsia="Times New Roman" w:hAnsi="Calibri" w:cs="Calibri"/>
                <w:kern w:val="0"/>
                <w:lang w:val="es-ES" w:eastAsia="es-CR"/>
                <w14:ligatures w14:val="none"/>
              </w:rPr>
              <w:t xml:space="preserve">Salamanca: Sígueme, 2000. </w:t>
            </w:r>
            <w:r w:rsidRPr="00543E6C">
              <w:rPr>
                <w:rFonts w:ascii="Calibri" w:eastAsia="Times New Roman" w:hAnsi="Calibri" w:cs="Calibri"/>
                <w:color w:val="0070C0"/>
                <w:kern w:val="0"/>
                <w:lang w:val="es-ES" w:eastAsia="es-CR"/>
                <w14:ligatures w14:val="none"/>
              </w:rPr>
              <w:t>(Clásico, última edición)</w:t>
            </w:r>
          </w:p>
          <w:p w14:paraId="5C41E9D3" w14:textId="77777777" w:rsidR="00543E6C" w:rsidRPr="00543E6C" w:rsidRDefault="00543E6C" w:rsidP="00543E6C">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p>
        </w:tc>
        <w:tc>
          <w:tcPr>
            <w:tcW w:w="3260" w:type="dxa"/>
          </w:tcPr>
          <w:p w14:paraId="67B42D26" w14:textId="77777777" w:rsidR="00543E6C" w:rsidRPr="00543E6C" w:rsidRDefault="00543E6C" w:rsidP="00543E6C">
            <w:pPr>
              <w:widowControl w:val="0"/>
              <w:numPr>
                <w:ilvl w:val="0"/>
                <w:numId w:val="132"/>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Realizar las lecturas de la sesión.</w:t>
            </w:r>
          </w:p>
          <w:p w14:paraId="0635016C" w14:textId="77777777" w:rsidR="00543E6C" w:rsidRPr="00543E6C" w:rsidRDefault="00543E6C" w:rsidP="00543E6C">
            <w:pPr>
              <w:widowControl w:val="0"/>
              <w:numPr>
                <w:ilvl w:val="0"/>
                <w:numId w:val="132"/>
              </w:numPr>
              <w:overflowPunct w:val="0"/>
              <w:autoSpaceDE w:val="0"/>
              <w:autoSpaceDN w:val="0"/>
              <w:adjustRightInd w:val="0"/>
              <w:spacing w:before="120" w:after="200" w:line="276" w:lineRule="auto"/>
              <w:ind w:left="384"/>
              <w:contextualSpacing/>
              <w:rPr>
                <w:rFonts w:ascii="Calibri" w:eastAsia="Calibri" w:hAnsi="Calibri" w:cs="Arial"/>
                <w:kern w:val="0"/>
                <w14:ligatures w14:val="none"/>
              </w:rPr>
            </w:pPr>
            <w:r w:rsidRPr="00543E6C">
              <w:rPr>
                <w:rFonts w:ascii="Calibri" w:eastAsia="Calibri" w:hAnsi="Calibri" w:cs="Arial"/>
                <w:kern w:val="0"/>
                <w14:ligatures w14:val="none"/>
              </w:rPr>
              <w:t xml:space="preserve">Elaboración del ensayo final. </w:t>
            </w:r>
          </w:p>
        </w:tc>
      </w:tr>
    </w:tbl>
    <w:p w14:paraId="7BE3B970"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A4DE8AF"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49E46A19"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AC729D5"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59CA7AC"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5D93C6B"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9EF7A8F"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33DA7CC"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F5B340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8E787D9"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553561E"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91B7EE9"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EE08B7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752E709"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27634D0"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BD4E2A9"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10831BB"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2689F9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543E6C">
        <w:rPr>
          <w:rFonts w:ascii="Calibri" w:eastAsia="Times New Roman" w:hAnsi="Calibri" w:cs="Calibri"/>
          <w:b/>
          <w:bCs/>
          <w:color w:val="000000"/>
          <w:kern w:val="0"/>
          <w:lang w:val="es-ES_tradnl" w:eastAsia="es-CR"/>
          <w14:ligatures w14:val="none"/>
        </w:rPr>
        <w:lastRenderedPageBreak/>
        <w:t>IX. Distribución de tiempo semanal</w:t>
      </w:r>
    </w:p>
    <w:p w14:paraId="12BF105E" w14:textId="77777777" w:rsidR="00543E6C" w:rsidRPr="00543E6C" w:rsidRDefault="00543E6C"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w:t>
      </w:r>
      <w:proofErr w:type="spellStart"/>
      <w:r w:rsidRPr="4C9C2619">
        <w:rPr>
          <w:rFonts w:ascii="Calibri" w:eastAsia="Times New Roman" w:hAnsi="Calibri" w:cs="Calibri"/>
          <w:color w:val="000000"/>
          <w:kern w:val="0"/>
          <w:lang w:val="es-ES" w:eastAsia="es-CR"/>
          <w14:ligatures w14:val="none"/>
        </w:rPr>
        <w:t>semana.mLa</w:t>
      </w:r>
      <w:proofErr w:type="spellEnd"/>
      <w:r w:rsidRPr="4C9C2619">
        <w:rPr>
          <w:rFonts w:ascii="Calibri" w:eastAsia="Times New Roman" w:hAnsi="Calibri" w:cs="Calibri"/>
          <w:color w:val="000000"/>
          <w:kern w:val="0"/>
          <w:lang w:val="es-ES" w:eastAsia="es-CR"/>
          <w14:ligatures w14:val="none"/>
        </w:rPr>
        <w:t xml:space="preserve"> distribución de tiempos es la siguiente:</w:t>
      </w:r>
    </w:p>
    <w:p w14:paraId="46E39594"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8784" w:type="dxa"/>
        <w:tblLook w:val="04A0" w:firstRow="1" w:lastRow="0" w:firstColumn="1" w:lastColumn="0" w:noHBand="0" w:noVBand="1"/>
      </w:tblPr>
      <w:tblGrid>
        <w:gridCol w:w="1980"/>
        <w:gridCol w:w="1417"/>
        <w:gridCol w:w="5387"/>
      </w:tblGrid>
      <w:tr w:rsidR="00543E6C" w:rsidRPr="00543E6C" w14:paraId="6810A82F" w14:textId="77777777" w:rsidTr="4C9C2619">
        <w:tc>
          <w:tcPr>
            <w:tcW w:w="1980" w:type="dxa"/>
            <w:vAlign w:val="center"/>
          </w:tcPr>
          <w:p w14:paraId="23EE27C8"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r w:rsidRPr="00543E6C">
              <w:rPr>
                <w:rFonts w:eastAsia="Times New Roman" w:cs="Calibri"/>
                <w:b/>
                <w:bCs/>
                <w:color w:val="000000"/>
                <w:lang w:val="es-ES_tradnl" w:eastAsia="es-CR"/>
              </w:rPr>
              <w:t>Tipo de horas</w:t>
            </w:r>
          </w:p>
          <w:p w14:paraId="0278F568"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r w:rsidRPr="00543E6C">
              <w:rPr>
                <w:rFonts w:eastAsia="Times New Roman" w:cs="Calibri"/>
                <w:b/>
                <w:bCs/>
                <w:color w:val="000000"/>
                <w:lang w:val="es-ES_tradnl" w:eastAsia="es-CR"/>
              </w:rPr>
              <w:t>(categoría)</w:t>
            </w:r>
          </w:p>
        </w:tc>
        <w:tc>
          <w:tcPr>
            <w:tcW w:w="1417" w:type="dxa"/>
            <w:vAlign w:val="center"/>
          </w:tcPr>
          <w:p w14:paraId="756B50C6"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r w:rsidRPr="00543E6C">
              <w:rPr>
                <w:rFonts w:eastAsia="Times New Roman" w:cs="Calibri"/>
                <w:b/>
                <w:bCs/>
                <w:color w:val="000000"/>
                <w:lang w:val="es-ES_tradnl" w:eastAsia="es-CR"/>
              </w:rPr>
              <w:t>Horas por semana</w:t>
            </w:r>
          </w:p>
        </w:tc>
        <w:tc>
          <w:tcPr>
            <w:tcW w:w="5387" w:type="dxa"/>
            <w:vAlign w:val="center"/>
          </w:tcPr>
          <w:p w14:paraId="3106AC67"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r w:rsidRPr="00543E6C">
              <w:rPr>
                <w:rFonts w:eastAsia="Times New Roman" w:cs="Calibri"/>
                <w:b/>
                <w:bCs/>
                <w:color w:val="000000"/>
                <w:lang w:val="es-ES_tradnl" w:eastAsia="es-CR"/>
              </w:rPr>
              <w:t>Actividades relacionadas</w:t>
            </w:r>
          </w:p>
        </w:tc>
      </w:tr>
      <w:tr w:rsidR="00543E6C" w:rsidRPr="00543E6C" w14:paraId="1F9DA369" w14:textId="77777777" w:rsidTr="4C9C2619">
        <w:trPr>
          <w:trHeight w:val="749"/>
        </w:trPr>
        <w:tc>
          <w:tcPr>
            <w:tcW w:w="1980" w:type="dxa"/>
            <w:vAlign w:val="center"/>
          </w:tcPr>
          <w:p w14:paraId="6210F8D3"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Horas de Estudio Individual (HEI)</w:t>
            </w:r>
          </w:p>
        </w:tc>
        <w:tc>
          <w:tcPr>
            <w:tcW w:w="1417" w:type="dxa"/>
            <w:vAlign w:val="center"/>
          </w:tcPr>
          <w:p w14:paraId="4026AA1E"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4</w:t>
            </w:r>
          </w:p>
        </w:tc>
        <w:tc>
          <w:tcPr>
            <w:tcW w:w="5387" w:type="dxa"/>
          </w:tcPr>
          <w:p w14:paraId="26591738" w14:textId="77777777" w:rsidR="00543E6C" w:rsidRPr="00543E6C" w:rsidRDefault="00543E6C" w:rsidP="00543E6C">
            <w:pPr>
              <w:widowControl w:val="0"/>
              <w:numPr>
                <w:ilvl w:val="0"/>
                <w:numId w:val="34"/>
              </w:numPr>
              <w:overflowPunct w:val="0"/>
              <w:autoSpaceDE w:val="0"/>
              <w:autoSpaceDN w:val="0"/>
              <w:adjustRightInd w:val="0"/>
              <w:spacing w:before="120"/>
              <w:jc w:val="both"/>
              <w:rPr>
                <w:rFonts w:cs="Calibri"/>
                <w:bCs/>
                <w:color w:val="000000"/>
              </w:rPr>
            </w:pPr>
            <w:r w:rsidRPr="00543E6C">
              <w:rPr>
                <w:rFonts w:cs="Calibri"/>
                <w:bCs/>
                <w:color w:val="000000"/>
              </w:rPr>
              <w:t>Lectura de los textos (materiales en formato digital).</w:t>
            </w:r>
          </w:p>
          <w:p w14:paraId="42DC7C69" w14:textId="77777777" w:rsidR="00543E6C" w:rsidRPr="00543E6C" w:rsidRDefault="00543E6C" w:rsidP="00543E6C">
            <w:pPr>
              <w:widowControl w:val="0"/>
              <w:numPr>
                <w:ilvl w:val="0"/>
                <w:numId w:val="34"/>
              </w:numPr>
              <w:overflowPunct w:val="0"/>
              <w:autoSpaceDE w:val="0"/>
              <w:autoSpaceDN w:val="0"/>
              <w:adjustRightInd w:val="0"/>
              <w:spacing w:before="120"/>
              <w:jc w:val="both"/>
              <w:rPr>
                <w:rFonts w:cs="Calibri"/>
                <w:bCs/>
                <w:color w:val="000000"/>
              </w:rPr>
            </w:pPr>
            <w:r w:rsidRPr="00543E6C">
              <w:rPr>
                <w:rFonts w:cs="Calibri"/>
                <w:bCs/>
                <w:color w:val="000000"/>
              </w:rPr>
              <w:t>Análisis de lecturas e investigación por cuenta propia.</w:t>
            </w:r>
          </w:p>
        </w:tc>
      </w:tr>
      <w:tr w:rsidR="00543E6C" w:rsidRPr="00543E6C" w14:paraId="7AFC296F" w14:textId="77777777" w:rsidTr="4C9C2619">
        <w:trPr>
          <w:trHeight w:val="1835"/>
        </w:trPr>
        <w:tc>
          <w:tcPr>
            <w:tcW w:w="1980" w:type="dxa"/>
            <w:vAlign w:val="center"/>
          </w:tcPr>
          <w:p w14:paraId="7D92AFC2"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Horas de Trabajo Colaborativo (HTC)</w:t>
            </w:r>
          </w:p>
        </w:tc>
        <w:tc>
          <w:tcPr>
            <w:tcW w:w="1417" w:type="dxa"/>
            <w:vAlign w:val="center"/>
          </w:tcPr>
          <w:p w14:paraId="7F6DA3A7"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4</w:t>
            </w:r>
          </w:p>
        </w:tc>
        <w:tc>
          <w:tcPr>
            <w:tcW w:w="5387" w:type="dxa"/>
          </w:tcPr>
          <w:p w14:paraId="2C2C3960" w14:textId="77777777" w:rsidR="00543E6C" w:rsidRPr="00543E6C" w:rsidRDefault="00543E6C" w:rsidP="00543E6C">
            <w:pPr>
              <w:widowControl w:val="0"/>
              <w:numPr>
                <w:ilvl w:val="0"/>
                <w:numId w:val="35"/>
              </w:numPr>
              <w:overflowPunct w:val="0"/>
              <w:autoSpaceDE w:val="0"/>
              <w:autoSpaceDN w:val="0"/>
              <w:adjustRightInd w:val="0"/>
              <w:spacing w:before="120"/>
              <w:jc w:val="both"/>
              <w:rPr>
                <w:rFonts w:cs="Calibri"/>
                <w:bCs/>
                <w:color w:val="000000"/>
              </w:rPr>
            </w:pPr>
            <w:r w:rsidRPr="00543E6C">
              <w:rPr>
                <w:rFonts w:cs="Calibri"/>
                <w:bCs/>
                <w:color w:val="000000"/>
              </w:rPr>
              <w:t>Participación en los foros temáticos (incluye aportes personales y réplicas a los demás estudiantes)</w:t>
            </w:r>
          </w:p>
          <w:p w14:paraId="37A1ED85" w14:textId="77777777" w:rsidR="00543E6C" w:rsidRPr="00543E6C" w:rsidRDefault="00543E6C" w:rsidP="00543E6C">
            <w:pPr>
              <w:widowControl w:val="0"/>
              <w:numPr>
                <w:ilvl w:val="0"/>
                <w:numId w:val="35"/>
              </w:numPr>
              <w:overflowPunct w:val="0"/>
              <w:autoSpaceDE w:val="0"/>
              <w:autoSpaceDN w:val="0"/>
              <w:adjustRightInd w:val="0"/>
              <w:spacing w:before="120"/>
              <w:jc w:val="both"/>
              <w:rPr>
                <w:rFonts w:cs="Calibri"/>
                <w:bCs/>
                <w:color w:val="000000"/>
              </w:rPr>
            </w:pPr>
            <w:r w:rsidRPr="00543E6C">
              <w:rPr>
                <w:rFonts w:cs="Calibri"/>
                <w:bCs/>
                <w:color w:val="000000"/>
              </w:rPr>
              <w:t>Participación en la elaboración de un glosario.</w:t>
            </w:r>
          </w:p>
          <w:p w14:paraId="5A21D265" w14:textId="77777777" w:rsidR="00543E6C" w:rsidRPr="00543E6C" w:rsidRDefault="00543E6C" w:rsidP="00543E6C">
            <w:pPr>
              <w:widowControl w:val="0"/>
              <w:numPr>
                <w:ilvl w:val="0"/>
                <w:numId w:val="35"/>
              </w:numPr>
              <w:overflowPunct w:val="0"/>
              <w:autoSpaceDE w:val="0"/>
              <w:autoSpaceDN w:val="0"/>
              <w:adjustRightInd w:val="0"/>
              <w:spacing w:before="120"/>
              <w:jc w:val="both"/>
              <w:rPr>
                <w:rFonts w:cs="Calibri"/>
                <w:bCs/>
                <w:color w:val="000000"/>
              </w:rPr>
            </w:pPr>
            <w:r w:rsidRPr="00543E6C">
              <w:rPr>
                <w:rFonts w:cs="Calibri"/>
                <w:bCs/>
                <w:color w:val="000000"/>
              </w:rPr>
              <w:t>Estudio de un texto bíblico.</w:t>
            </w:r>
          </w:p>
          <w:p w14:paraId="5E9146AE" w14:textId="77777777" w:rsidR="00543E6C" w:rsidRPr="00543E6C" w:rsidRDefault="00543E6C" w:rsidP="00543E6C">
            <w:pPr>
              <w:widowControl w:val="0"/>
              <w:numPr>
                <w:ilvl w:val="0"/>
                <w:numId w:val="35"/>
              </w:numPr>
              <w:overflowPunct w:val="0"/>
              <w:autoSpaceDE w:val="0"/>
              <w:autoSpaceDN w:val="0"/>
              <w:adjustRightInd w:val="0"/>
              <w:spacing w:before="120"/>
              <w:jc w:val="both"/>
              <w:rPr>
                <w:rFonts w:cs="Calibri"/>
                <w:bCs/>
                <w:color w:val="000000"/>
              </w:rPr>
            </w:pPr>
            <w:r w:rsidRPr="00543E6C">
              <w:rPr>
                <w:rFonts w:cs="Calibri"/>
                <w:bCs/>
                <w:color w:val="000000"/>
              </w:rPr>
              <w:t>Elaboración de un credo colaborativo.</w:t>
            </w:r>
          </w:p>
          <w:p w14:paraId="065160D3" w14:textId="77777777" w:rsidR="00543E6C" w:rsidRPr="00543E6C" w:rsidRDefault="00543E6C" w:rsidP="00543E6C">
            <w:pPr>
              <w:widowControl w:val="0"/>
              <w:numPr>
                <w:ilvl w:val="0"/>
                <w:numId w:val="35"/>
              </w:numPr>
              <w:overflowPunct w:val="0"/>
              <w:autoSpaceDE w:val="0"/>
              <w:autoSpaceDN w:val="0"/>
              <w:adjustRightInd w:val="0"/>
              <w:spacing w:before="120"/>
              <w:jc w:val="both"/>
              <w:rPr>
                <w:rFonts w:cs="Calibri"/>
                <w:bCs/>
                <w:color w:val="000000"/>
              </w:rPr>
            </w:pPr>
            <w:r w:rsidRPr="00543E6C">
              <w:rPr>
                <w:rFonts w:cs="Calibri"/>
                <w:bCs/>
                <w:color w:val="000000"/>
              </w:rPr>
              <w:t>Participación en los encuentros sincrónicos virtuales.</w:t>
            </w:r>
          </w:p>
        </w:tc>
      </w:tr>
      <w:tr w:rsidR="00543E6C" w:rsidRPr="00543E6C" w14:paraId="362E5A4A" w14:textId="77777777" w:rsidTr="4C9C2619">
        <w:trPr>
          <w:trHeight w:val="971"/>
        </w:trPr>
        <w:tc>
          <w:tcPr>
            <w:tcW w:w="1980" w:type="dxa"/>
            <w:vAlign w:val="center"/>
          </w:tcPr>
          <w:p w14:paraId="36CE7CAA"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Horas de Producción Individual (HPI)</w:t>
            </w:r>
          </w:p>
        </w:tc>
        <w:tc>
          <w:tcPr>
            <w:tcW w:w="1417" w:type="dxa"/>
            <w:vAlign w:val="center"/>
          </w:tcPr>
          <w:p w14:paraId="2A914A9E" w14:textId="77777777" w:rsidR="00543E6C" w:rsidRPr="00543E6C" w:rsidRDefault="00543E6C" w:rsidP="00543E6C">
            <w:pPr>
              <w:widowControl w:val="0"/>
              <w:overflowPunct w:val="0"/>
              <w:autoSpaceDE w:val="0"/>
              <w:autoSpaceDN w:val="0"/>
              <w:adjustRightInd w:val="0"/>
              <w:jc w:val="center"/>
              <w:rPr>
                <w:rFonts w:eastAsia="Times New Roman" w:cs="Calibri"/>
                <w:bCs/>
                <w:color w:val="000000"/>
                <w:lang w:val="es-ES_tradnl" w:eastAsia="es-CR"/>
              </w:rPr>
            </w:pPr>
            <w:r w:rsidRPr="00543E6C">
              <w:rPr>
                <w:rFonts w:eastAsia="Times New Roman" w:cs="Calibri"/>
                <w:bCs/>
                <w:color w:val="000000"/>
                <w:lang w:val="es-ES_tradnl" w:eastAsia="es-CR"/>
              </w:rPr>
              <w:t>4</w:t>
            </w:r>
          </w:p>
        </w:tc>
        <w:tc>
          <w:tcPr>
            <w:tcW w:w="5387" w:type="dxa"/>
          </w:tcPr>
          <w:p w14:paraId="22E86678" w14:textId="77777777" w:rsidR="00543E6C" w:rsidRPr="00543E6C" w:rsidRDefault="00543E6C" w:rsidP="00543E6C">
            <w:pPr>
              <w:widowControl w:val="0"/>
              <w:numPr>
                <w:ilvl w:val="0"/>
                <w:numId w:val="36"/>
              </w:numPr>
              <w:overflowPunct w:val="0"/>
              <w:autoSpaceDE w:val="0"/>
              <w:autoSpaceDN w:val="0"/>
              <w:adjustRightInd w:val="0"/>
              <w:spacing w:before="120"/>
              <w:jc w:val="both"/>
              <w:rPr>
                <w:rFonts w:cs="Calibri"/>
                <w:bCs/>
                <w:color w:val="000000"/>
              </w:rPr>
            </w:pPr>
            <w:r w:rsidRPr="00543E6C">
              <w:rPr>
                <w:rFonts w:cs="Calibri"/>
                <w:bCs/>
                <w:color w:val="000000"/>
              </w:rPr>
              <w:t>Elaboración de reseñas críticas de lecturas.</w:t>
            </w:r>
          </w:p>
          <w:p w14:paraId="48AFBF9E" w14:textId="77777777" w:rsidR="00543E6C" w:rsidRPr="00543E6C" w:rsidRDefault="00543E6C" w:rsidP="00543E6C">
            <w:pPr>
              <w:widowControl w:val="0"/>
              <w:numPr>
                <w:ilvl w:val="0"/>
                <w:numId w:val="36"/>
              </w:numPr>
              <w:overflowPunct w:val="0"/>
              <w:autoSpaceDE w:val="0"/>
              <w:autoSpaceDN w:val="0"/>
              <w:adjustRightInd w:val="0"/>
              <w:spacing w:before="120"/>
              <w:jc w:val="both"/>
              <w:rPr>
                <w:rFonts w:cs="Calibri"/>
                <w:bCs/>
                <w:color w:val="000000"/>
              </w:rPr>
            </w:pPr>
            <w:r w:rsidRPr="00543E6C">
              <w:rPr>
                <w:rFonts w:cs="Calibri"/>
                <w:bCs/>
                <w:color w:val="000000"/>
              </w:rPr>
              <w:t>Elaboración de mapas conceptuales.</w:t>
            </w:r>
          </w:p>
          <w:p w14:paraId="1956E8D1" w14:textId="77777777" w:rsidR="00543E6C" w:rsidRPr="00543E6C" w:rsidRDefault="00543E6C" w:rsidP="00543E6C">
            <w:pPr>
              <w:widowControl w:val="0"/>
              <w:numPr>
                <w:ilvl w:val="0"/>
                <w:numId w:val="36"/>
              </w:numPr>
              <w:overflowPunct w:val="0"/>
              <w:autoSpaceDE w:val="0"/>
              <w:autoSpaceDN w:val="0"/>
              <w:adjustRightInd w:val="0"/>
              <w:spacing w:before="120"/>
              <w:jc w:val="both"/>
              <w:rPr>
                <w:rFonts w:cs="Calibri"/>
                <w:bCs/>
                <w:color w:val="000000"/>
              </w:rPr>
            </w:pPr>
            <w:r w:rsidRPr="00543E6C">
              <w:rPr>
                <w:rFonts w:cs="Calibri"/>
                <w:bCs/>
                <w:color w:val="000000"/>
              </w:rPr>
              <w:t>Elaboración de un ensayo final.</w:t>
            </w:r>
          </w:p>
        </w:tc>
      </w:tr>
      <w:tr w:rsidR="00543E6C" w:rsidRPr="00543E6C" w14:paraId="79B6A440" w14:textId="77777777" w:rsidTr="4C9C2619">
        <w:tc>
          <w:tcPr>
            <w:tcW w:w="1980" w:type="dxa"/>
            <w:vAlign w:val="center"/>
          </w:tcPr>
          <w:p w14:paraId="2B4AA3D9" w14:textId="77777777" w:rsidR="00543E6C" w:rsidRPr="00543E6C" w:rsidRDefault="4C9C2619" w:rsidP="4C9C2619">
            <w:pPr>
              <w:widowControl w:val="0"/>
              <w:overflowPunct w:val="0"/>
              <w:autoSpaceDE w:val="0"/>
              <w:autoSpaceDN w:val="0"/>
              <w:adjustRightInd w:val="0"/>
              <w:jc w:val="center"/>
              <w:rPr>
                <w:rFonts w:eastAsia="Times New Roman" w:cs="Calibri"/>
                <w:b/>
                <w:bCs/>
                <w:color w:val="000000"/>
                <w:lang w:val="es-ES" w:eastAsia="es-CR"/>
              </w:rPr>
            </w:pPr>
            <w:r w:rsidRPr="4C9C2619">
              <w:rPr>
                <w:rFonts w:eastAsia="Times New Roman" w:cs="Calibri"/>
                <w:b/>
                <w:bCs/>
                <w:color w:val="000000" w:themeColor="text1"/>
                <w:lang w:val="es-ES" w:eastAsia="es-CR"/>
              </w:rPr>
              <w:t>Total de horas (TH)</w:t>
            </w:r>
          </w:p>
        </w:tc>
        <w:tc>
          <w:tcPr>
            <w:tcW w:w="1417" w:type="dxa"/>
            <w:vAlign w:val="center"/>
          </w:tcPr>
          <w:p w14:paraId="697C82F0"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r w:rsidRPr="00543E6C">
              <w:rPr>
                <w:rFonts w:eastAsia="Times New Roman" w:cs="Calibri"/>
                <w:b/>
                <w:bCs/>
                <w:color w:val="000000"/>
                <w:lang w:val="es-ES_tradnl" w:eastAsia="es-CR"/>
              </w:rPr>
              <w:t>12</w:t>
            </w:r>
          </w:p>
        </w:tc>
        <w:tc>
          <w:tcPr>
            <w:tcW w:w="5387" w:type="dxa"/>
          </w:tcPr>
          <w:p w14:paraId="68B8197C" w14:textId="77777777" w:rsidR="00543E6C" w:rsidRPr="00543E6C" w:rsidRDefault="00543E6C" w:rsidP="00543E6C">
            <w:pPr>
              <w:widowControl w:val="0"/>
              <w:overflowPunct w:val="0"/>
              <w:autoSpaceDE w:val="0"/>
              <w:autoSpaceDN w:val="0"/>
              <w:adjustRightInd w:val="0"/>
              <w:jc w:val="center"/>
              <w:rPr>
                <w:rFonts w:eastAsia="Times New Roman" w:cs="Calibri"/>
                <w:b/>
                <w:bCs/>
                <w:color w:val="000000"/>
                <w:lang w:val="es-ES_tradnl" w:eastAsia="es-CR"/>
              </w:rPr>
            </w:pPr>
          </w:p>
        </w:tc>
      </w:tr>
    </w:tbl>
    <w:p w14:paraId="6EC83544"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1B06206" w14:textId="77777777" w:rsidR="00543E6C" w:rsidRPr="00543E6C" w:rsidRDefault="00543E6C"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36AD3E72"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F417315"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CE8B408"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64F9B15"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6FD37FE"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B59CA11"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EA9A9E5"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DE7871D"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25803C8"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lastRenderedPageBreak/>
        <w:t>X. Evaluación</w:t>
      </w:r>
    </w:p>
    <w:p w14:paraId="0595C010" w14:textId="77777777" w:rsidR="00543E6C" w:rsidRPr="00543E6C" w:rsidRDefault="00543E6C"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Se realizarán evaluaciones parciales de los distintos elementos de aprendizaje propuestos en el curso (foros temáticos, reseñas críticas de lecturas, glosario, mapas conceptuales, estudio de un texto bíblico, credo colaborativo) y una evaluación final a través del ensayo, valorando la integración del aprendizaje a lo largo del curso. Cada persona estudiante tendrá pleno conocimiento de los aspectos que se evaluarán. La evaluación se realizará a lo largo del curso, de manera que se convierta en otro instrumento de aprendizaje, a través del cual cada persona estudiante pueda estar al tanto de sus logros y avances. El curso se aprueba con una nota mínima de 7.00 (en escala decimal). Los porcentajes asignados para cada elemento a evaluar son los siguientes:</w:t>
      </w:r>
    </w:p>
    <w:p w14:paraId="5CF5E654"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17"/>
        <w:gridCol w:w="1203"/>
      </w:tblGrid>
      <w:tr w:rsidR="00543E6C" w:rsidRPr="00543E6C" w14:paraId="5BCBDF3C" w14:textId="77777777" w:rsidTr="4C9C2619">
        <w:tc>
          <w:tcPr>
            <w:tcW w:w="8720" w:type="dxa"/>
            <w:gridSpan w:val="2"/>
          </w:tcPr>
          <w:p w14:paraId="6091FE0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t>Síntesis cuantitativa de la evaluación</w:t>
            </w:r>
          </w:p>
        </w:tc>
      </w:tr>
      <w:tr w:rsidR="00543E6C" w:rsidRPr="00543E6C" w14:paraId="49277D84" w14:textId="77777777" w:rsidTr="4C9C2619">
        <w:tc>
          <w:tcPr>
            <w:tcW w:w="7517" w:type="dxa"/>
            <w:vAlign w:val="center"/>
          </w:tcPr>
          <w:p w14:paraId="373FE893"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Rubros para evaluar</w:t>
            </w:r>
          </w:p>
        </w:tc>
        <w:tc>
          <w:tcPr>
            <w:tcW w:w="1203" w:type="dxa"/>
          </w:tcPr>
          <w:p w14:paraId="29CA18D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t>Porcentaje total</w:t>
            </w:r>
          </w:p>
        </w:tc>
      </w:tr>
      <w:tr w:rsidR="00543E6C" w:rsidRPr="00543E6C" w14:paraId="5A766EE4" w14:textId="77777777" w:rsidTr="4C9C2619">
        <w:tc>
          <w:tcPr>
            <w:tcW w:w="7517" w:type="dxa"/>
            <w:vAlign w:val="center"/>
          </w:tcPr>
          <w:p w14:paraId="0B071E80"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Encuentros sincrónicos virtuales</w:t>
            </w:r>
          </w:p>
          <w:p w14:paraId="2B29DD68" w14:textId="77777777" w:rsidR="00543E6C" w:rsidRPr="00543E6C" w:rsidRDefault="00543E6C" w:rsidP="4C9C261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Se llevan a cabo en las sesiones 1, 2, 3, 4, 5, 9, 10, 11, 13 y 14. Tienen un valor formativo y no sumativo.</w:t>
            </w:r>
          </w:p>
        </w:tc>
        <w:tc>
          <w:tcPr>
            <w:tcW w:w="1203" w:type="dxa"/>
            <w:vAlign w:val="center"/>
          </w:tcPr>
          <w:p w14:paraId="001FAE8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543E6C">
              <w:rPr>
                <w:rFonts w:ascii="Calibri" w:eastAsia="Times New Roman" w:hAnsi="Calibri" w:cs="Calibri"/>
                <w:color w:val="000000"/>
                <w:kern w:val="0"/>
                <w:lang w:val="es-ES_tradnl" w:eastAsia="es-CR"/>
                <w14:ligatures w14:val="none"/>
              </w:rPr>
              <w:t>̶</w:t>
            </w:r>
          </w:p>
        </w:tc>
      </w:tr>
      <w:tr w:rsidR="00543E6C" w:rsidRPr="00543E6C" w14:paraId="2842C6D8" w14:textId="77777777" w:rsidTr="4C9C2619">
        <w:tc>
          <w:tcPr>
            <w:tcW w:w="7517" w:type="dxa"/>
            <w:vAlign w:val="center"/>
          </w:tcPr>
          <w:p w14:paraId="0C890D7B"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Foros temáticos</w:t>
            </w:r>
          </w:p>
          <w:p w14:paraId="00D6D1B9" w14:textId="77777777" w:rsidR="00543E6C" w:rsidRPr="00543E6C" w:rsidRDefault="00543E6C" w:rsidP="00543E6C">
            <w:pPr>
              <w:widowControl w:val="0"/>
              <w:overflowPunct w:val="0"/>
              <w:autoSpaceDE w:val="0"/>
              <w:autoSpaceDN w:val="0"/>
              <w:adjustRightInd w:val="0"/>
              <w:spacing w:after="0" w:line="240" w:lineRule="auto"/>
              <w:rPr>
                <w:rFonts w:ascii="Calibri" w:eastAsia="Times New Roman" w:hAnsi="Calibri" w:cs="Arial"/>
                <w:iCs/>
                <w:color w:val="000000"/>
                <w:kern w:val="0"/>
                <w:lang w:val="es-ES_tradnl" w:eastAsia="es-CR"/>
                <w14:ligatures w14:val="none"/>
              </w:rPr>
            </w:pPr>
            <w:r w:rsidRPr="00543E6C">
              <w:rPr>
                <w:rFonts w:ascii="Calibri" w:eastAsia="Times New Roman" w:hAnsi="Calibri" w:cs="Arial"/>
                <w:iCs/>
                <w:color w:val="000000"/>
                <w:kern w:val="0"/>
                <w:lang w:val="es-ES_tradnl" w:eastAsia="es-CR"/>
                <w14:ligatures w14:val="none"/>
              </w:rPr>
              <w:t>Se desarrollan en las sesiones 1, 6, 10 y 14. Cada foro tiene un valor de 5%.</w:t>
            </w:r>
          </w:p>
        </w:tc>
        <w:tc>
          <w:tcPr>
            <w:tcW w:w="1203" w:type="dxa"/>
            <w:vAlign w:val="center"/>
          </w:tcPr>
          <w:p w14:paraId="4C3855D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20%</w:t>
            </w:r>
          </w:p>
        </w:tc>
      </w:tr>
      <w:tr w:rsidR="00543E6C" w:rsidRPr="00543E6C" w14:paraId="3F921AD0" w14:textId="77777777" w:rsidTr="4C9C2619">
        <w:tc>
          <w:tcPr>
            <w:tcW w:w="7517" w:type="dxa"/>
          </w:tcPr>
          <w:p w14:paraId="24D31D52"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Reseña crítica de lectura</w:t>
            </w:r>
          </w:p>
          <w:p w14:paraId="521885E4"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Se elaboran en las sesiones 2, 4, 7, 9 y 12. Cada reseña tiene un valor de 5%.</w:t>
            </w:r>
          </w:p>
        </w:tc>
        <w:tc>
          <w:tcPr>
            <w:tcW w:w="1203" w:type="dxa"/>
            <w:vAlign w:val="center"/>
          </w:tcPr>
          <w:p w14:paraId="11D5510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25%</w:t>
            </w:r>
          </w:p>
        </w:tc>
      </w:tr>
      <w:tr w:rsidR="00543E6C" w:rsidRPr="00543E6C" w14:paraId="273BA41E" w14:textId="77777777" w:rsidTr="4C9C2619">
        <w:tc>
          <w:tcPr>
            <w:tcW w:w="7517" w:type="dxa"/>
          </w:tcPr>
          <w:p w14:paraId="631B69EA"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Glosario</w:t>
            </w:r>
          </w:p>
          <w:p w14:paraId="2DBB135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Se desarrolla en la sesión 3.</w:t>
            </w:r>
          </w:p>
        </w:tc>
        <w:tc>
          <w:tcPr>
            <w:tcW w:w="1203" w:type="dxa"/>
            <w:vAlign w:val="center"/>
          </w:tcPr>
          <w:p w14:paraId="7CE2E36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5%</w:t>
            </w:r>
          </w:p>
        </w:tc>
      </w:tr>
      <w:tr w:rsidR="00543E6C" w:rsidRPr="00543E6C" w14:paraId="60842BB2" w14:textId="77777777" w:rsidTr="4C9C2619">
        <w:tc>
          <w:tcPr>
            <w:tcW w:w="7517" w:type="dxa"/>
          </w:tcPr>
          <w:p w14:paraId="3613CC5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Mapa conceptual</w:t>
            </w:r>
          </w:p>
          <w:p w14:paraId="30941834"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Se elaboran en las sesiones 5 y 13. Cada mapa tiene un valor de 5%.</w:t>
            </w:r>
          </w:p>
        </w:tc>
        <w:tc>
          <w:tcPr>
            <w:tcW w:w="1203" w:type="dxa"/>
            <w:vAlign w:val="center"/>
          </w:tcPr>
          <w:p w14:paraId="3C71458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10%</w:t>
            </w:r>
          </w:p>
        </w:tc>
      </w:tr>
      <w:tr w:rsidR="00543E6C" w:rsidRPr="00543E6C" w14:paraId="68AD1D20" w14:textId="77777777" w:rsidTr="4C9C2619">
        <w:tc>
          <w:tcPr>
            <w:tcW w:w="7517" w:type="dxa"/>
          </w:tcPr>
          <w:p w14:paraId="498D3098"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i/>
                <w:color w:val="000000"/>
                <w:kern w:val="0"/>
                <w:lang w:val="es-ES_tradnl" w:eastAsia="es-CR"/>
                <w14:ligatures w14:val="none"/>
              </w:rPr>
            </w:pPr>
            <w:r w:rsidRPr="00543E6C">
              <w:rPr>
                <w:rFonts w:ascii="Calibri" w:eastAsia="Times New Roman" w:hAnsi="Calibri" w:cs="Arial"/>
                <w:b/>
                <w:bCs/>
                <w:i/>
                <w:color w:val="000000"/>
                <w:kern w:val="0"/>
                <w:lang w:val="es-ES_tradnl" w:eastAsia="es-CR"/>
                <w14:ligatures w14:val="none"/>
              </w:rPr>
              <w:t>Estudio de un texto bíblico</w:t>
            </w:r>
          </w:p>
          <w:p w14:paraId="488E0465"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Se realiza en la sesión 8.</w:t>
            </w:r>
          </w:p>
        </w:tc>
        <w:tc>
          <w:tcPr>
            <w:tcW w:w="1203" w:type="dxa"/>
            <w:vAlign w:val="center"/>
          </w:tcPr>
          <w:p w14:paraId="0B4B73F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5%</w:t>
            </w:r>
          </w:p>
        </w:tc>
      </w:tr>
      <w:tr w:rsidR="00543E6C" w:rsidRPr="00543E6C" w14:paraId="3FA7089C" w14:textId="77777777" w:rsidTr="4C9C2619">
        <w:tc>
          <w:tcPr>
            <w:tcW w:w="7517" w:type="dxa"/>
          </w:tcPr>
          <w:p w14:paraId="544356A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i/>
                <w:iCs/>
                <w:color w:val="000000"/>
                <w:kern w:val="0"/>
                <w:lang w:val="es-ES_tradnl" w:eastAsia="es-CR"/>
                <w14:ligatures w14:val="none"/>
              </w:rPr>
            </w:pPr>
            <w:r w:rsidRPr="00543E6C">
              <w:rPr>
                <w:rFonts w:ascii="Calibri" w:eastAsia="Times New Roman" w:hAnsi="Calibri" w:cs="Arial"/>
                <w:b/>
                <w:i/>
                <w:iCs/>
                <w:color w:val="000000"/>
                <w:kern w:val="0"/>
                <w:lang w:val="es-ES_tradnl" w:eastAsia="es-CR"/>
                <w14:ligatures w14:val="none"/>
              </w:rPr>
              <w:t>Credo colaborativo</w:t>
            </w:r>
          </w:p>
          <w:p w14:paraId="365F1796"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i/>
                <w:iCs/>
                <w:color w:val="000000"/>
                <w:kern w:val="0"/>
                <w:lang w:val="es-ES_tradnl" w:eastAsia="es-CR"/>
                <w14:ligatures w14:val="none"/>
              </w:rPr>
            </w:pPr>
            <w:r w:rsidRPr="00543E6C">
              <w:rPr>
                <w:rFonts w:ascii="Calibri" w:eastAsia="Times New Roman" w:hAnsi="Calibri" w:cs="Arial"/>
                <w:iCs/>
                <w:color w:val="000000"/>
                <w:kern w:val="0"/>
                <w:lang w:val="es-ES_tradnl" w:eastAsia="es-CR"/>
                <w14:ligatures w14:val="none"/>
              </w:rPr>
              <w:t>Se elabora en la sesión 11.</w:t>
            </w:r>
          </w:p>
        </w:tc>
        <w:tc>
          <w:tcPr>
            <w:tcW w:w="1203" w:type="dxa"/>
            <w:vAlign w:val="center"/>
          </w:tcPr>
          <w:p w14:paraId="791898B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5%</w:t>
            </w:r>
          </w:p>
        </w:tc>
      </w:tr>
      <w:tr w:rsidR="00543E6C" w:rsidRPr="00543E6C" w14:paraId="721BC4F3" w14:textId="77777777" w:rsidTr="4C9C2619">
        <w:tc>
          <w:tcPr>
            <w:tcW w:w="7517" w:type="dxa"/>
          </w:tcPr>
          <w:p w14:paraId="06020CA3"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i/>
                <w:iCs/>
                <w:color w:val="000000"/>
                <w:kern w:val="0"/>
                <w:lang w:val="es-ES_tradnl" w:eastAsia="es-CR"/>
                <w14:ligatures w14:val="none"/>
              </w:rPr>
            </w:pPr>
            <w:r w:rsidRPr="00543E6C">
              <w:rPr>
                <w:rFonts w:ascii="Calibri" w:eastAsia="Times New Roman" w:hAnsi="Calibri" w:cs="Arial"/>
                <w:b/>
                <w:i/>
                <w:iCs/>
                <w:color w:val="000000"/>
                <w:kern w:val="0"/>
                <w:lang w:val="es-ES_tradnl" w:eastAsia="es-CR"/>
                <w14:ligatures w14:val="none"/>
              </w:rPr>
              <w:t>Ensayo final</w:t>
            </w:r>
          </w:p>
          <w:p w14:paraId="17AB7307"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iCs/>
                <w:color w:val="000000"/>
                <w:kern w:val="0"/>
                <w:lang w:val="es-ES_tradnl" w:eastAsia="es-CR"/>
                <w14:ligatures w14:val="none"/>
              </w:rPr>
            </w:pPr>
            <w:r w:rsidRPr="00543E6C">
              <w:rPr>
                <w:rFonts w:ascii="Calibri" w:eastAsia="Times New Roman" w:hAnsi="Calibri" w:cs="Arial"/>
                <w:iCs/>
                <w:color w:val="000000"/>
                <w:kern w:val="0"/>
                <w:lang w:val="es-ES_tradnl" w:eastAsia="es-CR"/>
                <w14:ligatures w14:val="none"/>
              </w:rPr>
              <w:t>Se entrega en la sesión 15.</w:t>
            </w:r>
          </w:p>
        </w:tc>
        <w:tc>
          <w:tcPr>
            <w:tcW w:w="1203" w:type="dxa"/>
            <w:vAlign w:val="center"/>
          </w:tcPr>
          <w:p w14:paraId="276894A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543E6C">
              <w:rPr>
                <w:rFonts w:ascii="Calibri" w:eastAsia="Times New Roman" w:hAnsi="Calibri" w:cs="Arial"/>
                <w:bCs/>
                <w:color w:val="000000"/>
                <w:kern w:val="0"/>
                <w:lang w:val="es-ES_tradnl" w:eastAsia="es-CR"/>
                <w14:ligatures w14:val="none"/>
              </w:rPr>
              <w:t>30%</w:t>
            </w:r>
          </w:p>
        </w:tc>
      </w:tr>
      <w:tr w:rsidR="00543E6C" w:rsidRPr="00543E6C" w14:paraId="6C7989CE" w14:textId="77777777" w:rsidTr="4C9C2619">
        <w:tc>
          <w:tcPr>
            <w:tcW w:w="7517" w:type="dxa"/>
          </w:tcPr>
          <w:p w14:paraId="2E5F88E7"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t>Total</w:t>
            </w:r>
          </w:p>
        </w:tc>
        <w:tc>
          <w:tcPr>
            <w:tcW w:w="1203" w:type="dxa"/>
          </w:tcPr>
          <w:p w14:paraId="2213CBA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t>100%</w:t>
            </w:r>
          </w:p>
        </w:tc>
      </w:tr>
    </w:tbl>
    <w:p w14:paraId="0DA89B8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1862342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0A76731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7D28F291" w14:textId="77777777" w:rsidR="00543E6C" w:rsidRPr="00543E6C" w:rsidRDefault="00543E6C" w:rsidP="00543E6C">
      <w:pPr>
        <w:rPr>
          <w:rFonts w:ascii="Calibri" w:eastAsia="Times New Roman" w:hAnsi="Calibri" w:cs="Arial"/>
          <w:b/>
          <w:bCs/>
          <w:color w:val="000000"/>
          <w:kern w:val="0"/>
          <w:lang w:val="es-ES_tradnl" w:eastAsia="es-CR"/>
          <w14:ligatures w14:val="none"/>
        </w:rPr>
      </w:pPr>
      <w:r w:rsidRPr="00543E6C">
        <w:rPr>
          <w:rFonts w:ascii="Calibri" w:eastAsia="Times New Roman" w:hAnsi="Calibri" w:cs="Arial"/>
          <w:b/>
          <w:bCs/>
          <w:color w:val="000000"/>
          <w:kern w:val="0"/>
          <w:lang w:val="es-ES_tradnl" w:eastAsia="es-CR"/>
          <w14:ligatures w14:val="none"/>
        </w:rPr>
        <w:br w:type="page"/>
      </w:r>
    </w:p>
    <w:p w14:paraId="26EEA900"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sectPr w:rsidR="00543E6C" w:rsidRPr="00543E6C" w:rsidSect="005C1895">
          <w:pgSz w:w="12240" w:h="15840"/>
          <w:pgMar w:top="1417" w:right="1701" w:bottom="1417" w:left="1701" w:header="708" w:footer="708" w:gutter="0"/>
          <w:cols w:space="708"/>
          <w:docGrid w:linePitch="360"/>
        </w:sectPr>
      </w:pPr>
    </w:p>
    <w:p w14:paraId="2CD63673"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50464" behindDoc="0" locked="0" layoutInCell="1" allowOverlap="1" wp14:anchorId="6177E049" wp14:editId="4EE439F1">
                <wp:simplePos x="0" y="0"/>
                <wp:positionH relativeFrom="margin">
                  <wp:align>center</wp:align>
                </wp:positionH>
                <wp:positionV relativeFrom="paragraph">
                  <wp:posOffset>-114300</wp:posOffset>
                </wp:positionV>
                <wp:extent cx="7879080" cy="433388"/>
                <wp:effectExtent l="0" t="0" r="26670" b="24130"/>
                <wp:wrapNone/>
                <wp:docPr id="1775595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33388"/>
                        </a:xfrm>
                        <a:prstGeom prst="rect">
                          <a:avLst/>
                        </a:prstGeom>
                        <a:solidFill>
                          <a:srgbClr val="FFFFFF"/>
                        </a:solidFill>
                        <a:ln w="9525">
                          <a:solidFill>
                            <a:srgbClr val="000000"/>
                          </a:solidFill>
                          <a:miter lim="800000"/>
                          <a:headEnd/>
                          <a:tailEnd/>
                        </a:ln>
                      </wps:spPr>
                      <wps:txbx>
                        <w:txbxContent>
                          <w:p w14:paraId="6C30D7D0" w14:textId="77777777" w:rsidR="00543E6C" w:rsidRPr="00543E6C" w:rsidRDefault="00543E6C" w:rsidP="00543E6C">
                            <w:pPr>
                              <w:jc w:val="center"/>
                              <w:rPr>
                                <w:rFonts w:cs="Calibri"/>
                                <w:b/>
                                <w:szCs w:val="24"/>
                              </w:rPr>
                            </w:pPr>
                            <w:r w:rsidRPr="00543E6C">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77E049" id="_x0000_s1122" type="#_x0000_t202" style="position:absolute;left:0;text-align:left;margin-left:0;margin-top:-9pt;width:620.4pt;height:34.15pt;z-index:25235046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">
                <v:textbox>
                  <w:txbxContent>
                    <w:p w14:paraId="6C30D7D0" w14:textId="77777777" w:rsidR="00543E6C" w:rsidRPr="00543E6C" w:rsidRDefault="00543E6C" w:rsidP="00543E6C">
                      <w:pPr>
                        <w:jc w:val="center"/>
                        <w:rPr>
                          <w:rFonts w:cs="Calibri"/>
                          <w:b/>
                          <w:szCs w:val="24"/>
                        </w:rPr>
                      </w:pPr>
                      <w:r w:rsidRPr="00543E6C">
                        <w:rPr>
                          <w:rFonts w:cs="Calibri"/>
                          <w:b/>
                          <w:szCs w:val="24"/>
                        </w:rPr>
                        <w:t>RÚBRICA DE EVALUACIÓN – FORO TEMÁTICO</w:t>
                      </w:r>
                    </w:p>
                  </w:txbxContent>
                </v:textbox>
                <w10:wrap anchorx="margin"/>
              </v:shape>
            </w:pict>
          </mc:Fallback>
        </mc:AlternateContent>
      </w:r>
    </w:p>
    <w:p w14:paraId="30F39E43"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0D0B4AEE"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0546571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Un foro es una herramienta virtual asincrónica que constituye un escenario virtual de debate sobre un tema particular, que permite el intercambio de los aportes propios y la réplica a los aportes de otras personas compañeras. Se desarrollan en las sesiones 1, 6, 10 y 14. Cada foro tiene un valor de 5%.</w:t>
      </w:r>
    </w:p>
    <w:p w14:paraId="7687E3E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63EC08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drawing>
          <wp:anchor distT="0" distB="0" distL="114300" distR="114300" simplePos="0" relativeHeight="252351488" behindDoc="0" locked="0" layoutInCell="1" allowOverlap="1" wp14:anchorId="248FC232" wp14:editId="3A19C45E">
            <wp:simplePos x="0" y="0"/>
            <wp:positionH relativeFrom="margin">
              <wp:align>center</wp:align>
            </wp:positionH>
            <wp:positionV relativeFrom="paragraph">
              <wp:posOffset>61595</wp:posOffset>
            </wp:positionV>
            <wp:extent cx="8315325" cy="6011864"/>
            <wp:effectExtent l="0" t="0" r="0" b="8255"/>
            <wp:wrapNone/>
            <wp:docPr id="63501660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16603" name="Imagen 1" descr="Tabla&#10;&#10;Descripción generada automáticamente"/>
                    <pic:cNvPicPr/>
                  </pic:nvPicPr>
                  <pic:blipFill>
                    <a:blip r:embed="rId229">
                      <a:extLst>
                        <a:ext uri="{28A0092B-C50C-407E-A947-70E740481C1C}">
                          <a14:useLocalDpi xmlns:a14="http://schemas.microsoft.com/office/drawing/2010/main" val="0"/>
                        </a:ext>
                      </a:extLst>
                    </a:blip>
                    <a:stretch>
                      <a:fillRect/>
                    </a:stretch>
                  </pic:blipFill>
                  <pic:spPr>
                    <a:xfrm>
                      <a:off x="0" y="0"/>
                      <a:ext cx="8315325" cy="6011864"/>
                    </a:xfrm>
                    <a:prstGeom prst="rect">
                      <a:avLst/>
                    </a:prstGeom>
                  </pic:spPr>
                </pic:pic>
              </a:graphicData>
            </a:graphic>
            <wp14:sizeRelH relativeFrom="margin">
              <wp14:pctWidth>0</wp14:pctWidth>
            </wp14:sizeRelH>
            <wp14:sizeRelV relativeFrom="margin">
              <wp14:pctHeight>0</wp14:pctHeight>
            </wp14:sizeRelV>
          </wp:anchor>
        </w:drawing>
      </w:r>
    </w:p>
    <w:p w14:paraId="406CCA1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Cs w:val="24"/>
          <w:lang w:val="es-ES_tradnl" w:eastAsia="es-CR"/>
          <w14:ligatures w14:val="none"/>
        </w:rPr>
      </w:pPr>
    </w:p>
    <w:p w14:paraId="2891C666"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color w:val="000000"/>
          <w:kern w:val="0"/>
          <w:szCs w:val="24"/>
          <w:lang w:val="es-ES_tradnl" w:eastAsia="es-CR"/>
          <w14:ligatures w14:val="none"/>
        </w:rPr>
        <w:br w:type="page"/>
      </w:r>
    </w:p>
    <w:p w14:paraId="7B74FC0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352512" behindDoc="0" locked="0" layoutInCell="1" allowOverlap="1" wp14:anchorId="098F1993" wp14:editId="51D4E48F">
                <wp:simplePos x="0" y="0"/>
                <wp:positionH relativeFrom="margin">
                  <wp:align>center</wp:align>
                </wp:positionH>
                <wp:positionV relativeFrom="paragraph">
                  <wp:posOffset>0</wp:posOffset>
                </wp:positionV>
                <wp:extent cx="6606540" cy="411480"/>
                <wp:effectExtent l="0" t="0" r="22860" b="26670"/>
                <wp:wrapNone/>
                <wp:docPr id="1615405596"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72F37BA4" w14:textId="77777777" w:rsidR="00543E6C" w:rsidRPr="00543E6C" w:rsidRDefault="00543E6C" w:rsidP="00543E6C">
                            <w:pPr>
                              <w:jc w:val="center"/>
                              <w:rPr>
                                <w:rFonts w:cs="Calibri"/>
                              </w:rPr>
                            </w:pPr>
                            <w:r w:rsidRPr="00543E6C">
                              <w:rPr>
                                <w:rFonts w:cs="Calibri"/>
                                <w:b/>
                              </w:rPr>
                              <w:t>RÚBRICA DE EVALUACIÓN – RESEÑA CRÍTICA DE LECTURA</w:t>
                            </w:r>
                          </w:p>
                          <w:p w14:paraId="01DB2809" w14:textId="77777777" w:rsidR="00543E6C" w:rsidRPr="00543E6C" w:rsidRDefault="00543E6C" w:rsidP="00543E6C">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8F1993" id="_x0000_s1123" type="#_x0000_t202" style="position:absolute;left:0;text-align:left;margin-left:0;margin-top:0;width:520.2pt;height:32.4pt;z-index:2523525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" fillcolor="window" strokeweight=".5pt">
                <v:textbox>
                  <w:txbxContent>
                    <w:p w14:paraId="72F37BA4" w14:textId="77777777" w:rsidR="00543E6C" w:rsidRPr="00543E6C" w:rsidRDefault="00543E6C" w:rsidP="00543E6C">
                      <w:pPr>
                        <w:jc w:val="center"/>
                        <w:rPr>
                          <w:rFonts w:cs="Calibri"/>
                        </w:rPr>
                      </w:pPr>
                      <w:r w:rsidRPr="00543E6C">
                        <w:rPr>
                          <w:rFonts w:cs="Calibri"/>
                          <w:b/>
                        </w:rPr>
                        <w:t>RÚBRICA DE EVALUACIÓN – RESEÑA CRÍTICA DE LECTURA</w:t>
                      </w:r>
                    </w:p>
                    <w:p w14:paraId="01DB2809" w14:textId="77777777" w:rsidR="00543E6C" w:rsidRPr="00543E6C" w:rsidRDefault="00543E6C" w:rsidP="00543E6C">
                      <w:pPr>
                        <w:jc w:val="center"/>
                        <w:rPr>
                          <w:rFonts w:cs="Calibri"/>
                        </w:rPr>
                      </w:pPr>
                    </w:p>
                  </w:txbxContent>
                </v:textbox>
                <w10:wrap anchorx="margin"/>
              </v:shape>
            </w:pict>
          </mc:Fallback>
        </mc:AlternateContent>
      </w:r>
    </w:p>
    <w:p w14:paraId="51F6D6D1"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059BE413"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48895FB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9295C1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La reseña crítica es un texto argumentativo y expositivo que nace del análisis de las ideas contenidas en la lectura a reseñar. Se elaboran en las sesiones 2, 4, 7, 9 y 12. Cada reseña tiene un valor de 5%.</w:t>
      </w:r>
    </w:p>
    <w:p w14:paraId="22BE1D0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26C13A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73B72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noProof/>
          <w:color w:val="000000"/>
          <w:kern w:val="0"/>
          <w:szCs w:val="24"/>
          <w:lang w:val="es-ES_tradnl" w:eastAsia="es-CR"/>
          <w14:ligatures w14:val="none"/>
        </w:rPr>
        <w:drawing>
          <wp:anchor distT="0" distB="0" distL="114300" distR="114300" simplePos="0" relativeHeight="252353536" behindDoc="0" locked="0" layoutInCell="1" allowOverlap="1" wp14:anchorId="6F5118B7" wp14:editId="152E0B5C">
            <wp:simplePos x="0" y="0"/>
            <wp:positionH relativeFrom="column">
              <wp:posOffset>0</wp:posOffset>
            </wp:positionH>
            <wp:positionV relativeFrom="paragraph">
              <wp:posOffset>-1905</wp:posOffset>
            </wp:positionV>
            <wp:extent cx="9144000" cy="4911725"/>
            <wp:effectExtent l="0" t="0" r="0" b="3175"/>
            <wp:wrapNone/>
            <wp:docPr id="1648303025"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303025" name="Imagen 2" descr="Tabla&#10;&#10;Descripción generada automáticamente"/>
                    <pic:cNvPicPr/>
                  </pic:nvPicPr>
                  <pic:blipFill>
                    <a:blip r:embed="rId230">
                      <a:extLst>
                        <a:ext uri="{28A0092B-C50C-407E-A947-70E740481C1C}">
                          <a14:useLocalDpi xmlns:a14="http://schemas.microsoft.com/office/drawing/2010/main" val="0"/>
                        </a:ext>
                      </a:extLst>
                    </a:blip>
                    <a:stretch>
                      <a:fillRect/>
                    </a:stretch>
                  </pic:blipFill>
                  <pic:spPr>
                    <a:xfrm>
                      <a:off x="0" y="0"/>
                      <a:ext cx="9144000" cy="4911725"/>
                    </a:xfrm>
                    <a:prstGeom prst="rect">
                      <a:avLst/>
                    </a:prstGeom>
                  </pic:spPr>
                </pic:pic>
              </a:graphicData>
            </a:graphic>
          </wp:anchor>
        </w:drawing>
      </w:r>
    </w:p>
    <w:p w14:paraId="7EA710CB"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color w:val="000000"/>
          <w:kern w:val="0"/>
          <w:szCs w:val="24"/>
          <w:lang w:val="es-ES_tradnl" w:eastAsia="es-CR"/>
          <w14:ligatures w14:val="none"/>
        </w:rPr>
        <w:br w:type="page"/>
      </w:r>
    </w:p>
    <w:p w14:paraId="6A3C4011"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eastAsia="es-CR"/>
          <w14:ligatures w14:val="none"/>
        </w:rPr>
      </w:pPr>
      <w:r w:rsidRPr="00543E6C">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354560" behindDoc="0" locked="0" layoutInCell="1" allowOverlap="1" wp14:anchorId="22768B09" wp14:editId="38C09E1A">
                <wp:simplePos x="0" y="0"/>
                <wp:positionH relativeFrom="margin">
                  <wp:align>center</wp:align>
                </wp:positionH>
                <wp:positionV relativeFrom="paragraph">
                  <wp:posOffset>-138112</wp:posOffset>
                </wp:positionV>
                <wp:extent cx="6606540" cy="411480"/>
                <wp:effectExtent l="0" t="0" r="22860" b="26670"/>
                <wp:wrapNone/>
                <wp:docPr id="1922345909" name="Cuadro de texto 1922345909"/>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E55B8AF" w14:textId="77777777" w:rsidR="00543E6C" w:rsidRPr="00543E6C" w:rsidRDefault="00543E6C" w:rsidP="00543E6C">
                            <w:pPr>
                              <w:jc w:val="center"/>
                              <w:rPr>
                                <w:rFonts w:cs="Calibri"/>
                              </w:rPr>
                            </w:pPr>
                            <w:r w:rsidRPr="00543E6C">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68B09" id="Cuadro de texto 1922345909" o:spid="_x0000_s1124" type="#_x0000_t202" style="position:absolute;left:0;text-align:left;margin-left:0;margin-top:-10.85pt;width:520.2pt;height:32.4pt;z-index:2523545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" fillcolor="window" strokeweight=".5pt">
                <v:textbox>
                  <w:txbxContent>
                    <w:p w14:paraId="1E55B8AF" w14:textId="77777777" w:rsidR="00543E6C" w:rsidRPr="00543E6C" w:rsidRDefault="00543E6C" w:rsidP="00543E6C">
                      <w:pPr>
                        <w:jc w:val="center"/>
                        <w:rPr>
                          <w:rFonts w:cs="Calibri"/>
                        </w:rPr>
                      </w:pPr>
                      <w:r w:rsidRPr="00543E6C">
                        <w:rPr>
                          <w:rFonts w:cs="Calibri"/>
                          <w:b/>
                        </w:rPr>
                        <w:t>RÚBRICA DE EVALUACIÓN – GLOSARIO</w:t>
                      </w:r>
                    </w:p>
                  </w:txbxContent>
                </v:textbox>
                <w10:wrap anchorx="margin"/>
              </v:shape>
            </w:pict>
          </mc:Fallback>
        </mc:AlternateContent>
      </w:r>
    </w:p>
    <w:p w14:paraId="2472C3F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eastAsia="es-CR"/>
          <w14:ligatures w14:val="none"/>
        </w:rPr>
      </w:pPr>
    </w:p>
    <w:p w14:paraId="61D58565"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eastAsia="es-CR"/>
          <w14:ligatures w14:val="none"/>
        </w:rPr>
      </w:pPr>
    </w:p>
    <w:p w14:paraId="576B4E4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Se elaborará, de forma colectiva, un glosario sobre los principales elementos del Reino de Dios, lo cual contribuirá en el manejo y la profundización de conceptos claves de la cristología. Se desarrolla en la sesión 3 y tiene un valor de 5%.</w:t>
      </w:r>
    </w:p>
    <w:p w14:paraId="4AA6EAC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089F79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noProof/>
          <w:color w:val="000000"/>
          <w:kern w:val="0"/>
          <w:szCs w:val="24"/>
          <w:lang w:val="es-ES_tradnl" w:eastAsia="es-CR"/>
          <w14:ligatures w14:val="none"/>
        </w:rPr>
        <w:drawing>
          <wp:anchor distT="0" distB="0" distL="114300" distR="114300" simplePos="0" relativeHeight="252355584" behindDoc="0" locked="0" layoutInCell="1" allowOverlap="1" wp14:anchorId="507E305F" wp14:editId="1412A00E">
            <wp:simplePos x="0" y="0"/>
            <wp:positionH relativeFrom="margin">
              <wp:align>center</wp:align>
            </wp:positionH>
            <wp:positionV relativeFrom="paragraph">
              <wp:posOffset>281623</wp:posOffset>
            </wp:positionV>
            <wp:extent cx="7851648" cy="5394960"/>
            <wp:effectExtent l="0" t="0" r="0" b="0"/>
            <wp:wrapNone/>
            <wp:docPr id="311385205"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85205" name="Imagen 3" descr="Tabla&#10;&#10;Descripción generada automáticamente"/>
                    <pic:cNvPicPr/>
                  </pic:nvPicPr>
                  <pic:blipFill>
                    <a:blip r:embed="rId231">
                      <a:extLst>
                        <a:ext uri="{28A0092B-C50C-407E-A947-70E740481C1C}">
                          <a14:useLocalDpi xmlns:a14="http://schemas.microsoft.com/office/drawing/2010/main" val="0"/>
                        </a:ext>
                      </a:extLst>
                    </a:blip>
                    <a:stretch>
                      <a:fillRect/>
                    </a:stretch>
                  </pic:blipFill>
                  <pic:spPr>
                    <a:xfrm>
                      <a:off x="0" y="0"/>
                      <a:ext cx="7851648" cy="5394960"/>
                    </a:xfrm>
                    <a:prstGeom prst="rect">
                      <a:avLst/>
                    </a:prstGeom>
                  </pic:spPr>
                </pic:pic>
              </a:graphicData>
            </a:graphic>
          </wp:anchor>
        </w:drawing>
      </w:r>
      <w:r w:rsidRPr="00543E6C">
        <w:rPr>
          <w:rFonts w:ascii="Calibri" w:eastAsia="Times New Roman" w:hAnsi="Calibri" w:cs="Calibri"/>
          <w:b/>
          <w:bCs/>
          <w:color w:val="000000"/>
          <w:kern w:val="0"/>
          <w:szCs w:val="24"/>
          <w:lang w:val="es-ES_tradnl" w:eastAsia="es-CR"/>
          <w14:ligatures w14:val="none"/>
        </w:rPr>
        <w:br w:type="page"/>
      </w:r>
    </w:p>
    <w:p w14:paraId="47EB2149"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szCs w:val="24"/>
          <w:lang w:val="es-ES_tradnl" w:eastAsia="es-CR"/>
          <w14:ligatures w14:val="none"/>
        </w:rPr>
      </w:pPr>
      <w:r w:rsidRPr="00543E6C">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356608" behindDoc="0" locked="0" layoutInCell="1" allowOverlap="1" wp14:anchorId="2992F003" wp14:editId="050E5C0A">
                <wp:simplePos x="0" y="0"/>
                <wp:positionH relativeFrom="margin">
                  <wp:align>center</wp:align>
                </wp:positionH>
                <wp:positionV relativeFrom="paragraph">
                  <wp:posOffset>-119062</wp:posOffset>
                </wp:positionV>
                <wp:extent cx="6697980" cy="433388"/>
                <wp:effectExtent l="0" t="0" r="26670" b="24130"/>
                <wp:wrapNone/>
                <wp:docPr id="234600354" name="Rectángulo 234600354"/>
                <wp:cNvGraphicFramePr/>
                <a:graphic xmlns:a="http://schemas.openxmlformats.org/drawingml/2006/main">
                  <a:graphicData uri="http://schemas.microsoft.com/office/word/2010/wordprocessingShape">
                    <wps:wsp>
                      <wps:cNvSpPr/>
                      <wps:spPr>
                        <a:xfrm>
                          <a:off x="0" y="0"/>
                          <a:ext cx="6697980" cy="433388"/>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4F30DF4" w14:textId="77777777" w:rsidR="00543E6C" w:rsidRPr="00543E6C" w:rsidRDefault="00543E6C" w:rsidP="00543E6C">
                            <w:pPr>
                              <w:jc w:val="center"/>
                              <w:rPr>
                                <w:rFonts w:cs="Calibri"/>
                                <w:b/>
                              </w:rPr>
                            </w:pPr>
                            <w:r w:rsidRPr="00543E6C">
                              <w:rPr>
                                <w:rFonts w:cs="Calibri"/>
                                <w:b/>
                              </w:rPr>
                              <w:t>RÚBRICA DE EVALUACIÓN – MAPA CONCEPTUAL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2F003" id="Rectángulo 234600354" o:spid="_x0000_s1125" style="position:absolute;left:0;text-align:left;margin-left:0;margin-top:-9.35pt;width:527.4pt;height:34.15pt;z-index:25235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" fillcolor="window" strokecolor="windowText" strokeweight=".25pt">
                <v:textbox>
                  <w:txbxContent>
                    <w:p w14:paraId="24F30DF4" w14:textId="77777777" w:rsidR="00543E6C" w:rsidRPr="00543E6C" w:rsidRDefault="00543E6C" w:rsidP="00543E6C">
                      <w:pPr>
                        <w:jc w:val="center"/>
                        <w:rPr>
                          <w:rFonts w:cs="Calibri"/>
                          <w:b/>
                        </w:rPr>
                      </w:pPr>
                      <w:r w:rsidRPr="00543E6C">
                        <w:rPr>
                          <w:rFonts w:cs="Calibri"/>
                          <w:b/>
                        </w:rPr>
                        <w:t>RÚBRICA DE EVALUACIÓN – MAPA CONCEPTUAL</w:t>
                      </w:r>
                    </w:p>
                  </w:txbxContent>
                </v:textbox>
                <w10:wrap anchorx="margin"/>
              </v:rect>
            </w:pict>
          </mc:Fallback>
        </mc:AlternateContent>
      </w:r>
    </w:p>
    <w:p w14:paraId="2268BC6C"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szCs w:val="24"/>
          <w:lang w:val="es-ES_tradnl" w:eastAsia="es-CR"/>
          <w14:ligatures w14:val="none"/>
        </w:rPr>
      </w:pPr>
    </w:p>
    <w:p w14:paraId="27114471"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szCs w:val="24"/>
          <w:lang w:val="es-ES_tradnl" w:eastAsia="es-CR"/>
          <w14:ligatures w14:val="none"/>
        </w:rPr>
      </w:pPr>
    </w:p>
    <w:p w14:paraId="5C7B684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El mapa conceptual es una estrategia de aprendizaje para organizar los aportes y conocimientos que nos brindan documentos escritos, al lograr representar en un mapa y graficar los conceptos y sus derivaciones. Se elaboran en las sesiones 5 y 13. Cada mapa tiene un valor de 5%.</w:t>
      </w:r>
    </w:p>
    <w:p w14:paraId="055C8C1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A762FF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drawing>
          <wp:anchor distT="0" distB="0" distL="114300" distR="114300" simplePos="0" relativeHeight="252357632" behindDoc="0" locked="0" layoutInCell="1" allowOverlap="1" wp14:anchorId="12EDA0E9" wp14:editId="4142C3BD">
            <wp:simplePos x="0" y="0"/>
            <wp:positionH relativeFrom="margin">
              <wp:align>center</wp:align>
            </wp:positionH>
            <wp:positionV relativeFrom="paragraph">
              <wp:posOffset>115888</wp:posOffset>
            </wp:positionV>
            <wp:extent cx="8482647" cy="5509648"/>
            <wp:effectExtent l="0" t="0" r="0" b="0"/>
            <wp:wrapNone/>
            <wp:docPr id="1904031823"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031823" name="Imagen 4" descr="Tabla&#10;&#10;Descripción generada automáticamente"/>
                    <pic:cNvPicPr/>
                  </pic:nvPicPr>
                  <pic:blipFill>
                    <a:blip r:embed="rId232">
                      <a:extLst>
                        <a:ext uri="{28A0092B-C50C-407E-A947-70E740481C1C}">
                          <a14:useLocalDpi xmlns:a14="http://schemas.microsoft.com/office/drawing/2010/main" val="0"/>
                        </a:ext>
                      </a:extLst>
                    </a:blip>
                    <a:stretch>
                      <a:fillRect/>
                    </a:stretch>
                  </pic:blipFill>
                  <pic:spPr>
                    <a:xfrm>
                      <a:off x="0" y="0"/>
                      <a:ext cx="8482647" cy="5509648"/>
                    </a:xfrm>
                    <a:prstGeom prst="rect">
                      <a:avLst/>
                    </a:prstGeom>
                  </pic:spPr>
                </pic:pic>
              </a:graphicData>
            </a:graphic>
            <wp14:sizeRelH relativeFrom="margin">
              <wp14:pctWidth>0</wp14:pctWidth>
            </wp14:sizeRelH>
            <wp14:sizeRelV relativeFrom="margin">
              <wp14:pctHeight>0</wp14:pctHeight>
            </wp14:sizeRelV>
          </wp:anchor>
        </w:drawing>
      </w:r>
    </w:p>
    <w:p w14:paraId="331AA44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01DA65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C8424D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485100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FC5064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48DD56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041094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A0D53A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C4F723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EDD1FB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417704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23A11E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8CCBB4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1398B2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79B3FE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9EECB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9046D4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9E1942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DFCDDE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8D9C2E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518006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4D41E0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890A54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02120C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1F374E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3D83FA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A0F721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D98B6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6A0CD3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1EC959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C336B9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BB3606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B8787B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96D9DC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58656" behindDoc="0" locked="0" layoutInCell="1" allowOverlap="1" wp14:anchorId="395C133C" wp14:editId="1C5ABC04">
                <wp:simplePos x="0" y="0"/>
                <wp:positionH relativeFrom="margin">
                  <wp:align>center</wp:align>
                </wp:positionH>
                <wp:positionV relativeFrom="paragraph">
                  <wp:posOffset>-635</wp:posOffset>
                </wp:positionV>
                <wp:extent cx="7482840" cy="335280"/>
                <wp:effectExtent l="0" t="0" r="22860" b="26670"/>
                <wp:wrapNone/>
                <wp:docPr id="1517187383"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2840" cy="33528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3C7CAB2" w14:textId="77777777" w:rsidR="00543E6C" w:rsidRPr="00543E6C" w:rsidRDefault="00543E6C" w:rsidP="00543E6C">
                            <w:pPr>
                              <w:spacing w:before="70"/>
                              <w:ind w:right="2987"/>
                              <w:jc w:val="center"/>
                              <w:rPr>
                                <w:rFonts w:cs="Calibri"/>
                                <w:b/>
                              </w:rPr>
                            </w:pPr>
                            <w:r w:rsidRPr="00543E6C">
                              <w:rPr>
                                <w:rFonts w:cs="Calibri"/>
                                <w:b/>
                              </w:rPr>
                              <w:t>ESCALA</w:t>
                            </w:r>
                            <w:r w:rsidRPr="00543E6C">
                              <w:rPr>
                                <w:rFonts w:cs="Calibri"/>
                                <w:b/>
                                <w:spacing w:val="-1"/>
                              </w:rPr>
                              <w:t xml:space="preserve"> </w:t>
                            </w:r>
                            <w:r w:rsidRPr="00543E6C">
                              <w:rPr>
                                <w:rFonts w:cs="Calibri"/>
                                <w:b/>
                              </w:rPr>
                              <w:t>DE</w:t>
                            </w:r>
                            <w:r w:rsidRPr="00543E6C">
                              <w:rPr>
                                <w:rFonts w:cs="Calibri"/>
                                <w:b/>
                                <w:spacing w:val="-6"/>
                              </w:rPr>
                              <w:t xml:space="preserve"> </w:t>
                            </w:r>
                            <w:r w:rsidRPr="00543E6C">
                              <w:rPr>
                                <w:rFonts w:cs="Calibri"/>
                                <w:b/>
                              </w:rPr>
                              <w:t>EVALUACIÓN</w:t>
                            </w:r>
                            <w:r w:rsidRPr="00543E6C">
                              <w:rPr>
                                <w:rFonts w:cs="Calibri"/>
                                <w:b/>
                                <w:spacing w:val="-1"/>
                              </w:rPr>
                              <w:t xml:space="preserve"> </w:t>
                            </w:r>
                            <w:r w:rsidRPr="00543E6C">
                              <w:rPr>
                                <w:rFonts w:cs="Calibri"/>
                                <w:b/>
                              </w:rPr>
                              <w:t>–</w:t>
                            </w:r>
                            <w:r w:rsidRPr="00543E6C">
                              <w:rPr>
                                <w:rFonts w:cs="Calibri"/>
                                <w:b/>
                                <w:spacing w:val="-2"/>
                              </w:rPr>
                              <w:t xml:space="preserve"> </w:t>
                            </w:r>
                            <w:r w:rsidRPr="00543E6C">
                              <w:rPr>
                                <w:rFonts w:cs="Calibri"/>
                                <w:b/>
                              </w:rPr>
                              <w:t>ESTUDIO</w:t>
                            </w:r>
                            <w:r w:rsidRPr="00543E6C">
                              <w:rPr>
                                <w:rFonts w:cs="Calibri"/>
                                <w:b/>
                                <w:spacing w:val="-3"/>
                              </w:rPr>
                              <w:t xml:space="preserve"> </w:t>
                            </w:r>
                            <w:r w:rsidRPr="00543E6C">
                              <w:rPr>
                                <w:rFonts w:cs="Calibri"/>
                                <w:b/>
                              </w:rPr>
                              <w:t>DE</w:t>
                            </w:r>
                            <w:r w:rsidRPr="00543E6C">
                              <w:rPr>
                                <w:rFonts w:cs="Calibri"/>
                                <w:b/>
                                <w:spacing w:val="-6"/>
                              </w:rPr>
                              <w:t xml:space="preserve"> </w:t>
                            </w:r>
                            <w:r w:rsidRPr="00543E6C">
                              <w:rPr>
                                <w:rFonts w:cs="Calibri"/>
                                <w:b/>
                              </w:rPr>
                              <w:t>UN</w:t>
                            </w:r>
                            <w:r w:rsidRPr="00543E6C">
                              <w:rPr>
                                <w:rFonts w:cs="Calibri"/>
                                <w:b/>
                                <w:spacing w:val="-3"/>
                              </w:rPr>
                              <w:t xml:space="preserve"> </w:t>
                            </w:r>
                            <w:r w:rsidRPr="00543E6C">
                              <w:rPr>
                                <w:rFonts w:cs="Calibri"/>
                                <w:b/>
                              </w:rPr>
                              <w:t>TEXTO</w:t>
                            </w:r>
                            <w:r w:rsidRPr="00543E6C">
                              <w:rPr>
                                <w:rFonts w:cs="Calibri"/>
                                <w:b/>
                                <w:spacing w:val="-3"/>
                              </w:rPr>
                              <w:t xml:space="preserve"> </w:t>
                            </w:r>
                            <w:r w:rsidRPr="00543E6C">
                              <w:rPr>
                                <w:rFonts w:cs="Calibri"/>
                                <w:b/>
                              </w:rPr>
                              <w:t>BÍBLICO</w:t>
                            </w:r>
                          </w:p>
                        </w:txbxContent>
                      </wps:txbx>
                      <wps:bodyPr rot="0" vert="horz" wrap="square" lIns="0" tIns="0" rIns="0" bIns="0" anchor="t" anchorCtr="0" upright="1">
                        <a:noAutofit/>
                      </wps:bodyPr>
                    </wps:wsp>
                  </a:graphicData>
                </a:graphic>
              </wp:anchor>
            </w:drawing>
          </mc:Choice>
          <mc:Fallback>
            <w:pict>
              <v:shape w14:anchorId="395C133C" id="Cuadro de texto 6" o:spid="_x0000_s1126" type="#_x0000_t202" style="position:absolute;left:0;text-align:left;margin-left:0;margin-top:-.05pt;width:589.2pt;height:26.4pt;z-index:2523586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" filled="f" strokeweight=".72pt">
                <v:textbox inset="0,0,0,0">
                  <w:txbxContent>
                    <w:p w14:paraId="73C7CAB2" w14:textId="77777777" w:rsidR="00543E6C" w:rsidRPr="00543E6C" w:rsidRDefault="00543E6C" w:rsidP="00543E6C">
                      <w:pPr>
                        <w:spacing w:before="70"/>
                        <w:ind w:right="2987"/>
                        <w:jc w:val="center"/>
                        <w:rPr>
                          <w:rFonts w:cs="Calibri"/>
                          <w:b/>
                        </w:rPr>
                      </w:pPr>
                      <w:r w:rsidRPr="00543E6C">
                        <w:rPr>
                          <w:rFonts w:cs="Calibri"/>
                          <w:b/>
                        </w:rPr>
                        <w:t>ESCALA</w:t>
                      </w:r>
                      <w:r w:rsidRPr="00543E6C">
                        <w:rPr>
                          <w:rFonts w:cs="Calibri"/>
                          <w:b/>
                          <w:spacing w:val="-1"/>
                        </w:rPr>
                        <w:t xml:space="preserve"> </w:t>
                      </w:r>
                      <w:r w:rsidRPr="00543E6C">
                        <w:rPr>
                          <w:rFonts w:cs="Calibri"/>
                          <w:b/>
                        </w:rPr>
                        <w:t>DE</w:t>
                      </w:r>
                      <w:r w:rsidRPr="00543E6C">
                        <w:rPr>
                          <w:rFonts w:cs="Calibri"/>
                          <w:b/>
                          <w:spacing w:val="-6"/>
                        </w:rPr>
                        <w:t xml:space="preserve"> </w:t>
                      </w:r>
                      <w:r w:rsidRPr="00543E6C">
                        <w:rPr>
                          <w:rFonts w:cs="Calibri"/>
                          <w:b/>
                        </w:rPr>
                        <w:t>EVALUACIÓN</w:t>
                      </w:r>
                      <w:r w:rsidRPr="00543E6C">
                        <w:rPr>
                          <w:rFonts w:cs="Calibri"/>
                          <w:b/>
                          <w:spacing w:val="-1"/>
                        </w:rPr>
                        <w:t xml:space="preserve"> </w:t>
                      </w:r>
                      <w:r w:rsidRPr="00543E6C">
                        <w:rPr>
                          <w:rFonts w:cs="Calibri"/>
                          <w:b/>
                        </w:rPr>
                        <w:t>–</w:t>
                      </w:r>
                      <w:r w:rsidRPr="00543E6C">
                        <w:rPr>
                          <w:rFonts w:cs="Calibri"/>
                          <w:b/>
                          <w:spacing w:val="-2"/>
                        </w:rPr>
                        <w:t xml:space="preserve"> </w:t>
                      </w:r>
                      <w:r w:rsidRPr="00543E6C">
                        <w:rPr>
                          <w:rFonts w:cs="Calibri"/>
                          <w:b/>
                        </w:rPr>
                        <w:t>ESTUDIO</w:t>
                      </w:r>
                      <w:r w:rsidRPr="00543E6C">
                        <w:rPr>
                          <w:rFonts w:cs="Calibri"/>
                          <w:b/>
                          <w:spacing w:val="-3"/>
                        </w:rPr>
                        <w:t xml:space="preserve"> </w:t>
                      </w:r>
                      <w:r w:rsidRPr="00543E6C">
                        <w:rPr>
                          <w:rFonts w:cs="Calibri"/>
                          <w:b/>
                        </w:rPr>
                        <w:t>DE</w:t>
                      </w:r>
                      <w:r w:rsidRPr="00543E6C">
                        <w:rPr>
                          <w:rFonts w:cs="Calibri"/>
                          <w:b/>
                          <w:spacing w:val="-6"/>
                        </w:rPr>
                        <w:t xml:space="preserve"> </w:t>
                      </w:r>
                      <w:r w:rsidRPr="00543E6C">
                        <w:rPr>
                          <w:rFonts w:cs="Calibri"/>
                          <w:b/>
                        </w:rPr>
                        <w:t>UN</w:t>
                      </w:r>
                      <w:r w:rsidRPr="00543E6C">
                        <w:rPr>
                          <w:rFonts w:cs="Calibri"/>
                          <w:b/>
                          <w:spacing w:val="-3"/>
                        </w:rPr>
                        <w:t xml:space="preserve"> </w:t>
                      </w:r>
                      <w:r w:rsidRPr="00543E6C">
                        <w:rPr>
                          <w:rFonts w:cs="Calibri"/>
                          <w:b/>
                        </w:rPr>
                        <w:t>TEXTO</w:t>
                      </w:r>
                      <w:r w:rsidRPr="00543E6C">
                        <w:rPr>
                          <w:rFonts w:cs="Calibri"/>
                          <w:b/>
                          <w:spacing w:val="-3"/>
                        </w:rPr>
                        <w:t xml:space="preserve"> </w:t>
                      </w:r>
                      <w:r w:rsidRPr="00543E6C">
                        <w:rPr>
                          <w:rFonts w:cs="Calibri"/>
                          <w:b/>
                        </w:rPr>
                        <w:t>BÍBLICO</w:t>
                      </w:r>
                    </w:p>
                  </w:txbxContent>
                </v:textbox>
                <w10:wrap anchorx="margin"/>
              </v:shape>
            </w:pict>
          </mc:Fallback>
        </mc:AlternateContent>
      </w:r>
    </w:p>
    <w:p w14:paraId="4D4B3E5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AA2DE3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5343C6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Durante la sesión 8 se elaborará un trabajo grupal en el cual se estudiará, de forma exegética y hermenéutica, el evento de la resurrección narrado en los evangelios a partir del texto de Lucas 24, 1-12. Tiene un valor de 5%.</w:t>
      </w:r>
    </w:p>
    <w:p w14:paraId="2FFCF88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6D7421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B0F272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drawing>
          <wp:anchor distT="0" distB="0" distL="114300" distR="114300" simplePos="0" relativeHeight="252359680" behindDoc="0" locked="0" layoutInCell="1" allowOverlap="1" wp14:anchorId="5FEBA969" wp14:editId="6ECF17AE">
            <wp:simplePos x="0" y="0"/>
            <wp:positionH relativeFrom="margin">
              <wp:align>center</wp:align>
            </wp:positionH>
            <wp:positionV relativeFrom="paragraph">
              <wp:posOffset>148908</wp:posOffset>
            </wp:positionV>
            <wp:extent cx="8223504" cy="4102608"/>
            <wp:effectExtent l="0" t="0" r="6350" b="0"/>
            <wp:wrapNone/>
            <wp:docPr id="532543277"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43277" name="Imagen 7" descr="Tabla&#10;&#10;Descripción generada automáticamente"/>
                    <pic:cNvPicPr/>
                  </pic:nvPicPr>
                  <pic:blipFill>
                    <a:blip r:embed="rId233">
                      <a:extLst>
                        <a:ext uri="{28A0092B-C50C-407E-A947-70E740481C1C}">
                          <a14:useLocalDpi xmlns:a14="http://schemas.microsoft.com/office/drawing/2010/main" val="0"/>
                        </a:ext>
                      </a:extLst>
                    </a:blip>
                    <a:stretch>
                      <a:fillRect/>
                    </a:stretch>
                  </pic:blipFill>
                  <pic:spPr>
                    <a:xfrm>
                      <a:off x="0" y="0"/>
                      <a:ext cx="8223504" cy="4102608"/>
                    </a:xfrm>
                    <a:prstGeom prst="rect">
                      <a:avLst/>
                    </a:prstGeom>
                  </pic:spPr>
                </pic:pic>
              </a:graphicData>
            </a:graphic>
          </wp:anchor>
        </w:drawing>
      </w:r>
    </w:p>
    <w:p w14:paraId="6F5EB36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F14556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A1CF6B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431509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2EEDFE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111137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7246E9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BB3265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2D3AEA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DDF1F1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3B8B5E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02876F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B6936E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E6C0CD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235748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7C4A33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DB5F04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7CF032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BB977B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53375D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23B727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DA3517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D7A17D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FF0FDC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B43919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A34CB0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65CE97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575369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CBD5B2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76009B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A61A40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EDF2FC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338FA2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60704" behindDoc="0" locked="0" layoutInCell="1" allowOverlap="1" wp14:anchorId="19CC55B1" wp14:editId="4F0014EE">
                <wp:simplePos x="0" y="0"/>
                <wp:positionH relativeFrom="column">
                  <wp:posOffset>991870</wp:posOffset>
                </wp:positionH>
                <wp:positionV relativeFrom="paragraph">
                  <wp:posOffset>8890</wp:posOffset>
                </wp:positionV>
                <wp:extent cx="7162800" cy="320040"/>
                <wp:effectExtent l="0" t="0" r="19050" b="22860"/>
                <wp:wrapNone/>
                <wp:docPr id="152329150"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0" cy="32004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805A480" w14:textId="77777777" w:rsidR="00543E6C" w:rsidRPr="00543E6C" w:rsidRDefault="00543E6C" w:rsidP="00543E6C">
                            <w:pPr>
                              <w:spacing w:before="70"/>
                              <w:ind w:right="3115"/>
                              <w:jc w:val="center"/>
                              <w:rPr>
                                <w:rFonts w:cs="Calibri"/>
                                <w:b/>
                              </w:rPr>
                            </w:pPr>
                            <w:r w:rsidRPr="00543E6C">
                              <w:rPr>
                                <w:rFonts w:cs="Calibri"/>
                                <w:b/>
                              </w:rPr>
                              <w:t>ESCALA</w:t>
                            </w:r>
                            <w:r w:rsidRPr="00543E6C">
                              <w:rPr>
                                <w:rFonts w:cs="Calibri"/>
                                <w:b/>
                                <w:spacing w:val="-3"/>
                              </w:rPr>
                              <w:t xml:space="preserve"> </w:t>
                            </w:r>
                            <w:r w:rsidRPr="00543E6C">
                              <w:rPr>
                                <w:rFonts w:cs="Calibri"/>
                                <w:b/>
                              </w:rPr>
                              <w:t>DE</w:t>
                            </w:r>
                            <w:r w:rsidRPr="00543E6C">
                              <w:rPr>
                                <w:rFonts w:cs="Calibri"/>
                                <w:b/>
                                <w:spacing w:val="-7"/>
                              </w:rPr>
                              <w:t xml:space="preserve"> </w:t>
                            </w:r>
                            <w:r w:rsidRPr="00543E6C">
                              <w:rPr>
                                <w:rFonts w:cs="Calibri"/>
                                <w:b/>
                              </w:rPr>
                              <w:t>EVALUACIÓN</w:t>
                            </w:r>
                            <w:r w:rsidRPr="00543E6C">
                              <w:rPr>
                                <w:rFonts w:cs="Calibri"/>
                                <w:b/>
                                <w:spacing w:val="-3"/>
                              </w:rPr>
                              <w:t xml:space="preserve"> </w:t>
                            </w:r>
                            <w:r w:rsidRPr="00543E6C">
                              <w:rPr>
                                <w:rFonts w:cs="Calibri"/>
                                <w:b/>
                              </w:rPr>
                              <w:t>– CREDO</w:t>
                            </w:r>
                            <w:r w:rsidRPr="00543E6C">
                              <w:rPr>
                                <w:rFonts w:cs="Calibri"/>
                                <w:b/>
                                <w:spacing w:val="-4"/>
                              </w:rPr>
                              <w:t xml:space="preserve"> </w:t>
                            </w:r>
                            <w:r w:rsidRPr="00543E6C">
                              <w:rPr>
                                <w:rFonts w:cs="Calibri"/>
                                <w:b/>
                              </w:rPr>
                              <w:t>COLABORATIVO</w:t>
                            </w:r>
                          </w:p>
                        </w:txbxContent>
                      </wps:txbx>
                      <wps:bodyPr rot="0" vert="horz" wrap="square" lIns="0" tIns="0" rIns="0" bIns="0" anchor="t" anchorCtr="0" upright="1">
                        <a:noAutofit/>
                      </wps:bodyPr>
                    </wps:wsp>
                  </a:graphicData>
                </a:graphic>
              </wp:anchor>
            </w:drawing>
          </mc:Choice>
          <mc:Fallback>
            <w:pict>
              <v:shape w14:anchorId="19CC55B1" id="_x0000_s1127" type="#_x0000_t202" style="position:absolute;left:0;text-align:left;margin-left:78.1pt;margin-top:.7pt;width:564pt;height:25.2pt;z-index:25236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" filled="f" strokeweight=".72pt">
                <v:textbox inset="0,0,0,0">
                  <w:txbxContent>
                    <w:p w14:paraId="7805A480" w14:textId="77777777" w:rsidR="00543E6C" w:rsidRPr="00543E6C" w:rsidRDefault="00543E6C" w:rsidP="00543E6C">
                      <w:pPr>
                        <w:spacing w:before="70"/>
                        <w:ind w:right="3115"/>
                        <w:jc w:val="center"/>
                        <w:rPr>
                          <w:rFonts w:cs="Calibri"/>
                          <w:b/>
                        </w:rPr>
                      </w:pPr>
                      <w:r w:rsidRPr="00543E6C">
                        <w:rPr>
                          <w:rFonts w:cs="Calibri"/>
                          <w:b/>
                        </w:rPr>
                        <w:t>ESCALA</w:t>
                      </w:r>
                      <w:r w:rsidRPr="00543E6C">
                        <w:rPr>
                          <w:rFonts w:cs="Calibri"/>
                          <w:b/>
                          <w:spacing w:val="-3"/>
                        </w:rPr>
                        <w:t xml:space="preserve"> </w:t>
                      </w:r>
                      <w:r w:rsidRPr="00543E6C">
                        <w:rPr>
                          <w:rFonts w:cs="Calibri"/>
                          <w:b/>
                        </w:rPr>
                        <w:t>DE</w:t>
                      </w:r>
                      <w:r w:rsidRPr="00543E6C">
                        <w:rPr>
                          <w:rFonts w:cs="Calibri"/>
                          <w:b/>
                          <w:spacing w:val="-7"/>
                        </w:rPr>
                        <w:t xml:space="preserve"> </w:t>
                      </w:r>
                      <w:r w:rsidRPr="00543E6C">
                        <w:rPr>
                          <w:rFonts w:cs="Calibri"/>
                          <w:b/>
                        </w:rPr>
                        <w:t>EVALUACIÓN</w:t>
                      </w:r>
                      <w:r w:rsidRPr="00543E6C">
                        <w:rPr>
                          <w:rFonts w:cs="Calibri"/>
                          <w:b/>
                          <w:spacing w:val="-3"/>
                        </w:rPr>
                        <w:t xml:space="preserve"> </w:t>
                      </w:r>
                      <w:r w:rsidRPr="00543E6C">
                        <w:rPr>
                          <w:rFonts w:cs="Calibri"/>
                          <w:b/>
                        </w:rPr>
                        <w:t>– CREDO</w:t>
                      </w:r>
                      <w:r w:rsidRPr="00543E6C">
                        <w:rPr>
                          <w:rFonts w:cs="Calibri"/>
                          <w:b/>
                          <w:spacing w:val="-4"/>
                        </w:rPr>
                        <w:t xml:space="preserve"> </w:t>
                      </w:r>
                      <w:r w:rsidRPr="00543E6C">
                        <w:rPr>
                          <w:rFonts w:cs="Calibri"/>
                          <w:b/>
                        </w:rPr>
                        <w:t>COLABORATIVO</w:t>
                      </w:r>
                    </w:p>
                  </w:txbxContent>
                </v:textbox>
              </v:shape>
            </w:pict>
          </mc:Fallback>
        </mc:AlternateContent>
      </w:r>
    </w:p>
    <w:p w14:paraId="0BE2671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79AAA6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388670B" w14:textId="77777777" w:rsidR="00543E6C" w:rsidRPr="00543E6C" w:rsidRDefault="00543E6C" w:rsidP="4C9C2619">
      <w:pPr>
        <w:widowControl w:val="0"/>
        <w:overflowPunct w:val="0"/>
        <w:autoSpaceDE w:val="0"/>
        <w:autoSpaceDN w:val="0"/>
        <w:adjustRightInd w:val="0"/>
        <w:spacing w:after="0" w:line="240" w:lineRule="auto"/>
        <w:jc w:val="center"/>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Durante la sesión 11 se elaborará, en parejas, un credo, es decir, una afirmación teológica en donde se depositan los principales y fundamentales dogmas de fe. Tiene un valor de 5%.</w:t>
      </w:r>
    </w:p>
    <w:p w14:paraId="32E5F63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B23D1C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832CC4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drawing>
          <wp:anchor distT="0" distB="0" distL="114300" distR="114300" simplePos="0" relativeHeight="252361728" behindDoc="0" locked="0" layoutInCell="1" allowOverlap="1" wp14:anchorId="512FE00D" wp14:editId="34B33AA6">
            <wp:simplePos x="0" y="0"/>
            <wp:positionH relativeFrom="column">
              <wp:posOffset>476250</wp:posOffset>
            </wp:positionH>
            <wp:positionV relativeFrom="paragraph">
              <wp:posOffset>1588</wp:posOffset>
            </wp:positionV>
            <wp:extent cx="8186928" cy="3304032"/>
            <wp:effectExtent l="0" t="0" r="5080" b="0"/>
            <wp:wrapNone/>
            <wp:docPr id="1717703020" name="Imagen 9"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703020" name="Imagen 9" descr="Interfaz de usuario gráfica, Aplicación, Tabla&#10;&#10;Descripción generada automáticamente"/>
                    <pic:cNvPicPr/>
                  </pic:nvPicPr>
                  <pic:blipFill>
                    <a:blip r:embed="rId234">
                      <a:extLst>
                        <a:ext uri="{28A0092B-C50C-407E-A947-70E740481C1C}">
                          <a14:useLocalDpi xmlns:a14="http://schemas.microsoft.com/office/drawing/2010/main" val="0"/>
                        </a:ext>
                      </a:extLst>
                    </a:blip>
                    <a:stretch>
                      <a:fillRect/>
                    </a:stretch>
                  </pic:blipFill>
                  <pic:spPr>
                    <a:xfrm>
                      <a:off x="0" y="0"/>
                      <a:ext cx="8186928" cy="3304032"/>
                    </a:xfrm>
                    <a:prstGeom prst="rect">
                      <a:avLst/>
                    </a:prstGeom>
                  </pic:spPr>
                </pic:pic>
              </a:graphicData>
            </a:graphic>
          </wp:anchor>
        </w:drawing>
      </w:r>
    </w:p>
    <w:p w14:paraId="7FD3A09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4C5017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4D73EF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097CE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ADC710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5E9305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DF19F0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96DB1D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04B919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E1C3E3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C8BBC5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7C44CB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0BFC16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76C4E3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102334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C752E2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679BEA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793F6F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2773E7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3A382E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2E138B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54AE20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4CD52C6"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3ED4CE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1ACCF2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D93E7B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E2CCAB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76AB98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45B8BF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7145C9E" w14:textId="6989E87C" w:rsidR="00543E6C" w:rsidRPr="00543E6C" w:rsidRDefault="008E0715"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362752" behindDoc="0" locked="0" layoutInCell="1" allowOverlap="1" wp14:anchorId="5ADDC9AB" wp14:editId="3C54A11C">
                <wp:simplePos x="0" y="0"/>
                <wp:positionH relativeFrom="column">
                  <wp:posOffset>985058</wp:posOffset>
                </wp:positionH>
                <wp:positionV relativeFrom="paragraph">
                  <wp:posOffset>-130464</wp:posOffset>
                </wp:positionV>
                <wp:extent cx="7284720" cy="335280"/>
                <wp:effectExtent l="0" t="0" r="11430" b="26670"/>
                <wp:wrapNone/>
                <wp:docPr id="990909269"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4720" cy="33528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F9E602A" w14:textId="77777777" w:rsidR="00543E6C" w:rsidRPr="00543E6C" w:rsidRDefault="00543E6C" w:rsidP="008E0715">
                            <w:pPr>
                              <w:spacing w:before="70"/>
                              <w:ind w:right="-27"/>
                              <w:jc w:val="center"/>
                              <w:rPr>
                                <w:rFonts w:cs="Calibri"/>
                                <w:b/>
                              </w:rPr>
                            </w:pPr>
                            <w:r w:rsidRPr="00543E6C">
                              <w:rPr>
                                <w:rFonts w:cs="Calibri"/>
                                <w:b/>
                              </w:rPr>
                              <w:t>ESCALA</w:t>
                            </w:r>
                            <w:r w:rsidRPr="00543E6C">
                              <w:rPr>
                                <w:rFonts w:cs="Calibri"/>
                                <w:b/>
                                <w:spacing w:val="-2"/>
                              </w:rPr>
                              <w:t xml:space="preserve"> </w:t>
                            </w:r>
                            <w:r w:rsidRPr="00543E6C">
                              <w:rPr>
                                <w:rFonts w:cs="Calibri"/>
                                <w:b/>
                              </w:rPr>
                              <w:t>DE</w:t>
                            </w:r>
                            <w:r w:rsidRPr="00543E6C">
                              <w:rPr>
                                <w:rFonts w:cs="Calibri"/>
                                <w:b/>
                                <w:spacing w:val="-5"/>
                              </w:rPr>
                              <w:t xml:space="preserve"> </w:t>
                            </w:r>
                            <w:r w:rsidRPr="00543E6C">
                              <w:rPr>
                                <w:rFonts w:cs="Calibri"/>
                                <w:b/>
                              </w:rPr>
                              <w:t>EVALUACIÓN</w:t>
                            </w:r>
                            <w:r w:rsidRPr="00543E6C">
                              <w:rPr>
                                <w:rFonts w:cs="Calibri"/>
                                <w:b/>
                                <w:spacing w:val="-2"/>
                              </w:rPr>
                              <w:t xml:space="preserve"> </w:t>
                            </w:r>
                            <w:r w:rsidRPr="00543E6C">
                              <w:rPr>
                                <w:rFonts w:cs="Calibri"/>
                                <w:b/>
                              </w:rPr>
                              <w:t>–</w:t>
                            </w:r>
                            <w:r w:rsidRPr="00543E6C">
                              <w:rPr>
                                <w:rFonts w:cs="Calibri"/>
                                <w:b/>
                                <w:spacing w:val="-3"/>
                              </w:rPr>
                              <w:t xml:space="preserve"> </w:t>
                            </w:r>
                            <w:r w:rsidRPr="00543E6C">
                              <w:rPr>
                                <w:rFonts w:cs="Calibri"/>
                                <w:b/>
                              </w:rPr>
                              <w:t>ENSAYO</w:t>
                            </w:r>
                            <w:r w:rsidRPr="00543E6C">
                              <w:rPr>
                                <w:rFonts w:cs="Calibri"/>
                                <w:b/>
                                <w:spacing w:val="-2"/>
                              </w:rPr>
                              <w:t xml:space="preserve"> </w:t>
                            </w:r>
                            <w:r w:rsidRPr="00543E6C">
                              <w:rPr>
                                <w:rFonts w:cs="Calibri"/>
                                <w:b/>
                              </w:rPr>
                              <w:t>FINAL</w:t>
                            </w:r>
                          </w:p>
                        </w:txbxContent>
                      </wps:txbx>
                      <wps:bodyPr rot="0" vert="horz" wrap="square" lIns="0" tIns="0" rIns="0" bIns="0" anchor="t" anchorCtr="0" upright="1">
                        <a:noAutofit/>
                      </wps:bodyPr>
                    </wps:wsp>
                  </a:graphicData>
                </a:graphic>
              </wp:anchor>
            </w:drawing>
          </mc:Choice>
          <mc:Fallback>
            <w:pict>
              <v:shape w14:anchorId="5ADDC9AB" id="_x0000_s1128" type="#_x0000_t202" style="position:absolute;left:0;text-align:left;margin-left:77.55pt;margin-top:-10.25pt;width:573.6pt;height:26.4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" filled="f" strokeweight=".72pt">
                <v:textbox inset="0,0,0,0">
                  <w:txbxContent>
                    <w:p w14:paraId="7F9E602A" w14:textId="77777777" w:rsidR="00543E6C" w:rsidRPr="00543E6C" w:rsidRDefault="00543E6C" w:rsidP="008E0715">
                      <w:pPr>
                        <w:spacing w:before="70"/>
                        <w:ind w:right="-27"/>
                        <w:jc w:val="center"/>
                        <w:rPr>
                          <w:rFonts w:cs="Calibri"/>
                          <w:b/>
                        </w:rPr>
                      </w:pPr>
                      <w:r w:rsidRPr="00543E6C">
                        <w:rPr>
                          <w:rFonts w:cs="Calibri"/>
                          <w:b/>
                        </w:rPr>
                        <w:t>ESCALA</w:t>
                      </w:r>
                      <w:r w:rsidRPr="00543E6C">
                        <w:rPr>
                          <w:rFonts w:cs="Calibri"/>
                          <w:b/>
                          <w:spacing w:val="-2"/>
                        </w:rPr>
                        <w:t xml:space="preserve"> </w:t>
                      </w:r>
                      <w:r w:rsidRPr="00543E6C">
                        <w:rPr>
                          <w:rFonts w:cs="Calibri"/>
                          <w:b/>
                        </w:rPr>
                        <w:t>DE</w:t>
                      </w:r>
                      <w:r w:rsidRPr="00543E6C">
                        <w:rPr>
                          <w:rFonts w:cs="Calibri"/>
                          <w:b/>
                          <w:spacing w:val="-5"/>
                        </w:rPr>
                        <w:t xml:space="preserve"> </w:t>
                      </w:r>
                      <w:r w:rsidRPr="00543E6C">
                        <w:rPr>
                          <w:rFonts w:cs="Calibri"/>
                          <w:b/>
                        </w:rPr>
                        <w:t>EVALUACIÓN</w:t>
                      </w:r>
                      <w:r w:rsidRPr="00543E6C">
                        <w:rPr>
                          <w:rFonts w:cs="Calibri"/>
                          <w:b/>
                          <w:spacing w:val="-2"/>
                        </w:rPr>
                        <w:t xml:space="preserve"> </w:t>
                      </w:r>
                      <w:r w:rsidRPr="00543E6C">
                        <w:rPr>
                          <w:rFonts w:cs="Calibri"/>
                          <w:b/>
                        </w:rPr>
                        <w:t>–</w:t>
                      </w:r>
                      <w:r w:rsidRPr="00543E6C">
                        <w:rPr>
                          <w:rFonts w:cs="Calibri"/>
                          <w:b/>
                          <w:spacing w:val="-3"/>
                        </w:rPr>
                        <w:t xml:space="preserve"> </w:t>
                      </w:r>
                      <w:r w:rsidRPr="00543E6C">
                        <w:rPr>
                          <w:rFonts w:cs="Calibri"/>
                          <w:b/>
                        </w:rPr>
                        <w:t>ENSAYO</w:t>
                      </w:r>
                      <w:r w:rsidRPr="00543E6C">
                        <w:rPr>
                          <w:rFonts w:cs="Calibri"/>
                          <w:b/>
                          <w:spacing w:val="-2"/>
                        </w:rPr>
                        <w:t xml:space="preserve"> </w:t>
                      </w:r>
                      <w:r w:rsidRPr="00543E6C">
                        <w:rPr>
                          <w:rFonts w:cs="Calibri"/>
                          <w:b/>
                        </w:rPr>
                        <w:t>FINAL</w:t>
                      </w:r>
                    </w:p>
                  </w:txbxContent>
                </v:textbox>
              </v:shape>
            </w:pict>
          </mc:Fallback>
        </mc:AlternateContent>
      </w:r>
    </w:p>
    <w:p w14:paraId="0331D87E" w14:textId="1764C7DE"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9869F5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70C0"/>
          <w:kern w:val="0"/>
          <w:szCs w:val="24"/>
          <w:lang w:val="es-ES_tradnl" w:eastAsia="es-CR"/>
          <w14:ligatures w14:val="none"/>
        </w:rPr>
      </w:pPr>
      <w:r w:rsidRPr="00543E6C">
        <w:rPr>
          <w:rFonts w:ascii="Calibri" w:eastAsia="Times New Roman" w:hAnsi="Calibri" w:cs="Calibri"/>
          <w:color w:val="0070C0"/>
          <w:kern w:val="0"/>
          <w:szCs w:val="24"/>
          <w:lang w:val="es-ES_tradnl" w:eastAsia="es-CR"/>
          <w14:ligatures w14:val="none"/>
        </w:rPr>
        <w:t>El ensayo deberá plasmar una discusión propuesta por la persona estudiante en torno a tres tesis/afirmaciones para una práctica cristológica liberadora para su comunidad y/o entorno a partir de elementos teóricos, críticos, bíblicos y teológicos presentados en el curso. Se entrega en la sesión 15 y tiene un valor de 30%.</w:t>
      </w:r>
    </w:p>
    <w:p w14:paraId="5C9A904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09F1525" w14:textId="38B29233" w:rsidR="00543E6C" w:rsidRPr="00543E6C" w:rsidRDefault="008E0715"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drawing>
          <wp:inline distT="0" distB="0" distL="0" distR="0" wp14:anchorId="359F7B08" wp14:editId="423FA6D7">
            <wp:extent cx="7953375" cy="5625391"/>
            <wp:effectExtent l="0" t="0" r="0" b="0"/>
            <wp:docPr id="452176633"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176633" name="Imagen 11" descr="Tabla&#10;&#10;Descripción generada automáticamente"/>
                    <pic:cNvPicPr/>
                  </pic:nvPicPr>
                  <pic:blipFill>
                    <a:blip r:embed="rId235">
                      <a:extLst>
                        <a:ext uri="{28A0092B-C50C-407E-A947-70E740481C1C}">
                          <a14:useLocalDpi xmlns:a14="http://schemas.microsoft.com/office/drawing/2010/main" val="0"/>
                        </a:ext>
                      </a:extLst>
                    </a:blip>
                    <a:stretch>
                      <a:fillRect/>
                    </a:stretch>
                  </pic:blipFill>
                  <pic:spPr>
                    <a:xfrm>
                      <a:off x="0" y="0"/>
                      <a:ext cx="7975067" cy="5640734"/>
                    </a:xfrm>
                    <a:prstGeom prst="rect">
                      <a:avLst/>
                    </a:prstGeom>
                  </pic:spPr>
                </pic:pic>
              </a:graphicData>
            </a:graphic>
          </wp:inline>
        </w:drawing>
      </w:r>
    </w:p>
    <w:p w14:paraId="61FAFC3D" w14:textId="3F69F71C"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4AB9B2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r w:rsidRPr="00543E6C">
        <w:rPr>
          <w:rFonts w:ascii="Calibri" w:eastAsia="Times New Roman" w:hAnsi="Calibri" w:cs="Calibri"/>
          <w:noProof/>
          <w:color w:val="000000"/>
          <w:kern w:val="0"/>
          <w:szCs w:val="24"/>
          <w:lang w:val="es-ES_tradnl" w:eastAsia="es-CR"/>
          <w14:ligatures w14:val="none"/>
        </w:rPr>
        <w:lastRenderedPageBreak/>
        <w:drawing>
          <wp:anchor distT="0" distB="0" distL="114300" distR="114300" simplePos="0" relativeHeight="252363776" behindDoc="0" locked="0" layoutInCell="1" allowOverlap="1" wp14:anchorId="40EF18BA" wp14:editId="2F947F7F">
            <wp:simplePos x="0" y="0"/>
            <wp:positionH relativeFrom="column">
              <wp:posOffset>-23812</wp:posOffset>
            </wp:positionH>
            <wp:positionV relativeFrom="paragraph">
              <wp:posOffset>-33337</wp:posOffset>
            </wp:positionV>
            <wp:extent cx="9172575" cy="1786777"/>
            <wp:effectExtent l="0" t="0" r="0" b="4445"/>
            <wp:wrapNone/>
            <wp:docPr id="1855974247" name="Imagen 1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74247" name="Imagen 12" descr="Gráfico&#10;&#10;Descripción generada automáticamente"/>
                    <pic:cNvPicPr/>
                  </pic:nvPicPr>
                  <pic:blipFill>
                    <a:blip r:embed="rId236">
                      <a:extLst>
                        <a:ext uri="{28A0092B-C50C-407E-A947-70E740481C1C}">
                          <a14:useLocalDpi xmlns:a14="http://schemas.microsoft.com/office/drawing/2010/main" val="0"/>
                        </a:ext>
                      </a:extLst>
                    </a:blip>
                    <a:stretch>
                      <a:fillRect/>
                    </a:stretch>
                  </pic:blipFill>
                  <pic:spPr>
                    <a:xfrm>
                      <a:off x="0" y="0"/>
                      <a:ext cx="9330679" cy="1817575"/>
                    </a:xfrm>
                    <a:prstGeom prst="rect">
                      <a:avLst/>
                    </a:prstGeom>
                  </pic:spPr>
                </pic:pic>
              </a:graphicData>
            </a:graphic>
            <wp14:sizeRelH relativeFrom="margin">
              <wp14:pctWidth>0</wp14:pctWidth>
            </wp14:sizeRelH>
            <wp14:sizeRelV relativeFrom="margin">
              <wp14:pctHeight>0</wp14:pctHeight>
            </wp14:sizeRelV>
          </wp:anchor>
        </w:drawing>
      </w:r>
    </w:p>
    <w:p w14:paraId="766C360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0629FE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29D8BFA"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10FE9F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A8F4AA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6308D3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FA5548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4A8ED67"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FA855E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7F404F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7702CB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571056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BEA44B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55A448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304673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AF82683"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CEA235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D5B945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D5649E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25F339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949D7C8"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0E7DD8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A2AAE5B"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26FADE1"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16E5BE4"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61C81AC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54B86C8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22788C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01B5F93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D26165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934926D"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70E2499E"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42F3380"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1D78E25"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574D059"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3D69B4E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1B4EFD0F"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404EDFD2"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pPr>
    </w:p>
    <w:p w14:paraId="2CED5E0C" w14:textId="77777777" w:rsidR="00543E6C" w:rsidRPr="00543E6C" w:rsidRDefault="00543E6C" w:rsidP="00543E6C">
      <w:pPr>
        <w:widowControl w:val="0"/>
        <w:overflowPunct w:val="0"/>
        <w:autoSpaceDE w:val="0"/>
        <w:autoSpaceDN w:val="0"/>
        <w:adjustRightInd w:val="0"/>
        <w:spacing w:after="0" w:line="240" w:lineRule="auto"/>
        <w:jc w:val="center"/>
        <w:rPr>
          <w:rFonts w:ascii="Calibri" w:eastAsia="Times New Roman" w:hAnsi="Calibri" w:cs="Calibri"/>
          <w:color w:val="000000"/>
          <w:kern w:val="0"/>
          <w:szCs w:val="24"/>
          <w:lang w:val="es-ES_tradnl" w:eastAsia="es-CR"/>
          <w14:ligatures w14:val="none"/>
        </w:rPr>
        <w:sectPr w:rsidR="00543E6C" w:rsidRPr="00543E6C" w:rsidSect="005C1895">
          <w:pgSz w:w="15840" w:h="12240" w:orient="landscape"/>
          <w:pgMar w:top="720" w:right="720" w:bottom="720" w:left="720" w:header="709" w:footer="709" w:gutter="0"/>
          <w:cols w:space="708"/>
          <w:docGrid w:linePitch="360"/>
        </w:sectPr>
      </w:pPr>
    </w:p>
    <w:p w14:paraId="293DB546"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color w:val="000000"/>
          <w:kern w:val="0"/>
          <w:szCs w:val="24"/>
          <w:lang w:val="es-ES_tradnl" w:eastAsia="es-CR"/>
          <w14:ligatures w14:val="none"/>
        </w:rPr>
        <w:lastRenderedPageBreak/>
        <w:t>XI. Bibliografía obligatoria</w:t>
      </w:r>
    </w:p>
    <w:p w14:paraId="3F5FF9C6"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5FFDF55F"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543E6C">
        <w:rPr>
          <w:rFonts w:ascii="Calibri" w:eastAsia="Times New Roman" w:hAnsi="Calibri" w:cs="Arial"/>
          <w:b/>
          <w:color w:val="000000"/>
          <w:kern w:val="0"/>
          <w:lang w:eastAsia="es-CR"/>
          <w14:ligatures w14:val="none"/>
        </w:rPr>
        <w:t>Nota:</w:t>
      </w:r>
      <w:r w:rsidRPr="00543E6C">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543E6C">
        <w:rPr>
          <w:rFonts w:ascii="Calibri" w:eastAsia="Times New Roman" w:hAnsi="Calibri" w:cs="Arial"/>
          <w:bCs/>
          <w:color w:val="000000"/>
          <w:kern w:val="0"/>
          <w:lang w:eastAsia="es-CR"/>
          <w14:ligatures w14:val="none"/>
        </w:rPr>
        <w:t>pdf</w:t>
      </w:r>
      <w:proofErr w:type="spellEnd"/>
      <w:r w:rsidRPr="00543E6C">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2CBB328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p>
    <w:p w14:paraId="248F1A6D" w14:textId="77777777" w:rsidR="00543E6C" w:rsidRPr="00543E6C" w:rsidRDefault="00543E6C" w:rsidP="00543E6C">
      <w:pPr>
        <w:widowControl w:val="0"/>
        <w:overflowPunct w:val="0"/>
        <w:autoSpaceDE w:val="0"/>
        <w:autoSpaceDN w:val="0"/>
        <w:adjustRightInd w:val="0"/>
        <w:spacing w:before="120" w:after="0" w:line="240" w:lineRule="auto"/>
        <w:ind w:right="49"/>
        <w:jc w:val="both"/>
        <w:rPr>
          <w:rFonts w:ascii="Calibri" w:eastAsia="Times New Roman" w:hAnsi="Calibri" w:cs="Calibri"/>
          <w:color w:val="FF0000"/>
          <w:kern w:val="0"/>
          <w:lang w:val="es-ES" w:eastAsia="es-CR"/>
          <w14:ligatures w14:val="none"/>
        </w:rPr>
      </w:pPr>
      <w:proofErr w:type="spellStart"/>
      <w:r w:rsidRPr="00543E6C">
        <w:rPr>
          <w:rFonts w:ascii="Calibri" w:eastAsia="Times New Roman" w:hAnsi="Calibri" w:cs="Calibri"/>
          <w:kern w:val="0"/>
          <w:lang w:val="es-ES" w:eastAsia="es-CR"/>
          <w14:ligatures w14:val="none"/>
        </w:rPr>
        <w:t>Boff</w:t>
      </w:r>
      <w:proofErr w:type="spellEnd"/>
      <w:r w:rsidRPr="00543E6C">
        <w:rPr>
          <w:rFonts w:ascii="Calibri" w:eastAsia="Times New Roman" w:hAnsi="Calibri" w:cs="Calibri"/>
          <w:kern w:val="0"/>
          <w:lang w:val="es-ES" w:eastAsia="es-CR"/>
          <w14:ligatures w14:val="none"/>
        </w:rPr>
        <w:t>, Leonardo.</w:t>
      </w:r>
      <w:r w:rsidRPr="00543E6C">
        <w:rPr>
          <w:rFonts w:ascii="Calibri" w:eastAsia="Times New Roman" w:hAnsi="Calibri" w:cs="Calibri"/>
          <w:kern w:val="0"/>
          <w:lang w:val="es-ES_tradnl" w:eastAsia="es-CR"/>
          <w14:ligatures w14:val="none"/>
        </w:rPr>
        <w:t xml:space="preserve"> </w:t>
      </w:r>
      <w:r w:rsidRPr="00543E6C">
        <w:rPr>
          <w:rFonts w:ascii="Calibri" w:eastAsia="Times New Roman" w:hAnsi="Calibri" w:cs="Calibri"/>
          <w:i/>
          <w:iCs/>
          <w:kern w:val="0"/>
          <w:lang w:val="es-ES" w:eastAsia="es-CR"/>
          <w14:ligatures w14:val="none"/>
        </w:rPr>
        <w:t>Ecología: Grito de la tierra, grito de los pobres.</w:t>
      </w:r>
      <w:r w:rsidRPr="00543E6C">
        <w:rPr>
          <w:rFonts w:ascii="Calibri" w:eastAsia="Times New Roman" w:hAnsi="Calibri" w:cs="Calibri"/>
          <w:kern w:val="0"/>
          <w:lang w:val="es-ES" w:eastAsia="es-CR"/>
          <w14:ligatures w14:val="none"/>
        </w:rPr>
        <w:t xml:space="preserve"> Madrid: Trotta, 1996. (Clásico, última reimpresión, 2011)</w:t>
      </w:r>
    </w:p>
    <w:p w14:paraId="20F57ADA" w14:textId="77777777" w:rsidR="00543E6C" w:rsidRPr="00543E6C" w:rsidRDefault="00543E6C" w:rsidP="00543E6C">
      <w:pPr>
        <w:widowControl w:val="0"/>
        <w:overflowPunct w:val="0"/>
        <w:autoSpaceDE w:val="0"/>
        <w:autoSpaceDN w:val="0"/>
        <w:adjustRightInd w:val="0"/>
        <w:spacing w:before="120" w:after="0" w:line="240" w:lineRule="auto"/>
        <w:ind w:right="49"/>
        <w:jc w:val="both"/>
        <w:rPr>
          <w:rFonts w:ascii="Calibri" w:eastAsia="Times New Roman" w:hAnsi="Calibri" w:cs="Calibri"/>
          <w:kern w:val="0"/>
          <w:lang w:val="es-ES" w:eastAsia="es-CR"/>
          <w14:ligatures w14:val="none"/>
        </w:rPr>
      </w:pPr>
      <w:proofErr w:type="spellStart"/>
      <w:r w:rsidRPr="00543E6C">
        <w:rPr>
          <w:rFonts w:ascii="Calibri" w:eastAsia="Times New Roman" w:hAnsi="Calibri" w:cs="Calibri"/>
          <w:kern w:val="0"/>
          <w:lang w:val="es-ES_tradnl" w:eastAsia="es-CR"/>
          <w14:ligatures w14:val="none"/>
        </w:rPr>
        <w:t>Boff</w:t>
      </w:r>
      <w:proofErr w:type="spellEnd"/>
      <w:r w:rsidRPr="00543E6C">
        <w:rPr>
          <w:rFonts w:ascii="Calibri" w:eastAsia="Times New Roman" w:hAnsi="Calibri" w:cs="Calibri"/>
          <w:kern w:val="0"/>
          <w:lang w:val="es-ES_tradnl" w:eastAsia="es-CR"/>
          <w14:ligatures w14:val="none"/>
        </w:rPr>
        <w:t xml:space="preserve">, Leonardo. </w:t>
      </w:r>
      <w:r w:rsidRPr="00543E6C">
        <w:rPr>
          <w:rFonts w:ascii="Calibri" w:eastAsia="Times New Roman" w:hAnsi="Calibri" w:cs="Calibri"/>
          <w:i/>
          <w:kern w:val="0"/>
          <w:lang w:val="es-ES" w:eastAsia="es-CR"/>
          <w14:ligatures w14:val="none"/>
        </w:rPr>
        <w:t xml:space="preserve">La fe en la periferia del mundo. </w:t>
      </w:r>
      <w:r w:rsidRPr="00543E6C">
        <w:rPr>
          <w:rFonts w:ascii="Calibri" w:eastAsia="Times New Roman" w:hAnsi="Calibri" w:cs="Calibri"/>
          <w:kern w:val="0"/>
          <w:lang w:val="es-ES" w:eastAsia="es-CR"/>
          <w14:ligatures w14:val="none"/>
        </w:rPr>
        <w:t xml:space="preserve">Santander: Sal </w:t>
      </w:r>
      <w:proofErr w:type="spellStart"/>
      <w:r w:rsidRPr="00543E6C">
        <w:rPr>
          <w:rFonts w:ascii="Calibri" w:eastAsia="Times New Roman" w:hAnsi="Calibri" w:cs="Calibri"/>
          <w:kern w:val="0"/>
          <w:lang w:val="es-ES" w:eastAsia="es-CR"/>
          <w14:ligatures w14:val="none"/>
        </w:rPr>
        <w:t>Terrae</w:t>
      </w:r>
      <w:proofErr w:type="spellEnd"/>
      <w:r w:rsidRPr="00543E6C">
        <w:rPr>
          <w:rFonts w:ascii="Calibri" w:eastAsia="Times New Roman" w:hAnsi="Calibri" w:cs="Calibri"/>
          <w:kern w:val="0"/>
          <w:lang w:val="es-ES" w:eastAsia="es-CR"/>
          <w14:ligatures w14:val="none"/>
        </w:rPr>
        <w:t>, 1980. (Clásico, última reimpresión, 2013)</w:t>
      </w:r>
    </w:p>
    <w:p w14:paraId="0476B9F7"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r w:rsidRPr="00543E6C">
        <w:rPr>
          <w:rFonts w:ascii="Calibri" w:eastAsia="Times New Roman" w:hAnsi="Calibri" w:cs="Calibri"/>
          <w:kern w:val="0"/>
          <w:lang w:val="es-ES" w:eastAsia="es-CR"/>
          <w14:ligatures w14:val="none"/>
        </w:rPr>
        <w:t xml:space="preserve">González </w:t>
      </w:r>
      <w:proofErr w:type="spellStart"/>
      <w:r w:rsidRPr="00543E6C">
        <w:rPr>
          <w:rFonts w:ascii="Calibri" w:eastAsia="Times New Roman" w:hAnsi="Calibri" w:cs="Calibri"/>
          <w:kern w:val="0"/>
          <w:lang w:val="es-ES" w:eastAsia="es-CR"/>
          <w14:ligatures w14:val="none"/>
        </w:rPr>
        <w:t>Faus</w:t>
      </w:r>
      <w:proofErr w:type="spellEnd"/>
      <w:r w:rsidRPr="00543E6C">
        <w:rPr>
          <w:rFonts w:ascii="Calibri" w:eastAsia="Times New Roman" w:hAnsi="Calibri" w:cs="Calibri"/>
          <w:kern w:val="0"/>
          <w:lang w:val="es-ES" w:eastAsia="es-CR"/>
          <w14:ligatures w14:val="none"/>
        </w:rPr>
        <w:t xml:space="preserve">, José Ignacio. </w:t>
      </w:r>
      <w:r w:rsidRPr="00543E6C">
        <w:rPr>
          <w:rFonts w:ascii="Calibri" w:eastAsia="Times New Roman" w:hAnsi="Calibri" w:cs="Calibri"/>
          <w:i/>
          <w:kern w:val="0"/>
          <w:lang w:val="es-ES" w:eastAsia="es-CR"/>
          <w14:ligatures w14:val="none"/>
        </w:rPr>
        <w:t xml:space="preserve">El rostro humano de Dios: de la revolución de Jesús a la divinidad de Jesús. </w:t>
      </w:r>
      <w:r w:rsidRPr="00543E6C">
        <w:rPr>
          <w:rFonts w:ascii="Calibri" w:eastAsia="Times New Roman" w:hAnsi="Calibri" w:cs="Calibri"/>
          <w:kern w:val="0"/>
          <w:lang w:val="es-ES" w:eastAsia="es-CR"/>
          <w14:ligatures w14:val="none"/>
        </w:rPr>
        <w:t xml:space="preserve">Santander: Sal </w:t>
      </w:r>
      <w:proofErr w:type="spellStart"/>
      <w:r w:rsidRPr="00543E6C">
        <w:rPr>
          <w:rFonts w:ascii="Calibri" w:eastAsia="Times New Roman" w:hAnsi="Calibri" w:cs="Calibri"/>
          <w:kern w:val="0"/>
          <w:lang w:val="es-ES" w:eastAsia="es-CR"/>
          <w14:ligatures w14:val="none"/>
        </w:rPr>
        <w:t>Terrae</w:t>
      </w:r>
      <w:proofErr w:type="spellEnd"/>
      <w:r w:rsidRPr="00543E6C">
        <w:rPr>
          <w:rFonts w:ascii="Calibri" w:eastAsia="Times New Roman" w:hAnsi="Calibri" w:cs="Calibri"/>
          <w:kern w:val="0"/>
          <w:lang w:val="es-ES" w:eastAsia="es-CR"/>
          <w14:ligatures w14:val="none"/>
        </w:rPr>
        <w:t xml:space="preserve">, 2008. (Clásico, última reimpresión, 2015) </w:t>
      </w:r>
    </w:p>
    <w:p w14:paraId="59C8F81E"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r w:rsidRPr="00543E6C">
        <w:rPr>
          <w:rFonts w:ascii="Calibri" w:eastAsia="Times New Roman" w:hAnsi="Calibri" w:cs="Calibri"/>
          <w:kern w:val="0"/>
          <w:lang w:val="es-ES" w:eastAsia="es-CR"/>
          <w14:ligatures w14:val="none"/>
        </w:rPr>
        <w:t xml:space="preserve">González, Antonio. </w:t>
      </w:r>
      <w:r w:rsidRPr="00543E6C">
        <w:rPr>
          <w:rFonts w:ascii="Calibri" w:eastAsia="Times New Roman" w:hAnsi="Calibri" w:cs="Calibri"/>
          <w:i/>
          <w:kern w:val="0"/>
          <w:lang w:val="es-ES" w:eastAsia="es-CR"/>
          <w14:ligatures w14:val="none"/>
        </w:rPr>
        <w:t xml:space="preserve">Reinado de Dios e imperio: ensayo de teología social. </w:t>
      </w:r>
      <w:r w:rsidRPr="00543E6C">
        <w:rPr>
          <w:rFonts w:ascii="Calibri" w:eastAsia="Times New Roman" w:hAnsi="Calibri" w:cs="Calibri"/>
          <w:kern w:val="0"/>
          <w:lang w:val="es-ES" w:eastAsia="es-CR"/>
          <w14:ligatures w14:val="none"/>
        </w:rPr>
        <w:t xml:space="preserve">Santander: Sal </w:t>
      </w:r>
      <w:proofErr w:type="spellStart"/>
      <w:r w:rsidRPr="00543E6C">
        <w:rPr>
          <w:rFonts w:ascii="Calibri" w:eastAsia="Times New Roman" w:hAnsi="Calibri" w:cs="Calibri"/>
          <w:kern w:val="0"/>
          <w:lang w:val="es-ES" w:eastAsia="es-CR"/>
          <w14:ligatures w14:val="none"/>
        </w:rPr>
        <w:t>Terrae</w:t>
      </w:r>
      <w:proofErr w:type="spellEnd"/>
      <w:r w:rsidRPr="00543E6C">
        <w:rPr>
          <w:rFonts w:ascii="Calibri" w:eastAsia="Times New Roman" w:hAnsi="Calibri" w:cs="Calibri"/>
          <w:kern w:val="0"/>
          <w:lang w:val="es-ES" w:eastAsia="es-CR"/>
          <w14:ligatures w14:val="none"/>
        </w:rPr>
        <w:t>, 2003. (</w:t>
      </w:r>
      <w:r w:rsidRPr="00543E6C">
        <w:rPr>
          <w:rFonts w:ascii="Calibri" w:eastAsia="Times New Roman" w:hAnsi="Calibri" w:cs="Calibri"/>
          <w:color w:val="0070C0"/>
          <w:kern w:val="0"/>
          <w:lang w:val="es-ES" w:eastAsia="es-CR"/>
          <w14:ligatures w14:val="none"/>
        </w:rPr>
        <w:t>clásico,</w:t>
      </w:r>
      <w:r w:rsidRPr="00543E6C">
        <w:rPr>
          <w:rFonts w:ascii="Calibri" w:eastAsia="Times New Roman" w:hAnsi="Calibri" w:cs="Calibri"/>
          <w:kern w:val="0"/>
          <w:lang w:val="es-ES" w:eastAsia="es-CR"/>
          <w14:ligatures w14:val="none"/>
        </w:rPr>
        <w:t xml:space="preserve"> última edición) </w:t>
      </w:r>
    </w:p>
    <w:p w14:paraId="0DE38A5E"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 w:eastAsia="es-CR"/>
          <w14:ligatures w14:val="none"/>
        </w:rPr>
        <w:t xml:space="preserve">González, Justo. </w:t>
      </w:r>
      <w:r w:rsidRPr="00543E6C">
        <w:rPr>
          <w:rFonts w:ascii="Calibri" w:eastAsia="Times New Roman" w:hAnsi="Calibri" w:cs="Calibri"/>
          <w:i/>
          <w:kern w:val="0"/>
          <w:lang w:val="es-ES" w:eastAsia="es-CR"/>
          <w14:ligatures w14:val="none"/>
        </w:rPr>
        <w:t xml:space="preserve">Breve historia de las doctrinas cristianas. </w:t>
      </w:r>
      <w:r w:rsidRPr="00543E6C">
        <w:rPr>
          <w:rFonts w:ascii="Calibri" w:eastAsia="Times New Roman" w:hAnsi="Calibri" w:cs="Calibri"/>
          <w:kern w:val="0"/>
          <w:lang w:val="es-ES_tradnl" w:eastAsia="es-CR"/>
          <w14:ligatures w14:val="none"/>
        </w:rPr>
        <w:t xml:space="preserve">Nashville: Abingdon </w:t>
      </w:r>
      <w:proofErr w:type="spellStart"/>
      <w:r w:rsidRPr="00543E6C">
        <w:rPr>
          <w:rFonts w:ascii="Calibri" w:eastAsia="Times New Roman" w:hAnsi="Calibri" w:cs="Calibri"/>
          <w:kern w:val="0"/>
          <w:lang w:val="es-ES_tradnl" w:eastAsia="es-CR"/>
          <w14:ligatures w14:val="none"/>
        </w:rPr>
        <w:t>Press</w:t>
      </w:r>
      <w:proofErr w:type="spellEnd"/>
      <w:r w:rsidRPr="00543E6C">
        <w:rPr>
          <w:rFonts w:ascii="Calibri" w:eastAsia="Times New Roman" w:hAnsi="Calibri" w:cs="Calibri"/>
          <w:kern w:val="0"/>
          <w:lang w:val="es-ES_tradnl" w:eastAsia="es-CR"/>
          <w14:ligatures w14:val="none"/>
        </w:rPr>
        <w:t xml:space="preserve">, 2007. </w:t>
      </w:r>
      <w:r w:rsidRPr="00543E6C">
        <w:rPr>
          <w:rFonts w:ascii="Calibri" w:eastAsia="Times New Roman" w:hAnsi="Calibri" w:cs="Calibri"/>
          <w:kern w:val="0"/>
          <w:lang w:val="es-ES" w:eastAsia="es-CR"/>
          <w14:ligatures w14:val="none"/>
        </w:rPr>
        <w:t>(</w:t>
      </w:r>
      <w:r w:rsidRPr="00543E6C">
        <w:rPr>
          <w:rFonts w:ascii="Calibri" w:eastAsia="Times New Roman" w:hAnsi="Calibri" w:cs="Calibri"/>
          <w:noProof/>
          <w:color w:val="0070C0"/>
          <w:kern w:val="0"/>
          <w:lang w:eastAsia="es-CR"/>
          <w14:ligatures w14:val="none"/>
        </w:rPr>
        <w:t xml:space="preserve">clásico, </w:t>
      </w:r>
      <w:r w:rsidRPr="00543E6C">
        <w:rPr>
          <w:rFonts w:ascii="Calibri" w:eastAsia="Times New Roman" w:hAnsi="Calibri" w:cs="Calibri"/>
          <w:kern w:val="0"/>
          <w:lang w:val="es-ES" w:eastAsia="es-CR"/>
          <w14:ligatures w14:val="none"/>
        </w:rPr>
        <w:t>última edición)</w:t>
      </w:r>
    </w:p>
    <w:p w14:paraId="6D3FE81A"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proofErr w:type="spellStart"/>
      <w:r w:rsidRPr="00543E6C">
        <w:rPr>
          <w:rFonts w:ascii="Calibri" w:eastAsia="Times New Roman" w:hAnsi="Calibri" w:cs="Calibri"/>
          <w:kern w:val="0"/>
          <w:lang w:val="es-ES_tradnl" w:eastAsia="es-CR"/>
          <w14:ligatures w14:val="none"/>
        </w:rPr>
        <w:t>Moltmann</w:t>
      </w:r>
      <w:proofErr w:type="spellEnd"/>
      <w:r w:rsidRPr="00543E6C">
        <w:rPr>
          <w:rFonts w:ascii="Calibri" w:eastAsia="Times New Roman" w:hAnsi="Calibri" w:cs="Calibri"/>
          <w:kern w:val="0"/>
          <w:lang w:val="es-ES_tradnl" w:eastAsia="es-CR"/>
          <w14:ligatures w14:val="none"/>
        </w:rPr>
        <w:t xml:space="preserve">, Jürgen. </w:t>
      </w:r>
      <w:r w:rsidRPr="00543E6C">
        <w:rPr>
          <w:rFonts w:ascii="Calibri" w:eastAsia="Times New Roman" w:hAnsi="Calibri" w:cs="Calibri"/>
          <w:i/>
          <w:kern w:val="0"/>
          <w:lang w:val="es-ES" w:eastAsia="es-CR"/>
          <w14:ligatures w14:val="none"/>
        </w:rPr>
        <w:t xml:space="preserve">El camino de Jesucristo: cristología en dimensiones mesiánicas. </w:t>
      </w:r>
      <w:r w:rsidRPr="00543E6C">
        <w:rPr>
          <w:rFonts w:ascii="Calibri" w:eastAsia="Times New Roman" w:hAnsi="Calibri" w:cs="Calibri"/>
          <w:kern w:val="0"/>
          <w:lang w:val="es-ES" w:eastAsia="es-CR"/>
          <w14:ligatures w14:val="none"/>
        </w:rPr>
        <w:t>Salamanca: Sígueme, 2000. (</w:t>
      </w:r>
      <w:r w:rsidRPr="00543E6C">
        <w:rPr>
          <w:rFonts w:ascii="Calibri" w:eastAsia="Times New Roman" w:hAnsi="Calibri" w:cs="Calibri"/>
          <w:noProof/>
          <w:color w:val="0070C0"/>
          <w:kern w:val="0"/>
          <w:lang w:eastAsia="es-CR"/>
          <w14:ligatures w14:val="none"/>
        </w:rPr>
        <w:t xml:space="preserve">clásico, </w:t>
      </w:r>
      <w:r w:rsidRPr="00543E6C">
        <w:rPr>
          <w:rFonts w:ascii="Calibri" w:eastAsia="Times New Roman" w:hAnsi="Calibri" w:cs="Calibri"/>
          <w:kern w:val="0"/>
          <w:lang w:val="es-ES" w:eastAsia="es-CR"/>
          <w14:ligatures w14:val="none"/>
        </w:rPr>
        <w:t xml:space="preserve">última edición) </w:t>
      </w:r>
    </w:p>
    <w:p w14:paraId="47B810E0"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proofErr w:type="spellStart"/>
      <w:r w:rsidRPr="00543E6C">
        <w:rPr>
          <w:rFonts w:ascii="Calibri" w:eastAsia="Times New Roman" w:hAnsi="Calibri" w:cs="Calibri"/>
          <w:kern w:val="0"/>
          <w:lang w:val="es-ES" w:eastAsia="es-CR"/>
          <w14:ligatures w14:val="none"/>
        </w:rPr>
        <w:t>Moltmann</w:t>
      </w:r>
      <w:proofErr w:type="spellEnd"/>
      <w:r w:rsidRPr="00543E6C">
        <w:rPr>
          <w:rFonts w:ascii="Calibri" w:eastAsia="Times New Roman" w:hAnsi="Calibri" w:cs="Calibri"/>
          <w:kern w:val="0"/>
          <w:lang w:val="es-ES" w:eastAsia="es-CR"/>
          <w14:ligatures w14:val="none"/>
        </w:rPr>
        <w:t xml:space="preserve">, Jürgen. </w:t>
      </w:r>
      <w:r w:rsidRPr="00543E6C">
        <w:rPr>
          <w:rFonts w:ascii="Calibri" w:eastAsia="Times New Roman" w:hAnsi="Calibri" w:cs="Calibri"/>
          <w:i/>
          <w:kern w:val="0"/>
          <w:lang w:val="es-ES" w:eastAsia="es-CR"/>
          <w14:ligatures w14:val="none"/>
        </w:rPr>
        <w:t xml:space="preserve">El espíritu de la vida: una </w:t>
      </w:r>
      <w:proofErr w:type="spellStart"/>
      <w:r w:rsidRPr="00543E6C">
        <w:rPr>
          <w:rFonts w:ascii="Calibri" w:eastAsia="Times New Roman" w:hAnsi="Calibri" w:cs="Calibri"/>
          <w:i/>
          <w:kern w:val="0"/>
          <w:lang w:val="es-ES" w:eastAsia="es-CR"/>
          <w14:ligatures w14:val="none"/>
        </w:rPr>
        <w:t>pneumatología</w:t>
      </w:r>
      <w:proofErr w:type="spellEnd"/>
      <w:r w:rsidRPr="00543E6C">
        <w:rPr>
          <w:rFonts w:ascii="Calibri" w:eastAsia="Times New Roman" w:hAnsi="Calibri" w:cs="Calibri"/>
          <w:i/>
          <w:kern w:val="0"/>
          <w:lang w:val="es-ES" w:eastAsia="es-CR"/>
          <w14:ligatures w14:val="none"/>
        </w:rPr>
        <w:t xml:space="preserve"> integral. </w:t>
      </w:r>
      <w:r w:rsidRPr="00543E6C">
        <w:rPr>
          <w:rFonts w:ascii="Calibri" w:eastAsia="Times New Roman" w:hAnsi="Calibri" w:cs="Calibri"/>
          <w:kern w:val="0"/>
          <w:lang w:val="es-ES" w:eastAsia="es-CR"/>
          <w14:ligatures w14:val="none"/>
        </w:rPr>
        <w:t xml:space="preserve">Salamanca: Sígueme, 1998. (Clásico, última edición ) </w:t>
      </w:r>
    </w:p>
    <w:p w14:paraId="7B6C3CB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proofErr w:type="spellStart"/>
      <w:r w:rsidRPr="00543E6C">
        <w:rPr>
          <w:rFonts w:ascii="Calibri" w:eastAsia="Times New Roman" w:hAnsi="Calibri" w:cs="Calibri"/>
          <w:kern w:val="0"/>
          <w:lang w:val="es-ES" w:eastAsia="es-CR"/>
          <w14:ligatures w14:val="none"/>
        </w:rPr>
        <w:t>Schüssler-Fiorenza</w:t>
      </w:r>
      <w:proofErr w:type="spellEnd"/>
      <w:r w:rsidRPr="00543E6C">
        <w:rPr>
          <w:rFonts w:ascii="Calibri" w:eastAsia="Times New Roman" w:hAnsi="Calibri" w:cs="Calibri"/>
          <w:kern w:val="0"/>
          <w:lang w:val="es-ES" w:eastAsia="es-CR"/>
          <w14:ligatures w14:val="none"/>
        </w:rPr>
        <w:t xml:space="preserve">, Elisabeth. </w:t>
      </w:r>
      <w:r w:rsidRPr="00543E6C">
        <w:rPr>
          <w:rFonts w:ascii="Calibri" w:eastAsia="Times New Roman" w:hAnsi="Calibri" w:cs="Calibri"/>
          <w:i/>
          <w:kern w:val="0"/>
          <w:lang w:val="es-ES" w:eastAsia="es-CR"/>
          <w14:ligatures w14:val="none"/>
        </w:rPr>
        <w:t xml:space="preserve">Cristología Feminista Crítica: Jesús, Hijo de Miriam, Profeta de la Sabiduría. </w:t>
      </w:r>
      <w:r w:rsidRPr="00543E6C">
        <w:rPr>
          <w:rFonts w:ascii="Calibri" w:eastAsia="Times New Roman" w:hAnsi="Calibri" w:cs="Calibri"/>
          <w:kern w:val="0"/>
          <w:lang w:val="es-ES" w:eastAsia="es-CR"/>
          <w14:ligatures w14:val="none"/>
        </w:rPr>
        <w:t>Madrid: Trotta, 2000. (</w:t>
      </w:r>
      <w:r w:rsidRPr="00543E6C">
        <w:rPr>
          <w:rFonts w:ascii="Calibri" w:eastAsia="Times New Roman" w:hAnsi="Calibri" w:cs="Calibri"/>
          <w:noProof/>
          <w:color w:val="0070C0"/>
          <w:kern w:val="0"/>
          <w:lang w:eastAsia="es-CR"/>
          <w14:ligatures w14:val="none"/>
        </w:rPr>
        <w:t xml:space="preserve">clásico, </w:t>
      </w:r>
      <w:r w:rsidRPr="00543E6C">
        <w:rPr>
          <w:rFonts w:ascii="Calibri" w:eastAsia="Times New Roman" w:hAnsi="Calibri" w:cs="Calibri"/>
          <w:kern w:val="0"/>
          <w:lang w:val="es-ES" w:eastAsia="es-CR"/>
          <w14:ligatures w14:val="none"/>
        </w:rPr>
        <w:t xml:space="preserve">última edición) </w:t>
      </w:r>
    </w:p>
    <w:p w14:paraId="0261FC12"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proofErr w:type="spellStart"/>
      <w:r w:rsidRPr="00543E6C">
        <w:rPr>
          <w:rFonts w:ascii="Calibri" w:eastAsia="Times New Roman" w:hAnsi="Calibri" w:cs="Calibri"/>
          <w:kern w:val="0"/>
          <w:lang w:val="es-ES" w:eastAsia="es-CR"/>
          <w14:ligatures w14:val="none"/>
        </w:rPr>
        <w:t>Seibert</w:t>
      </w:r>
      <w:proofErr w:type="spellEnd"/>
      <w:r w:rsidRPr="00543E6C">
        <w:rPr>
          <w:rFonts w:ascii="Calibri" w:eastAsia="Times New Roman" w:hAnsi="Calibri" w:cs="Calibri"/>
          <w:kern w:val="0"/>
          <w:lang w:val="es-ES" w:eastAsia="es-CR"/>
          <w14:ligatures w14:val="none"/>
        </w:rPr>
        <w:t xml:space="preserve">, </w:t>
      </w:r>
      <w:proofErr w:type="spellStart"/>
      <w:r w:rsidRPr="00543E6C">
        <w:rPr>
          <w:rFonts w:ascii="Calibri" w:eastAsia="Times New Roman" w:hAnsi="Calibri" w:cs="Calibri"/>
          <w:kern w:val="0"/>
          <w:lang w:val="es-ES" w:eastAsia="es-CR"/>
          <w14:ligatures w14:val="none"/>
        </w:rPr>
        <w:t>Ute</w:t>
      </w:r>
      <w:proofErr w:type="spellEnd"/>
      <w:r w:rsidRPr="00543E6C">
        <w:rPr>
          <w:rFonts w:ascii="Calibri" w:eastAsia="Times New Roman" w:hAnsi="Calibri" w:cs="Calibri"/>
          <w:kern w:val="0"/>
          <w:lang w:val="es-ES" w:eastAsia="es-CR"/>
          <w14:ligatures w14:val="none"/>
        </w:rPr>
        <w:t xml:space="preserve">. </w:t>
      </w:r>
      <w:r w:rsidRPr="00543E6C">
        <w:rPr>
          <w:rFonts w:ascii="Calibri" w:eastAsia="Times New Roman" w:hAnsi="Calibri" w:cs="Calibri"/>
          <w:i/>
          <w:kern w:val="0"/>
          <w:lang w:val="es-ES" w:eastAsia="es-CR"/>
          <w14:ligatures w14:val="none"/>
        </w:rPr>
        <w:t xml:space="preserve">Espacios abiertos: Caminos de la teología feminista. </w:t>
      </w:r>
      <w:r w:rsidRPr="00543E6C">
        <w:rPr>
          <w:rFonts w:ascii="Calibri" w:eastAsia="Times New Roman" w:hAnsi="Calibri" w:cs="Calibri"/>
          <w:kern w:val="0"/>
          <w:lang w:val="es-ES" w:eastAsia="es-CR"/>
          <w14:ligatures w14:val="none"/>
        </w:rPr>
        <w:t>Santiago: Forja, 2010. (</w:t>
      </w:r>
      <w:r w:rsidRPr="00543E6C">
        <w:rPr>
          <w:rFonts w:ascii="Calibri" w:eastAsia="Times New Roman" w:hAnsi="Calibri" w:cs="Calibri"/>
          <w:noProof/>
          <w:color w:val="0070C0"/>
          <w:kern w:val="0"/>
          <w:lang w:eastAsia="es-CR"/>
          <w14:ligatures w14:val="none"/>
        </w:rPr>
        <w:t xml:space="preserve">clásico, </w:t>
      </w:r>
      <w:r w:rsidRPr="00543E6C">
        <w:rPr>
          <w:rFonts w:ascii="Calibri" w:eastAsia="Times New Roman" w:hAnsi="Calibri" w:cs="Calibri"/>
          <w:kern w:val="0"/>
          <w:lang w:val="es-ES" w:eastAsia="es-CR"/>
          <w14:ligatures w14:val="none"/>
        </w:rPr>
        <w:t xml:space="preserve">última edición) </w:t>
      </w:r>
    </w:p>
    <w:p w14:paraId="040FEC06"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CR"/>
          <w14:ligatures w14:val="none"/>
        </w:rPr>
      </w:pPr>
      <w:r w:rsidRPr="00543E6C">
        <w:rPr>
          <w:rFonts w:ascii="Calibri" w:eastAsia="Times New Roman" w:hAnsi="Calibri" w:cs="Calibri"/>
          <w:kern w:val="0"/>
          <w:lang w:val="es-ES" w:eastAsia="es-CR"/>
          <w14:ligatures w14:val="none"/>
        </w:rPr>
        <w:t xml:space="preserve">Sobrino, Jon. </w:t>
      </w:r>
      <w:r w:rsidRPr="00543E6C">
        <w:rPr>
          <w:rFonts w:ascii="Calibri" w:eastAsia="Times New Roman" w:hAnsi="Calibri" w:cs="Calibri"/>
          <w:i/>
          <w:kern w:val="0"/>
          <w:lang w:val="es-ES" w:eastAsia="es-CR"/>
          <w14:ligatures w14:val="none"/>
        </w:rPr>
        <w:t xml:space="preserve">Jesucristo liberador: lectura histórico-teológica de Jesús de Nazaret. </w:t>
      </w:r>
      <w:r w:rsidRPr="00543E6C">
        <w:rPr>
          <w:rFonts w:ascii="Calibri" w:eastAsia="Times New Roman" w:hAnsi="Calibri" w:cs="Calibri"/>
          <w:kern w:val="0"/>
          <w:lang w:val="es-ES" w:eastAsia="es-CR"/>
          <w14:ligatures w14:val="none"/>
        </w:rPr>
        <w:t>San Salvador: UCA, 1991. (Clásico, última edición Madrid: Trotta, 2020)</w:t>
      </w:r>
    </w:p>
    <w:p w14:paraId="71DE5F78"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s-ES" w:eastAsia="es-CR"/>
          <w14:ligatures w14:val="none"/>
        </w:rPr>
        <w:t xml:space="preserve">Sobrino, Jon. </w:t>
      </w:r>
      <w:r w:rsidRPr="00543E6C">
        <w:rPr>
          <w:rFonts w:ascii="Calibri" w:eastAsia="Times New Roman" w:hAnsi="Calibri" w:cs="Calibri"/>
          <w:i/>
          <w:kern w:val="0"/>
          <w:lang w:val="es-ES" w:eastAsia="es-CR"/>
          <w14:ligatures w14:val="none"/>
        </w:rPr>
        <w:t xml:space="preserve">La fe en Jesucristo: ensayo desde las víctimas. </w:t>
      </w:r>
      <w:r w:rsidRPr="00543E6C">
        <w:rPr>
          <w:rFonts w:ascii="Calibri" w:eastAsia="Times New Roman" w:hAnsi="Calibri" w:cs="Calibri"/>
          <w:kern w:val="0"/>
          <w:lang w:val="es-ES_tradnl" w:eastAsia="es-CR"/>
          <w14:ligatures w14:val="none"/>
        </w:rPr>
        <w:t>Madrid: Trotta, 1999. (Clásico, última reimpresión, 2007)</w:t>
      </w:r>
    </w:p>
    <w:p w14:paraId="7B0185C0" w14:textId="77777777" w:rsidR="00543E6C" w:rsidRPr="00543E6C" w:rsidRDefault="00543E6C" w:rsidP="00543E6C">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543E6C">
        <w:rPr>
          <w:rFonts w:ascii="Calibri" w:eastAsia="Times New Roman" w:hAnsi="Calibri" w:cs="Calibri"/>
          <w:kern w:val="0"/>
          <w:lang w:val="de-DE" w:eastAsia="es-CR"/>
          <w14:ligatures w14:val="none"/>
        </w:rPr>
        <w:t xml:space="preserve">Theissen, Gerd y Annette Merz. </w:t>
      </w:r>
      <w:r w:rsidRPr="00543E6C">
        <w:rPr>
          <w:rFonts w:ascii="Calibri" w:eastAsia="Times New Roman" w:hAnsi="Calibri" w:cs="Calibri"/>
          <w:i/>
          <w:kern w:val="0"/>
          <w:lang w:val="es-ES_tradnl" w:eastAsia="es-CR"/>
          <w14:ligatures w14:val="none"/>
        </w:rPr>
        <w:t xml:space="preserve">El Jesús histórico. </w:t>
      </w:r>
      <w:r w:rsidRPr="00543E6C">
        <w:rPr>
          <w:rFonts w:ascii="Calibri" w:eastAsia="Times New Roman" w:hAnsi="Calibri" w:cs="Calibri"/>
          <w:kern w:val="0"/>
          <w:lang w:val="es-ES_tradnl" w:eastAsia="es-CR"/>
          <w14:ligatures w14:val="none"/>
        </w:rPr>
        <w:t>Salamanca: Sígueme, 2000. (Clásico, última reimpresión, 2012)</w:t>
      </w:r>
    </w:p>
    <w:p w14:paraId="047521E5"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color w:val="000000"/>
          <w:kern w:val="0"/>
          <w:szCs w:val="24"/>
          <w:lang w:val="es-ES_tradnl" w:eastAsia="es-CR"/>
          <w14:ligatures w14:val="none"/>
        </w:rPr>
      </w:pPr>
    </w:p>
    <w:p w14:paraId="1CA20D82"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r w:rsidRPr="00543E6C">
        <w:rPr>
          <w:rFonts w:ascii="Calibri" w:eastAsia="Times New Roman" w:hAnsi="Calibri" w:cs="Calibri"/>
          <w:b/>
          <w:bCs/>
          <w:color w:val="000000"/>
          <w:kern w:val="0"/>
          <w:szCs w:val="24"/>
          <w:lang w:val="es-ES_tradnl" w:eastAsia="es-CR"/>
          <w14:ligatures w14:val="none"/>
        </w:rPr>
        <w:t>XII. Bibliografía complementaria</w:t>
      </w:r>
    </w:p>
    <w:p w14:paraId="0FECFA5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Calibri"/>
          <w:b/>
          <w:bCs/>
          <w:color w:val="000000"/>
          <w:kern w:val="0"/>
          <w:szCs w:val="24"/>
          <w:lang w:val="es-ES_tradnl" w:eastAsia="es-CR"/>
          <w14:ligatures w14:val="none"/>
        </w:rPr>
      </w:pPr>
    </w:p>
    <w:p w14:paraId="114D75DD"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543E6C">
        <w:rPr>
          <w:rFonts w:ascii="Calibri" w:eastAsia="Times New Roman" w:hAnsi="Calibri" w:cs="Arial"/>
          <w:b/>
          <w:color w:val="000000"/>
          <w:kern w:val="0"/>
          <w:lang w:eastAsia="es-CR"/>
          <w14:ligatures w14:val="none"/>
        </w:rPr>
        <w:t>Nota:</w:t>
      </w:r>
      <w:r w:rsidRPr="00543E6C">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543E6C">
        <w:rPr>
          <w:rFonts w:ascii="Calibri" w:eastAsia="Times New Roman" w:hAnsi="Calibri" w:cs="Arial"/>
          <w:bCs/>
          <w:color w:val="000000"/>
          <w:kern w:val="0"/>
          <w:lang w:eastAsia="es-CR"/>
          <w14:ligatures w14:val="none"/>
        </w:rPr>
        <w:t>pdf</w:t>
      </w:r>
      <w:proofErr w:type="spellEnd"/>
      <w:r w:rsidRPr="00543E6C">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63AF5BFA" w14:textId="77777777" w:rsidR="00543E6C" w:rsidRPr="00543E6C" w:rsidRDefault="00543E6C" w:rsidP="00543E6C">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p>
    <w:p w14:paraId="5968649A" w14:textId="77777777" w:rsidR="00543E6C" w:rsidRPr="00543E6C" w:rsidRDefault="00543E6C" w:rsidP="00543E6C">
      <w:pPr>
        <w:widowControl w:val="0"/>
        <w:overflowPunct w:val="0"/>
        <w:autoSpaceDE w:val="0"/>
        <w:autoSpaceDN w:val="0"/>
        <w:adjustRightInd w:val="0"/>
        <w:spacing w:before="120" w:after="0" w:line="276" w:lineRule="auto"/>
        <w:jc w:val="both"/>
        <w:rPr>
          <w:rFonts w:ascii="Calibri" w:eastAsia="Times New Roman" w:hAnsi="Calibri" w:cs="Calibri"/>
          <w:kern w:val="0"/>
          <w:lang w:val="en-US" w:eastAsia="es-CR"/>
          <w14:ligatures w14:val="none"/>
        </w:rPr>
      </w:pPr>
      <w:r w:rsidRPr="00543E6C">
        <w:rPr>
          <w:rFonts w:ascii="Calibri" w:eastAsia="Times New Roman" w:hAnsi="Calibri" w:cs="Calibri"/>
          <w:kern w:val="0"/>
          <w:lang w:val="es-ES_tradnl" w:eastAsia="es-CR"/>
          <w14:ligatures w14:val="none"/>
        </w:rPr>
        <w:t xml:space="preserve">Noguez Alcántara, Armando. “Cristología y salvación en la obra Jesucristo liberador: Lectura histórico-teológica de Jesús de Nazaret, de J Sobrino”. </w:t>
      </w:r>
      <w:r w:rsidRPr="00543E6C">
        <w:rPr>
          <w:rFonts w:ascii="Calibri" w:eastAsia="Times New Roman" w:hAnsi="Calibri" w:cs="Calibri"/>
          <w:i/>
          <w:kern w:val="0"/>
          <w:lang w:val="es-ES_tradnl" w:eastAsia="es-CR"/>
          <w14:ligatures w14:val="none"/>
        </w:rPr>
        <w:t xml:space="preserve">Revista Iberoamericana de Teología </w:t>
      </w:r>
      <w:r w:rsidRPr="00543E6C">
        <w:rPr>
          <w:rFonts w:ascii="Calibri" w:eastAsia="Times New Roman" w:hAnsi="Calibri" w:cs="Calibri"/>
          <w:kern w:val="0"/>
          <w:lang w:val="es-ES_tradnl" w:eastAsia="es-CR"/>
          <w14:ligatures w14:val="none"/>
        </w:rPr>
        <w:t>9, n. 16 (2013): 9-39. Acceso el 18 de diciembre de 2020.</w:t>
      </w:r>
      <w:r w:rsidRPr="00543E6C">
        <w:rPr>
          <w:rFonts w:ascii="Calibri" w:eastAsia="Times New Roman" w:hAnsi="Calibri" w:cs="Calibri"/>
          <w:color w:val="00B050"/>
          <w:kern w:val="0"/>
          <w:lang w:val="es-ES_tradnl" w:eastAsia="es-CR"/>
          <w14:ligatures w14:val="none"/>
        </w:rPr>
        <w:t xml:space="preserve"> </w:t>
      </w:r>
      <w:hyperlink r:id="rId237" w:history="1">
        <w:r w:rsidRPr="00543E6C">
          <w:rPr>
            <w:rFonts w:ascii="Calibri" w:eastAsia="Times New Roman" w:hAnsi="Calibri" w:cs="Calibri"/>
            <w:color w:val="0563C1"/>
            <w:kern w:val="0"/>
            <w:u w:val="single"/>
            <w:lang w:val="en-US" w:eastAsia="es-CR"/>
            <w14:ligatures w14:val="none"/>
          </w:rPr>
          <w:t>https://www.redalyc.org/articulo.oa?id=125247734001</w:t>
        </w:r>
      </w:hyperlink>
    </w:p>
    <w:p w14:paraId="14E85F89" w14:textId="77777777" w:rsidR="00543E6C" w:rsidRPr="00543E6C" w:rsidRDefault="00543E6C" w:rsidP="00543E6C">
      <w:pPr>
        <w:widowControl w:val="0"/>
        <w:overflowPunct w:val="0"/>
        <w:autoSpaceDE w:val="0"/>
        <w:autoSpaceDN w:val="0"/>
        <w:adjustRightInd w:val="0"/>
        <w:spacing w:before="120" w:after="0" w:line="276" w:lineRule="auto"/>
        <w:jc w:val="both"/>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n-US" w:eastAsia="es-CR"/>
          <w14:ligatures w14:val="none"/>
        </w:rPr>
        <w:lastRenderedPageBreak/>
        <w:t xml:space="preserve">Sanders, E. Parish. </w:t>
      </w:r>
      <w:r w:rsidRPr="00543E6C">
        <w:rPr>
          <w:rFonts w:ascii="Calibri" w:eastAsia="Times New Roman" w:hAnsi="Calibri" w:cs="Calibri"/>
          <w:i/>
          <w:kern w:val="0"/>
          <w:lang w:val="es-ES_tradnl" w:eastAsia="es-CR"/>
          <w14:ligatures w14:val="none"/>
        </w:rPr>
        <w:t xml:space="preserve">La figura histórica de Jesús. </w:t>
      </w:r>
      <w:r w:rsidRPr="00543E6C">
        <w:rPr>
          <w:rFonts w:ascii="Calibri" w:eastAsia="Times New Roman" w:hAnsi="Calibri" w:cs="Calibri"/>
          <w:kern w:val="0"/>
          <w:lang w:val="es-ES_tradnl" w:eastAsia="es-CR"/>
          <w14:ligatures w14:val="none"/>
        </w:rPr>
        <w:t>Estella: Verbo Divino, 2001. (Clásico, última reimpresión, 2010)</w:t>
      </w:r>
    </w:p>
    <w:p w14:paraId="31A5BA5A" w14:textId="77777777" w:rsidR="00543E6C" w:rsidRPr="00543E6C" w:rsidRDefault="00543E6C" w:rsidP="00543E6C">
      <w:pPr>
        <w:widowControl w:val="0"/>
        <w:overflowPunct w:val="0"/>
        <w:autoSpaceDE w:val="0"/>
        <w:autoSpaceDN w:val="0"/>
        <w:adjustRightInd w:val="0"/>
        <w:spacing w:before="120" w:after="0" w:line="276" w:lineRule="auto"/>
        <w:jc w:val="both"/>
        <w:rPr>
          <w:rFonts w:ascii="Calibri" w:eastAsia="Times New Roman" w:hAnsi="Calibri" w:cs="Calibri"/>
          <w:kern w:val="0"/>
          <w:lang w:val="es-ES_tradnl" w:eastAsia="es-CR"/>
          <w14:ligatures w14:val="none"/>
        </w:rPr>
      </w:pPr>
      <w:r w:rsidRPr="00543E6C">
        <w:rPr>
          <w:rFonts w:ascii="Calibri" w:eastAsia="Times New Roman" w:hAnsi="Calibri" w:cs="Calibri"/>
          <w:kern w:val="0"/>
          <w:lang w:val="en-US" w:eastAsia="es-CR"/>
          <w14:ligatures w14:val="none"/>
        </w:rPr>
        <w:t xml:space="preserve">Theissen, Gerd y Anette Merz. </w:t>
      </w:r>
      <w:r w:rsidRPr="00543E6C">
        <w:rPr>
          <w:rFonts w:ascii="Calibri" w:eastAsia="Times New Roman" w:hAnsi="Calibri" w:cs="Calibri"/>
          <w:i/>
          <w:kern w:val="0"/>
          <w:lang w:val="es-ES_tradnl" w:eastAsia="es-CR"/>
          <w14:ligatures w14:val="none"/>
        </w:rPr>
        <w:t xml:space="preserve">El Jesús histórico: Manual. </w:t>
      </w:r>
      <w:r w:rsidRPr="00543E6C">
        <w:rPr>
          <w:rFonts w:ascii="Calibri" w:eastAsia="Times New Roman" w:hAnsi="Calibri" w:cs="Calibri"/>
          <w:kern w:val="0"/>
          <w:lang w:val="es-ES_tradnl" w:eastAsia="es-CR"/>
          <w14:ligatures w14:val="none"/>
        </w:rPr>
        <w:t>Salamanca: Sígueme, 2000. (Clásico, última reimpresión, 2012)</w:t>
      </w:r>
    </w:p>
    <w:p w14:paraId="6A5445BB" w14:textId="77777777" w:rsidR="007D47C5" w:rsidRDefault="007D47C5" w:rsidP="005107B2">
      <w:pPr>
        <w:ind w:left="709" w:hanging="709"/>
        <w:jc w:val="both"/>
        <w:rPr>
          <w:sz w:val="24"/>
          <w:szCs w:val="24"/>
        </w:rPr>
      </w:pPr>
    </w:p>
    <w:p w14:paraId="2972E56D" w14:textId="77777777" w:rsidR="007D47C5" w:rsidRDefault="007D47C5" w:rsidP="005107B2">
      <w:pPr>
        <w:ind w:left="709" w:hanging="709"/>
        <w:jc w:val="both"/>
        <w:rPr>
          <w:sz w:val="24"/>
          <w:szCs w:val="24"/>
        </w:rPr>
      </w:pPr>
    </w:p>
    <w:p w14:paraId="7F524463" w14:textId="77777777" w:rsidR="007D47C5" w:rsidRDefault="007D47C5" w:rsidP="005107B2">
      <w:pPr>
        <w:ind w:left="709" w:hanging="709"/>
        <w:jc w:val="both"/>
        <w:rPr>
          <w:sz w:val="24"/>
          <w:szCs w:val="24"/>
        </w:rPr>
      </w:pPr>
    </w:p>
    <w:p w14:paraId="052CCBE4" w14:textId="77777777" w:rsidR="007D47C5" w:rsidRDefault="007D47C5" w:rsidP="005107B2">
      <w:pPr>
        <w:ind w:left="709" w:hanging="709"/>
        <w:jc w:val="both"/>
        <w:rPr>
          <w:sz w:val="24"/>
          <w:szCs w:val="24"/>
        </w:rPr>
      </w:pPr>
    </w:p>
    <w:p w14:paraId="09CC8C1A" w14:textId="77777777" w:rsidR="007D47C5" w:rsidRDefault="007D47C5" w:rsidP="005107B2">
      <w:pPr>
        <w:ind w:left="709" w:hanging="709"/>
        <w:jc w:val="both"/>
        <w:rPr>
          <w:sz w:val="24"/>
          <w:szCs w:val="24"/>
        </w:rPr>
      </w:pPr>
    </w:p>
    <w:p w14:paraId="118C1E97" w14:textId="77777777" w:rsidR="007D47C5" w:rsidRDefault="007D47C5" w:rsidP="005107B2">
      <w:pPr>
        <w:ind w:left="709" w:hanging="709"/>
        <w:jc w:val="both"/>
        <w:rPr>
          <w:sz w:val="24"/>
          <w:szCs w:val="24"/>
        </w:rPr>
      </w:pPr>
    </w:p>
    <w:p w14:paraId="4ECD54DB" w14:textId="77777777" w:rsidR="007D47C5" w:rsidRDefault="007D47C5" w:rsidP="005107B2">
      <w:pPr>
        <w:ind w:left="709" w:hanging="709"/>
        <w:jc w:val="both"/>
        <w:rPr>
          <w:sz w:val="24"/>
          <w:szCs w:val="24"/>
        </w:rPr>
      </w:pPr>
    </w:p>
    <w:p w14:paraId="6378976D" w14:textId="77777777" w:rsidR="007D47C5" w:rsidRDefault="007D47C5" w:rsidP="005107B2">
      <w:pPr>
        <w:ind w:left="709" w:hanging="709"/>
        <w:jc w:val="both"/>
        <w:rPr>
          <w:sz w:val="24"/>
          <w:szCs w:val="24"/>
        </w:rPr>
      </w:pPr>
    </w:p>
    <w:p w14:paraId="141D5963" w14:textId="77777777" w:rsidR="007D47C5" w:rsidRDefault="007D47C5" w:rsidP="005107B2">
      <w:pPr>
        <w:ind w:left="709" w:hanging="709"/>
        <w:jc w:val="both"/>
        <w:rPr>
          <w:sz w:val="24"/>
          <w:szCs w:val="24"/>
        </w:rPr>
      </w:pPr>
    </w:p>
    <w:p w14:paraId="6A2E2473" w14:textId="77777777" w:rsidR="007D47C5" w:rsidRDefault="007D47C5" w:rsidP="005107B2">
      <w:pPr>
        <w:ind w:left="709" w:hanging="709"/>
        <w:jc w:val="both"/>
        <w:rPr>
          <w:sz w:val="24"/>
          <w:szCs w:val="24"/>
        </w:rPr>
      </w:pPr>
    </w:p>
    <w:p w14:paraId="39FDE18A" w14:textId="77777777" w:rsidR="007D47C5" w:rsidRDefault="007D47C5" w:rsidP="005107B2">
      <w:pPr>
        <w:ind w:left="709" w:hanging="709"/>
        <w:jc w:val="both"/>
        <w:rPr>
          <w:sz w:val="24"/>
          <w:szCs w:val="24"/>
        </w:rPr>
      </w:pPr>
    </w:p>
    <w:p w14:paraId="48A021D3" w14:textId="77777777" w:rsidR="007D47C5" w:rsidRDefault="007D47C5" w:rsidP="005107B2">
      <w:pPr>
        <w:ind w:left="709" w:hanging="709"/>
        <w:jc w:val="both"/>
        <w:rPr>
          <w:sz w:val="24"/>
          <w:szCs w:val="24"/>
        </w:rPr>
      </w:pPr>
    </w:p>
    <w:p w14:paraId="71E34C4C" w14:textId="77777777" w:rsidR="007D47C5" w:rsidRDefault="007D47C5" w:rsidP="005107B2">
      <w:pPr>
        <w:ind w:left="709" w:hanging="709"/>
        <w:jc w:val="both"/>
        <w:rPr>
          <w:sz w:val="24"/>
          <w:szCs w:val="24"/>
        </w:rPr>
      </w:pPr>
    </w:p>
    <w:p w14:paraId="7BD1B3D5" w14:textId="77777777" w:rsidR="007D47C5" w:rsidRDefault="007D47C5" w:rsidP="005107B2">
      <w:pPr>
        <w:ind w:left="709" w:hanging="709"/>
        <w:jc w:val="both"/>
        <w:rPr>
          <w:sz w:val="24"/>
          <w:szCs w:val="24"/>
        </w:rPr>
      </w:pPr>
    </w:p>
    <w:p w14:paraId="3A45B9E9" w14:textId="77777777" w:rsidR="007D47C5" w:rsidRDefault="007D47C5" w:rsidP="005107B2">
      <w:pPr>
        <w:ind w:left="709" w:hanging="709"/>
        <w:jc w:val="both"/>
        <w:rPr>
          <w:sz w:val="24"/>
          <w:szCs w:val="24"/>
        </w:rPr>
      </w:pPr>
    </w:p>
    <w:p w14:paraId="51BA14AE" w14:textId="77777777" w:rsidR="007D47C5" w:rsidRDefault="007D47C5" w:rsidP="005107B2">
      <w:pPr>
        <w:ind w:left="709" w:hanging="709"/>
        <w:jc w:val="both"/>
        <w:rPr>
          <w:sz w:val="24"/>
          <w:szCs w:val="24"/>
        </w:rPr>
      </w:pPr>
    </w:p>
    <w:p w14:paraId="35A383E4" w14:textId="38369F68" w:rsidR="00543E6C" w:rsidRDefault="00543E6C">
      <w:pPr>
        <w:rPr>
          <w:sz w:val="24"/>
          <w:szCs w:val="24"/>
        </w:rPr>
      </w:pPr>
      <w:r>
        <w:rPr>
          <w:sz w:val="24"/>
          <w:szCs w:val="24"/>
        </w:rPr>
        <w:br w:type="page"/>
      </w:r>
    </w:p>
    <w:p w14:paraId="3C38B299" w14:textId="77777777" w:rsidR="00B77F6A" w:rsidRPr="00B77F6A" w:rsidRDefault="00B77F6A" w:rsidP="00B77F6A">
      <w:pPr>
        <w:widowControl w:val="0"/>
        <w:overflowPunct w:val="0"/>
        <w:autoSpaceDE w:val="0"/>
        <w:autoSpaceDN w:val="0"/>
        <w:adjustRightInd w:val="0"/>
        <w:spacing w:after="0" w:line="240" w:lineRule="auto"/>
        <w:jc w:val="center"/>
        <w:rPr>
          <w:rFonts w:ascii="Arial" w:eastAsia="Times New Roman" w:hAnsi="Arial" w:cs="Arial"/>
          <w:noProof/>
          <w:kern w:val="0"/>
          <w:sz w:val="24"/>
          <w:szCs w:val="24"/>
          <w:lang w:val="en-US" w:eastAsia="es-CR"/>
          <w14:ligatures w14:val="none"/>
        </w:rPr>
      </w:pPr>
      <w:r w:rsidRPr="00B77F6A">
        <w:rPr>
          <w:rFonts w:ascii="Arial" w:eastAsia="Times New Roman" w:hAnsi="Arial" w:cs="Arial"/>
          <w:noProof/>
          <w:kern w:val="0"/>
          <w:sz w:val="24"/>
          <w:szCs w:val="24"/>
          <w:lang w:eastAsia="es-CR"/>
          <w14:ligatures w14:val="none"/>
        </w:rPr>
        <w:lastRenderedPageBreak/>
        <w:drawing>
          <wp:inline distT="0" distB="0" distL="0" distR="0" wp14:anchorId="3CC1A09E" wp14:editId="6B3BB03A">
            <wp:extent cx="2009775" cy="1548377"/>
            <wp:effectExtent l="0" t="0" r="0" b="0"/>
            <wp:docPr id="307825664"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25664"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6287D2F"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Arial"/>
          <w:kern w:val="0"/>
          <w:sz w:val="24"/>
          <w:szCs w:val="24"/>
          <w:lang w:val="es-ES_tradnl" w:eastAsia="es-CR"/>
          <w14:ligatures w14:val="none"/>
        </w:rPr>
      </w:pPr>
    </w:p>
    <w:p w14:paraId="3A57599A" w14:textId="77777777" w:rsidR="00B77F6A" w:rsidRPr="00B77F6A" w:rsidRDefault="00B77F6A" w:rsidP="00B77F6A">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val="es-ES_tradnl" w:eastAsia="es-CR"/>
          <w14:ligatures w14:val="none"/>
        </w:rPr>
      </w:pPr>
      <w:r w:rsidRPr="00B77F6A">
        <w:rPr>
          <w:rFonts w:ascii="Calibri" w:eastAsia="Times New Roman" w:hAnsi="Calibri" w:cs="Arial"/>
          <w:b/>
          <w:spacing w:val="-2"/>
          <w:kern w:val="0"/>
          <w:sz w:val="24"/>
          <w:szCs w:val="24"/>
          <w:lang w:val="es-ES_tradnl" w:eastAsia="es-CR"/>
          <w14:ligatures w14:val="none"/>
        </w:rPr>
        <w:t>Universidad Bíblica Latinoamericana</w:t>
      </w:r>
    </w:p>
    <w:p w14:paraId="44154781" w14:textId="77777777" w:rsidR="00B77F6A" w:rsidRPr="00B77F6A" w:rsidRDefault="00B77F6A" w:rsidP="00B77F6A">
      <w:pPr>
        <w:keepNext/>
        <w:widowControl w:val="0"/>
        <w:overflowPunct w:val="0"/>
        <w:autoSpaceDE w:val="0"/>
        <w:autoSpaceDN w:val="0"/>
        <w:adjustRightInd w:val="0"/>
        <w:spacing w:after="0" w:line="240" w:lineRule="auto"/>
        <w:jc w:val="center"/>
        <w:outlineLvl w:val="1"/>
        <w:rPr>
          <w:rFonts w:ascii="Calibri" w:eastAsia="Times New Roman" w:hAnsi="Calibri" w:cs="Times New Roman"/>
          <w:b/>
          <w:i/>
          <w:spacing w:val="-2"/>
          <w:kern w:val="28"/>
          <w:sz w:val="24"/>
          <w:szCs w:val="24"/>
          <w:lang w:eastAsia="es-CR"/>
          <w14:ligatures w14:val="none"/>
        </w:rPr>
      </w:pPr>
      <w:r w:rsidRPr="00B77F6A">
        <w:rPr>
          <w:rFonts w:ascii="Calibri" w:eastAsia="Times New Roman" w:hAnsi="Calibri" w:cs="Times New Roman"/>
          <w:b/>
          <w:i/>
          <w:spacing w:val="-2"/>
          <w:kern w:val="28"/>
          <w:sz w:val="24"/>
          <w:szCs w:val="24"/>
          <w:lang w:eastAsia="es-CR"/>
          <w14:ligatures w14:val="none"/>
        </w:rPr>
        <w:t>Facultad de Teología</w:t>
      </w:r>
    </w:p>
    <w:p w14:paraId="7F65028A"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B77F6A">
        <w:rPr>
          <w:rFonts w:ascii="Calibri" w:eastAsia="Times New Roman" w:hAnsi="Calibri" w:cs="Arial"/>
          <w:b/>
          <w:bCs/>
          <w:kern w:val="0"/>
          <w:sz w:val="24"/>
          <w:szCs w:val="20"/>
          <w:lang w:val="es-ES_tradnl" w:eastAsia="es-CR"/>
          <w14:ligatures w14:val="none"/>
        </w:rPr>
        <w:t xml:space="preserve">Bachillerato en </w:t>
      </w:r>
      <w:r w:rsidRPr="00B77F6A">
        <w:rPr>
          <w:rFonts w:ascii="Calibri" w:eastAsia="Times New Roman" w:hAnsi="Calibri" w:cs="Arial"/>
          <w:b/>
          <w:bCs/>
          <w:kern w:val="0"/>
          <w:sz w:val="24"/>
          <w:szCs w:val="24"/>
          <w:lang w:val="es-ES_tradnl" w:eastAsia="es-CR"/>
          <w14:ligatures w14:val="none"/>
        </w:rPr>
        <w:t xml:space="preserve">Ciencias </w:t>
      </w:r>
      <w:r w:rsidRPr="00B77F6A">
        <w:rPr>
          <w:rFonts w:ascii="Calibri" w:eastAsia="Times New Roman" w:hAnsi="Calibri" w:cs="Arial"/>
          <w:b/>
          <w:bCs/>
          <w:kern w:val="0"/>
          <w:sz w:val="24"/>
          <w:szCs w:val="20"/>
          <w:lang w:val="es-ES_tradnl" w:eastAsia="es-CR"/>
          <w14:ligatures w14:val="none"/>
        </w:rPr>
        <w:t>Bíblicas</w:t>
      </w:r>
    </w:p>
    <w:p w14:paraId="611F70C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kern w:val="0"/>
          <w:sz w:val="24"/>
          <w:szCs w:val="24"/>
          <w:lang w:val="es-ES_tradnl" w:eastAsia="es-CR"/>
          <w14:ligatures w14:val="none"/>
        </w:rPr>
      </w:pPr>
    </w:p>
    <w:p w14:paraId="0E374E4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B77F6A">
        <w:rPr>
          <w:rFonts w:ascii="Calibri" w:eastAsia="Times New Roman" w:hAnsi="Calibri" w:cs="Arial"/>
          <w:b/>
          <w:kern w:val="0"/>
          <w:sz w:val="24"/>
          <w:szCs w:val="24"/>
          <w:lang w:val="es-ES_tradnl" w:eastAsia="es-CR"/>
          <w14:ligatures w14:val="none"/>
        </w:rPr>
        <w:t>Sílabo</w:t>
      </w:r>
    </w:p>
    <w:p w14:paraId="7AC3B40A"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bookmarkStart w:id="39" w:name="CTX124"/>
      <w:r w:rsidRPr="00B77F6A">
        <w:rPr>
          <w:rFonts w:ascii="Calibri" w:eastAsia="Times New Roman" w:hAnsi="Calibri" w:cs="Arial"/>
          <w:b/>
          <w:kern w:val="0"/>
          <w:sz w:val="24"/>
          <w:szCs w:val="24"/>
          <w:lang w:val="es-ES_tradnl" w:eastAsia="es-CR"/>
          <w14:ligatures w14:val="none"/>
        </w:rPr>
        <w:t>Género e Identidad</w:t>
      </w:r>
      <w:bookmarkEnd w:id="39"/>
    </w:p>
    <w:p w14:paraId="40DEDC31"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p>
    <w:p w14:paraId="40B227A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kern w:val="0"/>
          <w:sz w:val="24"/>
          <w:szCs w:val="24"/>
          <w:lang w:val="es-ES_tradnl" w:eastAsia="es-CR"/>
          <w14:ligatures w14:val="none"/>
        </w:rPr>
      </w:pPr>
    </w:p>
    <w:p w14:paraId="0DA91CE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kern w:val="0"/>
          <w:sz w:val="24"/>
          <w:szCs w:val="24"/>
          <w:lang w:val="es-ES_tradnl" w:eastAsia="es-CR"/>
          <w14:ligatures w14:val="none"/>
        </w:rPr>
      </w:pPr>
    </w:p>
    <w:tbl>
      <w:tblPr>
        <w:tblStyle w:val="Tablaconcuadrcula"/>
        <w:tblW w:w="0" w:type="auto"/>
        <w:tblLook w:val="04A0" w:firstRow="1" w:lastRow="0" w:firstColumn="1" w:lastColumn="0" w:noHBand="0" w:noVBand="1"/>
      </w:tblPr>
      <w:tblGrid>
        <w:gridCol w:w="1667"/>
        <w:gridCol w:w="7161"/>
      </w:tblGrid>
      <w:tr w:rsidR="00B77F6A" w:rsidRPr="00B77F6A" w14:paraId="7A5C3908" w14:textId="77777777" w:rsidTr="00CE7124">
        <w:tc>
          <w:tcPr>
            <w:tcW w:w="1667" w:type="dxa"/>
          </w:tcPr>
          <w:p w14:paraId="2BC753FD"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Código</w:t>
            </w:r>
          </w:p>
        </w:tc>
        <w:tc>
          <w:tcPr>
            <w:tcW w:w="7161" w:type="dxa"/>
          </w:tcPr>
          <w:p w14:paraId="18EDEAFA"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CTX 124</w:t>
            </w:r>
          </w:p>
        </w:tc>
      </w:tr>
      <w:tr w:rsidR="00B77F6A" w:rsidRPr="00B77F6A" w14:paraId="7FE6BB8D" w14:textId="77777777" w:rsidTr="00CE7124">
        <w:tc>
          <w:tcPr>
            <w:tcW w:w="1667" w:type="dxa"/>
          </w:tcPr>
          <w:p w14:paraId="3F04DB4C"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Créditos</w:t>
            </w:r>
          </w:p>
        </w:tc>
        <w:tc>
          <w:tcPr>
            <w:tcW w:w="7161" w:type="dxa"/>
          </w:tcPr>
          <w:p w14:paraId="385DC1F6"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4</w:t>
            </w:r>
          </w:p>
        </w:tc>
      </w:tr>
      <w:tr w:rsidR="00B77F6A" w:rsidRPr="00B77F6A" w14:paraId="521795CC" w14:textId="77777777" w:rsidTr="00CE7124">
        <w:tc>
          <w:tcPr>
            <w:tcW w:w="1667" w:type="dxa"/>
          </w:tcPr>
          <w:p w14:paraId="51B61179"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Requisitos</w:t>
            </w:r>
          </w:p>
        </w:tc>
        <w:tc>
          <w:tcPr>
            <w:tcW w:w="7161" w:type="dxa"/>
          </w:tcPr>
          <w:p w14:paraId="50C93588"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CTX 103</w:t>
            </w:r>
          </w:p>
        </w:tc>
      </w:tr>
      <w:tr w:rsidR="00B77F6A" w:rsidRPr="00B77F6A" w14:paraId="0A47B621" w14:textId="77777777" w:rsidTr="00CE7124">
        <w:tc>
          <w:tcPr>
            <w:tcW w:w="1667" w:type="dxa"/>
          </w:tcPr>
          <w:p w14:paraId="6DDA8275"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Modalidad</w:t>
            </w:r>
          </w:p>
        </w:tc>
        <w:tc>
          <w:tcPr>
            <w:tcW w:w="7161" w:type="dxa"/>
          </w:tcPr>
          <w:p w14:paraId="72CBAA0D"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Virtual</w:t>
            </w:r>
          </w:p>
        </w:tc>
      </w:tr>
      <w:tr w:rsidR="00B77F6A" w:rsidRPr="00B77F6A" w14:paraId="6D4F5983" w14:textId="77777777" w:rsidTr="00CE7124">
        <w:tc>
          <w:tcPr>
            <w:tcW w:w="1667" w:type="dxa"/>
          </w:tcPr>
          <w:p w14:paraId="7C22B7C6"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Naturaleza</w:t>
            </w:r>
          </w:p>
        </w:tc>
        <w:tc>
          <w:tcPr>
            <w:tcW w:w="7161" w:type="dxa"/>
          </w:tcPr>
          <w:p w14:paraId="5AF11213"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Teórico-práctico</w:t>
            </w:r>
          </w:p>
        </w:tc>
      </w:tr>
      <w:tr w:rsidR="00B77F6A" w:rsidRPr="00B77F6A" w14:paraId="4B45E8EA" w14:textId="77777777" w:rsidTr="00CE7124">
        <w:tc>
          <w:tcPr>
            <w:tcW w:w="1667" w:type="dxa"/>
          </w:tcPr>
          <w:p w14:paraId="1829E509"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Periodo</w:t>
            </w:r>
          </w:p>
        </w:tc>
        <w:tc>
          <w:tcPr>
            <w:tcW w:w="7161" w:type="dxa"/>
          </w:tcPr>
          <w:p w14:paraId="1A445A38"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Cuatrimestral (15 semanas lectivas)</w:t>
            </w:r>
          </w:p>
        </w:tc>
      </w:tr>
      <w:tr w:rsidR="00B77F6A" w:rsidRPr="00B77F6A" w14:paraId="5D0240D9" w14:textId="77777777" w:rsidTr="00CE7124">
        <w:tc>
          <w:tcPr>
            <w:tcW w:w="1667" w:type="dxa"/>
          </w:tcPr>
          <w:p w14:paraId="5405394A"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Nivel</w:t>
            </w:r>
          </w:p>
        </w:tc>
        <w:tc>
          <w:tcPr>
            <w:tcW w:w="7161" w:type="dxa"/>
          </w:tcPr>
          <w:p w14:paraId="6773B561"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IV Cuatrimestre</w:t>
            </w:r>
          </w:p>
        </w:tc>
      </w:tr>
      <w:tr w:rsidR="00B77F6A" w:rsidRPr="00B77F6A" w14:paraId="725BDDDA" w14:textId="77777777" w:rsidTr="00CE7124">
        <w:tc>
          <w:tcPr>
            <w:tcW w:w="1667" w:type="dxa"/>
          </w:tcPr>
          <w:p w14:paraId="3A7EB347"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Horario</w:t>
            </w:r>
          </w:p>
        </w:tc>
        <w:tc>
          <w:tcPr>
            <w:tcW w:w="7161" w:type="dxa"/>
          </w:tcPr>
          <w:p w14:paraId="29B07A98"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El curso requiere de 12 horas de trabajo semanal</w:t>
            </w:r>
          </w:p>
        </w:tc>
      </w:tr>
      <w:tr w:rsidR="00B77F6A" w:rsidRPr="00B77F6A" w14:paraId="4BDFE961" w14:textId="77777777" w:rsidTr="00CE7124">
        <w:tc>
          <w:tcPr>
            <w:tcW w:w="1667" w:type="dxa"/>
          </w:tcPr>
          <w:p w14:paraId="495ADCB8"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Aula</w:t>
            </w:r>
          </w:p>
        </w:tc>
        <w:tc>
          <w:tcPr>
            <w:tcW w:w="7161" w:type="dxa"/>
          </w:tcPr>
          <w:p w14:paraId="3DD267AB"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lang w:eastAsia="es-CR"/>
              </w:rPr>
              <w:t>Plataforma virtual de la UBL</w:t>
            </w:r>
          </w:p>
        </w:tc>
      </w:tr>
      <w:tr w:rsidR="00B77F6A" w:rsidRPr="00B77F6A" w14:paraId="3DC5605E" w14:textId="77777777" w:rsidTr="00CE7124">
        <w:tc>
          <w:tcPr>
            <w:tcW w:w="1667" w:type="dxa"/>
          </w:tcPr>
          <w:p w14:paraId="68091B68" w14:textId="77777777" w:rsidR="00B77F6A" w:rsidRPr="00B77F6A" w:rsidRDefault="00B77F6A" w:rsidP="00B77F6A">
            <w:pPr>
              <w:widowControl w:val="0"/>
              <w:overflowPunct w:val="0"/>
              <w:autoSpaceDE w:val="0"/>
              <w:autoSpaceDN w:val="0"/>
              <w:adjustRightInd w:val="0"/>
              <w:rPr>
                <w:rFonts w:ascii="Calibri" w:eastAsia="Times New Roman" w:hAnsi="Calibri" w:cs="Calibri"/>
                <w:b/>
                <w:lang w:eastAsia="es-CR"/>
              </w:rPr>
            </w:pPr>
            <w:r w:rsidRPr="00B77F6A">
              <w:rPr>
                <w:rFonts w:ascii="Calibri" w:eastAsia="Times New Roman" w:hAnsi="Calibri" w:cs="Calibri"/>
                <w:b/>
                <w:lang w:eastAsia="es-CR"/>
              </w:rPr>
              <w:t>Docente</w:t>
            </w:r>
          </w:p>
        </w:tc>
        <w:tc>
          <w:tcPr>
            <w:tcW w:w="7161" w:type="dxa"/>
          </w:tcPr>
          <w:p w14:paraId="406D5792"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p>
        </w:tc>
      </w:tr>
      <w:tr w:rsidR="00B77F6A" w:rsidRPr="00B77F6A" w14:paraId="5892BA0C" w14:textId="77777777" w:rsidTr="00CE7124">
        <w:tc>
          <w:tcPr>
            <w:tcW w:w="1667" w:type="dxa"/>
            <w:vAlign w:val="center"/>
          </w:tcPr>
          <w:p w14:paraId="580ED84E" w14:textId="77777777" w:rsidR="00B77F6A" w:rsidRPr="00B77F6A" w:rsidRDefault="00B77F6A" w:rsidP="00B77F6A">
            <w:pPr>
              <w:widowControl w:val="0"/>
              <w:overflowPunct w:val="0"/>
              <w:autoSpaceDE w:val="0"/>
              <w:autoSpaceDN w:val="0"/>
              <w:adjustRightInd w:val="0"/>
              <w:rPr>
                <w:rFonts w:ascii="Calibri" w:eastAsia="Times New Roman" w:hAnsi="Calibri" w:cs="Calibri"/>
                <w:lang w:eastAsia="es-CR"/>
              </w:rPr>
            </w:pPr>
            <w:r w:rsidRPr="00B77F6A">
              <w:rPr>
                <w:rFonts w:ascii="Calibri" w:eastAsia="Times New Roman" w:hAnsi="Calibri" w:cs="Calibri"/>
                <w:b/>
                <w:lang w:eastAsia="es-CR"/>
              </w:rPr>
              <w:t>Instrucciones administrativas</w:t>
            </w:r>
          </w:p>
        </w:tc>
        <w:tc>
          <w:tcPr>
            <w:tcW w:w="7161" w:type="dxa"/>
          </w:tcPr>
          <w:p w14:paraId="4C8D003A" w14:textId="77777777" w:rsidR="00B77F6A" w:rsidRPr="00B77F6A" w:rsidRDefault="00B77F6A" w:rsidP="00B77F6A">
            <w:pPr>
              <w:widowControl w:val="0"/>
              <w:overflowPunct w:val="0"/>
              <w:autoSpaceDE w:val="0"/>
              <w:autoSpaceDN w:val="0"/>
              <w:adjustRightInd w:val="0"/>
              <w:jc w:val="both"/>
              <w:rPr>
                <w:rFonts w:ascii="Calibri" w:eastAsia="Times New Roman" w:hAnsi="Calibri" w:cs="Calibri"/>
                <w:lang w:eastAsia="es-CR"/>
              </w:rPr>
            </w:pPr>
            <w:r w:rsidRPr="00B77F6A">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una hora semanal de práctica. La dirección de acceso a la plataforma es la siguiente:</w:t>
            </w:r>
          </w:p>
          <w:p w14:paraId="584E8D61" w14:textId="77777777" w:rsidR="00B77F6A" w:rsidRPr="00B77F6A" w:rsidRDefault="00DD16F2" w:rsidP="00B77F6A">
            <w:pPr>
              <w:widowControl w:val="0"/>
              <w:overflowPunct w:val="0"/>
              <w:autoSpaceDE w:val="0"/>
              <w:autoSpaceDN w:val="0"/>
              <w:adjustRightInd w:val="0"/>
              <w:jc w:val="both"/>
              <w:rPr>
                <w:rFonts w:ascii="Calibri" w:eastAsia="Times New Roman" w:hAnsi="Calibri" w:cs="Calibri"/>
                <w:lang w:eastAsia="es-CR"/>
              </w:rPr>
            </w:pPr>
            <w:hyperlink r:id="rId238" w:history="1">
              <w:r w:rsidR="00B77F6A" w:rsidRPr="00B77F6A">
                <w:rPr>
                  <w:rFonts w:ascii="Calibri" w:eastAsia="Times New Roman" w:hAnsi="Calibri" w:cs="Calibri"/>
                  <w:color w:val="0000FF"/>
                  <w:u w:val="single"/>
                  <w:lang w:eastAsia="es-CR"/>
                </w:rPr>
                <w:t>https://campus.ubl.ac.cr/login/index.php</w:t>
              </w:r>
            </w:hyperlink>
          </w:p>
        </w:tc>
      </w:tr>
    </w:tbl>
    <w:p w14:paraId="0FF8493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431D50D8" w14:textId="77777777" w:rsidR="00B77F6A" w:rsidRPr="00B77F6A" w:rsidRDefault="00B77F6A" w:rsidP="00B77F6A">
      <w:pPr>
        <w:keepNext/>
        <w:widowControl w:val="0"/>
        <w:overflowPunct w:val="0"/>
        <w:autoSpaceDE w:val="0"/>
        <w:autoSpaceDN w:val="0"/>
        <w:adjustRightInd w:val="0"/>
        <w:spacing w:after="0" w:line="240" w:lineRule="auto"/>
        <w:outlineLvl w:val="0"/>
        <w:rPr>
          <w:rFonts w:ascii="Calibri" w:eastAsia="Times New Roman" w:hAnsi="Calibri" w:cs="Arial"/>
          <w:b/>
          <w:color w:val="000000"/>
          <w:spacing w:val="-2"/>
          <w:kern w:val="0"/>
          <w:lang w:val="es-ES_tradnl" w:eastAsia="es-CR"/>
          <w14:ligatures w14:val="none"/>
        </w:rPr>
      </w:pPr>
    </w:p>
    <w:p w14:paraId="56B33919" w14:textId="77777777" w:rsidR="00B77F6A" w:rsidRPr="00B77F6A" w:rsidRDefault="00B77F6A" w:rsidP="00B77F6A">
      <w:pPr>
        <w:keepNext/>
        <w:spacing w:after="0" w:line="240" w:lineRule="auto"/>
        <w:outlineLvl w:val="2"/>
        <w:rPr>
          <w:rFonts w:ascii="Calibri" w:eastAsia="Times New Roman" w:hAnsi="Calibri" w:cs="Arial"/>
          <w:b/>
          <w:snapToGrid w:val="0"/>
          <w:color w:val="000000"/>
          <w:kern w:val="0"/>
          <w:lang w:val="es-ES"/>
          <w14:ligatures w14:val="none"/>
        </w:rPr>
      </w:pPr>
      <w:r w:rsidRPr="00B77F6A">
        <w:rPr>
          <w:rFonts w:ascii="Calibri" w:eastAsia="Times New Roman" w:hAnsi="Calibri" w:cs="Arial"/>
          <w:b/>
          <w:snapToGrid w:val="0"/>
          <w:color w:val="000000"/>
          <w:kern w:val="0"/>
          <w:lang w:val="es-ES"/>
          <w14:ligatures w14:val="none"/>
        </w:rPr>
        <w:t>I. Descripción</w:t>
      </w:r>
    </w:p>
    <w:p w14:paraId="34A24AA0"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p>
    <w:p w14:paraId="5115AE19"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En décadas recientes la sociedad mundial ha experimentado muchos cambios en cuanto a actitudes y prácticas aceptables tanto para mujeres como para hombres. América Latina no ha sido una excepción de este fenómeno.  Muchos de estos cambios se encuadran dentro del ámbito de una lucha por más justicia para todos los seres humanos de toda etnia, clase y edad.  En este curso vamos a explorar algunos textos que nos ayudarán a entender qué es lo que pasa y por qué, tomando el caso de las iglesias como un ejemplo concreto apropiado para estudiantes de programas de teología.</w:t>
      </w:r>
    </w:p>
    <w:p w14:paraId="47C4C3FB" w14:textId="77777777" w:rsidR="00B77F6A" w:rsidRPr="00B77F6A" w:rsidRDefault="00B77F6A" w:rsidP="00B77F6A">
      <w:pPr>
        <w:keepNext/>
        <w:spacing w:after="0" w:line="240" w:lineRule="auto"/>
        <w:rPr>
          <w:rFonts w:ascii="Calibri" w:eastAsia="Times New Roman" w:hAnsi="Calibri" w:cs="Arial"/>
          <w:b/>
          <w:snapToGrid w:val="0"/>
          <w:color w:val="000000"/>
          <w:kern w:val="0"/>
          <w:lang w:val="es-ES"/>
          <w14:ligatures w14:val="none"/>
        </w:rPr>
      </w:pPr>
      <w:r w:rsidRPr="00B77F6A">
        <w:rPr>
          <w:rFonts w:ascii="Calibri" w:eastAsia="Times New Roman" w:hAnsi="Calibri" w:cs="Arial"/>
          <w:b/>
          <w:snapToGrid w:val="0"/>
          <w:color w:val="000000"/>
          <w:kern w:val="0"/>
          <w:lang w:val="es-ES"/>
          <w14:ligatures w14:val="none"/>
        </w:rPr>
        <w:lastRenderedPageBreak/>
        <w:t>II. Objetivo general</w:t>
      </w:r>
    </w:p>
    <w:p w14:paraId="629F5849"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p>
    <w:p w14:paraId="160ADC23"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Analizar los papeles socialmente definidos de masculinidad y feminidad, tomando en cuenta los aportes de distintos campos del conocimiento e identificando mediante este análisis unas pautas para la práctica pastoral.</w:t>
      </w:r>
    </w:p>
    <w:p w14:paraId="39ABE89B" w14:textId="77777777" w:rsidR="00B77F6A" w:rsidRPr="00B77F6A" w:rsidRDefault="00B77F6A" w:rsidP="00B77F6A">
      <w:pPr>
        <w:keepNext/>
        <w:spacing w:after="0" w:line="240" w:lineRule="auto"/>
        <w:rPr>
          <w:rFonts w:ascii="Calibri" w:eastAsia="Times New Roman" w:hAnsi="Calibri" w:cs="Arial"/>
          <w:b/>
          <w:snapToGrid w:val="0"/>
          <w:color w:val="000000"/>
          <w:kern w:val="0"/>
          <w:lang w:val="es-ES"/>
          <w14:ligatures w14:val="none"/>
        </w:rPr>
      </w:pPr>
    </w:p>
    <w:p w14:paraId="13075D80" w14:textId="77777777" w:rsidR="00B77F6A" w:rsidRPr="00B77F6A" w:rsidRDefault="00B77F6A" w:rsidP="00B77F6A">
      <w:pPr>
        <w:keepNext/>
        <w:spacing w:after="0" w:line="240" w:lineRule="auto"/>
        <w:rPr>
          <w:rFonts w:ascii="Calibri" w:eastAsia="Times New Roman" w:hAnsi="Calibri" w:cs="Arial"/>
          <w:b/>
          <w:snapToGrid w:val="0"/>
          <w:color w:val="000000"/>
          <w:kern w:val="0"/>
          <w:lang w:val="es-ES"/>
          <w14:ligatures w14:val="none"/>
        </w:rPr>
      </w:pPr>
      <w:r w:rsidRPr="00B77F6A">
        <w:rPr>
          <w:rFonts w:ascii="Calibri" w:eastAsia="Times New Roman" w:hAnsi="Calibri" w:cs="Arial"/>
          <w:b/>
          <w:snapToGrid w:val="0"/>
          <w:color w:val="000000"/>
          <w:kern w:val="0"/>
          <w:lang w:val="es-ES"/>
          <w14:ligatures w14:val="none"/>
        </w:rPr>
        <w:t>III. Objetivos específicos</w:t>
      </w:r>
    </w:p>
    <w:p w14:paraId="1C9AAD27"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b/>
          <w:color w:val="000000"/>
          <w:kern w:val="0"/>
          <w:lang w:val="es-ES" w:eastAsia="es-CR"/>
          <w14:ligatures w14:val="none"/>
        </w:rPr>
      </w:pPr>
    </w:p>
    <w:p w14:paraId="74F166BD"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i/>
          <w:color w:val="000000"/>
          <w:kern w:val="0"/>
          <w:lang w:val="es-ES" w:eastAsia="es-CR"/>
          <w14:ligatures w14:val="none"/>
        </w:rPr>
      </w:pPr>
      <w:r w:rsidRPr="00B77F6A">
        <w:rPr>
          <w:rFonts w:ascii="Calibri" w:eastAsia="Times New Roman" w:hAnsi="Calibri" w:cs="Arial"/>
          <w:i/>
          <w:color w:val="000000"/>
          <w:kern w:val="0"/>
          <w:lang w:val="es-ES" w:eastAsia="es-CR"/>
          <w14:ligatures w14:val="none"/>
        </w:rPr>
        <w:t xml:space="preserve">Conocimiento y comprensión: </w:t>
      </w:r>
    </w:p>
    <w:p w14:paraId="6BFF5BFD"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color w:val="000000"/>
          <w:kern w:val="0"/>
          <w:lang w:val="es-ES" w:eastAsia="es-CR"/>
          <w14:ligatures w14:val="none"/>
        </w:rPr>
      </w:pPr>
    </w:p>
    <w:p w14:paraId="3E78F883" w14:textId="77777777" w:rsidR="00B77F6A" w:rsidRPr="00B77F6A" w:rsidRDefault="00B77F6A" w:rsidP="00B77F6A">
      <w:pPr>
        <w:keepNext/>
        <w:widowControl w:val="0"/>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Las y los estudiantes podrán:</w:t>
      </w:r>
    </w:p>
    <w:p w14:paraId="2E2D1E64" w14:textId="77777777" w:rsidR="00B77F6A" w:rsidRPr="00B77F6A" w:rsidRDefault="00B77F6A" w:rsidP="00B77F6A">
      <w:pPr>
        <w:widowControl w:val="0"/>
        <w:numPr>
          <w:ilvl w:val="0"/>
          <w:numId w:val="133"/>
        </w:numPr>
        <w:tabs>
          <w:tab w:val="num" w:pos="720"/>
        </w:tabs>
        <w:overflowPunct w:val="0"/>
        <w:autoSpaceDE w:val="0"/>
        <w:autoSpaceDN w:val="0"/>
        <w:adjustRightInd w:val="0"/>
        <w:spacing w:before="120" w:after="0" w:line="240" w:lineRule="auto"/>
        <w:jc w:val="both"/>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Identificar experiencias de sexismo, racismo, clasismo y de resistencia a la opresión que servirán como puntos de referencia para la reflexión.</w:t>
      </w:r>
    </w:p>
    <w:p w14:paraId="13F3A970" w14:textId="77777777" w:rsidR="00B77F6A" w:rsidRPr="00B77F6A" w:rsidRDefault="00B77F6A" w:rsidP="00B77F6A">
      <w:pPr>
        <w:widowControl w:val="0"/>
        <w:numPr>
          <w:ilvl w:val="0"/>
          <w:numId w:val="133"/>
        </w:numPr>
        <w:tabs>
          <w:tab w:val="num" w:pos="720"/>
        </w:tabs>
        <w:overflowPunct w:val="0"/>
        <w:autoSpaceDE w:val="0"/>
        <w:autoSpaceDN w:val="0"/>
        <w:adjustRightInd w:val="0"/>
        <w:spacing w:before="120" w:after="0" w:line="240" w:lineRule="auto"/>
        <w:jc w:val="both"/>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Relacionar estas experiencias a la reflexión bíblica, teológica y social.</w:t>
      </w:r>
    </w:p>
    <w:p w14:paraId="05B7EFA1" w14:textId="77777777" w:rsidR="00B77F6A" w:rsidRPr="00B77F6A" w:rsidRDefault="00B77F6A" w:rsidP="00B77F6A">
      <w:pPr>
        <w:widowControl w:val="0"/>
        <w:numPr>
          <w:ilvl w:val="0"/>
          <w:numId w:val="133"/>
        </w:numPr>
        <w:tabs>
          <w:tab w:val="num" w:pos="720"/>
        </w:tabs>
        <w:overflowPunct w:val="0"/>
        <w:autoSpaceDE w:val="0"/>
        <w:autoSpaceDN w:val="0"/>
        <w:adjustRightInd w:val="0"/>
        <w:spacing w:before="120" w:after="0" w:line="240" w:lineRule="auto"/>
        <w:jc w:val="both"/>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Identificar prácticas concretas para el ministerio a los niveles interpersonales e institucionales que fortalecen la igualdad y son liberadoras desde la perspectiva de género, etnia y clase.</w:t>
      </w:r>
    </w:p>
    <w:p w14:paraId="7C70A0F7"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b/>
          <w:color w:val="000000"/>
          <w:kern w:val="0"/>
          <w:lang w:val="es-ES" w:eastAsia="es-CR"/>
          <w14:ligatures w14:val="none"/>
        </w:rPr>
      </w:pPr>
    </w:p>
    <w:p w14:paraId="07DC2DC1"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i/>
          <w:color w:val="000000"/>
          <w:kern w:val="0"/>
          <w:lang w:val="es-ES" w:eastAsia="es-CR"/>
          <w14:ligatures w14:val="none"/>
        </w:rPr>
      </w:pPr>
      <w:r w:rsidRPr="00B77F6A">
        <w:rPr>
          <w:rFonts w:ascii="Calibri" w:eastAsia="Times New Roman" w:hAnsi="Calibri" w:cs="Arial"/>
          <w:i/>
          <w:color w:val="000000"/>
          <w:kern w:val="0"/>
          <w:lang w:val="es-ES" w:eastAsia="es-CR"/>
          <w14:ligatures w14:val="none"/>
        </w:rPr>
        <w:t xml:space="preserve">Actitudes y valores: </w:t>
      </w:r>
    </w:p>
    <w:p w14:paraId="24D3E8B5" w14:textId="77777777" w:rsidR="00B77F6A" w:rsidRPr="00B77F6A" w:rsidRDefault="00B77F6A" w:rsidP="00B77F6A">
      <w:pPr>
        <w:keepNext/>
        <w:widowControl w:val="0"/>
        <w:overflowPunct w:val="0"/>
        <w:autoSpaceDE w:val="0"/>
        <w:autoSpaceDN w:val="0"/>
        <w:adjustRightInd w:val="0"/>
        <w:spacing w:after="0" w:line="240" w:lineRule="auto"/>
        <w:rPr>
          <w:rFonts w:ascii="Calibri" w:eastAsia="Times New Roman" w:hAnsi="Calibri" w:cs="Arial"/>
          <w:b/>
          <w:color w:val="000000"/>
          <w:kern w:val="0"/>
          <w:lang w:val="es-ES" w:eastAsia="es-CR"/>
          <w14:ligatures w14:val="none"/>
        </w:rPr>
      </w:pPr>
    </w:p>
    <w:p w14:paraId="709325F1" w14:textId="77777777" w:rsidR="00B77F6A" w:rsidRPr="00B77F6A" w:rsidRDefault="00B77F6A" w:rsidP="00B77F6A">
      <w:pPr>
        <w:keepNext/>
        <w:widowControl w:val="0"/>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Las y los estudiantes podrán:</w:t>
      </w:r>
    </w:p>
    <w:p w14:paraId="65C9A3A3" w14:textId="77777777" w:rsidR="00B77F6A" w:rsidRPr="00B77F6A" w:rsidRDefault="00B77F6A" w:rsidP="008E0715">
      <w:pPr>
        <w:widowControl w:val="0"/>
        <w:numPr>
          <w:ilvl w:val="0"/>
          <w:numId w:val="134"/>
        </w:numPr>
        <w:overflowPunct w:val="0"/>
        <w:autoSpaceDE w:val="0"/>
        <w:autoSpaceDN w:val="0"/>
        <w:adjustRightInd w:val="0"/>
        <w:spacing w:after="0" w:line="276"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Reconocer prácticas diarias de marginación.</w:t>
      </w:r>
    </w:p>
    <w:p w14:paraId="0397889F" w14:textId="77777777" w:rsidR="00B77F6A" w:rsidRPr="00B77F6A" w:rsidRDefault="00B77F6A" w:rsidP="008E0715">
      <w:pPr>
        <w:widowControl w:val="0"/>
        <w:numPr>
          <w:ilvl w:val="0"/>
          <w:numId w:val="134"/>
        </w:numPr>
        <w:overflowPunct w:val="0"/>
        <w:autoSpaceDE w:val="0"/>
        <w:autoSpaceDN w:val="0"/>
        <w:adjustRightInd w:val="0"/>
        <w:spacing w:after="0" w:line="276"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Comprometerse a actuar de forma inclusiva.</w:t>
      </w:r>
    </w:p>
    <w:p w14:paraId="6760FE85" w14:textId="77777777" w:rsidR="00B77F6A" w:rsidRPr="00B77F6A" w:rsidRDefault="00B77F6A" w:rsidP="008E0715">
      <w:pPr>
        <w:widowControl w:val="0"/>
        <w:numPr>
          <w:ilvl w:val="0"/>
          <w:numId w:val="134"/>
        </w:numPr>
        <w:overflowPunct w:val="0"/>
        <w:autoSpaceDE w:val="0"/>
        <w:autoSpaceDN w:val="0"/>
        <w:adjustRightInd w:val="0"/>
        <w:spacing w:after="0" w:line="276"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Comprometerse a trabajar por el cambio hacia una sociedad incluyente.</w:t>
      </w:r>
    </w:p>
    <w:p w14:paraId="0F112E74" w14:textId="77777777" w:rsidR="00B77F6A" w:rsidRPr="00B77F6A" w:rsidRDefault="00B77F6A" w:rsidP="00B77F6A">
      <w:pPr>
        <w:keepNext/>
        <w:spacing w:after="0" w:line="240" w:lineRule="auto"/>
        <w:rPr>
          <w:rFonts w:ascii="Calibri" w:eastAsia="Times New Roman" w:hAnsi="Calibri" w:cs="Arial"/>
          <w:b/>
          <w:snapToGrid w:val="0"/>
          <w:color w:val="000000"/>
          <w:kern w:val="0"/>
          <w:lang w:val="es-ES"/>
          <w14:ligatures w14:val="none"/>
        </w:rPr>
      </w:pPr>
    </w:p>
    <w:p w14:paraId="212FCE77" w14:textId="77777777" w:rsidR="00B77F6A" w:rsidRPr="00B77F6A" w:rsidRDefault="00B77F6A" w:rsidP="00B77F6A">
      <w:pPr>
        <w:keepNext/>
        <w:spacing w:after="0" w:line="240" w:lineRule="auto"/>
        <w:rPr>
          <w:rFonts w:ascii="Calibri" w:eastAsia="Times New Roman" w:hAnsi="Calibri" w:cs="Arial"/>
          <w:b/>
          <w:snapToGrid w:val="0"/>
          <w:color w:val="000000"/>
          <w:kern w:val="0"/>
          <w:lang w:val="es-ES"/>
          <w14:ligatures w14:val="none"/>
        </w:rPr>
      </w:pPr>
      <w:r w:rsidRPr="00B77F6A">
        <w:rPr>
          <w:rFonts w:ascii="Calibri" w:eastAsia="Times New Roman" w:hAnsi="Calibri" w:cs="Arial"/>
          <w:b/>
          <w:snapToGrid w:val="0"/>
          <w:color w:val="000000"/>
          <w:kern w:val="0"/>
          <w:lang w:val="es-ES"/>
          <w14:ligatures w14:val="none"/>
        </w:rPr>
        <w:t xml:space="preserve">IV. Contenidos </w:t>
      </w:r>
    </w:p>
    <w:p w14:paraId="42107928"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0D04C9C7"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Unidad 1: Experiencias y conceptos de género</w:t>
      </w:r>
    </w:p>
    <w:p w14:paraId="0BBD8D65"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01E614B7"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1.1 Cultura patriarcal</w:t>
      </w:r>
    </w:p>
    <w:p w14:paraId="72B56CB8"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1.2 Democracia de género</w:t>
      </w:r>
    </w:p>
    <w:p w14:paraId="3518D08C"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1.3 Metodología feminista</w:t>
      </w:r>
    </w:p>
    <w:p w14:paraId="14056573"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2E11B76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Unidad 2: Género y sociedad</w:t>
      </w:r>
    </w:p>
    <w:p w14:paraId="78B5E752"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75782D1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2.1 Género, economía y estructura social</w:t>
      </w:r>
    </w:p>
    <w:p w14:paraId="1E67F3AD"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2.2 Roles de género y equidad social</w:t>
      </w:r>
    </w:p>
    <w:p w14:paraId="14FBFF9A"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2.3 Diversidad e inclusión social</w:t>
      </w:r>
    </w:p>
    <w:p w14:paraId="228982ED"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p>
    <w:p w14:paraId="1070789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Unidad 3: Género e identidad</w:t>
      </w:r>
    </w:p>
    <w:p w14:paraId="45D019E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5B7F2203"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 xml:space="preserve">3.1 Biología, cultura y género </w:t>
      </w:r>
    </w:p>
    <w:p w14:paraId="3748BE8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 xml:space="preserve">3.2 Masculinidades </w:t>
      </w:r>
    </w:p>
    <w:p w14:paraId="7CC24164"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3.3 Feminidades</w:t>
      </w:r>
    </w:p>
    <w:p w14:paraId="43539F4D" w14:textId="77777777" w:rsidR="00B77F6A" w:rsidRPr="00B77F6A" w:rsidRDefault="00B77F6A" w:rsidP="00B77F6A">
      <w:pPr>
        <w:overflowPunct w:val="0"/>
        <w:autoSpaceDE w:val="0"/>
        <w:autoSpaceDN w:val="0"/>
        <w:adjustRightInd w:val="0"/>
        <w:spacing w:after="0" w:line="240" w:lineRule="auto"/>
        <w:ind w:left="720"/>
        <w:outlineLvl w:val="0"/>
        <w:rPr>
          <w:rFonts w:ascii="Calibri" w:eastAsia="Times New Roman" w:hAnsi="Calibri" w:cs="Arial"/>
          <w:color w:val="000000"/>
          <w:kern w:val="0"/>
          <w:lang w:val="es-ES" w:eastAsia="es-CR"/>
          <w14:ligatures w14:val="none"/>
        </w:rPr>
      </w:pPr>
    </w:p>
    <w:p w14:paraId="7A131E1E"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p>
    <w:p w14:paraId="4A775A3C"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lastRenderedPageBreak/>
        <w:t>Unidad 4: Género y poder</w:t>
      </w:r>
    </w:p>
    <w:p w14:paraId="5FCD9B05"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6DC0E5E1"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4.1 La iglesia como fuente ideológica de la violencia</w:t>
      </w:r>
    </w:p>
    <w:p w14:paraId="1C3FEB7E"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4.2 Formas de violencia de género</w:t>
      </w:r>
    </w:p>
    <w:p w14:paraId="5B39F2E6"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4.3 Relaciones de poder incluyentes</w:t>
      </w:r>
    </w:p>
    <w:p w14:paraId="59284F40" w14:textId="77777777" w:rsidR="00B77F6A" w:rsidRPr="00B77F6A" w:rsidRDefault="00B77F6A" w:rsidP="00B77F6A">
      <w:pPr>
        <w:overflowPunct w:val="0"/>
        <w:autoSpaceDE w:val="0"/>
        <w:autoSpaceDN w:val="0"/>
        <w:adjustRightInd w:val="0"/>
        <w:spacing w:after="0" w:line="240" w:lineRule="auto"/>
        <w:ind w:left="720"/>
        <w:outlineLvl w:val="0"/>
        <w:rPr>
          <w:rFonts w:ascii="Calibri" w:eastAsia="Times New Roman" w:hAnsi="Calibri" w:cs="Arial"/>
          <w:color w:val="000000"/>
          <w:kern w:val="0"/>
          <w:lang w:val="es-ES" w:eastAsia="es-CR"/>
          <w14:ligatures w14:val="none"/>
        </w:rPr>
      </w:pPr>
    </w:p>
    <w:p w14:paraId="7A752117"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Unidad 5: Educando para hacer una diferencia</w:t>
      </w:r>
    </w:p>
    <w:p w14:paraId="7A835D32"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1C9B5275"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color w:val="000000"/>
          <w:kern w:val="0"/>
          <w:lang w:val="es-ES" w:eastAsia="es-CR"/>
          <w14:ligatures w14:val="none"/>
        </w:rPr>
      </w:pPr>
      <w:r w:rsidRPr="00B77F6A">
        <w:rPr>
          <w:rFonts w:ascii="Calibri" w:eastAsia="Times New Roman" w:hAnsi="Calibri" w:cs="Arial"/>
          <w:bCs/>
          <w:color w:val="000000"/>
          <w:kern w:val="0"/>
          <w:lang w:val="es-ES" w:eastAsia="es-CR"/>
          <w14:ligatures w14:val="none"/>
        </w:rPr>
        <w:t>5.1 Entrega y presentación de la monografía</w:t>
      </w:r>
    </w:p>
    <w:p w14:paraId="0DB71FC2" w14:textId="77777777" w:rsidR="00B77F6A" w:rsidRPr="00B77F6A" w:rsidRDefault="00B77F6A" w:rsidP="00B77F6A">
      <w:pPr>
        <w:tabs>
          <w:tab w:val="left" w:pos="851"/>
        </w:tabs>
        <w:spacing w:after="0" w:line="240" w:lineRule="auto"/>
        <w:ind w:right="702"/>
        <w:rPr>
          <w:rFonts w:ascii="Calibri" w:eastAsia="Times" w:hAnsi="Calibri" w:cs="Arial"/>
          <w:b/>
          <w:color w:val="000000"/>
          <w:kern w:val="0"/>
          <w:lang w:val="es-ES_tradnl" w:eastAsia="es-ES"/>
          <w14:ligatures w14:val="none"/>
        </w:rPr>
      </w:pPr>
    </w:p>
    <w:p w14:paraId="454A135E" w14:textId="77777777" w:rsidR="00B77F6A" w:rsidRPr="00B77F6A" w:rsidRDefault="00B77F6A" w:rsidP="00B77F6A">
      <w:pPr>
        <w:tabs>
          <w:tab w:val="left" w:pos="851"/>
        </w:tabs>
        <w:spacing w:after="0" w:line="240" w:lineRule="auto"/>
        <w:ind w:right="702"/>
        <w:rPr>
          <w:rFonts w:ascii="Calibri" w:eastAsia="Times" w:hAnsi="Calibri" w:cs="Arial"/>
          <w:b/>
          <w:color w:val="000000"/>
          <w:kern w:val="0"/>
          <w:lang w:val="es-ES_tradnl" w:eastAsia="es-ES"/>
          <w14:ligatures w14:val="none"/>
        </w:rPr>
      </w:pPr>
      <w:r w:rsidRPr="00B77F6A">
        <w:rPr>
          <w:rFonts w:ascii="Calibri" w:eastAsia="Times" w:hAnsi="Calibri" w:cs="Arial"/>
          <w:b/>
          <w:color w:val="000000"/>
          <w:kern w:val="0"/>
          <w:lang w:val="es-ES_tradnl" w:eastAsia="es-ES"/>
          <w14:ligatures w14:val="none"/>
        </w:rPr>
        <w:t>V. Metodología</w:t>
      </w:r>
    </w:p>
    <w:p w14:paraId="45D5D856" w14:textId="77777777" w:rsidR="00B77F6A" w:rsidRPr="00B77F6A" w:rsidRDefault="00B77F6A" w:rsidP="00B77F6A">
      <w:pPr>
        <w:tabs>
          <w:tab w:val="left" w:pos="851"/>
        </w:tabs>
        <w:spacing w:after="0" w:line="240" w:lineRule="auto"/>
        <w:ind w:right="702"/>
        <w:jc w:val="both"/>
        <w:rPr>
          <w:rFonts w:ascii="Calibri" w:eastAsia="Times" w:hAnsi="Calibri" w:cs="Arial"/>
          <w:color w:val="000000"/>
          <w:kern w:val="0"/>
          <w:lang w:val="es-ES_tradnl" w:eastAsia="es-ES"/>
          <w14:ligatures w14:val="none"/>
        </w:rPr>
      </w:pPr>
    </w:p>
    <w:p w14:paraId="37D93741" w14:textId="77777777" w:rsidR="00B77F6A" w:rsidRPr="00B77F6A" w:rsidRDefault="00B77F6A" w:rsidP="4C9C2619">
      <w:pPr>
        <w:tabs>
          <w:tab w:val="left" w:pos="851"/>
        </w:tabs>
        <w:spacing w:after="0" w:line="240" w:lineRule="auto"/>
        <w:ind w:right="70"/>
        <w:jc w:val="both"/>
        <w:rPr>
          <w:rFonts w:ascii="Calibri" w:eastAsia="Times" w:hAnsi="Calibri" w:cs="Arial"/>
          <w:color w:val="000000"/>
          <w:kern w:val="0"/>
          <w:lang w:val="es-ES" w:eastAsia="es-ES"/>
          <w14:ligatures w14:val="none"/>
        </w:rPr>
      </w:pPr>
      <w:r w:rsidRPr="4C9C2619">
        <w:rPr>
          <w:rFonts w:ascii="Calibri" w:eastAsia="Times" w:hAnsi="Calibri" w:cs="Calibri"/>
          <w:color w:val="000000"/>
          <w:kern w:val="0"/>
          <w:lang w:val="es-ES" w:eastAsia="es-ES"/>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2329948D" w14:textId="77777777" w:rsidR="00B77F6A" w:rsidRPr="00B77F6A" w:rsidRDefault="00B77F6A" w:rsidP="00B77F6A">
      <w:pPr>
        <w:tabs>
          <w:tab w:val="left" w:pos="851"/>
        </w:tabs>
        <w:spacing w:after="0" w:line="240" w:lineRule="auto"/>
        <w:ind w:right="702"/>
        <w:jc w:val="both"/>
        <w:rPr>
          <w:rFonts w:ascii="Calibri" w:eastAsia="Times" w:hAnsi="Calibri" w:cs="Arial"/>
          <w:color w:val="000000"/>
          <w:kern w:val="0"/>
          <w:lang w:val="es-ES_tradnl" w:eastAsia="es-ES"/>
          <w14:ligatures w14:val="none"/>
        </w:rPr>
      </w:pPr>
    </w:p>
    <w:p w14:paraId="0D34BA32" w14:textId="77777777" w:rsidR="00B77F6A" w:rsidRPr="00B77F6A" w:rsidRDefault="00B77F6A" w:rsidP="4C9C2619">
      <w:pPr>
        <w:tabs>
          <w:tab w:val="left" w:pos="851"/>
        </w:tabs>
        <w:spacing w:after="0" w:line="240" w:lineRule="auto"/>
        <w:ind w:right="49"/>
        <w:jc w:val="both"/>
        <w:rPr>
          <w:rFonts w:ascii="Calibri" w:eastAsia="Times" w:hAnsi="Calibri" w:cs="Arial"/>
          <w:color w:val="000000"/>
          <w:kern w:val="0"/>
          <w:lang w:val="es-ES" w:eastAsia="es-ES"/>
          <w14:ligatures w14:val="none"/>
        </w:rPr>
      </w:pPr>
      <w:r w:rsidRPr="4C9C2619">
        <w:rPr>
          <w:rFonts w:ascii="Calibri" w:eastAsia="Times" w:hAnsi="Calibri" w:cs="Arial"/>
          <w:color w:val="000000"/>
          <w:kern w:val="0"/>
          <w:lang w:val="es-ES" w:eastAsia="es-ES"/>
          <w14:ligatures w14:val="none"/>
        </w:rPr>
        <w:t xml:space="preserve">La metodología del curso tiene como fin que cada persona estudiante logre hacer un análisis crítico y propositivo de la cultura patriarcal. En tal sentido, las actividades proveerán las herramientas teóricas y metodológicas para discernir críticamente las relaciones de género y plantear propuestas de equidad social. Se partirá del análisis de casos concretos de la realidad social, utilizando videos mediante un encuentro sincrónico virtual, historias de vida, testimonios, material gráfico, etc.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Se proveerá, a través de la lectura de textos digitales especializados e insumos teóricos en el aula virtual, el instrumental teórico de género para nombrar de manera apropiada los eventos analizados. </w:t>
      </w:r>
    </w:p>
    <w:p w14:paraId="3AD7C2E4" w14:textId="77777777" w:rsidR="00B77F6A" w:rsidRPr="00B77F6A" w:rsidRDefault="00B77F6A" w:rsidP="00B77F6A">
      <w:pPr>
        <w:tabs>
          <w:tab w:val="left" w:pos="851"/>
        </w:tabs>
        <w:spacing w:after="0" w:line="240" w:lineRule="auto"/>
        <w:ind w:right="702"/>
        <w:jc w:val="both"/>
        <w:rPr>
          <w:rFonts w:ascii="Calibri" w:eastAsia="Times" w:hAnsi="Calibri" w:cs="Arial"/>
          <w:color w:val="000000"/>
          <w:kern w:val="0"/>
          <w:lang w:val="es-ES_tradnl" w:eastAsia="es-ES"/>
          <w14:ligatures w14:val="none"/>
        </w:rPr>
      </w:pPr>
    </w:p>
    <w:p w14:paraId="025C7D8C" w14:textId="77777777" w:rsidR="00B77F6A" w:rsidRPr="00B77F6A" w:rsidRDefault="00B77F6A" w:rsidP="00B77F6A">
      <w:pPr>
        <w:tabs>
          <w:tab w:val="left" w:pos="851"/>
        </w:tabs>
        <w:spacing w:after="0" w:line="240" w:lineRule="auto"/>
        <w:ind w:right="49"/>
        <w:jc w:val="both"/>
        <w:rPr>
          <w:rFonts w:ascii="Calibri" w:eastAsia="Times" w:hAnsi="Calibri" w:cs="Arial"/>
          <w:color w:val="000000"/>
          <w:kern w:val="0"/>
          <w:lang w:val="es-ES_tradnl" w:eastAsia="es-ES"/>
          <w14:ligatures w14:val="none"/>
        </w:rPr>
      </w:pPr>
      <w:r w:rsidRPr="00B77F6A">
        <w:rPr>
          <w:rFonts w:ascii="Calibri" w:eastAsia="Times" w:hAnsi="Calibri" w:cs="Arial"/>
          <w:color w:val="000000"/>
          <w:kern w:val="0"/>
          <w:lang w:val="es-ES_tradnl" w:eastAsia="es-ES"/>
          <w14:ligatures w14:val="none"/>
        </w:rPr>
        <w:t>En el análisis se usará la categoría de género con un enfoque transversal y sistémico de la sociedad y sus instituciones, partiendo desde una visión macrosocial hasta las esferas micro sociales más inmediatas, como son la vida personal y familiar. Para el proceso de aprendizaje se proveerán guía para hacer diagnóstico institucional y el análisis de situaciones de violencia de género. Así, la o el estudiante logrará un entendimiento más amplio de las situaciones pastorales que le tocará acompañar, al agregar la perspectiva de género en el análisis.</w:t>
      </w:r>
    </w:p>
    <w:p w14:paraId="314919BC" w14:textId="77777777" w:rsidR="00B77F6A" w:rsidRPr="00B77F6A" w:rsidRDefault="00B77F6A" w:rsidP="00B77F6A">
      <w:pPr>
        <w:tabs>
          <w:tab w:val="left" w:pos="851"/>
        </w:tabs>
        <w:spacing w:after="0" w:line="240" w:lineRule="auto"/>
        <w:ind w:right="702"/>
        <w:jc w:val="both"/>
        <w:rPr>
          <w:rFonts w:ascii="Calibri" w:eastAsia="Times" w:hAnsi="Calibri" w:cs="Arial"/>
          <w:color w:val="000000"/>
          <w:kern w:val="0"/>
          <w:lang w:val="es-ES_tradnl" w:eastAsia="es-ES"/>
          <w14:ligatures w14:val="none"/>
        </w:rPr>
      </w:pPr>
    </w:p>
    <w:p w14:paraId="5C6D0BC7" w14:textId="77777777" w:rsidR="00B77F6A" w:rsidRPr="00B77F6A" w:rsidRDefault="00B77F6A" w:rsidP="00B77F6A">
      <w:pPr>
        <w:tabs>
          <w:tab w:val="left" w:pos="851"/>
        </w:tabs>
        <w:spacing w:after="0" w:line="240" w:lineRule="auto"/>
        <w:ind w:right="702"/>
        <w:jc w:val="both"/>
        <w:rPr>
          <w:rFonts w:ascii="Calibri" w:eastAsia="Times" w:hAnsi="Calibri" w:cs="Arial"/>
          <w:b/>
          <w:color w:val="000000"/>
          <w:kern w:val="0"/>
          <w:lang w:val="es-ES_tradnl" w:eastAsia="es-ES"/>
          <w14:ligatures w14:val="none"/>
        </w:rPr>
      </w:pPr>
      <w:r w:rsidRPr="00B77F6A">
        <w:rPr>
          <w:rFonts w:ascii="Calibri" w:eastAsia="Times" w:hAnsi="Calibri" w:cs="Arial"/>
          <w:b/>
          <w:color w:val="000000"/>
          <w:kern w:val="0"/>
          <w:lang w:val="es-ES_tradnl" w:eastAsia="es-ES"/>
          <w14:ligatures w14:val="none"/>
        </w:rPr>
        <w:t>VI. Estrategias de aprendizaje</w:t>
      </w:r>
    </w:p>
    <w:p w14:paraId="5E69B0E6" w14:textId="77777777" w:rsidR="00B77F6A" w:rsidRPr="00B77F6A" w:rsidRDefault="00B77F6A" w:rsidP="00B77F6A">
      <w:pPr>
        <w:tabs>
          <w:tab w:val="left" w:pos="851"/>
        </w:tabs>
        <w:spacing w:after="0" w:line="240" w:lineRule="auto"/>
        <w:ind w:right="702"/>
        <w:jc w:val="both"/>
        <w:rPr>
          <w:rFonts w:ascii="Calibri" w:eastAsia="Times" w:hAnsi="Calibri" w:cs="Arial"/>
          <w:color w:val="000000"/>
          <w:kern w:val="0"/>
          <w:lang w:val="es-ES_tradnl" w:eastAsia="es-ES"/>
          <w14:ligatures w14:val="none"/>
        </w:rPr>
      </w:pPr>
    </w:p>
    <w:p w14:paraId="17B45F11" w14:textId="77777777" w:rsidR="00B77F6A" w:rsidRPr="00B77F6A" w:rsidRDefault="00B77F6A" w:rsidP="00B77F6A">
      <w:pPr>
        <w:tabs>
          <w:tab w:val="left" w:pos="851"/>
        </w:tabs>
        <w:spacing w:after="0" w:line="240" w:lineRule="auto"/>
        <w:ind w:right="44"/>
        <w:jc w:val="both"/>
        <w:rPr>
          <w:rFonts w:ascii="Calibri" w:eastAsia="Times" w:hAnsi="Calibri" w:cs="Arial"/>
          <w:kern w:val="0"/>
          <w:lang w:val="es-ES" w:eastAsia="es-ES"/>
          <w14:ligatures w14:val="none"/>
        </w:rPr>
      </w:pPr>
      <w:r w:rsidRPr="00B77F6A">
        <w:rPr>
          <w:rFonts w:ascii="Calibri" w:eastAsia="Times" w:hAnsi="Calibri" w:cs="Arial"/>
          <w:kern w:val="0"/>
          <w:lang w:val="es-ES" w:eastAsia="es-ES"/>
          <w14:ligatures w14:val="none"/>
        </w:rPr>
        <w:t xml:space="preserve">En este curso el aprendizaje se concentra en que las personas estudiantes analicen los papeles socialmente definidos de masculinidad y feminidad, tomando en cuenta los aportes de distintos </w:t>
      </w:r>
      <w:r w:rsidRPr="00B77F6A">
        <w:rPr>
          <w:rFonts w:ascii="Calibri" w:eastAsia="Times" w:hAnsi="Calibri" w:cs="Arial"/>
          <w:kern w:val="0"/>
          <w:lang w:val="es-ES" w:eastAsia="es-ES"/>
          <w14:ligatures w14:val="none"/>
        </w:rPr>
        <w:lastRenderedPageBreak/>
        <w:t>campos del conocimiento e identificando mediante este análisis unas pautas para la práctica pastoral.</w:t>
      </w:r>
    </w:p>
    <w:p w14:paraId="7DAFDE26"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5EEA42E0"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B77F6A">
        <w:rPr>
          <w:rFonts w:ascii="Calibri" w:eastAsia="Times" w:hAnsi="Calibri" w:cs="Arial"/>
          <w:color w:val="000000"/>
          <w:kern w:val="0"/>
          <w:lang w:val="es-ES_tradnl" w:eastAsia="es-ES"/>
          <w14:ligatures w14:val="none"/>
        </w:rPr>
        <w:t>Se utilizan las siguientes estrategias de aprendizaje:</w:t>
      </w:r>
    </w:p>
    <w:p w14:paraId="5C147AF1"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18BD5B27"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r w:rsidRPr="00B77F6A">
        <w:rPr>
          <w:rFonts w:ascii="Calibri" w:eastAsia="Times" w:hAnsi="Calibri" w:cs="Calibri"/>
          <w:b/>
          <w:color w:val="000000"/>
          <w:kern w:val="0"/>
          <w:lang w:val="es-ES_tradnl" w:eastAsia="es-ES"/>
          <w14:ligatures w14:val="none"/>
        </w:rPr>
        <w:t xml:space="preserve">a) Foro: </w:t>
      </w:r>
      <w:r w:rsidRPr="00B77F6A">
        <w:rPr>
          <w:rFonts w:ascii="Calibri" w:eastAsia="Calibri" w:hAnsi="Calibri" w:cs="Calibri"/>
          <w:bCs/>
          <w:kern w:val="0"/>
          <w14:ligatures w14:val="none"/>
        </w:rPr>
        <w:t xml:space="preserve">Con el propósito de proveer experiencias de aprendizaje interactivas y colaborativas, en los foros se busca que los y las estudiantes, con base en las lecturas asignadas, debatan y discutan grupalmente. Los </w:t>
      </w:r>
      <w:r w:rsidRPr="00B77F6A">
        <w:rPr>
          <w:rFonts w:ascii="Calibri" w:eastAsia="Calibri" w:hAnsi="Calibri" w:cs="Calibri"/>
          <w:bCs/>
          <w:kern w:val="0"/>
          <w:lang w:val="es-ES"/>
          <w14:ligatures w14:val="none"/>
        </w:rPr>
        <w:t xml:space="preserve">tópicos por tocar en los diferentes foros son: cultura patriarcal, metodología feminista, género y economía, roles de género, diversidad sexual, identidad, masculinidades, feminidades, iglesia y violencia y relaciones de poder. </w:t>
      </w:r>
    </w:p>
    <w:p w14:paraId="335E945A"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p>
    <w:p w14:paraId="4E6E087A"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r w:rsidRPr="00B77F6A">
        <w:rPr>
          <w:rFonts w:ascii="Calibri" w:eastAsia="Times" w:hAnsi="Calibri" w:cs="Calibri"/>
          <w:b/>
          <w:color w:val="000000"/>
          <w:kern w:val="0"/>
          <w:lang w:val="es-ES_tradnl" w:eastAsia="es-ES"/>
          <w14:ligatures w14:val="none"/>
        </w:rPr>
        <w:t xml:space="preserve">b) Encuentro sincrónico virtual: </w:t>
      </w:r>
      <w:r w:rsidRPr="00B77F6A">
        <w:rPr>
          <w:rFonts w:ascii="Calibri" w:eastAsia="Calibri" w:hAnsi="Calibri" w:cs="Calibri"/>
          <w:kern w:val="0"/>
          <w:lang w:val="es-MX"/>
          <w14:ligatures w14:val="none"/>
        </w:rPr>
        <w:t>Los encuentros sincrónicos virtuales facilitan la comunicación entre estudiantes y la persona docente. Es una estrategia de aprendizaje virtual que permite a los actores del proceso de enseñanza-aprendizaje construir conocimientos de forma colectiva. En este curso dicha actividad</w:t>
      </w:r>
      <w:r w:rsidRPr="00B77F6A">
        <w:rPr>
          <w:rFonts w:ascii="Calibri" w:eastAsia="Times" w:hAnsi="Calibri" w:cs="Calibri"/>
          <w:bCs/>
          <w:kern w:val="0"/>
          <w:lang w:val="es-ES_tradnl" w:eastAsia="es-ES"/>
          <w14:ligatures w14:val="none"/>
        </w:rPr>
        <w:t xml:space="preserve"> se desarrolla </w:t>
      </w:r>
      <w:r w:rsidRPr="00B77F6A">
        <w:rPr>
          <w:rFonts w:ascii="Calibri" w:eastAsia="Calibri" w:hAnsi="Calibri" w:cs="Calibri"/>
          <w:bCs/>
          <w:kern w:val="0"/>
          <w:lang w:val="es-ES_tradnl"/>
          <w14:ligatures w14:val="none"/>
        </w:rPr>
        <w:t xml:space="preserve">en varias de las sesiones. En estos encuentros la persona docente compartirá presentaciones audiovisuales con el objetivo de profundizar y clarificar los distintos contenidos temáticos del curso, entre los que se encuentran: experiencias y conceptos de género, género y sociedad, género e identidad, género y poder y educando para hacer la diferencia. A su vez fungirán como un espacio para que los y las estudiantes puedan debatir, compartir o aclarar dudas. Tienen valor formativo. </w:t>
      </w:r>
    </w:p>
    <w:p w14:paraId="6E480A9B"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p>
    <w:p w14:paraId="5CCBD7CA"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r w:rsidRPr="00B77F6A">
        <w:rPr>
          <w:rFonts w:ascii="Calibri" w:eastAsia="Times" w:hAnsi="Calibri" w:cs="Calibri"/>
          <w:b/>
          <w:color w:val="000000"/>
          <w:kern w:val="0"/>
          <w:lang w:val="es-ES_tradnl" w:eastAsia="es-ES"/>
          <w14:ligatures w14:val="none"/>
        </w:rPr>
        <w:t xml:space="preserve">c) Monografía: </w:t>
      </w:r>
      <w:r w:rsidRPr="00B77F6A">
        <w:rPr>
          <w:rFonts w:ascii="Calibri" w:eastAsia="Times" w:hAnsi="Calibri" w:cs="Calibri"/>
          <w:bCs/>
          <w:color w:val="000000"/>
          <w:kern w:val="0"/>
          <w:lang w:val="es-ES_tradnl" w:eastAsia="es-ES"/>
          <w14:ligatures w14:val="none"/>
        </w:rPr>
        <w:t xml:space="preserve">Una monografía es un tipo de documento expositivo o explicativo en el que se aborda un tema específico desde una o más perspectivas posibles. Se consultan diversas fuentes hasta agotar lo más posible el abordaje del tema en cuestión. </w:t>
      </w:r>
      <w:r w:rsidRPr="00B77F6A">
        <w:rPr>
          <w:rFonts w:ascii="Calibri" w:eastAsia="Times" w:hAnsi="Calibri" w:cs="Arial"/>
          <w:bCs/>
          <w:iCs/>
          <w:color w:val="000000"/>
          <w:kern w:val="0"/>
          <w:lang w:val="es-ES" w:eastAsia="es-ES"/>
          <w14:ligatures w14:val="none"/>
        </w:rPr>
        <w:t xml:space="preserve">Desde la primera sesión del curso se comenzará a </w:t>
      </w:r>
      <w:r w:rsidRPr="00B77F6A">
        <w:rPr>
          <w:rFonts w:ascii="Calibri" w:eastAsia="Times" w:hAnsi="Calibri" w:cs="Arial"/>
          <w:bCs/>
          <w:iCs/>
          <w:kern w:val="0"/>
          <w:lang w:val="es-ES" w:eastAsia="es-ES"/>
          <w14:ligatures w14:val="none"/>
        </w:rPr>
        <w:t>trabajar en el desarrollo de la monografía final. El objetivo de la monografía es tener una experiencia de análisis de un caso, utilizando el aporte de la teoría de género y una ruta metodológica con perspectiva de género.</w:t>
      </w:r>
    </w:p>
    <w:p w14:paraId="1322476A" w14:textId="77777777" w:rsidR="00B77F6A" w:rsidRPr="00B77F6A" w:rsidRDefault="00B77F6A" w:rsidP="00B77F6A">
      <w:pPr>
        <w:tabs>
          <w:tab w:val="left" w:pos="851"/>
        </w:tabs>
        <w:spacing w:after="0" w:line="240" w:lineRule="auto"/>
        <w:ind w:right="44"/>
        <w:jc w:val="both"/>
        <w:rPr>
          <w:rFonts w:ascii="Calibri" w:eastAsia="Times" w:hAnsi="Calibri" w:cs="Calibri"/>
          <w:bCs/>
          <w:color w:val="000000"/>
          <w:kern w:val="0"/>
          <w:lang w:val="es-ES_tradnl" w:eastAsia="es-ES"/>
          <w14:ligatures w14:val="none"/>
        </w:rPr>
      </w:pPr>
    </w:p>
    <w:p w14:paraId="251A579F" w14:textId="77777777" w:rsidR="00B77F6A" w:rsidRPr="00B77F6A" w:rsidRDefault="00B77F6A" w:rsidP="4C9C2619">
      <w:pPr>
        <w:tabs>
          <w:tab w:val="left" w:pos="851"/>
        </w:tabs>
        <w:spacing w:after="0" w:line="240" w:lineRule="auto"/>
        <w:ind w:right="44"/>
        <w:jc w:val="both"/>
        <w:rPr>
          <w:rFonts w:ascii="Calibri" w:eastAsia="Times" w:hAnsi="Calibri" w:cs="Calibri"/>
          <w:color w:val="000000"/>
          <w:kern w:val="0"/>
          <w:lang w:val="es-ES" w:eastAsia="es-ES"/>
          <w14:ligatures w14:val="none"/>
        </w:rPr>
      </w:pPr>
      <w:r w:rsidRPr="4C9C2619">
        <w:rPr>
          <w:rFonts w:ascii="Calibri" w:eastAsia="Times" w:hAnsi="Calibri" w:cs="Arial"/>
          <w:b/>
          <w:bCs/>
          <w:color w:val="000000"/>
          <w:kern w:val="0"/>
          <w:lang w:val="es-ES" w:eastAsia="es-ES"/>
          <w14:ligatures w14:val="none"/>
        </w:rPr>
        <w:t xml:space="preserve">d) Presentación de síntesis: </w:t>
      </w:r>
      <w:r w:rsidRPr="4C9C2619">
        <w:rPr>
          <w:rFonts w:ascii="Calibri" w:eastAsia="Times" w:hAnsi="Calibri" w:cs="Arial"/>
          <w:color w:val="000000"/>
          <w:kern w:val="0"/>
          <w:lang w:val="es-ES" w:eastAsia="es-ES"/>
          <w14:ligatures w14:val="none"/>
        </w:rPr>
        <w:t>Como parte del trabajo monográfico final se compartirá una síntesis de su monografía en formato audiovisual a través de un encuentro sincrónico. Esto se realizará en las últimas tres sesiones según asignación docente. De esta forma, todas las personas estudiantes tendrán acceso al conocimiento producido por sus compañeros y compañeras en el trabajo final del curso.</w:t>
      </w:r>
    </w:p>
    <w:p w14:paraId="7EA02562" w14:textId="77777777" w:rsidR="00B77F6A" w:rsidRPr="00B77F6A" w:rsidRDefault="00B77F6A" w:rsidP="00B77F6A">
      <w:pPr>
        <w:tabs>
          <w:tab w:val="left" w:pos="851"/>
        </w:tabs>
        <w:spacing w:after="0" w:line="240" w:lineRule="auto"/>
        <w:ind w:right="44"/>
        <w:jc w:val="both"/>
        <w:rPr>
          <w:rFonts w:ascii="Calibri" w:eastAsia="Times" w:hAnsi="Calibri" w:cs="Calibri"/>
          <w:color w:val="000000"/>
          <w:kern w:val="0"/>
          <w:lang w:val="es-ES_tradnl" w:eastAsia="es-ES"/>
          <w14:ligatures w14:val="none"/>
        </w:rPr>
      </w:pPr>
    </w:p>
    <w:p w14:paraId="60C70A66"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B77F6A">
        <w:rPr>
          <w:rFonts w:ascii="Calibri" w:eastAsia="Times" w:hAnsi="Calibri" w:cs="Arial"/>
          <w:b/>
          <w:bCs/>
          <w:color w:val="000000"/>
          <w:kern w:val="0"/>
          <w:lang w:val="es-ES_tradnl" w:eastAsia="es-ES"/>
          <w14:ligatures w14:val="none"/>
        </w:rPr>
        <w:t xml:space="preserve">e) Reseña crítica de lectura: </w:t>
      </w:r>
      <w:r w:rsidRPr="00B77F6A">
        <w:rPr>
          <w:rFonts w:ascii="Calibri" w:eastAsia="Calibri" w:hAnsi="Calibri" w:cs="Times New Roman"/>
          <w:kern w:val="0"/>
          <w:lang w:val="es-MX"/>
          <w14:ligatures w14:val="none"/>
        </w:rPr>
        <w:t xml:space="preserve">La realización de una reseña crítica de lectura permite exponer, en primera instancia, las ideas de una persona autora y, en segundo lugar, hacer un análisis crítico de estas retomando lo más significativo, para por último contextualizar dichas ideas para la realidad latinoamericana y caribeña. En este curso se elabora una reseña crítica de lectura bajo el tema de género, religión y poder. </w:t>
      </w:r>
      <w:r w:rsidRPr="00B77F6A">
        <w:rPr>
          <w:rFonts w:ascii="Calibri" w:eastAsia="Times" w:hAnsi="Calibri" w:cs="Arial"/>
          <w:b/>
          <w:bCs/>
          <w:kern w:val="0"/>
          <w:lang w:val="es-ES_tradnl" w:eastAsia="es-ES"/>
          <w14:ligatures w14:val="none"/>
        </w:rPr>
        <w:t xml:space="preserve"> </w:t>
      </w:r>
    </w:p>
    <w:p w14:paraId="4EE6D72D"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08D9B750" w14:textId="77777777" w:rsidR="00B77F6A" w:rsidRPr="00B77F6A" w:rsidRDefault="00B77F6A" w:rsidP="4C9C2619">
      <w:pPr>
        <w:tabs>
          <w:tab w:val="left" w:pos="851"/>
        </w:tabs>
        <w:spacing w:after="0" w:line="240" w:lineRule="auto"/>
        <w:ind w:right="44"/>
        <w:jc w:val="both"/>
        <w:rPr>
          <w:rFonts w:ascii="Calibri" w:eastAsia="Times" w:hAnsi="Calibri" w:cs="Arial"/>
          <w:color w:val="000000"/>
          <w:kern w:val="0"/>
          <w:lang w:val="es-ES" w:eastAsia="es-ES"/>
          <w14:ligatures w14:val="none"/>
        </w:rPr>
      </w:pPr>
      <w:r w:rsidRPr="4C9C2619">
        <w:rPr>
          <w:rFonts w:ascii="Calibri" w:eastAsia="Times" w:hAnsi="Calibri" w:cs="Arial"/>
          <w:b/>
          <w:bCs/>
          <w:color w:val="000000"/>
          <w:kern w:val="0"/>
          <w:lang w:val="es-ES" w:eastAsia="es-ES"/>
          <w14:ligatures w14:val="none"/>
        </w:rPr>
        <w:t xml:space="preserve">f) Síntesis crítica: </w:t>
      </w:r>
      <w:r w:rsidRPr="4C9C2619">
        <w:rPr>
          <w:rFonts w:ascii="Calibri" w:eastAsia="Times" w:hAnsi="Calibri" w:cs="Arial"/>
          <w:color w:val="000000"/>
          <w:kern w:val="0"/>
          <w:lang w:val="es-ES" w:eastAsia="es-ES"/>
          <w14:ligatures w14:val="none"/>
        </w:rPr>
        <w:t>La síntesis crítica es un texto que se construye a partir de las ideas centrales de una lectura, las cuales se expresan utilizando sus propias palabras, pero sin modificar la intención del/la autor/a, acompañándose finalmente de una apreciación crítica de estas. En este curso se realizan dos síntesis críticas. L</w:t>
      </w:r>
      <w:r w:rsidRPr="4C9C2619">
        <w:rPr>
          <w:rFonts w:ascii="Calibri" w:eastAsia="Times" w:hAnsi="Calibri" w:cs="Arial"/>
          <w:kern w:val="0"/>
          <w:lang w:val="es-ES" w:eastAsia="es-ES"/>
          <w14:ligatures w14:val="none"/>
        </w:rPr>
        <w:t>a primera tiene que ver con el significado histórico del concepto de género, mientras que la segunda versa sobre la prevención de la violencia masculina y los hombres que rompen mandatos.</w:t>
      </w:r>
      <w:r w:rsidRPr="4C9C2619">
        <w:rPr>
          <w:rFonts w:ascii="Calibri" w:eastAsia="Times" w:hAnsi="Calibri" w:cs="Arial"/>
          <w:b/>
          <w:bCs/>
          <w:kern w:val="0"/>
          <w:lang w:val="es-ES" w:eastAsia="es-ES"/>
          <w14:ligatures w14:val="none"/>
        </w:rPr>
        <w:t xml:space="preserve"> </w:t>
      </w:r>
    </w:p>
    <w:p w14:paraId="235A2300"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53FD6D8C" w14:textId="77777777" w:rsidR="00B77F6A" w:rsidRPr="00B77F6A" w:rsidRDefault="00B77F6A" w:rsidP="00B77F6A">
      <w:pPr>
        <w:tabs>
          <w:tab w:val="left" w:pos="851"/>
        </w:tabs>
        <w:spacing w:after="0" w:line="240" w:lineRule="auto"/>
        <w:ind w:right="44"/>
        <w:jc w:val="both"/>
        <w:rPr>
          <w:rFonts w:ascii="Calibri" w:eastAsia="Times" w:hAnsi="Calibri" w:cs="Calibri"/>
          <w:color w:val="000000"/>
          <w:kern w:val="0"/>
          <w:lang w:eastAsia="es-ES"/>
          <w14:ligatures w14:val="none"/>
        </w:rPr>
      </w:pPr>
      <w:r w:rsidRPr="00B77F6A">
        <w:rPr>
          <w:rFonts w:ascii="Calibri" w:eastAsia="Times" w:hAnsi="Calibri" w:cs="Calibri"/>
          <w:b/>
          <w:bCs/>
          <w:color w:val="000000"/>
          <w:kern w:val="0"/>
          <w:lang w:eastAsia="es-ES"/>
          <w14:ligatures w14:val="none"/>
        </w:rPr>
        <w:lastRenderedPageBreak/>
        <w:t xml:space="preserve">g) Análisis de un caso: </w:t>
      </w:r>
      <w:r w:rsidRPr="00B77F6A">
        <w:rPr>
          <w:rFonts w:ascii="Calibri" w:eastAsia="Times" w:hAnsi="Calibri" w:cs="Calibri"/>
          <w:color w:val="000000"/>
          <w:kern w:val="0"/>
          <w:lang w:eastAsia="es-ES"/>
          <w14:ligatures w14:val="none"/>
        </w:rPr>
        <w:t>Un análisis o estudio de un caso es una técnica didáctica en la cual, a partir de una situación particular, se presentan datos concretos que permiten la reflexión, el análisis y la discusión de uno o varios tem</w:t>
      </w:r>
      <w:r w:rsidRPr="00B77F6A">
        <w:rPr>
          <w:rFonts w:ascii="Calibri" w:eastAsia="Times" w:hAnsi="Calibri" w:cs="Calibri"/>
          <w:kern w:val="0"/>
          <w:lang w:eastAsia="es-ES"/>
          <w14:ligatures w14:val="none"/>
        </w:rPr>
        <w:t xml:space="preserve">as específicos. En este curso se realizan diferentes análisis de casos vinculados con: la investigación y el análisis de una situación, el análisis de testimonios, la historia de vida de una mujer, el prediagnóstico institucional de una iglesia y el análisis de una película. </w:t>
      </w:r>
    </w:p>
    <w:p w14:paraId="3C6076B1" w14:textId="77777777" w:rsidR="00B77F6A" w:rsidRPr="00B77F6A" w:rsidRDefault="00B77F6A" w:rsidP="00B77F6A">
      <w:pPr>
        <w:tabs>
          <w:tab w:val="left" w:pos="851"/>
        </w:tabs>
        <w:spacing w:after="0" w:line="240" w:lineRule="auto"/>
        <w:ind w:right="44"/>
        <w:jc w:val="both"/>
        <w:rPr>
          <w:rFonts w:ascii="Calibri" w:eastAsia="Times" w:hAnsi="Calibri" w:cs="Calibri"/>
          <w:color w:val="000000"/>
          <w:kern w:val="0"/>
          <w:lang w:eastAsia="es-ES"/>
          <w14:ligatures w14:val="none"/>
        </w:rPr>
      </w:pPr>
    </w:p>
    <w:p w14:paraId="5BB62E2E"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B77F6A">
        <w:rPr>
          <w:rFonts w:ascii="Calibri" w:eastAsia="Times" w:hAnsi="Calibri" w:cs="Arial"/>
          <w:b/>
          <w:bCs/>
          <w:color w:val="000000"/>
          <w:kern w:val="0"/>
          <w:lang w:eastAsia="es-ES"/>
          <w14:ligatures w14:val="none"/>
        </w:rPr>
        <w:t xml:space="preserve">h) </w:t>
      </w:r>
      <w:r w:rsidRPr="00B77F6A">
        <w:rPr>
          <w:rFonts w:ascii="Calibri" w:eastAsia="Times" w:hAnsi="Calibri" w:cs="Arial"/>
          <w:b/>
          <w:bCs/>
          <w:color w:val="000000"/>
          <w:kern w:val="0"/>
          <w:lang w:val="es-ES_tradnl" w:eastAsia="es-ES"/>
          <w14:ligatures w14:val="none"/>
        </w:rPr>
        <w:t xml:space="preserve">Ensayo crítico: </w:t>
      </w:r>
      <w:r w:rsidRPr="00B77F6A">
        <w:rPr>
          <w:rFonts w:ascii="Calibri" w:eastAsia="Calibri" w:hAnsi="Calibri" w:cs="Times New Roman"/>
          <w:kern w:val="0"/>
          <w:lang w:val="es-MX"/>
          <w14:ligatures w14:val="none"/>
        </w:rPr>
        <w:t>El ensayo es un ejercicio académico, argumentativo y fundamentado, que se realiza para el tratamiento de un tema o tópico. Contiene introducción, desarrollo y conclusión, así como las respectivas referencias bibliográficas (bajo el sistema Chicago-Deusto que usa la UBL). En el ensayo crítico que se elabora en el curso se busca trabajar el tema de género, sociedad e institucionalidad, pudiéndose tratar subtemas derivados de estos.</w:t>
      </w:r>
    </w:p>
    <w:p w14:paraId="7716784B"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p>
    <w:p w14:paraId="3411D06E"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B77F6A">
        <w:rPr>
          <w:rFonts w:ascii="Calibri" w:eastAsia="Times" w:hAnsi="Calibri" w:cs="Arial"/>
          <w:b/>
          <w:bCs/>
          <w:color w:val="000000"/>
          <w:kern w:val="0"/>
          <w:lang w:val="es-ES_tradnl" w:eastAsia="es-ES"/>
          <w14:ligatures w14:val="none"/>
        </w:rPr>
        <w:t xml:space="preserve">i) Historia de vida: </w:t>
      </w:r>
      <w:r w:rsidRPr="00B77F6A">
        <w:rPr>
          <w:rFonts w:ascii="Calibri" w:eastAsia="Times" w:hAnsi="Calibri" w:cs="Arial"/>
          <w:color w:val="000000"/>
          <w:kern w:val="0"/>
          <w:lang w:val="es-ES_tradnl" w:eastAsia="es-ES"/>
          <w14:ligatures w14:val="none"/>
        </w:rPr>
        <w:t>Una historia de vida es una técnica narrativa que consiste en la elaboración de un relato biográfico con finalidad terapéutica o de investigación. El procedimiento básico consiste en evocar y estructurar los recuerdos de la vida de una persona, pero desde un punto de vista subjetivo, es decir, a través de su propia mirada.</w:t>
      </w:r>
      <w:r w:rsidRPr="00B77F6A">
        <w:rPr>
          <w:rFonts w:ascii="Calibri" w:eastAsia="Times" w:hAnsi="Calibri" w:cs="Arial"/>
          <w:color w:val="C00000"/>
          <w:kern w:val="0"/>
          <w:lang w:val="es-ES_tradnl" w:eastAsia="es-ES"/>
          <w14:ligatures w14:val="none"/>
        </w:rPr>
        <w:t xml:space="preserve"> </w:t>
      </w:r>
      <w:r w:rsidRPr="00B77F6A">
        <w:rPr>
          <w:rFonts w:ascii="Calibri" w:eastAsia="Times" w:hAnsi="Calibri" w:cs="Arial"/>
          <w:kern w:val="0"/>
          <w:lang w:val="es-ES_tradnl" w:eastAsia="es-ES"/>
          <w14:ligatures w14:val="none"/>
        </w:rPr>
        <w:t>Esta estrategia de aprendizaje se desarrolla bajo el tema de género e identidad y consiste en entrevistar a una mujer adulta, siguiendo la guía de entrevista provista en el curso.</w:t>
      </w:r>
    </w:p>
    <w:p w14:paraId="2A75D71E"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sz w:val="14"/>
          <w:szCs w:val="14"/>
          <w:lang w:val="es-ES_tradnl" w:eastAsia="es-ES"/>
          <w14:ligatures w14:val="none"/>
        </w:rPr>
      </w:pPr>
    </w:p>
    <w:p w14:paraId="05CA547F"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kern w:val="0"/>
          <w:lang w:eastAsia="es-CR"/>
          <w14:ligatures w14:val="none"/>
        </w:rPr>
      </w:pPr>
      <w:r w:rsidRPr="00B77F6A">
        <w:rPr>
          <w:rFonts w:ascii="Calibri" w:eastAsia="Times New Roman" w:hAnsi="Calibri" w:cs="Calibri"/>
          <w:b/>
          <w:color w:val="000000"/>
          <w:kern w:val="0"/>
          <w:lang w:eastAsia="es-CR"/>
          <w14:ligatures w14:val="none"/>
        </w:rPr>
        <w:t>j) Prediagnóstico:</w:t>
      </w:r>
      <w:r w:rsidRPr="00B77F6A">
        <w:rPr>
          <w:rFonts w:ascii="Calibri" w:eastAsia="Times New Roman" w:hAnsi="Calibri" w:cs="Calibri"/>
          <w:color w:val="000000"/>
          <w:kern w:val="0"/>
          <w:lang w:eastAsia="es-CR"/>
          <w14:ligatures w14:val="none"/>
        </w:rPr>
        <w:t xml:space="preserve"> El prediagnóstico funciona como un examen inicial que permite identificar en qué posición se encuentra</w:t>
      </w:r>
      <w:r w:rsidRPr="00B77F6A">
        <w:rPr>
          <w:rFonts w:ascii="Calibri" w:eastAsia="Times New Roman" w:hAnsi="Calibri" w:cs="Calibri"/>
          <w:kern w:val="0"/>
          <w:lang w:eastAsia="es-CR"/>
          <w14:ligatures w14:val="none"/>
        </w:rPr>
        <w:t>, en este caso, una institución eclesial con relación a las perspectivas y relaciones de género. El ejercicio combinará el trabajo individual con el grupal, con el fin de visibilizar los elementos de las iglesias que perpetúan la violencia de género y explorar las oportunidades de transformación e incidencia hacia otro modelo de relacionamiento.</w:t>
      </w:r>
    </w:p>
    <w:p w14:paraId="3E184143"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438C78DD" w14:textId="77777777" w:rsidR="00B77F6A" w:rsidRPr="00B77F6A" w:rsidRDefault="00B77F6A" w:rsidP="00B77F6A">
      <w:pPr>
        <w:tabs>
          <w:tab w:val="left" w:pos="851"/>
        </w:tabs>
        <w:spacing w:after="0" w:line="240" w:lineRule="auto"/>
        <w:ind w:right="44"/>
        <w:jc w:val="both"/>
        <w:rPr>
          <w:rFonts w:ascii="Calibri" w:eastAsia="Times" w:hAnsi="Calibri" w:cs="Arial"/>
          <w:color w:val="000000"/>
          <w:kern w:val="0"/>
          <w:lang w:val="es-ES_tradnl" w:eastAsia="es-ES"/>
          <w14:ligatures w14:val="none"/>
        </w:rPr>
      </w:pPr>
      <w:r w:rsidRPr="00B77F6A">
        <w:rPr>
          <w:rFonts w:ascii="Calibri" w:eastAsia="Times" w:hAnsi="Calibri" w:cs="Arial"/>
          <w:color w:val="000000"/>
          <w:kern w:val="0"/>
          <w:lang w:val="es-ES_tradnl" w:eastAsia="es-ES"/>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7F0581B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14F062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VII. Recursos didácticos</w:t>
      </w:r>
    </w:p>
    <w:p w14:paraId="1FAAEB2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 w:eastAsia="es-CR"/>
          <w14:ligatures w14:val="none"/>
        </w:rPr>
      </w:pPr>
    </w:p>
    <w:p w14:paraId="7B0BA508"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08C725C3"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B005512"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36CC8C53"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0301E7F"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310EDFE1"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2AF8A3D"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43571549"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ED86429"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wiki y mediante </w:t>
      </w:r>
      <w:r w:rsidRPr="00B77F6A">
        <w:rPr>
          <w:rFonts w:ascii="Calibri" w:eastAsia="Times New Roman" w:hAnsi="Calibri" w:cs="Calibri"/>
          <w:color w:val="000000"/>
          <w:kern w:val="0"/>
          <w:lang w:val="es-ES" w:eastAsia="es-ES"/>
          <w14:ligatures w14:val="none"/>
        </w:rPr>
        <w:lastRenderedPageBreak/>
        <w:t xml:space="preserve">la herramienta Big Blue </w:t>
      </w:r>
      <w:proofErr w:type="spellStart"/>
      <w:r w:rsidRPr="00B77F6A">
        <w:rPr>
          <w:rFonts w:ascii="Calibri" w:eastAsia="Times New Roman" w:hAnsi="Calibri" w:cs="Calibri"/>
          <w:color w:val="000000"/>
          <w:kern w:val="0"/>
          <w:lang w:val="es-ES" w:eastAsia="es-ES"/>
          <w14:ligatures w14:val="none"/>
        </w:rPr>
        <w:t>Button</w:t>
      </w:r>
      <w:proofErr w:type="spellEnd"/>
      <w:r w:rsidRPr="00B77F6A">
        <w:rPr>
          <w:rFonts w:ascii="Calibri" w:eastAsia="Times New Roman" w:hAnsi="Calibri" w:cs="Calibri"/>
          <w:color w:val="000000"/>
          <w:kern w:val="0"/>
          <w:lang w:val="es-ES" w:eastAsia="es-ES"/>
          <w14:ligatures w14:val="none"/>
        </w:rPr>
        <w:t xml:space="preserve"> en la plataforma Moodle y para la elaboración de una reseña crítica de lectura; así como de guías para elaborar la monografía final, para elaborar un ensayo crítico, para elaborar una historia de vida de una mujer, para elaborar un prediagnóstico institucional de una iglesia y para realizar el análisis de una película que se encuentran en la sección de actividades de la sesión correspondiente.</w:t>
      </w:r>
    </w:p>
    <w:p w14:paraId="4E878682"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0400EC1"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B77F6A">
        <w:rPr>
          <w:rFonts w:ascii="Calibri" w:eastAsia="Times New Roman" w:hAnsi="Calibri" w:cs="Calibri"/>
          <w:color w:val="000000"/>
          <w:kern w:val="0"/>
          <w:lang w:val="es-ES" w:eastAsia="es-ES"/>
          <w14:ligatures w14:val="none"/>
        </w:rPr>
        <w:t>Strachan</w:t>
      </w:r>
      <w:proofErr w:type="spellEnd"/>
      <w:r w:rsidRPr="00B77F6A">
        <w:rPr>
          <w:rFonts w:ascii="Calibri" w:eastAsia="Times New Roman" w:hAnsi="Calibri" w:cs="Calibri"/>
          <w:color w:val="000000"/>
          <w:kern w:val="0"/>
          <w:lang w:val="es-ES" w:eastAsia="es-ES"/>
          <w14:ligatures w14:val="none"/>
        </w:rPr>
        <w:t xml:space="preserve"> (</w:t>
      </w:r>
      <w:hyperlink r:id="rId239" w:history="1">
        <w:r w:rsidRPr="00B77F6A">
          <w:rPr>
            <w:rFonts w:ascii="Calibri" w:eastAsia="Times New Roman" w:hAnsi="Calibri" w:cs="Calibri"/>
            <w:color w:val="0000FF"/>
            <w:kern w:val="0"/>
            <w:u w:val="single"/>
            <w:lang w:val="es-ES" w:eastAsia="es-ES"/>
            <w14:ligatures w14:val="none"/>
          </w:rPr>
          <w:t>https://www.ubl.ac.cr/biblioteca</w:t>
        </w:r>
      </w:hyperlink>
      <w:r w:rsidRPr="00B77F6A">
        <w:rPr>
          <w:rFonts w:ascii="Calibri" w:eastAsia="Times New Roman" w:hAnsi="Calibri" w:cs="Calibri"/>
          <w:color w:val="000000"/>
          <w:kern w:val="0"/>
          <w:lang w:val="es-ES" w:eastAsia="es-ES"/>
          <w14:ligatures w14:val="none"/>
        </w:rPr>
        <w:t>), así como consultar el Portal de Revistas de la UBL (</w:t>
      </w:r>
      <w:hyperlink r:id="rId240" w:history="1">
        <w:r w:rsidRPr="00B77F6A">
          <w:rPr>
            <w:rFonts w:ascii="Calibri" w:eastAsia="Times New Roman" w:hAnsi="Calibri" w:cs="Calibri"/>
            <w:color w:val="0000FF"/>
            <w:kern w:val="0"/>
            <w:u w:val="single"/>
            <w:lang w:val="es-ES" w:eastAsia="es-ES"/>
            <w14:ligatures w14:val="none"/>
          </w:rPr>
          <w:t>http://revistas.ubl.ac.cr/</w:t>
        </w:r>
      </w:hyperlink>
      <w:r w:rsidRPr="00B77F6A">
        <w:rPr>
          <w:rFonts w:ascii="Calibri" w:eastAsia="Times New Roman" w:hAnsi="Calibri" w:cs="Calibri"/>
          <w:color w:val="000000"/>
          <w:kern w:val="0"/>
          <w:lang w:val="es-ES" w:eastAsia="es-ES"/>
          <w14:ligatures w14:val="none"/>
        </w:rPr>
        <w:t>). A través del correo de la biblioteca (</w:t>
      </w:r>
      <w:hyperlink r:id="rId241" w:history="1">
        <w:r w:rsidRPr="00B77F6A">
          <w:rPr>
            <w:rFonts w:ascii="Calibri" w:eastAsia="Times New Roman" w:hAnsi="Calibri" w:cs="Calibri"/>
            <w:color w:val="0000FF"/>
            <w:kern w:val="0"/>
            <w:u w:val="single"/>
            <w:lang w:val="es-ES" w:eastAsia="es-ES"/>
            <w14:ligatures w14:val="none"/>
          </w:rPr>
          <w:t>biblioteca@ubl.ac.cr</w:t>
        </w:r>
      </w:hyperlink>
      <w:r w:rsidRPr="00B77F6A">
        <w:rPr>
          <w:rFonts w:ascii="Calibri" w:eastAsia="Times New Roman" w:hAnsi="Calibri" w:cs="Calibri"/>
          <w:color w:val="000000"/>
          <w:kern w:val="0"/>
          <w:lang w:val="es-ES" w:eastAsia="es-ES"/>
          <w14:ligatures w14:val="none"/>
        </w:rPr>
        <w:t>) puede solicitar recursos que se encuentren en la colección física.</w:t>
      </w:r>
    </w:p>
    <w:p w14:paraId="7482E0AB"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BF2092A" w14:textId="77FEBA85"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77F6A">
        <w:rPr>
          <w:rFonts w:ascii="Calibri" w:eastAsia="Times New Roman" w:hAnsi="Calibri" w:cs="Calibri"/>
          <w:color w:val="000000"/>
          <w:kern w:val="0"/>
          <w:lang w:val="es-ES" w:eastAsia="es-ES"/>
          <w14:ligatures w14:val="none"/>
        </w:rPr>
        <w:t>f)</w:t>
      </w:r>
      <w:r w:rsidRPr="00B77F6A">
        <w:rPr>
          <w:rFonts w:ascii="Times New Roman" w:eastAsia="Times New Roman" w:hAnsi="Times New Roman" w:cs="Calibri"/>
          <w:bCs/>
          <w:kern w:val="0"/>
          <w:sz w:val="24"/>
          <w:szCs w:val="24"/>
          <w:lang w:val="es-ES_tradnl" w:eastAsia="es-CR"/>
          <w14:ligatures w14:val="none"/>
        </w:rPr>
        <w:t xml:space="preserve"> </w:t>
      </w:r>
      <w:r w:rsidRPr="00B77F6A">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B77F6A">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242" w:history="1">
        <w:r w:rsidRPr="00B77F6A">
          <w:rPr>
            <w:rFonts w:ascii="Calibri" w:eastAsia="Times New Roman" w:hAnsi="Calibri" w:cs="Calibri"/>
            <w:bCs/>
            <w:color w:val="0000FF"/>
            <w:kern w:val="0"/>
            <w:u w:val="single"/>
            <w:lang w:val="es-ES_tradnl" w:eastAsia="es-CR"/>
            <w14:ligatures w14:val="none"/>
          </w:rPr>
          <w:t>https://campus.ubl.ac.cr/course/index.php?categoryid=186</w:t>
        </w:r>
      </w:hyperlink>
    </w:p>
    <w:p w14:paraId="6F5672A3" w14:textId="77777777" w:rsidR="00B77F6A" w:rsidRPr="00B77F6A" w:rsidRDefault="00B77F6A" w:rsidP="00B77F6A">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278C40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 w:eastAsia="es-CR"/>
          <w14:ligatures w14:val="none"/>
        </w:rPr>
      </w:pPr>
      <w:r w:rsidRPr="00B77F6A">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4E04770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C578D3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5D0E42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9CE557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BB2464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213F99B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FF7EB1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503091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0802CC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0432A2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BB431A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AE151D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10EA410"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9B8E1B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4B8E70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483C97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ED3BBF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BDF746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681AD0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7D7809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16D10A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0248A7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4DFFE9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2036FC7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7881172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B61576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06210F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D31765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2D960B0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lastRenderedPageBreak/>
        <w:t>VIII. Cronograma de trabajo</w:t>
      </w:r>
    </w:p>
    <w:p w14:paraId="7031C51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4062CA03" w14:textId="77777777" w:rsidR="00B77F6A" w:rsidRPr="00B77F6A" w:rsidRDefault="00B77F6A" w:rsidP="00B77F6A">
      <w:pPr>
        <w:widowControl w:val="0"/>
        <w:overflowPunct w:val="0"/>
        <w:autoSpaceDE w:val="0"/>
        <w:autoSpaceDN w:val="0"/>
        <w:adjustRightInd w:val="0"/>
        <w:spacing w:after="0" w:line="240" w:lineRule="auto"/>
        <w:rPr>
          <w:rFonts w:ascii="Arial" w:eastAsia="Times New Roman" w:hAnsi="Arial" w:cs="Arial"/>
          <w:kern w:val="0"/>
          <w:sz w:val="24"/>
          <w:szCs w:val="24"/>
          <w:lang w:val="es-ES_tradnl" w:eastAsia="es-CR"/>
          <w14:ligatures w14:val="non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2410"/>
        <w:gridCol w:w="2835"/>
        <w:gridCol w:w="3118"/>
      </w:tblGrid>
      <w:tr w:rsidR="00B77F6A" w:rsidRPr="00B77F6A" w14:paraId="3DAD639D" w14:textId="77777777" w:rsidTr="4C9C2619">
        <w:trPr>
          <w:trHeight w:val="450"/>
          <w:jc w:val="center"/>
        </w:trPr>
        <w:tc>
          <w:tcPr>
            <w:tcW w:w="1271" w:type="dxa"/>
            <w:vMerge w:val="restart"/>
            <w:vAlign w:val="center"/>
          </w:tcPr>
          <w:p w14:paraId="28ECBA05"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B77F6A">
              <w:rPr>
                <w:rFonts w:ascii="Calibri" w:eastAsia="Times New Roman" w:hAnsi="Calibri" w:cs="Calibri"/>
                <w:b/>
                <w:color w:val="000000"/>
                <w:kern w:val="0"/>
                <w:sz w:val="24"/>
                <w:szCs w:val="24"/>
                <w:lang w:val="es-ES_tradnl" w:eastAsia="es-CR"/>
                <w14:ligatures w14:val="none"/>
              </w:rPr>
              <w:t>Sesión</w:t>
            </w:r>
          </w:p>
          <w:p w14:paraId="1CA91EFF"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B77F6A">
              <w:rPr>
                <w:rFonts w:ascii="Calibri" w:eastAsia="Times New Roman" w:hAnsi="Calibri" w:cs="Calibri"/>
                <w:b/>
                <w:color w:val="000000"/>
                <w:kern w:val="0"/>
                <w:sz w:val="24"/>
                <w:szCs w:val="24"/>
                <w:lang w:val="es-ES_tradnl" w:eastAsia="es-CR"/>
                <w14:ligatures w14:val="none"/>
              </w:rPr>
              <w:t>(semana)</w:t>
            </w:r>
          </w:p>
        </w:tc>
        <w:tc>
          <w:tcPr>
            <w:tcW w:w="2410" w:type="dxa"/>
            <w:vMerge w:val="restart"/>
            <w:vAlign w:val="center"/>
          </w:tcPr>
          <w:p w14:paraId="1F16D39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B77F6A">
              <w:rPr>
                <w:rFonts w:ascii="Calibri" w:eastAsia="Times New Roman" w:hAnsi="Calibri" w:cs="Calibri"/>
                <w:b/>
                <w:kern w:val="0"/>
                <w:sz w:val="24"/>
                <w:szCs w:val="24"/>
                <w:lang w:val="es-ES_tradnl" w:eastAsia="es-CR"/>
                <w14:ligatures w14:val="none"/>
              </w:rPr>
              <w:t>Contenidos temáticos</w:t>
            </w:r>
          </w:p>
        </w:tc>
        <w:tc>
          <w:tcPr>
            <w:tcW w:w="5953" w:type="dxa"/>
            <w:gridSpan w:val="2"/>
            <w:vAlign w:val="center"/>
          </w:tcPr>
          <w:p w14:paraId="49BEF442"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B77F6A">
              <w:rPr>
                <w:rFonts w:ascii="Calibri" w:eastAsia="Times New Roman" w:hAnsi="Calibri" w:cs="Calibri"/>
                <w:b/>
                <w:color w:val="000000"/>
                <w:kern w:val="0"/>
                <w:sz w:val="24"/>
                <w:szCs w:val="24"/>
                <w:lang w:val="es-ES_tradnl" w:eastAsia="es-CR"/>
                <w14:ligatures w14:val="none"/>
              </w:rPr>
              <w:t>Actividades de enseñanza-aprendizaje</w:t>
            </w:r>
          </w:p>
        </w:tc>
      </w:tr>
      <w:tr w:rsidR="00B77F6A" w:rsidRPr="00B77F6A" w14:paraId="21594540" w14:textId="77777777" w:rsidTr="4C9C2619">
        <w:trPr>
          <w:trHeight w:val="429"/>
          <w:jc w:val="center"/>
        </w:trPr>
        <w:tc>
          <w:tcPr>
            <w:tcW w:w="1271" w:type="dxa"/>
            <w:vMerge/>
            <w:vAlign w:val="center"/>
          </w:tcPr>
          <w:p w14:paraId="3FD35D7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lang w:val="es-ES_tradnl" w:eastAsia="es-CR"/>
                <w14:ligatures w14:val="none"/>
              </w:rPr>
            </w:pPr>
          </w:p>
        </w:tc>
        <w:tc>
          <w:tcPr>
            <w:tcW w:w="2410" w:type="dxa"/>
            <w:vMerge/>
            <w:vAlign w:val="center"/>
          </w:tcPr>
          <w:p w14:paraId="2AB69459"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kern w:val="0"/>
                <w:lang w:val="es-ES_tradnl" w:eastAsia="es-CR"/>
                <w14:ligatures w14:val="none"/>
              </w:rPr>
            </w:pPr>
          </w:p>
        </w:tc>
        <w:tc>
          <w:tcPr>
            <w:tcW w:w="2835" w:type="dxa"/>
            <w:vAlign w:val="center"/>
          </w:tcPr>
          <w:p w14:paraId="3965F18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B77F6A">
              <w:rPr>
                <w:rFonts w:ascii="Calibri" w:eastAsia="Times New Roman" w:hAnsi="Calibri" w:cs="Calibri"/>
                <w:b/>
                <w:color w:val="000000"/>
                <w:kern w:val="0"/>
                <w:sz w:val="24"/>
                <w:szCs w:val="24"/>
                <w:lang w:val="es-ES_tradnl" w:eastAsia="es-CR"/>
                <w14:ligatures w14:val="none"/>
              </w:rPr>
              <w:t>Recursos didácticos</w:t>
            </w:r>
          </w:p>
        </w:tc>
        <w:tc>
          <w:tcPr>
            <w:tcW w:w="3118" w:type="dxa"/>
            <w:vAlign w:val="center"/>
          </w:tcPr>
          <w:p w14:paraId="16F0722F"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b/>
                <w:color w:val="000000"/>
                <w:kern w:val="0"/>
                <w:sz w:val="24"/>
                <w:szCs w:val="24"/>
                <w:lang w:val="es-ES_tradnl" w:eastAsia="es-CR"/>
                <w14:ligatures w14:val="none"/>
              </w:rPr>
            </w:pPr>
            <w:r w:rsidRPr="00B77F6A">
              <w:rPr>
                <w:rFonts w:ascii="Calibri" w:eastAsia="Times New Roman" w:hAnsi="Calibri" w:cs="Calibri"/>
                <w:b/>
                <w:color w:val="000000"/>
                <w:kern w:val="0"/>
                <w:sz w:val="24"/>
                <w:szCs w:val="24"/>
                <w:lang w:val="es-ES_tradnl" w:eastAsia="es-CR"/>
                <w14:ligatures w14:val="none"/>
              </w:rPr>
              <w:t>Actividades de aprendizaje</w:t>
            </w:r>
          </w:p>
        </w:tc>
      </w:tr>
      <w:tr w:rsidR="00B77F6A" w:rsidRPr="00B77F6A" w14:paraId="6BA5CA29" w14:textId="77777777" w:rsidTr="4C9C2619">
        <w:trPr>
          <w:jc w:val="center"/>
        </w:trPr>
        <w:tc>
          <w:tcPr>
            <w:tcW w:w="1271" w:type="dxa"/>
          </w:tcPr>
          <w:p w14:paraId="78C2695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5550E8B4"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w:t>
            </w:r>
          </w:p>
          <w:p w14:paraId="1BFC2C04"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34315B23"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48224B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1: Experiencias y conceptos de género</w:t>
            </w:r>
          </w:p>
          <w:p w14:paraId="6FC7092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1B7B98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1.1 Cultura patriarcal</w:t>
            </w:r>
          </w:p>
          <w:p w14:paraId="405509B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963A37B"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tc>
        <w:tc>
          <w:tcPr>
            <w:tcW w:w="2835" w:type="dxa"/>
          </w:tcPr>
          <w:p w14:paraId="1E8356E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2FAA0F73"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2A1F6A5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123F9B5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p>
          <w:p w14:paraId="2D365B1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en un foro en la plataforma Moodle</w:t>
            </w:r>
          </w:p>
          <w:p w14:paraId="1951C4C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p>
          <w:p w14:paraId="70F6889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color w:val="0070C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mediante la herramienta Big Blue Button en la plataforma Moodle</w:t>
            </w:r>
          </w:p>
        </w:tc>
        <w:tc>
          <w:tcPr>
            <w:tcW w:w="3118" w:type="dxa"/>
          </w:tcPr>
          <w:p w14:paraId="3CE3E114" w14:textId="77777777" w:rsidR="00B77F6A" w:rsidRPr="00B77F6A" w:rsidRDefault="00B77F6A" w:rsidP="00B77F6A">
            <w:pPr>
              <w:widowControl w:val="0"/>
              <w:numPr>
                <w:ilvl w:val="0"/>
                <w:numId w:val="13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social CAFETERÍA, donde se realizará una dinámica grupal para el conocimiento mutuo y la integración. </w:t>
            </w:r>
          </w:p>
          <w:p w14:paraId="0D3E816E" w14:textId="77777777" w:rsidR="00B77F6A" w:rsidRPr="00B77F6A" w:rsidRDefault="00B77F6A" w:rsidP="00B77F6A">
            <w:pPr>
              <w:widowControl w:val="0"/>
              <w:numPr>
                <w:ilvl w:val="0"/>
                <w:numId w:val="13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de dudas. </w:t>
            </w:r>
          </w:p>
          <w:p w14:paraId="31F7FF2D" w14:textId="77777777" w:rsidR="00B77F6A" w:rsidRPr="00B77F6A" w:rsidRDefault="00B77F6A" w:rsidP="00B77F6A">
            <w:pPr>
              <w:widowControl w:val="0"/>
              <w:numPr>
                <w:ilvl w:val="0"/>
                <w:numId w:val="13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Presentación del sílabo y exposición docente de introducción al eje temático del curso y compartir grupal sobre el conocimiento previo del tema alrededor de un video corto en un encuentro sincrónico virtual. </w:t>
            </w:r>
          </w:p>
          <w:p w14:paraId="12052D41" w14:textId="77777777" w:rsidR="00B77F6A" w:rsidRPr="00B77F6A" w:rsidRDefault="00B77F6A" w:rsidP="00B77F6A">
            <w:pPr>
              <w:widowControl w:val="0"/>
              <w:numPr>
                <w:ilvl w:val="0"/>
                <w:numId w:val="13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Escogencia del tema del trabajo final (monografía) según los ejes temáticos propuestos (compartir el tema a través del foro). </w:t>
            </w:r>
          </w:p>
        </w:tc>
      </w:tr>
      <w:tr w:rsidR="00B77F6A" w:rsidRPr="00B77F6A" w14:paraId="468F2FE7" w14:textId="77777777" w:rsidTr="4C9C2619">
        <w:trPr>
          <w:jc w:val="center"/>
        </w:trPr>
        <w:tc>
          <w:tcPr>
            <w:tcW w:w="1271" w:type="dxa"/>
          </w:tcPr>
          <w:p w14:paraId="524985E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69A29DE5"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2</w:t>
            </w:r>
          </w:p>
          <w:p w14:paraId="1E90562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2244CDB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4495836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1: Experiencias y conceptos de género</w:t>
            </w:r>
          </w:p>
          <w:p w14:paraId="36DF0C0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5DCCA20"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B77F6A">
              <w:rPr>
                <w:rFonts w:ascii="Calibri" w:eastAsia="Times New Roman" w:hAnsi="Calibri" w:cs="Calibri"/>
                <w:kern w:val="0"/>
                <w:lang w:val="es-ES_tradnl" w:eastAsia="es-CR"/>
                <w14:ligatures w14:val="none"/>
              </w:rPr>
              <w:t xml:space="preserve">1.1 </w:t>
            </w:r>
            <w:r w:rsidRPr="00B77F6A">
              <w:rPr>
                <w:rFonts w:ascii="Calibri" w:eastAsia="Times New Roman" w:hAnsi="Calibri" w:cs="Calibri"/>
                <w:kern w:val="0"/>
                <w:lang w:val="es-ES" w:eastAsia="es-CR"/>
                <w14:ligatures w14:val="none"/>
              </w:rPr>
              <w:t>Cultura patriarcal</w:t>
            </w:r>
          </w:p>
          <w:p w14:paraId="2242EAD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C38234D" w14:textId="77777777" w:rsidR="00B77F6A" w:rsidRPr="00B77F6A" w:rsidRDefault="00B77F6A" w:rsidP="00B77F6A">
            <w:pPr>
              <w:keepNext/>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1.2 Democracia de género</w:t>
            </w:r>
          </w:p>
          <w:p w14:paraId="10AF421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2E86AB8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7F6FC8C3"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p>
          <w:p w14:paraId="7E75D5CD" w14:textId="77777777" w:rsidR="00B77F6A" w:rsidRPr="00B77F6A" w:rsidRDefault="00B77F6A" w:rsidP="4C9C2619">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Schüssler</w:t>
            </w:r>
            <w:proofErr w:type="spellEnd"/>
            <w:r w:rsidRPr="4C9C2619">
              <w:rPr>
                <w:rFonts w:ascii="Calibri" w:eastAsia="Times New Roman" w:hAnsi="Calibri" w:cs="Calibri"/>
                <w:kern w:val="0"/>
                <w:lang w:val="es-ES" w:eastAsia="es-CR"/>
                <w14:ligatures w14:val="none"/>
              </w:rPr>
              <w:t xml:space="preserve"> </w:t>
            </w:r>
            <w:proofErr w:type="spellStart"/>
            <w:r w:rsidRPr="4C9C2619">
              <w:rPr>
                <w:rFonts w:ascii="Calibri" w:eastAsia="Times New Roman" w:hAnsi="Calibri" w:cs="Calibri"/>
                <w:kern w:val="0"/>
                <w:lang w:val="es-ES" w:eastAsia="es-CR"/>
                <w14:ligatures w14:val="none"/>
              </w:rPr>
              <w:t>Fiorenza</w:t>
            </w:r>
            <w:proofErr w:type="spellEnd"/>
            <w:r w:rsidRPr="4C9C2619">
              <w:rPr>
                <w:rFonts w:ascii="Calibri" w:eastAsia="Times New Roman" w:hAnsi="Calibri" w:cs="Calibri"/>
                <w:kern w:val="0"/>
                <w:lang w:val="es-ES" w:eastAsia="es-CR"/>
                <w14:ligatures w14:val="none"/>
              </w:rPr>
              <w:t xml:space="preserve">, Elisabeth. "Género, religión y poder </w:t>
            </w:r>
            <w:proofErr w:type="spellStart"/>
            <w:r w:rsidRPr="4C9C2619">
              <w:rPr>
                <w:rFonts w:ascii="Calibri" w:eastAsia="Times New Roman" w:hAnsi="Calibri" w:cs="Calibri"/>
                <w:kern w:val="0"/>
                <w:lang w:val="es-ES" w:eastAsia="es-CR"/>
                <w14:ligatures w14:val="none"/>
              </w:rPr>
              <w:t>kyriarcal</w:t>
            </w:r>
            <w:proofErr w:type="spellEnd"/>
            <w:r w:rsidRPr="4C9C2619">
              <w:rPr>
                <w:rFonts w:ascii="Calibri" w:eastAsia="Times New Roman" w:hAnsi="Calibri" w:cs="Calibri"/>
                <w:kern w:val="0"/>
                <w:lang w:val="es-ES" w:eastAsia="es-CR"/>
                <w14:ligatures w14:val="none"/>
              </w:rPr>
              <w:t xml:space="preserve">". </w:t>
            </w:r>
            <w:r w:rsidRPr="4C9C2619">
              <w:rPr>
                <w:rFonts w:ascii="Calibri" w:eastAsia="Times New Roman" w:hAnsi="Calibri" w:cs="Calibri"/>
                <w:i/>
                <w:iCs/>
                <w:kern w:val="0"/>
                <w:lang w:val="es-ES" w:eastAsia="es-CR"/>
                <w14:ligatures w14:val="none"/>
              </w:rPr>
              <w:t>Vida y Pensamiento</w:t>
            </w:r>
            <w:r w:rsidRPr="4C9C2619">
              <w:rPr>
                <w:rFonts w:ascii="Calibri" w:eastAsia="Times New Roman" w:hAnsi="Calibri" w:cs="Calibri"/>
                <w:kern w:val="0"/>
                <w:lang w:val="es-ES" w:eastAsia="es-CR"/>
                <w14:ligatures w14:val="none"/>
              </w:rPr>
              <w:t xml:space="preserve"> 32, no. 2 (2012): 35-74.</w:t>
            </w:r>
          </w:p>
          <w:p w14:paraId="0998082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szCs w:val="20"/>
                <w:lang w:val="es-ES_tradnl" w:eastAsia="es-CR"/>
                <w14:ligatures w14:val="none"/>
              </w:rPr>
            </w:pPr>
          </w:p>
          <w:p w14:paraId="287D31D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65EE842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p>
          <w:p w14:paraId="0A50FE6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elaboración de una reseña crítica de lectura</w:t>
            </w:r>
          </w:p>
          <w:p w14:paraId="603D53C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p>
          <w:p w14:paraId="2BC4756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en un foro en la plataforma Moodle</w:t>
            </w:r>
          </w:p>
          <w:p w14:paraId="2AD9B8E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p>
          <w:p w14:paraId="7D975BB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kern w:val="0"/>
                <w:szCs w:val="2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 xml:space="preserve">Guía para la participación </w:t>
            </w:r>
            <w:r w:rsidRPr="00B77F6A">
              <w:rPr>
                <w:rFonts w:ascii="Calibri" w:eastAsia="Times New Roman" w:hAnsi="Calibri" w:cs="Calibri"/>
                <w:bCs/>
                <w:noProof/>
                <w:color w:val="0070C0"/>
                <w:kern w:val="0"/>
                <w:szCs w:val="20"/>
                <w:lang w:val="es-ES_tradnl" w:eastAsia="es-CR"/>
                <w14:ligatures w14:val="none"/>
              </w:rPr>
              <w:lastRenderedPageBreak/>
              <w:t>mediante la herramienta Big Blue Button en la plataforma Moodle</w:t>
            </w:r>
          </w:p>
          <w:p w14:paraId="32A7827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kern w:val="0"/>
                <w:szCs w:val="20"/>
                <w:lang w:val="es-ES_tradnl" w:eastAsia="es-CR"/>
                <w14:ligatures w14:val="none"/>
              </w:rPr>
            </w:pPr>
          </w:p>
        </w:tc>
        <w:tc>
          <w:tcPr>
            <w:tcW w:w="3118" w:type="dxa"/>
          </w:tcPr>
          <w:p w14:paraId="5F4494D9" w14:textId="77777777" w:rsidR="00B77F6A" w:rsidRPr="00B77F6A" w:rsidRDefault="00B77F6A" w:rsidP="00B77F6A">
            <w:pPr>
              <w:widowControl w:val="0"/>
              <w:numPr>
                <w:ilvl w:val="0"/>
                <w:numId w:val="13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lastRenderedPageBreak/>
              <w:t xml:space="preserve">Realizar las lecturas sobre la creación de la cultura patriarcal. </w:t>
            </w:r>
          </w:p>
          <w:p w14:paraId="650F3A92" w14:textId="77777777" w:rsidR="00B77F6A" w:rsidRPr="00B77F6A" w:rsidRDefault="00B77F6A" w:rsidP="00B77F6A">
            <w:pPr>
              <w:widowControl w:val="0"/>
              <w:numPr>
                <w:ilvl w:val="0"/>
                <w:numId w:val="13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Elaboración de una reseña crítica con referencia a la sociedad actual (tarea documental 1). </w:t>
            </w:r>
          </w:p>
          <w:p w14:paraId="1446E8E7" w14:textId="77777777" w:rsidR="00B77F6A" w:rsidRPr="00B77F6A" w:rsidRDefault="00B77F6A" w:rsidP="00B77F6A">
            <w:pPr>
              <w:widowControl w:val="0"/>
              <w:numPr>
                <w:ilvl w:val="0"/>
                <w:numId w:val="13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Debate grupal sobre la tarea asignada en el foro. </w:t>
            </w:r>
          </w:p>
          <w:p w14:paraId="7F61B50A" w14:textId="77777777" w:rsidR="00B77F6A" w:rsidRPr="00B77F6A" w:rsidRDefault="00B77F6A" w:rsidP="00B77F6A">
            <w:pPr>
              <w:widowControl w:val="0"/>
              <w:numPr>
                <w:ilvl w:val="0"/>
                <w:numId w:val="13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Disertación docente de profundización en un encuentro sincrónico virtual.</w:t>
            </w:r>
          </w:p>
          <w:p w14:paraId="626B39A4"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tc>
      </w:tr>
      <w:tr w:rsidR="00B77F6A" w:rsidRPr="00B77F6A" w14:paraId="2179EB5F" w14:textId="77777777" w:rsidTr="4C9C2619">
        <w:trPr>
          <w:jc w:val="center"/>
        </w:trPr>
        <w:tc>
          <w:tcPr>
            <w:tcW w:w="1271" w:type="dxa"/>
          </w:tcPr>
          <w:p w14:paraId="7E2D9D43"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36F70635"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3</w:t>
            </w:r>
          </w:p>
          <w:p w14:paraId="3DB5E443"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0602C359"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330CDB1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1: Experiencias y conceptos de género</w:t>
            </w:r>
          </w:p>
          <w:p w14:paraId="0F3EC0B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57372B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1.3 Metodología feminista</w:t>
            </w:r>
          </w:p>
          <w:p w14:paraId="6904883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6DEB30A6"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72B63BC0"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541F20DF" w14:textId="77777777" w:rsidR="00B77F6A" w:rsidRPr="00B77F6A" w:rsidRDefault="00B77F6A" w:rsidP="4C9C2619">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 w:eastAsia="es-CR"/>
                <w14:ligatures w14:val="none"/>
              </w:rPr>
            </w:pPr>
            <w:proofErr w:type="spellStart"/>
            <w:r w:rsidRPr="4C9C2619">
              <w:rPr>
                <w:rFonts w:ascii="Calibri" w:eastAsia="Times New Roman" w:hAnsi="Calibri" w:cs="Arial"/>
                <w:color w:val="000000"/>
                <w:kern w:val="0"/>
                <w:lang w:val="es-ES" w:eastAsia="es-CR"/>
                <w14:ligatures w14:val="none"/>
              </w:rPr>
              <w:t>Gebara</w:t>
            </w:r>
            <w:proofErr w:type="spellEnd"/>
            <w:r w:rsidRPr="4C9C2619">
              <w:rPr>
                <w:rFonts w:ascii="Calibri" w:eastAsia="Times New Roman" w:hAnsi="Calibri" w:cs="Arial"/>
                <w:color w:val="000000"/>
                <w:kern w:val="0"/>
                <w:lang w:val="es-ES" w:eastAsia="es-CR"/>
                <w14:ligatures w14:val="none"/>
              </w:rPr>
              <w:t xml:space="preserve">, Ivone. “Introducción a un significado histórico del concepto de género”. En </w:t>
            </w:r>
            <w:r w:rsidRPr="4C9C2619">
              <w:rPr>
                <w:rFonts w:ascii="Calibri" w:eastAsia="Times New Roman" w:hAnsi="Calibri" w:cs="Arial"/>
                <w:i/>
                <w:iCs/>
                <w:color w:val="000000"/>
                <w:kern w:val="0"/>
                <w:lang w:val="es-ES" w:eastAsia="es-CR"/>
                <w14:ligatures w14:val="none"/>
              </w:rPr>
              <w:t xml:space="preserve">Teología y género: selección de textos, </w:t>
            </w:r>
            <w:r w:rsidRPr="4C9C2619">
              <w:rPr>
                <w:rFonts w:ascii="Calibri" w:eastAsia="Times New Roman" w:hAnsi="Calibri" w:cs="Arial"/>
                <w:color w:val="000000"/>
                <w:kern w:val="0"/>
                <w:lang w:val="es-ES" w:eastAsia="es-CR"/>
                <w14:ligatures w14:val="none"/>
              </w:rPr>
              <w:t xml:space="preserve">editado por Clara Luz Ajo y Marianela de la Paz, 109-142. La Habana: Caminos, 2002. </w:t>
            </w:r>
            <w:r w:rsidRPr="4C9C2619">
              <w:rPr>
                <w:rFonts w:ascii="Calibri" w:eastAsia="Times New Roman" w:hAnsi="Calibri" w:cs="Arial"/>
                <w:color w:val="0070C0"/>
                <w:kern w:val="0"/>
                <w:lang w:val="es-ES" w:eastAsia="es-CR"/>
                <w14:ligatures w14:val="none"/>
              </w:rPr>
              <w:t>(clásico, última edición)</w:t>
            </w:r>
          </w:p>
          <w:p w14:paraId="493CE90C"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p>
          <w:p w14:paraId="40C549A0"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Material complementario</w:t>
            </w:r>
          </w:p>
          <w:p w14:paraId="6BA657EA"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p>
          <w:p w14:paraId="67878F36" w14:textId="77777777" w:rsidR="00B77F6A" w:rsidRPr="00B77F6A" w:rsidRDefault="00B77F6A" w:rsidP="4C9C2619">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 w:eastAsia="es-CR"/>
                <w14:ligatures w14:val="none"/>
              </w:rPr>
            </w:pPr>
            <w:proofErr w:type="spellStart"/>
            <w:r w:rsidRPr="4C9C2619">
              <w:rPr>
                <w:rFonts w:ascii="Calibri" w:eastAsia="Times New Roman" w:hAnsi="Calibri" w:cs="Calibri"/>
                <w:kern w:val="0"/>
                <w:lang w:val="es-ES" w:eastAsia="es-CR"/>
                <w14:ligatures w14:val="none"/>
              </w:rPr>
              <w:t>Cuklanz</w:t>
            </w:r>
            <w:proofErr w:type="spellEnd"/>
            <w:r w:rsidRPr="4C9C2619">
              <w:rPr>
                <w:rFonts w:ascii="Calibri" w:eastAsia="Times New Roman" w:hAnsi="Calibri" w:cs="Calibri"/>
                <w:kern w:val="0"/>
                <w:lang w:val="es-ES" w:eastAsia="es-CR"/>
                <w14:ligatures w14:val="none"/>
              </w:rPr>
              <w:t xml:space="preserve">, Lisa y Ali </w:t>
            </w:r>
            <w:proofErr w:type="spellStart"/>
            <w:r w:rsidRPr="4C9C2619">
              <w:rPr>
                <w:rFonts w:ascii="Calibri" w:eastAsia="Times New Roman" w:hAnsi="Calibri" w:cs="Calibri"/>
                <w:kern w:val="0"/>
                <w:lang w:val="es-ES" w:eastAsia="es-CR"/>
                <w14:ligatures w14:val="none"/>
              </w:rPr>
              <w:t>Erol</w:t>
            </w:r>
            <w:proofErr w:type="spellEnd"/>
            <w:r w:rsidRPr="4C9C2619">
              <w:rPr>
                <w:rFonts w:ascii="Calibri" w:eastAsia="Times New Roman" w:hAnsi="Calibri" w:cs="Calibri"/>
                <w:kern w:val="0"/>
                <w:lang w:val="es-ES" w:eastAsia="es-CR"/>
                <w14:ligatures w14:val="none"/>
              </w:rPr>
              <w:t xml:space="preserve">. “Teoría Queer y metodologías feministas: el estado de la cuestión”. </w:t>
            </w:r>
            <w:r w:rsidRPr="4C9C2619">
              <w:rPr>
                <w:rFonts w:ascii="Calibri" w:eastAsia="Times New Roman" w:hAnsi="Calibri" w:cs="Calibri"/>
                <w:i/>
                <w:iCs/>
                <w:kern w:val="0"/>
                <w:lang w:val="es-ES" w:eastAsia="es-CR"/>
                <w14:ligatures w14:val="none"/>
              </w:rPr>
              <w:t>Investigaciones Feministas</w:t>
            </w:r>
            <w:r w:rsidRPr="4C9C2619">
              <w:rPr>
                <w:rFonts w:ascii="Calibri" w:eastAsia="Times New Roman" w:hAnsi="Calibri" w:cs="Calibri"/>
                <w:kern w:val="0"/>
                <w:lang w:val="es-ES" w:eastAsia="es-CR"/>
                <w14:ligatures w14:val="none"/>
              </w:rPr>
              <w:t xml:space="preserve"> 11, n. 2 (2020): 211-220. Acceso el 18 de diciembre de 2020. </w:t>
            </w:r>
            <w:hyperlink r:id="rId243" w:history="1">
              <w:r w:rsidRPr="4C9C2619">
                <w:rPr>
                  <w:rFonts w:ascii="Calibri" w:eastAsia="Times New Roman" w:hAnsi="Calibri" w:cs="Calibri"/>
                  <w:color w:val="0000FF"/>
                  <w:kern w:val="0"/>
                  <w:u w:val="single"/>
                  <w:lang w:val="es-ES" w:eastAsia="es-CR"/>
                  <w14:ligatures w14:val="none"/>
                </w:rPr>
                <w:t>https://doi.org/10.5209/infe.66476</w:t>
              </w:r>
            </w:hyperlink>
          </w:p>
          <w:p w14:paraId="568DF756" w14:textId="77777777" w:rsidR="00B77F6A" w:rsidRPr="00B77F6A" w:rsidRDefault="00B77F6A" w:rsidP="00B77F6A">
            <w:pPr>
              <w:autoSpaceDE w:val="0"/>
              <w:autoSpaceDN w:val="0"/>
              <w:adjustRightInd w:val="0"/>
              <w:spacing w:after="0" w:line="240" w:lineRule="auto"/>
              <w:rPr>
                <w:rFonts w:ascii="Calibri" w:eastAsia="Times New Roman" w:hAnsi="Calibri" w:cs="Arial"/>
                <w:kern w:val="0"/>
                <w:lang w:val="es-ES_tradnl" w:eastAsia="es-CR"/>
                <w14:ligatures w14:val="none"/>
              </w:rPr>
            </w:pPr>
          </w:p>
          <w:p w14:paraId="1F568D97" w14:textId="77777777" w:rsidR="00B77F6A" w:rsidRPr="00B77F6A" w:rsidRDefault="00B77F6A" w:rsidP="4C9C2619">
            <w:pPr>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Arial"/>
                <w:color w:val="0070C0"/>
                <w:kern w:val="0"/>
                <w:lang w:val="es-ES" w:eastAsia="es-CR"/>
                <w14:ligatures w14:val="none"/>
              </w:rPr>
              <w:t>Button</w:t>
            </w:r>
            <w:proofErr w:type="spellEnd"/>
            <w:r w:rsidRPr="4C9C2619">
              <w:rPr>
                <w:rFonts w:ascii="Calibri" w:eastAsia="Times New Roman" w:hAnsi="Calibri" w:cs="Arial"/>
                <w:color w:val="0070C0"/>
                <w:kern w:val="0"/>
                <w:lang w:val="es-ES" w:eastAsia="es-CR"/>
                <w14:ligatures w14:val="none"/>
              </w:rPr>
              <w:t xml:space="preserve"> en la plataforma Moodle</w:t>
            </w:r>
          </w:p>
          <w:p w14:paraId="56828A2F"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p w14:paraId="68FC0CFB"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foro en la plataforma Moodle</w:t>
            </w:r>
          </w:p>
          <w:p w14:paraId="288AE635"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tc>
        <w:tc>
          <w:tcPr>
            <w:tcW w:w="3118" w:type="dxa"/>
          </w:tcPr>
          <w:p w14:paraId="73AE3DBE" w14:textId="77777777" w:rsidR="00B77F6A" w:rsidRPr="00B77F6A" w:rsidRDefault="00B77F6A" w:rsidP="00B77F6A">
            <w:pPr>
              <w:widowControl w:val="0"/>
              <w:numPr>
                <w:ilvl w:val="0"/>
                <w:numId w:val="137"/>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Realizar la lectura de la sesión.</w:t>
            </w:r>
          </w:p>
          <w:p w14:paraId="7E838E97" w14:textId="77777777" w:rsidR="00B77F6A" w:rsidRPr="00B77F6A" w:rsidRDefault="00B77F6A" w:rsidP="00B77F6A">
            <w:pPr>
              <w:widowControl w:val="0"/>
              <w:numPr>
                <w:ilvl w:val="0"/>
                <w:numId w:val="137"/>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Elaboración de una síntesis crítica sobre el tema de la sesión (tarea documental 2).</w:t>
            </w:r>
          </w:p>
          <w:p w14:paraId="18023EB4" w14:textId="77777777" w:rsidR="00B77F6A" w:rsidRPr="00B77F6A" w:rsidRDefault="00B77F6A" w:rsidP="00B77F6A">
            <w:pPr>
              <w:widowControl w:val="0"/>
              <w:numPr>
                <w:ilvl w:val="0"/>
                <w:numId w:val="137"/>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Disertación docente sobre el enfoque transversal y sistémico de la metodología en un encuentro sincrónico virtual.</w:t>
            </w:r>
          </w:p>
          <w:p w14:paraId="292C3F02" w14:textId="77777777" w:rsidR="00B77F6A" w:rsidRPr="00B77F6A" w:rsidRDefault="00B77F6A" w:rsidP="00B77F6A">
            <w:pPr>
              <w:widowControl w:val="0"/>
              <w:numPr>
                <w:ilvl w:val="0"/>
                <w:numId w:val="137"/>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temático grupal: Ejercicios metodológicos. </w:t>
            </w:r>
          </w:p>
        </w:tc>
      </w:tr>
      <w:tr w:rsidR="00B77F6A" w:rsidRPr="00B77F6A" w14:paraId="0D316021" w14:textId="77777777" w:rsidTr="4C9C2619">
        <w:trPr>
          <w:jc w:val="center"/>
        </w:trPr>
        <w:tc>
          <w:tcPr>
            <w:tcW w:w="1271" w:type="dxa"/>
          </w:tcPr>
          <w:p w14:paraId="5D47657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70C6AC9"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4</w:t>
            </w:r>
          </w:p>
          <w:p w14:paraId="526971B7"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323C6B5F"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2EFF8F2"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2: Género y sociedad</w:t>
            </w:r>
          </w:p>
          <w:p w14:paraId="5B2E492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p w14:paraId="19B97D4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2.1 Género, economía y estructura social</w:t>
            </w:r>
          </w:p>
          <w:p w14:paraId="7C08601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685B34E2"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0E08BCEA"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00440553" w14:textId="77777777" w:rsidR="00B77F6A" w:rsidRPr="00B77F6A" w:rsidRDefault="00B77F6A" w:rsidP="4C9C2619">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 xml:space="preserve">Boehler, Genilma. “Teorías, teologías, género e ideologías”. </w:t>
            </w:r>
            <w:r w:rsidRPr="4C9C2619">
              <w:rPr>
                <w:rFonts w:ascii="Calibri" w:eastAsia="Times New Roman" w:hAnsi="Calibri" w:cs="Arial"/>
                <w:i/>
                <w:iCs/>
                <w:color w:val="000000"/>
                <w:kern w:val="0"/>
                <w:lang w:val="es-ES" w:eastAsia="es-CR"/>
                <w14:ligatures w14:val="none"/>
              </w:rPr>
              <w:t xml:space="preserve">Vida y </w:t>
            </w:r>
            <w:r w:rsidRPr="4C9C2619">
              <w:rPr>
                <w:rFonts w:ascii="Calibri" w:eastAsia="Times New Roman" w:hAnsi="Calibri" w:cs="Arial"/>
                <w:i/>
                <w:iCs/>
                <w:color w:val="000000"/>
                <w:kern w:val="0"/>
                <w:lang w:val="es-ES" w:eastAsia="es-CR"/>
                <w14:ligatures w14:val="none"/>
              </w:rPr>
              <w:lastRenderedPageBreak/>
              <w:t>Pensamiento</w:t>
            </w:r>
            <w:r w:rsidRPr="4C9C2619">
              <w:rPr>
                <w:rFonts w:ascii="Calibri" w:eastAsia="Times New Roman" w:hAnsi="Calibri" w:cs="Arial"/>
                <w:color w:val="000000"/>
                <w:kern w:val="0"/>
                <w:lang w:val="es-ES" w:eastAsia="es-CR"/>
                <w14:ligatures w14:val="none"/>
              </w:rPr>
              <w:t xml:space="preserve"> 38, no. 1 (2018): 55-87.</w:t>
            </w:r>
          </w:p>
          <w:p w14:paraId="4C8CE9FD"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54F96886"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Lagarde, Marcela. “Claves feministas y nuevos horizontes”. En </w:t>
            </w:r>
            <w:r w:rsidRPr="00B77F6A">
              <w:rPr>
                <w:rFonts w:ascii="Calibri" w:eastAsia="Times New Roman" w:hAnsi="Calibri" w:cs="Arial"/>
                <w:i/>
                <w:color w:val="000000"/>
                <w:kern w:val="0"/>
                <w:lang w:val="es-ES_tradnl" w:eastAsia="es-CR"/>
                <w14:ligatures w14:val="none"/>
              </w:rPr>
              <w:t xml:space="preserve">La sociedad que las mujeres soñamos. Nuevas relaciones varón-mujer en un nuevo orden económico, </w:t>
            </w:r>
            <w:r w:rsidRPr="00B77F6A">
              <w:rPr>
                <w:rFonts w:ascii="Calibri" w:eastAsia="Times New Roman" w:hAnsi="Calibri" w:cs="Arial"/>
                <w:color w:val="000000"/>
                <w:kern w:val="0"/>
                <w:lang w:val="es-ES_tradnl" w:eastAsia="es-CR"/>
                <w14:ligatures w14:val="none"/>
              </w:rPr>
              <w:t xml:space="preserve">editado por Elsa Támez, 89-105. San José: DEI, 2001. </w:t>
            </w:r>
            <w:r w:rsidRPr="00B77F6A">
              <w:rPr>
                <w:rFonts w:ascii="Calibri" w:eastAsia="Times New Roman" w:hAnsi="Calibri" w:cs="Arial"/>
                <w:color w:val="0070C0"/>
                <w:kern w:val="0"/>
                <w:lang w:val="es-ES_tradnl" w:eastAsia="es-CR"/>
                <w14:ligatures w14:val="none"/>
              </w:rPr>
              <w:t>(clásico, última edición)</w:t>
            </w:r>
          </w:p>
          <w:p w14:paraId="7F2BCE31"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4E92351F"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Calibri"/>
                <w:b/>
                <w:noProof/>
                <w:color w:val="0070C0"/>
                <w:kern w:val="0"/>
                <w:szCs w:val="20"/>
                <w:lang w:val="es-ES_tradnl" w:eastAsia="es-CR"/>
                <w14:ligatures w14:val="none"/>
              </w:rPr>
            </w:pPr>
          </w:p>
          <w:p w14:paraId="5A0CC1E6"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36777404"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Calibri"/>
                <w:b/>
                <w:noProof/>
                <w:color w:val="0070C0"/>
                <w:kern w:val="0"/>
                <w:szCs w:val="20"/>
                <w:lang w:val="es-ES_tradnl" w:eastAsia="es-CR"/>
                <w14:ligatures w14:val="none"/>
              </w:rPr>
            </w:pPr>
          </w:p>
          <w:p w14:paraId="1FAA80AB"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Cs/>
                <w:color w:val="00000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en un foro en la plataforma Moodle</w:t>
            </w:r>
          </w:p>
        </w:tc>
        <w:tc>
          <w:tcPr>
            <w:tcW w:w="3118" w:type="dxa"/>
          </w:tcPr>
          <w:p w14:paraId="6B16D0F9" w14:textId="77777777" w:rsidR="00B77F6A" w:rsidRPr="00B77F6A" w:rsidRDefault="00B77F6A" w:rsidP="00B77F6A">
            <w:pPr>
              <w:widowControl w:val="0"/>
              <w:numPr>
                <w:ilvl w:val="0"/>
                <w:numId w:val="138"/>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lastRenderedPageBreak/>
              <w:t xml:space="preserve">Realizar la lectura de los textos sobre economía feminista y jurisprudencia con perspectiva de género. </w:t>
            </w:r>
          </w:p>
          <w:p w14:paraId="655BCAC7" w14:textId="77777777" w:rsidR="00B77F6A" w:rsidRPr="00B77F6A" w:rsidRDefault="00B77F6A" w:rsidP="00B77F6A">
            <w:pPr>
              <w:widowControl w:val="0"/>
              <w:numPr>
                <w:ilvl w:val="0"/>
                <w:numId w:val="138"/>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Investigación y análisis de </w:t>
            </w:r>
            <w:r w:rsidRPr="00B77F6A">
              <w:rPr>
                <w:rFonts w:ascii="Calibri" w:eastAsia="Calibri" w:hAnsi="Calibri" w:cs="Calibri"/>
                <w:color w:val="000000"/>
                <w:kern w:val="0"/>
                <w14:ligatures w14:val="none"/>
              </w:rPr>
              <w:lastRenderedPageBreak/>
              <w:t xml:space="preserve">una situación que refleje desigualdad económica o legal por la condición de género (tarea analítica 1). </w:t>
            </w:r>
          </w:p>
          <w:p w14:paraId="0D7F2AE8" w14:textId="77777777" w:rsidR="00B77F6A" w:rsidRPr="00B77F6A" w:rsidRDefault="00B77F6A" w:rsidP="00B77F6A">
            <w:pPr>
              <w:widowControl w:val="0"/>
              <w:numPr>
                <w:ilvl w:val="0"/>
                <w:numId w:val="138"/>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Presentación (entrega) individual de los resultados de la investigación a través del foro grupal.</w:t>
            </w:r>
          </w:p>
          <w:p w14:paraId="629DCE5C" w14:textId="77777777" w:rsidR="00B77F6A" w:rsidRPr="00B77F6A" w:rsidRDefault="00B77F6A" w:rsidP="00B77F6A">
            <w:pPr>
              <w:widowControl w:val="0"/>
              <w:numPr>
                <w:ilvl w:val="0"/>
                <w:numId w:val="138"/>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Retroalimentación y debate grupal sobre los casos presentados en el foro grupal.</w:t>
            </w:r>
          </w:p>
          <w:p w14:paraId="5B029595" w14:textId="77777777" w:rsidR="00B77F6A" w:rsidRPr="00B77F6A" w:rsidRDefault="00B77F6A" w:rsidP="00B77F6A">
            <w:pPr>
              <w:widowControl w:val="0"/>
              <w:numPr>
                <w:ilvl w:val="0"/>
                <w:numId w:val="138"/>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Puntualizaciones teóricas para el análisis en el foro grupal. </w:t>
            </w:r>
          </w:p>
        </w:tc>
      </w:tr>
      <w:tr w:rsidR="00B77F6A" w:rsidRPr="00B77F6A" w14:paraId="23795750" w14:textId="77777777" w:rsidTr="4C9C2619">
        <w:trPr>
          <w:jc w:val="center"/>
        </w:trPr>
        <w:tc>
          <w:tcPr>
            <w:tcW w:w="1271" w:type="dxa"/>
          </w:tcPr>
          <w:p w14:paraId="3A41942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00DD5E8F"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5</w:t>
            </w:r>
          </w:p>
          <w:p w14:paraId="478144E1"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453C36AB"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320A15A3"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2: Género y sociedad</w:t>
            </w:r>
          </w:p>
          <w:p w14:paraId="47ECEE0C"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p w14:paraId="67752869"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2.2 Roles de género y equidad social</w:t>
            </w:r>
          </w:p>
          <w:p w14:paraId="149C2D1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_tradnl" w:eastAsia="es-CR"/>
                <w14:ligatures w14:val="none"/>
              </w:rPr>
            </w:pPr>
          </w:p>
        </w:tc>
        <w:tc>
          <w:tcPr>
            <w:tcW w:w="2835" w:type="dxa"/>
          </w:tcPr>
          <w:p w14:paraId="467BC41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151EB1A6"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5591FA7B"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Bonilla, Amparo. “Los roles de género”. En </w:t>
            </w:r>
            <w:r w:rsidRPr="00B77F6A">
              <w:rPr>
                <w:rFonts w:ascii="Calibri" w:eastAsia="Times New Roman" w:hAnsi="Calibri" w:cs="Arial"/>
                <w:i/>
                <w:color w:val="000000"/>
                <w:kern w:val="0"/>
                <w:lang w:val="es-ES_tradnl" w:eastAsia="es-CR"/>
                <w14:ligatures w14:val="none"/>
              </w:rPr>
              <w:t xml:space="preserve">Género y Sociedad, </w:t>
            </w:r>
            <w:r w:rsidRPr="00B77F6A">
              <w:rPr>
                <w:rFonts w:ascii="Calibri" w:eastAsia="Times New Roman" w:hAnsi="Calibri" w:cs="Arial"/>
                <w:color w:val="000000"/>
                <w:kern w:val="0"/>
                <w:lang w:val="es-ES_tradnl" w:eastAsia="es-CR"/>
                <w14:ligatures w14:val="none"/>
              </w:rPr>
              <w:t xml:space="preserve">coordinado por Juan Fernández Sánchez, 141-176. Madrid: Pirámide, 1998. </w:t>
            </w:r>
            <w:r w:rsidRPr="00B77F6A">
              <w:rPr>
                <w:rFonts w:ascii="Calibri" w:eastAsia="Times New Roman" w:hAnsi="Calibri" w:cs="Arial"/>
                <w:color w:val="0070C0"/>
                <w:kern w:val="0"/>
                <w:lang w:val="es-ES_tradnl" w:eastAsia="es-CR"/>
                <w14:ligatures w14:val="none"/>
              </w:rPr>
              <w:t>(clásico, última edición)</w:t>
            </w:r>
          </w:p>
          <w:p w14:paraId="5C431DF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15E1926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09BA550F"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Montaño, Sonia, ed. “Hacia un horizonte paritario en América Latina y el Caribe: representación política de las mujeres.” En </w:t>
            </w:r>
            <w:r w:rsidRPr="00B77F6A">
              <w:rPr>
                <w:rFonts w:ascii="Calibri" w:eastAsia="Times New Roman" w:hAnsi="Calibri" w:cs="Arial"/>
                <w:i/>
                <w:color w:val="000000"/>
                <w:kern w:val="0"/>
                <w:lang w:val="es-ES_tradnl" w:eastAsia="es-CR"/>
                <w14:ligatures w14:val="none"/>
              </w:rPr>
              <w:t>El aporte de las mujeres a la igualdad en América Latina y el Caribe</w:t>
            </w:r>
            <w:r w:rsidRPr="00B77F6A">
              <w:rPr>
                <w:rFonts w:ascii="Calibri" w:eastAsia="Times New Roman" w:hAnsi="Calibri" w:cs="Arial"/>
                <w:color w:val="000000"/>
                <w:kern w:val="0"/>
                <w:lang w:val="es-ES_tradnl" w:eastAsia="es-CR"/>
                <w14:ligatures w14:val="none"/>
              </w:rPr>
              <w:t xml:space="preserve">, 7-42. Quito: CEPAL: 2007. </w:t>
            </w:r>
            <w:r w:rsidRPr="00B77F6A">
              <w:rPr>
                <w:rFonts w:ascii="Calibri" w:eastAsia="Times New Roman" w:hAnsi="Calibri" w:cs="Arial"/>
                <w:color w:val="0070C0"/>
                <w:kern w:val="0"/>
                <w:lang w:val="es-ES_tradnl" w:eastAsia="es-CR"/>
                <w14:ligatures w14:val="none"/>
              </w:rPr>
              <w:t>(clásico, última edición)</w:t>
            </w:r>
          </w:p>
          <w:p w14:paraId="4C5DD98B"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476F9312"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0000"/>
                <w:kern w:val="0"/>
                <w:lang w:val="es-ES_tradnl" w:eastAsia="es-CR"/>
                <w14:ligatures w14:val="none"/>
              </w:rPr>
            </w:pPr>
          </w:p>
          <w:p w14:paraId="1E69F0C2"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lastRenderedPageBreak/>
              <w:t>Material complementario</w:t>
            </w:r>
          </w:p>
          <w:p w14:paraId="6146066F"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Calibri"/>
                <w:b/>
                <w:noProof/>
                <w:color w:val="0070C0"/>
                <w:kern w:val="0"/>
                <w:szCs w:val="20"/>
                <w:lang w:val="es-ES_tradnl" w:eastAsia="es-CR"/>
                <w14:ligatures w14:val="none"/>
              </w:rPr>
            </w:pPr>
          </w:p>
          <w:p w14:paraId="5671C6DC"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Cs/>
                <w:color w:val="00000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en un foro en la plataforma Moodle</w:t>
            </w:r>
          </w:p>
        </w:tc>
        <w:tc>
          <w:tcPr>
            <w:tcW w:w="3118" w:type="dxa"/>
          </w:tcPr>
          <w:p w14:paraId="65E6CD65" w14:textId="77777777" w:rsidR="00B77F6A" w:rsidRPr="00B77F6A" w:rsidRDefault="00B77F6A" w:rsidP="00B77F6A">
            <w:pPr>
              <w:widowControl w:val="0"/>
              <w:numPr>
                <w:ilvl w:val="0"/>
                <w:numId w:val="139"/>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lastRenderedPageBreak/>
              <w:t>Sistematización de claves de análisis de los roles de género y la organización social (tarea documental 3).</w:t>
            </w:r>
          </w:p>
          <w:p w14:paraId="626295F9" w14:textId="77777777" w:rsidR="00B77F6A" w:rsidRPr="00B77F6A" w:rsidRDefault="00B77F6A" w:rsidP="00B77F6A">
            <w:pPr>
              <w:widowControl w:val="0"/>
              <w:numPr>
                <w:ilvl w:val="0"/>
                <w:numId w:val="139"/>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Profundización docente sobre el tema en el foro grupal.</w:t>
            </w:r>
          </w:p>
          <w:p w14:paraId="7B205C14" w14:textId="77777777" w:rsidR="00B77F6A" w:rsidRPr="00B77F6A" w:rsidRDefault="00B77F6A" w:rsidP="00B77F6A">
            <w:pPr>
              <w:widowControl w:val="0"/>
              <w:numPr>
                <w:ilvl w:val="0"/>
                <w:numId w:val="139"/>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Análisis grupal sobre roles de género con material gráfico en el foro grupal.</w:t>
            </w:r>
          </w:p>
        </w:tc>
      </w:tr>
      <w:tr w:rsidR="00B77F6A" w:rsidRPr="00B77F6A" w14:paraId="405ABF97" w14:textId="77777777" w:rsidTr="4C9C2619">
        <w:trPr>
          <w:jc w:val="center"/>
        </w:trPr>
        <w:tc>
          <w:tcPr>
            <w:tcW w:w="1271" w:type="dxa"/>
          </w:tcPr>
          <w:p w14:paraId="01176F3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7B12013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6</w:t>
            </w:r>
          </w:p>
          <w:p w14:paraId="7CC6A22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6B48B16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ECB800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2: Género y sociedad</w:t>
            </w:r>
          </w:p>
          <w:p w14:paraId="3FFBA03A"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p w14:paraId="333EAB6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2.3 Diversidad e inclusión social</w:t>
            </w:r>
          </w:p>
          <w:p w14:paraId="06439D6A"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2835" w:type="dxa"/>
          </w:tcPr>
          <w:p w14:paraId="6AFAA80C"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2D0DCB92"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color w:val="000000"/>
                <w:kern w:val="0"/>
                <w:lang w:val="es-ES_tradnl" w:eastAsia="es-CR"/>
                <w14:ligatures w14:val="none"/>
              </w:rPr>
            </w:pPr>
          </w:p>
          <w:p w14:paraId="05477995"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Baltodano, Mireya. “La transversalidad de género”. En </w:t>
            </w:r>
            <w:r w:rsidRPr="00B77F6A">
              <w:rPr>
                <w:rFonts w:ascii="Calibri" w:eastAsia="Times New Roman" w:hAnsi="Calibri" w:cs="Arial"/>
                <w:i/>
                <w:color w:val="000000"/>
                <w:kern w:val="0"/>
                <w:lang w:val="es-ES_tradnl" w:eastAsia="es-CR"/>
                <w14:ligatures w14:val="none"/>
              </w:rPr>
              <w:t xml:space="preserve">Dimensiones del cuidado y asesoramiento pastoral. Aportes desde América Latina y el Caribe, </w:t>
            </w:r>
            <w:r w:rsidRPr="00B77F6A">
              <w:rPr>
                <w:rFonts w:ascii="Calibri" w:eastAsia="Times New Roman" w:hAnsi="Calibri" w:cs="Arial"/>
                <w:color w:val="000000"/>
                <w:kern w:val="0"/>
                <w:lang w:val="es-ES_tradnl" w:eastAsia="es-CR"/>
                <w14:ligatures w14:val="none"/>
              </w:rPr>
              <w:t xml:space="preserve">editado por Hugo N. Santos, 353-364. Buenos Aires: Aurora, 2006. </w:t>
            </w:r>
            <w:r w:rsidRPr="00B77F6A">
              <w:rPr>
                <w:rFonts w:ascii="Calibri" w:eastAsia="Times New Roman" w:hAnsi="Calibri" w:cs="Arial"/>
                <w:color w:val="0070C0"/>
                <w:kern w:val="0"/>
                <w:lang w:val="es-ES_tradnl" w:eastAsia="es-CR"/>
                <w14:ligatures w14:val="none"/>
              </w:rPr>
              <w:t>(clásico, última edición)</w:t>
            </w:r>
          </w:p>
          <w:p w14:paraId="220FFEEE"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color w:val="000000"/>
                <w:kern w:val="0"/>
                <w:lang w:val="es-ES_tradnl" w:eastAsia="es-CR"/>
                <w14:ligatures w14:val="none"/>
              </w:rPr>
            </w:pPr>
          </w:p>
          <w:p w14:paraId="5AB3B3F8"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Material complementario</w:t>
            </w:r>
          </w:p>
          <w:p w14:paraId="3B0C242F"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b/>
                <w:color w:val="000000"/>
                <w:kern w:val="0"/>
                <w:lang w:val="es-ES_tradnl" w:eastAsia="es-CR"/>
                <w14:ligatures w14:val="none"/>
              </w:rPr>
            </w:pPr>
          </w:p>
          <w:p w14:paraId="5BD4F8E9"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color w:val="0070C0"/>
                <w:kern w:val="0"/>
                <w:lang w:val="es-ES_tradnl" w:eastAsia="es-CR"/>
                <w14:ligatures w14:val="none"/>
              </w:rPr>
            </w:pPr>
            <w:r w:rsidRPr="00B77F6A">
              <w:rPr>
                <w:rFonts w:ascii="Calibri" w:eastAsia="Times New Roman" w:hAnsi="Calibri" w:cs="Calibri"/>
                <w:bCs/>
                <w:kern w:val="0"/>
                <w:lang w:val="pt-BR" w:eastAsia="es-CR"/>
                <w14:ligatures w14:val="none"/>
              </w:rPr>
              <w:t xml:space="preserve">Yuval-Davis, Nira. “Etnicidad, relaciones de género y multiculturalismo”. </w:t>
            </w:r>
            <w:r w:rsidRPr="00B77F6A">
              <w:rPr>
                <w:rFonts w:ascii="Calibri" w:eastAsia="Times New Roman" w:hAnsi="Calibri" w:cs="Calibri"/>
                <w:bCs/>
                <w:kern w:val="0"/>
                <w:lang w:val="es-ES_tradnl" w:eastAsia="es-CR"/>
                <w14:ligatures w14:val="none"/>
              </w:rPr>
              <w:t xml:space="preserve">En </w:t>
            </w:r>
            <w:r w:rsidRPr="00B77F6A">
              <w:rPr>
                <w:rFonts w:ascii="Calibri" w:eastAsia="Times New Roman" w:hAnsi="Calibri" w:cs="Calibri"/>
                <w:bCs/>
                <w:i/>
                <w:kern w:val="0"/>
                <w:lang w:val="es-ES_tradnl" w:eastAsia="es-CR"/>
                <w14:ligatures w14:val="none"/>
              </w:rPr>
              <w:t>Nación, diversidad y género: perspectivas críticas</w:t>
            </w:r>
            <w:r w:rsidRPr="00B77F6A">
              <w:rPr>
                <w:rFonts w:ascii="Calibri" w:eastAsia="Times New Roman" w:hAnsi="Calibri" w:cs="Calibri"/>
                <w:bCs/>
                <w:kern w:val="0"/>
                <w:lang w:val="es-ES_tradnl" w:eastAsia="es-CR"/>
                <w14:ligatures w14:val="none"/>
              </w:rPr>
              <w:t xml:space="preserve">, coordinado por Patricia Bastida Rodríguez, Carla Rodríguez González e Isabel Carrera Suárez, 64-86. Barcelona: </w:t>
            </w:r>
            <w:proofErr w:type="spellStart"/>
            <w:r w:rsidRPr="00B77F6A">
              <w:rPr>
                <w:rFonts w:ascii="Calibri" w:eastAsia="Times New Roman" w:hAnsi="Calibri" w:cs="Calibri"/>
                <w:bCs/>
                <w:kern w:val="0"/>
                <w:lang w:val="es-ES_tradnl" w:eastAsia="es-CR"/>
                <w14:ligatures w14:val="none"/>
              </w:rPr>
              <w:t>Anthropos</w:t>
            </w:r>
            <w:proofErr w:type="spellEnd"/>
            <w:r w:rsidRPr="00B77F6A">
              <w:rPr>
                <w:rFonts w:ascii="Calibri" w:eastAsia="Times New Roman" w:hAnsi="Calibri" w:cs="Calibri"/>
                <w:bCs/>
                <w:kern w:val="0"/>
                <w:lang w:val="es-ES_tradnl" w:eastAsia="es-CR"/>
                <w14:ligatures w14:val="none"/>
              </w:rPr>
              <w:t xml:space="preserve">, 2010. </w:t>
            </w:r>
            <w:r w:rsidRPr="00B77F6A">
              <w:rPr>
                <w:rFonts w:ascii="Calibri" w:eastAsia="Times New Roman" w:hAnsi="Calibri" w:cs="Arial"/>
                <w:color w:val="0070C0"/>
                <w:kern w:val="0"/>
                <w:lang w:val="es-ES_tradnl" w:eastAsia="es-CR"/>
                <w14:ligatures w14:val="none"/>
              </w:rPr>
              <w:t>(clásico, última edición)</w:t>
            </w:r>
          </w:p>
          <w:p w14:paraId="145DFAAF" w14:textId="77777777" w:rsidR="00B77F6A" w:rsidRPr="00B77F6A" w:rsidRDefault="00B77F6A" w:rsidP="00B77F6A">
            <w:pPr>
              <w:autoSpaceDE w:val="0"/>
              <w:autoSpaceDN w:val="0"/>
              <w:adjustRightInd w:val="0"/>
              <w:spacing w:after="0" w:line="240" w:lineRule="auto"/>
              <w:ind w:left="-43"/>
              <w:rPr>
                <w:rFonts w:ascii="Calibri" w:eastAsia="Times New Roman" w:hAnsi="Calibri" w:cs="Calibri"/>
                <w:bCs/>
                <w:kern w:val="0"/>
                <w:lang w:val="es-ES_tradnl" w:eastAsia="es-CR"/>
                <w14:ligatures w14:val="none"/>
              </w:rPr>
            </w:pPr>
          </w:p>
          <w:p w14:paraId="7466BE99" w14:textId="77777777" w:rsidR="00B77F6A" w:rsidRPr="00B77F6A" w:rsidRDefault="00B77F6A" w:rsidP="00B77F6A">
            <w:pPr>
              <w:autoSpaceDE w:val="0"/>
              <w:autoSpaceDN w:val="0"/>
              <w:adjustRightInd w:val="0"/>
              <w:spacing w:after="0" w:line="240" w:lineRule="auto"/>
              <w:ind w:left="-43"/>
              <w:rPr>
                <w:rFonts w:ascii="Calibri" w:eastAsia="Times New Roman" w:hAnsi="Calibri" w:cs="Arial"/>
                <w:color w:val="000000"/>
                <w:kern w:val="0"/>
                <w:lang w:val="es-ES_tradnl" w:eastAsia="es-CR"/>
                <w14:ligatures w14:val="none"/>
              </w:rPr>
            </w:pPr>
            <w:r w:rsidRPr="00B77F6A">
              <w:rPr>
                <w:rFonts w:ascii="Calibri" w:eastAsia="Times New Roman" w:hAnsi="Calibri" w:cs="Calibri"/>
                <w:bCs/>
                <w:color w:val="0070C0"/>
                <w:kern w:val="0"/>
                <w:lang w:val="es-ES_tradnl" w:eastAsia="es-CR"/>
                <w14:ligatures w14:val="none"/>
              </w:rPr>
              <w:t>Guía para la participación en un foro en la plataforma Moodle</w:t>
            </w:r>
          </w:p>
          <w:p w14:paraId="24AAE82C" w14:textId="77777777" w:rsidR="00B77F6A" w:rsidRPr="00B77F6A" w:rsidRDefault="00B77F6A" w:rsidP="00B77F6A">
            <w:pPr>
              <w:autoSpaceDE w:val="0"/>
              <w:autoSpaceDN w:val="0"/>
              <w:adjustRightInd w:val="0"/>
              <w:spacing w:after="0" w:line="240" w:lineRule="auto"/>
              <w:ind w:left="-43"/>
              <w:rPr>
                <w:rFonts w:ascii="Calibri" w:eastAsia="Times New Roman" w:hAnsi="Calibri" w:cs="Times New Roman"/>
                <w:kern w:val="0"/>
                <w:lang w:val="es-ES_tradnl" w:eastAsia="es-CR"/>
                <w14:ligatures w14:val="none"/>
              </w:rPr>
            </w:pPr>
          </w:p>
        </w:tc>
        <w:tc>
          <w:tcPr>
            <w:tcW w:w="3118" w:type="dxa"/>
          </w:tcPr>
          <w:p w14:paraId="4B99ABBD" w14:textId="77777777" w:rsidR="00B77F6A" w:rsidRPr="00B77F6A" w:rsidRDefault="00B77F6A" w:rsidP="00B77F6A">
            <w:pPr>
              <w:widowControl w:val="0"/>
              <w:numPr>
                <w:ilvl w:val="0"/>
                <w:numId w:val="140"/>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Realizar la lectura de la sesión.</w:t>
            </w:r>
          </w:p>
          <w:p w14:paraId="615E3DA3" w14:textId="77777777" w:rsidR="00B77F6A" w:rsidRPr="00B77F6A" w:rsidRDefault="00B77F6A" w:rsidP="00B77F6A">
            <w:pPr>
              <w:widowControl w:val="0"/>
              <w:numPr>
                <w:ilvl w:val="0"/>
                <w:numId w:val="140"/>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Elaboración de un ensayo crítico sobre textos asignados (tarea documental 4). </w:t>
            </w:r>
          </w:p>
          <w:p w14:paraId="776F7718" w14:textId="77777777" w:rsidR="00B77F6A" w:rsidRPr="00B77F6A" w:rsidRDefault="00B77F6A" w:rsidP="00B77F6A">
            <w:pPr>
              <w:widowControl w:val="0"/>
              <w:numPr>
                <w:ilvl w:val="0"/>
                <w:numId w:val="140"/>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temático grupal: Diversidad sexual, donde se realizará un debate a través de narraciones y testimonios. </w:t>
            </w:r>
          </w:p>
          <w:p w14:paraId="0A38CE9B" w14:textId="77777777" w:rsidR="00B77F6A" w:rsidRPr="00B77F6A" w:rsidRDefault="00B77F6A" w:rsidP="00B77F6A">
            <w:pPr>
              <w:widowControl w:val="0"/>
              <w:numPr>
                <w:ilvl w:val="0"/>
                <w:numId w:val="140"/>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Exposición docente sobre el tema en el foro temático grupal. </w:t>
            </w:r>
          </w:p>
        </w:tc>
      </w:tr>
      <w:tr w:rsidR="00B77F6A" w:rsidRPr="00B77F6A" w14:paraId="308C50E1" w14:textId="77777777" w:rsidTr="4C9C2619">
        <w:trPr>
          <w:jc w:val="center"/>
        </w:trPr>
        <w:tc>
          <w:tcPr>
            <w:tcW w:w="1271" w:type="dxa"/>
          </w:tcPr>
          <w:p w14:paraId="7474CEE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403380D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7</w:t>
            </w:r>
          </w:p>
          <w:p w14:paraId="12E18B4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71A7C80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4CB0993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3: Género e identidad</w:t>
            </w:r>
          </w:p>
          <w:p w14:paraId="2DF2BE8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54832770"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 xml:space="preserve">3.1 Biología, cultura y género </w:t>
            </w:r>
          </w:p>
        </w:tc>
        <w:tc>
          <w:tcPr>
            <w:tcW w:w="2835" w:type="dxa"/>
          </w:tcPr>
          <w:p w14:paraId="468CE5F4"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265E9B8E"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16826F3B"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Butler, Judith. “Actos corporales subversivos”. En </w:t>
            </w:r>
            <w:r w:rsidRPr="00B77F6A">
              <w:rPr>
                <w:rFonts w:ascii="Calibri" w:eastAsia="Times New Roman" w:hAnsi="Calibri" w:cs="Arial"/>
                <w:i/>
                <w:color w:val="000000"/>
                <w:kern w:val="0"/>
                <w:lang w:val="es-ES_tradnl" w:eastAsia="es-CR"/>
                <w14:ligatures w14:val="none"/>
              </w:rPr>
              <w:t xml:space="preserve">El género en disputa. El feminismo y la subversión de la identidad, </w:t>
            </w:r>
            <w:r w:rsidRPr="00B77F6A">
              <w:rPr>
                <w:rFonts w:ascii="Calibri" w:eastAsia="Times New Roman" w:hAnsi="Calibri" w:cs="Arial"/>
                <w:color w:val="000000"/>
                <w:kern w:val="0"/>
                <w:lang w:val="es-ES_tradnl" w:eastAsia="es-CR"/>
                <w14:ligatures w14:val="none"/>
              </w:rPr>
              <w:t>173-275.</w:t>
            </w:r>
            <w:r w:rsidRPr="00B77F6A">
              <w:rPr>
                <w:rFonts w:ascii="Calibri" w:eastAsia="Times New Roman" w:hAnsi="Calibri" w:cs="Arial"/>
                <w:i/>
                <w:color w:val="000000"/>
                <w:kern w:val="0"/>
                <w:lang w:val="es-ES_tradnl" w:eastAsia="es-CR"/>
                <w14:ligatures w14:val="none"/>
              </w:rPr>
              <w:t xml:space="preserve"> </w:t>
            </w:r>
            <w:r w:rsidRPr="00B77F6A">
              <w:rPr>
                <w:rFonts w:ascii="Calibri" w:eastAsia="Times New Roman" w:hAnsi="Calibri" w:cs="Arial"/>
                <w:color w:val="000000"/>
                <w:kern w:val="0"/>
                <w:lang w:val="es-ES_tradnl" w:eastAsia="es-CR"/>
                <w14:ligatures w14:val="none"/>
              </w:rPr>
              <w:t xml:space="preserve">Barcelona: Paidós, 2007. </w:t>
            </w:r>
            <w:r w:rsidRPr="00B77F6A">
              <w:rPr>
                <w:rFonts w:ascii="Calibri" w:eastAsia="Times New Roman" w:hAnsi="Calibri" w:cs="Arial"/>
                <w:color w:val="000000"/>
                <w:kern w:val="0"/>
                <w:lang w:val="es-ES_tradnl" w:eastAsia="es-CR"/>
                <w14:ligatures w14:val="none"/>
              </w:rPr>
              <w:lastRenderedPageBreak/>
              <w:t>(</w:t>
            </w:r>
            <w:r w:rsidRPr="00B77F6A">
              <w:rPr>
                <w:rFonts w:ascii="Calibri" w:eastAsia="Times New Roman" w:hAnsi="Calibri" w:cs="Arial"/>
                <w:color w:val="0070C0"/>
                <w:kern w:val="0"/>
                <w:lang w:val="es-ES_tradnl" w:eastAsia="es-CR"/>
                <w14:ligatures w14:val="none"/>
              </w:rPr>
              <w:t>Clásico, última reimpresión, 2023)</w:t>
            </w:r>
          </w:p>
          <w:p w14:paraId="24F1D957" w14:textId="77777777" w:rsidR="00B77F6A" w:rsidRPr="00B77F6A" w:rsidRDefault="00B77F6A" w:rsidP="00B77F6A">
            <w:pPr>
              <w:autoSpaceDE w:val="0"/>
              <w:autoSpaceDN w:val="0"/>
              <w:adjustRightInd w:val="0"/>
              <w:spacing w:after="0" w:line="240" w:lineRule="auto"/>
              <w:rPr>
                <w:rFonts w:ascii="Calibri" w:eastAsia="Times New Roman" w:hAnsi="Calibri" w:cs="Arial"/>
                <w:kern w:val="0"/>
                <w:lang w:val="es-ES_tradnl" w:eastAsia="es-CR"/>
                <w14:ligatures w14:val="none"/>
              </w:rPr>
            </w:pPr>
          </w:p>
          <w:p w14:paraId="6D2BAD34"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Material complementario</w:t>
            </w:r>
          </w:p>
          <w:p w14:paraId="3FA0927C"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p>
          <w:p w14:paraId="0E207CC9" w14:textId="77777777" w:rsidR="00B77F6A" w:rsidRPr="00B77F6A" w:rsidRDefault="00B77F6A" w:rsidP="00B77F6A">
            <w:pPr>
              <w:widowControl w:val="0"/>
              <w:overflowPunct w:val="0"/>
              <w:autoSpaceDE w:val="0"/>
              <w:autoSpaceDN w:val="0"/>
              <w:adjustRightInd w:val="0"/>
              <w:spacing w:before="240" w:after="240" w:line="276" w:lineRule="auto"/>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kern w:val="0"/>
                <w:lang w:val="es-ES_tradnl" w:eastAsia="es-CR"/>
                <w14:ligatures w14:val="none"/>
              </w:rPr>
              <w:t xml:space="preserve">Guzmán Ordaz, Raquel y María Jiménez Rodrigo. “La interseccionalidad como instrumento analítico de interpelación en la violencia de género”. </w:t>
            </w:r>
            <w:r w:rsidRPr="00B77F6A">
              <w:rPr>
                <w:rFonts w:ascii="Calibri" w:eastAsia="Times New Roman" w:hAnsi="Calibri" w:cs="Calibri"/>
                <w:bCs/>
                <w:i/>
                <w:kern w:val="0"/>
                <w:lang w:val="es-ES_tradnl" w:eastAsia="es-CR"/>
                <w14:ligatures w14:val="none"/>
              </w:rPr>
              <w:t xml:space="preserve">Oñati Socio-Legal Series </w:t>
            </w:r>
            <w:r w:rsidRPr="00B77F6A">
              <w:rPr>
                <w:rFonts w:ascii="Calibri" w:eastAsia="Times New Roman" w:hAnsi="Calibri" w:cs="Calibri"/>
                <w:bCs/>
                <w:kern w:val="0"/>
                <w:lang w:val="es-ES_tradnl" w:eastAsia="es-CR"/>
                <w14:ligatures w14:val="none"/>
              </w:rPr>
              <w:t xml:space="preserve">5, n. 2 (2015): 596-612. Acceso el 18 de diciembre de 2020. </w:t>
            </w:r>
            <w:hyperlink r:id="rId244" w:history="1">
              <w:r w:rsidRPr="00B77F6A">
                <w:rPr>
                  <w:rFonts w:ascii="Calibri" w:eastAsia="Times New Roman" w:hAnsi="Calibri" w:cs="Calibri"/>
                  <w:bCs/>
                  <w:color w:val="0000FF"/>
                  <w:kern w:val="0"/>
                  <w:u w:val="single"/>
                  <w:lang w:val="es-ES_tradnl" w:eastAsia="es-CR"/>
                  <w14:ligatures w14:val="none"/>
                </w:rPr>
                <w:t>https://papers.ssrn.com/sol3/papers.cfm?abstract_id=2611644</w:t>
              </w:r>
            </w:hyperlink>
          </w:p>
          <w:p w14:paraId="0F5FE76A"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6D3D906B"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foro en la plataforma Moodle</w:t>
            </w:r>
          </w:p>
          <w:p w14:paraId="6DDA3A93"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tc>
        <w:tc>
          <w:tcPr>
            <w:tcW w:w="3118" w:type="dxa"/>
          </w:tcPr>
          <w:p w14:paraId="68061435" w14:textId="77777777" w:rsidR="00B77F6A" w:rsidRPr="00B77F6A" w:rsidRDefault="00B77F6A" w:rsidP="00B77F6A">
            <w:pPr>
              <w:widowControl w:val="0"/>
              <w:numPr>
                <w:ilvl w:val="0"/>
                <w:numId w:val="141"/>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lastRenderedPageBreak/>
              <w:t>Realizar la lectura del texto asignado sobre corporalidad.</w:t>
            </w:r>
          </w:p>
          <w:p w14:paraId="4C422A5E" w14:textId="77777777" w:rsidR="00B77F6A" w:rsidRPr="00B77F6A" w:rsidRDefault="00B77F6A" w:rsidP="00B77F6A">
            <w:pPr>
              <w:widowControl w:val="0"/>
              <w:numPr>
                <w:ilvl w:val="0"/>
                <w:numId w:val="141"/>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Análisis de testimonios provistos utilizando los aportes teóricos de la lectura (tarea analítica 2). </w:t>
            </w:r>
          </w:p>
          <w:p w14:paraId="21602E51" w14:textId="77777777" w:rsidR="00B77F6A" w:rsidRPr="00B77F6A" w:rsidRDefault="00B77F6A" w:rsidP="00B77F6A">
            <w:pPr>
              <w:widowControl w:val="0"/>
              <w:numPr>
                <w:ilvl w:val="0"/>
                <w:numId w:val="141"/>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lastRenderedPageBreak/>
              <w:t xml:space="preserve">Profundización docente sobre el tema en el foro grupal. </w:t>
            </w:r>
          </w:p>
          <w:p w14:paraId="01DDAEEC" w14:textId="77777777" w:rsidR="00B77F6A" w:rsidRPr="00B77F6A" w:rsidRDefault="00B77F6A" w:rsidP="00B77F6A">
            <w:pPr>
              <w:widowControl w:val="0"/>
              <w:numPr>
                <w:ilvl w:val="0"/>
                <w:numId w:val="141"/>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grupal para debatir sobre los testimonios analizados. </w:t>
            </w:r>
          </w:p>
        </w:tc>
      </w:tr>
      <w:tr w:rsidR="00B77F6A" w:rsidRPr="00B77F6A" w14:paraId="485F8B4C" w14:textId="77777777" w:rsidTr="4C9C2619">
        <w:trPr>
          <w:jc w:val="center"/>
        </w:trPr>
        <w:tc>
          <w:tcPr>
            <w:tcW w:w="1271" w:type="dxa"/>
          </w:tcPr>
          <w:p w14:paraId="1207839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4550C72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8</w:t>
            </w:r>
          </w:p>
          <w:p w14:paraId="46F5B21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5ABEAED1"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0456F2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3: Género e identidad</w:t>
            </w:r>
          </w:p>
          <w:p w14:paraId="62C6F6B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05F40E3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3.2 Masculinidades</w:t>
            </w:r>
          </w:p>
          <w:p w14:paraId="7ED158B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404592C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481C2FD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7C64EFC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474F6B80"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p w14:paraId="4CDBEEF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p>
        </w:tc>
        <w:tc>
          <w:tcPr>
            <w:tcW w:w="2835" w:type="dxa"/>
          </w:tcPr>
          <w:p w14:paraId="2C6BF916"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453F9C0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3451ACFC"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Salas Calvo, José Manuel. “La cuestión de hacerse hombre”. En </w:t>
            </w:r>
            <w:r w:rsidRPr="00B77F6A">
              <w:rPr>
                <w:rFonts w:ascii="Calibri" w:eastAsia="Times New Roman" w:hAnsi="Calibri" w:cs="Arial"/>
                <w:i/>
                <w:color w:val="000000"/>
                <w:kern w:val="0"/>
                <w:lang w:val="es-ES_tradnl" w:eastAsia="es-CR"/>
                <w14:ligatures w14:val="none"/>
              </w:rPr>
              <w:t xml:space="preserve">Hombres que rompen mandatos: la prevención de la violencia, </w:t>
            </w:r>
            <w:r w:rsidRPr="00B77F6A">
              <w:rPr>
                <w:rFonts w:ascii="Calibri" w:eastAsia="Times New Roman" w:hAnsi="Calibri" w:cs="Arial"/>
                <w:color w:val="000000"/>
                <w:kern w:val="0"/>
                <w:lang w:val="es-ES_tradnl" w:eastAsia="es-CR"/>
                <w14:ligatures w14:val="none"/>
              </w:rPr>
              <w:t>41</w:t>
            </w:r>
            <w:r w:rsidRPr="00B77F6A">
              <w:rPr>
                <w:rFonts w:ascii="Calibri" w:eastAsia="Times New Roman" w:hAnsi="Calibri" w:cs="Arial"/>
                <w:i/>
                <w:color w:val="000000"/>
                <w:kern w:val="0"/>
                <w:lang w:val="es-ES_tradnl" w:eastAsia="es-CR"/>
                <w14:ligatures w14:val="none"/>
              </w:rPr>
              <w:t>-</w:t>
            </w:r>
            <w:r w:rsidRPr="00B77F6A">
              <w:rPr>
                <w:rFonts w:ascii="Calibri" w:eastAsia="Times New Roman" w:hAnsi="Calibri" w:cs="Arial"/>
                <w:color w:val="000000"/>
                <w:kern w:val="0"/>
                <w:lang w:val="es-ES_tradnl" w:eastAsia="es-CR"/>
                <w14:ligatures w14:val="none"/>
              </w:rPr>
              <w:t>108.</w:t>
            </w:r>
            <w:r w:rsidRPr="00B77F6A">
              <w:rPr>
                <w:rFonts w:ascii="Calibri" w:eastAsia="Times New Roman" w:hAnsi="Calibri" w:cs="Arial"/>
                <w:i/>
                <w:color w:val="000000"/>
                <w:kern w:val="0"/>
                <w:lang w:val="es-ES_tradnl" w:eastAsia="es-CR"/>
                <w14:ligatures w14:val="none"/>
              </w:rPr>
              <w:t xml:space="preserve"> </w:t>
            </w:r>
            <w:r w:rsidRPr="00B77F6A">
              <w:rPr>
                <w:rFonts w:ascii="Calibri" w:eastAsia="Times New Roman" w:hAnsi="Calibri" w:cs="Arial"/>
                <w:color w:val="000000"/>
                <w:kern w:val="0"/>
                <w:lang w:val="es-ES_tradnl" w:eastAsia="es-CR"/>
                <w14:ligatures w14:val="none"/>
              </w:rPr>
              <w:t xml:space="preserve">San José: Lara Segura &amp; Asociados, 2005. </w:t>
            </w:r>
            <w:r w:rsidRPr="00B77F6A">
              <w:rPr>
                <w:rFonts w:ascii="Calibri" w:eastAsia="Times New Roman" w:hAnsi="Calibri" w:cs="Calibri"/>
                <w:color w:val="0070C0"/>
                <w:kern w:val="0"/>
                <w:lang w:val="es-ES_tradnl" w:eastAsia="es-CR"/>
                <w14:ligatures w14:val="none"/>
              </w:rPr>
              <w:t>(clásico, última edición)</w:t>
            </w:r>
          </w:p>
          <w:p w14:paraId="3C65FD5D"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2FB5AD02"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67BADF7F"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071CE6B4"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foro en la plataforma Moodle</w:t>
            </w:r>
          </w:p>
        </w:tc>
        <w:tc>
          <w:tcPr>
            <w:tcW w:w="3118" w:type="dxa"/>
          </w:tcPr>
          <w:p w14:paraId="7ACB3984" w14:textId="77777777" w:rsidR="00B77F6A" w:rsidRPr="00B77F6A" w:rsidRDefault="00B77F6A" w:rsidP="00B77F6A">
            <w:pPr>
              <w:widowControl w:val="0"/>
              <w:numPr>
                <w:ilvl w:val="0"/>
                <w:numId w:val="142"/>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Realizar la lectura del texto asignado.</w:t>
            </w:r>
          </w:p>
          <w:p w14:paraId="616A6AA5" w14:textId="77777777" w:rsidR="00B77F6A" w:rsidRPr="00B77F6A" w:rsidRDefault="00B77F6A" w:rsidP="00B77F6A">
            <w:pPr>
              <w:widowControl w:val="0"/>
              <w:numPr>
                <w:ilvl w:val="0"/>
                <w:numId w:val="142"/>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Elaboración de una síntesis crítica sobre masculinidades (tarea documental 5). </w:t>
            </w:r>
          </w:p>
          <w:p w14:paraId="4A8A3925" w14:textId="77777777" w:rsidR="00B77F6A" w:rsidRPr="00B77F6A" w:rsidRDefault="00B77F6A" w:rsidP="00B77F6A">
            <w:pPr>
              <w:widowControl w:val="0"/>
              <w:numPr>
                <w:ilvl w:val="0"/>
                <w:numId w:val="142"/>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Profundización docente sobre el tema en el foro grupal.</w:t>
            </w:r>
          </w:p>
          <w:p w14:paraId="33BF2E4A" w14:textId="77777777" w:rsidR="00B77F6A" w:rsidRPr="00B77F6A" w:rsidRDefault="00B77F6A" w:rsidP="00B77F6A">
            <w:pPr>
              <w:widowControl w:val="0"/>
              <w:numPr>
                <w:ilvl w:val="0"/>
                <w:numId w:val="142"/>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temático grupal: Debate sobre masculinidades mediante canciones populares. </w:t>
            </w:r>
          </w:p>
        </w:tc>
      </w:tr>
      <w:tr w:rsidR="00B77F6A" w:rsidRPr="00B77F6A" w14:paraId="4DE9DC51" w14:textId="77777777" w:rsidTr="4C9C2619">
        <w:trPr>
          <w:jc w:val="center"/>
        </w:trPr>
        <w:tc>
          <w:tcPr>
            <w:tcW w:w="1271" w:type="dxa"/>
          </w:tcPr>
          <w:p w14:paraId="146FC83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F60A526"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9</w:t>
            </w:r>
          </w:p>
          <w:p w14:paraId="59AC5B00"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442BF1A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4E3828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 w:eastAsia="es-CR"/>
                <w14:ligatures w14:val="none"/>
              </w:rPr>
            </w:pPr>
            <w:r w:rsidRPr="00B77F6A">
              <w:rPr>
                <w:rFonts w:ascii="Calibri" w:eastAsia="Times New Roman" w:hAnsi="Calibri" w:cs="Calibri"/>
                <w:b/>
                <w:bCs/>
                <w:kern w:val="0"/>
                <w:lang w:val="es-ES" w:eastAsia="es-CR"/>
                <w14:ligatures w14:val="none"/>
              </w:rPr>
              <w:t>Unidad 3: Género e identidad</w:t>
            </w:r>
          </w:p>
          <w:p w14:paraId="0712E7C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B52B7B9"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3.3 Feminidades</w:t>
            </w:r>
          </w:p>
        </w:tc>
        <w:tc>
          <w:tcPr>
            <w:tcW w:w="2835" w:type="dxa"/>
          </w:tcPr>
          <w:p w14:paraId="2F5F2CC5"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71453F14"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0891E75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Pastor Carballo, Rosa. “Cuerpo y género: representación e imagen corporal”. En </w:t>
            </w:r>
            <w:r w:rsidRPr="00B77F6A">
              <w:rPr>
                <w:rFonts w:ascii="Calibri" w:eastAsia="Times New Roman" w:hAnsi="Calibri" w:cs="Arial"/>
                <w:i/>
                <w:color w:val="000000"/>
                <w:kern w:val="0"/>
                <w:lang w:val="es-ES_tradnl" w:eastAsia="es-CR"/>
                <w14:ligatures w14:val="none"/>
              </w:rPr>
              <w:t xml:space="preserve">Psicología y Género, </w:t>
            </w:r>
            <w:r w:rsidRPr="00B77F6A">
              <w:rPr>
                <w:rFonts w:ascii="Calibri" w:eastAsia="Times New Roman" w:hAnsi="Calibri" w:cs="Arial"/>
                <w:color w:val="000000"/>
                <w:kern w:val="0"/>
                <w:lang w:val="es-ES_tradnl" w:eastAsia="es-CR"/>
                <w14:ligatures w14:val="none"/>
              </w:rPr>
              <w:t xml:space="preserve">coordinado por Ester Barberá Heredia e </w:t>
            </w:r>
            <w:r w:rsidRPr="00B77F6A">
              <w:rPr>
                <w:rFonts w:ascii="Calibri" w:eastAsia="Times New Roman" w:hAnsi="Calibri" w:cs="Arial"/>
                <w:color w:val="000000"/>
                <w:kern w:val="0"/>
                <w:lang w:val="es-ES_tradnl" w:eastAsia="es-CR"/>
                <w14:ligatures w14:val="none"/>
              </w:rPr>
              <w:lastRenderedPageBreak/>
              <w:t xml:space="preserve">Isabel Martínez Benlloch, 217-239. Madrid: Prentice Hall, 2005. </w:t>
            </w:r>
            <w:r w:rsidRPr="00B77F6A">
              <w:rPr>
                <w:rFonts w:ascii="Calibri" w:eastAsia="Times New Roman" w:hAnsi="Calibri" w:cs="Calibri"/>
                <w:color w:val="0070C0"/>
                <w:kern w:val="0"/>
                <w:lang w:val="es-ES_tradnl" w:eastAsia="es-CR"/>
                <w14:ligatures w14:val="none"/>
              </w:rPr>
              <w:t>(clásico, última edición)</w:t>
            </w:r>
          </w:p>
          <w:p w14:paraId="6064BEDC"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13FAD7FD"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193CC520"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4B6329A7" w14:textId="77777777" w:rsidR="00B77F6A" w:rsidRPr="00B77F6A" w:rsidRDefault="00B77F6A" w:rsidP="4C9C2619">
            <w:pPr>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Arial"/>
                <w:color w:val="0070C0"/>
                <w:kern w:val="0"/>
                <w:lang w:val="es-ES" w:eastAsia="es-CR"/>
                <w14:ligatures w14:val="none"/>
              </w:rPr>
              <w:t>Button</w:t>
            </w:r>
            <w:proofErr w:type="spellEnd"/>
            <w:r w:rsidRPr="4C9C2619">
              <w:rPr>
                <w:rFonts w:ascii="Calibri" w:eastAsia="Times New Roman" w:hAnsi="Calibri" w:cs="Arial"/>
                <w:color w:val="0070C0"/>
                <w:kern w:val="0"/>
                <w:lang w:val="es-ES" w:eastAsia="es-CR"/>
                <w14:ligatures w14:val="none"/>
              </w:rPr>
              <w:t xml:space="preserve"> en la plataforma Moodle</w:t>
            </w:r>
          </w:p>
          <w:p w14:paraId="3641BB05"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p w14:paraId="12B07002"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foro en la plataforma Moodle</w:t>
            </w:r>
          </w:p>
          <w:p w14:paraId="15C5B141"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tc>
        <w:tc>
          <w:tcPr>
            <w:tcW w:w="3118" w:type="dxa"/>
          </w:tcPr>
          <w:p w14:paraId="5C2DCAC0"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lastRenderedPageBreak/>
              <w:t xml:space="preserve">Elaboración de la historia de vida de una mujer adulta mediante una entrevista siguiendo la guía provista (tarea analítica 3). </w:t>
            </w:r>
          </w:p>
          <w:p w14:paraId="63C8142B"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Exposición docente sobre el proceso de autoidentidad en </w:t>
            </w:r>
            <w:r w:rsidRPr="00B77F6A">
              <w:rPr>
                <w:rFonts w:ascii="Calibri" w:eastAsia="Calibri" w:hAnsi="Calibri" w:cs="Calibri"/>
                <w:color w:val="000000"/>
                <w:kern w:val="0"/>
                <w14:ligatures w14:val="none"/>
              </w:rPr>
              <w:lastRenderedPageBreak/>
              <w:t>las mujeres en un encuentro sincrónico virtual.</w:t>
            </w:r>
          </w:p>
          <w:p w14:paraId="0DBAAF75"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Participación en el foro temático grupal: Sistematización de las historias de vida elaboradas. </w:t>
            </w:r>
          </w:p>
        </w:tc>
      </w:tr>
      <w:tr w:rsidR="00B77F6A" w:rsidRPr="00B77F6A" w14:paraId="58B09B0F" w14:textId="77777777" w:rsidTr="4C9C2619">
        <w:trPr>
          <w:jc w:val="center"/>
        </w:trPr>
        <w:tc>
          <w:tcPr>
            <w:tcW w:w="1271" w:type="dxa"/>
          </w:tcPr>
          <w:p w14:paraId="1FB5EDD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2171FF7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10 </w:t>
            </w:r>
          </w:p>
          <w:p w14:paraId="2D632299"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4F33064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3856CB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4: Género y poder</w:t>
            </w:r>
          </w:p>
          <w:p w14:paraId="60A8CA40"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_tradnl" w:eastAsia="es-CR"/>
                <w14:ligatures w14:val="none"/>
              </w:rPr>
            </w:pPr>
          </w:p>
          <w:p w14:paraId="4663D962"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4.1 La iglesia como fuente ideológica de la violencia</w:t>
            </w:r>
          </w:p>
        </w:tc>
        <w:tc>
          <w:tcPr>
            <w:tcW w:w="2835" w:type="dxa"/>
          </w:tcPr>
          <w:p w14:paraId="7F976029"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6D5103BF"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5809A428"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lang w:val="es-ES_tradnl" w:eastAsia="es-CR"/>
                <w14:ligatures w14:val="none"/>
              </w:rPr>
            </w:pPr>
            <w:r w:rsidRPr="00B77F6A">
              <w:rPr>
                <w:rFonts w:ascii="Calibri" w:eastAsia="Times New Roman" w:hAnsi="Calibri" w:cs="Calibri"/>
                <w:noProof/>
                <w:kern w:val="0"/>
                <w:lang w:val="es-ES_tradnl" w:eastAsia="es-CR"/>
                <w14:ligatures w14:val="none"/>
              </w:rPr>
              <w:t xml:space="preserve">Schüssler Fiorenza, Elisabeth. “Hacia una imaginación democrática radical: la ekklēsia y las cosmopolis de las mu/jeres”. </w:t>
            </w:r>
            <w:r w:rsidRPr="00B77F6A">
              <w:rPr>
                <w:rFonts w:ascii="Calibri" w:eastAsia="Times New Roman" w:hAnsi="Calibri" w:cs="Calibri"/>
                <w:i/>
                <w:iCs/>
                <w:noProof/>
                <w:kern w:val="0"/>
                <w:lang w:val="es-ES_tradnl" w:eastAsia="es-CR"/>
                <w14:ligatures w14:val="none"/>
              </w:rPr>
              <w:t>Vida y Pensamiento</w:t>
            </w:r>
            <w:r w:rsidRPr="00B77F6A">
              <w:rPr>
                <w:rFonts w:ascii="Calibri" w:eastAsia="Times New Roman" w:hAnsi="Calibri" w:cs="Calibri"/>
                <w:noProof/>
                <w:kern w:val="0"/>
                <w:lang w:val="es-ES_tradnl" w:eastAsia="es-CR"/>
                <w14:ligatures w14:val="none"/>
              </w:rPr>
              <w:t xml:space="preserve"> 32, no. 2 (2012): 113-140.</w:t>
            </w:r>
          </w:p>
          <w:p w14:paraId="04EB706C"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lang w:val="es-ES_tradnl" w:eastAsia="es-CR"/>
                <w14:ligatures w14:val="none"/>
              </w:rPr>
            </w:pPr>
          </w:p>
          <w:p w14:paraId="57448333"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kern w:val="0"/>
                <w:lang w:val="es-ES_tradnl" w:eastAsia="es-CR"/>
                <w14:ligatures w14:val="none"/>
              </w:rPr>
            </w:pPr>
            <w:r w:rsidRPr="00B77F6A">
              <w:rPr>
                <w:rFonts w:ascii="Calibri" w:eastAsia="Times New Roman" w:hAnsi="Calibri" w:cs="Calibri"/>
                <w:b/>
                <w:noProof/>
                <w:kern w:val="0"/>
                <w:lang w:val="es-ES_tradnl" w:eastAsia="es-CR"/>
                <w14:ligatures w14:val="none"/>
              </w:rPr>
              <w:t>Material complementario</w:t>
            </w:r>
          </w:p>
          <w:p w14:paraId="7A6A1C8E"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kern w:val="0"/>
                <w:lang w:val="es-ES_tradnl" w:eastAsia="es-CR"/>
                <w14:ligatures w14:val="none"/>
              </w:rPr>
            </w:pPr>
          </w:p>
          <w:p w14:paraId="53D67C67" w14:textId="77777777" w:rsidR="00B77F6A" w:rsidRPr="00B77F6A" w:rsidRDefault="00B77F6A" w:rsidP="00B77F6A">
            <w:pPr>
              <w:autoSpaceDE w:val="0"/>
              <w:autoSpaceDN w:val="0"/>
              <w:adjustRightInd w:val="0"/>
              <w:spacing w:after="0" w:line="240" w:lineRule="auto"/>
              <w:rPr>
                <w:rFonts w:ascii="Calibri" w:eastAsia="Times New Roman" w:hAnsi="Calibri" w:cs="Calibri"/>
                <w:bCs/>
                <w:color w:val="0000FF"/>
                <w:kern w:val="0"/>
                <w:u w:val="single"/>
                <w:lang w:val="es-ES_tradnl" w:eastAsia="es-CR"/>
                <w14:ligatures w14:val="none"/>
              </w:rPr>
            </w:pPr>
            <w:r w:rsidRPr="00B77F6A">
              <w:rPr>
                <w:rFonts w:ascii="Calibri" w:eastAsia="Times New Roman" w:hAnsi="Calibri" w:cs="Calibri"/>
                <w:bCs/>
                <w:kern w:val="0"/>
                <w:lang w:val="es-ES_tradnl" w:eastAsia="es-CR"/>
                <w14:ligatures w14:val="none"/>
              </w:rPr>
              <w:t xml:space="preserve">Alonso Seoane, María Jesús. “Género y religión: A la búsqueda de un modelo de análisis”. </w:t>
            </w:r>
            <w:r w:rsidRPr="00B77F6A">
              <w:rPr>
                <w:rFonts w:ascii="Calibri" w:eastAsia="Times New Roman" w:hAnsi="Calibri" w:cs="Calibri"/>
                <w:bCs/>
                <w:i/>
                <w:kern w:val="0"/>
                <w:lang w:val="es-ES_tradnl" w:eastAsia="es-CR"/>
                <w14:ligatures w14:val="none"/>
              </w:rPr>
              <w:t>Aposta</w:t>
            </w:r>
            <w:r w:rsidRPr="00B77F6A">
              <w:rPr>
                <w:rFonts w:ascii="Calibri" w:eastAsia="Times New Roman" w:hAnsi="Calibri" w:cs="Calibri"/>
                <w:bCs/>
                <w:kern w:val="0"/>
                <w:lang w:val="es-ES_tradnl" w:eastAsia="es-CR"/>
                <w14:ligatures w14:val="none"/>
              </w:rPr>
              <w:t>, n.82 (2019): 124-137. Acceso el 18 de diciembre de 2020.</w:t>
            </w:r>
            <w:r w:rsidRPr="00B77F6A">
              <w:rPr>
                <w:rFonts w:ascii="Calibri" w:eastAsia="Times New Roman" w:hAnsi="Calibri" w:cs="Calibri"/>
                <w:kern w:val="0"/>
                <w:lang w:val="es-ES_tradnl" w:eastAsia="es-CR"/>
                <w14:ligatures w14:val="none"/>
              </w:rPr>
              <w:t xml:space="preserve"> </w:t>
            </w:r>
            <w:hyperlink r:id="rId245" w:history="1">
              <w:r w:rsidRPr="00B77F6A">
                <w:rPr>
                  <w:rFonts w:ascii="Calibri" w:eastAsia="Times New Roman" w:hAnsi="Calibri" w:cs="Calibri"/>
                  <w:bCs/>
                  <w:color w:val="0000FF"/>
                  <w:kern w:val="0"/>
                  <w:u w:val="single"/>
                  <w:lang w:val="es-ES_tradnl" w:eastAsia="es-CR"/>
                  <w14:ligatures w14:val="none"/>
                </w:rPr>
                <w:t>http://apostadigital.com/revistav3/hemeroteca/mjalonso5.pdf</w:t>
              </w:r>
            </w:hyperlink>
            <w:r w:rsidRPr="00B77F6A">
              <w:rPr>
                <w:rFonts w:ascii="Calibri" w:eastAsia="Times New Roman" w:hAnsi="Calibri" w:cs="Calibri"/>
                <w:bCs/>
                <w:color w:val="00B050"/>
                <w:kern w:val="0"/>
                <w:lang w:val="es-ES_tradnl" w:eastAsia="es-CR"/>
                <w14:ligatures w14:val="none"/>
              </w:rPr>
              <w:t xml:space="preserve"> </w:t>
            </w:r>
          </w:p>
          <w:p w14:paraId="666F6F54"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5C0EE9A4"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foro en la plataforma Moodle</w:t>
            </w:r>
          </w:p>
          <w:p w14:paraId="432629A5"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tc>
        <w:tc>
          <w:tcPr>
            <w:tcW w:w="3118" w:type="dxa"/>
          </w:tcPr>
          <w:p w14:paraId="2A187C74"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Realizar la lectura asignada para documentación teórica sobre el tema. </w:t>
            </w:r>
          </w:p>
          <w:p w14:paraId="086B3BFF"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Elaboración de un prediagnóstico institucional de una iglesia, mediante la guía provista y con referencia a los aportes teóricos que provee el texto asignado (tarea analítica 4). </w:t>
            </w:r>
          </w:p>
          <w:p w14:paraId="14E94E8D" w14:textId="77777777" w:rsidR="00B77F6A" w:rsidRPr="00B77F6A" w:rsidRDefault="00B77F6A" w:rsidP="00B77F6A">
            <w:pPr>
              <w:widowControl w:val="0"/>
              <w:numPr>
                <w:ilvl w:val="0"/>
                <w:numId w:val="143"/>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Profundización docente sobre el tema en el foro grupal. </w:t>
            </w:r>
          </w:p>
          <w:p w14:paraId="55773171"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Debate grupal y compartir de las instituciones analizadas en el foro grupal.</w:t>
            </w:r>
          </w:p>
        </w:tc>
      </w:tr>
      <w:tr w:rsidR="00B77F6A" w:rsidRPr="00B77F6A" w14:paraId="2909DE05" w14:textId="77777777" w:rsidTr="4C9C2619">
        <w:trPr>
          <w:jc w:val="center"/>
        </w:trPr>
        <w:tc>
          <w:tcPr>
            <w:tcW w:w="1271" w:type="dxa"/>
          </w:tcPr>
          <w:p w14:paraId="0A39749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593A1B58"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11</w:t>
            </w:r>
          </w:p>
          <w:p w14:paraId="2537E70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6CA7764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6F7231A0"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4: Género y poder</w:t>
            </w:r>
          </w:p>
          <w:p w14:paraId="0AE6B63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_tradnl" w:eastAsia="es-CR"/>
                <w14:ligatures w14:val="none"/>
              </w:rPr>
            </w:pPr>
          </w:p>
          <w:p w14:paraId="4FEA50B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 w:eastAsia="es-CR"/>
                <w14:ligatures w14:val="none"/>
              </w:rPr>
              <w:t>4.2 Formas de violencia de género</w:t>
            </w:r>
          </w:p>
          <w:p w14:paraId="6B28A2A0"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10F3BBE7"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717C566C"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4A0C4E57"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szCs w:val="20"/>
                <w:lang w:val="es-ES_tradnl" w:eastAsia="es-CR"/>
                <w14:ligatures w14:val="none"/>
              </w:rPr>
            </w:pPr>
            <w:r w:rsidRPr="00B77F6A">
              <w:rPr>
                <w:rFonts w:ascii="Calibri" w:eastAsia="Times New Roman" w:hAnsi="Calibri" w:cs="Arial"/>
                <w:color w:val="000000"/>
                <w:kern w:val="0"/>
                <w:lang w:val="es-ES_tradnl" w:eastAsia="es-CR"/>
                <w14:ligatures w14:val="none"/>
              </w:rPr>
              <w:t xml:space="preserve">Baltodano, Mireya. “Violencia de género en las iglesias”. </w:t>
            </w:r>
            <w:r w:rsidRPr="00B77F6A">
              <w:rPr>
                <w:rFonts w:ascii="Calibri" w:eastAsia="Times New Roman" w:hAnsi="Calibri" w:cs="Arial"/>
                <w:i/>
                <w:color w:val="000000"/>
                <w:kern w:val="0"/>
                <w:lang w:val="es-ES_tradnl" w:eastAsia="es-CR"/>
                <w14:ligatures w14:val="none"/>
              </w:rPr>
              <w:t>Vida y Pensamiento 22</w:t>
            </w:r>
            <w:r w:rsidRPr="00B77F6A">
              <w:rPr>
                <w:rFonts w:ascii="Calibri" w:eastAsia="Times New Roman" w:hAnsi="Calibri" w:cs="Arial"/>
                <w:color w:val="000000"/>
                <w:kern w:val="0"/>
                <w:lang w:val="es-ES_tradnl" w:eastAsia="es-CR"/>
                <w14:ligatures w14:val="none"/>
              </w:rPr>
              <w:t>, n.1 (2002): pp. 153-166.</w:t>
            </w:r>
          </w:p>
          <w:p w14:paraId="55264907"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szCs w:val="20"/>
                <w:lang w:val="es-ES_tradnl" w:eastAsia="es-CR"/>
                <w14:ligatures w14:val="none"/>
              </w:rPr>
            </w:pPr>
          </w:p>
          <w:p w14:paraId="38CC8130"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szCs w:val="20"/>
                <w:lang w:val="es-ES_tradnl" w:eastAsia="es-CR"/>
                <w14:ligatures w14:val="none"/>
              </w:rPr>
            </w:pPr>
            <w:r w:rsidRPr="00B77F6A">
              <w:rPr>
                <w:rFonts w:ascii="Calibri" w:eastAsia="Times New Roman" w:hAnsi="Calibri" w:cs="Calibri"/>
                <w:noProof/>
                <w:kern w:val="0"/>
                <w:szCs w:val="20"/>
                <w:lang w:val="es-ES_tradnl" w:eastAsia="es-CR"/>
                <w14:ligatures w14:val="none"/>
              </w:rPr>
              <w:t xml:space="preserve">Andel, Arianne van. “Y ustedes, ¿quién dicen que soy? Crítica teológica a la propaganda contra la ideología de género”. </w:t>
            </w:r>
            <w:r w:rsidRPr="00B77F6A">
              <w:rPr>
                <w:rFonts w:ascii="Calibri" w:eastAsia="Times New Roman" w:hAnsi="Calibri" w:cs="Calibri"/>
                <w:i/>
                <w:noProof/>
                <w:kern w:val="0"/>
                <w:szCs w:val="20"/>
                <w:lang w:val="es-ES_tradnl" w:eastAsia="es-CR"/>
                <w14:ligatures w14:val="none"/>
              </w:rPr>
              <w:t>Vida y Pensamiento</w:t>
            </w:r>
            <w:r w:rsidRPr="00B77F6A">
              <w:rPr>
                <w:rFonts w:ascii="Calibri" w:eastAsia="Times New Roman" w:hAnsi="Calibri" w:cs="Calibri"/>
                <w:noProof/>
                <w:kern w:val="0"/>
                <w:szCs w:val="20"/>
                <w:lang w:val="es-ES_tradnl" w:eastAsia="es-CR"/>
                <w14:ligatures w14:val="none"/>
              </w:rPr>
              <w:t xml:space="preserve"> 38, no. 1 (2018): 25-53.</w:t>
            </w:r>
          </w:p>
          <w:p w14:paraId="1884DAA4" w14:textId="77777777" w:rsidR="00B77F6A" w:rsidRPr="00B77F6A" w:rsidRDefault="00B77F6A" w:rsidP="00B77F6A">
            <w:pPr>
              <w:autoSpaceDE w:val="0"/>
              <w:autoSpaceDN w:val="0"/>
              <w:adjustRightInd w:val="0"/>
              <w:spacing w:after="0" w:line="240" w:lineRule="auto"/>
              <w:rPr>
                <w:rFonts w:ascii="Calibri" w:eastAsia="Times New Roman" w:hAnsi="Calibri" w:cs="Calibri"/>
                <w:noProof/>
                <w:kern w:val="0"/>
                <w:szCs w:val="20"/>
                <w:lang w:val="es-ES_tradnl" w:eastAsia="es-CR"/>
                <w14:ligatures w14:val="none"/>
              </w:rPr>
            </w:pPr>
          </w:p>
          <w:p w14:paraId="3BC49501"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kern w:val="0"/>
                <w:szCs w:val="20"/>
                <w:lang w:val="es-ES_tradnl" w:eastAsia="es-CR"/>
                <w14:ligatures w14:val="none"/>
              </w:rPr>
            </w:pPr>
            <w:r w:rsidRPr="00B77F6A">
              <w:rPr>
                <w:rFonts w:ascii="Calibri" w:eastAsia="Times New Roman" w:hAnsi="Calibri" w:cs="Calibri"/>
                <w:b/>
                <w:noProof/>
                <w:kern w:val="0"/>
                <w:szCs w:val="20"/>
                <w:lang w:val="es-ES_tradnl" w:eastAsia="es-CR"/>
                <w14:ligatures w14:val="none"/>
              </w:rPr>
              <w:t>Material complementario</w:t>
            </w:r>
          </w:p>
          <w:p w14:paraId="7F950F84"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kern w:val="0"/>
                <w:szCs w:val="20"/>
                <w:lang w:val="es-ES_tradnl" w:eastAsia="es-CR"/>
                <w14:ligatures w14:val="none"/>
              </w:rPr>
            </w:pPr>
          </w:p>
          <w:p w14:paraId="14813816" w14:textId="77777777" w:rsidR="00B77F6A" w:rsidRPr="00B77F6A" w:rsidRDefault="00B77F6A" w:rsidP="00B77F6A">
            <w:pPr>
              <w:autoSpaceDE w:val="0"/>
              <w:autoSpaceDN w:val="0"/>
              <w:adjustRightInd w:val="0"/>
              <w:spacing w:after="0" w:line="240" w:lineRule="auto"/>
              <w:rPr>
                <w:rFonts w:ascii="Calibri" w:eastAsia="Times New Roman" w:hAnsi="Calibri" w:cs="Calibri"/>
                <w:bCs/>
                <w:color w:val="0000FF"/>
                <w:kern w:val="0"/>
                <w:u w:val="single"/>
                <w:lang w:val="es-ES_tradnl" w:eastAsia="es-CR"/>
                <w14:ligatures w14:val="none"/>
              </w:rPr>
            </w:pPr>
            <w:r w:rsidRPr="00B77F6A">
              <w:rPr>
                <w:rFonts w:ascii="Calibri" w:eastAsia="Times New Roman" w:hAnsi="Calibri" w:cs="Calibri"/>
                <w:bCs/>
                <w:kern w:val="0"/>
                <w:lang w:val="es-ES_tradnl" w:eastAsia="es-CR"/>
                <w14:ligatures w14:val="none"/>
              </w:rPr>
              <w:t xml:space="preserve">García Bachmann, Mercedes L. “Cuatro estrategias frente a la mal llamada “ideología de género”. </w:t>
            </w:r>
            <w:r w:rsidRPr="00B77F6A">
              <w:rPr>
                <w:rFonts w:ascii="Calibri" w:eastAsia="Times New Roman" w:hAnsi="Calibri" w:cs="Calibri"/>
                <w:bCs/>
                <w:i/>
                <w:kern w:val="0"/>
                <w:lang w:val="es-ES_tradnl" w:eastAsia="es-CR"/>
                <w14:ligatures w14:val="none"/>
              </w:rPr>
              <w:t xml:space="preserve">Vida y Pensamiento </w:t>
            </w:r>
            <w:r w:rsidRPr="00B77F6A">
              <w:rPr>
                <w:rFonts w:ascii="Calibri" w:eastAsia="Times New Roman" w:hAnsi="Calibri" w:cs="Calibri"/>
                <w:bCs/>
                <w:kern w:val="0"/>
                <w:lang w:val="es-ES_tradnl" w:eastAsia="es-CR"/>
                <w14:ligatures w14:val="none"/>
              </w:rPr>
              <w:t xml:space="preserve">38, n. 1 (2018): 133-154. Acceso el 18 de diciembre de 2020. </w:t>
            </w:r>
            <w:hyperlink r:id="rId246" w:history="1">
              <w:r w:rsidRPr="00B77F6A">
                <w:rPr>
                  <w:rFonts w:ascii="Calibri" w:eastAsia="Times New Roman" w:hAnsi="Calibri" w:cs="Calibri"/>
                  <w:bCs/>
                  <w:color w:val="0000FF"/>
                  <w:kern w:val="0"/>
                  <w:u w:val="single"/>
                  <w:lang w:val="es-ES_tradnl" w:eastAsia="es-CR"/>
                  <w14:ligatures w14:val="none"/>
                </w:rPr>
                <w:t>http://revistas.ubl.ac.cr/index.php/vyp/article/view/50</w:t>
              </w:r>
            </w:hyperlink>
          </w:p>
          <w:p w14:paraId="3C5164A8"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198F5182"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B77F6A">
              <w:rPr>
                <w:rFonts w:ascii="Calibri" w:eastAsia="Times New Roman" w:hAnsi="Calibri" w:cs="Arial"/>
                <w:color w:val="0070C0"/>
                <w:kern w:val="0"/>
                <w:lang w:val="es-ES_tradnl" w:eastAsia="es-CR"/>
                <w14:ligatures w14:val="none"/>
              </w:rPr>
              <w:t>Guía para la participación en un wiki en la plataforma Moodle</w:t>
            </w:r>
          </w:p>
          <w:p w14:paraId="2A369EDA"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p w14:paraId="0C78D4A2" w14:textId="77777777" w:rsidR="00B77F6A" w:rsidRPr="00B77F6A" w:rsidRDefault="00B77F6A" w:rsidP="4C9C2619">
            <w:pPr>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Arial"/>
                <w:color w:val="0070C0"/>
                <w:kern w:val="0"/>
                <w:lang w:val="es-ES" w:eastAsia="es-CR"/>
                <w14:ligatures w14:val="none"/>
              </w:rPr>
              <w:t>Button</w:t>
            </w:r>
            <w:proofErr w:type="spellEnd"/>
            <w:r w:rsidRPr="4C9C2619">
              <w:rPr>
                <w:rFonts w:ascii="Calibri" w:eastAsia="Times New Roman" w:hAnsi="Calibri" w:cs="Arial"/>
                <w:color w:val="0070C0"/>
                <w:kern w:val="0"/>
                <w:lang w:val="es-ES" w:eastAsia="es-CR"/>
                <w14:ligatures w14:val="none"/>
              </w:rPr>
              <w:t xml:space="preserve"> en la plataforma Moodle</w:t>
            </w:r>
          </w:p>
          <w:p w14:paraId="1282109D" w14:textId="77777777" w:rsidR="00B77F6A" w:rsidRPr="00B77F6A" w:rsidRDefault="00B77F6A" w:rsidP="00B77F6A">
            <w:pPr>
              <w:autoSpaceDE w:val="0"/>
              <w:autoSpaceDN w:val="0"/>
              <w:adjustRightInd w:val="0"/>
              <w:spacing w:after="0" w:line="240" w:lineRule="auto"/>
              <w:rPr>
                <w:rFonts w:ascii="Calibri" w:eastAsia="Times New Roman" w:hAnsi="Calibri" w:cs="Arial"/>
                <w:color w:val="0070C0"/>
                <w:kern w:val="0"/>
                <w:lang w:val="es-ES_tradnl" w:eastAsia="es-CR"/>
                <w14:ligatures w14:val="none"/>
              </w:rPr>
            </w:pPr>
          </w:p>
        </w:tc>
        <w:tc>
          <w:tcPr>
            <w:tcW w:w="3118" w:type="dxa"/>
          </w:tcPr>
          <w:p w14:paraId="22C40EA2" w14:textId="77777777" w:rsidR="00B77F6A" w:rsidRPr="00B77F6A" w:rsidRDefault="00B77F6A" w:rsidP="00B77F6A">
            <w:pPr>
              <w:widowControl w:val="0"/>
              <w:numPr>
                <w:ilvl w:val="0"/>
                <w:numId w:val="144"/>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lastRenderedPageBreak/>
              <w:t xml:space="preserve">Investigación sobre las distintas manifestaciones de violencia de género (tarea documental 6). </w:t>
            </w:r>
          </w:p>
          <w:p w14:paraId="56722E26" w14:textId="77777777" w:rsidR="00B77F6A" w:rsidRPr="00B77F6A" w:rsidRDefault="00B77F6A" w:rsidP="00B77F6A">
            <w:pPr>
              <w:widowControl w:val="0"/>
              <w:numPr>
                <w:ilvl w:val="0"/>
                <w:numId w:val="144"/>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Compartir y sistematizar </w:t>
            </w:r>
            <w:r w:rsidRPr="00B77F6A">
              <w:rPr>
                <w:rFonts w:ascii="Calibri" w:eastAsia="Calibri" w:hAnsi="Calibri" w:cs="Calibri"/>
                <w:color w:val="000000"/>
                <w:kern w:val="0"/>
                <w14:ligatures w14:val="none"/>
              </w:rPr>
              <w:lastRenderedPageBreak/>
              <w:t xml:space="preserve">conjuntamente los hallazgos sobre el tema investigado en el wiki. </w:t>
            </w:r>
          </w:p>
          <w:p w14:paraId="756144B6" w14:textId="77777777" w:rsidR="00B77F6A" w:rsidRPr="00B77F6A" w:rsidRDefault="00B77F6A" w:rsidP="00B77F6A">
            <w:pPr>
              <w:widowControl w:val="0"/>
              <w:numPr>
                <w:ilvl w:val="0"/>
                <w:numId w:val="144"/>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Exposición docente sobre la violencia simbólica y sus manifestaciones derivadas en un encuentro sincrónico virtual. </w:t>
            </w:r>
          </w:p>
          <w:p w14:paraId="2F960350"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tc>
      </w:tr>
      <w:tr w:rsidR="00B77F6A" w:rsidRPr="00B77F6A" w14:paraId="1BE376F0" w14:textId="77777777" w:rsidTr="4C9C2619">
        <w:trPr>
          <w:jc w:val="center"/>
        </w:trPr>
        <w:tc>
          <w:tcPr>
            <w:tcW w:w="1271" w:type="dxa"/>
          </w:tcPr>
          <w:p w14:paraId="7A97240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34D316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12</w:t>
            </w:r>
          </w:p>
          <w:p w14:paraId="136DEE34"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7B57FEE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79DBD995"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4: Género y poder</w:t>
            </w:r>
          </w:p>
          <w:p w14:paraId="02372357"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p w14:paraId="18537DF9"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r w:rsidRPr="00B77F6A">
              <w:rPr>
                <w:rFonts w:ascii="Calibri" w:eastAsia="Times New Roman" w:hAnsi="Calibri" w:cs="Calibri"/>
                <w:kern w:val="0"/>
                <w:lang w:val="es-ES" w:eastAsia="es-CR"/>
                <w14:ligatures w14:val="none"/>
              </w:rPr>
              <w:t>4.3 Relaciones de poder incluyentes</w:t>
            </w:r>
          </w:p>
          <w:p w14:paraId="56148A3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Calibri"/>
                <w:kern w:val="0"/>
                <w:lang w:val="es-ES" w:eastAsia="es-CR"/>
                <w14:ligatures w14:val="none"/>
              </w:rPr>
            </w:pPr>
          </w:p>
        </w:tc>
        <w:tc>
          <w:tcPr>
            <w:tcW w:w="2835" w:type="dxa"/>
          </w:tcPr>
          <w:p w14:paraId="6D07E2EE" w14:textId="77777777" w:rsidR="00B77F6A" w:rsidRPr="00B77F6A" w:rsidRDefault="00B77F6A" w:rsidP="00B77F6A">
            <w:pPr>
              <w:autoSpaceDE w:val="0"/>
              <w:autoSpaceDN w:val="0"/>
              <w:adjustRightInd w:val="0"/>
              <w:spacing w:after="0" w:line="240" w:lineRule="auto"/>
              <w:rPr>
                <w:rFonts w:ascii="Calibri" w:eastAsia="Times New Roman" w:hAnsi="Calibri" w:cs="Arial"/>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6299BB12" w14:textId="77777777" w:rsidR="00B77F6A" w:rsidRPr="00B77F6A" w:rsidRDefault="00B77F6A" w:rsidP="00B77F6A">
            <w:pPr>
              <w:autoSpaceDE w:val="0"/>
              <w:autoSpaceDN w:val="0"/>
              <w:adjustRightInd w:val="0"/>
              <w:spacing w:after="0" w:line="240" w:lineRule="auto"/>
              <w:rPr>
                <w:rFonts w:ascii="Calibri" w:eastAsia="Times New Roman" w:hAnsi="Calibri" w:cs="Arial"/>
                <w:kern w:val="0"/>
                <w:lang w:val="es-ES_tradnl" w:eastAsia="es-CR"/>
                <w14:ligatures w14:val="none"/>
              </w:rPr>
            </w:pPr>
          </w:p>
          <w:p w14:paraId="3EAA900F" w14:textId="77777777" w:rsidR="00B77F6A" w:rsidRPr="00B77F6A" w:rsidRDefault="00B77F6A" w:rsidP="4C9C2619">
            <w:pPr>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kern w:val="0"/>
                <w:lang w:val="es-ES" w:eastAsia="es-CR"/>
                <w14:ligatures w14:val="none"/>
              </w:rPr>
              <w:t xml:space="preserve">Román-López </w:t>
            </w:r>
            <w:proofErr w:type="spellStart"/>
            <w:r w:rsidRPr="4C9C2619">
              <w:rPr>
                <w:rFonts w:ascii="Calibri" w:eastAsia="Times New Roman" w:hAnsi="Calibri" w:cs="Arial"/>
                <w:kern w:val="0"/>
                <w:lang w:val="es-ES" w:eastAsia="es-CR"/>
                <w14:ligatures w14:val="none"/>
              </w:rPr>
              <w:t>Dollinger</w:t>
            </w:r>
            <w:proofErr w:type="spellEnd"/>
            <w:r w:rsidRPr="4C9C2619">
              <w:rPr>
                <w:rFonts w:ascii="Calibri" w:eastAsia="Times New Roman" w:hAnsi="Calibri" w:cs="Arial"/>
                <w:kern w:val="0"/>
                <w:lang w:val="es-ES" w:eastAsia="es-CR"/>
                <w14:ligatures w14:val="none"/>
              </w:rPr>
              <w:t xml:space="preserve">, Ángel Eduardo. “Masculinidades y relaciones de poder. Pistas socio-teológicas para la construcción de masculinidades alternativas”. En </w:t>
            </w:r>
            <w:r w:rsidRPr="4C9C2619">
              <w:rPr>
                <w:rFonts w:ascii="Calibri" w:eastAsia="Times New Roman" w:hAnsi="Calibri" w:cs="Arial"/>
                <w:i/>
                <w:iCs/>
                <w:kern w:val="0"/>
                <w:lang w:val="es-ES" w:eastAsia="es-CR"/>
                <w14:ligatures w14:val="none"/>
              </w:rPr>
              <w:t>Poder(es) en contexto: Lecturas teológicas, socioculturales y de género en torno al poder</w:t>
            </w:r>
            <w:r w:rsidRPr="4C9C2619">
              <w:rPr>
                <w:rFonts w:ascii="Calibri" w:eastAsia="Times New Roman" w:hAnsi="Calibri" w:cs="Arial"/>
                <w:kern w:val="0"/>
                <w:lang w:val="es-ES" w:eastAsia="es-CR"/>
                <w14:ligatures w14:val="none"/>
              </w:rPr>
              <w:t>, editado por Juan Carlos Chávez Quispe y Ángel Eduardo Román-</w:t>
            </w:r>
            <w:proofErr w:type="spellStart"/>
            <w:r w:rsidRPr="4C9C2619">
              <w:rPr>
                <w:rFonts w:ascii="Calibri" w:eastAsia="Times New Roman" w:hAnsi="Calibri" w:cs="Arial"/>
                <w:kern w:val="0"/>
                <w:lang w:val="es-ES" w:eastAsia="es-CR"/>
                <w14:ligatures w14:val="none"/>
              </w:rPr>
              <w:t>Lopez</w:t>
            </w:r>
            <w:proofErr w:type="spellEnd"/>
            <w:r w:rsidRPr="4C9C2619">
              <w:rPr>
                <w:rFonts w:ascii="Calibri" w:eastAsia="Times New Roman" w:hAnsi="Calibri" w:cs="Arial"/>
                <w:kern w:val="0"/>
                <w:lang w:val="es-ES" w:eastAsia="es-CR"/>
                <w14:ligatures w14:val="none"/>
              </w:rPr>
              <w:t xml:space="preserve"> </w:t>
            </w:r>
            <w:proofErr w:type="spellStart"/>
            <w:r w:rsidRPr="4C9C2619">
              <w:rPr>
                <w:rFonts w:ascii="Calibri" w:eastAsia="Times New Roman" w:hAnsi="Calibri" w:cs="Arial"/>
                <w:kern w:val="0"/>
                <w:lang w:val="es-ES" w:eastAsia="es-CR"/>
                <w14:ligatures w14:val="none"/>
              </w:rPr>
              <w:t>Dollinger</w:t>
            </w:r>
            <w:proofErr w:type="spellEnd"/>
            <w:r w:rsidRPr="4C9C2619">
              <w:rPr>
                <w:rFonts w:ascii="Calibri" w:eastAsia="Times New Roman" w:hAnsi="Calibri" w:cs="Arial"/>
                <w:kern w:val="0"/>
                <w:lang w:val="es-ES" w:eastAsia="es-CR"/>
                <w14:ligatures w14:val="none"/>
              </w:rPr>
              <w:t xml:space="preserve">, 157-186. La Paz, </w:t>
            </w:r>
            <w:r w:rsidRPr="4C9C2619">
              <w:rPr>
                <w:rFonts w:ascii="Calibri" w:eastAsia="Times New Roman" w:hAnsi="Calibri" w:cs="Arial"/>
                <w:kern w:val="0"/>
                <w:lang w:val="es-ES" w:eastAsia="es-CR"/>
                <w14:ligatures w14:val="none"/>
              </w:rPr>
              <w:lastRenderedPageBreak/>
              <w:t xml:space="preserve">Bolivia: ISEAT, 2016. </w:t>
            </w:r>
            <w:r w:rsidRPr="4C9C2619">
              <w:rPr>
                <w:rFonts w:ascii="Calibri" w:eastAsia="Times New Roman" w:hAnsi="Calibri" w:cs="Calibri"/>
                <w:color w:val="0070C0"/>
                <w:kern w:val="0"/>
                <w:lang w:val="es-ES" w:eastAsia="es-CR"/>
                <w14:ligatures w14:val="none"/>
              </w:rPr>
              <w:t>(clásico, última edición)</w:t>
            </w:r>
          </w:p>
          <w:p w14:paraId="30656638" w14:textId="77777777" w:rsidR="00B77F6A" w:rsidRPr="00B77F6A" w:rsidRDefault="00B77F6A" w:rsidP="00B77F6A">
            <w:pPr>
              <w:autoSpaceDE w:val="0"/>
              <w:autoSpaceDN w:val="0"/>
              <w:adjustRightInd w:val="0"/>
              <w:spacing w:after="0" w:line="240" w:lineRule="auto"/>
              <w:rPr>
                <w:rFonts w:ascii="Calibri" w:eastAsia="Times New Roman" w:hAnsi="Calibri" w:cs="Arial"/>
                <w:kern w:val="0"/>
                <w:lang w:val="es-ES_tradnl" w:eastAsia="es-CR"/>
                <w14:ligatures w14:val="none"/>
              </w:rPr>
            </w:pPr>
          </w:p>
          <w:p w14:paraId="3D0F32DC" w14:textId="77777777" w:rsidR="00B77F6A" w:rsidRPr="00B77F6A" w:rsidRDefault="00B77F6A" w:rsidP="00B77F6A">
            <w:pPr>
              <w:autoSpaceDE w:val="0"/>
              <w:autoSpaceDN w:val="0"/>
              <w:adjustRightInd w:val="0"/>
              <w:spacing w:after="0" w:line="240" w:lineRule="auto"/>
              <w:rPr>
                <w:rFonts w:ascii="Times New Roman" w:eastAsia="Times New Roman" w:hAnsi="Times New Roman" w:cs="Times New Roman"/>
                <w:kern w:val="0"/>
                <w:sz w:val="24"/>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0B1EE476" w14:textId="77777777" w:rsidR="00B77F6A" w:rsidRPr="00B77F6A" w:rsidRDefault="00B77F6A" w:rsidP="00B77F6A">
            <w:pPr>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B2F41BC" w14:textId="77777777" w:rsidR="00B77F6A" w:rsidRPr="00B77F6A" w:rsidRDefault="00B77F6A" w:rsidP="4C9C2619">
            <w:pPr>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Arial"/>
                <w:color w:val="0070C0"/>
                <w:kern w:val="0"/>
                <w:lang w:val="es-ES" w:eastAsia="es-CR"/>
                <w14:ligatures w14:val="none"/>
              </w:rPr>
              <w:t>Button</w:t>
            </w:r>
            <w:proofErr w:type="spellEnd"/>
            <w:r w:rsidRPr="4C9C2619">
              <w:rPr>
                <w:rFonts w:ascii="Calibri" w:eastAsia="Times New Roman" w:hAnsi="Calibri" w:cs="Arial"/>
                <w:color w:val="0070C0"/>
                <w:kern w:val="0"/>
                <w:lang w:val="es-ES" w:eastAsia="es-CR"/>
                <w14:ligatures w14:val="none"/>
              </w:rPr>
              <w:t xml:space="preserve"> en la plataforma Moodle</w:t>
            </w:r>
          </w:p>
          <w:p w14:paraId="1EF98BFC" w14:textId="77777777" w:rsidR="00B77F6A" w:rsidRPr="00B77F6A" w:rsidRDefault="00B77F6A" w:rsidP="00B77F6A">
            <w:pPr>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p>
          <w:p w14:paraId="667C0F59" w14:textId="77777777" w:rsidR="00B77F6A" w:rsidRPr="00B77F6A" w:rsidRDefault="00B77F6A" w:rsidP="00B77F6A">
            <w:pPr>
              <w:autoSpaceDE w:val="0"/>
              <w:autoSpaceDN w:val="0"/>
              <w:adjustRightInd w:val="0"/>
              <w:spacing w:after="0" w:line="240" w:lineRule="auto"/>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Guía para la participación en un foro en la plataforma Moodle</w:t>
            </w:r>
          </w:p>
        </w:tc>
        <w:tc>
          <w:tcPr>
            <w:tcW w:w="3118" w:type="dxa"/>
          </w:tcPr>
          <w:p w14:paraId="4065AA24" w14:textId="77777777" w:rsidR="00B77F6A" w:rsidRPr="00B77F6A" w:rsidRDefault="00B77F6A" w:rsidP="00B77F6A">
            <w:pPr>
              <w:widowControl w:val="0"/>
              <w:numPr>
                <w:ilvl w:val="0"/>
                <w:numId w:val="14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lastRenderedPageBreak/>
              <w:t xml:space="preserve">Observación de la película </w:t>
            </w:r>
            <w:proofErr w:type="spellStart"/>
            <w:r w:rsidRPr="00B77F6A">
              <w:rPr>
                <w:rFonts w:ascii="Calibri" w:eastAsia="Calibri" w:hAnsi="Calibri" w:cs="Calibri"/>
                <w:color w:val="000000"/>
                <w:kern w:val="0"/>
                <w14:ligatures w14:val="none"/>
              </w:rPr>
              <w:t>Whale</w:t>
            </w:r>
            <w:proofErr w:type="spellEnd"/>
            <w:r w:rsidRPr="00B77F6A">
              <w:rPr>
                <w:rFonts w:ascii="Calibri" w:eastAsia="Calibri" w:hAnsi="Calibri" w:cs="Calibri"/>
                <w:color w:val="000000"/>
                <w:kern w:val="0"/>
                <w14:ligatures w14:val="none"/>
              </w:rPr>
              <w:t xml:space="preserve"> </w:t>
            </w:r>
            <w:proofErr w:type="spellStart"/>
            <w:r w:rsidRPr="00B77F6A">
              <w:rPr>
                <w:rFonts w:ascii="Calibri" w:eastAsia="Calibri" w:hAnsi="Calibri" w:cs="Calibri"/>
                <w:color w:val="000000"/>
                <w:kern w:val="0"/>
                <w14:ligatures w14:val="none"/>
              </w:rPr>
              <w:t>Rider</w:t>
            </w:r>
            <w:proofErr w:type="spellEnd"/>
            <w:r w:rsidRPr="00B77F6A">
              <w:rPr>
                <w:rFonts w:ascii="Calibri" w:eastAsia="Calibri" w:hAnsi="Calibri" w:cs="Calibri"/>
                <w:color w:val="000000"/>
                <w:kern w:val="0"/>
                <w14:ligatures w14:val="none"/>
              </w:rPr>
              <w:t xml:space="preserve"> en un encuentro sincrónico virtual. </w:t>
            </w:r>
          </w:p>
          <w:p w14:paraId="173CF4A2" w14:textId="77777777" w:rsidR="00B77F6A" w:rsidRPr="00B77F6A" w:rsidRDefault="00B77F6A" w:rsidP="00B77F6A">
            <w:pPr>
              <w:widowControl w:val="0"/>
              <w:numPr>
                <w:ilvl w:val="0"/>
                <w:numId w:val="14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Análisis de la película </w:t>
            </w:r>
            <w:proofErr w:type="spellStart"/>
            <w:r w:rsidRPr="00B77F6A">
              <w:rPr>
                <w:rFonts w:ascii="Calibri" w:eastAsia="Calibri" w:hAnsi="Calibri" w:cs="Calibri"/>
                <w:color w:val="000000"/>
                <w:kern w:val="0"/>
                <w14:ligatures w14:val="none"/>
              </w:rPr>
              <w:t>Whale</w:t>
            </w:r>
            <w:proofErr w:type="spellEnd"/>
            <w:r w:rsidRPr="00B77F6A">
              <w:rPr>
                <w:rFonts w:ascii="Calibri" w:eastAsia="Calibri" w:hAnsi="Calibri" w:cs="Calibri"/>
                <w:color w:val="000000"/>
                <w:kern w:val="0"/>
                <w14:ligatures w14:val="none"/>
              </w:rPr>
              <w:t xml:space="preserve"> </w:t>
            </w:r>
            <w:proofErr w:type="spellStart"/>
            <w:r w:rsidRPr="00B77F6A">
              <w:rPr>
                <w:rFonts w:ascii="Calibri" w:eastAsia="Calibri" w:hAnsi="Calibri" w:cs="Calibri"/>
                <w:color w:val="000000"/>
                <w:kern w:val="0"/>
                <w14:ligatures w14:val="none"/>
              </w:rPr>
              <w:t>Rider</w:t>
            </w:r>
            <w:proofErr w:type="spellEnd"/>
            <w:r w:rsidRPr="00B77F6A">
              <w:rPr>
                <w:rFonts w:ascii="Calibri" w:eastAsia="Calibri" w:hAnsi="Calibri" w:cs="Calibri"/>
                <w:color w:val="000000"/>
                <w:kern w:val="0"/>
                <w14:ligatures w14:val="none"/>
              </w:rPr>
              <w:t xml:space="preserve">, a partir de las identidades de género estudiadas en las sesiones anteriores, vinculadas al tema de poder y según la guía provista (tarea analítica 5). </w:t>
            </w:r>
          </w:p>
          <w:p w14:paraId="18819E41" w14:textId="77777777" w:rsidR="00B77F6A" w:rsidRPr="00B77F6A" w:rsidRDefault="00B77F6A" w:rsidP="00B77F6A">
            <w:pPr>
              <w:widowControl w:val="0"/>
              <w:numPr>
                <w:ilvl w:val="0"/>
                <w:numId w:val="14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Compartir grupal de los análisis particulares sobre poder e identidades en el foro grupal. </w:t>
            </w:r>
          </w:p>
          <w:p w14:paraId="3FA0EE51" w14:textId="77777777" w:rsidR="00B77F6A" w:rsidRPr="00B77F6A" w:rsidRDefault="00B77F6A" w:rsidP="00B77F6A">
            <w:pPr>
              <w:widowControl w:val="0"/>
              <w:numPr>
                <w:ilvl w:val="0"/>
                <w:numId w:val="145"/>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lastRenderedPageBreak/>
              <w:t xml:space="preserve">Profundización docente sobre las distintas formas de poder en el foro grupal. </w:t>
            </w:r>
          </w:p>
        </w:tc>
      </w:tr>
      <w:tr w:rsidR="00B77F6A" w:rsidRPr="00B77F6A" w14:paraId="72032939" w14:textId="77777777" w:rsidTr="4C9C2619">
        <w:trPr>
          <w:jc w:val="center"/>
        </w:trPr>
        <w:tc>
          <w:tcPr>
            <w:tcW w:w="1271" w:type="dxa"/>
          </w:tcPr>
          <w:p w14:paraId="0056A30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6B985E9"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13</w:t>
            </w:r>
          </w:p>
          <w:p w14:paraId="6652F5D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17AF0CAA"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3185989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5: Educando para hacer una diferencia</w:t>
            </w:r>
          </w:p>
          <w:p w14:paraId="6D3BD9F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2C25649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 xml:space="preserve">5.1 Entrega y presentación de la monografía </w:t>
            </w:r>
          </w:p>
        </w:tc>
        <w:tc>
          <w:tcPr>
            <w:tcW w:w="2835" w:type="dxa"/>
          </w:tcPr>
          <w:p w14:paraId="3190037D" w14:textId="77777777" w:rsidR="00B77F6A" w:rsidRPr="00B77F6A" w:rsidRDefault="00B77F6A" w:rsidP="00B77F6A">
            <w:pPr>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7CE2B310" w14:textId="77777777" w:rsidR="00B77F6A" w:rsidRPr="00B77F6A" w:rsidRDefault="00B77F6A" w:rsidP="00B77F6A">
            <w:pPr>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1FFC7928"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33C0AF40" w14:textId="77777777" w:rsidR="00B77F6A" w:rsidRPr="00B77F6A" w:rsidRDefault="00B77F6A" w:rsidP="00B77F6A">
            <w:pPr>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p>
          <w:p w14:paraId="020FFB2D" w14:textId="77777777" w:rsidR="00B77F6A" w:rsidRPr="00B77F6A" w:rsidRDefault="00B77F6A" w:rsidP="00B77F6A">
            <w:pPr>
              <w:autoSpaceDE w:val="0"/>
              <w:autoSpaceDN w:val="0"/>
              <w:adjustRightInd w:val="0"/>
              <w:spacing w:after="0" w:line="240" w:lineRule="auto"/>
              <w:rPr>
                <w:rFonts w:ascii="Calibri" w:eastAsia="Times New Roman" w:hAnsi="Calibri" w:cs="Calibri"/>
                <w:bCs/>
                <w:color w:val="00000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mediante la herramienta Big Blue Button en la plataforma Moodle</w:t>
            </w:r>
          </w:p>
        </w:tc>
        <w:tc>
          <w:tcPr>
            <w:tcW w:w="3118" w:type="dxa"/>
          </w:tcPr>
          <w:p w14:paraId="3A23A76B"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Finalización de la investigación individual del trabajo final. </w:t>
            </w:r>
          </w:p>
          <w:p w14:paraId="04DA84F3"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Presentación breve de la investigación hecha como trabajo final (varias personas exponen según el número de estudiantes) en un encuentro sincrónico virtual. </w:t>
            </w:r>
          </w:p>
          <w:p w14:paraId="4E2B16EC"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Retroalimentación grupal sobre los temas presentados en un encuentro sincrónico virtual. </w:t>
            </w:r>
          </w:p>
          <w:p w14:paraId="661B41DC"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p w14:paraId="3EBA84DD"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p w14:paraId="1487FA5D"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p w14:paraId="3F9C80BA" w14:textId="77777777" w:rsidR="00B77F6A" w:rsidRPr="00B77F6A" w:rsidRDefault="00B77F6A" w:rsidP="00B77F6A">
            <w:pPr>
              <w:spacing w:after="200" w:line="276" w:lineRule="auto"/>
              <w:ind w:left="321"/>
              <w:contextualSpacing/>
              <w:rPr>
                <w:rFonts w:ascii="Calibri" w:eastAsia="Calibri" w:hAnsi="Calibri" w:cs="Calibri"/>
                <w:color w:val="000000"/>
                <w:kern w:val="0"/>
                <w14:ligatures w14:val="none"/>
              </w:rPr>
            </w:pPr>
          </w:p>
        </w:tc>
      </w:tr>
      <w:tr w:rsidR="00B77F6A" w:rsidRPr="00B77F6A" w14:paraId="0F5CE74D" w14:textId="77777777" w:rsidTr="4C9C2619">
        <w:trPr>
          <w:jc w:val="center"/>
        </w:trPr>
        <w:tc>
          <w:tcPr>
            <w:tcW w:w="1271" w:type="dxa"/>
          </w:tcPr>
          <w:p w14:paraId="7E515EBF"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12ACCD16"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14</w:t>
            </w:r>
          </w:p>
          <w:p w14:paraId="0A4476AC"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7F89685E"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5575CDB7"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5: Educando para hacer una diferencia</w:t>
            </w:r>
          </w:p>
          <w:p w14:paraId="2361D12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AA19FAE"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5.1 Entrega y presentación de la monografía</w:t>
            </w:r>
          </w:p>
          <w:p w14:paraId="2577C03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7E16988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3E6985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06EE9B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3A080BF5"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61BF9BF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0ECFD9A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56DDC3F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p>
          <w:p w14:paraId="14B3D4F1"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mediante la herramienta Big Blue Button en la plataforma Moodle</w:t>
            </w:r>
          </w:p>
        </w:tc>
        <w:tc>
          <w:tcPr>
            <w:tcW w:w="3118" w:type="dxa"/>
          </w:tcPr>
          <w:p w14:paraId="51FCDED7"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Finalización de la investigación individual del trabajo final. </w:t>
            </w:r>
          </w:p>
          <w:p w14:paraId="6CFDCE45"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Presentación breve de la investigación hecha como trabajo final (varias personas exponen según el número de estudiantes) en un encuentro sincrónico virtual. </w:t>
            </w:r>
          </w:p>
          <w:p w14:paraId="5FDF2A0C" w14:textId="77777777" w:rsidR="00B77F6A" w:rsidRPr="00B77F6A" w:rsidRDefault="00B77F6A" w:rsidP="00B77F6A">
            <w:pPr>
              <w:widowControl w:val="0"/>
              <w:numPr>
                <w:ilvl w:val="0"/>
                <w:numId w:val="146"/>
              </w:numPr>
              <w:overflowPunct w:val="0"/>
              <w:autoSpaceDE w:val="0"/>
              <w:autoSpaceDN w:val="0"/>
              <w:adjustRightInd w:val="0"/>
              <w:spacing w:before="120" w:after="200" w:line="276" w:lineRule="auto"/>
              <w:ind w:left="321"/>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Retroalimentación grupal sobre los temas presentados </w:t>
            </w:r>
            <w:r w:rsidRPr="00B77F6A">
              <w:rPr>
                <w:rFonts w:ascii="Calibri" w:eastAsia="Calibri" w:hAnsi="Calibri" w:cs="Calibri"/>
                <w:color w:val="000000"/>
                <w:kern w:val="0"/>
                <w14:ligatures w14:val="none"/>
              </w:rPr>
              <w:lastRenderedPageBreak/>
              <w:t xml:space="preserve">en un encuentro sincrónico virtual. </w:t>
            </w:r>
          </w:p>
        </w:tc>
      </w:tr>
      <w:tr w:rsidR="00B77F6A" w:rsidRPr="00B77F6A" w14:paraId="3AEA6FC5" w14:textId="77777777" w:rsidTr="4C9C2619">
        <w:trPr>
          <w:jc w:val="center"/>
        </w:trPr>
        <w:tc>
          <w:tcPr>
            <w:tcW w:w="1271" w:type="dxa"/>
          </w:tcPr>
          <w:p w14:paraId="7A223FBF"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p>
          <w:p w14:paraId="0EF48D3B"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15</w:t>
            </w:r>
          </w:p>
          <w:p w14:paraId="56DADA3D"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24F32CC7" w14:textId="77777777" w:rsidR="00B77F6A" w:rsidRPr="00B77F6A" w:rsidRDefault="00B77F6A" w:rsidP="00B77F6A">
            <w:pPr>
              <w:widowControl w:val="0"/>
              <w:overflowPunct w:val="0"/>
              <w:autoSpaceDE w:val="0"/>
              <w:autoSpaceDN w:val="0"/>
              <w:adjustRightInd w:val="0"/>
              <w:spacing w:after="0" w:line="240" w:lineRule="auto"/>
              <w:jc w:val="center"/>
              <w:rPr>
                <w:rFonts w:ascii="Calibri" w:eastAsia="Times New Roman" w:hAnsi="Calibri" w:cs="Calibri"/>
                <w:color w:val="FF0000"/>
                <w:kern w:val="0"/>
                <w:lang w:val="es-ES_tradnl" w:eastAsia="es-CR"/>
                <w14:ligatures w14:val="none"/>
              </w:rPr>
            </w:pPr>
          </w:p>
        </w:tc>
        <w:tc>
          <w:tcPr>
            <w:tcW w:w="2410" w:type="dxa"/>
          </w:tcPr>
          <w:p w14:paraId="2009A73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77F6A">
              <w:rPr>
                <w:rFonts w:ascii="Calibri" w:eastAsia="Times New Roman" w:hAnsi="Calibri" w:cs="Calibri"/>
                <w:b/>
                <w:bCs/>
                <w:kern w:val="0"/>
                <w:lang w:val="es-ES_tradnl" w:eastAsia="es-CR"/>
                <w14:ligatures w14:val="none"/>
              </w:rPr>
              <w:t>Unidad 5: Educando para hacer una diferencia</w:t>
            </w:r>
          </w:p>
          <w:p w14:paraId="2D617394"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E9BB2E2"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B77F6A">
              <w:rPr>
                <w:rFonts w:ascii="Calibri" w:eastAsia="Times New Roman" w:hAnsi="Calibri" w:cs="Calibri"/>
                <w:kern w:val="0"/>
                <w:lang w:val="es-ES_tradnl" w:eastAsia="es-CR"/>
                <w14:ligatures w14:val="none"/>
              </w:rPr>
              <w:t>5.1 Entrega y presentación de la monografía</w:t>
            </w:r>
          </w:p>
        </w:tc>
        <w:tc>
          <w:tcPr>
            <w:tcW w:w="2835" w:type="dxa"/>
          </w:tcPr>
          <w:p w14:paraId="062A51D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r w:rsidRPr="00B77F6A">
              <w:rPr>
                <w:rFonts w:ascii="Calibri" w:eastAsia="Times New Roman" w:hAnsi="Calibri" w:cs="Calibri"/>
                <w:color w:val="0070C0"/>
                <w:kern w:val="0"/>
                <w:lang w:val="es-ES_tradnl" w:eastAsia="es-CR"/>
                <w14:ligatures w14:val="none"/>
              </w:rPr>
              <w:t>Ruta de aprendizaje</w:t>
            </w:r>
          </w:p>
          <w:p w14:paraId="20922808"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70C0"/>
                <w:kern w:val="0"/>
                <w:lang w:val="es-ES_tradnl" w:eastAsia="es-CR"/>
                <w14:ligatures w14:val="none"/>
              </w:rPr>
            </w:pPr>
          </w:p>
          <w:p w14:paraId="2216719B"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r w:rsidRPr="00B77F6A">
              <w:rPr>
                <w:rFonts w:ascii="Calibri" w:eastAsia="Times New Roman" w:hAnsi="Calibri" w:cs="Calibri"/>
                <w:b/>
                <w:noProof/>
                <w:color w:val="0070C0"/>
                <w:kern w:val="0"/>
                <w:szCs w:val="20"/>
                <w:lang w:val="es-ES_tradnl" w:eastAsia="es-CR"/>
                <w14:ligatures w14:val="none"/>
              </w:rPr>
              <w:t>Material complementario</w:t>
            </w:r>
          </w:p>
          <w:p w14:paraId="521111B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
                <w:noProof/>
                <w:color w:val="0070C0"/>
                <w:kern w:val="0"/>
                <w:szCs w:val="20"/>
                <w:lang w:val="es-ES_tradnl" w:eastAsia="es-CR"/>
                <w14:ligatures w14:val="none"/>
              </w:rPr>
            </w:pPr>
          </w:p>
          <w:p w14:paraId="73E15B1D"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mediante la herramienta Big Blue Button en la plataforma Moodle</w:t>
            </w:r>
          </w:p>
          <w:p w14:paraId="27716C3C"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bCs/>
                <w:noProof/>
                <w:color w:val="0070C0"/>
                <w:kern w:val="0"/>
                <w:szCs w:val="20"/>
                <w:lang w:val="es-ES_tradnl" w:eastAsia="es-CR"/>
                <w14:ligatures w14:val="none"/>
              </w:rPr>
            </w:pPr>
          </w:p>
          <w:p w14:paraId="455207A6" w14:textId="77777777" w:rsidR="00B77F6A" w:rsidRPr="00B77F6A" w:rsidRDefault="00B77F6A" w:rsidP="00B77F6A">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B77F6A">
              <w:rPr>
                <w:rFonts w:ascii="Calibri" w:eastAsia="Times New Roman" w:hAnsi="Calibri" w:cs="Calibri"/>
                <w:bCs/>
                <w:noProof/>
                <w:color w:val="0070C0"/>
                <w:kern w:val="0"/>
                <w:szCs w:val="20"/>
                <w:lang w:val="es-ES_tradnl" w:eastAsia="es-CR"/>
                <w14:ligatures w14:val="none"/>
              </w:rPr>
              <w:t>Guía para la participación en un foro en la plataforma Moodle</w:t>
            </w:r>
          </w:p>
        </w:tc>
        <w:tc>
          <w:tcPr>
            <w:tcW w:w="3118" w:type="dxa"/>
          </w:tcPr>
          <w:p w14:paraId="76FC3A93" w14:textId="77777777" w:rsidR="00B77F6A" w:rsidRPr="00B77F6A" w:rsidRDefault="00B77F6A" w:rsidP="00B77F6A">
            <w:pPr>
              <w:widowControl w:val="0"/>
              <w:numPr>
                <w:ilvl w:val="0"/>
                <w:numId w:val="147"/>
              </w:numPr>
              <w:overflowPunct w:val="0"/>
              <w:autoSpaceDE w:val="0"/>
              <w:autoSpaceDN w:val="0"/>
              <w:adjustRightInd w:val="0"/>
              <w:spacing w:before="120" w:after="200" w:line="276" w:lineRule="auto"/>
              <w:ind w:left="318"/>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Finalización de la investigación individual del trabajo final. </w:t>
            </w:r>
          </w:p>
          <w:p w14:paraId="45602059" w14:textId="77777777" w:rsidR="00B77F6A" w:rsidRPr="00B77F6A" w:rsidRDefault="00B77F6A" w:rsidP="00B77F6A">
            <w:pPr>
              <w:widowControl w:val="0"/>
              <w:numPr>
                <w:ilvl w:val="0"/>
                <w:numId w:val="147"/>
              </w:numPr>
              <w:overflowPunct w:val="0"/>
              <w:autoSpaceDE w:val="0"/>
              <w:autoSpaceDN w:val="0"/>
              <w:adjustRightInd w:val="0"/>
              <w:spacing w:before="120" w:after="200" w:line="276" w:lineRule="auto"/>
              <w:ind w:left="318"/>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Presentación breve de la investigación hecha como trabajo final (varias personas exponen según el número de estudiantes) en un encuentro sincrónico virtual. </w:t>
            </w:r>
          </w:p>
          <w:p w14:paraId="13C5D56B" w14:textId="77777777" w:rsidR="00B77F6A" w:rsidRPr="00B77F6A" w:rsidRDefault="00B77F6A" w:rsidP="00B77F6A">
            <w:pPr>
              <w:widowControl w:val="0"/>
              <w:numPr>
                <w:ilvl w:val="0"/>
                <w:numId w:val="147"/>
              </w:numPr>
              <w:overflowPunct w:val="0"/>
              <w:autoSpaceDE w:val="0"/>
              <w:autoSpaceDN w:val="0"/>
              <w:adjustRightInd w:val="0"/>
              <w:spacing w:before="120" w:after="200" w:line="276" w:lineRule="auto"/>
              <w:ind w:left="318"/>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 xml:space="preserve">Retroalimentación grupal sobre los temas presentados en un encuentro sincrónico virtual. </w:t>
            </w:r>
          </w:p>
          <w:p w14:paraId="2799309B" w14:textId="77777777" w:rsidR="00B77F6A" w:rsidRPr="00B77F6A" w:rsidRDefault="00B77F6A" w:rsidP="00B77F6A">
            <w:pPr>
              <w:widowControl w:val="0"/>
              <w:numPr>
                <w:ilvl w:val="0"/>
                <w:numId w:val="147"/>
              </w:numPr>
              <w:overflowPunct w:val="0"/>
              <w:autoSpaceDE w:val="0"/>
              <w:autoSpaceDN w:val="0"/>
              <w:adjustRightInd w:val="0"/>
              <w:spacing w:before="120" w:after="200" w:line="276" w:lineRule="auto"/>
              <w:ind w:left="318"/>
              <w:contextualSpacing/>
              <w:rPr>
                <w:rFonts w:ascii="Calibri" w:eastAsia="Calibri" w:hAnsi="Calibri" w:cs="Calibri"/>
                <w:color w:val="000000"/>
                <w:kern w:val="0"/>
                <w14:ligatures w14:val="none"/>
              </w:rPr>
            </w:pPr>
            <w:r w:rsidRPr="00B77F6A">
              <w:rPr>
                <w:rFonts w:ascii="Calibri" w:eastAsia="Calibri" w:hAnsi="Calibri" w:cs="Calibri"/>
                <w:color w:val="000000"/>
                <w:kern w:val="0"/>
                <w14:ligatures w14:val="none"/>
              </w:rPr>
              <w:t>Participación en el foro: Evaluación del curso (formativo).</w:t>
            </w:r>
          </w:p>
        </w:tc>
      </w:tr>
    </w:tbl>
    <w:p w14:paraId="4ECE9AA7" w14:textId="77777777" w:rsidR="00B77F6A" w:rsidRPr="00B77F6A" w:rsidRDefault="00B77F6A" w:rsidP="00B77F6A">
      <w:pPr>
        <w:overflowPunct w:val="0"/>
        <w:autoSpaceDE w:val="0"/>
        <w:autoSpaceDN w:val="0"/>
        <w:adjustRightInd w:val="0"/>
        <w:spacing w:after="0" w:line="240" w:lineRule="auto"/>
        <w:outlineLvl w:val="0"/>
        <w:rPr>
          <w:rFonts w:ascii="Arial" w:eastAsia="Times New Roman" w:hAnsi="Arial" w:cs="Arial"/>
          <w:kern w:val="0"/>
          <w:sz w:val="24"/>
          <w:szCs w:val="24"/>
          <w:lang w:val="es-ES" w:eastAsia="es-CR"/>
          <w14:ligatures w14:val="none"/>
        </w:rPr>
      </w:pPr>
    </w:p>
    <w:p w14:paraId="670FDA73" w14:textId="77777777" w:rsidR="00B77F6A" w:rsidRPr="00B77F6A" w:rsidRDefault="00B77F6A" w:rsidP="00B77F6A">
      <w:pPr>
        <w:overflowPunct w:val="0"/>
        <w:autoSpaceDE w:val="0"/>
        <w:autoSpaceDN w:val="0"/>
        <w:adjustRightInd w:val="0"/>
        <w:spacing w:after="0" w:line="240" w:lineRule="auto"/>
        <w:outlineLvl w:val="0"/>
        <w:rPr>
          <w:rFonts w:ascii="Arial" w:eastAsia="Times New Roman" w:hAnsi="Arial" w:cs="Arial"/>
          <w:b/>
          <w:color w:val="0070C0"/>
          <w:kern w:val="0"/>
          <w:sz w:val="24"/>
          <w:szCs w:val="24"/>
          <w:lang w:val="es-ES" w:eastAsia="es-CR"/>
          <w14:ligatures w14:val="none"/>
        </w:rPr>
      </w:pPr>
    </w:p>
    <w:p w14:paraId="663C4930" w14:textId="77777777" w:rsidR="00B77F6A" w:rsidRPr="00B77F6A" w:rsidRDefault="00B77F6A" w:rsidP="00B77F6A">
      <w:pPr>
        <w:rPr>
          <w:rFonts w:ascii="Calibri" w:eastAsia="Times New Roman" w:hAnsi="Calibri" w:cs="Calibri"/>
          <w:b/>
          <w:bCs/>
          <w:color w:val="000000"/>
          <w:kern w:val="0"/>
          <w:lang w:val="es-ES_tradnl" w:eastAsia="es-CR"/>
          <w14:ligatures w14:val="none"/>
        </w:rPr>
      </w:pPr>
      <w:r w:rsidRPr="00B77F6A">
        <w:rPr>
          <w:rFonts w:ascii="Calibri" w:eastAsia="Times New Roman" w:hAnsi="Calibri" w:cs="Calibri"/>
          <w:b/>
          <w:bCs/>
          <w:color w:val="000000"/>
          <w:kern w:val="0"/>
          <w:lang w:val="es-ES_tradnl" w:eastAsia="es-CR"/>
          <w14:ligatures w14:val="none"/>
        </w:rPr>
        <w:br w:type="page"/>
      </w:r>
    </w:p>
    <w:p w14:paraId="31D0A75B"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B77F6A">
        <w:rPr>
          <w:rFonts w:ascii="Calibri" w:eastAsia="Times New Roman" w:hAnsi="Calibri" w:cs="Calibri"/>
          <w:b/>
          <w:bCs/>
          <w:color w:val="000000"/>
          <w:kern w:val="0"/>
          <w:lang w:val="es-ES_tradnl" w:eastAsia="es-CR"/>
          <w14:ligatures w14:val="none"/>
        </w:rPr>
        <w:lastRenderedPageBreak/>
        <w:t>IX. Distribución de tiempo semanal</w:t>
      </w:r>
    </w:p>
    <w:p w14:paraId="2CB11DA2"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77F6A">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discusiones en foros o trabajos colaborativos.  Debe considerarse que, al tener este curso asignados 4 créditos, se debe invertir 12 horas de trabajo por semana.  La distribución de tiempos es la siguiente:</w:t>
      </w:r>
    </w:p>
    <w:p w14:paraId="21CAA5F2"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8784" w:type="dxa"/>
        <w:tblLook w:val="04A0" w:firstRow="1" w:lastRow="0" w:firstColumn="1" w:lastColumn="0" w:noHBand="0" w:noVBand="1"/>
      </w:tblPr>
      <w:tblGrid>
        <w:gridCol w:w="1980"/>
        <w:gridCol w:w="1417"/>
        <w:gridCol w:w="5387"/>
      </w:tblGrid>
      <w:tr w:rsidR="00B77F6A" w:rsidRPr="00B77F6A" w14:paraId="0C346271" w14:textId="77777777" w:rsidTr="4C9C2619">
        <w:tc>
          <w:tcPr>
            <w:tcW w:w="1980" w:type="dxa"/>
          </w:tcPr>
          <w:p w14:paraId="764D0370"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77F6A">
              <w:rPr>
                <w:rFonts w:ascii="Calibri" w:eastAsia="Times New Roman" w:hAnsi="Calibri" w:cs="Calibri"/>
                <w:b/>
                <w:bCs/>
                <w:color w:val="000000"/>
                <w:lang w:val="es-ES_tradnl" w:eastAsia="es-CR"/>
              </w:rPr>
              <w:t>Tipo de horas</w:t>
            </w:r>
          </w:p>
          <w:p w14:paraId="0389C751"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77F6A">
              <w:rPr>
                <w:rFonts w:ascii="Calibri" w:eastAsia="Times New Roman" w:hAnsi="Calibri" w:cs="Calibri"/>
                <w:b/>
                <w:bCs/>
                <w:color w:val="000000"/>
                <w:lang w:val="es-ES_tradnl" w:eastAsia="es-CR"/>
              </w:rPr>
              <w:t>(categoría)</w:t>
            </w:r>
          </w:p>
        </w:tc>
        <w:tc>
          <w:tcPr>
            <w:tcW w:w="1417" w:type="dxa"/>
          </w:tcPr>
          <w:p w14:paraId="57B029FE"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77F6A">
              <w:rPr>
                <w:rFonts w:ascii="Calibri" w:eastAsia="Times New Roman" w:hAnsi="Calibri" w:cs="Calibri"/>
                <w:b/>
                <w:bCs/>
                <w:color w:val="000000"/>
                <w:lang w:val="es-ES_tradnl" w:eastAsia="es-CR"/>
              </w:rPr>
              <w:t>Horas por semana</w:t>
            </w:r>
          </w:p>
        </w:tc>
        <w:tc>
          <w:tcPr>
            <w:tcW w:w="5387" w:type="dxa"/>
            <w:vAlign w:val="center"/>
          </w:tcPr>
          <w:p w14:paraId="1C47DEA0"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77F6A">
              <w:rPr>
                <w:rFonts w:ascii="Calibri" w:eastAsia="Times New Roman" w:hAnsi="Calibri" w:cs="Calibri"/>
                <w:b/>
                <w:bCs/>
                <w:color w:val="000000"/>
                <w:lang w:val="es-ES_tradnl" w:eastAsia="es-CR"/>
              </w:rPr>
              <w:t>Actividades relacionadas</w:t>
            </w:r>
          </w:p>
        </w:tc>
      </w:tr>
      <w:tr w:rsidR="00B77F6A" w:rsidRPr="00B77F6A" w14:paraId="02F6320E" w14:textId="77777777" w:rsidTr="4C9C2619">
        <w:trPr>
          <w:trHeight w:val="749"/>
        </w:trPr>
        <w:tc>
          <w:tcPr>
            <w:tcW w:w="1980" w:type="dxa"/>
            <w:vAlign w:val="center"/>
          </w:tcPr>
          <w:p w14:paraId="50B13303"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Horas de Estudio Individual (HEI)</w:t>
            </w:r>
          </w:p>
        </w:tc>
        <w:tc>
          <w:tcPr>
            <w:tcW w:w="1417" w:type="dxa"/>
            <w:vAlign w:val="center"/>
          </w:tcPr>
          <w:p w14:paraId="38FEC924"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4</w:t>
            </w:r>
          </w:p>
        </w:tc>
        <w:tc>
          <w:tcPr>
            <w:tcW w:w="5387" w:type="dxa"/>
          </w:tcPr>
          <w:p w14:paraId="217735C2" w14:textId="77777777" w:rsidR="00B77F6A" w:rsidRPr="00B77F6A" w:rsidRDefault="00B77F6A" w:rsidP="00B77F6A">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Lectura de los textos (materiales en formato digital).</w:t>
            </w:r>
          </w:p>
          <w:p w14:paraId="7556187C" w14:textId="77777777" w:rsidR="00B77F6A" w:rsidRPr="00B77F6A" w:rsidRDefault="00B77F6A" w:rsidP="00B77F6A">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Análisis de lecturas e investigación por cuenta propia.</w:t>
            </w:r>
          </w:p>
        </w:tc>
      </w:tr>
      <w:tr w:rsidR="00B77F6A" w:rsidRPr="00B77F6A" w14:paraId="530C96A6" w14:textId="77777777" w:rsidTr="4C9C2619">
        <w:trPr>
          <w:trHeight w:val="973"/>
        </w:trPr>
        <w:tc>
          <w:tcPr>
            <w:tcW w:w="1980" w:type="dxa"/>
            <w:vAlign w:val="center"/>
          </w:tcPr>
          <w:p w14:paraId="39EAF0DE"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Horas de Trabajo Colaborativo (HTC)</w:t>
            </w:r>
          </w:p>
        </w:tc>
        <w:tc>
          <w:tcPr>
            <w:tcW w:w="1417" w:type="dxa"/>
            <w:vAlign w:val="center"/>
          </w:tcPr>
          <w:p w14:paraId="05274DD2"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3</w:t>
            </w:r>
          </w:p>
        </w:tc>
        <w:tc>
          <w:tcPr>
            <w:tcW w:w="5387" w:type="dxa"/>
          </w:tcPr>
          <w:p w14:paraId="4FE11B40" w14:textId="77777777" w:rsidR="00B77F6A" w:rsidRPr="00B77F6A" w:rsidRDefault="00B77F6A" w:rsidP="00B77F6A">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Participación en los foros (incluye aportes al debate y análisis grupal).</w:t>
            </w:r>
          </w:p>
          <w:p w14:paraId="09DF354E" w14:textId="77777777" w:rsidR="00B77F6A" w:rsidRPr="00B77F6A" w:rsidRDefault="00B77F6A" w:rsidP="00B77F6A">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Participación en los encuentros sincrónicos virtuales.</w:t>
            </w:r>
          </w:p>
        </w:tc>
      </w:tr>
      <w:tr w:rsidR="00B77F6A" w:rsidRPr="00B77F6A" w14:paraId="7DFF8D20" w14:textId="77777777" w:rsidTr="4C9C2619">
        <w:trPr>
          <w:trHeight w:val="2262"/>
        </w:trPr>
        <w:tc>
          <w:tcPr>
            <w:tcW w:w="1980" w:type="dxa"/>
            <w:vAlign w:val="center"/>
          </w:tcPr>
          <w:p w14:paraId="24FC49AE"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Horas de Producción Individual (HPI)</w:t>
            </w:r>
          </w:p>
        </w:tc>
        <w:tc>
          <w:tcPr>
            <w:tcW w:w="1417" w:type="dxa"/>
            <w:vAlign w:val="center"/>
          </w:tcPr>
          <w:p w14:paraId="7DA356D9"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3</w:t>
            </w:r>
          </w:p>
        </w:tc>
        <w:tc>
          <w:tcPr>
            <w:tcW w:w="5387" w:type="dxa"/>
          </w:tcPr>
          <w:p w14:paraId="7E47BD56" w14:textId="77777777" w:rsidR="00B77F6A" w:rsidRPr="00B77F6A" w:rsidRDefault="00B77F6A" w:rsidP="00B77F6A">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 xml:space="preserve">Elaboración de tareas de documentación (reseña crítica de lectura, síntesis crítica de lectura, sistematización, ensayo crítico, investigación). </w:t>
            </w:r>
          </w:p>
          <w:p w14:paraId="21378BD9" w14:textId="77777777" w:rsidR="00B77F6A" w:rsidRPr="00B77F6A" w:rsidRDefault="00B77F6A" w:rsidP="00B77F6A">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 xml:space="preserve">Elaboración de tareas de análisis (investigación y análisis de una situación, análisis de testimonios, historia de vida de una mujer, prediagnóstico institucional de una iglesia, análisis de una película. </w:t>
            </w:r>
          </w:p>
          <w:p w14:paraId="6AFCC431" w14:textId="77777777" w:rsidR="00B77F6A" w:rsidRPr="00B77F6A" w:rsidRDefault="00B77F6A" w:rsidP="00B77F6A">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B77F6A">
              <w:rPr>
                <w:rFonts w:ascii="Calibri" w:eastAsia="Calibri" w:hAnsi="Calibri" w:cs="Calibri"/>
                <w:bCs/>
                <w:color w:val="000000"/>
              </w:rPr>
              <w:t xml:space="preserve">Elaboración de una monografía final. </w:t>
            </w:r>
          </w:p>
        </w:tc>
      </w:tr>
      <w:tr w:rsidR="00B77F6A" w:rsidRPr="00B77F6A" w14:paraId="4035AB58" w14:textId="77777777" w:rsidTr="4C9C2619">
        <w:trPr>
          <w:trHeight w:val="693"/>
        </w:trPr>
        <w:tc>
          <w:tcPr>
            <w:tcW w:w="1980" w:type="dxa"/>
            <w:vAlign w:val="center"/>
          </w:tcPr>
          <w:p w14:paraId="4FD5F23F"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Horas de Práctica (HP)</w:t>
            </w:r>
          </w:p>
        </w:tc>
        <w:tc>
          <w:tcPr>
            <w:tcW w:w="1417" w:type="dxa"/>
            <w:vAlign w:val="center"/>
          </w:tcPr>
          <w:p w14:paraId="5DBB2AD5"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B77F6A">
              <w:rPr>
                <w:rFonts w:ascii="Calibri" w:eastAsia="Times New Roman" w:hAnsi="Calibri" w:cs="Calibri"/>
                <w:bCs/>
                <w:color w:val="000000"/>
                <w:lang w:val="es-ES_tradnl" w:eastAsia="es-CR"/>
              </w:rPr>
              <w:t>2</w:t>
            </w:r>
          </w:p>
        </w:tc>
        <w:tc>
          <w:tcPr>
            <w:tcW w:w="5387" w:type="dxa"/>
            <w:vAlign w:val="center"/>
          </w:tcPr>
          <w:p w14:paraId="7067264F" w14:textId="77777777" w:rsidR="00B77F6A" w:rsidRPr="00B77F6A" w:rsidRDefault="00B77F6A" w:rsidP="00B77F6A">
            <w:pPr>
              <w:widowControl w:val="0"/>
              <w:numPr>
                <w:ilvl w:val="0"/>
                <w:numId w:val="36"/>
              </w:numPr>
              <w:overflowPunct w:val="0"/>
              <w:autoSpaceDE w:val="0"/>
              <w:autoSpaceDN w:val="0"/>
              <w:adjustRightInd w:val="0"/>
              <w:spacing w:before="120"/>
              <w:contextualSpacing/>
              <w:rPr>
                <w:rFonts w:ascii="Calibri" w:eastAsia="Calibri" w:hAnsi="Calibri" w:cs="Calibri"/>
                <w:bCs/>
                <w:color w:val="000000"/>
              </w:rPr>
            </w:pPr>
            <w:r w:rsidRPr="00B77F6A">
              <w:rPr>
                <w:rFonts w:ascii="Calibri" w:eastAsia="Calibri" w:hAnsi="Calibri" w:cs="Calibri"/>
                <w:bCs/>
                <w:color w:val="000000"/>
              </w:rPr>
              <w:t>Estudios de casos.</w:t>
            </w:r>
          </w:p>
        </w:tc>
      </w:tr>
      <w:tr w:rsidR="00B77F6A" w:rsidRPr="00B77F6A" w14:paraId="172D8A4D" w14:textId="77777777" w:rsidTr="4C9C2619">
        <w:tc>
          <w:tcPr>
            <w:tcW w:w="1980" w:type="dxa"/>
            <w:vAlign w:val="center"/>
          </w:tcPr>
          <w:p w14:paraId="65FB388A" w14:textId="77777777" w:rsidR="00B77F6A" w:rsidRPr="00B77F6A" w:rsidRDefault="4C9C2619" w:rsidP="4C9C2619">
            <w:pPr>
              <w:widowControl w:val="0"/>
              <w:overflowPunct w:val="0"/>
              <w:autoSpaceDE w:val="0"/>
              <w:autoSpaceDN w:val="0"/>
              <w:adjustRightInd w:val="0"/>
              <w:jc w:val="center"/>
              <w:rPr>
                <w:rFonts w:ascii="Calibri" w:eastAsia="Times New Roman" w:hAnsi="Calibri" w:cs="Calibri"/>
                <w:b/>
                <w:bCs/>
                <w:color w:val="000000"/>
                <w:lang w:val="es-ES" w:eastAsia="es-CR"/>
              </w:rPr>
            </w:pPr>
            <w:r w:rsidRPr="4C9C2619">
              <w:rPr>
                <w:rFonts w:ascii="Calibri" w:eastAsia="Times New Roman" w:hAnsi="Calibri" w:cs="Calibri"/>
                <w:b/>
                <w:bCs/>
                <w:color w:val="000000" w:themeColor="text1"/>
                <w:lang w:val="es-ES" w:eastAsia="es-CR"/>
              </w:rPr>
              <w:t>Total de horas (TH)</w:t>
            </w:r>
          </w:p>
        </w:tc>
        <w:tc>
          <w:tcPr>
            <w:tcW w:w="1417" w:type="dxa"/>
          </w:tcPr>
          <w:p w14:paraId="71B503B6"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B77F6A">
              <w:rPr>
                <w:rFonts w:ascii="Calibri" w:eastAsia="Times New Roman" w:hAnsi="Calibri" w:cs="Calibri"/>
                <w:b/>
                <w:bCs/>
                <w:color w:val="000000"/>
                <w:lang w:val="es-ES_tradnl" w:eastAsia="es-CR"/>
              </w:rPr>
              <w:t>12</w:t>
            </w:r>
          </w:p>
        </w:tc>
        <w:tc>
          <w:tcPr>
            <w:tcW w:w="5387" w:type="dxa"/>
          </w:tcPr>
          <w:p w14:paraId="485C4771" w14:textId="77777777" w:rsidR="00B77F6A" w:rsidRPr="00B77F6A" w:rsidRDefault="00B77F6A" w:rsidP="00B77F6A">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491F740E"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6B40CE2" w14:textId="77777777" w:rsidR="00B77F6A" w:rsidRPr="00B77F6A" w:rsidRDefault="00B77F6A"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545F2519" w14:textId="77777777" w:rsidR="00B77F6A" w:rsidRPr="00B77F6A" w:rsidRDefault="00B77F6A" w:rsidP="00B77F6A">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611F189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00FFDB10"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p w14:paraId="7283A5BD" w14:textId="77777777" w:rsidR="00B77F6A" w:rsidRPr="00B77F6A" w:rsidRDefault="00B77F6A" w:rsidP="00B77F6A">
      <w:pPr>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br w:type="page"/>
      </w:r>
    </w:p>
    <w:p w14:paraId="3F7A34F4"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lastRenderedPageBreak/>
        <w:t>X. Evaluación</w:t>
      </w:r>
    </w:p>
    <w:p w14:paraId="4E4E4C3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p>
    <w:p w14:paraId="2CCF5A3D"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La evaluación sumativa se realizará a partir de las diferentes tareas y actividades que se realizarán durante el curso. Entre ellas encontramos las tareas de documentación, las tareas de análisis, los aportes al debate y análisis grupal a través de los foros habilitados en el aula virtual, la monografía final y su presentación audiovisual, y los encuentros sincrónicos virtuales. Será una evaluación continua a lo largo del curso, con entrega semanal de tareas revisadas con el fin de que los y las estudiantes puedan apreciar su avance en el aprendizaje. Cada actividad será evaluada según los criterios señalados en las rúbricas o escalas. La nota mínima de aprobación del curso es de 7.00 (en escala decimal) y los elementos a evaluar para el cálculo de la nota son los siguientes:</w:t>
      </w:r>
    </w:p>
    <w:p w14:paraId="29C591BB"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5"/>
        <w:gridCol w:w="1203"/>
      </w:tblGrid>
      <w:tr w:rsidR="00B77F6A" w:rsidRPr="00B77F6A" w14:paraId="5DDCA10B" w14:textId="77777777" w:rsidTr="00CE7124">
        <w:tc>
          <w:tcPr>
            <w:tcW w:w="8578" w:type="dxa"/>
            <w:gridSpan w:val="2"/>
          </w:tcPr>
          <w:p w14:paraId="1B7475EC"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Síntesis cuantitativa de la evaluación</w:t>
            </w:r>
          </w:p>
        </w:tc>
      </w:tr>
      <w:tr w:rsidR="00B77F6A" w:rsidRPr="00B77F6A" w14:paraId="153E4EE1" w14:textId="77777777" w:rsidTr="00CE7124">
        <w:tc>
          <w:tcPr>
            <w:tcW w:w="7375" w:type="dxa"/>
            <w:vAlign w:val="center"/>
          </w:tcPr>
          <w:p w14:paraId="741B19AE"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Rubros para evaluar</w:t>
            </w:r>
          </w:p>
        </w:tc>
        <w:tc>
          <w:tcPr>
            <w:tcW w:w="1203" w:type="dxa"/>
          </w:tcPr>
          <w:p w14:paraId="4EB51D9F"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Porcentaje total</w:t>
            </w:r>
          </w:p>
        </w:tc>
      </w:tr>
      <w:tr w:rsidR="00B77F6A" w:rsidRPr="00B77F6A" w14:paraId="73E76BFA" w14:textId="77777777" w:rsidTr="00CE7124">
        <w:tc>
          <w:tcPr>
            <w:tcW w:w="7375" w:type="dxa"/>
            <w:vAlign w:val="center"/>
          </w:tcPr>
          <w:p w14:paraId="1264D9B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i/>
                <w:iCs/>
                <w:color w:val="0070C0"/>
                <w:kern w:val="0"/>
                <w:lang w:val="es-ES" w:eastAsia="es-CR"/>
                <w14:ligatures w14:val="none"/>
              </w:rPr>
            </w:pPr>
            <w:r w:rsidRPr="00B77F6A">
              <w:rPr>
                <w:rFonts w:ascii="Calibri" w:eastAsia="Times New Roman" w:hAnsi="Calibri" w:cs="Arial"/>
                <w:b/>
                <w:i/>
                <w:iCs/>
                <w:color w:val="0070C0"/>
                <w:kern w:val="0"/>
                <w:lang w:val="es-ES" w:eastAsia="es-CR"/>
                <w14:ligatures w14:val="none"/>
              </w:rPr>
              <w:t>Encuentros sincrónicos virtuales</w:t>
            </w:r>
          </w:p>
          <w:p w14:paraId="4201225D"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color w:val="000000"/>
                <w:kern w:val="0"/>
                <w:lang w:val="es-ES" w:eastAsia="es-CR"/>
                <w14:ligatures w14:val="none"/>
              </w:rPr>
            </w:pPr>
            <w:r w:rsidRPr="00B77F6A">
              <w:rPr>
                <w:rFonts w:ascii="Calibri" w:eastAsia="Times New Roman" w:hAnsi="Calibri" w:cs="Arial"/>
                <w:bCs/>
                <w:color w:val="0070C0"/>
                <w:kern w:val="0"/>
                <w:lang w:val="es-ES" w:eastAsia="es-CR"/>
                <w14:ligatures w14:val="none"/>
              </w:rPr>
              <w:t xml:space="preserve">Se llevan a cabo en las sesiones </w:t>
            </w:r>
            <w:r w:rsidRPr="00B77F6A">
              <w:rPr>
                <w:rFonts w:ascii="Calibri" w:eastAsia="Times New Roman" w:hAnsi="Calibri" w:cs="Calibri"/>
                <w:bCs/>
                <w:color w:val="0070C0"/>
                <w:kern w:val="0"/>
                <w:lang w:val="es-ES_tradnl" w:eastAsia="es-CR"/>
                <w14:ligatures w14:val="none"/>
              </w:rPr>
              <w:t>1, 2, 3, 9, 11, 12, 13, 14 y 15. Tienen un valor formativo y no sumativo.</w:t>
            </w:r>
          </w:p>
        </w:tc>
        <w:tc>
          <w:tcPr>
            <w:tcW w:w="1203" w:type="dxa"/>
            <w:vAlign w:val="center"/>
          </w:tcPr>
          <w:p w14:paraId="40901E4E"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b/>
                <w:color w:val="0070C0"/>
                <w:kern w:val="0"/>
                <w:lang w:val="es-ES" w:eastAsia="es-CR"/>
                <w14:ligatures w14:val="none"/>
              </w:rPr>
            </w:pPr>
            <w:r w:rsidRPr="00B77F6A">
              <w:rPr>
                <w:rFonts w:ascii="Calibri" w:eastAsia="Times New Roman" w:hAnsi="Calibri" w:cs="Calibri"/>
                <w:color w:val="0070C0"/>
                <w:kern w:val="0"/>
                <w:lang w:val="es-ES_tradnl" w:eastAsia="es-CR"/>
                <w14:ligatures w14:val="none"/>
              </w:rPr>
              <w:t>̶</w:t>
            </w:r>
          </w:p>
        </w:tc>
      </w:tr>
      <w:tr w:rsidR="00B77F6A" w:rsidRPr="00B77F6A" w14:paraId="55BADBC3" w14:textId="77777777" w:rsidTr="00CE7124">
        <w:tc>
          <w:tcPr>
            <w:tcW w:w="7375" w:type="dxa"/>
          </w:tcPr>
          <w:p w14:paraId="10264744"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B77F6A">
              <w:rPr>
                <w:rFonts w:ascii="Calibri" w:eastAsia="Times New Roman" w:hAnsi="Calibri" w:cs="Arial"/>
                <w:b/>
                <w:i/>
                <w:color w:val="000000"/>
                <w:kern w:val="0"/>
                <w:lang w:val="es-ES" w:eastAsia="es-CR"/>
                <w14:ligatures w14:val="none"/>
              </w:rPr>
              <w:t>Tareas de documentación</w:t>
            </w:r>
          </w:p>
          <w:p w14:paraId="2788AF7B"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Las tareas de documentación tienen un valor de 5% cada una y se distribuyen de la siguiente forma:</w:t>
            </w:r>
          </w:p>
          <w:p w14:paraId="41C0C8DE"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Reseña crítica de lectura (sesión 2).</w:t>
            </w:r>
          </w:p>
          <w:p w14:paraId="1BE6B58E"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Dos síntesis críticas de lectura (sesiones 3 y 8).</w:t>
            </w:r>
          </w:p>
          <w:p w14:paraId="7CCFD84E"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Sistematización (sesión 5).</w:t>
            </w:r>
          </w:p>
          <w:p w14:paraId="4CAA32BA"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Ensayo crítico (sesión 6).</w:t>
            </w:r>
          </w:p>
          <w:p w14:paraId="3868F64B"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Investigación (sesión 11).</w:t>
            </w:r>
          </w:p>
        </w:tc>
        <w:tc>
          <w:tcPr>
            <w:tcW w:w="1203" w:type="dxa"/>
            <w:vAlign w:val="center"/>
          </w:tcPr>
          <w:p w14:paraId="2DBD643A"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30%</w:t>
            </w:r>
          </w:p>
        </w:tc>
      </w:tr>
      <w:tr w:rsidR="00B77F6A" w:rsidRPr="00B77F6A" w14:paraId="3B7FB8A2" w14:textId="77777777" w:rsidTr="00CE7124">
        <w:tc>
          <w:tcPr>
            <w:tcW w:w="7375" w:type="dxa"/>
          </w:tcPr>
          <w:p w14:paraId="7C8DA7B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B77F6A">
              <w:rPr>
                <w:rFonts w:ascii="Calibri" w:eastAsia="Times New Roman" w:hAnsi="Calibri" w:cs="Arial"/>
                <w:b/>
                <w:i/>
                <w:color w:val="000000"/>
                <w:kern w:val="0"/>
                <w:lang w:val="es-ES" w:eastAsia="es-CR"/>
                <w14:ligatures w14:val="none"/>
              </w:rPr>
              <w:t>Tareas de análisis</w:t>
            </w:r>
          </w:p>
          <w:p w14:paraId="6169376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Las tareas de análisis tienen un valor de 5% cada una y se distribuyen de la siguiente forma:</w:t>
            </w:r>
          </w:p>
          <w:p w14:paraId="1C7F75B6"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Investigación y análisis de una situación (sesión 4).</w:t>
            </w:r>
          </w:p>
          <w:p w14:paraId="60D3944B"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Análisis de testimonios (sesión 7).</w:t>
            </w:r>
          </w:p>
          <w:p w14:paraId="2FECDE88"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Historia de vida de una mujer (sesión 9).</w:t>
            </w:r>
          </w:p>
          <w:p w14:paraId="2D21E6B7"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Prediagnóstico institucional de una iglesia (sesión 10).</w:t>
            </w:r>
          </w:p>
          <w:p w14:paraId="089CD61F"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 Análisis de una película (sesión 12).</w:t>
            </w:r>
          </w:p>
        </w:tc>
        <w:tc>
          <w:tcPr>
            <w:tcW w:w="1203" w:type="dxa"/>
            <w:vAlign w:val="center"/>
          </w:tcPr>
          <w:p w14:paraId="03CF1C5C"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25%</w:t>
            </w:r>
          </w:p>
        </w:tc>
      </w:tr>
      <w:tr w:rsidR="00B77F6A" w:rsidRPr="00B77F6A" w14:paraId="48CB1C5D" w14:textId="77777777" w:rsidTr="00CE7124">
        <w:tc>
          <w:tcPr>
            <w:tcW w:w="7375" w:type="dxa"/>
          </w:tcPr>
          <w:p w14:paraId="2DDAF612"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B77F6A">
              <w:rPr>
                <w:rFonts w:ascii="Calibri" w:eastAsia="Times New Roman" w:hAnsi="Calibri" w:cs="Arial"/>
                <w:b/>
                <w:i/>
                <w:color w:val="000000"/>
                <w:kern w:val="0"/>
                <w:lang w:val="es-ES" w:eastAsia="es-CR"/>
                <w14:ligatures w14:val="none"/>
              </w:rPr>
              <w:t>Aportes al debate y análisis grupal</w:t>
            </w:r>
          </w:p>
          <w:p w14:paraId="441ED480"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El porcentaje total establecido para este rubro se aplica para los foros de las sesiones 2, 3, 4, 5, 6, 7, 8, 9, 10 y 12.</w:t>
            </w:r>
          </w:p>
        </w:tc>
        <w:tc>
          <w:tcPr>
            <w:tcW w:w="1203" w:type="dxa"/>
          </w:tcPr>
          <w:p w14:paraId="6DCB02AC"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color w:val="000000"/>
                <w:kern w:val="0"/>
                <w:lang w:val="es-ES" w:eastAsia="es-CR"/>
                <w14:ligatures w14:val="none"/>
              </w:rPr>
            </w:pPr>
          </w:p>
          <w:p w14:paraId="203267F6"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70C0"/>
                <w:kern w:val="0"/>
                <w:lang w:val="es-ES" w:eastAsia="es-CR"/>
                <w14:ligatures w14:val="none"/>
              </w:rPr>
              <w:t>20%</w:t>
            </w:r>
          </w:p>
        </w:tc>
      </w:tr>
      <w:tr w:rsidR="00B77F6A" w:rsidRPr="00B77F6A" w14:paraId="3AE1A6C1" w14:textId="77777777" w:rsidTr="00CE7124">
        <w:tc>
          <w:tcPr>
            <w:tcW w:w="7375" w:type="dxa"/>
          </w:tcPr>
          <w:p w14:paraId="330BE704"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B77F6A">
              <w:rPr>
                <w:rFonts w:ascii="Calibri" w:eastAsia="Times New Roman" w:hAnsi="Calibri" w:cs="Arial"/>
                <w:b/>
                <w:i/>
                <w:color w:val="000000"/>
                <w:kern w:val="0"/>
                <w:lang w:val="es-ES" w:eastAsia="es-CR"/>
                <w14:ligatures w14:val="none"/>
              </w:rPr>
              <w:t>Monografía final</w:t>
            </w:r>
          </w:p>
          <w:p w14:paraId="6AAA4603"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Cs/>
                <w:iCs/>
                <w:color w:val="000000"/>
                <w:kern w:val="0"/>
                <w:lang w:val="es-ES" w:eastAsia="es-CR"/>
                <w14:ligatures w14:val="none"/>
              </w:rPr>
              <w:t>Se elabora desde la sesión 1 hasta la 15 y su porcentaje se distribuye de la siguiente forma:</w:t>
            </w:r>
          </w:p>
          <w:p w14:paraId="214CDED2"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p>
          <w:p w14:paraId="1D0CF030"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
                <w:iCs/>
                <w:color w:val="000000"/>
                <w:kern w:val="0"/>
                <w:lang w:val="es-ES" w:eastAsia="es-CR"/>
                <w14:ligatures w14:val="none"/>
              </w:rPr>
              <w:t>- Monografía final escrita</w:t>
            </w:r>
            <w:r w:rsidRPr="00B77F6A">
              <w:rPr>
                <w:rFonts w:ascii="Calibri" w:eastAsia="Times New Roman" w:hAnsi="Calibri" w:cs="Arial"/>
                <w:bCs/>
                <w:iCs/>
                <w:color w:val="000000"/>
                <w:kern w:val="0"/>
                <w:lang w:val="es-ES" w:eastAsia="es-CR"/>
                <w14:ligatures w14:val="none"/>
              </w:rPr>
              <w:t xml:space="preserve"> (20%). Se entrega en las sesiones 13, 14 y 15 según asignación docente.</w:t>
            </w:r>
          </w:p>
          <w:p w14:paraId="1467295F" w14:textId="77777777" w:rsidR="00B77F6A" w:rsidRPr="00B77F6A" w:rsidRDefault="00B77F6A" w:rsidP="00B77F6A">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B77F6A">
              <w:rPr>
                <w:rFonts w:ascii="Calibri" w:eastAsia="Times New Roman" w:hAnsi="Calibri" w:cs="Arial"/>
                <w:b/>
                <w:iCs/>
                <w:color w:val="000000"/>
                <w:kern w:val="0"/>
                <w:lang w:val="es-ES" w:eastAsia="es-CR"/>
                <w14:ligatures w14:val="none"/>
              </w:rPr>
              <w:t>- Síntesis de la monografía en formato audiovisual</w:t>
            </w:r>
            <w:r w:rsidRPr="00B77F6A">
              <w:rPr>
                <w:rFonts w:ascii="Calibri" w:eastAsia="Times New Roman" w:hAnsi="Calibri" w:cs="Arial"/>
                <w:bCs/>
                <w:iCs/>
                <w:color w:val="000000"/>
                <w:kern w:val="0"/>
                <w:lang w:val="es-ES" w:eastAsia="es-CR"/>
                <w14:ligatures w14:val="none"/>
              </w:rPr>
              <w:t xml:space="preserve"> (5%). Se presenta en las sesiones 13, 14 y 15 según asignación docente.</w:t>
            </w:r>
          </w:p>
        </w:tc>
        <w:tc>
          <w:tcPr>
            <w:tcW w:w="1203" w:type="dxa"/>
            <w:vAlign w:val="center"/>
          </w:tcPr>
          <w:p w14:paraId="54AAE35F"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B77F6A">
              <w:rPr>
                <w:rFonts w:ascii="Calibri" w:eastAsia="Times New Roman" w:hAnsi="Calibri" w:cs="Arial"/>
                <w:color w:val="000000"/>
                <w:kern w:val="0"/>
                <w:lang w:val="es-ES" w:eastAsia="es-CR"/>
                <w14:ligatures w14:val="none"/>
              </w:rPr>
              <w:t>25%</w:t>
            </w:r>
          </w:p>
        </w:tc>
      </w:tr>
      <w:tr w:rsidR="00B77F6A" w:rsidRPr="00B77F6A" w14:paraId="4A3F8318" w14:textId="77777777" w:rsidTr="00CE7124">
        <w:tc>
          <w:tcPr>
            <w:tcW w:w="7375" w:type="dxa"/>
          </w:tcPr>
          <w:p w14:paraId="7DC6FB86" w14:textId="77777777" w:rsidR="00B77F6A" w:rsidRPr="00B77F6A" w:rsidRDefault="00B77F6A" w:rsidP="00B77F6A">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Total</w:t>
            </w:r>
          </w:p>
        </w:tc>
        <w:tc>
          <w:tcPr>
            <w:tcW w:w="1203" w:type="dxa"/>
          </w:tcPr>
          <w:p w14:paraId="55AC3379" w14:textId="77777777" w:rsidR="00B77F6A" w:rsidRPr="00B77F6A" w:rsidRDefault="00B77F6A" w:rsidP="00B77F6A">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B77F6A">
              <w:rPr>
                <w:rFonts w:ascii="Calibri" w:eastAsia="Times New Roman" w:hAnsi="Calibri" w:cs="Arial"/>
                <w:b/>
                <w:color w:val="000000"/>
                <w:kern w:val="0"/>
                <w:lang w:val="es-ES" w:eastAsia="es-CR"/>
                <w14:ligatures w14:val="none"/>
              </w:rPr>
              <w:t>100%</w:t>
            </w:r>
          </w:p>
        </w:tc>
      </w:tr>
    </w:tbl>
    <w:p w14:paraId="01951D45" w14:textId="77777777" w:rsidR="00B77F6A" w:rsidRPr="00B77F6A" w:rsidRDefault="00B77F6A" w:rsidP="00B77F6A">
      <w:pPr>
        <w:widowControl w:val="0"/>
        <w:overflowPunct w:val="0"/>
        <w:autoSpaceDE w:val="0"/>
        <w:autoSpaceDN w:val="0"/>
        <w:adjustRightInd w:val="0"/>
        <w:spacing w:before="120" w:after="0" w:line="240" w:lineRule="auto"/>
        <w:jc w:val="center"/>
        <w:rPr>
          <w:rFonts w:ascii="Calibri" w:eastAsia="Times New Roman" w:hAnsi="Calibri" w:cs="Arial"/>
          <w:b/>
          <w:bCs/>
          <w:color w:val="000000"/>
          <w:kern w:val="0"/>
          <w:lang w:val="es-ES_tradnl" w:eastAsia="es-CR"/>
          <w14:ligatures w14:val="none"/>
        </w:rPr>
      </w:pPr>
    </w:p>
    <w:p w14:paraId="5090829C" w14:textId="77777777" w:rsidR="00B77F6A" w:rsidRPr="00B77F6A" w:rsidRDefault="00B77F6A" w:rsidP="00B77F6A">
      <w:pPr>
        <w:rPr>
          <w:rFonts w:ascii="Calibri" w:eastAsia="Times New Roman" w:hAnsi="Calibri" w:cs="Arial"/>
          <w:b/>
          <w:bCs/>
          <w:color w:val="000000"/>
          <w:kern w:val="0"/>
          <w:lang w:val="es-ES_tradnl" w:eastAsia="es-CR"/>
          <w14:ligatures w14:val="none"/>
        </w:rPr>
      </w:pPr>
      <w:r w:rsidRPr="00B77F6A">
        <w:rPr>
          <w:rFonts w:ascii="Calibri" w:eastAsia="Times New Roman" w:hAnsi="Calibri" w:cs="Arial"/>
          <w:b/>
          <w:bCs/>
          <w:color w:val="000000"/>
          <w:kern w:val="0"/>
          <w:lang w:val="es-ES_tradnl" w:eastAsia="es-CR"/>
          <w14:ligatures w14:val="none"/>
        </w:rPr>
        <w:br w:type="page"/>
      </w:r>
    </w:p>
    <w:p w14:paraId="52EF6A6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sectPr w:rsidR="00B77F6A" w:rsidRPr="00B77F6A" w:rsidSect="005C1895">
          <w:headerReference w:type="default" r:id="rId247"/>
          <w:pgSz w:w="12240" w:h="15840"/>
          <w:pgMar w:top="1417" w:right="1701" w:bottom="1417" w:left="1701" w:header="708" w:footer="708" w:gutter="0"/>
          <w:pgNumType w:start="227"/>
          <w:cols w:space="708"/>
          <w:docGrid w:linePitch="360"/>
        </w:sectPr>
      </w:pPr>
    </w:p>
    <w:p w14:paraId="45D1942F"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65824" behindDoc="0" locked="0" layoutInCell="1" allowOverlap="1" wp14:anchorId="6BE49EF3" wp14:editId="3CB2B01C">
                <wp:simplePos x="0" y="0"/>
                <wp:positionH relativeFrom="margin">
                  <wp:align>center</wp:align>
                </wp:positionH>
                <wp:positionV relativeFrom="paragraph">
                  <wp:posOffset>-250190</wp:posOffset>
                </wp:positionV>
                <wp:extent cx="7879080" cy="426720"/>
                <wp:effectExtent l="0" t="0" r="26670" b="11430"/>
                <wp:wrapNone/>
                <wp:docPr id="11341690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3C843E13" w14:textId="77777777" w:rsidR="00B77F6A" w:rsidRPr="00B77F6A" w:rsidRDefault="00B77F6A" w:rsidP="00B77F6A">
                            <w:pPr>
                              <w:jc w:val="center"/>
                              <w:rPr>
                                <w:rFonts w:cs="Calibri"/>
                                <w:b/>
                              </w:rPr>
                            </w:pPr>
                            <w:r w:rsidRPr="00B77F6A">
                              <w:rPr>
                                <w:rFonts w:cs="Calibri"/>
                                <w:b/>
                              </w:rPr>
                              <w:t>RÚBRICA DE EVALUACIÓN – RESEÑA CRÍTICA DE LECTURA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49EF3" id="_x0000_s1129" type="#_x0000_t202" style="position:absolute;margin-left:0;margin-top:-19.7pt;width:620.4pt;height:33.6pt;z-index:2523658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">
                <v:textbox>
                  <w:txbxContent>
                    <w:p w14:paraId="3C843E13" w14:textId="77777777" w:rsidR="00B77F6A" w:rsidRPr="00B77F6A" w:rsidRDefault="00B77F6A" w:rsidP="00B77F6A">
                      <w:pPr>
                        <w:jc w:val="center"/>
                        <w:rPr>
                          <w:rFonts w:cs="Calibri"/>
                          <w:b/>
                        </w:rPr>
                      </w:pPr>
                      <w:r w:rsidRPr="00B77F6A">
                        <w:rPr>
                          <w:rFonts w:cs="Calibri"/>
                          <w:b/>
                        </w:rPr>
                        <w:t>RÚBRICA DE EVALUACIÓN – RESEÑA CRÍTICA DE LECTURA</w:t>
                      </w:r>
                    </w:p>
                  </w:txbxContent>
                </v:textbox>
                <w10:wrap anchorx="margin"/>
              </v:shape>
            </w:pict>
          </mc:Fallback>
        </mc:AlternateContent>
      </w:r>
    </w:p>
    <w:p w14:paraId="142EB3B5"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5EB0D80E"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La realización de una reseña crítica de lectura permite exponer, en primera instancia, las ideas de una persona autora y, en segundo lugar, hacer un análisis crítico de estas retomando lo más significativo, para por último contextualizar dichas ideas para la realidad latinoamericana y caribeña. Se elabora en la sesión 2 y tiene un valor de 5%.</w:t>
      </w:r>
    </w:p>
    <w:p w14:paraId="415D7EDB"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3AD8755F"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66848" behindDoc="0" locked="0" layoutInCell="1" allowOverlap="1" wp14:anchorId="2E1B084D" wp14:editId="5E1A3B8D">
            <wp:simplePos x="0" y="0"/>
            <wp:positionH relativeFrom="margin">
              <wp:align>center</wp:align>
            </wp:positionH>
            <wp:positionV relativeFrom="paragraph">
              <wp:posOffset>37782</wp:posOffset>
            </wp:positionV>
            <wp:extent cx="8973312" cy="5718048"/>
            <wp:effectExtent l="0" t="0" r="0" b="0"/>
            <wp:wrapNone/>
            <wp:docPr id="18611430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14300" name="Imagen 1" descr="Tabla&#10;&#10;Descripción generada automáticamente"/>
                    <pic:cNvPicPr/>
                  </pic:nvPicPr>
                  <pic:blipFill>
                    <a:blip r:embed="rId248">
                      <a:extLst>
                        <a:ext uri="{28A0092B-C50C-407E-A947-70E740481C1C}">
                          <a14:useLocalDpi xmlns:a14="http://schemas.microsoft.com/office/drawing/2010/main" val="0"/>
                        </a:ext>
                      </a:extLst>
                    </a:blip>
                    <a:stretch>
                      <a:fillRect/>
                    </a:stretch>
                  </pic:blipFill>
                  <pic:spPr>
                    <a:xfrm>
                      <a:off x="0" y="0"/>
                      <a:ext cx="8973312" cy="5718048"/>
                    </a:xfrm>
                    <a:prstGeom prst="rect">
                      <a:avLst/>
                    </a:prstGeom>
                  </pic:spPr>
                </pic:pic>
              </a:graphicData>
            </a:graphic>
          </wp:anchor>
        </w:drawing>
      </w:r>
    </w:p>
    <w:p w14:paraId="1D1B80E0"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
          <w:color w:val="000000"/>
          <w:kern w:val="0"/>
          <w:lang w:val="es-ES_tradnl" w:eastAsia="es-CR"/>
          <w14:ligatures w14:val="none"/>
        </w:rPr>
      </w:pPr>
    </w:p>
    <w:p w14:paraId="432BD02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br w:type="page"/>
      </w:r>
    </w:p>
    <w:p w14:paraId="02DDBD58"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67872" behindDoc="0" locked="0" layoutInCell="1" allowOverlap="1" wp14:anchorId="2F6B784D" wp14:editId="48F2E0EA">
                <wp:simplePos x="0" y="0"/>
                <wp:positionH relativeFrom="margin">
                  <wp:align>center</wp:align>
                </wp:positionH>
                <wp:positionV relativeFrom="paragraph">
                  <wp:posOffset>-229870</wp:posOffset>
                </wp:positionV>
                <wp:extent cx="7879080" cy="426720"/>
                <wp:effectExtent l="0" t="0" r="26670" b="11430"/>
                <wp:wrapNone/>
                <wp:docPr id="18719820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6720"/>
                        </a:xfrm>
                        <a:prstGeom prst="rect">
                          <a:avLst/>
                        </a:prstGeom>
                        <a:solidFill>
                          <a:srgbClr val="FFFFFF"/>
                        </a:solidFill>
                        <a:ln w="9525">
                          <a:solidFill>
                            <a:srgbClr val="000000"/>
                          </a:solidFill>
                          <a:miter lim="800000"/>
                          <a:headEnd/>
                          <a:tailEnd/>
                        </a:ln>
                      </wps:spPr>
                      <wps:txbx>
                        <w:txbxContent>
                          <w:p w14:paraId="2A42D573" w14:textId="77777777" w:rsidR="00B77F6A" w:rsidRPr="00B77F6A" w:rsidRDefault="00B77F6A" w:rsidP="00B77F6A">
                            <w:pPr>
                              <w:jc w:val="center"/>
                              <w:rPr>
                                <w:rFonts w:cs="Calibri"/>
                                <w:b/>
                              </w:rPr>
                            </w:pPr>
                            <w:r w:rsidRPr="00B77F6A">
                              <w:rPr>
                                <w:rFonts w:cs="Calibri"/>
                                <w:b/>
                              </w:rPr>
                              <w:t>RÚBRICA DE EVALUACIÓN – SÍNTESIS CRÍTICA DE LECTURA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B784D" id="_x0000_s1130" type="#_x0000_t202" style="position:absolute;margin-left:0;margin-top:-18.1pt;width:620.4pt;height:33.6pt;z-index:2523678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ivFFQIAACg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">
                <v:textbox>
                  <w:txbxContent>
                    <w:p w14:paraId="2A42D573" w14:textId="77777777" w:rsidR="00B77F6A" w:rsidRPr="00B77F6A" w:rsidRDefault="00B77F6A" w:rsidP="00B77F6A">
                      <w:pPr>
                        <w:jc w:val="center"/>
                        <w:rPr>
                          <w:rFonts w:cs="Calibri"/>
                          <w:b/>
                        </w:rPr>
                      </w:pPr>
                      <w:r w:rsidRPr="00B77F6A">
                        <w:rPr>
                          <w:rFonts w:cs="Calibri"/>
                          <w:b/>
                        </w:rPr>
                        <w:t>RÚBRICA DE EVALUACIÓN – SÍNTESIS CRÍTICA DE LECTURA</w:t>
                      </w:r>
                    </w:p>
                  </w:txbxContent>
                </v:textbox>
                <w10:wrap anchorx="margin"/>
              </v:shape>
            </w:pict>
          </mc:Fallback>
        </mc:AlternateContent>
      </w:r>
    </w:p>
    <w:p w14:paraId="0FB58388"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4183B27A" w14:textId="77777777" w:rsidR="00B77F6A" w:rsidRPr="00B77F6A" w:rsidRDefault="00B77F6A" w:rsidP="4C9C2619">
      <w:pPr>
        <w:widowControl w:val="0"/>
        <w:overflowPunct w:val="0"/>
        <w:autoSpaceDE w:val="0"/>
        <w:autoSpaceDN w:val="0"/>
        <w:adjustRightInd w:val="0"/>
        <w:spacing w:after="0" w:line="240" w:lineRule="auto"/>
        <w:contextualSpacing/>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La síntesis crítica es un texto que se construye a partir de las ideas centrales de una lectura, las cuales se expresan utilizando sus propias palabras, pero sin modificar la intención del/la autor/a, acompañándose finalmente de una apreciación crítica de estas. En este curso se realizan dos síntesis críticas, una en la sesión 3 y otra en la 8. Cada una tiene un valor de 5%.</w:t>
      </w:r>
    </w:p>
    <w:p w14:paraId="7462DA65"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0F6139FF"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68896" behindDoc="0" locked="0" layoutInCell="1" allowOverlap="1" wp14:anchorId="28AB3AAA" wp14:editId="4BF65470">
            <wp:simplePos x="0" y="0"/>
            <wp:positionH relativeFrom="margin">
              <wp:align>center</wp:align>
            </wp:positionH>
            <wp:positionV relativeFrom="paragraph">
              <wp:posOffset>118745</wp:posOffset>
            </wp:positionV>
            <wp:extent cx="8576604" cy="5453062"/>
            <wp:effectExtent l="0" t="0" r="0" b="0"/>
            <wp:wrapNone/>
            <wp:docPr id="114574944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49447" name="Imagen 2" descr="Tabla&#10;&#10;Descripción generada automáticamente"/>
                    <pic:cNvPicPr/>
                  </pic:nvPicPr>
                  <pic:blipFill>
                    <a:blip r:embed="rId249">
                      <a:extLst>
                        <a:ext uri="{28A0092B-C50C-407E-A947-70E740481C1C}">
                          <a14:useLocalDpi xmlns:a14="http://schemas.microsoft.com/office/drawing/2010/main" val="0"/>
                        </a:ext>
                      </a:extLst>
                    </a:blip>
                    <a:stretch>
                      <a:fillRect/>
                    </a:stretch>
                  </pic:blipFill>
                  <pic:spPr>
                    <a:xfrm>
                      <a:off x="0" y="0"/>
                      <a:ext cx="8576604" cy="5453062"/>
                    </a:xfrm>
                    <a:prstGeom prst="rect">
                      <a:avLst/>
                    </a:prstGeom>
                  </pic:spPr>
                </pic:pic>
              </a:graphicData>
            </a:graphic>
            <wp14:sizeRelH relativeFrom="margin">
              <wp14:pctWidth>0</wp14:pctWidth>
            </wp14:sizeRelH>
            <wp14:sizeRelV relativeFrom="margin">
              <wp14:pctHeight>0</wp14:pctHeight>
            </wp14:sizeRelV>
          </wp:anchor>
        </w:drawing>
      </w:r>
    </w:p>
    <w:p w14:paraId="1FFAB54B"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
          <w:color w:val="000000"/>
          <w:kern w:val="0"/>
          <w:lang w:val="es-ES_tradnl" w:eastAsia="es-CR"/>
          <w14:ligatures w14:val="none"/>
        </w:rPr>
      </w:pPr>
    </w:p>
    <w:p w14:paraId="7009C6E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br w:type="page"/>
      </w:r>
    </w:p>
    <w:p w14:paraId="42215348"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369920" behindDoc="0" locked="0" layoutInCell="1" allowOverlap="1" wp14:anchorId="44122DDF" wp14:editId="08768E0B">
                <wp:simplePos x="0" y="0"/>
                <wp:positionH relativeFrom="margin">
                  <wp:align>center</wp:align>
                </wp:positionH>
                <wp:positionV relativeFrom="paragraph">
                  <wp:posOffset>-211455</wp:posOffset>
                </wp:positionV>
                <wp:extent cx="7254240" cy="295910"/>
                <wp:effectExtent l="0" t="0" r="22860" b="27940"/>
                <wp:wrapNone/>
                <wp:docPr id="642608324"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4240" cy="29591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A6959E9" w14:textId="77777777" w:rsidR="00B77F6A" w:rsidRPr="00B77F6A" w:rsidRDefault="00B77F6A" w:rsidP="00B77F6A">
                            <w:pPr>
                              <w:spacing w:before="70"/>
                              <w:ind w:left="2788" w:right="2799"/>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6"/>
                              </w:rPr>
                              <w:t xml:space="preserve"> </w:t>
                            </w:r>
                            <w:r w:rsidRPr="00B77F6A">
                              <w:rPr>
                                <w:rFonts w:cs="Calibri"/>
                                <w:b/>
                              </w:rPr>
                              <w:t>EVALUACIÓN –</w:t>
                            </w:r>
                            <w:r w:rsidRPr="00B77F6A">
                              <w:rPr>
                                <w:rFonts w:cs="Calibri"/>
                                <w:b/>
                                <w:spacing w:val="-3"/>
                              </w:rPr>
                              <w:t xml:space="preserve"> </w:t>
                            </w:r>
                            <w:r w:rsidRPr="00B77F6A">
                              <w:rPr>
                                <w:rFonts w:cs="Calibri"/>
                                <w:b/>
                              </w:rPr>
                              <w:t>SISTEMATIZACIÓN</w:t>
                            </w:r>
                          </w:p>
                        </w:txbxContent>
                      </wps:txbx>
                      <wps:bodyPr rot="0" vert="horz" wrap="square" lIns="0" tIns="0" rIns="0" bIns="0" anchor="t" anchorCtr="0" upright="1">
                        <a:noAutofit/>
                      </wps:bodyPr>
                    </wps:wsp>
                  </a:graphicData>
                </a:graphic>
              </wp:anchor>
            </w:drawing>
          </mc:Choice>
          <mc:Fallback>
            <w:pict>
              <v:shape w14:anchorId="44122DDF" id="_x0000_s1131" type="#_x0000_t202" style="position:absolute;margin-left:0;margin-top:-16.65pt;width:571.2pt;height:23.3pt;z-index:2523699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" filled="f" strokeweight=".72pt">
                <v:textbox inset="0,0,0,0">
                  <w:txbxContent>
                    <w:p w14:paraId="5A6959E9" w14:textId="77777777" w:rsidR="00B77F6A" w:rsidRPr="00B77F6A" w:rsidRDefault="00B77F6A" w:rsidP="00B77F6A">
                      <w:pPr>
                        <w:spacing w:before="70"/>
                        <w:ind w:left="2788" w:right="2799"/>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6"/>
                        </w:rPr>
                        <w:t xml:space="preserve"> </w:t>
                      </w:r>
                      <w:r w:rsidRPr="00B77F6A">
                        <w:rPr>
                          <w:rFonts w:cs="Calibri"/>
                          <w:b/>
                        </w:rPr>
                        <w:t>EVALUACIÓN –</w:t>
                      </w:r>
                      <w:r w:rsidRPr="00B77F6A">
                        <w:rPr>
                          <w:rFonts w:cs="Calibri"/>
                          <w:b/>
                          <w:spacing w:val="-3"/>
                        </w:rPr>
                        <w:t xml:space="preserve"> </w:t>
                      </w:r>
                      <w:r w:rsidRPr="00B77F6A">
                        <w:rPr>
                          <w:rFonts w:cs="Calibri"/>
                          <w:b/>
                        </w:rPr>
                        <w:t>SISTEMATIZACIÓN</w:t>
                      </w:r>
                    </w:p>
                  </w:txbxContent>
                </v:textbox>
                <w10:wrap anchorx="margin"/>
              </v:shape>
            </w:pict>
          </mc:Fallback>
        </mc:AlternateContent>
      </w:r>
    </w:p>
    <w:p w14:paraId="1384BB43"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6610C577"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En la sesión 5 se elaborará una sistematización de claves de análisis de los roles de género y la organización social. Tiene un valor de 5%.</w:t>
      </w:r>
    </w:p>
    <w:p w14:paraId="2C74550D"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05EFA001"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54D9F664"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70944" behindDoc="0" locked="0" layoutInCell="1" allowOverlap="1" wp14:anchorId="47340128" wp14:editId="311D281C">
            <wp:simplePos x="0" y="0"/>
            <wp:positionH relativeFrom="column">
              <wp:posOffset>481013</wp:posOffset>
            </wp:positionH>
            <wp:positionV relativeFrom="paragraph">
              <wp:posOffset>-1270</wp:posOffset>
            </wp:positionV>
            <wp:extent cx="8180832" cy="5096256"/>
            <wp:effectExtent l="0" t="0" r="0" b="9525"/>
            <wp:wrapNone/>
            <wp:docPr id="750595487"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595487" name="Imagen 4" descr="Tabla&#10;&#10;Descripción generada automáticamente"/>
                    <pic:cNvPicPr/>
                  </pic:nvPicPr>
                  <pic:blipFill>
                    <a:blip r:embed="rId250">
                      <a:extLst>
                        <a:ext uri="{28A0092B-C50C-407E-A947-70E740481C1C}">
                          <a14:useLocalDpi xmlns:a14="http://schemas.microsoft.com/office/drawing/2010/main" val="0"/>
                        </a:ext>
                      </a:extLst>
                    </a:blip>
                    <a:stretch>
                      <a:fillRect/>
                    </a:stretch>
                  </pic:blipFill>
                  <pic:spPr>
                    <a:xfrm>
                      <a:off x="0" y="0"/>
                      <a:ext cx="8180832" cy="5096256"/>
                    </a:xfrm>
                    <a:prstGeom prst="rect">
                      <a:avLst/>
                    </a:prstGeom>
                  </pic:spPr>
                </pic:pic>
              </a:graphicData>
            </a:graphic>
          </wp:anchor>
        </w:drawing>
      </w:r>
    </w:p>
    <w:p w14:paraId="48CE44B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C2F6AB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br w:type="page"/>
      </w:r>
    </w:p>
    <w:p w14:paraId="321DAB79"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371968" behindDoc="0" locked="0" layoutInCell="1" allowOverlap="1" wp14:anchorId="46988613" wp14:editId="645C60D0">
                <wp:simplePos x="0" y="0"/>
                <wp:positionH relativeFrom="margin">
                  <wp:align>center</wp:align>
                </wp:positionH>
                <wp:positionV relativeFrom="paragraph">
                  <wp:posOffset>-140017</wp:posOffset>
                </wp:positionV>
                <wp:extent cx="7360920" cy="326390"/>
                <wp:effectExtent l="0" t="0" r="11430" b="16510"/>
                <wp:wrapNone/>
                <wp:docPr id="162104246"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0920" cy="32639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CAA1F78" w14:textId="77777777" w:rsidR="00B77F6A" w:rsidRPr="00B77F6A" w:rsidRDefault="00B77F6A" w:rsidP="00B77F6A">
                            <w:pPr>
                              <w:spacing w:before="70"/>
                              <w:ind w:left="3406" w:right="3412"/>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6"/>
                              </w:rPr>
                              <w:t xml:space="preserve"> </w:t>
                            </w:r>
                            <w:r w:rsidRPr="00B77F6A">
                              <w:rPr>
                                <w:rFonts w:cs="Calibri"/>
                                <w:b/>
                              </w:rPr>
                              <w:t>EVALUACIÓN</w:t>
                            </w:r>
                            <w:r w:rsidRPr="00B77F6A">
                              <w:rPr>
                                <w:rFonts w:cs="Calibri"/>
                                <w:b/>
                                <w:spacing w:val="-2"/>
                              </w:rPr>
                              <w:t xml:space="preserve"> </w:t>
                            </w:r>
                            <w:r w:rsidRPr="00B77F6A">
                              <w:rPr>
                                <w:rFonts w:cs="Calibri"/>
                                <w:b/>
                              </w:rPr>
                              <w:t>–</w:t>
                            </w:r>
                            <w:r w:rsidRPr="00B77F6A">
                              <w:rPr>
                                <w:rFonts w:cs="Calibri"/>
                                <w:b/>
                                <w:spacing w:val="-3"/>
                              </w:rPr>
                              <w:t xml:space="preserve"> </w:t>
                            </w:r>
                            <w:r w:rsidRPr="00B77F6A">
                              <w:rPr>
                                <w:rFonts w:cs="Calibri"/>
                                <w:b/>
                              </w:rPr>
                              <w:t>ENSAYO</w:t>
                            </w:r>
                            <w:r w:rsidRPr="00B77F6A">
                              <w:rPr>
                                <w:rFonts w:cs="Calibri"/>
                                <w:b/>
                                <w:spacing w:val="-3"/>
                              </w:rPr>
                              <w:t xml:space="preserve"> </w:t>
                            </w:r>
                            <w:r w:rsidRPr="00B77F6A">
                              <w:rPr>
                                <w:rFonts w:cs="Calibri"/>
                                <w:b/>
                              </w:rPr>
                              <w:t>CRÍTICO</w:t>
                            </w:r>
                          </w:p>
                        </w:txbxContent>
                      </wps:txbx>
                      <wps:bodyPr rot="0" vert="horz" wrap="square" lIns="0" tIns="0" rIns="0" bIns="0" anchor="t" anchorCtr="0" upright="1">
                        <a:noAutofit/>
                      </wps:bodyPr>
                    </wps:wsp>
                  </a:graphicData>
                </a:graphic>
              </wp:anchor>
            </w:drawing>
          </mc:Choice>
          <mc:Fallback>
            <w:pict>
              <v:shape w14:anchorId="46988613" id="_x0000_s1132" type="#_x0000_t202" style="position:absolute;margin-left:0;margin-top:-11pt;width:579.6pt;height:25.7pt;z-index:2523719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" filled="f" strokeweight=".72pt">
                <v:textbox inset="0,0,0,0">
                  <w:txbxContent>
                    <w:p w14:paraId="3CAA1F78" w14:textId="77777777" w:rsidR="00B77F6A" w:rsidRPr="00B77F6A" w:rsidRDefault="00B77F6A" w:rsidP="00B77F6A">
                      <w:pPr>
                        <w:spacing w:before="70"/>
                        <w:ind w:left="3406" w:right="3412"/>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6"/>
                        </w:rPr>
                        <w:t xml:space="preserve"> </w:t>
                      </w:r>
                      <w:r w:rsidRPr="00B77F6A">
                        <w:rPr>
                          <w:rFonts w:cs="Calibri"/>
                          <w:b/>
                        </w:rPr>
                        <w:t>EVALUACIÓN</w:t>
                      </w:r>
                      <w:r w:rsidRPr="00B77F6A">
                        <w:rPr>
                          <w:rFonts w:cs="Calibri"/>
                          <w:b/>
                          <w:spacing w:val="-2"/>
                        </w:rPr>
                        <w:t xml:space="preserve"> </w:t>
                      </w:r>
                      <w:r w:rsidRPr="00B77F6A">
                        <w:rPr>
                          <w:rFonts w:cs="Calibri"/>
                          <w:b/>
                        </w:rPr>
                        <w:t>–</w:t>
                      </w:r>
                      <w:r w:rsidRPr="00B77F6A">
                        <w:rPr>
                          <w:rFonts w:cs="Calibri"/>
                          <w:b/>
                          <w:spacing w:val="-3"/>
                        </w:rPr>
                        <w:t xml:space="preserve"> </w:t>
                      </w:r>
                      <w:r w:rsidRPr="00B77F6A">
                        <w:rPr>
                          <w:rFonts w:cs="Calibri"/>
                          <w:b/>
                        </w:rPr>
                        <w:t>ENSAYO</w:t>
                      </w:r>
                      <w:r w:rsidRPr="00B77F6A">
                        <w:rPr>
                          <w:rFonts w:cs="Calibri"/>
                          <w:b/>
                          <w:spacing w:val="-3"/>
                        </w:rPr>
                        <w:t xml:space="preserve"> </w:t>
                      </w:r>
                      <w:r w:rsidRPr="00B77F6A">
                        <w:rPr>
                          <w:rFonts w:cs="Calibri"/>
                          <w:b/>
                        </w:rPr>
                        <w:t>CRÍTICO</w:t>
                      </w:r>
                    </w:p>
                  </w:txbxContent>
                </v:textbox>
                <w10:wrap anchorx="margin"/>
              </v:shape>
            </w:pict>
          </mc:Fallback>
        </mc:AlternateContent>
      </w:r>
    </w:p>
    <w:p w14:paraId="37481541"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63641F59"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El ensayo es un ejercicio académico, argumentativo y fundamentado, que se realiza para el tratamiento de un tema o tópico. Contiene introducción, desarrollo y conclusión, así como las respectivas referencias bibliográficas (bajo el sistema Chicago-Deusto que usa la UBL). Se elabora en la sesión 6. Tiene un valor de 5%.</w:t>
      </w:r>
    </w:p>
    <w:p w14:paraId="13139724"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7199F294"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39FC01F1"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
          <w:color w:val="000000"/>
          <w:kern w:val="0"/>
          <w:lang w:val="es-ES_tradnl" w:eastAsia="es-CR"/>
          <w14:ligatures w14:val="none"/>
        </w:rPr>
      </w:pPr>
    </w:p>
    <w:p w14:paraId="13E33CD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72992" behindDoc="0" locked="0" layoutInCell="1" allowOverlap="1" wp14:anchorId="46FB0A91" wp14:editId="27D131F2">
            <wp:simplePos x="0" y="0"/>
            <wp:positionH relativeFrom="margin">
              <wp:align>center</wp:align>
            </wp:positionH>
            <wp:positionV relativeFrom="paragraph">
              <wp:posOffset>29210</wp:posOffset>
            </wp:positionV>
            <wp:extent cx="8229600" cy="4358640"/>
            <wp:effectExtent l="0" t="0" r="0" b="3810"/>
            <wp:wrapNone/>
            <wp:docPr id="346387999"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387999" name="Imagen 6" descr="Tabla&#10;&#10;Descripción generada automáticamente"/>
                    <pic:cNvPicPr/>
                  </pic:nvPicPr>
                  <pic:blipFill>
                    <a:blip r:embed="rId251">
                      <a:extLst>
                        <a:ext uri="{28A0092B-C50C-407E-A947-70E740481C1C}">
                          <a14:useLocalDpi xmlns:a14="http://schemas.microsoft.com/office/drawing/2010/main" val="0"/>
                        </a:ext>
                      </a:extLst>
                    </a:blip>
                    <a:stretch>
                      <a:fillRect/>
                    </a:stretch>
                  </pic:blipFill>
                  <pic:spPr>
                    <a:xfrm>
                      <a:off x="0" y="0"/>
                      <a:ext cx="8229600" cy="4358640"/>
                    </a:xfrm>
                    <a:prstGeom prst="rect">
                      <a:avLst/>
                    </a:prstGeom>
                  </pic:spPr>
                </pic:pic>
              </a:graphicData>
            </a:graphic>
          </wp:anchor>
        </w:drawing>
      </w:r>
      <w:r w:rsidRPr="00B77F6A">
        <w:rPr>
          <w:rFonts w:ascii="Calibri" w:eastAsia="Times New Roman" w:hAnsi="Calibri" w:cs="Arial"/>
          <w:b/>
          <w:color w:val="000000"/>
          <w:kern w:val="0"/>
          <w:lang w:val="es-ES_tradnl" w:eastAsia="es-CR"/>
          <w14:ligatures w14:val="none"/>
        </w:rPr>
        <w:br w:type="page"/>
      </w:r>
    </w:p>
    <w:p w14:paraId="0FA2BA9D"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374016" behindDoc="0" locked="0" layoutInCell="1" allowOverlap="1" wp14:anchorId="1F75DF84" wp14:editId="080C9330">
                <wp:simplePos x="0" y="0"/>
                <wp:positionH relativeFrom="margin">
                  <wp:align>center</wp:align>
                </wp:positionH>
                <wp:positionV relativeFrom="paragraph">
                  <wp:posOffset>-177165</wp:posOffset>
                </wp:positionV>
                <wp:extent cx="7025640" cy="438150"/>
                <wp:effectExtent l="0" t="0" r="22860" b="19050"/>
                <wp:wrapNone/>
                <wp:docPr id="1555969452" name="Cuadro de texto 1555969452"/>
                <wp:cNvGraphicFramePr/>
                <a:graphic xmlns:a="http://schemas.openxmlformats.org/drawingml/2006/main">
                  <a:graphicData uri="http://schemas.microsoft.com/office/word/2010/wordprocessingShape">
                    <wps:wsp>
                      <wps:cNvSpPr txBox="1"/>
                      <wps:spPr>
                        <a:xfrm>
                          <a:off x="0" y="0"/>
                          <a:ext cx="7025640" cy="438150"/>
                        </a:xfrm>
                        <a:prstGeom prst="rect">
                          <a:avLst/>
                        </a:prstGeom>
                        <a:solidFill>
                          <a:sysClr val="window" lastClr="FFFFFF"/>
                        </a:solidFill>
                        <a:ln w="6350">
                          <a:solidFill>
                            <a:prstClr val="black"/>
                          </a:solidFill>
                        </a:ln>
                      </wps:spPr>
                      <wps:txbx>
                        <w:txbxContent>
                          <w:p w14:paraId="64FC8524" w14:textId="77777777" w:rsidR="00B77F6A" w:rsidRPr="00B77F6A" w:rsidRDefault="00B77F6A" w:rsidP="00B77F6A">
                            <w:pPr>
                              <w:jc w:val="center"/>
                              <w:rPr>
                                <w:rFonts w:cs="Calibri"/>
                                <w:b/>
                              </w:rPr>
                            </w:pPr>
                            <w:r w:rsidRPr="00B77F6A">
                              <w:rPr>
                                <w:rFonts w:cs="Calibri"/>
                                <w:b/>
                              </w:rPr>
                              <w:t>RÚBRICA DE EVALUACIÓN – INVESTIGACIÓN Y ANÁLISIS DE UNA SITUACIÓN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5DF84" id="Cuadro de texto 1555969452" o:spid="_x0000_s1133" type="#_x0000_t202" style="position:absolute;margin-left:0;margin-top:-13.95pt;width:553.2pt;height:34.5pt;z-index:252374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" fillcolor="window" strokeweight=".5pt">
                <v:textbox>
                  <w:txbxContent>
                    <w:p w14:paraId="64FC8524" w14:textId="77777777" w:rsidR="00B77F6A" w:rsidRPr="00B77F6A" w:rsidRDefault="00B77F6A" w:rsidP="00B77F6A">
                      <w:pPr>
                        <w:jc w:val="center"/>
                        <w:rPr>
                          <w:rFonts w:cs="Calibri"/>
                          <w:b/>
                        </w:rPr>
                      </w:pPr>
                      <w:r w:rsidRPr="00B77F6A">
                        <w:rPr>
                          <w:rFonts w:cs="Calibri"/>
                          <w:b/>
                        </w:rPr>
                        <w:t>RÚBRICA DE EVALUACIÓN – INVESTIGACIÓN Y ANÁLISIS DE UNA SITUACIÓN</w:t>
                      </w:r>
                    </w:p>
                  </w:txbxContent>
                </v:textbox>
                <w10:wrap anchorx="margin"/>
              </v:shape>
            </w:pict>
          </mc:Fallback>
        </mc:AlternateContent>
      </w:r>
    </w:p>
    <w:p w14:paraId="70DDC1B8"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065DA1E3"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5118469F"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 xml:space="preserve">En este curso se realizan dos investigaciones. La primera, en la sesión 4, consiste en realizar una investigación de una situación que refleje desigualdad económica o legal por la condición de género. La segunda, en la sesión 11, consiste en investigar las distintas manifestaciones de violencia de género. Cada investigación tiene un valor de 5%. La siguiente escala corresponde a la investigación de la sesión 4 sobre la desigualdad. </w:t>
      </w:r>
    </w:p>
    <w:p w14:paraId="2B5A34B4"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3EA4A94B"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4DFF7C2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75040" behindDoc="0" locked="0" layoutInCell="1" allowOverlap="1" wp14:anchorId="65774FCF" wp14:editId="2D3D9AF5">
            <wp:simplePos x="0" y="0"/>
            <wp:positionH relativeFrom="margin">
              <wp:align>center</wp:align>
            </wp:positionH>
            <wp:positionV relativeFrom="paragraph">
              <wp:posOffset>2540</wp:posOffset>
            </wp:positionV>
            <wp:extent cx="8138160" cy="4535424"/>
            <wp:effectExtent l="0" t="0" r="0" b="0"/>
            <wp:wrapNone/>
            <wp:docPr id="968713211"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13211" name="Imagen 7" descr="Tabla&#10;&#10;Descripción generada automáticamente"/>
                    <pic:cNvPicPr/>
                  </pic:nvPicPr>
                  <pic:blipFill>
                    <a:blip r:embed="rId252">
                      <a:extLst>
                        <a:ext uri="{28A0092B-C50C-407E-A947-70E740481C1C}">
                          <a14:useLocalDpi xmlns:a14="http://schemas.microsoft.com/office/drawing/2010/main" val="0"/>
                        </a:ext>
                      </a:extLst>
                    </a:blip>
                    <a:stretch>
                      <a:fillRect/>
                    </a:stretch>
                  </pic:blipFill>
                  <pic:spPr>
                    <a:xfrm>
                      <a:off x="0" y="0"/>
                      <a:ext cx="8138160" cy="4535424"/>
                    </a:xfrm>
                    <a:prstGeom prst="rect">
                      <a:avLst/>
                    </a:prstGeom>
                  </pic:spPr>
                </pic:pic>
              </a:graphicData>
            </a:graphic>
          </wp:anchor>
        </w:drawing>
      </w:r>
      <w:r w:rsidRPr="00B77F6A">
        <w:rPr>
          <w:rFonts w:ascii="Calibri" w:eastAsia="Times New Roman" w:hAnsi="Calibri" w:cs="Arial"/>
          <w:b/>
          <w:color w:val="000000"/>
          <w:kern w:val="0"/>
          <w:lang w:val="es-ES_tradnl" w:eastAsia="es-CR"/>
          <w14:ligatures w14:val="none"/>
        </w:rPr>
        <w:br w:type="page"/>
      </w:r>
    </w:p>
    <w:p w14:paraId="5D4B0989"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376064" behindDoc="0" locked="0" layoutInCell="1" allowOverlap="1" wp14:anchorId="2F6E6BEB" wp14:editId="3A2ED1B7">
                <wp:simplePos x="0" y="0"/>
                <wp:positionH relativeFrom="margin">
                  <wp:posOffset>886460</wp:posOffset>
                </wp:positionH>
                <wp:positionV relativeFrom="paragraph">
                  <wp:posOffset>-70485</wp:posOffset>
                </wp:positionV>
                <wp:extent cx="7486650" cy="504825"/>
                <wp:effectExtent l="0" t="0" r="19050" b="28575"/>
                <wp:wrapNone/>
                <wp:docPr id="1323578789" name="Cuadro de texto 1323578789"/>
                <wp:cNvGraphicFramePr/>
                <a:graphic xmlns:a="http://schemas.openxmlformats.org/drawingml/2006/main">
                  <a:graphicData uri="http://schemas.microsoft.com/office/word/2010/wordprocessingShape">
                    <wps:wsp>
                      <wps:cNvSpPr txBox="1"/>
                      <wps:spPr>
                        <a:xfrm>
                          <a:off x="0" y="0"/>
                          <a:ext cx="7486650" cy="504825"/>
                        </a:xfrm>
                        <a:prstGeom prst="rect">
                          <a:avLst/>
                        </a:prstGeom>
                        <a:solidFill>
                          <a:sysClr val="window" lastClr="FFFFFF"/>
                        </a:solidFill>
                        <a:ln w="6350">
                          <a:solidFill>
                            <a:prstClr val="black"/>
                          </a:solidFill>
                        </a:ln>
                      </wps:spPr>
                      <wps:txbx>
                        <w:txbxContent>
                          <w:p w14:paraId="1B2C0884" w14:textId="77777777" w:rsidR="00B77F6A" w:rsidRPr="00B77F6A" w:rsidRDefault="00B77F6A" w:rsidP="00B77F6A">
                            <w:pPr>
                              <w:jc w:val="center"/>
                              <w:rPr>
                                <w:rFonts w:cs="Calibri"/>
                                <w:b/>
                              </w:rPr>
                            </w:pPr>
                            <w:r w:rsidRPr="00B77F6A">
                              <w:rPr>
                                <w:rFonts w:cs="Calibri"/>
                                <w:b/>
                              </w:rPr>
                              <w:t>RÚBRICA DE EVALUACIÓN – INVESTIGACIÓN SOBRE LAS DISTINTAS MANIFESTACIONES DE VIOLENCIA DE GÉNERO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E6BEB" id="Cuadro de texto 1323578789" o:spid="_x0000_s1134" type="#_x0000_t202" style="position:absolute;left:0;text-align:left;margin-left:69.8pt;margin-top:-5.55pt;width:589.5pt;height:39.75pt;z-index:25237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" fillcolor="window" strokeweight=".5pt">
                <v:textbox>
                  <w:txbxContent>
                    <w:p w14:paraId="1B2C0884" w14:textId="77777777" w:rsidR="00B77F6A" w:rsidRPr="00B77F6A" w:rsidRDefault="00B77F6A" w:rsidP="00B77F6A">
                      <w:pPr>
                        <w:jc w:val="center"/>
                        <w:rPr>
                          <w:rFonts w:cs="Calibri"/>
                          <w:b/>
                        </w:rPr>
                      </w:pPr>
                      <w:r w:rsidRPr="00B77F6A">
                        <w:rPr>
                          <w:rFonts w:cs="Calibri"/>
                          <w:b/>
                        </w:rPr>
                        <w:t>RÚBRICA DE EVALUACIÓN – INVESTIGACIÓN SOBRE LAS DISTINTAS MANIFESTACIONES DE VIOLENCIA DE GÉNERO</w:t>
                      </w:r>
                    </w:p>
                  </w:txbxContent>
                </v:textbox>
                <w10:wrap anchorx="margin"/>
              </v:shape>
            </w:pict>
          </mc:Fallback>
        </mc:AlternateContent>
      </w:r>
    </w:p>
    <w:p w14:paraId="22B9A20A"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p>
    <w:p w14:paraId="468A283C"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p>
    <w:p w14:paraId="3D364E07"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 xml:space="preserve">En este curso se realizan dos investigaciones. Esta rúbrica corresponde a la segunda investigación que se entrega en la sesión 11 y consiste en investigar las distintas manifestaciones de violencia de género. Tiene un valor de 5%. </w:t>
      </w:r>
    </w:p>
    <w:p w14:paraId="675C4047"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591AC68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77088" behindDoc="0" locked="0" layoutInCell="1" allowOverlap="1" wp14:anchorId="31302DED" wp14:editId="205EABC6">
            <wp:simplePos x="0" y="0"/>
            <wp:positionH relativeFrom="margin">
              <wp:posOffset>366183</wp:posOffset>
            </wp:positionH>
            <wp:positionV relativeFrom="paragraph">
              <wp:posOffset>94827</wp:posOffset>
            </wp:positionV>
            <wp:extent cx="8491537" cy="5200779"/>
            <wp:effectExtent l="0" t="0" r="5080" b="0"/>
            <wp:wrapNone/>
            <wp:docPr id="893852470"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852470" name="Imagen 8" descr="Tabla&#10;&#10;Descripción generada automáticamente"/>
                    <pic:cNvPicPr/>
                  </pic:nvPicPr>
                  <pic:blipFill>
                    <a:blip r:embed="rId253">
                      <a:extLst>
                        <a:ext uri="{28A0092B-C50C-407E-A947-70E740481C1C}">
                          <a14:useLocalDpi xmlns:a14="http://schemas.microsoft.com/office/drawing/2010/main" val="0"/>
                        </a:ext>
                      </a:extLst>
                    </a:blip>
                    <a:stretch>
                      <a:fillRect/>
                    </a:stretch>
                  </pic:blipFill>
                  <pic:spPr>
                    <a:xfrm>
                      <a:off x="0" y="0"/>
                      <a:ext cx="8491537" cy="5200779"/>
                    </a:xfrm>
                    <a:prstGeom prst="rect">
                      <a:avLst/>
                    </a:prstGeom>
                  </pic:spPr>
                </pic:pic>
              </a:graphicData>
            </a:graphic>
            <wp14:sizeRelH relativeFrom="margin">
              <wp14:pctWidth>0</wp14:pctWidth>
            </wp14:sizeRelH>
            <wp14:sizeRelV relativeFrom="margin">
              <wp14:pctHeight>0</wp14:pctHeight>
            </wp14:sizeRelV>
          </wp:anchor>
        </w:drawing>
      </w:r>
      <w:r w:rsidRPr="00B77F6A">
        <w:rPr>
          <w:rFonts w:ascii="Calibri" w:eastAsia="Times New Roman" w:hAnsi="Calibri" w:cs="Arial"/>
          <w:b/>
          <w:color w:val="000000"/>
          <w:kern w:val="0"/>
          <w:lang w:val="es-ES_tradnl" w:eastAsia="es-CR"/>
          <w14:ligatures w14:val="none"/>
        </w:rPr>
        <w:br w:type="page"/>
      </w:r>
    </w:p>
    <w:p w14:paraId="733FD22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26D440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noProof/>
          <w:kern w:val="0"/>
          <w:sz w:val="24"/>
          <w:szCs w:val="20"/>
          <w:lang w:val="es-ES_tradnl" w:eastAsia="es-CR"/>
          <w14:ligatures w14:val="none"/>
        </w:rPr>
        <mc:AlternateContent>
          <mc:Choice Requires="wps">
            <w:drawing>
              <wp:anchor distT="45720" distB="45720" distL="114300" distR="114300" simplePos="0" relativeHeight="252378112" behindDoc="0" locked="0" layoutInCell="1" allowOverlap="1" wp14:anchorId="6AF09A20" wp14:editId="2B55BD9B">
                <wp:simplePos x="0" y="0"/>
                <wp:positionH relativeFrom="margin">
                  <wp:align>center</wp:align>
                </wp:positionH>
                <wp:positionV relativeFrom="paragraph">
                  <wp:posOffset>-267970</wp:posOffset>
                </wp:positionV>
                <wp:extent cx="7105650" cy="426720"/>
                <wp:effectExtent l="0" t="0" r="19050" b="11430"/>
                <wp:wrapNone/>
                <wp:docPr id="21406704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0" cy="426720"/>
                        </a:xfrm>
                        <a:prstGeom prst="rect">
                          <a:avLst/>
                        </a:prstGeom>
                        <a:solidFill>
                          <a:srgbClr val="FFFFFF"/>
                        </a:solidFill>
                        <a:ln w="9525">
                          <a:solidFill>
                            <a:srgbClr val="000000"/>
                          </a:solidFill>
                          <a:miter lim="800000"/>
                          <a:headEnd/>
                          <a:tailEnd/>
                        </a:ln>
                      </wps:spPr>
                      <wps:txbx>
                        <w:txbxContent>
                          <w:p w14:paraId="1C0FF1CF" w14:textId="77777777" w:rsidR="00B77F6A" w:rsidRPr="00B77F6A" w:rsidRDefault="00B77F6A" w:rsidP="00B77F6A">
                            <w:pPr>
                              <w:jc w:val="center"/>
                              <w:rPr>
                                <w:rFonts w:cs="Calibri"/>
                                <w:b/>
                              </w:rPr>
                            </w:pPr>
                            <w:r w:rsidRPr="00B77F6A">
                              <w:rPr>
                                <w:rFonts w:cs="Calibri"/>
                                <w:b/>
                              </w:rPr>
                              <w:t>RÚBRICA DE EVALUACIÓN – ANÁLISIS DE TESTIMONIOS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AF09A20" id="_x0000_s1135" type="#_x0000_t202" style="position:absolute;left:0;text-align:left;margin-left:0;margin-top:-21.1pt;width:559.5pt;height:33.6pt;z-index:2523781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">
                <v:textbox>
                  <w:txbxContent>
                    <w:p w14:paraId="1C0FF1CF" w14:textId="77777777" w:rsidR="00B77F6A" w:rsidRPr="00B77F6A" w:rsidRDefault="00B77F6A" w:rsidP="00B77F6A">
                      <w:pPr>
                        <w:jc w:val="center"/>
                        <w:rPr>
                          <w:rFonts w:cs="Calibri"/>
                          <w:b/>
                        </w:rPr>
                      </w:pPr>
                      <w:r w:rsidRPr="00B77F6A">
                        <w:rPr>
                          <w:rFonts w:cs="Calibri"/>
                          <w:b/>
                        </w:rPr>
                        <w:t>RÚBRICA DE EVALUACIÓN – ANÁLISIS DE TESTIMONIOS</w:t>
                      </w:r>
                    </w:p>
                  </w:txbxContent>
                </v:textbox>
                <w10:wrap anchorx="margin"/>
              </v:shape>
            </w:pict>
          </mc:Fallback>
        </mc:AlternateContent>
      </w:r>
    </w:p>
    <w:p w14:paraId="64D8C7E4"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6B796AF0"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En la sesión 7 se realiza un análisis de dos testimonios utilizando aportes teóricos de la lectura de Butler. Tiene un valor de 5%.</w:t>
      </w:r>
    </w:p>
    <w:p w14:paraId="2C0875B8"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5B98E97C"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14422B7E"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color w:val="000000"/>
          <w:kern w:val="0"/>
          <w:lang w:val="es-ES_tradnl" w:eastAsia="es-CR"/>
          <w14:ligatures w14:val="none"/>
        </w:rPr>
        <w:t xml:space="preserve"> </w:t>
      </w:r>
    </w:p>
    <w:p w14:paraId="498B346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79136" behindDoc="0" locked="0" layoutInCell="1" allowOverlap="1" wp14:anchorId="1357A014" wp14:editId="23A4DEA8">
            <wp:simplePos x="0" y="0"/>
            <wp:positionH relativeFrom="margin">
              <wp:align>center</wp:align>
            </wp:positionH>
            <wp:positionV relativeFrom="paragraph">
              <wp:posOffset>38100</wp:posOffset>
            </wp:positionV>
            <wp:extent cx="8205216" cy="3663696"/>
            <wp:effectExtent l="0" t="0" r="5715" b="0"/>
            <wp:wrapNone/>
            <wp:docPr id="1218331138" name="Imagen 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31138" name="Imagen 9" descr="Interfaz de usuario gráfica, Texto, Aplicación&#10;&#10;Descripción generada automáticamente"/>
                    <pic:cNvPicPr/>
                  </pic:nvPicPr>
                  <pic:blipFill>
                    <a:blip r:embed="rId254">
                      <a:extLst>
                        <a:ext uri="{28A0092B-C50C-407E-A947-70E740481C1C}">
                          <a14:useLocalDpi xmlns:a14="http://schemas.microsoft.com/office/drawing/2010/main" val="0"/>
                        </a:ext>
                      </a:extLst>
                    </a:blip>
                    <a:stretch>
                      <a:fillRect/>
                    </a:stretch>
                  </pic:blipFill>
                  <pic:spPr>
                    <a:xfrm>
                      <a:off x="0" y="0"/>
                      <a:ext cx="8205216" cy="3663696"/>
                    </a:xfrm>
                    <a:prstGeom prst="rect">
                      <a:avLst/>
                    </a:prstGeom>
                  </pic:spPr>
                </pic:pic>
              </a:graphicData>
            </a:graphic>
          </wp:anchor>
        </w:drawing>
      </w:r>
      <w:r w:rsidRPr="00B77F6A">
        <w:rPr>
          <w:rFonts w:ascii="Calibri" w:eastAsia="Times New Roman" w:hAnsi="Calibri" w:cs="Arial"/>
          <w:b/>
          <w:color w:val="000000"/>
          <w:kern w:val="0"/>
          <w:lang w:val="es-ES_tradnl" w:eastAsia="es-CR"/>
          <w14:ligatures w14:val="none"/>
        </w:rPr>
        <w:br w:type="page"/>
      </w:r>
    </w:p>
    <w:p w14:paraId="7C660CA9"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380160" behindDoc="0" locked="0" layoutInCell="1" allowOverlap="1" wp14:anchorId="06FEA023" wp14:editId="71520EAB">
                <wp:simplePos x="0" y="0"/>
                <wp:positionH relativeFrom="margin">
                  <wp:align>center</wp:align>
                </wp:positionH>
                <wp:positionV relativeFrom="paragraph">
                  <wp:posOffset>-226377</wp:posOffset>
                </wp:positionV>
                <wp:extent cx="7345680" cy="341630"/>
                <wp:effectExtent l="0" t="0" r="26670" b="20320"/>
                <wp:wrapNone/>
                <wp:docPr id="1787484789"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5680" cy="34163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8395371" w14:textId="77777777" w:rsidR="00B77F6A" w:rsidRPr="00B77F6A" w:rsidRDefault="00B77F6A" w:rsidP="00B77F6A">
                            <w:pPr>
                              <w:spacing w:before="70"/>
                              <w:ind w:left="2713" w:right="2719"/>
                              <w:jc w:val="center"/>
                              <w:rPr>
                                <w:rFonts w:cs="Calibri"/>
                                <w:b/>
                              </w:rPr>
                            </w:pPr>
                            <w:r w:rsidRPr="00B77F6A">
                              <w:rPr>
                                <w:rFonts w:cs="Calibri"/>
                                <w:b/>
                              </w:rPr>
                              <w:t>ESCALA DE</w:t>
                            </w:r>
                            <w:r w:rsidRPr="00B77F6A">
                              <w:rPr>
                                <w:rFonts w:cs="Calibri"/>
                                <w:b/>
                                <w:spacing w:val="-5"/>
                              </w:rPr>
                              <w:t xml:space="preserve"> </w:t>
                            </w:r>
                            <w:r w:rsidRPr="00B77F6A">
                              <w:rPr>
                                <w:rFonts w:cs="Calibri"/>
                                <w:b/>
                              </w:rPr>
                              <w:t>EVALUACIÓN</w:t>
                            </w:r>
                            <w:r w:rsidRPr="00B77F6A">
                              <w:rPr>
                                <w:rFonts w:cs="Calibri"/>
                                <w:b/>
                                <w:spacing w:val="1"/>
                              </w:rPr>
                              <w:t xml:space="preserve"> </w:t>
                            </w:r>
                            <w:r w:rsidRPr="00B77F6A">
                              <w:rPr>
                                <w:rFonts w:cs="Calibri"/>
                                <w:b/>
                              </w:rPr>
                              <w:t>–</w:t>
                            </w:r>
                            <w:r w:rsidRPr="00B77F6A">
                              <w:rPr>
                                <w:rFonts w:cs="Calibri"/>
                                <w:b/>
                                <w:spacing w:val="-2"/>
                              </w:rPr>
                              <w:t xml:space="preserve"> </w:t>
                            </w:r>
                            <w:r w:rsidRPr="00B77F6A">
                              <w:rPr>
                                <w:rFonts w:cs="Calibri"/>
                                <w:b/>
                              </w:rPr>
                              <w:t>HISTORIA</w:t>
                            </w:r>
                            <w:r w:rsidRPr="00B77F6A">
                              <w:rPr>
                                <w:rFonts w:cs="Calibri"/>
                                <w:b/>
                                <w:spacing w:val="-3"/>
                              </w:rPr>
                              <w:t xml:space="preserve"> </w:t>
                            </w:r>
                            <w:r w:rsidRPr="00B77F6A">
                              <w:rPr>
                                <w:rFonts w:cs="Calibri"/>
                                <w:b/>
                              </w:rPr>
                              <w:t>DE</w:t>
                            </w:r>
                            <w:r w:rsidRPr="00B77F6A">
                              <w:rPr>
                                <w:rFonts w:cs="Calibri"/>
                                <w:b/>
                                <w:spacing w:val="-5"/>
                              </w:rPr>
                              <w:t xml:space="preserve"> </w:t>
                            </w:r>
                            <w:r w:rsidRPr="00B77F6A">
                              <w:rPr>
                                <w:rFonts w:cs="Calibri"/>
                                <w:b/>
                              </w:rPr>
                              <w:t>VIDA</w:t>
                            </w:r>
                            <w:r w:rsidRPr="00B77F6A">
                              <w:rPr>
                                <w:rFonts w:cs="Calibri"/>
                                <w:b/>
                                <w:spacing w:val="-3"/>
                              </w:rPr>
                              <w:t xml:space="preserve"> </w:t>
                            </w:r>
                            <w:r w:rsidRPr="00B77F6A">
                              <w:rPr>
                                <w:rFonts w:cs="Calibri"/>
                                <w:b/>
                              </w:rPr>
                              <w:t>DE</w:t>
                            </w:r>
                            <w:r w:rsidRPr="00B77F6A">
                              <w:rPr>
                                <w:rFonts w:cs="Calibri"/>
                                <w:b/>
                                <w:spacing w:val="4"/>
                              </w:rPr>
                              <w:t xml:space="preserve"> </w:t>
                            </w:r>
                            <w:r w:rsidRPr="00B77F6A">
                              <w:rPr>
                                <w:rFonts w:cs="Calibri"/>
                                <w:b/>
                              </w:rPr>
                              <w:t>UNA</w:t>
                            </w:r>
                            <w:r w:rsidRPr="00B77F6A">
                              <w:rPr>
                                <w:rFonts w:cs="Calibri"/>
                                <w:b/>
                                <w:spacing w:val="-4"/>
                              </w:rPr>
                              <w:t xml:space="preserve"> </w:t>
                            </w:r>
                            <w:r w:rsidRPr="00B77F6A">
                              <w:rPr>
                                <w:rFonts w:cs="Calibri"/>
                                <w:b/>
                              </w:rPr>
                              <w:t>MUJER</w:t>
                            </w:r>
                          </w:p>
                        </w:txbxContent>
                      </wps:txbx>
                      <wps:bodyPr rot="0" vert="horz" wrap="square" lIns="0" tIns="0" rIns="0" bIns="0" anchor="t" anchorCtr="0" upright="1">
                        <a:noAutofit/>
                      </wps:bodyPr>
                    </wps:wsp>
                  </a:graphicData>
                </a:graphic>
              </wp:anchor>
            </w:drawing>
          </mc:Choice>
          <mc:Fallback>
            <w:pict>
              <v:shape w14:anchorId="06FEA023" id="_x0000_s1136" type="#_x0000_t202" style="position:absolute;margin-left:0;margin-top:-17.8pt;width:578.4pt;height:26.9pt;z-index:2523801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" filled="f" strokeweight=".72pt">
                <v:textbox inset="0,0,0,0">
                  <w:txbxContent>
                    <w:p w14:paraId="18395371" w14:textId="77777777" w:rsidR="00B77F6A" w:rsidRPr="00B77F6A" w:rsidRDefault="00B77F6A" w:rsidP="00B77F6A">
                      <w:pPr>
                        <w:spacing w:before="70"/>
                        <w:ind w:left="2713" w:right="2719"/>
                        <w:jc w:val="center"/>
                        <w:rPr>
                          <w:rFonts w:cs="Calibri"/>
                          <w:b/>
                        </w:rPr>
                      </w:pPr>
                      <w:r w:rsidRPr="00B77F6A">
                        <w:rPr>
                          <w:rFonts w:cs="Calibri"/>
                          <w:b/>
                        </w:rPr>
                        <w:t>ESCALA DE</w:t>
                      </w:r>
                      <w:r w:rsidRPr="00B77F6A">
                        <w:rPr>
                          <w:rFonts w:cs="Calibri"/>
                          <w:b/>
                          <w:spacing w:val="-5"/>
                        </w:rPr>
                        <w:t xml:space="preserve"> </w:t>
                      </w:r>
                      <w:r w:rsidRPr="00B77F6A">
                        <w:rPr>
                          <w:rFonts w:cs="Calibri"/>
                          <w:b/>
                        </w:rPr>
                        <w:t>EVALUACIÓN</w:t>
                      </w:r>
                      <w:r w:rsidRPr="00B77F6A">
                        <w:rPr>
                          <w:rFonts w:cs="Calibri"/>
                          <w:b/>
                          <w:spacing w:val="1"/>
                        </w:rPr>
                        <w:t xml:space="preserve"> </w:t>
                      </w:r>
                      <w:r w:rsidRPr="00B77F6A">
                        <w:rPr>
                          <w:rFonts w:cs="Calibri"/>
                          <w:b/>
                        </w:rPr>
                        <w:t>–</w:t>
                      </w:r>
                      <w:r w:rsidRPr="00B77F6A">
                        <w:rPr>
                          <w:rFonts w:cs="Calibri"/>
                          <w:b/>
                          <w:spacing w:val="-2"/>
                        </w:rPr>
                        <w:t xml:space="preserve"> </w:t>
                      </w:r>
                      <w:r w:rsidRPr="00B77F6A">
                        <w:rPr>
                          <w:rFonts w:cs="Calibri"/>
                          <w:b/>
                        </w:rPr>
                        <w:t>HISTORIA</w:t>
                      </w:r>
                      <w:r w:rsidRPr="00B77F6A">
                        <w:rPr>
                          <w:rFonts w:cs="Calibri"/>
                          <w:b/>
                          <w:spacing w:val="-3"/>
                        </w:rPr>
                        <w:t xml:space="preserve"> </w:t>
                      </w:r>
                      <w:r w:rsidRPr="00B77F6A">
                        <w:rPr>
                          <w:rFonts w:cs="Calibri"/>
                          <w:b/>
                        </w:rPr>
                        <w:t>DE</w:t>
                      </w:r>
                      <w:r w:rsidRPr="00B77F6A">
                        <w:rPr>
                          <w:rFonts w:cs="Calibri"/>
                          <w:b/>
                          <w:spacing w:val="-5"/>
                        </w:rPr>
                        <w:t xml:space="preserve"> </w:t>
                      </w:r>
                      <w:r w:rsidRPr="00B77F6A">
                        <w:rPr>
                          <w:rFonts w:cs="Calibri"/>
                          <w:b/>
                        </w:rPr>
                        <w:t>VIDA</w:t>
                      </w:r>
                      <w:r w:rsidRPr="00B77F6A">
                        <w:rPr>
                          <w:rFonts w:cs="Calibri"/>
                          <w:b/>
                          <w:spacing w:val="-3"/>
                        </w:rPr>
                        <w:t xml:space="preserve"> </w:t>
                      </w:r>
                      <w:r w:rsidRPr="00B77F6A">
                        <w:rPr>
                          <w:rFonts w:cs="Calibri"/>
                          <w:b/>
                        </w:rPr>
                        <w:t>DE</w:t>
                      </w:r>
                      <w:r w:rsidRPr="00B77F6A">
                        <w:rPr>
                          <w:rFonts w:cs="Calibri"/>
                          <w:b/>
                          <w:spacing w:val="4"/>
                        </w:rPr>
                        <w:t xml:space="preserve"> </w:t>
                      </w:r>
                      <w:r w:rsidRPr="00B77F6A">
                        <w:rPr>
                          <w:rFonts w:cs="Calibri"/>
                          <w:b/>
                        </w:rPr>
                        <w:t>UNA</w:t>
                      </w:r>
                      <w:r w:rsidRPr="00B77F6A">
                        <w:rPr>
                          <w:rFonts w:cs="Calibri"/>
                          <w:b/>
                          <w:spacing w:val="-4"/>
                        </w:rPr>
                        <w:t xml:space="preserve"> </w:t>
                      </w:r>
                      <w:r w:rsidRPr="00B77F6A">
                        <w:rPr>
                          <w:rFonts w:cs="Calibri"/>
                          <w:b/>
                        </w:rPr>
                        <w:t>MUJER</w:t>
                      </w:r>
                    </w:p>
                  </w:txbxContent>
                </v:textbox>
                <w10:wrap anchorx="margin"/>
              </v:shape>
            </w:pict>
          </mc:Fallback>
        </mc:AlternateContent>
      </w:r>
    </w:p>
    <w:p w14:paraId="7200A6E7"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
          <w:color w:val="000000"/>
          <w:kern w:val="0"/>
          <w:lang w:val="es-ES_tradnl" w:eastAsia="es-CR"/>
          <w14:ligatures w14:val="none"/>
        </w:rPr>
      </w:pPr>
    </w:p>
    <w:p w14:paraId="1E0FE155"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Una historia de vida es una técnica narrativa que consiste en la elaboración de un relato biográfico con finalidad terapéutica o de investigación. El procedimiento básico consiste en evocar y estructurar los recuerdos de la vida de una persona, pero desde un punto de vista subjetivo, es decir, a través de su propia mirada. Se realiza en la sesión 9 y tiene un valor de 5%.</w:t>
      </w:r>
    </w:p>
    <w:p w14:paraId="624445A1"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703023D4"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p>
    <w:p w14:paraId="01DB5CE7" w14:textId="77777777" w:rsidR="00B77F6A" w:rsidRPr="00B77F6A" w:rsidRDefault="00B77F6A" w:rsidP="00B77F6A">
      <w:pPr>
        <w:widowControl w:val="0"/>
        <w:overflowPunct w:val="0"/>
        <w:autoSpaceDE w:val="0"/>
        <w:autoSpaceDN w:val="0"/>
        <w:adjustRightInd w:val="0"/>
        <w:spacing w:after="0" w:line="240" w:lineRule="auto"/>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81184" behindDoc="0" locked="0" layoutInCell="1" allowOverlap="1" wp14:anchorId="7409998C" wp14:editId="2F549190">
            <wp:simplePos x="0" y="0"/>
            <wp:positionH relativeFrom="column">
              <wp:posOffset>500380</wp:posOffset>
            </wp:positionH>
            <wp:positionV relativeFrom="paragraph">
              <wp:posOffset>152400</wp:posOffset>
            </wp:positionV>
            <wp:extent cx="8186928" cy="4614672"/>
            <wp:effectExtent l="0" t="0" r="5080" b="0"/>
            <wp:wrapNone/>
            <wp:docPr id="13257551"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551" name="Imagen 11" descr="Tabla&#10;&#10;Descripción generada automáticamente"/>
                    <pic:cNvPicPr/>
                  </pic:nvPicPr>
                  <pic:blipFill>
                    <a:blip r:embed="rId255">
                      <a:extLst>
                        <a:ext uri="{28A0092B-C50C-407E-A947-70E740481C1C}">
                          <a14:useLocalDpi xmlns:a14="http://schemas.microsoft.com/office/drawing/2010/main" val="0"/>
                        </a:ext>
                      </a:extLst>
                    </a:blip>
                    <a:stretch>
                      <a:fillRect/>
                    </a:stretch>
                  </pic:blipFill>
                  <pic:spPr>
                    <a:xfrm>
                      <a:off x="0" y="0"/>
                      <a:ext cx="8186928" cy="4614672"/>
                    </a:xfrm>
                    <a:prstGeom prst="rect">
                      <a:avLst/>
                    </a:prstGeom>
                  </pic:spPr>
                </pic:pic>
              </a:graphicData>
            </a:graphic>
          </wp:anchor>
        </w:drawing>
      </w:r>
    </w:p>
    <w:p w14:paraId="5787B82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CB0666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655F4D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A9E60A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8EFA9C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D505A4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EA552A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760B53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4151C6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8EF8D4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90CED2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FF21E9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68CA6F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CEEA50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A3DE01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2CA0D5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C6EDE0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447C1E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FE77AB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E5B7B4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69405A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7A931A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0E3B68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ADE3C7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AC2C93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DAE4C5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2B2E3F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3E0767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52C7C5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6AA93F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8FAF7F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F08AAF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82208" behindDoc="0" locked="0" layoutInCell="1" allowOverlap="1" wp14:anchorId="5A6104F9" wp14:editId="57089F1F">
                <wp:simplePos x="0" y="0"/>
                <wp:positionH relativeFrom="margin">
                  <wp:align>center</wp:align>
                </wp:positionH>
                <wp:positionV relativeFrom="paragraph">
                  <wp:posOffset>-139382</wp:posOffset>
                </wp:positionV>
                <wp:extent cx="7536815" cy="326390"/>
                <wp:effectExtent l="0" t="0" r="26035" b="16510"/>
                <wp:wrapNone/>
                <wp:docPr id="1737508207" name="Cuadro de texto 1737508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36815" cy="32639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1117C82" w14:textId="77777777" w:rsidR="00B77F6A" w:rsidRPr="00B77F6A" w:rsidRDefault="00B77F6A" w:rsidP="00B77F6A">
                            <w:pPr>
                              <w:spacing w:before="70"/>
                              <w:ind w:left="2061" w:right="2067"/>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5"/>
                              </w:rPr>
                              <w:t xml:space="preserve"> </w:t>
                            </w:r>
                            <w:r w:rsidRPr="00B77F6A">
                              <w:rPr>
                                <w:rFonts w:cs="Calibri"/>
                                <w:b/>
                              </w:rPr>
                              <w:t>EVALUACIÓN</w:t>
                            </w:r>
                            <w:r w:rsidRPr="00B77F6A">
                              <w:rPr>
                                <w:rFonts w:cs="Calibri"/>
                                <w:b/>
                                <w:spacing w:val="-1"/>
                              </w:rPr>
                              <w:t xml:space="preserve"> </w:t>
                            </w:r>
                            <w:r w:rsidRPr="00B77F6A">
                              <w:rPr>
                                <w:rFonts w:cs="Calibri"/>
                                <w:b/>
                              </w:rPr>
                              <w:t>–</w:t>
                            </w:r>
                            <w:r w:rsidRPr="00B77F6A">
                              <w:rPr>
                                <w:rFonts w:cs="Calibri"/>
                                <w:b/>
                                <w:spacing w:val="-2"/>
                              </w:rPr>
                              <w:t xml:space="preserve"> PREDIAGNÓSTICO INSTITUCIONAL DE UNA IGLESIA</w:t>
                            </w:r>
                          </w:p>
                        </w:txbxContent>
                      </wps:txbx>
                      <wps:bodyPr rot="0" vert="horz" wrap="square" lIns="0" tIns="0" rIns="0" bIns="0" anchor="t" anchorCtr="0" upright="1">
                        <a:noAutofit/>
                      </wps:bodyPr>
                    </wps:wsp>
                  </a:graphicData>
                </a:graphic>
              </wp:anchor>
            </w:drawing>
          </mc:Choice>
          <mc:Fallback>
            <w:pict>
              <v:shape w14:anchorId="5A6104F9" id="Cuadro de texto 1737508207" o:spid="_x0000_s1137" type="#_x0000_t202" style="position:absolute;left:0;text-align:left;margin-left:0;margin-top:-10.95pt;width:593.45pt;height:25.7pt;z-index:2523822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" filled="f" strokeweight=".72pt">
                <v:textbox inset="0,0,0,0">
                  <w:txbxContent>
                    <w:p w14:paraId="21117C82" w14:textId="77777777" w:rsidR="00B77F6A" w:rsidRPr="00B77F6A" w:rsidRDefault="00B77F6A" w:rsidP="00B77F6A">
                      <w:pPr>
                        <w:spacing w:before="70"/>
                        <w:ind w:left="2061" w:right="2067"/>
                        <w:jc w:val="center"/>
                        <w:rPr>
                          <w:rFonts w:cs="Calibri"/>
                          <w:b/>
                        </w:rPr>
                      </w:pPr>
                      <w:r w:rsidRPr="00B77F6A">
                        <w:rPr>
                          <w:rFonts w:cs="Calibri"/>
                          <w:b/>
                        </w:rPr>
                        <w:t>ESCALA</w:t>
                      </w:r>
                      <w:r w:rsidRPr="00B77F6A">
                        <w:rPr>
                          <w:rFonts w:cs="Calibri"/>
                          <w:b/>
                          <w:spacing w:val="-1"/>
                        </w:rPr>
                        <w:t xml:space="preserve"> </w:t>
                      </w:r>
                      <w:r w:rsidRPr="00B77F6A">
                        <w:rPr>
                          <w:rFonts w:cs="Calibri"/>
                          <w:b/>
                        </w:rPr>
                        <w:t>DE</w:t>
                      </w:r>
                      <w:r w:rsidRPr="00B77F6A">
                        <w:rPr>
                          <w:rFonts w:cs="Calibri"/>
                          <w:b/>
                          <w:spacing w:val="-5"/>
                        </w:rPr>
                        <w:t xml:space="preserve"> </w:t>
                      </w:r>
                      <w:r w:rsidRPr="00B77F6A">
                        <w:rPr>
                          <w:rFonts w:cs="Calibri"/>
                          <w:b/>
                        </w:rPr>
                        <w:t>EVALUACIÓN</w:t>
                      </w:r>
                      <w:r w:rsidRPr="00B77F6A">
                        <w:rPr>
                          <w:rFonts w:cs="Calibri"/>
                          <w:b/>
                          <w:spacing w:val="-1"/>
                        </w:rPr>
                        <w:t xml:space="preserve"> </w:t>
                      </w:r>
                      <w:r w:rsidRPr="00B77F6A">
                        <w:rPr>
                          <w:rFonts w:cs="Calibri"/>
                          <w:b/>
                        </w:rPr>
                        <w:t>–</w:t>
                      </w:r>
                      <w:r w:rsidRPr="00B77F6A">
                        <w:rPr>
                          <w:rFonts w:cs="Calibri"/>
                          <w:b/>
                          <w:spacing w:val="-2"/>
                        </w:rPr>
                        <w:t xml:space="preserve"> PREDIAGNÓSTICO INSTITUCIONAL DE UNA IGLESIA</w:t>
                      </w:r>
                    </w:p>
                  </w:txbxContent>
                </v:textbox>
                <w10:wrap anchorx="margin"/>
              </v:shape>
            </w:pict>
          </mc:Fallback>
        </mc:AlternateContent>
      </w:r>
    </w:p>
    <w:p w14:paraId="2A93511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09BDD1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El prediagnóstico funciona como un examen inicial que permite identificar en qué posición se encuentra, en este caso, una institución eclesial con relación a las perspectivas y relaciones de género. Se realiza en la sesión 10 y tiene un valor de 5%.</w:t>
      </w:r>
    </w:p>
    <w:p w14:paraId="267E8CF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p>
    <w:p w14:paraId="5FF3654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p>
    <w:p w14:paraId="17823F4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83232" behindDoc="0" locked="0" layoutInCell="1" allowOverlap="1" wp14:anchorId="00CD39DD" wp14:editId="5C317F57">
            <wp:simplePos x="0" y="0"/>
            <wp:positionH relativeFrom="margin">
              <wp:align>center</wp:align>
            </wp:positionH>
            <wp:positionV relativeFrom="paragraph">
              <wp:posOffset>4445</wp:posOffset>
            </wp:positionV>
            <wp:extent cx="8138160" cy="5468112"/>
            <wp:effectExtent l="0" t="0" r="0" b="0"/>
            <wp:wrapNone/>
            <wp:docPr id="800136612"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136612" name="Imagen 12" descr="Tabla&#10;&#10;Descripción generada automáticamente"/>
                    <pic:cNvPicPr/>
                  </pic:nvPicPr>
                  <pic:blipFill>
                    <a:blip r:embed="rId256">
                      <a:extLst>
                        <a:ext uri="{28A0092B-C50C-407E-A947-70E740481C1C}">
                          <a14:useLocalDpi xmlns:a14="http://schemas.microsoft.com/office/drawing/2010/main" val="0"/>
                        </a:ext>
                      </a:extLst>
                    </a:blip>
                    <a:stretch>
                      <a:fillRect/>
                    </a:stretch>
                  </pic:blipFill>
                  <pic:spPr>
                    <a:xfrm>
                      <a:off x="0" y="0"/>
                      <a:ext cx="8138160" cy="5468112"/>
                    </a:xfrm>
                    <a:prstGeom prst="rect">
                      <a:avLst/>
                    </a:prstGeom>
                  </pic:spPr>
                </pic:pic>
              </a:graphicData>
            </a:graphic>
          </wp:anchor>
        </w:drawing>
      </w:r>
    </w:p>
    <w:p w14:paraId="7AC317E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978FC3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16FC6A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823FEB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7F0298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375A82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3C011D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A7A529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1BFDFC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8F966A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2E3204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E5B26C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9EC77F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FC405D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E21F12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72C9D3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598F89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886759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95980B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9ACA18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EBECF0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91A195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94ADC7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7F9CF5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5937F2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6824A3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F65352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8B4327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3FFF1C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CEAC87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618618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062672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A1C780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noProof/>
          <w:kern w:val="0"/>
          <w:sz w:val="24"/>
          <w:szCs w:val="20"/>
          <w:lang w:val="es-ES_tradnl" w:eastAsia="es-CR"/>
          <w14:ligatures w14:val="none"/>
        </w:rPr>
        <mc:AlternateContent>
          <mc:Choice Requires="wps">
            <w:drawing>
              <wp:anchor distT="45720" distB="45720" distL="114300" distR="114300" simplePos="0" relativeHeight="252384256" behindDoc="0" locked="0" layoutInCell="1" allowOverlap="1" wp14:anchorId="71EF2550" wp14:editId="7E776B44">
                <wp:simplePos x="0" y="0"/>
                <wp:positionH relativeFrom="margin">
                  <wp:align>center</wp:align>
                </wp:positionH>
                <wp:positionV relativeFrom="paragraph">
                  <wp:posOffset>-168910</wp:posOffset>
                </wp:positionV>
                <wp:extent cx="7105650" cy="426720"/>
                <wp:effectExtent l="0" t="0" r="19050" b="11430"/>
                <wp:wrapNone/>
                <wp:docPr id="5910741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05650" cy="426720"/>
                        </a:xfrm>
                        <a:prstGeom prst="rect">
                          <a:avLst/>
                        </a:prstGeom>
                        <a:solidFill>
                          <a:srgbClr val="FFFFFF"/>
                        </a:solidFill>
                        <a:ln w="9525">
                          <a:solidFill>
                            <a:srgbClr val="000000"/>
                          </a:solidFill>
                          <a:miter lim="800000"/>
                          <a:headEnd/>
                          <a:tailEnd/>
                        </a:ln>
                      </wps:spPr>
                      <wps:txbx>
                        <w:txbxContent>
                          <w:p w14:paraId="2215047E" w14:textId="77777777" w:rsidR="00B77F6A" w:rsidRPr="00B77F6A" w:rsidRDefault="00B77F6A" w:rsidP="00B77F6A">
                            <w:pPr>
                              <w:jc w:val="center"/>
                              <w:rPr>
                                <w:rFonts w:cs="Calibri"/>
                                <w:b/>
                              </w:rPr>
                            </w:pPr>
                            <w:r w:rsidRPr="00B77F6A">
                              <w:rPr>
                                <w:rFonts w:cs="Calibri"/>
                                <w:b/>
                              </w:rPr>
                              <w:t>RÚBRICA DE EVALUACIÓN – ANÁLISIS DE UNA PELÍCULA</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1EF2550" id="_x0000_s1138" type="#_x0000_t202" style="position:absolute;left:0;text-align:left;margin-left:0;margin-top:-13.3pt;width:559.5pt;height:33.6pt;z-index:2523842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">
                <v:textbox>
                  <w:txbxContent>
                    <w:p w14:paraId="2215047E" w14:textId="77777777" w:rsidR="00B77F6A" w:rsidRPr="00B77F6A" w:rsidRDefault="00B77F6A" w:rsidP="00B77F6A">
                      <w:pPr>
                        <w:jc w:val="center"/>
                        <w:rPr>
                          <w:rFonts w:cs="Calibri"/>
                          <w:b/>
                        </w:rPr>
                      </w:pPr>
                      <w:r w:rsidRPr="00B77F6A">
                        <w:rPr>
                          <w:rFonts w:cs="Calibri"/>
                          <w:b/>
                        </w:rPr>
                        <w:t>RÚBRICA DE EVALUACIÓN – ANÁLISIS DE UNA PELÍCULA</w:t>
                      </w:r>
                    </w:p>
                  </w:txbxContent>
                </v:textbox>
                <w10:wrap anchorx="margin"/>
              </v:shape>
            </w:pict>
          </mc:Fallback>
        </mc:AlternateContent>
      </w:r>
    </w:p>
    <w:p w14:paraId="11362A4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6006CF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961EA2C" w14:textId="77777777" w:rsidR="00B77F6A" w:rsidRPr="00B77F6A" w:rsidRDefault="00B77F6A" w:rsidP="4C9C2619">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 xml:space="preserve">Durante la sesión 12 se realiza el análisis de la película </w:t>
      </w:r>
      <w:proofErr w:type="spellStart"/>
      <w:r w:rsidRPr="4C9C2619">
        <w:rPr>
          <w:rFonts w:ascii="Calibri" w:eastAsia="Times New Roman" w:hAnsi="Calibri" w:cs="Arial"/>
          <w:i/>
          <w:iCs/>
          <w:color w:val="0070C0"/>
          <w:kern w:val="0"/>
          <w:lang w:val="es-ES" w:eastAsia="es-CR"/>
          <w14:ligatures w14:val="none"/>
        </w:rPr>
        <w:t>Whale</w:t>
      </w:r>
      <w:proofErr w:type="spellEnd"/>
      <w:r w:rsidRPr="4C9C2619">
        <w:rPr>
          <w:rFonts w:ascii="Calibri" w:eastAsia="Times New Roman" w:hAnsi="Calibri" w:cs="Arial"/>
          <w:i/>
          <w:iCs/>
          <w:color w:val="0070C0"/>
          <w:kern w:val="0"/>
          <w:lang w:val="es-ES" w:eastAsia="es-CR"/>
          <w14:ligatures w14:val="none"/>
        </w:rPr>
        <w:t xml:space="preserve"> </w:t>
      </w:r>
      <w:proofErr w:type="spellStart"/>
      <w:r w:rsidRPr="4C9C2619">
        <w:rPr>
          <w:rFonts w:ascii="Calibri" w:eastAsia="Times New Roman" w:hAnsi="Calibri" w:cs="Arial"/>
          <w:i/>
          <w:iCs/>
          <w:color w:val="0070C0"/>
          <w:kern w:val="0"/>
          <w:lang w:val="es-ES" w:eastAsia="es-CR"/>
          <w14:ligatures w14:val="none"/>
        </w:rPr>
        <w:t>Rider</w:t>
      </w:r>
      <w:proofErr w:type="spellEnd"/>
      <w:r w:rsidRPr="4C9C2619">
        <w:rPr>
          <w:rFonts w:ascii="Calibri" w:eastAsia="Times New Roman" w:hAnsi="Calibri" w:cs="Arial"/>
          <w:color w:val="0070C0"/>
          <w:kern w:val="0"/>
          <w:lang w:val="es-ES" w:eastAsia="es-CR"/>
          <w14:ligatures w14:val="none"/>
        </w:rPr>
        <w:t xml:space="preserve"> (Jinete de ballenas) a partir de la guía suministrada por la persona docente. Este análisis tiene un valor de 5%.</w:t>
      </w:r>
    </w:p>
    <w:p w14:paraId="7C615FA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E9FFA1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A4B000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85280" behindDoc="0" locked="0" layoutInCell="1" allowOverlap="1" wp14:anchorId="465AFD9F" wp14:editId="2BC0A896">
            <wp:simplePos x="0" y="0"/>
            <wp:positionH relativeFrom="margin">
              <wp:align>center</wp:align>
            </wp:positionH>
            <wp:positionV relativeFrom="paragraph">
              <wp:posOffset>166053</wp:posOffset>
            </wp:positionV>
            <wp:extent cx="8241665" cy="4772660"/>
            <wp:effectExtent l="0" t="0" r="6985" b="8890"/>
            <wp:wrapNone/>
            <wp:docPr id="1565802290" name="Imagen 13"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802290" name="Imagen 13" descr="Interfaz de usuario gráfica, Aplicación, Tabla&#10;&#10;Descripción generada automáticamente"/>
                    <pic:cNvPicPr/>
                  </pic:nvPicPr>
                  <pic:blipFill>
                    <a:blip r:embed="rId257">
                      <a:extLst>
                        <a:ext uri="{28A0092B-C50C-407E-A947-70E740481C1C}">
                          <a14:useLocalDpi xmlns:a14="http://schemas.microsoft.com/office/drawing/2010/main" val="0"/>
                        </a:ext>
                      </a:extLst>
                    </a:blip>
                    <a:stretch>
                      <a:fillRect/>
                    </a:stretch>
                  </pic:blipFill>
                  <pic:spPr>
                    <a:xfrm>
                      <a:off x="0" y="0"/>
                      <a:ext cx="8241665" cy="4772660"/>
                    </a:xfrm>
                    <a:prstGeom prst="rect">
                      <a:avLst/>
                    </a:prstGeom>
                  </pic:spPr>
                </pic:pic>
              </a:graphicData>
            </a:graphic>
          </wp:anchor>
        </w:drawing>
      </w:r>
    </w:p>
    <w:p w14:paraId="4A4CF00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4A1DE9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0E525B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1E4B5A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E1A594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3E0ECA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6E412B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6AFECD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61D206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6713A1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0CEEF1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DB7BBB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CA964A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9880AC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3133F0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465C03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E8CD60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BFC8E2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2E681D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010628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FA1E40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0B6102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3975F3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12BDAA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A6F332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709F86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48C02E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A573BB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F99D9DC" w14:textId="6BBF1FAA" w:rsidR="00B77F6A" w:rsidRPr="00B77F6A" w:rsidRDefault="008E0715"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86304" behindDoc="0" locked="0" layoutInCell="1" allowOverlap="1" wp14:anchorId="19104495" wp14:editId="1E2EBA44">
                <wp:simplePos x="0" y="0"/>
                <wp:positionH relativeFrom="margin">
                  <wp:align>center</wp:align>
                </wp:positionH>
                <wp:positionV relativeFrom="paragraph">
                  <wp:posOffset>-142355</wp:posOffset>
                </wp:positionV>
                <wp:extent cx="7879080" cy="404812"/>
                <wp:effectExtent l="0" t="0" r="26670" b="14605"/>
                <wp:wrapNone/>
                <wp:docPr id="11272989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4812"/>
                        </a:xfrm>
                        <a:prstGeom prst="rect">
                          <a:avLst/>
                        </a:prstGeom>
                        <a:solidFill>
                          <a:srgbClr val="FFFFFF"/>
                        </a:solidFill>
                        <a:ln w="9525">
                          <a:solidFill>
                            <a:srgbClr val="000000"/>
                          </a:solidFill>
                          <a:miter lim="800000"/>
                          <a:headEnd/>
                          <a:tailEnd/>
                        </a:ln>
                      </wps:spPr>
                      <wps:txbx>
                        <w:txbxContent>
                          <w:p w14:paraId="6B7487A4" w14:textId="77777777" w:rsidR="00B77F6A" w:rsidRPr="00B77F6A" w:rsidRDefault="00B77F6A" w:rsidP="00B77F6A">
                            <w:pPr>
                              <w:jc w:val="center"/>
                              <w:rPr>
                                <w:rFonts w:cs="Calibri"/>
                                <w:b/>
                                <w:szCs w:val="24"/>
                              </w:rPr>
                            </w:pPr>
                            <w:r w:rsidRPr="00B77F6A">
                              <w:rPr>
                                <w:rFonts w:cs="Calibri"/>
                                <w:b/>
                                <w:szCs w:val="24"/>
                              </w:rPr>
                              <w:t>RÚBRICA DE EVALUACIÓN – FORO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04495" id="_x0000_s1139" type="#_x0000_t202" style="position:absolute;left:0;text-align:left;margin-left:0;margin-top:-11.2pt;width:620.4pt;height:31.85pt;z-index:25238630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">
                <v:textbox>
                  <w:txbxContent>
                    <w:p w14:paraId="6B7487A4" w14:textId="77777777" w:rsidR="00B77F6A" w:rsidRPr="00B77F6A" w:rsidRDefault="00B77F6A" w:rsidP="00B77F6A">
                      <w:pPr>
                        <w:jc w:val="center"/>
                        <w:rPr>
                          <w:rFonts w:cs="Calibri"/>
                          <w:b/>
                          <w:szCs w:val="24"/>
                        </w:rPr>
                      </w:pPr>
                      <w:r w:rsidRPr="00B77F6A">
                        <w:rPr>
                          <w:rFonts w:cs="Calibri"/>
                          <w:b/>
                          <w:szCs w:val="24"/>
                        </w:rPr>
                        <w:t>RÚBRICA DE EVALUACIÓN – FORO</w:t>
                      </w:r>
                    </w:p>
                  </w:txbxContent>
                </v:textbox>
                <w10:wrap anchorx="margin"/>
              </v:shape>
            </w:pict>
          </mc:Fallback>
        </mc:AlternateContent>
      </w:r>
    </w:p>
    <w:p w14:paraId="1C477742" w14:textId="40BAE75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99634E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27968D4" w14:textId="77777777" w:rsidR="00B77F6A" w:rsidRPr="00B77F6A" w:rsidRDefault="00B77F6A" w:rsidP="4C9C2619">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Con el propósito de proveer experiencias de aprendizaje interactivas y colaborativas, en los foros se busca que los y las estudiantes, con base en las lecturas asignadas, debatan y discutan grupalmente. El porcentaje total establecido para este rubro (aportes al debate y análisis grupal), el cual es un 20%, se aplica para los foros de las sesiones 2, 3, 4, 5, 6, 7, 8, 9, 10 y 12.</w:t>
      </w:r>
    </w:p>
    <w:p w14:paraId="26B742BE" w14:textId="3EA77B29" w:rsidR="00B77F6A" w:rsidRPr="00B77F6A" w:rsidRDefault="008E0715"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87328" behindDoc="0" locked="0" layoutInCell="1" allowOverlap="1" wp14:anchorId="1711AD46" wp14:editId="44D2C31E">
            <wp:simplePos x="0" y="0"/>
            <wp:positionH relativeFrom="margin">
              <wp:posOffset>342900</wp:posOffset>
            </wp:positionH>
            <wp:positionV relativeFrom="paragraph">
              <wp:posOffset>36888</wp:posOffset>
            </wp:positionV>
            <wp:extent cx="8458200" cy="5728668"/>
            <wp:effectExtent l="0" t="0" r="0" b="5715"/>
            <wp:wrapNone/>
            <wp:docPr id="1665230057"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30057" name="Imagen 14" descr="Tabla&#10;&#10;Descripción generada automáticamente"/>
                    <pic:cNvPicPr/>
                  </pic:nvPicPr>
                  <pic:blipFill>
                    <a:blip r:embed="rId258">
                      <a:extLst>
                        <a:ext uri="{28A0092B-C50C-407E-A947-70E740481C1C}">
                          <a14:useLocalDpi xmlns:a14="http://schemas.microsoft.com/office/drawing/2010/main" val="0"/>
                        </a:ext>
                      </a:extLst>
                    </a:blip>
                    <a:stretch>
                      <a:fillRect/>
                    </a:stretch>
                  </pic:blipFill>
                  <pic:spPr>
                    <a:xfrm>
                      <a:off x="0" y="0"/>
                      <a:ext cx="8458200" cy="5728668"/>
                    </a:xfrm>
                    <a:prstGeom prst="rect">
                      <a:avLst/>
                    </a:prstGeom>
                  </pic:spPr>
                </pic:pic>
              </a:graphicData>
            </a:graphic>
            <wp14:sizeRelH relativeFrom="margin">
              <wp14:pctWidth>0</wp14:pctWidth>
            </wp14:sizeRelH>
            <wp14:sizeRelV relativeFrom="margin">
              <wp14:pctHeight>0</wp14:pctHeight>
            </wp14:sizeRelV>
          </wp:anchor>
        </w:drawing>
      </w:r>
    </w:p>
    <w:p w14:paraId="5F882F90" w14:textId="0C95CC3C"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p>
    <w:p w14:paraId="06959E87" w14:textId="28FE4B9C"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4EF542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C7BE4A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7FF08D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E03392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CB59D6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E65919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98F987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4D8C6B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B4BA71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055933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DFE775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635C2F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786311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215F64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F95E11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3E97E1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F96CB1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6F9F49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E2835E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7A8562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FFDE66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A7D5EF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6B0867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D2261B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B0A5F1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7EF2AD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D4B04D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204C52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C0C537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FEBD8F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5EEA36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EFF074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88352" behindDoc="0" locked="0" layoutInCell="1" allowOverlap="1" wp14:anchorId="23CB331F" wp14:editId="4575025B">
                <wp:simplePos x="0" y="0"/>
                <wp:positionH relativeFrom="margin">
                  <wp:align>center</wp:align>
                </wp:positionH>
                <wp:positionV relativeFrom="paragraph">
                  <wp:posOffset>-291782</wp:posOffset>
                </wp:positionV>
                <wp:extent cx="6606540" cy="411480"/>
                <wp:effectExtent l="0" t="0" r="22860" b="26670"/>
                <wp:wrapNone/>
                <wp:docPr id="71992931"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62625F2" w14:textId="77777777" w:rsidR="00B77F6A" w:rsidRPr="00B77F6A" w:rsidRDefault="00B77F6A" w:rsidP="00B77F6A">
                            <w:pPr>
                              <w:jc w:val="center"/>
                              <w:rPr>
                                <w:rFonts w:cs="Calibri"/>
                              </w:rPr>
                            </w:pPr>
                            <w:r w:rsidRPr="00B77F6A">
                              <w:rPr>
                                <w:rFonts w:cs="Calibri"/>
                                <w:b/>
                              </w:rPr>
                              <w:t>RÚBRICA DE EVALUACIÓN – MONOGRAFÍA FINAL ESCRITA</w:t>
                            </w:r>
                          </w:p>
                          <w:p w14:paraId="208A811E" w14:textId="77777777" w:rsidR="00B77F6A" w:rsidRPr="00B77F6A" w:rsidRDefault="00B77F6A" w:rsidP="00B77F6A">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CB331F" id="_x0000_s1140" type="#_x0000_t202" style="position:absolute;left:0;text-align:left;margin-left:0;margin-top:-22.95pt;width:520.2pt;height:32.4pt;z-index:2523883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" fillcolor="window" strokeweight=".5pt">
                <v:textbox>
                  <w:txbxContent>
                    <w:p w14:paraId="262625F2" w14:textId="77777777" w:rsidR="00B77F6A" w:rsidRPr="00B77F6A" w:rsidRDefault="00B77F6A" w:rsidP="00B77F6A">
                      <w:pPr>
                        <w:jc w:val="center"/>
                        <w:rPr>
                          <w:rFonts w:cs="Calibri"/>
                        </w:rPr>
                      </w:pPr>
                      <w:r w:rsidRPr="00B77F6A">
                        <w:rPr>
                          <w:rFonts w:cs="Calibri"/>
                          <w:b/>
                        </w:rPr>
                        <w:t>RÚBRICA DE EVALUACIÓN – MONOGRAFÍA FINAL ESCRITA</w:t>
                      </w:r>
                    </w:p>
                    <w:p w14:paraId="208A811E" w14:textId="77777777" w:rsidR="00B77F6A" w:rsidRPr="00B77F6A" w:rsidRDefault="00B77F6A" w:rsidP="00B77F6A">
                      <w:pPr>
                        <w:jc w:val="center"/>
                        <w:rPr>
                          <w:rFonts w:cs="Calibri"/>
                        </w:rPr>
                      </w:pPr>
                    </w:p>
                  </w:txbxContent>
                </v:textbox>
                <w10:wrap anchorx="margin"/>
              </v:shape>
            </w:pict>
          </mc:Fallback>
        </mc:AlternateContent>
      </w:r>
    </w:p>
    <w:p w14:paraId="68C5E68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B28F54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70C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Una monografía es un tipo de documento expositivo o explicativo en el que se aborda un tema específico desde una o más perspectivas posibles. Se consultan diversas fuentes hasta agotar lo más posible el abordaje del tema en cuestión. Se elabora desde la sesión 1 hasta la 15 y su porcentaje se distribuye de la siguiente forma: Monografía final escrita (20%). Se entrega en las sesiones 13, 14 y 15 según asignación docente. Síntesis de la monografía en formato audiovisual (5%). Se presenta en las sesiones 13, 14 y 15 según asignación docente.</w:t>
      </w:r>
    </w:p>
    <w:p w14:paraId="3D56556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p>
    <w:p w14:paraId="3417E5A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p>
    <w:p w14:paraId="13D2143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Cs/>
          <w:color w:val="000000"/>
          <w:kern w:val="0"/>
          <w:lang w:val="es-ES_tradnl" w:eastAsia="es-CR"/>
          <w14:ligatures w14:val="none"/>
        </w:rPr>
      </w:pPr>
      <w:r w:rsidRPr="00B77F6A">
        <w:rPr>
          <w:rFonts w:ascii="Calibri" w:eastAsia="Times New Roman" w:hAnsi="Calibri" w:cs="Arial"/>
          <w:bCs/>
          <w:noProof/>
          <w:color w:val="000000"/>
          <w:kern w:val="0"/>
          <w:lang w:val="es-ES_tradnl" w:eastAsia="es-CR"/>
          <w14:ligatures w14:val="none"/>
        </w:rPr>
        <w:drawing>
          <wp:anchor distT="0" distB="0" distL="114300" distR="114300" simplePos="0" relativeHeight="252389376" behindDoc="0" locked="0" layoutInCell="1" allowOverlap="1" wp14:anchorId="34E82B96" wp14:editId="49DCDAC1">
            <wp:simplePos x="0" y="0"/>
            <wp:positionH relativeFrom="column">
              <wp:posOffset>704850</wp:posOffset>
            </wp:positionH>
            <wp:positionV relativeFrom="paragraph">
              <wp:posOffset>1905</wp:posOffset>
            </wp:positionV>
            <wp:extent cx="7729728" cy="3395472"/>
            <wp:effectExtent l="0" t="0" r="5080" b="0"/>
            <wp:wrapNone/>
            <wp:docPr id="1363752703" name="Imagen 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752703" name="Imagen 15" descr="Tabla&#10;&#10;Descripción generada automáticamente"/>
                    <pic:cNvPicPr/>
                  </pic:nvPicPr>
                  <pic:blipFill>
                    <a:blip r:embed="rId259">
                      <a:extLst>
                        <a:ext uri="{28A0092B-C50C-407E-A947-70E740481C1C}">
                          <a14:useLocalDpi xmlns:a14="http://schemas.microsoft.com/office/drawing/2010/main" val="0"/>
                        </a:ext>
                      </a:extLst>
                    </a:blip>
                    <a:stretch>
                      <a:fillRect/>
                    </a:stretch>
                  </pic:blipFill>
                  <pic:spPr>
                    <a:xfrm>
                      <a:off x="0" y="0"/>
                      <a:ext cx="7729728" cy="3395472"/>
                    </a:xfrm>
                    <a:prstGeom prst="rect">
                      <a:avLst/>
                    </a:prstGeom>
                  </pic:spPr>
                </pic:pic>
              </a:graphicData>
            </a:graphic>
          </wp:anchor>
        </w:drawing>
      </w:r>
    </w:p>
    <w:p w14:paraId="7D5DF53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8962A0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3D66A83"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3C110F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0B574E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C51B3B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567E3A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D96164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1E15EB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DFB397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9D78F4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DA0479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8E68F6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017E9FC"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0784FA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2946AB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2CFFA4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FC0536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04D3EE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E7340F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690392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5ED1A8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41EAD7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7F0951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393EF9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D5C419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74CF26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DFB59BE"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EAE941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A73BD1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52A4F6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
          <w:color w:val="000000"/>
          <w:kern w:val="0"/>
          <w:lang w:val="es-ES_tradnl" w:eastAsia="es-CR"/>
          <w14:ligatures w14:val="none"/>
        </w:rPr>
      </w:pPr>
      <w:r w:rsidRPr="00B77F6A">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90400" behindDoc="0" locked="0" layoutInCell="1" allowOverlap="1" wp14:anchorId="38C0FFF8" wp14:editId="5F28AF79">
                <wp:simplePos x="0" y="0"/>
                <wp:positionH relativeFrom="margin">
                  <wp:align>center</wp:align>
                </wp:positionH>
                <wp:positionV relativeFrom="paragraph">
                  <wp:posOffset>-177482</wp:posOffset>
                </wp:positionV>
                <wp:extent cx="6606540" cy="411480"/>
                <wp:effectExtent l="0" t="0" r="22860" b="26670"/>
                <wp:wrapNone/>
                <wp:docPr id="1170154456"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EF2D750" w14:textId="77777777" w:rsidR="00B77F6A" w:rsidRPr="00B77F6A" w:rsidRDefault="00B77F6A" w:rsidP="00B77F6A">
                            <w:pPr>
                              <w:jc w:val="center"/>
                              <w:rPr>
                                <w:rFonts w:cs="Calibri"/>
                              </w:rPr>
                            </w:pPr>
                            <w:r w:rsidRPr="00B77F6A">
                              <w:rPr>
                                <w:rFonts w:cs="Calibri"/>
                                <w:b/>
                              </w:rPr>
                              <w:t>RÚBRICA DE EVALUACIÓN – SÍNTESIS DE LA MONOGRAFÍA FINAL</w:t>
                            </w:r>
                          </w:p>
                          <w:p w14:paraId="153AC88B" w14:textId="77777777" w:rsidR="00B77F6A" w:rsidRPr="00B77F6A" w:rsidRDefault="00B77F6A" w:rsidP="00B77F6A">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8C0FFF8" id="_x0000_s1141" type="#_x0000_t202" style="position:absolute;left:0;text-align:left;margin-left:0;margin-top:-13.95pt;width:520.2pt;height:32.4pt;z-index:2523904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" fillcolor="window" strokeweight=".5pt">
                <v:textbox>
                  <w:txbxContent>
                    <w:p w14:paraId="0EF2D750" w14:textId="77777777" w:rsidR="00B77F6A" w:rsidRPr="00B77F6A" w:rsidRDefault="00B77F6A" w:rsidP="00B77F6A">
                      <w:pPr>
                        <w:jc w:val="center"/>
                        <w:rPr>
                          <w:rFonts w:cs="Calibri"/>
                        </w:rPr>
                      </w:pPr>
                      <w:r w:rsidRPr="00B77F6A">
                        <w:rPr>
                          <w:rFonts w:cs="Calibri"/>
                          <w:b/>
                        </w:rPr>
                        <w:t>RÚBRICA DE EVALUACIÓN – SÍNTESIS DE LA MONOGRAFÍA FINAL</w:t>
                      </w:r>
                    </w:p>
                    <w:p w14:paraId="153AC88B" w14:textId="77777777" w:rsidR="00B77F6A" w:rsidRPr="00B77F6A" w:rsidRDefault="00B77F6A" w:rsidP="00B77F6A">
                      <w:pPr>
                        <w:jc w:val="center"/>
                        <w:rPr>
                          <w:rFonts w:cs="Calibri"/>
                        </w:rPr>
                      </w:pPr>
                    </w:p>
                  </w:txbxContent>
                </v:textbox>
                <w10:wrap anchorx="margin"/>
              </v:shape>
            </w:pict>
          </mc:Fallback>
        </mc:AlternateContent>
      </w:r>
    </w:p>
    <w:p w14:paraId="1335352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B43FF7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Cs/>
          <w:color w:val="0070C0"/>
          <w:kern w:val="0"/>
          <w:lang w:val="es-ES_tradnl" w:eastAsia="es-CR"/>
          <w14:ligatures w14:val="none"/>
        </w:rPr>
        <w:t xml:space="preserve">La monografía final del curso se elabora desde la sesión 1 hasta la 15. La persona docente asignará la sesión en la que cada estudiante presentará una síntesis en formato audiovisual, misma que tiene un valor de 5% de la nota. Las presentaciones se harán en las sesiones 13, 14 y 15. La siguiente rúbrica corresponde a la síntesis y presentación. </w:t>
      </w:r>
    </w:p>
    <w:p w14:paraId="7AAD49B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4F182C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
          <w:color w:val="000000"/>
          <w:kern w:val="0"/>
          <w:lang w:val="es-ES_tradnl" w:eastAsia="es-CR"/>
          <w14:ligatures w14:val="none"/>
        </w:rPr>
      </w:pPr>
      <w:r w:rsidRPr="00B77F6A">
        <w:rPr>
          <w:rFonts w:ascii="Calibri" w:eastAsia="Times New Roman" w:hAnsi="Calibri" w:cs="Arial"/>
          <w:b/>
          <w:noProof/>
          <w:color w:val="000000"/>
          <w:kern w:val="0"/>
          <w:lang w:val="es-ES_tradnl" w:eastAsia="es-CR"/>
          <w14:ligatures w14:val="none"/>
        </w:rPr>
        <w:drawing>
          <wp:anchor distT="0" distB="0" distL="114300" distR="114300" simplePos="0" relativeHeight="252391424" behindDoc="0" locked="0" layoutInCell="1" allowOverlap="1" wp14:anchorId="36E0A1C1" wp14:editId="62AA390F">
            <wp:simplePos x="0" y="0"/>
            <wp:positionH relativeFrom="column">
              <wp:posOffset>704850</wp:posOffset>
            </wp:positionH>
            <wp:positionV relativeFrom="paragraph">
              <wp:posOffset>-1905</wp:posOffset>
            </wp:positionV>
            <wp:extent cx="7729728" cy="4248912"/>
            <wp:effectExtent l="0" t="0" r="5080" b="0"/>
            <wp:wrapNone/>
            <wp:docPr id="2008127524" name="Imagen 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27524" name="Imagen 16" descr="Tabla&#10;&#10;Descripción generada automáticamente"/>
                    <pic:cNvPicPr/>
                  </pic:nvPicPr>
                  <pic:blipFill>
                    <a:blip r:embed="rId260">
                      <a:extLst>
                        <a:ext uri="{28A0092B-C50C-407E-A947-70E740481C1C}">
                          <a14:useLocalDpi xmlns:a14="http://schemas.microsoft.com/office/drawing/2010/main" val="0"/>
                        </a:ext>
                      </a:extLst>
                    </a:blip>
                    <a:stretch>
                      <a:fillRect/>
                    </a:stretch>
                  </pic:blipFill>
                  <pic:spPr>
                    <a:xfrm>
                      <a:off x="0" y="0"/>
                      <a:ext cx="7729728" cy="4248912"/>
                    </a:xfrm>
                    <a:prstGeom prst="rect">
                      <a:avLst/>
                    </a:prstGeom>
                  </pic:spPr>
                </pic:pic>
              </a:graphicData>
            </a:graphic>
          </wp:anchor>
        </w:drawing>
      </w:r>
    </w:p>
    <w:p w14:paraId="203357B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6CB933F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80B69D1"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8E73DB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A3821B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6729A8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59F5BE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D966AF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E93483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346842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348B70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7A1EF0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A5C5AA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40D9FF7"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9BE99A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
          <w:color w:val="000000"/>
          <w:kern w:val="0"/>
          <w:lang w:val="es-ES_tradnl" w:eastAsia="es-CR"/>
          <w14:ligatures w14:val="none"/>
        </w:rPr>
      </w:pPr>
    </w:p>
    <w:p w14:paraId="001A5E9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jc w:val="center"/>
        <w:rPr>
          <w:rFonts w:ascii="Calibri" w:eastAsia="Times New Roman" w:hAnsi="Calibri" w:cs="Arial"/>
          <w:b/>
          <w:color w:val="000000"/>
          <w:kern w:val="0"/>
          <w:lang w:val="es-ES_tradnl" w:eastAsia="es-CR"/>
          <w14:ligatures w14:val="none"/>
        </w:rPr>
      </w:pPr>
    </w:p>
    <w:p w14:paraId="0EAC5B9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5419BC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102CC5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2364F7FB"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38A18D8"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13E80D4F"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48534679"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DC3615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B79B76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77D7C66"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041A45AD"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0656875"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5D652BC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sectPr w:rsidR="00B77F6A" w:rsidRPr="00B77F6A" w:rsidSect="005C1895">
          <w:pgSz w:w="15840" w:h="12240" w:orient="landscape"/>
          <w:pgMar w:top="720" w:right="720" w:bottom="720" w:left="720" w:header="709" w:footer="709" w:gutter="0"/>
          <w:pgNumType w:start="227"/>
          <w:cols w:space="708"/>
          <w:docGrid w:linePitch="360"/>
        </w:sectPr>
      </w:pPr>
    </w:p>
    <w:p w14:paraId="0D4CE13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lastRenderedPageBreak/>
        <w:t>XI. Bibliografía obligatoria</w:t>
      </w:r>
    </w:p>
    <w:p w14:paraId="59679FE4"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776DC32B" w14:textId="77777777" w:rsidR="00B77F6A" w:rsidRPr="00B77F6A" w:rsidRDefault="00B77F6A" w:rsidP="00B77F6A">
      <w:pPr>
        <w:widowControl w:val="0"/>
        <w:overflowPunct w:val="0"/>
        <w:autoSpaceDE w:val="0"/>
        <w:autoSpaceDN w:val="0"/>
        <w:adjustRightInd w:val="0"/>
        <w:spacing w:after="0" w:line="240" w:lineRule="auto"/>
        <w:contextualSpacing/>
        <w:jc w:val="both"/>
        <w:rPr>
          <w:rFonts w:ascii="Calibri" w:eastAsia="Times New Roman" w:hAnsi="Calibri" w:cs="Arial"/>
          <w:bCs/>
          <w:color w:val="000000"/>
          <w:kern w:val="0"/>
          <w:lang w:eastAsia="es-CR"/>
          <w14:ligatures w14:val="none"/>
        </w:rPr>
      </w:pPr>
      <w:r w:rsidRPr="00B77F6A">
        <w:rPr>
          <w:rFonts w:ascii="Calibri" w:eastAsia="Times New Roman" w:hAnsi="Calibri" w:cs="Arial"/>
          <w:b/>
          <w:color w:val="000000"/>
          <w:kern w:val="0"/>
          <w:lang w:eastAsia="es-CR"/>
          <w14:ligatures w14:val="none"/>
        </w:rPr>
        <w:t>Nota:</w:t>
      </w:r>
      <w:r w:rsidRPr="00B77F6A">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B77F6A">
        <w:rPr>
          <w:rFonts w:ascii="Calibri" w:eastAsia="Times New Roman" w:hAnsi="Calibri" w:cs="Arial"/>
          <w:bCs/>
          <w:color w:val="000000"/>
          <w:kern w:val="0"/>
          <w:lang w:eastAsia="es-CR"/>
          <w14:ligatures w14:val="none"/>
        </w:rPr>
        <w:t>pdf</w:t>
      </w:r>
      <w:proofErr w:type="spellEnd"/>
      <w:r w:rsidRPr="00B77F6A">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48E5448D"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Cs/>
          <w:color w:val="000000"/>
          <w:kern w:val="0"/>
          <w:lang w:eastAsia="es-CR"/>
          <w14:ligatures w14:val="none"/>
        </w:rPr>
      </w:pPr>
    </w:p>
    <w:p w14:paraId="1E83BFD9"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Andel, Arianne van. “Y ustedes, ¿quién dicen que soy? Crítica teológica a la propaganda contra la ideología de género”. </w:t>
      </w:r>
      <w:r w:rsidRPr="00B77F6A">
        <w:rPr>
          <w:rFonts w:ascii="Calibri" w:eastAsia="Times New Roman" w:hAnsi="Calibri" w:cs="Calibri"/>
          <w:i/>
          <w:color w:val="000000"/>
          <w:kern w:val="0"/>
          <w:lang w:val="es-ES_tradnl" w:eastAsia="es-CR"/>
          <w14:ligatures w14:val="none"/>
        </w:rPr>
        <w:t>Vida y Pensamiento</w:t>
      </w:r>
      <w:r w:rsidRPr="00B77F6A">
        <w:rPr>
          <w:rFonts w:ascii="Calibri" w:eastAsia="Times New Roman" w:hAnsi="Calibri" w:cs="Calibri"/>
          <w:color w:val="000000"/>
          <w:kern w:val="0"/>
          <w:lang w:val="es-ES_tradnl" w:eastAsia="es-CR"/>
          <w14:ligatures w14:val="none"/>
        </w:rPr>
        <w:t xml:space="preserve"> 38, no. 1 (2018): 25-53.</w:t>
      </w:r>
    </w:p>
    <w:p w14:paraId="3F63AD84" w14:textId="77777777" w:rsidR="00B77F6A" w:rsidRPr="00B77F6A" w:rsidRDefault="00B77F6A" w:rsidP="00B77F6A">
      <w:pPr>
        <w:widowControl w:val="0"/>
        <w:overflowPunct w:val="0"/>
        <w:autoSpaceDE w:val="0"/>
        <w:autoSpaceDN w:val="0"/>
        <w:adjustRightInd w:val="0"/>
        <w:spacing w:before="120" w:after="0" w:line="240" w:lineRule="auto"/>
        <w:contextualSpacing/>
        <w:jc w:val="both"/>
        <w:rPr>
          <w:rFonts w:ascii="Calibri" w:eastAsia="Times New Roman" w:hAnsi="Calibri" w:cs="Calibri"/>
          <w:color w:val="000000"/>
          <w:kern w:val="0"/>
          <w:lang w:val="es-ES_tradnl" w:eastAsia="es-CR"/>
          <w14:ligatures w14:val="none"/>
        </w:rPr>
      </w:pPr>
    </w:p>
    <w:p w14:paraId="6E0477F1"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Baltodano, Mireya. “La transversalidad del género”. En </w:t>
      </w:r>
      <w:r w:rsidRPr="00B77F6A">
        <w:rPr>
          <w:rFonts w:ascii="Calibri" w:eastAsia="Times New Roman" w:hAnsi="Calibri" w:cs="Calibri"/>
          <w:i/>
          <w:color w:val="000000"/>
          <w:kern w:val="0"/>
          <w:lang w:val="es-ES_tradnl" w:eastAsia="es-CR"/>
          <w14:ligatures w14:val="none"/>
        </w:rPr>
        <w:t xml:space="preserve">Dimensiones del cuidado y asesoramiento pastoral: aportes desde América Latina y el Caribe, </w:t>
      </w:r>
      <w:r w:rsidRPr="00B77F6A">
        <w:rPr>
          <w:rFonts w:ascii="Calibri" w:eastAsia="Times New Roman" w:hAnsi="Calibri" w:cs="Calibri"/>
          <w:color w:val="000000"/>
          <w:kern w:val="0"/>
          <w:lang w:val="es-ES_tradnl" w:eastAsia="es-CR"/>
          <w14:ligatures w14:val="none"/>
        </w:rPr>
        <w:t>editado por Hugo N. Santos, 353-364. Buenos Aires: Kairós, 2006. (</w:t>
      </w:r>
      <w:r w:rsidRPr="00B77F6A">
        <w:rPr>
          <w:rFonts w:ascii="Calibri" w:eastAsia="Times New Roman" w:hAnsi="Calibri" w:cs="Calibri"/>
          <w:color w:val="0070C0"/>
          <w:kern w:val="0"/>
          <w:lang w:val="es-ES_tradnl" w:eastAsia="es-CR"/>
          <w14:ligatures w14:val="none"/>
        </w:rPr>
        <w:t>clásico,</w:t>
      </w:r>
      <w:r w:rsidRPr="00B77F6A">
        <w:rPr>
          <w:rFonts w:ascii="Calibri" w:eastAsia="Times New Roman" w:hAnsi="Calibri" w:cs="Calibri"/>
          <w:color w:val="000000"/>
          <w:kern w:val="0"/>
          <w:lang w:val="es-ES_tradnl" w:eastAsia="es-CR"/>
          <w14:ligatures w14:val="none"/>
        </w:rPr>
        <w:t xml:space="preserve"> última edición)</w:t>
      </w:r>
    </w:p>
    <w:p w14:paraId="3C7A5455"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3C021D6A"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Baltodano, Mireya. “Violencia de género en las iglesias”. </w:t>
      </w:r>
      <w:r w:rsidRPr="00B77F6A">
        <w:rPr>
          <w:rFonts w:ascii="Calibri" w:eastAsia="Times New Roman" w:hAnsi="Calibri" w:cs="Calibri"/>
          <w:i/>
          <w:color w:val="000000"/>
          <w:kern w:val="0"/>
          <w:lang w:val="es-ES_tradnl" w:eastAsia="es-CR"/>
          <w14:ligatures w14:val="none"/>
        </w:rPr>
        <w:t>Vida y Pensamiento 22</w:t>
      </w:r>
      <w:r w:rsidRPr="00B77F6A">
        <w:rPr>
          <w:rFonts w:ascii="Calibri" w:eastAsia="Times New Roman" w:hAnsi="Calibri" w:cs="Calibri"/>
          <w:color w:val="000000"/>
          <w:kern w:val="0"/>
          <w:lang w:val="es-ES_tradnl" w:eastAsia="es-CR"/>
          <w14:ligatures w14:val="none"/>
        </w:rPr>
        <w:t>, no.1 (2002): 153-166.</w:t>
      </w:r>
    </w:p>
    <w:p w14:paraId="382F51DC"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 </w:t>
      </w:r>
    </w:p>
    <w:p w14:paraId="0A644369" w14:textId="77777777" w:rsidR="00B77F6A" w:rsidRPr="00B77F6A" w:rsidRDefault="00B77F6A" w:rsidP="4C9C2619">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Boehler, Genilma. “Teorías, teologías, género e ideologías”. </w:t>
      </w:r>
      <w:r w:rsidRPr="4C9C2619">
        <w:rPr>
          <w:rFonts w:ascii="Calibri" w:eastAsia="Times New Roman" w:hAnsi="Calibri" w:cs="Calibri"/>
          <w:i/>
          <w:iCs/>
          <w:color w:val="000000"/>
          <w:kern w:val="0"/>
          <w:lang w:val="es-ES" w:eastAsia="es-CR"/>
          <w14:ligatures w14:val="none"/>
        </w:rPr>
        <w:t>Vida y Pensamiento</w:t>
      </w:r>
      <w:r w:rsidRPr="4C9C2619">
        <w:rPr>
          <w:rFonts w:ascii="Calibri" w:eastAsia="Times New Roman" w:hAnsi="Calibri" w:cs="Calibri"/>
          <w:color w:val="000000"/>
          <w:kern w:val="0"/>
          <w:lang w:val="es-ES" w:eastAsia="es-CR"/>
          <w14:ligatures w14:val="none"/>
        </w:rPr>
        <w:t xml:space="preserve"> 38, no. 1 (2018): 55-87.</w:t>
      </w:r>
    </w:p>
    <w:p w14:paraId="437AC87E"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586A7033"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Bonilla, Amparo. “Los roles de género”. En </w:t>
      </w:r>
      <w:r w:rsidRPr="00B77F6A">
        <w:rPr>
          <w:rFonts w:ascii="Calibri" w:eastAsia="Times New Roman" w:hAnsi="Calibri" w:cs="Calibri"/>
          <w:i/>
          <w:color w:val="000000"/>
          <w:kern w:val="0"/>
          <w:lang w:val="es-ES_tradnl" w:eastAsia="es-CR"/>
          <w14:ligatures w14:val="none"/>
        </w:rPr>
        <w:t xml:space="preserve">Género y Sociedad, </w:t>
      </w:r>
      <w:r w:rsidRPr="00B77F6A">
        <w:rPr>
          <w:rFonts w:ascii="Calibri" w:eastAsia="Times New Roman" w:hAnsi="Calibri" w:cs="Calibri"/>
          <w:color w:val="000000"/>
          <w:kern w:val="0"/>
          <w:lang w:val="es-ES_tradnl" w:eastAsia="es-CR"/>
          <w14:ligatures w14:val="none"/>
        </w:rPr>
        <w:t>coordinado por Juan Fernández Sánchez, 141-176. Madrid: Pirámide, 1998.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color w:val="000000"/>
          <w:kern w:val="0"/>
          <w:lang w:val="es-ES_tradnl" w:eastAsia="es-CR"/>
          <w14:ligatures w14:val="none"/>
        </w:rPr>
        <w:t xml:space="preserve">última edición) </w:t>
      </w:r>
    </w:p>
    <w:p w14:paraId="065F39FC"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0E4029C7"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Butler, Judith. </w:t>
      </w:r>
      <w:r w:rsidRPr="00B77F6A">
        <w:rPr>
          <w:rFonts w:ascii="Calibri" w:eastAsia="Times New Roman" w:hAnsi="Calibri" w:cs="Calibri"/>
          <w:i/>
          <w:color w:val="000000"/>
          <w:kern w:val="0"/>
          <w:lang w:val="es-ES_tradnl" w:eastAsia="es-CR"/>
          <w14:ligatures w14:val="none"/>
        </w:rPr>
        <w:t xml:space="preserve">El género en disputa: El feminismo y la subversión de la identidad. </w:t>
      </w:r>
      <w:r w:rsidRPr="00B77F6A">
        <w:rPr>
          <w:rFonts w:ascii="Calibri" w:eastAsia="Times New Roman" w:hAnsi="Calibri" w:cs="Calibri"/>
          <w:color w:val="000000"/>
          <w:kern w:val="0"/>
          <w:lang w:val="es-ES_tradnl" w:eastAsia="es-CR"/>
          <w14:ligatures w14:val="none"/>
        </w:rPr>
        <w:t xml:space="preserve">Barcelona: Paidós, 2007. (Clásico, última reimpresión, 2023). </w:t>
      </w:r>
    </w:p>
    <w:p w14:paraId="4E8F77BB"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70F122DD" w14:textId="77777777" w:rsidR="00B77F6A" w:rsidRPr="00B77F6A" w:rsidRDefault="00B77F6A" w:rsidP="4C9C2619">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 w:eastAsia="es-CR"/>
          <w14:ligatures w14:val="none"/>
        </w:rPr>
      </w:pPr>
      <w:proofErr w:type="spellStart"/>
      <w:r w:rsidRPr="4C9C2619">
        <w:rPr>
          <w:rFonts w:ascii="Calibri" w:eastAsia="Times New Roman" w:hAnsi="Calibri" w:cs="Calibri"/>
          <w:color w:val="000000"/>
          <w:kern w:val="0"/>
          <w:lang w:val="es-ES" w:eastAsia="es-CR"/>
          <w14:ligatures w14:val="none"/>
        </w:rPr>
        <w:t>Gebara</w:t>
      </w:r>
      <w:proofErr w:type="spellEnd"/>
      <w:r w:rsidRPr="4C9C2619">
        <w:rPr>
          <w:rFonts w:ascii="Calibri" w:eastAsia="Times New Roman" w:hAnsi="Calibri" w:cs="Calibri"/>
          <w:color w:val="000000"/>
          <w:kern w:val="0"/>
          <w:lang w:val="es-ES" w:eastAsia="es-CR"/>
          <w14:ligatures w14:val="none"/>
        </w:rPr>
        <w:t xml:space="preserve">, Ivone. “Introducción a un significado histórico del concepto de género”. En </w:t>
      </w:r>
      <w:r w:rsidRPr="4C9C2619">
        <w:rPr>
          <w:rFonts w:ascii="Calibri" w:eastAsia="Times New Roman" w:hAnsi="Calibri" w:cs="Calibri"/>
          <w:i/>
          <w:iCs/>
          <w:color w:val="000000"/>
          <w:kern w:val="0"/>
          <w:lang w:val="es-ES" w:eastAsia="es-CR"/>
          <w14:ligatures w14:val="none"/>
        </w:rPr>
        <w:t xml:space="preserve">Teología y género: selección de textos, </w:t>
      </w:r>
      <w:r w:rsidRPr="4C9C2619">
        <w:rPr>
          <w:rFonts w:ascii="Calibri" w:eastAsia="Times New Roman" w:hAnsi="Calibri" w:cs="Calibri"/>
          <w:color w:val="000000"/>
          <w:kern w:val="0"/>
          <w:lang w:val="es-ES" w:eastAsia="es-CR"/>
          <w14:ligatures w14:val="none"/>
        </w:rPr>
        <w:t>editado por Clara Luz Ajo y Marianela de la Paz, 109-142. La Habana: Caminos, 2002.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 xml:space="preserve">última edición) </w:t>
      </w:r>
    </w:p>
    <w:p w14:paraId="6DD361A2"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61556CAD"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Lagarde, Marcela. “Claves feministas y nuevos horizontes”. En </w:t>
      </w:r>
      <w:r w:rsidRPr="00B77F6A">
        <w:rPr>
          <w:rFonts w:ascii="Calibri" w:eastAsia="Times New Roman" w:hAnsi="Calibri" w:cs="Calibri"/>
          <w:i/>
          <w:color w:val="000000"/>
          <w:kern w:val="0"/>
          <w:lang w:val="es-ES_tradnl" w:eastAsia="es-CR"/>
          <w14:ligatures w14:val="none"/>
        </w:rPr>
        <w:t xml:space="preserve">La sociedad que las mujeres soñamos. Nuevas relaciones varón-mujer en un nuevo orden económico, </w:t>
      </w:r>
      <w:r w:rsidRPr="00B77F6A">
        <w:rPr>
          <w:rFonts w:ascii="Calibri" w:eastAsia="Times New Roman" w:hAnsi="Calibri" w:cs="Calibri"/>
          <w:color w:val="000000"/>
          <w:kern w:val="0"/>
          <w:lang w:val="es-ES_tradnl" w:eastAsia="es-CR"/>
          <w14:ligatures w14:val="none"/>
        </w:rPr>
        <w:t>editado por Elsa Támez, 89-105. San José: DEI, 2001.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color w:val="000000"/>
          <w:kern w:val="0"/>
          <w:lang w:val="es-ES_tradnl" w:eastAsia="es-CR"/>
          <w14:ligatures w14:val="none"/>
        </w:rPr>
        <w:t>última edición)</w:t>
      </w:r>
    </w:p>
    <w:p w14:paraId="2537072F"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4B1B63D9"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Montaño, Sonia, ed. “Hacia un horizonte paritario en América Latina y el Caribe: representación política de las mujeres.” En </w:t>
      </w:r>
      <w:r w:rsidRPr="00B77F6A">
        <w:rPr>
          <w:rFonts w:ascii="Calibri" w:eastAsia="Times New Roman" w:hAnsi="Calibri" w:cs="Calibri"/>
          <w:i/>
          <w:color w:val="000000"/>
          <w:kern w:val="0"/>
          <w:lang w:val="es-ES_tradnl" w:eastAsia="es-CR"/>
          <w14:ligatures w14:val="none"/>
        </w:rPr>
        <w:t>El aporte de las mujeres a la igualdad en América Latina y el Caribe</w:t>
      </w:r>
      <w:r w:rsidRPr="00B77F6A">
        <w:rPr>
          <w:rFonts w:ascii="Calibri" w:eastAsia="Times New Roman" w:hAnsi="Calibri" w:cs="Calibri"/>
          <w:color w:val="000000"/>
          <w:kern w:val="0"/>
          <w:lang w:val="es-ES_tradnl" w:eastAsia="es-CR"/>
          <w14:ligatures w14:val="none"/>
        </w:rPr>
        <w:t>, 7-42. Quito: CEPAL: 2007.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color w:val="000000"/>
          <w:kern w:val="0"/>
          <w:lang w:val="es-ES_tradnl" w:eastAsia="es-CR"/>
          <w14:ligatures w14:val="none"/>
        </w:rPr>
        <w:t>última edición)</w:t>
      </w:r>
    </w:p>
    <w:p w14:paraId="74D26A80"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474C9534"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Pastor Carballo, Rosa. “Cuerpo y género: representación e imagen corporal”. En </w:t>
      </w:r>
      <w:r w:rsidRPr="00B77F6A">
        <w:rPr>
          <w:rFonts w:ascii="Calibri" w:eastAsia="Times New Roman" w:hAnsi="Calibri" w:cs="Calibri"/>
          <w:i/>
          <w:color w:val="000000"/>
          <w:kern w:val="0"/>
          <w:lang w:val="es-ES_tradnl" w:eastAsia="es-CR"/>
          <w14:ligatures w14:val="none"/>
        </w:rPr>
        <w:t xml:space="preserve">Psicología y Género, </w:t>
      </w:r>
      <w:r w:rsidRPr="00B77F6A">
        <w:rPr>
          <w:rFonts w:ascii="Calibri" w:eastAsia="Times New Roman" w:hAnsi="Calibri" w:cs="Calibri"/>
          <w:color w:val="000000"/>
          <w:kern w:val="0"/>
          <w:lang w:val="es-ES_tradnl" w:eastAsia="es-CR"/>
          <w14:ligatures w14:val="none"/>
        </w:rPr>
        <w:t>coordinado por Ester Barberá Heredia e Isabel Martínez Benlloch, 217-239. Madrid: Prentice Hall, 2005.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color w:val="000000"/>
          <w:kern w:val="0"/>
          <w:lang w:val="es-ES_tradnl" w:eastAsia="es-CR"/>
          <w14:ligatures w14:val="none"/>
        </w:rPr>
        <w:t xml:space="preserve">última edición) </w:t>
      </w:r>
    </w:p>
    <w:p w14:paraId="6004CA86"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32DA6054" w14:textId="77777777" w:rsidR="00B77F6A" w:rsidRPr="00B77F6A" w:rsidRDefault="00B77F6A" w:rsidP="4C9C2619">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b/>
          <w:bCs/>
          <w:kern w:val="0"/>
          <w:lang w:val="es-ES" w:eastAsia="es-CR"/>
          <w14:ligatures w14:val="none"/>
        </w:rPr>
      </w:pPr>
      <w:r w:rsidRPr="4C9C2619">
        <w:rPr>
          <w:rFonts w:ascii="Calibri" w:eastAsia="Times New Roman" w:hAnsi="Calibri" w:cs="Calibri"/>
          <w:kern w:val="0"/>
          <w:lang w:val="es-ES" w:eastAsia="es-CR"/>
          <w14:ligatures w14:val="none"/>
        </w:rPr>
        <w:t xml:space="preserve">Román-López </w:t>
      </w:r>
      <w:proofErr w:type="spellStart"/>
      <w:r w:rsidRPr="4C9C2619">
        <w:rPr>
          <w:rFonts w:ascii="Calibri" w:eastAsia="Times New Roman" w:hAnsi="Calibri" w:cs="Calibri"/>
          <w:kern w:val="0"/>
          <w:lang w:val="es-ES" w:eastAsia="es-CR"/>
          <w14:ligatures w14:val="none"/>
        </w:rPr>
        <w:t>Dollinger</w:t>
      </w:r>
      <w:proofErr w:type="spellEnd"/>
      <w:r w:rsidRPr="4C9C2619">
        <w:rPr>
          <w:rFonts w:ascii="Calibri" w:eastAsia="Times New Roman" w:hAnsi="Calibri" w:cs="Calibri"/>
          <w:kern w:val="0"/>
          <w:lang w:val="es-ES" w:eastAsia="es-CR"/>
          <w14:ligatures w14:val="none"/>
        </w:rPr>
        <w:t xml:space="preserve">, Ángel Eduardo. “Masculinidades y relaciones de poder. Pistas socio-teológicas para la construcción de masculinidades alternativas”. En </w:t>
      </w:r>
      <w:r w:rsidRPr="4C9C2619">
        <w:rPr>
          <w:rFonts w:ascii="Calibri" w:eastAsia="Times New Roman" w:hAnsi="Calibri" w:cs="Calibri"/>
          <w:i/>
          <w:iCs/>
          <w:kern w:val="0"/>
          <w:lang w:val="es-ES" w:eastAsia="es-CR"/>
          <w14:ligatures w14:val="none"/>
        </w:rPr>
        <w:t>Poder(es) en contexto: Lecturas teológicas, socioculturales y de género en torno al poder</w:t>
      </w:r>
      <w:r w:rsidRPr="4C9C2619">
        <w:rPr>
          <w:rFonts w:ascii="Calibri" w:eastAsia="Times New Roman" w:hAnsi="Calibri" w:cs="Calibri"/>
          <w:kern w:val="0"/>
          <w:lang w:val="es-ES" w:eastAsia="es-CR"/>
          <w14:ligatures w14:val="none"/>
        </w:rPr>
        <w:t>, editado por Juan Carlos Chávez Quispe y Ángel Eduardo Román-</w:t>
      </w:r>
      <w:proofErr w:type="spellStart"/>
      <w:r w:rsidRPr="4C9C2619">
        <w:rPr>
          <w:rFonts w:ascii="Calibri" w:eastAsia="Times New Roman" w:hAnsi="Calibri" w:cs="Calibri"/>
          <w:kern w:val="0"/>
          <w:lang w:val="es-ES" w:eastAsia="es-CR"/>
          <w14:ligatures w14:val="none"/>
        </w:rPr>
        <w:t>Lopez</w:t>
      </w:r>
      <w:proofErr w:type="spellEnd"/>
      <w:r w:rsidRPr="4C9C2619">
        <w:rPr>
          <w:rFonts w:ascii="Calibri" w:eastAsia="Times New Roman" w:hAnsi="Calibri" w:cs="Calibri"/>
          <w:kern w:val="0"/>
          <w:lang w:val="es-ES" w:eastAsia="es-CR"/>
          <w14:ligatures w14:val="none"/>
        </w:rPr>
        <w:t xml:space="preserve"> </w:t>
      </w:r>
      <w:proofErr w:type="spellStart"/>
      <w:r w:rsidRPr="4C9C2619">
        <w:rPr>
          <w:rFonts w:ascii="Calibri" w:eastAsia="Times New Roman" w:hAnsi="Calibri" w:cs="Calibri"/>
          <w:kern w:val="0"/>
          <w:lang w:val="es-ES" w:eastAsia="es-CR"/>
          <w14:ligatures w14:val="none"/>
        </w:rPr>
        <w:t>Dollinger</w:t>
      </w:r>
      <w:proofErr w:type="spellEnd"/>
      <w:r w:rsidRPr="4C9C2619">
        <w:rPr>
          <w:rFonts w:ascii="Calibri" w:eastAsia="Times New Roman" w:hAnsi="Calibri" w:cs="Calibri"/>
          <w:kern w:val="0"/>
          <w:lang w:val="es-ES" w:eastAsia="es-CR"/>
          <w14:ligatures w14:val="none"/>
        </w:rPr>
        <w:t xml:space="preserve">, 157-186. La Paz, Bolivia: ISEAT, 2016. </w:t>
      </w:r>
      <w:r w:rsidRPr="4C9C2619">
        <w:rPr>
          <w:rFonts w:ascii="Calibri" w:eastAsia="Times New Roman" w:hAnsi="Calibri" w:cs="Calibri"/>
          <w:color w:val="000000"/>
          <w:kern w:val="0"/>
          <w:lang w:val="es-ES" w:eastAsia="es-CR"/>
          <w14:ligatures w14:val="none"/>
        </w:rPr>
        <w:t>(</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7EAE54B2"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FF0000"/>
          <w:kern w:val="0"/>
          <w:lang w:val="es-ES_tradnl" w:eastAsia="es-CR"/>
          <w14:ligatures w14:val="none"/>
        </w:rPr>
      </w:pPr>
    </w:p>
    <w:p w14:paraId="00F43D3C"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r w:rsidRPr="00B77F6A">
        <w:rPr>
          <w:rFonts w:ascii="Calibri" w:eastAsia="Times New Roman" w:hAnsi="Calibri" w:cs="Calibri"/>
          <w:color w:val="000000"/>
          <w:kern w:val="0"/>
          <w:lang w:val="es-ES_tradnl" w:eastAsia="es-CR"/>
          <w14:ligatures w14:val="none"/>
        </w:rPr>
        <w:t xml:space="preserve">Salas Calvo, José Manuel. </w:t>
      </w:r>
      <w:r w:rsidRPr="00B77F6A">
        <w:rPr>
          <w:rFonts w:ascii="Calibri" w:eastAsia="Times New Roman" w:hAnsi="Calibri" w:cs="Calibri"/>
          <w:i/>
          <w:color w:val="000000"/>
          <w:kern w:val="0"/>
          <w:lang w:val="es-ES_tradnl" w:eastAsia="es-CR"/>
          <w14:ligatures w14:val="none"/>
        </w:rPr>
        <w:t xml:space="preserve">Hombres que rompen mandatos. La prevención de la violencia. </w:t>
      </w:r>
      <w:r w:rsidRPr="00B77F6A">
        <w:rPr>
          <w:rFonts w:ascii="Calibri" w:eastAsia="Times New Roman" w:hAnsi="Calibri" w:cs="Calibri"/>
          <w:color w:val="000000"/>
          <w:kern w:val="0"/>
          <w:lang w:val="es-ES_tradnl" w:eastAsia="es-CR"/>
          <w14:ligatures w14:val="none"/>
        </w:rPr>
        <w:t xml:space="preserve">San José: </w:t>
      </w:r>
      <w:r w:rsidRPr="00B77F6A">
        <w:rPr>
          <w:rFonts w:ascii="Calibri" w:eastAsia="Times New Roman" w:hAnsi="Calibri" w:cs="Calibri"/>
          <w:color w:val="000000"/>
          <w:kern w:val="0"/>
          <w:lang w:val="es-ES_tradnl" w:eastAsia="es-CR"/>
          <w14:ligatures w14:val="none"/>
        </w:rPr>
        <w:lastRenderedPageBreak/>
        <w:t>INAMU, 2005.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color w:val="000000"/>
          <w:kern w:val="0"/>
          <w:lang w:val="es-ES_tradnl" w:eastAsia="es-CR"/>
          <w14:ligatures w14:val="none"/>
        </w:rPr>
        <w:t>última edición)</w:t>
      </w:r>
    </w:p>
    <w:p w14:paraId="34DDD0FC"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color w:val="000000"/>
          <w:kern w:val="0"/>
          <w:lang w:val="es-ES_tradnl" w:eastAsia="es-CR"/>
          <w14:ligatures w14:val="none"/>
        </w:rPr>
      </w:pPr>
    </w:p>
    <w:p w14:paraId="3CA71124" w14:textId="77777777" w:rsidR="00B77F6A" w:rsidRPr="00B77F6A" w:rsidRDefault="00B77F6A" w:rsidP="4C9C2619">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Schüssler</w:t>
      </w:r>
      <w:proofErr w:type="spellEnd"/>
      <w:r w:rsidRPr="4C9C2619">
        <w:rPr>
          <w:rFonts w:ascii="Calibri" w:eastAsia="Times New Roman" w:hAnsi="Calibri" w:cs="Calibri"/>
          <w:kern w:val="0"/>
          <w:lang w:val="es-ES" w:eastAsia="es-CR"/>
          <w14:ligatures w14:val="none"/>
        </w:rPr>
        <w:t xml:space="preserve"> </w:t>
      </w:r>
      <w:proofErr w:type="spellStart"/>
      <w:r w:rsidRPr="4C9C2619">
        <w:rPr>
          <w:rFonts w:ascii="Calibri" w:eastAsia="Times New Roman" w:hAnsi="Calibri" w:cs="Calibri"/>
          <w:kern w:val="0"/>
          <w:lang w:val="es-ES" w:eastAsia="es-CR"/>
          <w14:ligatures w14:val="none"/>
        </w:rPr>
        <w:t>Fiorenza</w:t>
      </w:r>
      <w:proofErr w:type="spellEnd"/>
      <w:r w:rsidRPr="4C9C2619">
        <w:rPr>
          <w:rFonts w:ascii="Calibri" w:eastAsia="Times New Roman" w:hAnsi="Calibri" w:cs="Calibri"/>
          <w:kern w:val="0"/>
          <w:lang w:val="es-ES" w:eastAsia="es-CR"/>
          <w14:ligatures w14:val="none"/>
        </w:rPr>
        <w:t xml:space="preserve">, Elisabeth. "Género, religión y poder </w:t>
      </w:r>
      <w:proofErr w:type="spellStart"/>
      <w:r w:rsidRPr="4C9C2619">
        <w:rPr>
          <w:rFonts w:ascii="Calibri" w:eastAsia="Times New Roman" w:hAnsi="Calibri" w:cs="Calibri"/>
          <w:kern w:val="0"/>
          <w:lang w:val="es-ES" w:eastAsia="es-CR"/>
          <w14:ligatures w14:val="none"/>
        </w:rPr>
        <w:t>kyriarcal</w:t>
      </w:r>
      <w:proofErr w:type="spellEnd"/>
      <w:r w:rsidRPr="4C9C2619">
        <w:rPr>
          <w:rFonts w:ascii="Calibri" w:eastAsia="Times New Roman" w:hAnsi="Calibri" w:cs="Calibri"/>
          <w:kern w:val="0"/>
          <w:lang w:val="es-ES" w:eastAsia="es-CR"/>
          <w14:ligatures w14:val="none"/>
        </w:rPr>
        <w:t xml:space="preserve">". </w:t>
      </w:r>
      <w:r w:rsidRPr="4C9C2619">
        <w:rPr>
          <w:rFonts w:ascii="Calibri" w:eastAsia="Times New Roman" w:hAnsi="Calibri" w:cs="Calibri"/>
          <w:i/>
          <w:iCs/>
          <w:kern w:val="0"/>
          <w:lang w:val="es-ES" w:eastAsia="es-CR"/>
          <w14:ligatures w14:val="none"/>
        </w:rPr>
        <w:t>Vida y Pensamiento</w:t>
      </w:r>
      <w:r w:rsidRPr="4C9C2619">
        <w:rPr>
          <w:rFonts w:ascii="Calibri" w:eastAsia="Times New Roman" w:hAnsi="Calibri" w:cs="Calibri"/>
          <w:kern w:val="0"/>
          <w:lang w:val="es-ES" w:eastAsia="es-CR"/>
          <w14:ligatures w14:val="none"/>
        </w:rPr>
        <w:t xml:space="preserve"> 32, no. 2 (2012): 35-74.</w:t>
      </w:r>
    </w:p>
    <w:p w14:paraId="70495CE4" w14:textId="77777777" w:rsidR="00B77F6A" w:rsidRPr="00B77F6A" w:rsidRDefault="00B77F6A" w:rsidP="00B77F6A">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kern w:val="0"/>
          <w:lang w:val="es-ES_tradnl" w:eastAsia="es-CR"/>
          <w14:ligatures w14:val="none"/>
        </w:rPr>
      </w:pPr>
    </w:p>
    <w:p w14:paraId="497D9203" w14:textId="77777777" w:rsidR="00B77F6A" w:rsidRPr="00B77F6A" w:rsidRDefault="00B77F6A" w:rsidP="4C9C2619">
      <w:pPr>
        <w:widowControl w:val="0"/>
        <w:overflowPunct w:val="0"/>
        <w:autoSpaceDE w:val="0"/>
        <w:autoSpaceDN w:val="0"/>
        <w:adjustRightInd w:val="0"/>
        <w:spacing w:before="120" w:after="0" w:line="240" w:lineRule="auto"/>
        <w:ind w:left="709" w:hanging="709"/>
        <w:contextualSpacing/>
        <w:jc w:val="both"/>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Schüssler</w:t>
      </w:r>
      <w:proofErr w:type="spellEnd"/>
      <w:r w:rsidRPr="4C9C2619">
        <w:rPr>
          <w:rFonts w:ascii="Calibri" w:eastAsia="Times New Roman" w:hAnsi="Calibri" w:cs="Calibri"/>
          <w:kern w:val="0"/>
          <w:lang w:val="es-ES" w:eastAsia="es-CR"/>
          <w14:ligatures w14:val="none"/>
        </w:rPr>
        <w:t xml:space="preserve"> </w:t>
      </w:r>
      <w:proofErr w:type="spellStart"/>
      <w:r w:rsidRPr="4C9C2619">
        <w:rPr>
          <w:rFonts w:ascii="Calibri" w:eastAsia="Times New Roman" w:hAnsi="Calibri" w:cs="Calibri"/>
          <w:kern w:val="0"/>
          <w:lang w:val="es-ES" w:eastAsia="es-CR"/>
          <w14:ligatures w14:val="none"/>
        </w:rPr>
        <w:t>Fiorenza</w:t>
      </w:r>
      <w:proofErr w:type="spellEnd"/>
      <w:r w:rsidRPr="4C9C2619">
        <w:rPr>
          <w:rFonts w:ascii="Calibri" w:eastAsia="Times New Roman" w:hAnsi="Calibri" w:cs="Calibri"/>
          <w:kern w:val="0"/>
          <w:lang w:val="es-ES" w:eastAsia="es-CR"/>
          <w14:ligatures w14:val="none"/>
        </w:rPr>
        <w:t>, Elisabeth.</w:t>
      </w:r>
      <w:r w:rsidRPr="4C9C2619">
        <w:rPr>
          <w:rFonts w:ascii="Calibri" w:eastAsia="Times New Roman" w:hAnsi="Calibri" w:cs="Calibri"/>
          <w:noProof/>
          <w:kern w:val="0"/>
          <w:lang w:val="es-ES" w:eastAsia="es-CR"/>
          <w14:ligatures w14:val="none"/>
        </w:rPr>
        <w:t xml:space="preserve"> “Hacia una imaginación democrática radical: la ekklēsia y las cosmopolis de las mu/jeres”. </w:t>
      </w:r>
      <w:r w:rsidRPr="4C9C2619">
        <w:rPr>
          <w:rFonts w:ascii="Calibri" w:eastAsia="Times New Roman" w:hAnsi="Calibri" w:cs="Calibri"/>
          <w:i/>
          <w:iCs/>
          <w:noProof/>
          <w:kern w:val="0"/>
          <w:lang w:val="es-ES" w:eastAsia="es-CR"/>
          <w14:ligatures w14:val="none"/>
        </w:rPr>
        <w:t>Vida y Pensamiento</w:t>
      </w:r>
      <w:r w:rsidRPr="4C9C2619">
        <w:rPr>
          <w:rFonts w:ascii="Calibri" w:eastAsia="Times New Roman" w:hAnsi="Calibri" w:cs="Calibri"/>
          <w:noProof/>
          <w:kern w:val="0"/>
          <w:lang w:val="es-ES" w:eastAsia="es-CR"/>
          <w14:ligatures w14:val="none"/>
        </w:rPr>
        <w:t xml:space="preserve"> 32, no. 2 (2012): 113-140.</w:t>
      </w:r>
    </w:p>
    <w:p w14:paraId="7157483E"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Cs/>
          <w:color w:val="000000"/>
          <w:kern w:val="0"/>
          <w:lang w:val="es-ES_tradnl" w:eastAsia="es-CR"/>
          <w14:ligatures w14:val="none"/>
        </w:rPr>
      </w:pPr>
    </w:p>
    <w:p w14:paraId="3C7B537B" w14:textId="77777777" w:rsidR="00B77F6A" w:rsidRPr="00B77F6A" w:rsidRDefault="00B77F6A" w:rsidP="00B77F6A">
      <w:pPr>
        <w:widowControl w:val="0"/>
        <w:overflowPunct w:val="0"/>
        <w:autoSpaceDE w:val="0"/>
        <w:autoSpaceDN w:val="0"/>
        <w:adjustRightInd w:val="0"/>
        <w:spacing w:after="0" w:line="240" w:lineRule="auto"/>
        <w:contextualSpacing/>
        <w:rPr>
          <w:rFonts w:ascii="Calibri" w:eastAsia="Times New Roman" w:hAnsi="Calibri" w:cs="Arial"/>
          <w:bCs/>
          <w:color w:val="000000"/>
          <w:kern w:val="0"/>
          <w:lang w:val="es-ES_tradnl" w:eastAsia="es-CR"/>
          <w14:ligatures w14:val="none"/>
        </w:rPr>
      </w:pPr>
    </w:p>
    <w:p w14:paraId="623E7152"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r w:rsidRPr="00B77F6A">
        <w:rPr>
          <w:rFonts w:ascii="Calibri" w:eastAsia="Times New Roman" w:hAnsi="Calibri" w:cs="Arial"/>
          <w:b/>
          <w:color w:val="000000"/>
          <w:kern w:val="0"/>
          <w:lang w:val="es-ES_tradnl" w:eastAsia="es-CR"/>
          <w14:ligatures w14:val="none"/>
        </w:rPr>
        <w:t>XI. Bibliografía complementaria</w:t>
      </w:r>
    </w:p>
    <w:p w14:paraId="108E3640"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b/>
          <w:color w:val="000000"/>
          <w:kern w:val="0"/>
          <w:lang w:val="es-ES_tradnl" w:eastAsia="es-CR"/>
          <w14:ligatures w14:val="none"/>
        </w:rPr>
      </w:pPr>
    </w:p>
    <w:p w14:paraId="3AC3F876" w14:textId="77777777" w:rsidR="00B77F6A" w:rsidRPr="00B77F6A" w:rsidRDefault="00B77F6A" w:rsidP="00B77F6A">
      <w:pPr>
        <w:widowControl w:val="0"/>
        <w:overflowPunct w:val="0"/>
        <w:autoSpaceDE w:val="0"/>
        <w:autoSpaceDN w:val="0"/>
        <w:adjustRightInd w:val="0"/>
        <w:spacing w:after="0" w:line="240" w:lineRule="auto"/>
        <w:contextualSpacing/>
        <w:jc w:val="both"/>
        <w:rPr>
          <w:rFonts w:ascii="Calibri" w:eastAsia="Times New Roman" w:hAnsi="Calibri" w:cs="Arial"/>
          <w:bCs/>
          <w:color w:val="000000"/>
          <w:kern w:val="0"/>
          <w:lang w:val="es-ES_tradnl" w:eastAsia="es-CR"/>
          <w14:ligatures w14:val="none"/>
        </w:rPr>
      </w:pPr>
      <w:r w:rsidRPr="00B77F6A">
        <w:rPr>
          <w:rFonts w:ascii="Calibri" w:eastAsia="Times New Roman" w:hAnsi="Calibri" w:cs="Arial"/>
          <w:b/>
          <w:color w:val="000000"/>
          <w:kern w:val="0"/>
          <w:lang w:eastAsia="es-CR"/>
          <w14:ligatures w14:val="none"/>
        </w:rPr>
        <w:t>Nota:</w:t>
      </w:r>
      <w:r w:rsidRPr="00B77F6A">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B77F6A">
        <w:rPr>
          <w:rFonts w:ascii="Calibri" w:eastAsia="Times New Roman" w:hAnsi="Calibri" w:cs="Arial"/>
          <w:bCs/>
          <w:color w:val="000000"/>
          <w:kern w:val="0"/>
          <w:lang w:eastAsia="es-CR"/>
          <w14:ligatures w14:val="none"/>
        </w:rPr>
        <w:t>pdf</w:t>
      </w:r>
      <w:proofErr w:type="spellEnd"/>
      <w:r w:rsidRPr="00B77F6A">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0B1F9E16" w14:textId="77777777" w:rsidR="00B77F6A" w:rsidRPr="00B77F6A" w:rsidRDefault="00B77F6A" w:rsidP="00B77F6A">
      <w:pPr>
        <w:widowControl w:val="0"/>
        <w:overflowPunct w:val="0"/>
        <w:autoSpaceDE w:val="0"/>
        <w:autoSpaceDN w:val="0"/>
        <w:adjustRightInd w:val="0"/>
        <w:spacing w:before="120" w:after="120" w:line="360" w:lineRule="auto"/>
        <w:contextualSpacing/>
        <w:rPr>
          <w:rFonts w:ascii="Calibri" w:eastAsia="Times New Roman" w:hAnsi="Calibri" w:cs="Arial"/>
          <w:color w:val="000000"/>
          <w:kern w:val="0"/>
          <w:lang w:val="es-ES_tradnl" w:eastAsia="es-CR"/>
          <w14:ligatures w14:val="none"/>
        </w:rPr>
      </w:pPr>
    </w:p>
    <w:p w14:paraId="570075F3" w14:textId="77777777" w:rsidR="00B77F6A" w:rsidRPr="00B77F6A" w:rsidRDefault="00B77F6A" w:rsidP="00B77F6A">
      <w:pPr>
        <w:widowControl w:val="0"/>
        <w:overflowPunct w:val="0"/>
        <w:autoSpaceDE w:val="0"/>
        <w:autoSpaceDN w:val="0"/>
        <w:adjustRightInd w:val="0"/>
        <w:spacing w:before="120" w:after="0" w:line="276" w:lineRule="auto"/>
        <w:ind w:left="709" w:hanging="709"/>
        <w:jc w:val="both"/>
        <w:rPr>
          <w:rFonts w:ascii="Calibri" w:eastAsia="Times New Roman" w:hAnsi="Calibri" w:cs="Calibri"/>
          <w:b/>
          <w:bCs/>
          <w:color w:val="FF0000"/>
          <w:kern w:val="0"/>
          <w:lang w:val="es-ES_tradnl" w:eastAsia="es-CR"/>
          <w14:ligatures w14:val="none"/>
        </w:rPr>
      </w:pPr>
      <w:r w:rsidRPr="00B77F6A">
        <w:rPr>
          <w:rFonts w:ascii="Calibri" w:eastAsia="Times New Roman" w:hAnsi="Calibri" w:cs="Calibri"/>
          <w:bCs/>
          <w:kern w:val="0"/>
          <w:lang w:val="es-ES_tradnl" w:eastAsia="es-CR"/>
          <w14:ligatures w14:val="none"/>
        </w:rPr>
        <w:t xml:space="preserve">Alonso Seoane, María Jesús. “Género y religión: A la búsqueda de un modelo de análisis”. </w:t>
      </w:r>
      <w:r w:rsidRPr="00B77F6A">
        <w:rPr>
          <w:rFonts w:ascii="Calibri" w:eastAsia="Times New Roman" w:hAnsi="Calibri" w:cs="Calibri"/>
          <w:bCs/>
          <w:i/>
          <w:kern w:val="0"/>
          <w:lang w:val="es-ES_tradnl" w:eastAsia="es-CR"/>
          <w14:ligatures w14:val="none"/>
        </w:rPr>
        <w:t>Aposta</w:t>
      </w:r>
      <w:r w:rsidRPr="00B77F6A">
        <w:rPr>
          <w:rFonts w:ascii="Calibri" w:eastAsia="Times New Roman" w:hAnsi="Calibri" w:cs="Calibri"/>
          <w:bCs/>
          <w:kern w:val="0"/>
          <w:lang w:val="es-ES_tradnl" w:eastAsia="es-CR"/>
          <w14:ligatures w14:val="none"/>
        </w:rPr>
        <w:t xml:space="preserve">, n.82 (2019): 124-137. Acceso el 18 de diciembre de 2020. </w:t>
      </w:r>
      <w:hyperlink r:id="rId261" w:history="1">
        <w:r w:rsidRPr="00B77F6A">
          <w:rPr>
            <w:rFonts w:ascii="Calibri" w:eastAsia="Times New Roman" w:hAnsi="Calibri" w:cs="Calibri"/>
            <w:bCs/>
            <w:color w:val="0000FF"/>
            <w:kern w:val="0"/>
            <w:u w:val="single"/>
            <w:lang w:val="es-ES_tradnl" w:eastAsia="es-CR"/>
            <w14:ligatures w14:val="none"/>
          </w:rPr>
          <w:t>http://apostadigital.com/revistav3/hemeroteca/mjalonso5.pdf</w:t>
        </w:r>
      </w:hyperlink>
    </w:p>
    <w:p w14:paraId="47B9E1D0" w14:textId="77777777" w:rsidR="00B77F6A" w:rsidRPr="00B77F6A" w:rsidRDefault="00B77F6A"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color w:val="00B050"/>
          <w:kern w:val="0"/>
          <w:lang w:val="es-ES" w:eastAsia="es-CR"/>
          <w14:ligatures w14:val="none"/>
        </w:rPr>
      </w:pPr>
      <w:proofErr w:type="spellStart"/>
      <w:r w:rsidRPr="4C9C2619">
        <w:rPr>
          <w:rFonts w:ascii="Calibri" w:eastAsia="Times New Roman" w:hAnsi="Calibri" w:cs="Calibri"/>
          <w:kern w:val="0"/>
          <w:lang w:val="es-ES" w:eastAsia="es-CR"/>
          <w14:ligatures w14:val="none"/>
        </w:rPr>
        <w:t>Cuklanz</w:t>
      </w:r>
      <w:proofErr w:type="spellEnd"/>
      <w:r w:rsidRPr="4C9C2619">
        <w:rPr>
          <w:rFonts w:ascii="Calibri" w:eastAsia="Times New Roman" w:hAnsi="Calibri" w:cs="Calibri"/>
          <w:kern w:val="0"/>
          <w:lang w:val="es-ES" w:eastAsia="es-CR"/>
          <w14:ligatures w14:val="none"/>
        </w:rPr>
        <w:t xml:space="preserve">, Lisa y Ali </w:t>
      </w:r>
      <w:proofErr w:type="spellStart"/>
      <w:r w:rsidRPr="4C9C2619">
        <w:rPr>
          <w:rFonts w:ascii="Calibri" w:eastAsia="Times New Roman" w:hAnsi="Calibri" w:cs="Calibri"/>
          <w:kern w:val="0"/>
          <w:lang w:val="es-ES" w:eastAsia="es-CR"/>
          <w14:ligatures w14:val="none"/>
        </w:rPr>
        <w:t>Erol</w:t>
      </w:r>
      <w:proofErr w:type="spellEnd"/>
      <w:r w:rsidRPr="4C9C2619">
        <w:rPr>
          <w:rFonts w:ascii="Calibri" w:eastAsia="Times New Roman" w:hAnsi="Calibri" w:cs="Calibri"/>
          <w:kern w:val="0"/>
          <w:lang w:val="es-ES" w:eastAsia="es-CR"/>
          <w14:ligatures w14:val="none"/>
        </w:rPr>
        <w:t xml:space="preserve">. “Teoría Queer y metodologías feministas: el estado de la cuestión”. </w:t>
      </w:r>
      <w:r w:rsidRPr="4C9C2619">
        <w:rPr>
          <w:rFonts w:ascii="Calibri" w:eastAsia="Times New Roman" w:hAnsi="Calibri" w:cs="Calibri"/>
          <w:i/>
          <w:iCs/>
          <w:kern w:val="0"/>
          <w:lang w:val="es-ES" w:eastAsia="es-CR"/>
          <w14:ligatures w14:val="none"/>
        </w:rPr>
        <w:t>Investigaciones Feministas</w:t>
      </w:r>
      <w:r w:rsidRPr="4C9C2619">
        <w:rPr>
          <w:rFonts w:ascii="Calibri" w:eastAsia="Times New Roman" w:hAnsi="Calibri" w:cs="Calibri"/>
          <w:kern w:val="0"/>
          <w:lang w:val="es-ES" w:eastAsia="es-CR"/>
          <w14:ligatures w14:val="none"/>
        </w:rPr>
        <w:t xml:space="preserve"> 11, n. 2 (2020): 211-220. Acceso el 18 de diciembre de 2020. </w:t>
      </w:r>
      <w:hyperlink r:id="rId262" w:history="1">
        <w:r w:rsidRPr="4C9C2619">
          <w:rPr>
            <w:rFonts w:ascii="Calibri" w:eastAsia="Times New Roman" w:hAnsi="Calibri" w:cs="Calibri"/>
            <w:color w:val="0000FF"/>
            <w:kern w:val="0"/>
            <w:u w:val="single"/>
            <w:lang w:val="es-ES" w:eastAsia="es-CR"/>
            <w14:ligatures w14:val="none"/>
          </w:rPr>
          <w:t>https://doi.org/10.5209/infe.66476</w:t>
        </w:r>
      </w:hyperlink>
      <w:r w:rsidRPr="4C9C2619">
        <w:rPr>
          <w:rFonts w:ascii="Calibri" w:eastAsia="Times New Roman" w:hAnsi="Calibri" w:cs="Calibri"/>
          <w:color w:val="00B050"/>
          <w:kern w:val="0"/>
          <w:lang w:val="es-ES" w:eastAsia="es-CR"/>
          <w14:ligatures w14:val="none"/>
        </w:rPr>
        <w:t xml:space="preserve"> </w:t>
      </w:r>
    </w:p>
    <w:p w14:paraId="4118D00A" w14:textId="77777777" w:rsidR="00B77F6A" w:rsidRPr="00B77F6A" w:rsidRDefault="00B77F6A" w:rsidP="00B77F6A">
      <w:pPr>
        <w:widowControl w:val="0"/>
        <w:overflowPunct w:val="0"/>
        <w:autoSpaceDE w:val="0"/>
        <w:autoSpaceDN w:val="0"/>
        <w:adjustRightInd w:val="0"/>
        <w:spacing w:before="120" w:after="0" w:line="276" w:lineRule="auto"/>
        <w:ind w:left="709" w:hanging="709"/>
        <w:jc w:val="both"/>
        <w:rPr>
          <w:rFonts w:ascii="Calibri" w:eastAsia="Times New Roman" w:hAnsi="Calibri" w:cs="Calibri"/>
          <w:bCs/>
          <w:color w:val="00B050"/>
          <w:kern w:val="0"/>
          <w:lang w:val="es-ES_tradnl" w:eastAsia="es-CR"/>
          <w14:ligatures w14:val="none"/>
        </w:rPr>
      </w:pPr>
      <w:r w:rsidRPr="00B77F6A">
        <w:rPr>
          <w:rFonts w:ascii="Calibri" w:eastAsia="Times New Roman" w:hAnsi="Calibri" w:cs="Calibri"/>
          <w:bCs/>
          <w:kern w:val="0"/>
          <w:lang w:val="es-ES_tradnl" w:eastAsia="es-CR"/>
          <w14:ligatures w14:val="none"/>
        </w:rPr>
        <w:t xml:space="preserve">García Bachmann, Mercedes L. “Cuatro estrategias frente a la mal llamada “ideología de género”. </w:t>
      </w:r>
      <w:r w:rsidRPr="00B77F6A">
        <w:rPr>
          <w:rFonts w:ascii="Calibri" w:eastAsia="Times New Roman" w:hAnsi="Calibri" w:cs="Calibri"/>
          <w:bCs/>
          <w:i/>
          <w:kern w:val="0"/>
          <w:lang w:val="es-ES_tradnl" w:eastAsia="es-CR"/>
          <w14:ligatures w14:val="none"/>
        </w:rPr>
        <w:t xml:space="preserve">Vida y Pensamiento </w:t>
      </w:r>
      <w:r w:rsidRPr="00B77F6A">
        <w:rPr>
          <w:rFonts w:ascii="Calibri" w:eastAsia="Times New Roman" w:hAnsi="Calibri" w:cs="Calibri"/>
          <w:bCs/>
          <w:kern w:val="0"/>
          <w:lang w:val="es-ES_tradnl" w:eastAsia="es-CR"/>
          <w14:ligatures w14:val="none"/>
        </w:rPr>
        <w:t xml:space="preserve">38, n. 1 (2018): 133-154. Acceso el 18 de diciembre de 2020. </w:t>
      </w:r>
      <w:hyperlink r:id="rId263" w:history="1">
        <w:r w:rsidRPr="00B77F6A">
          <w:rPr>
            <w:rFonts w:ascii="Calibri" w:eastAsia="Times New Roman" w:hAnsi="Calibri" w:cs="Calibri"/>
            <w:bCs/>
            <w:color w:val="0000FF"/>
            <w:kern w:val="0"/>
            <w:u w:val="single"/>
            <w:lang w:val="es-ES_tradnl" w:eastAsia="es-CR"/>
            <w14:ligatures w14:val="none"/>
          </w:rPr>
          <w:t>http://revistas.ubl.ac.cr/index.php/vyp/article/view/50</w:t>
        </w:r>
      </w:hyperlink>
    </w:p>
    <w:p w14:paraId="6FF1E38D" w14:textId="77777777" w:rsidR="00B77F6A" w:rsidRPr="00B77F6A" w:rsidRDefault="00B77F6A" w:rsidP="00B77F6A">
      <w:pPr>
        <w:widowControl w:val="0"/>
        <w:overflowPunct w:val="0"/>
        <w:autoSpaceDE w:val="0"/>
        <w:autoSpaceDN w:val="0"/>
        <w:adjustRightInd w:val="0"/>
        <w:spacing w:before="120" w:after="0" w:line="276" w:lineRule="auto"/>
        <w:ind w:left="709" w:hanging="709"/>
        <w:jc w:val="both"/>
        <w:rPr>
          <w:rFonts w:ascii="Calibri" w:eastAsia="Times New Roman" w:hAnsi="Calibri" w:cs="Calibri"/>
          <w:b/>
          <w:bCs/>
          <w:color w:val="FF0000"/>
          <w:kern w:val="0"/>
          <w:lang w:val="fr-FR" w:eastAsia="es-CR"/>
          <w14:ligatures w14:val="none"/>
        </w:rPr>
      </w:pPr>
      <w:r w:rsidRPr="00B77F6A">
        <w:rPr>
          <w:rFonts w:ascii="Calibri" w:eastAsia="Times New Roman" w:hAnsi="Calibri" w:cs="Calibri"/>
          <w:bCs/>
          <w:kern w:val="0"/>
          <w:lang w:val="es-ES_tradnl" w:eastAsia="es-CR"/>
          <w14:ligatures w14:val="none"/>
        </w:rPr>
        <w:t xml:space="preserve">Guzmán Ordaz, Raquel y María Jiménez Rodrigo. “La interseccionalidad como instrumento analítico de interpelación en la violencia de género”. </w:t>
      </w:r>
      <w:r w:rsidRPr="00B77F6A">
        <w:rPr>
          <w:rFonts w:ascii="Calibri" w:eastAsia="Times New Roman" w:hAnsi="Calibri" w:cs="Calibri"/>
          <w:bCs/>
          <w:i/>
          <w:kern w:val="0"/>
          <w:lang w:val="es-ES_tradnl" w:eastAsia="es-CR"/>
          <w14:ligatures w14:val="none"/>
        </w:rPr>
        <w:t xml:space="preserve">Oñati Socio-Legal Series </w:t>
      </w:r>
      <w:r w:rsidRPr="00B77F6A">
        <w:rPr>
          <w:rFonts w:ascii="Calibri" w:eastAsia="Times New Roman" w:hAnsi="Calibri" w:cs="Calibri"/>
          <w:bCs/>
          <w:kern w:val="0"/>
          <w:lang w:val="es-ES_tradnl" w:eastAsia="es-CR"/>
          <w14:ligatures w14:val="none"/>
        </w:rPr>
        <w:t xml:space="preserve">5, n. 2 (2015): 596-612. Acceso el 18 de diciembre de 2020. </w:t>
      </w:r>
      <w:hyperlink r:id="rId264" w:history="1">
        <w:r w:rsidRPr="00B77F6A">
          <w:rPr>
            <w:rFonts w:ascii="Calibri" w:eastAsia="Times New Roman" w:hAnsi="Calibri" w:cs="Calibri"/>
            <w:bCs/>
            <w:color w:val="0000FF"/>
            <w:kern w:val="0"/>
            <w:u w:val="single"/>
            <w:lang w:val="fr-FR" w:eastAsia="es-CR"/>
            <w14:ligatures w14:val="none"/>
          </w:rPr>
          <w:t>https://papers.ssrn.com/sol3/papers.cfm?abstract_id=2611644</w:t>
        </w:r>
      </w:hyperlink>
    </w:p>
    <w:p w14:paraId="2DB382D9" w14:textId="77777777" w:rsidR="00B77F6A" w:rsidRPr="00B77F6A" w:rsidRDefault="00B77F6A" w:rsidP="00B77F6A">
      <w:pPr>
        <w:widowControl w:val="0"/>
        <w:overflowPunct w:val="0"/>
        <w:autoSpaceDE w:val="0"/>
        <w:autoSpaceDN w:val="0"/>
        <w:adjustRightInd w:val="0"/>
        <w:spacing w:before="120" w:after="0" w:line="276" w:lineRule="auto"/>
        <w:ind w:left="709" w:hanging="709"/>
        <w:jc w:val="both"/>
        <w:rPr>
          <w:rFonts w:ascii="Calibri" w:eastAsia="Times New Roman" w:hAnsi="Calibri" w:cs="Calibri"/>
          <w:b/>
          <w:bCs/>
          <w:color w:val="FF0000"/>
          <w:kern w:val="0"/>
          <w:lang w:val="fr-FR" w:eastAsia="es-CR"/>
          <w14:ligatures w14:val="none"/>
        </w:rPr>
      </w:pPr>
      <w:r w:rsidRPr="00B77F6A">
        <w:rPr>
          <w:rFonts w:ascii="Calibri" w:eastAsia="Times New Roman" w:hAnsi="Calibri" w:cs="Calibri"/>
          <w:bCs/>
          <w:kern w:val="0"/>
          <w:lang w:val="fr-FR" w:eastAsia="es-CR"/>
          <w14:ligatures w14:val="none"/>
        </w:rPr>
        <w:t xml:space="preserve">Yuval-Davis, Nira. </w:t>
      </w:r>
      <w:r w:rsidRPr="00B77F6A">
        <w:rPr>
          <w:rFonts w:ascii="Calibri" w:eastAsia="Times New Roman" w:hAnsi="Calibri" w:cs="Calibri"/>
          <w:bCs/>
          <w:kern w:val="0"/>
          <w:lang w:val="es-ES_tradnl" w:eastAsia="es-CR"/>
          <w14:ligatures w14:val="none"/>
        </w:rPr>
        <w:t xml:space="preserve">“Etnicidad, relaciones de género y multiculturalismo”. En </w:t>
      </w:r>
      <w:r w:rsidRPr="00B77F6A">
        <w:rPr>
          <w:rFonts w:ascii="Calibri" w:eastAsia="Times New Roman" w:hAnsi="Calibri" w:cs="Calibri"/>
          <w:bCs/>
          <w:i/>
          <w:kern w:val="0"/>
          <w:lang w:val="es-ES_tradnl" w:eastAsia="es-CR"/>
          <w14:ligatures w14:val="none"/>
        </w:rPr>
        <w:t>Nación, diversidad y género: perspectivas críticas</w:t>
      </w:r>
      <w:r w:rsidRPr="00B77F6A">
        <w:rPr>
          <w:rFonts w:ascii="Calibri" w:eastAsia="Times New Roman" w:hAnsi="Calibri" w:cs="Calibri"/>
          <w:bCs/>
          <w:kern w:val="0"/>
          <w:lang w:val="es-ES_tradnl" w:eastAsia="es-CR"/>
          <w14:ligatures w14:val="none"/>
        </w:rPr>
        <w:t xml:space="preserve">, coordinado por Patricia Bastida Rodríguez, Carla Rodríguez González e Isabel Carrera Suárez, 64-86. Barcelona: </w:t>
      </w:r>
      <w:proofErr w:type="spellStart"/>
      <w:r w:rsidRPr="00B77F6A">
        <w:rPr>
          <w:rFonts w:ascii="Calibri" w:eastAsia="Times New Roman" w:hAnsi="Calibri" w:cs="Calibri"/>
          <w:bCs/>
          <w:kern w:val="0"/>
          <w:lang w:val="es-ES_tradnl" w:eastAsia="es-CR"/>
          <w14:ligatures w14:val="none"/>
        </w:rPr>
        <w:t>Anthropos</w:t>
      </w:r>
      <w:proofErr w:type="spellEnd"/>
      <w:r w:rsidRPr="00B77F6A">
        <w:rPr>
          <w:rFonts w:ascii="Calibri" w:eastAsia="Times New Roman" w:hAnsi="Calibri" w:cs="Calibri"/>
          <w:bCs/>
          <w:kern w:val="0"/>
          <w:lang w:val="es-ES_tradnl" w:eastAsia="es-CR"/>
          <w14:ligatures w14:val="none"/>
        </w:rPr>
        <w:t>, 2010. (</w:t>
      </w:r>
      <w:r w:rsidRPr="00B77F6A">
        <w:rPr>
          <w:rFonts w:ascii="Calibri" w:eastAsia="Times New Roman" w:hAnsi="Calibri" w:cs="Calibri"/>
          <w:color w:val="0070C0"/>
          <w:kern w:val="0"/>
          <w:lang w:val="es-ES_tradnl" w:eastAsia="es-CR"/>
          <w14:ligatures w14:val="none"/>
        </w:rPr>
        <w:t xml:space="preserve">clásico, </w:t>
      </w:r>
      <w:r w:rsidRPr="00B77F6A">
        <w:rPr>
          <w:rFonts w:ascii="Calibri" w:eastAsia="Times New Roman" w:hAnsi="Calibri" w:cs="Calibri"/>
          <w:bCs/>
          <w:kern w:val="0"/>
          <w:lang w:val="es-ES_tradnl" w:eastAsia="es-CR"/>
          <w14:ligatures w14:val="none"/>
        </w:rPr>
        <w:t>última edición)</w:t>
      </w:r>
    </w:p>
    <w:p w14:paraId="5AAF8497" w14:textId="77777777" w:rsidR="00B77F6A" w:rsidRPr="00B77F6A" w:rsidRDefault="00B77F6A" w:rsidP="00B77F6A">
      <w:pPr>
        <w:widowControl w:val="0"/>
        <w:overflowPunct w:val="0"/>
        <w:autoSpaceDE w:val="0"/>
        <w:autoSpaceDN w:val="0"/>
        <w:adjustRightInd w:val="0"/>
        <w:spacing w:after="0" w:line="360" w:lineRule="auto"/>
        <w:contextualSpacing/>
        <w:rPr>
          <w:rFonts w:ascii="Calibri" w:eastAsia="Times New Roman" w:hAnsi="Calibri" w:cs="Arial"/>
          <w:color w:val="000000"/>
          <w:kern w:val="0"/>
          <w:lang w:val="es-ES_tradnl" w:eastAsia="es-CR"/>
          <w14:ligatures w14:val="none"/>
        </w:rPr>
      </w:pPr>
    </w:p>
    <w:p w14:paraId="1A7E72D1" w14:textId="77777777" w:rsidR="00B77F6A" w:rsidRPr="00B77F6A" w:rsidRDefault="00B77F6A" w:rsidP="00B77F6A">
      <w:pPr>
        <w:widowControl w:val="0"/>
        <w:overflowPunct w:val="0"/>
        <w:autoSpaceDE w:val="0"/>
        <w:autoSpaceDN w:val="0"/>
        <w:adjustRightInd w:val="0"/>
        <w:spacing w:after="0" w:line="276" w:lineRule="auto"/>
        <w:contextualSpacing/>
        <w:rPr>
          <w:rFonts w:ascii="Calibri" w:eastAsia="Times New Roman" w:hAnsi="Calibri" w:cs="Arial"/>
          <w:color w:val="000000"/>
          <w:kern w:val="0"/>
          <w:lang w:val="es-ES_tradnl" w:eastAsia="es-CR"/>
          <w14:ligatures w14:val="none"/>
        </w:rPr>
      </w:pPr>
    </w:p>
    <w:p w14:paraId="00078D3A" w14:textId="77777777" w:rsidR="00B77F6A" w:rsidRPr="00B77F6A" w:rsidRDefault="00B77F6A" w:rsidP="00B77F6A">
      <w:pPr>
        <w:widowControl w:val="0"/>
        <w:overflowPunct w:val="0"/>
        <w:autoSpaceDE w:val="0"/>
        <w:autoSpaceDN w:val="0"/>
        <w:adjustRightInd w:val="0"/>
        <w:spacing w:after="0" w:line="240" w:lineRule="auto"/>
        <w:ind w:left="540" w:hanging="540"/>
        <w:contextualSpacing/>
        <w:rPr>
          <w:rFonts w:ascii="Calibri" w:eastAsia="Times New Roman" w:hAnsi="Calibri" w:cs="Arial"/>
          <w:color w:val="000000"/>
          <w:kern w:val="0"/>
          <w:lang w:val="es-ES_tradnl" w:eastAsia="es-CR"/>
          <w14:ligatures w14:val="none"/>
        </w:rPr>
      </w:pPr>
    </w:p>
    <w:p w14:paraId="228E2E47" w14:textId="203DE571" w:rsidR="00B77F6A" w:rsidRDefault="00B77F6A">
      <w:pPr>
        <w:rPr>
          <w:sz w:val="24"/>
          <w:szCs w:val="24"/>
        </w:rPr>
      </w:pPr>
      <w:r>
        <w:rPr>
          <w:sz w:val="24"/>
          <w:szCs w:val="24"/>
        </w:rPr>
        <w:br w:type="page"/>
      </w:r>
    </w:p>
    <w:p w14:paraId="47F8F674" w14:textId="77777777" w:rsidR="00294C7F" w:rsidRPr="00294C7F" w:rsidRDefault="00294C7F" w:rsidP="00294C7F">
      <w:pPr>
        <w:widowControl w:val="0"/>
        <w:overflowPunct w:val="0"/>
        <w:autoSpaceDE w:val="0"/>
        <w:autoSpaceDN w:val="0"/>
        <w:adjustRightInd w:val="0"/>
        <w:spacing w:before="120" w:after="0" w:line="240" w:lineRule="auto"/>
        <w:jc w:val="center"/>
        <w:rPr>
          <w:rFonts w:ascii="Arial" w:eastAsia="Times New Roman" w:hAnsi="Arial" w:cs="Arial"/>
          <w:kern w:val="0"/>
          <w:sz w:val="24"/>
          <w:szCs w:val="20"/>
          <w:lang w:val="es-ES_tradnl" w:eastAsia="es-CR"/>
          <w14:ligatures w14:val="none"/>
        </w:rPr>
      </w:pPr>
      <w:r w:rsidRPr="00294C7F">
        <w:rPr>
          <w:rFonts w:ascii="Times New Roman" w:eastAsia="Times New Roman" w:hAnsi="Times New Roman" w:cs="Times New Roman"/>
          <w:noProof/>
          <w:kern w:val="0"/>
          <w:sz w:val="24"/>
          <w:szCs w:val="20"/>
          <w:lang w:val="es-ES_tradnl" w:eastAsia="es-CR"/>
          <w14:ligatures w14:val="none"/>
        </w:rPr>
        <w:lastRenderedPageBreak/>
        <w:drawing>
          <wp:inline distT="0" distB="0" distL="0" distR="0" wp14:anchorId="4822ECE0" wp14:editId="7EE63406">
            <wp:extent cx="2009775" cy="1548377"/>
            <wp:effectExtent l="0" t="0" r="0" b="0"/>
            <wp:docPr id="1273481036"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81036" name="0 Imagen" descr="A logo for a religious organization&#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2009775" cy="1548377"/>
                    </a:xfrm>
                    <a:prstGeom prst="rect">
                      <a:avLst/>
                    </a:prstGeom>
                  </pic:spPr>
                </pic:pic>
              </a:graphicData>
            </a:graphic>
          </wp:inline>
        </w:drawing>
      </w:r>
    </w:p>
    <w:p w14:paraId="3513A897" w14:textId="77777777" w:rsidR="00294C7F" w:rsidRPr="00294C7F" w:rsidRDefault="00294C7F" w:rsidP="00294C7F">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0"/>
          <w:lang w:eastAsia="es-CR"/>
          <w14:ligatures w14:val="none"/>
        </w:rPr>
      </w:pPr>
    </w:p>
    <w:p w14:paraId="4E378AA3" w14:textId="77777777" w:rsidR="00294C7F" w:rsidRPr="00294C7F" w:rsidRDefault="00294C7F" w:rsidP="00294C7F">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0"/>
          <w:lang w:eastAsia="es-CR"/>
          <w14:ligatures w14:val="none"/>
        </w:rPr>
      </w:pPr>
      <w:r w:rsidRPr="00294C7F">
        <w:rPr>
          <w:rFonts w:ascii="Calibri" w:eastAsia="Times New Roman" w:hAnsi="Calibri" w:cs="Arial"/>
          <w:b/>
          <w:spacing w:val="-2"/>
          <w:kern w:val="0"/>
          <w:sz w:val="24"/>
          <w:szCs w:val="20"/>
          <w:lang w:eastAsia="es-CR"/>
          <w14:ligatures w14:val="none"/>
        </w:rPr>
        <w:t>Universidad Bíblica Latinoamericana</w:t>
      </w:r>
    </w:p>
    <w:p w14:paraId="43CE6AA1" w14:textId="77777777" w:rsidR="00294C7F" w:rsidRPr="00294C7F" w:rsidRDefault="00294C7F" w:rsidP="00294C7F">
      <w:pPr>
        <w:keepNext/>
        <w:widowControl w:val="0"/>
        <w:overflowPunct w:val="0"/>
        <w:autoSpaceDE w:val="0"/>
        <w:autoSpaceDN w:val="0"/>
        <w:adjustRightInd w:val="0"/>
        <w:spacing w:after="0" w:line="240" w:lineRule="auto"/>
        <w:jc w:val="center"/>
        <w:outlineLvl w:val="0"/>
        <w:rPr>
          <w:rFonts w:ascii="Calibri" w:eastAsia="Times New Roman" w:hAnsi="Calibri" w:cs="Arial"/>
          <w:b/>
          <w:i/>
          <w:iCs/>
          <w:spacing w:val="-2"/>
          <w:kern w:val="0"/>
          <w:sz w:val="24"/>
          <w:szCs w:val="20"/>
          <w:lang w:eastAsia="es-CR"/>
          <w14:ligatures w14:val="none"/>
        </w:rPr>
      </w:pPr>
      <w:r w:rsidRPr="00294C7F">
        <w:rPr>
          <w:rFonts w:ascii="Calibri" w:eastAsia="Times New Roman" w:hAnsi="Calibri" w:cs="Arial"/>
          <w:b/>
          <w:i/>
          <w:iCs/>
          <w:spacing w:val="-2"/>
          <w:kern w:val="0"/>
          <w:sz w:val="24"/>
          <w:szCs w:val="20"/>
          <w:lang w:eastAsia="es-CR"/>
          <w14:ligatures w14:val="none"/>
        </w:rPr>
        <w:t>Facultad de Teología</w:t>
      </w:r>
    </w:p>
    <w:p w14:paraId="60DD6D0A" w14:textId="77777777" w:rsidR="00294C7F" w:rsidRPr="00294C7F" w:rsidRDefault="00294C7F" w:rsidP="00294C7F">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r w:rsidRPr="00294C7F">
        <w:rPr>
          <w:rFonts w:ascii="Calibri" w:eastAsia="Times New Roman" w:hAnsi="Calibri" w:cs="Arial"/>
          <w:b/>
          <w:bCs/>
          <w:kern w:val="0"/>
          <w:sz w:val="24"/>
          <w:szCs w:val="20"/>
          <w:lang w:val="es-ES_tradnl" w:eastAsia="es-CR"/>
          <w14:ligatures w14:val="none"/>
        </w:rPr>
        <w:t>Escuela de Ciencias Bíblicas</w:t>
      </w:r>
    </w:p>
    <w:p w14:paraId="29AD0E92" w14:textId="77777777" w:rsidR="00294C7F" w:rsidRPr="00294C7F" w:rsidRDefault="00294C7F" w:rsidP="00294C7F">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p>
    <w:p w14:paraId="6F14CD21" w14:textId="77777777" w:rsidR="00294C7F" w:rsidRPr="00294C7F" w:rsidRDefault="00294C7F" w:rsidP="00294C7F">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r w:rsidRPr="00294C7F">
        <w:rPr>
          <w:rFonts w:ascii="Calibri" w:eastAsia="Times New Roman" w:hAnsi="Calibri" w:cs="Arial"/>
          <w:b/>
          <w:bCs/>
          <w:kern w:val="0"/>
          <w:sz w:val="24"/>
          <w:szCs w:val="20"/>
          <w:lang w:val="es-ES_tradnl" w:eastAsia="es-CR"/>
          <w14:ligatures w14:val="none"/>
        </w:rPr>
        <w:t>Sílabo</w:t>
      </w:r>
    </w:p>
    <w:p w14:paraId="0C0E5FE1" w14:textId="77777777" w:rsidR="00294C7F" w:rsidRPr="00294C7F" w:rsidRDefault="00294C7F" w:rsidP="00294C7F">
      <w:pPr>
        <w:widowControl w:val="0"/>
        <w:overflowPunct w:val="0"/>
        <w:autoSpaceDE w:val="0"/>
        <w:autoSpaceDN w:val="0"/>
        <w:adjustRightInd w:val="0"/>
        <w:spacing w:after="0" w:line="240" w:lineRule="auto"/>
        <w:jc w:val="center"/>
        <w:rPr>
          <w:rFonts w:ascii="Calibri" w:eastAsia="Times New Roman" w:hAnsi="Calibri" w:cs="Arial"/>
          <w:b/>
          <w:bCs/>
          <w:color w:val="FF0000"/>
          <w:kern w:val="0"/>
          <w:sz w:val="24"/>
          <w:szCs w:val="20"/>
          <w:lang w:val="es-ES_tradnl" w:eastAsia="es-CR"/>
          <w14:ligatures w14:val="none"/>
        </w:rPr>
      </w:pPr>
      <w:bookmarkStart w:id="40" w:name="CB101"/>
      <w:r w:rsidRPr="00294C7F">
        <w:rPr>
          <w:rFonts w:ascii="Calibri" w:eastAsia="Times New Roman" w:hAnsi="Calibri" w:cs="Arial"/>
          <w:b/>
          <w:bCs/>
          <w:kern w:val="0"/>
          <w:sz w:val="24"/>
          <w:szCs w:val="20"/>
          <w:lang w:val="es-ES" w:eastAsia="es-CR"/>
          <w14:ligatures w14:val="none"/>
        </w:rPr>
        <w:t>Hebreo</w:t>
      </w:r>
      <w:bookmarkEnd w:id="40"/>
    </w:p>
    <w:p w14:paraId="1E80FC01"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kern w:val="0"/>
          <w:sz w:val="24"/>
          <w:szCs w:val="20"/>
          <w:lang w:val="es-ES_tradnl" w:eastAsia="es-CR"/>
          <w14:ligatures w14:val="none"/>
        </w:rPr>
      </w:pPr>
    </w:p>
    <w:p w14:paraId="55506DDB"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kern w:val="0"/>
          <w:sz w:val="24"/>
          <w:szCs w:val="20"/>
          <w:lang w:val="es-ES_tradnl" w:eastAsia="es-CR"/>
          <w14:ligatures w14:val="none"/>
        </w:rPr>
      </w:pPr>
    </w:p>
    <w:tbl>
      <w:tblPr>
        <w:tblStyle w:val="TableGrid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7145"/>
      </w:tblGrid>
      <w:tr w:rsidR="00294C7F" w:rsidRPr="00294C7F" w14:paraId="3569B67F" w14:textId="77777777" w:rsidTr="00CE7124">
        <w:tc>
          <w:tcPr>
            <w:tcW w:w="1668" w:type="dxa"/>
          </w:tcPr>
          <w:p w14:paraId="09934CF1" w14:textId="77777777" w:rsidR="00294C7F" w:rsidRPr="00294C7F" w:rsidRDefault="00294C7F" w:rsidP="00294C7F">
            <w:pPr>
              <w:widowControl w:val="0"/>
              <w:overflowPunct w:val="0"/>
              <w:autoSpaceDE w:val="0"/>
              <w:autoSpaceDN w:val="0"/>
              <w:adjustRightInd w:val="0"/>
              <w:rPr>
                <w:rFonts w:eastAsia="Times New Roman" w:cs="Arial"/>
                <w:b/>
                <w:bCs/>
                <w:color w:val="000000"/>
                <w:lang w:eastAsia="es-CR"/>
              </w:rPr>
            </w:pPr>
            <w:r w:rsidRPr="00294C7F">
              <w:rPr>
                <w:rFonts w:eastAsia="Times New Roman" w:cs="Arial"/>
                <w:b/>
                <w:bCs/>
                <w:color w:val="000000"/>
                <w:lang w:eastAsia="es-CR"/>
              </w:rPr>
              <w:t>Código</w:t>
            </w:r>
          </w:p>
        </w:tc>
        <w:tc>
          <w:tcPr>
            <w:tcW w:w="7386" w:type="dxa"/>
          </w:tcPr>
          <w:p w14:paraId="72FB7FFB" w14:textId="77777777" w:rsidR="00294C7F" w:rsidRPr="00294C7F" w:rsidRDefault="00294C7F" w:rsidP="00294C7F">
            <w:pPr>
              <w:widowControl w:val="0"/>
              <w:overflowPunct w:val="0"/>
              <w:autoSpaceDE w:val="0"/>
              <w:autoSpaceDN w:val="0"/>
              <w:adjustRightInd w:val="0"/>
              <w:rPr>
                <w:rFonts w:eastAsia="Times New Roman" w:cs="Arial"/>
                <w:color w:val="000000"/>
                <w:lang w:eastAsia="es-CR"/>
              </w:rPr>
            </w:pPr>
            <w:r w:rsidRPr="00294C7F">
              <w:rPr>
                <w:rFonts w:eastAsia="Times New Roman" w:cs="Arial"/>
                <w:color w:val="000000"/>
                <w:lang w:eastAsia="es-CR"/>
              </w:rPr>
              <w:t>CB 101</w:t>
            </w:r>
          </w:p>
        </w:tc>
      </w:tr>
      <w:tr w:rsidR="00294C7F" w:rsidRPr="00294C7F" w14:paraId="701164A8" w14:textId="77777777" w:rsidTr="00CE7124">
        <w:tc>
          <w:tcPr>
            <w:tcW w:w="1668" w:type="dxa"/>
          </w:tcPr>
          <w:p w14:paraId="338AF8C9" w14:textId="77777777" w:rsidR="00294C7F" w:rsidRPr="00294C7F" w:rsidRDefault="00294C7F" w:rsidP="00294C7F">
            <w:pPr>
              <w:widowControl w:val="0"/>
              <w:overflowPunct w:val="0"/>
              <w:autoSpaceDE w:val="0"/>
              <w:autoSpaceDN w:val="0"/>
              <w:adjustRightInd w:val="0"/>
              <w:rPr>
                <w:rFonts w:eastAsia="Times New Roman" w:cs="Arial"/>
                <w:b/>
                <w:bCs/>
                <w:color w:val="000000"/>
                <w:lang w:eastAsia="es-CR"/>
              </w:rPr>
            </w:pPr>
            <w:r w:rsidRPr="00294C7F">
              <w:rPr>
                <w:rFonts w:eastAsia="Times New Roman" w:cs="Arial"/>
                <w:b/>
                <w:bCs/>
                <w:color w:val="000000"/>
                <w:lang w:eastAsia="es-CR"/>
              </w:rPr>
              <w:t>Créditos</w:t>
            </w:r>
          </w:p>
        </w:tc>
        <w:tc>
          <w:tcPr>
            <w:tcW w:w="7386" w:type="dxa"/>
          </w:tcPr>
          <w:p w14:paraId="7576F7E8" w14:textId="77777777" w:rsidR="00294C7F" w:rsidRPr="00294C7F" w:rsidRDefault="00294C7F" w:rsidP="00294C7F">
            <w:pPr>
              <w:widowControl w:val="0"/>
              <w:overflowPunct w:val="0"/>
              <w:autoSpaceDE w:val="0"/>
              <w:autoSpaceDN w:val="0"/>
              <w:adjustRightInd w:val="0"/>
              <w:rPr>
                <w:rFonts w:eastAsia="Times New Roman" w:cs="Arial"/>
                <w:color w:val="000000"/>
                <w:lang w:eastAsia="es-CR"/>
              </w:rPr>
            </w:pPr>
            <w:r w:rsidRPr="00294C7F">
              <w:rPr>
                <w:rFonts w:eastAsia="Times New Roman" w:cs="Arial"/>
                <w:color w:val="000000"/>
                <w:lang w:eastAsia="es-CR"/>
              </w:rPr>
              <w:t>4</w:t>
            </w:r>
          </w:p>
        </w:tc>
      </w:tr>
      <w:tr w:rsidR="00294C7F" w:rsidRPr="00294C7F" w14:paraId="66E2BA31" w14:textId="77777777" w:rsidTr="00CE7124">
        <w:tc>
          <w:tcPr>
            <w:tcW w:w="1668" w:type="dxa"/>
          </w:tcPr>
          <w:p w14:paraId="664F7817" w14:textId="77777777" w:rsidR="00294C7F" w:rsidRPr="00294C7F" w:rsidRDefault="00294C7F" w:rsidP="00294C7F">
            <w:pPr>
              <w:widowControl w:val="0"/>
              <w:overflowPunct w:val="0"/>
              <w:autoSpaceDE w:val="0"/>
              <w:autoSpaceDN w:val="0"/>
              <w:adjustRightInd w:val="0"/>
              <w:rPr>
                <w:rFonts w:eastAsia="Times New Roman" w:cs="Arial"/>
                <w:b/>
                <w:bCs/>
                <w:color w:val="000000"/>
                <w:lang w:eastAsia="es-CR"/>
              </w:rPr>
            </w:pPr>
            <w:r w:rsidRPr="00294C7F">
              <w:rPr>
                <w:rFonts w:eastAsia="Times New Roman" w:cs="Arial"/>
                <w:b/>
                <w:bCs/>
                <w:color w:val="000000"/>
                <w:lang w:eastAsia="es-CR"/>
              </w:rPr>
              <w:t>Requisitos</w:t>
            </w:r>
          </w:p>
        </w:tc>
        <w:tc>
          <w:tcPr>
            <w:tcW w:w="7386" w:type="dxa"/>
          </w:tcPr>
          <w:p w14:paraId="11BEFC53" w14:textId="77777777" w:rsidR="00294C7F" w:rsidRPr="00294C7F" w:rsidRDefault="00294C7F" w:rsidP="00294C7F">
            <w:pPr>
              <w:widowControl w:val="0"/>
              <w:overflowPunct w:val="0"/>
              <w:autoSpaceDE w:val="0"/>
              <w:autoSpaceDN w:val="0"/>
              <w:adjustRightInd w:val="0"/>
              <w:rPr>
                <w:rFonts w:eastAsia="Times New Roman" w:cs="Arial"/>
                <w:color w:val="000000"/>
                <w:lang w:eastAsia="es-CR"/>
              </w:rPr>
            </w:pPr>
            <w:r w:rsidRPr="00294C7F">
              <w:rPr>
                <w:rFonts w:eastAsia="Times New Roman" w:cs="Arial"/>
                <w:color w:val="000000"/>
                <w:lang w:eastAsia="es-CR"/>
              </w:rPr>
              <w:t>Ninguno</w:t>
            </w:r>
          </w:p>
        </w:tc>
      </w:tr>
      <w:tr w:rsidR="00294C7F" w:rsidRPr="00294C7F" w14:paraId="108B9E57" w14:textId="77777777" w:rsidTr="00CE7124">
        <w:tc>
          <w:tcPr>
            <w:tcW w:w="1668" w:type="dxa"/>
          </w:tcPr>
          <w:p w14:paraId="230DD2ED" w14:textId="77777777" w:rsidR="00294C7F" w:rsidRPr="00294C7F" w:rsidRDefault="00294C7F" w:rsidP="00294C7F">
            <w:pPr>
              <w:widowControl w:val="0"/>
              <w:overflowPunct w:val="0"/>
              <w:autoSpaceDE w:val="0"/>
              <w:autoSpaceDN w:val="0"/>
              <w:adjustRightInd w:val="0"/>
              <w:rPr>
                <w:rFonts w:eastAsia="Times New Roman" w:cs="Arial"/>
                <w:b/>
                <w:bCs/>
                <w:color w:val="000000"/>
                <w:lang w:eastAsia="es-CR"/>
              </w:rPr>
            </w:pPr>
            <w:r w:rsidRPr="00294C7F">
              <w:rPr>
                <w:rFonts w:eastAsia="Times New Roman" w:cs="Arial"/>
                <w:b/>
                <w:bCs/>
                <w:color w:val="000000"/>
                <w:lang w:eastAsia="es-CR"/>
              </w:rPr>
              <w:t>Modalidad</w:t>
            </w:r>
          </w:p>
        </w:tc>
        <w:tc>
          <w:tcPr>
            <w:tcW w:w="7386" w:type="dxa"/>
          </w:tcPr>
          <w:p w14:paraId="6461A1DE" w14:textId="77777777" w:rsidR="00294C7F" w:rsidRPr="00294C7F" w:rsidRDefault="00294C7F" w:rsidP="00294C7F">
            <w:pPr>
              <w:widowControl w:val="0"/>
              <w:overflowPunct w:val="0"/>
              <w:autoSpaceDE w:val="0"/>
              <w:autoSpaceDN w:val="0"/>
              <w:adjustRightInd w:val="0"/>
              <w:rPr>
                <w:rFonts w:eastAsia="Times New Roman" w:cs="Arial"/>
                <w:color w:val="000000"/>
                <w:lang w:eastAsia="es-CR"/>
              </w:rPr>
            </w:pPr>
            <w:r w:rsidRPr="00294C7F">
              <w:rPr>
                <w:rFonts w:eastAsia="Times New Roman" w:cs="Arial"/>
                <w:color w:val="000000"/>
                <w:lang w:eastAsia="es-CR"/>
              </w:rPr>
              <w:t>Virtual</w:t>
            </w:r>
          </w:p>
        </w:tc>
      </w:tr>
      <w:tr w:rsidR="00294C7F" w:rsidRPr="00294C7F" w14:paraId="3BBBD4BF" w14:textId="77777777" w:rsidTr="00CE7124">
        <w:tc>
          <w:tcPr>
            <w:tcW w:w="1668" w:type="dxa"/>
          </w:tcPr>
          <w:p w14:paraId="5746172B" w14:textId="77777777" w:rsidR="00294C7F" w:rsidRPr="00294C7F" w:rsidRDefault="00294C7F" w:rsidP="00294C7F">
            <w:pPr>
              <w:widowControl w:val="0"/>
              <w:overflowPunct w:val="0"/>
              <w:autoSpaceDE w:val="0"/>
              <w:autoSpaceDN w:val="0"/>
              <w:adjustRightInd w:val="0"/>
              <w:rPr>
                <w:rFonts w:eastAsia="Times New Roman" w:cs="Arial"/>
                <w:b/>
                <w:bCs/>
                <w:color w:val="000000"/>
                <w:lang w:eastAsia="es-CR"/>
              </w:rPr>
            </w:pPr>
            <w:r w:rsidRPr="00294C7F">
              <w:rPr>
                <w:rFonts w:eastAsia="Times New Roman" w:cs="Arial"/>
                <w:b/>
                <w:bCs/>
                <w:color w:val="000000"/>
                <w:lang w:eastAsia="es-CR"/>
              </w:rPr>
              <w:t>Naturaleza</w:t>
            </w:r>
          </w:p>
        </w:tc>
        <w:tc>
          <w:tcPr>
            <w:tcW w:w="7386" w:type="dxa"/>
          </w:tcPr>
          <w:p w14:paraId="36F3A2DD" w14:textId="77777777" w:rsidR="00294C7F" w:rsidRPr="00294C7F" w:rsidRDefault="00294C7F" w:rsidP="00294C7F">
            <w:pPr>
              <w:widowControl w:val="0"/>
              <w:overflowPunct w:val="0"/>
              <w:autoSpaceDE w:val="0"/>
              <w:autoSpaceDN w:val="0"/>
              <w:adjustRightInd w:val="0"/>
              <w:rPr>
                <w:rFonts w:eastAsia="Times New Roman" w:cs="Arial"/>
                <w:color w:val="000000"/>
                <w:lang w:eastAsia="es-CR"/>
              </w:rPr>
            </w:pPr>
            <w:r w:rsidRPr="00294C7F">
              <w:rPr>
                <w:rFonts w:eastAsia="Times New Roman" w:cs="Arial"/>
                <w:color w:val="000000"/>
                <w:lang w:eastAsia="es-CR"/>
              </w:rPr>
              <w:t>Teórico-práctico</w:t>
            </w:r>
          </w:p>
        </w:tc>
      </w:tr>
      <w:tr w:rsidR="00294C7F" w:rsidRPr="00294C7F" w14:paraId="60D04D52" w14:textId="77777777" w:rsidTr="00CE7124">
        <w:tc>
          <w:tcPr>
            <w:tcW w:w="1668" w:type="dxa"/>
          </w:tcPr>
          <w:p w14:paraId="2FDD82C6" w14:textId="77777777" w:rsidR="00294C7F" w:rsidRPr="00294C7F" w:rsidRDefault="00294C7F" w:rsidP="00294C7F">
            <w:pPr>
              <w:widowControl w:val="0"/>
              <w:overflowPunct w:val="0"/>
              <w:autoSpaceDE w:val="0"/>
              <w:autoSpaceDN w:val="0"/>
              <w:adjustRightInd w:val="0"/>
              <w:rPr>
                <w:rFonts w:eastAsia="Times New Roman" w:cs="Arial"/>
                <w:b/>
                <w:bCs/>
                <w:color w:val="000000"/>
                <w:lang w:eastAsia="es-CR"/>
              </w:rPr>
            </w:pPr>
            <w:r w:rsidRPr="00294C7F">
              <w:rPr>
                <w:rFonts w:eastAsia="Times New Roman" w:cs="Arial"/>
                <w:b/>
                <w:bCs/>
                <w:color w:val="000000"/>
                <w:lang w:eastAsia="es-CR"/>
              </w:rPr>
              <w:t>Periodo</w:t>
            </w:r>
          </w:p>
        </w:tc>
        <w:tc>
          <w:tcPr>
            <w:tcW w:w="7386" w:type="dxa"/>
          </w:tcPr>
          <w:p w14:paraId="5FEEA22C" w14:textId="77777777" w:rsidR="00294C7F" w:rsidRPr="00294C7F" w:rsidRDefault="00294C7F" w:rsidP="00294C7F">
            <w:pPr>
              <w:widowControl w:val="0"/>
              <w:overflowPunct w:val="0"/>
              <w:autoSpaceDE w:val="0"/>
              <w:autoSpaceDN w:val="0"/>
              <w:adjustRightInd w:val="0"/>
              <w:rPr>
                <w:rFonts w:eastAsia="Times New Roman" w:cs="Arial"/>
                <w:color w:val="000000"/>
                <w:lang w:eastAsia="es-CR"/>
              </w:rPr>
            </w:pPr>
            <w:r w:rsidRPr="00294C7F">
              <w:rPr>
                <w:rFonts w:eastAsia="Times New Roman" w:cs="Arial"/>
                <w:color w:val="000000"/>
                <w:lang w:eastAsia="es-CR"/>
              </w:rPr>
              <w:t>Cuatrimestral (15 semanas lectivas)</w:t>
            </w:r>
          </w:p>
        </w:tc>
      </w:tr>
      <w:tr w:rsidR="00294C7F" w:rsidRPr="00294C7F" w14:paraId="1A5AD2C7" w14:textId="77777777" w:rsidTr="00CE7124">
        <w:tc>
          <w:tcPr>
            <w:tcW w:w="1668" w:type="dxa"/>
          </w:tcPr>
          <w:p w14:paraId="32332CBD" w14:textId="77777777" w:rsidR="00294C7F" w:rsidRPr="00294C7F" w:rsidRDefault="00294C7F" w:rsidP="00294C7F">
            <w:pPr>
              <w:widowControl w:val="0"/>
              <w:overflowPunct w:val="0"/>
              <w:autoSpaceDE w:val="0"/>
              <w:autoSpaceDN w:val="0"/>
              <w:adjustRightInd w:val="0"/>
              <w:rPr>
                <w:rFonts w:eastAsia="Times New Roman" w:cs="Arial"/>
                <w:b/>
                <w:bCs/>
                <w:color w:val="000000"/>
                <w:lang w:eastAsia="es-CR"/>
              </w:rPr>
            </w:pPr>
            <w:r w:rsidRPr="00294C7F">
              <w:rPr>
                <w:rFonts w:eastAsia="Times New Roman" w:cs="Arial"/>
                <w:b/>
                <w:bCs/>
                <w:color w:val="000000"/>
                <w:lang w:eastAsia="es-CR"/>
              </w:rPr>
              <w:t>Nivel</w:t>
            </w:r>
          </w:p>
        </w:tc>
        <w:tc>
          <w:tcPr>
            <w:tcW w:w="7386" w:type="dxa"/>
          </w:tcPr>
          <w:p w14:paraId="7048225A" w14:textId="77777777" w:rsidR="00294C7F" w:rsidRPr="00294C7F" w:rsidRDefault="00294C7F" w:rsidP="00294C7F">
            <w:pPr>
              <w:widowControl w:val="0"/>
              <w:overflowPunct w:val="0"/>
              <w:autoSpaceDE w:val="0"/>
              <w:autoSpaceDN w:val="0"/>
              <w:adjustRightInd w:val="0"/>
              <w:rPr>
                <w:rFonts w:eastAsia="Times New Roman" w:cs="Arial"/>
                <w:color w:val="000000"/>
                <w:lang w:eastAsia="es-CR"/>
              </w:rPr>
            </w:pPr>
            <w:r w:rsidRPr="00294C7F">
              <w:rPr>
                <w:rFonts w:eastAsia="Times New Roman" w:cs="Arial"/>
                <w:color w:val="000000"/>
                <w:lang w:eastAsia="es-CR"/>
              </w:rPr>
              <w:t>IV Cuatrimestre</w:t>
            </w:r>
          </w:p>
        </w:tc>
      </w:tr>
      <w:tr w:rsidR="00294C7F" w:rsidRPr="00294C7F" w14:paraId="0403E2F2" w14:textId="77777777" w:rsidTr="00CE7124">
        <w:tc>
          <w:tcPr>
            <w:tcW w:w="1668" w:type="dxa"/>
          </w:tcPr>
          <w:p w14:paraId="2954EE57" w14:textId="77777777" w:rsidR="00294C7F" w:rsidRPr="00294C7F" w:rsidRDefault="00294C7F" w:rsidP="00294C7F">
            <w:pPr>
              <w:widowControl w:val="0"/>
              <w:overflowPunct w:val="0"/>
              <w:autoSpaceDE w:val="0"/>
              <w:autoSpaceDN w:val="0"/>
              <w:adjustRightInd w:val="0"/>
              <w:rPr>
                <w:rFonts w:eastAsia="Times New Roman" w:cs="Arial"/>
                <w:b/>
                <w:bCs/>
                <w:color w:val="000000"/>
                <w:lang w:eastAsia="es-CR"/>
              </w:rPr>
            </w:pPr>
            <w:r w:rsidRPr="00294C7F">
              <w:rPr>
                <w:rFonts w:eastAsia="Times New Roman" w:cs="Arial"/>
                <w:b/>
                <w:bCs/>
                <w:color w:val="000000"/>
                <w:lang w:eastAsia="es-CR"/>
              </w:rPr>
              <w:t>Horario</w:t>
            </w:r>
          </w:p>
        </w:tc>
        <w:tc>
          <w:tcPr>
            <w:tcW w:w="7386" w:type="dxa"/>
          </w:tcPr>
          <w:p w14:paraId="3A485579" w14:textId="77777777" w:rsidR="00294C7F" w:rsidRPr="00294C7F" w:rsidRDefault="00294C7F" w:rsidP="00294C7F">
            <w:pPr>
              <w:widowControl w:val="0"/>
              <w:overflowPunct w:val="0"/>
              <w:autoSpaceDE w:val="0"/>
              <w:autoSpaceDN w:val="0"/>
              <w:adjustRightInd w:val="0"/>
              <w:rPr>
                <w:rFonts w:eastAsia="Times New Roman" w:cs="Arial"/>
                <w:color w:val="000000"/>
                <w:lang w:eastAsia="es-CR"/>
              </w:rPr>
            </w:pPr>
            <w:r w:rsidRPr="00294C7F">
              <w:rPr>
                <w:rFonts w:eastAsia="Times New Roman" w:cs="Arial"/>
                <w:color w:val="000000"/>
                <w:lang w:eastAsia="es-CR"/>
              </w:rPr>
              <w:t>El curso requiere de 12 horas de trabajo semanal</w:t>
            </w:r>
          </w:p>
        </w:tc>
      </w:tr>
      <w:tr w:rsidR="00294C7F" w:rsidRPr="00294C7F" w14:paraId="09559C37" w14:textId="77777777" w:rsidTr="00CE7124">
        <w:tc>
          <w:tcPr>
            <w:tcW w:w="1668" w:type="dxa"/>
          </w:tcPr>
          <w:p w14:paraId="2426052E" w14:textId="77777777" w:rsidR="00294C7F" w:rsidRPr="00294C7F" w:rsidRDefault="00294C7F" w:rsidP="00294C7F">
            <w:pPr>
              <w:widowControl w:val="0"/>
              <w:overflowPunct w:val="0"/>
              <w:autoSpaceDE w:val="0"/>
              <w:autoSpaceDN w:val="0"/>
              <w:adjustRightInd w:val="0"/>
              <w:rPr>
                <w:rFonts w:eastAsia="Times New Roman" w:cs="Arial"/>
                <w:b/>
                <w:bCs/>
                <w:color w:val="000000"/>
                <w:lang w:eastAsia="es-CR"/>
              </w:rPr>
            </w:pPr>
            <w:r w:rsidRPr="00294C7F">
              <w:rPr>
                <w:rFonts w:eastAsia="Times New Roman" w:cs="Arial"/>
                <w:b/>
                <w:bCs/>
                <w:color w:val="000000"/>
                <w:lang w:eastAsia="es-CR"/>
              </w:rPr>
              <w:t>Aula</w:t>
            </w:r>
          </w:p>
        </w:tc>
        <w:tc>
          <w:tcPr>
            <w:tcW w:w="7386" w:type="dxa"/>
          </w:tcPr>
          <w:p w14:paraId="61A17014" w14:textId="77777777" w:rsidR="00294C7F" w:rsidRPr="00294C7F" w:rsidRDefault="00294C7F" w:rsidP="00294C7F">
            <w:pPr>
              <w:widowControl w:val="0"/>
              <w:overflowPunct w:val="0"/>
              <w:autoSpaceDE w:val="0"/>
              <w:autoSpaceDN w:val="0"/>
              <w:adjustRightInd w:val="0"/>
              <w:rPr>
                <w:rFonts w:eastAsia="Times New Roman" w:cs="Arial"/>
                <w:color w:val="000000"/>
                <w:lang w:eastAsia="es-CR"/>
              </w:rPr>
            </w:pPr>
            <w:r w:rsidRPr="00294C7F">
              <w:rPr>
                <w:rFonts w:eastAsia="Times New Roman" w:cs="Arial"/>
                <w:color w:val="000000"/>
                <w:lang w:eastAsia="es-CR"/>
              </w:rPr>
              <w:t>Plataforma virtual de la UBL</w:t>
            </w:r>
          </w:p>
        </w:tc>
      </w:tr>
      <w:tr w:rsidR="00294C7F" w:rsidRPr="00294C7F" w14:paraId="663AE4D5" w14:textId="77777777" w:rsidTr="00CE7124">
        <w:tc>
          <w:tcPr>
            <w:tcW w:w="1668" w:type="dxa"/>
          </w:tcPr>
          <w:p w14:paraId="3456A181" w14:textId="77777777" w:rsidR="00294C7F" w:rsidRPr="00294C7F" w:rsidRDefault="00294C7F" w:rsidP="00294C7F">
            <w:pPr>
              <w:widowControl w:val="0"/>
              <w:overflowPunct w:val="0"/>
              <w:autoSpaceDE w:val="0"/>
              <w:autoSpaceDN w:val="0"/>
              <w:adjustRightInd w:val="0"/>
              <w:rPr>
                <w:rFonts w:eastAsia="Times New Roman" w:cs="Arial"/>
                <w:b/>
                <w:bCs/>
                <w:color w:val="000000"/>
                <w:lang w:eastAsia="es-CR"/>
              </w:rPr>
            </w:pPr>
            <w:r w:rsidRPr="00294C7F">
              <w:rPr>
                <w:rFonts w:eastAsia="Times New Roman" w:cs="Arial"/>
                <w:b/>
                <w:bCs/>
                <w:color w:val="000000"/>
                <w:lang w:eastAsia="es-CR"/>
              </w:rPr>
              <w:t>Docente</w:t>
            </w:r>
          </w:p>
        </w:tc>
        <w:tc>
          <w:tcPr>
            <w:tcW w:w="7386" w:type="dxa"/>
          </w:tcPr>
          <w:p w14:paraId="7A7E9C30" w14:textId="77777777" w:rsidR="00294C7F" w:rsidRPr="00294C7F" w:rsidRDefault="00294C7F" w:rsidP="00294C7F">
            <w:pPr>
              <w:widowControl w:val="0"/>
              <w:overflowPunct w:val="0"/>
              <w:autoSpaceDE w:val="0"/>
              <w:autoSpaceDN w:val="0"/>
              <w:adjustRightInd w:val="0"/>
              <w:rPr>
                <w:rFonts w:eastAsia="Times New Roman" w:cs="Arial"/>
                <w:color w:val="000000"/>
                <w:lang w:eastAsia="es-CR"/>
              </w:rPr>
            </w:pPr>
          </w:p>
        </w:tc>
      </w:tr>
      <w:tr w:rsidR="00294C7F" w:rsidRPr="00294C7F" w14:paraId="2BB31108" w14:textId="77777777" w:rsidTr="00CE7124">
        <w:tc>
          <w:tcPr>
            <w:tcW w:w="1668" w:type="dxa"/>
            <w:vAlign w:val="center"/>
          </w:tcPr>
          <w:p w14:paraId="7C69A1E8" w14:textId="77777777" w:rsidR="00294C7F" w:rsidRPr="00294C7F" w:rsidRDefault="00294C7F" w:rsidP="00294C7F">
            <w:pPr>
              <w:widowControl w:val="0"/>
              <w:overflowPunct w:val="0"/>
              <w:autoSpaceDE w:val="0"/>
              <w:autoSpaceDN w:val="0"/>
              <w:adjustRightInd w:val="0"/>
              <w:rPr>
                <w:rFonts w:eastAsia="Times New Roman" w:cs="Arial"/>
                <w:color w:val="000000"/>
                <w:lang w:eastAsia="es-CR"/>
              </w:rPr>
            </w:pPr>
            <w:r w:rsidRPr="00294C7F">
              <w:rPr>
                <w:rFonts w:eastAsia="Times New Roman" w:cs="Arial"/>
                <w:b/>
                <w:bCs/>
                <w:color w:val="000000"/>
                <w:lang w:eastAsia="es-CR"/>
              </w:rPr>
              <w:t>Instrucciones administrativas</w:t>
            </w:r>
          </w:p>
        </w:tc>
        <w:tc>
          <w:tcPr>
            <w:tcW w:w="7386" w:type="dxa"/>
          </w:tcPr>
          <w:p w14:paraId="7B753C03" w14:textId="77777777" w:rsidR="00294C7F" w:rsidRPr="00294C7F" w:rsidRDefault="00294C7F" w:rsidP="00294C7F">
            <w:pPr>
              <w:widowControl w:val="0"/>
              <w:overflowPunct w:val="0"/>
              <w:autoSpaceDE w:val="0"/>
              <w:autoSpaceDN w:val="0"/>
              <w:adjustRightInd w:val="0"/>
              <w:jc w:val="both"/>
              <w:rPr>
                <w:rFonts w:eastAsia="Times New Roman" w:cs="Arial"/>
                <w:lang w:eastAsia="es-CR"/>
              </w:rPr>
            </w:pPr>
            <w:r w:rsidRPr="00294C7F">
              <w:rPr>
                <w:rFonts w:eastAsia="Times New Roman" w:cs="Arial"/>
                <w:color w:val="000000"/>
                <w:lang w:eastAsia="es-CR"/>
              </w:rPr>
              <w:t xml:space="preserve">El curso es virtual, por lo que se requiere de acceso a una computadora con conexión a Internet, además de destrezas básicas para el manejo de correo electrónico y la plataforma Moodle.  Por su naturaleza teórico-práctica, en este curso se debe invertir tres horas semanales en trabajos prácticos. </w:t>
            </w:r>
            <w:r w:rsidRPr="00294C7F">
              <w:rPr>
                <w:rFonts w:eastAsia="Times New Roman" w:cs="Arial"/>
                <w:lang w:eastAsia="es-CR"/>
              </w:rPr>
              <w:t>La dirección de acceso a la plataforma es la siguiente:</w:t>
            </w:r>
          </w:p>
          <w:p w14:paraId="5B8C2D4F" w14:textId="77777777" w:rsidR="00294C7F" w:rsidRPr="00294C7F" w:rsidRDefault="00DD16F2" w:rsidP="00294C7F">
            <w:pPr>
              <w:widowControl w:val="0"/>
              <w:overflowPunct w:val="0"/>
              <w:autoSpaceDE w:val="0"/>
              <w:autoSpaceDN w:val="0"/>
              <w:adjustRightInd w:val="0"/>
              <w:jc w:val="both"/>
              <w:rPr>
                <w:rFonts w:eastAsia="Times New Roman" w:cs="Arial"/>
                <w:color w:val="000000"/>
                <w:lang w:eastAsia="es-CR"/>
              </w:rPr>
            </w:pPr>
            <w:hyperlink r:id="rId265">
              <w:r w:rsidR="00294C7F" w:rsidRPr="00294C7F">
                <w:rPr>
                  <w:rFonts w:eastAsia="Times New Roman" w:cs="Arial"/>
                  <w:color w:val="0563C1"/>
                  <w:u w:val="single"/>
                  <w:lang w:eastAsia="es-CR"/>
                </w:rPr>
                <w:t>https://campus.ubl.ac.cr/login/index.php</w:t>
              </w:r>
            </w:hyperlink>
          </w:p>
        </w:tc>
      </w:tr>
    </w:tbl>
    <w:p w14:paraId="0FA137E0"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2EAD8F93" w14:textId="77777777" w:rsidR="00294C7F" w:rsidRPr="00294C7F" w:rsidRDefault="00294C7F" w:rsidP="00294C7F">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t>I. Descripción</w:t>
      </w:r>
    </w:p>
    <w:p w14:paraId="5369BF43"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294C7F">
        <w:rPr>
          <w:rFonts w:ascii="Calibri" w:eastAsia="Times New Roman" w:hAnsi="Calibri" w:cs="Arial"/>
          <w:color w:val="000000"/>
          <w:kern w:val="0"/>
          <w:lang w:val="es-ES" w:eastAsia="es-CR"/>
          <w14:ligatures w14:val="none"/>
        </w:rPr>
        <w:t>El curso abarcará toda la gramática hebrea de manera elemental. El estudiante será introducido al idioma hebreo a partir de textos escogidos de la biblia hebrea. Aunque una gran cantidad de elementos gramaticales aparecerán desde el inicio en la lectura de los textos escogidos, dichos elementos serán vistos y analizados detenidamente de acuerdo con las unidades expuestas en el contenido. El vocabulario se aprenderá gradualmente según la frecuencia en que aparecen en el texto hebreo. Se harán exámenes periódicamente.</w:t>
      </w:r>
    </w:p>
    <w:p w14:paraId="1ADB4469" w14:textId="77777777" w:rsid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785979AB"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68DC262A"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lastRenderedPageBreak/>
        <w:t>II. Objetivo general</w:t>
      </w:r>
    </w:p>
    <w:p w14:paraId="60B11809"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04F3F800"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Introducirse en el manejo de la lengua hebrea y ser capaz de leer cualquier texto bíblico con la ayuda del diccionario.</w:t>
      </w:r>
    </w:p>
    <w:p w14:paraId="1E7DCC9A"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2"/>
          <w:szCs w:val="2"/>
          <w:lang w:val="es-ES_tradnl" w:eastAsia="es-CR"/>
          <w14:ligatures w14:val="none"/>
        </w:rPr>
      </w:pPr>
    </w:p>
    <w:p w14:paraId="5B1EF70D"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t>III. Objetivos específicos</w:t>
      </w:r>
    </w:p>
    <w:p w14:paraId="4DF89606"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14:ligatures w14:val="none"/>
        </w:rPr>
      </w:pPr>
    </w:p>
    <w:p w14:paraId="54A03806"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14:ligatures w14:val="none"/>
        </w:rPr>
      </w:pPr>
      <w:r w:rsidRPr="00294C7F">
        <w:rPr>
          <w:rFonts w:ascii="Calibri" w:eastAsia="Times New Roman" w:hAnsi="Calibri" w:cs="Arial"/>
          <w:color w:val="000000"/>
          <w:kern w:val="0"/>
          <w:lang w:val="es-ES"/>
          <w14:ligatures w14:val="none"/>
        </w:rPr>
        <w:t>1. Manejar perfectamente el alfabeto hebreo.</w:t>
      </w:r>
    </w:p>
    <w:p w14:paraId="219221D6"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14:ligatures w14:val="none"/>
        </w:rPr>
      </w:pPr>
      <w:r w:rsidRPr="00294C7F">
        <w:rPr>
          <w:rFonts w:ascii="Calibri" w:eastAsia="Times New Roman" w:hAnsi="Calibri" w:cs="Arial"/>
          <w:color w:val="000000"/>
          <w:kern w:val="0"/>
          <w:lang w:val="es-ES"/>
          <w14:ligatures w14:val="none"/>
        </w:rPr>
        <w:t>2. Distinguir las consonantes radicales, los prefijos y sufijos de los sustantivos, pronombres y verbos.</w:t>
      </w:r>
    </w:p>
    <w:p w14:paraId="7E28D88B"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14:ligatures w14:val="none"/>
        </w:rPr>
      </w:pPr>
      <w:r w:rsidRPr="00294C7F">
        <w:rPr>
          <w:rFonts w:ascii="Calibri" w:eastAsia="Times New Roman" w:hAnsi="Calibri" w:cs="Arial"/>
          <w:color w:val="000000"/>
          <w:kern w:val="0"/>
          <w:lang w:val="es-ES"/>
          <w14:ligatures w14:val="none"/>
        </w:rPr>
        <w:t>3. Manejar sustantivos, adjetivos, pronombres, preposiciones y demostrativos.</w:t>
      </w:r>
    </w:p>
    <w:p w14:paraId="0008497B"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14:ligatures w14:val="none"/>
        </w:rPr>
      </w:pPr>
      <w:r w:rsidRPr="00294C7F">
        <w:rPr>
          <w:rFonts w:ascii="Calibri" w:eastAsia="Times New Roman" w:hAnsi="Calibri" w:cs="Arial"/>
          <w:color w:val="000000"/>
          <w:kern w:val="0"/>
          <w:lang w:val="es-ES"/>
          <w14:ligatures w14:val="none"/>
        </w:rPr>
        <w:t>4. Manejar el verbo perfecto e imperfecto Qal y reconocer los demás temas verbales.</w:t>
      </w:r>
    </w:p>
    <w:p w14:paraId="58F7A642"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14:ligatures w14:val="none"/>
        </w:rPr>
      </w:pPr>
      <w:r w:rsidRPr="00294C7F">
        <w:rPr>
          <w:rFonts w:ascii="Calibri" w:eastAsia="Times New Roman" w:hAnsi="Calibri" w:cs="Arial"/>
          <w:color w:val="000000"/>
          <w:kern w:val="0"/>
          <w:lang w:val="es-ES"/>
          <w14:ligatures w14:val="none"/>
        </w:rPr>
        <w:t>5. Manejar las partículas más importantes.</w:t>
      </w:r>
    </w:p>
    <w:p w14:paraId="2FB2231F"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14:ligatures w14:val="none"/>
        </w:rPr>
      </w:pPr>
      <w:r w:rsidRPr="00294C7F">
        <w:rPr>
          <w:rFonts w:ascii="Calibri" w:eastAsia="Times New Roman" w:hAnsi="Calibri" w:cs="Arial"/>
          <w:color w:val="000000"/>
          <w:kern w:val="0"/>
          <w:lang w:val="es-ES"/>
          <w14:ligatures w14:val="none"/>
        </w:rPr>
        <w:t>6. Usar el diccionario para traducir oraciones sencillas.</w:t>
      </w:r>
    </w:p>
    <w:p w14:paraId="5FFA2803"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color w:val="000000"/>
          <w:kern w:val="0"/>
          <w:lang w:val="es-ES"/>
          <w14:ligatures w14:val="none"/>
        </w:rPr>
        <w:t>7. Memorizar el vocabulario más importante, así como los términos más frecuentes.</w:t>
      </w:r>
    </w:p>
    <w:p w14:paraId="1ADDED6F"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4EEA75D8"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t>IV. Contenidos</w:t>
      </w:r>
    </w:p>
    <w:p w14:paraId="13B7B3FE"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2"/>
          <w:szCs w:val="2"/>
          <w:lang w:val="es-ES_tradnl" w:eastAsia="es-CR"/>
          <w14:ligatures w14:val="none"/>
        </w:rPr>
      </w:pPr>
    </w:p>
    <w:p w14:paraId="0980C68F"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t>Unidad 1: Del alfabeto a la oración en hebreo</w:t>
      </w:r>
    </w:p>
    <w:p w14:paraId="2C4E00AA"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1.1</w:t>
      </w:r>
      <w:r w:rsidRPr="00294C7F">
        <w:rPr>
          <w:rFonts w:ascii="Calibri" w:eastAsia="Times New Roman" w:hAnsi="Calibri" w:cs="Arial"/>
          <w:b/>
          <w:bCs/>
          <w:color w:val="000000"/>
          <w:kern w:val="0"/>
          <w:lang w:val="es-ES_tradnl" w:eastAsia="es-CR"/>
          <w14:ligatures w14:val="none"/>
        </w:rPr>
        <w:t xml:space="preserve"> </w:t>
      </w:r>
      <w:r w:rsidRPr="00294C7F">
        <w:rPr>
          <w:rFonts w:ascii="Calibri" w:eastAsia="Times New Roman" w:hAnsi="Calibri" w:cs="Arial"/>
          <w:color w:val="000000"/>
          <w:kern w:val="0"/>
          <w:lang w:val="es-ES_tradnl" w:eastAsia="es-CR"/>
          <w14:ligatures w14:val="none"/>
        </w:rPr>
        <w:t>El alfabeto y la caligrafía</w:t>
      </w:r>
    </w:p>
    <w:p w14:paraId="477C53BF"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1.2 Vocales y semivocales</w:t>
      </w:r>
    </w:p>
    <w:p w14:paraId="07A5A600"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294C7F">
        <w:rPr>
          <w:rFonts w:ascii="Calibri" w:eastAsia="Times New Roman" w:hAnsi="Calibri" w:cs="Arial"/>
          <w:color w:val="000000"/>
          <w:kern w:val="0"/>
          <w:lang w:val="es-ES" w:eastAsia="es-CR"/>
          <w14:ligatures w14:val="none"/>
        </w:rPr>
        <w:t>1.3 Daguesh, shewa y guturales</w:t>
      </w:r>
    </w:p>
    <w:p w14:paraId="78DDF8C8"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1.4 Artículo definido y preposiciones</w:t>
      </w:r>
    </w:p>
    <w:p w14:paraId="769E05FE"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294C7F">
        <w:rPr>
          <w:rFonts w:ascii="Calibri" w:eastAsia="Times New Roman" w:hAnsi="Calibri" w:cs="Arial"/>
          <w:color w:val="000000"/>
          <w:kern w:val="0"/>
          <w:lang w:val="es-ES" w:eastAsia="es-CR"/>
          <w14:ligatures w14:val="none"/>
        </w:rPr>
        <w:t xml:space="preserve">1.5 Sustantivo y </w:t>
      </w:r>
      <w:proofErr w:type="spellStart"/>
      <w:r w:rsidRPr="00294C7F">
        <w:rPr>
          <w:rFonts w:ascii="Calibri" w:eastAsia="Times New Roman" w:hAnsi="Calibri" w:cs="Arial"/>
          <w:color w:val="000000"/>
          <w:kern w:val="0"/>
          <w:lang w:val="es-ES" w:eastAsia="es-CR"/>
          <w14:ligatures w14:val="none"/>
        </w:rPr>
        <w:t>waw</w:t>
      </w:r>
      <w:proofErr w:type="spellEnd"/>
      <w:r w:rsidRPr="00294C7F">
        <w:rPr>
          <w:rFonts w:ascii="Calibri" w:eastAsia="Times New Roman" w:hAnsi="Calibri" w:cs="Arial"/>
          <w:color w:val="000000"/>
          <w:kern w:val="0"/>
          <w:lang w:val="es-ES" w:eastAsia="es-CR"/>
          <w14:ligatures w14:val="none"/>
        </w:rPr>
        <w:t xml:space="preserve"> consecutiva</w:t>
      </w:r>
    </w:p>
    <w:p w14:paraId="2758CC7F"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1.6 Adjetivo</w:t>
      </w:r>
    </w:p>
    <w:p w14:paraId="14A9FB48"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1.7 Problemas exegéticos</w:t>
      </w:r>
    </w:p>
    <w:p w14:paraId="5819B626"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6D6DA419"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eastAsia="es-CR"/>
          <w14:ligatures w14:val="none"/>
        </w:rPr>
      </w:pPr>
      <w:r w:rsidRPr="00294C7F">
        <w:rPr>
          <w:rFonts w:ascii="Calibri" w:eastAsia="Times New Roman" w:hAnsi="Calibri" w:cs="Arial"/>
          <w:b/>
          <w:bCs/>
          <w:color w:val="000000"/>
          <w:kern w:val="0"/>
          <w:lang w:eastAsia="es-CR"/>
          <w14:ligatures w14:val="none"/>
        </w:rPr>
        <w:t>Unidad 2: La oración verbal (I)</w:t>
      </w:r>
    </w:p>
    <w:p w14:paraId="223D3A2F"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eastAsia="es-CR"/>
          <w14:ligatures w14:val="none"/>
        </w:rPr>
        <w:t xml:space="preserve">2.1 </w:t>
      </w:r>
      <w:r w:rsidRPr="00294C7F">
        <w:rPr>
          <w:rFonts w:ascii="Calibri" w:eastAsia="Times New Roman" w:hAnsi="Calibri" w:cs="Arial"/>
          <w:color w:val="000000"/>
          <w:kern w:val="0"/>
          <w:lang w:val="es-ES_tradnl" w:eastAsia="es-CR"/>
          <w14:ligatures w14:val="none"/>
        </w:rPr>
        <w:t xml:space="preserve">Participios y complemento directo </w:t>
      </w:r>
    </w:p>
    <w:p w14:paraId="21EDF485"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2.2 Pronombres</w:t>
      </w:r>
    </w:p>
    <w:p w14:paraId="40CA44D1"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 xml:space="preserve">2.3 Partículas </w:t>
      </w:r>
    </w:p>
    <w:p w14:paraId="2ABEF01A"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294C7F">
        <w:rPr>
          <w:rFonts w:ascii="Calibri" w:eastAsia="Times New Roman" w:hAnsi="Calibri" w:cs="Arial"/>
          <w:color w:val="000000"/>
          <w:kern w:val="0"/>
          <w:lang w:val="es-ES" w:eastAsia="es-CR"/>
          <w14:ligatures w14:val="none"/>
        </w:rPr>
        <w:t xml:space="preserve">2.4 Particularidades de la oración hebrea: cadena </w:t>
      </w:r>
      <w:proofErr w:type="spellStart"/>
      <w:r w:rsidRPr="00294C7F">
        <w:rPr>
          <w:rFonts w:ascii="Calibri" w:eastAsia="Times New Roman" w:hAnsi="Calibri" w:cs="Arial"/>
          <w:color w:val="000000"/>
          <w:kern w:val="0"/>
          <w:lang w:val="es-ES" w:eastAsia="es-CR"/>
          <w14:ligatures w14:val="none"/>
        </w:rPr>
        <w:t>constructa</w:t>
      </w:r>
      <w:proofErr w:type="spellEnd"/>
    </w:p>
    <w:p w14:paraId="7A0DD7AE"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00181DEF"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t>Unidad 3: La oración verbal (II)</w:t>
      </w:r>
    </w:p>
    <w:p w14:paraId="384106B5"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3.1 Verbo perfecto</w:t>
      </w:r>
    </w:p>
    <w:p w14:paraId="31AB2007"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3.2 Verbo imperfecto</w:t>
      </w:r>
    </w:p>
    <w:p w14:paraId="0CF87E98"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294C7F">
        <w:rPr>
          <w:rFonts w:ascii="Calibri" w:eastAsia="Times New Roman" w:hAnsi="Calibri" w:cs="Arial"/>
          <w:color w:val="000000"/>
          <w:kern w:val="0"/>
          <w:lang w:val="es-ES" w:eastAsia="es-CR"/>
          <w14:ligatures w14:val="none"/>
        </w:rPr>
        <w:t xml:space="preserve">3.3 El imperativo, el </w:t>
      </w:r>
      <w:proofErr w:type="spellStart"/>
      <w:r w:rsidRPr="00294C7F">
        <w:rPr>
          <w:rFonts w:ascii="Calibri" w:eastAsia="Times New Roman" w:hAnsi="Calibri" w:cs="Arial"/>
          <w:color w:val="000000"/>
          <w:kern w:val="0"/>
          <w:lang w:val="es-ES" w:eastAsia="es-CR"/>
          <w14:ligatures w14:val="none"/>
        </w:rPr>
        <w:t>cohortativo</w:t>
      </w:r>
      <w:proofErr w:type="spellEnd"/>
      <w:r w:rsidRPr="00294C7F">
        <w:rPr>
          <w:rFonts w:ascii="Calibri" w:eastAsia="Times New Roman" w:hAnsi="Calibri" w:cs="Arial"/>
          <w:color w:val="000000"/>
          <w:kern w:val="0"/>
          <w:lang w:val="es-ES" w:eastAsia="es-CR"/>
          <w14:ligatures w14:val="none"/>
        </w:rPr>
        <w:t xml:space="preserve"> y el yusivo</w:t>
      </w:r>
    </w:p>
    <w:p w14:paraId="341D3CB9"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60AF6530"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eastAsia="es-CR"/>
          <w14:ligatures w14:val="none"/>
        </w:rPr>
      </w:pPr>
      <w:r w:rsidRPr="00294C7F">
        <w:rPr>
          <w:rFonts w:ascii="Calibri" w:eastAsia="Times New Roman" w:hAnsi="Calibri" w:cs="Arial"/>
          <w:b/>
          <w:bCs/>
          <w:color w:val="000000"/>
          <w:kern w:val="0"/>
          <w:lang w:eastAsia="es-CR"/>
          <w14:ligatures w14:val="none"/>
        </w:rPr>
        <w:lastRenderedPageBreak/>
        <w:t xml:space="preserve">Unidad 4: Sintaxis y traducción </w:t>
      </w:r>
    </w:p>
    <w:p w14:paraId="43C9D66D"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eastAsia="es-CR"/>
          <w14:ligatures w14:val="none"/>
        </w:rPr>
        <w:t>4.1</w:t>
      </w:r>
      <w:r w:rsidRPr="00294C7F">
        <w:rPr>
          <w:rFonts w:ascii="Calibri" w:eastAsia="Times New Roman" w:hAnsi="Calibri" w:cs="Arial"/>
          <w:b/>
          <w:bCs/>
          <w:color w:val="000000"/>
          <w:kern w:val="0"/>
          <w:lang w:eastAsia="es-CR"/>
          <w14:ligatures w14:val="none"/>
        </w:rPr>
        <w:t xml:space="preserve"> </w:t>
      </w:r>
      <w:r w:rsidRPr="00294C7F">
        <w:rPr>
          <w:rFonts w:ascii="Calibri" w:eastAsia="Times New Roman" w:hAnsi="Calibri" w:cs="Arial"/>
          <w:color w:val="000000"/>
          <w:kern w:val="0"/>
          <w:lang w:val="es-ES_tradnl" w:eastAsia="es-CR"/>
          <w14:ligatures w14:val="none"/>
        </w:rPr>
        <w:t>La oración hebrea: tiempos narrativos</w:t>
      </w:r>
    </w:p>
    <w:p w14:paraId="3133F455"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 w:eastAsia="es-CR"/>
          <w14:ligatures w14:val="none"/>
        </w:rPr>
      </w:pPr>
      <w:r w:rsidRPr="00294C7F">
        <w:rPr>
          <w:rFonts w:ascii="Calibri" w:eastAsia="Times New Roman" w:hAnsi="Calibri" w:cs="Arial"/>
          <w:color w:val="000000"/>
          <w:kern w:val="0"/>
          <w:lang w:val="es-ES" w:eastAsia="es-CR"/>
          <w14:ligatures w14:val="none"/>
        </w:rPr>
        <w:t xml:space="preserve">4.2 Partícula relativa </w:t>
      </w:r>
      <w:proofErr w:type="spellStart"/>
      <w:r w:rsidRPr="00294C7F">
        <w:rPr>
          <w:rFonts w:ascii="Calibri" w:eastAsia="Times New Roman" w:hAnsi="Calibri" w:cs="Arial"/>
          <w:color w:val="000000"/>
          <w:kern w:val="0"/>
          <w:lang w:val="es-ES" w:eastAsia="es-CR"/>
          <w14:ligatures w14:val="none"/>
        </w:rPr>
        <w:t>asher</w:t>
      </w:r>
      <w:proofErr w:type="spellEnd"/>
    </w:p>
    <w:p w14:paraId="31312776"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4.3 Sufijos pronominales</w:t>
      </w:r>
    </w:p>
    <w:p w14:paraId="45C3B7C1"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4.4 Uso del aparato crítico</w:t>
      </w:r>
    </w:p>
    <w:p w14:paraId="006D3172"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4.5 El hebreo y sus géneros literarios</w:t>
      </w:r>
    </w:p>
    <w:p w14:paraId="780E9D14"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2"/>
          <w:szCs w:val="2"/>
          <w:lang w:val="es-ES_tradnl" w:eastAsia="es-CR"/>
          <w14:ligatures w14:val="none"/>
        </w:rPr>
      </w:pPr>
    </w:p>
    <w:p w14:paraId="63AD1116"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t xml:space="preserve">V. Metodología </w:t>
      </w:r>
    </w:p>
    <w:p w14:paraId="017551F0"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ES"/>
          <w14:ligatures w14:val="none"/>
        </w:rPr>
      </w:pPr>
    </w:p>
    <w:p w14:paraId="0CD5089B"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ES"/>
          <w14:ligatures w14:val="none"/>
        </w:rPr>
      </w:pPr>
      <w:r w:rsidRPr="00294C7F">
        <w:rPr>
          <w:rFonts w:ascii="Calibri" w:eastAsia="Times New Roman" w:hAnsi="Calibri" w:cs="Arial"/>
          <w:color w:val="000000"/>
          <w:kern w:val="0"/>
          <w:lang w:val="es-ES" w:eastAsia="es-ES"/>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63B7E06C"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ES"/>
          <w14:ligatures w14:val="none"/>
        </w:rPr>
      </w:pPr>
      <w:r w:rsidRPr="00294C7F">
        <w:rPr>
          <w:rFonts w:ascii="Calibri" w:eastAsia="Times New Roman" w:hAnsi="Calibri" w:cs="Arial"/>
          <w:color w:val="000000"/>
          <w:kern w:val="0"/>
          <w:lang w:val="es-ES" w:eastAsia="es-ES"/>
          <w14:ligatures w14:val="none"/>
        </w:rPr>
        <w:t xml:space="preserve">La metodología del curso es teórico-práctica, enfatizando el desarrollo de los conocimientos y competencias introductorias para la traducción del hebreo bíblico. En los encuentros sincrónicos virtuales la persona docente aportará los elementos gramaticales esenciales necesarios para el desarrollo de las prácticas y tareas y se realizarán ejercicios orales de lectura y traducción.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Así pues, la persona estudiante podrá consultar el video de la sesión sincrónica y las lecturas para su estudio personal que será clave para la comprensión y aplicación de las normas de escritura, gramaticales y de traducción. La memorización del vocabulario es necesario para el ejercicio de traducción, como también el manejo del Léxico Hebreo-Español. Dado que el lenguaje se visualiza como producto de una cultura particular, se busca, más allá de la traducción, la comprensión de elementos de trasfondo.  La persona docente verificará, por medio de pequeñas pruebas en la plataforma, el avance semanal de los y las estudiantes, para así fortalecer los aspectos que así lo requieran y orientar a cada estudiante en su proceso de estudio. </w:t>
      </w:r>
    </w:p>
    <w:p w14:paraId="20298AD5"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ES"/>
          <w14:ligatures w14:val="none"/>
        </w:rPr>
      </w:pPr>
    </w:p>
    <w:p w14:paraId="74BFC546"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ES"/>
          <w14:ligatures w14:val="none"/>
        </w:rPr>
      </w:pPr>
      <w:r w:rsidRPr="00294C7F">
        <w:rPr>
          <w:rFonts w:ascii="Calibri" w:eastAsia="Times New Roman" w:hAnsi="Calibri" w:cs="Arial"/>
          <w:b/>
          <w:bCs/>
          <w:color w:val="000000"/>
          <w:kern w:val="0"/>
          <w:lang w:val="es-ES_tradnl" w:eastAsia="es-ES"/>
          <w14:ligatures w14:val="none"/>
        </w:rPr>
        <w:t xml:space="preserve">VI. Estrategias de aprendizaje  </w:t>
      </w:r>
    </w:p>
    <w:p w14:paraId="7BFFFB99"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ES"/>
          <w14:ligatures w14:val="none"/>
        </w:rPr>
      </w:pPr>
    </w:p>
    <w:p w14:paraId="26640F73"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ES"/>
          <w14:ligatures w14:val="none"/>
        </w:rPr>
      </w:pPr>
      <w:r w:rsidRPr="00294C7F">
        <w:rPr>
          <w:rFonts w:ascii="Calibri" w:eastAsia="Times New Roman" w:hAnsi="Calibri" w:cs="Arial"/>
          <w:color w:val="000000"/>
          <w:kern w:val="0"/>
          <w:lang w:val="es-ES_tradnl" w:eastAsia="es-ES"/>
          <w14:ligatures w14:val="none"/>
        </w:rPr>
        <w:t xml:space="preserve">Dado que el curso busca desarrollar competencias específicas en el manejo del idioma hebreo (bíblico) para la traducción y exégesis, las estrategias de aprendizaje se enfocan en la memorización de vocabulario, ejercicios prácticos de identificación y traducción, como también el reforzamiento de las reglas de ortografía y gramática. Cada estudiante estudiará los materiales ubicados en el aula virtual y realizará prácticas semanales en la plataforma. </w:t>
      </w:r>
    </w:p>
    <w:p w14:paraId="67B173C9"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ES"/>
          <w14:ligatures w14:val="none"/>
        </w:rPr>
      </w:pPr>
      <w:r w:rsidRPr="00294C7F">
        <w:rPr>
          <w:rFonts w:ascii="Calibri" w:eastAsia="Times New Roman" w:hAnsi="Calibri" w:cs="Arial"/>
          <w:color w:val="000000"/>
          <w:kern w:val="0"/>
          <w:lang w:val="es-ES_tradnl" w:eastAsia="es-ES"/>
          <w14:ligatures w14:val="none"/>
        </w:rPr>
        <w:lastRenderedPageBreak/>
        <w:t xml:space="preserve">Se utilizan las siguientes estrategias de aprendizaje: </w:t>
      </w:r>
    </w:p>
    <w:p w14:paraId="1DB3CB06"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ES"/>
          <w14:ligatures w14:val="none"/>
        </w:rPr>
      </w:pPr>
      <w:r w:rsidRPr="00294C7F">
        <w:rPr>
          <w:rFonts w:ascii="Calibri" w:eastAsia="Times New Roman" w:hAnsi="Calibri" w:cs="Arial"/>
          <w:b/>
          <w:bCs/>
          <w:color w:val="000000"/>
          <w:kern w:val="0"/>
          <w:lang w:val="es-ES" w:eastAsia="es-ES"/>
          <w14:ligatures w14:val="none"/>
        </w:rPr>
        <w:t>a) Encuentro sincrónico virtual:</w:t>
      </w:r>
      <w:r w:rsidRPr="00294C7F">
        <w:rPr>
          <w:rFonts w:ascii="Calibri" w:eastAsia="Times New Roman" w:hAnsi="Calibri" w:cs="Arial"/>
          <w:color w:val="000000"/>
          <w:kern w:val="0"/>
          <w:lang w:val="es-ES" w:eastAsia="es-ES"/>
          <w14:ligatures w14:val="none"/>
        </w:rPr>
        <w:t xml:space="preserve"> Los encuentros sincrónicos virtuales son actividades con valor formativo que se realizan en las sesiones 1-5 y 6-14. Por la naturaleza del curso, son de particular importancia ya que en ellos se aclaran los insumos de la sesión y se abordan dudas sobre los aspectos gramaticales y de traducción. Además, se realizan ejercicios y traducciones orales. </w:t>
      </w:r>
    </w:p>
    <w:p w14:paraId="15807954"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 w:eastAsia="es-ES"/>
          <w14:ligatures w14:val="none"/>
        </w:rPr>
      </w:pPr>
      <w:r w:rsidRPr="00294C7F">
        <w:rPr>
          <w:rFonts w:ascii="Calibri" w:eastAsia="Times New Roman" w:hAnsi="Calibri" w:cs="Arial"/>
          <w:b/>
          <w:bCs/>
          <w:color w:val="000000"/>
          <w:kern w:val="0"/>
          <w:lang w:val="es-ES" w:eastAsia="es-ES"/>
          <w14:ligatures w14:val="none"/>
        </w:rPr>
        <w:t xml:space="preserve">b) Quiz de comprobación: </w:t>
      </w:r>
      <w:r w:rsidRPr="00294C7F">
        <w:rPr>
          <w:rFonts w:ascii="Calibri" w:eastAsia="Times New Roman" w:hAnsi="Calibri" w:cs="Arial"/>
          <w:color w:val="000000"/>
          <w:kern w:val="0"/>
          <w:lang w:val="es-ES" w:eastAsia="es-ES"/>
          <w14:ligatures w14:val="none"/>
        </w:rPr>
        <w:t xml:space="preserve">Durante doce sesiones los y las estudiantes realizarán un breve quiz que comprobará la comprensión del material estudiado y el conocimiento del vocabulario. El quiz se desarrollará con la herramienta de cuestionario en el aula virtual de la plataforma. </w:t>
      </w:r>
      <w:r w:rsidRPr="001C433D">
        <w:rPr>
          <w:rFonts w:ascii="Calibri" w:eastAsia="Times New Roman" w:hAnsi="Calibri" w:cs="Arial"/>
          <w:color w:val="0070C0"/>
          <w:kern w:val="0"/>
          <w:lang w:val="es-ES" w:eastAsia="es-ES"/>
          <w14:ligatures w14:val="none"/>
        </w:rPr>
        <w:t>Cada quiz se habilita durante un plazo específico y al ingresar tendrá tiempo limitado para su resolución</w:t>
      </w:r>
      <w:r w:rsidRPr="00294C7F">
        <w:rPr>
          <w:rFonts w:ascii="Calibri" w:eastAsia="Times New Roman" w:hAnsi="Calibri" w:cs="Arial"/>
          <w:color w:val="000000"/>
          <w:kern w:val="0"/>
          <w:lang w:val="es-ES" w:eastAsia="es-ES"/>
          <w14:ligatures w14:val="none"/>
        </w:rPr>
        <w:t xml:space="preserve">. </w:t>
      </w:r>
    </w:p>
    <w:p w14:paraId="7CBB3E50"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 w:eastAsia="es-ES"/>
          <w14:ligatures w14:val="none"/>
        </w:rPr>
      </w:pPr>
      <w:r w:rsidRPr="00294C7F">
        <w:rPr>
          <w:rFonts w:ascii="Calibri" w:eastAsia="Times New Roman" w:hAnsi="Calibri" w:cs="Arial"/>
          <w:b/>
          <w:bCs/>
          <w:color w:val="000000"/>
          <w:kern w:val="0"/>
          <w:lang w:val="es-ES" w:eastAsia="es-ES"/>
          <w14:ligatures w14:val="none"/>
        </w:rPr>
        <w:t xml:space="preserve">c) Tarea individual: </w:t>
      </w:r>
      <w:r w:rsidRPr="00294C7F">
        <w:rPr>
          <w:rFonts w:ascii="Calibri" w:eastAsia="Times New Roman" w:hAnsi="Calibri" w:cs="Arial"/>
          <w:color w:val="000000"/>
          <w:kern w:val="0"/>
          <w:lang w:val="es-ES" w:eastAsia="es-ES"/>
          <w14:ligatures w14:val="none"/>
        </w:rPr>
        <w:t xml:space="preserve">Las tareas individuales son ejercicios asignados para reforzar las competencias en el uso del vocabulario y los aspectos gramaticales del idioma hebreo. Se realizarán un total de diez tareas. La mayoría de estas son de traducción, por lo que se puede trabajar en la versión Word o PDF del documento, o bien imprimir y entregar un escaneo o una foto de la tarea completada. </w:t>
      </w:r>
    </w:p>
    <w:p w14:paraId="3652891C"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ES"/>
          <w14:ligatures w14:val="none"/>
        </w:rPr>
      </w:pPr>
      <w:r w:rsidRPr="00294C7F">
        <w:rPr>
          <w:rFonts w:ascii="Calibri" w:eastAsia="Times New Roman" w:hAnsi="Calibri" w:cs="Arial"/>
          <w:b/>
          <w:bCs/>
          <w:color w:val="000000"/>
          <w:kern w:val="0"/>
          <w:lang w:val="es-ES_tradnl" w:eastAsia="es-ES"/>
          <w14:ligatures w14:val="none"/>
        </w:rPr>
        <w:t xml:space="preserve">d) Foro: </w:t>
      </w:r>
      <w:r w:rsidRPr="00294C7F">
        <w:rPr>
          <w:rFonts w:ascii="Calibri" w:eastAsia="Times New Roman" w:hAnsi="Calibri" w:cs="Arial"/>
          <w:color w:val="000000"/>
          <w:kern w:val="0"/>
          <w:lang w:val="es-ES_tradnl" w:eastAsia="es-ES"/>
          <w14:ligatures w14:val="none"/>
        </w:rPr>
        <w:t xml:space="preserve">Los foros temáticos que se realizan en dos sesiones buscarán aplicar aspectos gramaticales a la resolución de problemas de traducción. En cada foro se aportarán textos hebreos y preguntas para discusión. </w:t>
      </w:r>
    </w:p>
    <w:p w14:paraId="1762CF5E"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ES"/>
          <w14:ligatures w14:val="none"/>
        </w:rPr>
      </w:pPr>
      <w:r w:rsidRPr="00294C7F">
        <w:rPr>
          <w:rFonts w:ascii="Calibri" w:eastAsia="Times New Roman" w:hAnsi="Calibri" w:cs="Arial"/>
          <w:b/>
          <w:bCs/>
          <w:color w:val="000000"/>
          <w:kern w:val="0"/>
          <w:lang w:val="es-ES" w:eastAsia="es-ES"/>
          <w14:ligatures w14:val="none"/>
        </w:rPr>
        <w:t xml:space="preserve">e) Examen: </w:t>
      </w:r>
      <w:r w:rsidRPr="00294C7F">
        <w:rPr>
          <w:rFonts w:ascii="Calibri" w:eastAsia="Times New Roman" w:hAnsi="Calibri" w:cs="Arial"/>
          <w:color w:val="000000"/>
          <w:kern w:val="0"/>
          <w:lang w:val="es-ES" w:eastAsia="es-ES"/>
          <w14:ligatures w14:val="none"/>
        </w:rPr>
        <w:t xml:space="preserve">Se realizarán dos exámenes, a través de los cuales se valorarán los aprendizajes y las competencias desarrolladas en forma acumulativa a través de ejercicios de traducción y explicación de normas gramaticales. Ambos se desarrollarán en la herramienta de cuestionario en el aula virtual de la plataforma. </w:t>
      </w:r>
      <w:r w:rsidRPr="001C433D">
        <w:rPr>
          <w:rFonts w:ascii="Calibri" w:eastAsia="Times New Roman" w:hAnsi="Calibri" w:cs="Arial"/>
          <w:color w:val="0070C0"/>
          <w:kern w:val="0"/>
          <w:lang w:val="es-ES" w:eastAsia="es-ES"/>
          <w14:ligatures w14:val="none"/>
        </w:rPr>
        <w:t>Cada examen se habilita durante un plazo específico y la ruta y al ingresar al examen tendrá un tiempo limitado para su resolución</w:t>
      </w:r>
      <w:r w:rsidRPr="00294C7F">
        <w:rPr>
          <w:rFonts w:ascii="Calibri" w:eastAsia="Times New Roman" w:hAnsi="Calibri" w:cs="Arial"/>
          <w:color w:val="000000"/>
          <w:kern w:val="0"/>
          <w:lang w:val="es-ES" w:eastAsia="es-ES"/>
          <w14:ligatures w14:val="none"/>
        </w:rPr>
        <w:t xml:space="preserve">.  </w:t>
      </w:r>
    </w:p>
    <w:p w14:paraId="44B9F49B"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ES"/>
          <w14:ligatures w14:val="none"/>
        </w:rPr>
      </w:pPr>
      <w:r w:rsidRPr="00294C7F">
        <w:rPr>
          <w:rFonts w:ascii="Calibri" w:eastAsia="Times New Roman" w:hAnsi="Calibri" w:cs="Arial"/>
          <w:color w:val="000000"/>
          <w:kern w:val="0"/>
          <w:lang w:val="es-ES_tradnl" w:eastAsia="es-ES"/>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2CE9C5A3"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ES"/>
          <w14:ligatures w14:val="none"/>
        </w:rPr>
      </w:pPr>
    </w:p>
    <w:p w14:paraId="1F4FC433"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ES"/>
          <w14:ligatures w14:val="none"/>
        </w:rPr>
      </w:pPr>
      <w:r w:rsidRPr="00294C7F">
        <w:rPr>
          <w:rFonts w:ascii="Calibri" w:eastAsia="Times New Roman" w:hAnsi="Calibri" w:cs="Arial"/>
          <w:b/>
          <w:bCs/>
          <w:color w:val="000000"/>
          <w:kern w:val="0"/>
          <w:lang w:val="es-ES_tradnl" w:eastAsia="es-ES"/>
          <w14:ligatures w14:val="none"/>
        </w:rPr>
        <w:t>VII. Recursos didácticos</w:t>
      </w:r>
    </w:p>
    <w:p w14:paraId="5226A507"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2F95E8D7"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94C7F">
        <w:rPr>
          <w:rFonts w:ascii="Calibri" w:eastAsia="Times New Roman" w:hAnsi="Calibri" w:cs="Arial"/>
          <w:color w:val="000000"/>
          <w:kern w:val="0"/>
          <w:lang w:val="es-ES" w:eastAsia="es-ES"/>
          <w14:ligatures w14:val="none"/>
        </w:rPr>
        <w:t>Para lograr los objetivos del curso, desarrollar los contenidos y la metodología propuesta se hará uso de los siguientes recursos didácticos:</w:t>
      </w:r>
    </w:p>
    <w:p w14:paraId="25125E24"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4CB26358"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94C7F">
        <w:rPr>
          <w:rFonts w:ascii="Calibri" w:eastAsia="Times New Roman" w:hAnsi="Calibri" w:cs="Arial"/>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7299FFC2"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18F598AF"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94C7F">
        <w:rPr>
          <w:rFonts w:ascii="Calibri" w:eastAsia="Times New Roman" w:hAnsi="Calibri" w:cs="Arial"/>
          <w:color w:val="000000"/>
          <w:kern w:val="0"/>
          <w:lang w:val="es-ES" w:eastAsia="es-ES"/>
          <w14:ligatures w14:val="none"/>
        </w:rPr>
        <w:t>b) Lecturas complementarias en algunas de las sesiones que se asignan para su lectura con el fin de ampliar las temáticas. En este curso las lecturas se toman, sobre todo, de textos de gramática hebrea. Realizar estas lecturas es opcional.</w:t>
      </w:r>
    </w:p>
    <w:p w14:paraId="20EF37EF"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144194CF"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94C7F">
        <w:rPr>
          <w:rFonts w:ascii="Calibri" w:eastAsia="Times New Roman" w:hAnsi="Calibri" w:cs="Arial"/>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32F67987"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34A10FF4"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94C7F">
        <w:rPr>
          <w:rFonts w:ascii="Calibri" w:eastAsia="Times New Roman" w:hAnsi="Calibri" w:cs="Arial"/>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y mediante la </w:t>
      </w:r>
      <w:r w:rsidRPr="00294C7F">
        <w:rPr>
          <w:rFonts w:ascii="Calibri" w:eastAsia="Times New Roman" w:hAnsi="Calibri" w:cs="Arial"/>
          <w:color w:val="000000"/>
          <w:kern w:val="0"/>
          <w:lang w:val="es-ES" w:eastAsia="es-ES"/>
          <w14:ligatures w14:val="none"/>
        </w:rPr>
        <w:lastRenderedPageBreak/>
        <w:t xml:space="preserve">herramienta Big Blue </w:t>
      </w:r>
      <w:proofErr w:type="spellStart"/>
      <w:r w:rsidRPr="00294C7F">
        <w:rPr>
          <w:rFonts w:ascii="Calibri" w:eastAsia="Times New Roman" w:hAnsi="Calibri" w:cs="Arial"/>
          <w:color w:val="000000"/>
          <w:kern w:val="0"/>
          <w:lang w:val="es-ES" w:eastAsia="es-ES"/>
          <w14:ligatures w14:val="none"/>
        </w:rPr>
        <w:t>Button</w:t>
      </w:r>
      <w:proofErr w:type="spellEnd"/>
      <w:r w:rsidRPr="00294C7F">
        <w:rPr>
          <w:rFonts w:ascii="Calibri" w:eastAsia="Times New Roman" w:hAnsi="Calibri" w:cs="Arial"/>
          <w:color w:val="000000"/>
          <w:kern w:val="0"/>
          <w:lang w:val="es-ES" w:eastAsia="es-ES"/>
          <w14:ligatures w14:val="none"/>
        </w:rPr>
        <w:t xml:space="preserve"> en la plataforma Moodle.</w:t>
      </w:r>
    </w:p>
    <w:p w14:paraId="21EDCA4D"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3A76AA77"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kern w:val="0"/>
          <w:lang w:val="es-ES" w:eastAsia="es-ES"/>
          <w14:ligatures w14:val="none"/>
        </w:rPr>
      </w:pPr>
      <w:r w:rsidRPr="00294C7F">
        <w:rPr>
          <w:rFonts w:ascii="Calibri" w:eastAsia="Times New Roman" w:hAnsi="Calibri" w:cs="Arial"/>
          <w:color w:val="000000"/>
          <w:kern w:val="0"/>
          <w:lang w:val="es-ES" w:eastAsia="es-ES"/>
          <w14:ligatures w14:val="none"/>
        </w:rPr>
        <w:t xml:space="preserve">e) </w:t>
      </w:r>
      <w:r w:rsidRPr="00294C7F">
        <w:rPr>
          <w:rFonts w:ascii="Calibri" w:eastAsia="Times New Roman" w:hAnsi="Calibri" w:cs="Arial"/>
          <w:kern w:val="0"/>
          <w:lang w:val="es-ES" w:eastAsia="es-ES"/>
          <w14:ligatures w14:val="none"/>
        </w:rPr>
        <w:t xml:space="preserve">Guías de estudio y videos que aportan los contenidos centrales de la sesión y prácticas de ejercicio personal con su respectiva resolución. En este curso las Guías reúnen los elementos principales de la gramática y vocabulario hebreo que debe conocer la persona estudiante para cada sesión. </w:t>
      </w:r>
    </w:p>
    <w:p w14:paraId="75765D6F"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kern w:val="0"/>
          <w:lang w:val="es-ES" w:eastAsia="es-ES"/>
          <w14:ligatures w14:val="none"/>
        </w:rPr>
      </w:pPr>
    </w:p>
    <w:p w14:paraId="58EB7318"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ES"/>
          <w14:ligatures w14:val="none"/>
        </w:rPr>
      </w:pPr>
      <w:r w:rsidRPr="00294C7F">
        <w:rPr>
          <w:rFonts w:ascii="Calibri" w:eastAsia="Times New Roman" w:hAnsi="Calibri" w:cs="Arial"/>
          <w:kern w:val="0"/>
          <w:lang w:val="es-ES" w:eastAsia="es-ES"/>
          <w14:ligatures w14:val="none"/>
        </w:rPr>
        <w:t xml:space="preserve">f) Para la búsqueda de términos hebreos y su traducción se hará uso del </w:t>
      </w:r>
      <w:hyperlink r:id="rId266">
        <w:r w:rsidRPr="00294C7F">
          <w:rPr>
            <w:rFonts w:ascii="Calibri" w:eastAsia="Times New Roman" w:hAnsi="Calibri" w:cs="Arial"/>
            <w:i/>
            <w:iCs/>
            <w:kern w:val="0"/>
            <w:lang w:val="es-ES_tradnl" w:eastAsia="es-ES"/>
            <w14:ligatures w14:val="none"/>
          </w:rPr>
          <w:t>Léxico Hebreo-Español</w:t>
        </w:r>
      </w:hyperlink>
      <w:r w:rsidRPr="00294C7F">
        <w:rPr>
          <w:rFonts w:ascii="Calibri" w:eastAsia="Times New Roman" w:hAnsi="Calibri" w:cs="Arial"/>
          <w:i/>
          <w:iCs/>
          <w:kern w:val="0"/>
          <w:lang w:val="es-ES_tradnl" w:eastAsia="es-ES"/>
          <w14:ligatures w14:val="none"/>
        </w:rPr>
        <w:t xml:space="preserve"> </w:t>
      </w:r>
      <w:r w:rsidRPr="00294C7F">
        <w:rPr>
          <w:rFonts w:ascii="Calibri" w:eastAsia="Times New Roman" w:hAnsi="Calibri" w:cs="Arial"/>
          <w:kern w:val="0"/>
          <w:lang w:val="es-ES_tradnl" w:eastAsia="es-ES"/>
          <w14:ligatures w14:val="none"/>
        </w:rPr>
        <w:t>de Pedro Ortiz, que se encuentra disponible para su descarga en el repositorio institucional de la Pontificia Universidad Javeriana de Colombina, cuya editorial produjo del libro (ver datos en la bibliografía).</w:t>
      </w:r>
    </w:p>
    <w:p w14:paraId="5BAB3EA7"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ES"/>
          <w14:ligatures w14:val="none"/>
        </w:rPr>
      </w:pPr>
    </w:p>
    <w:p w14:paraId="538F6BD3"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kern w:val="0"/>
          <w:lang w:val="es-ES" w:eastAsia="es-ES"/>
          <w14:ligatures w14:val="none"/>
        </w:rPr>
      </w:pPr>
      <w:r w:rsidRPr="00294C7F">
        <w:rPr>
          <w:rFonts w:ascii="Calibri" w:eastAsia="Times New Roman" w:hAnsi="Calibri" w:cs="Arial"/>
          <w:kern w:val="0"/>
          <w:lang w:val="es-ES_tradnl" w:eastAsia="es-ES"/>
          <w14:ligatures w14:val="none"/>
        </w:rPr>
        <w:t xml:space="preserve">g) La Biblia Hebraica </w:t>
      </w:r>
      <w:proofErr w:type="spellStart"/>
      <w:r w:rsidRPr="00294C7F">
        <w:rPr>
          <w:rFonts w:ascii="Calibri" w:eastAsia="Times New Roman" w:hAnsi="Calibri" w:cs="Arial"/>
          <w:kern w:val="0"/>
          <w:lang w:val="es-ES_tradnl" w:eastAsia="es-ES"/>
          <w14:ligatures w14:val="none"/>
        </w:rPr>
        <w:t>Stuttgartensia</w:t>
      </w:r>
      <w:proofErr w:type="spellEnd"/>
      <w:r w:rsidRPr="00294C7F">
        <w:rPr>
          <w:rFonts w:ascii="Calibri" w:eastAsia="Times New Roman" w:hAnsi="Calibri" w:cs="Arial"/>
          <w:kern w:val="0"/>
          <w:lang w:val="es-ES_tradnl" w:eastAsia="es-ES"/>
          <w14:ligatures w14:val="none"/>
        </w:rPr>
        <w:t xml:space="preserve"> (BHS) es la Biblia Hebraica completa más accesible para el estudio del hebreo bíblico y se puede consultar en la </w:t>
      </w:r>
      <w:hyperlink r:id="rId267">
        <w:r w:rsidRPr="00294C7F">
          <w:rPr>
            <w:rFonts w:ascii="Calibri" w:eastAsia="Times New Roman" w:hAnsi="Calibri" w:cs="Arial"/>
            <w:kern w:val="0"/>
            <w:lang w:val="es-ES_tradnl" w:eastAsia="es-ES"/>
            <w14:ligatures w14:val="none"/>
          </w:rPr>
          <w:t>página de los editores</w:t>
        </w:r>
      </w:hyperlink>
      <w:r w:rsidRPr="00294C7F">
        <w:rPr>
          <w:rFonts w:ascii="Calibri" w:eastAsia="Times New Roman" w:hAnsi="Calibri" w:cs="Arial"/>
          <w:kern w:val="0"/>
          <w:lang w:val="es-ES_tradnl" w:eastAsia="es-ES"/>
          <w14:ligatures w14:val="none"/>
        </w:rPr>
        <w:t xml:space="preserve"> (ver datos en la bibliografía).</w:t>
      </w:r>
    </w:p>
    <w:p w14:paraId="402871B7"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6A9F612E"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94C7F">
        <w:rPr>
          <w:rFonts w:ascii="Calibri" w:eastAsia="Times New Roman" w:hAnsi="Calibri" w:cs="Arial"/>
          <w:color w:val="000000"/>
          <w:kern w:val="0"/>
          <w:lang w:val="es-ES" w:eastAsia="es-ES"/>
          <w14:ligatures w14:val="none"/>
        </w:rPr>
        <w:t xml:space="preserve">h) También puede disponer de las bases de datos, revistas en línea, repositorios y buscadores especializados a los cuales puede acceder mediante la Biblioteca Enrique </w:t>
      </w:r>
      <w:proofErr w:type="spellStart"/>
      <w:r w:rsidRPr="00294C7F">
        <w:rPr>
          <w:rFonts w:ascii="Calibri" w:eastAsia="Times New Roman" w:hAnsi="Calibri" w:cs="Arial"/>
          <w:color w:val="000000"/>
          <w:kern w:val="0"/>
          <w:lang w:val="es-ES" w:eastAsia="es-ES"/>
          <w14:ligatures w14:val="none"/>
        </w:rPr>
        <w:t>Strachan</w:t>
      </w:r>
      <w:proofErr w:type="spellEnd"/>
      <w:r w:rsidRPr="00294C7F">
        <w:rPr>
          <w:rFonts w:ascii="Calibri" w:eastAsia="Times New Roman" w:hAnsi="Calibri" w:cs="Arial"/>
          <w:color w:val="000000"/>
          <w:kern w:val="0"/>
          <w:lang w:val="es-ES" w:eastAsia="es-ES"/>
          <w14:ligatures w14:val="none"/>
        </w:rPr>
        <w:t xml:space="preserve"> (</w:t>
      </w:r>
      <w:hyperlink r:id="rId268">
        <w:r w:rsidRPr="00294C7F">
          <w:rPr>
            <w:rFonts w:ascii="Calibri" w:eastAsia="Times New Roman" w:hAnsi="Calibri" w:cs="Arial"/>
            <w:color w:val="0563C1"/>
            <w:kern w:val="0"/>
            <w:u w:val="single"/>
            <w:lang w:val="es-ES" w:eastAsia="es-ES"/>
            <w14:ligatures w14:val="none"/>
          </w:rPr>
          <w:t>https://www.ubl.ac.cr/biblioteca</w:t>
        </w:r>
      </w:hyperlink>
      <w:r w:rsidRPr="00294C7F">
        <w:rPr>
          <w:rFonts w:ascii="Calibri" w:eastAsia="Times New Roman" w:hAnsi="Calibri" w:cs="Arial"/>
          <w:color w:val="000000"/>
          <w:kern w:val="0"/>
          <w:lang w:val="es-ES" w:eastAsia="es-ES"/>
          <w14:ligatures w14:val="none"/>
        </w:rPr>
        <w:t>), así como consultar el Portal de Revistas de la UBL (</w:t>
      </w:r>
      <w:hyperlink r:id="rId269">
        <w:r w:rsidRPr="00294C7F">
          <w:rPr>
            <w:rFonts w:ascii="Calibri" w:eastAsia="Times New Roman" w:hAnsi="Calibri" w:cs="Arial"/>
            <w:color w:val="0563C1"/>
            <w:kern w:val="0"/>
            <w:u w:val="single"/>
            <w:lang w:val="es-ES" w:eastAsia="es-ES"/>
            <w14:ligatures w14:val="none"/>
          </w:rPr>
          <w:t>http://revistas.ubl.ac.cr/</w:t>
        </w:r>
      </w:hyperlink>
      <w:r w:rsidRPr="00294C7F">
        <w:rPr>
          <w:rFonts w:ascii="Calibri" w:eastAsia="Times New Roman" w:hAnsi="Calibri" w:cs="Arial"/>
          <w:color w:val="000000"/>
          <w:kern w:val="0"/>
          <w:lang w:val="es-ES" w:eastAsia="es-ES"/>
          <w14:ligatures w14:val="none"/>
        </w:rPr>
        <w:t>). A través del correo de la biblioteca (</w:t>
      </w:r>
      <w:hyperlink r:id="rId270">
        <w:r w:rsidRPr="00294C7F">
          <w:rPr>
            <w:rFonts w:ascii="Calibri" w:eastAsia="Times New Roman" w:hAnsi="Calibri" w:cs="Arial"/>
            <w:color w:val="0563C1"/>
            <w:kern w:val="0"/>
            <w:u w:val="single"/>
            <w:lang w:val="es-ES" w:eastAsia="es-ES"/>
            <w14:ligatures w14:val="none"/>
          </w:rPr>
          <w:t>biblioteca@ubl.ac.cr</w:t>
        </w:r>
      </w:hyperlink>
      <w:r w:rsidRPr="00294C7F">
        <w:rPr>
          <w:rFonts w:ascii="Calibri" w:eastAsia="Times New Roman" w:hAnsi="Calibri" w:cs="Arial"/>
          <w:color w:val="000000"/>
          <w:kern w:val="0"/>
          <w:lang w:val="es-ES" w:eastAsia="es-ES"/>
          <w14:ligatures w14:val="none"/>
        </w:rPr>
        <w:t xml:space="preserve">) puede solicitar recursos que se encuentren en la colección física. </w:t>
      </w:r>
    </w:p>
    <w:p w14:paraId="7F600A88"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22810808"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ES"/>
          <w14:ligatures w14:val="none"/>
        </w:rPr>
      </w:pPr>
      <w:r w:rsidRPr="00294C7F">
        <w:rPr>
          <w:rFonts w:ascii="Calibri" w:eastAsia="Times New Roman" w:hAnsi="Calibri" w:cs="Arial"/>
          <w:color w:val="000000"/>
          <w:kern w:val="0"/>
          <w:lang w:val="es-ES" w:eastAsia="es-ES"/>
          <w14:ligatures w14:val="none"/>
        </w:rPr>
        <w:t>i)</w:t>
      </w:r>
      <w:r w:rsidRPr="00294C7F">
        <w:rPr>
          <w:rFonts w:ascii="Times New Roman" w:eastAsia="Times New Roman" w:hAnsi="Times New Roman" w:cs="Arial"/>
          <w:kern w:val="0"/>
          <w:sz w:val="24"/>
          <w:szCs w:val="20"/>
          <w:lang w:val="es-ES_tradnl" w:eastAsia="es-CR"/>
          <w14:ligatures w14:val="none"/>
        </w:rPr>
        <w:t xml:space="preserve"> </w:t>
      </w:r>
      <w:r w:rsidRPr="00294C7F">
        <w:rPr>
          <w:rFonts w:ascii="Calibri" w:eastAsia="Times New Roman" w:hAnsi="Calibri" w:cs="Arial"/>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Bíblicas. Dicho espacio está disponible para todas las personas registradas en el campus virtual y se puede acceder a través del siguiente enlace: </w:t>
      </w:r>
      <w:hyperlink r:id="rId271">
        <w:r w:rsidRPr="00294C7F">
          <w:rPr>
            <w:rFonts w:ascii="Calibri" w:eastAsia="Times New Roman" w:hAnsi="Calibri" w:cs="Arial"/>
            <w:color w:val="0563C1"/>
            <w:kern w:val="0"/>
            <w:u w:val="single"/>
            <w:lang w:val="es-ES_tradnl" w:eastAsia="es-CR"/>
            <w14:ligatures w14:val="none"/>
          </w:rPr>
          <w:t>https://campus.ubl.ac.cr/course/index.php?categoryid=186</w:t>
        </w:r>
      </w:hyperlink>
    </w:p>
    <w:p w14:paraId="4B1DE1DD"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ES"/>
          <w14:ligatures w14:val="none"/>
        </w:rPr>
      </w:pPr>
    </w:p>
    <w:p w14:paraId="546EB5A6"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ES"/>
          <w14:ligatures w14:val="none"/>
        </w:rPr>
      </w:pPr>
      <w:r w:rsidRPr="00294C7F">
        <w:rPr>
          <w:rFonts w:ascii="Calibri" w:eastAsia="Times New Roman" w:hAnsi="Calibri" w:cs="Arial"/>
          <w:color w:val="000000"/>
          <w:kern w:val="0"/>
          <w:lang w:val="es-ES" w:eastAsia="es-ES"/>
          <w14:ligatures w14:val="none"/>
        </w:rPr>
        <w:t>j) Mediante el campus virtual accederá al espacio de soporte técnico, en el cual puede evacuar sus dudas o preguntas frecuentes y al correo electrónico para comunicarse con la persona docente.</w:t>
      </w:r>
    </w:p>
    <w:p w14:paraId="363B7D64"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2346483C"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5A4DF6A5"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7BFBF167"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0B68F7FA"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54FDF987"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2E5A835D"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616E6006"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6266ACD4"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18013B60"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024F9D1B"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434AD65F"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290ED1E2"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38968DA3"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lastRenderedPageBreak/>
        <w:t>VIII. Cronograma de trabajo</w:t>
      </w:r>
    </w:p>
    <w:p w14:paraId="02C48B72"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tbl>
      <w:tblPr>
        <w:tblStyle w:val="TableGrid5"/>
        <w:tblW w:w="9776" w:type="dxa"/>
        <w:jc w:val="center"/>
        <w:tblLayout w:type="fixed"/>
        <w:tblLook w:val="04A0" w:firstRow="1" w:lastRow="0" w:firstColumn="1" w:lastColumn="0" w:noHBand="0" w:noVBand="1"/>
      </w:tblPr>
      <w:tblGrid>
        <w:gridCol w:w="1144"/>
        <w:gridCol w:w="2308"/>
        <w:gridCol w:w="3206"/>
        <w:gridCol w:w="3118"/>
      </w:tblGrid>
      <w:tr w:rsidR="00294C7F" w:rsidRPr="00294C7F" w14:paraId="0DFD802E" w14:textId="77777777" w:rsidTr="4C9C2619">
        <w:trPr>
          <w:trHeight w:val="463"/>
          <w:jc w:val="center"/>
        </w:trPr>
        <w:tc>
          <w:tcPr>
            <w:tcW w:w="1144" w:type="dxa"/>
            <w:vMerge w:val="restart"/>
            <w:vAlign w:val="center"/>
          </w:tcPr>
          <w:p w14:paraId="4926571A"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sz w:val="24"/>
                <w:szCs w:val="20"/>
                <w:lang w:val="es-ES_tradnl" w:eastAsia="es-CR"/>
              </w:rPr>
            </w:pPr>
            <w:r w:rsidRPr="00294C7F">
              <w:rPr>
                <w:rFonts w:asciiTheme="minorHAnsi" w:eastAsia="Times New Roman" w:hAnsiTheme="minorHAnsi" w:cstheme="minorHAnsi"/>
                <w:b/>
                <w:bCs/>
                <w:color w:val="000000"/>
                <w:sz w:val="24"/>
                <w:szCs w:val="20"/>
                <w:lang w:val="es-ES_tradnl" w:eastAsia="es-CR"/>
              </w:rPr>
              <w:t>Sesión</w:t>
            </w:r>
          </w:p>
          <w:p w14:paraId="5EE84D3F"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sz w:val="24"/>
                <w:szCs w:val="20"/>
                <w:lang w:val="es-ES_tradnl" w:eastAsia="es-CR"/>
              </w:rPr>
            </w:pPr>
            <w:r w:rsidRPr="00294C7F">
              <w:rPr>
                <w:rFonts w:asciiTheme="minorHAnsi" w:eastAsia="Times New Roman" w:hAnsiTheme="minorHAnsi" w:cstheme="minorHAnsi"/>
                <w:b/>
                <w:bCs/>
                <w:color w:val="000000"/>
                <w:sz w:val="24"/>
                <w:szCs w:val="20"/>
                <w:lang w:val="es-ES_tradnl" w:eastAsia="es-CR"/>
              </w:rPr>
              <w:t>(semana)</w:t>
            </w:r>
          </w:p>
        </w:tc>
        <w:tc>
          <w:tcPr>
            <w:tcW w:w="2308" w:type="dxa"/>
            <w:vMerge w:val="restart"/>
            <w:vAlign w:val="center"/>
          </w:tcPr>
          <w:p w14:paraId="10E861B3"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sz w:val="24"/>
                <w:szCs w:val="20"/>
                <w:lang w:val="es-ES_tradnl" w:eastAsia="es-CR"/>
              </w:rPr>
            </w:pPr>
            <w:r w:rsidRPr="00294C7F">
              <w:rPr>
                <w:rFonts w:asciiTheme="minorHAnsi" w:eastAsia="Times New Roman" w:hAnsiTheme="minorHAnsi" w:cstheme="minorHAnsi"/>
                <w:b/>
                <w:bCs/>
                <w:color w:val="000000"/>
                <w:sz w:val="24"/>
                <w:szCs w:val="20"/>
                <w:lang w:val="es-ES_tradnl" w:eastAsia="es-CR"/>
              </w:rPr>
              <w:t>Contenidos temáticos</w:t>
            </w:r>
          </w:p>
        </w:tc>
        <w:tc>
          <w:tcPr>
            <w:tcW w:w="6324" w:type="dxa"/>
            <w:gridSpan w:val="2"/>
            <w:vAlign w:val="center"/>
          </w:tcPr>
          <w:p w14:paraId="3DF8D483"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sz w:val="24"/>
                <w:szCs w:val="20"/>
                <w:lang w:val="es-ES_tradnl" w:eastAsia="es-CR"/>
              </w:rPr>
            </w:pPr>
            <w:r w:rsidRPr="00294C7F">
              <w:rPr>
                <w:rFonts w:asciiTheme="minorHAnsi" w:eastAsia="Times New Roman" w:hAnsiTheme="minorHAnsi" w:cstheme="minorHAnsi"/>
                <w:b/>
                <w:bCs/>
                <w:color w:val="000000"/>
                <w:sz w:val="24"/>
                <w:szCs w:val="20"/>
                <w:lang w:val="es-ES_tradnl" w:eastAsia="es-CR"/>
              </w:rPr>
              <w:t>Actividades de enseñanza-aprendizaje</w:t>
            </w:r>
          </w:p>
        </w:tc>
      </w:tr>
      <w:tr w:rsidR="00294C7F" w:rsidRPr="00294C7F" w14:paraId="59625E85" w14:textId="77777777" w:rsidTr="4C9C2619">
        <w:trPr>
          <w:trHeight w:val="413"/>
          <w:jc w:val="center"/>
        </w:trPr>
        <w:tc>
          <w:tcPr>
            <w:tcW w:w="1144" w:type="dxa"/>
            <w:vMerge/>
            <w:vAlign w:val="center"/>
          </w:tcPr>
          <w:p w14:paraId="512B2F57"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sz w:val="24"/>
                <w:szCs w:val="24"/>
                <w:lang w:val="es-ES_tradnl" w:eastAsia="es-CR"/>
              </w:rPr>
            </w:pPr>
          </w:p>
        </w:tc>
        <w:tc>
          <w:tcPr>
            <w:tcW w:w="2308" w:type="dxa"/>
            <w:vMerge/>
            <w:vAlign w:val="center"/>
          </w:tcPr>
          <w:p w14:paraId="00C3F327"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sz w:val="24"/>
                <w:szCs w:val="24"/>
                <w:lang w:val="es-ES_tradnl" w:eastAsia="es-CR"/>
              </w:rPr>
            </w:pPr>
          </w:p>
        </w:tc>
        <w:tc>
          <w:tcPr>
            <w:tcW w:w="3206" w:type="dxa"/>
            <w:vAlign w:val="center"/>
          </w:tcPr>
          <w:p w14:paraId="7853CAC6"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sz w:val="24"/>
                <w:szCs w:val="20"/>
                <w:lang w:val="es-ES_tradnl" w:eastAsia="es-CR"/>
              </w:rPr>
            </w:pPr>
            <w:r w:rsidRPr="00294C7F">
              <w:rPr>
                <w:rFonts w:asciiTheme="minorHAnsi" w:eastAsia="Times New Roman" w:hAnsiTheme="minorHAnsi" w:cstheme="minorHAnsi"/>
                <w:b/>
                <w:bCs/>
                <w:color w:val="000000"/>
                <w:sz w:val="24"/>
                <w:szCs w:val="20"/>
                <w:lang w:val="es-ES_tradnl" w:eastAsia="es-CR"/>
              </w:rPr>
              <w:t>Recursos didácticos</w:t>
            </w:r>
          </w:p>
        </w:tc>
        <w:tc>
          <w:tcPr>
            <w:tcW w:w="3118" w:type="dxa"/>
            <w:vAlign w:val="center"/>
          </w:tcPr>
          <w:p w14:paraId="41970332"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sz w:val="24"/>
                <w:szCs w:val="20"/>
                <w:lang w:val="es-ES_tradnl" w:eastAsia="es-CR"/>
              </w:rPr>
            </w:pPr>
            <w:r w:rsidRPr="00294C7F">
              <w:rPr>
                <w:rFonts w:asciiTheme="minorHAnsi" w:eastAsia="Times New Roman" w:hAnsiTheme="minorHAnsi" w:cstheme="minorHAnsi"/>
                <w:b/>
                <w:bCs/>
                <w:color w:val="000000"/>
                <w:sz w:val="24"/>
                <w:szCs w:val="20"/>
                <w:lang w:val="es-ES_tradnl" w:eastAsia="es-CR"/>
              </w:rPr>
              <w:t>Actividades de aprendizaje</w:t>
            </w:r>
          </w:p>
        </w:tc>
      </w:tr>
      <w:tr w:rsidR="00294C7F" w:rsidRPr="00294C7F" w14:paraId="6D02D2A7" w14:textId="77777777" w:rsidTr="4C9C2619">
        <w:trPr>
          <w:jc w:val="center"/>
        </w:trPr>
        <w:tc>
          <w:tcPr>
            <w:tcW w:w="1144" w:type="dxa"/>
          </w:tcPr>
          <w:p w14:paraId="2DD0E77D"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424D71B7"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w:t>
            </w:r>
          </w:p>
        </w:tc>
        <w:tc>
          <w:tcPr>
            <w:tcW w:w="2308" w:type="dxa"/>
          </w:tcPr>
          <w:p w14:paraId="3010420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Unidad 1: Del alfabeto a la oración en hebreo</w:t>
            </w:r>
          </w:p>
          <w:p w14:paraId="7AC1405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62CDF58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1.1</w:t>
            </w:r>
            <w:r w:rsidRPr="00294C7F">
              <w:rPr>
                <w:rFonts w:asciiTheme="minorHAnsi" w:eastAsia="Times New Roman" w:hAnsiTheme="minorHAnsi" w:cstheme="minorHAnsi"/>
                <w:b/>
                <w:bCs/>
                <w:color w:val="000000"/>
                <w:lang w:val="es-ES_tradnl" w:eastAsia="es-CR"/>
              </w:rPr>
              <w:t xml:space="preserve"> </w:t>
            </w:r>
            <w:r w:rsidRPr="00294C7F">
              <w:rPr>
                <w:rFonts w:asciiTheme="minorHAnsi" w:eastAsia="Times New Roman" w:hAnsiTheme="minorHAnsi" w:cstheme="minorHAnsi"/>
                <w:color w:val="000000"/>
                <w:lang w:val="es-ES_tradnl" w:eastAsia="es-CR"/>
              </w:rPr>
              <w:t>El alfabeto y la caligrafía</w:t>
            </w:r>
          </w:p>
          <w:p w14:paraId="12508D84"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tc>
        <w:tc>
          <w:tcPr>
            <w:tcW w:w="3206" w:type="dxa"/>
          </w:tcPr>
          <w:p w14:paraId="3751BC26"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55ABC450"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p>
          <w:p w14:paraId="399707F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“El alfabeto hebreo”, “Algunas características de la ortografía hebrea”.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XXIII-XXIV. Estella: </w:t>
            </w:r>
            <w:r w:rsidRPr="00294C7F">
              <w:rPr>
                <w:rFonts w:asciiTheme="minorHAnsi" w:eastAsia="Times New Roman" w:hAnsiTheme="minorHAnsi" w:cstheme="minorHAnsi"/>
                <w:color w:val="000000"/>
                <w:lang w:eastAsia="es-CR"/>
              </w:rPr>
              <w:t xml:space="preserve">Verbo Divino, 2018. </w:t>
            </w:r>
            <w:r w:rsidRPr="00294C7F">
              <w:rPr>
                <w:rFonts w:asciiTheme="minorHAnsi" w:eastAsia="Times New Roman" w:hAnsiTheme="minorHAnsi" w:cstheme="minorHAnsi"/>
                <w:color w:val="0070C0"/>
                <w:lang w:eastAsia="es-CR"/>
              </w:rPr>
              <w:t>(clásico, última edición)</w:t>
            </w:r>
          </w:p>
          <w:p w14:paraId="7219F6A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69178582"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r w:rsidRPr="00294C7F">
              <w:rPr>
                <w:rFonts w:asciiTheme="minorHAnsi" w:eastAsia="Times New Roman" w:hAnsiTheme="minorHAnsi" w:cstheme="minorHAnsi"/>
                <w:b/>
                <w:bCs/>
                <w:color w:val="000000"/>
                <w:lang w:eastAsia="es-CR"/>
              </w:rPr>
              <w:t>Material complementario</w:t>
            </w:r>
          </w:p>
          <w:p w14:paraId="4669B25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p>
          <w:p w14:paraId="5FEC16A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r w:rsidRPr="00294C7F">
              <w:rPr>
                <w:rFonts w:asciiTheme="minorHAnsi" w:eastAsia="Times New Roman" w:hAnsiTheme="minorHAnsi" w:cstheme="minorHAnsi"/>
                <w:lang w:eastAsia="es-CR"/>
              </w:rPr>
              <w:t xml:space="preserve">Pérez, Miguel y Julio </w:t>
            </w:r>
            <w:proofErr w:type="spellStart"/>
            <w:r w:rsidRPr="00294C7F">
              <w:rPr>
                <w:rFonts w:asciiTheme="minorHAnsi" w:eastAsia="Times New Roman" w:hAnsiTheme="minorHAnsi" w:cstheme="minorHAnsi"/>
                <w:lang w:eastAsia="es-CR"/>
              </w:rPr>
              <w:t>Trebolle</w:t>
            </w:r>
            <w:proofErr w:type="spellEnd"/>
            <w:r w:rsidRPr="00294C7F">
              <w:rPr>
                <w:rFonts w:asciiTheme="minorHAnsi" w:eastAsia="Times New Roman" w:hAnsiTheme="minorHAnsi" w:cstheme="minorHAnsi"/>
                <w:lang w:eastAsia="es-CR"/>
              </w:rPr>
              <w:t xml:space="preserve">. “El texto hebreo del Antiguo Testamento”. En </w:t>
            </w:r>
            <w:r w:rsidRPr="00294C7F">
              <w:rPr>
                <w:rFonts w:asciiTheme="minorHAnsi" w:eastAsia="Times New Roman" w:hAnsiTheme="minorHAnsi" w:cstheme="minorHAnsi"/>
                <w:i/>
                <w:iCs/>
                <w:lang w:eastAsia="es-CR"/>
              </w:rPr>
              <w:t>Historia de la Biblia</w:t>
            </w:r>
            <w:r w:rsidRPr="00294C7F">
              <w:rPr>
                <w:rFonts w:asciiTheme="minorHAnsi" w:eastAsia="Times New Roman" w:hAnsiTheme="minorHAnsi" w:cstheme="minorHAnsi"/>
                <w:lang w:eastAsia="es-CR"/>
              </w:rPr>
              <w:t xml:space="preserve">, 149-162. Madrid: Trotta, 2006. </w:t>
            </w:r>
            <w:r w:rsidRPr="00294C7F">
              <w:rPr>
                <w:rFonts w:asciiTheme="minorHAnsi" w:eastAsia="Times New Roman" w:hAnsiTheme="minorHAnsi" w:cstheme="minorHAnsi"/>
                <w:color w:val="0070C0"/>
                <w:lang w:eastAsia="es-CR"/>
              </w:rPr>
              <w:t>(clásico, última edición)</w:t>
            </w:r>
          </w:p>
          <w:p w14:paraId="7F2D534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lang w:eastAsia="es-CR"/>
              </w:rPr>
            </w:pPr>
          </w:p>
          <w:p w14:paraId="08E1233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r w:rsidRPr="00294C7F">
              <w:rPr>
                <w:rFonts w:asciiTheme="minorHAnsi" w:eastAsia="Times New Roman" w:hAnsiTheme="minorHAnsi" w:cstheme="minorHAnsi"/>
                <w:color w:val="0070C0"/>
                <w:lang w:eastAsia="es-CR"/>
              </w:rPr>
              <w:t>Guía para la participación en un foro en la plataforma Moodle</w:t>
            </w:r>
          </w:p>
          <w:p w14:paraId="400FB218"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p>
          <w:p w14:paraId="35300B66"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r w:rsidRPr="00294C7F">
              <w:rPr>
                <w:rFonts w:asciiTheme="minorHAnsi" w:eastAsia="Times New Roman" w:hAnsiTheme="minorHAnsi" w:cstheme="minorHAnsi"/>
                <w:color w:val="0070C0"/>
                <w:lang w:eastAsia="es-CR"/>
              </w:rPr>
              <w:t xml:space="preserve">Guía para la participación mediante la herramienta Big Blue </w:t>
            </w:r>
            <w:proofErr w:type="spellStart"/>
            <w:r w:rsidRPr="00294C7F">
              <w:rPr>
                <w:rFonts w:asciiTheme="minorHAnsi" w:eastAsia="Times New Roman" w:hAnsiTheme="minorHAnsi" w:cstheme="minorHAnsi"/>
                <w:color w:val="0070C0"/>
                <w:lang w:eastAsia="es-CR"/>
              </w:rPr>
              <w:t>Button</w:t>
            </w:r>
            <w:proofErr w:type="spellEnd"/>
            <w:r w:rsidRPr="00294C7F">
              <w:rPr>
                <w:rFonts w:asciiTheme="minorHAnsi" w:eastAsia="Times New Roman" w:hAnsiTheme="minorHAnsi" w:cstheme="minorHAnsi"/>
                <w:color w:val="0070C0"/>
                <w:lang w:eastAsia="es-CR"/>
              </w:rPr>
              <w:t xml:space="preserve"> en la plataforma Moodle</w:t>
            </w:r>
          </w:p>
          <w:p w14:paraId="0F32293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1264D331" w14:textId="77777777" w:rsidR="00294C7F" w:rsidRPr="00294C7F" w:rsidRDefault="00294C7F" w:rsidP="00294C7F">
            <w:pPr>
              <w:widowControl w:val="0"/>
              <w:numPr>
                <w:ilvl w:val="0"/>
                <w:numId w:val="208"/>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foro social CAFETERÍA.</w:t>
            </w:r>
          </w:p>
          <w:p w14:paraId="4106C3F6" w14:textId="77777777" w:rsidR="00294C7F" w:rsidRPr="00294C7F" w:rsidRDefault="00294C7F" w:rsidP="00294C7F">
            <w:pPr>
              <w:widowControl w:val="0"/>
              <w:numPr>
                <w:ilvl w:val="0"/>
                <w:numId w:val="208"/>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Participación en el foro de dudas. </w:t>
            </w:r>
          </w:p>
          <w:p w14:paraId="3B9880F2" w14:textId="77777777" w:rsidR="00294C7F" w:rsidRPr="00294C7F" w:rsidRDefault="00294C7F" w:rsidP="00294C7F">
            <w:pPr>
              <w:widowControl w:val="0"/>
              <w:numPr>
                <w:ilvl w:val="0"/>
                <w:numId w:val="208"/>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Realizar la lectura de la sesión.</w:t>
            </w:r>
          </w:p>
          <w:p w14:paraId="64978FD1" w14:textId="77777777" w:rsidR="00294C7F" w:rsidRPr="00294C7F" w:rsidRDefault="00294C7F" w:rsidP="00294C7F">
            <w:pPr>
              <w:widowControl w:val="0"/>
              <w:numPr>
                <w:ilvl w:val="0"/>
                <w:numId w:val="208"/>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foro temático: ¿Por qué estudiar un idioma bíblico?</w:t>
            </w:r>
          </w:p>
          <w:p w14:paraId="25751ED7" w14:textId="77777777" w:rsidR="00294C7F" w:rsidRPr="00294C7F" w:rsidRDefault="00294C7F" w:rsidP="00294C7F">
            <w:pPr>
              <w:widowControl w:val="0"/>
              <w:numPr>
                <w:ilvl w:val="0"/>
                <w:numId w:val="208"/>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encuentro sincrónico virtual.</w:t>
            </w:r>
          </w:p>
          <w:p w14:paraId="192CF6C0" w14:textId="77777777" w:rsidR="00294C7F" w:rsidRPr="00294C7F" w:rsidRDefault="00294C7F" w:rsidP="00294C7F">
            <w:pPr>
              <w:widowControl w:val="0"/>
              <w:numPr>
                <w:ilvl w:val="0"/>
                <w:numId w:val="208"/>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1. </w:t>
            </w:r>
          </w:p>
        </w:tc>
      </w:tr>
      <w:tr w:rsidR="00294C7F" w:rsidRPr="00294C7F" w14:paraId="2F5E2D4A" w14:textId="77777777" w:rsidTr="4C9C2619">
        <w:trPr>
          <w:jc w:val="center"/>
        </w:trPr>
        <w:tc>
          <w:tcPr>
            <w:tcW w:w="1144" w:type="dxa"/>
          </w:tcPr>
          <w:p w14:paraId="205845A2"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75742028"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2</w:t>
            </w:r>
          </w:p>
        </w:tc>
        <w:tc>
          <w:tcPr>
            <w:tcW w:w="2308" w:type="dxa"/>
          </w:tcPr>
          <w:p w14:paraId="0302833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Unidad 1: Del alfabeto a la oración en hebreo</w:t>
            </w:r>
          </w:p>
          <w:p w14:paraId="1271736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25662C9D"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1.2 Vocales y semivocales</w:t>
            </w:r>
          </w:p>
          <w:p w14:paraId="5BCA51DC"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0000"/>
                <w:lang w:eastAsia="es-CR"/>
              </w:rPr>
              <w:t>1.3 Daguesh, shewa y guturales</w:t>
            </w:r>
          </w:p>
          <w:p w14:paraId="7BB3420E"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p>
        </w:tc>
        <w:tc>
          <w:tcPr>
            <w:tcW w:w="3206" w:type="dxa"/>
          </w:tcPr>
          <w:p w14:paraId="26FA0AD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617DFE5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3992561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r w:rsidRPr="00294C7F">
              <w:rPr>
                <w:rFonts w:asciiTheme="minorHAnsi" w:eastAsia="Times New Roman" w:hAnsiTheme="minorHAnsi" w:cstheme="minorHAnsi"/>
                <w:color w:val="000000"/>
                <w:lang w:eastAsia="es-CR"/>
              </w:rPr>
              <w:t>Farfán, Enrique. “Vocales”, “</w:t>
            </w:r>
            <w:proofErr w:type="spellStart"/>
            <w:r w:rsidRPr="00294C7F">
              <w:rPr>
                <w:rFonts w:asciiTheme="minorHAnsi" w:eastAsia="Times New Roman" w:hAnsiTheme="minorHAnsi" w:cstheme="minorHAnsi"/>
                <w:color w:val="000000"/>
                <w:lang w:eastAsia="es-CR"/>
              </w:rPr>
              <w:t>Sewa</w:t>
            </w:r>
            <w:proofErr w:type="spellEnd"/>
            <w:r w:rsidRPr="00294C7F">
              <w:rPr>
                <w:rFonts w:asciiTheme="minorHAnsi" w:eastAsia="Times New Roman" w:hAnsiTheme="minorHAnsi" w:cstheme="minorHAnsi"/>
                <w:color w:val="000000"/>
                <w:lang w:eastAsia="es-CR"/>
              </w:rPr>
              <w:t xml:space="preserve"> simple y compuesto”, “</w:t>
            </w:r>
            <w:proofErr w:type="spellStart"/>
            <w:r w:rsidRPr="00294C7F">
              <w:rPr>
                <w:rFonts w:asciiTheme="minorHAnsi" w:eastAsia="Times New Roman" w:hAnsiTheme="minorHAnsi" w:cstheme="minorHAnsi"/>
                <w:color w:val="000000"/>
                <w:lang w:eastAsia="es-CR"/>
              </w:rPr>
              <w:t>Dages</w:t>
            </w:r>
            <w:proofErr w:type="spellEnd"/>
            <w:r w:rsidRPr="00294C7F">
              <w:rPr>
                <w:rFonts w:asciiTheme="minorHAnsi" w:eastAsia="Times New Roman" w:hAnsiTheme="minorHAnsi" w:cstheme="minorHAnsi"/>
                <w:color w:val="000000"/>
                <w:lang w:eastAsia="es-CR"/>
              </w:rPr>
              <w:t xml:space="preserve"> y </w:t>
            </w:r>
            <w:proofErr w:type="spellStart"/>
            <w:r w:rsidRPr="00294C7F">
              <w:rPr>
                <w:rFonts w:asciiTheme="minorHAnsi" w:eastAsia="Times New Roman" w:hAnsiTheme="minorHAnsi" w:cstheme="minorHAnsi"/>
                <w:color w:val="000000"/>
                <w:lang w:eastAsia="es-CR"/>
              </w:rPr>
              <w:t>Mappiq</w:t>
            </w:r>
            <w:proofErr w:type="spellEnd"/>
            <w:r w:rsidRPr="00294C7F">
              <w:rPr>
                <w:rFonts w:asciiTheme="minorHAnsi" w:eastAsia="Times New Roman" w:hAnsiTheme="minorHAnsi" w:cstheme="minorHAnsi"/>
                <w:color w:val="000000"/>
                <w:lang w:eastAsia="es-CR"/>
              </w:rPr>
              <w:t xml:space="preserve">”. En </w:t>
            </w:r>
            <w:r w:rsidRPr="00294C7F">
              <w:rPr>
                <w:rFonts w:asciiTheme="minorHAnsi" w:eastAsia="Times New Roman" w:hAnsiTheme="minorHAnsi" w:cstheme="minorHAnsi"/>
                <w:i/>
                <w:iCs/>
                <w:color w:val="000000"/>
                <w:lang w:eastAsia="es-CR"/>
              </w:rPr>
              <w:t>Gramática elemental del hebreo bíblico</w:t>
            </w:r>
            <w:r w:rsidRPr="00294C7F">
              <w:rPr>
                <w:rFonts w:asciiTheme="minorHAnsi" w:eastAsia="Times New Roman" w:hAnsiTheme="minorHAnsi" w:cstheme="minorHAnsi"/>
                <w:color w:val="000000"/>
                <w:lang w:eastAsia="es-CR"/>
              </w:rPr>
              <w:t xml:space="preserve">, 5-11. Estella: Verbo Divino, 2018. </w:t>
            </w:r>
            <w:r w:rsidRPr="00294C7F">
              <w:rPr>
                <w:rFonts w:asciiTheme="minorHAnsi" w:eastAsia="Times New Roman" w:hAnsiTheme="minorHAnsi" w:cstheme="minorHAnsi"/>
                <w:color w:val="0070C0"/>
                <w:lang w:eastAsia="es-CR"/>
              </w:rPr>
              <w:t>(clásico, última edición)</w:t>
            </w:r>
          </w:p>
          <w:p w14:paraId="3DFCD8E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281A63D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“El </w:t>
            </w:r>
            <w:proofErr w:type="spellStart"/>
            <w:r w:rsidRPr="00294C7F">
              <w:rPr>
                <w:rFonts w:asciiTheme="minorHAnsi" w:eastAsia="Times New Roman" w:hAnsiTheme="minorHAnsi" w:cstheme="minorHAnsi"/>
                <w:color w:val="000000"/>
                <w:lang w:val="es-ES_tradnl" w:eastAsia="es-CR"/>
              </w:rPr>
              <w:t>dages</w:t>
            </w:r>
            <w:proofErr w:type="spellEnd"/>
            <w:r w:rsidRPr="00294C7F">
              <w:rPr>
                <w:rFonts w:asciiTheme="minorHAnsi" w:eastAsia="Times New Roman" w:hAnsiTheme="minorHAnsi" w:cstheme="minorHAnsi"/>
                <w:color w:val="000000"/>
                <w:lang w:val="es-ES_tradnl" w:eastAsia="es-CR"/>
              </w:rPr>
              <w:t xml:space="preserve">”, “Los puntos vocálicos”.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XXV-XXVII. Estella: </w:t>
            </w:r>
            <w:r w:rsidRPr="00294C7F">
              <w:rPr>
                <w:rFonts w:asciiTheme="minorHAnsi" w:eastAsia="Times New Roman" w:hAnsiTheme="minorHAnsi" w:cstheme="minorHAnsi"/>
                <w:color w:val="000000"/>
                <w:lang w:eastAsia="es-CR"/>
              </w:rPr>
              <w:t xml:space="preserve">Verbo Divino, 2018. </w:t>
            </w:r>
            <w:r w:rsidRPr="00294C7F">
              <w:rPr>
                <w:rFonts w:asciiTheme="minorHAnsi" w:eastAsia="Times New Roman" w:hAnsiTheme="minorHAnsi" w:cstheme="minorHAnsi"/>
                <w:color w:val="0070C0"/>
                <w:lang w:eastAsia="es-CR"/>
              </w:rPr>
              <w:t>(clásico, última edición)</w:t>
            </w:r>
          </w:p>
          <w:p w14:paraId="17744ED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6400BED4"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r w:rsidRPr="00294C7F">
              <w:rPr>
                <w:rFonts w:asciiTheme="minorHAnsi" w:eastAsia="Times New Roman" w:hAnsiTheme="minorHAnsi" w:cstheme="minorHAnsi"/>
                <w:b/>
                <w:bCs/>
                <w:color w:val="0070C0"/>
                <w:lang w:eastAsia="es-CR"/>
              </w:rPr>
              <w:t>Material complementario</w:t>
            </w:r>
          </w:p>
          <w:p w14:paraId="0BA5C47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p>
          <w:p w14:paraId="716F40A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70C0"/>
                <w:lang w:eastAsia="es-CR"/>
              </w:rPr>
              <w:lastRenderedPageBreak/>
              <w:t xml:space="preserve">Guía para la participación mediante la herramienta Big Blue </w:t>
            </w:r>
            <w:proofErr w:type="spellStart"/>
            <w:r w:rsidRPr="00294C7F">
              <w:rPr>
                <w:rFonts w:asciiTheme="minorHAnsi" w:eastAsia="Times New Roman" w:hAnsiTheme="minorHAnsi" w:cstheme="minorHAnsi"/>
                <w:color w:val="0070C0"/>
                <w:lang w:eastAsia="es-CR"/>
              </w:rPr>
              <w:t>Button</w:t>
            </w:r>
            <w:proofErr w:type="spellEnd"/>
            <w:r w:rsidRPr="00294C7F">
              <w:rPr>
                <w:rFonts w:asciiTheme="minorHAnsi" w:eastAsia="Times New Roman" w:hAnsiTheme="minorHAnsi" w:cstheme="minorHAnsi"/>
                <w:color w:val="0070C0"/>
                <w:lang w:eastAsia="es-CR"/>
              </w:rPr>
              <w:t xml:space="preserve"> en la plataforma Moodle</w:t>
            </w:r>
          </w:p>
          <w:p w14:paraId="541039A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0D81C186"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lastRenderedPageBreak/>
              <w:t>Realizar las lecturas de la sesión.</w:t>
            </w:r>
          </w:p>
          <w:p w14:paraId="45E9E814"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2. </w:t>
            </w:r>
          </w:p>
          <w:p w14:paraId="39791C29"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encuentro sincrónico virtual.</w:t>
            </w:r>
          </w:p>
          <w:p w14:paraId="763A2303"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Realización del quiz de comprobación 1.</w:t>
            </w:r>
          </w:p>
        </w:tc>
      </w:tr>
      <w:tr w:rsidR="00294C7F" w:rsidRPr="00294C7F" w14:paraId="3FCEFE58" w14:textId="77777777" w:rsidTr="4C9C2619">
        <w:trPr>
          <w:jc w:val="center"/>
        </w:trPr>
        <w:tc>
          <w:tcPr>
            <w:tcW w:w="1144" w:type="dxa"/>
          </w:tcPr>
          <w:p w14:paraId="4AFC4BD2"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4BF58C42"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3</w:t>
            </w:r>
          </w:p>
        </w:tc>
        <w:tc>
          <w:tcPr>
            <w:tcW w:w="2308" w:type="dxa"/>
          </w:tcPr>
          <w:p w14:paraId="2612991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Unidad 1: Del alfabeto a la oración en hebreo</w:t>
            </w:r>
          </w:p>
          <w:p w14:paraId="3286F9E4"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7F2D7C10"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1.4 Artículo definido y preposiciones</w:t>
            </w:r>
          </w:p>
          <w:p w14:paraId="0EFD62A8"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tc>
        <w:tc>
          <w:tcPr>
            <w:tcW w:w="3206" w:type="dxa"/>
          </w:tcPr>
          <w:p w14:paraId="29BE8FC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0E9EFA2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03F02FE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r w:rsidRPr="00294C7F">
              <w:rPr>
                <w:rFonts w:asciiTheme="minorHAnsi" w:eastAsia="Times New Roman" w:hAnsiTheme="minorHAnsi" w:cstheme="minorHAnsi"/>
                <w:color w:val="000000"/>
                <w:lang w:val="es-ES_tradnl" w:eastAsia="es-CR"/>
              </w:rPr>
              <w:t xml:space="preserve">Farfán, Enrique. “Fenómenos fonéticos”, “Prefijos y pronombres”, “Copulativo y otros prefijos”. En </w:t>
            </w:r>
            <w:r w:rsidRPr="00294C7F">
              <w:rPr>
                <w:rFonts w:asciiTheme="minorHAnsi" w:eastAsia="Times New Roman" w:hAnsiTheme="minorHAnsi" w:cstheme="minorHAnsi"/>
                <w:i/>
                <w:iCs/>
                <w:color w:val="000000"/>
                <w:lang w:val="es-ES_tradnl" w:eastAsia="es-CR"/>
              </w:rPr>
              <w:t>Gramática elemental del hebreo bíblico</w:t>
            </w:r>
            <w:r w:rsidRPr="00294C7F">
              <w:rPr>
                <w:rFonts w:asciiTheme="minorHAnsi" w:eastAsia="Times New Roman" w:hAnsiTheme="minorHAnsi" w:cstheme="minorHAnsi"/>
                <w:color w:val="000000"/>
                <w:lang w:val="es-ES_tradnl" w:eastAsia="es-CR"/>
              </w:rPr>
              <w:t xml:space="preserve">, 16-17 y 24-27. Estella: Verbo Divino, 2018. </w:t>
            </w:r>
            <w:r w:rsidRPr="00294C7F">
              <w:rPr>
                <w:rFonts w:asciiTheme="minorHAnsi" w:eastAsia="Times New Roman" w:hAnsiTheme="minorHAnsi" w:cstheme="minorHAnsi"/>
                <w:color w:val="0070C0"/>
                <w:lang w:eastAsia="es-CR"/>
              </w:rPr>
              <w:t>(clásico, última edición)</w:t>
            </w:r>
          </w:p>
          <w:p w14:paraId="306A29B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73CF8D9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“El artículo determinado”, “Preposiciones”, “El artículo determinado (cont.)”.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2-4 y 6-7. Estella: </w:t>
            </w:r>
            <w:r w:rsidRPr="00294C7F">
              <w:rPr>
                <w:rFonts w:asciiTheme="minorHAnsi" w:eastAsia="Times New Roman" w:hAnsiTheme="minorHAnsi" w:cstheme="minorHAnsi"/>
                <w:color w:val="000000"/>
                <w:lang w:eastAsia="es-CR"/>
              </w:rPr>
              <w:t xml:space="preserve">Verbo Divino, 2018. </w:t>
            </w:r>
            <w:r w:rsidRPr="00294C7F">
              <w:rPr>
                <w:rFonts w:asciiTheme="minorHAnsi" w:eastAsia="Times New Roman" w:hAnsiTheme="minorHAnsi" w:cstheme="minorHAnsi"/>
                <w:color w:val="0070C0"/>
                <w:lang w:eastAsia="es-CR"/>
              </w:rPr>
              <w:t>(clásico, última edición)</w:t>
            </w:r>
          </w:p>
          <w:p w14:paraId="7C7910C8"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4B85CAF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r w:rsidRPr="00294C7F">
              <w:rPr>
                <w:rFonts w:asciiTheme="minorHAnsi" w:eastAsia="Times New Roman" w:hAnsiTheme="minorHAnsi" w:cstheme="minorHAnsi"/>
                <w:b/>
                <w:bCs/>
                <w:color w:val="0070C0"/>
                <w:lang w:eastAsia="es-CR"/>
              </w:rPr>
              <w:t>Material complementario</w:t>
            </w:r>
          </w:p>
          <w:p w14:paraId="66C7EE0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p>
          <w:p w14:paraId="1F04226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r w:rsidRPr="00294C7F">
              <w:rPr>
                <w:rFonts w:asciiTheme="minorHAnsi" w:eastAsia="Times New Roman" w:hAnsiTheme="minorHAnsi" w:cstheme="minorHAnsi"/>
                <w:color w:val="0070C0"/>
                <w:lang w:eastAsia="es-CR"/>
              </w:rPr>
              <w:t xml:space="preserve">Guía para la participación mediante la herramienta Big Blue </w:t>
            </w:r>
            <w:proofErr w:type="spellStart"/>
            <w:r w:rsidRPr="00294C7F">
              <w:rPr>
                <w:rFonts w:asciiTheme="minorHAnsi" w:eastAsia="Times New Roman" w:hAnsiTheme="minorHAnsi" w:cstheme="minorHAnsi"/>
                <w:color w:val="0070C0"/>
                <w:lang w:eastAsia="es-CR"/>
              </w:rPr>
              <w:t>Button</w:t>
            </w:r>
            <w:proofErr w:type="spellEnd"/>
            <w:r w:rsidRPr="00294C7F">
              <w:rPr>
                <w:rFonts w:asciiTheme="minorHAnsi" w:eastAsia="Times New Roman" w:hAnsiTheme="minorHAnsi" w:cstheme="minorHAnsi"/>
                <w:color w:val="0070C0"/>
                <w:lang w:eastAsia="es-CR"/>
              </w:rPr>
              <w:t xml:space="preserve"> en la plataforma Moodle</w:t>
            </w:r>
          </w:p>
          <w:p w14:paraId="7CA93776"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tc>
        <w:tc>
          <w:tcPr>
            <w:tcW w:w="3118" w:type="dxa"/>
          </w:tcPr>
          <w:p w14:paraId="02C1ACD9"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Realizar las lecturas de la sesión.</w:t>
            </w:r>
          </w:p>
          <w:p w14:paraId="5B10A16D"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3. </w:t>
            </w:r>
          </w:p>
          <w:p w14:paraId="280DACF7"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encuentro sincrónico virtual.</w:t>
            </w:r>
          </w:p>
          <w:p w14:paraId="2FB14C75"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Realización del quiz de comprobación 2.</w:t>
            </w:r>
          </w:p>
        </w:tc>
      </w:tr>
      <w:tr w:rsidR="00294C7F" w:rsidRPr="00294C7F" w14:paraId="7D502836" w14:textId="77777777" w:rsidTr="4C9C2619">
        <w:trPr>
          <w:jc w:val="center"/>
        </w:trPr>
        <w:tc>
          <w:tcPr>
            <w:tcW w:w="1144" w:type="dxa"/>
          </w:tcPr>
          <w:p w14:paraId="030047A5"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3CC937F8"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4</w:t>
            </w:r>
          </w:p>
        </w:tc>
        <w:tc>
          <w:tcPr>
            <w:tcW w:w="2308" w:type="dxa"/>
          </w:tcPr>
          <w:p w14:paraId="0E74F35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Unidad 1: Del alfabeto a la oración en hebreo</w:t>
            </w:r>
          </w:p>
          <w:p w14:paraId="37A7738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2E0884C6"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0000"/>
                <w:lang w:eastAsia="es-CR"/>
              </w:rPr>
              <w:t xml:space="preserve">1.5 Sustantivo y </w:t>
            </w:r>
            <w:proofErr w:type="spellStart"/>
            <w:r w:rsidRPr="00294C7F">
              <w:rPr>
                <w:rFonts w:asciiTheme="minorHAnsi" w:eastAsia="Times New Roman" w:hAnsiTheme="minorHAnsi" w:cstheme="minorHAnsi"/>
                <w:color w:val="000000"/>
                <w:lang w:eastAsia="es-CR"/>
              </w:rPr>
              <w:t>waw</w:t>
            </w:r>
            <w:proofErr w:type="spellEnd"/>
            <w:r w:rsidRPr="00294C7F">
              <w:rPr>
                <w:rFonts w:asciiTheme="minorHAnsi" w:eastAsia="Times New Roman" w:hAnsiTheme="minorHAnsi" w:cstheme="minorHAnsi"/>
                <w:color w:val="000000"/>
                <w:lang w:eastAsia="es-CR"/>
              </w:rPr>
              <w:t xml:space="preserve"> consecutiva</w:t>
            </w:r>
          </w:p>
          <w:p w14:paraId="17DA5B4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206" w:type="dxa"/>
          </w:tcPr>
          <w:p w14:paraId="2EEC60E0"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3D4D400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579F01E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A partir de esta sesión se hará uso de los siguientes recursos para la traducción y consulta del texto hebreo:</w:t>
            </w:r>
          </w:p>
          <w:p w14:paraId="0A19945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125CFD7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563C1"/>
                <w:u w:val="single"/>
                <w:lang w:val="es-ES_tradnl" w:eastAsia="es-CR"/>
              </w:rPr>
            </w:pPr>
            <w:r w:rsidRPr="00294C7F">
              <w:rPr>
                <w:rFonts w:asciiTheme="minorHAnsi" w:eastAsia="Times New Roman" w:hAnsiTheme="minorHAnsi" w:cstheme="minorHAnsi"/>
                <w:i/>
                <w:iCs/>
                <w:color w:val="000000"/>
                <w:lang w:val="en-US" w:eastAsia="es-CR"/>
              </w:rPr>
              <w:t xml:space="preserve">Biblia Hebraica </w:t>
            </w:r>
            <w:proofErr w:type="spellStart"/>
            <w:r w:rsidRPr="00294C7F">
              <w:rPr>
                <w:rFonts w:asciiTheme="minorHAnsi" w:eastAsia="Times New Roman" w:hAnsiTheme="minorHAnsi" w:cstheme="minorHAnsi"/>
                <w:i/>
                <w:iCs/>
                <w:color w:val="000000"/>
                <w:lang w:val="en-US" w:eastAsia="es-CR"/>
              </w:rPr>
              <w:t>Stuttgartensia</w:t>
            </w:r>
            <w:proofErr w:type="spellEnd"/>
            <w:r w:rsidRPr="00294C7F">
              <w:rPr>
                <w:rFonts w:asciiTheme="minorHAnsi" w:eastAsia="Times New Roman" w:hAnsiTheme="minorHAnsi" w:cstheme="minorHAnsi"/>
                <w:color w:val="000000"/>
                <w:lang w:val="en-US" w:eastAsia="es-CR"/>
              </w:rPr>
              <w:t xml:space="preserve"> (BHS). Stuttgart: Deutsche </w:t>
            </w:r>
            <w:proofErr w:type="spellStart"/>
            <w:r w:rsidRPr="00294C7F">
              <w:rPr>
                <w:rFonts w:asciiTheme="minorHAnsi" w:eastAsia="Times New Roman" w:hAnsiTheme="minorHAnsi" w:cstheme="minorHAnsi"/>
                <w:color w:val="000000"/>
                <w:lang w:val="en-US" w:eastAsia="es-CR"/>
              </w:rPr>
              <w:t>Bibelgesellschaft</w:t>
            </w:r>
            <w:proofErr w:type="spellEnd"/>
            <w:r w:rsidRPr="00294C7F">
              <w:rPr>
                <w:rFonts w:asciiTheme="minorHAnsi" w:eastAsia="Times New Roman" w:hAnsiTheme="minorHAnsi" w:cstheme="minorHAnsi"/>
                <w:color w:val="000000"/>
                <w:lang w:val="en-US" w:eastAsia="es-CR"/>
              </w:rPr>
              <w:t xml:space="preserve">, 1977. </w:t>
            </w:r>
            <w:r w:rsidRPr="00294C7F">
              <w:rPr>
                <w:rFonts w:asciiTheme="minorHAnsi" w:eastAsia="Times New Roman" w:hAnsiTheme="minorHAnsi" w:cstheme="minorHAnsi"/>
                <w:color w:val="000000"/>
                <w:lang w:val="es-ES_tradnl" w:eastAsia="es-CR"/>
              </w:rPr>
              <w:t xml:space="preserve">Acceso el 3 de noviembre de 2022. </w:t>
            </w:r>
            <w:hyperlink r:id="rId272">
              <w:r w:rsidRPr="00294C7F">
                <w:rPr>
                  <w:rFonts w:asciiTheme="minorHAnsi" w:eastAsia="Times New Roman" w:hAnsiTheme="minorHAnsi" w:cstheme="minorHAnsi"/>
                  <w:color w:val="0563C1"/>
                  <w:u w:val="single"/>
                  <w:lang w:val="es-ES_tradnl" w:eastAsia="es-CR"/>
                </w:rPr>
                <w:t>https://www.academic-bible.com/en/online-bibles/biblia-hebraica-stuttgartensia-bhs/read-the-bible-text/</w:t>
              </w:r>
            </w:hyperlink>
          </w:p>
          <w:p w14:paraId="14747D9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563C1"/>
                <w:sz w:val="24"/>
                <w:szCs w:val="20"/>
                <w:u w:val="single"/>
                <w:lang w:val="es-ES_tradnl" w:eastAsia="es-CR"/>
              </w:rPr>
            </w:pPr>
          </w:p>
          <w:p w14:paraId="540409D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563C1"/>
                <w:u w:val="single"/>
                <w:lang w:val="es-ES_tradnl" w:eastAsia="es-CR"/>
              </w:rPr>
            </w:pPr>
            <w:r w:rsidRPr="00294C7F">
              <w:rPr>
                <w:rFonts w:asciiTheme="minorHAnsi" w:eastAsia="Times New Roman" w:hAnsiTheme="minorHAnsi" w:cstheme="minorHAnsi"/>
                <w:i/>
                <w:color w:val="000000"/>
                <w:lang w:val="es-ES_tradnl" w:eastAsia="es-CR"/>
              </w:rPr>
              <w:t>Ortiz</w:t>
            </w:r>
            <w:r w:rsidRPr="00294C7F">
              <w:rPr>
                <w:rFonts w:asciiTheme="minorHAnsi" w:eastAsia="Times New Roman" w:hAnsiTheme="minorHAnsi" w:cstheme="minorHAnsi"/>
                <w:i/>
                <w:iCs/>
                <w:color w:val="000000"/>
                <w:lang w:val="es-ES_tradnl" w:eastAsia="es-CR"/>
              </w:rPr>
              <w:t>,</w:t>
            </w:r>
            <w:r w:rsidRPr="00294C7F">
              <w:rPr>
                <w:rFonts w:asciiTheme="minorHAnsi" w:eastAsia="Times New Roman" w:hAnsiTheme="minorHAnsi" w:cstheme="minorHAnsi"/>
                <w:color w:val="000000"/>
                <w:lang w:val="es-ES_tradnl" w:eastAsia="es-CR"/>
              </w:rPr>
              <w:t xml:space="preserve"> Pedro, S.J. </w:t>
            </w:r>
            <w:r w:rsidRPr="00294C7F">
              <w:rPr>
                <w:rFonts w:asciiTheme="minorHAnsi" w:eastAsia="Times New Roman" w:hAnsiTheme="minorHAnsi" w:cstheme="minorHAnsi"/>
                <w:i/>
                <w:iCs/>
                <w:color w:val="000000"/>
                <w:lang w:val="es-ES_tradnl" w:eastAsia="es-CR"/>
              </w:rPr>
              <w:t xml:space="preserve">Léxico </w:t>
            </w:r>
            <w:r w:rsidRPr="00294C7F">
              <w:rPr>
                <w:rFonts w:asciiTheme="minorHAnsi" w:eastAsia="Times New Roman" w:hAnsiTheme="minorHAnsi" w:cstheme="minorHAnsi"/>
                <w:i/>
                <w:color w:val="000000"/>
                <w:lang w:val="es-ES_tradnl" w:eastAsia="es-CR"/>
              </w:rPr>
              <w:t>hebreo</w:t>
            </w:r>
            <w:r w:rsidRPr="00294C7F">
              <w:rPr>
                <w:rFonts w:asciiTheme="minorHAnsi" w:eastAsia="Times New Roman" w:hAnsiTheme="minorHAnsi" w:cstheme="minorHAnsi"/>
                <w:i/>
                <w:iCs/>
                <w:color w:val="000000"/>
                <w:lang w:val="es-ES_tradnl" w:eastAsia="es-CR"/>
              </w:rPr>
              <w:t>-español y arameo-español</w:t>
            </w:r>
            <w:r w:rsidRPr="00294C7F">
              <w:rPr>
                <w:rFonts w:asciiTheme="minorHAnsi" w:eastAsia="Times New Roman" w:hAnsiTheme="minorHAnsi" w:cstheme="minorHAnsi"/>
                <w:color w:val="000000"/>
                <w:lang w:val="es-ES_tradnl" w:eastAsia="es-CR"/>
              </w:rPr>
              <w:t xml:space="preserve">. </w:t>
            </w:r>
            <w:r w:rsidRPr="00294C7F">
              <w:rPr>
                <w:rFonts w:asciiTheme="minorHAnsi" w:eastAsia="Times New Roman" w:hAnsiTheme="minorHAnsi" w:cstheme="minorHAnsi"/>
                <w:color w:val="000000"/>
                <w:lang w:val="es-ES_tradnl" w:eastAsia="es-CR"/>
              </w:rPr>
              <w:lastRenderedPageBreak/>
              <w:t xml:space="preserve">Bogotá: Facultad de Teología Pontificia Universidad Javeriana, 2004. Acceso el 3 de noviembre de </w:t>
            </w:r>
            <w:hyperlink r:id="rId273">
              <w:r w:rsidRPr="00294C7F">
                <w:rPr>
                  <w:rFonts w:asciiTheme="minorHAnsi" w:eastAsia="Times New Roman" w:hAnsiTheme="minorHAnsi" w:cstheme="minorHAnsi"/>
                  <w:color w:val="0563C1"/>
                  <w:u w:val="single"/>
                  <w:lang w:val="es-ES_tradnl" w:eastAsia="es-CR"/>
                </w:rPr>
                <w:t>http://hdl.handle.net/10554/50711</w:t>
              </w:r>
            </w:hyperlink>
            <w:r w:rsidRPr="00294C7F">
              <w:rPr>
                <w:rFonts w:asciiTheme="minorHAnsi" w:eastAsia="Times New Roman" w:hAnsiTheme="minorHAnsi" w:cstheme="minorHAnsi"/>
                <w:color w:val="0563C1"/>
                <w:u w:val="single"/>
                <w:lang w:val="es-ES_tradnl" w:eastAsia="es-CR"/>
              </w:rPr>
              <w:t xml:space="preserve"> </w:t>
            </w:r>
            <w:r w:rsidRPr="00294C7F">
              <w:rPr>
                <w:rFonts w:asciiTheme="minorHAnsi" w:eastAsia="Times New Roman" w:hAnsiTheme="minorHAnsi" w:cstheme="minorHAnsi"/>
                <w:color w:val="0070C0"/>
                <w:lang w:eastAsia="es-CR"/>
              </w:rPr>
              <w:t>(clásico, última edición)</w:t>
            </w:r>
          </w:p>
          <w:p w14:paraId="39FB399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563C1"/>
                <w:sz w:val="24"/>
                <w:szCs w:val="20"/>
                <w:u w:val="single"/>
                <w:lang w:val="es-ES_tradnl" w:eastAsia="es-CR"/>
              </w:rPr>
            </w:pPr>
          </w:p>
          <w:p w14:paraId="75DDAC5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563C1"/>
                <w:u w:val="single"/>
                <w:lang w:val="es-ES_tradnl" w:eastAsia="es-CR"/>
              </w:rPr>
            </w:pPr>
            <w:r w:rsidRPr="00294C7F">
              <w:rPr>
                <w:rFonts w:asciiTheme="minorHAnsi" w:eastAsia="Times New Roman" w:hAnsiTheme="minorHAnsi" w:cstheme="minorHAnsi"/>
                <w:b/>
                <w:bCs/>
                <w:color w:val="0563C1"/>
                <w:u w:val="single"/>
                <w:lang w:val="es-ES_tradnl" w:eastAsia="es-CR"/>
              </w:rPr>
              <w:t>Material obligatorio</w:t>
            </w:r>
          </w:p>
          <w:p w14:paraId="542ABA2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563C1"/>
                <w:u w:val="single"/>
                <w:lang w:val="es-ES_tradnl" w:eastAsia="es-CR"/>
              </w:rPr>
            </w:pPr>
          </w:p>
          <w:p w14:paraId="0633B3D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 xml:space="preserve">Farfán, Enrique. “Cambios vocálicos”, “El nombre”. En </w:t>
            </w:r>
            <w:r w:rsidRPr="00294C7F">
              <w:rPr>
                <w:rFonts w:asciiTheme="minorHAnsi" w:eastAsia="Times New Roman" w:hAnsiTheme="minorHAnsi" w:cstheme="minorHAnsi"/>
                <w:i/>
                <w:iCs/>
                <w:color w:val="000000"/>
                <w:lang w:val="es-ES_tradnl" w:eastAsia="es-CR"/>
              </w:rPr>
              <w:t>Gramática elemental del hebreo bíblico</w:t>
            </w:r>
            <w:r w:rsidRPr="00294C7F">
              <w:rPr>
                <w:rFonts w:asciiTheme="minorHAnsi" w:eastAsia="Times New Roman" w:hAnsiTheme="minorHAnsi" w:cstheme="minorHAnsi"/>
                <w:color w:val="000000"/>
                <w:lang w:val="es-ES_tradnl" w:eastAsia="es-CR"/>
              </w:rPr>
              <w:t xml:space="preserve">, 20-22 y 32-33. Estella: Verbo Divino, 2018. </w:t>
            </w:r>
            <w:r w:rsidRPr="00294C7F">
              <w:rPr>
                <w:rFonts w:asciiTheme="minorHAnsi" w:eastAsia="Times New Roman" w:hAnsiTheme="minorHAnsi" w:cstheme="minorHAnsi"/>
                <w:color w:val="0070C0"/>
                <w:lang w:eastAsia="es-CR"/>
              </w:rPr>
              <w:t>(clásico, última edición)</w:t>
            </w:r>
          </w:p>
          <w:p w14:paraId="08874B3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495D96C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“El sustantivo: género”, “El plural de los sustantivos”, “El plural de los sustantivos (cont.)”.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1, 7 y 15. Estella: </w:t>
            </w:r>
            <w:r w:rsidRPr="00294C7F">
              <w:rPr>
                <w:rFonts w:asciiTheme="minorHAnsi" w:eastAsia="Times New Roman" w:hAnsiTheme="minorHAnsi" w:cstheme="minorHAnsi"/>
                <w:color w:val="000000"/>
                <w:lang w:eastAsia="es-CR"/>
              </w:rPr>
              <w:t xml:space="preserve">Verbo Divino, 2018. </w:t>
            </w:r>
            <w:r w:rsidRPr="00294C7F">
              <w:rPr>
                <w:rFonts w:asciiTheme="minorHAnsi" w:eastAsia="Times New Roman" w:hAnsiTheme="minorHAnsi" w:cstheme="minorHAnsi"/>
                <w:color w:val="0070C0"/>
                <w:lang w:eastAsia="es-CR"/>
              </w:rPr>
              <w:t>(clásico, última edición)</w:t>
            </w:r>
          </w:p>
          <w:p w14:paraId="266F598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lang w:val="es-ES_tradnl" w:eastAsia="es-CR"/>
              </w:rPr>
            </w:pPr>
          </w:p>
          <w:p w14:paraId="18CA006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r w:rsidRPr="00294C7F">
              <w:rPr>
                <w:rFonts w:asciiTheme="minorHAnsi" w:eastAsia="Times New Roman" w:hAnsiTheme="minorHAnsi" w:cstheme="minorHAnsi"/>
                <w:b/>
                <w:bCs/>
                <w:color w:val="0070C0"/>
                <w:lang w:eastAsia="es-CR"/>
              </w:rPr>
              <w:t>Material complementario</w:t>
            </w:r>
          </w:p>
          <w:p w14:paraId="187D8ADE"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p>
          <w:p w14:paraId="23452344"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r w:rsidRPr="00294C7F">
              <w:rPr>
                <w:rFonts w:asciiTheme="minorHAnsi" w:eastAsia="Times New Roman" w:hAnsiTheme="minorHAnsi" w:cstheme="minorHAnsi"/>
                <w:color w:val="0070C0"/>
                <w:lang w:eastAsia="es-CR"/>
              </w:rPr>
              <w:t xml:space="preserve">Guía para la participación mediante la herramienta Big Blue </w:t>
            </w:r>
            <w:proofErr w:type="spellStart"/>
            <w:r w:rsidRPr="00294C7F">
              <w:rPr>
                <w:rFonts w:asciiTheme="minorHAnsi" w:eastAsia="Times New Roman" w:hAnsiTheme="minorHAnsi" w:cstheme="minorHAnsi"/>
                <w:color w:val="0070C0"/>
                <w:lang w:eastAsia="es-CR"/>
              </w:rPr>
              <w:t>Button</w:t>
            </w:r>
            <w:proofErr w:type="spellEnd"/>
            <w:r w:rsidRPr="00294C7F">
              <w:rPr>
                <w:rFonts w:asciiTheme="minorHAnsi" w:eastAsia="Times New Roman" w:hAnsiTheme="minorHAnsi" w:cstheme="minorHAnsi"/>
                <w:color w:val="0070C0"/>
                <w:lang w:eastAsia="es-CR"/>
              </w:rPr>
              <w:t xml:space="preserve"> en la plataforma Moodle</w:t>
            </w:r>
          </w:p>
          <w:p w14:paraId="2E66BF8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lang w:val="es-ES_tradnl" w:eastAsia="es-CR"/>
              </w:rPr>
            </w:pPr>
          </w:p>
        </w:tc>
        <w:tc>
          <w:tcPr>
            <w:tcW w:w="3118" w:type="dxa"/>
          </w:tcPr>
          <w:p w14:paraId="36CE26A9"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lastRenderedPageBreak/>
              <w:t>Realizar las lecturas de la sesión.</w:t>
            </w:r>
          </w:p>
          <w:p w14:paraId="1DADF6F7"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4. </w:t>
            </w:r>
          </w:p>
          <w:p w14:paraId="35E825D7"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encuentro sincrónico virtual.</w:t>
            </w:r>
          </w:p>
          <w:p w14:paraId="26008738"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Realización del quiz de comprobación 3.</w:t>
            </w:r>
          </w:p>
        </w:tc>
      </w:tr>
      <w:tr w:rsidR="00294C7F" w:rsidRPr="00294C7F" w14:paraId="51EE6231" w14:textId="77777777" w:rsidTr="4C9C2619">
        <w:trPr>
          <w:jc w:val="center"/>
        </w:trPr>
        <w:tc>
          <w:tcPr>
            <w:tcW w:w="1144" w:type="dxa"/>
          </w:tcPr>
          <w:p w14:paraId="07239AA7"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7BF0B608"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5</w:t>
            </w:r>
          </w:p>
        </w:tc>
        <w:tc>
          <w:tcPr>
            <w:tcW w:w="2308" w:type="dxa"/>
          </w:tcPr>
          <w:p w14:paraId="5C84480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Unidad 1: Del alfabeto a la oración en hebreo</w:t>
            </w:r>
          </w:p>
          <w:p w14:paraId="59CCA0A4"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1A3B9AD5"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1.6 Adjetivo</w:t>
            </w:r>
          </w:p>
          <w:p w14:paraId="7BAF9C64"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1.7 Problemas exegéticos</w:t>
            </w:r>
          </w:p>
          <w:p w14:paraId="1B0F9F51"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p>
        </w:tc>
        <w:tc>
          <w:tcPr>
            <w:tcW w:w="3206" w:type="dxa"/>
          </w:tcPr>
          <w:p w14:paraId="415FAAF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0E2F671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4B933D5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 xml:space="preserve">Farfán, Enrique. “Adjetivos”. En </w:t>
            </w:r>
            <w:r w:rsidRPr="00294C7F">
              <w:rPr>
                <w:rFonts w:asciiTheme="minorHAnsi" w:eastAsia="Times New Roman" w:hAnsiTheme="minorHAnsi" w:cstheme="minorHAnsi"/>
                <w:i/>
                <w:iCs/>
                <w:color w:val="000000"/>
                <w:lang w:val="es-ES_tradnl" w:eastAsia="es-CR"/>
              </w:rPr>
              <w:t>Gramática elemental del hebreo bíblico</w:t>
            </w:r>
            <w:r w:rsidRPr="00294C7F">
              <w:rPr>
                <w:rFonts w:asciiTheme="minorHAnsi" w:eastAsia="Times New Roman" w:hAnsiTheme="minorHAnsi" w:cstheme="minorHAnsi"/>
                <w:color w:val="000000"/>
                <w:lang w:val="es-ES_tradnl" w:eastAsia="es-CR"/>
              </w:rPr>
              <w:t xml:space="preserve">, 42-43. Estella: Verbo Divino, 2018. </w:t>
            </w:r>
            <w:r w:rsidRPr="00294C7F">
              <w:rPr>
                <w:rFonts w:asciiTheme="minorHAnsi" w:eastAsia="Times New Roman" w:hAnsiTheme="minorHAnsi" w:cstheme="minorHAnsi"/>
                <w:color w:val="0070C0"/>
                <w:lang w:eastAsia="es-CR"/>
              </w:rPr>
              <w:t>(clásico, última edición)</w:t>
            </w:r>
          </w:p>
          <w:p w14:paraId="6AA4235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35ECB56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“El uso de los adjetivos”.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11-13. Estella: </w:t>
            </w:r>
            <w:r w:rsidRPr="00294C7F">
              <w:rPr>
                <w:rFonts w:asciiTheme="minorHAnsi" w:eastAsia="Times New Roman" w:hAnsiTheme="minorHAnsi" w:cstheme="minorHAnsi"/>
                <w:color w:val="000000"/>
                <w:lang w:eastAsia="es-CR"/>
              </w:rPr>
              <w:t xml:space="preserve">Verbo Divino, 2018. </w:t>
            </w:r>
            <w:r w:rsidRPr="00294C7F">
              <w:rPr>
                <w:rFonts w:asciiTheme="minorHAnsi" w:eastAsia="Times New Roman" w:hAnsiTheme="minorHAnsi" w:cstheme="minorHAnsi"/>
                <w:color w:val="0070C0"/>
                <w:lang w:eastAsia="es-CR"/>
              </w:rPr>
              <w:t>(clásico, última edición)</w:t>
            </w:r>
          </w:p>
          <w:p w14:paraId="54F8AA8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62B2E30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r w:rsidRPr="00294C7F">
              <w:rPr>
                <w:rFonts w:asciiTheme="minorHAnsi" w:eastAsia="Times New Roman" w:hAnsiTheme="minorHAnsi" w:cstheme="minorHAnsi"/>
                <w:b/>
                <w:bCs/>
                <w:color w:val="000000"/>
                <w:lang w:eastAsia="es-CR"/>
              </w:rPr>
              <w:t>Material complementario</w:t>
            </w:r>
          </w:p>
          <w:p w14:paraId="03BC18D4"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p>
          <w:p w14:paraId="6211209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4582EC"/>
                <w:u w:val="single"/>
                <w:lang w:eastAsia="es-CR"/>
              </w:rPr>
            </w:pPr>
            <w:proofErr w:type="spellStart"/>
            <w:r w:rsidRPr="00294C7F">
              <w:rPr>
                <w:rFonts w:asciiTheme="minorHAnsi" w:eastAsia="Times New Roman" w:hAnsiTheme="minorHAnsi" w:cstheme="minorHAnsi"/>
                <w:color w:val="000000"/>
                <w:lang w:eastAsia="es-CR"/>
              </w:rPr>
              <w:t>Noll</w:t>
            </w:r>
            <w:proofErr w:type="spellEnd"/>
            <w:r w:rsidRPr="00294C7F">
              <w:rPr>
                <w:rFonts w:asciiTheme="minorHAnsi" w:eastAsia="Times New Roman" w:hAnsiTheme="minorHAnsi" w:cstheme="minorHAnsi"/>
                <w:color w:val="000000"/>
                <w:lang w:eastAsia="es-CR"/>
              </w:rPr>
              <w:t xml:space="preserve">, </w:t>
            </w:r>
            <w:proofErr w:type="spellStart"/>
            <w:r w:rsidRPr="00294C7F">
              <w:rPr>
                <w:rFonts w:asciiTheme="minorHAnsi" w:eastAsia="Times New Roman" w:hAnsiTheme="minorHAnsi" w:cstheme="minorHAnsi"/>
                <w:color w:val="000000"/>
                <w:lang w:eastAsia="es-CR"/>
              </w:rPr>
              <w:t>Sonja</w:t>
            </w:r>
            <w:proofErr w:type="spellEnd"/>
            <w:r w:rsidRPr="00294C7F">
              <w:rPr>
                <w:rFonts w:asciiTheme="minorHAnsi" w:eastAsia="Times New Roman" w:hAnsiTheme="minorHAnsi" w:cstheme="minorHAnsi"/>
                <w:color w:val="000000"/>
                <w:lang w:eastAsia="es-CR"/>
              </w:rPr>
              <w:t xml:space="preserve">. “Saber escuchar los </w:t>
            </w:r>
            <w:r w:rsidRPr="00294C7F">
              <w:rPr>
                <w:rFonts w:asciiTheme="minorHAnsi" w:eastAsia="Times New Roman" w:hAnsiTheme="minorHAnsi" w:cstheme="minorHAnsi"/>
                <w:color w:val="000000"/>
                <w:lang w:eastAsia="es-CR"/>
              </w:rPr>
              <w:lastRenderedPageBreak/>
              <w:t xml:space="preserve">silencios de la Biblia”. </w:t>
            </w:r>
            <w:r w:rsidRPr="00294C7F">
              <w:rPr>
                <w:rFonts w:asciiTheme="minorHAnsi" w:eastAsia="Times New Roman" w:hAnsiTheme="minorHAnsi" w:cstheme="minorHAnsi"/>
                <w:i/>
                <w:iCs/>
                <w:color w:val="000000"/>
                <w:lang w:eastAsia="es-CR"/>
              </w:rPr>
              <w:t>Teología y Vida</w:t>
            </w:r>
            <w:r w:rsidRPr="00294C7F">
              <w:rPr>
                <w:rFonts w:asciiTheme="minorHAnsi" w:eastAsia="Times New Roman" w:hAnsiTheme="minorHAnsi" w:cstheme="minorHAnsi"/>
                <w:color w:val="000000"/>
                <w:lang w:eastAsia="es-CR"/>
              </w:rPr>
              <w:t xml:space="preserve"> Vol. 63, N. 2 (2022): 273-279. Acceso el 3 de noviembre de 2022. </w:t>
            </w:r>
            <w:hyperlink r:id="rId274">
              <w:r w:rsidRPr="00294C7F">
                <w:rPr>
                  <w:rFonts w:asciiTheme="minorHAnsi" w:eastAsia="Times New Roman" w:hAnsiTheme="minorHAnsi" w:cstheme="minorHAnsi"/>
                  <w:color w:val="4582EC"/>
                  <w:u w:val="single"/>
                  <w:lang w:eastAsia="es-CR"/>
                </w:rPr>
                <w:t>https://doi.org/10.7764/TyV/632/5/273-279</w:t>
              </w:r>
            </w:hyperlink>
          </w:p>
          <w:p w14:paraId="461CBED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57D2F4FB" w14:textId="77777777" w:rsidR="00294C7F" w:rsidRPr="00294C7F" w:rsidRDefault="4C9C2619" w:rsidP="4C9C2619">
            <w:pPr>
              <w:widowControl w:val="0"/>
              <w:overflowPunct w:val="0"/>
              <w:autoSpaceDE w:val="0"/>
              <w:autoSpaceDN w:val="0"/>
              <w:adjustRightInd w:val="0"/>
              <w:rPr>
                <w:rFonts w:asciiTheme="minorHAnsi" w:eastAsia="Times New Roman" w:hAnsiTheme="minorHAnsi"/>
                <w:color w:val="0070C0"/>
                <w:lang w:eastAsia="es-CR"/>
              </w:rPr>
            </w:pPr>
            <w:r w:rsidRPr="4C9C2619">
              <w:rPr>
                <w:rFonts w:asciiTheme="minorHAnsi" w:eastAsia="Times New Roman" w:hAnsiTheme="minorHAnsi"/>
                <w:color w:val="0070C0"/>
                <w:lang w:eastAsia="es-CR"/>
              </w:rPr>
              <w:t xml:space="preserve">Guía para la participación mediante la herramienta Big Blue </w:t>
            </w:r>
            <w:proofErr w:type="spellStart"/>
            <w:r w:rsidRPr="4C9C2619">
              <w:rPr>
                <w:rFonts w:asciiTheme="minorHAnsi" w:eastAsia="Times New Roman" w:hAnsiTheme="minorHAnsi"/>
                <w:color w:val="0070C0"/>
                <w:lang w:eastAsia="es-CR"/>
              </w:rPr>
              <w:t>Button</w:t>
            </w:r>
            <w:proofErr w:type="spellEnd"/>
            <w:r w:rsidRPr="4C9C2619">
              <w:rPr>
                <w:rFonts w:asciiTheme="minorHAnsi" w:eastAsia="Times New Roman" w:hAnsiTheme="minorHAnsi"/>
                <w:color w:val="0070C0"/>
                <w:lang w:eastAsia="es-CR"/>
              </w:rPr>
              <w:t xml:space="preserve"> en la plataforma Moodle</w:t>
            </w:r>
          </w:p>
          <w:p w14:paraId="530D331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p>
          <w:p w14:paraId="3C6D3D5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Guía para la participación en un foro en la plataforma Moodle</w:t>
            </w:r>
          </w:p>
          <w:p w14:paraId="45D6F97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632E03CE"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lastRenderedPageBreak/>
              <w:t>Realizar las lecturas de la sesión.</w:t>
            </w:r>
          </w:p>
          <w:p w14:paraId="7754D60A"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5. </w:t>
            </w:r>
          </w:p>
          <w:p w14:paraId="0CA44688"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encuentro sincrónico virtual.</w:t>
            </w:r>
          </w:p>
          <w:p w14:paraId="15327D7D"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Realización del quiz de comprobación 4.</w:t>
            </w:r>
          </w:p>
          <w:p w14:paraId="4D04F316"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Participación en el foro temático. </w:t>
            </w:r>
          </w:p>
        </w:tc>
      </w:tr>
      <w:tr w:rsidR="00294C7F" w:rsidRPr="00294C7F" w14:paraId="7B09D54B" w14:textId="77777777" w:rsidTr="4C9C2619">
        <w:trPr>
          <w:jc w:val="center"/>
        </w:trPr>
        <w:tc>
          <w:tcPr>
            <w:tcW w:w="1144" w:type="dxa"/>
          </w:tcPr>
          <w:p w14:paraId="4139CB6A"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613D84A3"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6</w:t>
            </w:r>
          </w:p>
        </w:tc>
        <w:tc>
          <w:tcPr>
            <w:tcW w:w="2308" w:type="dxa"/>
          </w:tcPr>
          <w:p w14:paraId="101646F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Examen</w:t>
            </w:r>
          </w:p>
          <w:p w14:paraId="41AD6532"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3410057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Primer examen parcial</w:t>
            </w:r>
          </w:p>
          <w:p w14:paraId="65AF231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0AE2EAC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3E56771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206" w:type="dxa"/>
          </w:tcPr>
          <w:p w14:paraId="1623852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6BB8BE5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p>
          <w:p w14:paraId="296A7216"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73A77A40" w14:textId="77777777" w:rsidR="00294C7F" w:rsidRPr="00294C7F" w:rsidRDefault="00294C7F" w:rsidP="00294C7F">
            <w:pPr>
              <w:widowControl w:val="0"/>
              <w:numPr>
                <w:ilvl w:val="0"/>
                <w:numId w:val="210"/>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Resolución del examen parcial en el aula virtual. </w:t>
            </w:r>
          </w:p>
        </w:tc>
      </w:tr>
      <w:tr w:rsidR="00294C7F" w:rsidRPr="00294C7F" w14:paraId="38D26B7B" w14:textId="77777777" w:rsidTr="4C9C2619">
        <w:trPr>
          <w:jc w:val="center"/>
        </w:trPr>
        <w:tc>
          <w:tcPr>
            <w:tcW w:w="1144" w:type="dxa"/>
          </w:tcPr>
          <w:p w14:paraId="43489BC0"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538BF82E"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7</w:t>
            </w:r>
          </w:p>
        </w:tc>
        <w:tc>
          <w:tcPr>
            <w:tcW w:w="2308" w:type="dxa"/>
          </w:tcPr>
          <w:p w14:paraId="3BBCD7F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r w:rsidRPr="00294C7F">
              <w:rPr>
                <w:rFonts w:asciiTheme="minorHAnsi" w:eastAsia="Times New Roman" w:hAnsiTheme="minorHAnsi" w:cstheme="minorHAnsi"/>
                <w:b/>
                <w:bCs/>
                <w:color w:val="000000"/>
                <w:lang w:eastAsia="es-CR"/>
              </w:rPr>
              <w:t>Unidad 2: La oración verbal (I)</w:t>
            </w:r>
          </w:p>
          <w:p w14:paraId="56B64E70"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p>
          <w:p w14:paraId="2AEBF68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r w:rsidRPr="00294C7F">
              <w:rPr>
                <w:rFonts w:asciiTheme="minorHAnsi" w:eastAsia="Times New Roman" w:hAnsiTheme="minorHAnsi" w:cstheme="minorHAnsi"/>
                <w:color w:val="000000"/>
                <w:lang w:eastAsia="es-CR"/>
              </w:rPr>
              <w:t xml:space="preserve">2.1 </w:t>
            </w:r>
            <w:r w:rsidRPr="00294C7F">
              <w:rPr>
                <w:rFonts w:asciiTheme="minorHAnsi" w:eastAsia="Times New Roman" w:hAnsiTheme="minorHAnsi" w:cstheme="minorHAnsi"/>
                <w:color w:val="000000"/>
                <w:lang w:val="es-ES_tradnl" w:eastAsia="es-CR"/>
              </w:rPr>
              <w:t>Participios y complemento directo</w:t>
            </w:r>
          </w:p>
          <w:p w14:paraId="395C883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tc>
        <w:tc>
          <w:tcPr>
            <w:tcW w:w="3206" w:type="dxa"/>
          </w:tcPr>
          <w:p w14:paraId="2DE22ED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592B18C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6561CEF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0000"/>
                <w:lang w:eastAsia="es-CR"/>
              </w:rPr>
              <w:t xml:space="preserve">Farfán, Enrique. “Infinitivo y participio qal”. En </w:t>
            </w:r>
            <w:r w:rsidRPr="00294C7F">
              <w:rPr>
                <w:rFonts w:asciiTheme="minorHAnsi" w:eastAsia="Times New Roman" w:hAnsiTheme="minorHAnsi" w:cstheme="minorHAnsi"/>
                <w:i/>
                <w:iCs/>
                <w:color w:val="000000"/>
                <w:lang w:eastAsia="es-CR"/>
              </w:rPr>
              <w:t>Gramática elemental del hebreo bíblico</w:t>
            </w:r>
            <w:r w:rsidRPr="00294C7F">
              <w:rPr>
                <w:rFonts w:asciiTheme="minorHAnsi" w:eastAsia="Times New Roman" w:hAnsiTheme="minorHAnsi" w:cstheme="minorHAnsi"/>
                <w:color w:val="000000"/>
                <w:lang w:eastAsia="es-CR"/>
              </w:rPr>
              <w:t xml:space="preserve">, 62-63. Estella: Verbo Divino, 2018. </w:t>
            </w:r>
            <w:r w:rsidRPr="00294C7F">
              <w:rPr>
                <w:rFonts w:asciiTheme="minorHAnsi" w:eastAsia="Times New Roman" w:hAnsiTheme="minorHAnsi" w:cstheme="minorHAnsi"/>
                <w:color w:val="0070C0"/>
                <w:lang w:eastAsia="es-CR"/>
              </w:rPr>
              <w:t>(clásico, última edición)</w:t>
            </w:r>
          </w:p>
          <w:p w14:paraId="744D1F82"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4DBEB942"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“El participio activo”, “El signo del objeto directo”.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16 -17. Estella: </w:t>
            </w:r>
            <w:r w:rsidRPr="00294C7F">
              <w:rPr>
                <w:rFonts w:asciiTheme="minorHAnsi" w:eastAsia="Times New Roman" w:hAnsiTheme="minorHAnsi" w:cstheme="minorHAnsi"/>
                <w:color w:val="000000"/>
                <w:lang w:eastAsia="es-CR"/>
              </w:rPr>
              <w:t xml:space="preserve">Verbo Divino, 2018. </w:t>
            </w:r>
            <w:r w:rsidRPr="00294C7F">
              <w:rPr>
                <w:rFonts w:asciiTheme="minorHAnsi" w:eastAsia="Times New Roman" w:hAnsiTheme="minorHAnsi" w:cstheme="minorHAnsi"/>
                <w:color w:val="0070C0"/>
                <w:lang w:eastAsia="es-CR"/>
              </w:rPr>
              <w:t>(clásico, última edición)</w:t>
            </w:r>
          </w:p>
          <w:p w14:paraId="28D5FCB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344C7C8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r w:rsidRPr="00294C7F">
              <w:rPr>
                <w:rFonts w:asciiTheme="minorHAnsi" w:eastAsia="Times New Roman" w:hAnsiTheme="minorHAnsi" w:cstheme="minorHAnsi"/>
                <w:b/>
                <w:bCs/>
                <w:color w:val="0070C0"/>
                <w:lang w:eastAsia="es-CR"/>
              </w:rPr>
              <w:t>Material complementario</w:t>
            </w:r>
          </w:p>
          <w:p w14:paraId="7552198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p>
          <w:p w14:paraId="69AA9C72"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70C0"/>
                <w:lang w:eastAsia="es-CR"/>
              </w:rPr>
              <w:t xml:space="preserve">Guía para la participación mediante la herramienta Big Blue </w:t>
            </w:r>
            <w:proofErr w:type="spellStart"/>
            <w:r w:rsidRPr="00294C7F">
              <w:rPr>
                <w:rFonts w:asciiTheme="minorHAnsi" w:eastAsia="Times New Roman" w:hAnsiTheme="minorHAnsi" w:cstheme="minorHAnsi"/>
                <w:color w:val="0070C0"/>
                <w:lang w:eastAsia="es-CR"/>
              </w:rPr>
              <w:t>Button</w:t>
            </w:r>
            <w:proofErr w:type="spellEnd"/>
            <w:r w:rsidRPr="00294C7F">
              <w:rPr>
                <w:rFonts w:asciiTheme="minorHAnsi" w:eastAsia="Times New Roman" w:hAnsiTheme="minorHAnsi" w:cstheme="minorHAnsi"/>
                <w:color w:val="0070C0"/>
                <w:lang w:eastAsia="es-CR"/>
              </w:rPr>
              <w:t xml:space="preserve"> en la plataforma Moodle</w:t>
            </w:r>
          </w:p>
          <w:p w14:paraId="5140AF0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3987BC25"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Realizar las lecturas de la sesión.</w:t>
            </w:r>
          </w:p>
          <w:p w14:paraId="2749A30C"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6. </w:t>
            </w:r>
          </w:p>
          <w:p w14:paraId="4F00C166"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encuentro sincrónico virtual.</w:t>
            </w:r>
          </w:p>
          <w:p w14:paraId="6B084F2D"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Realización del quiz de comprobación 5.</w:t>
            </w:r>
          </w:p>
        </w:tc>
      </w:tr>
      <w:tr w:rsidR="00294C7F" w:rsidRPr="00294C7F" w14:paraId="53F06CF1" w14:textId="77777777" w:rsidTr="4C9C2619">
        <w:trPr>
          <w:jc w:val="center"/>
        </w:trPr>
        <w:tc>
          <w:tcPr>
            <w:tcW w:w="1144" w:type="dxa"/>
          </w:tcPr>
          <w:p w14:paraId="7B722A84"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65D60C2D"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8</w:t>
            </w:r>
          </w:p>
        </w:tc>
        <w:tc>
          <w:tcPr>
            <w:tcW w:w="2308" w:type="dxa"/>
          </w:tcPr>
          <w:p w14:paraId="5F9E0ED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r w:rsidRPr="00294C7F">
              <w:rPr>
                <w:rFonts w:asciiTheme="minorHAnsi" w:eastAsia="Times New Roman" w:hAnsiTheme="minorHAnsi" w:cstheme="minorHAnsi"/>
                <w:b/>
                <w:bCs/>
                <w:color w:val="000000"/>
                <w:lang w:eastAsia="es-CR"/>
              </w:rPr>
              <w:t>Unidad 2: La oración verbal (I)</w:t>
            </w:r>
          </w:p>
          <w:p w14:paraId="4DACF912"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7FDBF7A2"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2.2 Pronombres</w:t>
            </w:r>
          </w:p>
          <w:p w14:paraId="34B808B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206" w:type="dxa"/>
          </w:tcPr>
          <w:p w14:paraId="13337940"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38BF502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1E7217E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 xml:space="preserve">Farfán, Enrique. “Pronombre personal”, “Pronombres demostrativo y relativo”, </w:t>
            </w:r>
            <w:r w:rsidRPr="00294C7F">
              <w:rPr>
                <w:rFonts w:asciiTheme="minorHAnsi" w:eastAsia="Times New Roman" w:hAnsiTheme="minorHAnsi" w:cstheme="minorHAnsi"/>
                <w:color w:val="000000"/>
                <w:lang w:val="es-ES_tradnl" w:eastAsia="es-CR"/>
              </w:rPr>
              <w:lastRenderedPageBreak/>
              <w:t xml:space="preserve">“Pronombres interrogativo e indefinido”. En </w:t>
            </w:r>
            <w:r w:rsidRPr="00294C7F">
              <w:rPr>
                <w:rFonts w:asciiTheme="minorHAnsi" w:eastAsia="Times New Roman" w:hAnsiTheme="minorHAnsi" w:cstheme="minorHAnsi"/>
                <w:i/>
                <w:iCs/>
                <w:color w:val="000000"/>
                <w:lang w:val="es-ES_tradnl" w:eastAsia="es-CR"/>
              </w:rPr>
              <w:t>Gramática elemental del hebreo bíblico</w:t>
            </w:r>
            <w:r w:rsidRPr="00294C7F">
              <w:rPr>
                <w:rFonts w:asciiTheme="minorHAnsi" w:eastAsia="Times New Roman" w:hAnsiTheme="minorHAnsi" w:cstheme="minorHAnsi"/>
                <w:color w:val="000000"/>
                <w:lang w:val="es-ES_tradnl" w:eastAsia="es-CR"/>
              </w:rPr>
              <w:t xml:space="preserve">, 28-31. Estella: Verbo Divino, 2018. </w:t>
            </w:r>
            <w:r w:rsidRPr="00294C7F">
              <w:rPr>
                <w:rFonts w:asciiTheme="minorHAnsi" w:eastAsia="Times New Roman" w:hAnsiTheme="minorHAnsi" w:cstheme="minorHAnsi"/>
                <w:color w:val="0070C0"/>
                <w:lang w:eastAsia="es-CR"/>
              </w:rPr>
              <w:t>(clásico, última edición)</w:t>
            </w:r>
          </w:p>
          <w:p w14:paraId="1A0C7DF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6C4966A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“Adjetivos y pronombres demostrativos”, “La forma independiente (sujeto) del pronombre personal”.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32 y 80-81. Estella: </w:t>
            </w:r>
            <w:r w:rsidRPr="00294C7F">
              <w:rPr>
                <w:rFonts w:asciiTheme="minorHAnsi" w:eastAsia="Times New Roman" w:hAnsiTheme="minorHAnsi" w:cstheme="minorHAnsi"/>
                <w:color w:val="000000"/>
                <w:lang w:eastAsia="es-CR"/>
              </w:rPr>
              <w:t xml:space="preserve">Verbo Divino, 2018. </w:t>
            </w:r>
            <w:r w:rsidRPr="00294C7F">
              <w:rPr>
                <w:rFonts w:asciiTheme="minorHAnsi" w:eastAsia="Times New Roman" w:hAnsiTheme="minorHAnsi" w:cstheme="minorHAnsi"/>
                <w:color w:val="0070C0"/>
                <w:lang w:eastAsia="es-CR"/>
              </w:rPr>
              <w:t>(clásico, última edición)</w:t>
            </w:r>
          </w:p>
          <w:p w14:paraId="56F3695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531DC8D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r w:rsidRPr="00294C7F">
              <w:rPr>
                <w:rFonts w:asciiTheme="minorHAnsi" w:eastAsia="Times New Roman" w:hAnsiTheme="minorHAnsi" w:cstheme="minorHAnsi"/>
                <w:b/>
                <w:bCs/>
                <w:color w:val="0070C0"/>
                <w:lang w:eastAsia="es-CR"/>
              </w:rPr>
              <w:t>Material complementario</w:t>
            </w:r>
          </w:p>
          <w:p w14:paraId="38AF82F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p>
          <w:p w14:paraId="40408F9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70C0"/>
                <w:lang w:eastAsia="es-CR"/>
              </w:rPr>
              <w:t xml:space="preserve">Guía para la participación mediante la herramienta Big Blue </w:t>
            </w:r>
            <w:proofErr w:type="spellStart"/>
            <w:r w:rsidRPr="00294C7F">
              <w:rPr>
                <w:rFonts w:asciiTheme="minorHAnsi" w:eastAsia="Times New Roman" w:hAnsiTheme="minorHAnsi" w:cstheme="minorHAnsi"/>
                <w:color w:val="0070C0"/>
                <w:lang w:eastAsia="es-CR"/>
              </w:rPr>
              <w:t>Button</w:t>
            </w:r>
            <w:proofErr w:type="spellEnd"/>
            <w:r w:rsidRPr="00294C7F">
              <w:rPr>
                <w:rFonts w:asciiTheme="minorHAnsi" w:eastAsia="Times New Roman" w:hAnsiTheme="minorHAnsi" w:cstheme="minorHAnsi"/>
                <w:color w:val="0070C0"/>
                <w:lang w:eastAsia="es-CR"/>
              </w:rPr>
              <w:t xml:space="preserve"> en la plataforma Moodle</w:t>
            </w:r>
          </w:p>
          <w:p w14:paraId="07D1FE8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1E1E7D5A"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lastRenderedPageBreak/>
              <w:t>Realizar las lecturas de la sesión.</w:t>
            </w:r>
          </w:p>
          <w:p w14:paraId="12BBA649"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7. </w:t>
            </w:r>
          </w:p>
          <w:p w14:paraId="43E70806"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lastRenderedPageBreak/>
              <w:t>Participación en el encuentro sincrónico virtual.</w:t>
            </w:r>
          </w:p>
          <w:p w14:paraId="112BAF4A"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Realización del quiz de comprobación 6.</w:t>
            </w:r>
          </w:p>
        </w:tc>
      </w:tr>
      <w:tr w:rsidR="00294C7F" w:rsidRPr="00294C7F" w14:paraId="7C7F0600" w14:textId="77777777" w:rsidTr="4C9C2619">
        <w:trPr>
          <w:jc w:val="center"/>
        </w:trPr>
        <w:tc>
          <w:tcPr>
            <w:tcW w:w="1144" w:type="dxa"/>
          </w:tcPr>
          <w:p w14:paraId="49904932"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3F54CF5E"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9</w:t>
            </w:r>
          </w:p>
        </w:tc>
        <w:tc>
          <w:tcPr>
            <w:tcW w:w="2308" w:type="dxa"/>
          </w:tcPr>
          <w:p w14:paraId="33A4189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r w:rsidRPr="00294C7F">
              <w:rPr>
                <w:rFonts w:asciiTheme="minorHAnsi" w:eastAsia="Times New Roman" w:hAnsiTheme="minorHAnsi" w:cstheme="minorHAnsi"/>
                <w:b/>
                <w:bCs/>
                <w:color w:val="000000"/>
                <w:lang w:eastAsia="es-CR"/>
              </w:rPr>
              <w:t>Unidad 2: La oración verbal (I)</w:t>
            </w:r>
          </w:p>
          <w:p w14:paraId="394F878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3B104FB8"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 xml:space="preserve">2.3 Partículas </w:t>
            </w:r>
          </w:p>
          <w:p w14:paraId="7BCF065B"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0000"/>
                <w:lang w:eastAsia="es-CR"/>
              </w:rPr>
              <w:t xml:space="preserve">2.4 Particularidades de la oración hebrea: cadena </w:t>
            </w:r>
            <w:proofErr w:type="spellStart"/>
            <w:r w:rsidRPr="00294C7F">
              <w:rPr>
                <w:rFonts w:asciiTheme="minorHAnsi" w:eastAsia="Times New Roman" w:hAnsiTheme="minorHAnsi" w:cstheme="minorHAnsi"/>
                <w:color w:val="000000"/>
                <w:lang w:eastAsia="es-CR"/>
              </w:rPr>
              <w:t>constructa</w:t>
            </w:r>
            <w:proofErr w:type="spellEnd"/>
          </w:p>
          <w:p w14:paraId="5033B9F5"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p>
        </w:tc>
        <w:tc>
          <w:tcPr>
            <w:tcW w:w="3206" w:type="dxa"/>
          </w:tcPr>
          <w:p w14:paraId="6B71D13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0874AD7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7F303AF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 xml:space="preserve">Farfán, Enrique. “El artículo y el interrogativo”, “Copulativo y otros prefijos”, “Pronombre personal”, “Pronombres demostrativo y relativo”, “Pronombres interrogativo e indefinido”, “Estado absoluto y constructo”. En </w:t>
            </w:r>
            <w:r w:rsidRPr="00294C7F">
              <w:rPr>
                <w:rFonts w:asciiTheme="minorHAnsi" w:eastAsia="Times New Roman" w:hAnsiTheme="minorHAnsi" w:cstheme="minorHAnsi"/>
                <w:i/>
                <w:iCs/>
                <w:color w:val="000000"/>
                <w:lang w:val="es-ES_tradnl" w:eastAsia="es-CR"/>
              </w:rPr>
              <w:t>Gramática elemental del hebreo bíblico</w:t>
            </w:r>
            <w:r w:rsidRPr="00294C7F">
              <w:rPr>
                <w:rFonts w:asciiTheme="minorHAnsi" w:eastAsia="Times New Roman" w:hAnsiTheme="minorHAnsi" w:cstheme="minorHAnsi"/>
                <w:color w:val="000000"/>
                <w:lang w:val="es-ES_tradnl" w:eastAsia="es-CR"/>
              </w:rPr>
              <w:t xml:space="preserve">, 24-31 y 34-35. Estella: Verbo Divino, 2018. </w:t>
            </w:r>
            <w:r w:rsidRPr="00294C7F">
              <w:rPr>
                <w:rFonts w:asciiTheme="minorHAnsi" w:eastAsia="Times New Roman" w:hAnsiTheme="minorHAnsi" w:cstheme="minorHAnsi"/>
                <w:color w:val="0070C0"/>
                <w:lang w:eastAsia="es-CR"/>
              </w:rPr>
              <w:t>(clásico, última edición)</w:t>
            </w:r>
          </w:p>
          <w:p w14:paraId="7854376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51DD700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“Afirmación de existencia”, “La partícula interrogativa”, “La cadena </w:t>
            </w:r>
            <w:proofErr w:type="spellStart"/>
            <w:r w:rsidRPr="00294C7F">
              <w:rPr>
                <w:rFonts w:asciiTheme="minorHAnsi" w:eastAsia="Times New Roman" w:hAnsiTheme="minorHAnsi" w:cstheme="minorHAnsi"/>
                <w:color w:val="000000"/>
                <w:lang w:val="es-ES_tradnl" w:eastAsia="es-CR"/>
              </w:rPr>
              <w:t>constructa</w:t>
            </w:r>
            <w:proofErr w:type="spellEnd"/>
            <w:r w:rsidRPr="00294C7F">
              <w:rPr>
                <w:rFonts w:asciiTheme="minorHAnsi" w:eastAsia="Times New Roman" w:hAnsiTheme="minorHAnsi" w:cstheme="minorHAnsi"/>
                <w:color w:val="000000"/>
                <w:lang w:val="es-ES_tradnl" w:eastAsia="es-CR"/>
              </w:rPr>
              <w:t xml:space="preserve">”, “La forma del constructo singular”, “Los pronombres interrogativos”.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28, 46, 65-68 y 81. Estella: </w:t>
            </w:r>
            <w:r w:rsidRPr="00294C7F">
              <w:rPr>
                <w:rFonts w:asciiTheme="minorHAnsi" w:eastAsia="Times New Roman" w:hAnsiTheme="minorHAnsi" w:cstheme="minorHAnsi"/>
                <w:color w:val="000000"/>
                <w:lang w:eastAsia="es-CR"/>
              </w:rPr>
              <w:t xml:space="preserve">Verbo Divino, 2018. </w:t>
            </w:r>
            <w:r w:rsidRPr="00294C7F">
              <w:rPr>
                <w:rFonts w:asciiTheme="minorHAnsi" w:eastAsia="Times New Roman" w:hAnsiTheme="minorHAnsi" w:cstheme="minorHAnsi"/>
                <w:color w:val="0070C0"/>
                <w:lang w:eastAsia="es-CR"/>
              </w:rPr>
              <w:t>(clásico, última edición)</w:t>
            </w:r>
          </w:p>
          <w:p w14:paraId="3720D7F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020A5436"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r w:rsidRPr="00294C7F">
              <w:rPr>
                <w:rFonts w:asciiTheme="minorHAnsi" w:eastAsia="Times New Roman" w:hAnsiTheme="minorHAnsi" w:cstheme="minorHAnsi"/>
                <w:b/>
                <w:bCs/>
                <w:color w:val="0070C0"/>
                <w:lang w:eastAsia="es-CR"/>
              </w:rPr>
              <w:t>Material complementario</w:t>
            </w:r>
          </w:p>
          <w:p w14:paraId="614D4C8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p>
          <w:p w14:paraId="6D7E61C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70C0"/>
                <w:lang w:eastAsia="es-CR"/>
              </w:rPr>
              <w:lastRenderedPageBreak/>
              <w:t xml:space="preserve">Guía para la participación mediante la herramienta Big Blue </w:t>
            </w:r>
            <w:proofErr w:type="spellStart"/>
            <w:r w:rsidRPr="00294C7F">
              <w:rPr>
                <w:rFonts w:asciiTheme="minorHAnsi" w:eastAsia="Times New Roman" w:hAnsiTheme="minorHAnsi" w:cstheme="minorHAnsi"/>
                <w:color w:val="0070C0"/>
                <w:lang w:eastAsia="es-CR"/>
              </w:rPr>
              <w:t>Button</w:t>
            </w:r>
            <w:proofErr w:type="spellEnd"/>
            <w:r w:rsidRPr="00294C7F">
              <w:rPr>
                <w:rFonts w:asciiTheme="minorHAnsi" w:eastAsia="Times New Roman" w:hAnsiTheme="minorHAnsi" w:cstheme="minorHAnsi"/>
                <w:color w:val="0070C0"/>
                <w:lang w:eastAsia="es-CR"/>
              </w:rPr>
              <w:t xml:space="preserve"> en la plataforma Moodle</w:t>
            </w:r>
          </w:p>
          <w:p w14:paraId="247A657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069258A0"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lastRenderedPageBreak/>
              <w:t>Realizar las lecturas de la sesión.</w:t>
            </w:r>
          </w:p>
          <w:p w14:paraId="375EAAEC"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8. </w:t>
            </w:r>
          </w:p>
          <w:p w14:paraId="45CFED6F"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encuentro sincrónico virtual.</w:t>
            </w:r>
          </w:p>
          <w:p w14:paraId="54D4A306"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Realización del quiz de comprobación 7.</w:t>
            </w:r>
          </w:p>
        </w:tc>
      </w:tr>
      <w:tr w:rsidR="00294C7F" w:rsidRPr="00294C7F" w14:paraId="65C662B8" w14:textId="77777777" w:rsidTr="4C9C2619">
        <w:trPr>
          <w:jc w:val="center"/>
        </w:trPr>
        <w:tc>
          <w:tcPr>
            <w:tcW w:w="1144" w:type="dxa"/>
          </w:tcPr>
          <w:p w14:paraId="301632A0"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5EA0EB15"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10</w:t>
            </w:r>
          </w:p>
        </w:tc>
        <w:tc>
          <w:tcPr>
            <w:tcW w:w="2308" w:type="dxa"/>
          </w:tcPr>
          <w:p w14:paraId="5E675EFE"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Unidad 3: La oración verbal (II)</w:t>
            </w:r>
          </w:p>
          <w:p w14:paraId="3EB4125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1D313654"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3.1 Verbo perfecto</w:t>
            </w:r>
          </w:p>
          <w:p w14:paraId="03FE055E"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206" w:type="dxa"/>
          </w:tcPr>
          <w:p w14:paraId="43209A40"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54CA5E7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7296030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 xml:space="preserve">Farfán, Enrique. “El verbo en general”, “El verbo fuerte”. En </w:t>
            </w:r>
            <w:r w:rsidRPr="00294C7F">
              <w:rPr>
                <w:rFonts w:asciiTheme="minorHAnsi" w:eastAsia="Times New Roman" w:hAnsiTheme="minorHAnsi" w:cstheme="minorHAnsi"/>
                <w:i/>
                <w:iCs/>
                <w:color w:val="000000"/>
                <w:lang w:val="es-ES_tradnl" w:eastAsia="es-CR"/>
              </w:rPr>
              <w:t>Gramática elemental del hebreo bíblico</w:t>
            </w:r>
            <w:r w:rsidRPr="00294C7F">
              <w:rPr>
                <w:rFonts w:asciiTheme="minorHAnsi" w:eastAsia="Times New Roman" w:hAnsiTheme="minorHAnsi" w:cstheme="minorHAnsi"/>
                <w:color w:val="000000"/>
                <w:lang w:val="es-ES_tradnl" w:eastAsia="es-CR"/>
              </w:rPr>
              <w:t xml:space="preserve">, 50-55. Estella: Verbo Divino, 2018. </w:t>
            </w:r>
            <w:r w:rsidRPr="00294C7F">
              <w:rPr>
                <w:rFonts w:asciiTheme="minorHAnsi" w:eastAsia="Times New Roman" w:hAnsiTheme="minorHAnsi" w:cstheme="minorHAnsi"/>
                <w:color w:val="0070C0"/>
                <w:lang w:eastAsia="es-CR"/>
              </w:rPr>
              <w:t>(clásico, última edición)</w:t>
            </w:r>
          </w:p>
          <w:p w14:paraId="7FFFAFB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0F04B68E"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“El perfecto de </w:t>
            </w:r>
            <w:proofErr w:type="spellStart"/>
            <w:r w:rsidRPr="00294C7F">
              <w:rPr>
                <w:rFonts w:asciiTheme="minorHAnsi" w:eastAsia="Times New Roman" w:hAnsiTheme="minorHAnsi" w:cstheme="minorHAnsi"/>
                <w:color w:val="000000"/>
                <w:lang w:val="es-ES_tradnl" w:eastAsia="es-CR"/>
              </w:rPr>
              <w:t>katab</w:t>
            </w:r>
            <w:proofErr w:type="spellEnd"/>
            <w:r w:rsidRPr="00294C7F">
              <w:rPr>
                <w:rFonts w:asciiTheme="minorHAnsi" w:eastAsia="Times New Roman" w:hAnsiTheme="minorHAnsi" w:cstheme="minorHAnsi"/>
                <w:color w:val="000000"/>
                <w:lang w:val="es-ES_tradnl" w:eastAsia="es-CR"/>
              </w:rPr>
              <w:t xml:space="preserve">”, “El significado del perfecto”, “El orden de las palabras en las oraciones verbales”.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35-37. Estella: </w:t>
            </w:r>
            <w:r w:rsidRPr="00294C7F">
              <w:rPr>
                <w:rFonts w:asciiTheme="minorHAnsi" w:eastAsia="Times New Roman" w:hAnsiTheme="minorHAnsi" w:cstheme="minorHAnsi"/>
                <w:color w:val="000000"/>
                <w:lang w:eastAsia="es-CR"/>
              </w:rPr>
              <w:t xml:space="preserve">Verbo Divino, 2018. </w:t>
            </w:r>
            <w:r w:rsidRPr="00294C7F">
              <w:rPr>
                <w:rFonts w:asciiTheme="minorHAnsi" w:eastAsia="Times New Roman" w:hAnsiTheme="minorHAnsi" w:cstheme="minorHAnsi"/>
                <w:color w:val="0070C0"/>
                <w:lang w:eastAsia="es-CR"/>
              </w:rPr>
              <w:t>(clásico, última edición)</w:t>
            </w:r>
          </w:p>
          <w:p w14:paraId="42DC2C8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13A5AAD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0000"/>
                <w:lang w:eastAsia="es-CR"/>
              </w:rPr>
              <w:t>Ni</w:t>
            </w:r>
            <w:proofErr w:type="spellStart"/>
            <w:r w:rsidRPr="00294C7F">
              <w:rPr>
                <w:rFonts w:asciiTheme="minorHAnsi" w:eastAsia="Times New Roman" w:hAnsiTheme="minorHAnsi" w:cstheme="minorHAnsi"/>
                <w:color w:val="000000"/>
                <w:lang w:val="es-ES_tradnl" w:eastAsia="es-CR"/>
              </w:rPr>
              <w:t>ccacci</w:t>
            </w:r>
            <w:proofErr w:type="spellEnd"/>
            <w:r w:rsidRPr="00294C7F">
              <w:rPr>
                <w:rFonts w:asciiTheme="minorHAnsi" w:eastAsia="Times New Roman" w:hAnsiTheme="minorHAnsi" w:cstheme="minorHAnsi"/>
                <w:color w:val="000000"/>
                <w:lang w:val="es-ES_tradnl" w:eastAsia="es-CR"/>
              </w:rPr>
              <w:t xml:space="preserve">, </w:t>
            </w:r>
            <w:proofErr w:type="spellStart"/>
            <w:r w:rsidRPr="00294C7F">
              <w:rPr>
                <w:rFonts w:asciiTheme="minorHAnsi" w:eastAsia="Times New Roman" w:hAnsiTheme="minorHAnsi" w:cstheme="minorHAnsi"/>
                <w:color w:val="000000"/>
                <w:lang w:val="es-ES_tradnl" w:eastAsia="es-CR"/>
              </w:rPr>
              <w:t>Alviero</w:t>
            </w:r>
            <w:proofErr w:type="spellEnd"/>
            <w:r w:rsidRPr="00294C7F">
              <w:rPr>
                <w:rFonts w:asciiTheme="minorHAnsi" w:eastAsia="Times New Roman" w:hAnsiTheme="minorHAnsi" w:cstheme="minorHAnsi"/>
                <w:color w:val="000000"/>
                <w:lang w:val="es-ES_tradnl" w:eastAsia="es-CR"/>
              </w:rPr>
              <w:t xml:space="preserve">. “Narración y comentario”. En </w:t>
            </w:r>
            <w:r w:rsidRPr="00294C7F">
              <w:rPr>
                <w:rFonts w:asciiTheme="minorHAnsi" w:eastAsia="Times New Roman" w:hAnsiTheme="minorHAnsi" w:cstheme="minorHAnsi"/>
                <w:i/>
                <w:iCs/>
                <w:color w:val="000000"/>
                <w:lang w:val="es-ES_tradnl" w:eastAsia="es-CR"/>
              </w:rPr>
              <w:t>Sintaxis del hebreo bíblico</w:t>
            </w:r>
            <w:r w:rsidRPr="00294C7F">
              <w:rPr>
                <w:rFonts w:asciiTheme="minorHAnsi" w:eastAsia="Times New Roman" w:hAnsiTheme="minorHAnsi" w:cstheme="minorHAnsi"/>
                <w:color w:val="000000"/>
                <w:lang w:val="es-ES_tradnl" w:eastAsia="es-CR"/>
              </w:rPr>
              <w:t xml:space="preserve">, 27-37. </w:t>
            </w:r>
            <w:r w:rsidRPr="00294C7F">
              <w:rPr>
                <w:rFonts w:asciiTheme="minorHAnsi" w:eastAsia="Times New Roman" w:hAnsiTheme="minorHAnsi" w:cstheme="minorHAnsi"/>
                <w:color w:val="000000"/>
                <w:lang w:eastAsia="es-CR"/>
              </w:rPr>
              <w:t xml:space="preserve">Estella: Verbo Divino, 2002. </w:t>
            </w:r>
            <w:r w:rsidRPr="00294C7F">
              <w:rPr>
                <w:rFonts w:asciiTheme="minorHAnsi" w:eastAsia="Times New Roman" w:hAnsiTheme="minorHAnsi" w:cstheme="minorHAnsi"/>
                <w:color w:val="0070C0"/>
                <w:lang w:eastAsia="es-CR"/>
              </w:rPr>
              <w:t>(clásico, última reimpresión 2014)</w:t>
            </w:r>
          </w:p>
          <w:p w14:paraId="55989602"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59BFADA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Material complementario</w:t>
            </w:r>
          </w:p>
          <w:p w14:paraId="2974F0B3"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0642DC7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563C1"/>
                <w:u w:val="single"/>
                <w:lang w:eastAsia="es-CR"/>
              </w:rPr>
            </w:pPr>
            <w:r w:rsidRPr="00294C7F">
              <w:rPr>
                <w:rFonts w:asciiTheme="minorHAnsi" w:eastAsia="Times New Roman" w:hAnsiTheme="minorHAnsi" w:cstheme="minorHAnsi"/>
                <w:lang w:eastAsia="es-CR"/>
              </w:rPr>
              <w:t xml:space="preserve">Torres Fernández, Antonio. “«Aspecto verbal» y «Tiempo» en la conjugación hebrea (parte segunda): Reflexiones de un octogenario”. </w:t>
            </w:r>
            <w:r w:rsidRPr="00294C7F">
              <w:rPr>
                <w:rFonts w:asciiTheme="minorHAnsi" w:eastAsia="Times New Roman" w:hAnsiTheme="minorHAnsi" w:cstheme="minorHAnsi"/>
                <w:i/>
                <w:iCs/>
                <w:lang w:eastAsia="es-CR"/>
              </w:rPr>
              <w:t>MEAH Sección Hebreo</w:t>
            </w:r>
            <w:r w:rsidRPr="00294C7F">
              <w:rPr>
                <w:rFonts w:asciiTheme="minorHAnsi" w:eastAsia="Times New Roman" w:hAnsiTheme="minorHAnsi" w:cstheme="minorHAnsi"/>
                <w:lang w:eastAsia="es-CR"/>
              </w:rPr>
              <w:t xml:space="preserve"> 60 (2011): 273-299. Acceso el 3 de noviembre de 2022. </w:t>
            </w:r>
            <w:hyperlink r:id="rId275">
              <w:r w:rsidRPr="00294C7F">
                <w:rPr>
                  <w:rFonts w:asciiTheme="minorHAnsi" w:eastAsia="Times New Roman" w:hAnsiTheme="minorHAnsi" w:cstheme="minorHAnsi"/>
                  <w:color w:val="0563C1"/>
                  <w:u w:val="single"/>
                  <w:lang w:eastAsia="es-CR"/>
                </w:rPr>
                <w:t>https://revistaseug.ugr.es/index.php/meahhebreo/article/view/12503</w:t>
              </w:r>
            </w:hyperlink>
          </w:p>
          <w:p w14:paraId="4E11A2F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15A5CBBA" w14:textId="77777777" w:rsidR="00294C7F" w:rsidRPr="00294C7F" w:rsidRDefault="4C9C2619" w:rsidP="4C9C2619">
            <w:pPr>
              <w:widowControl w:val="0"/>
              <w:overflowPunct w:val="0"/>
              <w:autoSpaceDE w:val="0"/>
              <w:autoSpaceDN w:val="0"/>
              <w:adjustRightInd w:val="0"/>
              <w:rPr>
                <w:rFonts w:asciiTheme="minorHAnsi" w:eastAsia="Times New Roman" w:hAnsiTheme="minorHAnsi"/>
                <w:color w:val="0070C0"/>
                <w:lang w:eastAsia="es-CR"/>
              </w:rPr>
            </w:pPr>
            <w:r w:rsidRPr="4C9C2619">
              <w:rPr>
                <w:rFonts w:asciiTheme="minorHAnsi" w:eastAsia="Times New Roman" w:hAnsiTheme="minorHAnsi"/>
                <w:color w:val="0070C0"/>
                <w:lang w:eastAsia="es-CR"/>
              </w:rPr>
              <w:t xml:space="preserve">Guía para la participación mediante la herramienta Big Blue </w:t>
            </w:r>
            <w:proofErr w:type="spellStart"/>
            <w:r w:rsidRPr="4C9C2619">
              <w:rPr>
                <w:rFonts w:asciiTheme="minorHAnsi" w:eastAsia="Times New Roman" w:hAnsiTheme="minorHAnsi"/>
                <w:color w:val="0070C0"/>
                <w:lang w:eastAsia="es-CR"/>
              </w:rPr>
              <w:t>Button</w:t>
            </w:r>
            <w:proofErr w:type="spellEnd"/>
            <w:r w:rsidRPr="4C9C2619">
              <w:rPr>
                <w:rFonts w:asciiTheme="minorHAnsi" w:eastAsia="Times New Roman" w:hAnsiTheme="minorHAnsi"/>
                <w:color w:val="0070C0"/>
                <w:lang w:eastAsia="es-CR"/>
              </w:rPr>
              <w:t xml:space="preserve"> en la plataforma Moodle</w:t>
            </w:r>
          </w:p>
          <w:p w14:paraId="14856AE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p>
          <w:p w14:paraId="5D63BD18"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lastRenderedPageBreak/>
              <w:t>Guía para la participación en un foro en la plataforma Moodle</w:t>
            </w:r>
          </w:p>
          <w:p w14:paraId="565A27F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p>
        </w:tc>
        <w:tc>
          <w:tcPr>
            <w:tcW w:w="3118" w:type="dxa"/>
          </w:tcPr>
          <w:p w14:paraId="5BBD3927"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lastRenderedPageBreak/>
              <w:t>Realizar las lecturas de la sesión.</w:t>
            </w:r>
          </w:p>
          <w:p w14:paraId="05466D01"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9. </w:t>
            </w:r>
          </w:p>
          <w:p w14:paraId="79D07F0D"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encuentro sincrónico virtual.</w:t>
            </w:r>
          </w:p>
          <w:p w14:paraId="4EA6FEB2"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Realización del quiz de comprobación 8.</w:t>
            </w:r>
          </w:p>
          <w:p w14:paraId="7785DEEF"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foro temático.</w:t>
            </w:r>
          </w:p>
        </w:tc>
      </w:tr>
      <w:tr w:rsidR="00294C7F" w:rsidRPr="00294C7F" w14:paraId="76DD9AEF" w14:textId="77777777" w:rsidTr="4C9C2619">
        <w:trPr>
          <w:jc w:val="center"/>
        </w:trPr>
        <w:tc>
          <w:tcPr>
            <w:tcW w:w="1144" w:type="dxa"/>
          </w:tcPr>
          <w:p w14:paraId="06C61C44"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793713FF"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11</w:t>
            </w:r>
          </w:p>
        </w:tc>
        <w:tc>
          <w:tcPr>
            <w:tcW w:w="2308" w:type="dxa"/>
          </w:tcPr>
          <w:p w14:paraId="51071FC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Unidad 3: La oración verbal (II)</w:t>
            </w:r>
          </w:p>
          <w:p w14:paraId="195B4F7E"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5F0556B5"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3.2 Verbo imperfecto</w:t>
            </w:r>
          </w:p>
          <w:p w14:paraId="6ADC57F6"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0000"/>
                <w:lang w:eastAsia="es-CR"/>
              </w:rPr>
              <w:t xml:space="preserve">3.3 El imperativo, el </w:t>
            </w:r>
            <w:proofErr w:type="spellStart"/>
            <w:r w:rsidRPr="00294C7F">
              <w:rPr>
                <w:rFonts w:asciiTheme="minorHAnsi" w:eastAsia="Times New Roman" w:hAnsiTheme="minorHAnsi" w:cstheme="minorHAnsi"/>
                <w:color w:val="000000"/>
                <w:lang w:eastAsia="es-CR"/>
              </w:rPr>
              <w:t>cohortativo</w:t>
            </w:r>
            <w:proofErr w:type="spellEnd"/>
            <w:r w:rsidRPr="00294C7F">
              <w:rPr>
                <w:rFonts w:asciiTheme="minorHAnsi" w:eastAsia="Times New Roman" w:hAnsiTheme="minorHAnsi" w:cstheme="minorHAnsi"/>
                <w:color w:val="000000"/>
                <w:lang w:eastAsia="es-CR"/>
              </w:rPr>
              <w:t xml:space="preserve"> y el yusivo</w:t>
            </w:r>
          </w:p>
          <w:p w14:paraId="22275C06"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p>
        </w:tc>
        <w:tc>
          <w:tcPr>
            <w:tcW w:w="3206" w:type="dxa"/>
          </w:tcPr>
          <w:p w14:paraId="5B021C22"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7AFE28E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03741CF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0000"/>
                <w:lang w:eastAsia="es-CR"/>
              </w:rPr>
              <w:t>Farfán, Enrique. “Imperfecto e imperativo qal”, “</w:t>
            </w:r>
            <w:proofErr w:type="spellStart"/>
            <w:r w:rsidRPr="00294C7F">
              <w:rPr>
                <w:rFonts w:asciiTheme="minorHAnsi" w:eastAsia="Times New Roman" w:hAnsiTheme="minorHAnsi" w:cstheme="minorHAnsi"/>
                <w:color w:val="000000"/>
                <w:lang w:eastAsia="es-CR"/>
              </w:rPr>
              <w:t>Cohortativo</w:t>
            </w:r>
            <w:proofErr w:type="spellEnd"/>
            <w:r w:rsidRPr="00294C7F">
              <w:rPr>
                <w:rFonts w:asciiTheme="minorHAnsi" w:eastAsia="Times New Roman" w:hAnsiTheme="minorHAnsi" w:cstheme="minorHAnsi"/>
                <w:color w:val="000000"/>
                <w:lang w:eastAsia="es-CR"/>
              </w:rPr>
              <w:t xml:space="preserve"> y yusivo”. En </w:t>
            </w:r>
            <w:r w:rsidRPr="00294C7F">
              <w:rPr>
                <w:rFonts w:asciiTheme="minorHAnsi" w:eastAsia="Times New Roman" w:hAnsiTheme="minorHAnsi" w:cstheme="minorHAnsi"/>
                <w:i/>
                <w:iCs/>
                <w:color w:val="000000"/>
                <w:lang w:eastAsia="es-CR"/>
              </w:rPr>
              <w:t>Gramática elemental del hebreo bíblico</w:t>
            </w:r>
            <w:r w:rsidRPr="00294C7F">
              <w:rPr>
                <w:rFonts w:asciiTheme="minorHAnsi" w:eastAsia="Times New Roman" w:hAnsiTheme="minorHAnsi" w:cstheme="minorHAnsi"/>
                <w:color w:val="000000"/>
                <w:lang w:eastAsia="es-CR"/>
              </w:rPr>
              <w:t xml:space="preserve">, 56-59. Estella: Verbo Divino, 2018. </w:t>
            </w:r>
            <w:r w:rsidRPr="00294C7F">
              <w:rPr>
                <w:rFonts w:asciiTheme="minorHAnsi" w:eastAsia="Times New Roman" w:hAnsiTheme="minorHAnsi" w:cstheme="minorHAnsi"/>
                <w:color w:val="0070C0"/>
                <w:lang w:eastAsia="es-CR"/>
              </w:rPr>
              <w:t>(clásico, última edición)</w:t>
            </w:r>
          </w:p>
          <w:p w14:paraId="188894C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4AC0C76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“El imperfecto”, “El significado del imperfecto”, “El yusivo y el </w:t>
            </w:r>
            <w:proofErr w:type="spellStart"/>
            <w:r w:rsidRPr="00294C7F">
              <w:rPr>
                <w:rFonts w:asciiTheme="minorHAnsi" w:eastAsia="Times New Roman" w:hAnsiTheme="minorHAnsi" w:cstheme="minorHAnsi"/>
                <w:color w:val="000000"/>
                <w:lang w:val="es-ES_tradnl" w:eastAsia="es-CR"/>
              </w:rPr>
              <w:t>cohortativo</w:t>
            </w:r>
            <w:proofErr w:type="spellEnd"/>
            <w:r w:rsidRPr="00294C7F">
              <w:rPr>
                <w:rFonts w:asciiTheme="minorHAnsi" w:eastAsia="Times New Roman" w:hAnsiTheme="minorHAnsi" w:cstheme="minorHAnsi"/>
                <w:color w:val="000000"/>
                <w:lang w:val="es-ES_tradnl" w:eastAsia="es-CR"/>
              </w:rPr>
              <w:t xml:space="preserve">”, “Secuencias con imperativo, yusivo y </w:t>
            </w:r>
            <w:proofErr w:type="spellStart"/>
            <w:r w:rsidRPr="00294C7F">
              <w:rPr>
                <w:rFonts w:asciiTheme="minorHAnsi" w:eastAsia="Times New Roman" w:hAnsiTheme="minorHAnsi" w:cstheme="minorHAnsi"/>
                <w:color w:val="000000"/>
                <w:lang w:val="es-ES_tradnl" w:eastAsia="es-CR"/>
              </w:rPr>
              <w:t>cohortativo</w:t>
            </w:r>
            <w:proofErr w:type="spellEnd"/>
            <w:r w:rsidRPr="00294C7F">
              <w:rPr>
                <w:rFonts w:asciiTheme="minorHAnsi" w:eastAsia="Times New Roman" w:hAnsiTheme="minorHAnsi" w:cstheme="minorHAnsi"/>
                <w:color w:val="000000"/>
                <w:lang w:val="es-ES_tradnl" w:eastAsia="es-CR"/>
              </w:rPr>
              <w:t xml:space="preserve">”.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98-99 y 118-119. Estella: </w:t>
            </w:r>
            <w:r w:rsidRPr="00294C7F">
              <w:rPr>
                <w:rFonts w:asciiTheme="minorHAnsi" w:eastAsia="Times New Roman" w:hAnsiTheme="minorHAnsi" w:cstheme="minorHAnsi"/>
                <w:color w:val="000000"/>
                <w:lang w:eastAsia="es-CR"/>
              </w:rPr>
              <w:t xml:space="preserve">Verbo Divino, 2018. </w:t>
            </w:r>
            <w:r w:rsidRPr="00294C7F">
              <w:rPr>
                <w:rFonts w:asciiTheme="minorHAnsi" w:eastAsia="Times New Roman" w:hAnsiTheme="minorHAnsi" w:cstheme="minorHAnsi"/>
                <w:color w:val="0070C0"/>
                <w:lang w:eastAsia="es-CR"/>
              </w:rPr>
              <w:t>(clásico, última edición)</w:t>
            </w:r>
          </w:p>
          <w:p w14:paraId="60AF635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4383943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r w:rsidRPr="00294C7F">
              <w:rPr>
                <w:rFonts w:asciiTheme="minorHAnsi" w:eastAsia="Times New Roman" w:hAnsiTheme="minorHAnsi" w:cstheme="minorHAnsi"/>
                <w:b/>
                <w:bCs/>
                <w:color w:val="0070C0"/>
                <w:lang w:eastAsia="es-CR"/>
              </w:rPr>
              <w:t>Material complementario</w:t>
            </w:r>
          </w:p>
          <w:p w14:paraId="29D8F87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p>
          <w:p w14:paraId="03C1A15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70C0"/>
                <w:lang w:eastAsia="es-CR"/>
              </w:rPr>
              <w:t xml:space="preserve">Guía para la participación mediante la herramienta Big Blue </w:t>
            </w:r>
            <w:proofErr w:type="spellStart"/>
            <w:r w:rsidRPr="00294C7F">
              <w:rPr>
                <w:rFonts w:asciiTheme="minorHAnsi" w:eastAsia="Times New Roman" w:hAnsiTheme="minorHAnsi" w:cstheme="minorHAnsi"/>
                <w:color w:val="0070C0"/>
                <w:lang w:eastAsia="es-CR"/>
              </w:rPr>
              <w:t>Button</w:t>
            </w:r>
            <w:proofErr w:type="spellEnd"/>
            <w:r w:rsidRPr="00294C7F">
              <w:rPr>
                <w:rFonts w:asciiTheme="minorHAnsi" w:eastAsia="Times New Roman" w:hAnsiTheme="minorHAnsi" w:cstheme="minorHAnsi"/>
                <w:color w:val="0070C0"/>
                <w:lang w:eastAsia="es-CR"/>
              </w:rPr>
              <w:t xml:space="preserve"> en la plataforma Moodle</w:t>
            </w:r>
          </w:p>
          <w:p w14:paraId="3657367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4AD20F82"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Realizar las lecturas de la sesión.</w:t>
            </w:r>
          </w:p>
          <w:p w14:paraId="77A9CD9B"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10. </w:t>
            </w:r>
          </w:p>
          <w:p w14:paraId="4841BC47"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encuentro sincrónico virtual.</w:t>
            </w:r>
          </w:p>
          <w:p w14:paraId="1CE0CB22"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Realización del quiz de comprobación 9.</w:t>
            </w:r>
          </w:p>
        </w:tc>
      </w:tr>
      <w:tr w:rsidR="00294C7F" w:rsidRPr="00294C7F" w14:paraId="0B7D4C53" w14:textId="77777777" w:rsidTr="4C9C2619">
        <w:trPr>
          <w:jc w:val="center"/>
        </w:trPr>
        <w:tc>
          <w:tcPr>
            <w:tcW w:w="1144" w:type="dxa"/>
          </w:tcPr>
          <w:p w14:paraId="2E8DBCE2"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0E93FFE6"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12</w:t>
            </w:r>
          </w:p>
        </w:tc>
        <w:tc>
          <w:tcPr>
            <w:tcW w:w="2308" w:type="dxa"/>
          </w:tcPr>
          <w:p w14:paraId="5ECCCD34"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r w:rsidRPr="00294C7F">
              <w:rPr>
                <w:rFonts w:asciiTheme="minorHAnsi" w:eastAsia="Times New Roman" w:hAnsiTheme="minorHAnsi" w:cstheme="minorHAnsi"/>
                <w:b/>
                <w:bCs/>
                <w:color w:val="000000"/>
                <w:lang w:eastAsia="es-CR"/>
              </w:rPr>
              <w:t>Unidad 4: Sintaxis y traducción</w:t>
            </w:r>
          </w:p>
          <w:p w14:paraId="71E93BF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1BAFAC5C"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eastAsia="es-CR"/>
              </w:rPr>
              <w:t>4.1</w:t>
            </w:r>
            <w:r w:rsidRPr="00294C7F">
              <w:rPr>
                <w:rFonts w:asciiTheme="minorHAnsi" w:eastAsia="Times New Roman" w:hAnsiTheme="minorHAnsi" w:cstheme="minorHAnsi"/>
                <w:b/>
                <w:bCs/>
                <w:color w:val="000000"/>
                <w:lang w:eastAsia="es-CR"/>
              </w:rPr>
              <w:t xml:space="preserve"> </w:t>
            </w:r>
            <w:r w:rsidRPr="00294C7F">
              <w:rPr>
                <w:rFonts w:asciiTheme="minorHAnsi" w:eastAsia="Times New Roman" w:hAnsiTheme="minorHAnsi" w:cstheme="minorHAnsi"/>
                <w:color w:val="000000"/>
                <w:lang w:val="es-ES_tradnl" w:eastAsia="es-CR"/>
              </w:rPr>
              <w:t>La oración hebrea: tiempos narrativos</w:t>
            </w:r>
          </w:p>
          <w:p w14:paraId="3D740FAD"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0000"/>
                <w:lang w:eastAsia="es-CR"/>
              </w:rPr>
              <w:t xml:space="preserve">4.2 Partícula relativa </w:t>
            </w:r>
            <w:proofErr w:type="spellStart"/>
            <w:r w:rsidRPr="00294C7F">
              <w:rPr>
                <w:rFonts w:asciiTheme="minorHAnsi" w:eastAsia="Times New Roman" w:hAnsiTheme="minorHAnsi" w:cstheme="minorHAnsi"/>
                <w:color w:val="000000"/>
                <w:lang w:eastAsia="es-CR"/>
              </w:rPr>
              <w:t>asher</w:t>
            </w:r>
            <w:proofErr w:type="spellEnd"/>
          </w:p>
          <w:p w14:paraId="288A39EA"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p>
        </w:tc>
        <w:tc>
          <w:tcPr>
            <w:tcW w:w="3206" w:type="dxa"/>
          </w:tcPr>
          <w:p w14:paraId="59DC8638"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7C1605B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73E6CCA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i/>
                <w:iCs/>
                <w:color w:val="000000"/>
                <w:lang w:val="es-ES_tradnl"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“El relativo </w:t>
            </w:r>
            <w:proofErr w:type="spellStart"/>
            <w:r w:rsidRPr="00294C7F">
              <w:rPr>
                <w:rFonts w:asciiTheme="minorHAnsi" w:eastAsia="Times New Roman" w:hAnsiTheme="minorHAnsi" w:cstheme="minorHAnsi"/>
                <w:color w:val="000000"/>
                <w:lang w:val="es-ES_tradnl" w:eastAsia="es-CR"/>
              </w:rPr>
              <w:t>aser</w:t>
            </w:r>
            <w:proofErr w:type="spellEnd"/>
            <w:r w:rsidRPr="00294C7F">
              <w:rPr>
                <w:rFonts w:asciiTheme="minorHAnsi" w:eastAsia="Times New Roman" w:hAnsiTheme="minorHAnsi" w:cstheme="minorHAnsi"/>
                <w:color w:val="000000"/>
                <w:lang w:val="es-ES_tradnl" w:eastAsia="es-CR"/>
              </w:rPr>
              <w:t xml:space="preserve">”, “Observaciones finales sobre”, “Las secuencias narrativas”.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22, 62-63 y 106-107. Estella: </w:t>
            </w:r>
            <w:r w:rsidRPr="00294C7F">
              <w:rPr>
                <w:rFonts w:asciiTheme="minorHAnsi" w:eastAsia="Times New Roman" w:hAnsiTheme="minorHAnsi" w:cstheme="minorHAnsi"/>
                <w:color w:val="000000"/>
                <w:lang w:eastAsia="es-CR"/>
              </w:rPr>
              <w:t>Verbo Divino, 2018.</w:t>
            </w:r>
            <w:r w:rsidRPr="00294C7F">
              <w:rPr>
                <w:rFonts w:asciiTheme="minorHAnsi" w:eastAsia="Times New Roman" w:hAnsiTheme="minorHAnsi" w:cstheme="minorHAnsi"/>
                <w:i/>
                <w:iCs/>
                <w:color w:val="000000"/>
                <w:lang w:val="es-ES_tradnl" w:eastAsia="es-CR"/>
              </w:rPr>
              <w:t xml:space="preserve"> </w:t>
            </w:r>
            <w:r w:rsidRPr="00294C7F">
              <w:rPr>
                <w:rFonts w:asciiTheme="minorHAnsi" w:eastAsia="Times New Roman" w:hAnsiTheme="minorHAnsi" w:cstheme="minorHAnsi"/>
                <w:color w:val="0070C0"/>
                <w:lang w:eastAsia="es-CR"/>
              </w:rPr>
              <w:t>(clásico, última edición)</w:t>
            </w:r>
          </w:p>
          <w:p w14:paraId="7845BD90"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2686459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 xml:space="preserve">Farfán, Enrique. “Tiempos inversos”. En </w:t>
            </w:r>
            <w:r w:rsidRPr="00294C7F">
              <w:rPr>
                <w:rFonts w:asciiTheme="minorHAnsi" w:eastAsia="Times New Roman" w:hAnsiTheme="minorHAnsi" w:cstheme="minorHAnsi"/>
                <w:i/>
                <w:iCs/>
                <w:color w:val="000000"/>
                <w:lang w:val="es-ES_tradnl" w:eastAsia="es-CR"/>
              </w:rPr>
              <w:t>Gramática elemental del hebreo bíblico</w:t>
            </w:r>
            <w:r w:rsidRPr="00294C7F">
              <w:rPr>
                <w:rFonts w:asciiTheme="minorHAnsi" w:eastAsia="Times New Roman" w:hAnsiTheme="minorHAnsi" w:cstheme="minorHAnsi"/>
                <w:color w:val="000000"/>
                <w:lang w:val="es-ES_tradnl" w:eastAsia="es-CR"/>
              </w:rPr>
              <w:t xml:space="preserve">, 60-61. Estella: Verbo Divino, 2018. </w:t>
            </w:r>
            <w:r w:rsidRPr="00294C7F">
              <w:rPr>
                <w:rFonts w:asciiTheme="minorHAnsi" w:eastAsia="Times New Roman" w:hAnsiTheme="minorHAnsi" w:cstheme="minorHAnsi"/>
                <w:color w:val="0070C0"/>
                <w:lang w:eastAsia="es-CR"/>
              </w:rPr>
              <w:t>(clásico, última edición)</w:t>
            </w:r>
          </w:p>
          <w:p w14:paraId="082934B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2FD8D994"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0000"/>
                <w:lang w:eastAsia="es-CR"/>
              </w:rPr>
              <w:t>Ni</w:t>
            </w:r>
            <w:proofErr w:type="spellStart"/>
            <w:r w:rsidRPr="00294C7F">
              <w:rPr>
                <w:rFonts w:asciiTheme="minorHAnsi" w:eastAsia="Times New Roman" w:hAnsiTheme="minorHAnsi" w:cstheme="minorHAnsi"/>
                <w:color w:val="000000"/>
                <w:lang w:val="es-ES_tradnl" w:eastAsia="es-CR"/>
              </w:rPr>
              <w:t>ccacci</w:t>
            </w:r>
            <w:proofErr w:type="spellEnd"/>
            <w:r w:rsidRPr="00294C7F">
              <w:rPr>
                <w:rFonts w:asciiTheme="minorHAnsi" w:eastAsia="Times New Roman" w:hAnsiTheme="minorHAnsi" w:cstheme="minorHAnsi"/>
                <w:color w:val="000000"/>
                <w:lang w:val="es-ES_tradnl" w:eastAsia="es-CR"/>
              </w:rPr>
              <w:t xml:space="preserve">, </w:t>
            </w:r>
            <w:proofErr w:type="spellStart"/>
            <w:r w:rsidRPr="00294C7F">
              <w:rPr>
                <w:rFonts w:asciiTheme="minorHAnsi" w:eastAsia="Times New Roman" w:hAnsiTheme="minorHAnsi" w:cstheme="minorHAnsi"/>
                <w:color w:val="000000"/>
                <w:lang w:val="es-ES_tradnl" w:eastAsia="es-CR"/>
              </w:rPr>
              <w:t>Alviero</w:t>
            </w:r>
            <w:proofErr w:type="spellEnd"/>
            <w:r w:rsidRPr="00294C7F">
              <w:rPr>
                <w:rFonts w:asciiTheme="minorHAnsi" w:eastAsia="Times New Roman" w:hAnsiTheme="minorHAnsi" w:cstheme="minorHAnsi"/>
                <w:color w:val="000000"/>
                <w:lang w:val="es-ES_tradnl" w:eastAsia="es-CR"/>
              </w:rPr>
              <w:t xml:space="preserve">. “La narración hebrea”. En </w:t>
            </w:r>
            <w:r w:rsidRPr="00294C7F">
              <w:rPr>
                <w:rFonts w:asciiTheme="minorHAnsi" w:eastAsia="Times New Roman" w:hAnsiTheme="minorHAnsi" w:cstheme="minorHAnsi"/>
                <w:i/>
                <w:iCs/>
                <w:color w:val="000000"/>
                <w:lang w:val="es-ES_tradnl" w:eastAsia="es-CR"/>
              </w:rPr>
              <w:t>Sintaxis del hebreo bíblico</w:t>
            </w:r>
            <w:r w:rsidRPr="00294C7F">
              <w:rPr>
                <w:rFonts w:asciiTheme="minorHAnsi" w:eastAsia="Times New Roman" w:hAnsiTheme="minorHAnsi" w:cstheme="minorHAnsi"/>
                <w:color w:val="000000"/>
                <w:lang w:val="es-ES_tradnl" w:eastAsia="es-CR"/>
              </w:rPr>
              <w:t xml:space="preserve">, 49-69. </w:t>
            </w:r>
            <w:r w:rsidRPr="00294C7F">
              <w:rPr>
                <w:rFonts w:asciiTheme="minorHAnsi" w:eastAsia="Times New Roman" w:hAnsiTheme="minorHAnsi" w:cstheme="minorHAnsi"/>
                <w:color w:val="000000"/>
                <w:lang w:eastAsia="es-CR"/>
              </w:rPr>
              <w:t xml:space="preserve">Estella: Verbo </w:t>
            </w:r>
            <w:r w:rsidRPr="00294C7F">
              <w:rPr>
                <w:rFonts w:asciiTheme="minorHAnsi" w:eastAsia="Times New Roman" w:hAnsiTheme="minorHAnsi" w:cstheme="minorHAnsi"/>
                <w:color w:val="000000"/>
                <w:lang w:eastAsia="es-CR"/>
              </w:rPr>
              <w:lastRenderedPageBreak/>
              <w:t>Divino, 2002.</w:t>
            </w:r>
            <w:r w:rsidRPr="00294C7F">
              <w:rPr>
                <w:rFonts w:asciiTheme="minorHAnsi" w:eastAsia="Times New Roman" w:hAnsiTheme="minorHAnsi" w:cstheme="minorHAnsi"/>
                <w:color w:val="0070C0"/>
                <w:lang w:eastAsia="es-CR"/>
              </w:rPr>
              <w:t xml:space="preserve"> (clásico, última reimpresión 2014)</w:t>
            </w:r>
          </w:p>
          <w:p w14:paraId="2D1FCEF8"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3853CF8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r w:rsidRPr="00294C7F">
              <w:rPr>
                <w:rFonts w:asciiTheme="minorHAnsi" w:eastAsia="Times New Roman" w:hAnsiTheme="minorHAnsi" w:cstheme="minorHAnsi"/>
                <w:b/>
                <w:bCs/>
                <w:color w:val="0070C0"/>
                <w:lang w:eastAsia="es-CR"/>
              </w:rPr>
              <w:t>Material complementario</w:t>
            </w:r>
          </w:p>
          <w:p w14:paraId="024CE97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p>
          <w:p w14:paraId="5BA59DB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70C0"/>
                <w:lang w:eastAsia="es-CR"/>
              </w:rPr>
              <w:t xml:space="preserve">Guía para la participación mediante la herramienta Big Blue </w:t>
            </w:r>
            <w:proofErr w:type="spellStart"/>
            <w:r w:rsidRPr="00294C7F">
              <w:rPr>
                <w:rFonts w:asciiTheme="minorHAnsi" w:eastAsia="Times New Roman" w:hAnsiTheme="minorHAnsi" w:cstheme="minorHAnsi"/>
                <w:color w:val="0070C0"/>
                <w:lang w:eastAsia="es-CR"/>
              </w:rPr>
              <w:t>Button</w:t>
            </w:r>
            <w:proofErr w:type="spellEnd"/>
            <w:r w:rsidRPr="00294C7F">
              <w:rPr>
                <w:rFonts w:asciiTheme="minorHAnsi" w:eastAsia="Times New Roman" w:hAnsiTheme="minorHAnsi" w:cstheme="minorHAnsi"/>
                <w:color w:val="0070C0"/>
                <w:lang w:eastAsia="es-CR"/>
              </w:rPr>
              <w:t xml:space="preserve"> en la plataforma Moodle</w:t>
            </w:r>
          </w:p>
          <w:p w14:paraId="7BA0A915"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5D838A88"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lastRenderedPageBreak/>
              <w:t>Realizar las lecturas de la sesión.</w:t>
            </w:r>
          </w:p>
          <w:p w14:paraId="1A665FA5"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11. </w:t>
            </w:r>
          </w:p>
          <w:p w14:paraId="6470076B"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encuentro sincrónico virtual.</w:t>
            </w:r>
          </w:p>
          <w:p w14:paraId="38D982D7"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Realización del quiz de comprobación 10.</w:t>
            </w:r>
          </w:p>
        </w:tc>
      </w:tr>
      <w:tr w:rsidR="00294C7F" w:rsidRPr="00294C7F" w14:paraId="0E34096F" w14:textId="77777777" w:rsidTr="4C9C2619">
        <w:trPr>
          <w:jc w:val="center"/>
        </w:trPr>
        <w:tc>
          <w:tcPr>
            <w:tcW w:w="1144" w:type="dxa"/>
          </w:tcPr>
          <w:p w14:paraId="60E5B3F0"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6734E955"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13</w:t>
            </w:r>
          </w:p>
        </w:tc>
        <w:tc>
          <w:tcPr>
            <w:tcW w:w="2308" w:type="dxa"/>
          </w:tcPr>
          <w:p w14:paraId="73E85856"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r w:rsidRPr="00294C7F">
              <w:rPr>
                <w:rFonts w:asciiTheme="minorHAnsi" w:eastAsia="Times New Roman" w:hAnsiTheme="minorHAnsi" w:cstheme="minorHAnsi"/>
                <w:b/>
                <w:bCs/>
                <w:color w:val="000000"/>
                <w:lang w:eastAsia="es-CR"/>
              </w:rPr>
              <w:t>Unidad 4: Sintaxis y traducción</w:t>
            </w:r>
          </w:p>
          <w:p w14:paraId="3391E21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7E9C4A93"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4.3 Sufijos pronominales</w:t>
            </w:r>
          </w:p>
          <w:p w14:paraId="4CE5D3A6"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4.4 Uso del aparato crítico</w:t>
            </w:r>
          </w:p>
          <w:p w14:paraId="27F57706"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4.5 El hebreo y sus géneros literarios</w:t>
            </w:r>
          </w:p>
          <w:p w14:paraId="0EE3F45A" w14:textId="77777777" w:rsidR="00294C7F" w:rsidRPr="00294C7F" w:rsidRDefault="00294C7F" w:rsidP="00294C7F">
            <w:pPr>
              <w:widowControl w:val="0"/>
              <w:overflowPunct w:val="0"/>
              <w:autoSpaceDE w:val="0"/>
              <w:autoSpaceDN w:val="0"/>
              <w:adjustRightInd w:val="0"/>
              <w:spacing w:before="120"/>
              <w:rPr>
                <w:rFonts w:asciiTheme="minorHAnsi" w:eastAsia="Times New Roman" w:hAnsiTheme="minorHAnsi" w:cstheme="minorHAnsi"/>
                <w:color w:val="000000"/>
                <w:lang w:val="es-ES_tradnl" w:eastAsia="es-CR"/>
              </w:rPr>
            </w:pPr>
          </w:p>
        </w:tc>
        <w:tc>
          <w:tcPr>
            <w:tcW w:w="3206" w:type="dxa"/>
          </w:tcPr>
          <w:p w14:paraId="5A21EBF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6267848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385428A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roofErr w:type="spellStart"/>
            <w:r w:rsidRPr="00294C7F">
              <w:rPr>
                <w:rFonts w:asciiTheme="minorHAnsi" w:eastAsia="Times New Roman" w:hAnsiTheme="minorHAnsi" w:cstheme="minorHAnsi"/>
                <w:color w:val="000000"/>
                <w:lang w:val="es-ES_tradnl" w:eastAsia="es-CR"/>
              </w:rPr>
              <w:t>Lambdin</w:t>
            </w:r>
            <w:proofErr w:type="spellEnd"/>
            <w:r w:rsidRPr="00294C7F">
              <w:rPr>
                <w:rFonts w:asciiTheme="minorHAnsi" w:eastAsia="Times New Roman" w:hAnsiTheme="minorHAnsi" w:cstheme="minorHAnsi"/>
                <w:color w:val="000000"/>
                <w:lang w:val="es-ES_tradnl" w:eastAsia="es-CR"/>
              </w:rPr>
              <w:t xml:space="preserve">, Thomas O. “El sustantivo con sufijos pronominales”. En </w:t>
            </w:r>
            <w:r w:rsidRPr="00294C7F">
              <w:rPr>
                <w:rFonts w:asciiTheme="minorHAnsi" w:eastAsia="Times New Roman" w:hAnsiTheme="minorHAnsi" w:cstheme="minorHAnsi"/>
                <w:i/>
                <w:iCs/>
                <w:color w:val="000000"/>
                <w:lang w:val="es-ES_tradnl" w:eastAsia="es-CR"/>
              </w:rPr>
              <w:t>Introducción al hebreo bíblico</w:t>
            </w:r>
            <w:r w:rsidRPr="00294C7F">
              <w:rPr>
                <w:rFonts w:asciiTheme="minorHAnsi" w:eastAsia="Times New Roman" w:hAnsiTheme="minorHAnsi" w:cstheme="minorHAnsi"/>
                <w:color w:val="000000"/>
                <w:lang w:val="es-ES_tradnl" w:eastAsia="es-CR"/>
              </w:rPr>
              <w:t xml:space="preserve">, 85-89. Estella: </w:t>
            </w:r>
            <w:r w:rsidRPr="00294C7F">
              <w:rPr>
                <w:rFonts w:asciiTheme="minorHAnsi" w:eastAsia="Times New Roman" w:hAnsiTheme="minorHAnsi" w:cstheme="minorHAnsi"/>
                <w:color w:val="000000"/>
                <w:lang w:eastAsia="es-CR"/>
              </w:rPr>
              <w:t xml:space="preserve">Verbo Divino, 2018. </w:t>
            </w:r>
            <w:r w:rsidRPr="00294C7F">
              <w:rPr>
                <w:rFonts w:asciiTheme="minorHAnsi" w:eastAsia="Times New Roman" w:hAnsiTheme="minorHAnsi" w:cstheme="minorHAnsi"/>
                <w:color w:val="0070C0"/>
                <w:lang w:eastAsia="es-CR"/>
              </w:rPr>
              <w:t>(clásico, última edición)</w:t>
            </w:r>
          </w:p>
          <w:p w14:paraId="0FA860F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499BC1F6"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r w:rsidRPr="00294C7F">
              <w:rPr>
                <w:rFonts w:asciiTheme="minorHAnsi" w:eastAsia="Times New Roman" w:hAnsiTheme="minorHAnsi" w:cstheme="minorHAnsi"/>
                <w:color w:val="000000"/>
                <w:lang w:eastAsia="es-CR"/>
              </w:rPr>
              <w:t>Ni</w:t>
            </w:r>
            <w:proofErr w:type="spellStart"/>
            <w:r w:rsidRPr="00294C7F">
              <w:rPr>
                <w:rFonts w:asciiTheme="minorHAnsi" w:eastAsia="Times New Roman" w:hAnsiTheme="minorHAnsi" w:cstheme="minorHAnsi"/>
                <w:color w:val="000000"/>
                <w:lang w:val="es-ES_tradnl" w:eastAsia="es-CR"/>
              </w:rPr>
              <w:t>ccacci</w:t>
            </w:r>
            <w:proofErr w:type="spellEnd"/>
            <w:r w:rsidRPr="00294C7F">
              <w:rPr>
                <w:rFonts w:asciiTheme="minorHAnsi" w:eastAsia="Times New Roman" w:hAnsiTheme="minorHAnsi" w:cstheme="minorHAnsi"/>
                <w:color w:val="000000"/>
                <w:lang w:val="es-ES_tradnl" w:eastAsia="es-CR"/>
              </w:rPr>
              <w:t xml:space="preserve">, </w:t>
            </w:r>
            <w:proofErr w:type="spellStart"/>
            <w:r w:rsidRPr="00294C7F">
              <w:rPr>
                <w:rFonts w:asciiTheme="minorHAnsi" w:eastAsia="Times New Roman" w:hAnsiTheme="minorHAnsi" w:cstheme="minorHAnsi"/>
                <w:color w:val="000000"/>
                <w:lang w:val="es-ES_tradnl" w:eastAsia="es-CR"/>
              </w:rPr>
              <w:t>Alviero</w:t>
            </w:r>
            <w:proofErr w:type="spellEnd"/>
            <w:r w:rsidRPr="00294C7F">
              <w:rPr>
                <w:rFonts w:asciiTheme="minorHAnsi" w:eastAsia="Times New Roman" w:hAnsiTheme="minorHAnsi" w:cstheme="minorHAnsi"/>
                <w:color w:val="000000"/>
                <w:lang w:val="es-ES_tradnl" w:eastAsia="es-CR"/>
              </w:rPr>
              <w:t xml:space="preserve">. “Las transiciones temporales”. En </w:t>
            </w:r>
            <w:r w:rsidRPr="00294C7F">
              <w:rPr>
                <w:rFonts w:asciiTheme="minorHAnsi" w:eastAsia="Times New Roman" w:hAnsiTheme="minorHAnsi" w:cstheme="minorHAnsi"/>
                <w:i/>
                <w:iCs/>
                <w:color w:val="000000"/>
                <w:lang w:val="es-ES_tradnl" w:eastAsia="es-CR"/>
              </w:rPr>
              <w:t>Sintaxis del hebreo bíblico</w:t>
            </w:r>
            <w:r w:rsidRPr="00294C7F">
              <w:rPr>
                <w:rFonts w:asciiTheme="minorHAnsi" w:eastAsia="Times New Roman" w:hAnsiTheme="minorHAnsi" w:cstheme="minorHAnsi"/>
                <w:color w:val="000000"/>
                <w:lang w:val="es-ES_tradnl" w:eastAsia="es-CR"/>
              </w:rPr>
              <w:t xml:space="preserve">, 103-114. </w:t>
            </w:r>
            <w:r w:rsidRPr="00294C7F">
              <w:rPr>
                <w:rFonts w:asciiTheme="minorHAnsi" w:eastAsia="Times New Roman" w:hAnsiTheme="minorHAnsi" w:cstheme="minorHAnsi"/>
                <w:color w:val="000000"/>
                <w:lang w:eastAsia="es-CR"/>
              </w:rPr>
              <w:t>Estella: Verbo Divino, 2002.</w:t>
            </w:r>
            <w:r w:rsidRPr="00294C7F">
              <w:rPr>
                <w:rFonts w:asciiTheme="minorHAnsi" w:eastAsia="Times New Roman" w:hAnsiTheme="minorHAnsi" w:cstheme="minorHAnsi"/>
                <w:color w:val="0070C0"/>
                <w:lang w:eastAsia="es-CR"/>
              </w:rPr>
              <w:t xml:space="preserve"> (clásico, última reimpresión 2014)</w:t>
            </w:r>
          </w:p>
          <w:p w14:paraId="776CCDF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eastAsia="es-CR"/>
              </w:rPr>
            </w:pPr>
          </w:p>
          <w:p w14:paraId="242731A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r w:rsidRPr="00294C7F">
              <w:rPr>
                <w:rFonts w:asciiTheme="minorHAnsi" w:eastAsia="Times New Roman" w:hAnsiTheme="minorHAnsi" w:cstheme="minorHAnsi"/>
                <w:b/>
                <w:bCs/>
                <w:color w:val="000000"/>
                <w:lang w:eastAsia="es-CR"/>
              </w:rPr>
              <w:t>Material complementario</w:t>
            </w:r>
          </w:p>
          <w:p w14:paraId="0EA8F6A4"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eastAsia="es-CR"/>
              </w:rPr>
            </w:pPr>
          </w:p>
          <w:p w14:paraId="030AA7AE"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lang w:eastAsia="es-CR"/>
              </w:rPr>
            </w:pPr>
            <w:r w:rsidRPr="00294C7F">
              <w:rPr>
                <w:rFonts w:asciiTheme="minorHAnsi" w:eastAsia="Times New Roman" w:hAnsiTheme="minorHAnsi" w:cstheme="minorHAnsi"/>
                <w:lang w:eastAsia="es-CR"/>
              </w:rPr>
              <w:t xml:space="preserve">Sánchez Cetina, Edesio. “Uso instrumental del hebreo: Una invitación a mantener el uso del hebreo como herramienta para la exégesis y la predicación”. En </w:t>
            </w:r>
            <w:r w:rsidRPr="00294C7F">
              <w:rPr>
                <w:rFonts w:asciiTheme="minorHAnsi" w:eastAsia="Times New Roman" w:hAnsiTheme="minorHAnsi" w:cstheme="minorHAnsi"/>
                <w:i/>
                <w:iCs/>
                <w:lang w:eastAsia="es-CR"/>
              </w:rPr>
              <w:t>Pensar, crear, actuar</w:t>
            </w:r>
            <w:r w:rsidRPr="00294C7F">
              <w:rPr>
                <w:rFonts w:asciiTheme="minorHAnsi" w:eastAsia="Times New Roman" w:hAnsiTheme="minorHAnsi" w:cstheme="minorHAnsi"/>
                <w:lang w:eastAsia="es-CR"/>
              </w:rPr>
              <w:t xml:space="preserve">. </w:t>
            </w:r>
            <w:r w:rsidRPr="00294C7F">
              <w:rPr>
                <w:rFonts w:asciiTheme="minorHAnsi" w:eastAsia="Times New Roman" w:hAnsiTheme="minorHAnsi" w:cstheme="minorHAnsi"/>
                <w:i/>
                <w:iCs/>
                <w:lang w:eastAsia="es-CR"/>
              </w:rPr>
              <w:t>Metodologías para una teología contextual</w:t>
            </w:r>
            <w:r w:rsidRPr="00294C7F">
              <w:rPr>
                <w:rFonts w:asciiTheme="minorHAnsi" w:eastAsia="Times New Roman" w:hAnsiTheme="minorHAnsi" w:cstheme="minorHAnsi"/>
                <w:lang w:eastAsia="es-CR"/>
              </w:rPr>
              <w:t>, editado por Sara Baltodano y José Enrique Ramírez Kidd, 157-174. San José: SEBILA, 2013.</w:t>
            </w:r>
          </w:p>
          <w:p w14:paraId="4ACF773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lang w:eastAsia="es-CR"/>
              </w:rPr>
            </w:pPr>
          </w:p>
          <w:p w14:paraId="141DF50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r w:rsidRPr="00294C7F">
              <w:rPr>
                <w:rFonts w:asciiTheme="minorHAnsi" w:eastAsia="Times New Roman" w:hAnsiTheme="minorHAnsi" w:cstheme="minorHAnsi"/>
                <w:color w:val="0070C0"/>
                <w:lang w:eastAsia="es-CR"/>
              </w:rPr>
              <w:t xml:space="preserve">Guía para la participación mediante la herramienta Big Blue </w:t>
            </w:r>
            <w:proofErr w:type="spellStart"/>
            <w:r w:rsidRPr="00294C7F">
              <w:rPr>
                <w:rFonts w:asciiTheme="minorHAnsi" w:eastAsia="Times New Roman" w:hAnsiTheme="minorHAnsi" w:cstheme="minorHAnsi"/>
                <w:color w:val="0070C0"/>
                <w:lang w:eastAsia="es-CR"/>
              </w:rPr>
              <w:t>Button</w:t>
            </w:r>
            <w:proofErr w:type="spellEnd"/>
            <w:r w:rsidRPr="00294C7F">
              <w:rPr>
                <w:rFonts w:asciiTheme="minorHAnsi" w:eastAsia="Times New Roman" w:hAnsiTheme="minorHAnsi" w:cstheme="minorHAnsi"/>
                <w:color w:val="0070C0"/>
                <w:lang w:eastAsia="es-CR"/>
              </w:rPr>
              <w:t xml:space="preserve"> en la plataforma Moodle</w:t>
            </w:r>
          </w:p>
          <w:p w14:paraId="5C4E72F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489D9B57"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Realizar las lecturas de la sesión.</w:t>
            </w:r>
          </w:p>
          <w:p w14:paraId="615D2D1F"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Elaboración de la tarea individual 12. </w:t>
            </w:r>
          </w:p>
          <w:p w14:paraId="4E98FA44"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Participación en el encuentro sincrónico virtual.</w:t>
            </w:r>
          </w:p>
          <w:p w14:paraId="5DC5F425" w14:textId="77777777" w:rsidR="00294C7F" w:rsidRPr="00294C7F" w:rsidRDefault="00294C7F" w:rsidP="00294C7F">
            <w:pPr>
              <w:widowControl w:val="0"/>
              <w:numPr>
                <w:ilvl w:val="0"/>
                <w:numId w:val="209"/>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Realización del quiz de comprobación 11.</w:t>
            </w:r>
          </w:p>
        </w:tc>
      </w:tr>
      <w:tr w:rsidR="00294C7F" w:rsidRPr="00294C7F" w14:paraId="150F7A35" w14:textId="77777777" w:rsidTr="4C9C2619">
        <w:trPr>
          <w:jc w:val="center"/>
        </w:trPr>
        <w:tc>
          <w:tcPr>
            <w:tcW w:w="1144" w:type="dxa"/>
          </w:tcPr>
          <w:p w14:paraId="7D5AA091"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18CED230"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14</w:t>
            </w:r>
          </w:p>
          <w:p w14:paraId="51624A7C"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tc>
        <w:tc>
          <w:tcPr>
            <w:tcW w:w="2308" w:type="dxa"/>
          </w:tcPr>
          <w:p w14:paraId="42D06916"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Repaso</w:t>
            </w:r>
          </w:p>
          <w:p w14:paraId="505C5C5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tc>
        <w:tc>
          <w:tcPr>
            <w:tcW w:w="3206" w:type="dxa"/>
          </w:tcPr>
          <w:p w14:paraId="025040C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5BD25987"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p>
          <w:p w14:paraId="2FC16936"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70C0"/>
                <w:lang w:eastAsia="es-CR"/>
              </w:rPr>
            </w:pPr>
            <w:r w:rsidRPr="00294C7F">
              <w:rPr>
                <w:rFonts w:asciiTheme="minorHAnsi" w:eastAsia="Times New Roman" w:hAnsiTheme="minorHAnsi" w:cstheme="minorHAnsi"/>
                <w:b/>
                <w:bCs/>
                <w:color w:val="0070C0"/>
                <w:lang w:eastAsia="es-CR"/>
              </w:rPr>
              <w:t>Material complementario</w:t>
            </w:r>
          </w:p>
          <w:p w14:paraId="29EE0CF1"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2C73489A"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eastAsia="es-CR"/>
              </w:rPr>
            </w:pPr>
            <w:r w:rsidRPr="00294C7F">
              <w:rPr>
                <w:rFonts w:asciiTheme="minorHAnsi" w:eastAsia="Times New Roman" w:hAnsiTheme="minorHAnsi" w:cstheme="minorHAnsi"/>
                <w:color w:val="0070C0"/>
                <w:lang w:eastAsia="es-CR"/>
              </w:rPr>
              <w:t xml:space="preserve">Guía para la participación mediante la herramienta Big Blue </w:t>
            </w:r>
            <w:proofErr w:type="spellStart"/>
            <w:r w:rsidRPr="00294C7F">
              <w:rPr>
                <w:rFonts w:asciiTheme="minorHAnsi" w:eastAsia="Times New Roman" w:hAnsiTheme="minorHAnsi" w:cstheme="minorHAnsi"/>
                <w:color w:val="0070C0"/>
                <w:lang w:eastAsia="es-CR"/>
              </w:rPr>
              <w:t>Button</w:t>
            </w:r>
            <w:proofErr w:type="spellEnd"/>
            <w:r w:rsidRPr="00294C7F">
              <w:rPr>
                <w:rFonts w:asciiTheme="minorHAnsi" w:eastAsia="Times New Roman" w:hAnsiTheme="minorHAnsi" w:cstheme="minorHAnsi"/>
                <w:color w:val="0070C0"/>
                <w:lang w:eastAsia="es-CR"/>
              </w:rPr>
              <w:t xml:space="preserve"> en la plataforma Moodle</w:t>
            </w:r>
          </w:p>
          <w:p w14:paraId="5DB5079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04F24A23" w14:textId="77777777" w:rsidR="00294C7F" w:rsidRPr="00294C7F" w:rsidRDefault="00294C7F" w:rsidP="00294C7F">
            <w:pPr>
              <w:widowControl w:val="0"/>
              <w:numPr>
                <w:ilvl w:val="0"/>
                <w:numId w:val="211"/>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lastRenderedPageBreak/>
              <w:t>Realización del repaso para el examen.</w:t>
            </w:r>
          </w:p>
          <w:p w14:paraId="5E12DF5A" w14:textId="77777777" w:rsidR="00294C7F" w:rsidRPr="00294C7F" w:rsidRDefault="00294C7F" w:rsidP="00294C7F">
            <w:pPr>
              <w:widowControl w:val="0"/>
              <w:numPr>
                <w:ilvl w:val="0"/>
                <w:numId w:val="211"/>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lastRenderedPageBreak/>
              <w:t>Participación en el encuentro sincrónico virtual, donde se realizará un repaso de lo aprendido.</w:t>
            </w:r>
          </w:p>
        </w:tc>
      </w:tr>
      <w:tr w:rsidR="00294C7F" w:rsidRPr="00294C7F" w14:paraId="2F2DBFD9" w14:textId="77777777" w:rsidTr="4C9C2619">
        <w:trPr>
          <w:jc w:val="center"/>
        </w:trPr>
        <w:tc>
          <w:tcPr>
            <w:tcW w:w="1144" w:type="dxa"/>
          </w:tcPr>
          <w:p w14:paraId="0DCFF60F"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p>
          <w:p w14:paraId="7E1F56C4"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15</w:t>
            </w:r>
          </w:p>
        </w:tc>
        <w:tc>
          <w:tcPr>
            <w:tcW w:w="2308" w:type="dxa"/>
          </w:tcPr>
          <w:p w14:paraId="13509BAF"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Examen</w:t>
            </w:r>
          </w:p>
          <w:p w14:paraId="1671536E"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b/>
                <w:bCs/>
                <w:color w:val="000000"/>
                <w:lang w:val="es-ES_tradnl" w:eastAsia="es-CR"/>
              </w:rPr>
            </w:pPr>
          </w:p>
          <w:p w14:paraId="149A680C"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Segundo examen parcial</w:t>
            </w:r>
          </w:p>
          <w:p w14:paraId="029659F9"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p w14:paraId="5D064F1E"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206" w:type="dxa"/>
          </w:tcPr>
          <w:p w14:paraId="56160B70"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r w:rsidRPr="00294C7F">
              <w:rPr>
                <w:rFonts w:asciiTheme="minorHAnsi" w:eastAsia="Times New Roman" w:hAnsiTheme="minorHAnsi" w:cstheme="minorHAnsi"/>
                <w:color w:val="0070C0"/>
                <w:lang w:val="es-ES_tradnl" w:eastAsia="es-CR"/>
              </w:rPr>
              <w:t>Ruta de aprendizaje</w:t>
            </w:r>
          </w:p>
          <w:p w14:paraId="26C1BADB"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70C0"/>
                <w:lang w:val="es-ES_tradnl" w:eastAsia="es-CR"/>
              </w:rPr>
            </w:pPr>
          </w:p>
          <w:p w14:paraId="712A1E00"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lang w:val="es-ES_tradnl" w:eastAsia="es-CR"/>
              </w:rPr>
            </w:pPr>
          </w:p>
        </w:tc>
        <w:tc>
          <w:tcPr>
            <w:tcW w:w="3118" w:type="dxa"/>
          </w:tcPr>
          <w:p w14:paraId="77CDD9E9" w14:textId="77777777" w:rsidR="00294C7F" w:rsidRPr="00294C7F" w:rsidRDefault="00294C7F" w:rsidP="00294C7F">
            <w:pPr>
              <w:widowControl w:val="0"/>
              <w:numPr>
                <w:ilvl w:val="0"/>
                <w:numId w:val="212"/>
              </w:numPr>
              <w:overflowPunct w:val="0"/>
              <w:autoSpaceDE w:val="0"/>
              <w:autoSpaceDN w:val="0"/>
              <w:adjustRightInd w:val="0"/>
              <w:spacing w:before="120"/>
              <w:ind w:left="314"/>
              <w:rPr>
                <w:rFonts w:asciiTheme="minorHAnsi" w:hAnsiTheme="minorHAnsi" w:cstheme="minorHAnsi"/>
                <w:color w:val="000000"/>
              </w:rPr>
            </w:pPr>
            <w:r w:rsidRPr="00294C7F">
              <w:rPr>
                <w:rFonts w:asciiTheme="minorHAnsi" w:hAnsiTheme="minorHAnsi" w:cstheme="minorHAnsi"/>
                <w:color w:val="000000"/>
              </w:rPr>
              <w:t xml:space="preserve">Resolución del examen parcial en el aula virtual. </w:t>
            </w:r>
          </w:p>
        </w:tc>
      </w:tr>
    </w:tbl>
    <w:p w14:paraId="0925B995"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t xml:space="preserve"> </w:t>
      </w:r>
    </w:p>
    <w:p w14:paraId="5A032566"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t>IX. Distribución de tiempo semanal</w:t>
      </w:r>
    </w:p>
    <w:p w14:paraId="45BEA4D4"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94C7F">
        <w:rPr>
          <w:rFonts w:ascii="Calibri" w:eastAsia="Times New Roman" w:hAnsi="Calibri" w:cs="Arial"/>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la lectura de materiales con los insumos del idioma, la memorización del vocabulario, la participación en los encuentros sincrónicos virtuales y la elaboración de la práctica, tarea y quiz de cada sesión. Debe considerarse que, al tener este curso asignados 4 créditos, se debe invertir 12 horas de trabajo por semana. La distribución de tiempos es la siguiente:</w:t>
      </w:r>
    </w:p>
    <w:p w14:paraId="3DC62CA3"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tbl>
      <w:tblPr>
        <w:tblStyle w:val="TableGrid5"/>
        <w:tblW w:w="9098" w:type="dxa"/>
        <w:jc w:val="center"/>
        <w:tblLook w:val="04A0" w:firstRow="1" w:lastRow="0" w:firstColumn="1" w:lastColumn="0" w:noHBand="0" w:noVBand="1"/>
      </w:tblPr>
      <w:tblGrid>
        <w:gridCol w:w="2198"/>
        <w:gridCol w:w="1467"/>
        <w:gridCol w:w="5433"/>
      </w:tblGrid>
      <w:tr w:rsidR="00294C7F" w:rsidRPr="00294C7F" w14:paraId="2A710073" w14:textId="77777777" w:rsidTr="00CE7124">
        <w:trPr>
          <w:trHeight w:val="555"/>
          <w:jc w:val="center"/>
        </w:trPr>
        <w:tc>
          <w:tcPr>
            <w:tcW w:w="2198" w:type="dxa"/>
            <w:vAlign w:val="center"/>
          </w:tcPr>
          <w:p w14:paraId="76AB37F6"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Tipo de horas</w:t>
            </w:r>
          </w:p>
          <w:p w14:paraId="218ED4E6"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(categoría)</w:t>
            </w:r>
          </w:p>
        </w:tc>
        <w:tc>
          <w:tcPr>
            <w:tcW w:w="1467" w:type="dxa"/>
            <w:vAlign w:val="center"/>
          </w:tcPr>
          <w:p w14:paraId="7F8A5132"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Horas por semana</w:t>
            </w:r>
          </w:p>
        </w:tc>
        <w:tc>
          <w:tcPr>
            <w:tcW w:w="5433" w:type="dxa"/>
            <w:vAlign w:val="center"/>
          </w:tcPr>
          <w:p w14:paraId="7859DC9A"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Actividades relacionadas</w:t>
            </w:r>
          </w:p>
        </w:tc>
      </w:tr>
      <w:tr w:rsidR="00294C7F" w:rsidRPr="00294C7F" w14:paraId="0C22E32F" w14:textId="77777777" w:rsidTr="00CE7124">
        <w:trPr>
          <w:trHeight w:val="987"/>
          <w:jc w:val="center"/>
        </w:trPr>
        <w:tc>
          <w:tcPr>
            <w:tcW w:w="2198" w:type="dxa"/>
            <w:vAlign w:val="center"/>
          </w:tcPr>
          <w:p w14:paraId="4C2B0309"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Horas de Estudio Individual (HEI)</w:t>
            </w:r>
          </w:p>
        </w:tc>
        <w:tc>
          <w:tcPr>
            <w:tcW w:w="1467" w:type="dxa"/>
            <w:vAlign w:val="center"/>
          </w:tcPr>
          <w:p w14:paraId="29204025"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4</w:t>
            </w:r>
          </w:p>
        </w:tc>
        <w:tc>
          <w:tcPr>
            <w:tcW w:w="5433" w:type="dxa"/>
          </w:tcPr>
          <w:p w14:paraId="5549970B" w14:textId="77777777" w:rsidR="00294C7F" w:rsidRPr="00294C7F" w:rsidRDefault="00294C7F" w:rsidP="00294C7F">
            <w:pPr>
              <w:widowControl w:val="0"/>
              <w:numPr>
                <w:ilvl w:val="0"/>
                <w:numId w:val="34"/>
              </w:numPr>
              <w:overflowPunct w:val="0"/>
              <w:autoSpaceDE w:val="0"/>
              <w:autoSpaceDN w:val="0"/>
              <w:adjustRightInd w:val="0"/>
              <w:rPr>
                <w:rFonts w:asciiTheme="minorHAnsi" w:hAnsiTheme="minorHAnsi" w:cstheme="minorHAnsi"/>
                <w:color w:val="000000"/>
              </w:rPr>
            </w:pPr>
            <w:r w:rsidRPr="00294C7F">
              <w:rPr>
                <w:rFonts w:asciiTheme="minorHAnsi" w:hAnsiTheme="minorHAnsi" w:cstheme="minorHAnsi"/>
                <w:color w:val="000000"/>
              </w:rPr>
              <w:t>Lectura de los textos (materiales en formato digital).</w:t>
            </w:r>
          </w:p>
          <w:p w14:paraId="03346567" w14:textId="77777777" w:rsidR="00294C7F" w:rsidRPr="00294C7F" w:rsidRDefault="00294C7F" w:rsidP="00294C7F">
            <w:pPr>
              <w:widowControl w:val="0"/>
              <w:numPr>
                <w:ilvl w:val="0"/>
                <w:numId w:val="34"/>
              </w:numPr>
              <w:overflowPunct w:val="0"/>
              <w:autoSpaceDE w:val="0"/>
              <w:autoSpaceDN w:val="0"/>
              <w:adjustRightInd w:val="0"/>
              <w:rPr>
                <w:rFonts w:asciiTheme="minorHAnsi" w:hAnsiTheme="minorHAnsi" w:cstheme="minorHAnsi"/>
                <w:color w:val="000000"/>
              </w:rPr>
            </w:pPr>
            <w:r w:rsidRPr="00294C7F">
              <w:rPr>
                <w:rFonts w:asciiTheme="minorHAnsi" w:hAnsiTheme="minorHAnsi" w:cstheme="minorHAnsi"/>
                <w:color w:val="000000"/>
              </w:rPr>
              <w:t>Estudio de la materia y memorización de vocabulario y reglas gramaticales.</w:t>
            </w:r>
          </w:p>
        </w:tc>
      </w:tr>
      <w:tr w:rsidR="00294C7F" w:rsidRPr="00294C7F" w14:paraId="3B3D0E6C" w14:textId="77777777" w:rsidTr="00CE7124">
        <w:trPr>
          <w:trHeight w:val="986"/>
          <w:jc w:val="center"/>
        </w:trPr>
        <w:tc>
          <w:tcPr>
            <w:tcW w:w="2198" w:type="dxa"/>
            <w:vAlign w:val="center"/>
          </w:tcPr>
          <w:p w14:paraId="31722F7C"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Horas de Trabajo Colaborativo (HTC)</w:t>
            </w:r>
          </w:p>
        </w:tc>
        <w:tc>
          <w:tcPr>
            <w:tcW w:w="1467" w:type="dxa"/>
            <w:vAlign w:val="center"/>
          </w:tcPr>
          <w:p w14:paraId="0494755E"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2</w:t>
            </w:r>
          </w:p>
        </w:tc>
        <w:tc>
          <w:tcPr>
            <w:tcW w:w="5433" w:type="dxa"/>
          </w:tcPr>
          <w:p w14:paraId="4E674CC2" w14:textId="77777777" w:rsidR="00294C7F" w:rsidRPr="00294C7F" w:rsidRDefault="00294C7F" w:rsidP="00294C7F">
            <w:pPr>
              <w:widowControl w:val="0"/>
              <w:numPr>
                <w:ilvl w:val="0"/>
                <w:numId w:val="35"/>
              </w:numPr>
              <w:overflowPunct w:val="0"/>
              <w:autoSpaceDE w:val="0"/>
              <w:autoSpaceDN w:val="0"/>
              <w:adjustRightInd w:val="0"/>
              <w:rPr>
                <w:rFonts w:asciiTheme="minorHAnsi" w:hAnsiTheme="minorHAnsi" w:cstheme="minorHAnsi"/>
                <w:color w:val="000000"/>
              </w:rPr>
            </w:pPr>
            <w:r w:rsidRPr="00294C7F">
              <w:rPr>
                <w:rFonts w:asciiTheme="minorHAnsi" w:hAnsiTheme="minorHAnsi" w:cstheme="minorHAnsi"/>
                <w:color w:val="000000"/>
              </w:rPr>
              <w:t>Participación en los foros temáticos (incluye aportes personales y réplicas a los y las demás estudiantes).</w:t>
            </w:r>
          </w:p>
          <w:p w14:paraId="6BF89A1C" w14:textId="77777777" w:rsidR="00294C7F" w:rsidRPr="00294C7F" w:rsidRDefault="00294C7F" w:rsidP="00294C7F">
            <w:pPr>
              <w:widowControl w:val="0"/>
              <w:numPr>
                <w:ilvl w:val="0"/>
                <w:numId w:val="35"/>
              </w:numPr>
              <w:overflowPunct w:val="0"/>
              <w:autoSpaceDE w:val="0"/>
              <w:autoSpaceDN w:val="0"/>
              <w:adjustRightInd w:val="0"/>
              <w:rPr>
                <w:rFonts w:asciiTheme="minorHAnsi" w:hAnsiTheme="minorHAnsi" w:cstheme="minorHAnsi"/>
                <w:color w:val="000000"/>
              </w:rPr>
            </w:pPr>
            <w:r w:rsidRPr="00294C7F">
              <w:rPr>
                <w:rFonts w:asciiTheme="minorHAnsi" w:hAnsiTheme="minorHAnsi" w:cstheme="minorHAnsi"/>
                <w:color w:val="000000"/>
              </w:rPr>
              <w:t>Participación en los encuentros sincrónicos virtuales.</w:t>
            </w:r>
          </w:p>
        </w:tc>
      </w:tr>
      <w:tr w:rsidR="00294C7F" w:rsidRPr="00294C7F" w14:paraId="65243D07" w14:textId="77777777" w:rsidTr="00CE7124">
        <w:trPr>
          <w:trHeight w:val="710"/>
          <w:jc w:val="center"/>
        </w:trPr>
        <w:tc>
          <w:tcPr>
            <w:tcW w:w="2198" w:type="dxa"/>
            <w:vAlign w:val="center"/>
          </w:tcPr>
          <w:p w14:paraId="305F0E97"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Horas de Producción Individual (HPI)</w:t>
            </w:r>
          </w:p>
        </w:tc>
        <w:tc>
          <w:tcPr>
            <w:tcW w:w="1467" w:type="dxa"/>
            <w:vAlign w:val="center"/>
          </w:tcPr>
          <w:p w14:paraId="49BF8A07"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3</w:t>
            </w:r>
          </w:p>
        </w:tc>
        <w:tc>
          <w:tcPr>
            <w:tcW w:w="5433" w:type="dxa"/>
          </w:tcPr>
          <w:p w14:paraId="541EF9D8" w14:textId="77777777" w:rsidR="00294C7F" w:rsidRPr="00294C7F" w:rsidRDefault="00294C7F" w:rsidP="00294C7F">
            <w:pPr>
              <w:widowControl w:val="0"/>
              <w:numPr>
                <w:ilvl w:val="0"/>
                <w:numId w:val="36"/>
              </w:numPr>
              <w:overflowPunct w:val="0"/>
              <w:autoSpaceDE w:val="0"/>
              <w:autoSpaceDN w:val="0"/>
              <w:adjustRightInd w:val="0"/>
              <w:rPr>
                <w:rFonts w:asciiTheme="minorHAnsi" w:hAnsiTheme="minorHAnsi" w:cstheme="minorHAnsi"/>
                <w:color w:val="000000"/>
              </w:rPr>
            </w:pPr>
            <w:r w:rsidRPr="00294C7F">
              <w:rPr>
                <w:rFonts w:asciiTheme="minorHAnsi" w:hAnsiTheme="minorHAnsi" w:cstheme="minorHAnsi"/>
                <w:color w:val="000000"/>
              </w:rPr>
              <w:t>Realización de ejercicios de repaso y comprobación.</w:t>
            </w:r>
          </w:p>
          <w:p w14:paraId="4363C25D" w14:textId="77777777" w:rsidR="00294C7F" w:rsidRPr="00294C7F" w:rsidRDefault="00294C7F" w:rsidP="00294C7F">
            <w:pPr>
              <w:widowControl w:val="0"/>
              <w:overflowPunct w:val="0"/>
              <w:autoSpaceDE w:val="0"/>
              <w:autoSpaceDN w:val="0"/>
              <w:adjustRightInd w:val="0"/>
              <w:rPr>
                <w:rFonts w:asciiTheme="minorHAnsi" w:eastAsia="Times New Roman" w:hAnsiTheme="minorHAnsi" w:cstheme="minorHAnsi"/>
                <w:color w:val="000000"/>
                <w:sz w:val="24"/>
                <w:szCs w:val="20"/>
                <w:lang w:val="es-ES_tradnl" w:eastAsia="es-CR"/>
              </w:rPr>
            </w:pPr>
          </w:p>
        </w:tc>
      </w:tr>
      <w:tr w:rsidR="00294C7F" w:rsidRPr="00294C7F" w14:paraId="564D9547" w14:textId="77777777" w:rsidTr="00CE7124">
        <w:trPr>
          <w:trHeight w:val="857"/>
          <w:jc w:val="center"/>
        </w:trPr>
        <w:tc>
          <w:tcPr>
            <w:tcW w:w="2198" w:type="dxa"/>
            <w:vAlign w:val="center"/>
          </w:tcPr>
          <w:p w14:paraId="3A462E2E"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Horas de Práctica (HP)</w:t>
            </w:r>
          </w:p>
        </w:tc>
        <w:tc>
          <w:tcPr>
            <w:tcW w:w="1467" w:type="dxa"/>
            <w:vAlign w:val="center"/>
          </w:tcPr>
          <w:p w14:paraId="31665F1F"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294C7F">
              <w:rPr>
                <w:rFonts w:asciiTheme="minorHAnsi" w:eastAsia="Times New Roman" w:hAnsiTheme="minorHAnsi" w:cstheme="minorHAnsi"/>
                <w:color w:val="000000"/>
                <w:lang w:val="es-ES_tradnl" w:eastAsia="es-CR"/>
              </w:rPr>
              <w:t>3</w:t>
            </w:r>
          </w:p>
        </w:tc>
        <w:tc>
          <w:tcPr>
            <w:tcW w:w="5433" w:type="dxa"/>
          </w:tcPr>
          <w:p w14:paraId="3F5BFBE2" w14:textId="77777777" w:rsidR="00294C7F" w:rsidRPr="00294C7F" w:rsidRDefault="00294C7F" w:rsidP="00294C7F">
            <w:pPr>
              <w:widowControl w:val="0"/>
              <w:numPr>
                <w:ilvl w:val="0"/>
                <w:numId w:val="36"/>
              </w:numPr>
              <w:overflowPunct w:val="0"/>
              <w:autoSpaceDE w:val="0"/>
              <w:autoSpaceDN w:val="0"/>
              <w:adjustRightInd w:val="0"/>
              <w:rPr>
                <w:rFonts w:asciiTheme="minorHAnsi" w:hAnsiTheme="minorHAnsi" w:cstheme="minorHAnsi"/>
                <w:color w:val="000000"/>
              </w:rPr>
            </w:pPr>
            <w:r w:rsidRPr="00294C7F">
              <w:rPr>
                <w:rFonts w:asciiTheme="minorHAnsi" w:hAnsiTheme="minorHAnsi" w:cstheme="minorHAnsi"/>
                <w:color w:val="000000"/>
              </w:rPr>
              <w:t>Realización de tareas individuales de traducción de textos hebreos.</w:t>
            </w:r>
          </w:p>
          <w:p w14:paraId="46DADBDA" w14:textId="77777777" w:rsidR="00294C7F" w:rsidRPr="00294C7F" w:rsidRDefault="00294C7F" w:rsidP="00294C7F">
            <w:pPr>
              <w:widowControl w:val="0"/>
              <w:numPr>
                <w:ilvl w:val="0"/>
                <w:numId w:val="36"/>
              </w:numPr>
              <w:overflowPunct w:val="0"/>
              <w:autoSpaceDE w:val="0"/>
              <w:autoSpaceDN w:val="0"/>
              <w:adjustRightInd w:val="0"/>
              <w:rPr>
                <w:rFonts w:asciiTheme="minorHAnsi" w:hAnsiTheme="minorHAnsi" w:cstheme="minorHAnsi"/>
                <w:color w:val="000000"/>
              </w:rPr>
            </w:pPr>
            <w:r w:rsidRPr="00294C7F">
              <w:rPr>
                <w:rFonts w:asciiTheme="minorHAnsi" w:hAnsiTheme="minorHAnsi" w:cstheme="minorHAnsi"/>
                <w:color w:val="000000"/>
              </w:rPr>
              <w:t xml:space="preserve">Realización de </w:t>
            </w:r>
            <w:proofErr w:type="spellStart"/>
            <w:r w:rsidRPr="00294C7F">
              <w:rPr>
                <w:rFonts w:asciiTheme="minorHAnsi" w:hAnsiTheme="minorHAnsi" w:cstheme="minorHAnsi"/>
                <w:color w:val="000000"/>
              </w:rPr>
              <w:t>quizes</w:t>
            </w:r>
            <w:proofErr w:type="spellEnd"/>
            <w:r w:rsidRPr="00294C7F">
              <w:rPr>
                <w:rFonts w:asciiTheme="minorHAnsi" w:hAnsiTheme="minorHAnsi" w:cstheme="minorHAnsi"/>
                <w:color w:val="000000"/>
              </w:rPr>
              <w:t xml:space="preserve"> de comprobación.</w:t>
            </w:r>
          </w:p>
          <w:p w14:paraId="5531105D" w14:textId="77777777" w:rsidR="00294C7F" w:rsidRPr="00294C7F" w:rsidRDefault="00294C7F" w:rsidP="00294C7F">
            <w:pPr>
              <w:widowControl w:val="0"/>
              <w:numPr>
                <w:ilvl w:val="0"/>
                <w:numId w:val="36"/>
              </w:numPr>
              <w:overflowPunct w:val="0"/>
              <w:autoSpaceDE w:val="0"/>
              <w:autoSpaceDN w:val="0"/>
              <w:adjustRightInd w:val="0"/>
              <w:rPr>
                <w:rFonts w:asciiTheme="minorHAnsi" w:hAnsiTheme="minorHAnsi" w:cstheme="minorHAnsi"/>
                <w:color w:val="000000"/>
              </w:rPr>
            </w:pPr>
            <w:r w:rsidRPr="00294C7F">
              <w:rPr>
                <w:rFonts w:asciiTheme="minorHAnsi" w:hAnsiTheme="minorHAnsi" w:cstheme="minorHAnsi"/>
                <w:color w:val="000000"/>
              </w:rPr>
              <w:t>Resolución de exámenes.</w:t>
            </w:r>
          </w:p>
        </w:tc>
      </w:tr>
      <w:tr w:rsidR="00294C7F" w:rsidRPr="00294C7F" w14:paraId="52102ECA" w14:textId="77777777" w:rsidTr="00CE7124">
        <w:trPr>
          <w:trHeight w:val="286"/>
          <w:jc w:val="center"/>
        </w:trPr>
        <w:tc>
          <w:tcPr>
            <w:tcW w:w="2198" w:type="dxa"/>
            <w:vAlign w:val="center"/>
          </w:tcPr>
          <w:p w14:paraId="7964A84B"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lang w:eastAsia="es-CR"/>
              </w:rPr>
            </w:pPr>
            <w:r w:rsidRPr="00294C7F">
              <w:rPr>
                <w:rFonts w:asciiTheme="minorHAnsi" w:eastAsia="Times New Roman" w:hAnsiTheme="minorHAnsi" w:cstheme="minorHAnsi"/>
                <w:b/>
                <w:bCs/>
                <w:color w:val="000000"/>
                <w:lang w:eastAsia="es-CR"/>
              </w:rPr>
              <w:t>Total de horas (TH)</w:t>
            </w:r>
          </w:p>
        </w:tc>
        <w:tc>
          <w:tcPr>
            <w:tcW w:w="1467" w:type="dxa"/>
            <w:vAlign w:val="center"/>
          </w:tcPr>
          <w:p w14:paraId="25994DD8"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294C7F">
              <w:rPr>
                <w:rFonts w:asciiTheme="minorHAnsi" w:eastAsia="Times New Roman" w:hAnsiTheme="minorHAnsi" w:cstheme="minorHAnsi"/>
                <w:b/>
                <w:bCs/>
                <w:color w:val="000000"/>
                <w:lang w:val="es-ES_tradnl" w:eastAsia="es-CR"/>
              </w:rPr>
              <w:t>12</w:t>
            </w:r>
          </w:p>
        </w:tc>
        <w:tc>
          <w:tcPr>
            <w:tcW w:w="5433" w:type="dxa"/>
            <w:vAlign w:val="center"/>
          </w:tcPr>
          <w:p w14:paraId="054C100B" w14:textId="77777777" w:rsidR="00294C7F" w:rsidRPr="00294C7F" w:rsidRDefault="00294C7F" w:rsidP="00294C7F">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p>
        </w:tc>
      </w:tr>
    </w:tbl>
    <w:p w14:paraId="51DFEF72"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16F1D01E"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294C7F">
        <w:rPr>
          <w:rFonts w:ascii="Calibri" w:eastAsia="Times New Roman" w:hAnsi="Calibri" w:cs="Arial"/>
          <w:color w:val="000000"/>
          <w:kern w:val="0"/>
          <w:lang w:val="es-ES" w:eastAsia="es-CR"/>
          <w14:ligatures w14:val="none"/>
        </w:rPr>
        <w:t xml:space="preserve">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w:t>
      </w:r>
      <w:r w:rsidRPr="00294C7F">
        <w:rPr>
          <w:rFonts w:ascii="Calibri" w:eastAsia="Times New Roman" w:hAnsi="Calibri" w:cs="Arial"/>
          <w:color w:val="000000"/>
          <w:kern w:val="0"/>
          <w:lang w:val="es-ES" w:eastAsia="es-CR"/>
          <w14:ligatures w14:val="none"/>
        </w:rPr>
        <w:lastRenderedPageBreak/>
        <w:t>que establece el plan de estudios de la modalidad virtual.</w:t>
      </w:r>
    </w:p>
    <w:p w14:paraId="5EE7FFB6"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0549D9F7"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ES"/>
          <w14:ligatures w14:val="none"/>
        </w:rPr>
      </w:pPr>
      <w:r w:rsidRPr="00294C7F">
        <w:rPr>
          <w:rFonts w:ascii="Calibri" w:eastAsia="Times New Roman" w:hAnsi="Calibri" w:cs="Arial"/>
          <w:b/>
          <w:bCs/>
          <w:color w:val="000000"/>
          <w:kern w:val="0"/>
          <w:lang w:val="es-ES_tradnl" w:eastAsia="es-CR"/>
          <w14:ligatures w14:val="none"/>
        </w:rPr>
        <w:t xml:space="preserve">X. </w:t>
      </w:r>
      <w:r w:rsidRPr="00294C7F">
        <w:rPr>
          <w:rFonts w:ascii="Calibri" w:eastAsia="Times New Roman" w:hAnsi="Calibri" w:cs="Arial"/>
          <w:b/>
          <w:bCs/>
          <w:color w:val="000000"/>
          <w:kern w:val="0"/>
          <w:lang w:val="es-ES_tradnl" w:eastAsia="es-ES"/>
          <w14:ligatures w14:val="none"/>
        </w:rPr>
        <w:t>Evaluación</w:t>
      </w:r>
    </w:p>
    <w:p w14:paraId="7D3B7AF8"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 w:eastAsia="es-CR"/>
          <w14:ligatures w14:val="none"/>
        </w:rPr>
      </w:pPr>
      <w:r w:rsidRPr="00294C7F">
        <w:rPr>
          <w:rFonts w:ascii="Calibri" w:eastAsia="Times New Roman" w:hAnsi="Calibri" w:cs="Arial"/>
          <w:kern w:val="0"/>
          <w:lang w:val="es-ES" w:eastAsia="es-CR"/>
          <w14:ligatures w14:val="none"/>
        </w:rPr>
        <w:t xml:space="preserve">Por la naturaleza del curso que implica una adquisición de conocimientos y destrezas acumulativa, se requiere que la persona estudiante realice semanalmente todas las actividades presentadas en el curso. Se evalúa el estudio de las lecciones, la participación en los encuentros sincrónicos virtuales y foros temáticos, la entrega de tareas, la realización de </w:t>
      </w:r>
      <w:proofErr w:type="spellStart"/>
      <w:r w:rsidRPr="00294C7F">
        <w:rPr>
          <w:rFonts w:ascii="Calibri" w:eastAsia="Times New Roman" w:hAnsi="Calibri" w:cs="Arial"/>
          <w:kern w:val="0"/>
          <w:lang w:val="es-ES" w:eastAsia="es-CR"/>
          <w14:ligatures w14:val="none"/>
        </w:rPr>
        <w:t>quizes</w:t>
      </w:r>
      <w:proofErr w:type="spellEnd"/>
      <w:r w:rsidRPr="00294C7F">
        <w:rPr>
          <w:rFonts w:ascii="Calibri" w:eastAsia="Times New Roman" w:hAnsi="Calibri" w:cs="Arial"/>
          <w:kern w:val="0"/>
          <w:lang w:val="es-ES" w:eastAsia="es-CR"/>
          <w14:ligatures w14:val="none"/>
        </w:rPr>
        <w:t xml:space="preserve"> y de dos exámenes que se realizan con monitoreo en tiempo real por medio de encuentros sincrónicos virtuales. La nota mínima de aprobación del curso es 7.00 (siete en escala decimal). La distribución de rubros de evaluación y su porcentaje en la nota final es la siguiente:</w:t>
      </w:r>
    </w:p>
    <w:p w14:paraId="6DE97CAB"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p>
    <w:tbl>
      <w:tblPr>
        <w:tblpPr w:leftFromText="141" w:rightFromText="141" w:vertAnchor="text" w:horzAnchor="page" w:tblpXSpec="center" w:tblpY="32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905"/>
        <w:gridCol w:w="1383"/>
      </w:tblGrid>
      <w:tr w:rsidR="00294C7F" w:rsidRPr="00294C7F" w14:paraId="62FF5212" w14:textId="77777777" w:rsidTr="00CE7124">
        <w:tc>
          <w:tcPr>
            <w:tcW w:w="9288" w:type="dxa"/>
            <w:gridSpan w:val="2"/>
          </w:tcPr>
          <w:p w14:paraId="3160A0A3" w14:textId="77777777" w:rsidR="00294C7F" w:rsidRPr="00294C7F" w:rsidRDefault="00294C7F" w:rsidP="00294C7F">
            <w:pPr>
              <w:widowControl w:val="0"/>
              <w:overflowPunct w:val="0"/>
              <w:autoSpaceDE w:val="0"/>
              <w:autoSpaceDN w:val="0"/>
              <w:adjustRightInd w:val="0"/>
              <w:spacing w:before="120" w:after="0" w:line="240" w:lineRule="auto"/>
              <w:jc w:val="center"/>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t>Síntesis cuantitativa de la evaluación</w:t>
            </w:r>
          </w:p>
        </w:tc>
      </w:tr>
      <w:tr w:rsidR="00294C7F" w:rsidRPr="00294C7F" w14:paraId="4ABF762C" w14:textId="77777777" w:rsidTr="00CE7124">
        <w:tc>
          <w:tcPr>
            <w:tcW w:w="7905" w:type="dxa"/>
            <w:vAlign w:val="center"/>
          </w:tcPr>
          <w:p w14:paraId="77FC79F7" w14:textId="77777777" w:rsidR="00294C7F" w:rsidRPr="00294C7F" w:rsidRDefault="00294C7F" w:rsidP="00294C7F">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color w:val="000000"/>
                <w:kern w:val="0"/>
                <w:lang w:val="es-ES_tradnl" w:eastAsia="es-CR"/>
                <w14:ligatures w14:val="none"/>
              </w:rPr>
              <w:t>Rubros para evaluar</w:t>
            </w:r>
          </w:p>
        </w:tc>
        <w:tc>
          <w:tcPr>
            <w:tcW w:w="1383" w:type="dxa"/>
            <w:vAlign w:val="center"/>
          </w:tcPr>
          <w:p w14:paraId="2BDFFB7B" w14:textId="77777777" w:rsidR="00294C7F" w:rsidRPr="00294C7F" w:rsidRDefault="00294C7F" w:rsidP="00294C7F">
            <w:pPr>
              <w:widowControl w:val="0"/>
              <w:overflowPunct w:val="0"/>
              <w:autoSpaceDE w:val="0"/>
              <w:autoSpaceDN w:val="0"/>
              <w:adjustRightInd w:val="0"/>
              <w:spacing w:before="120" w:after="0" w:line="240" w:lineRule="auto"/>
              <w:jc w:val="center"/>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t>Porcentaje total</w:t>
            </w:r>
          </w:p>
        </w:tc>
      </w:tr>
      <w:tr w:rsidR="00294C7F" w:rsidRPr="00294C7F" w14:paraId="7C2CA89A" w14:textId="77777777" w:rsidTr="00CE7124">
        <w:tc>
          <w:tcPr>
            <w:tcW w:w="7905" w:type="dxa"/>
          </w:tcPr>
          <w:p w14:paraId="2E2563AE" w14:textId="77777777" w:rsidR="00294C7F" w:rsidRPr="00294C7F" w:rsidRDefault="00294C7F" w:rsidP="00294C7F">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Arial"/>
                <w:b/>
                <w:bCs/>
                <w:i/>
                <w:color w:val="0070C0"/>
                <w:kern w:val="0"/>
                <w14:ligatures w14:val="none"/>
              </w:rPr>
            </w:pPr>
            <w:r w:rsidRPr="00294C7F">
              <w:rPr>
                <w:rFonts w:ascii="Calibri" w:eastAsia="Calibri" w:hAnsi="Calibri" w:cs="Arial"/>
                <w:b/>
                <w:bCs/>
                <w:i/>
                <w:color w:val="0070C0"/>
                <w:kern w:val="0"/>
                <w14:ligatures w14:val="none"/>
              </w:rPr>
              <w:t>Encuentros sincrónicos virtuales</w:t>
            </w:r>
          </w:p>
          <w:p w14:paraId="6B6DE10D" w14:textId="77777777" w:rsidR="00294C7F" w:rsidRPr="00294C7F" w:rsidRDefault="00294C7F" w:rsidP="00294C7F">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Arial"/>
                <w:b/>
                <w:bCs/>
                <w:i/>
                <w:color w:val="0070C0"/>
                <w:kern w:val="0"/>
                <w14:ligatures w14:val="none"/>
              </w:rPr>
            </w:pPr>
            <w:r w:rsidRPr="00294C7F">
              <w:rPr>
                <w:rFonts w:ascii="Calibri" w:eastAsia="Calibri" w:hAnsi="Calibri" w:cs="Arial"/>
                <w:iCs/>
                <w:color w:val="0070C0"/>
                <w:kern w:val="0"/>
                <w14:ligatures w14:val="none"/>
              </w:rPr>
              <w:t>Se llevan a cabo de la sesión 1 a la 5 y de la 7 a la 14. Tienen un valor formativo y no sumativo.</w:t>
            </w:r>
          </w:p>
        </w:tc>
        <w:tc>
          <w:tcPr>
            <w:tcW w:w="1383" w:type="dxa"/>
            <w:vAlign w:val="center"/>
          </w:tcPr>
          <w:p w14:paraId="715F9D91" w14:textId="77777777" w:rsidR="00294C7F" w:rsidRPr="00294C7F" w:rsidRDefault="00294C7F" w:rsidP="00294C7F">
            <w:pPr>
              <w:widowControl w:val="0"/>
              <w:overflowPunct w:val="0"/>
              <w:autoSpaceDE w:val="0"/>
              <w:autoSpaceDN w:val="0"/>
              <w:adjustRightInd w:val="0"/>
              <w:spacing w:before="120" w:after="0" w:line="240" w:lineRule="auto"/>
              <w:jc w:val="center"/>
              <w:rPr>
                <w:rFonts w:ascii="Calibri" w:eastAsia="Times New Roman" w:hAnsi="Calibri" w:cs="Arial"/>
                <w:bCs/>
                <w:color w:val="0070C0"/>
                <w:kern w:val="0"/>
                <w:lang w:eastAsia="es-CR"/>
                <w14:ligatures w14:val="none"/>
              </w:rPr>
            </w:pPr>
            <w:r w:rsidRPr="00294C7F">
              <w:rPr>
                <w:rFonts w:ascii="Calibri" w:eastAsia="Times New Roman" w:hAnsi="Calibri" w:cs="Calibri"/>
                <w:color w:val="0070C0"/>
                <w:kern w:val="0"/>
                <w:lang w:val="es-ES_tradnl" w:eastAsia="es-CR"/>
                <w14:ligatures w14:val="none"/>
              </w:rPr>
              <w:t>̶</w:t>
            </w:r>
          </w:p>
        </w:tc>
      </w:tr>
      <w:tr w:rsidR="00294C7F" w:rsidRPr="00294C7F" w14:paraId="0D30402C" w14:textId="77777777" w:rsidTr="00CE7124">
        <w:tc>
          <w:tcPr>
            <w:tcW w:w="7905" w:type="dxa"/>
          </w:tcPr>
          <w:p w14:paraId="584D0F8F" w14:textId="77777777" w:rsidR="00294C7F" w:rsidRPr="00294C7F" w:rsidRDefault="00294C7F" w:rsidP="00294C7F">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Arial"/>
                <w:b/>
                <w:bCs/>
                <w:i/>
                <w:color w:val="000000"/>
                <w:kern w:val="0"/>
                <w14:ligatures w14:val="none"/>
              </w:rPr>
            </w:pPr>
            <w:proofErr w:type="spellStart"/>
            <w:r w:rsidRPr="00294C7F">
              <w:rPr>
                <w:rFonts w:ascii="Calibri" w:eastAsia="Calibri" w:hAnsi="Calibri" w:cs="Arial"/>
                <w:b/>
                <w:bCs/>
                <w:i/>
                <w:color w:val="000000"/>
                <w:kern w:val="0"/>
                <w14:ligatures w14:val="none"/>
              </w:rPr>
              <w:t>Quizes</w:t>
            </w:r>
            <w:proofErr w:type="spellEnd"/>
            <w:r w:rsidRPr="00294C7F">
              <w:rPr>
                <w:rFonts w:ascii="Calibri" w:eastAsia="Calibri" w:hAnsi="Calibri" w:cs="Arial"/>
                <w:b/>
                <w:bCs/>
                <w:i/>
                <w:color w:val="000000"/>
                <w:kern w:val="0"/>
                <w14:ligatures w14:val="none"/>
              </w:rPr>
              <w:t xml:space="preserve"> de comprobación</w:t>
            </w:r>
          </w:p>
          <w:p w14:paraId="1F5AC548" w14:textId="77777777" w:rsidR="00294C7F" w:rsidRPr="00294C7F" w:rsidRDefault="00294C7F" w:rsidP="00294C7F">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Arial"/>
                <w:b/>
                <w:bCs/>
                <w:i/>
                <w:color w:val="000000"/>
                <w:kern w:val="0"/>
                <w14:ligatures w14:val="none"/>
              </w:rPr>
            </w:pPr>
            <w:r w:rsidRPr="00294C7F">
              <w:rPr>
                <w:rFonts w:ascii="Calibri" w:eastAsia="Calibri" w:hAnsi="Calibri" w:cs="Arial"/>
                <w:iCs/>
                <w:color w:val="000000"/>
                <w:kern w:val="0"/>
                <w14:ligatures w14:val="none"/>
              </w:rPr>
              <w:t xml:space="preserve">El porcentaje total establecido para este rubro se aplica para cada uno de los </w:t>
            </w:r>
            <w:proofErr w:type="spellStart"/>
            <w:r w:rsidRPr="00294C7F">
              <w:rPr>
                <w:rFonts w:ascii="Calibri" w:eastAsia="Calibri" w:hAnsi="Calibri" w:cs="Arial"/>
                <w:iCs/>
                <w:color w:val="000000"/>
                <w:kern w:val="0"/>
                <w14:ligatures w14:val="none"/>
              </w:rPr>
              <w:t>quizes</w:t>
            </w:r>
            <w:proofErr w:type="spellEnd"/>
            <w:r w:rsidRPr="00294C7F">
              <w:rPr>
                <w:rFonts w:ascii="Calibri" w:eastAsia="Calibri" w:hAnsi="Calibri" w:cs="Arial"/>
                <w:iCs/>
                <w:color w:val="000000"/>
                <w:kern w:val="0"/>
                <w14:ligatures w14:val="none"/>
              </w:rPr>
              <w:t xml:space="preserve"> de comprobación que se llevan a cabo en las sesiones 2, 3, 4, 5, 7, 8, 9, 10, 11, 12 y 13.</w:t>
            </w:r>
          </w:p>
        </w:tc>
        <w:tc>
          <w:tcPr>
            <w:tcW w:w="1383" w:type="dxa"/>
            <w:vAlign w:val="center"/>
          </w:tcPr>
          <w:p w14:paraId="784F16F2" w14:textId="77777777" w:rsidR="00294C7F" w:rsidRPr="00294C7F" w:rsidRDefault="00294C7F" w:rsidP="00294C7F">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94C7F">
              <w:rPr>
                <w:rFonts w:ascii="Calibri" w:eastAsia="Times New Roman" w:hAnsi="Calibri" w:cs="Arial"/>
                <w:bCs/>
                <w:color w:val="0070C0"/>
                <w:kern w:val="0"/>
                <w:lang w:val="es-ES_tradnl" w:eastAsia="es-CR"/>
                <w14:ligatures w14:val="none"/>
              </w:rPr>
              <w:t>35%</w:t>
            </w:r>
          </w:p>
        </w:tc>
      </w:tr>
      <w:tr w:rsidR="00294C7F" w:rsidRPr="00294C7F" w14:paraId="490ACBCC" w14:textId="77777777" w:rsidTr="00CE7124">
        <w:tc>
          <w:tcPr>
            <w:tcW w:w="7905" w:type="dxa"/>
          </w:tcPr>
          <w:p w14:paraId="0F1A8E03"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b/>
                <w:i/>
                <w:iCs/>
                <w:color w:val="000000"/>
                <w:kern w:val="0"/>
                <w:lang w:val="es-ES_tradnl" w:eastAsia="es-CR"/>
                <w14:ligatures w14:val="none"/>
              </w:rPr>
            </w:pPr>
            <w:r w:rsidRPr="00294C7F">
              <w:rPr>
                <w:rFonts w:ascii="Calibri" w:eastAsia="Times New Roman" w:hAnsi="Calibri" w:cs="Arial"/>
                <w:b/>
                <w:i/>
                <w:iCs/>
                <w:color w:val="000000"/>
                <w:kern w:val="0"/>
                <w:lang w:val="es-ES_tradnl" w:eastAsia="es-CR"/>
                <w14:ligatures w14:val="none"/>
              </w:rPr>
              <w:t>Tareas individuales</w:t>
            </w:r>
          </w:p>
          <w:p w14:paraId="08C6BB25"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294C7F">
              <w:rPr>
                <w:rFonts w:ascii="Calibri" w:eastAsia="Times New Roman" w:hAnsi="Calibri" w:cs="Arial"/>
                <w:bCs/>
                <w:color w:val="000000"/>
                <w:kern w:val="0"/>
                <w:lang w:val="es-ES_tradnl" w:eastAsia="es-CR"/>
                <w14:ligatures w14:val="none"/>
              </w:rPr>
              <w:t>Se realizan en las sesiones 1, 2, 3, 4, 5, 7, 8, 9, 10, 11, 12 y 13. Cada tarea tiene un valor de 2,5%.</w:t>
            </w:r>
          </w:p>
        </w:tc>
        <w:tc>
          <w:tcPr>
            <w:tcW w:w="1383" w:type="dxa"/>
            <w:vAlign w:val="center"/>
          </w:tcPr>
          <w:p w14:paraId="4B063ACE" w14:textId="77777777" w:rsidR="00294C7F" w:rsidRPr="00294C7F" w:rsidRDefault="00294C7F" w:rsidP="00294C7F">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294C7F">
              <w:rPr>
                <w:rFonts w:ascii="Calibri" w:eastAsia="Times New Roman" w:hAnsi="Calibri" w:cs="Arial"/>
                <w:bCs/>
                <w:color w:val="000000"/>
                <w:kern w:val="0"/>
                <w:lang w:val="es-ES_tradnl" w:eastAsia="es-CR"/>
                <w14:ligatures w14:val="none"/>
              </w:rPr>
              <w:t>30%</w:t>
            </w:r>
          </w:p>
        </w:tc>
      </w:tr>
      <w:tr w:rsidR="00294C7F" w:rsidRPr="00294C7F" w14:paraId="613BFF78" w14:textId="77777777" w:rsidTr="00CE7124">
        <w:tc>
          <w:tcPr>
            <w:tcW w:w="7905" w:type="dxa"/>
          </w:tcPr>
          <w:p w14:paraId="3E393E94" w14:textId="77777777" w:rsidR="00294C7F" w:rsidRPr="00294C7F" w:rsidRDefault="00294C7F" w:rsidP="00294C7F">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Arial"/>
                <w:bCs/>
                <w:color w:val="000000"/>
                <w:kern w:val="0"/>
                <w14:ligatures w14:val="none"/>
              </w:rPr>
            </w:pPr>
            <w:r w:rsidRPr="00294C7F">
              <w:rPr>
                <w:rFonts w:ascii="Calibri" w:eastAsia="Calibri" w:hAnsi="Calibri" w:cs="Arial"/>
                <w:b/>
                <w:i/>
                <w:iCs/>
                <w:color w:val="000000"/>
                <w:kern w:val="0"/>
                <w14:ligatures w14:val="none"/>
              </w:rPr>
              <w:t>Foros temáticos</w:t>
            </w:r>
          </w:p>
          <w:p w14:paraId="35229C11" w14:textId="77777777" w:rsidR="00294C7F" w:rsidRPr="00294C7F" w:rsidRDefault="00294C7F" w:rsidP="00294C7F">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Arial"/>
                <w:bCs/>
                <w:color w:val="000000"/>
                <w:kern w:val="0"/>
                <w14:ligatures w14:val="none"/>
              </w:rPr>
            </w:pPr>
            <w:r w:rsidRPr="00294C7F">
              <w:rPr>
                <w:rFonts w:ascii="Calibri" w:eastAsia="Calibri" w:hAnsi="Calibri" w:cs="Arial"/>
                <w:bCs/>
                <w:color w:val="000000"/>
                <w:kern w:val="0"/>
                <w14:ligatures w14:val="none"/>
              </w:rPr>
              <w:t>Se desarrollan en las sesiones 5 y 10. Cada foro tiene un valor de 2,5%.</w:t>
            </w:r>
          </w:p>
        </w:tc>
        <w:tc>
          <w:tcPr>
            <w:tcW w:w="1383" w:type="dxa"/>
            <w:vAlign w:val="center"/>
          </w:tcPr>
          <w:p w14:paraId="0BCA0C06" w14:textId="77777777" w:rsidR="00294C7F" w:rsidRPr="00294C7F" w:rsidRDefault="00294C7F" w:rsidP="00294C7F">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294C7F">
              <w:rPr>
                <w:rFonts w:ascii="Calibri" w:eastAsia="Times New Roman" w:hAnsi="Calibri" w:cs="Arial"/>
                <w:bCs/>
                <w:color w:val="000000"/>
                <w:kern w:val="0"/>
                <w:lang w:val="es-ES_tradnl" w:eastAsia="es-CR"/>
                <w14:ligatures w14:val="none"/>
              </w:rPr>
              <w:t>5%</w:t>
            </w:r>
          </w:p>
        </w:tc>
      </w:tr>
      <w:tr w:rsidR="00294C7F" w:rsidRPr="00294C7F" w14:paraId="4F6CAA44" w14:textId="77777777" w:rsidTr="00CE7124">
        <w:tc>
          <w:tcPr>
            <w:tcW w:w="7905" w:type="dxa"/>
          </w:tcPr>
          <w:p w14:paraId="55C48EC3"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b/>
                <w:i/>
                <w:iCs/>
                <w:color w:val="000000"/>
                <w:kern w:val="0"/>
                <w:lang w:val="es-ES_tradnl" w:eastAsia="es-CR"/>
                <w14:ligatures w14:val="none"/>
              </w:rPr>
            </w:pPr>
            <w:r w:rsidRPr="00294C7F">
              <w:rPr>
                <w:rFonts w:ascii="Calibri" w:eastAsia="Times New Roman" w:hAnsi="Calibri" w:cs="Arial"/>
                <w:b/>
                <w:i/>
                <w:iCs/>
                <w:color w:val="000000"/>
                <w:kern w:val="0"/>
                <w:lang w:val="es-ES_tradnl" w:eastAsia="es-CR"/>
                <w14:ligatures w14:val="none"/>
              </w:rPr>
              <w:t>Exámenes parciales</w:t>
            </w:r>
          </w:p>
          <w:p w14:paraId="70A5A574"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294C7F">
              <w:rPr>
                <w:rFonts w:ascii="Calibri" w:eastAsia="Times New Roman" w:hAnsi="Calibri" w:cs="Arial"/>
                <w:bCs/>
                <w:color w:val="000000"/>
                <w:kern w:val="0"/>
                <w:lang w:val="es-ES_tradnl" w:eastAsia="es-CR"/>
                <w14:ligatures w14:val="none"/>
              </w:rPr>
              <w:t>Se realizan en las sesiones 6 y 15. Cada examen tiene un valor de 15%.</w:t>
            </w:r>
          </w:p>
        </w:tc>
        <w:tc>
          <w:tcPr>
            <w:tcW w:w="1383" w:type="dxa"/>
            <w:vAlign w:val="center"/>
          </w:tcPr>
          <w:p w14:paraId="1DC95272" w14:textId="77777777" w:rsidR="00294C7F" w:rsidRPr="00294C7F" w:rsidRDefault="00294C7F" w:rsidP="00294C7F">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294C7F">
              <w:rPr>
                <w:rFonts w:ascii="Calibri" w:eastAsia="Times New Roman" w:hAnsi="Calibri" w:cs="Arial"/>
                <w:bCs/>
                <w:color w:val="000000"/>
                <w:kern w:val="0"/>
                <w:lang w:val="es-ES_tradnl" w:eastAsia="es-CR"/>
                <w14:ligatures w14:val="none"/>
              </w:rPr>
              <w:t>30%</w:t>
            </w:r>
          </w:p>
        </w:tc>
      </w:tr>
      <w:tr w:rsidR="00294C7F" w:rsidRPr="00294C7F" w14:paraId="7CFBF950" w14:textId="77777777" w:rsidTr="00CE7124">
        <w:tc>
          <w:tcPr>
            <w:tcW w:w="7905" w:type="dxa"/>
          </w:tcPr>
          <w:p w14:paraId="16CCDE27" w14:textId="77777777" w:rsidR="00294C7F" w:rsidRPr="00294C7F" w:rsidRDefault="00294C7F" w:rsidP="00294C7F">
            <w:pPr>
              <w:widowControl w:val="0"/>
              <w:overflowPunct w:val="0"/>
              <w:autoSpaceDE w:val="0"/>
              <w:autoSpaceDN w:val="0"/>
              <w:adjustRightInd w:val="0"/>
              <w:spacing w:after="0" w:line="240" w:lineRule="auto"/>
              <w:jc w:val="both"/>
              <w:rPr>
                <w:rFonts w:ascii="Calibri" w:eastAsia="Times New Roman" w:hAnsi="Calibri" w:cs="Arial"/>
                <w:b/>
                <w:color w:val="000000"/>
                <w:kern w:val="0"/>
                <w:lang w:val="es-ES_tradnl" w:eastAsia="es-CR"/>
                <w14:ligatures w14:val="none"/>
              </w:rPr>
            </w:pPr>
            <w:r w:rsidRPr="00294C7F">
              <w:rPr>
                <w:rFonts w:ascii="Calibri" w:eastAsia="Times New Roman" w:hAnsi="Calibri" w:cs="Arial"/>
                <w:b/>
                <w:color w:val="000000"/>
                <w:kern w:val="0"/>
                <w:lang w:val="es-ES_tradnl" w:eastAsia="es-CR"/>
                <w14:ligatures w14:val="none"/>
              </w:rPr>
              <w:t>Total</w:t>
            </w:r>
          </w:p>
        </w:tc>
        <w:tc>
          <w:tcPr>
            <w:tcW w:w="1383" w:type="dxa"/>
            <w:vAlign w:val="center"/>
          </w:tcPr>
          <w:p w14:paraId="4C7343C7" w14:textId="77777777" w:rsidR="00294C7F" w:rsidRPr="00294C7F" w:rsidRDefault="00294C7F" w:rsidP="00294C7F">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294C7F">
              <w:rPr>
                <w:rFonts w:ascii="Calibri" w:eastAsia="Times New Roman" w:hAnsi="Calibri" w:cs="Arial"/>
                <w:b/>
                <w:color w:val="000000"/>
                <w:kern w:val="0"/>
                <w:lang w:val="es-ES_tradnl" w:eastAsia="es-CR"/>
                <w14:ligatures w14:val="none"/>
              </w:rPr>
              <w:t>100%</w:t>
            </w:r>
          </w:p>
        </w:tc>
      </w:tr>
    </w:tbl>
    <w:p w14:paraId="699871F6"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1858ECF8"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2687B093"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3E8DC002"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5F0BE6F0" w14:textId="77777777" w:rsidR="00294C7F" w:rsidRPr="00294C7F" w:rsidRDefault="00294C7F" w:rsidP="00294C7F">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66A779B3" w14:textId="77777777" w:rsidR="00294C7F" w:rsidRPr="00294C7F" w:rsidRDefault="00294C7F" w:rsidP="00294C7F">
      <w:pPr>
        <w:jc w:val="both"/>
        <w:rPr>
          <w:rFonts w:ascii="Calibri" w:eastAsia="Times New Roman" w:hAnsi="Calibri" w:cs="Arial"/>
          <w:b/>
          <w:bCs/>
          <w:color w:val="000000"/>
          <w:kern w:val="0"/>
          <w:lang w:val="es-ES_tradnl" w:eastAsia="es-CR"/>
          <w14:ligatures w14:val="none"/>
        </w:rPr>
      </w:pPr>
    </w:p>
    <w:p w14:paraId="41F4B32D" w14:textId="77777777" w:rsidR="00294C7F" w:rsidRPr="00294C7F" w:rsidRDefault="00294C7F" w:rsidP="00294C7F">
      <w:pPr>
        <w:jc w:val="both"/>
        <w:rPr>
          <w:rFonts w:ascii="Calibri" w:eastAsia="Times New Roman" w:hAnsi="Calibri" w:cs="Arial"/>
          <w:b/>
          <w:bCs/>
          <w:color w:val="000000"/>
          <w:kern w:val="0"/>
          <w:lang w:val="es-ES_tradnl" w:eastAsia="es-CR"/>
          <w14:ligatures w14:val="none"/>
        </w:rPr>
        <w:sectPr w:rsidR="00294C7F" w:rsidRPr="00294C7F" w:rsidSect="005C1895">
          <w:pgSz w:w="12240" w:h="15840"/>
          <w:pgMar w:top="1417" w:right="1701" w:bottom="1417" w:left="1701" w:header="708" w:footer="708" w:gutter="0"/>
          <w:cols w:space="708"/>
          <w:docGrid w:linePitch="360"/>
        </w:sectPr>
      </w:pPr>
    </w:p>
    <w:p w14:paraId="638A9572" w14:textId="77777777" w:rsidR="00294C7F" w:rsidRPr="00294C7F" w:rsidRDefault="00294C7F" w:rsidP="00294C7F">
      <w:pPr>
        <w:jc w:val="center"/>
        <w:rPr>
          <w:rFonts w:ascii="Calibri" w:eastAsia="Times New Roman" w:hAnsi="Calibri" w:cs="Arial"/>
          <w:b/>
          <w:bCs/>
          <w:color w:val="000000"/>
          <w:kern w:val="0"/>
          <w:lang w:val="es-ES_tradnl" w:eastAsia="es-CR"/>
          <w14:ligatures w14:val="none"/>
        </w:rPr>
      </w:pPr>
      <w:r w:rsidRPr="00294C7F">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394496" behindDoc="0" locked="0" layoutInCell="1" allowOverlap="1" wp14:anchorId="6066C489" wp14:editId="618EAD6F">
                <wp:simplePos x="0" y="0"/>
                <wp:positionH relativeFrom="margin">
                  <wp:align>center</wp:align>
                </wp:positionH>
                <wp:positionV relativeFrom="paragraph">
                  <wp:posOffset>-257810</wp:posOffset>
                </wp:positionV>
                <wp:extent cx="7879080" cy="400050"/>
                <wp:effectExtent l="0" t="0" r="26670" b="19050"/>
                <wp:wrapNone/>
                <wp:docPr id="10414253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0050"/>
                        </a:xfrm>
                        <a:prstGeom prst="rect">
                          <a:avLst/>
                        </a:prstGeom>
                        <a:solidFill>
                          <a:srgbClr val="FFFFFF"/>
                        </a:solidFill>
                        <a:ln w="9525">
                          <a:solidFill>
                            <a:srgbClr val="000000"/>
                          </a:solidFill>
                          <a:miter lim="800000"/>
                          <a:headEnd/>
                          <a:tailEnd/>
                        </a:ln>
                      </wps:spPr>
                      <wps:txbx>
                        <w:txbxContent>
                          <w:p w14:paraId="5FFD3D7C" w14:textId="77777777" w:rsidR="00294C7F" w:rsidRPr="00294C7F" w:rsidRDefault="00294C7F" w:rsidP="00294C7F">
                            <w:pPr>
                              <w:jc w:val="center"/>
                              <w:rPr>
                                <w:rFonts w:cs="Calibri"/>
                                <w:b/>
                                <w:szCs w:val="24"/>
                              </w:rPr>
                            </w:pPr>
                            <w:r w:rsidRPr="00294C7F">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6C489" id="_x0000_s1142" type="#_x0000_t202" style="position:absolute;left:0;text-align:left;margin-left:0;margin-top:-20.3pt;width:620.4pt;height:31.5pt;z-index:2523944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">
                <v:textbox>
                  <w:txbxContent>
                    <w:p w14:paraId="5FFD3D7C" w14:textId="77777777" w:rsidR="00294C7F" w:rsidRPr="00294C7F" w:rsidRDefault="00294C7F" w:rsidP="00294C7F">
                      <w:pPr>
                        <w:jc w:val="center"/>
                        <w:rPr>
                          <w:rFonts w:cs="Calibri"/>
                          <w:b/>
                          <w:szCs w:val="24"/>
                        </w:rPr>
                      </w:pPr>
                      <w:r w:rsidRPr="00294C7F">
                        <w:rPr>
                          <w:rFonts w:cs="Calibri"/>
                          <w:b/>
                          <w:szCs w:val="24"/>
                        </w:rPr>
                        <w:t>RÚBRICA DE EVALUACIÓN – FORO TEMÁTICO</w:t>
                      </w:r>
                    </w:p>
                  </w:txbxContent>
                </v:textbox>
                <w10:wrap anchorx="margin"/>
              </v:shape>
            </w:pict>
          </mc:Fallback>
        </mc:AlternateContent>
      </w:r>
      <w:r w:rsidRPr="00294C7F">
        <w:rPr>
          <w:rFonts w:ascii="Calibri" w:eastAsia="Times New Roman" w:hAnsi="Calibri" w:cs="Arial"/>
          <w:b/>
          <w:bCs/>
          <w:noProof/>
          <w:color w:val="000000"/>
          <w:kern w:val="0"/>
          <w:lang w:val="es-ES_tradnl" w:eastAsia="es-CR"/>
          <w14:ligatures w14:val="none"/>
        </w:rPr>
        <mc:AlternateContent>
          <mc:Choice Requires="wps">
            <w:drawing>
              <wp:anchor distT="0" distB="0" distL="114300" distR="114300" simplePos="0" relativeHeight="252393472" behindDoc="0" locked="0" layoutInCell="1" allowOverlap="1" wp14:anchorId="39A06A38" wp14:editId="5A17B996">
                <wp:simplePos x="0" y="0"/>
                <wp:positionH relativeFrom="margin">
                  <wp:align>center</wp:align>
                </wp:positionH>
                <wp:positionV relativeFrom="paragraph">
                  <wp:posOffset>-1074420</wp:posOffset>
                </wp:positionV>
                <wp:extent cx="2410460" cy="415290"/>
                <wp:effectExtent l="0" t="0" r="8890" b="3810"/>
                <wp:wrapNone/>
                <wp:docPr id="11" name="Cuadro de texto 11"/>
                <wp:cNvGraphicFramePr/>
                <a:graphic xmlns:a="http://schemas.openxmlformats.org/drawingml/2006/main">
                  <a:graphicData uri="http://schemas.microsoft.com/office/word/2010/wordprocessingShape">
                    <wps:wsp>
                      <wps:cNvSpPr txBox="1"/>
                      <wps:spPr>
                        <a:xfrm>
                          <a:off x="0" y="0"/>
                          <a:ext cx="2410460" cy="415290"/>
                        </a:xfrm>
                        <a:prstGeom prst="rect">
                          <a:avLst/>
                        </a:prstGeom>
                        <a:solidFill>
                          <a:sysClr val="window" lastClr="FFFFFF"/>
                        </a:solidFill>
                        <a:ln w="6350">
                          <a:noFill/>
                        </a:ln>
                      </wps:spPr>
                      <wps:txbx>
                        <w:txbxContent>
                          <w:p w14:paraId="789D5C2F" w14:textId="77777777" w:rsidR="00294C7F" w:rsidRPr="009C0555" w:rsidRDefault="00294C7F" w:rsidP="00294C7F">
                            <w:pPr>
                              <w:jc w:val="center"/>
                              <w:rPr>
                                <w:b/>
                                <w:bCs/>
                                <w:sz w:val="28"/>
                                <w:szCs w:val="28"/>
                                <w:lang w:val="es-ES"/>
                              </w:rPr>
                            </w:pPr>
                            <w:r w:rsidRPr="009C0555">
                              <w:rPr>
                                <w:b/>
                                <w:bCs/>
                                <w:sz w:val="28"/>
                                <w:szCs w:val="28"/>
                                <w:lang w:val="es-ES"/>
                              </w:rPr>
                              <w:t>Instrumentos de evaluación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06A38" id="Cuadro de texto 11" o:spid="_x0000_s1143" type="#_x0000_t202" style="position:absolute;left:0;text-align:left;margin-left:0;margin-top:-84.6pt;width:189.8pt;height:32.7pt;z-index:252393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" fillcolor="window" stroked="f" strokeweight=".5pt">
                <v:textbox>
                  <w:txbxContent>
                    <w:p w14:paraId="789D5C2F" w14:textId="77777777" w:rsidR="00294C7F" w:rsidRPr="009C0555" w:rsidRDefault="00294C7F" w:rsidP="00294C7F">
                      <w:pPr>
                        <w:jc w:val="center"/>
                        <w:rPr>
                          <w:b/>
                          <w:bCs/>
                          <w:sz w:val="28"/>
                          <w:szCs w:val="28"/>
                          <w:lang w:val="es-ES"/>
                        </w:rPr>
                      </w:pPr>
                      <w:r w:rsidRPr="009C0555">
                        <w:rPr>
                          <w:b/>
                          <w:bCs/>
                          <w:sz w:val="28"/>
                          <w:szCs w:val="28"/>
                          <w:lang w:val="es-ES"/>
                        </w:rPr>
                        <w:t>Instrumentos de evaluación</w:t>
                      </w:r>
                    </w:p>
                  </w:txbxContent>
                </v:textbox>
                <w10:wrap anchorx="margin"/>
              </v:shape>
            </w:pict>
          </mc:Fallback>
        </mc:AlternateContent>
      </w:r>
    </w:p>
    <w:p w14:paraId="569416EC" w14:textId="77777777" w:rsidR="00294C7F" w:rsidRPr="00294C7F" w:rsidRDefault="00294C7F" w:rsidP="00294C7F">
      <w:pPr>
        <w:jc w:val="center"/>
        <w:rPr>
          <w:rFonts w:ascii="Calibri" w:eastAsia="Times New Roman" w:hAnsi="Calibri" w:cs="Calibri"/>
          <w:color w:val="0070C0"/>
          <w:kern w:val="0"/>
          <w:lang w:val="es-ES_tradnl" w:eastAsia="es-CR"/>
          <w14:ligatures w14:val="none"/>
        </w:rPr>
      </w:pPr>
      <w:r w:rsidRPr="00294C7F">
        <w:rPr>
          <w:rFonts w:ascii="Calibri" w:eastAsia="Times New Roman" w:hAnsi="Calibri" w:cs="Calibri"/>
          <w:color w:val="0070C0"/>
          <w:kern w:val="0"/>
          <w:lang w:val="es-ES_tradnl" w:eastAsia="es-CR"/>
          <w14:ligatures w14:val="none"/>
        </w:rPr>
        <w:t>Los foros temáticos que se realizan en dos sesiones buscarán aplicar aspectos gramaticales a la resolución de problemas de traducción. En cada foro se aportarán textos hebreos y preguntas para discusión. Se desarrollan en las sesiones 5 y 10. Cada foro tiene un valor de 2,5%.</w:t>
      </w:r>
    </w:p>
    <w:p w14:paraId="0A4033C7"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r w:rsidRPr="00294C7F">
        <w:rPr>
          <w:rFonts w:ascii="Calibri" w:eastAsia="Times New Roman" w:hAnsi="Calibri" w:cs="Calibri"/>
          <w:noProof/>
          <w:color w:val="000000"/>
          <w:kern w:val="0"/>
          <w:lang w:val="es-ES_tradnl" w:eastAsia="es-CR"/>
          <w14:ligatures w14:val="none"/>
        </w:rPr>
        <w:drawing>
          <wp:anchor distT="0" distB="0" distL="114300" distR="114300" simplePos="0" relativeHeight="252395520" behindDoc="0" locked="0" layoutInCell="1" allowOverlap="1" wp14:anchorId="5B37A820" wp14:editId="0139BE67">
            <wp:simplePos x="0" y="0"/>
            <wp:positionH relativeFrom="margin">
              <wp:align>center</wp:align>
            </wp:positionH>
            <wp:positionV relativeFrom="paragraph">
              <wp:posOffset>53022</wp:posOffset>
            </wp:positionV>
            <wp:extent cx="8167688" cy="5927813"/>
            <wp:effectExtent l="0" t="0" r="5080" b="0"/>
            <wp:wrapNone/>
            <wp:docPr id="15373329"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329" name="Imagen 2" descr="Tabla&#10;&#10;Descripción generada automáticamente"/>
                    <pic:cNvPicPr/>
                  </pic:nvPicPr>
                  <pic:blipFill>
                    <a:blip r:embed="rId276">
                      <a:extLst>
                        <a:ext uri="{28A0092B-C50C-407E-A947-70E740481C1C}">
                          <a14:useLocalDpi xmlns:a14="http://schemas.microsoft.com/office/drawing/2010/main" val="0"/>
                        </a:ext>
                      </a:extLst>
                    </a:blip>
                    <a:stretch>
                      <a:fillRect/>
                    </a:stretch>
                  </pic:blipFill>
                  <pic:spPr>
                    <a:xfrm>
                      <a:off x="0" y="0"/>
                      <a:ext cx="8167688" cy="5927813"/>
                    </a:xfrm>
                    <a:prstGeom prst="rect">
                      <a:avLst/>
                    </a:prstGeom>
                  </pic:spPr>
                </pic:pic>
              </a:graphicData>
            </a:graphic>
            <wp14:sizeRelH relativeFrom="margin">
              <wp14:pctWidth>0</wp14:pctWidth>
            </wp14:sizeRelH>
            <wp14:sizeRelV relativeFrom="margin">
              <wp14:pctHeight>0</wp14:pctHeight>
            </wp14:sizeRelV>
          </wp:anchor>
        </w:drawing>
      </w:r>
    </w:p>
    <w:p w14:paraId="5C0F1D2D"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4ADF36EA"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704A9A9A"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7919FFDA"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75793C69"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470F8FD7"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3B0E0326"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239B8CB1"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21712B82"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0D9EDF77"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22EF856A"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59DDFB4A"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33FE202C"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37250D1B"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23748579"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4831436E"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24F4AFF3"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5A0EC0B6"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0303F23E"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4970EC1F" w14:textId="77777777" w:rsidR="00294C7F" w:rsidRPr="00294C7F" w:rsidRDefault="00294C7F" w:rsidP="00294C7F">
      <w:pPr>
        <w:jc w:val="center"/>
        <w:rPr>
          <w:rFonts w:ascii="Calibri" w:eastAsia="Times New Roman" w:hAnsi="Calibri" w:cs="Calibri"/>
          <w:color w:val="000000"/>
          <w:kern w:val="0"/>
          <w:lang w:val="es-ES_tradnl" w:eastAsia="es-CR"/>
          <w14:ligatures w14:val="none"/>
        </w:rPr>
      </w:pPr>
    </w:p>
    <w:p w14:paraId="0C1F3291" w14:textId="77777777" w:rsidR="00294C7F" w:rsidRPr="00294C7F" w:rsidRDefault="00294C7F" w:rsidP="00294C7F">
      <w:pPr>
        <w:jc w:val="center"/>
        <w:rPr>
          <w:rFonts w:ascii="Calibri" w:eastAsia="Times New Roman" w:hAnsi="Calibri" w:cs="Calibri"/>
          <w:b/>
          <w:bCs/>
          <w:color w:val="000000"/>
          <w:kern w:val="0"/>
          <w:lang w:val="es-ES_tradnl" w:eastAsia="es-CR"/>
          <w14:ligatures w14:val="none"/>
        </w:rPr>
      </w:pPr>
      <w:r w:rsidRPr="00294C7F">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396544" behindDoc="0" locked="0" layoutInCell="1" allowOverlap="1" wp14:anchorId="1F4A22AD" wp14:editId="7A211598">
                <wp:simplePos x="0" y="0"/>
                <wp:positionH relativeFrom="margin">
                  <wp:align>center</wp:align>
                </wp:positionH>
                <wp:positionV relativeFrom="paragraph">
                  <wp:posOffset>-161925</wp:posOffset>
                </wp:positionV>
                <wp:extent cx="6606540" cy="414338"/>
                <wp:effectExtent l="0" t="0" r="22860" b="24130"/>
                <wp:wrapNone/>
                <wp:docPr id="324662993" name="Cuadro de texto 1"/>
                <wp:cNvGraphicFramePr/>
                <a:graphic xmlns:a="http://schemas.openxmlformats.org/drawingml/2006/main">
                  <a:graphicData uri="http://schemas.microsoft.com/office/word/2010/wordprocessingShape">
                    <wps:wsp>
                      <wps:cNvSpPr txBox="1"/>
                      <wps:spPr>
                        <a:xfrm>
                          <a:off x="0" y="0"/>
                          <a:ext cx="6606540" cy="414338"/>
                        </a:xfrm>
                        <a:prstGeom prst="rect">
                          <a:avLst/>
                        </a:prstGeom>
                        <a:solidFill>
                          <a:sysClr val="window" lastClr="FFFFFF"/>
                        </a:solidFill>
                        <a:ln w="6350">
                          <a:solidFill>
                            <a:prstClr val="black"/>
                          </a:solidFill>
                        </a:ln>
                      </wps:spPr>
                      <wps:txbx>
                        <w:txbxContent>
                          <w:p w14:paraId="6D194BF4" w14:textId="77777777" w:rsidR="00294C7F" w:rsidRPr="00294C7F" w:rsidRDefault="00294C7F" w:rsidP="00294C7F">
                            <w:pPr>
                              <w:jc w:val="center"/>
                              <w:rPr>
                                <w:rFonts w:cs="Calibri"/>
                              </w:rPr>
                            </w:pPr>
                            <w:r w:rsidRPr="00294C7F">
                              <w:rPr>
                                <w:rFonts w:cs="Calibri"/>
                                <w:b/>
                              </w:rPr>
                              <w:t>ESCALA DE EVALUACIÓN – QUIZ, TAREA Y EXAMEN</w:t>
                            </w:r>
                          </w:p>
                          <w:p w14:paraId="7E83CDAB" w14:textId="77777777" w:rsidR="00294C7F" w:rsidRPr="00294C7F" w:rsidRDefault="00294C7F" w:rsidP="00294C7F">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4A22AD" id="_x0000_s1144" type="#_x0000_t202" style="position:absolute;left:0;text-align:left;margin-left:0;margin-top:-12.75pt;width:520.2pt;height:32.65pt;z-index:2523965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" fillcolor="window" strokeweight=".5pt">
                <v:textbox>
                  <w:txbxContent>
                    <w:p w14:paraId="6D194BF4" w14:textId="77777777" w:rsidR="00294C7F" w:rsidRPr="00294C7F" w:rsidRDefault="00294C7F" w:rsidP="00294C7F">
                      <w:pPr>
                        <w:jc w:val="center"/>
                        <w:rPr>
                          <w:rFonts w:cs="Calibri"/>
                        </w:rPr>
                      </w:pPr>
                      <w:r w:rsidRPr="00294C7F">
                        <w:rPr>
                          <w:rFonts w:cs="Calibri"/>
                          <w:b/>
                        </w:rPr>
                        <w:t>ESCALA DE EVALUACIÓN – QUIZ, TAREA Y EXAMEN</w:t>
                      </w:r>
                    </w:p>
                    <w:p w14:paraId="7E83CDAB" w14:textId="77777777" w:rsidR="00294C7F" w:rsidRPr="00294C7F" w:rsidRDefault="00294C7F" w:rsidP="00294C7F">
                      <w:pPr>
                        <w:jc w:val="center"/>
                        <w:rPr>
                          <w:rFonts w:cs="Calibri"/>
                        </w:rPr>
                      </w:pPr>
                    </w:p>
                  </w:txbxContent>
                </v:textbox>
                <w10:wrap anchorx="margin"/>
              </v:shape>
            </w:pict>
          </mc:Fallback>
        </mc:AlternateContent>
      </w:r>
    </w:p>
    <w:p w14:paraId="23E38BDE" w14:textId="77777777" w:rsidR="00294C7F" w:rsidRPr="00294C7F" w:rsidRDefault="00294C7F" w:rsidP="00294C7F">
      <w:pPr>
        <w:jc w:val="center"/>
        <w:rPr>
          <w:rFonts w:ascii="Calibri" w:eastAsia="Times New Roman" w:hAnsi="Calibri" w:cs="Arial"/>
          <w:color w:val="000000"/>
          <w:kern w:val="0"/>
          <w:lang w:val="es-ES_tradnl" w:eastAsia="es-CR"/>
          <w14:ligatures w14:val="none"/>
        </w:rPr>
      </w:pPr>
    </w:p>
    <w:p w14:paraId="6B79770C" w14:textId="77777777" w:rsidR="00294C7F" w:rsidRPr="00294C7F" w:rsidRDefault="00294C7F" w:rsidP="00294C7F">
      <w:pPr>
        <w:jc w:val="center"/>
        <w:rPr>
          <w:rFonts w:ascii="Calibri" w:eastAsia="Times New Roman" w:hAnsi="Calibri" w:cs="Arial"/>
          <w:color w:val="0070C0"/>
          <w:kern w:val="0"/>
          <w:lang w:val="es-ES_tradnl" w:eastAsia="es-CR"/>
          <w14:ligatures w14:val="none"/>
        </w:rPr>
      </w:pPr>
      <w:r w:rsidRPr="00294C7F">
        <w:rPr>
          <w:rFonts w:ascii="Calibri" w:eastAsia="Times New Roman" w:hAnsi="Calibri" w:cs="Arial"/>
          <w:color w:val="0070C0"/>
          <w:kern w:val="0"/>
          <w:lang w:val="es-ES_tradnl" w:eastAsia="es-CR"/>
          <w14:ligatures w14:val="none"/>
        </w:rPr>
        <w:t xml:space="preserve">Durante doce sesiones los y las estudiantes realizarán un breve quiz que comprobará la comprensión del material estudiado y el conocimiento del vocabulario. Se llevan a cabo en las sesiones 2, 3, 4, 5, 7, 8, 9, 10, 11, 12 y 13. Tienen un valor global de 35%. Las tareas individuales son ejercicios asignados para reforzar las competencias en el uso del vocabulario y los aspectos gramaticales del idioma hebreo. Se realizan en las sesiones 1, 2, 3, 4, 5, 7, 8, 9, 10, 11, 12 y 13. Cada tarea tiene un valor de 2,5%. Mediante dos exámenes se busca valorar los aprendizajes y las competencias desarrolladas en forma acumulativa a través de ejercicios de traducción y explicación de normas gramaticales. Se realizan en las sesiones 6 y 15. Cada examen tiene un valor de 15%.  </w:t>
      </w:r>
    </w:p>
    <w:p w14:paraId="77BF4B2E" w14:textId="77777777" w:rsidR="00294C7F" w:rsidRPr="00294C7F" w:rsidRDefault="00294C7F" w:rsidP="00294C7F">
      <w:pPr>
        <w:jc w:val="center"/>
        <w:rPr>
          <w:rFonts w:ascii="Calibri" w:eastAsia="Times New Roman" w:hAnsi="Calibri" w:cs="Arial"/>
          <w:b/>
          <w:bCs/>
          <w:color w:val="000000"/>
          <w:kern w:val="0"/>
          <w:lang w:val="es-ES_tradnl" w:eastAsia="es-CR"/>
          <w14:ligatures w14:val="none"/>
        </w:rPr>
        <w:sectPr w:rsidR="00294C7F" w:rsidRPr="00294C7F" w:rsidSect="005C1895">
          <w:pgSz w:w="15840" w:h="12240" w:orient="landscape"/>
          <w:pgMar w:top="720" w:right="720" w:bottom="720" w:left="720" w:header="709" w:footer="709" w:gutter="0"/>
          <w:cols w:space="708"/>
          <w:docGrid w:linePitch="360"/>
        </w:sectPr>
      </w:pPr>
      <w:r w:rsidRPr="00294C7F">
        <w:rPr>
          <w:rFonts w:ascii="Calibri" w:eastAsia="Times New Roman" w:hAnsi="Calibri" w:cs="Arial"/>
          <w:b/>
          <w:bCs/>
          <w:noProof/>
          <w:color w:val="000000"/>
          <w:kern w:val="0"/>
          <w:lang w:val="es-ES_tradnl" w:eastAsia="es-CR"/>
          <w14:ligatures w14:val="none"/>
        </w:rPr>
        <w:drawing>
          <wp:anchor distT="0" distB="0" distL="114300" distR="114300" simplePos="0" relativeHeight="252397568" behindDoc="0" locked="0" layoutInCell="1" allowOverlap="1" wp14:anchorId="62467040" wp14:editId="434D2B6E">
            <wp:simplePos x="0" y="0"/>
            <wp:positionH relativeFrom="margin">
              <wp:align>center</wp:align>
            </wp:positionH>
            <wp:positionV relativeFrom="paragraph">
              <wp:posOffset>144780</wp:posOffset>
            </wp:positionV>
            <wp:extent cx="7717536" cy="3572256"/>
            <wp:effectExtent l="0" t="0" r="0" b="9525"/>
            <wp:wrapNone/>
            <wp:docPr id="1766209042"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209042" name="Imagen 3" descr="Tabla&#10;&#10;Descripción generada automáticamente"/>
                    <pic:cNvPicPr/>
                  </pic:nvPicPr>
                  <pic:blipFill>
                    <a:blip r:embed="rId277">
                      <a:extLst>
                        <a:ext uri="{28A0092B-C50C-407E-A947-70E740481C1C}">
                          <a14:useLocalDpi xmlns:a14="http://schemas.microsoft.com/office/drawing/2010/main" val="0"/>
                        </a:ext>
                      </a:extLst>
                    </a:blip>
                    <a:stretch>
                      <a:fillRect/>
                    </a:stretch>
                  </pic:blipFill>
                  <pic:spPr>
                    <a:xfrm>
                      <a:off x="0" y="0"/>
                      <a:ext cx="7717536" cy="3572256"/>
                    </a:xfrm>
                    <a:prstGeom prst="rect">
                      <a:avLst/>
                    </a:prstGeom>
                  </pic:spPr>
                </pic:pic>
              </a:graphicData>
            </a:graphic>
          </wp:anchor>
        </w:drawing>
      </w:r>
    </w:p>
    <w:p w14:paraId="00B41EE6" w14:textId="77777777" w:rsidR="00294C7F" w:rsidRPr="00294C7F" w:rsidRDefault="00294C7F" w:rsidP="00294C7F">
      <w:pPr>
        <w:jc w:val="both"/>
        <w:rPr>
          <w:rFonts w:ascii="Calibri" w:eastAsia="Times New Roman" w:hAnsi="Calibri" w:cs="Arial"/>
          <w:b/>
          <w:bCs/>
          <w:color w:val="000000"/>
          <w:kern w:val="0"/>
          <w:lang w:val="es-ES_tradnl" w:eastAsia="es-CR"/>
          <w14:ligatures w14:val="none"/>
        </w:rPr>
      </w:pPr>
      <w:r w:rsidRPr="00294C7F">
        <w:rPr>
          <w:rFonts w:ascii="Calibri" w:eastAsia="Times New Roman" w:hAnsi="Calibri" w:cs="Arial"/>
          <w:b/>
          <w:bCs/>
          <w:color w:val="000000"/>
          <w:kern w:val="0"/>
          <w:lang w:val="es-ES_tradnl" w:eastAsia="es-CR"/>
          <w14:ligatures w14:val="none"/>
        </w:rPr>
        <w:lastRenderedPageBreak/>
        <w:t>XI. Bibliografía obligatoria</w:t>
      </w:r>
    </w:p>
    <w:p w14:paraId="19120259" w14:textId="77777777" w:rsidR="00294C7F" w:rsidRPr="00294C7F" w:rsidRDefault="00294C7F" w:rsidP="00294C7F">
      <w:pPr>
        <w:jc w:val="both"/>
        <w:rPr>
          <w:rFonts w:ascii="Calibri" w:eastAsia="Times New Roman" w:hAnsi="Calibri" w:cs="Arial"/>
          <w:bCs/>
          <w:color w:val="000000"/>
          <w:kern w:val="0"/>
          <w:lang w:eastAsia="es-CR"/>
          <w14:ligatures w14:val="none"/>
        </w:rPr>
      </w:pPr>
      <w:r w:rsidRPr="00294C7F">
        <w:rPr>
          <w:rFonts w:ascii="Calibri" w:eastAsia="Times New Roman" w:hAnsi="Calibri" w:cs="Arial"/>
          <w:b/>
          <w:color w:val="000000"/>
          <w:kern w:val="0"/>
          <w:lang w:eastAsia="es-CR"/>
          <w14:ligatures w14:val="none"/>
        </w:rPr>
        <w:t>Nota:</w:t>
      </w:r>
      <w:r w:rsidRPr="00294C7F">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294C7F">
        <w:rPr>
          <w:rFonts w:ascii="Calibri" w:eastAsia="Times New Roman" w:hAnsi="Calibri" w:cs="Arial"/>
          <w:bCs/>
          <w:color w:val="000000"/>
          <w:kern w:val="0"/>
          <w:lang w:eastAsia="es-CR"/>
          <w14:ligatures w14:val="none"/>
        </w:rPr>
        <w:t>pdf</w:t>
      </w:r>
      <w:proofErr w:type="spellEnd"/>
      <w:r w:rsidRPr="00294C7F">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62F0CAED" w14:textId="77777777" w:rsidR="00294C7F" w:rsidRPr="00294C7F" w:rsidRDefault="00294C7F" w:rsidP="00294C7F">
      <w:pPr>
        <w:widowControl w:val="0"/>
        <w:tabs>
          <w:tab w:val="center" w:pos="4320"/>
        </w:tabs>
        <w:overflowPunct w:val="0"/>
        <w:autoSpaceDE w:val="0"/>
        <w:autoSpaceDN w:val="0"/>
        <w:adjustRightInd w:val="0"/>
        <w:spacing w:before="240" w:after="0" w:line="240" w:lineRule="auto"/>
        <w:ind w:left="720" w:hanging="720"/>
        <w:jc w:val="both"/>
        <w:rPr>
          <w:rFonts w:ascii="Calibri" w:eastAsia="Times New Roman" w:hAnsi="Calibri" w:cs="Calibri"/>
          <w:b/>
          <w:bCs/>
          <w:color w:val="000000"/>
          <w:kern w:val="0"/>
          <w:szCs w:val="18"/>
          <w:lang w:val="es-ES_tradnl" w:eastAsia="es-CR"/>
          <w14:ligatures w14:val="none"/>
        </w:rPr>
      </w:pPr>
      <w:r w:rsidRPr="00294C7F">
        <w:rPr>
          <w:rFonts w:ascii="Calibri" w:eastAsia="Times New Roman" w:hAnsi="Calibri" w:cs="Calibri"/>
          <w:i/>
          <w:iCs/>
          <w:color w:val="000000"/>
          <w:kern w:val="0"/>
          <w:szCs w:val="18"/>
          <w:lang w:val="en-US" w:eastAsia="es-CR"/>
          <w14:ligatures w14:val="none"/>
        </w:rPr>
        <w:t xml:space="preserve">Biblia Hebraica </w:t>
      </w:r>
      <w:proofErr w:type="spellStart"/>
      <w:r w:rsidRPr="00294C7F">
        <w:rPr>
          <w:rFonts w:ascii="Calibri" w:eastAsia="Times New Roman" w:hAnsi="Calibri" w:cs="Calibri"/>
          <w:i/>
          <w:iCs/>
          <w:color w:val="000000"/>
          <w:kern w:val="0"/>
          <w:szCs w:val="18"/>
          <w:lang w:val="en-US" w:eastAsia="es-CR"/>
          <w14:ligatures w14:val="none"/>
        </w:rPr>
        <w:t>Stuttgartensia</w:t>
      </w:r>
      <w:proofErr w:type="spellEnd"/>
      <w:r w:rsidRPr="00294C7F">
        <w:rPr>
          <w:rFonts w:ascii="Calibri" w:eastAsia="Times New Roman" w:hAnsi="Calibri" w:cs="Calibri"/>
          <w:color w:val="000000"/>
          <w:kern w:val="0"/>
          <w:szCs w:val="18"/>
          <w:lang w:val="en-US" w:eastAsia="es-CR"/>
          <w14:ligatures w14:val="none"/>
        </w:rPr>
        <w:t xml:space="preserve"> (BHS). Stuttgart: Deutsche </w:t>
      </w:r>
      <w:proofErr w:type="spellStart"/>
      <w:r w:rsidRPr="00294C7F">
        <w:rPr>
          <w:rFonts w:ascii="Calibri" w:eastAsia="Times New Roman" w:hAnsi="Calibri" w:cs="Calibri"/>
          <w:color w:val="000000"/>
          <w:kern w:val="0"/>
          <w:szCs w:val="18"/>
          <w:lang w:val="en-US" w:eastAsia="es-CR"/>
          <w14:ligatures w14:val="none"/>
        </w:rPr>
        <w:t>Bibelgesellschaft</w:t>
      </w:r>
      <w:proofErr w:type="spellEnd"/>
      <w:r w:rsidRPr="00294C7F">
        <w:rPr>
          <w:rFonts w:ascii="Calibri" w:eastAsia="Times New Roman" w:hAnsi="Calibri" w:cs="Calibri"/>
          <w:color w:val="000000"/>
          <w:kern w:val="0"/>
          <w:szCs w:val="18"/>
          <w:lang w:val="en-US" w:eastAsia="es-CR"/>
          <w14:ligatures w14:val="none"/>
        </w:rPr>
        <w:t xml:space="preserve">, 1977. </w:t>
      </w:r>
      <w:r w:rsidRPr="00294C7F">
        <w:rPr>
          <w:rFonts w:ascii="Calibri" w:eastAsia="Times New Roman" w:hAnsi="Calibri" w:cs="Calibri"/>
          <w:color w:val="000000"/>
          <w:kern w:val="0"/>
          <w:szCs w:val="18"/>
          <w:lang w:val="es-ES_tradnl" w:eastAsia="es-CR"/>
          <w14:ligatures w14:val="none"/>
        </w:rPr>
        <w:t xml:space="preserve">Acceso el 3 de noviembre de 2022. </w:t>
      </w:r>
      <w:hyperlink r:id="rId278" w:history="1">
        <w:r w:rsidRPr="00294C7F">
          <w:rPr>
            <w:rFonts w:ascii="Calibri" w:eastAsia="Times New Roman" w:hAnsi="Calibri" w:cs="Calibri"/>
            <w:color w:val="0563C1"/>
            <w:kern w:val="0"/>
            <w:szCs w:val="18"/>
            <w:u w:val="single"/>
            <w:lang w:val="es-ES_tradnl" w:eastAsia="es-CR"/>
            <w14:ligatures w14:val="none"/>
          </w:rPr>
          <w:t>https://www.academic-bible.com/en/online-bibles/biblia-hebraica-stuttgartensia-bhs/read-the-bible-text/</w:t>
        </w:r>
      </w:hyperlink>
    </w:p>
    <w:p w14:paraId="4AA5CD16" w14:textId="77777777" w:rsidR="00294C7F" w:rsidRPr="00294C7F" w:rsidRDefault="00294C7F" w:rsidP="00294C7F">
      <w:pPr>
        <w:widowControl w:val="0"/>
        <w:tabs>
          <w:tab w:val="center" w:pos="4320"/>
        </w:tabs>
        <w:overflowPunct w:val="0"/>
        <w:autoSpaceDE w:val="0"/>
        <w:autoSpaceDN w:val="0"/>
        <w:adjustRightInd w:val="0"/>
        <w:spacing w:before="240" w:after="0" w:line="240" w:lineRule="auto"/>
        <w:ind w:left="720" w:hanging="720"/>
        <w:jc w:val="both"/>
        <w:rPr>
          <w:rFonts w:ascii="Calibri" w:eastAsia="Times New Roman" w:hAnsi="Calibri" w:cs="Calibri"/>
          <w:color w:val="0070C0"/>
          <w:kern w:val="0"/>
          <w:szCs w:val="18"/>
          <w:lang w:val="es-ES_tradnl" w:eastAsia="es-CR"/>
          <w14:ligatures w14:val="none"/>
        </w:rPr>
      </w:pPr>
      <w:r w:rsidRPr="00294C7F">
        <w:rPr>
          <w:rFonts w:ascii="Calibri" w:eastAsia="Times New Roman" w:hAnsi="Calibri" w:cs="Calibri"/>
          <w:color w:val="000000"/>
          <w:kern w:val="0"/>
          <w:szCs w:val="18"/>
          <w:lang w:val="es-ES_tradnl" w:eastAsia="es-CR"/>
          <w14:ligatures w14:val="none"/>
        </w:rPr>
        <w:t xml:space="preserve">Farfán, Enrique. </w:t>
      </w:r>
      <w:r w:rsidRPr="00294C7F">
        <w:rPr>
          <w:rFonts w:ascii="Calibri" w:eastAsia="Times New Roman" w:hAnsi="Calibri" w:cs="Calibri"/>
          <w:i/>
          <w:color w:val="000000"/>
          <w:kern w:val="0"/>
          <w:szCs w:val="18"/>
          <w:lang w:val="es-ES_tradnl" w:eastAsia="es-CR"/>
          <w14:ligatures w14:val="none"/>
        </w:rPr>
        <w:t>Gramática elemental del hebreo bíblico</w:t>
      </w:r>
      <w:r w:rsidRPr="00294C7F">
        <w:rPr>
          <w:rFonts w:ascii="Calibri" w:eastAsia="Times New Roman" w:hAnsi="Calibri" w:cs="Calibri"/>
          <w:color w:val="000000"/>
          <w:kern w:val="0"/>
          <w:szCs w:val="18"/>
          <w:lang w:val="es-ES_tradnl" w:eastAsia="es-CR"/>
          <w14:ligatures w14:val="none"/>
        </w:rPr>
        <w:t>. Estella: Verbo Divino, 2018. (</w:t>
      </w:r>
      <w:r w:rsidRPr="00294C7F">
        <w:rPr>
          <w:rFonts w:ascii="Calibri" w:eastAsia="Times New Roman" w:hAnsi="Calibri" w:cs="Calibri"/>
          <w:color w:val="0070C0"/>
          <w:kern w:val="0"/>
          <w:szCs w:val="18"/>
          <w:lang w:val="es-ES_tradnl" w:eastAsia="es-CR"/>
          <w14:ligatures w14:val="none"/>
        </w:rPr>
        <w:t>clásico</w:t>
      </w:r>
      <w:r w:rsidRPr="00294C7F">
        <w:rPr>
          <w:rFonts w:ascii="Calibri" w:eastAsia="Times New Roman" w:hAnsi="Calibri" w:cs="Calibri"/>
          <w:color w:val="000000"/>
          <w:kern w:val="0"/>
          <w:szCs w:val="18"/>
          <w:lang w:val="es-ES_tradnl" w:eastAsia="es-CR"/>
          <w14:ligatures w14:val="none"/>
        </w:rPr>
        <w:t xml:space="preserve">, última edición) </w:t>
      </w:r>
    </w:p>
    <w:p w14:paraId="55B9A533" w14:textId="77777777" w:rsidR="00294C7F" w:rsidRPr="00294C7F" w:rsidRDefault="00294C7F" w:rsidP="00294C7F">
      <w:pPr>
        <w:widowControl w:val="0"/>
        <w:tabs>
          <w:tab w:val="center" w:pos="4320"/>
        </w:tabs>
        <w:overflowPunct w:val="0"/>
        <w:autoSpaceDE w:val="0"/>
        <w:autoSpaceDN w:val="0"/>
        <w:adjustRightInd w:val="0"/>
        <w:spacing w:before="240" w:after="0" w:line="240" w:lineRule="auto"/>
        <w:ind w:left="720" w:hanging="720"/>
        <w:jc w:val="both"/>
        <w:rPr>
          <w:rFonts w:ascii="Calibri" w:eastAsia="Times New Roman" w:hAnsi="Calibri" w:cs="Calibri"/>
          <w:color w:val="000000"/>
          <w:kern w:val="0"/>
          <w:szCs w:val="18"/>
          <w:lang w:val="es-ES" w:eastAsia="es-CR"/>
          <w14:ligatures w14:val="none"/>
        </w:rPr>
      </w:pPr>
      <w:proofErr w:type="spellStart"/>
      <w:r w:rsidRPr="00294C7F">
        <w:rPr>
          <w:rFonts w:ascii="Calibri" w:eastAsia="Times New Roman" w:hAnsi="Calibri" w:cs="Calibri"/>
          <w:color w:val="000000"/>
          <w:kern w:val="0"/>
          <w:szCs w:val="18"/>
          <w:lang w:val="es-ES_tradnl" w:eastAsia="es-CR"/>
          <w14:ligatures w14:val="none"/>
        </w:rPr>
        <w:t>Lambdin</w:t>
      </w:r>
      <w:proofErr w:type="spellEnd"/>
      <w:r w:rsidRPr="00294C7F">
        <w:rPr>
          <w:rFonts w:ascii="Calibri" w:eastAsia="Times New Roman" w:hAnsi="Calibri" w:cs="Calibri"/>
          <w:color w:val="000000"/>
          <w:kern w:val="0"/>
          <w:szCs w:val="18"/>
          <w:lang w:val="es-ES_tradnl" w:eastAsia="es-CR"/>
          <w14:ligatures w14:val="none"/>
        </w:rPr>
        <w:t xml:space="preserve">, Thomas O. </w:t>
      </w:r>
      <w:r w:rsidRPr="00294C7F">
        <w:rPr>
          <w:rFonts w:ascii="Calibri" w:eastAsia="Times New Roman" w:hAnsi="Calibri" w:cs="Calibri"/>
          <w:i/>
          <w:color w:val="000000"/>
          <w:kern w:val="0"/>
          <w:szCs w:val="18"/>
          <w:lang w:val="es-ES_tradnl" w:eastAsia="es-CR"/>
          <w14:ligatures w14:val="none"/>
        </w:rPr>
        <w:t>Introducción al hebreo bíblico</w:t>
      </w:r>
      <w:r w:rsidRPr="00294C7F">
        <w:rPr>
          <w:rFonts w:ascii="Calibri" w:eastAsia="Times New Roman" w:hAnsi="Calibri" w:cs="Calibri"/>
          <w:color w:val="000000"/>
          <w:kern w:val="0"/>
          <w:szCs w:val="18"/>
          <w:lang w:val="es-ES_tradnl" w:eastAsia="es-CR"/>
          <w14:ligatures w14:val="none"/>
        </w:rPr>
        <w:t xml:space="preserve">. Estella: </w:t>
      </w:r>
      <w:r w:rsidRPr="00294C7F">
        <w:rPr>
          <w:rFonts w:ascii="Calibri" w:eastAsia="Times New Roman" w:hAnsi="Calibri" w:cs="Calibri"/>
          <w:color w:val="000000"/>
          <w:kern w:val="0"/>
          <w:szCs w:val="18"/>
          <w:lang w:val="es-ES" w:eastAsia="es-CR"/>
          <w14:ligatures w14:val="none"/>
        </w:rPr>
        <w:t xml:space="preserve">Verbo Divino, 2018. </w:t>
      </w:r>
      <w:r w:rsidRPr="00294C7F">
        <w:rPr>
          <w:rFonts w:ascii="Calibri" w:eastAsia="Times New Roman" w:hAnsi="Calibri" w:cs="Calibri"/>
          <w:color w:val="000000"/>
          <w:kern w:val="0"/>
          <w:szCs w:val="18"/>
          <w:lang w:val="es-ES_tradnl" w:eastAsia="es-CR"/>
          <w14:ligatures w14:val="none"/>
        </w:rPr>
        <w:t>(</w:t>
      </w:r>
      <w:r w:rsidRPr="00294C7F">
        <w:rPr>
          <w:rFonts w:ascii="Calibri" w:eastAsia="Times New Roman" w:hAnsi="Calibri" w:cs="Calibri"/>
          <w:color w:val="0070C0"/>
          <w:kern w:val="0"/>
          <w:szCs w:val="18"/>
          <w:lang w:val="es-ES_tradnl" w:eastAsia="es-CR"/>
          <w14:ligatures w14:val="none"/>
        </w:rPr>
        <w:t>clásico</w:t>
      </w:r>
      <w:r w:rsidRPr="00294C7F">
        <w:rPr>
          <w:rFonts w:ascii="Calibri" w:eastAsia="Times New Roman" w:hAnsi="Calibri" w:cs="Calibri"/>
          <w:color w:val="000000"/>
          <w:kern w:val="0"/>
          <w:szCs w:val="18"/>
          <w:lang w:val="es-ES_tradnl" w:eastAsia="es-CR"/>
          <w14:ligatures w14:val="none"/>
        </w:rPr>
        <w:t xml:space="preserve">, última edición) </w:t>
      </w:r>
    </w:p>
    <w:p w14:paraId="4E03780F" w14:textId="77777777" w:rsidR="00294C7F" w:rsidRPr="00294C7F" w:rsidRDefault="00294C7F" w:rsidP="00294C7F">
      <w:pPr>
        <w:widowControl w:val="0"/>
        <w:tabs>
          <w:tab w:val="center" w:pos="4320"/>
        </w:tabs>
        <w:overflowPunct w:val="0"/>
        <w:autoSpaceDE w:val="0"/>
        <w:autoSpaceDN w:val="0"/>
        <w:adjustRightInd w:val="0"/>
        <w:spacing w:before="240" w:after="0" w:line="240" w:lineRule="auto"/>
        <w:ind w:left="720" w:hanging="720"/>
        <w:jc w:val="both"/>
        <w:rPr>
          <w:rFonts w:ascii="Calibri" w:eastAsia="Times New Roman" w:hAnsi="Calibri" w:cs="Calibri"/>
          <w:color w:val="000000"/>
          <w:kern w:val="0"/>
          <w:szCs w:val="18"/>
          <w:lang w:val="es-ES" w:eastAsia="es-CR"/>
          <w14:ligatures w14:val="none"/>
        </w:rPr>
      </w:pPr>
      <w:r w:rsidRPr="00294C7F">
        <w:rPr>
          <w:rFonts w:ascii="Calibri" w:eastAsia="Times New Roman" w:hAnsi="Calibri" w:cs="Calibri"/>
          <w:color w:val="000000"/>
          <w:kern w:val="0"/>
          <w:szCs w:val="18"/>
          <w:lang w:val="es-ES" w:eastAsia="es-CR"/>
          <w14:ligatures w14:val="none"/>
        </w:rPr>
        <w:t>Ni</w:t>
      </w:r>
      <w:proofErr w:type="spellStart"/>
      <w:r w:rsidRPr="00294C7F">
        <w:rPr>
          <w:rFonts w:ascii="Calibri" w:eastAsia="Times New Roman" w:hAnsi="Calibri" w:cs="Calibri"/>
          <w:color w:val="000000"/>
          <w:kern w:val="0"/>
          <w:szCs w:val="18"/>
          <w:lang w:val="es-ES_tradnl" w:eastAsia="es-CR"/>
          <w14:ligatures w14:val="none"/>
        </w:rPr>
        <w:t>ccacci</w:t>
      </w:r>
      <w:proofErr w:type="spellEnd"/>
      <w:r w:rsidRPr="00294C7F">
        <w:rPr>
          <w:rFonts w:ascii="Calibri" w:eastAsia="Times New Roman" w:hAnsi="Calibri" w:cs="Calibri"/>
          <w:color w:val="000000"/>
          <w:kern w:val="0"/>
          <w:szCs w:val="18"/>
          <w:lang w:val="es-ES_tradnl" w:eastAsia="es-CR"/>
          <w14:ligatures w14:val="none"/>
        </w:rPr>
        <w:t xml:space="preserve">, </w:t>
      </w:r>
      <w:proofErr w:type="spellStart"/>
      <w:r w:rsidRPr="00294C7F">
        <w:rPr>
          <w:rFonts w:ascii="Calibri" w:eastAsia="Times New Roman" w:hAnsi="Calibri" w:cs="Calibri"/>
          <w:color w:val="000000"/>
          <w:kern w:val="0"/>
          <w:szCs w:val="18"/>
          <w:lang w:val="es-ES_tradnl" w:eastAsia="es-CR"/>
          <w14:ligatures w14:val="none"/>
        </w:rPr>
        <w:t>Alviero</w:t>
      </w:r>
      <w:proofErr w:type="spellEnd"/>
      <w:r w:rsidRPr="00294C7F">
        <w:rPr>
          <w:rFonts w:ascii="Calibri" w:eastAsia="Times New Roman" w:hAnsi="Calibri" w:cs="Calibri"/>
          <w:color w:val="000000"/>
          <w:kern w:val="0"/>
          <w:szCs w:val="18"/>
          <w:lang w:val="es-ES_tradnl" w:eastAsia="es-CR"/>
          <w14:ligatures w14:val="none"/>
        </w:rPr>
        <w:t xml:space="preserve">. </w:t>
      </w:r>
      <w:r w:rsidRPr="00294C7F">
        <w:rPr>
          <w:rFonts w:ascii="Calibri" w:eastAsia="Times New Roman" w:hAnsi="Calibri" w:cs="Calibri"/>
          <w:i/>
          <w:color w:val="000000"/>
          <w:kern w:val="0"/>
          <w:szCs w:val="18"/>
          <w:lang w:val="es-ES_tradnl" w:eastAsia="es-CR"/>
          <w14:ligatures w14:val="none"/>
        </w:rPr>
        <w:t>Sintaxis del hebreo bíblico</w:t>
      </w:r>
      <w:r w:rsidRPr="00294C7F">
        <w:rPr>
          <w:rFonts w:ascii="Calibri" w:eastAsia="Times New Roman" w:hAnsi="Calibri" w:cs="Calibri"/>
          <w:color w:val="000000"/>
          <w:kern w:val="0"/>
          <w:szCs w:val="18"/>
          <w:lang w:val="es-ES_tradnl" w:eastAsia="es-CR"/>
          <w14:ligatures w14:val="none"/>
        </w:rPr>
        <w:t xml:space="preserve">. </w:t>
      </w:r>
      <w:r w:rsidRPr="00294C7F">
        <w:rPr>
          <w:rFonts w:ascii="Calibri" w:eastAsia="Times New Roman" w:hAnsi="Calibri" w:cs="Calibri"/>
          <w:color w:val="000000"/>
          <w:kern w:val="0"/>
          <w:szCs w:val="18"/>
          <w:lang w:val="es-ES" w:eastAsia="es-CR"/>
          <w14:ligatures w14:val="none"/>
        </w:rPr>
        <w:t xml:space="preserve">Estella: Verbo Divino, 2002. </w:t>
      </w:r>
      <w:r w:rsidRPr="00294C7F">
        <w:rPr>
          <w:rFonts w:ascii="Calibri" w:eastAsia="Times New Roman" w:hAnsi="Calibri" w:cs="Calibri"/>
          <w:color w:val="000000"/>
          <w:kern w:val="0"/>
          <w:szCs w:val="18"/>
          <w:lang w:val="es-ES_tradnl" w:eastAsia="es-CR"/>
          <w14:ligatures w14:val="none"/>
        </w:rPr>
        <w:t>(</w:t>
      </w:r>
      <w:r w:rsidRPr="00294C7F">
        <w:rPr>
          <w:rFonts w:ascii="Calibri" w:eastAsia="Times New Roman" w:hAnsi="Calibri" w:cs="Calibri"/>
          <w:color w:val="0070C0"/>
          <w:kern w:val="0"/>
          <w:szCs w:val="18"/>
          <w:lang w:val="es-ES_tradnl" w:eastAsia="es-CR"/>
          <w14:ligatures w14:val="none"/>
        </w:rPr>
        <w:t xml:space="preserve">clásico, </w:t>
      </w:r>
      <w:r w:rsidRPr="00294C7F">
        <w:rPr>
          <w:rFonts w:ascii="Calibri" w:eastAsia="Times New Roman" w:hAnsi="Calibri" w:cs="Calibri"/>
          <w:color w:val="000000"/>
          <w:kern w:val="0"/>
          <w:szCs w:val="18"/>
          <w:lang w:val="es-ES_tradnl" w:eastAsia="es-CR"/>
          <w14:ligatures w14:val="none"/>
        </w:rPr>
        <w:t>última edición)</w:t>
      </w:r>
    </w:p>
    <w:p w14:paraId="7621ABD1" w14:textId="77777777" w:rsidR="00294C7F" w:rsidRPr="00294C7F" w:rsidRDefault="00294C7F" w:rsidP="00294C7F">
      <w:pPr>
        <w:widowControl w:val="0"/>
        <w:tabs>
          <w:tab w:val="center" w:pos="4320"/>
        </w:tabs>
        <w:overflowPunct w:val="0"/>
        <w:autoSpaceDE w:val="0"/>
        <w:autoSpaceDN w:val="0"/>
        <w:adjustRightInd w:val="0"/>
        <w:spacing w:before="240" w:after="0" w:line="240" w:lineRule="auto"/>
        <w:ind w:left="720" w:hanging="720"/>
        <w:jc w:val="both"/>
        <w:rPr>
          <w:rFonts w:ascii="Calibri" w:eastAsia="Times New Roman" w:hAnsi="Calibri" w:cs="Calibri"/>
          <w:color w:val="000000"/>
          <w:kern w:val="0"/>
          <w:szCs w:val="18"/>
          <w:lang w:val="es-ES_tradnl" w:eastAsia="es-CR"/>
          <w14:ligatures w14:val="none"/>
        </w:rPr>
      </w:pPr>
      <w:r w:rsidRPr="00294C7F">
        <w:rPr>
          <w:rFonts w:ascii="Calibri" w:eastAsia="Times New Roman" w:hAnsi="Calibri" w:cs="Calibri"/>
          <w:i/>
          <w:iCs/>
          <w:color w:val="000000"/>
          <w:kern w:val="0"/>
          <w:szCs w:val="18"/>
          <w:lang w:val="es-ES_tradnl" w:eastAsia="es-CR"/>
          <w14:ligatures w14:val="none"/>
        </w:rPr>
        <w:t>Ortiz,</w:t>
      </w:r>
      <w:r w:rsidRPr="00294C7F">
        <w:rPr>
          <w:rFonts w:ascii="Calibri" w:eastAsia="Times New Roman" w:hAnsi="Calibri" w:cs="Calibri"/>
          <w:color w:val="000000"/>
          <w:kern w:val="0"/>
          <w:szCs w:val="18"/>
          <w:lang w:val="es-ES_tradnl" w:eastAsia="es-CR"/>
          <w14:ligatures w14:val="none"/>
        </w:rPr>
        <w:t xml:space="preserve"> Pedro, S.J. </w:t>
      </w:r>
      <w:r w:rsidRPr="00294C7F">
        <w:rPr>
          <w:rFonts w:ascii="Calibri" w:eastAsia="Times New Roman" w:hAnsi="Calibri" w:cs="Calibri"/>
          <w:i/>
          <w:color w:val="000000"/>
          <w:kern w:val="0"/>
          <w:szCs w:val="18"/>
          <w:lang w:val="es-ES_tradnl" w:eastAsia="es-CR"/>
          <w14:ligatures w14:val="none"/>
        </w:rPr>
        <w:t xml:space="preserve">Léxico </w:t>
      </w:r>
      <w:r w:rsidRPr="00294C7F">
        <w:rPr>
          <w:rFonts w:ascii="Calibri" w:eastAsia="Times New Roman" w:hAnsi="Calibri" w:cs="Calibri"/>
          <w:i/>
          <w:iCs/>
          <w:color w:val="000000"/>
          <w:kern w:val="0"/>
          <w:szCs w:val="18"/>
          <w:lang w:val="es-ES_tradnl" w:eastAsia="es-CR"/>
          <w14:ligatures w14:val="none"/>
        </w:rPr>
        <w:t>hebreo</w:t>
      </w:r>
      <w:r w:rsidRPr="00294C7F">
        <w:rPr>
          <w:rFonts w:ascii="Calibri" w:eastAsia="Times New Roman" w:hAnsi="Calibri" w:cs="Calibri"/>
          <w:i/>
          <w:color w:val="000000"/>
          <w:kern w:val="0"/>
          <w:szCs w:val="18"/>
          <w:lang w:val="es-ES_tradnl" w:eastAsia="es-CR"/>
          <w14:ligatures w14:val="none"/>
        </w:rPr>
        <w:t>-español y arameo-español</w:t>
      </w:r>
      <w:r w:rsidRPr="00294C7F">
        <w:rPr>
          <w:rFonts w:ascii="Calibri" w:eastAsia="Times New Roman" w:hAnsi="Calibri" w:cs="Calibri"/>
          <w:color w:val="000000"/>
          <w:kern w:val="0"/>
          <w:szCs w:val="18"/>
          <w:lang w:val="es-ES_tradnl" w:eastAsia="es-CR"/>
          <w14:ligatures w14:val="none"/>
        </w:rPr>
        <w:t xml:space="preserve">. Bogotá: Facultad de Teología Pontificia Universidad Javeriana, 2004. Acceso el 3 de noviembre de </w:t>
      </w:r>
      <w:hyperlink r:id="rId279" w:history="1">
        <w:r w:rsidRPr="00294C7F">
          <w:rPr>
            <w:rFonts w:ascii="Calibri" w:eastAsia="Times New Roman" w:hAnsi="Calibri" w:cs="Calibri"/>
            <w:color w:val="0563C1"/>
            <w:kern w:val="0"/>
            <w:szCs w:val="18"/>
            <w:u w:val="single"/>
            <w:lang w:val="es-ES_tradnl" w:eastAsia="es-CR"/>
            <w14:ligatures w14:val="none"/>
          </w:rPr>
          <w:t>http://hdl.handle.net/10554/50711</w:t>
        </w:r>
      </w:hyperlink>
      <w:r w:rsidRPr="00294C7F">
        <w:rPr>
          <w:rFonts w:ascii="Calibri" w:eastAsia="Times New Roman" w:hAnsi="Calibri" w:cs="Calibri"/>
          <w:color w:val="0563C1"/>
          <w:kern w:val="0"/>
          <w:szCs w:val="18"/>
          <w:u w:val="single"/>
          <w:lang w:val="es-ES_tradnl" w:eastAsia="es-CR"/>
          <w14:ligatures w14:val="none"/>
        </w:rPr>
        <w:t xml:space="preserve"> </w:t>
      </w:r>
      <w:r w:rsidRPr="00294C7F">
        <w:rPr>
          <w:rFonts w:ascii="Calibri" w:eastAsia="Times New Roman" w:hAnsi="Calibri" w:cs="Calibri"/>
          <w:color w:val="000000"/>
          <w:kern w:val="0"/>
          <w:szCs w:val="18"/>
          <w:lang w:val="es-ES_tradnl" w:eastAsia="es-CR"/>
          <w14:ligatures w14:val="none"/>
        </w:rPr>
        <w:t>(</w:t>
      </w:r>
      <w:r w:rsidRPr="00294C7F">
        <w:rPr>
          <w:rFonts w:ascii="Calibri" w:eastAsia="Times New Roman" w:hAnsi="Calibri" w:cs="Calibri"/>
          <w:color w:val="0070C0"/>
          <w:kern w:val="0"/>
          <w:szCs w:val="18"/>
          <w:lang w:val="es-ES_tradnl" w:eastAsia="es-CR"/>
          <w14:ligatures w14:val="none"/>
        </w:rPr>
        <w:t xml:space="preserve">clásico, </w:t>
      </w:r>
      <w:r w:rsidRPr="00294C7F">
        <w:rPr>
          <w:rFonts w:ascii="Calibri" w:eastAsia="Times New Roman" w:hAnsi="Calibri" w:cs="Calibri"/>
          <w:color w:val="000000"/>
          <w:kern w:val="0"/>
          <w:szCs w:val="18"/>
          <w:lang w:val="es-ES_tradnl" w:eastAsia="es-CR"/>
          <w14:ligatures w14:val="none"/>
        </w:rPr>
        <w:t>última edición)</w:t>
      </w:r>
    </w:p>
    <w:p w14:paraId="04C95F00" w14:textId="77777777" w:rsidR="00294C7F" w:rsidRPr="00294C7F" w:rsidRDefault="00294C7F" w:rsidP="00294C7F">
      <w:pPr>
        <w:widowControl w:val="0"/>
        <w:tabs>
          <w:tab w:val="center" w:pos="4320"/>
        </w:tabs>
        <w:overflowPunct w:val="0"/>
        <w:autoSpaceDE w:val="0"/>
        <w:autoSpaceDN w:val="0"/>
        <w:adjustRightInd w:val="0"/>
        <w:spacing w:before="240" w:after="0" w:line="240" w:lineRule="auto"/>
        <w:ind w:left="720" w:hanging="720"/>
        <w:jc w:val="both"/>
        <w:rPr>
          <w:rFonts w:ascii="Calibri" w:eastAsia="Times New Roman" w:hAnsi="Calibri" w:cs="Calibri"/>
          <w:color w:val="000000"/>
          <w:kern w:val="0"/>
          <w:szCs w:val="18"/>
          <w:lang w:val="es-ES" w:eastAsia="es-CR"/>
          <w14:ligatures w14:val="none"/>
        </w:rPr>
      </w:pPr>
    </w:p>
    <w:p w14:paraId="3C4E3008" w14:textId="77777777" w:rsidR="00294C7F" w:rsidRPr="00294C7F" w:rsidRDefault="00294C7F" w:rsidP="00294C7F">
      <w:pPr>
        <w:jc w:val="both"/>
        <w:rPr>
          <w:rFonts w:ascii="Calibri" w:eastAsia="Times New Roman" w:hAnsi="Calibri" w:cs="Calibri"/>
          <w:b/>
          <w:bCs/>
          <w:kern w:val="0"/>
          <w:szCs w:val="18"/>
          <w:lang w:val="es-ES_tradnl" w:eastAsia="es-CR"/>
          <w14:ligatures w14:val="none"/>
        </w:rPr>
      </w:pPr>
      <w:r w:rsidRPr="00294C7F">
        <w:rPr>
          <w:rFonts w:ascii="Calibri" w:eastAsia="Times New Roman" w:hAnsi="Calibri" w:cs="Calibri"/>
          <w:b/>
          <w:bCs/>
          <w:kern w:val="0"/>
          <w:szCs w:val="18"/>
          <w:lang w:val="es-ES_tradnl" w:eastAsia="es-CR"/>
          <w14:ligatures w14:val="none"/>
        </w:rPr>
        <w:t>XII. Bibliografía complementaria</w:t>
      </w:r>
    </w:p>
    <w:p w14:paraId="1E95831E" w14:textId="77777777" w:rsidR="00294C7F" w:rsidRPr="00294C7F" w:rsidRDefault="00294C7F" w:rsidP="00294C7F">
      <w:pPr>
        <w:jc w:val="both"/>
        <w:rPr>
          <w:rFonts w:ascii="Calibri" w:eastAsia="Times New Roman" w:hAnsi="Calibri" w:cs="Arial"/>
          <w:bCs/>
          <w:color w:val="000000"/>
          <w:kern w:val="0"/>
          <w:lang w:eastAsia="es-CR"/>
          <w14:ligatures w14:val="none"/>
        </w:rPr>
      </w:pPr>
      <w:r w:rsidRPr="00294C7F">
        <w:rPr>
          <w:rFonts w:ascii="Calibri" w:eastAsia="Times New Roman" w:hAnsi="Calibri" w:cs="Arial"/>
          <w:b/>
          <w:color w:val="000000"/>
          <w:kern w:val="0"/>
          <w:lang w:eastAsia="es-CR"/>
          <w14:ligatures w14:val="none"/>
        </w:rPr>
        <w:t>Nota:</w:t>
      </w:r>
      <w:r w:rsidRPr="00294C7F">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294C7F">
        <w:rPr>
          <w:rFonts w:ascii="Calibri" w:eastAsia="Times New Roman" w:hAnsi="Calibri" w:cs="Arial"/>
          <w:bCs/>
          <w:color w:val="000000"/>
          <w:kern w:val="0"/>
          <w:lang w:eastAsia="es-CR"/>
          <w14:ligatures w14:val="none"/>
        </w:rPr>
        <w:t>pdf</w:t>
      </w:r>
      <w:proofErr w:type="spellEnd"/>
      <w:r w:rsidRPr="00294C7F">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68D3D210" w14:textId="77777777" w:rsidR="00294C7F" w:rsidRPr="00294C7F" w:rsidRDefault="00294C7F" w:rsidP="00294C7F">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00000"/>
          <w:kern w:val="0"/>
          <w:lang w:val="es-ES" w:eastAsia="es-CR" w:bidi="he-IL"/>
          <w14:ligatures w14:val="none"/>
        </w:rPr>
      </w:pPr>
      <w:proofErr w:type="spellStart"/>
      <w:r w:rsidRPr="00294C7F">
        <w:rPr>
          <w:rFonts w:ascii="Calibri" w:eastAsia="Times New Roman" w:hAnsi="Calibri" w:cs="Arial"/>
          <w:color w:val="000000"/>
          <w:kern w:val="0"/>
          <w:lang w:val="es-ES" w:eastAsia="es-CR"/>
          <w14:ligatures w14:val="none"/>
        </w:rPr>
        <w:t>Noll</w:t>
      </w:r>
      <w:proofErr w:type="spellEnd"/>
      <w:r w:rsidRPr="00294C7F">
        <w:rPr>
          <w:rFonts w:ascii="Calibri" w:eastAsia="Times New Roman" w:hAnsi="Calibri" w:cs="Arial"/>
          <w:color w:val="000000"/>
          <w:kern w:val="0"/>
          <w:lang w:val="es-ES" w:eastAsia="es-CR"/>
          <w14:ligatures w14:val="none"/>
        </w:rPr>
        <w:t xml:space="preserve">, </w:t>
      </w:r>
      <w:proofErr w:type="spellStart"/>
      <w:r w:rsidRPr="00294C7F">
        <w:rPr>
          <w:rFonts w:ascii="Calibri" w:eastAsia="Times New Roman" w:hAnsi="Calibri" w:cs="Arial"/>
          <w:color w:val="000000"/>
          <w:kern w:val="0"/>
          <w:lang w:val="es-ES" w:eastAsia="es-CR"/>
          <w14:ligatures w14:val="none"/>
        </w:rPr>
        <w:t>Sonja</w:t>
      </w:r>
      <w:proofErr w:type="spellEnd"/>
      <w:r w:rsidRPr="00294C7F">
        <w:rPr>
          <w:rFonts w:ascii="Calibri" w:eastAsia="Times New Roman" w:hAnsi="Calibri" w:cs="Arial"/>
          <w:color w:val="000000"/>
          <w:kern w:val="0"/>
          <w:lang w:val="es-ES" w:eastAsia="es-CR"/>
          <w14:ligatures w14:val="none"/>
        </w:rPr>
        <w:t xml:space="preserve">. “Saber escuchar los silencios de la Biblia”. </w:t>
      </w:r>
      <w:r w:rsidRPr="00294C7F">
        <w:rPr>
          <w:rFonts w:ascii="Calibri" w:eastAsia="Times New Roman" w:hAnsi="Calibri" w:cs="Arial"/>
          <w:i/>
          <w:iCs/>
          <w:color w:val="000000"/>
          <w:kern w:val="0"/>
          <w:lang w:val="es-ES" w:eastAsia="es-CR"/>
          <w14:ligatures w14:val="none"/>
        </w:rPr>
        <w:t>Teología y Vida</w:t>
      </w:r>
      <w:r w:rsidRPr="00294C7F">
        <w:rPr>
          <w:rFonts w:ascii="Calibri" w:eastAsia="Times New Roman" w:hAnsi="Calibri" w:cs="Arial"/>
          <w:color w:val="000000"/>
          <w:kern w:val="0"/>
          <w:lang w:val="es-ES" w:eastAsia="es-CR"/>
          <w14:ligatures w14:val="none"/>
        </w:rPr>
        <w:t xml:space="preserve"> Vol. 63, N. 2 (2022): 273-279. Acceso el 3 de noviembre de 2022. </w:t>
      </w:r>
      <w:hyperlink r:id="rId280">
        <w:r w:rsidRPr="00294C7F">
          <w:rPr>
            <w:rFonts w:ascii="Calibri" w:eastAsia="Times New Roman" w:hAnsi="Calibri" w:cs="Arial"/>
            <w:color w:val="4582EC"/>
            <w:kern w:val="0"/>
            <w:u w:val="single"/>
            <w:lang w:val="es-ES" w:eastAsia="es-CR"/>
            <w14:ligatures w14:val="none"/>
          </w:rPr>
          <w:t>https://doi.org/10.7764/TyV/632/5/273-279</w:t>
        </w:r>
      </w:hyperlink>
    </w:p>
    <w:p w14:paraId="212EAA8C" w14:textId="77777777" w:rsidR="00294C7F" w:rsidRPr="00294C7F" w:rsidRDefault="00294C7F" w:rsidP="00294C7F">
      <w:pPr>
        <w:widowControl w:val="0"/>
        <w:overflowPunct w:val="0"/>
        <w:autoSpaceDE w:val="0"/>
        <w:autoSpaceDN w:val="0"/>
        <w:adjustRightInd w:val="0"/>
        <w:spacing w:before="120" w:after="0" w:line="240" w:lineRule="auto"/>
        <w:ind w:left="709" w:hanging="709"/>
        <w:jc w:val="both"/>
        <w:rPr>
          <w:rFonts w:ascii="Calibri" w:eastAsia="Times New Roman" w:hAnsi="Calibri" w:cs="Arial"/>
          <w:kern w:val="0"/>
          <w:lang w:val="es-ES" w:eastAsia="es-CR"/>
          <w14:ligatures w14:val="none"/>
        </w:rPr>
      </w:pPr>
      <w:r w:rsidRPr="00294C7F">
        <w:rPr>
          <w:rFonts w:ascii="Calibri" w:eastAsia="Times New Roman" w:hAnsi="Calibri" w:cs="Arial"/>
          <w:kern w:val="0"/>
          <w:lang w:val="es-ES" w:eastAsia="es-CR"/>
          <w14:ligatures w14:val="none"/>
        </w:rPr>
        <w:t xml:space="preserve">Pérez, Miguel y Julio </w:t>
      </w:r>
      <w:proofErr w:type="spellStart"/>
      <w:r w:rsidRPr="00294C7F">
        <w:rPr>
          <w:rFonts w:ascii="Calibri" w:eastAsia="Times New Roman" w:hAnsi="Calibri" w:cs="Arial"/>
          <w:kern w:val="0"/>
          <w:lang w:val="es-ES" w:eastAsia="es-CR"/>
          <w14:ligatures w14:val="none"/>
        </w:rPr>
        <w:t>Trebolle</w:t>
      </w:r>
      <w:proofErr w:type="spellEnd"/>
      <w:r w:rsidRPr="00294C7F">
        <w:rPr>
          <w:rFonts w:ascii="Calibri" w:eastAsia="Times New Roman" w:hAnsi="Calibri" w:cs="Arial"/>
          <w:kern w:val="0"/>
          <w:lang w:val="es-ES" w:eastAsia="es-CR"/>
          <w14:ligatures w14:val="none"/>
        </w:rPr>
        <w:t xml:space="preserve">. </w:t>
      </w:r>
      <w:r w:rsidRPr="00294C7F">
        <w:rPr>
          <w:rFonts w:ascii="Calibri" w:eastAsia="Times New Roman" w:hAnsi="Calibri" w:cs="Arial"/>
          <w:i/>
          <w:iCs/>
          <w:kern w:val="0"/>
          <w:lang w:val="es-ES" w:eastAsia="es-CR"/>
          <w14:ligatures w14:val="none"/>
        </w:rPr>
        <w:t>Historia de la Biblia</w:t>
      </w:r>
      <w:r w:rsidRPr="00294C7F">
        <w:rPr>
          <w:rFonts w:ascii="Calibri" w:eastAsia="Times New Roman" w:hAnsi="Calibri" w:cs="Arial"/>
          <w:kern w:val="0"/>
          <w:lang w:val="es-ES" w:eastAsia="es-CR"/>
          <w14:ligatures w14:val="none"/>
        </w:rPr>
        <w:t xml:space="preserve">. Madrid: Trotta, 2006. </w:t>
      </w:r>
      <w:r w:rsidRPr="00294C7F">
        <w:rPr>
          <w:rFonts w:ascii="Calibri" w:eastAsia="Times New Roman" w:hAnsi="Calibri" w:cs="Arial"/>
          <w:color w:val="000000"/>
          <w:kern w:val="0"/>
          <w:lang w:val="es-ES" w:eastAsia="es-CR"/>
          <w14:ligatures w14:val="none"/>
        </w:rPr>
        <w:t>(última edición)</w:t>
      </w:r>
    </w:p>
    <w:p w14:paraId="16518492" w14:textId="77777777" w:rsidR="00294C7F" w:rsidRPr="00294C7F" w:rsidRDefault="00294C7F" w:rsidP="00294C7F">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294C7F">
        <w:rPr>
          <w:rFonts w:ascii="Calibri" w:eastAsia="Times New Roman" w:hAnsi="Calibri" w:cs="Calibri"/>
          <w:kern w:val="0"/>
          <w:lang w:val="es-ES_tradnl" w:eastAsia="es-CR"/>
          <w14:ligatures w14:val="none"/>
        </w:rPr>
        <w:t xml:space="preserve">Sánchez Cetina, Edesio. “Uso instrumental del hebreo: Una invitación a mantener el uso del hebreo como herramienta para la exégesis y la predicación”. En </w:t>
      </w:r>
      <w:r w:rsidRPr="00294C7F">
        <w:rPr>
          <w:rFonts w:ascii="Calibri" w:eastAsia="Times New Roman" w:hAnsi="Calibri" w:cs="Calibri"/>
          <w:i/>
          <w:iCs/>
          <w:kern w:val="0"/>
          <w:lang w:val="es-ES_tradnl" w:eastAsia="es-CR"/>
          <w14:ligatures w14:val="none"/>
        </w:rPr>
        <w:t>Pensar, crear, actuar</w:t>
      </w:r>
      <w:r w:rsidRPr="00294C7F">
        <w:rPr>
          <w:rFonts w:ascii="Calibri" w:eastAsia="Times New Roman" w:hAnsi="Calibri" w:cs="Calibri"/>
          <w:kern w:val="0"/>
          <w:lang w:val="es-ES_tradnl" w:eastAsia="es-CR"/>
          <w14:ligatures w14:val="none"/>
        </w:rPr>
        <w:t xml:space="preserve">. </w:t>
      </w:r>
      <w:r w:rsidRPr="00294C7F">
        <w:rPr>
          <w:rFonts w:ascii="Calibri" w:eastAsia="Times New Roman" w:hAnsi="Calibri" w:cs="Calibri"/>
          <w:i/>
          <w:iCs/>
          <w:kern w:val="0"/>
          <w:lang w:val="es-ES_tradnl" w:eastAsia="es-CR"/>
          <w14:ligatures w14:val="none"/>
        </w:rPr>
        <w:t>Metodologías para una teología contextual</w:t>
      </w:r>
      <w:r w:rsidRPr="00294C7F">
        <w:rPr>
          <w:rFonts w:ascii="Calibri" w:eastAsia="Times New Roman" w:hAnsi="Calibri" w:cs="Calibri"/>
          <w:kern w:val="0"/>
          <w:lang w:val="es-ES_tradnl" w:eastAsia="es-CR"/>
          <w14:ligatures w14:val="none"/>
        </w:rPr>
        <w:t xml:space="preserve">, editado por Sara Baltodano y José Enrique Ramírez Kidd, 157-174. San José: SEBILA, 2013. </w:t>
      </w:r>
      <w:r w:rsidRPr="00294C7F">
        <w:rPr>
          <w:rFonts w:ascii="Calibri" w:eastAsia="Times New Roman" w:hAnsi="Calibri" w:cs="Calibri"/>
          <w:color w:val="000000"/>
          <w:kern w:val="0"/>
          <w:szCs w:val="18"/>
          <w:lang w:val="es-ES_tradnl" w:eastAsia="es-CR"/>
          <w14:ligatures w14:val="none"/>
        </w:rPr>
        <w:t>(</w:t>
      </w:r>
      <w:r w:rsidRPr="00294C7F">
        <w:rPr>
          <w:rFonts w:ascii="Calibri" w:eastAsia="Times New Roman" w:hAnsi="Calibri" w:cs="Calibri"/>
          <w:color w:val="0070C0"/>
          <w:kern w:val="0"/>
          <w:szCs w:val="18"/>
          <w:lang w:val="es-ES_tradnl" w:eastAsia="es-CR"/>
          <w14:ligatures w14:val="none"/>
        </w:rPr>
        <w:t xml:space="preserve">clásico, </w:t>
      </w:r>
      <w:r w:rsidRPr="00294C7F">
        <w:rPr>
          <w:rFonts w:ascii="Calibri" w:eastAsia="Times New Roman" w:hAnsi="Calibri" w:cs="Calibri"/>
          <w:color w:val="000000"/>
          <w:kern w:val="0"/>
          <w:szCs w:val="18"/>
          <w:lang w:val="es-ES_tradnl" w:eastAsia="es-CR"/>
          <w14:ligatures w14:val="none"/>
        </w:rPr>
        <w:t>última edición)</w:t>
      </w:r>
    </w:p>
    <w:p w14:paraId="0197E37E" w14:textId="505781FF" w:rsidR="007D47C5" w:rsidRDefault="00294C7F" w:rsidP="00294C7F">
      <w:pPr>
        <w:ind w:left="709" w:hanging="709"/>
        <w:jc w:val="both"/>
        <w:rPr>
          <w:sz w:val="24"/>
          <w:szCs w:val="24"/>
        </w:rPr>
      </w:pPr>
      <w:r w:rsidRPr="00294C7F">
        <w:rPr>
          <w:rFonts w:ascii="Calibri" w:eastAsia="Times New Roman" w:hAnsi="Calibri" w:cs="Arial"/>
          <w:kern w:val="0"/>
          <w:lang w:val="es-ES" w:eastAsia="es-CR"/>
          <w14:ligatures w14:val="none"/>
        </w:rPr>
        <w:t>Torres Fernández, Antonio. “«Aspecto verbal» y «Tiempo» en la conjugación hebrea (</w:t>
      </w:r>
      <w:proofErr w:type="spellStart"/>
      <w:r w:rsidRPr="00294C7F">
        <w:rPr>
          <w:rFonts w:ascii="Calibri" w:eastAsia="Times New Roman" w:hAnsi="Calibri" w:cs="Arial"/>
          <w:kern w:val="0"/>
          <w:lang w:val="es-ES" w:eastAsia="es-CR"/>
          <w14:ligatures w14:val="none"/>
        </w:rPr>
        <w:t>partesegunda</w:t>
      </w:r>
      <w:proofErr w:type="spellEnd"/>
      <w:r w:rsidRPr="00294C7F">
        <w:rPr>
          <w:rFonts w:ascii="Calibri" w:eastAsia="Times New Roman" w:hAnsi="Calibri" w:cs="Arial"/>
          <w:kern w:val="0"/>
          <w:lang w:val="es-ES" w:eastAsia="es-CR"/>
          <w14:ligatures w14:val="none"/>
        </w:rPr>
        <w:t xml:space="preserve">): Reflexiones de un octogenario”. </w:t>
      </w:r>
      <w:r w:rsidRPr="00294C7F">
        <w:rPr>
          <w:rFonts w:ascii="Calibri" w:eastAsia="Times New Roman" w:hAnsi="Calibri" w:cs="Arial"/>
          <w:i/>
          <w:iCs/>
          <w:kern w:val="0"/>
          <w:lang w:val="es-ES" w:eastAsia="es-CR"/>
          <w14:ligatures w14:val="none"/>
        </w:rPr>
        <w:t>MEAH Sección Hebreo</w:t>
      </w:r>
      <w:r w:rsidRPr="00294C7F">
        <w:rPr>
          <w:rFonts w:ascii="Calibri" w:eastAsia="Times New Roman" w:hAnsi="Calibri" w:cs="Arial"/>
          <w:kern w:val="0"/>
          <w:lang w:val="es-ES" w:eastAsia="es-CR"/>
          <w14:ligatures w14:val="none"/>
        </w:rPr>
        <w:t xml:space="preserve"> 60 (2011): 273-299. Acceso el 3 de noviembre de 2022. </w:t>
      </w:r>
      <w:hyperlink r:id="rId281">
        <w:r w:rsidRPr="00294C7F">
          <w:rPr>
            <w:rFonts w:ascii="Calibri" w:eastAsia="Times New Roman" w:hAnsi="Calibri" w:cs="Arial"/>
            <w:color w:val="0563C1"/>
            <w:kern w:val="0"/>
            <w:u w:val="single"/>
            <w:lang w:val="es-ES" w:eastAsia="es-CR"/>
            <w14:ligatures w14:val="none"/>
          </w:rPr>
          <w:t>https://revistaseug.ugr.es/index.php/meahhebreo/article/view/12503</w:t>
        </w:r>
      </w:hyperlink>
    </w:p>
    <w:p w14:paraId="042E8BDD" w14:textId="77777777" w:rsidR="007D47C5" w:rsidRDefault="007D47C5" w:rsidP="005107B2">
      <w:pPr>
        <w:ind w:left="709" w:hanging="709"/>
        <w:jc w:val="both"/>
        <w:rPr>
          <w:sz w:val="24"/>
          <w:szCs w:val="24"/>
        </w:rPr>
      </w:pPr>
    </w:p>
    <w:p w14:paraId="69B5C80A" w14:textId="77777777" w:rsidR="007D47C5" w:rsidRDefault="007D47C5" w:rsidP="005107B2">
      <w:pPr>
        <w:ind w:left="709" w:hanging="709"/>
        <w:jc w:val="both"/>
        <w:rPr>
          <w:sz w:val="24"/>
          <w:szCs w:val="24"/>
        </w:rPr>
      </w:pPr>
    </w:p>
    <w:p w14:paraId="044D7069" w14:textId="77777777" w:rsidR="0004170C" w:rsidRDefault="0004170C" w:rsidP="00910A06">
      <w:pPr>
        <w:ind w:left="708" w:hanging="708"/>
        <w:jc w:val="both"/>
        <w:rPr>
          <w:rFonts w:cstheme="minorHAnsi"/>
          <w:bCs/>
        </w:rPr>
      </w:pPr>
    </w:p>
    <w:p w14:paraId="46CC66D3" w14:textId="77777777" w:rsidR="0004170C" w:rsidRDefault="0004170C" w:rsidP="00910A06">
      <w:pPr>
        <w:ind w:left="708" w:hanging="708"/>
        <w:jc w:val="both"/>
        <w:rPr>
          <w:rFonts w:cstheme="minorHAnsi"/>
          <w:bCs/>
        </w:rPr>
      </w:pPr>
    </w:p>
    <w:p w14:paraId="2240433A" w14:textId="224700D3" w:rsidR="0004170C" w:rsidRPr="006B5A49" w:rsidRDefault="0004170C" w:rsidP="00C5474A">
      <w:pPr>
        <w:pStyle w:val="SPECIAL2"/>
      </w:pPr>
      <w:bookmarkStart w:id="41" w:name="_Toc166526882"/>
      <w:r w:rsidRPr="00C5474A">
        <w:lastRenderedPageBreak/>
        <w:t>V CUATRIMESTRE</w:t>
      </w:r>
      <w:bookmarkEnd w:id="41"/>
    </w:p>
    <w:p w14:paraId="165FCF54" w14:textId="77777777" w:rsidR="0004170C" w:rsidRDefault="0004170C" w:rsidP="0004170C">
      <w:pPr>
        <w:jc w:val="center"/>
        <w:rPr>
          <w:b/>
          <w:bCs/>
          <w:sz w:val="32"/>
          <w:szCs w:val="32"/>
          <w:lang w:val="es-ES"/>
        </w:rPr>
      </w:pPr>
    </w:p>
    <w:p w14:paraId="74A19963" w14:textId="62E6D435" w:rsidR="0004170C" w:rsidRPr="006B5A49" w:rsidRDefault="00DD16F2" w:rsidP="0004170C">
      <w:pPr>
        <w:rPr>
          <w:sz w:val="24"/>
          <w:szCs w:val="24"/>
        </w:rPr>
      </w:pPr>
      <w:hyperlink w:anchor="CB102" w:history="1">
        <w:r w:rsidR="0004170C" w:rsidRPr="000611BD">
          <w:rPr>
            <w:rStyle w:val="Hipervnculo"/>
            <w:sz w:val="24"/>
            <w:szCs w:val="24"/>
            <w:lang w:val="es-ES"/>
          </w:rPr>
          <w:t>C</w:t>
        </w:r>
        <w:r w:rsidR="00D84445" w:rsidRPr="000611BD">
          <w:rPr>
            <w:rStyle w:val="Hipervnculo"/>
            <w:sz w:val="24"/>
            <w:szCs w:val="24"/>
            <w:lang w:val="es-ES"/>
          </w:rPr>
          <w:t>B</w:t>
        </w:r>
        <w:r w:rsidR="0061104E" w:rsidRPr="000611BD">
          <w:rPr>
            <w:rStyle w:val="Hipervnculo"/>
            <w:sz w:val="24"/>
            <w:szCs w:val="24"/>
            <w:lang w:val="es-ES"/>
          </w:rPr>
          <w:t>102 Griego I</w:t>
        </w:r>
      </w:hyperlink>
    </w:p>
    <w:p w14:paraId="76865CEE" w14:textId="3C1E102B" w:rsidR="0004170C" w:rsidRPr="006B5A49" w:rsidRDefault="00DD16F2" w:rsidP="0004170C">
      <w:pPr>
        <w:rPr>
          <w:sz w:val="24"/>
          <w:szCs w:val="24"/>
        </w:rPr>
      </w:pPr>
      <w:hyperlink w:anchor="CTX107" w:history="1">
        <w:r w:rsidR="0004170C" w:rsidRPr="000611BD">
          <w:rPr>
            <w:rStyle w:val="Hipervnculo"/>
            <w:sz w:val="24"/>
            <w:szCs w:val="24"/>
          </w:rPr>
          <w:t>CTX10</w:t>
        </w:r>
        <w:r w:rsidR="00D22C8E" w:rsidRPr="000611BD">
          <w:rPr>
            <w:rStyle w:val="Hipervnculo"/>
            <w:sz w:val="24"/>
            <w:szCs w:val="24"/>
          </w:rPr>
          <w:t>7 Fundamentos de Pastoral</w:t>
        </w:r>
      </w:hyperlink>
    </w:p>
    <w:p w14:paraId="1BA7FAF1" w14:textId="69A2CFE2" w:rsidR="0004170C" w:rsidRPr="006B5A49" w:rsidRDefault="00DD16F2" w:rsidP="0004170C">
      <w:pPr>
        <w:rPr>
          <w:sz w:val="24"/>
          <w:szCs w:val="24"/>
        </w:rPr>
      </w:pPr>
      <w:hyperlink w:anchor="CTX122" w:history="1">
        <w:r w:rsidR="0004170C" w:rsidRPr="000611BD">
          <w:rPr>
            <w:rStyle w:val="Hipervnculo"/>
            <w:sz w:val="24"/>
            <w:szCs w:val="24"/>
          </w:rPr>
          <w:t>CTX1</w:t>
        </w:r>
        <w:r w:rsidR="00D22C8E" w:rsidRPr="000611BD">
          <w:rPr>
            <w:rStyle w:val="Hipervnculo"/>
            <w:sz w:val="24"/>
            <w:szCs w:val="24"/>
          </w:rPr>
          <w:t>22 Historia de la Religiosidad Indígena y Afro-latinoamericana</w:t>
        </w:r>
      </w:hyperlink>
    </w:p>
    <w:p w14:paraId="1652B95C" w14:textId="3EA0C8C9" w:rsidR="0004170C" w:rsidRDefault="00DD16F2" w:rsidP="0004170C">
      <w:pPr>
        <w:rPr>
          <w:sz w:val="24"/>
          <w:szCs w:val="24"/>
        </w:rPr>
      </w:pPr>
      <w:hyperlink w:anchor="CBX113" w:history="1">
        <w:r w:rsidR="0004170C" w:rsidRPr="000611BD">
          <w:rPr>
            <w:rStyle w:val="Hipervnculo"/>
            <w:sz w:val="24"/>
            <w:szCs w:val="24"/>
          </w:rPr>
          <w:t>CBX1</w:t>
        </w:r>
        <w:r w:rsidR="00D22C8E" w:rsidRPr="000611BD">
          <w:rPr>
            <w:rStyle w:val="Hipervnculo"/>
            <w:sz w:val="24"/>
            <w:szCs w:val="24"/>
          </w:rPr>
          <w:t>13</w:t>
        </w:r>
        <w:r w:rsidR="00F31FC4" w:rsidRPr="000611BD">
          <w:rPr>
            <w:rStyle w:val="Hipervnculo"/>
            <w:sz w:val="24"/>
            <w:szCs w:val="24"/>
          </w:rPr>
          <w:t xml:space="preserve"> Metodología del Estudio Bíblico</w:t>
        </w:r>
      </w:hyperlink>
    </w:p>
    <w:p w14:paraId="501A8F76" w14:textId="791DB23C" w:rsidR="00473F66" w:rsidRDefault="00473F66">
      <w:pPr>
        <w:rPr>
          <w:sz w:val="24"/>
          <w:szCs w:val="24"/>
        </w:rPr>
      </w:pPr>
      <w:r>
        <w:rPr>
          <w:sz w:val="24"/>
          <w:szCs w:val="24"/>
        </w:rPr>
        <w:br w:type="page"/>
      </w:r>
    </w:p>
    <w:p w14:paraId="4746F017" w14:textId="77777777" w:rsidR="00B857F8" w:rsidRPr="00B857F8" w:rsidRDefault="00B857F8" w:rsidP="00B857F8">
      <w:pPr>
        <w:widowControl w:val="0"/>
        <w:overflowPunct w:val="0"/>
        <w:autoSpaceDE w:val="0"/>
        <w:autoSpaceDN w:val="0"/>
        <w:adjustRightInd w:val="0"/>
        <w:spacing w:before="120" w:after="0" w:line="240" w:lineRule="auto"/>
        <w:jc w:val="center"/>
        <w:rPr>
          <w:rFonts w:ascii="Calibri" w:eastAsia="Times New Roman" w:hAnsi="Calibri" w:cs="Arial"/>
          <w:kern w:val="0"/>
          <w:sz w:val="24"/>
          <w:szCs w:val="20"/>
          <w:lang w:val="es-ES_tradnl" w:eastAsia="es-CR"/>
          <w14:ligatures w14:val="none"/>
        </w:rPr>
      </w:pPr>
      <w:r w:rsidRPr="00B857F8">
        <w:rPr>
          <w:rFonts w:ascii="Times New Roman" w:eastAsia="Times New Roman" w:hAnsi="Times New Roman" w:cs="Times New Roman"/>
          <w:noProof/>
          <w:kern w:val="0"/>
          <w:sz w:val="24"/>
          <w:szCs w:val="20"/>
          <w:lang w:val="es-ES_tradnl" w:eastAsia="es-CR"/>
          <w14:ligatures w14:val="none"/>
        </w:rPr>
        <w:lastRenderedPageBreak/>
        <w:drawing>
          <wp:inline distT="0" distB="0" distL="0" distR="0" wp14:anchorId="450DBD8C" wp14:editId="3B2D6F8A">
            <wp:extent cx="2009775" cy="1548377"/>
            <wp:effectExtent l="0" t="0" r="0" b="0"/>
            <wp:docPr id="10268291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pic:nvPicPr>
                  <pic:blipFill>
                    <a:blip r:embed="rId9">
                      <a:extLst>
                        <a:ext uri="{28A0092B-C50C-407E-A947-70E740481C1C}">
                          <a14:useLocalDpi xmlns:a14="http://schemas.microsoft.com/office/drawing/2010/main" val="0"/>
                        </a:ext>
                      </a:extLst>
                    </a:blip>
                    <a:stretch>
                      <a:fillRect/>
                    </a:stretch>
                  </pic:blipFill>
                  <pic:spPr>
                    <a:xfrm>
                      <a:off x="0" y="0"/>
                      <a:ext cx="2009775" cy="1548377"/>
                    </a:xfrm>
                    <a:prstGeom prst="rect">
                      <a:avLst/>
                    </a:prstGeom>
                  </pic:spPr>
                </pic:pic>
              </a:graphicData>
            </a:graphic>
          </wp:inline>
        </w:drawing>
      </w:r>
    </w:p>
    <w:p w14:paraId="0775833E" w14:textId="77777777" w:rsidR="00B857F8" w:rsidRPr="00B857F8" w:rsidRDefault="00B857F8" w:rsidP="00B857F8">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0"/>
          <w:lang w:val="en-US" w:eastAsia="es-CR"/>
          <w14:ligatures w14:val="none"/>
        </w:rPr>
      </w:pPr>
    </w:p>
    <w:p w14:paraId="42388FAE" w14:textId="77777777" w:rsidR="00B857F8" w:rsidRPr="00B857F8" w:rsidRDefault="00B857F8" w:rsidP="00B857F8">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0"/>
          <w:lang w:eastAsia="es-CR"/>
          <w14:ligatures w14:val="none"/>
        </w:rPr>
      </w:pPr>
      <w:r w:rsidRPr="00B857F8">
        <w:rPr>
          <w:rFonts w:ascii="Calibri" w:eastAsia="Times New Roman" w:hAnsi="Calibri" w:cs="Arial"/>
          <w:b/>
          <w:spacing w:val="-2"/>
          <w:kern w:val="0"/>
          <w:sz w:val="24"/>
          <w:szCs w:val="20"/>
          <w:lang w:eastAsia="es-CR"/>
          <w14:ligatures w14:val="none"/>
        </w:rPr>
        <w:t>Universidad Bíblica Latinoamericana</w:t>
      </w:r>
    </w:p>
    <w:p w14:paraId="0EECDBDB" w14:textId="77777777" w:rsidR="00B857F8" w:rsidRPr="00B857F8" w:rsidRDefault="00B857F8" w:rsidP="00B857F8">
      <w:pPr>
        <w:keepNext/>
        <w:widowControl w:val="0"/>
        <w:overflowPunct w:val="0"/>
        <w:autoSpaceDE w:val="0"/>
        <w:autoSpaceDN w:val="0"/>
        <w:adjustRightInd w:val="0"/>
        <w:spacing w:after="0" w:line="240" w:lineRule="auto"/>
        <w:jc w:val="center"/>
        <w:outlineLvl w:val="1"/>
        <w:rPr>
          <w:rFonts w:ascii="Calibri" w:eastAsia="Times New Roman" w:hAnsi="Calibri" w:cs="Arial"/>
          <w:b/>
          <w:i/>
          <w:iCs/>
          <w:spacing w:val="-2"/>
          <w:kern w:val="28"/>
          <w:sz w:val="24"/>
          <w:szCs w:val="20"/>
          <w:lang w:eastAsia="es-CR"/>
          <w14:ligatures w14:val="none"/>
        </w:rPr>
      </w:pPr>
      <w:r w:rsidRPr="00B857F8">
        <w:rPr>
          <w:rFonts w:ascii="Calibri" w:eastAsia="Times New Roman" w:hAnsi="Calibri" w:cs="Arial"/>
          <w:b/>
          <w:i/>
          <w:iCs/>
          <w:spacing w:val="-2"/>
          <w:kern w:val="28"/>
          <w:sz w:val="24"/>
          <w:szCs w:val="20"/>
          <w:lang w:eastAsia="es-CR"/>
          <w14:ligatures w14:val="none"/>
        </w:rPr>
        <w:t>Facultad de Teología</w:t>
      </w:r>
    </w:p>
    <w:p w14:paraId="2FBB2BA3" w14:textId="77777777" w:rsidR="00B857F8" w:rsidRPr="00B857F8" w:rsidRDefault="00B857F8" w:rsidP="00B857F8">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r w:rsidRPr="00B857F8">
        <w:rPr>
          <w:rFonts w:ascii="Calibri" w:eastAsia="Times New Roman" w:hAnsi="Calibri" w:cs="Arial"/>
          <w:b/>
          <w:bCs/>
          <w:kern w:val="0"/>
          <w:sz w:val="24"/>
          <w:szCs w:val="20"/>
          <w:lang w:val="es-ES_tradnl" w:eastAsia="es-CR"/>
          <w14:ligatures w14:val="none"/>
        </w:rPr>
        <w:t xml:space="preserve"> Escuela de Ciencias Bíblicas</w:t>
      </w:r>
    </w:p>
    <w:p w14:paraId="3A85E634" w14:textId="77777777" w:rsidR="00B857F8" w:rsidRPr="00B857F8" w:rsidRDefault="00B857F8" w:rsidP="00B857F8">
      <w:pPr>
        <w:widowControl w:val="0"/>
        <w:overflowPunct w:val="0"/>
        <w:autoSpaceDE w:val="0"/>
        <w:autoSpaceDN w:val="0"/>
        <w:adjustRightInd w:val="0"/>
        <w:spacing w:after="0" w:line="276" w:lineRule="auto"/>
        <w:rPr>
          <w:rFonts w:ascii="Calibri" w:eastAsia="Times New Roman" w:hAnsi="Calibri" w:cs="Arial"/>
          <w:b/>
          <w:bCs/>
          <w:kern w:val="0"/>
          <w:sz w:val="24"/>
          <w:szCs w:val="20"/>
          <w:lang w:val="es-ES_tradnl" w:eastAsia="es-CR"/>
          <w14:ligatures w14:val="none"/>
        </w:rPr>
      </w:pPr>
      <w:r w:rsidRPr="00B857F8">
        <w:rPr>
          <w:rFonts w:ascii="Calibri" w:eastAsia="Times New Roman" w:hAnsi="Calibri" w:cs="Arial"/>
          <w:b/>
          <w:bCs/>
          <w:kern w:val="0"/>
          <w:sz w:val="24"/>
          <w:szCs w:val="20"/>
          <w:lang w:val="es-ES_tradnl" w:eastAsia="es-CR"/>
          <w14:ligatures w14:val="none"/>
        </w:rPr>
        <w:t xml:space="preserve"> </w:t>
      </w:r>
    </w:p>
    <w:p w14:paraId="3DDD3880" w14:textId="77777777" w:rsidR="00B857F8" w:rsidRPr="00B857F8" w:rsidRDefault="00B857F8" w:rsidP="00B857F8">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r w:rsidRPr="00B857F8">
        <w:rPr>
          <w:rFonts w:ascii="Calibri" w:eastAsia="Times New Roman" w:hAnsi="Calibri" w:cs="Arial"/>
          <w:b/>
          <w:bCs/>
          <w:kern w:val="0"/>
          <w:sz w:val="24"/>
          <w:szCs w:val="20"/>
          <w:lang w:val="es-ES_tradnl" w:eastAsia="es-CR"/>
          <w14:ligatures w14:val="none"/>
        </w:rPr>
        <w:t>Sílabo</w:t>
      </w:r>
    </w:p>
    <w:p w14:paraId="6ACD57A5" w14:textId="77777777" w:rsidR="00B857F8" w:rsidRPr="00B857F8" w:rsidRDefault="00B857F8" w:rsidP="00B857F8">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bookmarkStart w:id="42" w:name="CB102"/>
      <w:r w:rsidRPr="00B857F8">
        <w:rPr>
          <w:rFonts w:ascii="Calibri" w:eastAsia="Times New Roman" w:hAnsi="Calibri" w:cs="Arial"/>
          <w:b/>
          <w:bCs/>
          <w:kern w:val="0"/>
          <w:sz w:val="24"/>
          <w:szCs w:val="20"/>
          <w:lang w:eastAsia="es-CR"/>
          <w14:ligatures w14:val="none"/>
        </w:rPr>
        <w:t>Griego I</w:t>
      </w:r>
    </w:p>
    <w:bookmarkEnd w:id="42"/>
    <w:p w14:paraId="62A84A47" w14:textId="77777777" w:rsidR="00B857F8" w:rsidRPr="00B857F8" w:rsidRDefault="00B857F8" w:rsidP="00B857F8">
      <w:pPr>
        <w:widowControl w:val="0"/>
        <w:overflowPunct w:val="0"/>
        <w:autoSpaceDE w:val="0"/>
        <w:autoSpaceDN w:val="0"/>
        <w:adjustRightInd w:val="0"/>
        <w:spacing w:before="120" w:after="0" w:line="240" w:lineRule="auto"/>
        <w:rPr>
          <w:rFonts w:ascii="Calibri" w:eastAsia="Times New Roman" w:hAnsi="Calibri" w:cs="Arial"/>
          <w:b/>
          <w:bCs/>
          <w:kern w:val="0"/>
          <w:sz w:val="24"/>
          <w:szCs w:val="20"/>
          <w:lang w:val="es-ES_tradnl" w:eastAsia="es-CR"/>
          <w14:ligatures w14:val="none"/>
        </w:rPr>
      </w:pPr>
    </w:p>
    <w:tbl>
      <w:tblPr>
        <w:tblStyle w:val="Tablaconcuadrcula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7162"/>
      </w:tblGrid>
      <w:tr w:rsidR="00B857F8" w:rsidRPr="00B857F8" w14:paraId="2DCE33DB" w14:textId="77777777" w:rsidTr="00104785">
        <w:tc>
          <w:tcPr>
            <w:tcW w:w="1668" w:type="dxa"/>
          </w:tcPr>
          <w:p w14:paraId="6D367103" w14:textId="77777777" w:rsidR="00B857F8" w:rsidRPr="00B857F8" w:rsidRDefault="00B857F8" w:rsidP="00B857F8">
            <w:pPr>
              <w:rPr>
                <w:rFonts w:ascii="Calibri" w:hAnsi="Calibri" w:cs="Arial"/>
                <w:b/>
                <w:bCs/>
                <w:color w:val="000000"/>
                <w:lang w:val="es-CR"/>
              </w:rPr>
            </w:pPr>
            <w:r w:rsidRPr="00B857F8">
              <w:rPr>
                <w:rFonts w:ascii="Calibri" w:hAnsi="Calibri" w:cs="Arial"/>
                <w:b/>
                <w:bCs/>
                <w:color w:val="000000"/>
                <w:lang w:val="es-CR"/>
              </w:rPr>
              <w:t>Código</w:t>
            </w:r>
          </w:p>
        </w:tc>
        <w:tc>
          <w:tcPr>
            <w:tcW w:w="7386" w:type="dxa"/>
          </w:tcPr>
          <w:p w14:paraId="5C9A7D85" w14:textId="77777777" w:rsidR="00B857F8" w:rsidRPr="00B857F8" w:rsidRDefault="00B857F8" w:rsidP="00B857F8">
            <w:pPr>
              <w:rPr>
                <w:rFonts w:ascii="Calibri" w:hAnsi="Calibri" w:cs="Arial"/>
                <w:color w:val="000000"/>
                <w:lang w:val="es-CR"/>
              </w:rPr>
            </w:pPr>
            <w:r w:rsidRPr="00B857F8">
              <w:rPr>
                <w:rFonts w:ascii="Calibri" w:hAnsi="Calibri" w:cs="Arial"/>
                <w:color w:val="000000"/>
                <w:lang w:val="es-CR"/>
              </w:rPr>
              <w:t>CB 102</w:t>
            </w:r>
          </w:p>
        </w:tc>
      </w:tr>
      <w:tr w:rsidR="00B857F8" w:rsidRPr="00B857F8" w14:paraId="2C4EB8AF" w14:textId="77777777" w:rsidTr="00104785">
        <w:tc>
          <w:tcPr>
            <w:tcW w:w="1668" w:type="dxa"/>
          </w:tcPr>
          <w:p w14:paraId="5AA8188C" w14:textId="77777777" w:rsidR="00B857F8" w:rsidRPr="00B857F8" w:rsidRDefault="00B857F8" w:rsidP="00B857F8">
            <w:pPr>
              <w:rPr>
                <w:rFonts w:ascii="Calibri" w:hAnsi="Calibri" w:cs="Arial"/>
                <w:b/>
                <w:bCs/>
                <w:color w:val="000000"/>
                <w:lang w:val="es-CR"/>
              </w:rPr>
            </w:pPr>
            <w:r w:rsidRPr="00B857F8">
              <w:rPr>
                <w:rFonts w:ascii="Calibri" w:hAnsi="Calibri" w:cs="Arial"/>
                <w:b/>
                <w:bCs/>
                <w:color w:val="000000"/>
                <w:lang w:val="es-CR"/>
              </w:rPr>
              <w:t>Créditos</w:t>
            </w:r>
          </w:p>
        </w:tc>
        <w:tc>
          <w:tcPr>
            <w:tcW w:w="7386" w:type="dxa"/>
          </w:tcPr>
          <w:p w14:paraId="7DC29157" w14:textId="77777777" w:rsidR="00B857F8" w:rsidRPr="00B857F8" w:rsidRDefault="00B857F8" w:rsidP="00B857F8">
            <w:pPr>
              <w:rPr>
                <w:rFonts w:ascii="Calibri" w:hAnsi="Calibri" w:cs="Arial"/>
                <w:color w:val="000000"/>
                <w:lang w:val="es-CR"/>
              </w:rPr>
            </w:pPr>
            <w:r w:rsidRPr="00B857F8">
              <w:rPr>
                <w:rFonts w:ascii="Calibri" w:hAnsi="Calibri" w:cs="Arial"/>
                <w:color w:val="000000"/>
                <w:lang w:val="es-CR"/>
              </w:rPr>
              <w:t>4</w:t>
            </w:r>
          </w:p>
        </w:tc>
      </w:tr>
      <w:tr w:rsidR="00B857F8" w:rsidRPr="00B857F8" w14:paraId="65995AB6" w14:textId="77777777" w:rsidTr="00104785">
        <w:tc>
          <w:tcPr>
            <w:tcW w:w="1668" w:type="dxa"/>
          </w:tcPr>
          <w:p w14:paraId="630FD1A3" w14:textId="77777777" w:rsidR="00B857F8" w:rsidRPr="00B857F8" w:rsidRDefault="00B857F8" w:rsidP="00B857F8">
            <w:pPr>
              <w:rPr>
                <w:rFonts w:ascii="Calibri" w:hAnsi="Calibri" w:cs="Arial"/>
                <w:b/>
                <w:bCs/>
                <w:color w:val="000000"/>
                <w:lang w:val="es-CR"/>
              </w:rPr>
            </w:pPr>
            <w:r w:rsidRPr="00B857F8">
              <w:rPr>
                <w:rFonts w:ascii="Calibri" w:hAnsi="Calibri" w:cs="Arial"/>
                <w:b/>
                <w:bCs/>
                <w:color w:val="000000"/>
                <w:lang w:val="es-CR"/>
              </w:rPr>
              <w:t>Requisitos</w:t>
            </w:r>
          </w:p>
        </w:tc>
        <w:tc>
          <w:tcPr>
            <w:tcW w:w="7386" w:type="dxa"/>
          </w:tcPr>
          <w:p w14:paraId="70EA3FAA" w14:textId="77777777" w:rsidR="00B857F8" w:rsidRPr="00B857F8" w:rsidRDefault="00B857F8" w:rsidP="00B857F8">
            <w:pPr>
              <w:rPr>
                <w:rFonts w:ascii="Calibri" w:hAnsi="Calibri" w:cs="Arial"/>
                <w:color w:val="000000"/>
                <w:lang w:val="es-CR"/>
              </w:rPr>
            </w:pPr>
            <w:r w:rsidRPr="00B857F8">
              <w:rPr>
                <w:rFonts w:ascii="Calibri" w:hAnsi="Calibri" w:cs="Arial"/>
                <w:color w:val="000000"/>
                <w:lang w:val="es-CR"/>
              </w:rPr>
              <w:t>Ninguno</w:t>
            </w:r>
          </w:p>
        </w:tc>
      </w:tr>
      <w:tr w:rsidR="00B857F8" w:rsidRPr="00B857F8" w14:paraId="54E34036" w14:textId="77777777" w:rsidTr="00104785">
        <w:tc>
          <w:tcPr>
            <w:tcW w:w="1668" w:type="dxa"/>
          </w:tcPr>
          <w:p w14:paraId="4739DEFE" w14:textId="77777777" w:rsidR="00B857F8" w:rsidRPr="00B857F8" w:rsidRDefault="00B857F8" w:rsidP="00B857F8">
            <w:pPr>
              <w:rPr>
                <w:rFonts w:ascii="Calibri" w:hAnsi="Calibri" w:cs="Arial"/>
                <w:b/>
                <w:bCs/>
                <w:color w:val="000000"/>
                <w:lang w:val="es-CR"/>
              </w:rPr>
            </w:pPr>
            <w:r w:rsidRPr="00B857F8">
              <w:rPr>
                <w:rFonts w:ascii="Calibri" w:hAnsi="Calibri" w:cs="Arial"/>
                <w:b/>
                <w:bCs/>
                <w:color w:val="000000"/>
                <w:lang w:val="es-CR"/>
              </w:rPr>
              <w:t>Modalidad</w:t>
            </w:r>
          </w:p>
        </w:tc>
        <w:tc>
          <w:tcPr>
            <w:tcW w:w="7386" w:type="dxa"/>
          </w:tcPr>
          <w:p w14:paraId="122C9F2D" w14:textId="77777777" w:rsidR="00B857F8" w:rsidRPr="00B857F8" w:rsidRDefault="00B857F8" w:rsidP="00B857F8">
            <w:pPr>
              <w:rPr>
                <w:rFonts w:ascii="Calibri" w:hAnsi="Calibri" w:cs="Arial"/>
                <w:color w:val="000000"/>
                <w:lang w:val="es-CR"/>
              </w:rPr>
            </w:pPr>
            <w:r w:rsidRPr="00B857F8">
              <w:rPr>
                <w:rFonts w:ascii="Calibri" w:hAnsi="Calibri" w:cs="Arial"/>
                <w:color w:val="000000"/>
                <w:lang w:val="es-CR"/>
              </w:rPr>
              <w:t>Virtual</w:t>
            </w:r>
          </w:p>
        </w:tc>
      </w:tr>
      <w:tr w:rsidR="00B857F8" w:rsidRPr="00B857F8" w14:paraId="631ABA8A" w14:textId="77777777" w:rsidTr="00104785">
        <w:tc>
          <w:tcPr>
            <w:tcW w:w="1668" w:type="dxa"/>
          </w:tcPr>
          <w:p w14:paraId="2D2340AB" w14:textId="77777777" w:rsidR="00B857F8" w:rsidRPr="00B857F8" w:rsidRDefault="00B857F8" w:rsidP="00B857F8">
            <w:pPr>
              <w:rPr>
                <w:rFonts w:ascii="Calibri" w:hAnsi="Calibri" w:cs="Arial"/>
                <w:b/>
                <w:bCs/>
                <w:color w:val="000000"/>
                <w:lang w:val="es-CR"/>
              </w:rPr>
            </w:pPr>
            <w:r w:rsidRPr="00B857F8">
              <w:rPr>
                <w:rFonts w:ascii="Calibri" w:hAnsi="Calibri" w:cs="Arial"/>
                <w:b/>
                <w:bCs/>
                <w:color w:val="000000"/>
                <w:lang w:val="es-CR"/>
              </w:rPr>
              <w:t>Naturaleza</w:t>
            </w:r>
          </w:p>
        </w:tc>
        <w:tc>
          <w:tcPr>
            <w:tcW w:w="7386" w:type="dxa"/>
          </w:tcPr>
          <w:p w14:paraId="3C74ACEC" w14:textId="77777777" w:rsidR="00B857F8" w:rsidRPr="00B857F8" w:rsidRDefault="00B857F8" w:rsidP="00B857F8">
            <w:pPr>
              <w:rPr>
                <w:rFonts w:ascii="Calibri" w:hAnsi="Calibri" w:cs="Arial"/>
                <w:color w:val="000000"/>
                <w:lang w:val="es-CR"/>
              </w:rPr>
            </w:pPr>
            <w:r w:rsidRPr="00B857F8">
              <w:rPr>
                <w:rFonts w:ascii="Calibri" w:hAnsi="Calibri" w:cs="Arial"/>
                <w:color w:val="000000"/>
                <w:lang w:val="es-CR"/>
              </w:rPr>
              <w:t>Teórico-práctico</w:t>
            </w:r>
          </w:p>
        </w:tc>
      </w:tr>
      <w:tr w:rsidR="00B857F8" w:rsidRPr="00B857F8" w14:paraId="3ADFB854" w14:textId="77777777" w:rsidTr="00104785">
        <w:tc>
          <w:tcPr>
            <w:tcW w:w="1668" w:type="dxa"/>
          </w:tcPr>
          <w:p w14:paraId="1373340D" w14:textId="77777777" w:rsidR="00B857F8" w:rsidRPr="00B857F8" w:rsidRDefault="00B857F8" w:rsidP="00B857F8">
            <w:pPr>
              <w:rPr>
                <w:rFonts w:ascii="Calibri" w:hAnsi="Calibri" w:cs="Arial"/>
                <w:b/>
                <w:bCs/>
                <w:color w:val="000000"/>
                <w:lang w:val="es-CR"/>
              </w:rPr>
            </w:pPr>
            <w:r w:rsidRPr="00B857F8">
              <w:rPr>
                <w:rFonts w:ascii="Calibri" w:hAnsi="Calibri" w:cs="Arial"/>
                <w:b/>
                <w:bCs/>
                <w:color w:val="000000"/>
                <w:lang w:val="es-CR"/>
              </w:rPr>
              <w:t>Periodo</w:t>
            </w:r>
          </w:p>
        </w:tc>
        <w:tc>
          <w:tcPr>
            <w:tcW w:w="7386" w:type="dxa"/>
          </w:tcPr>
          <w:p w14:paraId="45A08A20" w14:textId="77777777" w:rsidR="00B857F8" w:rsidRPr="00B857F8" w:rsidRDefault="00B857F8" w:rsidP="00B857F8">
            <w:pPr>
              <w:rPr>
                <w:rFonts w:ascii="Calibri" w:hAnsi="Calibri" w:cs="Arial"/>
                <w:color w:val="000000"/>
                <w:lang w:val="es-CR"/>
              </w:rPr>
            </w:pPr>
            <w:r w:rsidRPr="00B857F8">
              <w:rPr>
                <w:rFonts w:ascii="Calibri" w:hAnsi="Calibri" w:cs="Arial"/>
                <w:color w:val="000000"/>
                <w:lang w:val="es-CR"/>
              </w:rPr>
              <w:t>Cuatrimestral (15 semanas lectivas)</w:t>
            </w:r>
          </w:p>
        </w:tc>
      </w:tr>
      <w:tr w:rsidR="00B857F8" w:rsidRPr="00B857F8" w14:paraId="313ECFF7" w14:textId="77777777" w:rsidTr="00104785">
        <w:tc>
          <w:tcPr>
            <w:tcW w:w="1668" w:type="dxa"/>
          </w:tcPr>
          <w:p w14:paraId="33AF4C07" w14:textId="77777777" w:rsidR="00B857F8" w:rsidRPr="00B857F8" w:rsidRDefault="00B857F8" w:rsidP="00B857F8">
            <w:pPr>
              <w:rPr>
                <w:rFonts w:ascii="Calibri" w:hAnsi="Calibri" w:cs="Arial"/>
                <w:b/>
                <w:bCs/>
                <w:color w:val="000000"/>
                <w:lang w:val="es-CR"/>
              </w:rPr>
            </w:pPr>
            <w:r w:rsidRPr="00B857F8">
              <w:rPr>
                <w:rFonts w:ascii="Calibri" w:hAnsi="Calibri" w:cs="Arial"/>
                <w:b/>
                <w:bCs/>
                <w:color w:val="000000"/>
                <w:lang w:val="es-CR"/>
              </w:rPr>
              <w:t>Nivel</w:t>
            </w:r>
          </w:p>
        </w:tc>
        <w:tc>
          <w:tcPr>
            <w:tcW w:w="7386" w:type="dxa"/>
          </w:tcPr>
          <w:p w14:paraId="67047664" w14:textId="77777777" w:rsidR="00B857F8" w:rsidRPr="00B857F8" w:rsidRDefault="00B857F8" w:rsidP="00B857F8">
            <w:pPr>
              <w:rPr>
                <w:rFonts w:ascii="Calibri" w:hAnsi="Calibri" w:cs="Arial"/>
                <w:color w:val="000000"/>
                <w:lang w:val="es-CR"/>
              </w:rPr>
            </w:pPr>
            <w:r w:rsidRPr="00B857F8">
              <w:rPr>
                <w:rFonts w:ascii="Calibri" w:hAnsi="Calibri" w:cs="Arial"/>
                <w:color w:val="000000"/>
                <w:lang w:val="es-CR"/>
              </w:rPr>
              <w:t>V Cuatrimestre</w:t>
            </w:r>
          </w:p>
        </w:tc>
      </w:tr>
      <w:tr w:rsidR="00B857F8" w:rsidRPr="00B857F8" w14:paraId="143193AB" w14:textId="77777777" w:rsidTr="00104785">
        <w:tc>
          <w:tcPr>
            <w:tcW w:w="1668" w:type="dxa"/>
          </w:tcPr>
          <w:p w14:paraId="51BD1750" w14:textId="77777777" w:rsidR="00B857F8" w:rsidRPr="00B857F8" w:rsidRDefault="00B857F8" w:rsidP="00B857F8">
            <w:pPr>
              <w:rPr>
                <w:rFonts w:ascii="Calibri" w:hAnsi="Calibri" w:cs="Arial"/>
                <w:b/>
                <w:bCs/>
                <w:color w:val="000000"/>
                <w:lang w:val="es-CR"/>
              </w:rPr>
            </w:pPr>
            <w:r w:rsidRPr="00B857F8">
              <w:rPr>
                <w:rFonts w:ascii="Calibri" w:hAnsi="Calibri" w:cs="Arial"/>
                <w:b/>
                <w:bCs/>
                <w:color w:val="000000"/>
                <w:lang w:val="es-CR"/>
              </w:rPr>
              <w:t>Horario</w:t>
            </w:r>
          </w:p>
        </w:tc>
        <w:tc>
          <w:tcPr>
            <w:tcW w:w="7386" w:type="dxa"/>
          </w:tcPr>
          <w:p w14:paraId="5E343712" w14:textId="77777777" w:rsidR="00B857F8" w:rsidRPr="00B857F8" w:rsidRDefault="00B857F8" w:rsidP="00B857F8">
            <w:pPr>
              <w:rPr>
                <w:rFonts w:ascii="Calibri" w:hAnsi="Calibri" w:cs="Arial"/>
                <w:color w:val="000000"/>
                <w:lang w:val="es-CR"/>
              </w:rPr>
            </w:pPr>
            <w:r w:rsidRPr="00B857F8">
              <w:rPr>
                <w:rFonts w:ascii="Calibri" w:hAnsi="Calibri" w:cs="Arial"/>
                <w:color w:val="000000"/>
                <w:lang w:val="es-CR"/>
              </w:rPr>
              <w:t>El curso requiere de 12 horas de trabajo semanal</w:t>
            </w:r>
          </w:p>
        </w:tc>
      </w:tr>
      <w:tr w:rsidR="00B857F8" w:rsidRPr="00B857F8" w14:paraId="2ABF09C0" w14:textId="77777777" w:rsidTr="00104785">
        <w:tc>
          <w:tcPr>
            <w:tcW w:w="1668" w:type="dxa"/>
          </w:tcPr>
          <w:p w14:paraId="4CFAD0B3" w14:textId="77777777" w:rsidR="00B857F8" w:rsidRPr="00B857F8" w:rsidRDefault="00B857F8" w:rsidP="00B857F8">
            <w:pPr>
              <w:rPr>
                <w:rFonts w:ascii="Calibri" w:hAnsi="Calibri" w:cs="Arial"/>
                <w:b/>
                <w:bCs/>
                <w:color w:val="000000"/>
                <w:lang w:val="es-CR"/>
              </w:rPr>
            </w:pPr>
            <w:r w:rsidRPr="00B857F8">
              <w:rPr>
                <w:rFonts w:ascii="Calibri" w:hAnsi="Calibri" w:cs="Arial"/>
                <w:b/>
                <w:bCs/>
                <w:color w:val="000000"/>
                <w:lang w:val="es-CR"/>
              </w:rPr>
              <w:t>Aula</w:t>
            </w:r>
          </w:p>
        </w:tc>
        <w:tc>
          <w:tcPr>
            <w:tcW w:w="7386" w:type="dxa"/>
          </w:tcPr>
          <w:p w14:paraId="4D254B1A" w14:textId="77777777" w:rsidR="00B857F8" w:rsidRPr="00B857F8" w:rsidRDefault="00B857F8" w:rsidP="00B857F8">
            <w:pPr>
              <w:rPr>
                <w:rFonts w:ascii="Calibri" w:hAnsi="Calibri" w:cs="Arial"/>
                <w:color w:val="000000"/>
                <w:lang w:val="es-CR"/>
              </w:rPr>
            </w:pPr>
            <w:r w:rsidRPr="00B857F8">
              <w:rPr>
                <w:rFonts w:ascii="Calibri" w:hAnsi="Calibri" w:cs="Arial"/>
                <w:color w:val="000000"/>
                <w:lang w:val="es-CR"/>
              </w:rPr>
              <w:t>Plataforma virtual de la UBL</w:t>
            </w:r>
          </w:p>
        </w:tc>
      </w:tr>
      <w:tr w:rsidR="00B857F8" w:rsidRPr="00B857F8" w14:paraId="5D582A33" w14:textId="77777777" w:rsidTr="00104785">
        <w:tc>
          <w:tcPr>
            <w:tcW w:w="1668" w:type="dxa"/>
          </w:tcPr>
          <w:p w14:paraId="7DE5D467" w14:textId="77777777" w:rsidR="00B857F8" w:rsidRPr="00B857F8" w:rsidRDefault="00B857F8" w:rsidP="00B857F8">
            <w:pPr>
              <w:rPr>
                <w:rFonts w:ascii="Calibri" w:hAnsi="Calibri" w:cs="Arial"/>
                <w:b/>
                <w:bCs/>
                <w:color w:val="000000"/>
                <w:lang w:val="es-CR"/>
              </w:rPr>
            </w:pPr>
            <w:r w:rsidRPr="00B857F8">
              <w:rPr>
                <w:rFonts w:ascii="Calibri" w:hAnsi="Calibri" w:cs="Arial"/>
                <w:b/>
                <w:bCs/>
                <w:color w:val="000000"/>
                <w:lang w:val="es-CR"/>
              </w:rPr>
              <w:t>Docente</w:t>
            </w:r>
          </w:p>
        </w:tc>
        <w:tc>
          <w:tcPr>
            <w:tcW w:w="7386" w:type="dxa"/>
          </w:tcPr>
          <w:p w14:paraId="75126275" w14:textId="77777777" w:rsidR="00B857F8" w:rsidRPr="00B857F8" w:rsidRDefault="00B857F8" w:rsidP="00B857F8">
            <w:pPr>
              <w:rPr>
                <w:rFonts w:ascii="Calibri" w:hAnsi="Calibri" w:cs="Arial"/>
                <w:color w:val="000000"/>
                <w:lang w:val="es-CR"/>
              </w:rPr>
            </w:pPr>
          </w:p>
        </w:tc>
      </w:tr>
      <w:tr w:rsidR="00B857F8" w:rsidRPr="00B857F8" w14:paraId="0E7FE893" w14:textId="77777777" w:rsidTr="00104785">
        <w:tc>
          <w:tcPr>
            <w:tcW w:w="1668" w:type="dxa"/>
          </w:tcPr>
          <w:p w14:paraId="1A57BE92" w14:textId="77777777" w:rsidR="00B857F8" w:rsidRPr="00B857F8" w:rsidRDefault="00B857F8" w:rsidP="00B857F8">
            <w:pPr>
              <w:rPr>
                <w:rFonts w:ascii="Calibri" w:hAnsi="Calibri" w:cs="Arial"/>
                <w:color w:val="000000"/>
                <w:lang w:val="es-CR"/>
              </w:rPr>
            </w:pPr>
            <w:r w:rsidRPr="00B857F8">
              <w:rPr>
                <w:rFonts w:ascii="Calibri" w:hAnsi="Calibri" w:cs="Arial"/>
                <w:b/>
                <w:bCs/>
                <w:color w:val="000000"/>
                <w:lang w:val="es-CR"/>
              </w:rPr>
              <w:t>Instrucciones administrativas</w:t>
            </w:r>
          </w:p>
        </w:tc>
        <w:tc>
          <w:tcPr>
            <w:tcW w:w="7386" w:type="dxa"/>
          </w:tcPr>
          <w:p w14:paraId="3336AAED" w14:textId="77777777" w:rsidR="00B857F8" w:rsidRPr="00B857F8" w:rsidRDefault="00B857F8" w:rsidP="00B857F8">
            <w:pPr>
              <w:rPr>
                <w:rFonts w:ascii="Calibri" w:hAnsi="Calibri" w:cs="Arial"/>
                <w:lang w:val="es-CR"/>
              </w:rPr>
            </w:pPr>
            <w:r w:rsidRPr="00B857F8">
              <w:rPr>
                <w:rFonts w:ascii="Calibri" w:hAnsi="Calibri" w:cs="Arial"/>
                <w:color w:val="000000"/>
                <w:lang w:val="es-CR"/>
              </w:rPr>
              <w:t>El curso es virtual, por lo que se requiere de acceso a una computadora con conexión a Internet, además de destrezas básicas para el manejo de correo electrónico y la plataforma Moodle desde el rol de estudiante. Por su naturaleza teórico-práctica en este curso se debe invertir tres horas semanales en trabajos prácticos.</w:t>
            </w:r>
            <w:r w:rsidRPr="00B857F8">
              <w:rPr>
                <w:rFonts w:ascii="Calibri" w:hAnsi="Calibri" w:cs="Arial"/>
                <w:lang w:val="es-CR"/>
              </w:rPr>
              <w:t xml:space="preserve"> La dirección de acceso a la plataforma es la siguiente:</w:t>
            </w:r>
          </w:p>
          <w:p w14:paraId="53480F4D" w14:textId="77777777" w:rsidR="00B857F8" w:rsidRPr="00B857F8" w:rsidRDefault="00DD16F2" w:rsidP="00B857F8">
            <w:pPr>
              <w:rPr>
                <w:rFonts w:ascii="Calibri" w:hAnsi="Calibri" w:cs="Arial"/>
                <w:color w:val="000000"/>
                <w:lang w:val="es-CR"/>
              </w:rPr>
            </w:pPr>
            <w:hyperlink r:id="rId282">
              <w:r w:rsidR="00B857F8" w:rsidRPr="00B857F8">
                <w:rPr>
                  <w:rFonts w:ascii="Calibri" w:hAnsi="Calibri" w:cs="Arial"/>
                  <w:color w:val="0563C1"/>
                  <w:u w:val="single"/>
                  <w:lang w:val="es-CR"/>
                </w:rPr>
                <w:t>https://campus.ubl.ac.cr/login/index.php</w:t>
              </w:r>
            </w:hyperlink>
          </w:p>
        </w:tc>
      </w:tr>
    </w:tbl>
    <w:p w14:paraId="5C09FC95"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062BCE47"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59952DB8" w14:textId="77777777" w:rsidR="00B857F8" w:rsidRPr="00B857F8" w:rsidRDefault="00B857F8" w:rsidP="00B857F8">
      <w:pPr>
        <w:autoSpaceDE w:val="0"/>
        <w:autoSpaceDN w:val="0"/>
        <w:adjustRightInd w:val="0"/>
        <w:spacing w:after="200" w:line="276" w:lineRule="auto"/>
        <w:contextualSpacing/>
        <w:jc w:val="both"/>
        <w:rPr>
          <w:rFonts w:ascii="Calibri" w:eastAsia="Times New Roman" w:hAnsi="Calibri" w:cs="Arial"/>
          <w:b/>
          <w:bCs/>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t>I. Descripción</w:t>
      </w:r>
    </w:p>
    <w:p w14:paraId="4B07C0F6" w14:textId="77777777" w:rsidR="00B857F8" w:rsidRPr="00B857F8" w:rsidRDefault="00B857F8" w:rsidP="00B857F8">
      <w:pPr>
        <w:autoSpaceDE w:val="0"/>
        <w:autoSpaceDN w:val="0"/>
        <w:adjustRightInd w:val="0"/>
        <w:spacing w:after="200" w:line="276" w:lineRule="auto"/>
        <w:contextualSpacing/>
        <w:jc w:val="both"/>
        <w:rPr>
          <w:rFonts w:ascii="Calibri" w:eastAsia="Times New Roman" w:hAnsi="Calibri" w:cs="Arial"/>
          <w:b/>
          <w:bCs/>
          <w:color w:val="000000"/>
          <w:kern w:val="0"/>
          <w:lang w:val="es-ES_tradnl" w:eastAsia="es-CR"/>
          <w14:ligatures w14:val="none"/>
        </w:rPr>
      </w:pPr>
    </w:p>
    <w:p w14:paraId="03828466" w14:textId="77777777" w:rsidR="00B857F8" w:rsidRPr="00B857F8" w:rsidRDefault="00B857F8" w:rsidP="00B857F8">
      <w:pPr>
        <w:autoSpaceDE w:val="0"/>
        <w:autoSpaceDN w:val="0"/>
        <w:adjustRightInd w:val="0"/>
        <w:spacing w:after="200" w:line="240" w:lineRule="auto"/>
        <w:contextualSpacing/>
        <w:jc w:val="both"/>
        <w:rPr>
          <w:rFonts w:ascii="Calibri" w:eastAsia="Times New Roman" w:hAnsi="Calibri" w:cs="Arial"/>
          <w:b/>
          <w:bCs/>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 xml:space="preserve">Puesto que los documentos del Nuevo Testamento fueron escritos en el griego koiné, o sea la forma popular del idioma griego hablado por los pueblos de toda la cuenca del Mediterráneo durante el primer siglo, el/la estudiante de ciencias bíblicas necesariamente aspira a leer el texto del Nuevo Testamento en este idioma. El curso de Griego I inicia al/la estudiante en el conocimiento de la morfología, la lexicografía y la sintaxis del idioma, y le permite practicar estos conocimientos básicos con la lectura de breves trozos de textos neotestamentarios.  </w:t>
      </w:r>
    </w:p>
    <w:p w14:paraId="411DE72A" w14:textId="77777777" w:rsidR="00B857F8" w:rsidRPr="00B857F8" w:rsidRDefault="00B857F8" w:rsidP="00B857F8">
      <w:pPr>
        <w:widowControl w:val="0"/>
        <w:tabs>
          <w:tab w:val="left" w:pos="28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333A133F" w14:textId="77777777" w:rsidR="00B857F8" w:rsidRPr="00B857F8" w:rsidRDefault="00B857F8" w:rsidP="00B857F8">
      <w:pPr>
        <w:autoSpaceDE w:val="0"/>
        <w:autoSpaceDN w:val="0"/>
        <w:adjustRightInd w:val="0"/>
        <w:spacing w:after="200" w:line="276" w:lineRule="auto"/>
        <w:contextualSpacing/>
        <w:jc w:val="both"/>
        <w:rPr>
          <w:rFonts w:ascii="Calibri" w:eastAsia="Times New Roman" w:hAnsi="Calibri" w:cs="Arial"/>
          <w:b/>
          <w:bCs/>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lastRenderedPageBreak/>
        <w:t>II. Objetivo general</w:t>
      </w:r>
    </w:p>
    <w:p w14:paraId="56011B52" w14:textId="77777777" w:rsidR="00B857F8" w:rsidRPr="00B857F8" w:rsidRDefault="00B857F8" w:rsidP="00B857F8">
      <w:pPr>
        <w:autoSpaceDE w:val="0"/>
        <w:autoSpaceDN w:val="0"/>
        <w:adjustRightInd w:val="0"/>
        <w:spacing w:after="200" w:line="276" w:lineRule="auto"/>
        <w:contextualSpacing/>
        <w:jc w:val="both"/>
        <w:rPr>
          <w:rFonts w:ascii="Calibri" w:eastAsia="Times New Roman" w:hAnsi="Calibri" w:cs="Arial"/>
          <w:b/>
          <w:bCs/>
          <w:color w:val="000000"/>
          <w:kern w:val="0"/>
          <w:lang w:val="es-ES_tradnl" w:eastAsia="es-CR"/>
          <w14:ligatures w14:val="none"/>
        </w:rPr>
      </w:pPr>
    </w:p>
    <w:p w14:paraId="038204EA" w14:textId="77777777" w:rsidR="00B857F8" w:rsidRPr="00B857F8" w:rsidRDefault="00B857F8" w:rsidP="00B857F8">
      <w:pPr>
        <w:autoSpaceDE w:val="0"/>
        <w:autoSpaceDN w:val="0"/>
        <w:adjustRightInd w:val="0"/>
        <w:spacing w:after="200" w:line="240" w:lineRule="auto"/>
        <w:contextualSpacing/>
        <w:jc w:val="both"/>
        <w:rPr>
          <w:rFonts w:ascii="Calibri" w:eastAsia="Times New Roman" w:hAnsi="Calibri" w:cs="Arial"/>
          <w:b/>
          <w:bCs/>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Lograr comprender estructuras sintácticas básicas del griego y dominar un vocabulario suficiente para leer textos sencillos del Nuevo Testamento, a partir del análisis de ejemplos tomados del Nuevo Testamento en griego.</w:t>
      </w:r>
    </w:p>
    <w:p w14:paraId="2E033C9B" w14:textId="77777777" w:rsidR="00B857F8" w:rsidRPr="00B857F8" w:rsidRDefault="00B857F8" w:rsidP="00B857F8">
      <w:pPr>
        <w:widowControl w:val="0"/>
        <w:overflowPunct w:val="0"/>
        <w:autoSpaceDE w:val="0"/>
        <w:autoSpaceDN w:val="0"/>
        <w:adjustRightInd w:val="0"/>
        <w:spacing w:before="120" w:after="0" w:line="240" w:lineRule="auto"/>
        <w:ind w:left="142"/>
        <w:jc w:val="both"/>
        <w:rPr>
          <w:rFonts w:ascii="Calibri" w:eastAsia="Times New Roman" w:hAnsi="Calibri" w:cs="Arial"/>
          <w:b/>
          <w:bCs/>
          <w:i/>
          <w:iCs/>
          <w:color w:val="000000"/>
          <w:kern w:val="0"/>
          <w:lang w:val="es-ES_tradnl" w:eastAsia="es-CR"/>
          <w14:ligatures w14:val="none"/>
        </w:rPr>
      </w:pPr>
    </w:p>
    <w:p w14:paraId="4D38D79B" w14:textId="77777777" w:rsidR="00B857F8" w:rsidRPr="00B857F8" w:rsidRDefault="00B857F8" w:rsidP="00B857F8">
      <w:pPr>
        <w:autoSpaceDE w:val="0"/>
        <w:autoSpaceDN w:val="0"/>
        <w:adjustRightInd w:val="0"/>
        <w:spacing w:after="200" w:line="276" w:lineRule="auto"/>
        <w:contextualSpacing/>
        <w:jc w:val="both"/>
        <w:rPr>
          <w:rFonts w:ascii="Calibri" w:eastAsia="Times New Roman" w:hAnsi="Calibri" w:cs="Arial"/>
          <w:b/>
          <w:bCs/>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t>III. Objetivos específicos</w:t>
      </w:r>
    </w:p>
    <w:p w14:paraId="18B43239" w14:textId="77777777" w:rsidR="00B857F8" w:rsidRPr="00B857F8" w:rsidRDefault="00B857F8" w:rsidP="00B857F8">
      <w:pPr>
        <w:widowControl w:val="0"/>
        <w:overflowPunct w:val="0"/>
        <w:autoSpaceDE w:val="0"/>
        <w:autoSpaceDN w:val="0"/>
        <w:adjustRightInd w:val="0"/>
        <w:spacing w:after="0" w:line="240" w:lineRule="auto"/>
        <w:ind w:left="720" w:hanging="720"/>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1. Reconocer y traducir estructuras verbales en los tiempos y modos gramaticales más frecuentes.</w:t>
      </w:r>
    </w:p>
    <w:p w14:paraId="53F7712C" w14:textId="77777777" w:rsidR="00B857F8" w:rsidRPr="00B857F8" w:rsidRDefault="00B857F8" w:rsidP="00B857F8">
      <w:pPr>
        <w:widowControl w:val="0"/>
        <w:overflowPunct w:val="0"/>
        <w:autoSpaceDE w:val="0"/>
        <w:autoSpaceDN w:val="0"/>
        <w:adjustRightInd w:val="0"/>
        <w:spacing w:after="0" w:line="240" w:lineRule="auto"/>
        <w:ind w:left="720" w:hanging="720"/>
        <w:jc w:val="both"/>
        <w:rPr>
          <w:rFonts w:ascii="Calibri" w:eastAsia="Times New Roman" w:hAnsi="Calibri" w:cs="Arial"/>
          <w:color w:val="000000"/>
          <w:kern w:val="0"/>
          <w:lang w:val="es-ES_tradnl" w:eastAsia="es-CR"/>
          <w14:ligatures w14:val="none"/>
        </w:rPr>
      </w:pPr>
    </w:p>
    <w:p w14:paraId="56BD953A" w14:textId="77777777" w:rsidR="00B857F8" w:rsidRPr="00B857F8" w:rsidRDefault="00B857F8" w:rsidP="00B857F8">
      <w:pPr>
        <w:widowControl w:val="0"/>
        <w:overflowPunct w:val="0"/>
        <w:autoSpaceDE w:val="0"/>
        <w:autoSpaceDN w:val="0"/>
        <w:adjustRightInd w:val="0"/>
        <w:spacing w:after="0" w:line="240" w:lineRule="auto"/>
        <w:ind w:left="720" w:hanging="720"/>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2. Dominar el sistema de declinación de los sustantivos.</w:t>
      </w:r>
    </w:p>
    <w:p w14:paraId="4212AFA8" w14:textId="77777777" w:rsidR="00B857F8" w:rsidRPr="00B857F8" w:rsidRDefault="00B857F8" w:rsidP="00B857F8">
      <w:pPr>
        <w:widowControl w:val="0"/>
        <w:overflowPunct w:val="0"/>
        <w:autoSpaceDE w:val="0"/>
        <w:autoSpaceDN w:val="0"/>
        <w:adjustRightInd w:val="0"/>
        <w:spacing w:after="0" w:line="240" w:lineRule="auto"/>
        <w:ind w:left="720" w:hanging="720"/>
        <w:jc w:val="both"/>
        <w:rPr>
          <w:rFonts w:ascii="Calibri" w:eastAsia="Times New Roman" w:hAnsi="Calibri" w:cs="Arial"/>
          <w:color w:val="000000"/>
          <w:kern w:val="0"/>
          <w:lang w:val="es-ES_tradnl" w:eastAsia="es-CR"/>
          <w14:ligatures w14:val="none"/>
        </w:rPr>
      </w:pPr>
    </w:p>
    <w:p w14:paraId="61E994D9" w14:textId="77777777" w:rsidR="00B857F8" w:rsidRPr="00B857F8" w:rsidRDefault="00B857F8" w:rsidP="00B857F8">
      <w:pPr>
        <w:widowControl w:val="0"/>
        <w:overflowPunct w:val="0"/>
        <w:autoSpaceDE w:val="0"/>
        <w:autoSpaceDN w:val="0"/>
        <w:adjustRightInd w:val="0"/>
        <w:spacing w:after="0" w:line="240" w:lineRule="auto"/>
        <w:ind w:left="720" w:hanging="720"/>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3. Comprender un vocabulario básico y desarrollar destreza en la traducción de textos.</w:t>
      </w:r>
    </w:p>
    <w:p w14:paraId="59003A59" w14:textId="77777777" w:rsidR="00B857F8" w:rsidRPr="00B857F8" w:rsidRDefault="00B857F8" w:rsidP="00B857F8">
      <w:pPr>
        <w:widowControl w:val="0"/>
        <w:overflowPunct w:val="0"/>
        <w:autoSpaceDE w:val="0"/>
        <w:autoSpaceDN w:val="0"/>
        <w:adjustRightInd w:val="0"/>
        <w:spacing w:after="0" w:line="240" w:lineRule="auto"/>
        <w:ind w:left="720" w:hanging="720"/>
        <w:jc w:val="both"/>
        <w:rPr>
          <w:rFonts w:ascii="Calibri" w:eastAsia="Times New Roman" w:hAnsi="Calibri" w:cs="Arial"/>
          <w:color w:val="000000"/>
          <w:kern w:val="0"/>
          <w:lang w:val="es-ES_tradnl" w:eastAsia="es-CR"/>
          <w14:ligatures w14:val="none"/>
        </w:rPr>
      </w:pPr>
    </w:p>
    <w:p w14:paraId="78CB4949" w14:textId="77777777" w:rsidR="00B857F8" w:rsidRPr="00B857F8" w:rsidRDefault="00B857F8" w:rsidP="00B857F8">
      <w:pPr>
        <w:widowControl w:val="0"/>
        <w:overflowPunct w:val="0"/>
        <w:autoSpaceDE w:val="0"/>
        <w:autoSpaceDN w:val="0"/>
        <w:adjustRightInd w:val="0"/>
        <w:spacing w:after="0" w:line="240" w:lineRule="auto"/>
        <w:ind w:left="720" w:hanging="720"/>
        <w:jc w:val="both"/>
        <w:rPr>
          <w:rFonts w:ascii="Calibri" w:eastAsia="Times New Roman" w:hAnsi="Calibri" w:cs="Arial"/>
          <w:b/>
          <w:bCs/>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t xml:space="preserve">IV. Contenidos   </w:t>
      </w:r>
    </w:p>
    <w:p w14:paraId="29C7775F" w14:textId="77777777" w:rsidR="00B857F8" w:rsidRPr="00B857F8" w:rsidRDefault="00B857F8" w:rsidP="00B857F8">
      <w:pPr>
        <w:widowControl w:val="0"/>
        <w:overflowPunct w:val="0"/>
        <w:autoSpaceDE w:val="0"/>
        <w:autoSpaceDN w:val="0"/>
        <w:adjustRightInd w:val="0"/>
        <w:spacing w:after="0" w:line="240" w:lineRule="auto"/>
        <w:ind w:left="720" w:hanging="720"/>
        <w:jc w:val="both"/>
        <w:rPr>
          <w:rFonts w:ascii="Calibri" w:eastAsia="Times New Roman" w:hAnsi="Calibri" w:cs="Arial"/>
          <w:b/>
          <w:bCs/>
          <w:color w:val="000000"/>
          <w:kern w:val="0"/>
          <w:lang w:val="es-ES_tradnl" w:eastAsia="es-CR"/>
          <w14:ligatures w14:val="none"/>
        </w:rPr>
      </w:pPr>
    </w:p>
    <w:p w14:paraId="643B491B" w14:textId="77777777" w:rsidR="00B857F8" w:rsidRPr="00B857F8" w:rsidRDefault="00B857F8" w:rsidP="00B857F8">
      <w:pPr>
        <w:widowControl w:val="0"/>
        <w:overflowPunct w:val="0"/>
        <w:autoSpaceDE w:val="0"/>
        <w:autoSpaceDN w:val="0"/>
        <w:adjustRightInd w:val="0"/>
        <w:spacing w:after="0" w:line="240" w:lineRule="auto"/>
        <w:ind w:left="720" w:hanging="720"/>
        <w:jc w:val="both"/>
        <w:rPr>
          <w:rFonts w:ascii="Calibri" w:eastAsia="Times New Roman" w:hAnsi="Calibri" w:cs="Arial"/>
          <w:color w:val="000000"/>
          <w:kern w:val="0"/>
          <w:lang w:val="es-ES_tradnl" w:eastAsia="es-CR"/>
          <w14:ligatures w14:val="none"/>
        </w:rPr>
      </w:pPr>
      <w:r w:rsidRPr="00B857F8">
        <w:rPr>
          <w:rFonts w:ascii="Calibri" w:eastAsia="Times" w:hAnsi="Calibri" w:cs="Arial"/>
          <w:b/>
          <w:bCs/>
          <w:color w:val="000000"/>
          <w:kern w:val="0"/>
          <w:lang w:val="es-ES_tradnl" w:eastAsia="es-CR"/>
          <w14:ligatures w14:val="none"/>
        </w:rPr>
        <w:t>Unidad 1: Pronunciación, escritura, alfabeto</w:t>
      </w:r>
    </w:p>
    <w:p w14:paraId="51708998"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1.1 Pronunciación, escritura, alfabeto</w:t>
      </w:r>
    </w:p>
    <w:p w14:paraId="655B5E90"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1.2 Tiempo presente del verbo Nominativo y acusativo de 2da declinación; Concordancia</w:t>
      </w:r>
    </w:p>
    <w:p w14:paraId="7D47AC0D"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w:hAnsi="Calibri" w:cs="Times New Roman"/>
          <w:kern w:val="0"/>
          <w:sz w:val="2"/>
          <w:szCs w:val="2"/>
          <w:lang w:val="es-ES_tradnl" w:eastAsia="es-CR"/>
          <w14:ligatures w14:val="none"/>
        </w:rPr>
      </w:pPr>
    </w:p>
    <w:p w14:paraId="41A06496"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w:hAnsi="Calibri" w:cs="Times New Roman"/>
          <w:kern w:val="0"/>
          <w:lang w:val="es-ES_tradnl" w:eastAsia="es-CR"/>
          <w14:ligatures w14:val="none"/>
        </w:rPr>
      </w:pPr>
      <w:r w:rsidRPr="00B857F8">
        <w:rPr>
          <w:rFonts w:ascii="Calibri" w:eastAsia="Times" w:hAnsi="Calibri" w:cs="Arial"/>
          <w:b/>
          <w:bCs/>
          <w:color w:val="000000"/>
          <w:kern w:val="0"/>
          <w:lang w:val="es-ES_tradnl" w:eastAsia="es-CR"/>
          <w14:ligatures w14:val="none"/>
        </w:rPr>
        <w:t xml:space="preserve">Unidad 2: </w:t>
      </w:r>
      <w:r w:rsidRPr="00B857F8">
        <w:rPr>
          <w:rFonts w:ascii="Calibri" w:eastAsia="Times New Roman" w:hAnsi="Calibri" w:cs="Arial"/>
          <w:b/>
          <w:bCs/>
          <w:color w:val="000000"/>
          <w:kern w:val="0"/>
          <w:lang w:val="es-ES_tradnl" w:eastAsia="es-CR"/>
          <w14:ligatures w14:val="none"/>
        </w:rPr>
        <w:t>Declinación de sustantivos, adjetivos y pronombres</w:t>
      </w:r>
    </w:p>
    <w:p w14:paraId="413F9DB1"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2.1 Genitivo, dativo y vocativo de 2da declinación; Posición atributiva del adjetivo</w:t>
      </w:r>
    </w:p>
    <w:p w14:paraId="409168EA"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 w:eastAsia="es-CR"/>
          <w14:ligatures w14:val="none"/>
        </w:rPr>
      </w:pPr>
      <w:r w:rsidRPr="00B857F8">
        <w:rPr>
          <w:rFonts w:ascii="Calibri" w:eastAsia="Times" w:hAnsi="Calibri" w:cs="Times New Roman"/>
          <w:kern w:val="0"/>
          <w:lang w:val="es-ES" w:eastAsia="es-CR"/>
          <w14:ligatures w14:val="none"/>
        </w:rPr>
        <w:t xml:space="preserve">2.2 El Verbo </w:t>
      </w:r>
      <w:proofErr w:type="spellStart"/>
      <w:r w:rsidRPr="00B857F8">
        <w:rPr>
          <w:rFonts w:ascii="Calibri" w:eastAsia="Times" w:hAnsi="Calibri" w:cs="Times New Roman"/>
          <w:kern w:val="0"/>
          <w:lang w:val="es-ES" w:eastAsia="es-CR"/>
          <w14:ligatures w14:val="none"/>
        </w:rPr>
        <w:t>eimi</w:t>
      </w:r>
      <w:proofErr w:type="spellEnd"/>
      <w:r w:rsidRPr="00B857F8">
        <w:rPr>
          <w:rFonts w:ascii="Calibri" w:eastAsia="Times" w:hAnsi="Calibri" w:cs="Times New Roman"/>
          <w:kern w:val="0"/>
          <w:lang w:val="es-ES" w:eastAsia="es-CR"/>
          <w14:ligatures w14:val="none"/>
        </w:rPr>
        <w:t xml:space="preserve"> Oraciones atributivas; Posición predicativa del adjetivo</w:t>
      </w:r>
    </w:p>
    <w:p w14:paraId="2572BC24"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 w:eastAsia="es-CR"/>
          <w14:ligatures w14:val="none"/>
        </w:rPr>
      </w:pPr>
      <w:r w:rsidRPr="00B857F8">
        <w:rPr>
          <w:rFonts w:ascii="Calibri" w:eastAsia="Times" w:hAnsi="Calibri" w:cs="Times New Roman"/>
          <w:kern w:val="0"/>
          <w:lang w:val="es-ES" w:eastAsia="es-CR"/>
          <w14:ligatures w14:val="none"/>
        </w:rPr>
        <w:t xml:space="preserve">2.3 El pronombre interrogativo </w:t>
      </w:r>
      <w:proofErr w:type="spellStart"/>
      <w:r w:rsidRPr="00B857F8">
        <w:rPr>
          <w:rFonts w:ascii="Calibri" w:eastAsia="Times" w:hAnsi="Calibri" w:cs="Times New Roman"/>
          <w:kern w:val="0"/>
          <w:lang w:val="es-ES" w:eastAsia="es-CR"/>
          <w14:ligatures w14:val="none"/>
        </w:rPr>
        <w:t>tis</w:t>
      </w:r>
      <w:proofErr w:type="spellEnd"/>
      <w:r w:rsidRPr="00B857F8">
        <w:rPr>
          <w:rFonts w:ascii="Calibri" w:eastAsia="Times" w:hAnsi="Calibri" w:cs="Times New Roman"/>
          <w:kern w:val="0"/>
          <w:lang w:val="es-ES" w:eastAsia="es-CR"/>
          <w14:ligatures w14:val="none"/>
        </w:rPr>
        <w:t>, tinos</w:t>
      </w:r>
    </w:p>
    <w:p w14:paraId="3DA87078"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2.4 Primer examen escrito</w:t>
      </w:r>
    </w:p>
    <w:p w14:paraId="01EF78B3"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w:hAnsi="Calibri" w:cs="Times New Roman"/>
          <w:kern w:val="0"/>
          <w:sz w:val="2"/>
          <w:szCs w:val="2"/>
          <w:lang w:val="es-ES_tradnl" w:eastAsia="es-CR"/>
          <w14:ligatures w14:val="none"/>
        </w:rPr>
      </w:pPr>
    </w:p>
    <w:p w14:paraId="5AF61AFB"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w:hAnsi="Calibri" w:cs="Times New Roman"/>
          <w:kern w:val="0"/>
          <w:lang w:val="es-ES_tradnl" w:eastAsia="es-CR"/>
          <w14:ligatures w14:val="none"/>
        </w:rPr>
      </w:pPr>
      <w:r w:rsidRPr="00B857F8">
        <w:rPr>
          <w:rFonts w:ascii="Calibri" w:eastAsia="Times" w:hAnsi="Calibri" w:cs="Arial"/>
          <w:b/>
          <w:bCs/>
          <w:color w:val="000000"/>
          <w:kern w:val="0"/>
          <w:lang w:val="es-ES_tradnl" w:eastAsia="es-CR"/>
          <w14:ligatures w14:val="none"/>
        </w:rPr>
        <w:t xml:space="preserve">Unidad 3: </w:t>
      </w:r>
      <w:r w:rsidRPr="00B857F8">
        <w:rPr>
          <w:rFonts w:ascii="Calibri" w:eastAsia="Times New Roman" w:hAnsi="Calibri" w:cs="Arial"/>
          <w:b/>
          <w:bCs/>
          <w:color w:val="000000"/>
          <w:kern w:val="0"/>
          <w:lang w:val="es-ES_tradnl" w:eastAsia="es-CR"/>
          <w14:ligatures w14:val="none"/>
        </w:rPr>
        <w:t>Tiempos verbales: presente, imperfecto, aoristo y futuro de verbos comunes</w:t>
      </w:r>
    </w:p>
    <w:p w14:paraId="2E75F29E"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3.1 Modo imperativo del presente; El infinitivo presente; El sujeto del infinitivo</w:t>
      </w:r>
    </w:p>
    <w:p w14:paraId="7DE9634C"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3.2 Tiempo imperfecto; Género Neutro de 2da declinación</w:t>
      </w:r>
    </w:p>
    <w:p w14:paraId="7D935AE2"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3.3 1era declinación; El pronombre autos; Complemento directo en genitivo; Complemento circunstancial de tiempo en caso acusativo</w:t>
      </w:r>
    </w:p>
    <w:p w14:paraId="19128F1C"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3.4 Tiempo futuro; Distinción entre el sujeto y atributo; El adjetivo neutro sustantivado; El concepto de adjetivo</w:t>
      </w:r>
    </w:p>
    <w:p w14:paraId="7808D426"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3.5 Tiempo aoristo; Partes fundamentales del verbo: Los pronombres personales</w:t>
      </w:r>
    </w:p>
    <w:p w14:paraId="05BFB1BD" w14:textId="77777777" w:rsidR="00B857F8" w:rsidRPr="00B857F8" w:rsidRDefault="00B857F8" w:rsidP="00B857F8">
      <w:pPr>
        <w:widowControl w:val="0"/>
        <w:overflowPunct w:val="0"/>
        <w:autoSpaceDE w:val="0"/>
        <w:autoSpaceDN w:val="0"/>
        <w:adjustRightInd w:val="0"/>
        <w:spacing w:before="120" w:after="0" w:line="240" w:lineRule="auto"/>
        <w:rPr>
          <w:rFonts w:ascii="Calibri" w:eastAsia="Times" w:hAnsi="Calibri" w:cs="Times New Roman"/>
          <w:kern w:val="0"/>
          <w:sz w:val="2"/>
          <w:szCs w:val="2"/>
          <w:lang w:val="es-ES_tradnl" w:eastAsia="es-CR"/>
          <w14:ligatures w14:val="none"/>
        </w:rPr>
      </w:pPr>
    </w:p>
    <w:p w14:paraId="261263EC"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w:hAnsi="Calibri" w:cs="Times New Roman"/>
          <w:kern w:val="0"/>
          <w:lang w:val="es-ES_tradnl" w:eastAsia="es-CR"/>
          <w14:ligatures w14:val="none"/>
        </w:rPr>
      </w:pPr>
      <w:r w:rsidRPr="00B857F8">
        <w:rPr>
          <w:rFonts w:ascii="Calibri" w:eastAsia="Times" w:hAnsi="Calibri" w:cs="Arial"/>
          <w:b/>
          <w:bCs/>
          <w:color w:val="000000"/>
          <w:kern w:val="0"/>
          <w:lang w:val="es-ES_tradnl" w:eastAsia="es-CR"/>
          <w14:ligatures w14:val="none"/>
        </w:rPr>
        <w:t xml:space="preserve">Unidad 4: </w:t>
      </w:r>
      <w:r w:rsidRPr="00B857F8">
        <w:rPr>
          <w:rFonts w:ascii="Calibri" w:eastAsia="Times New Roman" w:hAnsi="Calibri" w:cs="Arial"/>
          <w:b/>
          <w:bCs/>
          <w:color w:val="000000"/>
          <w:kern w:val="0"/>
          <w:lang w:val="es-ES_tradnl" w:eastAsia="es-CR"/>
          <w14:ligatures w14:val="none"/>
        </w:rPr>
        <w:t>Estructuras sintácticas básicas</w:t>
      </w:r>
    </w:p>
    <w:p w14:paraId="2A901A6B"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4.1 Modos infinitivo e imperativo del aoristo</w:t>
      </w:r>
    </w:p>
    <w:p w14:paraId="755251DC"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4.2 Verbos en -mi</w:t>
      </w:r>
    </w:p>
    <w:p w14:paraId="721B60B3"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4.3 Repaso y examen de lectura</w:t>
      </w:r>
    </w:p>
    <w:p w14:paraId="1F59B5EE" w14:textId="77777777" w:rsidR="00B857F8" w:rsidRPr="00B857F8" w:rsidRDefault="00B857F8" w:rsidP="008F0608">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B857F8">
        <w:rPr>
          <w:rFonts w:ascii="Calibri" w:eastAsia="Times" w:hAnsi="Calibri" w:cs="Times New Roman"/>
          <w:kern w:val="0"/>
          <w:lang w:val="es-ES_tradnl" w:eastAsia="es-CR"/>
          <w14:ligatures w14:val="none"/>
        </w:rPr>
        <w:t>4.4 Segundo examen escrito y examen de lectura</w:t>
      </w:r>
    </w:p>
    <w:p w14:paraId="4FA52B86" w14:textId="77777777" w:rsidR="00B857F8" w:rsidRPr="00B857F8" w:rsidRDefault="00B857F8" w:rsidP="00B857F8">
      <w:pPr>
        <w:autoSpaceDE w:val="0"/>
        <w:autoSpaceDN w:val="0"/>
        <w:adjustRightInd w:val="0"/>
        <w:spacing w:after="200" w:line="276" w:lineRule="auto"/>
        <w:contextualSpacing/>
        <w:jc w:val="both"/>
        <w:rPr>
          <w:rFonts w:ascii="Calibri" w:eastAsia="Times New Roman" w:hAnsi="Calibri" w:cs="Arial"/>
          <w:b/>
          <w:bCs/>
          <w:color w:val="000000"/>
          <w:kern w:val="0"/>
          <w:lang w:val="es-ES_tradnl" w:eastAsia="es-CR"/>
          <w14:ligatures w14:val="none"/>
        </w:rPr>
      </w:pPr>
    </w:p>
    <w:p w14:paraId="0E839923" w14:textId="77777777" w:rsidR="00B857F8" w:rsidRPr="00B857F8" w:rsidRDefault="00B857F8" w:rsidP="00B857F8">
      <w:pPr>
        <w:autoSpaceDE w:val="0"/>
        <w:autoSpaceDN w:val="0"/>
        <w:adjustRightInd w:val="0"/>
        <w:spacing w:after="200" w:line="276" w:lineRule="auto"/>
        <w:contextualSpacing/>
        <w:jc w:val="both"/>
        <w:rPr>
          <w:rFonts w:ascii="Calibri" w:eastAsia="Times New Roman" w:hAnsi="Calibri" w:cs="Arial"/>
          <w:b/>
          <w:bCs/>
          <w:color w:val="00B05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t>V</w:t>
      </w:r>
      <w:r w:rsidRPr="00B857F8">
        <w:rPr>
          <w:rFonts w:ascii="Calibri" w:eastAsia="Times New Roman" w:hAnsi="Calibri" w:cs="Arial"/>
          <w:b/>
          <w:bCs/>
          <w:kern w:val="0"/>
          <w:lang w:val="es-ES_tradnl" w:eastAsia="es-CR"/>
          <w14:ligatures w14:val="none"/>
        </w:rPr>
        <w:t>.</w:t>
      </w:r>
      <w:r w:rsidRPr="00B857F8">
        <w:rPr>
          <w:rFonts w:ascii="Calibri" w:eastAsia="Times New Roman" w:hAnsi="Calibri" w:cs="Arial"/>
          <w:b/>
          <w:bCs/>
          <w:color w:val="00B050"/>
          <w:kern w:val="0"/>
          <w:lang w:val="es-ES_tradnl" w:eastAsia="es-CR"/>
          <w14:ligatures w14:val="none"/>
        </w:rPr>
        <w:t xml:space="preserve"> </w:t>
      </w:r>
      <w:r w:rsidRPr="00B857F8">
        <w:rPr>
          <w:rFonts w:ascii="Calibri" w:eastAsia="Times New Roman" w:hAnsi="Calibri" w:cs="Arial"/>
          <w:b/>
          <w:bCs/>
          <w:kern w:val="0"/>
          <w:lang w:val="es-ES_tradnl" w:eastAsia="es-CR"/>
          <w14:ligatures w14:val="none"/>
        </w:rPr>
        <w:t>Metodología</w:t>
      </w:r>
    </w:p>
    <w:p w14:paraId="699684F1" w14:textId="77777777" w:rsidR="00B857F8" w:rsidRPr="00B857F8" w:rsidRDefault="00B857F8" w:rsidP="00B857F8">
      <w:pPr>
        <w:autoSpaceDE w:val="0"/>
        <w:autoSpaceDN w:val="0"/>
        <w:adjustRightInd w:val="0"/>
        <w:spacing w:after="200" w:line="276" w:lineRule="auto"/>
        <w:contextualSpacing/>
        <w:jc w:val="both"/>
        <w:rPr>
          <w:rFonts w:ascii="Calibri" w:eastAsia="Times New Roman" w:hAnsi="Calibri" w:cs="Arial"/>
          <w:kern w:val="0"/>
          <w:lang w:val="es-ES_tradnl" w:eastAsia="es-CR"/>
          <w14:ligatures w14:val="none"/>
        </w:rPr>
      </w:pPr>
    </w:p>
    <w:p w14:paraId="4E76F85A" w14:textId="77777777" w:rsidR="00B857F8" w:rsidRPr="00B857F8" w:rsidRDefault="00B857F8" w:rsidP="00B857F8">
      <w:pPr>
        <w:autoSpaceDE w:val="0"/>
        <w:autoSpaceDN w:val="0"/>
        <w:adjustRightInd w:val="0"/>
        <w:spacing w:after="200" w:line="240" w:lineRule="auto"/>
        <w:contextualSpacing/>
        <w:jc w:val="both"/>
        <w:rPr>
          <w:rFonts w:ascii="Calibri" w:eastAsia="Times New Roman" w:hAnsi="Calibri" w:cs="Arial"/>
          <w:kern w:val="0"/>
          <w:lang w:val="es-ES" w:eastAsia="es-CR"/>
          <w14:ligatures w14:val="none"/>
        </w:rPr>
      </w:pPr>
      <w:r w:rsidRPr="00B857F8">
        <w:rPr>
          <w:rFonts w:ascii="Calibri" w:eastAsia="Times New Roman" w:hAnsi="Calibri" w:cs="Arial"/>
          <w:kern w:val="0"/>
          <w:lang w:val="es-ES" w:eastAsia="es-CR"/>
          <w14:ligatures w14:val="none"/>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w:t>
      </w:r>
      <w:r w:rsidRPr="00B857F8">
        <w:rPr>
          <w:rFonts w:ascii="Calibri" w:eastAsia="Times New Roman" w:hAnsi="Calibri" w:cs="Arial"/>
          <w:kern w:val="0"/>
          <w:lang w:val="es-ES" w:eastAsia="es-CR"/>
          <w14:ligatures w14:val="none"/>
        </w:rPr>
        <w:lastRenderedPageBreak/>
        <w:t>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452276A0" w14:textId="77777777" w:rsidR="00B857F8" w:rsidRPr="00B857F8" w:rsidRDefault="00B857F8" w:rsidP="00B857F8">
      <w:pPr>
        <w:autoSpaceDE w:val="0"/>
        <w:autoSpaceDN w:val="0"/>
        <w:adjustRightInd w:val="0"/>
        <w:spacing w:after="200" w:line="276" w:lineRule="auto"/>
        <w:contextualSpacing/>
        <w:jc w:val="both"/>
        <w:rPr>
          <w:rFonts w:ascii="Calibri" w:eastAsia="Times New Roman" w:hAnsi="Calibri" w:cs="Arial"/>
          <w:kern w:val="0"/>
          <w:lang w:val="es-ES_tradnl" w:eastAsia="es-CR"/>
          <w14:ligatures w14:val="none"/>
        </w:rPr>
      </w:pPr>
    </w:p>
    <w:p w14:paraId="562DC179" w14:textId="77777777" w:rsidR="00B857F8" w:rsidRPr="00B857F8" w:rsidRDefault="00B857F8" w:rsidP="00B857F8">
      <w:pPr>
        <w:autoSpaceDE w:val="0"/>
        <w:autoSpaceDN w:val="0"/>
        <w:adjustRightInd w:val="0"/>
        <w:spacing w:after="200" w:line="240" w:lineRule="auto"/>
        <w:contextualSpacing/>
        <w:jc w:val="both"/>
        <w:rPr>
          <w:rFonts w:ascii="Calibri" w:eastAsia="Times New Roman" w:hAnsi="Calibri" w:cs="Arial"/>
          <w:color w:val="000000"/>
          <w:kern w:val="0"/>
          <w:lang w:val="es-ES" w:eastAsia="es-CR"/>
          <w14:ligatures w14:val="none"/>
        </w:rPr>
      </w:pPr>
      <w:r w:rsidRPr="00B857F8">
        <w:rPr>
          <w:rFonts w:ascii="Calibri" w:eastAsia="Times New Roman" w:hAnsi="Calibri" w:cs="Arial"/>
          <w:color w:val="000000"/>
          <w:kern w:val="0"/>
          <w:lang w:val="es-ES" w:eastAsia="es-CR"/>
          <w14:ligatures w14:val="none"/>
        </w:rPr>
        <w:t xml:space="preserve">Este curso teórico-práctico está diseñado, por un lado, para aportar elementos fundamentales de vocabulario, sintaxis y ortografía del griego del Nuevo Testamento y, por el otro, para ejercitar la práctica de traducción de textos del Nuevo Testamento. El texto programado </w:t>
      </w:r>
      <w:r w:rsidRPr="00B857F8">
        <w:rPr>
          <w:rFonts w:ascii="Calibri" w:eastAsia="Times New Roman" w:hAnsi="Calibri" w:cs="Arial"/>
          <w:i/>
          <w:iCs/>
          <w:color w:val="000000"/>
          <w:kern w:val="0"/>
          <w:lang w:val="es-ES" w:eastAsia="es-CR"/>
          <w14:ligatures w14:val="none"/>
        </w:rPr>
        <w:t>El Griego del Nuevo Testamento</w:t>
      </w:r>
      <w:r w:rsidRPr="00B857F8">
        <w:rPr>
          <w:rFonts w:ascii="Calibri" w:eastAsia="Times New Roman" w:hAnsi="Calibri" w:cs="Arial"/>
          <w:color w:val="000000"/>
          <w:kern w:val="0"/>
          <w:lang w:val="es-ES" w:eastAsia="es-CR"/>
          <w14:ligatures w14:val="none"/>
        </w:rPr>
        <w:t xml:space="preserve"> que se encuentra en cada una de las sesiones en la plataforma digital ofrece la base para el aprendizaje teórico y la práctica de los y las estudiantes. Un elemento metodológico fundamental serán los encuentros sincrónicos virtuales, en los cuales la persona docente explicará los elementos centrales de la sintaxis y la gramática, aspectos necesarios para las prácticas, ejercicios de traducción y pruebas que se realizarán durante el curso.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Las pruebas cortas y los ejercicios de traducción, tanto escritos como de lectura, aportarán a la comprensión acumulativa de los contenidos, con el fin de manejar las competencias necesarias para la traducción. La persona docente aportará insumos fundamentales, orientará procesos de práctica y comprensión a través de la plataforma virtual. Los y las estudiantes se mantendrán al día con las lecturas teóricas, las tareas y los ejercicios asignados.</w:t>
      </w:r>
    </w:p>
    <w:p w14:paraId="346427A2" w14:textId="77777777" w:rsidR="00B857F8" w:rsidRPr="00B857F8" w:rsidRDefault="00B857F8" w:rsidP="00B857F8">
      <w:pPr>
        <w:autoSpaceDE w:val="0"/>
        <w:autoSpaceDN w:val="0"/>
        <w:adjustRightInd w:val="0"/>
        <w:spacing w:after="200" w:line="276" w:lineRule="auto"/>
        <w:contextualSpacing/>
        <w:jc w:val="both"/>
        <w:rPr>
          <w:rFonts w:ascii="Calibri" w:eastAsia="Times New Roman" w:hAnsi="Calibri" w:cs="Arial"/>
          <w:color w:val="000000"/>
          <w:kern w:val="0"/>
          <w:lang w:val="es-ES_tradnl" w:eastAsia="es-CR"/>
          <w14:ligatures w14:val="none"/>
        </w:rPr>
      </w:pPr>
    </w:p>
    <w:p w14:paraId="0151422E" w14:textId="77777777" w:rsidR="00B857F8" w:rsidRPr="00B857F8" w:rsidRDefault="00B857F8" w:rsidP="00B857F8">
      <w:pPr>
        <w:autoSpaceDE w:val="0"/>
        <w:autoSpaceDN w:val="0"/>
        <w:adjustRightInd w:val="0"/>
        <w:spacing w:after="200" w:line="276" w:lineRule="auto"/>
        <w:contextualSpacing/>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t xml:space="preserve">VI. Estrategias de aprendizaje </w:t>
      </w:r>
    </w:p>
    <w:p w14:paraId="25648766"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8"/>
          <w:szCs w:val="8"/>
          <w:lang w:val="es-ES_tradnl" w:eastAsia="es-CR"/>
          <w14:ligatures w14:val="none"/>
        </w:rPr>
      </w:pPr>
    </w:p>
    <w:p w14:paraId="1CAB1FBC"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 xml:space="preserve">La capacidad de manejo de los elementos fundamentales del griego del Nuevo Testamento se desarrollará por medio de la realización de prácticas y ejercicios individuales, memorización de vocabulario y aplicación de las reglas de ortografía y sintaxis.  </w:t>
      </w:r>
    </w:p>
    <w:p w14:paraId="6BED3FCE"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Se utilizan las siguientes estrategias de aprendizaje:</w:t>
      </w:r>
    </w:p>
    <w:p w14:paraId="07B5B57E"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ES"/>
          <w14:ligatures w14:val="none"/>
        </w:rPr>
      </w:pPr>
      <w:r w:rsidRPr="00B857F8">
        <w:rPr>
          <w:rFonts w:ascii="Calibri" w:eastAsia="Times New Roman" w:hAnsi="Calibri" w:cs="Arial"/>
          <w:b/>
          <w:bCs/>
          <w:color w:val="000000"/>
          <w:kern w:val="0"/>
          <w:lang w:val="es-ES_tradnl" w:eastAsia="es-CR"/>
          <w14:ligatures w14:val="none"/>
        </w:rPr>
        <w:t>a) Encuentro sincrónico virtual:</w:t>
      </w:r>
      <w:r w:rsidRPr="00B857F8">
        <w:rPr>
          <w:rFonts w:ascii="Calibri" w:eastAsia="Times New Roman" w:hAnsi="Calibri" w:cs="Arial"/>
          <w:color w:val="000000"/>
          <w:kern w:val="0"/>
          <w:lang w:val="es-ES_tradnl" w:eastAsia="es-CR"/>
          <w14:ligatures w14:val="none"/>
        </w:rPr>
        <w:t xml:space="preserve"> </w:t>
      </w:r>
      <w:r w:rsidRPr="00B857F8">
        <w:rPr>
          <w:rFonts w:ascii="Calibri" w:eastAsia="Times New Roman" w:hAnsi="Calibri" w:cs="Arial"/>
          <w:color w:val="000000"/>
          <w:kern w:val="0"/>
          <w:lang w:val="es-ES_tradnl" w:eastAsia="es-ES"/>
          <w14:ligatures w14:val="none"/>
        </w:rPr>
        <w:t xml:space="preserve">Los encuentros sincrónicos virtuales tienen valor formativo. Son de particular importancia en este curso ya que en ellos se explicarán los insumos de la sesión y se aclararán dudas sobre los aspectos gramaticales y de traducción. Además, se realizarán ejercicios y traducciones orales. En este curso se realizan en las sesiones </w:t>
      </w:r>
      <w:r w:rsidRPr="00B857F8">
        <w:rPr>
          <w:rFonts w:ascii="Calibri" w:eastAsia="Times New Roman" w:hAnsi="Calibri" w:cs="Arial"/>
          <w:color w:val="000000"/>
          <w:kern w:val="0"/>
          <w:lang w:val="es-ES_tradnl" w:eastAsia="es-CR"/>
          <w14:ligatures w14:val="none"/>
        </w:rPr>
        <w:t>1 a la 5 y 7 a la 14.</w:t>
      </w:r>
      <w:r w:rsidRPr="00B857F8">
        <w:rPr>
          <w:rFonts w:ascii="Calibri" w:eastAsia="Times New Roman" w:hAnsi="Calibri" w:cs="Arial"/>
          <w:color w:val="000000"/>
          <w:kern w:val="0"/>
          <w:lang w:val="es-ES_tradnl" w:eastAsia="es-ES"/>
          <w14:ligatures w14:val="none"/>
        </w:rPr>
        <w:t xml:space="preserve"> </w:t>
      </w:r>
    </w:p>
    <w:p w14:paraId="61005101"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t>b) Foro:</w:t>
      </w:r>
      <w:r w:rsidRPr="00B857F8">
        <w:rPr>
          <w:rFonts w:ascii="Calibri" w:eastAsia="Times New Roman" w:hAnsi="Calibri" w:cs="Arial"/>
          <w:color w:val="000000"/>
          <w:kern w:val="0"/>
          <w:lang w:val="es-ES_tradnl" w:eastAsia="es-CR"/>
          <w14:ligatures w14:val="none"/>
        </w:rPr>
        <w:t xml:space="preserve"> Se realizará un foro temático durante una sesión en el cual los y las estudiantes participarán, luego de observar un video en el encuentro sincrónico virtual sobre la cultura griega y la transformación del idioma a lo largo de los períodos antiguos, dando sus impresiones propias de la lengua presentes en la cultura antigua y moderna que consideren destacadas. Esta estrategia permitirá el intercambio de aportes entre los y las estudiantes y la retroalimentación de la persona docente.</w:t>
      </w:r>
    </w:p>
    <w:p w14:paraId="64306FF9"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B857F8">
        <w:rPr>
          <w:rFonts w:ascii="Calibri" w:eastAsia="Times New Roman" w:hAnsi="Calibri" w:cs="Arial"/>
          <w:b/>
          <w:bCs/>
          <w:color w:val="000000"/>
          <w:kern w:val="0"/>
          <w:lang w:val="es-ES" w:eastAsia="es-CR"/>
          <w14:ligatures w14:val="none"/>
        </w:rPr>
        <w:t xml:space="preserve">c) Práctica: </w:t>
      </w:r>
      <w:r w:rsidRPr="00B857F8">
        <w:rPr>
          <w:rFonts w:ascii="Calibri" w:eastAsia="Times New Roman" w:hAnsi="Calibri" w:cs="Arial"/>
          <w:color w:val="000000"/>
          <w:kern w:val="0"/>
          <w:lang w:val="es-ES" w:eastAsia="es-CR"/>
          <w14:ligatures w14:val="none"/>
        </w:rPr>
        <w:t xml:space="preserve">Durante el curso se utiliza un texto base de estudio programado donde los estudiantes podrán practicar en cada sesión realizando ejercicios sobre los temas estudiados. Estas prácticas no tienen un valor sumativo, ya que su función es permitir la ejercitación permanente de los estudiantes como preparación para realizar las diversas pruebas que se llevan a cabo en diferentes momentos del curso. Además, las personas estudiantes tendrán acceso a las respuestas de dichas </w:t>
      </w:r>
      <w:r w:rsidRPr="00B857F8">
        <w:rPr>
          <w:rFonts w:ascii="Calibri" w:eastAsia="Times New Roman" w:hAnsi="Calibri" w:cs="Arial"/>
          <w:color w:val="000000"/>
          <w:kern w:val="0"/>
          <w:lang w:val="es-ES" w:eastAsia="es-CR"/>
          <w14:ligatures w14:val="none"/>
        </w:rPr>
        <w:lastRenderedPageBreak/>
        <w:t>prácticas a través de un documento digital (propio del texto base de estudio programado) que se alojará en la plataforma virtual, permitiendo así la corroboración de sus respuestas y la corrección de estás cuando sea necesario.</w:t>
      </w:r>
    </w:p>
    <w:p w14:paraId="314490C7"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70C0"/>
          <w:kern w:val="0"/>
          <w:lang w:val="es-ES" w:eastAsia="es-CR"/>
          <w14:ligatures w14:val="none"/>
        </w:rPr>
      </w:pPr>
      <w:r w:rsidRPr="00B857F8">
        <w:rPr>
          <w:rFonts w:ascii="Calibri" w:eastAsia="Times New Roman" w:hAnsi="Calibri" w:cs="Arial"/>
          <w:b/>
          <w:bCs/>
          <w:color w:val="000000"/>
          <w:kern w:val="0"/>
          <w:lang w:val="es-ES" w:eastAsia="es-CR"/>
          <w14:ligatures w14:val="none"/>
        </w:rPr>
        <w:t>d) Prueba corta:</w:t>
      </w:r>
      <w:r w:rsidRPr="00B857F8">
        <w:rPr>
          <w:rFonts w:ascii="Calibri" w:eastAsia="Times New Roman" w:hAnsi="Calibri" w:cs="Arial"/>
          <w:color w:val="000000"/>
          <w:kern w:val="0"/>
          <w:lang w:val="es-ES" w:eastAsia="es-CR"/>
          <w14:ligatures w14:val="none"/>
        </w:rPr>
        <w:t xml:space="preserve"> Las pruebas cortas se realizarán en el aula virtual en las sesiones 2, 8 y 11. Con ellas se pretenderá evaluar tanto el conocimiento de elementos básicos de la gramática como el uso de las herramientas para la traducción (gramática, diccionario, concordancias). </w:t>
      </w:r>
      <w:r w:rsidRPr="00B857F8">
        <w:rPr>
          <w:rFonts w:ascii="Calibri" w:eastAsia="Times New Roman" w:hAnsi="Calibri" w:cs="Arial"/>
          <w:color w:val="0070C0"/>
          <w:kern w:val="0"/>
          <w:lang w:val="es-ES" w:eastAsia="es-CR"/>
          <w14:ligatures w14:val="none"/>
        </w:rPr>
        <w:t>Podrán realizarse con todos los elementos (diccionarios y gramáticas) a mano, sin embargo, cada prueba tiene un tiempo limitado para su resolución. La prueba estará disponible en la herramienta de cuestionario del aula virtual donde la persona estudiante encontrará las preguntas que debe resolver y el tiempo asignado para ello. La herramienta controla el tiempo.</w:t>
      </w:r>
    </w:p>
    <w:p w14:paraId="2E72FCA8"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t>e) Ejercicio de traducción:</w:t>
      </w:r>
      <w:r w:rsidRPr="00B857F8">
        <w:rPr>
          <w:rFonts w:ascii="Calibri" w:eastAsia="Times New Roman" w:hAnsi="Calibri" w:cs="Arial"/>
          <w:color w:val="000000"/>
          <w:kern w:val="0"/>
          <w:lang w:val="es-ES_tradnl" w:eastAsia="es-CR"/>
          <w14:ligatures w14:val="none"/>
        </w:rPr>
        <w:t xml:space="preserve"> Estos ejercicios permitirán que los y las estudiantes hagan una aplicación práctica de lo aprendido en la traducción de textos bíblicos escritos en griego. La persona estudiante deberá descargar el documento del aula virtual, realizar la traducción y entregarlo a la persona docente para su calificación.</w:t>
      </w:r>
    </w:p>
    <w:p w14:paraId="0C53951F" w14:textId="77777777" w:rsidR="00B857F8" w:rsidRPr="001C433D"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70C0"/>
          <w:kern w:val="0"/>
          <w:lang w:val="es-ES" w:eastAsia="es-CR"/>
          <w14:ligatures w14:val="none"/>
        </w:rPr>
      </w:pPr>
      <w:r w:rsidRPr="00B857F8">
        <w:rPr>
          <w:rFonts w:ascii="Calibri" w:eastAsia="Times New Roman" w:hAnsi="Calibri" w:cs="Arial"/>
          <w:b/>
          <w:bCs/>
          <w:color w:val="000000"/>
          <w:kern w:val="0"/>
          <w:lang w:val="es-ES" w:eastAsia="es-CR"/>
          <w14:ligatures w14:val="none"/>
        </w:rPr>
        <w:t>f) Examen escrito:</w:t>
      </w:r>
      <w:r w:rsidRPr="00B857F8">
        <w:rPr>
          <w:rFonts w:ascii="Calibri" w:eastAsia="Times New Roman" w:hAnsi="Calibri" w:cs="Arial"/>
          <w:color w:val="000000"/>
          <w:kern w:val="0"/>
          <w:lang w:val="es-ES" w:eastAsia="es-CR"/>
          <w14:ligatures w14:val="none"/>
        </w:rPr>
        <w:t xml:space="preserve"> Los exámenes escritos valorarán de forma acumulativa los aprendizajes y las competencias desarrolladas a lo largo del curso. Se realizan en el aula virtual en las sesiones 6 y 15. Los exámenes consisten en traducciones que pretenden demostrar el manejo de las herramientas (gramática, diccionario, concordancias). Podrán realizarse con todos los elementos (diccionarios y gramáticas) a mano, pues el interés es demostrar capacidad para el uso de las herramientas. </w:t>
      </w:r>
      <w:r w:rsidRPr="001C433D">
        <w:rPr>
          <w:rFonts w:ascii="Calibri" w:eastAsia="Times New Roman" w:hAnsi="Calibri" w:cs="Arial"/>
          <w:color w:val="0070C0"/>
          <w:kern w:val="0"/>
          <w:lang w:val="es-ES" w:eastAsia="es-CR"/>
          <w14:ligatures w14:val="none"/>
        </w:rPr>
        <w:t xml:space="preserve">La persona estudiante deberá descargar el examen del aula virtual en la fecha estipulada y resolverlo dentro del plazo de tiempo establecido para su entrega. </w:t>
      </w:r>
    </w:p>
    <w:p w14:paraId="7D8C82CD"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t xml:space="preserve">g) Examen de lectura: </w:t>
      </w:r>
      <w:r w:rsidRPr="00B857F8">
        <w:rPr>
          <w:rFonts w:ascii="Calibri" w:eastAsia="Times New Roman" w:hAnsi="Calibri" w:cs="Arial"/>
          <w:color w:val="000000"/>
          <w:kern w:val="0"/>
          <w:lang w:val="es-ES_tradnl" w:eastAsia="es-CR"/>
          <w14:ligatures w14:val="none"/>
        </w:rPr>
        <w:t>El examen de lectura se desarrollará en forma oral sincrónica en las últimas dos sesiones del curso en un encuentro sincrónico virtual convenido entre la persona docente y la persona estudiante. Su finalidad consistirá en corregir, en tiempo real, la pronunciación y la calidad de la lectura del griego koiné.</w:t>
      </w:r>
    </w:p>
    <w:p w14:paraId="1282E9B0"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434BB81D"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4AE30CB2"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t>VII. Recursos didácticos</w:t>
      </w:r>
    </w:p>
    <w:p w14:paraId="036AF28B"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10"/>
          <w:szCs w:val="10"/>
          <w:lang w:val="es-ES_tradnl" w:eastAsia="es-CR"/>
          <w14:ligatures w14:val="none"/>
        </w:rPr>
      </w:pPr>
    </w:p>
    <w:p w14:paraId="38E764DC"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B857F8">
        <w:rPr>
          <w:rFonts w:ascii="Calibri" w:eastAsia="Times New Roman" w:hAnsi="Calibri" w:cs="Arial"/>
          <w:color w:val="000000"/>
          <w:kern w:val="0"/>
          <w:lang w:val="es-ES" w:eastAsia="es-ES"/>
          <w14:ligatures w14:val="none"/>
        </w:rPr>
        <w:t>Para lograr los objetivos del curso, desarrollar los contenidos y la metodología propuesta se hará uso de los siguientes recursos didácticos:</w:t>
      </w:r>
    </w:p>
    <w:p w14:paraId="201525C3"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66567B82"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B857F8">
        <w:rPr>
          <w:rFonts w:ascii="Calibri" w:eastAsia="Times New Roman" w:hAnsi="Calibri" w:cs="Arial"/>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1ECD29FB"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3FD05069"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B857F8">
        <w:rPr>
          <w:rFonts w:ascii="Calibri" w:eastAsia="Times New Roman" w:hAnsi="Calibri" w:cs="Arial"/>
          <w:color w:val="000000"/>
          <w:kern w:val="0"/>
          <w:lang w:val="es-ES" w:eastAsia="es-ES"/>
          <w14:ligatures w14:val="none"/>
        </w:rPr>
        <w:t>b) Lecturas complementarias en algunas de las sesiones que se asignan para su lectura con el fin de ampliar las temáticas gramaticales y exegéticas. Realizar estas lecturas es opcional.</w:t>
      </w:r>
    </w:p>
    <w:p w14:paraId="35A997E6"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46351E88"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B857F8">
        <w:rPr>
          <w:rFonts w:ascii="Calibri" w:eastAsia="Times New Roman" w:hAnsi="Calibri" w:cs="Arial"/>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7EE12849"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1ED37367"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B857F8">
        <w:rPr>
          <w:rFonts w:ascii="Calibri" w:eastAsia="Times New Roman" w:hAnsi="Calibri" w:cs="Arial"/>
          <w:color w:val="000000"/>
          <w:kern w:val="0"/>
          <w:lang w:val="es-ES" w:eastAsia="es-ES"/>
          <w14:ligatures w14:val="none"/>
        </w:rPr>
        <w:lastRenderedPageBreak/>
        <w:t xml:space="preserve">d) En la plataforma virtual también dispondrá de una guía general que se encuentra en el material complementario de la sesión correspondiente para la participación mediante la herramienta Big Blue </w:t>
      </w:r>
      <w:proofErr w:type="spellStart"/>
      <w:r w:rsidRPr="00B857F8">
        <w:rPr>
          <w:rFonts w:ascii="Calibri" w:eastAsia="Times New Roman" w:hAnsi="Calibri" w:cs="Arial"/>
          <w:color w:val="000000"/>
          <w:kern w:val="0"/>
          <w:lang w:val="es-ES" w:eastAsia="es-ES"/>
          <w14:ligatures w14:val="none"/>
        </w:rPr>
        <w:t>Button</w:t>
      </w:r>
      <w:proofErr w:type="spellEnd"/>
      <w:r w:rsidRPr="00B857F8">
        <w:rPr>
          <w:rFonts w:ascii="Calibri" w:eastAsia="Times New Roman" w:hAnsi="Calibri" w:cs="Arial"/>
          <w:color w:val="000000"/>
          <w:kern w:val="0"/>
          <w:lang w:val="es-ES" w:eastAsia="es-ES"/>
          <w14:ligatures w14:val="none"/>
        </w:rPr>
        <w:t xml:space="preserve"> en la plataforma Moodle.</w:t>
      </w:r>
    </w:p>
    <w:p w14:paraId="30FF0C10"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437E8CE4"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B857F8">
        <w:rPr>
          <w:rFonts w:ascii="Calibri" w:eastAsia="Times New Roman" w:hAnsi="Calibri" w:cs="Arial"/>
          <w:color w:val="000000"/>
          <w:kern w:val="0"/>
          <w:lang w:val="es-ES" w:eastAsia="es-ES"/>
          <w14:ligatures w14:val="none"/>
        </w:rPr>
        <w:t xml:space="preserve">e) Se utilizará el texto programado “El griego del Nuevo Testamento”, elaborado por Irene </w:t>
      </w:r>
      <w:proofErr w:type="spellStart"/>
      <w:r w:rsidRPr="00B857F8">
        <w:rPr>
          <w:rFonts w:ascii="Calibri" w:eastAsia="Times New Roman" w:hAnsi="Calibri" w:cs="Arial"/>
          <w:color w:val="000000"/>
          <w:kern w:val="0"/>
          <w:lang w:val="es-ES" w:eastAsia="es-ES"/>
          <w14:ligatures w14:val="none"/>
        </w:rPr>
        <w:t>Foulkes</w:t>
      </w:r>
      <w:proofErr w:type="spellEnd"/>
      <w:r w:rsidRPr="00B857F8">
        <w:rPr>
          <w:rFonts w:ascii="Calibri" w:eastAsia="Times New Roman" w:hAnsi="Calibri" w:cs="Arial"/>
          <w:color w:val="000000"/>
          <w:kern w:val="0"/>
          <w:lang w:val="es-ES" w:eastAsia="es-ES"/>
          <w14:ligatures w14:val="none"/>
        </w:rPr>
        <w:t>, como recurso didáctico fundamental del curso, el cual ofrece material básico para el aprendizaje del griego, junto con vocabulario y ejercicios prácticos.</w:t>
      </w:r>
    </w:p>
    <w:p w14:paraId="68EFE0D1"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55909189"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563C1"/>
          <w:kern w:val="0"/>
          <w:u w:val="single"/>
          <w:lang w:val="es-ES_tradnl" w:eastAsia="es-ES"/>
          <w14:ligatures w14:val="none"/>
        </w:rPr>
      </w:pPr>
      <w:r w:rsidRPr="00B857F8">
        <w:rPr>
          <w:rFonts w:ascii="Calibri" w:eastAsia="Times New Roman" w:hAnsi="Calibri" w:cs="Arial"/>
          <w:color w:val="000000"/>
          <w:kern w:val="0"/>
          <w:lang w:val="es-ES" w:eastAsia="es-ES"/>
          <w14:ligatures w14:val="none"/>
        </w:rPr>
        <w:t>f) Se emplearán Biblias en griego, versiones interlineares, diccionarios, léxicos, gramáticas griegas, estudios de sintaxis y algunas de las más importantes traducciones del Nuevo Testamento al castellano.</w:t>
      </w:r>
    </w:p>
    <w:p w14:paraId="262C05EB"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563C1"/>
          <w:kern w:val="0"/>
          <w:u w:val="single"/>
          <w:lang w:val="es-ES_tradnl" w:eastAsia="es-ES"/>
          <w14:ligatures w14:val="none"/>
        </w:rPr>
      </w:pPr>
    </w:p>
    <w:p w14:paraId="01EBD75A"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eastAsia="es-CR"/>
          <w14:ligatures w14:val="none"/>
        </w:rPr>
      </w:pPr>
      <w:r w:rsidRPr="00B857F8">
        <w:rPr>
          <w:rFonts w:ascii="Calibri" w:eastAsia="Times New Roman" w:hAnsi="Calibri" w:cs="Arial"/>
          <w:kern w:val="0"/>
          <w:lang w:val="es-ES_tradnl" w:eastAsia="es-ES"/>
          <w14:ligatures w14:val="none"/>
        </w:rPr>
        <w:t xml:space="preserve">g) El </w:t>
      </w:r>
      <w:proofErr w:type="spellStart"/>
      <w:r w:rsidRPr="00B857F8">
        <w:rPr>
          <w:rFonts w:ascii="Calibri" w:eastAsia="Times New Roman" w:hAnsi="Calibri" w:cs="Arial"/>
          <w:i/>
          <w:iCs/>
          <w:color w:val="000000"/>
          <w:kern w:val="0"/>
          <w:lang w:eastAsia="es-CR"/>
          <w14:ligatures w14:val="none"/>
        </w:rPr>
        <w:t>Novum</w:t>
      </w:r>
      <w:proofErr w:type="spellEnd"/>
      <w:r w:rsidRPr="00B857F8">
        <w:rPr>
          <w:rFonts w:ascii="Calibri" w:eastAsia="Times New Roman" w:hAnsi="Calibri" w:cs="Arial"/>
          <w:i/>
          <w:iCs/>
          <w:color w:val="000000"/>
          <w:kern w:val="0"/>
          <w:lang w:eastAsia="es-CR"/>
          <w14:ligatures w14:val="none"/>
        </w:rPr>
        <w:t xml:space="preserve"> </w:t>
      </w:r>
      <w:proofErr w:type="spellStart"/>
      <w:r w:rsidRPr="00B857F8">
        <w:rPr>
          <w:rFonts w:ascii="Calibri" w:eastAsia="Times New Roman" w:hAnsi="Calibri" w:cs="Arial"/>
          <w:i/>
          <w:iCs/>
          <w:color w:val="000000"/>
          <w:kern w:val="0"/>
          <w:lang w:eastAsia="es-CR"/>
          <w14:ligatures w14:val="none"/>
        </w:rPr>
        <w:t>Testamentum</w:t>
      </w:r>
      <w:proofErr w:type="spellEnd"/>
      <w:r w:rsidRPr="00B857F8">
        <w:rPr>
          <w:rFonts w:ascii="Calibri" w:eastAsia="Times New Roman" w:hAnsi="Calibri" w:cs="Arial"/>
          <w:i/>
          <w:iCs/>
          <w:color w:val="000000"/>
          <w:kern w:val="0"/>
          <w:lang w:eastAsia="es-CR"/>
          <w14:ligatures w14:val="none"/>
        </w:rPr>
        <w:t xml:space="preserve"> </w:t>
      </w:r>
      <w:proofErr w:type="spellStart"/>
      <w:r w:rsidRPr="00B857F8">
        <w:rPr>
          <w:rFonts w:ascii="Calibri" w:eastAsia="Times New Roman" w:hAnsi="Calibri" w:cs="Arial"/>
          <w:i/>
          <w:iCs/>
          <w:color w:val="000000"/>
          <w:kern w:val="0"/>
          <w:lang w:eastAsia="es-CR"/>
          <w14:ligatures w14:val="none"/>
        </w:rPr>
        <w:t>Graece</w:t>
      </w:r>
      <w:proofErr w:type="spellEnd"/>
      <w:r w:rsidRPr="00B857F8">
        <w:rPr>
          <w:rFonts w:ascii="Calibri" w:eastAsia="Times New Roman" w:hAnsi="Calibri" w:cs="Arial"/>
          <w:i/>
          <w:iCs/>
          <w:color w:val="000000"/>
          <w:kern w:val="0"/>
          <w:lang w:eastAsia="es-CR"/>
          <w14:ligatures w14:val="none"/>
        </w:rPr>
        <w:t xml:space="preserve"> </w:t>
      </w:r>
      <w:r w:rsidRPr="00B857F8">
        <w:rPr>
          <w:rFonts w:ascii="Calibri" w:eastAsia="Times New Roman" w:hAnsi="Calibri" w:cs="Arial"/>
          <w:color w:val="000000"/>
          <w:kern w:val="0"/>
          <w:lang w:eastAsia="es-CR"/>
          <w14:ligatures w14:val="none"/>
        </w:rPr>
        <w:t xml:space="preserve">está accesible en línea para el estudio del griego y se puede consultar en la </w:t>
      </w:r>
      <w:hyperlink r:id="rId283">
        <w:r w:rsidRPr="00B857F8">
          <w:rPr>
            <w:rFonts w:ascii="Calibri" w:eastAsia="Times New Roman" w:hAnsi="Calibri" w:cs="Arial"/>
            <w:color w:val="0563C1"/>
            <w:kern w:val="0"/>
            <w:u w:val="single"/>
            <w:lang w:eastAsia="es-CR"/>
            <w14:ligatures w14:val="none"/>
          </w:rPr>
          <w:t>página de los editores</w:t>
        </w:r>
      </w:hyperlink>
      <w:r w:rsidRPr="00B857F8">
        <w:rPr>
          <w:rFonts w:ascii="Calibri" w:eastAsia="Times New Roman" w:hAnsi="Calibri" w:cs="Arial"/>
          <w:color w:val="000000"/>
          <w:kern w:val="0"/>
          <w:lang w:eastAsia="es-CR"/>
          <w14:ligatures w14:val="none"/>
        </w:rPr>
        <w:t xml:space="preserve"> (ver datos en la bibliografía).</w:t>
      </w:r>
    </w:p>
    <w:p w14:paraId="4FB1360A"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kern w:val="0"/>
          <w:lang w:eastAsia="es-ES"/>
          <w14:ligatures w14:val="none"/>
        </w:rPr>
      </w:pPr>
    </w:p>
    <w:p w14:paraId="5C730D21"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B857F8">
        <w:rPr>
          <w:rFonts w:ascii="Calibri" w:eastAsia="Times New Roman" w:hAnsi="Calibri" w:cs="Arial"/>
          <w:color w:val="000000"/>
          <w:kern w:val="0"/>
          <w:lang w:val="es-ES" w:eastAsia="es-ES"/>
          <w14:ligatures w14:val="none"/>
        </w:rPr>
        <w:t xml:space="preserve">h) También puede disponer de las bases de datos, revistas en línea, repositorios y buscadores especializados a los cuales puede acceder mediante la Biblioteca Enrique </w:t>
      </w:r>
      <w:proofErr w:type="spellStart"/>
      <w:r w:rsidRPr="00B857F8">
        <w:rPr>
          <w:rFonts w:ascii="Calibri" w:eastAsia="Times New Roman" w:hAnsi="Calibri" w:cs="Arial"/>
          <w:color w:val="000000"/>
          <w:kern w:val="0"/>
          <w:lang w:val="es-ES" w:eastAsia="es-ES"/>
          <w14:ligatures w14:val="none"/>
        </w:rPr>
        <w:t>Strachan</w:t>
      </w:r>
      <w:proofErr w:type="spellEnd"/>
      <w:r w:rsidRPr="00B857F8">
        <w:rPr>
          <w:rFonts w:ascii="Calibri" w:eastAsia="Times New Roman" w:hAnsi="Calibri" w:cs="Arial"/>
          <w:color w:val="000000"/>
          <w:kern w:val="0"/>
          <w:lang w:val="es-ES" w:eastAsia="es-ES"/>
          <w14:ligatures w14:val="none"/>
        </w:rPr>
        <w:t xml:space="preserve"> (</w:t>
      </w:r>
      <w:hyperlink r:id="rId284">
        <w:r w:rsidRPr="00B857F8">
          <w:rPr>
            <w:rFonts w:ascii="Calibri" w:eastAsia="Times New Roman" w:hAnsi="Calibri" w:cs="Arial"/>
            <w:color w:val="0563C1"/>
            <w:kern w:val="0"/>
            <w:u w:val="single"/>
            <w:lang w:val="es-ES" w:eastAsia="es-ES"/>
            <w14:ligatures w14:val="none"/>
          </w:rPr>
          <w:t>https://www.ubl.ac.cr/biblioteca</w:t>
        </w:r>
      </w:hyperlink>
      <w:r w:rsidRPr="00B857F8">
        <w:rPr>
          <w:rFonts w:ascii="Calibri" w:eastAsia="Times New Roman" w:hAnsi="Calibri" w:cs="Arial"/>
          <w:color w:val="000000"/>
          <w:kern w:val="0"/>
          <w:lang w:val="es-ES" w:eastAsia="es-ES"/>
          <w14:ligatures w14:val="none"/>
        </w:rPr>
        <w:t>), así como consultar el Portal de Revistas de la UBL (</w:t>
      </w:r>
      <w:hyperlink r:id="rId285">
        <w:r w:rsidRPr="00B857F8">
          <w:rPr>
            <w:rFonts w:ascii="Calibri" w:eastAsia="Times New Roman" w:hAnsi="Calibri" w:cs="Arial"/>
            <w:color w:val="0563C1"/>
            <w:kern w:val="0"/>
            <w:u w:val="single"/>
            <w:lang w:val="es-ES" w:eastAsia="es-ES"/>
            <w14:ligatures w14:val="none"/>
          </w:rPr>
          <w:t>http://revistas.ubl.ac.cr/</w:t>
        </w:r>
      </w:hyperlink>
      <w:r w:rsidRPr="00B857F8">
        <w:rPr>
          <w:rFonts w:ascii="Calibri" w:eastAsia="Times New Roman" w:hAnsi="Calibri" w:cs="Arial"/>
          <w:color w:val="000000"/>
          <w:kern w:val="0"/>
          <w:lang w:val="es-ES" w:eastAsia="es-ES"/>
          <w14:ligatures w14:val="none"/>
        </w:rPr>
        <w:t>). A través del correo de la biblioteca (</w:t>
      </w:r>
      <w:hyperlink r:id="rId286">
        <w:r w:rsidRPr="00B857F8">
          <w:rPr>
            <w:rFonts w:ascii="Calibri" w:eastAsia="Times New Roman" w:hAnsi="Calibri" w:cs="Arial"/>
            <w:color w:val="0563C1"/>
            <w:kern w:val="0"/>
            <w:u w:val="single"/>
            <w:lang w:val="es-ES" w:eastAsia="es-ES"/>
            <w14:ligatures w14:val="none"/>
          </w:rPr>
          <w:t>biblioteca@ubl.ac.cr</w:t>
        </w:r>
      </w:hyperlink>
      <w:r w:rsidRPr="00B857F8">
        <w:rPr>
          <w:rFonts w:ascii="Calibri" w:eastAsia="Times New Roman" w:hAnsi="Calibri" w:cs="Arial"/>
          <w:color w:val="000000"/>
          <w:kern w:val="0"/>
          <w:lang w:val="es-ES" w:eastAsia="es-ES"/>
          <w14:ligatures w14:val="none"/>
        </w:rPr>
        <w:t xml:space="preserve">) puede solicitar recursos que se encuentren en la colección física. </w:t>
      </w:r>
    </w:p>
    <w:p w14:paraId="44CB8042"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4E043293"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ES"/>
          <w14:ligatures w14:val="none"/>
        </w:rPr>
      </w:pPr>
      <w:r w:rsidRPr="00B857F8">
        <w:rPr>
          <w:rFonts w:ascii="Calibri" w:eastAsia="Times New Roman" w:hAnsi="Calibri" w:cs="Arial"/>
          <w:color w:val="000000"/>
          <w:kern w:val="0"/>
          <w:lang w:val="es-ES" w:eastAsia="es-ES"/>
          <w14:ligatures w14:val="none"/>
        </w:rPr>
        <w:t>i)</w:t>
      </w:r>
      <w:r w:rsidRPr="00B857F8">
        <w:rPr>
          <w:rFonts w:ascii="Times New Roman" w:eastAsia="Times New Roman" w:hAnsi="Times New Roman" w:cs="Arial"/>
          <w:kern w:val="0"/>
          <w:sz w:val="24"/>
          <w:szCs w:val="20"/>
          <w:lang w:val="es-ES_tradnl" w:eastAsia="es-CR"/>
          <w14:ligatures w14:val="none"/>
        </w:rPr>
        <w:t xml:space="preserve"> </w:t>
      </w:r>
      <w:r w:rsidRPr="00B857F8">
        <w:rPr>
          <w:rFonts w:ascii="Calibri" w:eastAsia="Times New Roman" w:hAnsi="Calibri" w:cs="Arial"/>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Bíblicas. Dicho espacio está disponible para todas las personas registradas en el campus virtual y se puede acceder a través del siguiente enlace: </w:t>
      </w:r>
      <w:hyperlink r:id="rId287">
        <w:r w:rsidRPr="00B857F8">
          <w:rPr>
            <w:rFonts w:ascii="Calibri" w:eastAsia="Times New Roman" w:hAnsi="Calibri" w:cs="Arial"/>
            <w:color w:val="0563C1"/>
            <w:kern w:val="0"/>
            <w:u w:val="single"/>
            <w:lang w:val="es-ES_tradnl" w:eastAsia="es-CR"/>
            <w14:ligatures w14:val="none"/>
          </w:rPr>
          <w:t>https://campus.ubl.ac.cr/course/index.php?categoryid=186</w:t>
        </w:r>
      </w:hyperlink>
    </w:p>
    <w:p w14:paraId="12152000"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ES"/>
          <w14:ligatures w14:val="none"/>
        </w:rPr>
      </w:pPr>
    </w:p>
    <w:p w14:paraId="4F79575F"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ES"/>
          <w14:ligatures w14:val="none"/>
        </w:rPr>
      </w:pPr>
      <w:r w:rsidRPr="00B857F8">
        <w:rPr>
          <w:rFonts w:ascii="Calibri" w:eastAsia="Times New Roman" w:hAnsi="Calibri" w:cs="Arial"/>
          <w:color w:val="000000"/>
          <w:kern w:val="0"/>
          <w:lang w:val="es-ES" w:eastAsia="es-ES"/>
          <w14:ligatures w14:val="none"/>
        </w:rPr>
        <w:t>j) Mediante el campus virtual accederá al espacio de soporte técnico, en el cual puede evacuar sus dudas o preguntas frecuentes y al correo electrónico para comunicarse con la persona docente.</w:t>
      </w:r>
    </w:p>
    <w:p w14:paraId="7D19BA44" w14:textId="77777777" w:rsidR="00B857F8" w:rsidRPr="00B857F8" w:rsidRDefault="00B857F8" w:rsidP="00B857F8">
      <w:pPr>
        <w:rPr>
          <w:rFonts w:ascii="Calibri" w:eastAsia="Times New Roman" w:hAnsi="Calibri" w:cs="Arial"/>
          <w:b/>
          <w:bCs/>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br w:type="page"/>
      </w:r>
    </w:p>
    <w:p w14:paraId="5F0BABFA" w14:textId="77777777" w:rsidR="00B857F8" w:rsidRPr="00B857F8" w:rsidRDefault="00B857F8" w:rsidP="00B857F8">
      <w:pPr>
        <w:widowControl w:val="0"/>
        <w:overflowPunct w:val="0"/>
        <w:autoSpaceDE w:val="0"/>
        <w:autoSpaceDN w:val="0"/>
        <w:adjustRightInd w:val="0"/>
        <w:spacing w:before="120" w:after="0" w:line="240" w:lineRule="auto"/>
        <w:rPr>
          <w:rFonts w:ascii="Calibri" w:eastAsia="Times New Roman" w:hAnsi="Calibri" w:cs="Arial"/>
          <w:b/>
          <w:bCs/>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lastRenderedPageBreak/>
        <w:t>VIII</w:t>
      </w:r>
      <w:r w:rsidRPr="00B857F8">
        <w:rPr>
          <w:rFonts w:ascii="Calibri" w:eastAsia="Times New Roman" w:hAnsi="Calibri" w:cs="Arial"/>
          <w:b/>
          <w:bCs/>
          <w:kern w:val="0"/>
          <w:lang w:val="es-ES_tradnl" w:eastAsia="es-CR"/>
          <w14:ligatures w14:val="none"/>
        </w:rPr>
        <w:t>. Cronograma de trabajo</w:t>
      </w:r>
    </w:p>
    <w:p w14:paraId="5DD1779A" w14:textId="77777777" w:rsidR="00B857F8" w:rsidRPr="00B857F8" w:rsidRDefault="00B857F8" w:rsidP="00B857F8">
      <w:pPr>
        <w:widowControl w:val="0"/>
        <w:overflowPunct w:val="0"/>
        <w:autoSpaceDE w:val="0"/>
        <w:autoSpaceDN w:val="0"/>
        <w:adjustRightInd w:val="0"/>
        <w:spacing w:before="120" w:after="0" w:line="240" w:lineRule="auto"/>
        <w:rPr>
          <w:rFonts w:ascii="Calibri" w:eastAsia="Times New Roman" w:hAnsi="Calibri" w:cs="Arial"/>
          <w:b/>
          <w:bCs/>
          <w:kern w:val="0"/>
          <w:lang w:val="es-ES_tradnl" w:eastAsia="es-CR"/>
          <w14:ligatures w14:val="none"/>
        </w:rPr>
      </w:pPr>
    </w:p>
    <w:tbl>
      <w:tblPr>
        <w:tblStyle w:val="Tablaconcuadrcula2"/>
        <w:tblW w:w="9776" w:type="dxa"/>
        <w:jc w:val="center"/>
        <w:tblLook w:val="04A0" w:firstRow="1" w:lastRow="0" w:firstColumn="1" w:lastColumn="0" w:noHBand="0" w:noVBand="1"/>
      </w:tblPr>
      <w:tblGrid>
        <w:gridCol w:w="1144"/>
        <w:gridCol w:w="2395"/>
        <w:gridCol w:w="3119"/>
        <w:gridCol w:w="3118"/>
      </w:tblGrid>
      <w:tr w:rsidR="00B857F8" w:rsidRPr="00B857F8" w14:paraId="4E76248B" w14:textId="77777777" w:rsidTr="00104785">
        <w:trPr>
          <w:trHeight w:val="463"/>
          <w:jc w:val="center"/>
        </w:trPr>
        <w:tc>
          <w:tcPr>
            <w:tcW w:w="1144" w:type="dxa"/>
            <w:vMerge w:val="restart"/>
            <w:vAlign w:val="center"/>
          </w:tcPr>
          <w:p w14:paraId="47E62A5C" w14:textId="77777777" w:rsidR="00B857F8" w:rsidRPr="00B857F8" w:rsidRDefault="00B857F8" w:rsidP="00B857F8">
            <w:pPr>
              <w:jc w:val="center"/>
              <w:rPr>
                <w:rFonts w:ascii="Calibri" w:hAnsi="Calibri" w:cs="Arial"/>
                <w:b/>
                <w:bCs/>
              </w:rPr>
            </w:pPr>
            <w:r w:rsidRPr="00B857F8">
              <w:rPr>
                <w:rFonts w:ascii="Calibri" w:hAnsi="Calibri" w:cs="Arial"/>
                <w:b/>
                <w:bCs/>
              </w:rPr>
              <w:t>Sesión</w:t>
            </w:r>
          </w:p>
          <w:p w14:paraId="63F3D5F9" w14:textId="77777777" w:rsidR="00B857F8" w:rsidRPr="00B857F8" w:rsidRDefault="00B857F8" w:rsidP="00B857F8">
            <w:pPr>
              <w:jc w:val="center"/>
              <w:rPr>
                <w:rFonts w:ascii="Calibri" w:hAnsi="Calibri" w:cs="Arial"/>
                <w:b/>
                <w:bCs/>
              </w:rPr>
            </w:pPr>
            <w:r w:rsidRPr="00B857F8">
              <w:rPr>
                <w:rFonts w:ascii="Calibri" w:hAnsi="Calibri" w:cs="Arial"/>
                <w:b/>
                <w:bCs/>
              </w:rPr>
              <w:t>(semana)</w:t>
            </w:r>
          </w:p>
        </w:tc>
        <w:tc>
          <w:tcPr>
            <w:tcW w:w="2395" w:type="dxa"/>
            <w:vMerge w:val="restart"/>
            <w:vAlign w:val="center"/>
          </w:tcPr>
          <w:p w14:paraId="1C64A766" w14:textId="77777777" w:rsidR="00B857F8" w:rsidRPr="00B857F8" w:rsidRDefault="00B857F8" w:rsidP="00B857F8">
            <w:pPr>
              <w:jc w:val="center"/>
              <w:rPr>
                <w:rFonts w:ascii="Calibri" w:hAnsi="Calibri" w:cs="Arial"/>
                <w:b/>
                <w:bCs/>
              </w:rPr>
            </w:pPr>
            <w:r w:rsidRPr="00B857F8">
              <w:rPr>
                <w:rFonts w:ascii="Calibri" w:hAnsi="Calibri" w:cs="Arial"/>
                <w:b/>
                <w:bCs/>
              </w:rPr>
              <w:t>Contenidos temáticos</w:t>
            </w:r>
          </w:p>
        </w:tc>
        <w:tc>
          <w:tcPr>
            <w:tcW w:w="6237" w:type="dxa"/>
            <w:gridSpan w:val="2"/>
            <w:vAlign w:val="center"/>
          </w:tcPr>
          <w:p w14:paraId="5C76A3C8" w14:textId="77777777" w:rsidR="00B857F8" w:rsidRPr="00B857F8" w:rsidRDefault="00B857F8" w:rsidP="00B857F8">
            <w:pPr>
              <w:jc w:val="center"/>
              <w:rPr>
                <w:rFonts w:ascii="Calibri" w:hAnsi="Calibri" w:cs="Arial"/>
                <w:b/>
                <w:bCs/>
              </w:rPr>
            </w:pPr>
            <w:r w:rsidRPr="00B857F8">
              <w:rPr>
                <w:rFonts w:ascii="Calibri" w:hAnsi="Calibri" w:cs="Arial"/>
                <w:b/>
                <w:bCs/>
              </w:rPr>
              <w:t>Actividades de enseñanza-aprendizaje</w:t>
            </w:r>
          </w:p>
        </w:tc>
      </w:tr>
      <w:tr w:rsidR="00B857F8" w:rsidRPr="00B857F8" w14:paraId="7B225CCD" w14:textId="77777777" w:rsidTr="00104785">
        <w:trPr>
          <w:trHeight w:val="413"/>
          <w:jc w:val="center"/>
        </w:trPr>
        <w:tc>
          <w:tcPr>
            <w:tcW w:w="1144" w:type="dxa"/>
            <w:vMerge/>
            <w:vAlign w:val="center"/>
          </w:tcPr>
          <w:p w14:paraId="2564D020" w14:textId="77777777" w:rsidR="00B857F8" w:rsidRPr="00B857F8" w:rsidRDefault="00B857F8" w:rsidP="00B857F8">
            <w:pPr>
              <w:jc w:val="center"/>
              <w:rPr>
                <w:rFonts w:ascii="Calibri" w:hAnsi="Calibri" w:cs="Arial"/>
              </w:rPr>
            </w:pPr>
          </w:p>
        </w:tc>
        <w:tc>
          <w:tcPr>
            <w:tcW w:w="2395" w:type="dxa"/>
            <w:vMerge/>
            <w:vAlign w:val="center"/>
          </w:tcPr>
          <w:p w14:paraId="2791171F" w14:textId="77777777" w:rsidR="00B857F8" w:rsidRPr="00B857F8" w:rsidRDefault="00B857F8" w:rsidP="00B857F8">
            <w:pPr>
              <w:jc w:val="center"/>
              <w:rPr>
                <w:rFonts w:ascii="Calibri" w:hAnsi="Calibri" w:cs="Arial"/>
              </w:rPr>
            </w:pPr>
          </w:p>
        </w:tc>
        <w:tc>
          <w:tcPr>
            <w:tcW w:w="3119" w:type="dxa"/>
            <w:vAlign w:val="center"/>
          </w:tcPr>
          <w:p w14:paraId="0430BC49" w14:textId="77777777" w:rsidR="00B857F8" w:rsidRPr="00B857F8" w:rsidRDefault="00B857F8" w:rsidP="00B857F8">
            <w:pPr>
              <w:jc w:val="center"/>
              <w:rPr>
                <w:rFonts w:ascii="Calibri" w:hAnsi="Calibri" w:cs="Arial"/>
                <w:b/>
                <w:bCs/>
              </w:rPr>
            </w:pPr>
            <w:r w:rsidRPr="00B857F8">
              <w:rPr>
                <w:rFonts w:ascii="Calibri" w:hAnsi="Calibri" w:cs="Arial"/>
                <w:b/>
                <w:bCs/>
              </w:rPr>
              <w:t>Recursos didácticos</w:t>
            </w:r>
          </w:p>
        </w:tc>
        <w:tc>
          <w:tcPr>
            <w:tcW w:w="3118" w:type="dxa"/>
            <w:vAlign w:val="center"/>
          </w:tcPr>
          <w:p w14:paraId="5CB3DC96" w14:textId="77777777" w:rsidR="00B857F8" w:rsidRPr="00B857F8" w:rsidRDefault="00B857F8" w:rsidP="00B857F8">
            <w:pPr>
              <w:jc w:val="center"/>
              <w:rPr>
                <w:rFonts w:ascii="Calibri" w:hAnsi="Calibri" w:cs="Arial"/>
                <w:b/>
                <w:bCs/>
              </w:rPr>
            </w:pPr>
            <w:r w:rsidRPr="00B857F8">
              <w:rPr>
                <w:rFonts w:ascii="Calibri" w:hAnsi="Calibri" w:cs="Arial"/>
                <w:b/>
                <w:bCs/>
              </w:rPr>
              <w:t>Actividades de aprendizaje</w:t>
            </w:r>
          </w:p>
        </w:tc>
      </w:tr>
      <w:tr w:rsidR="00B857F8" w:rsidRPr="00B857F8" w14:paraId="26A63C5A" w14:textId="77777777" w:rsidTr="00104785">
        <w:trPr>
          <w:jc w:val="center"/>
        </w:trPr>
        <w:tc>
          <w:tcPr>
            <w:tcW w:w="1144" w:type="dxa"/>
          </w:tcPr>
          <w:p w14:paraId="704F1D68" w14:textId="77777777" w:rsidR="00B857F8" w:rsidRPr="00B857F8" w:rsidRDefault="00B857F8" w:rsidP="00B857F8">
            <w:pPr>
              <w:jc w:val="center"/>
              <w:rPr>
                <w:rFonts w:ascii="Calibri" w:hAnsi="Calibri" w:cs="Arial"/>
              </w:rPr>
            </w:pPr>
            <w:r w:rsidRPr="00B857F8">
              <w:rPr>
                <w:rFonts w:ascii="Calibri" w:hAnsi="Calibri" w:cs="Arial"/>
              </w:rPr>
              <w:t>1</w:t>
            </w:r>
          </w:p>
        </w:tc>
        <w:tc>
          <w:tcPr>
            <w:tcW w:w="2395" w:type="dxa"/>
          </w:tcPr>
          <w:p w14:paraId="2627FF37" w14:textId="77777777" w:rsidR="00B857F8" w:rsidRPr="00B857F8" w:rsidRDefault="00B857F8" w:rsidP="00B857F8">
            <w:pPr>
              <w:rPr>
                <w:rFonts w:ascii="Calibri" w:hAnsi="Calibri" w:cs="Arial"/>
                <w:b/>
                <w:bCs/>
              </w:rPr>
            </w:pPr>
            <w:r w:rsidRPr="00B857F8">
              <w:rPr>
                <w:rFonts w:ascii="Calibri" w:hAnsi="Calibri" w:cs="Arial"/>
                <w:b/>
                <w:bCs/>
              </w:rPr>
              <w:t>Unidad 1: Pronunciación, escritura, alfabeto</w:t>
            </w:r>
          </w:p>
          <w:p w14:paraId="6776B220" w14:textId="77777777" w:rsidR="00B857F8" w:rsidRPr="00B857F8" w:rsidRDefault="00B857F8" w:rsidP="00B857F8">
            <w:pPr>
              <w:rPr>
                <w:rFonts w:ascii="Calibri" w:hAnsi="Calibri" w:cs="Arial"/>
                <w:b/>
                <w:bCs/>
              </w:rPr>
            </w:pPr>
          </w:p>
          <w:p w14:paraId="4F9C6AF6" w14:textId="77777777" w:rsidR="00B857F8" w:rsidRPr="00B857F8" w:rsidRDefault="00B857F8" w:rsidP="00B857F8">
            <w:pPr>
              <w:rPr>
                <w:rFonts w:ascii="Calibri" w:hAnsi="Calibri" w:cs="Arial"/>
              </w:rPr>
            </w:pPr>
            <w:r w:rsidRPr="00B857F8">
              <w:rPr>
                <w:rFonts w:ascii="Calibri" w:hAnsi="Calibri" w:cs="Arial"/>
              </w:rPr>
              <w:t>1.1 Pronunciación, escritura, alfabeto</w:t>
            </w:r>
          </w:p>
          <w:p w14:paraId="3EC04A71" w14:textId="77777777" w:rsidR="00B857F8" w:rsidRPr="00B857F8" w:rsidRDefault="00B857F8" w:rsidP="00B857F8">
            <w:pPr>
              <w:rPr>
                <w:rFonts w:ascii="Calibri" w:hAnsi="Calibri" w:cs="Arial"/>
              </w:rPr>
            </w:pPr>
          </w:p>
        </w:tc>
        <w:tc>
          <w:tcPr>
            <w:tcW w:w="3119" w:type="dxa"/>
          </w:tcPr>
          <w:p w14:paraId="71F49A2E" w14:textId="77777777" w:rsidR="00B857F8" w:rsidRPr="00B857F8" w:rsidRDefault="00B857F8" w:rsidP="00B857F8">
            <w:pPr>
              <w:rPr>
                <w:rFonts w:ascii="Calibri" w:hAnsi="Calibri" w:cs="Arial"/>
                <w:color w:val="0070C0"/>
              </w:rPr>
            </w:pPr>
            <w:r w:rsidRPr="00B857F8">
              <w:rPr>
                <w:rFonts w:ascii="Calibri" w:hAnsi="Calibri" w:cs="Arial"/>
                <w:color w:val="0070C0"/>
              </w:rPr>
              <w:t>Ruta de aprendizaje</w:t>
            </w:r>
          </w:p>
          <w:p w14:paraId="4FCBBB57" w14:textId="77777777" w:rsidR="00B857F8" w:rsidRPr="00B857F8" w:rsidRDefault="00B857F8" w:rsidP="00B857F8">
            <w:pPr>
              <w:rPr>
                <w:rFonts w:ascii="Calibri" w:hAnsi="Calibri" w:cs="Arial"/>
                <w:color w:val="0070C0"/>
              </w:rPr>
            </w:pPr>
          </w:p>
          <w:p w14:paraId="55DED058" w14:textId="77777777" w:rsidR="00B857F8" w:rsidRPr="00B857F8" w:rsidRDefault="00B857F8" w:rsidP="00B857F8">
            <w:pPr>
              <w:rPr>
                <w:rFonts w:ascii="Calibri" w:hAnsi="Calibri" w:cs="Arial"/>
                <w:color w:val="000000"/>
              </w:rPr>
            </w:pPr>
            <w:proofErr w:type="spellStart"/>
            <w:r w:rsidRPr="00B857F8">
              <w:rPr>
                <w:rFonts w:ascii="Calibri" w:hAnsi="Calibri" w:cs="Arial"/>
                <w:color w:val="000000"/>
              </w:rPr>
              <w:t>Foulkes</w:t>
            </w:r>
            <w:proofErr w:type="spellEnd"/>
            <w:r w:rsidRPr="00B857F8">
              <w:rPr>
                <w:rFonts w:ascii="Calibri" w:hAnsi="Calibri" w:cs="Arial"/>
                <w:color w:val="000000"/>
              </w:rPr>
              <w:t xml:space="preserve">, Irene. “Capítulo I”. En </w:t>
            </w:r>
            <w:r w:rsidRPr="00B857F8">
              <w:rPr>
                <w:rFonts w:ascii="Calibri" w:hAnsi="Calibri" w:cs="Arial"/>
                <w:i/>
                <w:iCs/>
                <w:color w:val="000000"/>
              </w:rPr>
              <w:t>El griego del Nuevo Testamento</w:t>
            </w:r>
            <w:r w:rsidRPr="00B857F8">
              <w:rPr>
                <w:rFonts w:ascii="Calibri" w:hAnsi="Calibri" w:cs="Arial"/>
                <w:color w:val="000000"/>
              </w:rPr>
              <w:t xml:space="preserve">, 17-27. San José: Universidad Bíblica Latinoamericana, 2010. </w:t>
            </w:r>
            <w:r w:rsidRPr="00B857F8">
              <w:rPr>
                <w:rFonts w:ascii="Calibri" w:hAnsi="Calibri" w:cs="Calibri"/>
                <w:color w:val="0070C0"/>
                <w:szCs w:val="18"/>
              </w:rPr>
              <w:t>(clásico, última edición)</w:t>
            </w:r>
          </w:p>
          <w:p w14:paraId="5FEBB4B5" w14:textId="77777777" w:rsidR="00B857F8" w:rsidRPr="00B857F8" w:rsidRDefault="00B857F8" w:rsidP="00B857F8">
            <w:pPr>
              <w:rPr>
                <w:rFonts w:ascii="Calibri" w:hAnsi="Calibri" w:cs="Arial"/>
                <w:color w:val="000000"/>
              </w:rPr>
            </w:pPr>
          </w:p>
          <w:p w14:paraId="70805D71" w14:textId="77777777" w:rsidR="00B857F8" w:rsidRPr="00B857F8" w:rsidRDefault="00B857F8" w:rsidP="00B857F8">
            <w:pPr>
              <w:rPr>
                <w:rFonts w:ascii="Calibri" w:hAnsi="Calibri" w:cs="Arial"/>
                <w:color w:val="000000"/>
              </w:rPr>
            </w:pPr>
            <w:r w:rsidRPr="00B857F8">
              <w:rPr>
                <w:rFonts w:ascii="Calibri" w:hAnsi="Calibri" w:cs="Arial"/>
                <w:color w:val="000000"/>
              </w:rPr>
              <w:t xml:space="preserve">Delgado, Inmaculada. “El alfabeto griego”. En </w:t>
            </w:r>
            <w:r w:rsidRPr="00B857F8">
              <w:rPr>
                <w:rFonts w:ascii="Calibri" w:hAnsi="Calibri" w:cs="Arial"/>
                <w:i/>
                <w:iCs/>
                <w:color w:val="000000"/>
              </w:rPr>
              <w:t>Gramática griega del Nuevo Testamento: I. Morfología</w:t>
            </w:r>
            <w:r w:rsidRPr="00B857F8">
              <w:rPr>
                <w:rFonts w:ascii="Calibri" w:hAnsi="Calibri" w:cs="Arial"/>
                <w:color w:val="000000"/>
              </w:rPr>
              <w:t xml:space="preserve">, 17-25. Estella: Verbo Divino, 2013. </w:t>
            </w:r>
            <w:r w:rsidRPr="00B857F8">
              <w:rPr>
                <w:rFonts w:ascii="Calibri" w:hAnsi="Calibri" w:cs="Calibri"/>
                <w:color w:val="0070C0"/>
                <w:szCs w:val="18"/>
              </w:rPr>
              <w:t>(clásico, última edición)</w:t>
            </w:r>
          </w:p>
          <w:p w14:paraId="078DA227" w14:textId="77777777" w:rsidR="00B857F8" w:rsidRPr="00B857F8" w:rsidRDefault="00B857F8" w:rsidP="00B857F8">
            <w:pPr>
              <w:rPr>
                <w:rFonts w:ascii="Calibri" w:hAnsi="Calibri" w:cs="Arial"/>
                <w:color w:val="000000"/>
              </w:rPr>
            </w:pPr>
          </w:p>
          <w:p w14:paraId="5F926D6F" w14:textId="77777777" w:rsidR="00B857F8" w:rsidRPr="00B857F8" w:rsidRDefault="00B857F8" w:rsidP="00B857F8">
            <w:pPr>
              <w:rPr>
                <w:rFonts w:ascii="Calibri" w:hAnsi="Calibri" w:cs="Arial"/>
                <w:b/>
                <w:bCs/>
                <w:color w:val="0070C0"/>
                <w:lang w:val="es-CR"/>
              </w:rPr>
            </w:pPr>
            <w:r w:rsidRPr="00B857F8">
              <w:rPr>
                <w:rFonts w:ascii="Calibri" w:hAnsi="Calibri" w:cs="Arial"/>
                <w:b/>
                <w:bCs/>
                <w:color w:val="0070C0"/>
                <w:lang w:val="es-CR"/>
              </w:rPr>
              <w:t>Material complementario</w:t>
            </w:r>
          </w:p>
          <w:p w14:paraId="0F7D2F2B" w14:textId="77777777" w:rsidR="00B857F8" w:rsidRPr="00B857F8" w:rsidRDefault="00B857F8" w:rsidP="00B857F8">
            <w:pPr>
              <w:rPr>
                <w:rFonts w:ascii="Calibri" w:hAnsi="Calibri" w:cs="Arial"/>
                <w:b/>
                <w:bCs/>
                <w:color w:val="000000"/>
                <w:lang w:val="es-CR"/>
              </w:rPr>
            </w:pPr>
          </w:p>
          <w:p w14:paraId="5087310E" w14:textId="77777777" w:rsidR="00B857F8" w:rsidRPr="00B857F8" w:rsidRDefault="00B857F8" w:rsidP="00B857F8">
            <w:pPr>
              <w:rPr>
                <w:rFonts w:ascii="Calibri" w:hAnsi="Calibri" w:cs="Arial"/>
                <w:color w:val="0070C0"/>
                <w:lang w:val="es-CR"/>
              </w:rPr>
            </w:pPr>
            <w:r w:rsidRPr="00B857F8">
              <w:rPr>
                <w:rFonts w:ascii="Calibri" w:hAnsi="Calibri" w:cs="Arial"/>
                <w:color w:val="0070C0"/>
                <w:lang w:val="es-CR"/>
              </w:rPr>
              <w:t>Guía para la participación en un foro en la plataforma Moodle</w:t>
            </w:r>
          </w:p>
          <w:p w14:paraId="6D71B4E8" w14:textId="77777777" w:rsidR="00B857F8" w:rsidRPr="00B857F8" w:rsidRDefault="00B857F8" w:rsidP="00B857F8">
            <w:pPr>
              <w:rPr>
                <w:rFonts w:ascii="Calibri" w:hAnsi="Calibri" w:cs="Arial"/>
                <w:color w:val="0070C0"/>
                <w:lang w:val="es-CR"/>
              </w:rPr>
            </w:pPr>
          </w:p>
          <w:p w14:paraId="3E362BC8" w14:textId="77777777" w:rsidR="00B857F8" w:rsidRPr="00B857F8" w:rsidRDefault="00B857F8" w:rsidP="00B857F8">
            <w:pPr>
              <w:rPr>
                <w:rFonts w:ascii="Calibri" w:hAnsi="Calibri" w:cs="Arial"/>
                <w:color w:val="0070C0"/>
                <w:lang w:val="es-CR"/>
              </w:rPr>
            </w:pPr>
            <w:r w:rsidRPr="00B857F8">
              <w:rPr>
                <w:rFonts w:ascii="Calibri" w:hAnsi="Calibri" w:cs="Arial"/>
                <w:color w:val="0070C0"/>
                <w:lang w:val="es-CR"/>
              </w:rPr>
              <w:t xml:space="preserve">Guía para la participación mediante la herramienta Big Blue </w:t>
            </w:r>
            <w:proofErr w:type="spellStart"/>
            <w:r w:rsidRPr="00B857F8">
              <w:rPr>
                <w:rFonts w:ascii="Calibri" w:hAnsi="Calibri" w:cs="Arial"/>
                <w:color w:val="0070C0"/>
                <w:lang w:val="es-CR"/>
              </w:rPr>
              <w:t>Button</w:t>
            </w:r>
            <w:proofErr w:type="spellEnd"/>
            <w:r w:rsidRPr="00B857F8">
              <w:rPr>
                <w:rFonts w:ascii="Calibri" w:hAnsi="Calibri" w:cs="Arial"/>
                <w:color w:val="0070C0"/>
                <w:lang w:val="es-CR"/>
              </w:rPr>
              <w:t xml:space="preserve"> en la plataforma Moodle</w:t>
            </w:r>
          </w:p>
          <w:p w14:paraId="3F3A691B" w14:textId="77777777" w:rsidR="00B857F8" w:rsidRPr="00B857F8" w:rsidRDefault="00B857F8" w:rsidP="00B857F8">
            <w:pPr>
              <w:rPr>
                <w:rFonts w:ascii="Calibri" w:hAnsi="Calibri" w:cs="Arial"/>
              </w:rPr>
            </w:pPr>
          </w:p>
        </w:tc>
        <w:tc>
          <w:tcPr>
            <w:tcW w:w="3118" w:type="dxa"/>
          </w:tcPr>
          <w:p w14:paraId="3EDEF54B" w14:textId="77777777" w:rsidR="00B857F8" w:rsidRPr="00B857F8" w:rsidRDefault="00B857F8" w:rsidP="00B857F8">
            <w:pPr>
              <w:numPr>
                <w:ilvl w:val="0"/>
                <w:numId w:val="213"/>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Participación en el foro social CAFETERÍA.</w:t>
            </w:r>
          </w:p>
          <w:p w14:paraId="0A7518D7" w14:textId="77777777" w:rsidR="00B857F8" w:rsidRPr="00B857F8" w:rsidRDefault="00B857F8" w:rsidP="00B857F8">
            <w:pPr>
              <w:numPr>
                <w:ilvl w:val="0"/>
                <w:numId w:val="213"/>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Participación en el foro de dudas. </w:t>
            </w:r>
          </w:p>
          <w:p w14:paraId="4946945F" w14:textId="77777777" w:rsidR="00B857F8" w:rsidRPr="00B857F8" w:rsidRDefault="00B857F8" w:rsidP="00B857F8">
            <w:pPr>
              <w:numPr>
                <w:ilvl w:val="0"/>
                <w:numId w:val="213"/>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Presentación del curso, las temáticas y las actividades a desarrollar en un encuentro sincrónico virtual.</w:t>
            </w:r>
          </w:p>
          <w:p w14:paraId="33B6D70E" w14:textId="77777777" w:rsidR="00B857F8" w:rsidRPr="00B857F8" w:rsidRDefault="00B857F8" w:rsidP="00B857F8">
            <w:pPr>
              <w:numPr>
                <w:ilvl w:val="0"/>
                <w:numId w:val="213"/>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Realizar la lectura de la sesión.</w:t>
            </w:r>
          </w:p>
          <w:p w14:paraId="08650610" w14:textId="77777777" w:rsidR="00B857F8" w:rsidRPr="00B857F8" w:rsidRDefault="00B857F8" w:rsidP="00B857F8">
            <w:pPr>
              <w:numPr>
                <w:ilvl w:val="0"/>
                <w:numId w:val="213"/>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tc>
      </w:tr>
      <w:tr w:rsidR="00B857F8" w:rsidRPr="00B857F8" w14:paraId="2C9574AC" w14:textId="77777777" w:rsidTr="00104785">
        <w:trPr>
          <w:jc w:val="center"/>
        </w:trPr>
        <w:tc>
          <w:tcPr>
            <w:tcW w:w="1144" w:type="dxa"/>
          </w:tcPr>
          <w:p w14:paraId="5266066F" w14:textId="77777777" w:rsidR="00B857F8" w:rsidRPr="00B857F8" w:rsidRDefault="00B857F8" w:rsidP="00B857F8">
            <w:pPr>
              <w:jc w:val="center"/>
              <w:rPr>
                <w:rFonts w:ascii="Calibri" w:hAnsi="Calibri" w:cs="Arial"/>
              </w:rPr>
            </w:pPr>
            <w:r w:rsidRPr="00B857F8">
              <w:rPr>
                <w:rFonts w:ascii="Calibri" w:hAnsi="Calibri" w:cs="Arial"/>
              </w:rPr>
              <w:t>2</w:t>
            </w:r>
          </w:p>
        </w:tc>
        <w:tc>
          <w:tcPr>
            <w:tcW w:w="2395" w:type="dxa"/>
          </w:tcPr>
          <w:p w14:paraId="2F11C3F1" w14:textId="77777777" w:rsidR="00B857F8" w:rsidRPr="00B857F8" w:rsidRDefault="00B857F8" w:rsidP="00B857F8">
            <w:pPr>
              <w:rPr>
                <w:rFonts w:ascii="Calibri" w:hAnsi="Calibri" w:cs="Arial"/>
                <w:b/>
                <w:bCs/>
              </w:rPr>
            </w:pPr>
            <w:r w:rsidRPr="00B857F8">
              <w:rPr>
                <w:rFonts w:ascii="Calibri" w:hAnsi="Calibri" w:cs="Arial"/>
                <w:b/>
                <w:bCs/>
              </w:rPr>
              <w:t>Unidad 1: Pronunciación, escritura, alfabeto</w:t>
            </w:r>
          </w:p>
          <w:p w14:paraId="5796B271" w14:textId="77777777" w:rsidR="00B857F8" w:rsidRPr="00B857F8" w:rsidRDefault="00B857F8" w:rsidP="00B857F8">
            <w:pPr>
              <w:rPr>
                <w:rFonts w:ascii="Calibri" w:hAnsi="Calibri" w:cs="Arial"/>
              </w:rPr>
            </w:pPr>
          </w:p>
          <w:p w14:paraId="4B48743D" w14:textId="77777777" w:rsidR="00B857F8" w:rsidRPr="00B857F8" w:rsidRDefault="00B857F8" w:rsidP="00B857F8">
            <w:pPr>
              <w:rPr>
                <w:rFonts w:ascii="Calibri" w:hAnsi="Calibri"/>
              </w:rPr>
            </w:pPr>
            <w:r w:rsidRPr="00B857F8">
              <w:rPr>
                <w:rFonts w:ascii="Calibri" w:hAnsi="Calibri" w:cs="Arial"/>
              </w:rPr>
              <w:t xml:space="preserve">1.2 </w:t>
            </w:r>
            <w:r w:rsidRPr="00B857F8">
              <w:rPr>
                <w:rFonts w:ascii="Calibri" w:hAnsi="Calibri"/>
              </w:rPr>
              <w:t>Tiempo presente del verbo Nominativo y acusativo de 2da declinación; Concordancia</w:t>
            </w:r>
          </w:p>
          <w:p w14:paraId="35A0242C" w14:textId="77777777" w:rsidR="00B857F8" w:rsidRPr="00B857F8" w:rsidRDefault="00B857F8" w:rsidP="00B857F8">
            <w:pPr>
              <w:rPr>
                <w:rFonts w:ascii="Calibri" w:hAnsi="Calibri" w:cs="Arial"/>
              </w:rPr>
            </w:pPr>
          </w:p>
        </w:tc>
        <w:tc>
          <w:tcPr>
            <w:tcW w:w="3119" w:type="dxa"/>
          </w:tcPr>
          <w:p w14:paraId="5B9887EC" w14:textId="77777777" w:rsidR="00B857F8" w:rsidRPr="00B857F8" w:rsidRDefault="00B857F8" w:rsidP="00B857F8">
            <w:pPr>
              <w:rPr>
                <w:rFonts w:ascii="Calibri" w:hAnsi="Calibri" w:cs="Arial"/>
                <w:color w:val="000000"/>
              </w:rPr>
            </w:pPr>
            <w:r w:rsidRPr="00B857F8">
              <w:rPr>
                <w:rFonts w:ascii="Calibri" w:hAnsi="Calibri" w:cs="Arial"/>
                <w:color w:val="0070C0"/>
              </w:rPr>
              <w:t>Ruta de aprendizaje</w:t>
            </w:r>
          </w:p>
          <w:p w14:paraId="05A33DB5" w14:textId="77777777" w:rsidR="00B857F8" w:rsidRPr="00B857F8" w:rsidRDefault="00B857F8" w:rsidP="00B857F8">
            <w:pPr>
              <w:rPr>
                <w:rFonts w:ascii="Calibri" w:hAnsi="Calibri" w:cs="Arial"/>
                <w:color w:val="000000"/>
              </w:rPr>
            </w:pPr>
          </w:p>
          <w:p w14:paraId="6282FB7B" w14:textId="77777777" w:rsidR="00B857F8" w:rsidRPr="00B857F8" w:rsidRDefault="00B857F8" w:rsidP="00B857F8">
            <w:pPr>
              <w:rPr>
                <w:rFonts w:ascii="Calibri" w:hAnsi="Calibri" w:cs="Arial"/>
                <w:color w:val="000000"/>
              </w:rPr>
            </w:pPr>
            <w:proofErr w:type="spellStart"/>
            <w:r w:rsidRPr="00B857F8">
              <w:rPr>
                <w:rFonts w:ascii="Calibri" w:hAnsi="Calibri" w:cs="Arial"/>
                <w:color w:val="000000"/>
              </w:rPr>
              <w:t>Foulkes</w:t>
            </w:r>
            <w:proofErr w:type="spellEnd"/>
            <w:r w:rsidRPr="00B857F8">
              <w:rPr>
                <w:rFonts w:ascii="Calibri" w:hAnsi="Calibri" w:cs="Arial"/>
                <w:color w:val="000000"/>
              </w:rPr>
              <w:t xml:space="preserve">, Irene. “Capítulo II”. En </w:t>
            </w:r>
            <w:r w:rsidRPr="00B857F8">
              <w:rPr>
                <w:rFonts w:ascii="Calibri" w:hAnsi="Calibri" w:cs="Arial"/>
                <w:i/>
                <w:iCs/>
                <w:color w:val="000000"/>
              </w:rPr>
              <w:t>El griego del Nuevo Testamento</w:t>
            </w:r>
            <w:r w:rsidRPr="00B857F8">
              <w:rPr>
                <w:rFonts w:ascii="Calibri" w:hAnsi="Calibri" w:cs="Arial"/>
                <w:color w:val="000000"/>
              </w:rPr>
              <w:t xml:space="preserve">, 29-40. San José: Universidad Bíblica Latinoamericana, 2010. </w:t>
            </w:r>
            <w:r w:rsidRPr="00B857F8">
              <w:rPr>
                <w:rFonts w:ascii="Calibri" w:hAnsi="Calibri" w:cs="Calibri"/>
                <w:color w:val="0070C0"/>
                <w:szCs w:val="18"/>
              </w:rPr>
              <w:t>(clásico, última edición)</w:t>
            </w:r>
          </w:p>
          <w:p w14:paraId="55F67666" w14:textId="77777777" w:rsidR="00B857F8" w:rsidRPr="00B857F8" w:rsidRDefault="00B857F8" w:rsidP="00B857F8">
            <w:pPr>
              <w:rPr>
                <w:rFonts w:ascii="Calibri" w:hAnsi="Calibri" w:cs="Arial"/>
                <w:color w:val="000000"/>
              </w:rPr>
            </w:pPr>
          </w:p>
          <w:p w14:paraId="6B29034A" w14:textId="77777777" w:rsidR="00B857F8" w:rsidRPr="00B857F8" w:rsidRDefault="00B857F8" w:rsidP="00B857F8">
            <w:pPr>
              <w:rPr>
                <w:rFonts w:ascii="Calibri" w:hAnsi="Calibri" w:cs="Arial"/>
                <w:b/>
                <w:bCs/>
                <w:color w:val="0070C0"/>
                <w:lang w:val="es-CR"/>
              </w:rPr>
            </w:pPr>
            <w:r w:rsidRPr="00B857F8">
              <w:rPr>
                <w:rFonts w:ascii="Calibri" w:hAnsi="Calibri" w:cs="Arial"/>
                <w:b/>
                <w:bCs/>
                <w:color w:val="0070C0"/>
                <w:lang w:val="es-CR"/>
              </w:rPr>
              <w:t>Material complementario</w:t>
            </w:r>
          </w:p>
          <w:p w14:paraId="1F701EBA" w14:textId="77777777" w:rsidR="00B857F8" w:rsidRPr="00B857F8" w:rsidRDefault="00B857F8" w:rsidP="00B857F8">
            <w:pPr>
              <w:rPr>
                <w:rFonts w:ascii="Calibri" w:hAnsi="Calibri" w:cs="Arial"/>
                <w:b/>
                <w:bCs/>
                <w:color w:val="000000"/>
              </w:rPr>
            </w:pPr>
          </w:p>
          <w:p w14:paraId="2B578E54" w14:textId="77777777" w:rsidR="00B857F8" w:rsidRPr="00B857F8" w:rsidRDefault="00B857F8" w:rsidP="00B857F8">
            <w:pPr>
              <w:rPr>
                <w:rFonts w:ascii="Calibri" w:hAnsi="Calibri" w:cs="Arial"/>
                <w:color w:val="0070C0"/>
              </w:rPr>
            </w:pPr>
            <w:r w:rsidRPr="00B857F8">
              <w:rPr>
                <w:rFonts w:ascii="Calibri" w:hAnsi="Calibri" w:cs="Arial"/>
                <w:color w:val="0070C0"/>
              </w:rPr>
              <w:t xml:space="preserve">Guía para la participación mediante la herramienta Big Blue </w:t>
            </w:r>
            <w:proofErr w:type="spellStart"/>
            <w:r w:rsidRPr="00B857F8">
              <w:rPr>
                <w:rFonts w:ascii="Calibri" w:hAnsi="Calibri" w:cs="Arial"/>
                <w:color w:val="0070C0"/>
              </w:rPr>
              <w:t>Button</w:t>
            </w:r>
            <w:proofErr w:type="spellEnd"/>
            <w:r w:rsidRPr="00B857F8">
              <w:rPr>
                <w:rFonts w:ascii="Calibri" w:hAnsi="Calibri" w:cs="Arial"/>
                <w:color w:val="0070C0"/>
              </w:rPr>
              <w:t xml:space="preserve"> en la plataforma Moodle</w:t>
            </w:r>
          </w:p>
          <w:p w14:paraId="58FBEE4D" w14:textId="77777777" w:rsidR="00B857F8" w:rsidRPr="00B857F8" w:rsidRDefault="00B857F8" w:rsidP="00B857F8">
            <w:pPr>
              <w:rPr>
                <w:rFonts w:ascii="Calibri" w:hAnsi="Calibri" w:cs="Arial"/>
                <w:color w:val="0070C0"/>
              </w:rPr>
            </w:pPr>
          </w:p>
          <w:p w14:paraId="53F1EC3E" w14:textId="77777777" w:rsidR="00B857F8" w:rsidRPr="00B857F8" w:rsidRDefault="00B857F8" w:rsidP="00B857F8">
            <w:pPr>
              <w:rPr>
                <w:rFonts w:ascii="Calibri" w:hAnsi="Calibri" w:cs="Arial"/>
                <w:color w:val="0070C0"/>
              </w:rPr>
            </w:pPr>
            <w:r w:rsidRPr="00B857F8">
              <w:rPr>
                <w:rFonts w:ascii="Calibri" w:hAnsi="Calibri" w:cs="Arial"/>
                <w:color w:val="0070C0"/>
              </w:rPr>
              <w:t>Guía para la participación en un foro en la plataforma Moodle</w:t>
            </w:r>
          </w:p>
          <w:p w14:paraId="0300F26D" w14:textId="77777777" w:rsidR="00B857F8" w:rsidRPr="00B857F8" w:rsidRDefault="00B857F8" w:rsidP="00B857F8">
            <w:pPr>
              <w:rPr>
                <w:rFonts w:ascii="Calibri" w:hAnsi="Calibri" w:cs="Arial"/>
                <w:color w:val="000000"/>
              </w:rPr>
            </w:pPr>
          </w:p>
          <w:p w14:paraId="5660E24A" w14:textId="77777777" w:rsidR="00B857F8" w:rsidRPr="00B857F8" w:rsidRDefault="00B857F8" w:rsidP="00B857F8">
            <w:pPr>
              <w:rPr>
                <w:rFonts w:ascii="Calibri" w:hAnsi="Calibri" w:cs="Arial"/>
              </w:rPr>
            </w:pPr>
          </w:p>
        </w:tc>
        <w:tc>
          <w:tcPr>
            <w:tcW w:w="3118" w:type="dxa"/>
          </w:tcPr>
          <w:p w14:paraId="5DD60E8B" w14:textId="77777777" w:rsidR="00B857F8" w:rsidRPr="00B857F8" w:rsidRDefault="00B857F8" w:rsidP="00B857F8">
            <w:pPr>
              <w:numPr>
                <w:ilvl w:val="0"/>
                <w:numId w:val="214"/>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lastRenderedPageBreak/>
              <w:t>Observación de un video en un encuentro sincrónico virtual.</w:t>
            </w:r>
          </w:p>
          <w:p w14:paraId="77F8DD48" w14:textId="77777777" w:rsidR="00B857F8" w:rsidRPr="00B857F8" w:rsidRDefault="00B857F8" w:rsidP="00B857F8">
            <w:pPr>
              <w:numPr>
                <w:ilvl w:val="0"/>
                <w:numId w:val="214"/>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Participación en el foro temático: Las impresiones de la cultura antigua y moderna (formativo).</w:t>
            </w:r>
          </w:p>
          <w:p w14:paraId="214E1DDA" w14:textId="77777777" w:rsidR="00B857F8" w:rsidRPr="00B857F8" w:rsidRDefault="00B857F8" w:rsidP="00B857F8">
            <w:pPr>
              <w:numPr>
                <w:ilvl w:val="0"/>
                <w:numId w:val="214"/>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p w14:paraId="4CDBF010" w14:textId="77777777" w:rsidR="00B857F8" w:rsidRPr="00B857F8" w:rsidRDefault="00B857F8" w:rsidP="00B857F8">
            <w:pPr>
              <w:numPr>
                <w:ilvl w:val="0"/>
                <w:numId w:val="214"/>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Resolución de la prueba corta 1 en el aula virtual.</w:t>
            </w:r>
          </w:p>
        </w:tc>
      </w:tr>
      <w:tr w:rsidR="00B857F8" w:rsidRPr="00B857F8" w14:paraId="0D12A8F2" w14:textId="77777777" w:rsidTr="00104785">
        <w:trPr>
          <w:jc w:val="center"/>
        </w:trPr>
        <w:tc>
          <w:tcPr>
            <w:tcW w:w="1144" w:type="dxa"/>
          </w:tcPr>
          <w:p w14:paraId="7CA9C2AC" w14:textId="77777777" w:rsidR="00B857F8" w:rsidRPr="00B857F8" w:rsidRDefault="00B857F8" w:rsidP="00B857F8">
            <w:pPr>
              <w:jc w:val="center"/>
              <w:rPr>
                <w:rFonts w:ascii="Calibri" w:hAnsi="Calibri" w:cs="Arial"/>
              </w:rPr>
            </w:pPr>
            <w:r w:rsidRPr="00B857F8">
              <w:rPr>
                <w:rFonts w:ascii="Calibri" w:hAnsi="Calibri" w:cs="Arial"/>
              </w:rPr>
              <w:t>3</w:t>
            </w:r>
          </w:p>
        </w:tc>
        <w:tc>
          <w:tcPr>
            <w:tcW w:w="2395" w:type="dxa"/>
          </w:tcPr>
          <w:p w14:paraId="179E38AC"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2: Declinación de sustantivos, adjetivos y pronombres</w:t>
            </w:r>
          </w:p>
          <w:p w14:paraId="2BF0DF73" w14:textId="77777777" w:rsidR="00B857F8" w:rsidRPr="00B857F8" w:rsidRDefault="00B857F8" w:rsidP="00B857F8">
            <w:pPr>
              <w:rPr>
                <w:rFonts w:ascii="Calibri" w:hAnsi="Calibri" w:cs="Arial"/>
                <w:b/>
                <w:bCs/>
                <w:color w:val="000000"/>
              </w:rPr>
            </w:pPr>
          </w:p>
          <w:p w14:paraId="52B904C2" w14:textId="77777777" w:rsidR="00B857F8" w:rsidRPr="00B857F8" w:rsidRDefault="00B857F8" w:rsidP="00B857F8">
            <w:pPr>
              <w:rPr>
                <w:rFonts w:ascii="Calibri" w:hAnsi="Calibri" w:cs="Arial"/>
                <w:color w:val="000000"/>
              </w:rPr>
            </w:pPr>
            <w:r w:rsidRPr="00B857F8">
              <w:rPr>
                <w:rFonts w:ascii="Calibri" w:hAnsi="Calibri"/>
              </w:rPr>
              <w:t>2.1 Genitivo, dativo y vocativo de 2da declinación; Posición atributiva del adjetivo</w:t>
            </w:r>
          </w:p>
          <w:p w14:paraId="1EF87958" w14:textId="77777777" w:rsidR="00B857F8" w:rsidRPr="00B857F8" w:rsidRDefault="00B857F8" w:rsidP="00B857F8">
            <w:pPr>
              <w:rPr>
                <w:rFonts w:ascii="Calibri" w:hAnsi="Calibri" w:cs="Arial"/>
              </w:rPr>
            </w:pPr>
          </w:p>
        </w:tc>
        <w:tc>
          <w:tcPr>
            <w:tcW w:w="3119" w:type="dxa"/>
          </w:tcPr>
          <w:p w14:paraId="3D53E9E7" w14:textId="77777777" w:rsidR="00B857F8" w:rsidRPr="00B857F8" w:rsidRDefault="00B857F8" w:rsidP="00B857F8">
            <w:pPr>
              <w:rPr>
                <w:rFonts w:ascii="Calibri" w:hAnsi="Calibri" w:cs="Arial"/>
                <w:color w:val="000000"/>
              </w:rPr>
            </w:pPr>
            <w:r w:rsidRPr="00B857F8">
              <w:rPr>
                <w:rFonts w:ascii="Calibri" w:hAnsi="Calibri" w:cs="Arial"/>
                <w:color w:val="0070C0"/>
              </w:rPr>
              <w:t>Ruta de aprendizaje</w:t>
            </w:r>
          </w:p>
          <w:p w14:paraId="574120F4" w14:textId="77777777" w:rsidR="00B857F8" w:rsidRPr="00B857F8" w:rsidRDefault="00B857F8" w:rsidP="00B857F8">
            <w:pPr>
              <w:rPr>
                <w:rFonts w:ascii="Calibri" w:hAnsi="Calibri" w:cs="Arial"/>
                <w:color w:val="000000"/>
              </w:rPr>
            </w:pPr>
          </w:p>
          <w:p w14:paraId="789A08E7" w14:textId="77777777" w:rsidR="00B857F8" w:rsidRPr="00B857F8" w:rsidRDefault="00B857F8" w:rsidP="00B857F8">
            <w:pPr>
              <w:rPr>
                <w:rFonts w:ascii="Calibri" w:hAnsi="Calibri" w:cs="Arial"/>
                <w:color w:val="000000"/>
              </w:rPr>
            </w:pPr>
            <w:proofErr w:type="spellStart"/>
            <w:r w:rsidRPr="00B857F8">
              <w:rPr>
                <w:rFonts w:ascii="Calibri" w:hAnsi="Calibri" w:cs="Arial"/>
                <w:color w:val="000000"/>
              </w:rPr>
              <w:t>Foulkes</w:t>
            </w:r>
            <w:proofErr w:type="spellEnd"/>
            <w:r w:rsidRPr="00B857F8">
              <w:rPr>
                <w:rFonts w:ascii="Calibri" w:hAnsi="Calibri" w:cs="Arial"/>
                <w:color w:val="000000"/>
              </w:rPr>
              <w:t xml:space="preserve">, Irene. “Capítulo III”. En </w:t>
            </w:r>
            <w:r w:rsidRPr="00B857F8">
              <w:rPr>
                <w:rFonts w:ascii="Calibri" w:hAnsi="Calibri" w:cs="Arial"/>
                <w:i/>
                <w:iCs/>
                <w:color w:val="000000"/>
              </w:rPr>
              <w:t>El griego del Nuevo Testamento</w:t>
            </w:r>
            <w:r w:rsidRPr="00B857F8">
              <w:rPr>
                <w:rFonts w:ascii="Calibri" w:hAnsi="Calibri" w:cs="Arial"/>
                <w:color w:val="000000"/>
              </w:rPr>
              <w:t xml:space="preserve">, 41-49. San José: Universidad Bíblica Latinoamericana, 2010. </w:t>
            </w:r>
            <w:r w:rsidRPr="00B857F8">
              <w:rPr>
                <w:rFonts w:ascii="Calibri" w:hAnsi="Calibri" w:cs="Calibri"/>
                <w:color w:val="0070C0"/>
                <w:szCs w:val="18"/>
              </w:rPr>
              <w:t>(clásico, última edición)</w:t>
            </w:r>
          </w:p>
          <w:p w14:paraId="48548512" w14:textId="77777777" w:rsidR="00B857F8" w:rsidRPr="00B857F8" w:rsidRDefault="00B857F8" w:rsidP="00B857F8">
            <w:pPr>
              <w:rPr>
                <w:rFonts w:ascii="Calibri" w:hAnsi="Calibri" w:cs="Arial"/>
                <w:color w:val="000000"/>
              </w:rPr>
            </w:pPr>
          </w:p>
          <w:p w14:paraId="6D81E6D1" w14:textId="77777777" w:rsidR="00B857F8" w:rsidRPr="00B857F8" w:rsidRDefault="00B857F8" w:rsidP="00B857F8">
            <w:pPr>
              <w:rPr>
                <w:rFonts w:ascii="Calibri" w:hAnsi="Calibri" w:cs="Arial"/>
                <w:color w:val="000000"/>
              </w:rPr>
            </w:pPr>
            <w:r w:rsidRPr="00B857F8">
              <w:rPr>
                <w:rFonts w:ascii="Calibri" w:hAnsi="Calibri" w:cs="Arial"/>
                <w:color w:val="000000"/>
              </w:rPr>
              <w:t xml:space="preserve">Delgado, Inmaculada. “Declinación temática o 2ª declinación”. En </w:t>
            </w:r>
            <w:r w:rsidRPr="00B857F8">
              <w:rPr>
                <w:rFonts w:ascii="Calibri" w:hAnsi="Calibri" w:cs="Arial"/>
                <w:i/>
                <w:iCs/>
                <w:color w:val="000000"/>
              </w:rPr>
              <w:t>Gramática griega del Nuevo Testamento: I. Morfología</w:t>
            </w:r>
            <w:r w:rsidRPr="00B857F8">
              <w:rPr>
                <w:rFonts w:ascii="Calibri" w:hAnsi="Calibri" w:cs="Arial"/>
                <w:color w:val="000000"/>
              </w:rPr>
              <w:t xml:space="preserve">, 37-41. Estella: Verbo Divino, 2013. </w:t>
            </w:r>
            <w:r w:rsidRPr="00B857F8">
              <w:rPr>
                <w:rFonts w:ascii="Calibri" w:hAnsi="Calibri" w:cs="Calibri"/>
                <w:color w:val="0070C0"/>
                <w:szCs w:val="18"/>
              </w:rPr>
              <w:t>(clásico, última edición)</w:t>
            </w:r>
          </w:p>
          <w:p w14:paraId="2B80D39E" w14:textId="77777777" w:rsidR="00B857F8" w:rsidRPr="00B857F8" w:rsidRDefault="00B857F8" w:rsidP="00B857F8">
            <w:pPr>
              <w:rPr>
                <w:rFonts w:ascii="Calibri" w:hAnsi="Calibri" w:cs="Arial"/>
                <w:color w:val="000000"/>
              </w:rPr>
            </w:pPr>
          </w:p>
          <w:p w14:paraId="08431943" w14:textId="77777777" w:rsidR="00B857F8" w:rsidRPr="00B857F8" w:rsidRDefault="00B857F8" w:rsidP="00B857F8">
            <w:pPr>
              <w:rPr>
                <w:rFonts w:ascii="Calibri" w:hAnsi="Calibri" w:cs="Arial"/>
                <w:b/>
                <w:bCs/>
                <w:color w:val="0070C0"/>
                <w:lang w:val="es-CR"/>
              </w:rPr>
            </w:pPr>
            <w:r w:rsidRPr="00B857F8">
              <w:rPr>
                <w:rFonts w:ascii="Calibri" w:hAnsi="Calibri" w:cs="Arial"/>
                <w:b/>
                <w:bCs/>
                <w:color w:val="0070C0"/>
                <w:lang w:val="es-CR"/>
              </w:rPr>
              <w:t>Material complementario</w:t>
            </w:r>
          </w:p>
          <w:p w14:paraId="112CD00C" w14:textId="77777777" w:rsidR="00B857F8" w:rsidRPr="00B857F8" w:rsidRDefault="00B857F8" w:rsidP="00B857F8">
            <w:pPr>
              <w:rPr>
                <w:rFonts w:ascii="Calibri" w:hAnsi="Calibri" w:cs="Arial"/>
                <w:b/>
                <w:bCs/>
                <w:color w:val="000000"/>
              </w:rPr>
            </w:pPr>
          </w:p>
          <w:p w14:paraId="7F361261" w14:textId="77777777" w:rsidR="00B857F8" w:rsidRPr="00B857F8" w:rsidRDefault="00B857F8" w:rsidP="00B857F8">
            <w:pPr>
              <w:rPr>
                <w:rFonts w:ascii="Calibri" w:hAnsi="Calibri" w:cs="Arial"/>
                <w:color w:val="0070C0"/>
              </w:rPr>
            </w:pPr>
            <w:r w:rsidRPr="00B857F8">
              <w:rPr>
                <w:rFonts w:ascii="Calibri" w:hAnsi="Calibri" w:cs="Arial"/>
                <w:color w:val="0070C0"/>
              </w:rPr>
              <w:t xml:space="preserve">Guía para la participación mediante la herramienta Big Blue </w:t>
            </w:r>
            <w:proofErr w:type="spellStart"/>
            <w:r w:rsidRPr="00B857F8">
              <w:rPr>
                <w:rFonts w:ascii="Calibri" w:hAnsi="Calibri" w:cs="Arial"/>
                <w:color w:val="0070C0"/>
              </w:rPr>
              <w:t>Button</w:t>
            </w:r>
            <w:proofErr w:type="spellEnd"/>
            <w:r w:rsidRPr="00B857F8">
              <w:rPr>
                <w:rFonts w:ascii="Calibri" w:hAnsi="Calibri" w:cs="Arial"/>
                <w:color w:val="0070C0"/>
              </w:rPr>
              <w:t xml:space="preserve"> en la plataforma Moodle</w:t>
            </w:r>
          </w:p>
          <w:p w14:paraId="586C1204" w14:textId="77777777" w:rsidR="00B857F8" w:rsidRPr="00B857F8" w:rsidRDefault="00B857F8" w:rsidP="00B857F8">
            <w:pPr>
              <w:rPr>
                <w:rFonts w:ascii="Calibri" w:hAnsi="Calibri" w:cs="Arial"/>
              </w:rPr>
            </w:pPr>
          </w:p>
        </w:tc>
        <w:tc>
          <w:tcPr>
            <w:tcW w:w="3118" w:type="dxa"/>
          </w:tcPr>
          <w:p w14:paraId="44FC0A2E" w14:textId="77777777" w:rsidR="00B857F8" w:rsidRPr="00B857F8" w:rsidRDefault="00B857F8" w:rsidP="00B857F8">
            <w:pPr>
              <w:numPr>
                <w:ilvl w:val="0"/>
                <w:numId w:val="215"/>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Realizar la lectura de la sesión.</w:t>
            </w:r>
          </w:p>
          <w:p w14:paraId="141F61AD" w14:textId="77777777" w:rsidR="00B857F8" w:rsidRPr="00B857F8" w:rsidRDefault="00B857F8" w:rsidP="00B857F8">
            <w:pPr>
              <w:numPr>
                <w:ilvl w:val="0"/>
                <w:numId w:val="215"/>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Participación en un encuentro sincrónico virtual.</w:t>
            </w:r>
          </w:p>
          <w:p w14:paraId="12F2F0F5" w14:textId="77777777" w:rsidR="00B857F8" w:rsidRPr="00B857F8" w:rsidRDefault="00B857F8" w:rsidP="00B857F8">
            <w:pPr>
              <w:numPr>
                <w:ilvl w:val="0"/>
                <w:numId w:val="215"/>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tc>
      </w:tr>
      <w:tr w:rsidR="00B857F8" w:rsidRPr="00B857F8" w14:paraId="11669A53" w14:textId="77777777" w:rsidTr="00104785">
        <w:trPr>
          <w:jc w:val="center"/>
        </w:trPr>
        <w:tc>
          <w:tcPr>
            <w:tcW w:w="1144" w:type="dxa"/>
          </w:tcPr>
          <w:p w14:paraId="1FE7F966" w14:textId="77777777" w:rsidR="00B857F8" w:rsidRPr="00B857F8" w:rsidRDefault="00B857F8" w:rsidP="00B857F8">
            <w:pPr>
              <w:jc w:val="center"/>
              <w:rPr>
                <w:rFonts w:ascii="Calibri" w:hAnsi="Calibri" w:cs="Arial"/>
              </w:rPr>
            </w:pPr>
            <w:r w:rsidRPr="00B857F8">
              <w:rPr>
                <w:rFonts w:ascii="Calibri" w:hAnsi="Calibri" w:cs="Arial"/>
              </w:rPr>
              <w:t>4</w:t>
            </w:r>
          </w:p>
        </w:tc>
        <w:tc>
          <w:tcPr>
            <w:tcW w:w="2395" w:type="dxa"/>
          </w:tcPr>
          <w:p w14:paraId="21577B59"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2: Declinación de sustantivos, adjetivos y pronombres</w:t>
            </w:r>
          </w:p>
          <w:p w14:paraId="3423CF23" w14:textId="77777777" w:rsidR="00B857F8" w:rsidRPr="00B857F8" w:rsidRDefault="00B857F8" w:rsidP="00B857F8">
            <w:pPr>
              <w:rPr>
                <w:rFonts w:ascii="Calibri" w:hAnsi="Calibri" w:cs="Arial"/>
              </w:rPr>
            </w:pPr>
          </w:p>
          <w:p w14:paraId="5CCE4855" w14:textId="77777777" w:rsidR="00B857F8" w:rsidRPr="00B857F8" w:rsidRDefault="00B857F8" w:rsidP="00B857F8">
            <w:pPr>
              <w:rPr>
                <w:rFonts w:ascii="Calibri" w:hAnsi="Calibri" w:cs="Arial"/>
              </w:rPr>
            </w:pPr>
            <w:r w:rsidRPr="00B857F8">
              <w:rPr>
                <w:rFonts w:ascii="Calibri" w:hAnsi="Calibri"/>
              </w:rPr>
              <w:t xml:space="preserve">2.2 El Verbo </w:t>
            </w:r>
            <w:proofErr w:type="spellStart"/>
            <w:r w:rsidRPr="00B857F8">
              <w:rPr>
                <w:rFonts w:ascii="Calibri" w:hAnsi="Calibri"/>
              </w:rPr>
              <w:t>eimi</w:t>
            </w:r>
            <w:proofErr w:type="spellEnd"/>
            <w:r w:rsidRPr="00B857F8">
              <w:rPr>
                <w:rFonts w:ascii="Calibri" w:hAnsi="Calibri"/>
              </w:rPr>
              <w:t>; Oraciones atributivas; Posición predicativa del adjetivo</w:t>
            </w:r>
          </w:p>
          <w:p w14:paraId="70B9BDD1" w14:textId="77777777" w:rsidR="00B857F8" w:rsidRPr="00B857F8" w:rsidRDefault="00B857F8" w:rsidP="00B857F8">
            <w:pPr>
              <w:rPr>
                <w:rFonts w:ascii="Calibri" w:hAnsi="Calibri" w:cs="Arial"/>
              </w:rPr>
            </w:pPr>
          </w:p>
        </w:tc>
        <w:tc>
          <w:tcPr>
            <w:tcW w:w="3119" w:type="dxa"/>
          </w:tcPr>
          <w:p w14:paraId="20B3EC12" w14:textId="77777777" w:rsidR="00B857F8" w:rsidRPr="00B857F8" w:rsidRDefault="00B857F8" w:rsidP="00B857F8">
            <w:pPr>
              <w:rPr>
                <w:rFonts w:ascii="Calibri" w:hAnsi="Calibri" w:cs="Arial"/>
                <w:color w:val="000000"/>
              </w:rPr>
            </w:pPr>
            <w:r w:rsidRPr="00B857F8">
              <w:rPr>
                <w:rFonts w:ascii="Calibri" w:hAnsi="Calibri" w:cs="Arial"/>
                <w:color w:val="0070C0"/>
              </w:rPr>
              <w:t>Ruta de aprendizaje</w:t>
            </w:r>
          </w:p>
          <w:p w14:paraId="31742CCE" w14:textId="77777777" w:rsidR="00B857F8" w:rsidRPr="00B857F8" w:rsidRDefault="00B857F8" w:rsidP="00B857F8">
            <w:pPr>
              <w:rPr>
                <w:rFonts w:ascii="Calibri" w:hAnsi="Calibri" w:cs="Arial"/>
                <w:color w:val="000000"/>
              </w:rPr>
            </w:pPr>
          </w:p>
          <w:p w14:paraId="50E7B280" w14:textId="77777777" w:rsidR="00B857F8" w:rsidRPr="00B857F8" w:rsidRDefault="00B857F8" w:rsidP="00B857F8">
            <w:pPr>
              <w:rPr>
                <w:rFonts w:ascii="Calibri" w:hAnsi="Calibri" w:cs="Arial"/>
                <w:color w:val="000000"/>
              </w:rPr>
            </w:pPr>
            <w:proofErr w:type="spellStart"/>
            <w:r w:rsidRPr="00B857F8">
              <w:rPr>
                <w:rFonts w:ascii="Calibri" w:hAnsi="Calibri" w:cs="Arial"/>
                <w:color w:val="000000"/>
              </w:rPr>
              <w:t>Foulkes</w:t>
            </w:r>
            <w:proofErr w:type="spellEnd"/>
            <w:r w:rsidRPr="00B857F8">
              <w:rPr>
                <w:rFonts w:ascii="Calibri" w:hAnsi="Calibri" w:cs="Arial"/>
                <w:color w:val="000000"/>
              </w:rPr>
              <w:t xml:space="preserve">, Irene. “Capítulo IV”. En </w:t>
            </w:r>
            <w:r w:rsidRPr="00B857F8">
              <w:rPr>
                <w:rFonts w:ascii="Calibri" w:hAnsi="Calibri" w:cs="Arial"/>
                <w:i/>
                <w:iCs/>
                <w:color w:val="000000"/>
              </w:rPr>
              <w:t>El griego del Nuevo Testamento</w:t>
            </w:r>
            <w:r w:rsidRPr="00B857F8">
              <w:rPr>
                <w:rFonts w:ascii="Calibri" w:hAnsi="Calibri" w:cs="Arial"/>
                <w:color w:val="000000"/>
              </w:rPr>
              <w:t xml:space="preserve">, 51-61. San José: Universidad Bíblica Latinoamericana, 2010. </w:t>
            </w:r>
            <w:r w:rsidRPr="00B857F8">
              <w:rPr>
                <w:rFonts w:ascii="Calibri" w:hAnsi="Calibri" w:cs="Calibri"/>
                <w:color w:val="0070C0"/>
                <w:szCs w:val="18"/>
              </w:rPr>
              <w:t>(clásico, última edición)</w:t>
            </w:r>
          </w:p>
          <w:p w14:paraId="63B7C645" w14:textId="77777777" w:rsidR="00B857F8" w:rsidRPr="00B857F8" w:rsidRDefault="00B857F8" w:rsidP="00B857F8">
            <w:pPr>
              <w:rPr>
                <w:rFonts w:ascii="Calibri" w:hAnsi="Calibri" w:cs="Arial"/>
                <w:color w:val="000000"/>
              </w:rPr>
            </w:pPr>
          </w:p>
          <w:p w14:paraId="1C3E22E1" w14:textId="77777777" w:rsidR="00B857F8" w:rsidRPr="00B857F8" w:rsidRDefault="00B857F8" w:rsidP="00B857F8">
            <w:pPr>
              <w:rPr>
                <w:rFonts w:ascii="Calibri" w:hAnsi="Calibri" w:cs="Arial"/>
                <w:color w:val="000000"/>
              </w:rPr>
            </w:pPr>
            <w:r w:rsidRPr="00B857F8">
              <w:rPr>
                <w:rFonts w:ascii="Calibri" w:hAnsi="Calibri" w:cs="Arial"/>
                <w:color w:val="000000"/>
              </w:rPr>
              <w:t xml:space="preserve">Delgado, Inmaculada. “Presente e imperfecto del verbo y del verbo </w:t>
            </w:r>
            <w:proofErr w:type="spellStart"/>
            <w:r w:rsidRPr="00B857F8">
              <w:rPr>
                <w:rFonts w:ascii="Calibri" w:hAnsi="Calibri" w:cs="Arial"/>
                <w:color w:val="000000"/>
              </w:rPr>
              <w:t>eimi</w:t>
            </w:r>
            <w:proofErr w:type="spellEnd"/>
            <w:r w:rsidRPr="00B857F8">
              <w:rPr>
                <w:rFonts w:ascii="Calibri" w:hAnsi="Calibri" w:cs="Arial"/>
                <w:color w:val="000000"/>
              </w:rPr>
              <w:t xml:space="preserve">”. En </w:t>
            </w:r>
            <w:r w:rsidRPr="00B857F8">
              <w:rPr>
                <w:rFonts w:ascii="Calibri" w:hAnsi="Calibri" w:cs="Arial"/>
                <w:i/>
                <w:iCs/>
                <w:color w:val="000000"/>
              </w:rPr>
              <w:t>Gramática griega del Nuevo Testamento: I. Morfología</w:t>
            </w:r>
            <w:r w:rsidRPr="00B857F8">
              <w:rPr>
                <w:rFonts w:ascii="Calibri" w:hAnsi="Calibri" w:cs="Arial"/>
                <w:color w:val="000000"/>
              </w:rPr>
              <w:t xml:space="preserve">, 43-47. Estella: Verbo Divino, 2013. </w:t>
            </w:r>
            <w:r w:rsidRPr="00B857F8">
              <w:rPr>
                <w:rFonts w:ascii="Calibri" w:hAnsi="Calibri" w:cs="Calibri"/>
                <w:color w:val="0070C0"/>
                <w:szCs w:val="18"/>
              </w:rPr>
              <w:t>(clásico, última edición)</w:t>
            </w:r>
          </w:p>
          <w:p w14:paraId="16CCD51A" w14:textId="77777777" w:rsidR="00B857F8" w:rsidRPr="00B857F8" w:rsidRDefault="00B857F8" w:rsidP="00B857F8">
            <w:pPr>
              <w:rPr>
                <w:rFonts w:ascii="Calibri" w:hAnsi="Calibri" w:cs="Arial"/>
                <w:color w:val="000000"/>
              </w:rPr>
            </w:pPr>
          </w:p>
          <w:p w14:paraId="4B18053C" w14:textId="77777777" w:rsidR="00B857F8" w:rsidRPr="00B857F8" w:rsidRDefault="00B857F8" w:rsidP="00B857F8">
            <w:pPr>
              <w:rPr>
                <w:rFonts w:ascii="Calibri" w:hAnsi="Calibri" w:cs="Arial"/>
                <w:b/>
                <w:bCs/>
                <w:color w:val="000000"/>
                <w:lang w:val="es-CR"/>
              </w:rPr>
            </w:pPr>
            <w:r w:rsidRPr="00B857F8">
              <w:rPr>
                <w:rFonts w:ascii="Calibri" w:hAnsi="Calibri" w:cs="Arial"/>
                <w:b/>
                <w:bCs/>
                <w:color w:val="000000"/>
                <w:lang w:val="es-CR"/>
              </w:rPr>
              <w:t>Material complementario</w:t>
            </w:r>
          </w:p>
          <w:p w14:paraId="738DB0E0" w14:textId="77777777" w:rsidR="00B857F8" w:rsidRPr="00B857F8" w:rsidRDefault="00B857F8" w:rsidP="00B857F8">
            <w:pPr>
              <w:rPr>
                <w:rFonts w:ascii="Calibri" w:hAnsi="Calibri" w:cs="Arial"/>
                <w:b/>
                <w:bCs/>
                <w:color w:val="000000"/>
                <w:lang w:val="es-CR"/>
              </w:rPr>
            </w:pPr>
          </w:p>
          <w:p w14:paraId="1DC778AA" w14:textId="77777777" w:rsidR="00B857F8" w:rsidRPr="00B857F8" w:rsidRDefault="00B857F8" w:rsidP="00B857F8">
            <w:pPr>
              <w:rPr>
                <w:rFonts w:ascii="Calibri" w:hAnsi="Calibri" w:cs="Arial"/>
                <w:color w:val="0563C1"/>
                <w:u w:val="single"/>
                <w:lang w:val="de-DE"/>
              </w:rPr>
            </w:pPr>
            <w:r w:rsidRPr="001C433D">
              <w:rPr>
                <w:rFonts w:ascii="Calibri" w:hAnsi="Calibri" w:cs="Arial"/>
                <w:color w:val="000000"/>
                <w:lang w:val="en-US"/>
              </w:rPr>
              <w:t xml:space="preserve">Nestle-Aland. </w:t>
            </w:r>
            <w:r w:rsidRPr="001C433D">
              <w:rPr>
                <w:rFonts w:ascii="Calibri" w:hAnsi="Calibri" w:cs="Arial"/>
                <w:i/>
                <w:iCs/>
                <w:color w:val="000000"/>
                <w:lang w:val="en-US"/>
              </w:rPr>
              <w:t xml:space="preserve">Novum </w:t>
            </w:r>
            <w:proofErr w:type="spellStart"/>
            <w:r w:rsidRPr="001C433D">
              <w:rPr>
                <w:rFonts w:ascii="Calibri" w:hAnsi="Calibri" w:cs="Arial"/>
                <w:i/>
                <w:iCs/>
                <w:color w:val="000000"/>
                <w:lang w:val="en-US"/>
              </w:rPr>
              <w:t>Testamentum</w:t>
            </w:r>
            <w:proofErr w:type="spellEnd"/>
            <w:r w:rsidRPr="001C433D">
              <w:rPr>
                <w:rFonts w:ascii="Calibri" w:hAnsi="Calibri" w:cs="Arial"/>
                <w:i/>
                <w:iCs/>
                <w:color w:val="000000"/>
                <w:lang w:val="en-US"/>
              </w:rPr>
              <w:t xml:space="preserve"> </w:t>
            </w:r>
            <w:proofErr w:type="spellStart"/>
            <w:r w:rsidRPr="001C433D">
              <w:rPr>
                <w:rFonts w:ascii="Calibri" w:hAnsi="Calibri" w:cs="Arial"/>
                <w:i/>
                <w:iCs/>
                <w:color w:val="000000"/>
                <w:lang w:val="en-US"/>
              </w:rPr>
              <w:t>Graece</w:t>
            </w:r>
            <w:proofErr w:type="spellEnd"/>
            <w:r w:rsidRPr="001C433D">
              <w:rPr>
                <w:rFonts w:ascii="Calibri" w:hAnsi="Calibri" w:cs="Arial"/>
                <w:i/>
                <w:iCs/>
                <w:color w:val="000000"/>
                <w:lang w:val="en-US"/>
              </w:rPr>
              <w:t xml:space="preserve">. </w:t>
            </w:r>
            <w:r w:rsidRPr="00B857F8">
              <w:rPr>
                <w:rFonts w:ascii="Calibri" w:hAnsi="Calibri" w:cs="Arial"/>
                <w:color w:val="000000"/>
                <w:lang w:val="de-DE"/>
              </w:rPr>
              <w:t xml:space="preserve">Stuttgart: Deutsche Bibelgesellschaft, 2012. Acceso el 2 de noviembre de 2022. </w:t>
            </w:r>
            <w:hyperlink r:id="rId288" w:history="1">
              <w:r w:rsidRPr="00B857F8">
                <w:rPr>
                  <w:rFonts w:ascii="Calibri" w:hAnsi="Calibri" w:cs="Arial"/>
                  <w:color w:val="0563C1"/>
                  <w:u w:val="single"/>
                  <w:lang w:val="de-DE"/>
                </w:rPr>
                <w:t>https://www.academic-bible.com/en/online-bibles/novum-testamentum-graece-na-28/read-the-bible-text/</w:t>
              </w:r>
            </w:hyperlink>
          </w:p>
          <w:p w14:paraId="086CCBD5" w14:textId="77777777" w:rsidR="00B857F8" w:rsidRPr="00B857F8" w:rsidRDefault="00B857F8" w:rsidP="00B857F8">
            <w:pPr>
              <w:rPr>
                <w:color w:val="0563C1"/>
                <w:u w:val="single"/>
                <w:lang w:val="de-DE"/>
              </w:rPr>
            </w:pPr>
          </w:p>
          <w:p w14:paraId="50D45516" w14:textId="77777777" w:rsidR="00B857F8" w:rsidRPr="00B857F8" w:rsidRDefault="00B857F8" w:rsidP="00B857F8">
            <w:pPr>
              <w:rPr>
                <w:rFonts w:ascii="Calibri" w:hAnsi="Calibri" w:cs="Calibri"/>
                <w:color w:val="000000"/>
              </w:rPr>
            </w:pPr>
            <w:r w:rsidRPr="00B857F8">
              <w:rPr>
                <w:rFonts w:ascii="Calibri" w:hAnsi="Calibri" w:cs="Calibri"/>
                <w:color w:val="0563C1"/>
                <w:lang w:val="de-DE"/>
              </w:rPr>
              <w:t>Guía para la participación mediante la herramienta Big Blue Button en la plataforma Moodle</w:t>
            </w:r>
          </w:p>
          <w:p w14:paraId="7CD11B5C" w14:textId="77777777" w:rsidR="00B857F8" w:rsidRPr="00B857F8" w:rsidRDefault="00B857F8" w:rsidP="00B857F8">
            <w:pPr>
              <w:rPr>
                <w:rFonts w:ascii="Calibri" w:hAnsi="Calibri" w:cs="Arial"/>
              </w:rPr>
            </w:pPr>
          </w:p>
        </w:tc>
        <w:tc>
          <w:tcPr>
            <w:tcW w:w="3118" w:type="dxa"/>
          </w:tcPr>
          <w:p w14:paraId="7D13879D" w14:textId="77777777" w:rsidR="00B857F8" w:rsidRPr="00B857F8" w:rsidRDefault="00B857F8" w:rsidP="00B857F8">
            <w:pPr>
              <w:numPr>
                <w:ilvl w:val="0"/>
                <w:numId w:val="216"/>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lastRenderedPageBreak/>
              <w:t>Realizar la lectura de la sesión.</w:t>
            </w:r>
          </w:p>
          <w:p w14:paraId="71468127" w14:textId="77777777" w:rsidR="00B857F8" w:rsidRPr="00B857F8" w:rsidRDefault="00B857F8" w:rsidP="00B857F8">
            <w:pPr>
              <w:numPr>
                <w:ilvl w:val="0"/>
                <w:numId w:val="216"/>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Participación en el encuentro sincrónico virtual.</w:t>
            </w:r>
          </w:p>
          <w:p w14:paraId="38D59D65" w14:textId="77777777" w:rsidR="00B857F8" w:rsidRPr="00B857F8" w:rsidRDefault="00B857F8" w:rsidP="00B857F8">
            <w:pPr>
              <w:numPr>
                <w:ilvl w:val="0"/>
                <w:numId w:val="216"/>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p w14:paraId="7603F8A4" w14:textId="77777777" w:rsidR="00B857F8" w:rsidRPr="00B857F8" w:rsidRDefault="00B857F8" w:rsidP="00B857F8">
            <w:pPr>
              <w:numPr>
                <w:ilvl w:val="0"/>
                <w:numId w:val="216"/>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Realización del ejercicio de traducción 1.</w:t>
            </w:r>
          </w:p>
        </w:tc>
      </w:tr>
      <w:tr w:rsidR="00B857F8" w:rsidRPr="00B857F8" w14:paraId="3EA56995" w14:textId="77777777" w:rsidTr="00104785">
        <w:trPr>
          <w:jc w:val="center"/>
        </w:trPr>
        <w:tc>
          <w:tcPr>
            <w:tcW w:w="1144" w:type="dxa"/>
          </w:tcPr>
          <w:p w14:paraId="283B279D" w14:textId="77777777" w:rsidR="00B857F8" w:rsidRPr="00B857F8" w:rsidRDefault="00B857F8" w:rsidP="00B857F8">
            <w:pPr>
              <w:jc w:val="center"/>
              <w:rPr>
                <w:rFonts w:ascii="Calibri" w:hAnsi="Calibri" w:cs="Arial"/>
              </w:rPr>
            </w:pPr>
            <w:r w:rsidRPr="00B857F8">
              <w:rPr>
                <w:rFonts w:ascii="Calibri" w:hAnsi="Calibri" w:cs="Arial"/>
              </w:rPr>
              <w:t>5</w:t>
            </w:r>
          </w:p>
        </w:tc>
        <w:tc>
          <w:tcPr>
            <w:tcW w:w="2395" w:type="dxa"/>
          </w:tcPr>
          <w:p w14:paraId="006B7420"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2: Declinación de sustantivos, adjetivos y pronombres</w:t>
            </w:r>
          </w:p>
          <w:p w14:paraId="3552AB0B" w14:textId="77777777" w:rsidR="00B857F8" w:rsidRPr="00B857F8" w:rsidRDefault="00B857F8" w:rsidP="00B857F8">
            <w:pPr>
              <w:rPr>
                <w:rFonts w:ascii="Calibri" w:hAnsi="Calibri" w:cs="Arial"/>
              </w:rPr>
            </w:pPr>
          </w:p>
          <w:p w14:paraId="3F78A069" w14:textId="77777777" w:rsidR="00B857F8" w:rsidRPr="00B857F8" w:rsidRDefault="00B857F8" w:rsidP="00B857F8">
            <w:pPr>
              <w:rPr>
                <w:rFonts w:ascii="Calibri" w:hAnsi="Calibri" w:cs="Arial"/>
              </w:rPr>
            </w:pPr>
            <w:r w:rsidRPr="00B857F8">
              <w:rPr>
                <w:rFonts w:ascii="Calibri" w:hAnsi="Calibri"/>
              </w:rPr>
              <w:t xml:space="preserve">2.3 El pronombre interrogativo </w:t>
            </w:r>
            <w:proofErr w:type="spellStart"/>
            <w:r w:rsidRPr="00B857F8">
              <w:rPr>
                <w:rFonts w:ascii="Calibri" w:hAnsi="Calibri"/>
              </w:rPr>
              <w:t>tis</w:t>
            </w:r>
            <w:proofErr w:type="spellEnd"/>
            <w:r w:rsidRPr="00B857F8">
              <w:rPr>
                <w:rFonts w:ascii="Calibri" w:hAnsi="Calibri"/>
              </w:rPr>
              <w:t>, tinos</w:t>
            </w:r>
          </w:p>
          <w:p w14:paraId="11AEB234" w14:textId="77777777" w:rsidR="00B857F8" w:rsidRPr="00B857F8" w:rsidRDefault="00B857F8" w:rsidP="00B857F8">
            <w:pPr>
              <w:rPr>
                <w:rFonts w:ascii="Calibri" w:hAnsi="Calibri" w:cs="Arial"/>
              </w:rPr>
            </w:pPr>
          </w:p>
        </w:tc>
        <w:tc>
          <w:tcPr>
            <w:tcW w:w="3119" w:type="dxa"/>
          </w:tcPr>
          <w:p w14:paraId="75F72CC9" w14:textId="77777777" w:rsidR="00B857F8" w:rsidRPr="00B857F8" w:rsidRDefault="00B857F8" w:rsidP="00B857F8">
            <w:pPr>
              <w:rPr>
                <w:rFonts w:ascii="Calibri" w:hAnsi="Calibri" w:cs="Arial"/>
                <w:color w:val="000000"/>
              </w:rPr>
            </w:pPr>
            <w:r w:rsidRPr="00B857F8">
              <w:rPr>
                <w:rFonts w:ascii="Calibri" w:hAnsi="Calibri" w:cs="Arial"/>
                <w:color w:val="0070C0"/>
              </w:rPr>
              <w:t>Ruta de aprendizaje</w:t>
            </w:r>
          </w:p>
          <w:p w14:paraId="267E0831" w14:textId="77777777" w:rsidR="00B857F8" w:rsidRPr="00B857F8" w:rsidRDefault="00B857F8" w:rsidP="00B857F8">
            <w:pPr>
              <w:rPr>
                <w:rFonts w:ascii="Calibri" w:hAnsi="Calibri" w:cs="Arial"/>
                <w:color w:val="000000"/>
              </w:rPr>
            </w:pPr>
          </w:p>
          <w:p w14:paraId="4C0D0C4D" w14:textId="77777777" w:rsidR="00B857F8" w:rsidRPr="00B857F8" w:rsidRDefault="00B857F8" w:rsidP="00B857F8">
            <w:pPr>
              <w:rPr>
                <w:rFonts w:ascii="Calibri" w:hAnsi="Calibri" w:cs="Arial"/>
                <w:color w:val="000000"/>
              </w:rPr>
            </w:pPr>
            <w:proofErr w:type="spellStart"/>
            <w:r w:rsidRPr="00B857F8">
              <w:rPr>
                <w:rFonts w:ascii="Calibri" w:hAnsi="Calibri" w:cs="Arial"/>
                <w:color w:val="000000"/>
              </w:rPr>
              <w:t>Foulkes</w:t>
            </w:r>
            <w:proofErr w:type="spellEnd"/>
            <w:r w:rsidRPr="00B857F8">
              <w:rPr>
                <w:rFonts w:ascii="Calibri" w:hAnsi="Calibri" w:cs="Arial"/>
                <w:color w:val="000000"/>
              </w:rPr>
              <w:t xml:space="preserve">, Irene. “Capítulo V”. En </w:t>
            </w:r>
            <w:r w:rsidRPr="00B857F8">
              <w:rPr>
                <w:rFonts w:ascii="Calibri" w:hAnsi="Calibri" w:cs="Arial"/>
                <w:i/>
                <w:iCs/>
                <w:color w:val="000000"/>
              </w:rPr>
              <w:t>El griego del Nuevo Testamento</w:t>
            </w:r>
            <w:r w:rsidRPr="00B857F8">
              <w:rPr>
                <w:rFonts w:ascii="Calibri" w:hAnsi="Calibri" w:cs="Arial"/>
                <w:color w:val="000000"/>
              </w:rPr>
              <w:t xml:space="preserve">, 63-70. San José: Universidad Bíblica Latinoamericana, 2010. </w:t>
            </w:r>
            <w:r w:rsidRPr="00B857F8">
              <w:rPr>
                <w:rFonts w:ascii="Calibri" w:hAnsi="Calibri" w:cs="Calibri"/>
                <w:color w:val="0070C0"/>
                <w:szCs w:val="18"/>
              </w:rPr>
              <w:t>(clásico, última edición)</w:t>
            </w:r>
          </w:p>
          <w:p w14:paraId="2B9DD146" w14:textId="77777777" w:rsidR="00B857F8" w:rsidRPr="00B857F8" w:rsidRDefault="00B857F8" w:rsidP="00B857F8">
            <w:pPr>
              <w:rPr>
                <w:rFonts w:ascii="Calibri" w:hAnsi="Calibri" w:cs="Arial"/>
                <w:color w:val="000000"/>
              </w:rPr>
            </w:pPr>
          </w:p>
          <w:p w14:paraId="6072221A" w14:textId="77777777" w:rsidR="00B857F8" w:rsidRPr="00B857F8" w:rsidRDefault="00B857F8" w:rsidP="00B857F8">
            <w:pPr>
              <w:rPr>
                <w:rFonts w:ascii="Calibri" w:hAnsi="Calibri" w:cs="Arial"/>
                <w:color w:val="000000"/>
              </w:rPr>
            </w:pPr>
            <w:r w:rsidRPr="00B857F8">
              <w:rPr>
                <w:rFonts w:ascii="Calibri" w:hAnsi="Calibri" w:cs="Arial"/>
                <w:color w:val="000000"/>
              </w:rPr>
              <w:t xml:space="preserve">Delgado, Inmaculada. “Pronombres relativos. Pronombres-adjetivos interrogativos. Pronombres-adjetivos indefinidos”. En </w:t>
            </w:r>
            <w:r w:rsidRPr="00B857F8">
              <w:rPr>
                <w:rFonts w:ascii="Calibri" w:hAnsi="Calibri" w:cs="Arial"/>
                <w:i/>
                <w:iCs/>
                <w:color w:val="000000"/>
              </w:rPr>
              <w:t>Gramática griega del Nuevo Testamento: I. Morfología</w:t>
            </w:r>
            <w:r w:rsidRPr="00B857F8">
              <w:rPr>
                <w:rFonts w:ascii="Calibri" w:hAnsi="Calibri" w:cs="Arial"/>
                <w:color w:val="000000"/>
              </w:rPr>
              <w:t>, 121-127. Estella: Verbo Divino, 2013.</w:t>
            </w:r>
            <w:r w:rsidRPr="00B857F8">
              <w:rPr>
                <w:rFonts w:ascii="Calibri" w:hAnsi="Calibri" w:cs="Calibri"/>
                <w:color w:val="0070C0"/>
                <w:szCs w:val="18"/>
              </w:rPr>
              <w:t xml:space="preserve"> (clásico, última edición)</w:t>
            </w:r>
          </w:p>
          <w:p w14:paraId="159317B7" w14:textId="77777777" w:rsidR="00B857F8" w:rsidRPr="00B857F8" w:rsidRDefault="00B857F8" w:rsidP="00B857F8">
            <w:pPr>
              <w:rPr>
                <w:rFonts w:ascii="Calibri" w:hAnsi="Calibri" w:cs="Arial"/>
                <w:color w:val="000000"/>
              </w:rPr>
            </w:pPr>
          </w:p>
          <w:p w14:paraId="470179E8" w14:textId="77777777" w:rsidR="00B857F8" w:rsidRPr="00B857F8" w:rsidRDefault="00B857F8" w:rsidP="00B857F8">
            <w:pPr>
              <w:rPr>
                <w:rFonts w:ascii="Calibri" w:hAnsi="Calibri" w:cs="Arial"/>
                <w:b/>
                <w:bCs/>
                <w:color w:val="0070C0"/>
                <w:lang w:val="es-CR"/>
              </w:rPr>
            </w:pPr>
            <w:r w:rsidRPr="00B857F8">
              <w:rPr>
                <w:rFonts w:ascii="Calibri" w:hAnsi="Calibri" w:cs="Arial"/>
                <w:b/>
                <w:bCs/>
                <w:color w:val="0070C0"/>
                <w:lang w:val="es-CR"/>
              </w:rPr>
              <w:t>Material complementario</w:t>
            </w:r>
          </w:p>
          <w:p w14:paraId="1EAE9C7D" w14:textId="77777777" w:rsidR="00B857F8" w:rsidRPr="00B857F8" w:rsidRDefault="00B857F8" w:rsidP="00B857F8">
            <w:pPr>
              <w:rPr>
                <w:rFonts w:ascii="Calibri" w:hAnsi="Calibri" w:cs="Arial"/>
                <w:b/>
                <w:bCs/>
                <w:color w:val="0070C0"/>
                <w:lang w:val="es-CR"/>
              </w:rPr>
            </w:pPr>
          </w:p>
          <w:p w14:paraId="2BB62DC5" w14:textId="77777777" w:rsidR="00B857F8" w:rsidRPr="00B857F8" w:rsidRDefault="00B857F8" w:rsidP="00B857F8">
            <w:pPr>
              <w:rPr>
                <w:rFonts w:ascii="Calibri" w:hAnsi="Calibri" w:cs="Arial"/>
                <w:color w:val="000000"/>
              </w:rPr>
            </w:pPr>
            <w:r w:rsidRPr="00B857F8">
              <w:rPr>
                <w:rFonts w:ascii="Calibri" w:hAnsi="Calibri" w:cs="Arial"/>
                <w:color w:val="0070C0"/>
                <w:lang w:val="es-CR"/>
              </w:rPr>
              <w:t xml:space="preserve">Guía para la participación mediante la herramienta Big Blue </w:t>
            </w:r>
            <w:proofErr w:type="spellStart"/>
            <w:r w:rsidRPr="00B857F8">
              <w:rPr>
                <w:rFonts w:ascii="Calibri" w:hAnsi="Calibri" w:cs="Arial"/>
                <w:color w:val="0070C0"/>
                <w:lang w:val="es-CR"/>
              </w:rPr>
              <w:t>Button</w:t>
            </w:r>
            <w:proofErr w:type="spellEnd"/>
            <w:r w:rsidRPr="00B857F8">
              <w:rPr>
                <w:rFonts w:ascii="Calibri" w:hAnsi="Calibri" w:cs="Arial"/>
                <w:color w:val="0070C0"/>
                <w:lang w:val="es-CR"/>
              </w:rPr>
              <w:t xml:space="preserve"> en la plataforma Moodle</w:t>
            </w:r>
          </w:p>
          <w:p w14:paraId="0706A78D" w14:textId="77777777" w:rsidR="00B857F8" w:rsidRPr="00B857F8" w:rsidRDefault="00B857F8" w:rsidP="00B857F8">
            <w:pPr>
              <w:rPr>
                <w:rFonts w:ascii="Calibri" w:hAnsi="Calibri" w:cs="Arial"/>
              </w:rPr>
            </w:pPr>
          </w:p>
        </w:tc>
        <w:tc>
          <w:tcPr>
            <w:tcW w:w="3118" w:type="dxa"/>
          </w:tcPr>
          <w:p w14:paraId="25567C8E" w14:textId="77777777" w:rsidR="00B857F8" w:rsidRPr="00B857F8" w:rsidRDefault="00B857F8" w:rsidP="00B857F8">
            <w:pPr>
              <w:numPr>
                <w:ilvl w:val="0"/>
                <w:numId w:val="217"/>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Realizar la lectura de la sesión.</w:t>
            </w:r>
          </w:p>
          <w:p w14:paraId="01F50D23" w14:textId="77777777" w:rsidR="00B857F8" w:rsidRPr="00B857F8" w:rsidRDefault="00B857F8" w:rsidP="00B857F8">
            <w:pPr>
              <w:numPr>
                <w:ilvl w:val="0"/>
                <w:numId w:val="217"/>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Repaso para el primer examen.</w:t>
            </w:r>
          </w:p>
          <w:p w14:paraId="31059803" w14:textId="77777777" w:rsidR="00B857F8" w:rsidRPr="00B857F8" w:rsidRDefault="00B857F8" w:rsidP="00B857F8">
            <w:pPr>
              <w:numPr>
                <w:ilvl w:val="0"/>
                <w:numId w:val="217"/>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tc>
      </w:tr>
      <w:tr w:rsidR="00B857F8" w:rsidRPr="00B857F8" w14:paraId="57CE10F2" w14:textId="77777777" w:rsidTr="00104785">
        <w:trPr>
          <w:jc w:val="center"/>
        </w:trPr>
        <w:tc>
          <w:tcPr>
            <w:tcW w:w="1144" w:type="dxa"/>
          </w:tcPr>
          <w:p w14:paraId="6AD05656" w14:textId="77777777" w:rsidR="00B857F8" w:rsidRPr="00B857F8" w:rsidRDefault="00B857F8" w:rsidP="00B857F8">
            <w:pPr>
              <w:jc w:val="center"/>
              <w:rPr>
                <w:rFonts w:ascii="Calibri" w:hAnsi="Calibri" w:cs="Arial"/>
              </w:rPr>
            </w:pPr>
            <w:r w:rsidRPr="00B857F8">
              <w:rPr>
                <w:rFonts w:ascii="Calibri" w:hAnsi="Calibri" w:cs="Arial"/>
              </w:rPr>
              <w:t>6</w:t>
            </w:r>
          </w:p>
        </w:tc>
        <w:tc>
          <w:tcPr>
            <w:tcW w:w="2395" w:type="dxa"/>
          </w:tcPr>
          <w:p w14:paraId="558D1FF2"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2: Declinación de sustantivos, adjetivos y pronombres</w:t>
            </w:r>
          </w:p>
          <w:p w14:paraId="220F66C0" w14:textId="77777777" w:rsidR="00B857F8" w:rsidRPr="00B857F8" w:rsidRDefault="00B857F8" w:rsidP="00B857F8">
            <w:pPr>
              <w:rPr>
                <w:rFonts w:ascii="Calibri" w:hAnsi="Calibri" w:cs="Arial"/>
              </w:rPr>
            </w:pPr>
          </w:p>
          <w:p w14:paraId="43E59370" w14:textId="77777777" w:rsidR="00B857F8" w:rsidRPr="00B857F8" w:rsidRDefault="00B857F8" w:rsidP="00B857F8">
            <w:pPr>
              <w:rPr>
                <w:rFonts w:ascii="Calibri" w:hAnsi="Calibri" w:cs="Arial"/>
              </w:rPr>
            </w:pPr>
            <w:r w:rsidRPr="00B857F8">
              <w:rPr>
                <w:rFonts w:ascii="Calibri" w:hAnsi="Calibri"/>
              </w:rPr>
              <w:t>2.4 Primer examen escrito</w:t>
            </w:r>
          </w:p>
          <w:p w14:paraId="595618A9" w14:textId="77777777" w:rsidR="00B857F8" w:rsidRPr="00B857F8" w:rsidRDefault="00B857F8" w:rsidP="00B857F8">
            <w:pPr>
              <w:rPr>
                <w:rFonts w:ascii="Calibri" w:hAnsi="Calibri" w:cs="Arial"/>
              </w:rPr>
            </w:pPr>
          </w:p>
          <w:p w14:paraId="56FCF797" w14:textId="77777777" w:rsidR="00B857F8" w:rsidRPr="00B857F8" w:rsidRDefault="00B857F8" w:rsidP="00B857F8">
            <w:pPr>
              <w:rPr>
                <w:rFonts w:ascii="Calibri" w:hAnsi="Calibri" w:cs="Arial"/>
              </w:rPr>
            </w:pPr>
          </w:p>
          <w:p w14:paraId="41B340C9" w14:textId="77777777" w:rsidR="00B857F8" w:rsidRPr="00B857F8" w:rsidRDefault="00B857F8" w:rsidP="00B857F8">
            <w:pPr>
              <w:rPr>
                <w:rFonts w:ascii="Calibri" w:hAnsi="Calibri" w:cs="Arial"/>
              </w:rPr>
            </w:pPr>
          </w:p>
        </w:tc>
        <w:tc>
          <w:tcPr>
            <w:tcW w:w="3119" w:type="dxa"/>
          </w:tcPr>
          <w:p w14:paraId="14C92C33" w14:textId="77777777" w:rsidR="00B857F8" w:rsidRPr="00B857F8" w:rsidRDefault="00B857F8" w:rsidP="00B857F8">
            <w:pPr>
              <w:rPr>
                <w:rFonts w:ascii="Calibri" w:hAnsi="Calibri" w:cs="Arial"/>
                <w:color w:val="0070C0"/>
              </w:rPr>
            </w:pPr>
            <w:r w:rsidRPr="00B857F8">
              <w:rPr>
                <w:rFonts w:ascii="Calibri" w:hAnsi="Calibri" w:cs="Arial"/>
                <w:color w:val="0070C0"/>
              </w:rPr>
              <w:t>Ruta de aprendizaje</w:t>
            </w:r>
          </w:p>
          <w:p w14:paraId="04B15774" w14:textId="77777777" w:rsidR="00B857F8" w:rsidRPr="00B857F8" w:rsidRDefault="00B857F8" w:rsidP="00B857F8">
            <w:pPr>
              <w:rPr>
                <w:rFonts w:ascii="Calibri" w:hAnsi="Calibri" w:cs="Arial"/>
              </w:rPr>
            </w:pPr>
          </w:p>
          <w:p w14:paraId="2274B617" w14:textId="77777777" w:rsidR="00B857F8" w:rsidRPr="00B857F8" w:rsidRDefault="00B857F8" w:rsidP="00B857F8">
            <w:pPr>
              <w:rPr>
                <w:rFonts w:ascii="Calibri" w:hAnsi="Calibri" w:cs="Arial"/>
              </w:rPr>
            </w:pPr>
          </w:p>
        </w:tc>
        <w:tc>
          <w:tcPr>
            <w:tcW w:w="3118" w:type="dxa"/>
          </w:tcPr>
          <w:p w14:paraId="727A45A0" w14:textId="77777777" w:rsidR="00B857F8" w:rsidRPr="00B857F8" w:rsidRDefault="00B857F8" w:rsidP="00B857F8">
            <w:pPr>
              <w:numPr>
                <w:ilvl w:val="0"/>
                <w:numId w:val="218"/>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Resolución del primer examen escrito.</w:t>
            </w:r>
          </w:p>
        </w:tc>
      </w:tr>
      <w:tr w:rsidR="00B857F8" w:rsidRPr="00B857F8" w14:paraId="5EABB4BF" w14:textId="77777777" w:rsidTr="00104785">
        <w:trPr>
          <w:jc w:val="center"/>
        </w:trPr>
        <w:tc>
          <w:tcPr>
            <w:tcW w:w="1144" w:type="dxa"/>
          </w:tcPr>
          <w:p w14:paraId="176CFDA4" w14:textId="77777777" w:rsidR="00B857F8" w:rsidRPr="00B857F8" w:rsidRDefault="00B857F8" w:rsidP="00B857F8">
            <w:pPr>
              <w:jc w:val="center"/>
              <w:rPr>
                <w:rFonts w:ascii="Calibri" w:hAnsi="Calibri" w:cs="Arial"/>
              </w:rPr>
            </w:pPr>
            <w:r w:rsidRPr="00B857F8">
              <w:rPr>
                <w:rFonts w:ascii="Calibri" w:hAnsi="Calibri" w:cs="Arial"/>
              </w:rPr>
              <w:t>7</w:t>
            </w:r>
          </w:p>
        </w:tc>
        <w:tc>
          <w:tcPr>
            <w:tcW w:w="2395" w:type="dxa"/>
          </w:tcPr>
          <w:p w14:paraId="4B4B3B5E"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 xml:space="preserve">Unidad 3: Tiempos verbales: presente, imperfecto, aoristo y </w:t>
            </w:r>
            <w:r w:rsidRPr="00B857F8">
              <w:rPr>
                <w:rFonts w:ascii="Calibri" w:hAnsi="Calibri" w:cs="Arial"/>
                <w:b/>
                <w:bCs/>
                <w:color w:val="000000"/>
              </w:rPr>
              <w:lastRenderedPageBreak/>
              <w:t>futuro de verbos comunes</w:t>
            </w:r>
          </w:p>
          <w:p w14:paraId="2031673B" w14:textId="77777777" w:rsidR="00B857F8" w:rsidRPr="00B857F8" w:rsidRDefault="00B857F8" w:rsidP="00B857F8">
            <w:pPr>
              <w:rPr>
                <w:rFonts w:ascii="Calibri" w:hAnsi="Calibri" w:cs="Arial"/>
                <w:b/>
                <w:bCs/>
                <w:color w:val="000000"/>
              </w:rPr>
            </w:pPr>
          </w:p>
          <w:p w14:paraId="2252135C" w14:textId="77777777" w:rsidR="00B857F8" w:rsidRPr="00B857F8" w:rsidRDefault="00B857F8" w:rsidP="00B857F8">
            <w:pPr>
              <w:rPr>
                <w:rFonts w:ascii="Calibri" w:hAnsi="Calibri"/>
              </w:rPr>
            </w:pPr>
            <w:r w:rsidRPr="00B857F8">
              <w:rPr>
                <w:rFonts w:ascii="Calibri" w:hAnsi="Calibri"/>
              </w:rPr>
              <w:t>3.1 Modo imperativo del presente; El infinitivo presente; El sujeto del infinitivo</w:t>
            </w:r>
          </w:p>
          <w:p w14:paraId="41BD6A7E" w14:textId="77777777" w:rsidR="00B857F8" w:rsidRPr="00B857F8" w:rsidRDefault="00B857F8" w:rsidP="00B857F8">
            <w:pPr>
              <w:rPr>
                <w:rFonts w:ascii="Calibri" w:hAnsi="Calibri" w:cs="Arial"/>
              </w:rPr>
            </w:pPr>
          </w:p>
        </w:tc>
        <w:tc>
          <w:tcPr>
            <w:tcW w:w="3119" w:type="dxa"/>
          </w:tcPr>
          <w:p w14:paraId="1AAB34D9" w14:textId="77777777" w:rsidR="00B857F8" w:rsidRPr="00B857F8" w:rsidRDefault="00B857F8" w:rsidP="00B857F8">
            <w:pPr>
              <w:rPr>
                <w:rFonts w:ascii="Calibri" w:hAnsi="Calibri" w:cs="Arial"/>
                <w:color w:val="0070C0"/>
              </w:rPr>
            </w:pPr>
            <w:r w:rsidRPr="00B857F8">
              <w:rPr>
                <w:rFonts w:ascii="Calibri" w:hAnsi="Calibri" w:cs="Arial"/>
                <w:color w:val="0070C0"/>
              </w:rPr>
              <w:lastRenderedPageBreak/>
              <w:t>Ruta de aprendizaje</w:t>
            </w:r>
          </w:p>
          <w:p w14:paraId="351730D7" w14:textId="77777777" w:rsidR="00B857F8" w:rsidRPr="00B857F8" w:rsidRDefault="00B857F8" w:rsidP="00B857F8">
            <w:pPr>
              <w:rPr>
                <w:rFonts w:ascii="Calibri" w:hAnsi="Calibri" w:cs="Arial"/>
                <w:color w:val="000000"/>
              </w:rPr>
            </w:pPr>
          </w:p>
          <w:p w14:paraId="55B970EF" w14:textId="77777777" w:rsidR="00B857F8" w:rsidRPr="00B857F8" w:rsidRDefault="00B857F8" w:rsidP="00B857F8">
            <w:pPr>
              <w:rPr>
                <w:rFonts w:ascii="Calibri" w:hAnsi="Calibri" w:cs="Arial"/>
                <w:color w:val="000000"/>
              </w:rPr>
            </w:pPr>
            <w:proofErr w:type="spellStart"/>
            <w:r w:rsidRPr="00B857F8">
              <w:rPr>
                <w:rFonts w:ascii="Calibri" w:hAnsi="Calibri" w:cs="Arial"/>
                <w:color w:val="000000"/>
              </w:rPr>
              <w:lastRenderedPageBreak/>
              <w:t>Foulkes</w:t>
            </w:r>
            <w:proofErr w:type="spellEnd"/>
            <w:r w:rsidRPr="00B857F8">
              <w:rPr>
                <w:rFonts w:ascii="Calibri" w:hAnsi="Calibri" w:cs="Arial"/>
                <w:color w:val="000000"/>
              </w:rPr>
              <w:t xml:space="preserve">, Irene. “Capítulo VI”. En </w:t>
            </w:r>
            <w:r w:rsidRPr="00B857F8">
              <w:rPr>
                <w:rFonts w:ascii="Calibri" w:hAnsi="Calibri" w:cs="Arial"/>
                <w:i/>
                <w:iCs/>
                <w:color w:val="000000"/>
              </w:rPr>
              <w:t>El griego del Nuevo Testamento</w:t>
            </w:r>
            <w:r w:rsidRPr="00B857F8">
              <w:rPr>
                <w:rFonts w:ascii="Calibri" w:hAnsi="Calibri" w:cs="Arial"/>
                <w:color w:val="000000"/>
              </w:rPr>
              <w:t xml:space="preserve">, 71-85. San José: Universidad Bíblica Latinoamericana, 2010. </w:t>
            </w:r>
            <w:r w:rsidRPr="00B857F8">
              <w:rPr>
                <w:rFonts w:ascii="Calibri" w:hAnsi="Calibri" w:cs="Calibri"/>
                <w:color w:val="0070C0"/>
                <w:szCs w:val="18"/>
              </w:rPr>
              <w:t>(clásico, última edición)</w:t>
            </w:r>
          </w:p>
          <w:p w14:paraId="462E6FF1" w14:textId="77777777" w:rsidR="00B857F8" w:rsidRPr="00B857F8" w:rsidRDefault="00B857F8" w:rsidP="00B857F8">
            <w:pPr>
              <w:rPr>
                <w:rFonts w:ascii="Calibri" w:hAnsi="Calibri" w:cs="Arial"/>
                <w:color w:val="000000"/>
              </w:rPr>
            </w:pPr>
          </w:p>
          <w:p w14:paraId="7E8958B3" w14:textId="77777777" w:rsidR="00B857F8" w:rsidRPr="00B857F8" w:rsidRDefault="00B857F8" w:rsidP="00B857F8">
            <w:pPr>
              <w:rPr>
                <w:rFonts w:ascii="Calibri" w:hAnsi="Calibri" w:cs="Arial"/>
                <w:b/>
                <w:bCs/>
              </w:rPr>
            </w:pPr>
            <w:r w:rsidRPr="00B857F8">
              <w:rPr>
                <w:rFonts w:ascii="Calibri" w:hAnsi="Calibri" w:cs="Arial"/>
                <w:b/>
                <w:bCs/>
              </w:rPr>
              <w:t>Material complementario</w:t>
            </w:r>
          </w:p>
          <w:p w14:paraId="761CB74C" w14:textId="77777777" w:rsidR="00B857F8" w:rsidRPr="00B857F8" w:rsidRDefault="00B857F8" w:rsidP="00B857F8">
            <w:pPr>
              <w:rPr>
                <w:rFonts w:ascii="Calibri" w:hAnsi="Calibri" w:cs="Arial"/>
                <w:b/>
                <w:bCs/>
              </w:rPr>
            </w:pPr>
          </w:p>
          <w:p w14:paraId="46B0CA95" w14:textId="77777777" w:rsidR="00B857F8" w:rsidRPr="00B857F8" w:rsidRDefault="00B857F8" w:rsidP="00B857F8">
            <w:pPr>
              <w:rPr>
                <w:rFonts w:ascii="Calibri" w:hAnsi="Calibri" w:cs="Arial"/>
                <w:color w:val="0563C1"/>
                <w:u w:val="single"/>
                <w:lang w:val="de-DE"/>
              </w:rPr>
            </w:pPr>
            <w:proofErr w:type="spellStart"/>
            <w:r w:rsidRPr="00DD16F2">
              <w:rPr>
                <w:rFonts w:ascii="Calibri" w:hAnsi="Calibri" w:cs="Arial"/>
                <w:color w:val="000000"/>
                <w:lang w:val="es-CR"/>
              </w:rPr>
              <w:t>Nestle-Aland</w:t>
            </w:r>
            <w:proofErr w:type="spellEnd"/>
            <w:r w:rsidRPr="00DD16F2">
              <w:rPr>
                <w:rFonts w:ascii="Calibri" w:hAnsi="Calibri" w:cs="Arial"/>
                <w:color w:val="000000"/>
                <w:lang w:val="es-CR"/>
              </w:rPr>
              <w:t xml:space="preserve">. </w:t>
            </w:r>
            <w:r w:rsidRPr="00B857F8">
              <w:rPr>
                <w:rFonts w:ascii="Calibri" w:hAnsi="Calibri" w:cs="Arial"/>
                <w:i/>
                <w:iCs/>
                <w:color w:val="000000"/>
                <w:lang w:val="en-US"/>
              </w:rPr>
              <w:t xml:space="preserve">Novum </w:t>
            </w:r>
            <w:proofErr w:type="spellStart"/>
            <w:r w:rsidRPr="00B857F8">
              <w:rPr>
                <w:rFonts w:ascii="Calibri" w:hAnsi="Calibri" w:cs="Arial"/>
                <w:i/>
                <w:iCs/>
                <w:color w:val="000000"/>
                <w:lang w:val="en-US"/>
              </w:rPr>
              <w:t>Testamentum</w:t>
            </w:r>
            <w:proofErr w:type="spellEnd"/>
            <w:r w:rsidRPr="00B857F8">
              <w:rPr>
                <w:rFonts w:ascii="Calibri" w:hAnsi="Calibri" w:cs="Arial"/>
                <w:i/>
                <w:iCs/>
                <w:color w:val="000000"/>
                <w:lang w:val="en-US"/>
              </w:rPr>
              <w:t xml:space="preserve"> </w:t>
            </w:r>
            <w:proofErr w:type="spellStart"/>
            <w:r w:rsidRPr="00B857F8">
              <w:rPr>
                <w:rFonts w:ascii="Calibri" w:hAnsi="Calibri" w:cs="Arial"/>
                <w:i/>
                <w:iCs/>
                <w:color w:val="000000"/>
                <w:lang w:val="en-US"/>
              </w:rPr>
              <w:t>Graece</w:t>
            </w:r>
            <w:proofErr w:type="spellEnd"/>
            <w:r w:rsidRPr="00B857F8">
              <w:rPr>
                <w:rFonts w:ascii="Calibri" w:hAnsi="Calibri" w:cs="Arial"/>
                <w:i/>
                <w:iCs/>
                <w:color w:val="000000"/>
                <w:lang w:val="en-US"/>
              </w:rPr>
              <w:t xml:space="preserve">. </w:t>
            </w:r>
            <w:r w:rsidRPr="00B857F8">
              <w:rPr>
                <w:rFonts w:ascii="Calibri" w:hAnsi="Calibri" w:cs="Arial"/>
                <w:color w:val="000000"/>
                <w:lang w:val="de-DE"/>
              </w:rPr>
              <w:t xml:space="preserve">Stuttgart: Deutsche Bibelgesellschaft, 2012. Acceso el 2 de noviembre de 2022. </w:t>
            </w:r>
            <w:hyperlink r:id="rId289" w:history="1">
              <w:r w:rsidRPr="00B857F8">
                <w:rPr>
                  <w:rFonts w:ascii="Calibri" w:hAnsi="Calibri" w:cs="Arial"/>
                  <w:color w:val="0563C1"/>
                  <w:u w:val="single"/>
                  <w:lang w:val="de-DE"/>
                </w:rPr>
                <w:t>https://www.academic-bible.com/en/online-bibles/novum-testamentum-graece-na-28/read-the-bible-text/</w:t>
              </w:r>
            </w:hyperlink>
          </w:p>
          <w:p w14:paraId="0758863B" w14:textId="77777777" w:rsidR="00B857F8" w:rsidRPr="00B857F8" w:rsidRDefault="00B857F8" w:rsidP="00B857F8">
            <w:pPr>
              <w:rPr>
                <w:color w:val="0563C1"/>
                <w:u w:val="single"/>
                <w:lang w:val="de-DE"/>
              </w:rPr>
            </w:pPr>
          </w:p>
          <w:p w14:paraId="6A223F93" w14:textId="77777777" w:rsidR="00B857F8" w:rsidRPr="00B857F8" w:rsidRDefault="00B857F8" w:rsidP="00B857F8">
            <w:pPr>
              <w:rPr>
                <w:rFonts w:ascii="Calibri" w:hAnsi="Calibri" w:cs="Calibri"/>
                <w:color w:val="000000"/>
              </w:rPr>
            </w:pPr>
            <w:r w:rsidRPr="00B857F8">
              <w:rPr>
                <w:rFonts w:ascii="Calibri" w:hAnsi="Calibri" w:cs="Calibri"/>
                <w:color w:val="0563C1"/>
                <w:lang w:val="de-DE"/>
              </w:rPr>
              <w:t>Guía para la participación mediante la herramienta Big Blue Button en la plataforma Moodle</w:t>
            </w:r>
          </w:p>
          <w:p w14:paraId="3EEDE8CF" w14:textId="77777777" w:rsidR="00B857F8" w:rsidRPr="00B857F8" w:rsidRDefault="00B857F8" w:rsidP="00B857F8">
            <w:pPr>
              <w:rPr>
                <w:rFonts w:ascii="Calibri" w:hAnsi="Calibri" w:cs="Arial"/>
              </w:rPr>
            </w:pPr>
          </w:p>
        </w:tc>
        <w:tc>
          <w:tcPr>
            <w:tcW w:w="3118" w:type="dxa"/>
          </w:tcPr>
          <w:p w14:paraId="48091116" w14:textId="77777777" w:rsidR="00B857F8" w:rsidRPr="00B857F8" w:rsidRDefault="00B857F8" w:rsidP="00B857F8">
            <w:pPr>
              <w:numPr>
                <w:ilvl w:val="0"/>
                <w:numId w:val="218"/>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lastRenderedPageBreak/>
              <w:t>Participación en un encuentro sincrónico virtual.</w:t>
            </w:r>
          </w:p>
          <w:p w14:paraId="1EE14233" w14:textId="77777777" w:rsidR="00B857F8" w:rsidRPr="00B857F8" w:rsidRDefault="00B857F8" w:rsidP="00B857F8">
            <w:pPr>
              <w:numPr>
                <w:ilvl w:val="0"/>
                <w:numId w:val="218"/>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lastRenderedPageBreak/>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p w14:paraId="42B563C3" w14:textId="77777777" w:rsidR="00B857F8" w:rsidRPr="00B857F8" w:rsidRDefault="00B857F8" w:rsidP="00B857F8">
            <w:pPr>
              <w:numPr>
                <w:ilvl w:val="0"/>
                <w:numId w:val="218"/>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Realización del ejercicio de traducción 2.</w:t>
            </w:r>
          </w:p>
          <w:p w14:paraId="43C10363" w14:textId="77777777" w:rsidR="00B857F8" w:rsidRPr="00B857F8" w:rsidRDefault="00B857F8" w:rsidP="00B857F8">
            <w:pPr>
              <w:spacing w:after="200" w:line="276" w:lineRule="auto"/>
              <w:ind w:left="314"/>
              <w:contextualSpacing/>
              <w:rPr>
                <w:rFonts w:ascii="Calibri" w:eastAsia="Calibri" w:hAnsi="Calibri" w:cs="Arial"/>
                <w:lang w:val="es-CR"/>
              </w:rPr>
            </w:pPr>
          </w:p>
        </w:tc>
      </w:tr>
      <w:tr w:rsidR="00B857F8" w:rsidRPr="00B857F8" w14:paraId="1BD63BB6" w14:textId="77777777" w:rsidTr="00104785">
        <w:trPr>
          <w:jc w:val="center"/>
        </w:trPr>
        <w:tc>
          <w:tcPr>
            <w:tcW w:w="1144" w:type="dxa"/>
          </w:tcPr>
          <w:p w14:paraId="7C41DDAC" w14:textId="77777777" w:rsidR="00B857F8" w:rsidRPr="00B857F8" w:rsidRDefault="00B857F8" w:rsidP="00B857F8">
            <w:pPr>
              <w:jc w:val="center"/>
              <w:rPr>
                <w:rFonts w:ascii="Calibri" w:hAnsi="Calibri" w:cs="Arial"/>
              </w:rPr>
            </w:pPr>
            <w:r w:rsidRPr="00B857F8">
              <w:rPr>
                <w:rFonts w:ascii="Calibri" w:hAnsi="Calibri" w:cs="Arial"/>
              </w:rPr>
              <w:lastRenderedPageBreak/>
              <w:t>8</w:t>
            </w:r>
          </w:p>
        </w:tc>
        <w:tc>
          <w:tcPr>
            <w:tcW w:w="2395" w:type="dxa"/>
          </w:tcPr>
          <w:p w14:paraId="05E20AF8"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3: Tiempos verbales: presente, imperfecto, aoristo y futuro de verbos comunes</w:t>
            </w:r>
          </w:p>
          <w:p w14:paraId="4BCB8CC2" w14:textId="77777777" w:rsidR="00B857F8" w:rsidRPr="00B857F8" w:rsidRDefault="00B857F8" w:rsidP="00B857F8">
            <w:pPr>
              <w:rPr>
                <w:rFonts w:ascii="Calibri" w:hAnsi="Calibri" w:cs="Arial"/>
              </w:rPr>
            </w:pPr>
          </w:p>
          <w:p w14:paraId="5AE3BEF3" w14:textId="77777777" w:rsidR="00B857F8" w:rsidRPr="00B857F8" w:rsidRDefault="00B857F8" w:rsidP="00B857F8">
            <w:pPr>
              <w:rPr>
                <w:rFonts w:ascii="Calibri" w:hAnsi="Calibri"/>
              </w:rPr>
            </w:pPr>
            <w:r w:rsidRPr="00B857F8">
              <w:rPr>
                <w:rFonts w:ascii="Calibri" w:hAnsi="Calibri"/>
              </w:rPr>
              <w:t>3.2 Tiempo imperfecto; Género Neutro de 2da declinación</w:t>
            </w:r>
          </w:p>
          <w:p w14:paraId="6E214D43" w14:textId="77777777" w:rsidR="00B857F8" w:rsidRPr="00B857F8" w:rsidRDefault="00B857F8" w:rsidP="00B857F8">
            <w:pPr>
              <w:rPr>
                <w:rFonts w:ascii="Calibri" w:hAnsi="Calibri" w:cs="Arial"/>
              </w:rPr>
            </w:pPr>
          </w:p>
        </w:tc>
        <w:tc>
          <w:tcPr>
            <w:tcW w:w="3119" w:type="dxa"/>
          </w:tcPr>
          <w:p w14:paraId="0E9DED24" w14:textId="77777777" w:rsidR="00B857F8" w:rsidRPr="00B857F8" w:rsidRDefault="00B857F8" w:rsidP="00B857F8">
            <w:pPr>
              <w:rPr>
                <w:rFonts w:ascii="Calibri" w:hAnsi="Calibri" w:cs="Arial"/>
                <w:color w:val="0070C0"/>
              </w:rPr>
            </w:pPr>
            <w:r w:rsidRPr="00B857F8">
              <w:rPr>
                <w:rFonts w:ascii="Calibri" w:hAnsi="Calibri" w:cs="Arial"/>
                <w:color w:val="0070C0"/>
              </w:rPr>
              <w:t>Ruta de aprendizaje</w:t>
            </w:r>
          </w:p>
          <w:p w14:paraId="5B9F43D6" w14:textId="77777777" w:rsidR="00B857F8" w:rsidRPr="00B857F8" w:rsidRDefault="00B857F8" w:rsidP="00B857F8">
            <w:pPr>
              <w:rPr>
                <w:rFonts w:ascii="Calibri" w:hAnsi="Calibri" w:cs="Arial"/>
                <w:color w:val="000000"/>
              </w:rPr>
            </w:pPr>
          </w:p>
          <w:p w14:paraId="07FA46B5" w14:textId="77777777" w:rsidR="00B857F8" w:rsidRPr="00B857F8" w:rsidRDefault="00B857F8" w:rsidP="00B857F8">
            <w:pPr>
              <w:rPr>
                <w:rFonts w:ascii="Calibri" w:hAnsi="Calibri" w:cs="Arial"/>
                <w:color w:val="000000"/>
              </w:rPr>
            </w:pPr>
            <w:proofErr w:type="spellStart"/>
            <w:r w:rsidRPr="00B857F8">
              <w:rPr>
                <w:rFonts w:ascii="Calibri" w:hAnsi="Calibri" w:cs="Arial"/>
                <w:color w:val="000000"/>
              </w:rPr>
              <w:t>Foulkes</w:t>
            </w:r>
            <w:proofErr w:type="spellEnd"/>
            <w:r w:rsidRPr="00B857F8">
              <w:rPr>
                <w:rFonts w:ascii="Calibri" w:hAnsi="Calibri" w:cs="Arial"/>
                <w:color w:val="000000"/>
              </w:rPr>
              <w:t xml:space="preserve">, Irene. “Capítulo VII”. En </w:t>
            </w:r>
            <w:r w:rsidRPr="00B857F8">
              <w:rPr>
                <w:rFonts w:ascii="Calibri" w:hAnsi="Calibri" w:cs="Arial"/>
                <w:i/>
                <w:iCs/>
                <w:color w:val="000000"/>
              </w:rPr>
              <w:t>El griego del Nuevo Testamento</w:t>
            </w:r>
            <w:r w:rsidRPr="00B857F8">
              <w:rPr>
                <w:rFonts w:ascii="Calibri" w:hAnsi="Calibri" w:cs="Arial"/>
                <w:color w:val="000000"/>
              </w:rPr>
              <w:t xml:space="preserve">, 87-98. San José: Universidad Bíblica Latinoamericana, 2010. </w:t>
            </w:r>
            <w:r w:rsidRPr="00B857F8">
              <w:rPr>
                <w:rFonts w:ascii="Calibri" w:hAnsi="Calibri" w:cs="Calibri"/>
                <w:color w:val="0070C0"/>
                <w:szCs w:val="18"/>
              </w:rPr>
              <w:t>(clásico, última edición)</w:t>
            </w:r>
          </w:p>
          <w:p w14:paraId="277738B1" w14:textId="77777777" w:rsidR="00B857F8" w:rsidRPr="00B857F8" w:rsidRDefault="00B857F8" w:rsidP="00B857F8">
            <w:pPr>
              <w:rPr>
                <w:rFonts w:ascii="Calibri" w:hAnsi="Calibri" w:cs="Arial"/>
                <w:color w:val="000000"/>
              </w:rPr>
            </w:pPr>
          </w:p>
          <w:p w14:paraId="23C694DA" w14:textId="77777777" w:rsidR="00B857F8" w:rsidRPr="00B857F8" w:rsidRDefault="00B857F8" w:rsidP="00B857F8">
            <w:pPr>
              <w:rPr>
                <w:rFonts w:ascii="Calibri" w:hAnsi="Calibri" w:cs="Arial"/>
                <w:color w:val="000000"/>
              </w:rPr>
            </w:pPr>
            <w:r w:rsidRPr="00B857F8">
              <w:rPr>
                <w:rFonts w:ascii="Calibri" w:hAnsi="Calibri" w:cs="Arial"/>
                <w:color w:val="000000"/>
              </w:rPr>
              <w:t xml:space="preserve">Delgado, Inmaculada. “Presente e imperfecto del verbo y del verbo </w:t>
            </w:r>
            <w:proofErr w:type="spellStart"/>
            <w:r w:rsidRPr="00B857F8">
              <w:rPr>
                <w:rFonts w:ascii="Calibri" w:hAnsi="Calibri" w:cs="Arial"/>
                <w:color w:val="000000"/>
              </w:rPr>
              <w:t>eimi</w:t>
            </w:r>
            <w:proofErr w:type="spellEnd"/>
            <w:r w:rsidRPr="00B857F8">
              <w:rPr>
                <w:rFonts w:ascii="Calibri" w:hAnsi="Calibri" w:cs="Arial"/>
                <w:color w:val="000000"/>
              </w:rPr>
              <w:t xml:space="preserve">”. En </w:t>
            </w:r>
            <w:r w:rsidRPr="00B857F8">
              <w:rPr>
                <w:rFonts w:ascii="Calibri" w:hAnsi="Calibri" w:cs="Arial"/>
                <w:i/>
                <w:iCs/>
                <w:color w:val="000000"/>
              </w:rPr>
              <w:t>Gramática griega del Nuevo Testamento: I. Morfología</w:t>
            </w:r>
            <w:r w:rsidRPr="00B857F8">
              <w:rPr>
                <w:rFonts w:ascii="Calibri" w:hAnsi="Calibri" w:cs="Arial"/>
                <w:color w:val="000000"/>
              </w:rPr>
              <w:t xml:space="preserve">, 43-47. Estella: Verbo Divino, 2013. </w:t>
            </w:r>
            <w:r w:rsidRPr="00B857F8">
              <w:rPr>
                <w:rFonts w:ascii="Calibri" w:hAnsi="Calibri" w:cs="Calibri"/>
                <w:color w:val="0070C0"/>
                <w:szCs w:val="18"/>
              </w:rPr>
              <w:t>(clásico, última edición)</w:t>
            </w:r>
          </w:p>
          <w:p w14:paraId="14492BAA" w14:textId="77777777" w:rsidR="00B857F8" w:rsidRPr="00B857F8" w:rsidRDefault="00B857F8" w:rsidP="00B857F8">
            <w:pPr>
              <w:rPr>
                <w:rFonts w:ascii="Calibri" w:hAnsi="Calibri" w:cs="Arial"/>
                <w:color w:val="000000"/>
              </w:rPr>
            </w:pPr>
          </w:p>
          <w:p w14:paraId="561CE2A3" w14:textId="77777777" w:rsidR="00B857F8" w:rsidRPr="00B857F8" w:rsidRDefault="00B857F8" w:rsidP="00B857F8">
            <w:pPr>
              <w:rPr>
                <w:rFonts w:ascii="Calibri" w:hAnsi="Calibri" w:cs="Arial"/>
                <w:b/>
                <w:bCs/>
                <w:color w:val="0070C0"/>
                <w:lang w:val="es-CR"/>
              </w:rPr>
            </w:pPr>
            <w:r w:rsidRPr="00B857F8">
              <w:rPr>
                <w:rFonts w:ascii="Calibri" w:hAnsi="Calibri" w:cs="Arial"/>
                <w:b/>
                <w:bCs/>
                <w:color w:val="0070C0"/>
                <w:lang w:val="es-CR"/>
              </w:rPr>
              <w:t>Material complementario</w:t>
            </w:r>
          </w:p>
          <w:p w14:paraId="2D2F64CD" w14:textId="77777777" w:rsidR="00B857F8" w:rsidRPr="00B857F8" w:rsidRDefault="00B857F8" w:rsidP="00B857F8">
            <w:pPr>
              <w:rPr>
                <w:rFonts w:ascii="Calibri" w:hAnsi="Calibri" w:cs="Arial"/>
                <w:b/>
                <w:bCs/>
                <w:color w:val="000000"/>
              </w:rPr>
            </w:pPr>
          </w:p>
          <w:p w14:paraId="0E3AE14B" w14:textId="77777777" w:rsidR="00B857F8" w:rsidRPr="00B857F8" w:rsidRDefault="00B857F8" w:rsidP="00B857F8">
            <w:pPr>
              <w:rPr>
                <w:rFonts w:ascii="Calibri" w:hAnsi="Calibri" w:cs="Arial"/>
                <w:color w:val="000000"/>
              </w:rPr>
            </w:pPr>
            <w:r w:rsidRPr="00B857F8">
              <w:rPr>
                <w:rFonts w:ascii="Calibri" w:hAnsi="Calibri" w:cs="Calibri"/>
                <w:color w:val="0563C1"/>
                <w:lang w:val="de-DE"/>
              </w:rPr>
              <w:t>Guía para la participación mediante la herramienta Big Blue Button en la plataforma Moodle</w:t>
            </w:r>
          </w:p>
          <w:p w14:paraId="03E1C567" w14:textId="77777777" w:rsidR="00B857F8" w:rsidRPr="00B857F8" w:rsidRDefault="00B857F8" w:rsidP="00B857F8">
            <w:pPr>
              <w:rPr>
                <w:rFonts w:ascii="Calibri" w:hAnsi="Calibri" w:cs="Arial"/>
              </w:rPr>
            </w:pPr>
          </w:p>
        </w:tc>
        <w:tc>
          <w:tcPr>
            <w:tcW w:w="3118" w:type="dxa"/>
          </w:tcPr>
          <w:p w14:paraId="075EBB04" w14:textId="77777777" w:rsidR="00B857F8" w:rsidRPr="00B857F8" w:rsidRDefault="00B857F8" w:rsidP="00B857F8">
            <w:pPr>
              <w:numPr>
                <w:ilvl w:val="0"/>
                <w:numId w:val="219"/>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Realizar la lectura de la sesión.</w:t>
            </w:r>
          </w:p>
          <w:p w14:paraId="58393D93" w14:textId="77777777" w:rsidR="00B857F8" w:rsidRPr="00B857F8" w:rsidRDefault="00B857F8" w:rsidP="00B857F8">
            <w:pPr>
              <w:numPr>
                <w:ilvl w:val="0"/>
                <w:numId w:val="219"/>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Participación en un encuentro sincrónico virtual.</w:t>
            </w:r>
          </w:p>
          <w:p w14:paraId="26FC284A" w14:textId="77777777" w:rsidR="00B857F8" w:rsidRPr="00B857F8" w:rsidRDefault="00B857F8" w:rsidP="00B857F8">
            <w:pPr>
              <w:numPr>
                <w:ilvl w:val="0"/>
                <w:numId w:val="219"/>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p w14:paraId="32A26A56" w14:textId="77777777" w:rsidR="00B857F8" w:rsidRPr="00B857F8" w:rsidRDefault="00B857F8" w:rsidP="00B857F8">
            <w:pPr>
              <w:numPr>
                <w:ilvl w:val="0"/>
                <w:numId w:val="219"/>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Resolución de la prueba corta 2 en el aula virtual.</w:t>
            </w:r>
          </w:p>
        </w:tc>
      </w:tr>
      <w:tr w:rsidR="00B857F8" w:rsidRPr="00B857F8" w14:paraId="20FDB164" w14:textId="77777777" w:rsidTr="00104785">
        <w:trPr>
          <w:jc w:val="center"/>
        </w:trPr>
        <w:tc>
          <w:tcPr>
            <w:tcW w:w="1144" w:type="dxa"/>
          </w:tcPr>
          <w:p w14:paraId="04BD8020" w14:textId="77777777" w:rsidR="00B857F8" w:rsidRPr="00B857F8" w:rsidRDefault="00B857F8" w:rsidP="00B857F8">
            <w:pPr>
              <w:jc w:val="center"/>
              <w:rPr>
                <w:rFonts w:ascii="Calibri" w:hAnsi="Calibri" w:cs="Arial"/>
              </w:rPr>
            </w:pPr>
            <w:r w:rsidRPr="00B857F8">
              <w:rPr>
                <w:rFonts w:ascii="Calibri" w:hAnsi="Calibri" w:cs="Arial"/>
              </w:rPr>
              <w:lastRenderedPageBreak/>
              <w:t>9</w:t>
            </w:r>
          </w:p>
        </w:tc>
        <w:tc>
          <w:tcPr>
            <w:tcW w:w="2395" w:type="dxa"/>
          </w:tcPr>
          <w:p w14:paraId="74E8F848"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3: Tiempos verbales: presente, imperfecto, aoristo y futuro de verbos comunes</w:t>
            </w:r>
          </w:p>
          <w:p w14:paraId="2889C5E3" w14:textId="77777777" w:rsidR="00B857F8" w:rsidRPr="00B857F8" w:rsidRDefault="00B857F8" w:rsidP="00B857F8">
            <w:pPr>
              <w:rPr>
                <w:rFonts w:ascii="Calibri" w:hAnsi="Calibri" w:cs="Arial"/>
              </w:rPr>
            </w:pPr>
          </w:p>
          <w:p w14:paraId="48796650" w14:textId="77777777" w:rsidR="00B857F8" w:rsidRPr="00B857F8" w:rsidRDefault="00B857F8" w:rsidP="00B857F8">
            <w:pPr>
              <w:rPr>
                <w:rFonts w:ascii="Calibri" w:hAnsi="Calibri"/>
              </w:rPr>
            </w:pPr>
            <w:r w:rsidRPr="00B857F8">
              <w:rPr>
                <w:rFonts w:ascii="Calibri" w:hAnsi="Calibri"/>
              </w:rPr>
              <w:t>3.3 1era declinación; El pronombre autos; Complemento directo en genitivo; Complemento circunstancial de tiempo en caso acusativo</w:t>
            </w:r>
          </w:p>
          <w:p w14:paraId="7456E486" w14:textId="77777777" w:rsidR="00B857F8" w:rsidRPr="00B857F8" w:rsidRDefault="00B857F8" w:rsidP="00B857F8">
            <w:pPr>
              <w:rPr>
                <w:rFonts w:ascii="Calibri" w:hAnsi="Calibri" w:cs="Arial"/>
              </w:rPr>
            </w:pPr>
          </w:p>
        </w:tc>
        <w:tc>
          <w:tcPr>
            <w:tcW w:w="3119" w:type="dxa"/>
          </w:tcPr>
          <w:p w14:paraId="4489E43D" w14:textId="77777777" w:rsidR="00B857F8" w:rsidRPr="00B857F8" w:rsidRDefault="00B857F8" w:rsidP="00B857F8">
            <w:pPr>
              <w:rPr>
                <w:rFonts w:ascii="Calibri" w:hAnsi="Calibri" w:cs="Arial"/>
                <w:color w:val="000000"/>
              </w:rPr>
            </w:pPr>
            <w:r w:rsidRPr="00B857F8">
              <w:rPr>
                <w:rFonts w:ascii="Calibri" w:hAnsi="Calibri" w:cs="Arial"/>
                <w:color w:val="0070C0"/>
              </w:rPr>
              <w:t>Ruta de aprendizaje</w:t>
            </w:r>
          </w:p>
          <w:p w14:paraId="7905BFDD" w14:textId="77777777" w:rsidR="00B857F8" w:rsidRPr="00B857F8" w:rsidRDefault="00B857F8" w:rsidP="00B857F8">
            <w:pPr>
              <w:rPr>
                <w:rFonts w:ascii="Calibri" w:hAnsi="Calibri" w:cs="Arial"/>
                <w:color w:val="000000"/>
              </w:rPr>
            </w:pPr>
          </w:p>
          <w:p w14:paraId="6C9E7AF7" w14:textId="77777777" w:rsidR="00B857F8" w:rsidRPr="00B857F8" w:rsidRDefault="00B857F8" w:rsidP="00B857F8">
            <w:pPr>
              <w:rPr>
                <w:rFonts w:ascii="Calibri" w:hAnsi="Calibri" w:cs="Arial"/>
                <w:color w:val="000000"/>
              </w:rPr>
            </w:pPr>
            <w:proofErr w:type="spellStart"/>
            <w:r w:rsidRPr="00B857F8">
              <w:rPr>
                <w:rFonts w:ascii="Calibri" w:hAnsi="Calibri" w:cs="Arial"/>
                <w:color w:val="000000"/>
              </w:rPr>
              <w:t>Foulkes</w:t>
            </w:r>
            <w:proofErr w:type="spellEnd"/>
            <w:r w:rsidRPr="00B857F8">
              <w:rPr>
                <w:rFonts w:ascii="Calibri" w:hAnsi="Calibri" w:cs="Arial"/>
                <w:color w:val="000000"/>
              </w:rPr>
              <w:t xml:space="preserve">, Irene. “Capítulo VIII”. En </w:t>
            </w:r>
            <w:r w:rsidRPr="00B857F8">
              <w:rPr>
                <w:rFonts w:ascii="Calibri" w:hAnsi="Calibri" w:cs="Arial"/>
                <w:i/>
                <w:iCs/>
                <w:color w:val="000000"/>
              </w:rPr>
              <w:t>El griego del Nuevo Testamento</w:t>
            </w:r>
            <w:r w:rsidRPr="00B857F8">
              <w:rPr>
                <w:rFonts w:ascii="Calibri" w:hAnsi="Calibri" w:cs="Arial"/>
                <w:color w:val="000000"/>
              </w:rPr>
              <w:t xml:space="preserve">, 99-117. San José: Universidad Bíblica Latinoamericana, 2010. </w:t>
            </w:r>
            <w:r w:rsidRPr="00B857F8">
              <w:rPr>
                <w:rFonts w:ascii="Calibri" w:hAnsi="Calibri" w:cs="Calibri"/>
                <w:color w:val="0070C0"/>
                <w:szCs w:val="18"/>
              </w:rPr>
              <w:t>(clásico, última edición)</w:t>
            </w:r>
          </w:p>
          <w:p w14:paraId="16E05556" w14:textId="77777777" w:rsidR="00B857F8" w:rsidRPr="00B857F8" w:rsidRDefault="00B857F8" w:rsidP="00B857F8">
            <w:pPr>
              <w:rPr>
                <w:rFonts w:ascii="Calibri" w:hAnsi="Calibri" w:cs="Arial"/>
                <w:color w:val="000000"/>
              </w:rPr>
            </w:pPr>
          </w:p>
          <w:p w14:paraId="3736849B" w14:textId="77777777" w:rsidR="00B857F8" w:rsidRPr="00B857F8" w:rsidRDefault="00B857F8" w:rsidP="00B857F8">
            <w:pPr>
              <w:rPr>
                <w:rFonts w:ascii="Calibri" w:hAnsi="Calibri" w:cs="Arial"/>
                <w:color w:val="000000"/>
              </w:rPr>
            </w:pPr>
            <w:r w:rsidRPr="00B857F8">
              <w:rPr>
                <w:rFonts w:ascii="Calibri" w:hAnsi="Calibri" w:cs="Arial"/>
                <w:color w:val="000000"/>
              </w:rPr>
              <w:t xml:space="preserve">Delgado, Inmaculada. “Declinación de temas en -a o 1ª declinación”. En </w:t>
            </w:r>
            <w:r w:rsidRPr="00B857F8">
              <w:rPr>
                <w:rFonts w:ascii="Calibri" w:hAnsi="Calibri" w:cs="Arial"/>
                <w:i/>
                <w:iCs/>
                <w:color w:val="000000"/>
              </w:rPr>
              <w:t>Gramática griega del Nuevo Testamento: I. Morfología</w:t>
            </w:r>
            <w:r w:rsidRPr="00B857F8">
              <w:rPr>
                <w:rFonts w:ascii="Calibri" w:hAnsi="Calibri" w:cs="Arial"/>
                <w:color w:val="000000"/>
              </w:rPr>
              <w:t xml:space="preserve">, 49-52. Estella: Verbo Divino, 2013. </w:t>
            </w:r>
            <w:r w:rsidRPr="00B857F8">
              <w:rPr>
                <w:rFonts w:ascii="Calibri" w:hAnsi="Calibri" w:cs="Calibri"/>
                <w:color w:val="0070C0"/>
                <w:szCs w:val="18"/>
              </w:rPr>
              <w:t>(clásico, última edición)</w:t>
            </w:r>
          </w:p>
          <w:p w14:paraId="418A0946" w14:textId="77777777" w:rsidR="00B857F8" w:rsidRPr="00B857F8" w:rsidRDefault="00B857F8" w:rsidP="00B857F8">
            <w:pPr>
              <w:rPr>
                <w:rFonts w:ascii="Calibri" w:hAnsi="Calibri" w:cs="Arial"/>
                <w:b/>
                <w:bCs/>
                <w:lang w:val="es-CR"/>
              </w:rPr>
            </w:pPr>
          </w:p>
          <w:p w14:paraId="67928989" w14:textId="77777777" w:rsidR="00B857F8" w:rsidRPr="00B857F8" w:rsidRDefault="00B857F8" w:rsidP="00B857F8">
            <w:pPr>
              <w:rPr>
                <w:rFonts w:ascii="Calibri" w:hAnsi="Calibri" w:cs="Arial"/>
                <w:b/>
                <w:bCs/>
                <w:lang w:val="es-CR"/>
              </w:rPr>
            </w:pPr>
            <w:r w:rsidRPr="00B857F8">
              <w:rPr>
                <w:rFonts w:ascii="Calibri" w:hAnsi="Calibri" w:cs="Arial"/>
                <w:b/>
                <w:bCs/>
                <w:lang w:val="es-CR"/>
              </w:rPr>
              <w:t>Material complementario</w:t>
            </w:r>
          </w:p>
          <w:p w14:paraId="7BB33511" w14:textId="77777777" w:rsidR="00B857F8" w:rsidRPr="00B857F8" w:rsidRDefault="00B857F8" w:rsidP="00B857F8">
            <w:pPr>
              <w:rPr>
                <w:rFonts w:ascii="Calibri" w:hAnsi="Calibri" w:cs="Arial"/>
                <w:b/>
                <w:bCs/>
                <w:lang w:val="es-CR"/>
              </w:rPr>
            </w:pPr>
          </w:p>
          <w:p w14:paraId="2507C763" w14:textId="77777777" w:rsidR="00B857F8" w:rsidRPr="00B857F8" w:rsidRDefault="00B857F8" w:rsidP="00B857F8">
            <w:pPr>
              <w:rPr>
                <w:rFonts w:ascii="Calibri" w:hAnsi="Calibri" w:cs="Arial"/>
                <w:color w:val="0563C1"/>
                <w:u w:val="single"/>
                <w:lang w:val="de-DE"/>
              </w:rPr>
            </w:pPr>
            <w:r w:rsidRPr="001C433D">
              <w:rPr>
                <w:rFonts w:ascii="Calibri" w:hAnsi="Calibri" w:cs="Arial"/>
                <w:color w:val="000000"/>
                <w:lang w:val="en-US"/>
              </w:rPr>
              <w:t xml:space="preserve">Nestle-Aland. </w:t>
            </w:r>
            <w:r w:rsidRPr="001C433D">
              <w:rPr>
                <w:rFonts w:ascii="Calibri" w:hAnsi="Calibri" w:cs="Arial"/>
                <w:i/>
                <w:iCs/>
                <w:color w:val="000000"/>
                <w:lang w:val="en-US"/>
              </w:rPr>
              <w:t xml:space="preserve">Novum </w:t>
            </w:r>
            <w:proofErr w:type="spellStart"/>
            <w:r w:rsidRPr="001C433D">
              <w:rPr>
                <w:rFonts w:ascii="Calibri" w:hAnsi="Calibri" w:cs="Arial"/>
                <w:i/>
                <w:iCs/>
                <w:color w:val="000000"/>
                <w:lang w:val="en-US"/>
              </w:rPr>
              <w:t>Testamentum</w:t>
            </w:r>
            <w:proofErr w:type="spellEnd"/>
            <w:r w:rsidRPr="001C433D">
              <w:rPr>
                <w:rFonts w:ascii="Calibri" w:hAnsi="Calibri" w:cs="Arial"/>
                <w:i/>
                <w:iCs/>
                <w:color w:val="000000"/>
                <w:lang w:val="en-US"/>
              </w:rPr>
              <w:t xml:space="preserve"> </w:t>
            </w:r>
            <w:proofErr w:type="spellStart"/>
            <w:r w:rsidRPr="001C433D">
              <w:rPr>
                <w:rFonts w:ascii="Calibri" w:hAnsi="Calibri" w:cs="Arial"/>
                <w:i/>
                <w:iCs/>
                <w:color w:val="000000"/>
                <w:lang w:val="en-US"/>
              </w:rPr>
              <w:t>Graece</w:t>
            </w:r>
            <w:proofErr w:type="spellEnd"/>
            <w:r w:rsidRPr="001C433D">
              <w:rPr>
                <w:rFonts w:ascii="Calibri" w:hAnsi="Calibri" w:cs="Arial"/>
                <w:i/>
                <w:iCs/>
                <w:color w:val="000000"/>
                <w:lang w:val="en-US"/>
              </w:rPr>
              <w:t xml:space="preserve">. </w:t>
            </w:r>
            <w:r w:rsidRPr="00B857F8">
              <w:rPr>
                <w:rFonts w:ascii="Calibri" w:hAnsi="Calibri" w:cs="Arial"/>
                <w:color w:val="000000"/>
                <w:lang w:val="de-DE"/>
              </w:rPr>
              <w:t xml:space="preserve">Stuttgart: Deutsche Bibelgesellschaft, 2012. Acceso el 2 de noviembre de 2022. </w:t>
            </w:r>
            <w:hyperlink r:id="rId290" w:history="1">
              <w:r w:rsidRPr="00B857F8">
                <w:rPr>
                  <w:rFonts w:ascii="Calibri" w:hAnsi="Calibri" w:cs="Arial"/>
                  <w:color w:val="0563C1"/>
                  <w:u w:val="single"/>
                  <w:lang w:val="de-DE"/>
                </w:rPr>
                <w:t>https://www.academic-bible.com/en/online-bibles/novum-testamentum-graece-na-28/read-the-bible-text/</w:t>
              </w:r>
            </w:hyperlink>
          </w:p>
          <w:p w14:paraId="3678DE55" w14:textId="77777777" w:rsidR="00B857F8" w:rsidRPr="00B857F8" w:rsidRDefault="00B857F8" w:rsidP="00B857F8">
            <w:pPr>
              <w:rPr>
                <w:rFonts w:ascii="Calibri" w:hAnsi="Calibri" w:cs="Arial"/>
              </w:rPr>
            </w:pPr>
          </w:p>
          <w:p w14:paraId="55F633A7" w14:textId="77777777" w:rsidR="00B857F8" w:rsidRPr="00B857F8" w:rsidRDefault="00B857F8" w:rsidP="00B857F8">
            <w:pPr>
              <w:rPr>
                <w:rFonts w:ascii="Calibri" w:hAnsi="Calibri" w:cs="Calibri"/>
                <w:color w:val="0563C1"/>
                <w:lang w:val="de-DE"/>
              </w:rPr>
            </w:pPr>
            <w:r w:rsidRPr="00B857F8">
              <w:rPr>
                <w:rFonts w:ascii="Calibri" w:hAnsi="Calibri" w:cs="Calibri"/>
                <w:color w:val="0563C1"/>
                <w:lang w:val="de-DE"/>
              </w:rPr>
              <w:t>Guía para la participación mediante la herramienta Big Blue Button en la plataforma Moodle</w:t>
            </w:r>
          </w:p>
          <w:p w14:paraId="6128602A" w14:textId="77777777" w:rsidR="00B857F8" w:rsidRPr="00B857F8" w:rsidRDefault="00B857F8" w:rsidP="00B857F8">
            <w:pPr>
              <w:rPr>
                <w:rFonts w:ascii="Calibri" w:hAnsi="Calibri" w:cs="Arial"/>
              </w:rPr>
            </w:pPr>
          </w:p>
        </w:tc>
        <w:tc>
          <w:tcPr>
            <w:tcW w:w="3118" w:type="dxa"/>
          </w:tcPr>
          <w:p w14:paraId="64FE0492" w14:textId="77777777" w:rsidR="00B857F8" w:rsidRPr="00B857F8" w:rsidRDefault="00B857F8" w:rsidP="00B857F8">
            <w:pPr>
              <w:numPr>
                <w:ilvl w:val="0"/>
                <w:numId w:val="220"/>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Realizar la lectura de la sesión.</w:t>
            </w:r>
          </w:p>
          <w:p w14:paraId="000242AA" w14:textId="77777777" w:rsidR="00B857F8" w:rsidRPr="00B857F8" w:rsidRDefault="00B857F8" w:rsidP="00B857F8">
            <w:pPr>
              <w:numPr>
                <w:ilvl w:val="0"/>
                <w:numId w:val="220"/>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Participación en un encuentro sincrónico virtual.</w:t>
            </w:r>
          </w:p>
          <w:p w14:paraId="71C41D44" w14:textId="77777777" w:rsidR="00B857F8" w:rsidRPr="00B857F8" w:rsidRDefault="00B857F8" w:rsidP="00B857F8">
            <w:pPr>
              <w:numPr>
                <w:ilvl w:val="0"/>
                <w:numId w:val="220"/>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p w14:paraId="0BA3ABAD" w14:textId="77777777" w:rsidR="00B857F8" w:rsidRPr="00B857F8" w:rsidRDefault="00B857F8" w:rsidP="00B857F8">
            <w:pPr>
              <w:numPr>
                <w:ilvl w:val="0"/>
                <w:numId w:val="220"/>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Realización del ejercicio de traducción 3.</w:t>
            </w:r>
          </w:p>
        </w:tc>
      </w:tr>
      <w:tr w:rsidR="00B857F8" w:rsidRPr="00B857F8" w14:paraId="635BCDB6" w14:textId="77777777" w:rsidTr="00104785">
        <w:trPr>
          <w:jc w:val="center"/>
        </w:trPr>
        <w:tc>
          <w:tcPr>
            <w:tcW w:w="1144" w:type="dxa"/>
          </w:tcPr>
          <w:p w14:paraId="3F8AFCE1" w14:textId="77777777" w:rsidR="00B857F8" w:rsidRPr="00B857F8" w:rsidRDefault="00B857F8" w:rsidP="00B857F8">
            <w:pPr>
              <w:jc w:val="center"/>
              <w:rPr>
                <w:rFonts w:ascii="Calibri" w:hAnsi="Calibri" w:cs="Arial"/>
              </w:rPr>
            </w:pPr>
            <w:r w:rsidRPr="00B857F8">
              <w:rPr>
                <w:rFonts w:ascii="Calibri" w:hAnsi="Calibri" w:cs="Arial"/>
              </w:rPr>
              <w:t>10</w:t>
            </w:r>
          </w:p>
        </w:tc>
        <w:tc>
          <w:tcPr>
            <w:tcW w:w="2395" w:type="dxa"/>
          </w:tcPr>
          <w:p w14:paraId="52141C61"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3: Tiempos verbales: presente, imperfecto, aoristo y futuro de verbos comunes</w:t>
            </w:r>
          </w:p>
          <w:p w14:paraId="68918A81" w14:textId="77777777" w:rsidR="00B857F8" w:rsidRPr="00B857F8" w:rsidRDefault="00B857F8" w:rsidP="00B857F8">
            <w:pPr>
              <w:rPr>
                <w:rFonts w:ascii="Calibri" w:hAnsi="Calibri" w:cs="Arial"/>
              </w:rPr>
            </w:pPr>
          </w:p>
          <w:p w14:paraId="327B6BD4" w14:textId="77777777" w:rsidR="00B857F8" w:rsidRPr="00B857F8" w:rsidRDefault="00B857F8" w:rsidP="00B857F8">
            <w:pPr>
              <w:rPr>
                <w:rFonts w:ascii="Calibri" w:hAnsi="Calibri"/>
              </w:rPr>
            </w:pPr>
            <w:r w:rsidRPr="00B857F8">
              <w:rPr>
                <w:rFonts w:ascii="Calibri" w:hAnsi="Calibri"/>
              </w:rPr>
              <w:t>3.4 Tiempo futuro; Distinción entre el sujeto y atributo; El adjetivo neutro sustantivado; El concepto de adjetivo</w:t>
            </w:r>
          </w:p>
          <w:p w14:paraId="43E46C3F" w14:textId="77777777" w:rsidR="00B857F8" w:rsidRPr="00B857F8" w:rsidRDefault="00B857F8" w:rsidP="00B857F8">
            <w:pPr>
              <w:rPr>
                <w:rFonts w:ascii="Calibri" w:hAnsi="Calibri" w:cs="Arial"/>
              </w:rPr>
            </w:pPr>
          </w:p>
        </w:tc>
        <w:tc>
          <w:tcPr>
            <w:tcW w:w="3119" w:type="dxa"/>
          </w:tcPr>
          <w:p w14:paraId="2D198AA0" w14:textId="77777777" w:rsidR="00B857F8" w:rsidRPr="00B857F8" w:rsidRDefault="00B857F8" w:rsidP="00B857F8">
            <w:pPr>
              <w:rPr>
                <w:rFonts w:ascii="Calibri" w:hAnsi="Calibri" w:cs="Arial"/>
              </w:rPr>
            </w:pPr>
            <w:r w:rsidRPr="00B857F8">
              <w:rPr>
                <w:rFonts w:ascii="Calibri" w:hAnsi="Calibri" w:cs="Arial"/>
                <w:color w:val="0070C0"/>
              </w:rPr>
              <w:t>Ruta de aprendizaje</w:t>
            </w:r>
          </w:p>
          <w:p w14:paraId="47E7D884" w14:textId="77777777" w:rsidR="00B857F8" w:rsidRPr="00B857F8" w:rsidRDefault="00B857F8" w:rsidP="00B857F8">
            <w:pPr>
              <w:rPr>
                <w:rFonts w:ascii="Calibri" w:hAnsi="Calibri" w:cs="Arial"/>
              </w:rPr>
            </w:pPr>
          </w:p>
          <w:p w14:paraId="246A293B" w14:textId="77777777" w:rsidR="00B857F8" w:rsidRPr="00B857F8" w:rsidRDefault="00B857F8" w:rsidP="00B857F8">
            <w:pPr>
              <w:rPr>
                <w:rFonts w:ascii="Calibri" w:hAnsi="Calibri" w:cs="Arial"/>
              </w:rPr>
            </w:pPr>
            <w:proofErr w:type="spellStart"/>
            <w:r w:rsidRPr="00B857F8">
              <w:rPr>
                <w:rFonts w:ascii="Calibri" w:hAnsi="Calibri" w:cs="Arial"/>
              </w:rPr>
              <w:t>Foulkes</w:t>
            </w:r>
            <w:proofErr w:type="spellEnd"/>
            <w:r w:rsidRPr="00B857F8">
              <w:rPr>
                <w:rFonts w:ascii="Calibri" w:hAnsi="Calibri" w:cs="Arial"/>
              </w:rPr>
              <w:t xml:space="preserve">, Irene. “Capítulo IX”. En El griego del Nuevo Testamento, 119-135. San José: Universidad Bíblica Latinoamericana, 2010. </w:t>
            </w:r>
            <w:r w:rsidRPr="00B857F8">
              <w:rPr>
                <w:rFonts w:ascii="Calibri" w:hAnsi="Calibri" w:cs="Calibri"/>
                <w:color w:val="0070C0"/>
                <w:szCs w:val="18"/>
              </w:rPr>
              <w:t>(clásico, última edición)</w:t>
            </w:r>
          </w:p>
          <w:p w14:paraId="17BC77C8" w14:textId="77777777" w:rsidR="00B857F8" w:rsidRPr="00B857F8" w:rsidRDefault="00B857F8" w:rsidP="00B857F8">
            <w:pPr>
              <w:rPr>
                <w:rFonts w:ascii="Calibri" w:hAnsi="Calibri" w:cs="Arial"/>
              </w:rPr>
            </w:pPr>
          </w:p>
          <w:p w14:paraId="344BE1BD" w14:textId="77777777" w:rsidR="00B857F8" w:rsidRPr="00B857F8" w:rsidRDefault="00B857F8" w:rsidP="00B857F8">
            <w:pPr>
              <w:rPr>
                <w:rFonts w:ascii="Calibri" w:hAnsi="Calibri" w:cs="Arial"/>
                <w:color w:val="000000"/>
              </w:rPr>
            </w:pPr>
            <w:r w:rsidRPr="00B857F8">
              <w:rPr>
                <w:rFonts w:ascii="Calibri" w:hAnsi="Calibri" w:cs="Arial"/>
                <w:color w:val="000000"/>
              </w:rPr>
              <w:t xml:space="preserve">Delgado, Inmaculada. “Futuro de indicativo del verbo y del verbo </w:t>
            </w:r>
            <w:proofErr w:type="spellStart"/>
            <w:r w:rsidRPr="00B857F8">
              <w:rPr>
                <w:rFonts w:ascii="Calibri" w:hAnsi="Calibri" w:cs="Arial"/>
                <w:color w:val="000000"/>
              </w:rPr>
              <w:t>eimi</w:t>
            </w:r>
            <w:proofErr w:type="spellEnd"/>
            <w:r w:rsidRPr="00B857F8">
              <w:rPr>
                <w:rFonts w:ascii="Calibri" w:hAnsi="Calibri" w:cs="Arial"/>
                <w:color w:val="000000"/>
              </w:rPr>
              <w:t xml:space="preserve">”. En </w:t>
            </w:r>
            <w:r w:rsidRPr="00B857F8">
              <w:rPr>
                <w:rFonts w:ascii="Calibri" w:hAnsi="Calibri" w:cs="Arial"/>
                <w:i/>
                <w:iCs/>
                <w:color w:val="000000"/>
              </w:rPr>
              <w:t xml:space="preserve">Gramática griega del Nuevo Testamento: I. </w:t>
            </w:r>
            <w:r w:rsidRPr="00B857F8">
              <w:rPr>
                <w:rFonts w:ascii="Calibri" w:hAnsi="Calibri" w:cs="Arial"/>
                <w:i/>
                <w:iCs/>
                <w:color w:val="000000"/>
              </w:rPr>
              <w:lastRenderedPageBreak/>
              <w:t>Morfología</w:t>
            </w:r>
            <w:r w:rsidRPr="00B857F8">
              <w:rPr>
                <w:rFonts w:ascii="Calibri" w:hAnsi="Calibri" w:cs="Arial"/>
                <w:color w:val="000000"/>
              </w:rPr>
              <w:t>, 71-72. Estella: Verbo Divino, 2013.</w:t>
            </w:r>
          </w:p>
          <w:p w14:paraId="5E1FDE55" w14:textId="77777777" w:rsidR="00B857F8" w:rsidRPr="00B857F8" w:rsidRDefault="00B857F8" w:rsidP="00B857F8">
            <w:pPr>
              <w:rPr>
                <w:rFonts w:ascii="Calibri" w:hAnsi="Calibri" w:cs="Arial"/>
                <w:color w:val="000000"/>
              </w:rPr>
            </w:pPr>
          </w:p>
          <w:p w14:paraId="07A15872" w14:textId="77777777" w:rsidR="00B857F8" w:rsidRPr="00B857F8" w:rsidRDefault="00B857F8" w:rsidP="00B857F8">
            <w:pPr>
              <w:rPr>
                <w:rFonts w:ascii="Calibri" w:hAnsi="Calibri" w:cs="Arial"/>
                <w:color w:val="000000"/>
              </w:rPr>
            </w:pPr>
            <w:r w:rsidRPr="00B857F8">
              <w:rPr>
                <w:rFonts w:ascii="Calibri" w:hAnsi="Calibri" w:cs="Arial"/>
                <w:b/>
                <w:bCs/>
                <w:color w:val="0070C0"/>
                <w:lang w:val="es-CR"/>
              </w:rPr>
              <w:t>Material complementario</w:t>
            </w:r>
          </w:p>
          <w:p w14:paraId="53CAC0AA" w14:textId="77777777" w:rsidR="00B857F8" w:rsidRPr="00B857F8" w:rsidRDefault="00B857F8" w:rsidP="00B857F8">
            <w:pPr>
              <w:rPr>
                <w:rFonts w:ascii="Calibri" w:hAnsi="Calibri" w:cs="Arial"/>
                <w:color w:val="000000"/>
              </w:rPr>
            </w:pPr>
          </w:p>
          <w:p w14:paraId="244E1CE4" w14:textId="77777777" w:rsidR="00B857F8" w:rsidRPr="00B857F8" w:rsidRDefault="00B857F8" w:rsidP="00B857F8">
            <w:pPr>
              <w:rPr>
                <w:rFonts w:ascii="Calibri" w:hAnsi="Calibri" w:cs="Arial"/>
                <w:color w:val="000000"/>
              </w:rPr>
            </w:pPr>
            <w:r w:rsidRPr="00B857F8">
              <w:rPr>
                <w:rFonts w:ascii="Calibri" w:hAnsi="Calibri" w:cs="Calibri"/>
                <w:color w:val="0563C1"/>
                <w:lang w:val="de-DE"/>
              </w:rPr>
              <w:t>Guía para la participación mediante la herramienta Big Blue Button en la plataforma Moodle</w:t>
            </w:r>
          </w:p>
          <w:p w14:paraId="63B71637" w14:textId="77777777" w:rsidR="00B857F8" w:rsidRPr="00B857F8" w:rsidRDefault="00B857F8" w:rsidP="00B857F8">
            <w:pPr>
              <w:rPr>
                <w:rFonts w:ascii="Calibri" w:hAnsi="Calibri" w:cs="Arial"/>
              </w:rPr>
            </w:pPr>
          </w:p>
        </w:tc>
        <w:tc>
          <w:tcPr>
            <w:tcW w:w="3118" w:type="dxa"/>
          </w:tcPr>
          <w:p w14:paraId="01DC2F73" w14:textId="77777777" w:rsidR="00B857F8" w:rsidRPr="00B857F8" w:rsidRDefault="00B857F8" w:rsidP="00B857F8">
            <w:pPr>
              <w:numPr>
                <w:ilvl w:val="0"/>
                <w:numId w:val="221"/>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lastRenderedPageBreak/>
              <w:t>Realizar la lectura de la sesión.</w:t>
            </w:r>
          </w:p>
          <w:p w14:paraId="7714FEBA" w14:textId="77777777" w:rsidR="00B857F8" w:rsidRPr="00B857F8" w:rsidRDefault="00B857F8" w:rsidP="00B857F8">
            <w:pPr>
              <w:numPr>
                <w:ilvl w:val="0"/>
                <w:numId w:val="221"/>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Participación en un encuentro sincrónico virtual.</w:t>
            </w:r>
          </w:p>
          <w:p w14:paraId="7B7D2F5D" w14:textId="77777777" w:rsidR="00B857F8" w:rsidRPr="00B857F8" w:rsidRDefault="00B857F8" w:rsidP="00B857F8">
            <w:pPr>
              <w:numPr>
                <w:ilvl w:val="0"/>
                <w:numId w:val="221"/>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p w14:paraId="0C8EF50E" w14:textId="77777777" w:rsidR="00B857F8" w:rsidRPr="00B857F8" w:rsidRDefault="00B857F8" w:rsidP="00B857F8">
            <w:pPr>
              <w:spacing w:after="200" w:line="276" w:lineRule="auto"/>
              <w:contextualSpacing/>
              <w:rPr>
                <w:rFonts w:ascii="Calibri" w:eastAsia="Calibri" w:hAnsi="Calibri" w:cs="Arial"/>
                <w:lang w:val="es-CR"/>
              </w:rPr>
            </w:pPr>
          </w:p>
        </w:tc>
      </w:tr>
      <w:tr w:rsidR="00B857F8" w:rsidRPr="00B857F8" w14:paraId="3115EDBB" w14:textId="77777777" w:rsidTr="00104785">
        <w:trPr>
          <w:jc w:val="center"/>
        </w:trPr>
        <w:tc>
          <w:tcPr>
            <w:tcW w:w="1144" w:type="dxa"/>
          </w:tcPr>
          <w:p w14:paraId="53EF9EBA" w14:textId="77777777" w:rsidR="00B857F8" w:rsidRPr="00B857F8" w:rsidRDefault="00B857F8" w:rsidP="00B857F8">
            <w:pPr>
              <w:jc w:val="center"/>
              <w:rPr>
                <w:rFonts w:ascii="Calibri" w:hAnsi="Calibri" w:cs="Arial"/>
              </w:rPr>
            </w:pPr>
            <w:r w:rsidRPr="00B857F8">
              <w:rPr>
                <w:rFonts w:ascii="Calibri" w:hAnsi="Calibri" w:cs="Arial"/>
              </w:rPr>
              <w:t>11</w:t>
            </w:r>
          </w:p>
        </w:tc>
        <w:tc>
          <w:tcPr>
            <w:tcW w:w="2395" w:type="dxa"/>
          </w:tcPr>
          <w:p w14:paraId="2AA916B8"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3: Tiempos verbales: presente, imperfecto, aoristo y futuro de verbos comunes</w:t>
            </w:r>
          </w:p>
          <w:p w14:paraId="33D95FD2" w14:textId="77777777" w:rsidR="00B857F8" w:rsidRPr="00B857F8" w:rsidRDefault="00B857F8" w:rsidP="00B857F8">
            <w:pPr>
              <w:rPr>
                <w:rFonts w:ascii="Calibri" w:hAnsi="Calibri" w:cs="Arial"/>
              </w:rPr>
            </w:pPr>
          </w:p>
          <w:p w14:paraId="353DC000" w14:textId="77777777" w:rsidR="00B857F8" w:rsidRPr="00B857F8" w:rsidRDefault="00B857F8" w:rsidP="00B857F8">
            <w:pPr>
              <w:rPr>
                <w:rFonts w:ascii="Calibri" w:hAnsi="Calibri" w:cs="Arial"/>
              </w:rPr>
            </w:pPr>
            <w:r w:rsidRPr="00B857F8">
              <w:rPr>
                <w:rFonts w:ascii="Calibri" w:hAnsi="Calibri"/>
              </w:rPr>
              <w:t>3.5 Tiempo aoristo; Partes fundamentales del verbo: Los pronombres personales</w:t>
            </w:r>
          </w:p>
          <w:p w14:paraId="1CFB8922" w14:textId="77777777" w:rsidR="00B857F8" w:rsidRPr="00B857F8" w:rsidRDefault="00B857F8" w:rsidP="00B857F8">
            <w:pPr>
              <w:rPr>
                <w:rFonts w:ascii="Calibri" w:hAnsi="Calibri" w:cs="Arial"/>
              </w:rPr>
            </w:pPr>
          </w:p>
        </w:tc>
        <w:tc>
          <w:tcPr>
            <w:tcW w:w="3119" w:type="dxa"/>
          </w:tcPr>
          <w:p w14:paraId="78C89B9D" w14:textId="77777777" w:rsidR="00B857F8" w:rsidRPr="00B857F8" w:rsidRDefault="00B857F8" w:rsidP="00B857F8">
            <w:pPr>
              <w:rPr>
                <w:rFonts w:ascii="Calibri" w:hAnsi="Calibri" w:cs="Arial"/>
                <w:color w:val="0070C0"/>
              </w:rPr>
            </w:pPr>
            <w:r w:rsidRPr="00B857F8">
              <w:rPr>
                <w:rFonts w:ascii="Calibri" w:hAnsi="Calibri" w:cs="Arial"/>
                <w:color w:val="0070C0"/>
              </w:rPr>
              <w:t>Ruta de aprendizaje</w:t>
            </w:r>
          </w:p>
          <w:p w14:paraId="4306D411" w14:textId="77777777" w:rsidR="00B857F8" w:rsidRPr="00B857F8" w:rsidRDefault="00B857F8" w:rsidP="00B857F8">
            <w:pPr>
              <w:rPr>
                <w:rFonts w:ascii="Calibri" w:hAnsi="Calibri" w:cs="Arial"/>
                <w:color w:val="000000"/>
              </w:rPr>
            </w:pPr>
          </w:p>
          <w:p w14:paraId="780257BB" w14:textId="77777777" w:rsidR="00B857F8" w:rsidRPr="00B857F8" w:rsidRDefault="00B857F8" w:rsidP="00B857F8">
            <w:pPr>
              <w:rPr>
                <w:rFonts w:ascii="Calibri" w:hAnsi="Calibri" w:cs="Arial"/>
                <w:color w:val="000000"/>
              </w:rPr>
            </w:pPr>
            <w:proofErr w:type="spellStart"/>
            <w:r w:rsidRPr="00B857F8">
              <w:rPr>
                <w:rFonts w:ascii="Calibri" w:hAnsi="Calibri" w:cs="Arial"/>
                <w:color w:val="000000"/>
              </w:rPr>
              <w:t>Foulkes</w:t>
            </w:r>
            <w:proofErr w:type="spellEnd"/>
            <w:r w:rsidRPr="00B857F8">
              <w:rPr>
                <w:rFonts w:ascii="Calibri" w:hAnsi="Calibri" w:cs="Arial"/>
                <w:color w:val="000000"/>
              </w:rPr>
              <w:t xml:space="preserve">, Irene. “Capítulo X”. En </w:t>
            </w:r>
            <w:r w:rsidRPr="00B857F8">
              <w:rPr>
                <w:rFonts w:ascii="Calibri" w:hAnsi="Calibri" w:cs="Arial"/>
                <w:i/>
                <w:iCs/>
                <w:color w:val="000000"/>
              </w:rPr>
              <w:t>El griego del Nuevo Testamento</w:t>
            </w:r>
            <w:r w:rsidRPr="00B857F8">
              <w:rPr>
                <w:rFonts w:ascii="Calibri" w:hAnsi="Calibri" w:cs="Arial"/>
                <w:color w:val="000000"/>
              </w:rPr>
              <w:t xml:space="preserve">, 137-158. San José: Universidad Bíblica Latinoamericana, 2010. </w:t>
            </w:r>
            <w:r w:rsidRPr="00B857F8">
              <w:rPr>
                <w:rFonts w:ascii="Calibri" w:hAnsi="Calibri" w:cs="Calibri"/>
                <w:color w:val="0070C0"/>
                <w:szCs w:val="18"/>
              </w:rPr>
              <w:t>(clásico, última edición)</w:t>
            </w:r>
          </w:p>
          <w:p w14:paraId="0CEC8CAF" w14:textId="77777777" w:rsidR="00B857F8" w:rsidRPr="00B857F8" w:rsidRDefault="00B857F8" w:rsidP="00B857F8">
            <w:pPr>
              <w:rPr>
                <w:rFonts w:ascii="Calibri" w:hAnsi="Calibri" w:cs="Arial"/>
              </w:rPr>
            </w:pPr>
          </w:p>
          <w:p w14:paraId="69DDD0D7" w14:textId="77777777" w:rsidR="00B857F8" w:rsidRPr="00B857F8" w:rsidRDefault="00B857F8" w:rsidP="00B857F8">
            <w:pPr>
              <w:rPr>
                <w:rFonts w:ascii="Calibri" w:hAnsi="Calibri" w:cs="Arial"/>
                <w:color w:val="000000"/>
              </w:rPr>
            </w:pPr>
            <w:r w:rsidRPr="00B857F8">
              <w:rPr>
                <w:rFonts w:ascii="Calibri" w:hAnsi="Calibri" w:cs="Arial"/>
                <w:color w:val="000000"/>
              </w:rPr>
              <w:t xml:space="preserve">Delgado, Inmaculada. “Aoristo, perfecto y pluscuamperfecto de indicativo: el aumento y la reduplicación”. En </w:t>
            </w:r>
            <w:r w:rsidRPr="00B857F8">
              <w:rPr>
                <w:rFonts w:ascii="Calibri" w:hAnsi="Calibri" w:cs="Arial"/>
                <w:i/>
                <w:iCs/>
                <w:color w:val="000000"/>
              </w:rPr>
              <w:t>Gramática griega del Nuevo Testamento: I. Morfología</w:t>
            </w:r>
            <w:r w:rsidRPr="00B857F8">
              <w:rPr>
                <w:rFonts w:ascii="Calibri" w:hAnsi="Calibri" w:cs="Arial"/>
                <w:color w:val="000000"/>
              </w:rPr>
              <w:t xml:space="preserve">, 73-79. Estella: Verbo Divino, 2013. </w:t>
            </w:r>
            <w:r w:rsidRPr="00B857F8">
              <w:rPr>
                <w:rFonts w:ascii="Calibri" w:hAnsi="Calibri" w:cs="Calibri"/>
                <w:color w:val="0070C0"/>
                <w:szCs w:val="18"/>
              </w:rPr>
              <w:t>(clásico, última edición)</w:t>
            </w:r>
          </w:p>
          <w:p w14:paraId="7DA1BBF1" w14:textId="77777777" w:rsidR="00B857F8" w:rsidRPr="00B857F8" w:rsidRDefault="00B857F8" w:rsidP="00B857F8">
            <w:pPr>
              <w:rPr>
                <w:rFonts w:ascii="Calibri" w:hAnsi="Calibri" w:cs="Arial"/>
                <w:color w:val="000000"/>
              </w:rPr>
            </w:pPr>
          </w:p>
          <w:p w14:paraId="40B405B6" w14:textId="77777777" w:rsidR="00B857F8" w:rsidRPr="00B857F8" w:rsidRDefault="00B857F8" w:rsidP="00B857F8">
            <w:pPr>
              <w:rPr>
                <w:rFonts w:ascii="Calibri" w:hAnsi="Calibri" w:cs="Arial"/>
                <w:color w:val="000000"/>
              </w:rPr>
            </w:pPr>
            <w:r w:rsidRPr="00B857F8">
              <w:rPr>
                <w:rFonts w:ascii="Calibri" w:hAnsi="Calibri" w:cs="Arial"/>
                <w:b/>
                <w:bCs/>
                <w:color w:val="0070C0"/>
                <w:lang w:val="es-CR"/>
              </w:rPr>
              <w:t>Material complementario</w:t>
            </w:r>
          </w:p>
          <w:p w14:paraId="554BE604" w14:textId="77777777" w:rsidR="00B857F8" w:rsidRPr="00B857F8" w:rsidRDefault="00B857F8" w:rsidP="00B857F8">
            <w:pPr>
              <w:rPr>
                <w:rFonts w:ascii="Calibri" w:hAnsi="Calibri" w:cs="Arial"/>
              </w:rPr>
            </w:pPr>
          </w:p>
          <w:p w14:paraId="5BC40B8E" w14:textId="77777777" w:rsidR="00B857F8" w:rsidRPr="00B857F8" w:rsidRDefault="00B857F8" w:rsidP="00B857F8">
            <w:pPr>
              <w:rPr>
                <w:rFonts w:ascii="Calibri" w:hAnsi="Calibri" w:cs="Calibri"/>
                <w:color w:val="0563C1"/>
                <w:lang w:val="de-DE"/>
              </w:rPr>
            </w:pPr>
            <w:r w:rsidRPr="00B857F8">
              <w:rPr>
                <w:rFonts w:ascii="Calibri" w:hAnsi="Calibri" w:cs="Calibri"/>
                <w:color w:val="0563C1"/>
                <w:lang w:val="de-DE"/>
              </w:rPr>
              <w:t>Guía para la participación mediante la herramienta Big Blue Button en la plataforma Moodle</w:t>
            </w:r>
          </w:p>
          <w:p w14:paraId="0AFC3A34" w14:textId="77777777" w:rsidR="00B857F8" w:rsidRPr="00B857F8" w:rsidRDefault="00B857F8" w:rsidP="00B857F8">
            <w:pPr>
              <w:rPr>
                <w:rFonts w:ascii="Calibri" w:hAnsi="Calibri" w:cs="Arial"/>
              </w:rPr>
            </w:pPr>
          </w:p>
        </w:tc>
        <w:tc>
          <w:tcPr>
            <w:tcW w:w="3118" w:type="dxa"/>
          </w:tcPr>
          <w:p w14:paraId="09519AC9" w14:textId="77777777" w:rsidR="00B857F8" w:rsidRPr="00B857F8" w:rsidRDefault="00B857F8" w:rsidP="00B857F8">
            <w:pPr>
              <w:numPr>
                <w:ilvl w:val="0"/>
                <w:numId w:val="222"/>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Realizar la lectura de la sesión.</w:t>
            </w:r>
          </w:p>
          <w:p w14:paraId="1AABC5D9" w14:textId="77777777" w:rsidR="00B857F8" w:rsidRPr="00B857F8" w:rsidRDefault="00B857F8" w:rsidP="00B857F8">
            <w:pPr>
              <w:numPr>
                <w:ilvl w:val="0"/>
                <w:numId w:val="222"/>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Participación en un encuentro sincrónico virtual.</w:t>
            </w:r>
          </w:p>
          <w:p w14:paraId="4AD1CB7B" w14:textId="77777777" w:rsidR="00B857F8" w:rsidRPr="00B857F8" w:rsidRDefault="00B857F8" w:rsidP="00B857F8">
            <w:pPr>
              <w:numPr>
                <w:ilvl w:val="0"/>
                <w:numId w:val="222"/>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p w14:paraId="6D78099E" w14:textId="77777777" w:rsidR="00B857F8" w:rsidRPr="00B857F8" w:rsidRDefault="00B857F8" w:rsidP="00B857F8">
            <w:pPr>
              <w:numPr>
                <w:ilvl w:val="0"/>
                <w:numId w:val="222"/>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Resolución de la prueba corta 3 en el aula virtual.</w:t>
            </w:r>
          </w:p>
        </w:tc>
      </w:tr>
      <w:tr w:rsidR="00B857F8" w:rsidRPr="00B857F8" w14:paraId="776C3835" w14:textId="77777777" w:rsidTr="00104785">
        <w:trPr>
          <w:jc w:val="center"/>
        </w:trPr>
        <w:tc>
          <w:tcPr>
            <w:tcW w:w="1144" w:type="dxa"/>
          </w:tcPr>
          <w:p w14:paraId="314DF82D" w14:textId="77777777" w:rsidR="00B857F8" w:rsidRPr="00B857F8" w:rsidRDefault="00B857F8" w:rsidP="00B857F8">
            <w:pPr>
              <w:jc w:val="center"/>
              <w:rPr>
                <w:rFonts w:ascii="Calibri" w:hAnsi="Calibri" w:cs="Arial"/>
              </w:rPr>
            </w:pPr>
            <w:r w:rsidRPr="00B857F8">
              <w:rPr>
                <w:rFonts w:ascii="Calibri" w:hAnsi="Calibri" w:cs="Arial"/>
              </w:rPr>
              <w:t>12</w:t>
            </w:r>
          </w:p>
        </w:tc>
        <w:tc>
          <w:tcPr>
            <w:tcW w:w="2395" w:type="dxa"/>
          </w:tcPr>
          <w:p w14:paraId="173696A4"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4: Estructuras sintácticas básicas</w:t>
            </w:r>
          </w:p>
          <w:p w14:paraId="243DBF36" w14:textId="77777777" w:rsidR="00B857F8" w:rsidRPr="00B857F8" w:rsidRDefault="00B857F8" w:rsidP="00B857F8">
            <w:pPr>
              <w:rPr>
                <w:rFonts w:ascii="Calibri" w:hAnsi="Calibri" w:cs="Arial"/>
                <w:b/>
                <w:bCs/>
                <w:color w:val="000000"/>
              </w:rPr>
            </w:pPr>
          </w:p>
          <w:p w14:paraId="6FDD45D8" w14:textId="77777777" w:rsidR="00B857F8" w:rsidRPr="00B857F8" w:rsidRDefault="00B857F8" w:rsidP="00B857F8">
            <w:pPr>
              <w:rPr>
                <w:rFonts w:ascii="Calibri" w:hAnsi="Calibri"/>
              </w:rPr>
            </w:pPr>
            <w:r w:rsidRPr="00B857F8">
              <w:rPr>
                <w:rFonts w:ascii="Calibri" w:hAnsi="Calibri"/>
              </w:rPr>
              <w:t>4.1 Modos infinitivo e imperativo del aoristo</w:t>
            </w:r>
          </w:p>
          <w:p w14:paraId="16CD5766" w14:textId="77777777" w:rsidR="00B857F8" w:rsidRPr="00B857F8" w:rsidRDefault="00B857F8" w:rsidP="00B857F8">
            <w:pPr>
              <w:rPr>
                <w:rFonts w:ascii="Calibri" w:hAnsi="Calibri" w:cs="Arial"/>
              </w:rPr>
            </w:pPr>
          </w:p>
        </w:tc>
        <w:tc>
          <w:tcPr>
            <w:tcW w:w="3119" w:type="dxa"/>
          </w:tcPr>
          <w:p w14:paraId="5E9E9522" w14:textId="77777777" w:rsidR="00B857F8" w:rsidRPr="00B857F8" w:rsidRDefault="00B857F8" w:rsidP="00B857F8">
            <w:pPr>
              <w:rPr>
                <w:rFonts w:ascii="Calibri" w:hAnsi="Calibri" w:cs="Arial"/>
                <w:color w:val="000000"/>
              </w:rPr>
            </w:pPr>
            <w:r w:rsidRPr="00B857F8">
              <w:rPr>
                <w:rFonts w:ascii="Calibri" w:hAnsi="Calibri" w:cs="Arial"/>
                <w:color w:val="0070C0"/>
              </w:rPr>
              <w:t>Ruta de aprendizaje</w:t>
            </w:r>
          </w:p>
          <w:p w14:paraId="04CC1238" w14:textId="77777777" w:rsidR="00B857F8" w:rsidRPr="00B857F8" w:rsidRDefault="00B857F8" w:rsidP="00B857F8">
            <w:pPr>
              <w:rPr>
                <w:rFonts w:ascii="Calibri" w:hAnsi="Calibri" w:cs="Arial"/>
                <w:color w:val="000000"/>
              </w:rPr>
            </w:pPr>
          </w:p>
          <w:p w14:paraId="23E3B228" w14:textId="77777777" w:rsidR="00B857F8" w:rsidRPr="00B857F8" w:rsidRDefault="00B857F8" w:rsidP="00B857F8">
            <w:pPr>
              <w:rPr>
                <w:rFonts w:ascii="Calibri" w:hAnsi="Calibri" w:cs="Arial"/>
                <w:color w:val="000000"/>
              </w:rPr>
            </w:pPr>
            <w:proofErr w:type="spellStart"/>
            <w:r w:rsidRPr="00B857F8">
              <w:rPr>
                <w:rFonts w:ascii="Calibri" w:hAnsi="Calibri" w:cs="Arial"/>
                <w:color w:val="000000"/>
              </w:rPr>
              <w:t>Foulkes</w:t>
            </w:r>
            <w:proofErr w:type="spellEnd"/>
            <w:r w:rsidRPr="00B857F8">
              <w:rPr>
                <w:rFonts w:ascii="Calibri" w:hAnsi="Calibri" w:cs="Arial"/>
                <w:color w:val="000000"/>
              </w:rPr>
              <w:t xml:space="preserve">, Irene. “Capítulo XI”. En </w:t>
            </w:r>
            <w:r w:rsidRPr="00B857F8">
              <w:rPr>
                <w:rFonts w:ascii="Calibri" w:hAnsi="Calibri" w:cs="Arial"/>
                <w:i/>
                <w:iCs/>
                <w:color w:val="000000"/>
              </w:rPr>
              <w:t>El griego del Nuevo Testamento</w:t>
            </w:r>
            <w:r w:rsidRPr="00B857F8">
              <w:rPr>
                <w:rFonts w:ascii="Calibri" w:hAnsi="Calibri" w:cs="Arial"/>
                <w:color w:val="000000"/>
              </w:rPr>
              <w:t xml:space="preserve">, 159-172. San José: Universidad Bíblica Latinoamericana, 2010. </w:t>
            </w:r>
            <w:r w:rsidRPr="00B857F8">
              <w:rPr>
                <w:rFonts w:ascii="Calibri" w:hAnsi="Calibri" w:cs="Calibri"/>
                <w:color w:val="0070C0"/>
                <w:szCs w:val="18"/>
              </w:rPr>
              <w:t>(clásico, última edición)</w:t>
            </w:r>
          </w:p>
          <w:p w14:paraId="71366AC4" w14:textId="77777777" w:rsidR="00B857F8" w:rsidRPr="00B857F8" w:rsidRDefault="00B857F8" w:rsidP="00B857F8">
            <w:pPr>
              <w:rPr>
                <w:rFonts w:ascii="Calibri" w:hAnsi="Calibri" w:cs="Arial"/>
                <w:color w:val="000000"/>
              </w:rPr>
            </w:pPr>
          </w:p>
          <w:p w14:paraId="4FAAD0EC" w14:textId="77777777" w:rsidR="00B857F8" w:rsidRPr="00B857F8" w:rsidRDefault="00B857F8" w:rsidP="00B857F8">
            <w:pPr>
              <w:rPr>
                <w:rFonts w:ascii="Calibri" w:hAnsi="Calibri" w:cs="Arial"/>
                <w:color w:val="000000"/>
              </w:rPr>
            </w:pPr>
            <w:r w:rsidRPr="00B857F8">
              <w:rPr>
                <w:rFonts w:ascii="Calibri" w:hAnsi="Calibri" w:cs="Arial"/>
                <w:b/>
                <w:bCs/>
                <w:color w:val="0070C0"/>
                <w:lang w:val="es-CR"/>
              </w:rPr>
              <w:t>Material complementario</w:t>
            </w:r>
          </w:p>
          <w:p w14:paraId="671DC0FA" w14:textId="77777777" w:rsidR="00B857F8" w:rsidRPr="00B857F8" w:rsidRDefault="00B857F8" w:rsidP="00B857F8">
            <w:pPr>
              <w:rPr>
                <w:rFonts w:ascii="Calibri" w:hAnsi="Calibri" w:cs="Arial"/>
              </w:rPr>
            </w:pPr>
          </w:p>
          <w:p w14:paraId="7B812F74" w14:textId="77777777" w:rsidR="00B857F8" w:rsidRPr="00B857F8" w:rsidRDefault="00B857F8" w:rsidP="00B857F8">
            <w:pPr>
              <w:rPr>
                <w:rFonts w:ascii="Calibri" w:hAnsi="Calibri" w:cs="Arial"/>
              </w:rPr>
            </w:pPr>
            <w:r w:rsidRPr="00B857F8">
              <w:rPr>
                <w:rFonts w:ascii="Calibri" w:hAnsi="Calibri" w:cs="Calibri"/>
                <w:color w:val="0563C1"/>
                <w:lang w:val="de-DE"/>
              </w:rPr>
              <w:t>Guía para la participación mediante la herramienta Big Blue Button en la plataforma Moodle</w:t>
            </w:r>
          </w:p>
          <w:p w14:paraId="26065FEA" w14:textId="77777777" w:rsidR="00B857F8" w:rsidRPr="00B857F8" w:rsidRDefault="00B857F8" w:rsidP="00B857F8">
            <w:pPr>
              <w:rPr>
                <w:rFonts w:ascii="Calibri" w:hAnsi="Calibri" w:cs="Arial"/>
              </w:rPr>
            </w:pPr>
          </w:p>
        </w:tc>
        <w:tc>
          <w:tcPr>
            <w:tcW w:w="3118" w:type="dxa"/>
          </w:tcPr>
          <w:p w14:paraId="5D9A67B4" w14:textId="77777777" w:rsidR="00B857F8" w:rsidRPr="00B857F8" w:rsidRDefault="00B857F8" w:rsidP="00B857F8">
            <w:pPr>
              <w:numPr>
                <w:ilvl w:val="0"/>
                <w:numId w:val="223"/>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lastRenderedPageBreak/>
              <w:t>Práctica del texto para el examen de lectura en un encuentro sincrónico virtual.</w:t>
            </w:r>
          </w:p>
          <w:p w14:paraId="07893A1D" w14:textId="77777777" w:rsidR="00B857F8" w:rsidRPr="00B857F8" w:rsidRDefault="00B857F8" w:rsidP="00B857F8">
            <w:pPr>
              <w:numPr>
                <w:ilvl w:val="0"/>
                <w:numId w:val="223"/>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p w14:paraId="36871638" w14:textId="77777777" w:rsidR="00B857F8" w:rsidRPr="00B857F8" w:rsidRDefault="00B857F8" w:rsidP="00B857F8">
            <w:pPr>
              <w:spacing w:after="200" w:line="276" w:lineRule="auto"/>
              <w:contextualSpacing/>
              <w:rPr>
                <w:rFonts w:ascii="Calibri" w:eastAsia="Calibri" w:hAnsi="Calibri" w:cs="Arial"/>
                <w:lang w:val="es-CR"/>
              </w:rPr>
            </w:pPr>
          </w:p>
        </w:tc>
      </w:tr>
      <w:tr w:rsidR="00B857F8" w:rsidRPr="00B857F8" w14:paraId="547C7835" w14:textId="77777777" w:rsidTr="00104785">
        <w:trPr>
          <w:jc w:val="center"/>
        </w:trPr>
        <w:tc>
          <w:tcPr>
            <w:tcW w:w="1144" w:type="dxa"/>
          </w:tcPr>
          <w:p w14:paraId="0DB54F9B" w14:textId="77777777" w:rsidR="00B857F8" w:rsidRPr="00B857F8" w:rsidRDefault="00B857F8" w:rsidP="00B857F8">
            <w:pPr>
              <w:jc w:val="center"/>
              <w:rPr>
                <w:rFonts w:ascii="Calibri" w:hAnsi="Calibri" w:cs="Arial"/>
              </w:rPr>
            </w:pPr>
            <w:r w:rsidRPr="00B857F8">
              <w:rPr>
                <w:rFonts w:ascii="Calibri" w:hAnsi="Calibri" w:cs="Arial"/>
              </w:rPr>
              <w:t>13</w:t>
            </w:r>
          </w:p>
        </w:tc>
        <w:tc>
          <w:tcPr>
            <w:tcW w:w="2395" w:type="dxa"/>
          </w:tcPr>
          <w:p w14:paraId="7FBB94A4"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4: Estructuras sintácticas básicas</w:t>
            </w:r>
          </w:p>
          <w:p w14:paraId="5A4265A4" w14:textId="77777777" w:rsidR="00B857F8" w:rsidRPr="00B857F8" w:rsidRDefault="00B857F8" w:rsidP="00B857F8">
            <w:pPr>
              <w:rPr>
                <w:rFonts w:ascii="Calibri" w:hAnsi="Calibri" w:cs="Arial"/>
              </w:rPr>
            </w:pPr>
          </w:p>
          <w:p w14:paraId="40422D67" w14:textId="77777777" w:rsidR="00B857F8" w:rsidRPr="00B857F8" w:rsidRDefault="00B857F8" w:rsidP="00B857F8">
            <w:pPr>
              <w:rPr>
                <w:rFonts w:ascii="Calibri" w:hAnsi="Calibri"/>
              </w:rPr>
            </w:pPr>
            <w:r w:rsidRPr="00B857F8">
              <w:rPr>
                <w:rFonts w:ascii="Calibri" w:hAnsi="Calibri"/>
              </w:rPr>
              <w:t>4.2 Verbos en -mi</w:t>
            </w:r>
          </w:p>
          <w:p w14:paraId="45D4A6AD" w14:textId="77777777" w:rsidR="00B857F8" w:rsidRPr="00B857F8" w:rsidRDefault="00B857F8" w:rsidP="00B857F8">
            <w:pPr>
              <w:rPr>
                <w:rFonts w:ascii="Calibri" w:hAnsi="Calibri" w:cs="Arial"/>
              </w:rPr>
            </w:pPr>
          </w:p>
        </w:tc>
        <w:tc>
          <w:tcPr>
            <w:tcW w:w="3119" w:type="dxa"/>
          </w:tcPr>
          <w:p w14:paraId="0A0B2806" w14:textId="77777777" w:rsidR="00B857F8" w:rsidRPr="00B857F8" w:rsidRDefault="00B857F8" w:rsidP="00B857F8">
            <w:pPr>
              <w:rPr>
                <w:rFonts w:ascii="Calibri" w:hAnsi="Calibri" w:cs="Arial"/>
                <w:color w:val="000000"/>
              </w:rPr>
            </w:pPr>
            <w:r w:rsidRPr="00B857F8">
              <w:rPr>
                <w:rFonts w:ascii="Calibri" w:hAnsi="Calibri" w:cs="Arial"/>
                <w:color w:val="0070C0"/>
              </w:rPr>
              <w:t>Ruta de aprendizaje</w:t>
            </w:r>
          </w:p>
          <w:p w14:paraId="690B143E" w14:textId="77777777" w:rsidR="00B857F8" w:rsidRPr="00B857F8" w:rsidRDefault="00B857F8" w:rsidP="00B857F8">
            <w:pPr>
              <w:rPr>
                <w:rFonts w:ascii="Calibri" w:hAnsi="Calibri" w:cs="Arial"/>
                <w:color w:val="000000"/>
              </w:rPr>
            </w:pPr>
          </w:p>
          <w:p w14:paraId="691472DA" w14:textId="77777777" w:rsidR="00B857F8" w:rsidRPr="00B857F8" w:rsidRDefault="00B857F8" w:rsidP="00B857F8">
            <w:pPr>
              <w:rPr>
                <w:rFonts w:ascii="Calibri" w:hAnsi="Calibri" w:cs="Arial"/>
                <w:color w:val="000000"/>
              </w:rPr>
            </w:pPr>
            <w:proofErr w:type="spellStart"/>
            <w:r w:rsidRPr="00B857F8">
              <w:rPr>
                <w:rFonts w:ascii="Calibri" w:hAnsi="Calibri" w:cs="Arial"/>
                <w:color w:val="000000"/>
              </w:rPr>
              <w:t>Foulkes</w:t>
            </w:r>
            <w:proofErr w:type="spellEnd"/>
            <w:r w:rsidRPr="00B857F8">
              <w:rPr>
                <w:rFonts w:ascii="Calibri" w:hAnsi="Calibri" w:cs="Arial"/>
                <w:color w:val="000000"/>
              </w:rPr>
              <w:t xml:space="preserve">, Irene. “Capítulo XII”. En </w:t>
            </w:r>
            <w:r w:rsidRPr="00B857F8">
              <w:rPr>
                <w:rFonts w:ascii="Calibri" w:hAnsi="Calibri" w:cs="Arial"/>
                <w:i/>
                <w:iCs/>
                <w:color w:val="000000"/>
              </w:rPr>
              <w:t>El griego del Nuevo Testamento</w:t>
            </w:r>
            <w:r w:rsidRPr="00B857F8">
              <w:rPr>
                <w:rFonts w:ascii="Calibri" w:hAnsi="Calibri" w:cs="Arial"/>
                <w:color w:val="000000"/>
              </w:rPr>
              <w:t xml:space="preserve">, 173-188. San José: Universidad Bíblica Latinoamericana, 2010. </w:t>
            </w:r>
            <w:r w:rsidRPr="00B857F8">
              <w:rPr>
                <w:rFonts w:ascii="Calibri" w:hAnsi="Calibri" w:cs="Calibri"/>
                <w:color w:val="0070C0"/>
                <w:szCs w:val="18"/>
              </w:rPr>
              <w:t>(clásico, última edición)</w:t>
            </w:r>
          </w:p>
          <w:p w14:paraId="5086F75A" w14:textId="77777777" w:rsidR="00B857F8" w:rsidRPr="00B857F8" w:rsidRDefault="00B857F8" w:rsidP="00B857F8">
            <w:pPr>
              <w:rPr>
                <w:rFonts w:ascii="Calibri" w:hAnsi="Calibri" w:cs="Arial"/>
              </w:rPr>
            </w:pPr>
          </w:p>
          <w:p w14:paraId="64CC0F96" w14:textId="77777777" w:rsidR="00B857F8" w:rsidRPr="00B857F8" w:rsidRDefault="00B857F8" w:rsidP="00B857F8">
            <w:pPr>
              <w:rPr>
                <w:rFonts w:ascii="Calibri" w:hAnsi="Calibri" w:cs="Arial"/>
                <w:color w:val="000000"/>
              </w:rPr>
            </w:pPr>
            <w:r w:rsidRPr="00B857F8">
              <w:rPr>
                <w:rFonts w:ascii="Calibri" w:hAnsi="Calibri" w:cs="Arial"/>
                <w:color w:val="000000"/>
              </w:rPr>
              <w:t xml:space="preserve">Delgado, Inmaculada. “Verbos en -mi”. En </w:t>
            </w:r>
            <w:r w:rsidRPr="00B857F8">
              <w:rPr>
                <w:rFonts w:ascii="Calibri" w:hAnsi="Calibri" w:cs="Arial"/>
                <w:i/>
                <w:iCs/>
                <w:color w:val="000000"/>
              </w:rPr>
              <w:t>Gramática griega del Nuevo Testamento: I. Morfología</w:t>
            </w:r>
            <w:r w:rsidRPr="00B857F8">
              <w:rPr>
                <w:rFonts w:ascii="Calibri" w:hAnsi="Calibri" w:cs="Arial"/>
                <w:color w:val="000000"/>
              </w:rPr>
              <w:t xml:space="preserve">, 233-254. Estella: Verbo Divino, 2013. </w:t>
            </w:r>
            <w:r w:rsidRPr="00B857F8">
              <w:rPr>
                <w:rFonts w:ascii="Calibri" w:hAnsi="Calibri" w:cs="Calibri"/>
                <w:color w:val="0070C0"/>
                <w:szCs w:val="18"/>
              </w:rPr>
              <w:t>(clásico, última edición)</w:t>
            </w:r>
          </w:p>
          <w:p w14:paraId="037EC9CF" w14:textId="77777777" w:rsidR="00B857F8" w:rsidRPr="00B857F8" w:rsidRDefault="00B857F8" w:rsidP="00B857F8">
            <w:pPr>
              <w:rPr>
                <w:rFonts w:ascii="Calibri" w:hAnsi="Calibri" w:cs="Arial"/>
                <w:color w:val="000000"/>
              </w:rPr>
            </w:pPr>
          </w:p>
          <w:p w14:paraId="3210B549" w14:textId="77777777" w:rsidR="00B857F8" w:rsidRPr="00B857F8" w:rsidRDefault="00B857F8" w:rsidP="00B857F8">
            <w:pPr>
              <w:rPr>
                <w:rFonts w:ascii="Calibri" w:hAnsi="Calibri" w:cs="Arial"/>
                <w:b/>
                <w:bCs/>
                <w:color w:val="0070C0"/>
                <w:lang w:val="es-CR"/>
              </w:rPr>
            </w:pPr>
            <w:r w:rsidRPr="00B857F8">
              <w:rPr>
                <w:rFonts w:ascii="Calibri" w:hAnsi="Calibri" w:cs="Arial"/>
                <w:b/>
                <w:bCs/>
                <w:color w:val="0070C0"/>
                <w:lang w:val="es-CR"/>
              </w:rPr>
              <w:t>Material complementario</w:t>
            </w:r>
          </w:p>
          <w:p w14:paraId="46077601" w14:textId="77777777" w:rsidR="00B857F8" w:rsidRPr="00B857F8" w:rsidRDefault="00B857F8" w:rsidP="00B857F8">
            <w:pPr>
              <w:rPr>
                <w:rFonts w:ascii="Calibri" w:hAnsi="Calibri" w:cs="Arial"/>
                <w:b/>
                <w:bCs/>
                <w:color w:val="000000"/>
              </w:rPr>
            </w:pPr>
          </w:p>
          <w:p w14:paraId="2746DEF4" w14:textId="77777777" w:rsidR="00B857F8" w:rsidRPr="00B857F8" w:rsidRDefault="00B857F8" w:rsidP="00B857F8">
            <w:pPr>
              <w:rPr>
                <w:rFonts w:ascii="Calibri" w:hAnsi="Calibri" w:cs="Arial"/>
              </w:rPr>
            </w:pPr>
            <w:r w:rsidRPr="00B857F8">
              <w:rPr>
                <w:rFonts w:ascii="Calibri" w:hAnsi="Calibri" w:cs="Calibri"/>
                <w:color w:val="0563C1"/>
                <w:lang w:val="de-DE"/>
              </w:rPr>
              <w:t>Guía para la participación mediante la herramienta Big Blue Button en la plataforma Moodle</w:t>
            </w:r>
          </w:p>
        </w:tc>
        <w:tc>
          <w:tcPr>
            <w:tcW w:w="3118" w:type="dxa"/>
          </w:tcPr>
          <w:p w14:paraId="64E40144" w14:textId="77777777" w:rsidR="00B857F8" w:rsidRPr="00B857F8" w:rsidRDefault="00B857F8" w:rsidP="00B857F8">
            <w:pPr>
              <w:numPr>
                <w:ilvl w:val="0"/>
                <w:numId w:val="224"/>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Realizar la lectura de la sesión.</w:t>
            </w:r>
          </w:p>
          <w:p w14:paraId="1A118A9C" w14:textId="77777777" w:rsidR="00B857F8" w:rsidRPr="00B857F8" w:rsidRDefault="00B857F8" w:rsidP="00B857F8">
            <w:pPr>
              <w:numPr>
                <w:ilvl w:val="0"/>
                <w:numId w:val="224"/>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Práctica del texto para el examen de lectura en un encuentro sincrónico virtual.</w:t>
            </w:r>
          </w:p>
          <w:p w14:paraId="2DFF54A5" w14:textId="77777777" w:rsidR="00B857F8" w:rsidRPr="00B857F8" w:rsidRDefault="00B857F8" w:rsidP="00B857F8">
            <w:pPr>
              <w:numPr>
                <w:ilvl w:val="0"/>
                <w:numId w:val="224"/>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 xml:space="preserve">Realización de la práctica del texto de Irene </w:t>
            </w:r>
            <w:proofErr w:type="spellStart"/>
            <w:r w:rsidRPr="00B857F8">
              <w:rPr>
                <w:rFonts w:ascii="Calibri" w:eastAsia="Calibri" w:hAnsi="Calibri" w:cs="Arial"/>
                <w:lang w:val="es-CR"/>
              </w:rPr>
              <w:t>Foulkes</w:t>
            </w:r>
            <w:proofErr w:type="spellEnd"/>
            <w:r w:rsidRPr="00B857F8">
              <w:rPr>
                <w:rFonts w:ascii="Calibri" w:eastAsia="Calibri" w:hAnsi="Calibri" w:cs="Arial"/>
                <w:lang w:val="es-CR"/>
              </w:rPr>
              <w:t xml:space="preserve"> (formativo).</w:t>
            </w:r>
          </w:p>
          <w:p w14:paraId="375F0CD7" w14:textId="77777777" w:rsidR="00B857F8" w:rsidRPr="00B857F8" w:rsidRDefault="00B857F8" w:rsidP="00B857F8">
            <w:pPr>
              <w:spacing w:after="200" w:line="276" w:lineRule="auto"/>
              <w:contextualSpacing/>
              <w:rPr>
                <w:rFonts w:ascii="Calibri" w:eastAsia="Calibri" w:hAnsi="Calibri" w:cs="Arial"/>
                <w:lang w:val="es-CR"/>
              </w:rPr>
            </w:pPr>
          </w:p>
        </w:tc>
      </w:tr>
      <w:tr w:rsidR="00B857F8" w:rsidRPr="00B857F8" w14:paraId="55C35584" w14:textId="77777777" w:rsidTr="00104785">
        <w:trPr>
          <w:jc w:val="center"/>
        </w:trPr>
        <w:tc>
          <w:tcPr>
            <w:tcW w:w="1144" w:type="dxa"/>
          </w:tcPr>
          <w:p w14:paraId="461C7CDE" w14:textId="77777777" w:rsidR="00B857F8" w:rsidRPr="00B857F8" w:rsidRDefault="00B857F8" w:rsidP="00B857F8">
            <w:pPr>
              <w:jc w:val="center"/>
              <w:rPr>
                <w:rFonts w:ascii="Calibri" w:hAnsi="Calibri" w:cs="Arial"/>
              </w:rPr>
            </w:pPr>
            <w:r w:rsidRPr="00B857F8">
              <w:rPr>
                <w:rFonts w:ascii="Calibri" w:hAnsi="Calibri" w:cs="Arial"/>
              </w:rPr>
              <w:t>14</w:t>
            </w:r>
          </w:p>
        </w:tc>
        <w:tc>
          <w:tcPr>
            <w:tcW w:w="2395" w:type="dxa"/>
          </w:tcPr>
          <w:p w14:paraId="4DEF34E7"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4: Estructuras sintácticas básicas</w:t>
            </w:r>
          </w:p>
          <w:p w14:paraId="6CCD5D1A" w14:textId="77777777" w:rsidR="00B857F8" w:rsidRPr="00B857F8" w:rsidRDefault="00B857F8" w:rsidP="00B857F8">
            <w:pPr>
              <w:rPr>
                <w:rFonts w:ascii="Calibri" w:hAnsi="Calibri" w:cs="Arial"/>
              </w:rPr>
            </w:pPr>
          </w:p>
          <w:p w14:paraId="1D79B0D3" w14:textId="77777777" w:rsidR="00B857F8" w:rsidRPr="00B857F8" w:rsidRDefault="00B857F8" w:rsidP="00B857F8">
            <w:pPr>
              <w:rPr>
                <w:rFonts w:ascii="Calibri" w:hAnsi="Calibri"/>
              </w:rPr>
            </w:pPr>
            <w:r w:rsidRPr="00B857F8">
              <w:rPr>
                <w:rFonts w:ascii="Calibri" w:hAnsi="Calibri"/>
              </w:rPr>
              <w:t>4.3 Repaso y examen de lectura</w:t>
            </w:r>
          </w:p>
          <w:p w14:paraId="60814439" w14:textId="77777777" w:rsidR="00B857F8" w:rsidRPr="00B857F8" w:rsidRDefault="00B857F8" w:rsidP="00B857F8">
            <w:pPr>
              <w:rPr>
                <w:rFonts w:ascii="Calibri" w:hAnsi="Calibri" w:cs="Arial"/>
              </w:rPr>
            </w:pPr>
          </w:p>
        </w:tc>
        <w:tc>
          <w:tcPr>
            <w:tcW w:w="3119" w:type="dxa"/>
          </w:tcPr>
          <w:p w14:paraId="5A233A0A" w14:textId="77777777" w:rsidR="00B857F8" w:rsidRPr="00B857F8" w:rsidRDefault="00B857F8" w:rsidP="00B857F8">
            <w:pPr>
              <w:rPr>
                <w:rFonts w:ascii="Calibri" w:hAnsi="Calibri" w:cs="Arial"/>
                <w:color w:val="0070C0"/>
              </w:rPr>
            </w:pPr>
            <w:r w:rsidRPr="00B857F8">
              <w:rPr>
                <w:rFonts w:ascii="Calibri" w:hAnsi="Calibri" w:cs="Arial"/>
                <w:color w:val="0070C0"/>
              </w:rPr>
              <w:t>Ruta de aprendizaje</w:t>
            </w:r>
          </w:p>
          <w:p w14:paraId="14766ABA" w14:textId="77777777" w:rsidR="00B857F8" w:rsidRPr="00B857F8" w:rsidRDefault="00B857F8" w:rsidP="00B857F8">
            <w:pPr>
              <w:rPr>
                <w:rFonts w:ascii="Calibri" w:hAnsi="Calibri" w:cs="Arial"/>
              </w:rPr>
            </w:pPr>
          </w:p>
          <w:p w14:paraId="1DE913ED" w14:textId="77777777" w:rsidR="00B857F8" w:rsidRPr="00B857F8" w:rsidRDefault="00B857F8" w:rsidP="00B857F8">
            <w:pPr>
              <w:rPr>
                <w:rFonts w:ascii="Calibri" w:hAnsi="Calibri" w:cs="Arial"/>
                <w:b/>
                <w:bCs/>
                <w:color w:val="0070C0"/>
                <w:lang w:val="es-CR"/>
              </w:rPr>
            </w:pPr>
            <w:r w:rsidRPr="00B857F8">
              <w:rPr>
                <w:rFonts w:ascii="Calibri" w:hAnsi="Calibri" w:cs="Arial"/>
                <w:b/>
                <w:bCs/>
                <w:color w:val="0070C0"/>
                <w:lang w:val="es-CR"/>
              </w:rPr>
              <w:t>Material complementario</w:t>
            </w:r>
          </w:p>
          <w:p w14:paraId="11AE20F9" w14:textId="77777777" w:rsidR="00B857F8" w:rsidRPr="00B857F8" w:rsidRDefault="00B857F8" w:rsidP="00B857F8">
            <w:pPr>
              <w:rPr>
                <w:rFonts w:ascii="Calibri" w:hAnsi="Calibri" w:cs="Arial"/>
                <w:b/>
                <w:bCs/>
              </w:rPr>
            </w:pPr>
          </w:p>
          <w:p w14:paraId="6033BAEF" w14:textId="77777777" w:rsidR="00B857F8" w:rsidRPr="00B857F8" w:rsidRDefault="00B857F8" w:rsidP="00B857F8">
            <w:pPr>
              <w:rPr>
                <w:rFonts w:ascii="Calibri" w:hAnsi="Calibri" w:cs="Arial"/>
              </w:rPr>
            </w:pPr>
            <w:r w:rsidRPr="00B857F8">
              <w:rPr>
                <w:rFonts w:ascii="Calibri" w:hAnsi="Calibri" w:cs="Calibri"/>
                <w:color w:val="0563C1"/>
                <w:lang w:val="de-DE"/>
              </w:rPr>
              <w:t>Guía para la participación mediante la herramienta Big Blue Button en la plataforma Moodle</w:t>
            </w:r>
          </w:p>
        </w:tc>
        <w:tc>
          <w:tcPr>
            <w:tcW w:w="3118" w:type="dxa"/>
          </w:tcPr>
          <w:p w14:paraId="3B9751CB" w14:textId="77777777" w:rsidR="00B857F8" w:rsidRPr="00B857F8" w:rsidRDefault="00B857F8" w:rsidP="00B857F8">
            <w:pPr>
              <w:numPr>
                <w:ilvl w:val="0"/>
                <w:numId w:val="225"/>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Repaso para el segundo examen escrito en un encuentro sincrónico virtual.</w:t>
            </w:r>
          </w:p>
          <w:p w14:paraId="3729B2F6" w14:textId="77777777" w:rsidR="00B857F8" w:rsidRPr="00B857F8" w:rsidRDefault="00B857F8" w:rsidP="00B857F8">
            <w:pPr>
              <w:numPr>
                <w:ilvl w:val="0"/>
                <w:numId w:val="225"/>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Realización del examen de lectura oral individual en un encuentro sincrónico virtual convenido entre docente y estudiante.</w:t>
            </w:r>
          </w:p>
        </w:tc>
      </w:tr>
      <w:tr w:rsidR="00B857F8" w:rsidRPr="00B857F8" w14:paraId="0DDF3682" w14:textId="77777777" w:rsidTr="00104785">
        <w:trPr>
          <w:jc w:val="center"/>
        </w:trPr>
        <w:tc>
          <w:tcPr>
            <w:tcW w:w="1144" w:type="dxa"/>
          </w:tcPr>
          <w:p w14:paraId="41B4941A" w14:textId="77777777" w:rsidR="00B857F8" w:rsidRPr="00B857F8" w:rsidRDefault="00B857F8" w:rsidP="00B857F8">
            <w:pPr>
              <w:jc w:val="center"/>
              <w:rPr>
                <w:rFonts w:ascii="Calibri" w:hAnsi="Calibri" w:cs="Arial"/>
              </w:rPr>
            </w:pPr>
            <w:r w:rsidRPr="00B857F8">
              <w:rPr>
                <w:rFonts w:ascii="Calibri" w:hAnsi="Calibri" w:cs="Arial"/>
              </w:rPr>
              <w:t>15</w:t>
            </w:r>
          </w:p>
        </w:tc>
        <w:tc>
          <w:tcPr>
            <w:tcW w:w="2395" w:type="dxa"/>
          </w:tcPr>
          <w:p w14:paraId="47A2798B" w14:textId="77777777" w:rsidR="00B857F8" w:rsidRPr="00B857F8" w:rsidRDefault="00B857F8" w:rsidP="00B857F8">
            <w:pPr>
              <w:rPr>
                <w:rFonts w:ascii="Calibri" w:hAnsi="Calibri" w:cs="Arial"/>
                <w:b/>
                <w:bCs/>
                <w:color w:val="000000"/>
              </w:rPr>
            </w:pPr>
            <w:r w:rsidRPr="00B857F8">
              <w:rPr>
                <w:rFonts w:ascii="Calibri" w:hAnsi="Calibri" w:cs="Arial"/>
                <w:b/>
                <w:bCs/>
                <w:color w:val="000000"/>
              </w:rPr>
              <w:t>Unidad 4: Estructuras sintácticas básicas</w:t>
            </w:r>
          </w:p>
          <w:p w14:paraId="3F1DAA01" w14:textId="77777777" w:rsidR="00B857F8" w:rsidRPr="00B857F8" w:rsidRDefault="00B857F8" w:rsidP="00B857F8">
            <w:pPr>
              <w:rPr>
                <w:rFonts w:ascii="Calibri" w:hAnsi="Calibri" w:cs="Arial"/>
              </w:rPr>
            </w:pPr>
          </w:p>
          <w:p w14:paraId="700FC067" w14:textId="77777777" w:rsidR="00B857F8" w:rsidRPr="00B857F8" w:rsidRDefault="00B857F8" w:rsidP="00B857F8">
            <w:pPr>
              <w:rPr>
                <w:rFonts w:ascii="Calibri" w:hAnsi="Calibri"/>
              </w:rPr>
            </w:pPr>
            <w:r w:rsidRPr="00B857F8">
              <w:rPr>
                <w:rFonts w:ascii="Calibri" w:hAnsi="Calibri"/>
              </w:rPr>
              <w:t>4.4 Segundo examen escrito y examen de lectura</w:t>
            </w:r>
          </w:p>
          <w:p w14:paraId="275519AB" w14:textId="77777777" w:rsidR="00B857F8" w:rsidRPr="00B857F8" w:rsidRDefault="00B857F8" w:rsidP="00B857F8">
            <w:pPr>
              <w:rPr>
                <w:rFonts w:ascii="Calibri" w:hAnsi="Calibri" w:cs="Arial"/>
              </w:rPr>
            </w:pPr>
          </w:p>
        </w:tc>
        <w:tc>
          <w:tcPr>
            <w:tcW w:w="3119" w:type="dxa"/>
          </w:tcPr>
          <w:p w14:paraId="06C67E7B" w14:textId="77777777" w:rsidR="00B857F8" w:rsidRPr="00B857F8" w:rsidRDefault="00B857F8" w:rsidP="00B857F8">
            <w:pPr>
              <w:rPr>
                <w:rFonts w:ascii="Calibri" w:hAnsi="Calibri" w:cs="Arial"/>
                <w:color w:val="0070C0"/>
              </w:rPr>
            </w:pPr>
            <w:r w:rsidRPr="00B857F8">
              <w:rPr>
                <w:rFonts w:ascii="Calibri" w:hAnsi="Calibri" w:cs="Arial"/>
                <w:color w:val="0070C0"/>
              </w:rPr>
              <w:t>Ruta de aprendizaje</w:t>
            </w:r>
          </w:p>
          <w:p w14:paraId="07EEE17F" w14:textId="77777777" w:rsidR="00B857F8" w:rsidRPr="00B857F8" w:rsidRDefault="00B857F8" w:rsidP="00B857F8">
            <w:pPr>
              <w:rPr>
                <w:rFonts w:ascii="Calibri" w:hAnsi="Calibri" w:cs="Arial"/>
              </w:rPr>
            </w:pPr>
          </w:p>
          <w:p w14:paraId="724D6A13" w14:textId="77777777" w:rsidR="00B857F8" w:rsidRPr="00B857F8" w:rsidRDefault="00B857F8" w:rsidP="00B857F8">
            <w:pPr>
              <w:rPr>
                <w:rFonts w:ascii="Calibri" w:hAnsi="Calibri" w:cs="Arial"/>
                <w:b/>
                <w:bCs/>
                <w:color w:val="0070C0"/>
                <w:lang w:val="es-CR"/>
              </w:rPr>
            </w:pPr>
            <w:r w:rsidRPr="00B857F8">
              <w:rPr>
                <w:rFonts w:ascii="Calibri" w:hAnsi="Calibri" w:cs="Arial"/>
                <w:b/>
                <w:bCs/>
                <w:color w:val="0070C0"/>
                <w:lang w:val="es-CR"/>
              </w:rPr>
              <w:t>Material complementario</w:t>
            </w:r>
          </w:p>
          <w:p w14:paraId="1EEB49CC" w14:textId="77777777" w:rsidR="00B857F8" w:rsidRPr="00B857F8" w:rsidRDefault="00B857F8" w:rsidP="00B857F8">
            <w:pPr>
              <w:rPr>
                <w:rFonts w:ascii="Calibri" w:hAnsi="Calibri" w:cs="Arial"/>
                <w:b/>
                <w:bCs/>
              </w:rPr>
            </w:pPr>
          </w:p>
          <w:p w14:paraId="437AEA5B" w14:textId="77777777" w:rsidR="00B857F8" w:rsidRPr="00B857F8" w:rsidRDefault="00B857F8" w:rsidP="00B857F8">
            <w:pPr>
              <w:rPr>
                <w:rFonts w:ascii="Calibri" w:hAnsi="Calibri" w:cs="Arial"/>
              </w:rPr>
            </w:pPr>
            <w:r w:rsidRPr="00B857F8">
              <w:rPr>
                <w:rFonts w:ascii="Calibri" w:hAnsi="Calibri" w:cs="Calibri"/>
                <w:color w:val="0563C1"/>
                <w:lang w:val="de-DE"/>
              </w:rPr>
              <w:t>Guía para la participación mediante la herramienta Big Blue Button en la plataforma Moodle</w:t>
            </w:r>
          </w:p>
        </w:tc>
        <w:tc>
          <w:tcPr>
            <w:tcW w:w="3118" w:type="dxa"/>
          </w:tcPr>
          <w:p w14:paraId="5D7D7754" w14:textId="77777777" w:rsidR="00B857F8" w:rsidRPr="00B857F8" w:rsidRDefault="00B857F8" w:rsidP="00B857F8">
            <w:pPr>
              <w:numPr>
                <w:ilvl w:val="0"/>
                <w:numId w:val="226"/>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Resolución del segundo examen escrito.</w:t>
            </w:r>
          </w:p>
          <w:p w14:paraId="3157BC4A" w14:textId="77777777" w:rsidR="00B857F8" w:rsidRPr="00B857F8" w:rsidRDefault="00B857F8" w:rsidP="00B857F8">
            <w:pPr>
              <w:numPr>
                <w:ilvl w:val="0"/>
                <w:numId w:val="226"/>
              </w:numPr>
              <w:spacing w:after="200" w:line="276" w:lineRule="auto"/>
              <w:ind w:left="314"/>
              <w:contextualSpacing/>
              <w:rPr>
                <w:rFonts w:ascii="Calibri" w:eastAsia="Calibri" w:hAnsi="Calibri" w:cs="Arial"/>
                <w:lang w:val="es-CR"/>
              </w:rPr>
            </w:pPr>
            <w:r w:rsidRPr="00B857F8">
              <w:rPr>
                <w:rFonts w:ascii="Calibri" w:eastAsia="Calibri" w:hAnsi="Calibri" w:cs="Arial"/>
                <w:lang w:val="es-CR"/>
              </w:rPr>
              <w:t>Realización del examen de lectura oral individual en un encuentro sincrónico virtual convenido entre docente y estudiante.</w:t>
            </w:r>
          </w:p>
        </w:tc>
      </w:tr>
    </w:tbl>
    <w:p w14:paraId="473AC19D" w14:textId="77777777" w:rsidR="00B857F8" w:rsidRPr="00B857F8" w:rsidRDefault="00B857F8" w:rsidP="00B857F8">
      <w:pPr>
        <w:widowControl w:val="0"/>
        <w:overflowPunct w:val="0"/>
        <w:autoSpaceDE w:val="0"/>
        <w:autoSpaceDN w:val="0"/>
        <w:adjustRightInd w:val="0"/>
        <w:spacing w:before="120" w:after="0" w:line="240" w:lineRule="auto"/>
        <w:rPr>
          <w:rFonts w:ascii="Calibri" w:eastAsia="Times New Roman" w:hAnsi="Calibri" w:cs="Arial"/>
          <w:color w:val="00B050"/>
          <w:kern w:val="0"/>
          <w:lang w:val="es-ES_tradnl" w:eastAsia="es-CR"/>
          <w14:ligatures w14:val="none"/>
        </w:rPr>
      </w:pPr>
    </w:p>
    <w:p w14:paraId="34227A34" w14:textId="77777777" w:rsidR="00B857F8" w:rsidRPr="00B857F8" w:rsidRDefault="00B857F8" w:rsidP="00B857F8">
      <w:pPr>
        <w:spacing w:after="200" w:line="276" w:lineRule="auto"/>
        <w:contextualSpacing/>
        <w:rPr>
          <w:rFonts w:ascii="Calibri" w:eastAsia="Times New Roman" w:hAnsi="Calibri" w:cs="Arial"/>
          <w:b/>
          <w:bCs/>
          <w:color w:val="00B050"/>
          <w:kern w:val="0"/>
          <w:lang w:val="es-ES_tradnl" w:eastAsia="es-CR"/>
          <w14:ligatures w14:val="none"/>
        </w:rPr>
      </w:pPr>
    </w:p>
    <w:p w14:paraId="29B6F263" w14:textId="77777777" w:rsidR="00B857F8" w:rsidRPr="00B857F8" w:rsidRDefault="00B857F8" w:rsidP="00B857F8">
      <w:pPr>
        <w:spacing w:after="200" w:line="276" w:lineRule="auto"/>
        <w:contextualSpacing/>
        <w:rPr>
          <w:rFonts w:ascii="Arial" w:eastAsia="Times New Roman" w:hAnsi="Arial" w:cs="Arial"/>
          <w:b/>
          <w:bCs/>
          <w:kern w:val="0"/>
          <w:sz w:val="24"/>
          <w:szCs w:val="20"/>
          <w:lang w:val="es-ES_tradnl" w:eastAsia="es-CR"/>
          <w14:ligatures w14:val="none"/>
        </w:rPr>
      </w:pPr>
    </w:p>
    <w:p w14:paraId="6A7D7D1B" w14:textId="77777777" w:rsidR="00B857F8" w:rsidRPr="00B857F8" w:rsidRDefault="00B857F8" w:rsidP="00B857F8">
      <w:pPr>
        <w:spacing w:after="200" w:line="276" w:lineRule="auto"/>
        <w:contextualSpacing/>
        <w:rPr>
          <w:rFonts w:ascii="Arial" w:eastAsia="Times New Roman" w:hAnsi="Arial" w:cs="Arial"/>
          <w:b/>
          <w:bCs/>
          <w:kern w:val="0"/>
          <w:sz w:val="24"/>
          <w:szCs w:val="20"/>
          <w:lang w:val="es-ES_tradnl" w:eastAsia="es-CR"/>
          <w14:ligatures w14:val="none"/>
        </w:rPr>
      </w:pPr>
    </w:p>
    <w:p w14:paraId="6B35570A" w14:textId="77777777" w:rsidR="00B857F8" w:rsidRPr="00B857F8" w:rsidRDefault="00B857F8" w:rsidP="00B857F8">
      <w:pPr>
        <w:spacing w:after="200" w:line="276" w:lineRule="auto"/>
        <w:contextualSpacing/>
        <w:rPr>
          <w:rFonts w:ascii="Arial" w:eastAsia="Times New Roman" w:hAnsi="Arial" w:cs="Arial"/>
          <w:b/>
          <w:bCs/>
          <w:kern w:val="0"/>
          <w:sz w:val="24"/>
          <w:szCs w:val="20"/>
          <w:lang w:val="es-ES_tradnl" w:eastAsia="es-CR"/>
          <w14:ligatures w14:val="none"/>
        </w:rPr>
      </w:pPr>
    </w:p>
    <w:p w14:paraId="7858F97D" w14:textId="77777777" w:rsidR="00B857F8" w:rsidRPr="00B857F8" w:rsidRDefault="00B857F8" w:rsidP="00B857F8">
      <w:pPr>
        <w:spacing w:after="200" w:line="276" w:lineRule="auto"/>
        <w:contextualSpacing/>
        <w:rPr>
          <w:rFonts w:ascii="Arial" w:eastAsia="Times New Roman" w:hAnsi="Arial" w:cs="Arial"/>
          <w:b/>
          <w:bCs/>
          <w:kern w:val="0"/>
          <w:sz w:val="24"/>
          <w:szCs w:val="20"/>
          <w:lang w:val="es-ES_tradnl" w:eastAsia="es-CR"/>
          <w14:ligatures w14:val="none"/>
        </w:rPr>
      </w:pPr>
    </w:p>
    <w:p w14:paraId="08682F1E" w14:textId="77777777" w:rsidR="00B857F8" w:rsidRPr="00B857F8" w:rsidRDefault="00B857F8" w:rsidP="00B857F8">
      <w:pPr>
        <w:spacing w:after="200" w:line="276" w:lineRule="auto"/>
        <w:contextualSpacing/>
        <w:rPr>
          <w:rFonts w:ascii="Arial" w:eastAsia="Times New Roman" w:hAnsi="Arial" w:cs="Arial"/>
          <w:b/>
          <w:bCs/>
          <w:kern w:val="0"/>
          <w:sz w:val="24"/>
          <w:szCs w:val="20"/>
          <w:lang w:val="es-ES_tradnl" w:eastAsia="es-CR"/>
          <w14:ligatures w14:val="none"/>
        </w:rPr>
      </w:pPr>
    </w:p>
    <w:p w14:paraId="1FE44B5F"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lastRenderedPageBreak/>
        <w:t>IX. Distribución de tiempo semanal</w:t>
      </w:r>
    </w:p>
    <w:p w14:paraId="142C3B34"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prácticas, ejercicios de traducción, pruebas cortas y exámenes. Debe considerarse que, al tener este curso asignados 4 créditos, se debe invertir 12 horas de trabajo por semana.  La distribución de tiempos es la siguiente:</w:t>
      </w:r>
    </w:p>
    <w:p w14:paraId="7FE7FC80"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tbl>
      <w:tblPr>
        <w:tblStyle w:val="Tablaconcuadrcula2"/>
        <w:tblW w:w="9016" w:type="dxa"/>
        <w:jc w:val="center"/>
        <w:tblLook w:val="04A0" w:firstRow="1" w:lastRow="0" w:firstColumn="1" w:lastColumn="0" w:noHBand="0" w:noVBand="1"/>
      </w:tblPr>
      <w:tblGrid>
        <w:gridCol w:w="2178"/>
        <w:gridCol w:w="1454"/>
        <w:gridCol w:w="5384"/>
      </w:tblGrid>
      <w:tr w:rsidR="00B857F8" w:rsidRPr="00B857F8" w14:paraId="716DE04B" w14:textId="77777777" w:rsidTr="00104785">
        <w:trPr>
          <w:trHeight w:val="543"/>
          <w:jc w:val="center"/>
        </w:trPr>
        <w:tc>
          <w:tcPr>
            <w:tcW w:w="2178" w:type="dxa"/>
            <w:vAlign w:val="center"/>
          </w:tcPr>
          <w:p w14:paraId="01CEA6B3" w14:textId="77777777" w:rsidR="00B857F8" w:rsidRPr="00B857F8" w:rsidRDefault="00B857F8" w:rsidP="00B857F8">
            <w:pPr>
              <w:jc w:val="center"/>
              <w:rPr>
                <w:rFonts w:ascii="Calibri" w:hAnsi="Calibri" w:cs="Arial"/>
                <w:b/>
                <w:bCs/>
                <w:color w:val="000000"/>
              </w:rPr>
            </w:pPr>
            <w:r w:rsidRPr="00B857F8">
              <w:rPr>
                <w:rFonts w:ascii="Calibri" w:hAnsi="Calibri" w:cs="Arial"/>
                <w:b/>
                <w:bCs/>
                <w:color w:val="000000"/>
              </w:rPr>
              <w:t>Tipo de horas</w:t>
            </w:r>
          </w:p>
          <w:p w14:paraId="6FDDDF97" w14:textId="77777777" w:rsidR="00B857F8" w:rsidRPr="00B857F8" w:rsidRDefault="00B857F8" w:rsidP="00B857F8">
            <w:pPr>
              <w:jc w:val="center"/>
              <w:rPr>
                <w:rFonts w:ascii="Calibri" w:hAnsi="Calibri" w:cs="Arial"/>
                <w:b/>
                <w:bCs/>
                <w:color w:val="000000"/>
              </w:rPr>
            </w:pPr>
            <w:r w:rsidRPr="00B857F8">
              <w:rPr>
                <w:rFonts w:ascii="Calibri" w:hAnsi="Calibri" w:cs="Arial"/>
                <w:b/>
                <w:bCs/>
                <w:color w:val="000000"/>
              </w:rPr>
              <w:t>(categoría)</w:t>
            </w:r>
          </w:p>
        </w:tc>
        <w:tc>
          <w:tcPr>
            <w:tcW w:w="1454" w:type="dxa"/>
            <w:vAlign w:val="center"/>
          </w:tcPr>
          <w:p w14:paraId="2DD79766" w14:textId="77777777" w:rsidR="00B857F8" w:rsidRPr="00B857F8" w:rsidRDefault="00B857F8" w:rsidP="00B857F8">
            <w:pPr>
              <w:jc w:val="center"/>
              <w:rPr>
                <w:rFonts w:ascii="Calibri" w:hAnsi="Calibri" w:cs="Arial"/>
                <w:b/>
                <w:bCs/>
                <w:color w:val="000000"/>
              </w:rPr>
            </w:pPr>
            <w:r w:rsidRPr="00B857F8">
              <w:rPr>
                <w:rFonts w:ascii="Calibri" w:hAnsi="Calibri" w:cs="Arial"/>
                <w:b/>
                <w:bCs/>
                <w:color w:val="000000"/>
              </w:rPr>
              <w:t>Horas por semana</w:t>
            </w:r>
          </w:p>
        </w:tc>
        <w:tc>
          <w:tcPr>
            <w:tcW w:w="5384" w:type="dxa"/>
            <w:vAlign w:val="center"/>
          </w:tcPr>
          <w:p w14:paraId="42D7F20E" w14:textId="77777777" w:rsidR="00B857F8" w:rsidRPr="00B857F8" w:rsidRDefault="00B857F8" w:rsidP="00B857F8">
            <w:pPr>
              <w:jc w:val="center"/>
              <w:rPr>
                <w:rFonts w:ascii="Calibri" w:hAnsi="Calibri" w:cs="Arial"/>
                <w:b/>
                <w:bCs/>
                <w:color w:val="000000"/>
              </w:rPr>
            </w:pPr>
            <w:r w:rsidRPr="00B857F8">
              <w:rPr>
                <w:rFonts w:ascii="Calibri" w:hAnsi="Calibri" w:cs="Arial"/>
                <w:b/>
                <w:bCs/>
                <w:color w:val="000000"/>
              </w:rPr>
              <w:t>Actividades relacionadas</w:t>
            </w:r>
          </w:p>
        </w:tc>
      </w:tr>
      <w:tr w:rsidR="00B857F8" w:rsidRPr="00B857F8" w14:paraId="21AB9B69" w14:textId="77777777" w:rsidTr="00104785">
        <w:trPr>
          <w:trHeight w:val="877"/>
          <w:jc w:val="center"/>
        </w:trPr>
        <w:tc>
          <w:tcPr>
            <w:tcW w:w="2178" w:type="dxa"/>
            <w:vAlign w:val="center"/>
          </w:tcPr>
          <w:p w14:paraId="1F429BF4" w14:textId="77777777" w:rsidR="00B857F8" w:rsidRPr="00B857F8" w:rsidRDefault="00B857F8" w:rsidP="00B857F8">
            <w:pPr>
              <w:jc w:val="center"/>
              <w:rPr>
                <w:rFonts w:ascii="Calibri" w:hAnsi="Calibri" w:cs="Arial"/>
                <w:color w:val="000000"/>
              </w:rPr>
            </w:pPr>
            <w:r w:rsidRPr="00B857F8">
              <w:rPr>
                <w:rFonts w:ascii="Calibri" w:hAnsi="Calibri" w:cs="Arial"/>
                <w:color w:val="000000"/>
              </w:rPr>
              <w:t>Horas de Estudio Individual (HEI)</w:t>
            </w:r>
          </w:p>
        </w:tc>
        <w:tc>
          <w:tcPr>
            <w:tcW w:w="1454" w:type="dxa"/>
            <w:vAlign w:val="center"/>
          </w:tcPr>
          <w:p w14:paraId="5965991C" w14:textId="77777777" w:rsidR="00B857F8" w:rsidRPr="00B857F8" w:rsidRDefault="00B857F8" w:rsidP="00B857F8">
            <w:pPr>
              <w:jc w:val="center"/>
              <w:rPr>
                <w:rFonts w:ascii="Calibri" w:hAnsi="Calibri" w:cs="Arial"/>
                <w:color w:val="000000"/>
              </w:rPr>
            </w:pPr>
            <w:r w:rsidRPr="00B857F8">
              <w:rPr>
                <w:rFonts w:ascii="Calibri" w:hAnsi="Calibri" w:cs="Arial"/>
                <w:color w:val="000000"/>
              </w:rPr>
              <w:t>4</w:t>
            </w:r>
          </w:p>
        </w:tc>
        <w:tc>
          <w:tcPr>
            <w:tcW w:w="5384" w:type="dxa"/>
          </w:tcPr>
          <w:p w14:paraId="29AFAD3A" w14:textId="77777777" w:rsidR="00B857F8" w:rsidRPr="00B857F8" w:rsidRDefault="00B857F8" w:rsidP="00B857F8">
            <w:pPr>
              <w:numPr>
                <w:ilvl w:val="0"/>
                <w:numId w:val="34"/>
              </w:numPr>
              <w:contextualSpacing/>
              <w:rPr>
                <w:rFonts w:ascii="Calibri" w:eastAsia="Calibri" w:hAnsi="Calibri" w:cs="Arial"/>
                <w:color w:val="000000"/>
                <w:lang w:val="es-CR"/>
              </w:rPr>
            </w:pPr>
            <w:r w:rsidRPr="00B857F8">
              <w:rPr>
                <w:rFonts w:ascii="Calibri" w:eastAsia="Calibri" w:hAnsi="Calibri" w:cs="Arial"/>
                <w:color w:val="000000"/>
                <w:lang w:val="es-CR"/>
              </w:rPr>
              <w:t>Lectura de los textos (materiales en formato digital).</w:t>
            </w:r>
          </w:p>
          <w:p w14:paraId="53954CAE" w14:textId="77777777" w:rsidR="00B857F8" w:rsidRPr="00B857F8" w:rsidRDefault="00B857F8" w:rsidP="00B857F8">
            <w:pPr>
              <w:numPr>
                <w:ilvl w:val="0"/>
                <w:numId w:val="34"/>
              </w:numPr>
              <w:contextualSpacing/>
              <w:rPr>
                <w:rFonts w:ascii="Calibri" w:eastAsia="Calibri" w:hAnsi="Calibri" w:cs="Arial"/>
                <w:color w:val="000000"/>
                <w:lang w:val="es-CR"/>
              </w:rPr>
            </w:pPr>
            <w:r w:rsidRPr="00B857F8">
              <w:rPr>
                <w:rFonts w:ascii="Calibri" w:eastAsia="Calibri" w:hAnsi="Calibri" w:cs="Arial"/>
                <w:color w:val="000000"/>
                <w:lang w:val="es-CR"/>
              </w:rPr>
              <w:t>Estudio de la materia y memorización del vocabulario y reglas gramaticales.</w:t>
            </w:r>
          </w:p>
        </w:tc>
      </w:tr>
      <w:tr w:rsidR="00B857F8" w:rsidRPr="00B857F8" w14:paraId="3F8649FD" w14:textId="77777777" w:rsidTr="00104785">
        <w:trPr>
          <w:trHeight w:val="543"/>
          <w:jc w:val="center"/>
        </w:trPr>
        <w:tc>
          <w:tcPr>
            <w:tcW w:w="2178" w:type="dxa"/>
            <w:vAlign w:val="center"/>
          </w:tcPr>
          <w:p w14:paraId="4F75C9B6" w14:textId="77777777" w:rsidR="00B857F8" w:rsidRPr="00B857F8" w:rsidRDefault="00B857F8" w:rsidP="00B857F8">
            <w:pPr>
              <w:jc w:val="center"/>
              <w:rPr>
                <w:rFonts w:ascii="Calibri" w:hAnsi="Calibri" w:cs="Arial"/>
                <w:color w:val="000000"/>
              </w:rPr>
            </w:pPr>
            <w:r w:rsidRPr="00B857F8">
              <w:rPr>
                <w:rFonts w:ascii="Calibri" w:hAnsi="Calibri" w:cs="Arial"/>
                <w:color w:val="000000"/>
              </w:rPr>
              <w:t>Horas de Trabajo Colaborativo (HTC)</w:t>
            </w:r>
          </w:p>
        </w:tc>
        <w:tc>
          <w:tcPr>
            <w:tcW w:w="1454" w:type="dxa"/>
            <w:vAlign w:val="center"/>
          </w:tcPr>
          <w:p w14:paraId="74C8184A" w14:textId="77777777" w:rsidR="00B857F8" w:rsidRPr="00B857F8" w:rsidRDefault="00B857F8" w:rsidP="00B857F8">
            <w:pPr>
              <w:jc w:val="center"/>
              <w:rPr>
                <w:rFonts w:ascii="Calibri" w:hAnsi="Calibri" w:cs="Arial"/>
                <w:color w:val="000000"/>
              </w:rPr>
            </w:pPr>
            <w:r w:rsidRPr="00B857F8">
              <w:rPr>
                <w:rFonts w:ascii="Calibri" w:hAnsi="Calibri" w:cs="Arial"/>
                <w:color w:val="000000"/>
              </w:rPr>
              <w:t>2</w:t>
            </w:r>
          </w:p>
        </w:tc>
        <w:tc>
          <w:tcPr>
            <w:tcW w:w="5384" w:type="dxa"/>
          </w:tcPr>
          <w:p w14:paraId="3B58D288" w14:textId="77777777" w:rsidR="00B857F8" w:rsidRPr="00B857F8" w:rsidRDefault="00B857F8" w:rsidP="00B857F8">
            <w:pPr>
              <w:numPr>
                <w:ilvl w:val="0"/>
                <w:numId w:val="35"/>
              </w:numPr>
              <w:contextualSpacing/>
              <w:rPr>
                <w:rFonts w:ascii="Calibri" w:eastAsia="Calibri" w:hAnsi="Calibri" w:cs="Arial"/>
                <w:color w:val="000000"/>
                <w:lang w:val="es-CR"/>
              </w:rPr>
            </w:pPr>
            <w:r w:rsidRPr="00B857F8">
              <w:rPr>
                <w:rFonts w:ascii="Calibri" w:eastAsia="Calibri" w:hAnsi="Calibri" w:cs="Arial"/>
                <w:color w:val="000000"/>
                <w:lang w:val="es-CR"/>
              </w:rPr>
              <w:t>Participación en el foro temático (incluye aportes personales y réplicas a los y las demás estudiantes).</w:t>
            </w:r>
          </w:p>
          <w:p w14:paraId="59918ACA" w14:textId="77777777" w:rsidR="00B857F8" w:rsidRPr="00B857F8" w:rsidRDefault="00B857F8" w:rsidP="00B857F8">
            <w:pPr>
              <w:numPr>
                <w:ilvl w:val="0"/>
                <w:numId w:val="35"/>
              </w:numPr>
              <w:contextualSpacing/>
              <w:rPr>
                <w:rFonts w:ascii="Calibri" w:eastAsia="Calibri" w:hAnsi="Calibri" w:cs="Arial"/>
                <w:color w:val="000000"/>
                <w:lang w:val="es-CR"/>
              </w:rPr>
            </w:pPr>
            <w:r w:rsidRPr="00B857F8">
              <w:rPr>
                <w:rFonts w:ascii="Calibri" w:eastAsia="Calibri" w:hAnsi="Calibri" w:cs="Arial"/>
                <w:color w:val="000000"/>
                <w:lang w:val="es-CR"/>
              </w:rPr>
              <w:t>Participación en los encuentros sincrónicos virtuales.</w:t>
            </w:r>
          </w:p>
        </w:tc>
      </w:tr>
      <w:tr w:rsidR="00B857F8" w:rsidRPr="00B857F8" w14:paraId="5763D6A4" w14:textId="77777777" w:rsidTr="00104785">
        <w:trPr>
          <w:trHeight w:val="839"/>
          <w:jc w:val="center"/>
        </w:trPr>
        <w:tc>
          <w:tcPr>
            <w:tcW w:w="2178" w:type="dxa"/>
            <w:vAlign w:val="center"/>
          </w:tcPr>
          <w:p w14:paraId="1DD14A40" w14:textId="77777777" w:rsidR="00B857F8" w:rsidRPr="00B857F8" w:rsidRDefault="00B857F8" w:rsidP="00B857F8">
            <w:pPr>
              <w:jc w:val="center"/>
              <w:rPr>
                <w:rFonts w:ascii="Calibri" w:hAnsi="Calibri" w:cs="Arial"/>
                <w:color w:val="000000"/>
              </w:rPr>
            </w:pPr>
            <w:r w:rsidRPr="00B857F8">
              <w:rPr>
                <w:rFonts w:ascii="Calibri" w:hAnsi="Calibri" w:cs="Arial"/>
                <w:color w:val="000000"/>
              </w:rPr>
              <w:t>Horas de Producción Individual (HPI)</w:t>
            </w:r>
          </w:p>
        </w:tc>
        <w:tc>
          <w:tcPr>
            <w:tcW w:w="1454" w:type="dxa"/>
            <w:vAlign w:val="center"/>
          </w:tcPr>
          <w:p w14:paraId="011A3CD7" w14:textId="77777777" w:rsidR="00B857F8" w:rsidRPr="00B857F8" w:rsidRDefault="00B857F8" w:rsidP="00B857F8">
            <w:pPr>
              <w:jc w:val="center"/>
              <w:rPr>
                <w:rFonts w:ascii="Calibri" w:hAnsi="Calibri" w:cs="Arial"/>
                <w:color w:val="000000"/>
              </w:rPr>
            </w:pPr>
            <w:r w:rsidRPr="00B857F8">
              <w:rPr>
                <w:rFonts w:ascii="Calibri" w:hAnsi="Calibri" w:cs="Arial"/>
                <w:color w:val="000000"/>
              </w:rPr>
              <w:t>3</w:t>
            </w:r>
          </w:p>
        </w:tc>
        <w:tc>
          <w:tcPr>
            <w:tcW w:w="5384" w:type="dxa"/>
          </w:tcPr>
          <w:p w14:paraId="669CB16F" w14:textId="77777777" w:rsidR="00B857F8" w:rsidRPr="00B857F8" w:rsidRDefault="00B857F8" w:rsidP="00B857F8">
            <w:pPr>
              <w:numPr>
                <w:ilvl w:val="0"/>
                <w:numId w:val="36"/>
              </w:numPr>
              <w:contextualSpacing/>
              <w:rPr>
                <w:rFonts w:ascii="Calibri" w:eastAsia="Calibri" w:hAnsi="Calibri" w:cs="Arial"/>
                <w:color w:val="000000"/>
                <w:lang w:val="es-CR"/>
              </w:rPr>
            </w:pPr>
            <w:r w:rsidRPr="00B857F8">
              <w:rPr>
                <w:rFonts w:ascii="Calibri" w:eastAsia="Calibri" w:hAnsi="Calibri" w:cs="Arial"/>
                <w:color w:val="000000"/>
                <w:lang w:val="es-CR"/>
              </w:rPr>
              <w:t>Realización de prácticas.</w:t>
            </w:r>
          </w:p>
          <w:p w14:paraId="244FEB69" w14:textId="77777777" w:rsidR="00B857F8" w:rsidRPr="00B857F8" w:rsidRDefault="00B857F8" w:rsidP="00B857F8">
            <w:pPr>
              <w:numPr>
                <w:ilvl w:val="0"/>
                <w:numId w:val="36"/>
              </w:numPr>
              <w:contextualSpacing/>
              <w:rPr>
                <w:rFonts w:ascii="Calibri" w:eastAsia="Calibri" w:hAnsi="Calibri" w:cs="Arial"/>
                <w:color w:val="000000"/>
                <w:lang w:val="es-CR"/>
              </w:rPr>
            </w:pPr>
            <w:r w:rsidRPr="00B857F8">
              <w:rPr>
                <w:rFonts w:ascii="Calibri" w:eastAsia="Calibri" w:hAnsi="Calibri" w:cs="Arial"/>
                <w:color w:val="000000"/>
                <w:lang w:val="es-CR"/>
              </w:rPr>
              <w:t>Resolución de pruebas cortas.</w:t>
            </w:r>
          </w:p>
          <w:p w14:paraId="2906D24B" w14:textId="77777777" w:rsidR="00B857F8" w:rsidRPr="00B857F8" w:rsidRDefault="00B857F8" w:rsidP="00B857F8">
            <w:pPr>
              <w:numPr>
                <w:ilvl w:val="0"/>
                <w:numId w:val="36"/>
              </w:numPr>
              <w:contextualSpacing/>
              <w:rPr>
                <w:rFonts w:ascii="Calibri" w:eastAsia="Calibri" w:hAnsi="Calibri" w:cs="Arial"/>
                <w:color w:val="000000"/>
                <w:lang w:val="es-CR"/>
              </w:rPr>
            </w:pPr>
            <w:r w:rsidRPr="00B857F8">
              <w:rPr>
                <w:rFonts w:ascii="Calibri" w:eastAsia="Calibri" w:hAnsi="Calibri" w:cs="Arial"/>
                <w:color w:val="000000"/>
                <w:lang w:val="es-CR"/>
              </w:rPr>
              <w:t>Realización de ejercicios de traducción.</w:t>
            </w:r>
          </w:p>
          <w:p w14:paraId="05BE551A" w14:textId="77777777" w:rsidR="00B857F8" w:rsidRPr="00B857F8" w:rsidRDefault="00B857F8" w:rsidP="00B857F8">
            <w:pPr>
              <w:numPr>
                <w:ilvl w:val="0"/>
                <w:numId w:val="36"/>
              </w:numPr>
              <w:contextualSpacing/>
              <w:rPr>
                <w:rFonts w:ascii="Calibri" w:eastAsia="Calibri" w:hAnsi="Calibri" w:cs="Arial"/>
                <w:color w:val="000000"/>
                <w:lang w:val="es-CR"/>
              </w:rPr>
            </w:pPr>
            <w:r w:rsidRPr="00B857F8">
              <w:rPr>
                <w:rFonts w:ascii="Calibri" w:eastAsia="Calibri" w:hAnsi="Calibri" w:cs="Arial"/>
                <w:color w:val="000000"/>
                <w:lang w:val="es-CR"/>
              </w:rPr>
              <w:t>Resolución de exámenes escritos.</w:t>
            </w:r>
          </w:p>
          <w:p w14:paraId="71D36F5A" w14:textId="77777777" w:rsidR="00B857F8" w:rsidRPr="00B857F8" w:rsidRDefault="00B857F8" w:rsidP="00B857F8">
            <w:pPr>
              <w:numPr>
                <w:ilvl w:val="0"/>
                <w:numId w:val="36"/>
              </w:numPr>
              <w:contextualSpacing/>
              <w:rPr>
                <w:rFonts w:ascii="Calibri" w:eastAsia="Calibri" w:hAnsi="Calibri" w:cs="Arial"/>
                <w:color w:val="000000"/>
                <w:lang w:val="es-CR"/>
              </w:rPr>
            </w:pPr>
            <w:r w:rsidRPr="00B857F8">
              <w:rPr>
                <w:rFonts w:ascii="Calibri" w:eastAsia="Calibri" w:hAnsi="Calibri" w:cs="Arial"/>
                <w:color w:val="000000"/>
                <w:lang w:val="es-CR"/>
              </w:rPr>
              <w:t>Realización de un examen de lectura.</w:t>
            </w:r>
          </w:p>
        </w:tc>
      </w:tr>
      <w:tr w:rsidR="00B857F8" w:rsidRPr="00B857F8" w14:paraId="790E9AE2" w14:textId="77777777" w:rsidTr="00104785">
        <w:trPr>
          <w:trHeight w:val="551"/>
          <w:jc w:val="center"/>
        </w:trPr>
        <w:tc>
          <w:tcPr>
            <w:tcW w:w="2178" w:type="dxa"/>
            <w:vAlign w:val="center"/>
          </w:tcPr>
          <w:p w14:paraId="2C2E30AA" w14:textId="77777777" w:rsidR="00B857F8" w:rsidRPr="00B857F8" w:rsidRDefault="00B857F8" w:rsidP="00B857F8">
            <w:pPr>
              <w:jc w:val="center"/>
              <w:rPr>
                <w:rFonts w:ascii="Calibri" w:hAnsi="Calibri" w:cs="Arial"/>
                <w:color w:val="000000"/>
              </w:rPr>
            </w:pPr>
            <w:r w:rsidRPr="00B857F8">
              <w:rPr>
                <w:rFonts w:ascii="Calibri" w:hAnsi="Calibri" w:cs="Arial"/>
                <w:color w:val="000000"/>
              </w:rPr>
              <w:t>Horas de Práctica (HP)</w:t>
            </w:r>
          </w:p>
        </w:tc>
        <w:tc>
          <w:tcPr>
            <w:tcW w:w="1454" w:type="dxa"/>
            <w:vAlign w:val="center"/>
          </w:tcPr>
          <w:p w14:paraId="030DB07F" w14:textId="77777777" w:rsidR="00B857F8" w:rsidRPr="00B857F8" w:rsidRDefault="00B857F8" w:rsidP="00B857F8">
            <w:pPr>
              <w:jc w:val="center"/>
              <w:rPr>
                <w:rFonts w:ascii="Calibri" w:hAnsi="Calibri" w:cs="Arial"/>
                <w:color w:val="000000"/>
              </w:rPr>
            </w:pPr>
            <w:r w:rsidRPr="00B857F8">
              <w:rPr>
                <w:rFonts w:ascii="Calibri" w:hAnsi="Calibri" w:cs="Arial"/>
                <w:color w:val="000000"/>
              </w:rPr>
              <w:t>3</w:t>
            </w:r>
          </w:p>
        </w:tc>
        <w:tc>
          <w:tcPr>
            <w:tcW w:w="5384" w:type="dxa"/>
          </w:tcPr>
          <w:p w14:paraId="3F38973B" w14:textId="77777777" w:rsidR="00B857F8" w:rsidRPr="00B857F8" w:rsidRDefault="00B857F8" w:rsidP="00B857F8">
            <w:pPr>
              <w:numPr>
                <w:ilvl w:val="0"/>
                <w:numId w:val="36"/>
              </w:numPr>
              <w:contextualSpacing/>
              <w:rPr>
                <w:rFonts w:ascii="Calibri" w:eastAsia="Calibri" w:hAnsi="Calibri" w:cs="Arial"/>
                <w:color w:val="000000"/>
                <w:lang w:val="es-CR"/>
              </w:rPr>
            </w:pPr>
            <w:r w:rsidRPr="00B857F8">
              <w:rPr>
                <w:rFonts w:ascii="Calibri" w:eastAsia="Calibri" w:hAnsi="Calibri" w:cs="Arial"/>
                <w:color w:val="000000"/>
                <w:lang w:val="es-CR"/>
              </w:rPr>
              <w:t>Por su naturaleza, en este curso la práctica consiste en ejercicios de lectura y traducción del griego.</w:t>
            </w:r>
          </w:p>
        </w:tc>
      </w:tr>
      <w:tr w:rsidR="00B857F8" w:rsidRPr="00B857F8" w14:paraId="0C6D390E" w14:textId="77777777" w:rsidTr="00104785">
        <w:trPr>
          <w:trHeight w:val="280"/>
          <w:jc w:val="center"/>
        </w:trPr>
        <w:tc>
          <w:tcPr>
            <w:tcW w:w="2178" w:type="dxa"/>
            <w:vAlign w:val="center"/>
          </w:tcPr>
          <w:p w14:paraId="4058C8E3" w14:textId="77777777" w:rsidR="00B857F8" w:rsidRPr="00B857F8" w:rsidRDefault="00B857F8" w:rsidP="00B857F8">
            <w:pPr>
              <w:jc w:val="center"/>
              <w:rPr>
                <w:rFonts w:ascii="Calibri" w:hAnsi="Calibri" w:cs="Arial"/>
                <w:b/>
                <w:bCs/>
                <w:color w:val="000000"/>
              </w:rPr>
            </w:pPr>
            <w:r w:rsidRPr="00B857F8">
              <w:rPr>
                <w:rFonts w:ascii="Calibri" w:hAnsi="Calibri" w:cs="Arial"/>
                <w:b/>
                <w:bCs/>
                <w:color w:val="000000"/>
              </w:rPr>
              <w:t>Total de horas (TH)</w:t>
            </w:r>
          </w:p>
        </w:tc>
        <w:tc>
          <w:tcPr>
            <w:tcW w:w="1454" w:type="dxa"/>
            <w:vAlign w:val="center"/>
          </w:tcPr>
          <w:p w14:paraId="291F7ED0" w14:textId="77777777" w:rsidR="00B857F8" w:rsidRPr="00B857F8" w:rsidRDefault="00B857F8" w:rsidP="00B857F8">
            <w:pPr>
              <w:jc w:val="center"/>
              <w:rPr>
                <w:rFonts w:ascii="Calibri" w:hAnsi="Calibri" w:cs="Arial"/>
                <w:b/>
                <w:bCs/>
                <w:color w:val="000000"/>
              </w:rPr>
            </w:pPr>
            <w:r w:rsidRPr="00B857F8">
              <w:rPr>
                <w:rFonts w:ascii="Calibri" w:hAnsi="Calibri" w:cs="Arial"/>
                <w:b/>
                <w:bCs/>
                <w:color w:val="000000"/>
              </w:rPr>
              <w:t>12</w:t>
            </w:r>
          </w:p>
        </w:tc>
        <w:tc>
          <w:tcPr>
            <w:tcW w:w="5384" w:type="dxa"/>
            <w:vAlign w:val="center"/>
          </w:tcPr>
          <w:p w14:paraId="3850BCF1" w14:textId="77777777" w:rsidR="00B857F8" w:rsidRPr="00B857F8" w:rsidRDefault="00B857F8" w:rsidP="00B857F8">
            <w:pPr>
              <w:jc w:val="center"/>
              <w:rPr>
                <w:rFonts w:ascii="Calibri" w:hAnsi="Calibri" w:cs="Arial"/>
                <w:b/>
                <w:bCs/>
                <w:color w:val="000000"/>
              </w:rPr>
            </w:pPr>
          </w:p>
        </w:tc>
      </w:tr>
    </w:tbl>
    <w:p w14:paraId="553276D9"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0C06357B"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B857F8">
        <w:rPr>
          <w:rFonts w:ascii="Calibri" w:eastAsia="Times New Roman" w:hAnsi="Calibri" w:cs="Arial"/>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653E7092"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2771766B"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46D8B77E"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030447B3"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563F5938"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574EA637" w14:textId="77777777" w:rsidR="00B857F8" w:rsidRPr="00B857F8" w:rsidRDefault="00B857F8" w:rsidP="00B857F8">
      <w:pPr>
        <w:rPr>
          <w:rFonts w:ascii="Calibri" w:eastAsia="Times New Roman" w:hAnsi="Calibri" w:cs="Arial"/>
          <w:b/>
          <w:bCs/>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br w:type="page"/>
      </w:r>
    </w:p>
    <w:p w14:paraId="7F4B79E6"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B857F8">
        <w:rPr>
          <w:rFonts w:ascii="Calibri" w:eastAsia="Times New Roman" w:hAnsi="Calibri" w:cs="Arial"/>
          <w:b/>
          <w:bCs/>
          <w:color w:val="000000"/>
          <w:kern w:val="0"/>
          <w:lang w:val="es-ES_tradnl" w:eastAsia="es-CR"/>
          <w14:ligatures w14:val="none"/>
        </w:rPr>
        <w:lastRenderedPageBreak/>
        <w:t xml:space="preserve">X. </w:t>
      </w:r>
      <w:r w:rsidRPr="00B857F8">
        <w:rPr>
          <w:rFonts w:ascii="Calibri" w:eastAsia="Times New Roman" w:hAnsi="Calibri" w:cs="Arial"/>
          <w:b/>
          <w:bCs/>
          <w:kern w:val="0"/>
          <w:lang w:val="es-ES_tradnl" w:eastAsia="es-CR"/>
          <w14:ligatures w14:val="none"/>
        </w:rPr>
        <w:t>Evaluación</w:t>
      </w:r>
      <w:r w:rsidRPr="00B857F8">
        <w:rPr>
          <w:rFonts w:ascii="Times New Roman" w:eastAsia="Times New Roman" w:hAnsi="Times New Roman" w:cs="Times New Roman"/>
          <w:kern w:val="0"/>
          <w:sz w:val="24"/>
          <w:szCs w:val="20"/>
          <w:lang w:val="es-ES_tradnl" w:eastAsia="es-CR"/>
          <w14:ligatures w14:val="none"/>
        </w:rPr>
        <w:tab/>
      </w:r>
    </w:p>
    <w:p w14:paraId="0D90584E"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CR"/>
          <w14:ligatures w14:val="none"/>
        </w:rPr>
      </w:pPr>
      <w:r w:rsidRPr="00B857F8">
        <w:rPr>
          <w:rFonts w:ascii="Calibri" w:eastAsia="Times New Roman" w:hAnsi="Calibri" w:cs="Arial"/>
          <w:color w:val="000000"/>
          <w:kern w:val="0"/>
          <w:lang w:eastAsia="es-CR"/>
          <w14:ligatures w14:val="none"/>
        </w:rPr>
        <w:t>El curso requiere participación continua de los y las estudiantes en la plataforma virtual para lograr el manejo de los contenidos y el desarrollo de los ejercicios prácticos.  Se realiza un ejercicio práctico cada semana, el cual aporta una medición del avance y manejo de las competencias básicas con el fin de que la persona docente y la persona estudiante refuercen las áreas que así lo ameritan. La nota mínima de aprobación será de un 7.00 (en escala decimal).  La distribución de rubros evaluados y su porcentaje en la nota final es la siguiente:</w:t>
      </w:r>
    </w:p>
    <w:tbl>
      <w:tblPr>
        <w:tblpPr w:leftFromText="141" w:rightFromText="141" w:vertAnchor="text" w:horzAnchor="page" w:tblpX="1667" w:tblpY="324"/>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905"/>
        <w:gridCol w:w="1383"/>
      </w:tblGrid>
      <w:tr w:rsidR="00B857F8" w:rsidRPr="00B857F8" w14:paraId="7231FEC8" w14:textId="77777777" w:rsidTr="00104785">
        <w:tc>
          <w:tcPr>
            <w:tcW w:w="9288" w:type="dxa"/>
            <w:gridSpan w:val="2"/>
          </w:tcPr>
          <w:p w14:paraId="7598639A" w14:textId="77777777" w:rsidR="00B857F8" w:rsidRPr="00B857F8" w:rsidRDefault="00B857F8" w:rsidP="00B857F8">
            <w:pPr>
              <w:autoSpaceDE w:val="0"/>
              <w:autoSpaceDN w:val="0"/>
              <w:adjustRightInd w:val="0"/>
              <w:spacing w:after="0" w:line="240" w:lineRule="auto"/>
              <w:contextualSpacing/>
              <w:jc w:val="center"/>
              <w:rPr>
                <w:rFonts w:ascii="Calibri" w:eastAsia="Calibri" w:hAnsi="Calibri" w:cs="Arial"/>
                <w:b/>
                <w:bCs/>
                <w:color w:val="00B050"/>
                <w:kern w:val="0"/>
                <w14:ligatures w14:val="none"/>
              </w:rPr>
            </w:pPr>
            <w:r w:rsidRPr="00B857F8">
              <w:rPr>
                <w:rFonts w:ascii="Calibri" w:eastAsia="Calibri" w:hAnsi="Calibri" w:cs="Arial"/>
                <w:b/>
                <w:bCs/>
                <w:kern w:val="0"/>
                <w14:ligatures w14:val="none"/>
              </w:rPr>
              <w:t>Síntesis cuantitativa de evaluación</w:t>
            </w:r>
          </w:p>
        </w:tc>
      </w:tr>
      <w:tr w:rsidR="00B857F8" w:rsidRPr="00B857F8" w14:paraId="5E8F258A" w14:textId="77777777" w:rsidTr="00104785">
        <w:trPr>
          <w:trHeight w:val="297"/>
        </w:trPr>
        <w:tc>
          <w:tcPr>
            <w:tcW w:w="7905" w:type="dxa"/>
            <w:vAlign w:val="center"/>
          </w:tcPr>
          <w:p w14:paraId="030837F8" w14:textId="77777777" w:rsidR="00B857F8" w:rsidRPr="00B857F8" w:rsidRDefault="00B857F8" w:rsidP="00B857F8">
            <w:pPr>
              <w:autoSpaceDE w:val="0"/>
              <w:autoSpaceDN w:val="0"/>
              <w:adjustRightInd w:val="0"/>
              <w:spacing w:after="0" w:line="240" w:lineRule="auto"/>
              <w:contextualSpacing/>
              <w:rPr>
                <w:rFonts w:ascii="Calibri" w:eastAsia="Calibri" w:hAnsi="Calibri" w:cs="Arial"/>
                <w:b/>
                <w:bCs/>
                <w:color w:val="000000"/>
                <w:kern w:val="0"/>
                <w14:ligatures w14:val="none"/>
              </w:rPr>
            </w:pPr>
            <w:r w:rsidRPr="00B857F8">
              <w:rPr>
                <w:rFonts w:ascii="Calibri" w:eastAsia="Calibri" w:hAnsi="Calibri" w:cs="Arial"/>
                <w:b/>
                <w:bCs/>
                <w:color w:val="000000"/>
                <w:kern w:val="0"/>
                <w14:ligatures w14:val="none"/>
              </w:rPr>
              <w:t>Rubros para evaluar</w:t>
            </w:r>
          </w:p>
        </w:tc>
        <w:tc>
          <w:tcPr>
            <w:tcW w:w="1383" w:type="dxa"/>
          </w:tcPr>
          <w:p w14:paraId="6D57DB90" w14:textId="77777777" w:rsidR="00B857F8" w:rsidRPr="00B857F8" w:rsidRDefault="00B857F8" w:rsidP="00B857F8">
            <w:pPr>
              <w:autoSpaceDE w:val="0"/>
              <w:autoSpaceDN w:val="0"/>
              <w:adjustRightInd w:val="0"/>
              <w:spacing w:after="0" w:line="240" w:lineRule="auto"/>
              <w:contextualSpacing/>
              <w:jc w:val="center"/>
              <w:rPr>
                <w:rFonts w:ascii="Calibri" w:eastAsia="Calibri" w:hAnsi="Calibri" w:cs="Arial"/>
                <w:b/>
                <w:bCs/>
                <w:color w:val="000000"/>
                <w:kern w:val="0"/>
                <w14:ligatures w14:val="none"/>
              </w:rPr>
            </w:pPr>
            <w:r w:rsidRPr="00B857F8">
              <w:rPr>
                <w:rFonts w:ascii="Calibri" w:eastAsia="Calibri" w:hAnsi="Calibri" w:cs="Arial"/>
                <w:b/>
                <w:bCs/>
                <w:color w:val="000000"/>
                <w:kern w:val="0"/>
                <w14:ligatures w14:val="none"/>
              </w:rPr>
              <w:t>Porcentaje total</w:t>
            </w:r>
          </w:p>
        </w:tc>
      </w:tr>
      <w:tr w:rsidR="00B857F8" w:rsidRPr="00B857F8" w14:paraId="27C19EF5" w14:textId="77777777" w:rsidTr="00104785">
        <w:tc>
          <w:tcPr>
            <w:tcW w:w="7905" w:type="dxa"/>
          </w:tcPr>
          <w:p w14:paraId="34A00436"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b/>
                <w:bCs/>
                <w:i/>
                <w:iCs/>
                <w:color w:val="0070C0"/>
                <w:kern w:val="0"/>
                <w:lang w:val="es-ES_tradnl" w:eastAsia="es-CR"/>
                <w14:ligatures w14:val="none"/>
              </w:rPr>
            </w:pPr>
            <w:r w:rsidRPr="00B857F8">
              <w:rPr>
                <w:rFonts w:ascii="Calibri" w:eastAsia="Times New Roman" w:hAnsi="Calibri" w:cs="Arial"/>
                <w:b/>
                <w:bCs/>
                <w:i/>
                <w:iCs/>
                <w:color w:val="0070C0"/>
                <w:kern w:val="0"/>
                <w:lang w:val="es-ES_tradnl" w:eastAsia="es-CR"/>
                <w14:ligatures w14:val="none"/>
              </w:rPr>
              <w:t>Encuentros sincrónicos virtuales</w:t>
            </w:r>
          </w:p>
          <w:p w14:paraId="79CE66BA"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70C0"/>
                <w:kern w:val="0"/>
                <w:lang w:val="es-ES_tradnl" w:eastAsia="es-CR"/>
                <w14:ligatures w14:val="none"/>
              </w:rPr>
            </w:pPr>
            <w:r w:rsidRPr="00B857F8">
              <w:rPr>
                <w:rFonts w:ascii="Calibri" w:eastAsia="Times New Roman" w:hAnsi="Calibri" w:cs="Arial"/>
                <w:color w:val="0070C0"/>
                <w:kern w:val="0"/>
                <w:lang w:val="es-ES_tradnl" w:eastAsia="es-CR"/>
                <w14:ligatures w14:val="none"/>
              </w:rPr>
              <w:t xml:space="preserve">Se llevan a cabo de las sesiones 1 a la 5 y 7 a la 14. Tienen un valor formativo y no sumativo. </w:t>
            </w:r>
          </w:p>
        </w:tc>
        <w:tc>
          <w:tcPr>
            <w:tcW w:w="1383" w:type="dxa"/>
            <w:vAlign w:val="center"/>
          </w:tcPr>
          <w:p w14:paraId="7E47E8F9" w14:textId="77777777" w:rsidR="00B857F8" w:rsidRPr="00B857F8" w:rsidRDefault="00B857F8" w:rsidP="00B857F8">
            <w:pPr>
              <w:widowControl w:val="0"/>
              <w:overflowPunct w:val="0"/>
              <w:autoSpaceDE w:val="0"/>
              <w:autoSpaceDN w:val="0"/>
              <w:adjustRightInd w:val="0"/>
              <w:spacing w:after="0" w:line="240" w:lineRule="auto"/>
              <w:jc w:val="center"/>
              <w:rPr>
                <w:rFonts w:ascii="Calibri" w:eastAsia="Times New Roman" w:hAnsi="Calibri" w:cs="Arial"/>
                <w:color w:val="0070C0"/>
                <w:kern w:val="0"/>
                <w:lang w:val="es-ES_tradnl" w:eastAsia="es-CR"/>
                <w14:ligatures w14:val="none"/>
              </w:rPr>
            </w:pPr>
            <w:r w:rsidRPr="00B857F8">
              <w:rPr>
                <w:rFonts w:ascii="Calibri" w:eastAsia="Times New Roman" w:hAnsi="Calibri" w:cs="Arial"/>
                <w:color w:val="0070C0"/>
                <w:kern w:val="0"/>
                <w:lang w:val="es-ES_tradnl" w:eastAsia="es-CR"/>
                <w14:ligatures w14:val="none"/>
              </w:rPr>
              <w:t>̶</w:t>
            </w:r>
          </w:p>
        </w:tc>
      </w:tr>
      <w:tr w:rsidR="00B857F8" w:rsidRPr="00B857F8" w14:paraId="6B80EADE" w14:textId="77777777" w:rsidTr="00104785">
        <w:tc>
          <w:tcPr>
            <w:tcW w:w="7905" w:type="dxa"/>
          </w:tcPr>
          <w:p w14:paraId="49FBD247" w14:textId="77777777" w:rsidR="00B857F8" w:rsidRPr="00B857F8" w:rsidRDefault="00B857F8" w:rsidP="00B857F8">
            <w:pPr>
              <w:autoSpaceDE w:val="0"/>
              <w:autoSpaceDN w:val="0"/>
              <w:adjustRightInd w:val="0"/>
              <w:spacing w:after="0" w:line="240" w:lineRule="auto"/>
              <w:contextualSpacing/>
              <w:jc w:val="both"/>
              <w:rPr>
                <w:rFonts w:ascii="Calibri" w:eastAsia="Calibri" w:hAnsi="Calibri" w:cs="Arial"/>
                <w:b/>
                <w:bCs/>
                <w:i/>
                <w:iCs/>
                <w:color w:val="000000"/>
                <w:kern w:val="0"/>
                <w14:ligatures w14:val="none"/>
              </w:rPr>
            </w:pPr>
            <w:r w:rsidRPr="00B857F8">
              <w:rPr>
                <w:rFonts w:ascii="Calibri" w:eastAsia="Calibri" w:hAnsi="Calibri" w:cs="Arial"/>
                <w:b/>
                <w:bCs/>
                <w:i/>
                <w:iCs/>
                <w:color w:val="000000"/>
                <w:kern w:val="0"/>
                <w14:ligatures w14:val="none"/>
              </w:rPr>
              <w:t>Prácticas</w:t>
            </w:r>
          </w:p>
          <w:p w14:paraId="5CBECD40" w14:textId="77777777" w:rsidR="00B857F8" w:rsidRPr="00B857F8" w:rsidRDefault="00B857F8" w:rsidP="00B857F8">
            <w:pPr>
              <w:autoSpaceDE w:val="0"/>
              <w:autoSpaceDN w:val="0"/>
              <w:adjustRightInd w:val="0"/>
              <w:spacing w:after="0" w:line="240" w:lineRule="auto"/>
              <w:contextualSpacing/>
              <w:jc w:val="both"/>
              <w:rPr>
                <w:rFonts w:ascii="Calibri" w:eastAsia="Calibri" w:hAnsi="Calibri" w:cs="Arial"/>
                <w:color w:val="000000"/>
                <w:kern w:val="0"/>
                <w14:ligatures w14:val="none"/>
              </w:rPr>
            </w:pPr>
            <w:r w:rsidRPr="00B857F8">
              <w:rPr>
                <w:rFonts w:ascii="Calibri" w:eastAsia="Calibri" w:hAnsi="Calibri" w:cs="Arial"/>
                <w:color w:val="000000"/>
                <w:kern w:val="0"/>
                <w14:ligatures w14:val="none"/>
              </w:rPr>
              <w:t>Se realizan en las sesiones 1, 2, 3, 4, 5, 7, 8, 9, 10, 11, 12 y 13. Tienen un valor formativo y no sumativo.</w:t>
            </w:r>
          </w:p>
        </w:tc>
        <w:tc>
          <w:tcPr>
            <w:tcW w:w="1383" w:type="dxa"/>
            <w:vAlign w:val="center"/>
          </w:tcPr>
          <w:p w14:paraId="1ED4F9D4" w14:textId="77777777" w:rsidR="00B857F8" w:rsidRPr="00B857F8" w:rsidRDefault="00B857F8" w:rsidP="00B857F8">
            <w:pPr>
              <w:widowControl w:val="0"/>
              <w:overflowPunct w:val="0"/>
              <w:autoSpaceDE w:val="0"/>
              <w:autoSpaceDN w:val="0"/>
              <w:adjustRightInd w:val="0"/>
              <w:spacing w:after="0" w:line="240" w:lineRule="auto"/>
              <w:jc w:val="center"/>
              <w:rPr>
                <w:rFonts w:ascii="Times New Roman" w:eastAsia="Times New Roman" w:hAnsi="Times New Roman" w:cs="Times New Roman"/>
                <w:kern w:val="0"/>
                <w:sz w:val="24"/>
                <w:szCs w:val="20"/>
                <w:lang w:val="es-ES_tradnl" w:eastAsia="es-CR"/>
                <w14:ligatures w14:val="none"/>
              </w:rPr>
            </w:pPr>
            <w:r w:rsidRPr="00B857F8">
              <w:rPr>
                <w:rFonts w:ascii="Times New Roman" w:eastAsia="Times New Roman" w:hAnsi="Times New Roman" w:cs="Times New Roman"/>
                <w:kern w:val="0"/>
                <w:sz w:val="24"/>
                <w:szCs w:val="20"/>
                <w:lang w:val="es-ES_tradnl" w:eastAsia="es-CR"/>
                <w14:ligatures w14:val="none"/>
              </w:rPr>
              <w:t>̶</w:t>
            </w:r>
          </w:p>
        </w:tc>
      </w:tr>
      <w:tr w:rsidR="00B857F8" w:rsidRPr="00B857F8" w14:paraId="092CDC8C" w14:textId="77777777" w:rsidTr="00104785">
        <w:tc>
          <w:tcPr>
            <w:tcW w:w="7905" w:type="dxa"/>
          </w:tcPr>
          <w:p w14:paraId="4BBF30F9"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B857F8">
              <w:rPr>
                <w:rFonts w:ascii="Calibri" w:eastAsia="Times New Roman" w:hAnsi="Calibri" w:cs="Arial"/>
                <w:b/>
                <w:bCs/>
                <w:i/>
                <w:iCs/>
                <w:color w:val="000000"/>
                <w:kern w:val="0"/>
                <w:lang w:val="es-ES_tradnl" w:eastAsia="es-CR"/>
                <w14:ligatures w14:val="none"/>
              </w:rPr>
              <w:t>Pruebas cortas</w:t>
            </w:r>
          </w:p>
          <w:p w14:paraId="00C690B6"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Se llevan a cabo en las sesiones 2, 8 y 11. Cada prueba tiene un valor de 5%.</w:t>
            </w:r>
          </w:p>
        </w:tc>
        <w:tc>
          <w:tcPr>
            <w:tcW w:w="1383" w:type="dxa"/>
            <w:vAlign w:val="center"/>
          </w:tcPr>
          <w:p w14:paraId="5CAA37D5" w14:textId="77777777" w:rsidR="00B857F8" w:rsidRPr="00B857F8" w:rsidRDefault="00B857F8" w:rsidP="00B857F8">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15%</w:t>
            </w:r>
          </w:p>
        </w:tc>
      </w:tr>
      <w:tr w:rsidR="00B857F8" w:rsidRPr="00B857F8" w14:paraId="444DB4FF" w14:textId="77777777" w:rsidTr="00104785">
        <w:tc>
          <w:tcPr>
            <w:tcW w:w="7905" w:type="dxa"/>
          </w:tcPr>
          <w:p w14:paraId="19159099"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B857F8">
              <w:rPr>
                <w:rFonts w:ascii="Calibri" w:eastAsia="Times New Roman" w:hAnsi="Calibri" w:cs="Arial"/>
                <w:b/>
                <w:bCs/>
                <w:i/>
                <w:iCs/>
                <w:color w:val="000000"/>
                <w:kern w:val="0"/>
                <w:lang w:val="es-ES_tradnl" w:eastAsia="es-CR"/>
                <w14:ligatures w14:val="none"/>
              </w:rPr>
              <w:t>Ejercicios de traducción</w:t>
            </w:r>
          </w:p>
          <w:p w14:paraId="6B58F7B9"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Se realizan en las sesiones 4, 7 y 9. Cada ejercicio tiene un valor de 5%.</w:t>
            </w:r>
          </w:p>
        </w:tc>
        <w:tc>
          <w:tcPr>
            <w:tcW w:w="1383" w:type="dxa"/>
            <w:vAlign w:val="center"/>
          </w:tcPr>
          <w:p w14:paraId="4F24729C" w14:textId="77777777" w:rsidR="00B857F8" w:rsidRPr="00B857F8" w:rsidRDefault="00B857F8" w:rsidP="00B857F8">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15%</w:t>
            </w:r>
          </w:p>
        </w:tc>
      </w:tr>
      <w:tr w:rsidR="00B857F8" w:rsidRPr="00B857F8" w14:paraId="6D0447B2" w14:textId="77777777" w:rsidTr="00104785">
        <w:tc>
          <w:tcPr>
            <w:tcW w:w="7905" w:type="dxa"/>
          </w:tcPr>
          <w:p w14:paraId="74256ACF"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B857F8">
              <w:rPr>
                <w:rFonts w:ascii="Calibri" w:eastAsia="Times New Roman" w:hAnsi="Calibri" w:cs="Arial"/>
                <w:b/>
                <w:bCs/>
                <w:i/>
                <w:iCs/>
                <w:color w:val="000000"/>
                <w:kern w:val="0"/>
                <w:lang w:val="es-ES_tradnl" w:eastAsia="es-CR"/>
                <w14:ligatures w14:val="none"/>
              </w:rPr>
              <w:t>Exámenes escritos</w:t>
            </w:r>
          </w:p>
          <w:p w14:paraId="5A7F6EAD"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 xml:space="preserve">Se llevan a cabo en las sesiones 6 y 15. Cada examen tiene un valor de </w:t>
            </w:r>
            <w:r w:rsidRPr="00B857F8">
              <w:rPr>
                <w:rFonts w:ascii="Calibri" w:eastAsia="Times New Roman" w:hAnsi="Calibri" w:cs="Arial"/>
                <w:color w:val="0070C0"/>
                <w:kern w:val="0"/>
                <w:lang w:val="es-ES_tradnl" w:eastAsia="es-CR"/>
                <w14:ligatures w14:val="none"/>
              </w:rPr>
              <w:t>25%</w:t>
            </w:r>
          </w:p>
        </w:tc>
        <w:tc>
          <w:tcPr>
            <w:tcW w:w="1383" w:type="dxa"/>
            <w:vAlign w:val="center"/>
          </w:tcPr>
          <w:p w14:paraId="65C5B6D7" w14:textId="77777777" w:rsidR="00B857F8" w:rsidRPr="00B857F8" w:rsidRDefault="00B857F8" w:rsidP="00B857F8">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70C0"/>
                <w:kern w:val="0"/>
                <w:lang w:val="es-ES_tradnl" w:eastAsia="es-CR"/>
                <w14:ligatures w14:val="none"/>
              </w:rPr>
              <w:t>50%</w:t>
            </w:r>
          </w:p>
        </w:tc>
      </w:tr>
      <w:tr w:rsidR="00B857F8" w:rsidRPr="00B857F8" w14:paraId="1ABAEB22" w14:textId="77777777" w:rsidTr="00104785">
        <w:tc>
          <w:tcPr>
            <w:tcW w:w="7905" w:type="dxa"/>
          </w:tcPr>
          <w:p w14:paraId="583F5F97"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B857F8">
              <w:rPr>
                <w:rFonts w:ascii="Calibri" w:eastAsia="Times New Roman" w:hAnsi="Calibri" w:cs="Arial"/>
                <w:b/>
                <w:bCs/>
                <w:i/>
                <w:iCs/>
                <w:color w:val="000000"/>
                <w:kern w:val="0"/>
                <w:lang w:val="es-ES_tradnl" w:eastAsia="es-CR"/>
                <w14:ligatures w14:val="none"/>
              </w:rPr>
              <w:t>Examen de lectura</w:t>
            </w:r>
          </w:p>
          <w:p w14:paraId="1242FB4D" w14:textId="77777777" w:rsidR="00B857F8" w:rsidRPr="00B857F8" w:rsidRDefault="00B857F8" w:rsidP="00B857F8">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0000"/>
                <w:kern w:val="0"/>
                <w:lang w:val="es-ES_tradnl" w:eastAsia="es-CR"/>
                <w14:ligatures w14:val="none"/>
              </w:rPr>
              <w:t>Se realiza en las sesiones 14 y 15 (según horario convenido entre estudiante y docente).</w:t>
            </w:r>
          </w:p>
        </w:tc>
        <w:tc>
          <w:tcPr>
            <w:tcW w:w="1383" w:type="dxa"/>
            <w:vAlign w:val="center"/>
          </w:tcPr>
          <w:p w14:paraId="2EAF6B7A" w14:textId="77777777" w:rsidR="00B857F8" w:rsidRPr="00B857F8" w:rsidRDefault="00B857F8" w:rsidP="00B857F8">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B857F8">
              <w:rPr>
                <w:rFonts w:ascii="Calibri" w:eastAsia="Times New Roman" w:hAnsi="Calibri" w:cs="Arial"/>
                <w:color w:val="0070C0"/>
                <w:kern w:val="0"/>
                <w:lang w:val="es-ES_tradnl" w:eastAsia="es-CR"/>
                <w14:ligatures w14:val="none"/>
              </w:rPr>
              <w:t>20%</w:t>
            </w:r>
          </w:p>
        </w:tc>
      </w:tr>
      <w:tr w:rsidR="00B857F8" w:rsidRPr="00B857F8" w14:paraId="0BE32DCB" w14:textId="77777777" w:rsidTr="00104785">
        <w:tc>
          <w:tcPr>
            <w:tcW w:w="7905" w:type="dxa"/>
          </w:tcPr>
          <w:p w14:paraId="0FDB3997" w14:textId="77777777" w:rsidR="00B857F8" w:rsidRPr="00B857F8" w:rsidRDefault="00B857F8" w:rsidP="00B857F8">
            <w:pPr>
              <w:autoSpaceDE w:val="0"/>
              <w:autoSpaceDN w:val="0"/>
              <w:adjustRightInd w:val="0"/>
              <w:spacing w:after="0" w:line="240" w:lineRule="auto"/>
              <w:contextualSpacing/>
              <w:jc w:val="both"/>
              <w:rPr>
                <w:rFonts w:ascii="Calibri" w:eastAsia="Calibri" w:hAnsi="Calibri" w:cs="Arial"/>
                <w:b/>
                <w:bCs/>
                <w:color w:val="000000"/>
                <w:kern w:val="0"/>
                <w14:ligatures w14:val="none"/>
              </w:rPr>
            </w:pPr>
            <w:r w:rsidRPr="00B857F8">
              <w:rPr>
                <w:rFonts w:ascii="Calibri" w:eastAsia="Calibri" w:hAnsi="Calibri" w:cs="Arial"/>
                <w:b/>
                <w:bCs/>
                <w:color w:val="000000"/>
                <w:kern w:val="0"/>
                <w14:ligatures w14:val="none"/>
              </w:rPr>
              <w:t>Total</w:t>
            </w:r>
          </w:p>
        </w:tc>
        <w:tc>
          <w:tcPr>
            <w:tcW w:w="1383" w:type="dxa"/>
            <w:vAlign w:val="center"/>
          </w:tcPr>
          <w:p w14:paraId="683D1F35" w14:textId="77777777" w:rsidR="00B857F8" w:rsidRPr="00B857F8" w:rsidRDefault="00B857F8" w:rsidP="00B857F8">
            <w:pPr>
              <w:autoSpaceDE w:val="0"/>
              <w:autoSpaceDN w:val="0"/>
              <w:adjustRightInd w:val="0"/>
              <w:spacing w:after="0" w:line="240" w:lineRule="auto"/>
              <w:contextualSpacing/>
              <w:jc w:val="center"/>
              <w:rPr>
                <w:rFonts w:ascii="Calibri" w:eastAsia="Calibri" w:hAnsi="Calibri" w:cs="Arial"/>
                <w:b/>
                <w:bCs/>
                <w:color w:val="000000"/>
                <w:kern w:val="0"/>
                <w14:ligatures w14:val="none"/>
              </w:rPr>
            </w:pPr>
            <w:r w:rsidRPr="00B857F8">
              <w:rPr>
                <w:rFonts w:ascii="Calibri" w:eastAsia="Calibri" w:hAnsi="Calibri" w:cs="Arial"/>
                <w:b/>
                <w:bCs/>
                <w:color w:val="000000"/>
                <w:kern w:val="0"/>
                <w14:ligatures w14:val="none"/>
              </w:rPr>
              <w:t>100%</w:t>
            </w:r>
          </w:p>
        </w:tc>
      </w:tr>
    </w:tbl>
    <w:p w14:paraId="256069B0" w14:textId="77777777" w:rsidR="00B857F8" w:rsidRPr="00B857F8" w:rsidRDefault="00B857F8" w:rsidP="00B857F8">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7EC34D77" w14:textId="77777777" w:rsidR="00B857F8" w:rsidRPr="00B857F8" w:rsidRDefault="00B857F8" w:rsidP="00B857F8">
      <w:pPr>
        <w:widowControl w:val="0"/>
        <w:overflowPunct w:val="0"/>
        <w:autoSpaceDE w:val="0"/>
        <w:autoSpaceDN w:val="0"/>
        <w:adjustRightInd w:val="0"/>
        <w:spacing w:before="120" w:after="0" w:line="240" w:lineRule="auto"/>
        <w:jc w:val="center"/>
        <w:rPr>
          <w:rFonts w:ascii="Calibri" w:eastAsia="Times New Roman" w:hAnsi="Calibri" w:cs="Arial"/>
          <w:b/>
          <w:bCs/>
          <w:color w:val="000000"/>
          <w:kern w:val="0"/>
          <w:lang w:val="es-ES_tradnl" w:eastAsia="es-CR"/>
          <w14:ligatures w14:val="none"/>
        </w:rPr>
      </w:pPr>
    </w:p>
    <w:p w14:paraId="257FC7D7" w14:textId="77777777" w:rsidR="00B857F8" w:rsidRPr="00B857F8" w:rsidRDefault="00B857F8" w:rsidP="00B857F8">
      <w:pPr>
        <w:rPr>
          <w:rFonts w:ascii="Calibri" w:eastAsia="Times New Roman" w:hAnsi="Calibri" w:cs="Arial"/>
          <w:b/>
          <w:bCs/>
          <w:color w:val="000000"/>
          <w:kern w:val="0"/>
          <w:lang w:val="es-ES_tradnl" w:eastAsia="es-CR"/>
          <w14:ligatures w14:val="none"/>
        </w:rPr>
      </w:pPr>
    </w:p>
    <w:p w14:paraId="32225574" w14:textId="77777777" w:rsidR="00B857F8" w:rsidRPr="00B857F8" w:rsidRDefault="00B857F8" w:rsidP="00B857F8">
      <w:pPr>
        <w:rPr>
          <w:rFonts w:ascii="Calibri" w:eastAsia="Times New Roman" w:hAnsi="Calibri" w:cs="Arial"/>
          <w:b/>
          <w:bCs/>
          <w:color w:val="000000"/>
          <w:kern w:val="0"/>
          <w:lang w:val="es-ES_tradnl" w:eastAsia="es-CR"/>
          <w14:ligatures w14:val="none"/>
        </w:rPr>
      </w:pPr>
    </w:p>
    <w:p w14:paraId="6A350E84" w14:textId="77777777" w:rsidR="00B857F8" w:rsidRPr="00B857F8" w:rsidRDefault="00B857F8" w:rsidP="00B857F8">
      <w:pPr>
        <w:rPr>
          <w:rFonts w:ascii="Calibri" w:eastAsia="Times New Roman" w:hAnsi="Calibri" w:cs="Arial"/>
          <w:b/>
          <w:bCs/>
          <w:color w:val="000000"/>
          <w:kern w:val="0"/>
          <w:lang w:val="es-ES_tradnl" w:eastAsia="es-CR"/>
          <w14:ligatures w14:val="none"/>
        </w:rPr>
      </w:pPr>
    </w:p>
    <w:p w14:paraId="107AD3D2" w14:textId="77777777" w:rsidR="00B857F8" w:rsidRPr="00B857F8" w:rsidRDefault="00B857F8" w:rsidP="00B857F8">
      <w:pPr>
        <w:rPr>
          <w:rFonts w:ascii="Calibri" w:eastAsia="Times New Roman" w:hAnsi="Calibri" w:cs="Arial"/>
          <w:b/>
          <w:bCs/>
          <w:color w:val="000000"/>
          <w:kern w:val="0"/>
          <w:lang w:val="es-ES_tradnl" w:eastAsia="es-CR"/>
          <w14:ligatures w14:val="none"/>
        </w:rPr>
      </w:pPr>
    </w:p>
    <w:p w14:paraId="531CC80D" w14:textId="77777777" w:rsidR="00B857F8" w:rsidRPr="00B857F8" w:rsidRDefault="00B857F8" w:rsidP="00B857F8">
      <w:pPr>
        <w:rPr>
          <w:rFonts w:ascii="Calibri" w:eastAsia="Times New Roman" w:hAnsi="Calibri" w:cs="Arial"/>
          <w:b/>
          <w:bCs/>
          <w:color w:val="000000"/>
          <w:kern w:val="0"/>
          <w:lang w:val="es-ES_tradnl" w:eastAsia="es-CR"/>
          <w14:ligatures w14:val="none"/>
        </w:rPr>
      </w:pPr>
    </w:p>
    <w:p w14:paraId="12336D5F" w14:textId="77777777" w:rsidR="00B857F8" w:rsidRPr="00B857F8" w:rsidRDefault="00B857F8" w:rsidP="00B857F8">
      <w:pPr>
        <w:rPr>
          <w:rFonts w:ascii="Calibri" w:eastAsia="Times New Roman" w:hAnsi="Calibri" w:cs="Arial"/>
          <w:b/>
          <w:bCs/>
          <w:color w:val="000000"/>
          <w:kern w:val="0"/>
          <w:lang w:val="es-ES_tradnl" w:eastAsia="es-CR"/>
          <w14:ligatures w14:val="none"/>
        </w:rPr>
      </w:pPr>
    </w:p>
    <w:p w14:paraId="59F79666" w14:textId="77777777" w:rsidR="00B857F8" w:rsidRPr="00B857F8" w:rsidRDefault="00B857F8" w:rsidP="00B857F8">
      <w:pPr>
        <w:rPr>
          <w:rFonts w:ascii="Calibri" w:eastAsia="Times New Roman" w:hAnsi="Calibri" w:cs="Arial"/>
          <w:b/>
          <w:bCs/>
          <w:color w:val="000000"/>
          <w:kern w:val="0"/>
          <w:lang w:val="es-ES_tradnl" w:eastAsia="es-CR"/>
          <w14:ligatures w14:val="none"/>
        </w:rPr>
      </w:pPr>
    </w:p>
    <w:p w14:paraId="0A51AC70" w14:textId="77777777" w:rsidR="00B857F8" w:rsidRPr="00B857F8" w:rsidRDefault="00B857F8" w:rsidP="00B857F8">
      <w:pPr>
        <w:rPr>
          <w:rFonts w:ascii="Calibri" w:eastAsia="Times New Roman" w:hAnsi="Calibri" w:cs="Arial"/>
          <w:b/>
          <w:bCs/>
          <w:color w:val="000000"/>
          <w:kern w:val="0"/>
          <w:lang w:val="es-ES_tradnl" w:eastAsia="es-CR"/>
          <w14:ligatures w14:val="none"/>
        </w:rPr>
      </w:pPr>
    </w:p>
    <w:p w14:paraId="7A50EEF2" w14:textId="77777777" w:rsidR="00B857F8" w:rsidRPr="00B857F8" w:rsidRDefault="00B857F8" w:rsidP="00B857F8">
      <w:pPr>
        <w:rPr>
          <w:rFonts w:ascii="Calibri" w:eastAsia="Times New Roman" w:hAnsi="Calibri" w:cs="Arial"/>
          <w:b/>
          <w:bCs/>
          <w:color w:val="000000"/>
          <w:kern w:val="0"/>
          <w:lang w:val="es-ES_tradnl" w:eastAsia="es-CR"/>
          <w14:ligatures w14:val="none"/>
        </w:rPr>
      </w:pPr>
    </w:p>
    <w:p w14:paraId="0DEBA4D7" w14:textId="77777777" w:rsidR="00B857F8" w:rsidRPr="00B857F8" w:rsidRDefault="00B857F8" w:rsidP="00B857F8">
      <w:pPr>
        <w:rPr>
          <w:rFonts w:ascii="Calibri" w:eastAsia="Times New Roman" w:hAnsi="Calibri" w:cs="Arial"/>
          <w:b/>
          <w:bCs/>
          <w:color w:val="000000"/>
          <w:kern w:val="0"/>
          <w:lang w:val="es-ES_tradnl" w:eastAsia="es-CR"/>
          <w14:ligatures w14:val="none"/>
        </w:rPr>
      </w:pPr>
    </w:p>
    <w:p w14:paraId="241F8760" w14:textId="77777777" w:rsidR="00B857F8" w:rsidRPr="00B857F8" w:rsidRDefault="00B857F8" w:rsidP="00B857F8">
      <w:pPr>
        <w:rPr>
          <w:rFonts w:ascii="Calibri" w:eastAsia="Times New Roman" w:hAnsi="Calibri" w:cs="Arial"/>
          <w:b/>
          <w:bCs/>
          <w:color w:val="000000"/>
          <w:kern w:val="0"/>
          <w:lang w:val="es-ES_tradnl" w:eastAsia="es-CR"/>
          <w14:ligatures w14:val="none"/>
        </w:rPr>
      </w:pPr>
    </w:p>
    <w:p w14:paraId="68993B59" w14:textId="77777777" w:rsidR="00B857F8" w:rsidRPr="00B857F8" w:rsidRDefault="00B857F8" w:rsidP="00B857F8">
      <w:pPr>
        <w:rPr>
          <w:rFonts w:ascii="Calibri" w:eastAsia="Times New Roman" w:hAnsi="Calibri" w:cs="Arial"/>
          <w:b/>
          <w:bCs/>
          <w:kern w:val="0"/>
          <w:lang w:val="es-ES_tradnl" w:eastAsia="es-CR"/>
          <w14:ligatures w14:val="none"/>
        </w:rPr>
        <w:sectPr w:rsidR="00B857F8" w:rsidRPr="00B857F8" w:rsidSect="00B857F8">
          <w:pgSz w:w="12240" w:h="15840"/>
          <w:pgMar w:top="1417" w:right="1701" w:bottom="1417" w:left="1701" w:header="708" w:footer="708" w:gutter="0"/>
          <w:cols w:space="708"/>
          <w:docGrid w:linePitch="360"/>
        </w:sectPr>
      </w:pPr>
    </w:p>
    <w:p w14:paraId="5986BE7D" w14:textId="77777777" w:rsidR="00B857F8" w:rsidRPr="00B857F8" w:rsidRDefault="00B857F8" w:rsidP="00B857F8">
      <w:pPr>
        <w:jc w:val="center"/>
        <w:rPr>
          <w:rFonts w:ascii="Calibri" w:eastAsia="Times New Roman" w:hAnsi="Calibri" w:cs="Calibri"/>
          <w:b/>
          <w:bCs/>
          <w:kern w:val="0"/>
          <w:lang w:val="es-ES_tradnl" w:eastAsia="es-CR"/>
          <w14:ligatures w14:val="none"/>
        </w:rPr>
      </w:pPr>
      <w:r w:rsidRPr="00B857F8">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59040" behindDoc="0" locked="0" layoutInCell="1" allowOverlap="1" wp14:anchorId="591CC624" wp14:editId="3FEA3815">
                <wp:simplePos x="0" y="0"/>
                <wp:positionH relativeFrom="margin">
                  <wp:align>center</wp:align>
                </wp:positionH>
                <wp:positionV relativeFrom="paragraph">
                  <wp:posOffset>-133350</wp:posOffset>
                </wp:positionV>
                <wp:extent cx="6606540" cy="411480"/>
                <wp:effectExtent l="0" t="0" r="22860" b="26670"/>
                <wp:wrapNone/>
                <wp:docPr id="620717977" name="Cuadro de texto 62071797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73F3455" w14:textId="77777777" w:rsidR="00B857F8" w:rsidRPr="00B857F8" w:rsidRDefault="00B857F8" w:rsidP="00B857F8">
                            <w:pPr>
                              <w:jc w:val="center"/>
                              <w:rPr>
                                <w:rFonts w:cs="Calibri"/>
                                <w:bCs/>
                              </w:rPr>
                            </w:pPr>
                            <w:r w:rsidRPr="00B857F8">
                              <w:rPr>
                                <w:rFonts w:cs="Calibri"/>
                                <w:b/>
                              </w:rPr>
                              <w:t>ESCALA DE EVALUACIÓN – PRUEBA CORTA</w:t>
                            </w:r>
                          </w:p>
                          <w:p w14:paraId="2EC7849C" w14:textId="77777777" w:rsidR="00B857F8" w:rsidRPr="00B857F8" w:rsidRDefault="00B857F8" w:rsidP="00B857F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CC624" id="Cuadro de texto 620717977" o:spid="_x0000_s1145" type="#_x0000_t202" style="position:absolute;left:0;text-align:left;margin-left:0;margin-top:-10.5pt;width:520.2pt;height:32.4pt;z-index:252759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" fillcolor="window" strokeweight=".5pt">
                <v:textbox>
                  <w:txbxContent>
                    <w:p w14:paraId="573F3455" w14:textId="77777777" w:rsidR="00B857F8" w:rsidRPr="00B857F8" w:rsidRDefault="00B857F8" w:rsidP="00B857F8">
                      <w:pPr>
                        <w:jc w:val="center"/>
                        <w:rPr>
                          <w:rFonts w:cs="Calibri"/>
                          <w:bCs/>
                        </w:rPr>
                      </w:pPr>
                      <w:r w:rsidRPr="00B857F8">
                        <w:rPr>
                          <w:rFonts w:cs="Calibri"/>
                          <w:b/>
                        </w:rPr>
                        <w:t>ESCALA DE EVALUACIÓN – PRUEBA CORTA</w:t>
                      </w:r>
                    </w:p>
                    <w:p w14:paraId="2EC7849C" w14:textId="77777777" w:rsidR="00B857F8" w:rsidRPr="00B857F8" w:rsidRDefault="00B857F8" w:rsidP="00B857F8">
                      <w:pPr>
                        <w:jc w:val="center"/>
                        <w:rPr>
                          <w:rFonts w:cs="Calibri"/>
                        </w:rPr>
                      </w:pPr>
                    </w:p>
                  </w:txbxContent>
                </v:textbox>
                <w10:wrap anchorx="margin"/>
              </v:shape>
            </w:pict>
          </mc:Fallback>
        </mc:AlternateContent>
      </w:r>
    </w:p>
    <w:p w14:paraId="2146B69A"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30D7E8B8" w14:textId="77777777" w:rsidR="00B857F8" w:rsidRPr="00B857F8" w:rsidRDefault="00B857F8" w:rsidP="00B857F8">
      <w:pPr>
        <w:jc w:val="center"/>
        <w:rPr>
          <w:rFonts w:ascii="Calibri" w:eastAsia="Times New Roman" w:hAnsi="Calibri" w:cs="Calibri"/>
          <w:color w:val="0070C0"/>
          <w:kern w:val="0"/>
          <w:lang w:val="es-ES_tradnl" w:eastAsia="es-CR"/>
          <w14:ligatures w14:val="none"/>
        </w:rPr>
      </w:pPr>
      <w:r w:rsidRPr="00B857F8">
        <w:rPr>
          <w:rFonts w:ascii="Calibri" w:eastAsia="Times New Roman" w:hAnsi="Calibri" w:cs="Calibri"/>
          <w:color w:val="0070C0"/>
          <w:kern w:val="0"/>
          <w:lang w:val="es-ES_tradnl" w:eastAsia="es-CR"/>
          <w14:ligatures w14:val="none"/>
        </w:rPr>
        <w:t>Las pruebas cortas se realizarán de forma asincrónica durante la sesión en que se han asignado. Se llevan a cabo en las sesiones 2, 8 y 11. Cada prueba tiene un valor de 5%.</w:t>
      </w:r>
    </w:p>
    <w:p w14:paraId="6607AC37" w14:textId="77777777" w:rsidR="00B857F8" w:rsidRPr="00B857F8" w:rsidRDefault="00B857F8" w:rsidP="00B857F8">
      <w:pPr>
        <w:jc w:val="center"/>
        <w:rPr>
          <w:rFonts w:ascii="Calibri" w:eastAsia="Times New Roman" w:hAnsi="Calibri" w:cs="Calibri"/>
          <w:kern w:val="0"/>
          <w:lang w:val="es-ES_tradnl" w:eastAsia="es-CR"/>
          <w14:ligatures w14:val="none"/>
        </w:rPr>
      </w:pPr>
      <w:r w:rsidRPr="00B857F8">
        <w:rPr>
          <w:rFonts w:ascii="Calibri" w:eastAsia="Times New Roman" w:hAnsi="Calibri" w:cs="Calibri"/>
          <w:noProof/>
          <w:kern w:val="0"/>
          <w:lang w:val="es-ES_tradnl" w:eastAsia="es-CR"/>
          <w14:ligatures w14:val="none"/>
        </w:rPr>
        <w:drawing>
          <wp:anchor distT="0" distB="0" distL="114300" distR="114300" simplePos="0" relativeHeight="252760064" behindDoc="0" locked="0" layoutInCell="1" allowOverlap="1" wp14:anchorId="177651C7" wp14:editId="5601CBBF">
            <wp:simplePos x="0" y="0"/>
            <wp:positionH relativeFrom="margin">
              <wp:align>center</wp:align>
            </wp:positionH>
            <wp:positionV relativeFrom="paragraph">
              <wp:posOffset>192521</wp:posOffset>
            </wp:positionV>
            <wp:extent cx="8089392" cy="3236976"/>
            <wp:effectExtent l="0" t="0" r="6985" b="1905"/>
            <wp:wrapNone/>
            <wp:docPr id="1813080195" name="Imagen 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080195" name="Imagen 1" descr="Interfaz de usuario gráfica, Aplicación, Tabla&#10;&#10;Descripción generada automáticamente"/>
                    <pic:cNvPicPr/>
                  </pic:nvPicPr>
                  <pic:blipFill>
                    <a:blip r:embed="rId291">
                      <a:extLst>
                        <a:ext uri="{28A0092B-C50C-407E-A947-70E740481C1C}">
                          <a14:useLocalDpi xmlns:a14="http://schemas.microsoft.com/office/drawing/2010/main" val="0"/>
                        </a:ext>
                      </a:extLst>
                    </a:blip>
                    <a:stretch>
                      <a:fillRect/>
                    </a:stretch>
                  </pic:blipFill>
                  <pic:spPr>
                    <a:xfrm>
                      <a:off x="0" y="0"/>
                      <a:ext cx="8089392" cy="3236976"/>
                    </a:xfrm>
                    <a:prstGeom prst="rect">
                      <a:avLst/>
                    </a:prstGeom>
                  </pic:spPr>
                </pic:pic>
              </a:graphicData>
            </a:graphic>
          </wp:anchor>
        </w:drawing>
      </w:r>
      <w:r w:rsidRPr="00B857F8">
        <w:rPr>
          <w:rFonts w:ascii="Calibri" w:eastAsia="Times New Roman" w:hAnsi="Calibri" w:cs="Calibri"/>
          <w:kern w:val="0"/>
          <w:lang w:val="es-ES_tradnl" w:eastAsia="es-CR"/>
          <w14:ligatures w14:val="none"/>
        </w:rPr>
        <w:br w:type="page"/>
      </w:r>
    </w:p>
    <w:p w14:paraId="4F669DDC" w14:textId="77777777" w:rsidR="00B857F8" w:rsidRPr="00B857F8" w:rsidRDefault="00B857F8" w:rsidP="00B857F8">
      <w:pPr>
        <w:jc w:val="center"/>
        <w:rPr>
          <w:rFonts w:ascii="Calibri" w:eastAsia="Times New Roman" w:hAnsi="Calibri" w:cs="Calibri"/>
          <w:kern w:val="0"/>
          <w:lang w:val="es-ES_tradnl" w:eastAsia="es-CR"/>
          <w14:ligatures w14:val="none"/>
        </w:rPr>
      </w:pPr>
      <w:r w:rsidRPr="00B857F8">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61088" behindDoc="0" locked="0" layoutInCell="1" allowOverlap="1" wp14:anchorId="7DF36266" wp14:editId="7D12E188">
                <wp:simplePos x="0" y="0"/>
                <wp:positionH relativeFrom="margin">
                  <wp:align>center</wp:align>
                </wp:positionH>
                <wp:positionV relativeFrom="paragraph">
                  <wp:posOffset>-92075</wp:posOffset>
                </wp:positionV>
                <wp:extent cx="6606540" cy="411480"/>
                <wp:effectExtent l="0" t="0" r="22860" b="26670"/>
                <wp:wrapNone/>
                <wp:docPr id="628452407" name="Cuadro de texto 62845240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37372572" w14:textId="77777777" w:rsidR="00B857F8" w:rsidRPr="00B857F8" w:rsidRDefault="00B857F8" w:rsidP="00B857F8">
                            <w:pPr>
                              <w:jc w:val="center"/>
                              <w:rPr>
                                <w:rFonts w:cs="Calibri"/>
                                <w:bCs/>
                              </w:rPr>
                            </w:pPr>
                            <w:r w:rsidRPr="00B857F8">
                              <w:rPr>
                                <w:rFonts w:cs="Calibri"/>
                                <w:b/>
                              </w:rPr>
                              <w:t>ESCALA DE EVALUACIÓN – EJERCICIO DE TRADUCCIÓN</w:t>
                            </w:r>
                          </w:p>
                          <w:p w14:paraId="59A458E9" w14:textId="77777777" w:rsidR="00B857F8" w:rsidRPr="00B857F8" w:rsidRDefault="00B857F8" w:rsidP="00B857F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36266" id="Cuadro de texto 628452407" o:spid="_x0000_s1146" type="#_x0000_t202" style="position:absolute;left:0;text-align:left;margin-left:0;margin-top:-7.25pt;width:520.2pt;height:32.4pt;z-index:252761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" fillcolor="window" strokeweight=".5pt">
                <v:textbox>
                  <w:txbxContent>
                    <w:p w14:paraId="37372572" w14:textId="77777777" w:rsidR="00B857F8" w:rsidRPr="00B857F8" w:rsidRDefault="00B857F8" w:rsidP="00B857F8">
                      <w:pPr>
                        <w:jc w:val="center"/>
                        <w:rPr>
                          <w:rFonts w:cs="Calibri"/>
                          <w:bCs/>
                        </w:rPr>
                      </w:pPr>
                      <w:r w:rsidRPr="00B857F8">
                        <w:rPr>
                          <w:rFonts w:cs="Calibri"/>
                          <w:b/>
                        </w:rPr>
                        <w:t>ESCALA DE EVALUACIÓN – EJERCICIO DE TRADUCCIÓN</w:t>
                      </w:r>
                    </w:p>
                    <w:p w14:paraId="59A458E9" w14:textId="77777777" w:rsidR="00B857F8" w:rsidRPr="00B857F8" w:rsidRDefault="00B857F8" w:rsidP="00B857F8">
                      <w:pPr>
                        <w:jc w:val="center"/>
                        <w:rPr>
                          <w:rFonts w:cs="Calibri"/>
                        </w:rPr>
                      </w:pPr>
                    </w:p>
                  </w:txbxContent>
                </v:textbox>
                <w10:wrap anchorx="margin"/>
              </v:shape>
            </w:pict>
          </mc:Fallback>
        </mc:AlternateContent>
      </w:r>
    </w:p>
    <w:p w14:paraId="2EC2DFA2"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050A141C" w14:textId="77777777" w:rsidR="00B857F8" w:rsidRPr="00B857F8" w:rsidRDefault="00B857F8" w:rsidP="00B857F8">
      <w:pPr>
        <w:jc w:val="center"/>
        <w:rPr>
          <w:rFonts w:ascii="Calibri" w:eastAsia="Times New Roman" w:hAnsi="Calibri" w:cs="Calibri"/>
          <w:color w:val="0070C0"/>
          <w:kern w:val="0"/>
          <w:lang w:val="es-ES_tradnl" w:eastAsia="es-CR"/>
          <w14:ligatures w14:val="none"/>
        </w:rPr>
      </w:pPr>
      <w:r w:rsidRPr="00B857F8">
        <w:rPr>
          <w:rFonts w:ascii="Calibri" w:eastAsia="Times New Roman" w:hAnsi="Calibri" w:cs="Calibri"/>
          <w:color w:val="0070C0"/>
          <w:kern w:val="0"/>
          <w:lang w:val="es-ES_tradnl" w:eastAsia="es-CR"/>
          <w14:ligatures w14:val="none"/>
        </w:rPr>
        <w:t>Estos ejercicios permitirán que los y las estudiantes hagan una aplicación práctica de lo aprendido en la traducción de textos bíblicos escritos en griego. Se realizan en las sesiones 4, 7 y 9. Cada ejercicio tiene un valor de 5%.</w:t>
      </w:r>
    </w:p>
    <w:p w14:paraId="6EB229DF"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43FD3697" w14:textId="7E394CE9" w:rsidR="00B857F8" w:rsidRPr="00B857F8" w:rsidRDefault="008F0608" w:rsidP="00B857F8">
      <w:pPr>
        <w:jc w:val="center"/>
        <w:rPr>
          <w:rFonts w:ascii="Calibri" w:eastAsia="Times New Roman" w:hAnsi="Calibri" w:cs="Calibri"/>
          <w:kern w:val="0"/>
          <w:lang w:val="es-ES_tradnl" w:eastAsia="es-CR"/>
          <w14:ligatures w14:val="none"/>
        </w:rPr>
      </w:pPr>
      <w:r w:rsidRPr="00B857F8">
        <w:rPr>
          <w:rFonts w:ascii="Calibri" w:eastAsia="Times New Roman" w:hAnsi="Calibri" w:cs="Calibri"/>
          <w:noProof/>
          <w:kern w:val="0"/>
          <w:lang w:val="es-ES_tradnl" w:eastAsia="es-CR"/>
          <w14:ligatures w14:val="none"/>
        </w:rPr>
        <w:drawing>
          <wp:inline distT="0" distB="0" distL="0" distR="0" wp14:anchorId="77488C63" wp14:editId="353EBB02">
            <wp:extent cx="8132064" cy="3255264"/>
            <wp:effectExtent l="0" t="0" r="2540" b="2540"/>
            <wp:docPr id="1631491489" name="Imagen 2"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91489" name="Imagen 2" descr="Interfaz de usuario gráfica, Aplicación, Tabla&#10;&#10;Descripción generada automáticamente"/>
                    <pic:cNvPicPr/>
                  </pic:nvPicPr>
                  <pic:blipFill>
                    <a:blip r:embed="rId292">
                      <a:extLst>
                        <a:ext uri="{28A0092B-C50C-407E-A947-70E740481C1C}">
                          <a14:useLocalDpi xmlns:a14="http://schemas.microsoft.com/office/drawing/2010/main" val="0"/>
                        </a:ext>
                      </a:extLst>
                    </a:blip>
                    <a:stretch>
                      <a:fillRect/>
                    </a:stretch>
                  </pic:blipFill>
                  <pic:spPr>
                    <a:xfrm>
                      <a:off x="0" y="0"/>
                      <a:ext cx="8132064" cy="3255264"/>
                    </a:xfrm>
                    <a:prstGeom prst="rect">
                      <a:avLst/>
                    </a:prstGeom>
                  </pic:spPr>
                </pic:pic>
              </a:graphicData>
            </a:graphic>
          </wp:inline>
        </w:drawing>
      </w:r>
    </w:p>
    <w:p w14:paraId="64240BF4" w14:textId="64EC3D19" w:rsidR="00B857F8" w:rsidRPr="00B857F8" w:rsidRDefault="00B857F8" w:rsidP="00B857F8">
      <w:pPr>
        <w:jc w:val="center"/>
        <w:rPr>
          <w:rFonts w:ascii="Calibri" w:eastAsia="Times New Roman" w:hAnsi="Calibri" w:cs="Calibri"/>
          <w:kern w:val="0"/>
          <w:lang w:val="es-ES_tradnl" w:eastAsia="es-CR"/>
          <w14:ligatures w14:val="none"/>
        </w:rPr>
      </w:pPr>
    </w:p>
    <w:p w14:paraId="55EB8C52"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48730938"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0035849C"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202D114B"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7BFD1BB2"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381C85C2"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39443453" w14:textId="77777777" w:rsidR="00B857F8" w:rsidRPr="00B857F8" w:rsidRDefault="00B857F8" w:rsidP="00B857F8">
      <w:pPr>
        <w:jc w:val="center"/>
        <w:rPr>
          <w:rFonts w:ascii="Calibri" w:eastAsia="Times New Roman" w:hAnsi="Calibri" w:cs="Calibri"/>
          <w:kern w:val="0"/>
          <w:lang w:val="es-ES_tradnl" w:eastAsia="es-CR"/>
          <w14:ligatures w14:val="none"/>
        </w:rPr>
      </w:pPr>
      <w:r w:rsidRPr="00B857F8">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762112" behindDoc="0" locked="0" layoutInCell="1" allowOverlap="1" wp14:anchorId="24A4E719" wp14:editId="65427622">
                <wp:simplePos x="0" y="0"/>
                <wp:positionH relativeFrom="margin">
                  <wp:align>center</wp:align>
                </wp:positionH>
                <wp:positionV relativeFrom="paragraph">
                  <wp:posOffset>0</wp:posOffset>
                </wp:positionV>
                <wp:extent cx="6606540" cy="411480"/>
                <wp:effectExtent l="0" t="0" r="22860" b="26670"/>
                <wp:wrapNone/>
                <wp:docPr id="302743658" name="Cuadro de texto 30274365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0F3BBF6" w14:textId="77777777" w:rsidR="00B857F8" w:rsidRPr="00B857F8" w:rsidRDefault="00B857F8" w:rsidP="00B857F8">
                            <w:pPr>
                              <w:jc w:val="center"/>
                              <w:rPr>
                                <w:rFonts w:cs="Calibri"/>
                                <w:bCs/>
                              </w:rPr>
                            </w:pPr>
                            <w:r w:rsidRPr="00B857F8">
                              <w:rPr>
                                <w:rFonts w:cs="Calibri"/>
                                <w:b/>
                              </w:rPr>
                              <w:t>ESCALA DE EVALUACIÓN – EXÁMEN ESCRITO</w:t>
                            </w:r>
                          </w:p>
                          <w:p w14:paraId="717E939F" w14:textId="77777777" w:rsidR="00B857F8" w:rsidRPr="00B857F8" w:rsidRDefault="00B857F8" w:rsidP="00B857F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4E719" id="Cuadro de texto 302743658" o:spid="_x0000_s1147" type="#_x0000_t202" style="position:absolute;left:0;text-align:left;margin-left:0;margin-top:0;width:520.2pt;height:32.4pt;z-index:252762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" fillcolor="window" strokeweight=".5pt">
                <v:textbox>
                  <w:txbxContent>
                    <w:p w14:paraId="10F3BBF6" w14:textId="77777777" w:rsidR="00B857F8" w:rsidRPr="00B857F8" w:rsidRDefault="00B857F8" w:rsidP="00B857F8">
                      <w:pPr>
                        <w:jc w:val="center"/>
                        <w:rPr>
                          <w:rFonts w:cs="Calibri"/>
                          <w:bCs/>
                        </w:rPr>
                      </w:pPr>
                      <w:r w:rsidRPr="00B857F8">
                        <w:rPr>
                          <w:rFonts w:cs="Calibri"/>
                          <w:b/>
                        </w:rPr>
                        <w:t>ESCALA DE EVALUACIÓN – EXÁMEN ESCRITO</w:t>
                      </w:r>
                    </w:p>
                    <w:p w14:paraId="717E939F" w14:textId="77777777" w:rsidR="00B857F8" w:rsidRPr="00B857F8" w:rsidRDefault="00B857F8" w:rsidP="00B857F8">
                      <w:pPr>
                        <w:jc w:val="center"/>
                        <w:rPr>
                          <w:rFonts w:cs="Calibri"/>
                        </w:rPr>
                      </w:pPr>
                    </w:p>
                  </w:txbxContent>
                </v:textbox>
                <w10:wrap anchorx="margin"/>
              </v:shape>
            </w:pict>
          </mc:Fallback>
        </mc:AlternateContent>
      </w:r>
    </w:p>
    <w:p w14:paraId="08982D9F"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511ADB97" w14:textId="77777777" w:rsidR="00B857F8" w:rsidRPr="00B857F8" w:rsidRDefault="00B857F8" w:rsidP="00B857F8">
      <w:pPr>
        <w:jc w:val="center"/>
        <w:rPr>
          <w:rFonts w:ascii="Calibri" w:eastAsia="Times New Roman" w:hAnsi="Calibri" w:cs="Calibri"/>
          <w:color w:val="0070C0"/>
          <w:kern w:val="0"/>
          <w:lang w:val="es-ES_tradnl" w:eastAsia="es-CR"/>
          <w14:ligatures w14:val="none"/>
        </w:rPr>
      </w:pPr>
      <w:r w:rsidRPr="00B857F8">
        <w:rPr>
          <w:rFonts w:ascii="Calibri" w:eastAsia="Times New Roman" w:hAnsi="Calibri" w:cs="Calibri"/>
          <w:color w:val="0070C0"/>
          <w:kern w:val="0"/>
          <w:lang w:val="es-ES_tradnl" w:eastAsia="es-CR"/>
          <w14:ligatures w14:val="none"/>
        </w:rPr>
        <w:t>Los exámenes escritos valorarán de forma acumulativa los aprendizajes y las competencias desarrolladas a lo largo del curso. Se llevan a cabo en las sesiones 6 y 15. Cada examen tiene un valor de 25%.</w:t>
      </w:r>
    </w:p>
    <w:p w14:paraId="0E671DDB" w14:textId="108EC19D" w:rsidR="00B857F8" w:rsidRPr="00B857F8" w:rsidRDefault="00306301" w:rsidP="00B857F8">
      <w:pPr>
        <w:jc w:val="center"/>
        <w:rPr>
          <w:rFonts w:ascii="Calibri" w:eastAsia="Times New Roman" w:hAnsi="Calibri" w:cs="Calibri"/>
          <w:kern w:val="0"/>
          <w:lang w:val="es-ES_tradnl" w:eastAsia="es-CR"/>
          <w14:ligatures w14:val="none"/>
        </w:rPr>
      </w:pPr>
      <w:r w:rsidRPr="00B857F8">
        <w:rPr>
          <w:rFonts w:ascii="Calibri" w:eastAsia="Times New Roman" w:hAnsi="Calibri" w:cs="Calibri"/>
          <w:noProof/>
          <w:kern w:val="0"/>
          <w:lang w:val="es-ES_tradnl" w:eastAsia="es-CR"/>
          <w14:ligatures w14:val="none"/>
        </w:rPr>
        <w:drawing>
          <wp:inline distT="0" distB="0" distL="0" distR="0" wp14:anchorId="4FA66AD7" wp14:editId="3E5DACE5">
            <wp:extent cx="8193024" cy="3255264"/>
            <wp:effectExtent l="0" t="0" r="0" b="2540"/>
            <wp:docPr id="677410079" name="Imagen 3"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410079" name="Imagen 3" descr="Interfaz de usuario gráfica, Aplicación, Tabla&#10;&#10;Descripción generada automáticamente"/>
                    <pic:cNvPicPr/>
                  </pic:nvPicPr>
                  <pic:blipFill>
                    <a:blip r:embed="rId293">
                      <a:extLst>
                        <a:ext uri="{28A0092B-C50C-407E-A947-70E740481C1C}">
                          <a14:useLocalDpi xmlns:a14="http://schemas.microsoft.com/office/drawing/2010/main" val="0"/>
                        </a:ext>
                      </a:extLst>
                    </a:blip>
                    <a:stretch>
                      <a:fillRect/>
                    </a:stretch>
                  </pic:blipFill>
                  <pic:spPr>
                    <a:xfrm>
                      <a:off x="0" y="0"/>
                      <a:ext cx="8193024" cy="3255264"/>
                    </a:xfrm>
                    <a:prstGeom prst="rect">
                      <a:avLst/>
                    </a:prstGeom>
                  </pic:spPr>
                </pic:pic>
              </a:graphicData>
            </a:graphic>
          </wp:inline>
        </w:drawing>
      </w:r>
    </w:p>
    <w:p w14:paraId="24F1008D"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4CAED838" w14:textId="5F8B9929" w:rsidR="00B857F8" w:rsidRPr="00B857F8" w:rsidRDefault="00B857F8" w:rsidP="00B857F8">
      <w:pPr>
        <w:jc w:val="center"/>
        <w:rPr>
          <w:rFonts w:ascii="Calibri" w:eastAsia="Times New Roman" w:hAnsi="Calibri" w:cs="Calibri"/>
          <w:kern w:val="0"/>
          <w:lang w:val="es-ES_tradnl" w:eastAsia="es-CR"/>
          <w14:ligatures w14:val="none"/>
        </w:rPr>
      </w:pPr>
    </w:p>
    <w:p w14:paraId="6AA9C29E"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0D9C2548"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3A4EF4A0"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020B842E"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0EDA9B53"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738584FC"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644BB37A" w14:textId="77777777" w:rsidR="00B857F8" w:rsidRPr="00B857F8" w:rsidRDefault="00B857F8" w:rsidP="00B857F8">
      <w:pPr>
        <w:jc w:val="center"/>
        <w:rPr>
          <w:rFonts w:ascii="Calibri" w:eastAsia="Times New Roman" w:hAnsi="Calibri" w:cs="Calibri"/>
          <w:b/>
          <w:bCs/>
          <w:kern w:val="0"/>
          <w:lang w:val="es-ES_tradnl" w:eastAsia="es-CR"/>
          <w14:ligatures w14:val="none"/>
        </w:rPr>
      </w:pPr>
      <w:r w:rsidRPr="00B857F8">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763136" behindDoc="0" locked="0" layoutInCell="1" allowOverlap="1" wp14:anchorId="343489E7" wp14:editId="5E9B2A79">
                <wp:simplePos x="0" y="0"/>
                <wp:positionH relativeFrom="margin">
                  <wp:align>center</wp:align>
                </wp:positionH>
                <wp:positionV relativeFrom="paragraph">
                  <wp:posOffset>-318</wp:posOffset>
                </wp:positionV>
                <wp:extent cx="6606540" cy="411480"/>
                <wp:effectExtent l="0" t="0" r="22860" b="26670"/>
                <wp:wrapNone/>
                <wp:docPr id="6809102" name="Cuadro de texto 6809102"/>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FF23100" w14:textId="77777777" w:rsidR="00B857F8" w:rsidRPr="00B857F8" w:rsidRDefault="00B857F8" w:rsidP="00B857F8">
                            <w:pPr>
                              <w:jc w:val="center"/>
                              <w:rPr>
                                <w:rFonts w:cs="Calibri"/>
                                <w:bCs/>
                              </w:rPr>
                            </w:pPr>
                            <w:r w:rsidRPr="00B857F8">
                              <w:rPr>
                                <w:rFonts w:cs="Calibri"/>
                                <w:b/>
                              </w:rPr>
                              <w:t>ESCALA DE EVALUACIÓN – EXAMEN DE LECTURA</w:t>
                            </w:r>
                          </w:p>
                          <w:p w14:paraId="294E98C1" w14:textId="77777777" w:rsidR="00B857F8" w:rsidRPr="00B857F8" w:rsidRDefault="00B857F8" w:rsidP="00B857F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489E7" id="Cuadro de texto 6809102" o:spid="_x0000_s1148" type="#_x0000_t202" style="position:absolute;left:0;text-align:left;margin-left:0;margin-top:-.05pt;width:520.2pt;height:32.4pt;z-index:252763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" fillcolor="window" strokeweight=".5pt">
                <v:textbox>
                  <w:txbxContent>
                    <w:p w14:paraId="1FF23100" w14:textId="77777777" w:rsidR="00B857F8" w:rsidRPr="00B857F8" w:rsidRDefault="00B857F8" w:rsidP="00B857F8">
                      <w:pPr>
                        <w:jc w:val="center"/>
                        <w:rPr>
                          <w:rFonts w:cs="Calibri"/>
                          <w:bCs/>
                        </w:rPr>
                      </w:pPr>
                      <w:r w:rsidRPr="00B857F8">
                        <w:rPr>
                          <w:rFonts w:cs="Calibri"/>
                          <w:b/>
                        </w:rPr>
                        <w:t>ESCALA DE EVALUACIÓN – EXAMEN DE LECTURA</w:t>
                      </w:r>
                    </w:p>
                    <w:p w14:paraId="294E98C1" w14:textId="77777777" w:rsidR="00B857F8" w:rsidRPr="00B857F8" w:rsidRDefault="00B857F8" w:rsidP="00B857F8">
                      <w:pPr>
                        <w:jc w:val="center"/>
                        <w:rPr>
                          <w:rFonts w:cs="Calibri"/>
                        </w:rPr>
                      </w:pPr>
                    </w:p>
                  </w:txbxContent>
                </v:textbox>
                <w10:wrap anchorx="margin"/>
              </v:shape>
            </w:pict>
          </mc:Fallback>
        </mc:AlternateContent>
      </w:r>
    </w:p>
    <w:p w14:paraId="473139F1" w14:textId="77777777" w:rsidR="00B857F8" w:rsidRPr="00B857F8" w:rsidRDefault="00B857F8" w:rsidP="00B857F8">
      <w:pPr>
        <w:jc w:val="center"/>
        <w:rPr>
          <w:rFonts w:ascii="Calibri" w:eastAsia="Times New Roman" w:hAnsi="Calibri" w:cs="Calibri"/>
          <w:b/>
          <w:bCs/>
          <w:kern w:val="0"/>
          <w:lang w:val="es-ES_tradnl" w:eastAsia="es-CR"/>
          <w14:ligatures w14:val="none"/>
        </w:rPr>
      </w:pPr>
    </w:p>
    <w:p w14:paraId="4688BE99" w14:textId="77777777" w:rsidR="00B857F8" w:rsidRPr="00B857F8" w:rsidRDefault="00B857F8" w:rsidP="00B857F8">
      <w:pPr>
        <w:jc w:val="center"/>
        <w:rPr>
          <w:rFonts w:ascii="Calibri" w:eastAsia="Times New Roman" w:hAnsi="Calibri" w:cs="Calibri"/>
          <w:color w:val="0070C0"/>
          <w:kern w:val="0"/>
          <w:lang w:val="es-ES_tradnl" w:eastAsia="es-CR"/>
          <w14:ligatures w14:val="none"/>
        </w:rPr>
      </w:pPr>
      <w:r w:rsidRPr="00B857F8">
        <w:rPr>
          <w:rFonts w:ascii="Calibri" w:eastAsia="Times New Roman" w:hAnsi="Calibri" w:cs="Calibri"/>
          <w:color w:val="0070C0"/>
          <w:kern w:val="0"/>
          <w:lang w:val="es-ES_tradnl" w:eastAsia="es-CR"/>
          <w14:ligatures w14:val="none"/>
        </w:rPr>
        <w:t>El examen de lectura se desarrollará en las últimas dos sesiones del curso en un encuentro sincrónico virtual convenido entre la persona docente y la persona estudiante. Se realiza en las sesiones 14 y 15. Tiene un valor de 20%.</w:t>
      </w:r>
    </w:p>
    <w:p w14:paraId="0704CA94"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5DDC3ED2" w14:textId="20E3BFCD" w:rsidR="00B857F8" w:rsidRPr="00B857F8" w:rsidRDefault="00306301" w:rsidP="00B857F8">
      <w:pPr>
        <w:jc w:val="center"/>
        <w:rPr>
          <w:rFonts w:ascii="Calibri" w:eastAsia="Times New Roman" w:hAnsi="Calibri" w:cs="Calibri"/>
          <w:kern w:val="0"/>
          <w:lang w:val="es-ES_tradnl" w:eastAsia="es-CR"/>
          <w14:ligatures w14:val="none"/>
        </w:rPr>
      </w:pPr>
      <w:r w:rsidRPr="00B857F8">
        <w:rPr>
          <w:rFonts w:ascii="Calibri" w:eastAsia="Times New Roman" w:hAnsi="Calibri" w:cs="Calibri"/>
          <w:noProof/>
          <w:kern w:val="0"/>
          <w:lang w:val="es-ES_tradnl" w:eastAsia="es-CR"/>
          <w14:ligatures w14:val="none"/>
        </w:rPr>
        <w:drawing>
          <wp:anchor distT="0" distB="0" distL="114300" distR="114300" simplePos="0" relativeHeight="252764160" behindDoc="0" locked="0" layoutInCell="1" allowOverlap="1" wp14:anchorId="01B94FB5" wp14:editId="00C4CE8C">
            <wp:simplePos x="0" y="0"/>
            <wp:positionH relativeFrom="column">
              <wp:posOffset>486641</wp:posOffset>
            </wp:positionH>
            <wp:positionV relativeFrom="paragraph">
              <wp:posOffset>106911</wp:posOffset>
            </wp:positionV>
            <wp:extent cx="8119872" cy="3261360"/>
            <wp:effectExtent l="0" t="0" r="0" b="0"/>
            <wp:wrapNone/>
            <wp:docPr id="1247766842" name="Imagen 4"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766842" name="Imagen 4" descr="Interfaz de usuario gráfica, Aplicación, Tabla&#10;&#10;Descripción generada automáticamente"/>
                    <pic:cNvPicPr/>
                  </pic:nvPicPr>
                  <pic:blipFill>
                    <a:blip r:embed="rId294">
                      <a:extLst>
                        <a:ext uri="{28A0092B-C50C-407E-A947-70E740481C1C}">
                          <a14:useLocalDpi xmlns:a14="http://schemas.microsoft.com/office/drawing/2010/main" val="0"/>
                        </a:ext>
                      </a:extLst>
                    </a:blip>
                    <a:stretch>
                      <a:fillRect/>
                    </a:stretch>
                  </pic:blipFill>
                  <pic:spPr>
                    <a:xfrm>
                      <a:off x="0" y="0"/>
                      <a:ext cx="8119872" cy="3261360"/>
                    </a:xfrm>
                    <a:prstGeom prst="rect">
                      <a:avLst/>
                    </a:prstGeom>
                  </pic:spPr>
                </pic:pic>
              </a:graphicData>
            </a:graphic>
          </wp:anchor>
        </w:drawing>
      </w:r>
    </w:p>
    <w:p w14:paraId="6562DAD3" w14:textId="5B929179" w:rsidR="00B857F8" w:rsidRPr="00B857F8" w:rsidRDefault="00B857F8" w:rsidP="00B857F8">
      <w:pPr>
        <w:jc w:val="center"/>
        <w:rPr>
          <w:rFonts w:ascii="Calibri" w:eastAsia="Times New Roman" w:hAnsi="Calibri" w:cs="Calibri"/>
          <w:kern w:val="0"/>
          <w:lang w:val="es-ES_tradnl" w:eastAsia="es-CR"/>
          <w14:ligatures w14:val="none"/>
        </w:rPr>
      </w:pPr>
    </w:p>
    <w:p w14:paraId="1C71B702" w14:textId="77777777" w:rsidR="00B857F8" w:rsidRPr="00B857F8" w:rsidRDefault="00B857F8" w:rsidP="00B857F8">
      <w:pPr>
        <w:jc w:val="center"/>
        <w:rPr>
          <w:rFonts w:ascii="Calibri" w:eastAsia="Times New Roman" w:hAnsi="Calibri" w:cs="Calibri"/>
          <w:kern w:val="0"/>
          <w:lang w:val="es-ES_tradnl" w:eastAsia="es-CR"/>
          <w14:ligatures w14:val="none"/>
        </w:rPr>
      </w:pPr>
    </w:p>
    <w:p w14:paraId="51867FD9" w14:textId="77777777" w:rsidR="00B857F8" w:rsidRPr="00B857F8" w:rsidRDefault="00B857F8" w:rsidP="00B857F8">
      <w:pPr>
        <w:jc w:val="center"/>
        <w:rPr>
          <w:rFonts w:ascii="Calibri" w:eastAsia="Times New Roman" w:hAnsi="Calibri" w:cs="Calibri"/>
          <w:kern w:val="0"/>
          <w:lang w:val="es-ES_tradnl" w:eastAsia="es-CR"/>
          <w14:ligatures w14:val="none"/>
        </w:rPr>
      </w:pPr>
      <w:r w:rsidRPr="00B857F8">
        <w:rPr>
          <w:rFonts w:ascii="Calibri" w:eastAsia="Times New Roman" w:hAnsi="Calibri" w:cs="Calibri"/>
          <w:kern w:val="0"/>
          <w:lang w:val="es-ES_tradnl" w:eastAsia="es-CR"/>
          <w14:ligatures w14:val="none"/>
        </w:rPr>
        <w:br w:type="page"/>
      </w:r>
    </w:p>
    <w:p w14:paraId="2FE3838C" w14:textId="77777777" w:rsidR="00B857F8" w:rsidRPr="00B857F8" w:rsidRDefault="00B857F8" w:rsidP="00B857F8">
      <w:pPr>
        <w:rPr>
          <w:rFonts w:ascii="Calibri" w:eastAsia="Times New Roman" w:hAnsi="Calibri" w:cs="Calibri"/>
          <w:b/>
          <w:bCs/>
          <w:kern w:val="0"/>
          <w:lang w:val="es-ES_tradnl" w:eastAsia="es-CR"/>
          <w14:ligatures w14:val="none"/>
        </w:rPr>
        <w:sectPr w:rsidR="00B857F8" w:rsidRPr="00B857F8" w:rsidSect="00B857F8">
          <w:pgSz w:w="15840" w:h="12240" w:orient="landscape"/>
          <w:pgMar w:top="720" w:right="720" w:bottom="720" w:left="720" w:header="709" w:footer="709" w:gutter="0"/>
          <w:cols w:space="708"/>
          <w:docGrid w:linePitch="360"/>
        </w:sectPr>
      </w:pPr>
    </w:p>
    <w:p w14:paraId="463A51EC" w14:textId="77777777" w:rsidR="00B857F8" w:rsidRPr="00B857F8" w:rsidRDefault="00B857F8" w:rsidP="00B857F8">
      <w:pPr>
        <w:rPr>
          <w:rFonts w:ascii="Calibri" w:eastAsia="Times New Roman" w:hAnsi="Calibri" w:cs="Calibri"/>
          <w:b/>
          <w:bCs/>
          <w:kern w:val="0"/>
          <w:lang w:val="es-ES_tradnl" w:eastAsia="es-CR"/>
          <w14:ligatures w14:val="none"/>
        </w:rPr>
      </w:pPr>
      <w:r w:rsidRPr="00B857F8">
        <w:rPr>
          <w:rFonts w:ascii="Calibri" w:eastAsia="Times New Roman" w:hAnsi="Calibri" w:cs="Calibri"/>
          <w:b/>
          <w:bCs/>
          <w:kern w:val="0"/>
          <w:lang w:val="es-ES_tradnl" w:eastAsia="es-CR"/>
          <w14:ligatures w14:val="none"/>
        </w:rPr>
        <w:lastRenderedPageBreak/>
        <w:t>XI. Bibliografía obligatoria</w:t>
      </w:r>
    </w:p>
    <w:p w14:paraId="4665B030" w14:textId="77777777" w:rsidR="00B857F8" w:rsidRPr="00B857F8" w:rsidRDefault="00B857F8" w:rsidP="00B857F8">
      <w:pPr>
        <w:jc w:val="both"/>
        <w:rPr>
          <w:rFonts w:ascii="Calibri" w:eastAsia="Times New Roman" w:hAnsi="Calibri" w:cs="Arial"/>
          <w:bCs/>
          <w:color w:val="000000"/>
          <w:kern w:val="0"/>
          <w:lang w:eastAsia="es-CR"/>
          <w14:ligatures w14:val="none"/>
        </w:rPr>
      </w:pPr>
      <w:r w:rsidRPr="00B857F8">
        <w:rPr>
          <w:rFonts w:ascii="Calibri" w:eastAsia="Times New Roman" w:hAnsi="Calibri" w:cs="Arial"/>
          <w:b/>
          <w:color w:val="000000"/>
          <w:kern w:val="0"/>
          <w:lang w:eastAsia="es-CR"/>
          <w14:ligatures w14:val="none"/>
        </w:rPr>
        <w:t>Nota:</w:t>
      </w:r>
      <w:r w:rsidRPr="00B857F8">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B857F8">
        <w:rPr>
          <w:rFonts w:ascii="Calibri" w:eastAsia="Times New Roman" w:hAnsi="Calibri" w:cs="Arial"/>
          <w:bCs/>
          <w:color w:val="000000"/>
          <w:kern w:val="0"/>
          <w:lang w:eastAsia="es-CR"/>
          <w14:ligatures w14:val="none"/>
        </w:rPr>
        <w:t>pdf</w:t>
      </w:r>
      <w:proofErr w:type="spellEnd"/>
      <w:r w:rsidRPr="00B857F8">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4624F907" w14:textId="77777777" w:rsidR="00B857F8" w:rsidRPr="00B857F8" w:rsidRDefault="00B857F8" w:rsidP="00B857F8">
      <w:pPr>
        <w:widowControl w:val="0"/>
        <w:overflowPunct w:val="0"/>
        <w:autoSpaceDE w:val="0"/>
        <w:autoSpaceDN w:val="0"/>
        <w:adjustRightInd w:val="0"/>
        <w:spacing w:before="120" w:after="120" w:line="240" w:lineRule="auto"/>
        <w:ind w:left="709" w:right="51" w:hanging="709"/>
        <w:jc w:val="both"/>
        <w:rPr>
          <w:rFonts w:ascii="Calibri" w:eastAsia="Times New Roman" w:hAnsi="Calibri" w:cs="Calibri"/>
          <w:kern w:val="0"/>
          <w:szCs w:val="18"/>
          <w:lang w:val="es-ES_tradnl" w:eastAsia="es-CR"/>
          <w14:ligatures w14:val="none"/>
        </w:rPr>
      </w:pPr>
      <w:r w:rsidRPr="00B857F8">
        <w:rPr>
          <w:rFonts w:ascii="Calibri" w:eastAsia="Times New Roman" w:hAnsi="Calibri" w:cs="Calibri"/>
          <w:kern w:val="0"/>
          <w:szCs w:val="18"/>
          <w:lang w:val="es-ES_tradnl" w:eastAsia="es-CR"/>
          <w14:ligatures w14:val="none"/>
        </w:rPr>
        <w:t xml:space="preserve">Delgado, Inmaculada. </w:t>
      </w:r>
      <w:r w:rsidRPr="00B857F8">
        <w:rPr>
          <w:rFonts w:ascii="Calibri" w:eastAsia="Times New Roman" w:hAnsi="Calibri" w:cs="Calibri"/>
          <w:i/>
          <w:iCs/>
          <w:kern w:val="0"/>
          <w:szCs w:val="18"/>
          <w:lang w:val="es-ES_tradnl" w:eastAsia="es-CR"/>
          <w14:ligatures w14:val="none"/>
        </w:rPr>
        <w:t>Gramática griega del Nuevo Testamento: I. Morfología</w:t>
      </w:r>
      <w:r w:rsidRPr="00B857F8">
        <w:rPr>
          <w:rFonts w:ascii="Calibri" w:eastAsia="Times New Roman" w:hAnsi="Calibri" w:cs="Calibri"/>
          <w:kern w:val="0"/>
          <w:szCs w:val="18"/>
          <w:lang w:val="es-ES_tradnl" w:eastAsia="es-CR"/>
          <w14:ligatures w14:val="none"/>
        </w:rPr>
        <w:t>. Estella: Verbo Divino, 2013. (</w:t>
      </w:r>
      <w:r w:rsidRPr="00B857F8">
        <w:rPr>
          <w:rFonts w:ascii="Calibri" w:eastAsia="Times New Roman" w:hAnsi="Calibri" w:cs="Calibri"/>
          <w:color w:val="0070C0"/>
          <w:kern w:val="0"/>
          <w:szCs w:val="18"/>
          <w:lang w:val="es-ES_tradnl" w:eastAsia="es-CR"/>
          <w14:ligatures w14:val="none"/>
        </w:rPr>
        <w:t>clásico</w:t>
      </w:r>
      <w:r w:rsidRPr="00B857F8">
        <w:rPr>
          <w:rFonts w:ascii="Calibri" w:eastAsia="Times New Roman" w:hAnsi="Calibri" w:cs="Calibri"/>
          <w:kern w:val="0"/>
          <w:szCs w:val="18"/>
          <w:lang w:val="es-ES_tradnl" w:eastAsia="es-CR"/>
          <w14:ligatures w14:val="none"/>
        </w:rPr>
        <w:t>, última edición)</w:t>
      </w:r>
    </w:p>
    <w:p w14:paraId="13726859" w14:textId="77777777" w:rsidR="00B857F8" w:rsidRPr="00B857F8" w:rsidRDefault="00B857F8" w:rsidP="00B857F8">
      <w:pPr>
        <w:widowControl w:val="0"/>
        <w:overflowPunct w:val="0"/>
        <w:autoSpaceDE w:val="0"/>
        <w:autoSpaceDN w:val="0"/>
        <w:adjustRightInd w:val="0"/>
        <w:spacing w:before="120" w:after="120" w:line="240" w:lineRule="auto"/>
        <w:ind w:left="709" w:right="51" w:hanging="709"/>
        <w:jc w:val="both"/>
        <w:rPr>
          <w:rFonts w:ascii="Calibri" w:eastAsia="Times New Roman" w:hAnsi="Calibri" w:cs="Arial"/>
          <w:kern w:val="0"/>
          <w:lang w:val="es-ES" w:eastAsia="es-CR"/>
          <w14:ligatures w14:val="none"/>
        </w:rPr>
      </w:pPr>
      <w:proofErr w:type="spellStart"/>
      <w:r w:rsidRPr="00B857F8">
        <w:rPr>
          <w:rFonts w:ascii="Calibri" w:eastAsia="Times New Roman" w:hAnsi="Calibri" w:cs="Arial"/>
          <w:color w:val="000000"/>
          <w:kern w:val="0"/>
          <w:lang w:val="es-ES" w:eastAsia="es-CR"/>
          <w14:ligatures w14:val="none"/>
        </w:rPr>
        <w:t>Foulkes</w:t>
      </w:r>
      <w:proofErr w:type="spellEnd"/>
      <w:r w:rsidRPr="00B857F8">
        <w:rPr>
          <w:rFonts w:ascii="Calibri" w:eastAsia="Times New Roman" w:hAnsi="Calibri" w:cs="Arial"/>
          <w:color w:val="000000"/>
          <w:kern w:val="0"/>
          <w:lang w:val="es-ES" w:eastAsia="es-CR"/>
          <w14:ligatures w14:val="none"/>
        </w:rPr>
        <w:t xml:space="preserve">, Irene. </w:t>
      </w:r>
      <w:r w:rsidRPr="00B857F8">
        <w:rPr>
          <w:rFonts w:ascii="Calibri" w:eastAsia="Times New Roman" w:hAnsi="Calibri" w:cs="Arial"/>
          <w:i/>
          <w:iCs/>
          <w:color w:val="000000"/>
          <w:kern w:val="0"/>
          <w:lang w:val="es-ES" w:eastAsia="es-CR"/>
          <w14:ligatures w14:val="none"/>
        </w:rPr>
        <w:t>El griego del Nuevo Testamento: texto programado</w:t>
      </w:r>
      <w:r w:rsidRPr="00B857F8">
        <w:rPr>
          <w:rFonts w:ascii="Calibri" w:eastAsia="Times New Roman" w:hAnsi="Calibri" w:cs="Arial"/>
          <w:color w:val="000000"/>
          <w:kern w:val="0"/>
          <w:lang w:val="es-ES" w:eastAsia="es-CR"/>
          <w14:ligatures w14:val="none"/>
        </w:rPr>
        <w:t xml:space="preserve">. San José: Universidad Bíblica Latinoamericana, 2010. </w:t>
      </w:r>
      <w:r w:rsidRPr="00B857F8">
        <w:rPr>
          <w:rFonts w:ascii="Calibri" w:eastAsia="Times New Roman" w:hAnsi="Calibri" w:cs="Arial"/>
          <w:kern w:val="0"/>
          <w:lang w:val="es-ES" w:eastAsia="es-CR"/>
          <w14:ligatures w14:val="none"/>
        </w:rPr>
        <w:t>(</w:t>
      </w:r>
      <w:r w:rsidRPr="00B857F8">
        <w:rPr>
          <w:rFonts w:ascii="Calibri" w:eastAsia="Times New Roman" w:hAnsi="Calibri" w:cs="Arial"/>
          <w:color w:val="0070C0"/>
          <w:kern w:val="0"/>
          <w:lang w:val="es-ES" w:eastAsia="es-CR"/>
          <w14:ligatures w14:val="none"/>
        </w:rPr>
        <w:t xml:space="preserve">clásico, </w:t>
      </w:r>
      <w:r w:rsidRPr="00B857F8">
        <w:rPr>
          <w:rFonts w:ascii="Calibri" w:eastAsia="Times New Roman" w:hAnsi="Calibri" w:cs="Arial"/>
          <w:kern w:val="0"/>
          <w:lang w:val="es-ES" w:eastAsia="es-CR"/>
          <w14:ligatures w14:val="none"/>
        </w:rPr>
        <w:t>última edición)</w:t>
      </w:r>
    </w:p>
    <w:p w14:paraId="2719D9E7" w14:textId="77777777" w:rsidR="00B857F8" w:rsidRPr="00B857F8" w:rsidRDefault="00B857F8" w:rsidP="00B857F8">
      <w:pPr>
        <w:widowControl w:val="0"/>
        <w:overflowPunct w:val="0"/>
        <w:autoSpaceDE w:val="0"/>
        <w:autoSpaceDN w:val="0"/>
        <w:adjustRightInd w:val="0"/>
        <w:spacing w:before="120" w:after="120" w:line="240" w:lineRule="auto"/>
        <w:ind w:left="709" w:right="51" w:hanging="709"/>
        <w:jc w:val="both"/>
        <w:rPr>
          <w:rFonts w:ascii="Calibri" w:eastAsia="Times New Roman" w:hAnsi="Calibri" w:cs="Calibri"/>
          <w:kern w:val="0"/>
          <w:szCs w:val="18"/>
          <w:lang w:val="es-ES_tradnl" w:eastAsia="es-CR"/>
          <w14:ligatures w14:val="none"/>
        </w:rPr>
      </w:pPr>
    </w:p>
    <w:p w14:paraId="25C935E8" w14:textId="77777777" w:rsidR="00B857F8" w:rsidRPr="00B857F8" w:rsidRDefault="00B857F8" w:rsidP="00B857F8">
      <w:pPr>
        <w:widowControl w:val="0"/>
        <w:overflowPunct w:val="0"/>
        <w:autoSpaceDE w:val="0"/>
        <w:autoSpaceDN w:val="0"/>
        <w:adjustRightInd w:val="0"/>
        <w:spacing w:before="120" w:after="120" w:line="240" w:lineRule="auto"/>
        <w:ind w:left="539" w:right="-431" w:hanging="539"/>
        <w:rPr>
          <w:rFonts w:ascii="Calibri" w:eastAsia="Times New Roman" w:hAnsi="Calibri" w:cs="Calibri"/>
          <w:b/>
          <w:bCs/>
          <w:color w:val="000000"/>
          <w:kern w:val="0"/>
          <w:szCs w:val="18"/>
          <w:lang w:val="es-ES_tradnl" w:eastAsia="es-CR"/>
          <w14:ligatures w14:val="none"/>
        </w:rPr>
      </w:pPr>
      <w:r w:rsidRPr="00B857F8">
        <w:rPr>
          <w:rFonts w:ascii="Calibri" w:eastAsia="Times New Roman" w:hAnsi="Calibri" w:cs="Calibri"/>
          <w:b/>
          <w:bCs/>
          <w:color w:val="000000"/>
          <w:kern w:val="0"/>
          <w:szCs w:val="18"/>
          <w:lang w:val="es-ES_tradnl" w:eastAsia="es-CR"/>
          <w14:ligatures w14:val="none"/>
        </w:rPr>
        <w:t>XII. Bibliografía complementaria</w:t>
      </w:r>
    </w:p>
    <w:p w14:paraId="3325C798" w14:textId="77777777" w:rsidR="00B857F8" w:rsidRPr="00B857F8" w:rsidRDefault="00B857F8" w:rsidP="00B857F8">
      <w:pPr>
        <w:widowControl w:val="0"/>
        <w:overflowPunct w:val="0"/>
        <w:autoSpaceDE w:val="0"/>
        <w:autoSpaceDN w:val="0"/>
        <w:adjustRightInd w:val="0"/>
        <w:spacing w:before="120" w:after="120" w:line="240" w:lineRule="auto"/>
        <w:ind w:right="-431"/>
        <w:jc w:val="both"/>
        <w:rPr>
          <w:rFonts w:ascii="Calibri" w:eastAsia="Times New Roman" w:hAnsi="Calibri" w:cs="Arial"/>
          <w:bCs/>
          <w:color w:val="000000"/>
          <w:kern w:val="0"/>
          <w:lang w:eastAsia="es-CR"/>
          <w14:ligatures w14:val="none"/>
        </w:rPr>
      </w:pPr>
      <w:r w:rsidRPr="00B857F8">
        <w:rPr>
          <w:rFonts w:ascii="Calibri" w:eastAsia="Times New Roman" w:hAnsi="Calibri" w:cs="Arial"/>
          <w:b/>
          <w:color w:val="000000"/>
          <w:kern w:val="0"/>
          <w:lang w:eastAsia="es-CR"/>
          <w14:ligatures w14:val="none"/>
        </w:rPr>
        <w:t>Nota:</w:t>
      </w:r>
      <w:r w:rsidRPr="00B857F8">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B857F8">
        <w:rPr>
          <w:rFonts w:ascii="Calibri" w:eastAsia="Times New Roman" w:hAnsi="Calibri" w:cs="Arial"/>
          <w:bCs/>
          <w:color w:val="000000"/>
          <w:kern w:val="0"/>
          <w:lang w:eastAsia="es-CR"/>
          <w14:ligatures w14:val="none"/>
        </w:rPr>
        <w:t>pdf</w:t>
      </w:r>
      <w:proofErr w:type="spellEnd"/>
      <w:r w:rsidRPr="00B857F8">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4B66E28B" w14:textId="77777777" w:rsidR="00B857F8" w:rsidRPr="00B857F8" w:rsidRDefault="00B857F8" w:rsidP="00B857F8">
      <w:pPr>
        <w:widowControl w:val="0"/>
        <w:overflowPunct w:val="0"/>
        <w:autoSpaceDE w:val="0"/>
        <w:autoSpaceDN w:val="0"/>
        <w:adjustRightInd w:val="0"/>
        <w:spacing w:before="120" w:after="120" w:line="240" w:lineRule="auto"/>
        <w:ind w:left="709" w:right="-431" w:hanging="709"/>
        <w:jc w:val="both"/>
        <w:rPr>
          <w:rFonts w:ascii="Calibri" w:eastAsia="Times New Roman" w:hAnsi="Calibri" w:cs="Calibri"/>
          <w:color w:val="000000"/>
          <w:kern w:val="0"/>
          <w:lang w:val="es-ES_tradnl" w:eastAsia="es-CR"/>
          <w14:ligatures w14:val="none"/>
        </w:rPr>
      </w:pPr>
      <w:r w:rsidRPr="00B857F8">
        <w:rPr>
          <w:rFonts w:ascii="Calibri" w:eastAsia="Times New Roman" w:hAnsi="Calibri" w:cs="Calibri"/>
          <w:color w:val="000000"/>
          <w:kern w:val="0"/>
          <w:lang w:val="en-US" w:eastAsia="es-CR"/>
          <w14:ligatures w14:val="none"/>
        </w:rPr>
        <w:t xml:space="preserve">Nestle-Aland. </w:t>
      </w:r>
      <w:r w:rsidRPr="00B857F8">
        <w:rPr>
          <w:rFonts w:ascii="Calibri" w:eastAsia="Times New Roman" w:hAnsi="Calibri" w:cs="Calibri"/>
          <w:i/>
          <w:iCs/>
          <w:color w:val="000000"/>
          <w:kern w:val="0"/>
          <w:lang w:val="en-US" w:eastAsia="es-CR"/>
          <w14:ligatures w14:val="none"/>
        </w:rPr>
        <w:t xml:space="preserve">Novum </w:t>
      </w:r>
      <w:proofErr w:type="spellStart"/>
      <w:r w:rsidRPr="00B857F8">
        <w:rPr>
          <w:rFonts w:ascii="Calibri" w:eastAsia="Times New Roman" w:hAnsi="Calibri" w:cs="Calibri"/>
          <w:i/>
          <w:iCs/>
          <w:color w:val="000000"/>
          <w:kern w:val="0"/>
          <w:lang w:val="en-US" w:eastAsia="es-CR"/>
          <w14:ligatures w14:val="none"/>
        </w:rPr>
        <w:t>Testamentum</w:t>
      </w:r>
      <w:proofErr w:type="spellEnd"/>
      <w:r w:rsidRPr="00B857F8">
        <w:rPr>
          <w:rFonts w:ascii="Calibri" w:eastAsia="Times New Roman" w:hAnsi="Calibri" w:cs="Calibri"/>
          <w:i/>
          <w:iCs/>
          <w:color w:val="000000"/>
          <w:kern w:val="0"/>
          <w:lang w:val="en-US" w:eastAsia="es-CR"/>
          <w14:ligatures w14:val="none"/>
        </w:rPr>
        <w:t xml:space="preserve"> </w:t>
      </w:r>
      <w:proofErr w:type="spellStart"/>
      <w:r w:rsidRPr="00B857F8">
        <w:rPr>
          <w:rFonts w:ascii="Calibri" w:eastAsia="Times New Roman" w:hAnsi="Calibri" w:cs="Calibri"/>
          <w:i/>
          <w:iCs/>
          <w:color w:val="000000"/>
          <w:kern w:val="0"/>
          <w:lang w:val="en-US" w:eastAsia="es-CR"/>
          <w14:ligatures w14:val="none"/>
        </w:rPr>
        <w:t>Graece</w:t>
      </w:r>
      <w:proofErr w:type="spellEnd"/>
      <w:r w:rsidRPr="00B857F8">
        <w:rPr>
          <w:rFonts w:ascii="Calibri" w:eastAsia="Times New Roman" w:hAnsi="Calibri" w:cs="Calibri"/>
          <w:i/>
          <w:iCs/>
          <w:color w:val="000000"/>
          <w:kern w:val="0"/>
          <w:lang w:val="en-US" w:eastAsia="es-CR"/>
          <w14:ligatures w14:val="none"/>
        </w:rPr>
        <w:t xml:space="preserve">. </w:t>
      </w:r>
      <w:r w:rsidRPr="00B857F8">
        <w:rPr>
          <w:rFonts w:ascii="Calibri" w:eastAsia="Calibri" w:hAnsi="Calibri" w:cs="Calibri"/>
          <w:color w:val="000000"/>
          <w:kern w:val="0"/>
          <w:lang w:val="de-DE" w:eastAsia="es-CR"/>
          <w14:ligatures w14:val="none"/>
        </w:rPr>
        <w:t xml:space="preserve">Stuttgart: Deutsche Bibelgesellschaft, 2012. Acceso el 2 de noviembre de 2022. </w:t>
      </w:r>
      <w:hyperlink r:id="rId295" w:history="1">
        <w:r w:rsidRPr="00B857F8">
          <w:rPr>
            <w:rFonts w:ascii="Calibri" w:eastAsia="Calibri" w:hAnsi="Calibri" w:cs="Calibri"/>
            <w:color w:val="0563C1"/>
            <w:kern w:val="0"/>
            <w:u w:val="single"/>
            <w:lang w:val="de-DE" w:eastAsia="es-CR"/>
            <w14:ligatures w14:val="none"/>
          </w:rPr>
          <w:t>https://www.academic-bible.com/en/online-bibles/novum-testamentum-graece-na-28/read-the-bible-text/</w:t>
        </w:r>
      </w:hyperlink>
    </w:p>
    <w:p w14:paraId="621F6E8F" w14:textId="77777777" w:rsidR="007B232B" w:rsidRPr="00306301" w:rsidRDefault="007B232B" w:rsidP="0004170C">
      <w:pPr>
        <w:rPr>
          <w:sz w:val="24"/>
          <w:szCs w:val="24"/>
          <w:lang w:val="es-ES_tradnl"/>
        </w:rPr>
      </w:pPr>
    </w:p>
    <w:p w14:paraId="5F2E92FE" w14:textId="77777777" w:rsidR="007B232B" w:rsidRDefault="007B232B" w:rsidP="0004170C">
      <w:pPr>
        <w:rPr>
          <w:sz w:val="24"/>
          <w:szCs w:val="24"/>
        </w:rPr>
      </w:pPr>
    </w:p>
    <w:p w14:paraId="1775C4E6" w14:textId="77777777" w:rsidR="007B232B" w:rsidRDefault="007B232B" w:rsidP="0004170C">
      <w:pPr>
        <w:rPr>
          <w:sz w:val="24"/>
          <w:szCs w:val="24"/>
        </w:rPr>
      </w:pPr>
    </w:p>
    <w:p w14:paraId="163336C5" w14:textId="77777777" w:rsidR="007B232B" w:rsidRDefault="007B232B" w:rsidP="0004170C">
      <w:pPr>
        <w:rPr>
          <w:sz w:val="24"/>
          <w:szCs w:val="24"/>
        </w:rPr>
      </w:pPr>
    </w:p>
    <w:p w14:paraId="4511111E" w14:textId="77777777" w:rsidR="007B232B" w:rsidRDefault="007B232B" w:rsidP="0004170C">
      <w:pPr>
        <w:rPr>
          <w:sz w:val="24"/>
          <w:szCs w:val="24"/>
        </w:rPr>
      </w:pPr>
    </w:p>
    <w:p w14:paraId="04BEC941" w14:textId="1B667D87" w:rsidR="004E065D" w:rsidRDefault="004E065D">
      <w:pPr>
        <w:rPr>
          <w:sz w:val="24"/>
          <w:szCs w:val="24"/>
        </w:rPr>
      </w:pPr>
      <w:r>
        <w:rPr>
          <w:sz w:val="24"/>
          <w:szCs w:val="24"/>
        </w:rPr>
        <w:br w:type="page"/>
      </w:r>
    </w:p>
    <w:p w14:paraId="4EC1EAE5" w14:textId="77777777" w:rsidR="00687AE9" w:rsidRPr="00687AE9" w:rsidRDefault="00687AE9" w:rsidP="00687AE9">
      <w:pPr>
        <w:keepNext/>
        <w:widowControl w:val="0"/>
        <w:overflowPunct w:val="0"/>
        <w:autoSpaceDE w:val="0"/>
        <w:autoSpaceDN w:val="0"/>
        <w:adjustRightInd w:val="0"/>
        <w:spacing w:before="240" w:after="60" w:line="240" w:lineRule="auto"/>
        <w:jc w:val="center"/>
        <w:outlineLvl w:val="2"/>
        <w:rPr>
          <w:rFonts w:ascii="Arial" w:eastAsia="Calibri" w:hAnsi="Arial" w:cs="Times New Roman"/>
          <w:kern w:val="0"/>
          <w:sz w:val="24"/>
          <w:szCs w:val="20"/>
          <w14:ligatures w14:val="none"/>
        </w:rPr>
      </w:pPr>
      <w:r w:rsidRPr="00687AE9">
        <w:rPr>
          <w:rFonts w:ascii="Arial" w:eastAsia="Times New Roman" w:hAnsi="Arial" w:cs="Times New Roman"/>
          <w:noProof/>
          <w:kern w:val="0"/>
          <w:sz w:val="24"/>
          <w:szCs w:val="20"/>
          <w:lang w:eastAsia="es-CR"/>
          <w14:ligatures w14:val="none"/>
        </w:rPr>
        <w:lastRenderedPageBreak/>
        <w:drawing>
          <wp:inline distT="0" distB="0" distL="0" distR="0" wp14:anchorId="54E03294" wp14:editId="38014815">
            <wp:extent cx="2011680" cy="1546860"/>
            <wp:effectExtent l="0" t="0" r="0" b="0"/>
            <wp:docPr id="1604068054"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068054" name="0 Imagen" descr="A logo for a religious organization&#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11680" cy="1546860"/>
                    </a:xfrm>
                    <a:prstGeom prst="rect">
                      <a:avLst/>
                    </a:prstGeom>
                    <a:noFill/>
                    <a:ln>
                      <a:noFill/>
                    </a:ln>
                  </pic:spPr>
                </pic:pic>
              </a:graphicData>
            </a:graphic>
          </wp:inline>
        </w:drawing>
      </w:r>
    </w:p>
    <w:p w14:paraId="005D1F9F" w14:textId="77777777" w:rsidR="00687AE9" w:rsidRPr="00687AE9" w:rsidRDefault="00687AE9" w:rsidP="00687AE9">
      <w:pPr>
        <w:keepNext/>
        <w:spacing w:after="0" w:line="240" w:lineRule="auto"/>
        <w:jc w:val="center"/>
        <w:outlineLvl w:val="0"/>
        <w:rPr>
          <w:rFonts w:ascii="Arial" w:eastAsia="Times New Roman" w:hAnsi="Arial" w:cs="Arial"/>
          <w:b/>
          <w:kern w:val="0"/>
          <w:sz w:val="24"/>
          <w:szCs w:val="24"/>
          <w14:ligatures w14:val="none"/>
        </w:rPr>
      </w:pPr>
    </w:p>
    <w:p w14:paraId="0F92D4BB" w14:textId="77777777" w:rsidR="00687AE9" w:rsidRPr="00687AE9" w:rsidRDefault="00687AE9" w:rsidP="00687AE9">
      <w:pPr>
        <w:keepNext/>
        <w:spacing w:after="0" w:line="240" w:lineRule="auto"/>
        <w:jc w:val="center"/>
        <w:outlineLvl w:val="0"/>
        <w:rPr>
          <w:rFonts w:ascii="Calibri" w:eastAsia="Times New Roman" w:hAnsi="Calibri" w:cs="Arial"/>
          <w:b/>
          <w:kern w:val="0"/>
          <w:sz w:val="24"/>
          <w:szCs w:val="24"/>
          <w14:ligatures w14:val="none"/>
        </w:rPr>
      </w:pPr>
      <w:r w:rsidRPr="00687AE9">
        <w:rPr>
          <w:rFonts w:ascii="Calibri" w:eastAsia="Times New Roman" w:hAnsi="Calibri" w:cs="Arial"/>
          <w:b/>
          <w:kern w:val="0"/>
          <w:sz w:val="24"/>
          <w:szCs w:val="24"/>
          <w14:ligatures w14:val="none"/>
        </w:rPr>
        <w:t>Universidad Bíblica Latinoamericana</w:t>
      </w:r>
    </w:p>
    <w:p w14:paraId="0EF7C5BB" w14:textId="77777777" w:rsidR="00687AE9" w:rsidRPr="00687AE9" w:rsidRDefault="00687AE9" w:rsidP="00687AE9">
      <w:pPr>
        <w:keepNext/>
        <w:spacing w:after="0" w:line="240" w:lineRule="auto"/>
        <w:jc w:val="center"/>
        <w:outlineLvl w:val="1"/>
        <w:rPr>
          <w:rFonts w:ascii="Calibri" w:eastAsia="Times New Roman" w:hAnsi="Calibri" w:cs="Arial"/>
          <w:b/>
          <w:i/>
          <w:kern w:val="0"/>
          <w:sz w:val="24"/>
          <w:szCs w:val="24"/>
          <w14:ligatures w14:val="none"/>
        </w:rPr>
      </w:pPr>
      <w:r w:rsidRPr="00687AE9">
        <w:rPr>
          <w:rFonts w:ascii="Calibri" w:eastAsia="Times New Roman" w:hAnsi="Calibri" w:cs="Arial"/>
          <w:b/>
          <w:i/>
          <w:kern w:val="0"/>
          <w:sz w:val="24"/>
          <w:szCs w:val="24"/>
          <w14:ligatures w14:val="none"/>
        </w:rPr>
        <w:t>Facultad de Teología</w:t>
      </w:r>
    </w:p>
    <w:p w14:paraId="526956D4" w14:textId="77777777" w:rsidR="00687AE9" w:rsidRPr="00687AE9" w:rsidRDefault="00687AE9" w:rsidP="00687AE9">
      <w:pPr>
        <w:spacing w:after="0" w:line="240" w:lineRule="auto"/>
        <w:jc w:val="center"/>
        <w:rPr>
          <w:rFonts w:ascii="Calibri" w:eastAsia="Calibri" w:hAnsi="Calibri" w:cs="Arial"/>
          <w:b/>
          <w:bCs/>
          <w:kern w:val="0"/>
          <w:sz w:val="24"/>
          <w:szCs w:val="24"/>
          <w14:ligatures w14:val="none"/>
        </w:rPr>
      </w:pPr>
      <w:r w:rsidRPr="00687AE9">
        <w:rPr>
          <w:rFonts w:ascii="Calibri" w:eastAsia="Calibri" w:hAnsi="Calibri" w:cs="Arial"/>
          <w:b/>
          <w:bCs/>
          <w:kern w:val="0"/>
          <w:sz w:val="24"/>
          <w:szCs w:val="24"/>
          <w14:ligatures w14:val="none"/>
        </w:rPr>
        <w:t xml:space="preserve">Bachillerato en Ciencias </w:t>
      </w:r>
      <w:r w:rsidRPr="00687AE9">
        <w:rPr>
          <w:rFonts w:ascii="Calibri" w:eastAsia="Times New Roman" w:hAnsi="Calibri" w:cs="Arial"/>
          <w:b/>
          <w:bCs/>
          <w:kern w:val="0"/>
          <w:sz w:val="24"/>
          <w:szCs w:val="20"/>
          <w:lang w:val="es-ES_tradnl" w:eastAsia="es-CR"/>
          <w14:ligatures w14:val="none"/>
        </w:rPr>
        <w:t>Bíblicas</w:t>
      </w:r>
    </w:p>
    <w:p w14:paraId="2E34E262" w14:textId="77777777" w:rsidR="00687AE9" w:rsidRPr="00687AE9" w:rsidRDefault="00687AE9" w:rsidP="00687AE9">
      <w:pPr>
        <w:spacing w:after="0" w:line="240" w:lineRule="auto"/>
        <w:jc w:val="center"/>
        <w:rPr>
          <w:rFonts w:ascii="Calibri" w:eastAsia="Calibri" w:hAnsi="Calibri" w:cs="Arial"/>
          <w:b/>
          <w:bCs/>
          <w:kern w:val="0"/>
          <w:sz w:val="24"/>
          <w:szCs w:val="24"/>
          <w14:ligatures w14:val="none"/>
        </w:rPr>
      </w:pPr>
    </w:p>
    <w:p w14:paraId="3DDD8DB6" w14:textId="77777777" w:rsidR="00687AE9" w:rsidRPr="00687AE9" w:rsidRDefault="00687AE9" w:rsidP="00687AE9">
      <w:pPr>
        <w:spacing w:after="0" w:line="240" w:lineRule="auto"/>
        <w:jc w:val="center"/>
        <w:rPr>
          <w:rFonts w:ascii="Calibri" w:eastAsia="Calibri" w:hAnsi="Calibri" w:cs="Arial"/>
          <w:b/>
          <w:kern w:val="0"/>
          <w:sz w:val="24"/>
          <w:szCs w:val="24"/>
          <w14:ligatures w14:val="none"/>
        </w:rPr>
      </w:pPr>
      <w:r w:rsidRPr="00687AE9">
        <w:rPr>
          <w:rFonts w:ascii="Calibri" w:eastAsia="Calibri" w:hAnsi="Calibri" w:cs="Arial"/>
          <w:b/>
          <w:kern w:val="0"/>
          <w:sz w:val="24"/>
          <w:szCs w:val="24"/>
          <w14:ligatures w14:val="none"/>
        </w:rPr>
        <w:t>Sílabo</w:t>
      </w:r>
    </w:p>
    <w:p w14:paraId="77925D39" w14:textId="77777777" w:rsidR="00687AE9" w:rsidRPr="00687AE9" w:rsidRDefault="00687AE9" w:rsidP="00687AE9">
      <w:pPr>
        <w:spacing w:after="0" w:line="240" w:lineRule="auto"/>
        <w:jc w:val="center"/>
        <w:rPr>
          <w:rFonts w:ascii="Calibri" w:eastAsia="Calibri" w:hAnsi="Calibri" w:cs="Arial"/>
          <w:b/>
          <w:kern w:val="0"/>
          <w:sz w:val="24"/>
          <w:szCs w:val="24"/>
          <w14:ligatures w14:val="none"/>
        </w:rPr>
      </w:pPr>
      <w:bookmarkStart w:id="43" w:name="CTX107"/>
      <w:r w:rsidRPr="00687AE9">
        <w:rPr>
          <w:rFonts w:ascii="Calibri" w:eastAsia="Calibri" w:hAnsi="Calibri" w:cs="Arial"/>
          <w:b/>
          <w:kern w:val="0"/>
          <w:sz w:val="24"/>
          <w:szCs w:val="24"/>
          <w14:ligatures w14:val="none"/>
        </w:rPr>
        <w:t>Fundamentos de Pastoral</w:t>
      </w:r>
    </w:p>
    <w:bookmarkEnd w:id="43"/>
    <w:p w14:paraId="450F594E" w14:textId="77777777" w:rsidR="00687AE9" w:rsidRPr="00687AE9" w:rsidRDefault="00687AE9" w:rsidP="00687AE9">
      <w:pPr>
        <w:spacing w:after="0" w:line="240" w:lineRule="auto"/>
        <w:rPr>
          <w:rFonts w:ascii="Calibri" w:eastAsia="Calibri" w:hAnsi="Calibri" w:cs="Arial"/>
          <w:b/>
          <w:color w:val="548DD4"/>
          <w:kern w:val="0"/>
          <w:sz w:val="24"/>
          <w:szCs w:val="24"/>
          <w14:ligatures w14:val="none"/>
        </w:rPr>
      </w:pPr>
    </w:p>
    <w:p w14:paraId="78E1DA14" w14:textId="77777777" w:rsidR="00687AE9" w:rsidRPr="00687AE9" w:rsidRDefault="00687AE9" w:rsidP="00687AE9">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p w14:paraId="0B781BD1" w14:textId="77777777" w:rsidR="00687AE9" w:rsidRPr="00687AE9" w:rsidRDefault="00687AE9" w:rsidP="00687AE9">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7161"/>
      </w:tblGrid>
      <w:tr w:rsidR="00687AE9" w:rsidRPr="00687AE9" w14:paraId="7F7A3C1F" w14:textId="77777777" w:rsidTr="00CE7124">
        <w:tc>
          <w:tcPr>
            <w:tcW w:w="1667" w:type="dxa"/>
            <w:shd w:val="clear" w:color="auto" w:fill="auto"/>
          </w:tcPr>
          <w:p w14:paraId="19CFDFC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Código</w:t>
            </w:r>
          </w:p>
        </w:tc>
        <w:tc>
          <w:tcPr>
            <w:tcW w:w="7161" w:type="dxa"/>
            <w:shd w:val="clear" w:color="auto" w:fill="auto"/>
          </w:tcPr>
          <w:p w14:paraId="56C9316E"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CTX 107</w:t>
            </w:r>
          </w:p>
        </w:tc>
      </w:tr>
      <w:tr w:rsidR="00687AE9" w:rsidRPr="00687AE9" w14:paraId="6478F623" w14:textId="77777777" w:rsidTr="00CE7124">
        <w:tc>
          <w:tcPr>
            <w:tcW w:w="1667" w:type="dxa"/>
            <w:shd w:val="clear" w:color="auto" w:fill="auto"/>
          </w:tcPr>
          <w:p w14:paraId="0F617870"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Créditos</w:t>
            </w:r>
          </w:p>
        </w:tc>
        <w:tc>
          <w:tcPr>
            <w:tcW w:w="7161" w:type="dxa"/>
            <w:shd w:val="clear" w:color="auto" w:fill="auto"/>
          </w:tcPr>
          <w:p w14:paraId="295607E0"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4</w:t>
            </w:r>
          </w:p>
        </w:tc>
      </w:tr>
      <w:tr w:rsidR="00687AE9" w:rsidRPr="00687AE9" w14:paraId="4CEDB279" w14:textId="77777777" w:rsidTr="00CE7124">
        <w:tc>
          <w:tcPr>
            <w:tcW w:w="1667" w:type="dxa"/>
            <w:shd w:val="clear" w:color="auto" w:fill="auto"/>
          </w:tcPr>
          <w:p w14:paraId="0F878DC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Requisitos</w:t>
            </w:r>
          </w:p>
        </w:tc>
        <w:tc>
          <w:tcPr>
            <w:tcW w:w="7161" w:type="dxa"/>
            <w:shd w:val="clear" w:color="auto" w:fill="auto"/>
          </w:tcPr>
          <w:p w14:paraId="5E570F2A"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CBX 104</w:t>
            </w:r>
          </w:p>
        </w:tc>
      </w:tr>
      <w:tr w:rsidR="00687AE9" w:rsidRPr="00687AE9" w14:paraId="072E0377" w14:textId="77777777" w:rsidTr="00CE7124">
        <w:tc>
          <w:tcPr>
            <w:tcW w:w="1667" w:type="dxa"/>
            <w:shd w:val="clear" w:color="auto" w:fill="auto"/>
          </w:tcPr>
          <w:p w14:paraId="55E49B3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Modalidad</w:t>
            </w:r>
          </w:p>
        </w:tc>
        <w:tc>
          <w:tcPr>
            <w:tcW w:w="7161" w:type="dxa"/>
            <w:shd w:val="clear" w:color="auto" w:fill="auto"/>
          </w:tcPr>
          <w:p w14:paraId="3E240704"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Virtual</w:t>
            </w:r>
          </w:p>
        </w:tc>
      </w:tr>
      <w:tr w:rsidR="00687AE9" w:rsidRPr="00687AE9" w14:paraId="6820690E" w14:textId="77777777" w:rsidTr="00CE7124">
        <w:tc>
          <w:tcPr>
            <w:tcW w:w="1667" w:type="dxa"/>
            <w:shd w:val="clear" w:color="auto" w:fill="auto"/>
          </w:tcPr>
          <w:p w14:paraId="0B47ABF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Naturaleza</w:t>
            </w:r>
          </w:p>
        </w:tc>
        <w:tc>
          <w:tcPr>
            <w:tcW w:w="7161" w:type="dxa"/>
            <w:shd w:val="clear" w:color="auto" w:fill="auto"/>
          </w:tcPr>
          <w:p w14:paraId="579E1F37"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Teórico-práctico</w:t>
            </w:r>
          </w:p>
        </w:tc>
      </w:tr>
      <w:tr w:rsidR="00687AE9" w:rsidRPr="00687AE9" w14:paraId="4B7C983A" w14:textId="77777777" w:rsidTr="00CE7124">
        <w:tc>
          <w:tcPr>
            <w:tcW w:w="1667" w:type="dxa"/>
            <w:shd w:val="clear" w:color="auto" w:fill="auto"/>
          </w:tcPr>
          <w:p w14:paraId="3E6B2364"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Periodo</w:t>
            </w:r>
          </w:p>
        </w:tc>
        <w:tc>
          <w:tcPr>
            <w:tcW w:w="7161" w:type="dxa"/>
            <w:shd w:val="clear" w:color="auto" w:fill="auto"/>
          </w:tcPr>
          <w:p w14:paraId="2F397CFC"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Cuatrimestral (15 semanas lectivas)</w:t>
            </w:r>
          </w:p>
        </w:tc>
      </w:tr>
      <w:tr w:rsidR="00687AE9" w:rsidRPr="00687AE9" w14:paraId="0147241B" w14:textId="77777777" w:rsidTr="00CE7124">
        <w:tc>
          <w:tcPr>
            <w:tcW w:w="1667" w:type="dxa"/>
            <w:shd w:val="clear" w:color="auto" w:fill="auto"/>
          </w:tcPr>
          <w:p w14:paraId="05E8CA42"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Nivel</w:t>
            </w:r>
          </w:p>
        </w:tc>
        <w:tc>
          <w:tcPr>
            <w:tcW w:w="7161" w:type="dxa"/>
            <w:shd w:val="clear" w:color="auto" w:fill="auto"/>
          </w:tcPr>
          <w:p w14:paraId="4EA3E9A4"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V Cuatrimestre</w:t>
            </w:r>
          </w:p>
        </w:tc>
      </w:tr>
      <w:tr w:rsidR="00687AE9" w:rsidRPr="00687AE9" w14:paraId="1F7F2B0C" w14:textId="77777777" w:rsidTr="00CE7124">
        <w:tc>
          <w:tcPr>
            <w:tcW w:w="1667" w:type="dxa"/>
            <w:shd w:val="clear" w:color="auto" w:fill="auto"/>
          </w:tcPr>
          <w:p w14:paraId="2140C606"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Horario</w:t>
            </w:r>
          </w:p>
        </w:tc>
        <w:tc>
          <w:tcPr>
            <w:tcW w:w="7161" w:type="dxa"/>
            <w:shd w:val="clear" w:color="auto" w:fill="auto"/>
          </w:tcPr>
          <w:p w14:paraId="4CF9A015"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El curso requiere de 12 horas de trabajo semanal</w:t>
            </w:r>
          </w:p>
        </w:tc>
      </w:tr>
      <w:tr w:rsidR="00687AE9" w:rsidRPr="00687AE9" w14:paraId="5A91CB66" w14:textId="77777777" w:rsidTr="00CE7124">
        <w:tc>
          <w:tcPr>
            <w:tcW w:w="1667" w:type="dxa"/>
            <w:shd w:val="clear" w:color="auto" w:fill="auto"/>
          </w:tcPr>
          <w:p w14:paraId="6CA32C3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Aula</w:t>
            </w:r>
          </w:p>
        </w:tc>
        <w:tc>
          <w:tcPr>
            <w:tcW w:w="7161" w:type="dxa"/>
            <w:shd w:val="clear" w:color="auto" w:fill="auto"/>
          </w:tcPr>
          <w:p w14:paraId="4AE55244"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Plataforma virtual de la UBL</w:t>
            </w:r>
          </w:p>
        </w:tc>
      </w:tr>
      <w:tr w:rsidR="00687AE9" w:rsidRPr="00687AE9" w14:paraId="2945C194" w14:textId="77777777" w:rsidTr="00CE7124">
        <w:tc>
          <w:tcPr>
            <w:tcW w:w="1667" w:type="dxa"/>
            <w:shd w:val="clear" w:color="auto" w:fill="auto"/>
          </w:tcPr>
          <w:p w14:paraId="2634F9F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b/>
                <w:kern w:val="0"/>
                <w:lang w:eastAsia="es-CR"/>
                <w14:ligatures w14:val="none"/>
              </w:rPr>
            </w:pPr>
            <w:r w:rsidRPr="00687AE9">
              <w:rPr>
                <w:rFonts w:ascii="Calibri" w:eastAsia="Times New Roman" w:hAnsi="Calibri" w:cs="Calibri"/>
                <w:b/>
                <w:kern w:val="0"/>
                <w:lang w:eastAsia="es-CR"/>
                <w14:ligatures w14:val="none"/>
              </w:rPr>
              <w:t>Docente</w:t>
            </w:r>
          </w:p>
        </w:tc>
        <w:tc>
          <w:tcPr>
            <w:tcW w:w="7161" w:type="dxa"/>
            <w:shd w:val="clear" w:color="auto" w:fill="auto"/>
          </w:tcPr>
          <w:p w14:paraId="5965965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p>
        </w:tc>
      </w:tr>
      <w:tr w:rsidR="00687AE9" w:rsidRPr="00687AE9" w14:paraId="0B851931" w14:textId="77777777" w:rsidTr="00CE7124">
        <w:tc>
          <w:tcPr>
            <w:tcW w:w="1667" w:type="dxa"/>
            <w:shd w:val="clear" w:color="auto" w:fill="auto"/>
            <w:vAlign w:val="center"/>
          </w:tcPr>
          <w:p w14:paraId="74201E28"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Calibri"/>
                <w:kern w:val="0"/>
                <w:lang w:eastAsia="es-CR"/>
                <w14:ligatures w14:val="none"/>
              </w:rPr>
            </w:pPr>
            <w:r w:rsidRPr="00687AE9">
              <w:rPr>
                <w:rFonts w:ascii="Calibri" w:eastAsia="Times New Roman" w:hAnsi="Calibri" w:cs="Calibri"/>
                <w:b/>
                <w:kern w:val="0"/>
                <w:lang w:eastAsia="es-CR"/>
                <w14:ligatures w14:val="none"/>
              </w:rPr>
              <w:t>Instrucciones administrativas</w:t>
            </w:r>
          </w:p>
        </w:tc>
        <w:tc>
          <w:tcPr>
            <w:tcW w:w="7161" w:type="dxa"/>
            <w:shd w:val="clear" w:color="auto" w:fill="auto"/>
          </w:tcPr>
          <w:p w14:paraId="0F31EB1B"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kern w:val="0"/>
                <w:lang w:eastAsia="es-CR"/>
                <w14:ligatures w14:val="none"/>
              </w:rPr>
            </w:pPr>
            <w:r w:rsidRPr="00687AE9">
              <w:rPr>
                <w:rFonts w:ascii="Calibri" w:eastAsia="Times New Roman" w:hAnsi="Calibri" w:cs="Calibri"/>
                <w:kern w:val="0"/>
                <w:lang w:eastAsia="es-CR"/>
                <w14:ligatures w14:val="none"/>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3 horas semanales de trabajo práctico. La dirección de acceso a la plataforma es la siguiente:</w:t>
            </w:r>
          </w:p>
          <w:p w14:paraId="091526FB" w14:textId="77777777" w:rsidR="00687AE9" w:rsidRPr="00687AE9" w:rsidRDefault="00DD16F2" w:rsidP="00687AE9">
            <w:pPr>
              <w:widowControl w:val="0"/>
              <w:overflowPunct w:val="0"/>
              <w:autoSpaceDE w:val="0"/>
              <w:autoSpaceDN w:val="0"/>
              <w:adjustRightInd w:val="0"/>
              <w:spacing w:after="0" w:line="240" w:lineRule="auto"/>
              <w:jc w:val="both"/>
              <w:rPr>
                <w:rFonts w:ascii="Calibri" w:eastAsia="Times New Roman" w:hAnsi="Calibri" w:cs="Calibri"/>
                <w:kern w:val="0"/>
                <w:lang w:eastAsia="es-CR"/>
                <w14:ligatures w14:val="none"/>
              </w:rPr>
            </w:pPr>
            <w:hyperlink r:id="rId296" w:history="1">
              <w:r w:rsidR="00687AE9" w:rsidRPr="00687AE9">
                <w:rPr>
                  <w:rFonts w:ascii="Calibri" w:eastAsia="Times New Roman" w:hAnsi="Calibri" w:cs="Calibri"/>
                  <w:color w:val="0000FF"/>
                  <w:kern w:val="0"/>
                  <w:u w:val="single"/>
                  <w:lang w:eastAsia="es-CR"/>
                  <w14:ligatures w14:val="none"/>
                </w:rPr>
                <w:t>https://campus.ubl.ac.cr/login/index.php</w:t>
              </w:r>
            </w:hyperlink>
          </w:p>
        </w:tc>
      </w:tr>
    </w:tbl>
    <w:p w14:paraId="0C243483" w14:textId="77777777" w:rsidR="00687AE9" w:rsidRPr="00687AE9" w:rsidRDefault="00687AE9" w:rsidP="00687AE9">
      <w:pPr>
        <w:keepNext/>
        <w:widowControl w:val="0"/>
        <w:overflowPunct w:val="0"/>
        <w:autoSpaceDE w:val="0"/>
        <w:autoSpaceDN w:val="0"/>
        <w:adjustRightInd w:val="0"/>
        <w:spacing w:before="240" w:after="0" w:line="240" w:lineRule="auto"/>
        <w:jc w:val="both"/>
        <w:outlineLvl w:val="1"/>
        <w:rPr>
          <w:rFonts w:ascii="Calibri" w:eastAsia="Times New Roman" w:hAnsi="Calibri" w:cs="Arial"/>
          <w:b/>
          <w:color w:val="000000"/>
          <w:spacing w:val="-2"/>
          <w:kern w:val="28"/>
          <w:lang w:val="es-ES_tradnl" w:eastAsia="es-CR"/>
          <w14:ligatures w14:val="none"/>
        </w:rPr>
      </w:pPr>
    </w:p>
    <w:p w14:paraId="63FF328C" w14:textId="77777777" w:rsidR="00687AE9" w:rsidRPr="00687AE9" w:rsidRDefault="00687AE9" w:rsidP="00687AE9">
      <w:pPr>
        <w:keepNext/>
        <w:widowControl w:val="0"/>
        <w:overflowPunct w:val="0"/>
        <w:autoSpaceDE w:val="0"/>
        <w:autoSpaceDN w:val="0"/>
        <w:adjustRightInd w:val="0"/>
        <w:spacing w:before="240" w:after="0" w:line="240" w:lineRule="auto"/>
        <w:jc w:val="both"/>
        <w:outlineLvl w:val="1"/>
        <w:rPr>
          <w:rFonts w:ascii="Calibri" w:eastAsia="Times New Roman" w:hAnsi="Calibri" w:cs="Arial"/>
          <w:b/>
          <w:color w:val="000000"/>
          <w:spacing w:val="-2"/>
          <w:kern w:val="28"/>
          <w:lang w:val="es-ES_tradnl" w:eastAsia="es-CR"/>
          <w14:ligatures w14:val="none"/>
        </w:rPr>
      </w:pPr>
      <w:r w:rsidRPr="00687AE9">
        <w:rPr>
          <w:rFonts w:ascii="Calibri" w:eastAsia="Times New Roman" w:hAnsi="Calibri" w:cs="Arial"/>
          <w:b/>
          <w:color w:val="000000"/>
          <w:spacing w:val="-2"/>
          <w:kern w:val="28"/>
          <w:lang w:val="es-ES_tradnl" w:eastAsia="es-CR"/>
          <w14:ligatures w14:val="none"/>
        </w:rPr>
        <w:t>I. Descripción</w:t>
      </w:r>
    </w:p>
    <w:p w14:paraId="5042FE19" w14:textId="77777777" w:rsidR="00687AE9" w:rsidRPr="00687AE9" w:rsidRDefault="00687AE9" w:rsidP="00687AE9">
      <w:pPr>
        <w:widowControl w:val="0"/>
        <w:overflowPunct w:val="0"/>
        <w:autoSpaceDE w:val="0"/>
        <w:autoSpaceDN w:val="0"/>
        <w:adjustRightInd w:val="0"/>
        <w:spacing w:before="240" w:after="0" w:line="240" w:lineRule="auto"/>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 xml:space="preserve">Se presenta un marco teórico para una visión del mundo. El itinerario pastoral del/a estudiante está comparado con varios modelos de pastoral. Se explora la fundamentación bíblico-teológica y su relación con contextos sociales, la realidad eclesial latinoamericana y la relectura bíblica y teológica. A partir de esta base se examina la praxis pastoral ante situaciones específicas. </w:t>
      </w:r>
    </w:p>
    <w:p w14:paraId="351AEBBC" w14:textId="77777777" w:rsidR="00687AE9" w:rsidRPr="00687AE9" w:rsidRDefault="00687AE9" w:rsidP="00687AE9">
      <w:pPr>
        <w:widowControl w:val="0"/>
        <w:overflowPunct w:val="0"/>
        <w:autoSpaceDE w:val="0"/>
        <w:autoSpaceDN w:val="0"/>
        <w:adjustRightInd w:val="0"/>
        <w:spacing w:before="240" w:after="0" w:line="240" w:lineRule="auto"/>
        <w:jc w:val="both"/>
        <w:rPr>
          <w:rFonts w:ascii="Calibri" w:eastAsia="Times New Roman" w:hAnsi="Calibri" w:cs="Arial"/>
          <w:color w:val="000000"/>
          <w:kern w:val="0"/>
          <w:lang w:val="es-ES_tradnl" w:eastAsia="es-CR"/>
          <w14:ligatures w14:val="none"/>
        </w:rPr>
      </w:pPr>
    </w:p>
    <w:p w14:paraId="64D25F4A" w14:textId="77777777" w:rsidR="00687AE9" w:rsidRPr="00687AE9" w:rsidRDefault="00687AE9" w:rsidP="00687AE9">
      <w:pPr>
        <w:keepNext/>
        <w:widowControl w:val="0"/>
        <w:overflowPunct w:val="0"/>
        <w:autoSpaceDE w:val="0"/>
        <w:autoSpaceDN w:val="0"/>
        <w:adjustRightInd w:val="0"/>
        <w:spacing w:after="0" w:line="240" w:lineRule="auto"/>
        <w:jc w:val="both"/>
        <w:outlineLvl w:val="1"/>
        <w:rPr>
          <w:rFonts w:ascii="Calibri" w:eastAsia="Times New Roman" w:hAnsi="Calibri" w:cs="Arial"/>
          <w:b/>
          <w:color w:val="000000"/>
          <w:spacing w:val="-2"/>
          <w:kern w:val="28"/>
          <w:lang w:val="es-ES_tradnl" w:eastAsia="es-CR"/>
          <w14:ligatures w14:val="none"/>
        </w:rPr>
      </w:pPr>
      <w:r w:rsidRPr="00687AE9">
        <w:rPr>
          <w:rFonts w:ascii="Calibri" w:eastAsia="Times New Roman" w:hAnsi="Calibri" w:cs="Arial"/>
          <w:b/>
          <w:color w:val="000000"/>
          <w:spacing w:val="-2"/>
          <w:kern w:val="28"/>
          <w:lang w:val="es-ES_tradnl" w:eastAsia="es-CR"/>
          <w14:ligatures w14:val="none"/>
        </w:rPr>
        <w:lastRenderedPageBreak/>
        <w:t>II. Objetivo general</w:t>
      </w:r>
    </w:p>
    <w:p w14:paraId="759E8B79"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5E5988E2"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Brindar a los/las estudiantes elementos fundamentales desde la historia, la realidad y la Biblia para evaluar e iluminar su propia labor pastoral.</w:t>
      </w:r>
    </w:p>
    <w:p w14:paraId="2BE51D8B"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0FAB365D" w14:textId="77777777" w:rsidR="00687AE9" w:rsidRPr="00687AE9" w:rsidRDefault="00687AE9" w:rsidP="00687AE9">
      <w:pPr>
        <w:keepNext/>
        <w:widowControl w:val="0"/>
        <w:overflowPunct w:val="0"/>
        <w:autoSpaceDE w:val="0"/>
        <w:autoSpaceDN w:val="0"/>
        <w:adjustRightInd w:val="0"/>
        <w:spacing w:after="0" w:line="240" w:lineRule="auto"/>
        <w:jc w:val="both"/>
        <w:outlineLvl w:val="1"/>
        <w:rPr>
          <w:rFonts w:ascii="Calibri" w:eastAsia="Times New Roman" w:hAnsi="Calibri" w:cs="Arial"/>
          <w:b/>
          <w:color w:val="000000"/>
          <w:spacing w:val="-2"/>
          <w:kern w:val="28"/>
          <w:lang w:val="es-ES_tradnl" w:eastAsia="es-CR"/>
          <w14:ligatures w14:val="none"/>
        </w:rPr>
      </w:pPr>
      <w:r w:rsidRPr="00687AE9">
        <w:rPr>
          <w:rFonts w:ascii="Calibri" w:eastAsia="Times New Roman" w:hAnsi="Calibri" w:cs="Arial"/>
          <w:b/>
          <w:color w:val="000000"/>
          <w:spacing w:val="-2"/>
          <w:kern w:val="28"/>
          <w:lang w:val="es-ES_tradnl" w:eastAsia="es-CR"/>
          <w14:ligatures w14:val="none"/>
        </w:rPr>
        <w:t>III. Objetivos específicos</w:t>
      </w:r>
    </w:p>
    <w:p w14:paraId="36515199" w14:textId="77777777" w:rsidR="00687AE9" w:rsidRPr="00687AE9" w:rsidRDefault="00687AE9" w:rsidP="00687AE9">
      <w:pPr>
        <w:widowControl w:val="0"/>
        <w:overflowPunct w:val="0"/>
        <w:autoSpaceDE w:val="0"/>
        <w:autoSpaceDN w:val="0"/>
        <w:adjustRightInd w:val="0"/>
        <w:spacing w:after="0" w:line="240" w:lineRule="auto"/>
        <w:ind w:left="720" w:hanging="720"/>
        <w:jc w:val="both"/>
        <w:rPr>
          <w:rFonts w:ascii="Calibri" w:eastAsia="Times New Roman" w:hAnsi="Calibri" w:cs="Arial"/>
          <w:color w:val="000000"/>
          <w:kern w:val="0"/>
          <w:lang w:val="es-ES_tradnl" w:eastAsia="es-CR"/>
          <w14:ligatures w14:val="none"/>
        </w:rPr>
      </w:pPr>
    </w:p>
    <w:p w14:paraId="68B41CD1" w14:textId="77777777" w:rsidR="00687AE9" w:rsidRPr="00687AE9" w:rsidRDefault="00687AE9" w:rsidP="00687AE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Describir el propio peregrinaje pastoral, conceptualizando el significado de pastoral y señalando las inquietudes sobre la práctica pastoral de su iglesia o comunidad.</w:t>
      </w:r>
    </w:p>
    <w:p w14:paraId="60C26DA4" w14:textId="77777777" w:rsidR="00687AE9" w:rsidRPr="00687AE9" w:rsidRDefault="00687AE9" w:rsidP="00687AE9">
      <w:pPr>
        <w:widowControl w:val="0"/>
        <w:overflowPunct w:val="0"/>
        <w:autoSpaceDE w:val="0"/>
        <w:autoSpaceDN w:val="0"/>
        <w:adjustRightInd w:val="0"/>
        <w:spacing w:after="0" w:line="240" w:lineRule="auto"/>
        <w:ind w:left="426" w:hanging="360"/>
        <w:jc w:val="both"/>
        <w:rPr>
          <w:rFonts w:ascii="Calibri" w:eastAsia="Times New Roman" w:hAnsi="Calibri" w:cs="Arial"/>
          <w:color w:val="000000"/>
          <w:kern w:val="0"/>
          <w:lang w:val="es-ES_tradnl" w:eastAsia="es-CR"/>
          <w14:ligatures w14:val="none"/>
        </w:rPr>
      </w:pPr>
    </w:p>
    <w:p w14:paraId="1DF5261D" w14:textId="77777777" w:rsidR="00687AE9" w:rsidRPr="00687AE9" w:rsidRDefault="00687AE9" w:rsidP="4C9C261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Explorar las necesidades y problemas de una comunidad con el fin de fundamentar una acción pastoral.</w:t>
      </w:r>
    </w:p>
    <w:p w14:paraId="60C3F1D6" w14:textId="77777777" w:rsidR="00687AE9" w:rsidRPr="00687AE9" w:rsidRDefault="00687AE9" w:rsidP="00687AE9">
      <w:pPr>
        <w:widowControl w:val="0"/>
        <w:overflowPunct w:val="0"/>
        <w:autoSpaceDE w:val="0"/>
        <w:autoSpaceDN w:val="0"/>
        <w:adjustRightInd w:val="0"/>
        <w:spacing w:after="0" w:line="240" w:lineRule="auto"/>
        <w:ind w:left="426" w:hanging="360"/>
        <w:jc w:val="both"/>
        <w:rPr>
          <w:rFonts w:ascii="Calibri" w:eastAsia="Times New Roman" w:hAnsi="Calibri" w:cs="Arial"/>
          <w:color w:val="000000"/>
          <w:kern w:val="0"/>
          <w:lang w:val="es-ES_tradnl" w:eastAsia="es-CR"/>
          <w14:ligatures w14:val="none"/>
        </w:rPr>
      </w:pPr>
    </w:p>
    <w:p w14:paraId="58218DA3" w14:textId="77777777" w:rsidR="00687AE9" w:rsidRPr="00687AE9" w:rsidRDefault="00687AE9" w:rsidP="00687AE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Utilizar adecuadamente un método de análisis de la realidad, iluminado por pautas bíblico-teológicas, para acercarse pastoralmente a la comunidad.</w:t>
      </w:r>
    </w:p>
    <w:p w14:paraId="1A437976" w14:textId="77777777" w:rsidR="00687AE9" w:rsidRPr="00687AE9" w:rsidRDefault="00687AE9" w:rsidP="00687AE9">
      <w:pPr>
        <w:widowControl w:val="0"/>
        <w:overflowPunct w:val="0"/>
        <w:autoSpaceDE w:val="0"/>
        <w:autoSpaceDN w:val="0"/>
        <w:adjustRightInd w:val="0"/>
        <w:spacing w:after="0" w:line="240" w:lineRule="auto"/>
        <w:ind w:left="426" w:hanging="360"/>
        <w:jc w:val="both"/>
        <w:rPr>
          <w:rFonts w:ascii="Calibri" w:eastAsia="Times New Roman" w:hAnsi="Calibri" w:cs="Arial"/>
          <w:color w:val="000000"/>
          <w:kern w:val="0"/>
          <w:lang w:val="es-ES_tradnl" w:eastAsia="es-CR"/>
          <w14:ligatures w14:val="none"/>
        </w:rPr>
      </w:pPr>
    </w:p>
    <w:p w14:paraId="29977624" w14:textId="77777777" w:rsidR="00687AE9" w:rsidRPr="00687AE9" w:rsidRDefault="00687AE9" w:rsidP="00687AE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Estudiar modelos bíblicos y actuales de acción pastoral.</w:t>
      </w:r>
    </w:p>
    <w:p w14:paraId="329C077D" w14:textId="77777777" w:rsidR="00687AE9" w:rsidRPr="00687AE9" w:rsidRDefault="00687AE9" w:rsidP="00687AE9">
      <w:pPr>
        <w:widowControl w:val="0"/>
        <w:overflowPunct w:val="0"/>
        <w:autoSpaceDE w:val="0"/>
        <w:autoSpaceDN w:val="0"/>
        <w:adjustRightInd w:val="0"/>
        <w:spacing w:after="0" w:line="240" w:lineRule="auto"/>
        <w:ind w:left="426" w:hanging="360"/>
        <w:jc w:val="both"/>
        <w:rPr>
          <w:rFonts w:ascii="Calibri" w:eastAsia="Times New Roman" w:hAnsi="Calibri" w:cs="Arial"/>
          <w:color w:val="000000"/>
          <w:kern w:val="0"/>
          <w:lang w:val="es-ES_tradnl" w:eastAsia="es-CR"/>
          <w14:ligatures w14:val="none"/>
        </w:rPr>
      </w:pPr>
    </w:p>
    <w:p w14:paraId="26D81A08" w14:textId="77777777" w:rsidR="00687AE9" w:rsidRPr="00687AE9" w:rsidRDefault="00687AE9" w:rsidP="00687AE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Sistematizar los diferentes modelos históricos de pastoral desarrollados por la iglesia latinoamericana (católica y protestante), evaluando sus aportes y limitaciones con respecto a los sectores más empobrecidos del continente.</w:t>
      </w:r>
    </w:p>
    <w:p w14:paraId="4B6B73A8" w14:textId="77777777" w:rsidR="00687AE9" w:rsidRPr="00687AE9" w:rsidRDefault="00687AE9" w:rsidP="00687AE9">
      <w:pPr>
        <w:widowControl w:val="0"/>
        <w:overflowPunct w:val="0"/>
        <w:autoSpaceDE w:val="0"/>
        <w:autoSpaceDN w:val="0"/>
        <w:adjustRightInd w:val="0"/>
        <w:spacing w:after="0" w:line="240" w:lineRule="auto"/>
        <w:ind w:left="426" w:hanging="360"/>
        <w:jc w:val="both"/>
        <w:rPr>
          <w:rFonts w:ascii="Calibri" w:eastAsia="Times New Roman" w:hAnsi="Calibri" w:cs="Arial"/>
          <w:color w:val="000000"/>
          <w:kern w:val="0"/>
          <w:lang w:val="es-ES_tradnl" w:eastAsia="es-CR"/>
          <w14:ligatures w14:val="none"/>
        </w:rPr>
      </w:pPr>
    </w:p>
    <w:p w14:paraId="7440CA32" w14:textId="77777777" w:rsidR="00687AE9" w:rsidRPr="00687AE9" w:rsidRDefault="00687AE9" w:rsidP="00687AE9">
      <w:pPr>
        <w:widowControl w:val="0"/>
        <w:numPr>
          <w:ilvl w:val="0"/>
          <w:numId w:val="154"/>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Identificar algunos elementos decisivos para el desarrollo de una nueva pastoral latinoamericana.</w:t>
      </w:r>
    </w:p>
    <w:p w14:paraId="7499DC05" w14:textId="77777777" w:rsidR="00687AE9" w:rsidRPr="00687AE9" w:rsidRDefault="00687AE9" w:rsidP="00687AE9">
      <w:pPr>
        <w:keepNext/>
        <w:widowControl w:val="0"/>
        <w:overflowPunct w:val="0"/>
        <w:autoSpaceDE w:val="0"/>
        <w:autoSpaceDN w:val="0"/>
        <w:adjustRightInd w:val="0"/>
        <w:spacing w:after="0" w:line="240" w:lineRule="auto"/>
        <w:jc w:val="both"/>
        <w:outlineLvl w:val="1"/>
        <w:rPr>
          <w:rFonts w:ascii="Calibri" w:eastAsia="Times New Roman" w:hAnsi="Calibri" w:cs="Arial"/>
          <w:b/>
          <w:color w:val="000000"/>
          <w:spacing w:val="-2"/>
          <w:kern w:val="28"/>
          <w:lang w:val="es-ES_tradnl" w:eastAsia="es-CR"/>
          <w14:ligatures w14:val="none"/>
        </w:rPr>
      </w:pPr>
    </w:p>
    <w:p w14:paraId="4D9A8F65" w14:textId="77777777" w:rsidR="00687AE9" w:rsidRPr="00687AE9" w:rsidRDefault="00687AE9" w:rsidP="00687AE9">
      <w:pPr>
        <w:keepNext/>
        <w:widowControl w:val="0"/>
        <w:overflowPunct w:val="0"/>
        <w:autoSpaceDE w:val="0"/>
        <w:autoSpaceDN w:val="0"/>
        <w:adjustRightInd w:val="0"/>
        <w:spacing w:after="0" w:line="240" w:lineRule="auto"/>
        <w:jc w:val="both"/>
        <w:outlineLvl w:val="1"/>
        <w:rPr>
          <w:rFonts w:ascii="Calibri" w:eastAsia="Times New Roman" w:hAnsi="Calibri" w:cs="Arial"/>
          <w:color w:val="000000"/>
          <w:spacing w:val="-2"/>
          <w:kern w:val="28"/>
          <w:lang w:val="es-ES_tradnl" w:eastAsia="es-CR"/>
          <w14:ligatures w14:val="none"/>
        </w:rPr>
      </w:pPr>
      <w:r w:rsidRPr="00687AE9">
        <w:rPr>
          <w:rFonts w:ascii="Calibri" w:eastAsia="Times New Roman" w:hAnsi="Calibri" w:cs="Arial"/>
          <w:b/>
          <w:color w:val="000000"/>
          <w:spacing w:val="-2"/>
          <w:kern w:val="28"/>
          <w:lang w:val="es-ES_tradnl" w:eastAsia="es-CR"/>
          <w14:ligatures w14:val="none"/>
        </w:rPr>
        <w:t>IV. Contenidos</w:t>
      </w:r>
    </w:p>
    <w:p w14:paraId="3D7BFEF7"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p>
    <w:p w14:paraId="58F12B70"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1: Introducción al curso</w:t>
      </w:r>
    </w:p>
    <w:p w14:paraId="371C3C22"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513BB307"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1.1. Conceptualizaciones</w:t>
      </w:r>
    </w:p>
    <w:p w14:paraId="7A4FE2BD"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1.2. Explicaciones metodológicas</w:t>
      </w:r>
    </w:p>
    <w:p w14:paraId="65BA6CA3" w14:textId="77777777" w:rsidR="00687AE9" w:rsidRPr="00687AE9" w:rsidRDefault="00687AE9" w:rsidP="00687AE9">
      <w:pPr>
        <w:widowControl w:val="0"/>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3BE68C58"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2: Reconstruyendo el propio peregrinaje pastoral</w:t>
      </w:r>
    </w:p>
    <w:p w14:paraId="16A2F1B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04201350"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2.1. Tres ejemplos de experiencia pastoral</w:t>
      </w:r>
    </w:p>
    <w:p w14:paraId="5D919404"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2.2. La acción pastoral en América Latina</w:t>
      </w:r>
    </w:p>
    <w:p w14:paraId="34E840E2" w14:textId="77777777" w:rsidR="00687AE9" w:rsidRPr="00687AE9" w:rsidRDefault="00687AE9" w:rsidP="00687AE9">
      <w:pPr>
        <w:widowControl w:val="0"/>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4D0DF95D"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3: Acercamiento pastoral a la comunidad</w:t>
      </w:r>
    </w:p>
    <w:p w14:paraId="2C2447C4"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p>
    <w:p w14:paraId="06E20206" w14:textId="77777777" w:rsidR="00687AE9" w:rsidRPr="00687AE9" w:rsidRDefault="00687AE9" w:rsidP="00687AE9">
      <w:pPr>
        <w:keepNext/>
        <w:widowControl w:val="0"/>
        <w:overflowPunct w:val="0"/>
        <w:autoSpaceDE w:val="0"/>
        <w:autoSpaceDN w:val="0"/>
        <w:adjustRightInd w:val="0"/>
        <w:spacing w:after="0" w:line="240" w:lineRule="auto"/>
        <w:ind w:firstLine="708"/>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3.1. El diario de campo</w:t>
      </w:r>
    </w:p>
    <w:p w14:paraId="27744F29"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3.2. La encuesta selectiva</w:t>
      </w:r>
    </w:p>
    <w:p w14:paraId="340DAD77"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3.3. La entrevista a profundidad</w:t>
      </w:r>
    </w:p>
    <w:p w14:paraId="0BC47258" w14:textId="77777777" w:rsidR="00687AE9" w:rsidRPr="00687AE9" w:rsidRDefault="00687AE9" w:rsidP="00687AE9">
      <w:pPr>
        <w:widowControl w:val="0"/>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0A6351B8"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4:</w:t>
      </w:r>
      <w:r w:rsidRPr="00687AE9">
        <w:rPr>
          <w:rFonts w:ascii="Calibri" w:eastAsia="Times New Roman" w:hAnsi="Calibri" w:cs="Arial"/>
          <w:color w:val="000000"/>
          <w:kern w:val="0"/>
          <w:lang w:val="es-ES_tradnl" w:eastAsia="es-CR"/>
          <w14:ligatures w14:val="none"/>
        </w:rPr>
        <w:t xml:space="preserve"> </w:t>
      </w:r>
      <w:r w:rsidRPr="00687AE9">
        <w:rPr>
          <w:rFonts w:ascii="Calibri" w:eastAsia="Times New Roman" w:hAnsi="Calibri" w:cs="Arial"/>
          <w:b/>
          <w:color w:val="000000"/>
          <w:kern w:val="0"/>
          <w:lang w:val="es-ES_tradnl" w:eastAsia="es-CR"/>
          <w14:ligatures w14:val="none"/>
        </w:rPr>
        <w:t>Conocimiento de la realidad y acción pastoral</w:t>
      </w:r>
    </w:p>
    <w:p w14:paraId="1F42B8B7"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5DB51926"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lastRenderedPageBreak/>
        <w:t>4.1. Introducción</w:t>
      </w:r>
    </w:p>
    <w:p w14:paraId="0792AA63"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4.2. Análisis de la realidad</w:t>
      </w:r>
    </w:p>
    <w:p w14:paraId="209F5ACE"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5:</w:t>
      </w:r>
      <w:r w:rsidRPr="00687AE9">
        <w:rPr>
          <w:rFonts w:ascii="Calibri" w:eastAsia="Times New Roman" w:hAnsi="Calibri" w:cs="Arial"/>
          <w:color w:val="000000"/>
          <w:kern w:val="0"/>
          <w:lang w:val="es-ES_tradnl" w:eastAsia="es-CR"/>
          <w14:ligatures w14:val="none"/>
        </w:rPr>
        <w:t xml:space="preserve"> </w:t>
      </w:r>
      <w:r w:rsidRPr="00687AE9">
        <w:rPr>
          <w:rFonts w:ascii="Calibri" w:eastAsia="Times New Roman" w:hAnsi="Calibri" w:cs="Arial"/>
          <w:b/>
          <w:color w:val="000000"/>
          <w:kern w:val="0"/>
          <w:lang w:val="es-ES_tradnl" w:eastAsia="es-CR"/>
          <w14:ligatures w14:val="none"/>
        </w:rPr>
        <w:t>Modelos bíblicos de pastoral</w:t>
      </w:r>
    </w:p>
    <w:p w14:paraId="1C6B4537"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5A4B012E"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5.1. El concepto de "pastor" en la Biblia</w:t>
      </w:r>
    </w:p>
    <w:p w14:paraId="0A793661"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5.2. Modelos bíblicos de pastoral</w:t>
      </w:r>
    </w:p>
    <w:p w14:paraId="6727D398"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p>
    <w:p w14:paraId="7DED5C6F"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6: Modelos históricos de pastoral en América Latina</w:t>
      </w:r>
    </w:p>
    <w:p w14:paraId="160015F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1C56B610"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6.1. Pastoral durante la conquista y colonización</w:t>
      </w:r>
    </w:p>
    <w:p w14:paraId="459352C9"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6.2. Pastoral durante los procesos de independencia</w:t>
      </w:r>
    </w:p>
    <w:p w14:paraId="3FDBD418"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6.3. Pastoral en el contexto de pugnas conservadoras-liberales</w:t>
      </w:r>
    </w:p>
    <w:p w14:paraId="6F6465D9"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6.4. Pastoral después de la Segunda Guerra Mundial</w:t>
      </w:r>
    </w:p>
    <w:p w14:paraId="79A41A75" w14:textId="77777777" w:rsidR="00687AE9" w:rsidRPr="00687AE9" w:rsidRDefault="00687AE9" w:rsidP="00687AE9">
      <w:pPr>
        <w:widowControl w:val="0"/>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2797F89C"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7:</w:t>
      </w:r>
      <w:r w:rsidRPr="00687AE9">
        <w:rPr>
          <w:rFonts w:ascii="Calibri" w:eastAsia="Times New Roman" w:hAnsi="Calibri" w:cs="Arial"/>
          <w:color w:val="000000"/>
          <w:kern w:val="0"/>
          <w:lang w:val="es-ES_tradnl" w:eastAsia="es-CR"/>
          <w14:ligatures w14:val="none"/>
        </w:rPr>
        <w:t xml:space="preserve"> </w:t>
      </w:r>
      <w:r w:rsidRPr="00687AE9">
        <w:rPr>
          <w:rFonts w:ascii="Calibri" w:eastAsia="Times New Roman" w:hAnsi="Calibri" w:cs="Arial"/>
          <w:b/>
          <w:color w:val="000000"/>
          <w:kern w:val="0"/>
          <w:lang w:val="es-ES_tradnl" w:eastAsia="es-CR"/>
          <w14:ligatures w14:val="none"/>
        </w:rPr>
        <w:t>Modelos actuales de experiencia pastoral</w:t>
      </w:r>
    </w:p>
    <w:p w14:paraId="0C294720" w14:textId="77777777" w:rsidR="00687AE9" w:rsidRPr="00687AE9" w:rsidRDefault="00687AE9" w:rsidP="00687AE9">
      <w:pPr>
        <w:widowControl w:val="0"/>
        <w:tabs>
          <w:tab w:val="left" w:pos="1080"/>
        </w:tabs>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269A50EC" w14:textId="77777777" w:rsidR="00687AE9" w:rsidRPr="00687AE9" w:rsidRDefault="00687AE9" w:rsidP="00687AE9">
      <w:pPr>
        <w:widowControl w:val="0"/>
        <w:tabs>
          <w:tab w:val="left" w:pos="1080"/>
        </w:tabs>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 xml:space="preserve">              7.1. Pastoral tradicional</w:t>
      </w:r>
    </w:p>
    <w:p w14:paraId="091F2D5A" w14:textId="77777777" w:rsidR="00687AE9" w:rsidRPr="00687AE9" w:rsidRDefault="00687AE9" w:rsidP="4C9C2619">
      <w:pPr>
        <w:widowControl w:val="0"/>
        <w:tabs>
          <w:tab w:val="left" w:pos="1080"/>
        </w:tabs>
        <w:overflowPunct w:val="0"/>
        <w:autoSpaceDE w:val="0"/>
        <w:autoSpaceDN w:val="0"/>
        <w:adjustRightInd w:val="0"/>
        <w:spacing w:after="0" w:line="240" w:lineRule="auto"/>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 xml:space="preserve">              7.2. Pastoral </w:t>
      </w:r>
      <w:proofErr w:type="spellStart"/>
      <w:r w:rsidRPr="4C9C2619">
        <w:rPr>
          <w:rFonts w:ascii="Calibri" w:eastAsia="Times New Roman" w:hAnsi="Calibri" w:cs="Arial"/>
          <w:color w:val="000000"/>
          <w:kern w:val="0"/>
          <w:lang w:val="es-ES" w:eastAsia="es-CR"/>
          <w14:ligatures w14:val="none"/>
        </w:rPr>
        <w:t>neo-pentecostal</w:t>
      </w:r>
      <w:proofErr w:type="spellEnd"/>
    </w:p>
    <w:p w14:paraId="0C1B9157" w14:textId="77777777" w:rsidR="00687AE9" w:rsidRPr="00687AE9" w:rsidRDefault="00687AE9" w:rsidP="00687AE9">
      <w:pPr>
        <w:widowControl w:val="0"/>
        <w:tabs>
          <w:tab w:val="left" w:pos="1080"/>
        </w:tabs>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 xml:space="preserve">              7.3. Pastoral profética transformadora</w:t>
      </w:r>
    </w:p>
    <w:p w14:paraId="18A38090" w14:textId="77777777" w:rsidR="00687AE9" w:rsidRPr="00687AE9" w:rsidRDefault="00687AE9" w:rsidP="00687AE9">
      <w:pPr>
        <w:widowControl w:val="0"/>
        <w:tabs>
          <w:tab w:val="left" w:pos="1080"/>
        </w:tabs>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5387D281"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color w:val="000000"/>
          <w:kern w:val="0"/>
          <w:lang w:val="es-ES_tradnl" w:eastAsia="es-CR"/>
          <w14:ligatures w14:val="none"/>
        </w:rPr>
      </w:pPr>
      <w:r w:rsidRPr="00687AE9">
        <w:rPr>
          <w:rFonts w:ascii="Calibri" w:eastAsia="Times New Roman" w:hAnsi="Calibri" w:cs="Arial"/>
          <w:b/>
          <w:color w:val="000000"/>
          <w:kern w:val="0"/>
          <w:lang w:val="es-ES_tradnl" w:eastAsia="es-CR"/>
          <w14:ligatures w14:val="none"/>
        </w:rPr>
        <w:t>Unidad 8: Implicaciones para una nueva pastoral latinoamericana</w:t>
      </w:r>
    </w:p>
    <w:p w14:paraId="1CA36F90"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44FBB2D7"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8.1. Evangelización y pastoral</w:t>
      </w:r>
    </w:p>
    <w:p w14:paraId="0708BF8B"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8.2. Ministerio docente en la iglesia y pastoral</w:t>
      </w:r>
    </w:p>
    <w:p w14:paraId="75A8FE60" w14:textId="77777777" w:rsidR="00687AE9" w:rsidRPr="00687AE9" w:rsidRDefault="00687AE9" w:rsidP="00687AE9">
      <w:pPr>
        <w:widowControl w:val="0"/>
        <w:overflowPunct w:val="0"/>
        <w:autoSpaceDE w:val="0"/>
        <w:autoSpaceDN w:val="0"/>
        <w:adjustRightInd w:val="0"/>
        <w:spacing w:after="0" w:line="240" w:lineRule="auto"/>
        <w:ind w:firstLine="708"/>
        <w:rPr>
          <w:rFonts w:ascii="Calibri" w:eastAsia="Times New Roman" w:hAnsi="Calibri" w:cs="Arial"/>
          <w:color w:val="000000"/>
          <w:kern w:val="0"/>
          <w:lang w:val="es-ES_tradnl" w:eastAsia="es-CR"/>
          <w14:ligatures w14:val="none"/>
        </w:rPr>
      </w:pPr>
      <w:r w:rsidRPr="00687AE9">
        <w:rPr>
          <w:rFonts w:ascii="Calibri" w:eastAsia="Times New Roman" w:hAnsi="Calibri" w:cs="Arial"/>
          <w:color w:val="000000"/>
          <w:kern w:val="0"/>
          <w:lang w:val="es-ES_tradnl" w:eastAsia="es-CR"/>
          <w14:ligatures w14:val="none"/>
        </w:rPr>
        <w:t>8.3. Liturgia y pastoral</w:t>
      </w:r>
    </w:p>
    <w:p w14:paraId="6F33A2A2" w14:textId="77777777" w:rsidR="00687AE9" w:rsidRPr="00687AE9" w:rsidRDefault="00687AE9" w:rsidP="00687AE9">
      <w:pPr>
        <w:widowControl w:val="0"/>
        <w:overflowPunct w:val="0"/>
        <w:autoSpaceDE w:val="0"/>
        <w:autoSpaceDN w:val="0"/>
        <w:adjustRightInd w:val="0"/>
        <w:spacing w:after="0" w:line="240" w:lineRule="auto"/>
        <w:ind w:left="1080"/>
        <w:rPr>
          <w:rFonts w:ascii="Calibri" w:eastAsia="Times New Roman" w:hAnsi="Calibri" w:cs="Arial"/>
          <w:color w:val="000000"/>
          <w:kern w:val="0"/>
          <w:lang w:val="es-ES_tradnl" w:eastAsia="es-CR"/>
          <w14:ligatures w14:val="none"/>
        </w:rPr>
      </w:pPr>
    </w:p>
    <w:p w14:paraId="2AF30123" w14:textId="77777777" w:rsidR="00687AE9" w:rsidRPr="00687AE9" w:rsidRDefault="00687AE9" w:rsidP="00687AE9">
      <w:pPr>
        <w:spacing w:after="0" w:line="240" w:lineRule="auto"/>
        <w:jc w:val="both"/>
        <w:rPr>
          <w:rFonts w:ascii="Calibri" w:eastAsia="Times New Roman" w:hAnsi="Calibri" w:cs="Arial"/>
          <w:b/>
          <w:color w:val="000000"/>
          <w:kern w:val="0"/>
          <w:lang w:val="es-ES" w:eastAsia="es-ES"/>
          <w14:ligatures w14:val="none"/>
        </w:rPr>
      </w:pPr>
      <w:r w:rsidRPr="00687AE9">
        <w:rPr>
          <w:rFonts w:ascii="Calibri" w:eastAsia="Times New Roman" w:hAnsi="Calibri" w:cs="Arial"/>
          <w:b/>
          <w:color w:val="000000"/>
          <w:kern w:val="0"/>
          <w:lang w:val="es-ES" w:eastAsia="es-ES"/>
          <w14:ligatures w14:val="none"/>
        </w:rPr>
        <w:t>Unidad 9: El proyecto pastoral</w:t>
      </w:r>
    </w:p>
    <w:p w14:paraId="477F5EED" w14:textId="77777777" w:rsidR="00687AE9" w:rsidRPr="00687AE9" w:rsidRDefault="00687AE9" w:rsidP="00687AE9">
      <w:pPr>
        <w:spacing w:after="0" w:line="240" w:lineRule="auto"/>
        <w:jc w:val="both"/>
        <w:rPr>
          <w:rFonts w:ascii="Calibri" w:eastAsia="Times New Roman" w:hAnsi="Calibri" w:cs="Arial"/>
          <w:color w:val="000000"/>
          <w:kern w:val="0"/>
          <w:lang w:val="es-ES" w:eastAsia="es-ES"/>
          <w14:ligatures w14:val="none"/>
        </w:rPr>
      </w:pPr>
    </w:p>
    <w:p w14:paraId="7C698150" w14:textId="77777777" w:rsidR="00687AE9" w:rsidRPr="00687AE9" w:rsidRDefault="00687AE9" w:rsidP="00687AE9">
      <w:pPr>
        <w:spacing w:after="0" w:line="240" w:lineRule="auto"/>
        <w:ind w:firstLine="708"/>
        <w:jc w:val="both"/>
        <w:rPr>
          <w:rFonts w:ascii="Calibri" w:eastAsia="Times New Roman" w:hAnsi="Calibri" w:cs="Arial"/>
          <w:color w:val="000000"/>
          <w:kern w:val="0"/>
          <w:lang w:val="es-ES" w:eastAsia="es-ES"/>
          <w14:ligatures w14:val="none"/>
        </w:rPr>
      </w:pPr>
      <w:r w:rsidRPr="00687AE9">
        <w:rPr>
          <w:rFonts w:ascii="Calibri" w:eastAsia="Times New Roman" w:hAnsi="Calibri" w:cs="Arial"/>
          <w:color w:val="000000"/>
          <w:kern w:val="0"/>
          <w:lang w:val="es-ES" w:eastAsia="es-ES"/>
          <w14:ligatures w14:val="none"/>
        </w:rPr>
        <w:t>9.1. Diseño de proyectos</w:t>
      </w:r>
    </w:p>
    <w:p w14:paraId="7692C462" w14:textId="77777777" w:rsidR="00687AE9" w:rsidRPr="00687AE9" w:rsidRDefault="00687AE9" w:rsidP="00687AE9">
      <w:pPr>
        <w:spacing w:after="0" w:line="240" w:lineRule="auto"/>
        <w:ind w:firstLine="708"/>
        <w:jc w:val="both"/>
        <w:rPr>
          <w:rFonts w:ascii="Calibri" w:eastAsia="Times New Roman" w:hAnsi="Calibri" w:cs="Arial"/>
          <w:color w:val="000000"/>
          <w:kern w:val="0"/>
          <w:lang w:val="es-ES" w:eastAsia="es-ES"/>
          <w14:ligatures w14:val="none"/>
        </w:rPr>
      </w:pPr>
      <w:r w:rsidRPr="00687AE9">
        <w:rPr>
          <w:rFonts w:ascii="Calibri" w:eastAsia="Times New Roman" w:hAnsi="Calibri" w:cs="Arial"/>
          <w:color w:val="000000"/>
          <w:kern w:val="0"/>
          <w:lang w:val="es-ES" w:eastAsia="es-ES"/>
          <w14:ligatures w14:val="none"/>
        </w:rPr>
        <w:t>9.2. Presentación de proyectos</w:t>
      </w:r>
    </w:p>
    <w:p w14:paraId="7784DA36" w14:textId="77777777" w:rsidR="00687AE9" w:rsidRPr="00687AE9" w:rsidRDefault="00687AE9" w:rsidP="00687AE9">
      <w:pPr>
        <w:spacing w:after="0" w:line="240" w:lineRule="auto"/>
        <w:ind w:firstLine="708"/>
        <w:jc w:val="both"/>
        <w:rPr>
          <w:rFonts w:ascii="Calibri" w:eastAsia="Times New Roman" w:hAnsi="Calibri" w:cs="Arial"/>
          <w:color w:val="000000"/>
          <w:kern w:val="0"/>
          <w:lang w:val="es-ES" w:eastAsia="es-ES"/>
          <w14:ligatures w14:val="none"/>
        </w:rPr>
      </w:pPr>
      <w:r w:rsidRPr="00687AE9">
        <w:rPr>
          <w:rFonts w:ascii="Calibri" w:eastAsia="Times New Roman" w:hAnsi="Calibri" w:cs="Arial"/>
          <w:color w:val="000000"/>
          <w:kern w:val="0"/>
          <w:lang w:val="es-ES" w:eastAsia="es-ES"/>
          <w14:ligatures w14:val="none"/>
        </w:rPr>
        <w:t>9.3. Socialización de los proyectos</w:t>
      </w:r>
    </w:p>
    <w:p w14:paraId="3EB4382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b/>
          <w:color w:val="000000"/>
          <w:kern w:val="0"/>
          <w:lang w:val="pt-BR" w:eastAsia="es-CR"/>
          <w14:ligatures w14:val="none"/>
        </w:rPr>
      </w:pPr>
    </w:p>
    <w:p w14:paraId="22DA6D8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b/>
          <w:color w:val="000000"/>
          <w:kern w:val="0"/>
          <w:lang w:val="pt-BR" w:eastAsia="es-CR"/>
          <w14:ligatures w14:val="none"/>
        </w:rPr>
      </w:pPr>
    </w:p>
    <w:p w14:paraId="30A9CE6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b/>
          <w:color w:val="000000"/>
          <w:kern w:val="0"/>
          <w:lang w:val="pt-BR" w:eastAsia="es-CR"/>
          <w14:ligatures w14:val="none"/>
        </w:rPr>
      </w:pPr>
      <w:r w:rsidRPr="00687AE9">
        <w:rPr>
          <w:rFonts w:ascii="Calibri" w:eastAsia="Times New Roman" w:hAnsi="Calibri" w:cs="Arial"/>
          <w:b/>
          <w:color w:val="000000"/>
          <w:kern w:val="0"/>
          <w:lang w:val="pt-BR" w:eastAsia="es-CR"/>
          <w14:ligatures w14:val="none"/>
        </w:rPr>
        <w:t>V. Metodologia</w:t>
      </w:r>
    </w:p>
    <w:p w14:paraId="7D6136BC" w14:textId="77777777" w:rsidR="00687AE9" w:rsidRPr="00687AE9" w:rsidRDefault="00687AE9"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157DD644" w14:textId="77777777" w:rsidR="00687AE9" w:rsidRPr="00687AE9" w:rsidRDefault="00687AE9" w:rsidP="00687AE9">
      <w:pPr>
        <w:spacing w:after="0" w:line="240" w:lineRule="auto"/>
        <w:contextualSpacing/>
        <w:jc w:val="both"/>
        <w:rPr>
          <w:rFonts w:ascii="Calibri" w:eastAsia="Calibri" w:hAnsi="Calibri" w:cs="Arial"/>
          <w:bCs/>
          <w:color w:val="000000"/>
          <w:kern w:val="0"/>
          <w:lang w:val="es-ES_tradnl"/>
          <w14:ligatures w14:val="none"/>
        </w:rPr>
      </w:pPr>
    </w:p>
    <w:p w14:paraId="1791ADDF" w14:textId="77777777" w:rsidR="00687AE9" w:rsidRPr="00687AE9" w:rsidRDefault="00687AE9" w:rsidP="00687AE9">
      <w:pPr>
        <w:spacing w:after="0" w:line="240" w:lineRule="auto"/>
        <w:contextualSpacing/>
        <w:jc w:val="both"/>
        <w:rPr>
          <w:rFonts w:ascii="Calibri" w:eastAsia="Calibri" w:hAnsi="Calibri" w:cs="Arial"/>
          <w:bCs/>
          <w:color w:val="000000"/>
          <w:kern w:val="0"/>
          <w14:ligatures w14:val="none"/>
        </w:rPr>
      </w:pPr>
      <w:r w:rsidRPr="00687AE9">
        <w:rPr>
          <w:rFonts w:ascii="Calibri" w:eastAsia="Calibri" w:hAnsi="Calibri" w:cs="Arial"/>
          <w:bCs/>
          <w:color w:val="000000"/>
          <w:kern w:val="0"/>
          <w14:ligatures w14:val="none"/>
        </w:rPr>
        <w:t xml:space="preserve">El curso es de naturaleza teórico-práctico. Se privilegia tanto la reflexión como la participación de los y las estudiantes desde su propia experiencia pastoral. Se generan actividades que enriquecen </w:t>
      </w:r>
      <w:r w:rsidRPr="00687AE9">
        <w:rPr>
          <w:rFonts w:ascii="Calibri" w:eastAsia="Calibri" w:hAnsi="Calibri" w:cs="Arial"/>
          <w:bCs/>
          <w:color w:val="000000"/>
          <w:kern w:val="0"/>
          <w14:ligatures w14:val="none"/>
        </w:rPr>
        <w:lastRenderedPageBreak/>
        <w:t>la reflexión teórica y que permiten a los y las estudiantes poner en práctica sus aprendizajes teóricos. Este último elemento es de vital importancia para el desarrollo del curso. En diferentes sesiones se realizarán encuentros sincrónicos virtuales para profundizar los temas.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Los y las estudiantes tendrán la responsabilidad de realizar las lecturas y el trabajo requerido. Durante el curso se privilegiará el debate crítico reflexivo (a través de foros temáticos y un wiki) por parte de los y las estudiantes, sobre los aportes de los autores y de la persona docente, haciendo un puente con su propia praxis pastoral. El rol de la persona docente es la de facilitadora del aprendizaje.</w:t>
      </w:r>
    </w:p>
    <w:p w14:paraId="4AC7FC35" w14:textId="77777777" w:rsidR="00687AE9" w:rsidRPr="00687AE9" w:rsidRDefault="00687AE9" w:rsidP="00687AE9">
      <w:pPr>
        <w:spacing w:after="0" w:line="240" w:lineRule="auto"/>
        <w:contextualSpacing/>
        <w:jc w:val="both"/>
        <w:rPr>
          <w:rFonts w:ascii="Calibri" w:eastAsia="Calibri" w:hAnsi="Calibri" w:cs="Arial"/>
          <w:bCs/>
          <w:color w:val="000000"/>
          <w:kern w:val="0"/>
          <w14:ligatures w14:val="none"/>
        </w:rPr>
      </w:pPr>
    </w:p>
    <w:p w14:paraId="75235FEE" w14:textId="77777777" w:rsidR="00687AE9" w:rsidRPr="00687AE9" w:rsidRDefault="00687AE9" w:rsidP="00687AE9">
      <w:pPr>
        <w:spacing w:after="0" w:line="240" w:lineRule="auto"/>
        <w:contextualSpacing/>
        <w:jc w:val="both"/>
        <w:rPr>
          <w:rFonts w:ascii="Calibri" w:eastAsia="Calibri" w:hAnsi="Calibri" w:cs="Arial"/>
          <w:bCs/>
          <w:color w:val="000000"/>
          <w:kern w:val="0"/>
          <w14:ligatures w14:val="none"/>
        </w:rPr>
      </w:pPr>
      <w:r w:rsidRPr="00687AE9">
        <w:rPr>
          <w:rFonts w:ascii="Calibri" w:eastAsia="Calibri" w:hAnsi="Calibri" w:cs="Arial"/>
          <w:bCs/>
          <w:color w:val="000000"/>
          <w:kern w:val="0"/>
          <w14:ligatures w14:val="none"/>
        </w:rPr>
        <w:t xml:space="preserve">El curso parte de la reflexión sobre el propio peregrinaje pastoral de los y las estudiantes, quienes procederán a sistematizarlo y a señalar puntos centrales que les inquietan sobre la práctica pastoral de su iglesia o comunidad de fe. Mediante la observación pastoral, los y las estudiantes explorarán las necesidades y los problemas de su comunidad de fe, haciendo un análisis coyuntural de la realidad misma. Luego se analizarán modelos bíblicos y actuales de acción pastoral. El curso posibilita también sistematizar los diferentes modelos históricos de pastoral. El debate crítico y la reflexión sobre estos modelos permitirán analizar su vigencia, así como elementos claves para el desarrollo de una nueva propuesta pastoral latinoamericana y caribeña. </w:t>
      </w:r>
    </w:p>
    <w:p w14:paraId="69243621" w14:textId="77777777" w:rsidR="00687AE9" w:rsidRPr="00687AE9" w:rsidRDefault="00687AE9" w:rsidP="00687AE9">
      <w:pPr>
        <w:spacing w:after="0" w:line="240" w:lineRule="auto"/>
        <w:jc w:val="both"/>
        <w:rPr>
          <w:rFonts w:ascii="Calibri" w:eastAsia="Calibri" w:hAnsi="Calibri" w:cs="Arial"/>
          <w:b/>
          <w:bCs/>
          <w:color w:val="000000"/>
          <w:kern w:val="0"/>
          <w14:ligatures w14:val="none"/>
        </w:rPr>
      </w:pPr>
    </w:p>
    <w:p w14:paraId="2D3D75D1" w14:textId="77777777" w:rsidR="00687AE9" w:rsidRPr="00687AE9" w:rsidRDefault="00687AE9" w:rsidP="00687AE9">
      <w:pPr>
        <w:spacing w:after="0" w:line="240" w:lineRule="auto"/>
        <w:jc w:val="both"/>
        <w:rPr>
          <w:rFonts w:ascii="Calibri" w:eastAsia="Calibri" w:hAnsi="Calibri" w:cs="Arial"/>
          <w:b/>
          <w:bCs/>
          <w:color w:val="000000"/>
          <w:kern w:val="0"/>
          <w14:ligatures w14:val="none"/>
        </w:rPr>
      </w:pPr>
      <w:r w:rsidRPr="00687AE9">
        <w:rPr>
          <w:rFonts w:ascii="Calibri" w:eastAsia="Calibri" w:hAnsi="Calibri" w:cs="Arial"/>
          <w:b/>
          <w:bCs/>
          <w:color w:val="000000"/>
          <w:kern w:val="0"/>
          <w14:ligatures w14:val="none"/>
        </w:rPr>
        <w:t>VI. Estrategias de aprendizaje</w:t>
      </w:r>
    </w:p>
    <w:p w14:paraId="29DDA6FF" w14:textId="77777777" w:rsidR="00687AE9" w:rsidRPr="00687AE9" w:rsidRDefault="00687AE9" w:rsidP="00687AE9">
      <w:pPr>
        <w:spacing w:after="0" w:line="240" w:lineRule="auto"/>
        <w:jc w:val="both"/>
        <w:rPr>
          <w:rFonts w:ascii="Calibri" w:eastAsia="Calibri" w:hAnsi="Calibri" w:cs="Arial"/>
          <w:bCs/>
          <w:color w:val="000000"/>
          <w:kern w:val="0"/>
          <w14:ligatures w14:val="none"/>
        </w:rPr>
      </w:pPr>
    </w:p>
    <w:p w14:paraId="375C56D5" w14:textId="77777777" w:rsidR="00687AE9" w:rsidRPr="00687AE9" w:rsidRDefault="00687AE9" w:rsidP="00687AE9">
      <w:pPr>
        <w:spacing w:after="0" w:line="240" w:lineRule="auto"/>
        <w:jc w:val="both"/>
        <w:rPr>
          <w:rFonts w:ascii="Calibri" w:eastAsia="Calibri" w:hAnsi="Calibri" w:cs="Arial"/>
          <w:bCs/>
          <w:color w:val="000000"/>
          <w:kern w:val="0"/>
          <w14:ligatures w14:val="none"/>
        </w:rPr>
      </w:pPr>
      <w:r w:rsidRPr="00687AE9">
        <w:rPr>
          <w:rFonts w:ascii="Calibri" w:eastAsia="Calibri" w:hAnsi="Calibri" w:cs="Arial"/>
          <w:bCs/>
          <w:color w:val="000000"/>
          <w:kern w:val="0"/>
          <w14:ligatures w14:val="none"/>
        </w:rPr>
        <w:t>En el presente curso CTX107 se busca como aprendizaje que las personas estudiantes analicen elementos fundamentales desde la historia, la realidad y la Biblia para evaluar e iluminar su propia labor pastoral.</w:t>
      </w:r>
    </w:p>
    <w:p w14:paraId="6C7C0D2E" w14:textId="77777777" w:rsidR="00687AE9" w:rsidRPr="00687AE9" w:rsidRDefault="00687AE9" w:rsidP="00687AE9">
      <w:pPr>
        <w:spacing w:after="0" w:line="240" w:lineRule="auto"/>
        <w:jc w:val="both"/>
        <w:rPr>
          <w:rFonts w:ascii="Calibri" w:eastAsia="Times New Roman" w:hAnsi="Calibri" w:cs="Arial"/>
          <w:color w:val="000000"/>
          <w:kern w:val="0"/>
          <w:lang w:val="es-ES" w:eastAsia="es-ES"/>
          <w14:ligatures w14:val="none"/>
        </w:rPr>
      </w:pPr>
    </w:p>
    <w:p w14:paraId="6E129BD0" w14:textId="77777777" w:rsidR="00687AE9" w:rsidRPr="00687AE9" w:rsidRDefault="00687AE9" w:rsidP="00687AE9">
      <w:pPr>
        <w:spacing w:after="0" w:line="240" w:lineRule="auto"/>
        <w:jc w:val="both"/>
        <w:rPr>
          <w:rFonts w:ascii="Calibri" w:eastAsia="Times New Roman" w:hAnsi="Calibri" w:cs="Arial"/>
          <w:color w:val="000000"/>
          <w:kern w:val="0"/>
          <w:lang w:val="es-ES" w:eastAsia="es-ES"/>
          <w14:ligatures w14:val="none"/>
        </w:rPr>
      </w:pPr>
      <w:r w:rsidRPr="00687AE9">
        <w:rPr>
          <w:rFonts w:ascii="Calibri" w:eastAsia="Times New Roman" w:hAnsi="Calibri" w:cs="Arial"/>
          <w:color w:val="000000"/>
          <w:kern w:val="0"/>
          <w:lang w:val="es-ES" w:eastAsia="es-ES"/>
          <w14:ligatures w14:val="none"/>
        </w:rPr>
        <w:t>Se utilizan las siguientes estrategias de aprendizaje:</w:t>
      </w:r>
    </w:p>
    <w:p w14:paraId="5AF06F60" w14:textId="77777777" w:rsidR="00687AE9" w:rsidRPr="00687AE9" w:rsidRDefault="00687AE9" w:rsidP="00687AE9">
      <w:pPr>
        <w:spacing w:after="0" w:line="240" w:lineRule="auto"/>
        <w:jc w:val="both"/>
        <w:rPr>
          <w:rFonts w:ascii="Calibri" w:eastAsia="Times New Roman" w:hAnsi="Calibri" w:cs="Arial"/>
          <w:color w:val="000000"/>
          <w:kern w:val="0"/>
          <w:lang w:val="es-ES" w:eastAsia="es-ES"/>
          <w14:ligatures w14:val="none"/>
        </w:rPr>
      </w:pPr>
    </w:p>
    <w:p w14:paraId="54ED969B"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r w:rsidRPr="00687AE9">
        <w:rPr>
          <w:rFonts w:ascii="Calibri" w:eastAsia="Times New Roman" w:hAnsi="Calibri" w:cs="Calibri"/>
          <w:b/>
          <w:color w:val="000000"/>
          <w:kern w:val="0"/>
          <w:lang w:val="es-ES_tradnl" w:eastAsia="es-CR"/>
          <w14:ligatures w14:val="none"/>
        </w:rPr>
        <w:t xml:space="preserve">a) Foro: </w:t>
      </w:r>
      <w:r w:rsidRPr="00687AE9">
        <w:rPr>
          <w:rFonts w:ascii="Calibri" w:eastAsia="Calibri" w:hAnsi="Calibri" w:cs="Calibri"/>
          <w:bCs/>
          <w:kern w:val="0"/>
          <w14:ligatures w14:val="none"/>
        </w:rPr>
        <w:t>Un foro es una herramienta virtual asincrónica que constituye un escenario virtual de debate sobre un tema particular, que permite el intercambio de los aportes propios y la réplica a los aportes de otras personas compañeras. En este curso se desarrollan en varias sesiones a partir de las siguientes temáticas</w:t>
      </w:r>
      <w:r w:rsidRPr="00687AE9">
        <w:rPr>
          <w:rFonts w:ascii="Calibri" w:eastAsia="Calibri" w:hAnsi="Calibri" w:cs="Calibri"/>
          <w:bCs/>
          <w:kern w:val="0"/>
          <w:lang w:val="es-ES"/>
          <w14:ligatures w14:val="none"/>
        </w:rPr>
        <w:t>: conociendo nuestro entorno; realidad psicosocial, cultural y pastoral; modelos de pastoral, la praxis pastoral de Jesús y la iglesia originaria, modelos pastorales en la historia de América Latina y el Caribe; evangelización, liturgia, ministerio docente y pastoral. Todos estos temas se debaten a partir de los insumos de las lecturas asignadas en las sesiones correspondientes.</w:t>
      </w:r>
    </w:p>
    <w:p w14:paraId="39B7A541"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p>
    <w:p w14:paraId="554B8C7F" w14:textId="77777777" w:rsidR="00687AE9" w:rsidRPr="00687AE9" w:rsidRDefault="00687AE9" w:rsidP="00687AE9">
      <w:pPr>
        <w:spacing w:after="0" w:line="240" w:lineRule="auto"/>
        <w:jc w:val="both"/>
        <w:rPr>
          <w:rFonts w:ascii="Calibri" w:eastAsia="Calibri" w:hAnsi="Calibri" w:cs="Calibri"/>
          <w:bCs/>
          <w:kern w:val="0"/>
          <w14:ligatures w14:val="none"/>
        </w:rPr>
      </w:pPr>
      <w:r w:rsidRPr="00687AE9">
        <w:rPr>
          <w:rFonts w:ascii="Calibri" w:eastAsia="Times New Roman" w:hAnsi="Calibri" w:cs="Calibri"/>
          <w:b/>
          <w:color w:val="000000"/>
          <w:kern w:val="0"/>
          <w:lang w:val="es-ES_tradnl" w:eastAsia="es-CR"/>
          <w14:ligatures w14:val="none"/>
        </w:rPr>
        <w:t xml:space="preserve">b) Wiki: </w:t>
      </w:r>
      <w:bookmarkStart w:id="44" w:name="_Hlk118815753"/>
      <w:r w:rsidRPr="00687AE9">
        <w:rPr>
          <w:rFonts w:ascii="Calibri" w:eastAsia="Calibri" w:hAnsi="Calibri" w:cs="Calibri"/>
          <w:bCs/>
          <w:kern w:val="0"/>
          <w14:ligatures w14:val="none"/>
        </w:rPr>
        <w:t>Para la construcción colaborativa sobre la pertinencia de los modelos actuales de la experiencia pastoral (tradicional, pentecostal y transformadora) se propone la herramienta wiki.</w:t>
      </w:r>
      <w:r w:rsidRPr="00687AE9">
        <w:rPr>
          <w:rFonts w:ascii="Calibri" w:eastAsia="Calibri" w:hAnsi="Calibri" w:cs="Calibri"/>
          <w:b/>
          <w:kern w:val="0"/>
          <w14:ligatures w14:val="none"/>
        </w:rPr>
        <w:t xml:space="preserve"> </w:t>
      </w:r>
      <w:r w:rsidRPr="00687AE9">
        <w:rPr>
          <w:rFonts w:ascii="Calibri" w:eastAsia="Calibri" w:hAnsi="Calibri" w:cs="Calibri"/>
          <w:bCs/>
          <w:kern w:val="0"/>
          <w14:ligatures w14:val="none"/>
        </w:rPr>
        <w:t xml:space="preserve">Un wiki es una colección de documentos digitales escritos en forma conjunta. Una página en un wiki es similar a una página web donde todas las personas del curso pueden crear contenido directo desde la plataforma virtual. </w:t>
      </w:r>
      <w:bookmarkEnd w:id="44"/>
    </w:p>
    <w:p w14:paraId="4E59D4D4"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p>
    <w:p w14:paraId="6746AA0C"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r w:rsidRPr="00687AE9">
        <w:rPr>
          <w:rFonts w:ascii="Calibri" w:eastAsia="Times New Roman" w:hAnsi="Calibri" w:cs="Calibri"/>
          <w:b/>
          <w:kern w:val="0"/>
          <w:lang w:val="es-ES_tradnl" w:eastAsia="es-CR"/>
          <w14:ligatures w14:val="none"/>
        </w:rPr>
        <w:t xml:space="preserve">c) Encuentro sincrónico virtual: </w:t>
      </w:r>
      <w:r w:rsidRPr="00687AE9">
        <w:rPr>
          <w:rFonts w:ascii="Calibri" w:eastAsia="Calibri" w:hAnsi="Calibri" w:cs="Calibri"/>
          <w:bCs/>
          <w:kern w:val="0"/>
          <w14:ligatures w14:val="none"/>
        </w:rPr>
        <w:t xml:space="preserve">Los encuentros sincrónicos virtuales son encuentros remotos entre estudiantes y con la persona docente. Se programaron en este curso varios encuentros, los cuales </w:t>
      </w:r>
      <w:r w:rsidRPr="00687AE9">
        <w:rPr>
          <w:rFonts w:ascii="Calibri" w:eastAsia="Calibri" w:hAnsi="Calibri" w:cs="Calibri"/>
          <w:bCs/>
          <w:kern w:val="0"/>
          <w14:ligatures w14:val="none"/>
        </w:rPr>
        <w:lastRenderedPageBreak/>
        <w:t>tienen</w:t>
      </w:r>
      <w:r w:rsidRPr="00687AE9">
        <w:rPr>
          <w:rFonts w:ascii="Calibri" w:eastAsia="Calibri" w:hAnsi="Calibri" w:cs="Arial"/>
          <w:kern w:val="0"/>
          <w14:ligatures w14:val="none"/>
        </w:rPr>
        <w:t xml:space="preserve"> carácter formativo no sumativo en cuanto a la evaluación. Se grabarán para las personas estudiantes que no puedan participar y lo soliciten. La persona docente hará presentaciones y guiará ejercicios sobre tópicos claves del curso tales como: introducción al curso, el peregrinaje pastoral, acercamiento a la comunidad, realidad y acción pastoral, modelos bíblicos de pastoral, modelos históricos de pastoral en América Latina y el Caribe, modelos actuales de pastoral e implicaciones para una nueva pastoral latinoamericana. </w:t>
      </w:r>
    </w:p>
    <w:p w14:paraId="1CF670D1"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p>
    <w:p w14:paraId="3552CF54" w14:textId="77777777" w:rsidR="00687AE9" w:rsidRPr="00687AE9" w:rsidRDefault="00687AE9" w:rsidP="4C9C2619">
      <w:pPr>
        <w:spacing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b/>
          <w:bCs/>
          <w:color w:val="000000"/>
          <w:kern w:val="0"/>
          <w:lang w:val="es-ES" w:eastAsia="es-CR"/>
          <w14:ligatures w14:val="none"/>
        </w:rPr>
        <w:t xml:space="preserve">d) Sistematización de su propia experiencia pastoral: </w:t>
      </w:r>
      <w:r w:rsidRPr="4C9C2619">
        <w:rPr>
          <w:rFonts w:ascii="Calibri" w:eastAsia="Times New Roman" w:hAnsi="Calibri" w:cs="Calibri"/>
          <w:color w:val="000000"/>
          <w:kern w:val="0"/>
          <w:lang w:val="es-ES" w:eastAsia="es-CR"/>
          <w14:ligatures w14:val="none"/>
        </w:rPr>
        <w:t xml:space="preserve">Una sistematización de experiencias, en este caso de su propia experiencia pastoral, se refiere a clasificar, ordenar o catalogar datos e informaciones, pero también obtener aprendizajes críticos de nuestras experiencias. Para ello es necesario buscar comprenderlas, extraer sus enseñanzas y comunicarlas, con el objetivo de apropiarnos críticamente de las experiencias vividas. Utilizaremos esta estrategia de aprendizaje como una forma de comentar y reflexionar sobre lo aprendido en cada uno de los momentos del propio peregrinaje pastoral. </w:t>
      </w:r>
    </w:p>
    <w:p w14:paraId="44E89558"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p>
    <w:p w14:paraId="29B623EB" w14:textId="77777777" w:rsidR="00687AE9" w:rsidRPr="00687AE9" w:rsidRDefault="00687AE9" w:rsidP="4C9C2619">
      <w:pPr>
        <w:spacing w:after="0" w:line="240" w:lineRule="auto"/>
        <w:jc w:val="both"/>
        <w:rPr>
          <w:rFonts w:ascii="Calibri" w:eastAsia="Times New Roman" w:hAnsi="Calibri" w:cs="Calibri"/>
          <w:kern w:val="0"/>
          <w:lang w:val="es-ES" w:eastAsia="es-CR"/>
          <w14:ligatures w14:val="none"/>
        </w:rPr>
      </w:pPr>
      <w:r w:rsidRPr="4C9C2619">
        <w:rPr>
          <w:rFonts w:ascii="Calibri" w:eastAsia="Times New Roman" w:hAnsi="Calibri" w:cs="Calibri"/>
          <w:b/>
          <w:bCs/>
          <w:color w:val="000000"/>
          <w:kern w:val="0"/>
          <w:lang w:val="es-ES" w:eastAsia="es-CR"/>
          <w14:ligatures w14:val="none"/>
        </w:rPr>
        <w:t xml:space="preserve">e) Cuadro resumen: </w:t>
      </w:r>
      <w:r w:rsidRPr="4C9C2619">
        <w:rPr>
          <w:rFonts w:ascii="Calibri" w:eastAsia="Times New Roman" w:hAnsi="Calibri" w:cs="Calibri"/>
          <w:color w:val="000000"/>
          <w:kern w:val="0"/>
          <w:lang w:val="es-ES" w:eastAsia="es-CR"/>
          <w14:ligatures w14:val="none"/>
        </w:rPr>
        <w:t xml:space="preserve">Un cuadro resumen es una herramienta que permite representar y dar a conocer una información concisa de gran importancia, de forma abreviada y separada en diversas áreas. </w:t>
      </w:r>
      <w:r w:rsidRPr="4C9C2619">
        <w:rPr>
          <w:rFonts w:ascii="Calibri" w:eastAsia="Times New Roman" w:hAnsi="Calibri" w:cs="Calibri"/>
          <w:kern w:val="0"/>
          <w:lang w:val="es-ES" w:eastAsia="es-CR"/>
          <w14:ligatures w14:val="none"/>
        </w:rPr>
        <w:t>Durante dos sesiones se elaborará un cuadro resumen SQA-NH sobre los modelos bíblicos de pastoral. Dicho cuadro nos permitirá reconocer lo que se sabe del tema, lo que se quiere aprender, lo que realmente se aprendió, lo que no se aprendió y quería aprender y, por último, lo que se hará para aprenderlo.</w:t>
      </w:r>
    </w:p>
    <w:p w14:paraId="4B8CA4C5" w14:textId="77777777" w:rsidR="00687AE9" w:rsidRPr="00687AE9" w:rsidRDefault="00687AE9" w:rsidP="00687AE9">
      <w:pPr>
        <w:spacing w:after="0" w:line="240" w:lineRule="auto"/>
        <w:jc w:val="both"/>
        <w:rPr>
          <w:rFonts w:ascii="Calibri" w:eastAsia="Times New Roman" w:hAnsi="Calibri" w:cs="Calibri"/>
          <w:color w:val="000000"/>
          <w:kern w:val="0"/>
          <w:lang w:val="es-ES_tradnl" w:eastAsia="es-CR"/>
          <w14:ligatures w14:val="none"/>
        </w:rPr>
      </w:pPr>
    </w:p>
    <w:p w14:paraId="6D99EE75" w14:textId="77777777" w:rsidR="00687AE9" w:rsidRPr="00687AE9" w:rsidRDefault="00687AE9" w:rsidP="00687AE9">
      <w:pPr>
        <w:spacing w:after="0" w:line="240" w:lineRule="auto"/>
        <w:jc w:val="both"/>
        <w:rPr>
          <w:rFonts w:ascii="Calibri" w:eastAsia="Times New Roman" w:hAnsi="Calibri" w:cs="Calibri"/>
          <w:kern w:val="0"/>
          <w:lang w:val="es-ES_tradnl" w:eastAsia="es-CR"/>
          <w14:ligatures w14:val="none"/>
        </w:rPr>
      </w:pPr>
      <w:r w:rsidRPr="00687AE9">
        <w:rPr>
          <w:rFonts w:ascii="Calibri" w:eastAsia="Times New Roman" w:hAnsi="Calibri" w:cs="Calibri"/>
          <w:b/>
          <w:bCs/>
          <w:color w:val="000000"/>
          <w:kern w:val="0"/>
          <w:lang w:val="es-ES_tradnl" w:eastAsia="es-CR"/>
          <w14:ligatures w14:val="none"/>
        </w:rPr>
        <w:t xml:space="preserve">f) Esquema: </w:t>
      </w:r>
      <w:r w:rsidRPr="00687AE9">
        <w:rPr>
          <w:rFonts w:ascii="Calibri" w:eastAsia="Times New Roman" w:hAnsi="Calibri" w:cs="Calibri"/>
          <w:color w:val="000000"/>
          <w:kern w:val="0"/>
          <w:lang w:val="es-ES_tradnl" w:eastAsia="es-CR"/>
          <w14:ligatures w14:val="none"/>
        </w:rPr>
        <w:t>Un esquema es una representación gráfica de la asociación de ideas o conceptos que se relacionan entre sí, y entre los que se establecen relaciones de jerarquía.</w:t>
      </w:r>
      <w:r w:rsidRPr="00687AE9">
        <w:rPr>
          <w:rFonts w:ascii="Calibri" w:eastAsia="Times New Roman" w:hAnsi="Calibri" w:cs="Calibri"/>
          <w:kern w:val="0"/>
          <w:lang w:val="es-ES_tradnl" w:eastAsia="es-CR"/>
          <w14:ligatures w14:val="none"/>
        </w:rPr>
        <w:t xml:space="preserve"> Durante una sesión se elaborará un esquema a partir de la lectura asignada, como una estrategia para destacar los principales puntos y subpuntos, y luego reflexionar sobre la importancia que tiene hoy el conocimiento sobre los modelos históricos de pastoral y cómo siguen presentes en nuestras iglesias y comunidades de fe.</w:t>
      </w:r>
    </w:p>
    <w:p w14:paraId="455DF6FD" w14:textId="77777777" w:rsidR="00687AE9" w:rsidRPr="00687AE9" w:rsidRDefault="00687AE9" w:rsidP="00687AE9">
      <w:pPr>
        <w:spacing w:after="0" w:line="240" w:lineRule="auto"/>
        <w:jc w:val="both"/>
        <w:rPr>
          <w:rFonts w:ascii="Calibri" w:eastAsia="Times New Roman" w:hAnsi="Calibri" w:cs="Calibri"/>
          <w:color w:val="000000"/>
          <w:kern w:val="0"/>
          <w:lang w:val="es-ES_tradnl" w:eastAsia="es-CR"/>
          <w14:ligatures w14:val="none"/>
        </w:rPr>
      </w:pPr>
    </w:p>
    <w:p w14:paraId="40D924BF" w14:textId="77777777" w:rsidR="00687AE9" w:rsidRPr="00687AE9" w:rsidRDefault="00687AE9" w:rsidP="4C9C2619">
      <w:pPr>
        <w:spacing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b/>
          <w:bCs/>
          <w:color w:val="000000"/>
          <w:kern w:val="0"/>
          <w:lang w:val="es-ES" w:eastAsia="es-CR"/>
          <w14:ligatures w14:val="none"/>
        </w:rPr>
        <w:t xml:space="preserve">g) Reflexión: </w:t>
      </w:r>
      <w:r w:rsidRPr="4C9C2619">
        <w:rPr>
          <w:rFonts w:ascii="Calibri" w:eastAsia="Times New Roman" w:hAnsi="Calibri" w:cs="Calibri"/>
          <w:color w:val="000000"/>
          <w:kern w:val="0"/>
          <w:lang w:val="es-ES" w:eastAsia="es-CR"/>
          <w14:ligatures w14:val="none"/>
        </w:rPr>
        <w:t>Una reflexión es el hecho y efecto de considerar algo con detenimiento, lo cual como proceso de pensamiento nos permite reflejar al exterior el resultado de nuestras consideraciones. Durante el curso se elaborará una</w:t>
      </w:r>
      <w:r w:rsidRPr="4C9C2619">
        <w:rPr>
          <w:rFonts w:ascii="Calibri" w:eastAsia="Times New Roman" w:hAnsi="Calibri" w:cs="Calibri"/>
          <w:kern w:val="0"/>
          <w:lang w:val="es-ES" w:eastAsia="es-CR"/>
          <w14:ligatures w14:val="none"/>
        </w:rPr>
        <w:t xml:space="preserve"> reflexión sobre su propia experiencia pastoral, la cual estará enfocada a que las personas estudiantes propongan desafíos y retos para una nueva pastoral latinoamericana en la evangelización, la liturgia, el servicio, la proclamación y la pedagogía de la fe, entre otros ámbitos de la pastoral.</w:t>
      </w:r>
    </w:p>
    <w:p w14:paraId="65638F3F" w14:textId="77777777" w:rsidR="00687AE9" w:rsidRPr="00687AE9" w:rsidRDefault="00687AE9" w:rsidP="00687AE9">
      <w:pPr>
        <w:spacing w:after="0" w:line="240" w:lineRule="auto"/>
        <w:jc w:val="both"/>
        <w:rPr>
          <w:rFonts w:ascii="Calibri" w:eastAsia="Times New Roman" w:hAnsi="Calibri" w:cs="Calibri"/>
          <w:color w:val="000000"/>
          <w:kern w:val="0"/>
          <w:lang w:val="es-ES_tradnl" w:eastAsia="es-CR"/>
          <w14:ligatures w14:val="none"/>
        </w:rPr>
      </w:pPr>
    </w:p>
    <w:p w14:paraId="377B5840" w14:textId="77777777" w:rsidR="00687AE9" w:rsidRPr="00687AE9" w:rsidRDefault="00687AE9" w:rsidP="00687AE9">
      <w:pPr>
        <w:spacing w:after="0" w:line="240" w:lineRule="auto"/>
        <w:jc w:val="both"/>
        <w:rPr>
          <w:rFonts w:ascii="Calibri" w:eastAsia="Times New Roman" w:hAnsi="Calibri" w:cs="Calibri"/>
          <w:color w:val="000000"/>
          <w:kern w:val="0"/>
          <w:lang w:val="es-ES_tradnl" w:eastAsia="es-CR"/>
          <w14:ligatures w14:val="none"/>
        </w:rPr>
      </w:pPr>
      <w:r w:rsidRPr="00687AE9">
        <w:rPr>
          <w:rFonts w:ascii="Calibri" w:eastAsia="Times New Roman" w:hAnsi="Calibri" w:cs="Calibri"/>
          <w:b/>
          <w:bCs/>
          <w:color w:val="000000"/>
          <w:kern w:val="0"/>
          <w:lang w:val="es-ES_tradnl" w:eastAsia="es-CR"/>
          <w14:ligatures w14:val="none"/>
        </w:rPr>
        <w:t xml:space="preserve">h) Diseño de un proyecto: </w:t>
      </w:r>
      <w:r w:rsidRPr="00687AE9">
        <w:rPr>
          <w:rFonts w:ascii="Calibri" w:eastAsia="Times New Roman" w:hAnsi="Calibri" w:cs="Calibri"/>
          <w:color w:val="000000"/>
          <w:kern w:val="0"/>
          <w:lang w:val="es-ES_tradnl" w:eastAsia="es-CR"/>
          <w14:ligatures w14:val="none"/>
        </w:rPr>
        <w:t xml:space="preserve">El diseño de un proyecto de acción pastoral implica el desarrollo de aspectos de este tales como: la justificación, la finalidad del proyecto, la descripción del proyecto, las metas, los beneficiarios, la calendarización, el presupuesto, y otros. </w:t>
      </w:r>
      <w:r w:rsidRPr="00687AE9">
        <w:rPr>
          <w:rFonts w:ascii="Calibri" w:eastAsia="Times New Roman" w:hAnsi="Calibri" w:cs="Calibri"/>
          <w:bCs/>
          <w:kern w:val="0"/>
          <w:lang w:val="es-ES_tradnl" w:eastAsia="es-CR"/>
          <w14:ligatures w14:val="none"/>
        </w:rPr>
        <w:t xml:space="preserve">Esta estrategia de aprendizaje se emplea durante varias sesiones del curso y es de suma importancia ya que implica la práctica del paso previo a la ejecución de un proyecto de acción pastoral. </w:t>
      </w:r>
    </w:p>
    <w:p w14:paraId="11F56C77" w14:textId="77777777" w:rsidR="00687AE9" w:rsidRPr="00687AE9" w:rsidRDefault="00687AE9" w:rsidP="00687AE9">
      <w:pPr>
        <w:spacing w:after="0" w:line="240" w:lineRule="auto"/>
        <w:jc w:val="both"/>
        <w:rPr>
          <w:rFonts w:ascii="Calibri" w:eastAsia="Times New Roman" w:hAnsi="Calibri" w:cs="Calibri"/>
          <w:b/>
          <w:bCs/>
          <w:color w:val="000000"/>
          <w:kern w:val="0"/>
          <w:lang w:val="es-ES_tradnl" w:eastAsia="es-CR"/>
          <w14:ligatures w14:val="none"/>
        </w:rPr>
      </w:pPr>
    </w:p>
    <w:p w14:paraId="0F4EC336" w14:textId="77777777" w:rsidR="00687AE9" w:rsidRPr="00687AE9" w:rsidRDefault="00687AE9" w:rsidP="00687AE9">
      <w:pPr>
        <w:spacing w:after="0" w:line="240" w:lineRule="auto"/>
        <w:jc w:val="both"/>
        <w:rPr>
          <w:rFonts w:ascii="Calibri" w:eastAsia="Times New Roman" w:hAnsi="Calibri" w:cs="Calibri"/>
          <w:color w:val="000000"/>
          <w:kern w:val="0"/>
          <w:lang w:val="es-ES_tradnl" w:eastAsia="es-CR"/>
          <w14:ligatures w14:val="none"/>
        </w:rPr>
      </w:pPr>
      <w:r w:rsidRPr="00687AE9">
        <w:rPr>
          <w:rFonts w:ascii="Calibri" w:eastAsia="Times New Roman" w:hAnsi="Calibri" w:cs="Calibri"/>
          <w:b/>
          <w:color w:val="000000"/>
          <w:kern w:val="0"/>
          <w:lang w:val="es-ES_tradnl" w:eastAsia="es-CR"/>
          <w14:ligatures w14:val="none"/>
        </w:rPr>
        <w:t>i) Presentación audiovisual:</w:t>
      </w:r>
      <w:r w:rsidRPr="00687AE9">
        <w:rPr>
          <w:rFonts w:ascii="Calibri" w:eastAsia="Times New Roman" w:hAnsi="Calibri" w:cs="Calibri"/>
          <w:color w:val="000000"/>
          <w:kern w:val="0"/>
          <w:lang w:val="es-ES_tradnl" w:eastAsia="es-CR"/>
          <w14:ligatures w14:val="none"/>
        </w:rPr>
        <w:t xml:space="preserve"> En las últimas dos sesiones los y las estudiantes realizarán una presentación audiovisual, por medio de un encuentro sincrónico virtual, sobre su diseño de acción pastoral. Con esto lograremos que todas las personas estudiantes del curso entren en contacto con diferentes tipos de diseños, y así fortalezcan y amplíen la capacidad de gestión del diseño de un proyecto en su propio quehacer pastoral. </w:t>
      </w:r>
    </w:p>
    <w:p w14:paraId="5BA3A803" w14:textId="77777777" w:rsidR="00687AE9" w:rsidRPr="00687AE9" w:rsidRDefault="00687AE9" w:rsidP="00687AE9">
      <w:pPr>
        <w:spacing w:after="0" w:line="240" w:lineRule="auto"/>
        <w:jc w:val="both"/>
        <w:rPr>
          <w:rFonts w:ascii="Calibri" w:eastAsia="Times New Roman" w:hAnsi="Calibri" w:cs="Calibri"/>
          <w:bCs/>
          <w:color w:val="000000"/>
          <w:kern w:val="0"/>
          <w:lang w:val="es-ES_tradnl" w:eastAsia="es-CR"/>
          <w14:ligatures w14:val="none"/>
        </w:rPr>
      </w:pPr>
    </w:p>
    <w:p w14:paraId="30715A2D"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14:ligatures w14:val="none"/>
        </w:rPr>
      </w:pPr>
    </w:p>
    <w:p w14:paraId="079D3715" w14:textId="77777777" w:rsidR="00687AE9" w:rsidRPr="00687AE9" w:rsidRDefault="00687AE9" w:rsidP="00687AE9">
      <w:pPr>
        <w:spacing w:after="0" w:line="240" w:lineRule="auto"/>
        <w:jc w:val="both"/>
        <w:rPr>
          <w:rFonts w:ascii="Calibri" w:eastAsia="Times New Roman" w:hAnsi="Calibri" w:cs="Arial"/>
          <w:color w:val="000000"/>
          <w:kern w:val="0"/>
          <w:lang w:val="es-ES" w:eastAsia="es-ES"/>
          <w14:ligatures w14:val="none"/>
        </w:rPr>
      </w:pPr>
      <w:r w:rsidRPr="00687AE9">
        <w:rPr>
          <w:rFonts w:ascii="Calibri" w:eastAsia="Times New Roman" w:hAnsi="Calibri" w:cs="Arial"/>
          <w:color w:val="000000"/>
          <w:kern w:val="0"/>
          <w:lang w:val="es-ES" w:eastAsia="es-ES"/>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3556E617"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lang w:val="es-ES"/>
          <w14:ligatures w14:val="none"/>
        </w:rPr>
      </w:pPr>
    </w:p>
    <w:p w14:paraId="61C5C271"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14:ligatures w14:val="none"/>
        </w:rPr>
      </w:pPr>
      <w:r w:rsidRPr="00687AE9">
        <w:rPr>
          <w:rFonts w:ascii="Calibri" w:eastAsia="Calibri" w:hAnsi="Calibri" w:cs="Arial"/>
          <w:b/>
          <w:bCs/>
          <w:color w:val="000000"/>
          <w:kern w:val="0"/>
          <w14:ligatures w14:val="none"/>
        </w:rPr>
        <w:t xml:space="preserve">VII. Recursos didácticos </w:t>
      </w:r>
    </w:p>
    <w:p w14:paraId="7AC14AD4"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6460A8CA"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6B383E4C"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7BADF8B"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071ED41B"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4BBC5E8"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72A434AA"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085405E"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33030B20"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6CE8E37"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wiki y mediante la herramienta Big Blue </w:t>
      </w:r>
      <w:proofErr w:type="spellStart"/>
      <w:r w:rsidRPr="00687AE9">
        <w:rPr>
          <w:rFonts w:ascii="Calibri" w:eastAsia="Times New Roman" w:hAnsi="Calibri" w:cs="Calibri"/>
          <w:color w:val="000000"/>
          <w:kern w:val="0"/>
          <w:lang w:val="es-ES" w:eastAsia="es-ES"/>
          <w14:ligatures w14:val="none"/>
        </w:rPr>
        <w:t>Button</w:t>
      </w:r>
      <w:proofErr w:type="spellEnd"/>
      <w:r w:rsidRPr="00687AE9">
        <w:rPr>
          <w:rFonts w:ascii="Calibri" w:eastAsia="Times New Roman" w:hAnsi="Calibri" w:cs="Calibri"/>
          <w:color w:val="000000"/>
          <w:kern w:val="0"/>
          <w:lang w:val="es-ES" w:eastAsia="es-ES"/>
          <w14:ligatures w14:val="none"/>
        </w:rPr>
        <w:t xml:space="preserve"> en la plataforma Moodle; así como de guías para elaborar un cuadro resumen, elaborar el esquema del proyecto de acción pastoral, diseñar un proyecto de acción pastoral y elaborar una presentación multimedia, que se encuentran en la sección de actividades de la sesión correspondiente.</w:t>
      </w:r>
    </w:p>
    <w:p w14:paraId="0D328151"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597AFC7"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687AE9">
        <w:rPr>
          <w:rFonts w:ascii="Calibri" w:eastAsia="Times New Roman" w:hAnsi="Calibri" w:cs="Calibri"/>
          <w:color w:val="000000"/>
          <w:kern w:val="0"/>
          <w:lang w:val="es-ES" w:eastAsia="es-ES"/>
          <w14:ligatures w14:val="none"/>
        </w:rPr>
        <w:t>Strachan</w:t>
      </w:r>
      <w:proofErr w:type="spellEnd"/>
      <w:r w:rsidRPr="00687AE9">
        <w:rPr>
          <w:rFonts w:ascii="Calibri" w:eastAsia="Times New Roman" w:hAnsi="Calibri" w:cs="Calibri"/>
          <w:color w:val="000000"/>
          <w:kern w:val="0"/>
          <w:lang w:val="es-ES" w:eastAsia="es-ES"/>
          <w14:ligatures w14:val="none"/>
        </w:rPr>
        <w:t xml:space="preserve"> (</w:t>
      </w:r>
      <w:hyperlink r:id="rId297" w:history="1">
        <w:r w:rsidRPr="00687AE9">
          <w:rPr>
            <w:rFonts w:ascii="Calibri" w:eastAsia="Times New Roman" w:hAnsi="Calibri" w:cs="Calibri"/>
            <w:color w:val="0000FF"/>
            <w:kern w:val="0"/>
            <w:u w:val="single"/>
            <w:lang w:val="es-ES" w:eastAsia="es-ES"/>
            <w14:ligatures w14:val="none"/>
          </w:rPr>
          <w:t>https://www.ubl.ac.cr/biblioteca</w:t>
        </w:r>
      </w:hyperlink>
      <w:r w:rsidRPr="00687AE9">
        <w:rPr>
          <w:rFonts w:ascii="Calibri" w:eastAsia="Times New Roman" w:hAnsi="Calibri" w:cs="Calibri"/>
          <w:color w:val="000000"/>
          <w:kern w:val="0"/>
          <w:lang w:val="es-ES" w:eastAsia="es-ES"/>
          <w14:ligatures w14:val="none"/>
        </w:rPr>
        <w:t>), así como consultar el Portal de Revistas de la UBL (</w:t>
      </w:r>
      <w:hyperlink r:id="rId298" w:history="1">
        <w:r w:rsidRPr="00687AE9">
          <w:rPr>
            <w:rFonts w:ascii="Calibri" w:eastAsia="Times New Roman" w:hAnsi="Calibri" w:cs="Calibri"/>
            <w:color w:val="0000FF"/>
            <w:kern w:val="0"/>
            <w:u w:val="single"/>
            <w:lang w:val="es-ES" w:eastAsia="es-ES"/>
            <w14:ligatures w14:val="none"/>
          </w:rPr>
          <w:t>http://revistas.ubl.ac.cr/</w:t>
        </w:r>
      </w:hyperlink>
      <w:r w:rsidRPr="00687AE9">
        <w:rPr>
          <w:rFonts w:ascii="Calibri" w:eastAsia="Times New Roman" w:hAnsi="Calibri" w:cs="Calibri"/>
          <w:color w:val="000000"/>
          <w:kern w:val="0"/>
          <w:lang w:val="es-ES" w:eastAsia="es-ES"/>
          <w14:ligatures w14:val="none"/>
        </w:rPr>
        <w:t>). A través del correo de la biblioteca (</w:t>
      </w:r>
      <w:hyperlink r:id="rId299" w:history="1">
        <w:r w:rsidRPr="00687AE9">
          <w:rPr>
            <w:rFonts w:ascii="Calibri" w:eastAsia="Times New Roman" w:hAnsi="Calibri" w:cs="Calibri"/>
            <w:color w:val="0000FF"/>
            <w:kern w:val="0"/>
            <w:u w:val="single"/>
            <w:lang w:val="es-ES" w:eastAsia="es-ES"/>
            <w14:ligatures w14:val="none"/>
          </w:rPr>
          <w:t>biblioteca@ubl.ac.cr</w:t>
        </w:r>
      </w:hyperlink>
      <w:r w:rsidRPr="00687AE9">
        <w:rPr>
          <w:rFonts w:ascii="Calibri" w:eastAsia="Times New Roman" w:hAnsi="Calibri" w:cs="Calibri"/>
          <w:color w:val="000000"/>
          <w:kern w:val="0"/>
          <w:lang w:val="es-ES" w:eastAsia="es-ES"/>
          <w14:ligatures w14:val="none"/>
        </w:rPr>
        <w:t>) puede solicitar recursos que se encuentren en la colección física.</w:t>
      </w:r>
    </w:p>
    <w:p w14:paraId="073F5DB5"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4FA9843" w14:textId="643651A6"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 xml:space="preserve">f) </w:t>
      </w:r>
      <w:r w:rsidRPr="00687AE9">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687AE9">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300" w:history="1">
        <w:r w:rsidRPr="00687AE9">
          <w:rPr>
            <w:rFonts w:ascii="Calibri" w:eastAsia="Times New Roman" w:hAnsi="Calibri" w:cs="Calibri"/>
            <w:bCs/>
            <w:color w:val="0000FF"/>
            <w:kern w:val="0"/>
            <w:u w:val="single"/>
            <w:lang w:val="es-ES_tradnl" w:eastAsia="es-CR"/>
            <w14:ligatures w14:val="none"/>
          </w:rPr>
          <w:t>https://campus.ubl.ac.cr/course/index.php?categoryid=186</w:t>
        </w:r>
      </w:hyperlink>
    </w:p>
    <w:p w14:paraId="3CAFFBF6"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661D9FE"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87AE9">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32F4C602"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35D014E"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2081195"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A9771E6"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EF94631"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C06A422" w14:textId="77777777" w:rsidR="00687AE9" w:rsidRPr="00687AE9" w:rsidRDefault="00687AE9" w:rsidP="00687AE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5D3A07E"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b/>
          <w:bCs/>
          <w:color w:val="000000"/>
          <w:kern w:val="0"/>
          <w14:ligatures w14:val="none"/>
        </w:rPr>
      </w:pPr>
      <w:r w:rsidRPr="00687AE9">
        <w:rPr>
          <w:rFonts w:ascii="Calibri" w:eastAsia="Calibri" w:hAnsi="Calibri" w:cs="Arial"/>
          <w:b/>
          <w:bCs/>
          <w:color w:val="000000"/>
          <w:kern w:val="0"/>
          <w14:ligatures w14:val="none"/>
        </w:rPr>
        <w:t>VIII. Cronograma de trabajo</w:t>
      </w:r>
    </w:p>
    <w:p w14:paraId="42C0CA3B" w14:textId="77777777" w:rsidR="00687AE9" w:rsidRPr="00687AE9" w:rsidRDefault="00687AE9" w:rsidP="00687AE9">
      <w:pPr>
        <w:widowControl w:val="0"/>
        <w:overflowPunct w:val="0"/>
        <w:autoSpaceDE w:val="0"/>
        <w:autoSpaceDN w:val="0"/>
        <w:adjustRightInd w:val="0"/>
        <w:spacing w:after="0" w:line="240" w:lineRule="auto"/>
        <w:ind w:left="709"/>
        <w:rPr>
          <w:rFonts w:ascii="Arial" w:eastAsia="Calibri" w:hAnsi="Arial" w:cs="Arial"/>
          <w:b/>
          <w:kern w:val="0"/>
          <w:sz w:val="24"/>
          <w:szCs w:val="24"/>
          <w14:ligatures w14:val="non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118"/>
      </w:tblGrid>
      <w:tr w:rsidR="00687AE9" w:rsidRPr="00687AE9" w14:paraId="3E7E58F3" w14:textId="77777777" w:rsidTr="4C9C2619">
        <w:trPr>
          <w:trHeight w:val="433"/>
          <w:jc w:val="center"/>
        </w:trPr>
        <w:tc>
          <w:tcPr>
            <w:tcW w:w="1271" w:type="dxa"/>
            <w:vMerge w:val="restart"/>
            <w:vAlign w:val="center"/>
          </w:tcPr>
          <w:p w14:paraId="791B05B5" w14:textId="77777777" w:rsidR="00687AE9" w:rsidRPr="00687AE9" w:rsidRDefault="00687AE9" w:rsidP="00687AE9">
            <w:pPr>
              <w:spacing w:after="0" w:line="240" w:lineRule="auto"/>
              <w:jc w:val="center"/>
              <w:rPr>
                <w:rFonts w:ascii="Calibri" w:eastAsia="Calibri" w:hAnsi="Calibri" w:cs="Arial"/>
                <w:b/>
                <w:color w:val="000000"/>
                <w:kern w:val="0"/>
                <w:sz w:val="24"/>
                <w:szCs w:val="24"/>
                <w14:ligatures w14:val="none"/>
              </w:rPr>
            </w:pPr>
            <w:r w:rsidRPr="00687AE9">
              <w:rPr>
                <w:rFonts w:ascii="Calibri" w:eastAsia="Calibri" w:hAnsi="Calibri" w:cs="Arial"/>
                <w:b/>
                <w:color w:val="000000"/>
                <w:kern w:val="0"/>
                <w:sz w:val="24"/>
                <w:szCs w:val="24"/>
                <w14:ligatures w14:val="none"/>
              </w:rPr>
              <w:t>Sesión</w:t>
            </w:r>
          </w:p>
          <w:p w14:paraId="1CB6ED83" w14:textId="77777777" w:rsidR="00687AE9" w:rsidRPr="00687AE9" w:rsidRDefault="00687AE9" w:rsidP="00687AE9">
            <w:pPr>
              <w:spacing w:after="0" w:line="240" w:lineRule="auto"/>
              <w:jc w:val="center"/>
              <w:rPr>
                <w:rFonts w:ascii="Calibri" w:eastAsia="Calibri" w:hAnsi="Calibri" w:cs="Arial"/>
                <w:b/>
                <w:color w:val="000000"/>
                <w:kern w:val="0"/>
                <w:sz w:val="24"/>
                <w:szCs w:val="24"/>
                <w14:ligatures w14:val="none"/>
              </w:rPr>
            </w:pPr>
            <w:r w:rsidRPr="00687AE9">
              <w:rPr>
                <w:rFonts w:ascii="Calibri" w:eastAsia="Calibri" w:hAnsi="Calibri" w:cs="Arial"/>
                <w:b/>
                <w:color w:val="000000"/>
                <w:kern w:val="0"/>
                <w:sz w:val="24"/>
                <w:szCs w:val="24"/>
                <w14:ligatures w14:val="none"/>
              </w:rPr>
              <w:t>(semana)</w:t>
            </w:r>
          </w:p>
        </w:tc>
        <w:tc>
          <w:tcPr>
            <w:tcW w:w="2410" w:type="dxa"/>
            <w:vMerge w:val="restart"/>
            <w:vAlign w:val="center"/>
          </w:tcPr>
          <w:p w14:paraId="30C27EB3" w14:textId="77777777" w:rsidR="00687AE9" w:rsidRPr="00687AE9" w:rsidRDefault="00687AE9" w:rsidP="00687AE9">
            <w:pPr>
              <w:spacing w:after="0" w:line="240" w:lineRule="auto"/>
              <w:jc w:val="center"/>
              <w:rPr>
                <w:rFonts w:ascii="Calibri" w:eastAsia="Calibri" w:hAnsi="Calibri" w:cs="Arial"/>
                <w:b/>
                <w:kern w:val="0"/>
                <w:sz w:val="24"/>
                <w:szCs w:val="24"/>
                <w14:ligatures w14:val="none"/>
              </w:rPr>
            </w:pPr>
            <w:r w:rsidRPr="00687AE9">
              <w:rPr>
                <w:rFonts w:ascii="Calibri" w:eastAsia="Calibri" w:hAnsi="Calibri" w:cs="Arial"/>
                <w:b/>
                <w:kern w:val="0"/>
                <w:sz w:val="24"/>
                <w:szCs w:val="24"/>
                <w14:ligatures w14:val="none"/>
              </w:rPr>
              <w:t>Contenidos temáticos</w:t>
            </w:r>
          </w:p>
        </w:tc>
        <w:tc>
          <w:tcPr>
            <w:tcW w:w="5953" w:type="dxa"/>
            <w:gridSpan w:val="2"/>
            <w:vAlign w:val="center"/>
          </w:tcPr>
          <w:p w14:paraId="30837723" w14:textId="77777777" w:rsidR="00687AE9" w:rsidRPr="00687AE9" w:rsidRDefault="00687AE9" w:rsidP="00687AE9">
            <w:pPr>
              <w:tabs>
                <w:tab w:val="left" w:pos="62"/>
              </w:tabs>
              <w:spacing w:after="0" w:line="240" w:lineRule="auto"/>
              <w:jc w:val="center"/>
              <w:rPr>
                <w:rFonts w:ascii="Calibri" w:eastAsia="Calibri" w:hAnsi="Calibri" w:cs="Arial"/>
                <w:b/>
                <w:color w:val="000000"/>
                <w:kern w:val="0"/>
                <w:sz w:val="24"/>
                <w:szCs w:val="24"/>
                <w14:ligatures w14:val="none"/>
              </w:rPr>
            </w:pPr>
            <w:r w:rsidRPr="00687AE9">
              <w:rPr>
                <w:rFonts w:ascii="Calibri" w:eastAsia="Calibri" w:hAnsi="Calibri" w:cs="Arial"/>
                <w:b/>
                <w:color w:val="000000"/>
                <w:kern w:val="0"/>
                <w:sz w:val="24"/>
                <w:szCs w:val="24"/>
                <w14:ligatures w14:val="none"/>
              </w:rPr>
              <w:t>Actividades de enseñanza-aprendizaje</w:t>
            </w:r>
          </w:p>
        </w:tc>
      </w:tr>
      <w:tr w:rsidR="00687AE9" w:rsidRPr="00687AE9" w14:paraId="32F268BB" w14:textId="77777777" w:rsidTr="4C9C2619">
        <w:trPr>
          <w:trHeight w:val="411"/>
          <w:jc w:val="center"/>
        </w:trPr>
        <w:tc>
          <w:tcPr>
            <w:tcW w:w="1271" w:type="dxa"/>
            <w:vMerge/>
            <w:vAlign w:val="center"/>
          </w:tcPr>
          <w:p w14:paraId="102736F3" w14:textId="77777777" w:rsidR="00687AE9" w:rsidRPr="00687AE9" w:rsidRDefault="00687AE9" w:rsidP="00687AE9">
            <w:pPr>
              <w:spacing w:after="0" w:line="240" w:lineRule="auto"/>
              <w:jc w:val="center"/>
              <w:rPr>
                <w:rFonts w:ascii="Calibri" w:eastAsia="Calibri" w:hAnsi="Calibri" w:cs="Arial"/>
                <w:b/>
                <w:color w:val="000000"/>
                <w:kern w:val="0"/>
                <w14:ligatures w14:val="none"/>
              </w:rPr>
            </w:pPr>
          </w:p>
        </w:tc>
        <w:tc>
          <w:tcPr>
            <w:tcW w:w="2410" w:type="dxa"/>
            <w:vMerge/>
            <w:vAlign w:val="center"/>
          </w:tcPr>
          <w:p w14:paraId="4B73C57E" w14:textId="77777777" w:rsidR="00687AE9" w:rsidRPr="00687AE9" w:rsidRDefault="00687AE9" w:rsidP="00687AE9">
            <w:pPr>
              <w:spacing w:after="0" w:line="240" w:lineRule="auto"/>
              <w:jc w:val="center"/>
              <w:rPr>
                <w:rFonts w:ascii="Calibri" w:eastAsia="Calibri" w:hAnsi="Calibri" w:cs="Arial"/>
                <w:b/>
                <w:kern w:val="0"/>
                <w14:ligatures w14:val="none"/>
              </w:rPr>
            </w:pPr>
          </w:p>
        </w:tc>
        <w:tc>
          <w:tcPr>
            <w:tcW w:w="2835" w:type="dxa"/>
            <w:vAlign w:val="center"/>
          </w:tcPr>
          <w:p w14:paraId="336C5BF9" w14:textId="77777777" w:rsidR="00687AE9" w:rsidRPr="00687AE9" w:rsidRDefault="00687AE9" w:rsidP="00687AE9">
            <w:pPr>
              <w:tabs>
                <w:tab w:val="left" w:pos="62"/>
              </w:tabs>
              <w:spacing w:after="0" w:line="240" w:lineRule="auto"/>
              <w:jc w:val="center"/>
              <w:rPr>
                <w:rFonts w:ascii="Calibri" w:eastAsia="Calibri" w:hAnsi="Calibri" w:cs="Arial"/>
                <w:b/>
                <w:color w:val="000000"/>
                <w:kern w:val="0"/>
                <w:sz w:val="24"/>
                <w:szCs w:val="24"/>
                <w14:ligatures w14:val="none"/>
              </w:rPr>
            </w:pPr>
            <w:r w:rsidRPr="00687AE9">
              <w:rPr>
                <w:rFonts w:ascii="Calibri" w:eastAsia="Calibri" w:hAnsi="Calibri" w:cs="Arial"/>
                <w:b/>
                <w:color w:val="000000"/>
                <w:kern w:val="0"/>
                <w:sz w:val="24"/>
                <w:szCs w:val="24"/>
                <w14:ligatures w14:val="none"/>
              </w:rPr>
              <w:t>Recursos didácticos</w:t>
            </w:r>
          </w:p>
        </w:tc>
        <w:tc>
          <w:tcPr>
            <w:tcW w:w="3118" w:type="dxa"/>
            <w:vAlign w:val="center"/>
          </w:tcPr>
          <w:p w14:paraId="5F113A32" w14:textId="77777777" w:rsidR="00687AE9" w:rsidRPr="00687AE9" w:rsidRDefault="00687AE9" w:rsidP="00687AE9">
            <w:pPr>
              <w:tabs>
                <w:tab w:val="left" w:pos="62"/>
              </w:tabs>
              <w:spacing w:after="0" w:line="240" w:lineRule="auto"/>
              <w:jc w:val="center"/>
              <w:rPr>
                <w:rFonts w:ascii="Calibri" w:eastAsia="Calibri" w:hAnsi="Calibri" w:cs="Arial"/>
                <w:b/>
                <w:color w:val="000000"/>
                <w:kern w:val="0"/>
                <w:sz w:val="24"/>
                <w:szCs w:val="24"/>
                <w14:ligatures w14:val="none"/>
              </w:rPr>
            </w:pPr>
            <w:r w:rsidRPr="00687AE9">
              <w:rPr>
                <w:rFonts w:ascii="Calibri" w:eastAsia="Calibri" w:hAnsi="Calibri" w:cs="Arial"/>
                <w:b/>
                <w:color w:val="000000"/>
                <w:kern w:val="0"/>
                <w:sz w:val="24"/>
                <w:szCs w:val="24"/>
                <w14:ligatures w14:val="none"/>
              </w:rPr>
              <w:t>Actividades de aprendizaje</w:t>
            </w:r>
          </w:p>
        </w:tc>
      </w:tr>
      <w:tr w:rsidR="00687AE9" w:rsidRPr="00687AE9" w14:paraId="627B398E" w14:textId="77777777" w:rsidTr="4C9C2619">
        <w:trPr>
          <w:jc w:val="center"/>
        </w:trPr>
        <w:tc>
          <w:tcPr>
            <w:tcW w:w="1271" w:type="dxa"/>
          </w:tcPr>
          <w:p w14:paraId="18A89C3D"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177E7C85"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1</w:t>
            </w:r>
          </w:p>
        </w:tc>
        <w:tc>
          <w:tcPr>
            <w:tcW w:w="2410" w:type="dxa"/>
          </w:tcPr>
          <w:p w14:paraId="6A7BC22C"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1: Introducción al curso</w:t>
            </w:r>
          </w:p>
          <w:p w14:paraId="28D4F33E" w14:textId="77777777" w:rsidR="00687AE9" w:rsidRPr="00687AE9" w:rsidRDefault="00687AE9" w:rsidP="00687AE9">
            <w:pPr>
              <w:keepNext/>
              <w:widowControl w:val="0"/>
              <w:overflowPunct w:val="0"/>
              <w:autoSpaceDE w:val="0"/>
              <w:autoSpaceDN w:val="0"/>
              <w:adjustRightInd w:val="0"/>
              <w:spacing w:after="0" w:line="240" w:lineRule="auto"/>
              <w:ind w:left="301"/>
              <w:outlineLvl w:val="2"/>
              <w:rPr>
                <w:rFonts w:ascii="Calibri" w:eastAsia="Times New Roman" w:hAnsi="Calibri" w:cs="Arial"/>
                <w:b/>
                <w:kern w:val="0"/>
                <w:lang w:val="es-ES_tradnl" w:eastAsia="es-CR"/>
                <w14:ligatures w14:val="none"/>
              </w:rPr>
            </w:pPr>
          </w:p>
          <w:p w14:paraId="0C846286"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1.1 Conceptualizaciones</w:t>
            </w:r>
          </w:p>
          <w:p w14:paraId="4DC46FB8"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p>
          <w:p w14:paraId="03FEB2CD"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1.2 Explicaciones metodológicas</w:t>
            </w:r>
          </w:p>
        </w:tc>
        <w:tc>
          <w:tcPr>
            <w:tcW w:w="2835" w:type="dxa"/>
          </w:tcPr>
          <w:p w14:paraId="5D1E047D" w14:textId="77777777" w:rsidR="00687AE9" w:rsidRPr="00687AE9" w:rsidRDefault="00687AE9" w:rsidP="00687AE9">
            <w:pPr>
              <w:autoSpaceDE w:val="0"/>
              <w:autoSpaceDN w:val="0"/>
              <w:adjustRightInd w:val="0"/>
              <w:spacing w:after="0" w:line="240" w:lineRule="auto"/>
              <w:rPr>
                <w:rFonts w:ascii="Calibri" w:eastAsia="Calibri" w:hAnsi="Calibri" w:cs="Arial"/>
                <w:color w:val="0070C0"/>
                <w:kern w:val="0"/>
                <w:lang w:val="es-ES_tradnl"/>
                <w14:ligatures w14:val="none"/>
              </w:rPr>
            </w:pPr>
            <w:r w:rsidRPr="00687AE9">
              <w:rPr>
                <w:rFonts w:ascii="Calibri" w:eastAsia="Calibri" w:hAnsi="Calibri" w:cs="Arial"/>
                <w:color w:val="0070C0"/>
                <w:kern w:val="0"/>
                <w:lang w:val="es-ES_tradnl"/>
                <w14:ligatures w14:val="none"/>
              </w:rPr>
              <w:t>Ruta de aprendizaje</w:t>
            </w:r>
          </w:p>
          <w:p w14:paraId="639F1B15" w14:textId="77777777" w:rsidR="00687AE9" w:rsidRPr="00687AE9" w:rsidRDefault="00687AE9" w:rsidP="00687AE9">
            <w:pPr>
              <w:autoSpaceDE w:val="0"/>
              <w:autoSpaceDN w:val="0"/>
              <w:adjustRightInd w:val="0"/>
              <w:spacing w:after="0" w:line="240" w:lineRule="auto"/>
              <w:rPr>
                <w:rFonts w:ascii="Calibri" w:eastAsia="Calibri" w:hAnsi="Calibri" w:cs="Arial"/>
                <w:color w:val="0070C0"/>
                <w:kern w:val="0"/>
                <w:lang w:val="es-ES_tradnl"/>
                <w14:ligatures w14:val="none"/>
              </w:rPr>
            </w:pPr>
          </w:p>
          <w:p w14:paraId="69DECF24" w14:textId="77777777" w:rsidR="00687AE9" w:rsidRPr="00687AE9" w:rsidRDefault="00687AE9" w:rsidP="00687AE9">
            <w:pPr>
              <w:autoSpaceDE w:val="0"/>
              <w:autoSpaceDN w:val="0"/>
              <w:adjustRightInd w:val="0"/>
              <w:spacing w:after="0" w:line="240"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23BD821B" w14:textId="77777777" w:rsidR="00687AE9" w:rsidRPr="00687AE9" w:rsidRDefault="00687AE9" w:rsidP="00687AE9">
            <w:pPr>
              <w:autoSpaceDE w:val="0"/>
              <w:autoSpaceDN w:val="0"/>
              <w:adjustRightInd w:val="0"/>
              <w:spacing w:after="0" w:line="240" w:lineRule="auto"/>
              <w:rPr>
                <w:rFonts w:ascii="Calibri" w:eastAsia="Calibri" w:hAnsi="Calibri" w:cs="Arial"/>
                <w:b/>
                <w:color w:val="0070C0"/>
                <w:kern w:val="0"/>
                <w:lang w:eastAsia="es-CR"/>
                <w14:ligatures w14:val="none"/>
              </w:rPr>
            </w:pPr>
          </w:p>
          <w:p w14:paraId="3834FA1C" w14:textId="77777777" w:rsidR="00687AE9" w:rsidRPr="00687AE9" w:rsidRDefault="00687AE9" w:rsidP="00687AE9">
            <w:pPr>
              <w:autoSpaceDE w:val="0"/>
              <w:autoSpaceDN w:val="0"/>
              <w:adjustRightInd w:val="0"/>
              <w:spacing w:after="0" w:line="240" w:lineRule="auto"/>
              <w:rPr>
                <w:rFonts w:ascii="Calibri" w:eastAsia="Calibri" w:hAnsi="Calibri" w:cs="Arial"/>
                <w:bCs/>
                <w:color w:val="0070C0"/>
                <w:kern w:val="0"/>
                <w:lang w:val="es-ES_tradnl"/>
                <w14:ligatures w14:val="none"/>
              </w:rPr>
            </w:pPr>
            <w:r w:rsidRPr="00687AE9">
              <w:rPr>
                <w:rFonts w:ascii="Calibri" w:eastAsia="Calibri" w:hAnsi="Calibri" w:cs="Arial"/>
                <w:bCs/>
                <w:color w:val="0070C0"/>
                <w:kern w:val="0"/>
                <w:lang w:eastAsia="es-CR"/>
                <w14:ligatures w14:val="none"/>
              </w:rPr>
              <w:t>Guía para la participación en un foro en la plataforma Moodle</w:t>
            </w:r>
          </w:p>
        </w:tc>
        <w:tc>
          <w:tcPr>
            <w:tcW w:w="3118" w:type="dxa"/>
          </w:tcPr>
          <w:p w14:paraId="636BD5C4" w14:textId="77777777" w:rsidR="00687AE9" w:rsidRPr="00687AE9" w:rsidRDefault="00687AE9" w:rsidP="00687AE9">
            <w:pPr>
              <w:widowControl w:val="0"/>
              <w:numPr>
                <w:ilvl w:val="0"/>
                <w:numId w:val="148"/>
              </w:numPr>
              <w:overflowPunct w:val="0"/>
              <w:autoSpaceDE w:val="0"/>
              <w:autoSpaceDN w:val="0"/>
              <w:adjustRightInd w:val="0"/>
              <w:spacing w:before="120" w:after="0" w:line="240" w:lineRule="auto"/>
              <w:ind w:left="252" w:right="35"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Participación en el foro social CAFETERÍA.</w:t>
            </w:r>
          </w:p>
          <w:p w14:paraId="3AF4B8FD" w14:textId="77777777" w:rsidR="00687AE9" w:rsidRPr="00687AE9" w:rsidRDefault="00687AE9" w:rsidP="00687AE9">
            <w:pPr>
              <w:widowControl w:val="0"/>
              <w:numPr>
                <w:ilvl w:val="0"/>
                <w:numId w:val="148"/>
              </w:numPr>
              <w:overflowPunct w:val="0"/>
              <w:autoSpaceDE w:val="0"/>
              <w:autoSpaceDN w:val="0"/>
              <w:adjustRightInd w:val="0"/>
              <w:spacing w:before="120" w:after="0" w:line="240" w:lineRule="auto"/>
              <w:ind w:left="252" w:right="35"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Participación en el foro de dudas, donde se revisará el sílabo con los y las estudiantes. </w:t>
            </w:r>
          </w:p>
          <w:p w14:paraId="59699441" w14:textId="77777777" w:rsidR="00687AE9" w:rsidRPr="00687AE9" w:rsidRDefault="00687AE9" w:rsidP="00687AE9">
            <w:pPr>
              <w:widowControl w:val="0"/>
              <w:numPr>
                <w:ilvl w:val="0"/>
                <w:numId w:val="148"/>
              </w:numPr>
              <w:overflowPunct w:val="0"/>
              <w:autoSpaceDE w:val="0"/>
              <w:autoSpaceDN w:val="0"/>
              <w:adjustRightInd w:val="0"/>
              <w:spacing w:before="120" w:after="0" w:line="240" w:lineRule="auto"/>
              <w:ind w:left="252" w:right="35"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Participación en el foro temático: Introducción conceptual al curso (formativo).</w:t>
            </w:r>
          </w:p>
          <w:p w14:paraId="4269735B" w14:textId="77777777" w:rsidR="00687AE9" w:rsidRPr="00687AE9" w:rsidRDefault="00687AE9" w:rsidP="00687AE9">
            <w:pPr>
              <w:spacing w:after="0" w:line="240" w:lineRule="auto"/>
              <w:ind w:left="252" w:right="35"/>
              <w:rPr>
                <w:rFonts w:ascii="Calibri" w:eastAsia="Calibri" w:hAnsi="Calibri" w:cs="Arial"/>
                <w:color w:val="000000"/>
                <w:kern w:val="0"/>
                <w14:ligatures w14:val="none"/>
              </w:rPr>
            </w:pPr>
          </w:p>
        </w:tc>
      </w:tr>
      <w:tr w:rsidR="00687AE9" w:rsidRPr="00687AE9" w14:paraId="027F15C8" w14:textId="77777777" w:rsidTr="4C9C2619">
        <w:trPr>
          <w:jc w:val="center"/>
        </w:trPr>
        <w:tc>
          <w:tcPr>
            <w:tcW w:w="1271" w:type="dxa"/>
          </w:tcPr>
          <w:p w14:paraId="2C5BF213"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5E62958C"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2</w:t>
            </w:r>
          </w:p>
        </w:tc>
        <w:tc>
          <w:tcPr>
            <w:tcW w:w="2410" w:type="dxa"/>
          </w:tcPr>
          <w:p w14:paraId="0710031D"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2: Reconstruyendo el propio peregrinaje pastoral</w:t>
            </w:r>
          </w:p>
          <w:p w14:paraId="0C542E8E"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48AA7D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2.1 Tres ejemplos de experiencia pastoral</w:t>
            </w:r>
          </w:p>
          <w:p w14:paraId="2655F465"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4A8D81E2"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2.2 La acción pastoral en América Latina</w:t>
            </w:r>
          </w:p>
        </w:tc>
        <w:tc>
          <w:tcPr>
            <w:tcW w:w="2835" w:type="dxa"/>
          </w:tcPr>
          <w:p w14:paraId="31BCA7F9"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2D84D260"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5B877B53"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Muntaner, Guillem. “El nuevo panorama religioso. Una mirada al momento presente”. En </w:t>
            </w:r>
            <w:r w:rsidRPr="00687AE9">
              <w:rPr>
                <w:rFonts w:ascii="Calibri" w:eastAsia="Calibri" w:hAnsi="Calibri" w:cs="Arial"/>
                <w:i/>
                <w:kern w:val="0"/>
                <w:lang w:eastAsia="es-CR"/>
                <w14:ligatures w14:val="none"/>
              </w:rPr>
              <w:t xml:space="preserve">Hacia una nueva configuración del mundo: sociedad, cultura, religión, </w:t>
            </w:r>
            <w:r w:rsidRPr="00687AE9">
              <w:rPr>
                <w:rFonts w:ascii="Calibri" w:eastAsia="Calibri" w:hAnsi="Calibri" w:cs="Arial"/>
                <w:kern w:val="0"/>
                <w:lang w:eastAsia="es-CR"/>
                <w14:ligatures w14:val="none"/>
              </w:rPr>
              <w:t>129-174.</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Bilbao: </w:t>
            </w:r>
            <w:proofErr w:type="spellStart"/>
            <w:r w:rsidRPr="00687AE9">
              <w:rPr>
                <w:rFonts w:ascii="Calibri" w:eastAsia="Calibri" w:hAnsi="Calibri" w:cs="Arial"/>
                <w:kern w:val="0"/>
                <w:lang w:eastAsia="es-CR"/>
                <w14:ligatures w14:val="none"/>
              </w:rPr>
              <w:t>Desclee</w:t>
            </w:r>
            <w:proofErr w:type="spellEnd"/>
            <w:r w:rsidRPr="00687AE9">
              <w:rPr>
                <w:rFonts w:ascii="Calibri" w:eastAsia="Calibri" w:hAnsi="Calibri" w:cs="Arial"/>
                <w:kern w:val="0"/>
                <w:lang w:eastAsia="es-CR"/>
                <w14:ligatures w14:val="none"/>
              </w:rPr>
              <w:t xml:space="preserve"> de Brouwer, 2001. </w:t>
            </w:r>
            <w:r w:rsidRPr="00687AE9">
              <w:rPr>
                <w:rFonts w:ascii="Calibri" w:eastAsia="Calibri" w:hAnsi="Calibri" w:cs="Arial"/>
                <w:color w:val="0070C0"/>
                <w:kern w:val="0"/>
                <w:lang w:eastAsia="es-CR"/>
                <w14:ligatures w14:val="none"/>
              </w:rPr>
              <w:t>(clásico, última edición)</w:t>
            </w:r>
          </w:p>
          <w:p w14:paraId="7792FFCF"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5D6C8E2D" w14:textId="77777777" w:rsidR="00687AE9" w:rsidRPr="00687AE9" w:rsidRDefault="00687AE9" w:rsidP="00687AE9">
            <w:pPr>
              <w:autoSpaceDE w:val="0"/>
              <w:autoSpaceDN w:val="0"/>
              <w:adjustRightInd w:val="0"/>
              <w:spacing w:after="0" w:line="240"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2897366E" w14:textId="77777777" w:rsidR="00687AE9" w:rsidRPr="00687AE9" w:rsidRDefault="00687AE9" w:rsidP="00687AE9">
            <w:pPr>
              <w:autoSpaceDE w:val="0"/>
              <w:autoSpaceDN w:val="0"/>
              <w:adjustRightInd w:val="0"/>
              <w:spacing w:after="0" w:line="240" w:lineRule="auto"/>
              <w:rPr>
                <w:rFonts w:ascii="Calibri" w:eastAsia="Calibri" w:hAnsi="Calibri" w:cs="Arial"/>
                <w:b/>
                <w:color w:val="0070C0"/>
                <w:kern w:val="0"/>
                <w:lang w:eastAsia="es-CR"/>
                <w14:ligatures w14:val="none"/>
              </w:rPr>
            </w:pPr>
          </w:p>
          <w:p w14:paraId="4C0FEAE2" w14:textId="77777777" w:rsidR="00687AE9" w:rsidRPr="00687AE9" w:rsidRDefault="00687AE9" w:rsidP="00687AE9">
            <w:pPr>
              <w:autoSpaceDE w:val="0"/>
              <w:autoSpaceDN w:val="0"/>
              <w:adjustRightInd w:val="0"/>
              <w:spacing w:after="0" w:line="240" w:lineRule="auto"/>
              <w:rPr>
                <w:rFonts w:ascii="Calibri" w:eastAsia="Calibri" w:hAnsi="Calibri" w:cs="Arial"/>
                <w:bCs/>
                <w:color w:val="0070C0"/>
                <w:kern w:val="0"/>
                <w:lang w:eastAsia="es-CR"/>
                <w14:ligatures w14:val="none"/>
              </w:rPr>
            </w:pPr>
            <w:r w:rsidRPr="00687AE9">
              <w:rPr>
                <w:rFonts w:ascii="Calibri" w:eastAsia="Calibri" w:hAnsi="Calibri" w:cs="Arial"/>
                <w:bCs/>
                <w:color w:val="0070C0"/>
                <w:kern w:val="0"/>
                <w:lang w:eastAsia="es-CR"/>
                <w14:ligatures w14:val="none"/>
              </w:rPr>
              <w:t xml:space="preserve">Guía para la participación mediante la herramienta Big Blue </w:t>
            </w:r>
            <w:proofErr w:type="spellStart"/>
            <w:r w:rsidRPr="00687AE9">
              <w:rPr>
                <w:rFonts w:ascii="Calibri" w:eastAsia="Calibri" w:hAnsi="Calibri" w:cs="Arial"/>
                <w:bCs/>
                <w:color w:val="0070C0"/>
                <w:kern w:val="0"/>
                <w:lang w:eastAsia="es-CR"/>
                <w14:ligatures w14:val="none"/>
              </w:rPr>
              <w:t>Button</w:t>
            </w:r>
            <w:proofErr w:type="spellEnd"/>
            <w:r w:rsidRPr="00687AE9">
              <w:rPr>
                <w:rFonts w:ascii="Calibri" w:eastAsia="Calibri" w:hAnsi="Calibri" w:cs="Arial"/>
                <w:bCs/>
                <w:color w:val="0070C0"/>
                <w:kern w:val="0"/>
                <w:lang w:eastAsia="es-CR"/>
                <w14:ligatures w14:val="none"/>
              </w:rPr>
              <w:t xml:space="preserve"> en la plataforma Moodle</w:t>
            </w:r>
          </w:p>
          <w:p w14:paraId="19B2C089" w14:textId="77777777" w:rsidR="00687AE9" w:rsidRPr="00687AE9" w:rsidRDefault="00687AE9" w:rsidP="00687AE9">
            <w:pPr>
              <w:autoSpaceDE w:val="0"/>
              <w:autoSpaceDN w:val="0"/>
              <w:adjustRightInd w:val="0"/>
              <w:spacing w:after="0" w:line="240" w:lineRule="auto"/>
              <w:rPr>
                <w:rFonts w:ascii="Calibri" w:eastAsia="Calibri" w:hAnsi="Calibri" w:cs="Arial"/>
                <w:bCs/>
                <w:color w:val="0070C0"/>
                <w:kern w:val="0"/>
                <w:lang w:eastAsia="es-CR"/>
                <w14:ligatures w14:val="none"/>
              </w:rPr>
            </w:pPr>
          </w:p>
          <w:p w14:paraId="799118D7" w14:textId="77777777" w:rsidR="00687AE9" w:rsidRPr="00687AE9" w:rsidRDefault="00687AE9" w:rsidP="00687AE9">
            <w:pPr>
              <w:autoSpaceDE w:val="0"/>
              <w:autoSpaceDN w:val="0"/>
              <w:adjustRightInd w:val="0"/>
              <w:spacing w:after="0" w:line="240" w:lineRule="auto"/>
              <w:rPr>
                <w:rFonts w:ascii="Calibri" w:eastAsia="Calibri" w:hAnsi="Calibri" w:cs="Arial"/>
                <w:bCs/>
                <w:kern w:val="0"/>
                <w:lang w:eastAsia="es-CR"/>
                <w14:ligatures w14:val="none"/>
              </w:rPr>
            </w:pPr>
            <w:r w:rsidRPr="00687AE9">
              <w:rPr>
                <w:rFonts w:ascii="Calibri" w:eastAsia="Calibri" w:hAnsi="Calibri" w:cs="Arial"/>
                <w:bCs/>
                <w:color w:val="0070C0"/>
                <w:kern w:val="0"/>
                <w:lang w:eastAsia="es-CR"/>
                <w14:ligatures w14:val="none"/>
              </w:rPr>
              <w:t>Guía para la participación en un foro en la plataforma Moodle</w:t>
            </w:r>
          </w:p>
          <w:p w14:paraId="4E72DE79"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tc>
        <w:tc>
          <w:tcPr>
            <w:tcW w:w="3118" w:type="dxa"/>
          </w:tcPr>
          <w:p w14:paraId="27CDB73A"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en un encuentro sincrónico virtual (formativo).</w:t>
            </w:r>
          </w:p>
          <w:p w14:paraId="19FAFBCC"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Elaboración de una sistematización de su propia experiencia pastoral, la cual se entrega a través de un foro grupal (tarea 1).</w:t>
            </w:r>
          </w:p>
          <w:p w14:paraId="4C9A7EC6"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Retroalimentación grupal en el foro.</w:t>
            </w:r>
          </w:p>
          <w:p w14:paraId="5DFE5E93" w14:textId="77777777" w:rsidR="00687AE9" w:rsidRPr="00687AE9" w:rsidRDefault="00687AE9" w:rsidP="00687AE9">
            <w:pPr>
              <w:spacing w:after="0" w:line="240" w:lineRule="auto"/>
              <w:ind w:left="252"/>
              <w:rPr>
                <w:rFonts w:ascii="Calibri" w:eastAsia="Calibri" w:hAnsi="Calibri" w:cs="Arial"/>
                <w:color w:val="000000"/>
                <w:kern w:val="0"/>
                <w14:ligatures w14:val="none"/>
              </w:rPr>
            </w:pPr>
          </w:p>
        </w:tc>
      </w:tr>
      <w:tr w:rsidR="00687AE9" w:rsidRPr="00687AE9" w14:paraId="22AB3A48" w14:textId="77777777" w:rsidTr="4C9C2619">
        <w:trPr>
          <w:trHeight w:val="699"/>
          <w:jc w:val="center"/>
        </w:trPr>
        <w:tc>
          <w:tcPr>
            <w:tcW w:w="1271" w:type="dxa"/>
          </w:tcPr>
          <w:p w14:paraId="60734E1B"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42884158"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3</w:t>
            </w:r>
          </w:p>
        </w:tc>
        <w:tc>
          <w:tcPr>
            <w:tcW w:w="2410" w:type="dxa"/>
          </w:tcPr>
          <w:p w14:paraId="003FAE28"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3: Acercamiento pastoral a la comunidad</w:t>
            </w:r>
          </w:p>
          <w:p w14:paraId="2608D83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C5AE1B0"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3.1 El diario de campo</w:t>
            </w:r>
          </w:p>
          <w:p w14:paraId="0590F7E8"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5832007"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lastRenderedPageBreak/>
              <w:t>3.2 La encuesta selectiva</w:t>
            </w:r>
          </w:p>
          <w:p w14:paraId="32706E7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E4B3888"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lang w:val="es-ES_tradnl"/>
                <w14:ligatures w14:val="none"/>
              </w:rPr>
            </w:pPr>
            <w:r w:rsidRPr="00687AE9">
              <w:rPr>
                <w:rFonts w:ascii="Calibri" w:eastAsia="Times New Roman" w:hAnsi="Calibri" w:cs="Arial"/>
                <w:kern w:val="0"/>
                <w:lang w:val="es-ES_tradnl" w:eastAsia="es-CR"/>
                <w14:ligatures w14:val="none"/>
              </w:rPr>
              <w:t>3.3 La entrevista a profundidad</w:t>
            </w:r>
          </w:p>
        </w:tc>
        <w:tc>
          <w:tcPr>
            <w:tcW w:w="2835" w:type="dxa"/>
          </w:tcPr>
          <w:p w14:paraId="46C476B3"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lastRenderedPageBreak/>
              <w:t>Ruta de aprendizaje</w:t>
            </w:r>
          </w:p>
          <w:p w14:paraId="7A0A7AD4"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7F1713FE"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Muntaner, Guillem. “Las implicaciones actuales del entorno social y humano”. En </w:t>
            </w:r>
            <w:r w:rsidRPr="00687AE9">
              <w:rPr>
                <w:rFonts w:ascii="Calibri" w:eastAsia="Calibri" w:hAnsi="Calibri" w:cs="Arial"/>
                <w:i/>
                <w:kern w:val="0"/>
                <w:lang w:eastAsia="es-CR"/>
                <w14:ligatures w14:val="none"/>
              </w:rPr>
              <w:t xml:space="preserve">Hacia una nueva </w:t>
            </w:r>
            <w:r w:rsidRPr="00687AE9">
              <w:rPr>
                <w:rFonts w:ascii="Calibri" w:eastAsia="Calibri" w:hAnsi="Calibri" w:cs="Arial"/>
                <w:i/>
                <w:kern w:val="0"/>
                <w:lang w:eastAsia="es-CR"/>
                <w14:ligatures w14:val="none"/>
              </w:rPr>
              <w:lastRenderedPageBreak/>
              <w:t xml:space="preserve">configuración del mundo: sociedad, cultura, religión, </w:t>
            </w:r>
            <w:r w:rsidRPr="00687AE9">
              <w:rPr>
                <w:rFonts w:ascii="Calibri" w:eastAsia="Calibri" w:hAnsi="Calibri" w:cs="Arial"/>
                <w:kern w:val="0"/>
                <w:lang w:eastAsia="es-CR"/>
                <w14:ligatures w14:val="none"/>
              </w:rPr>
              <w:t>71-90.</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Bilbao: </w:t>
            </w:r>
            <w:proofErr w:type="spellStart"/>
            <w:r w:rsidRPr="00687AE9">
              <w:rPr>
                <w:rFonts w:ascii="Calibri" w:eastAsia="Calibri" w:hAnsi="Calibri" w:cs="Arial"/>
                <w:kern w:val="0"/>
                <w:lang w:eastAsia="es-CR"/>
                <w14:ligatures w14:val="none"/>
              </w:rPr>
              <w:t>Desclee</w:t>
            </w:r>
            <w:proofErr w:type="spellEnd"/>
            <w:r w:rsidRPr="00687AE9">
              <w:rPr>
                <w:rFonts w:ascii="Calibri" w:eastAsia="Calibri" w:hAnsi="Calibri" w:cs="Arial"/>
                <w:kern w:val="0"/>
                <w:lang w:eastAsia="es-CR"/>
                <w14:ligatures w14:val="none"/>
              </w:rPr>
              <w:t xml:space="preserve"> de Brouwer, 2001. </w:t>
            </w:r>
            <w:r w:rsidRPr="00687AE9">
              <w:rPr>
                <w:rFonts w:ascii="Calibri" w:eastAsia="Calibri" w:hAnsi="Calibri" w:cs="Arial"/>
                <w:color w:val="0070C0"/>
                <w:kern w:val="0"/>
                <w:lang w:eastAsia="es-CR"/>
                <w14:ligatures w14:val="none"/>
              </w:rPr>
              <w:t>(clásico, última edición)</w:t>
            </w:r>
          </w:p>
          <w:p w14:paraId="3366F694" w14:textId="77777777" w:rsidR="00687AE9" w:rsidRPr="00687AE9" w:rsidRDefault="00687AE9" w:rsidP="00687AE9">
            <w:pPr>
              <w:autoSpaceDE w:val="0"/>
              <w:autoSpaceDN w:val="0"/>
              <w:adjustRightInd w:val="0"/>
              <w:spacing w:before="120" w:after="0" w:line="276" w:lineRule="auto"/>
              <w:rPr>
                <w:rFonts w:ascii="Calibri" w:eastAsia="Times New Roman" w:hAnsi="Calibri" w:cs="Calibri"/>
                <w:b/>
                <w:kern w:val="0"/>
                <w:szCs w:val="20"/>
                <w:lang w:val="es-ES_tradnl" w:eastAsia="es-CR"/>
                <w14:ligatures w14:val="none"/>
              </w:rPr>
            </w:pPr>
            <w:r w:rsidRPr="00687AE9">
              <w:rPr>
                <w:rFonts w:ascii="Calibri" w:eastAsia="Times New Roman" w:hAnsi="Calibri" w:cs="Calibri"/>
                <w:b/>
                <w:kern w:val="0"/>
                <w:szCs w:val="20"/>
                <w:lang w:val="es-ES_tradnl" w:eastAsia="es-CR"/>
                <w14:ligatures w14:val="none"/>
              </w:rPr>
              <w:t>Material complementario</w:t>
            </w:r>
          </w:p>
          <w:p w14:paraId="100E569F" w14:textId="77777777" w:rsidR="00687AE9" w:rsidRPr="00687AE9" w:rsidRDefault="00687AE9" w:rsidP="00687AE9">
            <w:pPr>
              <w:autoSpaceDE w:val="0"/>
              <w:autoSpaceDN w:val="0"/>
              <w:adjustRightInd w:val="0"/>
              <w:spacing w:before="120" w:after="0" w:line="276" w:lineRule="auto"/>
              <w:rPr>
                <w:rFonts w:ascii="Calibri" w:eastAsia="Times New Roman" w:hAnsi="Calibri" w:cs="Calibri"/>
                <w:color w:val="0000FF"/>
                <w:kern w:val="0"/>
                <w:u w:val="single"/>
                <w:lang w:val="es-ES_tradnl" w:eastAsia="es-CR"/>
                <w14:ligatures w14:val="none"/>
              </w:rPr>
            </w:pPr>
            <w:r w:rsidRPr="00687AE9">
              <w:rPr>
                <w:rFonts w:ascii="Calibri" w:eastAsia="Times New Roman" w:hAnsi="Calibri" w:cs="Calibri"/>
                <w:kern w:val="0"/>
                <w:lang w:val="es-ES_tradnl" w:eastAsia="es-CR"/>
                <w14:ligatures w14:val="none"/>
              </w:rPr>
              <w:t xml:space="preserve">Vigueras Cherres, Alex. “Mediaciones para un método de teología pastoral, a partir de la teología práctica de Karl Rahner”. </w:t>
            </w:r>
            <w:r w:rsidRPr="00687AE9">
              <w:rPr>
                <w:rFonts w:ascii="Calibri" w:eastAsia="Times New Roman" w:hAnsi="Calibri" w:cs="Calibri"/>
                <w:i/>
                <w:kern w:val="0"/>
                <w:lang w:val="es-ES_tradnl" w:eastAsia="es-CR"/>
                <w14:ligatures w14:val="none"/>
              </w:rPr>
              <w:t>Teología y Vida</w:t>
            </w:r>
            <w:r w:rsidRPr="00687AE9">
              <w:rPr>
                <w:rFonts w:ascii="Calibri" w:eastAsia="Times New Roman" w:hAnsi="Calibri" w:cs="Calibri"/>
                <w:kern w:val="0"/>
                <w:lang w:val="es-ES_tradnl" w:eastAsia="es-CR"/>
                <w14:ligatures w14:val="none"/>
              </w:rPr>
              <w:t xml:space="preserve"> 53, n. 3 (2012): 237-258. Acceso el 18 de diciembre de 2020. </w:t>
            </w:r>
            <w:hyperlink r:id="rId301" w:history="1">
              <w:r w:rsidRPr="00687AE9">
                <w:rPr>
                  <w:rFonts w:ascii="Calibri" w:eastAsia="Times New Roman" w:hAnsi="Calibri" w:cs="Calibri"/>
                  <w:color w:val="0000FF"/>
                  <w:kern w:val="0"/>
                  <w:u w:val="single"/>
                  <w:lang w:val="es-ES_tradnl" w:eastAsia="es-CR"/>
                  <w14:ligatures w14:val="none"/>
                </w:rPr>
                <w:t>https://www.redalyc.org/articulo.oa?id=32225031002</w:t>
              </w:r>
            </w:hyperlink>
          </w:p>
          <w:p w14:paraId="111DD6D9" w14:textId="77777777" w:rsidR="00687AE9" w:rsidRPr="00687AE9" w:rsidRDefault="00687AE9" w:rsidP="4C9C2619">
            <w:pPr>
              <w:autoSpaceDE w:val="0"/>
              <w:autoSpaceDN w:val="0"/>
              <w:adjustRightInd w:val="0"/>
              <w:spacing w:before="120" w:after="0" w:line="276"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40C80871" w14:textId="77777777" w:rsidR="00687AE9" w:rsidRPr="00687AE9" w:rsidRDefault="00687AE9" w:rsidP="00687AE9">
            <w:pPr>
              <w:autoSpaceDE w:val="0"/>
              <w:autoSpaceDN w:val="0"/>
              <w:adjustRightInd w:val="0"/>
              <w:spacing w:before="120" w:after="0" w:line="276" w:lineRule="auto"/>
              <w:rPr>
                <w:rFonts w:ascii="Calibri" w:eastAsia="Times New Roman" w:hAnsi="Calibri" w:cs="Calibri"/>
                <w:color w:val="0070C0"/>
                <w:kern w:val="0"/>
                <w:lang w:val="es-ES_tradnl" w:eastAsia="es-CR"/>
                <w14:ligatures w14:val="none"/>
              </w:rPr>
            </w:pPr>
            <w:r w:rsidRPr="00687AE9">
              <w:rPr>
                <w:rFonts w:ascii="Calibri" w:eastAsia="Times New Roman" w:hAnsi="Calibri" w:cs="Calibri"/>
                <w:color w:val="0070C0"/>
                <w:kern w:val="0"/>
                <w:lang w:val="es-ES_tradnl" w:eastAsia="es-CR"/>
                <w14:ligatures w14:val="none"/>
              </w:rPr>
              <w:t>Guía para la participación en un foro en la plataforma Moodle</w:t>
            </w:r>
          </w:p>
          <w:p w14:paraId="54F8A713" w14:textId="77777777" w:rsidR="00687AE9" w:rsidRPr="00687AE9" w:rsidRDefault="00687AE9" w:rsidP="00687AE9">
            <w:pPr>
              <w:autoSpaceDE w:val="0"/>
              <w:autoSpaceDN w:val="0"/>
              <w:adjustRightInd w:val="0"/>
              <w:spacing w:before="120" w:after="0" w:line="276" w:lineRule="auto"/>
              <w:rPr>
                <w:rFonts w:ascii="Calibri" w:eastAsia="Times New Roman" w:hAnsi="Calibri" w:cs="Calibri"/>
                <w:color w:val="0070C0"/>
                <w:kern w:val="0"/>
                <w:lang w:val="es-ES_tradnl" w:eastAsia="es-CR"/>
                <w14:ligatures w14:val="none"/>
              </w:rPr>
            </w:pPr>
          </w:p>
        </w:tc>
        <w:tc>
          <w:tcPr>
            <w:tcW w:w="3118" w:type="dxa"/>
          </w:tcPr>
          <w:p w14:paraId="622E5D71"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lastRenderedPageBreak/>
              <w:t>Presentación docente en un encuentro sincrónico virtual (formativo).</w:t>
            </w:r>
          </w:p>
          <w:p w14:paraId="27C39437"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Video sobre el diario de campo en un encuentro </w:t>
            </w:r>
            <w:r w:rsidRPr="00687AE9">
              <w:rPr>
                <w:rFonts w:ascii="Calibri" w:eastAsia="Calibri" w:hAnsi="Calibri" w:cs="Arial"/>
                <w:color w:val="000000"/>
                <w:kern w:val="0"/>
                <w14:ligatures w14:val="none"/>
              </w:rPr>
              <w:lastRenderedPageBreak/>
              <w:t>sincrónico virtual.</w:t>
            </w:r>
          </w:p>
          <w:p w14:paraId="1519C57E"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Participación en el foro temático grupal: Conociendo nuestro entorno, donde se realizará una discusión sobre la lectura asignada.</w:t>
            </w:r>
          </w:p>
          <w:p w14:paraId="18BA3F81"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Inicio de la elaboración de una presentación multimedia (tarea 2).</w:t>
            </w:r>
          </w:p>
          <w:p w14:paraId="3C22EB57" w14:textId="77777777" w:rsidR="00687AE9" w:rsidRPr="00687AE9" w:rsidRDefault="00687AE9" w:rsidP="00687AE9">
            <w:pPr>
              <w:spacing w:after="0" w:line="240" w:lineRule="auto"/>
              <w:ind w:left="252"/>
              <w:rPr>
                <w:rFonts w:ascii="Calibri" w:eastAsia="Calibri" w:hAnsi="Calibri" w:cs="Arial"/>
                <w:color w:val="000000"/>
                <w:kern w:val="0"/>
                <w14:ligatures w14:val="none"/>
              </w:rPr>
            </w:pPr>
          </w:p>
        </w:tc>
      </w:tr>
      <w:tr w:rsidR="00687AE9" w:rsidRPr="00687AE9" w14:paraId="1D74173A" w14:textId="77777777" w:rsidTr="4C9C2619">
        <w:trPr>
          <w:jc w:val="center"/>
        </w:trPr>
        <w:tc>
          <w:tcPr>
            <w:tcW w:w="1271" w:type="dxa"/>
          </w:tcPr>
          <w:p w14:paraId="1DE78F2F"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576CCC4C"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4</w:t>
            </w:r>
          </w:p>
        </w:tc>
        <w:tc>
          <w:tcPr>
            <w:tcW w:w="2410" w:type="dxa"/>
          </w:tcPr>
          <w:p w14:paraId="03E671BB"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4: Conocimiento de la realidad y acción pastoral</w:t>
            </w:r>
          </w:p>
          <w:p w14:paraId="3AA5B88C"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02A5B3B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4.1 Introducción</w:t>
            </w:r>
          </w:p>
          <w:p w14:paraId="29ED548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0D12E25"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14:ligatures w14:val="none"/>
              </w:rPr>
            </w:pPr>
            <w:r w:rsidRPr="00687AE9">
              <w:rPr>
                <w:rFonts w:ascii="Calibri" w:eastAsia="Times New Roman" w:hAnsi="Calibri" w:cs="Arial"/>
                <w:kern w:val="0"/>
                <w:lang w:val="es-ES_tradnl" w:eastAsia="es-CR"/>
                <w14:ligatures w14:val="none"/>
              </w:rPr>
              <w:t>4.2 Análisis de la realidad</w:t>
            </w:r>
          </w:p>
        </w:tc>
        <w:tc>
          <w:tcPr>
            <w:tcW w:w="2835" w:type="dxa"/>
          </w:tcPr>
          <w:p w14:paraId="43E3FD29" w14:textId="77777777" w:rsidR="00687AE9" w:rsidRPr="00687AE9" w:rsidRDefault="00687AE9" w:rsidP="00687AE9">
            <w:pPr>
              <w:widowControl w:val="0"/>
              <w:overflowPunct w:val="0"/>
              <w:autoSpaceDE w:val="0"/>
              <w:autoSpaceDN w:val="0"/>
              <w:adjustRightInd w:val="0"/>
              <w:spacing w:after="12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1C73DED2" w14:textId="77777777" w:rsidR="00687AE9" w:rsidRPr="00687AE9" w:rsidRDefault="00687AE9" w:rsidP="00687AE9">
            <w:pPr>
              <w:widowControl w:val="0"/>
              <w:overflowPunct w:val="0"/>
              <w:autoSpaceDE w:val="0"/>
              <w:autoSpaceDN w:val="0"/>
              <w:adjustRightInd w:val="0"/>
              <w:spacing w:after="120" w:line="240" w:lineRule="auto"/>
              <w:rPr>
                <w:rFonts w:ascii="Calibri" w:eastAsia="MS Mincho" w:hAnsi="Calibri" w:cs="Calibri"/>
                <w:color w:val="000000"/>
                <w:kern w:val="0"/>
                <w:lang w:val="es-ES_tradnl" w:eastAsia="es-CR"/>
                <w14:ligatures w14:val="none"/>
              </w:rPr>
            </w:pPr>
            <w:r w:rsidRPr="00687AE9">
              <w:rPr>
                <w:rFonts w:ascii="Calibri" w:eastAsia="Calibri" w:hAnsi="Calibri" w:cs="Arial"/>
                <w:kern w:val="0"/>
                <w:lang w:eastAsia="es-CR"/>
                <w14:ligatures w14:val="none"/>
              </w:rPr>
              <w:t xml:space="preserve">Muntaner, Guillem. “¿Podemos hablar de Dios, hoy?”. En </w:t>
            </w:r>
            <w:r w:rsidRPr="00687AE9">
              <w:rPr>
                <w:rFonts w:ascii="Calibri" w:eastAsia="Calibri" w:hAnsi="Calibri" w:cs="Arial"/>
                <w:i/>
                <w:kern w:val="0"/>
                <w:lang w:eastAsia="es-CR"/>
                <w14:ligatures w14:val="none"/>
              </w:rPr>
              <w:t xml:space="preserve">Hacia una nueva configuración del mundo: sociedad, cultura, religión, </w:t>
            </w:r>
            <w:r w:rsidRPr="00687AE9">
              <w:rPr>
                <w:rFonts w:ascii="Calibri" w:eastAsia="Calibri" w:hAnsi="Calibri" w:cs="Arial"/>
                <w:kern w:val="0"/>
                <w:lang w:eastAsia="es-CR"/>
                <w14:ligatures w14:val="none"/>
              </w:rPr>
              <w:t>175-194.</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Bilbao: </w:t>
            </w:r>
            <w:proofErr w:type="spellStart"/>
            <w:r w:rsidRPr="00687AE9">
              <w:rPr>
                <w:rFonts w:ascii="Calibri" w:eastAsia="Calibri" w:hAnsi="Calibri" w:cs="Arial"/>
                <w:kern w:val="0"/>
                <w:lang w:eastAsia="es-CR"/>
                <w14:ligatures w14:val="none"/>
              </w:rPr>
              <w:t>Desclee</w:t>
            </w:r>
            <w:proofErr w:type="spellEnd"/>
            <w:r w:rsidRPr="00687AE9">
              <w:rPr>
                <w:rFonts w:ascii="Calibri" w:eastAsia="Calibri" w:hAnsi="Calibri" w:cs="Arial"/>
                <w:kern w:val="0"/>
                <w:lang w:eastAsia="es-CR"/>
                <w14:ligatures w14:val="none"/>
              </w:rPr>
              <w:t xml:space="preserve"> de Brouwer, 2001.</w:t>
            </w:r>
            <w:r w:rsidRPr="00687AE9">
              <w:rPr>
                <w:rFonts w:ascii="Calibri" w:eastAsia="MS Mincho" w:hAnsi="Calibri" w:cs="Calibri"/>
                <w:color w:val="000000"/>
                <w:kern w:val="0"/>
                <w:lang w:val="es-ES_tradnl" w:eastAsia="es-CR"/>
                <w14:ligatures w14:val="none"/>
              </w:rPr>
              <w:t xml:space="preserve"> </w:t>
            </w:r>
            <w:r w:rsidRPr="00687AE9">
              <w:rPr>
                <w:rFonts w:ascii="Calibri" w:eastAsia="Calibri" w:hAnsi="Calibri" w:cs="Arial"/>
                <w:color w:val="0070C0"/>
                <w:kern w:val="0"/>
                <w:lang w:eastAsia="es-CR"/>
                <w14:ligatures w14:val="none"/>
              </w:rPr>
              <w:t>(clásico, última edición)</w:t>
            </w:r>
          </w:p>
          <w:p w14:paraId="2437D85C" w14:textId="77777777" w:rsidR="00687AE9" w:rsidRPr="00687AE9" w:rsidRDefault="00687AE9" w:rsidP="00687AE9">
            <w:pPr>
              <w:widowControl w:val="0"/>
              <w:overflowPunct w:val="0"/>
              <w:autoSpaceDE w:val="0"/>
              <w:autoSpaceDN w:val="0"/>
              <w:adjustRightInd w:val="0"/>
              <w:spacing w:after="120" w:line="240" w:lineRule="auto"/>
              <w:rPr>
                <w:rFonts w:ascii="Calibri" w:eastAsia="MS Mincho" w:hAnsi="Calibri" w:cs="Calibri"/>
                <w:color w:val="000000"/>
                <w:kern w:val="0"/>
                <w:lang w:val="es-ES_tradnl" w:eastAsia="es-CR"/>
                <w14:ligatures w14:val="none"/>
              </w:rPr>
            </w:pPr>
            <w:r w:rsidRPr="00687AE9">
              <w:rPr>
                <w:rFonts w:ascii="Calibri" w:eastAsia="Calibri" w:hAnsi="Calibri" w:cs="Arial"/>
                <w:b/>
                <w:color w:val="0070C0"/>
                <w:kern w:val="0"/>
                <w:lang w:eastAsia="es-CR"/>
                <w14:ligatures w14:val="none"/>
              </w:rPr>
              <w:t>Material complementario</w:t>
            </w:r>
            <w:r w:rsidRPr="00687AE9">
              <w:rPr>
                <w:rFonts w:ascii="Calibri" w:eastAsia="MS Mincho" w:hAnsi="Calibri" w:cs="Calibri"/>
                <w:color w:val="000000"/>
                <w:kern w:val="0"/>
                <w:lang w:val="es-ES_tradnl" w:eastAsia="es-CR"/>
                <w14:ligatures w14:val="none"/>
              </w:rPr>
              <w:t xml:space="preserve"> </w:t>
            </w:r>
          </w:p>
          <w:p w14:paraId="0D74127F" w14:textId="77777777" w:rsidR="00687AE9" w:rsidRPr="00687AE9" w:rsidRDefault="00687AE9" w:rsidP="00687AE9">
            <w:pPr>
              <w:widowControl w:val="0"/>
              <w:overflowPunct w:val="0"/>
              <w:autoSpaceDE w:val="0"/>
              <w:autoSpaceDN w:val="0"/>
              <w:adjustRightInd w:val="0"/>
              <w:spacing w:after="120" w:line="240" w:lineRule="auto"/>
              <w:rPr>
                <w:rFonts w:ascii="Calibri" w:eastAsia="Times New Roman" w:hAnsi="Calibri" w:cs="Calibri"/>
                <w:color w:val="000000"/>
                <w:kern w:val="0"/>
                <w:lang w:val="es-ES_tradnl" w:eastAsia="es-CR"/>
                <w14:ligatures w14:val="none"/>
              </w:rPr>
            </w:pPr>
            <w:r w:rsidRPr="00687AE9">
              <w:rPr>
                <w:rFonts w:ascii="Calibri" w:eastAsia="Times New Roman" w:hAnsi="Calibri" w:cs="Calibri"/>
                <w:color w:val="0070C0"/>
                <w:kern w:val="0"/>
                <w:lang w:val="es-ES_tradnl" w:eastAsia="es-CR"/>
                <w14:ligatures w14:val="none"/>
              </w:rPr>
              <w:t>Guía para la participación en un foro en la plataforma Moodle</w:t>
            </w:r>
          </w:p>
        </w:tc>
        <w:tc>
          <w:tcPr>
            <w:tcW w:w="3118" w:type="dxa"/>
          </w:tcPr>
          <w:p w14:paraId="38F65A25"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de tarea 2 (conclusión y entrega de la presentación multimedia a través de un foro).</w:t>
            </w:r>
          </w:p>
          <w:p w14:paraId="5DED0645" w14:textId="77777777" w:rsidR="00687AE9" w:rsidRPr="00687AE9" w:rsidRDefault="00687AE9" w:rsidP="00687AE9">
            <w:pPr>
              <w:widowControl w:val="0"/>
              <w:numPr>
                <w:ilvl w:val="0"/>
                <w:numId w:val="149"/>
              </w:numPr>
              <w:overflowPunct w:val="0"/>
              <w:autoSpaceDE w:val="0"/>
              <w:autoSpaceDN w:val="0"/>
              <w:adjustRightInd w:val="0"/>
              <w:spacing w:before="120" w:after="0" w:line="240" w:lineRule="auto"/>
              <w:ind w:left="252" w:hanging="180"/>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Participación en el foro temático: Debate crítico sobre la realidad psicosocial, cultural y pastoral, donde se realizará una discusión sobre la lectura. </w:t>
            </w:r>
          </w:p>
          <w:p w14:paraId="6916742F" w14:textId="77777777" w:rsidR="00687AE9" w:rsidRPr="00687AE9" w:rsidRDefault="00687AE9" w:rsidP="00687AE9">
            <w:pPr>
              <w:spacing w:after="0" w:line="240" w:lineRule="auto"/>
              <w:ind w:left="252"/>
              <w:rPr>
                <w:rFonts w:ascii="Calibri" w:eastAsia="Calibri" w:hAnsi="Calibri" w:cs="Arial"/>
                <w:color w:val="000000"/>
                <w:kern w:val="0"/>
                <w14:ligatures w14:val="none"/>
              </w:rPr>
            </w:pPr>
          </w:p>
        </w:tc>
      </w:tr>
      <w:tr w:rsidR="00687AE9" w:rsidRPr="00687AE9" w14:paraId="04E23067" w14:textId="77777777" w:rsidTr="4C9C2619">
        <w:trPr>
          <w:jc w:val="center"/>
        </w:trPr>
        <w:tc>
          <w:tcPr>
            <w:tcW w:w="1271" w:type="dxa"/>
          </w:tcPr>
          <w:p w14:paraId="09ABD1FB"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1FA34FB8"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5</w:t>
            </w:r>
          </w:p>
        </w:tc>
        <w:tc>
          <w:tcPr>
            <w:tcW w:w="2410" w:type="dxa"/>
          </w:tcPr>
          <w:p w14:paraId="57360EE6"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5: Modelos bíblicos de pastoral</w:t>
            </w:r>
          </w:p>
          <w:p w14:paraId="4FE66B37"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55ABF8C4"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 xml:space="preserve">5.1 El concepto de </w:t>
            </w:r>
            <w:r w:rsidRPr="00687AE9">
              <w:rPr>
                <w:rFonts w:ascii="Calibri" w:eastAsia="Times New Roman" w:hAnsi="Calibri" w:cs="Arial"/>
                <w:kern w:val="0"/>
                <w:lang w:val="es-ES_tradnl" w:eastAsia="es-CR"/>
                <w14:ligatures w14:val="none"/>
              </w:rPr>
              <w:lastRenderedPageBreak/>
              <w:t>“pastor” en la Biblia</w:t>
            </w:r>
          </w:p>
          <w:p w14:paraId="4173649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2E722E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783342F8"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2835" w:type="dxa"/>
          </w:tcPr>
          <w:p w14:paraId="619D2DBD"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lastRenderedPageBreak/>
              <w:t>Ruta de aprendizaje</w:t>
            </w:r>
          </w:p>
          <w:p w14:paraId="65F08FFD"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58D0BF11"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roofErr w:type="spellStart"/>
            <w:r w:rsidRPr="00687AE9">
              <w:rPr>
                <w:rFonts w:ascii="Calibri" w:eastAsia="Calibri" w:hAnsi="Calibri" w:cs="Arial"/>
                <w:kern w:val="0"/>
                <w:lang w:eastAsia="es-CR"/>
                <w14:ligatures w14:val="none"/>
              </w:rPr>
              <w:t>Pellitero</w:t>
            </w:r>
            <w:proofErr w:type="spellEnd"/>
            <w:r w:rsidRPr="00687AE9">
              <w:rPr>
                <w:rFonts w:ascii="Calibri" w:eastAsia="Calibri" w:hAnsi="Calibri" w:cs="Arial"/>
                <w:kern w:val="0"/>
                <w:lang w:eastAsia="es-CR"/>
                <w14:ligatures w14:val="none"/>
              </w:rPr>
              <w:t xml:space="preserve">, Ramiro. “Raíces bíblicas de la acción </w:t>
            </w:r>
            <w:r w:rsidRPr="00687AE9">
              <w:rPr>
                <w:rFonts w:ascii="Calibri" w:eastAsia="Calibri" w:hAnsi="Calibri" w:cs="Arial"/>
                <w:kern w:val="0"/>
                <w:lang w:eastAsia="es-CR"/>
                <w14:ligatures w14:val="none"/>
              </w:rPr>
              <w:lastRenderedPageBreak/>
              <w:t xml:space="preserve">eclesial”. En </w:t>
            </w:r>
            <w:r w:rsidRPr="00687AE9">
              <w:rPr>
                <w:rFonts w:ascii="Calibri" w:eastAsia="Calibri" w:hAnsi="Calibri" w:cs="Arial"/>
                <w:i/>
                <w:kern w:val="0"/>
                <w:lang w:eastAsia="es-CR"/>
                <w14:ligatures w14:val="none"/>
              </w:rPr>
              <w:t xml:space="preserve">Teología pastoral. Panorámica y perspectivas: una eclesiología práctica al alcance de todos, </w:t>
            </w:r>
            <w:r w:rsidRPr="00687AE9">
              <w:rPr>
                <w:rFonts w:ascii="Calibri" w:eastAsia="Calibri" w:hAnsi="Calibri" w:cs="Arial"/>
                <w:kern w:val="0"/>
                <w:lang w:eastAsia="es-CR"/>
                <w14:ligatures w14:val="none"/>
              </w:rPr>
              <w:t>115-141.</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Bilbao: </w:t>
            </w:r>
            <w:proofErr w:type="spellStart"/>
            <w:r w:rsidRPr="00687AE9">
              <w:rPr>
                <w:rFonts w:ascii="Calibri" w:eastAsia="Calibri" w:hAnsi="Calibri" w:cs="Arial"/>
                <w:kern w:val="0"/>
                <w:lang w:eastAsia="es-CR"/>
                <w14:ligatures w14:val="none"/>
              </w:rPr>
              <w:t>Grafite</w:t>
            </w:r>
            <w:proofErr w:type="spellEnd"/>
            <w:r w:rsidRPr="00687AE9">
              <w:rPr>
                <w:rFonts w:ascii="Calibri" w:eastAsia="Calibri" w:hAnsi="Calibri" w:cs="Arial"/>
                <w:kern w:val="0"/>
                <w:lang w:eastAsia="es-CR"/>
                <w14:ligatures w14:val="none"/>
              </w:rPr>
              <w:t xml:space="preserve">, 2006. </w:t>
            </w:r>
            <w:r w:rsidRPr="00687AE9">
              <w:rPr>
                <w:rFonts w:ascii="Calibri" w:eastAsia="Calibri" w:hAnsi="Calibri" w:cs="Arial"/>
                <w:color w:val="0070C0"/>
                <w:kern w:val="0"/>
                <w:lang w:eastAsia="es-CR"/>
                <w14:ligatures w14:val="none"/>
              </w:rPr>
              <w:t>(clásico, última edición)</w:t>
            </w:r>
          </w:p>
          <w:p w14:paraId="5B3EC711"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1267B37E"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2F5D93DC"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p w14:paraId="33FE2368" w14:textId="77777777" w:rsidR="00687AE9" w:rsidRPr="00687AE9" w:rsidRDefault="00687AE9" w:rsidP="00687AE9">
            <w:pPr>
              <w:autoSpaceDE w:val="0"/>
              <w:autoSpaceDN w:val="0"/>
              <w:adjustRightInd w:val="0"/>
              <w:spacing w:after="0" w:line="240" w:lineRule="auto"/>
              <w:rPr>
                <w:rFonts w:ascii="Calibri" w:eastAsia="Calibri" w:hAnsi="Calibri" w:cs="Arial"/>
                <w:color w:val="0070C0"/>
                <w:kern w:val="0"/>
                <w:lang w:eastAsia="es-CR"/>
                <w14:ligatures w14:val="none"/>
              </w:rPr>
            </w:pPr>
            <w:r w:rsidRPr="00687AE9">
              <w:rPr>
                <w:rFonts w:ascii="Calibri" w:eastAsia="Calibri" w:hAnsi="Calibri" w:cs="Arial"/>
                <w:color w:val="0070C0"/>
                <w:kern w:val="0"/>
                <w:lang w:eastAsia="es-CR"/>
                <w14:ligatures w14:val="none"/>
              </w:rPr>
              <w:t xml:space="preserve">Guía para la participación mediante la herramienta Big Blue </w:t>
            </w:r>
            <w:proofErr w:type="spellStart"/>
            <w:r w:rsidRPr="00687AE9">
              <w:rPr>
                <w:rFonts w:ascii="Calibri" w:eastAsia="Calibri" w:hAnsi="Calibri" w:cs="Arial"/>
                <w:color w:val="0070C0"/>
                <w:kern w:val="0"/>
                <w:lang w:eastAsia="es-CR"/>
                <w14:ligatures w14:val="none"/>
              </w:rPr>
              <w:t>Button</w:t>
            </w:r>
            <w:proofErr w:type="spellEnd"/>
            <w:r w:rsidRPr="00687AE9">
              <w:rPr>
                <w:rFonts w:ascii="Calibri" w:eastAsia="Calibri" w:hAnsi="Calibri" w:cs="Arial"/>
                <w:color w:val="0070C0"/>
                <w:kern w:val="0"/>
                <w:lang w:eastAsia="es-CR"/>
                <w14:ligatures w14:val="none"/>
              </w:rPr>
              <w:t xml:space="preserve"> en la plataforma Moodle</w:t>
            </w:r>
          </w:p>
          <w:p w14:paraId="37A1275F" w14:textId="77777777" w:rsidR="00687AE9" w:rsidRPr="00687AE9" w:rsidRDefault="00687AE9" w:rsidP="00687AE9">
            <w:pPr>
              <w:autoSpaceDE w:val="0"/>
              <w:autoSpaceDN w:val="0"/>
              <w:adjustRightInd w:val="0"/>
              <w:spacing w:after="0" w:line="240" w:lineRule="auto"/>
              <w:rPr>
                <w:rFonts w:ascii="Calibri" w:eastAsia="Calibri" w:hAnsi="Calibri" w:cs="Arial"/>
                <w:color w:val="0070C0"/>
                <w:kern w:val="0"/>
                <w:lang w:eastAsia="es-CR"/>
                <w14:ligatures w14:val="none"/>
              </w:rPr>
            </w:pPr>
          </w:p>
          <w:p w14:paraId="3C703224" w14:textId="77777777" w:rsidR="00687AE9" w:rsidRPr="00687AE9" w:rsidRDefault="00687AE9" w:rsidP="00687AE9">
            <w:pPr>
              <w:autoSpaceDE w:val="0"/>
              <w:autoSpaceDN w:val="0"/>
              <w:adjustRightInd w:val="0"/>
              <w:spacing w:after="0" w:line="240" w:lineRule="auto"/>
              <w:rPr>
                <w:rFonts w:ascii="Calibri" w:eastAsia="Calibri" w:hAnsi="Calibri" w:cs="Arial"/>
                <w:color w:val="0070C0"/>
                <w:kern w:val="0"/>
                <w:lang w:eastAsia="es-CR"/>
                <w14:ligatures w14:val="none"/>
              </w:rPr>
            </w:pPr>
            <w:r w:rsidRPr="00687AE9">
              <w:rPr>
                <w:rFonts w:ascii="Calibri" w:eastAsia="Calibri" w:hAnsi="Calibri" w:cs="Arial"/>
                <w:color w:val="0070C0"/>
                <w:kern w:val="0"/>
                <w:lang w:eastAsia="es-CR"/>
                <w14:ligatures w14:val="none"/>
              </w:rPr>
              <w:t>Guía para la participación en un foro en la plataforma Moodle</w:t>
            </w:r>
          </w:p>
          <w:p w14:paraId="3740659F" w14:textId="77777777" w:rsidR="00687AE9" w:rsidRPr="00687AE9" w:rsidRDefault="00687AE9" w:rsidP="00687AE9">
            <w:pPr>
              <w:autoSpaceDE w:val="0"/>
              <w:autoSpaceDN w:val="0"/>
              <w:adjustRightInd w:val="0"/>
              <w:spacing w:after="0" w:line="240" w:lineRule="auto"/>
              <w:rPr>
                <w:rFonts w:ascii="Calibri" w:eastAsia="Calibri" w:hAnsi="Calibri" w:cs="Arial"/>
                <w:kern w:val="0"/>
                <w:lang w:eastAsia="es-CR"/>
                <w14:ligatures w14:val="none"/>
              </w:rPr>
            </w:pPr>
          </w:p>
        </w:tc>
        <w:tc>
          <w:tcPr>
            <w:tcW w:w="3118" w:type="dxa"/>
          </w:tcPr>
          <w:p w14:paraId="3C8756BC" w14:textId="77777777" w:rsidR="00687AE9" w:rsidRPr="00687AE9" w:rsidRDefault="00687AE9" w:rsidP="00687AE9">
            <w:pPr>
              <w:widowControl w:val="0"/>
              <w:numPr>
                <w:ilvl w:val="0"/>
                <w:numId w:val="150"/>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lastRenderedPageBreak/>
              <w:t>Presentación docente en un encuentro sincrónico virtual (formativo).</w:t>
            </w:r>
          </w:p>
          <w:p w14:paraId="2F173933" w14:textId="77777777" w:rsidR="00687AE9" w:rsidRPr="00687AE9" w:rsidRDefault="00687AE9" w:rsidP="00687AE9">
            <w:pPr>
              <w:widowControl w:val="0"/>
              <w:numPr>
                <w:ilvl w:val="0"/>
                <w:numId w:val="150"/>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lastRenderedPageBreak/>
              <w:t>Plenaria sobre diversos modelos de pastoral en un encuentro sincrónico virtual.</w:t>
            </w:r>
          </w:p>
          <w:p w14:paraId="28FA1745" w14:textId="77777777" w:rsidR="00687AE9" w:rsidRPr="00687AE9" w:rsidRDefault="00687AE9" w:rsidP="00687AE9">
            <w:pPr>
              <w:widowControl w:val="0"/>
              <w:numPr>
                <w:ilvl w:val="0"/>
                <w:numId w:val="150"/>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Participación en el foro temático grupal: Diversos modelos de pastoral, donde se realizará un debate crítico.</w:t>
            </w:r>
          </w:p>
          <w:p w14:paraId="1D5B7F52" w14:textId="77777777" w:rsidR="00687AE9" w:rsidRPr="00687AE9" w:rsidRDefault="00687AE9" w:rsidP="00687AE9">
            <w:pPr>
              <w:widowControl w:val="0"/>
              <w:numPr>
                <w:ilvl w:val="0"/>
                <w:numId w:val="150"/>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Entrega de tarea 3 asignada (elaboración de un cuadro resumen SQA-NH).</w:t>
            </w:r>
          </w:p>
          <w:p w14:paraId="5A302AAE" w14:textId="77777777" w:rsidR="00687AE9" w:rsidRPr="00687AE9" w:rsidRDefault="00687AE9" w:rsidP="00687AE9">
            <w:pPr>
              <w:spacing w:after="0" w:line="240" w:lineRule="auto"/>
              <w:ind w:left="299"/>
              <w:rPr>
                <w:rFonts w:ascii="Calibri" w:eastAsia="Calibri" w:hAnsi="Calibri" w:cs="Arial"/>
                <w:color w:val="000000"/>
                <w:kern w:val="0"/>
                <w14:ligatures w14:val="none"/>
              </w:rPr>
            </w:pPr>
          </w:p>
        </w:tc>
      </w:tr>
      <w:tr w:rsidR="00687AE9" w:rsidRPr="00687AE9" w14:paraId="4FCE5C33" w14:textId="77777777" w:rsidTr="4C9C2619">
        <w:trPr>
          <w:jc w:val="center"/>
        </w:trPr>
        <w:tc>
          <w:tcPr>
            <w:tcW w:w="1271" w:type="dxa"/>
          </w:tcPr>
          <w:p w14:paraId="74679510"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44CE891D"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6</w:t>
            </w:r>
          </w:p>
        </w:tc>
        <w:tc>
          <w:tcPr>
            <w:tcW w:w="2410" w:type="dxa"/>
          </w:tcPr>
          <w:p w14:paraId="426EF294"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5: Modelos bíblicos de pastoral</w:t>
            </w:r>
          </w:p>
          <w:p w14:paraId="355CF7D3"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14:ligatures w14:val="none"/>
              </w:rPr>
            </w:pPr>
          </w:p>
          <w:p w14:paraId="4A9C2E3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5.2 Modelos bíblicos de pastoral</w:t>
            </w:r>
          </w:p>
          <w:p w14:paraId="64A7037F"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14:ligatures w14:val="none"/>
              </w:rPr>
            </w:pPr>
          </w:p>
        </w:tc>
        <w:tc>
          <w:tcPr>
            <w:tcW w:w="2835" w:type="dxa"/>
          </w:tcPr>
          <w:p w14:paraId="763E0C74"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4570BEDE"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Ramos </w:t>
            </w:r>
            <w:proofErr w:type="spellStart"/>
            <w:r w:rsidRPr="00687AE9">
              <w:rPr>
                <w:rFonts w:ascii="Calibri" w:eastAsia="Calibri" w:hAnsi="Calibri" w:cs="Arial"/>
                <w:kern w:val="0"/>
                <w:lang w:eastAsia="es-CR"/>
                <w14:ligatures w14:val="none"/>
              </w:rPr>
              <w:t>Guerreira</w:t>
            </w:r>
            <w:proofErr w:type="spellEnd"/>
            <w:r w:rsidRPr="00687AE9">
              <w:rPr>
                <w:rFonts w:ascii="Calibri" w:eastAsia="Calibri" w:hAnsi="Calibri" w:cs="Arial"/>
                <w:kern w:val="0"/>
                <w:lang w:eastAsia="es-CR"/>
                <w14:ligatures w14:val="none"/>
              </w:rPr>
              <w:t xml:space="preserve">, Julio A. “Fundamentos bíblicos de la Teología Pastoral”. En </w:t>
            </w:r>
            <w:r w:rsidRPr="00687AE9">
              <w:rPr>
                <w:rFonts w:ascii="Calibri" w:eastAsia="Calibri" w:hAnsi="Calibri" w:cs="Arial"/>
                <w:i/>
                <w:kern w:val="0"/>
                <w:lang w:eastAsia="es-CR"/>
                <w14:ligatures w14:val="none"/>
              </w:rPr>
              <w:t xml:space="preserve">Teología pastoral, </w:t>
            </w:r>
            <w:r w:rsidRPr="00687AE9">
              <w:rPr>
                <w:rFonts w:ascii="Calibri" w:eastAsia="Calibri" w:hAnsi="Calibri" w:cs="Arial"/>
                <w:kern w:val="0"/>
                <w:lang w:eastAsia="es-CR"/>
                <w14:ligatures w14:val="none"/>
              </w:rPr>
              <w:t>17-32.</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Madrid: Biblioteca de Autores Cristianos, 1999. </w:t>
            </w:r>
            <w:r w:rsidRPr="00687AE9">
              <w:rPr>
                <w:rFonts w:ascii="Calibri" w:eastAsia="Calibri" w:hAnsi="Calibri" w:cs="Arial"/>
                <w:color w:val="0070C0"/>
                <w:kern w:val="0"/>
                <w:lang w:eastAsia="es-CR"/>
                <w14:ligatures w14:val="none"/>
              </w:rPr>
              <w:t>(clásico, última edición)</w:t>
            </w:r>
          </w:p>
          <w:p w14:paraId="115726E3" w14:textId="77777777" w:rsidR="00687AE9" w:rsidRPr="00687AE9" w:rsidRDefault="00687AE9" w:rsidP="00687AE9">
            <w:pPr>
              <w:autoSpaceDE w:val="0"/>
              <w:autoSpaceDN w:val="0"/>
              <w:adjustRightInd w:val="0"/>
              <w:spacing w:before="120" w:after="0" w:line="276"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577B9CF1" w14:textId="77777777" w:rsidR="00687AE9" w:rsidRPr="00687AE9" w:rsidRDefault="00687AE9" w:rsidP="00687AE9">
            <w:pPr>
              <w:autoSpaceDE w:val="0"/>
              <w:autoSpaceDN w:val="0"/>
              <w:adjustRightInd w:val="0"/>
              <w:spacing w:before="120" w:after="0" w:line="276" w:lineRule="auto"/>
              <w:rPr>
                <w:rFonts w:ascii="Calibri" w:eastAsia="Calibri" w:hAnsi="Calibri" w:cs="Arial"/>
                <w:bCs/>
                <w:color w:val="0070C0"/>
                <w:kern w:val="0"/>
                <w:lang w:eastAsia="es-CR"/>
                <w14:ligatures w14:val="none"/>
              </w:rPr>
            </w:pPr>
            <w:r w:rsidRPr="00687AE9">
              <w:rPr>
                <w:rFonts w:ascii="Calibri" w:eastAsia="Calibri" w:hAnsi="Calibri" w:cs="Arial"/>
                <w:bCs/>
                <w:color w:val="0070C0"/>
                <w:kern w:val="0"/>
                <w:lang w:eastAsia="es-CR"/>
                <w14:ligatures w14:val="none"/>
              </w:rPr>
              <w:t xml:space="preserve">Guía para la participación mediante la herramienta Big Blue </w:t>
            </w:r>
            <w:proofErr w:type="spellStart"/>
            <w:r w:rsidRPr="00687AE9">
              <w:rPr>
                <w:rFonts w:ascii="Calibri" w:eastAsia="Calibri" w:hAnsi="Calibri" w:cs="Arial"/>
                <w:bCs/>
                <w:color w:val="0070C0"/>
                <w:kern w:val="0"/>
                <w:lang w:eastAsia="es-CR"/>
                <w14:ligatures w14:val="none"/>
              </w:rPr>
              <w:t>Button</w:t>
            </w:r>
            <w:proofErr w:type="spellEnd"/>
            <w:r w:rsidRPr="00687AE9">
              <w:rPr>
                <w:rFonts w:ascii="Calibri" w:eastAsia="Calibri" w:hAnsi="Calibri" w:cs="Arial"/>
                <w:bCs/>
                <w:color w:val="0070C0"/>
                <w:kern w:val="0"/>
                <w:lang w:eastAsia="es-CR"/>
                <w14:ligatures w14:val="none"/>
              </w:rPr>
              <w:t xml:space="preserve"> en la plataforma Moodle</w:t>
            </w:r>
          </w:p>
          <w:p w14:paraId="3C40B885" w14:textId="77777777" w:rsidR="00687AE9" w:rsidRPr="00687AE9" w:rsidRDefault="00687AE9" w:rsidP="00687AE9">
            <w:pPr>
              <w:autoSpaceDE w:val="0"/>
              <w:autoSpaceDN w:val="0"/>
              <w:adjustRightInd w:val="0"/>
              <w:spacing w:before="120" w:after="0" w:line="276" w:lineRule="auto"/>
              <w:rPr>
                <w:rFonts w:ascii="Calibri" w:eastAsia="Calibri" w:hAnsi="Calibri" w:cs="Arial"/>
                <w:bCs/>
                <w:color w:val="0070C0"/>
                <w:kern w:val="0"/>
                <w:lang w:eastAsia="es-CR"/>
                <w14:ligatures w14:val="none"/>
              </w:rPr>
            </w:pPr>
            <w:r w:rsidRPr="00687AE9">
              <w:rPr>
                <w:rFonts w:ascii="Calibri" w:eastAsia="Calibri" w:hAnsi="Calibri" w:cs="Arial"/>
                <w:bCs/>
                <w:color w:val="0070C0"/>
                <w:kern w:val="0"/>
                <w:lang w:eastAsia="es-CR"/>
                <w14:ligatures w14:val="none"/>
              </w:rPr>
              <w:t>Guía para la participación en un foro en la plataforma Moodle</w:t>
            </w:r>
          </w:p>
          <w:p w14:paraId="19F3A088" w14:textId="77777777" w:rsidR="00687AE9" w:rsidRPr="00687AE9" w:rsidRDefault="00687AE9" w:rsidP="00687AE9">
            <w:pPr>
              <w:autoSpaceDE w:val="0"/>
              <w:autoSpaceDN w:val="0"/>
              <w:adjustRightInd w:val="0"/>
              <w:spacing w:before="120" w:after="0" w:line="276" w:lineRule="auto"/>
              <w:rPr>
                <w:rFonts w:ascii="Calibri" w:eastAsia="Calibri" w:hAnsi="Calibri" w:cs="Arial"/>
                <w:color w:val="000000"/>
                <w:kern w:val="0"/>
                <w14:ligatures w14:val="none"/>
              </w:rPr>
            </w:pPr>
          </w:p>
        </w:tc>
        <w:tc>
          <w:tcPr>
            <w:tcW w:w="3118" w:type="dxa"/>
          </w:tcPr>
          <w:p w14:paraId="32624F8F"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ind w:hanging="155"/>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de entrevistas en un encuentro sincrónico virtual (formativo).</w:t>
            </w:r>
          </w:p>
          <w:p w14:paraId="0092E5BD"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ind w:hanging="155"/>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Participación en el foro temático: La praxis pastoral de Jesús y la Iglesia originaria, donde se realizará un debate crítico. </w:t>
            </w:r>
          </w:p>
          <w:p w14:paraId="1E842D66" w14:textId="77777777" w:rsidR="00687AE9" w:rsidRPr="00687AE9" w:rsidRDefault="00687AE9" w:rsidP="00687AE9">
            <w:pPr>
              <w:spacing w:after="0" w:line="240" w:lineRule="auto"/>
              <w:ind w:left="227"/>
              <w:rPr>
                <w:rFonts w:ascii="Calibri" w:eastAsia="Calibri" w:hAnsi="Calibri" w:cs="Arial"/>
                <w:color w:val="000000"/>
                <w:kern w:val="0"/>
                <w14:ligatures w14:val="none"/>
              </w:rPr>
            </w:pPr>
          </w:p>
        </w:tc>
      </w:tr>
      <w:tr w:rsidR="00687AE9" w:rsidRPr="00687AE9" w14:paraId="4240C356" w14:textId="77777777" w:rsidTr="4C9C2619">
        <w:trPr>
          <w:jc w:val="center"/>
        </w:trPr>
        <w:tc>
          <w:tcPr>
            <w:tcW w:w="1271" w:type="dxa"/>
          </w:tcPr>
          <w:p w14:paraId="3AB3F412"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24A7291D"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7</w:t>
            </w:r>
          </w:p>
        </w:tc>
        <w:tc>
          <w:tcPr>
            <w:tcW w:w="2410" w:type="dxa"/>
          </w:tcPr>
          <w:p w14:paraId="3BE0F775"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6: Modelos históricos de pastoral en América Latina</w:t>
            </w:r>
          </w:p>
          <w:p w14:paraId="408206A4"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574591D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6.1 Pastoral durante la conquista y colonización</w:t>
            </w:r>
          </w:p>
          <w:p w14:paraId="22F83A1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27D9A0E2"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lastRenderedPageBreak/>
              <w:t>6.2 Pastoral durante los procesos de independencia</w:t>
            </w:r>
          </w:p>
          <w:p w14:paraId="62FDC2BC"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C248ED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187F70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2835" w:type="dxa"/>
          </w:tcPr>
          <w:p w14:paraId="381D11ED"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lastRenderedPageBreak/>
              <w:t>Ruta de aprendizaje</w:t>
            </w:r>
          </w:p>
          <w:p w14:paraId="4E457C07"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Ramos </w:t>
            </w:r>
            <w:proofErr w:type="spellStart"/>
            <w:r w:rsidRPr="00687AE9">
              <w:rPr>
                <w:rFonts w:ascii="Calibri" w:eastAsia="Calibri" w:hAnsi="Calibri" w:cs="Arial"/>
                <w:kern w:val="0"/>
                <w:lang w:eastAsia="es-CR"/>
                <w14:ligatures w14:val="none"/>
              </w:rPr>
              <w:t>Guerreira</w:t>
            </w:r>
            <w:proofErr w:type="spellEnd"/>
            <w:r w:rsidRPr="00687AE9">
              <w:rPr>
                <w:rFonts w:ascii="Calibri" w:eastAsia="Calibri" w:hAnsi="Calibri" w:cs="Arial"/>
                <w:kern w:val="0"/>
                <w:lang w:eastAsia="es-CR"/>
                <w14:ligatures w14:val="none"/>
              </w:rPr>
              <w:t xml:space="preserve">, Julio A. “Historia de la Teología Pastoral”. En </w:t>
            </w:r>
            <w:r w:rsidRPr="00687AE9">
              <w:rPr>
                <w:rFonts w:ascii="Calibri" w:eastAsia="Calibri" w:hAnsi="Calibri" w:cs="Arial"/>
                <w:i/>
                <w:kern w:val="0"/>
                <w:lang w:eastAsia="es-CR"/>
                <w14:ligatures w14:val="none"/>
              </w:rPr>
              <w:t xml:space="preserve">Teología pastoral, </w:t>
            </w:r>
            <w:r w:rsidRPr="00687AE9">
              <w:rPr>
                <w:rFonts w:ascii="Calibri" w:eastAsia="Calibri" w:hAnsi="Calibri" w:cs="Arial"/>
                <w:kern w:val="0"/>
                <w:lang w:eastAsia="es-CR"/>
                <w14:ligatures w14:val="none"/>
              </w:rPr>
              <w:t>33-42.</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Madrid: </w:t>
            </w:r>
            <w:r w:rsidRPr="00687AE9">
              <w:rPr>
                <w:rFonts w:ascii="Calibri" w:eastAsia="Calibri" w:hAnsi="Calibri" w:cs="Arial"/>
                <w:kern w:val="0"/>
                <w:lang w:eastAsia="es-CR"/>
                <w14:ligatures w14:val="none"/>
              </w:rPr>
              <w:lastRenderedPageBreak/>
              <w:t xml:space="preserve">Biblioteca de Autores Cristianos, 1999. </w:t>
            </w:r>
            <w:r w:rsidRPr="00687AE9">
              <w:rPr>
                <w:rFonts w:ascii="Calibri" w:eastAsia="Calibri" w:hAnsi="Calibri" w:cs="Arial"/>
                <w:color w:val="0070C0"/>
                <w:kern w:val="0"/>
                <w:lang w:eastAsia="es-CR"/>
                <w14:ligatures w14:val="none"/>
              </w:rPr>
              <w:t>(clásico, última edición)</w:t>
            </w:r>
          </w:p>
          <w:p w14:paraId="5AB3E498"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42558312" w14:textId="77777777" w:rsidR="00687AE9" w:rsidRPr="00687AE9" w:rsidRDefault="00687AE9" w:rsidP="4C9C2619">
            <w:pPr>
              <w:autoSpaceDE w:val="0"/>
              <w:autoSpaceDN w:val="0"/>
              <w:adjustRightInd w:val="0"/>
              <w:spacing w:before="120" w:after="0" w:line="276" w:lineRule="auto"/>
              <w:rPr>
                <w:rFonts w:ascii="Calibri" w:eastAsia="Calibri" w:hAnsi="Calibri" w:cs="Arial"/>
                <w:color w:val="0070C0"/>
                <w:kern w:val="0"/>
                <w:lang w:val="es-ES"/>
                <w14:ligatures w14:val="none"/>
              </w:rPr>
            </w:pPr>
            <w:r w:rsidRPr="4C9C2619">
              <w:rPr>
                <w:rFonts w:ascii="Calibri" w:eastAsia="Calibri" w:hAnsi="Calibri" w:cs="Arial"/>
                <w:color w:val="0070C0"/>
                <w:kern w:val="0"/>
                <w:lang w:val="es-ES"/>
                <w14:ligatures w14:val="none"/>
              </w:rPr>
              <w:t xml:space="preserve">Guía para la participación mediante la herramienta Big Blue </w:t>
            </w:r>
            <w:proofErr w:type="spellStart"/>
            <w:r w:rsidRPr="4C9C2619">
              <w:rPr>
                <w:rFonts w:ascii="Calibri" w:eastAsia="Calibri" w:hAnsi="Calibri" w:cs="Arial"/>
                <w:color w:val="0070C0"/>
                <w:kern w:val="0"/>
                <w:lang w:val="es-ES"/>
                <w14:ligatures w14:val="none"/>
              </w:rPr>
              <w:t>Button</w:t>
            </w:r>
            <w:proofErr w:type="spellEnd"/>
            <w:r w:rsidRPr="4C9C2619">
              <w:rPr>
                <w:rFonts w:ascii="Calibri" w:eastAsia="Calibri" w:hAnsi="Calibri" w:cs="Arial"/>
                <w:color w:val="0070C0"/>
                <w:kern w:val="0"/>
                <w:lang w:val="es-ES"/>
                <w14:ligatures w14:val="none"/>
              </w:rPr>
              <w:t xml:space="preserve"> en la plataforma Moodle</w:t>
            </w:r>
          </w:p>
          <w:p w14:paraId="659219EF" w14:textId="77777777" w:rsidR="00687AE9" w:rsidRPr="00687AE9" w:rsidRDefault="00687AE9" w:rsidP="00687AE9">
            <w:pPr>
              <w:autoSpaceDE w:val="0"/>
              <w:autoSpaceDN w:val="0"/>
              <w:adjustRightInd w:val="0"/>
              <w:spacing w:before="120" w:after="0" w:line="276" w:lineRule="auto"/>
              <w:rPr>
                <w:rFonts w:ascii="Calibri" w:eastAsia="Calibri" w:hAnsi="Calibri" w:cs="Arial"/>
                <w:color w:val="0070C0"/>
                <w:kern w:val="0"/>
                <w:lang w:val="es-ES_tradnl"/>
                <w14:ligatures w14:val="none"/>
              </w:rPr>
            </w:pPr>
            <w:r w:rsidRPr="00687AE9">
              <w:rPr>
                <w:rFonts w:ascii="Calibri" w:eastAsia="Calibri" w:hAnsi="Calibri" w:cs="Arial"/>
                <w:color w:val="0070C0"/>
                <w:kern w:val="0"/>
                <w:lang w:val="es-ES_tradnl"/>
                <w14:ligatures w14:val="none"/>
              </w:rPr>
              <w:t>Guía para la participación en un foro en la plataforma Moodle</w:t>
            </w:r>
          </w:p>
          <w:p w14:paraId="30F9E235" w14:textId="77777777" w:rsidR="00687AE9" w:rsidRPr="00687AE9" w:rsidRDefault="00687AE9" w:rsidP="00687AE9">
            <w:pPr>
              <w:autoSpaceDE w:val="0"/>
              <w:autoSpaceDN w:val="0"/>
              <w:adjustRightInd w:val="0"/>
              <w:spacing w:before="120" w:after="0" w:line="276" w:lineRule="auto"/>
              <w:rPr>
                <w:rFonts w:ascii="Calibri" w:eastAsia="Calibri" w:hAnsi="Calibri" w:cs="Arial"/>
                <w:color w:val="0070C0"/>
                <w:kern w:val="0"/>
                <w:lang w:val="es-ES_tradnl"/>
                <w14:ligatures w14:val="none"/>
              </w:rPr>
            </w:pPr>
          </w:p>
        </w:tc>
        <w:tc>
          <w:tcPr>
            <w:tcW w:w="3118" w:type="dxa"/>
          </w:tcPr>
          <w:p w14:paraId="7D67D2CF"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lang w:val="es-ES_tradnl"/>
                <w14:ligatures w14:val="none"/>
              </w:rPr>
              <w:lastRenderedPageBreak/>
              <w:t>Presentación</w:t>
            </w:r>
            <w:r w:rsidRPr="00687AE9">
              <w:rPr>
                <w:rFonts w:ascii="Calibri" w:eastAsia="Calibri" w:hAnsi="Calibri" w:cs="Arial"/>
                <w:color w:val="000000"/>
                <w:kern w:val="0"/>
                <w14:ligatures w14:val="none"/>
              </w:rPr>
              <w:t xml:space="preserve"> de trabajo de estudiantes (tarea 4: esquema).</w:t>
            </w:r>
          </w:p>
          <w:p w14:paraId="130F3AF3"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en un encuentro sincrónico virtual (formativo).</w:t>
            </w:r>
          </w:p>
          <w:p w14:paraId="4A55378C"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lastRenderedPageBreak/>
              <w:t xml:space="preserve">Participación en el foro temático: Modelos de pastoral en la historia de América Latina y el Caribe, donde se realizará un debate crítico. </w:t>
            </w:r>
          </w:p>
        </w:tc>
      </w:tr>
      <w:tr w:rsidR="00687AE9" w:rsidRPr="00687AE9" w14:paraId="678FAE85" w14:textId="77777777" w:rsidTr="4C9C2619">
        <w:trPr>
          <w:jc w:val="center"/>
        </w:trPr>
        <w:tc>
          <w:tcPr>
            <w:tcW w:w="1271" w:type="dxa"/>
          </w:tcPr>
          <w:p w14:paraId="49928D0A"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16398776"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8</w:t>
            </w:r>
          </w:p>
        </w:tc>
        <w:tc>
          <w:tcPr>
            <w:tcW w:w="2410" w:type="dxa"/>
          </w:tcPr>
          <w:p w14:paraId="380E70A4"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6: Modelos históricos de pastoral en América Latina</w:t>
            </w:r>
          </w:p>
          <w:p w14:paraId="1D0414F4"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Cs/>
                <w:kern w:val="0"/>
                <w:lang w:val="es-ES_tradnl" w:eastAsia="es-CR"/>
                <w14:ligatures w14:val="none"/>
              </w:rPr>
            </w:pPr>
          </w:p>
          <w:p w14:paraId="40A49228"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6.3 Pastoral en el contexto de pugnas conservadoras-liberales</w:t>
            </w:r>
          </w:p>
          <w:p w14:paraId="0487E73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CBEFFC6"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6.4 Pastoral después de la Segunda Guerra Mundial</w:t>
            </w:r>
          </w:p>
          <w:p w14:paraId="76674F5B"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Cs/>
                <w:kern w:val="0"/>
                <w:lang w:val="es-ES_tradnl" w:eastAsia="es-CR"/>
                <w14:ligatures w14:val="none"/>
              </w:rPr>
            </w:pPr>
          </w:p>
          <w:p w14:paraId="745C3CC8"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lang w:val="es-ES_tradnl"/>
                <w14:ligatures w14:val="none"/>
              </w:rPr>
            </w:pPr>
          </w:p>
        </w:tc>
        <w:tc>
          <w:tcPr>
            <w:tcW w:w="2835" w:type="dxa"/>
          </w:tcPr>
          <w:p w14:paraId="1194C610"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137EFB9A"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098707BC"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Ramos </w:t>
            </w:r>
            <w:proofErr w:type="spellStart"/>
            <w:r w:rsidRPr="00687AE9">
              <w:rPr>
                <w:rFonts w:ascii="Calibri" w:eastAsia="Calibri" w:hAnsi="Calibri" w:cs="Arial"/>
                <w:kern w:val="0"/>
                <w:lang w:eastAsia="es-CR"/>
                <w14:ligatures w14:val="none"/>
              </w:rPr>
              <w:t>Guerreira</w:t>
            </w:r>
            <w:proofErr w:type="spellEnd"/>
            <w:r w:rsidRPr="00687AE9">
              <w:rPr>
                <w:rFonts w:ascii="Calibri" w:eastAsia="Calibri" w:hAnsi="Calibri" w:cs="Arial"/>
                <w:kern w:val="0"/>
                <w:lang w:eastAsia="es-CR"/>
                <w14:ligatures w14:val="none"/>
              </w:rPr>
              <w:t xml:space="preserve">, Julio A. “La insuficiencia de los manuales”. En </w:t>
            </w:r>
            <w:r w:rsidRPr="00687AE9">
              <w:rPr>
                <w:rFonts w:ascii="Calibri" w:eastAsia="Calibri" w:hAnsi="Calibri" w:cs="Arial"/>
                <w:i/>
                <w:kern w:val="0"/>
                <w:lang w:eastAsia="es-CR"/>
                <w14:ligatures w14:val="none"/>
              </w:rPr>
              <w:t xml:space="preserve">Teología pastoral, </w:t>
            </w:r>
            <w:r w:rsidRPr="00687AE9">
              <w:rPr>
                <w:rFonts w:ascii="Calibri" w:eastAsia="Calibri" w:hAnsi="Calibri" w:cs="Arial"/>
                <w:kern w:val="0"/>
                <w:lang w:eastAsia="es-CR"/>
                <w14:ligatures w14:val="none"/>
              </w:rPr>
              <w:t>43-54.</w:t>
            </w:r>
            <w:r w:rsidRPr="00687AE9">
              <w:rPr>
                <w:rFonts w:ascii="Calibri" w:eastAsia="Calibri" w:hAnsi="Calibri" w:cs="Arial"/>
                <w:i/>
                <w:kern w:val="0"/>
                <w:lang w:eastAsia="es-CR"/>
                <w14:ligatures w14:val="none"/>
              </w:rPr>
              <w:t xml:space="preserve"> </w:t>
            </w:r>
            <w:r w:rsidRPr="00687AE9">
              <w:rPr>
                <w:rFonts w:ascii="Calibri" w:eastAsia="Calibri" w:hAnsi="Calibri" w:cs="Arial"/>
                <w:kern w:val="0"/>
                <w:lang w:eastAsia="es-CR"/>
                <w14:ligatures w14:val="none"/>
              </w:rPr>
              <w:t xml:space="preserve">Madrid: Biblioteca de Autores Cristianos, 1999. </w:t>
            </w:r>
            <w:r w:rsidRPr="00687AE9">
              <w:rPr>
                <w:rFonts w:ascii="Calibri" w:eastAsia="Calibri" w:hAnsi="Calibri" w:cs="Arial"/>
                <w:color w:val="0070C0"/>
                <w:kern w:val="0"/>
                <w:lang w:eastAsia="es-CR"/>
                <w14:ligatures w14:val="none"/>
              </w:rPr>
              <w:t>(clásico, última edición)</w:t>
            </w:r>
          </w:p>
          <w:p w14:paraId="1C406109"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6CD75069" w14:textId="77777777" w:rsidR="00687AE9" w:rsidRPr="00687AE9" w:rsidRDefault="00687AE9" w:rsidP="00687AE9">
            <w:pPr>
              <w:spacing w:after="0" w:line="240" w:lineRule="auto"/>
              <w:rPr>
                <w:rFonts w:ascii="Calibri" w:eastAsia="Calibri" w:hAnsi="Calibri" w:cs="Arial"/>
                <w:b/>
                <w:kern w:val="0"/>
                <w:lang w:eastAsia="es-CR"/>
                <w14:ligatures w14:val="none"/>
              </w:rPr>
            </w:pPr>
            <w:r w:rsidRPr="00687AE9">
              <w:rPr>
                <w:rFonts w:ascii="Calibri" w:eastAsia="Calibri" w:hAnsi="Calibri" w:cs="Arial"/>
                <w:b/>
                <w:kern w:val="0"/>
                <w:lang w:eastAsia="es-CR"/>
                <w14:ligatures w14:val="none"/>
              </w:rPr>
              <w:t>Material complementario</w:t>
            </w:r>
          </w:p>
          <w:p w14:paraId="1B34CA8D" w14:textId="77777777" w:rsidR="00687AE9" w:rsidRPr="00687AE9" w:rsidRDefault="00687AE9" w:rsidP="00687AE9">
            <w:pPr>
              <w:spacing w:after="0" w:line="240" w:lineRule="auto"/>
              <w:rPr>
                <w:rFonts w:ascii="Calibri" w:eastAsia="Calibri" w:hAnsi="Calibri" w:cs="Arial"/>
                <w:b/>
                <w:kern w:val="0"/>
                <w:lang w:eastAsia="es-CR"/>
                <w14:ligatures w14:val="none"/>
              </w:rPr>
            </w:pPr>
          </w:p>
          <w:p w14:paraId="534B472F" w14:textId="77777777" w:rsidR="00687AE9" w:rsidRPr="00687AE9" w:rsidRDefault="00687AE9" w:rsidP="4C9C2619">
            <w:pPr>
              <w:spacing w:after="0" w:line="240" w:lineRule="auto"/>
              <w:rPr>
                <w:rFonts w:ascii="Calibri" w:eastAsia="Times New Roman" w:hAnsi="Calibri" w:cs="Calibri"/>
                <w:color w:val="0000FF"/>
                <w:kern w:val="0"/>
                <w:u w:val="single"/>
                <w:lang w:val="es-ES" w:eastAsia="es-CR"/>
                <w14:ligatures w14:val="none"/>
              </w:rPr>
            </w:pPr>
            <w:r w:rsidRPr="4C9C2619">
              <w:rPr>
                <w:rFonts w:ascii="Calibri" w:eastAsia="Times New Roman" w:hAnsi="Calibri" w:cs="Calibri"/>
                <w:kern w:val="0"/>
                <w:lang w:val="es-ES" w:eastAsia="es-CR"/>
                <w14:ligatures w14:val="none"/>
              </w:rPr>
              <w:t>Román López-</w:t>
            </w:r>
            <w:proofErr w:type="spellStart"/>
            <w:r w:rsidRPr="4C9C2619">
              <w:rPr>
                <w:rFonts w:ascii="Calibri" w:eastAsia="Times New Roman" w:hAnsi="Calibri" w:cs="Calibri"/>
                <w:kern w:val="0"/>
                <w:lang w:val="es-ES" w:eastAsia="es-CR"/>
                <w14:ligatures w14:val="none"/>
              </w:rPr>
              <w:t>Dollinger</w:t>
            </w:r>
            <w:proofErr w:type="spellEnd"/>
            <w:r w:rsidRPr="4C9C2619">
              <w:rPr>
                <w:rFonts w:ascii="Calibri" w:eastAsia="Times New Roman" w:hAnsi="Calibri" w:cs="Calibri"/>
                <w:kern w:val="0"/>
                <w:lang w:val="es-ES" w:eastAsia="es-CR"/>
                <w14:ligatures w14:val="none"/>
              </w:rPr>
              <w:t xml:space="preserve">, Ángel Eduardo. “Aspectos históricos de la Teología Práctica”. </w:t>
            </w:r>
            <w:r w:rsidRPr="4C9C2619">
              <w:rPr>
                <w:rFonts w:ascii="Calibri" w:eastAsia="Times New Roman" w:hAnsi="Calibri" w:cs="Calibri"/>
                <w:i/>
                <w:iCs/>
                <w:kern w:val="0"/>
                <w:lang w:val="es-ES" w:eastAsia="es-CR"/>
                <w14:ligatures w14:val="none"/>
              </w:rPr>
              <w:t>Vida y Pensamiento</w:t>
            </w:r>
            <w:r w:rsidRPr="4C9C2619">
              <w:rPr>
                <w:rFonts w:ascii="Calibri" w:eastAsia="Times New Roman" w:hAnsi="Calibri" w:cs="Calibri"/>
                <w:kern w:val="0"/>
                <w:lang w:val="es-ES" w:eastAsia="es-CR"/>
                <w14:ligatures w14:val="none"/>
              </w:rPr>
              <w:t xml:space="preserve"> 40, n. 1 (2020): 57-70. Acceso el 18 de diciembre de 2020. </w:t>
            </w:r>
            <w:hyperlink r:id="rId302" w:history="1">
              <w:r w:rsidRPr="4C9C2619">
                <w:rPr>
                  <w:rFonts w:ascii="Calibri" w:eastAsia="Times New Roman" w:hAnsi="Calibri" w:cs="Calibri"/>
                  <w:color w:val="0000FF"/>
                  <w:kern w:val="0"/>
                  <w:u w:val="single"/>
                  <w:lang w:val="es-ES" w:eastAsia="es-CR"/>
                  <w14:ligatures w14:val="none"/>
                </w:rPr>
                <w:t>http://revistas.ubl.ac.cr/index.php/vyp/article/view/85</w:t>
              </w:r>
            </w:hyperlink>
          </w:p>
          <w:p w14:paraId="09F6A640" w14:textId="77777777" w:rsidR="00687AE9" w:rsidRPr="00687AE9" w:rsidRDefault="00687AE9" w:rsidP="00687AE9">
            <w:pPr>
              <w:spacing w:after="0" w:line="240" w:lineRule="auto"/>
              <w:rPr>
                <w:rFonts w:ascii="Times New Roman" w:eastAsia="Times New Roman" w:hAnsi="Times New Roman" w:cs="Calibri"/>
                <w:color w:val="0000FF"/>
                <w:kern w:val="0"/>
                <w:sz w:val="24"/>
                <w:szCs w:val="20"/>
                <w:u w:val="single"/>
                <w:lang w:val="es-ES_tradnl" w:eastAsia="es-CR"/>
                <w14:ligatures w14:val="none"/>
              </w:rPr>
            </w:pPr>
          </w:p>
          <w:p w14:paraId="5654A65D" w14:textId="77777777" w:rsidR="00687AE9" w:rsidRPr="00687AE9" w:rsidRDefault="00687AE9" w:rsidP="00687AE9">
            <w:pPr>
              <w:spacing w:after="0" w:line="240" w:lineRule="auto"/>
              <w:rPr>
                <w:rFonts w:ascii="Calibri" w:eastAsia="Times New Roman" w:hAnsi="Calibri" w:cs="Calibri"/>
                <w:color w:val="0070C0"/>
                <w:kern w:val="0"/>
                <w:lang w:val="es-ES_tradnl" w:eastAsia="es-CR"/>
                <w14:ligatures w14:val="none"/>
              </w:rPr>
            </w:pPr>
            <w:r w:rsidRPr="00687AE9">
              <w:rPr>
                <w:rFonts w:ascii="Calibri" w:eastAsia="Times New Roman" w:hAnsi="Calibri" w:cs="Calibri"/>
                <w:color w:val="0070C0"/>
                <w:kern w:val="0"/>
                <w:lang w:val="es-ES_tradnl" w:eastAsia="es-CR"/>
                <w14:ligatures w14:val="none"/>
              </w:rPr>
              <w:t>Guía para la participación en un foro en la plataforma Moodle</w:t>
            </w:r>
          </w:p>
          <w:p w14:paraId="087F11B5" w14:textId="77777777" w:rsidR="00687AE9" w:rsidRPr="00687AE9" w:rsidRDefault="00687AE9" w:rsidP="00687AE9">
            <w:pPr>
              <w:spacing w:after="0" w:line="240" w:lineRule="auto"/>
              <w:rPr>
                <w:rFonts w:ascii="Calibri" w:eastAsia="Times New Roman" w:hAnsi="Calibri" w:cs="Calibri"/>
                <w:color w:val="0070C0"/>
                <w:kern w:val="0"/>
                <w:lang w:val="es-ES_tradnl" w:eastAsia="es-CR"/>
                <w14:ligatures w14:val="none"/>
              </w:rPr>
            </w:pPr>
          </w:p>
          <w:p w14:paraId="0DD71104" w14:textId="77777777" w:rsidR="00687AE9" w:rsidRPr="00687AE9" w:rsidRDefault="00687AE9" w:rsidP="00687AE9">
            <w:pPr>
              <w:spacing w:after="0" w:line="240" w:lineRule="auto"/>
              <w:rPr>
                <w:rFonts w:ascii="Calibri" w:eastAsia="Calibri" w:hAnsi="Calibri" w:cs="Calibri"/>
                <w:color w:val="0070C0"/>
                <w:kern w:val="0"/>
                <w:lang w:eastAsia="es-CR"/>
                <w14:ligatures w14:val="none"/>
              </w:rPr>
            </w:pPr>
            <w:r w:rsidRPr="00687AE9">
              <w:rPr>
                <w:rFonts w:ascii="Calibri" w:eastAsia="Times New Roman" w:hAnsi="Calibri" w:cs="Calibri"/>
                <w:color w:val="0070C0"/>
                <w:kern w:val="0"/>
                <w:lang w:val="es-ES_tradnl" w:eastAsia="es-CR"/>
                <w14:ligatures w14:val="none"/>
              </w:rPr>
              <w:t xml:space="preserve">Guía para la participación mediante la herramienta Big Blue </w:t>
            </w:r>
            <w:proofErr w:type="spellStart"/>
            <w:r w:rsidRPr="00687AE9">
              <w:rPr>
                <w:rFonts w:ascii="Calibri" w:eastAsia="Times New Roman" w:hAnsi="Calibri" w:cs="Calibri"/>
                <w:color w:val="0070C0"/>
                <w:kern w:val="0"/>
                <w:lang w:val="es-ES_tradnl" w:eastAsia="es-CR"/>
                <w14:ligatures w14:val="none"/>
              </w:rPr>
              <w:t>Button</w:t>
            </w:r>
            <w:proofErr w:type="spellEnd"/>
            <w:r w:rsidRPr="00687AE9">
              <w:rPr>
                <w:rFonts w:ascii="Calibri" w:eastAsia="Times New Roman" w:hAnsi="Calibri" w:cs="Calibri"/>
                <w:color w:val="0070C0"/>
                <w:kern w:val="0"/>
                <w:lang w:val="es-ES_tradnl" w:eastAsia="es-CR"/>
                <w14:ligatures w14:val="none"/>
              </w:rPr>
              <w:t xml:space="preserve"> en la plataforma Moodle</w:t>
            </w:r>
          </w:p>
          <w:p w14:paraId="0EB48C24" w14:textId="77777777" w:rsidR="00687AE9" w:rsidRPr="00687AE9" w:rsidRDefault="00687AE9" w:rsidP="00687AE9">
            <w:pPr>
              <w:spacing w:after="0" w:line="240" w:lineRule="auto"/>
              <w:rPr>
                <w:rFonts w:ascii="Calibri" w:eastAsia="Calibri" w:hAnsi="Calibri" w:cs="Arial"/>
                <w:kern w:val="0"/>
                <w:lang w:val="es-ES"/>
                <w14:ligatures w14:val="none"/>
              </w:rPr>
            </w:pPr>
          </w:p>
        </w:tc>
        <w:tc>
          <w:tcPr>
            <w:tcW w:w="3118" w:type="dxa"/>
          </w:tcPr>
          <w:p w14:paraId="3F70F1B5"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Participación en el foro temático grupal: La persistencia y pertinencia de estos modelos. </w:t>
            </w:r>
          </w:p>
          <w:p w14:paraId="6AF5822B" w14:textId="77777777" w:rsidR="00687AE9" w:rsidRPr="00687AE9" w:rsidRDefault="00687AE9" w:rsidP="00687AE9">
            <w:pPr>
              <w:widowControl w:val="0"/>
              <w:numPr>
                <w:ilvl w:val="0"/>
                <w:numId w:val="151"/>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Presentación de entrevistas a pastores/as en un encuentro sincrónico virtual (formativo). </w:t>
            </w:r>
          </w:p>
        </w:tc>
      </w:tr>
      <w:tr w:rsidR="00687AE9" w:rsidRPr="00687AE9" w14:paraId="104F6310" w14:textId="77777777" w:rsidTr="4C9C2619">
        <w:trPr>
          <w:trHeight w:val="1953"/>
          <w:jc w:val="center"/>
        </w:trPr>
        <w:tc>
          <w:tcPr>
            <w:tcW w:w="1271" w:type="dxa"/>
          </w:tcPr>
          <w:p w14:paraId="0E270ABF"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0AD4007B"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9</w:t>
            </w:r>
          </w:p>
        </w:tc>
        <w:tc>
          <w:tcPr>
            <w:tcW w:w="2410" w:type="dxa"/>
          </w:tcPr>
          <w:p w14:paraId="02231FEA"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7: Modelos actuales de experiencia pastoral</w:t>
            </w:r>
          </w:p>
          <w:p w14:paraId="188C1473"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50F93B59"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7.1 Pastoral tradicional</w:t>
            </w:r>
          </w:p>
          <w:p w14:paraId="04669F53"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FFAEC65"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7.2 Pastoral neo pentecostal</w:t>
            </w:r>
          </w:p>
          <w:p w14:paraId="084BD635"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606557F0"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7.3 Pastoral profética transformadora</w:t>
            </w:r>
          </w:p>
          <w:p w14:paraId="2AEB843B"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2835" w:type="dxa"/>
          </w:tcPr>
          <w:p w14:paraId="283C9072"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367E240E"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proofErr w:type="spellStart"/>
            <w:r w:rsidRPr="00687AE9">
              <w:rPr>
                <w:rFonts w:ascii="Calibri" w:eastAsia="Calibri" w:hAnsi="Calibri" w:cs="Arial"/>
                <w:kern w:val="0"/>
                <w:lang w:eastAsia="es-CR"/>
                <w14:ligatures w14:val="none"/>
              </w:rPr>
              <w:t>Balcomb</w:t>
            </w:r>
            <w:proofErr w:type="spellEnd"/>
            <w:r w:rsidRPr="00687AE9">
              <w:rPr>
                <w:rFonts w:ascii="Calibri" w:eastAsia="Calibri" w:hAnsi="Calibri" w:cs="Arial"/>
                <w:kern w:val="0"/>
                <w:lang w:eastAsia="es-CR"/>
                <w14:ligatures w14:val="none"/>
              </w:rPr>
              <w:t xml:space="preserve">, Anthony. “El encuentro de cosmovisiones: premoderna, moderna y postmoderna”.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n.1 (2008): pp. 7-24.</w:t>
            </w:r>
          </w:p>
          <w:p w14:paraId="203A013C" w14:textId="77777777" w:rsidR="00687AE9" w:rsidRPr="00687AE9" w:rsidRDefault="00687AE9" w:rsidP="00687AE9">
            <w:pPr>
              <w:autoSpaceDE w:val="0"/>
              <w:autoSpaceDN w:val="0"/>
              <w:adjustRightInd w:val="0"/>
              <w:spacing w:before="120" w:after="0" w:line="276" w:lineRule="auto"/>
              <w:rPr>
                <w:rFonts w:ascii="Calibri" w:eastAsia="Calibri" w:hAnsi="Calibri" w:cs="Arial"/>
                <w:b/>
                <w:kern w:val="0"/>
                <w:lang w:eastAsia="es-CR"/>
                <w14:ligatures w14:val="none"/>
              </w:rPr>
            </w:pPr>
            <w:r w:rsidRPr="00687AE9">
              <w:rPr>
                <w:rFonts w:ascii="Calibri" w:eastAsia="Calibri" w:hAnsi="Calibri" w:cs="Arial"/>
                <w:b/>
                <w:kern w:val="0"/>
                <w:lang w:eastAsia="es-CR"/>
                <w14:ligatures w14:val="none"/>
              </w:rPr>
              <w:t>Material complementario</w:t>
            </w:r>
          </w:p>
          <w:p w14:paraId="6C4E0D99" w14:textId="77777777" w:rsidR="00687AE9" w:rsidRPr="00687AE9" w:rsidRDefault="00687AE9" w:rsidP="00687AE9">
            <w:pPr>
              <w:autoSpaceDE w:val="0"/>
              <w:autoSpaceDN w:val="0"/>
              <w:adjustRightInd w:val="0"/>
              <w:spacing w:before="120" w:after="0" w:line="276" w:lineRule="auto"/>
              <w:rPr>
                <w:rFonts w:ascii="Calibri" w:eastAsia="Times New Roman" w:hAnsi="Calibri" w:cs="Calibri"/>
                <w:color w:val="0000FF"/>
                <w:kern w:val="0"/>
                <w:u w:val="single"/>
                <w:lang w:val="es-ES_tradnl" w:eastAsia="es-CR"/>
                <w14:ligatures w14:val="none"/>
              </w:rPr>
            </w:pPr>
            <w:r w:rsidRPr="00687AE9">
              <w:rPr>
                <w:rFonts w:ascii="Calibri" w:eastAsia="Times New Roman" w:hAnsi="Calibri" w:cs="Calibri"/>
                <w:kern w:val="0"/>
                <w:lang w:val="es-ES_tradnl" w:eastAsia="es-CR"/>
                <w14:ligatures w14:val="none"/>
              </w:rPr>
              <w:t xml:space="preserve">Mori, Geraldo de. “El carácter práctico de la teología”. </w:t>
            </w:r>
            <w:r w:rsidRPr="00687AE9">
              <w:rPr>
                <w:rFonts w:ascii="Calibri" w:eastAsia="Times New Roman" w:hAnsi="Calibri" w:cs="Calibri"/>
                <w:i/>
                <w:kern w:val="0"/>
                <w:lang w:val="es-ES_tradnl" w:eastAsia="es-CR"/>
                <w14:ligatures w14:val="none"/>
              </w:rPr>
              <w:t>Teología y Vida</w:t>
            </w:r>
            <w:r w:rsidRPr="00687AE9">
              <w:rPr>
                <w:rFonts w:ascii="Calibri" w:eastAsia="Times New Roman" w:hAnsi="Calibri" w:cs="Calibri"/>
                <w:kern w:val="0"/>
                <w:lang w:val="es-ES_tradnl" w:eastAsia="es-CR"/>
                <w14:ligatures w14:val="none"/>
              </w:rPr>
              <w:t xml:space="preserve"> 51, n. 4 (2010): 501-519. Acceso el 18 de diciembre de 2020. </w:t>
            </w:r>
            <w:hyperlink r:id="rId303" w:history="1">
              <w:r w:rsidRPr="00687AE9">
                <w:rPr>
                  <w:rFonts w:ascii="Calibri" w:eastAsia="Times New Roman" w:hAnsi="Calibri" w:cs="Calibri"/>
                  <w:color w:val="0000FF"/>
                  <w:kern w:val="0"/>
                  <w:u w:val="single"/>
                  <w:lang w:val="es-ES_tradnl" w:eastAsia="es-CR"/>
                  <w14:ligatures w14:val="none"/>
                </w:rPr>
                <w:t>https://www.redalyc.org/articulo.oa?id=32219216003</w:t>
              </w:r>
            </w:hyperlink>
          </w:p>
          <w:p w14:paraId="096C8645" w14:textId="77777777" w:rsidR="00687AE9" w:rsidRPr="00687AE9" w:rsidRDefault="00687AE9" w:rsidP="4C9C2619">
            <w:pPr>
              <w:autoSpaceDE w:val="0"/>
              <w:autoSpaceDN w:val="0"/>
              <w:adjustRightInd w:val="0"/>
              <w:spacing w:before="120" w:after="0" w:line="276"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2367B6E5" w14:textId="77777777" w:rsidR="00687AE9" w:rsidRPr="00687AE9" w:rsidRDefault="00687AE9" w:rsidP="00687AE9">
            <w:pPr>
              <w:autoSpaceDE w:val="0"/>
              <w:autoSpaceDN w:val="0"/>
              <w:adjustRightInd w:val="0"/>
              <w:spacing w:before="120" w:after="0" w:line="276" w:lineRule="auto"/>
              <w:rPr>
                <w:rFonts w:ascii="Calibri" w:eastAsia="Calibri" w:hAnsi="Calibri" w:cs="Calibri"/>
                <w:b/>
                <w:color w:val="0070C0"/>
                <w:kern w:val="0"/>
                <w:lang w:eastAsia="es-CR"/>
                <w14:ligatures w14:val="none"/>
              </w:rPr>
            </w:pPr>
            <w:r w:rsidRPr="00687AE9">
              <w:rPr>
                <w:rFonts w:ascii="Calibri" w:eastAsia="Times New Roman" w:hAnsi="Calibri" w:cs="Calibri"/>
                <w:color w:val="0070C0"/>
                <w:kern w:val="0"/>
                <w:lang w:val="es-ES_tradnl" w:eastAsia="es-CR"/>
                <w14:ligatures w14:val="none"/>
              </w:rPr>
              <w:t>Guía para la participación en un wiki en la plataforma Moodle</w:t>
            </w:r>
          </w:p>
          <w:p w14:paraId="5CE04103" w14:textId="77777777" w:rsidR="00687AE9" w:rsidRPr="00687AE9" w:rsidRDefault="00687AE9" w:rsidP="00687AE9">
            <w:pPr>
              <w:spacing w:after="0" w:line="240" w:lineRule="auto"/>
              <w:rPr>
                <w:rFonts w:ascii="Calibri" w:eastAsia="MS Mincho" w:hAnsi="Calibri" w:cs="Calibri"/>
                <w:kern w:val="0"/>
                <w:lang w:val="es-ES" w:eastAsia="es-ES"/>
                <w14:ligatures w14:val="none"/>
              </w:rPr>
            </w:pPr>
          </w:p>
        </w:tc>
        <w:tc>
          <w:tcPr>
            <w:tcW w:w="3118" w:type="dxa"/>
          </w:tcPr>
          <w:p w14:paraId="222AF76B" w14:textId="77777777" w:rsidR="00687AE9" w:rsidRPr="00687AE9" w:rsidRDefault="00687AE9" w:rsidP="00687AE9">
            <w:pPr>
              <w:widowControl w:val="0"/>
              <w:numPr>
                <w:ilvl w:val="0"/>
                <w:numId w:val="152"/>
              </w:numPr>
              <w:overflowPunct w:val="0"/>
              <w:autoSpaceDE w:val="0"/>
              <w:autoSpaceDN w:val="0"/>
              <w:adjustRightInd w:val="0"/>
              <w:spacing w:before="120" w:after="0" w:line="240" w:lineRule="auto"/>
              <w:ind w:left="252" w:hanging="252"/>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y presentación de investigaciones individuales (entrevistas) en un encuentro sincrónico virtual (formativo).</w:t>
            </w:r>
          </w:p>
          <w:p w14:paraId="656289DA" w14:textId="77777777" w:rsidR="00687AE9" w:rsidRPr="00687AE9" w:rsidRDefault="00687AE9" w:rsidP="00687AE9">
            <w:pPr>
              <w:widowControl w:val="0"/>
              <w:numPr>
                <w:ilvl w:val="0"/>
                <w:numId w:val="152"/>
              </w:numPr>
              <w:overflowPunct w:val="0"/>
              <w:autoSpaceDE w:val="0"/>
              <w:autoSpaceDN w:val="0"/>
              <w:adjustRightInd w:val="0"/>
              <w:spacing w:before="120" w:after="0" w:line="240" w:lineRule="auto"/>
              <w:ind w:left="252" w:hanging="252"/>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Participación en la elaboración de un wiki sobre la pertinencia de estos modelos, donde se realizará un debate crítico.</w:t>
            </w:r>
          </w:p>
        </w:tc>
      </w:tr>
      <w:tr w:rsidR="00687AE9" w:rsidRPr="00687AE9" w14:paraId="219DF036" w14:textId="77777777" w:rsidTr="4C9C2619">
        <w:trPr>
          <w:jc w:val="center"/>
        </w:trPr>
        <w:tc>
          <w:tcPr>
            <w:tcW w:w="1271" w:type="dxa"/>
          </w:tcPr>
          <w:p w14:paraId="509821BF"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77537A6B"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10</w:t>
            </w:r>
          </w:p>
        </w:tc>
        <w:tc>
          <w:tcPr>
            <w:tcW w:w="2410" w:type="dxa"/>
          </w:tcPr>
          <w:p w14:paraId="588C5980"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8: Implicaciones para una nueva pastoral latinoamericana</w:t>
            </w:r>
          </w:p>
          <w:p w14:paraId="1B525C71" w14:textId="77777777" w:rsidR="00687AE9" w:rsidRPr="00687AE9" w:rsidRDefault="00687AE9" w:rsidP="00687AE9">
            <w:pPr>
              <w:spacing w:after="0" w:line="240" w:lineRule="auto"/>
              <w:rPr>
                <w:rFonts w:ascii="Calibri" w:eastAsia="Times New Roman" w:hAnsi="Calibri" w:cs="Arial"/>
                <w:b/>
                <w:kern w:val="0"/>
                <w:lang w:val="es-ES_tradnl" w:eastAsia="es-CR"/>
                <w14:ligatures w14:val="none"/>
              </w:rPr>
            </w:pPr>
          </w:p>
          <w:p w14:paraId="41B125D4" w14:textId="77777777" w:rsidR="00687AE9" w:rsidRPr="00687AE9" w:rsidRDefault="00687AE9" w:rsidP="00687AE9">
            <w:pPr>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8.1 Evangelización y pastoral</w:t>
            </w:r>
          </w:p>
          <w:p w14:paraId="44051A7F" w14:textId="77777777" w:rsidR="00687AE9" w:rsidRPr="00687AE9" w:rsidRDefault="00687AE9" w:rsidP="00687AE9">
            <w:pPr>
              <w:spacing w:after="0" w:line="240" w:lineRule="auto"/>
              <w:rPr>
                <w:rFonts w:ascii="Calibri" w:eastAsia="Times New Roman" w:hAnsi="Calibri" w:cs="Arial"/>
                <w:kern w:val="0"/>
                <w:lang w:val="es-ES_tradnl" w:eastAsia="es-CR"/>
                <w14:ligatures w14:val="none"/>
              </w:rPr>
            </w:pPr>
          </w:p>
          <w:p w14:paraId="12D643DF" w14:textId="77777777" w:rsidR="00687AE9" w:rsidRPr="00687AE9" w:rsidRDefault="00687AE9" w:rsidP="00687AE9">
            <w:pPr>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8.2 Ministerio docente en la iglesia y pastoral</w:t>
            </w:r>
          </w:p>
          <w:p w14:paraId="40F66B4C" w14:textId="77777777" w:rsidR="00687AE9" w:rsidRPr="00687AE9" w:rsidRDefault="00687AE9" w:rsidP="00687AE9">
            <w:pPr>
              <w:spacing w:after="0" w:line="240" w:lineRule="auto"/>
              <w:rPr>
                <w:rFonts w:ascii="Calibri" w:eastAsia="Times New Roman" w:hAnsi="Calibri" w:cs="Arial"/>
                <w:kern w:val="0"/>
                <w:lang w:val="es-ES_tradnl" w:eastAsia="es-CR"/>
                <w14:ligatures w14:val="none"/>
              </w:rPr>
            </w:pPr>
          </w:p>
          <w:p w14:paraId="487F1FAC" w14:textId="77777777" w:rsidR="00687AE9" w:rsidRPr="00687AE9" w:rsidRDefault="00687AE9" w:rsidP="00687AE9">
            <w:pPr>
              <w:spacing w:after="0" w:line="240" w:lineRule="auto"/>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8.3 Liturgia y pastoral</w:t>
            </w:r>
          </w:p>
        </w:tc>
        <w:tc>
          <w:tcPr>
            <w:tcW w:w="2835" w:type="dxa"/>
          </w:tcPr>
          <w:p w14:paraId="4FEED3E3"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18439378"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737D1A90" w14:textId="77777777" w:rsidR="00687AE9" w:rsidRPr="00687AE9" w:rsidRDefault="00687AE9" w:rsidP="00687AE9">
            <w:pPr>
              <w:spacing w:after="0" w:line="240" w:lineRule="auto"/>
              <w:rPr>
                <w:rFonts w:ascii="Calibri" w:eastAsia="Calibri" w:hAnsi="Calibri" w:cs="Arial"/>
                <w:kern w:val="0"/>
                <w:lang w:eastAsia="es-CR"/>
                <w14:ligatures w14:val="none"/>
              </w:rPr>
            </w:pPr>
            <w:proofErr w:type="spellStart"/>
            <w:r w:rsidRPr="00687AE9">
              <w:rPr>
                <w:rFonts w:ascii="Calibri" w:eastAsia="Calibri" w:hAnsi="Calibri" w:cs="Arial"/>
                <w:kern w:val="0"/>
                <w:lang w:eastAsia="es-CR"/>
                <w14:ligatures w14:val="none"/>
              </w:rPr>
              <w:t>Balcomb</w:t>
            </w:r>
            <w:proofErr w:type="spellEnd"/>
            <w:r w:rsidRPr="00687AE9">
              <w:rPr>
                <w:rFonts w:ascii="Calibri" w:eastAsia="Calibri" w:hAnsi="Calibri" w:cs="Arial"/>
                <w:kern w:val="0"/>
                <w:lang w:eastAsia="es-CR"/>
                <w14:ligatures w14:val="none"/>
              </w:rPr>
              <w:t xml:space="preserve">, Anthony. “La postmodernidad y el reencantamiento del mundo: propuestas tentativas”.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n.1 (2008): pp. 29-48.</w:t>
            </w:r>
          </w:p>
          <w:p w14:paraId="2170FA74"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0644FC9A"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Tamez, Elsa. “Una respuesta desde América Latina”.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n.1 (2008): pp. 49-56.</w:t>
            </w:r>
          </w:p>
          <w:p w14:paraId="1F9B45DD" w14:textId="77777777" w:rsidR="00687AE9" w:rsidRPr="00687AE9" w:rsidRDefault="00687AE9" w:rsidP="00687AE9">
            <w:pPr>
              <w:spacing w:after="0" w:line="240" w:lineRule="auto"/>
              <w:rPr>
                <w:rFonts w:ascii="Calibri" w:eastAsia="Times New Roman" w:hAnsi="Calibri" w:cs="Arial"/>
                <w:kern w:val="0"/>
                <w:lang w:val="es-ES" w:eastAsia="es-ES"/>
                <w14:ligatures w14:val="none"/>
              </w:rPr>
            </w:pPr>
          </w:p>
          <w:p w14:paraId="22D3DF51" w14:textId="77777777" w:rsidR="00687AE9" w:rsidRPr="00687AE9" w:rsidRDefault="00687AE9" w:rsidP="00687AE9">
            <w:pPr>
              <w:spacing w:after="0" w:line="240" w:lineRule="auto"/>
              <w:rPr>
                <w:rFonts w:ascii="Calibri" w:eastAsia="Calibri" w:hAnsi="Calibri" w:cs="Arial"/>
                <w:kern w:val="0"/>
                <w:lang w:eastAsia="es-CR"/>
                <w14:ligatures w14:val="none"/>
              </w:rPr>
            </w:pPr>
            <w:proofErr w:type="spellStart"/>
            <w:r w:rsidRPr="00687AE9">
              <w:rPr>
                <w:rFonts w:ascii="Calibri" w:eastAsia="Calibri" w:hAnsi="Calibri" w:cs="Arial"/>
                <w:kern w:val="0"/>
                <w:lang w:eastAsia="es-CR"/>
                <w14:ligatures w14:val="none"/>
              </w:rPr>
              <w:t>Foulkes</w:t>
            </w:r>
            <w:proofErr w:type="spellEnd"/>
            <w:r w:rsidRPr="00687AE9">
              <w:rPr>
                <w:rFonts w:ascii="Calibri" w:eastAsia="Calibri" w:hAnsi="Calibri" w:cs="Arial"/>
                <w:kern w:val="0"/>
                <w:lang w:eastAsia="es-CR"/>
                <w14:ligatures w14:val="none"/>
              </w:rPr>
              <w:t xml:space="preserve">, Irene. “Respuesta desde el Nuevo Testamento. Cosmovisión primaria y reencantamiento desde el Nuevo Testamento”. </w:t>
            </w:r>
            <w:r w:rsidRPr="00687AE9">
              <w:rPr>
                <w:rFonts w:ascii="Calibri" w:eastAsia="Calibri" w:hAnsi="Calibri" w:cs="Arial"/>
                <w:i/>
                <w:kern w:val="0"/>
                <w:lang w:eastAsia="es-CR"/>
                <w14:ligatures w14:val="none"/>
              </w:rPr>
              <w:t xml:space="preserve">Vida y </w:t>
            </w:r>
            <w:r w:rsidRPr="00687AE9">
              <w:rPr>
                <w:rFonts w:ascii="Calibri" w:eastAsia="Calibri" w:hAnsi="Calibri" w:cs="Arial"/>
                <w:i/>
                <w:kern w:val="0"/>
                <w:lang w:eastAsia="es-CR"/>
                <w14:ligatures w14:val="none"/>
              </w:rPr>
              <w:lastRenderedPageBreak/>
              <w:t xml:space="preserve">Pensamiento 28, </w:t>
            </w:r>
            <w:r w:rsidRPr="00687AE9">
              <w:rPr>
                <w:rFonts w:ascii="Calibri" w:eastAsia="Calibri" w:hAnsi="Calibri" w:cs="Arial"/>
                <w:kern w:val="0"/>
                <w:lang w:eastAsia="es-CR"/>
                <w14:ligatures w14:val="none"/>
              </w:rPr>
              <w:t>n.1 (2008): pp. 73-79.</w:t>
            </w:r>
          </w:p>
          <w:p w14:paraId="352AEA76"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4A718802" w14:textId="77777777" w:rsidR="00687AE9" w:rsidRPr="00687AE9" w:rsidRDefault="00687AE9" w:rsidP="00687AE9">
            <w:pPr>
              <w:autoSpaceDE w:val="0"/>
              <w:autoSpaceDN w:val="0"/>
              <w:adjustRightInd w:val="0"/>
              <w:spacing w:before="120" w:after="0" w:line="276"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De Lima, Silvia. “Una respuesta desde la teología. El compromiso de las teologías con el reencantamiento del mundo”.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n.1 (2008): pp. 81-93.</w:t>
            </w:r>
          </w:p>
          <w:p w14:paraId="007B9816"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208631ED"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kern w:val="0"/>
                <w:lang w:eastAsia="es-CR"/>
                <w14:ligatures w14:val="none"/>
              </w:rPr>
              <w:t xml:space="preserve">Baltodano, Sara. “Propuesta epistemológica para una Psicología Pastoral con perspectiva latinoamericana”.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n.1 (2008): pp. 95-110.</w:t>
            </w:r>
          </w:p>
          <w:p w14:paraId="573611D6"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505721AF" w14:textId="77777777" w:rsidR="00687AE9" w:rsidRPr="00687AE9" w:rsidRDefault="00687AE9" w:rsidP="00687AE9">
            <w:pPr>
              <w:spacing w:after="0" w:line="240" w:lineRule="auto"/>
              <w:rPr>
                <w:rFonts w:ascii="Calibri" w:eastAsia="Calibri" w:hAnsi="Calibri" w:cs="Arial"/>
                <w:b/>
                <w:kern w:val="0"/>
                <w:lang w:eastAsia="es-CR"/>
                <w14:ligatures w14:val="none"/>
              </w:rPr>
            </w:pPr>
            <w:r w:rsidRPr="00687AE9">
              <w:rPr>
                <w:rFonts w:ascii="Calibri" w:eastAsia="Calibri" w:hAnsi="Calibri" w:cs="Arial"/>
                <w:b/>
                <w:kern w:val="0"/>
                <w:lang w:eastAsia="es-CR"/>
                <w14:ligatures w14:val="none"/>
              </w:rPr>
              <w:t>Material complementario</w:t>
            </w:r>
          </w:p>
          <w:p w14:paraId="39B41E20" w14:textId="77777777" w:rsidR="00687AE9" w:rsidRPr="00687AE9" w:rsidRDefault="00687AE9" w:rsidP="00687AE9">
            <w:pPr>
              <w:spacing w:after="0" w:line="240" w:lineRule="auto"/>
              <w:rPr>
                <w:rFonts w:ascii="Calibri" w:eastAsia="Calibri" w:hAnsi="Calibri" w:cs="Arial"/>
                <w:b/>
                <w:kern w:val="0"/>
                <w:lang w:eastAsia="es-CR"/>
                <w14:ligatures w14:val="none"/>
              </w:rPr>
            </w:pPr>
          </w:p>
          <w:p w14:paraId="4DF48C83" w14:textId="77777777" w:rsidR="00687AE9" w:rsidRPr="00687AE9" w:rsidRDefault="00687AE9" w:rsidP="00687AE9">
            <w:pPr>
              <w:spacing w:after="0" w:line="240" w:lineRule="auto"/>
              <w:rPr>
                <w:rFonts w:ascii="Calibri" w:eastAsia="Times New Roman" w:hAnsi="Calibri" w:cs="Calibri"/>
                <w:kern w:val="0"/>
                <w:lang w:val="es-ES_tradnl" w:eastAsia="es-CR"/>
                <w14:ligatures w14:val="none"/>
              </w:rPr>
            </w:pPr>
            <w:r w:rsidRPr="00687AE9">
              <w:rPr>
                <w:rFonts w:ascii="Calibri" w:eastAsia="Times New Roman" w:hAnsi="Calibri" w:cs="Calibri"/>
                <w:kern w:val="0"/>
                <w:lang w:val="es-ES_tradnl" w:eastAsia="es-CR"/>
                <w14:ligatures w14:val="none"/>
              </w:rPr>
              <w:t xml:space="preserve">Segovia Baus, Galo. “Abrazar nuestras heridas: cómo asumir el cuidado pastoral, desde la fe cristiana, para responder a la epidemia por VIH”. En </w:t>
            </w:r>
            <w:r w:rsidRPr="00687AE9">
              <w:rPr>
                <w:rFonts w:ascii="Calibri" w:eastAsia="Times New Roman" w:hAnsi="Calibri" w:cs="Calibri"/>
                <w:i/>
                <w:kern w:val="0"/>
                <w:lang w:val="es-ES_tradnl" w:eastAsia="es-CR"/>
                <w14:ligatures w14:val="none"/>
              </w:rPr>
              <w:t>Teología y VIH y Sida en América Latina: Una colección de artículos de estudiantes de maestría de cuatro instituciones teológicas</w:t>
            </w:r>
            <w:r w:rsidRPr="00687AE9">
              <w:rPr>
                <w:rFonts w:ascii="Calibri" w:eastAsia="Times New Roman" w:hAnsi="Calibri" w:cs="Calibri"/>
                <w:kern w:val="0"/>
                <w:lang w:val="es-ES_tradnl" w:eastAsia="es-CR"/>
                <w14:ligatures w14:val="none"/>
              </w:rPr>
              <w:t xml:space="preserve">, organizado por </w:t>
            </w:r>
            <w:proofErr w:type="spellStart"/>
            <w:r w:rsidRPr="00687AE9">
              <w:rPr>
                <w:rFonts w:ascii="Calibri" w:eastAsia="Times New Roman" w:hAnsi="Calibri" w:cs="Calibri"/>
                <w:kern w:val="0"/>
                <w:lang w:val="es-ES_tradnl" w:eastAsia="es-CR"/>
                <w14:ligatures w14:val="none"/>
              </w:rPr>
              <w:t>Valburga</w:t>
            </w:r>
            <w:proofErr w:type="spellEnd"/>
            <w:r w:rsidRPr="00687AE9">
              <w:rPr>
                <w:rFonts w:ascii="Calibri" w:eastAsia="Times New Roman" w:hAnsi="Calibri" w:cs="Calibri"/>
                <w:kern w:val="0"/>
                <w:lang w:val="es-ES_tradnl" w:eastAsia="es-CR"/>
                <w14:ligatures w14:val="none"/>
              </w:rPr>
              <w:t xml:space="preserve"> </w:t>
            </w:r>
            <w:proofErr w:type="spellStart"/>
            <w:r w:rsidRPr="00687AE9">
              <w:rPr>
                <w:rFonts w:ascii="Calibri" w:eastAsia="Times New Roman" w:hAnsi="Calibri" w:cs="Calibri"/>
                <w:kern w:val="0"/>
                <w:lang w:val="es-ES_tradnl" w:eastAsia="es-CR"/>
                <w14:ligatures w14:val="none"/>
              </w:rPr>
              <w:t>Schmiedt</w:t>
            </w:r>
            <w:proofErr w:type="spellEnd"/>
            <w:r w:rsidRPr="00687AE9">
              <w:rPr>
                <w:rFonts w:ascii="Calibri" w:eastAsia="Times New Roman" w:hAnsi="Calibri" w:cs="Calibri"/>
                <w:kern w:val="0"/>
                <w:lang w:val="es-ES_tradnl" w:eastAsia="es-CR"/>
                <w14:ligatures w14:val="none"/>
              </w:rPr>
              <w:t xml:space="preserve"> </w:t>
            </w:r>
            <w:proofErr w:type="spellStart"/>
            <w:r w:rsidRPr="00687AE9">
              <w:rPr>
                <w:rFonts w:ascii="Calibri" w:eastAsia="Times New Roman" w:hAnsi="Calibri" w:cs="Calibri"/>
                <w:kern w:val="0"/>
                <w:lang w:val="es-ES_tradnl" w:eastAsia="es-CR"/>
                <w14:ligatures w14:val="none"/>
              </w:rPr>
              <w:t>Streck</w:t>
            </w:r>
            <w:proofErr w:type="spellEnd"/>
            <w:r w:rsidRPr="00687AE9">
              <w:rPr>
                <w:rFonts w:ascii="Calibri" w:eastAsia="Times New Roman" w:hAnsi="Calibri" w:cs="Calibri"/>
                <w:kern w:val="0"/>
                <w:lang w:val="es-ES_tradnl" w:eastAsia="es-CR"/>
                <w14:ligatures w14:val="none"/>
              </w:rPr>
              <w:t xml:space="preserve">, 43-52. Sao Leopoldo: Oikos, 2013. </w:t>
            </w:r>
            <w:r w:rsidRPr="00687AE9">
              <w:rPr>
                <w:rFonts w:ascii="Calibri" w:eastAsia="Calibri" w:hAnsi="Calibri" w:cs="Arial"/>
                <w:color w:val="0070C0"/>
                <w:kern w:val="0"/>
                <w:lang w:eastAsia="es-CR"/>
                <w14:ligatures w14:val="none"/>
              </w:rPr>
              <w:t>(clásico, última edición)</w:t>
            </w:r>
          </w:p>
          <w:p w14:paraId="39BF6418" w14:textId="77777777" w:rsidR="00687AE9" w:rsidRPr="00687AE9" w:rsidRDefault="00687AE9" w:rsidP="00687AE9">
            <w:pPr>
              <w:spacing w:after="0" w:line="240" w:lineRule="auto"/>
              <w:rPr>
                <w:rFonts w:ascii="Calibri" w:eastAsia="Times New Roman" w:hAnsi="Calibri" w:cs="Calibri"/>
                <w:kern w:val="0"/>
                <w:lang w:val="es-ES_tradnl" w:eastAsia="es-CR"/>
                <w14:ligatures w14:val="none"/>
              </w:rPr>
            </w:pPr>
          </w:p>
          <w:p w14:paraId="7E6FB2C6" w14:textId="77777777" w:rsidR="00687AE9" w:rsidRPr="00687AE9" w:rsidRDefault="00687AE9" w:rsidP="00687AE9">
            <w:pPr>
              <w:spacing w:after="0" w:line="240" w:lineRule="auto"/>
              <w:rPr>
                <w:rFonts w:ascii="Calibri" w:eastAsia="Times New Roman" w:hAnsi="Calibri" w:cs="Calibri"/>
                <w:color w:val="0070C0"/>
                <w:kern w:val="0"/>
                <w:lang w:val="es-ES_tradnl" w:eastAsia="es-CR"/>
                <w14:ligatures w14:val="none"/>
              </w:rPr>
            </w:pPr>
            <w:r w:rsidRPr="00687AE9">
              <w:rPr>
                <w:rFonts w:ascii="Calibri" w:eastAsia="Times New Roman" w:hAnsi="Calibri" w:cs="Calibri"/>
                <w:color w:val="0070C0"/>
                <w:kern w:val="0"/>
                <w:lang w:val="es-ES_tradnl" w:eastAsia="es-CR"/>
                <w14:ligatures w14:val="none"/>
              </w:rPr>
              <w:t>Guía para la participación en un foro en la plataforma Moodle</w:t>
            </w:r>
          </w:p>
          <w:p w14:paraId="1E2A4FC4" w14:textId="77777777" w:rsidR="00687AE9" w:rsidRPr="00687AE9" w:rsidRDefault="00687AE9" w:rsidP="00687AE9">
            <w:pPr>
              <w:spacing w:after="0" w:line="240" w:lineRule="auto"/>
              <w:rPr>
                <w:rFonts w:ascii="Calibri" w:eastAsia="Times New Roman" w:hAnsi="Calibri" w:cs="Calibri"/>
                <w:color w:val="0070C0"/>
                <w:kern w:val="0"/>
                <w:lang w:val="es-ES_tradnl" w:eastAsia="es-CR"/>
                <w14:ligatures w14:val="none"/>
              </w:rPr>
            </w:pPr>
          </w:p>
          <w:p w14:paraId="5842D32A" w14:textId="77777777" w:rsidR="00687AE9" w:rsidRPr="00687AE9" w:rsidRDefault="00687AE9" w:rsidP="00687AE9">
            <w:pPr>
              <w:spacing w:after="0" w:line="240" w:lineRule="auto"/>
              <w:rPr>
                <w:rFonts w:ascii="Calibri" w:eastAsia="Calibri" w:hAnsi="Calibri" w:cs="Arial"/>
                <w:color w:val="0070C0"/>
                <w:kern w:val="0"/>
                <w:lang w:eastAsia="es-CR"/>
                <w14:ligatures w14:val="none"/>
              </w:rPr>
            </w:pPr>
            <w:r w:rsidRPr="00687AE9">
              <w:rPr>
                <w:rFonts w:ascii="Calibri" w:eastAsia="Times New Roman" w:hAnsi="Calibri" w:cs="Calibri"/>
                <w:color w:val="0070C0"/>
                <w:kern w:val="0"/>
                <w:lang w:val="es-ES_tradnl" w:eastAsia="es-CR"/>
                <w14:ligatures w14:val="none"/>
              </w:rPr>
              <w:t xml:space="preserve">Guía para la participación mediante la herramienta Big Blue </w:t>
            </w:r>
            <w:proofErr w:type="spellStart"/>
            <w:r w:rsidRPr="00687AE9">
              <w:rPr>
                <w:rFonts w:ascii="Calibri" w:eastAsia="Times New Roman" w:hAnsi="Calibri" w:cs="Calibri"/>
                <w:color w:val="0070C0"/>
                <w:kern w:val="0"/>
                <w:lang w:val="es-ES_tradnl" w:eastAsia="es-CR"/>
                <w14:ligatures w14:val="none"/>
              </w:rPr>
              <w:t>Button</w:t>
            </w:r>
            <w:proofErr w:type="spellEnd"/>
            <w:r w:rsidRPr="00687AE9">
              <w:rPr>
                <w:rFonts w:ascii="Calibri" w:eastAsia="Times New Roman" w:hAnsi="Calibri" w:cs="Calibri"/>
                <w:color w:val="0070C0"/>
                <w:kern w:val="0"/>
                <w:lang w:val="es-ES_tradnl" w:eastAsia="es-CR"/>
                <w14:ligatures w14:val="none"/>
              </w:rPr>
              <w:t xml:space="preserve"> en la plataforma Moodle</w:t>
            </w:r>
          </w:p>
          <w:p w14:paraId="16ABDE9B" w14:textId="77777777" w:rsidR="00687AE9" w:rsidRPr="00687AE9" w:rsidRDefault="00687AE9" w:rsidP="00687AE9">
            <w:pPr>
              <w:spacing w:after="0" w:line="240" w:lineRule="auto"/>
              <w:rPr>
                <w:rFonts w:ascii="Calibri" w:eastAsia="MS Mincho" w:hAnsi="Calibri" w:cs="Calibri"/>
                <w:color w:val="FF0000"/>
                <w:kern w:val="0"/>
                <w:lang w:val="es-ES" w:eastAsia="es-ES"/>
                <w14:ligatures w14:val="none"/>
              </w:rPr>
            </w:pPr>
          </w:p>
        </w:tc>
        <w:tc>
          <w:tcPr>
            <w:tcW w:w="3118" w:type="dxa"/>
          </w:tcPr>
          <w:p w14:paraId="5A87ACCF"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lastRenderedPageBreak/>
              <w:t>Participación en el foro temático grupal asignado:</w:t>
            </w:r>
          </w:p>
          <w:p w14:paraId="21FD6C80" w14:textId="77777777" w:rsidR="00687AE9" w:rsidRPr="00687AE9" w:rsidRDefault="00687AE9" w:rsidP="00687AE9">
            <w:pPr>
              <w:widowControl w:val="0"/>
              <w:numPr>
                <w:ilvl w:val="0"/>
                <w:numId w:val="155"/>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Grupo 1: Evangelización y pastoral</w:t>
            </w:r>
          </w:p>
          <w:p w14:paraId="1238222D" w14:textId="77777777" w:rsidR="00687AE9" w:rsidRPr="00687AE9" w:rsidRDefault="00687AE9" w:rsidP="00687AE9">
            <w:pPr>
              <w:widowControl w:val="0"/>
              <w:numPr>
                <w:ilvl w:val="0"/>
                <w:numId w:val="155"/>
              </w:numPr>
              <w:overflowPunct w:val="0"/>
              <w:autoSpaceDE w:val="0"/>
              <w:autoSpaceDN w:val="0"/>
              <w:adjustRightInd w:val="0"/>
              <w:spacing w:before="120" w:after="200" w:line="276" w:lineRule="auto"/>
              <w:contextualSpacing/>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Grupo 2: Ministerio docente y pastoral</w:t>
            </w:r>
          </w:p>
          <w:p w14:paraId="0E83CA41" w14:textId="77777777" w:rsidR="00687AE9" w:rsidRPr="00687AE9" w:rsidRDefault="00687AE9" w:rsidP="00687AE9">
            <w:pPr>
              <w:widowControl w:val="0"/>
              <w:numPr>
                <w:ilvl w:val="0"/>
                <w:numId w:val="155"/>
              </w:numPr>
              <w:overflowPunct w:val="0"/>
              <w:autoSpaceDE w:val="0"/>
              <w:autoSpaceDN w:val="0"/>
              <w:adjustRightInd w:val="0"/>
              <w:spacing w:before="120" w:after="200" w:line="276" w:lineRule="auto"/>
              <w:contextualSpacing/>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Grupo 3: Liturgia y pastoral</w:t>
            </w:r>
          </w:p>
          <w:p w14:paraId="70F2D20A" w14:textId="77777777" w:rsidR="00687AE9" w:rsidRPr="00687AE9" w:rsidRDefault="00687AE9" w:rsidP="00687AE9">
            <w:pPr>
              <w:widowControl w:val="0"/>
              <w:numPr>
                <w:ilvl w:val="0"/>
                <w:numId w:val="153"/>
              </w:numPr>
              <w:overflowPunct w:val="0"/>
              <w:autoSpaceDE w:val="0"/>
              <w:autoSpaceDN w:val="0"/>
              <w:adjustRightInd w:val="0"/>
              <w:spacing w:before="120" w:after="200" w:line="276" w:lineRule="auto"/>
              <w:contextualSpacing/>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en un encuentro sincrónico virtual (formativo).</w:t>
            </w:r>
          </w:p>
          <w:p w14:paraId="2E70ACD7" w14:textId="77777777" w:rsidR="00687AE9" w:rsidRPr="00687AE9" w:rsidRDefault="00687AE9" w:rsidP="00687AE9">
            <w:pPr>
              <w:widowControl w:val="0"/>
              <w:numPr>
                <w:ilvl w:val="0"/>
                <w:numId w:val="153"/>
              </w:numPr>
              <w:overflowPunct w:val="0"/>
              <w:autoSpaceDE w:val="0"/>
              <w:autoSpaceDN w:val="0"/>
              <w:adjustRightInd w:val="0"/>
              <w:spacing w:before="120" w:after="200" w:line="276" w:lineRule="auto"/>
              <w:contextualSpacing/>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Elaboración de una reflexión sobre su propia experiencia pastoral (tarea 5). </w:t>
            </w:r>
          </w:p>
          <w:p w14:paraId="33A37A77" w14:textId="77777777" w:rsidR="00687AE9" w:rsidRPr="00687AE9" w:rsidRDefault="00687AE9" w:rsidP="00687AE9">
            <w:pPr>
              <w:widowControl w:val="0"/>
              <w:overflowPunct w:val="0"/>
              <w:autoSpaceDE w:val="0"/>
              <w:autoSpaceDN w:val="0"/>
              <w:adjustRightInd w:val="0"/>
              <w:spacing w:before="120" w:after="0" w:line="240" w:lineRule="auto"/>
              <w:rPr>
                <w:rFonts w:ascii="Times New Roman" w:eastAsia="Calibri" w:hAnsi="Times New Roman" w:cs="Arial"/>
                <w:color w:val="000000"/>
                <w:kern w:val="0"/>
                <w:sz w:val="24"/>
                <w:szCs w:val="20"/>
                <w:lang w:val="es-ES_tradnl" w:eastAsia="es-CR"/>
                <w14:ligatures w14:val="none"/>
              </w:rPr>
            </w:pPr>
          </w:p>
        </w:tc>
      </w:tr>
      <w:tr w:rsidR="00687AE9" w:rsidRPr="00687AE9" w14:paraId="05902FB8" w14:textId="77777777" w:rsidTr="4C9C2619">
        <w:trPr>
          <w:trHeight w:val="699"/>
          <w:jc w:val="center"/>
        </w:trPr>
        <w:tc>
          <w:tcPr>
            <w:tcW w:w="1271" w:type="dxa"/>
          </w:tcPr>
          <w:p w14:paraId="43151E4F"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1C389C9C"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11 - 12</w:t>
            </w:r>
          </w:p>
        </w:tc>
        <w:tc>
          <w:tcPr>
            <w:tcW w:w="2410" w:type="dxa"/>
          </w:tcPr>
          <w:p w14:paraId="42DCD354"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9: Proyecto pastoral</w:t>
            </w:r>
          </w:p>
          <w:p w14:paraId="2CA4225F"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2FC75CB9"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9.1 Diseño de proyectos</w:t>
            </w:r>
          </w:p>
        </w:tc>
        <w:tc>
          <w:tcPr>
            <w:tcW w:w="2835" w:type="dxa"/>
          </w:tcPr>
          <w:p w14:paraId="0E3CE041" w14:textId="77777777" w:rsidR="00687AE9" w:rsidRPr="00687AE9" w:rsidRDefault="00687AE9" w:rsidP="00687AE9">
            <w:pPr>
              <w:spacing w:after="0" w:line="240" w:lineRule="auto"/>
              <w:rPr>
                <w:rFonts w:ascii="Calibri" w:eastAsia="Calibri" w:hAnsi="Calibri" w:cs="Arial"/>
                <w:kern w:val="0"/>
                <w:lang w:eastAsia="es-CR"/>
                <w14:ligatures w14:val="none"/>
              </w:rPr>
            </w:pPr>
            <w:r w:rsidRPr="00687AE9">
              <w:rPr>
                <w:rFonts w:ascii="Calibri" w:eastAsia="Calibri" w:hAnsi="Calibri" w:cs="Arial"/>
                <w:color w:val="0070C0"/>
                <w:kern w:val="0"/>
                <w:lang w:val="es-ES_tradnl"/>
                <w14:ligatures w14:val="none"/>
              </w:rPr>
              <w:t>Ruta de aprendizaje</w:t>
            </w:r>
          </w:p>
          <w:p w14:paraId="5073D62F" w14:textId="77777777" w:rsidR="00687AE9" w:rsidRPr="00687AE9" w:rsidRDefault="00687AE9" w:rsidP="00687AE9">
            <w:pPr>
              <w:spacing w:after="0" w:line="240" w:lineRule="auto"/>
              <w:rPr>
                <w:rFonts w:ascii="Calibri" w:eastAsia="Calibri" w:hAnsi="Calibri" w:cs="Arial"/>
                <w:kern w:val="0"/>
                <w:lang w:eastAsia="es-CR"/>
                <w14:ligatures w14:val="none"/>
              </w:rPr>
            </w:pPr>
          </w:p>
          <w:p w14:paraId="06ECA83D" w14:textId="77777777" w:rsidR="00687AE9" w:rsidRPr="00687AE9" w:rsidRDefault="00687AE9" w:rsidP="00687AE9">
            <w:pPr>
              <w:spacing w:after="0" w:line="240" w:lineRule="auto"/>
              <w:rPr>
                <w:rFonts w:ascii="Calibri" w:eastAsia="Calibri" w:hAnsi="Calibri" w:cs="Arial"/>
                <w:b/>
                <w:bCs/>
                <w:kern w:val="0"/>
                <w:lang w:eastAsia="es-CR"/>
                <w14:ligatures w14:val="none"/>
              </w:rPr>
            </w:pPr>
            <w:proofErr w:type="spellStart"/>
            <w:r w:rsidRPr="00687AE9">
              <w:rPr>
                <w:rFonts w:ascii="Calibri" w:eastAsia="Calibri" w:hAnsi="Calibri" w:cs="Arial"/>
                <w:kern w:val="0"/>
                <w:lang w:eastAsia="es-CR"/>
                <w14:ligatures w14:val="none"/>
              </w:rPr>
              <w:t>Balcomb</w:t>
            </w:r>
            <w:proofErr w:type="spellEnd"/>
            <w:r w:rsidRPr="00687AE9">
              <w:rPr>
                <w:rFonts w:ascii="Calibri" w:eastAsia="Calibri" w:hAnsi="Calibri" w:cs="Arial"/>
                <w:kern w:val="0"/>
                <w:lang w:eastAsia="es-CR"/>
                <w14:ligatures w14:val="none"/>
              </w:rPr>
              <w:t xml:space="preserve">, Anthony. “Las cosmovisiones y la relación Dios/Mundo”. </w:t>
            </w:r>
            <w:r w:rsidRPr="00687AE9">
              <w:rPr>
                <w:rFonts w:ascii="Calibri" w:eastAsia="Calibri" w:hAnsi="Calibri" w:cs="Arial"/>
                <w:i/>
                <w:kern w:val="0"/>
                <w:lang w:eastAsia="es-CR"/>
                <w14:ligatures w14:val="none"/>
              </w:rPr>
              <w:t xml:space="preserve">Vida y Pensamiento 28, </w:t>
            </w:r>
            <w:r w:rsidRPr="00687AE9">
              <w:rPr>
                <w:rFonts w:ascii="Calibri" w:eastAsia="Calibri" w:hAnsi="Calibri" w:cs="Arial"/>
                <w:kern w:val="0"/>
                <w:lang w:eastAsia="es-CR"/>
                <w14:ligatures w14:val="none"/>
              </w:rPr>
              <w:t xml:space="preserve">n.1 (2008): pp. 57-72. (sesión 11) </w:t>
            </w:r>
          </w:p>
          <w:p w14:paraId="3FFED37F" w14:textId="77777777" w:rsidR="00687AE9" w:rsidRPr="00687AE9" w:rsidRDefault="00687AE9" w:rsidP="00687AE9">
            <w:pPr>
              <w:spacing w:after="0" w:line="240" w:lineRule="auto"/>
              <w:rPr>
                <w:rFonts w:ascii="Calibri" w:eastAsia="MS Mincho" w:hAnsi="Calibri" w:cs="Calibri"/>
                <w:kern w:val="0"/>
                <w:lang w:val="es-ES" w:eastAsia="es-ES"/>
                <w14:ligatures w14:val="none"/>
              </w:rPr>
            </w:pPr>
          </w:p>
          <w:p w14:paraId="2E0496D7"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r w:rsidRPr="00687AE9">
              <w:rPr>
                <w:rFonts w:ascii="Calibri" w:eastAsia="MS Mincho" w:hAnsi="Calibri" w:cs="Calibri"/>
                <w:kern w:val="0"/>
                <w:lang w:val="es-ES_tradnl" w:eastAsia="es-ES"/>
                <w14:ligatures w14:val="none"/>
              </w:rPr>
              <w:t>Ander-</w:t>
            </w:r>
            <w:proofErr w:type="spellStart"/>
            <w:r w:rsidRPr="00687AE9">
              <w:rPr>
                <w:rFonts w:ascii="Calibri" w:eastAsia="MS Mincho" w:hAnsi="Calibri" w:cs="Calibri"/>
                <w:kern w:val="0"/>
                <w:lang w:val="es-ES_tradnl" w:eastAsia="es-ES"/>
                <w14:ligatures w14:val="none"/>
              </w:rPr>
              <w:t>Egg</w:t>
            </w:r>
            <w:proofErr w:type="spellEnd"/>
            <w:r w:rsidRPr="00687AE9">
              <w:rPr>
                <w:rFonts w:ascii="Calibri" w:eastAsia="MS Mincho" w:hAnsi="Calibri" w:cs="Calibri"/>
                <w:kern w:val="0"/>
                <w:lang w:val="es-ES_tradnl" w:eastAsia="es-ES"/>
                <w14:ligatures w14:val="none"/>
              </w:rPr>
              <w:t xml:space="preserve">, Ezequiel y María José Aguilar. “I Parte: Algunas precisiones conceptuales y operativas en torno a la elaboración y diseño de proyectos”. En </w:t>
            </w:r>
            <w:r w:rsidRPr="00687AE9">
              <w:rPr>
                <w:rFonts w:ascii="Calibri" w:eastAsia="MS Mincho" w:hAnsi="Calibri" w:cs="Calibri"/>
                <w:i/>
                <w:kern w:val="0"/>
                <w:lang w:val="es-ES_tradnl" w:eastAsia="es-ES"/>
                <w14:ligatures w14:val="none"/>
              </w:rPr>
              <w:t xml:space="preserve">Cómo elaborar un proyecto: guía para diseñar proyectos sociales y culturales, </w:t>
            </w:r>
            <w:r w:rsidRPr="00687AE9">
              <w:rPr>
                <w:rFonts w:ascii="Calibri" w:eastAsia="MS Mincho" w:hAnsi="Calibri" w:cs="Calibri"/>
                <w:kern w:val="0"/>
                <w:lang w:val="es-ES_tradnl" w:eastAsia="es-ES"/>
                <w14:ligatures w14:val="none"/>
              </w:rPr>
              <w:t>12-28.</w:t>
            </w:r>
            <w:r w:rsidRPr="00687AE9">
              <w:rPr>
                <w:rFonts w:ascii="Calibri" w:eastAsia="MS Mincho" w:hAnsi="Calibri" w:cs="Calibri"/>
                <w:i/>
                <w:kern w:val="0"/>
                <w:lang w:val="es-ES_tradnl" w:eastAsia="es-ES"/>
                <w14:ligatures w14:val="none"/>
              </w:rPr>
              <w:t xml:space="preserve"> </w:t>
            </w:r>
            <w:r w:rsidRPr="00687AE9">
              <w:rPr>
                <w:rFonts w:ascii="Calibri" w:eastAsia="MS Mincho" w:hAnsi="Calibri" w:cs="Calibri"/>
                <w:kern w:val="0"/>
                <w:lang w:val="es-ES_tradnl" w:eastAsia="es-ES"/>
                <w14:ligatures w14:val="none"/>
              </w:rPr>
              <w:t xml:space="preserve">Buenos Aires: LUMEN, 2005. (sesión 11) </w:t>
            </w:r>
            <w:r w:rsidRPr="00687AE9">
              <w:rPr>
                <w:rFonts w:ascii="Calibri" w:eastAsia="Calibri" w:hAnsi="Calibri" w:cs="Arial"/>
                <w:color w:val="0070C0"/>
                <w:kern w:val="0"/>
                <w:lang w:eastAsia="es-CR"/>
                <w14:ligatures w14:val="none"/>
              </w:rPr>
              <w:t>(clásico, última edición 2008)</w:t>
            </w:r>
          </w:p>
          <w:p w14:paraId="011B7892"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p>
          <w:p w14:paraId="15ED30F0"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r w:rsidRPr="00687AE9">
              <w:rPr>
                <w:rFonts w:ascii="Calibri" w:eastAsia="MS Mincho" w:hAnsi="Calibri" w:cs="Calibri"/>
                <w:kern w:val="0"/>
                <w:lang w:val="es-ES_tradnl" w:eastAsia="es-ES"/>
                <w14:ligatures w14:val="none"/>
              </w:rPr>
              <w:t>Ander-</w:t>
            </w:r>
            <w:proofErr w:type="spellStart"/>
            <w:r w:rsidRPr="00687AE9">
              <w:rPr>
                <w:rFonts w:ascii="Calibri" w:eastAsia="MS Mincho" w:hAnsi="Calibri" w:cs="Calibri"/>
                <w:kern w:val="0"/>
                <w:lang w:val="es-ES_tradnl" w:eastAsia="es-ES"/>
                <w14:ligatures w14:val="none"/>
              </w:rPr>
              <w:t>Egg</w:t>
            </w:r>
            <w:proofErr w:type="spellEnd"/>
            <w:r w:rsidRPr="00687AE9">
              <w:rPr>
                <w:rFonts w:ascii="Calibri" w:eastAsia="MS Mincho" w:hAnsi="Calibri" w:cs="Calibri"/>
                <w:kern w:val="0"/>
                <w:lang w:val="es-ES_tradnl" w:eastAsia="es-ES"/>
                <w14:ligatures w14:val="none"/>
              </w:rPr>
              <w:t xml:space="preserve">, Ezequiel y María José Aguilar. “II Parte: Guía para la elaboración de proyectos”. En </w:t>
            </w:r>
            <w:r w:rsidRPr="00687AE9">
              <w:rPr>
                <w:rFonts w:ascii="Calibri" w:eastAsia="MS Mincho" w:hAnsi="Calibri" w:cs="Calibri"/>
                <w:i/>
                <w:kern w:val="0"/>
                <w:lang w:val="es-ES_tradnl" w:eastAsia="es-ES"/>
                <w14:ligatures w14:val="none"/>
              </w:rPr>
              <w:t xml:space="preserve">Cómo elaborar un proyecto: guía para diseñar proyectos sociales y culturales, </w:t>
            </w:r>
            <w:r w:rsidRPr="00687AE9">
              <w:rPr>
                <w:rFonts w:ascii="Calibri" w:eastAsia="MS Mincho" w:hAnsi="Calibri" w:cs="Calibri"/>
                <w:iCs/>
                <w:kern w:val="0"/>
                <w:lang w:val="es-ES_tradnl" w:eastAsia="es-ES"/>
                <w14:ligatures w14:val="none"/>
              </w:rPr>
              <w:t>29-50</w:t>
            </w:r>
            <w:r w:rsidRPr="00687AE9">
              <w:rPr>
                <w:rFonts w:ascii="Calibri" w:eastAsia="MS Mincho" w:hAnsi="Calibri" w:cs="Calibri"/>
                <w:kern w:val="0"/>
                <w:lang w:val="es-ES_tradnl" w:eastAsia="es-ES"/>
                <w14:ligatures w14:val="none"/>
              </w:rPr>
              <w:t>.</w:t>
            </w:r>
            <w:r w:rsidRPr="00687AE9">
              <w:rPr>
                <w:rFonts w:ascii="Calibri" w:eastAsia="MS Mincho" w:hAnsi="Calibri" w:cs="Calibri"/>
                <w:i/>
                <w:kern w:val="0"/>
                <w:lang w:val="es-ES_tradnl" w:eastAsia="es-ES"/>
                <w14:ligatures w14:val="none"/>
              </w:rPr>
              <w:t xml:space="preserve"> </w:t>
            </w:r>
            <w:r w:rsidRPr="00687AE9">
              <w:rPr>
                <w:rFonts w:ascii="Calibri" w:eastAsia="MS Mincho" w:hAnsi="Calibri" w:cs="Calibri"/>
                <w:kern w:val="0"/>
                <w:lang w:val="es-ES_tradnl" w:eastAsia="es-ES"/>
                <w14:ligatures w14:val="none"/>
              </w:rPr>
              <w:t xml:space="preserve">Buenos Aires: LUMEN, 2005. (sesión 12) </w:t>
            </w:r>
            <w:r w:rsidRPr="00687AE9">
              <w:rPr>
                <w:rFonts w:ascii="Calibri" w:eastAsia="Calibri" w:hAnsi="Calibri" w:cs="Arial"/>
                <w:color w:val="0070C0"/>
                <w:kern w:val="0"/>
                <w:lang w:eastAsia="es-CR"/>
                <w14:ligatures w14:val="none"/>
              </w:rPr>
              <w:t>(clásico, última edición 2008)</w:t>
            </w:r>
          </w:p>
          <w:p w14:paraId="477B2DFF"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p>
          <w:p w14:paraId="5BA06790" w14:textId="77777777" w:rsidR="00687AE9" w:rsidRPr="00687AE9" w:rsidRDefault="00687AE9" w:rsidP="00687AE9">
            <w:pPr>
              <w:spacing w:after="0" w:line="240"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33B1F241" w14:textId="77777777" w:rsidR="00687AE9" w:rsidRPr="00687AE9" w:rsidRDefault="00687AE9" w:rsidP="00687AE9">
            <w:pPr>
              <w:spacing w:after="0" w:line="240" w:lineRule="auto"/>
              <w:rPr>
                <w:rFonts w:ascii="Calibri" w:eastAsia="Calibri" w:hAnsi="Calibri" w:cs="Arial"/>
                <w:b/>
                <w:color w:val="0070C0"/>
                <w:kern w:val="0"/>
                <w:lang w:eastAsia="es-CR"/>
                <w14:ligatures w14:val="none"/>
              </w:rPr>
            </w:pPr>
          </w:p>
          <w:p w14:paraId="4CA77384" w14:textId="77777777" w:rsidR="00687AE9" w:rsidRPr="00687AE9" w:rsidRDefault="00687AE9" w:rsidP="00687AE9">
            <w:pPr>
              <w:spacing w:after="0" w:line="240" w:lineRule="auto"/>
              <w:rPr>
                <w:rFonts w:ascii="Calibri" w:eastAsia="MS Mincho" w:hAnsi="Calibri" w:cs="Calibri"/>
                <w:bCs/>
                <w:kern w:val="0"/>
                <w:lang w:val="es-ES_tradnl" w:eastAsia="es-ES"/>
                <w14:ligatures w14:val="none"/>
              </w:rPr>
            </w:pPr>
            <w:r w:rsidRPr="00687AE9">
              <w:rPr>
                <w:rFonts w:ascii="Calibri" w:eastAsia="Calibri" w:hAnsi="Calibri" w:cs="Arial"/>
                <w:bCs/>
                <w:color w:val="0070C0"/>
                <w:kern w:val="0"/>
                <w:lang w:eastAsia="es-CR"/>
                <w14:ligatures w14:val="none"/>
              </w:rPr>
              <w:t xml:space="preserve">Guía para la participación mediante la herramienta Big Blue </w:t>
            </w:r>
            <w:proofErr w:type="spellStart"/>
            <w:r w:rsidRPr="00687AE9">
              <w:rPr>
                <w:rFonts w:ascii="Calibri" w:eastAsia="Calibri" w:hAnsi="Calibri" w:cs="Arial"/>
                <w:bCs/>
                <w:color w:val="0070C0"/>
                <w:kern w:val="0"/>
                <w:lang w:eastAsia="es-CR"/>
                <w14:ligatures w14:val="none"/>
              </w:rPr>
              <w:t>Button</w:t>
            </w:r>
            <w:proofErr w:type="spellEnd"/>
            <w:r w:rsidRPr="00687AE9">
              <w:rPr>
                <w:rFonts w:ascii="Calibri" w:eastAsia="Calibri" w:hAnsi="Calibri" w:cs="Arial"/>
                <w:bCs/>
                <w:color w:val="0070C0"/>
                <w:kern w:val="0"/>
                <w:lang w:eastAsia="es-CR"/>
                <w14:ligatures w14:val="none"/>
              </w:rPr>
              <w:t xml:space="preserve"> en la plataforma Moodle</w:t>
            </w:r>
          </w:p>
          <w:p w14:paraId="4F0768DE" w14:textId="77777777" w:rsidR="00687AE9" w:rsidRPr="00687AE9" w:rsidRDefault="00687AE9" w:rsidP="00687AE9">
            <w:pPr>
              <w:spacing w:after="0" w:line="240" w:lineRule="auto"/>
              <w:rPr>
                <w:rFonts w:ascii="Calibri" w:eastAsia="MS Mincho" w:hAnsi="Calibri" w:cs="Calibri"/>
                <w:kern w:val="0"/>
                <w:lang w:val="es-ES" w:eastAsia="es-ES"/>
                <w14:ligatures w14:val="none"/>
              </w:rPr>
            </w:pPr>
          </w:p>
        </w:tc>
        <w:tc>
          <w:tcPr>
            <w:tcW w:w="3118" w:type="dxa"/>
          </w:tcPr>
          <w:p w14:paraId="6A4EE549"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docente en un encuentro sincrónico virtual (sesión 11) (formativo).</w:t>
            </w:r>
          </w:p>
          <w:p w14:paraId="6FBF1D26"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Elaboración del esquema del proyecto pastoral, que incluye trabajo en el problema y objetivos del proyecto (sesión 11).</w:t>
            </w:r>
          </w:p>
          <w:p w14:paraId="11CE2FC5"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Incorporación de elementos para el diseño de su proyecto (tarea 6) (sesión 11). </w:t>
            </w:r>
          </w:p>
          <w:p w14:paraId="2E0B60E0"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Incorporación de elementos para el diseño de su proyecto (tarea 7) (sesión 12).</w:t>
            </w:r>
          </w:p>
        </w:tc>
      </w:tr>
      <w:tr w:rsidR="00687AE9" w:rsidRPr="00687AE9" w14:paraId="255F309C" w14:textId="77777777" w:rsidTr="4C9C2619">
        <w:trPr>
          <w:jc w:val="center"/>
        </w:trPr>
        <w:tc>
          <w:tcPr>
            <w:tcW w:w="1271" w:type="dxa"/>
          </w:tcPr>
          <w:p w14:paraId="07835E1E"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p>
          <w:p w14:paraId="55BE682F" w14:textId="77777777" w:rsidR="00687AE9" w:rsidRPr="00687AE9" w:rsidRDefault="00687AE9" w:rsidP="00687AE9">
            <w:pPr>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13</w:t>
            </w:r>
          </w:p>
        </w:tc>
        <w:tc>
          <w:tcPr>
            <w:tcW w:w="2410" w:type="dxa"/>
          </w:tcPr>
          <w:p w14:paraId="04AFB143"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r w:rsidRPr="00687AE9">
              <w:rPr>
                <w:rFonts w:ascii="Calibri" w:eastAsia="Times New Roman" w:hAnsi="Calibri" w:cs="Arial"/>
                <w:b/>
                <w:kern w:val="0"/>
                <w:lang w:val="es-ES_tradnl" w:eastAsia="es-CR"/>
                <w14:ligatures w14:val="none"/>
              </w:rPr>
              <w:t>Unidad 9: Proyecto pastoral</w:t>
            </w:r>
          </w:p>
          <w:p w14:paraId="6330172D"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b/>
                <w:kern w:val="0"/>
                <w:lang w:val="es-ES_tradnl" w:eastAsia="es-CR"/>
                <w14:ligatures w14:val="none"/>
              </w:rPr>
            </w:pPr>
          </w:p>
          <w:p w14:paraId="46F61042" w14:textId="77777777" w:rsidR="00687AE9" w:rsidRPr="00687AE9" w:rsidRDefault="00687AE9" w:rsidP="00687AE9">
            <w:pPr>
              <w:keepNext/>
              <w:widowControl w:val="0"/>
              <w:overflowPunct w:val="0"/>
              <w:autoSpaceDE w:val="0"/>
              <w:autoSpaceDN w:val="0"/>
              <w:adjustRightInd w:val="0"/>
              <w:spacing w:after="0" w:line="240" w:lineRule="auto"/>
              <w:outlineLvl w:val="2"/>
              <w:rPr>
                <w:rFonts w:ascii="Calibri" w:eastAsia="Times New Roman" w:hAnsi="Calibri" w:cs="Arial"/>
                <w:kern w:val="0"/>
                <w:lang w:val="es-ES_tradnl" w:eastAsia="es-CR"/>
                <w14:ligatures w14:val="none"/>
              </w:rPr>
            </w:pPr>
            <w:r w:rsidRPr="00687AE9">
              <w:rPr>
                <w:rFonts w:ascii="Calibri" w:eastAsia="Times New Roman" w:hAnsi="Calibri" w:cs="Arial"/>
                <w:kern w:val="0"/>
                <w:lang w:val="es-ES_tradnl" w:eastAsia="es-CR"/>
                <w14:ligatures w14:val="none"/>
              </w:rPr>
              <w:t>9.1 Diseño de proyectos</w:t>
            </w:r>
          </w:p>
        </w:tc>
        <w:tc>
          <w:tcPr>
            <w:tcW w:w="2835" w:type="dxa"/>
          </w:tcPr>
          <w:p w14:paraId="68DA97EE"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r w:rsidRPr="00687AE9">
              <w:rPr>
                <w:rFonts w:ascii="Calibri" w:eastAsia="Calibri" w:hAnsi="Calibri" w:cs="Arial"/>
                <w:color w:val="0070C0"/>
                <w:kern w:val="0"/>
                <w:lang w:val="es-ES_tradnl"/>
                <w14:ligatures w14:val="none"/>
              </w:rPr>
              <w:t>Ruta de aprendizaje</w:t>
            </w:r>
          </w:p>
          <w:p w14:paraId="25036B24"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p>
          <w:p w14:paraId="0F320A37"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r w:rsidRPr="00687AE9">
              <w:rPr>
                <w:rFonts w:ascii="Calibri" w:eastAsia="MS Mincho" w:hAnsi="Calibri" w:cs="Calibri"/>
                <w:kern w:val="0"/>
                <w:lang w:val="es-ES_tradnl" w:eastAsia="es-ES"/>
                <w14:ligatures w14:val="none"/>
              </w:rPr>
              <w:t>Ander-</w:t>
            </w:r>
            <w:proofErr w:type="spellStart"/>
            <w:r w:rsidRPr="00687AE9">
              <w:rPr>
                <w:rFonts w:ascii="Calibri" w:eastAsia="MS Mincho" w:hAnsi="Calibri" w:cs="Calibri"/>
                <w:kern w:val="0"/>
                <w:lang w:val="es-ES_tradnl" w:eastAsia="es-ES"/>
                <w14:ligatures w14:val="none"/>
              </w:rPr>
              <w:t>Egg</w:t>
            </w:r>
            <w:proofErr w:type="spellEnd"/>
            <w:r w:rsidRPr="00687AE9">
              <w:rPr>
                <w:rFonts w:ascii="Calibri" w:eastAsia="MS Mincho" w:hAnsi="Calibri" w:cs="Calibri"/>
                <w:kern w:val="0"/>
                <w:lang w:val="es-ES_tradnl" w:eastAsia="es-ES"/>
                <w14:ligatures w14:val="none"/>
              </w:rPr>
              <w:t xml:space="preserve">, Ezequiel y María José Aguilar. “II Parte: Guía para la elaboración de proyectos”. En </w:t>
            </w:r>
            <w:r w:rsidRPr="00687AE9">
              <w:rPr>
                <w:rFonts w:ascii="Calibri" w:eastAsia="MS Mincho" w:hAnsi="Calibri" w:cs="Calibri"/>
                <w:i/>
                <w:kern w:val="0"/>
                <w:lang w:val="es-ES_tradnl" w:eastAsia="es-ES"/>
                <w14:ligatures w14:val="none"/>
              </w:rPr>
              <w:t xml:space="preserve">Cómo elaborar un proyecto: guía para diseñar proyectos sociales y culturales, </w:t>
            </w:r>
            <w:r w:rsidRPr="00687AE9">
              <w:rPr>
                <w:rFonts w:ascii="Calibri" w:eastAsia="MS Mincho" w:hAnsi="Calibri" w:cs="Calibri"/>
                <w:iCs/>
                <w:kern w:val="0"/>
                <w:lang w:val="es-ES_tradnl" w:eastAsia="es-ES"/>
                <w14:ligatures w14:val="none"/>
              </w:rPr>
              <w:t>51-74</w:t>
            </w:r>
            <w:r w:rsidRPr="00687AE9">
              <w:rPr>
                <w:rFonts w:ascii="Calibri" w:eastAsia="MS Mincho" w:hAnsi="Calibri" w:cs="Calibri"/>
                <w:kern w:val="0"/>
                <w:lang w:val="es-ES_tradnl" w:eastAsia="es-ES"/>
                <w14:ligatures w14:val="none"/>
              </w:rPr>
              <w:t>.</w:t>
            </w:r>
            <w:r w:rsidRPr="00687AE9">
              <w:rPr>
                <w:rFonts w:ascii="Calibri" w:eastAsia="MS Mincho" w:hAnsi="Calibri" w:cs="Calibri"/>
                <w:i/>
                <w:kern w:val="0"/>
                <w:lang w:val="es-ES_tradnl" w:eastAsia="es-ES"/>
                <w14:ligatures w14:val="none"/>
              </w:rPr>
              <w:t xml:space="preserve"> </w:t>
            </w:r>
            <w:r w:rsidRPr="00687AE9">
              <w:rPr>
                <w:rFonts w:ascii="Calibri" w:eastAsia="MS Mincho" w:hAnsi="Calibri" w:cs="Calibri"/>
                <w:kern w:val="0"/>
                <w:lang w:val="es-ES_tradnl" w:eastAsia="es-ES"/>
                <w14:ligatures w14:val="none"/>
              </w:rPr>
              <w:lastRenderedPageBreak/>
              <w:t xml:space="preserve">Buenos Aires: LUMEN, 2005. </w:t>
            </w:r>
            <w:r w:rsidRPr="00687AE9">
              <w:rPr>
                <w:rFonts w:ascii="Calibri" w:eastAsia="Calibri" w:hAnsi="Calibri" w:cs="Arial"/>
                <w:color w:val="0070C0"/>
                <w:kern w:val="0"/>
                <w:lang w:eastAsia="es-CR"/>
                <w14:ligatures w14:val="none"/>
              </w:rPr>
              <w:t>(clásico, última edición 2008)</w:t>
            </w:r>
          </w:p>
          <w:p w14:paraId="0DBE940F" w14:textId="77777777" w:rsidR="00687AE9" w:rsidRPr="00687AE9" w:rsidRDefault="00687AE9" w:rsidP="00687AE9">
            <w:pPr>
              <w:spacing w:after="0" w:line="240" w:lineRule="auto"/>
              <w:rPr>
                <w:rFonts w:ascii="Calibri" w:eastAsia="MS Mincho" w:hAnsi="Calibri" w:cs="Calibri"/>
                <w:kern w:val="0"/>
                <w:lang w:val="es-ES_tradnl" w:eastAsia="es-ES"/>
                <w14:ligatures w14:val="none"/>
              </w:rPr>
            </w:pPr>
          </w:p>
          <w:p w14:paraId="6342C024" w14:textId="77777777" w:rsidR="00687AE9" w:rsidRPr="00687AE9" w:rsidRDefault="00687AE9" w:rsidP="00687AE9">
            <w:pPr>
              <w:spacing w:after="0" w:line="240"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12D203DE" w14:textId="77777777" w:rsidR="00687AE9" w:rsidRPr="00687AE9" w:rsidRDefault="00687AE9" w:rsidP="00687AE9">
            <w:pPr>
              <w:spacing w:after="0" w:line="240" w:lineRule="auto"/>
              <w:rPr>
                <w:rFonts w:ascii="Calibri" w:eastAsia="Calibri" w:hAnsi="Calibri" w:cs="Arial"/>
                <w:b/>
                <w:color w:val="0070C0"/>
                <w:kern w:val="0"/>
                <w:lang w:eastAsia="es-CR"/>
                <w14:ligatures w14:val="none"/>
              </w:rPr>
            </w:pPr>
          </w:p>
          <w:p w14:paraId="1DEB0683" w14:textId="77777777" w:rsidR="00687AE9" w:rsidRPr="00687AE9" w:rsidRDefault="00687AE9" w:rsidP="00687AE9">
            <w:pPr>
              <w:spacing w:after="0" w:line="240" w:lineRule="auto"/>
              <w:rPr>
                <w:rFonts w:ascii="Calibri" w:eastAsia="MS Mincho" w:hAnsi="Calibri" w:cs="Calibri"/>
                <w:bCs/>
                <w:kern w:val="0"/>
                <w:lang w:val="es-ES_tradnl" w:eastAsia="es-ES"/>
                <w14:ligatures w14:val="none"/>
              </w:rPr>
            </w:pPr>
            <w:r w:rsidRPr="00687AE9">
              <w:rPr>
                <w:rFonts w:ascii="Calibri" w:eastAsia="Calibri" w:hAnsi="Calibri" w:cs="Arial"/>
                <w:bCs/>
                <w:color w:val="0070C0"/>
                <w:kern w:val="0"/>
                <w:lang w:eastAsia="es-CR"/>
                <w14:ligatures w14:val="none"/>
              </w:rPr>
              <w:t xml:space="preserve">Guía para la participación mediante la herramienta Big Blue </w:t>
            </w:r>
            <w:proofErr w:type="spellStart"/>
            <w:r w:rsidRPr="00687AE9">
              <w:rPr>
                <w:rFonts w:ascii="Calibri" w:eastAsia="Calibri" w:hAnsi="Calibri" w:cs="Arial"/>
                <w:bCs/>
                <w:color w:val="0070C0"/>
                <w:kern w:val="0"/>
                <w:lang w:eastAsia="es-CR"/>
                <w14:ligatures w14:val="none"/>
              </w:rPr>
              <w:t>Button</w:t>
            </w:r>
            <w:proofErr w:type="spellEnd"/>
            <w:r w:rsidRPr="00687AE9">
              <w:rPr>
                <w:rFonts w:ascii="Calibri" w:eastAsia="Calibri" w:hAnsi="Calibri" w:cs="Arial"/>
                <w:bCs/>
                <w:color w:val="0070C0"/>
                <w:kern w:val="0"/>
                <w:lang w:eastAsia="es-CR"/>
                <w14:ligatures w14:val="none"/>
              </w:rPr>
              <w:t xml:space="preserve"> en la plataforma Moodle</w:t>
            </w:r>
          </w:p>
          <w:p w14:paraId="5C657F2B" w14:textId="77777777" w:rsidR="00687AE9" w:rsidRPr="00687AE9" w:rsidRDefault="00687AE9" w:rsidP="00687AE9">
            <w:pPr>
              <w:spacing w:after="0" w:line="240" w:lineRule="auto"/>
              <w:rPr>
                <w:rFonts w:ascii="Calibri" w:eastAsia="MS Mincho" w:hAnsi="Calibri" w:cs="Calibri"/>
                <w:color w:val="000000"/>
                <w:kern w:val="0"/>
                <w:sz w:val="24"/>
                <w:szCs w:val="20"/>
                <w:lang w:val="es-ES_tradnl" w:eastAsia="es-CR"/>
                <w14:ligatures w14:val="none"/>
              </w:rPr>
            </w:pPr>
          </w:p>
        </w:tc>
        <w:tc>
          <w:tcPr>
            <w:tcW w:w="3118" w:type="dxa"/>
          </w:tcPr>
          <w:p w14:paraId="3CCC7B93"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lastRenderedPageBreak/>
              <w:t>Incorporación de elementos para el diseño de su proyecto (tarea 8).</w:t>
            </w:r>
          </w:p>
          <w:p w14:paraId="0BAD7FE9"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Tutoría a cada grupo sobre su proyecto particular en un encuentro sincrónico virtual.</w:t>
            </w:r>
          </w:p>
          <w:p w14:paraId="1A10C864"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 xml:space="preserve">Entrega del diseño del </w:t>
            </w:r>
            <w:r w:rsidRPr="00687AE9">
              <w:rPr>
                <w:rFonts w:ascii="Calibri" w:eastAsia="Calibri" w:hAnsi="Calibri" w:cs="Arial"/>
                <w:color w:val="000000"/>
                <w:kern w:val="0"/>
                <w14:ligatures w14:val="none"/>
              </w:rPr>
              <w:lastRenderedPageBreak/>
              <w:t xml:space="preserve">proyecto de acción pastoral. </w:t>
            </w:r>
          </w:p>
          <w:p w14:paraId="10E46764" w14:textId="77777777" w:rsidR="00687AE9" w:rsidRPr="00687AE9" w:rsidRDefault="00687AE9" w:rsidP="00687AE9">
            <w:pPr>
              <w:spacing w:after="0" w:line="240" w:lineRule="auto"/>
              <w:ind w:left="227"/>
              <w:rPr>
                <w:rFonts w:ascii="Calibri" w:eastAsia="Calibri" w:hAnsi="Calibri" w:cs="Arial"/>
                <w:color w:val="000000"/>
                <w:kern w:val="0"/>
                <w14:ligatures w14:val="none"/>
              </w:rPr>
            </w:pPr>
          </w:p>
        </w:tc>
      </w:tr>
      <w:tr w:rsidR="00687AE9" w:rsidRPr="00687AE9" w14:paraId="268B4643" w14:textId="77777777" w:rsidTr="4C9C2619">
        <w:trPr>
          <w:trHeight w:val="1537"/>
          <w:jc w:val="center"/>
        </w:trPr>
        <w:tc>
          <w:tcPr>
            <w:tcW w:w="1271" w:type="dxa"/>
          </w:tcPr>
          <w:p w14:paraId="4FD89CE0" w14:textId="77777777" w:rsidR="00687AE9" w:rsidRPr="00687AE9" w:rsidRDefault="00687AE9" w:rsidP="00687AE9">
            <w:pPr>
              <w:widowControl w:val="0"/>
              <w:overflowPunct w:val="0"/>
              <w:autoSpaceDE w:val="0"/>
              <w:autoSpaceDN w:val="0"/>
              <w:adjustRightInd w:val="0"/>
              <w:spacing w:after="0" w:line="240" w:lineRule="auto"/>
              <w:ind w:left="-5"/>
              <w:jc w:val="center"/>
              <w:rPr>
                <w:rFonts w:ascii="Calibri" w:eastAsia="Calibri" w:hAnsi="Calibri" w:cs="Arial"/>
                <w:color w:val="000000"/>
                <w:kern w:val="0"/>
                <w14:ligatures w14:val="none"/>
              </w:rPr>
            </w:pPr>
          </w:p>
          <w:p w14:paraId="44070CCD" w14:textId="77777777" w:rsidR="00687AE9" w:rsidRPr="00687AE9" w:rsidRDefault="00687AE9" w:rsidP="00687AE9">
            <w:pPr>
              <w:widowControl w:val="0"/>
              <w:overflowPunct w:val="0"/>
              <w:autoSpaceDE w:val="0"/>
              <w:autoSpaceDN w:val="0"/>
              <w:adjustRightInd w:val="0"/>
              <w:spacing w:after="0" w:line="240" w:lineRule="auto"/>
              <w:ind w:left="-5"/>
              <w:jc w:val="center"/>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14 - 15</w:t>
            </w:r>
          </w:p>
        </w:tc>
        <w:tc>
          <w:tcPr>
            <w:tcW w:w="2410" w:type="dxa"/>
          </w:tcPr>
          <w:p w14:paraId="5D82DCA1" w14:textId="77777777" w:rsidR="00687AE9" w:rsidRPr="00687AE9" w:rsidRDefault="00687AE9" w:rsidP="00687AE9">
            <w:pPr>
              <w:spacing w:after="0" w:line="240" w:lineRule="auto"/>
              <w:rPr>
                <w:rFonts w:ascii="Calibri" w:eastAsia="Times New Roman" w:hAnsi="Calibri" w:cs="Arial"/>
                <w:b/>
                <w:kern w:val="0"/>
                <w:lang w:val="es-ES" w:eastAsia="es-ES"/>
                <w14:ligatures w14:val="none"/>
              </w:rPr>
            </w:pPr>
            <w:r w:rsidRPr="00687AE9">
              <w:rPr>
                <w:rFonts w:ascii="Calibri" w:eastAsia="Times New Roman" w:hAnsi="Calibri" w:cs="Arial"/>
                <w:b/>
                <w:kern w:val="0"/>
                <w:lang w:val="es-ES" w:eastAsia="es-ES"/>
                <w14:ligatures w14:val="none"/>
              </w:rPr>
              <w:t>Unidad 9: Proyecto pastoral</w:t>
            </w:r>
          </w:p>
          <w:p w14:paraId="0056E342"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b/>
                <w:kern w:val="0"/>
                <w:lang w:val="es-ES" w:eastAsia="es-ES"/>
                <w14:ligatures w14:val="none"/>
              </w:rPr>
            </w:pPr>
          </w:p>
          <w:p w14:paraId="20591B7E"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 w:eastAsia="es-ES"/>
                <w14:ligatures w14:val="none"/>
              </w:rPr>
            </w:pPr>
            <w:r w:rsidRPr="00687AE9">
              <w:rPr>
                <w:rFonts w:ascii="Calibri" w:eastAsia="Times New Roman" w:hAnsi="Calibri" w:cs="Arial"/>
                <w:kern w:val="0"/>
                <w:lang w:val="es-ES" w:eastAsia="es-ES"/>
                <w14:ligatures w14:val="none"/>
              </w:rPr>
              <w:t>9.2 Presentación de proyectos</w:t>
            </w:r>
          </w:p>
          <w:p w14:paraId="15807350"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 w:eastAsia="es-ES"/>
                <w14:ligatures w14:val="none"/>
              </w:rPr>
            </w:pPr>
          </w:p>
          <w:p w14:paraId="7BD4914F"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 w:eastAsia="es-ES"/>
                <w14:ligatures w14:val="none"/>
              </w:rPr>
            </w:pPr>
            <w:r w:rsidRPr="00687AE9">
              <w:rPr>
                <w:rFonts w:ascii="Calibri" w:eastAsia="Times New Roman" w:hAnsi="Calibri" w:cs="Arial"/>
                <w:kern w:val="0"/>
                <w:lang w:val="es-ES" w:eastAsia="es-ES"/>
                <w14:ligatures w14:val="none"/>
              </w:rPr>
              <w:t>9.3 Socialización de los proyectos</w:t>
            </w:r>
          </w:p>
          <w:p w14:paraId="24D78E52" w14:textId="77777777" w:rsidR="00687AE9" w:rsidRPr="00687AE9" w:rsidRDefault="00687AE9" w:rsidP="00687AE9">
            <w:pPr>
              <w:widowControl w:val="0"/>
              <w:overflowPunct w:val="0"/>
              <w:autoSpaceDE w:val="0"/>
              <w:autoSpaceDN w:val="0"/>
              <w:adjustRightInd w:val="0"/>
              <w:spacing w:after="0" w:line="240" w:lineRule="auto"/>
              <w:rPr>
                <w:rFonts w:ascii="Calibri" w:eastAsia="Times New Roman" w:hAnsi="Calibri" w:cs="Arial"/>
                <w:kern w:val="0"/>
                <w:lang w:val="es-ES" w:eastAsia="es-ES"/>
                <w14:ligatures w14:val="none"/>
              </w:rPr>
            </w:pPr>
          </w:p>
          <w:p w14:paraId="7C7B94C3"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kern w:val="0"/>
                <w14:ligatures w14:val="none"/>
              </w:rPr>
            </w:pPr>
          </w:p>
        </w:tc>
        <w:tc>
          <w:tcPr>
            <w:tcW w:w="2835" w:type="dxa"/>
          </w:tcPr>
          <w:p w14:paraId="2C06E6CA"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color w:val="0070C0"/>
                <w:kern w:val="0"/>
                <w:lang w:val="es-ES_tradnl"/>
                <w14:ligatures w14:val="none"/>
              </w:rPr>
            </w:pPr>
            <w:r w:rsidRPr="00687AE9">
              <w:rPr>
                <w:rFonts w:ascii="Calibri" w:eastAsia="Calibri" w:hAnsi="Calibri" w:cs="Arial"/>
                <w:color w:val="0070C0"/>
                <w:kern w:val="0"/>
                <w:lang w:val="es-ES_tradnl"/>
                <w14:ligatures w14:val="none"/>
              </w:rPr>
              <w:t>Ruta de aprendizaje</w:t>
            </w:r>
          </w:p>
          <w:p w14:paraId="1FD0A73B"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color w:val="0070C0"/>
                <w:kern w:val="0"/>
                <w:lang w:val="es-ES_tradnl"/>
                <w14:ligatures w14:val="none"/>
              </w:rPr>
            </w:pPr>
          </w:p>
          <w:p w14:paraId="22AC3FBA"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b/>
                <w:color w:val="0070C0"/>
                <w:kern w:val="0"/>
                <w:lang w:eastAsia="es-CR"/>
                <w14:ligatures w14:val="none"/>
              </w:rPr>
            </w:pPr>
            <w:r w:rsidRPr="00687AE9">
              <w:rPr>
                <w:rFonts w:ascii="Calibri" w:eastAsia="Calibri" w:hAnsi="Calibri" w:cs="Arial"/>
                <w:b/>
                <w:color w:val="0070C0"/>
                <w:kern w:val="0"/>
                <w:lang w:eastAsia="es-CR"/>
                <w14:ligatures w14:val="none"/>
              </w:rPr>
              <w:t>Material complementario</w:t>
            </w:r>
          </w:p>
          <w:p w14:paraId="45158C60"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b/>
                <w:color w:val="0070C0"/>
                <w:kern w:val="0"/>
                <w:lang w:eastAsia="es-CR"/>
                <w14:ligatures w14:val="none"/>
              </w:rPr>
            </w:pPr>
          </w:p>
          <w:p w14:paraId="66B7157D" w14:textId="77777777" w:rsidR="00687AE9" w:rsidRPr="00687AE9" w:rsidRDefault="00687AE9" w:rsidP="00687AE9">
            <w:pPr>
              <w:widowControl w:val="0"/>
              <w:overflowPunct w:val="0"/>
              <w:autoSpaceDE w:val="0"/>
              <w:autoSpaceDN w:val="0"/>
              <w:adjustRightInd w:val="0"/>
              <w:spacing w:after="0" w:line="240" w:lineRule="auto"/>
              <w:rPr>
                <w:rFonts w:ascii="Calibri" w:eastAsia="Calibri" w:hAnsi="Calibri" w:cs="Arial"/>
                <w:bCs/>
                <w:color w:val="000000"/>
                <w:kern w:val="0"/>
                <w14:ligatures w14:val="none"/>
              </w:rPr>
            </w:pPr>
            <w:r w:rsidRPr="00687AE9">
              <w:rPr>
                <w:rFonts w:ascii="Calibri" w:eastAsia="Calibri" w:hAnsi="Calibri" w:cs="Arial"/>
                <w:bCs/>
                <w:color w:val="0070C0"/>
                <w:kern w:val="0"/>
                <w:lang w:eastAsia="es-CR"/>
                <w14:ligatures w14:val="none"/>
              </w:rPr>
              <w:t xml:space="preserve">Guía para la participación mediante la herramienta Big Blue </w:t>
            </w:r>
            <w:proofErr w:type="spellStart"/>
            <w:r w:rsidRPr="00687AE9">
              <w:rPr>
                <w:rFonts w:ascii="Calibri" w:eastAsia="Calibri" w:hAnsi="Calibri" w:cs="Arial"/>
                <w:bCs/>
                <w:color w:val="0070C0"/>
                <w:kern w:val="0"/>
                <w:lang w:eastAsia="es-CR"/>
                <w14:ligatures w14:val="none"/>
              </w:rPr>
              <w:t>Button</w:t>
            </w:r>
            <w:proofErr w:type="spellEnd"/>
            <w:r w:rsidRPr="00687AE9">
              <w:rPr>
                <w:rFonts w:ascii="Calibri" w:eastAsia="Calibri" w:hAnsi="Calibri" w:cs="Arial"/>
                <w:bCs/>
                <w:color w:val="0070C0"/>
                <w:kern w:val="0"/>
                <w:lang w:eastAsia="es-CR"/>
                <w14:ligatures w14:val="none"/>
              </w:rPr>
              <w:t xml:space="preserve"> en la plataforma Moodle</w:t>
            </w:r>
          </w:p>
        </w:tc>
        <w:tc>
          <w:tcPr>
            <w:tcW w:w="3118" w:type="dxa"/>
          </w:tcPr>
          <w:p w14:paraId="18C05BB7" w14:textId="77777777" w:rsidR="00687AE9" w:rsidRPr="00687AE9" w:rsidRDefault="00687AE9" w:rsidP="00687AE9">
            <w:pPr>
              <w:widowControl w:val="0"/>
              <w:numPr>
                <w:ilvl w:val="0"/>
                <w:numId w:val="153"/>
              </w:numPr>
              <w:overflowPunct w:val="0"/>
              <w:autoSpaceDE w:val="0"/>
              <w:autoSpaceDN w:val="0"/>
              <w:adjustRightInd w:val="0"/>
              <w:spacing w:before="120" w:after="0" w:line="240" w:lineRule="auto"/>
              <w:rPr>
                <w:rFonts w:ascii="Calibri" w:eastAsia="Calibri" w:hAnsi="Calibri" w:cs="Arial"/>
                <w:color w:val="000000"/>
                <w:kern w:val="0"/>
                <w14:ligatures w14:val="none"/>
              </w:rPr>
            </w:pPr>
            <w:r w:rsidRPr="00687AE9">
              <w:rPr>
                <w:rFonts w:ascii="Calibri" w:eastAsia="Calibri" w:hAnsi="Calibri" w:cs="Arial"/>
                <w:color w:val="000000"/>
                <w:kern w:val="0"/>
                <w14:ligatures w14:val="none"/>
              </w:rPr>
              <w:t>Presentación y discusión de proyectos por grupo en un encuentro sincrónico virtual.</w:t>
            </w:r>
          </w:p>
        </w:tc>
      </w:tr>
    </w:tbl>
    <w:p w14:paraId="48133675" w14:textId="77777777" w:rsidR="00687AE9" w:rsidRPr="00687AE9" w:rsidRDefault="00687AE9" w:rsidP="00687AE9">
      <w:pPr>
        <w:autoSpaceDE w:val="0"/>
        <w:autoSpaceDN w:val="0"/>
        <w:adjustRightInd w:val="0"/>
        <w:spacing w:after="0" w:line="240" w:lineRule="auto"/>
        <w:ind w:left="284"/>
        <w:jc w:val="both"/>
        <w:rPr>
          <w:rFonts w:ascii="Arial" w:eastAsia="Calibri" w:hAnsi="Arial" w:cs="Arial"/>
          <w:b/>
          <w:bCs/>
          <w:kern w:val="0"/>
          <w:sz w:val="24"/>
          <w:szCs w:val="24"/>
          <w14:ligatures w14:val="none"/>
        </w:rPr>
      </w:pPr>
    </w:p>
    <w:p w14:paraId="241CF03C" w14:textId="77777777" w:rsidR="00687AE9" w:rsidRPr="00687AE9" w:rsidRDefault="00687AE9" w:rsidP="00687AE9">
      <w:pPr>
        <w:spacing w:after="0" w:line="240" w:lineRule="auto"/>
        <w:rPr>
          <w:rFonts w:ascii="Calibri" w:eastAsia="Times New Roman" w:hAnsi="Calibri" w:cs="Calibri"/>
          <w:b/>
          <w:bCs/>
          <w:color w:val="000000"/>
          <w:kern w:val="0"/>
          <w:lang w:val="es-ES_tradnl" w:eastAsia="es-CR"/>
          <w14:ligatures w14:val="none"/>
        </w:rPr>
      </w:pPr>
      <w:r w:rsidRPr="00687AE9">
        <w:rPr>
          <w:rFonts w:ascii="Calibri" w:eastAsia="Times New Roman" w:hAnsi="Calibri" w:cs="Calibri"/>
          <w:b/>
          <w:bCs/>
          <w:color w:val="000000"/>
          <w:kern w:val="0"/>
          <w:lang w:val="es-ES_tradnl" w:eastAsia="es-CR"/>
          <w14:ligatures w14:val="none"/>
        </w:rPr>
        <w:br w:type="page"/>
      </w:r>
      <w:r w:rsidRPr="00687AE9">
        <w:rPr>
          <w:rFonts w:ascii="Calibri" w:eastAsia="Times New Roman" w:hAnsi="Calibri" w:cs="Calibri"/>
          <w:b/>
          <w:bCs/>
          <w:color w:val="000000"/>
          <w:kern w:val="0"/>
          <w:lang w:val="es-ES_tradnl" w:eastAsia="es-CR"/>
          <w14:ligatures w14:val="none"/>
        </w:rPr>
        <w:lastRenderedPageBreak/>
        <w:t>IX. Distribución de tiempo semanal</w:t>
      </w:r>
    </w:p>
    <w:p w14:paraId="0538FD73" w14:textId="77777777" w:rsidR="00687AE9" w:rsidRPr="00687AE9" w:rsidRDefault="00687AE9" w:rsidP="00687AE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687AE9">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discusiones en foros o trabajos colaborativos.  Debe considerarse que, al tener este curso asignados 4 créditos, se debe invertir 12 horas de trabajo por semana. La distribución de tiempos es la siguiente:</w:t>
      </w:r>
    </w:p>
    <w:p w14:paraId="765FDB79" w14:textId="77777777" w:rsidR="00687AE9" w:rsidRPr="00687AE9" w:rsidRDefault="00687AE9" w:rsidP="00687AE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eGrid7"/>
        <w:tblW w:w="8784" w:type="dxa"/>
        <w:tblLook w:val="04A0" w:firstRow="1" w:lastRow="0" w:firstColumn="1" w:lastColumn="0" w:noHBand="0" w:noVBand="1"/>
      </w:tblPr>
      <w:tblGrid>
        <w:gridCol w:w="2263"/>
        <w:gridCol w:w="1276"/>
        <w:gridCol w:w="5245"/>
      </w:tblGrid>
      <w:tr w:rsidR="00687AE9" w:rsidRPr="00687AE9" w14:paraId="008E725D" w14:textId="77777777" w:rsidTr="00CE7124">
        <w:tc>
          <w:tcPr>
            <w:tcW w:w="2263" w:type="dxa"/>
            <w:vAlign w:val="center"/>
          </w:tcPr>
          <w:p w14:paraId="5673A1B9"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Tipo de horas</w:t>
            </w:r>
          </w:p>
          <w:p w14:paraId="2D101E49"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(categoría)</w:t>
            </w:r>
          </w:p>
        </w:tc>
        <w:tc>
          <w:tcPr>
            <w:tcW w:w="1276" w:type="dxa"/>
            <w:vAlign w:val="center"/>
          </w:tcPr>
          <w:p w14:paraId="5E669575"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Horas por semana</w:t>
            </w:r>
          </w:p>
        </w:tc>
        <w:tc>
          <w:tcPr>
            <w:tcW w:w="5245" w:type="dxa"/>
            <w:vAlign w:val="center"/>
          </w:tcPr>
          <w:p w14:paraId="20809986"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Actividades relacionadas</w:t>
            </w:r>
          </w:p>
        </w:tc>
      </w:tr>
      <w:tr w:rsidR="00687AE9" w:rsidRPr="00687AE9" w14:paraId="46293CB8" w14:textId="77777777" w:rsidTr="00CE7124">
        <w:trPr>
          <w:trHeight w:val="891"/>
        </w:trPr>
        <w:tc>
          <w:tcPr>
            <w:tcW w:w="2263" w:type="dxa"/>
            <w:vAlign w:val="center"/>
          </w:tcPr>
          <w:p w14:paraId="73C6149A"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Horas de Estudio Individual (HEI)</w:t>
            </w:r>
          </w:p>
        </w:tc>
        <w:tc>
          <w:tcPr>
            <w:tcW w:w="1276" w:type="dxa"/>
            <w:vAlign w:val="center"/>
          </w:tcPr>
          <w:p w14:paraId="11114858"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2</w:t>
            </w:r>
          </w:p>
        </w:tc>
        <w:tc>
          <w:tcPr>
            <w:tcW w:w="5245" w:type="dxa"/>
          </w:tcPr>
          <w:p w14:paraId="5F11024D" w14:textId="77777777" w:rsidR="00687AE9" w:rsidRPr="00687AE9" w:rsidRDefault="00687AE9" w:rsidP="00687AE9">
            <w:pPr>
              <w:widowControl w:val="0"/>
              <w:numPr>
                <w:ilvl w:val="0"/>
                <w:numId w:val="34"/>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Lectura de los textos (materiales en formato digital).</w:t>
            </w:r>
          </w:p>
          <w:p w14:paraId="2A9235DE" w14:textId="77777777" w:rsidR="00687AE9" w:rsidRPr="00687AE9" w:rsidRDefault="00687AE9" w:rsidP="00687AE9">
            <w:pPr>
              <w:widowControl w:val="0"/>
              <w:numPr>
                <w:ilvl w:val="0"/>
                <w:numId w:val="34"/>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Análisis de lecturas e investigación por cuenta propia.</w:t>
            </w:r>
          </w:p>
        </w:tc>
      </w:tr>
      <w:tr w:rsidR="00687AE9" w:rsidRPr="00687AE9" w14:paraId="45C7A3EF" w14:textId="77777777" w:rsidTr="00CE7124">
        <w:trPr>
          <w:trHeight w:val="1259"/>
        </w:trPr>
        <w:tc>
          <w:tcPr>
            <w:tcW w:w="2263" w:type="dxa"/>
            <w:vAlign w:val="center"/>
          </w:tcPr>
          <w:p w14:paraId="370B4C17"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Horas de Trabajo Colaborativo (HTC)</w:t>
            </w:r>
          </w:p>
        </w:tc>
        <w:tc>
          <w:tcPr>
            <w:tcW w:w="1276" w:type="dxa"/>
            <w:vAlign w:val="center"/>
          </w:tcPr>
          <w:p w14:paraId="4772E1C0"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3</w:t>
            </w:r>
          </w:p>
        </w:tc>
        <w:tc>
          <w:tcPr>
            <w:tcW w:w="5245" w:type="dxa"/>
          </w:tcPr>
          <w:p w14:paraId="1D4B62F6" w14:textId="77777777" w:rsidR="00687AE9" w:rsidRPr="00687AE9" w:rsidRDefault="00687AE9" w:rsidP="00687AE9">
            <w:pPr>
              <w:widowControl w:val="0"/>
              <w:numPr>
                <w:ilvl w:val="0"/>
                <w:numId w:val="35"/>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Participación en los foros temáticos (incluye aportes personales y réplicas a los y las demás estudiantes).</w:t>
            </w:r>
          </w:p>
          <w:p w14:paraId="70203388" w14:textId="77777777" w:rsidR="00687AE9" w:rsidRPr="00687AE9" w:rsidRDefault="00687AE9" w:rsidP="00687AE9">
            <w:pPr>
              <w:widowControl w:val="0"/>
              <w:numPr>
                <w:ilvl w:val="0"/>
                <w:numId w:val="35"/>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Participación en la elaboración de un wiki.</w:t>
            </w:r>
          </w:p>
          <w:p w14:paraId="1E65E324" w14:textId="77777777" w:rsidR="00687AE9" w:rsidRPr="00687AE9" w:rsidRDefault="00687AE9" w:rsidP="00687AE9">
            <w:pPr>
              <w:widowControl w:val="0"/>
              <w:numPr>
                <w:ilvl w:val="0"/>
                <w:numId w:val="35"/>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Participación en los encuentros sincrónicos virtuales.</w:t>
            </w:r>
          </w:p>
        </w:tc>
      </w:tr>
      <w:tr w:rsidR="00687AE9" w:rsidRPr="00687AE9" w14:paraId="76A777FE" w14:textId="77777777" w:rsidTr="00CE7124">
        <w:trPr>
          <w:trHeight w:val="1404"/>
        </w:trPr>
        <w:tc>
          <w:tcPr>
            <w:tcW w:w="2263" w:type="dxa"/>
            <w:vAlign w:val="center"/>
          </w:tcPr>
          <w:p w14:paraId="16E8E915"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Horas de Producción Individual (HPI)</w:t>
            </w:r>
          </w:p>
        </w:tc>
        <w:tc>
          <w:tcPr>
            <w:tcW w:w="1276" w:type="dxa"/>
            <w:vAlign w:val="center"/>
          </w:tcPr>
          <w:p w14:paraId="00429BA1"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4</w:t>
            </w:r>
          </w:p>
        </w:tc>
        <w:tc>
          <w:tcPr>
            <w:tcW w:w="5245" w:type="dxa"/>
          </w:tcPr>
          <w:p w14:paraId="16593087" w14:textId="77777777" w:rsidR="00687AE9" w:rsidRPr="00687AE9" w:rsidRDefault="00687AE9" w:rsidP="00687AE9">
            <w:pPr>
              <w:widowControl w:val="0"/>
              <w:numPr>
                <w:ilvl w:val="0"/>
                <w:numId w:val="36"/>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Elaboración de tareas (sistematización de su propia experiencia pastoral, presentación multimedia, cuadro resumen, reflexión sobre su propia experiencia pastoral, incorporación de elementos para el diseño del proyecto).</w:t>
            </w:r>
          </w:p>
        </w:tc>
      </w:tr>
      <w:tr w:rsidR="00687AE9" w:rsidRPr="00687AE9" w14:paraId="2607B395" w14:textId="77777777" w:rsidTr="00CE7124">
        <w:trPr>
          <w:trHeight w:val="701"/>
        </w:trPr>
        <w:tc>
          <w:tcPr>
            <w:tcW w:w="2263" w:type="dxa"/>
            <w:vAlign w:val="center"/>
          </w:tcPr>
          <w:p w14:paraId="11B34863"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Horas de Práctica (HP)</w:t>
            </w:r>
          </w:p>
        </w:tc>
        <w:tc>
          <w:tcPr>
            <w:tcW w:w="1276" w:type="dxa"/>
            <w:vAlign w:val="center"/>
          </w:tcPr>
          <w:p w14:paraId="25ECC66C" w14:textId="77777777" w:rsidR="00687AE9" w:rsidRPr="00687AE9" w:rsidRDefault="00687AE9" w:rsidP="00687AE9">
            <w:pPr>
              <w:widowControl w:val="0"/>
              <w:overflowPunct w:val="0"/>
              <w:autoSpaceDE w:val="0"/>
              <w:autoSpaceDN w:val="0"/>
              <w:adjustRightInd w:val="0"/>
              <w:jc w:val="center"/>
              <w:rPr>
                <w:rFonts w:eastAsia="Times New Roman" w:cs="Calibri"/>
                <w:bCs/>
                <w:color w:val="000000"/>
                <w:lang w:val="es-CR" w:eastAsia="es-CR"/>
              </w:rPr>
            </w:pPr>
            <w:r w:rsidRPr="00687AE9">
              <w:rPr>
                <w:rFonts w:eastAsia="Times New Roman" w:cs="Calibri"/>
                <w:bCs/>
                <w:color w:val="000000"/>
                <w:lang w:val="es-CR" w:eastAsia="es-CR"/>
              </w:rPr>
              <w:t>3</w:t>
            </w:r>
          </w:p>
        </w:tc>
        <w:tc>
          <w:tcPr>
            <w:tcW w:w="5245" w:type="dxa"/>
          </w:tcPr>
          <w:p w14:paraId="0784E984" w14:textId="77777777" w:rsidR="00687AE9" w:rsidRPr="00687AE9" w:rsidRDefault="00687AE9" w:rsidP="00687AE9">
            <w:pPr>
              <w:widowControl w:val="0"/>
              <w:numPr>
                <w:ilvl w:val="0"/>
                <w:numId w:val="36"/>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Diseño de un proyecto de acción pastoral.</w:t>
            </w:r>
          </w:p>
          <w:p w14:paraId="10FF1CFC" w14:textId="77777777" w:rsidR="00687AE9" w:rsidRPr="00687AE9" w:rsidRDefault="00687AE9" w:rsidP="00687AE9">
            <w:pPr>
              <w:widowControl w:val="0"/>
              <w:numPr>
                <w:ilvl w:val="0"/>
                <w:numId w:val="36"/>
              </w:numPr>
              <w:overflowPunct w:val="0"/>
              <w:autoSpaceDE w:val="0"/>
              <w:autoSpaceDN w:val="0"/>
              <w:adjustRightInd w:val="0"/>
              <w:spacing w:before="120"/>
              <w:contextualSpacing/>
              <w:jc w:val="both"/>
              <w:rPr>
                <w:rFonts w:cs="Calibri"/>
                <w:bCs/>
                <w:color w:val="000000"/>
                <w:lang w:val="es-CR"/>
              </w:rPr>
            </w:pPr>
            <w:r w:rsidRPr="00687AE9">
              <w:rPr>
                <w:rFonts w:cs="Calibri"/>
                <w:bCs/>
                <w:color w:val="000000"/>
                <w:lang w:val="es-CR"/>
              </w:rPr>
              <w:t>Presentación del proyecto de acción pastoral.</w:t>
            </w:r>
          </w:p>
        </w:tc>
      </w:tr>
      <w:tr w:rsidR="00687AE9" w:rsidRPr="00687AE9" w14:paraId="6BC1BD24" w14:textId="77777777" w:rsidTr="00CE7124">
        <w:tc>
          <w:tcPr>
            <w:tcW w:w="2263" w:type="dxa"/>
            <w:vAlign w:val="center"/>
          </w:tcPr>
          <w:p w14:paraId="10813246"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Total de horas (TH)</w:t>
            </w:r>
          </w:p>
        </w:tc>
        <w:tc>
          <w:tcPr>
            <w:tcW w:w="1276" w:type="dxa"/>
          </w:tcPr>
          <w:p w14:paraId="4772646C"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r w:rsidRPr="00687AE9">
              <w:rPr>
                <w:rFonts w:eastAsia="Times New Roman" w:cs="Calibri"/>
                <w:b/>
                <w:bCs/>
                <w:color w:val="000000"/>
                <w:lang w:val="es-CR" w:eastAsia="es-CR"/>
              </w:rPr>
              <w:t>12</w:t>
            </w:r>
          </w:p>
        </w:tc>
        <w:tc>
          <w:tcPr>
            <w:tcW w:w="5245" w:type="dxa"/>
          </w:tcPr>
          <w:p w14:paraId="0A835788" w14:textId="77777777" w:rsidR="00687AE9" w:rsidRPr="00687AE9" w:rsidRDefault="00687AE9" w:rsidP="00687AE9">
            <w:pPr>
              <w:widowControl w:val="0"/>
              <w:overflowPunct w:val="0"/>
              <w:autoSpaceDE w:val="0"/>
              <w:autoSpaceDN w:val="0"/>
              <w:adjustRightInd w:val="0"/>
              <w:jc w:val="center"/>
              <w:rPr>
                <w:rFonts w:eastAsia="Times New Roman" w:cs="Calibri"/>
                <w:b/>
                <w:bCs/>
                <w:color w:val="000000"/>
                <w:lang w:val="es-CR" w:eastAsia="es-CR"/>
              </w:rPr>
            </w:pPr>
          </w:p>
        </w:tc>
      </w:tr>
    </w:tbl>
    <w:p w14:paraId="02820BE3" w14:textId="77777777" w:rsidR="00687AE9" w:rsidRPr="00687AE9" w:rsidRDefault="00687AE9" w:rsidP="00687AE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20EB60A" w14:textId="77777777" w:rsidR="00687AE9" w:rsidRPr="00687AE9" w:rsidRDefault="00687AE9"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196A8EC8" w14:textId="77777777" w:rsidR="00687AE9" w:rsidRPr="00687AE9" w:rsidRDefault="00687AE9" w:rsidP="00687AE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7F43D6A" w14:textId="77777777" w:rsidR="00687AE9" w:rsidRPr="00687AE9" w:rsidRDefault="00687AE9" w:rsidP="00687AE9">
      <w:pPr>
        <w:spacing w:after="0" w:line="240" w:lineRule="auto"/>
        <w:rPr>
          <w:rFonts w:ascii="Calibri" w:eastAsia="Calibri" w:hAnsi="Calibri" w:cs="Arial"/>
          <w:b/>
          <w:bCs/>
          <w:color w:val="000000"/>
          <w:kern w:val="0"/>
          <w14:ligatures w14:val="none"/>
        </w:rPr>
      </w:pPr>
      <w:r w:rsidRPr="00687AE9">
        <w:rPr>
          <w:rFonts w:ascii="Calibri" w:eastAsia="Calibri" w:hAnsi="Calibri" w:cs="Arial"/>
          <w:b/>
          <w:bCs/>
          <w:color w:val="000000"/>
          <w:kern w:val="0"/>
          <w14:ligatures w14:val="none"/>
        </w:rPr>
        <w:br w:type="page"/>
      </w:r>
    </w:p>
    <w:p w14:paraId="5FE4CC2B"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14:ligatures w14:val="none"/>
        </w:rPr>
      </w:pPr>
      <w:r w:rsidRPr="00687AE9">
        <w:rPr>
          <w:rFonts w:ascii="Calibri" w:eastAsia="Calibri" w:hAnsi="Calibri" w:cs="Arial"/>
          <w:b/>
          <w:bCs/>
          <w:color w:val="000000"/>
          <w:kern w:val="0"/>
          <w14:ligatures w14:val="none"/>
        </w:rPr>
        <w:lastRenderedPageBreak/>
        <w:t>X. Evaluación</w:t>
      </w:r>
      <w:r w:rsidRPr="00687AE9">
        <w:rPr>
          <w:rFonts w:ascii="Calibri" w:eastAsia="Calibri" w:hAnsi="Calibri" w:cs="Arial"/>
          <w:b/>
          <w:bCs/>
          <w:color w:val="000000"/>
          <w:kern w:val="0"/>
          <w14:ligatures w14:val="none"/>
        </w:rPr>
        <w:tab/>
      </w:r>
    </w:p>
    <w:p w14:paraId="67798475"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14:ligatures w14:val="none"/>
        </w:rPr>
      </w:pPr>
    </w:p>
    <w:p w14:paraId="3BDB597E" w14:textId="77777777" w:rsidR="00687AE9" w:rsidRPr="00687AE9" w:rsidRDefault="00687AE9" w:rsidP="00687AE9">
      <w:pPr>
        <w:autoSpaceDE w:val="0"/>
        <w:autoSpaceDN w:val="0"/>
        <w:adjustRightInd w:val="0"/>
        <w:spacing w:after="0" w:line="240" w:lineRule="auto"/>
        <w:jc w:val="both"/>
        <w:rPr>
          <w:rFonts w:ascii="Calibri" w:eastAsia="Calibri" w:hAnsi="Calibri" w:cs="Arial"/>
          <w:bCs/>
          <w:color w:val="000000"/>
          <w:kern w:val="0"/>
          <w14:ligatures w14:val="none"/>
        </w:rPr>
      </w:pPr>
      <w:r w:rsidRPr="00687AE9">
        <w:rPr>
          <w:rFonts w:ascii="Calibri" w:eastAsia="Calibri" w:hAnsi="Calibri" w:cs="Arial"/>
          <w:bCs/>
          <w:color w:val="000000"/>
          <w:kern w:val="0"/>
          <w14:ligatures w14:val="none"/>
        </w:rPr>
        <w:t>Al inicio del curso se realiza una tarea sobre la experiencia pastoral de cada estudiante, que servirá a la persona docente para tener una línea basa de la cual partir para medir, durante el desarrollo del curso, el alcance de los propósitos de este. Las tareas y actividades de aprendizaje propuestas en el curso coadyuvarán a realizar la evaluación sobre aquellos aspectos que muestren el crecimiento del estudiante, mediante el uso de escalas y rúbricas diseñadas para tales efectos. La evaluación sumativa se realizará con base en todas las actividades desarrolladas. El curso se aprueba con una nota mínima de 7.00 (siete en escala decimal). Los porcentajes asignados a cada elemento del curso son los siguientes:</w:t>
      </w:r>
    </w:p>
    <w:p w14:paraId="6904FA35" w14:textId="77777777" w:rsidR="00687AE9" w:rsidRPr="00687AE9" w:rsidRDefault="00687AE9" w:rsidP="00687AE9">
      <w:pPr>
        <w:autoSpaceDE w:val="0"/>
        <w:autoSpaceDN w:val="0"/>
        <w:adjustRightInd w:val="0"/>
        <w:spacing w:after="0" w:line="240" w:lineRule="auto"/>
        <w:jc w:val="both"/>
        <w:rPr>
          <w:rFonts w:ascii="Calibri" w:eastAsia="Calibri" w:hAnsi="Calibri" w:cs="Arial"/>
          <w:bCs/>
          <w:color w:val="000000"/>
          <w:kern w:val="0"/>
          <w14:ligatures w14:val="none"/>
        </w:rPr>
      </w:pPr>
    </w:p>
    <w:p w14:paraId="7EFFAF5F" w14:textId="77777777" w:rsidR="00687AE9" w:rsidRPr="00687AE9" w:rsidRDefault="00687AE9" w:rsidP="00687AE9">
      <w:pPr>
        <w:autoSpaceDE w:val="0"/>
        <w:autoSpaceDN w:val="0"/>
        <w:adjustRightInd w:val="0"/>
        <w:spacing w:after="0" w:line="240" w:lineRule="auto"/>
        <w:jc w:val="both"/>
        <w:rPr>
          <w:rFonts w:ascii="Calibri" w:eastAsia="Calibri" w:hAnsi="Calibri" w:cs="Arial"/>
          <w:bCs/>
          <w:color w:val="000000"/>
          <w:kern w:val="0"/>
          <w14:ligatures w14:val="none"/>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5"/>
        <w:gridCol w:w="1203"/>
      </w:tblGrid>
      <w:tr w:rsidR="00687AE9" w:rsidRPr="00687AE9" w14:paraId="0B868A31" w14:textId="77777777" w:rsidTr="00CE7124">
        <w:tc>
          <w:tcPr>
            <w:tcW w:w="8578" w:type="dxa"/>
            <w:gridSpan w:val="2"/>
          </w:tcPr>
          <w:p w14:paraId="31F7D3D6"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687AE9">
              <w:rPr>
                <w:rFonts w:ascii="Calibri" w:eastAsia="Times New Roman" w:hAnsi="Calibri" w:cs="Arial"/>
                <w:b/>
                <w:color w:val="000000"/>
                <w:kern w:val="0"/>
                <w:lang w:val="es-ES" w:eastAsia="es-CR"/>
                <w14:ligatures w14:val="none"/>
              </w:rPr>
              <w:t>Síntesis cuantitativa de la evaluación</w:t>
            </w:r>
          </w:p>
        </w:tc>
      </w:tr>
      <w:tr w:rsidR="00687AE9" w:rsidRPr="00687AE9" w14:paraId="0DBE69CE" w14:textId="77777777" w:rsidTr="00CE7124">
        <w:tc>
          <w:tcPr>
            <w:tcW w:w="7375" w:type="dxa"/>
            <w:vAlign w:val="center"/>
          </w:tcPr>
          <w:p w14:paraId="43703E49"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687AE9">
              <w:rPr>
                <w:rFonts w:ascii="Calibri" w:eastAsia="Times New Roman" w:hAnsi="Calibri" w:cs="Arial"/>
                <w:b/>
                <w:color w:val="000000"/>
                <w:kern w:val="0"/>
                <w:lang w:val="es-ES" w:eastAsia="es-CR"/>
                <w14:ligatures w14:val="none"/>
              </w:rPr>
              <w:t>Rubros para evaluar</w:t>
            </w:r>
          </w:p>
        </w:tc>
        <w:tc>
          <w:tcPr>
            <w:tcW w:w="1203" w:type="dxa"/>
          </w:tcPr>
          <w:p w14:paraId="4412511C"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687AE9">
              <w:rPr>
                <w:rFonts w:ascii="Calibri" w:eastAsia="Times New Roman" w:hAnsi="Calibri" w:cs="Arial"/>
                <w:b/>
                <w:color w:val="000000"/>
                <w:kern w:val="0"/>
                <w:lang w:val="es-ES" w:eastAsia="es-CR"/>
                <w14:ligatures w14:val="none"/>
              </w:rPr>
              <w:t>Porcentaje total</w:t>
            </w:r>
          </w:p>
        </w:tc>
      </w:tr>
      <w:tr w:rsidR="00687AE9" w:rsidRPr="00687AE9" w14:paraId="23DA873E" w14:textId="77777777" w:rsidTr="00CE7124">
        <w:tc>
          <w:tcPr>
            <w:tcW w:w="7375" w:type="dxa"/>
            <w:vAlign w:val="center"/>
          </w:tcPr>
          <w:p w14:paraId="5CEDB403"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i/>
                <w:iCs/>
                <w:color w:val="000000"/>
                <w:kern w:val="0"/>
                <w:lang w:val="es-ES" w:eastAsia="es-CR"/>
                <w14:ligatures w14:val="none"/>
              </w:rPr>
            </w:pPr>
            <w:r w:rsidRPr="00687AE9">
              <w:rPr>
                <w:rFonts w:ascii="Calibri" w:eastAsia="Times New Roman" w:hAnsi="Calibri" w:cs="Arial"/>
                <w:b/>
                <w:i/>
                <w:iCs/>
                <w:color w:val="000000"/>
                <w:kern w:val="0"/>
                <w:lang w:val="es-ES" w:eastAsia="es-CR"/>
                <w14:ligatures w14:val="none"/>
              </w:rPr>
              <w:t>Encuentros sincrónicos virtuales</w:t>
            </w:r>
          </w:p>
          <w:p w14:paraId="261FCF6D"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Cs/>
                <w:color w:val="000000"/>
                <w:kern w:val="0"/>
                <w:lang w:val="es-ES" w:eastAsia="es-CR"/>
                <w14:ligatures w14:val="none"/>
              </w:rPr>
            </w:pPr>
            <w:r w:rsidRPr="00687AE9">
              <w:rPr>
                <w:rFonts w:ascii="Calibri" w:eastAsia="Times New Roman" w:hAnsi="Calibri" w:cs="Arial"/>
                <w:bCs/>
                <w:color w:val="000000"/>
                <w:kern w:val="0"/>
                <w:lang w:val="es-ES" w:eastAsia="es-CR"/>
                <w14:ligatures w14:val="none"/>
              </w:rPr>
              <w:t xml:space="preserve">Se llevan a cabo en las sesiones 2, 3, 5, 6, 7, 8, 9, 10 y 11. Tienen un valor formativo y no sumativo. </w:t>
            </w:r>
          </w:p>
        </w:tc>
        <w:tc>
          <w:tcPr>
            <w:tcW w:w="1203" w:type="dxa"/>
            <w:vAlign w:val="center"/>
          </w:tcPr>
          <w:p w14:paraId="2D655780"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bCs/>
                <w:color w:val="000000"/>
                <w:kern w:val="0"/>
                <w:lang w:val="es-ES" w:eastAsia="es-CR"/>
                <w14:ligatures w14:val="none"/>
              </w:rPr>
            </w:pPr>
            <w:r w:rsidRPr="00687AE9">
              <w:rPr>
                <w:rFonts w:ascii="Calibri" w:eastAsia="Times New Roman" w:hAnsi="Calibri" w:cs="Calibri"/>
                <w:bCs/>
                <w:color w:val="000000"/>
                <w:kern w:val="0"/>
                <w:lang w:val="es-ES" w:eastAsia="es-CR"/>
                <w14:ligatures w14:val="none"/>
              </w:rPr>
              <w:t>̶</w:t>
            </w:r>
          </w:p>
        </w:tc>
      </w:tr>
      <w:tr w:rsidR="00687AE9" w:rsidRPr="00687AE9" w14:paraId="66502E6D" w14:textId="77777777" w:rsidTr="00CE7124">
        <w:tc>
          <w:tcPr>
            <w:tcW w:w="7375" w:type="dxa"/>
            <w:vAlign w:val="center"/>
          </w:tcPr>
          <w:p w14:paraId="118322C7"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i/>
                <w:iCs/>
                <w:color w:val="0070C0"/>
                <w:kern w:val="0"/>
                <w:lang w:val="es-ES" w:eastAsia="es-CR"/>
                <w14:ligatures w14:val="none"/>
              </w:rPr>
            </w:pPr>
            <w:r w:rsidRPr="00687AE9">
              <w:rPr>
                <w:rFonts w:ascii="Calibri" w:eastAsia="Times New Roman" w:hAnsi="Calibri" w:cs="Arial"/>
                <w:b/>
                <w:i/>
                <w:iCs/>
                <w:color w:val="0070C0"/>
                <w:kern w:val="0"/>
                <w:lang w:val="es-ES" w:eastAsia="es-CR"/>
                <w14:ligatures w14:val="none"/>
              </w:rPr>
              <w:t>Foros temáticos</w:t>
            </w:r>
          </w:p>
          <w:p w14:paraId="6ED9EA2E"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Cs/>
                <w:color w:val="000000"/>
                <w:kern w:val="0"/>
                <w:lang w:val="es-ES" w:eastAsia="es-CR"/>
                <w14:ligatures w14:val="none"/>
              </w:rPr>
            </w:pPr>
            <w:r w:rsidRPr="00687AE9">
              <w:rPr>
                <w:rFonts w:ascii="Calibri" w:eastAsia="Times New Roman" w:hAnsi="Calibri" w:cs="Arial"/>
                <w:color w:val="0070C0"/>
                <w:kern w:val="0"/>
                <w:lang w:val="es-ES" w:eastAsia="es-CR"/>
                <w14:ligatures w14:val="none"/>
              </w:rPr>
              <w:t>Se desarrollan en las sesiones 3, 4, 5, 6, 7, 8 y 10. Cada foro tiene un valor de 1%.</w:t>
            </w:r>
          </w:p>
        </w:tc>
        <w:tc>
          <w:tcPr>
            <w:tcW w:w="1203" w:type="dxa"/>
            <w:vAlign w:val="center"/>
          </w:tcPr>
          <w:p w14:paraId="38F9E843"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Calibri"/>
                <w:bCs/>
                <w:color w:val="000000"/>
                <w:kern w:val="0"/>
                <w:lang w:val="es-ES" w:eastAsia="es-CR"/>
                <w14:ligatures w14:val="none"/>
              </w:rPr>
            </w:pPr>
            <w:r w:rsidRPr="00687AE9">
              <w:rPr>
                <w:rFonts w:ascii="Calibri" w:eastAsia="Times New Roman" w:hAnsi="Calibri" w:cs="Calibri"/>
                <w:bCs/>
                <w:color w:val="0070C0"/>
                <w:kern w:val="0"/>
                <w:lang w:val="es-ES" w:eastAsia="es-CR"/>
                <w14:ligatures w14:val="none"/>
              </w:rPr>
              <w:t>7%</w:t>
            </w:r>
          </w:p>
        </w:tc>
      </w:tr>
      <w:tr w:rsidR="00687AE9" w:rsidRPr="00687AE9" w14:paraId="1D281F53" w14:textId="77777777" w:rsidTr="00CE7124">
        <w:tc>
          <w:tcPr>
            <w:tcW w:w="7375" w:type="dxa"/>
            <w:vAlign w:val="center"/>
          </w:tcPr>
          <w:p w14:paraId="2D11EE81"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i/>
                <w:iCs/>
                <w:color w:val="0070C0"/>
                <w:kern w:val="0"/>
                <w:lang w:val="es-ES" w:eastAsia="es-CR"/>
                <w14:ligatures w14:val="none"/>
              </w:rPr>
            </w:pPr>
            <w:r w:rsidRPr="00687AE9">
              <w:rPr>
                <w:rFonts w:ascii="Calibri" w:eastAsia="Times New Roman" w:hAnsi="Calibri" w:cs="Arial"/>
                <w:b/>
                <w:i/>
                <w:iCs/>
                <w:color w:val="0070C0"/>
                <w:kern w:val="0"/>
                <w:lang w:val="es-ES" w:eastAsia="es-CR"/>
                <w14:ligatures w14:val="none"/>
              </w:rPr>
              <w:t>Wiki</w:t>
            </w:r>
          </w:p>
          <w:p w14:paraId="23F79BB7"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i/>
                <w:iCs/>
                <w:color w:val="000000"/>
                <w:kern w:val="0"/>
                <w:lang w:val="es-ES" w:eastAsia="es-CR"/>
                <w14:ligatures w14:val="none"/>
              </w:rPr>
            </w:pPr>
            <w:r w:rsidRPr="00687AE9">
              <w:rPr>
                <w:rFonts w:ascii="Calibri" w:eastAsia="Times New Roman" w:hAnsi="Calibri" w:cs="Arial"/>
                <w:color w:val="0070C0"/>
                <w:kern w:val="0"/>
                <w:lang w:val="es-ES" w:eastAsia="es-CR"/>
                <w14:ligatures w14:val="none"/>
              </w:rPr>
              <w:t>Se desarrolla en la sesión 9.</w:t>
            </w:r>
          </w:p>
        </w:tc>
        <w:tc>
          <w:tcPr>
            <w:tcW w:w="1203" w:type="dxa"/>
            <w:vAlign w:val="center"/>
          </w:tcPr>
          <w:p w14:paraId="6D1D6E94"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Calibri"/>
                <w:bCs/>
                <w:color w:val="000000"/>
                <w:kern w:val="0"/>
                <w:lang w:val="es-ES" w:eastAsia="es-CR"/>
                <w14:ligatures w14:val="none"/>
              </w:rPr>
            </w:pPr>
            <w:r w:rsidRPr="00687AE9">
              <w:rPr>
                <w:rFonts w:ascii="Calibri" w:eastAsia="Times New Roman" w:hAnsi="Calibri" w:cs="Calibri"/>
                <w:bCs/>
                <w:color w:val="0070C0"/>
                <w:kern w:val="0"/>
                <w:lang w:val="es-ES" w:eastAsia="es-CR"/>
                <w14:ligatures w14:val="none"/>
              </w:rPr>
              <w:t>3%</w:t>
            </w:r>
          </w:p>
        </w:tc>
      </w:tr>
      <w:tr w:rsidR="00687AE9" w:rsidRPr="00687AE9" w14:paraId="23311B8B" w14:textId="77777777" w:rsidTr="00CE7124">
        <w:tc>
          <w:tcPr>
            <w:tcW w:w="7375" w:type="dxa"/>
          </w:tcPr>
          <w:p w14:paraId="27467ADC"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
                <w:i/>
                <w:color w:val="000000"/>
                <w:kern w:val="0"/>
                <w:lang w:val="es-ES" w:eastAsia="es-CR"/>
                <w14:ligatures w14:val="none"/>
              </w:rPr>
            </w:pPr>
            <w:r w:rsidRPr="00687AE9">
              <w:rPr>
                <w:rFonts w:ascii="Calibri" w:eastAsia="Times New Roman" w:hAnsi="Calibri" w:cs="Arial"/>
                <w:b/>
                <w:i/>
                <w:color w:val="000000"/>
                <w:kern w:val="0"/>
                <w:lang w:val="es-ES" w:eastAsia="es-CR"/>
                <w14:ligatures w14:val="none"/>
              </w:rPr>
              <w:t>Tareas</w:t>
            </w:r>
          </w:p>
          <w:p w14:paraId="55E41D3E"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Se elaboran un total de 8 tareas, las cuales tiene un valor de 3,75% cada una y se distribuyen de la siguiente forma:</w:t>
            </w:r>
          </w:p>
          <w:p w14:paraId="2B42ACC4"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xml:space="preserve">- Sistematización de su propia experiencia pastoral (sesión2). </w:t>
            </w:r>
          </w:p>
          <w:p w14:paraId="37EA9B7E"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xml:space="preserve">- Presentación multimedia (sesiones 3 y 4). </w:t>
            </w:r>
          </w:p>
          <w:p w14:paraId="3E5C04C5"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Cuadro resumen (sesión 5).</w:t>
            </w:r>
          </w:p>
          <w:p w14:paraId="6B2FC4CB"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Esquema (sesión 7).</w:t>
            </w:r>
          </w:p>
          <w:p w14:paraId="229D87AC"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Reflexión sobre su propia experiencia pastoral (sesión 10).</w:t>
            </w:r>
          </w:p>
          <w:p w14:paraId="106AA8EE"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 Incorporación de elementos para el diseño del proyecto (sesiones 11, 12 y 13).</w:t>
            </w:r>
          </w:p>
        </w:tc>
        <w:tc>
          <w:tcPr>
            <w:tcW w:w="1203" w:type="dxa"/>
            <w:vAlign w:val="center"/>
          </w:tcPr>
          <w:p w14:paraId="66DF64F6"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30%</w:t>
            </w:r>
          </w:p>
        </w:tc>
      </w:tr>
      <w:tr w:rsidR="00687AE9" w:rsidRPr="00687AE9" w14:paraId="34F82E8F" w14:textId="77777777" w:rsidTr="00CE7124">
        <w:tc>
          <w:tcPr>
            <w:tcW w:w="7375" w:type="dxa"/>
          </w:tcPr>
          <w:p w14:paraId="2DFA65BC"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
                <w:i/>
                <w:color w:val="000000"/>
                <w:kern w:val="0"/>
                <w:lang w:val="es-ES" w:eastAsia="es-CR"/>
                <w14:ligatures w14:val="none"/>
              </w:rPr>
            </w:pPr>
            <w:r w:rsidRPr="00687AE9">
              <w:rPr>
                <w:rFonts w:ascii="Calibri" w:eastAsia="Times New Roman" w:hAnsi="Calibri" w:cs="Arial"/>
                <w:b/>
                <w:i/>
                <w:color w:val="000000"/>
                <w:kern w:val="0"/>
                <w:lang w:val="es-ES" w:eastAsia="es-CR"/>
                <w14:ligatures w14:val="none"/>
              </w:rPr>
              <w:t>Diseño del proyecto de acción pastoral</w:t>
            </w:r>
          </w:p>
          <w:p w14:paraId="7A1DA6A6"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Cs/>
                <w:iCs/>
                <w:color w:val="000000"/>
                <w:kern w:val="0"/>
                <w:lang w:val="es-ES" w:eastAsia="es-CR"/>
                <w14:ligatures w14:val="none"/>
              </w:rPr>
            </w:pPr>
            <w:r w:rsidRPr="00687AE9">
              <w:rPr>
                <w:rFonts w:ascii="Calibri" w:eastAsia="Times New Roman" w:hAnsi="Calibri" w:cs="Arial"/>
                <w:bCs/>
                <w:iCs/>
                <w:color w:val="000000"/>
                <w:kern w:val="0"/>
                <w:lang w:val="es-ES" w:eastAsia="es-CR"/>
                <w14:ligatures w14:val="none"/>
              </w:rPr>
              <w:t xml:space="preserve">Se elabora durante las sesiones 11, 12 y 13. </w:t>
            </w:r>
          </w:p>
        </w:tc>
        <w:tc>
          <w:tcPr>
            <w:tcW w:w="1203" w:type="dxa"/>
            <w:vAlign w:val="center"/>
          </w:tcPr>
          <w:p w14:paraId="5E8F27D6"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40%</w:t>
            </w:r>
          </w:p>
        </w:tc>
      </w:tr>
      <w:tr w:rsidR="00687AE9" w:rsidRPr="00687AE9" w14:paraId="0E21E76D" w14:textId="77777777" w:rsidTr="00CE7124">
        <w:tc>
          <w:tcPr>
            <w:tcW w:w="7375" w:type="dxa"/>
          </w:tcPr>
          <w:p w14:paraId="301EFA6B"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
                <w:i/>
                <w:color w:val="000000"/>
                <w:kern w:val="0"/>
                <w:lang w:val="es-ES" w:eastAsia="es-CR"/>
                <w14:ligatures w14:val="none"/>
              </w:rPr>
            </w:pPr>
            <w:r w:rsidRPr="00687AE9">
              <w:rPr>
                <w:rFonts w:ascii="Calibri" w:eastAsia="Times New Roman" w:hAnsi="Calibri" w:cs="Arial"/>
                <w:b/>
                <w:i/>
                <w:color w:val="000000"/>
                <w:kern w:val="0"/>
                <w:lang w:val="es-ES" w:eastAsia="es-CR"/>
                <w14:ligatures w14:val="none"/>
              </w:rPr>
              <w:t>Presentación del proyecto de acción pastoral</w:t>
            </w:r>
          </w:p>
          <w:p w14:paraId="2F79A5E0" w14:textId="77777777" w:rsidR="00687AE9" w:rsidRPr="00687AE9" w:rsidRDefault="00687AE9" w:rsidP="00687AE9">
            <w:pPr>
              <w:overflowPunct w:val="0"/>
              <w:autoSpaceDE w:val="0"/>
              <w:autoSpaceDN w:val="0"/>
              <w:adjustRightInd w:val="0"/>
              <w:spacing w:after="0" w:line="240" w:lineRule="auto"/>
              <w:jc w:val="both"/>
              <w:outlineLvl w:val="0"/>
              <w:rPr>
                <w:rFonts w:ascii="Calibri" w:eastAsia="Times New Roman" w:hAnsi="Calibri" w:cs="Arial"/>
                <w:b/>
                <w:i/>
                <w:color w:val="000000"/>
                <w:kern w:val="0"/>
                <w:lang w:val="es-ES" w:eastAsia="es-CR"/>
                <w14:ligatures w14:val="none"/>
              </w:rPr>
            </w:pPr>
            <w:r w:rsidRPr="00687AE9">
              <w:rPr>
                <w:rFonts w:ascii="Calibri" w:eastAsia="Times New Roman" w:hAnsi="Calibri" w:cs="Arial"/>
                <w:bCs/>
                <w:iCs/>
                <w:color w:val="000000"/>
                <w:kern w:val="0"/>
                <w:lang w:val="es-ES" w:eastAsia="es-CR"/>
                <w14:ligatures w14:val="none"/>
              </w:rPr>
              <w:t>Se lleva a cabo en las sesiones 14 y 15 según asignación docente.</w:t>
            </w:r>
          </w:p>
        </w:tc>
        <w:tc>
          <w:tcPr>
            <w:tcW w:w="1203" w:type="dxa"/>
            <w:vAlign w:val="center"/>
          </w:tcPr>
          <w:p w14:paraId="68DD5565"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687AE9">
              <w:rPr>
                <w:rFonts w:ascii="Calibri" w:eastAsia="Times New Roman" w:hAnsi="Calibri" w:cs="Arial"/>
                <w:color w:val="000000"/>
                <w:kern w:val="0"/>
                <w:lang w:val="es-ES" w:eastAsia="es-CR"/>
                <w14:ligatures w14:val="none"/>
              </w:rPr>
              <w:t>20%</w:t>
            </w:r>
          </w:p>
        </w:tc>
      </w:tr>
      <w:tr w:rsidR="00687AE9" w:rsidRPr="00687AE9" w14:paraId="3C5A2A06" w14:textId="77777777" w:rsidTr="00CE7124">
        <w:tc>
          <w:tcPr>
            <w:tcW w:w="7375" w:type="dxa"/>
          </w:tcPr>
          <w:p w14:paraId="45B7EB02" w14:textId="77777777" w:rsidR="00687AE9" w:rsidRPr="00687AE9" w:rsidRDefault="00687AE9" w:rsidP="00687AE9">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687AE9">
              <w:rPr>
                <w:rFonts w:ascii="Calibri" w:eastAsia="Times New Roman" w:hAnsi="Calibri" w:cs="Arial"/>
                <w:b/>
                <w:color w:val="000000"/>
                <w:kern w:val="0"/>
                <w:lang w:val="es-ES" w:eastAsia="es-CR"/>
                <w14:ligatures w14:val="none"/>
              </w:rPr>
              <w:t>Total</w:t>
            </w:r>
          </w:p>
        </w:tc>
        <w:tc>
          <w:tcPr>
            <w:tcW w:w="1203" w:type="dxa"/>
          </w:tcPr>
          <w:p w14:paraId="3BBF7E39" w14:textId="77777777" w:rsidR="00687AE9" w:rsidRPr="00687AE9" w:rsidRDefault="00687AE9" w:rsidP="00687AE9">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687AE9">
              <w:rPr>
                <w:rFonts w:ascii="Calibri" w:eastAsia="Times New Roman" w:hAnsi="Calibri" w:cs="Arial"/>
                <w:b/>
                <w:color w:val="000000"/>
                <w:kern w:val="0"/>
                <w:lang w:val="es-ES" w:eastAsia="es-CR"/>
                <w14:ligatures w14:val="none"/>
              </w:rPr>
              <w:t>100%</w:t>
            </w:r>
          </w:p>
        </w:tc>
      </w:tr>
    </w:tbl>
    <w:p w14:paraId="6A0AEF6F" w14:textId="77777777" w:rsidR="00687AE9" w:rsidRPr="00687AE9" w:rsidRDefault="00687AE9" w:rsidP="00687AE9">
      <w:pPr>
        <w:autoSpaceDE w:val="0"/>
        <w:autoSpaceDN w:val="0"/>
        <w:adjustRightInd w:val="0"/>
        <w:spacing w:after="0" w:line="240" w:lineRule="auto"/>
        <w:jc w:val="both"/>
        <w:rPr>
          <w:rFonts w:ascii="Calibri" w:eastAsia="Times New Roman" w:hAnsi="Calibri" w:cs="Arial"/>
          <w:b/>
          <w:color w:val="000000"/>
          <w:spacing w:val="-2"/>
          <w:kern w:val="28"/>
          <w:lang w:eastAsia="es-CR"/>
          <w14:ligatures w14:val="none"/>
        </w:rPr>
      </w:pPr>
    </w:p>
    <w:p w14:paraId="40906B90"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lang w:eastAsia="es-CR"/>
          <w14:ligatures w14:val="none"/>
        </w:rPr>
      </w:pPr>
    </w:p>
    <w:p w14:paraId="7F7B3EE9"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lang w:eastAsia="es-CR"/>
          <w14:ligatures w14:val="none"/>
        </w:rPr>
      </w:pPr>
    </w:p>
    <w:p w14:paraId="36297B6A" w14:textId="77777777" w:rsidR="00687AE9" w:rsidRPr="00687AE9" w:rsidRDefault="00687AE9" w:rsidP="00687AE9">
      <w:pPr>
        <w:autoSpaceDE w:val="0"/>
        <w:autoSpaceDN w:val="0"/>
        <w:adjustRightInd w:val="0"/>
        <w:spacing w:after="0" w:line="240" w:lineRule="auto"/>
        <w:jc w:val="both"/>
        <w:rPr>
          <w:rFonts w:ascii="Calibri" w:eastAsia="Calibri" w:hAnsi="Calibri" w:cs="Arial"/>
          <w:b/>
          <w:bCs/>
          <w:color w:val="000000"/>
          <w:kern w:val="0"/>
          <w:lang w:eastAsia="es-CR"/>
          <w14:ligatures w14:val="none"/>
        </w:rPr>
      </w:pPr>
    </w:p>
    <w:p w14:paraId="70705444" w14:textId="77777777" w:rsidR="00687AE9" w:rsidRPr="00687AE9" w:rsidRDefault="00687AE9" w:rsidP="00687AE9">
      <w:pPr>
        <w:rPr>
          <w:rFonts w:ascii="Calibri" w:eastAsia="Calibri" w:hAnsi="Calibri" w:cs="Arial"/>
          <w:b/>
          <w:bCs/>
          <w:color w:val="000000"/>
          <w:kern w:val="0"/>
          <w:lang w:eastAsia="es-CR"/>
          <w14:ligatures w14:val="none"/>
        </w:rPr>
      </w:pPr>
      <w:r w:rsidRPr="00687AE9">
        <w:rPr>
          <w:rFonts w:ascii="Calibri" w:eastAsia="Calibri" w:hAnsi="Calibri" w:cs="Arial"/>
          <w:b/>
          <w:bCs/>
          <w:color w:val="000000"/>
          <w:kern w:val="0"/>
          <w:lang w:eastAsia="es-CR"/>
          <w14:ligatures w14:val="none"/>
        </w:rPr>
        <w:br w:type="page"/>
      </w:r>
    </w:p>
    <w:p w14:paraId="205DAED7"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sectPr w:rsidR="00687AE9" w:rsidRPr="00687AE9" w:rsidSect="005C1895">
          <w:headerReference w:type="default" r:id="rId304"/>
          <w:pgSz w:w="12240" w:h="15840"/>
          <w:pgMar w:top="1417" w:right="1701" w:bottom="1417" w:left="1701" w:header="708" w:footer="708" w:gutter="0"/>
          <w:cols w:space="708"/>
          <w:docGrid w:linePitch="360"/>
        </w:sectPr>
      </w:pPr>
    </w:p>
    <w:p w14:paraId="45092494"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lang w:val="es-ES_tradnl"/>
          <w14:ligatures w14:val="none"/>
        </w:rPr>
      </w:pPr>
      <w:r w:rsidRPr="00687AE9">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406784" behindDoc="0" locked="0" layoutInCell="1" allowOverlap="1" wp14:anchorId="2437322F" wp14:editId="748D05C5">
                <wp:simplePos x="0" y="0"/>
                <wp:positionH relativeFrom="margin">
                  <wp:align>center</wp:align>
                </wp:positionH>
                <wp:positionV relativeFrom="paragraph">
                  <wp:posOffset>-302577</wp:posOffset>
                </wp:positionV>
                <wp:extent cx="7879080" cy="423862"/>
                <wp:effectExtent l="0" t="0" r="26670" b="14605"/>
                <wp:wrapNone/>
                <wp:docPr id="371705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3862"/>
                        </a:xfrm>
                        <a:prstGeom prst="rect">
                          <a:avLst/>
                        </a:prstGeom>
                        <a:solidFill>
                          <a:srgbClr val="FFFFFF"/>
                        </a:solidFill>
                        <a:ln w="9525">
                          <a:solidFill>
                            <a:srgbClr val="000000"/>
                          </a:solidFill>
                          <a:miter lim="800000"/>
                          <a:headEnd/>
                          <a:tailEnd/>
                        </a:ln>
                      </wps:spPr>
                      <wps:txbx>
                        <w:txbxContent>
                          <w:p w14:paraId="28BE08E5" w14:textId="77777777" w:rsidR="00687AE9" w:rsidRPr="00687AE9" w:rsidRDefault="00687AE9" w:rsidP="00687AE9">
                            <w:pPr>
                              <w:jc w:val="center"/>
                              <w:rPr>
                                <w:rFonts w:cs="Calibri"/>
                                <w:b/>
                                <w:szCs w:val="24"/>
                              </w:rPr>
                            </w:pPr>
                            <w:r w:rsidRPr="00687AE9">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37322F" id="_x0000_s1149" type="#_x0000_t202" style="position:absolute;left:0;text-align:left;margin-left:0;margin-top:-23.8pt;width:620.4pt;height:33.35pt;z-index:2524067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">
                <v:textbox>
                  <w:txbxContent>
                    <w:p w14:paraId="28BE08E5" w14:textId="77777777" w:rsidR="00687AE9" w:rsidRPr="00687AE9" w:rsidRDefault="00687AE9" w:rsidP="00687AE9">
                      <w:pPr>
                        <w:jc w:val="center"/>
                        <w:rPr>
                          <w:rFonts w:cs="Calibri"/>
                          <w:b/>
                          <w:szCs w:val="24"/>
                        </w:rPr>
                      </w:pPr>
                      <w:r w:rsidRPr="00687AE9">
                        <w:rPr>
                          <w:rFonts w:cs="Calibri"/>
                          <w:b/>
                          <w:szCs w:val="24"/>
                        </w:rPr>
                        <w:t>RÚBRICA DE EVALUACIÓN – FORO TEMÁTICO</w:t>
                      </w:r>
                    </w:p>
                  </w:txbxContent>
                </v:textbox>
                <w10:wrap anchorx="margin"/>
              </v:shape>
            </w:pict>
          </mc:Fallback>
        </mc:AlternateContent>
      </w:r>
    </w:p>
    <w:p w14:paraId="0ACD1DA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Un foro es una herramienta virtual asincrónica que constituye un escenario virtual de debate sobre un tema particular, que permite el intercambio de los aportes propios y la réplica a los aportes de otras personas compañeras. Se desarrollan en las sesiones 3, 4, 5, 6, 7, 8 y 10. Cada foro tiene un valor de 1%.</w:t>
      </w:r>
    </w:p>
    <w:p w14:paraId="79F6777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b/>
          <w:bCs/>
          <w:noProof/>
          <w:kern w:val="0"/>
          <w14:ligatures w14:val="none"/>
        </w:rPr>
        <w:drawing>
          <wp:anchor distT="0" distB="0" distL="114300" distR="114300" simplePos="0" relativeHeight="252407808" behindDoc="0" locked="0" layoutInCell="1" allowOverlap="1" wp14:anchorId="61234875" wp14:editId="219F8DF1">
            <wp:simplePos x="0" y="0"/>
            <wp:positionH relativeFrom="margin">
              <wp:align>center</wp:align>
            </wp:positionH>
            <wp:positionV relativeFrom="paragraph">
              <wp:posOffset>74612</wp:posOffset>
            </wp:positionV>
            <wp:extent cx="8120062" cy="5916367"/>
            <wp:effectExtent l="0" t="0" r="0" b="8255"/>
            <wp:wrapNone/>
            <wp:docPr id="97127838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78380" name="Imagen 1" descr="Tabla&#10;&#10;Descripción generada automáticamente"/>
                    <pic:cNvPicPr/>
                  </pic:nvPicPr>
                  <pic:blipFill>
                    <a:blip r:embed="rId305">
                      <a:extLst>
                        <a:ext uri="{28A0092B-C50C-407E-A947-70E740481C1C}">
                          <a14:useLocalDpi xmlns:a14="http://schemas.microsoft.com/office/drawing/2010/main" val="0"/>
                        </a:ext>
                      </a:extLst>
                    </a:blip>
                    <a:stretch>
                      <a:fillRect/>
                    </a:stretch>
                  </pic:blipFill>
                  <pic:spPr>
                    <a:xfrm>
                      <a:off x="0" y="0"/>
                      <a:ext cx="8120062" cy="5916367"/>
                    </a:xfrm>
                    <a:prstGeom prst="rect">
                      <a:avLst/>
                    </a:prstGeom>
                  </pic:spPr>
                </pic:pic>
              </a:graphicData>
            </a:graphic>
            <wp14:sizeRelH relativeFrom="margin">
              <wp14:pctWidth>0</wp14:pctWidth>
            </wp14:sizeRelH>
            <wp14:sizeRelV relativeFrom="margin">
              <wp14:pctHeight>0</wp14:pctHeight>
            </wp14:sizeRelV>
          </wp:anchor>
        </w:drawing>
      </w:r>
    </w:p>
    <w:p w14:paraId="7F52D39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b/>
          <w:bCs/>
          <w:kern w:val="0"/>
          <w14:ligatures w14:val="none"/>
        </w:rPr>
      </w:pPr>
    </w:p>
    <w:p w14:paraId="278D531B"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pPr>
      <w:r w:rsidRPr="00687AE9">
        <w:rPr>
          <w:rFonts w:ascii="Calibri" w:eastAsia="Calibri" w:hAnsi="Calibri" w:cs="Calibri"/>
          <w:b/>
          <w:bCs/>
          <w:kern w:val="0"/>
          <w14:ligatures w14:val="none"/>
        </w:rPr>
        <w:br w:type="page"/>
      </w:r>
    </w:p>
    <w:p w14:paraId="73B9EC47"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lang w:val="es-ES_tradnl"/>
          <w14:ligatures w14:val="none"/>
        </w:rPr>
      </w:pPr>
      <w:r w:rsidRPr="00687AE9">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408832" behindDoc="0" locked="0" layoutInCell="1" allowOverlap="1" wp14:anchorId="01151D70" wp14:editId="2216FEB9">
                <wp:simplePos x="0" y="0"/>
                <wp:positionH relativeFrom="margin">
                  <wp:align>center</wp:align>
                </wp:positionH>
                <wp:positionV relativeFrom="paragraph">
                  <wp:posOffset>-281622</wp:posOffset>
                </wp:positionV>
                <wp:extent cx="7025640" cy="335280"/>
                <wp:effectExtent l="0" t="0" r="22860" b="26670"/>
                <wp:wrapNone/>
                <wp:docPr id="969804558" name="Cuadro de texto 969804558"/>
                <wp:cNvGraphicFramePr/>
                <a:graphic xmlns:a="http://schemas.openxmlformats.org/drawingml/2006/main">
                  <a:graphicData uri="http://schemas.microsoft.com/office/word/2010/wordprocessingShape">
                    <wps:wsp>
                      <wps:cNvSpPr txBox="1"/>
                      <wps:spPr>
                        <a:xfrm>
                          <a:off x="0" y="0"/>
                          <a:ext cx="7025640" cy="335280"/>
                        </a:xfrm>
                        <a:prstGeom prst="rect">
                          <a:avLst/>
                        </a:prstGeom>
                        <a:solidFill>
                          <a:sysClr val="window" lastClr="FFFFFF"/>
                        </a:solidFill>
                        <a:ln w="6350">
                          <a:solidFill>
                            <a:prstClr val="black"/>
                          </a:solidFill>
                        </a:ln>
                      </wps:spPr>
                      <wps:txbx>
                        <w:txbxContent>
                          <w:p w14:paraId="3A47C741" w14:textId="77777777" w:rsidR="00687AE9" w:rsidRPr="00687AE9" w:rsidRDefault="00687AE9" w:rsidP="00687AE9">
                            <w:pPr>
                              <w:jc w:val="center"/>
                              <w:rPr>
                                <w:rFonts w:cs="Calibri"/>
                                <w:b/>
                              </w:rPr>
                            </w:pPr>
                            <w:r w:rsidRPr="00687AE9">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51D70" id="Cuadro de texto 969804558" o:spid="_x0000_s1150" type="#_x0000_t202" style="position:absolute;left:0;text-align:left;margin-left:0;margin-top:-22.15pt;width:553.2pt;height:26.4pt;z-index:252408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" fillcolor="window" strokeweight=".5pt">
                <v:textbox>
                  <w:txbxContent>
                    <w:p w14:paraId="3A47C741" w14:textId="77777777" w:rsidR="00687AE9" w:rsidRPr="00687AE9" w:rsidRDefault="00687AE9" w:rsidP="00687AE9">
                      <w:pPr>
                        <w:jc w:val="center"/>
                        <w:rPr>
                          <w:rFonts w:cs="Calibri"/>
                          <w:b/>
                        </w:rPr>
                      </w:pPr>
                      <w:r w:rsidRPr="00687AE9">
                        <w:rPr>
                          <w:rFonts w:cs="Calibri"/>
                          <w:b/>
                        </w:rPr>
                        <w:t>RÚBRICA DE EVALUACIÓN – WIKI</w:t>
                      </w:r>
                    </w:p>
                  </w:txbxContent>
                </v:textbox>
                <w10:wrap anchorx="margin"/>
              </v:shape>
            </w:pict>
          </mc:Fallback>
        </mc:AlternateContent>
      </w:r>
    </w:p>
    <w:p w14:paraId="3EAA45D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Para la construcción colaborativa sobre la pertinencia de los modelos actuales de la experiencia pastoral (tradicional, pentecostal y transformadora) se propone la herramienta wiki. Un wiki es una colección de documentos digitales escritos en forma conjunta. Se desarrolla en la sesión 9 y tiene un valor de 3%.</w:t>
      </w:r>
    </w:p>
    <w:p w14:paraId="25465898"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6C192F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b/>
          <w:bCs/>
          <w:kern w:val="0"/>
          <w14:ligatures w14:val="none"/>
        </w:rPr>
      </w:pPr>
      <w:r w:rsidRPr="00687AE9">
        <w:rPr>
          <w:rFonts w:ascii="Calibri" w:eastAsia="Calibri" w:hAnsi="Calibri" w:cs="Calibri"/>
          <w:b/>
          <w:bCs/>
          <w:noProof/>
          <w:kern w:val="0"/>
          <w14:ligatures w14:val="none"/>
        </w:rPr>
        <w:drawing>
          <wp:anchor distT="0" distB="0" distL="114300" distR="114300" simplePos="0" relativeHeight="252409856" behindDoc="0" locked="0" layoutInCell="1" allowOverlap="1" wp14:anchorId="6736B90D" wp14:editId="396615C1">
            <wp:simplePos x="0" y="0"/>
            <wp:positionH relativeFrom="column">
              <wp:posOffset>0</wp:posOffset>
            </wp:positionH>
            <wp:positionV relativeFrom="paragraph">
              <wp:posOffset>1588</wp:posOffset>
            </wp:positionV>
            <wp:extent cx="9144000" cy="4622800"/>
            <wp:effectExtent l="0" t="0" r="0" b="6350"/>
            <wp:wrapNone/>
            <wp:docPr id="192959331"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9331" name="Imagen 2" descr="Tabla&#10;&#10;Descripción generada automáticamente"/>
                    <pic:cNvPicPr/>
                  </pic:nvPicPr>
                  <pic:blipFill>
                    <a:blip r:embed="rId306">
                      <a:extLst>
                        <a:ext uri="{28A0092B-C50C-407E-A947-70E740481C1C}">
                          <a14:useLocalDpi xmlns:a14="http://schemas.microsoft.com/office/drawing/2010/main" val="0"/>
                        </a:ext>
                      </a:extLst>
                    </a:blip>
                    <a:stretch>
                      <a:fillRect/>
                    </a:stretch>
                  </pic:blipFill>
                  <pic:spPr>
                    <a:xfrm>
                      <a:off x="0" y="0"/>
                      <a:ext cx="9144000" cy="4622800"/>
                    </a:xfrm>
                    <a:prstGeom prst="rect">
                      <a:avLst/>
                    </a:prstGeom>
                  </pic:spPr>
                </pic:pic>
              </a:graphicData>
            </a:graphic>
          </wp:anchor>
        </w:drawing>
      </w:r>
    </w:p>
    <w:p w14:paraId="1B30D099"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pPr>
      <w:r w:rsidRPr="00687AE9">
        <w:rPr>
          <w:rFonts w:ascii="Calibri" w:eastAsia="Calibri" w:hAnsi="Calibri" w:cs="Calibri"/>
          <w:b/>
          <w:bCs/>
          <w:kern w:val="0"/>
          <w14:ligatures w14:val="none"/>
        </w:rPr>
        <w:br w:type="page"/>
      </w:r>
    </w:p>
    <w:p w14:paraId="3ABF4B82" w14:textId="77777777" w:rsidR="00687AE9" w:rsidRPr="00687AE9" w:rsidRDefault="00687AE9" w:rsidP="00687AE9">
      <w:pPr>
        <w:autoSpaceDE w:val="0"/>
        <w:autoSpaceDN w:val="0"/>
        <w:adjustRightInd w:val="0"/>
        <w:spacing w:after="240" w:line="240" w:lineRule="auto"/>
        <w:jc w:val="both"/>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410880" behindDoc="0" locked="0" layoutInCell="1" allowOverlap="1" wp14:anchorId="1C5D702C" wp14:editId="47A50068">
                <wp:simplePos x="0" y="0"/>
                <wp:positionH relativeFrom="margin">
                  <wp:align>center</wp:align>
                </wp:positionH>
                <wp:positionV relativeFrom="paragraph">
                  <wp:posOffset>-198438</wp:posOffset>
                </wp:positionV>
                <wp:extent cx="7260590" cy="311150"/>
                <wp:effectExtent l="0" t="0" r="16510" b="12700"/>
                <wp:wrapNone/>
                <wp:docPr id="1764465731"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0590" cy="31115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E0CF5E"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SISTEMATIZACIÓN</w:t>
                            </w:r>
                            <w:r w:rsidRPr="00687AE9">
                              <w:rPr>
                                <w:rFonts w:cs="Calibri"/>
                                <w:b/>
                                <w:spacing w:val="-4"/>
                              </w:rPr>
                              <w:t xml:space="preserve"> </w:t>
                            </w:r>
                            <w:r w:rsidRPr="00687AE9">
                              <w:rPr>
                                <w:rFonts w:cs="Calibri"/>
                                <w:b/>
                              </w:rPr>
                              <w:t>DE</w:t>
                            </w:r>
                            <w:r w:rsidRPr="00687AE9">
                              <w:rPr>
                                <w:rFonts w:cs="Calibri"/>
                                <w:b/>
                                <w:spacing w:val="-2"/>
                              </w:rPr>
                              <w:t xml:space="preserve"> </w:t>
                            </w:r>
                            <w:r w:rsidRPr="00687AE9">
                              <w:rPr>
                                <w:rFonts w:cs="Calibri"/>
                                <w:b/>
                              </w:rPr>
                              <w:t>SU</w:t>
                            </w:r>
                            <w:r w:rsidRPr="00687AE9">
                              <w:rPr>
                                <w:rFonts w:cs="Calibri"/>
                                <w:b/>
                                <w:spacing w:val="-2"/>
                              </w:rPr>
                              <w:t xml:space="preserve"> </w:t>
                            </w:r>
                            <w:r w:rsidRPr="00687AE9">
                              <w:rPr>
                                <w:rFonts w:cs="Calibri"/>
                                <w:b/>
                              </w:rPr>
                              <w:t>PROPIA EXPERIENCIA</w:t>
                            </w:r>
                            <w:r w:rsidRPr="00687AE9">
                              <w:rPr>
                                <w:rFonts w:cs="Calibri"/>
                                <w:b/>
                                <w:spacing w:val="-6"/>
                              </w:rPr>
                              <w:t xml:space="preserve"> </w:t>
                            </w:r>
                            <w:r w:rsidRPr="00687AE9">
                              <w:rPr>
                                <w:rFonts w:cs="Calibri"/>
                                <w:b/>
                              </w:rPr>
                              <w:t>PASTORAL</w:t>
                            </w:r>
                          </w:p>
                        </w:txbxContent>
                      </wps:txbx>
                      <wps:bodyPr rot="0" vert="horz" wrap="square" lIns="0" tIns="0" rIns="0" bIns="0" anchor="t" anchorCtr="0" upright="1">
                        <a:noAutofit/>
                      </wps:bodyPr>
                    </wps:wsp>
                  </a:graphicData>
                </a:graphic>
              </wp:anchor>
            </w:drawing>
          </mc:Choice>
          <mc:Fallback>
            <w:pict>
              <v:shape w14:anchorId="1C5D702C" id="_x0000_s1151" type="#_x0000_t202" style="position:absolute;left:0;text-align:left;margin-left:0;margin-top:-15.65pt;width:571.7pt;height:24.5pt;z-index:2524108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" filled="f" strokeweight=".72pt">
                <v:textbox inset="0,0,0,0">
                  <w:txbxContent>
                    <w:p w14:paraId="05E0CF5E"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SISTEMATIZACIÓN</w:t>
                      </w:r>
                      <w:r w:rsidRPr="00687AE9">
                        <w:rPr>
                          <w:rFonts w:cs="Calibri"/>
                          <w:b/>
                          <w:spacing w:val="-4"/>
                        </w:rPr>
                        <w:t xml:space="preserve"> </w:t>
                      </w:r>
                      <w:r w:rsidRPr="00687AE9">
                        <w:rPr>
                          <w:rFonts w:cs="Calibri"/>
                          <w:b/>
                        </w:rPr>
                        <w:t>DE</w:t>
                      </w:r>
                      <w:r w:rsidRPr="00687AE9">
                        <w:rPr>
                          <w:rFonts w:cs="Calibri"/>
                          <w:b/>
                          <w:spacing w:val="-2"/>
                        </w:rPr>
                        <w:t xml:space="preserve"> </w:t>
                      </w:r>
                      <w:r w:rsidRPr="00687AE9">
                        <w:rPr>
                          <w:rFonts w:cs="Calibri"/>
                          <w:b/>
                        </w:rPr>
                        <w:t>SU</w:t>
                      </w:r>
                      <w:r w:rsidRPr="00687AE9">
                        <w:rPr>
                          <w:rFonts w:cs="Calibri"/>
                          <w:b/>
                          <w:spacing w:val="-2"/>
                        </w:rPr>
                        <w:t xml:space="preserve"> </w:t>
                      </w:r>
                      <w:r w:rsidRPr="00687AE9">
                        <w:rPr>
                          <w:rFonts w:cs="Calibri"/>
                          <w:b/>
                        </w:rPr>
                        <w:t>PROPIA EXPERIENCIA</w:t>
                      </w:r>
                      <w:r w:rsidRPr="00687AE9">
                        <w:rPr>
                          <w:rFonts w:cs="Calibri"/>
                          <w:b/>
                          <w:spacing w:val="-6"/>
                        </w:rPr>
                        <w:t xml:space="preserve"> </w:t>
                      </w:r>
                      <w:r w:rsidRPr="00687AE9">
                        <w:rPr>
                          <w:rFonts w:cs="Calibri"/>
                          <w:b/>
                        </w:rPr>
                        <w:t>PASTORAL</w:t>
                      </w:r>
                    </w:p>
                  </w:txbxContent>
                </v:textbox>
                <w10:wrap anchorx="margin"/>
              </v:shape>
            </w:pict>
          </mc:Fallback>
        </mc:AlternateContent>
      </w:r>
    </w:p>
    <w:p w14:paraId="57C09078"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Una sistematización de experiencias, en este caso de su propia experiencia pastoral, se refiere a clasificar, ordenar o catalogar datos e informaciones, pero también obtener aprendizajes críticos de nuestras experiencias. Se elabora en la sesión 2 y tiene un valor de 3,75%.</w:t>
      </w:r>
    </w:p>
    <w:p w14:paraId="1173280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9D4807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11904" behindDoc="0" locked="0" layoutInCell="1" allowOverlap="1" wp14:anchorId="200D6701" wp14:editId="3D35674E">
            <wp:simplePos x="0" y="0"/>
            <wp:positionH relativeFrom="column">
              <wp:posOffset>438150</wp:posOffset>
            </wp:positionH>
            <wp:positionV relativeFrom="paragraph">
              <wp:posOffset>1588</wp:posOffset>
            </wp:positionV>
            <wp:extent cx="8272272" cy="3852672"/>
            <wp:effectExtent l="0" t="0" r="0" b="0"/>
            <wp:wrapNone/>
            <wp:docPr id="372502160"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502160" name="Imagen 4" descr="Tabla&#10;&#10;Descripción generada automáticamente"/>
                    <pic:cNvPicPr/>
                  </pic:nvPicPr>
                  <pic:blipFill>
                    <a:blip r:embed="rId307">
                      <a:extLst>
                        <a:ext uri="{28A0092B-C50C-407E-A947-70E740481C1C}">
                          <a14:useLocalDpi xmlns:a14="http://schemas.microsoft.com/office/drawing/2010/main" val="0"/>
                        </a:ext>
                      </a:extLst>
                    </a:blip>
                    <a:stretch>
                      <a:fillRect/>
                    </a:stretch>
                  </pic:blipFill>
                  <pic:spPr>
                    <a:xfrm>
                      <a:off x="0" y="0"/>
                      <a:ext cx="8272272" cy="3852672"/>
                    </a:xfrm>
                    <a:prstGeom prst="rect">
                      <a:avLst/>
                    </a:prstGeom>
                  </pic:spPr>
                </pic:pic>
              </a:graphicData>
            </a:graphic>
          </wp:anchor>
        </w:drawing>
      </w:r>
    </w:p>
    <w:p w14:paraId="38515E33"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pPr>
    </w:p>
    <w:p w14:paraId="2497A5DE"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pPr>
      <w:r w:rsidRPr="00687AE9">
        <w:rPr>
          <w:rFonts w:ascii="Calibri" w:eastAsia="Calibri" w:hAnsi="Calibri" w:cs="Calibri"/>
          <w:b/>
          <w:bCs/>
          <w:kern w:val="0"/>
          <w14:ligatures w14:val="none"/>
        </w:rPr>
        <w:br w:type="page"/>
      </w:r>
    </w:p>
    <w:p w14:paraId="68C2F93B"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lang w:val="es-ES_tradnl"/>
          <w14:ligatures w14:val="none"/>
        </w:rPr>
      </w:pPr>
      <w:r w:rsidRPr="00687AE9">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412928" behindDoc="0" locked="0" layoutInCell="1" allowOverlap="1" wp14:anchorId="44C9024A" wp14:editId="6E699A63">
                <wp:simplePos x="0" y="0"/>
                <wp:positionH relativeFrom="margin">
                  <wp:align>center</wp:align>
                </wp:positionH>
                <wp:positionV relativeFrom="paragraph">
                  <wp:posOffset>6350</wp:posOffset>
                </wp:positionV>
                <wp:extent cx="7284720" cy="304800"/>
                <wp:effectExtent l="0" t="0" r="11430" b="19050"/>
                <wp:wrapNone/>
                <wp:docPr id="1300785587"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4720" cy="30480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6A9452C" w14:textId="77777777" w:rsidR="00687AE9" w:rsidRPr="00687AE9" w:rsidRDefault="00687AE9" w:rsidP="00687AE9">
                            <w:pPr>
                              <w:spacing w:before="70"/>
                              <w:ind w:left="2692" w:right="2699"/>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PRESENTACIÓN</w:t>
                            </w:r>
                            <w:r w:rsidRPr="00687AE9">
                              <w:rPr>
                                <w:rFonts w:cs="Calibri"/>
                                <w:b/>
                                <w:spacing w:val="-4"/>
                              </w:rPr>
                              <w:t xml:space="preserve"> MULTIMEDIA</w:t>
                            </w:r>
                          </w:p>
                        </w:txbxContent>
                      </wps:txbx>
                      <wps:bodyPr rot="0" vert="horz" wrap="square" lIns="0" tIns="0" rIns="0" bIns="0" anchor="t" anchorCtr="0" upright="1">
                        <a:noAutofit/>
                      </wps:bodyPr>
                    </wps:wsp>
                  </a:graphicData>
                </a:graphic>
              </wp:anchor>
            </w:drawing>
          </mc:Choice>
          <mc:Fallback>
            <w:pict>
              <v:shape w14:anchorId="44C9024A" id="_x0000_s1152" type="#_x0000_t202" style="position:absolute;left:0;text-align:left;margin-left:0;margin-top:.5pt;width:573.6pt;height:24pt;z-index:2524129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" filled="f" strokeweight=".72pt">
                <v:textbox inset="0,0,0,0">
                  <w:txbxContent>
                    <w:p w14:paraId="76A9452C" w14:textId="77777777" w:rsidR="00687AE9" w:rsidRPr="00687AE9" w:rsidRDefault="00687AE9" w:rsidP="00687AE9">
                      <w:pPr>
                        <w:spacing w:before="70"/>
                        <w:ind w:left="2692" w:right="2699"/>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PRESENTACIÓN</w:t>
                      </w:r>
                      <w:r w:rsidRPr="00687AE9">
                        <w:rPr>
                          <w:rFonts w:cs="Calibri"/>
                          <w:b/>
                          <w:spacing w:val="-4"/>
                        </w:rPr>
                        <w:t xml:space="preserve"> MULTIMEDIA</w:t>
                      </w:r>
                    </w:p>
                  </w:txbxContent>
                </v:textbox>
                <w10:wrap anchorx="margin"/>
              </v:shape>
            </w:pict>
          </mc:Fallback>
        </mc:AlternateContent>
      </w:r>
    </w:p>
    <w:p w14:paraId="1AE0467F"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lang w:val="es-ES_tradnl"/>
          <w14:ligatures w14:val="none"/>
        </w:rPr>
      </w:pPr>
    </w:p>
    <w:p w14:paraId="28FD257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Durante las sesiones 3 y 4 se elaborará una presentación multimedia con base en las lecturas de estas sesiones y en su realidad socio-eclesial. Tiene un valor de 3,75%.</w:t>
      </w:r>
    </w:p>
    <w:p w14:paraId="129424D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8556228"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b/>
          <w:bCs/>
          <w:kern w:val="0"/>
          <w14:ligatures w14:val="none"/>
        </w:rPr>
      </w:pPr>
      <w:r w:rsidRPr="00687AE9">
        <w:rPr>
          <w:rFonts w:ascii="Calibri" w:eastAsia="Calibri" w:hAnsi="Calibri" w:cs="Calibri"/>
          <w:b/>
          <w:bCs/>
          <w:noProof/>
          <w:kern w:val="0"/>
          <w14:ligatures w14:val="none"/>
        </w:rPr>
        <w:drawing>
          <wp:anchor distT="0" distB="0" distL="114300" distR="114300" simplePos="0" relativeHeight="252413952" behindDoc="0" locked="0" layoutInCell="1" allowOverlap="1" wp14:anchorId="6454A912" wp14:editId="1EE700F7">
            <wp:simplePos x="0" y="0"/>
            <wp:positionH relativeFrom="column">
              <wp:posOffset>376238</wp:posOffset>
            </wp:positionH>
            <wp:positionV relativeFrom="paragraph">
              <wp:posOffset>-2540</wp:posOffset>
            </wp:positionV>
            <wp:extent cx="8388096" cy="4419600"/>
            <wp:effectExtent l="0" t="0" r="0" b="0"/>
            <wp:wrapNone/>
            <wp:docPr id="561096406"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096406" name="Imagen 6" descr="Tabla&#10;&#10;Descripción generada automáticamente"/>
                    <pic:cNvPicPr/>
                  </pic:nvPicPr>
                  <pic:blipFill>
                    <a:blip r:embed="rId308">
                      <a:extLst>
                        <a:ext uri="{28A0092B-C50C-407E-A947-70E740481C1C}">
                          <a14:useLocalDpi xmlns:a14="http://schemas.microsoft.com/office/drawing/2010/main" val="0"/>
                        </a:ext>
                      </a:extLst>
                    </a:blip>
                    <a:stretch>
                      <a:fillRect/>
                    </a:stretch>
                  </pic:blipFill>
                  <pic:spPr>
                    <a:xfrm>
                      <a:off x="0" y="0"/>
                      <a:ext cx="8388096" cy="4419600"/>
                    </a:xfrm>
                    <a:prstGeom prst="rect">
                      <a:avLst/>
                    </a:prstGeom>
                  </pic:spPr>
                </pic:pic>
              </a:graphicData>
            </a:graphic>
          </wp:anchor>
        </w:drawing>
      </w:r>
      <w:r w:rsidRPr="00687AE9">
        <w:rPr>
          <w:rFonts w:ascii="Calibri" w:eastAsia="Calibri" w:hAnsi="Calibri" w:cs="Calibri"/>
          <w:b/>
          <w:bCs/>
          <w:kern w:val="0"/>
          <w14:ligatures w14:val="none"/>
        </w:rPr>
        <w:br w:type="page"/>
      </w:r>
    </w:p>
    <w:p w14:paraId="5EA37883"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pPr>
      <w:r w:rsidRPr="00687AE9">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414976" behindDoc="0" locked="0" layoutInCell="1" allowOverlap="1" wp14:anchorId="1F1CCD03" wp14:editId="2EF1B84B">
                <wp:simplePos x="0" y="0"/>
                <wp:positionH relativeFrom="margin">
                  <wp:align>center</wp:align>
                </wp:positionH>
                <wp:positionV relativeFrom="paragraph">
                  <wp:posOffset>-195263</wp:posOffset>
                </wp:positionV>
                <wp:extent cx="7306310" cy="311150"/>
                <wp:effectExtent l="0" t="0" r="27940" b="12700"/>
                <wp:wrapNone/>
                <wp:docPr id="1780269155"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6310" cy="31115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4D747FF" w14:textId="77777777" w:rsidR="00687AE9" w:rsidRPr="00687AE9" w:rsidRDefault="00687AE9" w:rsidP="00687AE9">
                            <w:pPr>
                              <w:spacing w:before="70"/>
                              <w:ind w:left="2994" w:right="2999"/>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7"/>
                              </w:rPr>
                              <w:t xml:space="preserve"> </w:t>
                            </w:r>
                            <w:r w:rsidRPr="00687AE9">
                              <w:rPr>
                                <w:rFonts w:cs="Calibri"/>
                                <w:b/>
                              </w:rPr>
                              <w:t>EVALUACIÓN</w:t>
                            </w:r>
                            <w:r w:rsidRPr="00687AE9">
                              <w:rPr>
                                <w:rFonts w:cs="Calibri"/>
                                <w:b/>
                                <w:spacing w:val="-1"/>
                              </w:rPr>
                              <w:t xml:space="preserve"> </w:t>
                            </w:r>
                            <w:r w:rsidRPr="00687AE9">
                              <w:rPr>
                                <w:rFonts w:cs="Calibri"/>
                                <w:b/>
                              </w:rPr>
                              <w:t>– CUADRO</w:t>
                            </w:r>
                            <w:r w:rsidRPr="00687AE9">
                              <w:rPr>
                                <w:rFonts w:cs="Calibri"/>
                                <w:b/>
                                <w:spacing w:val="-4"/>
                              </w:rPr>
                              <w:t xml:space="preserve"> </w:t>
                            </w:r>
                            <w:r w:rsidRPr="00687AE9">
                              <w:rPr>
                                <w:rFonts w:cs="Calibri"/>
                                <w:b/>
                              </w:rPr>
                              <w:t>RESUMEN</w:t>
                            </w:r>
                            <w:r w:rsidRPr="00687AE9">
                              <w:rPr>
                                <w:rFonts w:cs="Calibri"/>
                                <w:b/>
                                <w:spacing w:val="-3"/>
                              </w:rPr>
                              <w:t xml:space="preserve"> </w:t>
                            </w:r>
                            <w:r w:rsidRPr="00687AE9">
                              <w:rPr>
                                <w:rFonts w:cs="Calibri"/>
                                <w:b/>
                              </w:rPr>
                              <w:t>SQA-NH</w:t>
                            </w:r>
                          </w:p>
                        </w:txbxContent>
                      </wps:txbx>
                      <wps:bodyPr rot="0" vert="horz" wrap="square" lIns="0" tIns="0" rIns="0" bIns="0" anchor="t" anchorCtr="0" upright="1">
                        <a:noAutofit/>
                      </wps:bodyPr>
                    </wps:wsp>
                  </a:graphicData>
                </a:graphic>
              </wp:anchor>
            </w:drawing>
          </mc:Choice>
          <mc:Fallback>
            <w:pict>
              <v:shape w14:anchorId="1F1CCD03" id="_x0000_s1153" type="#_x0000_t202" style="position:absolute;left:0;text-align:left;margin-left:0;margin-top:-15.4pt;width:575.3pt;height:24.5pt;z-index:2524149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" filled="f" strokeweight=".72pt">
                <v:textbox inset="0,0,0,0">
                  <w:txbxContent>
                    <w:p w14:paraId="74D747FF" w14:textId="77777777" w:rsidR="00687AE9" w:rsidRPr="00687AE9" w:rsidRDefault="00687AE9" w:rsidP="00687AE9">
                      <w:pPr>
                        <w:spacing w:before="70"/>
                        <w:ind w:left="2994" w:right="2999"/>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7"/>
                        </w:rPr>
                        <w:t xml:space="preserve"> </w:t>
                      </w:r>
                      <w:r w:rsidRPr="00687AE9">
                        <w:rPr>
                          <w:rFonts w:cs="Calibri"/>
                          <w:b/>
                        </w:rPr>
                        <w:t>EVALUACIÓN</w:t>
                      </w:r>
                      <w:r w:rsidRPr="00687AE9">
                        <w:rPr>
                          <w:rFonts w:cs="Calibri"/>
                          <w:b/>
                          <w:spacing w:val="-1"/>
                        </w:rPr>
                        <w:t xml:space="preserve"> </w:t>
                      </w:r>
                      <w:r w:rsidRPr="00687AE9">
                        <w:rPr>
                          <w:rFonts w:cs="Calibri"/>
                          <w:b/>
                        </w:rPr>
                        <w:t>– CUADRO</w:t>
                      </w:r>
                      <w:r w:rsidRPr="00687AE9">
                        <w:rPr>
                          <w:rFonts w:cs="Calibri"/>
                          <w:b/>
                          <w:spacing w:val="-4"/>
                        </w:rPr>
                        <w:t xml:space="preserve"> </w:t>
                      </w:r>
                      <w:r w:rsidRPr="00687AE9">
                        <w:rPr>
                          <w:rFonts w:cs="Calibri"/>
                          <w:b/>
                        </w:rPr>
                        <w:t>RESUMEN</w:t>
                      </w:r>
                      <w:r w:rsidRPr="00687AE9">
                        <w:rPr>
                          <w:rFonts w:cs="Calibri"/>
                          <w:b/>
                          <w:spacing w:val="-3"/>
                        </w:rPr>
                        <w:t xml:space="preserve"> </w:t>
                      </w:r>
                      <w:r w:rsidRPr="00687AE9">
                        <w:rPr>
                          <w:rFonts w:cs="Calibri"/>
                          <w:b/>
                        </w:rPr>
                        <w:t>SQA-NH</w:t>
                      </w:r>
                    </w:p>
                  </w:txbxContent>
                </v:textbox>
                <w10:wrap anchorx="margin"/>
              </v:shape>
            </w:pict>
          </mc:Fallback>
        </mc:AlternateContent>
      </w:r>
    </w:p>
    <w:p w14:paraId="40532D9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Un cuadro resumen es una herramienta que permite representar y dar a conocer una información concisa de gran importancia, de forma abreviada y separada en diversas áreas.  Se elabora en la sesión 5 y tiene un valor de 3,75%.</w:t>
      </w:r>
    </w:p>
    <w:p w14:paraId="5208677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16000" behindDoc="0" locked="0" layoutInCell="1" allowOverlap="1" wp14:anchorId="0A37E4AC" wp14:editId="1D4C62A5">
            <wp:simplePos x="0" y="0"/>
            <wp:positionH relativeFrom="margin">
              <wp:align>center</wp:align>
            </wp:positionH>
            <wp:positionV relativeFrom="paragraph">
              <wp:posOffset>285750</wp:posOffset>
            </wp:positionV>
            <wp:extent cx="8156448" cy="3858768"/>
            <wp:effectExtent l="0" t="0" r="0" b="8890"/>
            <wp:wrapNone/>
            <wp:docPr id="1394806780"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806780" name="Imagen 8" descr="Tabla&#10;&#10;Descripción generada automáticamente"/>
                    <pic:cNvPicPr/>
                  </pic:nvPicPr>
                  <pic:blipFill>
                    <a:blip r:embed="rId309">
                      <a:extLst>
                        <a:ext uri="{28A0092B-C50C-407E-A947-70E740481C1C}">
                          <a14:useLocalDpi xmlns:a14="http://schemas.microsoft.com/office/drawing/2010/main" val="0"/>
                        </a:ext>
                      </a:extLst>
                    </a:blip>
                    <a:stretch>
                      <a:fillRect/>
                    </a:stretch>
                  </pic:blipFill>
                  <pic:spPr>
                    <a:xfrm>
                      <a:off x="0" y="0"/>
                      <a:ext cx="8156448" cy="3858768"/>
                    </a:xfrm>
                    <a:prstGeom prst="rect">
                      <a:avLst/>
                    </a:prstGeom>
                  </pic:spPr>
                </pic:pic>
              </a:graphicData>
            </a:graphic>
          </wp:anchor>
        </w:drawing>
      </w:r>
      <w:r w:rsidRPr="00687AE9">
        <w:rPr>
          <w:rFonts w:ascii="Calibri" w:eastAsia="Calibri" w:hAnsi="Calibri" w:cs="Calibri"/>
          <w:kern w:val="0"/>
          <w14:ligatures w14:val="none"/>
        </w:rPr>
        <w:br w:type="page"/>
      </w:r>
    </w:p>
    <w:p w14:paraId="2777601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417024" behindDoc="0" locked="0" layoutInCell="1" allowOverlap="1" wp14:anchorId="16710459" wp14:editId="08C08AD9">
                <wp:simplePos x="0" y="0"/>
                <wp:positionH relativeFrom="margin">
                  <wp:align>center</wp:align>
                </wp:positionH>
                <wp:positionV relativeFrom="paragraph">
                  <wp:posOffset>-200025</wp:posOffset>
                </wp:positionV>
                <wp:extent cx="7269480" cy="326390"/>
                <wp:effectExtent l="0" t="0" r="26670" b="16510"/>
                <wp:wrapNone/>
                <wp:docPr id="674542100"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9480" cy="32639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9EA618C" w14:textId="77777777" w:rsidR="00687AE9" w:rsidRPr="00687AE9" w:rsidRDefault="00687AE9" w:rsidP="00687AE9">
                            <w:pPr>
                              <w:spacing w:before="70"/>
                              <w:ind w:left="1947" w:right="1959"/>
                              <w:jc w:val="center"/>
                              <w:rPr>
                                <w:rFonts w:cs="Calibri"/>
                                <w:b/>
                              </w:rPr>
                            </w:pPr>
                            <w:r w:rsidRPr="00687AE9">
                              <w:rPr>
                                <w:rFonts w:cs="Calibri"/>
                                <w:b/>
                              </w:rPr>
                              <w:t>ESCALA</w:t>
                            </w:r>
                            <w:r w:rsidRPr="00687AE9">
                              <w:rPr>
                                <w:rFonts w:cs="Calibri"/>
                                <w:b/>
                                <w:spacing w:val="-1"/>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1"/>
                              </w:rPr>
                              <w:t xml:space="preserve"> </w:t>
                            </w:r>
                            <w:r w:rsidRPr="00687AE9">
                              <w:rPr>
                                <w:rFonts w:cs="Calibri"/>
                                <w:b/>
                              </w:rPr>
                              <w:t>–</w:t>
                            </w:r>
                            <w:r w:rsidRPr="00687AE9">
                              <w:rPr>
                                <w:rFonts w:cs="Calibri"/>
                                <w:b/>
                                <w:spacing w:val="-3"/>
                              </w:rPr>
                              <w:t xml:space="preserve"> </w:t>
                            </w:r>
                            <w:r w:rsidRPr="00687AE9">
                              <w:rPr>
                                <w:rFonts w:cs="Calibri"/>
                                <w:b/>
                              </w:rPr>
                              <w:t>ESQUEMA</w:t>
                            </w:r>
                          </w:p>
                        </w:txbxContent>
                      </wps:txbx>
                      <wps:bodyPr rot="0" vert="horz" wrap="square" lIns="0" tIns="0" rIns="0" bIns="0" anchor="t" anchorCtr="0" upright="1">
                        <a:noAutofit/>
                      </wps:bodyPr>
                    </wps:wsp>
                  </a:graphicData>
                </a:graphic>
              </wp:anchor>
            </w:drawing>
          </mc:Choice>
          <mc:Fallback>
            <w:pict>
              <v:shape w14:anchorId="16710459" id="Cuadro de texto 9" o:spid="_x0000_s1154" type="#_x0000_t202" style="position:absolute;left:0;text-align:left;margin-left:0;margin-top:-15.75pt;width:572.4pt;height:25.7pt;z-index:2524170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" filled="f" strokeweight=".72pt">
                <v:textbox inset="0,0,0,0">
                  <w:txbxContent>
                    <w:p w14:paraId="39EA618C" w14:textId="77777777" w:rsidR="00687AE9" w:rsidRPr="00687AE9" w:rsidRDefault="00687AE9" w:rsidP="00687AE9">
                      <w:pPr>
                        <w:spacing w:before="70"/>
                        <w:ind w:left="1947" w:right="1959"/>
                        <w:jc w:val="center"/>
                        <w:rPr>
                          <w:rFonts w:cs="Calibri"/>
                          <w:b/>
                        </w:rPr>
                      </w:pPr>
                      <w:r w:rsidRPr="00687AE9">
                        <w:rPr>
                          <w:rFonts w:cs="Calibri"/>
                          <w:b/>
                        </w:rPr>
                        <w:t>ESCALA</w:t>
                      </w:r>
                      <w:r w:rsidRPr="00687AE9">
                        <w:rPr>
                          <w:rFonts w:cs="Calibri"/>
                          <w:b/>
                          <w:spacing w:val="-1"/>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1"/>
                        </w:rPr>
                        <w:t xml:space="preserve"> </w:t>
                      </w:r>
                      <w:r w:rsidRPr="00687AE9">
                        <w:rPr>
                          <w:rFonts w:cs="Calibri"/>
                          <w:b/>
                        </w:rPr>
                        <w:t>–</w:t>
                      </w:r>
                      <w:r w:rsidRPr="00687AE9">
                        <w:rPr>
                          <w:rFonts w:cs="Calibri"/>
                          <w:b/>
                          <w:spacing w:val="-3"/>
                        </w:rPr>
                        <w:t xml:space="preserve"> </w:t>
                      </w:r>
                      <w:r w:rsidRPr="00687AE9">
                        <w:rPr>
                          <w:rFonts w:cs="Calibri"/>
                          <w:b/>
                        </w:rPr>
                        <w:t>ESQUEMA</w:t>
                      </w:r>
                    </w:p>
                  </w:txbxContent>
                </v:textbox>
                <w10:wrap anchorx="margin"/>
              </v:shape>
            </w:pict>
          </mc:Fallback>
        </mc:AlternateContent>
      </w:r>
    </w:p>
    <w:p w14:paraId="29ADE38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Un esquema es una representación gráfica de la asociación de ideas o conceptos que se relacionan entre sí, y entre los que se establecen relaciones de jerarquía. Se elabora en la sesión 7 y tiene un valor de 3,75%.</w:t>
      </w:r>
    </w:p>
    <w:p w14:paraId="0EFE094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18048" behindDoc="0" locked="0" layoutInCell="1" allowOverlap="1" wp14:anchorId="5D9B695E" wp14:editId="2E262061">
            <wp:simplePos x="0" y="0"/>
            <wp:positionH relativeFrom="margin">
              <wp:align>center</wp:align>
            </wp:positionH>
            <wp:positionV relativeFrom="paragraph">
              <wp:posOffset>301625</wp:posOffset>
            </wp:positionV>
            <wp:extent cx="8253730" cy="3517265"/>
            <wp:effectExtent l="0" t="0" r="0" b="6985"/>
            <wp:wrapNone/>
            <wp:docPr id="2054925977" name="Imagen 10"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925977" name="Imagen 10" descr="Interfaz de usuario gráfica, Aplicación, Tabla&#10;&#10;Descripción generada automáticamente"/>
                    <pic:cNvPicPr/>
                  </pic:nvPicPr>
                  <pic:blipFill>
                    <a:blip r:embed="rId310">
                      <a:extLst>
                        <a:ext uri="{28A0092B-C50C-407E-A947-70E740481C1C}">
                          <a14:useLocalDpi xmlns:a14="http://schemas.microsoft.com/office/drawing/2010/main" val="0"/>
                        </a:ext>
                      </a:extLst>
                    </a:blip>
                    <a:stretch>
                      <a:fillRect/>
                    </a:stretch>
                  </pic:blipFill>
                  <pic:spPr>
                    <a:xfrm>
                      <a:off x="0" y="0"/>
                      <a:ext cx="8253730" cy="3517265"/>
                    </a:xfrm>
                    <a:prstGeom prst="rect">
                      <a:avLst/>
                    </a:prstGeom>
                  </pic:spPr>
                </pic:pic>
              </a:graphicData>
            </a:graphic>
          </wp:anchor>
        </w:drawing>
      </w:r>
    </w:p>
    <w:p w14:paraId="42B6F03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F2943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D1E759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492141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31AC34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4C14DD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6D4C21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B25FB8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B2EBBAA"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AE231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2A0B61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A768E6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1413385"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D62611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232844B"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70A1725"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926E7D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499179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419072" behindDoc="0" locked="0" layoutInCell="1" allowOverlap="1" wp14:anchorId="07B4EBEE" wp14:editId="42CBAFE6">
                <wp:simplePos x="0" y="0"/>
                <wp:positionH relativeFrom="margin">
                  <wp:align>center</wp:align>
                </wp:positionH>
                <wp:positionV relativeFrom="paragraph">
                  <wp:posOffset>-198437</wp:posOffset>
                </wp:positionV>
                <wp:extent cx="7260590" cy="311150"/>
                <wp:effectExtent l="0" t="0" r="16510" b="12700"/>
                <wp:wrapNone/>
                <wp:docPr id="2114960575" name="Cuadro de texto 2114960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0590" cy="31115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ED779D4"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REFLEXIÓN SOBRE</w:t>
                            </w:r>
                            <w:r w:rsidRPr="00687AE9">
                              <w:rPr>
                                <w:rFonts w:cs="Calibri"/>
                                <w:b/>
                                <w:spacing w:val="-2"/>
                              </w:rPr>
                              <w:t xml:space="preserve"> </w:t>
                            </w:r>
                            <w:r w:rsidRPr="00687AE9">
                              <w:rPr>
                                <w:rFonts w:cs="Calibri"/>
                                <w:b/>
                              </w:rPr>
                              <w:t>SU</w:t>
                            </w:r>
                            <w:r w:rsidRPr="00687AE9">
                              <w:rPr>
                                <w:rFonts w:cs="Calibri"/>
                                <w:b/>
                                <w:spacing w:val="-2"/>
                              </w:rPr>
                              <w:t xml:space="preserve"> </w:t>
                            </w:r>
                            <w:r w:rsidRPr="00687AE9">
                              <w:rPr>
                                <w:rFonts w:cs="Calibri"/>
                                <w:b/>
                              </w:rPr>
                              <w:t>PROPIA EXPERIENCIA</w:t>
                            </w:r>
                            <w:r w:rsidRPr="00687AE9">
                              <w:rPr>
                                <w:rFonts w:cs="Calibri"/>
                                <w:b/>
                                <w:spacing w:val="-6"/>
                              </w:rPr>
                              <w:t xml:space="preserve"> </w:t>
                            </w:r>
                            <w:r w:rsidRPr="00687AE9">
                              <w:rPr>
                                <w:rFonts w:cs="Calibri"/>
                                <w:b/>
                              </w:rPr>
                              <w:t>PASTORAL</w:t>
                            </w:r>
                          </w:p>
                        </w:txbxContent>
                      </wps:txbx>
                      <wps:bodyPr rot="0" vert="horz" wrap="square" lIns="0" tIns="0" rIns="0" bIns="0" anchor="t" anchorCtr="0" upright="1">
                        <a:noAutofit/>
                      </wps:bodyPr>
                    </wps:wsp>
                  </a:graphicData>
                </a:graphic>
              </wp:anchor>
            </w:drawing>
          </mc:Choice>
          <mc:Fallback>
            <w:pict>
              <v:shape w14:anchorId="07B4EBEE" id="Cuadro de texto 2114960575" o:spid="_x0000_s1155" type="#_x0000_t202" style="position:absolute;left:0;text-align:left;margin-left:0;margin-top:-15.6pt;width:571.7pt;height:24.5pt;z-index:25241907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" filled="f" strokeweight=".72pt">
                <v:textbox inset="0,0,0,0">
                  <w:txbxContent>
                    <w:p w14:paraId="5ED779D4"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REFLEXIÓN SOBRE</w:t>
                      </w:r>
                      <w:r w:rsidRPr="00687AE9">
                        <w:rPr>
                          <w:rFonts w:cs="Calibri"/>
                          <w:b/>
                          <w:spacing w:val="-2"/>
                        </w:rPr>
                        <w:t xml:space="preserve"> </w:t>
                      </w:r>
                      <w:r w:rsidRPr="00687AE9">
                        <w:rPr>
                          <w:rFonts w:cs="Calibri"/>
                          <w:b/>
                        </w:rPr>
                        <w:t>SU</w:t>
                      </w:r>
                      <w:r w:rsidRPr="00687AE9">
                        <w:rPr>
                          <w:rFonts w:cs="Calibri"/>
                          <w:b/>
                          <w:spacing w:val="-2"/>
                        </w:rPr>
                        <w:t xml:space="preserve"> </w:t>
                      </w:r>
                      <w:r w:rsidRPr="00687AE9">
                        <w:rPr>
                          <w:rFonts w:cs="Calibri"/>
                          <w:b/>
                        </w:rPr>
                        <w:t>PROPIA EXPERIENCIA</w:t>
                      </w:r>
                      <w:r w:rsidRPr="00687AE9">
                        <w:rPr>
                          <w:rFonts w:cs="Calibri"/>
                          <w:b/>
                          <w:spacing w:val="-6"/>
                        </w:rPr>
                        <w:t xml:space="preserve"> </w:t>
                      </w:r>
                      <w:r w:rsidRPr="00687AE9">
                        <w:rPr>
                          <w:rFonts w:cs="Calibri"/>
                          <w:b/>
                        </w:rPr>
                        <w:t>PASTORAL</w:t>
                      </w:r>
                    </w:p>
                  </w:txbxContent>
                </v:textbox>
                <w10:wrap anchorx="margin"/>
              </v:shape>
            </w:pict>
          </mc:Fallback>
        </mc:AlternateContent>
      </w:r>
    </w:p>
    <w:p w14:paraId="402BF38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Una reflexión es el hecho y efecto de considerar algo con detenimiento, lo cual como proceso de pensamiento nos permite reflejar al exterior el resultado de nuestras consideraciones. Se elabora en la sesión 10 y tiene un valor de 3,75%.</w:t>
      </w:r>
    </w:p>
    <w:p w14:paraId="712B11F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C5CC48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20096" behindDoc="0" locked="0" layoutInCell="1" allowOverlap="1" wp14:anchorId="1B27EB5D" wp14:editId="657D1C55">
            <wp:simplePos x="0" y="0"/>
            <wp:positionH relativeFrom="column">
              <wp:posOffset>485775</wp:posOffset>
            </wp:positionH>
            <wp:positionV relativeFrom="paragraph">
              <wp:posOffset>1588</wp:posOffset>
            </wp:positionV>
            <wp:extent cx="8168640" cy="3450336"/>
            <wp:effectExtent l="0" t="0" r="3810" b="0"/>
            <wp:wrapNone/>
            <wp:docPr id="1530096298"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96298" name="Imagen 11" descr="Tabla&#10;&#10;Descripción generada automáticamente"/>
                    <pic:cNvPicPr/>
                  </pic:nvPicPr>
                  <pic:blipFill>
                    <a:blip r:embed="rId311">
                      <a:extLst>
                        <a:ext uri="{28A0092B-C50C-407E-A947-70E740481C1C}">
                          <a14:useLocalDpi xmlns:a14="http://schemas.microsoft.com/office/drawing/2010/main" val="0"/>
                        </a:ext>
                      </a:extLst>
                    </a:blip>
                    <a:stretch>
                      <a:fillRect/>
                    </a:stretch>
                  </pic:blipFill>
                  <pic:spPr>
                    <a:xfrm>
                      <a:off x="0" y="0"/>
                      <a:ext cx="8168640" cy="3450336"/>
                    </a:xfrm>
                    <a:prstGeom prst="rect">
                      <a:avLst/>
                    </a:prstGeom>
                  </pic:spPr>
                </pic:pic>
              </a:graphicData>
            </a:graphic>
          </wp:anchor>
        </w:drawing>
      </w:r>
    </w:p>
    <w:p w14:paraId="2DEBADA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570E3BD"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6DD92D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D5813E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6FF98A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68FE01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894864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4F04D4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1D15D75"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7FB21FA"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85350C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F4FD8A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536AAF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D49F07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89BEA0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06E5A6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48FC47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421120" behindDoc="0" locked="0" layoutInCell="1" allowOverlap="1" wp14:anchorId="0BB4E903" wp14:editId="365BBC6E">
                <wp:simplePos x="0" y="0"/>
                <wp:positionH relativeFrom="margin">
                  <wp:align>center</wp:align>
                </wp:positionH>
                <wp:positionV relativeFrom="paragraph">
                  <wp:posOffset>-326390</wp:posOffset>
                </wp:positionV>
                <wp:extent cx="7260590" cy="520065"/>
                <wp:effectExtent l="0" t="0" r="16510" b="13335"/>
                <wp:wrapNone/>
                <wp:docPr id="329427558" name="Cuadro de texto 329427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0590" cy="52006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A46FD8"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INCORPORACIÓN DE ELEMENTOS PARA EL DISEÑO DEL PROYECTO DE ACCIÓN PASTORAL</w:t>
                            </w:r>
                          </w:p>
                        </w:txbxContent>
                      </wps:txbx>
                      <wps:bodyPr rot="0" vert="horz" wrap="square" lIns="0" tIns="0" rIns="0" bIns="0" anchor="t" anchorCtr="0" upright="1">
                        <a:noAutofit/>
                      </wps:bodyPr>
                    </wps:wsp>
                  </a:graphicData>
                </a:graphic>
              </wp:anchor>
            </w:drawing>
          </mc:Choice>
          <mc:Fallback>
            <w:pict>
              <v:shape w14:anchorId="0BB4E903" id="Cuadro de texto 329427558" o:spid="_x0000_s1156" type="#_x0000_t202" style="position:absolute;left:0;text-align:left;margin-left:0;margin-top:-25.7pt;width:571.7pt;height:40.95pt;z-index:2524211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" filled="f" strokeweight=".72pt">
                <v:textbox inset="0,0,0,0">
                  <w:txbxContent>
                    <w:p w14:paraId="6EA46FD8" w14:textId="77777777" w:rsidR="00687AE9" w:rsidRPr="00687AE9" w:rsidRDefault="00687AE9" w:rsidP="00687AE9">
                      <w:pPr>
                        <w:spacing w:before="70"/>
                        <w:ind w:left="1454" w:right="1458"/>
                        <w:jc w:val="center"/>
                        <w:rPr>
                          <w:rFonts w:cs="Calibri"/>
                          <w:b/>
                        </w:rPr>
                      </w:pPr>
                      <w:r w:rsidRPr="00687AE9">
                        <w:rPr>
                          <w:rFonts w:cs="Calibri"/>
                          <w:b/>
                        </w:rPr>
                        <w:t>ESCALA</w:t>
                      </w:r>
                      <w:r w:rsidRPr="00687AE9">
                        <w:rPr>
                          <w:rFonts w:cs="Calibri"/>
                          <w:b/>
                          <w:spacing w:val="-2"/>
                        </w:rPr>
                        <w:t xml:space="preserve"> </w:t>
                      </w:r>
                      <w:r w:rsidRPr="00687AE9">
                        <w:rPr>
                          <w:rFonts w:cs="Calibri"/>
                          <w:b/>
                        </w:rPr>
                        <w:t>DE</w:t>
                      </w:r>
                      <w:r w:rsidRPr="00687AE9">
                        <w:rPr>
                          <w:rFonts w:cs="Calibri"/>
                          <w:b/>
                          <w:spacing w:val="-6"/>
                        </w:rPr>
                        <w:t xml:space="preserve"> </w:t>
                      </w:r>
                      <w:r w:rsidRPr="00687AE9">
                        <w:rPr>
                          <w:rFonts w:cs="Calibri"/>
                          <w:b/>
                        </w:rPr>
                        <w:t>EVALUACIÓN</w:t>
                      </w:r>
                      <w:r w:rsidRPr="00687AE9">
                        <w:rPr>
                          <w:rFonts w:cs="Calibri"/>
                          <w:b/>
                          <w:spacing w:val="-2"/>
                        </w:rPr>
                        <w:t xml:space="preserve"> </w:t>
                      </w:r>
                      <w:r w:rsidRPr="00687AE9">
                        <w:rPr>
                          <w:rFonts w:cs="Calibri"/>
                          <w:b/>
                        </w:rPr>
                        <w:t>–</w:t>
                      </w:r>
                      <w:r w:rsidRPr="00687AE9">
                        <w:rPr>
                          <w:rFonts w:cs="Calibri"/>
                          <w:b/>
                          <w:spacing w:val="-3"/>
                        </w:rPr>
                        <w:t xml:space="preserve"> </w:t>
                      </w:r>
                      <w:r w:rsidRPr="00687AE9">
                        <w:rPr>
                          <w:rFonts w:cs="Calibri"/>
                          <w:b/>
                        </w:rPr>
                        <w:t>INCORPORACIÓN DE ELEMENTOS PARA EL DISEÑO DEL PROYECTO DE ACCIÓN PASTORAL</w:t>
                      </w:r>
                    </w:p>
                  </w:txbxContent>
                </v:textbox>
                <w10:wrap anchorx="margin"/>
              </v:shape>
            </w:pict>
          </mc:Fallback>
        </mc:AlternateContent>
      </w:r>
    </w:p>
    <w:p w14:paraId="7A6FE968"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Durante las sesiones 11, 12 y 13, de forma paralela a la realización del diseño del proyecto de acción pastoral, entregará tareas donde muestre cómo incorporaría elementos tomados de las lecturas de estas sesiones al diseño de su proyecto. Tiene un valor de 3,75%.</w:t>
      </w:r>
    </w:p>
    <w:p w14:paraId="325A2A2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80EE47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22144" behindDoc="0" locked="0" layoutInCell="1" allowOverlap="1" wp14:anchorId="7858A578" wp14:editId="7BD0E0CE">
            <wp:simplePos x="0" y="0"/>
            <wp:positionH relativeFrom="column">
              <wp:posOffset>485775</wp:posOffset>
            </wp:positionH>
            <wp:positionV relativeFrom="paragraph">
              <wp:posOffset>1588</wp:posOffset>
            </wp:positionV>
            <wp:extent cx="8174736" cy="2907792"/>
            <wp:effectExtent l="0" t="0" r="0" b="6985"/>
            <wp:wrapNone/>
            <wp:docPr id="662136612"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36612" name="Imagen 12" descr="Tabla&#10;&#10;Descripción generada automáticamente"/>
                    <pic:cNvPicPr/>
                  </pic:nvPicPr>
                  <pic:blipFill>
                    <a:blip r:embed="rId312">
                      <a:extLst>
                        <a:ext uri="{28A0092B-C50C-407E-A947-70E740481C1C}">
                          <a14:useLocalDpi xmlns:a14="http://schemas.microsoft.com/office/drawing/2010/main" val="0"/>
                        </a:ext>
                      </a:extLst>
                    </a:blip>
                    <a:stretch>
                      <a:fillRect/>
                    </a:stretch>
                  </pic:blipFill>
                  <pic:spPr>
                    <a:xfrm>
                      <a:off x="0" y="0"/>
                      <a:ext cx="8174736" cy="2907792"/>
                    </a:xfrm>
                    <a:prstGeom prst="rect">
                      <a:avLst/>
                    </a:prstGeom>
                  </pic:spPr>
                </pic:pic>
              </a:graphicData>
            </a:graphic>
          </wp:anchor>
        </w:drawing>
      </w:r>
    </w:p>
    <w:p w14:paraId="7E5F971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43398A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A7530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CE160F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D5197C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E399C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344B59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DF8194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1EDCEE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B27F45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6D4DDA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F48572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543C325"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3A2055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9B466A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8D1D78D"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547046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423168" behindDoc="0" locked="0" layoutInCell="1" allowOverlap="1" wp14:anchorId="174D348D" wp14:editId="07E5C67D">
                <wp:simplePos x="0" y="0"/>
                <wp:positionH relativeFrom="margin">
                  <wp:align>center</wp:align>
                </wp:positionH>
                <wp:positionV relativeFrom="paragraph">
                  <wp:posOffset>-383540</wp:posOffset>
                </wp:positionV>
                <wp:extent cx="6606540" cy="411480"/>
                <wp:effectExtent l="0" t="0" r="22860" b="26670"/>
                <wp:wrapNone/>
                <wp:docPr id="328802513"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D112051" w14:textId="77777777" w:rsidR="00687AE9" w:rsidRPr="00687AE9" w:rsidRDefault="00687AE9" w:rsidP="00687AE9">
                            <w:pPr>
                              <w:jc w:val="center"/>
                              <w:rPr>
                                <w:rFonts w:cs="Calibri"/>
                              </w:rPr>
                            </w:pPr>
                            <w:r w:rsidRPr="00687AE9">
                              <w:rPr>
                                <w:rFonts w:cs="Calibri"/>
                                <w:b/>
                              </w:rPr>
                              <w:t>RÚBRICA DE EVALUACIÓN – DISEÑO DEL PROYECTO PASTORAL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4D348D" id="_x0000_s1157" type="#_x0000_t202" style="position:absolute;left:0;text-align:left;margin-left:0;margin-top:-30.2pt;width:520.2pt;height:32.4pt;z-index:2524231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" fillcolor="window" strokeweight=".5pt">
                <v:textbox>
                  <w:txbxContent>
                    <w:p w14:paraId="4D112051" w14:textId="77777777" w:rsidR="00687AE9" w:rsidRPr="00687AE9" w:rsidRDefault="00687AE9" w:rsidP="00687AE9">
                      <w:pPr>
                        <w:jc w:val="center"/>
                        <w:rPr>
                          <w:rFonts w:cs="Calibri"/>
                        </w:rPr>
                      </w:pPr>
                      <w:r w:rsidRPr="00687AE9">
                        <w:rPr>
                          <w:rFonts w:cs="Calibri"/>
                          <w:b/>
                        </w:rPr>
                        <w:t>RÚBRICA DE EVALUACIÓN – DISEÑO DEL PROYECTO PASTORAL</w:t>
                      </w:r>
                    </w:p>
                  </w:txbxContent>
                </v:textbox>
                <w10:wrap anchorx="margin"/>
              </v:shape>
            </w:pict>
          </mc:Fallback>
        </mc:AlternateContent>
      </w:r>
    </w:p>
    <w:p w14:paraId="607FD401"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El diseño de un proyecto de acción pastoral implica el desarrollo de aspectos de este tales como: la justificación, la finalidad del proyecto, la descripción del proyecto, las metas, los beneficiarios, la calendarización, el presupuesto, y otros. Se elabora durante las sesiones 11-13. Tiene un valor de 40%.</w:t>
      </w:r>
    </w:p>
    <w:p w14:paraId="22F5113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24192" behindDoc="0" locked="0" layoutInCell="1" allowOverlap="1" wp14:anchorId="14FC64E8" wp14:editId="31B7D44D">
            <wp:simplePos x="0" y="0"/>
            <wp:positionH relativeFrom="margin">
              <wp:align>center</wp:align>
            </wp:positionH>
            <wp:positionV relativeFrom="paragraph">
              <wp:posOffset>247333</wp:posOffset>
            </wp:positionV>
            <wp:extent cx="7707683" cy="5853113"/>
            <wp:effectExtent l="0" t="0" r="7620" b="0"/>
            <wp:wrapNone/>
            <wp:docPr id="1276641096"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641096" name="Imagen 13" descr="Tabla&#10;&#10;Descripción generada automáticamente"/>
                    <pic:cNvPicPr/>
                  </pic:nvPicPr>
                  <pic:blipFill>
                    <a:blip r:embed="rId313">
                      <a:extLst>
                        <a:ext uri="{28A0092B-C50C-407E-A947-70E740481C1C}">
                          <a14:useLocalDpi xmlns:a14="http://schemas.microsoft.com/office/drawing/2010/main" val="0"/>
                        </a:ext>
                      </a:extLst>
                    </a:blip>
                    <a:stretch>
                      <a:fillRect/>
                    </a:stretch>
                  </pic:blipFill>
                  <pic:spPr>
                    <a:xfrm>
                      <a:off x="0" y="0"/>
                      <a:ext cx="7707683" cy="5853113"/>
                    </a:xfrm>
                    <a:prstGeom prst="rect">
                      <a:avLst/>
                    </a:prstGeom>
                  </pic:spPr>
                </pic:pic>
              </a:graphicData>
            </a:graphic>
            <wp14:sizeRelH relativeFrom="margin">
              <wp14:pctWidth>0</wp14:pctWidth>
            </wp14:sizeRelH>
            <wp14:sizeRelV relativeFrom="margin">
              <wp14:pctHeight>0</wp14:pctHeight>
            </wp14:sizeRelV>
          </wp:anchor>
        </w:drawing>
      </w:r>
    </w:p>
    <w:p w14:paraId="2EA33A1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6F736AD"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4F973E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0E00B5B"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E2082DD"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0494C3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6FD1A5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6E959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12A868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0778997B"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38A4B77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21EF10D"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81248A1"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079183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0A2B3A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CD2AD9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95A3BD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5B78E7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425216" behindDoc="0" locked="0" layoutInCell="1" allowOverlap="1" wp14:anchorId="74585467" wp14:editId="7BAAE9BA">
                <wp:simplePos x="0" y="0"/>
                <wp:positionH relativeFrom="margin">
                  <wp:align>center</wp:align>
                </wp:positionH>
                <wp:positionV relativeFrom="paragraph">
                  <wp:posOffset>-197802</wp:posOffset>
                </wp:positionV>
                <wp:extent cx="6606540" cy="411480"/>
                <wp:effectExtent l="0" t="0" r="22860" b="26670"/>
                <wp:wrapNone/>
                <wp:docPr id="1113888367" name="Cuadro de texto 111388836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304C658E" w14:textId="77777777" w:rsidR="00687AE9" w:rsidRPr="00687AE9" w:rsidRDefault="00687AE9" w:rsidP="00687AE9">
                            <w:pPr>
                              <w:jc w:val="center"/>
                              <w:rPr>
                                <w:rFonts w:cs="Calibri"/>
                              </w:rPr>
                            </w:pPr>
                            <w:r w:rsidRPr="00687AE9">
                              <w:rPr>
                                <w:rFonts w:cs="Calibri"/>
                                <w:b/>
                              </w:rPr>
                              <w:t>RÚBRICA DE EVALUACIÓN – PRESENTACIÓN EN EL AULA VIRTUAL DEL PROYECTO PASTORAL</w:t>
                            </w:r>
                          </w:p>
                          <w:p w14:paraId="7DE0D857" w14:textId="77777777" w:rsidR="00687AE9" w:rsidRPr="00687AE9" w:rsidRDefault="00687AE9" w:rsidP="00687AE9">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585467" id="Cuadro de texto 1113888367" o:spid="_x0000_s1158" type="#_x0000_t202" style="position:absolute;left:0;text-align:left;margin-left:0;margin-top:-15.55pt;width:520.2pt;height:32.4pt;z-index:2524252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" fillcolor="window" strokeweight=".5pt">
                <v:textbox>
                  <w:txbxContent>
                    <w:p w14:paraId="304C658E" w14:textId="77777777" w:rsidR="00687AE9" w:rsidRPr="00687AE9" w:rsidRDefault="00687AE9" w:rsidP="00687AE9">
                      <w:pPr>
                        <w:jc w:val="center"/>
                        <w:rPr>
                          <w:rFonts w:cs="Calibri"/>
                        </w:rPr>
                      </w:pPr>
                      <w:r w:rsidRPr="00687AE9">
                        <w:rPr>
                          <w:rFonts w:cs="Calibri"/>
                          <w:b/>
                        </w:rPr>
                        <w:t>RÚBRICA DE EVALUACIÓN – PRESENTACIÓN EN EL AULA VIRTUAL DEL PROYECTO PASTORAL</w:t>
                      </w:r>
                    </w:p>
                    <w:p w14:paraId="7DE0D857" w14:textId="77777777" w:rsidR="00687AE9" w:rsidRPr="00687AE9" w:rsidRDefault="00687AE9" w:rsidP="00687AE9">
                      <w:pPr>
                        <w:jc w:val="center"/>
                        <w:rPr>
                          <w:rFonts w:cs="Calibri"/>
                        </w:rPr>
                      </w:pPr>
                    </w:p>
                  </w:txbxContent>
                </v:textbox>
                <w10:wrap anchorx="margin"/>
              </v:shape>
            </w:pict>
          </mc:Fallback>
        </mc:AlternateContent>
      </w:r>
    </w:p>
    <w:p w14:paraId="0DE12467"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color w:val="0070C0"/>
          <w:kern w:val="0"/>
          <w14:ligatures w14:val="none"/>
        </w:rPr>
      </w:pPr>
      <w:r w:rsidRPr="00687AE9">
        <w:rPr>
          <w:rFonts w:ascii="Calibri" w:eastAsia="Calibri" w:hAnsi="Calibri" w:cs="Calibri"/>
          <w:color w:val="0070C0"/>
          <w:kern w:val="0"/>
          <w14:ligatures w14:val="none"/>
        </w:rPr>
        <w:t>En las últimas dos sesiones los y las estudiantes realizarán una presentación audiovisual, sobre su diseño de acción pastoral. Tiene un valor de 20%.</w:t>
      </w:r>
    </w:p>
    <w:p w14:paraId="113E4D9A"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E33B9A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noProof/>
          <w:kern w:val="0"/>
          <w14:ligatures w14:val="none"/>
        </w:rPr>
        <w:drawing>
          <wp:anchor distT="0" distB="0" distL="114300" distR="114300" simplePos="0" relativeHeight="252426240" behindDoc="0" locked="0" layoutInCell="1" allowOverlap="1" wp14:anchorId="66D57D94" wp14:editId="273F7E18">
            <wp:simplePos x="0" y="0"/>
            <wp:positionH relativeFrom="column">
              <wp:posOffset>0</wp:posOffset>
            </wp:positionH>
            <wp:positionV relativeFrom="paragraph">
              <wp:posOffset>318</wp:posOffset>
            </wp:positionV>
            <wp:extent cx="9144000" cy="5097145"/>
            <wp:effectExtent l="0" t="0" r="0" b="8255"/>
            <wp:wrapNone/>
            <wp:docPr id="1525332529" name="Imagen 14" descr="A table of information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2529" name="Imagen 14" descr="A table of information with text&#10;&#10;Description automatically generated with medium confidence"/>
                    <pic:cNvPicPr/>
                  </pic:nvPicPr>
                  <pic:blipFill>
                    <a:blip r:embed="rId314">
                      <a:extLst>
                        <a:ext uri="{28A0092B-C50C-407E-A947-70E740481C1C}">
                          <a14:useLocalDpi xmlns:a14="http://schemas.microsoft.com/office/drawing/2010/main" val="0"/>
                        </a:ext>
                      </a:extLst>
                    </a:blip>
                    <a:stretch>
                      <a:fillRect/>
                    </a:stretch>
                  </pic:blipFill>
                  <pic:spPr>
                    <a:xfrm>
                      <a:off x="0" y="0"/>
                      <a:ext cx="9144000" cy="5097145"/>
                    </a:xfrm>
                    <a:prstGeom prst="rect">
                      <a:avLst/>
                    </a:prstGeom>
                  </pic:spPr>
                </pic:pic>
              </a:graphicData>
            </a:graphic>
          </wp:anchor>
        </w:drawing>
      </w:r>
    </w:p>
    <w:p w14:paraId="41670C8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959238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BB42B76"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9F423A9"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608E36A"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E0904E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B0D7F2F"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FD51EB0"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2E074671"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826244E"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1A4BBA93"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6416501"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75CCBBC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4A4C3754"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68F3655C"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p>
    <w:p w14:paraId="5D19EF12" w14:textId="77777777" w:rsidR="00687AE9" w:rsidRPr="00687AE9" w:rsidRDefault="00687AE9" w:rsidP="00687AE9">
      <w:pPr>
        <w:autoSpaceDE w:val="0"/>
        <w:autoSpaceDN w:val="0"/>
        <w:adjustRightInd w:val="0"/>
        <w:spacing w:after="240" w:line="240" w:lineRule="auto"/>
        <w:jc w:val="center"/>
        <w:rPr>
          <w:rFonts w:ascii="Calibri" w:eastAsia="Calibri" w:hAnsi="Calibri" w:cs="Calibri"/>
          <w:kern w:val="0"/>
          <w14:ligatures w14:val="none"/>
        </w:rPr>
      </w:pPr>
      <w:r w:rsidRPr="00687AE9">
        <w:rPr>
          <w:rFonts w:ascii="Calibri" w:eastAsia="Calibri" w:hAnsi="Calibri" w:cs="Calibri"/>
          <w:kern w:val="0"/>
          <w14:ligatures w14:val="none"/>
        </w:rPr>
        <w:br w:type="page"/>
      </w:r>
    </w:p>
    <w:p w14:paraId="46F55C28" w14:textId="77777777" w:rsidR="00687AE9" w:rsidRPr="00687AE9" w:rsidRDefault="00687AE9" w:rsidP="00687AE9">
      <w:pPr>
        <w:autoSpaceDE w:val="0"/>
        <w:autoSpaceDN w:val="0"/>
        <w:adjustRightInd w:val="0"/>
        <w:spacing w:after="240" w:line="240" w:lineRule="auto"/>
        <w:jc w:val="both"/>
        <w:rPr>
          <w:rFonts w:ascii="Calibri" w:eastAsia="Calibri" w:hAnsi="Calibri" w:cs="Calibri"/>
          <w:b/>
          <w:bCs/>
          <w:kern w:val="0"/>
          <w14:ligatures w14:val="none"/>
        </w:rPr>
        <w:sectPr w:rsidR="00687AE9" w:rsidRPr="00687AE9" w:rsidSect="005C1895">
          <w:pgSz w:w="15840" w:h="12240" w:orient="landscape"/>
          <w:pgMar w:top="720" w:right="720" w:bottom="720" w:left="720" w:header="709" w:footer="709" w:gutter="0"/>
          <w:cols w:space="708"/>
          <w:docGrid w:linePitch="360"/>
        </w:sectPr>
      </w:pPr>
    </w:p>
    <w:p w14:paraId="4DDD4378" w14:textId="77777777" w:rsidR="00687AE9" w:rsidRPr="00687AE9" w:rsidRDefault="00687AE9" w:rsidP="00687AE9">
      <w:pPr>
        <w:autoSpaceDE w:val="0"/>
        <w:autoSpaceDN w:val="0"/>
        <w:adjustRightInd w:val="0"/>
        <w:spacing w:after="240" w:line="240" w:lineRule="auto"/>
        <w:jc w:val="both"/>
        <w:rPr>
          <w:rFonts w:ascii="Calibri" w:eastAsia="Times New Roman" w:hAnsi="Calibri" w:cs="Calibri"/>
          <w:b/>
          <w:bCs/>
          <w:spacing w:val="-2"/>
          <w:kern w:val="28"/>
          <w:lang w:val="es-ES_tradnl" w:eastAsia="es-CR"/>
          <w14:ligatures w14:val="none"/>
        </w:rPr>
      </w:pPr>
      <w:r w:rsidRPr="00687AE9">
        <w:rPr>
          <w:rFonts w:ascii="Calibri" w:eastAsia="Calibri" w:hAnsi="Calibri" w:cs="Calibri"/>
          <w:b/>
          <w:bCs/>
          <w:kern w:val="0"/>
          <w14:ligatures w14:val="none"/>
        </w:rPr>
        <w:lastRenderedPageBreak/>
        <w:t xml:space="preserve">XI. </w:t>
      </w:r>
      <w:r w:rsidRPr="00687AE9">
        <w:rPr>
          <w:rFonts w:ascii="Calibri" w:eastAsia="Times New Roman" w:hAnsi="Calibri" w:cs="Calibri"/>
          <w:b/>
          <w:kern w:val="0"/>
          <w:lang w:val="es-ES_tradnl" w:eastAsia="es-CR"/>
          <w14:ligatures w14:val="none"/>
        </w:rPr>
        <w:t>Bibliografía</w:t>
      </w:r>
      <w:r w:rsidRPr="00687AE9">
        <w:rPr>
          <w:rFonts w:ascii="Calibri" w:eastAsia="Times New Roman" w:hAnsi="Calibri" w:cs="Calibri"/>
          <w:kern w:val="0"/>
          <w:lang w:val="es-ES_tradnl" w:eastAsia="es-CR"/>
          <w14:ligatures w14:val="none"/>
        </w:rPr>
        <w:t xml:space="preserve"> </w:t>
      </w:r>
      <w:r w:rsidRPr="00687AE9">
        <w:rPr>
          <w:rFonts w:ascii="Calibri" w:eastAsia="Times New Roman" w:hAnsi="Calibri" w:cs="Calibri"/>
          <w:b/>
          <w:bCs/>
          <w:kern w:val="0"/>
          <w:lang w:val="es-ES_tradnl" w:eastAsia="es-CR"/>
          <w14:ligatures w14:val="none"/>
        </w:rPr>
        <w:t>obligatoria</w:t>
      </w:r>
    </w:p>
    <w:p w14:paraId="3C7243BC" w14:textId="77777777" w:rsidR="00687AE9" w:rsidRPr="00687AE9" w:rsidRDefault="00687AE9" w:rsidP="00687AE9">
      <w:pPr>
        <w:autoSpaceDE w:val="0"/>
        <w:autoSpaceDN w:val="0"/>
        <w:adjustRightInd w:val="0"/>
        <w:spacing w:after="240" w:line="240" w:lineRule="auto"/>
        <w:jc w:val="both"/>
        <w:rPr>
          <w:rFonts w:ascii="Calibri" w:eastAsia="Times New Roman" w:hAnsi="Calibri" w:cs="Arial"/>
          <w:bCs/>
          <w:color w:val="000000"/>
          <w:kern w:val="0"/>
          <w:lang w:eastAsia="es-CR"/>
          <w14:ligatures w14:val="none"/>
        </w:rPr>
      </w:pPr>
      <w:r w:rsidRPr="00687AE9">
        <w:rPr>
          <w:rFonts w:ascii="Calibri" w:eastAsia="Times New Roman" w:hAnsi="Calibri" w:cs="Arial"/>
          <w:b/>
          <w:color w:val="000000"/>
          <w:kern w:val="0"/>
          <w:lang w:eastAsia="es-CR"/>
          <w14:ligatures w14:val="none"/>
        </w:rPr>
        <w:t>Nota:</w:t>
      </w:r>
      <w:r w:rsidRPr="00687AE9">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687AE9">
        <w:rPr>
          <w:rFonts w:ascii="Calibri" w:eastAsia="Times New Roman" w:hAnsi="Calibri" w:cs="Arial"/>
          <w:bCs/>
          <w:color w:val="000000"/>
          <w:kern w:val="0"/>
          <w:lang w:eastAsia="es-CR"/>
          <w14:ligatures w14:val="none"/>
        </w:rPr>
        <w:t>pdf</w:t>
      </w:r>
      <w:proofErr w:type="spellEnd"/>
      <w:r w:rsidRPr="00687AE9">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069D67C8"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r w:rsidRPr="4C9C2619">
        <w:rPr>
          <w:rFonts w:ascii="Calibri" w:eastAsia="Calibri" w:hAnsi="Calibri" w:cs="Calibri"/>
          <w:kern w:val="0"/>
          <w:lang w:val="es-ES" w:eastAsia="es-CR"/>
          <w14:ligatures w14:val="none"/>
        </w:rPr>
        <w:t>Ander-</w:t>
      </w:r>
      <w:proofErr w:type="spellStart"/>
      <w:r w:rsidRPr="4C9C2619">
        <w:rPr>
          <w:rFonts w:ascii="Calibri" w:eastAsia="Calibri" w:hAnsi="Calibri" w:cs="Calibri"/>
          <w:kern w:val="0"/>
          <w:lang w:val="es-ES" w:eastAsia="es-CR"/>
          <w14:ligatures w14:val="none"/>
        </w:rPr>
        <w:t>Egg</w:t>
      </w:r>
      <w:proofErr w:type="spellEnd"/>
      <w:r w:rsidRPr="4C9C2619">
        <w:rPr>
          <w:rFonts w:ascii="Calibri" w:eastAsia="Calibri" w:hAnsi="Calibri" w:cs="Calibri"/>
          <w:kern w:val="0"/>
          <w:lang w:val="es-ES" w:eastAsia="es-CR"/>
          <w14:ligatures w14:val="none"/>
        </w:rPr>
        <w:t xml:space="preserve">, Ezequiel y María José Aguilar. </w:t>
      </w:r>
      <w:r w:rsidRPr="4C9C2619">
        <w:rPr>
          <w:rFonts w:ascii="Calibri" w:eastAsia="Calibri" w:hAnsi="Calibri" w:cs="Calibri"/>
          <w:i/>
          <w:iCs/>
          <w:kern w:val="0"/>
          <w:lang w:val="es-ES" w:eastAsia="es-CR"/>
          <w14:ligatures w14:val="none"/>
        </w:rPr>
        <w:t xml:space="preserve">Cómo elaborar un proyecto: guía para diseñar proyectos sociales y culturales. </w:t>
      </w:r>
      <w:r w:rsidRPr="4C9C2619">
        <w:rPr>
          <w:rFonts w:ascii="Calibri" w:eastAsia="Calibri" w:hAnsi="Calibri" w:cs="Calibri"/>
          <w:kern w:val="0"/>
          <w:lang w:val="es-ES" w:eastAsia="es-CR"/>
          <w14:ligatures w14:val="none"/>
        </w:rPr>
        <w:t>Buenos Aires: LUMEN, 2005. (</w:t>
      </w:r>
      <w:r w:rsidRPr="4C9C2619">
        <w:rPr>
          <w:rFonts w:ascii="Calibri" w:eastAsia="Calibri" w:hAnsi="Calibri" w:cs="Calibri"/>
          <w:color w:val="0070C0"/>
          <w:kern w:val="0"/>
          <w:lang w:val="es-ES" w:eastAsia="es-CR"/>
          <w14:ligatures w14:val="none"/>
        </w:rPr>
        <w:t>clásico</w:t>
      </w:r>
      <w:r w:rsidRPr="4C9C2619">
        <w:rPr>
          <w:rFonts w:ascii="Calibri" w:eastAsia="Calibri" w:hAnsi="Calibri" w:cs="Calibri"/>
          <w:kern w:val="0"/>
          <w:lang w:val="es-ES" w:eastAsia="es-CR"/>
          <w14:ligatures w14:val="none"/>
        </w:rPr>
        <w:t xml:space="preserve">, última edición </w:t>
      </w:r>
      <w:r w:rsidRPr="4C9C2619">
        <w:rPr>
          <w:rFonts w:ascii="Calibri" w:eastAsia="Calibri" w:hAnsi="Calibri" w:cs="Calibri"/>
          <w:color w:val="0070C0"/>
          <w:kern w:val="0"/>
          <w:lang w:val="es-ES" w:eastAsia="es-CR"/>
          <w14:ligatures w14:val="none"/>
        </w:rPr>
        <w:t>2008</w:t>
      </w:r>
      <w:r w:rsidRPr="4C9C2619">
        <w:rPr>
          <w:rFonts w:ascii="Calibri" w:eastAsia="Calibri" w:hAnsi="Calibri" w:cs="Calibri"/>
          <w:kern w:val="0"/>
          <w:lang w:val="es-ES" w:eastAsia="es-CR"/>
          <w14:ligatures w14:val="none"/>
        </w:rPr>
        <w:t>)</w:t>
      </w:r>
    </w:p>
    <w:p w14:paraId="5FA30705"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proofErr w:type="spellStart"/>
      <w:r w:rsidRPr="4C9C2619">
        <w:rPr>
          <w:rFonts w:ascii="Calibri" w:eastAsia="Calibri" w:hAnsi="Calibri" w:cs="Calibri"/>
          <w:kern w:val="0"/>
          <w:lang w:val="es-ES" w:eastAsia="es-CR"/>
          <w14:ligatures w14:val="none"/>
        </w:rPr>
        <w:t>Balcomb</w:t>
      </w:r>
      <w:proofErr w:type="spellEnd"/>
      <w:r w:rsidRPr="4C9C2619">
        <w:rPr>
          <w:rFonts w:ascii="Calibri" w:eastAsia="Calibri" w:hAnsi="Calibri" w:cs="Calibri"/>
          <w:kern w:val="0"/>
          <w:lang w:val="es-ES" w:eastAsia="es-CR"/>
          <w14:ligatures w14:val="none"/>
        </w:rPr>
        <w:t xml:space="preserve">, Anthony. “El encuentro de cosmovisiones: premoderna, moderna y postmoderna”. </w:t>
      </w:r>
      <w:r w:rsidRPr="4C9C2619">
        <w:rPr>
          <w:rFonts w:ascii="Calibri" w:eastAsia="Calibri" w:hAnsi="Calibri" w:cs="Calibri"/>
          <w:i/>
          <w:iCs/>
          <w:kern w:val="0"/>
          <w:lang w:val="es-ES" w:eastAsia="es-CR"/>
          <w14:ligatures w14:val="none"/>
        </w:rPr>
        <w:t xml:space="preserve">Vida y Pensamiento 28, </w:t>
      </w:r>
      <w:r w:rsidRPr="4C9C2619">
        <w:rPr>
          <w:rFonts w:ascii="Calibri" w:eastAsia="Calibri" w:hAnsi="Calibri" w:cs="Calibri"/>
          <w:kern w:val="0"/>
          <w:lang w:val="es-ES" w:eastAsia="es-CR"/>
          <w14:ligatures w14:val="none"/>
        </w:rPr>
        <w:t>n.1 (2008): pp. 7-24.</w:t>
      </w:r>
    </w:p>
    <w:p w14:paraId="0C5140D5"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proofErr w:type="spellStart"/>
      <w:r w:rsidRPr="4C9C2619">
        <w:rPr>
          <w:rFonts w:ascii="Calibri" w:eastAsia="Calibri" w:hAnsi="Calibri" w:cs="Calibri"/>
          <w:kern w:val="0"/>
          <w:lang w:val="es-ES" w:eastAsia="es-CR"/>
          <w14:ligatures w14:val="none"/>
        </w:rPr>
        <w:t>Balcomb</w:t>
      </w:r>
      <w:proofErr w:type="spellEnd"/>
      <w:r w:rsidRPr="4C9C2619">
        <w:rPr>
          <w:rFonts w:ascii="Calibri" w:eastAsia="Calibri" w:hAnsi="Calibri" w:cs="Calibri"/>
          <w:kern w:val="0"/>
          <w:lang w:val="es-ES" w:eastAsia="es-CR"/>
          <w14:ligatures w14:val="none"/>
        </w:rPr>
        <w:t xml:space="preserve">, Anthony. “La postmodernidad y el reencantamiento del mundo: propuestas tentativas”. </w:t>
      </w:r>
      <w:r w:rsidRPr="4C9C2619">
        <w:rPr>
          <w:rFonts w:ascii="Calibri" w:eastAsia="Calibri" w:hAnsi="Calibri" w:cs="Calibri"/>
          <w:i/>
          <w:iCs/>
          <w:kern w:val="0"/>
          <w:lang w:val="es-ES" w:eastAsia="es-CR"/>
          <w14:ligatures w14:val="none"/>
        </w:rPr>
        <w:t xml:space="preserve">Vida y Pensamiento 28, </w:t>
      </w:r>
      <w:r w:rsidRPr="4C9C2619">
        <w:rPr>
          <w:rFonts w:ascii="Calibri" w:eastAsia="Calibri" w:hAnsi="Calibri" w:cs="Calibri"/>
          <w:kern w:val="0"/>
          <w:lang w:val="es-ES" w:eastAsia="es-CR"/>
          <w14:ligatures w14:val="none"/>
        </w:rPr>
        <w:t>n.1 (2008): pp. 29-48.</w:t>
      </w:r>
    </w:p>
    <w:p w14:paraId="2430E214"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proofErr w:type="spellStart"/>
      <w:r w:rsidRPr="4C9C2619">
        <w:rPr>
          <w:rFonts w:ascii="Calibri" w:eastAsia="Calibri" w:hAnsi="Calibri" w:cs="Calibri"/>
          <w:kern w:val="0"/>
          <w:lang w:val="es-ES" w:eastAsia="es-CR"/>
          <w14:ligatures w14:val="none"/>
        </w:rPr>
        <w:t>Balcomb</w:t>
      </w:r>
      <w:proofErr w:type="spellEnd"/>
      <w:r w:rsidRPr="4C9C2619">
        <w:rPr>
          <w:rFonts w:ascii="Calibri" w:eastAsia="Calibri" w:hAnsi="Calibri" w:cs="Calibri"/>
          <w:kern w:val="0"/>
          <w:lang w:val="es-ES" w:eastAsia="es-CR"/>
          <w14:ligatures w14:val="none"/>
        </w:rPr>
        <w:t xml:space="preserve">, Anthony. “Las cosmovisiones y la relación Dios/Mundo”. </w:t>
      </w:r>
      <w:r w:rsidRPr="4C9C2619">
        <w:rPr>
          <w:rFonts w:ascii="Calibri" w:eastAsia="Calibri" w:hAnsi="Calibri" w:cs="Calibri"/>
          <w:i/>
          <w:iCs/>
          <w:kern w:val="0"/>
          <w:lang w:val="es-ES" w:eastAsia="es-CR"/>
          <w14:ligatures w14:val="none"/>
        </w:rPr>
        <w:t xml:space="preserve">Vida y Pensamiento 28, </w:t>
      </w:r>
      <w:r w:rsidRPr="4C9C2619">
        <w:rPr>
          <w:rFonts w:ascii="Calibri" w:eastAsia="Calibri" w:hAnsi="Calibri" w:cs="Calibri"/>
          <w:kern w:val="0"/>
          <w:lang w:val="es-ES" w:eastAsia="es-CR"/>
          <w14:ligatures w14:val="none"/>
        </w:rPr>
        <w:t xml:space="preserve">n.1 (2008): pp. 57-72. </w:t>
      </w:r>
    </w:p>
    <w:p w14:paraId="025DE3AC" w14:textId="77777777" w:rsidR="00687AE9" w:rsidRPr="00687AE9" w:rsidRDefault="00687AE9" w:rsidP="00687AE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_tradnl" w:eastAsia="es-CR"/>
          <w14:ligatures w14:val="none"/>
        </w:rPr>
      </w:pPr>
      <w:r w:rsidRPr="00687AE9">
        <w:rPr>
          <w:rFonts w:ascii="Calibri" w:eastAsia="Calibri" w:hAnsi="Calibri" w:cs="Calibri"/>
          <w:kern w:val="0"/>
          <w:lang w:val="es-ES_tradnl" w:eastAsia="es-CR"/>
          <w14:ligatures w14:val="none"/>
        </w:rPr>
        <w:t xml:space="preserve">Baltodano, Sara. “Propuesta epistemológica para una Psicología Pastoral con perspectiva latinoamericana”. </w:t>
      </w:r>
      <w:r w:rsidRPr="00687AE9">
        <w:rPr>
          <w:rFonts w:ascii="Calibri" w:eastAsia="Calibri" w:hAnsi="Calibri" w:cs="Calibri"/>
          <w:i/>
          <w:kern w:val="0"/>
          <w:lang w:val="es-ES_tradnl" w:eastAsia="es-CR"/>
          <w14:ligatures w14:val="none"/>
        </w:rPr>
        <w:t xml:space="preserve">Vida y Pensamiento 28, </w:t>
      </w:r>
      <w:r w:rsidRPr="00687AE9">
        <w:rPr>
          <w:rFonts w:ascii="Calibri" w:eastAsia="Calibri" w:hAnsi="Calibri" w:cs="Calibri"/>
          <w:kern w:val="0"/>
          <w:lang w:val="es-ES_tradnl" w:eastAsia="es-CR"/>
          <w14:ligatures w14:val="none"/>
        </w:rPr>
        <w:t xml:space="preserve">n.1 (2008): pp. 95-110. </w:t>
      </w:r>
    </w:p>
    <w:p w14:paraId="66F3FF1F" w14:textId="77777777" w:rsidR="00687AE9" w:rsidRPr="00687AE9" w:rsidRDefault="00687AE9" w:rsidP="00687AE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_tradnl" w:eastAsia="es-CR"/>
          <w14:ligatures w14:val="none"/>
        </w:rPr>
      </w:pPr>
      <w:r w:rsidRPr="00687AE9">
        <w:rPr>
          <w:rFonts w:ascii="Calibri" w:eastAsia="Calibri" w:hAnsi="Calibri" w:cs="Calibri"/>
          <w:kern w:val="0"/>
          <w:lang w:val="es-ES_tradnl" w:eastAsia="es-CR"/>
          <w14:ligatures w14:val="none"/>
        </w:rPr>
        <w:t xml:space="preserve">De Lima, Silvia. “Una respuesta desde la teología. El compromiso de las teologías con el reencantamiento del mundo”. </w:t>
      </w:r>
      <w:r w:rsidRPr="00687AE9">
        <w:rPr>
          <w:rFonts w:ascii="Calibri" w:eastAsia="Calibri" w:hAnsi="Calibri" w:cs="Calibri"/>
          <w:i/>
          <w:kern w:val="0"/>
          <w:lang w:val="es-ES_tradnl" w:eastAsia="es-CR"/>
          <w14:ligatures w14:val="none"/>
        </w:rPr>
        <w:t xml:space="preserve">Vida y Pensamiento 28, </w:t>
      </w:r>
      <w:r w:rsidRPr="00687AE9">
        <w:rPr>
          <w:rFonts w:ascii="Calibri" w:eastAsia="Calibri" w:hAnsi="Calibri" w:cs="Calibri"/>
          <w:kern w:val="0"/>
          <w:lang w:val="es-ES_tradnl" w:eastAsia="es-CR"/>
          <w14:ligatures w14:val="none"/>
        </w:rPr>
        <w:t>n.1 (2008): pp. 81-93.</w:t>
      </w:r>
    </w:p>
    <w:p w14:paraId="398F2699"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proofErr w:type="spellStart"/>
      <w:r w:rsidRPr="4C9C2619">
        <w:rPr>
          <w:rFonts w:ascii="Calibri" w:eastAsia="Calibri" w:hAnsi="Calibri" w:cs="Calibri"/>
          <w:kern w:val="0"/>
          <w:lang w:val="es-ES" w:eastAsia="es-CR"/>
          <w14:ligatures w14:val="none"/>
        </w:rPr>
        <w:t>Foulkes</w:t>
      </w:r>
      <w:proofErr w:type="spellEnd"/>
      <w:r w:rsidRPr="4C9C2619">
        <w:rPr>
          <w:rFonts w:ascii="Calibri" w:eastAsia="Calibri" w:hAnsi="Calibri" w:cs="Calibri"/>
          <w:kern w:val="0"/>
          <w:lang w:val="es-ES" w:eastAsia="es-CR"/>
          <w14:ligatures w14:val="none"/>
        </w:rPr>
        <w:t xml:space="preserve">, Irene. “Respuesta desde el Nuevo Testamento. Cosmovisión primaria y reencantamiento desde el Nuevo Testamento”. </w:t>
      </w:r>
      <w:r w:rsidRPr="4C9C2619">
        <w:rPr>
          <w:rFonts w:ascii="Calibri" w:eastAsia="Calibri" w:hAnsi="Calibri" w:cs="Calibri"/>
          <w:i/>
          <w:iCs/>
          <w:kern w:val="0"/>
          <w:lang w:val="es-ES" w:eastAsia="es-CR"/>
          <w14:ligatures w14:val="none"/>
        </w:rPr>
        <w:t xml:space="preserve">Vida y Pensamiento 28, </w:t>
      </w:r>
      <w:r w:rsidRPr="4C9C2619">
        <w:rPr>
          <w:rFonts w:ascii="Calibri" w:eastAsia="Calibri" w:hAnsi="Calibri" w:cs="Calibri"/>
          <w:kern w:val="0"/>
          <w:lang w:val="es-ES" w:eastAsia="es-CR"/>
          <w14:ligatures w14:val="none"/>
        </w:rPr>
        <w:t>n.1 (2008): pp. 73-79.</w:t>
      </w:r>
    </w:p>
    <w:p w14:paraId="43C8A05C"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Times New Roman" w:hAnsi="Calibri" w:cs="Calibri"/>
          <w:kern w:val="0"/>
          <w:lang w:val="es-ES" w:eastAsia="es-CR"/>
          <w14:ligatures w14:val="none"/>
        </w:rPr>
      </w:pPr>
      <w:r w:rsidRPr="4C9C2619">
        <w:rPr>
          <w:rFonts w:ascii="Calibri" w:eastAsia="Calibri" w:hAnsi="Calibri" w:cs="Calibri"/>
          <w:kern w:val="0"/>
          <w:lang w:val="es-ES" w:eastAsia="es-CR"/>
          <w14:ligatures w14:val="none"/>
        </w:rPr>
        <w:t xml:space="preserve">Muntaner, Guillem. </w:t>
      </w:r>
      <w:r w:rsidRPr="4C9C2619">
        <w:rPr>
          <w:rFonts w:ascii="Calibri" w:eastAsia="Calibri" w:hAnsi="Calibri" w:cs="Calibri"/>
          <w:i/>
          <w:iCs/>
          <w:kern w:val="0"/>
          <w:lang w:val="es-ES" w:eastAsia="es-CR"/>
          <w14:ligatures w14:val="none"/>
        </w:rPr>
        <w:t xml:space="preserve">Hacia una nueva configuración del mundo: sociedad, cultura, religión. </w:t>
      </w:r>
      <w:r w:rsidRPr="4C9C2619">
        <w:rPr>
          <w:rFonts w:ascii="Calibri" w:eastAsia="Calibri" w:hAnsi="Calibri" w:cs="Calibri"/>
          <w:kern w:val="0"/>
          <w:lang w:val="es-ES" w:eastAsia="es-CR"/>
          <w14:ligatures w14:val="none"/>
        </w:rPr>
        <w:t xml:space="preserve">Bilbao: </w:t>
      </w:r>
      <w:proofErr w:type="spellStart"/>
      <w:r w:rsidRPr="4C9C2619">
        <w:rPr>
          <w:rFonts w:ascii="Calibri" w:eastAsia="Calibri" w:hAnsi="Calibri" w:cs="Calibri"/>
          <w:kern w:val="0"/>
          <w:lang w:val="es-ES" w:eastAsia="es-CR"/>
          <w14:ligatures w14:val="none"/>
        </w:rPr>
        <w:t>Desclee</w:t>
      </w:r>
      <w:proofErr w:type="spellEnd"/>
      <w:r w:rsidRPr="4C9C2619">
        <w:rPr>
          <w:rFonts w:ascii="Calibri" w:eastAsia="Calibri" w:hAnsi="Calibri" w:cs="Calibri"/>
          <w:kern w:val="0"/>
          <w:lang w:val="es-ES" w:eastAsia="es-CR"/>
          <w14:ligatures w14:val="none"/>
        </w:rPr>
        <w:t xml:space="preserve"> de Brouwer, 2001. (</w:t>
      </w:r>
      <w:r w:rsidRPr="4C9C2619">
        <w:rPr>
          <w:rFonts w:ascii="Calibri" w:eastAsia="Calibri" w:hAnsi="Calibri" w:cs="Calibri"/>
          <w:color w:val="0070C0"/>
          <w:kern w:val="0"/>
          <w:lang w:val="es-ES" w:eastAsia="es-CR"/>
          <w14:ligatures w14:val="none"/>
        </w:rPr>
        <w:t xml:space="preserve">clásico, </w:t>
      </w:r>
      <w:r w:rsidRPr="4C9C2619">
        <w:rPr>
          <w:rFonts w:ascii="Calibri" w:eastAsia="Calibri" w:hAnsi="Calibri" w:cs="Calibri"/>
          <w:kern w:val="0"/>
          <w:lang w:val="es-ES" w:eastAsia="es-CR"/>
          <w14:ligatures w14:val="none"/>
        </w:rPr>
        <w:t>última edición)</w:t>
      </w:r>
    </w:p>
    <w:p w14:paraId="02BCCF07"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proofErr w:type="spellStart"/>
      <w:r w:rsidRPr="4C9C2619">
        <w:rPr>
          <w:rFonts w:ascii="Calibri" w:eastAsia="Calibri" w:hAnsi="Calibri" w:cs="Calibri"/>
          <w:kern w:val="0"/>
          <w:lang w:val="es-ES" w:eastAsia="es-CR"/>
          <w14:ligatures w14:val="none"/>
        </w:rPr>
        <w:t>Pellitero</w:t>
      </w:r>
      <w:proofErr w:type="spellEnd"/>
      <w:r w:rsidRPr="4C9C2619">
        <w:rPr>
          <w:rFonts w:ascii="Calibri" w:eastAsia="Calibri" w:hAnsi="Calibri" w:cs="Calibri"/>
          <w:kern w:val="0"/>
          <w:lang w:val="es-ES" w:eastAsia="es-CR"/>
          <w14:ligatures w14:val="none"/>
        </w:rPr>
        <w:t xml:space="preserve">, Ramiro. </w:t>
      </w:r>
      <w:r w:rsidRPr="4C9C2619">
        <w:rPr>
          <w:rFonts w:ascii="Calibri" w:eastAsia="Calibri" w:hAnsi="Calibri" w:cs="Calibri"/>
          <w:i/>
          <w:iCs/>
          <w:kern w:val="0"/>
          <w:lang w:val="es-ES" w:eastAsia="es-CR"/>
          <w14:ligatures w14:val="none"/>
        </w:rPr>
        <w:t xml:space="preserve">Teología pastoral. Panorámica y perspectivas: una eclesiología práctica al alcance de todos. </w:t>
      </w:r>
      <w:r w:rsidRPr="4C9C2619">
        <w:rPr>
          <w:rFonts w:ascii="Calibri" w:eastAsia="Calibri" w:hAnsi="Calibri" w:cs="Calibri"/>
          <w:kern w:val="0"/>
          <w:lang w:val="es-ES" w:eastAsia="es-CR"/>
          <w14:ligatures w14:val="none"/>
        </w:rPr>
        <w:t xml:space="preserve">Bilbao: </w:t>
      </w:r>
      <w:proofErr w:type="spellStart"/>
      <w:r w:rsidRPr="4C9C2619">
        <w:rPr>
          <w:rFonts w:ascii="Calibri" w:eastAsia="Calibri" w:hAnsi="Calibri" w:cs="Calibri"/>
          <w:kern w:val="0"/>
          <w:lang w:val="es-ES" w:eastAsia="es-CR"/>
          <w14:ligatures w14:val="none"/>
        </w:rPr>
        <w:t>Grafite</w:t>
      </w:r>
      <w:proofErr w:type="spellEnd"/>
      <w:r w:rsidRPr="4C9C2619">
        <w:rPr>
          <w:rFonts w:ascii="Calibri" w:eastAsia="Calibri" w:hAnsi="Calibri" w:cs="Calibri"/>
          <w:kern w:val="0"/>
          <w:lang w:val="es-ES" w:eastAsia="es-CR"/>
          <w14:ligatures w14:val="none"/>
        </w:rPr>
        <w:t>, 2006. (</w:t>
      </w:r>
      <w:r w:rsidRPr="4C9C2619">
        <w:rPr>
          <w:rFonts w:ascii="Calibri" w:eastAsia="Calibri" w:hAnsi="Calibri" w:cs="Calibri"/>
          <w:color w:val="0070C0"/>
          <w:kern w:val="0"/>
          <w:lang w:val="es-ES" w:eastAsia="es-CR"/>
          <w14:ligatures w14:val="none"/>
        </w:rPr>
        <w:t>clásico</w:t>
      </w:r>
      <w:r w:rsidRPr="4C9C2619">
        <w:rPr>
          <w:rFonts w:ascii="Calibri" w:eastAsia="Calibri" w:hAnsi="Calibri" w:cs="Calibri"/>
          <w:kern w:val="0"/>
          <w:lang w:val="es-ES" w:eastAsia="es-CR"/>
          <w14:ligatures w14:val="none"/>
        </w:rPr>
        <w:t xml:space="preserve">, última edición) </w:t>
      </w:r>
    </w:p>
    <w:p w14:paraId="205EFEB6" w14:textId="77777777" w:rsidR="00687AE9" w:rsidRPr="00687AE9" w:rsidRDefault="00687AE9" w:rsidP="4C9C261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 w:eastAsia="es-CR"/>
          <w14:ligatures w14:val="none"/>
        </w:rPr>
      </w:pPr>
      <w:r w:rsidRPr="4C9C2619">
        <w:rPr>
          <w:rFonts w:ascii="Calibri" w:eastAsia="Calibri" w:hAnsi="Calibri" w:cs="Calibri"/>
          <w:kern w:val="0"/>
          <w:lang w:val="es-ES" w:eastAsia="es-CR"/>
          <w14:ligatures w14:val="none"/>
        </w:rPr>
        <w:t xml:space="preserve">Ramos </w:t>
      </w:r>
      <w:proofErr w:type="spellStart"/>
      <w:r w:rsidRPr="4C9C2619">
        <w:rPr>
          <w:rFonts w:ascii="Calibri" w:eastAsia="Calibri" w:hAnsi="Calibri" w:cs="Calibri"/>
          <w:kern w:val="0"/>
          <w:lang w:val="es-ES" w:eastAsia="es-CR"/>
          <w14:ligatures w14:val="none"/>
        </w:rPr>
        <w:t>Guerreira</w:t>
      </w:r>
      <w:proofErr w:type="spellEnd"/>
      <w:r w:rsidRPr="4C9C2619">
        <w:rPr>
          <w:rFonts w:ascii="Calibri" w:eastAsia="Calibri" w:hAnsi="Calibri" w:cs="Calibri"/>
          <w:kern w:val="0"/>
          <w:lang w:val="es-ES" w:eastAsia="es-CR"/>
          <w14:ligatures w14:val="none"/>
        </w:rPr>
        <w:t xml:space="preserve">, Julio A. </w:t>
      </w:r>
      <w:r w:rsidRPr="4C9C2619">
        <w:rPr>
          <w:rFonts w:ascii="Calibri" w:eastAsia="Calibri" w:hAnsi="Calibri" w:cs="Calibri"/>
          <w:i/>
          <w:iCs/>
          <w:kern w:val="0"/>
          <w:lang w:val="es-ES" w:eastAsia="es-CR"/>
          <w14:ligatures w14:val="none"/>
        </w:rPr>
        <w:t xml:space="preserve">Teología pastoral. </w:t>
      </w:r>
      <w:r w:rsidRPr="4C9C2619">
        <w:rPr>
          <w:rFonts w:ascii="Calibri" w:eastAsia="Calibri" w:hAnsi="Calibri" w:cs="Calibri"/>
          <w:kern w:val="0"/>
          <w:lang w:val="es-ES" w:eastAsia="es-CR"/>
          <w14:ligatures w14:val="none"/>
        </w:rPr>
        <w:t>Madrid: Biblioteca de Autores Cristianos, 1999. (</w:t>
      </w:r>
      <w:r w:rsidRPr="4C9C2619">
        <w:rPr>
          <w:rFonts w:ascii="Calibri" w:eastAsia="Calibri" w:hAnsi="Calibri" w:cs="Calibri"/>
          <w:color w:val="0070C0"/>
          <w:kern w:val="0"/>
          <w:lang w:val="es-ES" w:eastAsia="es-CR"/>
          <w14:ligatures w14:val="none"/>
        </w:rPr>
        <w:t>clásico</w:t>
      </w:r>
      <w:r w:rsidRPr="4C9C2619">
        <w:rPr>
          <w:rFonts w:ascii="Calibri" w:eastAsia="Calibri" w:hAnsi="Calibri" w:cs="Calibri"/>
          <w:kern w:val="0"/>
          <w:lang w:val="es-ES" w:eastAsia="es-CR"/>
          <w14:ligatures w14:val="none"/>
        </w:rPr>
        <w:t>, última edición)</w:t>
      </w:r>
    </w:p>
    <w:p w14:paraId="775E4450" w14:textId="77777777" w:rsidR="00687AE9" w:rsidRPr="00687AE9" w:rsidRDefault="00687AE9" w:rsidP="00687AE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_tradnl" w:eastAsia="es-CR"/>
          <w14:ligatures w14:val="none"/>
        </w:rPr>
      </w:pPr>
      <w:r w:rsidRPr="00687AE9">
        <w:rPr>
          <w:rFonts w:ascii="Calibri" w:eastAsia="Calibri" w:hAnsi="Calibri" w:cs="Calibri"/>
          <w:kern w:val="0"/>
          <w:lang w:val="es-ES_tradnl" w:eastAsia="es-CR"/>
          <w14:ligatures w14:val="none"/>
        </w:rPr>
        <w:t xml:space="preserve">Tamez, Elsa. “Una respuesta desde América Latina”. </w:t>
      </w:r>
      <w:r w:rsidRPr="00687AE9">
        <w:rPr>
          <w:rFonts w:ascii="Calibri" w:eastAsia="Calibri" w:hAnsi="Calibri" w:cs="Calibri"/>
          <w:i/>
          <w:kern w:val="0"/>
          <w:lang w:val="es-ES_tradnl" w:eastAsia="es-CR"/>
          <w14:ligatures w14:val="none"/>
        </w:rPr>
        <w:t xml:space="preserve">Vida y Pensamiento 28, </w:t>
      </w:r>
      <w:r w:rsidRPr="00687AE9">
        <w:rPr>
          <w:rFonts w:ascii="Calibri" w:eastAsia="Calibri" w:hAnsi="Calibri" w:cs="Calibri"/>
          <w:kern w:val="0"/>
          <w:lang w:val="es-ES_tradnl" w:eastAsia="es-CR"/>
          <w14:ligatures w14:val="none"/>
        </w:rPr>
        <w:t>n.1 (2008): pp. 49-56.</w:t>
      </w:r>
    </w:p>
    <w:p w14:paraId="766FAABE" w14:textId="77777777" w:rsidR="00687AE9" w:rsidRPr="00687AE9" w:rsidRDefault="00687AE9" w:rsidP="00687AE9">
      <w:pPr>
        <w:widowControl w:val="0"/>
        <w:overflowPunct w:val="0"/>
        <w:autoSpaceDE w:val="0"/>
        <w:autoSpaceDN w:val="0"/>
        <w:adjustRightInd w:val="0"/>
        <w:spacing w:before="120" w:after="0" w:line="276" w:lineRule="auto"/>
        <w:ind w:left="709" w:hanging="709"/>
        <w:jc w:val="both"/>
        <w:rPr>
          <w:rFonts w:ascii="Calibri" w:eastAsia="Calibri" w:hAnsi="Calibri" w:cs="Calibri"/>
          <w:kern w:val="0"/>
          <w:lang w:val="es-ES_tradnl" w:eastAsia="es-CR"/>
          <w14:ligatures w14:val="none"/>
        </w:rPr>
      </w:pPr>
    </w:p>
    <w:p w14:paraId="34F63AA1" w14:textId="77777777" w:rsidR="00687AE9" w:rsidRPr="00687AE9" w:rsidRDefault="00687AE9" w:rsidP="00687AE9">
      <w:pPr>
        <w:autoSpaceDE w:val="0"/>
        <w:autoSpaceDN w:val="0"/>
        <w:adjustRightInd w:val="0"/>
        <w:spacing w:after="240" w:line="240" w:lineRule="auto"/>
        <w:jc w:val="both"/>
        <w:rPr>
          <w:rFonts w:ascii="Calibri" w:eastAsia="Times New Roman" w:hAnsi="Calibri" w:cs="Calibri"/>
          <w:kern w:val="0"/>
          <w:lang w:val="es-ES_tradnl" w:eastAsia="es-CR"/>
          <w14:ligatures w14:val="none"/>
        </w:rPr>
      </w:pPr>
      <w:r w:rsidRPr="00687AE9">
        <w:rPr>
          <w:rFonts w:ascii="Calibri" w:eastAsia="Calibri" w:hAnsi="Calibri" w:cs="Calibri"/>
          <w:b/>
          <w:bCs/>
          <w:kern w:val="0"/>
          <w14:ligatures w14:val="none"/>
        </w:rPr>
        <w:t xml:space="preserve">XII. </w:t>
      </w:r>
      <w:r w:rsidRPr="00687AE9">
        <w:rPr>
          <w:rFonts w:ascii="Calibri" w:eastAsia="Times New Roman" w:hAnsi="Calibri" w:cs="Calibri"/>
          <w:b/>
          <w:kern w:val="0"/>
          <w:lang w:val="es-ES_tradnl" w:eastAsia="es-CR"/>
          <w14:ligatures w14:val="none"/>
        </w:rPr>
        <w:t>Bibliografía complementaria</w:t>
      </w:r>
      <w:r w:rsidRPr="00687AE9">
        <w:rPr>
          <w:rFonts w:ascii="Calibri" w:eastAsia="Times New Roman" w:hAnsi="Calibri" w:cs="Calibri"/>
          <w:kern w:val="0"/>
          <w:lang w:val="es-ES_tradnl" w:eastAsia="es-CR"/>
          <w14:ligatures w14:val="none"/>
        </w:rPr>
        <w:t xml:space="preserve"> </w:t>
      </w:r>
    </w:p>
    <w:p w14:paraId="6533F2DA" w14:textId="77777777" w:rsidR="00687AE9" w:rsidRPr="00687AE9" w:rsidRDefault="00687AE9" w:rsidP="00687AE9">
      <w:pPr>
        <w:autoSpaceDE w:val="0"/>
        <w:autoSpaceDN w:val="0"/>
        <w:adjustRightInd w:val="0"/>
        <w:spacing w:after="240" w:line="240" w:lineRule="auto"/>
        <w:jc w:val="both"/>
        <w:rPr>
          <w:rFonts w:ascii="Calibri" w:eastAsia="Times New Roman" w:hAnsi="Calibri" w:cs="Arial"/>
          <w:bCs/>
          <w:color w:val="000000"/>
          <w:kern w:val="0"/>
          <w:lang w:eastAsia="es-CR"/>
          <w14:ligatures w14:val="none"/>
        </w:rPr>
      </w:pPr>
      <w:r w:rsidRPr="00687AE9">
        <w:rPr>
          <w:rFonts w:ascii="Calibri" w:eastAsia="Times New Roman" w:hAnsi="Calibri" w:cs="Arial"/>
          <w:b/>
          <w:color w:val="000000"/>
          <w:kern w:val="0"/>
          <w:lang w:eastAsia="es-CR"/>
          <w14:ligatures w14:val="none"/>
        </w:rPr>
        <w:t>Nota:</w:t>
      </w:r>
      <w:r w:rsidRPr="00687AE9">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687AE9">
        <w:rPr>
          <w:rFonts w:ascii="Calibri" w:eastAsia="Times New Roman" w:hAnsi="Calibri" w:cs="Arial"/>
          <w:bCs/>
          <w:color w:val="000000"/>
          <w:kern w:val="0"/>
          <w:lang w:eastAsia="es-CR"/>
          <w14:ligatures w14:val="none"/>
        </w:rPr>
        <w:t>pdf</w:t>
      </w:r>
      <w:proofErr w:type="spellEnd"/>
      <w:r w:rsidRPr="00687AE9">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14F87029" w14:textId="77777777" w:rsidR="00687AE9" w:rsidRPr="00687AE9" w:rsidRDefault="00687AE9" w:rsidP="00687AE9">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_tradnl" w:eastAsia="es-CR"/>
          <w14:ligatures w14:val="none"/>
        </w:rPr>
      </w:pPr>
      <w:r w:rsidRPr="00687AE9">
        <w:rPr>
          <w:rFonts w:ascii="Calibri" w:eastAsia="Times New Roman" w:hAnsi="Calibri" w:cs="Calibri"/>
          <w:kern w:val="0"/>
          <w:lang w:val="es-ES_tradnl" w:eastAsia="es-CR"/>
          <w14:ligatures w14:val="none"/>
        </w:rPr>
        <w:t xml:space="preserve">Mori, Geraldo de. “El carácter práctico de la teología”. </w:t>
      </w:r>
      <w:r w:rsidRPr="00687AE9">
        <w:rPr>
          <w:rFonts w:ascii="Calibri" w:eastAsia="Times New Roman" w:hAnsi="Calibri" w:cs="Calibri"/>
          <w:i/>
          <w:kern w:val="0"/>
          <w:lang w:val="es-ES_tradnl" w:eastAsia="es-CR"/>
          <w14:ligatures w14:val="none"/>
        </w:rPr>
        <w:t>Teología y Vida</w:t>
      </w:r>
      <w:r w:rsidRPr="00687AE9">
        <w:rPr>
          <w:rFonts w:ascii="Calibri" w:eastAsia="Times New Roman" w:hAnsi="Calibri" w:cs="Calibri"/>
          <w:kern w:val="0"/>
          <w:lang w:val="es-ES_tradnl" w:eastAsia="es-CR"/>
          <w14:ligatures w14:val="none"/>
        </w:rPr>
        <w:t xml:space="preserve"> 51, n. 4 (2010): 501-519. Acceso el 18 de diciembre de 2020. </w:t>
      </w:r>
      <w:hyperlink r:id="rId315" w:history="1">
        <w:r w:rsidRPr="00687AE9">
          <w:rPr>
            <w:rFonts w:ascii="Calibri" w:eastAsia="Times New Roman" w:hAnsi="Calibri" w:cs="Calibri"/>
            <w:color w:val="0000FF"/>
            <w:kern w:val="0"/>
            <w:u w:val="single"/>
            <w:lang w:val="es-ES_tradnl" w:eastAsia="es-CR"/>
            <w14:ligatures w14:val="none"/>
          </w:rPr>
          <w:t>https://www.redalyc.org/articulo.oa?id=32219216003</w:t>
        </w:r>
      </w:hyperlink>
      <w:r w:rsidRPr="00687AE9">
        <w:rPr>
          <w:rFonts w:ascii="Calibri" w:eastAsia="Times New Roman" w:hAnsi="Calibri" w:cs="Calibri"/>
          <w:kern w:val="0"/>
          <w:lang w:val="es-ES_tradnl" w:eastAsia="es-CR"/>
          <w14:ligatures w14:val="none"/>
        </w:rPr>
        <w:t xml:space="preserve"> </w:t>
      </w:r>
    </w:p>
    <w:p w14:paraId="19F39C01" w14:textId="77777777" w:rsidR="00687AE9" w:rsidRPr="00687AE9" w:rsidRDefault="00687AE9" w:rsidP="4C9C2619">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Román López-</w:t>
      </w:r>
      <w:proofErr w:type="spellStart"/>
      <w:r w:rsidRPr="4C9C2619">
        <w:rPr>
          <w:rFonts w:ascii="Calibri" w:eastAsia="Times New Roman" w:hAnsi="Calibri" w:cs="Calibri"/>
          <w:kern w:val="0"/>
          <w:lang w:val="es-ES" w:eastAsia="es-CR"/>
          <w14:ligatures w14:val="none"/>
        </w:rPr>
        <w:t>Dollinger</w:t>
      </w:r>
      <w:proofErr w:type="spellEnd"/>
      <w:r w:rsidRPr="4C9C2619">
        <w:rPr>
          <w:rFonts w:ascii="Calibri" w:eastAsia="Times New Roman" w:hAnsi="Calibri" w:cs="Calibri"/>
          <w:kern w:val="0"/>
          <w:lang w:val="es-ES" w:eastAsia="es-CR"/>
          <w14:ligatures w14:val="none"/>
        </w:rPr>
        <w:t xml:space="preserve">, Ángel Eduardo. “Aspectos históricos de la Teología Práctica”. </w:t>
      </w:r>
      <w:r w:rsidRPr="4C9C2619">
        <w:rPr>
          <w:rFonts w:ascii="Calibri" w:eastAsia="Times New Roman" w:hAnsi="Calibri" w:cs="Calibri"/>
          <w:i/>
          <w:iCs/>
          <w:kern w:val="0"/>
          <w:lang w:val="es-ES" w:eastAsia="es-CR"/>
          <w14:ligatures w14:val="none"/>
        </w:rPr>
        <w:t>Vida y Pensamiento</w:t>
      </w:r>
      <w:r w:rsidRPr="4C9C2619">
        <w:rPr>
          <w:rFonts w:ascii="Calibri" w:eastAsia="Times New Roman" w:hAnsi="Calibri" w:cs="Calibri"/>
          <w:kern w:val="0"/>
          <w:lang w:val="es-ES" w:eastAsia="es-CR"/>
          <w14:ligatures w14:val="none"/>
        </w:rPr>
        <w:t xml:space="preserve"> 40, n. 1 (2020): 57-70. Acceso el 18 de diciembre de 2020. </w:t>
      </w:r>
      <w:hyperlink r:id="rId316" w:history="1">
        <w:r w:rsidRPr="4C9C2619">
          <w:rPr>
            <w:rFonts w:ascii="Calibri" w:eastAsia="Times New Roman" w:hAnsi="Calibri" w:cs="Calibri"/>
            <w:color w:val="0000FF"/>
            <w:kern w:val="0"/>
            <w:u w:val="single"/>
            <w:lang w:val="es-ES" w:eastAsia="es-CR"/>
            <w14:ligatures w14:val="none"/>
          </w:rPr>
          <w:t>http://revistas.ubl.ac.cr/index.php/vyp/article/view/85</w:t>
        </w:r>
      </w:hyperlink>
      <w:r w:rsidRPr="4C9C2619">
        <w:rPr>
          <w:rFonts w:ascii="Calibri" w:eastAsia="Times New Roman" w:hAnsi="Calibri" w:cs="Calibri"/>
          <w:kern w:val="0"/>
          <w:lang w:val="es-ES" w:eastAsia="es-CR"/>
          <w14:ligatures w14:val="none"/>
        </w:rPr>
        <w:t xml:space="preserve"> </w:t>
      </w:r>
    </w:p>
    <w:p w14:paraId="31B4944D" w14:textId="77777777" w:rsidR="00687AE9" w:rsidRPr="00687AE9" w:rsidRDefault="00687AE9" w:rsidP="4C9C2619">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lastRenderedPageBreak/>
        <w:t xml:space="preserve">Segovia Baus, Galo. “Abrazar nuestras heridas: cómo asumir el cuidado pastoral, desde la fe cristiana, para responder a la epidemia por VIH”. En </w:t>
      </w:r>
      <w:r w:rsidRPr="4C9C2619">
        <w:rPr>
          <w:rFonts w:ascii="Calibri" w:eastAsia="Times New Roman" w:hAnsi="Calibri" w:cs="Calibri"/>
          <w:i/>
          <w:iCs/>
          <w:kern w:val="0"/>
          <w:lang w:val="es-ES" w:eastAsia="es-CR"/>
          <w14:ligatures w14:val="none"/>
        </w:rPr>
        <w:t>Teología y VIH y Sida en América Latina: Una colección de artículos de estudiantes de maestría de cuatro instituciones teológicas</w:t>
      </w:r>
      <w:r w:rsidRPr="4C9C2619">
        <w:rPr>
          <w:rFonts w:ascii="Calibri" w:eastAsia="Times New Roman" w:hAnsi="Calibri" w:cs="Calibri"/>
          <w:kern w:val="0"/>
          <w:lang w:val="es-ES" w:eastAsia="es-CR"/>
          <w14:ligatures w14:val="none"/>
        </w:rPr>
        <w:t xml:space="preserve">, organizado por </w:t>
      </w:r>
      <w:proofErr w:type="spellStart"/>
      <w:r w:rsidRPr="4C9C2619">
        <w:rPr>
          <w:rFonts w:ascii="Calibri" w:eastAsia="Times New Roman" w:hAnsi="Calibri" w:cs="Calibri"/>
          <w:kern w:val="0"/>
          <w:lang w:val="es-ES" w:eastAsia="es-CR"/>
          <w14:ligatures w14:val="none"/>
        </w:rPr>
        <w:t>Valburga</w:t>
      </w:r>
      <w:proofErr w:type="spellEnd"/>
      <w:r w:rsidRPr="4C9C2619">
        <w:rPr>
          <w:rFonts w:ascii="Calibri" w:eastAsia="Times New Roman" w:hAnsi="Calibri" w:cs="Calibri"/>
          <w:kern w:val="0"/>
          <w:lang w:val="es-ES" w:eastAsia="es-CR"/>
          <w14:ligatures w14:val="none"/>
        </w:rPr>
        <w:t xml:space="preserve"> </w:t>
      </w:r>
      <w:proofErr w:type="spellStart"/>
      <w:r w:rsidRPr="4C9C2619">
        <w:rPr>
          <w:rFonts w:ascii="Calibri" w:eastAsia="Times New Roman" w:hAnsi="Calibri" w:cs="Calibri"/>
          <w:kern w:val="0"/>
          <w:lang w:val="es-ES" w:eastAsia="es-CR"/>
          <w14:ligatures w14:val="none"/>
        </w:rPr>
        <w:t>Schmiedt</w:t>
      </w:r>
      <w:proofErr w:type="spellEnd"/>
      <w:r w:rsidRPr="4C9C2619">
        <w:rPr>
          <w:rFonts w:ascii="Calibri" w:eastAsia="Times New Roman" w:hAnsi="Calibri" w:cs="Calibri"/>
          <w:kern w:val="0"/>
          <w:lang w:val="es-ES" w:eastAsia="es-CR"/>
          <w14:ligatures w14:val="none"/>
        </w:rPr>
        <w:t xml:space="preserve"> </w:t>
      </w:r>
      <w:proofErr w:type="spellStart"/>
      <w:r w:rsidRPr="4C9C2619">
        <w:rPr>
          <w:rFonts w:ascii="Calibri" w:eastAsia="Times New Roman" w:hAnsi="Calibri" w:cs="Calibri"/>
          <w:kern w:val="0"/>
          <w:lang w:val="es-ES" w:eastAsia="es-CR"/>
          <w14:ligatures w14:val="none"/>
        </w:rPr>
        <w:t>Streck</w:t>
      </w:r>
      <w:proofErr w:type="spellEnd"/>
      <w:r w:rsidRPr="4C9C2619">
        <w:rPr>
          <w:rFonts w:ascii="Calibri" w:eastAsia="Times New Roman" w:hAnsi="Calibri" w:cs="Calibri"/>
          <w:kern w:val="0"/>
          <w:lang w:val="es-ES" w:eastAsia="es-CR"/>
          <w14:ligatures w14:val="none"/>
        </w:rPr>
        <w:t xml:space="preserve">, 43-52. Sao Leopoldo: Oikos, 2013. </w:t>
      </w:r>
      <w:r w:rsidRPr="4C9C2619">
        <w:rPr>
          <w:rFonts w:ascii="Calibri" w:eastAsia="Calibri" w:hAnsi="Calibri" w:cs="Calibri"/>
          <w:kern w:val="0"/>
          <w:lang w:val="es-ES" w:eastAsia="es-CR"/>
          <w14:ligatures w14:val="none"/>
        </w:rPr>
        <w:t>(</w:t>
      </w:r>
      <w:r w:rsidRPr="4C9C2619">
        <w:rPr>
          <w:rFonts w:ascii="Calibri" w:eastAsia="Calibri" w:hAnsi="Calibri" w:cs="Calibri"/>
          <w:color w:val="0070C0"/>
          <w:kern w:val="0"/>
          <w:lang w:val="es-ES" w:eastAsia="es-CR"/>
          <w14:ligatures w14:val="none"/>
        </w:rPr>
        <w:t>clásico</w:t>
      </w:r>
      <w:r w:rsidRPr="4C9C2619">
        <w:rPr>
          <w:rFonts w:ascii="Calibri" w:eastAsia="Calibri" w:hAnsi="Calibri" w:cs="Calibri"/>
          <w:kern w:val="0"/>
          <w:lang w:val="es-ES" w:eastAsia="es-CR"/>
          <w14:ligatures w14:val="none"/>
        </w:rPr>
        <w:t>, última edición)</w:t>
      </w:r>
    </w:p>
    <w:p w14:paraId="77AA21D0" w14:textId="77777777" w:rsidR="00687AE9" w:rsidRPr="00687AE9" w:rsidRDefault="00687AE9" w:rsidP="00687AE9">
      <w:pPr>
        <w:widowControl w:val="0"/>
        <w:overflowPunct w:val="0"/>
        <w:autoSpaceDE w:val="0"/>
        <w:autoSpaceDN w:val="0"/>
        <w:adjustRightInd w:val="0"/>
        <w:spacing w:before="120" w:after="240" w:line="240" w:lineRule="auto"/>
        <w:ind w:left="709" w:hanging="709"/>
        <w:jc w:val="both"/>
        <w:rPr>
          <w:rFonts w:ascii="Calibri" w:eastAsia="Times New Roman" w:hAnsi="Calibri" w:cs="Calibri"/>
          <w:kern w:val="0"/>
          <w:lang w:val="es-ES_tradnl" w:eastAsia="es-CR"/>
          <w14:ligatures w14:val="none"/>
        </w:rPr>
      </w:pPr>
      <w:r w:rsidRPr="00687AE9">
        <w:rPr>
          <w:rFonts w:ascii="Calibri" w:eastAsia="Times New Roman" w:hAnsi="Calibri" w:cs="Calibri"/>
          <w:kern w:val="0"/>
          <w:lang w:val="es-ES_tradnl" w:eastAsia="es-CR"/>
          <w14:ligatures w14:val="none"/>
        </w:rPr>
        <w:t xml:space="preserve">Vigueras Cherres, Alex. “Mediaciones para un método de teología pastoral, a partir de la teología práctica de Karl Rahner”. </w:t>
      </w:r>
      <w:r w:rsidRPr="00687AE9">
        <w:rPr>
          <w:rFonts w:ascii="Calibri" w:eastAsia="Times New Roman" w:hAnsi="Calibri" w:cs="Calibri"/>
          <w:i/>
          <w:kern w:val="0"/>
          <w:lang w:val="es-ES_tradnl" w:eastAsia="es-CR"/>
          <w14:ligatures w14:val="none"/>
        </w:rPr>
        <w:t>Teología y Vida</w:t>
      </w:r>
      <w:r w:rsidRPr="00687AE9">
        <w:rPr>
          <w:rFonts w:ascii="Calibri" w:eastAsia="Times New Roman" w:hAnsi="Calibri" w:cs="Calibri"/>
          <w:kern w:val="0"/>
          <w:lang w:val="es-ES_tradnl" w:eastAsia="es-CR"/>
          <w14:ligatures w14:val="none"/>
        </w:rPr>
        <w:t xml:space="preserve"> 53, n. 3 (2012): 237-258. Acceso el 18 de diciembre de 2020. </w:t>
      </w:r>
      <w:hyperlink r:id="rId317" w:history="1">
        <w:r w:rsidRPr="00687AE9">
          <w:rPr>
            <w:rFonts w:ascii="Calibri" w:eastAsia="Times New Roman" w:hAnsi="Calibri" w:cs="Calibri"/>
            <w:color w:val="0000FF"/>
            <w:kern w:val="0"/>
            <w:u w:val="single"/>
            <w:lang w:val="es-ES_tradnl" w:eastAsia="es-CR"/>
            <w14:ligatures w14:val="none"/>
          </w:rPr>
          <w:t>https://www.redalyc.org/articulo.oa?id=32225031002</w:t>
        </w:r>
      </w:hyperlink>
    </w:p>
    <w:p w14:paraId="45EA605D" w14:textId="77777777" w:rsidR="007B232B" w:rsidRDefault="007B232B" w:rsidP="0004170C">
      <w:pPr>
        <w:rPr>
          <w:sz w:val="24"/>
          <w:szCs w:val="24"/>
        </w:rPr>
      </w:pPr>
    </w:p>
    <w:p w14:paraId="4F7C4111" w14:textId="72C9ABDD" w:rsidR="00687AE9" w:rsidRDefault="00687AE9">
      <w:pPr>
        <w:rPr>
          <w:sz w:val="24"/>
          <w:szCs w:val="24"/>
        </w:rPr>
      </w:pPr>
      <w:r>
        <w:rPr>
          <w:sz w:val="24"/>
          <w:szCs w:val="24"/>
        </w:rPr>
        <w:br w:type="page"/>
      </w:r>
    </w:p>
    <w:p w14:paraId="45ACD566" w14:textId="77777777" w:rsidR="007B14D3" w:rsidRPr="007B14D3" w:rsidRDefault="007B14D3" w:rsidP="007B14D3">
      <w:pPr>
        <w:widowControl w:val="0"/>
        <w:overflowPunct w:val="0"/>
        <w:autoSpaceDE w:val="0"/>
        <w:autoSpaceDN w:val="0"/>
        <w:adjustRightInd w:val="0"/>
        <w:spacing w:before="120" w:after="0" w:line="240" w:lineRule="auto"/>
        <w:ind w:left="-426"/>
        <w:jc w:val="center"/>
        <w:rPr>
          <w:rFonts w:ascii="Arial" w:eastAsia="Times New Roman" w:hAnsi="Arial" w:cs="Arial"/>
          <w:kern w:val="0"/>
          <w:sz w:val="24"/>
          <w:szCs w:val="20"/>
          <w:lang w:val="es-ES_tradnl" w:eastAsia="es-CR"/>
          <w14:ligatures w14:val="none"/>
        </w:rPr>
      </w:pPr>
      <w:r w:rsidRPr="007B14D3">
        <w:rPr>
          <w:rFonts w:ascii="Arial" w:eastAsia="Times New Roman" w:hAnsi="Arial" w:cs="Arial"/>
          <w:noProof/>
          <w:kern w:val="0"/>
          <w:sz w:val="24"/>
          <w:szCs w:val="24"/>
          <w:lang w:eastAsia="es-CR"/>
          <w14:ligatures w14:val="none"/>
        </w:rPr>
        <w:lastRenderedPageBreak/>
        <w:drawing>
          <wp:inline distT="0" distB="0" distL="0" distR="0" wp14:anchorId="062156A6" wp14:editId="4805DAEC">
            <wp:extent cx="2009775" cy="1548377"/>
            <wp:effectExtent l="0" t="0" r="0" b="0"/>
            <wp:docPr id="234581597"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581597"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12839594" w14:textId="77777777" w:rsidR="007B14D3" w:rsidRPr="007B14D3" w:rsidRDefault="007B14D3" w:rsidP="007B14D3">
      <w:pPr>
        <w:widowControl w:val="0"/>
        <w:overflowPunct w:val="0"/>
        <w:autoSpaceDE w:val="0"/>
        <w:autoSpaceDN w:val="0"/>
        <w:adjustRightInd w:val="0"/>
        <w:spacing w:before="120" w:after="0" w:line="240" w:lineRule="auto"/>
        <w:ind w:left="-426"/>
        <w:jc w:val="center"/>
        <w:rPr>
          <w:rFonts w:ascii="Calibri" w:eastAsia="Times New Roman" w:hAnsi="Calibri" w:cs="Arial"/>
          <w:kern w:val="0"/>
          <w:sz w:val="24"/>
          <w:szCs w:val="20"/>
          <w:lang w:val="es-ES_tradnl" w:eastAsia="es-CR"/>
          <w14:ligatures w14:val="none"/>
        </w:rPr>
      </w:pPr>
    </w:p>
    <w:p w14:paraId="5D0E1B57" w14:textId="77777777" w:rsidR="007B14D3" w:rsidRPr="007B14D3" w:rsidRDefault="007B14D3" w:rsidP="007B14D3">
      <w:pPr>
        <w:keepNext/>
        <w:widowControl w:val="0"/>
        <w:overflowPunct w:val="0"/>
        <w:autoSpaceDE w:val="0"/>
        <w:autoSpaceDN w:val="0"/>
        <w:adjustRightInd w:val="0"/>
        <w:spacing w:after="0" w:line="240" w:lineRule="auto"/>
        <w:ind w:left="-425"/>
        <w:jc w:val="center"/>
        <w:outlineLvl w:val="0"/>
        <w:rPr>
          <w:rFonts w:ascii="Calibri" w:eastAsia="Times New Roman" w:hAnsi="Calibri" w:cs="Arial"/>
          <w:b/>
          <w:spacing w:val="-2"/>
          <w:kern w:val="0"/>
          <w:sz w:val="24"/>
          <w:szCs w:val="20"/>
          <w:lang w:val="es-MX" w:eastAsia="es-CR"/>
          <w14:ligatures w14:val="none"/>
        </w:rPr>
      </w:pPr>
      <w:r w:rsidRPr="007B14D3">
        <w:rPr>
          <w:rFonts w:ascii="Calibri" w:eastAsia="Times New Roman" w:hAnsi="Calibri" w:cs="Arial"/>
          <w:b/>
          <w:spacing w:val="-2"/>
          <w:kern w:val="0"/>
          <w:sz w:val="24"/>
          <w:szCs w:val="20"/>
          <w:lang w:val="es-MX" w:eastAsia="es-CR"/>
          <w14:ligatures w14:val="none"/>
        </w:rPr>
        <w:t>Universidad Bíblica Latinoamericana</w:t>
      </w:r>
    </w:p>
    <w:p w14:paraId="013BCAE0" w14:textId="77777777" w:rsidR="007B14D3" w:rsidRPr="007B14D3" w:rsidRDefault="007B14D3" w:rsidP="007B14D3">
      <w:pPr>
        <w:keepNext/>
        <w:widowControl w:val="0"/>
        <w:overflowPunct w:val="0"/>
        <w:autoSpaceDE w:val="0"/>
        <w:autoSpaceDN w:val="0"/>
        <w:adjustRightInd w:val="0"/>
        <w:spacing w:after="0" w:line="240" w:lineRule="auto"/>
        <w:ind w:left="-425"/>
        <w:jc w:val="center"/>
        <w:outlineLvl w:val="1"/>
        <w:rPr>
          <w:rFonts w:ascii="Calibri" w:eastAsia="Times New Roman" w:hAnsi="Calibri" w:cs="Arial"/>
          <w:b/>
          <w:i/>
          <w:spacing w:val="-2"/>
          <w:kern w:val="28"/>
          <w:sz w:val="14"/>
          <w:szCs w:val="20"/>
          <w:lang w:eastAsia="es-CR"/>
          <w14:ligatures w14:val="none"/>
        </w:rPr>
      </w:pPr>
      <w:r w:rsidRPr="007B14D3">
        <w:rPr>
          <w:rFonts w:ascii="Calibri" w:eastAsia="Times New Roman" w:hAnsi="Calibri" w:cs="Arial"/>
          <w:b/>
          <w:i/>
          <w:spacing w:val="-2"/>
          <w:kern w:val="28"/>
          <w:sz w:val="24"/>
          <w:szCs w:val="20"/>
          <w:lang w:eastAsia="es-CR"/>
          <w14:ligatures w14:val="none"/>
        </w:rPr>
        <w:t>Facultad de Teología</w:t>
      </w:r>
    </w:p>
    <w:p w14:paraId="6DE2A6EC" w14:textId="77777777" w:rsidR="007B14D3" w:rsidRPr="007B14D3" w:rsidRDefault="007B14D3" w:rsidP="007B14D3">
      <w:pPr>
        <w:widowControl w:val="0"/>
        <w:overflowPunct w:val="0"/>
        <w:autoSpaceDE w:val="0"/>
        <w:autoSpaceDN w:val="0"/>
        <w:adjustRightInd w:val="0"/>
        <w:spacing w:after="0" w:line="240" w:lineRule="auto"/>
        <w:ind w:left="-425"/>
        <w:jc w:val="center"/>
        <w:rPr>
          <w:rFonts w:ascii="Calibri" w:eastAsia="Times New Roman" w:hAnsi="Calibri" w:cs="Arial"/>
          <w:b/>
          <w:bCs/>
          <w:kern w:val="0"/>
          <w:sz w:val="24"/>
          <w:szCs w:val="20"/>
          <w:lang w:val="es-ES_tradnl" w:eastAsia="es-CR"/>
          <w14:ligatures w14:val="none"/>
        </w:rPr>
      </w:pPr>
      <w:r w:rsidRPr="007B14D3">
        <w:rPr>
          <w:rFonts w:ascii="Calibri" w:eastAsia="Times New Roman" w:hAnsi="Calibri" w:cs="Arial"/>
          <w:b/>
          <w:bCs/>
          <w:kern w:val="0"/>
          <w:sz w:val="24"/>
          <w:szCs w:val="20"/>
          <w:lang w:val="es-ES_tradnl" w:eastAsia="es-CR"/>
          <w14:ligatures w14:val="none"/>
        </w:rPr>
        <w:t xml:space="preserve">Bachillerato en Ciencias Bíblicas </w:t>
      </w:r>
    </w:p>
    <w:p w14:paraId="2B2AAABE" w14:textId="77777777" w:rsidR="007B14D3" w:rsidRPr="007B14D3" w:rsidRDefault="007B14D3" w:rsidP="007B14D3">
      <w:pPr>
        <w:widowControl w:val="0"/>
        <w:overflowPunct w:val="0"/>
        <w:autoSpaceDE w:val="0"/>
        <w:autoSpaceDN w:val="0"/>
        <w:adjustRightInd w:val="0"/>
        <w:spacing w:after="0" w:line="240" w:lineRule="auto"/>
        <w:ind w:left="-425"/>
        <w:jc w:val="center"/>
        <w:rPr>
          <w:rFonts w:ascii="Calibri" w:eastAsia="Times New Roman" w:hAnsi="Calibri" w:cs="Arial"/>
          <w:b/>
          <w:bCs/>
          <w:kern w:val="0"/>
          <w:sz w:val="24"/>
          <w:szCs w:val="20"/>
          <w:lang w:val="es-ES_tradnl" w:eastAsia="es-CR"/>
          <w14:ligatures w14:val="none"/>
        </w:rPr>
      </w:pPr>
    </w:p>
    <w:p w14:paraId="1EE4F58B" w14:textId="77777777" w:rsidR="007B14D3" w:rsidRPr="007B14D3" w:rsidRDefault="007B14D3" w:rsidP="007B14D3">
      <w:pPr>
        <w:widowControl w:val="0"/>
        <w:overflowPunct w:val="0"/>
        <w:autoSpaceDE w:val="0"/>
        <w:autoSpaceDN w:val="0"/>
        <w:adjustRightInd w:val="0"/>
        <w:spacing w:after="0" w:line="240" w:lineRule="auto"/>
        <w:ind w:left="-425"/>
        <w:jc w:val="center"/>
        <w:rPr>
          <w:rFonts w:ascii="Calibri" w:eastAsia="Times New Roman" w:hAnsi="Calibri" w:cs="Arial"/>
          <w:b/>
          <w:kern w:val="0"/>
          <w:sz w:val="24"/>
          <w:szCs w:val="20"/>
          <w:lang w:val="es-ES_tradnl" w:eastAsia="es-CR"/>
          <w14:ligatures w14:val="none"/>
        </w:rPr>
      </w:pPr>
      <w:r w:rsidRPr="007B14D3">
        <w:rPr>
          <w:rFonts w:ascii="Calibri" w:eastAsia="Times New Roman" w:hAnsi="Calibri" w:cs="Arial"/>
          <w:b/>
          <w:kern w:val="0"/>
          <w:sz w:val="24"/>
          <w:szCs w:val="20"/>
          <w:lang w:val="es-ES_tradnl" w:eastAsia="es-CR"/>
          <w14:ligatures w14:val="none"/>
        </w:rPr>
        <w:t>Sílabo</w:t>
      </w:r>
    </w:p>
    <w:p w14:paraId="50ACAA04" w14:textId="77777777" w:rsidR="007B14D3" w:rsidRPr="007B14D3" w:rsidRDefault="007B14D3" w:rsidP="007B14D3">
      <w:pPr>
        <w:widowControl w:val="0"/>
        <w:overflowPunct w:val="0"/>
        <w:autoSpaceDE w:val="0"/>
        <w:autoSpaceDN w:val="0"/>
        <w:adjustRightInd w:val="0"/>
        <w:spacing w:after="0" w:line="240" w:lineRule="auto"/>
        <w:ind w:left="-425"/>
        <w:jc w:val="center"/>
        <w:rPr>
          <w:rFonts w:ascii="Calibri" w:eastAsia="Times New Roman" w:hAnsi="Calibri" w:cs="Arial"/>
          <w:b/>
          <w:kern w:val="0"/>
          <w:sz w:val="24"/>
          <w:szCs w:val="24"/>
          <w:lang w:val="es-ES_tradnl" w:eastAsia="es-CR"/>
          <w14:ligatures w14:val="none"/>
        </w:rPr>
      </w:pPr>
      <w:bookmarkStart w:id="45" w:name="CTX122"/>
      <w:r w:rsidRPr="007B14D3">
        <w:rPr>
          <w:rFonts w:ascii="Calibri" w:eastAsia="Times New Roman" w:hAnsi="Calibri" w:cs="Arial"/>
          <w:b/>
          <w:kern w:val="0"/>
          <w:sz w:val="24"/>
          <w:szCs w:val="24"/>
          <w:lang w:val="es-ES_tradnl" w:eastAsia="es-CR"/>
          <w14:ligatures w14:val="none"/>
        </w:rPr>
        <w:t>Historia de la Religiosidad Indígena y Afro-latinoamericana</w:t>
      </w:r>
      <w:bookmarkEnd w:id="45"/>
    </w:p>
    <w:p w14:paraId="0B03311A" w14:textId="77777777" w:rsidR="007B14D3" w:rsidRPr="007B14D3" w:rsidRDefault="007B14D3" w:rsidP="007B14D3">
      <w:pPr>
        <w:widowControl w:val="0"/>
        <w:overflowPunct w:val="0"/>
        <w:autoSpaceDE w:val="0"/>
        <w:autoSpaceDN w:val="0"/>
        <w:adjustRightInd w:val="0"/>
        <w:spacing w:before="120" w:after="0" w:line="240" w:lineRule="auto"/>
        <w:ind w:left="-426"/>
        <w:jc w:val="center"/>
        <w:rPr>
          <w:rFonts w:ascii="Arial" w:eastAsia="Times New Roman" w:hAnsi="Arial" w:cs="Arial"/>
          <w:b/>
          <w:kern w:val="0"/>
          <w:sz w:val="28"/>
          <w:szCs w:val="20"/>
          <w:lang w:val="es-ES_tradnl" w:eastAsia="es-CR"/>
          <w14:ligatures w14:val="none"/>
        </w:rPr>
      </w:pPr>
    </w:p>
    <w:p w14:paraId="147F572A" w14:textId="77777777" w:rsidR="007B14D3" w:rsidRPr="007B14D3" w:rsidRDefault="007B14D3" w:rsidP="007B14D3">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aconcuadrcula"/>
        <w:tblW w:w="0" w:type="auto"/>
        <w:tblLook w:val="04A0" w:firstRow="1" w:lastRow="0" w:firstColumn="1" w:lastColumn="0" w:noHBand="0" w:noVBand="1"/>
      </w:tblPr>
      <w:tblGrid>
        <w:gridCol w:w="1667"/>
        <w:gridCol w:w="7161"/>
      </w:tblGrid>
      <w:tr w:rsidR="007B14D3" w:rsidRPr="007B14D3" w14:paraId="4C14E144" w14:textId="77777777" w:rsidTr="00CE7124">
        <w:tc>
          <w:tcPr>
            <w:tcW w:w="1667" w:type="dxa"/>
          </w:tcPr>
          <w:p w14:paraId="743F99E1"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Código</w:t>
            </w:r>
          </w:p>
        </w:tc>
        <w:tc>
          <w:tcPr>
            <w:tcW w:w="7161" w:type="dxa"/>
          </w:tcPr>
          <w:p w14:paraId="46FF52B6"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CTX 122</w:t>
            </w:r>
          </w:p>
        </w:tc>
      </w:tr>
      <w:tr w:rsidR="007B14D3" w:rsidRPr="007B14D3" w14:paraId="7BB7DDDC" w14:textId="77777777" w:rsidTr="00CE7124">
        <w:tc>
          <w:tcPr>
            <w:tcW w:w="1667" w:type="dxa"/>
          </w:tcPr>
          <w:p w14:paraId="5812BCAD"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Créditos</w:t>
            </w:r>
          </w:p>
        </w:tc>
        <w:tc>
          <w:tcPr>
            <w:tcW w:w="7161" w:type="dxa"/>
          </w:tcPr>
          <w:p w14:paraId="61DD23EB"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4</w:t>
            </w:r>
          </w:p>
        </w:tc>
      </w:tr>
      <w:tr w:rsidR="007B14D3" w:rsidRPr="007B14D3" w14:paraId="1AD9BF21" w14:textId="77777777" w:rsidTr="00CE7124">
        <w:tc>
          <w:tcPr>
            <w:tcW w:w="1667" w:type="dxa"/>
          </w:tcPr>
          <w:p w14:paraId="57C74BEA"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Requisitos</w:t>
            </w:r>
          </w:p>
        </w:tc>
        <w:tc>
          <w:tcPr>
            <w:tcW w:w="7161" w:type="dxa"/>
          </w:tcPr>
          <w:p w14:paraId="13B827C0"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CTX 108</w:t>
            </w:r>
          </w:p>
        </w:tc>
      </w:tr>
      <w:tr w:rsidR="007B14D3" w:rsidRPr="007B14D3" w14:paraId="188D3987" w14:textId="77777777" w:rsidTr="00CE7124">
        <w:tc>
          <w:tcPr>
            <w:tcW w:w="1667" w:type="dxa"/>
          </w:tcPr>
          <w:p w14:paraId="2E860851"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Modalidad</w:t>
            </w:r>
          </w:p>
        </w:tc>
        <w:tc>
          <w:tcPr>
            <w:tcW w:w="7161" w:type="dxa"/>
          </w:tcPr>
          <w:p w14:paraId="66F9CF29"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Virtual</w:t>
            </w:r>
          </w:p>
        </w:tc>
      </w:tr>
      <w:tr w:rsidR="007B14D3" w:rsidRPr="007B14D3" w14:paraId="44BEA96F" w14:textId="77777777" w:rsidTr="00CE7124">
        <w:tc>
          <w:tcPr>
            <w:tcW w:w="1667" w:type="dxa"/>
          </w:tcPr>
          <w:p w14:paraId="7CE4BD84"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Naturaleza</w:t>
            </w:r>
          </w:p>
        </w:tc>
        <w:tc>
          <w:tcPr>
            <w:tcW w:w="7161" w:type="dxa"/>
          </w:tcPr>
          <w:p w14:paraId="6E476A1C"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Teórico-práctico</w:t>
            </w:r>
          </w:p>
        </w:tc>
      </w:tr>
      <w:tr w:rsidR="007B14D3" w:rsidRPr="007B14D3" w14:paraId="62B26DC3" w14:textId="77777777" w:rsidTr="00CE7124">
        <w:tc>
          <w:tcPr>
            <w:tcW w:w="1667" w:type="dxa"/>
          </w:tcPr>
          <w:p w14:paraId="6176EB80"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Periodo</w:t>
            </w:r>
          </w:p>
        </w:tc>
        <w:tc>
          <w:tcPr>
            <w:tcW w:w="7161" w:type="dxa"/>
          </w:tcPr>
          <w:p w14:paraId="2A358816"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Cuatrimestral (15 semanas lectivas)</w:t>
            </w:r>
          </w:p>
        </w:tc>
      </w:tr>
      <w:tr w:rsidR="007B14D3" w:rsidRPr="007B14D3" w14:paraId="2171520E" w14:textId="77777777" w:rsidTr="00CE7124">
        <w:tc>
          <w:tcPr>
            <w:tcW w:w="1667" w:type="dxa"/>
          </w:tcPr>
          <w:p w14:paraId="7229AD66"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Nivel</w:t>
            </w:r>
          </w:p>
        </w:tc>
        <w:tc>
          <w:tcPr>
            <w:tcW w:w="7161" w:type="dxa"/>
          </w:tcPr>
          <w:p w14:paraId="43EE20E9"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V Cuatrimestre</w:t>
            </w:r>
          </w:p>
        </w:tc>
      </w:tr>
      <w:tr w:rsidR="007B14D3" w:rsidRPr="007B14D3" w14:paraId="0AC40025" w14:textId="77777777" w:rsidTr="00CE7124">
        <w:tc>
          <w:tcPr>
            <w:tcW w:w="1667" w:type="dxa"/>
          </w:tcPr>
          <w:p w14:paraId="13659A89"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Horario</w:t>
            </w:r>
          </w:p>
        </w:tc>
        <w:tc>
          <w:tcPr>
            <w:tcW w:w="7161" w:type="dxa"/>
          </w:tcPr>
          <w:p w14:paraId="3BE63D21"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El curso requiere de 12 horas de trabajo semanal</w:t>
            </w:r>
          </w:p>
        </w:tc>
      </w:tr>
      <w:tr w:rsidR="007B14D3" w:rsidRPr="007B14D3" w14:paraId="5005F25C" w14:textId="77777777" w:rsidTr="00CE7124">
        <w:tc>
          <w:tcPr>
            <w:tcW w:w="1667" w:type="dxa"/>
          </w:tcPr>
          <w:p w14:paraId="1C464729"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Aula</w:t>
            </w:r>
          </w:p>
        </w:tc>
        <w:tc>
          <w:tcPr>
            <w:tcW w:w="7161" w:type="dxa"/>
          </w:tcPr>
          <w:p w14:paraId="4F24C0D1"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lang w:eastAsia="es-CR"/>
              </w:rPr>
              <w:t>Plataforma virtual de la UBL</w:t>
            </w:r>
          </w:p>
        </w:tc>
      </w:tr>
      <w:tr w:rsidR="007B14D3" w:rsidRPr="007B14D3" w14:paraId="2B438846" w14:textId="77777777" w:rsidTr="00CE7124">
        <w:tc>
          <w:tcPr>
            <w:tcW w:w="1667" w:type="dxa"/>
          </w:tcPr>
          <w:p w14:paraId="0F2F847F" w14:textId="77777777" w:rsidR="007B14D3" w:rsidRPr="007B14D3" w:rsidRDefault="007B14D3" w:rsidP="007B14D3">
            <w:pPr>
              <w:widowControl w:val="0"/>
              <w:overflowPunct w:val="0"/>
              <w:autoSpaceDE w:val="0"/>
              <w:autoSpaceDN w:val="0"/>
              <w:adjustRightInd w:val="0"/>
              <w:rPr>
                <w:rFonts w:ascii="Calibri" w:eastAsia="Times New Roman" w:hAnsi="Calibri" w:cs="Calibri"/>
                <w:b/>
                <w:lang w:eastAsia="es-CR"/>
              </w:rPr>
            </w:pPr>
            <w:r w:rsidRPr="007B14D3">
              <w:rPr>
                <w:rFonts w:ascii="Calibri" w:eastAsia="Times New Roman" w:hAnsi="Calibri" w:cs="Calibri"/>
                <w:b/>
                <w:lang w:eastAsia="es-CR"/>
              </w:rPr>
              <w:t>Docente</w:t>
            </w:r>
          </w:p>
        </w:tc>
        <w:tc>
          <w:tcPr>
            <w:tcW w:w="7161" w:type="dxa"/>
          </w:tcPr>
          <w:p w14:paraId="2CFAC425"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p>
        </w:tc>
      </w:tr>
      <w:tr w:rsidR="007B14D3" w:rsidRPr="007B14D3" w14:paraId="519171B7" w14:textId="77777777" w:rsidTr="00CE7124">
        <w:tc>
          <w:tcPr>
            <w:tcW w:w="1667" w:type="dxa"/>
          </w:tcPr>
          <w:p w14:paraId="58CFAE2F" w14:textId="77777777" w:rsidR="007B14D3" w:rsidRPr="007B14D3" w:rsidRDefault="007B14D3" w:rsidP="007B14D3">
            <w:pPr>
              <w:widowControl w:val="0"/>
              <w:overflowPunct w:val="0"/>
              <w:autoSpaceDE w:val="0"/>
              <w:autoSpaceDN w:val="0"/>
              <w:adjustRightInd w:val="0"/>
              <w:rPr>
                <w:rFonts w:ascii="Calibri" w:eastAsia="Times New Roman" w:hAnsi="Calibri" w:cs="Calibri"/>
                <w:lang w:eastAsia="es-CR"/>
              </w:rPr>
            </w:pPr>
            <w:r w:rsidRPr="007B14D3">
              <w:rPr>
                <w:rFonts w:ascii="Calibri" w:eastAsia="Times New Roman" w:hAnsi="Calibri" w:cs="Calibri"/>
                <w:b/>
                <w:lang w:eastAsia="es-CR"/>
              </w:rPr>
              <w:t>Instrucciones administrativas</w:t>
            </w:r>
          </w:p>
        </w:tc>
        <w:tc>
          <w:tcPr>
            <w:tcW w:w="7161" w:type="dxa"/>
          </w:tcPr>
          <w:p w14:paraId="325A293A" w14:textId="77777777" w:rsidR="007B14D3" w:rsidRPr="007B14D3" w:rsidRDefault="007B14D3" w:rsidP="007B14D3">
            <w:pPr>
              <w:widowControl w:val="0"/>
              <w:overflowPunct w:val="0"/>
              <w:autoSpaceDE w:val="0"/>
              <w:autoSpaceDN w:val="0"/>
              <w:adjustRightInd w:val="0"/>
              <w:jc w:val="both"/>
              <w:rPr>
                <w:rFonts w:ascii="Calibri" w:eastAsia="Times New Roman" w:hAnsi="Calibri" w:cs="Calibri"/>
                <w:lang w:eastAsia="es-CR"/>
              </w:rPr>
            </w:pPr>
            <w:r w:rsidRPr="007B14D3">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una hora semanal de práctica. La dirección de acceso a la plataforma es la siguiente:</w:t>
            </w:r>
          </w:p>
          <w:p w14:paraId="47EC5BFA" w14:textId="77777777" w:rsidR="007B14D3" w:rsidRPr="007B14D3" w:rsidRDefault="00DD16F2" w:rsidP="007B14D3">
            <w:pPr>
              <w:widowControl w:val="0"/>
              <w:overflowPunct w:val="0"/>
              <w:autoSpaceDE w:val="0"/>
              <w:autoSpaceDN w:val="0"/>
              <w:adjustRightInd w:val="0"/>
              <w:jc w:val="both"/>
              <w:rPr>
                <w:rFonts w:ascii="Calibri" w:eastAsia="Times New Roman" w:hAnsi="Calibri" w:cs="Calibri"/>
                <w:lang w:eastAsia="es-CR"/>
              </w:rPr>
            </w:pPr>
            <w:hyperlink r:id="rId318" w:history="1">
              <w:r w:rsidR="007B14D3" w:rsidRPr="007B14D3">
                <w:rPr>
                  <w:rFonts w:ascii="Calibri" w:eastAsia="Times New Roman" w:hAnsi="Calibri" w:cs="Calibri"/>
                  <w:color w:val="0563C1"/>
                  <w:u w:val="single"/>
                  <w:lang w:eastAsia="es-CR"/>
                </w:rPr>
                <w:t>https://campus.ubl.ac.cr/login/index.php</w:t>
              </w:r>
            </w:hyperlink>
          </w:p>
        </w:tc>
      </w:tr>
    </w:tbl>
    <w:p w14:paraId="53C468E6" w14:textId="77777777" w:rsidR="007B14D3" w:rsidRPr="007B14D3" w:rsidRDefault="007B14D3" w:rsidP="007B14D3">
      <w:pPr>
        <w:widowControl w:val="0"/>
        <w:overflowPunct w:val="0"/>
        <w:autoSpaceDE w:val="0"/>
        <w:autoSpaceDN w:val="0"/>
        <w:adjustRightInd w:val="0"/>
        <w:spacing w:after="0" w:line="240" w:lineRule="auto"/>
        <w:rPr>
          <w:rFonts w:ascii="Calibri" w:eastAsia="Arial" w:hAnsi="Calibri" w:cs="Calibri"/>
          <w:color w:val="000000"/>
          <w:kern w:val="0"/>
          <w:lang w:val="es-ES_tradnl" w:eastAsia="es-CR"/>
          <w14:ligatures w14:val="none"/>
        </w:rPr>
      </w:pPr>
    </w:p>
    <w:p w14:paraId="30F91D37" w14:textId="77777777" w:rsidR="007B14D3" w:rsidRPr="007B14D3" w:rsidRDefault="007B14D3" w:rsidP="007B14D3">
      <w:pPr>
        <w:keepNext/>
        <w:widowControl w:val="0"/>
        <w:overflowPunct w:val="0"/>
        <w:autoSpaceDE w:val="0"/>
        <w:autoSpaceDN w:val="0"/>
        <w:adjustRightInd w:val="0"/>
        <w:spacing w:before="240" w:after="0" w:line="240" w:lineRule="auto"/>
        <w:outlineLvl w:val="0"/>
        <w:rPr>
          <w:rFonts w:ascii="Calibri" w:eastAsia="Times New Roman" w:hAnsi="Calibri" w:cs="Calibri"/>
          <w:b/>
          <w:color w:val="000000"/>
          <w:spacing w:val="-2"/>
          <w:kern w:val="0"/>
          <w:lang w:eastAsia="es-CR"/>
          <w14:ligatures w14:val="none"/>
        </w:rPr>
      </w:pPr>
      <w:r w:rsidRPr="007B14D3">
        <w:rPr>
          <w:rFonts w:ascii="Calibri" w:eastAsia="Times New Roman" w:hAnsi="Calibri" w:cs="Calibri"/>
          <w:b/>
          <w:color w:val="000000"/>
          <w:spacing w:val="-2"/>
          <w:kern w:val="0"/>
          <w:lang w:eastAsia="es-CR"/>
          <w14:ligatures w14:val="none"/>
        </w:rPr>
        <w:t xml:space="preserve">I. Descripción </w:t>
      </w:r>
    </w:p>
    <w:p w14:paraId="5FE2A2C4" w14:textId="77777777" w:rsidR="007B14D3" w:rsidRPr="007B14D3" w:rsidRDefault="007B14D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Esta unidad de estudio procura una aproximación histórica, cultural y religiosa a los pueblos originarios de Abya-Yala y a los pueblos afro-caribeño-latinoamericanos. Dentro del marco teórico de acercamiento a la temática se consideran categorías de la historia de las religiones como: mito, símbolo, fe, revelación (hierofanía, teofanía), ritual, lo profano y lo sagrado.  La espiritualidad de estos pueblos es abordada en el contexto de sus luchas socio-políticas actuales y su cultura es considerada a la luz del diálogo interreligioso en América Latina.</w:t>
      </w:r>
    </w:p>
    <w:p w14:paraId="148B269A"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
          <w:snapToGrid w:val="0"/>
          <w:color w:val="000000"/>
          <w:kern w:val="0"/>
          <w:lang w:val="es-ES_tradnl"/>
          <w14:ligatures w14:val="none"/>
        </w:rPr>
      </w:pPr>
    </w:p>
    <w:p w14:paraId="39549CEA"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
          <w:snapToGrid w:val="0"/>
          <w:color w:val="000000"/>
          <w:kern w:val="0"/>
          <w:lang w:val="es-ES_tradnl"/>
          <w14:ligatures w14:val="none"/>
        </w:rPr>
      </w:pPr>
      <w:r w:rsidRPr="007B14D3">
        <w:rPr>
          <w:rFonts w:ascii="Calibri" w:eastAsia="Times New Roman" w:hAnsi="Calibri" w:cs="Calibri"/>
          <w:b/>
          <w:snapToGrid w:val="0"/>
          <w:color w:val="000000"/>
          <w:kern w:val="0"/>
          <w:lang w:val="es-ES_tradnl"/>
          <w14:ligatures w14:val="none"/>
        </w:rPr>
        <w:lastRenderedPageBreak/>
        <w:t>II. Objetivo general</w:t>
      </w:r>
    </w:p>
    <w:p w14:paraId="7E1494F8"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Ofrecer una visión histórica del surgimiento de los pueblos originarios de Abya-Yala, como también de aquellos que fueron obligatoriamente trasladados de las costas africanas como esclavos a América Latina durante el tiempo de la conquista y la colonia.</w:t>
      </w:r>
    </w:p>
    <w:p w14:paraId="76A3F7BC"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2"/>
          <w:szCs w:val="2"/>
          <w:lang w:val="es-ES_tradnl" w:eastAsia="es-CR"/>
          <w14:ligatures w14:val="none"/>
        </w:rPr>
      </w:pPr>
    </w:p>
    <w:p w14:paraId="0B63DB11"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b/>
          <w:snapToGrid w:val="0"/>
          <w:color w:val="000000"/>
          <w:kern w:val="0"/>
          <w:lang w:val="es-ES_tradnl"/>
          <w14:ligatures w14:val="none"/>
        </w:rPr>
        <w:t>III. Objetivos específicos</w:t>
      </w:r>
    </w:p>
    <w:p w14:paraId="10D7C0B8"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snapToGrid w:val="0"/>
          <w:color w:val="000000"/>
          <w:kern w:val="0"/>
          <w:lang w:val="es-ES_tradnl"/>
          <w14:ligatures w14:val="none"/>
        </w:rPr>
      </w:pPr>
      <w:r w:rsidRPr="007B14D3">
        <w:rPr>
          <w:rFonts w:ascii="Calibri" w:eastAsia="Times New Roman" w:hAnsi="Calibri" w:cs="Calibri"/>
          <w:snapToGrid w:val="0"/>
          <w:color w:val="000000"/>
          <w:kern w:val="0"/>
          <w:lang w:val="es-ES_tradnl"/>
          <w14:ligatures w14:val="none"/>
        </w:rPr>
        <w:t xml:space="preserve">Conocimiento y comprensión: </w:t>
      </w:r>
    </w:p>
    <w:p w14:paraId="40090665"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snapToGrid w:val="0"/>
          <w:color w:val="000000"/>
          <w:kern w:val="0"/>
          <w:sz w:val="2"/>
          <w:szCs w:val="2"/>
          <w:lang w:val="es-ES_tradnl"/>
          <w14:ligatures w14:val="none"/>
        </w:rPr>
      </w:pPr>
    </w:p>
    <w:p w14:paraId="35472955" w14:textId="77777777" w:rsidR="007B14D3" w:rsidRPr="007B14D3" w:rsidRDefault="007B14D3" w:rsidP="007B14D3">
      <w:pPr>
        <w:widowControl w:val="0"/>
        <w:numPr>
          <w:ilvl w:val="0"/>
          <w:numId w:val="157"/>
        </w:numPr>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Conocer la cosmogonía, la religión, la cultura y la espiritualidad de los pueblos originarios y afrodescendientes manifiesta a través de mitos, ritos, símbolos, fe, tabúes, revelación (hierofanía, teofanía), lo profano y lo sagrado.</w:t>
      </w:r>
    </w:p>
    <w:p w14:paraId="06097727"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snapToGrid w:val="0"/>
          <w:color w:val="000000"/>
          <w:kern w:val="0"/>
          <w:lang w:val="es-ES_tradnl"/>
          <w14:ligatures w14:val="none"/>
        </w:rPr>
      </w:pPr>
      <w:r w:rsidRPr="007B14D3">
        <w:rPr>
          <w:rFonts w:ascii="Calibri" w:eastAsia="Times New Roman" w:hAnsi="Calibri" w:cs="Calibri"/>
          <w:snapToGrid w:val="0"/>
          <w:color w:val="000000"/>
          <w:kern w:val="0"/>
          <w:lang w:val="es-ES_tradnl"/>
          <w14:ligatures w14:val="none"/>
        </w:rPr>
        <w:t xml:space="preserve">Actitudes y valores: </w:t>
      </w:r>
    </w:p>
    <w:p w14:paraId="342CBB68"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snapToGrid w:val="0"/>
          <w:color w:val="000000"/>
          <w:kern w:val="0"/>
          <w:sz w:val="2"/>
          <w:szCs w:val="2"/>
          <w:lang w:val="es-ES_tradnl"/>
          <w14:ligatures w14:val="none"/>
        </w:rPr>
      </w:pPr>
    </w:p>
    <w:p w14:paraId="331E4D03" w14:textId="77777777" w:rsidR="007B14D3" w:rsidRPr="007B14D3" w:rsidRDefault="007B14D3" w:rsidP="007B14D3">
      <w:pPr>
        <w:widowControl w:val="0"/>
        <w:numPr>
          <w:ilvl w:val="0"/>
          <w:numId w:val="157"/>
        </w:numPr>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Considerar en todas sus dimensiones el diálogo interreligioso al cual somos llamados y llamadas en un continente con gran pluralidad de pueblos, culturas y religiones.</w:t>
      </w:r>
    </w:p>
    <w:p w14:paraId="2C7D49D4"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
          <w:snapToGrid w:val="0"/>
          <w:color w:val="000000"/>
          <w:kern w:val="0"/>
          <w:sz w:val="2"/>
          <w:szCs w:val="2"/>
          <w:lang w:val="es-ES_tradnl"/>
          <w14:ligatures w14:val="none"/>
        </w:rPr>
      </w:pPr>
    </w:p>
    <w:p w14:paraId="5D860668"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
          <w:snapToGrid w:val="0"/>
          <w:color w:val="000000"/>
          <w:kern w:val="0"/>
          <w:lang w:val="es-ES_tradnl"/>
          <w14:ligatures w14:val="none"/>
        </w:rPr>
      </w:pPr>
      <w:r w:rsidRPr="007B14D3">
        <w:rPr>
          <w:rFonts w:ascii="Calibri" w:eastAsia="Times New Roman" w:hAnsi="Calibri" w:cs="Calibri"/>
          <w:b/>
          <w:snapToGrid w:val="0"/>
          <w:color w:val="000000"/>
          <w:kern w:val="0"/>
          <w:lang w:val="es-ES_tradnl"/>
          <w14:ligatures w14:val="none"/>
        </w:rPr>
        <w:t>IV. Contenidos</w:t>
      </w:r>
    </w:p>
    <w:p w14:paraId="79B0AD0D"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
          <w:snapToGrid w:val="0"/>
          <w:color w:val="000000"/>
          <w:kern w:val="0"/>
          <w:sz w:val="8"/>
          <w:szCs w:val="8"/>
          <w:lang w:val="es-ES_tradnl"/>
          <w14:ligatures w14:val="none"/>
        </w:rPr>
      </w:pPr>
    </w:p>
    <w:p w14:paraId="09EBD3CC"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Unidad 1. Trasfondo histórico de los pueblos originarios, afro-latinoamericanos y caribeños</w:t>
      </w:r>
    </w:p>
    <w:p w14:paraId="3728E731"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p>
    <w:p w14:paraId="373A117A" w14:textId="77777777" w:rsidR="007B14D3" w:rsidRPr="007B14D3" w:rsidRDefault="007B14D3" w:rsidP="007B14D3">
      <w:pPr>
        <w:widowControl w:val="0"/>
        <w:numPr>
          <w:ilvl w:val="1"/>
          <w:numId w:val="156"/>
        </w:numPr>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Trasfondo histórico de los pueblos y las culturas originarias y afro en Abya-Yala.</w:t>
      </w:r>
    </w:p>
    <w:p w14:paraId="49BD4485" w14:textId="77777777" w:rsidR="007B14D3" w:rsidRPr="007B14D3" w:rsidRDefault="007B14D3" w:rsidP="007B14D3">
      <w:pPr>
        <w:widowControl w:val="0"/>
        <w:numPr>
          <w:ilvl w:val="1"/>
          <w:numId w:val="156"/>
        </w:numPr>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Lo sagrado y lo profano.</w:t>
      </w:r>
    </w:p>
    <w:p w14:paraId="7CFA7BED" w14:textId="77777777" w:rsidR="007B14D3" w:rsidRPr="007B14D3" w:rsidRDefault="007B14D3" w:rsidP="007B14D3">
      <w:pPr>
        <w:spacing w:after="0" w:line="240" w:lineRule="auto"/>
        <w:ind w:left="390"/>
        <w:jc w:val="both"/>
        <w:rPr>
          <w:rFonts w:ascii="Calibri" w:eastAsia="Times New Roman" w:hAnsi="Calibri" w:cs="Calibri"/>
          <w:color w:val="000000"/>
          <w:kern w:val="0"/>
          <w:lang w:val="es-ES_tradnl" w:eastAsia="es-CR"/>
          <w14:ligatures w14:val="none"/>
        </w:rPr>
      </w:pPr>
    </w:p>
    <w:p w14:paraId="30713C98"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Unidad 2. Espiritualidad y cosmogonía de los pueblos originarios de Abya-Yala</w:t>
      </w:r>
    </w:p>
    <w:p w14:paraId="032E52B0"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p>
    <w:p w14:paraId="2326D7A5" w14:textId="77777777" w:rsidR="007B14D3" w:rsidRPr="007B14D3" w:rsidRDefault="007B14D3" w:rsidP="007B14D3">
      <w:pPr>
        <w:spacing w:after="0" w:line="240" w:lineRule="auto"/>
        <w:ind w:left="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2. 1 Explorar la cosmogonía y la espiritualidad de varios pueblos originarios (indígenas) de Abya-Yala.</w:t>
      </w:r>
    </w:p>
    <w:p w14:paraId="242BA724" w14:textId="77777777" w:rsidR="007B14D3" w:rsidRPr="007B14D3" w:rsidRDefault="007B14D3" w:rsidP="007B14D3">
      <w:pPr>
        <w:spacing w:after="0" w:line="240" w:lineRule="auto"/>
        <w:ind w:firstLine="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2.2 Aportes y desafíos a la cultural regional.</w:t>
      </w:r>
    </w:p>
    <w:p w14:paraId="39B7E486" w14:textId="77777777" w:rsidR="007B14D3" w:rsidRPr="007B14D3" w:rsidRDefault="007B14D3" w:rsidP="007B14D3">
      <w:pPr>
        <w:spacing w:after="0" w:line="240" w:lineRule="auto"/>
        <w:ind w:left="360"/>
        <w:jc w:val="both"/>
        <w:rPr>
          <w:rFonts w:ascii="Calibri" w:eastAsia="Times New Roman" w:hAnsi="Calibri" w:cs="Calibri"/>
          <w:color w:val="000000"/>
          <w:kern w:val="0"/>
          <w:lang w:val="es-ES_tradnl" w:eastAsia="es-CR"/>
          <w14:ligatures w14:val="none"/>
        </w:rPr>
      </w:pPr>
    </w:p>
    <w:p w14:paraId="5EC6B75A" w14:textId="77777777" w:rsidR="007B14D3" w:rsidRPr="007B14D3" w:rsidRDefault="007B14D3" w:rsidP="4C9C2619">
      <w:pPr>
        <w:keepNext/>
        <w:spacing w:after="0" w:line="240" w:lineRule="auto"/>
        <w:jc w:val="both"/>
        <w:rPr>
          <w:rFonts w:ascii="Calibri" w:eastAsia="Times New Roman" w:hAnsi="Calibri" w:cs="Calibri"/>
          <w:b/>
          <w:bCs/>
          <w:color w:val="000000"/>
          <w:kern w:val="0"/>
          <w:lang w:val="es-ES" w:eastAsia="es-CR"/>
          <w14:ligatures w14:val="none"/>
        </w:rPr>
      </w:pPr>
      <w:r w:rsidRPr="4C9C2619">
        <w:rPr>
          <w:rFonts w:ascii="Calibri" w:eastAsia="Times New Roman" w:hAnsi="Calibri" w:cs="Calibri"/>
          <w:b/>
          <w:bCs/>
          <w:color w:val="000000"/>
          <w:kern w:val="0"/>
          <w:lang w:val="es-ES" w:eastAsia="es-CR"/>
          <w14:ligatures w14:val="none"/>
        </w:rPr>
        <w:t>Unidad 3. Espiritualidad y cultura de los pueblos afro-latinos y caribeños</w:t>
      </w:r>
    </w:p>
    <w:p w14:paraId="0874ED43" w14:textId="77777777" w:rsidR="007B14D3" w:rsidRPr="007B14D3" w:rsidRDefault="007B14D3" w:rsidP="007B14D3">
      <w:pPr>
        <w:keepNext/>
        <w:spacing w:after="0" w:line="240" w:lineRule="auto"/>
        <w:jc w:val="both"/>
        <w:rPr>
          <w:rFonts w:ascii="Calibri" w:eastAsia="Times New Roman" w:hAnsi="Calibri" w:cs="Calibri"/>
          <w:b/>
          <w:color w:val="000000"/>
          <w:kern w:val="0"/>
          <w:lang w:val="es-ES_tradnl" w:eastAsia="es-CR"/>
          <w14:ligatures w14:val="none"/>
        </w:rPr>
      </w:pPr>
    </w:p>
    <w:p w14:paraId="08BED698" w14:textId="77777777" w:rsidR="007B14D3" w:rsidRPr="007B14D3" w:rsidRDefault="007B14D3" w:rsidP="007B14D3">
      <w:pPr>
        <w:spacing w:after="0" w:line="240" w:lineRule="auto"/>
        <w:ind w:firstLine="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3.1 Explorar la cosmogonía y la espiritualidad de varios pueblos afro en Abya-Yala.</w:t>
      </w:r>
    </w:p>
    <w:p w14:paraId="1C3B41FD" w14:textId="77777777" w:rsidR="007B14D3" w:rsidRPr="007B14D3" w:rsidRDefault="007B14D3" w:rsidP="007B14D3">
      <w:pPr>
        <w:spacing w:after="0" w:line="240" w:lineRule="auto"/>
        <w:ind w:firstLine="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3.2 Aportes y desafíos a la cultura regional.</w:t>
      </w:r>
    </w:p>
    <w:p w14:paraId="285F464D" w14:textId="77777777" w:rsidR="007B14D3" w:rsidRPr="007B14D3" w:rsidRDefault="007B14D3" w:rsidP="007B14D3">
      <w:pPr>
        <w:spacing w:after="0" w:line="240" w:lineRule="auto"/>
        <w:ind w:left="750"/>
        <w:jc w:val="both"/>
        <w:rPr>
          <w:rFonts w:ascii="Calibri" w:eastAsia="Times New Roman" w:hAnsi="Calibri" w:cs="Calibri"/>
          <w:color w:val="000000"/>
          <w:kern w:val="0"/>
          <w:lang w:val="es-ES_tradnl" w:eastAsia="es-CR"/>
          <w14:ligatures w14:val="none"/>
        </w:rPr>
      </w:pPr>
    </w:p>
    <w:p w14:paraId="6A18C512"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Unidad 4. Elementos básicos para el diálogo ecuménico en Abya-Yala</w:t>
      </w:r>
    </w:p>
    <w:p w14:paraId="534D4038" w14:textId="77777777" w:rsidR="007B14D3" w:rsidRPr="007B14D3" w:rsidRDefault="007B14D3" w:rsidP="007B14D3">
      <w:pPr>
        <w:spacing w:after="0" w:line="240" w:lineRule="auto"/>
        <w:jc w:val="both"/>
        <w:rPr>
          <w:rFonts w:ascii="Calibri" w:eastAsia="Times New Roman" w:hAnsi="Calibri" w:cs="Calibri"/>
          <w:b/>
          <w:color w:val="000000"/>
          <w:kern w:val="0"/>
          <w:lang w:val="es-ES_tradnl" w:eastAsia="es-CR"/>
          <w14:ligatures w14:val="none"/>
        </w:rPr>
      </w:pPr>
    </w:p>
    <w:p w14:paraId="55A587C6" w14:textId="77777777" w:rsidR="007B14D3" w:rsidRPr="007B14D3" w:rsidRDefault="007B14D3" w:rsidP="4C9C2619">
      <w:pPr>
        <w:spacing w:after="0" w:line="240" w:lineRule="auto"/>
        <w:ind w:firstLine="425"/>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4.1 Nuevos horizontes de la </w:t>
      </w:r>
      <w:proofErr w:type="spellStart"/>
      <w:r w:rsidRPr="4C9C2619">
        <w:rPr>
          <w:rFonts w:ascii="Calibri" w:eastAsia="Times New Roman" w:hAnsi="Calibri" w:cs="Calibri"/>
          <w:i/>
          <w:iCs/>
          <w:color w:val="000000"/>
          <w:kern w:val="0"/>
          <w:lang w:val="es-ES" w:eastAsia="es-CR"/>
          <w14:ligatures w14:val="none"/>
        </w:rPr>
        <w:t>eukumene</w:t>
      </w:r>
      <w:proofErr w:type="spellEnd"/>
      <w:r w:rsidRPr="4C9C2619">
        <w:rPr>
          <w:rFonts w:ascii="Calibri" w:eastAsia="Times New Roman" w:hAnsi="Calibri" w:cs="Calibri"/>
          <w:color w:val="000000"/>
          <w:kern w:val="0"/>
          <w:lang w:val="es-ES" w:eastAsia="es-CR"/>
          <w14:ligatures w14:val="none"/>
        </w:rPr>
        <w:t xml:space="preserve"> y la solidaridad a través del diálogo interreligioso.</w:t>
      </w:r>
    </w:p>
    <w:p w14:paraId="4A569231" w14:textId="77777777" w:rsidR="007B14D3" w:rsidRPr="007B14D3" w:rsidRDefault="007B14D3" w:rsidP="007B14D3">
      <w:pPr>
        <w:spacing w:after="0" w:line="240" w:lineRule="auto"/>
        <w:ind w:firstLine="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4.2 El diálogo interreligioso en Abya-Yala y sus aportes para la vida en plenitud de la región.</w:t>
      </w:r>
    </w:p>
    <w:p w14:paraId="763344C7" w14:textId="77777777" w:rsidR="007B14D3" w:rsidRPr="007B14D3" w:rsidRDefault="007B14D3" w:rsidP="007B14D3">
      <w:pPr>
        <w:spacing w:after="0" w:line="240" w:lineRule="auto"/>
        <w:ind w:firstLine="425"/>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4.3 Enlace y visión teológica</w:t>
      </w:r>
    </w:p>
    <w:p w14:paraId="27E28479" w14:textId="77777777" w:rsidR="007B14D3" w:rsidRPr="007B14D3" w:rsidRDefault="007B14D3" w:rsidP="007B14D3">
      <w:pPr>
        <w:rPr>
          <w:rFonts w:ascii="Calibri" w:eastAsia="Times New Roman" w:hAnsi="Calibri" w:cs="Calibri"/>
          <w:b/>
          <w:color w:val="000000"/>
          <w:kern w:val="0"/>
          <w:lang w:val="es-ES_tradnl" w:eastAsia="es-CR"/>
          <w14:ligatures w14:val="none"/>
        </w:rPr>
      </w:pPr>
    </w:p>
    <w:p w14:paraId="3800EB4D"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V. Metodología</w:t>
      </w:r>
    </w:p>
    <w:p w14:paraId="164FBE8B" w14:textId="77777777" w:rsidR="007B14D3" w:rsidRPr="007B14D3" w:rsidRDefault="007B14D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w:t>
      </w:r>
      <w:r w:rsidRPr="4C9C2619">
        <w:rPr>
          <w:rFonts w:ascii="Calibri" w:eastAsia="Times New Roman" w:hAnsi="Calibri" w:cs="Calibri"/>
          <w:color w:val="000000"/>
          <w:kern w:val="0"/>
          <w:lang w:val="es-ES" w:eastAsia="es-CR"/>
          <w14:ligatures w14:val="none"/>
        </w:rPr>
        <w:lastRenderedPageBreak/>
        <w:t>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0C4D9E9C"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Este es un curso teórico-práctico que se desarrolla con base en la investigación y el trabajo grupal en el aula virtual.  Se fundamenta en el análisis y la lectura de documentos digitales (videos, libros o artículos sobre la temática) ubicados en la plataforma virtual. Exige habilidades para la comprensión de lectura, creatividad para realizar enlaces teóricos, para dialogar y trabajar en grupos y destrezas para la realización de las tareas.  La persona docente, por su parte, orientará al grupo presentando insumos y desafíos a través de encuentros sincrónicos virtuales para despertar del análisis crítico los documentos, generando diálogo e interacción grupal.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18CA7E6C"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El curso parte de la reflexión sobre el propio peregrinaje pastoral entre los pueblos aborígenes y afrolatinos de los y las estudiantes, quienes procederán a sistematizarlo y a señalar puntos centrales que les inquietan sobre la práctica pastoral en el intercambio intercultural e interreligioso. El debate crítico virtual y la reflexión sobre el proceso histórico colonial, lo sagrado y lo profano, así como la esclavitud de ayer y la pobreza de hoy, permiten profundizar la necesidad de sensibilizar en las comunidades de fe acerca de la convivencia intercultural e interreligiosa, como experiencias claves para concretar los valores del Reino y la justicia tan urgente en la región latinoamericana y caribeña.</w:t>
      </w:r>
    </w:p>
    <w:p w14:paraId="2B60AE1B"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2"/>
          <w:szCs w:val="2"/>
          <w:lang w:val="es-ES_tradnl" w:eastAsia="es-CR"/>
          <w14:ligatures w14:val="none"/>
        </w:rPr>
      </w:pPr>
    </w:p>
    <w:p w14:paraId="3704167A"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VI. Estrategias de aprendizaje</w:t>
      </w:r>
    </w:p>
    <w:p w14:paraId="32DF29E7"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7B14D3">
        <w:rPr>
          <w:rFonts w:ascii="Calibri" w:eastAsia="Times New Roman" w:hAnsi="Calibri" w:cs="Calibri"/>
          <w:kern w:val="0"/>
          <w:lang w:val="es-ES_tradnl" w:eastAsia="es-CR"/>
          <w14:ligatures w14:val="none"/>
        </w:rPr>
        <w:t>En el presente curso se busca ofrecer una visión histórica del surgimiento de los pueblos originarios de Abya-Yala, como también de aquellos que fueron obligatoriamente trasladados de las costas africanas como esclavos a América Latina durante el tiempo de la conquista y la colonia.</w:t>
      </w:r>
    </w:p>
    <w:p w14:paraId="365745C1"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Se utilizan las siguientes estrategias de aprendizaje:</w:t>
      </w:r>
    </w:p>
    <w:p w14:paraId="4D1BD7DA"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7B14D3">
        <w:rPr>
          <w:rFonts w:ascii="Calibri" w:eastAsia="Times New Roman" w:hAnsi="Calibri" w:cs="Calibri"/>
          <w:b/>
          <w:color w:val="000000"/>
          <w:kern w:val="0"/>
          <w:lang w:eastAsia="es-CR"/>
          <w14:ligatures w14:val="none"/>
        </w:rPr>
        <w:t>a) Mapa conceptual:</w:t>
      </w:r>
      <w:r w:rsidRPr="007B14D3">
        <w:rPr>
          <w:rFonts w:ascii="Calibri" w:eastAsia="Times New Roman" w:hAnsi="Calibri" w:cs="Calibri"/>
          <w:color w:val="000000"/>
          <w:kern w:val="0"/>
          <w:lang w:eastAsia="es-CR"/>
          <w14:ligatures w14:val="none"/>
        </w:rPr>
        <w:t xml:space="preserve"> </w:t>
      </w:r>
      <w:r w:rsidRPr="007B14D3">
        <w:rPr>
          <w:rFonts w:ascii="Calibri" w:eastAsia="Calibri" w:hAnsi="Calibri" w:cs="Times New Roman"/>
          <w:kern w:val="0"/>
          <w:lang w:val="es-MX"/>
          <w14:ligatures w14:val="none"/>
        </w:rPr>
        <w:t xml:space="preserve">Se define al mapa conceptual como una herramienta gráfica de aprendizaje que permite establecer jerarquías entre las ideas y conceptos de un texto o lectura y sus relaciones en forma gráfica y creativa. </w:t>
      </w:r>
      <w:r w:rsidRPr="007B14D3">
        <w:rPr>
          <w:rFonts w:ascii="Calibri" w:eastAsia="Times New Roman" w:hAnsi="Calibri" w:cs="Calibri"/>
          <w:bCs/>
          <w:kern w:val="0"/>
          <w:lang w:val="es-MX" w:eastAsia="es-CR"/>
          <w14:ligatures w14:val="none"/>
        </w:rPr>
        <w:t xml:space="preserve">Utilizaremos </w:t>
      </w:r>
      <w:r w:rsidRPr="007B14D3">
        <w:rPr>
          <w:rFonts w:ascii="Calibri" w:eastAsia="Times New Roman" w:hAnsi="Calibri" w:cs="Calibri"/>
          <w:bCs/>
          <w:kern w:val="0"/>
          <w:lang w:val="es-ES_tradnl" w:eastAsia="es-CR"/>
          <w14:ligatures w14:val="none"/>
        </w:rPr>
        <w:t>esta estrategia para profundizar en el tema de las esclavitudes de ayer.</w:t>
      </w:r>
    </w:p>
    <w:p w14:paraId="40349EC3"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7B14D3">
        <w:rPr>
          <w:rFonts w:ascii="Calibri" w:eastAsia="Times New Roman" w:hAnsi="Calibri" w:cs="Calibri"/>
          <w:b/>
          <w:color w:val="000000"/>
          <w:kern w:val="0"/>
          <w:lang w:eastAsia="es-CR"/>
          <w14:ligatures w14:val="none"/>
        </w:rPr>
        <w:t>b) Mapa mental:</w:t>
      </w:r>
      <w:r w:rsidRPr="007B14D3">
        <w:rPr>
          <w:rFonts w:ascii="Calibri" w:eastAsia="Times New Roman" w:hAnsi="Calibri" w:cs="Calibri"/>
          <w:color w:val="000000"/>
          <w:kern w:val="0"/>
          <w:lang w:eastAsia="es-CR"/>
          <w14:ligatures w14:val="none"/>
        </w:rPr>
        <w:t xml:space="preserve"> </w:t>
      </w:r>
      <w:r w:rsidRPr="007B14D3">
        <w:rPr>
          <w:rFonts w:ascii="Calibri" w:eastAsia="Times New Roman" w:hAnsi="Calibri" w:cs="Calibri"/>
          <w:bCs/>
          <w:kern w:val="0"/>
          <w:lang w:val="es-ES_tradnl" w:eastAsia="es-CR"/>
          <w14:ligatures w14:val="none"/>
        </w:rPr>
        <w:t>Se trata de una herramienta de estudio que, en forma gráfica, didáctica, ordenada, jerarquizada y sistemática ilustra los esquemas mentales cognitivos que se van dando al apropiarse del conocimiento que comparte una lectura. Durante el curso se elaborarán dos mapas mentales. El primero sobre el proceso de poblamiento de la región y el segundo con el fin de sistematizar los resultados del prediagnóstico sobre diálogo interreligioso en las comunidades de fe.</w:t>
      </w:r>
    </w:p>
    <w:p w14:paraId="3DBB6D24" w14:textId="77777777" w:rsidR="007B14D3" w:rsidRPr="007B14D3" w:rsidRDefault="007B14D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b/>
          <w:bCs/>
          <w:color w:val="000000"/>
          <w:kern w:val="0"/>
          <w:lang w:val="es-ES" w:eastAsia="es-CR"/>
          <w14:ligatures w14:val="none"/>
        </w:rPr>
        <w:t>c) Presentación audiovisual:</w:t>
      </w:r>
      <w:r w:rsidRPr="4C9C2619">
        <w:rPr>
          <w:rFonts w:ascii="Calibri" w:eastAsia="Times New Roman" w:hAnsi="Calibri" w:cs="Calibri"/>
          <w:color w:val="000000"/>
          <w:kern w:val="0"/>
          <w:lang w:val="es-ES" w:eastAsia="es-CR"/>
          <w14:ligatures w14:val="none"/>
        </w:rPr>
        <w:t xml:space="preserve"> La presentación audiovisual es una herramienta que integra e interrelaciona lo auditivo y lo visual con el objetivo de presentar información sobre un tema o temas en específico. Con el objetivo de estudiar la prehistoria se elaborará una presentación audiovisual, en otro momento del curso, el tema para su elaboración será lo sagrado y lo profano y, finalmente, </w:t>
      </w:r>
      <w:r w:rsidRPr="4C9C2619">
        <w:rPr>
          <w:rFonts w:ascii="Calibri" w:eastAsia="Times New Roman" w:hAnsi="Calibri" w:cs="Calibri"/>
          <w:color w:val="000000"/>
          <w:kern w:val="0"/>
          <w:lang w:val="es-ES" w:eastAsia="es-CR"/>
          <w14:ligatures w14:val="none"/>
        </w:rPr>
        <w:lastRenderedPageBreak/>
        <w:t xml:space="preserve">también se elaborarán presentaciones audiovisuales sobre un pueblo originario indígena y otro afrolatino.  </w:t>
      </w:r>
    </w:p>
    <w:p w14:paraId="5A56D0CC"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d) Ensayo analítico:</w:t>
      </w:r>
      <w:r w:rsidRPr="007B14D3">
        <w:rPr>
          <w:rFonts w:ascii="Calibri" w:eastAsia="Times New Roman" w:hAnsi="Calibri" w:cs="Calibri"/>
          <w:color w:val="000000"/>
          <w:kern w:val="0"/>
          <w:lang w:val="es-ES_tradnl" w:eastAsia="es-CR"/>
          <w14:ligatures w14:val="none"/>
        </w:rPr>
        <w:t xml:space="preserve"> </w:t>
      </w:r>
      <w:bookmarkStart w:id="46" w:name="_Hlk118962871"/>
      <w:r w:rsidRPr="007B14D3">
        <w:rPr>
          <w:rFonts w:ascii="Calibri" w:eastAsia="Calibri" w:hAnsi="Calibri" w:cs="Calibri"/>
          <w:bCs/>
          <w:kern w:val="0"/>
          <w14:ligatures w14:val="none"/>
        </w:rPr>
        <w:t>Se define como un documento académico estructurado en una introducción, desarrollo, conclusión y referencias bibliográficas (bajo el sistema Chicago-Deusto usado por la UBL). Con él se busca la exposición, el estudio y análisis de un tema o tópico seleccionado o asignado.</w:t>
      </w:r>
      <w:bookmarkEnd w:id="46"/>
      <w:r w:rsidRPr="007B14D3">
        <w:rPr>
          <w:rFonts w:ascii="Calibri" w:eastAsia="Calibri" w:hAnsi="Calibri" w:cs="Calibri"/>
          <w:bCs/>
          <w:kern w:val="0"/>
          <w14:ligatures w14:val="none"/>
        </w:rPr>
        <w:t xml:space="preserve"> </w:t>
      </w:r>
      <w:r w:rsidRPr="007B14D3">
        <w:rPr>
          <w:rFonts w:ascii="Calibri" w:eastAsia="Times New Roman" w:hAnsi="Calibri" w:cs="Calibri"/>
          <w:kern w:val="0"/>
          <w:lang w:val="es-ES_tradnl" w:eastAsia="es-CR"/>
          <w14:ligatures w14:val="none"/>
        </w:rPr>
        <w:t xml:space="preserve">El ensayo analítico es aquel donde se descompone un tema en todas sus partes, para examinar sus particularidades y relaciones entre sí, lo cual implica un trabajo de sistematización lógica. En este curso se solicitan dos ensayos. El primero se desarrollará a partir de la investigación de un pueblo originario indígena y el segundo de un pueblo afrolatino. </w:t>
      </w:r>
    </w:p>
    <w:p w14:paraId="4F951054"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7B14D3">
        <w:rPr>
          <w:rFonts w:ascii="Calibri" w:eastAsia="Times New Roman" w:hAnsi="Calibri" w:cs="Calibri"/>
          <w:b/>
          <w:color w:val="000000"/>
          <w:kern w:val="0"/>
          <w:lang w:eastAsia="es-CR"/>
          <w14:ligatures w14:val="none"/>
        </w:rPr>
        <w:t>e) Resumen:</w:t>
      </w:r>
      <w:r w:rsidRPr="007B14D3">
        <w:rPr>
          <w:rFonts w:ascii="Calibri" w:eastAsia="Times New Roman" w:hAnsi="Calibri" w:cs="Calibri"/>
          <w:color w:val="000000"/>
          <w:kern w:val="0"/>
          <w:lang w:eastAsia="es-CR"/>
          <w14:ligatures w14:val="none"/>
        </w:rPr>
        <w:t xml:space="preserve"> El resumen es una exposición abreviada, concisa y fiel sobre los puntos más importantes de un texto o documento. Este debe ser objetivo, claro y coherente. Su objetivo fundamental es facilitar la comprensión de un texto. Utilizamos</w:t>
      </w:r>
      <w:r w:rsidRPr="007B14D3">
        <w:rPr>
          <w:rFonts w:ascii="Calibri" w:eastAsia="Times New Roman" w:hAnsi="Calibri" w:cs="Calibri"/>
          <w:kern w:val="0"/>
          <w:lang w:val="es-ES_tradnl" w:eastAsia="es-CR"/>
          <w14:ligatures w14:val="none"/>
        </w:rPr>
        <w:t xml:space="preserve"> esta estrategia de aprendizaje para realizar un resumen sobre la polifonía teológica y otro sobre lo sagrado y lo profano o la descripción densa.</w:t>
      </w:r>
    </w:p>
    <w:p w14:paraId="24A047C6"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7B14D3">
        <w:rPr>
          <w:rFonts w:ascii="Calibri" w:eastAsia="Times New Roman" w:hAnsi="Calibri" w:cs="Calibri"/>
          <w:b/>
          <w:color w:val="000000"/>
          <w:kern w:val="0"/>
          <w:lang w:eastAsia="es-CR"/>
          <w14:ligatures w14:val="none"/>
        </w:rPr>
        <w:t xml:space="preserve">f) </w:t>
      </w:r>
      <w:proofErr w:type="spellStart"/>
      <w:r w:rsidRPr="007B14D3">
        <w:rPr>
          <w:rFonts w:ascii="Calibri" w:eastAsia="Times New Roman" w:hAnsi="Calibri" w:cs="Calibri"/>
          <w:b/>
          <w:color w:val="000000"/>
          <w:kern w:val="0"/>
          <w:lang w:eastAsia="es-CR"/>
          <w14:ligatures w14:val="none"/>
        </w:rPr>
        <w:t>Brochure</w:t>
      </w:r>
      <w:proofErr w:type="spellEnd"/>
      <w:r w:rsidRPr="007B14D3">
        <w:rPr>
          <w:rFonts w:ascii="Calibri" w:eastAsia="Times New Roman" w:hAnsi="Calibri" w:cs="Calibri"/>
          <w:b/>
          <w:color w:val="000000"/>
          <w:kern w:val="0"/>
          <w:lang w:eastAsia="es-CR"/>
          <w14:ligatures w14:val="none"/>
        </w:rPr>
        <w:t xml:space="preserve"> o tríptico:</w:t>
      </w:r>
      <w:r w:rsidRPr="007B14D3">
        <w:rPr>
          <w:rFonts w:ascii="Calibri" w:eastAsia="Times New Roman" w:hAnsi="Calibri" w:cs="Calibri"/>
          <w:color w:val="000000"/>
          <w:kern w:val="0"/>
          <w:lang w:eastAsia="es-CR"/>
          <w14:ligatures w14:val="none"/>
        </w:rPr>
        <w:t xml:space="preserve"> El tríptico es un folleto informativo cuya hoja está dividida en tres partes, de las cuales sus laterales se doblan sobre la del centro. Está formado por una carátula, la parte interior y la contraportada. El contenido de cada una de las partes depende de su finalidad, de la imaginación y la creatividad de quien lo diseña. El tríptico puede contener una orientación vertical u horizontal. En este curso en particular, como una forma de sintetizar los aprendizajes, se elaborará un tríptico dirigido a una comunidad de fe particular para animar su participación en un diálogo intercultural e interreligioso. Dicho trabajo se realizará tanto mediante dinámicas grupales como individuales.</w:t>
      </w:r>
    </w:p>
    <w:p w14:paraId="33EE47EE"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7B14D3">
        <w:rPr>
          <w:rFonts w:ascii="Calibri" w:eastAsia="Times New Roman" w:hAnsi="Calibri" w:cs="Calibri"/>
          <w:b/>
          <w:color w:val="000000"/>
          <w:kern w:val="0"/>
          <w:lang w:eastAsia="es-CR"/>
          <w14:ligatures w14:val="none"/>
        </w:rPr>
        <w:t>g) Prediagnóstico:</w:t>
      </w:r>
      <w:r w:rsidRPr="007B14D3">
        <w:rPr>
          <w:rFonts w:ascii="Calibri" w:eastAsia="Times New Roman" w:hAnsi="Calibri" w:cs="Calibri"/>
          <w:color w:val="000000"/>
          <w:kern w:val="0"/>
          <w:lang w:eastAsia="es-CR"/>
          <w14:ligatures w14:val="none"/>
        </w:rPr>
        <w:t xml:space="preserve"> Utilizaremos la estrategia del prediagnóstico con el objetivo de conocer y analizar la perspectiva de una comunidad de fe sobre el diálogo con otros grupos étnicos y/o religiosos. A través de este se recolectarán insumos que servirán como material didáctico para el tríptico. Mediante el prediagnóstico las personas estudiantes podrán conocer los siguientes elementos: su conocimiento del contexto, su perspectiva teológica hacia otras religiones y, por último, sus actitudes sobre los diálogos interculturales e interreligiosos.  </w:t>
      </w:r>
    </w:p>
    <w:p w14:paraId="574A367F"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Calibri" w:hAnsi="Calibri" w:cs="Calibri"/>
          <w:kern w:val="0"/>
          <w14:ligatures w14:val="none"/>
        </w:rPr>
      </w:pPr>
      <w:r w:rsidRPr="007B14D3">
        <w:rPr>
          <w:rFonts w:ascii="Calibri" w:eastAsia="Times New Roman" w:hAnsi="Calibri" w:cs="Calibri"/>
          <w:b/>
          <w:color w:val="000000"/>
          <w:kern w:val="0"/>
          <w:lang w:eastAsia="es-CR"/>
          <w14:ligatures w14:val="none"/>
        </w:rPr>
        <w:t>h) Glosario:</w:t>
      </w:r>
      <w:r w:rsidRPr="007B14D3">
        <w:rPr>
          <w:rFonts w:ascii="Calibri" w:eastAsia="Times New Roman" w:hAnsi="Calibri" w:cs="Calibri"/>
          <w:color w:val="000000"/>
          <w:kern w:val="0"/>
          <w:lang w:eastAsia="es-CR"/>
          <w14:ligatures w14:val="none"/>
        </w:rPr>
        <w:t xml:space="preserve"> </w:t>
      </w:r>
      <w:r w:rsidRPr="007B14D3">
        <w:rPr>
          <w:rFonts w:ascii="Calibri" w:eastAsia="Calibri" w:hAnsi="Calibri" w:cs="Calibri"/>
          <w:color w:val="000000"/>
          <w:kern w:val="0"/>
          <w14:ligatures w14:val="none"/>
        </w:rPr>
        <w:t>El glosario se compone de una lista de concepto</w:t>
      </w:r>
      <w:r w:rsidRPr="007B14D3">
        <w:rPr>
          <w:rFonts w:ascii="Calibri" w:eastAsia="Calibri" w:hAnsi="Calibri" w:cs="Calibri"/>
          <w:kern w:val="0"/>
          <w14:ligatures w14:val="none"/>
        </w:rPr>
        <w:t>s en forma de catálogo de una misma disciplina o campo de estudio que aparecen definidas, explicadas o comentadas. En este curso se desarrollarán dos glosarios con el fin de apropiarse de conocimientos sobre el tema de la historia y realidad de los pueblos indígenas y afrolatinos, y sobre el diálogo interreligioso.</w:t>
      </w:r>
    </w:p>
    <w:p w14:paraId="55199973"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7B14D3">
        <w:rPr>
          <w:rFonts w:ascii="Calibri" w:eastAsia="Times New Roman" w:hAnsi="Calibri" w:cs="Calibri"/>
          <w:b/>
          <w:bCs/>
          <w:color w:val="000000"/>
          <w:kern w:val="0"/>
          <w:lang w:eastAsia="es-CR"/>
          <w14:ligatures w14:val="none"/>
        </w:rPr>
        <w:t xml:space="preserve">i) Encuentro sincrónico virtual: </w:t>
      </w:r>
      <w:r w:rsidRPr="007B14D3">
        <w:rPr>
          <w:rFonts w:ascii="Calibri" w:eastAsia="Calibri" w:hAnsi="Calibri" w:cs="Calibri"/>
          <w:bCs/>
          <w:kern w:val="0"/>
          <w14:ligatures w14:val="none"/>
        </w:rPr>
        <w:t xml:space="preserve">Los encuentros sincrónicos virtuales son espacios de sincronía remota en una plataforma virtual. Tienen </w:t>
      </w:r>
      <w:r w:rsidRPr="007B14D3">
        <w:rPr>
          <w:rFonts w:ascii="Calibri" w:eastAsia="Calibri" w:hAnsi="Calibri" w:cs="Arial"/>
          <w:kern w:val="0"/>
          <w14:ligatures w14:val="none"/>
        </w:rPr>
        <w:t>un carácter formativo y de encuentro con la persona docente, no sumativo en cuanto a la evaluación. Se colocará la grabación en el aula virtual. Durante los encuentros la persona docente desarrollará presentaciones temáticas y facilitará debate grupal sobre los siguientes temas: ¿quién descubrió América?, el trasfondo histórico de los pueblos originarios, el diálogo interreligioso y el diálogo ecuménico en Abya-Yala (América Latina y Caribe).</w:t>
      </w:r>
    </w:p>
    <w:p w14:paraId="5220BF85"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4D603CFD"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12"/>
          <w:szCs w:val="12"/>
          <w:lang w:val="es-ES_tradnl" w:eastAsia="es-CR"/>
          <w14:ligatures w14:val="none"/>
        </w:rPr>
      </w:pPr>
    </w:p>
    <w:p w14:paraId="0010906E"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VII. Recursos didácticos</w:t>
      </w:r>
    </w:p>
    <w:p w14:paraId="1681694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7DAFE3A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5FBCE9D4"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D635D54"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colaborativas. Todos los materiales de lectura están disponibles en formato digital en la plataforma virtual.  </w:t>
      </w:r>
    </w:p>
    <w:p w14:paraId="18004E4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EC725CC"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1901EB90"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9B6AEBA"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c) Material audiovisual en algunas de las sesiones que se asigna para su observación con el fin de ampliar las temáticas. Observar este material es opcional.</w:t>
      </w:r>
    </w:p>
    <w:p w14:paraId="705A1758"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B3E7BE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 xml:space="preserve">d)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w:t>
      </w:r>
      <w:proofErr w:type="gramStart"/>
      <w:r w:rsidRPr="007B14D3">
        <w:rPr>
          <w:rFonts w:ascii="Calibri" w:eastAsia="Times New Roman" w:hAnsi="Calibri" w:cs="Calibri"/>
          <w:color w:val="000000"/>
          <w:kern w:val="0"/>
          <w:lang w:val="es-ES" w:eastAsia="es-ES"/>
          <w14:ligatures w14:val="none"/>
        </w:rPr>
        <w:t>la misma</w:t>
      </w:r>
      <w:proofErr w:type="gramEnd"/>
      <w:r w:rsidRPr="007B14D3">
        <w:rPr>
          <w:rFonts w:ascii="Calibri" w:eastAsia="Times New Roman" w:hAnsi="Calibri" w:cs="Calibri"/>
          <w:color w:val="000000"/>
          <w:kern w:val="0"/>
          <w:lang w:val="es-ES" w:eastAsia="es-ES"/>
          <w14:ligatures w14:val="none"/>
        </w:rPr>
        <w:t>.</w:t>
      </w:r>
    </w:p>
    <w:p w14:paraId="3723831D"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869CC98"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 xml:space="preserve">e) En la plataforma virtual también dispondrá de guías generales que se encuentran en el material complementario de la sesión correspondiente para la participación en un foro, en un glosario y mediante la herramienta Big Blue </w:t>
      </w:r>
      <w:proofErr w:type="spellStart"/>
      <w:r w:rsidRPr="007B14D3">
        <w:rPr>
          <w:rFonts w:ascii="Calibri" w:eastAsia="Times New Roman" w:hAnsi="Calibri" w:cs="Calibri"/>
          <w:color w:val="000000"/>
          <w:kern w:val="0"/>
          <w:lang w:val="es-ES" w:eastAsia="es-ES"/>
          <w14:ligatures w14:val="none"/>
        </w:rPr>
        <w:t>Button</w:t>
      </w:r>
      <w:proofErr w:type="spellEnd"/>
      <w:r w:rsidRPr="007B14D3">
        <w:rPr>
          <w:rFonts w:ascii="Calibri" w:eastAsia="Times New Roman" w:hAnsi="Calibri" w:cs="Calibri"/>
          <w:color w:val="000000"/>
          <w:kern w:val="0"/>
          <w:lang w:val="es-ES" w:eastAsia="es-ES"/>
          <w14:ligatures w14:val="none"/>
        </w:rPr>
        <w:t xml:space="preserve"> en la plataforma Moodle; para la elaboración de un mapa mental y un mapa conceptual; así como de guías para el pre diagnóstico de diálogo </w:t>
      </w:r>
      <w:proofErr w:type="spellStart"/>
      <w:r w:rsidRPr="007B14D3">
        <w:rPr>
          <w:rFonts w:ascii="Calibri" w:eastAsia="Times New Roman" w:hAnsi="Calibri" w:cs="Calibri"/>
          <w:color w:val="000000"/>
          <w:kern w:val="0"/>
          <w:lang w:val="es-ES" w:eastAsia="es-ES"/>
          <w14:ligatures w14:val="none"/>
        </w:rPr>
        <w:t>inter-religioso</w:t>
      </w:r>
      <w:proofErr w:type="spellEnd"/>
      <w:r w:rsidRPr="007B14D3">
        <w:rPr>
          <w:rFonts w:ascii="Calibri" w:eastAsia="Times New Roman" w:hAnsi="Calibri" w:cs="Calibri"/>
          <w:color w:val="000000"/>
          <w:kern w:val="0"/>
          <w:lang w:val="es-ES" w:eastAsia="es-ES"/>
          <w14:ligatures w14:val="none"/>
        </w:rPr>
        <w:t>, la elaboración de una presentación audiovisual y un ensayo analítico y la elaboración del tríptico que se encuentran en la sección de actividades de la sesión correspondiente.</w:t>
      </w:r>
    </w:p>
    <w:p w14:paraId="3DDAD3FC"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F03528D"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 xml:space="preserve">f) También puede disponer de las bases de datos, revistas en línea, repositorios y buscadores especializados a los cuales puede acceder mediante la Biblioteca Enrique </w:t>
      </w:r>
      <w:proofErr w:type="spellStart"/>
      <w:r w:rsidRPr="007B14D3">
        <w:rPr>
          <w:rFonts w:ascii="Calibri" w:eastAsia="Times New Roman" w:hAnsi="Calibri" w:cs="Calibri"/>
          <w:color w:val="000000"/>
          <w:kern w:val="0"/>
          <w:lang w:val="es-ES" w:eastAsia="es-ES"/>
          <w14:ligatures w14:val="none"/>
        </w:rPr>
        <w:t>Strachan</w:t>
      </w:r>
      <w:proofErr w:type="spellEnd"/>
      <w:r w:rsidRPr="007B14D3">
        <w:rPr>
          <w:rFonts w:ascii="Calibri" w:eastAsia="Times New Roman" w:hAnsi="Calibri" w:cs="Calibri"/>
          <w:color w:val="000000"/>
          <w:kern w:val="0"/>
          <w:lang w:val="es-ES" w:eastAsia="es-ES"/>
          <w14:ligatures w14:val="none"/>
        </w:rPr>
        <w:t xml:space="preserve"> (</w:t>
      </w:r>
      <w:hyperlink r:id="rId319" w:history="1">
        <w:r w:rsidRPr="007B14D3">
          <w:rPr>
            <w:rFonts w:ascii="Calibri" w:eastAsia="Times New Roman" w:hAnsi="Calibri" w:cs="Calibri"/>
            <w:color w:val="0563C1"/>
            <w:kern w:val="0"/>
            <w:u w:val="single"/>
            <w:lang w:val="es-ES" w:eastAsia="es-ES"/>
            <w14:ligatures w14:val="none"/>
          </w:rPr>
          <w:t>https://www.ubl.ac.cr/biblioteca</w:t>
        </w:r>
      </w:hyperlink>
      <w:r w:rsidRPr="007B14D3">
        <w:rPr>
          <w:rFonts w:ascii="Calibri" w:eastAsia="Times New Roman" w:hAnsi="Calibri" w:cs="Calibri"/>
          <w:color w:val="000000"/>
          <w:kern w:val="0"/>
          <w:lang w:val="es-ES" w:eastAsia="es-ES"/>
          <w14:ligatures w14:val="none"/>
        </w:rPr>
        <w:t>), así como consultar el Portal de Revistas de la UBL (</w:t>
      </w:r>
      <w:hyperlink r:id="rId320" w:history="1">
        <w:r w:rsidRPr="007B14D3">
          <w:rPr>
            <w:rFonts w:ascii="Calibri" w:eastAsia="Times New Roman" w:hAnsi="Calibri" w:cs="Calibri"/>
            <w:color w:val="0563C1"/>
            <w:kern w:val="0"/>
            <w:u w:val="single"/>
            <w:lang w:val="es-ES" w:eastAsia="es-ES"/>
            <w14:ligatures w14:val="none"/>
          </w:rPr>
          <w:t>http://revistas.ubl.ac.cr/</w:t>
        </w:r>
      </w:hyperlink>
      <w:r w:rsidRPr="007B14D3">
        <w:rPr>
          <w:rFonts w:ascii="Calibri" w:eastAsia="Times New Roman" w:hAnsi="Calibri" w:cs="Calibri"/>
          <w:color w:val="000000"/>
          <w:kern w:val="0"/>
          <w:lang w:val="es-ES" w:eastAsia="es-ES"/>
          <w14:ligatures w14:val="none"/>
        </w:rPr>
        <w:t>). A través del correo de la biblioteca (</w:t>
      </w:r>
      <w:hyperlink r:id="rId321" w:history="1">
        <w:r w:rsidRPr="007B14D3">
          <w:rPr>
            <w:rFonts w:ascii="Calibri" w:eastAsia="Times New Roman" w:hAnsi="Calibri" w:cs="Calibri"/>
            <w:color w:val="0563C1"/>
            <w:kern w:val="0"/>
            <w:u w:val="single"/>
            <w:lang w:val="es-ES" w:eastAsia="es-ES"/>
            <w14:ligatures w14:val="none"/>
          </w:rPr>
          <w:t>biblioteca@ubl.ac.cr</w:t>
        </w:r>
      </w:hyperlink>
      <w:r w:rsidRPr="007B14D3">
        <w:rPr>
          <w:rFonts w:ascii="Calibri" w:eastAsia="Times New Roman" w:hAnsi="Calibri" w:cs="Calibri"/>
          <w:color w:val="000000"/>
          <w:kern w:val="0"/>
          <w:lang w:val="es-ES" w:eastAsia="es-ES"/>
          <w14:ligatures w14:val="none"/>
        </w:rPr>
        <w:t>) puede solicitar recursos que se encuentren en la colección física.</w:t>
      </w:r>
    </w:p>
    <w:p w14:paraId="0D82A33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7BB82F0" w14:textId="4D508B84"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g)</w:t>
      </w:r>
      <w:r w:rsidRPr="007B14D3">
        <w:rPr>
          <w:rFonts w:ascii="Calibri" w:eastAsia="Times New Roman" w:hAnsi="Calibri" w:cs="Calibri"/>
          <w:bCs/>
          <w:kern w:val="0"/>
          <w:lang w:val="es-ES_tradnl" w:eastAsia="es-CR"/>
          <w14:ligatures w14:val="none"/>
        </w:rPr>
        <w:t xml:space="preserve"> 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7B14D3">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322" w:history="1">
        <w:r w:rsidRPr="007B14D3">
          <w:rPr>
            <w:rFonts w:ascii="Calibri" w:eastAsia="Times New Roman" w:hAnsi="Calibri" w:cs="Calibri"/>
            <w:bCs/>
            <w:color w:val="0563C1"/>
            <w:kern w:val="0"/>
            <w:u w:val="single"/>
            <w:lang w:val="es-ES_tradnl" w:eastAsia="es-CR"/>
            <w14:ligatures w14:val="none"/>
          </w:rPr>
          <w:t>https://campus.ubl.ac.cr/course/index.php?categoryid=186</w:t>
        </w:r>
      </w:hyperlink>
    </w:p>
    <w:p w14:paraId="1F9B1FDC"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D21F944"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7B14D3">
        <w:rPr>
          <w:rFonts w:ascii="Calibri" w:eastAsia="Times New Roman" w:hAnsi="Calibri" w:cs="Calibri"/>
          <w:color w:val="000000"/>
          <w:kern w:val="0"/>
          <w:lang w:val="es-ES" w:eastAsia="es-ES"/>
          <w14:ligatures w14:val="none"/>
        </w:rPr>
        <w:t>h) Mediante el campus virtual accederá al espacio de soporte técnico en el cual puede evacuar sus dudas o preguntas frecuentes y al correo electrónico para comunicarse con la persona docente.</w:t>
      </w:r>
    </w:p>
    <w:p w14:paraId="3B645DFA"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476031C" w14:textId="77777777" w:rsidR="007B14D3" w:rsidRPr="007B14D3" w:rsidRDefault="007B14D3" w:rsidP="007B14D3">
      <w:pPr>
        <w:spacing w:after="200" w:line="276" w:lineRule="auto"/>
        <w:ind w:left="1440"/>
        <w:contextualSpacing/>
        <w:jc w:val="both"/>
        <w:rPr>
          <w:rFonts w:ascii="Calibri" w:eastAsia="Calibri" w:hAnsi="Calibri" w:cs="Calibri"/>
          <w:bCs/>
          <w:color w:val="000000"/>
          <w:kern w:val="0"/>
          <w14:ligatures w14:val="none"/>
        </w:rPr>
      </w:pPr>
    </w:p>
    <w:p w14:paraId="0E6200FF"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Calibri" w:hAnsi="Calibri" w:cs="Calibri"/>
          <w:bCs/>
          <w:color w:val="000000"/>
          <w:kern w:val="0"/>
          <w:lang w:eastAsia="es-CR"/>
          <w14:ligatures w14:val="none"/>
        </w:rPr>
      </w:pPr>
    </w:p>
    <w:p w14:paraId="60CCF679" w14:textId="77777777" w:rsidR="007B14D3" w:rsidRPr="007B14D3" w:rsidRDefault="007B14D3" w:rsidP="007B14D3">
      <w:pPr>
        <w:spacing w:after="200" w:line="276" w:lineRule="auto"/>
        <w:ind w:left="720"/>
        <w:contextualSpacing/>
        <w:jc w:val="both"/>
        <w:rPr>
          <w:rFonts w:ascii="Calibri" w:eastAsia="Calibri" w:hAnsi="Calibri" w:cs="Calibri"/>
          <w:bCs/>
          <w:color w:val="000000"/>
          <w:kern w:val="0"/>
          <w14:ligatures w14:val="none"/>
        </w:rPr>
      </w:pPr>
    </w:p>
    <w:p w14:paraId="321876DF" w14:textId="77777777" w:rsidR="007B14D3" w:rsidRPr="007B14D3" w:rsidRDefault="007B14D3" w:rsidP="007B14D3">
      <w:pPr>
        <w:widowControl w:val="0"/>
        <w:overflowPunct w:val="0"/>
        <w:autoSpaceDE w:val="0"/>
        <w:autoSpaceDN w:val="0"/>
        <w:adjustRightInd w:val="0"/>
        <w:spacing w:after="0" w:line="240" w:lineRule="auto"/>
        <w:jc w:val="both"/>
        <w:rPr>
          <w:rFonts w:ascii="Arial" w:eastAsia="Times New Roman" w:hAnsi="Arial" w:cs="Arial"/>
          <w:color w:val="0070C0"/>
          <w:kern w:val="0"/>
          <w:sz w:val="24"/>
          <w:szCs w:val="24"/>
          <w:lang w:val="es-ES" w:eastAsia="es-CR"/>
          <w14:ligatures w14:val="none"/>
        </w:rPr>
      </w:pPr>
    </w:p>
    <w:p w14:paraId="6F95069A" w14:textId="77777777" w:rsidR="007B14D3" w:rsidRPr="007B14D3" w:rsidRDefault="007B14D3" w:rsidP="007B14D3">
      <w:pPr>
        <w:widowControl w:val="0"/>
        <w:overflowPunct w:val="0"/>
        <w:autoSpaceDE w:val="0"/>
        <w:autoSpaceDN w:val="0"/>
        <w:adjustRightInd w:val="0"/>
        <w:spacing w:after="0" w:line="240" w:lineRule="auto"/>
        <w:rPr>
          <w:rFonts w:ascii="Arial" w:eastAsia="Times New Roman" w:hAnsi="Arial" w:cs="Arial"/>
          <w:b/>
          <w:kern w:val="0"/>
          <w:sz w:val="24"/>
          <w:szCs w:val="24"/>
          <w:lang w:val="es-ES_tradnl" w:eastAsia="es-CR"/>
          <w14:ligatures w14:val="none"/>
        </w:rPr>
      </w:pPr>
    </w:p>
    <w:p w14:paraId="432B27A0" w14:textId="77777777" w:rsidR="007B14D3" w:rsidRPr="007B14D3" w:rsidRDefault="007B14D3" w:rsidP="007B14D3">
      <w:pPr>
        <w:rPr>
          <w:rFonts w:ascii="Calibri" w:eastAsia="Times New Roman" w:hAnsi="Calibri" w:cs="Arial"/>
          <w:b/>
          <w:kern w:val="0"/>
          <w:lang w:val="es-ES_tradnl" w:eastAsia="es-CR"/>
          <w14:ligatures w14:val="none"/>
        </w:rPr>
      </w:pPr>
    </w:p>
    <w:p w14:paraId="699BEB55" w14:textId="77777777" w:rsidR="007B14D3" w:rsidRPr="007B14D3" w:rsidRDefault="007B14D3" w:rsidP="007B14D3">
      <w:pPr>
        <w:rPr>
          <w:rFonts w:ascii="Calibri" w:eastAsia="Times New Roman" w:hAnsi="Calibri" w:cs="Arial"/>
          <w:b/>
          <w:kern w:val="0"/>
          <w:lang w:val="es-ES_tradnl" w:eastAsia="es-CR"/>
          <w14:ligatures w14:val="none"/>
        </w:rPr>
      </w:pPr>
    </w:p>
    <w:p w14:paraId="1D9FFD4A" w14:textId="77777777" w:rsidR="007B14D3" w:rsidRPr="007B14D3" w:rsidRDefault="007B14D3" w:rsidP="007B14D3">
      <w:pPr>
        <w:rPr>
          <w:rFonts w:ascii="Calibri" w:eastAsia="Times New Roman" w:hAnsi="Calibri" w:cs="Arial"/>
          <w:b/>
          <w:kern w:val="0"/>
          <w:lang w:val="es-ES_tradnl" w:eastAsia="es-CR"/>
          <w14:ligatures w14:val="none"/>
        </w:rPr>
      </w:pPr>
    </w:p>
    <w:p w14:paraId="1DC4B875"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Arial"/>
          <w:b/>
          <w:kern w:val="0"/>
          <w:lang w:val="es-ES_tradnl" w:eastAsia="es-CR"/>
          <w14:ligatures w14:val="none"/>
        </w:rPr>
      </w:pPr>
      <w:r w:rsidRPr="007B14D3">
        <w:rPr>
          <w:rFonts w:ascii="Calibri" w:eastAsia="Times New Roman" w:hAnsi="Calibri" w:cs="Arial"/>
          <w:b/>
          <w:kern w:val="0"/>
          <w:lang w:val="es-ES_tradnl" w:eastAsia="es-CR"/>
          <w14:ligatures w14:val="none"/>
        </w:rPr>
        <w:lastRenderedPageBreak/>
        <w:t>VIII. Cronograma</w:t>
      </w:r>
    </w:p>
    <w:p w14:paraId="1EE5194D" w14:textId="77777777" w:rsidR="007B14D3" w:rsidRPr="007B14D3" w:rsidRDefault="007B14D3" w:rsidP="007B14D3">
      <w:pPr>
        <w:widowControl w:val="0"/>
        <w:overflowPunct w:val="0"/>
        <w:autoSpaceDE w:val="0"/>
        <w:autoSpaceDN w:val="0"/>
        <w:adjustRightInd w:val="0"/>
        <w:spacing w:before="120" w:after="0" w:line="240" w:lineRule="auto"/>
        <w:rPr>
          <w:rFonts w:ascii="Arial" w:eastAsia="Times New Roman" w:hAnsi="Arial" w:cs="Arial"/>
          <w:b/>
          <w:kern w:val="0"/>
          <w:sz w:val="24"/>
          <w:szCs w:val="20"/>
          <w:lang w:val="es-ES_tradnl" w:eastAsia="es-CR"/>
          <w14:ligatures w14:val="none"/>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9"/>
        <w:gridCol w:w="2410"/>
        <w:gridCol w:w="2693"/>
        <w:gridCol w:w="3119"/>
      </w:tblGrid>
      <w:tr w:rsidR="007B14D3" w:rsidRPr="007B14D3" w14:paraId="5FDF56D0" w14:textId="77777777" w:rsidTr="4C9C2619">
        <w:trPr>
          <w:trHeight w:val="497"/>
          <w:jc w:val="center"/>
        </w:trPr>
        <w:tc>
          <w:tcPr>
            <w:tcW w:w="1129" w:type="dxa"/>
            <w:vMerge w:val="restart"/>
            <w:vAlign w:val="center"/>
          </w:tcPr>
          <w:p w14:paraId="56086CA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sz w:val="18"/>
                <w:szCs w:val="18"/>
                <w:lang w:val="es-ES_tradnl" w:eastAsia="es-CR"/>
                <w14:ligatures w14:val="none"/>
              </w:rPr>
            </w:pPr>
            <w:r w:rsidRPr="007B14D3">
              <w:rPr>
                <w:rFonts w:ascii="Calibri" w:eastAsia="Times New Roman" w:hAnsi="Calibri" w:cs="Arial"/>
                <w:b/>
                <w:color w:val="000000"/>
                <w:kern w:val="0"/>
                <w:sz w:val="24"/>
                <w:lang w:val="es-ES_tradnl" w:eastAsia="es-CR"/>
                <w14:ligatures w14:val="none"/>
              </w:rPr>
              <w:t xml:space="preserve">Sesión </w:t>
            </w:r>
            <w:r w:rsidRPr="007B14D3">
              <w:rPr>
                <w:rFonts w:ascii="Calibri" w:eastAsia="Times New Roman" w:hAnsi="Calibri" w:cs="Arial"/>
                <w:b/>
                <w:color w:val="000000"/>
                <w:kern w:val="0"/>
                <w:sz w:val="20"/>
                <w:szCs w:val="18"/>
                <w:lang w:val="es-ES_tradnl" w:eastAsia="es-CR"/>
                <w14:ligatures w14:val="none"/>
              </w:rPr>
              <w:t>(semana)</w:t>
            </w:r>
          </w:p>
        </w:tc>
        <w:tc>
          <w:tcPr>
            <w:tcW w:w="2410" w:type="dxa"/>
            <w:vMerge w:val="restart"/>
            <w:vAlign w:val="center"/>
          </w:tcPr>
          <w:p w14:paraId="1C3DEA30" w14:textId="77777777" w:rsidR="007B14D3" w:rsidRPr="007B14D3" w:rsidRDefault="007B14D3" w:rsidP="007B14D3">
            <w:pPr>
              <w:widowControl w:val="0"/>
              <w:overflowPunct w:val="0"/>
              <w:autoSpaceDE w:val="0"/>
              <w:autoSpaceDN w:val="0"/>
              <w:adjustRightInd w:val="0"/>
              <w:spacing w:after="0" w:line="240" w:lineRule="auto"/>
              <w:ind w:left="-120"/>
              <w:jc w:val="center"/>
              <w:rPr>
                <w:rFonts w:ascii="Calibri" w:eastAsia="Times New Roman" w:hAnsi="Calibri" w:cs="Arial"/>
                <w:b/>
                <w:kern w:val="0"/>
                <w:sz w:val="24"/>
                <w:lang w:val="es-ES_tradnl" w:eastAsia="es-CR"/>
                <w14:ligatures w14:val="none"/>
              </w:rPr>
            </w:pPr>
            <w:r w:rsidRPr="007B14D3">
              <w:rPr>
                <w:rFonts w:ascii="Calibri" w:eastAsia="Times New Roman" w:hAnsi="Calibri" w:cs="Arial"/>
                <w:b/>
                <w:kern w:val="0"/>
                <w:lang w:val="es-ES_tradnl" w:eastAsia="es-CR"/>
                <w14:ligatures w14:val="none"/>
              </w:rPr>
              <w:t xml:space="preserve">  </w:t>
            </w:r>
            <w:r w:rsidRPr="007B14D3">
              <w:rPr>
                <w:rFonts w:ascii="Calibri" w:eastAsia="Times New Roman" w:hAnsi="Calibri" w:cs="Arial"/>
                <w:b/>
                <w:kern w:val="0"/>
                <w:sz w:val="24"/>
                <w:lang w:val="es-ES_tradnl" w:eastAsia="es-CR"/>
                <w14:ligatures w14:val="none"/>
              </w:rPr>
              <w:t>Contenidos temáticos</w:t>
            </w:r>
          </w:p>
        </w:tc>
        <w:tc>
          <w:tcPr>
            <w:tcW w:w="5812" w:type="dxa"/>
            <w:gridSpan w:val="2"/>
            <w:vAlign w:val="center"/>
          </w:tcPr>
          <w:p w14:paraId="0E4DF5E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7B14D3">
              <w:rPr>
                <w:rFonts w:ascii="Calibri" w:eastAsia="Times New Roman" w:hAnsi="Calibri" w:cs="Arial"/>
                <w:b/>
                <w:color w:val="000000"/>
                <w:kern w:val="0"/>
                <w:sz w:val="24"/>
                <w:szCs w:val="24"/>
                <w:lang w:val="es-ES_tradnl" w:eastAsia="es-CR"/>
                <w14:ligatures w14:val="none"/>
              </w:rPr>
              <w:t>Actividades de enseñanza-aprendizaje</w:t>
            </w:r>
          </w:p>
        </w:tc>
      </w:tr>
      <w:tr w:rsidR="007B14D3" w:rsidRPr="007B14D3" w14:paraId="74D4D3FC" w14:textId="77777777" w:rsidTr="4C9C2619">
        <w:trPr>
          <w:trHeight w:val="642"/>
          <w:jc w:val="center"/>
        </w:trPr>
        <w:tc>
          <w:tcPr>
            <w:tcW w:w="1129" w:type="dxa"/>
            <w:vMerge/>
            <w:vAlign w:val="center"/>
          </w:tcPr>
          <w:p w14:paraId="161256BC" w14:textId="77777777" w:rsidR="007B14D3" w:rsidRPr="007B14D3" w:rsidRDefault="007B14D3" w:rsidP="007B14D3">
            <w:pPr>
              <w:widowControl w:val="0"/>
              <w:overflowPunct w:val="0"/>
              <w:autoSpaceDE w:val="0"/>
              <w:autoSpaceDN w:val="0"/>
              <w:adjustRightInd w:val="0"/>
              <w:spacing w:after="0" w:line="240" w:lineRule="auto"/>
              <w:ind w:left="-120"/>
              <w:jc w:val="center"/>
              <w:rPr>
                <w:rFonts w:ascii="Calibri" w:eastAsia="Times New Roman" w:hAnsi="Calibri" w:cs="Arial"/>
                <w:b/>
                <w:color w:val="000000"/>
                <w:kern w:val="0"/>
                <w:lang w:val="es-ES_tradnl" w:eastAsia="es-CR"/>
                <w14:ligatures w14:val="none"/>
              </w:rPr>
            </w:pPr>
          </w:p>
        </w:tc>
        <w:tc>
          <w:tcPr>
            <w:tcW w:w="2410" w:type="dxa"/>
            <w:vMerge/>
            <w:vAlign w:val="center"/>
          </w:tcPr>
          <w:p w14:paraId="589636B9" w14:textId="77777777" w:rsidR="007B14D3" w:rsidRPr="007B14D3" w:rsidRDefault="007B14D3" w:rsidP="007B14D3">
            <w:pPr>
              <w:widowControl w:val="0"/>
              <w:overflowPunct w:val="0"/>
              <w:autoSpaceDE w:val="0"/>
              <w:autoSpaceDN w:val="0"/>
              <w:adjustRightInd w:val="0"/>
              <w:spacing w:after="0" w:line="240" w:lineRule="auto"/>
              <w:ind w:left="-120"/>
              <w:jc w:val="center"/>
              <w:rPr>
                <w:rFonts w:ascii="Calibri" w:eastAsia="Times New Roman" w:hAnsi="Calibri" w:cs="Arial"/>
                <w:b/>
                <w:kern w:val="0"/>
                <w:lang w:val="es-ES_tradnl" w:eastAsia="es-CR"/>
                <w14:ligatures w14:val="none"/>
              </w:rPr>
            </w:pPr>
          </w:p>
        </w:tc>
        <w:tc>
          <w:tcPr>
            <w:tcW w:w="2693" w:type="dxa"/>
            <w:vAlign w:val="center"/>
          </w:tcPr>
          <w:p w14:paraId="15BE3B8A" w14:textId="77777777" w:rsidR="007B14D3" w:rsidRPr="007B14D3" w:rsidRDefault="007B14D3" w:rsidP="007B14D3">
            <w:pPr>
              <w:widowControl w:val="0"/>
              <w:overflowPunct w:val="0"/>
              <w:autoSpaceDE w:val="0"/>
              <w:autoSpaceDN w:val="0"/>
              <w:adjustRightInd w:val="0"/>
              <w:spacing w:after="0" w:line="240" w:lineRule="auto"/>
              <w:ind w:left="-93"/>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sz w:val="24"/>
                <w:lang w:val="es-ES_tradnl" w:eastAsia="es-CR"/>
                <w14:ligatures w14:val="none"/>
              </w:rPr>
              <w:t>Recursos didácticos</w:t>
            </w:r>
          </w:p>
        </w:tc>
        <w:tc>
          <w:tcPr>
            <w:tcW w:w="3119" w:type="dxa"/>
            <w:vAlign w:val="center"/>
          </w:tcPr>
          <w:p w14:paraId="3DFED8E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sz w:val="24"/>
                <w:lang w:val="es-ES_tradnl" w:eastAsia="es-CR"/>
                <w14:ligatures w14:val="none"/>
              </w:rPr>
              <w:t>Actividades de aprendizaje</w:t>
            </w:r>
          </w:p>
        </w:tc>
      </w:tr>
      <w:tr w:rsidR="007B14D3" w:rsidRPr="007B14D3" w14:paraId="7DB51902" w14:textId="77777777" w:rsidTr="4C9C2619">
        <w:trPr>
          <w:trHeight w:val="694"/>
          <w:jc w:val="center"/>
        </w:trPr>
        <w:tc>
          <w:tcPr>
            <w:tcW w:w="1129" w:type="dxa"/>
          </w:tcPr>
          <w:p w14:paraId="23D56D3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4DCBF52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w:t>
            </w:r>
          </w:p>
          <w:p w14:paraId="2488C40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2DD4A80B"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p w14:paraId="523F78A0"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000000"/>
                <w:kern w:val="0"/>
                <w:lang w:val="es-ES_tradnl" w:eastAsia="es-CR"/>
                <w14:ligatures w14:val="none"/>
              </w:rPr>
            </w:pPr>
          </w:p>
          <w:p w14:paraId="680368AA" w14:textId="77777777" w:rsidR="007B14D3" w:rsidRPr="007B14D3" w:rsidRDefault="007B14D3" w:rsidP="007B14D3">
            <w:pPr>
              <w:widowControl w:val="0"/>
              <w:overflowPunct w:val="0"/>
              <w:autoSpaceDE w:val="0"/>
              <w:autoSpaceDN w:val="0"/>
              <w:adjustRightInd w:val="0"/>
              <w:spacing w:after="0" w:line="240" w:lineRule="auto"/>
              <w:ind w:left="-210"/>
              <w:jc w:val="center"/>
              <w:rPr>
                <w:rFonts w:ascii="Calibri" w:eastAsia="Times New Roman" w:hAnsi="Calibri" w:cs="Arial"/>
                <w:color w:val="000000"/>
                <w:kern w:val="0"/>
                <w:lang w:val="es-ES_tradnl" w:eastAsia="es-CR"/>
                <w14:ligatures w14:val="none"/>
              </w:rPr>
            </w:pPr>
          </w:p>
        </w:tc>
        <w:tc>
          <w:tcPr>
            <w:tcW w:w="2410" w:type="dxa"/>
          </w:tcPr>
          <w:p w14:paraId="65D33A1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1: Trasfondo histórico de los pueblos originarios y afro-latinoamericanos y caribeños</w:t>
            </w:r>
          </w:p>
          <w:p w14:paraId="7368799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A0E8682"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1.1 Trasfondo histórico de los pueblos y las culturas originarias y afro en Abya-Yala</w:t>
            </w:r>
          </w:p>
          <w:p w14:paraId="6A4AD01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31ECCCA"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5FA33C92"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1457890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7D3193A8" w14:textId="77777777" w:rsidR="007B14D3" w:rsidRPr="007B14D3" w:rsidRDefault="007B14D3" w:rsidP="4C9C2619">
            <w:pPr>
              <w:widowControl w:val="0"/>
              <w:overflowPunct w:val="0"/>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0000"/>
                <w:kern w:val="0"/>
                <w:lang w:val="es-ES" w:eastAsia="es-CR"/>
                <w14:ligatures w14:val="none"/>
              </w:rPr>
              <w:t xml:space="preserve">Araya </w:t>
            </w:r>
            <w:proofErr w:type="spellStart"/>
            <w:r w:rsidRPr="4C9C2619">
              <w:rPr>
                <w:rFonts w:ascii="Calibri" w:eastAsia="Times New Roman" w:hAnsi="Calibri" w:cs="Arial"/>
                <w:color w:val="000000"/>
                <w:kern w:val="0"/>
                <w:lang w:val="es-ES" w:eastAsia="es-CR"/>
                <w14:ligatures w14:val="none"/>
              </w:rPr>
              <w:t>Pochet</w:t>
            </w:r>
            <w:proofErr w:type="spellEnd"/>
            <w:r w:rsidRPr="4C9C2619">
              <w:rPr>
                <w:rFonts w:ascii="Calibri" w:eastAsia="Times New Roman" w:hAnsi="Calibri" w:cs="Arial"/>
                <w:color w:val="000000"/>
                <w:kern w:val="0"/>
                <w:lang w:val="es-ES" w:eastAsia="es-CR"/>
                <w14:ligatures w14:val="none"/>
              </w:rPr>
              <w:t xml:space="preserve">, Carlos. </w:t>
            </w:r>
            <w:r w:rsidRPr="4C9C2619">
              <w:rPr>
                <w:rFonts w:ascii="Calibri" w:eastAsia="Times New Roman" w:hAnsi="Calibri" w:cs="Arial"/>
                <w:kern w:val="0"/>
                <w:lang w:val="es-ES" w:eastAsia="es-CR"/>
                <w14:ligatures w14:val="none"/>
              </w:rPr>
              <w:t>“Orígenes del hombre americano y las culturas indígenas precolombinas”.</w:t>
            </w:r>
            <w:r w:rsidRPr="4C9C2619">
              <w:rPr>
                <w:rFonts w:ascii="Calibri" w:eastAsia="Times New Roman" w:hAnsi="Calibri" w:cs="Arial"/>
                <w:color w:val="FF0000"/>
                <w:kern w:val="0"/>
                <w:lang w:val="es-ES" w:eastAsia="es-CR"/>
                <w14:ligatures w14:val="none"/>
              </w:rPr>
              <w:t xml:space="preserve"> </w:t>
            </w:r>
            <w:r w:rsidRPr="4C9C2619">
              <w:rPr>
                <w:rFonts w:ascii="Calibri" w:eastAsia="Times New Roman" w:hAnsi="Calibri" w:cs="Arial"/>
                <w:kern w:val="0"/>
                <w:lang w:val="es-ES" w:eastAsia="es-CR"/>
                <w14:ligatures w14:val="none"/>
              </w:rPr>
              <w:t>En</w:t>
            </w:r>
            <w:r w:rsidRPr="4C9C2619">
              <w:rPr>
                <w:rFonts w:ascii="Calibri" w:eastAsia="Times New Roman" w:hAnsi="Calibri" w:cs="Arial"/>
                <w:color w:val="000000"/>
                <w:kern w:val="0"/>
                <w:lang w:val="es-ES" w:eastAsia="es-CR"/>
                <w14:ligatures w14:val="none"/>
              </w:rPr>
              <w:t xml:space="preserve"> </w:t>
            </w:r>
            <w:r w:rsidRPr="4C9C2619">
              <w:rPr>
                <w:rFonts w:ascii="Calibri" w:eastAsia="Times New Roman" w:hAnsi="Calibri" w:cs="Arial"/>
                <w:i/>
                <w:iCs/>
                <w:color w:val="000000"/>
                <w:kern w:val="0"/>
                <w:lang w:val="es-ES" w:eastAsia="es-CR"/>
                <w14:ligatures w14:val="none"/>
              </w:rPr>
              <w:t xml:space="preserve">Historia de América en perspectiva latinoamericana, </w:t>
            </w:r>
            <w:r w:rsidRPr="4C9C2619">
              <w:rPr>
                <w:rFonts w:ascii="Calibri" w:eastAsia="Times New Roman" w:hAnsi="Calibri" w:cs="Arial"/>
                <w:color w:val="000000"/>
                <w:kern w:val="0"/>
                <w:lang w:val="es-ES" w:eastAsia="es-CR"/>
                <w14:ligatures w14:val="none"/>
              </w:rPr>
              <w:t>26-35.</w:t>
            </w:r>
            <w:r w:rsidRPr="4C9C2619">
              <w:rPr>
                <w:rFonts w:ascii="Calibri" w:eastAsia="Times New Roman" w:hAnsi="Calibri" w:cs="Arial"/>
                <w:i/>
                <w:iCs/>
                <w:color w:val="000000"/>
                <w:kern w:val="0"/>
                <w:lang w:val="es-ES" w:eastAsia="es-CR"/>
                <w14:ligatures w14:val="none"/>
              </w:rPr>
              <w:t xml:space="preserve"> </w:t>
            </w:r>
            <w:r w:rsidRPr="4C9C2619">
              <w:rPr>
                <w:rFonts w:ascii="Calibri" w:eastAsia="Times New Roman" w:hAnsi="Calibri" w:cs="Arial"/>
                <w:color w:val="000000"/>
                <w:kern w:val="0"/>
                <w:lang w:val="es-ES" w:eastAsia="es-CR"/>
                <w14:ligatures w14:val="none"/>
              </w:rPr>
              <w:t xml:space="preserve">San José, C.R.: EUNED, 2013. </w:t>
            </w:r>
            <w:r w:rsidRPr="4C9C2619">
              <w:rPr>
                <w:rFonts w:ascii="Calibri" w:eastAsia="Times New Roman" w:hAnsi="Calibri" w:cs="Arial"/>
                <w:color w:val="0070C0"/>
                <w:kern w:val="0"/>
                <w:lang w:val="es-ES" w:eastAsia="es-CR"/>
                <w14:ligatures w14:val="none"/>
              </w:rPr>
              <w:t>(clásico, última edición)</w:t>
            </w:r>
          </w:p>
          <w:p w14:paraId="71FA8F5C"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p>
          <w:p w14:paraId="345ABC0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kern w:val="0"/>
                <w:lang w:val="es-ES_tradnl" w:eastAsia="es-CR"/>
                <w14:ligatures w14:val="none"/>
              </w:rPr>
              <w:t xml:space="preserve">Rivera Pagán, Luis N. “El descubrimiento y la conquista de América: una empresa misionera imperial”. En </w:t>
            </w:r>
            <w:r w:rsidRPr="007B14D3">
              <w:rPr>
                <w:rFonts w:ascii="Calibri" w:eastAsia="Times New Roman" w:hAnsi="Calibri" w:cs="Arial"/>
                <w:i/>
                <w:kern w:val="0"/>
                <w:lang w:val="es-ES_tradnl" w:eastAsia="es-CR"/>
                <w14:ligatures w14:val="none"/>
              </w:rPr>
              <w:t xml:space="preserve">Entre el oro y la fe: el dilema de América Latina, </w:t>
            </w:r>
            <w:r w:rsidRPr="007B14D3">
              <w:rPr>
                <w:rFonts w:ascii="Calibri" w:eastAsia="Times New Roman" w:hAnsi="Calibri" w:cs="Arial"/>
                <w:kern w:val="0"/>
                <w:lang w:val="es-ES_tradnl" w:eastAsia="es-CR"/>
                <w14:ligatures w14:val="none"/>
              </w:rPr>
              <w:t>5-31.</w:t>
            </w:r>
            <w:r w:rsidRPr="007B14D3">
              <w:rPr>
                <w:rFonts w:ascii="Calibri" w:eastAsia="Times New Roman" w:hAnsi="Calibri" w:cs="Arial"/>
                <w:i/>
                <w:kern w:val="0"/>
                <w:lang w:val="es-ES_tradnl" w:eastAsia="es-CR"/>
                <w14:ligatures w14:val="none"/>
              </w:rPr>
              <w:t xml:space="preserve"> </w:t>
            </w:r>
            <w:r w:rsidRPr="007B14D3">
              <w:rPr>
                <w:rFonts w:ascii="Calibri" w:eastAsia="Times New Roman" w:hAnsi="Calibri" w:cs="Arial"/>
                <w:kern w:val="0"/>
                <w:lang w:val="es-ES_tradnl" w:eastAsia="es-CR"/>
                <w14:ligatures w14:val="none"/>
              </w:rPr>
              <w:t xml:space="preserve">San Juan: Editorial de la Universidad de Puerto Rico, 1995. </w:t>
            </w:r>
            <w:r w:rsidRPr="007B14D3">
              <w:rPr>
                <w:rFonts w:ascii="Calibri" w:eastAsia="Times New Roman" w:hAnsi="Calibri" w:cs="Arial"/>
                <w:color w:val="0070C0"/>
                <w:kern w:val="0"/>
                <w:lang w:val="es-ES_tradnl" w:eastAsia="es-CR"/>
                <w14:ligatures w14:val="none"/>
              </w:rPr>
              <w:t>(clásico, última edición)</w:t>
            </w:r>
          </w:p>
          <w:p w14:paraId="17EC18E9"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5784573E"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0B13D2FF"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12924294" w14:textId="77777777" w:rsidR="007B14D3" w:rsidRPr="007B14D3" w:rsidRDefault="007B14D3" w:rsidP="007B14D3">
            <w:pPr>
              <w:spacing w:after="0" w:line="240" w:lineRule="auto"/>
              <w:rPr>
                <w:rFonts w:ascii="Calibri" w:eastAsia="Times New Roman" w:hAnsi="Calibri" w:cs="Arial"/>
                <w:bCs/>
                <w:kern w:val="0"/>
                <w:lang w:val="es-ES_tradnl" w:eastAsia="es-CR"/>
                <w14:ligatures w14:val="none"/>
              </w:rPr>
            </w:pPr>
            <w:r w:rsidRPr="007B14D3">
              <w:rPr>
                <w:rFonts w:ascii="Calibri" w:eastAsia="Times New Roman" w:hAnsi="Calibri" w:cs="Arial"/>
                <w:bCs/>
                <w:color w:val="0070C0"/>
                <w:kern w:val="0"/>
                <w:lang w:eastAsia="es-CR"/>
                <w14:ligatures w14:val="none"/>
              </w:rPr>
              <w:t xml:space="preserve">Guía para la participación mediante la herramienta Big Blue </w:t>
            </w:r>
            <w:proofErr w:type="spellStart"/>
            <w:r w:rsidRPr="007B14D3">
              <w:rPr>
                <w:rFonts w:ascii="Calibri" w:eastAsia="Times New Roman" w:hAnsi="Calibri" w:cs="Arial"/>
                <w:bCs/>
                <w:color w:val="0070C0"/>
                <w:kern w:val="0"/>
                <w:lang w:eastAsia="es-CR"/>
                <w14:ligatures w14:val="none"/>
              </w:rPr>
              <w:t>Button</w:t>
            </w:r>
            <w:proofErr w:type="spellEnd"/>
            <w:r w:rsidRPr="007B14D3">
              <w:rPr>
                <w:rFonts w:ascii="Calibri" w:eastAsia="Times New Roman" w:hAnsi="Calibri" w:cs="Arial"/>
                <w:bCs/>
                <w:color w:val="0070C0"/>
                <w:kern w:val="0"/>
                <w:lang w:eastAsia="es-CR"/>
                <w14:ligatures w14:val="none"/>
              </w:rPr>
              <w:t xml:space="preserve"> en la plataforma Moodle</w:t>
            </w:r>
          </w:p>
          <w:p w14:paraId="1010D540" w14:textId="77777777" w:rsidR="007B14D3" w:rsidRPr="007B14D3" w:rsidRDefault="007B14D3" w:rsidP="007B14D3">
            <w:pPr>
              <w:widowControl w:val="0"/>
              <w:overflowPunct w:val="0"/>
              <w:autoSpaceDE w:val="0"/>
              <w:autoSpaceDN w:val="0"/>
              <w:adjustRightInd w:val="0"/>
              <w:spacing w:after="0" w:line="240" w:lineRule="auto"/>
              <w:rPr>
                <w:rFonts w:ascii="Times New Roman" w:eastAsia="Times New Roman" w:hAnsi="Times New Roman" w:cs="Arial"/>
                <w:color w:val="000000"/>
                <w:kern w:val="0"/>
                <w:sz w:val="24"/>
                <w:szCs w:val="20"/>
                <w:lang w:val="es-ES_tradnl" w:eastAsia="es-CR"/>
                <w14:ligatures w14:val="none"/>
              </w:rPr>
            </w:pPr>
          </w:p>
        </w:tc>
        <w:tc>
          <w:tcPr>
            <w:tcW w:w="3119" w:type="dxa"/>
          </w:tcPr>
          <w:p w14:paraId="70D1B58A"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Participación en el foro social CAFETERÍA. </w:t>
            </w:r>
          </w:p>
          <w:p w14:paraId="382E5F4D"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Participación en el foro de dudas, donde se realizará un análisis grupal sobre el programa del curso. </w:t>
            </w:r>
          </w:p>
          <w:p w14:paraId="660AE3AA"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Contestar el cuestionario personal: prediagnóstico sobre la comprensión de los temas del curso (formativo).</w:t>
            </w:r>
          </w:p>
          <w:p w14:paraId="4ACCD0AA"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Presentación del curso: aporte docente y presentación del video motivador: ¿Quién descubrió América?, seguido de un diálogo sobre el video y el tema del curso en un encuentro sincrónico virtual (formativo).</w:t>
            </w:r>
          </w:p>
          <w:p w14:paraId="2E6DF6C8"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Realizar las lecturas sobre la </w:t>
            </w:r>
            <w:proofErr w:type="spellStart"/>
            <w:r w:rsidRPr="007B14D3">
              <w:rPr>
                <w:rFonts w:ascii="Calibri" w:eastAsia="Calibri" w:hAnsi="Calibri" w:cs="Arial"/>
                <w:kern w:val="0"/>
                <w14:ligatures w14:val="none"/>
              </w:rPr>
              <w:t>pre-historia</w:t>
            </w:r>
            <w:proofErr w:type="spellEnd"/>
            <w:r w:rsidRPr="007B14D3">
              <w:rPr>
                <w:rFonts w:ascii="Calibri" w:eastAsia="Calibri" w:hAnsi="Calibri" w:cs="Arial"/>
                <w:kern w:val="0"/>
                <w14:ligatures w14:val="none"/>
              </w:rPr>
              <w:t xml:space="preserve"> religiosa de la sesión. </w:t>
            </w:r>
          </w:p>
          <w:p w14:paraId="4BA11525" w14:textId="77777777" w:rsidR="007B14D3" w:rsidRPr="007B14D3" w:rsidRDefault="007B14D3" w:rsidP="007B14D3">
            <w:pPr>
              <w:widowControl w:val="0"/>
              <w:numPr>
                <w:ilvl w:val="0"/>
                <w:numId w:val="15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Elaboración de una presentación audiovisual sobre la prehistoria.</w:t>
            </w:r>
          </w:p>
        </w:tc>
      </w:tr>
      <w:tr w:rsidR="007B14D3" w:rsidRPr="007B14D3" w14:paraId="1657CABA" w14:textId="77777777" w:rsidTr="4C9C2619">
        <w:trPr>
          <w:jc w:val="center"/>
        </w:trPr>
        <w:tc>
          <w:tcPr>
            <w:tcW w:w="1129" w:type="dxa"/>
          </w:tcPr>
          <w:p w14:paraId="278D698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77150C1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2</w:t>
            </w:r>
          </w:p>
          <w:p w14:paraId="7D7CEDB2"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3CB7B9E1"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1: Trasfondo histórico de los pueblos originarios y afro-latinoamericanos y caribeños</w:t>
            </w:r>
          </w:p>
          <w:p w14:paraId="6F62BC1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9D67F8B"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1.1 Trasfondo histórico de los pueblos y las culturas originarias y afro en Abya-Yala</w:t>
            </w:r>
          </w:p>
          <w:p w14:paraId="74E7D288"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7C849FD7"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693" w:type="dxa"/>
            <w:shd w:val="clear" w:color="auto" w:fill="auto"/>
          </w:tcPr>
          <w:p w14:paraId="06F505CD"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70C0"/>
                <w:kern w:val="0"/>
                <w:lang w:val="es-ES_tradnl" w:eastAsia="es-CR"/>
                <w14:ligatures w14:val="none"/>
              </w:rPr>
              <w:lastRenderedPageBreak/>
              <w:t>Ruta de aprendizaje</w:t>
            </w:r>
          </w:p>
          <w:p w14:paraId="00EC4558"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032CF978" w14:textId="77777777" w:rsidR="007B14D3" w:rsidRPr="007B14D3" w:rsidRDefault="007B14D3" w:rsidP="4C9C2619">
            <w:pPr>
              <w:widowControl w:val="0"/>
              <w:overflowPunct w:val="0"/>
              <w:autoSpaceDE w:val="0"/>
              <w:autoSpaceDN w:val="0"/>
              <w:adjustRightInd w:val="0"/>
              <w:spacing w:after="0" w:line="240" w:lineRule="auto"/>
              <w:rPr>
                <w:rFonts w:ascii="Calibri" w:eastAsia="Times New Roman" w:hAnsi="Calibri" w:cs="Arial"/>
                <w:color w:val="0070C0"/>
                <w:kern w:val="0"/>
                <w:lang w:val="es-ES" w:eastAsia="es-CR"/>
                <w14:ligatures w14:val="none"/>
              </w:rPr>
            </w:pPr>
            <w:r w:rsidRPr="4C9C2619">
              <w:rPr>
                <w:rFonts w:ascii="Calibri" w:eastAsia="Times New Roman" w:hAnsi="Calibri" w:cs="Arial"/>
                <w:color w:val="000000"/>
                <w:kern w:val="0"/>
                <w:lang w:val="es-ES" w:eastAsia="es-CR"/>
                <w14:ligatures w14:val="none"/>
              </w:rPr>
              <w:t xml:space="preserve">Ortiz </w:t>
            </w:r>
            <w:proofErr w:type="spellStart"/>
            <w:r w:rsidRPr="4C9C2619">
              <w:rPr>
                <w:rFonts w:ascii="Calibri" w:eastAsia="Times New Roman" w:hAnsi="Calibri" w:cs="Arial"/>
                <w:color w:val="000000"/>
                <w:kern w:val="0"/>
                <w:lang w:val="es-ES" w:eastAsia="es-CR"/>
                <w14:ligatures w14:val="none"/>
              </w:rPr>
              <w:t>Rescaniere</w:t>
            </w:r>
            <w:proofErr w:type="spellEnd"/>
            <w:r w:rsidRPr="4C9C2619">
              <w:rPr>
                <w:rFonts w:ascii="Calibri" w:eastAsia="Times New Roman" w:hAnsi="Calibri" w:cs="Arial"/>
                <w:color w:val="000000"/>
                <w:kern w:val="0"/>
                <w:lang w:val="es-ES" w:eastAsia="es-CR"/>
                <w14:ligatures w14:val="none"/>
              </w:rPr>
              <w:t xml:space="preserve">, Alejandro. “Introducción”. En </w:t>
            </w:r>
            <w:r w:rsidRPr="4C9C2619">
              <w:rPr>
                <w:rFonts w:ascii="Calibri" w:eastAsia="Times New Roman" w:hAnsi="Calibri" w:cs="Arial"/>
                <w:i/>
                <w:iCs/>
                <w:color w:val="000000"/>
                <w:kern w:val="0"/>
                <w:lang w:val="es-ES" w:eastAsia="es-CR"/>
                <w14:ligatures w14:val="none"/>
              </w:rPr>
              <w:t>Mitologías amerindias</w:t>
            </w:r>
            <w:r w:rsidRPr="4C9C2619">
              <w:rPr>
                <w:rFonts w:ascii="Calibri" w:eastAsia="Times New Roman" w:hAnsi="Calibri" w:cs="Arial"/>
                <w:color w:val="000000"/>
                <w:kern w:val="0"/>
                <w:lang w:val="es-ES" w:eastAsia="es-CR"/>
                <w14:ligatures w14:val="none"/>
              </w:rPr>
              <w:t xml:space="preserve">, editado por Alejandro Ortiz </w:t>
            </w:r>
            <w:proofErr w:type="spellStart"/>
            <w:r w:rsidRPr="4C9C2619">
              <w:rPr>
                <w:rFonts w:ascii="Calibri" w:eastAsia="Times New Roman" w:hAnsi="Calibri" w:cs="Arial"/>
                <w:color w:val="000000"/>
                <w:kern w:val="0"/>
                <w:lang w:val="es-ES" w:eastAsia="es-CR"/>
                <w14:ligatures w14:val="none"/>
              </w:rPr>
              <w:t>Rescaniere</w:t>
            </w:r>
            <w:proofErr w:type="spellEnd"/>
            <w:r w:rsidRPr="4C9C2619">
              <w:rPr>
                <w:rFonts w:ascii="Calibri" w:eastAsia="Times New Roman" w:hAnsi="Calibri" w:cs="Arial"/>
                <w:color w:val="000000"/>
                <w:kern w:val="0"/>
                <w:lang w:val="es-ES" w:eastAsia="es-CR"/>
                <w14:ligatures w14:val="none"/>
              </w:rPr>
              <w:t xml:space="preserve">. 9-35. Madrid: Trotta, 2006. </w:t>
            </w:r>
            <w:r w:rsidRPr="4C9C2619">
              <w:rPr>
                <w:rFonts w:ascii="Calibri" w:eastAsia="Times New Roman" w:hAnsi="Calibri" w:cs="Arial"/>
                <w:color w:val="0070C0"/>
                <w:kern w:val="0"/>
                <w:lang w:val="es-ES" w:eastAsia="es-CR"/>
                <w14:ligatures w14:val="none"/>
              </w:rPr>
              <w:t>(clásico, última edición)</w:t>
            </w:r>
          </w:p>
          <w:p w14:paraId="6F6B226B"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7C14668D"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lastRenderedPageBreak/>
              <w:t>Material complementario</w:t>
            </w:r>
          </w:p>
          <w:p w14:paraId="35AF34AC"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1D84714B"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r w:rsidRPr="007B14D3">
              <w:rPr>
                <w:rFonts w:ascii="Calibri" w:eastAsia="Times New Roman" w:hAnsi="Calibri" w:cs="Arial"/>
                <w:bCs/>
                <w:color w:val="0070C0"/>
                <w:kern w:val="0"/>
                <w:lang w:eastAsia="es-CR"/>
                <w14:ligatures w14:val="none"/>
              </w:rPr>
              <w:t xml:space="preserve">Guía para la participación mediante la herramienta Big Blue </w:t>
            </w:r>
            <w:proofErr w:type="spellStart"/>
            <w:r w:rsidRPr="007B14D3">
              <w:rPr>
                <w:rFonts w:ascii="Calibri" w:eastAsia="Times New Roman" w:hAnsi="Calibri" w:cs="Arial"/>
                <w:bCs/>
                <w:color w:val="0070C0"/>
                <w:kern w:val="0"/>
                <w:lang w:eastAsia="es-CR"/>
                <w14:ligatures w14:val="none"/>
              </w:rPr>
              <w:t>Button</w:t>
            </w:r>
            <w:proofErr w:type="spellEnd"/>
            <w:r w:rsidRPr="007B14D3">
              <w:rPr>
                <w:rFonts w:ascii="Calibri" w:eastAsia="Times New Roman" w:hAnsi="Calibri" w:cs="Arial"/>
                <w:bCs/>
                <w:color w:val="0070C0"/>
                <w:kern w:val="0"/>
                <w:lang w:eastAsia="es-CR"/>
                <w14:ligatures w14:val="none"/>
              </w:rPr>
              <w:t xml:space="preserve"> en la plataforma Moodle</w:t>
            </w:r>
          </w:p>
          <w:p w14:paraId="7CFB16AB"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p>
          <w:p w14:paraId="47A1A8D0"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r w:rsidRPr="007B14D3">
              <w:rPr>
                <w:rFonts w:ascii="Calibri" w:eastAsia="Times New Roman" w:hAnsi="Calibri" w:cs="Arial"/>
                <w:bCs/>
                <w:color w:val="0070C0"/>
                <w:kern w:val="0"/>
                <w:lang w:eastAsia="es-CR"/>
                <w14:ligatures w14:val="none"/>
              </w:rPr>
              <w:t>Guía para la elaboración de un mapa mental</w:t>
            </w:r>
          </w:p>
          <w:p w14:paraId="1FD615CC"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p>
          <w:p w14:paraId="730EEB9A" w14:textId="77777777" w:rsidR="007B14D3" w:rsidRPr="007B14D3" w:rsidRDefault="007B14D3" w:rsidP="007B14D3">
            <w:pPr>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en un foro en la plataforma Moodle</w:t>
            </w:r>
          </w:p>
          <w:p w14:paraId="1E717180"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3119" w:type="dxa"/>
          </w:tcPr>
          <w:p w14:paraId="011C0D67" w14:textId="77777777" w:rsidR="007B14D3" w:rsidRPr="007B14D3" w:rsidRDefault="007B14D3" w:rsidP="007B14D3">
            <w:pPr>
              <w:widowControl w:val="0"/>
              <w:numPr>
                <w:ilvl w:val="0"/>
                <w:numId w:val="15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lastRenderedPageBreak/>
              <w:t>Realizar la lectura del aporte docente sobre evolución humana y poblamiento.</w:t>
            </w:r>
          </w:p>
          <w:p w14:paraId="2C3AC9FD" w14:textId="77777777" w:rsidR="007B14D3" w:rsidRPr="007B14D3" w:rsidRDefault="007B14D3" w:rsidP="007B14D3">
            <w:pPr>
              <w:widowControl w:val="0"/>
              <w:numPr>
                <w:ilvl w:val="0"/>
                <w:numId w:val="15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Análisis de la lectura de Ortiz </w:t>
            </w:r>
            <w:proofErr w:type="spellStart"/>
            <w:r w:rsidRPr="007B14D3">
              <w:rPr>
                <w:rFonts w:ascii="Calibri" w:eastAsia="Calibri" w:hAnsi="Calibri" w:cs="Arial"/>
                <w:kern w:val="0"/>
                <w14:ligatures w14:val="none"/>
              </w:rPr>
              <w:t>Rescaniere</w:t>
            </w:r>
            <w:proofErr w:type="spellEnd"/>
            <w:r w:rsidRPr="007B14D3">
              <w:rPr>
                <w:rFonts w:ascii="Calibri" w:eastAsia="Calibri" w:hAnsi="Calibri" w:cs="Arial"/>
                <w:kern w:val="0"/>
                <w14:ligatures w14:val="none"/>
              </w:rPr>
              <w:t xml:space="preserve">, seguido de un trabajo grupal para compartir las experiencias sobre la presentación </w:t>
            </w:r>
            <w:r w:rsidRPr="007B14D3">
              <w:rPr>
                <w:rFonts w:ascii="Calibri" w:eastAsia="Calibri" w:hAnsi="Calibri" w:cs="Arial"/>
                <w:kern w:val="0"/>
                <w14:ligatures w14:val="none"/>
              </w:rPr>
              <w:lastRenderedPageBreak/>
              <w:t>audiovisual en un encuentro sincrónico virtual (formativo).</w:t>
            </w:r>
          </w:p>
          <w:p w14:paraId="6663B0C5" w14:textId="77777777" w:rsidR="007B14D3" w:rsidRPr="007B14D3" w:rsidRDefault="007B14D3" w:rsidP="007B14D3">
            <w:pPr>
              <w:widowControl w:val="0"/>
              <w:numPr>
                <w:ilvl w:val="0"/>
                <w:numId w:val="15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Elaboración de un mapa mental sobre el proceso de poblamiento de la región, el cual se entrega mediante un foro donde los y las estudiantes comentan otros mapas a partir de la pregunta generadora: ¿qué implica comprender el proceso de poblamiento de la región?</w:t>
            </w:r>
          </w:p>
          <w:p w14:paraId="1981744F" w14:textId="77777777" w:rsidR="007B14D3" w:rsidRPr="007B14D3" w:rsidRDefault="007B14D3" w:rsidP="007B14D3">
            <w:pPr>
              <w:widowControl w:val="0"/>
              <w:numPr>
                <w:ilvl w:val="0"/>
                <w:numId w:val="15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Prepararse para realizar las lecturas sobre las esclavitudes de ayer de la próxima sesión, a partir de las cuales se elaborará un mapa conceptual sobre las esclavitudes de ayer.</w:t>
            </w:r>
          </w:p>
        </w:tc>
      </w:tr>
      <w:tr w:rsidR="007B14D3" w:rsidRPr="007B14D3" w14:paraId="69CF1054" w14:textId="77777777" w:rsidTr="4C9C2619">
        <w:trPr>
          <w:trHeight w:val="1120"/>
          <w:jc w:val="center"/>
        </w:trPr>
        <w:tc>
          <w:tcPr>
            <w:tcW w:w="1129" w:type="dxa"/>
          </w:tcPr>
          <w:p w14:paraId="4108F4B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0FA21F8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3</w:t>
            </w:r>
          </w:p>
          <w:p w14:paraId="59A127BB"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167E240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1: Trasfondo histórico de los pueblos originarios y afro-latinoamericanos y caribeños</w:t>
            </w:r>
          </w:p>
          <w:p w14:paraId="0038D40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F2A957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1.1 Trasfondo histórico de los pueblos y las culturas originarias y afro en Abya-Yala</w:t>
            </w:r>
          </w:p>
          <w:p w14:paraId="3FB5B5CD"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90C5616"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tc>
        <w:tc>
          <w:tcPr>
            <w:tcW w:w="2693" w:type="dxa"/>
          </w:tcPr>
          <w:p w14:paraId="294F50F3" w14:textId="77777777" w:rsidR="007B14D3" w:rsidRPr="007B14D3" w:rsidRDefault="007B14D3" w:rsidP="007B14D3">
            <w:pPr>
              <w:spacing w:line="240" w:lineRule="auto"/>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62E154A4"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color w:val="000000"/>
                <w:kern w:val="0"/>
                <w:lang w:val="es-ES_tradnl" w:eastAsia="es-CR"/>
                <w14:ligatures w14:val="none"/>
              </w:rPr>
              <w:t xml:space="preserve">Cáceres, Rina. </w:t>
            </w:r>
            <w:r w:rsidRPr="007B14D3">
              <w:rPr>
                <w:rFonts w:ascii="Calibri" w:eastAsia="Times New Roman" w:hAnsi="Calibri" w:cs="Arial"/>
                <w:kern w:val="0"/>
                <w:lang w:val="es-ES_tradnl" w:eastAsia="es-CR"/>
                <w14:ligatures w14:val="none"/>
              </w:rPr>
              <w:t>“Prólogo”, “Indígenas y africanos en las redes de la esclavitud en Centroamérica”, “La cultura material de los cimarrones: los casos de Ecuador, La Española, México y Colombia”, “Población afroamericana libre en la Centroamérica colonial”, “Experiencias de vida y expectativas: nociones africanas sobre la esclavitud y la realidad en América”.  En</w:t>
            </w:r>
            <w:r w:rsidRPr="007B14D3">
              <w:rPr>
                <w:rFonts w:ascii="Calibri" w:eastAsia="Times New Roman" w:hAnsi="Calibri" w:cs="Arial"/>
                <w:color w:val="000000"/>
                <w:kern w:val="0"/>
                <w:lang w:val="es-ES_tradnl" w:eastAsia="es-CR"/>
                <w14:ligatures w14:val="none"/>
              </w:rPr>
              <w:t xml:space="preserve"> </w:t>
            </w:r>
            <w:r w:rsidRPr="007B14D3">
              <w:rPr>
                <w:rFonts w:ascii="Calibri" w:eastAsia="Times New Roman" w:hAnsi="Calibri" w:cs="Arial"/>
                <w:i/>
                <w:color w:val="000000"/>
                <w:kern w:val="0"/>
                <w:lang w:val="es-ES_tradnl" w:eastAsia="es-CR"/>
                <w14:ligatures w14:val="none"/>
              </w:rPr>
              <w:t xml:space="preserve">Rutas de la esclavitud en África y América Latina, </w:t>
            </w:r>
            <w:r w:rsidRPr="007B14D3">
              <w:rPr>
                <w:rFonts w:ascii="Calibri" w:eastAsia="Times New Roman" w:hAnsi="Calibri" w:cs="Arial"/>
                <w:kern w:val="0"/>
                <w:lang w:val="es-ES_tradnl" w:eastAsia="es-CR"/>
                <w14:ligatures w14:val="none"/>
              </w:rPr>
              <w:t>9-17, 83-100, 145-156, 323-340 y 379-403</w:t>
            </w:r>
            <w:r w:rsidRPr="007B14D3">
              <w:rPr>
                <w:rFonts w:ascii="Calibri" w:eastAsia="Times New Roman" w:hAnsi="Calibri" w:cs="Arial"/>
                <w:i/>
                <w:color w:val="000000"/>
                <w:kern w:val="0"/>
                <w:lang w:val="es-ES_tradnl" w:eastAsia="es-CR"/>
                <w14:ligatures w14:val="none"/>
              </w:rPr>
              <w:t xml:space="preserve"> </w:t>
            </w:r>
            <w:r w:rsidRPr="007B14D3">
              <w:rPr>
                <w:rFonts w:ascii="Calibri" w:eastAsia="Times New Roman" w:hAnsi="Calibri" w:cs="Arial"/>
                <w:color w:val="000000"/>
                <w:kern w:val="0"/>
                <w:lang w:val="es-ES_tradnl" w:eastAsia="es-CR"/>
                <w14:ligatures w14:val="none"/>
              </w:rPr>
              <w:t xml:space="preserve">San José, C.R.: Editorial de la Universidad de Costa Rica, 2001. </w:t>
            </w:r>
            <w:r w:rsidRPr="007B14D3">
              <w:rPr>
                <w:rFonts w:ascii="Calibri" w:eastAsia="Times New Roman" w:hAnsi="Calibri" w:cs="Arial"/>
                <w:color w:val="0070C0"/>
                <w:kern w:val="0"/>
                <w:lang w:val="es-ES_tradnl" w:eastAsia="es-CR"/>
                <w14:ligatures w14:val="none"/>
              </w:rPr>
              <w:t>(clásico, última edición)</w:t>
            </w:r>
          </w:p>
          <w:p w14:paraId="7978F3A9" w14:textId="77777777" w:rsidR="007B14D3" w:rsidRPr="007B14D3" w:rsidRDefault="007B14D3" w:rsidP="007B14D3">
            <w:pPr>
              <w:spacing w:line="240" w:lineRule="auto"/>
              <w:rPr>
                <w:rFonts w:ascii="Calibri" w:eastAsia="Times New Roman" w:hAnsi="Calibri" w:cs="Arial"/>
                <w:b/>
                <w:color w:val="0070C0"/>
                <w:kern w:val="0"/>
                <w:lang w:eastAsia="es-CR"/>
                <w14:ligatures w14:val="none"/>
              </w:rPr>
            </w:pPr>
          </w:p>
          <w:p w14:paraId="3028A3AA" w14:textId="77777777" w:rsidR="007B14D3" w:rsidRPr="007B14D3" w:rsidRDefault="007B14D3" w:rsidP="007B14D3">
            <w:pPr>
              <w:spacing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221B819C" w14:textId="77777777" w:rsidR="007B14D3" w:rsidRPr="007B14D3" w:rsidRDefault="007B14D3" w:rsidP="007B14D3">
            <w:pPr>
              <w:spacing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elaboración de un mapa conceptual</w:t>
            </w:r>
          </w:p>
        </w:tc>
        <w:tc>
          <w:tcPr>
            <w:tcW w:w="3119" w:type="dxa"/>
          </w:tcPr>
          <w:p w14:paraId="1447F0C7" w14:textId="77777777" w:rsidR="007B14D3" w:rsidRPr="007B14D3" w:rsidRDefault="007B14D3" w:rsidP="007B14D3">
            <w:pPr>
              <w:widowControl w:val="0"/>
              <w:numPr>
                <w:ilvl w:val="0"/>
                <w:numId w:val="160"/>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lastRenderedPageBreak/>
              <w:t>Realizar la lectura del aporte docente sobre las esclavitudes.</w:t>
            </w:r>
          </w:p>
          <w:p w14:paraId="26ECB120" w14:textId="77777777" w:rsidR="007B14D3" w:rsidRPr="007B14D3" w:rsidRDefault="007B14D3" w:rsidP="007B14D3">
            <w:pPr>
              <w:widowControl w:val="0"/>
              <w:numPr>
                <w:ilvl w:val="0"/>
                <w:numId w:val="160"/>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Elaboración de un mapa conceptual sobre las esclavitudes de ayer. </w:t>
            </w:r>
          </w:p>
          <w:p w14:paraId="6153E041" w14:textId="77777777" w:rsidR="007B14D3" w:rsidRPr="007B14D3" w:rsidRDefault="007B14D3" w:rsidP="007B14D3">
            <w:pPr>
              <w:widowControl w:val="0"/>
              <w:numPr>
                <w:ilvl w:val="0"/>
                <w:numId w:val="160"/>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Prepararse para realizar las lecturas y las actividades sobre lo sagrado y lo profano de la próxima sesión.</w:t>
            </w:r>
          </w:p>
        </w:tc>
      </w:tr>
      <w:tr w:rsidR="007B14D3" w:rsidRPr="007B14D3" w14:paraId="352BD326" w14:textId="77777777" w:rsidTr="4C9C2619">
        <w:trPr>
          <w:jc w:val="center"/>
        </w:trPr>
        <w:tc>
          <w:tcPr>
            <w:tcW w:w="1129" w:type="dxa"/>
          </w:tcPr>
          <w:p w14:paraId="47B243E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1CE2CEA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4</w:t>
            </w:r>
          </w:p>
          <w:p w14:paraId="441EB42F"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68F34EE8"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1: Trasfondo histórico de los pueblos originarios y afro-latinoamericanos y caribeños</w:t>
            </w:r>
          </w:p>
          <w:p w14:paraId="59270055"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4844A5DA"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 xml:space="preserve">1.2 Lo sagrado y lo profano </w:t>
            </w:r>
          </w:p>
        </w:tc>
        <w:tc>
          <w:tcPr>
            <w:tcW w:w="2693" w:type="dxa"/>
          </w:tcPr>
          <w:p w14:paraId="0C9B8865"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Arial"/>
                <w:kern w:val="0"/>
                <w:lang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45CC4942"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kern w:val="0"/>
                <w:lang w:eastAsia="es-CR"/>
                <w14:ligatures w14:val="none"/>
              </w:rPr>
              <w:t xml:space="preserve">Eliade, Mircea. “El espacio sagrado y la sacralización del mundo”. En </w:t>
            </w:r>
            <w:r w:rsidRPr="007B14D3">
              <w:rPr>
                <w:rFonts w:ascii="Calibri" w:eastAsia="Times New Roman" w:hAnsi="Calibri" w:cs="Arial"/>
                <w:i/>
                <w:kern w:val="0"/>
                <w:lang w:eastAsia="es-CR"/>
                <w14:ligatures w14:val="none"/>
              </w:rPr>
              <w:t>Lo sagrado y lo profano</w:t>
            </w:r>
            <w:r w:rsidRPr="007B14D3">
              <w:rPr>
                <w:rFonts w:ascii="Calibri" w:eastAsia="Times New Roman" w:hAnsi="Calibri" w:cs="Arial"/>
                <w:kern w:val="0"/>
                <w:lang w:eastAsia="es-CR"/>
                <w14:ligatures w14:val="none"/>
              </w:rPr>
              <w:t xml:space="preserve">, 21-52. </w:t>
            </w:r>
            <w:r w:rsidRPr="007B14D3">
              <w:rPr>
                <w:rFonts w:ascii="Calibri" w:eastAsia="Times New Roman" w:hAnsi="Calibri" w:cs="Arial"/>
                <w:kern w:val="0"/>
                <w:lang w:val="es-ES_tradnl" w:eastAsia="es-CR"/>
                <w14:ligatures w14:val="none"/>
              </w:rPr>
              <w:t xml:space="preserve">Madrid: </w:t>
            </w:r>
            <w:proofErr w:type="spellStart"/>
            <w:r w:rsidRPr="007B14D3">
              <w:rPr>
                <w:rFonts w:ascii="Calibri" w:eastAsia="Times New Roman" w:hAnsi="Calibri" w:cs="Arial"/>
                <w:kern w:val="0"/>
                <w:lang w:val="es-ES_tradnl" w:eastAsia="es-CR"/>
                <w14:ligatures w14:val="none"/>
              </w:rPr>
              <w:t>Gadarrama</w:t>
            </w:r>
            <w:proofErr w:type="spellEnd"/>
            <w:r w:rsidRPr="007B14D3">
              <w:rPr>
                <w:rFonts w:ascii="Calibri" w:eastAsia="Times New Roman" w:hAnsi="Calibri" w:cs="Arial"/>
                <w:kern w:val="0"/>
                <w:lang w:val="es-ES_tradnl" w:eastAsia="es-CR"/>
                <w14:ligatures w14:val="none"/>
              </w:rPr>
              <w:t xml:space="preserve">, 1973. </w:t>
            </w:r>
            <w:r w:rsidRPr="007B14D3">
              <w:rPr>
                <w:rFonts w:ascii="Calibri" w:eastAsia="Times New Roman" w:hAnsi="Calibri" w:cs="Arial"/>
                <w:color w:val="0070C0"/>
                <w:kern w:val="0"/>
                <w:lang w:val="es-ES_tradnl" w:eastAsia="es-CR"/>
                <w14:ligatures w14:val="none"/>
              </w:rPr>
              <w:t>(Clásico, última edición Barcelona: Paidós, 2020)</w:t>
            </w:r>
          </w:p>
          <w:p w14:paraId="49233627"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Arial"/>
                <w:kern w:val="0"/>
                <w:sz w:val="10"/>
                <w:lang w:val="es-ES_tradnl" w:eastAsia="es-CR"/>
                <w14:ligatures w14:val="none"/>
              </w:rPr>
            </w:pPr>
          </w:p>
          <w:p w14:paraId="66E15374"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kern w:val="0"/>
                <w:lang w:eastAsia="es-MX"/>
                <w14:ligatures w14:val="none"/>
              </w:rPr>
            </w:pPr>
            <w:r w:rsidRPr="007B14D3">
              <w:rPr>
                <w:rFonts w:ascii="Calibri" w:eastAsia="Times New Roman" w:hAnsi="Calibri" w:cs="Arial"/>
                <w:kern w:val="0"/>
                <w:lang w:eastAsia="es-MX"/>
                <w14:ligatures w14:val="none"/>
              </w:rPr>
              <w:t>Geertz, Clifford. “Descripción densa: hacia una teoría interpretativa</w:t>
            </w:r>
            <w:r w:rsidRPr="007B14D3">
              <w:rPr>
                <w:rFonts w:ascii="Calibri" w:eastAsia="Times New Roman" w:hAnsi="Calibri" w:cs="Arial"/>
                <w:i/>
                <w:kern w:val="0"/>
                <w:lang w:eastAsia="es-MX"/>
                <w14:ligatures w14:val="none"/>
              </w:rPr>
              <w:t xml:space="preserve"> </w:t>
            </w:r>
            <w:r w:rsidRPr="007B14D3">
              <w:rPr>
                <w:rFonts w:ascii="Calibri" w:eastAsia="Times New Roman" w:hAnsi="Calibri" w:cs="Arial"/>
                <w:kern w:val="0"/>
                <w:lang w:eastAsia="es-MX"/>
                <w14:ligatures w14:val="none"/>
              </w:rPr>
              <w:t xml:space="preserve">de la cultura”. En </w:t>
            </w:r>
            <w:r w:rsidRPr="007B14D3">
              <w:rPr>
                <w:rFonts w:ascii="Calibri" w:eastAsia="Times New Roman" w:hAnsi="Calibri" w:cs="Arial"/>
                <w:i/>
                <w:kern w:val="0"/>
                <w:lang w:val="es-MX" w:eastAsia="es-MX"/>
                <w14:ligatures w14:val="none"/>
              </w:rPr>
              <w:t>La interpretación de las culturas</w:t>
            </w:r>
            <w:r w:rsidRPr="007B14D3">
              <w:rPr>
                <w:rFonts w:ascii="Calibri" w:eastAsia="Times New Roman" w:hAnsi="Calibri" w:cs="Arial"/>
                <w:kern w:val="0"/>
                <w:lang w:val="es-MX" w:eastAsia="es-MX"/>
                <w14:ligatures w14:val="none"/>
              </w:rPr>
              <w:t>, 19-43. México: Gedisa, 1990.</w:t>
            </w:r>
            <w:r w:rsidRPr="007B14D3">
              <w:rPr>
                <w:rFonts w:ascii="Calibri" w:eastAsia="Times New Roman" w:hAnsi="Calibri" w:cs="Arial"/>
                <w:kern w:val="0"/>
                <w:lang w:eastAsia="es-MX"/>
                <w14:ligatures w14:val="none"/>
              </w:rPr>
              <w:t xml:space="preserve"> </w:t>
            </w:r>
            <w:r w:rsidRPr="007B14D3">
              <w:rPr>
                <w:rFonts w:ascii="Calibri" w:eastAsia="Times New Roman" w:hAnsi="Calibri" w:cs="Arial"/>
                <w:color w:val="0070C0"/>
                <w:kern w:val="0"/>
                <w:lang w:eastAsia="es-MX"/>
                <w14:ligatures w14:val="none"/>
              </w:rPr>
              <w:t>(Clásico, última reimpresión Barcelona: Gedisa, 1990)</w:t>
            </w:r>
          </w:p>
          <w:p w14:paraId="6D4B687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color w:val="FF0000"/>
                <w:kern w:val="0"/>
                <w:lang w:eastAsia="es-MX"/>
                <w14:ligatures w14:val="none"/>
              </w:rPr>
            </w:pPr>
          </w:p>
          <w:p w14:paraId="00F2DF6B"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
                <w:kern w:val="0"/>
                <w:lang w:eastAsia="es-MX"/>
                <w14:ligatures w14:val="none"/>
              </w:rPr>
            </w:pPr>
            <w:r w:rsidRPr="007B14D3">
              <w:rPr>
                <w:rFonts w:ascii="Calibri" w:eastAsia="Times New Roman" w:hAnsi="Calibri" w:cs="Arial"/>
                <w:b/>
                <w:kern w:val="0"/>
                <w:lang w:eastAsia="es-MX"/>
                <w14:ligatures w14:val="none"/>
              </w:rPr>
              <w:t>Material complementario</w:t>
            </w:r>
          </w:p>
          <w:p w14:paraId="0071C50C"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
                <w:kern w:val="0"/>
                <w:lang w:eastAsia="es-MX"/>
                <w14:ligatures w14:val="none"/>
              </w:rPr>
            </w:pPr>
          </w:p>
          <w:p w14:paraId="27A1012E"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bCs/>
                <w:kern w:val="0"/>
                <w:lang w:eastAsia="es-MX"/>
                <w14:ligatures w14:val="none"/>
              </w:rPr>
              <w:t xml:space="preserve">García Bazán, Francisco. “La religión y lo sagrado”. En </w:t>
            </w:r>
            <w:r w:rsidRPr="007B14D3">
              <w:rPr>
                <w:rFonts w:ascii="Calibri" w:eastAsia="Times New Roman" w:hAnsi="Calibri" w:cs="Arial"/>
                <w:bCs/>
                <w:i/>
                <w:kern w:val="0"/>
                <w:lang w:eastAsia="es-MX"/>
                <w14:ligatures w14:val="none"/>
              </w:rPr>
              <w:t>El estudio de la religión</w:t>
            </w:r>
            <w:r w:rsidRPr="007B14D3">
              <w:rPr>
                <w:rFonts w:ascii="Calibri" w:eastAsia="Times New Roman" w:hAnsi="Calibri" w:cs="Arial"/>
                <w:bCs/>
                <w:kern w:val="0"/>
                <w:lang w:eastAsia="es-MX"/>
                <w14:ligatures w14:val="none"/>
              </w:rPr>
              <w:t xml:space="preserve">, editado por Francisco Diez de Velasco y Francisco García Bazán, 23-60. Madrid: Editorial Trotta, 2002. </w:t>
            </w:r>
            <w:r w:rsidRPr="007B14D3">
              <w:rPr>
                <w:rFonts w:ascii="Calibri" w:eastAsia="Times New Roman" w:hAnsi="Calibri" w:cs="Arial"/>
                <w:bCs/>
                <w:color w:val="0070C0"/>
                <w:kern w:val="0"/>
                <w:lang w:eastAsia="es-MX"/>
                <w14:ligatures w14:val="none"/>
              </w:rPr>
              <w:t>(Clásico, última edición)</w:t>
            </w:r>
          </w:p>
          <w:p w14:paraId="66B6F9F1"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kern w:val="0"/>
                <w:lang w:eastAsia="es-MX"/>
                <w14:ligatures w14:val="none"/>
              </w:rPr>
            </w:pPr>
          </w:p>
          <w:p w14:paraId="149F74E6"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kern w:val="0"/>
                <w:lang w:val="es-MX" w:eastAsia="es-MX"/>
                <w14:ligatures w14:val="none"/>
              </w:rPr>
            </w:pPr>
            <w:r w:rsidRPr="007B14D3">
              <w:rPr>
                <w:rFonts w:ascii="Calibri" w:eastAsia="Times New Roman" w:hAnsi="Calibri" w:cs="Arial"/>
                <w:bCs/>
                <w:color w:val="0070C0"/>
                <w:kern w:val="0"/>
                <w:lang w:eastAsia="es-MX"/>
                <w14:ligatures w14:val="none"/>
              </w:rPr>
              <w:t>Guía para la participación en un foro en la plataforma Moodle.</w:t>
            </w:r>
          </w:p>
        </w:tc>
        <w:tc>
          <w:tcPr>
            <w:tcW w:w="3119" w:type="dxa"/>
          </w:tcPr>
          <w:p w14:paraId="44544B5C" w14:textId="77777777" w:rsidR="007B14D3" w:rsidRPr="007B14D3" w:rsidRDefault="007B14D3" w:rsidP="007B14D3">
            <w:pPr>
              <w:widowControl w:val="0"/>
              <w:numPr>
                <w:ilvl w:val="0"/>
                <w:numId w:val="16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Trabajo en grupos para elaborar y compartir un resumen sobre (Grupo A: Lo sagrado y lo profano; Grupo B: descripción densa), el cual se compartirá con el resto del grupo y la persona docente.</w:t>
            </w:r>
          </w:p>
          <w:p w14:paraId="70DBDDEA" w14:textId="77777777" w:rsidR="007B14D3" w:rsidRPr="007B14D3" w:rsidRDefault="007B14D3" w:rsidP="007B14D3">
            <w:pPr>
              <w:widowControl w:val="0"/>
              <w:numPr>
                <w:ilvl w:val="0"/>
                <w:numId w:val="16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Elaboración de una presentación audiovisual sobre “Lo sagrado y lo profano: trasfondo histórico de los pueblos originarios y afrolatinos. Su público meta es una comunidad de fe de su confesión. En una hoja por separado describa de qué confesión es la comunidad, si es urbana o rural, composición social y </w:t>
            </w:r>
            <w:proofErr w:type="spellStart"/>
            <w:r w:rsidRPr="007B14D3">
              <w:rPr>
                <w:rFonts w:ascii="Calibri" w:eastAsia="Calibri" w:hAnsi="Calibri" w:cs="Arial"/>
                <w:kern w:val="0"/>
                <w14:ligatures w14:val="none"/>
              </w:rPr>
              <w:t>sub-público</w:t>
            </w:r>
            <w:proofErr w:type="spellEnd"/>
            <w:r w:rsidRPr="007B14D3">
              <w:rPr>
                <w:rFonts w:ascii="Calibri" w:eastAsia="Calibri" w:hAnsi="Calibri" w:cs="Arial"/>
                <w:kern w:val="0"/>
                <w14:ligatures w14:val="none"/>
              </w:rPr>
              <w:t xml:space="preserve"> con el que trabajaría.   </w:t>
            </w:r>
          </w:p>
          <w:p w14:paraId="3DDD3D83" w14:textId="77777777" w:rsidR="007B14D3" w:rsidRPr="007B14D3" w:rsidRDefault="007B14D3" w:rsidP="007B14D3">
            <w:pPr>
              <w:widowControl w:val="0"/>
              <w:numPr>
                <w:ilvl w:val="0"/>
                <w:numId w:val="16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Compartir la presentación audiovisual en el foro, dentro del cual se realizará una reflexión colectiva sobre lo aprendido en esta unidad.</w:t>
            </w:r>
          </w:p>
          <w:p w14:paraId="6B8DACD2" w14:textId="77777777" w:rsidR="007B14D3" w:rsidRPr="007B14D3" w:rsidRDefault="007B14D3" w:rsidP="007B14D3">
            <w:pPr>
              <w:widowControl w:val="0"/>
              <w:numPr>
                <w:ilvl w:val="0"/>
                <w:numId w:val="16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Distribución de los temas de investigación sobre un pueblo originario y un pueblo afro-latino según el pre diagnóstico. </w:t>
            </w:r>
          </w:p>
        </w:tc>
      </w:tr>
      <w:tr w:rsidR="007B14D3" w:rsidRPr="007B14D3" w14:paraId="69C9360E" w14:textId="77777777" w:rsidTr="4C9C2619">
        <w:trPr>
          <w:jc w:val="center"/>
        </w:trPr>
        <w:tc>
          <w:tcPr>
            <w:tcW w:w="1129" w:type="dxa"/>
          </w:tcPr>
          <w:p w14:paraId="6D50312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387A383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5</w:t>
            </w:r>
          </w:p>
          <w:p w14:paraId="43CADBC3"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p w14:paraId="585D9C82"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000000"/>
                <w:kern w:val="0"/>
                <w:lang w:val="es-ES_tradnl" w:eastAsia="es-CR"/>
                <w14:ligatures w14:val="none"/>
              </w:rPr>
            </w:pPr>
          </w:p>
          <w:p w14:paraId="1A4A0AC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tc>
        <w:tc>
          <w:tcPr>
            <w:tcW w:w="2410" w:type="dxa"/>
          </w:tcPr>
          <w:p w14:paraId="258D6A0A"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lastRenderedPageBreak/>
              <w:t>Unidad 2: Espiritualidad y cosmogonía de los pueblos originarios de Abya-Yala</w:t>
            </w:r>
          </w:p>
          <w:p w14:paraId="3D29B602"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438434C"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2.1 Explorar la cosmogonía y la espiritualidad de varios pueblos originarios (indígenas) de Abya-Yala</w:t>
            </w:r>
          </w:p>
          <w:p w14:paraId="7D7A628B"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B236794"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419" w:eastAsia="es-CR"/>
                <w14:ligatures w14:val="none"/>
              </w:rPr>
              <w:t>2.2 Aportes y desafíos a la cultura regional</w:t>
            </w:r>
          </w:p>
          <w:p w14:paraId="784986FB"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37CC52CE"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693" w:type="dxa"/>
          </w:tcPr>
          <w:p w14:paraId="349179FC"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color w:val="0070C0"/>
                <w:kern w:val="0"/>
                <w:lang w:val="es-ES_tradnl" w:eastAsia="es-CR"/>
                <w14:ligatures w14:val="none"/>
              </w:rPr>
              <w:lastRenderedPageBreak/>
              <w:t>Ruta de aprendizaje</w:t>
            </w:r>
          </w:p>
          <w:p w14:paraId="4C01878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71B8E463"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proofErr w:type="spellStart"/>
            <w:r w:rsidRPr="007B14D3">
              <w:rPr>
                <w:rFonts w:ascii="Calibri" w:eastAsia="Times New Roman" w:hAnsi="Calibri" w:cs="Arial"/>
                <w:color w:val="000000"/>
                <w:kern w:val="0"/>
                <w:lang w:val="es-MX" w:eastAsia="es-MX"/>
                <w14:ligatures w14:val="none"/>
              </w:rPr>
              <w:t>Otzoy</w:t>
            </w:r>
            <w:proofErr w:type="spellEnd"/>
            <w:r w:rsidRPr="007B14D3">
              <w:rPr>
                <w:rFonts w:ascii="Calibri" w:eastAsia="Times New Roman" w:hAnsi="Calibri" w:cs="Arial"/>
                <w:color w:val="000000"/>
                <w:kern w:val="0"/>
                <w:lang w:val="es-MX" w:eastAsia="es-MX"/>
                <w14:ligatures w14:val="none"/>
              </w:rPr>
              <w:t xml:space="preserve">, Antonio. “Deshojando los </w:t>
            </w:r>
            <w:r w:rsidRPr="007B14D3">
              <w:rPr>
                <w:rFonts w:ascii="Calibri" w:eastAsia="Times New Roman" w:hAnsi="Calibri" w:cs="Arial"/>
                <w:color w:val="000000"/>
                <w:kern w:val="0"/>
                <w:lang w:val="es-MX" w:eastAsia="es-MX"/>
                <w14:ligatures w14:val="none"/>
              </w:rPr>
              <w:lastRenderedPageBreak/>
              <w:t xml:space="preserve">conocimientos y las culturas”, “Descubriendo conocimiento y cultura”. En </w:t>
            </w:r>
            <w:r w:rsidRPr="007B14D3">
              <w:rPr>
                <w:rFonts w:ascii="Calibri" w:eastAsia="Times New Roman" w:hAnsi="Calibri" w:cs="Arial"/>
                <w:i/>
                <w:color w:val="000000"/>
                <w:kern w:val="0"/>
                <w:lang w:val="es-MX" w:eastAsia="es-MX"/>
                <w14:ligatures w14:val="none"/>
              </w:rPr>
              <w:t>Escuchando a Dios desde las culturas indígenas</w:t>
            </w:r>
            <w:r w:rsidRPr="007B14D3">
              <w:rPr>
                <w:rFonts w:ascii="Calibri" w:eastAsia="Times New Roman" w:hAnsi="Calibri" w:cs="Arial"/>
                <w:color w:val="000000"/>
                <w:kern w:val="0"/>
                <w:lang w:val="es-MX" w:eastAsia="es-MX"/>
                <w14:ligatures w14:val="none"/>
              </w:rPr>
              <w:t>, 21-136.</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San José, C.R.: Editorial SEBILA, 2013. </w:t>
            </w:r>
            <w:r w:rsidRPr="007B14D3">
              <w:rPr>
                <w:rFonts w:ascii="Calibri" w:eastAsia="Times New Roman" w:hAnsi="Calibri" w:cs="Arial"/>
                <w:bCs/>
                <w:color w:val="0070C0"/>
                <w:kern w:val="0"/>
                <w:lang w:eastAsia="es-MX"/>
                <w14:ligatures w14:val="none"/>
              </w:rPr>
              <w:t>(Clásico, última edición)</w:t>
            </w:r>
          </w:p>
          <w:p w14:paraId="5D1E997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79F20221" w14:textId="77777777" w:rsidR="007B14D3" w:rsidRPr="007B14D3" w:rsidRDefault="007B14D3" w:rsidP="007B14D3">
            <w:pPr>
              <w:spacing w:after="0" w:line="240" w:lineRule="auto"/>
              <w:rPr>
                <w:rFonts w:ascii="Calibri" w:eastAsia="Times New Roman" w:hAnsi="Calibri" w:cs="Calibri"/>
                <w:b/>
                <w:kern w:val="0"/>
                <w:lang w:val="es-ES_tradnl" w:eastAsia="es-CR"/>
                <w14:ligatures w14:val="none"/>
              </w:rPr>
            </w:pPr>
            <w:r w:rsidRPr="007B14D3">
              <w:rPr>
                <w:rFonts w:ascii="Calibri" w:eastAsia="Times New Roman" w:hAnsi="Calibri" w:cs="Calibri"/>
                <w:b/>
                <w:kern w:val="0"/>
                <w:lang w:val="es-ES_tradnl" w:eastAsia="es-CR"/>
                <w14:ligatures w14:val="none"/>
              </w:rPr>
              <w:t>Material complementario</w:t>
            </w:r>
          </w:p>
          <w:p w14:paraId="5448AA04" w14:textId="77777777" w:rsidR="007B14D3" w:rsidRPr="007B14D3" w:rsidRDefault="007B14D3" w:rsidP="007B14D3">
            <w:pPr>
              <w:spacing w:after="0" w:line="240" w:lineRule="auto"/>
              <w:rPr>
                <w:rFonts w:ascii="Calibri" w:eastAsia="Times New Roman" w:hAnsi="Calibri" w:cs="Calibri"/>
                <w:b/>
                <w:kern w:val="0"/>
                <w:lang w:val="es-ES_tradnl" w:eastAsia="es-CR"/>
                <w14:ligatures w14:val="none"/>
              </w:rPr>
            </w:pPr>
          </w:p>
          <w:p w14:paraId="02AF4961"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proofErr w:type="spellStart"/>
            <w:r w:rsidRPr="007B14D3">
              <w:rPr>
                <w:rFonts w:ascii="Calibri" w:eastAsia="Times New Roman" w:hAnsi="Calibri" w:cs="Arial"/>
                <w:bCs/>
                <w:color w:val="000000"/>
                <w:kern w:val="0"/>
                <w:lang w:eastAsia="es-MX"/>
                <w14:ligatures w14:val="none"/>
              </w:rPr>
              <w:t>Estermann</w:t>
            </w:r>
            <w:proofErr w:type="spellEnd"/>
            <w:r w:rsidRPr="007B14D3">
              <w:rPr>
                <w:rFonts w:ascii="Calibri" w:eastAsia="Times New Roman" w:hAnsi="Calibri" w:cs="Arial"/>
                <w:bCs/>
                <w:color w:val="000000"/>
                <w:kern w:val="0"/>
                <w:lang w:eastAsia="es-MX"/>
                <w14:ligatures w14:val="none"/>
              </w:rPr>
              <w:t>, Josef. “</w:t>
            </w:r>
            <w:proofErr w:type="spellStart"/>
            <w:r w:rsidRPr="007B14D3">
              <w:rPr>
                <w:rFonts w:ascii="Calibri" w:eastAsia="Times New Roman" w:hAnsi="Calibri" w:cs="Arial"/>
                <w:bCs/>
                <w:color w:val="000000"/>
                <w:kern w:val="0"/>
                <w:lang w:eastAsia="es-MX"/>
                <w14:ligatures w14:val="none"/>
              </w:rPr>
              <w:t>Pachasofía</w:t>
            </w:r>
            <w:proofErr w:type="spellEnd"/>
            <w:r w:rsidRPr="007B14D3">
              <w:rPr>
                <w:rFonts w:ascii="Calibri" w:eastAsia="Times New Roman" w:hAnsi="Calibri" w:cs="Arial"/>
                <w:bCs/>
                <w:color w:val="000000"/>
                <w:kern w:val="0"/>
                <w:lang w:eastAsia="es-MX"/>
                <w14:ligatures w14:val="none"/>
              </w:rPr>
              <w:t xml:space="preserve">: cosmología andina”. En </w:t>
            </w:r>
            <w:r w:rsidRPr="007B14D3">
              <w:rPr>
                <w:rFonts w:ascii="Calibri" w:eastAsia="Times New Roman" w:hAnsi="Calibri" w:cs="Arial"/>
                <w:bCs/>
                <w:i/>
                <w:color w:val="000000"/>
                <w:kern w:val="0"/>
                <w:lang w:eastAsia="es-MX"/>
                <w14:ligatures w14:val="none"/>
              </w:rPr>
              <w:t>Filosofía andina: sabiduría indígena para un mundo nuevo</w:t>
            </w:r>
            <w:r w:rsidRPr="007B14D3">
              <w:rPr>
                <w:rFonts w:ascii="Calibri" w:eastAsia="Times New Roman" w:hAnsi="Calibri" w:cs="Arial"/>
                <w:bCs/>
                <w:color w:val="000000"/>
                <w:kern w:val="0"/>
                <w:lang w:eastAsia="es-MX"/>
                <w14:ligatures w14:val="none"/>
              </w:rPr>
              <w:t xml:space="preserve">, 151-206. La Paz, Bolivia: ISEAT, 2006. </w:t>
            </w:r>
            <w:r w:rsidRPr="007B14D3">
              <w:rPr>
                <w:rFonts w:ascii="Calibri" w:eastAsia="Times New Roman" w:hAnsi="Calibri" w:cs="Arial"/>
                <w:bCs/>
                <w:color w:val="0070C0"/>
                <w:kern w:val="0"/>
                <w:lang w:eastAsia="es-MX"/>
                <w14:ligatures w14:val="none"/>
              </w:rPr>
              <w:t>(Clásico, última edición)</w:t>
            </w:r>
          </w:p>
          <w:p w14:paraId="199EAD43" w14:textId="77777777" w:rsidR="007B14D3" w:rsidRPr="007B14D3" w:rsidRDefault="007B14D3" w:rsidP="007B14D3">
            <w:pPr>
              <w:spacing w:after="0" w:line="240" w:lineRule="auto"/>
              <w:rPr>
                <w:rFonts w:ascii="Calibri" w:eastAsia="Times New Roman" w:hAnsi="Calibri" w:cs="Calibri"/>
                <w:b/>
                <w:kern w:val="0"/>
                <w:szCs w:val="20"/>
                <w:lang w:val="es-ES_tradnl" w:eastAsia="es-CR"/>
                <w14:ligatures w14:val="none"/>
              </w:rPr>
            </w:pPr>
          </w:p>
          <w:p w14:paraId="77699E75"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Calibri"/>
                <w:color w:val="000000"/>
                <w:kern w:val="0"/>
                <w:lang w:val="es-MX" w:eastAsia="es-MX"/>
                <w14:ligatures w14:val="none"/>
              </w:rPr>
              <w:t xml:space="preserve">Garza Camino, Mercedes de la. “Origen, estructura y temporalidad del cosmos”. En </w:t>
            </w:r>
            <w:r w:rsidRPr="007B14D3">
              <w:rPr>
                <w:rFonts w:ascii="Calibri" w:eastAsia="Times New Roman" w:hAnsi="Calibri" w:cs="Calibri"/>
                <w:i/>
                <w:color w:val="000000"/>
                <w:kern w:val="0"/>
                <w:lang w:val="es-MX" w:eastAsia="es-MX"/>
                <w14:ligatures w14:val="none"/>
              </w:rPr>
              <w:t>Religión maya</w:t>
            </w:r>
            <w:r w:rsidRPr="007B14D3">
              <w:rPr>
                <w:rFonts w:ascii="Calibri" w:eastAsia="Times New Roman" w:hAnsi="Calibri" w:cs="Calibri"/>
                <w:color w:val="000000"/>
                <w:kern w:val="0"/>
                <w:lang w:val="es-MX" w:eastAsia="es-MX"/>
                <w14:ligatures w14:val="none"/>
              </w:rPr>
              <w:t xml:space="preserve">, editado por Mercedes de la Garza Camino y Martha Ilia Nájera Coronado, 53-81. Madrid: Editorial Trotta, 2002. </w:t>
            </w:r>
            <w:r w:rsidRPr="007B14D3">
              <w:rPr>
                <w:rFonts w:ascii="Calibri" w:eastAsia="Times New Roman" w:hAnsi="Calibri" w:cs="Arial"/>
                <w:bCs/>
                <w:color w:val="0070C0"/>
                <w:kern w:val="0"/>
                <w:lang w:eastAsia="es-MX"/>
                <w14:ligatures w14:val="none"/>
              </w:rPr>
              <w:t>(Clásico, última edición)</w:t>
            </w:r>
          </w:p>
          <w:p w14:paraId="29F0EB69" w14:textId="77777777" w:rsidR="007B14D3" w:rsidRPr="007B14D3" w:rsidRDefault="007B14D3" w:rsidP="007B14D3">
            <w:pPr>
              <w:spacing w:after="0" w:line="240" w:lineRule="auto"/>
              <w:rPr>
                <w:rFonts w:ascii="Calibri" w:eastAsia="Times New Roman" w:hAnsi="Calibri" w:cs="Calibri"/>
                <w:kern w:val="0"/>
                <w:lang w:val="es-ES_tradnl" w:eastAsia="es-CR"/>
                <w14:ligatures w14:val="none"/>
              </w:rPr>
            </w:pPr>
          </w:p>
          <w:p w14:paraId="1A83ED32" w14:textId="77777777" w:rsidR="007B14D3" w:rsidRPr="007B14D3" w:rsidRDefault="007B14D3" w:rsidP="007B14D3">
            <w:pPr>
              <w:spacing w:after="0" w:line="240" w:lineRule="auto"/>
              <w:rPr>
                <w:rFonts w:ascii="Calibri" w:eastAsia="Times New Roman" w:hAnsi="Calibri" w:cs="Calibri"/>
                <w:b/>
                <w:color w:val="0070C0"/>
                <w:kern w:val="0"/>
                <w:szCs w:val="20"/>
                <w:lang w:val="es-ES_tradnl" w:eastAsia="es-CR"/>
                <w14:ligatures w14:val="none"/>
              </w:rPr>
            </w:pPr>
            <w:r w:rsidRPr="007B14D3">
              <w:rPr>
                <w:rFonts w:ascii="Calibri" w:eastAsia="Times New Roman" w:hAnsi="Calibri" w:cs="Calibri"/>
                <w:color w:val="0070C0"/>
                <w:kern w:val="0"/>
                <w:lang w:val="es-ES_tradnl" w:eastAsia="es-CR"/>
                <w14:ligatures w14:val="none"/>
              </w:rPr>
              <w:t>Guía para la participación en un foro en la plataforma Moodle</w:t>
            </w:r>
          </w:p>
          <w:p w14:paraId="522F46AB"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3119" w:type="dxa"/>
          </w:tcPr>
          <w:p w14:paraId="7AB6EE1A" w14:textId="77777777" w:rsidR="007B14D3" w:rsidRPr="007B14D3" w:rsidRDefault="007B14D3" w:rsidP="007B14D3">
            <w:pPr>
              <w:widowControl w:val="0"/>
              <w:numPr>
                <w:ilvl w:val="0"/>
                <w:numId w:val="162"/>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lastRenderedPageBreak/>
              <w:t xml:space="preserve">Elaboración personal de una investigación de un pueblo originario (indígena) en </w:t>
            </w:r>
            <w:r w:rsidRPr="007B14D3">
              <w:rPr>
                <w:rFonts w:ascii="Calibri" w:eastAsia="Calibri" w:hAnsi="Calibri" w:cs="Arial"/>
                <w:kern w:val="0"/>
                <w14:ligatures w14:val="none"/>
              </w:rPr>
              <w:lastRenderedPageBreak/>
              <w:t>formato de presentación audiovisual y un ensayo analítico.</w:t>
            </w:r>
          </w:p>
          <w:p w14:paraId="56D94F6F" w14:textId="77777777" w:rsidR="007B14D3" w:rsidRPr="007B14D3" w:rsidRDefault="007B14D3" w:rsidP="007B14D3">
            <w:pPr>
              <w:widowControl w:val="0"/>
              <w:numPr>
                <w:ilvl w:val="0"/>
                <w:numId w:val="162"/>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Participación en el foro temático: Reflexión comunitaria: ¿Pueblos, etnias o reservas? Experiencias de representación de las culturas originarias en los parlamentos de la región (formativo).</w:t>
            </w:r>
          </w:p>
        </w:tc>
      </w:tr>
      <w:tr w:rsidR="007B14D3" w:rsidRPr="007B14D3" w14:paraId="4F36A278" w14:textId="77777777" w:rsidTr="4C9C2619">
        <w:trPr>
          <w:trHeight w:val="416"/>
          <w:jc w:val="center"/>
        </w:trPr>
        <w:tc>
          <w:tcPr>
            <w:tcW w:w="1129" w:type="dxa"/>
          </w:tcPr>
          <w:p w14:paraId="672BA40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1040A4C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6</w:t>
            </w:r>
          </w:p>
          <w:p w14:paraId="1AFECA14"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000000"/>
                <w:kern w:val="0"/>
                <w:lang w:val="es-ES_tradnl" w:eastAsia="es-CR"/>
                <w14:ligatures w14:val="none"/>
              </w:rPr>
            </w:pPr>
          </w:p>
          <w:p w14:paraId="3B9B1BEF"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p w14:paraId="488B824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tc>
        <w:tc>
          <w:tcPr>
            <w:tcW w:w="2410" w:type="dxa"/>
          </w:tcPr>
          <w:p w14:paraId="2B11D18F" w14:textId="77777777" w:rsidR="007B14D3" w:rsidRPr="007B14D3" w:rsidRDefault="007B14D3" w:rsidP="4C9C2619">
            <w:pPr>
              <w:widowControl w:val="0"/>
              <w:tabs>
                <w:tab w:val="center" w:pos="954"/>
              </w:tabs>
              <w:overflowPunct w:val="0"/>
              <w:autoSpaceDE w:val="0"/>
              <w:autoSpaceDN w:val="0"/>
              <w:adjustRightInd w:val="0"/>
              <w:spacing w:after="0" w:line="240" w:lineRule="auto"/>
              <w:rPr>
                <w:rFonts w:ascii="Calibri" w:eastAsia="Times New Roman" w:hAnsi="Calibri" w:cs="Arial"/>
                <w:b/>
                <w:bCs/>
                <w:kern w:val="0"/>
                <w:lang w:val="es-ES" w:eastAsia="es-CR"/>
                <w14:ligatures w14:val="none"/>
              </w:rPr>
            </w:pPr>
            <w:r w:rsidRPr="4C9C2619">
              <w:rPr>
                <w:rFonts w:ascii="Calibri" w:eastAsia="Times New Roman" w:hAnsi="Calibri" w:cs="Arial"/>
                <w:b/>
                <w:bCs/>
                <w:kern w:val="0"/>
                <w:lang w:val="es-ES" w:eastAsia="es-CR"/>
                <w14:ligatures w14:val="none"/>
              </w:rPr>
              <w:t>Unidad 3: Espiritualidad y cultura de los pueblos afro-latinos y caribeños</w:t>
            </w:r>
          </w:p>
          <w:p w14:paraId="65A126C6"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7259733C"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3.1 Explorar la cosmogonía y la espiritualidad de varios pueblos afro en Abya-Yala</w:t>
            </w:r>
          </w:p>
          <w:p w14:paraId="6CA6C7EB"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55507DC7"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419" w:eastAsia="es-CR"/>
                <w14:ligatures w14:val="none"/>
              </w:rPr>
              <w:t>3.2 Aportes y desafíos a la cultura regional</w:t>
            </w:r>
          </w:p>
          <w:p w14:paraId="0BF61B6E"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7B870028"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strike/>
                <w:kern w:val="0"/>
                <w:lang w:val="es-ES_tradnl" w:eastAsia="es-CR"/>
                <w14:ligatures w14:val="none"/>
              </w:rPr>
            </w:pPr>
          </w:p>
        </w:tc>
        <w:tc>
          <w:tcPr>
            <w:tcW w:w="2693" w:type="dxa"/>
          </w:tcPr>
          <w:p w14:paraId="051DFD64" w14:textId="77777777" w:rsidR="007B14D3" w:rsidRPr="007B14D3" w:rsidRDefault="007B14D3" w:rsidP="007B14D3">
            <w:pPr>
              <w:spacing w:after="0" w:line="240" w:lineRule="auto"/>
              <w:contextualSpacing/>
              <w:rPr>
                <w:rFonts w:ascii="Calibri" w:eastAsia="Times New Roman" w:hAnsi="Calibri" w:cs="Arial"/>
                <w:kern w:val="0"/>
                <w:lang w:val="es-ES_tradnl" w:eastAsia="es-CR"/>
                <w14:ligatures w14:val="none"/>
              </w:rPr>
            </w:pPr>
            <w:r w:rsidRPr="007B14D3">
              <w:rPr>
                <w:rFonts w:ascii="Calibri" w:eastAsia="Times New Roman" w:hAnsi="Calibri" w:cs="Arial"/>
                <w:color w:val="0070C0"/>
                <w:kern w:val="0"/>
                <w:lang w:val="es-ES_tradnl" w:eastAsia="es-CR"/>
                <w14:ligatures w14:val="none"/>
              </w:rPr>
              <w:lastRenderedPageBreak/>
              <w:t>Ruta de aprendizaje</w:t>
            </w:r>
          </w:p>
          <w:p w14:paraId="6A8E865F" w14:textId="77777777" w:rsidR="007B14D3" w:rsidRPr="007B14D3" w:rsidRDefault="007B14D3" w:rsidP="007B14D3">
            <w:pPr>
              <w:spacing w:after="0" w:line="240" w:lineRule="auto"/>
              <w:contextualSpacing/>
              <w:rPr>
                <w:rFonts w:ascii="Calibri" w:eastAsia="Times New Roman" w:hAnsi="Calibri" w:cs="Arial"/>
                <w:kern w:val="0"/>
                <w:lang w:val="es-ES_tradnl" w:eastAsia="es-CR"/>
                <w14:ligatures w14:val="none"/>
              </w:rPr>
            </w:pPr>
          </w:p>
          <w:p w14:paraId="78C5C85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Cruz Molina, Yolanda. “Capitulo III: La negritud”. En </w:t>
            </w:r>
            <w:proofErr w:type="spellStart"/>
            <w:r w:rsidRPr="007B14D3">
              <w:rPr>
                <w:rFonts w:ascii="Calibri" w:eastAsia="Times New Roman" w:hAnsi="Calibri" w:cs="Arial"/>
                <w:i/>
                <w:color w:val="000000"/>
                <w:kern w:val="0"/>
                <w:lang w:val="es-MX" w:eastAsia="es-MX"/>
                <w14:ligatures w14:val="none"/>
              </w:rPr>
              <w:t>Indianidad</w:t>
            </w:r>
            <w:proofErr w:type="spellEnd"/>
            <w:r w:rsidRPr="007B14D3">
              <w:rPr>
                <w:rFonts w:ascii="Calibri" w:eastAsia="Times New Roman" w:hAnsi="Calibri" w:cs="Arial"/>
                <w:i/>
                <w:color w:val="000000"/>
                <w:kern w:val="0"/>
                <w:lang w:val="es-MX" w:eastAsia="es-MX"/>
                <w14:ligatures w14:val="none"/>
              </w:rPr>
              <w:t xml:space="preserve"> y negritud en el repertorio americano</w:t>
            </w:r>
            <w:r w:rsidRPr="007B14D3">
              <w:rPr>
                <w:rFonts w:ascii="Calibri" w:eastAsia="Times New Roman" w:hAnsi="Calibri" w:cs="Arial"/>
                <w:color w:val="000000"/>
                <w:kern w:val="0"/>
                <w:lang w:val="es-MX" w:eastAsia="es-MX"/>
                <w14:ligatures w14:val="none"/>
              </w:rPr>
              <w:t>, 100-148.</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Heredia, C.R.: EUNA, 1999. </w:t>
            </w:r>
            <w:r w:rsidRPr="007B14D3">
              <w:rPr>
                <w:rFonts w:ascii="Calibri" w:eastAsia="Times New Roman" w:hAnsi="Calibri" w:cs="Arial"/>
                <w:bCs/>
                <w:color w:val="0070C0"/>
                <w:kern w:val="0"/>
                <w:lang w:eastAsia="es-MX"/>
                <w14:ligatures w14:val="none"/>
              </w:rPr>
              <w:t>(Clásico, última edición)</w:t>
            </w:r>
          </w:p>
          <w:p w14:paraId="56A2DB83" w14:textId="77777777" w:rsidR="007B14D3" w:rsidRPr="007B14D3" w:rsidRDefault="007B14D3" w:rsidP="007B14D3">
            <w:pPr>
              <w:spacing w:after="0" w:line="240" w:lineRule="auto"/>
              <w:contextualSpacing/>
              <w:rPr>
                <w:rFonts w:ascii="Calibri" w:eastAsia="Times New Roman" w:hAnsi="Calibri" w:cs="Arial"/>
                <w:kern w:val="0"/>
                <w:lang w:val="es-ES_tradnl" w:eastAsia="es-CR"/>
                <w14:ligatures w14:val="none"/>
              </w:rPr>
            </w:pPr>
          </w:p>
          <w:p w14:paraId="40CC15D1"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Duncan, Quince. “Diversidad étnica en el caribe”. En </w:t>
            </w:r>
            <w:r w:rsidRPr="007B14D3">
              <w:rPr>
                <w:rFonts w:ascii="Calibri" w:eastAsia="Times New Roman" w:hAnsi="Calibri" w:cs="Arial"/>
                <w:i/>
                <w:color w:val="000000"/>
                <w:kern w:val="0"/>
                <w:lang w:val="es-MX" w:eastAsia="es-MX"/>
                <w14:ligatures w14:val="none"/>
              </w:rPr>
              <w:t xml:space="preserve">Contra el </w:t>
            </w:r>
            <w:r w:rsidRPr="007B14D3">
              <w:rPr>
                <w:rFonts w:ascii="Calibri" w:eastAsia="Times New Roman" w:hAnsi="Calibri" w:cs="Arial"/>
                <w:i/>
                <w:color w:val="000000"/>
                <w:kern w:val="0"/>
                <w:lang w:val="es-MX" w:eastAsia="es-MX"/>
                <w14:ligatures w14:val="none"/>
              </w:rPr>
              <w:lastRenderedPageBreak/>
              <w:t xml:space="preserve">silencio: afrodescendientes y racismo en el Caribe Continental Hispánico, </w:t>
            </w:r>
            <w:r w:rsidRPr="007B14D3">
              <w:rPr>
                <w:rFonts w:ascii="Calibri" w:eastAsia="Times New Roman" w:hAnsi="Calibri" w:cs="Arial"/>
                <w:color w:val="000000"/>
                <w:kern w:val="0"/>
                <w:lang w:val="es-MX" w:eastAsia="es-MX"/>
                <w14:ligatures w14:val="none"/>
              </w:rPr>
              <w:t>8-16.</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San José, C.R.: EUNED, 2001. </w:t>
            </w:r>
            <w:r w:rsidRPr="007B14D3">
              <w:rPr>
                <w:rFonts w:ascii="Calibri" w:eastAsia="Times New Roman" w:hAnsi="Calibri" w:cs="Arial"/>
                <w:bCs/>
                <w:color w:val="0070C0"/>
                <w:kern w:val="0"/>
                <w:lang w:eastAsia="es-MX"/>
                <w14:ligatures w14:val="none"/>
              </w:rPr>
              <w:t>(Clásico, última edición)</w:t>
            </w:r>
          </w:p>
          <w:p w14:paraId="706DDBF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color w:val="0563C1"/>
                <w:kern w:val="0"/>
                <w:u w:val="single"/>
                <w:lang w:val="es-ES_tradnl" w:eastAsia="es-CR"/>
                <w14:ligatures w14:val="none"/>
              </w:rPr>
            </w:pPr>
          </w:p>
          <w:p w14:paraId="419CD29F"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r w:rsidRPr="007B14D3">
              <w:rPr>
                <w:rFonts w:ascii="Calibri" w:eastAsia="Times New Roman" w:hAnsi="Calibri" w:cs="Calibri"/>
                <w:b/>
                <w:kern w:val="0"/>
                <w:lang w:val="es-ES_tradnl" w:eastAsia="es-CR"/>
                <w14:ligatures w14:val="none"/>
              </w:rPr>
              <w:t>Material complementario</w:t>
            </w:r>
          </w:p>
          <w:p w14:paraId="3848FEA5"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p w14:paraId="635DD475"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Cs/>
                <w:color w:val="0563C1"/>
                <w:kern w:val="0"/>
                <w:u w:val="single"/>
                <w:lang w:eastAsia="es-CR"/>
                <w14:ligatures w14:val="none"/>
              </w:rPr>
            </w:pPr>
            <w:r w:rsidRPr="007B14D3">
              <w:rPr>
                <w:rFonts w:ascii="Calibri" w:eastAsia="Times New Roman" w:hAnsi="Calibri" w:cs="Arial"/>
                <w:bCs/>
                <w:kern w:val="0"/>
                <w:lang w:eastAsia="es-CR"/>
                <w14:ligatures w14:val="none"/>
              </w:rPr>
              <w:t xml:space="preserve">Flores Recinos, Martha. “Matriarcado garífuna: Ancestralidad, espiritualidad y lucha”. </w:t>
            </w:r>
            <w:r w:rsidRPr="007B14D3">
              <w:rPr>
                <w:rFonts w:ascii="Calibri" w:eastAsia="Times New Roman" w:hAnsi="Calibri" w:cs="Arial"/>
                <w:bCs/>
                <w:i/>
                <w:kern w:val="0"/>
                <w:lang w:eastAsia="es-CR"/>
                <w14:ligatures w14:val="none"/>
              </w:rPr>
              <w:t>Raíces: Revista Nicaragüense de Antropología</w:t>
            </w:r>
            <w:r w:rsidRPr="007B14D3">
              <w:rPr>
                <w:rFonts w:ascii="Calibri" w:eastAsia="Times New Roman" w:hAnsi="Calibri" w:cs="Arial"/>
                <w:bCs/>
                <w:kern w:val="0"/>
                <w:lang w:eastAsia="es-CR"/>
                <w14:ligatures w14:val="none"/>
              </w:rPr>
              <w:t xml:space="preserve">, n. 6 (2019): 33-42. Acceso el 18 de diciembre de 2020. </w:t>
            </w:r>
            <w:hyperlink r:id="rId323" w:history="1">
              <w:r w:rsidRPr="007B14D3">
                <w:rPr>
                  <w:rFonts w:ascii="Calibri" w:eastAsia="Times New Roman" w:hAnsi="Calibri" w:cs="Arial"/>
                  <w:bCs/>
                  <w:color w:val="0563C1"/>
                  <w:kern w:val="0"/>
                  <w:u w:val="single"/>
                  <w:lang w:eastAsia="es-CR"/>
                  <w14:ligatures w14:val="none"/>
                </w:rPr>
                <w:t>https://www.camjol.info/index.php/raices/article/view/9009/10164</w:t>
              </w:r>
            </w:hyperlink>
          </w:p>
          <w:p w14:paraId="21AC8883"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Cs/>
                <w:color w:val="0563C1"/>
                <w:kern w:val="0"/>
                <w:u w:val="single"/>
                <w:lang w:eastAsia="es-CR"/>
                <w14:ligatures w14:val="none"/>
              </w:rPr>
            </w:pPr>
          </w:p>
          <w:p w14:paraId="72FDD4AA"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Cs/>
                <w:color w:val="0563C1"/>
                <w:kern w:val="0"/>
                <w:lang w:eastAsia="es-CR"/>
                <w14:ligatures w14:val="none"/>
              </w:rPr>
            </w:pPr>
            <w:r w:rsidRPr="007B14D3">
              <w:rPr>
                <w:rFonts w:ascii="Calibri" w:eastAsia="Times New Roman" w:hAnsi="Calibri" w:cs="Arial"/>
                <w:bCs/>
                <w:color w:val="0563C1"/>
                <w:kern w:val="0"/>
                <w:lang w:eastAsia="es-CR"/>
                <w14:ligatures w14:val="none"/>
              </w:rPr>
              <w:t>Guía para la participación en un foro en la plataforma Moodle</w:t>
            </w:r>
          </w:p>
          <w:p w14:paraId="0ED47E1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Calibri"/>
                <w:b/>
                <w:kern w:val="0"/>
                <w:lang w:val="es-ES_tradnl" w:eastAsia="es-CR"/>
                <w14:ligatures w14:val="none"/>
              </w:rPr>
            </w:pPr>
          </w:p>
        </w:tc>
        <w:tc>
          <w:tcPr>
            <w:tcW w:w="3119" w:type="dxa"/>
          </w:tcPr>
          <w:p w14:paraId="08F6D7DC" w14:textId="77777777" w:rsidR="007B14D3" w:rsidRPr="007B14D3" w:rsidRDefault="007B14D3" w:rsidP="007B14D3">
            <w:pPr>
              <w:widowControl w:val="0"/>
              <w:numPr>
                <w:ilvl w:val="0"/>
                <w:numId w:val="163"/>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lastRenderedPageBreak/>
              <w:t>Elaboración personal de una investigación de un pueblo afro-latino en formato de presentación audiovisual y un ensayo analítico.</w:t>
            </w:r>
          </w:p>
          <w:p w14:paraId="00C3C4AE" w14:textId="77777777" w:rsidR="007B14D3" w:rsidRPr="007B14D3" w:rsidRDefault="007B14D3" w:rsidP="007B14D3">
            <w:pPr>
              <w:widowControl w:val="0"/>
              <w:numPr>
                <w:ilvl w:val="0"/>
                <w:numId w:val="163"/>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Participación en el foro temático: Reflexión comunitaria: ¿La esclavitud de ayer es responsable de la pobreza de hoy? Aportes de los pueblos afro-latinos al </w:t>
            </w:r>
            <w:r w:rsidRPr="007B14D3">
              <w:rPr>
                <w:rFonts w:ascii="Calibri" w:eastAsia="Calibri" w:hAnsi="Calibri" w:cs="Arial"/>
                <w:kern w:val="0"/>
                <w14:ligatures w14:val="none"/>
              </w:rPr>
              <w:lastRenderedPageBreak/>
              <w:t>desarrollo de la región (formativo).</w:t>
            </w:r>
          </w:p>
          <w:p w14:paraId="715CEBB3" w14:textId="77777777" w:rsidR="007B14D3" w:rsidRPr="007B14D3" w:rsidRDefault="007B14D3" w:rsidP="007B14D3">
            <w:pPr>
              <w:widowControl w:val="0"/>
              <w:numPr>
                <w:ilvl w:val="0"/>
                <w:numId w:val="163"/>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Realizar la lectura sobre la polifonía teológica.</w:t>
            </w:r>
          </w:p>
          <w:p w14:paraId="14CB1D7B" w14:textId="77777777" w:rsidR="007B14D3" w:rsidRPr="007B14D3" w:rsidRDefault="007B14D3" w:rsidP="007B14D3">
            <w:pPr>
              <w:widowControl w:val="0"/>
              <w:numPr>
                <w:ilvl w:val="0"/>
                <w:numId w:val="163"/>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Elaboración de un resumen sobre la polifonía teológica.</w:t>
            </w:r>
          </w:p>
        </w:tc>
      </w:tr>
      <w:tr w:rsidR="007B14D3" w:rsidRPr="007B14D3" w14:paraId="13F38519" w14:textId="77777777" w:rsidTr="4C9C2619">
        <w:trPr>
          <w:trHeight w:val="845"/>
          <w:jc w:val="center"/>
        </w:trPr>
        <w:tc>
          <w:tcPr>
            <w:tcW w:w="1129" w:type="dxa"/>
          </w:tcPr>
          <w:p w14:paraId="7E03A49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6CCD39B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7</w:t>
            </w:r>
          </w:p>
          <w:p w14:paraId="182D43F5"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1B94D351" w14:textId="77777777" w:rsidR="007B14D3" w:rsidRPr="007B14D3" w:rsidRDefault="007B14D3" w:rsidP="4C9C2619">
            <w:pPr>
              <w:widowControl w:val="0"/>
              <w:tabs>
                <w:tab w:val="center" w:pos="954"/>
              </w:tabs>
              <w:overflowPunct w:val="0"/>
              <w:autoSpaceDE w:val="0"/>
              <w:autoSpaceDN w:val="0"/>
              <w:adjustRightInd w:val="0"/>
              <w:spacing w:after="0" w:line="240" w:lineRule="auto"/>
              <w:rPr>
                <w:rFonts w:ascii="Calibri" w:eastAsia="Times New Roman" w:hAnsi="Calibri" w:cs="Arial"/>
                <w:b/>
                <w:bCs/>
                <w:kern w:val="0"/>
                <w:lang w:val="es-ES" w:eastAsia="es-CR"/>
                <w14:ligatures w14:val="none"/>
              </w:rPr>
            </w:pPr>
            <w:r w:rsidRPr="4C9C2619">
              <w:rPr>
                <w:rFonts w:ascii="Calibri" w:eastAsia="Times New Roman" w:hAnsi="Calibri" w:cs="Arial"/>
                <w:b/>
                <w:bCs/>
                <w:kern w:val="0"/>
                <w:lang w:val="es-ES" w:eastAsia="es-CR"/>
                <w14:ligatures w14:val="none"/>
              </w:rPr>
              <w:t>Unidad 3: Espiritualidad y cultura de los pueblos afro-latinos y caribeños</w:t>
            </w:r>
          </w:p>
          <w:p w14:paraId="377B7E94"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7B3B76E" w14:textId="77777777" w:rsidR="007B14D3" w:rsidRPr="007B14D3" w:rsidRDefault="007B14D3" w:rsidP="007B14D3">
            <w:pPr>
              <w:widowControl w:val="0"/>
              <w:tabs>
                <w:tab w:val="center" w:pos="954"/>
              </w:tabs>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3.1 Explorar la cosmogonía y la espiritualidad de varios pueblos afro en Abya-Yala</w:t>
            </w:r>
          </w:p>
          <w:p w14:paraId="6490AB42"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1D06FAF0"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kern w:val="0"/>
                <w:lang w:val="es-419" w:eastAsia="es-CR"/>
                <w14:ligatures w14:val="none"/>
              </w:rPr>
            </w:pPr>
            <w:r w:rsidRPr="007B14D3">
              <w:rPr>
                <w:rFonts w:ascii="Calibri" w:eastAsia="Times New Roman" w:hAnsi="Calibri" w:cs="Arial"/>
                <w:kern w:val="0"/>
                <w:lang w:val="es-419" w:eastAsia="es-CR"/>
                <w14:ligatures w14:val="none"/>
              </w:rPr>
              <w:t>3.2 Aportes y desafíos a la cultura regional</w:t>
            </w:r>
          </w:p>
        </w:tc>
        <w:tc>
          <w:tcPr>
            <w:tcW w:w="2693" w:type="dxa"/>
          </w:tcPr>
          <w:p w14:paraId="2FD59B9C"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30BF820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3DEBC53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“Entrevista al Papa durante el vuelo a México”, “Pueblos indios e iglesia”, “Juan Pablo II, indígenas y teología”, “Culturas indígenas y evangelio”, “Dificultades de la teología india”.</w:t>
            </w:r>
            <w:r w:rsidRPr="007B14D3">
              <w:rPr>
                <w:rFonts w:ascii="Calibri" w:eastAsia="Times New Roman" w:hAnsi="Calibri" w:cs="Arial"/>
                <w:color w:val="FF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En </w:t>
            </w:r>
            <w:r w:rsidRPr="007B14D3">
              <w:rPr>
                <w:rFonts w:ascii="Calibri" w:eastAsia="Times New Roman" w:hAnsi="Calibri" w:cs="Arial"/>
                <w:i/>
                <w:color w:val="000000"/>
                <w:kern w:val="0"/>
                <w:lang w:val="es-MX" w:eastAsia="es-MX"/>
                <w14:ligatures w14:val="none"/>
              </w:rPr>
              <w:t>Teología india hacia el tercer milenio: materiales de estudio y reflexión</w:t>
            </w:r>
            <w:r w:rsidRPr="007B14D3">
              <w:rPr>
                <w:rFonts w:ascii="Calibri" w:eastAsia="Times New Roman" w:hAnsi="Calibri" w:cs="Arial"/>
                <w:color w:val="000000"/>
                <w:kern w:val="0"/>
                <w:lang w:val="es-MX" w:eastAsia="es-MX"/>
                <w14:ligatures w14:val="none"/>
              </w:rPr>
              <w:t>, 5-91.</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México: Centro Nacional de Ayuda a Misiones Indígenas, 1999. </w:t>
            </w:r>
            <w:r w:rsidRPr="007B14D3">
              <w:rPr>
                <w:rFonts w:ascii="Calibri" w:eastAsia="Times New Roman" w:hAnsi="Calibri" w:cs="Arial"/>
                <w:bCs/>
                <w:color w:val="0070C0"/>
                <w:kern w:val="0"/>
                <w:lang w:eastAsia="es-MX"/>
                <w14:ligatures w14:val="none"/>
              </w:rPr>
              <w:t>(Clásico, última edición)</w:t>
            </w:r>
          </w:p>
          <w:p w14:paraId="18F8DEAA"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1E82EEE2"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201326C0"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19C254A4"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r w:rsidRPr="007B14D3">
              <w:rPr>
                <w:rFonts w:ascii="Calibri" w:eastAsia="Times New Roman" w:hAnsi="Calibri" w:cs="Arial"/>
                <w:bCs/>
                <w:color w:val="0070C0"/>
                <w:kern w:val="0"/>
                <w:lang w:eastAsia="es-CR"/>
                <w14:ligatures w14:val="none"/>
              </w:rPr>
              <w:t>Guía para la participación en un foro en la plataforma Moodle</w:t>
            </w:r>
          </w:p>
          <w:p w14:paraId="4F35D698"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p>
          <w:p w14:paraId="5F7655D7" w14:textId="77777777" w:rsidR="007B14D3" w:rsidRPr="007B14D3" w:rsidRDefault="007B14D3" w:rsidP="007B14D3">
            <w:pPr>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en un glosario en la plataforma Moodle</w:t>
            </w:r>
          </w:p>
          <w:p w14:paraId="59C80407" w14:textId="77777777" w:rsidR="007B14D3" w:rsidRPr="007B14D3" w:rsidRDefault="007B14D3" w:rsidP="007B14D3">
            <w:pPr>
              <w:widowControl w:val="0"/>
              <w:overflowPunct w:val="0"/>
              <w:autoSpaceDE w:val="0"/>
              <w:autoSpaceDN w:val="0"/>
              <w:adjustRightInd w:val="0"/>
              <w:spacing w:after="0" w:line="240" w:lineRule="auto"/>
              <w:ind w:left="45" w:hanging="97"/>
              <w:rPr>
                <w:rFonts w:ascii="Calibri" w:eastAsia="Times New Roman" w:hAnsi="Calibri" w:cs="Arial"/>
                <w:color w:val="000000"/>
                <w:kern w:val="0"/>
                <w:lang w:val="es-ES_tradnl" w:eastAsia="es-CR"/>
                <w14:ligatures w14:val="none"/>
              </w:rPr>
            </w:pPr>
          </w:p>
          <w:p w14:paraId="694F6219" w14:textId="77777777" w:rsidR="007B14D3" w:rsidRPr="007B14D3" w:rsidRDefault="007B14D3" w:rsidP="007B14D3">
            <w:pPr>
              <w:widowControl w:val="0"/>
              <w:overflowPunct w:val="0"/>
              <w:autoSpaceDE w:val="0"/>
              <w:autoSpaceDN w:val="0"/>
              <w:adjustRightInd w:val="0"/>
              <w:spacing w:before="120" w:after="120" w:line="240" w:lineRule="auto"/>
              <w:rPr>
                <w:rFonts w:ascii="Calibri" w:eastAsia="Times New Roman" w:hAnsi="Calibri" w:cs="Calibri"/>
                <w:b/>
                <w:kern w:val="0"/>
                <w:sz w:val="24"/>
                <w:szCs w:val="20"/>
                <w:lang w:val="es-ES_tradnl" w:eastAsia="es-CR"/>
                <w14:ligatures w14:val="none"/>
              </w:rPr>
            </w:pPr>
          </w:p>
        </w:tc>
        <w:tc>
          <w:tcPr>
            <w:tcW w:w="3119" w:type="dxa"/>
          </w:tcPr>
          <w:p w14:paraId="257345F4" w14:textId="77777777" w:rsidR="007B14D3" w:rsidRPr="007B14D3" w:rsidRDefault="007B14D3" w:rsidP="007B14D3">
            <w:pPr>
              <w:widowControl w:val="0"/>
              <w:numPr>
                <w:ilvl w:val="0"/>
                <w:numId w:val="164"/>
              </w:numPr>
              <w:overflowPunct w:val="0"/>
              <w:autoSpaceDE w:val="0"/>
              <w:autoSpaceDN w:val="0"/>
              <w:adjustRightInd w:val="0"/>
              <w:spacing w:before="120" w:after="0" w:line="276" w:lineRule="auto"/>
              <w:ind w:left="326"/>
              <w:contextualSpacing/>
              <w:rPr>
                <w:rFonts w:ascii="Calibri" w:eastAsia="Calibri" w:hAnsi="Calibri" w:cs="Calibri"/>
                <w:bCs/>
                <w:kern w:val="0"/>
                <w14:ligatures w14:val="none"/>
              </w:rPr>
            </w:pPr>
            <w:r w:rsidRPr="007B14D3">
              <w:rPr>
                <w:rFonts w:ascii="Calibri" w:eastAsia="Calibri" w:hAnsi="Calibri" w:cs="Calibri"/>
                <w:bCs/>
                <w:kern w:val="0"/>
                <w14:ligatures w14:val="none"/>
              </w:rPr>
              <w:lastRenderedPageBreak/>
              <w:t xml:space="preserve">Participación en el foro temático: Reflexión comunitaria: Desafíos y aportes de lo sagrado de las culturas de la región sobre la base de la lectura de Duncan </w:t>
            </w:r>
            <w:r w:rsidRPr="007B14D3">
              <w:rPr>
                <w:rFonts w:ascii="Calibri" w:eastAsia="Calibri" w:hAnsi="Calibri" w:cs="Arial"/>
                <w:kern w:val="0"/>
                <w14:ligatures w14:val="none"/>
              </w:rPr>
              <w:t>(formativo)</w:t>
            </w:r>
            <w:r w:rsidRPr="007B14D3">
              <w:rPr>
                <w:rFonts w:ascii="Calibri" w:eastAsia="Calibri" w:hAnsi="Calibri" w:cs="Calibri"/>
                <w:bCs/>
                <w:kern w:val="0"/>
                <w14:ligatures w14:val="none"/>
              </w:rPr>
              <w:t>. Dentro de este espacio también se reflexionará sobre lo aprendido en estas dos unidades.</w:t>
            </w:r>
          </w:p>
          <w:p w14:paraId="524F788F" w14:textId="77777777" w:rsidR="007B14D3" w:rsidRPr="007B14D3" w:rsidRDefault="007B14D3" w:rsidP="007B14D3">
            <w:pPr>
              <w:widowControl w:val="0"/>
              <w:numPr>
                <w:ilvl w:val="0"/>
                <w:numId w:val="164"/>
              </w:numPr>
              <w:overflowPunct w:val="0"/>
              <w:autoSpaceDE w:val="0"/>
              <w:autoSpaceDN w:val="0"/>
              <w:adjustRightInd w:val="0"/>
              <w:spacing w:before="120" w:after="0" w:line="276" w:lineRule="auto"/>
              <w:ind w:left="326"/>
              <w:contextualSpacing/>
              <w:rPr>
                <w:rFonts w:ascii="Calibri" w:eastAsia="Calibri" w:hAnsi="Calibri" w:cs="Calibri"/>
                <w:bCs/>
                <w:kern w:val="0"/>
                <w14:ligatures w14:val="none"/>
              </w:rPr>
            </w:pPr>
            <w:r w:rsidRPr="007B14D3">
              <w:rPr>
                <w:rFonts w:ascii="Calibri" w:eastAsia="Calibri" w:hAnsi="Calibri" w:cs="Calibri"/>
                <w:bCs/>
                <w:kern w:val="0"/>
                <w14:ligatures w14:val="none"/>
              </w:rPr>
              <w:t xml:space="preserve">Elaboración grupal (colectiva) de un glosario, según la guía aportada por la persona docente, sobre el vocabulario aprendido en las unidades 1, 2 y 3. Se determinarán por lo menos 15 conceptos. Al finalizar la </w:t>
            </w:r>
            <w:r w:rsidRPr="007B14D3">
              <w:rPr>
                <w:rFonts w:ascii="Calibri" w:eastAsia="Calibri" w:hAnsi="Calibri" w:cs="Calibri"/>
                <w:bCs/>
                <w:kern w:val="0"/>
                <w14:ligatures w14:val="none"/>
              </w:rPr>
              <w:lastRenderedPageBreak/>
              <w:t>sesión se socializarán los glosarios como cierre de las unidades 2 y 3.</w:t>
            </w:r>
          </w:p>
          <w:p w14:paraId="4DD0D466" w14:textId="77777777" w:rsidR="007B14D3" w:rsidRPr="007B14D3" w:rsidRDefault="007B14D3" w:rsidP="007B14D3">
            <w:pPr>
              <w:widowControl w:val="0"/>
              <w:numPr>
                <w:ilvl w:val="0"/>
                <w:numId w:val="164"/>
              </w:numPr>
              <w:overflowPunct w:val="0"/>
              <w:autoSpaceDE w:val="0"/>
              <w:autoSpaceDN w:val="0"/>
              <w:adjustRightInd w:val="0"/>
              <w:spacing w:before="120" w:after="0" w:line="276" w:lineRule="auto"/>
              <w:ind w:left="326"/>
              <w:contextualSpacing/>
              <w:rPr>
                <w:rFonts w:ascii="Calibri" w:eastAsia="Calibri" w:hAnsi="Calibri" w:cs="Calibri"/>
                <w:bCs/>
                <w:kern w:val="0"/>
                <w14:ligatures w14:val="none"/>
              </w:rPr>
            </w:pPr>
            <w:r w:rsidRPr="007B14D3">
              <w:rPr>
                <w:rFonts w:ascii="Calibri" w:eastAsia="Calibri" w:hAnsi="Calibri" w:cs="Calibri"/>
                <w:bCs/>
                <w:kern w:val="0"/>
                <w14:ligatures w14:val="none"/>
              </w:rPr>
              <w:t xml:space="preserve">Distribución de lecturas sobre el diálogo </w:t>
            </w:r>
            <w:proofErr w:type="spellStart"/>
            <w:r w:rsidRPr="007B14D3">
              <w:rPr>
                <w:rFonts w:ascii="Calibri" w:eastAsia="Calibri" w:hAnsi="Calibri" w:cs="Calibri"/>
                <w:bCs/>
                <w:kern w:val="0"/>
                <w14:ligatures w14:val="none"/>
              </w:rPr>
              <w:t>inter-religioso</w:t>
            </w:r>
            <w:proofErr w:type="spellEnd"/>
            <w:r w:rsidRPr="007B14D3">
              <w:rPr>
                <w:rFonts w:ascii="Calibri" w:eastAsia="Calibri" w:hAnsi="Calibri" w:cs="Calibri"/>
                <w:bCs/>
                <w:kern w:val="0"/>
                <w14:ligatures w14:val="none"/>
              </w:rPr>
              <w:t xml:space="preserve">. Se crean cuatro grupos: dos grupos presentarán las posturas y su </w:t>
            </w:r>
            <w:proofErr w:type="spellStart"/>
            <w:r w:rsidRPr="007B14D3">
              <w:rPr>
                <w:rFonts w:ascii="Calibri" w:eastAsia="Calibri" w:hAnsi="Calibri" w:cs="Calibri"/>
                <w:bCs/>
                <w:kern w:val="0"/>
                <w14:ligatures w14:val="none"/>
              </w:rPr>
              <w:t>auto-crítica</w:t>
            </w:r>
            <w:proofErr w:type="spellEnd"/>
            <w:r w:rsidRPr="007B14D3">
              <w:rPr>
                <w:rFonts w:ascii="Calibri" w:eastAsia="Calibri" w:hAnsi="Calibri" w:cs="Calibri"/>
                <w:bCs/>
                <w:kern w:val="0"/>
                <w14:ligatures w14:val="none"/>
              </w:rPr>
              <w:t xml:space="preserve"> sobre las perspectivas de los autores que leyeron y los otros dos grupos, a la luz de las lecturas y del debate presentarán una reflexión sobre los “Nuevos horizontes de la </w:t>
            </w:r>
            <w:proofErr w:type="spellStart"/>
            <w:r w:rsidRPr="007B14D3">
              <w:rPr>
                <w:rFonts w:ascii="Calibri" w:eastAsia="Calibri" w:hAnsi="Calibri" w:cs="Calibri"/>
                <w:bCs/>
                <w:kern w:val="0"/>
                <w14:ligatures w14:val="none"/>
              </w:rPr>
              <w:t>eukumene</w:t>
            </w:r>
            <w:proofErr w:type="spellEnd"/>
            <w:r w:rsidRPr="007B14D3">
              <w:rPr>
                <w:rFonts w:ascii="Calibri" w:eastAsia="Calibri" w:hAnsi="Calibri" w:cs="Calibri"/>
                <w:bCs/>
                <w:kern w:val="0"/>
                <w14:ligatures w14:val="none"/>
              </w:rPr>
              <w:t>”. Cada grupo con base en la lectura se prepara para un debate.</w:t>
            </w:r>
          </w:p>
          <w:p w14:paraId="5F712DB6" w14:textId="77777777" w:rsidR="007B14D3" w:rsidRPr="007B14D3" w:rsidRDefault="007B14D3" w:rsidP="007B14D3">
            <w:pPr>
              <w:spacing w:line="276" w:lineRule="auto"/>
              <w:ind w:left="326"/>
              <w:contextualSpacing/>
              <w:rPr>
                <w:rFonts w:ascii="Calibri" w:eastAsia="Calibri" w:hAnsi="Calibri" w:cs="Calibri"/>
                <w:bCs/>
                <w:kern w:val="0"/>
                <w14:ligatures w14:val="none"/>
              </w:rPr>
            </w:pPr>
          </w:p>
        </w:tc>
      </w:tr>
      <w:tr w:rsidR="007B14D3" w:rsidRPr="007B14D3" w14:paraId="50C1884C" w14:textId="77777777" w:rsidTr="4C9C2619">
        <w:trPr>
          <w:jc w:val="center"/>
        </w:trPr>
        <w:tc>
          <w:tcPr>
            <w:tcW w:w="1129" w:type="dxa"/>
          </w:tcPr>
          <w:p w14:paraId="0045CBB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FF0000"/>
                <w:kern w:val="0"/>
                <w:lang w:val="es-ES_tradnl" w:eastAsia="es-CR"/>
                <w14:ligatures w14:val="none"/>
              </w:rPr>
            </w:pPr>
          </w:p>
          <w:p w14:paraId="10A5688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8</w:t>
            </w:r>
          </w:p>
          <w:p w14:paraId="34A7C13C"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000000"/>
                <w:kern w:val="0"/>
                <w:lang w:val="es-ES_tradnl" w:eastAsia="es-CR"/>
                <w14:ligatures w14:val="none"/>
              </w:rPr>
            </w:pPr>
          </w:p>
          <w:p w14:paraId="22ACF9D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tc>
        <w:tc>
          <w:tcPr>
            <w:tcW w:w="2410" w:type="dxa"/>
          </w:tcPr>
          <w:p w14:paraId="60FA61E2"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008A09B3"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4AA2CF66"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proofErr w:type="spellStart"/>
            <w:r w:rsidRPr="4C9C2619">
              <w:rPr>
                <w:rFonts w:ascii="Calibri" w:eastAsia="Times New Roman" w:hAnsi="Calibri" w:cs="Arial"/>
                <w:i/>
                <w:iCs/>
                <w:kern w:val="0"/>
                <w:lang w:val="es-ES" w:eastAsia="es-CR"/>
                <w14:ligatures w14:val="none"/>
              </w:rPr>
              <w:t>eukumene</w:t>
            </w:r>
            <w:proofErr w:type="spellEnd"/>
            <w:r w:rsidRPr="4C9C2619">
              <w:rPr>
                <w:rFonts w:ascii="Calibri" w:eastAsia="Times New Roman" w:hAnsi="Calibri" w:cs="Arial"/>
                <w:kern w:val="0"/>
                <w:lang w:val="es-ES" w:eastAsia="es-CR"/>
                <w14:ligatures w14:val="none"/>
              </w:rPr>
              <w:t xml:space="preserve"> y la solidaridad a través del diálogo interreligioso</w:t>
            </w:r>
          </w:p>
          <w:p w14:paraId="62FB5ECF"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0711FF0"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6EE313E0"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187E627A"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43949D97"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376E7755"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proofErr w:type="spellStart"/>
            <w:r w:rsidRPr="007B14D3">
              <w:rPr>
                <w:rFonts w:ascii="Calibri" w:eastAsia="Times New Roman" w:hAnsi="Calibri" w:cs="Arial"/>
                <w:color w:val="000000"/>
                <w:kern w:val="0"/>
                <w:lang w:val="es-MX" w:eastAsia="es-MX"/>
                <w14:ligatures w14:val="none"/>
              </w:rPr>
              <w:t>Otzoy</w:t>
            </w:r>
            <w:proofErr w:type="spellEnd"/>
            <w:r w:rsidRPr="007B14D3">
              <w:rPr>
                <w:rFonts w:ascii="Calibri" w:eastAsia="Times New Roman" w:hAnsi="Calibri" w:cs="Arial"/>
                <w:color w:val="000000"/>
                <w:kern w:val="0"/>
                <w:lang w:val="es-MX" w:eastAsia="es-MX"/>
                <w14:ligatures w14:val="none"/>
              </w:rPr>
              <w:t xml:space="preserve">, Antonio. “Valorando la oralidad”. En </w:t>
            </w:r>
            <w:r w:rsidRPr="007B14D3">
              <w:rPr>
                <w:rFonts w:ascii="Calibri" w:eastAsia="Times New Roman" w:hAnsi="Calibri" w:cs="Arial"/>
                <w:i/>
                <w:color w:val="000000"/>
                <w:kern w:val="0"/>
                <w:lang w:val="es-MX" w:eastAsia="es-MX"/>
                <w14:ligatures w14:val="none"/>
              </w:rPr>
              <w:t>Escuchando a Dios desde las culturas indígenas</w:t>
            </w:r>
            <w:r w:rsidRPr="007B14D3">
              <w:rPr>
                <w:rFonts w:ascii="Calibri" w:eastAsia="Times New Roman" w:hAnsi="Calibri" w:cs="Arial"/>
                <w:color w:val="000000"/>
                <w:kern w:val="0"/>
                <w:lang w:val="es-MX" w:eastAsia="es-MX"/>
                <w14:ligatures w14:val="none"/>
              </w:rPr>
              <w:t>, 137-210.</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San José, C.R.: Editorial SEBILA, 2013. </w:t>
            </w:r>
            <w:r w:rsidRPr="007B14D3">
              <w:rPr>
                <w:rFonts w:ascii="Calibri" w:eastAsia="Times New Roman" w:hAnsi="Calibri" w:cs="Arial"/>
                <w:bCs/>
                <w:color w:val="0070C0"/>
                <w:kern w:val="0"/>
                <w:lang w:eastAsia="es-MX"/>
                <w14:ligatures w14:val="none"/>
              </w:rPr>
              <w:t>(Clásico, última edición)</w:t>
            </w:r>
          </w:p>
          <w:p w14:paraId="23E4CAAD"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1B401DAD"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05BF2CA0"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121FA123"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 xml:space="preserve">Guía para la participación mediante la herramienta Big Blue </w:t>
            </w:r>
            <w:proofErr w:type="spellStart"/>
            <w:r w:rsidRPr="007B14D3">
              <w:rPr>
                <w:rFonts w:ascii="Calibri" w:eastAsia="Times New Roman" w:hAnsi="Calibri" w:cs="Arial"/>
                <w:bCs/>
                <w:color w:val="0070C0"/>
                <w:kern w:val="0"/>
                <w:lang w:eastAsia="es-CR"/>
                <w14:ligatures w14:val="none"/>
              </w:rPr>
              <w:t>Button</w:t>
            </w:r>
            <w:proofErr w:type="spellEnd"/>
            <w:r w:rsidRPr="007B14D3">
              <w:rPr>
                <w:rFonts w:ascii="Calibri" w:eastAsia="Times New Roman" w:hAnsi="Calibri" w:cs="Arial"/>
                <w:bCs/>
                <w:color w:val="0070C0"/>
                <w:kern w:val="0"/>
                <w:lang w:eastAsia="es-CR"/>
                <w14:ligatures w14:val="none"/>
              </w:rPr>
              <w:t xml:space="preserve"> en la plataforma Moodle</w:t>
            </w:r>
          </w:p>
          <w:p w14:paraId="6275793B"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noProof/>
                <w:kern w:val="0"/>
                <w:lang w:val="es-ES" w:eastAsia="es-MX"/>
                <w14:ligatures w14:val="none"/>
              </w:rPr>
            </w:pPr>
          </w:p>
        </w:tc>
        <w:tc>
          <w:tcPr>
            <w:tcW w:w="3119" w:type="dxa"/>
          </w:tcPr>
          <w:p w14:paraId="4FB8AB24" w14:textId="77777777" w:rsidR="007B14D3" w:rsidRPr="007B14D3" w:rsidRDefault="007B14D3" w:rsidP="007B14D3">
            <w:pPr>
              <w:widowControl w:val="0"/>
              <w:numPr>
                <w:ilvl w:val="0"/>
                <w:numId w:val="165"/>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Debate 1 en un encuentro sincrónico virtual: dos de los cuatro grupos se presentan para desarrollar el tema sobre diálogo </w:t>
            </w:r>
            <w:proofErr w:type="spellStart"/>
            <w:r w:rsidRPr="007B14D3">
              <w:rPr>
                <w:rFonts w:ascii="Calibri" w:eastAsia="Calibri" w:hAnsi="Calibri" w:cs="Arial"/>
                <w:kern w:val="0"/>
                <w14:ligatures w14:val="none"/>
              </w:rPr>
              <w:t>inter-religioso</w:t>
            </w:r>
            <w:proofErr w:type="spellEnd"/>
            <w:r w:rsidRPr="007B14D3">
              <w:rPr>
                <w:rFonts w:ascii="Calibri" w:eastAsia="Calibri" w:hAnsi="Calibri" w:cs="Arial"/>
                <w:kern w:val="0"/>
                <w14:ligatures w14:val="none"/>
              </w:rPr>
              <w:t>, siguiendo las indicaciones sobre el debate (formativo).</w:t>
            </w:r>
          </w:p>
          <w:p w14:paraId="7A8A74B1" w14:textId="77777777" w:rsidR="007B14D3" w:rsidRPr="007B14D3" w:rsidRDefault="007B14D3" w:rsidP="007B14D3">
            <w:pPr>
              <w:widowControl w:val="0"/>
              <w:numPr>
                <w:ilvl w:val="0"/>
                <w:numId w:val="165"/>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Debate 2 en el mismo encuentro sincrónico virtual: los otros dos grupos se van preparando para que a la luz del debate y de lo leído por ellos presentarán el tema “Nuevos horizontes de la </w:t>
            </w:r>
            <w:proofErr w:type="spellStart"/>
            <w:r w:rsidRPr="007B14D3">
              <w:rPr>
                <w:rFonts w:ascii="Calibri" w:eastAsia="Calibri" w:hAnsi="Calibri" w:cs="Arial"/>
                <w:kern w:val="0"/>
                <w14:ligatures w14:val="none"/>
              </w:rPr>
              <w:t>eukumene</w:t>
            </w:r>
            <w:proofErr w:type="spellEnd"/>
            <w:r w:rsidRPr="007B14D3">
              <w:rPr>
                <w:rFonts w:ascii="Calibri" w:eastAsia="Calibri" w:hAnsi="Calibri" w:cs="Arial"/>
                <w:kern w:val="0"/>
                <w14:ligatures w14:val="none"/>
              </w:rPr>
              <w:t xml:space="preserve">” (formativo). </w:t>
            </w:r>
          </w:p>
          <w:p w14:paraId="2CABAABB" w14:textId="77777777" w:rsidR="007B14D3" w:rsidRPr="007B14D3" w:rsidRDefault="007B14D3" w:rsidP="007B14D3">
            <w:pPr>
              <w:widowControl w:val="0"/>
              <w:numPr>
                <w:ilvl w:val="0"/>
                <w:numId w:val="165"/>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Al finalizar los debates se realizará un análisis sobre la experiencia vivida y el aprendizaje recibido.</w:t>
            </w:r>
          </w:p>
        </w:tc>
      </w:tr>
      <w:tr w:rsidR="007B14D3" w:rsidRPr="007B14D3" w14:paraId="59662443" w14:textId="77777777" w:rsidTr="4C9C2619">
        <w:trPr>
          <w:trHeight w:val="1169"/>
          <w:jc w:val="center"/>
        </w:trPr>
        <w:tc>
          <w:tcPr>
            <w:tcW w:w="1129" w:type="dxa"/>
          </w:tcPr>
          <w:p w14:paraId="2B96A69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4D811C8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9</w:t>
            </w:r>
          </w:p>
          <w:p w14:paraId="6D2F8F86"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54A201E3"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662F4531"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3E7E5FF0"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proofErr w:type="spellStart"/>
            <w:r w:rsidRPr="4C9C2619">
              <w:rPr>
                <w:rFonts w:ascii="Calibri" w:eastAsia="Times New Roman" w:hAnsi="Calibri" w:cs="Arial"/>
                <w:i/>
                <w:iCs/>
                <w:kern w:val="0"/>
                <w:lang w:val="es-ES" w:eastAsia="es-CR"/>
                <w14:ligatures w14:val="none"/>
              </w:rPr>
              <w:t>eukumene</w:t>
            </w:r>
            <w:proofErr w:type="spellEnd"/>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y la solidaridad a través del diálogo interreligioso</w:t>
            </w:r>
          </w:p>
          <w:p w14:paraId="11334CB0"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7811AEE3"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596F281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1861A3F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color w:val="000000"/>
                <w:kern w:val="0"/>
                <w:lang w:val="es-MX" w:eastAsia="es-MX"/>
                <w14:ligatures w14:val="none"/>
              </w:rPr>
            </w:pPr>
            <w:r w:rsidRPr="007B14D3">
              <w:rPr>
                <w:rFonts w:ascii="Calibri" w:eastAsia="Times New Roman" w:hAnsi="Calibri" w:cs="Arial"/>
                <w:color w:val="0070C0"/>
                <w:kern w:val="0"/>
                <w:lang w:val="es-MX" w:eastAsia="es-MX"/>
                <w14:ligatures w14:val="none"/>
              </w:rPr>
              <w:t>Ruta de aprendizaje</w:t>
            </w:r>
          </w:p>
          <w:p w14:paraId="74DB271E"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color w:val="000000"/>
                <w:kern w:val="0"/>
                <w:lang w:val="es-MX" w:eastAsia="es-MX"/>
                <w14:ligatures w14:val="none"/>
              </w:rPr>
            </w:pPr>
          </w:p>
          <w:p w14:paraId="1678B08C"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Duncan, Quince. “¿Existen las razas?”. En </w:t>
            </w:r>
            <w:r w:rsidRPr="007B14D3">
              <w:rPr>
                <w:rFonts w:ascii="Calibri" w:eastAsia="Times New Roman" w:hAnsi="Calibri" w:cs="Arial"/>
                <w:i/>
                <w:color w:val="000000"/>
                <w:kern w:val="0"/>
                <w:lang w:val="es-MX" w:eastAsia="es-MX"/>
                <w14:ligatures w14:val="none"/>
              </w:rPr>
              <w:t xml:space="preserve">Contra el silencio: afrodescendientes y racismo en el Caribe Continental Hispánico, </w:t>
            </w:r>
            <w:r w:rsidRPr="007B14D3">
              <w:rPr>
                <w:rFonts w:ascii="Calibri" w:eastAsia="Times New Roman" w:hAnsi="Calibri" w:cs="Arial"/>
                <w:color w:val="000000"/>
                <w:kern w:val="0"/>
                <w:lang w:val="es-MX" w:eastAsia="es-MX"/>
                <w14:ligatures w14:val="none"/>
              </w:rPr>
              <w:t>19-55.</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San José, C.R.: EUNED, 2001. </w:t>
            </w:r>
            <w:r w:rsidRPr="007B14D3">
              <w:rPr>
                <w:rFonts w:ascii="Calibri" w:eastAsia="Times New Roman" w:hAnsi="Calibri" w:cs="Arial"/>
                <w:bCs/>
                <w:color w:val="0070C0"/>
                <w:kern w:val="0"/>
                <w:lang w:eastAsia="es-MX"/>
                <w14:ligatures w14:val="none"/>
              </w:rPr>
              <w:t>(Clásico, última edición)</w:t>
            </w:r>
          </w:p>
          <w:p w14:paraId="2F19AE1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color w:val="000000"/>
                <w:kern w:val="0"/>
                <w:lang w:val="es-MX" w:eastAsia="es-MX"/>
                <w14:ligatures w14:val="none"/>
              </w:rPr>
            </w:pPr>
          </w:p>
          <w:p w14:paraId="0737BFC2"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
                <w:color w:val="0070C0"/>
                <w:kern w:val="0"/>
                <w:lang w:eastAsia="es-MX"/>
                <w14:ligatures w14:val="none"/>
              </w:rPr>
            </w:pPr>
            <w:r w:rsidRPr="007B14D3">
              <w:rPr>
                <w:rFonts w:ascii="Calibri" w:eastAsia="Times New Roman" w:hAnsi="Calibri" w:cs="Arial"/>
                <w:b/>
                <w:color w:val="0070C0"/>
                <w:kern w:val="0"/>
                <w:lang w:eastAsia="es-MX"/>
                <w14:ligatures w14:val="none"/>
              </w:rPr>
              <w:t>Material complementario</w:t>
            </w:r>
          </w:p>
          <w:p w14:paraId="00C43971"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
                <w:color w:val="0070C0"/>
                <w:kern w:val="0"/>
                <w:lang w:eastAsia="es-MX"/>
                <w14:ligatures w14:val="none"/>
              </w:rPr>
            </w:pPr>
          </w:p>
          <w:p w14:paraId="02DC4DDD"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0000"/>
                <w:kern w:val="0"/>
                <w:lang w:val="es-MX" w:eastAsia="es-MX"/>
                <w14:ligatures w14:val="none"/>
              </w:rPr>
            </w:pPr>
            <w:r w:rsidRPr="007B14D3">
              <w:rPr>
                <w:rFonts w:ascii="Calibri" w:eastAsia="Times New Roman" w:hAnsi="Calibri" w:cs="Arial"/>
                <w:bCs/>
                <w:color w:val="0070C0"/>
                <w:kern w:val="0"/>
                <w:lang w:eastAsia="es-MX"/>
                <w14:ligatures w14:val="none"/>
              </w:rPr>
              <w:t xml:space="preserve">Guía para la participación mediante la herramienta Big Blue </w:t>
            </w:r>
            <w:proofErr w:type="spellStart"/>
            <w:r w:rsidRPr="007B14D3">
              <w:rPr>
                <w:rFonts w:ascii="Calibri" w:eastAsia="Times New Roman" w:hAnsi="Calibri" w:cs="Arial"/>
                <w:bCs/>
                <w:color w:val="0070C0"/>
                <w:kern w:val="0"/>
                <w:lang w:eastAsia="es-MX"/>
                <w14:ligatures w14:val="none"/>
              </w:rPr>
              <w:t>Button</w:t>
            </w:r>
            <w:proofErr w:type="spellEnd"/>
            <w:r w:rsidRPr="007B14D3">
              <w:rPr>
                <w:rFonts w:ascii="Calibri" w:eastAsia="Times New Roman" w:hAnsi="Calibri" w:cs="Arial"/>
                <w:bCs/>
                <w:color w:val="0070C0"/>
                <w:kern w:val="0"/>
                <w:lang w:eastAsia="es-MX"/>
                <w14:ligatures w14:val="none"/>
              </w:rPr>
              <w:t xml:space="preserve"> en la plataforma Moodle</w:t>
            </w:r>
          </w:p>
          <w:p w14:paraId="58A3D866"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color w:val="000000"/>
                <w:kern w:val="0"/>
                <w:lang w:val="es-MX" w:eastAsia="es-MX"/>
                <w14:ligatures w14:val="none"/>
              </w:rPr>
            </w:pPr>
          </w:p>
        </w:tc>
        <w:tc>
          <w:tcPr>
            <w:tcW w:w="3119" w:type="dxa"/>
          </w:tcPr>
          <w:p w14:paraId="20B1A07A" w14:textId="77777777" w:rsidR="007B14D3" w:rsidRPr="007B14D3" w:rsidRDefault="007B14D3" w:rsidP="007B14D3">
            <w:pPr>
              <w:widowControl w:val="0"/>
              <w:numPr>
                <w:ilvl w:val="0"/>
                <w:numId w:val="166"/>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Iniciar la elaboración de un tríptico (en grupos) que puede ser informativo, de sensibilización o de invitación a una experiencia sobre qué es y cómo se puede generar el diálogo </w:t>
            </w:r>
            <w:proofErr w:type="spellStart"/>
            <w:r w:rsidRPr="007B14D3">
              <w:rPr>
                <w:rFonts w:ascii="Calibri" w:eastAsia="Calibri" w:hAnsi="Calibri" w:cs="Arial"/>
                <w:kern w:val="0"/>
                <w14:ligatures w14:val="none"/>
              </w:rPr>
              <w:t>inter-religioso</w:t>
            </w:r>
            <w:proofErr w:type="spellEnd"/>
            <w:r w:rsidRPr="007B14D3">
              <w:rPr>
                <w:rFonts w:ascii="Calibri" w:eastAsia="Calibri" w:hAnsi="Calibri" w:cs="Arial"/>
                <w:kern w:val="0"/>
                <w14:ligatures w14:val="none"/>
              </w:rPr>
              <w:t xml:space="preserve"> con las comunidades indígenas y afro-latinas. Este tríptico tendrá como sujeto meta las comunidades de fe.</w:t>
            </w:r>
          </w:p>
        </w:tc>
      </w:tr>
      <w:tr w:rsidR="007B14D3" w:rsidRPr="007B14D3" w14:paraId="3993272C" w14:textId="77777777" w:rsidTr="4C9C2619">
        <w:trPr>
          <w:jc w:val="center"/>
        </w:trPr>
        <w:tc>
          <w:tcPr>
            <w:tcW w:w="1129" w:type="dxa"/>
          </w:tcPr>
          <w:p w14:paraId="3E8A042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4FCEB9B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10</w:t>
            </w:r>
          </w:p>
          <w:p w14:paraId="48B68D7F"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1E5F24F2"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4319094B"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3286509F"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proofErr w:type="spellStart"/>
            <w:r w:rsidRPr="4C9C2619">
              <w:rPr>
                <w:rFonts w:ascii="Calibri" w:eastAsia="Times New Roman" w:hAnsi="Calibri" w:cs="Arial"/>
                <w:i/>
                <w:iCs/>
                <w:kern w:val="0"/>
                <w:lang w:val="es-ES" w:eastAsia="es-CR"/>
                <w14:ligatures w14:val="none"/>
              </w:rPr>
              <w:t>eukumene</w:t>
            </w:r>
            <w:proofErr w:type="spellEnd"/>
            <w:r w:rsidRPr="4C9C2619">
              <w:rPr>
                <w:rFonts w:ascii="Calibri" w:eastAsia="Times New Roman" w:hAnsi="Calibri" w:cs="Arial"/>
                <w:i/>
                <w:iCs/>
                <w:kern w:val="0"/>
                <w:lang w:val="es-ES" w:eastAsia="es-CR"/>
                <w14:ligatures w14:val="none"/>
              </w:rPr>
              <w:t xml:space="preserve"> </w:t>
            </w:r>
            <w:r w:rsidRPr="4C9C2619">
              <w:rPr>
                <w:rFonts w:ascii="Calibri" w:eastAsia="Times New Roman" w:hAnsi="Calibri" w:cs="Arial"/>
                <w:kern w:val="0"/>
                <w:lang w:val="es-ES" w:eastAsia="es-CR"/>
                <w14:ligatures w14:val="none"/>
              </w:rPr>
              <w:t>y la solidaridad a través del diálogo interreligioso</w:t>
            </w:r>
          </w:p>
          <w:p w14:paraId="65CFBD73"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DA3CEE0"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40444902"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16B19F48"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3738408F"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041178A8"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proofErr w:type="spellStart"/>
            <w:r w:rsidRPr="007B14D3">
              <w:rPr>
                <w:rFonts w:ascii="Calibri" w:eastAsia="Times New Roman" w:hAnsi="Calibri" w:cs="Arial"/>
                <w:color w:val="000000"/>
                <w:kern w:val="0"/>
                <w:lang w:val="es-MX" w:eastAsia="es-MX"/>
                <w14:ligatures w14:val="none"/>
              </w:rPr>
              <w:t>Damman</w:t>
            </w:r>
            <w:proofErr w:type="spellEnd"/>
            <w:r w:rsidRPr="007B14D3">
              <w:rPr>
                <w:rFonts w:ascii="Calibri" w:eastAsia="Times New Roman" w:hAnsi="Calibri" w:cs="Arial"/>
                <w:color w:val="000000"/>
                <w:kern w:val="0"/>
                <w:lang w:val="es-MX" w:eastAsia="es-MX"/>
                <w14:ligatures w14:val="none"/>
              </w:rPr>
              <w:t xml:space="preserve">, Siri. “Vulnerabilidad nutricional de los niños indígenas de América: una cuestión de derechos humanos”. En </w:t>
            </w:r>
            <w:r w:rsidRPr="007B14D3">
              <w:rPr>
                <w:rFonts w:ascii="Calibri" w:eastAsia="Times New Roman" w:hAnsi="Calibri" w:cs="Arial"/>
                <w:i/>
                <w:color w:val="000000"/>
                <w:kern w:val="0"/>
                <w:lang w:val="es-MX" w:eastAsia="es-MX"/>
                <w14:ligatures w14:val="none"/>
              </w:rPr>
              <w:t xml:space="preserve">Pueblos indígenas y pobreza, </w:t>
            </w:r>
            <w:r w:rsidRPr="007B14D3">
              <w:rPr>
                <w:rFonts w:ascii="Calibri" w:eastAsia="Times New Roman" w:hAnsi="Calibri" w:cs="Arial"/>
                <w:color w:val="000000"/>
                <w:kern w:val="0"/>
                <w:lang w:val="es-MX" w:eastAsia="es-MX"/>
                <w14:ligatures w14:val="none"/>
              </w:rPr>
              <w:t xml:space="preserve">coordinado por Alberto D. </w:t>
            </w:r>
            <w:proofErr w:type="spellStart"/>
            <w:r w:rsidRPr="007B14D3">
              <w:rPr>
                <w:rFonts w:ascii="Calibri" w:eastAsia="Times New Roman" w:hAnsi="Calibri" w:cs="Arial"/>
                <w:color w:val="000000"/>
                <w:kern w:val="0"/>
                <w:lang w:val="es-MX" w:eastAsia="es-MX"/>
                <w14:ligatures w14:val="none"/>
              </w:rPr>
              <w:t>Cimadamore</w:t>
            </w:r>
            <w:proofErr w:type="spellEnd"/>
            <w:r w:rsidRPr="007B14D3">
              <w:rPr>
                <w:rFonts w:ascii="Calibri" w:eastAsia="Times New Roman" w:hAnsi="Calibri" w:cs="Arial"/>
                <w:color w:val="000000"/>
                <w:kern w:val="0"/>
                <w:lang w:val="es-MX" w:eastAsia="es-MX"/>
                <w14:ligatures w14:val="none"/>
              </w:rPr>
              <w:t xml:space="preserve">, Robyn </w:t>
            </w:r>
            <w:proofErr w:type="spellStart"/>
            <w:r w:rsidRPr="007B14D3">
              <w:rPr>
                <w:rFonts w:ascii="Calibri" w:eastAsia="Times New Roman" w:hAnsi="Calibri" w:cs="Arial"/>
                <w:color w:val="000000"/>
                <w:kern w:val="0"/>
                <w:lang w:val="es-MX" w:eastAsia="es-MX"/>
                <w14:ligatures w14:val="none"/>
              </w:rPr>
              <w:t>Eversole</w:t>
            </w:r>
            <w:proofErr w:type="spellEnd"/>
            <w:r w:rsidRPr="007B14D3">
              <w:rPr>
                <w:rFonts w:ascii="Calibri" w:eastAsia="Times New Roman" w:hAnsi="Calibri" w:cs="Arial"/>
                <w:color w:val="000000"/>
                <w:kern w:val="0"/>
                <w:lang w:val="es-MX" w:eastAsia="es-MX"/>
                <w14:ligatures w14:val="none"/>
              </w:rPr>
              <w:t xml:space="preserve"> y John-Andrew </w:t>
            </w:r>
            <w:proofErr w:type="spellStart"/>
            <w:r w:rsidRPr="007B14D3">
              <w:rPr>
                <w:rFonts w:ascii="Calibri" w:eastAsia="Times New Roman" w:hAnsi="Calibri" w:cs="Arial"/>
                <w:color w:val="000000"/>
                <w:kern w:val="0"/>
                <w:lang w:val="es-MX" w:eastAsia="es-MX"/>
                <w14:ligatures w14:val="none"/>
              </w:rPr>
              <w:t>McNeish</w:t>
            </w:r>
            <w:proofErr w:type="spellEnd"/>
            <w:r w:rsidRPr="007B14D3">
              <w:rPr>
                <w:rFonts w:ascii="Calibri" w:eastAsia="Times New Roman" w:hAnsi="Calibri" w:cs="Arial"/>
                <w:color w:val="000000"/>
                <w:kern w:val="0"/>
                <w:lang w:val="es-MX" w:eastAsia="es-MX"/>
                <w14:ligatures w14:val="none"/>
              </w:rPr>
              <w:t xml:space="preserve">, 89-114. Buenos Aires: CLACSO, 2006. </w:t>
            </w:r>
            <w:r w:rsidRPr="007B14D3">
              <w:rPr>
                <w:rFonts w:ascii="Calibri" w:eastAsia="Times New Roman" w:hAnsi="Calibri" w:cs="Arial"/>
                <w:bCs/>
                <w:color w:val="0070C0"/>
                <w:kern w:val="0"/>
                <w:lang w:eastAsia="es-MX"/>
                <w14:ligatures w14:val="none"/>
              </w:rPr>
              <w:t>(Clásico, última edición)</w:t>
            </w:r>
          </w:p>
          <w:p w14:paraId="2D4E7C2E"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36FEBE90"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65E16996"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139C8014" w14:textId="77777777" w:rsidR="007B14D3" w:rsidRPr="007B14D3" w:rsidRDefault="007B14D3" w:rsidP="007B14D3">
            <w:pPr>
              <w:spacing w:after="0" w:line="240" w:lineRule="auto"/>
              <w:rPr>
                <w:rFonts w:ascii="Calibri" w:eastAsia="Times New Roman" w:hAnsi="Calibri" w:cs="Arial"/>
                <w:bCs/>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en un foro en la plataforma Moodle</w:t>
            </w:r>
          </w:p>
          <w:p w14:paraId="75EA37E9" w14:textId="77777777" w:rsidR="007B14D3" w:rsidRPr="007B14D3" w:rsidRDefault="007B14D3" w:rsidP="007B14D3">
            <w:pPr>
              <w:spacing w:after="0" w:line="240" w:lineRule="auto"/>
              <w:rPr>
                <w:rFonts w:ascii="Calibri" w:eastAsia="Times New Roman" w:hAnsi="Calibri" w:cs="Calibri"/>
                <w:iCs/>
                <w:noProof/>
                <w:kern w:val="0"/>
                <w:lang w:val="es-ES" w:eastAsia="es-CR"/>
                <w14:ligatures w14:val="none"/>
              </w:rPr>
            </w:pPr>
          </w:p>
        </w:tc>
        <w:tc>
          <w:tcPr>
            <w:tcW w:w="3119" w:type="dxa"/>
          </w:tcPr>
          <w:p w14:paraId="356FCBC6" w14:textId="77777777" w:rsidR="007B14D3" w:rsidRPr="007B14D3" w:rsidRDefault="007B14D3" w:rsidP="007B14D3">
            <w:pPr>
              <w:widowControl w:val="0"/>
              <w:numPr>
                <w:ilvl w:val="0"/>
                <w:numId w:val="167"/>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Presentación de los trípticos realizados en grupo la sesión anterior a través de un foro en el cual se realizará análisis, sugerencias y desafíos de estos, además de aportes docentes.</w:t>
            </w:r>
          </w:p>
          <w:p w14:paraId="1CE93496" w14:textId="77777777" w:rsidR="007B14D3" w:rsidRPr="007B14D3" w:rsidRDefault="007B14D3" w:rsidP="007B14D3">
            <w:pPr>
              <w:widowControl w:val="0"/>
              <w:numPr>
                <w:ilvl w:val="0"/>
                <w:numId w:val="167"/>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Aplicar a cuatro líderes de una comunidad de fe un prediagnóstico sobre diálogo </w:t>
            </w:r>
            <w:proofErr w:type="spellStart"/>
            <w:r w:rsidRPr="007B14D3">
              <w:rPr>
                <w:rFonts w:ascii="Calibri" w:eastAsia="Calibri" w:hAnsi="Calibri" w:cs="Arial"/>
                <w:kern w:val="0"/>
                <w14:ligatures w14:val="none"/>
              </w:rPr>
              <w:t>inter-religioso</w:t>
            </w:r>
            <w:proofErr w:type="spellEnd"/>
            <w:r w:rsidRPr="007B14D3">
              <w:rPr>
                <w:rFonts w:ascii="Calibri" w:eastAsia="Calibri" w:hAnsi="Calibri" w:cs="Arial"/>
                <w:kern w:val="0"/>
                <w14:ligatures w14:val="none"/>
              </w:rPr>
              <w:t>.</w:t>
            </w:r>
          </w:p>
        </w:tc>
      </w:tr>
      <w:tr w:rsidR="007B14D3" w:rsidRPr="007B14D3" w14:paraId="566E8625" w14:textId="77777777" w:rsidTr="4C9C2619">
        <w:trPr>
          <w:trHeight w:val="1464"/>
          <w:jc w:val="center"/>
        </w:trPr>
        <w:tc>
          <w:tcPr>
            <w:tcW w:w="1129" w:type="dxa"/>
          </w:tcPr>
          <w:p w14:paraId="5D52A42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4670CFA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11</w:t>
            </w:r>
          </w:p>
          <w:p w14:paraId="70DAFED3"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1C6ED798"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6351AE4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4F9774EB"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proofErr w:type="spellStart"/>
            <w:r w:rsidRPr="4C9C2619">
              <w:rPr>
                <w:rFonts w:ascii="Calibri" w:eastAsia="Times New Roman" w:hAnsi="Calibri" w:cs="Arial"/>
                <w:i/>
                <w:iCs/>
                <w:kern w:val="0"/>
                <w:lang w:val="es-ES" w:eastAsia="es-CR"/>
                <w14:ligatures w14:val="none"/>
              </w:rPr>
              <w:t>eukumene</w:t>
            </w:r>
            <w:proofErr w:type="spellEnd"/>
            <w:r w:rsidRPr="4C9C2619">
              <w:rPr>
                <w:rFonts w:ascii="Calibri" w:eastAsia="Times New Roman" w:hAnsi="Calibri" w:cs="Arial"/>
                <w:kern w:val="0"/>
                <w:lang w:val="es-ES" w:eastAsia="es-CR"/>
                <w14:ligatures w14:val="none"/>
              </w:rPr>
              <w:t xml:space="preserve"> y la </w:t>
            </w:r>
            <w:r w:rsidRPr="4C9C2619">
              <w:rPr>
                <w:rFonts w:ascii="Calibri" w:eastAsia="Times New Roman" w:hAnsi="Calibri" w:cs="Arial"/>
                <w:kern w:val="0"/>
                <w:lang w:val="es-ES" w:eastAsia="es-CR"/>
                <w14:ligatures w14:val="none"/>
              </w:rPr>
              <w:lastRenderedPageBreak/>
              <w:t>solidaridad a través del diálogo interreligioso</w:t>
            </w:r>
          </w:p>
          <w:p w14:paraId="006D2BC6"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7734FA95"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467E140D"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6DD407B8"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color w:val="0070C0"/>
                <w:kern w:val="0"/>
                <w:lang w:val="es-ES_tradnl" w:eastAsia="es-CR"/>
                <w14:ligatures w14:val="none"/>
              </w:rPr>
              <w:lastRenderedPageBreak/>
              <w:t>Ruta de aprendizaje</w:t>
            </w:r>
          </w:p>
          <w:p w14:paraId="7A39053E"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788B0ED6"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Alarcón </w:t>
            </w:r>
            <w:proofErr w:type="spellStart"/>
            <w:r w:rsidRPr="007B14D3">
              <w:rPr>
                <w:rFonts w:ascii="Calibri" w:eastAsia="Times New Roman" w:hAnsi="Calibri" w:cs="Arial"/>
                <w:color w:val="000000"/>
                <w:kern w:val="0"/>
                <w:lang w:val="es-MX" w:eastAsia="es-MX"/>
                <w14:ligatures w14:val="none"/>
              </w:rPr>
              <w:t>Cháires</w:t>
            </w:r>
            <w:proofErr w:type="spellEnd"/>
            <w:r w:rsidRPr="007B14D3">
              <w:rPr>
                <w:rFonts w:ascii="Calibri" w:eastAsia="Times New Roman" w:hAnsi="Calibri" w:cs="Arial"/>
                <w:color w:val="000000"/>
                <w:kern w:val="0"/>
                <w:lang w:val="es-MX" w:eastAsia="es-MX"/>
                <w14:ligatures w14:val="none"/>
              </w:rPr>
              <w:t xml:space="preserve">, Pablo. “Riqueza ecológica versus pobreza social: contradicciones y perspectivas del desarrollo indígena en </w:t>
            </w:r>
            <w:r w:rsidRPr="007B14D3">
              <w:rPr>
                <w:rFonts w:ascii="Calibri" w:eastAsia="Times New Roman" w:hAnsi="Calibri" w:cs="Arial"/>
                <w:color w:val="000000"/>
                <w:kern w:val="0"/>
                <w:lang w:val="es-MX" w:eastAsia="es-MX"/>
                <w14:ligatures w14:val="none"/>
              </w:rPr>
              <w:lastRenderedPageBreak/>
              <w:t xml:space="preserve">Latinoamérica”. En </w:t>
            </w:r>
            <w:r w:rsidRPr="007B14D3">
              <w:rPr>
                <w:rFonts w:ascii="Calibri" w:eastAsia="Times New Roman" w:hAnsi="Calibri" w:cs="Arial"/>
                <w:i/>
                <w:color w:val="000000"/>
                <w:kern w:val="0"/>
                <w:lang w:val="es-MX" w:eastAsia="es-MX"/>
                <w14:ligatures w14:val="none"/>
              </w:rPr>
              <w:t xml:space="preserve">Pueblos indígenas y pobreza, </w:t>
            </w:r>
            <w:r w:rsidRPr="007B14D3">
              <w:rPr>
                <w:rFonts w:ascii="Calibri" w:eastAsia="Times New Roman" w:hAnsi="Calibri" w:cs="Arial"/>
                <w:color w:val="000000"/>
                <w:kern w:val="0"/>
                <w:lang w:val="es-MX" w:eastAsia="es-MX"/>
                <w14:ligatures w14:val="none"/>
              </w:rPr>
              <w:t xml:space="preserve">coordinado por Alberto D. </w:t>
            </w:r>
            <w:proofErr w:type="spellStart"/>
            <w:r w:rsidRPr="007B14D3">
              <w:rPr>
                <w:rFonts w:ascii="Calibri" w:eastAsia="Times New Roman" w:hAnsi="Calibri" w:cs="Arial"/>
                <w:color w:val="000000"/>
                <w:kern w:val="0"/>
                <w:lang w:val="es-MX" w:eastAsia="es-MX"/>
                <w14:ligatures w14:val="none"/>
              </w:rPr>
              <w:t>Cimadamore</w:t>
            </w:r>
            <w:proofErr w:type="spellEnd"/>
            <w:r w:rsidRPr="007B14D3">
              <w:rPr>
                <w:rFonts w:ascii="Calibri" w:eastAsia="Times New Roman" w:hAnsi="Calibri" w:cs="Arial"/>
                <w:color w:val="000000"/>
                <w:kern w:val="0"/>
                <w:lang w:val="es-MX" w:eastAsia="es-MX"/>
                <w14:ligatures w14:val="none"/>
              </w:rPr>
              <w:t xml:space="preserve">, Robyn </w:t>
            </w:r>
            <w:proofErr w:type="spellStart"/>
            <w:r w:rsidRPr="007B14D3">
              <w:rPr>
                <w:rFonts w:ascii="Calibri" w:eastAsia="Times New Roman" w:hAnsi="Calibri" w:cs="Arial"/>
                <w:color w:val="000000"/>
                <w:kern w:val="0"/>
                <w:lang w:val="es-MX" w:eastAsia="es-MX"/>
                <w14:ligatures w14:val="none"/>
              </w:rPr>
              <w:t>Eversole</w:t>
            </w:r>
            <w:proofErr w:type="spellEnd"/>
            <w:r w:rsidRPr="007B14D3">
              <w:rPr>
                <w:rFonts w:ascii="Calibri" w:eastAsia="Times New Roman" w:hAnsi="Calibri" w:cs="Arial"/>
                <w:color w:val="000000"/>
                <w:kern w:val="0"/>
                <w:lang w:val="es-MX" w:eastAsia="es-MX"/>
                <w14:ligatures w14:val="none"/>
              </w:rPr>
              <w:t xml:space="preserve"> y John-Andrew </w:t>
            </w:r>
            <w:proofErr w:type="spellStart"/>
            <w:r w:rsidRPr="007B14D3">
              <w:rPr>
                <w:rFonts w:ascii="Calibri" w:eastAsia="Times New Roman" w:hAnsi="Calibri" w:cs="Arial"/>
                <w:color w:val="000000"/>
                <w:kern w:val="0"/>
                <w:lang w:val="es-MX" w:eastAsia="es-MX"/>
                <w14:ligatures w14:val="none"/>
              </w:rPr>
              <w:t>McNeish</w:t>
            </w:r>
            <w:proofErr w:type="spellEnd"/>
            <w:r w:rsidRPr="007B14D3">
              <w:rPr>
                <w:rFonts w:ascii="Calibri" w:eastAsia="Times New Roman" w:hAnsi="Calibri" w:cs="Arial"/>
                <w:color w:val="000000"/>
                <w:kern w:val="0"/>
                <w:lang w:val="es-MX" w:eastAsia="es-MX"/>
                <w14:ligatures w14:val="none"/>
              </w:rPr>
              <w:t xml:space="preserve">, 41-70. Buenos Aires: CLACSO, 2006. </w:t>
            </w:r>
            <w:r w:rsidRPr="007B14D3">
              <w:rPr>
                <w:rFonts w:ascii="Calibri" w:eastAsia="Times New Roman" w:hAnsi="Calibri" w:cs="Arial"/>
                <w:bCs/>
                <w:color w:val="0070C0"/>
                <w:kern w:val="0"/>
                <w:lang w:eastAsia="es-MX"/>
                <w14:ligatures w14:val="none"/>
              </w:rPr>
              <w:t>(Clásico, última edición)</w:t>
            </w:r>
          </w:p>
          <w:p w14:paraId="09C51691"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8FF5EAA" w14:textId="77777777" w:rsidR="007B14D3" w:rsidRPr="007B14D3" w:rsidRDefault="007B14D3" w:rsidP="007B14D3">
            <w:pPr>
              <w:spacing w:after="0" w:line="240" w:lineRule="auto"/>
              <w:rPr>
                <w:rFonts w:ascii="Calibri" w:eastAsia="Times New Roman" w:hAnsi="Calibri" w:cs="Arial"/>
                <w:b/>
                <w:kern w:val="0"/>
                <w:lang w:val="es-ES_tradnl" w:eastAsia="es-CR"/>
                <w14:ligatures w14:val="none"/>
              </w:rPr>
            </w:pPr>
            <w:r w:rsidRPr="007B14D3">
              <w:rPr>
                <w:rFonts w:ascii="Calibri" w:eastAsia="Times New Roman" w:hAnsi="Calibri" w:cs="Arial"/>
                <w:b/>
                <w:kern w:val="0"/>
                <w:lang w:val="es-ES_tradnl" w:eastAsia="es-CR"/>
                <w14:ligatures w14:val="none"/>
              </w:rPr>
              <w:t>Material complementario</w:t>
            </w:r>
          </w:p>
          <w:p w14:paraId="27DF7D1F" w14:textId="77777777" w:rsidR="007B14D3" w:rsidRPr="007B14D3" w:rsidRDefault="007B14D3" w:rsidP="007B14D3">
            <w:pPr>
              <w:spacing w:after="0" w:line="240" w:lineRule="auto"/>
              <w:rPr>
                <w:rFonts w:ascii="Calibri" w:eastAsia="Times New Roman" w:hAnsi="Calibri" w:cs="Arial"/>
                <w:b/>
                <w:kern w:val="0"/>
                <w:lang w:val="es-ES_tradnl" w:eastAsia="es-CR"/>
                <w14:ligatures w14:val="none"/>
              </w:rPr>
            </w:pPr>
          </w:p>
          <w:p w14:paraId="43CFCE2D" w14:textId="77777777" w:rsidR="007B14D3" w:rsidRPr="007B14D3" w:rsidRDefault="007B14D3" w:rsidP="4C9C2619">
            <w:pPr>
              <w:spacing w:after="0" w:line="240" w:lineRule="auto"/>
              <w:rPr>
                <w:rFonts w:ascii="Calibri" w:eastAsia="Times New Roman" w:hAnsi="Calibri" w:cs="Calibri"/>
                <w:color w:val="0563C1"/>
                <w:kern w:val="0"/>
                <w:u w:val="single"/>
                <w:lang w:val="es-ES" w:eastAsia="es-CR"/>
                <w14:ligatures w14:val="none"/>
              </w:rPr>
            </w:pPr>
            <w:r w:rsidRPr="4C9C2619">
              <w:rPr>
                <w:rFonts w:ascii="Calibri" w:eastAsia="Times New Roman" w:hAnsi="Calibri" w:cs="Calibri"/>
                <w:kern w:val="0"/>
                <w:lang w:val="es-ES" w:eastAsia="es-CR"/>
                <w14:ligatures w14:val="none"/>
              </w:rPr>
              <w:t xml:space="preserve">Olivares, </w:t>
            </w:r>
            <w:proofErr w:type="spellStart"/>
            <w:r w:rsidRPr="4C9C2619">
              <w:rPr>
                <w:rFonts w:ascii="Calibri" w:eastAsia="Times New Roman" w:hAnsi="Calibri" w:cs="Calibri"/>
                <w:kern w:val="0"/>
                <w:lang w:val="es-ES" w:eastAsia="es-CR"/>
                <w14:ligatures w14:val="none"/>
              </w:rPr>
              <w:t>Barlin</w:t>
            </w:r>
            <w:proofErr w:type="spellEnd"/>
            <w:r w:rsidRPr="4C9C2619">
              <w:rPr>
                <w:rFonts w:ascii="Calibri" w:eastAsia="Times New Roman" w:hAnsi="Calibri" w:cs="Calibri"/>
                <w:kern w:val="0"/>
                <w:lang w:val="es-ES" w:eastAsia="es-CR"/>
                <w14:ligatures w14:val="none"/>
              </w:rPr>
              <w:t xml:space="preserve"> Orlando. “Relación de la naturaleza, el clima y la espiritualidad de las comunidades indígenas agrícolas </w:t>
            </w:r>
            <w:proofErr w:type="spellStart"/>
            <w:r w:rsidRPr="4C9C2619">
              <w:rPr>
                <w:rFonts w:ascii="Calibri" w:eastAsia="Times New Roman" w:hAnsi="Calibri" w:cs="Calibri"/>
                <w:kern w:val="0"/>
                <w:lang w:val="es-ES" w:eastAsia="es-CR"/>
                <w14:ligatures w14:val="none"/>
              </w:rPr>
              <w:t>kari’ña</w:t>
            </w:r>
            <w:proofErr w:type="spellEnd"/>
            <w:r w:rsidRPr="4C9C2619">
              <w:rPr>
                <w:rFonts w:ascii="Calibri" w:eastAsia="Times New Roman" w:hAnsi="Calibri" w:cs="Calibri"/>
                <w:kern w:val="0"/>
                <w:lang w:val="es-ES" w:eastAsia="es-CR"/>
                <w14:ligatures w14:val="none"/>
              </w:rPr>
              <w:t xml:space="preserve"> del estado Anzoátegui, Venezuela”. </w:t>
            </w:r>
            <w:r w:rsidRPr="4C9C2619">
              <w:rPr>
                <w:rFonts w:ascii="Calibri" w:eastAsia="Times New Roman" w:hAnsi="Calibri" w:cs="Calibri"/>
                <w:i/>
                <w:iCs/>
                <w:kern w:val="0"/>
                <w:lang w:val="es-ES" w:eastAsia="es-CR"/>
                <w14:ligatures w14:val="none"/>
              </w:rPr>
              <w:t>Tiempo y Espacio</w:t>
            </w:r>
            <w:r w:rsidRPr="4C9C2619">
              <w:rPr>
                <w:rFonts w:ascii="Calibri" w:eastAsia="Times New Roman" w:hAnsi="Calibri" w:cs="Calibri"/>
                <w:kern w:val="0"/>
                <w:lang w:val="es-ES" w:eastAsia="es-CR"/>
                <w14:ligatures w14:val="none"/>
              </w:rPr>
              <w:t xml:space="preserve"> 32, n. 61 (2014): 129-150. Acceso el 18 de diciembre de 2020. </w:t>
            </w:r>
            <w:hyperlink r:id="rId324" w:history="1">
              <w:r w:rsidRPr="4C9C2619">
                <w:rPr>
                  <w:rFonts w:ascii="Calibri" w:eastAsia="Times New Roman" w:hAnsi="Calibri" w:cs="Calibri"/>
                  <w:color w:val="0563C1"/>
                  <w:kern w:val="0"/>
                  <w:u w:val="single"/>
                  <w:lang w:val="es-ES" w:eastAsia="es-CR"/>
                  <w14:ligatures w14:val="none"/>
                </w:rPr>
                <w:t>https://dialnet.unirioja.es/servlet/articulo?codigo=6176164</w:t>
              </w:r>
            </w:hyperlink>
          </w:p>
          <w:p w14:paraId="16256BDE" w14:textId="77777777" w:rsidR="007B14D3" w:rsidRPr="007B14D3" w:rsidRDefault="007B14D3" w:rsidP="007B14D3">
            <w:pPr>
              <w:spacing w:after="0" w:line="240" w:lineRule="auto"/>
              <w:rPr>
                <w:rFonts w:ascii="Times New Roman" w:eastAsia="Times New Roman" w:hAnsi="Times New Roman" w:cs="Calibri"/>
                <w:color w:val="0563C1"/>
                <w:kern w:val="0"/>
                <w:sz w:val="24"/>
                <w:szCs w:val="20"/>
                <w:u w:val="single"/>
                <w:lang w:val="es-ES_tradnl" w:eastAsia="es-CR"/>
                <w14:ligatures w14:val="none"/>
              </w:rPr>
            </w:pPr>
          </w:p>
          <w:p w14:paraId="34A7DD1F" w14:textId="77777777" w:rsidR="007B14D3" w:rsidRPr="007B14D3" w:rsidRDefault="007B14D3" w:rsidP="007B14D3">
            <w:pPr>
              <w:spacing w:after="0" w:line="240" w:lineRule="auto"/>
              <w:rPr>
                <w:rFonts w:ascii="Calibri" w:eastAsia="Times New Roman" w:hAnsi="Calibri" w:cs="Calibri"/>
                <w:color w:val="0563C1"/>
                <w:kern w:val="0"/>
                <w:lang w:val="es-ES_tradnl" w:eastAsia="es-CR"/>
                <w14:ligatures w14:val="none"/>
              </w:rPr>
            </w:pPr>
            <w:r w:rsidRPr="007B14D3">
              <w:rPr>
                <w:rFonts w:ascii="Calibri" w:eastAsia="Times New Roman" w:hAnsi="Calibri" w:cs="Calibri"/>
                <w:color w:val="0563C1"/>
                <w:kern w:val="0"/>
                <w:lang w:val="es-ES_tradnl" w:eastAsia="es-CR"/>
                <w14:ligatures w14:val="none"/>
              </w:rPr>
              <w:t>Guía para la elaboración de un mapa mental</w:t>
            </w:r>
          </w:p>
          <w:p w14:paraId="26DAADF4" w14:textId="77777777" w:rsidR="007B14D3" w:rsidRPr="007B14D3" w:rsidRDefault="007B14D3" w:rsidP="007B14D3">
            <w:pPr>
              <w:spacing w:after="0" w:line="240" w:lineRule="auto"/>
              <w:rPr>
                <w:rFonts w:ascii="Calibri" w:eastAsia="Times New Roman" w:hAnsi="Calibri" w:cs="Calibri"/>
                <w:color w:val="0563C1"/>
                <w:kern w:val="0"/>
                <w:lang w:val="es-ES_tradnl" w:eastAsia="es-CR"/>
                <w14:ligatures w14:val="none"/>
              </w:rPr>
            </w:pPr>
          </w:p>
          <w:p w14:paraId="2E502C41" w14:textId="77777777" w:rsidR="007B14D3" w:rsidRPr="007B14D3" w:rsidRDefault="007B14D3" w:rsidP="007B14D3">
            <w:pPr>
              <w:spacing w:after="0" w:line="240" w:lineRule="auto"/>
              <w:rPr>
                <w:rFonts w:ascii="Calibri" w:eastAsia="Times New Roman" w:hAnsi="Calibri" w:cs="Calibri"/>
                <w:kern w:val="0"/>
                <w:lang w:val="es-ES_tradnl" w:eastAsia="es-CR"/>
                <w14:ligatures w14:val="none"/>
              </w:rPr>
            </w:pPr>
            <w:r w:rsidRPr="007B14D3">
              <w:rPr>
                <w:rFonts w:ascii="Calibri" w:eastAsia="Times New Roman" w:hAnsi="Calibri" w:cs="Calibri"/>
                <w:color w:val="0563C1"/>
                <w:kern w:val="0"/>
                <w:lang w:val="es-ES_tradnl" w:eastAsia="es-CR"/>
                <w14:ligatures w14:val="none"/>
              </w:rPr>
              <w:t>Guía para la participación en un foro en la plataforma Moodle</w:t>
            </w:r>
          </w:p>
          <w:p w14:paraId="54BE7F72"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tc>
        <w:tc>
          <w:tcPr>
            <w:tcW w:w="3119" w:type="dxa"/>
          </w:tcPr>
          <w:p w14:paraId="2B2C1D58" w14:textId="77777777" w:rsidR="007B14D3" w:rsidRPr="007B14D3" w:rsidRDefault="007B14D3" w:rsidP="007B14D3">
            <w:pPr>
              <w:widowControl w:val="0"/>
              <w:numPr>
                <w:ilvl w:val="0"/>
                <w:numId w:val="168"/>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lastRenderedPageBreak/>
              <w:t xml:space="preserve">Elaboración de un mapa mental para sistematizar los resultados del prediagnóstico sobre diálogo interreligioso en las comunidades de fe. El cual se compartirá y analizará en </w:t>
            </w:r>
            <w:r w:rsidRPr="007B14D3">
              <w:rPr>
                <w:rFonts w:ascii="Calibri" w:eastAsia="Calibri" w:hAnsi="Calibri" w:cs="Arial"/>
                <w:kern w:val="0"/>
                <w14:ligatures w14:val="none"/>
              </w:rPr>
              <w:lastRenderedPageBreak/>
              <w:t xml:space="preserve">grupos, así como sus aprendizajes, a través de un foro. </w:t>
            </w:r>
          </w:p>
        </w:tc>
      </w:tr>
      <w:tr w:rsidR="007B14D3" w:rsidRPr="007B14D3" w14:paraId="6F92BE51" w14:textId="77777777" w:rsidTr="4C9C2619">
        <w:trPr>
          <w:jc w:val="center"/>
        </w:trPr>
        <w:tc>
          <w:tcPr>
            <w:tcW w:w="1129" w:type="dxa"/>
          </w:tcPr>
          <w:p w14:paraId="691D16B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1BFDBCE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12</w:t>
            </w:r>
          </w:p>
          <w:p w14:paraId="7043DF5F"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76DD4555"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21B9B79B"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CC5742C"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proofErr w:type="spellStart"/>
            <w:r w:rsidRPr="4C9C2619">
              <w:rPr>
                <w:rFonts w:ascii="Calibri" w:eastAsia="Times New Roman" w:hAnsi="Calibri" w:cs="Arial"/>
                <w:i/>
                <w:iCs/>
                <w:kern w:val="0"/>
                <w:lang w:val="es-ES" w:eastAsia="es-CR"/>
                <w14:ligatures w14:val="none"/>
              </w:rPr>
              <w:t>eukumene</w:t>
            </w:r>
            <w:proofErr w:type="spellEnd"/>
            <w:r w:rsidRPr="4C9C2619">
              <w:rPr>
                <w:rFonts w:ascii="Calibri" w:eastAsia="Times New Roman" w:hAnsi="Calibri" w:cs="Arial"/>
                <w:kern w:val="0"/>
                <w:lang w:val="es-ES" w:eastAsia="es-CR"/>
                <w14:ligatures w14:val="none"/>
              </w:rPr>
              <w:t xml:space="preserve"> y la solidaridad a través del diálogo interreligioso</w:t>
            </w:r>
          </w:p>
          <w:p w14:paraId="6E06A508"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0FF61739"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EE5AE29" w14:textId="77777777" w:rsidR="007B14D3" w:rsidRPr="007B14D3" w:rsidRDefault="007B14D3" w:rsidP="007B14D3">
            <w:pPr>
              <w:keepNext/>
              <w:widowControl w:val="0"/>
              <w:overflowPunct w:val="0"/>
              <w:autoSpaceDE w:val="0"/>
              <w:autoSpaceDN w:val="0"/>
              <w:adjustRightInd w:val="0"/>
              <w:spacing w:after="60" w:line="240" w:lineRule="auto"/>
              <w:jc w:val="center"/>
              <w:outlineLvl w:val="2"/>
              <w:rPr>
                <w:rFonts w:ascii="Calibri" w:eastAsia="Times New Roman" w:hAnsi="Calibri" w:cs="Arial"/>
                <w:b/>
                <w:kern w:val="0"/>
                <w:lang w:val="es-ES_tradnl" w:eastAsia="es-CR"/>
                <w14:ligatures w14:val="none"/>
              </w:rPr>
            </w:pPr>
          </w:p>
        </w:tc>
        <w:tc>
          <w:tcPr>
            <w:tcW w:w="2693" w:type="dxa"/>
          </w:tcPr>
          <w:p w14:paraId="7C574D88"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3C465750"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71906A1B" w14:textId="77777777" w:rsidR="007B14D3" w:rsidRPr="007B14D3" w:rsidRDefault="007B14D3" w:rsidP="007B14D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libri" w:eastAsia="Times New Roman" w:hAnsi="Calibri" w:cs="Arial"/>
                <w:bCs/>
                <w:color w:val="0070C0"/>
                <w:kern w:val="0"/>
                <w:lang w:eastAsia="es-MX"/>
                <w14:ligatures w14:val="none"/>
              </w:rPr>
            </w:pPr>
            <w:r w:rsidRPr="007B14D3">
              <w:rPr>
                <w:rFonts w:ascii="Calibri" w:eastAsia="Times New Roman" w:hAnsi="Calibri" w:cs="Arial"/>
                <w:color w:val="000000"/>
                <w:kern w:val="0"/>
                <w:lang w:val="es-MX" w:eastAsia="es-MX"/>
                <w14:ligatures w14:val="none"/>
              </w:rPr>
              <w:t xml:space="preserve">Duncan, Quince. “Racismo y esclavitud van de la mano”, “Resistencia y luchas de liberación de los esclavizados”. En </w:t>
            </w:r>
            <w:r w:rsidRPr="007B14D3">
              <w:rPr>
                <w:rFonts w:ascii="Calibri" w:eastAsia="Times New Roman" w:hAnsi="Calibri" w:cs="Arial"/>
                <w:i/>
                <w:color w:val="000000"/>
                <w:kern w:val="0"/>
                <w:lang w:val="es-MX" w:eastAsia="es-MX"/>
                <w14:ligatures w14:val="none"/>
              </w:rPr>
              <w:t xml:space="preserve">Contra el silencio: afrodescendientes y racismo en el Caribe Continental Hispánico, </w:t>
            </w:r>
            <w:r w:rsidRPr="007B14D3">
              <w:rPr>
                <w:rFonts w:ascii="Calibri" w:eastAsia="Times New Roman" w:hAnsi="Calibri" w:cs="Arial"/>
                <w:color w:val="000000"/>
                <w:kern w:val="0"/>
                <w:lang w:val="es-MX" w:eastAsia="es-MX"/>
                <w14:ligatures w14:val="none"/>
              </w:rPr>
              <w:t>59-115.</w:t>
            </w:r>
            <w:r w:rsidRPr="007B14D3">
              <w:rPr>
                <w:rFonts w:ascii="Calibri" w:eastAsia="Times New Roman" w:hAnsi="Calibri" w:cs="Arial"/>
                <w:i/>
                <w:color w:val="000000"/>
                <w:kern w:val="0"/>
                <w:lang w:val="es-MX" w:eastAsia="es-MX"/>
                <w14:ligatures w14:val="none"/>
              </w:rPr>
              <w:t xml:space="preserve"> </w:t>
            </w:r>
            <w:r w:rsidRPr="007B14D3">
              <w:rPr>
                <w:rFonts w:ascii="Calibri" w:eastAsia="Times New Roman" w:hAnsi="Calibri" w:cs="Arial"/>
                <w:color w:val="000000"/>
                <w:kern w:val="0"/>
                <w:lang w:val="es-MX" w:eastAsia="es-MX"/>
                <w14:ligatures w14:val="none"/>
              </w:rPr>
              <w:t xml:space="preserve">San José, C.R.: EUNED, 2001. </w:t>
            </w:r>
            <w:r w:rsidRPr="007B14D3">
              <w:rPr>
                <w:rFonts w:ascii="Calibri" w:eastAsia="Times New Roman" w:hAnsi="Calibri" w:cs="Arial"/>
                <w:bCs/>
                <w:color w:val="0070C0"/>
                <w:kern w:val="0"/>
                <w:lang w:eastAsia="es-MX"/>
                <w14:ligatures w14:val="none"/>
              </w:rPr>
              <w:t>(Clásico, última edición)</w:t>
            </w:r>
          </w:p>
          <w:p w14:paraId="4C438A0A"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p w14:paraId="561381C4"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456617C4"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78AA92B1"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r w:rsidRPr="007B14D3">
              <w:rPr>
                <w:rFonts w:ascii="Calibri" w:eastAsia="Times New Roman" w:hAnsi="Calibri" w:cs="Arial"/>
                <w:bCs/>
                <w:color w:val="0070C0"/>
                <w:kern w:val="0"/>
                <w:lang w:eastAsia="es-CR"/>
                <w14:ligatures w14:val="none"/>
              </w:rPr>
              <w:lastRenderedPageBreak/>
              <w:t>Guía para la participación en un foro en la plataforma Moodle</w:t>
            </w:r>
          </w:p>
          <w:p w14:paraId="42CA7DFF" w14:textId="77777777" w:rsidR="007B14D3" w:rsidRPr="007B14D3" w:rsidRDefault="007B14D3" w:rsidP="007B14D3">
            <w:pPr>
              <w:spacing w:after="0" w:line="240" w:lineRule="auto"/>
              <w:rPr>
                <w:rFonts w:ascii="Calibri" w:eastAsia="Times New Roman" w:hAnsi="Calibri" w:cs="Arial"/>
                <w:bCs/>
                <w:color w:val="0070C0"/>
                <w:kern w:val="0"/>
                <w:lang w:eastAsia="es-CR"/>
                <w14:ligatures w14:val="none"/>
              </w:rPr>
            </w:pPr>
          </w:p>
          <w:p w14:paraId="6D50767A" w14:textId="77777777" w:rsidR="007B14D3" w:rsidRPr="007B14D3" w:rsidRDefault="007B14D3" w:rsidP="007B14D3">
            <w:pPr>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en un glosario en la plataforma Moodle</w:t>
            </w:r>
          </w:p>
          <w:p w14:paraId="42DE142A" w14:textId="77777777" w:rsidR="007B14D3" w:rsidRPr="007B14D3" w:rsidRDefault="007B14D3" w:rsidP="007B14D3">
            <w:pPr>
              <w:spacing w:after="0" w:line="240" w:lineRule="auto"/>
              <w:rPr>
                <w:rFonts w:ascii="Calibri" w:eastAsia="Times New Roman" w:hAnsi="Calibri" w:cs="Arial"/>
                <w:color w:val="000000"/>
                <w:kern w:val="0"/>
                <w:lang w:val="es-ES_tradnl" w:eastAsia="es-CR"/>
                <w14:ligatures w14:val="none"/>
              </w:rPr>
            </w:pPr>
          </w:p>
        </w:tc>
        <w:tc>
          <w:tcPr>
            <w:tcW w:w="3119" w:type="dxa"/>
          </w:tcPr>
          <w:p w14:paraId="5CB8742F" w14:textId="77777777" w:rsidR="007B14D3" w:rsidRPr="007B14D3" w:rsidRDefault="007B14D3" w:rsidP="007B14D3">
            <w:pPr>
              <w:widowControl w:val="0"/>
              <w:numPr>
                <w:ilvl w:val="0"/>
                <w:numId w:val="16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lastRenderedPageBreak/>
              <w:t>Revisión de los trípticos en forma grupal con base en los diagnósticos y los mapas a través de un foro, a partir de lo cual se elaborará una ruta para seguir para sensibilizar a las comunidades sobre la vida de los pueblos originarios y afro-latinos, su espiritualidad y opciones para el diálogo interreligioso.</w:t>
            </w:r>
          </w:p>
          <w:p w14:paraId="2B4E229D" w14:textId="1DA03BE1" w:rsidR="007B14D3" w:rsidRPr="007B14D3" w:rsidRDefault="007B14D3" w:rsidP="007B14D3">
            <w:pPr>
              <w:widowControl w:val="0"/>
              <w:numPr>
                <w:ilvl w:val="0"/>
                <w:numId w:val="169"/>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Elaboración (ampliación) del </w:t>
            </w:r>
            <w:proofErr w:type="spellStart"/>
            <w:proofErr w:type="gramStart"/>
            <w:r w:rsidRPr="007B14D3">
              <w:rPr>
                <w:rFonts w:ascii="Calibri" w:eastAsia="Calibri" w:hAnsi="Calibri" w:cs="Arial"/>
                <w:kern w:val="0"/>
                <w14:ligatures w14:val="none"/>
              </w:rPr>
              <w:lastRenderedPageBreak/>
              <w:t>glosario</w:t>
            </w:r>
            <w:r w:rsidR="003E6434">
              <w:rPr>
                <w:rFonts w:ascii="Calibri" w:eastAsia="Calibri" w:hAnsi="Calibri" w:cs="Arial"/>
                <w:kern w:val="0"/>
                <w14:ligatures w14:val="none"/>
              </w:rPr>
              <w:t>m</w:t>
            </w:r>
            <w:proofErr w:type="spellEnd"/>
            <w:r w:rsidR="003E6434">
              <w:rPr>
                <w:rFonts w:ascii="Calibri" w:eastAsia="Calibri" w:hAnsi="Calibri" w:cs="Arial"/>
                <w:kern w:val="0"/>
                <w14:ligatures w14:val="none"/>
              </w:rPr>
              <w:t>,</w:t>
            </w:r>
            <w:r w:rsidRPr="007B14D3">
              <w:rPr>
                <w:rFonts w:ascii="Calibri" w:eastAsia="Calibri" w:hAnsi="Calibri" w:cs="Arial"/>
                <w:kern w:val="0"/>
                <w14:ligatures w14:val="none"/>
              </w:rPr>
              <w:t>,</w:t>
            </w:r>
            <w:proofErr w:type="gramEnd"/>
            <w:r w:rsidRPr="007B14D3">
              <w:rPr>
                <w:rFonts w:ascii="Calibri" w:eastAsia="Calibri" w:hAnsi="Calibri" w:cs="Arial"/>
                <w:kern w:val="0"/>
                <w14:ligatures w14:val="none"/>
              </w:rPr>
              <w:t xml:space="preserve"> en forma grupal, con los aportes de la unidad 4. </w:t>
            </w:r>
            <w:r w:rsidRPr="007B14D3">
              <w:rPr>
                <w:rFonts w:ascii="Calibri" w:eastAsia="Calibri" w:hAnsi="Calibri" w:cs="Calibri"/>
                <w:bCs/>
                <w:kern w:val="0"/>
                <w14:ligatures w14:val="none"/>
              </w:rPr>
              <w:t>Al finalizar la sesión se socializarán los glosarios con diez conceptos más.</w:t>
            </w:r>
          </w:p>
        </w:tc>
      </w:tr>
      <w:tr w:rsidR="007B14D3" w:rsidRPr="007B14D3" w14:paraId="6C09B605" w14:textId="77777777" w:rsidTr="4C9C2619">
        <w:trPr>
          <w:jc w:val="center"/>
        </w:trPr>
        <w:tc>
          <w:tcPr>
            <w:tcW w:w="1129" w:type="dxa"/>
          </w:tcPr>
          <w:p w14:paraId="6B9C2F1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61C7ADB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13</w:t>
            </w:r>
          </w:p>
          <w:p w14:paraId="44604B61"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3D38926B"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3E55E5F8"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00641F6F" w14:textId="77777777" w:rsidR="007B14D3" w:rsidRPr="007B14D3" w:rsidRDefault="007B14D3" w:rsidP="4C9C2619">
            <w:pPr>
              <w:spacing w:after="0" w:line="240" w:lineRule="auto"/>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4.1 Nuevos horizontes de la </w:t>
            </w:r>
            <w:proofErr w:type="spellStart"/>
            <w:r w:rsidRPr="4C9C2619">
              <w:rPr>
                <w:rFonts w:ascii="Calibri" w:eastAsia="Times New Roman" w:hAnsi="Calibri" w:cs="Arial"/>
                <w:i/>
                <w:iCs/>
                <w:kern w:val="0"/>
                <w:lang w:val="es-ES" w:eastAsia="es-CR"/>
                <w14:ligatures w14:val="none"/>
              </w:rPr>
              <w:t>eukumene</w:t>
            </w:r>
            <w:proofErr w:type="spellEnd"/>
            <w:r w:rsidRPr="4C9C2619">
              <w:rPr>
                <w:rFonts w:ascii="Calibri" w:eastAsia="Times New Roman" w:hAnsi="Calibri" w:cs="Arial"/>
                <w:kern w:val="0"/>
                <w:lang w:val="es-ES" w:eastAsia="es-CR"/>
                <w14:ligatures w14:val="none"/>
              </w:rPr>
              <w:t xml:space="preserve"> y la solidaridad a través del diálogo interreligioso</w:t>
            </w:r>
          </w:p>
          <w:p w14:paraId="1C168B9D"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27F6D8E9"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4.2 El diálogo interreligioso en Abya-Yala y sus aportes para la vida en plenitud de la región</w:t>
            </w:r>
          </w:p>
          <w:p w14:paraId="43EC2076" w14:textId="77777777" w:rsidR="007B14D3" w:rsidRPr="007B14D3" w:rsidRDefault="007B14D3" w:rsidP="007B14D3">
            <w:pPr>
              <w:spacing w:after="0" w:line="240" w:lineRule="auto"/>
              <w:rPr>
                <w:rFonts w:ascii="Calibri" w:eastAsia="Times New Roman" w:hAnsi="Calibri" w:cs="Arial"/>
                <w:b/>
                <w:kern w:val="0"/>
                <w:lang w:val="es-ES_tradnl" w:eastAsia="es-CR"/>
                <w14:ligatures w14:val="none"/>
              </w:rPr>
            </w:pPr>
          </w:p>
        </w:tc>
        <w:tc>
          <w:tcPr>
            <w:tcW w:w="2693" w:type="dxa"/>
          </w:tcPr>
          <w:p w14:paraId="54A62316" w14:textId="77777777" w:rsidR="007B14D3" w:rsidRPr="007B14D3" w:rsidRDefault="007B14D3" w:rsidP="007B14D3">
            <w:pPr>
              <w:spacing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049CE321" w14:textId="77777777" w:rsidR="007B14D3" w:rsidRPr="007B14D3" w:rsidRDefault="007B14D3" w:rsidP="007B14D3">
            <w:pPr>
              <w:spacing w:after="0" w:line="240" w:lineRule="auto"/>
              <w:rPr>
                <w:rFonts w:ascii="Calibri" w:eastAsia="Times New Roman" w:hAnsi="Calibri" w:cs="Arial"/>
                <w:color w:val="0070C0"/>
                <w:kern w:val="0"/>
                <w:lang w:val="es-ES_tradnl" w:eastAsia="es-CR"/>
                <w14:ligatures w14:val="none"/>
              </w:rPr>
            </w:pPr>
          </w:p>
          <w:p w14:paraId="11C21E31"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5F0CEFED"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0E5D44CC" w14:textId="77777777" w:rsidR="007B14D3" w:rsidRPr="007B14D3" w:rsidRDefault="007B14D3" w:rsidP="007B14D3">
            <w:pPr>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 xml:space="preserve">Guía para la participación mediante la herramienta Big Blue </w:t>
            </w:r>
            <w:proofErr w:type="spellStart"/>
            <w:r w:rsidRPr="007B14D3">
              <w:rPr>
                <w:rFonts w:ascii="Calibri" w:eastAsia="Times New Roman" w:hAnsi="Calibri" w:cs="Arial"/>
                <w:bCs/>
                <w:color w:val="0070C0"/>
                <w:kern w:val="0"/>
                <w:lang w:eastAsia="es-CR"/>
                <w14:ligatures w14:val="none"/>
              </w:rPr>
              <w:t>Button</w:t>
            </w:r>
            <w:proofErr w:type="spellEnd"/>
            <w:r w:rsidRPr="007B14D3">
              <w:rPr>
                <w:rFonts w:ascii="Calibri" w:eastAsia="Times New Roman" w:hAnsi="Calibri" w:cs="Arial"/>
                <w:bCs/>
                <w:color w:val="0070C0"/>
                <w:kern w:val="0"/>
                <w:lang w:eastAsia="es-CR"/>
                <w14:ligatures w14:val="none"/>
              </w:rPr>
              <w:t xml:space="preserve"> en la plataforma Moodle</w:t>
            </w:r>
          </w:p>
        </w:tc>
        <w:tc>
          <w:tcPr>
            <w:tcW w:w="3119" w:type="dxa"/>
          </w:tcPr>
          <w:p w14:paraId="2B24F697" w14:textId="77777777" w:rsidR="007B14D3" w:rsidRPr="007B14D3" w:rsidRDefault="007B14D3" w:rsidP="007B14D3">
            <w:pPr>
              <w:widowControl w:val="0"/>
              <w:numPr>
                <w:ilvl w:val="0"/>
                <w:numId w:val="170"/>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Trabajo grupal, en un encuentro sincrónico virtual, en el cual se discutirá sobre aportes bíblico-teológicos para el diálogo </w:t>
            </w:r>
            <w:proofErr w:type="spellStart"/>
            <w:r w:rsidRPr="007B14D3">
              <w:rPr>
                <w:rFonts w:ascii="Calibri" w:eastAsia="Calibri" w:hAnsi="Calibri" w:cs="Arial"/>
                <w:kern w:val="0"/>
                <w14:ligatures w14:val="none"/>
              </w:rPr>
              <w:t>inter-religioso</w:t>
            </w:r>
            <w:proofErr w:type="spellEnd"/>
            <w:r w:rsidRPr="007B14D3">
              <w:rPr>
                <w:rFonts w:ascii="Calibri" w:eastAsia="Calibri" w:hAnsi="Calibri" w:cs="Arial"/>
                <w:kern w:val="0"/>
                <w14:ligatures w14:val="none"/>
              </w:rPr>
              <w:t xml:space="preserve"> y el intercambio cultural con las espiritualidades indo-afro de la región en las comunidades de fe (formativo).</w:t>
            </w:r>
          </w:p>
          <w:p w14:paraId="4414C656" w14:textId="77777777" w:rsidR="007B14D3" w:rsidRPr="007B14D3" w:rsidRDefault="007B14D3" w:rsidP="007B14D3">
            <w:pPr>
              <w:widowControl w:val="0"/>
              <w:numPr>
                <w:ilvl w:val="0"/>
                <w:numId w:val="170"/>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 xml:space="preserve">Finalizar el tríptico sobre diálogo </w:t>
            </w:r>
            <w:proofErr w:type="spellStart"/>
            <w:r w:rsidRPr="007B14D3">
              <w:rPr>
                <w:rFonts w:ascii="Calibri" w:eastAsia="Calibri" w:hAnsi="Calibri" w:cs="Arial"/>
                <w:kern w:val="0"/>
                <w14:ligatures w14:val="none"/>
              </w:rPr>
              <w:t>inter-religioso</w:t>
            </w:r>
            <w:proofErr w:type="spellEnd"/>
            <w:r w:rsidRPr="007B14D3">
              <w:rPr>
                <w:rFonts w:ascii="Calibri" w:eastAsia="Calibri" w:hAnsi="Calibri" w:cs="Arial"/>
                <w:kern w:val="0"/>
                <w14:ligatures w14:val="none"/>
              </w:rPr>
              <w:t>: marco referencial e intercambio cultural con pueblos originarios y afro-latinos. Agregar al tríptico las definiciones de los términos que ha utilizado que han sido trabajados en los glosarios. Público meta: su comunidad de fe.</w:t>
            </w:r>
          </w:p>
        </w:tc>
      </w:tr>
      <w:tr w:rsidR="007B14D3" w:rsidRPr="007B14D3" w14:paraId="74CEF6D4" w14:textId="77777777" w:rsidTr="4C9C2619">
        <w:trPr>
          <w:jc w:val="center"/>
        </w:trPr>
        <w:tc>
          <w:tcPr>
            <w:tcW w:w="1129" w:type="dxa"/>
          </w:tcPr>
          <w:p w14:paraId="4B98C36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3E8DC56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14 y 15</w:t>
            </w:r>
          </w:p>
          <w:p w14:paraId="5FDAB89D" w14:textId="77777777" w:rsidR="007B14D3" w:rsidRPr="007B14D3" w:rsidRDefault="007B14D3" w:rsidP="007B14D3">
            <w:pPr>
              <w:widowControl w:val="0"/>
              <w:overflowPunct w:val="0"/>
              <w:autoSpaceDE w:val="0"/>
              <w:autoSpaceDN w:val="0"/>
              <w:adjustRightInd w:val="0"/>
              <w:spacing w:after="0" w:line="240" w:lineRule="auto"/>
              <w:ind w:left="-147"/>
              <w:jc w:val="center"/>
              <w:rPr>
                <w:rFonts w:ascii="Calibri" w:eastAsia="Times New Roman" w:hAnsi="Calibri" w:cs="Arial"/>
                <w:color w:val="FF0000"/>
                <w:kern w:val="0"/>
                <w:lang w:val="es-ES_tradnl" w:eastAsia="es-CR"/>
                <w14:ligatures w14:val="none"/>
              </w:rPr>
            </w:pPr>
          </w:p>
        </w:tc>
        <w:tc>
          <w:tcPr>
            <w:tcW w:w="2410" w:type="dxa"/>
          </w:tcPr>
          <w:p w14:paraId="64E941B7" w14:textId="77777777" w:rsidR="007B14D3" w:rsidRPr="007B14D3" w:rsidRDefault="007B14D3" w:rsidP="007B14D3">
            <w:pPr>
              <w:spacing w:after="0" w:line="240" w:lineRule="auto"/>
              <w:rPr>
                <w:rFonts w:ascii="Calibri" w:eastAsia="Times New Roman" w:hAnsi="Calibri" w:cs="Arial"/>
                <w:b/>
                <w:bCs/>
                <w:kern w:val="0"/>
                <w:lang w:val="es-ES_tradnl" w:eastAsia="es-CR"/>
                <w14:ligatures w14:val="none"/>
              </w:rPr>
            </w:pPr>
            <w:r w:rsidRPr="007B14D3">
              <w:rPr>
                <w:rFonts w:ascii="Calibri" w:eastAsia="Times New Roman" w:hAnsi="Calibri" w:cs="Arial"/>
                <w:b/>
                <w:bCs/>
                <w:kern w:val="0"/>
                <w:lang w:val="es-ES_tradnl" w:eastAsia="es-CR"/>
                <w14:ligatures w14:val="none"/>
              </w:rPr>
              <w:t>Unidad 4: Elementos básicos para el diálogo ecuménico en Abya-Yala</w:t>
            </w:r>
          </w:p>
          <w:p w14:paraId="638AEBC9"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p w14:paraId="638463D8"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r w:rsidRPr="007B14D3">
              <w:rPr>
                <w:rFonts w:ascii="Calibri" w:eastAsia="Times New Roman" w:hAnsi="Calibri" w:cs="Arial"/>
                <w:kern w:val="0"/>
                <w:lang w:val="es-ES_tradnl" w:eastAsia="es-CR"/>
                <w14:ligatures w14:val="none"/>
              </w:rPr>
              <w:t>4.3 Enlace y visión teológica</w:t>
            </w:r>
          </w:p>
          <w:p w14:paraId="68F74FE6" w14:textId="77777777" w:rsidR="007B14D3" w:rsidRPr="007B14D3" w:rsidRDefault="007B14D3" w:rsidP="007B14D3">
            <w:pPr>
              <w:spacing w:after="0" w:line="240" w:lineRule="auto"/>
              <w:rPr>
                <w:rFonts w:ascii="Calibri" w:eastAsia="Times New Roman" w:hAnsi="Calibri" w:cs="Arial"/>
                <w:kern w:val="0"/>
                <w:lang w:val="es-ES_tradnl" w:eastAsia="es-CR"/>
                <w14:ligatures w14:val="none"/>
              </w:rPr>
            </w:pPr>
          </w:p>
        </w:tc>
        <w:tc>
          <w:tcPr>
            <w:tcW w:w="2693" w:type="dxa"/>
          </w:tcPr>
          <w:p w14:paraId="72C1231D" w14:textId="77777777" w:rsidR="007B14D3" w:rsidRPr="007B14D3" w:rsidRDefault="007B14D3" w:rsidP="007B14D3">
            <w:pPr>
              <w:spacing w:after="0" w:line="240" w:lineRule="auto"/>
              <w:rPr>
                <w:rFonts w:ascii="Calibri" w:eastAsia="Times New Roman" w:hAnsi="Calibri" w:cs="Arial"/>
                <w:color w:val="0070C0"/>
                <w:kern w:val="0"/>
                <w:lang w:val="es-ES_tradnl" w:eastAsia="es-CR"/>
                <w14:ligatures w14:val="none"/>
              </w:rPr>
            </w:pPr>
            <w:r w:rsidRPr="007B14D3">
              <w:rPr>
                <w:rFonts w:ascii="Calibri" w:eastAsia="Times New Roman" w:hAnsi="Calibri" w:cs="Arial"/>
                <w:color w:val="0070C0"/>
                <w:kern w:val="0"/>
                <w:lang w:val="es-ES_tradnl" w:eastAsia="es-CR"/>
                <w14:ligatures w14:val="none"/>
              </w:rPr>
              <w:t>Ruta de aprendizaje</w:t>
            </w:r>
          </w:p>
          <w:p w14:paraId="766CF356" w14:textId="77777777" w:rsidR="007B14D3" w:rsidRPr="007B14D3" w:rsidRDefault="007B14D3" w:rsidP="007B14D3">
            <w:pPr>
              <w:spacing w:after="0" w:line="240" w:lineRule="auto"/>
              <w:rPr>
                <w:rFonts w:ascii="Calibri" w:eastAsia="Times New Roman" w:hAnsi="Calibri" w:cs="Arial"/>
                <w:color w:val="0070C0"/>
                <w:kern w:val="0"/>
                <w:lang w:val="es-ES_tradnl" w:eastAsia="es-CR"/>
                <w14:ligatures w14:val="none"/>
              </w:rPr>
            </w:pPr>
          </w:p>
          <w:p w14:paraId="4CC02859"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r w:rsidRPr="007B14D3">
              <w:rPr>
                <w:rFonts w:ascii="Calibri" w:eastAsia="Times New Roman" w:hAnsi="Calibri" w:cs="Arial"/>
                <w:b/>
                <w:color w:val="0070C0"/>
                <w:kern w:val="0"/>
                <w:lang w:eastAsia="es-CR"/>
                <w14:ligatures w14:val="none"/>
              </w:rPr>
              <w:t>Material complementario</w:t>
            </w:r>
          </w:p>
          <w:p w14:paraId="02D8ACC9" w14:textId="77777777" w:rsidR="007B14D3" w:rsidRPr="007B14D3" w:rsidRDefault="007B14D3" w:rsidP="007B14D3">
            <w:pPr>
              <w:spacing w:after="0" w:line="240" w:lineRule="auto"/>
              <w:rPr>
                <w:rFonts w:ascii="Calibri" w:eastAsia="Times New Roman" w:hAnsi="Calibri" w:cs="Arial"/>
                <w:b/>
                <w:color w:val="0070C0"/>
                <w:kern w:val="0"/>
                <w:lang w:eastAsia="es-CR"/>
                <w14:ligatures w14:val="none"/>
              </w:rPr>
            </w:pPr>
          </w:p>
          <w:p w14:paraId="4D695550" w14:textId="77777777" w:rsidR="007B14D3" w:rsidRPr="007B14D3" w:rsidRDefault="007B14D3" w:rsidP="007B14D3">
            <w:pPr>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70C0"/>
                <w:kern w:val="0"/>
                <w:lang w:eastAsia="es-CR"/>
                <w14:ligatures w14:val="none"/>
              </w:rPr>
              <w:t>Guía para la participación en un foro en la plataforma Moodle</w:t>
            </w:r>
          </w:p>
        </w:tc>
        <w:tc>
          <w:tcPr>
            <w:tcW w:w="3119" w:type="dxa"/>
          </w:tcPr>
          <w:p w14:paraId="5CFAC40A" w14:textId="77777777" w:rsidR="007B14D3" w:rsidRPr="007B14D3" w:rsidRDefault="007B14D3" w:rsidP="007B14D3">
            <w:pPr>
              <w:widowControl w:val="0"/>
              <w:numPr>
                <w:ilvl w:val="0"/>
                <w:numId w:val="17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Entrega de los trípticos (sesión 14) y evaluación general del curso (sesión 15): aprendizajes y desafíos a través de un foro.</w:t>
            </w:r>
          </w:p>
          <w:p w14:paraId="1B3FACA5" w14:textId="77777777" w:rsidR="007B14D3" w:rsidRPr="007B14D3" w:rsidRDefault="007B14D3" w:rsidP="007B14D3">
            <w:pPr>
              <w:widowControl w:val="0"/>
              <w:numPr>
                <w:ilvl w:val="0"/>
                <w:numId w:val="171"/>
              </w:numPr>
              <w:overflowPunct w:val="0"/>
              <w:autoSpaceDE w:val="0"/>
              <w:autoSpaceDN w:val="0"/>
              <w:adjustRightInd w:val="0"/>
              <w:spacing w:before="120" w:after="200" w:line="276" w:lineRule="auto"/>
              <w:ind w:left="326" w:right="35"/>
              <w:contextualSpacing/>
              <w:rPr>
                <w:rFonts w:ascii="Calibri" w:eastAsia="Calibri" w:hAnsi="Calibri" w:cs="Arial"/>
                <w:kern w:val="0"/>
                <w14:ligatures w14:val="none"/>
              </w:rPr>
            </w:pPr>
            <w:r w:rsidRPr="007B14D3">
              <w:rPr>
                <w:rFonts w:ascii="Calibri" w:eastAsia="Calibri" w:hAnsi="Calibri" w:cs="Arial"/>
                <w:kern w:val="0"/>
                <w14:ligatures w14:val="none"/>
              </w:rPr>
              <w:t>Participación en el foro: Evaluación general del curso (sesión 15) (formativo).</w:t>
            </w:r>
          </w:p>
        </w:tc>
      </w:tr>
    </w:tbl>
    <w:p w14:paraId="42E00865"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7AEDB64" w14:textId="77777777" w:rsidR="007B14D3" w:rsidRPr="007B14D3" w:rsidRDefault="007B14D3" w:rsidP="007B14D3">
      <w:pPr>
        <w:rPr>
          <w:rFonts w:ascii="Calibri" w:eastAsia="Times New Roman" w:hAnsi="Calibri" w:cs="Calibri"/>
          <w:b/>
          <w:bCs/>
          <w:color w:val="000000"/>
          <w:kern w:val="0"/>
          <w:lang w:val="es-ES_tradnl" w:eastAsia="es-CR"/>
          <w14:ligatures w14:val="none"/>
        </w:rPr>
      </w:pPr>
      <w:r w:rsidRPr="007B14D3">
        <w:rPr>
          <w:rFonts w:ascii="Calibri" w:eastAsia="Times New Roman" w:hAnsi="Calibri" w:cs="Calibri"/>
          <w:b/>
          <w:bCs/>
          <w:color w:val="000000"/>
          <w:kern w:val="0"/>
          <w:lang w:val="es-ES_tradnl" w:eastAsia="es-CR"/>
          <w14:ligatures w14:val="none"/>
        </w:rPr>
        <w:br w:type="page"/>
      </w:r>
    </w:p>
    <w:p w14:paraId="7A2356DA"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7B14D3">
        <w:rPr>
          <w:rFonts w:ascii="Calibri" w:eastAsia="Times New Roman" w:hAnsi="Calibri" w:cs="Calibri"/>
          <w:b/>
          <w:bCs/>
          <w:color w:val="000000"/>
          <w:kern w:val="0"/>
          <w:lang w:val="es-ES_tradnl" w:eastAsia="es-CR"/>
          <w14:ligatures w14:val="none"/>
        </w:rPr>
        <w:lastRenderedPageBreak/>
        <w:t>IX. Distribución de tiempo semanal</w:t>
      </w:r>
    </w:p>
    <w:p w14:paraId="38C7ECFF"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7B14D3">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y las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 La distribución de tiempos es la siguiente:</w:t>
      </w:r>
    </w:p>
    <w:p w14:paraId="68DBB997"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8784" w:type="dxa"/>
        <w:tblLook w:val="04A0" w:firstRow="1" w:lastRow="0" w:firstColumn="1" w:lastColumn="0" w:noHBand="0" w:noVBand="1"/>
      </w:tblPr>
      <w:tblGrid>
        <w:gridCol w:w="2263"/>
        <w:gridCol w:w="1276"/>
        <w:gridCol w:w="5245"/>
      </w:tblGrid>
      <w:tr w:rsidR="007B14D3" w:rsidRPr="007B14D3" w14:paraId="0B43FD88" w14:textId="77777777" w:rsidTr="4C9C2619">
        <w:tc>
          <w:tcPr>
            <w:tcW w:w="2263" w:type="dxa"/>
          </w:tcPr>
          <w:p w14:paraId="506BD695"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7B14D3">
              <w:rPr>
                <w:rFonts w:ascii="Calibri" w:eastAsia="Times New Roman" w:hAnsi="Calibri" w:cs="Calibri"/>
                <w:b/>
                <w:bCs/>
                <w:color w:val="000000"/>
                <w:lang w:val="es-ES_tradnl" w:eastAsia="es-CR"/>
              </w:rPr>
              <w:t>Tipo de horas</w:t>
            </w:r>
          </w:p>
          <w:p w14:paraId="5413EE37"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7B14D3">
              <w:rPr>
                <w:rFonts w:ascii="Calibri" w:eastAsia="Times New Roman" w:hAnsi="Calibri" w:cs="Calibri"/>
                <w:b/>
                <w:bCs/>
                <w:color w:val="000000"/>
                <w:lang w:val="es-ES_tradnl" w:eastAsia="es-CR"/>
              </w:rPr>
              <w:t>(categoría)</w:t>
            </w:r>
          </w:p>
        </w:tc>
        <w:tc>
          <w:tcPr>
            <w:tcW w:w="1276" w:type="dxa"/>
          </w:tcPr>
          <w:p w14:paraId="1BA696E3"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7B14D3">
              <w:rPr>
                <w:rFonts w:ascii="Calibri" w:eastAsia="Times New Roman" w:hAnsi="Calibri" w:cs="Calibri"/>
                <w:b/>
                <w:bCs/>
                <w:color w:val="000000"/>
                <w:lang w:val="es-ES_tradnl" w:eastAsia="es-CR"/>
              </w:rPr>
              <w:t>Horas por semana</w:t>
            </w:r>
          </w:p>
        </w:tc>
        <w:tc>
          <w:tcPr>
            <w:tcW w:w="5245" w:type="dxa"/>
            <w:vAlign w:val="center"/>
          </w:tcPr>
          <w:p w14:paraId="60F75350"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7B14D3">
              <w:rPr>
                <w:rFonts w:ascii="Calibri" w:eastAsia="Times New Roman" w:hAnsi="Calibri" w:cs="Calibri"/>
                <w:b/>
                <w:bCs/>
                <w:color w:val="000000"/>
                <w:lang w:val="es-ES_tradnl" w:eastAsia="es-CR"/>
              </w:rPr>
              <w:t>Actividades relacionadas</w:t>
            </w:r>
          </w:p>
        </w:tc>
      </w:tr>
      <w:tr w:rsidR="007B14D3" w:rsidRPr="007B14D3" w14:paraId="09C65955" w14:textId="77777777" w:rsidTr="4C9C2619">
        <w:trPr>
          <w:trHeight w:val="1033"/>
        </w:trPr>
        <w:tc>
          <w:tcPr>
            <w:tcW w:w="2263" w:type="dxa"/>
            <w:vAlign w:val="center"/>
          </w:tcPr>
          <w:p w14:paraId="4A61F93C"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Horas de Estudio Individual (HEI)</w:t>
            </w:r>
          </w:p>
        </w:tc>
        <w:tc>
          <w:tcPr>
            <w:tcW w:w="1276" w:type="dxa"/>
            <w:vAlign w:val="center"/>
          </w:tcPr>
          <w:p w14:paraId="2BA360CB"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4</w:t>
            </w:r>
          </w:p>
        </w:tc>
        <w:tc>
          <w:tcPr>
            <w:tcW w:w="5245" w:type="dxa"/>
          </w:tcPr>
          <w:p w14:paraId="35C51819" w14:textId="77777777" w:rsidR="007B14D3" w:rsidRPr="007B14D3" w:rsidRDefault="007B14D3" w:rsidP="007B14D3">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Lectura de los textos (materiales en formato digital).</w:t>
            </w:r>
          </w:p>
          <w:p w14:paraId="653A5471" w14:textId="77777777" w:rsidR="007B14D3" w:rsidRPr="007B14D3" w:rsidRDefault="007B14D3" w:rsidP="007B14D3">
            <w:pPr>
              <w:widowControl w:val="0"/>
              <w:numPr>
                <w:ilvl w:val="0"/>
                <w:numId w:val="34"/>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Análisis de lecturas e investigación por cuenta propia.</w:t>
            </w:r>
          </w:p>
        </w:tc>
      </w:tr>
      <w:tr w:rsidR="007B14D3" w:rsidRPr="007B14D3" w14:paraId="08228242" w14:textId="77777777" w:rsidTr="4C9C2619">
        <w:trPr>
          <w:trHeight w:val="1542"/>
        </w:trPr>
        <w:tc>
          <w:tcPr>
            <w:tcW w:w="2263" w:type="dxa"/>
            <w:vAlign w:val="center"/>
          </w:tcPr>
          <w:p w14:paraId="195DC309"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Horas de Trabajo Colaborativo (HTC)</w:t>
            </w:r>
          </w:p>
        </w:tc>
        <w:tc>
          <w:tcPr>
            <w:tcW w:w="1276" w:type="dxa"/>
            <w:vAlign w:val="center"/>
          </w:tcPr>
          <w:p w14:paraId="3D0FE9BD"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4</w:t>
            </w:r>
          </w:p>
        </w:tc>
        <w:tc>
          <w:tcPr>
            <w:tcW w:w="5245" w:type="dxa"/>
          </w:tcPr>
          <w:p w14:paraId="2686DDB7" w14:textId="77777777" w:rsidR="007B14D3" w:rsidRPr="007B14D3" w:rsidRDefault="007B14D3" w:rsidP="007B14D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Participación en la elaboración de mapas mentales.</w:t>
            </w:r>
          </w:p>
          <w:p w14:paraId="1EF47818" w14:textId="77777777" w:rsidR="007B14D3" w:rsidRPr="007B14D3" w:rsidRDefault="007B14D3" w:rsidP="007B14D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Participación en la elaboración de un resumen.</w:t>
            </w:r>
          </w:p>
          <w:p w14:paraId="23AFF68E" w14:textId="77777777" w:rsidR="007B14D3" w:rsidRPr="007B14D3" w:rsidRDefault="007B14D3" w:rsidP="007B14D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Participación en la elaboración de un tríptico.</w:t>
            </w:r>
          </w:p>
          <w:p w14:paraId="30926427" w14:textId="77777777" w:rsidR="007B14D3" w:rsidRPr="007B14D3" w:rsidRDefault="007B14D3" w:rsidP="007B14D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Participación en la elaboración de glosarios.</w:t>
            </w:r>
          </w:p>
          <w:p w14:paraId="7B18F957" w14:textId="77777777" w:rsidR="007B14D3" w:rsidRPr="007B14D3" w:rsidRDefault="007B14D3" w:rsidP="007B14D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Participación en los encuentros sincrónicos virtuales.</w:t>
            </w:r>
          </w:p>
        </w:tc>
      </w:tr>
      <w:tr w:rsidR="007B14D3" w:rsidRPr="007B14D3" w14:paraId="7CE56E85" w14:textId="77777777" w:rsidTr="4C9C2619">
        <w:trPr>
          <w:trHeight w:val="1552"/>
        </w:trPr>
        <w:tc>
          <w:tcPr>
            <w:tcW w:w="2263" w:type="dxa"/>
            <w:vAlign w:val="center"/>
          </w:tcPr>
          <w:p w14:paraId="2EEBD700"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Horas de Producción Individual (HPI)</w:t>
            </w:r>
          </w:p>
        </w:tc>
        <w:tc>
          <w:tcPr>
            <w:tcW w:w="1276" w:type="dxa"/>
            <w:vAlign w:val="center"/>
          </w:tcPr>
          <w:p w14:paraId="28A3D73E"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3</w:t>
            </w:r>
          </w:p>
        </w:tc>
        <w:tc>
          <w:tcPr>
            <w:tcW w:w="5245" w:type="dxa"/>
          </w:tcPr>
          <w:p w14:paraId="308540DD"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Elaboración de presentaciones audiovisuales.</w:t>
            </w:r>
          </w:p>
          <w:p w14:paraId="031621E0"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Elaboración de un mapa conceptual.</w:t>
            </w:r>
          </w:p>
          <w:p w14:paraId="031E3BB6"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Elaboración de audiovisuales y ensayo.</w:t>
            </w:r>
          </w:p>
          <w:p w14:paraId="39E5647A"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Elaboración de un resumen.</w:t>
            </w:r>
          </w:p>
          <w:p w14:paraId="304C5F01"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Elaboración de un tríptico.</w:t>
            </w:r>
          </w:p>
        </w:tc>
      </w:tr>
      <w:tr w:rsidR="007B14D3" w:rsidRPr="007B14D3" w14:paraId="63E11A5F" w14:textId="77777777" w:rsidTr="4C9C2619">
        <w:trPr>
          <w:trHeight w:val="696"/>
        </w:trPr>
        <w:tc>
          <w:tcPr>
            <w:tcW w:w="2263" w:type="dxa"/>
            <w:vAlign w:val="center"/>
          </w:tcPr>
          <w:p w14:paraId="08CDD743"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Horas de Práctica (HP)</w:t>
            </w:r>
          </w:p>
        </w:tc>
        <w:tc>
          <w:tcPr>
            <w:tcW w:w="1276" w:type="dxa"/>
            <w:vAlign w:val="center"/>
          </w:tcPr>
          <w:p w14:paraId="5BC7CB07"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7B14D3">
              <w:rPr>
                <w:rFonts w:ascii="Calibri" w:eastAsia="Times New Roman" w:hAnsi="Calibri" w:cs="Calibri"/>
                <w:bCs/>
                <w:color w:val="000000"/>
                <w:lang w:val="es-ES_tradnl" w:eastAsia="es-CR"/>
              </w:rPr>
              <w:t>1</w:t>
            </w:r>
          </w:p>
        </w:tc>
        <w:tc>
          <w:tcPr>
            <w:tcW w:w="5245" w:type="dxa"/>
          </w:tcPr>
          <w:p w14:paraId="1AC4B365"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Prediagnóstico sobre diálogo interreligioso.</w:t>
            </w:r>
          </w:p>
          <w:p w14:paraId="0722FA18" w14:textId="77777777" w:rsidR="007B14D3" w:rsidRPr="007B14D3" w:rsidRDefault="007B14D3" w:rsidP="007B14D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7B14D3">
              <w:rPr>
                <w:rFonts w:ascii="Calibri" w:eastAsia="Calibri" w:hAnsi="Calibri" w:cs="Calibri"/>
                <w:bCs/>
                <w:color w:val="000000"/>
              </w:rPr>
              <w:t>Desarrollo de una investigación breve.</w:t>
            </w:r>
          </w:p>
        </w:tc>
      </w:tr>
      <w:tr w:rsidR="007B14D3" w:rsidRPr="007B14D3" w14:paraId="7B792BC5" w14:textId="77777777" w:rsidTr="4C9C2619">
        <w:tc>
          <w:tcPr>
            <w:tcW w:w="2263" w:type="dxa"/>
            <w:vAlign w:val="center"/>
          </w:tcPr>
          <w:p w14:paraId="4DBD9C6E" w14:textId="77777777" w:rsidR="007B14D3" w:rsidRPr="007B14D3" w:rsidRDefault="4C9C2619" w:rsidP="4C9C2619">
            <w:pPr>
              <w:widowControl w:val="0"/>
              <w:overflowPunct w:val="0"/>
              <w:autoSpaceDE w:val="0"/>
              <w:autoSpaceDN w:val="0"/>
              <w:adjustRightInd w:val="0"/>
              <w:jc w:val="center"/>
              <w:rPr>
                <w:rFonts w:ascii="Calibri" w:eastAsia="Times New Roman" w:hAnsi="Calibri" w:cs="Calibri"/>
                <w:b/>
                <w:bCs/>
                <w:color w:val="000000"/>
                <w:lang w:val="es-ES" w:eastAsia="es-CR"/>
              </w:rPr>
            </w:pPr>
            <w:r w:rsidRPr="4C9C2619">
              <w:rPr>
                <w:rFonts w:ascii="Calibri" w:eastAsia="Times New Roman" w:hAnsi="Calibri" w:cs="Calibri"/>
                <w:b/>
                <w:bCs/>
                <w:color w:val="000000" w:themeColor="text1"/>
                <w:lang w:val="es-ES" w:eastAsia="es-CR"/>
              </w:rPr>
              <w:t>Total de horas (TH)</w:t>
            </w:r>
          </w:p>
        </w:tc>
        <w:tc>
          <w:tcPr>
            <w:tcW w:w="1276" w:type="dxa"/>
          </w:tcPr>
          <w:p w14:paraId="7E2713B4"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7B14D3">
              <w:rPr>
                <w:rFonts w:ascii="Calibri" w:eastAsia="Times New Roman" w:hAnsi="Calibri" w:cs="Calibri"/>
                <w:b/>
                <w:bCs/>
                <w:color w:val="000000"/>
                <w:lang w:val="es-ES_tradnl" w:eastAsia="es-CR"/>
              </w:rPr>
              <w:t>12</w:t>
            </w:r>
          </w:p>
        </w:tc>
        <w:tc>
          <w:tcPr>
            <w:tcW w:w="5245" w:type="dxa"/>
          </w:tcPr>
          <w:p w14:paraId="3C2BE83C" w14:textId="77777777" w:rsidR="007B14D3" w:rsidRPr="007B14D3" w:rsidRDefault="007B14D3" w:rsidP="007B14D3">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72912CEF"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675BD24" w14:textId="77777777" w:rsidR="007B14D3" w:rsidRPr="007B14D3" w:rsidRDefault="007B14D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2DE5F2B5"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699CE16B"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280B3A4"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E787863"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p>
    <w:p w14:paraId="4EAF57B0"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p>
    <w:p w14:paraId="37C3E017" w14:textId="77777777" w:rsidR="007B14D3" w:rsidRPr="007B14D3" w:rsidRDefault="007B14D3" w:rsidP="007B14D3">
      <w:pPr>
        <w:widowControl w:val="0"/>
        <w:overflowPunct w:val="0"/>
        <w:autoSpaceDE w:val="0"/>
        <w:autoSpaceDN w:val="0"/>
        <w:adjustRightInd w:val="0"/>
        <w:spacing w:before="120" w:after="0" w:line="240" w:lineRule="auto"/>
        <w:rPr>
          <w:rFonts w:ascii="Calibri" w:eastAsia="Times New Roman" w:hAnsi="Calibri" w:cs="Calibri"/>
          <w:bCs/>
          <w:color w:val="000000"/>
          <w:kern w:val="0"/>
          <w:lang w:val="es-ES_tradnl" w:eastAsia="es-CR"/>
          <w14:ligatures w14:val="none"/>
        </w:rPr>
      </w:pPr>
    </w:p>
    <w:p w14:paraId="7078B46F" w14:textId="77777777" w:rsidR="007B14D3" w:rsidRPr="007B14D3" w:rsidRDefault="007B14D3" w:rsidP="007B14D3">
      <w:pPr>
        <w:rPr>
          <w:rFonts w:ascii="Calibri" w:eastAsia="Times New Roman" w:hAnsi="Calibri" w:cs="Calibri"/>
          <w:b/>
          <w:bCs/>
          <w:color w:val="000000"/>
          <w:kern w:val="0"/>
          <w:lang w:val="es-ES_tradnl" w:eastAsia="es-CR"/>
          <w14:ligatures w14:val="none"/>
        </w:rPr>
      </w:pPr>
      <w:r w:rsidRPr="007B14D3">
        <w:rPr>
          <w:rFonts w:ascii="Calibri" w:eastAsia="Times New Roman" w:hAnsi="Calibri" w:cs="Calibri"/>
          <w:b/>
          <w:bCs/>
          <w:color w:val="000000"/>
          <w:kern w:val="0"/>
          <w:lang w:val="es-ES_tradnl" w:eastAsia="es-CR"/>
          <w14:ligatures w14:val="none"/>
        </w:rPr>
        <w:br w:type="page"/>
      </w:r>
    </w:p>
    <w:p w14:paraId="61AEFD9C" w14:textId="77777777" w:rsidR="007B14D3" w:rsidRPr="007B14D3" w:rsidRDefault="007B14D3" w:rsidP="007B14D3">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7B14D3">
        <w:rPr>
          <w:rFonts w:ascii="Calibri" w:eastAsia="Times New Roman" w:hAnsi="Calibri" w:cs="Calibri"/>
          <w:b/>
          <w:bCs/>
          <w:color w:val="000000"/>
          <w:kern w:val="0"/>
          <w:lang w:val="es-ES_tradnl" w:eastAsia="es-CR"/>
          <w14:ligatures w14:val="none"/>
        </w:rPr>
        <w:lastRenderedPageBreak/>
        <w:t xml:space="preserve">X. Evaluación </w:t>
      </w:r>
    </w:p>
    <w:p w14:paraId="11442A1C" w14:textId="77777777" w:rsidR="007B14D3" w:rsidRPr="007B14D3" w:rsidRDefault="007B14D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Los procesos de evaluación incorporan la coevaluación y la autoevaluación, las cuales buscan medir durante el curso el alcance de los objetivos planteados. La dimensión diagnóstica considera los conocimientos previos de los y las estudiantes para detectar la situación inicial de conocimiento respecto a los temas del curso. La evaluación formativa busca acompañar y proveer retroalimentación a los y las estudiantes y la evaluación sumativa está basada en todas las actividades de aprendizaje, las cuales son evaluadas por medio de rúbricas o escalas. El curso se aprueba con una nota mínima de 7.00 (siete en escala decimal). Los porcentajes asignados a cada elemento de evaluación son los siguientes:</w:t>
      </w:r>
    </w:p>
    <w:p w14:paraId="7F101EE1" w14:textId="77777777" w:rsidR="007B14D3" w:rsidRPr="007B14D3" w:rsidRDefault="007B14D3" w:rsidP="007B14D3">
      <w:pPr>
        <w:widowControl w:val="0"/>
        <w:overflowPunct w:val="0"/>
        <w:autoSpaceDE w:val="0"/>
        <w:autoSpaceDN w:val="0"/>
        <w:adjustRightInd w:val="0"/>
        <w:spacing w:before="120" w:after="0" w:line="240" w:lineRule="auto"/>
        <w:rPr>
          <w:rFonts w:ascii="Arial" w:eastAsia="Times New Roman" w:hAnsi="Arial" w:cs="Arial"/>
          <w:b/>
          <w:color w:val="0070C0"/>
          <w:kern w:val="0"/>
          <w:sz w:val="24"/>
          <w:szCs w:val="20"/>
          <w:lang w:val="es-ES_tradnl" w:eastAsia="es-CR"/>
          <w14:ligatures w14:val="non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3"/>
        <w:gridCol w:w="1377"/>
      </w:tblGrid>
      <w:tr w:rsidR="007B14D3" w:rsidRPr="007B14D3" w14:paraId="7374D713" w14:textId="77777777" w:rsidTr="4C9C2619">
        <w:tc>
          <w:tcPr>
            <w:tcW w:w="8720" w:type="dxa"/>
            <w:gridSpan w:val="2"/>
          </w:tcPr>
          <w:p w14:paraId="287D8C1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Síntesis cuantitativa de la evaluación</w:t>
            </w:r>
          </w:p>
        </w:tc>
      </w:tr>
      <w:tr w:rsidR="007B14D3" w:rsidRPr="007B14D3" w14:paraId="61D24DD5" w14:textId="77777777" w:rsidTr="4C9C2619">
        <w:tc>
          <w:tcPr>
            <w:tcW w:w="7343" w:type="dxa"/>
            <w:vAlign w:val="center"/>
          </w:tcPr>
          <w:p w14:paraId="646BE9F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Rubros para evaluar</w:t>
            </w:r>
          </w:p>
        </w:tc>
        <w:tc>
          <w:tcPr>
            <w:tcW w:w="1377" w:type="dxa"/>
          </w:tcPr>
          <w:p w14:paraId="1AFC72F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Porcentaje total</w:t>
            </w:r>
          </w:p>
        </w:tc>
      </w:tr>
      <w:tr w:rsidR="007B14D3" w:rsidRPr="007B14D3" w14:paraId="1EC97A08" w14:textId="77777777" w:rsidTr="4C9C2619">
        <w:tc>
          <w:tcPr>
            <w:tcW w:w="7343" w:type="dxa"/>
            <w:vAlign w:val="center"/>
          </w:tcPr>
          <w:p w14:paraId="5C00CCC1"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i/>
                <w:iCs/>
                <w:color w:val="000000"/>
                <w:kern w:val="0"/>
                <w:lang w:val="es-ES_tradnl" w:eastAsia="es-CR"/>
                <w14:ligatures w14:val="none"/>
              </w:rPr>
            </w:pPr>
            <w:r w:rsidRPr="007B14D3">
              <w:rPr>
                <w:rFonts w:ascii="Calibri" w:eastAsia="Times New Roman" w:hAnsi="Calibri" w:cs="Arial"/>
                <w:b/>
                <w:i/>
                <w:iCs/>
                <w:color w:val="000000"/>
                <w:kern w:val="0"/>
                <w:lang w:val="es-ES_tradnl" w:eastAsia="es-CR"/>
                <w14:ligatures w14:val="none"/>
              </w:rPr>
              <w:t>Encuentros sincrónicos virtuales</w:t>
            </w:r>
          </w:p>
          <w:p w14:paraId="25BBE2EE"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Se llevan a cabo en las sesiones 1, 2, 8 y 13. Tienen un valor formativo y no sumativo.</w:t>
            </w:r>
          </w:p>
        </w:tc>
        <w:tc>
          <w:tcPr>
            <w:tcW w:w="1377" w:type="dxa"/>
            <w:vAlign w:val="center"/>
          </w:tcPr>
          <w:p w14:paraId="33FD7DA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Calibri"/>
                <w:b/>
                <w:color w:val="000000"/>
                <w:kern w:val="0"/>
                <w:lang w:val="es-ES_tradnl" w:eastAsia="es-CR"/>
                <w14:ligatures w14:val="none"/>
              </w:rPr>
              <w:t>̶</w:t>
            </w:r>
          </w:p>
        </w:tc>
      </w:tr>
      <w:tr w:rsidR="007B14D3" w:rsidRPr="007B14D3" w14:paraId="1B0E7129" w14:textId="77777777" w:rsidTr="4C9C2619">
        <w:trPr>
          <w:trHeight w:val="2089"/>
        </w:trPr>
        <w:tc>
          <w:tcPr>
            <w:tcW w:w="7343" w:type="dxa"/>
            <w:vAlign w:val="center"/>
          </w:tcPr>
          <w:p w14:paraId="325B5801"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 xml:space="preserve">Tareas personales </w:t>
            </w:r>
          </w:p>
          <w:p w14:paraId="754BE2B2"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Se realizan un total de seis tareas personales que se distribuyen de la siguiente forma:</w:t>
            </w:r>
          </w:p>
          <w:p w14:paraId="7B44B9AD"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16941B29"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Las siguientes tareas tienen un valor de 5% cada una:</w:t>
            </w:r>
          </w:p>
          <w:p w14:paraId="4AE2AA5E"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Dos presentaciones audiovisuales (sesiones 1 y 3).</w:t>
            </w:r>
          </w:p>
          <w:p w14:paraId="74AEB402"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Mapa conceptual (sesión 3).</w:t>
            </w:r>
          </w:p>
          <w:p w14:paraId="6D3CA516"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Resumen (sesión 6).</w:t>
            </w:r>
          </w:p>
          <w:p w14:paraId="4A9640A4"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013AB2F7"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Las siguientes tareas tienen un valor de 10% cada una:</w:t>
            </w:r>
          </w:p>
          <w:p w14:paraId="43F069F9"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Audiovisuales y ensayos (sesiones 5 y 6).</w:t>
            </w:r>
          </w:p>
        </w:tc>
        <w:tc>
          <w:tcPr>
            <w:tcW w:w="1377" w:type="dxa"/>
            <w:vAlign w:val="center"/>
          </w:tcPr>
          <w:p w14:paraId="791E50C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40%</w:t>
            </w:r>
          </w:p>
        </w:tc>
      </w:tr>
      <w:tr w:rsidR="007B14D3" w:rsidRPr="007B14D3" w14:paraId="13B9703B" w14:textId="77777777" w:rsidTr="4C9C2619">
        <w:trPr>
          <w:trHeight w:val="531"/>
        </w:trPr>
        <w:tc>
          <w:tcPr>
            <w:tcW w:w="7343" w:type="dxa"/>
          </w:tcPr>
          <w:p w14:paraId="1417FDA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Prediagnóstico interreligioso</w:t>
            </w:r>
          </w:p>
          <w:p w14:paraId="776A954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Se lleva a cabo en la sesión 10.</w:t>
            </w:r>
          </w:p>
        </w:tc>
        <w:tc>
          <w:tcPr>
            <w:tcW w:w="1377" w:type="dxa"/>
            <w:vAlign w:val="center"/>
          </w:tcPr>
          <w:p w14:paraId="4EEDCC0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15%</w:t>
            </w:r>
          </w:p>
        </w:tc>
      </w:tr>
      <w:tr w:rsidR="007B14D3" w:rsidRPr="007B14D3" w14:paraId="2575E7AD" w14:textId="77777777" w:rsidTr="4C9C2619">
        <w:tc>
          <w:tcPr>
            <w:tcW w:w="7343" w:type="dxa"/>
          </w:tcPr>
          <w:p w14:paraId="4C133DA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 xml:space="preserve">Trabajos en grupos </w:t>
            </w:r>
          </w:p>
          <w:p w14:paraId="19322989" w14:textId="77777777" w:rsidR="007B14D3" w:rsidRPr="007B14D3" w:rsidRDefault="007B14D3" w:rsidP="4C9C261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Se realizan un total de cuatro trabajos en grupos. Cada uno tiene un valor de 5% que se divide de la siguiente forma: un 3% corresponde a la coevaluación entre los y las estudiantes y un 2% corresponde a una autoevaluación. Los trabajos son los siguientes:</w:t>
            </w:r>
          </w:p>
          <w:p w14:paraId="347020C5"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Mapas mentales (sesiones 2 y 11).</w:t>
            </w:r>
          </w:p>
          <w:p w14:paraId="4CA601A7"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Resumen (sesión 4).</w:t>
            </w:r>
          </w:p>
          <w:p w14:paraId="179A4693"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 Tríptico sobre diálogo interreligioso (sesiones 9 a 14).</w:t>
            </w:r>
          </w:p>
        </w:tc>
        <w:tc>
          <w:tcPr>
            <w:tcW w:w="1377" w:type="dxa"/>
            <w:vAlign w:val="center"/>
          </w:tcPr>
          <w:p w14:paraId="1492464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p>
          <w:p w14:paraId="4A9DDEB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20%</w:t>
            </w:r>
          </w:p>
        </w:tc>
      </w:tr>
      <w:tr w:rsidR="007B14D3" w:rsidRPr="007B14D3" w14:paraId="6FFB12C3" w14:textId="77777777" w:rsidTr="4C9C2619">
        <w:trPr>
          <w:trHeight w:val="513"/>
        </w:trPr>
        <w:tc>
          <w:tcPr>
            <w:tcW w:w="7343" w:type="dxa"/>
          </w:tcPr>
          <w:p w14:paraId="37459F7B"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Glosarios grupales</w:t>
            </w:r>
          </w:p>
          <w:p w14:paraId="0503FE0A"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Se desarrollan en las sesiones 7 y 12. Cada glosario tiene un valor de 5%.</w:t>
            </w:r>
          </w:p>
        </w:tc>
        <w:tc>
          <w:tcPr>
            <w:tcW w:w="1377" w:type="dxa"/>
            <w:vAlign w:val="center"/>
          </w:tcPr>
          <w:p w14:paraId="05357CA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10%</w:t>
            </w:r>
          </w:p>
        </w:tc>
      </w:tr>
      <w:tr w:rsidR="007B14D3" w:rsidRPr="007B14D3" w14:paraId="2C9BECAE" w14:textId="77777777" w:rsidTr="4C9C2619">
        <w:tc>
          <w:tcPr>
            <w:tcW w:w="7343" w:type="dxa"/>
          </w:tcPr>
          <w:p w14:paraId="0E0BC0B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 xml:space="preserve">Tríptico (personal) </w:t>
            </w:r>
          </w:p>
          <w:p w14:paraId="73ED32A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color w:val="000000"/>
                <w:kern w:val="0"/>
                <w:lang w:val="es-ES_tradnl" w:eastAsia="es-CR"/>
                <w14:ligatures w14:val="none"/>
              </w:rPr>
              <w:t>Se elabora desde la sesión 9 hasta la 14.</w:t>
            </w:r>
          </w:p>
        </w:tc>
        <w:tc>
          <w:tcPr>
            <w:tcW w:w="1377" w:type="dxa"/>
            <w:vAlign w:val="center"/>
          </w:tcPr>
          <w:p w14:paraId="6DBDFCE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7B14D3">
              <w:rPr>
                <w:rFonts w:ascii="Calibri" w:eastAsia="Times New Roman" w:hAnsi="Calibri" w:cs="Arial"/>
                <w:color w:val="000000"/>
                <w:kern w:val="0"/>
                <w:lang w:val="es-ES_tradnl" w:eastAsia="es-CR"/>
                <w14:ligatures w14:val="none"/>
              </w:rPr>
              <w:t>15%</w:t>
            </w:r>
          </w:p>
        </w:tc>
      </w:tr>
      <w:tr w:rsidR="007B14D3" w:rsidRPr="007B14D3" w14:paraId="3F84C9FA" w14:textId="77777777" w:rsidTr="4C9C2619">
        <w:tc>
          <w:tcPr>
            <w:tcW w:w="7343" w:type="dxa"/>
            <w:tcBorders>
              <w:top w:val="single" w:sz="4" w:space="0" w:color="auto"/>
              <w:left w:val="single" w:sz="4" w:space="0" w:color="auto"/>
              <w:bottom w:val="single" w:sz="4" w:space="0" w:color="auto"/>
              <w:right w:val="single" w:sz="4" w:space="0" w:color="auto"/>
            </w:tcBorders>
          </w:tcPr>
          <w:p w14:paraId="74D3A30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bCs/>
                <w:color w:val="000000"/>
                <w:kern w:val="0"/>
                <w:lang w:val="es-ES_tradnl" w:eastAsia="es-CR"/>
                <w14:ligatures w14:val="none"/>
              </w:rPr>
            </w:pPr>
            <w:r w:rsidRPr="007B14D3">
              <w:rPr>
                <w:rFonts w:ascii="Calibri" w:eastAsia="Times New Roman" w:hAnsi="Calibri" w:cs="Arial"/>
                <w:b/>
                <w:bCs/>
                <w:color w:val="000000"/>
                <w:kern w:val="0"/>
                <w:lang w:val="es-ES_tradnl" w:eastAsia="es-CR"/>
                <w14:ligatures w14:val="none"/>
              </w:rPr>
              <w:t>Total</w:t>
            </w:r>
          </w:p>
        </w:tc>
        <w:tc>
          <w:tcPr>
            <w:tcW w:w="1377" w:type="dxa"/>
            <w:tcBorders>
              <w:top w:val="single" w:sz="4" w:space="0" w:color="auto"/>
              <w:left w:val="single" w:sz="4" w:space="0" w:color="auto"/>
              <w:bottom w:val="single" w:sz="4" w:space="0" w:color="auto"/>
              <w:right w:val="single" w:sz="4" w:space="0" w:color="auto"/>
            </w:tcBorders>
          </w:tcPr>
          <w:p w14:paraId="762333B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100%</w:t>
            </w:r>
          </w:p>
        </w:tc>
      </w:tr>
    </w:tbl>
    <w:p w14:paraId="64456072" w14:textId="77777777" w:rsidR="007B14D3" w:rsidRPr="007B14D3" w:rsidRDefault="007B14D3" w:rsidP="007B14D3">
      <w:pPr>
        <w:widowControl w:val="0"/>
        <w:overflowPunct w:val="0"/>
        <w:autoSpaceDE w:val="0"/>
        <w:autoSpaceDN w:val="0"/>
        <w:adjustRightInd w:val="0"/>
        <w:spacing w:after="0" w:line="240" w:lineRule="auto"/>
        <w:rPr>
          <w:rFonts w:ascii="Arial" w:eastAsia="Times New Roman" w:hAnsi="Arial" w:cs="Arial"/>
          <w:color w:val="0070C0"/>
          <w:kern w:val="0"/>
          <w:sz w:val="24"/>
          <w:szCs w:val="24"/>
          <w:lang w:val="es-ES_tradnl" w:eastAsia="es-CR"/>
          <w14:ligatures w14:val="none"/>
        </w:rPr>
      </w:pPr>
    </w:p>
    <w:p w14:paraId="5491F371" w14:textId="77777777" w:rsidR="007B14D3" w:rsidRPr="007B14D3" w:rsidRDefault="007B14D3" w:rsidP="007B14D3">
      <w:pPr>
        <w:rPr>
          <w:rFonts w:ascii="Arial" w:eastAsia="Times New Roman" w:hAnsi="Arial" w:cs="Arial"/>
          <w:b/>
          <w:bCs/>
          <w:color w:val="0070C0"/>
          <w:kern w:val="0"/>
          <w:sz w:val="24"/>
          <w:szCs w:val="24"/>
          <w:lang w:val="es-ES_tradnl" w:eastAsia="es-CR"/>
          <w14:ligatures w14:val="none"/>
        </w:rPr>
      </w:pPr>
      <w:r w:rsidRPr="007B14D3">
        <w:rPr>
          <w:rFonts w:ascii="Arial" w:eastAsia="Times New Roman" w:hAnsi="Arial" w:cs="Arial"/>
          <w:b/>
          <w:bCs/>
          <w:color w:val="0070C0"/>
          <w:kern w:val="0"/>
          <w:sz w:val="24"/>
          <w:szCs w:val="24"/>
          <w:lang w:val="es-ES_tradnl" w:eastAsia="es-CR"/>
          <w14:ligatures w14:val="none"/>
        </w:rPr>
        <w:br w:type="page"/>
      </w:r>
    </w:p>
    <w:p w14:paraId="7E3523D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sectPr w:rsidR="007B14D3" w:rsidRPr="007B14D3" w:rsidSect="005C1895">
          <w:pgSz w:w="12240" w:h="15840"/>
          <w:pgMar w:top="1417" w:right="1701" w:bottom="1417" w:left="1701" w:header="708" w:footer="708" w:gutter="0"/>
          <w:cols w:space="708"/>
          <w:docGrid w:linePitch="360"/>
        </w:sectPr>
      </w:pPr>
    </w:p>
    <w:p w14:paraId="57AC0D1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eastAsia="es-CR"/>
          <w14:ligatures w14:val="none"/>
        </w:rPr>
      </w:pPr>
      <w:r w:rsidRPr="007B14D3">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428288" behindDoc="0" locked="0" layoutInCell="1" allowOverlap="1" wp14:anchorId="23AC678D" wp14:editId="280D6191">
                <wp:simplePos x="0" y="0"/>
                <wp:positionH relativeFrom="margin">
                  <wp:align>center</wp:align>
                </wp:positionH>
                <wp:positionV relativeFrom="paragraph">
                  <wp:posOffset>-85725</wp:posOffset>
                </wp:positionV>
                <wp:extent cx="7917180" cy="487680"/>
                <wp:effectExtent l="0" t="0" r="26670" b="26670"/>
                <wp:wrapNone/>
                <wp:docPr id="329459112" name="Rectángulo 1"/>
                <wp:cNvGraphicFramePr/>
                <a:graphic xmlns:a="http://schemas.openxmlformats.org/drawingml/2006/main">
                  <a:graphicData uri="http://schemas.microsoft.com/office/word/2010/wordprocessingShape">
                    <wps:wsp>
                      <wps:cNvSpPr/>
                      <wps:spPr>
                        <a:xfrm>
                          <a:off x="0" y="0"/>
                          <a:ext cx="7917180" cy="4876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8586DDF" w14:textId="77777777" w:rsidR="007B14D3" w:rsidRPr="007B14D3" w:rsidRDefault="007B14D3" w:rsidP="007B14D3">
                            <w:pPr>
                              <w:jc w:val="center"/>
                              <w:rPr>
                                <w:rFonts w:cs="Calibri"/>
                                <w:b/>
                              </w:rPr>
                            </w:pPr>
                            <w:r w:rsidRPr="007B14D3">
                              <w:rPr>
                                <w:rFonts w:cs="Calibri"/>
                                <w:b/>
                              </w:rPr>
                              <w:t>RÚBRICA DE EVALUACIÓN – PRESENTACIÓN AUDIOVISUAL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AC678D" id="Rectángulo 1" o:spid="_x0000_s1159" style="position:absolute;margin-left:0;margin-top:-6.75pt;width:623.4pt;height:38.4pt;z-index:25242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" fillcolor="window" strokecolor="windowText" strokeweight=".25pt">
                <v:textbox>
                  <w:txbxContent>
                    <w:p w14:paraId="68586DDF" w14:textId="77777777" w:rsidR="007B14D3" w:rsidRPr="007B14D3" w:rsidRDefault="007B14D3" w:rsidP="007B14D3">
                      <w:pPr>
                        <w:jc w:val="center"/>
                        <w:rPr>
                          <w:rFonts w:cs="Calibri"/>
                          <w:b/>
                        </w:rPr>
                      </w:pPr>
                      <w:r w:rsidRPr="007B14D3">
                        <w:rPr>
                          <w:rFonts w:cs="Calibri"/>
                          <w:b/>
                        </w:rPr>
                        <w:t>RÚBRICA DE EVALUACIÓN – PRESENTACIÓN AUDIOVISUAL</w:t>
                      </w:r>
                    </w:p>
                  </w:txbxContent>
                </v:textbox>
                <w10:wrap anchorx="margin"/>
              </v:rect>
            </w:pict>
          </mc:Fallback>
        </mc:AlternateContent>
      </w:r>
    </w:p>
    <w:p w14:paraId="7E7F61C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eastAsia="es-CR"/>
          <w14:ligatures w14:val="none"/>
        </w:rPr>
      </w:pPr>
    </w:p>
    <w:p w14:paraId="77D800FC"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eastAsia="es-CR"/>
          <w14:ligatures w14:val="none"/>
        </w:rPr>
      </w:pPr>
    </w:p>
    <w:p w14:paraId="34AACC2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La presentación audiovisual es una herramienta que integra e interrelaciona lo auditivo y lo visual con el objetivo de presentar información sobre un tema o temas en específico. En las sesiones 1 y 4 se asigna presentaciones audiovisuales como estrategia para sistematizar la información de las lecturas. Cada una tiene un valor de 5%.</w:t>
      </w:r>
    </w:p>
    <w:p w14:paraId="4D7E324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D5A8EF2"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noProof/>
          <w:color w:val="000000"/>
          <w:kern w:val="0"/>
          <w:lang w:val="es-ES_tradnl" w:eastAsia="es-CR"/>
          <w14:ligatures w14:val="none"/>
        </w:rPr>
        <w:drawing>
          <wp:anchor distT="0" distB="0" distL="114300" distR="114300" simplePos="0" relativeHeight="252429312" behindDoc="0" locked="0" layoutInCell="1" allowOverlap="1" wp14:anchorId="2464CD3F" wp14:editId="4A22ADFF">
            <wp:simplePos x="0" y="0"/>
            <wp:positionH relativeFrom="margin">
              <wp:align>center</wp:align>
            </wp:positionH>
            <wp:positionV relativeFrom="paragraph">
              <wp:posOffset>2540</wp:posOffset>
            </wp:positionV>
            <wp:extent cx="7589520" cy="3730752"/>
            <wp:effectExtent l="0" t="0" r="0" b="3175"/>
            <wp:wrapNone/>
            <wp:docPr id="95930559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305594" name="Imagen 1" descr="Tabla&#10;&#10;Descripción generada automáticamente"/>
                    <pic:cNvPicPr/>
                  </pic:nvPicPr>
                  <pic:blipFill>
                    <a:blip r:embed="rId325">
                      <a:extLst>
                        <a:ext uri="{28A0092B-C50C-407E-A947-70E740481C1C}">
                          <a14:useLocalDpi xmlns:a14="http://schemas.microsoft.com/office/drawing/2010/main" val="0"/>
                        </a:ext>
                      </a:extLst>
                    </a:blip>
                    <a:stretch>
                      <a:fillRect/>
                    </a:stretch>
                  </pic:blipFill>
                  <pic:spPr>
                    <a:xfrm>
                      <a:off x="0" y="0"/>
                      <a:ext cx="7589520" cy="3730752"/>
                    </a:xfrm>
                    <a:prstGeom prst="rect">
                      <a:avLst/>
                    </a:prstGeom>
                  </pic:spPr>
                </pic:pic>
              </a:graphicData>
            </a:graphic>
          </wp:anchor>
        </w:drawing>
      </w:r>
      <w:r w:rsidRPr="007B14D3">
        <w:rPr>
          <w:rFonts w:ascii="Calibri" w:eastAsia="Times New Roman" w:hAnsi="Calibri" w:cs="Arial"/>
          <w:b/>
          <w:color w:val="000000"/>
          <w:kern w:val="0"/>
          <w:lang w:val="es-ES_tradnl" w:eastAsia="es-CR"/>
          <w14:ligatures w14:val="none"/>
        </w:rPr>
        <w:br w:type="page"/>
      </w:r>
    </w:p>
    <w:p w14:paraId="162AE7FB"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430336" behindDoc="0" locked="0" layoutInCell="1" allowOverlap="1" wp14:anchorId="2F79EDBF" wp14:editId="73A2979E">
                <wp:simplePos x="0" y="0"/>
                <wp:positionH relativeFrom="margin">
                  <wp:align>center</wp:align>
                </wp:positionH>
                <wp:positionV relativeFrom="paragraph">
                  <wp:posOffset>-119063</wp:posOffset>
                </wp:positionV>
                <wp:extent cx="6606540" cy="411480"/>
                <wp:effectExtent l="0" t="0" r="22860" b="26670"/>
                <wp:wrapNone/>
                <wp:docPr id="970210922" name="Cuadro de texto 3"/>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755E82D" w14:textId="77777777" w:rsidR="007B14D3" w:rsidRPr="007B14D3" w:rsidRDefault="007B14D3" w:rsidP="007B14D3">
                            <w:pPr>
                              <w:jc w:val="center"/>
                              <w:rPr>
                                <w:rFonts w:cs="Calibri"/>
                              </w:rPr>
                            </w:pPr>
                            <w:r w:rsidRPr="007B14D3">
                              <w:rPr>
                                <w:rFonts w:cs="Calibri"/>
                                <w:b/>
                              </w:rPr>
                              <w:t>RÚBRICA DE EVALUACIÓN – MAPA CONCEPTUAL</w:t>
                            </w:r>
                          </w:p>
                          <w:p w14:paraId="65B8FCE2" w14:textId="77777777" w:rsidR="007B14D3" w:rsidRPr="007B14D3" w:rsidRDefault="007B14D3" w:rsidP="007B14D3">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9EDBF" id="_x0000_s1160" type="#_x0000_t202" style="position:absolute;margin-left:0;margin-top:-9.4pt;width:520.2pt;height:32.4pt;z-index:252430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" fillcolor="window" strokeweight=".5pt">
                <v:textbox>
                  <w:txbxContent>
                    <w:p w14:paraId="6755E82D" w14:textId="77777777" w:rsidR="007B14D3" w:rsidRPr="007B14D3" w:rsidRDefault="007B14D3" w:rsidP="007B14D3">
                      <w:pPr>
                        <w:jc w:val="center"/>
                        <w:rPr>
                          <w:rFonts w:cs="Calibri"/>
                        </w:rPr>
                      </w:pPr>
                      <w:r w:rsidRPr="007B14D3">
                        <w:rPr>
                          <w:rFonts w:cs="Calibri"/>
                          <w:b/>
                        </w:rPr>
                        <w:t>RÚBRICA DE EVALUACIÓN – MAPA CONCEPTUAL</w:t>
                      </w:r>
                    </w:p>
                    <w:p w14:paraId="65B8FCE2" w14:textId="77777777" w:rsidR="007B14D3" w:rsidRPr="007B14D3" w:rsidRDefault="007B14D3" w:rsidP="007B14D3">
                      <w:pPr>
                        <w:jc w:val="center"/>
                        <w:rPr>
                          <w:rFonts w:cs="Calibri"/>
                        </w:rPr>
                      </w:pPr>
                    </w:p>
                  </w:txbxContent>
                </v:textbox>
                <w10:wrap anchorx="margin"/>
              </v:shape>
            </w:pict>
          </mc:Fallback>
        </mc:AlternateContent>
      </w:r>
    </w:p>
    <w:p w14:paraId="07124AA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3C67A33"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504AE3B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 xml:space="preserve">Se define al mapa conceptual como una herramienta gráfica de aprendizaje que permite establecer jerarquías entre las ideas y conceptos de un texto o lectura y sus relaciones en forma gráfica y creativa. En la sesión 3 se elabora un mapa conceptual con base en la lectura y tiene un valor de 5%. Se evalúa con la siguiente rúbrica. </w:t>
      </w:r>
    </w:p>
    <w:p w14:paraId="640E167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B80447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2CF91C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Arial"/>
          <w:b/>
          <w:noProof/>
          <w:color w:val="000000"/>
          <w:kern w:val="0"/>
          <w:lang w:val="es-ES_tradnl" w:eastAsia="es-CR"/>
          <w14:ligatures w14:val="none"/>
        </w:rPr>
        <w:drawing>
          <wp:anchor distT="0" distB="0" distL="114300" distR="114300" simplePos="0" relativeHeight="252431360" behindDoc="0" locked="0" layoutInCell="1" allowOverlap="1" wp14:anchorId="3F9F836E" wp14:editId="6581F6B0">
            <wp:simplePos x="0" y="0"/>
            <wp:positionH relativeFrom="column">
              <wp:posOffset>0</wp:posOffset>
            </wp:positionH>
            <wp:positionV relativeFrom="paragraph">
              <wp:posOffset>1588</wp:posOffset>
            </wp:positionV>
            <wp:extent cx="9144000" cy="4442460"/>
            <wp:effectExtent l="0" t="0" r="0" b="0"/>
            <wp:wrapNone/>
            <wp:docPr id="173542347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423477" name="Imagen 2" descr="Tabla&#10;&#10;Descripción generada automáticamente"/>
                    <pic:cNvPicPr/>
                  </pic:nvPicPr>
                  <pic:blipFill>
                    <a:blip r:embed="rId326">
                      <a:extLst>
                        <a:ext uri="{28A0092B-C50C-407E-A947-70E740481C1C}">
                          <a14:useLocalDpi xmlns:a14="http://schemas.microsoft.com/office/drawing/2010/main" val="0"/>
                        </a:ext>
                      </a:extLst>
                    </a:blip>
                    <a:stretch>
                      <a:fillRect/>
                    </a:stretch>
                  </pic:blipFill>
                  <pic:spPr>
                    <a:xfrm>
                      <a:off x="0" y="0"/>
                      <a:ext cx="9144000" cy="4442460"/>
                    </a:xfrm>
                    <a:prstGeom prst="rect">
                      <a:avLst/>
                    </a:prstGeom>
                  </pic:spPr>
                </pic:pic>
              </a:graphicData>
            </a:graphic>
          </wp:anchor>
        </w:drawing>
      </w:r>
    </w:p>
    <w:p w14:paraId="00174AA5"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br w:type="page"/>
      </w:r>
    </w:p>
    <w:p w14:paraId="189751E4"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432384" behindDoc="0" locked="0" layoutInCell="1" allowOverlap="1" wp14:anchorId="45E1B513" wp14:editId="7EEC6C65">
                <wp:simplePos x="0" y="0"/>
                <wp:positionH relativeFrom="margin">
                  <wp:align>center</wp:align>
                </wp:positionH>
                <wp:positionV relativeFrom="paragraph">
                  <wp:posOffset>-57150</wp:posOffset>
                </wp:positionV>
                <wp:extent cx="6606540" cy="411480"/>
                <wp:effectExtent l="0" t="0" r="22860" b="26670"/>
                <wp:wrapNone/>
                <wp:docPr id="671650271" name="Cuadro de texto 67165027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0A86EAF" w14:textId="77777777" w:rsidR="007B14D3" w:rsidRPr="007B14D3" w:rsidRDefault="007B14D3" w:rsidP="007B14D3">
                            <w:pPr>
                              <w:jc w:val="center"/>
                              <w:rPr>
                                <w:rFonts w:cs="Calibri"/>
                              </w:rPr>
                            </w:pPr>
                            <w:r w:rsidRPr="007B14D3">
                              <w:rPr>
                                <w:rFonts w:cs="Calibri"/>
                                <w:b/>
                              </w:rPr>
                              <w:t>RÚBRICA DE EVALUACIÓN – RESUMEN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1B513" id="Cuadro de texto 671650271" o:spid="_x0000_s1161" type="#_x0000_t202" style="position:absolute;margin-left:0;margin-top:-4.5pt;width:520.2pt;height:32.4pt;z-index:252432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" fillcolor="window" strokeweight=".5pt">
                <v:textbox>
                  <w:txbxContent>
                    <w:p w14:paraId="60A86EAF" w14:textId="77777777" w:rsidR="007B14D3" w:rsidRPr="007B14D3" w:rsidRDefault="007B14D3" w:rsidP="007B14D3">
                      <w:pPr>
                        <w:jc w:val="center"/>
                        <w:rPr>
                          <w:rFonts w:cs="Calibri"/>
                        </w:rPr>
                      </w:pPr>
                      <w:r w:rsidRPr="007B14D3">
                        <w:rPr>
                          <w:rFonts w:cs="Calibri"/>
                          <w:b/>
                        </w:rPr>
                        <w:t>RÚBRICA DE EVALUACIÓN – RESUMEN</w:t>
                      </w:r>
                    </w:p>
                  </w:txbxContent>
                </v:textbox>
                <w10:wrap anchorx="margin"/>
              </v:shape>
            </w:pict>
          </mc:Fallback>
        </mc:AlternateContent>
      </w:r>
    </w:p>
    <w:p w14:paraId="002D6948"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92C9AE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F4097C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En la sesión 4, la clase se divide en grupos para realizar un resumen de una de las dos lecturas asignadas. El resumen se comparte en clase y con la persona docente. Se evalúa según la siguiente rúbrica y tiene un valor de 5%.</w:t>
      </w:r>
    </w:p>
    <w:p w14:paraId="1C0CE62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33408" behindDoc="0" locked="0" layoutInCell="1" allowOverlap="1" wp14:anchorId="4F075E5E" wp14:editId="68BC29C4">
            <wp:simplePos x="0" y="0"/>
            <wp:positionH relativeFrom="margin">
              <wp:posOffset>1036320</wp:posOffset>
            </wp:positionH>
            <wp:positionV relativeFrom="paragraph">
              <wp:posOffset>137160</wp:posOffset>
            </wp:positionV>
            <wp:extent cx="7071360" cy="3998976"/>
            <wp:effectExtent l="0" t="0" r="0" b="1905"/>
            <wp:wrapNone/>
            <wp:docPr id="440879543"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79543" name="Imagen 3" descr="Tabla&#10;&#10;Descripción generada automáticamente"/>
                    <pic:cNvPicPr/>
                  </pic:nvPicPr>
                  <pic:blipFill>
                    <a:blip r:embed="rId327">
                      <a:extLst>
                        <a:ext uri="{28A0092B-C50C-407E-A947-70E740481C1C}">
                          <a14:useLocalDpi xmlns:a14="http://schemas.microsoft.com/office/drawing/2010/main" val="0"/>
                        </a:ext>
                      </a:extLst>
                    </a:blip>
                    <a:stretch>
                      <a:fillRect/>
                    </a:stretch>
                  </pic:blipFill>
                  <pic:spPr>
                    <a:xfrm>
                      <a:off x="0" y="0"/>
                      <a:ext cx="7071360" cy="3998976"/>
                    </a:xfrm>
                    <a:prstGeom prst="rect">
                      <a:avLst/>
                    </a:prstGeom>
                  </pic:spPr>
                </pic:pic>
              </a:graphicData>
            </a:graphic>
          </wp:anchor>
        </w:drawing>
      </w:r>
    </w:p>
    <w:p w14:paraId="35E6F72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8A3A253"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br w:type="page"/>
      </w:r>
    </w:p>
    <w:p w14:paraId="3897353A" w14:textId="77777777" w:rsidR="007B14D3" w:rsidRPr="007B14D3" w:rsidRDefault="007B14D3" w:rsidP="007B14D3">
      <w:pPr>
        <w:widowControl w:val="0"/>
        <w:overflowPunct w:val="0"/>
        <w:autoSpaceDE w:val="0"/>
        <w:autoSpaceDN w:val="0"/>
        <w:adjustRightInd w:val="0"/>
        <w:spacing w:before="120" w:after="0" w:line="240" w:lineRule="auto"/>
        <w:jc w:val="center"/>
        <w:rPr>
          <w:rFonts w:ascii="Calibri" w:eastAsia="Times New Roman" w:hAnsi="Calibri" w:cs="Calibri"/>
          <w:kern w:val="0"/>
          <w:sz w:val="24"/>
          <w:szCs w:val="2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448768" behindDoc="0" locked="0" layoutInCell="1" allowOverlap="1" wp14:anchorId="159B3A71" wp14:editId="7F1DCCA6">
                <wp:simplePos x="0" y="0"/>
                <wp:positionH relativeFrom="margin">
                  <wp:posOffset>1035050</wp:posOffset>
                </wp:positionH>
                <wp:positionV relativeFrom="paragraph">
                  <wp:posOffset>-76835</wp:posOffset>
                </wp:positionV>
                <wp:extent cx="6606540" cy="411480"/>
                <wp:effectExtent l="0" t="0" r="22860" b="26670"/>
                <wp:wrapNone/>
                <wp:docPr id="458217111" name="Cuadro de texto 67165027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718DC37" w14:textId="77777777" w:rsidR="007B14D3" w:rsidRPr="007B14D3" w:rsidRDefault="007B14D3" w:rsidP="007B14D3">
                            <w:pPr>
                              <w:jc w:val="center"/>
                              <w:rPr>
                                <w:rFonts w:cs="Calibri"/>
                              </w:rPr>
                            </w:pPr>
                            <w:r w:rsidRPr="007B14D3">
                              <w:rPr>
                                <w:rFonts w:cs="Calibri"/>
                                <w:b/>
                              </w:rPr>
                              <w:t>RÚBRICA DE EVALUACIÓN – RESUMEN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B3A71" id="_x0000_s1162" type="#_x0000_t202" style="position:absolute;left:0;text-align:left;margin-left:81.5pt;margin-top:-6.05pt;width:520.2pt;height:32.4pt;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" fillcolor="window" strokeweight=".5pt">
                <v:textbox>
                  <w:txbxContent>
                    <w:p w14:paraId="1718DC37" w14:textId="77777777" w:rsidR="007B14D3" w:rsidRPr="007B14D3" w:rsidRDefault="007B14D3" w:rsidP="007B14D3">
                      <w:pPr>
                        <w:jc w:val="center"/>
                        <w:rPr>
                          <w:rFonts w:cs="Calibri"/>
                        </w:rPr>
                      </w:pPr>
                      <w:r w:rsidRPr="007B14D3">
                        <w:rPr>
                          <w:rFonts w:cs="Calibri"/>
                          <w:b/>
                        </w:rPr>
                        <w:t>RÚBRICA DE EVALUACIÓN – RESUMEN</w:t>
                      </w:r>
                    </w:p>
                  </w:txbxContent>
                </v:textbox>
                <w10:wrap anchorx="margin"/>
              </v:shape>
            </w:pict>
          </mc:Fallback>
        </mc:AlternateContent>
      </w:r>
      <w:r w:rsidRPr="007B14D3">
        <w:rPr>
          <w:rFonts w:ascii="Calibri" w:eastAsia="Times New Roman" w:hAnsi="Calibri" w:cs="Calibri"/>
          <w:b/>
          <w:kern w:val="0"/>
          <w:sz w:val="24"/>
          <w:szCs w:val="20"/>
          <w:lang w:val="es-ES_tradnl" w:eastAsia="es-CR"/>
          <w14:ligatures w14:val="none"/>
        </w:rPr>
        <w:t>RÚBRICA DE EVALUACIÓN – RESUMEN</w:t>
      </w:r>
    </w:p>
    <w:p w14:paraId="1BE1BB4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DDA5807"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7C6FD81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69C1B222" w14:textId="77777777" w:rsidR="007B14D3" w:rsidRPr="007B14D3" w:rsidRDefault="007B14D3" w:rsidP="4C9C2619">
      <w:pPr>
        <w:widowControl w:val="0"/>
        <w:overflowPunct w:val="0"/>
        <w:autoSpaceDE w:val="0"/>
        <w:autoSpaceDN w:val="0"/>
        <w:adjustRightInd w:val="0"/>
        <w:spacing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En la sesión 6 se realiza un resumen sobre la polifonía teológica con base en las lecturas y la investigación personal. Se evalúa según la siguiente rúbrica y tiene un valor de 5%.</w:t>
      </w:r>
    </w:p>
    <w:p w14:paraId="46DBC32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47744" behindDoc="0" locked="0" layoutInCell="1" allowOverlap="1" wp14:anchorId="35410713" wp14:editId="1AB926AB">
            <wp:simplePos x="0" y="0"/>
            <wp:positionH relativeFrom="margin">
              <wp:posOffset>1036320</wp:posOffset>
            </wp:positionH>
            <wp:positionV relativeFrom="paragraph">
              <wp:posOffset>137160</wp:posOffset>
            </wp:positionV>
            <wp:extent cx="7071360" cy="3998976"/>
            <wp:effectExtent l="0" t="0" r="0" b="1905"/>
            <wp:wrapNone/>
            <wp:docPr id="164294668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79543" name="Imagen 3" descr="Tabla&#10;&#10;Descripción generada automáticamente"/>
                    <pic:cNvPicPr/>
                  </pic:nvPicPr>
                  <pic:blipFill>
                    <a:blip r:embed="rId327">
                      <a:extLst>
                        <a:ext uri="{28A0092B-C50C-407E-A947-70E740481C1C}">
                          <a14:useLocalDpi xmlns:a14="http://schemas.microsoft.com/office/drawing/2010/main" val="0"/>
                        </a:ext>
                      </a:extLst>
                    </a:blip>
                    <a:stretch>
                      <a:fillRect/>
                    </a:stretch>
                  </pic:blipFill>
                  <pic:spPr>
                    <a:xfrm>
                      <a:off x="0" y="0"/>
                      <a:ext cx="7071360" cy="3998976"/>
                    </a:xfrm>
                    <a:prstGeom prst="rect">
                      <a:avLst/>
                    </a:prstGeom>
                  </pic:spPr>
                </pic:pic>
              </a:graphicData>
            </a:graphic>
          </wp:anchor>
        </w:drawing>
      </w:r>
    </w:p>
    <w:p w14:paraId="77DA923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728737F"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br w:type="page"/>
      </w:r>
    </w:p>
    <w:p w14:paraId="05E37A13"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2CEE174"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34432" behindDoc="0" locked="0" layoutInCell="1" allowOverlap="1" wp14:anchorId="4C0D1B87" wp14:editId="2DE5E6BB">
                <wp:simplePos x="0" y="0"/>
                <wp:positionH relativeFrom="margin">
                  <wp:align>center</wp:align>
                </wp:positionH>
                <wp:positionV relativeFrom="paragraph">
                  <wp:posOffset>-114300</wp:posOffset>
                </wp:positionV>
                <wp:extent cx="7917180" cy="487680"/>
                <wp:effectExtent l="0" t="0" r="26670" b="26670"/>
                <wp:wrapNone/>
                <wp:docPr id="304742542" name="Rectángulo 304742542"/>
                <wp:cNvGraphicFramePr/>
                <a:graphic xmlns:a="http://schemas.openxmlformats.org/drawingml/2006/main">
                  <a:graphicData uri="http://schemas.microsoft.com/office/word/2010/wordprocessingShape">
                    <wps:wsp>
                      <wps:cNvSpPr/>
                      <wps:spPr>
                        <a:xfrm>
                          <a:off x="0" y="0"/>
                          <a:ext cx="7917180" cy="4876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E036817" w14:textId="77777777" w:rsidR="007B14D3" w:rsidRPr="007B14D3" w:rsidRDefault="007B14D3" w:rsidP="007B14D3">
                            <w:pPr>
                              <w:jc w:val="center"/>
                              <w:rPr>
                                <w:rFonts w:cs="Calibri"/>
                                <w:b/>
                              </w:rPr>
                            </w:pPr>
                            <w:r w:rsidRPr="007B14D3">
                              <w:rPr>
                                <w:rFonts w:cs="Calibri"/>
                                <w:b/>
                              </w:rPr>
                              <w:t>ESCALA DE EVALUACIÓN – PRESENTACIÓN AUDIOVISUAL Y ENSAYO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D1B87" id="Rectángulo 304742542" o:spid="_x0000_s1163" style="position:absolute;margin-left:0;margin-top:-9pt;width:623.4pt;height:38.4pt;z-index:252434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" fillcolor="window" strokecolor="windowText" strokeweight=".25pt">
                <v:textbox>
                  <w:txbxContent>
                    <w:p w14:paraId="2E036817" w14:textId="77777777" w:rsidR="007B14D3" w:rsidRPr="007B14D3" w:rsidRDefault="007B14D3" w:rsidP="007B14D3">
                      <w:pPr>
                        <w:jc w:val="center"/>
                        <w:rPr>
                          <w:rFonts w:cs="Calibri"/>
                          <w:b/>
                        </w:rPr>
                      </w:pPr>
                      <w:r w:rsidRPr="007B14D3">
                        <w:rPr>
                          <w:rFonts w:cs="Calibri"/>
                          <w:b/>
                        </w:rPr>
                        <w:t>ESCALA DE EVALUACIÓN – PRESENTACIÓN AUDIOVISUAL Y ENSAYO</w:t>
                      </w:r>
                    </w:p>
                  </w:txbxContent>
                </v:textbox>
                <w10:wrap anchorx="margin"/>
              </v:rect>
            </w:pict>
          </mc:Fallback>
        </mc:AlternateContent>
      </w:r>
    </w:p>
    <w:p w14:paraId="55ABDB9B"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D14B98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5F1F4ACF" w14:textId="77777777" w:rsidR="007B14D3" w:rsidRPr="007B14D3" w:rsidRDefault="007B14D3" w:rsidP="4C9C2619">
      <w:pPr>
        <w:widowControl w:val="0"/>
        <w:overflowPunct w:val="0"/>
        <w:autoSpaceDE w:val="0"/>
        <w:autoSpaceDN w:val="0"/>
        <w:adjustRightInd w:val="0"/>
        <w:spacing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Durante las sesiones 5 y 6 realizarán una tarea de investigación a partir de un tema asignado de un pueblo originario o de un pueblo afrolatino (según asignación docente). Dicha investigación será presentada en forma de ensayo y de presentación audiovisual. Tiene un valor de 10% y se evalúa con la siguiente escala</w:t>
      </w:r>
    </w:p>
    <w:p w14:paraId="4E85D95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FEEC46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5F1844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35456" behindDoc="0" locked="0" layoutInCell="1" allowOverlap="1" wp14:anchorId="67D161DB" wp14:editId="66A40B2A">
            <wp:simplePos x="0" y="0"/>
            <wp:positionH relativeFrom="column">
              <wp:posOffset>800100</wp:posOffset>
            </wp:positionH>
            <wp:positionV relativeFrom="paragraph">
              <wp:posOffset>1588</wp:posOffset>
            </wp:positionV>
            <wp:extent cx="7540752" cy="4834128"/>
            <wp:effectExtent l="0" t="0" r="3175" b="5080"/>
            <wp:wrapNone/>
            <wp:docPr id="1083311232"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11232" name="Imagen 4" descr="Tabla&#10;&#10;Descripción generada automáticamente"/>
                    <pic:cNvPicPr/>
                  </pic:nvPicPr>
                  <pic:blipFill>
                    <a:blip r:embed="rId328">
                      <a:extLst>
                        <a:ext uri="{28A0092B-C50C-407E-A947-70E740481C1C}">
                          <a14:useLocalDpi xmlns:a14="http://schemas.microsoft.com/office/drawing/2010/main" val="0"/>
                        </a:ext>
                      </a:extLst>
                    </a:blip>
                    <a:stretch>
                      <a:fillRect/>
                    </a:stretch>
                  </pic:blipFill>
                  <pic:spPr>
                    <a:xfrm>
                      <a:off x="0" y="0"/>
                      <a:ext cx="7540752" cy="4834128"/>
                    </a:xfrm>
                    <a:prstGeom prst="rect">
                      <a:avLst/>
                    </a:prstGeom>
                  </pic:spPr>
                </pic:pic>
              </a:graphicData>
            </a:graphic>
          </wp:anchor>
        </w:drawing>
      </w:r>
      <w:r w:rsidRPr="007B14D3">
        <w:rPr>
          <w:rFonts w:ascii="Calibri" w:eastAsia="Times New Roman" w:hAnsi="Calibri" w:cs="Arial"/>
          <w:bCs/>
          <w:color w:val="000000"/>
          <w:kern w:val="0"/>
          <w:lang w:val="es-ES_tradnl" w:eastAsia="es-CR"/>
          <w14:ligatures w14:val="none"/>
        </w:rPr>
        <w:t xml:space="preserve">  </w:t>
      </w:r>
    </w:p>
    <w:p w14:paraId="1D6D5292"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br w:type="page"/>
      </w:r>
    </w:p>
    <w:p w14:paraId="0605614A"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436480" behindDoc="0" locked="0" layoutInCell="1" allowOverlap="1" wp14:anchorId="3E4D26B8" wp14:editId="30D3403B">
                <wp:simplePos x="0" y="0"/>
                <wp:positionH relativeFrom="margin">
                  <wp:align>center</wp:align>
                </wp:positionH>
                <wp:positionV relativeFrom="paragraph">
                  <wp:posOffset>-90488</wp:posOffset>
                </wp:positionV>
                <wp:extent cx="6606540" cy="411480"/>
                <wp:effectExtent l="0" t="0" r="22860" b="26670"/>
                <wp:wrapNone/>
                <wp:docPr id="1043421328" name="Cuadro de texto 104342132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8240F2F" w14:textId="77777777" w:rsidR="007B14D3" w:rsidRPr="007B14D3" w:rsidRDefault="007B14D3" w:rsidP="007B14D3">
                            <w:pPr>
                              <w:jc w:val="center"/>
                              <w:rPr>
                                <w:rFonts w:cs="Calibri"/>
                              </w:rPr>
                            </w:pPr>
                            <w:r w:rsidRPr="007B14D3">
                              <w:rPr>
                                <w:rFonts w:cs="Calibri"/>
                                <w:b/>
                              </w:rPr>
                              <w:t>RÚBRICA DE EVALUACIÓN – PRE DIAGNÓSTICO DIÁLOGO INTERRELIGIOSO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D26B8" id="Cuadro de texto 1043421328" o:spid="_x0000_s1164" type="#_x0000_t202" style="position:absolute;margin-left:0;margin-top:-7.15pt;width:520.2pt;height:32.4pt;z-index:252436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" fillcolor="window" strokeweight=".5pt">
                <v:textbox>
                  <w:txbxContent>
                    <w:p w14:paraId="18240F2F" w14:textId="77777777" w:rsidR="007B14D3" w:rsidRPr="007B14D3" w:rsidRDefault="007B14D3" w:rsidP="007B14D3">
                      <w:pPr>
                        <w:jc w:val="center"/>
                        <w:rPr>
                          <w:rFonts w:cs="Calibri"/>
                        </w:rPr>
                      </w:pPr>
                      <w:r w:rsidRPr="007B14D3">
                        <w:rPr>
                          <w:rFonts w:cs="Calibri"/>
                          <w:b/>
                        </w:rPr>
                        <w:t>RÚBRICA DE EVALUACIÓN – PRE DIAGNÓSTICO DIÁLOGO INTERRELIGIOSO</w:t>
                      </w:r>
                    </w:p>
                  </w:txbxContent>
                </v:textbox>
                <w10:wrap anchorx="margin"/>
              </v:shape>
            </w:pict>
          </mc:Fallback>
        </mc:AlternateContent>
      </w:r>
    </w:p>
    <w:p w14:paraId="17721AD8"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F7C847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36F2CBAE" w14:textId="77777777" w:rsidR="007B14D3" w:rsidRPr="007B14D3" w:rsidRDefault="007B14D3" w:rsidP="4C9C2619">
      <w:pPr>
        <w:widowControl w:val="0"/>
        <w:overflowPunct w:val="0"/>
        <w:autoSpaceDE w:val="0"/>
        <w:autoSpaceDN w:val="0"/>
        <w:adjustRightInd w:val="0"/>
        <w:spacing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Utilizaremos la estrategia del prediagnóstico con el objetivo de conocer y analizar la perspectiva de una comunidad de fe sobre el diálogo con otros grupos étnicos y/o religiosos. Se lleva a cabo en la sesión 10 y tiene un valor de 15%.</w:t>
      </w:r>
    </w:p>
    <w:p w14:paraId="1B7CB51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A3D10C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3B848D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37504" behindDoc="0" locked="0" layoutInCell="1" allowOverlap="1" wp14:anchorId="3353D3AD" wp14:editId="31EC6F30">
            <wp:simplePos x="0" y="0"/>
            <wp:positionH relativeFrom="margin">
              <wp:align>center</wp:align>
            </wp:positionH>
            <wp:positionV relativeFrom="paragraph">
              <wp:posOffset>46990</wp:posOffset>
            </wp:positionV>
            <wp:extent cx="7528560" cy="4382770"/>
            <wp:effectExtent l="0" t="0" r="0" b="0"/>
            <wp:wrapNone/>
            <wp:docPr id="809533412"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533412" name="Imagen 5" descr="Tabla&#10;&#10;Descripción generada automáticamente"/>
                    <pic:cNvPicPr/>
                  </pic:nvPicPr>
                  <pic:blipFill>
                    <a:blip r:embed="rId329">
                      <a:extLst>
                        <a:ext uri="{28A0092B-C50C-407E-A947-70E740481C1C}">
                          <a14:useLocalDpi xmlns:a14="http://schemas.microsoft.com/office/drawing/2010/main" val="0"/>
                        </a:ext>
                      </a:extLst>
                    </a:blip>
                    <a:stretch>
                      <a:fillRect/>
                    </a:stretch>
                  </pic:blipFill>
                  <pic:spPr>
                    <a:xfrm>
                      <a:off x="0" y="0"/>
                      <a:ext cx="7528560" cy="4382770"/>
                    </a:xfrm>
                    <a:prstGeom prst="rect">
                      <a:avLst/>
                    </a:prstGeom>
                  </pic:spPr>
                </pic:pic>
              </a:graphicData>
            </a:graphic>
          </wp:anchor>
        </w:drawing>
      </w:r>
    </w:p>
    <w:p w14:paraId="3FCFA86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C7BCBF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44C68B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25A383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A2B092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00B8E2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658B48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41344E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247879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D2AA4A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7FC200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E6528D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9DDD0A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D9B326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5EA2E3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3FB59F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CB7CAE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1EFB5C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41DF73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CA234D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5D16AC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DFB26B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70A32E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D5050C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D38330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00B08C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25CCE2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D5C89F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226FCE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CC0770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EA3AE0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857EB8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FF381A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38528" behindDoc="0" locked="0" layoutInCell="1" allowOverlap="1" wp14:anchorId="56724806" wp14:editId="7941E1DF">
                <wp:simplePos x="0" y="0"/>
                <wp:positionH relativeFrom="margin">
                  <wp:align>center</wp:align>
                </wp:positionH>
                <wp:positionV relativeFrom="paragraph">
                  <wp:posOffset>8890</wp:posOffset>
                </wp:positionV>
                <wp:extent cx="6606540" cy="411480"/>
                <wp:effectExtent l="0" t="0" r="22860" b="26670"/>
                <wp:wrapNone/>
                <wp:docPr id="308958881" name="Cuadro de texto 30895888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496F7E1" w14:textId="77777777" w:rsidR="007B14D3" w:rsidRPr="007B14D3" w:rsidRDefault="007B14D3" w:rsidP="007B14D3">
                            <w:pPr>
                              <w:jc w:val="center"/>
                              <w:rPr>
                                <w:rFonts w:cs="Calibri"/>
                              </w:rPr>
                            </w:pPr>
                            <w:r w:rsidRPr="007B14D3">
                              <w:rPr>
                                <w:rFonts w:cs="Calibri"/>
                                <w:b/>
                              </w:rPr>
                              <w:t>RÚBRICA DE COEVALUACIÓN – MAPA 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24806" id="Cuadro de texto 308958881" o:spid="_x0000_s1165" type="#_x0000_t202" style="position:absolute;left:0;text-align:left;margin-left:0;margin-top:.7pt;width:520.2pt;height:32.4pt;z-index:252438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" fillcolor="window" strokeweight=".5pt">
                <v:textbox>
                  <w:txbxContent>
                    <w:p w14:paraId="2496F7E1" w14:textId="77777777" w:rsidR="007B14D3" w:rsidRPr="007B14D3" w:rsidRDefault="007B14D3" w:rsidP="007B14D3">
                      <w:pPr>
                        <w:jc w:val="center"/>
                        <w:rPr>
                          <w:rFonts w:cs="Calibri"/>
                        </w:rPr>
                      </w:pPr>
                      <w:r w:rsidRPr="007B14D3">
                        <w:rPr>
                          <w:rFonts w:cs="Calibri"/>
                          <w:b/>
                        </w:rPr>
                        <w:t>RÚBRICA DE COEVALUACIÓN – MAPA MENTAL</w:t>
                      </w:r>
                    </w:p>
                  </w:txbxContent>
                </v:textbox>
                <w10:wrap anchorx="margin"/>
              </v:shape>
            </w:pict>
          </mc:Fallback>
        </mc:AlternateContent>
      </w:r>
    </w:p>
    <w:p w14:paraId="0BC25EF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AC27F3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296B45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A90A41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 xml:space="preserve">En las sesiones 2 y 11 se realizan mapas mentales con base en las lecturas. Cada mapa tiene un valor de 5% que se divide en: 3% coevaluación (con base en la siguiente rúbrica) y 2% autoevaluación. </w:t>
      </w:r>
    </w:p>
    <w:p w14:paraId="19F44C0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C1515E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39552" behindDoc="0" locked="0" layoutInCell="1" allowOverlap="1" wp14:anchorId="6F832417" wp14:editId="150C7EC5">
            <wp:simplePos x="0" y="0"/>
            <wp:positionH relativeFrom="margin">
              <wp:align>center</wp:align>
            </wp:positionH>
            <wp:positionV relativeFrom="paragraph">
              <wp:posOffset>2223</wp:posOffset>
            </wp:positionV>
            <wp:extent cx="6427787" cy="4226425"/>
            <wp:effectExtent l="0" t="0" r="0" b="3175"/>
            <wp:wrapNone/>
            <wp:docPr id="1042737863"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737863" name="Imagen 6" descr="Tabla&#10;&#10;Descripción generada automáticamente"/>
                    <pic:cNvPicPr/>
                  </pic:nvPicPr>
                  <pic:blipFill>
                    <a:blip r:embed="rId330">
                      <a:extLst>
                        <a:ext uri="{28A0092B-C50C-407E-A947-70E740481C1C}">
                          <a14:useLocalDpi xmlns:a14="http://schemas.microsoft.com/office/drawing/2010/main" val="0"/>
                        </a:ext>
                      </a:extLst>
                    </a:blip>
                    <a:stretch>
                      <a:fillRect/>
                    </a:stretch>
                  </pic:blipFill>
                  <pic:spPr>
                    <a:xfrm>
                      <a:off x="0" y="0"/>
                      <a:ext cx="6427787" cy="4226425"/>
                    </a:xfrm>
                    <a:prstGeom prst="rect">
                      <a:avLst/>
                    </a:prstGeom>
                  </pic:spPr>
                </pic:pic>
              </a:graphicData>
            </a:graphic>
            <wp14:sizeRelH relativeFrom="margin">
              <wp14:pctWidth>0</wp14:pctWidth>
            </wp14:sizeRelH>
            <wp14:sizeRelV relativeFrom="margin">
              <wp14:pctHeight>0</wp14:pctHeight>
            </wp14:sizeRelV>
          </wp:anchor>
        </w:drawing>
      </w:r>
    </w:p>
    <w:p w14:paraId="5FF5768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6D1542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795B1E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4D7006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737313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B67842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D4604C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232A8C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C829E2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9F95A2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E03DE3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56F995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55BCBB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DA3358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948394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2CB3BF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9C7D89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2CC96E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DC626C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5C9D09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A5340B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6E57D0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CF9336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F35DE6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0A28D3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70FF80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AAB133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00CE35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6687F9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1F47AF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49792" behindDoc="0" locked="0" layoutInCell="1" allowOverlap="1" wp14:anchorId="1B67FB26" wp14:editId="7F1AA164">
                <wp:simplePos x="0" y="0"/>
                <wp:positionH relativeFrom="margin">
                  <wp:posOffset>1016000</wp:posOffset>
                </wp:positionH>
                <wp:positionV relativeFrom="paragraph">
                  <wp:posOffset>-44450</wp:posOffset>
                </wp:positionV>
                <wp:extent cx="6606540" cy="411480"/>
                <wp:effectExtent l="0" t="0" r="22860" b="26670"/>
                <wp:wrapNone/>
                <wp:docPr id="766348730" name="Cuadro de texto 766348730"/>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899C7ED" w14:textId="77777777" w:rsidR="007B14D3" w:rsidRPr="007B14D3" w:rsidRDefault="007B14D3" w:rsidP="007B14D3">
                            <w:pPr>
                              <w:jc w:val="center"/>
                              <w:rPr>
                                <w:rFonts w:cs="Calibri"/>
                              </w:rPr>
                            </w:pPr>
                            <w:r w:rsidRPr="007B14D3">
                              <w:rPr>
                                <w:rFonts w:cs="Calibri"/>
                                <w:b/>
                              </w:rPr>
                              <w:t xml:space="preserve">RÚBRICA DE COEVALUACIÓN – TRÍPTICO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7FB26" id="Cuadro de texto 766348730" o:spid="_x0000_s1166" type="#_x0000_t202" style="position:absolute;left:0;text-align:left;margin-left:80pt;margin-top:-3.5pt;width:520.2pt;height:32.4pt;z-index:25244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" fillcolor="window" strokeweight=".5pt">
                <v:textbox>
                  <w:txbxContent>
                    <w:p w14:paraId="5899C7ED" w14:textId="77777777" w:rsidR="007B14D3" w:rsidRPr="007B14D3" w:rsidRDefault="007B14D3" w:rsidP="007B14D3">
                      <w:pPr>
                        <w:jc w:val="center"/>
                        <w:rPr>
                          <w:rFonts w:cs="Calibri"/>
                        </w:rPr>
                      </w:pPr>
                      <w:r w:rsidRPr="007B14D3">
                        <w:rPr>
                          <w:rFonts w:cs="Calibri"/>
                          <w:b/>
                        </w:rPr>
                        <w:t xml:space="preserve">RÚBRICA DE COEVALUACIÓN – TRÍPTICO </w:t>
                      </w:r>
                    </w:p>
                  </w:txbxContent>
                </v:textbox>
                <w10:wrap anchorx="margin"/>
              </v:shape>
            </w:pict>
          </mc:Fallback>
        </mc:AlternateContent>
      </w:r>
    </w:p>
    <w:p w14:paraId="7B1DE96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5913EC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02186F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El tríptico resume los aportes del curso en un material dirigido a una comunidad de fe sobre el diálogo interreligioso y se desarrolla en forma grupal e individual en las sesiones 9-14. La coevaluación del trabajo grupal tiene un valor del 3% y se evalúa con la siguiente rúbrica (la autoevaluación tiene un valor del 5%).</w:t>
      </w:r>
    </w:p>
    <w:p w14:paraId="5144BB6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40576" behindDoc="0" locked="0" layoutInCell="1" allowOverlap="1" wp14:anchorId="3BAE6932" wp14:editId="2D068459">
            <wp:simplePos x="0" y="0"/>
            <wp:positionH relativeFrom="margin">
              <wp:align>center</wp:align>
            </wp:positionH>
            <wp:positionV relativeFrom="paragraph">
              <wp:posOffset>123190</wp:posOffset>
            </wp:positionV>
            <wp:extent cx="7802880" cy="5242560"/>
            <wp:effectExtent l="0" t="0" r="7620" b="0"/>
            <wp:wrapNone/>
            <wp:docPr id="27015491"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5491" name="Imagen 7" descr="Tabla&#10;&#10;Descripción generada automáticamente"/>
                    <pic:cNvPicPr/>
                  </pic:nvPicPr>
                  <pic:blipFill>
                    <a:blip r:embed="rId331">
                      <a:extLst>
                        <a:ext uri="{28A0092B-C50C-407E-A947-70E740481C1C}">
                          <a14:useLocalDpi xmlns:a14="http://schemas.microsoft.com/office/drawing/2010/main" val="0"/>
                        </a:ext>
                      </a:extLst>
                    </a:blip>
                    <a:stretch>
                      <a:fillRect/>
                    </a:stretch>
                  </pic:blipFill>
                  <pic:spPr>
                    <a:xfrm>
                      <a:off x="0" y="0"/>
                      <a:ext cx="7802880" cy="5242560"/>
                    </a:xfrm>
                    <a:prstGeom prst="rect">
                      <a:avLst/>
                    </a:prstGeom>
                  </pic:spPr>
                </pic:pic>
              </a:graphicData>
            </a:graphic>
          </wp:anchor>
        </w:drawing>
      </w:r>
    </w:p>
    <w:p w14:paraId="54D6457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B32F6E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D363F7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52D089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BAEDB8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E2881A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302420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8ABCB1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19B861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6737AB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7389DD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20B501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70D45A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336A8D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2F8BD7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B88506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781234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03467C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57D8A9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C39B7A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D46D5A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18082E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A299F3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9CE0B0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088C8C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A8C5D7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5EA041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DAB646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337CE4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EF0AA1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1B9443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653E8B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C13359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441600" behindDoc="0" locked="0" layoutInCell="1" allowOverlap="1" wp14:anchorId="6E10145C" wp14:editId="79E9F8F1">
                <wp:simplePos x="0" y="0"/>
                <wp:positionH relativeFrom="margin">
                  <wp:align>center</wp:align>
                </wp:positionH>
                <wp:positionV relativeFrom="paragraph">
                  <wp:posOffset>-119062</wp:posOffset>
                </wp:positionV>
                <wp:extent cx="7917180" cy="487680"/>
                <wp:effectExtent l="0" t="0" r="26670" b="26670"/>
                <wp:wrapNone/>
                <wp:docPr id="1853366862" name="Rectángulo 1853366862"/>
                <wp:cNvGraphicFramePr/>
                <a:graphic xmlns:a="http://schemas.openxmlformats.org/drawingml/2006/main">
                  <a:graphicData uri="http://schemas.microsoft.com/office/word/2010/wordprocessingShape">
                    <wps:wsp>
                      <wps:cNvSpPr/>
                      <wps:spPr>
                        <a:xfrm>
                          <a:off x="0" y="0"/>
                          <a:ext cx="7917180" cy="4876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AE294BD" w14:textId="77777777" w:rsidR="007B14D3" w:rsidRPr="007B14D3" w:rsidRDefault="007B14D3" w:rsidP="007B14D3">
                            <w:pPr>
                              <w:jc w:val="center"/>
                              <w:rPr>
                                <w:rFonts w:cs="Calibri"/>
                                <w:b/>
                              </w:rPr>
                            </w:pPr>
                            <w:r w:rsidRPr="007B14D3">
                              <w:rPr>
                                <w:rFonts w:cs="Calibri"/>
                                <w:b/>
                              </w:rPr>
                              <w:t>ESCALA PARA LA AUTOEVALUACIÓN DEL TRABAJO EN GRUPOS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10145C" id="Rectángulo 1853366862" o:spid="_x0000_s1167" style="position:absolute;left:0;text-align:left;margin-left:0;margin-top:-9.35pt;width:623.4pt;height:38.4pt;z-index:252441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" fillcolor="window" strokecolor="windowText" strokeweight=".25pt">
                <v:textbox>
                  <w:txbxContent>
                    <w:p w14:paraId="3AE294BD" w14:textId="77777777" w:rsidR="007B14D3" w:rsidRPr="007B14D3" w:rsidRDefault="007B14D3" w:rsidP="007B14D3">
                      <w:pPr>
                        <w:jc w:val="center"/>
                        <w:rPr>
                          <w:rFonts w:cs="Calibri"/>
                          <w:b/>
                        </w:rPr>
                      </w:pPr>
                      <w:r w:rsidRPr="007B14D3">
                        <w:rPr>
                          <w:rFonts w:cs="Calibri"/>
                          <w:b/>
                        </w:rPr>
                        <w:t>ESCALA PARA LA AUTOEVALUACIÓN DEL TRABAJO EN GRUPOS</w:t>
                      </w:r>
                    </w:p>
                  </w:txbxContent>
                </v:textbox>
                <w10:wrap anchorx="margin"/>
              </v:rect>
            </w:pict>
          </mc:Fallback>
        </mc:AlternateContent>
      </w:r>
    </w:p>
    <w:p w14:paraId="37FC4A9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4C616D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E67E2DF"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 xml:space="preserve">Esta escala se utiliza para la autoevaluación de los siguientes trabajos grupales: Mapas mentales (sesiones 2 y 11), Resumen (sesión 4), Tríptico sobre diálogo interreligioso (sesiones 9 a 14). </w:t>
      </w:r>
    </w:p>
    <w:p w14:paraId="12773C8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35A1E1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42624" behindDoc="0" locked="0" layoutInCell="1" allowOverlap="1" wp14:anchorId="20002891" wp14:editId="4121159F">
            <wp:simplePos x="0" y="0"/>
            <wp:positionH relativeFrom="margin">
              <wp:align>center</wp:align>
            </wp:positionH>
            <wp:positionV relativeFrom="paragraph">
              <wp:posOffset>76200</wp:posOffset>
            </wp:positionV>
            <wp:extent cx="7687056" cy="3840480"/>
            <wp:effectExtent l="0" t="0" r="9525" b="7620"/>
            <wp:wrapNone/>
            <wp:docPr id="551550725"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550725" name="Imagen 8" descr="Tabla&#10;&#10;Descripción generada automáticamente"/>
                    <pic:cNvPicPr/>
                  </pic:nvPicPr>
                  <pic:blipFill>
                    <a:blip r:embed="rId332">
                      <a:extLst>
                        <a:ext uri="{28A0092B-C50C-407E-A947-70E740481C1C}">
                          <a14:useLocalDpi xmlns:a14="http://schemas.microsoft.com/office/drawing/2010/main" val="0"/>
                        </a:ext>
                      </a:extLst>
                    </a:blip>
                    <a:stretch>
                      <a:fillRect/>
                    </a:stretch>
                  </pic:blipFill>
                  <pic:spPr>
                    <a:xfrm>
                      <a:off x="0" y="0"/>
                      <a:ext cx="7687056" cy="3840480"/>
                    </a:xfrm>
                    <a:prstGeom prst="rect">
                      <a:avLst/>
                    </a:prstGeom>
                  </pic:spPr>
                </pic:pic>
              </a:graphicData>
            </a:graphic>
          </wp:anchor>
        </w:drawing>
      </w:r>
    </w:p>
    <w:p w14:paraId="3341861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3C2E8F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77125A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ABF29B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2B184A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F3B466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0088C5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2FC1AC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C9B265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371ADBB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C6B6B2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5FFA53B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16A753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C1E86E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A295AC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6F8C537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756BE26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6D8D31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727258D"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br w:type="page"/>
      </w:r>
    </w:p>
    <w:p w14:paraId="03D83FE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443648" behindDoc="0" locked="0" layoutInCell="1" allowOverlap="1" wp14:anchorId="2D475186" wp14:editId="240F5693">
                <wp:simplePos x="0" y="0"/>
                <wp:positionH relativeFrom="margin">
                  <wp:align>center</wp:align>
                </wp:positionH>
                <wp:positionV relativeFrom="paragraph">
                  <wp:posOffset>-109537</wp:posOffset>
                </wp:positionV>
                <wp:extent cx="6606540" cy="411480"/>
                <wp:effectExtent l="0" t="0" r="22860" b="26670"/>
                <wp:wrapNone/>
                <wp:docPr id="156770084" name="Cuadro de texto 156770084"/>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5FDA235" w14:textId="77777777" w:rsidR="007B14D3" w:rsidRPr="007B14D3" w:rsidRDefault="007B14D3" w:rsidP="007B14D3">
                            <w:pPr>
                              <w:jc w:val="center"/>
                              <w:rPr>
                                <w:rFonts w:cs="Calibri"/>
                              </w:rPr>
                            </w:pPr>
                            <w:r w:rsidRPr="007B14D3">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75186" id="Cuadro de texto 156770084" o:spid="_x0000_s1168" type="#_x0000_t202" style="position:absolute;left:0;text-align:left;margin-left:0;margin-top:-8.6pt;width:520.2pt;height:32.4pt;z-index:252443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" fillcolor="window" strokeweight=".5pt">
                <v:textbox>
                  <w:txbxContent>
                    <w:p w14:paraId="05FDA235" w14:textId="77777777" w:rsidR="007B14D3" w:rsidRPr="007B14D3" w:rsidRDefault="007B14D3" w:rsidP="007B14D3">
                      <w:pPr>
                        <w:jc w:val="center"/>
                        <w:rPr>
                          <w:rFonts w:cs="Calibri"/>
                        </w:rPr>
                      </w:pPr>
                      <w:r w:rsidRPr="007B14D3">
                        <w:rPr>
                          <w:rFonts w:cs="Calibri"/>
                          <w:b/>
                        </w:rPr>
                        <w:t>RÚBRICA DE EVALUACIÓN – GLOSARIO</w:t>
                      </w:r>
                    </w:p>
                  </w:txbxContent>
                </v:textbox>
                <w10:wrap anchorx="margin"/>
              </v:shape>
            </w:pict>
          </mc:Fallback>
        </mc:AlternateContent>
      </w:r>
    </w:p>
    <w:p w14:paraId="1A195FA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5A7793D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386F507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Arial"/>
          <w:bCs/>
          <w:color w:val="0070C0"/>
          <w:kern w:val="0"/>
          <w:lang w:val="es-ES_tradnl" w:eastAsia="es-CR"/>
          <w14:ligatures w14:val="none"/>
        </w:rPr>
        <w:t>En la sesión 7 se realiza un glosario grupal sobre el vocabulario de las unidades 1, 2 y 3, de unos 15 conceptos. En la sesión 12 se completa el glosario con diez los conceptos de la unidad 4. Cada glosario tiene un valor de 5%.</w:t>
      </w:r>
    </w:p>
    <w:p w14:paraId="216F736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4BABCFEC"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19547AD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Calibri" w:eastAsia="Times New Roman" w:hAnsi="Calibri" w:cs="Calibri"/>
          <w:noProof/>
          <w:kern w:val="0"/>
          <w:sz w:val="24"/>
          <w:szCs w:val="20"/>
          <w:lang w:val="es-ES_tradnl" w:eastAsia="es-CR"/>
          <w14:ligatures w14:val="none"/>
        </w:rPr>
        <w:drawing>
          <wp:anchor distT="0" distB="0" distL="114300" distR="114300" simplePos="0" relativeHeight="252444672" behindDoc="0" locked="0" layoutInCell="1" allowOverlap="1" wp14:anchorId="7B791785" wp14:editId="6F884C83">
            <wp:simplePos x="0" y="0"/>
            <wp:positionH relativeFrom="margin">
              <wp:align>center</wp:align>
            </wp:positionH>
            <wp:positionV relativeFrom="paragraph">
              <wp:posOffset>45402</wp:posOffset>
            </wp:positionV>
            <wp:extent cx="7451530" cy="5119687"/>
            <wp:effectExtent l="0" t="0" r="0" b="5080"/>
            <wp:wrapNone/>
            <wp:docPr id="1236990314"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990314" name="Imagen 9" descr="Tabla&#10;&#10;Descripción generada automáticamente"/>
                    <pic:cNvPicPr/>
                  </pic:nvPicPr>
                  <pic:blipFill>
                    <a:blip r:embed="rId333">
                      <a:extLst>
                        <a:ext uri="{28A0092B-C50C-407E-A947-70E740481C1C}">
                          <a14:useLocalDpi xmlns:a14="http://schemas.microsoft.com/office/drawing/2010/main" val="0"/>
                        </a:ext>
                      </a:extLst>
                    </a:blip>
                    <a:stretch>
                      <a:fillRect/>
                    </a:stretch>
                  </pic:blipFill>
                  <pic:spPr>
                    <a:xfrm>
                      <a:off x="0" y="0"/>
                      <a:ext cx="7451530" cy="5119687"/>
                    </a:xfrm>
                    <a:prstGeom prst="rect">
                      <a:avLst/>
                    </a:prstGeom>
                  </pic:spPr>
                </pic:pic>
              </a:graphicData>
            </a:graphic>
            <wp14:sizeRelH relativeFrom="margin">
              <wp14:pctWidth>0</wp14:pctWidth>
            </wp14:sizeRelH>
            <wp14:sizeRelV relativeFrom="margin">
              <wp14:pctHeight>0</wp14:pctHeight>
            </wp14:sizeRelV>
          </wp:anchor>
        </w:drawing>
      </w:r>
    </w:p>
    <w:p w14:paraId="58F91F0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827839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EEF247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75704C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05F49C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29EC21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F89DCE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6ED5CB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B0BCD8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ED95C9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3C2A3F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0D1905B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3FDD06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0B30770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5D53143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573A950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D74500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2304ED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24CECC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C23D54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5B9AF8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5F8EAFD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FFDC6D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5C2153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1B513E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5ACA84B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651AECE"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6ABDE4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A7AB0D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3FDF15A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4E9BAA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r w:rsidRPr="007B14D3">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445696" behindDoc="0" locked="0" layoutInCell="1" allowOverlap="1" wp14:anchorId="5AEC3FE4" wp14:editId="345BE2DF">
                <wp:simplePos x="0" y="0"/>
                <wp:positionH relativeFrom="margin">
                  <wp:align>center</wp:align>
                </wp:positionH>
                <wp:positionV relativeFrom="paragraph">
                  <wp:posOffset>0</wp:posOffset>
                </wp:positionV>
                <wp:extent cx="6606540" cy="411480"/>
                <wp:effectExtent l="0" t="0" r="22860" b="26670"/>
                <wp:wrapNone/>
                <wp:docPr id="209938378" name="Cuadro de texto 20993837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6F7C3FF" w14:textId="77777777" w:rsidR="007B14D3" w:rsidRPr="007B14D3" w:rsidRDefault="007B14D3" w:rsidP="007B14D3">
                            <w:pPr>
                              <w:jc w:val="center"/>
                              <w:rPr>
                                <w:rFonts w:cs="Calibri"/>
                              </w:rPr>
                            </w:pPr>
                            <w:r w:rsidRPr="007B14D3">
                              <w:rPr>
                                <w:rFonts w:cs="Calibri"/>
                                <w:b/>
                              </w:rPr>
                              <w:t>RÚBRICA DE EVALUACIÓN (DOCENTE) – TRÍPTICO PERSONAL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3FE4" id="Cuadro de texto 209938378" o:spid="_x0000_s1169" type="#_x0000_t202" style="position:absolute;left:0;text-align:left;margin-left:0;margin-top:0;width:520.2pt;height:32.4pt;z-index:252445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" fillcolor="window" strokeweight=".5pt">
                <v:textbox>
                  <w:txbxContent>
                    <w:p w14:paraId="56F7C3FF" w14:textId="77777777" w:rsidR="007B14D3" w:rsidRPr="007B14D3" w:rsidRDefault="007B14D3" w:rsidP="007B14D3">
                      <w:pPr>
                        <w:jc w:val="center"/>
                        <w:rPr>
                          <w:rFonts w:cs="Calibri"/>
                        </w:rPr>
                      </w:pPr>
                      <w:r w:rsidRPr="007B14D3">
                        <w:rPr>
                          <w:rFonts w:cs="Calibri"/>
                          <w:b/>
                        </w:rPr>
                        <w:t>RÚBRICA DE EVALUACIÓN (DOCENTE) – TRÍPTICO PERSONAL</w:t>
                      </w:r>
                    </w:p>
                  </w:txbxContent>
                </v:textbox>
                <w10:wrap anchorx="margin"/>
              </v:shape>
            </w:pict>
          </mc:Fallback>
        </mc:AlternateContent>
      </w:r>
    </w:p>
    <w:p w14:paraId="35AA8551"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9C9366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73A418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0EFAB09"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70C0"/>
          <w:kern w:val="0"/>
          <w:lang w:val="es-ES_tradnl" w:eastAsia="es-CR"/>
          <w14:ligatures w14:val="none"/>
        </w:rPr>
      </w:pPr>
      <w:r w:rsidRPr="007B14D3">
        <w:rPr>
          <w:rFonts w:ascii="Calibri" w:eastAsia="Times New Roman" w:hAnsi="Calibri" w:cs="Calibri"/>
          <w:color w:val="0070C0"/>
          <w:kern w:val="0"/>
          <w:lang w:eastAsia="es-CR"/>
          <w14:ligatures w14:val="none"/>
        </w:rPr>
        <w:t>Con esta rúbrica la persona docente evalúa el tríptico elaborado para una comunidad de fe, elaborado mediante dinámicas grupales e individuales. Esta rúbrica evalúa el producto individual de cada estudiante entregado en las sesiones 14 y 15.</w:t>
      </w:r>
      <w:r w:rsidRPr="007B14D3">
        <w:rPr>
          <w:rFonts w:ascii="Calibri" w:eastAsia="Times New Roman" w:hAnsi="Calibri" w:cs="Arial"/>
          <w:bCs/>
          <w:color w:val="0070C0"/>
          <w:kern w:val="0"/>
          <w:lang w:val="es-ES_tradnl" w:eastAsia="es-CR"/>
          <w14:ligatures w14:val="none"/>
        </w:rPr>
        <w:t xml:space="preserve"> Tiene un valor de 15%.</w:t>
      </w:r>
    </w:p>
    <w:p w14:paraId="45814273"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0ADF08E0"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p>
    <w:p w14:paraId="29643DB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Cs/>
          <w:color w:val="000000"/>
          <w:kern w:val="0"/>
          <w:lang w:val="es-ES_tradnl" w:eastAsia="es-CR"/>
          <w14:ligatures w14:val="none"/>
        </w:rPr>
      </w:pPr>
      <w:r w:rsidRPr="007B14D3">
        <w:rPr>
          <w:rFonts w:ascii="Calibri" w:eastAsia="Times New Roman" w:hAnsi="Calibri" w:cs="Arial"/>
          <w:bCs/>
          <w:noProof/>
          <w:color w:val="000000"/>
          <w:kern w:val="0"/>
          <w:lang w:val="es-ES_tradnl" w:eastAsia="es-CR"/>
          <w14:ligatures w14:val="none"/>
        </w:rPr>
        <w:drawing>
          <wp:anchor distT="0" distB="0" distL="114300" distR="114300" simplePos="0" relativeHeight="252446720" behindDoc="0" locked="0" layoutInCell="1" allowOverlap="1" wp14:anchorId="441B6512" wp14:editId="6A013822">
            <wp:simplePos x="0" y="0"/>
            <wp:positionH relativeFrom="column">
              <wp:posOffset>657225</wp:posOffset>
            </wp:positionH>
            <wp:positionV relativeFrom="paragraph">
              <wp:posOffset>-1270</wp:posOffset>
            </wp:positionV>
            <wp:extent cx="7827264" cy="5266944"/>
            <wp:effectExtent l="0" t="0" r="2540" b="0"/>
            <wp:wrapNone/>
            <wp:docPr id="1502621389"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621389" name="Imagen 10" descr="Tabla&#10;&#10;Descripción generada automáticamente"/>
                    <pic:cNvPicPr/>
                  </pic:nvPicPr>
                  <pic:blipFill>
                    <a:blip r:embed="rId334">
                      <a:extLst>
                        <a:ext uri="{28A0092B-C50C-407E-A947-70E740481C1C}">
                          <a14:useLocalDpi xmlns:a14="http://schemas.microsoft.com/office/drawing/2010/main" val="0"/>
                        </a:ext>
                      </a:extLst>
                    </a:blip>
                    <a:stretch>
                      <a:fillRect/>
                    </a:stretch>
                  </pic:blipFill>
                  <pic:spPr>
                    <a:xfrm>
                      <a:off x="0" y="0"/>
                      <a:ext cx="7827264" cy="5266944"/>
                    </a:xfrm>
                    <a:prstGeom prst="rect">
                      <a:avLst/>
                    </a:prstGeom>
                  </pic:spPr>
                </pic:pic>
              </a:graphicData>
            </a:graphic>
          </wp:anchor>
        </w:drawing>
      </w:r>
    </w:p>
    <w:p w14:paraId="05A03BC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F21C76F"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7DECE97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04C5ECC7"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381940B8"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3BD4B60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A58D714"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D40099B"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4CBD7C5D"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C58DBC5"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17F3E232"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0239528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6C20185A"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2653129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pPr>
    </w:p>
    <w:p w14:paraId="5BFCBF76" w14:textId="77777777" w:rsidR="007B14D3" w:rsidRPr="007B14D3" w:rsidRDefault="007B14D3" w:rsidP="007B14D3">
      <w:pPr>
        <w:widowControl w:val="0"/>
        <w:overflowPunct w:val="0"/>
        <w:autoSpaceDE w:val="0"/>
        <w:autoSpaceDN w:val="0"/>
        <w:adjustRightInd w:val="0"/>
        <w:spacing w:after="0" w:line="240" w:lineRule="auto"/>
        <w:jc w:val="center"/>
        <w:rPr>
          <w:rFonts w:ascii="Calibri" w:eastAsia="Times New Roman" w:hAnsi="Calibri" w:cs="Arial"/>
          <w:b/>
          <w:color w:val="000000"/>
          <w:kern w:val="0"/>
          <w:lang w:val="es-ES_tradnl" w:eastAsia="es-CR"/>
          <w14:ligatures w14:val="none"/>
        </w:rPr>
        <w:sectPr w:rsidR="007B14D3" w:rsidRPr="007B14D3" w:rsidSect="005C1895">
          <w:pgSz w:w="15840" w:h="12240" w:orient="landscape"/>
          <w:pgMar w:top="720" w:right="720" w:bottom="720" w:left="720" w:header="709" w:footer="709" w:gutter="0"/>
          <w:cols w:space="708"/>
          <w:docGrid w:linePitch="360"/>
        </w:sectPr>
      </w:pPr>
    </w:p>
    <w:p w14:paraId="0A49E9D6"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lastRenderedPageBreak/>
        <w:t>XI. Bibliografía obligatoria</w:t>
      </w:r>
    </w:p>
    <w:p w14:paraId="509C73A9"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1D0DE7B9"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7B14D3">
        <w:rPr>
          <w:rFonts w:ascii="Calibri" w:eastAsia="Times New Roman" w:hAnsi="Calibri" w:cs="Arial"/>
          <w:b/>
          <w:color w:val="000000"/>
          <w:kern w:val="0"/>
          <w:lang w:eastAsia="es-CR"/>
          <w14:ligatures w14:val="none"/>
        </w:rPr>
        <w:t>Nota:</w:t>
      </w:r>
      <w:r w:rsidRPr="007B14D3">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7B14D3">
        <w:rPr>
          <w:rFonts w:ascii="Calibri" w:eastAsia="Times New Roman" w:hAnsi="Calibri" w:cs="Arial"/>
          <w:bCs/>
          <w:color w:val="000000"/>
          <w:kern w:val="0"/>
          <w:lang w:eastAsia="es-CR"/>
          <w14:ligatures w14:val="none"/>
        </w:rPr>
        <w:t>pdf</w:t>
      </w:r>
      <w:proofErr w:type="spellEnd"/>
      <w:r w:rsidRPr="007B14D3">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397F6911"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p>
    <w:p w14:paraId="67EE883E"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Alarcón </w:t>
      </w:r>
      <w:proofErr w:type="spellStart"/>
      <w:r w:rsidRPr="4C9C2619">
        <w:rPr>
          <w:rFonts w:ascii="Calibri" w:eastAsia="Times New Roman" w:hAnsi="Calibri" w:cs="Calibri"/>
          <w:color w:val="000000"/>
          <w:kern w:val="0"/>
          <w:lang w:val="es-ES" w:eastAsia="es-CR"/>
          <w14:ligatures w14:val="none"/>
        </w:rPr>
        <w:t>Cháires</w:t>
      </w:r>
      <w:proofErr w:type="spellEnd"/>
      <w:r w:rsidRPr="4C9C2619">
        <w:rPr>
          <w:rFonts w:ascii="Calibri" w:eastAsia="Times New Roman" w:hAnsi="Calibri" w:cs="Calibri"/>
          <w:color w:val="000000"/>
          <w:kern w:val="0"/>
          <w:lang w:val="es-ES" w:eastAsia="es-CR"/>
          <w14:ligatures w14:val="none"/>
        </w:rPr>
        <w:t xml:space="preserve">, Pablo. “Riqueza ecológica versus pobreza social: contradicciones y perspectivas del desarrollo indígena en América Latina”. En </w:t>
      </w:r>
      <w:r w:rsidRPr="4C9C2619">
        <w:rPr>
          <w:rFonts w:ascii="Calibri" w:eastAsia="Times New Roman" w:hAnsi="Calibri" w:cs="Calibri"/>
          <w:i/>
          <w:iCs/>
          <w:color w:val="000000"/>
          <w:kern w:val="0"/>
          <w:lang w:val="es-ES" w:eastAsia="es-CR"/>
          <w14:ligatures w14:val="none"/>
        </w:rPr>
        <w:t xml:space="preserve">Pueblos indígenas y pobreza, </w:t>
      </w:r>
      <w:r w:rsidRPr="4C9C2619">
        <w:rPr>
          <w:rFonts w:ascii="Calibri" w:eastAsia="Times New Roman" w:hAnsi="Calibri" w:cs="Calibri"/>
          <w:color w:val="000000"/>
          <w:kern w:val="0"/>
          <w:lang w:val="es-ES" w:eastAsia="es-CR"/>
          <w14:ligatures w14:val="none"/>
        </w:rPr>
        <w:t xml:space="preserve">coordinado por Alberto D. </w:t>
      </w:r>
      <w:proofErr w:type="spellStart"/>
      <w:r w:rsidRPr="4C9C2619">
        <w:rPr>
          <w:rFonts w:ascii="Calibri" w:eastAsia="Times New Roman" w:hAnsi="Calibri" w:cs="Calibri"/>
          <w:color w:val="000000"/>
          <w:kern w:val="0"/>
          <w:lang w:val="es-ES" w:eastAsia="es-CR"/>
          <w14:ligatures w14:val="none"/>
        </w:rPr>
        <w:t>Cimadamore</w:t>
      </w:r>
      <w:proofErr w:type="spellEnd"/>
      <w:r w:rsidRPr="4C9C2619">
        <w:rPr>
          <w:rFonts w:ascii="Calibri" w:eastAsia="Times New Roman" w:hAnsi="Calibri" w:cs="Calibri"/>
          <w:color w:val="000000"/>
          <w:kern w:val="0"/>
          <w:lang w:val="es-ES" w:eastAsia="es-CR"/>
          <w14:ligatures w14:val="none"/>
        </w:rPr>
        <w:t xml:space="preserve">, Robyn </w:t>
      </w:r>
      <w:proofErr w:type="spellStart"/>
      <w:r w:rsidRPr="4C9C2619">
        <w:rPr>
          <w:rFonts w:ascii="Calibri" w:eastAsia="Times New Roman" w:hAnsi="Calibri" w:cs="Calibri"/>
          <w:color w:val="000000"/>
          <w:kern w:val="0"/>
          <w:lang w:val="es-ES" w:eastAsia="es-CR"/>
          <w14:ligatures w14:val="none"/>
        </w:rPr>
        <w:t>Eversole</w:t>
      </w:r>
      <w:proofErr w:type="spellEnd"/>
      <w:r w:rsidRPr="4C9C2619">
        <w:rPr>
          <w:rFonts w:ascii="Calibri" w:eastAsia="Times New Roman" w:hAnsi="Calibri" w:cs="Calibri"/>
          <w:color w:val="000000"/>
          <w:kern w:val="0"/>
          <w:lang w:val="es-ES" w:eastAsia="es-CR"/>
          <w14:ligatures w14:val="none"/>
        </w:rPr>
        <w:t xml:space="preserve"> y John-Andrew </w:t>
      </w:r>
      <w:proofErr w:type="spellStart"/>
      <w:r w:rsidRPr="4C9C2619">
        <w:rPr>
          <w:rFonts w:ascii="Calibri" w:eastAsia="Times New Roman" w:hAnsi="Calibri" w:cs="Calibri"/>
          <w:color w:val="000000"/>
          <w:kern w:val="0"/>
          <w:lang w:val="es-ES" w:eastAsia="es-CR"/>
          <w14:ligatures w14:val="none"/>
        </w:rPr>
        <w:t>McNeish</w:t>
      </w:r>
      <w:proofErr w:type="spellEnd"/>
      <w:r w:rsidRPr="4C9C2619">
        <w:rPr>
          <w:rFonts w:ascii="Calibri" w:eastAsia="Times New Roman" w:hAnsi="Calibri" w:cs="Calibri"/>
          <w:color w:val="000000"/>
          <w:kern w:val="0"/>
          <w:lang w:val="es-ES" w:eastAsia="es-CR"/>
          <w14:ligatures w14:val="none"/>
        </w:rPr>
        <w:t>, 41-70. Buenos Aires: CLACSO, 2006.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44ED8EE9"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Araya </w:t>
      </w:r>
      <w:proofErr w:type="spellStart"/>
      <w:r w:rsidRPr="4C9C2619">
        <w:rPr>
          <w:rFonts w:ascii="Calibri" w:eastAsia="Times New Roman" w:hAnsi="Calibri" w:cs="Calibri"/>
          <w:color w:val="000000"/>
          <w:kern w:val="0"/>
          <w:lang w:val="es-ES" w:eastAsia="es-CR"/>
          <w14:ligatures w14:val="none"/>
        </w:rPr>
        <w:t>Pochet</w:t>
      </w:r>
      <w:proofErr w:type="spellEnd"/>
      <w:r w:rsidRPr="4C9C2619">
        <w:rPr>
          <w:rFonts w:ascii="Calibri" w:eastAsia="Times New Roman" w:hAnsi="Calibri" w:cs="Calibri"/>
          <w:color w:val="000000"/>
          <w:kern w:val="0"/>
          <w:lang w:val="es-ES" w:eastAsia="es-CR"/>
          <w14:ligatures w14:val="none"/>
        </w:rPr>
        <w:t xml:space="preserve">, Carlos. </w:t>
      </w:r>
      <w:r w:rsidRPr="4C9C2619">
        <w:rPr>
          <w:rFonts w:ascii="Calibri" w:eastAsia="Times New Roman" w:hAnsi="Calibri" w:cs="Calibri"/>
          <w:i/>
          <w:iCs/>
          <w:color w:val="000000"/>
          <w:kern w:val="0"/>
          <w:lang w:val="es-ES" w:eastAsia="es-CR"/>
          <w14:ligatures w14:val="none"/>
        </w:rPr>
        <w:t xml:space="preserve">Historia de América en perspectiva latinoamericana. </w:t>
      </w:r>
      <w:r w:rsidRPr="4C9C2619">
        <w:rPr>
          <w:rFonts w:ascii="Calibri" w:eastAsia="Times New Roman" w:hAnsi="Calibri" w:cs="Calibri"/>
          <w:color w:val="000000"/>
          <w:kern w:val="0"/>
          <w:lang w:val="es-ES" w:eastAsia="es-CR"/>
          <w14:ligatures w14:val="none"/>
        </w:rPr>
        <w:t>San José, C.R.: EUNED, 2013.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6890590F"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 xml:space="preserve">Cáceres, Rina. </w:t>
      </w:r>
      <w:r w:rsidRPr="007B14D3">
        <w:rPr>
          <w:rFonts w:ascii="Calibri" w:eastAsia="Times New Roman" w:hAnsi="Calibri" w:cs="Calibri"/>
          <w:i/>
          <w:color w:val="000000"/>
          <w:kern w:val="0"/>
          <w:lang w:val="es-ES_tradnl" w:eastAsia="es-CR"/>
          <w14:ligatures w14:val="none"/>
        </w:rPr>
        <w:t xml:space="preserve">Rutas de la esclavitud en África y América Latina. </w:t>
      </w:r>
      <w:r w:rsidRPr="007B14D3">
        <w:rPr>
          <w:rFonts w:ascii="Calibri" w:eastAsia="Times New Roman" w:hAnsi="Calibri" w:cs="Calibri"/>
          <w:color w:val="000000"/>
          <w:kern w:val="0"/>
          <w:lang w:val="es-ES_tradnl" w:eastAsia="es-CR"/>
          <w14:ligatures w14:val="none"/>
        </w:rPr>
        <w:t>San José, C.R.: Editorial de la Universidad de Costa Rica, 2001. (</w:t>
      </w:r>
      <w:r w:rsidRPr="007B14D3">
        <w:rPr>
          <w:rFonts w:ascii="Calibri" w:eastAsia="Times New Roman" w:hAnsi="Calibri" w:cs="Calibri"/>
          <w:color w:val="0070C0"/>
          <w:kern w:val="0"/>
          <w:lang w:val="es-ES_tradnl" w:eastAsia="es-CR"/>
          <w14:ligatures w14:val="none"/>
        </w:rPr>
        <w:t xml:space="preserve">clásico, </w:t>
      </w:r>
      <w:r w:rsidRPr="007B14D3">
        <w:rPr>
          <w:rFonts w:ascii="Calibri" w:eastAsia="Times New Roman" w:hAnsi="Calibri" w:cs="Calibri"/>
          <w:color w:val="000000"/>
          <w:kern w:val="0"/>
          <w:lang w:val="es-ES_tradnl" w:eastAsia="es-CR"/>
          <w14:ligatures w14:val="none"/>
        </w:rPr>
        <w:t>última edición)</w:t>
      </w:r>
    </w:p>
    <w:p w14:paraId="04B57B2E"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Cruz Molina, Yolanda. </w:t>
      </w:r>
      <w:proofErr w:type="spellStart"/>
      <w:r w:rsidRPr="4C9C2619">
        <w:rPr>
          <w:rFonts w:ascii="Calibri" w:eastAsia="Times New Roman" w:hAnsi="Calibri" w:cs="Calibri"/>
          <w:i/>
          <w:iCs/>
          <w:color w:val="000000"/>
          <w:kern w:val="0"/>
          <w:lang w:val="es-ES" w:eastAsia="es-CR"/>
          <w14:ligatures w14:val="none"/>
        </w:rPr>
        <w:t>Indianidad</w:t>
      </w:r>
      <w:proofErr w:type="spellEnd"/>
      <w:r w:rsidRPr="4C9C2619">
        <w:rPr>
          <w:rFonts w:ascii="Calibri" w:eastAsia="Times New Roman" w:hAnsi="Calibri" w:cs="Calibri"/>
          <w:i/>
          <w:iCs/>
          <w:color w:val="000000"/>
          <w:kern w:val="0"/>
          <w:lang w:val="es-ES" w:eastAsia="es-CR"/>
          <w14:ligatures w14:val="none"/>
        </w:rPr>
        <w:t xml:space="preserve"> y negritud en el repertorio americano. </w:t>
      </w:r>
      <w:r w:rsidRPr="4C9C2619">
        <w:rPr>
          <w:rFonts w:ascii="Calibri" w:eastAsia="Times New Roman" w:hAnsi="Calibri" w:cs="Calibri"/>
          <w:color w:val="000000"/>
          <w:kern w:val="0"/>
          <w:lang w:val="es-ES" w:eastAsia="es-CR"/>
          <w14:ligatures w14:val="none"/>
        </w:rPr>
        <w:t>Heredia, C.R.: EUNA, 1999.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xml:space="preserve"> última edición) </w:t>
      </w:r>
    </w:p>
    <w:p w14:paraId="41434850"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proofErr w:type="spellStart"/>
      <w:r w:rsidRPr="4C9C2619">
        <w:rPr>
          <w:rFonts w:ascii="Calibri" w:eastAsia="Times New Roman" w:hAnsi="Calibri" w:cs="Calibri"/>
          <w:color w:val="000000"/>
          <w:kern w:val="0"/>
          <w:lang w:val="es-ES" w:eastAsia="es-CR"/>
          <w14:ligatures w14:val="none"/>
        </w:rPr>
        <w:t>Damman</w:t>
      </w:r>
      <w:proofErr w:type="spellEnd"/>
      <w:r w:rsidRPr="4C9C2619">
        <w:rPr>
          <w:rFonts w:ascii="Calibri" w:eastAsia="Times New Roman" w:hAnsi="Calibri" w:cs="Calibri"/>
          <w:color w:val="000000"/>
          <w:kern w:val="0"/>
          <w:lang w:val="es-ES" w:eastAsia="es-CR"/>
          <w14:ligatures w14:val="none"/>
        </w:rPr>
        <w:t xml:space="preserve">, Siri. “Vulnerabilidad nutricional de los niños indígenas de América: una cuestión de derechos humanos”. En </w:t>
      </w:r>
      <w:r w:rsidRPr="4C9C2619">
        <w:rPr>
          <w:rFonts w:ascii="Calibri" w:eastAsia="Times New Roman" w:hAnsi="Calibri" w:cs="Calibri"/>
          <w:i/>
          <w:iCs/>
          <w:color w:val="000000"/>
          <w:kern w:val="0"/>
          <w:lang w:val="es-ES" w:eastAsia="es-CR"/>
          <w14:ligatures w14:val="none"/>
        </w:rPr>
        <w:t xml:space="preserve">Pueblos indígenas y pobreza, </w:t>
      </w:r>
      <w:r w:rsidRPr="4C9C2619">
        <w:rPr>
          <w:rFonts w:ascii="Calibri" w:eastAsia="Times New Roman" w:hAnsi="Calibri" w:cs="Calibri"/>
          <w:color w:val="000000"/>
          <w:kern w:val="0"/>
          <w:lang w:val="es-ES" w:eastAsia="es-CR"/>
          <w14:ligatures w14:val="none"/>
        </w:rPr>
        <w:t xml:space="preserve">coordinado por Alberto D. </w:t>
      </w:r>
      <w:proofErr w:type="spellStart"/>
      <w:r w:rsidRPr="4C9C2619">
        <w:rPr>
          <w:rFonts w:ascii="Calibri" w:eastAsia="Times New Roman" w:hAnsi="Calibri" w:cs="Calibri"/>
          <w:color w:val="000000"/>
          <w:kern w:val="0"/>
          <w:lang w:val="es-ES" w:eastAsia="es-CR"/>
          <w14:ligatures w14:val="none"/>
        </w:rPr>
        <w:t>Cimadamore</w:t>
      </w:r>
      <w:proofErr w:type="spellEnd"/>
      <w:r w:rsidRPr="4C9C2619">
        <w:rPr>
          <w:rFonts w:ascii="Calibri" w:eastAsia="Times New Roman" w:hAnsi="Calibri" w:cs="Calibri"/>
          <w:color w:val="000000"/>
          <w:kern w:val="0"/>
          <w:lang w:val="es-ES" w:eastAsia="es-CR"/>
          <w14:ligatures w14:val="none"/>
        </w:rPr>
        <w:t xml:space="preserve">, Robyn </w:t>
      </w:r>
      <w:proofErr w:type="spellStart"/>
      <w:r w:rsidRPr="4C9C2619">
        <w:rPr>
          <w:rFonts w:ascii="Calibri" w:eastAsia="Times New Roman" w:hAnsi="Calibri" w:cs="Calibri"/>
          <w:color w:val="000000"/>
          <w:kern w:val="0"/>
          <w:lang w:val="es-ES" w:eastAsia="es-CR"/>
          <w14:ligatures w14:val="none"/>
        </w:rPr>
        <w:t>Eversole</w:t>
      </w:r>
      <w:proofErr w:type="spellEnd"/>
      <w:r w:rsidRPr="4C9C2619">
        <w:rPr>
          <w:rFonts w:ascii="Calibri" w:eastAsia="Times New Roman" w:hAnsi="Calibri" w:cs="Calibri"/>
          <w:color w:val="000000"/>
          <w:kern w:val="0"/>
          <w:lang w:val="es-ES" w:eastAsia="es-CR"/>
          <w14:ligatures w14:val="none"/>
        </w:rPr>
        <w:t xml:space="preserve"> y John-Andrew </w:t>
      </w:r>
      <w:proofErr w:type="spellStart"/>
      <w:r w:rsidRPr="4C9C2619">
        <w:rPr>
          <w:rFonts w:ascii="Calibri" w:eastAsia="Times New Roman" w:hAnsi="Calibri" w:cs="Calibri"/>
          <w:color w:val="000000"/>
          <w:kern w:val="0"/>
          <w:lang w:val="es-ES" w:eastAsia="es-CR"/>
          <w14:ligatures w14:val="none"/>
        </w:rPr>
        <w:t>McNeish</w:t>
      </w:r>
      <w:proofErr w:type="spellEnd"/>
      <w:r w:rsidRPr="4C9C2619">
        <w:rPr>
          <w:rFonts w:ascii="Calibri" w:eastAsia="Times New Roman" w:hAnsi="Calibri" w:cs="Calibri"/>
          <w:color w:val="000000"/>
          <w:kern w:val="0"/>
          <w:lang w:val="es-ES" w:eastAsia="es-CR"/>
          <w14:ligatures w14:val="none"/>
        </w:rPr>
        <w:t>, 89-114. Buenos Aires: CLACSO, 2006.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última edición)</w:t>
      </w:r>
    </w:p>
    <w:p w14:paraId="4D39EC2B"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 xml:space="preserve">Duncan, Quince. </w:t>
      </w:r>
      <w:r w:rsidRPr="007B14D3">
        <w:rPr>
          <w:rFonts w:ascii="Calibri" w:eastAsia="Times New Roman" w:hAnsi="Calibri" w:cs="Calibri"/>
          <w:i/>
          <w:color w:val="000000"/>
          <w:kern w:val="0"/>
          <w:lang w:val="es-ES_tradnl" w:eastAsia="es-CR"/>
          <w14:ligatures w14:val="none"/>
        </w:rPr>
        <w:t xml:space="preserve">Contra el silencio: afrodescendientes y racismo en el Caribe Continental Hispánico. </w:t>
      </w:r>
      <w:r w:rsidRPr="007B14D3">
        <w:rPr>
          <w:rFonts w:ascii="Calibri" w:eastAsia="Times New Roman" w:hAnsi="Calibri" w:cs="Calibri"/>
          <w:color w:val="000000"/>
          <w:kern w:val="0"/>
          <w:lang w:val="es-ES_tradnl" w:eastAsia="es-CR"/>
          <w14:ligatures w14:val="none"/>
        </w:rPr>
        <w:t>San José, C.R.: EUNED, 2001. (</w:t>
      </w:r>
      <w:r w:rsidRPr="007B14D3">
        <w:rPr>
          <w:rFonts w:ascii="Calibri" w:eastAsia="Times New Roman" w:hAnsi="Calibri" w:cs="Calibri"/>
          <w:color w:val="0070C0"/>
          <w:kern w:val="0"/>
          <w:lang w:val="es-ES_tradnl" w:eastAsia="es-CR"/>
          <w14:ligatures w14:val="none"/>
        </w:rPr>
        <w:t xml:space="preserve">clásico, </w:t>
      </w:r>
      <w:r w:rsidRPr="007B14D3">
        <w:rPr>
          <w:rFonts w:ascii="Calibri" w:eastAsia="Times New Roman" w:hAnsi="Calibri" w:cs="Calibri"/>
          <w:color w:val="000000"/>
          <w:kern w:val="0"/>
          <w:lang w:val="es-ES_tradnl" w:eastAsia="es-CR"/>
          <w14:ligatures w14:val="none"/>
        </w:rPr>
        <w:t xml:space="preserve">última edición) </w:t>
      </w:r>
    </w:p>
    <w:p w14:paraId="422615EC"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7B14D3">
        <w:rPr>
          <w:rFonts w:ascii="Calibri" w:eastAsia="Times New Roman" w:hAnsi="Calibri" w:cs="Calibri"/>
          <w:kern w:val="0"/>
          <w:lang w:val="es-ES_tradnl" w:eastAsia="es-CR"/>
          <w14:ligatures w14:val="none"/>
        </w:rPr>
        <w:t xml:space="preserve">Eliade, Mircea. </w:t>
      </w:r>
      <w:r w:rsidRPr="007B14D3">
        <w:rPr>
          <w:rFonts w:ascii="Calibri" w:eastAsia="Times New Roman" w:hAnsi="Calibri" w:cs="Calibri"/>
          <w:i/>
          <w:kern w:val="0"/>
          <w:lang w:val="es-ES_tradnl" w:eastAsia="es-CR"/>
          <w14:ligatures w14:val="none"/>
        </w:rPr>
        <w:t>Lo sagrado y lo profano.</w:t>
      </w:r>
      <w:r w:rsidRPr="007B14D3">
        <w:rPr>
          <w:rFonts w:ascii="Calibri" w:eastAsia="Times New Roman" w:hAnsi="Calibri" w:cs="Calibri"/>
          <w:kern w:val="0"/>
          <w:lang w:val="es-ES_tradnl" w:eastAsia="es-CR"/>
          <w14:ligatures w14:val="none"/>
        </w:rPr>
        <w:t xml:space="preserve"> 1967. Reimpresión,</w:t>
      </w:r>
      <w:r w:rsidRPr="007B14D3">
        <w:rPr>
          <w:rFonts w:ascii="Calibri" w:eastAsia="Times New Roman" w:hAnsi="Calibri" w:cs="Calibri"/>
          <w:i/>
          <w:kern w:val="0"/>
          <w:lang w:val="es-ES_tradnl" w:eastAsia="es-CR"/>
          <w14:ligatures w14:val="none"/>
        </w:rPr>
        <w:t xml:space="preserve"> </w:t>
      </w:r>
      <w:r w:rsidRPr="007B14D3">
        <w:rPr>
          <w:rFonts w:ascii="Calibri" w:eastAsia="Times New Roman" w:hAnsi="Calibri" w:cs="Calibri"/>
          <w:kern w:val="0"/>
          <w:lang w:val="es-ES_tradnl" w:eastAsia="es-CR"/>
          <w14:ligatures w14:val="none"/>
        </w:rPr>
        <w:t xml:space="preserve">Madrid: Guadarrama, 1973. (Clásico, última edición Barcelona: Paidós, 2020) </w:t>
      </w:r>
    </w:p>
    <w:p w14:paraId="4A23D294"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_tradnl" w:eastAsia="es-CR"/>
          <w14:ligatures w14:val="none"/>
        </w:rPr>
      </w:pPr>
      <w:r w:rsidRPr="007B14D3">
        <w:rPr>
          <w:rFonts w:ascii="Calibri" w:eastAsia="Times New Roman" w:hAnsi="Calibri" w:cs="Calibri"/>
          <w:kern w:val="0"/>
          <w:lang w:val="es-ES_tradnl" w:eastAsia="es-CR"/>
          <w14:ligatures w14:val="none"/>
        </w:rPr>
        <w:t xml:space="preserve">Geertz, Clifford. </w:t>
      </w:r>
      <w:r w:rsidRPr="007B14D3">
        <w:rPr>
          <w:rFonts w:ascii="Calibri" w:eastAsia="Times New Roman" w:hAnsi="Calibri" w:cs="Calibri"/>
          <w:i/>
          <w:kern w:val="0"/>
          <w:lang w:val="es-ES_tradnl" w:eastAsia="es-CR"/>
          <w14:ligatures w14:val="none"/>
        </w:rPr>
        <w:t>La interpretación de las culturas</w:t>
      </w:r>
      <w:r w:rsidRPr="007B14D3">
        <w:rPr>
          <w:rFonts w:ascii="Calibri" w:eastAsia="Times New Roman" w:hAnsi="Calibri" w:cs="Calibri"/>
          <w:kern w:val="0"/>
          <w:lang w:val="es-ES_tradnl" w:eastAsia="es-CR"/>
          <w14:ligatures w14:val="none"/>
        </w:rPr>
        <w:t xml:space="preserve">. </w:t>
      </w:r>
      <w:r w:rsidRPr="007B14D3">
        <w:rPr>
          <w:rFonts w:ascii="Calibri" w:eastAsia="Times New Roman" w:hAnsi="Calibri" w:cs="Calibri"/>
          <w:iCs/>
          <w:kern w:val="0"/>
          <w:lang w:val="es-ES_tradnl" w:eastAsia="es-CR"/>
          <w14:ligatures w14:val="none"/>
        </w:rPr>
        <w:t>1973. (Clásico, última</w:t>
      </w:r>
      <w:r w:rsidRPr="007B14D3">
        <w:rPr>
          <w:rFonts w:ascii="Calibri" w:eastAsia="Times New Roman" w:hAnsi="Calibri" w:cs="Calibri"/>
          <w:i/>
          <w:kern w:val="0"/>
          <w:lang w:val="es-ES_tradnl" w:eastAsia="es-CR"/>
          <w14:ligatures w14:val="none"/>
        </w:rPr>
        <w:t xml:space="preserve"> </w:t>
      </w:r>
      <w:r w:rsidRPr="007B14D3">
        <w:rPr>
          <w:rFonts w:ascii="Calibri" w:eastAsia="Times New Roman" w:hAnsi="Calibri" w:cs="Calibri"/>
          <w:iCs/>
          <w:kern w:val="0"/>
          <w:lang w:val="es-ES_tradnl" w:eastAsia="es-CR"/>
          <w14:ligatures w14:val="none"/>
        </w:rPr>
        <w:t>reimpresión</w:t>
      </w:r>
      <w:r w:rsidRPr="007B14D3">
        <w:rPr>
          <w:rFonts w:ascii="Calibri" w:eastAsia="Times New Roman" w:hAnsi="Calibri" w:cs="Calibri"/>
          <w:i/>
          <w:kern w:val="0"/>
          <w:lang w:val="es-ES_tradnl" w:eastAsia="es-CR"/>
          <w14:ligatures w14:val="none"/>
        </w:rPr>
        <w:t xml:space="preserve"> </w:t>
      </w:r>
      <w:r w:rsidRPr="007B14D3">
        <w:rPr>
          <w:rFonts w:ascii="Calibri" w:eastAsia="Times New Roman" w:hAnsi="Calibri" w:cs="Calibri"/>
          <w:kern w:val="0"/>
          <w:lang w:val="es-ES_tradnl" w:eastAsia="es-CR"/>
          <w14:ligatures w14:val="none"/>
        </w:rPr>
        <w:t xml:space="preserve">Barcelona: Gedisa, 1990) </w:t>
      </w:r>
    </w:p>
    <w:p w14:paraId="5B525B6B"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 xml:space="preserve">Ortiz </w:t>
      </w:r>
      <w:proofErr w:type="spellStart"/>
      <w:r w:rsidRPr="4C9C2619">
        <w:rPr>
          <w:rFonts w:ascii="Calibri" w:eastAsia="Times New Roman" w:hAnsi="Calibri" w:cs="Calibri"/>
          <w:color w:val="000000"/>
          <w:kern w:val="0"/>
          <w:lang w:val="es-ES" w:eastAsia="es-CR"/>
          <w14:ligatures w14:val="none"/>
        </w:rPr>
        <w:t>Rescaniere</w:t>
      </w:r>
      <w:proofErr w:type="spellEnd"/>
      <w:r w:rsidRPr="4C9C2619">
        <w:rPr>
          <w:rFonts w:ascii="Calibri" w:eastAsia="Times New Roman" w:hAnsi="Calibri" w:cs="Calibri"/>
          <w:color w:val="000000"/>
          <w:kern w:val="0"/>
          <w:lang w:val="es-ES" w:eastAsia="es-CR"/>
          <w14:ligatures w14:val="none"/>
        </w:rPr>
        <w:t xml:space="preserve">, Alejandro. “Introducción”. En </w:t>
      </w:r>
      <w:r w:rsidRPr="4C9C2619">
        <w:rPr>
          <w:rFonts w:ascii="Calibri" w:eastAsia="Times New Roman" w:hAnsi="Calibri" w:cs="Calibri"/>
          <w:i/>
          <w:iCs/>
          <w:color w:val="000000"/>
          <w:kern w:val="0"/>
          <w:lang w:val="es-ES" w:eastAsia="es-CR"/>
          <w14:ligatures w14:val="none"/>
        </w:rPr>
        <w:t>Mitologías amerindias</w:t>
      </w:r>
      <w:r w:rsidRPr="4C9C2619">
        <w:rPr>
          <w:rFonts w:ascii="Calibri" w:eastAsia="Times New Roman" w:hAnsi="Calibri" w:cs="Calibri"/>
          <w:color w:val="000000"/>
          <w:kern w:val="0"/>
          <w:lang w:val="es-ES" w:eastAsia="es-CR"/>
          <w14:ligatures w14:val="none"/>
        </w:rPr>
        <w:t xml:space="preserve">, editado por Alejandro Ortiz </w:t>
      </w:r>
      <w:proofErr w:type="spellStart"/>
      <w:r w:rsidRPr="4C9C2619">
        <w:rPr>
          <w:rFonts w:ascii="Calibri" w:eastAsia="Times New Roman" w:hAnsi="Calibri" w:cs="Calibri"/>
          <w:color w:val="000000"/>
          <w:kern w:val="0"/>
          <w:lang w:val="es-ES" w:eastAsia="es-CR"/>
          <w14:ligatures w14:val="none"/>
        </w:rPr>
        <w:t>Rescaniere</w:t>
      </w:r>
      <w:proofErr w:type="spellEnd"/>
      <w:r w:rsidRPr="4C9C2619">
        <w:rPr>
          <w:rFonts w:ascii="Calibri" w:eastAsia="Times New Roman" w:hAnsi="Calibri" w:cs="Calibri"/>
          <w:color w:val="000000"/>
          <w:kern w:val="0"/>
          <w:lang w:val="es-ES" w:eastAsia="es-CR"/>
          <w14:ligatures w14:val="none"/>
        </w:rPr>
        <w:t>, 9-35. Madrid: Trotta, 2006.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xml:space="preserve"> última edición)</w:t>
      </w:r>
    </w:p>
    <w:p w14:paraId="018A080B"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 w:eastAsia="es-CR"/>
          <w14:ligatures w14:val="none"/>
        </w:rPr>
      </w:pPr>
      <w:proofErr w:type="spellStart"/>
      <w:r w:rsidRPr="4C9C2619">
        <w:rPr>
          <w:rFonts w:ascii="Calibri" w:eastAsia="Times New Roman" w:hAnsi="Calibri" w:cs="Calibri"/>
          <w:color w:val="000000"/>
          <w:kern w:val="0"/>
          <w:lang w:val="es-ES" w:eastAsia="es-CR"/>
          <w14:ligatures w14:val="none"/>
        </w:rPr>
        <w:t>Otzoy</w:t>
      </w:r>
      <w:proofErr w:type="spellEnd"/>
      <w:r w:rsidRPr="4C9C2619">
        <w:rPr>
          <w:rFonts w:ascii="Calibri" w:eastAsia="Times New Roman" w:hAnsi="Calibri" w:cs="Calibri"/>
          <w:color w:val="000000"/>
          <w:kern w:val="0"/>
          <w:lang w:val="es-ES" w:eastAsia="es-CR"/>
          <w14:ligatures w14:val="none"/>
        </w:rPr>
        <w:t xml:space="preserve">, Antonio. </w:t>
      </w:r>
      <w:r w:rsidRPr="4C9C2619">
        <w:rPr>
          <w:rFonts w:ascii="Calibri" w:eastAsia="Times New Roman" w:hAnsi="Calibri" w:cs="Calibri"/>
          <w:i/>
          <w:iCs/>
          <w:color w:val="000000"/>
          <w:kern w:val="0"/>
          <w:lang w:val="es-ES" w:eastAsia="es-CR"/>
          <w14:ligatures w14:val="none"/>
        </w:rPr>
        <w:t xml:space="preserve">Escuchando a Dios desde las culturas indígenas. </w:t>
      </w:r>
      <w:r w:rsidRPr="4C9C2619">
        <w:rPr>
          <w:rFonts w:ascii="Calibri" w:eastAsia="Times New Roman" w:hAnsi="Calibri" w:cs="Calibri"/>
          <w:color w:val="000000"/>
          <w:kern w:val="0"/>
          <w:lang w:val="es-ES" w:eastAsia="es-CR"/>
          <w14:ligatures w14:val="none"/>
        </w:rPr>
        <w:t>San José, C.R.: Editorial SEBILA, 2013.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color w:val="000000"/>
          <w:kern w:val="0"/>
          <w:lang w:val="es-ES" w:eastAsia="es-CR"/>
          <w14:ligatures w14:val="none"/>
        </w:rPr>
        <w:t xml:space="preserve">última edición) </w:t>
      </w:r>
    </w:p>
    <w:p w14:paraId="27633E40"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 xml:space="preserve">Rivera Pagán, Luis N. </w:t>
      </w:r>
      <w:r w:rsidRPr="007B14D3">
        <w:rPr>
          <w:rFonts w:ascii="Calibri" w:eastAsia="Times New Roman" w:hAnsi="Calibri" w:cs="Calibri"/>
          <w:i/>
          <w:color w:val="000000"/>
          <w:kern w:val="0"/>
          <w:lang w:val="es-ES_tradnl" w:eastAsia="es-CR"/>
          <w14:ligatures w14:val="none"/>
        </w:rPr>
        <w:t xml:space="preserve">Entre el oro y la fe: el dilema de América Latina. </w:t>
      </w:r>
      <w:r w:rsidRPr="007B14D3">
        <w:rPr>
          <w:rFonts w:ascii="Calibri" w:eastAsia="Times New Roman" w:hAnsi="Calibri" w:cs="Calibri"/>
          <w:color w:val="000000"/>
          <w:kern w:val="0"/>
          <w:lang w:val="es-ES_tradnl" w:eastAsia="es-CR"/>
          <w14:ligatures w14:val="none"/>
        </w:rPr>
        <w:t>San Juan: Editorial de la Universidad de Puerto Rico, 1995. (</w:t>
      </w:r>
      <w:r w:rsidRPr="007B14D3">
        <w:rPr>
          <w:rFonts w:ascii="Calibri" w:eastAsia="Times New Roman" w:hAnsi="Calibri" w:cs="Calibri"/>
          <w:color w:val="0070C0"/>
          <w:kern w:val="0"/>
          <w:lang w:val="es-ES_tradnl" w:eastAsia="es-CR"/>
          <w14:ligatures w14:val="none"/>
        </w:rPr>
        <w:t>clásico,</w:t>
      </w:r>
      <w:r w:rsidRPr="007B14D3">
        <w:rPr>
          <w:rFonts w:ascii="Calibri" w:eastAsia="Times New Roman" w:hAnsi="Calibri" w:cs="Calibri"/>
          <w:color w:val="000000"/>
          <w:kern w:val="0"/>
          <w:lang w:val="es-ES_tradnl" w:eastAsia="es-CR"/>
          <w14:ligatures w14:val="none"/>
        </w:rPr>
        <w:t xml:space="preserve"> última edición)</w:t>
      </w:r>
    </w:p>
    <w:p w14:paraId="2557F631"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i/>
          <w:color w:val="000000"/>
          <w:kern w:val="0"/>
          <w:lang w:val="es-ES_tradnl" w:eastAsia="es-CR"/>
          <w14:ligatures w14:val="none"/>
        </w:rPr>
        <w:t xml:space="preserve">Teología india hacia el tercer milenio: materiales de estudio y reflexión. </w:t>
      </w:r>
      <w:r w:rsidRPr="007B14D3">
        <w:rPr>
          <w:rFonts w:ascii="Calibri" w:eastAsia="Times New Roman" w:hAnsi="Calibri" w:cs="Calibri"/>
          <w:color w:val="000000"/>
          <w:kern w:val="0"/>
          <w:lang w:val="es-ES_tradnl" w:eastAsia="es-CR"/>
          <w14:ligatures w14:val="none"/>
        </w:rPr>
        <w:t>México: Centro Nacional de Ayuda a Misiones Indígenas, 1999. (</w:t>
      </w:r>
      <w:r w:rsidRPr="007B14D3">
        <w:rPr>
          <w:rFonts w:ascii="Calibri" w:eastAsia="Times New Roman" w:hAnsi="Calibri" w:cs="Calibri"/>
          <w:color w:val="0070C0"/>
          <w:kern w:val="0"/>
          <w:lang w:val="es-ES_tradnl" w:eastAsia="es-CR"/>
          <w14:ligatures w14:val="none"/>
        </w:rPr>
        <w:t>clásico,</w:t>
      </w:r>
      <w:r w:rsidRPr="007B14D3">
        <w:rPr>
          <w:rFonts w:ascii="Calibri" w:eastAsia="Times New Roman" w:hAnsi="Calibri" w:cs="Calibri"/>
          <w:color w:val="000000"/>
          <w:kern w:val="0"/>
          <w:lang w:val="es-ES_tradnl" w:eastAsia="es-CR"/>
          <w14:ligatures w14:val="none"/>
        </w:rPr>
        <w:t xml:space="preserve"> última edición)</w:t>
      </w:r>
    </w:p>
    <w:p w14:paraId="3A8C8C15"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3CE6CE65"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r w:rsidRPr="007B14D3">
        <w:rPr>
          <w:rFonts w:ascii="Calibri" w:eastAsia="Times New Roman" w:hAnsi="Calibri" w:cs="Arial"/>
          <w:b/>
          <w:color w:val="000000"/>
          <w:kern w:val="0"/>
          <w:lang w:val="es-ES_tradnl" w:eastAsia="es-CR"/>
          <w14:ligatures w14:val="none"/>
        </w:rPr>
        <w:t>XII. Bibliografía complementaria</w:t>
      </w:r>
    </w:p>
    <w:p w14:paraId="7D88C2DE" w14:textId="77777777" w:rsidR="007B14D3" w:rsidRPr="007B14D3" w:rsidRDefault="007B14D3" w:rsidP="007B14D3">
      <w:pPr>
        <w:widowControl w:val="0"/>
        <w:overflowPunct w:val="0"/>
        <w:autoSpaceDE w:val="0"/>
        <w:autoSpaceDN w:val="0"/>
        <w:adjustRightInd w:val="0"/>
        <w:spacing w:after="0" w:line="240" w:lineRule="auto"/>
        <w:rPr>
          <w:rFonts w:ascii="Calibri" w:eastAsia="Times New Roman" w:hAnsi="Calibri" w:cs="Arial"/>
          <w:b/>
          <w:color w:val="000000"/>
          <w:kern w:val="0"/>
          <w:lang w:val="es-ES_tradnl" w:eastAsia="es-CR"/>
          <w14:ligatures w14:val="none"/>
        </w:rPr>
      </w:pPr>
    </w:p>
    <w:p w14:paraId="02A8B81C"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7B14D3">
        <w:rPr>
          <w:rFonts w:ascii="Calibri" w:eastAsia="Times New Roman" w:hAnsi="Calibri" w:cs="Arial"/>
          <w:b/>
          <w:color w:val="000000"/>
          <w:kern w:val="0"/>
          <w:lang w:eastAsia="es-CR"/>
          <w14:ligatures w14:val="none"/>
        </w:rPr>
        <w:t>Nota:</w:t>
      </w:r>
      <w:r w:rsidRPr="007B14D3">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7B14D3">
        <w:rPr>
          <w:rFonts w:ascii="Calibri" w:eastAsia="Times New Roman" w:hAnsi="Calibri" w:cs="Arial"/>
          <w:bCs/>
          <w:color w:val="000000"/>
          <w:kern w:val="0"/>
          <w:lang w:eastAsia="es-CR"/>
          <w14:ligatures w14:val="none"/>
        </w:rPr>
        <w:t>pdf</w:t>
      </w:r>
      <w:proofErr w:type="spellEnd"/>
      <w:r w:rsidRPr="007B14D3">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1DABCE95" w14:textId="77777777" w:rsidR="007B14D3" w:rsidRPr="007B14D3" w:rsidRDefault="007B14D3" w:rsidP="007B14D3">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p>
    <w:p w14:paraId="6320FDC0" w14:textId="77777777" w:rsidR="007B14D3" w:rsidRPr="007B14D3" w:rsidRDefault="007B14D3" w:rsidP="4C9C2619">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Estermann</w:t>
      </w:r>
      <w:proofErr w:type="spellEnd"/>
      <w:r w:rsidRPr="4C9C2619">
        <w:rPr>
          <w:rFonts w:ascii="Calibri" w:eastAsia="Times New Roman" w:hAnsi="Calibri" w:cs="Calibri"/>
          <w:kern w:val="0"/>
          <w:lang w:val="es-ES" w:eastAsia="es-CR"/>
          <w14:ligatures w14:val="none"/>
        </w:rPr>
        <w:t xml:space="preserve">, Josef. </w:t>
      </w:r>
      <w:r w:rsidRPr="4C9C2619">
        <w:rPr>
          <w:rFonts w:ascii="Calibri" w:eastAsia="Times New Roman" w:hAnsi="Calibri" w:cs="Calibri"/>
          <w:i/>
          <w:iCs/>
          <w:kern w:val="0"/>
          <w:lang w:val="es-ES" w:eastAsia="es-CR"/>
          <w14:ligatures w14:val="none"/>
        </w:rPr>
        <w:t>Filosofía andina: sabiduría indígena para un mundo nuevo</w:t>
      </w:r>
      <w:r w:rsidRPr="4C9C2619">
        <w:rPr>
          <w:rFonts w:ascii="Calibri" w:eastAsia="Times New Roman" w:hAnsi="Calibri" w:cs="Calibri"/>
          <w:kern w:val="0"/>
          <w:lang w:val="es-ES" w:eastAsia="es-CR"/>
          <w14:ligatures w14:val="none"/>
        </w:rPr>
        <w:t xml:space="preserve">. La Paz, Bolivia: ISEAT, </w:t>
      </w:r>
      <w:r w:rsidRPr="4C9C2619">
        <w:rPr>
          <w:rFonts w:ascii="Calibri" w:eastAsia="Times New Roman" w:hAnsi="Calibri" w:cs="Calibri"/>
          <w:kern w:val="0"/>
          <w:lang w:val="es-ES" w:eastAsia="es-CR"/>
          <w14:ligatures w14:val="none"/>
        </w:rPr>
        <w:lastRenderedPageBreak/>
        <w:t xml:space="preserve">2006. </w:t>
      </w:r>
      <w:r w:rsidRPr="4C9C2619">
        <w:rPr>
          <w:rFonts w:ascii="Calibri" w:eastAsia="Times New Roman" w:hAnsi="Calibri" w:cs="Calibri"/>
          <w:color w:val="000000"/>
          <w:kern w:val="0"/>
          <w:lang w:val="es-ES" w:eastAsia="es-CR"/>
          <w14:ligatures w14:val="none"/>
        </w:rPr>
        <w:t>(</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color w:val="000000"/>
          <w:kern w:val="0"/>
          <w:lang w:val="es-ES" w:eastAsia="es-CR"/>
          <w14:ligatures w14:val="none"/>
        </w:rPr>
        <w:t xml:space="preserve"> última edición)</w:t>
      </w:r>
    </w:p>
    <w:p w14:paraId="03B39482"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kern w:val="0"/>
          <w:lang w:val="es-ES_tradnl" w:eastAsia="es-CR"/>
          <w14:ligatures w14:val="none"/>
        </w:rPr>
      </w:pPr>
      <w:r w:rsidRPr="007B14D3">
        <w:rPr>
          <w:rFonts w:ascii="Calibri" w:eastAsia="Times New Roman" w:hAnsi="Calibri" w:cs="Calibri"/>
          <w:bCs/>
          <w:kern w:val="0"/>
          <w:lang w:val="es-ES_tradnl" w:eastAsia="es-CR"/>
          <w14:ligatures w14:val="none"/>
        </w:rPr>
        <w:t xml:space="preserve">Flores Recinos, Martha. “Matriarcado garífuna: Ancestralidad, espiritualidad y lucha”. </w:t>
      </w:r>
      <w:r w:rsidRPr="007B14D3">
        <w:rPr>
          <w:rFonts w:ascii="Calibri" w:eastAsia="Times New Roman" w:hAnsi="Calibri" w:cs="Calibri"/>
          <w:bCs/>
          <w:i/>
          <w:kern w:val="0"/>
          <w:lang w:val="es-ES_tradnl" w:eastAsia="es-CR"/>
          <w14:ligatures w14:val="none"/>
        </w:rPr>
        <w:t>Raíces: Revista Nicaragüense de Antropología</w:t>
      </w:r>
      <w:r w:rsidRPr="007B14D3">
        <w:rPr>
          <w:rFonts w:ascii="Calibri" w:eastAsia="Times New Roman" w:hAnsi="Calibri" w:cs="Calibri"/>
          <w:bCs/>
          <w:kern w:val="0"/>
          <w:lang w:val="es-ES_tradnl" w:eastAsia="es-CR"/>
          <w14:ligatures w14:val="none"/>
        </w:rPr>
        <w:t xml:space="preserve">, n. 6 (2019): 33-42. Acceso el 18 de diciembre de 2020. </w:t>
      </w:r>
      <w:hyperlink r:id="rId335" w:history="1">
        <w:r w:rsidRPr="007B14D3">
          <w:rPr>
            <w:rFonts w:ascii="Calibri" w:eastAsia="Times New Roman" w:hAnsi="Calibri" w:cs="Calibri"/>
            <w:bCs/>
            <w:color w:val="0563C1"/>
            <w:kern w:val="0"/>
            <w:u w:val="single"/>
            <w:lang w:val="es-ES_tradnl" w:eastAsia="es-CR"/>
            <w14:ligatures w14:val="none"/>
          </w:rPr>
          <w:t>https://www.camjol.info/index.php/raices/article/view/9009/10164</w:t>
        </w:r>
      </w:hyperlink>
      <w:r w:rsidRPr="007B14D3">
        <w:rPr>
          <w:rFonts w:ascii="Calibri" w:eastAsia="Times New Roman" w:hAnsi="Calibri" w:cs="Calibri"/>
          <w:bCs/>
          <w:kern w:val="0"/>
          <w:lang w:val="es-ES_tradnl" w:eastAsia="es-CR"/>
          <w14:ligatures w14:val="none"/>
        </w:rPr>
        <w:t xml:space="preserve"> </w:t>
      </w:r>
    </w:p>
    <w:p w14:paraId="1B54E5F8"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bCs/>
          <w:kern w:val="0"/>
          <w:lang w:val="es-ES_tradnl" w:eastAsia="es-CR"/>
          <w14:ligatures w14:val="none"/>
        </w:rPr>
      </w:pPr>
      <w:r w:rsidRPr="007B14D3">
        <w:rPr>
          <w:rFonts w:ascii="Calibri" w:eastAsia="Times New Roman" w:hAnsi="Calibri" w:cs="Calibri"/>
          <w:bCs/>
          <w:kern w:val="0"/>
          <w:lang w:val="es-ES_tradnl" w:eastAsia="es-CR"/>
          <w14:ligatures w14:val="none"/>
        </w:rPr>
        <w:t xml:space="preserve">García Bazán, Francisco. “La religión y lo sagrado”. En </w:t>
      </w:r>
      <w:r w:rsidRPr="007B14D3">
        <w:rPr>
          <w:rFonts w:ascii="Calibri" w:eastAsia="Times New Roman" w:hAnsi="Calibri" w:cs="Calibri"/>
          <w:bCs/>
          <w:i/>
          <w:kern w:val="0"/>
          <w:lang w:val="es-ES_tradnl" w:eastAsia="es-CR"/>
          <w14:ligatures w14:val="none"/>
        </w:rPr>
        <w:t>El estudio de la religión</w:t>
      </w:r>
      <w:r w:rsidRPr="007B14D3">
        <w:rPr>
          <w:rFonts w:ascii="Calibri" w:eastAsia="Times New Roman" w:hAnsi="Calibri" w:cs="Calibri"/>
          <w:bCs/>
          <w:kern w:val="0"/>
          <w:lang w:val="es-ES_tradnl" w:eastAsia="es-CR"/>
          <w14:ligatures w14:val="none"/>
        </w:rPr>
        <w:t xml:space="preserve">, editado por Francisco Diez de Velasco y Francisco García Bazán, 23-60. Madrid: Editorial Trotta, 2002. </w:t>
      </w:r>
      <w:r w:rsidRPr="007B14D3">
        <w:rPr>
          <w:rFonts w:ascii="Calibri" w:eastAsia="Times New Roman" w:hAnsi="Calibri" w:cs="Calibri"/>
          <w:color w:val="000000"/>
          <w:kern w:val="0"/>
          <w:lang w:val="es-ES_tradnl" w:eastAsia="es-CR"/>
          <w14:ligatures w14:val="none"/>
        </w:rPr>
        <w:t>(</w:t>
      </w:r>
      <w:r w:rsidRPr="007B14D3">
        <w:rPr>
          <w:rFonts w:ascii="Calibri" w:eastAsia="Times New Roman" w:hAnsi="Calibri" w:cs="Calibri"/>
          <w:color w:val="0070C0"/>
          <w:kern w:val="0"/>
          <w:lang w:val="es-ES_tradnl" w:eastAsia="es-CR"/>
          <w14:ligatures w14:val="none"/>
        </w:rPr>
        <w:t>clásico,</w:t>
      </w:r>
      <w:r w:rsidRPr="007B14D3">
        <w:rPr>
          <w:rFonts w:ascii="Calibri" w:eastAsia="Times New Roman" w:hAnsi="Calibri" w:cs="Calibri"/>
          <w:color w:val="000000"/>
          <w:kern w:val="0"/>
          <w:lang w:val="es-ES_tradnl" w:eastAsia="es-CR"/>
          <w14:ligatures w14:val="none"/>
        </w:rPr>
        <w:t xml:space="preserve"> última edición)</w:t>
      </w:r>
    </w:p>
    <w:p w14:paraId="23070B0D" w14:textId="77777777" w:rsidR="007B14D3" w:rsidRPr="007B14D3" w:rsidRDefault="007B14D3" w:rsidP="007B14D3">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00000"/>
          <w:kern w:val="0"/>
          <w:lang w:val="es-ES_tradnl" w:eastAsia="es-CR"/>
          <w14:ligatures w14:val="none"/>
        </w:rPr>
      </w:pPr>
      <w:r w:rsidRPr="007B14D3">
        <w:rPr>
          <w:rFonts w:ascii="Calibri" w:eastAsia="Times New Roman" w:hAnsi="Calibri" w:cs="Calibri"/>
          <w:color w:val="000000"/>
          <w:kern w:val="0"/>
          <w:lang w:val="es-ES_tradnl" w:eastAsia="es-CR"/>
          <w14:ligatures w14:val="none"/>
        </w:rPr>
        <w:t xml:space="preserve">Garza Camino, Mercedes de la. “Origen, estructura y temporalidad del cosmos”. En </w:t>
      </w:r>
      <w:r w:rsidRPr="007B14D3">
        <w:rPr>
          <w:rFonts w:ascii="Calibri" w:eastAsia="Times New Roman" w:hAnsi="Calibri" w:cs="Calibri"/>
          <w:i/>
          <w:color w:val="000000"/>
          <w:kern w:val="0"/>
          <w:lang w:val="es-ES_tradnl" w:eastAsia="es-CR"/>
          <w14:ligatures w14:val="none"/>
        </w:rPr>
        <w:t>Religión maya</w:t>
      </w:r>
      <w:r w:rsidRPr="007B14D3">
        <w:rPr>
          <w:rFonts w:ascii="Calibri" w:eastAsia="Times New Roman" w:hAnsi="Calibri" w:cs="Calibri"/>
          <w:color w:val="000000"/>
          <w:kern w:val="0"/>
          <w:lang w:val="es-ES_tradnl" w:eastAsia="es-CR"/>
          <w14:ligatures w14:val="none"/>
        </w:rPr>
        <w:t>, editado por Mercedes de la Garza Camino y Martha Ilia Nájera Coronado, 53-81. Madrid: Editorial Trotta, 2002. (</w:t>
      </w:r>
      <w:r w:rsidRPr="007B14D3">
        <w:rPr>
          <w:rFonts w:ascii="Calibri" w:eastAsia="Times New Roman" w:hAnsi="Calibri" w:cs="Calibri"/>
          <w:color w:val="0070C0"/>
          <w:kern w:val="0"/>
          <w:lang w:val="es-ES_tradnl" w:eastAsia="es-CR"/>
          <w14:ligatures w14:val="none"/>
        </w:rPr>
        <w:t>clásico,</w:t>
      </w:r>
      <w:r w:rsidRPr="007B14D3">
        <w:rPr>
          <w:rFonts w:ascii="Calibri" w:eastAsia="Times New Roman" w:hAnsi="Calibri" w:cs="Calibri"/>
          <w:color w:val="000000"/>
          <w:kern w:val="0"/>
          <w:lang w:val="es-ES_tradnl" w:eastAsia="es-CR"/>
          <w14:ligatures w14:val="none"/>
        </w:rPr>
        <w:t xml:space="preserve"> última edición)</w:t>
      </w:r>
    </w:p>
    <w:p w14:paraId="3DD32044" w14:textId="603FAECA" w:rsidR="007B232B" w:rsidRDefault="007B14D3" w:rsidP="007B14D3">
      <w:pPr>
        <w:rPr>
          <w:sz w:val="24"/>
          <w:szCs w:val="24"/>
        </w:rPr>
      </w:pPr>
      <w:r w:rsidRPr="007B14D3">
        <w:rPr>
          <w:rFonts w:ascii="Calibri" w:eastAsia="Times New Roman" w:hAnsi="Calibri" w:cs="Calibri"/>
          <w:color w:val="000000"/>
          <w:kern w:val="0"/>
          <w:lang w:val="es-ES_tradnl" w:eastAsia="es-CR"/>
          <w14:ligatures w14:val="none"/>
        </w:rPr>
        <w:t xml:space="preserve">Olivares, </w:t>
      </w:r>
      <w:proofErr w:type="spellStart"/>
      <w:r w:rsidRPr="007B14D3">
        <w:rPr>
          <w:rFonts w:ascii="Calibri" w:eastAsia="Times New Roman" w:hAnsi="Calibri" w:cs="Calibri"/>
          <w:color w:val="000000"/>
          <w:kern w:val="0"/>
          <w:lang w:val="es-ES_tradnl" w:eastAsia="es-CR"/>
          <w14:ligatures w14:val="none"/>
        </w:rPr>
        <w:t>Barlin</w:t>
      </w:r>
      <w:proofErr w:type="spellEnd"/>
      <w:r w:rsidRPr="007B14D3">
        <w:rPr>
          <w:rFonts w:ascii="Calibri" w:eastAsia="Times New Roman" w:hAnsi="Calibri" w:cs="Calibri"/>
          <w:color w:val="000000"/>
          <w:kern w:val="0"/>
          <w:lang w:val="es-ES_tradnl" w:eastAsia="es-CR"/>
          <w14:ligatures w14:val="none"/>
        </w:rPr>
        <w:t xml:space="preserve"> Orlando. “Relación de la naturaleza, el clima y la espiritualidad de las comunidades indígenas agrícolas </w:t>
      </w:r>
      <w:proofErr w:type="spellStart"/>
      <w:r w:rsidRPr="007B14D3">
        <w:rPr>
          <w:rFonts w:ascii="Calibri" w:eastAsia="Times New Roman" w:hAnsi="Calibri" w:cs="Calibri"/>
          <w:color w:val="000000"/>
          <w:kern w:val="0"/>
          <w:lang w:val="es-ES_tradnl" w:eastAsia="es-CR"/>
          <w14:ligatures w14:val="none"/>
        </w:rPr>
        <w:t>kari’ña</w:t>
      </w:r>
      <w:proofErr w:type="spellEnd"/>
      <w:r w:rsidRPr="007B14D3">
        <w:rPr>
          <w:rFonts w:ascii="Calibri" w:eastAsia="Times New Roman" w:hAnsi="Calibri" w:cs="Calibri"/>
          <w:color w:val="000000"/>
          <w:kern w:val="0"/>
          <w:lang w:val="es-ES_tradnl" w:eastAsia="es-CR"/>
          <w14:ligatures w14:val="none"/>
        </w:rPr>
        <w:t xml:space="preserve"> del estado Anzoátegui, Venezuela”. </w:t>
      </w:r>
      <w:r w:rsidRPr="007B14D3">
        <w:rPr>
          <w:rFonts w:ascii="Calibri" w:eastAsia="Times New Roman" w:hAnsi="Calibri" w:cs="Calibri"/>
          <w:i/>
          <w:color w:val="000000"/>
          <w:kern w:val="0"/>
          <w:lang w:val="es-ES_tradnl" w:eastAsia="es-CR"/>
          <w14:ligatures w14:val="none"/>
        </w:rPr>
        <w:t>Tiempo y Espacio</w:t>
      </w:r>
      <w:r w:rsidRPr="007B14D3">
        <w:rPr>
          <w:rFonts w:ascii="Calibri" w:eastAsia="Times New Roman" w:hAnsi="Calibri" w:cs="Calibri"/>
          <w:color w:val="000000"/>
          <w:kern w:val="0"/>
          <w:lang w:val="es-ES_tradnl" w:eastAsia="es-CR"/>
          <w14:ligatures w14:val="none"/>
        </w:rPr>
        <w:t xml:space="preserve"> 32, n. 61 (2014): 129-150. Acceso el 18 de diciembre de 2020. </w:t>
      </w:r>
      <w:hyperlink r:id="rId336" w:history="1">
        <w:r w:rsidRPr="007B14D3">
          <w:rPr>
            <w:rFonts w:ascii="Calibri" w:eastAsia="Times New Roman" w:hAnsi="Calibri" w:cs="Calibri"/>
            <w:color w:val="0563C1"/>
            <w:kern w:val="0"/>
            <w:u w:val="single"/>
            <w:lang w:val="es-ES_tradnl" w:eastAsia="es-CR"/>
            <w14:ligatures w14:val="none"/>
          </w:rPr>
          <w:t>https://dialnet.unirioja.es/servlet/articulo?codigo=6176164</w:t>
        </w:r>
      </w:hyperlink>
    </w:p>
    <w:p w14:paraId="5B025162" w14:textId="77777777" w:rsidR="007B232B" w:rsidRDefault="007B232B" w:rsidP="0004170C">
      <w:pPr>
        <w:rPr>
          <w:sz w:val="24"/>
          <w:szCs w:val="24"/>
        </w:rPr>
      </w:pPr>
    </w:p>
    <w:p w14:paraId="27E472C1" w14:textId="77777777" w:rsidR="007B232B" w:rsidRDefault="007B232B" w:rsidP="0004170C">
      <w:pPr>
        <w:rPr>
          <w:sz w:val="24"/>
          <w:szCs w:val="24"/>
        </w:rPr>
      </w:pPr>
    </w:p>
    <w:p w14:paraId="320FEFC0" w14:textId="77777777" w:rsidR="007B232B" w:rsidRDefault="007B232B" w:rsidP="0004170C">
      <w:pPr>
        <w:rPr>
          <w:sz w:val="24"/>
          <w:szCs w:val="24"/>
        </w:rPr>
      </w:pPr>
    </w:p>
    <w:p w14:paraId="0AE3073F" w14:textId="41A7ED2A" w:rsidR="007B14D3" w:rsidRDefault="007B14D3">
      <w:pPr>
        <w:rPr>
          <w:sz w:val="24"/>
          <w:szCs w:val="24"/>
        </w:rPr>
      </w:pPr>
      <w:r>
        <w:rPr>
          <w:sz w:val="24"/>
          <w:szCs w:val="24"/>
        </w:rPr>
        <w:br w:type="page"/>
      </w:r>
    </w:p>
    <w:p w14:paraId="2FAD5F90" w14:textId="77777777" w:rsidR="002A0123" w:rsidRPr="00810BE5" w:rsidRDefault="002A0123" w:rsidP="002A0123">
      <w:pPr>
        <w:spacing w:after="200" w:line="276" w:lineRule="auto"/>
        <w:jc w:val="center"/>
        <w:rPr>
          <w:rFonts w:cs="Arial"/>
          <w:szCs w:val="24"/>
        </w:rPr>
      </w:pPr>
      <w:r>
        <w:rPr>
          <w:rFonts w:ascii="Arial" w:hAnsi="Arial" w:cs="Arial"/>
          <w:noProof/>
          <w:szCs w:val="24"/>
        </w:rPr>
        <w:lastRenderedPageBreak/>
        <w:drawing>
          <wp:inline distT="0" distB="0" distL="0" distR="0" wp14:anchorId="1AC84A00" wp14:editId="09BC436C">
            <wp:extent cx="2009775" cy="1548377"/>
            <wp:effectExtent l="0" t="0" r="0" b="0"/>
            <wp:docPr id="1209875068"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75068"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2937DF52" w14:textId="77777777" w:rsidR="002A0123" w:rsidRPr="00BF4007" w:rsidRDefault="002A0123" w:rsidP="002A0123">
      <w:pPr>
        <w:keepNext/>
        <w:jc w:val="center"/>
        <w:outlineLvl w:val="0"/>
        <w:rPr>
          <w:rFonts w:cstheme="minorHAnsi"/>
          <w:b/>
          <w:szCs w:val="24"/>
        </w:rPr>
      </w:pPr>
      <w:r w:rsidRPr="00BF4007">
        <w:rPr>
          <w:rFonts w:cstheme="minorHAnsi"/>
          <w:b/>
          <w:szCs w:val="24"/>
        </w:rPr>
        <w:t>Universidad Bíblica Latinoamericana</w:t>
      </w:r>
    </w:p>
    <w:p w14:paraId="5F7F159E" w14:textId="77777777" w:rsidR="002A0123" w:rsidRPr="00BF4007" w:rsidRDefault="002A0123" w:rsidP="002A0123">
      <w:pPr>
        <w:keepNext/>
        <w:jc w:val="center"/>
        <w:outlineLvl w:val="1"/>
        <w:rPr>
          <w:rFonts w:cstheme="minorHAnsi"/>
          <w:b/>
          <w:i/>
          <w:szCs w:val="24"/>
        </w:rPr>
      </w:pPr>
      <w:r w:rsidRPr="00BF4007">
        <w:rPr>
          <w:rFonts w:cstheme="minorHAnsi"/>
          <w:b/>
          <w:i/>
          <w:szCs w:val="24"/>
        </w:rPr>
        <w:t>Facultad de Teología</w:t>
      </w:r>
    </w:p>
    <w:p w14:paraId="296D3D85" w14:textId="77777777" w:rsidR="002A0123" w:rsidRPr="00BF4007" w:rsidRDefault="002A0123" w:rsidP="002A0123">
      <w:pPr>
        <w:jc w:val="center"/>
        <w:rPr>
          <w:rFonts w:cstheme="minorHAnsi"/>
          <w:b/>
          <w:bCs/>
          <w:szCs w:val="24"/>
        </w:rPr>
      </w:pPr>
      <w:r>
        <w:rPr>
          <w:rFonts w:cs="Arial"/>
          <w:b/>
          <w:bCs/>
        </w:rPr>
        <w:t xml:space="preserve">Bachillerato en </w:t>
      </w:r>
      <w:r>
        <w:rPr>
          <w:rFonts w:cstheme="minorHAnsi"/>
          <w:b/>
          <w:bCs/>
          <w:szCs w:val="24"/>
        </w:rPr>
        <w:t xml:space="preserve">Ciencias </w:t>
      </w:r>
      <w:r>
        <w:rPr>
          <w:rFonts w:cs="Arial"/>
          <w:b/>
          <w:bCs/>
        </w:rPr>
        <w:t>Bíblicas</w:t>
      </w:r>
    </w:p>
    <w:p w14:paraId="5EDDD91A" w14:textId="77777777" w:rsidR="002A0123" w:rsidRPr="00BF4007" w:rsidRDefault="002A0123" w:rsidP="002A0123">
      <w:pPr>
        <w:spacing w:after="200"/>
        <w:jc w:val="center"/>
        <w:rPr>
          <w:rFonts w:cstheme="minorHAnsi"/>
          <w:b/>
          <w:szCs w:val="24"/>
        </w:rPr>
      </w:pPr>
    </w:p>
    <w:p w14:paraId="7FDEA6B7" w14:textId="77777777" w:rsidR="002A0123" w:rsidRPr="00BF4007" w:rsidRDefault="002A0123" w:rsidP="002A0123">
      <w:pPr>
        <w:jc w:val="center"/>
        <w:rPr>
          <w:rFonts w:cstheme="minorHAnsi"/>
          <w:b/>
          <w:szCs w:val="24"/>
        </w:rPr>
      </w:pPr>
      <w:r w:rsidRPr="00BF4007">
        <w:rPr>
          <w:rFonts w:cstheme="minorHAnsi"/>
          <w:b/>
          <w:szCs w:val="24"/>
        </w:rPr>
        <w:t>Sílabo</w:t>
      </w:r>
    </w:p>
    <w:p w14:paraId="1BAEA661" w14:textId="77777777" w:rsidR="002A0123" w:rsidRPr="00BF4007" w:rsidRDefault="002A0123" w:rsidP="002A0123">
      <w:pPr>
        <w:jc w:val="center"/>
        <w:rPr>
          <w:rFonts w:cstheme="minorHAnsi"/>
          <w:b/>
          <w:szCs w:val="24"/>
        </w:rPr>
      </w:pPr>
      <w:bookmarkStart w:id="47" w:name="CBX113"/>
      <w:r w:rsidRPr="00BF4007">
        <w:rPr>
          <w:rFonts w:cstheme="minorHAnsi"/>
          <w:b/>
          <w:szCs w:val="24"/>
        </w:rPr>
        <w:t>Metodología del Estudio Bíblico</w:t>
      </w:r>
    </w:p>
    <w:bookmarkEnd w:id="47"/>
    <w:p w14:paraId="1631A04C" w14:textId="77777777" w:rsidR="002A0123" w:rsidRPr="00810BE5" w:rsidRDefault="002A0123" w:rsidP="002A0123">
      <w:pPr>
        <w:jc w:val="center"/>
        <w:rPr>
          <w:rFonts w:ascii="Arial" w:hAnsi="Arial" w:cs="Arial"/>
          <w:b/>
          <w:color w:val="00B0F0"/>
          <w:szCs w:val="24"/>
        </w:rPr>
      </w:pPr>
    </w:p>
    <w:p w14:paraId="08DF3AE9" w14:textId="77777777" w:rsidR="002A0123" w:rsidRPr="00810BE5" w:rsidRDefault="002A0123" w:rsidP="002A0123">
      <w:pPr>
        <w:spacing w:line="276" w:lineRule="auto"/>
        <w:rPr>
          <w:rFonts w:ascii="Arial" w:hAnsi="Arial" w:cs="Arial"/>
          <w:color w:val="FF0000"/>
          <w:szCs w:val="24"/>
        </w:rPr>
      </w:pPr>
    </w:p>
    <w:tbl>
      <w:tblPr>
        <w:tblStyle w:val="Tablaconcuadrcula"/>
        <w:tblW w:w="0" w:type="auto"/>
        <w:tblLook w:val="04A0" w:firstRow="1" w:lastRow="0" w:firstColumn="1" w:lastColumn="0" w:noHBand="0" w:noVBand="1"/>
      </w:tblPr>
      <w:tblGrid>
        <w:gridCol w:w="1666"/>
        <w:gridCol w:w="7162"/>
      </w:tblGrid>
      <w:tr w:rsidR="002A0123" w:rsidRPr="0055736E" w14:paraId="7CE8795E" w14:textId="77777777" w:rsidTr="00104785">
        <w:tc>
          <w:tcPr>
            <w:tcW w:w="1668" w:type="dxa"/>
          </w:tcPr>
          <w:p w14:paraId="76E3B211" w14:textId="77777777" w:rsidR="002A0123" w:rsidRPr="0055736E" w:rsidRDefault="002A0123" w:rsidP="00104785">
            <w:pPr>
              <w:rPr>
                <w:rFonts w:cstheme="minorHAnsi"/>
                <w:b/>
              </w:rPr>
            </w:pPr>
            <w:r w:rsidRPr="0055736E">
              <w:rPr>
                <w:rFonts w:cstheme="minorHAnsi"/>
                <w:b/>
              </w:rPr>
              <w:t>Código</w:t>
            </w:r>
          </w:p>
        </w:tc>
        <w:tc>
          <w:tcPr>
            <w:tcW w:w="7386" w:type="dxa"/>
          </w:tcPr>
          <w:p w14:paraId="18332393" w14:textId="77777777" w:rsidR="002A0123" w:rsidRPr="0055736E" w:rsidRDefault="002A0123" w:rsidP="00104785">
            <w:pPr>
              <w:rPr>
                <w:rFonts w:cstheme="minorHAnsi"/>
              </w:rPr>
            </w:pPr>
            <w:r>
              <w:rPr>
                <w:rFonts w:cstheme="minorHAnsi"/>
              </w:rPr>
              <w:t>CBX 113</w:t>
            </w:r>
          </w:p>
        </w:tc>
      </w:tr>
      <w:tr w:rsidR="002A0123" w:rsidRPr="0055736E" w14:paraId="11F75117" w14:textId="77777777" w:rsidTr="00104785">
        <w:tc>
          <w:tcPr>
            <w:tcW w:w="1668" w:type="dxa"/>
          </w:tcPr>
          <w:p w14:paraId="7D850979" w14:textId="77777777" w:rsidR="002A0123" w:rsidRPr="0055736E" w:rsidRDefault="002A0123" w:rsidP="00104785">
            <w:pPr>
              <w:rPr>
                <w:rFonts w:cstheme="minorHAnsi"/>
                <w:b/>
              </w:rPr>
            </w:pPr>
            <w:r w:rsidRPr="0055736E">
              <w:rPr>
                <w:rFonts w:cstheme="minorHAnsi"/>
                <w:b/>
              </w:rPr>
              <w:t>Créditos</w:t>
            </w:r>
          </w:p>
        </w:tc>
        <w:tc>
          <w:tcPr>
            <w:tcW w:w="7386" w:type="dxa"/>
          </w:tcPr>
          <w:p w14:paraId="73C970BF" w14:textId="77777777" w:rsidR="002A0123" w:rsidRPr="0055736E" w:rsidRDefault="002A0123" w:rsidP="00104785">
            <w:pPr>
              <w:rPr>
                <w:rFonts w:cstheme="minorHAnsi"/>
              </w:rPr>
            </w:pPr>
            <w:r>
              <w:rPr>
                <w:rFonts w:cstheme="minorHAnsi"/>
              </w:rPr>
              <w:t>4</w:t>
            </w:r>
          </w:p>
        </w:tc>
      </w:tr>
      <w:tr w:rsidR="002A0123" w:rsidRPr="0055736E" w14:paraId="43E16F7F" w14:textId="77777777" w:rsidTr="00104785">
        <w:tc>
          <w:tcPr>
            <w:tcW w:w="1668" w:type="dxa"/>
          </w:tcPr>
          <w:p w14:paraId="57EEA304" w14:textId="77777777" w:rsidR="002A0123" w:rsidRPr="0055736E" w:rsidRDefault="002A0123" w:rsidP="00104785">
            <w:pPr>
              <w:rPr>
                <w:rFonts w:cstheme="minorHAnsi"/>
                <w:b/>
              </w:rPr>
            </w:pPr>
            <w:r w:rsidRPr="0055736E">
              <w:rPr>
                <w:rFonts w:cstheme="minorHAnsi"/>
                <w:b/>
              </w:rPr>
              <w:t>Requisitos</w:t>
            </w:r>
          </w:p>
        </w:tc>
        <w:tc>
          <w:tcPr>
            <w:tcW w:w="7386" w:type="dxa"/>
          </w:tcPr>
          <w:p w14:paraId="78F0AB1D" w14:textId="77777777" w:rsidR="002A0123" w:rsidRPr="0055736E" w:rsidRDefault="002A0123" w:rsidP="00104785">
            <w:pPr>
              <w:rPr>
                <w:rFonts w:cstheme="minorHAnsi"/>
              </w:rPr>
            </w:pPr>
            <w:r>
              <w:rPr>
                <w:rFonts w:cstheme="minorHAnsi"/>
              </w:rPr>
              <w:t>CBX 108 y CBX 110</w:t>
            </w:r>
          </w:p>
        </w:tc>
      </w:tr>
      <w:tr w:rsidR="002A0123" w:rsidRPr="0055736E" w14:paraId="5F632DE0" w14:textId="77777777" w:rsidTr="00104785">
        <w:tc>
          <w:tcPr>
            <w:tcW w:w="1668" w:type="dxa"/>
          </w:tcPr>
          <w:p w14:paraId="3A7F2DA2" w14:textId="77777777" w:rsidR="002A0123" w:rsidRPr="0055736E" w:rsidRDefault="002A0123" w:rsidP="00104785">
            <w:pPr>
              <w:rPr>
                <w:rFonts w:cstheme="minorHAnsi"/>
                <w:b/>
              </w:rPr>
            </w:pPr>
            <w:r w:rsidRPr="0055736E">
              <w:rPr>
                <w:rFonts w:cstheme="minorHAnsi"/>
                <w:b/>
              </w:rPr>
              <w:t>Modalidad</w:t>
            </w:r>
          </w:p>
        </w:tc>
        <w:tc>
          <w:tcPr>
            <w:tcW w:w="7386" w:type="dxa"/>
          </w:tcPr>
          <w:p w14:paraId="3C06792B" w14:textId="77777777" w:rsidR="002A0123" w:rsidRPr="0055736E" w:rsidRDefault="002A0123" w:rsidP="00104785">
            <w:pPr>
              <w:rPr>
                <w:rFonts w:cstheme="minorHAnsi"/>
              </w:rPr>
            </w:pPr>
            <w:r>
              <w:rPr>
                <w:rFonts w:cstheme="minorHAnsi"/>
              </w:rPr>
              <w:t>Virtual</w:t>
            </w:r>
          </w:p>
        </w:tc>
      </w:tr>
      <w:tr w:rsidR="002A0123" w:rsidRPr="0055736E" w14:paraId="34CDFBB2" w14:textId="77777777" w:rsidTr="00104785">
        <w:tc>
          <w:tcPr>
            <w:tcW w:w="1668" w:type="dxa"/>
          </w:tcPr>
          <w:p w14:paraId="7AE3E09C" w14:textId="77777777" w:rsidR="002A0123" w:rsidRPr="0055736E" w:rsidRDefault="002A0123" w:rsidP="00104785">
            <w:pPr>
              <w:rPr>
                <w:rFonts w:cstheme="minorHAnsi"/>
                <w:b/>
              </w:rPr>
            </w:pPr>
            <w:r w:rsidRPr="0055736E">
              <w:rPr>
                <w:rFonts w:cstheme="minorHAnsi"/>
                <w:b/>
              </w:rPr>
              <w:t>Naturaleza</w:t>
            </w:r>
          </w:p>
        </w:tc>
        <w:tc>
          <w:tcPr>
            <w:tcW w:w="7386" w:type="dxa"/>
          </w:tcPr>
          <w:p w14:paraId="132CB2A4" w14:textId="77777777" w:rsidR="002A0123" w:rsidRPr="0055736E" w:rsidRDefault="002A0123" w:rsidP="00104785">
            <w:pPr>
              <w:rPr>
                <w:rFonts w:cstheme="minorHAnsi"/>
              </w:rPr>
            </w:pPr>
            <w:r>
              <w:rPr>
                <w:rFonts w:cstheme="minorHAnsi"/>
              </w:rPr>
              <w:t>Teórico-práctico</w:t>
            </w:r>
          </w:p>
        </w:tc>
      </w:tr>
      <w:tr w:rsidR="002A0123" w:rsidRPr="0055736E" w14:paraId="6D645DAA" w14:textId="77777777" w:rsidTr="00104785">
        <w:tc>
          <w:tcPr>
            <w:tcW w:w="1668" w:type="dxa"/>
          </w:tcPr>
          <w:p w14:paraId="5D3DA564" w14:textId="77777777" w:rsidR="002A0123" w:rsidRPr="0055736E" w:rsidRDefault="002A0123" w:rsidP="00104785">
            <w:pPr>
              <w:rPr>
                <w:rFonts w:cstheme="minorHAnsi"/>
                <w:b/>
              </w:rPr>
            </w:pPr>
            <w:r w:rsidRPr="0055736E">
              <w:rPr>
                <w:rFonts w:cstheme="minorHAnsi"/>
                <w:b/>
              </w:rPr>
              <w:t>Periodo</w:t>
            </w:r>
          </w:p>
        </w:tc>
        <w:tc>
          <w:tcPr>
            <w:tcW w:w="7386" w:type="dxa"/>
          </w:tcPr>
          <w:p w14:paraId="20FEE358" w14:textId="77777777" w:rsidR="002A0123" w:rsidRPr="0055736E" w:rsidRDefault="002A0123" w:rsidP="00104785">
            <w:pPr>
              <w:rPr>
                <w:rFonts w:cstheme="minorHAnsi"/>
              </w:rPr>
            </w:pPr>
            <w:r>
              <w:rPr>
                <w:rFonts w:cstheme="minorHAnsi"/>
              </w:rPr>
              <w:t>Cuatrimestral (15 semanas lectivas)</w:t>
            </w:r>
          </w:p>
        </w:tc>
      </w:tr>
      <w:tr w:rsidR="002A0123" w:rsidRPr="0055736E" w14:paraId="5196686A" w14:textId="77777777" w:rsidTr="00104785">
        <w:tc>
          <w:tcPr>
            <w:tcW w:w="1668" w:type="dxa"/>
          </w:tcPr>
          <w:p w14:paraId="3E6A3386" w14:textId="77777777" w:rsidR="002A0123" w:rsidRPr="0055736E" w:rsidRDefault="002A0123" w:rsidP="00104785">
            <w:pPr>
              <w:rPr>
                <w:rFonts w:cstheme="minorHAnsi"/>
                <w:b/>
              </w:rPr>
            </w:pPr>
            <w:r>
              <w:rPr>
                <w:rFonts w:cstheme="minorHAnsi"/>
                <w:b/>
              </w:rPr>
              <w:t>Nivel</w:t>
            </w:r>
          </w:p>
        </w:tc>
        <w:tc>
          <w:tcPr>
            <w:tcW w:w="7386" w:type="dxa"/>
          </w:tcPr>
          <w:p w14:paraId="0B4783C2" w14:textId="77777777" w:rsidR="002A0123" w:rsidRDefault="002A0123" w:rsidP="00104785">
            <w:pPr>
              <w:rPr>
                <w:rFonts w:cstheme="minorHAnsi"/>
              </w:rPr>
            </w:pPr>
            <w:r>
              <w:rPr>
                <w:rFonts w:cstheme="minorHAnsi"/>
              </w:rPr>
              <w:t>V Cuatrimestre</w:t>
            </w:r>
          </w:p>
        </w:tc>
      </w:tr>
      <w:tr w:rsidR="002A0123" w:rsidRPr="0055736E" w14:paraId="6C739B63" w14:textId="77777777" w:rsidTr="00104785">
        <w:tc>
          <w:tcPr>
            <w:tcW w:w="1668" w:type="dxa"/>
          </w:tcPr>
          <w:p w14:paraId="12309A87" w14:textId="77777777" w:rsidR="002A0123" w:rsidRPr="0055736E" w:rsidRDefault="002A0123" w:rsidP="00104785">
            <w:pPr>
              <w:rPr>
                <w:rFonts w:cstheme="minorHAnsi"/>
                <w:b/>
              </w:rPr>
            </w:pPr>
            <w:r w:rsidRPr="0055736E">
              <w:rPr>
                <w:rFonts w:cstheme="minorHAnsi"/>
                <w:b/>
              </w:rPr>
              <w:t>Horario</w:t>
            </w:r>
          </w:p>
        </w:tc>
        <w:tc>
          <w:tcPr>
            <w:tcW w:w="7386" w:type="dxa"/>
          </w:tcPr>
          <w:p w14:paraId="6DA4F5B9" w14:textId="77777777" w:rsidR="002A0123" w:rsidRPr="0055736E" w:rsidRDefault="002A0123" w:rsidP="00104785">
            <w:pPr>
              <w:rPr>
                <w:rFonts w:cstheme="minorHAnsi"/>
              </w:rPr>
            </w:pPr>
            <w:r>
              <w:rPr>
                <w:rFonts w:cstheme="minorHAnsi"/>
              </w:rPr>
              <w:t>El curso requiere de 12 horas de trabajo semanal</w:t>
            </w:r>
          </w:p>
        </w:tc>
      </w:tr>
      <w:tr w:rsidR="002A0123" w:rsidRPr="0055736E" w14:paraId="077C7D79" w14:textId="77777777" w:rsidTr="00104785">
        <w:tc>
          <w:tcPr>
            <w:tcW w:w="1668" w:type="dxa"/>
          </w:tcPr>
          <w:p w14:paraId="2A1D156F" w14:textId="77777777" w:rsidR="002A0123" w:rsidRPr="0055736E" w:rsidRDefault="002A0123" w:rsidP="00104785">
            <w:pPr>
              <w:rPr>
                <w:rFonts w:cstheme="minorHAnsi"/>
                <w:b/>
              </w:rPr>
            </w:pPr>
            <w:r w:rsidRPr="0055736E">
              <w:rPr>
                <w:rFonts w:cstheme="minorHAnsi"/>
                <w:b/>
              </w:rPr>
              <w:t>Aula</w:t>
            </w:r>
          </w:p>
        </w:tc>
        <w:tc>
          <w:tcPr>
            <w:tcW w:w="7386" w:type="dxa"/>
          </w:tcPr>
          <w:p w14:paraId="38CC0F87" w14:textId="77777777" w:rsidR="002A0123" w:rsidRPr="0055736E" w:rsidRDefault="002A0123" w:rsidP="00104785">
            <w:pPr>
              <w:rPr>
                <w:rFonts w:cstheme="minorHAnsi"/>
              </w:rPr>
            </w:pPr>
            <w:r>
              <w:rPr>
                <w:rFonts w:cstheme="minorHAnsi"/>
              </w:rPr>
              <w:t>Plataforma virtual de la UBL</w:t>
            </w:r>
          </w:p>
        </w:tc>
      </w:tr>
      <w:tr w:rsidR="002A0123" w:rsidRPr="0055736E" w14:paraId="129AE6D5" w14:textId="77777777" w:rsidTr="00104785">
        <w:tc>
          <w:tcPr>
            <w:tcW w:w="1668" w:type="dxa"/>
          </w:tcPr>
          <w:p w14:paraId="4DE62CC0" w14:textId="77777777" w:rsidR="002A0123" w:rsidRPr="0055736E" w:rsidRDefault="002A0123" w:rsidP="00104785">
            <w:pPr>
              <w:rPr>
                <w:rFonts w:cstheme="minorHAnsi"/>
                <w:b/>
              </w:rPr>
            </w:pPr>
            <w:r>
              <w:rPr>
                <w:rFonts w:cstheme="minorHAnsi"/>
                <w:b/>
              </w:rPr>
              <w:t>Docente</w:t>
            </w:r>
          </w:p>
        </w:tc>
        <w:tc>
          <w:tcPr>
            <w:tcW w:w="7386" w:type="dxa"/>
          </w:tcPr>
          <w:p w14:paraId="124F9885" w14:textId="77777777" w:rsidR="002A0123" w:rsidRPr="0055736E" w:rsidRDefault="002A0123" w:rsidP="00104785">
            <w:pPr>
              <w:rPr>
                <w:rFonts w:cstheme="minorHAnsi"/>
              </w:rPr>
            </w:pPr>
          </w:p>
        </w:tc>
      </w:tr>
      <w:tr w:rsidR="002A0123" w:rsidRPr="0055736E" w14:paraId="46932CA2" w14:textId="77777777" w:rsidTr="00104785">
        <w:tc>
          <w:tcPr>
            <w:tcW w:w="1668" w:type="dxa"/>
            <w:vAlign w:val="center"/>
          </w:tcPr>
          <w:p w14:paraId="5B963BEA" w14:textId="77777777" w:rsidR="002A0123" w:rsidRPr="0055736E" w:rsidRDefault="002A0123" w:rsidP="00104785">
            <w:pPr>
              <w:rPr>
                <w:rFonts w:cstheme="minorHAnsi"/>
              </w:rPr>
            </w:pPr>
            <w:r w:rsidRPr="0055736E">
              <w:rPr>
                <w:rFonts w:cstheme="minorHAnsi"/>
                <w:b/>
              </w:rPr>
              <w:t>Instrucciones administrativas</w:t>
            </w:r>
          </w:p>
        </w:tc>
        <w:tc>
          <w:tcPr>
            <w:tcW w:w="7386" w:type="dxa"/>
          </w:tcPr>
          <w:p w14:paraId="2D85653D" w14:textId="77777777" w:rsidR="002A0123" w:rsidRDefault="002A0123" w:rsidP="00104785">
            <w:pPr>
              <w:jc w:val="both"/>
              <w:rPr>
                <w:rFonts w:cstheme="minorHAnsi"/>
              </w:rPr>
            </w:pPr>
            <w:r w:rsidRPr="0055736E">
              <w:rPr>
                <w:rFonts w:cstheme="minorHAnsi"/>
              </w:rPr>
              <w:t xml:space="preserve">El curso </w:t>
            </w:r>
            <w:r>
              <w:rPr>
                <w:rFonts w:cstheme="minorHAnsi"/>
              </w:rPr>
              <w:t xml:space="preserve">es virtual, por lo que se </w:t>
            </w:r>
            <w:r w:rsidRPr="0055736E">
              <w:rPr>
                <w:rFonts w:cstheme="minorHAnsi"/>
              </w:rPr>
              <w:t xml:space="preserve">requiere </w:t>
            </w:r>
            <w:r>
              <w:rPr>
                <w:rFonts w:cstheme="minorHAnsi"/>
              </w:rPr>
              <w:t>de acceso a una computadora con conexión a Internet, además de destrezas básicas para el manejo de correo electrónico y la plataforma Moodle desde el rol de estudiante</w:t>
            </w:r>
            <w:r w:rsidRPr="0055736E">
              <w:rPr>
                <w:rFonts w:cstheme="minorHAnsi"/>
              </w:rPr>
              <w:t xml:space="preserve">. </w:t>
            </w:r>
            <w:r>
              <w:rPr>
                <w:rFonts w:cstheme="minorHAnsi"/>
              </w:rPr>
              <w:t xml:space="preserve"> Por su naturaleza teórico-práctica este curso requiere de 2 horas semanales de práctica. La dirección de acceso a la plataforma es la siguiente:</w:t>
            </w:r>
          </w:p>
          <w:p w14:paraId="718997D8" w14:textId="77777777" w:rsidR="002A0123" w:rsidRPr="0055736E" w:rsidRDefault="00DD16F2" w:rsidP="00104785">
            <w:pPr>
              <w:jc w:val="both"/>
              <w:rPr>
                <w:rFonts w:cstheme="minorHAnsi"/>
              </w:rPr>
            </w:pPr>
            <w:hyperlink r:id="rId337" w:history="1">
              <w:r w:rsidR="002A0123" w:rsidRPr="00B96849">
                <w:rPr>
                  <w:rStyle w:val="Hipervnculo"/>
                  <w:rFonts w:cstheme="minorHAnsi"/>
                </w:rPr>
                <w:t>https://campus.ubl.ac.cr/login/index.php</w:t>
              </w:r>
            </w:hyperlink>
          </w:p>
        </w:tc>
      </w:tr>
    </w:tbl>
    <w:p w14:paraId="172423BD" w14:textId="77777777" w:rsidR="002A0123" w:rsidRDefault="002A0123" w:rsidP="002A0123">
      <w:pPr>
        <w:rPr>
          <w:rFonts w:eastAsia="Arial" w:cstheme="minorHAnsi"/>
          <w:color w:val="000000" w:themeColor="text1"/>
        </w:rPr>
      </w:pPr>
    </w:p>
    <w:p w14:paraId="607BB7D0" w14:textId="77777777" w:rsidR="002A0123" w:rsidRPr="0023181B" w:rsidRDefault="002A0123" w:rsidP="002A0123">
      <w:pPr>
        <w:spacing w:after="200" w:line="276" w:lineRule="auto"/>
        <w:jc w:val="both"/>
        <w:rPr>
          <w:rFonts w:cstheme="minorHAnsi"/>
          <w:b/>
          <w:bCs/>
          <w:color w:val="000000" w:themeColor="text1"/>
        </w:rPr>
      </w:pPr>
    </w:p>
    <w:p w14:paraId="0547A293" w14:textId="77777777" w:rsidR="002A0123" w:rsidRPr="0023181B" w:rsidRDefault="002A0123" w:rsidP="002A0123">
      <w:pPr>
        <w:spacing w:after="200" w:line="276" w:lineRule="auto"/>
        <w:jc w:val="both"/>
        <w:rPr>
          <w:rFonts w:cstheme="minorHAnsi"/>
          <w:b/>
          <w:bCs/>
          <w:color w:val="000000" w:themeColor="text1"/>
        </w:rPr>
      </w:pPr>
      <w:r w:rsidRPr="0023181B">
        <w:rPr>
          <w:rFonts w:cstheme="minorHAnsi"/>
          <w:b/>
          <w:bCs/>
          <w:color w:val="000000" w:themeColor="text1"/>
        </w:rPr>
        <w:t xml:space="preserve">I. Descripción          </w:t>
      </w:r>
    </w:p>
    <w:p w14:paraId="2834861E" w14:textId="77777777" w:rsidR="002A0123" w:rsidRDefault="002A0123" w:rsidP="002A0123">
      <w:pPr>
        <w:spacing w:line="276" w:lineRule="auto"/>
        <w:jc w:val="both"/>
        <w:rPr>
          <w:rFonts w:eastAsia="Calibri" w:cstheme="minorHAnsi"/>
          <w:color w:val="000000" w:themeColor="text1"/>
        </w:rPr>
      </w:pPr>
      <w:r w:rsidRPr="0023181B">
        <w:rPr>
          <w:rFonts w:eastAsia="Calibri" w:cstheme="minorHAnsi"/>
          <w:color w:val="000000" w:themeColor="text1"/>
        </w:rPr>
        <w:t xml:space="preserve">Este curso combina la investigación científica de los textos bíblicos con la interpretación de </w:t>
      </w:r>
      <w:proofErr w:type="gramStart"/>
      <w:r w:rsidRPr="0023181B">
        <w:rPr>
          <w:rFonts w:eastAsia="Calibri" w:cstheme="minorHAnsi"/>
          <w:color w:val="000000" w:themeColor="text1"/>
        </w:rPr>
        <w:t>los mismos</w:t>
      </w:r>
      <w:proofErr w:type="gramEnd"/>
      <w:r w:rsidRPr="0023181B">
        <w:rPr>
          <w:rFonts w:eastAsia="Calibri" w:cstheme="minorHAnsi"/>
          <w:color w:val="000000" w:themeColor="text1"/>
        </w:rPr>
        <w:t xml:space="preserve"> desde la realidad de las igle</w:t>
      </w:r>
      <w:r>
        <w:rPr>
          <w:rFonts w:eastAsia="Calibri" w:cstheme="minorHAnsi"/>
          <w:color w:val="000000" w:themeColor="text1"/>
        </w:rPr>
        <w:t xml:space="preserve">sias y comunidades de hoy día. </w:t>
      </w:r>
      <w:r w:rsidRPr="0023181B">
        <w:rPr>
          <w:rFonts w:eastAsia="Calibri" w:cstheme="minorHAnsi"/>
          <w:color w:val="000000" w:themeColor="text1"/>
        </w:rPr>
        <w:t xml:space="preserve">Además de desarrollar la </w:t>
      </w:r>
      <w:r w:rsidRPr="0023181B">
        <w:rPr>
          <w:rFonts w:eastAsia="Calibri" w:cstheme="minorHAnsi"/>
          <w:color w:val="000000" w:themeColor="text1"/>
        </w:rPr>
        <w:lastRenderedPageBreak/>
        <w:t>capacidad del/la estudiante para la investigación académica, el curso le exige analizar su propio trabajo investigativo y, con base en éste, desarrollar métodos de estudio bíblico aptos para su comunidad.</w:t>
      </w:r>
    </w:p>
    <w:p w14:paraId="020A06E4" w14:textId="77777777" w:rsidR="002A0123" w:rsidRPr="0023181B" w:rsidRDefault="002A0123" w:rsidP="002A0123">
      <w:pPr>
        <w:spacing w:line="276" w:lineRule="auto"/>
        <w:jc w:val="both"/>
        <w:rPr>
          <w:rFonts w:eastAsia="Calibri" w:cstheme="minorHAnsi"/>
          <w:color w:val="000000" w:themeColor="text1"/>
        </w:rPr>
      </w:pPr>
    </w:p>
    <w:p w14:paraId="55B71213" w14:textId="77777777" w:rsidR="002A0123" w:rsidRPr="0023181B" w:rsidRDefault="002A0123" w:rsidP="002A0123">
      <w:pPr>
        <w:spacing w:after="200" w:line="276" w:lineRule="auto"/>
        <w:jc w:val="both"/>
        <w:rPr>
          <w:rFonts w:cstheme="minorHAnsi"/>
          <w:b/>
          <w:bCs/>
          <w:color w:val="000000" w:themeColor="text1"/>
        </w:rPr>
      </w:pPr>
      <w:r>
        <w:rPr>
          <w:rFonts w:cstheme="minorHAnsi"/>
          <w:b/>
          <w:color w:val="000000" w:themeColor="text1"/>
        </w:rPr>
        <w:t>I</w:t>
      </w:r>
      <w:r w:rsidRPr="0023181B">
        <w:rPr>
          <w:rFonts w:cstheme="minorHAnsi"/>
          <w:b/>
          <w:color w:val="000000" w:themeColor="text1"/>
        </w:rPr>
        <w:t>I.</w:t>
      </w:r>
      <w:r>
        <w:rPr>
          <w:rFonts w:cstheme="minorHAnsi"/>
          <w:color w:val="000000" w:themeColor="text1"/>
        </w:rPr>
        <w:t xml:space="preserve"> </w:t>
      </w:r>
      <w:r>
        <w:rPr>
          <w:rFonts w:cstheme="minorHAnsi"/>
          <w:b/>
          <w:bCs/>
          <w:color w:val="000000" w:themeColor="text1"/>
        </w:rPr>
        <w:t>Objetivo general</w:t>
      </w:r>
      <w:r w:rsidRPr="0023181B">
        <w:rPr>
          <w:rFonts w:cstheme="minorHAnsi"/>
          <w:b/>
          <w:bCs/>
          <w:color w:val="000000" w:themeColor="text1"/>
        </w:rPr>
        <w:tab/>
      </w:r>
    </w:p>
    <w:p w14:paraId="6B3D340D" w14:textId="77777777" w:rsidR="002A0123" w:rsidRPr="0023181B" w:rsidRDefault="002A0123" w:rsidP="002A0123">
      <w:pPr>
        <w:spacing w:line="276" w:lineRule="auto"/>
        <w:jc w:val="both"/>
        <w:rPr>
          <w:rFonts w:eastAsia="Calibri" w:cstheme="minorHAnsi"/>
          <w:color w:val="000000" w:themeColor="text1"/>
        </w:rPr>
      </w:pPr>
      <w:r w:rsidRPr="0023181B">
        <w:rPr>
          <w:rFonts w:eastAsia="Calibri" w:cstheme="minorHAnsi"/>
          <w:color w:val="000000" w:themeColor="text1"/>
        </w:rPr>
        <w:t>Desarrollar la capacidad de hacer investigación exegética en textos bíblicos de distintos géneros literarios y períodos históricos, logrando un diálogo entre el mundo de hoy y el mundo del texto, y una comunicación expositiva transformadora.</w:t>
      </w:r>
    </w:p>
    <w:p w14:paraId="520E011C" w14:textId="77777777" w:rsidR="002A0123" w:rsidRDefault="002A0123" w:rsidP="002A0123">
      <w:pPr>
        <w:spacing w:after="200" w:line="276" w:lineRule="auto"/>
        <w:jc w:val="both"/>
        <w:rPr>
          <w:rFonts w:cstheme="minorHAnsi"/>
          <w:b/>
          <w:bCs/>
          <w:iCs/>
          <w:color w:val="000000" w:themeColor="text1"/>
        </w:rPr>
      </w:pPr>
      <w:r>
        <w:rPr>
          <w:rFonts w:cstheme="minorHAnsi"/>
          <w:b/>
          <w:bCs/>
          <w:iCs/>
          <w:color w:val="000000" w:themeColor="text1"/>
        </w:rPr>
        <w:t>III. Objetivos específicos</w:t>
      </w:r>
    </w:p>
    <w:p w14:paraId="7E4D6017" w14:textId="77777777" w:rsidR="002A0123" w:rsidRDefault="002A0123" w:rsidP="008A2C19">
      <w:pPr>
        <w:spacing w:after="0" w:line="276" w:lineRule="auto"/>
        <w:jc w:val="both"/>
        <w:rPr>
          <w:rFonts w:cstheme="minorHAnsi"/>
          <w:bCs/>
          <w:iCs/>
          <w:color w:val="000000" w:themeColor="text1"/>
        </w:rPr>
      </w:pPr>
      <w:r>
        <w:rPr>
          <w:rFonts w:cstheme="minorHAnsi"/>
          <w:bCs/>
          <w:iCs/>
          <w:color w:val="000000" w:themeColor="text1"/>
        </w:rPr>
        <w:t xml:space="preserve">1. Manejar métodos e instrumentos apropiados para analizar la estructura de un texto y la forma en que construye su sentido. </w:t>
      </w:r>
    </w:p>
    <w:p w14:paraId="796C5926" w14:textId="77777777" w:rsidR="002A0123" w:rsidRDefault="002A0123" w:rsidP="008A2C19">
      <w:pPr>
        <w:spacing w:after="0" w:line="276" w:lineRule="auto"/>
        <w:jc w:val="both"/>
        <w:rPr>
          <w:rFonts w:cstheme="minorHAnsi"/>
          <w:bCs/>
          <w:iCs/>
          <w:color w:val="000000" w:themeColor="text1"/>
        </w:rPr>
      </w:pPr>
      <w:r>
        <w:rPr>
          <w:rFonts w:cstheme="minorHAnsi"/>
          <w:bCs/>
          <w:iCs/>
          <w:color w:val="000000" w:themeColor="text1"/>
        </w:rPr>
        <w:t xml:space="preserve">2. Utilizar recursos para investigar el contexto socio-histórico del texto y la relación del texto con ese entorno. </w:t>
      </w:r>
    </w:p>
    <w:p w14:paraId="4CA4FE51" w14:textId="77777777" w:rsidR="002A0123" w:rsidRDefault="002A0123" w:rsidP="008A2C19">
      <w:pPr>
        <w:spacing w:after="0" w:line="276" w:lineRule="auto"/>
        <w:jc w:val="both"/>
        <w:rPr>
          <w:rFonts w:cstheme="minorHAnsi"/>
          <w:bCs/>
          <w:iCs/>
          <w:color w:val="000000" w:themeColor="text1"/>
        </w:rPr>
      </w:pPr>
      <w:r>
        <w:rPr>
          <w:rFonts w:cstheme="minorHAnsi"/>
          <w:bCs/>
          <w:iCs/>
          <w:color w:val="000000" w:themeColor="text1"/>
        </w:rPr>
        <w:t xml:space="preserve">3. Profundizar el dialogar con el texto a partir de las interrogantes que surgen de la realidad latinoamericana actual. </w:t>
      </w:r>
    </w:p>
    <w:p w14:paraId="70BD3879" w14:textId="77777777" w:rsidR="002A0123" w:rsidRDefault="002A0123" w:rsidP="008A2C19">
      <w:pPr>
        <w:spacing w:after="0" w:line="276" w:lineRule="auto"/>
        <w:jc w:val="both"/>
        <w:rPr>
          <w:rFonts w:cstheme="minorHAnsi"/>
          <w:bCs/>
          <w:iCs/>
          <w:color w:val="000000" w:themeColor="text1"/>
        </w:rPr>
      </w:pPr>
      <w:r>
        <w:rPr>
          <w:rFonts w:cstheme="minorHAnsi"/>
          <w:bCs/>
          <w:iCs/>
          <w:color w:val="000000" w:themeColor="text1"/>
        </w:rPr>
        <w:t>4. Practicar una variedad de métodos aptos para una comunicación dinámica del mensaje del texto.</w:t>
      </w:r>
    </w:p>
    <w:p w14:paraId="262C6C00" w14:textId="77777777" w:rsidR="002A0123" w:rsidRPr="00D32AF4" w:rsidRDefault="002A0123" w:rsidP="008A2C19">
      <w:pPr>
        <w:spacing w:after="0" w:line="276" w:lineRule="auto"/>
        <w:jc w:val="both"/>
        <w:rPr>
          <w:rFonts w:cstheme="minorHAnsi"/>
          <w:bCs/>
          <w:iCs/>
          <w:color w:val="000000" w:themeColor="text1"/>
        </w:rPr>
      </w:pPr>
      <w:r>
        <w:rPr>
          <w:rFonts w:cstheme="minorHAnsi"/>
          <w:bCs/>
          <w:iCs/>
          <w:color w:val="000000" w:themeColor="text1"/>
        </w:rPr>
        <w:t xml:space="preserve">5. Diseñar una forma de capacitar a animadores de grupos populares de estudio bíblico. </w:t>
      </w:r>
    </w:p>
    <w:p w14:paraId="11380129" w14:textId="77777777" w:rsidR="002A0123" w:rsidRPr="00D32AF4" w:rsidRDefault="002A0123" w:rsidP="008A2C19">
      <w:pPr>
        <w:spacing w:after="0" w:line="276" w:lineRule="auto"/>
        <w:jc w:val="both"/>
        <w:rPr>
          <w:rFonts w:cstheme="minorHAnsi"/>
          <w:b/>
          <w:bCs/>
          <w:color w:val="000000" w:themeColor="text1"/>
          <w:sz w:val="2"/>
          <w:szCs w:val="2"/>
        </w:rPr>
      </w:pPr>
    </w:p>
    <w:p w14:paraId="2C914E79" w14:textId="77777777" w:rsidR="002A0123" w:rsidRPr="0023181B" w:rsidRDefault="002A0123" w:rsidP="008A2C19">
      <w:pPr>
        <w:spacing w:after="0" w:line="276" w:lineRule="auto"/>
        <w:jc w:val="both"/>
        <w:rPr>
          <w:rFonts w:cstheme="minorHAnsi"/>
          <w:b/>
          <w:bCs/>
          <w:color w:val="000000" w:themeColor="text1"/>
        </w:rPr>
      </w:pPr>
      <w:r>
        <w:rPr>
          <w:rFonts w:cstheme="minorHAnsi"/>
          <w:b/>
          <w:bCs/>
          <w:color w:val="000000" w:themeColor="text1"/>
        </w:rPr>
        <w:t xml:space="preserve">IV. </w:t>
      </w:r>
      <w:r w:rsidRPr="0023181B">
        <w:rPr>
          <w:rFonts w:cstheme="minorHAnsi"/>
          <w:b/>
          <w:bCs/>
          <w:color w:val="000000" w:themeColor="text1"/>
        </w:rPr>
        <w:t xml:space="preserve">Contenidos      </w:t>
      </w:r>
    </w:p>
    <w:p w14:paraId="5D7C43DC" w14:textId="77777777" w:rsidR="002A0123" w:rsidRPr="00795F22" w:rsidRDefault="002A0123" w:rsidP="008A2C19">
      <w:pPr>
        <w:spacing w:after="0"/>
        <w:jc w:val="both"/>
        <w:rPr>
          <w:rFonts w:cstheme="minorHAnsi"/>
          <w:b/>
          <w:bCs/>
          <w:color w:val="000000" w:themeColor="text1"/>
          <w:sz w:val="2"/>
          <w:szCs w:val="2"/>
        </w:rPr>
      </w:pPr>
    </w:p>
    <w:p w14:paraId="034428D7" w14:textId="77777777" w:rsidR="002A0123" w:rsidRPr="0023181B" w:rsidRDefault="002A0123" w:rsidP="008A2C19">
      <w:pPr>
        <w:spacing w:after="0"/>
        <w:jc w:val="both"/>
        <w:rPr>
          <w:rFonts w:cstheme="minorHAnsi"/>
          <w:b/>
          <w:bCs/>
          <w:color w:val="000000" w:themeColor="text1"/>
        </w:rPr>
      </w:pPr>
      <w:r w:rsidRPr="0023181B">
        <w:rPr>
          <w:rFonts w:cstheme="minorHAnsi"/>
          <w:b/>
          <w:bCs/>
          <w:color w:val="000000" w:themeColor="text1"/>
        </w:rPr>
        <w:t>Unidad 1: Métodos para el estudio de los textos bíblicos</w:t>
      </w:r>
    </w:p>
    <w:p w14:paraId="68DF7261" w14:textId="77777777" w:rsidR="002A0123" w:rsidRDefault="002A0123" w:rsidP="008A2C19">
      <w:pPr>
        <w:spacing w:after="0"/>
        <w:jc w:val="both"/>
        <w:rPr>
          <w:rFonts w:cstheme="minorHAnsi"/>
          <w:bCs/>
          <w:color w:val="000000" w:themeColor="text1"/>
        </w:rPr>
      </w:pPr>
      <w:r>
        <w:rPr>
          <w:rFonts w:cstheme="minorHAnsi"/>
          <w:bCs/>
          <w:color w:val="000000" w:themeColor="text1"/>
        </w:rPr>
        <w:t>1.1    Introducción al curso</w:t>
      </w:r>
    </w:p>
    <w:p w14:paraId="5F33EEDF" w14:textId="77777777" w:rsidR="002A0123" w:rsidRDefault="002A0123" w:rsidP="008A2C19">
      <w:pPr>
        <w:spacing w:after="0"/>
        <w:jc w:val="both"/>
        <w:rPr>
          <w:rFonts w:cstheme="minorHAnsi"/>
          <w:bCs/>
          <w:color w:val="000000" w:themeColor="text1"/>
        </w:rPr>
      </w:pPr>
      <w:r>
        <w:rPr>
          <w:rFonts w:cstheme="minorHAnsi"/>
          <w:bCs/>
          <w:color w:val="000000" w:themeColor="text1"/>
        </w:rPr>
        <w:t>1.2    Práctica diagnóstica</w:t>
      </w:r>
    </w:p>
    <w:p w14:paraId="665FC69D" w14:textId="77777777" w:rsidR="002A0123" w:rsidRPr="0023181B" w:rsidRDefault="002A0123" w:rsidP="008A2C19">
      <w:pPr>
        <w:spacing w:after="0"/>
        <w:jc w:val="both"/>
        <w:rPr>
          <w:rFonts w:cstheme="minorHAnsi"/>
          <w:bCs/>
          <w:color w:val="000000" w:themeColor="text1"/>
        </w:rPr>
      </w:pPr>
      <w:r>
        <w:rPr>
          <w:rFonts w:cstheme="minorHAnsi"/>
          <w:bCs/>
          <w:color w:val="000000" w:themeColor="text1"/>
        </w:rPr>
        <w:t xml:space="preserve">1.3    </w:t>
      </w:r>
      <w:r w:rsidRPr="00486A13">
        <w:rPr>
          <w:rFonts w:cstheme="minorHAnsi"/>
          <w:bCs/>
          <w:color w:val="000000" w:themeColor="text1"/>
        </w:rPr>
        <w:t>Introducción a los métodos históricos</w:t>
      </w:r>
    </w:p>
    <w:p w14:paraId="03535A91" w14:textId="77777777" w:rsidR="002A0123" w:rsidRPr="0023181B" w:rsidRDefault="002A0123" w:rsidP="008A2C19">
      <w:pPr>
        <w:spacing w:after="0"/>
        <w:jc w:val="both"/>
        <w:rPr>
          <w:rFonts w:cstheme="minorHAnsi"/>
          <w:bCs/>
          <w:color w:val="000000" w:themeColor="text1"/>
        </w:rPr>
      </w:pPr>
      <w:r>
        <w:rPr>
          <w:rFonts w:cstheme="minorHAnsi"/>
          <w:bCs/>
          <w:color w:val="000000" w:themeColor="text1"/>
        </w:rPr>
        <w:t xml:space="preserve">1.4    </w:t>
      </w:r>
      <w:r w:rsidRPr="00486A13">
        <w:rPr>
          <w:rFonts w:cstheme="minorHAnsi"/>
          <w:bCs/>
          <w:color w:val="000000" w:themeColor="text1"/>
        </w:rPr>
        <w:t>Introducción a los métodos sincrónicos</w:t>
      </w:r>
    </w:p>
    <w:p w14:paraId="2FC624E0" w14:textId="77777777" w:rsidR="002A0123" w:rsidRPr="0023181B" w:rsidRDefault="002A0123" w:rsidP="008A2C19">
      <w:pPr>
        <w:spacing w:after="0"/>
        <w:jc w:val="both"/>
        <w:rPr>
          <w:rFonts w:cstheme="minorHAnsi"/>
          <w:b/>
          <w:bCs/>
          <w:color w:val="000000" w:themeColor="text1"/>
        </w:rPr>
      </w:pPr>
    </w:p>
    <w:p w14:paraId="5F8161B1" w14:textId="77777777" w:rsidR="002A0123" w:rsidRPr="0023181B" w:rsidRDefault="002A0123" w:rsidP="008A2C19">
      <w:pPr>
        <w:spacing w:after="0"/>
        <w:jc w:val="both"/>
        <w:rPr>
          <w:rFonts w:cstheme="minorHAnsi"/>
          <w:b/>
          <w:bCs/>
          <w:color w:val="000000" w:themeColor="text1"/>
        </w:rPr>
      </w:pPr>
      <w:r w:rsidRPr="0023181B">
        <w:rPr>
          <w:rFonts w:cstheme="minorHAnsi"/>
          <w:b/>
          <w:bCs/>
          <w:color w:val="000000" w:themeColor="text1"/>
        </w:rPr>
        <w:t>Unidad 2: Pasos para una metodología de</w:t>
      </w:r>
      <w:r>
        <w:rPr>
          <w:rFonts w:cstheme="minorHAnsi"/>
          <w:b/>
          <w:bCs/>
          <w:color w:val="000000" w:themeColor="text1"/>
        </w:rPr>
        <w:t>l</w:t>
      </w:r>
      <w:r w:rsidRPr="0023181B">
        <w:rPr>
          <w:rFonts w:cstheme="minorHAnsi"/>
          <w:b/>
          <w:bCs/>
          <w:color w:val="000000" w:themeColor="text1"/>
        </w:rPr>
        <w:t xml:space="preserve"> estudio bíblico</w:t>
      </w:r>
    </w:p>
    <w:p w14:paraId="018DBC9D" w14:textId="77777777" w:rsidR="002A0123" w:rsidRPr="0023181B" w:rsidRDefault="002A0123" w:rsidP="008A2C19">
      <w:pPr>
        <w:spacing w:after="0"/>
        <w:jc w:val="both"/>
        <w:rPr>
          <w:rFonts w:cstheme="minorHAnsi"/>
          <w:bCs/>
          <w:color w:val="000000" w:themeColor="text1"/>
        </w:rPr>
      </w:pPr>
      <w:r w:rsidRPr="0023181B">
        <w:rPr>
          <w:rFonts w:cstheme="minorHAnsi"/>
          <w:bCs/>
          <w:color w:val="000000" w:themeColor="text1"/>
        </w:rPr>
        <w:t>2.1    Primeros pasos: delimitación, estructura</w:t>
      </w:r>
      <w:r>
        <w:rPr>
          <w:rFonts w:cstheme="minorHAnsi"/>
          <w:bCs/>
          <w:color w:val="000000" w:themeColor="text1"/>
        </w:rPr>
        <w:t xml:space="preserve"> y</w:t>
      </w:r>
      <w:r w:rsidRPr="0023181B">
        <w:rPr>
          <w:rFonts w:cstheme="minorHAnsi"/>
          <w:bCs/>
          <w:color w:val="000000" w:themeColor="text1"/>
        </w:rPr>
        <w:t xml:space="preserve"> contexto literario</w:t>
      </w:r>
    </w:p>
    <w:p w14:paraId="3589896F" w14:textId="77777777" w:rsidR="002A0123" w:rsidRPr="0023181B" w:rsidRDefault="002A0123" w:rsidP="008A2C19">
      <w:pPr>
        <w:spacing w:after="0"/>
        <w:jc w:val="both"/>
        <w:rPr>
          <w:rFonts w:cstheme="minorHAnsi"/>
          <w:bCs/>
          <w:color w:val="000000" w:themeColor="text1"/>
        </w:rPr>
      </w:pPr>
      <w:r w:rsidRPr="0023181B">
        <w:rPr>
          <w:rFonts w:cstheme="minorHAnsi"/>
          <w:color w:val="000000" w:themeColor="text1"/>
        </w:rPr>
        <w:t>2.2    Análisis narrativo</w:t>
      </w:r>
    </w:p>
    <w:p w14:paraId="786A3C37" w14:textId="77777777" w:rsidR="002A0123" w:rsidRPr="0023181B" w:rsidRDefault="002A0123" w:rsidP="008A2C19">
      <w:pPr>
        <w:spacing w:after="0"/>
        <w:jc w:val="both"/>
        <w:rPr>
          <w:rFonts w:cstheme="minorHAnsi"/>
          <w:color w:val="000000" w:themeColor="text1"/>
        </w:rPr>
      </w:pPr>
      <w:r>
        <w:rPr>
          <w:rFonts w:cstheme="minorHAnsi"/>
          <w:bCs/>
          <w:color w:val="000000" w:themeColor="text1"/>
        </w:rPr>
        <w:t>2.3</w:t>
      </w:r>
      <w:r w:rsidRPr="0023181B">
        <w:rPr>
          <w:rFonts w:cstheme="minorHAnsi"/>
          <w:bCs/>
          <w:color w:val="000000" w:themeColor="text1"/>
        </w:rPr>
        <w:t xml:space="preserve"> </w:t>
      </w:r>
      <w:r w:rsidRPr="0023181B">
        <w:rPr>
          <w:rFonts w:cstheme="minorHAnsi"/>
          <w:color w:val="000000" w:themeColor="text1"/>
        </w:rPr>
        <w:t xml:space="preserve">   Análisis retórico </w:t>
      </w:r>
    </w:p>
    <w:p w14:paraId="1E950DEE" w14:textId="77777777" w:rsidR="002A0123" w:rsidRPr="0023181B" w:rsidRDefault="002A0123" w:rsidP="008A2C19">
      <w:pPr>
        <w:spacing w:after="0"/>
        <w:jc w:val="both"/>
        <w:rPr>
          <w:rFonts w:cstheme="minorHAnsi"/>
          <w:bCs/>
          <w:color w:val="000000" w:themeColor="text1"/>
        </w:rPr>
      </w:pPr>
      <w:r>
        <w:rPr>
          <w:rFonts w:cstheme="minorHAnsi"/>
          <w:color w:val="000000" w:themeColor="text1"/>
        </w:rPr>
        <w:t>2.4</w:t>
      </w:r>
      <w:r w:rsidRPr="0023181B">
        <w:rPr>
          <w:rFonts w:cstheme="minorHAnsi"/>
          <w:color w:val="000000" w:themeColor="text1"/>
        </w:rPr>
        <w:t xml:space="preserve">    Lectura popular de la Biblia</w:t>
      </w:r>
    </w:p>
    <w:p w14:paraId="5744385B" w14:textId="77777777" w:rsidR="002A0123" w:rsidRPr="0023181B" w:rsidRDefault="002A0123" w:rsidP="008A2C19">
      <w:pPr>
        <w:spacing w:after="0"/>
        <w:jc w:val="both"/>
        <w:rPr>
          <w:rFonts w:cstheme="minorHAnsi"/>
          <w:bCs/>
          <w:color w:val="000000" w:themeColor="text1"/>
        </w:rPr>
      </w:pPr>
    </w:p>
    <w:p w14:paraId="6F32CD2D" w14:textId="77777777" w:rsidR="002A0123" w:rsidRPr="0023181B" w:rsidRDefault="002A0123" w:rsidP="008A2C19">
      <w:pPr>
        <w:spacing w:after="0"/>
        <w:jc w:val="both"/>
        <w:rPr>
          <w:rFonts w:cstheme="minorHAnsi"/>
          <w:b/>
          <w:bCs/>
          <w:color w:val="000000" w:themeColor="text1"/>
        </w:rPr>
      </w:pPr>
      <w:r w:rsidRPr="0023181B">
        <w:rPr>
          <w:rFonts w:cstheme="minorHAnsi"/>
          <w:b/>
          <w:bCs/>
          <w:color w:val="000000" w:themeColor="text1"/>
        </w:rPr>
        <w:t xml:space="preserve">Unidad 3: </w:t>
      </w:r>
      <w:r w:rsidRPr="0023181B">
        <w:rPr>
          <w:rFonts w:cstheme="minorHAnsi"/>
          <w:b/>
          <w:color w:val="000000" w:themeColor="text1"/>
        </w:rPr>
        <w:t>Práctica exegética con distintos tipos de textos</w:t>
      </w:r>
    </w:p>
    <w:p w14:paraId="0AF63A8D" w14:textId="77777777" w:rsidR="002A0123" w:rsidRPr="0023181B" w:rsidRDefault="002A0123" w:rsidP="008A2C19">
      <w:pPr>
        <w:spacing w:after="0"/>
        <w:jc w:val="both"/>
        <w:rPr>
          <w:rFonts w:cstheme="minorHAnsi"/>
          <w:bCs/>
          <w:color w:val="000000" w:themeColor="text1"/>
        </w:rPr>
      </w:pPr>
      <w:r>
        <w:rPr>
          <w:rFonts w:cstheme="minorHAnsi"/>
          <w:color w:val="000000" w:themeColor="text1"/>
        </w:rPr>
        <w:t>3.1   Narrativo y poético</w:t>
      </w:r>
    </w:p>
    <w:p w14:paraId="2330E8CC" w14:textId="77777777" w:rsidR="002A0123" w:rsidRPr="0023181B" w:rsidRDefault="002A0123" w:rsidP="008A2C19">
      <w:pPr>
        <w:spacing w:after="0"/>
        <w:jc w:val="both"/>
        <w:rPr>
          <w:rFonts w:cstheme="minorHAnsi"/>
          <w:color w:val="000000" w:themeColor="text1"/>
        </w:rPr>
      </w:pPr>
      <w:r w:rsidRPr="0023181B">
        <w:rPr>
          <w:rFonts w:cstheme="minorHAnsi"/>
          <w:color w:val="000000" w:themeColor="text1"/>
        </w:rPr>
        <w:t>3.2   Discurso epistolar</w:t>
      </w:r>
    </w:p>
    <w:p w14:paraId="265FAF14" w14:textId="77777777" w:rsidR="002A0123" w:rsidRPr="0023181B" w:rsidRDefault="002A0123" w:rsidP="008A2C19">
      <w:pPr>
        <w:spacing w:after="0"/>
        <w:jc w:val="both"/>
        <w:rPr>
          <w:rFonts w:cstheme="minorHAnsi"/>
          <w:color w:val="000000" w:themeColor="text1"/>
        </w:rPr>
      </w:pPr>
      <w:r w:rsidRPr="0023181B">
        <w:rPr>
          <w:rFonts w:cstheme="minorHAnsi"/>
          <w:color w:val="000000" w:themeColor="text1"/>
        </w:rPr>
        <w:t>3.3   Otros</w:t>
      </w:r>
    </w:p>
    <w:p w14:paraId="3FCC6B5B" w14:textId="77777777" w:rsidR="002A0123" w:rsidRPr="0023181B" w:rsidRDefault="002A0123" w:rsidP="008A2C19">
      <w:pPr>
        <w:spacing w:after="0"/>
        <w:jc w:val="both"/>
        <w:rPr>
          <w:rFonts w:cstheme="minorHAnsi"/>
          <w:color w:val="000000" w:themeColor="text1"/>
        </w:rPr>
      </w:pPr>
    </w:p>
    <w:p w14:paraId="203F5AC7" w14:textId="77777777" w:rsidR="002A0123" w:rsidRPr="0023181B" w:rsidRDefault="002A0123" w:rsidP="008A2C19">
      <w:pPr>
        <w:spacing w:after="0"/>
        <w:jc w:val="both"/>
        <w:rPr>
          <w:rFonts w:cstheme="minorHAnsi"/>
          <w:b/>
          <w:color w:val="000000" w:themeColor="text1"/>
        </w:rPr>
      </w:pPr>
      <w:r w:rsidRPr="0023181B">
        <w:rPr>
          <w:rFonts w:cstheme="minorHAnsi"/>
          <w:b/>
          <w:color w:val="000000" w:themeColor="text1"/>
        </w:rPr>
        <w:t>Unidad 4: Ejercicios expositivos</w:t>
      </w:r>
    </w:p>
    <w:p w14:paraId="398A3A2B" w14:textId="77777777" w:rsidR="002A0123" w:rsidRPr="0023181B" w:rsidRDefault="002A0123" w:rsidP="008A2C19">
      <w:pPr>
        <w:spacing w:after="0"/>
        <w:jc w:val="both"/>
        <w:rPr>
          <w:rFonts w:cstheme="minorHAnsi"/>
          <w:b/>
          <w:bCs/>
          <w:color w:val="000000" w:themeColor="text1"/>
        </w:rPr>
      </w:pPr>
    </w:p>
    <w:p w14:paraId="06E64E1B" w14:textId="77777777" w:rsidR="002A0123" w:rsidRPr="008C2E77" w:rsidRDefault="002A0123" w:rsidP="008A2C19">
      <w:pPr>
        <w:spacing w:after="0"/>
        <w:jc w:val="both"/>
        <w:rPr>
          <w:rFonts w:cstheme="minorHAnsi"/>
          <w:color w:val="000000" w:themeColor="text1"/>
        </w:rPr>
      </w:pPr>
      <w:r w:rsidRPr="008C2E77">
        <w:rPr>
          <w:rFonts w:cstheme="minorHAnsi"/>
          <w:color w:val="000000" w:themeColor="text1"/>
        </w:rPr>
        <w:t>4.1 Diseño de</w:t>
      </w:r>
      <w:r>
        <w:rPr>
          <w:rFonts w:cstheme="minorHAnsi"/>
          <w:color w:val="000000" w:themeColor="text1"/>
        </w:rPr>
        <w:t>l</w:t>
      </w:r>
      <w:r w:rsidRPr="008C2E77">
        <w:rPr>
          <w:rFonts w:cstheme="minorHAnsi"/>
          <w:color w:val="000000" w:themeColor="text1"/>
        </w:rPr>
        <w:t xml:space="preserve"> taller de capacitación</w:t>
      </w:r>
    </w:p>
    <w:p w14:paraId="4C4F040D" w14:textId="77777777" w:rsidR="002A0123" w:rsidRPr="008C2E77" w:rsidRDefault="002A0123" w:rsidP="008A2C19">
      <w:pPr>
        <w:spacing w:after="0"/>
        <w:jc w:val="both"/>
        <w:rPr>
          <w:rFonts w:cstheme="minorHAnsi"/>
          <w:color w:val="000000" w:themeColor="text1"/>
        </w:rPr>
      </w:pPr>
      <w:r>
        <w:rPr>
          <w:rFonts w:cstheme="minorHAnsi"/>
          <w:color w:val="000000" w:themeColor="text1"/>
        </w:rPr>
        <w:t xml:space="preserve">4.2 </w:t>
      </w:r>
      <w:r w:rsidRPr="008C2E77">
        <w:rPr>
          <w:rFonts w:cstheme="minorHAnsi"/>
          <w:color w:val="000000" w:themeColor="text1"/>
        </w:rPr>
        <w:t>Evaluación</w:t>
      </w:r>
    </w:p>
    <w:p w14:paraId="0E5B40F1" w14:textId="77777777" w:rsidR="002A0123" w:rsidRDefault="002A0123" w:rsidP="002A0123">
      <w:pPr>
        <w:spacing w:after="200" w:line="276" w:lineRule="auto"/>
        <w:contextualSpacing/>
        <w:jc w:val="both"/>
        <w:rPr>
          <w:rFonts w:cstheme="minorHAnsi"/>
          <w:b/>
          <w:bCs/>
          <w:color w:val="000000" w:themeColor="text1"/>
        </w:rPr>
      </w:pPr>
    </w:p>
    <w:p w14:paraId="5DD70556" w14:textId="77777777" w:rsidR="002A0123" w:rsidRDefault="002A0123" w:rsidP="002A0123">
      <w:pPr>
        <w:spacing w:after="200" w:line="276" w:lineRule="auto"/>
        <w:contextualSpacing/>
        <w:jc w:val="both"/>
        <w:rPr>
          <w:rFonts w:cstheme="minorHAnsi"/>
          <w:b/>
          <w:bCs/>
          <w:color w:val="000000" w:themeColor="text1"/>
        </w:rPr>
      </w:pPr>
      <w:r>
        <w:rPr>
          <w:rFonts w:cstheme="minorHAnsi"/>
          <w:b/>
          <w:bCs/>
          <w:color w:val="000000" w:themeColor="text1"/>
        </w:rPr>
        <w:lastRenderedPageBreak/>
        <w:t xml:space="preserve">V. </w:t>
      </w:r>
      <w:r w:rsidRPr="00C84DF6">
        <w:rPr>
          <w:rFonts w:cstheme="minorHAnsi"/>
          <w:b/>
          <w:bCs/>
          <w:color w:val="000000" w:themeColor="text1"/>
        </w:rPr>
        <w:t>Metodología</w:t>
      </w:r>
    </w:p>
    <w:p w14:paraId="1CF49F64" w14:textId="77777777" w:rsidR="002A0123" w:rsidRPr="00D746D3" w:rsidRDefault="002A0123" w:rsidP="002A0123">
      <w:pPr>
        <w:spacing w:after="200" w:line="276" w:lineRule="auto"/>
        <w:contextualSpacing/>
        <w:jc w:val="both"/>
        <w:rPr>
          <w:rFonts w:cstheme="minorHAnsi"/>
          <w:b/>
          <w:bCs/>
          <w:color w:val="000000" w:themeColor="text1"/>
          <w:sz w:val="12"/>
        </w:rPr>
      </w:pPr>
    </w:p>
    <w:p w14:paraId="6F938F6D" w14:textId="77777777" w:rsidR="002A0123" w:rsidRDefault="002A0123" w:rsidP="002A0123">
      <w:pPr>
        <w:spacing w:after="200" w:line="276" w:lineRule="auto"/>
        <w:jc w:val="both"/>
        <w:rPr>
          <w:rFonts w:cstheme="minorHAnsi"/>
          <w:color w:val="000000" w:themeColor="text1"/>
        </w:rPr>
      </w:pPr>
      <w:r w:rsidRPr="005C25C1">
        <w:rPr>
          <w:rFonts w:cstheme="minorHAnsi"/>
          <w:color w:val="000000" w:themeColor="text1"/>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0AF2291C" w14:textId="77777777" w:rsidR="002A0123" w:rsidRDefault="002A0123" w:rsidP="002A0123">
      <w:pPr>
        <w:spacing w:after="200" w:line="276" w:lineRule="auto"/>
        <w:jc w:val="both"/>
        <w:rPr>
          <w:rFonts w:cstheme="minorHAnsi"/>
          <w:color w:val="000000" w:themeColor="text1"/>
        </w:rPr>
      </w:pPr>
      <w:r>
        <w:rPr>
          <w:rFonts w:cstheme="minorHAnsi"/>
          <w:color w:val="000000" w:themeColor="text1"/>
        </w:rPr>
        <w:t>La metodología del curso es teórica-práctica. Los aportes teóricos se derivan de las lecturas, los foros de discusión y las mediaciones de la persona docente a través de la plataforma Moodle. Desde los aportes teóricos se busca que las personas que estudian se apropien, analicen y valoren diversos métodos para el estudio de la Biblia. Estos elementos teóricos se plasman a su vez en ejercicios prácticos de análisis de textos bíblicos tanto a nivel individual, como grupal y colectivo que se comparten a través de los foros en la plataforma virtual y los espacios para la entrega de tareas. El papel de la persona docente es orientar el desarrollo de esta práctica ofreciendo los insumos necesarios para aclarar los métodos y a la vez desarrollar sus contribuciones a la tarea exegética. Se ofrecerán espacios en la plataforma virtual para la retroalimentación, tanto estudiantil como docente, de los ejercicios realizados. Los y las estudiantes deben asumir su propio desarrollo a nivel del aprendizaje, empezando con la elección de los textos bíblicos a ser analizados (según sus intereses, situaciones, conocimientos previos) hasta el nivel de especialización que puedan desarrollar en una o más metodologías.</w:t>
      </w:r>
    </w:p>
    <w:p w14:paraId="071FC8DA" w14:textId="77777777" w:rsidR="002A0123" w:rsidRPr="003218DD" w:rsidRDefault="002A0123" w:rsidP="002A0123">
      <w:pPr>
        <w:spacing w:after="200" w:line="276" w:lineRule="auto"/>
        <w:jc w:val="both"/>
        <w:rPr>
          <w:rFonts w:cstheme="minorHAnsi"/>
          <w:color w:val="000000" w:themeColor="text1"/>
        </w:rPr>
      </w:pPr>
      <w:r>
        <w:rPr>
          <w:rFonts w:cstheme="minorHAnsi"/>
          <w:bCs/>
        </w:rPr>
        <w:t xml:space="preserve">Durante el curso se realizarán encuentros sincrónicos virtuales en la plataforma virtual. </w:t>
      </w:r>
      <w:r w:rsidRPr="0023680A">
        <w:rPr>
          <w:rFonts w:cstheme="minorHAnsi"/>
          <w:bCs/>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69691714" w14:textId="77777777" w:rsidR="002A0123" w:rsidRDefault="002A0123" w:rsidP="002A0123">
      <w:pPr>
        <w:spacing w:after="200" w:line="276" w:lineRule="auto"/>
        <w:jc w:val="both"/>
        <w:rPr>
          <w:rFonts w:cstheme="minorHAnsi"/>
          <w:b/>
          <w:bCs/>
          <w:color w:val="000000" w:themeColor="text1"/>
        </w:rPr>
      </w:pPr>
      <w:r>
        <w:rPr>
          <w:rFonts w:cstheme="minorHAnsi"/>
          <w:b/>
          <w:bCs/>
          <w:color w:val="000000" w:themeColor="text1"/>
        </w:rPr>
        <w:t>VI. Estrategias</w:t>
      </w:r>
      <w:r w:rsidRPr="00BA08C8">
        <w:rPr>
          <w:rFonts w:cstheme="minorHAnsi"/>
          <w:b/>
          <w:bCs/>
          <w:color w:val="000000" w:themeColor="text1"/>
        </w:rPr>
        <w:t xml:space="preserve"> de aprendizaje </w:t>
      </w:r>
    </w:p>
    <w:p w14:paraId="7FA749D5" w14:textId="77777777" w:rsidR="002A0123" w:rsidRDefault="002A0123" w:rsidP="002A0123">
      <w:pPr>
        <w:spacing w:after="200" w:line="276" w:lineRule="auto"/>
        <w:jc w:val="both"/>
        <w:rPr>
          <w:rFonts w:cstheme="minorHAnsi"/>
          <w:bCs/>
          <w:color w:val="000000" w:themeColor="text1"/>
        </w:rPr>
      </w:pPr>
      <w:r>
        <w:rPr>
          <w:rFonts w:cstheme="minorHAnsi"/>
          <w:bCs/>
          <w:color w:val="000000" w:themeColor="text1"/>
        </w:rPr>
        <w:t xml:space="preserve">Las estrategias de aprendizaje en este curso están orientadas a la práctica guiada del ejercicio de diversos métodos específicos de estudio bíblico, lo cual implica realizar exégesis en textos bíblicos de distintos géneros literarios y períodos históricos, en la búsqueda de dialogar entre el mundo de hoy (su contexto) y el mundo del texto. </w:t>
      </w:r>
    </w:p>
    <w:p w14:paraId="4FC85BFA" w14:textId="77777777" w:rsidR="002A0123" w:rsidRDefault="002A0123" w:rsidP="002A0123">
      <w:pPr>
        <w:spacing w:after="200" w:line="276" w:lineRule="auto"/>
        <w:jc w:val="both"/>
        <w:rPr>
          <w:rFonts w:cstheme="minorHAnsi"/>
          <w:bCs/>
          <w:color w:val="000000" w:themeColor="text1"/>
        </w:rPr>
      </w:pPr>
      <w:r>
        <w:rPr>
          <w:rFonts w:cstheme="minorHAnsi"/>
          <w:bCs/>
          <w:color w:val="000000" w:themeColor="text1"/>
        </w:rPr>
        <w:t>Se utilizan las siguientes estrategias de aprendizaje:</w:t>
      </w:r>
    </w:p>
    <w:p w14:paraId="547D595D" w14:textId="77777777" w:rsidR="002A0123" w:rsidRDefault="002A0123" w:rsidP="002A0123">
      <w:pPr>
        <w:spacing w:after="200" w:line="276" w:lineRule="auto"/>
        <w:jc w:val="both"/>
        <w:rPr>
          <w:rFonts w:ascii="Calibri" w:eastAsia="Calibri" w:hAnsi="Calibri"/>
          <w:lang w:val="es-MX"/>
        </w:rPr>
      </w:pPr>
      <w:r>
        <w:rPr>
          <w:rFonts w:cstheme="minorHAnsi"/>
          <w:b/>
          <w:color w:val="000000" w:themeColor="text1"/>
        </w:rPr>
        <w:lastRenderedPageBreak/>
        <w:t xml:space="preserve">a) Glosario: </w:t>
      </w:r>
      <w:r w:rsidRPr="00BF15D2">
        <w:rPr>
          <w:rFonts w:ascii="Calibri" w:eastAsia="Calibri" w:hAnsi="Calibri"/>
          <w:lang w:val="es-MX"/>
        </w:rPr>
        <w:t xml:space="preserve">Esta </w:t>
      </w:r>
      <w:r>
        <w:rPr>
          <w:rFonts w:ascii="Calibri" w:eastAsia="Calibri" w:hAnsi="Calibri"/>
          <w:lang w:val="es-MX"/>
        </w:rPr>
        <w:t>estrategia</w:t>
      </w:r>
      <w:r w:rsidRPr="00BF15D2">
        <w:rPr>
          <w:rFonts w:ascii="Calibri" w:eastAsia="Calibri" w:hAnsi="Calibri"/>
          <w:lang w:val="es-MX"/>
        </w:rPr>
        <w:t xml:space="preserve"> permite la colección de conceptos de </w:t>
      </w:r>
      <w:r>
        <w:rPr>
          <w:rFonts w:ascii="Calibri" w:eastAsia="Calibri" w:hAnsi="Calibri"/>
          <w:lang w:val="es-MX"/>
        </w:rPr>
        <w:t xml:space="preserve">una </w:t>
      </w:r>
      <w:r w:rsidRPr="00BF15D2">
        <w:rPr>
          <w:rFonts w:ascii="Calibri" w:eastAsia="Calibri" w:hAnsi="Calibri"/>
          <w:lang w:val="es-MX"/>
        </w:rPr>
        <w:t>disciplina o tema</w:t>
      </w:r>
      <w:r>
        <w:rPr>
          <w:rFonts w:ascii="Calibri" w:eastAsia="Calibri" w:hAnsi="Calibri"/>
          <w:lang w:val="es-MX"/>
        </w:rPr>
        <w:t>, así como la</w:t>
      </w:r>
      <w:r w:rsidRPr="00BF15D2">
        <w:rPr>
          <w:rFonts w:ascii="Calibri" w:eastAsia="Calibri" w:hAnsi="Calibri"/>
          <w:lang w:val="es-MX"/>
        </w:rPr>
        <w:t xml:space="preserve"> </w:t>
      </w:r>
      <w:r>
        <w:rPr>
          <w:rFonts w:ascii="Calibri" w:eastAsia="Calibri" w:hAnsi="Calibri"/>
          <w:lang w:val="es-MX"/>
        </w:rPr>
        <w:t>b</w:t>
      </w:r>
      <w:r w:rsidRPr="00BF15D2">
        <w:rPr>
          <w:rFonts w:ascii="Calibri" w:eastAsia="Calibri" w:hAnsi="Calibri"/>
          <w:lang w:val="es-MX"/>
        </w:rPr>
        <w:t xml:space="preserve">úsqueda de significados y </w:t>
      </w:r>
      <w:r>
        <w:rPr>
          <w:rFonts w:ascii="Calibri" w:eastAsia="Calibri" w:hAnsi="Calibri"/>
          <w:lang w:val="es-MX"/>
        </w:rPr>
        <w:t xml:space="preserve">la </w:t>
      </w:r>
      <w:r w:rsidRPr="00BF15D2">
        <w:rPr>
          <w:rFonts w:ascii="Calibri" w:eastAsia="Calibri" w:hAnsi="Calibri"/>
          <w:lang w:val="es-MX"/>
        </w:rPr>
        <w:t xml:space="preserve">apropiación de </w:t>
      </w:r>
      <w:r>
        <w:rPr>
          <w:rFonts w:ascii="Calibri" w:eastAsia="Calibri" w:hAnsi="Calibri"/>
          <w:lang w:val="es-MX"/>
        </w:rPr>
        <w:t>estos</w:t>
      </w:r>
      <w:r w:rsidRPr="00BF15D2">
        <w:rPr>
          <w:rFonts w:ascii="Calibri" w:eastAsia="Calibri" w:hAnsi="Calibri"/>
          <w:lang w:val="es-MX"/>
        </w:rPr>
        <w:t xml:space="preserve"> por parte de la</w:t>
      </w:r>
      <w:r>
        <w:rPr>
          <w:rFonts w:ascii="Calibri" w:eastAsia="Calibri" w:hAnsi="Calibri"/>
          <w:lang w:val="es-MX"/>
        </w:rPr>
        <w:t xml:space="preserve">s </w:t>
      </w:r>
      <w:r w:rsidRPr="00BF15D2">
        <w:rPr>
          <w:rFonts w:ascii="Calibri" w:eastAsia="Calibri" w:hAnsi="Calibri"/>
          <w:lang w:val="es-MX"/>
        </w:rPr>
        <w:t>persona</w:t>
      </w:r>
      <w:r>
        <w:rPr>
          <w:rFonts w:ascii="Calibri" w:eastAsia="Calibri" w:hAnsi="Calibri"/>
          <w:lang w:val="es-MX"/>
        </w:rPr>
        <w:t>s</w:t>
      </w:r>
      <w:r w:rsidRPr="00BF15D2">
        <w:rPr>
          <w:rFonts w:ascii="Calibri" w:eastAsia="Calibri" w:hAnsi="Calibri"/>
          <w:lang w:val="es-MX"/>
        </w:rPr>
        <w:t xml:space="preserve"> estudiante</w:t>
      </w:r>
      <w:r>
        <w:rPr>
          <w:rFonts w:ascii="Calibri" w:eastAsia="Calibri" w:hAnsi="Calibri"/>
          <w:lang w:val="es-MX"/>
        </w:rPr>
        <w:t>s</w:t>
      </w:r>
      <w:r w:rsidRPr="00BF15D2">
        <w:rPr>
          <w:rFonts w:ascii="Calibri" w:eastAsia="Calibri" w:hAnsi="Calibri"/>
          <w:lang w:val="es-MX"/>
        </w:rPr>
        <w:t xml:space="preserve">. En este curso </w:t>
      </w:r>
      <w:r>
        <w:rPr>
          <w:rFonts w:ascii="Calibri" w:eastAsia="Calibri" w:hAnsi="Calibri"/>
          <w:lang w:val="es-MX"/>
        </w:rPr>
        <w:t xml:space="preserve">se creará un glosario de forma colaborativa, el cual nos permitirá desarrollar conceptos claves de la exégesis de un texto bíblico. Mediante él no solamente podremos seleccionar y desarrollar dichos conceptos, sino también comentar los conceptos de sus compañeros y compañeras. </w:t>
      </w:r>
    </w:p>
    <w:p w14:paraId="67DA32ED" w14:textId="77777777" w:rsidR="002A0123" w:rsidRPr="00B873A7" w:rsidRDefault="002A0123" w:rsidP="002A0123">
      <w:pPr>
        <w:spacing w:after="200" w:line="276" w:lineRule="auto"/>
        <w:jc w:val="both"/>
        <w:rPr>
          <w:rFonts w:cstheme="minorHAnsi"/>
          <w:bCs/>
          <w:color w:val="000000" w:themeColor="text1"/>
        </w:rPr>
      </w:pPr>
      <w:r>
        <w:rPr>
          <w:rFonts w:cstheme="minorHAnsi"/>
          <w:b/>
          <w:color w:val="000000" w:themeColor="text1"/>
        </w:rPr>
        <w:t xml:space="preserve">b) Foro: </w:t>
      </w:r>
      <w:r>
        <w:rPr>
          <w:rFonts w:cstheme="minorHAnsi"/>
          <w:bCs/>
          <w:color w:val="000000" w:themeColor="text1"/>
        </w:rPr>
        <w:t xml:space="preserve">El foro es una herramienta que nos permitirá compartir nuestras experiencias con el estudio de la Biblia, profundizar en la importancia de la historia de un texto bíblico y su valor para la interpretación, trabajar en la estructura de un texto bíblico, reflexionar sobre los aportes del análisis retórico para el estudio de los textos bíblicos, sobre la relación entre la exégesis y la lectura popular de la Biblia, sobre los aspectos claves del análisis de textos poéticos y, finalmente, compartir aspectos claves del taller de formación bíblica que diseñó en las últimas sesiones del curso. Mediante él los y las estudiantes no solamente deberán demostrar la lectura analítica y crítica de las lecturas asignadas, sino también participar de forma propositiva y activa a través de réplicas a los aportes desarrollados por sus compañeros y compañeras.  </w:t>
      </w:r>
    </w:p>
    <w:p w14:paraId="38E0AEC0" w14:textId="77777777" w:rsidR="002A0123" w:rsidRPr="00FB4E91" w:rsidRDefault="002A0123" w:rsidP="002A0123">
      <w:pPr>
        <w:spacing w:after="200" w:line="276" w:lineRule="auto"/>
        <w:jc w:val="both"/>
        <w:rPr>
          <w:rFonts w:eastAsiaTheme="minorEastAsia"/>
          <w:color w:val="000000" w:themeColor="text1"/>
        </w:rPr>
      </w:pPr>
      <w:r w:rsidRPr="3573A970">
        <w:rPr>
          <w:rFonts w:eastAsiaTheme="minorEastAsia"/>
          <w:b/>
          <w:bCs/>
          <w:color w:val="000000" w:themeColor="text1"/>
        </w:rPr>
        <w:t xml:space="preserve">c) Encuentro sincrónico virtual: </w:t>
      </w:r>
      <w:r w:rsidRPr="3573A970">
        <w:rPr>
          <w:rFonts w:ascii="Calibri" w:eastAsia="Calibri" w:hAnsi="Calibri" w:cs="Calibri"/>
        </w:rPr>
        <w:t>Esta herramienta virtual sincrónica permite el encuentro entre las personas estudiantes y la persona docente con el fin de dialogar, debatir, escuchar presentaciones, o hacer trabajo en grupos pequeños sobre un tema en particular. En este curso los encuentros tienen un valor formativo. Los temas por trabajar tienen que ver con metodologías para el estudio bíblico, el análisis narrativo, el análisis retórico, la lectura popular de la Biblia, la práctica exegética, la narrativa y la poética y el discurso epistolar, entre otros géneros literarios presentes en la Biblia.</w:t>
      </w:r>
    </w:p>
    <w:p w14:paraId="1E9CD0DF" w14:textId="77777777" w:rsidR="002A0123" w:rsidRPr="00891153" w:rsidRDefault="002A0123" w:rsidP="002A0123">
      <w:pPr>
        <w:spacing w:after="200" w:line="276" w:lineRule="auto"/>
        <w:jc w:val="both"/>
        <w:rPr>
          <w:rFonts w:cstheme="minorHAnsi"/>
          <w:bCs/>
          <w:color w:val="000000" w:themeColor="text1"/>
        </w:rPr>
      </w:pPr>
      <w:r>
        <w:rPr>
          <w:rFonts w:cstheme="minorHAnsi"/>
          <w:b/>
          <w:color w:val="000000" w:themeColor="text1"/>
        </w:rPr>
        <w:t xml:space="preserve">d) Análisis de textos bíblicos: </w:t>
      </w:r>
      <w:r>
        <w:rPr>
          <w:rFonts w:cstheme="minorHAnsi"/>
          <w:bCs/>
          <w:color w:val="000000" w:themeColor="text1"/>
        </w:rPr>
        <w:t xml:space="preserve">Las prácticas de análisis de textos bíblicos son una estrategia que permite adquirir destrezas y ejercitar las metodologías de análisis aprendidas durante el curso. Para cada una de ellas se adjunta una guía de instrucciones. Se desarrollarán un total de cinco prácticas relacionadas con: el tiempo y los personajes en la narrativa bíblica, la literatura epistolar, la delimitación y el contexto literario de un texto bíblico, el análisis narrativo de un texto bíblico. Estas prácticas de análisis permitirán desarrollar la capacidad de observación y lectura cercana de un texto bíblico, lo cual es base para estudiar cualquier texto. Nuestra familiaridad con muchas historias de la Biblia puede interferir en nuestro proceso de estudio, por lo que es necesario aprender a leer cuidadosamente para ver qué nos cuenta el escritor y cómo lo cuenta.  </w:t>
      </w:r>
    </w:p>
    <w:p w14:paraId="0105BBAE" w14:textId="77777777" w:rsidR="002A0123" w:rsidRDefault="002A0123" w:rsidP="002A0123">
      <w:pPr>
        <w:spacing w:after="200" w:line="276" w:lineRule="auto"/>
        <w:jc w:val="both"/>
        <w:rPr>
          <w:rFonts w:ascii="Calibri" w:eastAsia="Calibri" w:hAnsi="Calibri" w:cs="Calibri"/>
          <w:bCs/>
        </w:rPr>
      </w:pPr>
      <w:r>
        <w:rPr>
          <w:rFonts w:cstheme="minorHAnsi"/>
          <w:b/>
          <w:color w:val="000000" w:themeColor="text1"/>
        </w:rPr>
        <w:t>e) Diario reflexivo:</w:t>
      </w:r>
      <w:r>
        <w:rPr>
          <w:rFonts w:cstheme="minorHAnsi"/>
          <w:bCs/>
          <w:color w:val="000000" w:themeColor="text1"/>
        </w:rPr>
        <w:t xml:space="preserve"> </w:t>
      </w:r>
      <w:bookmarkStart w:id="48" w:name="_Hlk118815506"/>
      <w:r w:rsidRPr="00E45914">
        <w:rPr>
          <w:rFonts w:ascii="Calibri" w:eastAsia="Calibri" w:hAnsi="Calibri" w:cs="Calibri"/>
          <w:bCs/>
        </w:rPr>
        <w:t>Como u</w:t>
      </w:r>
      <w:r>
        <w:rPr>
          <w:rFonts w:ascii="Calibri" w:eastAsia="Calibri" w:hAnsi="Calibri" w:cs="Calibri"/>
          <w:bCs/>
        </w:rPr>
        <w:t>na herramienta</w:t>
      </w:r>
      <w:r w:rsidRPr="00E45914">
        <w:rPr>
          <w:rFonts w:ascii="Calibri" w:eastAsia="Calibri" w:hAnsi="Calibri" w:cs="Calibri"/>
          <w:bCs/>
        </w:rPr>
        <w:t xml:space="preserve"> para la sistematización propia e internalización del conocimiento de manera que sea significativo, se utiliza la estrategia didáctica de</w:t>
      </w:r>
      <w:r>
        <w:rPr>
          <w:rFonts w:ascii="Calibri" w:eastAsia="Calibri" w:hAnsi="Calibri" w:cs="Calibri"/>
          <w:bCs/>
        </w:rPr>
        <w:t>l</w:t>
      </w:r>
      <w:r w:rsidRPr="00E45914">
        <w:rPr>
          <w:rFonts w:ascii="Calibri" w:eastAsia="Calibri" w:hAnsi="Calibri" w:cs="Calibri"/>
          <w:bCs/>
        </w:rPr>
        <w:t xml:space="preserve"> </w:t>
      </w:r>
      <w:r>
        <w:rPr>
          <w:rFonts w:ascii="Calibri" w:eastAsia="Calibri" w:hAnsi="Calibri" w:cs="Calibri"/>
          <w:bCs/>
        </w:rPr>
        <w:t>d</w:t>
      </w:r>
      <w:r w:rsidRPr="00E45914">
        <w:rPr>
          <w:rFonts w:ascii="Calibri" w:eastAsia="Calibri" w:hAnsi="Calibri" w:cs="Calibri"/>
          <w:bCs/>
        </w:rPr>
        <w:t>iario reflexivo.</w:t>
      </w:r>
      <w:r>
        <w:rPr>
          <w:rFonts w:ascii="Calibri" w:eastAsia="Calibri" w:hAnsi="Calibri" w:cs="Calibri"/>
          <w:bCs/>
        </w:rPr>
        <w:t xml:space="preserve"> Este se desarrolla a través de varias sesiones con el objetivo de cubrir temáticas claves del curso y abordar aspectos distintos de los métodos para el estudio bíblico. Mediante él los y las estudiantes podrán reflexionar sobre aspectos relevantes para su quehacer teológico y pastoral, y dejar constancia de su propio camino hacia el desarrollo de capacidades propias para el análisis de los textos, así como también las dudas que surgen en este caminar. </w:t>
      </w:r>
    </w:p>
    <w:bookmarkEnd w:id="48"/>
    <w:p w14:paraId="53FDAC52" w14:textId="77777777" w:rsidR="002A0123" w:rsidRPr="006347F1" w:rsidRDefault="002A0123" w:rsidP="002A0123">
      <w:pPr>
        <w:spacing w:after="200" w:line="276" w:lineRule="auto"/>
        <w:jc w:val="both"/>
        <w:rPr>
          <w:rFonts w:cstheme="minorHAnsi"/>
          <w:bCs/>
          <w:color w:val="000000" w:themeColor="text1"/>
        </w:rPr>
      </w:pPr>
      <w:r>
        <w:rPr>
          <w:rFonts w:cstheme="minorHAnsi"/>
          <w:b/>
          <w:color w:val="000000" w:themeColor="text1"/>
        </w:rPr>
        <w:t xml:space="preserve">f) Diseño de un taller de formación bíblica: </w:t>
      </w:r>
      <w:r>
        <w:rPr>
          <w:rFonts w:cstheme="minorHAnsi"/>
          <w:bCs/>
          <w:color w:val="000000" w:themeColor="text1"/>
        </w:rPr>
        <w:t xml:space="preserve">Como trabajo final del curso se buscará reflexionar sobre cómo compartir nuestros aprendizajes con un grupo, idealmente un grupo en el que los y las estudiantes participen o con el cual tengan vínculos. Para ello se trabajará en el diseño de un taller </w:t>
      </w:r>
      <w:r>
        <w:rPr>
          <w:rFonts w:cstheme="minorHAnsi"/>
          <w:bCs/>
          <w:color w:val="000000" w:themeColor="text1"/>
        </w:rPr>
        <w:lastRenderedPageBreak/>
        <w:t xml:space="preserve">de formación bíblica, el cual tendrá como fin enseñarle a un grupo pasos básicos para estudiar 1 Reyes 21, un texto que se analizó durante una sesión del curso. De esta forma se empleará la formación teórica metodológica de estudio de un texto bíblico en un trabajo que tiene una orientación práctica.  </w:t>
      </w:r>
    </w:p>
    <w:p w14:paraId="45C8A2C7" w14:textId="77777777" w:rsidR="002A0123" w:rsidRDefault="002A0123" w:rsidP="002A0123">
      <w:pPr>
        <w:spacing w:after="200" w:line="276" w:lineRule="auto"/>
        <w:jc w:val="both"/>
        <w:rPr>
          <w:rFonts w:cstheme="minorHAnsi"/>
          <w:bCs/>
          <w:color w:val="000000" w:themeColor="text1"/>
        </w:rPr>
      </w:pPr>
      <w:r>
        <w:rPr>
          <w:rFonts w:cstheme="minorHAnsi"/>
          <w:b/>
          <w:color w:val="000000" w:themeColor="text1"/>
        </w:rPr>
        <w:t>g) Autoevaluación:</w:t>
      </w:r>
      <w:r>
        <w:rPr>
          <w:rFonts w:cstheme="minorHAnsi"/>
          <w:bCs/>
          <w:color w:val="000000" w:themeColor="text1"/>
        </w:rPr>
        <w:t xml:space="preserve"> En la última sesión se realizará una autoevaluación de su proceso de aprendizaje del curso, la cual estará basada en los objetivos del curso, las actividades y los criterios de evaluación. Con ella se buscará obtener una valoración del grado de aprovechamiento del curso según los objetivos y las actividades realizadas. </w:t>
      </w:r>
    </w:p>
    <w:p w14:paraId="3D197B31" w14:textId="77777777" w:rsidR="002A0123" w:rsidRDefault="002A0123" w:rsidP="002A0123">
      <w:pPr>
        <w:spacing w:after="200" w:line="276" w:lineRule="auto"/>
        <w:jc w:val="both"/>
        <w:rPr>
          <w:rFonts w:cstheme="minorHAnsi"/>
          <w:bCs/>
          <w:color w:val="000000" w:themeColor="text1"/>
        </w:rPr>
      </w:pPr>
      <w:r w:rsidRPr="00984C5C">
        <w:rPr>
          <w:rFonts w:cstheme="minorHAnsi"/>
          <w:bCs/>
          <w:color w:val="000000" w:themeColor="text1"/>
        </w:rPr>
        <w:t>Los y las estudiantes podrán comunicarse con la persona docente a través de la plataforma virtual, o bien el correo electrónico suministrado por esta, y recibirán una respuesta a las consultas realizadas en un tiempo máximo de 48 horas.</w:t>
      </w:r>
    </w:p>
    <w:p w14:paraId="1597EAE8" w14:textId="77777777" w:rsidR="002A0123" w:rsidRPr="00007CE1" w:rsidRDefault="002A0123" w:rsidP="002A0123">
      <w:pPr>
        <w:jc w:val="both"/>
        <w:rPr>
          <w:rFonts w:cstheme="minorHAnsi"/>
          <w:b/>
          <w:bCs/>
          <w:color w:val="000000" w:themeColor="text1"/>
        </w:rPr>
      </w:pPr>
      <w:r w:rsidRPr="00007CE1">
        <w:rPr>
          <w:rFonts w:cstheme="minorHAnsi"/>
          <w:b/>
          <w:bCs/>
          <w:color w:val="000000" w:themeColor="text1"/>
        </w:rPr>
        <w:t xml:space="preserve">VII. Recursos didácticos </w:t>
      </w:r>
    </w:p>
    <w:p w14:paraId="001B9389" w14:textId="77777777" w:rsidR="002A0123" w:rsidRDefault="002A0123" w:rsidP="008A2C19">
      <w:pPr>
        <w:spacing w:after="0"/>
        <w:jc w:val="both"/>
        <w:rPr>
          <w:rFonts w:cstheme="minorHAnsi"/>
          <w:color w:val="000000" w:themeColor="text1"/>
        </w:rPr>
      </w:pPr>
    </w:p>
    <w:p w14:paraId="3CF7ACA9" w14:textId="77777777" w:rsidR="002A0123" w:rsidRDefault="002A0123" w:rsidP="008A2C19">
      <w:pPr>
        <w:spacing w:after="0"/>
        <w:jc w:val="both"/>
        <w:rPr>
          <w:rFonts w:cstheme="minorHAnsi"/>
          <w:color w:val="000000" w:themeColor="text1"/>
          <w:lang w:val="es-ES" w:eastAsia="es-ES"/>
        </w:rPr>
      </w:pPr>
      <w:r w:rsidRPr="006014C5">
        <w:rPr>
          <w:rFonts w:cstheme="minorHAnsi"/>
          <w:color w:val="000000" w:themeColor="text1"/>
          <w:lang w:val="es-ES" w:eastAsia="es-ES"/>
        </w:rPr>
        <w:t>Para lograr los objetivos del curso, desarrollar los contenidos y la metodología propuesta</w:t>
      </w:r>
      <w:r>
        <w:rPr>
          <w:rFonts w:cstheme="minorHAnsi"/>
          <w:color w:val="000000" w:themeColor="text1"/>
          <w:lang w:val="es-ES" w:eastAsia="es-ES"/>
        </w:rPr>
        <w:t xml:space="preserve"> se hará uso de los siguientes recursos didácticos:</w:t>
      </w:r>
    </w:p>
    <w:p w14:paraId="04A7AA96" w14:textId="77777777" w:rsidR="002A0123" w:rsidRDefault="002A0123" w:rsidP="008A2C19">
      <w:pPr>
        <w:spacing w:after="0"/>
        <w:jc w:val="both"/>
        <w:rPr>
          <w:rFonts w:cstheme="minorHAnsi"/>
          <w:color w:val="000000" w:themeColor="text1"/>
          <w:lang w:val="es-ES" w:eastAsia="es-ES"/>
        </w:rPr>
      </w:pPr>
    </w:p>
    <w:p w14:paraId="2F480087" w14:textId="77777777" w:rsidR="002A0123"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t>a) L</w:t>
      </w:r>
      <w:r w:rsidRPr="006014C5">
        <w:rPr>
          <w:rFonts w:cstheme="minorHAnsi"/>
          <w:color w:val="000000" w:themeColor="text1"/>
          <w:lang w:val="es-ES" w:eastAsia="es-ES"/>
        </w:rPr>
        <w:t>ecturas semanales</w:t>
      </w:r>
      <w:r>
        <w:rPr>
          <w:rFonts w:cstheme="minorHAnsi"/>
          <w:color w:val="000000" w:themeColor="text1"/>
          <w:lang w:val="es-ES" w:eastAsia="es-ES"/>
        </w:rPr>
        <w:t xml:space="preserve"> obligatorias que se asignan</w:t>
      </w:r>
      <w:r w:rsidRPr="006014C5">
        <w:rPr>
          <w:rFonts w:cstheme="minorHAnsi"/>
          <w:color w:val="000000" w:themeColor="text1"/>
          <w:lang w:val="es-ES" w:eastAsia="es-ES"/>
        </w:rPr>
        <w:t xml:space="preserve"> como insumo para las actividades individuales y </w:t>
      </w:r>
      <w:r>
        <w:rPr>
          <w:rFonts w:cstheme="minorHAnsi"/>
          <w:color w:val="000000" w:themeColor="text1"/>
          <w:lang w:val="es-ES" w:eastAsia="es-ES"/>
        </w:rPr>
        <w:t>grupales</w:t>
      </w:r>
      <w:r w:rsidRPr="006014C5">
        <w:rPr>
          <w:rFonts w:cstheme="minorHAnsi"/>
          <w:color w:val="000000" w:themeColor="text1"/>
          <w:lang w:val="es-ES" w:eastAsia="es-ES"/>
        </w:rPr>
        <w:t xml:space="preserve">. Todos los materiales de lectura están disponibles en formato digital en la plataforma virtual.  </w:t>
      </w:r>
    </w:p>
    <w:p w14:paraId="7849122E" w14:textId="77777777" w:rsidR="002A0123" w:rsidRDefault="002A0123" w:rsidP="008A2C19">
      <w:pPr>
        <w:spacing w:after="0"/>
        <w:jc w:val="both"/>
        <w:rPr>
          <w:rFonts w:cstheme="minorHAnsi"/>
          <w:color w:val="000000" w:themeColor="text1"/>
          <w:lang w:val="es-ES" w:eastAsia="es-ES"/>
        </w:rPr>
      </w:pPr>
    </w:p>
    <w:p w14:paraId="264B786E" w14:textId="77777777" w:rsidR="002A0123"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t>b) Lecturas complementarias en algunas de las sesiones que se asignan para su lectura con el fin de ampliar las temáticas. Realizar estas lecturas es opcional.</w:t>
      </w:r>
    </w:p>
    <w:p w14:paraId="3857E868" w14:textId="77777777" w:rsidR="002A0123" w:rsidRDefault="002A0123" w:rsidP="008A2C19">
      <w:pPr>
        <w:spacing w:after="0"/>
        <w:jc w:val="both"/>
        <w:rPr>
          <w:rFonts w:cstheme="minorHAnsi"/>
          <w:color w:val="000000" w:themeColor="text1"/>
          <w:lang w:val="es-ES" w:eastAsia="es-ES"/>
        </w:rPr>
      </w:pPr>
    </w:p>
    <w:p w14:paraId="1F7BAC75" w14:textId="77777777" w:rsidR="002A0123"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t>c) E</w:t>
      </w:r>
      <w:r w:rsidRPr="006014C5">
        <w:rPr>
          <w:rFonts w:cstheme="minorHAnsi"/>
          <w:color w:val="000000" w:themeColor="text1"/>
          <w:lang w:val="es-ES" w:eastAsia="es-ES"/>
        </w:rPr>
        <w:t>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6693D3B3" w14:textId="77777777" w:rsidR="002A0123" w:rsidRDefault="002A0123" w:rsidP="008A2C19">
      <w:pPr>
        <w:spacing w:after="0"/>
        <w:jc w:val="both"/>
        <w:rPr>
          <w:rFonts w:cstheme="minorHAnsi"/>
          <w:color w:val="000000" w:themeColor="text1"/>
          <w:lang w:val="es-ES" w:eastAsia="es-ES"/>
        </w:rPr>
      </w:pPr>
    </w:p>
    <w:p w14:paraId="502D7A01" w14:textId="77777777" w:rsidR="002A0123"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t xml:space="preserve">d) </w:t>
      </w:r>
      <w:r w:rsidRPr="006014C5">
        <w:rPr>
          <w:rFonts w:cstheme="minorHAnsi"/>
          <w:color w:val="000000" w:themeColor="text1"/>
          <w:lang w:val="es-ES" w:eastAsia="es-ES"/>
        </w:rPr>
        <w:t>En la plataforma virtual también dispondrá de guías generales que se encuentran en el material complementario de la sesión correspondiente para</w:t>
      </w:r>
      <w:r>
        <w:rPr>
          <w:rFonts w:cstheme="minorHAnsi"/>
          <w:color w:val="000000" w:themeColor="text1"/>
          <w:lang w:val="es-ES" w:eastAsia="es-ES"/>
        </w:rPr>
        <w:t xml:space="preserve"> la participación en un foro, </w:t>
      </w:r>
      <w:r w:rsidRPr="006014C5">
        <w:rPr>
          <w:rFonts w:cstheme="minorHAnsi"/>
          <w:color w:val="000000" w:themeColor="text1"/>
          <w:lang w:val="es-ES" w:eastAsia="es-ES"/>
        </w:rPr>
        <w:t>un glosario</w:t>
      </w:r>
      <w:r>
        <w:rPr>
          <w:rFonts w:cstheme="minorHAnsi"/>
          <w:color w:val="000000" w:themeColor="text1"/>
          <w:lang w:val="es-ES" w:eastAsia="es-ES"/>
        </w:rPr>
        <w:t xml:space="preserve"> y mediante la herramienta Big Blue </w:t>
      </w:r>
      <w:proofErr w:type="spellStart"/>
      <w:r>
        <w:rPr>
          <w:rFonts w:cstheme="minorHAnsi"/>
          <w:color w:val="000000" w:themeColor="text1"/>
          <w:lang w:val="es-ES" w:eastAsia="es-ES"/>
        </w:rPr>
        <w:t>Button</w:t>
      </w:r>
      <w:proofErr w:type="spellEnd"/>
      <w:r>
        <w:rPr>
          <w:rFonts w:cstheme="minorHAnsi"/>
          <w:color w:val="000000" w:themeColor="text1"/>
          <w:lang w:val="es-ES" w:eastAsia="es-ES"/>
        </w:rPr>
        <w:t xml:space="preserve"> en la plataforma Moodle; para</w:t>
      </w:r>
      <w:r w:rsidRPr="006014C5">
        <w:rPr>
          <w:rFonts w:cstheme="minorHAnsi"/>
          <w:color w:val="000000" w:themeColor="text1"/>
          <w:lang w:val="es-ES" w:eastAsia="es-ES"/>
        </w:rPr>
        <w:t xml:space="preserve"> la elaboración de un</w:t>
      </w:r>
      <w:r>
        <w:rPr>
          <w:rFonts w:cstheme="minorHAnsi"/>
          <w:color w:val="000000" w:themeColor="text1"/>
          <w:lang w:val="es-ES" w:eastAsia="es-ES"/>
        </w:rPr>
        <w:t xml:space="preserve"> diario reflexivo</w:t>
      </w:r>
      <w:r w:rsidRPr="006014C5">
        <w:rPr>
          <w:rFonts w:cstheme="minorHAnsi"/>
          <w:color w:val="000000" w:themeColor="text1"/>
          <w:lang w:val="es-ES" w:eastAsia="es-ES"/>
        </w:rPr>
        <w:t>; así como de guía</w:t>
      </w:r>
      <w:r>
        <w:rPr>
          <w:rFonts w:cstheme="minorHAnsi"/>
          <w:color w:val="000000" w:themeColor="text1"/>
          <w:lang w:val="es-ES" w:eastAsia="es-ES"/>
        </w:rPr>
        <w:t>s</w:t>
      </w:r>
      <w:r w:rsidRPr="006014C5">
        <w:rPr>
          <w:rFonts w:cstheme="minorHAnsi"/>
          <w:color w:val="000000" w:themeColor="text1"/>
          <w:lang w:val="es-ES" w:eastAsia="es-ES"/>
        </w:rPr>
        <w:t xml:space="preserve"> para </w:t>
      </w:r>
      <w:r>
        <w:rPr>
          <w:rFonts w:cstheme="minorHAnsi"/>
          <w:color w:val="000000" w:themeColor="text1"/>
          <w:lang w:val="es-ES" w:eastAsia="es-ES"/>
        </w:rPr>
        <w:t xml:space="preserve">las prácticas individuales de análisis de textos bíblicos, para el diseño de un taller de formación bíblica y para la autoevaluación y coevaluación </w:t>
      </w:r>
      <w:r w:rsidRPr="006014C5">
        <w:rPr>
          <w:rFonts w:cstheme="minorHAnsi"/>
          <w:color w:val="000000" w:themeColor="text1"/>
          <w:lang w:val="es-ES" w:eastAsia="es-ES"/>
        </w:rPr>
        <w:t>que se encuentra</w:t>
      </w:r>
      <w:r>
        <w:rPr>
          <w:rFonts w:cstheme="minorHAnsi"/>
          <w:color w:val="000000" w:themeColor="text1"/>
          <w:lang w:val="es-ES" w:eastAsia="es-ES"/>
        </w:rPr>
        <w:t>n</w:t>
      </w:r>
      <w:r w:rsidRPr="006014C5">
        <w:rPr>
          <w:rFonts w:cstheme="minorHAnsi"/>
          <w:color w:val="000000" w:themeColor="text1"/>
          <w:lang w:val="es-ES" w:eastAsia="es-ES"/>
        </w:rPr>
        <w:t xml:space="preserve"> en la sección de actividades de la sesión correspondiente.</w:t>
      </w:r>
    </w:p>
    <w:p w14:paraId="7BAE5B7D" w14:textId="77777777" w:rsidR="002A0123" w:rsidRDefault="002A0123" w:rsidP="008A2C19">
      <w:pPr>
        <w:spacing w:after="0"/>
        <w:jc w:val="both"/>
        <w:rPr>
          <w:rFonts w:cstheme="minorHAnsi"/>
          <w:color w:val="000000" w:themeColor="text1"/>
          <w:lang w:val="es-ES" w:eastAsia="es-ES"/>
        </w:rPr>
      </w:pPr>
    </w:p>
    <w:p w14:paraId="6AF8D686" w14:textId="77777777" w:rsidR="002A0123"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t xml:space="preserve">e) </w:t>
      </w:r>
      <w:r w:rsidRPr="006014C5">
        <w:rPr>
          <w:rFonts w:cstheme="minorHAnsi"/>
          <w:color w:val="000000" w:themeColor="text1"/>
          <w:lang w:val="es-ES" w:eastAsia="es-ES"/>
        </w:rPr>
        <w:t>También puede disponer de las bases de datos, revistas en línea, repositorios y buscadores especializados a los cuales puede acceder mediante la Biblioteca Enrique</w:t>
      </w:r>
      <w:r>
        <w:rPr>
          <w:rFonts w:cstheme="minorHAnsi"/>
          <w:color w:val="000000" w:themeColor="text1"/>
          <w:lang w:val="es-ES" w:eastAsia="es-ES"/>
        </w:rPr>
        <w:t xml:space="preserve"> </w:t>
      </w:r>
      <w:proofErr w:type="spellStart"/>
      <w:r w:rsidRPr="006014C5">
        <w:rPr>
          <w:rFonts w:cstheme="minorHAnsi"/>
          <w:color w:val="000000" w:themeColor="text1"/>
          <w:lang w:val="es-ES" w:eastAsia="es-ES"/>
        </w:rPr>
        <w:t>Strachan</w:t>
      </w:r>
      <w:proofErr w:type="spellEnd"/>
      <w:r w:rsidRPr="006014C5">
        <w:rPr>
          <w:rFonts w:cstheme="minorHAnsi"/>
          <w:color w:val="000000" w:themeColor="text1"/>
          <w:lang w:val="es-ES" w:eastAsia="es-ES"/>
        </w:rPr>
        <w:t xml:space="preserve"> (</w:t>
      </w:r>
      <w:hyperlink r:id="rId338" w:history="1">
        <w:r w:rsidRPr="006014C5">
          <w:rPr>
            <w:rStyle w:val="Hipervnculo"/>
            <w:rFonts w:cstheme="minorHAnsi"/>
            <w:lang w:val="es-ES" w:eastAsia="es-ES"/>
          </w:rPr>
          <w:t>https://www.ubl.ac.cr/biblioteca</w:t>
        </w:r>
      </w:hyperlink>
      <w:r w:rsidRPr="006014C5">
        <w:rPr>
          <w:rFonts w:cstheme="minorHAnsi"/>
          <w:color w:val="000000" w:themeColor="text1"/>
          <w:lang w:val="es-ES" w:eastAsia="es-ES"/>
        </w:rPr>
        <w:t>), así como consultar el Portal de Revistas de la UBL (</w:t>
      </w:r>
      <w:hyperlink r:id="rId339" w:history="1">
        <w:r w:rsidRPr="006014C5">
          <w:rPr>
            <w:rStyle w:val="Hipervnculo"/>
            <w:rFonts w:cstheme="minorHAnsi"/>
            <w:lang w:val="es-ES" w:eastAsia="es-ES"/>
          </w:rPr>
          <w:t>http://revistas.ubl.ac.cr/</w:t>
        </w:r>
      </w:hyperlink>
      <w:r w:rsidRPr="006014C5">
        <w:rPr>
          <w:rFonts w:cstheme="minorHAnsi"/>
          <w:color w:val="000000" w:themeColor="text1"/>
          <w:lang w:val="es-ES" w:eastAsia="es-ES"/>
        </w:rPr>
        <w:t>).</w:t>
      </w:r>
      <w:r>
        <w:rPr>
          <w:rFonts w:cstheme="minorHAnsi"/>
          <w:color w:val="000000" w:themeColor="text1"/>
          <w:lang w:val="es-ES" w:eastAsia="es-ES"/>
        </w:rPr>
        <w:t xml:space="preserve"> A través del correo de la biblioteca (</w:t>
      </w:r>
      <w:hyperlink r:id="rId340" w:history="1">
        <w:r w:rsidRPr="000F4298">
          <w:rPr>
            <w:rStyle w:val="Hipervnculo"/>
            <w:rFonts w:cstheme="minorHAnsi"/>
            <w:lang w:val="es-ES" w:eastAsia="es-ES"/>
          </w:rPr>
          <w:t>biblioteca@ubl.ac.cr</w:t>
        </w:r>
      </w:hyperlink>
      <w:r>
        <w:rPr>
          <w:rFonts w:cstheme="minorHAnsi"/>
          <w:color w:val="000000" w:themeColor="text1"/>
          <w:lang w:val="es-ES" w:eastAsia="es-ES"/>
        </w:rPr>
        <w:t xml:space="preserve">) puede solicitar recursos que se encuentren en la colección física. </w:t>
      </w:r>
    </w:p>
    <w:p w14:paraId="674AC64B" w14:textId="77777777" w:rsidR="002A0123" w:rsidRDefault="002A0123" w:rsidP="008A2C19">
      <w:pPr>
        <w:spacing w:after="0"/>
        <w:jc w:val="both"/>
        <w:rPr>
          <w:rFonts w:cstheme="minorHAnsi"/>
          <w:color w:val="000000" w:themeColor="text1"/>
          <w:lang w:val="es-ES" w:eastAsia="es-ES"/>
        </w:rPr>
      </w:pPr>
    </w:p>
    <w:p w14:paraId="3AA60F93" w14:textId="2D26E4A9" w:rsidR="002A0123" w:rsidRPr="00272314" w:rsidRDefault="002A0123" w:rsidP="008A2C19">
      <w:pPr>
        <w:spacing w:after="0"/>
        <w:jc w:val="both"/>
        <w:rPr>
          <w:rFonts w:cstheme="minorHAnsi"/>
          <w:color w:val="000000" w:themeColor="text1"/>
          <w:lang w:val="es-ES" w:eastAsia="es-ES"/>
        </w:rPr>
      </w:pPr>
      <w:r>
        <w:rPr>
          <w:rFonts w:cstheme="minorHAnsi"/>
          <w:color w:val="000000" w:themeColor="text1"/>
          <w:lang w:val="es-ES" w:eastAsia="es-ES"/>
        </w:rPr>
        <w:lastRenderedPageBreak/>
        <w:t>f</w:t>
      </w:r>
      <w:r w:rsidRPr="00272314">
        <w:rPr>
          <w:rFonts w:cstheme="minorHAnsi"/>
          <w:color w:val="000000" w:themeColor="text1"/>
          <w:lang w:val="es-ES" w:eastAsia="es-ES"/>
        </w:rPr>
        <w:t xml:space="preserve">) </w:t>
      </w:r>
      <w:r w:rsidRPr="00272314">
        <w:rPr>
          <w:rFonts w:cstheme="minorHAnsi"/>
          <w:bCs/>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cstheme="minorHAnsi"/>
          <w:bCs/>
        </w:rPr>
        <w:t>Bachillerato en Ciencias Bíblicas</w:t>
      </w:r>
      <w:r w:rsidRPr="00272314">
        <w:rPr>
          <w:rFonts w:cstheme="minorHAnsi"/>
          <w:bCs/>
        </w:rPr>
        <w:t xml:space="preserve">. Dicho espacio está disponible para todas las personas registradas en el campus virtual y se puede acceder a través del siguiente enlace: </w:t>
      </w:r>
      <w:hyperlink r:id="rId341" w:history="1">
        <w:r w:rsidRPr="00272314">
          <w:rPr>
            <w:rStyle w:val="Hipervnculo"/>
            <w:rFonts w:cstheme="minorHAnsi"/>
            <w:bCs/>
          </w:rPr>
          <w:t>https://campus.ubl.ac.cr/course/index.php?categoryid=186</w:t>
        </w:r>
      </w:hyperlink>
    </w:p>
    <w:p w14:paraId="0FB05C90" w14:textId="77777777" w:rsidR="002A0123" w:rsidRPr="00F242C9" w:rsidRDefault="002A0123" w:rsidP="008A2C19">
      <w:pPr>
        <w:spacing w:after="0"/>
        <w:jc w:val="both"/>
        <w:rPr>
          <w:rFonts w:cstheme="minorHAnsi"/>
          <w:color w:val="000000" w:themeColor="text1"/>
          <w:szCs w:val="24"/>
          <w:lang w:val="es-ES" w:eastAsia="es-ES"/>
        </w:rPr>
      </w:pPr>
    </w:p>
    <w:p w14:paraId="7BDBB1D6" w14:textId="77777777" w:rsidR="002A0123" w:rsidRDefault="002A0123" w:rsidP="008A2C19">
      <w:pPr>
        <w:spacing w:after="0"/>
        <w:jc w:val="both"/>
        <w:rPr>
          <w:rFonts w:cstheme="minorHAnsi"/>
          <w:color w:val="000000" w:themeColor="text1"/>
        </w:rPr>
      </w:pPr>
      <w:r>
        <w:rPr>
          <w:rFonts w:cstheme="minorHAnsi"/>
          <w:color w:val="000000" w:themeColor="text1"/>
          <w:lang w:val="es-ES" w:eastAsia="es-ES"/>
        </w:rPr>
        <w:t>g) Mediante el campus virtual accederá al espacio de soporte técnico, en el cual puede evacuar sus dudas o preguntas frecuentes y al correo electrónico para comunicarse con la persona docente.</w:t>
      </w:r>
    </w:p>
    <w:p w14:paraId="3642616B" w14:textId="77777777" w:rsidR="002A0123" w:rsidRPr="0023181B" w:rsidRDefault="002A0123" w:rsidP="002A0123">
      <w:pPr>
        <w:jc w:val="both"/>
        <w:rPr>
          <w:rFonts w:cstheme="minorHAnsi"/>
          <w:b/>
          <w:color w:val="000000" w:themeColor="text1"/>
        </w:rPr>
      </w:pPr>
      <w:r>
        <w:rPr>
          <w:rFonts w:cstheme="minorHAnsi"/>
          <w:b/>
          <w:bCs/>
          <w:color w:val="000000" w:themeColor="text1"/>
        </w:rPr>
        <w:br w:type="page"/>
      </w:r>
      <w:r w:rsidRPr="0023181B">
        <w:rPr>
          <w:rFonts w:cstheme="minorHAnsi"/>
          <w:b/>
          <w:bCs/>
          <w:color w:val="000000" w:themeColor="text1"/>
        </w:rPr>
        <w:lastRenderedPageBreak/>
        <w:t xml:space="preserve">VIII. Cronograma de trabajo </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118"/>
      </w:tblGrid>
      <w:tr w:rsidR="002A0123" w:rsidRPr="0023181B" w14:paraId="263232F5" w14:textId="77777777" w:rsidTr="00104785">
        <w:trPr>
          <w:trHeight w:val="531"/>
          <w:jc w:val="center"/>
        </w:trPr>
        <w:tc>
          <w:tcPr>
            <w:tcW w:w="1271" w:type="dxa"/>
            <w:vMerge w:val="restart"/>
            <w:vAlign w:val="center"/>
          </w:tcPr>
          <w:p w14:paraId="2BA01752" w14:textId="77777777" w:rsidR="002A0123" w:rsidRPr="00C303E8" w:rsidRDefault="002A0123" w:rsidP="00104785">
            <w:pPr>
              <w:spacing w:line="276" w:lineRule="auto"/>
              <w:ind w:right="34"/>
              <w:jc w:val="center"/>
              <w:rPr>
                <w:rFonts w:cstheme="minorHAnsi"/>
                <w:b/>
                <w:color w:val="000000" w:themeColor="text1"/>
                <w:szCs w:val="24"/>
              </w:rPr>
            </w:pPr>
            <w:r w:rsidRPr="00C303E8">
              <w:rPr>
                <w:rFonts w:cstheme="minorHAnsi"/>
                <w:b/>
                <w:color w:val="000000" w:themeColor="text1"/>
                <w:szCs w:val="24"/>
              </w:rPr>
              <w:t>Sesión</w:t>
            </w:r>
          </w:p>
          <w:p w14:paraId="37AB6946" w14:textId="77777777" w:rsidR="002A0123" w:rsidRPr="0016468C" w:rsidRDefault="002A0123" w:rsidP="00104785">
            <w:pPr>
              <w:spacing w:line="276" w:lineRule="auto"/>
              <w:jc w:val="center"/>
              <w:rPr>
                <w:rFonts w:cstheme="minorHAnsi"/>
                <w:b/>
                <w:color w:val="000000" w:themeColor="text1"/>
                <w:sz w:val="16"/>
                <w:szCs w:val="16"/>
              </w:rPr>
            </w:pPr>
            <w:r w:rsidRPr="00C303E8">
              <w:rPr>
                <w:rFonts w:cstheme="minorHAnsi"/>
                <w:b/>
                <w:color w:val="000000" w:themeColor="text1"/>
                <w:szCs w:val="24"/>
              </w:rPr>
              <w:t>(semana)</w:t>
            </w:r>
          </w:p>
        </w:tc>
        <w:tc>
          <w:tcPr>
            <w:tcW w:w="2410" w:type="dxa"/>
            <w:vMerge w:val="restart"/>
            <w:vAlign w:val="center"/>
          </w:tcPr>
          <w:p w14:paraId="45F27D05" w14:textId="77777777" w:rsidR="002A0123" w:rsidRPr="00026040" w:rsidRDefault="002A0123" w:rsidP="00104785">
            <w:pPr>
              <w:spacing w:line="276" w:lineRule="auto"/>
              <w:jc w:val="center"/>
              <w:rPr>
                <w:rFonts w:cstheme="minorHAnsi"/>
                <w:b/>
              </w:rPr>
            </w:pPr>
            <w:r w:rsidRPr="00026040">
              <w:rPr>
                <w:rFonts w:cstheme="minorHAnsi"/>
                <w:b/>
                <w:szCs w:val="24"/>
              </w:rPr>
              <w:t>Contenidos temáticos</w:t>
            </w:r>
          </w:p>
        </w:tc>
        <w:tc>
          <w:tcPr>
            <w:tcW w:w="5953" w:type="dxa"/>
            <w:gridSpan w:val="2"/>
            <w:vAlign w:val="center"/>
          </w:tcPr>
          <w:p w14:paraId="02B2F373" w14:textId="77777777" w:rsidR="002A0123" w:rsidRPr="00B17462" w:rsidRDefault="002A0123" w:rsidP="00104785">
            <w:pPr>
              <w:spacing w:line="276" w:lineRule="auto"/>
              <w:jc w:val="center"/>
              <w:rPr>
                <w:rFonts w:cstheme="minorHAnsi"/>
                <w:b/>
                <w:szCs w:val="24"/>
              </w:rPr>
            </w:pPr>
            <w:r w:rsidRPr="00B17462">
              <w:rPr>
                <w:rFonts w:cstheme="minorHAnsi"/>
                <w:b/>
                <w:szCs w:val="24"/>
              </w:rPr>
              <w:t>Actividades de enseñanza-aprendizaje</w:t>
            </w:r>
          </w:p>
        </w:tc>
      </w:tr>
      <w:tr w:rsidR="002A0123" w:rsidRPr="0023181B" w14:paraId="7DCE998B" w14:textId="77777777" w:rsidTr="00104785">
        <w:trPr>
          <w:trHeight w:val="553"/>
          <w:jc w:val="center"/>
        </w:trPr>
        <w:tc>
          <w:tcPr>
            <w:tcW w:w="1271" w:type="dxa"/>
            <w:vMerge/>
            <w:vAlign w:val="center"/>
          </w:tcPr>
          <w:p w14:paraId="6ED9B2FA" w14:textId="77777777" w:rsidR="002A0123" w:rsidRDefault="002A0123" w:rsidP="00104785">
            <w:pPr>
              <w:spacing w:line="276" w:lineRule="auto"/>
              <w:ind w:right="34"/>
              <w:jc w:val="center"/>
              <w:rPr>
                <w:rFonts w:cstheme="minorHAnsi"/>
                <w:b/>
                <w:color w:val="000000" w:themeColor="text1"/>
              </w:rPr>
            </w:pPr>
          </w:p>
        </w:tc>
        <w:tc>
          <w:tcPr>
            <w:tcW w:w="2410" w:type="dxa"/>
            <w:vMerge/>
            <w:vAlign w:val="center"/>
          </w:tcPr>
          <w:p w14:paraId="30B406B9" w14:textId="77777777" w:rsidR="002A0123" w:rsidRPr="00026040" w:rsidRDefault="002A0123" w:rsidP="00104785">
            <w:pPr>
              <w:spacing w:line="276" w:lineRule="auto"/>
              <w:jc w:val="center"/>
              <w:rPr>
                <w:rFonts w:cstheme="minorHAnsi"/>
                <w:b/>
              </w:rPr>
            </w:pPr>
          </w:p>
        </w:tc>
        <w:tc>
          <w:tcPr>
            <w:tcW w:w="2835" w:type="dxa"/>
            <w:vAlign w:val="center"/>
          </w:tcPr>
          <w:p w14:paraId="0572C240" w14:textId="77777777" w:rsidR="002A0123" w:rsidRPr="00B17462" w:rsidRDefault="002A0123" w:rsidP="00104785">
            <w:pPr>
              <w:spacing w:line="276" w:lineRule="auto"/>
              <w:jc w:val="center"/>
              <w:rPr>
                <w:rFonts w:cstheme="minorHAnsi"/>
                <w:b/>
                <w:szCs w:val="24"/>
              </w:rPr>
            </w:pPr>
            <w:r w:rsidRPr="00B17462">
              <w:rPr>
                <w:rFonts w:cstheme="minorHAnsi"/>
                <w:b/>
                <w:szCs w:val="24"/>
              </w:rPr>
              <w:t>Recursos didácticos</w:t>
            </w:r>
          </w:p>
        </w:tc>
        <w:tc>
          <w:tcPr>
            <w:tcW w:w="3118" w:type="dxa"/>
            <w:vAlign w:val="center"/>
          </w:tcPr>
          <w:p w14:paraId="1E92B8F7" w14:textId="77777777" w:rsidR="002A0123" w:rsidRPr="00B17462" w:rsidRDefault="002A0123" w:rsidP="00104785">
            <w:pPr>
              <w:spacing w:line="276" w:lineRule="auto"/>
              <w:jc w:val="center"/>
              <w:rPr>
                <w:rFonts w:cstheme="minorHAnsi"/>
                <w:b/>
                <w:szCs w:val="24"/>
              </w:rPr>
            </w:pPr>
            <w:r w:rsidRPr="00B17462">
              <w:rPr>
                <w:rFonts w:cstheme="minorHAnsi"/>
                <w:b/>
                <w:szCs w:val="24"/>
              </w:rPr>
              <w:t>Actividades de aprendizaje</w:t>
            </w:r>
          </w:p>
        </w:tc>
      </w:tr>
      <w:tr w:rsidR="002A0123" w:rsidRPr="0023181B" w14:paraId="4B844871" w14:textId="77777777" w:rsidTr="00104785">
        <w:trPr>
          <w:jc w:val="center"/>
        </w:trPr>
        <w:tc>
          <w:tcPr>
            <w:tcW w:w="1271" w:type="dxa"/>
          </w:tcPr>
          <w:p w14:paraId="79E56413" w14:textId="77777777" w:rsidR="002A0123" w:rsidRDefault="002A0123" w:rsidP="00104785">
            <w:pPr>
              <w:jc w:val="center"/>
              <w:rPr>
                <w:rFonts w:cstheme="minorHAnsi"/>
                <w:color w:val="000000" w:themeColor="text1"/>
              </w:rPr>
            </w:pPr>
          </w:p>
          <w:p w14:paraId="703D3365"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w:t>
            </w:r>
          </w:p>
          <w:p w14:paraId="76E9ABB0" w14:textId="77777777" w:rsidR="002A0123" w:rsidRPr="00D71ED1" w:rsidRDefault="002A0123" w:rsidP="00104785">
            <w:pPr>
              <w:jc w:val="center"/>
              <w:rPr>
                <w:rFonts w:cstheme="minorHAnsi"/>
                <w:color w:val="FF0000"/>
              </w:rPr>
            </w:pPr>
          </w:p>
        </w:tc>
        <w:tc>
          <w:tcPr>
            <w:tcW w:w="2410" w:type="dxa"/>
          </w:tcPr>
          <w:p w14:paraId="7D6C84D5" w14:textId="77777777" w:rsidR="002A0123" w:rsidRPr="00D232C4" w:rsidRDefault="002A0123" w:rsidP="00104785">
            <w:pPr>
              <w:rPr>
                <w:rFonts w:eastAsia="Calibri" w:cstheme="minorHAnsi"/>
                <w:b/>
                <w:bCs/>
              </w:rPr>
            </w:pPr>
            <w:r w:rsidRPr="00D232C4">
              <w:rPr>
                <w:rFonts w:eastAsia="Calibri" w:cstheme="minorHAnsi"/>
                <w:b/>
                <w:bCs/>
              </w:rPr>
              <w:t>Unidad 1: Métodos para el estudio de los textos bíblicos</w:t>
            </w:r>
          </w:p>
          <w:p w14:paraId="4730CFFF" w14:textId="77777777" w:rsidR="002A0123" w:rsidRPr="00026040" w:rsidRDefault="002A0123" w:rsidP="00104785">
            <w:pPr>
              <w:rPr>
                <w:rFonts w:eastAsia="Calibri" w:cstheme="minorHAnsi"/>
              </w:rPr>
            </w:pPr>
          </w:p>
          <w:p w14:paraId="36A843C7" w14:textId="77777777" w:rsidR="002A0123" w:rsidRPr="00026040" w:rsidRDefault="002A0123" w:rsidP="00104785">
            <w:pPr>
              <w:rPr>
                <w:rFonts w:eastAsia="Calibri" w:cstheme="minorHAnsi"/>
              </w:rPr>
            </w:pPr>
            <w:r w:rsidRPr="00026040">
              <w:rPr>
                <w:rFonts w:eastAsia="Calibri" w:cstheme="minorHAnsi"/>
              </w:rPr>
              <w:t>1.1 Introducción al curso</w:t>
            </w:r>
          </w:p>
        </w:tc>
        <w:tc>
          <w:tcPr>
            <w:tcW w:w="2835" w:type="dxa"/>
          </w:tcPr>
          <w:p w14:paraId="703CF079" w14:textId="77777777" w:rsidR="002A0123" w:rsidRDefault="002A0123" w:rsidP="00104785">
            <w:pPr>
              <w:rPr>
                <w:rFonts w:cs="Arial"/>
                <w:color w:val="0070C0"/>
              </w:rPr>
            </w:pPr>
            <w:r w:rsidRPr="00FC691F">
              <w:rPr>
                <w:rFonts w:cs="Arial"/>
                <w:color w:val="0070C0"/>
              </w:rPr>
              <w:t>Ruta de aprendizaje</w:t>
            </w:r>
          </w:p>
          <w:p w14:paraId="6CE24139" w14:textId="77777777" w:rsidR="002A0123" w:rsidRDefault="002A0123" w:rsidP="00104785">
            <w:pPr>
              <w:rPr>
                <w:rFonts w:cs="Arial"/>
                <w:color w:val="0070C0"/>
              </w:rPr>
            </w:pPr>
          </w:p>
          <w:p w14:paraId="3EED1DDF" w14:textId="77777777" w:rsidR="002A0123" w:rsidRDefault="002A0123" w:rsidP="00104785">
            <w:pPr>
              <w:rPr>
                <w:rFonts w:cs="Arial"/>
                <w:color w:val="0070C0"/>
              </w:rPr>
            </w:pPr>
          </w:p>
          <w:p w14:paraId="299FB8B9" w14:textId="77777777" w:rsidR="002A0123" w:rsidRDefault="002A0123" w:rsidP="00104785">
            <w:pPr>
              <w:rPr>
                <w:rFonts w:cstheme="minorHAnsi"/>
                <w:b/>
                <w:color w:val="0070C0"/>
              </w:rPr>
            </w:pPr>
            <w:r w:rsidRPr="00FC691F">
              <w:rPr>
                <w:rFonts w:cstheme="minorHAnsi"/>
                <w:b/>
                <w:color w:val="0070C0"/>
              </w:rPr>
              <w:t>Material complementario</w:t>
            </w:r>
          </w:p>
          <w:p w14:paraId="6F7E5A56" w14:textId="77777777" w:rsidR="002A0123" w:rsidRDefault="002A0123" w:rsidP="00104785">
            <w:pPr>
              <w:rPr>
                <w:rFonts w:cstheme="minorHAnsi"/>
                <w:b/>
                <w:color w:val="0070C0"/>
              </w:rPr>
            </w:pPr>
          </w:p>
          <w:p w14:paraId="5D5C79DF" w14:textId="77777777" w:rsidR="002A0123" w:rsidRDefault="002A0123" w:rsidP="00104785">
            <w:pPr>
              <w:rPr>
                <w:rFonts w:cstheme="minorHAnsi"/>
                <w:bCs/>
                <w:color w:val="0070C0"/>
              </w:rPr>
            </w:pPr>
            <w:r>
              <w:rPr>
                <w:rFonts w:cstheme="minorHAnsi"/>
                <w:bCs/>
                <w:color w:val="0070C0"/>
              </w:rPr>
              <w:t>Guía para la participación en un foro en la plataforma Moodle</w:t>
            </w:r>
          </w:p>
          <w:p w14:paraId="3FBC37C1" w14:textId="77777777" w:rsidR="002A0123" w:rsidRDefault="002A0123" w:rsidP="00104785">
            <w:pPr>
              <w:rPr>
                <w:rFonts w:cstheme="minorHAnsi"/>
                <w:bCs/>
                <w:color w:val="0070C0"/>
              </w:rPr>
            </w:pPr>
          </w:p>
          <w:p w14:paraId="32B3B57D" w14:textId="77777777" w:rsidR="002A0123" w:rsidRPr="00EE5049" w:rsidRDefault="002A0123" w:rsidP="00104785">
            <w:pPr>
              <w:rPr>
                <w:rFonts w:cs="Arial"/>
                <w:bCs/>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tc>
        <w:tc>
          <w:tcPr>
            <w:tcW w:w="3118" w:type="dxa"/>
          </w:tcPr>
          <w:p w14:paraId="3346561A"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social CAFETERIA.</w:t>
            </w:r>
          </w:p>
          <w:p w14:paraId="2C61E72F"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de dudas.</w:t>
            </w:r>
          </w:p>
          <w:p w14:paraId="42EEB158"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de discusión: Compartiendo experiencias con el estudio de la Biblia (formativo).</w:t>
            </w:r>
          </w:p>
          <w:p w14:paraId="5A164A71"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p w14:paraId="2432CA36" w14:textId="77777777" w:rsidR="002A0123" w:rsidRPr="00B17462" w:rsidRDefault="002A0123" w:rsidP="00104785">
            <w:pPr>
              <w:spacing w:after="200" w:line="276" w:lineRule="auto"/>
              <w:ind w:left="191" w:right="35"/>
              <w:contextualSpacing/>
              <w:rPr>
                <w:rFonts w:eastAsia="Calibri" w:cstheme="minorHAnsi"/>
              </w:rPr>
            </w:pPr>
          </w:p>
        </w:tc>
      </w:tr>
      <w:tr w:rsidR="002A0123" w:rsidRPr="0023181B" w14:paraId="274A4477" w14:textId="77777777" w:rsidTr="00104785">
        <w:trPr>
          <w:jc w:val="center"/>
        </w:trPr>
        <w:tc>
          <w:tcPr>
            <w:tcW w:w="1271" w:type="dxa"/>
          </w:tcPr>
          <w:p w14:paraId="2CDBF430" w14:textId="77777777" w:rsidR="002A0123" w:rsidRDefault="002A0123" w:rsidP="00104785">
            <w:pPr>
              <w:jc w:val="center"/>
              <w:rPr>
                <w:rFonts w:cstheme="minorHAnsi"/>
                <w:color w:val="000000" w:themeColor="text1"/>
              </w:rPr>
            </w:pPr>
          </w:p>
          <w:p w14:paraId="0D33A6D0" w14:textId="77777777" w:rsidR="002A0123" w:rsidRPr="00D71ED1" w:rsidRDefault="002A0123" w:rsidP="00104785">
            <w:pPr>
              <w:jc w:val="center"/>
              <w:rPr>
                <w:rFonts w:cstheme="minorHAnsi"/>
                <w:color w:val="000000" w:themeColor="text1"/>
              </w:rPr>
            </w:pPr>
            <w:r w:rsidRPr="00D71ED1">
              <w:rPr>
                <w:rFonts w:cstheme="minorHAnsi"/>
                <w:color w:val="000000" w:themeColor="text1"/>
              </w:rPr>
              <w:t>2</w:t>
            </w:r>
          </w:p>
          <w:p w14:paraId="11933715" w14:textId="77777777" w:rsidR="002A0123" w:rsidRPr="00D71ED1" w:rsidRDefault="002A0123" w:rsidP="00104785">
            <w:pPr>
              <w:jc w:val="center"/>
              <w:rPr>
                <w:rFonts w:cstheme="minorHAnsi"/>
                <w:color w:val="FF0000"/>
              </w:rPr>
            </w:pPr>
          </w:p>
        </w:tc>
        <w:tc>
          <w:tcPr>
            <w:tcW w:w="2410" w:type="dxa"/>
          </w:tcPr>
          <w:p w14:paraId="57B4D8F9" w14:textId="77777777" w:rsidR="002A0123" w:rsidRPr="00D232C4" w:rsidRDefault="002A0123" w:rsidP="00104785">
            <w:pPr>
              <w:rPr>
                <w:rFonts w:eastAsia="Calibri" w:cstheme="minorHAnsi"/>
                <w:b/>
                <w:bCs/>
              </w:rPr>
            </w:pPr>
            <w:r w:rsidRPr="00D232C4">
              <w:rPr>
                <w:rFonts w:eastAsia="Calibri" w:cstheme="minorHAnsi"/>
                <w:b/>
                <w:bCs/>
              </w:rPr>
              <w:t>Unidad 1: Métodos para el estudio de los textos bíblicos</w:t>
            </w:r>
          </w:p>
          <w:p w14:paraId="4FF4B913" w14:textId="77777777" w:rsidR="002A0123" w:rsidRPr="00026040" w:rsidRDefault="002A0123" w:rsidP="00104785">
            <w:pPr>
              <w:rPr>
                <w:rFonts w:eastAsia="Calibri" w:cstheme="minorHAnsi"/>
              </w:rPr>
            </w:pPr>
          </w:p>
          <w:p w14:paraId="42DC02CA" w14:textId="062A8695" w:rsidR="002A0123" w:rsidRPr="00026040" w:rsidRDefault="002A0123" w:rsidP="008A2C19">
            <w:pPr>
              <w:rPr>
                <w:rFonts w:eastAsia="Calibri" w:cstheme="minorHAnsi"/>
              </w:rPr>
            </w:pPr>
            <w:r w:rsidRPr="00026040">
              <w:rPr>
                <w:rFonts w:eastAsia="Calibri" w:cstheme="minorHAnsi"/>
              </w:rPr>
              <w:t>1.2 Práctica diagnóstica</w:t>
            </w:r>
          </w:p>
        </w:tc>
        <w:tc>
          <w:tcPr>
            <w:tcW w:w="2835" w:type="dxa"/>
          </w:tcPr>
          <w:p w14:paraId="0D63E2D1" w14:textId="77777777" w:rsidR="002A0123" w:rsidRDefault="002A0123" w:rsidP="00104785">
            <w:pPr>
              <w:rPr>
                <w:rFonts w:cs="Arial"/>
                <w:color w:val="0070C0"/>
              </w:rPr>
            </w:pPr>
            <w:r w:rsidRPr="00FC691F">
              <w:rPr>
                <w:rFonts w:cs="Arial"/>
                <w:color w:val="0070C0"/>
              </w:rPr>
              <w:t>Ruta de aprendizaje</w:t>
            </w:r>
          </w:p>
          <w:p w14:paraId="4C0120D3" w14:textId="77777777" w:rsidR="002A0123" w:rsidRDefault="002A0123" w:rsidP="00104785">
            <w:pPr>
              <w:rPr>
                <w:rFonts w:cs="Arial"/>
                <w:color w:val="0070C0"/>
              </w:rPr>
            </w:pPr>
          </w:p>
          <w:p w14:paraId="625521A1" w14:textId="77777777" w:rsidR="002A0123" w:rsidRPr="00B17462" w:rsidRDefault="002A0123" w:rsidP="00104785">
            <w:pPr>
              <w:rPr>
                <w:rFonts w:eastAsia="Calibri" w:cstheme="minorHAnsi"/>
              </w:rPr>
            </w:pPr>
          </w:p>
        </w:tc>
        <w:tc>
          <w:tcPr>
            <w:tcW w:w="3118" w:type="dxa"/>
          </w:tcPr>
          <w:p w14:paraId="76F81BAA"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un ejercicio de estudio de textos bíblicos.</w:t>
            </w:r>
          </w:p>
        </w:tc>
      </w:tr>
      <w:tr w:rsidR="002A0123" w:rsidRPr="0023181B" w14:paraId="01663529" w14:textId="77777777" w:rsidTr="00104785">
        <w:trPr>
          <w:jc w:val="center"/>
        </w:trPr>
        <w:tc>
          <w:tcPr>
            <w:tcW w:w="1271" w:type="dxa"/>
          </w:tcPr>
          <w:p w14:paraId="67315EDF" w14:textId="77777777" w:rsidR="002A0123" w:rsidRDefault="002A0123" w:rsidP="00104785">
            <w:pPr>
              <w:jc w:val="center"/>
              <w:rPr>
                <w:rFonts w:cstheme="minorHAnsi"/>
                <w:color w:val="000000" w:themeColor="text1"/>
              </w:rPr>
            </w:pPr>
          </w:p>
          <w:p w14:paraId="6C118273" w14:textId="77777777" w:rsidR="002A0123" w:rsidRPr="00D71ED1" w:rsidRDefault="002A0123" w:rsidP="00104785">
            <w:pPr>
              <w:jc w:val="center"/>
              <w:rPr>
                <w:rFonts w:cstheme="minorHAnsi"/>
                <w:color w:val="000000" w:themeColor="text1"/>
              </w:rPr>
            </w:pPr>
            <w:r w:rsidRPr="00D71ED1">
              <w:rPr>
                <w:rFonts w:cstheme="minorHAnsi"/>
                <w:color w:val="000000" w:themeColor="text1"/>
              </w:rPr>
              <w:t>3</w:t>
            </w:r>
          </w:p>
          <w:p w14:paraId="76C67620" w14:textId="77777777" w:rsidR="002A0123" w:rsidRPr="00D71ED1" w:rsidRDefault="002A0123" w:rsidP="00104785">
            <w:pPr>
              <w:jc w:val="center"/>
              <w:rPr>
                <w:rFonts w:cstheme="minorHAnsi"/>
                <w:color w:val="000000" w:themeColor="text1"/>
              </w:rPr>
            </w:pPr>
          </w:p>
        </w:tc>
        <w:tc>
          <w:tcPr>
            <w:tcW w:w="2410" w:type="dxa"/>
          </w:tcPr>
          <w:p w14:paraId="36AEAFAC" w14:textId="77777777" w:rsidR="002A0123" w:rsidRPr="00D232C4" w:rsidRDefault="002A0123" w:rsidP="00104785">
            <w:pPr>
              <w:rPr>
                <w:rFonts w:eastAsia="Calibri" w:cstheme="minorHAnsi"/>
                <w:b/>
                <w:bCs/>
              </w:rPr>
            </w:pPr>
            <w:r w:rsidRPr="00D232C4">
              <w:rPr>
                <w:rFonts w:eastAsia="Calibri" w:cstheme="minorHAnsi"/>
                <w:b/>
                <w:bCs/>
              </w:rPr>
              <w:t>Unidad 1: Métodos para el estudio de los textos bíblicos</w:t>
            </w:r>
          </w:p>
          <w:p w14:paraId="669631AC" w14:textId="77777777" w:rsidR="002A0123" w:rsidRPr="00026040" w:rsidRDefault="002A0123" w:rsidP="00104785">
            <w:pPr>
              <w:rPr>
                <w:rFonts w:eastAsia="Calibri" w:cstheme="minorHAnsi"/>
              </w:rPr>
            </w:pPr>
          </w:p>
          <w:p w14:paraId="2AFC8BAC" w14:textId="77777777" w:rsidR="002A0123" w:rsidRPr="00026040" w:rsidRDefault="002A0123" w:rsidP="00104785">
            <w:pPr>
              <w:rPr>
                <w:rFonts w:eastAsia="Calibri" w:cstheme="minorHAnsi"/>
              </w:rPr>
            </w:pPr>
            <w:r w:rsidRPr="00026040">
              <w:rPr>
                <w:rFonts w:eastAsia="Calibri" w:cstheme="minorHAnsi"/>
              </w:rPr>
              <w:t>1.3 Introducción a los métodos históricos</w:t>
            </w:r>
          </w:p>
          <w:p w14:paraId="35870673" w14:textId="77777777" w:rsidR="002A0123" w:rsidRPr="00026040" w:rsidRDefault="002A0123" w:rsidP="00104785">
            <w:pPr>
              <w:rPr>
                <w:rFonts w:eastAsia="Calibri" w:cstheme="minorHAnsi"/>
                <w:strike/>
              </w:rPr>
            </w:pPr>
          </w:p>
        </w:tc>
        <w:tc>
          <w:tcPr>
            <w:tcW w:w="2835" w:type="dxa"/>
          </w:tcPr>
          <w:p w14:paraId="180F2FC3" w14:textId="77777777" w:rsidR="002A0123" w:rsidRDefault="002A0123" w:rsidP="00104785">
            <w:pPr>
              <w:spacing w:after="120" w:line="276" w:lineRule="auto"/>
              <w:rPr>
                <w:rFonts w:cstheme="minorHAnsi"/>
              </w:rPr>
            </w:pPr>
            <w:r w:rsidRPr="00FC691F">
              <w:rPr>
                <w:rFonts w:cs="Arial"/>
                <w:color w:val="0070C0"/>
              </w:rPr>
              <w:t>Ruta de aprendizaje</w:t>
            </w:r>
          </w:p>
          <w:p w14:paraId="19A81858" w14:textId="77777777" w:rsidR="002A0123" w:rsidRPr="00B17462" w:rsidRDefault="002A0123" w:rsidP="00104785">
            <w:pPr>
              <w:spacing w:after="120" w:line="276" w:lineRule="auto"/>
              <w:rPr>
                <w:rFonts w:cstheme="minorHAnsi"/>
              </w:rPr>
            </w:pPr>
            <w:r w:rsidRPr="00B17462">
              <w:rPr>
                <w:rFonts w:cstheme="minorHAnsi"/>
              </w:rPr>
              <w:t xml:space="preserve">López, </w:t>
            </w:r>
            <w:proofErr w:type="spellStart"/>
            <w:r w:rsidRPr="00B17462">
              <w:rPr>
                <w:rFonts w:cstheme="minorHAnsi"/>
              </w:rPr>
              <w:t>Ediberto</w:t>
            </w:r>
            <w:proofErr w:type="spellEnd"/>
            <w:r w:rsidRPr="00B17462">
              <w:rPr>
                <w:rFonts w:cstheme="minorHAnsi"/>
              </w:rPr>
              <w:t xml:space="preserve">. “El texto en su trasfondo histórico”. En </w:t>
            </w:r>
            <w:r w:rsidRPr="00B17462">
              <w:rPr>
                <w:rFonts w:cstheme="minorHAnsi"/>
                <w:i/>
              </w:rPr>
              <w:t xml:space="preserve">Para que comprendiesen las Escrituras: introducción a los métodos exegéticos, </w:t>
            </w:r>
            <w:r w:rsidRPr="00B17462">
              <w:rPr>
                <w:rFonts w:cstheme="minorHAnsi"/>
              </w:rPr>
              <w:t>77-133.</w:t>
            </w:r>
            <w:r w:rsidRPr="00B17462">
              <w:rPr>
                <w:rFonts w:cstheme="minorHAnsi"/>
                <w:i/>
              </w:rPr>
              <w:t xml:space="preserve"> </w:t>
            </w:r>
            <w:r w:rsidRPr="00B17462">
              <w:rPr>
                <w:rFonts w:cstheme="minorHAnsi"/>
              </w:rPr>
              <w:t xml:space="preserve">San Juan: Seminario Evangélico de Puerto Rico, 2003. </w:t>
            </w:r>
            <w:r w:rsidRPr="00DF4C00">
              <w:rPr>
                <w:rFonts w:cstheme="minorHAnsi"/>
                <w:color w:val="0070C0"/>
              </w:rPr>
              <w:t>(clásico, última edición)</w:t>
            </w:r>
          </w:p>
          <w:p w14:paraId="60BAACE7" w14:textId="77777777" w:rsidR="002A0123" w:rsidRPr="00B17462" w:rsidRDefault="002A0123" w:rsidP="00104785">
            <w:pPr>
              <w:spacing w:after="120" w:line="276" w:lineRule="auto"/>
              <w:rPr>
                <w:rFonts w:cstheme="minorHAnsi"/>
                <w:b/>
              </w:rPr>
            </w:pPr>
            <w:r w:rsidRPr="00B17462">
              <w:rPr>
                <w:rFonts w:cstheme="minorHAnsi"/>
                <w:b/>
              </w:rPr>
              <w:t>Material complementario</w:t>
            </w:r>
          </w:p>
          <w:p w14:paraId="7487F7F3" w14:textId="77777777" w:rsidR="002A0123" w:rsidRPr="00B17462" w:rsidRDefault="002A0123" w:rsidP="00104785">
            <w:pPr>
              <w:spacing w:after="120" w:line="276" w:lineRule="auto"/>
              <w:rPr>
                <w:shd w:val="clear" w:color="auto" w:fill="FFFFFF"/>
                <w:lang w:val="es-ES"/>
              </w:rPr>
            </w:pPr>
            <w:proofErr w:type="spellStart"/>
            <w:r w:rsidRPr="3573A970">
              <w:rPr>
                <w:shd w:val="clear" w:color="auto" w:fill="FFFFFF"/>
                <w:lang w:val="es-ES"/>
              </w:rPr>
              <w:lastRenderedPageBreak/>
              <w:t>Gloor</w:t>
            </w:r>
            <w:proofErr w:type="spellEnd"/>
            <w:r w:rsidRPr="3573A970">
              <w:rPr>
                <w:shd w:val="clear" w:color="auto" w:fill="FFFFFF"/>
                <w:lang w:val="es-ES"/>
              </w:rPr>
              <w:t xml:space="preserve">, Daniel. “El método histórico-crítico”. </w:t>
            </w:r>
            <w:r w:rsidRPr="3573A970">
              <w:rPr>
                <w:i/>
                <w:iCs/>
                <w:shd w:val="clear" w:color="auto" w:fill="FFFFFF"/>
                <w:lang w:val="es-ES"/>
              </w:rPr>
              <w:t>Aportes Bíblicos</w:t>
            </w:r>
            <w:r w:rsidRPr="3573A970">
              <w:rPr>
                <w:shd w:val="clear" w:color="auto" w:fill="FFFFFF"/>
                <w:lang w:val="es-ES"/>
              </w:rPr>
              <w:t>, n. 22(2016): 5-72.</w:t>
            </w:r>
          </w:p>
          <w:p w14:paraId="1F4023E9" w14:textId="77777777" w:rsidR="002A0123" w:rsidRDefault="002A0123" w:rsidP="00104785">
            <w:pPr>
              <w:spacing w:after="120" w:line="276" w:lineRule="auto"/>
              <w:rPr>
                <w:rFonts w:eastAsia="Calibri" w:cstheme="minorHAnsi"/>
                <w:color w:val="0070C0"/>
              </w:rPr>
            </w:pPr>
            <w:r>
              <w:rPr>
                <w:rFonts w:eastAsia="Calibri" w:cstheme="minorHAnsi"/>
                <w:color w:val="0070C0"/>
              </w:rPr>
              <w:t>Guía para la participación en un foro en la plataforma Moodle</w:t>
            </w:r>
          </w:p>
          <w:p w14:paraId="7AAE5438" w14:textId="77777777" w:rsidR="002A0123" w:rsidRDefault="002A0123" w:rsidP="00104785">
            <w:pPr>
              <w:spacing w:after="120" w:line="276" w:lineRule="auto"/>
              <w:rPr>
                <w:rFonts w:eastAsia="Calibri" w:cstheme="minorHAnsi"/>
                <w:color w:val="0070C0"/>
              </w:rPr>
            </w:pPr>
            <w:r>
              <w:rPr>
                <w:rFonts w:eastAsia="Calibri" w:cstheme="minorHAnsi"/>
                <w:color w:val="0070C0"/>
              </w:rPr>
              <w:t>Guía para la elaboración de un diario reflexivo</w:t>
            </w:r>
          </w:p>
          <w:p w14:paraId="0CE1D97D" w14:textId="77777777" w:rsidR="002A0123" w:rsidRPr="007209D5" w:rsidRDefault="002A0123" w:rsidP="00104785">
            <w:pPr>
              <w:spacing w:after="120" w:line="276" w:lineRule="auto"/>
              <w:rPr>
                <w:rFonts w:eastAsia="Calibri" w:cstheme="minorHAnsi"/>
                <w:color w:val="0070C0"/>
              </w:rPr>
            </w:pPr>
            <w:r>
              <w:rPr>
                <w:rFonts w:eastAsia="Calibri" w:cstheme="minorHAnsi"/>
                <w:color w:val="0070C0"/>
              </w:rPr>
              <w:t xml:space="preserve">Guía para la participación mediante la herramienta Big Blue </w:t>
            </w:r>
            <w:proofErr w:type="spellStart"/>
            <w:r>
              <w:rPr>
                <w:rFonts w:eastAsia="Calibri" w:cstheme="minorHAnsi"/>
                <w:color w:val="0070C0"/>
              </w:rPr>
              <w:t>Button</w:t>
            </w:r>
            <w:proofErr w:type="spellEnd"/>
            <w:r>
              <w:rPr>
                <w:rFonts w:eastAsia="Calibri" w:cstheme="minorHAnsi"/>
                <w:color w:val="0070C0"/>
              </w:rPr>
              <w:t xml:space="preserve"> en la plataforma Moodle</w:t>
            </w:r>
          </w:p>
        </w:tc>
        <w:tc>
          <w:tcPr>
            <w:tcW w:w="3118" w:type="dxa"/>
          </w:tcPr>
          <w:p w14:paraId="4F614EAD"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lastRenderedPageBreak/>
              <w:t>Participación en el foro temático: La historia del texto y su valor para la interpretación.</w:t>
            </w:r>
          </w:p>
          <w:p w14:paraId="63141A83"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Iniciar la elaboración del diario reflexivo.</w:t>
            </w:r>
          </w:p>
          <w:p w14:paraId="154A015D"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p w14:paraId="5323043B" w14:textId="77777777" w:rsidR="002A0123" w:rsidRPr="00B17462" w:rsidRDefault="002A0123" w:rsidP="00104785">
            <w:pPr>
              <w:spacing w:after="200" w:line="276" w:lineRule="auto"/>
              <w:ind w:left="191" w:right="35"/>
              <w:contextualSpacing/>
              <w:rPr>
                <w:rFonts w:eastAsia="Calibri" w:cstheme="minorHAnsi"/>
              </w:rPr>
            </w:pPr>
          </w:p>
        </w:tc>
      </w:tr>
      <w:tr w:rsidR="002A0123" w:rsidRPr="0023181B" w14:paraId="023EDA21" w14:textId="77777777" w:rsidTr="00104785">
        <w:trPr>
          <w:jc w:val="center"/>
        </w:trPr>
        <w:tc>
          <w:tcPr>
            <w:tcW w:w="1271" w:type="dxa"/>
          </w:tcPr>
          <w:p w14:paraId="491224AF" w14:textId="77777777" w:rsidR="002A0123" w:rsidRDefault="002A0123" w:rsidP="00104785">
            <w:pPr>
              <w:jc w:val="center"/>
              <w:rPr>
                <w:rFonts w:cstheme="minorHAnsi"/>
                <w:color w:val="000000" w:themeColor="text1"/>
              </w:rPr>
            </w:pPr>
          </w:p>
          <w:p w14:paraId="58162FA8" w14:textId="77777777" w:rsidR="002A0123" w:rsidRPr="00D71ED1" w:rsidRDefault="002A0123" w:rsidP="00104785">
            <w:pPr>
              <w:jc w:val="center"/>
              <w:rPr>
                <w:rFonts w:cstheme="minorHAnsi"/>
                <w:color w:val="000000" w:themeColor="text1"/>
              </w:rPr>
            </w:pPr>
            <w:r w:rsidRPr="00D71ED1">
              <w:rPr>
                <w:rFonts w:cstheme="minorHAnsi"/>
                <w:color w:val="000000" w:themeColor="text1"/>
              </w:rPr>
              <w:t>4</w:t>
            </w:r>
          </w:p>
          <w:p w14:paraId="662F1C6A" w14:textId="77777777" w:rsidR="002A0123" w:rsidRPr="00D71ED1" w:rsidRDefault="002A0123" w:rsidP="00104785">
            <w:pPr>
              <w:jc w:val="center"/>
              <w:rPr>
                <w:rFonts w:cstheme="minorHAnsi"/>
                <w:color w:val="FF0000"/>
              </w:rPr>
            </w:pPr>
          </w:p>
        </w:tc>
        <w:tc>
          <w:tcPr>
            <w:tcW w:w="2410" w:type="dxa"/>
          </w:tcPr>
          <w:p w14:paraId="38620D4A" w14:textId="77777777" w:rsidR="002A0123" w:rsidRPr="00D232C4" w:rsidRDefault="002A0123" w:rsidP="00104785">
            <w:pPr>
              <w:rPr>
                <w:rFonts w:eastAsia="Calibri" w:cstheme="minorHAnsi"/>
                <w:b/>
                <w:bCs/>
              </w:rPr>
            </w:pPr>
            <w:r w:rsidRPr="00D232C4">
              <w:rPr>
                <w:rFonts w:eastAsia="Calibri" w:cstheme="minorHAnsi"/>
                <w:b/>
                <w:bCs/>
              </w:rPr>
              <w:t>Unidad 1: Métodos para el estudio de los textos bíblicos</w:t>
            </w:r>
          </w:p>
          <w:p w14:paraId="24A49040" w14:textId="77777777" w:rsidR="002A0123" w:rsidRPr="00026040" w:rsidRDefault="002A0123" w:rsidP="00104785">
            <w:pPr>
              <w:rPr>
                <w:rFonts w:eastAsia="Calibri" w:cstheme="minorHAnsi"/>
              </w:rPr>
            </w:pPr>
          </w:p>
          <w:p w14:paraId="583E9BD9" w14:textId="77777777" w:rsidR="002A0123" w:rsidRPr="00026040" w:rsidRDefault="002A0123" w:rsidP="00104785">
            <w:pPr>
              <w:rPr>
                <w:rFonts w:eastAsia="Calibri" w:cstheme="minorHAnsi"/>
              </w:rPr>
            </w:pPr>
            <w:r w:rsidRPr="00026040">
              <w:rPr>
                <w:rFonts w:eastAsia="Calibri" w:cstheme="minorHAnsi"/>
              </w:rPr>
              <w:t>1.4 Introducción a los métodos sincrónicos</w:t>
            </w:r>
          </w:p>
        </w:tc>
        <w:tc>
          <w:tcPr>
            <w:tcW w:w="2835" w:type="dxa"/>
          </w:tcPr>
          <w:p w14:paraId="74EDC14D" w14:textId="77777777" w:rsidR="002A0123" w:rsidRDefault="002A0123" w:rsidP="00104785">
            <w:pPr>
              <w:spacing w:after="120" w:line="276" w:lineRule="auto"/>
              <w:rPr>
                <w:rFonts w:cstheme="minorHAnsi"/>
              </w:rPr>
            </w:pPr>
            <w:r w:rsidRPr="00FC691F">
              <w:rPr>
                <w:rFonts w:cs="Arial"/>
                <w:color w:val="0070C0"/>
              </w:rPr>
              <w:t>Ruta de aprendizaje</w:t>
            </w:r>
          </w:p>
          <w:p w14:paraId="601D8F45" w14:textId="77777777" w:rsidR="002A0123" w:rsidRPr="00B17462" w:rsidRDefault="002A0123" w:rsidP="00104785">
            <w:pPr>
              <w:spacing w:after="120" w:line="276" w:lineRule="auto"/>
              <w:rPr>
                <w:rFonts w:cstheme="minorHAnsi"/>
              </w:rPr>
            </w:pPr>
            <w:proofErr w:type="spellStart"/>
            <w:r w:rsidRPr="00B17462">
              <w:rPr>
                <w:rFonts w:cstheme="minorHAnsi"/>
              </w:rPr>
              <w:t>Gloor</w:t>
            </w:r>
            <w:proofErr w:type="spellEnd"/>
            <w:r w:rsidRPr="00B17462">
              <w:rPr>
                <w:rFonts w:cstheme="minorHAnsi"/>
              </w:rPr>
              <w:t xml:space="preserve">, Daniel. “Una exégesis ecléctica en doce pasos”. </w:t>
            </w:r>
            <w:r w:rsidRPr="00B17462">
              <w:rPr>
                <w:rFonts w:cstheme="minorHAnsi"/>
                <w:i/>
              </w:rPr>
              <w:t xml:space="preserve">Vida y Pensamiento 33-34, </w:t>
            </w:r>
            <w:r w:rsidRPr="00B17462">
              <w:rPr>
                <w:rFonts w:cstheme="minorHAnsi"/>
              </w:rPr>
              <w:t>n. 2-1 (2013): pp.93-124.</w:t>
            </w:r>
          </w:p>
          <w:p w14:paraId="690E4446" w14:textId="77777777" w:rsidR="002A0123" w:rsidRPr="00B17462" w:rsidRDefault="002A0123" w:rsidP="00104785">
            <w:pPr>
              <w:rPr>
                <w:rFonts w:cs="Arial"/>
                <w:szCs w:val="21"/>
              </w:rPr>
            </w:pPr>
            <w:r w:rsidRPr="00B17462">
              <w:rPr>
                <w:rFonts w:cs="Arial"/>
                <w:szCs w:val="21"/>
              </w:rPr>
              <w:t xml:space="preserve">Galarza, </w:t>
            </w:r>
            <w:proofErr w:type="spellStart"/>
            <w:r w:rsidRPr="00B17462">
              <w:rPr>
                <w:rFonts w:cs="Arial"/>
                <w:szCs w:val="21"/>
              </w:rPr>
              <w:t>Heydi</w:t>
            </w:r>
            <w:proofErr w:type="spellEnd"/>
            <w:r w:rsidRPr="00B17462">
              <w:rPr>
                <w:rFonts w:cs="Arial"/>
                <w:szCs w:val="21"/>
              </w:rPr>
              <w:t xml:space="preserve">. “Agar e Ismael. Un estudio de Génesis 21.1-21”. </w:t>
            </w:r>
            <w:r w:rsidRPr="00B17462">
              <w:rPr>
                <w:rFonts w:cs="Arial"/>
                <w:i/>
                <w:szCs w:val="21"/>
              </w:rPr>
              <w:t>Aportes Bíblicos 9</w:t>
            </w:r>
            <w:r w:rsidRPr="00B17462">
              <w:rPr>
                <w:rFonts w:cs="Arial"/>
                <w:szCs w:val="21"/>
              </w:rPr>
              <w:t>, 2009: pp.5-29.</w:t>
            </w:r>
          </w:p>
          <w:p w14:paraId="635E1515" w14:textId="77777777" w:rsidR="002A0123" w:rsidRPr="00B17462" w:rsidRDefault="002A0123" w:rsidP="00104785">
            <w:pPr>
              <w:rPr>
                <w:rFonts w:cs="Arial"/>
                <w:sz w:val="21"/>
                <w:szCs w:val="21"/>
              </w:rPr>
            </w:pPr>
          </w:p>
          <w:p w14:paraId="2B5BB6CC" w14:textId="77777777" w:rsidR="002A0123" w:rsidRDefault="002A0123" w:rsidP="00104785">
            <w:pPr>
              <w:rPr>
                <w:rFonts w:cstheme="minorHAnsi"/>
              </w:rPr>
            </w:pPr>
            <w:r w:rsidRPr="00B17462">
              <w:rPr>
                <w:rFonts w:cstheme="minorHAnsi"/>
              </w:rPr>
              <w:t xml:space="preserve">Jara, Miguel. “Conflicto y reconciliación. </w:t>
            </w:r>
            <w:proofErr w:type="spellStart"/>
            <w:r w:rsidRPr="00B17462">
              <w:rPr>
                <w:rFonts w:cstheme="minorHAnsi"/>
              </w:rPr>
              <w:t>Gn</w:t>
            </w:r>
            <w:proofErr w:type="spellEnd"/>
            <w:r w:rsidRPr="00B17462">
              <w:rPr>
                <w:rFonts w:cstheme="minorHAnsi"/>
              </w:rPr>
              <w:t xml:space="preserve"> 33,1-17”. </w:t>
            </w:r>
            <w:r w:rsidRPr="00B17462">
              <w:rPr>
                <w:rFonts w:cstheme="minorHAnsi"/>
                <w:i/>
              </w:rPr>
              <w:t xml:space="preserve">Aportes Bíblicos 12, </w:t>
            </w:r>
            <w:r w:rsidRPr="00B17462">
              <w:rPr>
                <w:rFonts w:cstheme="minorHAnsi"/>
              </w:rPr>
              <w:t>2011: pp. 4-36.</w:t>
            </w:r>
          </w:p>
          <w:p w14:paraId="788086B9" w14:textId="77777777" w:rsidR="002A0123" w:rsidRDefault="002A0123" w:rsidP="00104785">
            <w:pPr>
              <w:rPr>
                <w:rFonts w:cstheme="minorHAnsi"/>
              </w:rPr>
            </w:pPr>
          </w:p>
          <w:p w14:paraId="75BD6682" w14:textId="77777777" w:rsidR="002A0123" w:rsidRDefault="002A0123" w:rsidP="00104785">
            <w:pPr>
              <w:rPr>
                <w:rFonts w:cstheme="minorHAnsi"/>
                <w:b/>
                <w:color w:val="0070C0"/>
              </w:rPr>
            </w:pPr>
            <w:r w:rsidRPr="00FC691F">
              <w:rPr>
                <w:rFonts w:cstheme="minorHAnsi"/>
                <w:b/>
                <w:color w:val="0070C0"/>
              </w:rPr>
              <w:t>Material complementario</w:t>
            </w:r>
          </w:p>
          <w:p w14:paraId="7E127A71" w14:textId="77777777" w:rsidR="002A0123" w:rsidRDefault="002A0123" w:rsidP="00104785">
            <w:pPr>
              <w:rPr>
                <w:rFonts w:cstheme="minorHAnsi"/>
                <w:b/>
                <w:color w:val="0070C0"/>
              </w:rPr>
            </w:pPr>
          </w:p>
          <w:p w14:paraId="25F02C93" w14:textId="77777777" w:rsidR="002A0123" w:rsidRPr="00816DAF" w:rsidRDefault="002A0123" w:rsidP="00104785">
            <w:pPr>
              <w:rPr>
                <w:rFonts w:cstheme="minorHAnsi"/>
                <w:bCs/>
              </w:rPr>
            </w:pPr>
            <w:r>
              <w:rPr>
                <w:rFonts w:cstheme="minorHAnsi"/>
                <w:bCs/>
                <w:color w:val="0070C0"/>
              </w:rPr>
              <w:t>Guía para la participación en un glosario en la plataforma Moodle</w:t>
            </w:r>
          </w:p>
          <w:p w14:paraId="09EAD00F" w14:textId="77777777" w:rsidR="002A0123" w:rsidRPr="00B17462" w:rsidRDefault="002A0123" w:rsidP="00104785">
            <w:pPr>
              <w:rPr>
                <w:rFonts w:cs="Arial"/>
                <w:sz w:val="21"/>
                <w:szCs w:val="21"/>
              </w:rPr>
            </w:pPr>
          </w:p>
        </w:tc>
        <w:tc>
          <w:tcPr>
            <w:tcW w:w="3118" w:type="dxa"/>
          </w:tcPr>
          <w:p w14:paraId="103C7BF6"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la elaboración del glosario sobre el método ecléctico de análisis bíblico.</w:t>
            </w:r>
          </w:p>
          <w:p w14:paraId="7B6C3BCB"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aportes al diario reflexivo a partir de las reflexiones sobre esta sesión.</w:t>
            </w:r>
          </w:p>
        </w:tc>
      </w:tr>
      <w:tr w:rsidR="002A0123" w:rsidRPr="0023181B" w14:paraId="0714FCEB" w14:textId="77777777" w:rsidTr="00104785">
        <w:trPr>
          <w:jc w:val="center"/>
        </w:trPr>
        <w:tc>
          <w:tcPr>
            <w:tcW w:w="1271" w:type="dxa"/>
          </w:tcPr>
          <w:p w14:paraId="4042CF5F" w14:textId="77777777" w:rsidR="002A0123" w:rsidRDefault="002A0123" w:rsidP="00104785">
            <w:pPr>
              <w:jc w:val="center"/>
              <w:rPr>
                <w:rFonts w:cstheme="minorHAnsi"/>
                <w:color w:val="000000" w:themeColor="text1"/>
              </w:rPr>
            </w:pPr>
          </w:p>
          <w:p w14:paraId="5E1A4FDF" w14:textId="77777777" w:rsidR="002A0123" w:rsidRDefault="002A0123" w:rsidP="00104785">
            <w:pPr>
              <w:jc w:val="center"/>
              <w:rPr>
                <w:rFonts w:cstheme="minorHAnsi"/>
                <w:color w:val="000000" w:themeColor="text1"/>
              </w:rPr>
            </w:pPr>
            <w:r w:rsidRPr="0023181B">
              <w:rPr>
                <w:rFonts w:cstheme="minorHAnsi"/>
                <w:color w:val="000000" w:themeColor="text1"/>
              </w:rPr>
              <w:t>5</w:t>
            </w:r>
          </w:p>
          <w:p w14:paraId="3276FF1F" w14:textId="77777777" w:rsidR="002A0123" w:rsidRPr="0041613F" w:rsidRDefault="002A0123" w:rsidP="00104785">
            <w:pPr>
              <w:jc w:val="center"/>
              <w:rPr>
                <w:rFonts w:cstheme="minorHAnsi"/>
                <w:color w:val="FF0000"/>
              </w:rPr>
            </w:pPr>
          </w:p>
        </w:tc>
        <w:tc>
          <w:tcPr>
            <w:tcW w:w="2410" w:type="dxa"/>
          </w:tcPr>
          <w:p w14:paraId="1A260B53" w14:textId="77777777" w:rsidR="002A0123" w:rsidRPr="00D232C4" w:rsidRDefault="002A0123" w:rsidP="00104785">
            <w:pPr>
              <w:rPr>
                <w:rFonts w:eastAsia="Calibri" w:cstheme="minorHAnsi"/>
                <w:b/>
                <w:bCs/>
              </w:rPr>
            </w:pPr>
            <w:r w:rsidRPr="00D232C4">
              <w:rPr>
                <w:rFonts w:eastAsia="Calibri" w:cstheme="minorHAnsi"/>
                <w:b/>
                <w:bCs/>
              </w:rPr>
              <w:lastRenderedPageBreak/>
              <w:t>Unidad 2: Pasos para una metodología del estudio bíblico</w:t>
            </w:r>
          </w:p>
          <w:p w14:paraId="408D386F" w14:textId="77777777" w:rsidR="002A0123" w:rsidRPr="00026040" w:rsidRDefault="002A0123" w:rsidP="00104785">
            <w:pPr>
              <w:rPr>
                <w:rFonts w:eastAsia="Calibri" w:cstheme="minorHAnsi"/>
              </w:rPr>
            </w:pPr>
          </w:p>
          <w:p w14:paraId="04BAC688" w14:textId="77777777" w:rsidR="002A0123" w:rsidRPr="00026040" w:rsidRDefault="002A0123" w:rsidP="00104785">
            <w:pPr>
              <w:rPr>
                <w:rFonts w:eastAsia="Calibri" w:cstheme="minorHAnsi"/>
              </w:rPr>
            </w:pPr>
            <w:r w:rsidRPr="00026040">
              <w:rPr>
                <w:rFonts w:eastAsia="Calibri" w:cstheme="minorHAnsi"/>
              </w:rPr>
              <w:t>2.1 Primeros pasos: delimitación, estructura y contexto literario</w:t>
            </w:r>
          </w:p>
        </w:tc>
        <w:tc>
          <w:tcPr>
            <w:tcW w:w="2835" w:type="dxa"/>
          </w:tcPr>
          <w:p w14:paraId="0C5EF878" w14:textId="77777777" w:rsidR="002A0123" w:rsidRDefault="002A0123" w:rsidP="00104785">
            <w:pPr>
              <w:spacing w:after="120" w:line="276" w:lineRule="auto"/>
              <w:rPr>
                <w:rFonts w:cstheme="minorHAnsi"/>
                <w:lang w:val="fr-FR"/>
              </w:rPr>
            </w:pPr>
            <w:r w:rsidRPr="00FC691F">
              <w:rPr>
                <w:rFonts w:cs="Arial"/>
                <w:color w:val="0070C0"/>
              </w:rPr>
              <w:lastRenderedPageBreak/>
              <w:t>Ruta de aprendizaje</w:t>
            </w:r>
          </w:p>
          <w:p w14:paraId="326EDBC0" w14:textId="77777777" w:rsidR="002A0123" w:rsidRPr="00B17462" w:rsidRDefault="002A0123" w:rsidP="00104785">
            <w:pPr>
              <w:spacing w:after="120" w:line="276" w:lineRule="auto"/>
              <w:rPr>
                <w:rFonts w:cstheme="minorHAnsi"/>
              </w:rPr>
            </w:pPr>
            <w:proofErr w:type="spellStart"/>
            <w:r w:rsidRPr="00B17462">
              <w:rPr>
                <w:rFonts w:cstheme="minorHAnsi"/>
                <w:lang w:val="fr-FR"/>
              </w:rPr>
              <w:t>Marguerat</w:t>
            </w:r>
            <w:proofErr w:type="spellEnd"/>
            <w:r w:rsidRPr="00B17462">
              <w:rPr>
                <w:rFonts w:cstheme="minorHAnsi"/>
                <w:lang w:val="fr-FR"/>
              </w:rPr>
              <w:t xml:space="preserve">, Daniel e Yvan Bourquin. </w:t>
            </w:r>
            <w:r w:rsidRPr="00B17462">
              <w:rPr>
                <w:rFonts w:cstheme="minorHAnsi"/>
              </w:rPr>
              <w:t xml:space="preserve">“Los límites del </w:t>
            </w:r>
            <w:r w:rsidRPr="00B17462">
              <w:rPr>
                <w:rFonts w:cstheme="minorHAnsi"/>
              </w:rPr>
              <w:lastRenderedPageBreak/>
              <w:t xml:space="preserve">relato”. En </w:t>
            </w:r>
            <w:r w:rsidRPr="00B17462">
              <w:rPr>
                <w:rFonts w:cstheme="minorHAnsi"/>
                <w:i/>
              </w:rPr>
              <w:t xml:space="preserve">Cómo leer los relatos bíblicos: iniciación al análisis narrativo, </w:t>
            </w:r>
            <w:r w:rsidRPr="00B17462">
              <w:rPr>
                <w:rFonts w:cstheme="minorHAnsi"/>
              </w:rPr>
              <w:t>51-66.</w:t>
            </w:r>
            <w:r w:rsidRPr="00B17462">
              <w:rPr>
                <w:rFonts w:cstheme="minorHAnsi"/>
                <w:i/>
              </w:rPr>
              <w:t xml:space="preserve"> </w:t>
            </w:r>
            <w:r w:rsidRPr="00B17462">
              <w:rPr>
                <w:rFonts w:cstheme="minorHAnsi"/>
              </w:rPr>
              <w:t xml:space="preserve">Santander: Sal </w:t>
            </w:r>
            <w:proofErr w:type="spellStart"/>
            <w:r w:rsidRPr="00B17462">
              <w:rPr>
                <w:rFonts w:cstheme="minorHAnsi"/>
              </w:rPr>
              <w:t>Terrae</w:t>
            </w:r>
            <w:proofErr w:type="spellEnd"/>
            <w:r w:rsidRPr="00B17462">
              <w:rPr>
                <w:rFonts w:cstheme="minorHAnsi"/>
              </w:rPr>
              <w:t xml:space="preserve">, 2000.  </w:t>
            </w:r>
            <w:r w:rsidRPr="00DF4C00">
              <w:rPr>
                <w:rFonts w:cstheme="minorHAnsi"/>
                <w:color w:val="0070C0"/>
              </w:rPr>
              <w:t>(clásico, última edición)</w:t>
            </w:r>
          </w:p>
          <w:p w14:paraId="61F12B84" w14:textId="77777777" w:rsidR="002A0123" w:rsidRPr="00B17462" w:rsidRDefault="002A0123" w:rsidP="00104785">
            <w:pPr>
              <w:spacing w:after="120" w:line="276" w:lineRule="auto"/>
              <w:rPr>
                <w:rFonts w:cstheme="minorHAnsi"/>
              </w:rPr>
            </w:pPr>
          </w:p>
          <w:p w14:paraId="7C1F4DD4" w14:textId="77777777" w:rsidR="002A0123" w:rsidRPr="00B17462" w:rsidRDefault="002A0123" w:rsidP="00104785">
            <w:pPr>
              <w:spacing w:after="120" w:line="276" w:lineRule="auto"/>
              <w:rPr>
                <w:rFonts w:cstheme="minorHAnsi"/>
              </w:rPr>
            </w:pPr>
            <w:proofErr w:type="spellStart"/>
            <w:r w:rsidRPr="00B17462">
              <w:rPr>
                <w:rFonts w:cstheme="minorHAnsi"/>
              </w:rPr>
              <w:t>Ska</w:t>
            </w:r>
            <w:proofErr w:type="spellEnd"/>
            <w:r w:rsidRPr="00B17462">
              <w:rPr>
                <w:rFonts w:cstheme="minorHAnsi"/>
              </w:rPr>
              <w:t>, Jean Louis. “Introducción: las primeras etapas del análisis”. En</w:t>
            </w:r>
            <w:r w:rsidRPr="00B17462">
              <w:rPr>
                <w:rFonts w:cstheme="minorHAnsi"/>
                <w:i/>
              </w:rPr>
              <w:t xml:space="preserve"> Nuestros padres nos contaron: introducción al análisis de los relatos del Antiguo Testamento, </w:t>
            </w:r>
            <w:r w:rsidRPr="00B17462">
              <w:rPr>
                <w:rFonts w:cstheme="minorHAnsi"/>
              </w:rPr>
              <w:t>6-9.</w:t>
            </w:r>
            <w:r w:rsidRPr="00B17462">
              <w:rPr>
                <w:rFonts w:cstheme="minorHAnsi"/>
                <w:i/>
              </w:rPr>
              <w:t xml:space="preserve"> </w:t>
            </w:r>
            <w:r w:rsidRPr="00B17462">
              <w:rPr>
                <w:rFonts w:cstheme="minorHAnsi"/>
              </w:rPr>
              <w:t>Estella: Verbo Divino, 2012.</w:t>
            </w:r>
            <w:r>
              <w:rPr>
                <w:rFonts w:cstheme="minorHAnsi"/>
              </w:rPr>
              <w:t xml:space="preserve"> </w:t>
            </w:r>
            <w:r w:rsidRPr="00DF4C00">
              <w:rPr>
                <w:rFonts w:cstheme="minorHAnsi"/>
                <w:color w:val="0070C0"/>
              </w:rPr>
              <w:t>(clásico, última edición)</w:t>
            </w:r>
          </w:p>
          <w:p w14:paraId="57F9A6EA" w14:textId="77777777" w:rsidR="002A0123" w:rsidRPr="00B17462" w:rsidRDefault="002A0123" w:rsidP="00104785">
            <w:pPr>
              <w:rPr>
                <w:rFonts w:cstheme="minorHAnsi"/>
                <w:b/>
              </w:rPr>
            </w:pPr>
            <w:r w:rsidRPr="00B17462">
              <w:rPr>
                <w:rFonts w:cstheme="minorHAnsi"/>
                <w:b/>
              </w:rPr>
              <w:t>Material complementario</w:t>
            </w:r>
          </w:p>
          <w:p w14:paraId="1F85443D" w14:textId="77777777" w:rsidR="002A0123" w:rsidRPr="00B17462" w:rsidRDefault="002A0123" w:rsidP="00104785">
            <w:pPr>
              <w:spacing w:after="120" w:line="276" w:lineRule="auto"/>
              <w:rPr>
                <w:rFonts w:cstheme="minorHAnsi"/>
              </w:rPr>
            </w:pPr>
            <w:r w:rsidRPr="00B17462">
              <w:rPr>
                <w:rFonts w:cstheme="minorHAnsi"/>
              </w:rPr>
              <w:t xml:space="preserve">Piñero, Antonio. “Métodos literarios actuales para la investigación crítica del Nuevo Testamento y, en concreto, de los evangelios”. En </w:t>
            </w:r>
            <w:r w:rsidRPr="00B17462">
              <w:rPr>
                <w:rFonts w:cstheme="minorHAnsi"/>
                <w:i/>
              </w:rPr>
              <w:t>Aproximación al Jesús histórico</w:t>
            </w:r>
            <w:r w:rsidRPr="00B17462">
              <w:rPr>
                <w:rFonts w:cstheme="minorHAnsi"/>
              </w:rPr>
              <w:t>, 153-170. Madrid: Editorial Trotta, 2018.</w:t>
            </w:r>
            <w:r>
              <w:rPr>
                <w:rFonts w:cstheme="minorHAnsi"/>
              </w:rPr>
              <w:t xml:space="preserve"> </w:t>
            </w:r>
            <w:r w:rsidRPr="00DF4C00">
              <w:rPr>
                <w:rFonts w:cstheme="minorHAnsi"/>
                <w:color w:val="0070C0"/>
              </w:rPr>
              <w:t>(clásico, última edición)</w:t>
            </w:r>
          </w:p>
          <w:p w14:paraId="56979AD8" w14:textId="77777777" w:rsidR="002A0123" w:rsidRPr="00C913D9" w:rsidRDefault="002A0123" w:rsidP="00104785">
            <w:pPr>
              <w:rPr>
                <w:color w:val="0070C0"/>
              </w:rPr>
            </w:pPr>
            <w:r>
              <w:rPr>
                <w:rFonts w:cstheme="minorHAnsi"/>
                <w:color w:val="0070C0"/>
              </w:rPr>
              <w:t xml:space="preserve">Guía para la participación mediante la herramienta Big Blue </w:t>
            </w:r>
            <w:proofErr w:type="spellStart"/>
            <w:r>
              <w:rPr>
                <w:rFonts w:cstheme="minorHAnsi"/>
                <w:color w:val="0070C0"/>
              </w:rPr>
              <w:t>Button</w:t>
            </w:r>
            <w:proofErr w:type="spellEnd"/>
            <w:r>
              <w:rPr>
                <w:rFonts w:cstheme="minorHAnsi"/>
                <w:color w:val="0070C0"/>
              </w:rPr>
              <w:t xml:space="preserve"> en la plataforma Moodle</w:t>
            </w:r>
          </w:p>
          <w:p w14:paraId="111C43A3" w14:textId="77777777" w:rsidR="002A0123" w:rsidRPr="00B17462" w:rsidRDefault="002A0123" w:rsidP="00104785">
            <w:pPr>
              <w:rPr>
                <w:rFonts w:cstheme="minorHAnsi"/>
              </w:rPr>
            </w:pPr>
          </w:p>
        </w:tc>
        <w:tc>
          <w:tcPr>
            <w:tcW w:w="3118" w:type="dxa"/>
          </w:tcPr>
          <w:p w14:paraId="045B7EAA"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lastRenderedPageBreak/>
              <w:t>Realizar la tarea de delimitación y contexto literario de un texto bíblico.</w:t>
            </w:r>
          </w:p>
          <w:p w14:paraId="4516E6F2"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lastRenderedPageBreak/>
              <w:t>Realizar aportes al diario reflexivo a partir de las reflexiones sobre esta sesión.</w:t>
            </w:r>
          </w:p>
          <w:p w14:paraId="1AA6ABAE"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tc>
      </w:tr>
      <w:tr w:rsidR="002A0123" w:rsidRPr="00116AA7" w14:paraId="400E20F6" w14:textId="77777777" w:rsidTr="00104785">
        <w:trPr>
          <w:jc w:val="center"/>
        </w:trPr>
        <w:tc>
          <w:tcPr>
            <w:tcW w:w="1271" w:type="dxa"/>
          </w:tcPr>
          <w:p w14:paraId="4B377A85" w14:textId="77777777" w:rsidR="002A0123" w:rsidRDefault="002A0123" w:rsidP="00104785">
            <w:pPr>
              <w:jc w:val="center"/>
              <w:rPr>
                <w:rFonts w:cstheme="minorHAnsi"/>
                <w:color w:val="000000" w:themeColor="text1"/>
              </w:rPr>
            </w:pPr>
          </w:p>
          <w:p w14:paraId="2A640E2B" w14:textId="77777777" w:rsidR="002A0123" w:rsidRPr="00D71ED1" w:rsidRDefault="002A0123" w:rsidP="00104785">
            <w:pPr>
              <w:jc w:val="center"/>
              <w:rPr>
                <w:rFonts w:cstheme="minorHAnsi"/>
                <w:color w:val="000000" w:themeColor="text1"/>
              </w:rPr>
            </w:pPr>
            <w:r w:rsidRPr="00D71ED1">
              <w:rPr>
                <w:rFonts w:cstheme="minorHAnsi"/>
                <w:color w:val="000000" w:themeColor="text1"/>
              </w:rPr>
              <w:t>6</w:t>
            </w:r>
          </w:p>
          <w:p w14:paraId="5B8056E5" w14:textId="77777777" w:rsidR="002A0123" w:rsidRPr="00D71ED1" w:rsidRDefault="002A0123" w:rsidP="00104785">
            <w:pPr>
              <w:jc w:val="center"/>
              <w:rPr>
                <w:rFonts w:cstheme="minorHAnsi"/>
                <w:color w:val="FF0000"/>
              </w:rPr>
            </w:pPr>
          </w:p>
        </w:tc>
        <w:tc>
          <w:tcPr>
            <w:tcW w:w="2410" w:type="dxa"/>
          </w:tcPr>
          <w:p w14:paraId="65926FC6" w14:textId="77777777" w:rsidR="002A0123" w:rsidRPr="00D232C4" w:rsidRDefault="002A0123" w:rsidP="00104785">
            <w:pPr>
              <w:rPr>
                <w:rFonts w:eastAsia="Calibri" w:cstheme="minorHAnsi"/>
                <w:b/>
                <w:bCs/>
              </w:rPr>
            </w:pPr>
            <w:r w:rsidRPr="00D232C4">
              <w:rPr>
                <w:rFonts w:eastAsia="Calibri" w:cstheme="minorHAnsi"/>
                <w:b/>
                <w:bCs/>
              </w:rPr>
              <w:t>Unidad 2: Pasos para una metodología del estudio bíblico</w:t>
            </w:r>
          </w:p>
          <w:p w14:paraId="3DD6DDF0" w14:textId="77777777" w:rsidR="002A0123" w:rsidRPr="00026040" w:rsidRDefault="002A0123" w:rsidP="00104785">
            <w:pPr>
              <w:rPr>
                <w:rFonts w:eastAsia="Calibri" w:cstheme="minorHAnsi"/>
              </w:rPr>
            </w:pPr>
          </w:p>
          <w:p w14:paraId="770D2650" w14:textId="77777777" w:rsidR="002A0123" w:rsidRPr="00026040" w:rsidRDefault="002A0123" w:rsidP="00104785">
            <w:pPr>
              <w:rPr>
                <w:rFonts w:eastAsia="Calibri" w:cstheme="minorHAnsi"/>
              </w:rPr>
            </w:pPr>
            <w:r w:rsidRPr="00026040">
              <w:rPr>
                <w:rFonts w:eastAsia="Calibri" w:cstheme="minorHAnsi"/>
              </w:rPr>
              <w:t>2.1 Primeros pasos: delimitación, estructura y contexto literario</w:t>
            </w:r>
          </w:p>
        </w:tc>
        <w:tc>
          <w:tcPr>
            <w:tcW w:w="2835" w:type="dxa"/>
          </w:tcPr>
          <w:p w14:paraId="4E83BB01" w14:textId="77777777" w:rsidR="002A0123" w:rsidRDefault="002A0123" w:rsidP="00104785">
            <w:pPr>
              <w:rPr>
                <w:rFonts w:cstheme="minorHAnsi"/>
                <w:lang w:val="fr-FR"/>
              </w:rPr>
            </w:pPr>
            <w:r w:rsidRPr="00FC691F">
              <w:rPr>
                <w:rFonts w:cs="Arial"/>
                <w:color w:val="0070C0"/>
              </w:rPr>
              <w:t>Ruta de aprendizaje</w:t>
            </w:r>
          </w:p>
          <w:p w14:paraId="2EA9FD97" w14:textId="77777777" w:rsidR="002A0123" w:rsidRPr="00B17462" w:rsidRDefault="002A0123" w:rsidP="00104785">
            <w:pPr>
              <w:spacing w:after="120" w:line="276" w:lineRule="auto"/>
              <w:rPr>
                <w:rFonts w:cstheme="minorHAnsi"/>
              </w:rPr>
            </w:pPr>
            <w:r w:rsidRPr="00B17462">
              <w:rPr>
                <w:rFonts w:cstheme="minorHAnsi"/>
                <w:lang w:val="fr-FR"/>
              </w:rPr>
              <w:t xml:space="preserve">Ska, Jean Louis. “La </w:t>
            </w:r>
            <w:proofErr w:type="spellStart"/>
            <w:r w:rsidRPr="00B17462">
              <w:rPr>
                <w:rFonts w:cstheme="minorHAnsi"/>
                <w:lang w:val="fr-FR"/>
              </w:rPr>
              <w:t>intriga</w:t>
            </w:r>
            <w:proofErr w:type="spellEnd"/>
            <w:r w:rsidRPr="00B17462">
              <w:rPr>
                <w:rFonts w:cstheme="minorHAnsi"/>
                <w:lang w:val="fr-FR"/>
              </w:rPr>
              <w:t xml:space="preserve">”. </w:t>
            </w:r>
            <w:r w:rsidRPr="00B17462">
              <w:rPr>
                <w:rFonts w:cstheme="minorHAnsi"/>
              </w:rPr>
              <w:t>En</w:t>
            </w:r>
            <w:r w:rsidRPr="00B17462">
              <w:rPr>
                <w:rFonts w:cstheme="minorHAnsi"/>
                <w:i/>
              </w:rPr>
              <w:t xml:space="preserve"> Nuestros padres nos contaron: introducción al análisis de los relatos del Antiguo Testamento, </w:t>
            </w:r>
            <w:r w:rsidRPr="00B17462">
              <w:rPr>
                <w:rFonts w:cstheme="minorHAnsi"/>
              </w:rPr>
              <w:t>20-39.</w:t>
            </w:r>
            <w:r w:rsidRPr="00B17462">
              <w:rPr>
                <w:rFonts w:cstheme="minorHAnsi"/>
                <w:i/>
              </w:rPr>
              <w:t xml:space="preserve"> </w:t>
            </w:r>
            <w:r w:rsidRPr="00B17462">
              <w:rPr>
                <w:rFonts w:cstheme="minorHAnsi"/>
              </w:rPr>
              <w:t>Estella: Verbo Divino, 2012.</w:t>
            </w:r>
            <w:r w:rsidRPr="00DF4C00">
              <w:rPr>
                <w:rFonts w:cstheme="minorHAnsi"/>
                <w:color w:val="0070C0"/>
              </w:rPr>
              <w:t xml:space="preserve"> (clásico, última edición)</w:t>
            </w:r>
          </w:p>
          <w:p w14:paraId="4A7256BB" w14:textId="77777777" w:rsidR="002A0123" w:rsidRPr="00B17462" w:rsidRDefault="002A0123" w:rsidP="00104785">
            <w:pPr>
              <w:spacing w:after="120" w:line="276" w:lineRule="auto"/>
              <w:rPr>
                <w:rFonts w:cstheme="minorHAnsi"/>
              </w:rPr>
            </w:pPr>
            <w:proofErr w:type="spellStart"/>
            <w:r w:rsidRPr="00B17462">
              <w:rPr>
                <w:rFonts w:cstheme="minorHAnsi"/>
              </w:rPr>
              <w:lastRenderedPageBreak/>
              <w:t>Marguerat</w:t>
            </w:r>
            <w:proofErr w:type="spellEnd"/>
            <w:r w:rsidRPr="00B17462">
              <w:rPr>
                <w:rFonts w:cstheme="minorHAnsi"/>
              </w:rPr>
              <w:t xml:space="preserve">, Daniel e Yvan </w:t>
            </w:r>
            <w:proofErr w:type="spellStart"/>
            <w:r w:rsidRPr="00B17462">
              <w:rPr>
                <w:rFonts w:cstheme="minorHAnsi"/>
              </w:rPr>
              <w:t>Bourquin</w:t>
            </w:r>
            <w:proofErr w:type="spellEnd"/>
            <w:r w:rsidRPr="00B17462">
              <w:rPr>
                <w:rFonts w:cstheme="minorHAnsi"/>
              </w:rPr>
              <w:t>. “La trama”. En</w:t>
            </w:r>
            <w:r w:rsidRPr="00B17462">
              <w:rPr>
                <w:rFonts w:cstheme="minorHAnsi"/>
                <w:i/>
              </w:rPr>
              <w:t xml:space="preserve"> Cómo leer los relatos bíblicos: iniciación al análisis narrativo, </w:t>
            </w:r>
            <w:r w:rsidRPr="00B17462">
              <w:rPr>
                <w:rFonts w:cstheme="minorHAnsi"/>
              </w:rPr>
              <w:t>67-93.</w:t>
            </w:r>
            <w:r w:rsidRPr="00B17462">
              <w:rPr>
                <w:rFonts w:cstheme="minorHAnsi"/>
                <w:i/>
              </w:rPr>
              <w:t xml:space="preserve"> </w:t>
            </w:r>
            <w:r w:rsidRPr="00B17462">
              <w:rPr>
                <w:rFonts w:cstheme="minorHAnsi"/>
                <w:lang w:val="fr-FR"/>
              </w:rPr>
              <w:t xml:space="preserve">Santander: Sal </w:t>
            </w:r>
            <w:proofErr w:type="spellStart"/>
            <w:r w:rsidRPr="00B17462">
              <w:rPr>
                <w:rFonts w:cstheme="minorHAnsi"/>
                <w:lang w:val="fr-FR"/>
              </w:rPr>
              <w:t>Terrae</w:t>
            </w:r>
            <w:proofErr w:type="spellEnd"/>
            <w:r w:rsidRPr="00B17462">
              <w:rPr>
                <w:rFonts w:cstheme="minorHAnsi"/>
                <w:lang w:val="fr-FR"/>
              </w:rPr>
              <w:t>, 2000.</w:t>
            </w:r>
            <w:r>
              <w:rPr>
                <w:rFonts w:cstheme="minorHAnsi"/>
                <w:lang w:val="fr-FR"/>
              </w:rPr>
              <w:t xml:space="preserve"> </w:t>
            </w:r>
            <w:r w:rsidRPr="00DF4C00">
              <w:rPr>
                <w:rFonts w:cstheme="minorHAnsi"/>
                <w:color w:val="0070C0"/>
              </w:rPr>
              <w:t>(clásico, última edición)</w:t>
            </w:r>
          </w:p>
          <w:p w14:paraId="1F762BB6" w14:textId="77777777" w:rsidR="002A0123" w:rsidRDefault="002A0123" w:rsidP="00104785">
            <w:pPr>
              <w:rPr>
                <w:rFonts w:cstheme="minorHAnsi"/>
                <w:b/>
                <w:color w:val="0070C0"/>
              </w:rPr>
            </w:pPr>
            <w:r w:rsidRPr="00FC691F">
              <w:rPr>
                <w:rFonts w:cstheme="minorHAnsi"/>
                <w:b/>
                <w:color w:val="0070C0"/>
              </w:rPr>
              <w:t>Material complementario</w:t>
            </w:r>
          </w:p>
          <w:p w14:paraId="1377AE8D" w14:textId="77777777" w:rsidR="002A0123" w:rsidRDefault="002A0123" w:rsidP="00104785">
            <w:pPr>
              <w:rPr>
                <w:rFonts w:cstheme="minorHAnsi"/>
                <w:b/>
                <w:color w:val="0070C0"/>
              </w:rPr>
            </w:pPr>
          </w:p>
          <w:p w14:paraId="7262C62E" w14:textId="3B8076B1" w:rsidR="002A0123" w:rsidRPr="00B17462" w:rsidRDefault="002A0123" w:rsidP="008A2C19">
            <w:pPr>
              <w:rPr>
                <w:rFonts w:cstheme="minorHAnsi"/>
                <w:i/>
              </w:rPr>
            </w:pPr>
            <w:r>
              <w:rPr>
                <w:rFonts w:cstheme="minorHAnsi"/>
                <w:bCs/>
                <w:color w:val="0070C0"/>
              </w:rPr>
              <w:t>Guía para la participación en un foro en la plataforma Moodle</w:t>
            </w:r>
          </w:p>
        </w:tc>
        <w:tc>
          <w:tcPr>
            <w:tcW w:w="3118" w:type="dxa"/>
          </w:tcPr>
          <w:p w14:paraId="5259C221"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lastRenderedPageBreak/>
              <w:t>Participación en el foro grupal: La estructura del texto bíblico (en el que fue asignado/a).</w:t>
            </w:r>
          </w:p>
          <w:p w14:paraId="587949B9"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aportes al diario reflexivo a partir de las reflexiones sobre esta sesión.</w:t>
            </w:r>
          </w:p>
        </w:tc>
      </w:tr>
      <w:tr w:rsidR="002A0123" w:rsidRPr="0023181B" w14:paraId="7F6C4335" w14:textId="77777777" w:rsidTr="00104785">
        <w:trPr>
          <w:jc w:val="center"/>
        </w:trPr>
        <w:tc>
          <w:tcPr>
            <w:tcW w:w="1271" w:type="dxa"/>
          </w:tcPr>
          <w:p w14:paraId="791366A3" w14:textId="77777777" w:rsidR="002A0123" w:rsidRDefault="002A0123" w:rsidP="00104785">
            <w:pPr>
              <w:jc w:val="center"/>
              <w:rPr>
                <w:rFonts w:cstheme="minorHAnsi"/>
                <w:color w:val="000000" w:themeColor="text1"/>
              </w:rPr>
            </w:pPr>
          </w:p>
          <w:p w14:paraId="78558348" w14:textId="77777777" w:rsidR="002A0123" w:rsidRPr="00D71ED1" w:rsidRDefault="002A0123" w:rsidP="00104785">
            <w:pPr>
              <w:jc w:val="center"/>
              <w:rPr>
                <w:rFonts w:cstheme="minorHAnsi"/>
                <w:color w:val="000000" w:themeColor="text1"/>
              </w:rPr>
            </w:pPr>
            <w:r w:rsidRPr="00D71ED1">
              <w:rPr>
                <w:rFonts w:cstheme="minorHAnsi"/>
                <w:color w:val="000000" w:themeColor="text1"/>
              </w:rPr>
              <w:t>7</w:t>
            </w:r>
          </w:p>
          <w:p w14:paraId="039A5BF8" w14:textId="77777777" w:rsidR="002A0123" w:rsidRPr="00D71ED1" w:rsidRDefault="002A0123" w:rsidP="00104785">
            <w:pPr>
              <w:jc w:val="center"/>
              <w:rPr>
                <w:rFonts w:cstheme="minorHAnsi"/>
                <w:color w:val="FF0000"/>
              </w:rPr>
            </w:pPr>
          </w:p>
        </w:tc>
        <w:tc>
          <w:tcPr>
            <w:tcW w:w="2410" w:type="dxa"/>
          </w:tcPr>
          <w:p w14:paraId="53C6E17B" w14:textId="77777777" w:rsidR="002A0123" w:rsidRPr="00D232C4" w:rsidRDefault="002A0123" w:rsidP="00104785">
            <w:pPr>
              <w:rPr>
                <w:rFonts w:eastAsia="Calibri" w:cstheme="minorHAnsi"/>
                <w:b/>
                <w:bCs/>
              </w:rPr>
            </w:pPr>
            <w:r w:rsidRPr="00D232C4">
              <w:rPr>
                <w:rFonts w:eastAsia="Calibri" w:cstheme="minorHAnsi"/>
                <w:b/>
                <w:bCs/>
              </w:rPr>
              <w:t>Unidad 2: Pasos para una metodología del estudio bíblico</w:t>
            </w:r>
          </w:p>
          <w:p w14:paraId="0FC501DB" w14:textId="77777777" w:rsidR="002A0123" w:rsidRPr="00026040" w:rsidRDefault="002A0123" w:rsidP="00104785">
            <w:pPr>
              <w:rPr>
                <w:rFonts w:eastAsia="Calibri" w:cstheme="minorHAnsi"/>
              </w:rPr>
            </w:pPr>
          </w:p>
          <w:p w14:paraId="13E4DDB1" w14:textId="77777777" w:rsidR="002A0123" w:rsidRPr="00026040" w:rsidRDefault="002A0123" w:rsidP="00104785">
            <w:pPr>
              <w:rPr>
                <w:rFonts w:eastAsia="Calibri" w:cstheme="minorHAnsi"/>
              </w:rPr>
            </w:pPr>
            <w:r w:rsidRPr="00026040">
              <w:rPr>
                <w:rFonts w:eastAsia="Calibri" w:cstheme="minorHAnsi"/>
              </w:rPr>
              <w:t>2.2 Análisis narrativo</w:t>
            </w:r>
          </w:p>
          <w:p w14:paraId="4E198C71" w14:textId="77777777" w:rsidR="002A0123" w:rsidRPr="00026040" w:rsidRDefault="002A0123" w:rsidP="00104785">
            <w:pPr>
              <w:spacing w:line="276" w:lineRule="auto"/>
              <w:rPr>
                <w:rFonts w:eastAsia="Calibri" w:cstheme="minorHAnsi"/>
              </w:rPr>
            </w:pPr>
          </w:p>
        </w:tc>
        <w:tc>
          <w:tcPr>
            <w:tcW w:w="2835" w:type="dxa"/>
          </w:tcPr>
          <w:p w14:paraId="452DAD48" w14:textId="77777777" w:rsidR="002A0123" w:rsidRDefault="002A0123" w:rsidP="00104785">
            <w:pPr>
              <w:rPr>
                <w:rFonts w:cstheme="minorHAnsi"/>
              </w:rPr>
            </w:pPr>
            <w:r w:rsidRPr="00FC691F">
              <w:rPr>
                <w:rFonts w:cs="Arial"/>
                <w:color w:val="0070C0"/>
              </w:rPr>
              <w:t>Ruta de aprendizaje</w:t>
            </w:r>
          </w:p>
          <w:p w14:paraId="045D8205" w14:textId="77777777" w:rsidR="002A0123" w:rsidRPr="00B17462" w:rsidRDefault="002A0123" w:rsidP="00104785">
            <w:pPr>
              <w:spacing w:after="120" w:line="276" w:lineRule="auto"/>
              <w:rPr>
                <w:rFonts w:cstheme="minorHAnsi"/>
              </w:rPr>
            </w:pPr>
            <w:proofErr w:type="spellStart"/>
            <w:r w:rsidRPr="00B17462">
              <w:rPr>
                <w:rFonts w:cstheme="minorHAnsi"/>
              </w:rPr>
              <w:t>Ska</w:t>
            </w:r>
            <w:proofErr w:type="spellEnd"/>
            <w:r w:rsidRPr="00B17462">
              <w:rPr>
                <w:rFonts w:cstheme="minorHAnsi"/>
              </w:rPr>
              <w:t>, Jean Louis. “El tiempo”, “El narrador”. En</w:t>
            </w:r>
            <w:r w:rsidRPr="00B17462">
              <w:rPr>
                <w:rFonts w:cstheme="minorHAnsi"/>
                <w:i/>
              </w:rPr>
              <w:t xml:space="preserve"> Nuestros padres nos contaron: introducción al análisis de los relatos del Antiguo Testamento, </w:t>
            </w:r>
            <w:r w:rsidRPr="00B17462">
              <w:rPr>
                <w:rFonts w:cstheme="minorHAnsi"/>
              </w:rPr>
              <w:t>12-19 y 40- 53.</w:t>
            </w:r>
            <w:r w:rsidRPr="00B17462">
              <w:rPr>
                <w:rFonts w:cstheme="minorHAnsi"/>
                <w:i/>
              </w:rPr>
              <w:t xml:space="preserve"> </w:t>
            </w:r>
            <w:r w:rsidRPr="00B17462">
              <w:rPr>
                <w:rFonts w:cstheme="minorHAnsi"/>
              </w:rPr>
              <w:t>Estella: Verbo Divino, 2012.</w:t>
            </w:r>
            <w:r>
              <w:rPr>
                <w:rFonts w:cstheme="minorHAnsi"/>
              </w:rPr>
              <w:t xml:space="preserve"> </w:t>
            </w:r>
            <w:r w:rsidRPr="00DF4C00">
              <w:rPr>
                <w:rFonts w:cstheme="minorHAnsi"/>
                <w:color w:val="0070C0"/>
              </w:rPr>
              <w:t>(clásico, última edición)</w:t>
            </w:r>
          </w:p>
          <w:p w14:paraId="1251ABA6" w14:textId="77777777" w:rsidR="002A0123" w:rsidRDefault="002A0123" w:rsidP="00104785">
            <w:pPr>
              <w:rPr>
                <w:rFonts w:cstheme="minorHAnsi"/>
              </w:rPr>
            </w:pPr>
          </w:p>
          <w:p w14:paraId="6232AAC3" w14:textId="77777777" w:rsidR="002A0123" w:rsidRPr="00B17462" w:rsidRDefault="002A0123" w:rsidP="00104785">
            <w:pPr>
              <w:spacing w:after="120" w:line="276" w:lineRule="auto"/>
              <w:rPr>
                <w:rFonts w:cstheme="minorHAnsi"/>
              </w:rPr>
            </w:pPr>
            <w:r w:rsidRPr="00B17462">
              <w:rPr>
                <w:rFonts w:cstheme="minorHAnsi"/>
              </w:rPr>
              <w:t xml:space="preserve">Ramírez, José Enrique. “Los personajes”. En </w:t>
            </w:r>
            <w:r w:rsidRPr="00B17462">
              <w:rPr>
                <w:rFonts w:cstheme="minorHAnsi"/>
                <w:i/>
              </w:rPr>
              <w:t xml:space="preserve">El libro de Ruth: ternura de Dios frente al dolor humano, </w:t>
            </w:r>
            <w:r w:rsidRPr="00B17462">
              <w:rPr>
                <w:rFonts w:cstheme="minorHAnsi"/>
              </w:rPr>
              <w:t>96-102.</w:t>
            </w:r>
            <w:r w:rsidRPr="00B17462">
              <w:rPr>
                <w:rFonts w:cstheme="minorHAnsi"/>
                <w:i/>
              </w:rPr>
              <w:t xml:space="preserve"> </w:t>
            </w:r>
            <w:r w:rsidRPr="00B17462">
              <w:rPr>
                <w:rFonts w:cstheme="minorHAnsi"/>
              </w:rPr>
              <w:t>San José: Editorial SEBILA, 2004.</w:t>
            </w:r>
            <w:r>
              <w:rPr>
                <w:rFonts w:cstheme="minorHAnsi"/>
              </w:rPr>
              <w:t xml:space="preserve"> </w:t>
            </w:r>
            <w:r w:rsidRPr="00DF4C00">
              <w:rPr>
                <w:rFonts w:cstheme="minorHAnsi"/>
                <w:color w:val="0070C0"/>
              </w:rPr>
              <w:t>(clásico, última edición)</w:t>
            </w:r>
          </w:p>
          <w:p w14:paraId="4CCDE22A" w14:textId="77777777" w:rsidR="002A0123" w:rsidRPr="00B17462" w:rsidRDefault="002A0123" w:rsidP="00104785">
            <w:pPr>
              <w:rPr>
                <w:rFonts w:cstheme="minorHAnsi"/>
                <w:b/>
              </w:rPr>
            </w:pPr>
            <w:r w:rsidRPr="00B17462">
              <w:rPr>
                <w:rFonts w:cstheme="minorHAnsi"/>
                <w:b/>
              </w:rPr>
              <w:t>Material complementario</w:t>
            </w:r>
          </w:p>
          <w:p w14:paraId="116A519B" w14:textId="77777777" w:rsidR="002A0123" w:rsidRPr="00B17462" w:rsidRDefault="002A0123" w:rsidP="00104785">
            <w:pPr>
              <w:rPr>
                <w:rFonts w:cstheme="minorHAnsi"/>
                <w:b/>
              </w:rPr>
            </w:pPr>
          </w:p>
          <w:p w14:paraId="36C973D0" w14:textId="77777777" w:rsidR="002A0123" w:rsidRDefault="002A0123" w:rsidP="00104785">
            <w:pPr>
              <w:rPr>
                <w:rFonts w:cstheme="minorHAnsi"/>
              </w:rPr>
            </w:pPr>
            <w:r w:rsidRPr="00B17462">
              <w:rPr>
                <w:rFonts w:cstheme="minorHAnsi"/>
              </w:rPr>
              <w:t xml:space="preserve">Walsh, Jerome. “Ajab y las guerras con Aram (1 Re 20 y 22): El análisis narrativo en la Biblia Hebrea”. </w:t>
            </w:r>
            <w:r w:rsidRPr="00B17462">
              <w:rPr>
                <w:rFonts w:cstheme="minorHAnsi"/>
                <w:i/>
              </w:rPr>
              <w:t>Aportes Bíblicos</w:t>
            </w:r>
            <w:r w:rsidRPr="00B17462">
              <w:rPr>
                <w:rFonts w:cstheme="minorHAnsi"/>
              </w:rPr>
              <w:t>, n. 29 (2018): 4-47.</w:t>
            </w:r>
          </w:p>
          <w:p w14:paraId="696CB77F" w14:textId="77777777" w:rsidR="002A0123" w:rsidRDefault="002A0123" w:rsidP="00104785">
            <w:pPr>
              <w:rPr>
                <w:rFonts w:cstheme="minorHAnsi"/>
              </w:rPr>
            </w:pPr>
          </w:p>
          <w:p w14:paraId="0AC8612D" w14:textId="77777777" w:rsidR="002A0123" w:rsidRPr="00B3254F" w:rsidRDefault="002A0123" w:rsidP="00104785">
            <w:pPr>
              <w:rPr>
                <w:rFonts w:cstheme="minorHAnsi"/>
                <w:color w:val="0070C0"/>
              </w:rPr>
            </w:pPr>
            <w:r>
              <w:rPr>
                <w:rFonts w:cstheme="minorHAnsi"/>
                <w:color w:val="0070C0"/>
              </w:rPr>
              <w:lastRenderedPageBreak/>
              <w:t xml:space="preserve">Guía para la participación mediante la herramienta Big Blue </w:t>
            </w:r>
            <w:proofErr w:type="spellStart"/>
            <w:r>
              <w:rPr>
                <w:rFonts w:cstheme="minorHAnsi"/>
                <w:color w:val="0070C0"/>
              </w:rPr>
              <w:t>Button</w:t>
            </w:r>
            <w:proofErr w:type="spellEnd"/>
            <w:r>
              <w:rPr>
                <w:rFonts w:cstheme="minorHAnsi"/>
                <w:color w:val="0070C0"/>
              </w:rPr>
              <w:t xml:space="preserve"> en la plataforma Moodle</w:t>
            </w:r>
          </w:p>
          <w:p w14:paraId="4444AD40" w14:textId="77777777" w:rsidR="002A0123" w:rsidRPr="00B17462" w:rsidRDefault="002A0123" w:rsidP="00104785">
            <w:pPr>
              <w:rPr>
                <w:rFonts w:eastAsia="Calibri" w:cstheme="minorHAnsi"/>
              </w:rPr>
            </w:pPr>
          </w:p>
        </w:tc>
        <w:tc>
          <w:tcPr>
            <w:tcW w:w="3118" w:type="dxa"/>
          </w:tcPr>
          <w:p w14:paraId="19B7490B"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lastRenderedPageBreak/>
              <w:t>Realizar la tarea del tiempo y los personajes en la narrativa bíblica.</w:t>
            </w:r>
          </w:p>
          <w:p w14:paraId="2779E7D7"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aportes al diario reflexivo a partir de las reflexiones sobre esta sesión.</w:t>
            </w:r>
          </w:p>
          <w:p w14:paraId="0ABFE977"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tc>
      </w:tr>
      <w:tr w:rsidR="002A0123" w:rsidRPr="0023181B" w14:paraId="192BC50B" w14:textId="77777777" w:rsidTr="00104785">
        <w:trPr>
          <w:jc w:val="center"/>
        </w:trPr>
        <w:tc>
          <w:tcPr>
            <w:tcW w:w="1271" w:type="dxa"/>
          </w:tcPr>
          <w:p w14:paraId="775B454E" w14:textId="77777777" w:rsidR="002A0123" w:rsidRDefault="002A0123" w:rsidP="00104785">
            <w:pPr>
              <w:jc w:val="center"/>
              <w:rPr>
                <w:rFonts w:cstheme="minorHAnsi"/>
                <w:color w:val="000000" w:themeColor="text1"/>
              </w:rPr>
            </w:pPr>
          </w:p>
          <w:p w14:paraId="037EC7B0" w14:textId="77777777" w:rsidR="002A0123" w:rsidRPr="00D71ED1" w:rsidRDefault="002A0123" w:rsidP="00104785">
            <w:pPr>
              <w:jc w:val="center"/>
              <w:rPr>
                <w:rFonts w:cstheme="minorHAnsi"/>
                <w:color w:val="000000" w:themeColor="text1"/>
              </w:rPr>
            </w:pPr>
            <w:r w:rsidRPr="00D71ED1">
              <w:rPr>
                <w:rFonts w:cstheme="minorHAnsi"/>
                <w:color w:val="000000" w:themeColor="text1"/>
              </w:rPr>
              <w:t>8</w:t>
            </w:r>
          </w:p>
          <w:p w14:paraId="31BF5247" w14:textId="77777777" w:rsidR="002A0123" w:rsidRPr="00D71ED1" w:rsidRDefault="002A0123" w:rsidP="00104785">
            <w:pPr>
              <w:jc w:val="center"/>
              <w:rPr>
                <w:rFonts w:cstheme="minorHAnsi"/>
                <w:color w:val="FF0000"/>
              </w:rPr>
            </w:pPr>
          </w:p>
        </w:tc>
        <w:tc>
          <w:tcPr>
            <w:tcW w:w="2410" w:type="dxa"/>
          </w:tcPr>
          <w:p w14:paraId="13C42F22" w14:textId="77777777" w:rsidR="002A0123" w:rsidRPr="00D232C4" w:rsidRDefault="002A0123" w:rsidP="00104785">
            <w:pPr>
              <w:rPr>
                <w:rFonts w:eastAsia="Calibri" w:cstheme="minorHAnsi"/>
                <w:b/>
                <w:bCs/>
              </w:rPr>
            </w:pPr>
            <w:r w:rsidRPr="00D232C4">
              <w:rPr>
                <w:rFonts w:eastAsia="Calibri" w:cstheme="minorHAnsi"/>
                <w:b/>
                <w:bCs/>
              </w:rPr>
              <w:t>Unidad 2: Pasos para una metodología del estudio bíblico</w:t>
            </w:r>
          </w:p>
          <w:p w14:paraId="6850EDD0" w14:textId="77777777" w:rsidR="002A0123" w:rsidRPr="00026040" w:rsidRDefault="002A0123" w:rsidP="00104785">
            <w:pPr>
              <w:rPr>
                <w:rFonts w:eastAsia="Calibri" w:cstheme="minorHAnsi"/>
              </w:rPr>
            </w:pPr>
          </w:p>
          <w:p w14:paraId="03C022D4" w14:textId="77777777" w:rsidR="002A0123" w:rsidRPr="00026040" w:rsidRDefault="002A0123" w:rsidP="00104785">
            <w:pPr>
              <w:rPr>
                <w:rFonts w:eastAsia="Calibri" w:cstheme="minorHAnsi"/>
              </w:rPr>
            </w:pPr>
            <w:r w:rsidRPr="00026040">
              <w:rPr>
                <w:rFonts w:eastAsia="Calibri" w:cstheme="minorHAnsi"/>
              </w:rPr>
              <w:t>2.3 Análisis retórico</w:t>
            </w:r>
          </w:p>
        </w:tc>
        <w:tc>
          <w:tcPr>
            <w:tcW w:w="2835" w:type="dxa"/>
          </w:tcPr>
          <w:p w14:paraId="7D04BF75" w14:textId="77777777" w:rsidR="002A0123" w:rsidRDefault="002A0123" w:rsidP="00104785">
            <w:pPr>
              <w:rPr>
                <w:rFonts w:cstheme="minorHAnsi"/>
              </w:rPr>
            </w:pPr>
            <w:r w:rsidRPr="00FC691F">
              <w:rPr>
                <w:rFonts w:cs="Arial"/>
                <w:color w:val="0070C0"/>
              </w:rPr>
              <w:t>Ruta de aprendizaje</w:t>
            </w:r>
          </w:p>
          <w:p w14:paraId="3A31DE4B" w14:textId="77777777" w:rsidR="002A0123" w:rsidRPr="00B17462" w:rsidRDefault="002A0123" w:rsidP="00104785">
            <w:pPr>
              <w:spacing w:after="120" w:line="276" w:lineRule="auto"/>
              <w:rPr>
                <w:rFonts w:cstheme="minorHAnsi"/>
              </w:rPr>
            </w:pPr>
            <w:r w:rsidRPr="00B17462">
              <w:rPr>
                <w:rFonts w:cstheme="minorHAnsi"/>
              </w:rPr>
              <w:t xml:space="preserve">De </w:t>
            </w:r>
            <w:proofErr w:type="spellStart"/>
            <w:r w:rsidRPr="00B17462">
              <w:rPr>
                <w:rFonts w:cstheme="minorHAnsi"/>
              </w:rPr>
              <w:t>Wit</w:t>
            </w:r>
            <w:proofErr w:type="spellEnd"/>
            <w:r w:rsidRPr="00B17462">
              <w:rPr>
                <w:rFonts w:cstheme="minorHAnsi"/>
              </w:rPr>
              <w:t xml:space="preserve">, Hans. “El texto y el lector o la lectora: estrategias de persuasión. Nueva crítica retórica”. En </w:t>
            </w:r>
            <w:proofErr w:type="spellStart"/>
            <w:r w:rsidRPr="00B17462">
              <w:rPr>
                <w:rFonts w:cstheme="minorHAnsi"/>
                <w:i/>
              </w:rPr>
              <w:t>En</w:t>
            </w:r>
            <w:proofErr w:type="spellEnd"/>
            <w:r w:rsidRPr="00B17462">
              <w:rPr>
                <w:rFonts w:cstheme="minorHAnsi"/>
                <w:i/>
              </w:rPr>
              <w:t xml:space="preserve"> la dispersión el texto es patria: Introducción a la hermenéutica clásica, moderna y posmoderna, </w:t>
            </w:r>
            <w:r w:rsidRPr="00B17462">
              <w:rPr>
                <w:rFonts w:cstheme="minorHAnsi"/>
              </w:rPr>
              <w:t>362-374.</w:t>
            </w:r>
            <w:r w:rsidRPr="00B17462">
              <w:rPr>
                <w:rFonts w:cstheme="minorHAnsi"/>
                <w:i/>
              </w:rPr>
              <w:t xml:space="preserve"> </w:t>
            </w:r>
            <w:r w:rsidRPr="00B17462">
              <w:rPr>
                <w:rFonts w:cstheme="minorHAnsi"/>
              </w:rPr>
              <w:t>San José: Editorial SEBILA, 20</w:t>
            </w:r>
            <w:r>
              <w:rPr>
                <w:rFonts w:cstheme="minorHAnsi"/>
              </w:rPr>
              <w:t>10</w:t>
            </w:r>
            <w:r w:rsidRPr="00B17462">
              <w:rPr>
                <w:rFonts w:cstheme="minorHAnsi"/>
              </w:rPr>
              <w:t>.</w:t>
            </w:r>
            <w:r>
              <w:rPr>
                <w:rFonts w:cstheme="minorHAnsi"/>
              </w:rPr>
              <w:t xml:space="preserve"> </w:t>
            </w:r>
            <w:r w:rsidRPr="00DF4C00">
              <w:rPr>
                <w:rFonts w:cstheme="minorHAnsi"/>
                <w:color w:val="0070C0"/>
              </w:rPr>
              <w:t>(clásico, última edición)</w:t>
            </w:r>
          </w:p>
          <w:p w14:paraId="2629C794" w14:textId="77777777" w:rsidR="002A0123" w:rsidRPr="00B17462" w:rsidRDefault="002A0123" w:rsidP="00104785">
            <w:pPr>
              <w:rPr>
                <w:rFonts w:cstheme="minorHAnsi"/>
                <w:sz w:val="2"/>
              </w:rPr>
            </w:pPr>
          </w:p>
          <w:p w14:paraId="2BDA348F" w14:textId="77777777" w:rsidR="002A0123" w:rsidRPr="00B17462" w:rsidRDefault="002A0123" w:rsidP="00104785">
            <w:pPr>
              <w:rPr>
                <w:rFonts w:cstheme="minorHAnsi"/>
              </w:rPr>
            </w:pPr>
            <w:r w:rsidRPr="00B17462">
              <w:rPr>
                <w:rFonts w:cstheme="minorHAnsi"/>
              </w:rPr>
              <w:t xml:space="preserve">Londoño, Juan Esteban. “Una lectura socio-retórica de Apocalipsis 20, 7-15”. </w:t>
            </w:r>
            <w:r w:rsidRPr="00B17462">
              <w:rPr>
                <w:rFonts w:cstheme="minorHAnsi"/>
                <w:i/>
              </w:rPr>
              <w:t>Aportes Bíblicos 9</w:t>
            </w:r>
            <w:r w:rsidRPr="00B17462">
              <w:rPr>
                <w:rFonts w:cstheme="minorHAnsi"/>
              </w:rPr>
              <w:t>, 2009: pp. 31-51.</w:t>
            </w:r>
          </w:p>
          <w:p w14:paraId="6D1F29D6" w14:textId="77777777" w:rsidR="002A0123" w:rsidRPr="00B17462" w:rsidRDefault="002A0123" w:rsidP="00104785">
            <w:pPr>
              <w:spacing w:after="200" w:line="276" w:lineRule="auto"/>
              <w:ind w:left="-19" w:right="35"/>
              <w:contextualSpacing/>
              <w:rPr>
                <w:rFonts w:cstheme="minorHAnsi"/>
                <w:sz w:val="18"/>
              </w:rPr>
            </w:pPr>
          </w:p>
          <w:p w14:paraId="5F94F96A" w14:textId="77777777" w:rsidR="002A0123" w:rsidRPr="00B17462" w:rsidRDefault="002A0123" w:rsidP="00104785">
            <w:pPr>
              <w:spacing w:after="200" w:line="276" w:lineRule="auto"/>
              <w:ind w:left="-19" w:right="35"/>
              <w:contextualSpacing/>
              <w:rPr>
                <w:rFonts w:cstheme="minorHAnsi"/>
              </w:rPr>
            </w:pPr>
            <w:r w:rsidRPr="00B17462">
              <w:rPr>
                <w:rFonts w:cstheme="minorHAnsi"/>
              </w:rPr>
              <w:t xml:space="preserve">Guerra, Elizabeth. “La retórica de la opresión en el discurso de Job: un estudio socio-retórico de Job 24”. </w:t>
            </w:r>
            <w:r w:rsidRPr="00B17462">
              <w:rPr>
                <w:rFonts w:cstheme="minorHAnsi"/>
                <w:i/>
              </w:rPr>
              <w:t>Aportes Bíblicos 16</w:t>
            </w:r>
            <w:r w:rsidRPr="00B17462">
              <w:rPr>
                <w:rFonts w:cstheme="minorHAnsi"/>
              </w:rPr>
              <w:t>, 2013: pp.21-36.</w:t>
            </w:r>
          </w:p>
          <w:p w14:paraId="71314F51" w14:textId="77777777" w:rsidR="002A0123" w:rsidRPr="00B17462" w:rsidRDefault="002A0123" w:rsidP="00104785">
            <w:pPr>
              <w:spacing w:after="200" w:line="276" w:lineRule="auto"/>
              <w:ind w:left="-19" w:right="35"/>
              <w:contextualSpacing/>
              <w:rPr>
                <w:rFonts w:cstheme="minorHAnsi"/>
              </w:rPr>
            </w:pPr>
          </w:p>
          <w:p w14:paraId="0BBCC147" w14:textId="77777777" w:rsidR="002A0123" w:rsidRPr="00B17462" w:rsidRDefault="002A0123" w:rsidP="00104785">
            <w:pPr>
              <w:spacing w:after="200" w:line="276" w:lineRule="auto"/>
              <w:ind w:left="-19" w:right="35"/>
              <w:contextualSpacing/>
              <w:rPr>
                <w:rFonts w:cstheme="minorHAnsi"/>
                <w:b/>
              </w:rPr>
            </w:pPr>
            <w:r w:rsidRPr="00B17462">
              <w:rPr>
                <w:rFonts w:cstheme="minorHAnsi"/>
                <w:b/>
              </w:rPr>
              <w:t>Material complementario</w:t>
            </w:r>
          </w:p>
          <w:p w14:paraId="634F752B" w14:textId="77777777" w:rsidR="002A0123" w:rsidRPr="00B17462" w:rsidRDefault="002A0123" w:rsidP="00104785">
            <w:pPr>
              <w:spacing w:after="200" w:line="276" w:lineRule="auto"/>
              <w:ind w:left="-19" w:right="35"/>
              <w:contextualSpacing/>
              <w:rPr>
                <w:rFonts w:cstheme="minorHAnsi"/>
                <w:b/>
              </w:rPr>
            </w:pPr>
          </w:p>
          <w:p w14:paraId="7A4ECB2F" w14:textId="77777777" w:rsidR="002A0123" w:rsidRPr="00B17462" w:rsidRDefault="002A0123" w:rsidP="00104785">
            <w:pPr>
              <w:spacing w:after="120" w:line="276" w:lineRule="auto"/>
              <w:rPr>
                <w:rFonts w:cstheme="minorHAnsi"/>
              </w:rPr>
            </w:pPr>
            <w:r w:rsidRPr="00B17462">
              <w:rPr>
                <w:rFonts w:cstheme="minorHAnsi"/>
              </w:rPr>
              <w:t xml:space="preserve">Conti, Cristina. “Las invisibles de la Biblia”, “Jesús como clave hermenéutica”, “Hermenéutica de la sospecha”, “Exégesis y hermenéutica”. En </w:t>
            </w:r>
            <w:r w:rsidRPr="00B17462">
              <w:rPr>
                <w:rFonts w:cstheme="minorHAnsi"/>
                <w:i/>
              </w:rPr>
              <w:t>La Biblia desde otras orillas</w:t>
            </w:r>
            <w:r w:rsidRPr="00B17462">
              <w:rPr>
                <w:rFonts w:cstheme="minorHAnsi"/>
              </w:rPr>
              <w:t xml:space="preserve">, 31-61. </w:t>
            </w:r>
            <w:r w:rsidRPr="00B17462">
              <w:rPr>
                <w:rFonts w:cstheme="minorHAnsi"/>
              </w:rPr>
              <w:lastRenderedPageBreak/>
              <w:t xml:space="preserve">Guatemala: Editorial </w:t>
            </w:r>
            <w:proofErr w:type="spellStart"/>
            <w:r w:rsidRPr="00B17462">
              <w:rPr>
                <w:rFonts w:cstheme="minorHAnsi"/>
              </w:rPr>
              <w:t>Serviprensa</w:t>
            </w:r>
            <w:proofErr w:type="spellEnd"/>
            <w:r w:rsidRPr="00B17462">
              <w:rPr>
                <w:rFonts w:cstheme="minorHAnsi"/>
              </w:rPr>
              <w:t>, 2018.</w:t>
            </w:r>
            <w:r>
              <w:rPr>
                <w:rFonts w:cstheme="minorHAnsi"/>
              </w:rPr>
              <w:t xml:space="preserve"> </w:t>
            </w:r>
            <w:r w:rsidRPr="00DF4C00">
              <w:rPr>
                <w:rFonts w:cstheme="minorHAnsi"/>
                <w:color w:val="0070C0"/>
              </w:rPr>
              <w:t>(clásico, última edición)</w:t>
            </w:r>
          </w:p>
          <w:p w14:paraId="3BD5BEBD" w14:textId="77777777" w:rsidR="002A0123" w:rsidRDefault="002A0123" w:rsidP="00104785">
            <w:pPr>
              <w:spacing w:after="200" w:line="276" w:lineRule="auto"/>
              <w:ind w:left="-19" w:right="35"/>
              <w:contextualSpacing/>
              <w:rPr>
                <w:rFonts w:cstheme="minorHAnsi"/>
              </w:rPr>
            </w:pPr>
          </w:p>
          <w:p w14:paraId="12032B76" w14:textId="77777777" w:rsidR="002A0123" w:rsidRPr="00B17462" w:rsidRDefault="002A0123" w:rsidP="00104785">
            <w:pPr>
              <w:spacing w:after="200" w:line="276" w:lineRule="auto"/>
              <w:ind w:left="-19" w:right="35"/>
              <w:contextualSpacing/>
              <w:rPr>
                <w:rFonts w:eastAsia="Calibri" w:cstheme="minorHAnsi"/>
              </w:rPr>
            </w:pPr>
            <w:r>
              <w:rPr>
                <w:rFonts w:cstheme="minorHAnsi"/>
                <w:color w:val="0070C0"/>
              </w:rPr>
              <w:t>Guía para la participación en un foro en la plataforma Moodle</w:t>
            </w:r>
          </w:p>
        </w:tc>
        <w:tc>
          <w:tcPr>
            <w:tcW w:w="3118" w:type="dxa"/>
          </w:tcPr>
          <w:p w14:paraId="1EA6F655"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lastRenderedPageBreak/>
              <w:t>Participación en el foro temático grupal: Aportes del análisis retórico para el estudio de los textos bíblicos.</w:t>
            </w:r>
          </w:p>
          <w:p w14:paraId="0644D1A8"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aportes al diario reflexivo a partir de las reflexiones sobre esta sesión.</w:t>
            </w:r>
          </w:p>
        </w:tc>
      </w:tr>
      <w:tr w:rsidR="002A0123" w:rsidRPr="0023181B" w14:paraId="4F58E9E7" w14:textId="77777777" w:rsidTr="00104785">
        <w:trPr>
          <w:trHeight w:val="1911"/>
          <w:jc w:val="center"/>
        </w:trPr>
        <w:tc>
          <w:tcPr>
            <w:tcW w:w="1271" w:type="dxa"/>
          </w:tcPr>
          <w:p w14:paraId="3F32F483" w14:textId="77777777" w:rsidR="002A0123" w:rsidRDefault="002A0123" w:rsidP="00104785">
            <w:pPr>
              <w:jc w:val="center"/>
              <w:rPr>
                <w:rFonts w:cstheme="minorHAnsi"/>
                <w:color w:val="000000" w:themeColor="text1"/>
              </w:rPr>
            </w:pPr>
          </w:p>
          <w:p w14:paraId="20DB244D" w14:textId="77777777" w:rsidR="002A0123" w:rsidRPr="00D71ED1" w:rsidRDefault="002A0123" w:rsidP="00104785">
            <w:pPr>
              <w:jc w:val="center"/>
              <w:rPr>
                <w:rFonts w:cstheme="minorHAnsi"/>
                <w:color w:val="000000" w:themeColor="text1"/>
              </w:rPr>
            </w:pPr>
            <w:r w:rsidRPr="00D71ED1">
              <w:rPr>
                <w:rFonts w:cstheme="minorHAnsi"/>
                <w:color w:val="000000" w:themeColor="text1"/>
              </w:rPr>
              <w:t>9</w:t>
            </w:r>
          </w:p>
          <w:p w14:paraId="120C683B" w14:textId="77777777" w:rsidR="002A0123" w:rsidRPr="00D71ED1" w:rsidRDefault="002A0123" w:rsidP="00104785">
            <w:pPr>
              <w:jc w:val="center"/>
              <w:rPr>
                <w:rFonts w:cstheme="minorHAnsi"/>
                <w:color w:val="FF0000"/>
              </w:rPr>
            </w:pPr>
          </w:p>
        </w:tc>
        <w:tc>
          <w:tcPr>
            <w:tcW w:w="2410" w:type="dxa"/>
          </w:tcPr>
          <w:p w14:paraId="01075323" w14:textId="77777777" w:rsidR="002A0123" w:rsidRPr="00D232C4" w:rsidRDefault="002A0123" w:rsidP="00104785">
            <w:pPr>
              <w:rPr>
                <w:rFonts w:eastAsia="Calibri" w:cstheme="minorHAnsi"/>
                <w:b/>
                <w:bCs/>
              </w:rPr>
            </w:pPr>
            <w:r w:rsidRPr="00D232C4">
              <w:rPr>
                <w:rFonts w:eastAsia="Calibri" w:cstheme="minorHAnsi"/>
                <w:b/>
                <w:bCs/>
              </w:rPr>
              <w:t>Unidad 2: Pasos para una metodología del estudio bíblico</w:t>
            </w:r>
          </w:p>
          <w:p w14:paraId="110D25EE" w14:textId="77777777" w:rsidR="002A0123" w:rsidRPr="00026040" w:rsidRDefault="002A0123" w:rsidP="00104785">
            <w:pPr>
              <w:rPr>
                <w:rFonts w:eastAsia="Calibri" w:cstheme="minorHAnsi"/>
              </w:rPr>
            </w:pPr>
          </w:p>
          <w:p w14:paraId="4074E87D" w14:textId="77777777" w:rsidR="002A0123" w:rsidRPr="00026040" w:rsidRDefault="002A0123" w:rsidP="00104785">
            <w:pPr>
              <w:rPr>
                <w:rFonts w:eastAsia="Calibri" w:cstheme="minorHAnsi"/>
              </w:rPr>
            </w:pPr>
            <w:r w:rsidRPr="00026040">
              <w:rPr>
                <w:rFonts w:eastAsia="Calibri" w:cstheme="minorHAnsi"/>
              </w:rPr>
              <w:t>2.4 Lectura popular de la Biblia</w:t>
            </w:r>
          </w:p>
        </w:tc>
        <w:tc>
          <w:tcPr>
            <w:tcW w:w="2835" w:type="dxa"/>
          </w:tcPr>
          <w:p w14:paraId="6007DE42" w14:textId="77777777" w:rsidR="002A0123" w:rsidRDefault="002A0123" w:rsidP="00104785">
            <w:pPr>
              <w:spacing w:after="120"/>
              <w:rPr>
                <w:rFonts w:cstheme="minorHAnsi"/>
              </w:rPr>
            </w:pPr>
            <w:r w:rsidRPr="00FC691F">
              <w:rPr>
                <w:rFonts w:cs="Arial"/>
                <w:color w:val="0070C0"/>
              </w:rPr>
              <w:t>Ruta de aprendizaje</w:t>
            </w:r>
          </w:p>
          <w:p w14:paraId="28E68037" w14:textId="77777777" w:rsidR="002A0123" w:rsidRDefault="002A0123" w:rsidP="00104785">
            <w:pPr>
              <w:spacing w:after="120"/>
              <w:rPr>
                <w:rFonts w:cstheme="minorHAnsi"/>
              </w:rPr>
            </w:pPr>
            <w:r w:rsidRPr="00B17462">
              <w:rPr>
                <w:rFonts w:cstheme="minorHAnsi"/>
              </w:rPr>
              <w:t xml:space="preserve">Rocha, Violeta. “Lectura Popular de la Biblia”. Con la colaboración de Abel Moya y Elsa Padilla. </w:t>
            </w:r>
            <w:r w:rsidRPr="00B17462">
              <w:rPr>
                <w:rFonts w:cstheme="minorHAnsi"/>
                <w:i/>
              </w:rPr>
              <w:t>Aportes Bíblicos 11</w:t>
            </w:r>
            <w:r w:rsidRPr="00B17462">
              <w:rPr>
                <w:rFonts w:cstheme="minorHAnsi"/>
              </w:rPr>
              <w:t>, 2010: pp. 5-42.</w:t>
            </w:r>
          </w:p>
          <w:p w14:paraId="2DD18996" w14:textId="77777777" w:rsidR="002A0123" w:rsidRDefault="002A0123" w:rsidP="00104785">
            <w:pPr>
              <w:spacing w:after="120"/>
              <w:rPr>
                <w:rFonts w:cstheme="minorHAnsi"/>
                <w:b/>
                <w:color w:val="0070C0"/>
              </w:rPr>
            </w:pPr>
            <w:r w:rsidRPr="00FC691F">
              <w:rPr>
                <w:rFonts w:cstheme="minorHAnsi"/>
                <w:b/>
                <w:color w:val="0070C0"/>
              </w:rPr>
              <w:t>Material complementario</w:t>
            </w:r>
          </w:p>
          <w:p w14:paraId="5A97FD88" w14:textId="77777777" w:rsidR="002A0123" w:rsidRDefault="002A0123" w:rsidP="00104785">
            <w:pPr>
              <w:spacing w:after="120"/>
              <w:rPr>
                <w:rFonts w:cstheme="minorHAnsi"/>
                <w:bCs/>
                <w:color w:val="0070C0"/>
              </w:rPr>
            </w:pPr>
            <w:r>
              <w:rPr>
                <w:rFonts w:cstheme="minorHAnsi"/>
                <w:bCs/>
                <w:color w:val="0070C0"/>
              </w:rPr>
              <w:t>Guía para la participación en un foro en la plataforma Moodle</w:t>
            </w:r>
          </w:p>
          <w:p w14:paraId="13E63389" w14:textId="77777777" w:rsidR="002A0123" w:rsidRDefault="002A0123" w:rsidP="00104785">
            <w:pPr>
              <w:spacing w:after="120"/>
              <w:rPr>
                <w:rFonts w:cstheme="minorHAnsi"/>
                <w:bCs/>
              </w:rPr>
            </w:pPr>
            <w:r>
              <w:rPr>
                <w:rFonts w:cstheme="minorHAnsi"/>
                <w:bCs/>
                <w:color w:val="0070C0"/>
              </w:rPr>
              <w:t>Guía para la elaboración de un diario reflexivo</w:t>
            </w:r>
          </w:p>
          <w:p w14:paraId="0153BC2E" w14:textId="77777777" w:rsidR="002A0123" w:rsidRPr="005A2927" w:rsidRDefault="002A0123" w:rsidP="00104785">
            <w:pPr>
              <w:spacing w:after="120"/>
              <w:rPr>
                <w:rFonts w:cstheme="minorHAnsi"/>
                <w:bCs/>
              </w:rPr>
            </w:pPr>
          </w:p>
        </w:tc>
        <w:tc>
          <w:tcPr>
            <w:tcW w:w="3118" w:type="dxa"/>
          </w:tcPr>
          <w:p w14:paraId="0466E70A"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de debate grupal: Exégesis y lectura popular de la Biblia.</w:t>
            </w:r>
          </w:p>
          <w:p w14:paraId="7ABA1231"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Entrega del diario reflexivo completo (sesiones 3-9).</w:t>
            </w:r>
          </w:p>
        </w:tc>
      </w:tr>
      <w:tr w:rsidR="002A0123" w:rsidRPr="0023181B" w14:paraId="551E3EE6" w14:textId="77777777" w:rsidTr="00104785">
        <w:trPr>
          <w:jc w:val="center"/>
        </w:trPr>
        <w:tc>
          <w:tcPr>
            <w:tcW w:w="1271" w:type="dxa"/>
          </w:tcPr>
          <w:p w14:paraId="21122680" w14:textId="77777777" w:rsidR="002A0123" w:rsidRDefault="002A0123" w:rsidP="00104785">
            <w:pPr>
              <w:jc w:val="center"/>
              <w:rPr>
                <w:rFonts w:cstheme="minorHAnsi"/>
                <w:color w:val="000000" w:themeColor="text1"/>
              </w:rPr>
            </w:pPr>
          </w:p>
          <w:p w14:paraId="505BBF56"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10</w:t>
            </w:r>
          </w:p>
          <w:p w14:paraId="6AC820FA" w14:textId="77777777" w:rsidR="002A0123" w:rsidRPr="00D71ED1" w:rsidRDefault="002A0123" w:rsidP="00104785">
            <w:pPr>
              <w:jc w:val="center"/>
              <w:rPr>
                <w:rFonts w:cstheme="minorHAnsi"/>
                <w:color w:val="FF0000"/>
              </w:rPr>
            </w:pPr>
          </w:p>
        </w:tc>
        <w:tc>
          <w:tcPr>
            <w:tcW w:w="2410" w:type="dxa"/>
          </w:tcPr>
          <w:p w14:paraId="1AA615C0" w14:textId="77777777" w:rsidR="002A0123" w:rsidRPr="00D232C4" w:rsidRDefault="002A0123" w:rsidP="00104785">
            <w:pPr>
              <w:rPr>
                <w:rFonts w:eastAsia="Calibri" w:cstheme="minorHAnsi"/>
                <w:b/>
                <w:bCs/>
              </w:rPr>
            </w:pPr>
            <w:r w:rsidRPr="00D232C4">
              <w:rPr>
                <w:rFonts w:eastAsia="Calibri" w:cstheme="minorHAnsi"/>
                <w:b/>
                <w:bCs/>
              </w:rPr>
              <w:t xml:space="preserve">Unidad 3: Práctica exegética con distintos tipos de textos </w:t>
            </w:r>
          </w:p>
          <w:p w14:paraId="709D3533" w14:textId="77777777" w:rsidR="002A0123" w:rsidRPr="00026040" w:rsidRDefault="002A0123" w:rsidP="00104785">
            <w:pPr>
              <w:rPr>
                <w:rFonts w:eastAsia="Calibri" w:cstheme="minorHAnsi"/>
              </w:rPr>
            </w:pPr>
          </w:p>
          <w:p w14:paraId="5A0EC62F" w14:textId="77777777" w:rsidR="002A0123" w:rsidRPr="00026040" w:rsidRDefault="002A0123" w:rsidP="00104785">
            <w:pPr>
              <w:rPr>
                <w:rFonts w:eastAsia="Calibri" w:cstheme="minorHAnsi"/>
              </w:rPr>
            </w:pPr>
            <w:r w:rsidRPr="00026040">
              <w:rPr>
                <w:rFonts w:eastAsia="Calibri" w:cstheme="minorHAnsi"/>
              </w:rPr>
              <w:t>3.1 Narrativo y poético</w:t>
            </w:r>
          </w:p>
          <w:p w14:paraId="03D5DF35" w14:textId="77777777" w:rsidR="002A0123" w:rsidRPr="00026040" w:rsidRDefault="002A0123" w:rsidP="00104785">
            <w:pPr>
              <w:rPr>
                <w:rFonts w:eastAsia="Calibri" w:cstheme="minorHAnsi"/>
              </w:rPr>
            </w:pPr>
          </w:p>
          <w:p w14:paraId="3EE09778" w14:textId="77777777" w:rsidR="002A0123" w:rsidRPr="00026040" w:rsidRDefault="002A0123" w:rsidP="00104785">
            <w:pPr>
              <w:rPr>
                <w:rFonts w:eastAsia="Calibri" w:cstheme="minorHAnsi"/>
                <w:strike/>
              </w:rPr>
            </w:pPr>
          </w:p>
        </w:tc>
        <w:tc>
          <w:tcPr>
            <w:tcW w:w="2835" w:type="dxa"/>
          </w:tcPr>
          <w:p w14:paraId="491FBEAB" w14:textId="77777777" w:rsidR="002A0123" w:rsidRDefault="002A0123" w:rsidP="00104785">
            <w:pPr>
              <w:rPr>
                <w:rFonts w:cs="Arial"/>
                <w:color w:val="0070C0"/>
              </w:rPr>
            </w:pPr>
            <w:r w:rsidRPr="00FC691F">
              <w:rPr>
                <w:rFonts w:cs="Arial"/>
                <w:color w:val="0070C0"/>
              </w:rPr>
              <w:t>Ruta de aprendizaje</w:t>
            </w:r>
          </w:p>
          <w:p w14:paraId="61E28B6C" w14:textId="77777777" w:rsidR="002A0123" w:rsidRDefault="002A0123" w:rsidP="00104785">
            <w:pPr>
              <w:rPr>
                <w:rFonts w:cs="Arial"/>
                <w:color w:val="0070C0"/>
              </w:rPr>
            </w:pPr>
          </w:p>
          <w:p w14:paraId="4B0B9E40" w14:textId="77777777" w:rsidR="002A0123" w:rsidRDefault="002A0123" w:rsidP="00104785">
            <w:pPr>
              <w:rPr>
                <w:rFonts w:cstheme="minorHAnsi"/>
                <w:b/>
                <w:color w:val="0070C0"/>
              </w:rPr>
            </w:pPr>
            <w:r w:rsidRPr="00FC691F">
              <w:rPr>
                <w:rFonts w:cstheme="minorHAnsi"/>
                <w:b/>
                <w:color w:val="0070C0"/>
              </w:rPr>
              <w:t>Material complementario</w:t>
            </w:r>
          </w:p>
          <w:p w14:paraId="17C2EC4C" w14:textId="77777777" w:rsidR="002A0123" w:rsidRDefault="002A0123" w:rsidP="00104785">
            <w:pPr>
              <w:rPr>
                <w:rFonts w:cstheme="minorHAnsi"/>
                <w:b/>
                <w:color w:val="0070C0"/>
              </w:rPr>
            </w:pPr>
          </w:p>
          <w:p w14:paraId="2BEFDA6E" w14:textId="77777777" w:rsidR="002A0123" w:rsidRPr="002567E1" w:rsidRDefault="002A0123" w:rsidP="00104785">
            <w:pPr>
              <w:rPr>
                <w:rFonts w:cstheme="minorHAnsi"/>
                <w:bCs/>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tc>
        <w:tc>
          <w:tcPr>
            <w:tcW w:w="3118" w:type="dxa"/>
          </w:tcPr>
          <w:p w14:paraId="2B9B77FE"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Realizar un análisis narrativo de un texto bíblico.</w:t>
            </w:r>
          </w:p>
          <w:p w14:paraId="06571070"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tc>
      </w:tr>
      <w:tr w:rsidR="002A0123" w:rsidRPr="0023181B" w14:paraId="490BBC83" w14:textId="77777777" w:rsidTr="00104785">
        <w:trPr>
          <w:jc w:val="center"/>
        </w:trPr>
        <w:tc>
          <w:tcPr>
            <w:tcW w:w="1271" w:type="dxa"/>
          </w:tcPr>
          <w:p w14:paraId="045FEFD3" w14:textId="77777777" w:rsidR="002A0123" w:rsidRDefault="002A0123" w:rsidP="00104785">
            <w:pPr>
              <w:jc w:val="center"/>
              <w:rPr>
                <w:rFonts w:cstheme="minorHAnsi"/>
                <w:color w:val="000000" w:themeColor="text1"/>
              </w:rPr>
            </w:pPr>
          </w:p>
          <w:p w14:paraId="6F802533"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11</w:t>
            </w:r>
          </w:p>
          <w:p w14:paraId="22201488" w14:textId="77777777" w:rsidR="002A0123" w:rsidRPr="00D71ED1" w:rsidRDefault="002A0123" w:rsidP="00104785">
            <w:pPr>
              <w:jc w:val="center"/>
              <w:rPr>
                <w:rFonts w:cstheme="minorHAnsi"/>
                <w:color w:val="FF0000"/>
              </w:rPr>
            </w:pPr>
          </w:p>
        </w:tc>
        <w:tc>
          <w:tcPr>
            <w:tcW w:w="2410" w:type="dxa"/>
          </w:tcPr>
          <w:p w14:paraId="43C07AC0" w14:textId="77777777" w:rsidR="002A0123" w:rsidRPr="00D232C4" w:rsidRDefault="002A0123" w:rsidP="00104785">
            <w:pPr>
              <w:rPr>
                <w:rFonts w:eastAsia="Calibri" w:cstheme="minorHAnsi"/>
                <w:b/>
                <w:bCs/>
              </w:rPr>
            </w:pPr>
            <w:r w:rsidRPr="00D232C4">
              <w:rPr>
                <w:rFonts w:eastAsia="Calibri" w:cstheme="minorHAnsi"/>
                <w:b/>
                <w:bCs/>
              </w:rPr>
              <w:t xml:space="preserve">Unidad 3: Práctica exegética con distintos tipos de textos </w:t>
            </w:r>
          </w:p>
          <w:p w14:paraId="4A31ED51" w14:textId="77777777" w:rsidR="002A0123" w:rsidRPr="00026040" w:rsidRDefault="002A0123" w:rsidP="00104785">
            <w:pPr>
              <w:rPr>
                <w:rFonts w:eastAsia="Calibri" w:cstheme="minorHAnsi"/>
              </w:rPr>
            </w:pPr>
          </w:p>
          <w:p w14:paraId="786A26E5" w14:textId="77777777" w:rsidR="002A0123" w:rsidRPr="00026040" w:rsidRDefault="002A0123" w:rsidP="00104785">
            <w:pPr>
              <w:rPr>
                <w:rFonts w:eastAsia="Calibri" w:cstheme="minorHAnsi"/>
                <w:strike/>
              </w:rPr>
            </w:pPr>
            <w:r w:rsidRPr="00026040">
              <w:rPr>
                <w:rFonts w:eastAsia="Calibri" w:cstheme="minorHAnsi"/>
              </w:rPr>
              <w:t>3.1 Narrativo y poético</w:t>
            </w:r>
          </w:p>
        </w:tc>
        <w:tc>
          <w:tcPr>
            <w:tcW w:w="2835" w:type="dxa"/>
          </w:tcPr>
          <w:p w14:paraId="1B6323AB" w14:textId="77777777" w:rsidR="002A0123" w:rsidRDefault="002A0123" w:rsidP="00104785">
            <w:pPr>
              <w:rPr>
                <w:rFonts w:cs="Arial"/>
                <w:color w:val="0070C0"/>
              </w:rPr>
            </w:pPr>
            <w:r w:rsidRPr="00FC691F">
              <w:rPr>
                <w:rFonts w:cs="Arial"/>
                <w:color w:val="0070C0"/>
              </w:rPr>
              <w:t>Ruta de aprendizaje</w:t>
            </w:r>
          </w:p>
          <w:p w14:paraId="455C0FFE" w14:textId="77777777" w:rsidR="002A0123" w:rsidRDefault="002A0123" w:rsidP="00104785">
            <w:pPr>
              <w:rPr>
                <w:rFonts w:cs="Arial"/>
                <w:color w:val="0070C0"/>
              </w:rPr>
            </w:pPr>
          </w:p>
          <w:p w14:paraId="77DE57F0" w14:textId="77777777" w:rsidR="002A0123" w:rsidRDefault="002A0123" w:rsidP="00104785">
            <w:pPr>
              <w:rPr>
                <w:rFonts w:cstheme="minorHAnsi"/>
                <w:b/>
                <w:color w:val="0070C0"/>
              </w:rPr>
            </w:pPr>
            <w:r w:rsidRPr="00FC691F">
              <w:rPr>
                <w:rFonts w:cstheme="minorHAnsi"/>
                <w:b/>
                <w:color w:val="0070C0"/>
              </w:rPr>
              <w:t>Material complementario</w:t>
            </w:r>
          </w:p>
          <w:p w14:paraId="27E09C22" w14:textId="77777777" w:rsidR="002A0123" w:rsidRDefault="002A0123" w:rsidP="00104785">
            <w:pPr>
              <w:rPr>
                <w:rFonts w:cstheme="minorHAnsi"/>
                <w:b/>
                <w:color w:val="0070C0"/>
              </w:rPr>
            </w:pPr>
          </w:p>
          <w:p w14:paraId="1D9BF70C" w14:textId="7840D2B6" w:rsidR="002A0123" w:rsidRPr="004F6B0C" w:rsidRDefault="002A0123" w:rsidP="008A2C19">
            <w:pPr>
              <w:rPr>
                <w:rFonts w:cstheme="minorHAnsi"/>
                <w:bCs/>
              </w:rPr>
            </w:pPr>
            <w:r>
              <w:rPr>
                <w:rFonts w:cstheme="minorHAnsi"/>
                <w:bCs/>
                <w:color w:val="0070C0"/>
              </w:rPr>
              <w:t>Guía para la participación en un foro en la plataforma Moodle</w:t>
            </w:r>
          </w:p>
        </w:tc>
        <w:tc>
          <w:tcPr>
            <w:tcW w:w="3118" w:type="dxa"/>
          </w:tcPr>
          <w:p w14:paraId="03615BCF"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Participación en el foro para la coevaluación del análisis narrativo de un texto bíblico.</w:t>
            </w:r>
          </w:p>
        </w:tc>
      </w:tr>
      <w:tr w:rsidR="002A0123" w:rsidRPr="0023181B" w14:paraId="34C6BEA3" w14:textId="77777777" w:rsidTr="00104785">
        <w:trPr>
          <w:jc w:val="center"/>
        </w:trPr>
        <w:tc>
          <w:tcPr>
            <w:tcW w:w="1271" w:type="dxa"/>
          </w:tcPr>
          <w:p w14:paraId="624BBCCA" w14:textId="77777777" w:rsidR="002A0123" w:rsidRDefault="002A0123" w:rsidP="00104785">
            <w:pPr>
              <w:jc w:val="center"/>
              <w:rPr>
                <w:rFonts w:cstheme="minorHAnsi"/>
                <w:color w:val="000000" w:themeColor="text1"/>
              </w:rPr>
            </w:pPr>
          </w:p>
          <w:p w14:paraId="0E966B00"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12</w:t>
            </w:r>
          </w:p>
          <w:p w14:paraId="3B939BC4" w14:textId="77777777" w:rsidR="002A0123" w:rsidRPr="00D71ED1" w:rsidRDefault="002A0123" w:rsidP="00104785">
            <w:pPr>
              <w:jc w:val="center"/>
              <w:rPr>
                <w:rFonts w:cstheme="minorHAnsi"/>
                <w:color w:val="FF0000"/>
              </w:rPr>
            </w:pPr>
          </w:p>
        </w:tc>
        <w:tc>
          <w:tcPr>
            <w:tcW w:w="2410" w:type="dxa"/>
          </w:tcPr>
          <w:p w14:paraId="28CB93F5" w14:textId="77777777" w:rsidR="002A0123" w:rsidRPr="00D232C4" w:rsidRDefault="002A0123" w:rsidP="00104785">
            <w:pPr>
              <w:rPr>
                <w:rFonts w:eastAsia="Calibri" w:cstheme="minorHAnsi"/>
                <w:b/>
                <w:bCs/>
              </w:rPr>
            </w:pPr>
            <w:r w:rsidRPr="00D232C4">
              <w:rPr>
                <w:rFonts w:eastAsia="Calibri" w:cstheme="minorHAnsi"/>
                <w:b/>
                <w:bCs/>
              </w:rPr>
              <w:t xml:space="preserve">Unidad 3: Práctica exegética con distintos tipos de textos </w:t>
            </w:r>
          </w:p>
          <w:p w14:paraId="24F7EB1B" w14:textId="77777777" w:rsidR="002A0123" w:rsidRPr="00026040" w:rsidRDefault="002A0123" w:rsidP="00104785">
            <w:pPr>
              <w:rPr>
                <w:rFonts w:eastAsia="Calibri" w:cstheme="minorHAnsi"/>
              </w:rPr>
            </w:pPr>
          </w:p>
          <w:p w14:paraId="56034120" w14:textId="77777777" w:rsidR="002A0123" w:rsidRPr="00026040" w:rsidRDefault="002A0123" w:rsidP="00104785">
            <w:pPr>
              <w:rPr>
                <w:rFonts w:eastAsia="Calibri" w:cstheme="minorHAnsi"/>
              </w:rPr>
            </w:pPr>
            <w:r w:rsidRPr="00026040">
              <w:rPr>
                <w:rFonts w:eastAsia="Calibri" w:cstheme="minorHAnsi"/>
              </w:rPr>
              <w:t>3.1 Narrativo y poético</w:t>
            </w:r>
          </w:p>
          <w:p w14:paraId="55E64C0E" w14:textId="77777777" w:rsidR="002A0123" w:rsidRPr="00026040" w:rsidRDefault="002A0123" w:rsidP="00104785">
            <w:pPr>
              <w:rPr>
                <w:rFonts w:eastAsia="Calibri" w:cstheme="minorHAnsi"/>
              </w:rPr>
            </w:pPr>
          </w:p>
          <w:p w14:paraId="7F009058" w14:textId="77777777" w:rsidR="002A0123" w:rsidRPr="00026040" w:rsidRDefault="002A0123" w:rsidP="00104785">
            <w:pPr>
              <w:rPr>
                <w:rFonts w:eastAsia="Calibri" w:cstheme="minorHAnsi"/>
                <w:strike/>
              </w:rPr>
            </w:pPr>
          </w:p>
        </w:tc>
        <w:tc>
          <w:tcPr>
            <w:tcW w:w="2835" w:type="dxa"/>
          </w:tcPr>
          <w:p w14:paraId="53AE8950" w14:textId="77777777" w:rsidR="002A0123" w:rsidRDefault="002A0123" w:rsidP="00104785">
            <w:pPr>
              <w:spacing w:after="120" w:line="276" w:lineRule="auto"/>
              <w:rPr>
                <w:rFonts w:cstheme="minorHAnsi"/>
              </w:rPr>
            </w:pPr>
            <w:r w:rsidRPr="00FC691F">
              <w:rPr>
                <w:rFonts w:cs="Arial"/>
                <w:color w:val="0070C0"/>
              </w:rPr>
              <w:t>Ruta de aprendizaje</w:t>
            </w:r>
          </w:p>
          <w:p w14:paraId="69D699F3" w14:textId="77777777" w:rsidR="002A0123" w:rsidRPr="00B17462" w:rsidRDefault="002A0123" w:rsidP="00104785">
            <w:pPr>
              <w:spacing w:after="120" w:line="276" w:lineRule="auto"/>
              <w:rPr>
                <w:rFonts w:cstheme="minorHAnsi"/>
              </w:rPr>
            </w:pPr>
            <w:r w:rsidRPr="00B17462">
              <w:rPr>
                <w:rFonts w:cstheme="minorHAnsi"/>
              </w:rPr>
              <w:t xml:space="preserve">Jaramillo, Pedro. “Como se ha vuelto ramera la villa fiel”. En </w:t>
            </w:r>
            <w:r w:rsidRPr="00B17462">
              <w:rPr>
                <w:rFonts w:cstheme="minorHAnsi"/>
                <w:i/>
              </w:rPr>
              <w:t>La Injusticia y la opresión en el lenguaje figurado de los profetas</w:t>
            </w:r>
            <w:r w:rsidRPr="00B17462">
              <w:rPr>
                <w:rFonts w:cstheme="minorHAnsi"/>
              </w:rPr>
              <w:t xml:space="preserve">, 21-42. Estella: Verbo Divino, 1992. </w:t>
            </w:r>
            <w:r w:rsidRPr="00DF4C00">
              <w:rPr>
                <w:rFonts w:cstheme="minorHAnsi"/>
                <w:color w:val="0070C0"/>
              </w:rPr>
              <w:t>(clásico, última edición)</w:t>
            </w:r>
          </w:p>
          <w:p w14:paraId="68DD01F3" w14:textId="77777777" w:rsidR="002A0123" w:rsidRDefault="002A0123" w:rsidP="00104785">
            <w:pPr>
              <w:spacing w:after="120" w:line="276" w:lineRule="auto"/>
              <w:rPr>
                <w:rFonts w:cstheme="minorHAnsi"/>
                <w:b/>
                <w:color w:val="0070C0"/>
              </w:rPr>
            </w:pPr>
            <w:r w:rsidRPr="00FC691F">
              <w:rPr>
                <w:rFonts w:cstheme="minorHAnsi"/>
                <w:b/>
                <w:color w:val="0070C0"/>
              </w:rPr>
              <w:t>Material complementario</w:t>
            </w:r>
          </w:p>
          <w:p w14:paraId="01A0BF18" w14:textId="77777777" w:rsidR="002A0123" w:rsidRDefault="002A0123" w:rsidP="00104785">
            <w:pPr>
              <w:spacing w:after="120" w:line="276" w:lineRule="auto"/>
              <w:rPr>
                <w:rFonts w:cstheme="minorHAnsi"/>
                <w:bCs/>
                <w:color w:val="0070C0"/>
              </w:rPr>
            </w:pPr>
            <w:r>
              <w:rPr>
                <w:rFonts w:cstheme="minorHAnsi"/>
                <w:bCs/>
                <w:color w:val="0070C0"/>
              </w:rPr>
              <w:t>Guía para la participación en un foro en la plataforma Moodle</w:t>
            </w:r>
          </w:p>
          <w:p w14:paraId="0ECF99D8" w14:textId="77777777" w:rsidR="002A0123" w:rsidRPr="00C16384" w:rsidRDefault="002A0123" w:rsidP="00104785">
            <w:pPr>
              <w:spacing w:after="120" w:line="276" w:lineRule="auto"/>
              <w:rPr>
                <w:rFonts w:cstheme="minorHAnsi"/>
                <w:bCs/>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p w14:paraId="4D4DA7B2" w14:textId="77777777" w:rsidR="002A0123" w:rsidRPr="00B17462" w:rsidRDefault="002A0123" w:rsidP="00104785">
            <w:pPr>
              <w:rPr>
                <w:rFonts w:cstheme="minorHAnsi"/>
              </w:rPr>
            </w:pPr>
          </w:p>
        </w:tc>
        <w:tc>
          <w:tcPr>
            <w:tcW w:w="3118" w:type="dxa"/>
          </w:tcPr>
          <w:p w14:paraId="37272DCC"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Participación en el foro grupal: Aspectos claves del análisis de textos poéticos. </w:t>
            </w:r>
          </w:p>
          <w:p w14:paraId="7514A9E5"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tc>
      </w:tr>
      <w:tr w:rsidR="002A0123" w:rsidRPr="0023181B" w14:paraId="031362A8" w14:textId="77777777" w:rsidTr="00104785">
        <w:trPr>
          <w:jc w:val="center"/>
        </w:trPr>
        <w:tc>
          <w:tcPr>
            <w:tcW w:w="1271" w:type="dxa"/>
          </w:tcPr>
          <w:p w14:paraId="478C4436" w14:textId="77777777" w:rsidR="002A0123" w:rsidRDefault="002A0123" w:rsidP="00104785">
            <w:pPr>
              <w:jc w:val="center"/>
              <w:rPr>
                <w:rFonts w:cstheme="minorHAnsi"/>
                <w:color w:val="000000" w:themeColor="text1"/>
              </w:rPr>
            </w:pPr>
          </w:p>
          <w:p w14:paraId="6B21B304"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13</w:t>
            </w:r>
          </w:p>
          <w:p w14:paraId="06DD93C6" w14:textId="77777777" w:rsidR="002A0123" w:rsidRPr="00D71ED1" w:rsidRDefault="002A0123" w:rsidP="00104785">
            <w:pPr>
              <w:jc w:val="center"/>
              <w:rPr>
                <w:rFonts w:cstheme="minorHAnsi"/>
                <w:color w:val="FF0000"/>
              </w:rPr>
            </w:pPr>
          </w:p>
        </w:tc>
        <w:tc>
          <w:tcPr>
            <w:tcW w:w="2410" w:type="dxa"/>
          </w:tcPr>
          <w:p w14:paraId="7D7AB505" w14:textId="77777777" w:rsidR="002A0123" w:rsidRPr="00D232C4" w:rsidRDefault="002A0123" w:rsidP="00104785">
            <w:pPr>
              <w:rPr>
                <w:rFonts w:eastAsia="Calibri" w:cstheme="minorHAnsi"/>
                <w:b/>
                <w:bCs/>
              </w:rPr>
            </w:pPr>
            <w:r w:rsidRPr="00D232C4">
              <w:rPr>
                <w:rFonts w:eastAsia="Calibri" w:cstheme="minorHAnsi"/>
                <w:b/>
                <w:bCs/>
              </w:rPr>
              <w:t xml:space="preserve">Unidad 3: Práctica exegética con distintos tipos de textos </w:t>
            </w:r>
          </w:p>
          <w:p w14:paraId="677F7374" w14:textId="77777777" w:rsidR="002A0123" w:rsidRPr="00026040" w:rsidRDefault="002A0123" w:rsidP="00104785">
            <w:pPr>
              <w:rPr>
                <w:rFonts w:eastAsia="Calibri" w:cstheme="minorHAnsi"/>
              </w:rPr>
            </w:pPr>
          </w:p>
          <w:p w14:paraId="1F7D260C" w14:textId="77777777" w:rsidR="002A0123" w:rsidRPr="00026040" w:rsidRDefault="002A0123" w:rsidP="00104785">
            <w:pPr>
              <w:rPr>
                <w:rFonts w:eastAsia="Calibri" w:cstheme="minorHAnsi"/>
              </w:rPr>
            </w:pPr>
            <w:r w:rsidRPr="00026040">
              <w:rPr>
                <w:rFonts w:eastAsia="Calibri" w:cstheme="minorHAnsi"/>
              </w:rPr>
              <w:t>3.2 Discurso epistolar</w:t>
            </w:r>
          </w:p>
          <w:p w14:paraId="1F296C55" w14:textId="77777777" w:rsidR="002A0123" w:rsidRPr="00026040" w:rsidRDefault="002A0123" w:rsidP="00104785">
            <w:pPr>
              <w:rPr>
                <w:rFonts w:eastAsia="Calibri" w:cstheme="minorHAnsi"/>
              </w:rPr>
            </w:pPr>
          </w:p>
          <w:p w14:paraId="132DC7C8" w14:textId="77777777" w:rsidR="002A0123" w:rsidRPr="00026040" w:rsidRDefault="002A0123" w:rsidP="00104785">
            <w:pPr>
              <w:rPr>
                <w:rFonts w:eastAsia="Calibri" w:cstheme="minorHAnsi"/>
              </w:rPr>
            </w:pPr>
            <w:r w:rsidRPr="00026040">
              <w:rPr>
                <w:rFonts w:eastAsia="Calibri" w:cstheme="minorHAnsi"/>
              </w:rPr>
              <w:t>3.3 Otros</w:t>
            </w:r>
          </w:p>
          <w:p w14:paraId="5E560165" w14:textId="77777777" w:rsidR="002A0123" w:rsidRPr="00026040" w:rsidRDefault="002A0123" w:rsidP="00104785">
            <w:pPr>
              <w:rPr>
                <w:rFonts w:eastAsia="Calibri" w:cstheme="minorHAnsi"/>
              </w:rPr>
            </w:pPr>
          </w:p>
          <w:p w14:paraId="2480734F" w14:textId="77777777" w:rsidR="002A0123" w:rsidRPr="00026040" w:rsidRDefault="002A0123" w:rsidP="00104785">
            <w:pPr>
              <w:rPr>
                <w:rFonts w:eastAsia="Calibri" w:cstheme="minorHAnsi"/>
                <w:strike/>
              </w:rPr>
            </w:pPr>
          </w:p>
        </w:tc>
        <w:tc>
          <w:tcPr>
            <w:tcW w:w="2835" w:type="dxa"/>
          </w:tcPr>
          <w:p w14:paraId="6ED45B96" w14:textId="77777777" w:rsidR="002A0123" w:rsidRDefault="002A0123" w:rsidP="00104785">
            <w:pPr>
              <w:rPr>
                <w:rFonts w:cs="Arial"/>
                <w:color w:val="0070C0"/>
              </w:rPr>
            </w:pPr>
            <w:r w:rsidRPr="00FC691F">
              <w:rPr>
                <w:rFonts w:cs="Arial"/>
                <w:color w:val="0070C0"/>
              </w:rPr>
              <w:t>Ruta de aprendizaje</w:t>
            </w:r>
          </w:p>
          <w:p w14:paraId="63CA8B0B" w14:textId="77777777" w:rsidR="002A0123" w:rsidRDefault="002A0123" w:rsidP="00104785">
            <w:pPr>
              <w:rPr>
                <w:rFonts w:cstheme="minorHAnsi"/>
              </w:rPr>
            </w:pPr>
          </w:p>
          <w:p w14:paraId="6C450115" w14:textId="77777777" w:rsidR="002A0123" w:rsidRPr="00B17462" w:rsidRDefault="002A0123" w:rsidP="00104785">
            <w:pPr>
              <w:spacing w:after="120" w:line="276" w:lineRule="auto"/>
              <w:rPr>
                <w:rFonts w:cstheme="minorHAnsi"/>
              </w:rPr>
            </w:pPr>
            <w:r w:rsidRPr="00B17462">
              <w:rPr>
                <w:rFonts w:cstheme="minorHAnsi"/>
              </w:rPr>
              <w:t xml:space="preserve">Támez Luna, Elsa L. “Introducción”, “Los ricos y las luchas de poder en la comunidad cristiana”. En </w:t>
            </w:r>
            <w:r w:rsidRPr="00B17462">
              <w:rPr>
                <w:rFonts w:cstheme="minorHAnsi"/>
                <w:i/>
              </w:rPr>
              <w:t>Luchas de poder en los orígenes del cristianismo: un estudio de la Primera carta a Timoteo</w:t>
            </w:r>
            <w:r w:rsidRPr="00B17462">
              <w:rPr>
                <w:rFonts w:cstheme="minorHAnsi"/>
              </w:rPr>
              <w:t>, 17-59.</w:t>
            </w:r>
            <w:r w:rsidRPr="00B17462">
              <w:rPr>
                <w:rFonts w:cstheme="minorHAnsi"/>
                <w:i/>
              </w:rPr>
              <w:t xml:space="preserve"> </w:t>
            </w:r>
            <w:r w:rsidRPr="00B17462">
              <w:rPr>
                <w:rFonts w:cstheme="minorHAnsi"/>
              </w:rPr>
              <w:t xml:space="preserve">Santander: Sal </w:t>
            </w:r>
            <w:proofErr w:type="spellStart"/>
            <w:r w:rsidRPr="00B17462">
              <w:rPr>
                <w:rFonts w:cstheme="minorHAnsi"/>
              </w:rPr>
              <w:t>Terrae</w:t>
            </w:r>
            <w:proofErr w:type="spellEnd"/>
            <w:r w:rsidRPr="00B17462">
              <w:rPr>
                <w:rFonts w:cstheme="minorHAnsi"/>
              </w:rPr>
              <w:t xml:space="preserve">, </w:t>
            </w:r>
            <w:r>
              <w:rPr>
                <w:rFonts w:cstheme="minorHAnsi"/>
              </w:rPr>
              <w:t>2005</w:t>
            </w:r>
            <w:r w:rsidRPr="00B17462">
              <w:rPr>
                <w:rFonts w:cstheme="minorHAnsi"/>
              </w:rPr>
              <w:t xml:space="preserve">. </w:t>
            </w:r>
            <w:r w:rsidRPr="00DF4C00">
              <w:rPr>
                <w:rFonts w:cstheme="minorHAnsi"/>
                <w:color w:val="0070C0"/>
              </w:rPr>
              <w:t>(clásico, última edición)</w:t>
            </w:r>
          </w:p>
          <w:p w14:paraId="2E476589" w14:textId="77777777" w:rsidR="002A0123" w:rsidRDefault="002A0123" w:rsidP="00104785">
            <w:pPr>
              <w:rPr>
                <w:rFonts w:cstheme="minorHAnsi"/>
              </w:rPr>
            </w:pPr>
          </w:p>
          <w:p w14:paraId="040F099F" w14:textId="77777777" w:rsidR="002A0123" w:rsidRDefault="002A0123" w:rsidP="00104785">
            <w:pPr>
              <w:rPr>
                <w:rFonts w:cstheme="minorHAnsi"/>
                <w:b/>
                <w:color w:val="0070C0"/>
              </w:rPr>
            </w:pPr>
            <w:r w:rsidRPr="00FC691F">
              <w:rPr>
                <w:rFonts w:cstheme="minorHAnsi"/>
                <w:b/>
                <w:color w:val="0070C0"/>
              </w:rPr>
              <w:t>Material complementario</w:t>
            </w:r>
          </w:p>
          <w:p w14:paraId="63C9B27A" w14:textId="77777777" w:rsidR="002A0123" w:rsidRPr="00B17462" w:rsidRDefault="002A0123" w:rsidP="00104785">
            <w:pPr>
              <w:rPr>
                <w:rFonts w:cstheme="minorHAnsi"/>
              </w:rPr>
            </w:pPr>
            <w:r>
              <w:rPr>
                <w:rFonts w:cstheme="minorHAnsi"/>
                <w:bCs/>
                <w:color w:val="0070C0"/>
              </w:rPr>
              <w:t xml:space="preserve">Guía para la participación mediante la herramienta Big Blue </w:t>
            </w:r>
            <w:proofErr w:type="spellStart"/>
            <w:r>
              <w:rPr>
                <w:rFonts w:cstheme="minorHAnsi"/>
                <w:bCs/>
                <w:color w:val="0070C0"/>
              </w:rPr>
              <w:t>Button</w:t>
            </w:r>
            <w:proofErr w:type="spellEnd"/>
            <w:r>
              <w:rPr>
                <w:rFonts w:cstheme="minorHAnsi"/>
                <w:bCs/>
                <w:color w:val="0070C0"/>
              </w:rPr>
              <w:t xml:space="preserve"> en la plataforma Moodle</w:t>
            </w:r>
          </w:p>
        </w:tc>
        <w:tc>
          <w:tcPr>
            <w:tcW w:w="3118" w:type="dxa"/>
          </w:tcPr>
          <w:p w14:paraId="4BD0E051"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Realizar un ejercicio de estudio de literatura epistolar. </w:t>
            </w:r>
          </w:p>
          <w:p w14:paraId="273A4FC8"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Presentación docente en un encuentro sincrónico virtual (formativo). </w:t>
            </w:r>
          </w:p>
        </w:tc>
      </w:tr>
      <w:tr w:rsidR="002A0123" w:rsidRPr="0023181B" w14:paraId="383F8D22" w14:textId="77777777" w:rsidTr="00104785">
        <w:trPr>
          <w:jc w:val="center"/>
        </w:trPr>
        <w:tc>
          <w:tcPr>
            <w:tcW w:w="1271" w:type="dxa"/>
          </w:tcPr>
          <w:p w14:paraId="19BC86F3" w14:textId="77777777" w:rsidR="002A0123" w:rsidRDefault="002A0123" w:rsidP="00104785">
            <w:pPr>
              <w:jc w:val="center"/>
              <w:rPr>
                <w:rFonts w:cstheme="minorHAnsi"/>
                <w:color w:val="000000" w:themeColor="text1"/>
              </w:rPr>
            </w:pPr>
          </w:p>
          <w:p w14:paraId="7091C96E"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14</w:t>
            </w:r>
          </w:p>
          <w:p w14:paraId="23E977CD" w14:textId="77777777" w:rsidR="002A0123" w:rsidRPr="00D71ED1" w:rsidRDefault="002A0123" w:rsidP="00104785">
            <w:pPr>
              <w:jc w:val="center"/>
              <w:rPr>
                <w:rFonts w:cstheme="minorHAnsi"/>
                <w:color w:val="FF0000"/>
              </w:rPr>
            </w:pPr>
          </w:p>
        </w:tc>
        <w:tc>
          <w:tcPr>
            <w:tcW w:w="2410" w:type="dxa"/>
          </w:tcPr>
          <w:p w14:paraId="4EA5AA3F" w14:textId="77777777" w:rsidR="002A0123" w:rsidRPr="00D232C4" w:rsidRDefault="002A0123" w:rsidP="00104785">
            <w:pPr>
              <w:rPr>
                <w:rFonts w:eastAsia="Calibri" w:cstheme="minorHAnsi"/>
                <w:b/>
                <w:bCs/>
              </w:rPr>
            </w:pPr>
            <w:r w:rsidRPr="00D232C4">
              <w:rPr>
                <w:rFonts w:eastAsia="Calibri" w:cstheme="minorHAnsi"/>
                <w:b/>
                <w:bCs/>
              </w:rPr>
              <w:t>Unidad 4: Ejercicios expositivos</w:t>
            </w:r>
          </w:p>
          <w:p w14:paraId="44810442" w14:textId="77777777" w:rsidR="002A0123" w:rsidRPr="00026040" w:rsidRDefault="002A0123" w:rsidP="00104785">
            <w:pPr>
              <w:rPr>
                <w:rFonts w:eastAsia="Calibri" w:cstheme="minorHAnsi"/>
              </w:rPr>
            </w:pPr>
          </w:p>
          <w:p w14:paraId="248D3BDC" w14:textId="77777777" w:rsidR="002A0123" w:rsidRPr="00026040" w:rsidRDefault="002A0123" w:rsidP="00104785">
            <w:pPr>
              <w:rPr>
                <w:rFonts w:eastAsia="Calibri" w:cstheme="minorHAnsi"/>
              </w:rPr>
            </w:pPr>
            <w:r w:rsidRPr="00026040">
              <w:rPr>
                <w:rFonts w:eastAsia="Calibri" w:cstheme="minorHAnsi"/>
              </w:rPr>
              <w:t>4.1 Diseño del taller de capacitación</w:t>
            </w:r>
          </w:p>
          <w:p w14:paraId="593E1F44" w14:textId="77777777" w:rsidR="002A0123" w:rsidRPr="00026040" w:rsidRDefault="002A0123" w:rsidP="00104785">
            <w:pPr>
              <w:rPr>
                <w:rFonts w:eastAsia="Calibri" w:cstheme="minorHAnsi"/>
              </w:rPr>
            </w:pPr>
          </w:p>
          <w:p w14:paraId="3F426452" w14:textId="77777777" w:rsidR="002A0123" w:rsidRPr="00026040" w:rsidRDefault="002A0123" w:rsidP="00104785">
            <w:pPr>
              <w:rPr>
                <w:rFonts w:eastAsia="Calibri" w:cstheme="minorHAnsi"/>
              </w:rPr>
            </w:pPr>
          </w:p>
        </w:tc>
        <w:tc>
          <w:tcPr>
            <w:tcW w:w="2835" w:type="dxa"/>
          </w:tcPr>
          <w:p w14:paraId="710F77DA" w14:textId="77777777" w:rsidR="002A0123" w:rsidRDefault="002A0123" w:rsidP="00104785">
            <w:pPr>
              <w:rPr>
                <w:rFonts w:cs="Arial"/>
                <w:color w:val="0070C0"/>
              </w:rPr>
            </w:pPr>
            <w:r w:rsidRPr="00FC691F">
              <w:rPr>
                <w:rFonts w:cs="Arial"/>
                <w:color w:val="0070C0"/>
              </w:rPr>
              <w:t>Ruta de aprendizaje</w:t>
            </w:r>
          </w:p>
          <w:p w14:paraId="7975CCC5" w14:textId="77777777" w:rsidR="002A0123" w:rsidRDefault="002A0123" w:rsidP="00104785">
            <w:pPr>
              <w:rPr>
                <w:rFonts w:cs="Arial"/>
                <w:color w:val="0070C0"/>
              </w:rPr>
            </w:pPr>
          </w:p>
          <w:p w14:paraId="373D9508" w14:textId="77777777" w:rsidR="002A0123" w:rsidRDefault="002A0123" w:rsidP="00104785">
            <w:pPr>
              <w:rPr>
                <w:rFonts w:cstheme="minorHAnsi"/>
                <w:b/>
                <w:color w:val="0070C0"/>
              </w:rPr>
            </w:pPr>
            <w:r w:rsidRPr="00FC691F">
              <w:rPr>
                <w:rFonts w:cstheme="minorHAnsi"/>
                <w:b/>
                <w:color w:val="0070C0"/>
              </w:rPr>
              <w:t>Material complementario</w:t>
            </w:r>
          </w:p>
          <w:p w14:paraId="508B2A4C" w14:textId="77777777" w:rsidR="002A0123" w:rsidRDefault="002A0123" w:rsidP="00104785">
            <w:pPr>
              <w:rPr>
                <w:rFonts w:cstheme="minorHAnsi"/>
                <w:b/>
                <w:color w:val="0070C0"/>
              </w:rPr>
            </w:pPr>
          </w:p>
          <w:p w14:paraId="05E29003" w14:textId="77777777" w:rsidR="002A0123" w:rsidRPr="0095476B" w:rsidRDefault="002A0123" w:rsidP="00104785">
            <w:pPr>
              <w:rPr>
                <w:rFonts w:eastAsia="Calibri" w:cstheme="minorHAnsi"/>
                <w:bCs/>
                <w:strike/>
              </w:rPr>
            </w:pPr>
            <w:r>
              <w:rPr>
                <w:rFonts w:cstheme="minorHAnsi"/>
                <w:bCs/>
                <w:color w:val="0070C0"/>
              </w:rPr>
              <w:t>Guía para la participación en un foro en la plataforma Moodle</w:t>
            </w:r>
          </w:p>
        </w:tc>
        <w:tc>
          <w:tcPr>
            <w:tcW w:w="3118" w:type="dxa"/>
          </w:tcPr>
          <w:p w14:paraId="5FBB73DE"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 xml:space="preserve">Iniciar la elaboración del diseño de un taller de formación bíblica. </w:t>
            </w:r>
          </w:p>
          <w:p w14:paraId="3558EF01"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Participar en el foro de consultas sobre el diseño de un taller de formación bíblica.</w:t>
            </w:r>
          </w:p>
          <w:p w14:paraId="2FD5CDA9" w14:textId="77777777" w:rsidR="002A0123" w:rsidRPr="00B17462" w:rsidRDefault="002A0123" w:rsidP="00104785">
            <w:pPr>
              <w:spacing w:after="200" w:line="276" w:lineRule="auto"/>
              <w:ind w:left="191" w:right="35"/>
              <w:contextualSpacing/>
              <w:rPr>
                <w:rFonts w:eastAsia="Calibri" w:cstheme="minorHAnsi"/>
              </w:rPr>
            </w:pPr>
          </w:p>
        </w:tc>
      </w:tr>
      <w:tr w:rsidR="002A0123" w:rsidRPr="0023181B" w14:paraId="418B926D" w14:textId="77777777" w:rsidTr="00104785">
        <w:trPr>
          <w:jc w:val="center"/>
        </w:trPr>
        <w:tc>
          <w:tcPr>
            <w:tcW w:w="1271" w:type="dxa"/>
          </w:tcPr>
          <w:p w14:paraId="791628CA" w14:textId="77777777" w:rsidR="002A0123" w:rsidRDefault="002A0123" w:rsidP="00104785">
            <w:pPr>
              <w:jc w:val="center"/>
              <w:rPr>
                <w:rFonts w:cstheme="minorHAnsi"/>
                <w:color w:val="000000" w:themeColor="text1"/>
              </w:rPr>
            </w:pPr>
          </w:p>
          <w:p w14:paraId="6227CC9C" w14:textId="77777777" w:rsidR="002A0123" w:rsidRPr="00D71ED1" w:rsidRDefault="002A0123" w:rsidP="00104785">
            <w:pPr>
              <w:jc w:val="center"/>
              <w:rPr>
                <w:rFonts w:cstheme="minorHAnsi"/>
                <w:color w:val="000000" w:themeColor="text1"/>
              </w:rPr>
            </w:pPr>
            <w:r w:rsidRPr="00D71ED1">
              <w:rPr>
                <w:rFonts w:cstheme="minorHAnsi"/>
                <w:color w:val="000000" w:themeColor="text1"/>
              </w:rPr>
              <w:t>15</w:t>
            </w:r>
          </w:p>
          <w:p w14:paraId="2BE166FF" w14:textId="77777777" w:rsidR="002A0123" w:rsidRPr="00D71ED1" w:rsidRDefault="002A0123" w:rsidP="00104785">
            <w:pPr>
              <w:jc w:val="center"/>
              <w:rPr>
                <w:rFonts w:cstheme="minorHAnsi"/>
                <w:color w:val="FF0000"/>
              </w:rPr>
            </w:pPr>
          </w:p>
        </w:tc>
        <w:tc>
          <w:tcPr>
            <w:tcW w:w="2410" w:type="dxa"/>
          </w:tcPr>
          <w:p w14:paraId="013914D0" w14:textId="77777777" w:rsidR="002A0123" w:rsidRPr="00D232C4" w:rsidRDefault="002A0123" w:rsidP="00104785">
            <w:pPr>
              <w:rPr>
                <w:rFonts w:eastAsia="Calibri" w:cstheme="minorHAnsi"/>
                <w:b/>
                <w:bCs/>
              </w:rPr>
            </w:pPr>
            <w:r w:rsidRPr="00D232C4">
              <w:rPr>
                <w:rFonts w:eastAsia="Calibri" w:cstheme="minorHAnsi"/>
                <w:b/>
                <w:bCs/>
              </w:rPr>
              <w:t>Unidad 4: Ejercicios expositivos</w:t>
            </w:r>
          </w:p>
          <w:p w14:paraId="05E030AE" w14:textId="77777777" w:rsidR="002A0123" w:rsidRPr="00026040" w:rsidRDefault="002A0123" w:rsidP="00104785">
            <w:pPr>
              <w:rPr>
                <w:rFonts w:eastAsia="Calibri" w:cstheme="minorHAnsi"/>
              </w:rPr>
            </w:pPr>
          </w:p>
          <w:p w14:paraId="04B830C6" w14:textId="77777777" w:rsidR="002A0123" w:rsidRPr="00026040" w:rsidRDefault="002A0123" w:rsidP="00104785">
            <w:pPr>
              <w:rPr>
                <w:rFonts w:eastAsia="Calibri" w:cstheme="minorHAnsi"/>
              </w:rPr>
            </w:pPr>
            <w:r w:rsidRPr="00026040">
              <w:rPr>
                <w:rFonts w:eastAsia="Calibri" w:cstheme="minorHAnsi"/>
              </w:rPr>
              <w:t>4.2 Evaluación</w:t>
            </w:r>
          </w:p>
          <w:p w14:paraId="2933C553" w14:textId="77777777" w:rsidR="002A0123" w:rsidRPr="00026040" w:rsidRDefault="002A0123" w:rsidP="00104785">
            <w:pPr>
              <w:rPr>
                <w:rFonts w:eastAsia="Calibri" w:cstheme="minorHAnsi"/>
              </w:rPr>
            </w:pPr>
          </w:p>
          <w:p w14:paraId="4225CDDB" w14:textId="77777777" w:rsidR="002A0123" w:rsidRPr="00026040" w:rsidRDefault="002A0123" w:rsidP="00104785">
            <w:pPr>
              <w:rPr>
                <w:rFonts w:eastAsia="Calibri" w:cstheme="minorHAnsi"/>
                <w:strike/>
              </w:rPr>
            </w:pPr>
          </w:p>
        </w:tc>
        <w:tc>
          <w:tcPr>
            <w:tcW w:w="2835" w:type="dxa"/>
          </w:tcPr>
          <w:p w14:paraId="3F57249F" w14:textId="77777777" w:rsidR="002A0123" w:rsidRDefault="002A0123" w:rsidP="00104785">
            <w:pPr>
              <w:rPr>
                <w:rFonts w:cs="Arial"/>
                <w:color w:val="0070C0"/>
              </w:rPr>
            </w:pPr>
            <w:r w:rsidRPr="00FC691F">
              <w:rPr>
                <w:rFonts w:cs="Arial"/>
                <w:color w:val="0070C0"/>
              </w:rPr>
              <w:t>Ruta de aprendizaje</w:t>
            </w:r>
          </w:p>
          <w:p w14:paraId="0D24CE58" w14:textId="77777777" w:rsidR="002A0123" w:rsidRDefault="002A0123" w:rsidP="00104785">
            <w:pPr>
              <w:rPr>
                <w:rFonts w:cs="Arial"/>
                <w:color w:val="0070C0"/>
              </w:rPr>
            </w:pPr>
          </w:p>
          <w:p w14:paraId="580CACA1" w14:textId="77777777" w:rsidR="002A0123" w:rsidRDefault="002A0123" w:rsidP="00104785">
            <w:pPr>
              <w:rPr>
                <w:rFonts w:cstheme="minorHAnsi"/>
                <w:b/>
                <w:color w:val="0070C0"/>
              </w:rPr>
            </w:pPr>
            <w:r w:rsidRPr="00FC691F">
              <w:rPr>
                <w:rFonts w:cstheme="minorHAnsi"/>
                <w:b/>
                <w:color w:val="0070C0"/>
              </w:rPr>
              <w:t>Material complementario</w:t>
            </w:r>
          </w:p>
          <w:p w14:paraId="49C09614" w14:textId="77777777" w:rsidR="002A0123" w:rsidRPr="00B17462" w:rsidRDefault="002A0123" w:rsidP="00104785">
            <w:pPr>
              <w:rPr>
                <w:rFonts w:eastAsia="Calibri" w:cstheme="minorHAnsi"/>
              </w:rPr>
            </w:pPr>
            <w:r>
              <w:rPr>
                <w:rFonts w:cstheme="minorHAnsi"/>
                <w:bCs/>
                <w:color w:val="0070C0"/>
              </w:rPr>
              <w:t>Guía para la participación en un foro en la plataforma Moodle</w:t>
            </w:r>
          </w:p>
        </w:tc>
        <w:tc>
          <w:tcPr>
            <w:tcW w:w="3118" w:type="dxa"/>
          </w:tcPr>
          <w:p w14:paraId="7C4A584D"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Entrega del diseño de un taller de formación bíblica.</w:t>
            </w:r>
          </w:p>
          <w:p w14:paraId="4B2A7669"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Participar en el foro para compartir aspectos claves del taller que diseñó (formativo).</w:t>
            </w:r>
          </w:p>
          <w:p w14:paraId="370D7E79" w14:textId="77777777" w:rsidR="002A0123" w:rsidRPr="00B17462" w:rsidRDefault="002A0123" w:rsidP="002A0123">
            <w:pPr>
              <w:numPr>
                <w:ilvl w:val="0"/>
                <w:numId w:val="172"/>
              </w:numPr>
              <w:spacing w:after="200" w:line="276" w:lineRule="auto"/>
              <w:ind w:left="191" w:right="35" w:hanging="210"/>
              <w:contextualSpacing/>
              <w:rPr>
                <w:rFonts w:eastAsia="Calibri" w:cstheme="minorHAnsi"/>
              </w:rPr>
            </w:pPr>
            <w:r w:rsidRPr="00B17462">
              <w:rPr>
                <w:rFonts w:eastAsia="Calibri" w:cstheme="minorHAnsi"/>
              </w:rPr>
              <w:t>Entregar la autoevaluación del proceso de aprendizaje en el curso.</w:t>
            </w:r>
          </w:p>
          <w:p w14:paraId="1BB9CA1E" w14:textId="77777777" w:rsidR="002A0123" w:rsidRPr="00B17462" w:rsidRDefault="002A0123" w:rsidP="00104785">
            <w:pPr>
              <w:spacing w:after="200" w:line="276" w:lineRule="auto"/>
              <w:ind w:left="191" w:right="35"/>
              <w:contextualSpacing/>
              <w:rPr>
                <w:rFonts w:eastAsia="Calibri" w:cstheme="minorHAnsi"/>
              </w:rPr>
            </w:pPr>
          </w:p>
        </w:tc>
      </w:tr>
    </w:tbl>
    <w:p w14:paraId="227D3BE9" w14:textId="77777777" w:rsidR="002A0123" w:rsidRDefault="002A0123" w:rsidP="002A0123">
      <w:pPr>
        <w:jc w:val="both"/>
        <w:rPr>
          <w:rFonts w:cstheme="minorHAnsi"/>
          <w:b/>
          <w:bCs/>
          <w:color w:val="000000" w:themeColor="text1"/>
        </w:rPr>
      </w:pPr>
    </w:p>
    <w:p w14:paraId="3D95695B" w14:textId="77777777" w:rsidR="002A0123" w:rsidRDefault="002A0123" w:rsidP="002A0123">
      <w:pPr>
        <w:jc w:val="both"/>
        <w:rPr>
          <w:rFonts w:cstheme="minorHAnsi"/>
          <w:b/>
          <w:bCs/>
          <w:color w:val="000000" w:themeColor="text1"/>
        </w:rPr>
      </w:pPr>
      <w:r>
        <w:rPr>
          <w:rFonts w:cstheme="minorHAnsi"/>
          <w:b/>
          <w:bCs/>
          <w:color w:val="000000" w:themeColor="text1"/>
        </w:rPr>
        <w:t>IX. Distribución de tiempo semanal</w:t>
      </w:r>
    </w:p>
    <w:p w14:paraId="27F79DEE" w14:textId="77777777" w:rsidR="002A0123" w:rsidRDefault="002A0123" w:rsidP="002A0123">
      <w:pPr>
        <w:jc w:val="both"/>
        <w:rPr>
          <w:rFonts w:cstheme="minorHAnsi"/>
          <w:bCs/>
          <w:color w:val="000000" w:themeColor="text1"/>
        </w:rPr>
      </w:pPr>
      <w:r w:rsidRPr="00672BFF">
        <w:rPr>
          <w:rFonts w:cstheme="minorHAnsi"/>
          <w:bCs/>
          <w:color w:val="000000" w:themeColor="text1"/>
        </w:rPr>
        <w:t>Al ser este un curso im</w:t>
      </w:r>
      <w:r>
        <w:rPr>
          <w:rFonts w:cstheme="minorHAnsi"/>
          <w:bCs/>
          <w:color w:val="000000" w:themeColor="text1"/>
        </w:rPr>
        <w:t>partido en la modalidad virtual</w:t>
      </w:r>
      <w:r w:rsidRPr="00672BFF">
        <w:rPr>
          <w:rFonts w:cstheme="minorHAnsi"/>
          <w:bCs/>
          <w:color w:val="000000" w:themeColor="text1"/>
        </w:rPr>
        <w:t xml:space="preserve"> no se requiere la asistencia a clases presenciales.  </w:t>
      </w:r>
      <w:r>
        <w:rPr>
          <w:rFonts w:cstheme="minorHAnsi"/>
          <w:bCs/>
          <w:color w:val="000000" w:themeColor="text1"/>
        </w:rPr>
        <w:t>Por ello, cada semana se asignan actividades que los y las estudiantes deben realizar para promover el diálogo con los contenidos y la asimilación de los temas a través de lecturas críticas, análisis, tareas, ejercicios, discusiones en foros o trabajos colaborativos.  Debe considerarse que, al tener este curso asignados 4 créditos, se debe invertir 12 horas de trabajo por semana. La distribución de tiempos es la siguiente:</w:t>
      </w:r>
    </w:p>
    <w:p w14:paraId="61726D14" w14:textId="77777777" w:rsidR="002A0123" w:rsidRDefault="002A0123" w:rsidP="002A0123">
      <w:pPr>
        <w:jc w:val="both"/>
        <w:rPr>
          <w:rFonts w:cstheme="minorHAnsi"/>
          <w:bCs/>
          <w:color w:val="000000" w:themeColor="text1"/>
        </w:rPr>
      </w:pPr>
    </w:p>
    <w:tbl>
      <w:tblPr>
        <w:tblStyle w:val="Tablaconcuadrcula"/>
        <w:tblW w:w="8784" w:type="dxa"/>
        <w:tblLook w:val="04A0" w:firstRow="1" w:lastRow="0" w:firstColumn="1" w:lastColumn="0" w:noHBand="0" w:noVBand="1"/>
      </w:tblPr>
      <w:tblGrid>
        <w:gridCol w:w="2263"/>
        <w:gridCol w:w="1276"/>
        <w:gridCol w:w="5245"/>
      </w:tblGrid>
      <w:tr w:rsidR="002A0123" w:rsidRPr="00262D1E" w14:paraId="1E05596A" w14:textId="77777777" w:rsidTr="00104785">
        <w:tc>
          <w:tcPr>
            <w:tcW w:w="2263" w:type="dxa"/>
          </w:tcPr>
          <w:p w14:paraId="7DCF8C40" w14:textId="77777777" w:rsidR="002A0123" w:rsidRDefault="002A0123" w:rsidP="00104785">
            <w:pPr>
              <w:jc w:val="center"/>
              <w:rPr>
                <w:rFonts w:cstheme="minorHAnsi"/>
                <w:b/>
                <w:bCs/>
                <w:color w:val="000000" w:themeColor="text1"/>
              </w:rPr>
            </w:pPr>
            <w:r>
              <w:rPr>
                <w:rFonts w:cstheme="minorHAnsi"/>
                <w:b/>
                <w:bCs/>
                <w:color w:val="000000" w:themeColor="text1"/>
              </w:rPr>
              <w:t>Tipo de horas</w:t>
            </w:r>
          </w:p>
          <w:p w14:paraId="1E447A59" w14:textId="77777777" w:rsidR="002A0123" w:rsidRPr="00262D1E" w:rsidRDefault="002A0123" w:rsidP="00104785">
            <w:pPr>
              <w:jc w:val="center"/>
              <w:rPr>
                <w:rFonts w:cstheme="minorHAnsi"/>
                <w:b/>
                <w:bCs/>
                <w:color w:val="000000" w:themeColor="text1"/>
              </w:rPr>
            </w:pPr>
            <w:r>
              <w:rPr>
                <w:rFonts w:cstheme="minorHAnsi"/>
                <w:b/>
                <w:bCs/>
                <w:color w:val="000000" w:themeColor="text1"/>
              </w:rPr>
              <w:t>(categoría)</w:t>
            </w:r>
          </w:p>
        </w:tc>
        <w:tc>
          <w:tcPr>
            <w:tcW w:w="1276" w:type="dxa"/>
          </w:tcPr>
          <w:p w14:paraId="44166EFD" w14:textId="77777777" w:rsidR="002A0123" w:rsidRPr="00262D1E" w:rsidRDefault="002A0123" w:rsidP="00104785">
            <w:pPr>
              <w:jc w:val="center"/>
              <w:rPr>
                <w:rFonts w:cstheme="minorHAnsi"/>
                <w:b/>
                <w:bCs/>
                <w:color w:val="000000" w:themeColor="text1"/>
              </w:rPr>
            </w:pPr>
            <w:r w:rsidRPr="00262D1E">
              <w:rPr>
                <w:rFonts w:cstheme="minorHAnsi"/>
                <w:b/>
                <w:bCs/>
                <w:color w:val="000000" w:themeColor="text1"/>
              </w:rPr>
              <w:t>Horas por semana</w:t>
            </w:r>
          </w:p>
        </w:tc>
        <w:tc>
          <w:tcPr>
            <w:tcW w:w="5245" w:type="dxa"/>
            <w:vAlign w:val="center"/>
          </w:tcPr>
          <w:p w14:paraId="2BACC4C4" w14:textId="77777777" w:rsidR="002A0123" w:rsidRPr="00262D1E" w:rsidRDefault="002A0123" w:rsidP="00104785">
            <w:pPr>
              <w:jc w:val="center"/>
              <w:rPr>
                <w:rFonts w:cstheme="minorHAnsi"/>
                <w:b/>
                <w:bCs/>
                <w:color w:val="000000" w:themeColor="text1"/>
              </w:rPr>
            </w:pPr>
            <w:r w:rsidRPr="00262D1E">
              <w:rPr>
                <w:rFonts w:cstheme="minorHAnsi"/>
                <w:b/>
                <w:bCs/>
                <w:color w:val="000000" w:themeColor="text1"/>
              </w:rPr>
              <w:t>Actividades</w:t>
            </w:r>
            <w:r>
              <w:rPr>
                <w:rFonts w:cstheme="minorHAnsi"/>
                <w:b/>
                <w:bCs/>
                <w:color w:val="000000" w:themeColor="text1"/>
              </w:rPr>
              <w:t xml:space="preserve"> relacionadas</w:t>
            </w:r>
          </w:p>
        </w:tc>
      </w:tr>
      <w:tr w:rsidR="002A0123" w14:paraId="744782B3" w14:textId="77777777" w:rsidTr="00104785">
        <w:trPr>
          <w:trHeight w:val="891"/>
        </w:trPr>
        <w:tc>
          <w:tcPr>
            <w:tcW w:w="2263" w:type="dxa"/>
            <w:vAlign w:val="center"/>
          </w:tcPr>
          <w:p w14:paraId="4E43F28D" w14:textId="77777777" w:rsidR="002A0123" w:rsidRDefault="002A0123" w:rsidP="00104785">
            <w:pPr>
              <w:jc w:val="center"/>
              <w:rPr>
                <w:rFonts w:cstheme="minorHAnsi"/>
                <w:bCs/>
                <w:color w:val="000000" w:themeColor="text1"/>
              </w:rPr>
            </w:pPr>
            <w:r>
              <w:rPr>
                <w:rFonts w:cstheme="minorHAnsi"/>
                <w:bCs/>
                <w:color w:val="000000" w:themeColor="text1"/>
              </w:rPr>
              <w:t>Horas de Estudio Individual (HEI)</w:t>
            </w:r>
          </w:p>
        </w:tc>
        <w:tc>
          <w:tcPr>
            <w:tcW w:w="1276" w:type="dxa"/>
            <w:vAlign w:val="center"/>
          </w:tcPr>
          <w:p w14:paraId="1FBCEA29" w14:textId="77777777" w:rsidR="002A0123" w:rsidRDefault="002A0123" w:rsidP="00104785">
            <w:pPr>
              <w:jc w:val="center"/>
              <w:rPr>
                <w:rFonts w:cstheme="minorHAnsi"/>
                <w:bCs/>
                <w:color w:val="000000" w:themeColor="text1"/>
              </w:rPr>
            </w:pPr>
            <w:r>
              <w:rPr>
                <w:rFonts w:cstheme="minorHAnsi"/>
                <w:bCs/>
                <w:color w:val="000000" w:themeColor="text1"/>
              </w:rPr>
              <w:t>3</w:t>
            </w:r>
          </w:p>
        </w:tc>
        <w:tc>
          <w:tcPr>
            <w:tcW w:w="5245" w:type="dxa"/>
          </w:tcPr>
          <w:p w14:paraId="2D6FDFB1" w14:textId="77777777" w:rsidR="002A0123" w:rsidRPr="004A5604" w:rsidRDefault="002A0123" w:rsidP="002A0123">
            <w:pPr>
              <w:pStyle w:val="Prrafodelista"/>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4A5604">
              <w:rPr>
                <w:rFonts w:asciiTheme="minorHAnsi" w:hAnsiTheme="minorHAnsi" w:cstheme="minorHAnsi"/>
                <w:bCs/>
                <w:color w:val="000000" w:themeColor="text1"/>
              </w:rPr>
              <w:t>Lectura de los textos (materiales en formato digital)</w:t>
            </w:r>
            <w:r>
              <w:rPr>
                <w:rFonts w:asciiTheme="minorHAnsi" w:hAnsiTheme="minorHAnsi" w:cstheme="minorHAnsi"/>
                <w:bCs/>
                <w:color w:val="000000" w:themeColor="text1"/>
              </w:rPr>
              <w:t>.</w:t>
            </w:r>
          </w:p>
          <w:p w14:paraId="37E55701" w14:textId="77777777" w:rsidR="002A0123" w:rsidRPr="004A5604" w:rsidRDefault="002A0123" w:rsidP="002A0123">
            <w:pPr>
              <w:pStyle w:val="Prrafodelista"/>
              <w:widowControl w:val="0"/>
              <w:numPr>
                <w:ilvl w:val="0"/>
                <w:numId w:val="34"/>
              </w:numPr>
              <w:overflowPunct w:val="0"/>
              <w:autoSpaceDE w:val="0"/>
              <w:autoSpaceDN w:val="0"/>
              <w:adjustRightInd w:val="0"/>
              <w:spacing w:after="0" w:line="240" w:lineRule="auto"/>
              <w:jc w:val="both"/>
              <w:rPr>
                <w:rFonts w:asciiTheme="minorHAnsi" w:hAnsiTheme="minorHAnsi" w:cstheme="minorHAnsi"/>
                <w:bCs/>
                <w:color w:val="000000" w:themeColor="text1"/>
              </w:rPr>
            </w:pPr>
            <w:r w:rsidRPr="004A5604">
              <w:rPr>
                <w:rFonts w:asciiTheme="minorHAnsi" w:hAnsiTheme="minorHAnsi" w:cstheme="minorHAnsi"/>
                <w:bCs/>
                <w:color w:val="000000" w:themeColor="text1"/>
              </w:rPr>
              <w:t>Análisis de lecturas e investigación por cuenta propia</w:t>
            </w:r>
            <w:r>
              <w:rPr>
                <w:rFonts w:asciiTheme="minorHAnsi" w:hAnsiTheme="minorHAnsi" w:cstheme="minorHAnsi"/>
                <w:bCs/>
                <w:color w:val="000000" w:themeColor="text1"/>
              </w:rPr>
              <w:t>.</w:t>
            </w:r>
          </w:p>
        </w:tc>
      </w:tr>
      <w:tr w:rsidR="002A0123" w14:paraId="5C027D4B" w14:textId="77777777" w:rsidTr="00104785">
        <w:trPr>
          <w:trHeight w:val="1967"/>
        </w:trPr>
        <w:tc>
          <w:tcPr>
            <w:tcW w:w="2263" w:type="dxa"/>
            <w:vAlign w:val="center"/>
          </w:tcPr>
          <w:p w14:paraId="766DF5D9" w14:textId="77777777" w:rsidR="002A0123" w:rsidRDefault="002A0123" w:rsidP="00104785">
            <w:pPr>
              <w:jc w:val="center"/>
              <w:rPr>
                <w:rFonts w:cstheme="minorHAnsi"/>
                <w:bCs/>
                <w:color w:val="000000" w:themeColor="text1"/>
              </w:rPr>
            </w:pPr>
            <w:r>
              <w:rPr>
                <w:rFonts w:cstheme="minorHAnsi"/>
                <w:bCs/>
                <w:color w:val="000000" w:themeColor="text1"/>
              </w:rPr>
              <w:t>Horas de Trabajo Colaborativo (HTC)</w:t>
            </w:r>
          </w:p>
        </w:tc>
        <w:tc>
          <w:tcPr>
            <w:tcW w:w="1276" w:type="dxa"/>
            <w:vAlign w:val="center"/>
          </w:tcPr>
          <w:p w14:paraId="737D8A87" w14:textId="77777777" w:rsidR="002A0123" w:rsidRDefault="002A0123" w:rsidP="00104785">
            <w:pPr>
              <w:jc w:val="center"/>
              <w:rPr>
                <w:rFonts w:cstheme="minorHAnsi"/>
                <w:bCs/>
                <w:color w:val="000000" w:themeColor="text1"/>
              </w:rPr>
            </w:pPr>
            <w:r>
              <w:rPr>
                <w:rFonts w:cstheme="minorHAnsi"/>
                <w:bCs/>
                <w:color w:val="000000" w:themeColor="text1"/>
              </w:rPr>
              <w:t>3</w:t>
            </w:r>
          </w:p>
        </w:tc>
        <w:tc>
          <w:tcPr>
            <w:tcW w:w="5245" w:type="dxa"/>
          </w:tcPr>
          <w:p w14:paraId="32385142" w14:textId="77777777" w:rsidR="002A0123" w:rsidRPr="004A5604" w:rsidRDefault="002A0123" w:rsidP="002A0123">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Trabajo grupal: p</w:t>
            </w:r>
            <w:r w:rsidRPr="004A5604">
              <w:rPr>
                <w:rFonts w:asciiTheme="minorHAnsi" w:hAnsiTheme="minorHAnsi" w:cstheme="minorHAnsi"/>
                <w:bCs/>
                <w:color w:val="000000" w:themeColor="text1"/>
              </w:rPr>
              <w:t>art</w:t>
            </w:r>
            <w:r>
              <w:rPr>
                <w:rFonts w:asciiTheme="minorHAnsi" w:hAnsiTheme="minorHAnsi" w:cstheme="minorHAnsi"/>
                <w:bCs/>
                <w:color w:val="000000" w:themeColor="text1"/>
              </w:rPr>
              <w:t>icipación en los foros</w:t>
            </w:r>
            <w:r w:rsidRPr="004A5604">
              <w:rPr>
                <w:rFonts w:asciiTheme="minorHAnsi" w:hAnsiTheme="minorHAnsi" w:cstheme="minorHAnsi"/>
                <w:bCs/>
                <w:color w:val="000000" w:themeColor="text1"/>
              </w:rPr>
              <w:t xml:space="preserve"> (incluye aportes personales y réplicas a los demás estudiantes)</w:t>
            </w:r>
            <w:r>
              <w:rPr>
                <w:rFonts w:asciiTheme="minorHAnsi" w:hAnsiTheme="minorHAnsi" w:cstheme="minorHAnsi"/>
                <w:bCs/>
                <w:color w:val="000000" w:themeColor="text1"/>
              </w:rPr>
              <w:t>.</w:t>
            </w:r>
          </w:p>
          <w:p w14:paraId="35922054" w14:textId="77777777" w:rsidR="002A0123" w:rsidRDefault="002A0123" w:rsidP="002A0123">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la elaboración del glosario.</w:t>
            </w:r>
          </w:p>
          <w:p w14:paraId="41EEF7B4" w14:textId="77777777" w:rsidR="002A0123" w:rsidRDefault="002A0123" w:rsidP="002A0123">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Coevaluación del análisis narrativo de un texto bíblico.</w:t>
            </w:r>
          </w:p>
          <w:p w14:paraId="07A18F48" w14:textId="77777777" w:rsidR="002A0123" w:rsidRPr="004A5604" w:rsidRDefault="002A0123" w:rsidP="002A0123">
            <w:pPr>
              <w:pStyle w:val="Prrafodelista"/>
              <w:widowControl w:val="0"/>
              <w:numPr>
                <w:ilvl w:val="0"/>
                <w:numId w:val="35"/>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Participación en los encuentros sincrónicos virtuales.</w:t>
            </w:r>
          </w:p>
        </w:tc>
      </w:tr>
      <w:tr w:rsidR="002A0123" w14:paraId="773E90B2" w14:textId="77777777" w:rsidTr="00104785">
        <w:trPr>
          <w:trHeight w:val="1683"/>
        </w:trPr>
        <w:tc>
          <w:tcPr>
            <w:tcW w:w="2263" w:type="dxa"/>
            <w:vAlign w:val="center"/>
          </w:tcPr>
          <w:p w14:paraId="668D92AA" w14:textId="77777777" w:rsidR="002A0123" w:rsidRDefault="002A0123" w:rsidP="00104785">
            <w:pPr>
              <w:jc w:val="center"/>
              <w:rPr>
                <w:rFonts w:cstheme="minorHAnsi"/>
                <w:bCs/>
                <w:color w:val="000000" w:themeColor="text1"/>
              </w:rPr>
            </w:pPr>
            <w:r>
              <w:rPr>
                <w:rFonts w:cstheme="minorHAnsi"/>
                <w:bCs/>
                <w:color w:val="000000" w:themeColor="text1"/>
              </w:rPr>
              <w:lastRenderedPageBreak/>
              <w:t>Horas de Producción Individual (HPI)</w:t>
            </w:r>
          </w:p>
        </w:tc>
        <w:tc>
          <w:tcPr>
            <w:tcW w:w="1276" w:type="dxa"/>
            <w:vAlign w:val="center"/>
          </w:tcPr>
          <w:p w14:paraId="60407D97" w14:textId="77777777" w:rsidR="002A0123" w:rsidRDefault="002A0123" w:rsidP="00104785">
            <w:pPr>
              <w:jc w:val="center"/>
              <w:rPr>
                <w:rFonts w:cstheme="minorHAnsi"/>
                <w:bCs/>
                <w:color w:val="000000" w:themeColor="text1"/>
              </w:rPr>
            </w:pPr>
            <w:r>
              <w:rPr>
                <w:rFonts w:cstheme="minorHAnsi"/>
                <w:bCs/>
                <w:color w:val="000000" w:themeColor="text1"/>
              </w:rPr>
              <w:t>4</w:t>
            </w:r>
          </w:p>
        </w:tc>
        <w:tc>
          <w:tcPr>
            <w:tcW w:w="5245" w:type="dxa"/>
          </w:tcPr>
          <w:p w14:paraId="251EF109" w14:textId="77777777" w:rsidR="002A0123" w:rsidRDefault="002A0123" w:rsidP="002A0123">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prácticas individuales de análisis de textos bíblicos.</w:t>
            </w:r>
          </w:p>
          <w:p w14:paraId="2F119E51" w14:textId="77777777" w:rsidR="002A0123" w:rsidRDefault="002A0123" w:rsidP="002A0123">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Elaboración de un diario reflexivo.</w:t>
            </w:r>
          </w:p>
          <w:p w14:paraId="51F35E2B" w14:textId="77777777" w:rsidR="002A0123" w:rsidRDefault="002A0123" w:rsidP="002A0123">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Diseño de un taller de formación bíblica.</w:t>
            </w:r>
          </w:p>
          <w:p w14:paraId="0070822C" w14:textId="77777777" w:rsidR="002A0123" w:rsidRPr="004A5604" w:rsidRDefault="002A0123" w:rsidP="002A0123">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Autoevaluación del proceso de aprendizaje en el curso.</w:t>
            </w:r>
          </w:p>
        </w:tc>
      </w:tr>
      <w:tr w:rsidR="002A0123" w14:paraId="546BA28B" w14:textId="77777777" w:rsidTr="00104785">
        <w:trPr>
          <w:trHeight w:val="573"/>
        </w:trPr>
        <w:tc>
          <w:tcPr>
            <w:tcW w:w="2263" w:type="dxa"/>
            <w:vAlign w:val="center"/>
          </w:tcPr>
          <w:p w14:paraId="3641FE24" w14:textId="77777777" w:rsidR="002A0123" w:rsidRDefault="002A0123" w:rsidP="00104785">
            <w:pPr>
              <w:jc w:val="center"/>
              <w:rPr>
                <w:rFonts w:cstheme="minorHAnsi"/>
                <w:bCs/>
                <w:color w:val="000000" w:themeColor="text1"/>
              </w:rPr>
            </w:pPr>
            <w:r>
              <w:rPr>
                <w:rFonts w:cstheme="minorHAnsi"/>
                <w:bCs/>
                <w:color w:val="000000" w:themeColor="text1"/>
              </w:rPr>
              <w:t>Horas de Práctica (HP)</w:t>
            </w:r>
          </w:p>
        </w:tc>
        <w:tc>
          <w:tcPr>
            <w:tcW w:w="1276" w:type="dxa"/>
            <w:vAlign w:val="center"/>
          </w:tcPr>
          <w:p w14:paraId="1CBF8BAA" w14:textId="77777777" w:rsidR="002A0123" w:rsidRDefault="002A0123" w:rsidP="00104785">
            <w:pPr>
              <w:jc w:val="center"/>
              <w:rPr>
                <w:rFonts w:cstheme="minorHAnsi"/>
                <w:bCs/>
                <w:color w:val="000000" w:themeColor="text1"/>
              </w:rPr>
            </w:pPr>
            <w:r>
              <w:rPr>
                <w:rFonts w:cstheme="minorHAnsi"/>
                <w:bCs/>
                <w:color w:val="000000" w:themeColor="text1"/>
              </w:rPr>
              <w:t>2</w:t>
            </w:r>
          </w:p>
        </w:tc>
        <w:tc>
          <w:tcPr>
            <w:tcW w:w="5245" w:type="dxa"/>
          </w:tcPr>
          <w:p w14:paraId="7B5DB166" w14:textId="77777777" w:rsidR="002A0123" w:rsidRPr="004A5604" w:rsidRDefault="002A0123" w:rsidP="002A0123">
            <w:pPr>
              <w:pStyle w:val="Prrafodelista"/>
              <w:widowControl w:val="0"/>
              <w:numPr>
                <w:ilvl w:val="0"/>
                <w:numId w:val="36"/>
              </w:numPr>
              <w:overflowPunct w:val="0"/>
              <w:autoSpaceDE w:val="0"/>
              <w:autoSpaceDN w:val="0"/>
              <w:adjustRightInd w:val="0"/>
              <w:spacing w:after="0" w:line="240" w:lineRule="auto"/>
              <w:jc w:val="both"/>
              <w:rPr>
                <w:rFonts w:asciiTheme="minorHAnsi" w:hAnsiTheme="minorHAnsi" w:cstheme="minorHAnsi"/>
                <w:bCs/>
                <w:color w:val="000000" w:themeColor="text1"/>
              </w:rPr>
            </w:pPr>
            <w:r>
              <w:rPr>
                <w:rFonts w:asciiTheme="minorHAnsi" w:hAnsiTheme="minorHAnsi" w:cstheme="minorHAnsi"/>
                <w:bCs/>
                <w:color w:val="000000" w:themeColor="text1"/>
              </w:rPr>
              <w:t>En este curso, por su naturaleza, las horas prácticas contemplan los ejercicios de estudio bíblico.</w:t>
            </w:r>
          </w:p>
        </w:tc>
      </w:tr>
      <w:tr w:rsidR="002A0123" w:rsidRPr="00262D1E" w14:paraId="3134D14D" w14:textId="77777777" w:rsidTr="00104785">
        <w:tc>
          <w:tcPr>
            <w:tcW w:w="2263" w:type="dxa"/>
            <w:vAlign w:val="center"/>
          </w:tcPr>
          <w:p w14:paraId="40479E84" w14:textId="77777777" w:rsidR="002A0123" w:rsidRPr="00262D1E" w:rsidRDefault="002A0123" w:rsidP="00104785">
            <w:pPr>
              <w:jc w:val="center"/>
              <w:rPr>
                <w:b/>
                <w:bCs/>
                <w:color w:val="000000" w:themeColor="text1"/>
                <w:lang w:val="es-ES"/>
              </w:rPr>
            </w:pPr>
            <w:r w:rsidRPr="3573A970">
              <w:rPr>
                <w:b/>
                <w:bCs/>
                <w:color w:val="000000" w:themeColor="text1"/>
                <w:lang w:val="es-ES"/>
              </w:rPr>
              <w:t>Total de horas (TH)</w:t>
            </w:r>
          </w:p>
        </w:tc>
        <w:tc>
          <w:tcPr>
            <w:tcW w:w="1276" w:type="dxa"/>
          </w:tcPr>
          <w:p w14:paraId="1698F6A3" w14:textId="77777777" w:rsidR="002A0123" w:rsidRPr="00262D1E" w:rsidRDefault="002A0123" w:rsidP="00104785">
            <w:pPr>
              <w:jc w:val="center"/>
              <w:rPr>
                <w:rFonts w:cstheme="minorHAnsi"/>
                <w:b/>
                <w:bCs/>
                <w:color w:val="000000" w:themeColor="text1"/>
              </w:rPr>
            </w:pPr>
            <w:r w:rsidRPr="00262D1E">
              <w:rPr>
                <w:rFonts w:cstheme="minorHAnsi"/>
                <w:b/>
                <w:bCs/>
                <w:color w:val="000000" w:themeColor="text1"/>
              </w:rPr>
              <w:t>12</w:t>
            </w:r>
          </w:p>
        </w:tc>
        <w:tc>
          <w:tcPr>
            <w:tcW w:w="5245" w:type="dxa"/>
          </w:tcPr>
          <w:p w14:paraId="053A860A" w14:textId="77777777" w:rsidR="002A0123" w:rsidRPr="00262D1E" w:rsidRDefault="002A0123" w:rsidP="00104785">
            <w:pPr>
              <w:jc w:val="center"/>
              <w:rPr>
                <w:rFonts w:cstheme="minorHAnsi"/>
                <w:b/>
                <w:bCs/>
                <w:color w:val="000000" w:themeColor="text1"/>
              </w:rPr>
            </w:pPr>
          </w:p>
        </w:tc>
      </w:tr>
    </w:tbl>
    <w:p w14:paraId="524E3C21" w14:textId="77777777" w:rsidR="002A0123" w:rsidRDefault="002A0123" w:rsidP="002A0123">
      <w:pPr>
        <w:jc w:val="both"/>
        <w:rPr>
          <w:rFonts w:cstheme="minorHAnsi"/>
          <w:bCs/>
          <w:color w:val="000000" w:themeColor="text1"/>
        </w:rPr>
      </w:pPr>
    </w:p>
    <w:p w14:paraId="1E65B0EE" w14:textId="77777777" w:rsidR="002A0123" w:rsidRDefault="002A0123" w:rsidP="002A0123">
      <w:pPr>
        <w:jc w:val="both"/>
        <w:rPr>
          <w:color w:val="000000" w:themeColor="text1"/>
          <w:lang w:val="es-ES"/>
        </w:rPr>
      </w:pPr>
      <w:r w:rsidRPr="3573A970">
        <w:rPr>
          <w:color w:val="000000" w:themeColor="text1"/>
          <w:lang w:val="es-ES"/>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4CEFA73D" w14:textId="77777777" w:rsidR="002A0123" w:rsidRPr="0023181B" w:rsidRDefault="002A0123" w:rsidP="002A0123">
      <w:pPr>
        <w:jc w:val="both"/>
        <w:rPr>
          <w:rFonts w:cstheme="minorHAnsi"/>
          <w:b/>
          <w:bCs/>
          <w:color w:val="000000" w:themeColor="text1"/>
        </w:rPr>
      </w:pPr>
      <w:r w:rsidRPr="0023181B">
        <w:rPr>
          <w:rFonts w:cstheme="minorHAnsi"/>
          <w:b/>
          <w:bCs/>
          <w:color w:val="000000" w:themeColor="text1"/>
        </w:rPr>
        <w:t>X. Evaluación</w:t>
      </w:r>
      <w:r w:rsidRPr="0023181B">
        <w:rPr>
          <w:rFonts w:cstheme="minorHAnsi"/>
          <w:b/>
          <w:bCs/>
          <w:color w:val="000000" w:themeColor="text1"/>
        </w:rPr>
        <w:tab/>
      </w:r>
    </w:p>
    <w:p w14:paraId="20EFAE65" w14:textId="77777777" w:rsidR="002A0123" w:rsidRDefault="002A0123" w:rsidP="002A0123">
      <w:pPr>
        <w:jc w:val="both"/>
        <w:rPr>
          <w:rFonts w:cstheme="minorHAnsi"/>
          <w:bCs/>
          <w:color w:val="000000" w:themeColor="text1"/>
        </w:rPr>
      </w:pPr>
      <w:r>
        <w:rPr>
          <w:rFonts w:cstheme="minorHAnsi"/>
          <w:bCs/>
          <w:color w:val="000000" w:themeColor="text1"/>
        </w:rPr>
        <w:t xml:space="preserve">Para la evaluación de este curso se analizarán los procesos de aprendizaje por medio de la interacción grupal en las actividades semanales y la capacidad de construir sobre lo trabajado en cada sesión. La retroalimentación de la persona docente será fundamental para orientar el desarrollo de las capacidades cognitivas de los y las estudiantes. La evaluación sumativa se realiza por medio de la sumatoria de las actividades de aprendizaje realizadas en el curso (a excepción de aquellas que tengan un valor exclusivamente formativo). El curso se aprueba con una calificación mínima de 7.00 (en escala decimal) y los elementos a evaluar para el cálculo de la nota son los siguientes: </w:t>
      </w:r>
    </w:p>
    <w:p w14:paraId="26022D5D" w14:textId="77777777" w:rsidR="002A0123" w:rsidRPr="001E3D00" w:rsidRDefault="002A0123" w:rsidP="002A0123">
      <w:pPr>
        <w:jc w:val="both"/>
        <w:rPr>
          <w:rFonts w:cstheme="minorHAnsi"/>
          <w:bCs/>
          <w:color w:val="000000" w:themeColor="text1"/>
        </w:rPr>
      </w:pPr>
    </w:p>
    <w:tbl>
      <w:tblPr>
        <w:tblW w:w="91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26"/>
        <w:gridCol w:w="1276"/>
      </w:tblGrid>
      <w:tr w:rsidR="002A0123" w:rsidRPr="003B1F37" w14:paraId="6F5A1732" w14:textId="77777777" w:rsidTr="00104785">
        <w:trPr>
          <w:trHeight w:val="276"/>
          <w:jc w:val="center"/>
        </w:trPr>
        <w:tc>
          <w:tcPr>
            <w:tcW w:w="9102" w:type="dxa"/>
            <w:gridSpan w:val="2"/>
          </w:tcPr>
          <w:p w14:paraId="3C930601" w14:textId="77777777" w:rsidR="002A0123" w:rsidRPr="003B1F37" w:rsidRDefault="002A0123" w:rsidP="00104785">
            <w:pPr>
              <w:pStyle w:val="Encabezado"/>
              <w:widowControl/>
              <w:tabs>
                <w:tab w:val="clear" w:pos="4320"/>
                <w:tab w:val="clear" w:pos="8640"/>
              </w:tabs>
              <w:jc w:val="center"/>
              <w:outlineLvl w:val="0"/>
              <w:rPr>
                <w:rFonts w:asciiTheme="minorHAnsi" w:hAnsiTheme="minorHAnsi" w:cs="Arial"/>
                <w:b/>
                <w:color w:val="000000" w:themeColor="text1"/>
                <w:sz w:val="22"/>
                <w:szCs w:val="22"/>
                <w:lang w:val="es-ES"/>
              </w:rPr>
            </w:pPr>
            <w:bookmarkStart w:id="49" w:name="_Hlk52634530"/>
            <w:r w:rsidRPr="003B1F37">
              <w:rPr>
                <w:rFonts w:asciiTheme="minorHAnsi" w:hAnsiTheme="minorHAnsi" w:cs="Arial"/>
                <w:b/>
                <w:color w:val="000000" w:themeColor="text1"/>
                <w:sz w:val="22"/>
                <w:szCs w:val="22"/>
                <w:lang w:val="es-ES"/>
              </w:rPr>
              <w:t>Síntesis cuantitativa de la evaluación</w:t>
            </w:r>
          </w:p>
        </w:tc>
      </w:tr>
      <w:tr w:rsidR="002A0123" w:rsidRPr="003B1F37" w14:paraId="07637451" w14:textId="77777777" w:rsidTr="00104785">
        <w:trPr>
          <w:trHeight w:val="553"/>
          <w:jc w:val="center"/>
        </w:trPr>
        <w:tc>
          <w:tcPr>
            <w:tcW w:w="7826" w:type="dxa"/>
            <w:vAlign w:val="center"/>
          </w:tcPr>
          <w:p w14:paraId="6E38DA43" w14:textId="77777777" w:rsidR="002A0123" w:rsidRPr="003B1F37" w:rsidRDefault="002A0123" w:rsidP="00104785">
            <w:pPr>
              <w:pStyle w:val="Encabezado"/>
              <w:widowControl/>
              <w:tabs>
                <w:tab w:val="clear" w:pos="4320"/>
                <w:tab w:val="clear" w:pos="8640"/>
              </w:tabs>
              <w:outlineLvl w:val="0"/>
              <w:rPr>
                <w:rFonts w:asciiTheme="minorHAnsi" w:hAnsiTheme="minorHAnsi" w:cs="Arial"/>
                <w:b/>
                <w:color w:val="000000" w:themeColor="text1"/>
                <w:sz w:val="22"/>
                <w:szCs w:val="22"/>
                <w:lang w:val="es-ES"/>
              </w:rPr>
            </w:pPr>
            <w:r w:rsidRPr="003B1F37">
              <w:rPr>
                <w:rFonts w:asciiTheme="minorHAnsi" w:hAnsiTheme="minorHAnsi" w:cs="Arial"/>
                <w:b/>
                <w:color w:val="000000" w:themeColor="text1"/>
                <w:sz w:val="22"/>
                <w:szCs w:val="22"/>
                <w:lang w:val="es-ES"/>
              </w:rPr>
              <w:t>Rubros para evaluar</w:t>
            </w:r>
          </w:p>
        </w:tc>
        <w:tc>
          <w:tcPr>
            <w:tcW w:w="1276" w:type="dxa"/>
          </w:tcPr>
          <w:p w14:paraId="161A3B59" w14:textId="77777777" w:rsidR="002A0123" w:rsidRPr="003B1F37" w:rsidRDefault="002A0123" w:rsidP="00104785">
            <w:pPr>
              <w:pStyle w:val="Encabezado"/>
              <w:widowControl/>
              <w:tabs>
                <w:tab w:val="clear" w:pos="4320"/>
                <w:tab w:val="clear" w:pos="8640"/>
              </w:tabs>
              <w:jc w:val="center"/>
              <w:outlineLvl w:val="0"/>
              <w:rPr>
                <w:rFonts w:asciiTheme="minorHAnsi" w:hAnsiTheme="minorHAnsi" w:cs="Arial"/>
                <w:b/>
                <w:color w:val="000000" w:themeColor="text1"/>
                <w:sz w:val="22"/>
                <w:szCs w:val="22"/>
                <w:lang w:val="es-ES"/>
              </w:rPr>
            </w:pPr>
            <w:r w:rsidRPr="003B1F37">
              <w:rPr>
                <w:rFonts w:asciiTheme="minorHAnsi" w:hAnsiTheme="minorHAnsi" w:cs="Arial"/>
                <w:b/>
                <w:color w:val="000000" w:themeColor="text1"/>
                <w:sz w:val="22"/>
                <w:szCs w:val="22"/>
                <w:lang w:val="es-ES"/>
              </w:rPr>
              <w:t xml:space="preserve">Porcentaje </w:t>
            </w:r>
            <w:r>
              <w:rPr>
                <w:rFonts w:asciiTheme="minorHAnsi" w:hAnsiTheme="minorHAnsi" w:cs="Arial"/>
                <w:b/>
                <w:color w:val="000000" w:themeColor="text1"/>
                <w:sz w:val="22"/>
                <w:szCs w:val="22"/>
                <w:lang w:val="es-ES"/>
              </w:rPr>
              <w:t>total</w:t>
            </w:r>
          </w:p>
        </w:tc>
      </w:tr>
      <w:tr w:rsidR="002A0123" w:rsidRPr="003B1F37" w14:paraId="09D2BE8F" w14:textId="77777777" w:rsidTr="00104785">
        <w:trPr>
          <w:trHeight w:val="830"/>
          <w:jc w:val="center"/>
        </w:trPr>
        <w:tc>
          <w:tcPr>
            <w:tcW w:w="7826" w:type="dxa"/>
            <w:vAlign w:val="center"/>
          </w:tcPr>
          <w:p w14:paraId="0D71F6A2" w14:textId="77777777" w:rsidR="002A0123" w:rsidRPr="003B1F37" w:rsidRDefault="002A0123" w:rsidP="00104785">
            <w:pPr>
              <w:pStyle w:val="Encabezado"/>
              <w:widowControl/>
              <w:tabs>
                <w:tab w:val="clear" w:pos="4320"/>
                <w:tab w:val="clear" w:pos="8640"/>
              </w:tabs>
              <w:outlineLvl w:val="0"/>
              <w:rPr>
                <w:rFonts w:asciiTheme="minorHAnsi" w:hAnsiTheme="minorHAnsi" w:cs="Arial"/>
                <w:b/>
                <w:i/>
                <w:iCs/>
                <w:color w:val="000000" w:themeColor="text1"/>
                <w:sz w:val="22"/>
                <w:szCs w:val="22"/>
                <w:lang w:val="es-ES"/>
              </w:rPr>
            </w:pPr>
            <w:r>
              <w:rPr>
                <w:rFonts w:asciiTheme="minorHAnsi" w:hAnsiTheme="minorHAnsi" w:cs="Arial"/>
                <w:b/>
                <w:i/>
                <w:iCs/>
                <w:color w:val="000000" w:themeColor="text1"/>
                <w:sz w:val="22"/>
                <w:szCs w:val="22"/>
                <w:lang w:val="es-ES"/>
              </w:rPr>
              <w:t>E</w:t>
            </w:r>
            <w:r w:rsidRPr="003B1F37">
              <w:rPr>
                <w:rFonts w:asciiTheme="minorHAnsi" w:hAnsiTheme="minorHAnsi" w:cs="Arial"/>
                <w:b/>
                <w:i/>
                <w:iCs/>
                <w:color w:val="000000" w:themeColor="text1"/>
                <w:sz w:val="22"/>
                <w:szCs w:val="22"/>
                <w:lang w:val="es-ES"/>
              </w:rPr>
              <w:t>ncuentros sincrónicos virtuales</w:t>
            </w:r>
          </w:p>
          <w:p w14:paraId="680F68F6" w14:textId="77777777" w:rsidR="002A0123" w:rsidRPr="003B1F37" w:rsidRDefault="002A0123" w:rsidP="00104785">
            <w:pPr>
              <w:pStyle w:val="Encabezado"/>
              <w:widowControl/>
              <w:tabs>
                <w:tab w:val="clear" w:pos="4320"/>
                <w:tab w:val="clear" w:pos="8640"/>
              </w:tabs>
              <w:jc w:val="both"/>
              <w:outlineLvl w:val="0"/>
              <w:rPr>
                <w:rFonts w:asciiTheme="minorHAnsi" w:hAnsiTheme="minorHAnsi" w:cs="Arial"/>
                <w:bCs/>
                <w:color w:val="000000" w:themeColor="text1"/>
                <w:sz w:val="22"/>
                <w:szCs w:val="22"/>
                <w:lang w:val="es-ES"/>
              </w:rPr>
            </w:pPr>
            <w:r>
              <w:rPr>
                <w:rFonts w:asciiTheme="minorHAnsi" w:hAnsiTheme="minorHAnsi" w:cs="Arial"/>
                <w:bCs/>
                <w:color w:val="000000" w:themeColor="text1"/>
                <w:sz w:val="22"/>
                <w:szCs w:val="22"/>
                <w:lang w:val="es-ES"/>
              </w:rPr>
              <w:t xml:space="preserve">Se llevan a cabo </w:t>
            </w:r>
            <w:r w:rsidRPr="003B1F37">
              <w:rPr>
                <w:rFonts w:asciiTheme="minorHAnsi" w:hAnsiTheme="minorHAnsi" w:cs="Arial"/>
                <w:bCs/>
                <w:color w:val="000000" w:themeColor="text1"/>
                <w:sz w:val="22"/>
                <w:szCs w:val="22"/>
                <w:lang w:val="es-ES"/>
              </w:rPr>
              <w:t>en las sesiones 1, 3, 5, 7, 10, 12 y 13</w:t>
            </w:r>
            <w:r>
              <w:rPr>
                <w:rFonts w:asciiTheme="minorHAnsi" w:hAnsiTheme="minorHAnsi" w:cs="Arial"/>
                <w:bCs/>
                <w:color w:val="000000" w:themeColor="text1"/>
                <w:sz w:val="22"/>
                <w:szCs w:val="22"/>
                <w:lang w:val="es-ES"/>
              </w:rPr>
              <w:t>. T</w:t>
            </w:r>
            <w:r w:rsidRPr="003B1F37">
              <w:rPr>
                <w:rFonts w:asciiTheme="minorHAnsi" w:hAnsiTheme="minorHAnsi" w:cs="Arial"/>
                <w:bCs/>
                <w:color w:val="000000" w:themeColor="text1"/>
                <w:sz w:val="22"/>
                <w:szCs w:val="22"/>
                <w:lang w:val="es-ES"/>
              </w:rPr>
              <w:t>ienen un valor formativo y no sumativo.</w:t>
            </w:r>
          </w:p>
        </w:tc>
        <w:tc>
          <w:tcPr>
            <w:tcW w:w="1276" w:type="dxa"/>
            <w:vAlign w:val="center"/>
          </w:tcPr>
          <w:p w14:paraId="323A837A" w14:textId="77777777" w:rsidR="002A0123" w:rsidRPr="003B1F37" w:rsidRDefault="002A0123" w:rsidP="00104785">
            <w:pPr>
              <w:pStyle w:val="Encabezado"/>
              <w:widowControl/>
              <w:tabs>
                <w:tab w:val="clear" w:pos="4320"/>
                <w:tab w:val="clear" w:pos="8640"/>
              </w:tabs>
              <w:jc w:val="center"/>
              <w:outlineLvl w:val="0"/>
              <w:rPr>
                <w:rFonts w:asciiTheme="minorHAnsi" w:hAnsiTheme="minorHAnsi" w:cs="Arial"/>
                <w:bCs/>
                <w:color w:val="000000" w:themeColor="text1"/>
                <w:sz w:val="22"/>
                <w:szCs w:val="22"/>
                <w:lang w:val="es-ES"/>
              </w:rPr>
            </w:pPr>
            <w:r w:rsidRPr="003B1F37">
              <w:rPr>
                <w:rFonts w:asciiTheme="minorHAnsi" w:hAnsiTheme="minorHAnsi" w:cstheme="minorHAnsi"/>
                <w:bCs/>
                <w:color w:val="000000" w:themeColor="text1"/>
                <w:sz w:val="22"/>
                <w:szCs w:val="22"/>
                <w:lang w:val="es-ES"/>
              </w:rPr>
              <w:t>̶</w:t>
            </w:r>
          </w:p>
        </w:tc>
      </w:tr>
      <w:tr w:rsidR="002A0123" w:rsidRPr="003B1F37" w14:paraId="5CBC6A9B" w14:textId="77777777" w:rsidTr="00104785">
        <w:trPr>
          <w:trHeight w:val="553"/>
          <w:jc w:val="center"/>
        </w:trPr>
        <w:tc>
          <w:tcPr>
            <w:tcW w:w="7826" w:type="dxa"/>
            <w:vAlign w:val="center"/>
          </w:tcPr>
          <w:p w14:paraId="74E52241" w14:textId="77777777" w:rsidR="002A0123" w:rsidRPr="003B1F37" w:rsidRDefault="002A0123" w:rsidP="00104785">
            <w:pPr>
              <w:pStyle w:val="Encabezado"/>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Glosario</w:t>
            </w:r>
          </w:p>
          <w:p w14:paraId="155FFB32" w14:textId="77777777" w:rsidR="002A0123" w:rsidRPr="003B1F37" w:rsidRDefault="002A0123" w:rsidP="00104785">
            <w:pPr>
              <w:pStyle w:val="Encabezado"/>
              <w:widowControl/>
              <w:tabs>
                <w:tab w:val="clear" w:pos="4320"/>
                <w:tab w:val="clear" w:pos="8640"/>
              </w:tabs>
              <w:jc w:val="both"/>
              <w:outlineLvl w:val="0"/>
              <w:rPr>
                <w:rFonts w:asciiTheme="minorHAnsi" w:hAnsiTheme="minorHAnsi" w:cs="Arial"/>
                <w:b/>
                <w:color w:val="000000" w:themeColor="text1"/>
                <w:sz w:val="22"/>
                <w:szCs w:val="22"/>
                <w:lang w:val="es-ES"/>
              </w:rPr>
            </w:pPr>
            <w:r>
              <w:rPr>
                <w:rFonts w:asciiTheme="minorHAnsi" w:hAnsiTheme="minorHAnsi" w:cs="Arial"/>
                <w:bCs/>
                <w:iCs/>
                <w:color w:val="000000" w:themeColor="text1"/>
                <w:sz w:val="22"/>
                <w:szCs w:val="22"/>
                <w:lang w:val="es-ES"/>
              </w:rPr>
              <w:t>Se desarrolla en</w:t>
            </w:r>
            <w:r w:rsidRPr="003B1F37">
              <w:rPr>
                <w:rFonts w:asciiTheme="minorHAnsi" w:hAnsiTheme="minorHAnsi" w:cs="Arial"/>
                <w:bCs/>
                <w:iCs/>
                <w:color w:val="000000" w:themeColor="text1"/>
                <w:sz w:val="22"/>
                <w:szCs w:val="22"/>
                <w:lang w:val="es-ES"/>
              </w:rPr>
              <w:t xml:space="preserve"> la sesión 4</w:t>
            </w:r>
            <w:r>
              <w:rPr>
                <w:rFonts w:asciiTheme="minorHAnsi" w:hAnsiTheme="minorHAnsi" w:cs="Arial"/>
                <w:bCs/>
                <w:iCs/>
                <w:color w:val="000000" w:themeColor="text1"/>
                <w:sz w:val="22"/>
                <w:szCs w:val="22"/>
                <w:lang w:val="es-ES"/>
              </w:rPr>
              <w:t>.</w:t>
            </w:r>
          </w:p>
        </w:tc>
        <w:tc>
          <w:tcPr>
            <w:tcW w:w="1276" w:type="dxa"/>
            <w:vAlign w:val="center"/>
          </w:tcPr>
          <w:p w14:paraId="1E347014" w14:textId="77777777" w:rsidR="002A0123" w:rsidRPr="003B1F37" w:rsidRDefault="002A0123" w:rsidP="00104785">
            <w:pPr>
              <w:pStyle w:val="Encabezado"/>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5</w:t>
            </w:r>
            <w:r>
              <w:rPr>
                <w:rFonts w:asciiTheme="minorHAnsi" w:hAnsiTheme="minorHAnsi" w:cs="Arial"/>
                <w:color w:val="000000" w:themeColor="text1"/>
                <w:sz w:val="22"/>
                <w:szCs w:val="22"/>
                <w:lang w:val="es-ES"/>
              </w:rPr>
              <w:t>%</w:t>
            </w:r>
          </w:p>
        </w:tc>
      </w:tr>
      <w:tr w:rsidR="002A0123" w:rsidRPr="003B1F37" w14:paraId="6093B38F" w14:textId="77777777" w:rsidTr="00104785">
        <w:trPr>
          <w:trHeight w:val="553"/>
          <w:jc w:val="center"/>
        </w:trPr>
        <w:tc>
          <w:tcPr>
            <w:tcW w:w="7826" w:type="dxa"/>
            <w:vAlign w:val="center"/>
          </w:tcPr>
          <w:p w14:paraId="4352B71E" w14:textId="77777777" w:rsidR="002A0123" w:rsidRPr="003B1F37" w:rsidRDefault="002A0123" w:rsidP="00104785">
            <w:pPr>
              <w:pStyle w:val="Encabezado"/>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Foro temático</w:t>
            </w:r>
          </w:p>
          <w:p w14:paraId="5747C892" w14:textId="77777777" w:rsidR="002A0123" w:rsidRPr="003B1F37" w:rsidRDefault="002A0123" w:rsidP="00104785">
            <w:pPr>
              <w:pStyle w:val="Encabezado"/>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Se desarrolla en</w:t>
            </w:r>
            <w:r w:rsidRPr="003B1F37">
              <w:rPr>
                <w:rFonts w:asciiTheme="minorHAnsi" w:hAnsiTheme="minorHAnsi" w:cs="Arial"/>
                <w:color w:val="000000" w:themeColor="text1"/>
                <w:sz w:val="22"/>
                <w:szCs w:val="22"/>
                <w:lang w:val="es-ES"/>
              </w:rPr>
              <w:t xml:space="preserve"> la sesión 3</w:t>
            </w:r>
            <w:r>
              <w:rPr>
                <w:rFonts w:asciiTheme="minorHAnsi" w:hAnsiTheme="minorHAnsi" w:cs="Arial"/>
                <w:color w:val="000000" w:themeColor="text1"/>
                <w:sz w:val="22"/>
                <w:szCs w:val="22"/>
                <w:lang w:val="es-ES"/>
              </w:rPr>
              <w:t>.</w:t>
            </w:r>
            <w:r w:rsidRPr="003B1F37">
              <w:rPr>
                <w:rFonts w:asciiTheme="minorHAnsi" w:hAnsiTheme="minorHAnsi" w:cs="Arial"/>
                <w:color w:val="000000" w:themeColor="text1"/>
                <w:sz w:val="22"/>
                <w:szCs w:val="22"/>
                <w:lang w:val="es-ES"/>
              </w:rPr>
              <w:t xml:space="preserve"> </w:t>
            </w:r>
          </w:p>
        </w:tc>
        <w:tc>
          <w:tcPr>
            <w:tcW w:w="1276" w:type="dxa"/>
            <w:vAlign w:val="center"/>
          </w:tcPr>
          <w:p w14:paraId="77E67E99" w14:textId="77777777" w:rsidR="002A0123" w:rsidRPr="003B1F37" w:rsidRDefault="002A0123" w:rsidP="00104785">
            <w:pPr>
              <w:pStyle w:val="Encabezado"/>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5</w:t>
            </w:r>
            <w:r>
              <w:rPr>
                <w:rFonts w:asciiTheme="minorHAnsi" w:hAnsiTheme="minorHAnsi" w:cs="Arial"/>
                <w:color w:val="000000" w:themeColor="text1"/>
                <w:sz w:val="22"/>
                <w:szCs w:val="22"/>
                <w:lang w:val="es-ES"/>
              </w:rPr>
              <w:t>%</w:t>
            </w:r>
          </w:p>
        </w:tc>
      </w:tr>
      <w:tr w:rsidR="002A0123" w:rsidRPr="003B1F37" w14:paraId="15D94693" w14:textId="77777777" w:rsidTr="00104785">
        <w:trPr>
          <w:trHeight w:val="3308"/>
          <w:jc w:val="center"/>
        </w:trPr>
        <w:tc>
          <w:tcPr>
            <w:tcW w:w="7826" w:type="dxa"/>
          </w:tcPr>
          <w:p w14:paraId="1D5C5815" w14:textId="77777777" w:rsidR="002A0123" w:rsidRDefault="002A0123" w:rsidP="00104785">
            <w:pPr>
              <w:pStyle w:val="Encabezado"/>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lastRenderedPageBreak/>
              <w:t>Prácticas individuales de análisis de textos bíblicos</w:t>
            </w:r>
          </w:p>
          <w:p w14:paraId="7AABDD04" w14:textId="77777777" w:rsidR="002A0123" w:rsidRDefault="002A0123" w:rsidP="00104785">
            <w:pPr>
              <w:pStyle w:val="Encabezado"/>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Son un total de cinco y se distribuyen de la siguiente forma:</w:t>
            </w:r>
          </w:p>
          <w:p w14:paraId="2E4AD5EB" w14:textId="77777777" w:rsidR="002A0123" w:rsidRDefault="002A0123" w:rsidP="00104785">
            <w:pPr>
              <w:pStyle w:val="Encabezado"/>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Las siguientes prácticas tienen un valor de 7% cada una:</w:t>
            </w:r>
          </w:p>
          <w:p w14:paraId="07FD6EC4" w14:textId="77777777" w:rsidR="002A0123" w:rsidRDefault="002A0123" w:rsidP="00104785">
            <w:pPr>
              <w:pStyle w:val="Encabezado"/>
              <w:widowControl/>
              <w:tabs>
                <w:tab w:val="clear" w:pos="4320"/>
                <w:tab w:val="clear" w:pos="8640"/>
              </w:tabs>
              <w:outlineLvl w:val="0"/>
              <w:rPr>
                <w:rFonts w:asciiTheme="minorHAnsi" w:hAnsiTheme="minorHAnsi" w:cs="Arial"/>
                <w:bCs/>
                <w:iCs/>
                <w:color w:val="000000" w:themeColor="text1"/>
                <w:sz w:val="22"/>
                <w:szCs w:val="22"/>
                <w:lang w:val="es-ES"/>
              </w:rPr>
            </w:pPr>
          </w:p>
          <w:p w14:paraId="208F193E" w14:textId="77777777" w:rsidR="002A0123" w:rsidRDefault="002A0123" w:rsidP="00104785">
            <w:pPr>
              <w:pStyle w:val="Encabezado"/>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 Ejercicio de estudio de textos bíblicos (sesión 2).</w:t>
            </w:r>
          </w:p>
          <w:p w14:paraId="2CC8104E" w14:textId="77777777" w:rsidR="002A0123" w:rsidRDefault="002A0123" w:rsidP="00104785">
            <w:pPr>
              <w:pStyle w:val="Encabezado"/>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 xml:space="preserve">- Tarea del tiempo y los personajes en la narrativa bíblica (sesión 7). </w:t>
            </w:r>
          </w:p>
          <w:p w14:paraId="12263D55" w14:textId="77777777" w:rsidR="002A0123" w:rsidRDefault="002A0123" w:rsidP="00104785">
            <w:pPr>
              <w:pStyle w:val="Encabezado"/>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 Ejercicio de estudio de literatura epistolar (sesión 13).</w:t>
            </w:r>
          </w:p>
          <w:p w14:paraId="600B93CF" w14:textId="77777777" w:rsidR="002A0123" w:rsidRDefault="002A0123" w:rsidP="00104785">
            <w:pPr>
              <w:pStyle w:val="Encabezado"/>
              <w:widowControl/>
              <w:tabs>
                <w:tab w:val="clear" w:pos="4320"/>
                <w:tab w:val="clear" w:pos="8640"/>
              </w:tabs>
              <w:outlineLvl w:val="0"/>
              <w:rPr>
                <w:rFonts w:asciiTheme="minorHAnsi" w:hAnsiTheme="minorHAnsi" w:cs="Arial"/>
                <w:bCs/>
                <w:iCs/>
                <w:color w:val="000000" w:themeColor="text1"/>
                <w:sz w:val="22"/>
                <w:szCs w:val="22"/>
                <w:lang w:val="es-ES"/>
              </w:rPr>
            </w:pPr>
          </w:p>
          <w:p w14:paraId="3732534D" w14:textId="77777777" w:rsidR="002A0123" w:rsidRDefault="002A0123" w:rsidP="00104785">
            <w:pPr>
              <w:pStyle w:val="Encabezado"/>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Las siguientes prácticas tienen un valor de 8% cada una:</w:t>
            </w:r>
          </w:p>
          <w:p w14:paraId="20B2886B" w14:textId="77777777" w:rsidR="002A0123" w:rsidRDefault="002A0123" w:rsidP="00104785">
            <w:pPr>
              <w:pStyle w:val="Encabezado"/>
              <w:widowControl/>
              <w:tabs>
                <w:tab w:val="clear" w:pos="4320"/>
                <w:tab w:val="clear" w:pos="8640"/>
              </w:tabs>
              <w:outlineLvl w:val="0"/>
              <w:rPr>
                <w:rFonts w:asciiTheme="minorHAnsi" w:hAnsiTheme="minorHAnsi" w:cs="Arial"/>
                <w:bCs/>
                <w:iCs/>
                <w:color w:val="000000" w:themeColor="text1"/>
                <w:sz w:val="22"/>
                <w:szCs w:val="22"/>
                <w:lang w:val="es-ES"/>
              </w:rPr>
            </w:pPr>
          </w:p>
          <w:p w14:paraId="7C28235F" w14:textId="77777777" w:rsidR="002A0123" w:rsidRDefault="002A0123" w:rsidP="00104785">
            <w:pPr>
              <w:pStyle w:val="Encabezado"/>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 xml:space="preserve">- Tarea de delimitación y contexto literario de un texto bíblico (sesión 5). </w:t>
            </w:r>
          </w:p>
          <w:p w14:paraId="2AE1DDB0" w14:textId="77777777" w:rsidR="002A0123" w:rsidRPr="00E7194C" w:rsidRDefault="002A0123" w:rsidP="00104785">
            <w:pPr>
              <w:pStyle w:val="Encabezado"/>
              <w:widowControl/>
              <w:tabs>
                <w:tab w:val="clear" w:pos="4320"/>
                <w:tab w:val="clear" w:pos="8640"/>
              </w:tabs>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 Análisis narrativo de un texto bíblico (sesión 10).</w:t>
            </w:r>
          </w:p>
        </w:tc>
        <w:tc>
          <w:tcPr>
            <w:tcW w:w="1276" w:type="dxa"/>
            <w:vAlign w:val="center"/>
          </w:tcPr>
          <w:p w14:paraId="36026B40" w14:textId="77777777" w:rsidR="002A0123" w:rsidRPr="003B1F37" w:rsidRDefault="002A0123" w:rsidP="00104785">
            <w:pPr>
              <w:pStyle w:val="Encabezado"/>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37</w:t>
            </w:r>
            <w:r>
              <w:rPr>
                <w:rFonts w:asciiTheme="minorHAnsi" w:hAnsiTheme="minorHAnsi" w:cs="Arial"/>
                <w:color w:val="000000" w:themeColor="text1"/>
                <w:sz w:val="22"/>
                <w:szCs w:val="22"/>
                <w:lang w:val="es-ES"/>
              </w:rPr>
              <w:t>%</w:t>
            </w:r>
          </w:p>
        </w:tc>
      </w:tr>
      <w:tr w:rsidR="002A0123" w:rsidRPr="003B1F37" w14:paraId="528D1AB0" w14:textId="77777777" w:rsidTr="00104785">
        <w:trPr>
          <w:trHeight w:val="553"/>
          <w:jc w:val="center"/>
        </w:trPr>
        <w:tc>
          <w:tcPr>
            <w:tcW w:w="7826" w:type="dxa"/>
          </w:tcPr>
          <w:p w14:paraId="4B754474" w14:textId="77777777" w:rsidR="002A0123" w:rsidRPr="003B1F37" w:rsidRDefault="002A0123" w:rsidP="00104785">
            <w:pPr>
              <w:pStyle w:val="Encabezado"/>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Coevaluación del análisis narrativo de un texto bíblico</w:t>
            </w:r>
          </w:p>
          <w:p w14:paraId="6CCFE1D1" w14:textId="77777777" w:rsidR="002A0123" w:rsidRPr="00867130" w:rsidRDefault="002A0123" w:rsidP="00104785">
            <w:pPr>
              <w:pStyle w:val="Encabezado"/>
              <w:widowControl/>
              <w:tabs>
                <w:tab w:val="clear" w:pos="4320"/>
                <w:tab w:val="clear" w:pos="8640"/>
              </w:tabs>
              <w:jc w:val="both"/>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Se realiza en la sesión 11.</w:t>
            </w:r>
          </w:p>
        </w:tc>
        <w:tc>
          <w:tcPr>
            <w:tcW w:w="1276" w:type="dxa"/>
            <w:vAlign w:val="center"/>
          </w:tcPr>
          <w:p w14:paraId="7E16FA4B" w14:textId="77777777" w:rsidR="002A0123" w:rsidRPr="003B1F37" w:rsidRDefault="002A0123" w:rsidP="00104785">
            <w:pPr>
              <w:pStyle w:val="Encabezado"/>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5</w:t>
            </w:r>
            <w:r>
              <w:rPr>
                <w:rFonts w:asciiTheme="minorHAnsi" w:hAnsiTheme="minorHAnsi" w:cs="Arial"/>
                <w:color w:val="000000" w:themeColor="text1"/>
                <w:sz w:val="22"/>
                <w:szCs w:val="22"/>
                <w:lang w:val="es-ES"/>
              </w:rPr>
              <w:t>%</w:t>
            </w:r>
          </w:p>
        </w:tc>
      </w:tr>
      <w:tr w:rsidR="002A0123" w:rsidRPr="003B1F37" w14:paraId="1C1FB224" w14:textId="77777777" w:rsidTr="00104785">
        <w:trPr>
          <w:trHeight w:val="553"/>
          <w:jc w:val="center"/>
        </w:trPr>
        <w:tc>
          <w:tcPr>
            <w:tcW w:w="7826" w:type="dxa"/>
          </w:tcPr>
          <w:p w14:paraId="0A45AD21" w14:textId="77777777" w:rsidR="002A0123" w:rsidRPr="003B1F37" w:rsidRDefault="002A0123" w:rsidP="00104785">
            <w:pPr>
              <w:pStyle w:val="Encabezado"/>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Diario reflexivo</w:t>
            </w:r>
          </w:p>
          <w:p w14:paraId="2E0F80A3" w14:textId="77777777" w:rsidR="002A0123" w:rsidRPr="003B1F37" w:rsidRDefault="002A0123" w:rsidP="00104785">
            <w:pPr>
              <w:pStyle w:val="Encabezado"/>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Se elabora e</w:t>
            </w:r>
            <w:r w:rsidRPr="003B1F37">
              <w:rPr>
                <w:rFonts w:asciiTheme="minorHAnsi" w:hAnsiTheme="minorHAnsi" w:cs="Arial"/>
                <w:color w:val="000000" w:themeColor="text1"/>
                <w:sz w:val="22"/>
                <w:szCs w:val="22"/>
                <w:lang w:val="es-ES"/>
              </w:rPr>
              <w:t>ntre las sesiones 3 y 9</w:t>
            </w:r>
            <w:r>
              <w:rPr>
                <w:rFonts w:asciiTheme="minorHAnsi" w:hAnsiTheme="minorHAnsi" w:cs="Arial"/>
                <w:color w:val="000000" w:themeColor="text1"/>
                <w:sz w:val="22"/>
                <w:szCs w:val="22"/>
                <w:lang w:val="es-ES"/>
              </w:rPr>
              <w:t>.</w:t>
            </w:r>
            <w:r w:rsidRPr="003B1F37">
              <w:rPr>
                <w:rFonts w:asciiTheme="minorHAnsi" w:hAnsiTheme="minorHAnsi" w:cs="Arial"/>
                <w:color w:val="000000" w:themeColor="text1"/>
                <w:sz w:val="22"/>
                <w:szCs w:val="22"/>
                <w:lang w:val="es-ES"/>
              </w:rPr>
              <w:t xml:space="preserve"> </w:t>
            </w:r>
          </w:p>
        </w:tc>
        <w:tc>
          <w:tcPr>
            <w:tcW w:w="1276" w:type="dxa"/>
            <w:vAlign w:val="center"/>
          </w:tcPr>
          <w:p w14:paraId="23C6C927" w14:textId="77777777" w:rsidR="002A0123" w:rsidRPr="003B1F37" w:rsidRDefault="002A0123" w:rsidP="00104785">
            <w:pPr>
              <w:pStyle w:val="Encabezado"/>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15</w:t>
            </w:r>
            <w:r>
              <w:rPr>
                <w:rFonts w:asciiTheme="minorHAnsi" w:hAnsiTheme="minorHAnsi" w:cs="Arial"/>
                <w:color w:val="000000" w:themeColor="text1"/>
                <w:sz w:val="22"/>
                <w:szCs w:val="22"/>
                <w:lang w:val="es-ES"/>
              </w:rPr>
              <w:t>%</w:t>
            </w:r>
          </w:p>
        </w:tc>
      </w:tr>
      <w:tr w:rsidR="002A0123" w:rsidRPr="003B1F37" w14:paraId="0E8233D4" w14:textId="77777777" w:rsidTr="00104785">
        <w:trPr>
          <w:trHeight w:val="1932"/>
          <w:jc w:val="center"/>
        </w:trPr>
        <w:tc>
          <w:tcPr>
            <w:tcW w:w="7826" w:type="dxa"/>
          </w:tcPr>
          <w:p w14:paraId="0701C1CF" w14:textId="77777777" w:rsidR="002A0123" w:rsidRPr="003B1F37" w:rsidRDefault="002A0123" w:rsidP="00104785">
            <w:pPr>
              <w:pStyle w:val="Encabezado"/>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Trabajos grupales</w:t>
            </w:r>
          </w:p>
          <w:p w14:paraId="6974D48D" w14:textId="77777777" w:rsidR="002A0123" w:rsidRDefault="002A0123" w:rsidP="00104785">
            <w:pPr>
              <w:pStyle w:val="Encabezado"/>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Son un total de cuatro trabajos grupales, cada uno tiene un valor de 4% y se distribuyen de la siguiente forma:</w:t>
            </w:r>
          </w:p>
          <w:p w14:paraId="420B0176" w14:textId="77777777" w:rsidR="002A0123" w:rsidRDefault="002A0123" w:rsidP="00104785">
            <w:pPr>
              <w:pStyle w:val="Encabezado"/>
              <w:widowControl/>
              <w:tabs>
                <w:tab w:val="clear" w:pos="4320"/>
                <w:tab w:val="clear" w:pos="8640"/>
              </w:tabs>
              <w:jc w:val="both"/>
              <w:outlineLvl w:val="0"/>
              <w:rPr>
                <w:rFonts w:asciiTheme="minorHAnsi" w:hAnsiTheme="minorHAnsi" w:cs="Arial"/>
                <w:color w:val="000000" w:themeColor="text1"/>
                <w:sz w:val="22"/>
                <w:szCs w:val="22"/>
                <w:lang w:val="es-ES"/>
              </w:rPr>
            </w:pPr>
          </w:p>
          <w:p w14:paraId="3B43D659" w14:textId="77777777" w:rsidR="002A0123" w:rsidRDefault="002A0123" w:rsidP="00104785">
            <w:pPr>
              <w:pStyle w:val="Encabezado"/>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 Foros grupales (sesiones 6 y 12).</w:t>
            </w:r>
          </w:p>
          <w:p w14:paraId="3482DCF0" w14:textId="77777777" w:rsidR="002A0123" w:rsidRDefault="002A0123" w:rsidP="00104785">
            <w:pPr>
              <w:pStyle w:val="Encabezado"/>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 Foro temático grupal (sesión 8).</w:t>
            </w:r>
          </w:p>
          <w:p w14:paraId="1B62BD67" w14:textId="77777777" w:rsidR="002A0123" w:rsidRPr="003B1F37" w:rsidRDefault="002A0123" w:rsidP="00104785">
            <w:pPr>
              <w:pStyle w:val="Encabezado"/>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 Foro de debate grupal (sesión 9).</w:t>
            </w:r>
          </w:p>
        </w:tc>
        <w:tc>
          <w:tcPr>
            <w:tcW w:w="1276" w:type="dxa"/>
            <w:vAlign w:val="center"/>
          </w:tcPr>
          <w:p w14:paraId="3608E692" w14:textId="77777777" w:rsidR="002A0123" w:rsidRPr="003B1F37" w:rsidRDefault="002A0123" w:rsidP="00104785">
            <w:pPr>
              <w:pStyle w:val="Encabezado"/>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16</w:t>
            </w:r>
            <w:r>
              <w:rPr>
                <w:rFonts w:asciiTheme="minorHAnsi" w:hAnsiTheme="minorHAnsi" w:cs="Arial"/>
                <w:color w:val="000000" w:themeColor="text1"/>
                <w:sz w:val="22"/>
                <w:szCs w:val="22"/>
                <w:lang w:val="es-ES"/>
              </w:rPr>
              <w:t>%</w:t>
            </w:r>
          </w:p>
        </w:tc>
      </w:tr>
      <w:tr w:rsidR="002A0123" w:rsidRPr="003B1F37" w14:paraId="2B2D3899" w14:textId="77777777" w:rsidTr="00104785">
        <w:trPr>
          <w:trHeight w:val="40"/>
          <w:jc w:val="center"/>
        </w:trPr>
        <w:tc>
          <w:tcPr>
            <w:tcW w:w="7826" w:type="dxa"/>
          </w:tcPr>
          <w:p w14:paraId="340AF5C0" w14:textId="77777777" w:rsidR="002A0123" w:rsidRPr="003B1F37" w:rsidRDefault="002A0123" w:rsidP="00104785">
            <w:pPr>
              <w:pStyle w:val="Encabezado"/>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 xml:space="preserve">Diseño de un taller de formación bíblica </w:t>
            </w:r>
          </w:p>
          <w:p w14:paraId="2382A742" w14:textId="77777777" w:rsidR="002A0123" w:rsidRDefault="002A0123" w:rsidP="00104785">
            <w:pPr>
              <w:pStyle w:val="Encabezado"/>
              <w:widowControl/>
              <w:tabs>
                <w:tab w:val="clear" w:pos="4320"/>
                <w:tab w:val="clear" w:pos="8640"/>
              </w:tabs>
              <w:jc w:val="both"/>
              <w:outlineLvl w:val="0"/>
              <w:rPr>
                <w:rFonts w:asciiTheme="minorHAnsi" w:hAnsiTheme="minorHAnsi" w:cs="Arial"/>
                <w:bCs/>
                <w:iCs/>
                <w:color w:val="000000" w:themeColor="text1"/>
                <w:sz w:val="22"/>
                <w:szCs w:val="22"/>
                <w:lang w:val="es-ES"/>
              </w:rPr>
            </w:pPr>
            <w:r>
              <w:rPr>
                <w:rFonts w:asciiTheme="minorHAnsi" w:hAnsiTheme="minorHAnsi" w:cs="Arial"/>
                <w:bCs/>
                <w:iCs/>
                <w:color w:val="000000" w:themeColor="text1"/>
                <w:sz w:val="22"/>
                <w:szCs w:val="22"/>
                <w:lang w:val="es-ES"/>
              </w:rPr>
              <w:t>Se elabora en las sesiones 14 y 15.</w:t>
            </w:r>
          </w:p>
          <w:p w14:paraId="66576704" w14:textId="77777777" w:rsidR="002A0123" w:rsidRPr="0045673E" w:rsidRDefault="002A0123" w:rsidP="00104785">
            <w:pPr>
              <w:pStyle w:val="Encabezado"/>
              <w:widowControl/>
              <w:tabs>
                <w:tab w:val="clear" w:pos="4320"/>
                <w:tab w:val="clear" w:pos="8640"/>
              </w:tabs>
              <w:jc w:val="both"/>
              <w:outlineLvl w:val="0"/>
              <w:rPr>
                <w:rFonts w:asciiTheme="minorHAnsi" w:hAnsiTheme="minorHAnsi" w:cs="Arial"/>
                <w:bCs/>
                <w:iCs/>
                <w:color w:val="000000" w:themeColor="text1"/>
                <w:sz w:val="22"/>
                <w:szCs w:val="22"/>
                <w:lang w:val="es-ES"/>
              </w:rPr>
            </w:pPr>
          </w:p>
        </w:tc>
        <w:tc>
          <w:tcPr>
            <w:tcW w:w="1276" w:type="dxa"/>
            <w:vAlign w:val="center"/>
          </w:tcPr>
          <w:p w14:paraId="4217EEB4" w14:textId="77777777" w:rsidR="002A0123" w:rsidRPr="003B1F37" w:rsidRDefault="002A0123" w:rsidP="00104785">
            <w:pPr>
              <w:pStyle w:val="Encabezado"/>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10</w:t>
            </w:r>
            <w:r>
              <w:rPr>
                <w:rFonts w:asciiTheme="minorHAnsi" w:hAnsiTheme="minorHAnsi" w:cs="Arial"/>
                <w:color w:val="000000" w:themeColor="text1"/>
                <w:sz w:val="22"/>
                <w:szCs w:val="22"/>
                <w:lang w:val="es-ES"/>
              </w:rPr>
              <w:t>%</w:t>
            </w:r>
          </w:p>
        </w:tc>
      </w:tr>
      <w:tr w:rsidR="002A0123" w:rsidRPr="003B1F37" w14:paraId="26291C6A" w14:textId="77777777" w:rsidTr="00104785">
        <w:trPr>
          <w:trHeight w:val="272"/>
          <w:jc w:val="center"/>
        </w:trPr>
        <w:tc>
          <w:tcPr>
            <w:tcW w:w="7826" w:type="dxa"/>
          </w:tcPr>
          <w:p w14:paraId="00E10AD2" w14:textId="77777777" w:rsidR="002A0123" w:rsidRPr="003B1F37" w:rsidRDefault="002A0123" w:rsidP="00104785">
            <w:pPr>
              <w:pStyle w:val="Encabezado"/>
              <w:widowControl/>
              <w:tabs>
                <w:tab w:val="clear" w:pos="4320"/>
                <w:tab w:val="clear" w:pos="8640"/>
              </w:tabs>
              <w:outlineLvl w:val="0"/>
              <w:rPr>
                <w:rFonts w:asciiTheme="minorHAnsi" w:hAnsiTheme="minorHAnsi" w:cs="Arial"/>
                <w:b/>
                <w:i/>
                <w:color w:val="000000" w:themeColor="text1"/>
                <w:sz w:val="22"/>
                <w:szCs w:val="22"/>
                <w:lang w:val="es-ES"/>
              </w:rPr>
            </w:pPr>
            <w:r w:rsidRPr="003B1F37">
              <w:rPr>
                <w:rFonts w:asciiTheme="minorHAnsi" w:hAnsiTheme="minorHAnsi" w:cs="Arial"/>
                <w:b/>
                <w:i/>
                <w:color w:val="000000" w:themeColor="text1"/>
                <w:sz w:val="22"/>
                <w:szCs w:val="22"/>
                <w:lang w:val="es-ES"/>
              </w:rPr>
              <w:t xml:space="preserve">Autoevaluación </w:t>
            </w:r>
          </w:p>
          <w:p w14:paraId="5468C778" w14:textId="77777777" w:rsidR="002A0123" w:rsidRPr="003B1F37" w:rsidRDefault="002A0123" w:rsidP="00104785">
            <w:pPr>
              <w:pStyle w:val="Encabezado"/>
              <w:widowControl/>
              <w:tabs>
                <w:tab w:val="clear" w:pos="4320"/>
                <w:tab w:val="clear" w:pos="8640"/>
              </w:tabs>
              <w:jc w:val="both"/>
              <w:outlineLvl w:val="0"/>
              <w:rPr>
                <w:rFonts w:asciiTheme="minorHAnsi" w:hAnsiTheme="minorHAnsi" w:cs="Arial"/>
                <w:color w:val="000000" w:themeColor="text1"/>
                <w:sz w:val="22"/>
                <w:szCs w:val="22"/>
                <w:lang w:val="es-ES"/>
              </w:rPr>
            </w:pPr>
            <w:r>
              <w:rPr>
                <w:rFonts w:asciiTheme="minorHAnsi" w:hAnsiTheme="minorHAnsi" w:cs="Arial"/>
                <w:color w:val="000000" w:themeColor="text1"/>
                <w:sz w:val="22"/>
                <w:szCs w:val="22"/>
                <w:lang w:val="es-ES"/>
              </w:rPr>
              <w:t>Se realiza e</w:t>
            </w:r>
            <w:r w:rsidRPr="003B1F37">
              <w:rPr>
                <w:rFonts w:asciiTheme="minorHAnsi" w:hAnsiTheme="minorHAnsi" w:cs="Arial"/>
                <w:color w:val="000000" w:themeColor="text1"/>
                <w:sz w:val="22"/>
                <w:szCs w:val="22"/>
                <w:lang w:val="es-ES"/>
              </w:rPr>
              <w:t>n la sesión 15</w:t>
            </w:r>
            <w:r>
              <w:rPr>
                <w:rFonts w:asciiTheme="minorHAnsi" w:hAnsiTheme="minorHAnsi" w:cs="Arial"/>
                <w:color w:val="000000" w:themeColor="text1"/>
                <w:sz w:val="22"/>
                <w:szCs w:val="22"/>
                <w:lang w:val="es-ES"/>
              </w:rPr>
              <w:t>.</w:t>
            </w:r>
            <w:r w:rsidRPr="003B1F37">
              <w:rPr>
                <w:rFonts w:asciiTheme="minorHAnsi" w:hAnsiTheme="minorHAnsi" w:cs="Arial"/>
                <w:color w:val="000000" w:themeColor="text1"/>
                <w:sz w:val="22"/>
                <w:szCs w:val="22"/>
                <w:lang w:val="es-ES"/>
              </w:rPr>
              <w:t xml:space="preserve"> </w:t>
            </w:r>
          </w:p>
        </w:tc>
        <w:tc>
          <w:tcPr>
            <w:tcW w:w="1276" w:type="dxa"/>
            <w:vAlign w:val="center"/>
          </w:tcPr>
          <w:p w14:paraId="52B934BD" w14:textId="77777777" w:rsidR="002A0123" w:rsidRPr="003B1F37" w:rsidRDefault="002A0123" w:rsidP="00104785">
            <w:pPr>
              <w:pStyle w:val="Encabezado"/>
              <w:widowControl/>
              <w:tabs>
                <w:tab w:val="clear" w:pos="4320"/>
                <w:tab w:val="clear" w:pos="8640"/>
              </w:tabs>
              <w:jc w:val="center"/>
              <w:outlineLvl w:val="0"/>
              <w:rPr>
                <w:rFonts w:asciiTheme="minorHAnsi" w:hAnsiTheme="minorHAnsi" w:cs="Arial"/>
                <w:color w:val="000000" w:themeColor="text1"/>
                <w:sz w:val="22"/>
                <w:szCs w:val="22"/>
                <w:lang w:val="es-ES"/>
              </w:rPr>
            </w:pPr>
            <w:r w:rsidRPr="003B1F37">
              <w:rPr>
                <w:rFonts w:asciiTheme="minorHAnsi" w:hAnsiTheme="minorHAnsi" w:cs="Arial"/>
                <w:color w:val="000000" w:themeColor="text1"/>
                <w:sz w:val="22"/>
                <w:szCs w:val="22"/>
                <w:lang w:val="es-ES"/>
              </w:rPr>
              <w:t>7</w:t>
            </w:r>
            <w:r>
              <w:rPr>
                <w:rFonts w:asciiTheme="minorHAnsi" w:hAnsiTheme="minorHAnsi" w:cs="Arial"/>
                <w:color w:val="000000" w:themeColor="text1"/>
                <w:sz w:val="22"/>
                <w:szCs w:val="22"/>
                <w:lang w:val="es-ES"/>
              </w:rPr>
              <w:t>%</w:t>
            </w:r>
          </w:p>
        </w:tc>
      </w:tr>
      <w:tr w:rsidR="002A0123" w:rsidRPr="004137C4" w14:paraId="4FC45E57" w14:textId="77777777" w:rsidTr="00104785">
        <w:trPr>
          <w:trHeight w:val="276"/>
          <w:jc w:val="center"/>
        </w:trPr>
        <w:tc>
          <w:tcPr>
            <w:tcW w:w="7826" w:type="dxa"/>
          </w:tcPr>
          <w:p w14:paraId="1233DB9D" w14:textId="77777777" w:rsidR="002A0123" w:rsidRPr="003B1F37" w:rsidRDefault="002A0123" w:rsidP="00104785">
            <w:pPr>
              <w:pStyle w:val="Encabezado"/>
              <w:widowControl/>
              <w:tabs>
                <w:tab w:val="clear" w:pos="4320"/>
                <w:tab w:val="clear" w:pos="8640"/>
              </w:tabs>
              <w:outlineLvl w:val="0"/>
              <w:rPr>
                <w:rFonts w:asciiTheme="minorHAnsi" w:hAnsiTheme="minorHAnsi" w:cs="Arial"/>
                <w:b/>
                <w:color w:val="000000" w:themeColor="text1"/>
                <w:sz w:val="22"/>
                <w:szCs w:val="22"/>
                <w:lang w:val="es-ES"/>
              </w:rPr>
            </w:pPr>
            <w:r w:rsidRPr="003B1F37">
              <w:rPr>
                <w:rFonts w:asciiTheme="minorHAnsi" w:hAnsiTheme="minorHAnsi" w:cs="Arial"/>
                <w:b/>
                <w:color w:val="000000" w:themeColor="text1"/>
                <w:sz w:val="22"/>
                <w:szCs w:val="22"/>
                <w:lang w:val="es-ES"/>
              </w:rPr>
              <w:t>Total</w:t>
            </w:r>
          </w:p>
        </w:tc>
        <w:tc>
          <w:tcPr>
            <w:tcW w:w="1276" w:type="dxa"/>
          </w:tcPr>
          <w:p w14:paraId="6A7CC5FD" w14:textId="77777777" w:rsidR="002A0123" w:rsidRPr="004137C4" w:rsidRDefault="002A0123" w:rsidP="00104785">
            <w:pPr>
              <w:pStyle w:val="Encabezado"/>
              <w:widowControl/>
              <w:tabs>
                <w:tab w:val="clear" w:pos="4320"/>
                <w:tab w:val="clear" w:pos="8640"/>
              </w:tabs>
              <w:jc w:val="center"/>
              <w:outlineLvl w:val="0"/>
              <w:rPr>
                <w:rFonts w:asciiTheme="minorHAnsi" w:hAnsiTheme="minorHAnsi" w:cs="Arial"/>
                <w:b/>
                <w:color w:val="000000" w:themeColor="text1"/>
                <w:sz w:val="22"/>
                <w:szCs w:val="22"/>
                <w:lang w:val="es-ES"/>
              </w:rPr>
            </w:pPr>
            <w:r w:rsidRPr="003B1F37">
              <w:rPr>
                <w:rFonts w:asciiTheme="minorHAnsi" w:hAnsiTheme="minorHAnsi" w:cs="Arial"/>
                <w:b/>
                <w:color w:val="000000" w:themeColor="text1"/>
                <w:sz w:val="22"/>
                <w:szCs w:val="22"/>
                <w:lang w:val="es-ES"/>
              </w:rPr>
              <w:t>100%</w:t>
            </w:r>
          </w:p>
        </w:tc>
      </w:tr>
      <w:bookmarkEnd w:id="49"/>
    </w:tbl>
    <w:p w14:paraId="3B640ADE" w14:textId="77777777" w:rsidR="002A0123" w:rsidRDefault="002A0123" w:rsidP="002A0123">
      <w:pPr>
        <w:spacing w:after="200" w:line="276" w:lineRule="auto"/>
        <w:jc w:val="both"/>
        <w:rPr>
          <w:rFonts w:cstheme="minorHAnsi"/>
          <w:b/>
          <w:bCs/>
          <w:color w:val="000000" w:themeColor="text1"/>
        </w:rPr>
        <w:sectPr w:rsidR="002A0123" w:rsidSect="002A0123">
          <w:pgSz w:w="12240" w:h="15840"/>
          <w:pgMar w:top="1417" w:right="1701" w:bottom="1417" w:left="1701" w:header="708" w:footer="708" w:gutter="0"/>
          <w:pgNumType w:start="313"/>
          <w:cols w:space="708"/>
          <w:docGrid w:linePitch="360"/>
        </w:sectPr>
      </w:pPr>
    </w:p>
    <w:p w14:paraId="0801C9A2" w14:textId="77777777" w:rsidR="002A0123" w:rsidRDefault="002A0123" w:rsidP="002A0123">
      <w:pPr>
        <w:spacing w:after="200" w:line="276" w:lineRule="auto"/>
        <w:jc w:val="both"/>
        <w:rPr>
          <w:rFonts w:cstheme="minorHAnsi"/>
          <w:b/>
          <w:bCs/>
          <w:color w:val="000000" w:themeColor="text1"/>
        </w:rPr>
      </w:pPr>
      <w:r>
        <w:rPr>
          <w:b/>
          <w:noProof/>
        </w:rPr>
        <w:lastRenderedPageBreak/>
        <mc:AlternateContent>
          <mc:Choice Requires="wps">
            <w:drawing>
              <wp:anchor distT="0" distB="0" distL="114300" distR="114300" simplePos="0" relativeHeight="252728320" behindDoc="0" locked="0" layoutInCell="1" allowOverlap="1" wp14:anchorId="6E51AE0F" wp14:editId="4E8F58BB">
                <wp:simplePos x="0" y="0"/>
                <wp:positionH relativeFrom="margin">
                  <wp:align>center</wp:align>
                </wp:positionH>
                <wp:positionV relativeFrom="paragraph">
                  <wp:posOffset>-204788</wp:posOffset>
                </wp:positionV>
                <wp:extent cx="6606540" cy="411480"/>
                <wp:effectExtent l="0" t="0" r="22860" b="26670"/>
                <wp:wrapNone/>
                <wp:docPr id="714932821" name="Cuadro de texto 71493282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0C2CC0E5" w14:textId="77777777" w:rsidR="002A0123" w:rsidRPr="00C25376" w:rsidRDefault="002A0123" w:rsidP="002A0123">
                            <w:pPr>
                              <w:jc w:val="center"/>
                              <w:rPr>
                                <w:rFonts w:cstheme="minorHAnsi"/>
                              </w:rPr>
                            </w:pPr>
                            <w:r w:rsidRPr="00C25376">
                              <w:rPr>
                                <w:rFonts w:cstheme="minorHAnsi"/>
                                <w:b/>
                              </w:rPr>
                              <w:t>RÚBRICA DE EVALUACIÓN</w:t>
                            </w:r>
                            <w:r>
                              <w:rPr>
                                <w:rFonts w:cstheme="minorHAnsi"/>
                                <w:b/>
                              </w:rPr>
                              <w:t xml:space="preserve">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1AE0F" id="Cuadro de texto 714932821" o:spid="_x0000_s1170" type="#_x0000_t202" style="position:absolute;left:0;text-align:left;margin-left:0;margin-top:-16.15pt;width:520.2pt;height:32.4pt;z-index:252728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" fillcolor="white [3201]" strokeweight=".5pt">
                <v:textbox>
                  <w:txbxContent>
                    <w:p w14:paraId="0C2CC0E5" w14:textId="77777777" w:rsidR="002A0123" w:rsidRPr="00C25376" w:rsidRDefault="002A0123" w:rsidP="002A0123">
                      <w:pPr>
                        <w:jc w:val="center"/>
                        <w:rPr>
                          <w:rFonts w:cstheme="minorHAnsi"/>
                        </w:rPr>
                      </w:pPr>
                      <w:r w:rsidRPr="00C25376">
                        <w:rPr>
                          <w:rFonts w:cstheme="minorHAnsi"/>
                          <w:b/>
                        </w:rPr>
                        <w:t>RÚBRICA DE EVALUACIÓN</w:t>
                      </w:r>
                      <w:r>
                        <w:rPr>
                          <w:rFonts w:cstheme="minorHAnsi"/>
                          <w:b/>
                        </w:rPr>
                        <w:t xml:space="preserve"> – GLOSARIO</w:t>
                      </w:r>
                    </w:p>
                  </w:txbxContent>
                </v:textbox>
                <w10:wrap anchorx="margin"/>
              </v:shape>
            </w:pict>
          </mc:Fallback>
        </mc:AlternateContent>
      </w:r>
    </w:p>
    <w:p w14:paraId="47A0FD4E" w14:textId="77777777" w:rsidR="002A0123" w:rsidRPr="00F95DEC" w:rsidRDefault="002A0123" w:rsidP="002A0123">
      <w:pPr>
        <w:spacing w:after="200" w:line="276" w:lineRule="auto"/>
        <w:jc w:val="center"/>
        <w:rPr>
          <w:rFonts w:cstheme="minorHAnsi"/>
          <w:color w:val="0070C0"/>
        </w:rPr>
      </w:pPr>
      <w:r w:rsidRPr="00F95DEC">
        <w:rPr>
          <w:rFonts w:cstheme="minorHAnsi"/>
          <w:color w:val="0070C0"/>
        </w:rPr>
        <w:t>Se creará un glosario de forma colaborativa, el cual nos permitirá desarrollar conceptos claves de la exégesis de un texto bíblico. Se lleva a cabo en la sesión 4 y tiene un valor de 5%.</w:t>
      </w:r>
    </w:p>
    <w:p w14:paraId="06226EAF" w14:textId="77777777" w:rsidR="002A0123" w:rsidRDefault="002A0123" w:rsidP="002A0123">
      <w:pPr>
        <w:spacing w:after="200" w:line="276" w:lineRule="auto"/>
        <w:jc w:val="center"/>
        <w:rPr>
          <w:rFonts w:cstheme="minorHAnsi"/>
          <w:color w:val="000000" w:themeColor="text1"/>
        </w:rPr>
      </w:pPr>
      <w:r>
        <w:rPr>
          <w:rFonts w:cstheme="minorHAnsi"/>
          <w:b/>
          <w:bCs/>
          <w:noProof/>
          <w:color w:val="000000" w:themeColor="text1"/>
        </w:rPr>
        <w:drawing>
          <wp:anchor distT="0" distB="0" distL="114300" distR="114300" simplePos="0" relativeHeight="252729344" behindDoc="0" locked="0" layoutInCell="1" allowOverlap="1" wp14:anchorId="6C4BCB55" wp14:editId="32C46E12">
            <wp:simplePos x="0" y="0"/>
            <wp:positionH relativeFrom="margin">
              <wp:align>center</wp:align>
            </wp:positionH>
            <wp:positionV relativeFrom="paragraph">
              <wp:posOffset>47942</wp:posOffset>
            </wp:positionV>
            <wp:extent cx="7894320" cy="5724144"/>
            <wp:effectExtent l="0" t="0" r="0" b="0"/>
            <wp:wrapNone/>
            <wp:docPr id="192342848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28480" name="Imagen 1" descr="Tabla&#10;&#10;Descripción generada automáticamente"/>
                    <pic:cNvPicPr/>
                  </pic:nvPicPr>
                  <pic:blipFill>
                    <a:blip r:embed="rId342">
                      <a:extLst>
                        <a:ext uri="{28A0092B-C50C-407E-A947-70E740481C1C}">
                          <a14:useLocalDpi xmlns:a14="http://schemas.microsoft.com/office/drawing/2010/main" val="0"/>
                        </a:ext>
                      </a:extLst>
                    </a:blip>
                    <a:stretch>
                      <a:fillRect/>
                    </a:stretch>
                  </pic:blipFill>
                  <pic:spPr>
                    <a:xfrm>
                      <a:off x="0" y="0"/>
                      <a:ext cx="7894320" cy="5724144"/>
                    </a:xfrm>
                    <a:prstGeom prst="rect">
                      <a:avLst/>
                    </a:prstGeom>
                  </pic:spPr>
                </pic:pic>
              </a:graphicData>
            </a:graphic>
          </wp:anchor>
        </w:drawing>
      </w:r>
    </w:p>
    <w:p w14:paraId="71FCDEC7" w14:textId="77777777" w:rsidR="002A0123" w:rsidRPr="00A01302" w:rsidRDefault="002A0123" w:rsidP="002A0123">
      <w:pPr>
        <w:spacing w:after="200" w:line="276" w:lineRule="auto"/>
        <w:jc w:val="center"/>
        <w:rPr>
          <w:rFonts w:cstheme="minorHAnsi"/>
          <w:b/>
          <w:bCs/>
          <w:color w:val="000000" w:themeColor="text1"/>
        </w:rPr>
      </w:pPr>
    </w:p>
    <w:p w14:paraId="0CFB62C5" w14:textId="77777777" w:rsidR="002A0123" w:rsidRDefault="002A0123" w:rsidP="002A0123">
      <w:pPr>
        <w:spacing w:after="200" w:line="276" w:lineRule="auto"/>
        <w:jc w:val="both"/>
        <w:rPr>
          <w:rFonts w:cstheme="minorHAnsi"/>
          <w:b/>
          <w:bCs/>
          <w:color w:val="000000" w:themeColor="text1"/>
        </w:rPr>
      </w:pPr>
      <w:r>
        <w:rPr>
          <w:rFonts w:cstheme="minorHAnsi"/>
          <w:b/>
          <w:bCs/>
          <w:color w:val="000000" w:themeColor="text1"/>
        </w:rPr>
        <w:br w:type="page"/>
      </w:r>
    </w:p>
    <w:p w14:paraId="2308D764" w14:textId="77777777" w:rsidR="002A0123" w:rsidRDefault="002A0123" w:rsidP="002A0123">
      <w:pPr>
        <w:spacing w:after="200" w:line="276" w:lineRule="auto"/>
        <w:jc w:val="both"/>
        <w:rPr>
          <w:rFonts w:cstheme="minorHAnsi"/>
          <w:b/>
          <w:bCs/>
          <w:color w:val="000000" w:themeColor="text1"/>
        </w:rPr>
      </w:pPr>
      <w:r w:rsidRPr="00D06599">
        <w:rPr>
          <w:rFonts w:cstheme="minorHAnsi"/>
          <w:bCs/>
          <w:noProof/>
          <w:sz w:val="20"/>
        </w:rPr>
        <w:lastRenderedPageBreak/>
        <mc:AlternateContent>
          <mc:Choice Requires="wps">
            <w:drawing>
              <wp:anchor distT="45720" distB="45720" distL="114300" distR="114300" simplePos="0" relativeHeight="252730368" behindDoc="0" locked="0" layoutInCell="1" allowOverlap="1" wp14:anchorId="34BF7B7C" wp14:editId="30F120CF">
                <wp:simplePos x="0" y="0"/>
                <wp:positionH relativeFrom="margin">
                  <wp:align>center</wp:align>
                </wp:positionH>
                <wp:positionV relativeFrom="paragraph">
                  <wp:posOffset>2223</wp:posOffset>
                </wp:positionV>
                <wp:extent cx="7879080" cy="400050"/>
                <wp:effectExtent l="0" t="0" r="26670" b="19050"/>
                <wp:wrapNone/>
                <wp:docPr id="19588410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0050"/>
                        </a:xfrm>
                        <a:prstGeom prst="rect">
                          <a:avLst/>
                        </a:prstGeom>
                        <a:solidFill>
                          <a:srgbClr val="FFFFFF"/>
                        </a:solidFill>
                        <a:ln w="9525">
                          <a:solidFill>
                            <a:srgbClr val="000000"/>
                          </a:solidFill>
                          <a:miter lim="800000"/>
                          <a:headEnd/>
                          <a:tailEnd/>
                        </a:ln>
                      </wps:spPr>
                      <wps:txbx>
                        <w:txbxContent>
                          <w:p w14:paraId="2BF0B5C2" w14:textId="77777777" w:rsidR="002A0123" w:rsidRPr="002A747D" w:rsidRDefault="002A0123" w:rsidP="002A0123">
                            <w:pPr>
                              <w:jc w:val="center"/>
                              <w:rPr>
                                <w:rFonts w:cstheme="minorHAnsi"/>
                                <w:b/>
                                <w:szCs w:val="24"/>
                              </w:rPr>
                            </w:pPr>
                            <w:r w:rsidRPr="002A747D">
                              <w:rPr>
                                <w:rFonts w:cstheme="minorHAns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BF7B7C" id="_x0000_s1171" type="#_x0000_t202" style="position:absolute;left:0;text-align:left;margin-left:0;margin-top:.2pt;width:620.4pt;height:31.5pt;z-index:25273036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">
                <v:textbox>
                  <w:txbxContent>
                    <w:p w14:paraId="2BF0B5C2" w14:textId="77777777" w:rsidR="002A0123" w:rsidRPr="002A747D" w:rsidRDefault="002A0123" w:rsidP="002A0123">
                      <w:pPr>
                        <w:jc w:val="center"/>
                        <w:rPr>
                          <w:rFonts w:cstheme="minorHAnsi"/>
                          <w:b/>
                          <w:szCs w:val="24"/>
                        </w:rPr>
                      </w:pPr>
                      <w:r w:rsidRPr="002A747D">
                        <w:rPr>
                          <w:rFonts w:cstheme="minorHAnsi"/>
                          <w:b/>
                          <w:szCs w:val="24"/>
                        </w:rPr>
                        <w:t>RÚBRICA DE EVALUACIÓN – FORO TEMÁTICO</w:t>
                      </w:r>
                    </w:p>
                  </w:txbxContent>
                </v:textbox>
                <w10:wrap anchorx="margin"/>
              </v:shape>
            </w:pict>
          </mc:Fallback>
        </mc:AlternateContent>
      </w:r>
    </w:p>
    <w:p w14:paraId="253BD72B" w14:textId="77777777" w:rsidR="002A0123" w:rsidRDefault="002A0123" w:rsidP="002A0123">
      <w:pPr>
        <w:spacing w:after="200" w:line="276" w:lineRule="auto"/>
        <w:jc w:val="both"/>
        <w:rPr>
          <w:rFonts w:cstheme="minorHAnsi"/>
          <w:b/>
          <w:bCs/>
          <w:color w:val="000000" w:themeColor="text1"/>
        </w:rPr>
      </w:pPr>
    </w:p>
    <w:p w14:paraId="03BA5D2C" w14:textId="77777777" w:rsidR="002A0123" w:rsidRPr="00F95DEC" w:rsidRDefault="002A0123" w:rsidP="002A0123">
      <w:pPr>
        <w:spacing w:after="200" w:line="276" w:lineRule="auto"/>
        <w:jc w:val="center"/>
        <w:rPr>
          <w:rFonts w:cstheme="minorHAnsi"/>
          <w:color w:val="0070C0"/>
        </w:rPr>
      </w:pPr>
      <w:r w:rsidRPr="00F95DEC">
        <w:rPr>
          <w:rFonts w:cstheme="minorHAnsi"/>
          <w:color w:val="0070C0"/>
        </w:rPr>
        <w:t>El foro es una herramienta que nos permitirá compartir nuestras experiencias con el estudio de la Biblia, profundizar en la importancia de la historia de un texto bíblico y su valor para la interpretación. El foro temático que se desarrolla en la sesión 3 tiene un valor de 5%.  También se llevan a cabo foros grupales (sesiones 6 y 12), foro temático grupal (sesión 8) y foro de debate grupal (sesión 9). Estos foros pertenecen al rubro de trabajos grupales y cada uno tiene un valor de 4%.</w:t>
      </w:r>
    </w:p>
    <w:p w14:paraId="1F951E94" w14:textId="77777777" w:rsidR="002A0123" w:rsidRDefault="002A0123" w:rsidP="002A0123">
      <w:pPr>
        <w:spacing w:after="200" w:line="276" w:lineRule="auto"/>
        <w:jc w:val="center"/>
        <w:rPr>
          <w:rFonts w:cstheme="minorHAnsi"/>
          <w:color w:val="000000" w:themeColor="text1"/>
        </w:rPr>
      </w:pPr>
      <w:r>
        <w:rPr>
          <w:rFonts w:cstheme="minorHAnsi"/>
          <w:b/>
          <w:bCs/>
          <w:noProof/>
          <w:color w:val="000000" w:themeColor="text1"/>
        </w:rPr>
        <w:drawing>
          <wp:anchor distT="0" distB="0" distL="114300" distR="114300" simplePos="0" relativeHeight="252731392" behindDoc="0" locked="0" layoutInCell="1" allowOverlap="1" wp14:anchorId="2D847A18" wp14:editId="4E4CBCD7">
            <wp:simplePos x="0" y="0"/>
            <wp:positionH relativeFrom="margin">
              <wp:align>center</wp:align>
            </wp:positionH>
            <wp:positionV relativeFrom="paragraph">
              <wp:posOffset>3810</wp:posOffset>
            </wp:positionV>
            <wp:extent cx="7938767" cy="5739618"/>
            <wp:effectExtent l="0" t="0" r="5715" b="0"/>
            <wp:wrapNone/>
            <wp:docPr id="127999429"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9429" name="Imagen 2" descr="Tabla&#10;&#10;Descripción generada automáticamente"/>
                    <pic:cNvPicPr/>
                  </pic:nvPicPr>
                  <pic:blipFill>
                    <a:blip r:embed="rId343">
                      <a:extLst>
                        <a:ext uri="{28A0092B-C50C-407E-A947-70E740481C1C}">
                          <a14:useLocalDpi xmlns:a14="http://schemas.microsoft.com/office/drawing/2010/main" val="0"/>
                        </a:ext>
                      </a:extLst>
                    </a:blip>
                    <a:stretch>
                      <a:fillRect/>
                    </a:stretch>
                  </pic:blipFill>
                  <pic:spPr>
                    <a:xfrm>
                      <a:off x="0" y="0"/>
                      <a:ext cx="7938767" cy="5739618"/>
                    </a:xfrm>
                    <a:prstGeom prst="rect">
                      <a:avLst/>
                    </a:prstGeom>
                  </pic:spPr>
                </pic:pic>
              </a:graphicData>
            </a:graphic>
            <wp14:sizeRelH relativeFrom="margin">
              <wp14:pctWidth>0</wp14:pctWidth>
            </wp14:sizeRelH>
            <wp14:sizeRelV relativeFrom="margin">
              <wp14:pctHeight>0</wp14:pctHeight>
            </wp14:sizeRelV>
          </wp:anchor>
        </w:drawing>
      </w:r>
    </w:p>
    <w:p w14:paraId="36C2D315" w14:textId="77777777" w:rsidR="002A0123" w:rsidRPr="00FA1609" w:rsidRDefault="002A0123" w:rsidP="002A0123">
      <w:pPr>
        <w:spacing w:after="200" w:line="276" w:lineRule="auto"/>
        <w:jc w:val="center"/>
        <w:rPr>
          <w:rFonts w:cstheme="minorHAnsi"/>
          <w:b/>
          <w:bCs/>
          <w:color w:val="000000" w:themeColor="text1"/>
        </w:rPr>
      </w:pPr>
    </w:p>
    <w:p w14:paraId="6B2892C2" w14:textId="77777777" w:rsidR="002A0123" w:rsidRDefault="002A0123" w:rsidP="002A0123">
      <w:pPr>
        <w:spacing w:after="200" w:line="276" w:lineRule="auto"/>
        <w:jc w:val="both"/>
        <w:rPr>
          <w:rFonts w:cstheme="minorHAnsi"/>
          <w:b/>
          <w:bCs/>
          <w:color w:val="000000" w:themeColor="text1"/>
        </w:rPr>
      </w:pPr>
      <w:r>
        <w:rPr>
          <w:rFonts w:cstheme="minorHAnsi"/>
          <w:b/>
          <w:bCs/>
          <w:color w:val="000000" w:themeColor="text1"/>
        </w:rPr>
        <w:br w:type="page"/>
      </w:r>
    </w:p>
    <w:p w14:paraId="0E931D48" w14:textId="77777777" w:rsidR="002A0123" w:rsidRDefault="002A0123" w:rsidP="002A0123">
      <w:pPr>
        <w:spacing w:after="200" w:line="276" w:lineRule="auto"/>
        <w:jc w:val="both"/>
        <w:rPr>
          <w:rFonts w:cstheme="minorHAnsi"/>
          <w:b/>
          <w:bCs/>
          <w:color w:val="000000" w:themeColor="text1"/>
        </w:rPr>
      </w:pPr>
      <w:r>
        <w:rPr>
          <w:noProof/>
        </w:rPr>
        <w:lastRenderedPageBreak/>
        <mc:AlternateContent>
          <mc:Choice Requires="wps">
            <w:drawing>
              <wp:anchor distT="0" distB="0" distL="114300" distR="114300" simplePos="0" relativeHeight="252732416" behindDoc="0" locked="0" layoutInCell="1" allowOverlap="1" wp14:anchorId="70F560F0" wp14:editId="1094D96B">
                <wp:simplePos x="0" y="0"/>
                <wp:positionH relativeFrom="margin">
                  <wp:align>center</wp:align>
                </wp:positionH>
                <wp:positionV relativeFrom="paragraph">
                  <wp:posOffset>317</wp:posOffset>
                </wp:positionV>
                <wp:extent cx="6614160" cy="381000"/>
                <wp:effectExtent l="0" t="0" r="15240" b="19050"/>
                <wp:wrapNone/>
                <wp:docPr id="2037733970"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4160" cy="38100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C799F87" w14:textId="77777777" w:rsidR="002A0123" w:rsidRPr="009827F8" w:rsidRDefault="002A0123" w:rsidP="002A0123">
                            <w:pPr>
                              <w:spacing w:before="75"/>
                              <w:ind w:left="1264" w:right="1268"/>
                              <w:jc w:val="center"/>
                              <w:rPr>
                                <w:rFonts w:cstheme="minorHAnsi"/>
                                <w:b/>
                              </w:rPr>
                            </w:pPr>
                            <w:r w:rsidRPr="009827F8">
                              <w:rPr>
                                <w:rFonts w:cstheme="minorHAnsi"/>
                                <w:b/>
                              </w:rPr>
                              <w:t>ESCALA DE EVALUACIÓN – FORO GRUPAL: LA ESTRUCTURA DEL TEXTO BÍBLICO</w:t>
                            </w:r>
                          </w:p>
                        </w:txbxContent>
                      </wps:txbx>
                      <wps:bodyPr rot="0" vert="horz" wrap="square" lIns="0" tIns="0" rIns="0" bIns="0" anchor="t" anchorCtr="0" upright="1">
                        <a:noAutofit/>
                      </wps:bodyPr>
                    </wps:wsp>
                  </a:graphicData>
                </a:graphic>
              </wp:anchor>
            </w:drawing>
          </mc:Choice>
          <mc:Fallback>
            <w:pict>
              <v:shape w14:anchorId="70F560F0" id="_x0000_s1172" type="#_x0000_t202" style="position:absolute;left:0;text-align:left;margin-left:0;margin-top:0;width:520.8pt;height:30pt;z-index:2527324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" filled="f" strokeweight=".48pt">
                <v:textbox inset="0,0,0,0">
                  <w:txbxContent>
                    <w:p w14:paraId="4C799F87" w14:textId="77777777" w:rsidR="002A0123" w:rsidRPr="009827F8" w:rsidRDefault="002A0123" w:rsidP="002A0123">
                      <w:pPr>
                        <w:spacing w:before="75"/>
                        <w:ind w:left="1264" w:right="1268"/>
                        <w:jc w:val="center"/>
                        <w:rPr>
                          <w:rFonts w:cstheme="minorHAnsi"/>
                          <w:b/>
                        </w:rPr>
                      </w:pPr>
                      <w:r w:rsidRPr="009827F8">
                        <w:rPr>
                          <w:rFonts w:cstheme="minorHAnsi"/>
                          <w:b/>
                        </w:rPr>
                        <w:t>ESCALA DE EVALUACIÓN – FORO GRUPAL: LA ESTRUCTURA DEL TEXTO BÍBLICO</w:t>
                      </w:r>
                    </w:p>
                  </w:txbxContent>
                </v:textbox>
                <w10:wrap anchorx="margin"/>
              </v:shape>
            </w:pict>
          </mc:Fallback>
        </mc:AlternateContent>
      </w:r>
    </w:p>
    <w:p w14:paraId="3CD70FEC" w14:textId="77777777" w:rsidR="002A0123" w:rsidRDefault="002A0123" w:rsidP="002A0123">
      <w:pPr>
        <w:spacing w:after="200" w:line="276" w:lineRule="auto"/>
        <w:jc w:val="center"/>
        <w:rPr>
          <w:rFonts w:cstheme="minorHAnsi"/>
          <w:color w:val="0070C0"/>
        </w:rPr>
      </w:pPr>
    </w:p>
    <w:p w14:paraId="218AB67D" w14:textId="77777777" w:rsidR="002A0123" w:rsidRPr="00F95DEC" w:rsidRDefault="002A0123" w:rsidP="002A0123">
      <w:pPr>
        <w:spacing w:after="200" w:line="276" w:lineRule="auto"/>
        <w:jc w:val="center"/>
        <w:rPr>
          <w:rFonts w:cstheme="minorHAnsi"/>
          <w:color w:val="0070C0"/>
        </w:rPr>
      </w:pPr>
      <w:r>
        <w:rPr>
          <w:rFonts w:cstheme="minorHAnsi"/>
          <w:color w:val="0070C0"/>
        </w:rPr>
        <w:t xml:space="preserve">Esta escala corresponde al foro grupal de la sesión 6 en la que se realiza de manera grupal un análisis de la estructura de un texto bíblico asignado de manera colectiva. El foro tiene un valor de 4%.  </w:t>
      </w:r>
    </w:p>
    <w:p w14:paraId="6187A682" w14:textId="77777777" w:rsidR="002A0123" w:rsidRDefault="002A0123" w:rsidP="002A0123">
      <w:pPr>
        <w:spacing w:after="200" w:line="276" w:lineRule="auto"/>
        <w:jc w:val="both"/>
        <w:rPr>
          <w:rFonts w:cstheme="minorHAnsi"/>
          <w:b/>
          <w:bCs/>
          <w:color w:val="000000" w:themeColor="text1"/>
        </w:rPr>
      </w:pPr>
      <w:r>
        <w:rPr>
          <w:rFonts w:cstheme="minorHAnsi"/>
          <w:b/>
          <w:bCs/>
          <w:noProof/>
          <w:color w:val="000000" w:themeColor="text1"/>
        </w:rPr>
        <w:drawing>
          <wp:anchor distT="0" distB="0" distL="114300" distR="114300" simplePos="0" relativeHeight="252733440" behindDoc="0" locked="0" layoutInCell="1" allowOverlap="1" wp14:anchorId="396585A9" wp14:editId="06C5692F">
            <wp:simplePos x="0" y="0"/>
            <wp:positionH relativeFrom="margin">
              <wp:posOffset>485342</wp:posOffset>
            </wp:positionH>
            <wp:positionV relativeFrom="paragraph">
              <wp:posOffset>252519</wp:posOffset>
            </wp:positionV>
            <wp:extent cx="8174736" cy="3560064"/>
            <wp:effectExtent l="0" t="0" r="0" b="2540"/>
            <wp:wrapNone/>
            <wp:docPr id="777507045" name="Imagen 4"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07045" name="Imagen 4" descr="Interfaz de usuario gráfica, Tabla&#10;&#10;Descripción generada automáticamente"/>
                    <pic:cNvPicPr/>
                  </pic:nvPicPr>
                  <pic:blipFill>
                    <a:blip r:embed="rId344">
                      <a:extLst>
                        <a:ext uri="{28A0092B-C50C-407E-A947-70E740481C1C}">
                          <a14:useLocalDpi xmlns:a14="http://schemas.microsoft.com/office/drawing/2010/main" val="0"/>
                        </a:ext>
                      </a:extLst>
                    </a:blip>
                    <a:stretch>
                      <a:fillRect/>
                    </a:stretch>
                  </pic:blipFill>
                  <pic:spPr>
                    <a:xfrm>
                      <a:off x="0" y="0"/>
                      <a:ext cx="8174736" cy="3560064"/>
                    </a:xfrm>
                    <a:prstGeom prst="rect">
                      <a:avLst/>
                    </a:prstGeom>
                  </pic:spPr>
                </pic:pic>
              </a:graphicData>
            </a:graphic>
          </wp:anchor>
        </w:drawing>
      </w:r>
      <w:r>
        <w:rPr>
          <w:rFonts w:cstheme="minorHAnsi"/>
          <w:b/>
          <w:bCs/>
          <w:color w:val="000000" w:themeColor="text1"/>
        </w:rPr>
        <w:br w:type="page"/>
      </w:r>
    </w:p>
    <w:p w14:paraId="2C0BC5E9" w14:textId="77777777" w:rsidR="002A0123" w:rsidRDefault="002A0123" w:rsidP="002A0123">
      <w:pPr>
        <w:spacing w:after="200" w:line="276" w:lineRule="auto"/>
        <w:jc w:val="both"/>
        <w:rPr>
          <w:rFonts w:cstheme="minorHAnsi"/>
          <w:b/>
          <w:bCs/>
          <w:color w:val="000000" w:themeColor="text1"/>
        </w:rPr>
      </w:pPr>
      <w:r>
        <w:rPr>
          <w:b/>
          <w:noProof/>
        </w:rPr>
        <w:lastRenderedPageBreak/>
        <mc:AlternateContent>
          <mc:Choice Requires="wps">
            <w:drawing>
              <wp:anchor distT="0" distB="0" distL="114300" distR="114300" simplePos="0" relativeHeight="252734464" behindDoc="0" locked="0" layoutInCell="1" allowOverlap="1" wp14:anchorId="5E60D9CF" wp14:editId="4490BAB5">
                <wp:simplePos x="0" y="0"/>
                <wp:positionH relativeFrom="margin">
                  <wp:align>center</wp:align>
                </wp:positionH>
                <wp:positionV relativeFrom="paragraph">
                  <wp:posOffset>-138112</wp:posOffset>
                </wp:positionV>
                <wp:extent cx="6873240" cy="385763"/>
                <wp:effectExtent l="0" t="0" r="22860" b="14605"/>
                <wp:wrapNone/>
                <wp:docPr id="1531264528" name="Cuadro de texto 1531264528"/>
                <wp:cNvGraphicFramePr/>
                <a:graphic xmlns:a="http://schemas.openxmlformats.org/drawingml/2006/main">
                  <a:graphicData uri="http://schemas.microsoft.com/office/word/2010/wordprocessingShape">
                    <wps:wsp>
                      <wps:cNvSpPr txBox="1"/>
                      <wps:spPr>
                        <a:xfrm>
                          <a:off x="0" y="0"/>
                          <a:ext cx="6873240" cy="385763"/>
                        </a:xfrm>
                        <a:prstGeom prst="rect">
                          <a:avLst/>
                        </a:prstGeom>
                        <a:solidFill>
                          <a:schemeClr val="lt1"/>
                        </a:solidFill>
                        <a:ln w="6350">
                          <a:solidFill>
                            <a:prstClr val="black"/>
                          </a:solidFill>
                        </a:ln>
                      </wps:spPr>
                      <wps:txbx>
                        <w:txbxContent>
                          <w:p w14:paraId="70E9E5E4" w14:textId="77777777" w:rsidR="002A0123" w:rsidRPr="00BB3018" w:rsidRDefault="002A0123" w:rsidP="002A0123">
                            <w:pPr>
                              <w:jc w:val="center"/>
                              <w:rPr>
                                <w:rFonts w:cstheme="minorHAnsi"/>
                              </w:rPr>
                            </w:pPr>
                            <w:r w:rsidRPr="00BB3018">
                              <w:rPr>
                                <w:rFonts w:cstheme="minorHAnsi"/>
                                <w:b/>
                              </w:rPr>
                              <w:t>RÚBRICA DE EVALUACIÓN - FORO DE DEBATE GRUPAL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0D9CF" id="Cuadro de texto 1531264528" o:spid="_x0000_s1173" type="#_x0000_t202" style="position:absolute;left:0;text-align:left;margin-left:0;margin-top:-10.85pt;width:541.2pt;height:30.4pt;z-index:252734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" fillcolor="white [3201]" strokeweight=".5pt">
                <v:textbox>
                  <w:txbxContent>
                    <w:p w14:paraId="70E9E5E4" w14:textId="77777777" w:rsidR="002A0123" w:rsidRPr="00BB3018" w:rsidRDefault="002A0123" w:rsidP="002A0123">
                      <w:pPr>
                        <w:jc w:val="center"/>
                        <w:rPr>
                          <w:rFonts w:cstheme="minorHAnsi"/>
                        </w:rPr>
                      </w:pPr>
                      <w:r w:rsidRPr="00BB3018">
                        <w:rPr>
                          <w:rFonts w:cstheme="minorHAnsi"/>
                          <w:b/>
                        </w:rPr>
                        <w:t>RÚBRICA DE EVALUACIÓN - FORO DE DEBATE GRUPAL</w:t>
                      </w:r>
                    </w:p>
                  </w:txbxContent>
                </v:textbox>
                <w10:wrap anchorx="margin"/>
              </v:shape>
            </w:pict>
          </mc:Fallback>
        </mc:AlternateContent>
      </w:r>
    </w:p>
    <w:p w14:paraId="5AB438B6" w14:textId="77777777" w:rsidR="002A0123" w:rsidRDefault="002A0123" w:rsidP="002A0123">
      <w:pPr>
        <w:spacing w:after="200" w:line="276" w:lineRule="auto"/>
        <w:rPr>
          <w:rFonts w:cstheme="minorHAnsi"/>
          <w:b/>
          <w:bCs/>
          <w:color w:val="000000" w:themeColor="text1"/>
        </w:rPr>
      </w:pPr>
      <w:r>
        <w:rPr>
          <w:rFonts w:cstheme="minorHAnsi"/>
          <w:color w:val="0070C0"/>
        </w:rPr>
        <w:t>El foro de debate grupal en la sesión 9 discute el tema “</w:t>
      </w:r>
      <w:r w:rsidRPr="003A7CB8">
        <w:rPr>
          <w:rFonts w:cstheme="minorHAnsi"/>
          <w:color w:val="0070C0"/>
        </w:rPr>
        <w:t>Exégesis y lectura popular de la Biblia” con base en la lectura asignada y tiene un valor del 4%. Se evalúa con la siguiente rúbrica:</w:t>
      </w:r>
      <w:r>
        <w:rPr>
          <w:rFonts w:eastAsia="Calibri" w:cstheme="minorHAnsi"/>
        </w:rPr>
        <w:t xml:space="preserve"> </w:t>
      </w:r>
      <w:r>
        <w:rPr>
          <w:rFonts w:cstheme="minorHAnsi"/>
          <w:b/>
          <w:bCs/>
          <w:noProof/>
          <w:color w:val="000000" w:themeColor="text1"/>
        </w:rPr>
        <w:drawing>
          <wp:anchor distT="0" distB="0" distL="114300" distR="114300" simplePos="0" relativeHeight="252735488" behindDoc="0" locked="0" layoutInCell="1" allowOverlap="1" wp14:anchorId="7F5789CB" wp14:editId="5C4E1AFE">
            <wp:simplePos x="0" y="0"/>
            <wp:positionH relativeFrom="margin">
              <wp:posOffset>278292</wp:posOffset>
            </wp:positionH>
            <wp:positionV relativeFrom="paragraph">
              <wp:posOffset>489584</wp:posOffset>
            </wp:positionV>
            <wp:extent cx="8865708" cy="5394537"/>
            <wp:effectExtent l="0" t="0" r="0" b="0"/>
            <wp:wrapNone/>
            <wp:docPr id="1222904730"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04730" name="Imagen 5" descr="Tabla&#10;&#10;Descripción generada automáticamente"/>
                    <pic:cNvPicPr/>
                  </pic:nvPicPr>
                  <pic:blipFill>
                    <a:blip r:embed="rId345">
                      <a:extLst>
                        <a:ext uri="{28A0092B-C50C-407E-A947-70E740481C1C}">
                          <a14:useLocalDpi xmlns:a14="http://schemas.microsoft.com/office/drawing/2010/main" val="0"/>
                        </a:ext>
                      </a:extLst>
                    </a:blip>
                    <a:stretch>
                      <a:fillRect/>
                    </a:stretch>
                  </pic:blipFill>
                  <pic:spPr>
                    <a:xfrm>
                      <a:off x="0" y="0"/>
                      <a:ext cx="8869045" cy="5396568"/>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color w:val="000000" w:themeColor="text1"/>
        </w:rPr>
        <w:br w:type="page"/>
      </w:r>
    </w:p>
    <w:p w14:paraId="4EF07961" w14:textId="77777777" w:rsidR="002A0123" w:rsidRDefault="002A0123" w:rsidP="002A0123">
      <w:pPr>
        <w:spacing w:after="200" w:line="276" w:lineRule="auto"/>
        <w:jc w:val="both"/>
        <w:rPr>
          <w:rFonts w:cstheme="minorHAnsi"/>
          <w:b/>
          <w:bCs/>
          <w:color w:val="000000" w:themeColor="text1"/>
        </w:rPr>
      </w:pPr>
      <w:r>
        <w:rPr>
          <w:noProof/>
        </w:rPr>
        <w:lastRenderedPageBreak/>
        <mc:AlternateContent>
          <mc:Choice Requires="wps">
            <w:drawing>
              <wp:anchor distT="0" distB="0" distL="114300" distR="114300" simplePos="0" relativeHeight="252736512" behindDoc="0" locked="0" layoutInCell="1" allowOverlap="1" wp14:anchorId="3B6E71FE" wp14:editId="1717F072">
                <wp:simplePos x="0" y="0"/>
                <wp:positionH relativeFrom="margin">
                  <wp:posOffset>1200150</wp:posOffset>
                </wp:positionH>
                <wp:positionV relativeFrom="paragraph">
                  <wp:posOffset>-228600</wp:posOffset>
                </wp:positionV>
                <wp:extent cx="6727190" cy="381000"/>
                <wp:effectExtent l="0" t="0" r="16510" b="19050"/>
                <wp:wrapNone/>
                <wp:docPr id="556158192"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7190" cy="3810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255297" w14:textId="77777777" w:rsidR="002A0123" w:rsidRPr="001C41F0" w:rsidRDefault="002A0123" w:rsidP="002A0123">
                            <w:pPr>
                              <w:spacing w:before="75"/>
                              <w:rPr>
                                <w:rFonts w:cstheme="minorHAnsi"/>
                                <w:b/>
                              </w:rPr>
                            </w:pPr>
                            <w:r w:rsidRPr="001C41F0">
                              <w:rPr>
                                <w:rFonts w:cstheme="minorHAnsi"/>
                                <w:b/>
                              </w:rPr>
                              <w:t xml:space="preserve">         ESCALA DE EVALUACIÓN – FORO GRUPAL: ASPECTOS CLAVES DEL ANÁLISIS DE TEXTOS POÉTICOS</w:t>
                            </w:r>
                          </w:p>
                        </w:txbxContent>
                      </wps:txbx>
                      <wps:bodyPr rot="0" vert="horz" wrap="square" lIns="0" tIns="0" rIns="0" bIns="0" anchor="t" anchorCtr="0" upright="1">
                        <a:noAutofit/>
                      </wps:bodyPr>
                    </wps:wsp>
                  </a:graphicData>
                </a:graphic>
              </wp:anchor>
            </w:drawing>
          </mc:Choice>
          <mc:Fallback>
            <w:pict>
              <v:shape w14:anchorId="3B6E71FE" id="_x0000_s1174" type="#_x0000_t202" style="position:absolute;left:0;text-align:left;margin-left:94.5pt;margin-top:-18pt;width:529.7pt;height:30pt;z-index:2527365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" filled="f" strokeweight=".48pt">
                <v:textbox inset="0,0,0,0">
                  <w:txbxContent>
                    <w:p w14:paraId="58255297" w14:textId="77777777" w:rsidR="002A0123" w:rsidRPr="001C41F0" w:rsidRDefault="002A0123" w:rsidP="002A0123">
                      <w:pPr>
                        <w:spacing w:before="75"/>
                        <w:rPr>
                          <w:rFonts w:cstheme="minorHAnsi"/>
                          <w:b/>
                        </w:rPr>
                      </w:pPr>
                      <w:r w:rsidRPr="001C41F0">
                        <w:rPr>
                          <w:rFonts w:cstheme="minorHAnsi"/>
                          <w:b/>
                        </w:rPr>
                        <w:t xml:space="preserve">         ESCALA DE EVALUACIÓN – FORO GRUPAL: ASPECTOS CLAVES DEL ANÁLISIS DE TEXTOS POÉTICOS</w:t>
                      </w:r>
                    </w:p>
                  </w:txbxContent>
                </v:textbox>
                <w10:wrap anchorx="margin"/>
              </v:shape>
            </w:pict>
          </mc:Fallback>
        </mc:AlternateContent>
      </w:r>
    </w:p>
    <w:p w14:paraId="7A6D6137" w14:textId="77777777" w:rsidR="002A0123" w:rsidRPr="00F95DEC" w:rsidRDefault="002A0123" w:rsidP="002A0123">
      <w:pPr>
        <w:spacing w:after="200" w:line="276" w:lineRule="auto"/>
        <w:jc w:val="center"/>
        <w:rPr>
          <w:rFonts w:cstheme="minorHAnsi"/>
          <w:color w:val="0070C0"/>
        </w:rPr>
      </w:pPr>
      <w:r>
        <w:rPr>
          <w:rFonts w:cstheme="minorHAnsi"/>
          <w:color w:val="0070C0"/>
        </w:rPr>
        <w:t xml:space="preserve">Este foro grupal se realiza en la sesión 12 para analizar aspectos claves de los textos poéticos del Antiguo Testamento con base en la lectura asignada. Tiene un valor del 4% y se evalúa según la siguiente escala:  </w:t>
      </w:r>
    </w:p>
    <w:p w14:paraId="51377929" w14:textId="77777777" w:rsidR="002A0123" w:rsidRDefault="002A0123" w:rsidP="002A0123">
      <w:pPr>
        <w:spacing w:after="200" w:line="276" w:lineRule="auto"/>
        <w:jc w:val="both"/>
        <w:rPr>
          <w:rFonts w:cstheme="minorHAnsi"/>
          <w:b/>
          <w:bCs/>
          <w:color w:val="000000" w:themeColor="text1"/>
        </w:rPr>
      </w:pPr>
      <w:r>
        <w:rPr>
          <w:rFonts w:cstheme="minorHAnsi"/>
          <w:b/>
          <w:bCs/>
          <w:noProof/>
          <w:color w:val="000000" w:themeColor="text1"/>
        </w:rPr>
        <w:drawing>
          <wp:anchor distT="0" distB="0" distL="114300" distR="114300" simplePos="0" relativeHeight="252737536" behindDoc="0" locked="0" layoutInCell="1" allowOverlap="1" wp14:anchorId="0C7010B8" wp14:editId="423E2B60">
            <wp:simplePos x="0" y="0"/>
            <wp:positionH relativeFrom="margin">
              <wp:posOffset>525991</wp:posOffset>
            </wp:positionH>
            <wp:positionV relativeFrom="paragraph">
              <wp:posOffset>293370</wp:posOffset>
            </wp:positionV>
            <wp:extent cx="8205216" cy="3834384"/>
            <wp:effectExtent l="0" t="0" r="5715" b="0"/>
            <wp:wrapNone/>
            <wp:docPr id="1826618612"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618612" name="Imagen 7" descr="Tabla&#10;&#10;Descripción generada automáticamente"/>
                    <pic:cNvPicPr/>
                  </pic:nvPicPr>
                  <pic:blipFill>
                    <a:blip r:embed="rId346">
                      <a:extLst>
                        <a:ext uri="{28A0092B-C50C-407E-A947-70E740481C1C}">
                          <a14:useLocalDpi xmlns:a14="http://schemas.microsoft.com/office/drawing/2010/main" val="0"/>
                        </a:ext>
                      </a:extLst>
                    </a:blip>
                    <a:stretch>
                      <a:fillRect/>
                    </a:stretch>
                  </pic:blipFill>
                  <pic:spPr>
                    <a:xfrm>
                      <a:off x="0" y="0"/>
                      <a:ext cx="8205216" cy="3834384"/>
                    </a:xfrm>
                    <a:prstGeom prst="rect">
                      <a:avLst/>
                    </a:prstGeom>
                  </pic:spPr>
                </pic:pic>
              </a:graphicData>
            </a:graphic>
          </wp:anchor>
        </w:drawing>
      </w:r>
    </w:p>
    <w:p w14:paraId="582FEF3D" w14:textId="77777777" w:rsidR="002A0123" w:rsidRDefault="002A0123" w:rsidP="002A0123">
      <w:pPr>
        <w:spacing w:after="200" w:line="276" w:lineRule="auto"/>
        <w:jc w:val="both"/>
        <w:rPr>
          <w:rFonts w:cstheme="minorHAnsi"/>
          <w:b/>
          <w:bCs/>
          <w:color w:val="000000" w:themeColor="text1"/>
        </w:rPr>
      </w:pPr>
    </w:p>
    <w:p w14:paraId="41F9CCBA" w14:textId="77777777" w:rsidR="002A0123" w:rsidRDefault="002A0123" w:rsidP="002A0123">
      <w:pPr>
        <w:spacing w:after="200" w:line="276" w:lineRule="auto"/>
        <w:jc w:val="both"/>
        <w:rPr>
          <w:rFonts w:cstheme="minorHAnsi"/>
          <w:b/>
          <w:bCs/>
          <w:color w:val="000000" w:themeColor="text1"/>
        </w:rPr>
      </w:pPr>
    </w:p>
    <w:p w14:paraId="272FE60C" w14:textId="77777777" w:rsidR="002A0123" w:rsidRDefault="002A0123" w:rsidP="002A0123">
      <w:pPr>
        <w:spacing w:after="200" w:line="276" w:lineRule="auto"/>
        <w:jc w:val="both"/>
        <w:rPr>
          <w:rFonts w:cstheme="minorHAnsi"/>
          <w:b/>
          <w:bCs/>
          <w:color w:val="000000" w:themeColor="text1"/>
        </w:rPr>
      </w:pPr>
    </w:p>
    <w:p w14:paraId="7399121A" w14:textId="77777777" w:rsidR="002A0123" w:rsidRDefault="002A0123" w:rsidP="002A0123">
      <w:pPr>
        <w:spacing w:after="200" w:line="276" w:lineRule="auto"/>
        <w:jc w:val="both"/>
        <w:rPr>
          <w:rFonts w:cstheme="minorHAnsi"/>
          <w:b/>
          <w:bCs/>
          <w:color w:val="000000" w:themeColor="text1"/>
        </w:rPr>
      </w:pPr>
    </w:p>
    <w:p w14:paraId="5258750B" w14:textId="77777777" w:rsidR="002A0123" w:rsidRDefault="002A0123" w:rsidP="002A0123">
      <w:pPr>
        <w:spacing w:after="200" w:line="276" w:lineRule="auto"/>
        <w:jc w:val="both"/>
        <w:rPr>
          <w:rFonts w:cstheme="minorHAnsi"/>
          <w:b/>
          <w:bCs/>
          <w:color w:val="000000" w:themeColor="text1"/>
        </w:rPr>
      </w:pPr>
    </w:p>
    <w:p w14:paraId="268EFBBE" w14:textId="77777777" w:rsidR="002A0123" w:rsidRDefault="002A0123" w:rsidP="002A0123">
      <w:pPr>
        <w:spacing w:after="200" w:line="276" w:lineRule="auto"/>
        <w:jc w:val="both"/>
        <w:rPr>
          <w:rFonts w:cstheme="minorHAnsi"/>
          <w:b/>
          <w:bCs/>
          <w:color w:val="000000" w:themeColor="text1"/>
        </w:rPr>
      </w:pPr>
    </w:p>
    <w:p w14:paraId="565C6C35" w14:textId="77777777" w:rsidR="002A0123" w:rsidRDefault="002A0123" w:rsidP="002A0123">
      <w:pPr>
        <w:spacing w:after="200" w:line="276" w:lineRule="auto"/>
        <w:jc w:val="both"/>
        <w:rPr>
          <w:rFonts w:cstheme="minorHAnsi"/>
          <w:b/>
          <w:bCs/>
          <w:color w:val="000000" w:themeColor="text1"/>
        </w:rPr>
      </w:pPr>
    </w:p>
    <w:p w14:paraId="32B01255" w14:textId="77777777" w:rsidR="002A0123" w:rsidRDefault="002A0123" w:rsidP="002A0123">
      <w:pPr>
        <w:spacing w:after="200" w:line="276" w:lineRule="auto"/>
        <w:jc w:val="both"/>
        <w:rPr>
          <w:rFonts w:cstheme="minorHAnsi"/>
          <w:b/>
          <w:bCs/>
          <w:color w:val="000000" w:themeColor="text1"/>
        </w:rPr>
      </w:pPr>
    </w:p>
    <w:p w14:paraId="27BC21FE" w14:textId="77777777" w:rsidR="002A0123" w:rsidRDefault="002A0123" w:rsidP="002A0123">
      <w:pPr>
        <w:spacing w:after="200" w:line="276" w:lineRule="auto"/>
        <w:jc w:val="both"/>
        <w:rPr>
          <w:rFonts w:cstheme="minorHAnsi"/>
          <w:b/>
          <w:bCs/>
          <w:color w:val="000000" w:themeColor="text1"/>
        </w:rPr>
      </w:pPr>
    </w:p>
    <w:p w14:paraId="7770E250" w14:textId="77777777" w:rsidR="002A0123" w:rsidRDefault="002A0123" w:rsidP="002A0123">
      <w:pPr>
        <w:spacing w:after="200" w:line="276" w:lineRule="auto"/>
        <w:jc w:val="both"/>
        <w:rPr>
          <w:rFonts w:cstheme="minorHAnsi"/>
          <w:b/>
          <w:bCs/>
          <w:color w:val="000000" w:themeColor="text1"/>
        </w:rPr>
      </w:pPr>
    </w:p>
    <w:p w14:paraId="40A71D7C" w14:textId="77777777" w:rsidR="002A0123" w:rsidRDefault="002A0123" w:rsidP="002A0123">
      <w:pPr>
        <w:spacing w:after="200" w:line="276" w:lineRule="auto"/>
        <w:jc w:val="both"/>
        <w:rPr>
          <w:rFonts w:cstheme="minorHAnsi"/>
          <w:b/>
          <w:bCs/>
          <w:color w:val="000000" w:themeColor="text1"/>
        </w:rPr>
      </w:pPr>
    </w:p>
    <w:p w14:paraId="6622F2CA" w14:textId="77777777" w:rsidR="002A0123" w:rsidRDefault="002A0123" w:rsidP="002A0123">
      <w:pPr>
        <w:spacing w:after="200" w:line="276" w:lineRule="auto"/>
        <w:jc w:val="both"/>
        <w:rPr>
          <w:rFonts w:cstheme="minorHAnsi"/>
          <w:b/>
          <w:bCs/>
          <w:color w:val="000000" w:themeColor="text1"/>
        </w:rPr>
      </w:pPr>
    </w:p>
    <w:p w14:paraId="65C919EE" w14:textId="77777777" w:rsidR="002A0123" w:rsidRDefault="002A0123" w:rsidP="002A0123">
      <w:pPr>
        <w:spacing w:after="200" w:line="276" w:lineRule="auto"/>
        <w:jc w:val="both"/>
        <w:rPr>
          <w:rFonts w:cstheme="minorHAnsi"/>
          <w:b/>
          <w:bCs/>
          <w:color w:val="000000" w:themeColor="text1"/>
        </w:rPr>
      </w:pPr>
    </w:p>
    <w:p w14:paraId="6EF4A489" w14:textId="77777777" w:rsidR="002A0123" w:rsidRDefault="002A0123" w:rsidP="002A0123">
      <w:pPr>
        <w:spacing w:after="200" w:line="276" w:lineRule="auto"/>
        <w:jc w:val="both"/>
        <w:rPr>
          <w:rFonts w:cstheme="minorHAnsi"/>
          <w:b/>
          <w:bCs/>
          <w:color w:val="000000" w:themeColor="text1"/>
        </w:rPr>
      </w:pPr>
    </w:p>
    <w:p w14:paraId="3A591D3F" w14:textId="77777777" w:rsidR="002A0123" w:rsidRDefault="002A0123" w:rsidP="002A0123">
      <w:pPr>
        <w:spacing w:after="200" w:line="276" w:lineRule="auto"/>
        <w:jc w:val="both"/>
        <w:rPr>
          <w:rFonts w:cstheme="minorHAnsi"/>
          <w:b/>
          <w:bCs/>
          <w:color w:val="000000" w:themeColor="text1"/>
        </w:rPr>
      </w:pPr>
    </w:p>
    <w:p w14:paraId="07C3CEEF" w14:textId="77777777" w:rsidR="002A0123" w:rsidRDefault="002A0123" w:rsidP="002A0123">
      <w:pPr>
        <w:spacing w:after="200" w:line="276" w:lineRule="auto"/>
        <w:jc w:val="both"/>
        <w:rPr>
          <w:rFonts w:cstheme="minorHAnsi"/>
          <w:b/>
          <w:bCs/>
          <w:color w:val="000000" w:themeColor="text1"/>
        </w:rPr>
      </w:pPr>
    </w:p>
    <w:p w14:paraId="7DE66084" w14:textId="77777777" w:rsidR="002A0123" w:rsidRDefault="002A0123" w:rsidP="002A0123">
      <w:pPr>
        <w:spacing w:after="200" w:line="276" w:lineRule="auto"/>
        <w:jc w:val="both"/>
        <w:rPr>
          <w:rFonts w:cstheme="minorHAnsi"/>
          <w:b/>
          <w:bCs/>
          <w:color w:val="000000" w:themeColor="text1"/>
        </w:rPr>
      </w:pPr>
    </w:p>
    <w:p w14:paraId="0A11A2EA" w14:textId="77777777" w:rsidR="002A0123" w:rsidRDefault="002A0123" w:rsidP="002A0123">
      <w:pPr>
        <w:spacing w:after="200" w:line="276" w:lineRule="auto"/>
        <w:jc w:val="both"/>
        <w:rPr>
          <w:rFonts w:cstheme="minorHAnsi"/>
          <w:b/>
          <w:bCs/>
          <w:color w:val="000000" w:themeColor="text1"/>
        </w:rPr>
      </w:pPr>
    </w:p>
    <w:p w14:paraId="61A3A154" w14:textId="77777777" w:rsidR="002A0123" w:rsidRDefault="002A0123" w:rsidP="002A0123">
      <w:pPr>
        <w:spacing w:after="200" w:line="276" w:lineRule="auto"/>
        <w:jc w:val="both"/>
        <w:rPr>
          <w:rFonts w:cstheme="minorHAnsi"/>
          <w:b/>
          <w:bCs/>
          <w:color w:val="000000" w:themeColor="text1"/>
        </w:rPr>
      </w:pPr>
      <w:r>
        <w:rPr>
          <w:noProof/>
        </w:rPr>
        <mc:AlternateContent>
          <mc:Choice Requires="wps">
            <w:drawing>
              <wp:anchor distT="0" distB="0" distL="114300" distR="114300" simplePos="0" relativeHeight="252738560" behindDoc="0" locked="0" layoutInCell="1" allowOverlap="1" wp14:anchorId="6612D51E" wp14:editId="7B86D888">
                <wp:simplePos x="0" y="0"/>
                <wp:positionH relativeFrom="margin">
                  <wp:align>center</wp:align>
                </wp:positionH>
                <wp:positionV relativeFrom="paragraph">
                  <wp:posOffset>-318</wp:posOffset>
                </wp:positionV>
                <wp:extent cx="6766560" cy="341630"/>
                <wp:effectExtent l="0" t="0" r="15240" b="20320"/>
                <wp:wrapNone/>
                <wp:docPr id="4162933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34163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ADE40F3" w14:textId="77777777" w:rsidR="002A0123" w:rsidRPr="00191D43" w:rsidRDefault="002A0123" w:rsidP="002A0123">
                            <w:pPr>
                              <w:spacing w:before="75"/>
                              <w:ind w:left="1791" w:right="1792"/>
                              <w:jc w:val="center"/>
                              <w:rPr>
                                <w:rFonts w:cstheme="minorHAnsi"/>
                                <w:b/>
                              </w:rPr>
                            </w:pPr>
                            <w:r w:rsidRPr="00191D43">
                              <w:rPr>
                                <w:rFonts w:cstheme="minorHAnsi"/>
                                <w:b/>
                              </w:rPr>
                              <w:t>ESCALA DE EVALUACIÓN – EJERCICIO DE ESTUDIO DE TEXTOS BÍBLICOS</w:t>
                            </w:r>
                          </w:p>
                        </w:txbxContent>
                      </wps:txbx>
                      <wps:bodyPr rot="0" vert="horz" wrap="square" lIns="0" tIns="0" rIns="0" bIns="0" anchor="t" anchorCtr="0" upright="1">
                        <a:noAutofit/>
                      </wps:bodyPr>
                    </wps:wsp>
                  </a:graphicData>
                </a:graphic>
              </wp:anchor>
            </w:drawing>
          </mc:Choice>
          <mc:Fallback>
            <w:pict>
              <v:shape w14:anchorId="6612D51E" id="_x0000_s1175" type="#_x0000_t202" style="position:absolute;left:0;text-align:left;margin-left:0;margin-top:-.05pt;width:532.8pt;height:26.9pt;z-index:2527385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" filled="f" strokeweight=".48pt">
                <v:textbox inset="0,0,0,0">
                  <w:txbxContent>
                    <w:p w14:paraId="2ADE40F3" w14:textId="77777777" w:rsidR="002A0123" w:rsidRPr="00191D43" w:rsidRDefault="002A0123" w:rsidP="002A0123">
                      <w:pPr>
                        <w:spacing w:before="75"/>
                        <w:ind w:left="1791" w:right="1792"/>
                        <w:jc w:val="center"/>
                        <w:rPr>
                          <w:rFonts w:cstheme="minorHAnsi"/>
                          <w:b/>
                        </w:rPr>
                      </w:pPr>
                      <w:r w:rsidRPr="00191D43">
                        <w:rPr>
                          <w:rFonts w:cstheme="minorHAnsi"/>
                          <w:b/>
                        </w:rPr>
                        <w:t>ESCALA DE EVALUACIÓN – EJERCICIO DE ESTUDIO DE TEXTOS BÍBLICOS</w:t>
                      </w:r>
                    </w:p>
                  </w:txbxContent>
                </v:textbox>
                <w10:wrap anchorx="margin"/>
              </v:shape>
            </w:pict>
          </mc:Fallback>
        </mc:AlternateContent>
      </w:r>
    </w:p>
    <w:p w14:paraId="5D7107CE" w14:textId="77777777" w:rsidR="002A0123" w:rsidRDefault="002A0123" w:rsidP="002A0123">
      <w:pPr>
        <w:spacing w:after="200" w:line="276" w:lineRule="auto"/>
        <w:jc w:val="center"/>
        <w:rPr>
          <w:rFonts w:cstheme="minorHAnsi"/>
          <w:color w:val="000000" w:themeColor="text1"/>
        </w:rPr>
      </w:pPr>
    </w:p>
    <w:p w14:paraId="54454014" w14:textId="77777777" w:rsidR="002A0123" w:rsidRDefault="002A0123" w:rsidP="002A0123">
      <w:pPr>
        <w:spacing w:after="200" w:line="276" w:lineRule="auto"/>
        <w:jc w:val="center"/>
        <w:rPr>
          <w:rFonts w:cstheme="minorHAnsi"/>
          <w:color w:val="0070C0"/>
        </w:rPr>
      </w:pPr>
      <w:r>
        <w:rPr>
          <w:rFonts w:cstheme="minorHAnsi"/>
          <w:color w:val="0070C0"/>
        </w:rPr>
        <w:t xml:space="preserve">La siguiente escala corresponde al ejercicio de estudio de un texto bíblico que inicia una serie de ejercicios que desarrollan las destrezas para el estudio exegético de textos bíblicos. Este ejercicio es un diagnóstico de conocimientos previos y se realiza según la Guía aportada en la sesión 2. Tiene un valor de 7%. </w:t>
      </w:r>
    </w:p>
    <w:p w14:paraId="7FB81BB9" w14:textId="77777777" w:rsidR="002A0123" w:rsidRDefault="002A0123" w:rsidP="002A0123">
      <w:pPr>
        <w:spacing w:after="200" w:line="276" w:lineRule="auto"/>
        <w:jc w:val="center"/>
        <w:rPr>
          <w:rFonts w:cstheme="minorHAnsi"/>
          <w:color w:val="000000" w:themeColor="text1"/>
        </w:rPr>
      </w:pPr>
    </w:p>
    <w:p w14:paraId="550C8DF4" w14:textId="77777777" w:rsidR="002A0123" w:rsidRDefault="002A0123" w:rsidP="002A0123">
      <w:pPr>
        <w:spacing w:after="200" w:line="276" w:lineRule="auto"/>
        <w:jc w:val="center"/>
        <w:rPr>
          <w:rFonts w:cstheme="minorHAnsi"/>
          <w:color w:val="000000" w:themeColor="text1"/>
        </w:rPr>
      </w:pPr>
      <w:r>
        <w:rPr>
          <w:rFonts w:cstheme="minorHAnsi"/>
          <w:noProof/>
          <w:color w:val="000000" w:themeColor="text1"/>
        </w:rPr>
        <w:drawing>
          <wp:anchor distT="0" distB="0" distL="114300" distR="114300" simplePos="0" relativeHeight="252739584" behindDoc="0" locked="0" layoutInCell="1" allowOverlap="1" wp14:anchorId="7F2DC42D" wp14:editId="19CBEC69">
            <wp:simplePos x="0" y="0"/>
            <wp:positionH relativeFrom="column">
              <wp:posOffset>428625</wp:posOffset>
            </wp:positionH>
            <wp:positionV relativeFrom="paragraph">
              <wp:posOffset>-317</wp:posOffset>
            </wp:positionV>
            <wp:extent cx="8284464" cy="3060192"/>
            <wp:effectExtent l="0" t="0" r="2540" b="6985"/>
            <wp:wrapNone/>
            <wp:docPr id="2054354947"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354947" name="Imagen 9" descr="Tabla&#10;&#10;Descripción generada automáticamente"/>
                    <pic:cNvPicPr/>
                  </pic:nvPicPr>
                  <pic:blipFill>
                    <a:blip r:embed="rId347">
                      <a:extLst>
                        <a:ext uri="{28A0092B-C50C-407E-A947-70E740481C1C}">
                          <a14:useLocalDpi xmlns:a14="http://schemas.microsoft.com/office/drawing/2010/main" val="0"/>
                        </a:ext>
                      </a:extLst>
                    </a:blip>
                    <a:stretch>
                      <a:fillRect/>
                    </a:stretch>
                  </pic:blipFill>
                  <pic:spPr>
                    <a:xfrm>
                      <a:off x="0" y="0"/>
                      <a:ext cx="8284464" cy="3060192"/>
                    </a:xfrm>
                    <a:prstGeom prst="rect">
                      <a:avLst/>
                    </a:prstGeom>
                  </pic:spPr>
                </pic:pic>
              </a:graphicData>
            </a:graphic>
          </wp:anchor>
        </w:drawing>
      </w:r>
    </w:p>
    <w:p w14:paraId="5DAEAC52" w14:textId="77777777" w:rsidR="002A0123" w:rsidRPr="00606B64" w:rsidRDefault="002A0123" w:rsidP="002A0123">
      <w:pPr>
        <w:spacing w:after="200" w:line="276" w:lineRule="auto"/>
        <w:jc w:val="center"/>
        <w:rPr>
          <w:rFonts w:cstheme="minorHAnsi"/>
          <w:b/>
          <w:bCs/>
          <w:color w:val="000000" w:themeColor="text1"/>
        </w:rPr>
      </w:pPr>
    </w:p>
    <w:p w14:paraId="1115A819" w14:textId="77777777" w:rsidR="002A0123" w:rsidRDefault="002A0123" w:rsidP="002A0123">
      <w:pPr>
        <w:spacing w:after="200" w:line="276" w:lineRule="auto"/>
        <w:jc w:val="both"/>
        <w:rPr>
          <w:rFonts w:cstheme="minorHAnsi"/>
          <w:b/>
          <w:bCs/>
          <w:color w:val="000000" w:themeColor="text1"/>
        </w:rPr>
      </w:pPr>
      <w:r>
        <w:rPr>
          <w:rFonts w:cstheme="minorHAnsi"/>
          <w:b/>
          <w:bCs/>
          <w:color w:val="000000" w:themeColor="text1"/>
        </w:rPr>
        <w:br w:type="page"/>
      </w:r>
    </w:p>
    <w:p w14:paraId="06DE868D" w14:textId="77777777" w:rsidR="002A0123" w:rsidRDefault="002A0123" w:rsidP="002A0123">
      <w:pPr>
        <w:spacing w:after="200" w:line="276" w:lineRule="auto"/>
        <w:jc w:val="both"/>
        <w:rPr>
          <w:rFonts w:cstheme="minorHAnsi"/>
          <w:b/>
          <w:bCs/>
          <w:color w:val="000000" w:themeColor="text1"/>
        </w:rPr>
      </w:pPr>
      <w:r>
        <w:rPr>
          <w:noProof/>
        </w:rPr>
        <w:lastRenderedPageBreak/>
        <mc:AlternateContent>
          <mc:Choice Requires="wps">
            <w:drawing>
              <wp:anchor distT="0" distB="0" distL="114300" distR="114300" simplePos="0" relativeHeight="252740608" behindDoc="0" locked="0" layoutInCell="1" allowOverlap="1" wp14:anchorId="3F392793" wp14:editId="0EB00B6C">
                <wp:simplePos x="0" y="0"/>
                <wp:positionH relativeFrom="margin">
                  <wp:posOffset>1066800</wp:posOffset>
                </wp:positionH>
                <wp:positionV relativeFrom="paragraph">
                  <wp:posOffset>67310</wp:posOffset>
                </wp:positionV>
                <wp:extent cx="6879590" cy="365760"/>
                <wp:effectExtent l="0" t="0" r="16510" b="15240"/>
                <wp:wrapNone/>
                <wp:docPr id="1692512958" name="Cuadro de texto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9590" cy="36576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B6E78CE" w14:textId="77777777" w:rsidR="002A0123" w:rsidRPr="00376ED2" w:rsidRDefault="002A0123" w:rsidP="002A0123">
                            <w:pPr>
                              <w:spacing w:before="75"/>
                              <w:ind w:left="1220"/>
                              <w:rPr>
                                <w:rFonts w:cstheme="minorHAnsi"/>
                                <w:b/>
                              </w:rPr>
                            </w:pPr>
                            <w:r w:rsidRPr="00376ED2">
                              <w:rPr>
                                <w:rFonts w:cstheme="minorHAnsi"/>
                                <w:b/>
                              </w:rPr>
                              <w:t>ESCALA DE EVALUACIÓN – EL TIEMPO Y LOS PERSONAJES EN LA NARRATIVA BÍBLICA</w:t>
                            </w:r>
                          </w:p>
                        </w:txbxContent>
                      </wps:txbx>
                      <wps:bodyPr rot="0" vert="horz" wrap="square" lIns="0" tIns="0" rIns="0" bIns="0" anchor="t" anchorCtr="0" upright="1">
                        <a:noAutofit/>
                      </wps:bodyPr>
                    </wps:wsp>
                  </a:graphicData>
                </a:graphic>
              </wp:anchor>
            </w:drawing>
          </mc:Choice>
          <mc:Fallback>
            <w:pict>
              <v:shape w14:anchorId="3F392793" id="_x0000_s1176" type="#_x0000_t202" style="position:absolute;left:0;text-align:left;margin-left:84pt;margin-top:5.3pt;width:541.7pt;height:28.8pt;z-index:252740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" filled="f" strokeweight=".48pt">
                <v:textbox inset="0,0,0,0">
                  <w:txbxContent>
                    <w:p w14:paraId="2B6E78CE" w14:textId="77777777" w:rsidR="002A0123" w:rsidRPr="00376ED2" w:rsidRDefault="002A0123" w:rsidP="002A0123">
                      <w:pPr>
                        <w:spacing w:before="75"/>
                        <w:ind w:left="1220"/>
                        <w:rPr>
                          <w:rFonts w:cstheme="minorHAnsi"/>
                          <w:b/>
                        </w:rPr>
                      </w:pPr>
                      <w:r w:rsidRPr="00376ED2">
                        <w:rPr>
                          <w:rFonts w:cstheme="minorHAnsi"/>
                          <w:b/>
                        </w:rPr>
                        <w:t>ESCALA DE EVALUACIÓN – EL TIEMPO Y LOS PERSONAJES EN LA NARRATIVA BÍBLICA</w:t>
                      </w:r>
                    </w:p>
                  </w:txbxContent>
                </v:textbox>
                <w10:wrap anchorx="margin"/>
              </v:shape>
            </w:pict>
          </mc:Fallback>
        </mc:AlternateContent>
      </w:r>
    </w:p>
    <w:p w14:paraId="21DC7CEE" w14:textId="77777777" w:rsidR="002A0123" w:rsidRDefault="002A0123" w:rsidP="002A0123">
      <w:pPr>
        <w:spacing w:after="200" w:line="276" w:lineRule="auto"/>
        <w:jc w:val="both"/>
        <w:rPr>
          <w:rFonts w:cstheme="minorHAnsi"/>
          <w:b/>
          <w:bCs/>
          <w:color w:val="000000" w:themeColor="text1"/>
        </w:rPr>
      </w:pPr>
    </w:p>
    <w:p w14:paraId="22B188A9" w14:textId="77777777" w:rsidR="002A0123" w:rsidRDefault="002A0123" w:rsidP="002A0123">
      <w:pPr>
        <w:spacing w:after="200" w:line="276" w:lineRule="auto"/>
        <w:jc w:val="both"/>
        <w:rPr>
          <w:rFonts w:cstheme="minorHAnsi"/>
          <w:color w:val="0070C0"/>
        </w:rPr>
      </w:pPr>
      <w:r w:rsidRPr="008E692C">
        <w:rPr>
          <w:rFonts w:cstheme="minorHAnsi"/>
          <w:color w:val="0070C0"/>
        </w:rPr>
        <w:t xml:space="preserve">En la sesión 7 se realiza un análisis de los personajes </w:t>
      </w:r>
      <w:r>
        <w:rPr>
          <w:rFonts w:cstheme="minorHAnsi"/>
          <w:color w:val="0070C0"/>
        </w:rPr>
        <w:t xml:space="preserve">y el manejo del tiempo en el </w:t>
      </w:r>
      <w:r w:rsidRPr="008E692C">
        <w:rPr>
          <w:rFonts w:cstheme="minorHAnsi"/>
          <w:color w:val="0070C0"/>
        </w:rPr>
        <w:t>texto bíblico de estudio</w:t>
      </w:r>
      <w:r>
        <w:rPr>
          <w:rFonts w:cstheme="minorHAnsi"/>
          <w:color w:val="0070C0"/>
        </w:rPr>
        <w:t>, con base en las orientaciones aportadas</w:t>
      </w:r>
      <w:r w:rsidRPr="008E692C">
        <w:rPr>
          <w:rFonts w:cstheme="minorHAnsi"/>
          <w:color w:val="0070C0"/>
        </w:rPr>
        <w:t xml:space="preserve">. La siguiente </w:t>
      </w:r>
      <w:r>
        <w:rPr>
          <w:rFonts w:cstheme="minorHAnsi"/>
          <w:color w:val="0070C0"/>
        </w:rPr>
        <w:t>escala</w:t>
      </w:r>
      <w:r w:rsidRPr="008E692C">
        <w:rPr>
          <w:rFonts w:cstheme="minorHAnsi"/>
          <w:color w:val="0070C0"/>
        </w:rPr>
        <w:t xml:space="preserve"> identifica los elementos de este análisis a ser evaluados. </w:t>
      </w:r>
      <w:r>
        <w:rPr>
          <w:rFonts w:cstheme="minorHAnsi"/>
          <w:color w:val="0070C0"/>
        </w:rPr>
        <w:t xml:space="preserve">Tiene un valor de 7%. </w:t>
      </w:r>
    </w:p>
    <w:p w14:paraId="7770406B" w14:textId="77777777" w:rsidR="002A0123" w:rsidRDefault="002A0123" w:rsidP="002A0123">
      <w:pPr>
        <w:spacing w:after="200" w:line="276" w:lineRule="auto"/>
        <w:jc w:val="both"/>
        <w:rPr>
          <w:rFonts w:cstheme="minorHAnsi"/>
          <w:color w:val="0070C0"/>
        </w:rPr>
      </w:pPr>
    </w:p>
    <w:p w14:paraId="286448ED" w14:textId="77777777" w:rsidR="002A0123" w:rsidRDefault="002A0123" w:rsidP="002A0123">
      <w:pPr>
        <w:spacing w:after="200" w:line="276" w:lineRule="auto"/>
        <w:jc w:val="both"/>
        <w:rPr>
          <w:rFonts w:cstheme="minorHAnsi"/>
          <w:color w:val="0070C0"/>
        </w:rPr>
      </w:pPr>
    </w:p>
    <w:p w14:paraId="2A4E6FE9" w14:textId="77777777" w:rsidR="002A0123" w:rsidRDefault="002A0123" w:rsidP="002A0123">
      <w:pPr>
        <w:spacing w:after="200" w:line="276" w:lineRule="auto"/>
        <w:jc w:val="both"/>
        <w:rPr>
          <w:rFonts w:cstheme="minorHAnsi"/>
          <w:color w:val="0070C0"/>
        </w:rPr>
      </w:pPr>
    </w:p>
    <w:p w14:paraId="1E27FFE2" w14:textId="77777777" w:rsidR="002A0123" w:rsidRDefault="002A0123" w:rsidP="002A0123">
      <w:pPr>
        <w:spacing w:after="200" w:line="276" w:lineRule="auto"/>
        <w:jc w:val="both"/>
        <w:rPr>
          <w:rFonts w:cstheme="minorHAnsi"/>
          <w:color w:val="0070C0"/>
        </w:rPr>
      </w:pPr>
    </w:p>
    <w:p w14:paraId="7F904A74" w14:textId="77777777" w:rsidR="002A0123" w:rsidRDefault="002A0123" w:rsidP="002A0123">
      <w:pPr>
        <w:spacing w:after="200" w:line="276" w:lineRule="auto"/>
        <w:jc w:val="both"/>
        <w:rPr>
          <w:rFonts w:cstheme="minorHAnsi"/>
          <w:color w:val="0070C0"/>
        </w:rPr>
      </w:pPr>
    </w:p>
    <w:p w14:paraId="5D853DAC" w14:textId="77777777" w:rsidR="002A0123" w:rsidRDefault="002A0123" w:rsidP="002A0123">
      <w:pPr>
        <w:spacing w:after="200" w:line="276" w:lineRule="auto"/>
        <w:jc w:val="both"/>
        <w:rPr>
          <w:rFonts w:cstheme="minorHAnsi"/>
          <w:color w:val="0070C0"/>
        </w:rPr>
      </w:pPr>
    </w:p>
    <w:p w14:paraId="5B9BE14D" w14:textId="77777777" w:rsidR="002A0123" w:rsidRDefault="002A0123" w:rsidP="002A0123">
      <w:pPr>
        <w:spacing w:after="200" w:line="276" w:lineRule="auto"/>
        <w:jc w:val="both"/>
        <w:rPr>
          <w:rFonts w:cstheme="minorHAnsi"/>
          <w:color w:val="0070C0"/>
        </w:rPr>
      </w:pPr>
    </w:p>
    <w:p w14:paraId="061F1D72" w14:textId="77777777" w:rsidR="002A0123" w:rsidRDefault="002A0123" w:rsidP="002A0123">
      <w:pPr>
        <w:spacing w:after="200" w:line="276" w:lineRule="auto"/>
        <w:jc w:val="both"/>
        <w:rPr>
          <w:rFonts w:cstheme="minorHAnsi"/>
          <w:color w:val="0070C0"/>
        </w:rPr>
      </w:pPr>
    </w:p>
    <w:p w14:paraId="72B9430D" w14:textId="77777777" w:rsidR="002A0123" w:rsidRDefault="002A0123" w:rsidP="002A0123">
      <w:pPr>
        <w:spacing w:after="200" w:line="276" w:lineRule="auto"/>
        <w:jc w:val="both"/>
        <w:rPr>
          <w:rFonts w:cstheme="minorHAnsi"/>
          <w:color w:val="0070C0"/>
        </w:rPr>
      </w:pPr>
    </w:p>
    <w:p w14:paraId="484E431B" w14:textId="77777777" w:rsidR="002A0123" w:rsidRDefault="002A0123" w:rsidP="002A0123">
      <w:pPr>
        <w:spacing w:after="200" w:line="276" w:lineRule="auto"/>
        <w:jc w:val="both"/>
        <w:rPr>
          <w:rFonts w:cstheme="minorHAnsi"/>
          <w:color w:val="0070C0"/>
        </w:rPr>
      </w:pPr>
    </w:p>
    <w:p w14:paraId="7D714689" w14:textId="77777777" w:rsidR="002A0123" w:rsidRDefault="002A0123" w:rsidP="002A0123">
      <w:pPr>
        <w:spacing w:after="200" w:line="276" w:lineRule="auto"/>
        <w:jc w:val="both"/>
        <w:rPr>
          <w:rFonts w:cstheme="minorHAnsi"/>
          <w:color w:val="0070C0"/>
        </w:rPr>
      </w:pPr>
    </w:p>
    <w:p w14:paraId="7DABECE7" w14:textId="77777777" w:rsidR="002A0123" w:rsidRDefault="002A0123" w:rsidP="002A0123">
      <w:pPr>
        <w:spacing w:after="200" w:line="276" w:lineRule="auto"/>
        <w:jc w:val="both"/>
        <w:rPr>
          <w:rFonts w:cstheme="minorHAnsi"/>
          <w:color w:val="0070C0"/>
        </w:rPr>
      </w:pPr>
    </w:p>
    <w:p w14:paraId="47AC52ED" w14:textId="77777777" w:rsidR="002A0123" w:rsidRDefault="002A0123" w:rsidP="002A0123">
      <w:pPr>
        <w:spacing w:after="200" w:line="276" w:lineRule="auto"/>
        <w:jc w:val="both"/>
        <w:rPr>
          <w:rFonts w:cstheme="minorHAnsi"/>
          <w:color w:val="0070C0"/>
        </w:rPr>
      </w:pPr>
    </w:p>
    <w:p w14:paraId="38F6356D" w14:textId="77777777" w:rsidR="002A0123" w:rsidRDefault="002A0123" w:rsidP="002A0123">
      <w:pPr>
        <w:spacing w:after="200" w:line="276" w:lineRule="auto"/>
        <w:jc w:val="both"/>
        <w:rPr>
          <w:rFonts w:cstheme="minorHAnsi"/>
          <w:color w:val="0070C0"/>
        </w:rPr>
      </w:pPr>
    </w:p>
    <w:p w14:paraId="586C5C94" w14:textId="77777777" w:rsidR="002A0123" w:rsidRPr="008E692C" w:rsidRDefault="002A0123" w:rsidP="002A0123">
      <w:pPr>
        <w:spacing w:after="200" w:line="276" w:lineRule="auto"/>
        <w:jc w:val="both"/>
        <w:rPr>
          <w:rFonts w:cstheme="minorHAnsi"/>
          <w:color w:val="0070C0"/>
        </w:rPr>
      </w:pPr>
    </w:p>
    <w:p w14:paraId="50288CA1" w14:textId="77777777" w:rsidR="002A0123" w:rsidRDefault="002A0123" w:rsidP="002A0123">
      <w:pPr>
        <w:spacing w:after="200" w:line="276" w:lineRule="auto"/>
        <w:jc w:val="both"/>
        <w:rPr>
          <w:rFonts w:cstheme="minorHAnsi"/>
          <w:b/>
          <w:bCs/>
          <w:color w:val="000000" w:themeColor="text1"/>
        </w:rPr>
      </w:pPr>
      <w:r>
        <w:rPr>
          <w:rFonts w:cstheme="minorHAnsi"/>
          <w:b/>
          <w:bCs/>
          <w:noProof/>
          <w:color w:val="000000" w:themeColor="text1"/>
        </w:rPr>
        <w:drawing>
          <wp:anchor distT="0" distB="0" distL="114300" distR="114300" simplePos="0" relativeHeight="252741632" behindDoc="0" locked="0" layoutInCell="1" allowOverlap="1" wp14:anchorId="12B2D99F" wp14:editId="725362C1">
            <wp:simplePos x="0" y="0"/>
            <wp:positionH relativeFrom="margin">
              <wp:posOffset>516467</wp:posOffset>
            </wp:positionH>
            <wp:positionV relativeFrom="page">
              <wp:posOffset>1972733</wp:posOffset>
            </wp:positionV>
            <wp:extent cx="8308340" cy="4108450"/>
            <wp:effectExtent l="0" t="0" r="0" b="6350"/>
            <wp:wrapNone/>
            <wp:docPr id="907651608" name="Imagen 1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651608" name="Imagen 11" descr="Imagen que contiene Interfaz de usuario gráfica&#10;&#10;Descripción generada automáticamente"/>
                    <pic:cNvPicPr/>
                  </pic:nvPicPr>
                  <pic:blipFill>
                    <a:blip r:embed="rId348">
                      <a:extLst>
                        <a:ext uri="{28A0092B-C50C-407E-A947-70E740481C1C}">
                          <a14:useLocalDpi xmlns:a14="http://schemas.microsoft.com/office/drawing/2010/main" val="0"/>
                        </a:ext>
                      </a:extLst>
                    </a:blip>
                    <a:stretch>
                      <a:fillRect/>
                    </a:stretch>
                  </pic:blipFill>
                  <pic:spPr>
                    <a:xfrm>
                      <a:off x="0" y="0"/>
                      <a:ext cx="8308340" cy="4108450"/>
                    </a:xfrm>
                    <a:prstGeom prst="rect">
                      <a:avLst/>
                    </a:prstGeom>
                  </pic:spPr>
                </pic:pic>
              </a:graphicData>
            </a:graphic>
          </wp:anchor>
        </w:drawing>
      </w:r>
      <w:r>
        <w:rPr>
          <w:rFonts w:cstheme="minorHAnsi"/>
          <w:b/>
          <w:bCs/>
          <w:color w:val="000000" w:themeColor="text1"/>
        </w:rPr>
        <w:br w:type="page"/>
      </w:r>
    </w:p>
    <w:p w14:paraId="3EA7E7C9" w14:textId="77777777" w:rsidR="002A0123" w:rsidRDefault="002A0123" w:rsidP="002A0123">
      <w:pPr>
        <w:spacing w:after="200" w:line="276" w:lineRule="auto"/>
        <w:jc w:val="both"/>
        <w:rPr>
          <w:rFonts w:cstheme="minorHAnsi"/>
          <w:b/>
          <w:bCs/>
          <w:color w:val="000000" w:themeColor="text1"/>
        </w:rPr>
      </w:pPr>
      <w:r>
        <w:rPr>
          <w:noProof/>
        </w:rPr>
        <w:lastRenderedPageBreak/>
        <mc:AlternateContent>
          <mc:Choice Requires="wps">
            <w:drawing>
              <wp:anchor distT="0" distB="0" distL="114300" distR="114300" simplePos="0" relativeHeight="252742656" behindDoc="0" locked="0" layoutInCell="1" allowOverlap="1" wp14:anchorId="04007696" wp14:editId="1844195B">
                <wp:simplePos x="0" y="0"/>
                <wp:positionH relativeFrom="margin">
                  <wp:posOffset>1301461</wp:posOffset>
                </wp:positionH>
                <wp:positionV relativeFrom="paragraph">
                  <wp:posOffset>-164985</wp:posOffset>
                </wp:positionV>
                <wp:extent cx="6736080" cy="381000"/>
                <wp:effectExtent l="0" t="0" r="26670" b="19050"/>
                <wp:wrapNone/>
                <wp:docPr id="283617932"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36080" cy="38100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1D3819" w14:textId="77777777" w:rsidR="002A0123" w:rsidRPr="005B3872" w:rsidRDefault="002A0123" w:rsidP="002A0123">
                            <w:pPr>
                              <w:spacing w:before="75"/>
                              <w:ind w:left="1435" w:right="1441"/>
                              <w:jc w:val="center"/>
                              <w:rPr>
                                <w:rFonts w:cstheme="minorHAnsi"/>
                                <w:b/>
                              </w:rPr>
                            </w:pPr>
                            <w:r w:rsidRPr="005B3872">
                              <w:rPr>
                                <w:rFonts w:cstheme="minorHAnsi"/>
                                <w:b/>
                              </w:rPr>
                              <w:t>ESCALA DE EVALUACIÓN – EJERCICIO DE ESTUDIO DE LITERATURA EPISTOLAR</w:t>
                            </w:r>
                          </w:p>
                        </w:txbxContent>
                      </wps:txbx>
                      <wps:bodyPr rot="0" vert="horz" wrap="square" lIns="0" tIns="0" rIns="0" bIns="0" anchor="t" anchorCtr="0" upright="1">
                        <a:noAutofit/>
                      </wps:bodyPr>
                    </wps:wsp>
                  </a:graphicData>
                </a:graphic>
              </wp:anchor>
            </w:drawing>
          </mc:Choice>
          <mc:Fallback>
            <w:pict>
              <v:shape w14:anchorId="04007696" id="_x0000_s1177" type="#_x0000_t202" style="position:absolute;left:0;text-align:left;margin-left:102.5pt;margin-top:-13pt;width:530.4pt;height:30pt;z-index:252742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" filled="f" strokeweight=".48pt">
                <v:textbox inset="0,0,0,0">
                  <w:txbxContent>
                    <w:p w14:paraId="481D3819" w14:textId="77777777" w:rsidR="002A0123" w:rsidRPr="005B3872" w:rsidRDefault="002A0123" w:rsidP="002A0123">
                      <w:pPr>
                        <w:spacing w:before="75"/>
                        <w:ind w:left="1435" w:right="1441"/>
                        <w:jc w:val="center"/>
                        <w:rPr>
                          <w:rFonts w:cstheme="minorHAnsi"/>
                          <w:b/>
                        </w:rPr>
                      </w:pPr>
                      <w:r w:rsidRPr="005B3872">
                        <w:rPr>
                          <w:rFonts w:cstheme="minorHAnsi"/>
                          <w:b/>
                        </w:rPr>
                        <w:t>ESCALA DE EVALUACIÓN – EJERCICIO DE ESTUDIO DE LITERATURA EPISTOLAR</w:t>
                      </w:r>
                    </w:p>
                  </w:txbxContent>
                </v:textbox>
                <w10:wrap anchorx="margin"/>
              </v:shape>
            </w:pict>
          </mc:Fallback>
        </mc:AlternateContent>
      </w:r>
    </w:p>
    <w:p w14:paraId="5B9A395A" w14:textId="77777777" w:rsidR="002A0123" w:rsidRDefault="002A0123" w:rsidP="002A0123">
      <w:pPr>
        <w:spacing w:after="200" w:line="276" w:lineRule="auto"/>
        <w:jc w:val="both"/>
        <w:rPr>
          <w:rFonts w:cstheme="minorHAnsi"/>
          <w:b/>
          <w:bCs/>
          <w:color w:val="000000" w:themeColor="text1"/>
        </w:rPr>
      </w:pPr>
    </w:p>
    <w:p w14:paraId="46970A7C" w14:textId="61120BE6" w:rsidR="002A0123" w:rsidRDefault="002A0123" w:rsidP="002A0123">
      <w:pPr>
        <w:spacing w:after="200" w:line="276" w:lineRule="auto"/>
        <w:jc w:val="both"/>
        <w:rPr>
          <w:rFonts w:cstheme="minorHAnsi"/>
          <w:color w:val="0070C0"/>
        </w:rPr>
      </w:pPr>
      <w:r w:rsidRPr="0010002C">
        <w:rPr>
          <w:rFonts w:cstheme="minorHAnsi"/>
          <w:color w:val="0070C0"/>
        </w:rPr>
        <w:t xml:space="preserve">En la sesión 13 se realiza un ejercicio de estudio de un texto de una de las epístolas del Nuevo Testamento, con base en la bibliografía aportada y los aportes de las sesiones anteriores. Se evalúa según la siguiente escala y tiene un valor del 7%. </w:t>
      </w:r>
    </w:p>
    <w:p w14:paraId="064DF5FA" w14:textId="0C5F6048" w:rsidR="002A0123" w:rsidRDefault="00FA4807" w:rsidP="002A0123">
      <w:pPr>
        <w:spacing w:after="200" w:line="276" w:lineRule="auto"/>
        <w:jc w:val="both"/>
        <w:rPr>
          <w:rFonts w:cstheme="minorHAnsi"/>
          <w:color w:val="0070C0"/>
        </w:rPr>
      </w:pPr>
      <w:r w:rsidRPr="0010002C">
        <w:rPr>
          <w:rFonts w:cstheme="minorHAnsi"/>
          <w:noProof/>
          <w:color w:val="0070C0"/>
        </w:rPr>
        <w:drawing>
          <wp:anchor distT="0" distB="0" distL="114300" distR="114300" simplePos="0" relativeHeight="252743680" behindDoc="0" locked="0" layoutInCell="1" allowOverlap="1" wp14:anchorId="3316D24E" wp14:editId="41FD68F2">
            <wp:simplePos x="0" y="0"/>
            <wp:positionH relativeFrom="margin">
              <wp:align>center</wp:align>
            </wp:positionH>
            <wp:positionV relativeFrom="paragraph">
              <wp:posOffset>12296</wp:posOffset>
            </wp:positionV>
            <wp:extent cx="8168640" cy="3840480"/>
            <wp:effectExtent l="0" t="0" r="3810" b="7620"/>
            <wp:wrapNone/>
            <wp:docPr id="91331870"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31870" name="Imagen 13" descr="Tabla&#10;&#10;Descripción generada automáticamente"/>
                    <pic:cNvPicPr/>
                  </pic:nvPicPr>
                  <pic:blipFill>
                    <a:blip r:embed="rId349">
                      <a:extLst>
                        <a:ext uri="{28A0092B-C50C-407E-A947-70E740481C1C}">
                          <a14:useLocalDpi xmlns:a14="http://schemas.microsoft.com/office/drawing/2010/main" val="0"/>
                        </a:ext>
                      </a:extLst>
                    </a:blip>
                    <a:stretch>
                      <a:fillRect/>
                    </a:stretch>
                  </pic:blipFill>
                  <pic:spPr>
                    <a:xfrm>
                      <a:off x="0" y="0"/>
                      <a:ext cx="8168640" cy="3840480"/>
                    </a:xfrm>
                    <a:prstGeom prst="rect">
                      <a:avLst/>
                    </a:prstGeom>
                  </pic:spPr>
                </pic:pic>
              </a:graphicData>
            </a:graphic>
          </wp:anchor>
        </w:drawing>
      </w:r>
    </w:p>
    <w:p w14:paraId="77E21A6F" w14:textId="09E7B0A8" w:rsidR="002A0123" w:rsidRDefault="002A0123" w:rsidP="002A0123">
      <w:pPr>
        <w:spacing w:after="200" w:line="276" w:lineRule="auto"/>
        <w:jc w:val="both"/>
        <w:rPr>
          <w:rFonts w:cstheme="minorHAnsi"/>
          <w:color w:val="0070C0"/>
        </w:rPr>
      </w:pPr>
    </w:p>
    <w:p w14:paraId="381D1161" w14:textId="77777777" w:rsidR="002A0123" w:rsidRDefault="002A0123" w:rsidP="002A0123">
      <w:pPr>
        <w:spacing w:after="200" w:line="276" w:lineRule="auto"/>
        <w:jc w:val="both"/>
        <w:rPr>
          <w:rFonts w:cstheme="minorHAnsi"/>
          <w:color w:val="0070C0"/>
        </w:rPr>
      </w:pPr>
    </w:p>
    <w:p w14:paraId="4E309639" w14:textId="77777777" w:rsidR="002A0123" w:rsidRDefault="002A0123" w:rsidP="002A0123">
      <w:pPr>
        <w:spacing w:after="200" w:line="276" w:lineRule="auto"/>
        <w:jc w:val="both"/>
        <w:rPr>
          <w:rFonts w:cstheme="minorHAnsi"/>
          <w:color w:val="0070C0"/>
        </w:rPr>
      </w:pPr>
    </w:p>
    <w:p w14:paraId="38FFD655" w14:textId="77777777" w:rsidR="002A0123" w:rsidRDefault="002A0123" w:rsidP="002A0123">
      <w:pPr>
        <w:spacing w:after="200" w:line="276" w:lineRule="auto"/>
        <w:jc w:val="both"/>
        <w:rPr>
          <w:rFonts w:cstheme="minorHAnsi"/>
          <w:color w:val="0070C0"/>
        </w:rPr>
      </w:pPr>
    </w:p>
    <w:p w14:paraId="49CE5B9C" w14:textId="77777777" w:rsidR="002A0123" w:rsidRDefault="002A0123" w:rsidP="002A0123">
      <w:pPr>
        <w:spacing w:after="200" w:line="276" w:lineRule="auto"/>
        <w:jc w:val="both"/>
        <w:rPr>
          <w:rFonts w:cstheme="minorHAnsi"/>
          <w:color w:val="0070C0"/>
        </w:rPr>
      </w:pPr>
    </w:p>
    <w:p w14:paraId="0C9D5C9F" w14:textId="77777777" w:rsidR="002A0123" w:rsidRDefault="002A0123" w:rsidP="002A0123">
      <w:pPr>
        <w:spacing w:after="200" w:line="276" w:lineRule="auto"/>
        <w:jc w:val="both"/>
        <w:rPr>
          <w:rFonts w:cstheme="minorHAnsi"/>
          <w:color w:val="0070C0"/>
        </w:rPr>
      </w:pPr>
    </w:p>
    <w:p w14:paraId="0BF6F749" w14:textId="77777777" w:rsidR="002A0123" w:rsidRDefault="002A0123" w:rsidP="002A0123">
      <w:pPr>
        <w:spacing w:after="200" w:line="276" w:lineRule="auto"/>
        <w:jc w:val="both"/>
        <w:rPr>
          <w:rFonts w:cstheme="minorHAnsi"/>
          <w:color w:val="0070C0"/>
        </w:rPr>
      </w:pPr>
    </w:p>
    <w:p w14:paraId="1C7975DA" w14:textId="77777777" w:rsidR="002A0123" w:rsidRDefault="002A0123" w:rsidP="002A0123">
      <w:pPr>
        <w:spacing w:after="200" w:line="276" w:lineRule="auto"/>
        <w:jc w:val="both"/>
        <w:rPr>
          <w:rFonts w:cstheme="minorHAnsi"/>
          <w:color w:val="0070C0"/>
        </w:rPr>
      </w:pPr>
    </w:p>
    <w:p w14:paraId="7AAAE6DC" w14:textId="77777777" w:rsidR="002A0123" w:rsidRDefault="002A0123" w:rsidP="002A0123">
      <w:pPr>
        <w:spacing w:after="200" w:line="276" w:lineRule="auto"/>
        <w:jc w:val="both"/>
        <w:rPr>
          <w:rFonts w:cstheme="minorHAnsi"/>
          <w:color w:val="0070C0"/>
        </w:rPr>
      </w:pPr>
    </w:p>
    <w:p w14:paraId="09678EBF" w14:textId="77777777" w:rsidR="002A0123" w:rsidRDefault="002A0123" w:rsidP="002A0123">
      <w:pPr>
        <w:spacing w:after="200" w:line="276" w:lineRule="auto"/>
        <w:jc w:val="both"/>
        <w:rPr>
          <w:rFonts w:cstheme="minorHAnsi"/>
          <w:color w:val="0070C0"/>
        </w:rPr>
      </w:pPr>
    </w:p>
    <w:p w14:paraId="64DBDC93" w14:textId="77777777" w:rsidR="002A0123" w:rsidRDefault="002A0123" w:rsidP="002A0123">
      <w:pPr>
        <w:spacing w:after="200" w:line="276" w:lineRule="auto"/>
        <w:jc w:val="both"/>
        <w:rPr>
          <w:rFonts w:cstheme="minorHAnsi"/>
          <w:color w:val="0070C0"/>
        </w:rPr>
      </w:pPr>
    </w:p>
    <w:p w14:paraId="61A9CD2A" w14:textId="77777777" w:rsidR="002A0123" w:rsidRDefault="002A0123" w:rsidP="002A0123">
      <w:pPr>
        <w:spacing w:after="200" w:line="276" w:lineRule="auto"/>
        <w:jc w:val="both"/>
        <w:rPr>
          <w:rFonts w:cstheme="minorHAnsi"/>
          <w:color w:val="0070C0"/>
        </w:rPr>
      </w:pPr>
    </w:p>
    <w:p w14:paraId="75A45D9B" w14:textId="77777777" w:rsidR="002A0123" w:rsidRDefault="002A0123" w:rsidP="002A0123">
      <w:pPr>
        <w:spacing w:after="200" w:line="276" w:lineRule="auto"/>
        <w:jc w:val="both"/>
        <w:rPr>
          <w:rFonts w:cstheme="minorHAnsi"/>
          <w:color w:val="000000" w:themeColor="text1"/>
        </w:rPr>
      </w:pPr>
      <w:r w:rsidRPr="008572E0">
        <w:rPr>
          <w:rFonts w:cstheme="minorHAnsi"/>
          <w:color w:val="000000" w:themeColor="text1"/>
        </w:rPr>
        <w:br w:type="page"/>
      </w:r>
    </w:p>
    <w:p w14:paraId="3DA7F8F2" w14:textId="77777777" w:rsidR="002A0123" w:rsidRDefault="002A0123" w:rsidP="002A0123">
      <w:pPr>
        <w:spacing w:after="200" w:line="276" w:lineRule="auto"/>
        <w:jc w:val="both"/>
        <w:rPr>
          <w:rFonts w:cstheme="minorHAnsi"/>
          <w:color w:val="000000" w:themeColor="text1"/>
        </w:rPr>
      </w:pPr>
    </w:p>
    <w:p w14:paraId="70063CA5" w14:textId="77777777" w:rsidR="002A0123" w:rsidRDefault="002A0123" w:rsidP="002A0123">
      <w:pPr>
        <w:spacing w:after="200" w:line="276" w:lineRule="auto"/>
        <w:jc w:val="both"/>
        <w:rPr>
          <w:rFonts w:cstheme="minorHAnsi"/>
          <w:color w:val="000000" w:themeColor="text1"/>
        </w:rPr>
      </w:pPr>
    </w:p>
    <w:p w14:paraId="3A5172E3" w14:textId="0D9788A4" w:rsidR="002A0123" w:rsidRPr="0010002C" w:rsidRDefault="00FA4807" w:rsidP="002A0123">
      <w:pPr>
        <w:spacing w:after="200" w:line="276" w:lineRule="auto"/>
        <w:jc w:val="both"/>
        <w:rPr>
          <w:rFonts w:cstheme="minorHAnsi"/>
          <w:color w:val="0070C0"/>
        </w:rPr>
      </w:pPr>
      <w:r>
        <w:rPr>
          <w:rFonts w:cstheme="minorHAnsi"/>
          <w:b/>
          <w:bCs/>
          <w:noProof/>
          <w:color w:val="000000" w:themeColor="text1"/>
        </w:rPr>
        <w:drawing>
          <wp:anchor distT="0" distB="0" distL="114300" distR="114300" simplePos="0" relativeHeight="252745728" behindDoc="1" locked="0" layoutInCell="1" allowOverlap="1" wp14:anchorId="227798A1" wp14:editId="644820B2">
            <wp:simplePos x="0" y="0"/>
            <wp:positionH relativeFrom="margin">
              <wp:posOffset>594014</wp:posOffset>
            </wp:positionH>
            <wp:positionV relativeFrom="page">
              <wp:posOffset>1806517</wp:posOffset>
            </wp:positionV>
            <wp:extent cx="8186420" cy="4120515"/>
            <wp:effectExtent l="0" t="0" r="5080" b="0"/>
            <wp:wrapTight wrapText="bothSides">
              <wp:wrapPolygon edited="0">
                <wp:start x="0" y="0"/>
                <wp:lineTo x="0" y="21470"/>
                <wp:lineTo x="21563" y="21470"/>
                <wp:lineTo x="21563" y="0"/>
                <wp:lineTo x="0" y="0"/>
              </wp:wrapPolygon>
            </wp:wrapTight>
            <wp:docPr id="850499165" name="Imagen 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99165" name="Imagen 15" descr="Tabla&#10;&#10;Descripción generada automáticamente"/>
                    <pic:cNvPicPr/>
                  </pic:nvPicPr>
                  <pic:blipFill>
                    <a:blip r:embed="rId350">
                      <a:extLst>
                        <a:ext uri="{28A0092B-C50C-407E-A947-70E740481C1C}">
                          <a14:useLocalDpi xmlns:a14="http://schemas.microsoft.com/office/drawing/2010/main" val="0"/>
                        </a:ext>
                      </a:extLst>
                    </a:blip>
                    <a:stretch>
                      <a:fillRect/>
                    </a:stretch>
                  </pic:blipFill>
                  <pic:spPr>
                    <a:xfrm>
                      <a:off x="0" y="0"/>
                      <a:ext cx="8186420" cy="4120515"/>
                    </a:xfrm>
                    <a:prstGeom prst="rect">
                      <a:avLst/>
                    </a:prstGeom>
                  </pic:spPr>
                </pic:pic>
              </a:graphicData>
            </a:graphic>
          </wp:anchor>
        </w:drawing>
      </w:r>
      <w:r w:rsidR="002A0123" w:rsidRPr="0010002C">
        <w:rPr>
          <w:rFonts w:cstheme="minorHAnsi"/>
          <w:color w:val="0070C0"/>
        </w:rPr>
        <w:t xml:space="preserve">Uno de los primeros pasos en el análisis de un texto es la delimitación y su ubicación en el contexto literario. Este ejercicio se realiza en la sesión 5 y se evalúa según la escala que sigue. Tiene un valor de 8%. </w:t>
      </w:r>
    </w:p>
    <w:p w14:paraId="61B14C80" w14:textId="577328C3" w:rsidR="002A0123" w:rsidRDefault="002A0123" w:rsidP="002A0123">
      <w:pPr>
        <w:spacing w:after="200" w:line="276" w:lineRule="auto"/>
        <w:jc w:val="both"/>
        <w:rPr>
          <w:rFonts w:cstheme="minorHAnsi"/>
          <w:b/>
          <w:bCs/>
          <w:color w:val="000000" w:themeColor="text1"/>
        </w:rPr>
      </w:pPr>
      <w:r>
        <w:rPr>
          <w:noProof/>
        </w:rPr>
        <mc:AlternateContent>
          <mc:Choice Requires="wps">
            <w:drawing>
              <wp:anchor distT="0" distB="0" distL="114300" distR="114300" simplePos="0" relativeHeight="252744704" behindDoc="1" locked="0" layoutInCell="1" allowOverlap="1" wp14:anchorId="38C8328B" wp14:editId="7347BF02">
                <wp:simplePos x="0" y="0"/>
                <wp:positionH relativeFrom="margin">
                  <wp:posOffset>1109133</wp:posOffset>
                </wp:positionH>
                <wp:positionV relativeFrom="page">
                  <wp:posOffset>457200</wp:posOffset>
                </wp:positionV>
                <wp:extent cx="6910070" cy="381000"/>
                <wp:effectExtent l="0" t="0" r="24130" b="19050"/>
                <wp:wrapTight wrapText="bothSides">
                  <wp:wrapPolygon edited="0">
                    <wp:start x="0" y="0"/>
                    <wp:lineTo x="0" y="21600"/>
                    <wp:lineTo x="21616" y="21600"/>
                    <wp:lineTo x="21616" y="0"/>
                    <wp:lineTo x="0" y="0"/>
                  </wp:wrapPolygon>
                </wp:wrapTight>
                <wp:docPr id="1828131770"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0070" cy="38100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3FDF8F1" w14:textId="77777777" w:rsidR="002A0123" w:rsidRPr="00056996" w:rsidRDefault="002A0123" w:rsidP="002A0123">
                            <w:pPr>
                              <w:spacing w:before="75"/>
                              <w:ind w:left="1023"/>
                              <w:rPr>
                                <w:rFonts w:cstheme="minorHAnsi"/>
                                <w:b/>
                              </w:rPr>
                            </w:pPr>
                            <w:r w:rsidRPr="00056996">
                              <w:rPr>
                                <w:rFonts w:cstheme="minorHAnsi"/>
                                <w:b/>
                              </w:rPr>
                              <w:t>ESCALA DE EVALUACIÓN – DELIMITACIÓN Y CONTEXTO LITERARIO DE UN TEXTO BÍBLICO</w:t>
                            </w:r>
                          </w:p>
                        </w:txbxContent>
                      </wps:txbx>
                      <wps:bodyPr rot="0" vert="horz" wrap="square" lIns="0" tIns="0" rIns="0" bIns="0" anchor="t" anchorCtr="0" upright="1">
                        <a:noAutofit/>
                      </wps:bodyPr>
                    </wps:wsp>
                  </a:graphicData>
                </a:graphic>
              </wp:anchor>
            </w:drawing>
          </mc:Choice>
          <mc:Fallback>
            <w:pict>
              <v:shape w14:anchorId="38C8328B" id="Cuadro de texto 14" o:spid="_x0000_s1178" type="#_x0000_t202" style="position:absolute;left:0;text-align:left;margin-left:87.35pt;margin-top:36pt;width:544.1pt;height:30pt;z-index:-250571776;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" filled="f" strokeweight=".48pt">
                <v:textbox inset="0,0,0,0">
                  <w:txbxContent>
                    <w:p w14:paraId="23FDF8F1" w14:textId="77777777" w:rsidR="002A0123" w:rsidRPr="00056996" w:rsidRDefault="002A0123" w:rsidP="002A0123">
                      <w:pPr>
                        <w:spacing w:before="75"/>
                        <w:ind w:left="1023"/>
                        <w:rPr>
                          <w:rFonts w:cstheme="minorHAnsi"/>
                          <w:b/>
                        </w:rPr>
                      </w:pPr>
                      <w:r w:rsidRPr="00056996">
                        <w:rPr>
                          <w:rFonts w:cstheme="minorHAnsi"/>
                          <w:b/>
                        </w:rPr>
                        <w:t>ESCALA DE EVALUACIÓN – DELIMITACIÓN Y CONTEXTO LITERARIO DE UN TEXTO BÍBLICO</w:t>
                      </w:r>
                    </w:p>
                  </w:txbxContent>
                </v:textbox>
                <w10:wrap type="tight" anchorx="margin" anchory="page"/>
              </v:shape>
            </w:pict>
          </mc:Fallback>
        </mc:AlternateContent>
      </w:r>
    </w:p>
    <w:p w14:paraId="69D0A2C3" w14:textId="4F73191F" w:rsidR="002A0123" w:rsidRDefault="002A0123" w:rsidP="002A0123">
      <w:pPr>
        <w:spacing w:after="200" w:line="276" w:lineRule="auto"/>
        <w:jc w:val="both"/>
        <w:rPr>
          <w:rFonts w:cstheme="minorHAnsi"/>
          <w:b/>
          <w:bCs/>
          <w:color w:val="000000" w:themeColor="text1"/>
        </w:rPr>
      </w:pPr>
      <w:r>
        <w:rPr>
          <w:rFonts w:cstheme="minorHAnsi"/>
          <w:b/>
          <w:bCs/>
          <w:color w:val="000000" w:themeColor="text1"/>
        </w:rPr>
        <w:br w:type="page"/>
      </w:r>
    </w:p>
    <w:p w14:paraId="040111FF" w14:textId="77777777" w:rsidR="002A0123" w:rsidRDefault="002A0123" w:rsidP="002A0123">
      <w:pPr>
        <w:spacing w:after="200" w:line="276" w:lineRule="auto"/>
        <w:jc w:val="both"/>
        <w:rPr>
          <w:rFonts w:cstheme="minorHAnsi"/>
          <w:b/>
          <w:bCs/>
          <w:color w:val="000000" w:themeColor="text1"/>
        </w:rPr>
      </w:pPr>
      <w:r>
        <w:rPr>
          <w:noProof/>
        </w:rPr>
        <w:lastRenderedPageBreak/>
        <mc:AlternateContent>
          <mc:Choice Requires="wps">
            <w:drawing>
              <wp:anchor distT="0" distB="0" distL="114300" distR="114300" simplePos="0" relativeHeight="252746752" behindDoc="0" locked="0" layoutInCell="1" allowOverlap="1" wp14:anchorId="33B7C0BF" wp14:editId="2B6A2C31">
                <wp:simplePos x="0" y="0"/>
                <wp:positionH relativeFrom="margin">
                  <wp:posOffset>1202267</wp:posOffset>
                </wp:positionH>
                <wp:positionV relativeFrom="page">
                  <wp:posOffset>457200</wp:posOffset>
                </wp:positionV>
                <wp:extent cx="6727190" cy="350520"/>
                <wp:effectExtent l="0" t="0" r="16510" b="11430"/>
                <wp:wrapNone/>
                <wp:docPr id="1679155864" name="Cuadro de texto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7190" cy="35052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143F191" w14:textId="77777777" w:rsidR="002A0123" w:rsidRPr="00285E59" w:rsidRDefault="002A0123" w:rsidP="002A0123">
                            <w:pPr>
                              <w:spacing w:before="74"/>
                              <w:ind w:left="1177"/>
                              <w:jc w:val="center"/>
                              <w:rPr>
                                <w:rFonts w:cstheme="minorHAnsi"/>
                                <w:b/>
                              </w:rPr>
                            </w:pPr>
                            <w:r w:rsidRPr="00285E59">
                              <w:rPr>
                                <w:rFonts w:cstheme="minorHAnsi"/>
                                <w:b/>
                              </w:rPr>
                              <w:t>ESCALA DE EVALUACIÓN – ANÁLISIS NARRATIVO DE UN TEXTO BÍBLICO</w:t>
                            </w:r>
                          </w:p>
                        </w:txbxContent>
                      </wps:txbx>
                      <wps:bodyPr rot="0" vert="horz" wrap="square" lIns="0" tIns="0" rIns="0" bIns="0" anchor="t" anchorCtr="0" upright="1">
                        <a:noAutofit/>
                      </wps:bodyPr>
                    </wps:wsp>
                  </a:graphicData>
                </a:graphic>
              </wp:anchor>
            </w:drawing>
          </mc:Choice>
          <mc:Fallback>
            <w:pict>
              <v:shape w14:anchorId="33B7C0BF" id="Cuadro de texto 16" o:spid="_x0000_s1179" type="#_x0000_t202" style="position:absolute;left:0;text-align:left;margin-left:94.65pt;margin-top:36pt;width:529.7pt;height:27.6pt;z-index:252746752;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" filled="f" strokeweight=".48pt">
                <v:textbox inset="0,0,0,0">
                  <w:txbxContent>
                    <w:p w14:paraId="6143F191" w14:textId="77777777" w:rsidR="002A0123" w:rsidRPr="00285E59" w:rsidRDefault="002A0123" w:rsidP="002A0123">
                      <w:pPr>
                        <w:spacing w:before="74"/>
                        <w:ind w:left="1177"/>
                        <w:jc w:val="center"/>
                        <w:rPr>
                          <w:rFonts w:cstheme="minorHAnsi"/>
                          <w:b/>
                        </w:rPr>
                      </w:pPr>
                      <w:r w:rsidRPr="00285E59">
                        <w:rPr>
                          <w:rFonts w:cstheme="minorHAnsi"/>
                          <w:b/>
                        </w:rPr>
                        <w:t>ESCALA DE EVALUACIÓN – ANÁLISIS NARRATIVO DE UN TEXTO BÍBLICO</w:t>
                      </w:r>
                    </w:p>
                  </w:txbxContent>
                </v:textbox>
                <w10:wrap anchorx="margin" anchory="page"/>
              </v:shape>
            </w:pict>
          </mc:Fallback>
        </mc:AlternateContent>
      </w:r>
    </w:p>
    <w:p w14:paraId="381C207B" w14:textId="77777777" w:rsidR="002A0123" w:rsidRPr="006B4EDC" w:rsidRDefault="002A0123" w:rsidP="002A0123">
      <w:pPr>
        <w:spacing w:after="200" w:line="276" w:lineRule="auto"/>
        <w:jc w:val="both"/>
        <w:rPr>
          <w:rFonts w:cstheme="minorHAnsi"/>
          <w:color w:val="000000" w:themeColor="text1"/>
        </w:rPr>
      </w:pPr>
      <w:r w:rsidRPr="006B4EDC">
        <w:rPr>
          <w:rFonts w:cstheme="minorHAnsi"/>
          <w:noProof/>
          <w:color w:val="0070C0"/>
        </w:rPr>
        <w:drawing>
          <wp:anchor distT="0" distB="0" distL="114300" distR="114300" simplePos="0" relativeHeight="252747776" behindDoc="0" locked="0" layoutInCell="1" allowOverlap="1" wp14:anchorId="232E0E3F" wp14:editId="033D1F40">
            <wp:simplePos x="0" y="0"/>
            <wp:positionH relativeFrom="margin">
              <wp:posOffset>527801</wp:posOffset>
            </wp:positionH>
            <wp:positionV relativeFrom="page">
              <wp:posOffset>1535892</wp:posOffset>
            </wp:positionV>
            <wp:extent cx="8216900" cy="4376420"/>
            <wp:effectExtent l="0" t="0" r="0" b="5080"/>
            <wp:wrapNone/>
            <wp:docPr id="1539811957" name="Imagen 1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811957" name="Imagen 17" descr="Tabla&#10;&#10;Descripción generada automáticamente"/>
                    <pic:cNvPicPr/>
                  </pic:nvPicPr>
                  <pic:blipFill>
                    <a:blip r:embed="rId351">
                      <a:extLst>
                        <a:ext uri="{28A0092B-C50C-407E-A947-70E740481C1C}">
                          <a14:useLocalDpi xmlns:a14="http://schemas.microsoft.com/office/drawing/2010/main" val="0"/>
                        </a:ext>
                      </a:extLst>
                    </a:blip>
                    <a:stretch>
                      <a:fillRect/>
                    </a:stretch>
                  </pic:blipFill>
                  <pic:spPr>
                    <a:xfrm>
                      <a:off x="0" y="0"/>
                      <a:ext cx="8216900" cy="4376420"/>
                    </a:xfrm>
                    <a:prstGeom prst="rect">
                      <a:avLst/>
                    </a:prstGeom>
                  </pic:spPr>
                </pic:pic>
              </a:graphicData>
            </a:graphic>
          </wp:anchor>
        </w:drawing>
      </w:r>
      <w:r w:rsidRPr="006B4EDC">
        <w:rPr>
          <w:rFonts w:cstheme="minorHAnsi"/>
          <w:color w:val="0070C0"/>
        </w:rPr>
        <w:t xml:space="preserve">En la sesión 10 se entrega el análisis completo del estudio del texto asignado que inició en la sesión 5. Incorpora todos los elementos desarrollados en las sesiones anteriores, tanto en el trabajo individual como en los foros grupales. Tiene un valor de 8% y se evalúa con la siguiente escala. </w:t>
      </w:r>
      <w:r w:rsidRPr="006B4EDC">
        <w:rPr>
          <w:rFonts w:cstheme="minorHAnsi"/>
          <w:color w:val="000000" w:themeColor="text1"/>
        </w:rPr>
        <w:br w:type="page"/>
      </w:r>
    </w:p>
    <w:p w14:paraId="2A16D50B" w14:textId="77777777" w:rsidR="002A0123" w:rsidRDefault="002A0123" w:rsidP="002A0123">
      <w:pPr>
        <w:spacing w:after="200" w:line="276" w:lineRule="auto"/>
        <w:jc w:val="center"/>
        <w:rPr>
          <w:rFonts w:cstheme="minorHAnsi"/>
          <w:b/>
          <w:bCs/>
          <w:color w:val="000000" w:themeColor="text1"/>
        </w:rPr>
      </w:pPr>
      <w:r>
        <w:rPr>
          <w:noProof/>
        </w:rPr>
        <w:lastRenderedPageBreak/>
        <mc:AlternateContent>
          <mc:Choice Requires="wps">
            <w:drawing>
              <wp:anchor distT="0" distB="0" distL="114300" distR="114300" simplePos="0" relativeHeight="252748800" behindDoc="0" locked="0" layoutInCell="1" allowOverlap="1" wp14:anchorId="50E52673" wp14:editId="0200FAD9">
                <wp:simplePos x="0" y="0"/>
                <wp:positionH relativeFrom="margin">
                  <wp:align>center</wp:align>
                </wp:positionH>
                <wp:positionV relativeFrom="paragraph">
                  <wp:posOffset>1905</wp:posOffset>
                </wp:positionV>
                <wp:extent cx="7012305" cy="381000"/>
                <wp:effectExtent l="0" t="0" r="17145" b="19050"/>
                <wp:wrapNone/>
                <wp:docPr id="1781191165"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2305" cy="38100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697347A" w14:textId="77777777" w:rsidR="002A0123" w:rsidRPr="00EB6988" w:rsidRDefault="002A0123" w:rsidP="002A0123">
                            <w:pPr>
                              <w:spacing w:before="74"/>
                              <w:ind w:left="1262" w:right="1269"/>
                              <w:jc w:val="center"/>
                              <w:rPr>
                                <w:rFonts w:cstheme="minorHAnsi"/>
                                <w:b/>
                              </w:rPr>
                            </w:pPr>
                            <w:r w:rsidRPr="00EB6988">
                              <w:rPr>
                                <w:rFonts w:cstheme="minorHAnsi"/>
                                <w:b/>
                              </w:rPr>
                              <w:t>ESCALA PARA LA COEVALUACIÓN DEL ANÁLISIS NARRATIVO DE UN TEXTO BÍBLICO</w:t>
                            </w:r>
                          </w:p>
                        </w:txbxContent>
                      </wps:txbx>
                      <wps:bodyPr rot="0" vert="horz" wrap="square" lIns="0" tIns="0" rIns="0" bIns="0" anchor="t" anchorCtr="0" upright="1">
                        <a:noAutofit/>
                      </wps:bodyPr>
                    </wps:wsp>
                  </a:graphicData>
                </a:graphic>
              </wp:anchor>
            </w:drawing>
          </mc:Choice>
          <mc:Fallback>
            <w:pict>
              <v:shape w14:anchorId="50E52673" id="Cuadro de texto 18" o:spid="_x0000_s1180" type="#_x0000_t202" style="position:absolute;left:0;text-align:left;margin-left:0;margin-top:.15pt;width:552.15pt;height:30pt;z-index:2527488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" filled="f" strokeweight=".48pt">
                <v:textbox inset="0,0,0,0">
                  <w:txbxContent>
                    <w:p w14:paraId="0697347A" w14:textId="77777777" w:rsidR="002A0123" w:rsidRPr="00EB6988" w:rsidRDefault="002A0123" w:rsidP="002A0123">
                      <w:pPr>
                        <w:spacing w:before="74"/>
                        <w:ind w:left="1262" w:right="1269"/>
                        <w:jc w:val="center"/>
                        <w:rPr>
                          <w:rFonts w:cstheme="minorHAnsi"/>
                          <w:b/>
                        </w:rPr>
                      </w:pPr>
                      <w:r w:rsidRPr="00EB6988">
                        <w:rPr>
                          <w:rFonts w:cstheme="minorHAnsi"/>
                          <w:b/>
                        </w:rPr>
                        <w:t>ESCALA PARA LA COEVALUACIÓN DEL ANÁLISIS NARRATIVO DE UN TEXTO BÍBLICO</w:t>
                      </w:r>
                    </w:p>
                  </w:txbxContent>
                </v:textbox>
                <w10:wrap anchorx="margin"/>
              </v:shape>
            </w:pict>
          </mc:Fallback>
        </mc:AlternateContent>
      </w:r>
    </w:p>
    <w:p w14:paraId="48F7CFFA" w14:textId="77777777" w:rsidR="002A0123" w:rsidRDefault="002A0123" w:rsidP="002A0123">
      <w:pPr>
        <w:spacing w:after="200" w:line="276" w:lineRule="auto"/>
        <w:jc w:val="both"/>
        <w:rPr>
          <w:rFonts w:cstheme="minorHAnsi"/>
          <w:b/>
          <w:bCs/>
          <w:color w:val="000000" w:themeColor="text1"/>
        </w:rPr>
      </w:pPr>
    </w:p>
    <w:p w14:paraId="65F28083" w14:textId="77777777" w:rsidR="002A0123" w:rsidRPr="00F95DEC" w:rsidRDefault="002A0123" w:rsidP="002A0123">
      <w:pPr>
        <w:spacing w:after="200" w:line="276" w:lineRule="auto"/>
        <w:jc w:val="center"/>
        <w:rPr>
          <w:rFonts w:cstheme="minorHAnsi"/>
          <w:b/>
          <w:bCs/>
          <w:noProof/>
          <w:color w:val="0070C0"/>
        </w:rPr>
      </w:pPr>
      <w:r w:rsidRPr="00F95DEC">
        <w:rPr>
          <w:rFonts w:cstheme="minorHAnsi"/>
          <w:color w:val="0070C0"/>
        </w:rPr>
        <w:t xml:space="preserve">La coevaluación del análisis narrativo de un texto bíblico </w:t>
      </w:r>
      <w:r>
        <w:rPr>
          <w:rFonts w:cstheme="minorHAnsi"/>
          <w:color w:val="0070C0"/>
        </w:rPr>
        <w:t xml:space="preserve">entregado en la sesión 10 se realiza en la sesión 11, </w:t>
      </w:r>
      <w:r w:rsidRPr="00F95DEC">
        <w:rPr>
          <w:rFonts w:cstheme="minorHAnsi"/>
          <w:color w:val="0070C0"/>
        </w:rPr>
        <w:t xml:space="preserve">tiene un valor de 5% y </w:t>
      </w:r>
      <w:r>
        <w:rPr>
          <w:rFonts w:cstheme="minorHAnsi"/>
          <w:color w:val="0070C0"/>
        </w:rPr>
        <w:t>se implementa con esta escala</w:t>
      </w:r>
      <w:r w:rsidRPr="00F95DEC">
        <w:rPr>
          <w:rFonts w:cstheme="minorHAnsi"/>
          <w:color w:val="0070C0"/>
        </w:rPr>
        <w:t>.</w:t>
      </w:r>
      <w:r w:rsidRPr="00F95DEC">
        <w:rPr>
          <w:rFonts w:cstheme="minorHAnsi"/>
          <w:b/>
          <w:bCs/>
          <w:noProof/>
          <w:color w:val="0070C0"/>
        </w:rPr>
        <w:t xml:space="preserve"> </w:t>
      </w:r>
    </w:p>
    <w:p w14:paraId="23390180" w14:textId="77777777" w:rsidR="002A0123" w:rsidRDefault="002A0123" w:rsidP="002A0123">
      <w:pPr>
        <w:spacing w:after="200" w:line="276" w:lineRule="auto"/>
        <w:jc w:val="center"/>
        <w:rPr>
          <w:rFonts w:cstheme="minorHAnsi"/>
          <w:b/>
          <w:bCs/>
          <w:color w:val="000000" w:themeColor="text1"/>
        </w:rPr>
      </w:pPr>
      <w:r>
        <w:rPr>
          <w:rFonts w:cstheme="minorHAnsi"/>
          <w:b/>
          <w:bCs/>
          <w:noProof/>
          <w:color w:val="000000" w:themeColor="text1"/>
        </w:rPr>
        <w:drawing>
          <wp:anchor distT="0" distB="0" distL="114300" distR="114300" simplePos="0" relativeHeight="252749824" behindDoc="0" locked="0" layoutInCell="1" allowOverlap="1" wp14:anchorId="7AA40DFA" wp14:editId="02B9240A">
            <wp:simplePos x="0" y="0"/>
            <wp:positionH relativeFrom="margin">
              <wp:align>center</wp:align>
            </wp:positionH>
            <wp:positionV relativeFrom="paragraph">
              <wp:posOffset>248920</wp:posOffset>
            </wp:positionV>
            <wp:extent cx="8284464" cy="3316224"/>
            <wp:effectExtent l="0" t="0" r="2540" b="0"/>
            <wp:wrapNone/>
            <wp:docPr id="1527412791" name="Imagen 1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412791" name="Imagen 19" descr="Tabla&#10;&#10;Descripción generada automáticamente"/>
                    <pic:cNvPicPr/>
                  </pic:nvPicPr>
                  <pic:blipFill>
                    <a:blip r:embed="rId352">
                      <a:extLst>
                        <a:ext uri="{28A0092B-C50C-407E-A947-70E740481C1C}">
                          <a14:useLocalDpi xmlns:a14="http://schemas.microsoft.com/office/drawing/2010/main" val="0"/>
                        </a:ext>
                      </a:extLst>
                    </a:blip>
                    <a:stretch>
                      <a:fillRect/>
                    </a:stretch>
                  </pic:blipFill>
                  <pic:spPr>
                    <a:xfrm>
                      <a:off x="0" y="0"/>
                      <a:ext cx="8284464" cy="3316224"/>
                    </a:xfrm>
                    <a:prstGeom prst="rect">
                      <a:avLst/>
                    </a:prstGeom>
                  </pic:spPr>
                </pic:pic>
              </a:graphicData>
            </a:graphic>
          </wp:anchor>
        </w:drawing>
      </w:r>
    </w:p>
    <w:p w14:paraId="5CFB5228" w14:textId="77777777" w:rsidR="002A0123" w:rsidRDefault="002A0123" w:rsidP="002A0123">
      <w:pPr>
        <w:spacing w:after="200" w:line="276" w:lineRule="auto"/>
        <w:jc w:val="both"/>
        <w:rPr>
          <w:rFonts w:cstheme="minorHAnsi"/>
          <w:b/>
          <w:bCs/>
          <w:color w:val="000000" w:themeColor="text1"/>
        </w:rPr>
      </w:pPr>
    </w:p>
    <w:p w14:paraId="308BAD63" w14:textId="77777777" w:rsidR="002A0123" w:rsidRDefault="002A0123" w:rsidP="002A0123">
      <w:pPr>
        <w:spacing w:after="200" w:line="276" w:lineRule="auto"/>
        <w:jc w:val="both"/>
        <w:rPr>
          <w:rFonts w:cstheme="minorHAnsi"/>
          <w:b/>
          <w:bCs/>
          <w:color w:val="000000" w:themeColor="text1"/>
        </w:rPr>
      </w:pPr>
    </w:p>
    <w:p w14:paraId="7987752B" w14:textId="77777777" w:rsidR="002A0123" w:rsidRDefault="002A0123" w:rsidP="002A0123">
      <w:pPr>
        <w:spacing w:after="200" w:line="276" w:lineRule="auto"/>
        <w:jc w:val="both"/>
        <w:rPr>
          <w:rFonts w:cstheme="minorHAnsi"/>
          <w:b/>
          <w:bCs/>
          <w:color w:val="000000" w:themeColor="text1"/>
        </w:rPr>
      </w:pPr>
    </w:p>
    <w:p w14:paraId="5CA6FA64" w14:textId="77777777" w:rsidR="002A0123" w:rsidRDefault="002A0123" w:rsidP="002A0123">
      <w:pPr>
        <w:spacing w:after="200" w:line="276" w:lineRule="auto"/>
        <w:jc w:val="both"/>
        <w:rPr>
          <w:rFonts w:cstheme="minorHAnsi"/>
          <w:b/>
          <w:bCs/>
          <w:color w:val="000000" w:themeColor="text1"/>
        </w:rPr>
      </w:pPr>
    </w:p>
    <w:p w14:paraId="0CE0AD44" w14:textId="77777777" w:rsidR="002A0123" w:rsidRDefault="002A0123" w:rsidP="002A0123">
      <w:pPr>
        <w:spacing w:after="200" w:line="276" w:lineRule="auto"/>
        <w:jc w:val="both"/>
        <w:rPr>
          <w:rFonts w:cstheme="minorHAnsi"/>
          <w:b/>
          <w:bCs/>
          <w:color w:val="000000" w:themeColor="text1"/>
        </w:rPr>
      </w:pPr>
    </w:p>
    <w:p w14:paraId="2263C280" w14:textId="77777777" w:rsidR="002A0123" w:rsidRDefault="002A0123" w:rsidP="002A0123">
      <w:pPr>
        <w:spacing w:after="200" w:line="276" w:lineRule="auto"/>
        <w:jc w:val="both"/>
        <w:rPr>
          <w:rFonts w:cstheme="minorHAnsi"/>
          <w:b/>
          <w:bCs/>
          <w:color w:val="000000" w:themeColor="text1"/>
        </w:rPr>
      </w:pPr>
    </w:p>
    <w:p w14:paraId="68297633" w14:textId="77777777" w:rsidR="002A0123" w:rsidRDefault="002A0123" w:rsidP="002A0123">
      <w:pPr>
        <w:spacing w:after="200" w:line="276" w:lineRule="auto"/>
        <w:jc w:val="both"/>
        <w:rPr>
          <w:rFonts w:cstheme="minorHAnsi"/>
          <w:b/>
          <w:bCs/>
          <w:color w:val="000000" w:themeColor="text1"/>
        </w:rPr>
      </w:pPr>
    </w:p>
    <w:p w14:paraId="19A86A3B" w14:textId="77777777" w:rsidR="002A0123" w:rsidRDefault="002A0123" w:rsidP="002A0123">
      <w:pPr>
        <w:spacing w:after="200" w:line="276" w:lineRule="auto"/>
        <w:jc w:val="both"/>
        <w:rPr>
          <w:rFonts w:cstheme="minorHAnsi"/>
          <w:b/>
          <w:bCs/>
          <w:color w:val="000000" w:themeColor="text1"/>
        </w:rPr>
      </w:pPr>
    </w:p>
    <w:p w14:paraId="6D001BE4" w14:textId="77777777" w:rsidR="002A0123" w:rsidRDefault="002A0123" w:rsidP="002A0123">
      <w:pPr>
        <w:spacing w:after="200" w:line="276" w:lineRule="auto"/>
        <w:jc w:val="both"/>
        <w:rPr>
          <w:rFonts w:cstheme="minorHAnsi"/>
          <w:b/>
          <w:bCs/>
          <w:color w:val="000000" w:themeColor="text1"/>
        </w:rPr>
      </w:pPr>
    </w:p>
    <w:p w14:paraId="383AFE74" w14:textId="77777777" w:rsidR="002A0123" w:rsidRDefault="002A0123" w:rsidP="002A0123">
      <w:pPr>
        <w:spacing w:after="200" w:line="276" w:lineRule="auto"/>
        <w:jc w:val="both"/>
        <w:rPr>
          <w:rFonts w:cstheme="minorHAnsi"/>
          <w:b/>
          <w:bCs/>
          <w:color w:val="000000" w:themeColor="text1"/>
        </w:rPr>
      </w:pPr>
    </w:p>
    <w:p w14:paraId="4A406F19" w14:textId="77777777" w:rsidR="002A0123" w:rsidRDefault="002A0123" w:rsidP="002A0123">
      <w:pPr>
        <w:spacing w:after="200" w:line="276" w:lineRule="auto"/>
        <w:jc w:val="both"/>
        <w:rPr>
          <w:rFonts w:cstheme="minorHAnsi"/>
          <w:b/>
          <w:bCs/>
          <w:color w:val="000000" w:themeColor="text1"/>
        </w:rPr>
      </w:pPr>
    </w:p>
    <w:p w14:paraId="24F2EC73" w14:textId="77777777" w:rsidR="002A0123" w:rsidRDefault="002A0123" w:rsidP="002A0123">
      <w:pPr>
        <w:spacing w:after="200" w:line="276" w:lineRule="auto"/>
        <w:jc w:val="both"/>
        <w:rPr>
          <w:rFonts w:cstheme="minorHAnsi"/>
          <w:b/>
          <w:bCs/>
          <w:color w:val="000000" w:themeColor="text1"/>
        </w:rPr>
      </w:pPr>
    </w:p>
    <w:p w14:paraId="1665AD81" w14:textId="77777777" w:rsidR="002A0123" w:rsidRDefault="002A0123" w:rsidP="002A0123">
      <w:pPr>
        <w:spacing w:after="200" w:line="276" w:lineRule="auto"/>
        <w:jc w:val="both"/>
        <w:rPr>
          <w:rFonts w:cstheme="minorHAnsi"/>
          <w:b/>
          <w:bCs/>
          <w:color w:val="000000" w:themeColor="text1"/>
        </w:rPr>
      </w:pPr>
    </w:p>
    <w:p w14:paraId="55BDEA68" w14:textId="77777777" w:rsidR="002A0123" w:rsidRDefault="002A0123" w:rsidP="002A0123">
      <w:pPr>
        <w:spacing w:after="200" w:line="276" w:lineRule="auto"/>
        <w:jc w:val="both"/>
        <w:rPr>
          <w:rFonts w:cstheme="minorHAnsi"/>
          <w:b/>
          <w:bCs/>
          <w:color w:val="000000" w:themeColor="text1"/>
        </w:rPr>
      </w:pPr>
    </w:p>
    <w:p w14:paraId="71D668A0" w14:textId="77777777" w:rsidR="002A0123" w:rsidRDefault="002A0123" w:rsidP="002A0123">
      <w:pPr>
        <w:spacing w:after="200" w:line="276" w:lineRule="auto"/>
        <w:jc w:val="both"/>
        <w:rPr>
          <w:rFonts w:cstheme="minorHAnsi"/>
          <w:b/>
          <w:bCs/>
          <w:color w:val="000000" w:themeColor="text1"/>
        </w:rPr>
      </w:pPr>
    </w:p>
    <w:p w14:paraId="266ED31E" w14:textId="77777777" w:rsidR="002A0123" w:rsidRDefault="002A0123" w:rsidP="002A0123">
      <w:pPr>
        <w:spacing w:after="200" w:line="276" w:lineRule="auto"/>
        <w:jc w:val="both"/>
        <w:rPr>
          <w:rFonts w:cstheme="minorHAnsi"/>
          <w:b/>
          <w:bCs/>
          <w:color w:val="000000" w:themeColor="text1"/>
        </w:rPr>
      </w:pPr>
      <w:r>
        <w:rPr>
          <w:b/>
          <w:noProof/>
        </w:rPr>
        <w:lastRenderedPageBreak/>
        <mc:AlternateContent>
          <mc:Choice Requires="wps">
            <w:drawing>
              <wp:anchor distT="0" distB="0" distL="114300" distR="114300" simplePos="0" relativeHeight="252750848" behindDoc="0" locked="0" layoutInCell="1" allowOverlap="1" wp14:anchorId="13A8538D" wp14:editId="3B99F961">
                <wp:simplePos x="0" y="0"/>
                <wp:positionH relativeFrom="margin">
                  <wp:align>center</wp:align>
                </wp:positionH>
                <wp:positionV relativeFrom="paragraph">
                  <wp:posOffset>-28575</wp:posOffset>
                </wp:positionV>
                <wp:extent cx="6606540" cy="395288"/>
                <wp:effectExtent l="0" t="0" r="22860" b="24130"/>
                <wp:wrapNone/>
                <wp:docPr id="1196185531" name="Cuadro de texto 1196185531"/>
                <wp:cNvGraphicFramePr/>
                <a:graphic xmlns:a="http://schemas.openxmlformats.org/drawingml/2006/main">
                  <a:graphicData uri="http://schemas.microsoft.com/office/word/2010/wordprocessingShape">
                    <wps:wsp>
                      <wps:cNvSpPr txBox="1"/>
                      <wps:spPr>
                        <a:xfrm>
                          <a:off x="0" y="0"/>
                          <a:ext cx="6606540" cy="395288"/>
                        </a:xfrm>
                        <a:prstGeom prst="rect">
                          <a:avLst/>
                        </a:prstGeom>
                        <a:solidFill>
                          <a:schemeClr val="lt1"/>
                        </a:solidFill>
                        <a:ln w="6350">
                          <a:solidFill>
                            <a:prstClr val="black"/>
                          </a:solidFill>
                        </a:ln>
                      </wps:spPr>
                      <wps:txbx>
                        <w:txbxContent>
                          <w:p w14:paraId="71C4D5E7" w14:textId="77777777" w:rsidR="002A0123" w:rsidRPr="009C3A21" w:rsidRDefault="002A0123" w:rsidP="002A0123">
                            <w:pPr>
                              <w:jc w:val="center"/>
                              <w:rPr>
                                <w:rFonts w:cstheme="minorHAnsi"/>
                              </w:rPr>
                            </w:pPr>
                            <w:r w:rsidRPr="009C3A21">
                              <w:rPr>
                                <w:rFonts w:cstheme="minorHAnsi"/>
                                <w:b/>
                              </w:rPr>
                              <w:t>RÚBRICA DE EVALUACIÓN – DIARIO REFLEXIVO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538D" id="Cuadro de texto 1196185531" o:spid="_x0000_s1181" type="#_x0000_t202" style="position:absolute;left:0;text-align:left;margin-left:0;margin-top:-2.25pt;width:520.2pt;height:31.15pt;z-index:252750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" fillcolor="white [3201]" strokeweight=".5pt">
                <v:textbox>
                  <w:txbxContent>
                    <w:p w14:paraId="71C4D5E7" w14:textId="77777777" w:rsidR="002A0123" w:rsidRPr="009C3A21" w:rsidRDefault="002A0123" w:rsidP="002A0123">
                      <w:pPr>
                        <w:jc w:val="center"/>
                        <w:rPr>
                          <w:rFonts w:cstheme="minorHAnsi"/>
                        </w:rPr>
                      </w:pPr>
                      <w:r w:rsidRPr="009C3A21">
                        <w:rPr>
                          <w:rFonts w:cstheme="minorHAnsi"/>
                          <w:b/>
                        </w:rPr>
                        <w:t>RÚBRICA DE EVALUACIÓN – DIARIO REFLEXIVO</w:t>
                      </w:r>
                    </w:p>
                  </w:txbxContent>
                </v:textbox>
                <w10:wrap anchorx="margin"/>
              </v:shape>
            </w:pict>
          </mc:Fallback>
        </mc:AlternateContent>
      </w:r>
    </w:p>
    <w:p w14:paraId="04A5EA03" w14:textId="77777777" w:rsidR="002A0123" w:rsidRDefault="002A0123" w:rsidP="002A0123">
      <w:pPr>
        <w:spacing w:after="200" w:line="276" w:lineRule="auto"/>
        <w:jc w:val="both"/>
        <w:rPr>
          <w:rFonts w:cstheme="minorHAnsi"/>
          <w:b/>
          <w:bCs/>
          <w:color w:val="000000" w:themeColor="text1"/>
        </w:rPr>
      </w:pPr>
    </w:p>
    <w:p w14:paraId="6C0F2CD6" w14:textId="77777777" w:rsidR="002A0123" w:rsidRPr="00F95DEC" w:rsidRDefault="002A0123" w:rsidP="002A0123">
      <w:pPr>
        <w:spacing w:after="200" w:line="276" w:lineRule="auto"/>
        <w:jc w:val="center"/>
        <w:rPr>
          <w:rFonts w:cstheme="minorHAnsi"/>
          <w:color w:val="0070C0"/>
        </w:rPr>
      </w:pPr>
      <w:r w:rsidRPr="00F95DEC">
        <w:rPr>
          <w:rFonts w:cstheme="minorHAnsi"/>
          <w:color w:val="0070C0"/>
        </w:rPr>
        <w:t>Como una herramienta para la sistematización propia e internalización del conocimiento de manera que sea significativo, se utiliza la estrategia didáctica del diario reflexivo. Se elabora entre las sesiones 3 y 9. Tiene un valor de un 15%.</w:t>
      </w:r>
    </w:p>
    <w:p w14:paraId="1D37ECFA" w14:textId="77777777" w:rsidR="002A0123" w:rsidRDefault="002A0123" w:rsidP="002A0123">
      <w:pPr>
        <w:spacing w:after="200" w:line="276" w:lineRule="auto"/>
        <w:jc w:val="center"/>
        <w:rPr>
          <w:rFonts w:cstheme="minorHAnsi"/>
          <w:color w:val="000000" w:themeColor="text1"/>
        </w:rPr>
      </w:pPr>
      <w:r>
        <w:rPr>
          <w:rFonts w:cstheme="minorHAnsi"/>
          <w:noProof/>
          <w:color w:val="000000" w:themeColor="text1"/>
        </w:rPr>
        <w:drawing>
          <wp:anchor distT="0" distB="0" distL="114300" distR="114300" simplePos="0" relativeHeight="252751872" behindDoc="0" locked="0" layoutInCell="1" allowOverlap="1" wp14:anchorId="1D00CEB7" wp14:editId="4306F91A">
            <wp:simplePos x="0" y="0"/>
            <wp:positionH relativeFrom="margin">
              <wp:align>center</wp:align>
            </wp:positionH>
            <wp:positionV relativeFrom="paragraph">
              <wp:posOffset>6033</wp:posOffset>
            </wp:positionV>
            <wp:extent cx="8346757" cy="5786152"/>
            <wp:effectExtent l="0" t="0" r="0" b="5080"/>
            <wp:wrapNone/>
            <wp:docPr id="598978555" name="Imagen 2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78555" name="Imagen 20" descr="Tabla&#10;&#10;Descripción generada automáticamente"/>
                    <pic:cNvPicPr/>
                  </pic:nvPicPr>
                  <pic:blipFill>
                    <a:blip r:embed="rId353">
                      <a:extLst>
                        <a:ext uri="{28A0092B-C50C-407E-A947-70E740481C1C}">
                          <a14:useLocalDpi xmlns:a14="http://schemas.microsoft.com/office/drawing/2010/main" val="0"/>
                        </a:ext>
                      </a:extLst>
                    </a:blip>
                    <a:stretch>
                      <a:fillRect/>
                    </a:stretch>
                  </pic:blipFill>
                  <pic:spPr>
                    <a:xfrm>
                      <a:off x="0" y="0"/>
                      <a:ext cx="8346757" cy="5786152"/>
                    </a:xfrm>
                    <a:prstGeom prst="rect">
                      <a:avLst/>
                    </a:prstGeom>
                  </pic:spPr>
                </pic:pic>
              </a:graphicData>
            </a:graphic>
            <wp14:sizeRelH relativeFrom="margin">
              <wp14:pctWidth>0</wp14:pctWidth>
            </wp14:sizeRelH>
            <wp14:sizeRelV relativeFrom="margin">
              <wp14:pctHeight>0</wp14:pctHeight>
            </wp14:sizeRelV>
          </wp:anchor>
        </w:drawing>
      </w:r>
    </w:p>
    <w:p w14:paraId="058B0791" w14:textId="77777777" w:rsidR="002A0123" w:rsidRPr="00BE4A5F" w:rsidRDefault="002A0123" w:rsidP="002A0123">
      <w:pPr>
        <w:spacing w:after="200" w:line="276" w:lineRule="auto"/>
        <w:jc w:val="center"/>
        <w:rPr>
          <w:rFonts w:cstheme="minorHAnsi"/>
          <w:color w:val="000000" w:themeColor="text1"/>
        </w:rPr>
      </w:pPr>
    </w:p>
    <w:p w14:paraId="41AE09DC" w14:textId="77777777" w:rsidR="002A0123" w:rsidRDefault="002A0123" w:rsidP="002A0123">
      <w:pPr>
        <w:spacing w:after="200" w:line="276" w:lineRule="auto"/>
        <w:jc w:val="both"/>
        <w:rPr>
          <w:rFonts w:cstheme="minorHAnsi"/>
          <w:b/>
          <w:bCs/>
          <w:color w:val="000000" w:themeColor="text1"/>
        </w:rPr>
      </w:pPr>
    </w:p>
    <w:p w14:paraId="4CBD2200" w14:textId="77777777" w:rsidR="002A0123" w:rsidRDefault="002A0123" w:rsidP="002A0123">
      <w:pPr>
        <w:spacing w:after="200" w:line="276" w:lineRule="auto"/>
        <w:jc w:val="both"/>
        <w:rPr>
          <w:rFonts w:cstheme="minorHAnsi"/>
          <w:b/>
          <w:bCs/>
          <w:color w:val="000000" w:themeColor="text1"/>
        </w:rPr>
      </w:pPr>
    </w:p>
    <w:p w14:paraId="0ECE351E" w14:textId="77777777" w:rsidR="002A0123" w:rsidRDefault="002A0123" w:rsidP="002A0123">
      <w:pPr>
        <w:spacing w:after="200" w:line="276" w:lineRule="auto"/>
        <w:jc w:val="both"/>
        <w:rPr>
          <w:rFonts w:cstheme="minorHAnsi"/>
          <w:b/>
          <w:bCs/>
          <w:color w:val="000000" w:themeColor="text1"/>
        </w:rPr>
      </w:pPr>
    </w:p>
    <w:p w14:paraId="17D86E95" w14:textId="77777777" w:rsidR="002A0123" w:rsidRDefault="002A0123" w:rsidP="002A0123">
      <w:pPr>
        <w:spacing w:after="200" w:line="276" w:lineRule="auto"/>
        <w:jc w:val="both"/>
        <w:rPr>
          <w:rFonts w:cstheme="minorHAnsi"/>
          <w:b/>
          <w:bCs/>
          <w:color w:val="000000" w:themeColor="text1"/>
        </w:rPr>
      </w:pPr>
    </w:p>
    <w:p w14:paraId="651703D2" w14:textId="77777777" w:rsidR="002A0123" w:rsidRDefault="002A0123" w:rsidP="002A0123">
      <w:pPr>
        <w:spacing w:after="200" w:line="276" w:lineRule="auto"/>
        <w:jc w:val="both"/>
        <w:rPr>
          <w:rFonts w:cstheme="minorHAnsi"/>
          <w:b/>
          <w:bCs/>
          <w:color w:val="000000" w:themeColor="text1"/>
        </w:rPr>
      </w:pPr>
    </w:p>
    <w:p w14:paraId="3EFA8A3F" w14:textId="77777777" w:rsidR="002A0123" w:rsidRDefault="002A0123" w:rsidP="002A0123">
      <w:pPr>
        <w:spacing w:after="200" w:line="276" w:lineRule="auto"/>
        <w:jc w:val="both"/>
        <w:rPr>
          <w:rFonts w:cstheme="minorHAnsi"/>
          <w:b/>
          <w:bCs/>
          <w:color w:val="000000" w:themeColor="text1"/>
        </w:rPr>
      </w:pPr>
    </w:p>
    <w:p w14:paraId="2C966F80" w14:textId="77777777" w:rsidR="002A0123" w:rsidRDefault="002A0123" w:rsidP="002A0123">
      <w:pPr>
        <w:spacing w:after="200" w:line="276" w:lineRule="auto"/>
        <w:jc w:val="both"/>
        <w:rPr>
          <w:rFonts w:cstheme="minorHAnsi"/>
          <w:b/>
          <w:bCs/>
          <w:color w:val="000000" w:themeColor="text1"/>
        </w:rPr>
      </w:pPr>
    </w:p>
    <w:p w14:paraId="22404876" w14:textId="77777777" w:rsidR="002A0123" w:rsidRDefault="002A0123" w:rsidP="002A0123">
      <w:pPr>
        <w:spacing w:after="200" w:line="276" w:lineRule="auto"/>
        <w:jc w:val="both"/>
        <w:rPr>
          <w:rFonts w:cstheme="minorHAnsi"/>
          <w:b/>
          <w:bCs/>
          <w:color w:val="000000" w:themeColor="text1"/>
        </w:rPr>
      </w:pPr>
    </w:p>
    <w:p w14:paraId="17288ADF" w14:textId="77777777" w:rsidR="002A0123" w:rsidRDefault="002A0123" w:rsidP="002A0123">
      <w:pPr>
        <w:spacing w:after="200" w:line="276" w:lineRule="auto"/>
        <w:jc w:val="both"/>
        <w:rPr>
          <w:rFonts w:cstheme="minorHAnsi"/>
          <w:b/>
          <w:bCs/>
          <w:color w:val="000000" w:themeColor="text1"/>
        </w:rPr>
      </w:pPr>
    </w:p>
    <w:p w14:paraId="096442BD" w14:textId="77777777" w:rsidR="002A0123" w:rsidRDefault="002A0123" w:rsidP="002A0123">
      <w:pPr>
        <w:spacing w:after="200" w:line="276" w:lineRule="auto"/>
        <w:jc w:val="both"/>
        <w:rPr>
          <w:rFonts w:cstheme="minorHAnsi"/>
          <w:b/>
          <w:bCs/>
          <w:color w:val="000000" w:themeColor="text1"/>
        </w:rPr>
      </w:pPr>
    </w:p>
    <w:p w14:paraId="66610933" w14:textId="77777777" w:rsidR="002A0123" w:rsidRDefault="002A0123" w:rsidP="002A0123">
      <w:pPr>
        <w:spacing w:after="200" w:line="276" w:lineRule="auto"/>
        <w:jc w:val="both"/>
        <w:rPr>
          <w:rFonts w:cstheme="minorHAnsi"/>
          <w:b/>
          <w:bCs/>
          <w:color w:val="000000" w:themeColor="text1"/>
        </w:rPr>
      </w:pPr>
    </w:p>
    <w:p w14:paraId="71434F81" w14:textId="77777777" w:rsidR="00FA4807" w:rsidRDefault="00FA4807" w:rsidP="002A0123">
      <w:pPr>
        <w:spacing w:after="200" w:line="276" w:lineRule="auto"/>
        <w:jc w:val="both"/>
        <w:rPr>
          <w:rFonts w:cstheme="minorHAnsi"/>
          <w:b/>
          <w:bCs/>
          <w:color w:val="000000" w:themeColor="text1"/>
        </w:rPr>
      </w:pPr>
    </w:p>
    <w:p w14:paraId="519E3119" w14:textId="77777777" w:rsidR="00FA4807" w:rsidRDefault="00FA4807" w:rsidP="002A0123">
      <w:pPr>
        <w:spacing w:after="200" w:line="276" w:lineRule="auto"/>
        <w:jc w:val="both"/>
        <w:rPr>
          <w:rFonts w:cstheme="minorHAnsi"/>
          <w:b/>
          <w:bCs/>
          <w:color w:val="000000" w:themeColor="text1"/>
        </w:rPr>
      </w:pPr>
    </w:p>
    <w:p w14:paraId="33AAE0BD" w14:textId="77777777" w:rsidR="002A0123" w:rsidRDefault="002A0123" w:rsidP="002A0123">
      <w:pPr>
        <w:spacing w:after="200" w:line="276" w:lineRule="auto"/>
        <w:jc w:val="both"/>
        <w:rPr>
          <w:rFonts w:cstheme="minorHAnsi"/>
          <w:b/>
          <w:bCs/>
          <w:color w:val="000000" w:themeColor="text1"/>
        </w:rPr>
      </w:pPr>
    </w:p>
    <w:p w14:paraId="1E664E5B" w14:textId="77777777" w:rsidR="002A0123" w:rsidRDefault="002A0123" w:rsidP="002A0123">
      <w:pPr>
        <w:spacing w:after="200" w:line="276" w:lineRule="auto"/>
        <w:jc w:val="center"/>
        <w:rPr>
          <w:rFonts w:cstheme="minorHAnsi"/>
          <w:b/>
          <w:bCs/>
          <w:color w:val="000000" w:themeColor="text1"/>
        </w:rPr>
      </w:pPr>
      <w:r>
        <w:rPr>
          <w:noProof/>
        </w:rPr>
        <w:lastRenderedPageBreak/>
        <mc:AlternateContent>
          <mc:Choice Requires="wps">
            <w:drawing>
              <wp:anchor distT="0" distB="0" distL="114300" distR="114300" simplePos="0" relativeHeight="252752896" behindDoc="0" locked="0" layoutInCell="1" allowOverlap="1" wp14:anchorId="7D8F443E" wp14:editId="7C39EAA4">
                <wp:simplePos x="0" y="0"/>
                <wp:positionH relativeFrom="margin">
                  <wp:align>center</wp:align>
                </wp:positionH>
                <wp:positionV relativeFrom="paragraph">
                  <wp:posOffset>49847</wp:posOffset>
                </wp:positionV>
                <wp:extent cx="6903720" cy="372110"/>
                <wp:effectExtent l="0" t="0" r="11430" b="27940"/>
                <wp:wrapNone/>
                <wp:docPr id="7543384" name="Cuadro de tex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3720" cy="372110"/>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74EF7DB" w14:textId="77777777" w:rsidR="002A0123" w:rsidRPr="00795834" w:rsidRDefault="002A0123" w:rsidP="002A0123">
                            <w:pPr>
                              <w:spacing w:before="74"/>
                              <w:ind w:left="1600" w:right="1601"/>
                              <w:jc w:val="center"/>
                              <w:rPr>
                                <w:rFonts w:cstheme="minorHAnsi"/>
                                <w:b/>
                              </w:rPr>
                            </w:pPr>
                            <w:r w:rsidRPr="00795834">
                              <w:rPr>
                                <w:rFonts w:cstheme="minorHAnsi"/>
                                <w:b/>
                              </w:rPr>
                              <w:t>ESCALA DE EVALUACIÓN – DISEÑO DE UN TALLER DE FORMACIÓN BÍBLICA</w:t>
                            </w:r>
                          </w:p>
                        </w:txbxContent>
                      </wps:txbx>
                      <wps:bodyPr rot="0" vert="horz" wrap="square" lIns="0" tIns="0" rIns="0" bIns="0" anchor="t" anchorCtr="0" upright="1">
                        <a:noAutofit/>
                      </wps:bodyPr>
                    </wps:wsp>
                  </a:graphicData>
                </a:graphic>
              </wp:anchor>
            </w:drawing>
          </mc:Choice>
          <mc:Fallback>
            <w:pict>
              <v:shape w14:anchorId="7D8F443E" id="_x0000_s1182" type="#_x0000_t202" style="position:absolute;left:0;text-align:left;margin-left:0;margin-top:3.9pt;width:543.6pt;height:29.3pt;z-index:2527528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" filled="f" strokeweight=".48pt">
                <v:textbox inset="0,0,0,0">
                  <w:txbxContent>
                    <w:p w14:paraId="274EF7DB" w14:textId="77777777" w:rsidR="002A0123" w:rsidRPr="00795834" w:rsidRDefault="002A0123" w:rsidP="002A0123">
                      <w:pPr>
                        <w:spacing w:before="74"/>
                        <w:ind w:left="1600" w:right="1601"/>
                        <w:jc w:val="center"/>
                        <w:rPr>
                          <w:rFonts w:cstheme="minorHAnsi"/>
                          <w:b/>
                        </w:rPr>
                      </w:pPr>
                      <w:r w:rsidRPr="00795834">
                        <w:rPr>
                          <w:rFonts w:cstheme="minorHAnsi"/>
                          <w:b/>
                        </w:rPr>
                        <w:t>ESCALA DE EVALUACIÓN – DISEÑO DE UN TALLER DE FORMACIÓN BÍBLICA</w:t>
                      </w:r>
                    </w:p>
                  </w:txbxContent>
                </v:textbox>
                <w10:wrap anchorx="margin"/>
              </v:shape>
            </w:pict>
          </mc:Fallback>
        </mc:AlternateContent>
      </w:r>
    </w:p>
    <w:p w14:paraId="55D8B8F9" w14:textId="77777777" w:rsidR="002A0123" w:rsidRDefault="002A0123" w:rsidP="002A0123">
      <w:pPr>
        <w:spacing w:after="200" w:line="276" w:lineRule="auto"/>
        <w:jc w:val="both"/>
        <w:rPr>
          <w:rFonts w:cstheme="minorHAnsi"/>
          <w:b/>
          <w:bCs/>
          <w:color w:val="000000" w:themeColor="text1"/>
        </w:rPr>
      </w:pPr>
    </w:p>
    <w:p w14:paraId="763CFFF8" w14:textId="77777777" w:rsidR="002A0123" w:rsidRPr="00F95DEC" w:rsidRDefault="002A0123" w:rsidP="002A0123">
      <w:pPr>
        <w:spacing w:after="200" w:line="276" w:lineRule="auto"/>
        <w:jc w:val="center"/>
        <w:rPr>
          <w:rFonts w:cstheme="minorHAnsi"/>
          <w:color w:val="0070C0"/>
        </w:rPr>
      </w:pPr>
      <w:r w:rsidRPr="00F95DEC">
        <w:rPr>
          <w:rFonts w:cstheme="minorHAnsi"/>
          <w:color w:val="0070C0"/>
        </w:rPr>
        <w:t>Como trabajo final del curso se buscará reflexionar sobre cómo compartir nuestros aprendizajes con un grupo, idealmente un grupo en el que los y las estudiantes participen o con el cual tengan vínculos. El diseño de un taller de formación bíblica se elabora en las sesiones 14 y 15. Tiene un valor de 10%.</w:t>
      </w:r>
    </w:p>
    <w:p w14:paraId="1D34D34B" w14:textId="0E86918E" w:rsidR="002A0123" w:rsidRDefault="002A0123" w:rsidP="002A0123">
      <w:pPr>
        <w:spacing w:after="200" w:line="276" w:lineRule="auto"/>
        <w:jc w:val="center"/>
        <w:rPr>
          <w:rFonts w:cstheme="minorHAnsi"/>
          <w:b/>
          <w:bCs/>
          <w:color w:val="000000" w:themeColor="text1"/>
        </w:rPr>
      </w:pPr>
    </w:p>
    <w:p w14:paraId="0E9AA403" w14:textId="5B8AB459" w:rsidR="002A0123" w:rsidRDefault="00FA4807" w:rsidP="002A0123">
      <w:pPr>
        <w:spacing w:after="200" w:line="276" w:lineRule="auto"/>
        <w:jc w:val="both"/>
        <w:rPr>
          <w:rFonts w:cstheme="minorHAnsi"/>
          <w:b/>
          <w:bCs/>
          <w:color w:val="000000" w:themeColor="text1"/>
        </w:rPr>
      </w:pPr>
      <w:r>
        <w:rPr>
          <w:rFonts w:cstheme="minorHAnsi"/>
          <w:b/>
          <w:bCs/>
          <w:noProof/>
          <w:color w:val="000000" w:themeColor="text1"/>
        </w:rPr>
        <w:drawing>
          <wp:anchor distT="0" distB="0" distL="114300" distR="114300" simplePos="0" relativeHeight="252753920" behindDoc="0" locked="0" layoutInCell="1" allowOverlap="1" wp14:anchorId="54EB99FA" wp14:editId="7335AA46">
            <wp:simplePos x="0" y="0"/>
            <wp:positionH relativeFrom="margin">
              <wp:align>center</wp:align>
            </wp:positionH>
            <wp:positionV relativeFrom="paragraph">
              <wp:posOffset>6119</wp:posOffset>
            </wp:positionV>
            <wp:extent cx="8260080" cy="4663440"/>
            <wp:effectExtent l="0" t="0" r="7620" b="3810"/>
            <wp:wrapNone/>
            <wp:docPr id="369933943" name="Imagen 22"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33943" name="Imagen 22" descr="Interfaz de usuario gráfica, Tabla&#10;&#10;Descripción generada automáticamente"/>
                    <pic:cNvPicPr/>
                  </pic:nvPicPr>
                  <pic:blipFill>
                    <a:blip r:embed="rId354">
                      <a:extLst>
                        <a:ext uri="{28A0092B-C50C-407E-A947-70E740481C1C}">
                          <a14:useLocalDpi xmlns:a14="http://schemas.microsoft.com/office/drawing/2010/main" val="0"/>
                        </a:ext>
                      </a:extLst>
                    </a:blip>
                    <a:stretch>
                      <a:fillRect/>
                    </a:stretch>
                  </pic:blipFill>
                  <pic:spPr>
                    <a:xfrm>
                      <a:off x="0" y="0"/>
                      <a:ext cx="8260080" cy="4663440"/>
                    </a:xfrm>
                    <a:prstGeom prst="rect">
                      <a:avLst/>
                    </a:prstGeom>
                  </pic:spPr>
                </pic:pic>
              </a:graphicData>
            </a:graphic>
          </wp:anchor>
        </w:drawing>
      </w:r>
    </w:p>
    <w:p w14:paraId="5D92D0AB" w14:textId="57B5CC36" w:rsidR="002A0123" w:rsidRDefault="002A0123" w:rsidP="002A0123">
      <w:pPr>
        <w:spacing w:after="200" w:line="276" w:lineRule="auto"/>
        <w:jc w:val="both"/>
        <w:rPr>
          <w:rFonts w:cstheme="minorHAnsi"/>
          <w:b/>
          <w:bCs/>
          <w:color w:val="000000" w:themeColor="text1"/>
        </w:rPr>
      </w:pPr>
    </w:p>
    <w:p w14:paraId="645C1832" w14:textId="77777777" w:rsidR="002A0123" w:rsidRDefault="002A0123" w:rsidP="002A0123">
      <w:pPr>
        <w:spacing w:after="200" w:line="276" w:lineRule="auto"/>
        <w:jc w:val="both"/>
        <w:rPr>
          <w:rFonts w:cstheme="minorHAnsi"/>
          <w:b/>
          <w:bCs/>
          <w:color w:val="000000" w:themeColor="text1"/>
        </w:rPr>
      </w:pPr>
    </w:p>
    <w:p w14:paraId="3C191B78" w14:textId="77777777" w:rsidR="002A0123" w:rsidRDefault="002A0123" w:rsidP="002A0123">
      <w:pPr>
        <w:spacing w:after="200" w:line="276" w:lineRule="auto"/>
        <w:jc w:val="both"/>
        <w:rPr>
          <w:rFonts w:cstheme="minorHAnsi"/>
          <w:b/>
          <w:bCs/>
          <w:color w:val="000000" w:themeColor="text1"/>
        </w:rPr>
      </w:pPr>
    </w:p>
    <w:p w14:paraId="2A3F9440" w14:textId="77777777" w:rsidR="002A0123" w:rsidRDefault="002A0123" w:rsidP="002A0123">
      <w:pPr>
        <w:spacing w:after="200" w:line="276" w:lineRule="auto"/>
        <w:jc w:val="both"/>
        <w:rPr>
          <w:rFonts w:cstheme="minorHAnsi"/>
          <w:b/>
          <w:bCs/>
          <w:color w:val="000000" w:themeColor="text1"/>
        </w:rPr>
      </w:pPr>
    </w:p>
    <w:p w14:paraId="642723EE" w14:textId="77777777" w:rsidR="002A0123" w:rsidRDefault="002A0123" w:rsidP="002A0123">
      <w:pPr>
        <w:spacing w:after="200" w:line="276" w:lineRule="auto"/>
        <w:jc w:val="both"/>
        <w:rPr>
          <w:rFonts w:cstheme="minorHAnsi"/>
          <w:b/>
          <w:bCs/>
          <w:color w:val="000000" w:themeColor="text1"/>
        </w:rPr>
      </w:pPr>
    </w:p>
    <w:p w14:paraId="4C9A42A4" w14:textId="77777777" w:rsidR="002A0123" w:rsidRDefault="002A0123" w:rsidP="002A0123">
      <w:pPr>
        <w:spacing w:after="200" w:line="276" w:lineRule="auto"/>
        <w:jc w:val="both"/>
        <w:rPr>
          <w:rFonts w:cstheme="minorHAnsi"/>
          <w:b/>
          <w:bCs/>
          <w:color w:val="000000" w:themeColor="text1"/>
        </w:rPr>
      </w:pPr>
    </w:p>
    <w:p w14:paraId="5542653E" w14:textId="77777777" w:rsidR="00FA4807" w:rsidRDefault="00FA4807" w:rsidP="002A0123">
      <w:pPr>
        <w:spacing w:after="200" w:line="276" w:lineRule="auto"/>
        <w:jc w:val="both"/>
        <w:rPr>
          <w:rFonts w:cstheme="minorHAnsi"/>
          <w:b/>
          <w:bCs/>
          <w:color w:val="000000" w:themeColor="text1"/>
        </w:rPr>
      </w:pPr>
    </w:p>
    <w:p w14:paraId="0AD1723D" w14:textId="77777777" w:rsidR="00FA4807" w:rsidRDefault="00FA4807" w:rsidP="002A0123">
      <w:pPr>
        <w:spacing w:after="200" w:line="276" w:lineRule="auto"/>
        <w:jc w:val="both"/>
        <w:rPr>
          <w:rFonts w:cstheme="minorHAnsi"/>
          <w:b/>
          <w:bCs/>
          <w:color w:val="000000" w:themeColor="text1"/>
        </w:rPr>
      </w:pPr>
    </w:p>
    <w:p w14:paraId="5E24D5AD" w14:textId="77777777" w:rsidR="00FA4807" w:rsidRDefault="00FA4807" w:rsidP="002A0123">
      <w:pPr>
        <w:spacing w:after="200" w:line="276" w:lineRule="auto"/>
        <w:jc w:val="both"/>
        <w:rPr>
          <w:rFonts w:cstheme="minorHAnsi"/>
          <w:b/>
          <w:bCs/>
          <w:color w:val="000000" w:themeColor="text1"/>
        </w:rPr>
      </w:pPr>
    </w:p>
    <w:p w14:paraId="4595E584" w14:textId="77777777" w:rsidR="00FA4807" w:rsidRDefault="00FA4807" w:rsidP="002A0123">
      <w:pPr>
        <w:spacing w:after="200" w:line="276" w:lineRule="auto"/>
        <w:jc w:val="both"/>
        <w:rPr>
          <w:rFonts w:cstheme="minorHAnsi"/>
          <w:b/>
          <w:bCs/>
          <w:color w:val="000000" w:themeColor="text1"/>
        </w:rPr>
      </w:pPr>
    </w:p>
    <w:p w14:paraId="76FAF86A" w14:textId="77777777" w:rsidR="00FA4807" w:rsidRDefault="00FA4807" w:rsidP="002A0123">
      <w:pPr>
        <w:spacing w:after="200" w:line="276" w:lineRule="auto"/>
        <w:jc w:val="both"/>
        <w:rPr>
          <w:rFonts w:cstheme="minorHAnsi"/>
          <w:b/>
          <w:bCs/>
          <w:color w:val="000000" w:themeColor="text1"/>
        </w:rPr>
      </w:pPr>
    </w:p>
    <w:p w14:paraId="54FB7DF8" w14:textId="77777777" w:rsidR="002A0123" w:rsidRDefault="002A0123" w:rsidP="002A0123">
      <w:pPr>
        <w:spacing w:after="200" w:line="276" w:lineRule="auto"/>
        <w:jc w:val="both"/>
        <w:rPr>
          <w:rFonts w:cstheme="minorHAnsi"/>
          <w:b/>
          <w:bCs/>
          <w:color w:val="000000" w:themeColor="text1"/>
        </w:rPr>
      </w:pPr>
    </w:p>
    <w:p w14:paraId="4F1C7E9E" w14:textId="77777777" w:rsidR="002A0123" w:rsidRDefault="002A0123" w:rsidP="002A0123">
      <w:pPr>
        <w:spacing w:after="200" w:line="276" w:lineRule="auto"/>
        <w:jc w:val="both"/>
        <w:rPr>
          <w:rFonts w:cstheme="minorHAnsi"/>
          <w:b/>
          <w:bCs/>
          <w:color w:val="000000" w:themeColor="text1"/>
        </w:rPr>
      </w:pPr>
    </w:p>
    <w:p w14:paraId="13323FFA" w14:textId="77777777" w:rsidR="002A0123" w:rsidRDefault="002A0123" w:rsidP="002A0123">
      <w:pPr>
        <w:spacing w:after="200" w:line="276" w:lineRule="auto"/>
        <w:jc w:val="both"/>
        <w:rPr>
          <w:rFonts w:cstheme="minorHAnsi"/>
          <w:b/>
          <w:bCs/>
          <w:color w:val="000000" w:themeColor="text1"/>
        </w:rPr>
      </w:pPr>
    </w:p>
    <w:p w14:paraId="09CD25BA" w14:textId="77777777" w:rsidR="002A0123" w:rsidRDefault="002A0123" w:rsidP="002A0123">
      <w:pPr>
        <w:spacing w:after="200" w:line="276" w:lineRule="auto"/>
        <w:jc w:val="both"/>
        <w:rPr>
          <w:rFonts w:cstheme="minorHAnsi"/>
          <w:b/>
          <w:bCs/>
          <w:color w:val="000000" w:themeColor="text1"/>
        </w:rPr>
      </w:pPr>
    </w:p>
    <w:p w14:paraId="7E2AFB28" w14:textId="1D1DD73B" w:rsidR="002A0123" w:rsidRPr="00F95DEC" w:rsidRDefault="00FA4807" w:rsidP="00FA4807">
      <w:pPr>
        <w:spacing w:after="200" w:line="276" w:lineRule="auto"/>
        <w:jc w:val="both"/>
        <w:rPr>
          <w:rFonts w:cstheme="minorHAnsi"/>
          <w:color w:val="0070C0"/>
        </w:rPr>
      </w:pPr>
      <w:r>
        <w:rPr>
          <w:noProof/>
        </w:rPr>
        <mc:AlternateContent>
          <mc:Choice Requires="wps">
            <w:drawing>
              <wp:anchor distT="0" distB="0" distL="114300" distR="114300" simplePos="0" relativeHeight="252754944" behindDoc="0" locked="0" layoutInCell="1" allowOverlap="1" wp14:anchorId="3803D8A7" wp14:editId="4946648B">
                <wp:simplePos x="0" y="0"/>
                <wp:positionH relativeFrom="margin">
                  <wp:posOffset>640542</wp:posOffset>
                </wp:positionH>
                <wp:positionV relativeFrom="paragraph">
                  <wp:posOffset>-431280</wp:posOffset>
                </wp:positionV>
                <wp:extent cx="7833360" cy="335280"/>
                <wp:effectExtent l="0" t="0" r="15240" b="26670"/>
                <wp:wrapNone/>
                <wp:docPr id="1720130011" name="Cuadro de tex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3360" cy="33528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B8746A1" w14:textId="77777777" w:rsidR="002A0123" w:rsidRPr="00ED7E6D" w:rsidRDefault="002A0123" w:rsidP="002A0123">
                            <w:pPr>
                              <w:spacing w:before="69"/>
                              <w:ind w:left="2091" w:right="2097"/>
                              <w:jc w:val="center"/>
                              <w:rPr>
                                <w:rFonts w:cstheme="minorHAnsi"/>
                                <w:b/>
                              </w:rPr>
                            </w:pPr>
                            <w:r w:rsidRPr="00ED7E6D">
                              <w:rPr>
                                <w:rFonts w:cstheme="minorHAnsi"/>
                                <w:b/>
                              </w:rPr>
                              <w:t>ESCALA</w:t>
                            </w:r>
                            <w:r w:rsidRPr="00ED7E6D">
                              <w:rPr>
                                <w:rFonts w:cstheme="minorHAnsi"/>
                                <w:b/>
                                <w:spacing w:val="-2"/>
                              </w:rPr>
                              <w:t xml:space="preserve"> </w:t>
                            </w:r>
                            <w:r w:rsidRPr="00ED7E6D">
                              <w:rPr>
                                <w:rFonts w:cstheme="minorHAnsi"/>
                                <w:b/>
                              </w:rPr>
                              <w:t>PARA</w:t>
                            </w:r>
                            <w:r w:rsidRPr="00ED7E6D">
                              <w:rPr>
                                <w:rFonts w:cstheme="minorHAnsi"/>
                                <w:b/>
                                <w:spacing w:val="-5"/>
                              </w:rPr>
                              <w:t xml:space="preserve"> </w:t>
                            </w:r>
                            <w:r w:rsidRPr="00ED7E6D">
                              <w:rPr>
                                <w:rFonts w:cstheme="minorHAnsi"/>
                                <w:b/>
                              </w:rPr>
                              <w:t>LA</w:t>
                            </w:r>
                            <w:r w:rsidRPr="00ED7E6D">
                              <w:rPr>
                                <w:rFonts w:cstheme="minorHAnsi"/>
                                <w:b/>
                                <w:spacing w:val="-5"/>
                              </w:rPr>
                              <w:t xml:space="preserve"> </w:t>
                            </w:r>
                            <w:r w:rsidRPr="00ED7E6D">
                              <w:rPr>
                                <w:rFonts w:cstheme="minorHAnsi"/>
                                <w:b/>
                              </w:rPr>
                              <w:t>AUTOEVALUACIÓN</w:t>
                            </w:r>
                            <w:r w:rsidRPr="00ED7E6D">
                              <w:rPr>
                                <w:rFonts w:cstheme="minorHAnsi"/>
                                <w:b/>
                                <w:spacing w:val="1"/>
                              </w:rPr>
                              <w:t xml:space="preserve"> </w:t>
                            </w:r>
                            <w:r w:rsidRPr="00ED7E6D">
                              <w:rPr>
                                <w:rFonts w:cstheme="minorHAnsi"/>
                                <w:b/>
                              </w:rPr>
                              <w:t>DEL</w:t>
                            </w:r>
                            <w:r w:rsidRPr="00ED7E6D">
                              <w:rPr>
                                <w:rFonts w:cstheme="minorHAnsi"/>
                                <w:b/>
                                <w:spacing w:val="-5"/>
                              </w:rPr>
                              <w:t xml:space="preserve"> </w:t>
                            </w:r>
                            <w:r w:rsidRPr="00ED7E6D">
                              <w:rPr>
                                <w:rFonts w:cstheme="minorHAnsi"/>
                                <w:b/>
                              </w:rPr>
                              <w:t>PROCESO</w:t>
                            </w:r>
                            <w:r w:rsidRPr="00ED7E6D">
                              <w:rPr>
                                <w:rFonts w:cstheme="minorHAnsi"/>
                                <w:b/>
                                <w:spacing w:val="-3"/>
                              </w:rPr>
                              <w:t xml:space="preserve"> </w:t>
                            </w:r>
                            <w:r w:rsidRPr="00ED7E6D">
                              <w:rPr>
                                <w:rFonts w:cstheme="minorHAnsi"/>
                                <w:b/>
                              </w:rPr>
                              <w:t>DE</w:t>
                            </w:r>
                            <w:r w:rsidRPr="00ED7E6D">
                              <w:rPr>
                                <w:rFonts w:cstheme="minorHAnsi"/>
                                <w:b/>
                                <w:spacing w:val="-6"/>
                              </w:rPr>
                              <w:t xml:space="preserve"> </w:t>
                            </w:r>
                            <w:r w:rsidRPr="00ED7E6D">
                              <w:rPr>
                                <w:rFonts w:cstheme="minorHAnsi"/>
                                <w:b/>
                              </w:rPr>
                              <w:t>APRENDIZAJE</w:t>
                            </w:r>
                            <w:r w:rsidRPr="00ED7E6D">
                              <w:rPr>
                                <w:rFonts w:cstheme="minorHAnsi"/>
                                <w:b/>
                                <w:spacing w:val="-6"/>
                              </w:rPr>
                              <w:t xml:space="preserve"> </w:t>
                            </w:r>
                            <w:r w:rsidRPr="00ED7E6D">
                              <w:rPr>
                                <w:rFonts w:cstheme="minorHAnsi"/>
                                <w:b/>
                              </w:rPr>
                              <w:t>EN</w:t>
                            </w:r>
                            <w:r w:rsidRPr="00ED7E6D">
                              <w:rPr>
                                <w:rFonts w:cstheme="minorHAnsi"/>
                                <w:b/>
                                <w:spacing w:val="1"/>
                              </w:rPr>
                              <w:t xml:space="preserve"> </w:t>
                            </w:r>
                            <w:r w:rsidRPr="00ED7E6D">
                              <w:rPr>
                                <w:rFonts w:cstheme="minorHAnsi"/>
                                <w:b/>
                              </w:rPr>
                              <w:t>EL CURSO</w:t>
                            </w:r>
                          </w:p>
                        </w:txbxContent>
                      </wps:txbx>
                      <wps:bodyPr rot="0" vert="horz" wrap="square" lIns="0" tIns="0" rIns="0" bIns="0" anchor="t" anchorCtr="0" upright="1">
                        <a:noAutofit/>
                      </wps:bodyPr>
                    </wps:wsp>
                  </a:graphicData>
                </a:graphic>
              </wp:anchor>
            </w:drawing>
          </mc:Choice>
          <mc:Fallback>
            <w:pict>
              <v:shape w14:anchorId="3803D8A7" id="_x0000_s1183" type="#_x0000_t202" style="position:absolute;left:0;text-align:left;margin-left:50.45pt;margin-top:-33.95pt;width:616.8pt;height:26.4pt;z-index:2527549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" filled="f" strokeweight=".72pt">
                <v:textbox inset="0,0,0,0">
                  <w:txbxContent>
                    <w:p w14:paraId="1B8746A1" w14:textId="77777777" w:rsidR="002A0123" w:rsidRPr="00ED7E6D" w:rsidRDefault="002A0123" w:rsidP="002A0123">
                      <w:pPr>
                        <w:spacing w:before="69"/>
                        <w:ind w:left="2091" w:right="2097"/>
                        <w:jc w:val="center"/>
                        <w:rPr>
                          <w:rFonts w:cstheme="minorHAnsi"/>
                          <w:b/>
                        </w:rPr>
                      </w:pPr>
                      <w:r w:rsidRPr="00ED7E6D">
                        <w:rPr>
                          <w:rFonts w:cstheme="minorHAnsi"/>
                          <w:b/>
                        </w:rPr>
                        <w:t>ESCALA</w:t>
                      </w:r>
                      <w:r w:rsidRPr="00ED7E6D">
                        <w:rPr>
                          <w:rFonts w:cstheme="minorHAnsi"/>
                          <w:b/>
                          <w:spacing w:val="-2"/>
                        </w:rPr>
                        <w:t xml:space="preserve"> </w:t>
                      </w:r>
                      <w:r w:rsidRPr="00ED7E6D">
                        <w:rPr>
                          <w:rFonts w:cstheme="minorHAnsi"/>
                          <w:b/>
                        </w:rPr>
                        <w:t>PARA</w:t>
                      </w:r>
                      <w:r w:rsidRPr="00ED7E6D">
                        <w:rPr>
                          <w:rFonts w:cstheme="minorHAnsi"/>
                          <w:b/>
                          <w:spacing w:val="-5"/>
                        </w:rPr>
                        <w:t xml:space="preserve"> </w:t>
                      </w:r>
                      <w:r w:rsidRPr="00ED7E6D">
                        <w:rPr>
                          <w:rFonts w:cstheme="minorHAnsi"/>
                          <w:b/>
                        </w:rPr>
                        <w:t>LA</w:t>
                      </w:r>
                      <w:r w:rsidRPr="00ED7E6D">
                        <w:rPr>
                          <w:rFonts w:cstheme="minorHAnsi"/>
                          <w:b/>
                          <w:spacing w:val="-5"/>
                        </w:rPr>
                        <w:t xml:space="preserve"> </w:t>
                      </w:r>
                      <w:r w:rsidRPr="00ED7E6D">
                        <w:rPr>
                          <w:rFonts w:cstheme="minorHAnsi"/>
                          <w:b/>
                        </w:rPr>
                        <w:t>AUTOEVALUACIÓN</w:t>
                      </w:r>
                      <w:r w:rsidRPr="00ED7E6D">
                        <w:rPr>
                          <w:rFonts w:cstheme="minorHAnsi"/>
                          <w:b/>
                          <w:spacing w:val="1"/>
                        </w:rPr>
                        <w:t xml:space="preserve"> </w:t>
                      </w:r>
                      <w:r w:rsidRPr="00ED7E6D">
                        <w:rPr>
                          <w:rFonts w:cstheme="minorHAnsi"/>
                          <w:b/>
                        </w:rPr>
                        <w:t>DEL</w:t>
                      </w:r>
                      <w:r w:rsidRPr="00ED7E6D">
                        <w:rPr>
                          <w:rFonts w:cstheme="minorHAnsi"/>
                          <w:b/>
                          <w:spacing w:val="-5"/>
                        </w:rPr>
                        <w:t xml:space="preserve"> </w:t>
                      </w:r>
                      <w:r w:rsidRPr="00ED7E6D">
                        <w:rPr>
                          <w:rFonts w:cstheme="minorHAnsi"/>
                          <w:b/>
                        </w:rPr>
                        <w:t>PROCESO</w:t>
                      </w:r>
                      <w:r w:rsidRPr="00ED7E6D">
                        <w:rPr>
                          <w:rFonts w:cstheme="minorHAnsi"/>
                          <w:b/>
                          <w:spacing w:val="-3"/>
                        </w:rPr>
                        <w:t xml:space="preserve"> </w:t>
                      </w:r>
                      <w:r w:rsidRPr="00ED7E6D">
                        <w:rPr>
                          <w:rFonts w:cstheme="minorHAnsi"/>
                          <w:b/>
                        </w:rPr>
                        <w:t>DE</w:t>
                      </w:r>
                      <w:r w:rsidRPr="00ED7E6D">
                        <w:rPr>
                          <w:rFonts w:cstheme="minorHAnsi"/>
                          <w:b/>
                          <w:spacing w:val="-6"/>
                        </w:rPr>
                        <w:t xml:space="preserve"> </w:t>
                      </w:r>
                      <w:r w:rsidRPr="00ED7E6D">
                        <w:rPr>
                          <w:rFonts w:cstheme="minorHAnsi"/>
                          <w:b/>
                        </w:rPr>
                        <w:t>APRENDIZAJE</w:t>
                      </w:r>
                      <w:r w:rsidRPr="00ED7E6D">
                        <w:rPr>
                          <w:rFonts w:cstheme="minorHAnsi"/>
                          <w:b/>
                          <w:spacing w:val="-6"/>
                        </w:rPr>
                        <w:t xml:space="preserve"> </w:t>
                      </w:r>
                      <w:r w:rsidRPr="00ED7E6D">
                        <w:rPr>
                          <w:rFonts w:cstheme="minorHAnsi"/>
                          <w:b/>
                        </w:rPr>
                        <w:t>EN</w:t>
                      </w:r>
                      <w:r w:rsidRPr="00ED7E6D">
                        <w:rPr>
                          <w:rFonts w:cstheme="minorHAnsi"/>
                          <w:b/>
                          <w:spacing w:val="1"/>
                        </w:rPr>
                        <w:t xml:space="preserve"> </w:t>
                      </w:r>
                      <w:r w:rsidRPr="00ED7E6D">
                        <w:rPr>
                          <w:rFonts w:cstheme="minorHAnsi"/>
                          <w:b/>
                        </w:rPr>
                        <w:t>EL CURSO</w:t>
                      </w:r>
                    </w:p>
                  </w:txbxContent>
                </v:textbox>
                <w10:wrap anchorx="margin"/>
              </v:shape>
            </w:pict>
          </mc:Fallback>
        </mc:AlternateContent>
      </w:r>
      <w:r w:rsidR="002A0123" w:rsidRPr="00F95DEC">
        <w:rPr>
          <w:rFonts w:cstheme="minorHAnsi"/>
          <w:color w:val="0070C0"/>
        </w:rPr>
        <w:t>En la última sesión se realizará una autoevaluación de su proceso de aprendizaje del curso, la cual estará basada en los objetivos del curso, las actividades y los criterios de evaluación. Tiene un valor de 7%.</w:t>
      </w:r>
    </w:p>
    <w:p w14:paraId="51F23407" w14:textId="77777777" w:rsidR="002A0123" w:rsidRDefault="002A0123" w:rsidP="002A0123">
      <w:pPr>
        <w:spacing w:after="200" w:line="276" w:lineRule="auto"/>
        <w:jc w:val="center"/>
        <w:rPr>
          <w:rFonts w:cstheme="minorHAnsi"/>
          <w:color w:val="000000" w:themeColor="text1"/>
        </w:rPr>
      </w:pPr>
      <w:r>
        <w:rPr>
          <w:rFonts w:cstheme="minorHAnsi"/>
          <w:noProof/>
          <w:color w:val="000000" w:themeColor="text1"/>
        </w:rPr>
        <w:drawing>
          <wp:anchor distT="0" distB="0" distL="114300" distR="114300" simplePos="0" relativeHeight="252755968" behindDoc="0" locked="0" layoutInCell="1" allowOverlap="1" wp14:anchorId="116E3B97" wp14:editId="4CF0CD12">
            <wp:simplePos x="0" y="0"/>
            <wp:positionH relativeFrom="margin">
              <wp:align>center</wp:align>
            </wp:positionH>
            <wp:positionV relativeFrom="paragraph">
              <wp:posOffset>49213</wp:posOffset>
            </wp:positionV>
            <wp:extent cx="7647342" cy="4679633"/>
            <wp:effectExtent l="0" t="0" r="0" b="6985"/>
            <wp:wrapNone/>
            <wp:docPr id="1676520578" name="Imagen 2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20578" name="Imagen 24" descr="Tabla&#10;&#10;Descripción generada automáticamente"/>
                    <pic:cNvPicPr/>
                  </pic:nvPicPr>
                  <pic:blipFill>
                    <a:blip r:embed="rId355">
                      <a:extLst>
                        <a:ext uri="{28A0092B-C50C-407E-A947-70E740481C1C}">
                          <a14:useLocalDpi xmlns:a14="http://schemas.microsoft.com/office/drawing/2010/main" val="0"/>
                        </a:ext>
                      </a:extLst>
                    </a:blip>
                    <a:stretch>
                      <a:fillRect/>
                    </a:stretch>
                  </pic:blipFill>
                  <pic:spPr>
                    <a:xfrm>
                      <a:off x="0" y="0"/>
                      <a:ext cx="7647342" cy="4679633"/>
                    </a:xfrm>
                    <a:prstGeom prst="rect">
                      <a:avLst/>
                    </a:prstGeom>
                  </pic:spPr>
                </pic:pic>
              </a:graphicData>
            </a:graphic>
            <wp14:sizeRelH relativeFrom="margin">
              <wp14:pctWidth>0</wp14:pctWidth>
            </wp14:sizeRelH>
            <wp14:sizeRelV relativeFrom="margin">
              <wp14:pctHeight>0</wp14:pctHeight>
            </wp14:sizeRelV>
          </wp:anchor>
        </w:drawing>
      </w:r>
    </w:p>
    <w:p w14:paraId="53C2CC2E" w14:textId="77777777" w:rsidR="002A0123" w:rsidRPr="00AF4C18" w:rsidRDefault="002A0123" w:rsidP="002A0123">
      <w:pPr>
        <w:spacing w:after="200" w:line="276" w:lineRule="auto"/>
        <w:jc w:val="center"/>
        <w:rPr>
          <w:rFonts w:cstheme="minorHAnsi"/>
          <w:color w:val="000000" w:themeColor="text1"/>
        </w:rPr>
      </w:pPr>
    </w:p>
    <w:p w14:paraId="731FE02B" w14:textId="77777777" w:rsidR="002A0123" w:rsidRDefault="002A0123" w:rsidP="002A0123">
      <w:pPr>
        <w:spacing w:after="200" w:line="276" w:lineRule="auto"/>
        <w:jc w:val="both"/>
        <w:rPr>
          <w:rFonts w:cstheme="minorHAnsi"/>
          <w:b/>
          <w:bCs/>
          <w:color w:val="000000" w:themeColor="text1"/>
        </w:rPr>
      </w:pPr>
    </w:p>
    <w:p w14:paraId="28E7BB32" w14:textId="77777777" w:rsidR="002A0123" w:rsidRDefault="002A0123" w:rsidP="002A0123">
      <w:pPr>
        <w:spacing w:after="200" w:line="276" w:lineRule="auto"/>
        <w:jc w:val="both"/>
        <w:rPr>
          <w:rFonts w:cstheme="minorHAnsi"/>
          <w:b/>
          <w:bCs/>
          <w:color w:val="000000" w:themeColor="text1"/>
        </w:rPr>
      </w:pPr>
    </w:p>
    <w:p w14:paraId="5D054474" w14:textId="77777777" w:rsidR="002A0123" w:rsidRDefault="002A0123" w:rsidP="002A0123">
      <w:pPr>
        <w:spacing w:after="200" w:line="276" w:lineRule="auto"/>
        <w:jc w:val="both"/>
        <w:rPr>
          <w:rFonts w:cstheme="minorHAnsi"/>
          <w:b/>
          <w:bCs/>
          <w:color w:val="000000" w:themeColor="text1"/>
        </w:rPr>
      </w:pPr>
    </w:p>
    <w:p w14:paraId="2E20076F" w14:textId="77777777" w:rsidR="002A0123" w:rsidRDefault="002A0123" w:rsidP="002A0123">
      <w:pPr>
        <w:spacing w:after="200" w:line="276" w:lineRule="auto"/>
        <w:jc w:val="both"/>
        <w:rPr>
          <w:rFonts w:cstheme="minorHAnsi"/>
          <w:b/>
          <w:bCs/>
          <w:color w:val="000000" w:themeColor="text1"/>
        </w:rPr>
      </w:pPr>
    </w:p>
    <w:p w14:paraId="1DC9F961" w14:textId="77777777" w:rsidR="002A0123" w:rsidRDefault="002A0123" w:rsidP="002A0123">
      <w:pPr>
        <w:spacing w:after="200" w:line="276" w:lineRule="auto"/>
        <w:jc w:val="both"/>
        <w:rPr>
          <w:rFonts w:cstheme="minorHAnsi"/>
          <w:b/>
          <w:bCs/>
          <w:color w:val="000000" w:themeColor="text1"/>
        </w:rPr>
      </w:pPr>
    </w:p>
    <w:p w14:paraId="6870BFB9" w14:textId="77777777" w:rsidR="002A0123" w:rsidRDefault="002A0123" w:rsidP="002A0123">
      <w:pPr>
        <w:spacing w:after="200" w:line="276" w:lineRule="auto"/>
        <w:jc w:val="both"/>
        <w:rPr>
          <w:rFonts w:cstheme="minorHAnsi"/>
          <w:b/>
          <w:bCs/>
          <w:color w:val="000000" w:themeColor="text1"/>
        </w:rPr>
      </w:pPr>
    </w:p>
    <w:p w14:paraId="487812F8" w14:textId="77777777" w:rsidR="002A0123" w:rsidRDefault="002A0123" w:rsidP="002A0123">
      <w:pPr>
        <w:spacing w:after="200" w:line="276" w:lineRule="auto"/>
        <w:jc w:val="both"/>
        <w:rPr>
          <w:rFonts w:cstheme="minorHAnsi"/>
          <w:b/>
          <w:bCs/>
          <w:color w:val="000000" w:themeColor="text1"/>
        </w:rPr>
      </w:pPr>
    </w:p>
    <w:p w14:paraId="417C8A1D" w14:textId="77777777" w:rsidR="002A0123" w:rsidRDefault="002A0123" w:rsidP="002A0123">
      <w:pPr>
        <w:spacing w:after="200" w:line="276" w:lineRule="auto"/>
        <w:jc w:val="both"/>
        <w:rPr>
          <w:rFonts w:cstheme="minorHAnsi"/>
          <w:b/>
          <w:bCs/>
          <w:color w:val="000000" w:themeColor="text1"/>
        </w:rPr>
      </w:pPr>
    </w:p>
    <w:p w14:paraId="61CB4217" w14:textId="77777777" w:rsidR="002A0123" w:rsidRDefault="002A0123" w:rsidP="002A0123">
      <w:pPr>
        <w:spacing w:after="200" w:line="276" w:lineRule="auto"/>
        <w:jc w:val="both"/>
        <w:rPr>
          <w:rFonts w:cstheme="minorHAnsi"/>
          <w:b/>
          <w:bCs/>
          <w:color w:val="000000" w:themeColor="text1"/>
        </w:rPr>
      </w:pPr>
    </w:p>
    <w:p w14:paraId="4DB3581A" w14:textId="77777777" w:rsidR="002A0123" w:rsidRDefault="002A0123" w:rsidP="002A0123">
      <w:pPr>
        <w:spacing w:after="200" w:line="276" w:lineRule="auto"/>
        <w:jc w:val="both"/>
        <w:rPr>
          <w:rFonts w:cstheme="minorHAnsi"/>
          <w:b/>
          <w:bCs/>
          <w:color w:val="000000" w:themeColor="text1"/>
        </w:rPr>
      </w:pPr>
    </w:p>
    <w:p w14:paraId="7447BEED" w14:textId="77777777" w:rsidR="002A0123" w:rsidRDefault="002A0123" w:rsidP="002A0123">
      <w:pPr>
        <w:spacing w:after="200" w:line="276" w:lineRule="auto"/>
        <w:jc w:val="both"/>
        <w:rPr>
          <w:rFonts w:cstheme="minorHAnsi"/>
          <w:b/>
          <w:bCs/>
          <w:color w:val="000000" w:themeColor="text1"/>
        </w:rPr>
      </w:pPr>
    </w:p>
    <w:p w14:paraId="7F746FFF" w14:textId="77777777" w:rsidR="002A0123" w:rsidRDefault="002A0123" w:rsidP="002A0123">
      <w:pPr>
        <w:spacing w:after="200" w:line="276" w:lineRule="auto"/>
        <w:jc w:val="both"/>
        <w:rPr>
          <w:rFonts w:cstheme="minorHAnsi"/>
          <w:b/>
          <w:bCs/>
          <w:color w:val="000000" w:themeColor="text1"/>
        </w:rPr>
      </w:pPr>
    </w:p>
    <w:p w14:paraId="30F98B0A" w14:textId="77777777" w:rsidR="002A0123" w:rsidRDefault="002A0123" w:rsidP="002A0123">
      <w:pPr>
        <w:spacing w:after="200" w:line="276" w:lineRule="auto"/>
        <w:jc w:val="both"/>
        <w:rPr>
          <w:rFonts w:cstheme="minorHAnsi"/>
          <w:b/>
          <w:bCs/>
          <w:color w:val="000000" w:themeColor="text1"/>
        </w:rPr>
      </w:pPr>
    </w:p>
    <w:p w14:paraId="7057CCC8" w14:textId="77777777" w:rsidR="002A0123" w:rsidRDefault="002A0123" w:rsidP="002A0123">
      <w:pPr>
        <w:spacing w:after="200" w:line="276" w:lineRule="auto"/>
        <w:jc w:val="both"/>
        <w:rPr>
          <w:rFonts w:cstheme="minorHAnsi"/>
          <w:b/>
          <w:bCs/>
          <w:color w:val="000000" w:themeColor="text1"/>
        </w:rPr>
      </w:pPr>
      <w:r>
        <w:rPr>
          <w:rFonts w:cstheme="minorHAnsi"/>
          <w:b/>
          <w:bCs/>
          <w:noProof/>
          <w:color w:val="000000" w:themeColor="text1"/>
        </w:rPr>
        <w:drawing>
          <wp:anchor distT="0" distB="0" distL="114300" distR="114300" simplePos="0" relativeHeight="252756992" behindDoc="0" locked="0" layoutInCell="1" allowOverlap="1" wp14:anchorId="4CF814BD" wp14:editId="64407165">
            <wp:simplePos x="0" y="0"/>
            <wp:positionH relativeFrom="margin">
              <wp:align>center</wp:align>
            </wp:positionH>
            <wp:positionV relativeFrom="paragraph">
              <wp:posOffset>2858</wp:posOffset>
            </wp:positionV>
            <wp:extent cx="8327136" cy="499872"/>
            <wp:effectExtent l="0" t="0" r="0" b="0"/>
            <wp:wrapNone/>
            <wp:docPr id="18767862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8629" name="Imagen 187678629"/>
                    <pic:cNvPicPr/>
                  </pic:nvPicPr>
                  <pic:blipFill>
                    <a:blip r:embed="rId356">
                      <a:extLst>
                        <a:ext uri="{28A0092B-C50C-407E-A947-70E740481C1C}">
                          <a14:useLocalDpi xmlns:a14="http://schemas.microsoft.com/office/drawing/2010/main" val="0"/>
                        </a:ext>
                      </a:extLst>
                    </a:blip>
                    <a:stretch>
                      <a:fillRect/>
                    </a:stretch>
                  </pic:blipFill>
                  <pic:spPr>
                    <a:xfrm>
                      <a:off x="0" y="0"/>
                      <a:ext cx="8327136" cy="499872"/>
                    </a:xfrm>
                    <a:prstGeom prst="rect">
                      <a:avLst/>
                    </a:prstGeom>
                  </pic:spPr>
                </pic:pic>
              </a:graphicData>
            </a:graphic>
          </wp:anchor>
        </w:drawing>
      </w:r>
      <w:r>
        <w:rPr>
          <w:rFonts w:cstheme="minorHAnsi"/>
          <w:b/>
          <w:bCs/>
          <w:color w:val="000000" w:themeColor="text1"/>
        </w:rPr>
        <w:br w:type="page"/>
      </w:r>
    </w:p>
    <w:p w14:paraId="7357FFCD" w14:textId="77777777" w:rsidR="002A0123" w:rsidRDefault="002A0123" w:rsidP="002A0123">
      <w:pPr>
        <w:spacing w:after="200" w:line="276" w:lineRule="auto"/>
        <w:jc w:val="both"/>
        <w:rPr>
          <w:rFonts w:cstheme="minorHAnsi"/>
          <w:b/>
          <w:bCs/>
          <w:color w:val="000000" w:themeColor="text1"/>
        </w:rPr>
        <w:sectPr w:rsidR="002A0123" w:rsidSect="002A0123">
          <w:pgSz w:w="15840" w:h="12240" w:orient="landscape"/>
          <w:pgMar w:top="720" w:right="720" w:bottom="720" w:left="720" w:header="709" w:footer="709" w:gutter="0"/>
          <w:pgNumType w:start="313"/>
          <w:cols w:space="708"/>
          <w:docGrid w:linePitch="360"/>
        </w:sectPr>
      </w:pPr>
    </w:p>
    <w:p w14:paraId="11FD5216" w14:textId="77777777" w:rsidR="002A0123" w:rsidRDefault="002A0123" w:rsidP="002A0123">
      <w:pPr>
        <w:spacing w:after="200" w:line="276" w:lineRule="auto"/>
        <w:jc w:val="both"/>
        <w:rPr>
          <w:rFonts w:cstheme="minorHAnsi"/>
          <w:b/>
          <w:bCs/>
          <w:color w:val="000000" w:themeColor="text1"/>
        </w:rPr>
      </w:pPr>
      <w:r w:rsidRPr="00053826">
        <w:rPr>
          <w:rFonts w:cstheme="minorHAnsi"/>
          <w:b/>
          <w:bCs/>
          <w:color w:val="000000" w:themeColor="text1"/>
        </w:rPr>
        <w:lastRenderedPageBreak/>
        <w:t>X</w:t>
      </w:r>
      <w:r>
        <w:rPr>
          <w:rFonts w:cstheme="minorHAnsi"/>
          <w:b/>
          <w:bCs/>
          <w:color w:val="000000" w:themeColor="text1"/>
        </w:rPr>
        <w:t>I</w:t>
      </w:r>
      <w:r w:rsidRPr="00053826">
        <w:rPr>
          <w:rFonts w:cstheme="minorHAnsi"/>
          <w:b/>
          <w:bCs/>
          <w:color w:val="000000" w:themeColor="text1"/>
        </w:rPr>
        <w:t>. Bibliografía</w:t>
      </w:r>
      <w:r>
        <w:rPr>
          <w:rFonts w:cstheme="minorHAnsi"/>
          <w:b/>
          <w:bCs/>
          <w:color w:val="000000" w:themeColor="text1"/>
        </w:rPr>
        <w:t xml:space="preserve"> obligatoria</w:t>
      </w:r>
    </w:p>
    <w:p w14:paraId="3E42DE26" w14:textId="77777777" w:rsidR="002A0123" w:rsidRDefault="002A0123" w:rsidP="002A0123">
      <w:pPr>
        <w:spacing w:after="200" w:line="276" w:lineRule="auto"/>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26512E93" w14:textId="77777777" w:rsidR="002A0123" w:rsidRPr="00E3452C" w:rsidRDefault="002A0123" w:rsidP="002A0123">
      <w:pPr>
        <w:spacing w:after="120" w:line="276" w:lineRule="auto"/>
        <w:ind w:left="709" w:right="49" w:hanging="709"/>
        <w:jc w:val="both"/>
        <w:rPr>
          <w:rFonts w:cstheme="minorHAnsi"/>
          <w:color w:val="000000" w:themeColor="text1"/>
        </w:rPr>
      </w:pPr>
      <w:r w:rsidRPr="00E3452C">
        <w:rPr>
          <w:rFonts w:cstheme="minorHAnsi"/>
          <w:color w:val="000000" w:themeColor="text1"/>
        </w:rPr>
        <w:t xml:space="preserve">De </w:t>
      </w:r>
      <w:proofErr w:type="spellStart"/>
      <w:r w:rsidRPr="00E3452C">
        <w:rPr>
          <w:rFonts w:cstheme="minorHAnsi"/>
          <w:color w:val="000000" w:themeColor="text1"/>
        </w:rPr>
        <w:t>Wit</w:t>
      </w:r>
      <w:proofErr w:type="spellEnd"/>
      <w:r w:rsidRPr="00E3452C">
        <w:rPr>
          <w:rFonts w:cstheme="minorHAnsi"/>
          <w:color w:val="000000" w:themeColor="text1"/>
        </w:rPr>
        <w:t xml:space="preserve">, Hans. </w:t>
      </w:r>
      <w:r w:rsidRPr="00E3452C">
        <w:rPr>
          <w:rFonts w:cstheme="minorHAnsi"/>
          <w:i/>
          <w:color w:val="000000" w:themeColor="text1"/>
        </w:rPr>
        <w:t xml:space="preserve">En la dispersión el texto es patria: Introducción a la hermenéutica clásica, moderna y posmoderna. </w:t>
      </w:r>
      <w:r w:rsidRPr="00E3452C">
        <w:rPr>
          <w:rFonts w:cstheme="minorHAnsi"/>
          <w:color w:val="000000" w:themeColor="text1"/>
        </w:rPr>
        <w:t>San José: Editorial SEBILA, 2010. (</w:t>
      </w:r>
      <w:r w:rsidRPr="000A4006">
        <w:rPr>
          <w:rFonts w:cstheme="minorHAnsi"/>
          <w:color w:val="0070C0"/>
        </w:rPr>
        <w:t xml:space="preserve">clásico, </w:t>
      </w:r>
      <w:r w:rsidRPr="00E3452C">
        <w:rPr>
          <w:rFonts w:cstheme="minorHAnsi"/>
          <w:color w:val="000000" w:themeColor="text1"/>
        </w:rPr>
        <w:t xml:space="preserve">última edición)  </w:t>
      </w:r>
    </w:p>
    <w:p w14:paraId="13747DEB" w14:textId="77777777" w:rsidR="002A0123" w:rsidRPr="00E3452C" w:rsidRDefault="002A0123" w:rsidP="002A0123">
      <w:pPr>
        <w:spacing w:after="120" w:line="276" w:lineRule="auto"/>
        <w:ind w:left="709" w:right="49" w:hanging="709"/>
        <w:jc w:val="both"/>
        <w:rPr>
          <w:rFonts w:cstheme="minorHAnsi"/>
          <w:color w:val="000000" w:themeColor="text1"/>
        </w:rPr>
      </w:pPr>
      <w:r w:rsidRPr="00E3452C">
        <w:rPr>
          <w:rFonts w:cstheme="minorHAnsi"/>
          <w:color w:val="000000" w:themeColor="text1"/>
        </w:rPr>
        <w:t xml:space="preserve">Galarza, </w:t>
      </w:r>
      <w:proofErr w:type="spellStart"/>
      <w:r w:rsidRPr="00E3452C">
        <w:rPr>
          <w:rFonts w:cstheme="minorHAnsi"/>
          <w:color w:val="000000" w:themeColor="text1"/>
        </w:rPr>
        <w:t>Heydi</w:t>
      </w:r>
      <w:proofErr w:type="spellEnd"/>
      <w:r w:rsidRPr="00E3452C">
        <w:rPr>
          <w:rFonts w:cstheme="minorHAnsi"/>
          <w:color w:val="000000" w:themeColor="text1"/>
        </w:rPr>
        <w:t xml:space="preserve">. “Agar e Ismael. Un estudio de Génesis 21.1-21”. </w:t>
      </w:r>
      <w:r w:rsidRPr="00E3452C">
        <w:rPr>
          <w:rFonts w:cstheme="minorHAnsi"/>
          <w:i/>
          <w:color w:val="000000" w:themeColor="text1"/>
        </w:rPr>
        <w:t xml:space="preserve">Aportes Bíblicos 9, </w:t>
      </w:r>
      <w:r w:rsidRPr="00E3452C">
        <w:rPr>
          <w:rFonts w:cstheme="minorHAnsi"/>
          <w:color w:val="000000" w:themeColor="text1"/>
        </w:rPr>
        <w:t xml:space="preserve">2009: pp. 5-29. </w:t>
      </w:r>
    </w:p>
    <w:p w14:paraId="770F62E8" w14:textId="77777777" w:rsidR="002A0123" w:rsidRPr="00E3452C" w:rsidRDefault="002A0123" w:rsidP="002A0123">
      <w:pPr>
        <w:spacing w:after="120" w:line="276" w:lineRule="auto"/>
        <w:ind w:left="709" w:hanging="709"/>
        <w:jc w:val="both"/>
        <w:rPr>
          <w:rFonts w:cstheme="minorHAnsi"/>
          <w:color w:val="000000" w:themeColor="text1"/>
        </w:rPr>
      </w:pPr>
      <w:proofErr w:type="spellStart"/>
      <w:r w:rsidRPr="00E3452C">
        <w:rPr>
          <w:rFonts w:cstheme="minorHAnsi"/>
          <w:color w:val="000000" w:themeColor="text1"/>
        </w:rPr>
        <w:t>Gloor</w:t>
      </w:r>
      <w:proofErr w:type="spellEnd"/>
      <w:r w:rsidRPr="00E3452C">
        <w:rPr>
          <w:rFonts w:cstheme="minorHAnsi"/>
          <w:color w:val="000000" w:themeColor="text1"/>
        </w:rPr>
        <w:t xml:space="preserve">, Daniel. “Una exégesis ecléctica en doce pasos”. </w:t>
      </w:r>
      <w:r w:rsidRPr="00E3452C">
        <w:rPr>
          <w:rFonts w:cstheme="minorHAnsi"/>
          <w:i/>
          <w:color w:val="000000" w:themeColor="text1"/>
        </w:rPr>
        <w:t xml:space="preserve">Vida y Pensamiento 33-34, </w:t>
      </w:r>
      <w:r w:rsidRPr="00E3452C">
        <w:rPr>
          <w:rFonts w:cstheme="minorHAnsi"/>
          <w:color w:val="000000" w:themeColor="text1"/>
        </w:rPr>
        <w:t>n. 2-1 (2013): pp.93-124.</w:t>
      </w:r>
    </w:p>
    <w:p w14:paraId="24524383"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Guerra, Elizabeth. “La retórica de la opresión en el discurso de Job: un estudio socio-retórico de Job 24”. </w:t>
      </w:r>
      <w:r w:rsidRPr="00E3452C">
        <w:rPr>
          <w:rFonts w:cstheme="minorHAnsi"/>
          <w:i/>
          <w:color w:val="000000" w:themeColor="text1"/>
        </w:rPr>
        <w:t>Aportes Bíblicos 16</w:t>
      </w:r>
      <w:r w:rsidRPr="00E3452C">
        <w:rPr>
          <w:rFonts w:cstheme="minorHAnsi"/>
          <w:color w:val="000000" w:themeColor="text1"/>
        </w:rPr>
        <w:t xml:space="preserve">, 2013: pp.21-36. </w:t>
      </w:r>
    </w:p>
    <w:p w14:paraId="02F4BB5B"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Jara, Miguel. “Conflicto y reconciliación. </w:t>
      </w:r>
      <w:proofErr w:type="spellStart"/>
      <w:r w:rsidRPr="00E3452C">
        <w:rPr>
          <w:rFonts w:cstheme="minorHAnsi"/>
          <w:color w:val="000000" w:themeColor="text1"/>
        </w:rPr>
        <w:t>Gn</w:t>
      </w:r>
      <w:proofErr w:type="spellEnd"/>
      <w:r w:rsidRPr="00E3452C">
        <w:rPr>
          <w:rFonts w:cstheme="minorHAnsi"/>
          <w:color w:val="000000" w:themeColor="text1"/>
        </w:rPr>
        <w:t xml:space="preserve"> 33,1-17”. </w:t>
      </w:r>
      <w:r w:rsidRPr="00E3452C">
        <w:rPr>
          <w:rFonts w:cstheme="minorHAnsi"/>
          <w:i/>
          <w:color w:val="000000" w:themeColor="text1"/>
        </w:rPr>
        <w:t xml:space="preserve">Aportes Bíblicos 12, </w:t>
      </w:r>
      <w:r w:rsidRPr="00E3452C">
        <w:rPr>
          <w:rFonts w:cstheme="minorHAnsi"/>
          <w:color w:val="000000" w:themeColor="text1"/>
        </w:rPr>
        <w:t>2011: pp. 4-36.</w:t>
      </w:r>
    </w:p>
    <w:p w14:paraId="01C43F78"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Jaramillo, Pedro. </w:t>
      </w:r>
      <w:r w:rsidRPr="00E3452C">
        <w:rPr>
          <w:rFonts w:cstheme="minorHAnsi"/>
          <w:i/>
          <w:color w:val="000000" w:themeColor="text1"/>
        </w:rPr>
        <w:t>La Injusticia y la opresión en el lenguaje figurado de los profetas</w:t>
      </w:r>
      <w:r w:rsidRPr="00E3452C">
        <w:rPr>
          <w:rFonts w:cstheme="minorHAnsi"/>
          <w:color w:val="000000" w:themeColor="text1"/>
        </w:rPr>
        <w:t>. Estella: Verbo Divino, 1992. (</w:t>
      </w:r>
      <w:r w:rsidRPr="000A4006">
        <w:rPr>
          <w:rFonts w:cstheme="minorHAnsi"/>
          <w:color w:val="0070C0"/>
        </w:rPr>
        <w:t xml:space="preserve">clásico, </w:t>
      </w:r>
      <w:r w:rsidRPr="00E3452C">
        <w:rPr>
          <w:rFonts w:cstheme="minorHAnsi"/>
          <w:color w:val="000000" w:themeColor="text1"/>
        </w:rPr>
        <w:t>última edición)</w:t>
      </w:r>
    </w:p>
    <w:p w14:paraId="60C394EB"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Londoño, Juan Esteban. “Una lectura socio-retórica de Apocalipsis 20, 7-15”. </w:t>
      </w:r>
      <w:r w:rsidRPr="00E3452C">
        <w:rPr>
          <w:rFonts w:cstheme="minorHAnsi"/>
          <w:i/>
          <w:color w:val="000000" w:themeColor="text1"/>
        </w:rPr>
        <w:t>Aportes Bíblicos 9</w:t>
      </w:r>
      <w:r w:rsidRPr="00E3452C">
        <w:rPr>
          <w:rFonts w:cstheme="minorHAnsi"/>
          <w:color w:val="000000" w:themeColor="text1"/>
        </w:rPr>
        <w:t xml:space="preserve">, 2009: pp. 31-51. </w:t>
      </w:r>
    </w:p>
    <w:p w14:paraId="4A34E04B"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López, </w:t>
      </w:r>
      <w:proofErr w:type="spellStart"/>
      <w:r w:rsidRPr="00E3452C">
        <w:rPr>
          <w:rFonts w:cstheme="minorHAnsi"/>
          <w:color w:val="000000" w:themeColor="text1"/>
        </w:rPr>
        <w:t>Ediberto</w:t>
      </w:r>
      <w:proofErr w:type="spellEnd"/>
      <w:r w:rsidRPr="00E3452C">
        <w:rPr>
          <w:rFonts w:cstheme="minorHAnsi"/>
          <w:color w:val="000000" w:themeColor="text1"/>
        </w:rPr>
        <w:t xml:space="preserve">. </w:t>
      </w:r>
      <w:r w:rsidRPr="00E3452C">
        <w:rPr>
          <w:rFonts w:cstheme="minorHAnsi"/>
          <w:i/>
          <w:color w:val="000000" w:themeColor="text1"/>
        </w:rPr>
        <w:t xml:space="preserve">Para que comprendiesen las Escrituras: introducción a los métodos exegéticos. </w:t>
      </w:r>
      <w:r w:rsidRPr="00E3452C">
        <w:rPr>
          <w:rFonts w:cstheme="minorHAnsi"/>
          <w:color w:val="000000" w:themeColor="text1"/>
        </w:rPr>
        <w:t>San Juan: Seminario Evangélico de Puerto Rico, 2003. (</w:t>
      </w:r>
      <w:r w:rsidRPr="00001967">
        <w:rPr>
          <w:rFonts w:cstheme="minorHAnsi"/>
          <w:color w:val="0070C0"/>
        </w:rPr>
        <w:t xml:space="preserve">clásico, </w:t>
      </w:r>
      <w:r w:rsidRPr="00E3452C">
        <w:rPr>
          <w:rFonts w:cstheme="minorHAnsi"/>
          <w:color w:val="000000" w:themeColor="text1"/>
        </w:rPr>
        <w:t xml:space="preserve">última edición) </w:t>
      </w:r>
    </w:p>
    <w:p w14:paraId="698D8924" w14:textId="77777777" w:rsidR="002A0123" w:rsidRPr="00E3452C" w:rsidRDefault="002A0123" w:rsidP="002A0123">
      <w:pPr>
        <w:spacing w:after="120" w:line="276" w:lineRule="auto"/>
        <w:ind w:left="709" w:hanging="709"/>
        <w:jc w:val="both"/>
        <w:rPr>
          <w:rFonts w:cstheme="minorHAnsi"/>
          <w:color w:val="000000" w:themeColor="text1"/>
        </w:rPr>
      </w:pPr>
      <w:proofErr w:type="spellStart"/>
      <w:r w:rsidRPr="00E3452C">
        <w:rPr>
          <w:rFonts w:cstheme="minorHAnsi"/>
          <w:color w:val="000000" w:themeColor="text1"/>
        </w:rPr>
        <w:t>Marguerat</w:t>
      </w:r>
      <w:proofErr w:type="spellEnd"/>
      <w:r w:rsidRPr="00E3452C">
        <w:rPr>
          <w:rFonts w:cstheme="minorHAnsi"/>
          <w:color w:val="000000" w:themeColor="text1"/>
        </w:rPr>
        <w:t xml:space="preserve">, Daniel e Yvan </w:t>
      </w:r>
      <w:proofErr w:type="spellStart"/>
      <w:r w:rsidRPr="00E3452C">
        <w:rPr>
          <w:rFonts w:cstheme="minorHAnsi"/>
          <w:color w:val="000000" w:themeColor="text1"/>
        </w:rPr>
        <w:t>Bourquin</w:t>
      </w:r>
      <w:proofErr w:type="spellEnd"/>
      <w:r w:rsidRPr="00E3452C">
        <w:rPr>
          <w:rFonts w:cstheme="minorHAnsi"/>
          <w:color w:val="000000" w:themeColor="text1"/>
        </w:rPr>
        <w:t xml:space="preserve">. </w:t>
      </w:r>
      <w:r w:rsidRPr="00E3452C">
        <w:rPr>
          <w:rFonts w:cstheme="minorHAnsi"/>
          <w:i/>
          <w:color w:val="000000" w:themeColor="text1"/>
        </w:rPr>
        <w:t xml:space="preserve">Cómo leer los relatos bíblicos: iniciación al análisis narrativo. </w:t>
      </w:r>
      <w:r w:rsidRPr="00E3452C">
        <w:rPr>
          <w:rFonts w:cstheme="minorHAnsi"/>
          <w:color w:val="000000" w:themeColor="text1"/>
        </w:rPr>
        <w:t xml:space="preserve">Santander: Sal </w:t>
      </w:r>
      <w:proofErr w:type="spellStart"/>
      <w:r w:rsidRPr="00E3452C">
        <w:rPr>
          <w:rFonts w:cstheme="minorHAnsi"/>
          <w:color w:val="000000" w:themeColor="text1"/>
        </w:rPr>
        <w:t>Terrae</w:t>
      </w:r>
      <w:proofErr w:type="spellEnd"/>
      <w:r w:rsidRPr="00E3452C">
        <w:rPr>
          <w:rFonts w:cstheme="minorHAnsi"/>
          <w:color w:val="000000" w:themeColor="text1"/>
        </w:rPr>
        <w:t>, 2000. (</w:t>
      </w:r>
      <w:r w:rsidRPr="000A4006">
        <w:rPr>
          <w:rFonts w:cstheme="minorHAnsi"/>
          <w:color w:val="0070C0"/>
        </w:rPr>
        <w:t xml:space="preserve">clásico, </w:t>
      </w:r>
      <w:r w:rsidRPr="00E3452C">
        <w:rPr>
          <w:rFonts w:cstheme="minorHAnsi"/>
          <w:color w:val="000000" w:themeColor="text1"/>
        </w:rPr>
        <w:t xml:space="preserve">última edición) </w:t>
      </w:r>
    </w:p>
    <w:p w14:paraId="75D3197E" w14:textId="77777777" w:rsidR="002A0123" w:rsidRPr="00E3452C"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Ramírez, José Enrique. </w:t>
      </w:r>
      <w:r w:rsidRPr="00E3452C">
        <w:rPr>
          <w:rFonts w:cstheme="minorHAnsi"/>
          <w:i/>
          <w:color w:val="000000" w:themeColor="text1"/>
        </w:rPr>
        <w:t xml:space="preserve">El libro de Ruth: ternura de Dios frente al dolor humano. </w:t>
      </w:r>
      <w:r w:rsidRPr="00E3452C">
        <w:rPr>
          <w:rFonts w:cstheme="minorHAnsi"/>
          <w:color w:val="000000" w:themeColor="text1"/>
        </w:rPr>
        <w:t>San José: Editorial SEBILA, 2004. (</w:t>
      </w:r>
      <w:r w:rsidRPr="000A4006">
        <w:rPr>
          <w:rFonts w:cstheme="minorHAnsi"/>
          <w:color w:val="0070C0"/>
        </w:rPr>
        <w:t xml:space="preserve">clásico, </w:t>
      </w:r>
      <w:r w:rsidRPr="00E3452C">
        <w:rPr>
          <w:rFonts w:cstheme="minorHAnsi"/>
          <w:color w:val="000000" w:themeColor="text1"/>
        </w:rPr>
        <w:t xml:space="preserve">última edición) </w:t>
      </w:r>
    </w:p>
    <w:p w14:paraId="3E85FACC" w14:textId="77777777" w:rsidR="002A0123" w:rsidRPr="00E3452C" w:rsidRDefault="002A0123" w:rsidP="002A0123">
      <w:pPr>
        <w:spacing w:after="120" w:line="276" w:lineRule="auto"/>
        <w:ind w:left="709" w:hanging="709"/>
        <w:jc w:val="both"/>
        <w:rPr>
          <w:rFonts w:cstheme="minorHAnsi"/>
          <w:color w:val="000000" w:themeColor="text1"/>
          <w:lang w:val="fr-FR"/>
        </w:rPr>
      </w:pPr>
      <w:r w:rsidRPr="00E3452C">
        <w:rPr>
          <w:rFonts w:cstheme="minorHAnsi"/>
          <w:color w:val="000000" w:themeColor="text1"/>
        </w:rPr>
        <w:t xml:space="preserve">Rocha, Violeta. “Lectura Popular de la Biblia”. Con la colaboración de Abel Moya y Elsa Padilla. </w:t>
      </w:r>
      <w:proofErr w:type="spellStart"/>
      <w:r w:rsidRPr="00E3452C">
        <w:rPr>
          <w:rFonts w:cstheme="minorHAnsi"/>
          <w:i/>
          <w:color w:val="000000" w:themeColor="text1"/>
          <w:lang w:val="fr-FR"/>
        </w:rPr>
        <w:t>Aportes</w:t>
      </w:r>
      <w:proofErr w:type="spellEnd"/>
      <w:r w:rsidRPr="00E3452C">
        <w:rPr>
          <w:rFonts w:cstheme="minorHAnsi"/>
          <w:i/>
          <w:color w:val="000000" w:themeColor="text1"/>
          <w:lang w:val="fr-FR"/>
        </w:rPr>
        <w:t xml:space="preserve"> </w:t>
      </w:r>
      <w:proofErr w:type="spellStart"/>
      <w:r w:rsidRPr="00E3452C">
        <w:rPr>
          <w:rFonts w:cstheme="minorHAnsi"/>
          <w:i/>
          <w:color w:val="000000" w:themeColor="text1"/>
          <w:lang w:val="fr-FR"/>
        </w:rPr>
        <w:t>Bíblicos</w:t>
      </w:r>
      <w:proofErr w:type="spellEnd"/>
      <w:r w:rsidRPr="00E3452C">
        <w:rPr>
          <w:rFonts w:cstheme="minorHAnsi"/>
          <w:i/>
          <w:color w:val="000000" w:themeColor="text1"/>
          <w:lang w:val="fr-FR"/>
        </w:rPr>
        <w:t xml:space="preserve"> 11</w:t>
      </w:r>
      <w:r w:rsidRPr="00E3452C">
        <w:rPr>
          <w:rFonts w:cstheme="minorHAnsi"/>
          <w:color w:val="000000" w:themeColor="text1"/>
          <w:lang w:val="fr-FR"/>
        </w:rPr>
        <w:t>, 2010: pp. 5-42.</w:t>
      </w:r>
    </w:p>
    <w:p w14:paraId="34F3400C" w14:textId="77777777" w:rsidR="002A0123" w:rsidRDefault="002A0123" w:rsidP="002A0123">
      <w:pPr>
        <w:spacing w:after="120" w:line="276" w:lineRule="auto"/>
        <w:ind w:left="709" w:hanging="709"/>
        <w:jc w:val="both"/>
        <w:rPr>
          <w:rFonts w:cstheme="minorHAnsi"/>
          <w:color w:val="000000" w:themeColor="text1"/>
        </w:rPr>
      </w:pPr>
      <w:proofErr w:type="spellStart"/>
      <w:r w:rsidRPr="00E3452C">
        <w:rPr>
          <w:rFonts w:cstheme="minorHAnsi"/>
          <w:color w:val="000000" w:themeColor="text1"/>
        </w:rPr>
        <w:t>Ska</w:t>
      </w:r>
      <w:proofErr w:type="spellEnd"/>
      <w:r w:rsidRPr="00E3452C">
        <w:rPr>
          <w:rFonts w:cstheme="minorHAnsi"/>
          <w:color w:val="000000" w:themeColor="text1"/>
        </w:rPr>
        <w:t xml:space="preserve">, Jean Louis. </w:t>
      </w:r>
      <w:r w:rsidRPr="00E3452C">
        <w:rPr>
          <w:rFonts w:cstheme="minorHAnsi"/>
          <w:i/>
          <w:color w:val="000000" w:themeColor="text1"/>
        </w:rPr>
        <w:t xml:space="preserve">Nuestros padres nos contaron: introducción al análisis de los relatos del Antiguo Testamento. </w:t>
      </w:r>
      <w:r w:rsidRPr="00E3452C">
        <w:rPr>
          <w:rFonts w:cstheme="minorHAnsi"/>
          <w:color w:val="000000" w:themeColor="text1"/>
        </w:rPr>
        <w:t>Estella: Verbo Divino, 2012. (</w:t>
      </w:r>
      <w:r w:rsidRPr="000A4006">
        <w:rPr>
          <w:rFonts w:cstheme="minorHAnsi"/>
          <w:color w:val="0070C0"/>
        </w:rPr>
        <w:t xml:space="preserve">clásico, </w:t>
      </w:r>
      <w:r w:rsidRPr="00E3452C">
        <w:rPr>
          <w:rFonts w:cstheme="minorHAnsi"/>
          <w:color w:val="000000" w:themeColor="text1"/>
        </w:rPr>
        <w:t>última edición)</w:t>
      </w:r>
    </w:p>
    <w:p w14:paraId="72ECE153" w14:textId="77777777" w:rsidR="002A0123" w:rsidRDefault="002A0123" w:rsidP="002A0123">
      <w:pPr>
        <w:spacing w:after="120" w:line="276" w:lineRule="auto"/>
        <w:ind w:left="709" w:hanging="709"/>
        <w:jc w:val="both"/>
        <w:rPr>
          <w:rFonts w:cstheme="minorHAnsi"/>
          <w:color w:val="000000" w:themeColor="text1"/>
        </w:rPr>
      </w:pPr>
      <w:r w:rsidRPr="00E3452C">
        <w:rPr>
          <w:rFonts w:cstheme="minorHAnsi"/>
          <w:color w:val="000000" w:themeColor="text1"/>
        </w:rPr>
        <w:t xml:space="preserve">Tamez Luna, Elsa L. </w:t>
      </w:r>
      <w:r w:rsidRPr="00E3452C">
        <w:rPr>
          <w:rFonts w:cstheme="minorHAnsi"/>
          <w:i/>
          <w:color w:val="000000" w:themeColor="text1"/>
        </w:rPr>
        <w:t xml:space="preserve">Luchas de poder en los orígenes del cristianismo: un estudio de la Primera carta a Timoteo. </w:t>
      </w:r>
      <w:r w:rsidRPr="00E3452C">
        <w:rPr>
          <w:rFonts w:cstheme="minorHAnsi"/>
          <w:color w:val="000000" w:themeColor="text1"/>
        </w:rPr>
        <w:t xml:space="preserve">Santander: Sal </w:t>
      </w:r>
      <w:proofErr w:type="spellStart"/>
      <w:r w:rsidRPr="00E3452C">
        <w:rPr>
          <w:rFonts w:cstheme="minorHAnsi"/>
          <w:color w:val="000000" w:themeColor="text1"/>
        </w:rPr>
        <w:t>Terrae</w:t>
      </w:r>
      <w:proofErr w:type="spellEnd"/>
      <w:r w:rsidRPr="00E3452C">
        <w:rPr>
          <w:rFonts w:cstheme="minorHAnsi"/>
          <w:color w:val="000000" w:themeColor="text1"/>
        </w:rPr>
        <w:t>, 2005. (</w:t>
      </w:r>
      <w:r w:rsidRPr="000A4006">
        <w:rPr>
          <w:rFonts w:cstheme="minorHAnsi"/>
          <w:color w:val="0070C0"/>
        </w:rPr>
        <w:t xml:space="preserve">clásico, </w:t>
      </w:r>
      <w:r w:rsidRPr="00E3452C">
        <w:rPr>
          <w:rFonts w:cstheme="minorHAnsi"/>
          <w:color w:val="000000" w:themeColor="text1"/>
        </w:rPr>
        <w:t>última edición)</w:t>
      </w:r>
    </w:p>
    <w:p w14:paraId="048D2C9C" w14:textId="77777777" w:rsidR="002A0123" w:rsidRPr="00E3452C" w:rsidRDefault="002A0123" w:rsidP="002A0123">
      <w:pPr>
        <w:spacing w:after="120" w:line="276" w:lineRule="auto"/>
        <w:ind w:left="709" w:hanging="709"/>
        <w:jc w:val="both"/>
        <w:rPr>
          <w:rFonts w:cstheme="minorHAnsi"/>
          <w:color w:val="000000" w:themeColor="text1"/>
        </w:rPr>
      </w:pPr>
    </w:p>
    <w:p w14:paraId="36F50F19" w14:textId="77777777" w:rsidR="002A0123" w:rsidRDefault="002A0123" w:rsidP="002A0123">
      <w:pPr>
        <w:spacing w:after="200" w:line="276" w:lineRule="auto"/>
        <w:jc w:val="both"/>
        <w:rPr>
          <w:rFonts w:cstheme="minorHAnsi"/>
          <w:b/>
          <w:color w:val="000000" w:themeColor="text1"/>
        </w:rPr>
      </w:pPr>
      <w:r>
        <w:rPr>
          <w:rFonts w:cstheme="minorHAnsi"/>
          <w:b/>
          <w:color w:val="000000" w:themeColor="text1"/>
        </w:rPr>
        <w:t>XII. Bibliografía complementaria</w:t>
      </w:r>
    </w:p>
    <w:p w14:paraId="72511549" w14:textId="77777777" w:rsidR="002A0123" w:rsidRDefault="002A0123" w:rsidP="002A0123">
      <w:pPr>
        <w:spacing w:after="200" w:line="276" w:lineRule="auto"/>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2BAA7E3E" w14:textId="77777777" w:rsidR="002A0123" w:rsidRPr="004F7783" w:rsidRDefault="002A0123" w:rsidP="002A0123">
      <w:pPr>
        <w:spacing w:after="120" w:line="276" w:lineRule="auto"/>
        <w:ind w:left="709" w:hanging="709"/>
        <w:jc w:val="both"/>
        <w:rPr>
          <w:rFonts w:cstheme="minorHAnsi"/>
        </w:rPr>
      </w:pPr>
      <w:r w:rsidRPr="004F7783">
        <w:rPr>
          <w:rFonts w:cstheme="minorHAnsi"/>
        </w:rPr>
        <w:t xml:space="preserve">Conti, Cristina. </w:t>
      </w:r>
      <w:r w:rsidRPr="004F7783">
        <w:rPr>
          <w:rFonts w:cstheme="minorHAnsi"/>
          <w:i/>
        </w:rPr>
        <w:t>La Biblia desde otras orillas</w:t>
      </w:r>
      <w:r w:rsidRPr="004F7783">
        <w:rPr>
          <w:rFonts w:cstheme="minorHAnsi"/>
        </w:rPr>
        <w:t xml:space="preserve">. Guatemala: Editorial </w:t>
      </w:r>
      <w:proofErr w:type="spellStart"/>
      <w:r w:rsidRPr="004F7783">
        <w:rPr>
          <w:rFonts w:cstheme="minorHAnsi"/>
        </w:rPr>
        <w:t>Serviprensa</w:t>
      </w:r>
      <w:proofErr w:type="spellEnd"/>
      <w:r w:rsidRPr="004F7783">
        <w:rPr>
          <w:rFonts w:cstheme="minorHAnsi"/>
        </w:rPr>
        <w:t xml:space="preserve">, 2018. </w:t>
      </w:r>
      <w:r w:rsidRPr="004F7783">
        <w:rPr>
          <w:rFonts w:cstheme="minorHAnsi"/>
          <w:color w:val="000000" w:themeColor="text1"/>
        </w:rPr>
        <w:t>(</w:t>
      </w:r>
      <w:r w:rsidRPr="000A4006">
        <w:rPr>
          <w:rFonts w:cstheme="minorHAnsi"/>
          <w:color w:val="0070C0"/>
        </w:rPr>
        <w:t xml:space="preserve">clásico, </w:t>
      </w:r>
      <w:r w:rsidRPr="004F7783">
        <w:rPr>
          <w:rFonts w:cstheme="minorHAnsi"/>
          <w:color w:val="000000" w:themeColor="text1"/>
        </w:rPr>
        <w:t>última edición)</w:t>
      </w:r>
    </w:p>
    <w:p w14:paraId="46B9D994" w14:textId="77777777" w:rsidR="002A0123" w:rsidRPr="004F7783" w:rsidRDefault="002A0123" w:rsidP="002A0123">
      <w:pPr>
        <w:spacing w:after="120" w:line="276" w:lineRule="auto"/>
        <w:ind w:left="709" w:hanging="709"/>
        <w:jc w:val="both"/>
        <w:rPr>
          <w:rFonts w:cstheme="minorHAnsi"/>
        </w:rPr>
      </w:pPr>
      <w:proofErr w:type="spellStart"/>
      <w:r w:rsidRPr="004F7783">
        <w:rPr>
          <w:rFonts w:cstheme="minorHAnsi"/>
        </w:rPr>
        <w:lastRenderedPageBreak/>
        <w:t>Gloor</w:t>
      </w:r>
      <w:proofErr w:type="spellEnd"/>
      <w:r w:rsidRPr="004F7783">
        <w:rPr>
          <w:rFonts w:cstheme="minorHAnsi"/>
        </w:rPr>
        <w:t xml:space="preserve">, Daniel. “El método histórico-crítico”. </w:t>
      </w:r>
      <w:r w:rsidRPr="004F7783">
        <w:rPr>
          <w:rFonts w:cstheme="minorHAnsi"/>
          <w:i/>
        </w:rPr>
        <w:t>Aportes Bíblicos</w:t>
      </w:r>
      <w:r w:rsidRPr="004F7783">
        <w:rPr>
          <w:rFonts w:cstheme="minorHAnsi"/>
        </w:rPr>
        <w:t>, n. 22 (2016): 5-72.</w:t>
      </w:r>
    </w:p>
    <w:p w14:paraId="62DCE06D" w14:textId="77777777" w:rsidR="002A0123" w:rsidRDefault="002A0123" w:rsidP="002A0123">
      <w:pPr>
        <w:spacing w:after="120" w:line="276" w:lineRule="auto"/>
        <w:ind w:left="709" w:hanging="709"/>
        <w:jc w:val="both"/>
        <w:rPr>
          <w:rFonts w:cstheme="minorHAnsi"/>
        </w:rPr>
      </w:pPr>
      <w:r w:rsidRPr="004F7783">
        <w:rPr>
          <w:rFonts w:cstheme="minorHAnsi"/>
        </w:rPr>
        <w:t xml:space="preserve">Piñero, Antonio. </w:t>
      </w:r>
      <w:r w:rsidRPr="004F7783">
        <w:rPr>
          <w:rFonts w:cstheme="minorHAnsi"/>
          <w:i/>
        </w:rPr>
        <w:t>Aproximación al Jesús histórico</w:t>
      </w:r>
      <w:r w:rsidRPr="004F7783">
        <w:rPr>
          <w:rFonts w:cstheme="minorHAnsi"/>
        </w:rPr>
        <w:t xml:space="preserve">. Madrid: Editorial Trotta, 2018. </w:t>
      </w:r>
      <w:r w:rsidRPr="004F7783">
        <w:rPr>
          <w:rFonts w:cstheme="minorHAnsi"/>
          <w:color w:val="000000" w:themeColor="text1"/>
        </w:rPr>
        <w:t>(</w:t>
      </w:r>
      <w:r w:rsidRPr="000A4006">
        <w:rPr>
          <w:rFonts w:cstheme="minorHAnsi"/>
          <w:color w:val="0070C0"/>
        </w:rPr>
        <w:t xml:space="preserve">clásico, </w:t>
      </w:r>
      <w:r w:rsidRPr="004F7783">
        <w:rPr>
          <w:rFonts w:cstheme="minorHAnsi"/>
          <w:color w:val="000000" w:themeColor="text1"/>
        </w:rPr>
        <w:t>última edición)</w:t>
      </w:r>
    </w:p>
    <w:p w14:paraId="4E9A9162" w14:textId="77777777" w:rsidR="002A0123" w:rsidRPr="004F7783" w:rsidRDefault="002A0123" w:rsidP="002A0123">
      <w:pPr>
        <w:spacing w:after="120" w:line="276" w:lineRule="auto"/>
        <w:ind w:left="709" w:hanging="709"/>
        <w:jc w:val="both"/>
        <w:rPr>
          <w:rFonts w:cstheme="minorHAnsi"/>
        </w:rPr>
      </w:pPr>
      <w:r w:rsidRPr="004F7783">
        <w:rPr>
          <w:rFonts w:cstheme="minorHAnsi"/>
        </w:rPr>
        <w:t xml:space="preserve">Walsh, Jerome. “Ajab y las guerras con Aram (1 Re 20 y 22): El análisis narrativo en la Biblia Hebrea”. </w:t>
      </w:r>
      <w:r w:rsidRPr="004F7783">
        <w:rPr>
          <w:rFonts w:cstheme="minorHAnsi"/>
          <w:i/>
        </w:rPr>
        <w:t>Aportes Bíblicos</w:t>
      </w:r>
      <w:r w:rsidRPr="004F7783">
        <w:rPr>
          <w:rFonts w:cstheme="minorHAnsi"/>
        </w:rPr>
        <w:t>, n. 29 (2018): 4-47.</w:t>
      </w:r>
    </w:p>
    <w:p w14:paraId="200E303F" w14:textId="77777777" w:rsidR="007B232B" w:rsidRDefault="007B232B" w:rsidP="0004170C">
      <w:pPr>
        <w:rPr>
          <w:sz w:val="24"/>
          <w:szCs w:val="24"/>
        </w:rPr>
      </w:pPr>
    </w:p>
    <w:p w14:paraId="354D0931" w14:textId="77777777" w:rsidR="007B232B" w:rsidRDefault="007B232B" w:rsidP="0004170C">
      <w:pPr>
        <w:rPr>
          <w:sz w:val="24"/>
          <w:szCs w:val="24"/>
        </w:rPr>
      </w:pPr>
    </w:p>
    <w:p w14:paraId="607AC7E7" w14:textId="2687950E" w:rsidR="00F166D4" w:rsidRDefault="00F166D4">
      <w:pPr>
        <w:rPr>
          <w:sz w:val="24"/>
          <w:szCs w:val="24"/>
        </w:rPr>
      </w:pPr>
      <w:r>
        <w:rPr>
          <w:sz w:val="24"/>
          <w:szCs w:val="24"/>
        </w:rPr>
        <w:br w:type="page"/>
      </w:r>
    </w:p>
    <w:p w14:paraId="5D260E31" w14:textId="663ED420" w:rsidR="00733225" w:rsidRPr="006B5A49" w:rsidRDefault="00733225" w:rsidP="00CD4110">
      <w:pPr>
        <w:pStyle w:val="SPECIAL2"/>
      </w:pPr>
      <w:bookmarkStart w:id="50" w:name="_Toc166526883"/>
      <w:r w:rsidRPr="00CD4110">
        <w:lastRenderedPageBreak/>
        <w:t>VI CUATRIMESTRE</w:t>
      </w:r>
      <w:bookmarkEnd w:id="50"/>
    </w:p>
    <w:p w14:paraId="17FB4EE9" w14:textId="77777777" w:rsidR="00733225" w:rsidRDefault="00733225" w:rsidP="00733225">
      <w:pPr>
        <w:jc w:val="center"/>
        <w:rPr>
          <w:b/>
          <w:bCs/>
          <w:sz w:val="32"/>
          <w:szCs w:val="32"/>
          <w:lang w:val="es-ES"/>
        </w:rPr>
      </w:pPr>
    </w:p>
    <w:p w14:paraId="1F0F0F2C" w14:textId="3394D031" w:rsidR="00733225" w:rsidRPr="006B5A49" w:rsidRDefault="00DD16F2" w:rsidP="00733225">
      <w:pPr>
        <w:rPr>
          <w:sz w:val="24"/>
          <w:szCs w:val="24"/>
        </w:rPr>
      </w:pPr>
      <w:hyperlink w:anchor="CB105" w:history="1">
        <w:r w:rsidR="00733225" w:rsidRPr="00ED5FDC">
          <w:rPr>
            <w:rStyle w:val="Hipervnculo"/>
            <w:sz w:val="24"/>
            <w:szCs w:val="24"/>
            <w:lang w:val="es-ES"/>
          </w:rPr>
          <w:t>C</w:t>
        </w:r>
        <w:r w:rsidR="00693D6A" w:rsidRPr="00ED5FDC">
          <w:rPr>
            <w:rStyle w:val="Hipervnculo"/>
            <w:sz w:val="24"/>
            <w:szCs w:val="24"/>
            <w:lang w:val="es-ES"/>
          </w:rPr>
          <w:t>B</w:t>
        </w:r>
        <w:r w:rsidR="00B752CC" w:rsidRPr="00ED5FDC">
          <w:rPr>
            <w:rStyle w:val="Hipervnculo"/>
            <w:sz w:val="24"/>
            <w:szCs w:val="24"/>
            <w:lang w:val="es-ES"/>
          </w:rPr>
          <w:t>105 Hermenéutica Bíblica</w:t>
        </w:r>
      </w:hyperlink>
    </w:p>
    <w:p w14:paraId="1FC5CC40" w14:textId="39184243" w:rsidR="00733225" w:rsidRPr="00C5474A" w:rsidRDefault="00DD16F2" w:rsidP="00733225">
      <w:pPr>
        <w:rPr>
          <w:sz w:val="24"/>
          <w:szCs w:val="24"/>
        </w:rPr>
      </w:pPr>
      <w:hyperlink w:anchor="CB103" w:history="1">
        <w:r w:rsidR="00733225" w:rsidRPr="00ED5FDC">
          <w:rPr>
            <w:rStyle w:val="Hipervnculo"/>
            <w:sz w:val="24"/>
            <w:szCs w:val="24"/>
          </w:rPr>
          <w:t>C</w:t>
        </w:r>
        <w:r w:rsidR="00B752CC" w:rsidRPr="00ED5FDC">
          <w:rPr>
            <w:rStyle w:val="Hipervnculo"/>
            <w:sz w:val="24"/>
            <w:szCs w:val="24"/>
          </w:rPr>
          <w:t>B103 Griego II</w:t>
        </w:r>
      </w:hyperlink>
    </w:p>
    <w:p w14:paraId="02396EBF" w14:textId="7CFB221C" w:rsidR="00733225" w:rsidRPr="009B797D" w:rsidRDefault="00DD16F2" w:rsidP="00733225">
      <w:pPr>
        <w:rPr>
          <w:sz w:val="24"/>
          <w:szCs w:val="24"/>
        </w:rPr>
      </w:pPr>
      <w:hyperlink w:anchor="CB106" w:history="1">
        <w:r w:rsidR="00733225" w:rsidRPr="00ED5FDC">
          <w:rPr>
            <w:rStyle w:val="Hipervnculo"/>
            <w:sz w:val="24"/>
            <w:szCs w:val="24"/>
          </w:rPr>
          <w:t>C</w:t>
        </w:r>
        <w:r w:rsidR="003E2CD8" w:rsidRPr="00ED5FDC">
          <w:rPr>
            <w:rStyle w:val="Hipervnculo"/>
            <w:sz w:val="24"/>
            <w:szCs w:val="24"/>
          </w:rPr>
          <w:t>B106</w:t>
        </w:r>
        <w:r w:rsidR="009B797D" w:rsidRPr="00ED5FDC">
          <w:rPr>
            <w:rStyle w:val="Hipervnculo"/>
            <w:sz w:val="24"/>
            <w:szCs w:val="24"/>
          </w:rPr>
          <w:t xml:space="preserve"> Sociología del Período Bíblico I</w:t>
        </w:r>
      </w:hyperlink>
    </w:p>
    <w:p w14:paraId="705A5167" w14:textId="4964599D" w:rsidR="008E48AE" w:rsidRDefault="00DD16F2" w:rsidP="00733225">
      <w:pPr>
        <w:rPr>
          <w:sz w:val="24"/>
          <w:szCs w:val="24"/>
        </w:rPr>
      </w:pPr>
      <w:hyperlink w:anchor="CTX110" w:history="1">
        <w:r w:rsidR="00733225" w:rsidRPr="00ED5FDC">
          <w:rPr>
            <w:rStyle w:val="Hipervnculo"/>
            <w:sz w:val="24"/>
            <w:szCs w:val="24"/>
          </w:rPr>
          <w:t>C</w:t>
        </w:r>
        <w:r w:rsidR="005C3633" w:rsidRPr="00ED5FDC">
          <w:rPr>
            <w:rStyle w:val="Hipervnculo"/>
            <w:sz w:val="24"/>
            <w:szCs w:val="24"/>
          </w:rPr>
          <w:t>TX110 Liturgia I</w:t>
        </w:r>
      </w:hyperlink>
    </w:p>
    <w:p w14:paraId="23A3E102" w14:textId="77777777" w:rsidR="008E48AE" w:rsidRDefault="008E48AE">
      <w:pPr>
        <w:rPr>
          <w:sz w:val="24"/>
          <w:szCs w:val="24"/>
        </w:rPr>
      </w:pPr>
      <w:r>
        <w:rPr>
          <w:sz w:val="24"/>
          <w:szCs w:val="24"/>
        </w:rPr>
        <w:br w:type="page"/>
      </w:r>
    </w:p>
    <w:p w14:paraId="1C078840" w14:textId="77777777" w:rsidR="003C6AC7" w:rsidRPr="003C6AC7" w:rsidRDefault="003C6AC7" w:rsidP="003C6AC7">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r w:rsidRPr="003C6AC7">
        <w:rPr>
          <w:rFonts w:ascii="Arial" w:eastAsia="Times New Roman" w:hAnsi="Arial" w:cs="Arial"/>
          <w:noProof/>
          <w:color w:val="000000"/>
          <w:kern w:val="0"/>
          <w:sz w:val="24"/>
          <w:szCs w:val="24"/>
          <w:lang w:eastAsia="es-CR"/>
          <w14:ligatures w14:val="none"/>
        </w:rPr>
        <w:lastRenderedPageBreak/>
        <w:drawing>
          <wp:inline distT="0" distB="0" distL="0" distR="0" wp14:anchorId="3C60185A" wp14:editId="2C9736D9">
            <wp:extent cx="2009775" cy="1548377"/>
            <wp:effectExtent l="0" t="0" r="0" b="0"/>
            <wp:docPr id="1880262374"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262374"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802B92B" w14:textId="77777777" w:rsidR="003C6AC7" w:rsidRPr="003C6AC7" w:rsidRDefault="003C6AC7" w:rsidP="003C6AC7">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p>
    <w:p w14:paraId="4B86901F" w14:textId="77777777" w:rsidR="003C6AC7" w:rsidRPr="003C6AC7" w:rsidRDefault="003C6AC7" w:rsidP="003C6AC7">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r w:rsidRPr="003C6AC7">
        <w:rPr>
          <w:rFonts w:ascii="Calibri" w:eastAsia="Times New Roman" w:hAnsi="Calibri" w:cs="Arial"/>
          <w:b/>
          <w:spacing w:val="-2"/>
          <w:kern w:val="0"/>
          <w:sz w:val="24"/>
          <w:szCs w:val="24"/>
          <w:lang w:eastAsia="es-CR"/>
          <w14:ligatures w14:val="none"/>
        </w:rPr>
        <w:t>Universidad Bíblica Latinoamericana</w:t>
      </w:r>
    </w:p>
    <w:p w14:paraId="0453C584" w14:textId="77777777" w:rsidR="003C6AC7" w:rsidRPr="003C6AC7" w:rsidRDefault="003C6AC7" w:rsidP="003C6AC7">
      <w:pPr>
        <w:keepNext/>
        <w:widowControl w:val="0"/>
        <w:overflowPunct w:val="0"/>
        <w:autoSpaceDE w:val="0"/>
        <w:autoSpaceDN w:val="0"/>
        <w:adjustRightInd w:val="0"/>
        <w:spacing w:after="0" w:line="240" w:lineRule="auto"/>
        <w:jc w:val="center"/>
        <w:outlineLvl w:val="1"/>
        <w:rPr>
          <w:rFonts w:ascii="Calibri" w:eastAsia="Times New Roman" w:hAnsi="Calibri" w:cs="Arial"/>
          <w:b/>
          <w:i/>
          <w:spacing w:val="-2"/>
          <w:kern w:val="28"/>
          <w:sz w:val="24"/>
          <w:szCs w:val="24"/>
          <w:lang w:eastAsia="es-CR"/>
          <w14:ligatures w14:val="none"/>
        </w:rPr>
      </w:pPr>
      <w:r w:rsidRPr="003C6AC7">
        <w:rPr>
          <w:rFonts w:ascii="Calibri" w:eastAsia="Times New Roman" w:hAnsi="Calibri" w:cs="Arial"/>
          <w:b/>
          <w:i/>
          <w:spacing w:val="-2"/>
          <w:kern w:val="28"/>
          <w:sz w:val="24"/>
          <w:szCs w:val="24"/>
          <w:lang w:eastAsia="es-CR"/>
          <w14:ligatures w14:val="none"/>
        </w:rPr>
        <w:t>Facultad de Teología</w:t>
      </w:r>
    </w:p>
    <w:p w14:paraId="1CCCFAAC" w14:textId="77777777" w:rsidR="003C6AC7" w:rsidRPr="003C6AC7" w:rsidRDefault="003C6AC7" w:rsidP="003C6AC7">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3C6AC7">
        <w:rPr>
          <w:rFonts w:ascii="Calibri" w:eastAsia="Times New Roman" w:hAnsi="Calibri" w:cs="Arial"/>
          <w:b/>
          <w:bCs/>
          <w:kern w:val="0"/>
          <w:sz w:val="24"/>
          <w:szCs w:val="24"/>
          <w:lang w:val="es-ES_tradnl" w:eastAsia="es-CR"/>
          <w14:ligatures w14:val="none"/>
        </w:rPr>
        <w:t>Bachillerato en Ciencias Bíblicas</w:t>
      </w:r>
    </w:p>
    <w:p w14:paraId="7EB96848" w14:textId="77777777" w:rsidR="003C6AC7" w:rsidRPr="003C6AC7" w:rsidRDefault="003C6AC7" w:rsidP="003C6AC7">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p>
    <w:p w14:paraId="29E27D28" w14:textId="77777777" w:rsidR="003C6AC7" w:rsidRPr="003C6AC7" w:rsidRDefault="003C6AC7" w:rsidP="003C6AC7">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3C6AC7">
        <w:rPr>
          <w:rFonts w:ascii="Calibri" w:eastAsia="Times New Roman" w:hAnsi="Calibri" w:cs="Arial"/>
          <w:b/>
          <w:kern w:val="0"/>
          <w:sz w:val="24"/>
          <w:szCs w:val="24"/>
          <w:lang w:val="es-ES_tradnl" w:eastAsia="es-CR"/>
          <w14:ligatures w14:val="none"/>
        </w:rPr>
        <w:t>Sílabo</w:t>
      </w:r>
    </w:p>
    <w:p w14:paraId="70E829B1" w14:textId="77777777" w:rsidR="003C6AC7" w:rsidRPr="003C6AC7" w:rsidRDefault="003C6AC7" w:rsidP="003C6AC7">
      <w:pPr>
        <w:widowControl w:val="0"/>
        <w:overflowPunct w:val="0"/>
        <w:autoSpaceDE w:val="0"/>
        <w:autoSpaceDN w:val="0"/>
        <w:adjustRightInd w:val="0"/>
        <w:spacing w:after="0" w:line="240" w:lineRule="auto"/>
        <w:jc w:val="center"/>
        <w:rPr>
          <w:rFonts w:ascii="Calibri" w:eastAsia="Times New Roman" w:hAnsi="Calibri" w:cs="Arial"/>
          <w:b/>
          <w:color w:val="FF0000"/>
          <w:kern w:val="0"/>
          <w:sz w:val="24"/>
          <w:szCs w:val="24"/>
          <w:highlight w:val="yellow"/>
          <w:lang w:val="es-ES_tradnl" w:eastAsia="es-CR"/>
          <w14:ligatures w14:val="none"/>
        </w:rPr>
      </w:pPr>
      <w:bookmarkStart w:id="51" w:name="CB105"/>
      <w:r w:rsidRPr="003C6AC7">
        <w:rPr>
          <w:rFonts w:ascii="Calibri" w:eastAsia="Times New Roman" w:hAnsi="Calibri" w:cs="Arial"/>
          <w:b/>
          <w:kern w:val="0"/>
          <w:sz w:val="24"/>
          <w:szCs w:val="24"/>
          <w:lang w:val="es-ES" w:eastAsia="es-CR"/>
          <w14:ligatures w14:val="none"/>
        </w:rPr>
        <w:t>Hermenéutica Bíblica</w:t>
      </w:r>
    </w:p>
    <w:bookmarkEnd w:id="51"/>
    <w:p w14:paraId="1594540E" w14:textId="77777777" w:rsidR="003C6AC7" w:rsidRPr="003C6AC7" w:rsidRDefault="003C6AC7" w:rsidP="003C6AC7">
      <w:pPr>
        <w:widowControl w:val="0"/>
        <w:overflowPunct w:val="0"/>
        <w:autoSpaceDE w:val="0"/>
        <w:autoSpaceDN w:val="0"/>
        <w:adjustRightInd w:val="0"/>
        <w:spacing w:before="120" w:after="0" w:line="240" w:lineRule="auto"/>
        <w:jc w:val="center"/>
        <w:rPr>
          <w:rFonts w:ascii="Calibri" w:eastAsia="Times New Roman" w:hAnsi="Calibri" w:cs="Arial"/>
          <w:b/>
          <w:color w:val="00B050"/>
          <w:kern w:val="0"/>
          <w:sz w:val="24"/>
          <w:szCs w:val="24"/>
          <w:lang w:val="es-ES_tradnl" w:eastAsia="es-CR"/>
          <w14:ligatures w14:val="none"/>
        </w:rPr>
      </w:pPr>
    </w:p>
    <w:tbl>
      <w:tblPr>
        <w:tblStyle w:val="Tablaconcuadrcula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7386"/>
      </w:tblGrid>
      <w:tr w:rsidR="003C6AC7" w:rsidRPr="003C6AC7" w14:paraId="31A1E196" w14:textId="77777777" w:rsidTr="00104785">
        <w:tc>
          <w:tcPr>
            <w:tcW w:w="1668" w:type="dxa"/>
          </w:tcPr>
          <w:p w14:paraId="76694E29" w14:textId="77777777" w:rsidR="003C6AC7" w:rsidRPr="003C6AC7" w:rsidRDefault="003C6AC7" w:rsidP="003C6AC7">
            <w:pPr>
              <w:widowControl w:val="0"/>
              <w:overflowPunct w:val="0"/>
              <w:autoSpaceDE w:val="0"/>
              <w:autoSpaceDN w:val="0"/>
              <w:adjustRightInd w:val="0"/>
              <w:rPr>
                <w:rFonts w:ascii="Calibri" w:eastAsia="Times New Roman" w:hAnsi="Calibri" w:cs="Calibri"/>
                <w:b/>
                <w:color w:val="000000"/>
                <w:lang w:eastAsia="es-CR"/>
              </w:rPr>
            </w:pPr>
            <w:r w:rsidRPr="003C6AC7">
              <w:rPr>
                <w:rFonts w:ascii="Calibri" w:eastAsia="Times New Roman" w:hAnsi="Calibri" w:cs="Calibri"/>
                <w:b/>
                <w:color w:val="000000"/>
                <w:lang w:eastAsia="es-CR"/>
              </w:rPr>
              <w:t>Código</w:t>
            </w:r>
          </w:p>
        </w:tc>
        <w:tc>
          <w:tcPr>
            <w:tcW w:w="7386" w:type="dxa"/>
          </w:tcPr>
          <w:p w14:paraId="40E87A20" w14:textId="77777777" w:rsidR="003C6AC7" w:rsidRPr="003C6AC7" w:rsidRDefault="003C6AC7" w:rsidP="003C6AC7">
            <w:pPr>
              <w:widowControl w:val="0"/>
              <w:overflowPunct w:val="0"/>
              <w:autoSpaceDE w:val="0"/>
              <w:autoSpaceDN w:val="0"/>
              <w:adjustRightInd w:val="0"/>
              <w:rPr>
                <w:rFonts w:ascii="Calibri" w:eastAsia="Times New Roman" w:hAnsi="Calibri" w:cs="Calibri"/>
                <w:color w:val="000000"/>
                <w:lang w:eastAsia="es-CR"/>
              </w:rPr>
            </w:pPr>
            <w:r w:rsidRPr="003C6AC7">
              <w:rPr>
                <w:rFonts w:ascii="Calibri" w:eastAsia="Times New Roman" w:hAnsi="Calibri" w:cs="Calibri"/>
                <w:color w:val="000000"/>
                <w:lang w:eastAsia="es-CR"/>
              </w:rPr>
              <w:t>CB 105</w:t>
            </w:r>
          </w:p>
        </w:tc>
      </w:tr>
      <w:tr w:rsidR="003C6AC7" w:rsidRPr="003C6AC7" w14:paraId="1FB58DB8" w14:textId="77777777" w:rsidTr="00104785">
        <w:tc>
          <w:tcPr>
            <w:tcW w:w="1668" w:type="dxa"/>
          </w:tcPr>
          <w:p w14:paraId="2A5807AB" w14:textId="77777777" w:rsidR="003C6AC7" w:rsidRPr="003C6AC7" w:rsidRDefault="003C6AC7" w:rsidP="003C6AC7">
            <w:pPr>
              <w:widowControl w:val="0"/>
              <w:overflowPunct w:val="0"/>
              <w:autoSpaceDE w:val="0"/>
              <w:autoSpaceDN w:val="0"/>
              <w:adjustRightInd w:val="0"/>
              <w:rPr>
                <w:rFonts w:ascii="Calibri" w:eastAsia="Times New Roman" w:hAnsi="Calibri" w:cs="Calibri"/>
                <w:b/>
                <w:color w:val="000000"/>
                <w:lang w:eastAsia="es-CR"/>
              </w:rPr>
            </w:pPr>
            <w:r w:rsidRPr="003C6AC7">
              <w:rPr>
                <w:rFonts w:ascii="Calibri" w:eastAsia="Times New Roman" w:hAnsi="Calibri" w:cs="Calibri"/>
                <w:b/>
                <w:color w:val="000000"/>
                <w:lang w:eastAsia="es-CR"/>
              </w:rPr>
              <w:t>Créditos</w:t>
            </w:r>
          </w:p>
        </w:tc>
        <w:tc>
          <w:tcPr>
            <w:tcW w:w="7386" w:type="dxa"/>
          </w:tcPr>
          <w:p w14:paraId="0E2AEC3D" w14:textId="77777777" w:rsidR="003C6AC7" w:rsidRPr="003C6AC7" w:rsidRDefault="003C6AC7" w:rsidP="003C6AC7">
            <w:pPr>
              <w:widowControl w:val="0"/>
              <w:overflowPunct w:val="0"/>
              <w:autoSpaceDE w:val="0"/>
              <w:autoSpaceDN w:val="0"/>
              <w:adjustRightInd w:val="0"/>
              <w:rPr>
                <w:rFonts w:ascii="Calibri" w:eastAsia="Times New Roman" w:hAnsi="Calibri" w:cs="Calibri"/>
                <w:color w:val="000000"/>
                <w:lang w:eastAsia="es-CR"/>
              </w:rPr>
            </w:pPr>
            <w:r w:rsidRPr="003C6AC7">
              <w:rPr>
                <w:rFonts w:ascii="Calibri" w:eastAsia="Times New Roman" w:hAnsi="Calibri" w:cs="Calibri"/>
                <w:color w:val="000000"/>
                <w:lang w:eastAsia="es-CR"/>
              </w:rPr>
              <w:t>4</w:t>
            </w:r>
          </w:p>
        </w:tc>
      </w:tr>
      <w:tr w:rsidR="003C6AC7" w:rsidRPr="003C6AC7" w14:paraId="1EDCB5C4" w14:textId="77777777" w:rsidTr="00104785">
        <w:tc>
          <w:tcPr>
            <w:tcW w:w="1668" w:type="dxa"/>
          </w:tcPr>
          <w:p w14:paraId="130A901B" w14:textId="77777777" w:rsidR="003C6AC7" w:rsidRPr="003C6AC7" w:rsidRDefault="003C6AC7" w:rsidP="003C6AC7">
            <w:pPr>
              <w:widowControl w:val="0"/>
              <w:overflowPunct w:val="0"/>
              <w:autoSpaceDE w:val="0"/>
              <w:autoSpaceDN w:val="0"/>
              <w:adjustRightInd w:val="0"/>
              <w:rPr>
                <w:rFonts w:ascii="Calibri" w:eastAsia="Times New Roman" w:hAnsi="Calibri" w:cs="Calibri"/>
                <w:b/>
                <w:color w:val="000000"/>
                <w:lang w:eastAsia="es-CR"/>
              </w:rPr>
            </w:pPr>
            <w:r w:rsidRPr="003C6AC7">
              <w:rPr>
                <w:rFonts w:ascii="Calibri" w:eastAsia="Times New Roman" w:hAnsi="Calibri" w:cs="Calibri"/>
                <w:b/>
                <w:color w:val="000000"/>
                <w:lang w:eastAsia="es-CR"/>
              </w:rPr>
              <w:t>Requisitos</w:t>
            </w:r>
          </w:p>
        </w:tc>
        <w:tc>
          <w:tcPr>
            <w:tcW w:w="7386" w:type="dxa"/>
          </w:tcPr>
          <w:p w14:paraId="1747217F" w14:textId="77777777" w:rsidR="003C6AC7" w:rsidRPr="003C6AC7" w:rsidRDefault="003C6AC7" w:rsidP="003C6AC7">
            <w:pPr>
              <w:widowControl w:val="0"/>
              <w:overflowPunct w:val="0"/>
              <w:autoSpaceDE w:val="0"/>
              <w:autoSpaceDN w:val="0"/>
              <w:adjustRightInd w:val="0"/>
              <w:rPr>
                <w:rFonts w:ascii="Calibri" w:eastAsia="Times New Roman" w:hAnsi="Calibri" w:cs="Calibri"/>
                <w:color w:val="000000"/>
                <w:lang w:eastAsia="es-CR"/>
              </w:rPr>
            </w:pPr>
            <w:r w:rsidRPr="003C6AC7">
              <w:rPr>
                <w:rFonts w:ascii="Calibri" w:eastAsia="Times New Roman" w:hAnsi="Calibri" w:cs="Calibri"/>
                <w:color w:val="000000"/>
                <w:lang w:eastAsia="es-CR"/>
              </w:rPr>
              <w:t>CBX 113</w:t>
            </w:r>
          </w:p>
        </w:tc>
      </w:tr>
      <w:tr w:rsidR="003C6AC7" w:rsidRPr="003C6AC7" w14:paraId="68CA96F6" w14:textId="77777777" w:rsidTr="00104785">
        <w:tc>
          <w:tcPr>
            <w:tcW w:w="1668" w:type="dxa"/>
          </w:tcPr>
          <w:p w14:paraId="1435F5A0" w14:textId="77777777" w:rsidR="003C6AC7" w:rsidRPr="003C6AC7" w:rsidRDefault="003C6AC7" w:rsidP="003C6AC7">
            <w:pPr>
              <w:widowControl w:val="0"/>
              <w:overflowPunct w:val="0"/>
              <w:autoSpaceDE w:val="0"/>
              <w:autoSpaceDN w:val="0"/>
              <w:adjustRightInd w:val="0"/>
              <w:rPr>
                <w:rFonts w:ascii="Calibri" w:eastAsia="Times New Roman" w:hAnsi="Calibri" w:cs="Calibri"/>
                <w:b/>
                <w:color w:val="000000"/>
                <w:lang w:eastAsia="es-CR"/>
              </w:rPr>
            </w:pPr>
            <w:r w:rsidRPr="003C6AC7">
              <w:rPr>
                <w:rFonts w:ascii="Calibri" w:eastAsia="Times New Roman" w:hAnsi="Calibri" w:cs="Calibri"/>
                <w:b/>
                <w:color w:val="000000"/>
                <w:lang w:eastAsia="es-CR"/>
              </w:rPr>
              <w:t>Modalidad</w:t>
            </w:r>
          </w:p>
        </w:tc>
        <w:tc>
          <w:tcPr>
            <w:tcW w:w="7386" w:type="dxa"/>
          </w:tcPr>
          <w:p w14:paraId="751CB14C" w14:textId="77777777" w:rsidR="003C6AC7" w:rsidRPr="003C6AC7" w:rsidRDefault="003C6AC7" w:rsidP="003C6AC7">
            <w:pPr>
              <w:widowControl w:val="0"/>
              <w:overflowPunct w:val="0"/>
              <w:autoSpaceDE w:val="0"/>
              <w:autoSpaceDN w:val="0"/>
              <w:adjustRightInd w:val="0"/>
              <w:rPr>
                <w:rFonts w:ascii="Calibri" w:eastAsia="Times New Roman" w:hAnsi="Calibri" w:cs="Calibri"/>
                <w:color w:val="000000"/>
                <w:lang w:eastAsia="es-CR"/>
              </w:rPr>
            </w:pPr>
            <w:r w:rsidRPr="003C6AC7">
              <w:rPr>
                <w:rFonts w:ascii="Calibri" w:eastAsia="Times New Roman" w:hAnsi="Calibri" w:cs="Calibri"/>
                <w:color w:val="000000"/>
                <w:lang w:eastAsia="es-CR"/>
              </w:rPr>
              <w:t>Virtual</w:t>
            </w:r>
          </w:p>
        </w:tc>
      </w:tr>
      <w:tr w:rsidR="003C6AC7" w:rsidRPr="003C6AC7" w14:paraId="2269ED7E" w14:textId="77777777" w:rsidTr="00104785">
        <w:tc>
          <w:tcPr>
            <w:tcW w:w="1668" w:type="dxa"/>
          </w:tcPr>
          <w:p w14:paraId="3F0E3A01" w14:textId="77777777" w:rsidR="003C6AC7" w:rsidRPr="003C6AC7" w:rsidRDefault="003C6AC7" w:rsidP="003C6AC7">
            <w:pPr>
              <w:widowControl w:val="0"/>
              <w:overflowPunct w:val="0"/>
              <w:autoSpaceDE w:val="0"/>
              <w:autoSpaceDN w:val="0"/>
              <w:adjustRightInd w:val="0"/>
              <w:rPr>
                <w:rFonts w:ascii="Calibri" w:eastAsia="Times New Roman" w:hAnsi="Calibri" w:cs="Calibri"/>
                <w:b/>
                <w:color w:val="000000"/>
                <w:lang w:eastAsia="es-CR"/>
              </w:rPr>
            </w:pPr>
            <w:r w:rsidRPr="003C6AC7">
              <w:rPr>
                <w:rFonts w:ascii="Calibri" w:eastAsia="Times New Roman" w:hAnsi="Calibri" w:cs="Calibri"/>
                <w:b/>
                <w:color w:val="000000"/>
                <w:lang w:eastAsia="es-CR"/>
              </w:rPr>
              <w:t>Naturaleza</w:t>
            </w:r>
          </w:p>
        </w:tc>
        <w:tc>
          <w:tcPr>
            <w:tcW w:w="7386" w:type="dxa"/>
          </w:tcPr>
          <w:p w14:paraId="1FD3FBA7" w14:textId="77777777" w:rsidR="003C6AC7" w:rsidRPr="003C6AC7" w:rsidRDefault="003C6AC7" w:rsidP="003C6AC7">
            <w:pPr>
              <w:widowControl w:val="0"/>
              <w:overflowPunct w:val="0"/>
              <w:autoSpaceDE w:val="0"/>
              <w:autoSpaceDN w:val="0"/>
              <w:adjustRightInd w:val="0"/>
              <w:rPr>
                <w:rFonts w:ascii="Calibri" w:eastAsia="Times New Roman" w:hAnsi="Calibri" w:cs="Calibri"/>
                <w:color w:val="000000"/>
                <w:lang w:eastAsia="es-CR"/>
              </w:rPr>
            </w:pPr>
            <w:r w:rsidRPr="003C6AC7">
              <w:rPr>
                <w:rFonts w:ascii="Calibri" w:eastAsia="Times New Roman" w:hAnsi="Calibri" w:cs="Calibri"/>
                <w:color w:val="000000"/>
                <w:lang w:eastAsia="es-CR"/>
              </w:rPr>
              <w:t>Teórico-práctico</w:t>
            </w:r>
          </w:p>
        </w:tc>
      </w:tr>
      <w:tr w:rsidR="003C6AC7" w:rsidRPr="003C6AC7" w14:paraId="652CDD15" w14:textId="77777777" w:rsidTr="00104785">
        <w:tc>
          <w:tcPr>
            <w:tcW w:w="1668" w:type="dxa"/>
          </w:tcPr>
          <w:p w14:paraId="54C8BA9D" w14:textId="77777777" w:rsidR="003C6AC7" w:rsidRPr="003C6AC7" w:rsidRDefault="003C6AC7" w:rsidP="003C6AC7">
            <w:pPr>
              <w:widowControl w:val="0"/>
              <w:overflowPunct w:val="0"/>
              <w:autoSpaceDE w:val="0"/>
              <w:autoSpaceDN w:val="0"/>
              <w:adjustRightInd w:val="0"/>
              <w:rPr>
                <w:rFonts w:ascii="Calibri" w:eastAsia="Times New Roman" w:hAnsi="Calibri" w:cs="Calibri"/>
                <w:b/>
                <w:color w:val="000000"/>
                <w:lang w:eastAsia="es-CR"/>
              </w:rPr>
            </w:pPr>
            <w:r w:rsidRPr="003C6AC7">
              <w:rPr>
                <w:rFonts w:ascii="Calibri" w:eastAsia="Times New Roman" w:hAnsi="Calibri" w:cs="Calibri"/>
                <w:b/>
                <w:color w:val="000000"/>
                <w:lang w:eastAsia="es-CR"/>
              </w:rPr>
              <w:t>Periodo</w:t>
            </w:r>
          </w:p>
        </w:tc>
        <w:tc>
          <w:tcPr>
            <w:tcW w:w="7386" w:type="dxa"/>
          </w:tcPr>
          <w:p w14:paraId="33ABE996" w14:textId="77777777" w:rsidR="003C6AC7" w:rsidRPr="003C6AC7" w:rsidRDefault="003C6AC7" w:rsidP="003C6AC7">
            <w:pPr>
              <w:widowControl w:val="0"/>
              <w:overflowPunct w:val="0"/>
              <w:autoSpaceDE w:val="0"/>
              <w:autoSpaceDN w:val="0"/>
              <w:adjustRightInd w:val="0"/>
              <w:rPr>
                <w:rFonts w:ascii="Calibri" w:eastAsia="Times New Roman" w:hAnsi="Calibri" w:cs="Calibri"/>
                <w:color w:val="000000"/>
                <w:lang w:eastAsia="es-CR"/>
              </w:rPr>
            </w:pPr>
            <w:r w:rsidRPr="003C6AC7">
              <w:rPr>
                <w:rFonts w:ascii="Calibri" w:eastAsia="Times New Roman" w:hAnsi="Calibri" w:cs="Calibri"/>
                <w:color w:val="000000"/>
                <w:lang w:eastAsia="es-CR"/>
              </w:rPr>
              <w:t>Cuatrimestral (15 semanas lectivas)</w:t>
            </w:r>
          </w:p>
        </w:tc>
      </w:tr>
      <w:tr w:rsidR="003C6AC7" w:rsidRPr="003C6AC7" w14:paraId="148565D2" w14:textId="77777777" w:rsidTr="00104785">
        <w:tc>
          <w:tcPr>
            <w:tcW w:w="1668" w:type="dxa"/>
          </w:tcPr>
          <w:p w14:paraId="052A544F" w14:textId="77777777" w:rsidR="003C6AC7" w:rsidRPr="003C6AC7" w:rsidRDefault="003C6AC7" w:rsidP="003C6AC7">
            <w:pPr>
              <w:widowControl w:val="0"/>
              <w:overflowPunct w:val="0"/>
              <w:autoSpaceDE w:val="0"/>
              <w:autoSpaceDN w:val="0"/>
              <w:adjustRightInd w:val="0"/>
              <w:rPr>
                <w:rFonts w:ascii="Calibri" w:eastAsia="Times New Roman" w:hAnsi="Calibri" w:cs="Calibri"/>
                <w:b/>
                <w:color w:val="000000"/>
                <w:lang w:eastAsia="es-CR"/>
              </w:rPr>
            </w:pPr>
            <w:r w:rsidRPr="003C6AC7">
              <w:rPr>
                <w:rFonts w:ascii="Calibri" w:eastAsia="Times New Roman" w:hAnsi="Calibri" w:cs="Calibri"/>
                <w:b/>
                <w:color w:val="000000"/>
                <w:lang w:eastAsia="es-CR"/>
              </w:rPr>
              <w:t>Nivel</w:t>
            </w:r>
          </w:p>
        </w:tc>
        <w:tc>
          <w:tcPr>
            <w:tcW w:w="7386" w:type="dxa"/>
          </w:tcPr>
          <w:p w14:paraId="43F120D5" w14:textId="77777777" w:rsidR="003C6AC7" w:rsidRPr="003C6AC7" w:rsidRDefault="003C6AC7" w:rsidP="003C6AC7">
            <w:pPr>
              <w:widowControl w:val="0"/>
              <w:overflowPunct w:val="0"/>
              <w:autoSpaceDE w:val="0"/>
              <w:autoSpaceDN w:val="0"/>
              <w:adjustRightInd w:val="0"/>
              <w:rPr>
                <w:rFonts w:ascii="Calibri" w:eastAsia="Times New Roman" w:hAnsi="Calibri" w:cs="Calibri"/>
                <w:color w:val="000000"/>
                <w:lang w:eastAsia="es-CR"/>
              </w:rPr>
            </w:pPr>
            <w:r w:rsidRPr="003C6AC7">
              <w:rPr>
                <w:rFonts w:ascii="Calibri" w:eastAsia="Times New Roman" w:hAnsi="Calibri" w:cs="Calibri"/>
                <w:color w:val="000000"/>
                <w:lang w:eastAsia="es-CR"/>
              </w:rPr>
              <w:t>VI Cuatrimestre</w:t>
            </w:r>
          </w:p>
        </w:tc>
      </w:tr>
      <w:tr w:rsidR="003C6AC7" w:rsidRPr="003C6AC7" w14:paraId="1B667752" w14:textId="77777777" w:rsidTr="00104785">
        <w:tc>
          <w:tcPr>
            <w:tcW w:w="1668" w:type="dxa"/>
          </w:tcPr>
          <w:p w14:paraId="5C9FE5FB" w14:textId="77777777" w:rsidR="003C6AC7" w:rsidRPr="003C6AC7" w:rsidRDefault="003C6AC7" w:rsidP="003C6AC7">
            <w:pPr>
              <w:widowControl w:val="0"/>
              <w:overflowPunct w:val="0"/>
              <w:autoSpaceDE w:val="0"/>
              <w:autoSpaceDN w:val="0"/>
              <w:adjustRightInd w:val="0"/>
              <w:rPr>
                <w:rFonts w:ascii="Calibri" w:eastAsia="Times New Roman" w:hAnsi="Calibri" w:cs="Calibri"/>
                <w:b/>
                <w:color w:val="000000"/>
                <w:lang w:eastAsia="es-CR"/>
              </w:rPr>
            </w:pPr>
            <w:r w:rsidRPr="003C6AC7">
              <w:rPr>
                <w:rFonts w:ascii="Calibri" w:eastAsia="Times New Roman" w:hAnsi="Calibri" w:cs="Calibri"/>
                <w:b/>
                <w:color w:val="000000"/>
                <w:lang w:eastAsia="es-CR"/>
              </w:rPr>
              <w:t>Horario</w:t>
            </w:r>
          </w:p>
        </w:tc>
        <w:tc>
          <w:tcPr>
            <w:tcW w:w="7386" w:type="dxa"/>
          </w:tcPr>
          <w:p w14:paraId="7D46ACF7" w14:textId="77777777" w:rsidR="003C6AC7" w:rsidRPr="003C6AC7" w:rsidRDefault="003C6AC7" w:rsidP="003C6AC7">
            <w:pPr>
              <w:widowControl w:val="0"/>
              <w:overflowPunct w:val="0"/>
              <w:autoSpaceDE w:val="0"/>
              <w:autoSpaceDN w:val="0"/>
              <w:adjustRightInd w:val="0"/>
              <w:rPr>
                <w:rFonts w:ascii="Calibri" w:eastAsia="Times New Roman" w:hAnsi="Calibri" w:cs="Calibri"/>
                <w:color w:val="000000"/>
                <w:lang w:eastAsia="es-CR"/>
              </w:rPr>
            </w:pPr>
            <w:r w:rsidRPr="003C6AC7">
              <w:rPr>
                <w:rFonts w:ascii="Calibri" w:eastAsia="Times New Roman" w:hAnsi="Calibri" w:cs="Calibri"/>
                <w:color w:val="000000"/>
                <w:lang w:eastAsia="es-CR"/>
              </w:rPr>
              <w:t>El curso requiere de 12 horas de trabajo semanal</w:t>
            </w:r>
          </w:p>
        </w:tc>
      </w:tr>
      <w:tr w:rsidR="003C6AC7" w:rsidRPr="003C6AC7" w14:paraId="1DD56BF4" w14:textId="77777777" w:rsidTr="00104785">
        <w:tc>
          <w:tcPr>
            <w:tcW w:w="1668" w:type="dxa"/>
          </w:tcPr>
          <w:p w14:paraId="44FC345E" w14:textId="77777777" w:rsidR="003C6AC7" w:rsidRPr="003C6AC7" w:rsidRDefault="003C6AC7" w:rsidP="003C6AC7">
            <w:pPr>
              <w:widowControl w:val="0"/>
              <w:overflowPunct w:val="0"/>
              <w:autoSpaceDE w:val="0"/>
              <w:autoSpaceDN w:val="0"/>
              <w:adjustRightInd w:val="0"/>
              <w:rPr>
                <w:rFonts w:ascii="Calibri" w:eastAsia="Times New Roman" w:hAnsi="Calibri" w:cs="Calibri"/>
                <w:b/>
                <w:color w:val="000000"/>
                <w:lang w:eastAsia="es-CR"/>
              </w:rPr>
            </w:pPr>
            <w:r w:rsidRPr="003C6AC7">
              <w:rPr>
                <w:rFonts w:ascii="Calibri" w:eastAsia="Times New Roman" w:hAnsi="Calibri" w:cs="Calibri"/>
                <w:b/>
                <w:color w:val="000000"/>
                <w:lang w:eastAsia="es-CR"/>
              </w:rPr>
              <w:t>Aula</w:t>
            </w:r>
          </w:p>
        </w:tc>
        <w:tc>
          <w:tcPr>
            <w:tcW w:w="7386" w:type="dxa"/>
          </w:tcPr>
          <w:p w14:paraId="1A71E11A" w14:textId="77777777" w:rsidR="003C6AC7" w:rsidRPr="003C6AC7" w:rsidRDefault="003C6AC7" w:rsidP="003C6AC7">
            <w:pPr>
              <w:widowControl w:val="0"/>
              <w:overflowPunct w:val="0"/>
              <w:autoSpaceDE w:val="0"/>
              <w:autoSpaceDN w:val="0"/>
              <w:adjustRightInd w:val="0"/>
              <w:rPr>
                <w:rFonts w:ascii="Calibri" w:eastAsia="Times New Roman" w:hAnsi="Calibri" w:cs="Calibri"/>
                <w:color w:val="000000"/>
                <w:lang w:eastAsia="es-CR"/>
              </w:rPr>
            </w:pPr>
            <w:r w:rsidRPr="003C6AC7">
              <w:rPr>
                <w:rFonts w:ascii="Calibri" w:eastAsia="Times New Roman" w:hAnsi="Calibri" w:cs="Calibri"/>
                <w:color w:val="000000"/>
                <w:lang w:eastAsia="es-CR"/>
              </w:rPr>
              <w:t>Plataforma virtual de la UBL</w:t>
            </w:r>
          </w:p>
        </w:tc>
      </w:tr>
      <w:tr w:rsidR="003C6AC7" w:rsidRPr="003C6AC7" w14:paraId="41A064D3" w14:textId="77777777" w:rsidTr="00104785">
        <w:tc>
          <w:tcPr>
            <w:tcW w:w="1668" w:type="dxa"/>
          </w:tcPr>
          <w:p w14:paraId="1F9B2A63" w14:textId="77777777" w:rsidR="003C6AC7" w:rsidRPr="003C6AC7" w:rsidRDefault="003C6AC7" w:rsidP="003C6AC7">
            <w:pPr>
              <w:widowControl w:val="0"/>
              <w:overflowPunct w:val="0"/>
              <w:autoSpaceDE w:val="0"/>
              <w:autoSpaceDN w:val="0"/>
              <w:adjustRightInd w:val="0"/>
              <w:rPr>
                <w:rFonts w:ascii="Calibri" w:eastAsia="Times New Roman" w:hAnsi="Calibri" w:cs="Calibri"/>
                <w:b/>
                <w:color w:val="000000"/>
                <w:lang w:eastAsia="es-CR"/>
              </w:rPr>
            </w:pPr>
            <w:r w:rsidRPr="003C6AC7">
              <w:rPr>
                <w:rFonts w:ascii="Calibri" w:eastAsia="Times New Roman" w:hAnsi="Calibri" w:cs="Calibri"/>
                <w:b/>
                <w:color w:val="000000"/>
                <w:lang w:eastAsia="es-CR"/>
              </w:rPr>
              <w:t>Docente</w:t>
            </w:r>
          </w:p>
        </w:tc>
        <w:tc>
          <w:tcPr>
            <w:tcW w:w="7386" w:type="dxa"/>
          </w:tcPr>
          <w:p w14:paraId="1EB5DB07" w14:textId="77777777" w:rsidR="003C6AC7" w:rsidRPr="003C6AC7" w:rsidRDefault="003C6AC7" w:rsidP="003C6AC7">
            <w:pPr>
              <w:widowControl w:val="0"/>
              <w:overflowPunct w:val="0"/>
              <w:autoSpaceDE w:val="0"/>
              <w:autoSpaceDN w:val="0"/>
              <w:adjustRightInd w:val="0"/>
              <w:rPr>
                <w:rFonts w:ascii="Calibri" w:eastAsia="Times New Roman" w:hAnsi="Calibri" w:cs="Calibri"/>
                <w:color w:val="000000"/>
                <w:lang w:eastAsia="es-CR"/>
              </w:rPr>
            </w:pPr>
          </w:p>
        </w:tc>
      </w:tr>
      <w:tr w:rsidR="003C6AC7" w:rsidRPr="003C6AC7" w14:paraId="17F4A529" w14:textId="77777777" w:rsidTr="00104785">
        <w:tc>
          <w:tcPr>
            <w:tcW w:w="1668" w:type="dxa"/>
            <w:vAlign w:val="center"/>
          </w:tcPr>
          <w:p w14:paraId="4148BEDB" w14:textId="77777777" w:rsidR="003C6AC7" w:rsidRPr="003C6AC7" w:rsidRDefault="003C6AC7" w:rsidP="003C6AC7">
            <w:pPr>
              <w:widowControl w:val="0"/>
              <w:overflowPunct w:val="0"/>
              <w:autoSpaceDE w:val="0"/>
              <w:autoSpaceDN w:val="0"/>
              <w:adjustRightInd w:val="0"/>
              <w:rPr>
                <w:rFonts w:ascii="Calibri" w:eastAsia="Times New Roman" w:hAnsi="Calibri" w:cs="Calibri"/>
                <w:color w:val="000000"/>
                <w:lang w:eastAsia="es-CR"/>
              </w:rPr>
            </w:pPr>
            <w:r w:rsidRPr="003C6AC7">
              <w:rPr>
                <w:rFonts w:ascii="Calibri" w:eastAsia="Times New Roman" w:hAnsi="Calibri" w:cs="Calibri"/>
                <w:b/>
                <w:color w:val="000000"/>
                <w:lang w:eastAsia="es-CR"/>
              </w:rPr>
              <w:t>Instrucciones administrativas</w:t>
            </w:r>
          </w:p>
        </w:tc>
        <w:tc>
          <w:tcPr>
            <w:tcW w:w="7386" w:type="dxa"/>
          </w:tcPr>
          <w:p w14:paraId="1ECEA6FC" w14:textId="77777777" w:rsidR="003C6AC7" w:rsidRPr="003C6AC7" w:rsidRDefault="003C6AC7" w:rsidP="003C6AC7">
            <w:pPr>
              <w:widowControl w:val="0"/>
              <w:overflowPunct w:val="0"/>
              <w:autoSpaceDE w:val="0"/>
              <w:autoSpaceDN w:val="0"/>
              <w:adjustRightInd w:val="0"/>
              <w:jc w:val="both"/>
              <w:rPr>
                <w:rFonts w:ascii="Calibri" w:eastAsia="Times New Roman" w:hAnsi="Calibri" w:cs="Calibri"/>
                <w:lang w:eastAsia="es-CR"/>
              </w:rPr>
            </w:pPr>
            <w:r w:rsidRPr="003C6AC7">
              <w:rPr>
                <w:rFonts w:ascii="Calibri" w:eastAsia="Times New Roman" w:hAnsi="Calibri" w:cs="Calibri"/>
                <w:color w:val="000000"/>
                <w:lang w:eastAsia="es-CR"/>
              </w:rPr>
              <w:t xml:space="preserve">El curso es virtual, por lo que se requiere de acceso a una computadora con conexión a Internet, además de destrezas básicas para el manejo de correo electrónico y la plataforma Moodle desde el rol de estudiante. Por su naturaleza teórico-práctica, en este curso se debe invertir dos horas semanales en trabajos prácticos. </w:t>
            </w:r>
            <w:r w:rsidRPr="003C6AC7">
              <w:rPr>
                <w:rFonts w:ascii="Calibri" w:eastAsia="Times New Roman" w:hAnsi="Calibri" w:cs="Calibri"/>
                <w:lang w:eastAsia="es-CR"/>
              </w:rPr>
              <w:t>La dirección de acceso a la plataforma es la siguiente:</w:t>
            </w:r>
          </w:p>
          <w:p w14:paraId="78E8D9B3" w14:textId="77777777" w:rsidR="003C6AC7" w:rsidRPr="003C6AC7" w:rsidRDefault="00DD16F2" w:rsidP="003C6AC7">
            <w:pPr>
              <w:widowControl w:val="0"/>
              <w:overflowPunct w:val="0"/>
              <w:autoSpaceDE w:val="0"/>
              <w:autoSpaceDN w:val="0"/>
              <w:adjustRightInd w:val="0"/>
              <w:jc w:val="both"/>
              <w:rPr>
                <w:rFonts w:ascii="Calibri" w:eastAsia="Times New Roman" w:hAnsi="Calibri" w:cs="Calibri"/>
                <w:color w:val="000000"/>
                <w:lang w:eastAsia="es-CR"/>
              </w:rPr>
            </w:pPr>
            <w:hyperlink r:id="rId357" w:history="1">
              <w:r w:rsidR="003C6AC7" w:rsidRPr="003C6AC7">
                <w:rPr>
                  <w:rFonts w:ascii="Calibri" w:eastAsia="Times New Roman" w:hAnsi="Calibri" w:cs="Calibri"/>
                  <w:color w:val="0563C1"/>
                  <w:u w:val="single"/>
                  <w:lang w:eastAsia="es-CR"/>
                </w:rPr>
                <w:t>https://campus.ubl.ac.cr/login/index.php</w:t>
              </w:r>
            </w:hyperlink>
          </w:p>
        </w:tc>
      </w:tr>
    </w:tbl>
    <w:p w14:paraId="1F70D68F" w14:textId="77777777" w:rsidR="003C6AC7" w:rsidRPr="003C6AC7" w:rsidRDefault="003C6AC7" w:rsidP="003C6AC7">
      <w:pPr>
        <w:spacing w:after="0" w:line="240" w:lineRule="auto"/>
        <w:jc w:val="center"/>
        <w:rPr>
          <w:rFonts w:ascii="Arial" w:eastAsia="Calibri" w:hAnsi="Arial" w:cs="Arial"/>
          <w:kern w:val="0"/>
          <w:sz w:val="24"/>
          <w:szCs w:val="24"/>
          <w:lang w:val="es-ES_tradnl"/>
          <w14:ligatures w14:val="none"/>
        </w:rPr>
      </w:pPr>
    </w:p>
    <w:p w14:paraId="46E3FC6C" w14:textId="77777777" w:rsidR="003C6AC7" w:rsidRPr="003C6AC7" w:rsidRDefault="003C6AC7" w:rsidP="003C6AC7">
      <w:pPr>
        <w:spacing w:after="0" w:line="240" w:lineRule="auto"/>
        <w:rPr>
          <w:rFonts w:ascii="Arial" w:eastAsia="Calibri" w:hAnsi="Arial" w:cs="Arial"/>
          <w:kern w:val="0"/>
          <w:sz w:val="24"/>
          <w:szCs w:val="24"/>
          <w:lang w:val="es-ES_tradnl"/>
          <w14:ligatures w14:val="none"/>
        </w:rPr>
      </w:pPr>
    </w:p>
    <w:p w14:paraId="33579839" w14:textId="77777777" w:rsidR="003C6AC7" w:rsidRPr="003C6AC7" w:rsidRDefault="003C6AC7" w:rsidP="003C6AC7">
      <w:pPr>
        <w:spacing w:after="0" w:line="240" w:lineRule="auto"/>
        <w:jc w:val="both"/>
        <w:rPr>
          <w:rFonts w:ascii="Calibri" w:eastAsia="Calibri" w:hAnsi="Calibri" w:cs="Arial"/>
          <w:b/>
          <w:kern w:val="0"/>
          <w14:ligatures w14:val="none"/>
        </w:rPr>
      </w:pPr>
      <w:r w:rsidRPr="003C6AC7">
        <w:rPr>
          <w:rFonts w:ascii="Calibri" w:eastAsia="Calibri" w:hAnsi="Calibri" w:cs="Arial"/>
          <w:b/>
          <w:bCs/>
          <w:kern w:val="0"/>
          <w14:ligatures w14:val="none"/>
        </w:rPr>
        <w:t xml:space="preserve">I. </w:t>
      </w:r>
      <w:r w:rsidRPr="003C6AC7">
        <w:rPr>
          <w:rFonts w:ascii="Calibri" w:eastAsia="Calibri" w:hAnsi="Calibri" w:cs="Arial"/>
          <w:b/>
          <w:kern w:val="0"/>
          <w14:ligatures w14:val="none"/>
        </w:rPr>
        <w:t>Descripción</w:t>
      </w:r>
    </w:p>
    <w:p w14:paraId="42778625" w14:textId="77777777" w:rsidR="003C6AC7" w:rsidRPr="003C6AC7" w:rsidRDefault="003C6AC7" w:rsidP="003C6AC7">
      <w:pPr>
        <w:spacing w:after="0" w:line="240" w:lineRule="auto"/>
        <w:jc w:val="both"/>
        <w:rPr>
          <w:rFonts w:ascii="Calibri" w:eastAsia="Calibri" w:hAnsi="Calibri" w:cs="Arial"/>
          <w:kern w:val="0"/>
          <w14:ligatures w14:val="none"/>
        </w:rPr>
      </w:pPr>
    </w:p>
    <w:p w14:paraId="7E61FF32"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 xml:space="preserve">La actividad hermenéutica es propia de los seres humanos. Interpretamos para comprender, para explicar, para expresarnos en un lenguaje en particular. La hermenéutica ocupa un lugar central en el campo de las ciencias sociales (filosofía, literatura, historia, arte, derecho y en las ciencias bíblicas y la teología). Establecemos un diálogo indispensable entre hermenéutica y teología, asumiendo que la hermenéutica está nutrida por diversas escuelas y teorías filosóficas. </w:t>
      </w:r>
    </w:p>
    <w:p w14:paraId="1088257E" w14:textId="77777777" w:rsidR="003C6AC7" w:rsidRPr="003C6AC7" w:rsidRDefault="003C6AC7" w:rsidP="003C6AC7">
      <w:pPr>
        <w:spacing w:after="0" w:line="240" w:lineRule="auto"/>
        <w:jc w:val="both"/>
        <w:rPr>
          <w:rFonts w:ascii="Calibri" w:eastAsia="Calibri" w:hAnsi="Calibri" w:cs="Arial"/>
          <w:kern w:val="0"/>
          <w14:ligatures w14:val="none"/>
        </w:rPr>
      </w:pPr>
    </w:p>
    <w:p w14:paraId="5212FDDB"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 xml:space="preserve">El curso ofrece una base histórica y teórica acerca de los avances principales en el discurso de la hermenéutica bíblica en el devenir de los siglos, ofreciendo a los y las estudiantes la posibilidad de conocer las diversas posiciones desde la teoría bíblica en cuanto a la hermenéutica. </w:t>
      </w:r>
    </w:p>
    <w:p w14:paraId="3DA1A568"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lastRenderedPageBreak/>
        <w:t xml:space="preserve">Lo anterior es fundamental en el desarrollo de la carrera de Bachillerato en Ciencias Bíblicas, en donde se estudian las diversas posturas y metodologías teóricas para la apropiación de estas en el constante trabajo hermenéutico requerido a través de toda la formación profesional. </w:t>
      </w:r>
    </w:p>
    <w:p w14:paraId="7D53615E" w14:textId="77777777" w:rsidR="003C6AC7" w:rsidRPr="003C6AC7" w:rsidRDefault="003C6AC7" w:rsidP="003C6AC7">
      <w:pPr>
        <w:spacing w:after="0" w:line="240" w:lineRule="auto"/>
        <w:jc w:val="both"/>
        <w:rPr>
          <w:rFonts w:ascii="Calibri" w:eastAsia="Calibri" w:hAnsi="Calibri" w:cs="Arial"/>
          <w:kern w:val="0"/>
          <w14:ligatures w14:val="none"/>
        </w:rPr>
      </w:pPr>
    </w:p>
    <w:p w14:paraId="02CB4425"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b/>
          <w:kern w:val="0"/>
          <w14:ligatures w14:val="none"/>
        </w:rPr>
        <w:t xml:space="preserve">II. Objetivo general </w:t>
      </w:r>
    </w:p>
    <w:p w14:paraId="4B01EF9F" w14:textId="77777777" w:rsidR="003C6AC7" w:rsidRPr="003C6AC7" w:rsidRDefault="003C6AC7" w:rsidP="003C6AC7">
      <w:pPr>
        <w:spacing w:after="0" w:line="240" w:lineRule="auto"/>
        <w:jc w:val="both"/>
        <w:rPr>
          <w:rFonts w:ascii="Calibri" w:eastAsia="Calibri" w:hAnsi="Calibri" w:cs="Arial"/>
          <w:kern w:val="0"/>
          <w14:ligatures w14:val="none"/>
        </w:rPr>
      </w:pPr>
    </w:p>
    <w:p w14:paraId="245278BD" w14:textId="77777777" w:rsidR="003C6AC7" w:rsidRPr="003C6AC7" w:rsidRDefault="003C6AC7" w:rsidP="003C6AC7">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r w:rsidRPr="003C6AC7">
        <w:rPr>
          <w:rFonts w:ascii="Calibri" w:eastAsia="Times New Roman" w:hAnsi="Calibri" w:cs="Arial"/>
          <w:kern w:val="0"/>
          <w:lang w:val="es-ES_tradnl" w:eastAsia="es-CR"/>
          <w14:ligatures w14:val="none"/>
        </w:rPr>
        <w:t xml:space="preserve">Analizar las distintas corrientes hermenéuticas y sus acercamientos para la lectura del texto y del contexto bíblico y de la realidad sociocultural actual. </w:t>
      </w:r>
    </w:p>
    <w:p w14:paraId="0AEEAA34" w14:textId="77777777" w:rsidR="003C6AC7" w:rsidRPr="003C6AC7" w:rsidRDefault="003C6AC7" w:rsidP="003C6AC7">
      <w:pPr>
        <w:widowControl w:val="0"/>
        <w:overflowPunct w:val="0"/>
        <w:autoSpaceDE w:val="0"/>
        <w:autoSpaceDN w:val="0"/>
        <w:adjustRightInd w:val="0"/>
        <w:spacing w:after="0" w:line="240" w:lineRule="auto"/>
        <w:rPr>
          <w:rFonts w:ascii="Calibri" w:eastAsia="Times New Roman" w:hAnsi="Calibri" w:cs="Arial"/>
          <w:kern w:val="0"/>
          <w:lang w:val="es-ES_tradnl" w:eastAsia="es-CR"/>
          <w14:ligatures w14:val="none"/>
        </w:rPr>
      </w:pPr>
    </w:p>
    <w:p w14:paraId="01044192" w14:textId="77777777" w:rsidR="003C6AC7" w:rsidRPr="003C6AC7" w:rsidRDefault="003C6AC7" w:rsidP="003C6AC7">
      <w:pPr>
        <w:widowControl w:val="0"/>
        <w:overflowPunct w:val="0"/>
        <w:autoSpaceDE w:val="0"/>
        <w:autoSpaceDN w:val="0"/>
        <w:adjustRightInd w:val="0"/>
        <w:spacing w:after="0" w:line="240" w:lineRule="auto"/>
        <w:rPr>
          <w:rFonts w:ascii="Calibri" w:eastAsia="Times New Roman" w:hAnsi="Calibri" w:cs="Arial"/>
          <w:kern w:val="0"/>
          <w:lang w:eastAsia="es-CR"/>
          <w14:ligatures w14:val="none"/>
        </w:rPr>
      </w:pPr>
      <w:r w:rsidRPr="003C6AC7">
        <w:rPr>
          <w:rFonts w:ascii="Calibri" w:eastAsia="Times New Roman" w:hAnsi="Calibri" w:cs="Arial"/>
          <w:b/>
          <w:bCs/>
          <w:kern w:val="0"/>
          <w:lang w:val="es-ES_tradnl" w:eastAsia="es-CR"/>
          <w14:ligatures w14:val="none"/>
        </w:rPr>
        <w:t xml:space="preserve">III. </w:t>
      </w:r>
      <w:r w:rsidRPr="003C6AC7">
        <w:rPr>
          <w:rFonts w:ascii="Calibri" w:eastAsia="Calibri" w:hAnsi="Calibri" w:cs="Arial"/>
          <w:b/>
          <w:kern w:val="0"/>
          <w14:ligatures w14:val="none"/>
        </w:rPr>
        <w:t>Objetivos específicos</w:t>
      </w:r>
    </w:p>
    <w:p w14:paraId="1B5425C1" w14:textId="77777777" w:rsidR="003C6AC7" w:rsidRPr="003C6AC7" w:rsidRDefault="003C6AC7" w:rsidP="003C6AC7">
      <w:pPr>
        <w:widowControl w:val="0"/>
        <w:overflowPunct w:val="0"/>
        <w:autoSpaceDE w:val="0"/>
        <w:autoSpaceDN w:val="0"/>
        <w:adjustRightInd w:val="0"/>
        <w:spacing w:after="0" w:line="240" w:lineRule="auto"/>
        <w:rPr>
          <w:rFonts w:ascii="Calibri" w:eastAsia="Times New Roman" w:hAnsi="Calibri" w:cs="Arial"/>
          <w:kern w:val="0"/>
          <w:lang w:eastAsia="es-CR"/>
          <w14:ligatures w14:val="none"/>
        </w:rPr>
      </w:pPr>
    </w:p>
    <w:p w14:paraId="06391AEF"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3C6AC7">
        <w:rPr>
          <w:rFonts w:ascii="Calibri" w:eastAsia="Times New Roman" w:hAnsi="Calibri" w:cs="Arial"/>
          <w:kern w:val="0"/>
          <w:lang w:eastAsia="es-CR"/>
          <w14:ligatures w14:val="none"/>
        </w:rPr>
        <w:t xml:space="preserve">1. </w:t>
      </w:r>
      <w:r w:rsidRPr="003C6AC7">
        <w:rPr>
          <w:rFonts w:ascii="Calibri" w:eastAsia="Calibri" w:hAnsi="Calibri" w:cs="Arial"/>
          <w:kern w:val="0"/>
          <w14:ligatures w14:val="none"/>
        </w:rPr>
        <w:t>Identificar los principios teóricos de la hermenéutica (</w:t>
      </w:r>
      <w:proofErr w:type="spellStart"/>
      <w:r w:rsidRPr="003C6AC7">
        <w:rPr>
          <w:rFonts w:ascii="Calibri" w:eastAsia="Calibri" w:hAnsi="Calibri" w:cs="Arial"/>
          <w:i/>
          <w:kern w:val="0"/>
          <w14:ligatures w14:val="none"/>
        </w:rPr>
        <w:t>ars</w:t>
      </w:r>
      <w:proofErr w:type="spellEnd"/>
      <w:r w:rsidRPr="003C6AC7">
        <w:rPr>
          <w:rFonts w:ascii="Calibri" w:eastAsia="Calibri" w:hAnsi="Calibri" w:cs="Arial"/>
          <w:i/>
          <w:kern w:val="0"/>
          <w14:ligatures w14:val="none"/>
        </w:rPr>
        <w:t xml:space="preserve"> </w:t>
      </w:r>
      <w:proofErr w:type="spellStart"/>
      <w:r w:rsidRPr="003C6AC7">
        <w:rPr>
          <w:rFonts w:ascii="Calibri" w:eastAsia="Calibri" w:hAnsi="Calibri" w:cs="Arial"/>
          <w:i/>
          <w:kern w:val="0"/>
          <w14:ligatures w14:val="none"/>
        </w:rPr>
        <w:t>interpretandi</w:t>
      </w:r>
      <w:proofErr w:type="spellEnd"/>
      <w:r w:rsidRPr="003C6AC7">
        <w:rPr>
          <w:rFonts w:ascii="Calibri" w:eastAsia="Calibri" w:hAnsi="Calibri" w:cs="Arial"/>
          <w:kern w:val="0"/>
          <w14:ligatures w14:val="none"/>
        </w:rPr>
        <w:t xml:space="preserve">) como quehacer de otras disciplinas para que los y las estudiantes los tengan como referencia en su quehacer hermenéutico.  </w:t>
      </w:r>
    </w:p>
    <w:p w14:paraId="57CAFC2E"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p>
    <w:p w14:paraId="21395F7F"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3C6AC7">
        <w:rPr>
          <w:rFonts w:ascii="Calibri" w:eastAsia="Times New Roman" w:hAnsi="Calibri" w:cs="Arial"/>
          <w:kern w:val="0"/>
          <w:lang w:val="es-ES_tradnl" w:eastAsia="es-CR"/>
          <w14:ligatures w14:val="none"/>
        </w:rPr>
        <w:t xml:space="preserve">2. </w:t>
      </w:r>
      <w:r w:rsidRPr="003C6AC7">
        <w:rPr>
          <w:rFonts w:ascii="Calibri" w:eastAsia="Calibri" w:hAnsi="Calibri" w:cs="Arial"/>
          <w:kern w:val="0"/>
          <w14:ligatures w14:val="none"/>
        </w:rPr>
        <w:t xml:space="preserve">Señalar la relación con la exégesis y su uso en el campo de las ciencias bíblicas para que los y las estudiantes no desvinculen la tarea hermenéutica de la tarea exegética. </w:t>
      </w:r>
    </w:p>
    <w:p w14:paraId="311140C9"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p>
    <w:p w14:paraId="7DEF3AF4"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3C6AC7">
        <w:rPr>
          <w:rFonts w:ascii="Calibri" w:eastAsia="Times New Roman" w:hAnsi="Calibri" w:cs="Arial"/>
          <w:kern w:val="0"/>
          <w:lang w:val="es-ES_tradnl" w:eastAsia="es-CR"/>
          <w14:ligatures w14:val="none"/>
        </w:rPr>
        <w:t xml:space="preserve">3. </w:t>
      </w:r>
      <w:r w:rsidRPr="003C6AC7">
        <w:rPr>
          <w:rFonts w:ascii="Calibri" w:eastAsia="Calibri" w:hAnsi="Calibri" w:cs="Arial"/>
          <w:kern w:val="0"/>
          <w14:ligatures w14:val="none"/>
        </w:rPr>
        <w:t xml:space="preserve">Considerar la relación del mundo como texto y del mundo del texto desde la pluralidad, con el fin de crear consciencia en la necesidad de hacer una doble tarea hermenéutica: nuestro mundo y el texto.  </w:t>
      </w:r>
    </w:p>
    <w:p w14:paraId="5DB59DF9"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p>
    <w:p w14:paraId="1B7A32B3"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3C6AC7">
        <w:rPr>
          <w:rFonts w:ascii="Calibri" w:eastAsia="Times New Roman" w:hAnsi="Calibri" w:cs="Arial"/>
          <w:kern w:val="0"/>
          <w:lang w:val="es-ES_tradnl" w:eastAsia="es-CR"/>
          <w14:ligatures w14:val="none"/>
        </w:rPr>
        <w:t xml:space="preserve">4. </w:t>
      </w:r>
      <w:r w:rsidRPr="003C6AC7">
        <w:rPr>
          <w:rFonts w:ascii="Calibri" w:eastAsia="Calibri" w:hAnsi="Calibri" w:cs="Arial"/>
          <w:kern w:val="0"/>
          <w14:ligatures w14:val="none"/>
        </w:rPr>
        <w:t xml:space="preserve">Desarrollar destrezas para la aproximación hermenéutica a la formación de los textos, el proceso de relectura al interior de la biblia y la formación del canon como acto hermenéutico, con el fin de que los y las estudiantes reflexionen sobre los procesos de relectura en los actos hermenéuticos. </w:t>
      </w:r>
    </w:p>
    <w:p w14:paraId="39F7BD51"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p>
    <w:p w14:paraId="7026A06B"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3C6AC7">
        <w:rPr>
          <w:rFonts w:ascii="Calibri" w:eastAsia="Times New Roman" w:hAnsi="Calibri" w:cs="Arial"/>
          <w:kern w:val="0"/>
          <w:lang w:val="es-ES_tradnl" w:eastAsia="es-CR"/>
          <w14:ligatures w14:val="none"/>
        </w:rPr>
        <w:t xml:space="preserve">5. </w:t>
      </w:r>
      <w:r w:rsidRPr="003C6AC7">
        <w:rPr>
          <w:rFonts w:ascii="Calibri" w:eastAsia="Calibri" w:hAnsi="Calibri" w:cs="Arial"/>
          <w:kern w:val="0"/>
          <w14:ligatures w14:val="none"/>
        </w:rPr>
        <w:t xml:space="preserve">Distinguir el proceso hermenéutico en la lectura de los textos bíblicos para que </w:t>
      </w:r>
      <w:proofErr w:type="spellStart"/>
      <w:r w:rsidRPr="003C6AC7">
        <w:rPr>
          <w:rFonts w:ascii="Calibri" w:eastAsia="Calibri" w:hAnsi="Calibri" w:cs="Arial"/>
          <w:kern w:val="0"/>
          <w14:ligatures w14:val="none"/>
        </w:rPr>
        <w:t>el</w:t>
      </w:r>
      <w:proofErr w:type="spellEnd"/>
      <w:r w:rsidRPr="003C6AC7">
        <w:rPr>
          <w:rFonts w:ascii="Calibri" w:eastAsia="Calibri" w:hAnsi="Calibri" w:cs="Arial"/>
          <w:kern w:val="0"/>
          <w14:ligatures w14:val="none"/>
        </w:rPr>
        <w:t xml:space="preserve"> o la estudiante ponga en práctica siempre las habilidades exegéticas-hermenéuticas requeridas. </w:t>
      </w:r>
    </w:p>
    <w:p w14:paraId="14E51A77"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p>
    <w:p w14:paraId="343508CB"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3C6AC7">
        <w:rPr>
          <w:rFonts w:ascii="Calibri" w:eastAsia="Times New Roman" w:hAnsi="Calibri" w:cs="Arial"/>
          <w:kern w:val="0"/>
          <w:lang w:val="es-ES_tradnl" w:eastAsia="es-CR"/>
          <w14:ligatures w14:val="none"/>
        </w:rPr>
        <w:t xml:space="preserve">6. </w:t>
      </w:r>
      <w:r w:rsidRPr="003C6AC7">
        <w:rPr>
          <w:rFonts w:ascii="Calibri" w:eastAsia="Calibri" w:hAnsi="Calibri" w:cs="Arial"/>
          <w:kern w:val="0"/>
          <w14:ligatures w14:val="none"/>
        </w:rPr>
        <w:t xml:space="preserve">Identificar la polisemia de los textos y las posibilidades de lectura múltiples a partir de la reserva y acumulación de sentido, con el fin de enriquecer la situación propia y el círculo hermenéutico que se produce creativamente. </w:t>
      </w:r>
    </w:p>
    <w:p w14:paraId="719F2B1C"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p>
    <w:p w14:paraId="0245C970"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3C6AC7">
        <w:rPr>
          <w:rFonts w:ascii="Calibri" w:eastAsia="Times New Roman" w:hAnsi="Calibri" w:cs="Arial"/>
          <w:kern w:val="0"/>
          <w:lang w:val="es-ES_tradnl" w:eastAsia="es-CR"/>
          <w14:ligatures w14:val="none"/>
        </w:rPr>
        <w:t xml:space="preserve">7. Promover una conciencia crítica de los propios acercamientos, tanto a la Biblia como a la realidad social, para que los y las estudiantes puedan revisar y transformar sus propios acercamientos al texto bíblico y al texto social actual. </w:t>
      </w:r>
    </w:p>
    <w:p w14:paraId="4A4D6F54"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p>
    <w:p w14:paraId="17B4D8B7"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kern w:val="0"/>
          <w:lang w:val="es-ES_tradnl" w:eastAsia="es-CR"/>
          <w14:ligatures w14:val="none"/>
        </w:rPr>
      </w:pPr>
      <w:r w:rsidRPr="003C6AC7">
        <w:rPr>
          <w:rFonts w:ascii="Calibri" w:eastAsia="Times New Roman" w:hAnsi="Calibri" w:cs="Arial"/>
          <w:b/>
          <w:bCs/>
          <w:kern w:val="0"/>
          <w:lang w:val="es-ES_tradnl" w:eastAsia="es-CR"/>
          <w14:ligatures w14:val="none"/>
        </w:rPr>
        <w:t xml:space="preserve">IV. </w:t>
      </w:r>
      <w:r w:rsidRPr="003C6AC7">
        <w:rPr>
          <w:rFonts w:ascii="Calibri" w:eastAsia="Calibri" w:hAnsi="Calibri" w:cs="Arial"/>
          <w:b/>
          <w:kern w:val="0"/>
          <w14:ligatures w14:val="none"/>
        </w:rPr>
        <w:t xml:space="preserve">Contenidos temáticos </w:t>
      </w:r>
    </w:p>
    <w:p w14:paraId="0FEA9DE1" w14:textId="77777777" w:rsidR="003C6AC7" w:rsidRPr="003C6AC7" w:rsidRDefault="003C6AC7" w:rsidP="003C6AC7">
      <w:pPr>
        <w:spacing w:after="0" w:line="240" w:lineRule="auto"/>
        <w:jc w:val="both"/>
        <w:rPr>
          <w:rFonts w:ascii="Calibri" w:eastAsia="Calibri" w:hAnsi="Calibri" w:cs="Arial"/>
          <w:b/>
          <w:kern w:val="0"/>
          <w14:ligatures w14:val="none"/>
        </w:rPr>
      </w:pPr>
    </w:p>
    <w:p w14:paraId="36B77976" w14:textId="77777777" w:rsidR="003C6AC7" w:rsidRPr="003C6AC7" w:rsidRDefault="003C6AC7" w:rsidP="003C6AC7">
      <w:pPr>
        <w:spacing w:after="0" w:line="240" w:lineRule="auto"/>
        <w:jc w:val="both"/>
        <w:rPr>
          <w:rFonts w:ascii="Calibri" w:eastAsia="Calibri" w:hAnsi="Calibri" w:cs="Arial"/>
          <w:b/>
          <w:kern w:val="0"/>
          <w14:ligatures w14:val="none"/>
        </w:rPr>
      </w:pPr>
      <w:r w:rsidRPr="003C6AC7">
        <w:rPr>
          <w:rFonts w:ascii="Calibri" w:eastAsia="Calibri" w:hAnsi="Calibri" w:cs="Arial"/>
          <w:b/>
          <w:kern w:val="0"/>
          <w14:ligatures w14:val="none"/>
        </w:rPr>
        <w:t>Unidad 1: Hermenéutica: aproximación histórica y conceptual</w:t>
      </w:r>
    </w:p>
    <w:p w14:paraId="37BB6A9A" w14:textId="77777777" w:rsidR="003C6AC7" w:rsidRPr="003C6AC7" w:rsidRDefault="003C6AC7" w:rsidP="003C6AC7">
      <w:pPr>
        <w:spacing w:after="0" w:line="240" w:lineRule="auto"/>
        <w:jc w:val="both"/>
        <w:rPr>
          <w:rFonts w:ascii="Calibri" w:eastAsia="Calibri" w:hAnsi="Calibri" w:cs="Arial"/>
          <w:b/>
          <w:kern w:val="0"/>
          <w14:ligatures w14:val="none"/>
        </w:rPr>
      </w:pPr>
    </w:p>
    <w:p w14:paraId="2BF55B68" w14:textId="77777777" w:rsidR="003C6AC7" w:rsidRPr="003C6AC7" w:rsidRDefault="003C6AC7" w:rsidP="003C6AC7">
      <w:pPr>
        <w:spacing w:after="0" w:line="240" w:lineRule="auto"/>
        <w:jc w:val="both"/>
        <w:rPr>
          <w:rFonts w:ascii="Calibri" w:eastAsia="Calibri" w:hAnsi="Calibri" w:cs="Arial"/>
          <w:b/>
          <w:kern w:val="0"/>
          <w14:ligatures w14:val="none"/>
        </w:rPr>
      </w:pPr>
      <w:r w:rsidRPr="003C6AC7">
        <w:rPr>
          <w:rFonts w:ascii="Calibri" w:eastAsia="Calibri" w:hAnsi="Calibri" w:cs="Arial"/>
          <w:bCs/>
          <w:kern w:val="0"/>
          <w14:ligatures w14:val="none"/>
        </w:rPr>
        <w:t xml:space="preserve">1.1 </w:t>
      </w:r>
      <w:r w:rsidRPr="003C6AC7">
        <w:rPr>
          <w:rFonts w:ascii="Calibri" w:eastAsia="Calibri" w:hAnsi="Calibri" w:cs="Arial"/>
          <w:kern w:val="0"/>
          <w14:ligatures w14:val="none"/>
        </w:rPr>
        <w:t>La comprensión como problema hermenéutico</w:t>
      </w:r>
    </w:p>
    <w:p w14:paraId="7EC066DD"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1.2 La hermenéutica y las ciencias sociales</w:t>
      </w:r>
    </w:p>
    <w:p w14:paraId="3637346E"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1.3 El mundo como texto y el mundo del texto</w:t>
      </w:r>
    </w:p>
    <w:p w14:paraId="7EE33B72" w14:textId="77777777" w:rsidR="003C6AC7" w:rsidRPr="003C6AC7" w:rsidRDefault="003C6AC7" w:rsidP="003C6AC7">
      <w:pPr>
        <w:spacing w:after="0" w:line="240" w:lineRule="auto"/>
        <w:ind w:left="450"/>
        <w:jc w:val="both"/>
        <w:rPr>
          <w:rFonts w:ascii="Calibri" w:eastAsia="Calibri" w:hAnsi="Calibri" w:cs="Arial"/>
          <w:kern w:val="0"/>
          <w14:ligatures w14:val="none"/>
        </w:rPr>
      </w:pPr>
    </w:p>
    <w:p w14:paraId="6E6C7C4C" w14:textId="77777777" w:rsidR="003C6AC7" w:rsidRPr="003C6AC7" w:rsidRDefault="003C6AC7" w:rsidP="003C6AC7">
      <w:pPr>
        <w:spacing w:after="0" w:line="240" w:lineRule="auto"/>
        <w:jc w:val="both"/>
        <w:rPr>
          <w:rFonts w:ascii="Calibri" w:eastAsia="Calibri" w:hAnsi="Calibri" w:cs="Arial"/>
          <w:b/>
          <w:kern w:val="0"/>
          <w14:ligatures w14:val="none"/>
        </w:rPr>
      </w:pPr>
      <w:r w:rsidRPr="003C6AC7">
        <w:rPr>
          <w:rFonts w:ascii="Calibri" w:eastAsia="Calibri" w:hAnsi="Calibri" w:cs="Arial"/>
          <w:b/>
          <w:kern w:val="0"/>
          <w14:ligatures w14:val="none"/>
        </w:rPr>
        <w:t>Unidad 2: El proceso hermenéutico de la formación de los textos</w:t>
      </w:r>
    </w:p>
    <w:p w14:paraId="52E9616D" w14:textId="77777777" w:rsidR="003C6AC7" w:rsidRPr="003C6AC7" w:rsidRDefault="003C6AC7" w:rsidP="003C6AC7">
      <w:pPr>
        <w:spacing w:after="0" w:line="240" w:lineRule="auto"/>
        <w:jc w:val="both"/>
        <w:rPr>
          <w:rFonts w:ascii="Calibri" w:eastAsia="Calibri" w:hAnsi="Calibri" w:cs="Arial"/>
          <w:b/>
          <w:kern w:val="0"/>
          <w14:ligatures w14:val="none"/>
        </w:rPr>
      </w:pPr>
    </w:p>
    <w:p w14:paraId="5E4B6923" w14:textId="77777777" w:rsidR="003C6AC7" w:rsidRPr="003C6AC7" w:rsidRDefault="003C6AC7" w:rsidP="003C6AC7">
      <w:pPr>
        <w:spacing w:after="0" w:line="240" w:lineRule="auto"/>
        <w:jc w:val="both"/>
        <w:rPr>
          <w:rFonts w:ascii="Calibri" w:eastAsia="Calibri" w:hAnsi="Calibri" w:cs="Arial"/>
          <w:b/>
          <w:kern w:val="0"/>
          <w14:ligatures w14:val="none"/>
        </w:rPr>
      </w:pPr>
      <w:r w:rsidRPr="003C6AC7">
        <w:rPr>
          <w:rFonts w:ascii="Calibri" w:eastAsia="Calibri" w:hAnsi="Calibri" w:cs="Arial"/>
          <w:bCs/>
          <w:kern w:val="0"/>
          <w14:ligatures w14:val="none"/>
        </w:rPr>
        <w:t xml:space="preserve">2.1 </w:t>
      </w:r>
      <w:r w:rsidRPr="003C6AC7">
        <w:rPr>
          <w:rFonts w:ascii="Calibri" w:eastAsia="Calibri" w:hAnsi="Calibri" w:cs="Arial"/>
          <w:kern w:val="0"/>
          <w14:ligatures w14:val="none"/>
        </w:rPr>
        <w:t>La Biblia como texto sagrado en la tradición judeocristiana</w:t>
      </w:r>
    </w:p>
    <w:p w14:paraId="0E0D5C0E"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2.2 La formación de los textos y el proceso de relectura</w:t>
      </w:r>
    </w:p>
    <w:p w14:paraId="31912DA0"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2.3 La formación del canon como acto hermenéutico</w:t>
      </w:r>
    </w:p>
    <w:p w14:paraId="299010DE" w14:textId="77777777" w:rsidR="003C6AC7" w:rsidRPr="003C6AC7" w:rsidRDefault="003C6AC7" w:rsidP="003C6AC7">
      <w:pPr>
        <w:overflowPunct w:val="0"/>
        <w:autoSpaceDE w:val="0"/>
        <w:autoSpaceDN w:val="0"/>
        <w:adjustRightInd w:val="0"/>
        <w:spacing w:after="0" w:line="240" w:lineRule="auto"/>
        <w:jc w:val="both"/>
        <w:rPr>
          <w:rFonts w:ascii="Calibri" w:eastAsia="Calibri" w:hAnsi="Calibri" w:cs="Arial"/>
          <w:b/>
          <w:bCs/>
          <w:kern w:val="0"/>
          <w14:ligatures w14:val="none"/>
        </w:rPr>
      </w:pPr>
    </w:p>
    <w:p w14:paraId="16E3E1E7" w14:textId="77777777" w:rsidR="003C6AC7" w:rsidRPr="003C6AC7" w:rsidRDefault="003C6AC7" w:rsidP="003C6AC7">
      <w:pPr>
        <w:spacing w:after="0" w:line="240" w:lineRule="auto"/>
        <w:jc w:val="both"/>
        <w:rPr>
          <w:rFonts w:ascii="Calibri" w:eastAsia="Calibri" w:hAnsi="Calibri" w:cs="Arial"/>
          <w:b/>
          <w:kern w:val="0"/>
          <w14:ligatures w14:val="none"/>
        </w:rPr>
      </w:pPr>
      <w:r w:rsidRPr="003C6AC7">
        <w:rPr>
          <w:rFonts w:ascii="Calibri" w:eastAsia="Calibri" w:hAnsi="Calibri" w:cs="Arial"/>
          <w:b/>
          <w:kern w:val="0"/>
          <w14:ligatures w14:val="none"/>
        </w:rPr>
        <w:t>Unidad 3: Hermenéutica y Teología en la lectura de los textos/discursos</w:t>
      </w:r>
    </w:p>
    <w:p w14:paraId="3F5E18CF" w14:textId="77777777" w:rsidR="003C6AC7" w:rsidRPr="003C6AC7" w:rsidRDefault="003C6AC7" w:rsidP="003C6AC7">
      <w:pPr>
        <w:spacing w:after="0" w:line="240" w:lineRule="auto"/>
        <w:jc w:val="both"/>
        <w:rPr>
          <w:rFonts w:ascii="Calibri" w:eastAsia="Calibri" w:hAnsi="Calibri" w:cs="Arial"/>
          <w:b/>
          <w:kern w:val="0"/>
          <w14:ligatures w14:val="none"/>
        </w:rPr>
      </w:pPr>
    </w:p>
    <w:p w14:paraId="17EA9864" w14:textId="77777777" w:rsidR="003C6AC7" w:rsidRPr="003C6AC7" w:rsidRDefault="003C6AC7" w:rsidP="003C6AC7">
      <w:pPr>
        <w:spacing w:after="0" w:line="240" w:lineRule="auto"/>
        <w:jc w:val="both"/>
        <w:rPr>
          <w:rFonts w:ascii="Calibri" w:eastAsia="Calibri" w:hAnsi="Calibri" w:cs="Arial"/>
          <w:b/>
          <w:kern w:val="0"/>
          <w14:ligatures w14:val="none"/>
        </w:rPr>
      </w:pPr>
      <w:r w:rsidRPr="003C6AC7">
        <w:rPr>
          <w:rFonts w:ascii="Calibri" w:eastAsia="Calibri" w:hAnsi="Calibri" w:cs="Arial"/>
          <w:bCs/>
          <w:kern w:val="0"/>
          <w14:ligatures w14:val="none"/>
        </w:rPr>
        <w:t xml:space="preserve">3.1 </w:t>
      </w:r>
      <w:r w:rsidRPr="003C6AC7">
        <w:rPr>
          <w:rFonts w:ascii="Calibri" w:eastAsia="Calibri" w:hAnsi="Calibri" w:cs="Arial"/>
          <w:kern w:val="0"/>
          <w14:ligatures w14:val="none"/>
        </w:rPr>
        <w:t>La reserva de sentido y el crecimiento del texto en el proceso hermenéutico</w:t>
      </w:r>
    </w:p>
    <w:p w14:paraId="1DE4E9FB"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3.2 El círculo hermenéutico y el conflicto de interpretaciones</w:t>
      </w:r>
    </w:p>
    <w:p w14:paraId="71F0F7C1"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 xml:space="preserve">3.3 Teología y praxis </w:t>
      </w:r>
    </w:p>
    <w:p w14:paraId="445DA272" w14:textId="77777777" w:rsidR="003C6AC7" w:rsidRPr="003C6AC7" w:rsidRDefault="003C6AC7" w:rsidP="003C6AC7">
      <w:pPr>
        <w:spacing w:after="0" w:line="240" w:lineRule="auto"/>
        <w:jc w:val="both"/>
        <w:rPr>
          <w:rFonts w:ascii="Calibri" w:eastAsia="Calibri" w:hAnsi="Calibri" w:cs="Arial"/>
          <w:kern w:val="0"/>
          <w14:ligatures w14:val="none"/>
        </w:rPr>
      </w:pPr>
    </w:p>
    <w:p w14:paraId="572DC8A7" w14:textId="77777777" w:rsidR="003C6AC7" w:rsidRPr="003C6AC7" w:rsidRDefault="003C6AC7" w:rsidP="003C6AC7">
      <w:pPr>
        <w:spacing w:after="0" w:line="240" w:lineRule="auto"/>
        <w:jc w:val="both"/>
        <w:rPr>
          <w:rFonts w:ascii="Calibri" w:eastAsia="Calibri" w:hAnsi="Calibri" w:cs="Arial"/>
          <w:b/>
          <w:kern w:val="0"/>
          <w14:ligatures w14:val="none"/>
        </w:rPr>
      </w:pPr>
      <w:r w:rsidRPr="003C6AC7">
        <w:rPr>
          <w:rFonts w:ascii="Calibri" w:eastAsia="Calibri" w:hAnsi="Calibri" w:cs="Arial"/>
          <w:b/>
          <w:kern w:val="0"/>
          <w14:ligatures w14:val="none"/>
        </w:rPr>
        <w:t>Unidad 4: Diversas lecturas bíblicas actuales</w:t>
      </w:r>
    </w:p>
    <w:p w14:paraId="12779553" w14:textId="77777777" w:rsidR="003C6AC7" w:rsidRPr="003C6AC7" w:rsidRDefault="003C6AC7" w:rsidP="003C6AC7">
      <w:pPr>
        <w:spacing w:after="0" w:line="240" w:lineRule="auto"/>
        <w:jc w:val="both"/>
        <w:rPr>
          <w:rFonts w:ascii="Calibri" w:eastAsia="Calibri" w:hAnsi="Calibri" w:cs="Arial"/>
          <w:b/>
          <w:kern w:val="0"/>
          <w14:ligatures w14:val="none"/>
        </w:rPr>
      </w:pPr>
    </w:p>
    <w:p w14:paraId="10A83EC9" w14:textId="77777777" w:rsidR="003C6AC7" w:rsidRPr="003C6AC7" w:rsidRDefault="003C6AC7" w:rsidP="003C6AC7">
      <w:pPr>
        <w:spacing w:after="0" w:line="240" w:lineRule="auto"/>
        <w:jc w:val="both"/>
        <w:rPr>
          <w:rFonts w:ascii="Calibri" w:eastAsia="Calibri" w:hAnsi="Calibri" w:cs="Arial"/>
          <w:b/>
          <w:kern w:val="0"/>
          <w14:ligatures w14:val="none"/>
        </w:rPr>
      </w:pPr>
      <w:r w:rsidRPr="003C6AC7">
        <w:rPr>
          <w:rFonts w:ascii="Calibri" w:eastAsia="Calibri" w:hAnsi="Calibri" w:cs="Arial"/>
          <w:bCs/>
          <w:kern w:val="0"/>
          <w14:ligatures w14:val="none"/>
        </w:rPr>
        <w:t xml:space="preserve">4.1 </w:t>
      </w:r>
      <w:r w:rsidRPr="003C6AC7">
        <w:rPr>
          <w:rFonts w:ascii="Calibri" w:eastAsia="Calibri" w:hAnsi="Calibri" w:cs="Arial"/>
          <w:kern w:val="0"/>
          <w14:ligatures w14:val="none"/>
        </w:rPr>
        <w:t>Hermenéutica feminista y literatura latinoamericana</w:t>
      </w:r>
    </w:p>
    <w:p w14:paraId="217D7040"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4.2 Hermenéutica indígena y religiosidad popular</w:t>
      </w:r>
    </w:p>
    <w:p w14:paraId="644808CF"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4.3 Hermenéutica intercultural y cine</w:t>
      </w:r>
    </w:p>
    <w:p w14:paraId="3A86EAEE"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4.4 Ensayo final</w:t>
      </w:r>
    </w:p>
    <w:p w14:paraId="64EF7E5B" w14:textId="77777777" w:rsidR="003C6AC7" w:rsidRPr="003C6AC7" w:rsidRDefault="003C6AC7" w:rsidP="003C6AC7">
      <w:pPr>
        <w:spacing w:after="0" w:line="240" w:lineRule="auto"/>
        <w:jc w:val="both"/>
        <w:rPr>
          <w:rFonts w:ascii="Calibri" w:eastAsia="Calibri" w:hAnsi="Calibri" w:cs="Arial"/>
          <w:kern w:val="0"/>
          <w14:ligatures w14:val="none"/>
        </w:rPr>
      </w:pPr>
    </w:p>
    <w:p w14:paraId="52CF575A" w14:textId="77777777" w:rsidR="003C6AC7" w:rsidRPr="003C6AC7" w:rsidRDefault="003C6AC7" w:rsidP="003C6AC7">
      <w:pPr>
        <w:spacing w:after="0" w:line="240" w:lineRule="auto"/>
        <w:jc w:val="both"/>
        <w:rPr>
          <w:rFonts w:ascii="Calibri" w:eastAsia="Calibri" w:hAnsi="Calibri" w:cs="Arial"/>
          <w:b/>
          <w:bCs/>
          <w:kern w:val="0"/>
          <w14:ligatures w14:val="none"/>
        </w:rPr>
      </w:pPr>
      <w:r w:rsidRPr="003C6AC7">
        <w:rPr>
          <w:rFonts w:ascii="Calibri" w:eastAsia="Calibri" w:hAnsi="Calibri" w:cs="Arial"/>
          <w:b/>
          <w:bCs/>
          <w:kern w:val="0"/>
          <w14:ligatures w14:val="none"/>
        </w:rPr>
        <w:t>V. Metodología</w:t>
      </w:r>
    </w:p>
    <w:p w14:paraId="7756FFEB" w14:textId="77777777" w:rsidR="003C6AC7" w:rsidRPr="003C6AC7" w:rsidRDefault="003C6AC7" w:rsidP="003C6AC7">
      <w:pPr>
        <w:spacing w:after="0" w:line="240" w:lineRule="auto"/>
        <w:jc w:val="both"/>
        <w:rPr>
          <w:rFonts w:ascii="Calibri" w:eastAsia="Calibri" w:hAnsi="Calibri" w:cs="Arial"/>
          <w:b/>
          <w:bCs/>
          <w:kern w:val="0"/>
          <w14:ligatures w14:val="none"/>
        </w:rPr>
      </w:pPr>
    </w:p>
    <w:p w14:paraId="5FA4CD9C"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5070C199" w14:textId="77777777" w:rsidR="003C6AC7" w:rsidRPr="003C6AC7" w:rsidRDefault="003C6AC7" w:rsidP="003C6AC7">
      <w:pPr>
        <w:spacing w:after="0" w:line="240" w:lineRule="auto"/>
        <w:jc w:val="both"/>
        <w:rPr>
          <w:rFonts w:ascii="Calibri" w:eastAsia="Calibri" w:hAnsi="Calibri" w:cs="Arial"/>
          <w:kern w:val="0"/>
          <w14:ligatures w14:val="none"/>
        </w:rPr>
      </w:pPr>
    </w:p>
    <w:p w14:paraId="10BFE1F4" w14:textId="77777777" w:rsidR="003C6AC7" w:rsidRPr="003C6AC7" w:rsidRDefault="003C6AC7" w:rsidP="003C6AC7">
      <w:pPr>
        <w:spacing w:after="0" w:line="240" w:lineRule="auto"/>
        <w:jc w:val="both"/>
        <w:rPr>
          <w:rFonts w:ascii="Calibri" w:eastAsia="Times New Roman" w:hAnsi="Calibri" w:cs="Arial"/>
          <w:kern w:val="0"/>
          <w:lang w:val="es-ES" w:eastAsia="es-ES"/>
          <w14:ligatures w14:val="none"/>
        </w:rPr>
      </w:pPr>
      <w:r w:rsidRPr="003C6AC7">
        <w:rPr>
          <w:rFonts w:ascii="Calibri" w:eastAsia="Times New Roman" w:hAnsi="Calibri" w:cs="Arial"/>
          <w:kern w:val="0"/>
          <w:lang w:val="es-ES_tradnl" w:eastAsia="es-CR"/>
          <w14:ligatures w14:val="none"/>
        </w:rPr>
        <w:t>La metodología estará orientada a analizar y relacionar la teoría hermenéutica con el estudio y la comprensión de los textos bíblicos desde los distintos contextos socioculturales.</w:t>
      </w:r>
      <w:r w:rsidRPr="003C6AC7">
        <w:rPr>
          <w:rFonts w:ascii="Calibri" w:eastAsia="Times New Roman" w:hAnsi="Calibri" w:cs="Arial"/>
          <w:bCs/>
          <w:kern w:val="0"/>
          <w:lang w:val="es-ES_tradnl" w:eastAsia="es-CR"/>
          <w14:ligatures w14:val="none"/>
        </w:rPr>
        <w:t xml:space="preserve"> En ese sentido, las exposiciones docentes a través de encuentros sincrónicos virtuales son fundamentales para introducir las unidades de estudio.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Al mismo tiempo, mediante estos se acompañará el trabajo práctico de análisis de textos por parte de los y las estudiantes. También s</w:t>
      </w:r>
      <w:r w:rsidRPr="003C6AC7">
        <w:rPr>
          <w:rFonts w:ascii="Calibri" w:eastAsia="Times New Roman" w:hAnsi="Calibri" w:cs="Arial"/>
          <w:kern w:val="0"/>
          <w:lang w:val="es-ES_tradnl" w:eastAsia="es-CR"/>
          <w14:ligatures w14:val="none"/>
        </w:rPr>
        <w:t xml:space="preserve">e enfatizará el trabajo personal y grupal en los procesos de aprendizaje. </w:t>
      </w:r>
      <w:r w:rsidRPr="003C6AC7">
        <w:rPr>
          <w:rFonts w:ascii="Calibri" w:eastAsia="Times New Roman" w:hAnsi="Calibri" w:cs="Arial"/>
          <w:kern w:val="0"/>
          <w:lang w:val="es-ES" w:eastAsia="es-ES"/>
          <w14:ligatures w14:val="none"/>
        </w:rPr>
        <w:t xml:space="preserve">Los y las estudiantes tendrán la responsabilidad de realizar las lecturas y el trabajo asignado en cada una de las sesiones. </w:t>
      </w:r>
    </w:p>
    <w:p w14:paraId="2C4BF92D" w14:textId="77777777" w:rsidR="003C6AC7" w:rsidRPr="003C6AC7" w:rsidRDefault="003C6AC7" w:rsidP="003C6AC7">
      <w:pPr>
        <w:spacing w:after="0" w:line="240" w:lineRule="auto"/>
        <w:jc w:val="both"/>
        <w:rPr>
          <w:rFonts w:ascii="Calibri" w:eastAsia="Times New Roman" w:hAnsi="Calibri" w:cs="Arial"/>
          <w:kern w:val="0"/>
          <w:lang w:val="es-ES" w:eastAsia="es-ES"/>
          <w14:ligatures w14:val="none"/>
        </w:rPr>
      </w:pPr>
    </w:p>
    <w:p w14:paraId="79A2FB47" w14:textId="77777777" w:rsidR="003C6AC7" w:rsidRPr="003C6AC7" w:rsidRDefault="003C6AC7" w:rsidP="003C6AC7">
      <w:pPr>
        <w:spacing w:after="0" w:line="240" w:lineRule="auto"/>
        <w:jc w:val="both"/>
        <w:rPr>
          <w:rFonts w:ascii="Calibri" w:eastAsia="Times New Roman" w:hAnsi="Calibri" w:cs="Arial"/>
          <w:bCs/>
          <w:kern w:val="0"/>
          <w:lang w:val="es-ES_tradnl" w:eastAsia="es-CR"/>
          <w14:ligatures w14:val="none"/>
        </w:rPr>
      </w:pPr>
      <w:r w:rsidRPr="003C6AC7">
        <w:rPr>
          <w:rFonts w:ascii="Calibri" w:eastAsia="Times New Roman" w:hAnsi="Calibri" w:cs="Arial"/>
          <w:kern w:val="0"/>
          <w:lang w:val="es-ES" w:eastAsia="es-ES"/>
          <w14:ligatures w14:val="none"/>
        </w:rPr>
        <w:t xml:space="preserve">Durante el curso se privilegiará el debate virtual crítico reflexivo por parte de los y las estudiantes sobre los aportes de los autores y de la persona docente, haciendo un puente con su propio conocimiento. </w:t>
      </w:r>
      <w:r w:rsidRPr="003C6AC7">
        <w:rPr>
          <w:rFonts w:ascii="Calibri" w:eastAsia="Times New Roman" w:hAnsi="Calibri" w:cs="Arial"/>
          <w:kern w:val="0"/>
          <w:lang w:val="es-ES_tradnl" w:eastAsia="es-CR"/>
          <w14:ligatures w14:val="none"/>
        </w:rPr>
        <w:t xml:space="preserve">El papel de la persona docente consistirá en ser mediadora o facilitadora del proceso de aprendizaje. </w:t>
      </w:r>
      <w:r w:rsidRPr="003C6AC7">
        <w:rPr>
          <w:rFonts w:ascii="Calibri" w:eastAsia="Times New Roman" w:hAnsi="Calibri" w:cs="Arial"/>
          <w:kern w:val="0"/>
          <w:lang w:val="es-ES" w:eastAsia="es-ES"/>
          <w14:ligatures w14:val="none"/>
        </w:rPr>
        <w:t>El curso posibilitará la sistematización de las corrientes de pensamiento alrededor de la hermenéutica bíblica, así como su relación con la exégesis bíblica, propiciando la reflexión y adquisición de destrezas en los procesos hermenéuticos en el campo del trabajo bíblico.</w:t>
      </w:r>
    </w:p>
    <w:p w14:paraId="7C8EBB04" w14:textId="77777777" w:rsidR="003C6AC7" w:rsidRPr="003C6AC7" w:rsidRDefault="003C6AC7" w:rsidP="003C6AC7">
      <w:pPr>
        <w:spacing w:after="0" w:line="240" w:lineRule="auto"/>
        <w:jc w:val="both"/>
        <w:rPr>
          <w:rFonts w:ascii="Calibri" w:eastAsia="Times New Roman" w:hAnsi="Calibri" w:cs="Arial"/>
          <w:b/>
          <w:bCs/>
          <w:kern w:val="0"/>
          <w:lang w:val="es-ES_tradnl" w:eastAsia="es-CR"/>
          <w14:ligatures w14:val="none"/>
        </w:rPr>
      </w:pPr>
    </w:p>
    <w:p w14:paraId="0AA97BC5" w14:textId="77777777" w:rsidR="003C6AC7" w:rsidRPr="003C6AC7" w:rsidRDefault="003C6AC7" w:rsidP="003C6AC7">
      <w:pPr>
        <w:spacing w:after="0" w:line="240" w:lineRule="auto"/>
        <w:jc w:val="both"/>
        <w:rPr>
          <w:rFonts w:ascii="Calibri" w:eastAsia="Times New Roman" w:hAnsi="Calibri" w:cs="Arial"/>
          <w:b/>
          <w:bCs/>
          <w:kern w:val="0"/>
          <w:lang w:val="es-ES_tradnl" w:eastAsia="es-CR"/>
          <w14:ligatures w14:val="none"/>
        </w:rPr>
      </w:pPr>
    </w:p>
    <w:p w14:paraId="22FDFD06" w14:textId="77777777" w:rsidR="003C6AC7" w:rsidRPr="003C6AC7" w:rsidRDefault="003C6AC7" w:rsidP="003C6AC7">
      <w:pPr>
        <w:spacing w:after="0" w:line="240" w:lineRule="auto"/>
        <w:jc w:val="both"/>
        <w:rPr>
          <w:rFonts w:ascii="Calibri" w:eastAsia="Times New Roman" w:hAnsi="Calibri" w:cs="Arial"/>
          <w:b/>
          <w:bCs/>
          <w:kern w:val="0"/>
          <w:lang w:val="es-ES_tradnl" w:eastAsia="es-CR"/>
          <w14:ligatures w14:val="none"/>
        </w:rPr>
      </w:pPr>
    </w:p>
    <w:p w14:paraId="04E09B76" w14:textId="77777777" w:rsidR="003C6AC7" w:rsidRPr="003C6AC7" w:rsidRDefault="003C6AC7" w:rsidP="003C6AC7">
      <w:pPr>
        <w:spacing w:after="0" w:line="240" w:lineRule="auto"/>
        <w:jc w:val="both"/>
        <w:rPr>
          <w:rFonts w:ascii="Calibri" w:eastAsia="Calibri" w:hAnsi="Calibri" w:cs="Arial"/>
          <w:b/>
          <w:kern w:val="0"/>
          <w14:ligatures w14:val="none"/>
        </w:rPr>
      </w:pPr>
      <w:r w:rsidRPr="003C6AC7">
        <w:rPr>
          <w:rFonts w:ascii="Calibri" w:eastAsia="Times New Roman" w:hAnsi="Calibri" w:cs="Arial"/>
          <w:b/>
          <w:bCs/>
          <w:kern w:val="0"/>
          <w:lang w:val="es-ES_tradnl" w:eastAsia="es-CR"/>
          <w14:ligatures w14:val="none"/>
        </w:rPr>
        <w:lastRenderedPageBreak/>
        <w:t xml:space="preserve">VI. </w:t>
      </w:r>
      <w:r w:rsidRPr="003C6AC7">
        <w:rPr>
          <w:rFonts w:ascii="Calibri" w:eastAsia="Calibri" w:hAnsi="Calibri" w:cs="Arial"/>
          <w:b/>
          <w:kern w:val="0"/>
          <w14:ligatures w14:val="none"/>
        </w:rPr>
        <w:t>Estrategias de aprendizaje</w:t>
      </w:r>
    </w:p>
    <w:p w14:paraId="37B8ADE6" w14:textId="77777777" w:rsidR="003C6AC7" w:rsidRPr="003C6AC7" w:rsidRDefault="003C6AC7" w:rsidP="003C6AC7">
      <w:pPr>
        <w:spacing w:after="0" w:line="240" w:lineRule="auto"/>
        <w:jc w:val="both"/>
        <w:rPr>
          <w:rFonts w:ascii="Calibri" w:eastAsia="Calibri" w:hAnsi="Calibri" w:cs="Arial"/>
          <w:kern w:val="0"/>
          <w:lang w:val="es-ES" w:eastAsia="es-ES"/>
          <w14:ligatures w14:val="none"/>
        </w:rPr>
      </w:pPr>
    </w:p>
    <w:p w14:paraId="42F41497"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lang w:val="es-ES" w:eastAsia="es-ES"/>
          <w14:ligatures w14:val="none"/>
        </w:rPr>
        <w:t>De acuerdo con la metodología propuesta l</w:t>
      </w:r>
      <w:r w:rsidRPr="003C6AC7">
        <w:rPr>
          <w:rFonts w:ascii="Calibri" w:eastAsia="Calibri" w:hAnsi="Calibri" w:cs="Arial"/>
          <w:kern w:val="0"/>
          <w14:ligatures w14:val="none"/>
        </w:rPr>
        <w:t>as estrategias de aprendizaje de este curso están orientadas a desarrollar conocimiento sobre las distintas corrientes hermenéuticas a través de un acercamiento crítico desde las lecturas asignadas. Esto los y las preparará para debatir dichos insumos teóricos en diferentes espacios en la plataforma Moodle.</w:t>
      </w:r>
    </w:p>
    <w:p w14:paraId="28C6BC00" w14:textId="77777777" w:rsidR="003C6AC7" w:rsidRPr="003C6AC7" w:rsidRDefault="003C6AC7" w:rsidP="003C6AC7">
      <w:pPr>
        <w:spacing w:after="0" w:line="240" w:lineRule="auto"/>
        <w:jc w:val="both"/>
        <w:rPr>
          <w:rFonts w:ascii="Calibri" w:eastAsia="Calibri" w:hAnsi="Calibri" w:cs="Arial"/>
          <w:kern w:val="0"/>
          <w14:ligatures w14:val="none"/>
        </w:rPr>
      </w:pPr>
    </w:p>
    <w:p w14:paraId="6B2708FD"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kern w:val="0"/>
          <w14:ligatures w14:val="none"/>
        </w:rPr>
        <w:t>Se utilizan las siguientes estrategias de aprendizaje:</w:t>
      </w:r>
    </w:p>
    <w:p w14:paraId="5390CC91" w14:textId="77777777" w:rsidR="003C6AC7" w:rsidRPr="003C6AC7" w:rsidRDefault="003C6AC7" w:rsidP="003C6AC7">
      <w:pPr>
        <w:spacing w:after="0" w:line="240" w:lineRule="auto"/>
        <w:jc w:val="both"/>
        <w:rPr>
          <w:rFonts w:ascii="Calibri" w:eastAsia="Calibri" w:hAnsi="Calibri" w:cs="Arial"/>
          <w:kern w:val="0"/>
          <w14:ligatures w14:val="none"/>
        </w:rPr>
      </w:pPr>
    </w:p>
    <w:p w14:paraId="7504BDD9"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b/>
          <w:bCs/>
          <w:kern w:val="0"/>
          <w14:ligatures w14:val="none"/>
        </w:rPr>
        <w:t xml:space="preserve">a) Encuentro sincrónico virtual: </w:t>
      </w:r>
      <w:r w:rsidRPr="003C6AC7">
        <w:rPr>
          <w:rFonts w:ascii="Calibri" w:eastAsia="Times New Roman" w:hAnsi="Calibri" w:cs="Arial"/>
          <w:kern w:val="0"/>
          <w:lang w:val="es-ES_tradnl" w:eastAsia="es-CR"/>
          <w14:ligatures w14:val="none"/>
        </w:rPr>
        <w:t xml:space="preserve">Los encuentros sincrónicos virtuales en este curso tienen un valor formativo y no sumativo. Se ofrecen como una estrategia en donde la persona docente compartirá presentaciones audiovisuales con el propósito de ofrecer insumos y profundizar sobre los siguientes temas: </w:t>
      </w:r>
      <w:r w:rsidRPr="003C6AC7">
        <w:rPr>
          <w:rFonts w:ascii="Calibri" w:eastAsia="Times New Roman" w:hAnsi="Calibri" w:cs="Arial"/>
          <w:kern w:val="0"/>
          <w:lang w:val="es-ES" w:eastAsia="es-ES"/>
          <w14:ligatures w14:val="none"/>
        </w:rPr>
        <w:t xml:space="preserve">la comprensión como un problema hermenéutico, el mundo como texto y el mundo del texto, la formación del canon como acto hermenéutico, la hermenéutica feminista y la literatura latinoamericana, y la hermenéutica indígena y la religiosidad popular.   </w:t>
      </w:r>
    </w:p>
    <w:p w14:paraId="51F4329B" w14:textId="77777777" w:rsidR="003C6AC7" w:rsidRPr="003C6AC7" w:rsidRDefault="003C6AC7" w:rsidP="003C6AC7">
      <w:pPr>
        <w:spacing w:after="0" w:line="240" w:lineRule="auto"/>
        <w:jc w:val="both"/>
        <w:rPr>
          <w:rFonts w:ascii="Calibri" w:eastAsia="Calibri" w:hAnsi="Calibri" w:cs="Arial"/>
          <w:b/>
          <w:bCs/>
          <w:kern w:val="0"/>
          <w14:ligatures w14:val="none"/>
        </w:rPr>
      </w:pPr>
    </w:p>
    <w:p w14:paraId="2046390E" w14:textId="77777777" w:rsidR="003C6AC7" w:rsidRPr="003C6AC7" w:rsidRDefault="003C6AC7" w:rsidP="003C6AC7">
      <w:pPr>
        <w:spacing w:after="0" w:line="240" w:lineRule="auto"/>
        <w:jc w:val="both"/>
        <w:rPr>
          <w:rFonts w:ascii="Calibri" w:eastAsia="Times New Roman" w:hAnsi="Calibri" w:cs="Calibri"/>
          <w:bCs/>
          <w:kern w:val="0"/>
          <w:lang w:val="es-ES_tradnl" w:eastAsia="es-CR"/>
          <w14:ligatures w14:val="none"/>
        </w:rPr>
      </w:pPr>
      <w:r w:rsidRPr="003C6AC7">
        <w:rPr>
          <w:rFonts w:ascii="Calibri" w:eastAsia="Calibri" w:hAnsi="Calibri" w:cs="Arial"/>
          <w:b/>
          <w:bCs/>
          <w:kern w:val="0"/>
          <w14:ligatures w14:val="none"/>
        </w:rPr>
        <w:t>b) Foro:</w:t>
      </w:r>
      <w:r w:rsidRPr="003C6AC7">
        <w:rPr>
          <w:rFonts w:ascii="Calibri" w:eastAsia="Calibri" w:hAnsi="Calibri" w:cs="Arial"/>
          <w:kern w:val="0"/>
          <w14:ligatures w14:val="none"/>
        </w:rPr>
        <w:t xml:space="preserve"> </w:t>
      </w:r>
      <w:r w:rsidRPr="003C6AC7">
        <w:rPr>
          <w:rFonts w:ascii="Calibri" w:eastAsia="Times New Roman" w:hAnsi="Calibri" w:cs="Calibri"/>
          <w:bCs/>
          <w:kern w:val="0"/>
          <w:lang w:val="es-ES_tradnl" w:eastAsia="es-CR"/>
          <w14:ligatures w14:val="none"/>
        </w:rPr>
        <w:t xml:space="preserve">La estrategia del foro permitirá que las personas estudiantes y la persona docente interactúen en este y discutan las temáticas del curso. Para ello se tendrán foros asincrónicos en los cuales se abordarán temas como: </w:t>
      </w:r>
      <w:r w:rsidRPr="003C6AC7">
        <w:rPr>
          <w:rFonts w:ascii="Calibri" w:eastAsia="Times New Roman" w:hAnsi="Calibri" w:cs="Calibri"/>
          <w:kern w:val="0"/>
          <w:lang w:val="es-ES" w:eastAsia="es-ES"/>
          <w14:ligatures w14:val="none"/>
        </w:rPr>
        <w:t>la hermenéutica y las ciencias sociales, la formación de los textos y el proceso de relectura, la hermenéutica feminista y la literatura latinoamericana, y la hermenéutica intercultural y el cine.</w:t>
      </w:r>
      <w:r w:rsidRPr="003C6AC7">
        <w:rPr>
          <w:rFonts w:ascii="Calibri" w:eastAsia="Times New Roman" w:hAnsi="Calibri" w:cs="Calibri"/>
          <w:bCs/>
          <w:kern w:val="0"/>
          <w:lang w:val="es-ES_tradnl" w:eastAsia="es-CR"/>
          <w14:ligatures w14:val="none"/>
        </w:rPr>
        <w:t xml:space="preserve"> La persona estudiante brindará sus aportes sobre estos temas y ofrecerá un comentario crítico al aporte de compañeros y compañeras según orientaciones.</w:t>
      </w:r>
    </w:p>
    <w:p w14:paraId="41079245" w14:textId="77777777" w:rsidR="003C6AC7" w:rsidRPr="003C6AC7" w:rsidRDefault="003C6AC7" w:rsidP="003C6AC7">
      <w:pPr>
        <w:spacing w:after="0" w:line="240" w:lineRule="auto"/>
        <w:jc w:val="both"/>
        <w:rPr>
          <w:rFonts w:ascii="Calibri" w:eastAsia="Calibri" w:hAnsi="Calibri" w:cs="Arial"/>
          <w:b/>
          <w:bCs/>
          <w:kern w:val="0"/>
          <w14:ligatures w14:val="none"/>
        </w:rPr>
      </w:pPr>
    </w:p>
    <w:p w14:paraId="5A834625" w14:textId="77777777" w:rsidR="003C6AC7" w:rsidRPr="003C6AC7" w:rsidRDefault="003C6AC7" w:rsidP="003C6AC7">
      <w:pPr>
        <w:spacing w:after="0" w:line="240" w:lineRule="auto"/>
        <w:jc w:val="both"/>
        <w:rPr>
          <w:rFonts w:ascii="Calibri" w:eastAsia="Times New Roman" w:hAnsi="Calibri" w:cs="Arial"/>
          <w:kern w:val="0"/>
          <w:lang w:val="es-ES_tradnl" w:eastAsia="es-CR"/>
          <w14:ligatures w14:val="none"/>
        </w:rPr>
      </w:pPr>
      <w:r w:rsidRPr="003C6AC7">
        <w:rPr>
          <w:rFonts w:ascii="Calibri" w:eastAsia="Calibri" w:hAnsi="Calibri" w:cs="Arial"/>
          <w:b/>
          <w:bCs/>
          <w:kern w:val="0"/>
          <w14:ligatures w14:val="none"/>
        </w:rPr>
        <w:t>c) Reseña crítica de lectura:</w:t>
      </w:r>
      <w:r w:rsidRPr="003C6AC7">
        <w:rPr>
          <w:rFonts w:ascii="Calibri" w:eastAsia="Times New Roman" w:hAnsi="Calibri" w:cs="Arial"/>
          <w:color w:val="000000"/>
          <w:kern w:val="0"/>
          <w:lang w:val="es-ES_tradnl" w:eastAsia="es-CR"/>
          <w14:ligatures w14:val="none"/>
        </w:rPr>
        <w:t xml:space="preserve"> La reseña crítica es un texto argumentativo y expositivo que nace del análisis de las ideas contenidas en la lectura </w:t>
      </w:r>
      <w:r w:rsidRPr="003C6AC7">
        <w:rPr>
          <w:rFonts w:ascii="Calibri" w:eastAsia="Times New Roman" w:hAnsi="Calibri" w:cs="Arial"/>
          <w:kern w:val="0"/>
          <w:lang w:val="es-ES_tradnl" w:eastAsia="es-CR"/>
          <w14:ligatures w14:val="none"/>
        </w:rPr>
        <w:t>a reseñar. Esta estrategia pedagógica se desarrolla por parte de las personas estudiantes en tres sesiones específicas. Implica el resumen de los aportes de las personas autoras de las lecturas asignadas, el análisis de lo aportado, y la contextualización de este sobre los siguientes temas: el mundo como texto y el mundo del texto, la formación del canon como acto hermenéutico y, finalmente, la hermenéutica indígena y la religiosidad popular. El texto de la reseña debe ser claro, conciso, breve y centrado en explicar a la persona lectora los puntos clave del tema.</w:t>
      </w:r>
    </w:p>
    <w:p w14:paraId="7926D48D" w14:textId="77777777" w:rsidR="003C6AC7" w:rsidRPr="003C6AC7" w:rsidRDefault="003C6AC7" w:rsidP="003C6AC7">
      <w:pPr>
        <w:spacing w:after="0" w:line="240" w:lineRule="auto"/>
        <w:jc w:val="both"/>
        <w:rPr>
          <w:rFonts w:ascii="Calibri" w:eastAsia="Calibri" w:hAnsi="Calibri" w:cs="Arial"/>
          <w:b/>
          <w:bCs/>
          <w:kern w:val="0"/>
          <w14:ligatures w14:val="none"/>
        </w:rPr>
      </w:pPr>
    </w:p>
    <w:p w14:paraId="61B520A1" w14:textId="77777777" w:rsidR="003C6AC7" w:rsidRPr="003C6AC7" w:rsidRDefault="003C6AC7" w:rsidP="003C6AC7">
      <w:pPr>
        <w:spacing w:after="0" w:line="240" w:lineRule="auto"/>
        <w:jc w:val="both"/>
        <w:rPr>
          <w:rFonts w:ascii="Calibri" w:eastAsia="Times New Roman" w:hAnsi="Calibri" w:cs="Calibri"/>
          <w:kern w:val="0"/>
          <w:lang w:eastAsia="es-CR"/>
          <w14:ligatures w14:val="none"/>
        </w:rPr>
      </w:pPr>
      <w:r w:rsidRPr="003C6AC7">
        <w:rPr>
          <w:rFonts w:ascii="Calibri" w:eastAsia="Calibri" w:hAnsi="Calibri" w:cs="Arial"/>
          <w:b/>
          <w:bCs/>
          <w:kern w:val="0"/>
          <w14:ligatures w14:val="none"/>
        </w:rPr>
        <w:t>d) Glosario:</w:t>
      </w:r>
      <w:r w:rsidRPr="003C6AC7">
        <w:rPr>
          <w:rFonts w:ascii="Calibri" w:eastAsia="Times New Roman" w:hAnsi="Calibri" w:cs="Calibri"/>
          <w:color w:val="000000"/>
          <w:kern w:val="0"/>
          <w:lang w:eastAsia="es-CR"/>
          <w14:ligatures w14:val="none"/>
        </w:rPr>
        <w:t xml:space="preserve"> El glosario se compone de una lista de concept</w:t>
      </w:r>
      <w:r w:rsidRPr="003C6AC7">
        <w:rPr>
          <w:rFonts w:ascii="Calibri" w:eastAsia="Times New Roman" w:hAnsi="Calibri" w:cs="Calibri"/>
          <w:kern w:val="0"/>
          <w:lang w:eastAsia="es-CR"/>
          <w14:ligatures w14:val="none"/>
        </w:rPr>
        <w:t>os, en forma de catálogo, de una misma disciplina o campo de estudio que aparecen definidas, explicadas o comentadas. En este curso la actividad se desarrolla en forma colectiva, en la cual cada estudiante aportará cinco conceptos a la luz del debate sobre la Biblia judía y la Biblia cristiana contenido en la lectura de la sesión.</w:t>
      </w:r>
    </w:p>
    <w:p w14:paraId="7CB1A09E" w14:textId="77777777" w:rsidR="003C6AC7" w:rsidRPr="003C6AC7" w:rsidRDefault="003C6AC7" w:rsidP="003C6AC7">
      <w:pPr>
        <w:spacing w:after="0" w:line="240" w:lineRule="auto"/>
        <w:jc w:val="both"/>
        <w:rPr>
          <w:rFonts w:ascii="Calibri" w:eastAsia="Calibri" w:hAnsi="Calibri" w:cs="Arial"/>
          <w:b/>
          <w:bCs/>
          <w:kern w:val="0"/>
          <w14:ligatures w14:val="none"/>
        </w:rPr>
      </w:pPr>
    </w:p>
    <w:p w14:paraId="456BCF53"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b/>
          <w:bCs/>
          <w:kern w:val="0"/>
          <w14:ligatures w14:val="none"/>
        </w:rPr>
        <w:t>e) Análisis de textos:</w:t>
      </w:r>
      <w:r w:rsidRPr="003C6AC7">
        <w:rPr>
          <w:rFonts w:ascii="Calibri" w:eastAsia="Calibri" w:hAnsi="Calibri" w:cs="Arial"/>
          <w:kern w:val="0"/>
          <w14:ligatures w14:val="none"/>
        </w:rPr>
        <w:t xml:space="preserve"> Se utilizará la estrategia de análisis de textos en dos momentos. En el primero de ellos los y las estudiantes analizarán Marcos 5.1-20 y en el segundo el texto será Génesis 2-3. Ambos análisis se realizarán a la luz de la literatura de las sesiones. Mediante estos se buscará la discusión de elementos históricos, literarios y hermenéuticos relacionados al texto.</w:t>
      </w:r>
    </w:p>
    <w:p w14:paraId="53FD7BCB" w14:textId="77777777" w:rsidR="003C6AC7" w:rsidRPr="003C6AC7" w:rsidRDefault="003C6AC7" w:rsidP="003C6AC7">
      <w:pPr>
        <w:spacing w:after="0" w:line="240" w:lineRule="auto"/>
        <w:jc w:val="both"/>
        <w:rPr>
          <w:rFonts w:ascii="Calibri" w:eastAsia="Calibri" w:hAnsi="Calibri" w:cs="Arial"/>
          <w:b/>
          <w:bCs/>
          <w:kern w:val="0"/>
          <w14:ligatures w14:val="none"/>
        </w:rPr>
      </w:pPr>
    </w:p>
    <w:p w14:paraId="3E82F004" w14:textId="77777777" w:rsidR="003C6AC7" w:rsidRPr="003C6AC7" w:rsidRDefault="003C6AC7" w:rsidP="003C6AC7">
      <w:pPr>
        <w:spacing w:after="0" w:line="240" w:lineRule="auto"/>
        <w:jc w:val="both"/>
        <w:rPr>
          <w:rFonts w:ascii="Calibri" w:eastAsia="Calibri" w:hAnsi="Calibri" w:cs="Arial"/>
          <w:kern w:val="0"/>
          <w14:ligatures w14:val="none"/>
        </w:rPr>
      </w:pPr>
      <w:r w:rsidRPr="003C6AC7">
        <w:rPr>
          <w:rFonts w:ascii="Calibri" w:eastAsia="Calibri" w:hAnsi="Calibri" w:cs="Arial"/>
          <w:b/>
          <w:bCs/>
          <w:kern w:val="0"/>
          <w14:ligatures w14:val="none"/>
        </w:rPr>
        <w:t xml:space="preserve">f) Mapa conceptual: </w:t>
      </w:r>
      <w:r w:rsidRPr="003C6AC7">
        <w:rPr>
          <w:rFonts w:ascii="Calibri" w:eastAsia="Calibri" w:hAnsi="Calibri" w:cs="Times New Roman"/>
          <w:kern w:val="0"/>
          <w:lang w:val="es-MX"/>
          <w14:ligatures w14:val="none"/>
        </w:rPr>
        <w:t xml:space="preserve">Se define al mapa conceptual como una herramienta gráfica de aprendizaje que permite establecer jerarquías entre las ideas y conceptos de un texto o lectura y sus relaciones en forma gráfica y creativa. </w:t>
      </w:r>
      <w:r w:rsidRPr="003C6AC7">
        <w:rPr>
          <w:rFonts w:ascii="Calibri" w:eastAsia="Times New Roman" w:hAnsi="Calibri" w:cs="Calibri"/>
          <w:bCs/>
          <w:kern w:val="0"/>
          <w:lang w:val="es-MX" w:eastAsia="es-CR"/>
          <w14:ligatures w14:val="none"/>
        </w:rPr>
        <w:t xml:space="preserve">Utilizaremos </w:t>
      </w:r>
      <w:r w:rsidRPr="003C6AC7">
        <w:rPr>
          <w:rFonts w:ascii="Calibri" w:eastAsia="Times New Roman" w:hAnsi="Calibri" w:cs="Calibri"/>
          <w:bCs/>
          <w:kern w:val="0"/>
          <w:lang w:val="es-ES_tradnl" w:eastAsia="es-CR"/>
          <w14:ligatures w14:val="none"/>
        </w:rPr>
        <w:t xml:space="preserve">esta estrategia para iniciarnos en el tema de la comprensión como un problema hermenéutico. </w:t>
      </w:r>
    </w:p>
    <w:p w14:paraId="403E980E" w14:textId="77777777" w:rsidR="003C6AC7" w:rsidRPr="003C6AC7" w:rsidRDefault="003C6AC7" w:rsidP="003C6AC7">
      <w:pPr>
        <w:spacing w:after="0" w:line="240" w:lineRule="auto"/>
        <w:jc w:val="both"/>
        <w:rPr>
          <w:rFonts w:ascii="Calibri" w:eastAsia="Calibri" w:hAnsi="Calibri" w:cs="Arial"/>
          <w:b/>
          <w:bCs/>
          <w:kern w:val="0"/>
          <w14:ligatures w14:val="none"/>
        </w:rPr>
      </w:pPr>
    </w:p>
    <w:p w14:paraId="3C5C1951" w14:textId="77777777" w:rsidR="003C6AC7" w:rsidRPr="003C6AC7" w:rsidRDefault="003C6AC7" w:rsidP="003C6AC7">
      <w:pPr>
        <w:spacing w:after="0" w:line="240" w:lineRule="auto"/>
        <w:jc w:val="both"/>
        <w:rPr>
          <w:rFonts w:ascii="Calibri" w:eastAsia="Times New Roman" w:hAnsi="Calibri" w:cs="Calibri"/>
          <w:kern w:val="0"/>
          <w:lang w:eastAsia="es-CR"/>
          <w14:ligatures w14:val="none"/>
        </w:rPr>
      </w:pPr>
      <w:r w:rsidRPr="003C6AC7">
        <w:rPr>
          <w:rFonts w:ascii="Calibri" w:eastAsia="Calibri" w:hAnsi="Calibri" w:cs="Arial"/>
          <w:b/>
          <w:bCs/>
          <w:kern w:val="0"/>
          <w14:ligatures w14:val="none"/>
        </w:rPr>
        <w:t>g) Ensayo:</w:t>
      </w:r>
      <w:r w:rsidRPr="003C6AC7">
        <w:rPr>
          <w:rFonts w:ascii="Calibri" w:eastAsia="Calibri" w:hAnsi="Calibri" w:cs="Arial"/>
          <w:kern w:val="0"/>
          <w14:ligatures w14:val="none"/>
        </w:rPr>
        <w:t xml:space="preserve"> </w:t>
      </w:r>
      <w:r w:rsidRPr="003C6AC7">
        <w:rPr>
          <w:rFonts w:ascii="Calibri" w:eastAsia="Times New Roman" w:hAnsi="Calibri" w:cs="Calibri"/>
          <w:kern w:val="0"/>
          <w:lang w:eastAsia="es-CR"/>
          <w14:ligatures w14:val="none"/>
        </w:rPr>
        <w:t xml:space="preserve">En torno a una introducción, un desarrollo y una conclusión, así como a referencias bibliográficas (estilo Chicago-Deusto), las personas estudiantes desarrollan en este curso dos ensayos que </w:t>
      </w:r>
      <w:r w:rsidRPr="003C6AC7">
        <w:rPr>
          <w:rFonts w:ascii="Calibri" w:eastAsia="Times New Roman" w:hAnsi="Calibri" w:cs="Calibri"/>
          <w:kern w:val="0"/>
          <w:lang w:eastAsia="es-CR"/>
          <w14:ligatures w14:val="none"/>
        </w:rPr>
        <w:lastRenderedPageBreak/>
        <w:t xml:space="preserve">constituyen ejercicios de producción académica. El primero tendrá como objetivo la discusión de los principios epistemológicos del abordaje que realiza el autor de una lectura, así como sobre sus desafíos para la interpretación bíblica y la teología práctica. El segundo, el cual se constituye en el trabajo final del curso, permitirá que los y las estudiantes profundicen en uno de los ejes temáticos y perspectivas hermenéuticas estudiados en la Unidad IV. </w:t>
      </w:r>
    </w:p>
    <w:p w14:paraId="3444162A" w14:textId="77777777" w:rsidR="003C6AC7" w:rsidRPr="003C6AC7" w:rsidRDefault="003C6AC7" w:rsidP="003C6AC7">
      <w:pPr>
        <w:spacing w:after="0" w:line="240" w:lineRule="auto"/>
        <w:jc w:val="both"/>
        <w:rPr>
          <w:rFonts w:ascii="Calibri" w:eastAsia="Calibri" w:hAnsi="Calibri" w:cs="Arial"/>
          <w:b/>
          <w:bCs/>
          <w:kern w:val="0"/>
          <w14:ligatures w14:val="none"/>
        </w:rPr>
      </w:pPr>
    </w:p>
    <w:p w14:paraId="331305A7" w14:textId="77777777" w:rsidR="003C6AC7" w:rsidRPr="003C6AC7" w:rsidRDefault="003C6AC7" w:rsidP="003C6AC7">
      <w:pPr>
        <w:spacing w:after="0" w:line="240" w:lineRule="auto"/>
        <w:jc w:val="both"/>
        <w:rPr>
          <w:rFonts w:ascii="Calibri" w:eastAsia="Calibri" w:hAnsi="Calibri" w:cs="Arial"/>
          <w:kern w:val="0"/>
          <w:lang w:val="es-ES" w:eastAsia="es-ES"/>
          <w14:ligatures w14:val="none"/>
        </w:rPr>
      </w:pPr>
      <w:r w:rsidRPr="003C6AC7">
        <w:rPr>
          <w:rFonts w:ascii="Calibri" w:eastAsia="Calibri" w:hAnsi="Calibri" w:cs="Arial"/>
          <w:kern w:val="0"/>
          <w:lang w:val="es-ES" w:eastAsia="es-ES"/>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7BCC9A93" w14:textId="77777777" w:rsidR="003C6AC7" w:rsidRPr="003C6AC7" w:rsidRDefault="003C6AC7" w:rsidP="003C6AC7">
      <w:pPr>
        <w:spacing w:after="0" w:line="240" w:lineRule="auto"/>
        <w:jc w:val="both"/>
        <w:rPr>
          <w:rFonts w:ascii="Calibri" w:eastAsia="Calibri" w:hAnsi="Calibri" w:cs="Arial"/>
          <w:kern w:val="0"/>
          <w:lang w:val="es-ES" w:eastAsia="es-ES"/>
          <w14:ligatures w14:val="none"/>
        </w:rPr>
      </w:pPr>
    </w:p>
    <w:p w14:paraId="73530178" w14:textId="77777777" w:rsidR="003C6AC7" w:rsidRPr="003C6AC7" w:rsidRDefault="003C6AC7" w:rsidP="003C6AC7">
      <w:pPr>
        <w:spacing w:after="0" w:line="240" w:lineRule="auto"/>
        <w:jc w:val="both"/>
        <w:rPr>
          <w:rFonts w:ascii="Calibri" w:eastAsia="Calibri" w:hAnsi="Calibri" w:cs="Arial"/>
          <w:b/>
          <w:kern w:val="0"/>
          <w14:ligatures w14:val="none"/>
        </w:rPr>
      </w:pPr>
      <w:r w:rsidRPr="003C6AC7">
        <w:rPr>
          <w:rFonts w:ascii="Calibri" w:eastAsia="Calibri" w:hAnsi="Calibri" w:cs="Arial"/>
          <w:b/>
          <w:kern w:val="0"/>
          <w14:ligatures w14:val="none"/>
        </w:rPr>
        <w:t>VI. Recursos didácticos</w:t>
      </w:r>
    </w:p>
    <w:p w14:paraId="526C5367" w14:textId="77777777" w:rsidR="003C6AC7" w:rsidRPr="003C6AC7" w:rsidRDefault="003C6AC7" w:rsidP="003C6AC7">
      <w:pPr>
        <w:widowControl w:val="0"/>
        <w:autoSpaceDN w:val="0"/>
        <w:spacing w:after="0" w:line="240" w:lineRule="auto"/>
        <w:jc w:val="both"/>
        <w:rPr>
          <w:rFonts w:ascii="Calibri" w:eastAsia="Times New Roman" w:hAnsi="Calibri" w:cs="Arial"/>
          <w:kern w:val="0"/>
          <w:lang w:val="es-ES_tradnl" w:eastAsia="es-CR"/>
          <w14:ligatures w14:val="none"/>
        </w:rPr>
      </w:pPr>
    </w:p>
    <w:p w14:paraId="20C8652B"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3C6AC7">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42DDF8CA"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89E32E0"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3C6AC7">
        <w:rPr>
          <w:rFonts w:ascii="Calibri" w:eastAsia="Times New Roman" w:hAnsi="Calibri" w:cs="Arial"/>
          <w:color w:val="000000"/>
          <w:kern w:val="0"/>
          <w:lang w:val="es-ES" w:eastAsia="es-ES"/>
          <w14:ligatures w14:val="none"/>
        </w:rPr>
        <w:t xml:space="preserve">a) Lecturas semanales obligatorias que son insumos teóricos fundamentales para el curso y aportan la base para las actividades individuales y grupales. Todos los materiales de lectura están disponibles en formato digital en la plataforma virtual.  </w:t>
      </w:r>
    </w:p>
    <w:p w14:paraId="48129EE1"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D65FFF9"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3C6AC7">
        <w:rPr>
          <w:rFonts w:ascii="Calibri" w:eastAsia="Times New Roman" w:hAnsi="Calibri" w:cs="Arial"/>
          <w:color w:val="000000"/>
          <w:kern w:val="0"/>
          <w:lang w:val="es-ES" w:eastAsia="es-ES"/>
          <w14:ligatures w14:val="none"/>
        </w:rPr>
        <w:t>b) Lecturas complementarias en algunas de las sesiones que se asignan para su lectura con el fin de ampliar las temáticas con insumos más específicos o puntuales. Realizar estas lecturas es opcional.</w:t>
      </w:r>
    </w:p>
    <w:p w14:paraId="1D19ABF5"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CE687D4"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3C6AC7">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32F5C834"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A0E33DB"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3C6AC7">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wiki y mediante la herramienta Big Blue </w:t>
      </w:r>
      <w:proofErr w:type="spellStart"/>
      <w:r w:rsidRPr="003C6AC7">
        <w:rPr>
          <w:rFonts w:ascii="Calibri" w:eastAsia="Times New Roman" w:hAnsi="Calibri" w:cs="Calibri"/>
          <w:color w:val="000000"/>
          <w:kern w:val="0"/>
          <w:lang w:val="es-ES" w:eastAsia="es-ES"/>
          <w14:ligatures w14:val="none"/>
        </w:rPr>
        <w:t>Button</w:t>
      </w:r>
      <w:proofErr w:type="spellEnd"/>
      <w:r w:rsidRPr="003C6AC7">
        <w:rPr>
          <w:rFonts w:ascii="Calibri" w:eastAsia="Times New Roman" w:hAnsi="Calibri" w:cs="Calibri"/>
          <w:color w:val="000000"/>
          <w:kern w:val="0"/>
          <w:lang w:val="es-ES" w:eastAsia="es-ES"/>
          <w14:ligatures w14:val="none"/>
        </w:rPr>
        <w:t xml:space="preserve"> en la plataforma Moodle, así como guías para la elaboración de una reseña crítica de lectura, un mapa conceptual y un ensayo.</w:t>
      </w:r>
    </w:p>
    <w:p w14:paraId="2DE81E8B"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CE88700"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3C6AC7">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3C6AC7">
        <w:rPr>
          <w:rFonts w:ascii="Calibri" w:eastAsia="Times New Roman" w:hAnsi="Calibri" w:cs="Calibri"/>
          <w:color w:val="000000"/>
          <w:kern w:val="0"/>
          <w:lang w:val="es-ES" w:eastAsia="es-ES"/>
          <w14:ligatures w14:val="none"/>
        </w:rPr>
        <w:t>Strachan</w:t>
      </w:r>
      <w:proofErr w:type="spellEnd"/>
      <w:r w:rsidRPr="003C6AC7">
        <w:rPr>
          <w:rFonts w:ascii="Calibri" w:eastAsia="Times New Roman" w:hAnsi="Calibri" w:cs="Calibri"/>
          <w:color w:val="000000"/>
          <w:kern w:val="0"/>
          <w:lang w:val="es-ES" w:eastAsia="es-ES"/>
          <w14:ligatures w14:val="none"/>
        </w:rPr>
        <w:t xml:space="preserve"> (</w:t>
      </w:r>
      <w:hyperlink r:id="rId358" w:history="1">
        <w:r w:rsidRPr="003C6AC7">
          <w:rPr>
            <w:rFonts w:ascii="Calibri" w:eastAsia="Times New Roman" w:hAnsi="Calibri" w:cs="Calibri"/>
            <w:color w:val="0563C1"/>
            <w:kern w:val="0"/>
            <w:u w:val="single"/>
            <w:lang w:val="es-ES" w:eastAsia="es-ES"/>
            <w14:ligatures w14:val="none"/>
          </w:rPr>
          <w:t>https://www.ubl.ac.cr/biblioteca</w:t>
        </w:r>
      </w:hyperlink>
      <w:r w:rsidRPr="003C6AC7">
        <w:rPr>
          <w:rFonts w:ascii="Calibri" w:eastAsia="Times New Roman" w:hAnsi="Calibri" w:cs="Calibri"/>
          <w:color w:val="000000"/>
          <w:kern w:val="0"/>
          <w:lang w:val="es-ES" w:eastAsia="es-ES"/>
          <w14:ligatures w14:val="none"/>
        </w:rPr>
        <w:t>), así como consultar el Portal de Revistas de la UBL (</w:t>
      </w:r>
      <w:hyperlink r:id="rId359" w:history="1">
        <w:r w:rsidRPr="003C6AC7">
          <w:rPr>
            <w:rFonts w:ascii="Calibri" w:eastAsia="Times New Roman" w:hAnsi="Calibri" w:cs="Calibri"/>
            <w:color w:val="0563C1"/>
            <w:kern w:val="0"/>
            <w:u w:val="single"/>
            <w:lang w:val="es-ES" w:eastAsia="es-ES"/>
            <w14:ligatures w14:val="none"/>
          </w:rPr>
          <w:t>http://revistas.ubl.ac.cr/</w:t>
        </w:r>
      </w:hyperlink>
      <w:r w:rsidRPr="003C6AC7">
        <w:rPr>
          <w:rFonts w:ascii="Calibri" w:eastAsia="Times New Roman" w:hAnsi="Calibri" w:cs="Calibri"/>
          <w:color w:val="000000"/>
          <w:kern w:val="0"/>
          <w:lang w:val="es-ES" w:eastAsia="es-ES"/>
          <w14:ligatures w14:val="none"/>
        </w:rPr>
        <w:t>). A través del correo de la biblioteca (</w:t>
      </w:r>
      <w:hyperlink r:id="rId360" w:history="1">
        <w:r w:rsidRPr="003C6AC7">
          <w:rPr>
            <w:rFonts w:ascii="Calibri" w:eastAsia="Times New Roman" w:hAnsi="Calibri" w:cs="Calibri"/>
            <w:color w:val="0563C1"/>
            <w:kern w:val="0"/>
            <w:u w:val="single"/>
            <w:lang w:val="es-ES" w:eastAsia="es-ES"/>
            <w14:ligatures w14:val="none"/>
          </w:rPr>
          <w:t>biblioteca@ubl.ac.cr</w:t>
        </w:r>
      </w:hyperlink>
      <w:r w:rsidRPr="003C6AC7">
        <w:rPr>
          <w:rFonts w:ascii="Calibri" w:eastAsia="Times New Roman" w:hAnsi="Calibri" w:cs="Calibri"/>
          <w:color w:val="000000"/>
          <w:kern w:val="0"/>
          <w:lang w:val="es-ES" w:eastAsia="es-ES"/>
          <w14:ligatures w14:val="none"/>
        </w:rPr>
        <w:t xml:space="preserve">) puede solicitar recursos que se encuentren en la colección física. </w:t>
      </w:r>
    </w:p>
    <w:p w14:paraId="3F8FCFEF"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B28E1DD"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3C6AC7">
        <w:rPr>
          <w:rFonts w:ascii="Calibri" w:eastAsia="Times New Roman" w:hAnsi="Calibri" w:cs="Calibri"/>
          <w:color w:val="000000"/>
          <w:kern w:val="0"/>
          <w:lang w:val="es-ES" w:eastAsia="es-ES"/>
          <w14:ligatures w14:val="none"/>
        </w:rPr>
        <w:t>f)</w:t>
      </w:r>
      <w:r w:rsidRPr="003C6AC7">
        <w:rPr>
          <w:rFonts w:ascii="Times New Roman" w:eastAsia="Times New Roman" w:hAnsi="Times New Roman" w:cs="Calibri"/>
          <w:bCs/>
          <w:kern w:val="0"/>
          <w:sz w:val="24"/>
          <w:szCs w:val="24"/>
          <w:lang w:val="es-ES_tradnl" w:eastAsia="es-CR"/>
          <w14:ligatures w14:val="none"/>
        </w:rPr>
        <w:t xml:space="preserve"> </w:t>
      </w:r>
      <w:r w:rsidRPr="003C6AC7">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Bíblicas. Dicho espacio está disponible para todas las personas registradas en el campus virtual y se puede acceder a través del siguiente enlace: </w:t>
      </w:r>
      <w:hyperlink r:id="rId361" w:history="1">
        <w:r w:rsidRPr="003C6AC7">
          <w:rPr>
            <w:rFonts w:ascii="Calibri" w:eastAsia="Times New Roman" w:hAnsi="Calibri" w:cs="Calibri"/>
            <w:bCs/>
            <w:color w:val="0563C1"/>
            <w:kern w:val="0"/>
            <w:u w:val="single"/>
            <w:lang w:val="es-ES_tradnl" w:eastAsia="es-CR"/>
            <w14:ligatures w14:val="none"/>
          </w:rPr>
          <w:t>https://campus.ubl.ac.cr/course/index.php?categoryid=186</w:t>
        </w:r>
      </w:hyperlink>
    </w:p>
    <w:p w14:paraId="3A6D8D30" w14:textId="77777777" w:rsidR="003C6AC7" w:rsidRPr="003C6AC7" w:rsidRDefault="003C6AC7" w:rsidP="003C6AC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17CE433B" w14:textId="77777777" w:rsidR="003C6AC7" w:rsidRPr="003C6AC7" w:rsidRDefault="003C6AC7" w:rsidP="003C6AC7">
      <w:pPr>
        <w:widowControl w:val="0"/>
        <w:autoSpaceDN w:val="0"/>
        <w:spacing w:after="0" w:line="240" w:lineRule="auto"/>
        <w:jc w:val="both"/>
        <w:rPr>
          <w:rFonts w:ascii="Calibri" w:eastAsia="Times New Roman" w:hAnsi="Calibri" w:cs="Arial"/>
          <w:kern w:val="0"/>
          <w:lang w:val="es-ES" w:eastAsia="es-ES"/>
          <w14:ligatures w14:val="none"/>
        </w:rPr>
      </w:pPr>
      <w:r w:rsidRPr="003C6AC7">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5EF5EB46" w14:textId="77777777" w:rsidR="003C6AC7" w:rsidRPr="003C6AC7" w:rsidRDefault="003C6AC7" w:rsidP="003C6AC7">
      <w:pPr>
        <w:widowControl w:val="0"/>
        <w:autoSpaceDN w:val="0"/>
        <w:spacing w:after="0" w:line="240" w:lineRule="auto"/>
        <w:jc w:val="both"/>
        <w:rPr>
          <w:rFonts w:ascii="Calibri" w:eastAsia="Times New Roman" w:hAnsi="Calibri" w:cs="Arial"/>
          <w:kern w:val="0"/>
          <w:lang w:val="es-ES" w:eastAsia="es-ES"/>
          <w14:ligatures w14:val="none"/>
        </w:rPr>
      </w:pPr>
    </w:p>
    <w:p w14:paraId="1B4FC927" w14:textId="77777777" w:rsidR="003C6AC7" w:rsidRPr="003C6AC7" w:rsidRDefault="003C6AC7" w:rsidP="003C6AC7">
      <w:pPr>
        <w:widowControl w:val="0"/>
        <w:autoSpaceDN w:val="0"/>
        <w:spacing w:after="0" w:line="240" w:lineRule="auto"/>
        <w:jc w:val="both"/>
        <w:rPr>
          <w:rFonts w:ascii="Calibri" w:eastAsia="Times New Roman" w:hAnsi="Calibri" w:cs="Arial"/>
          <w:b/>
          <w:bCs/>
          <w:kern w:val="0"/>
          <w:lang w:val="es-ES" w:eastAsia="es-ES"/>
          <w14:ligatures w14:val="none"/>
        </w:rPr>
      </w:pPr>
    </w:p>
    <w:p w14:paraId="5EE4A626" w14:textId="77777777" w:rsidR="003C6AC7" w:rsidRPr="003C6AC7" w:rsidRDefault="003C6AC7" w:rsidP="003C6AC7">
      <w:pPr>
        <w:widowControl w:val="0"/>
        <w:autoSpaceDN w:val="0"/>
        <w:spacing w:after="0" w:line="240" w:lineRule="auto"/>
        <w:jc w:val="both"/>
        <w:rPr>
          <w:rFonts w:ascii="Calibri" w:eastAsia="Times New Roman" w:hAnsi="Calibri" w:cs="Arial"/>
          <w:b/>
          <w:bCs/>
          <w:kern w:val="0"/>
          <w:lang w:val="es-ES" w:eastAsia="es-ES"/>
          <w14:ligatures w14:val="none"/>
        </w:rPr>
      </w:pPr>
    </w:p>
    <w:p w14:paraId="04C6D680" w14:textId="77777777" w:rsidR="003C6AC7" w:rsidRPr="003C6AC7" w:rsidRDefault="003C6AC7" w:rsidP="003C6AC7">
      <w:pPr>
        <w:widowControl w:val="0"/>
        <w:autoSpaceDN w:val="0"/>
        <w:spacing w:after="0" w:line="240" w:lineRule="auto"/>
        <w:jc w:val="both"/>
        <w:rPr>
          <w:rFonts w:ascii="Calibri" w:eastAsia="Times New Roman" w:hAnsi="Calibri" w:cs="Arial"/>
          <w:b/>
          <w:bCs/>
          <w:kern w:val="0"/>
          <w:lang w:val="es-ES" w:eastAsia="es-ES"/>
          <w14:ligatures w14:val="none"/>
        </w:rPr>
      </w:pPr>
      <w:r w:rsidRPr="003C6AC7">
        <w:rPr>
          <w:rFonts w:ascii="Calibri" w:eastAsia="Times New Roman" w:hAnsi="Calibri" w:cs="Arial"/>
          <w:b/>
          <w:bCs/>
          <w:kern w:val="0"/>
          <w:lang w:val="es-ES" w:eastAsia="es-ES"/>
          <w14:ligatures w14:val="none"/>
        </w:rPr>
        <w:lastRenderedPageBreak/>
        <w:t>VIII. Cronograma de trabajo</w:t>
      </w:r>
    </w:p>
    <w:p w14:paraId="5B1FA60B" w14:textId="77777777" w:rsidR="003C6AC7" w:rsidRPr="003C6AC7" w:rsidRDefault="003C6AC7" w:rsidP="003C6AC7">
      <w:pPr>
        <w:widowControl w:val="0"/>
        <w:autoSpaceDN w:val="0"/>
        <w:spacing w:after="0" w:line="240" w:lineRule="auto"/>
        <w:jc w:val="both"/>
        <w:rPr>
          <w:rFonts w:ascii="Calibri" w:eastAsia="Times New Roman" w:hAnsi="Calibri" w:cs="Arial"/>
          <w:b/>
          <w:bCs/>
          <w:kern w:val="0"/>
          <w:lang w:val="es-ES" w:eastAsia="es-ES"/>
          <w14:ligatures w14:val="none"/>
        </w:rPr>
      </w:pPr>
    </w:p>
    <w:tbl>
      <w:tblPr>
        <w:tblStyle w:val="Tablaconcuadrcula5"/>
        <w:tblW w:w="9634" w:type="dxa"/>
        <w:jc w:val="center"/>
        <w:tblLayout w:type="fixed"/>
        <w:tblLook w:val="04A0" w:firstRow="1" w:lastRow="0" w:firstColumn="1" w:lastColumn="0" w:noHBand="0" w:noVBand="1"/>
      </w:tblPr>
      <w:tblGrid>
        <w:gridCol w:w="1144"/>
        <w:gridCol w:w="2395"/>
        <w:gridCol w:w="2835"/>
        <w:gridCol w:w="3260"/>
      </w:tblGrid>
      <w:tr w:rsidR="003C6AC7" w:rsidRPr="003C6AC7" w14:paraId="1165D2E0" w14:textId="77777777" w:rsidTr="00104785">
        <w:trPr>
          <w:trHeight w:val="438"/>
          <w:jc w:val="center"/>
        </w:trPr>
        <w:tc>
          <w:tcPr>
            <w:tcW w:w="1144" w:type="dxa"/>
            <w:vMerge w:val="restart"/>
            <w:vAlign w:val="center"/>
          </w:tcPr>
          <w:p w14:paraId="6831E104" w14:textId="77777777" w:rsidR="003C6AC7" w:rsidRPr="003C6AC7" w:rsidRDefault="003C6AC7" w:rsidP="003C6AC7">
            <w:pPr>
              <w:widowControl w:val="0"/>
              <w:autoSpaceDN w:val="0"/>
              <w:jc w:val="center"/>
              <w:rPr>
                <w:rFonts w:ascii="Calibri" w:eastAsia="Times New Roman" w:hAnsi="Calibri" w:cs="Arial"/>
                <w:b/>
                <w:bCs/>
                <w:sz w:val="24"/>
                <w:szCs w:val="24"/>
                <w:lang w:eastAsia="es-ES"/>
              </w:rPr>
            </w:pPr>
            <w:r w:rsidRPr="003C6AC7">
              <w:rPr>
                <w:rFonts w:ascii="Calibri" w:eastAsia="Times New Roman" w:hAnsi="Calibri" w:cs="Arial"/>
                <w:b/>
                <w:bCs/>
                <w:sz w:val="24"/>
                <w:szCs w:val="24"/>
                <w:lang w:eastAsia="es-ES"/>
              </w:rPr>
              <w:t>Sesión</w:t>
            </w:r>
          </w:p>
          <w:p w14:paraId="5C923B4E" w14:textId="77777777" w:rsidR="003C6AC7" w:rsidRPr="003C6AC7" w:rsidRDefault="003C6AC7" w:rsidP="003C6AC7">
            <w:pPr>
              <w:widowControl w:val="0"/>
              <w:autoSpaceDN w:val="0"/>
              <w:jc w:val="center"/>
              <w:rPr>
                <w:rFonts w:ascii="Calibri" w:eastAsia="Times New Roman" w:hAnsi="Calibri" w:cs="Arial"/>
                <w:b/>
                <w:bCs/>
                <w:sz w:val="24"/>
                <w:szCs w:val="24"/>
                <w:lang w:eastAsia="es-ES"/>
              </w:rPr>
            </w:pPr>
            <w:r w:rsidRPr="003C6AC7">
              <w:rPr>
                <w:rFonts w:ascii="Calibri" w:eastAsia="Times New Roman" w:hAnsi="Calibri" w:cs="Arial"/>
                <w:b/>
                <w:bCs/>
                <w:sz w:val="24"/>
                <w:szCs w:val="24"/>
                <w:lang w:eastAsia="es-ES"/>
              </w:rPr>
              <w:t>(semana)</w:t>
            </w:r>
          </w:p>
        </w:tc>
        <w:tc>
          <w:tcPr>
            <w:tcW w:w="2395" w:type="dxa"/>
            <w:vMerge w:val="restart"/>
            <w:vAlign w:val="center"/>
          </w:tcPr>
          <w:p w14:paraId="70FA0BE8" w14:textId="77777777" w:rsidR="003C6AC7" w:rsidRPr="003C6AC7" w:rsidRDefault="003C6AC7" w:rsidP="003C6AC7">
            <w:pPr>
              <w:widowControl w:val="0"/>
              <w:autoSpaceDN w:val="0"/>
              <w:jc w:val="center"/>
              <w:rPr>
                <w:rFonts w:ascii="Calibri" w:eastAsia="Times New Roman" w:hAnsi="Calibri" w:cs="Arial"/>
                <w:b/>
                <w:bCs/>
                <w:sz w:val="24"/>
                <w:szCs w:val="24"/>
                <w:lang w:eastAsia="es-ES"/>
              </w:rPr>
            </w:pPr>
            <w:r w:rsidRPr="003C6AC7">
              <w:rPr>
                <w:rFonts w:ascii="Calibri" w:eastAsia="Times New Roman" w:hAnsi="Calibri" w:cs="Arial"/>
                <w:b/>
                <w:bCs/>
                <w:sz w:val="24"/>
                <w:szCs w:val="24"/>
                <w:lang w:eastAsia="es-ES"/>
              </w:rPr>
              <w:t>Contenidos temáticos</w:t>
            </w:r>
          </w:p>
        </w:tc>
        <w:tc>
          <w:tcPr>
            <w:tcW w:w="6095" w:type="dxa"/>
            <w:gridSpan w:val="2"/>
            <w:vAlign w:val="center"/>
          </w:tcPr>
          <w:p w14:paraId="43A7A4B0" w14:textId="77777777" w:rsidR="003C6AC7" w:rsidRPr="003C6AC7" w:rsidRDefault="003C6AC7" w:rsidP="003C6AC7">
            <w:pPr>
              <w:widowControl w:val="0"/>
              <w:autoSpaceDN w:val="0"/>
              <w:jc w:val="center"/>
              <w:rPr>
                <w:rFonts w:ascii="Calibri" w:eastAsia="Times New Roman" w:hAnsi="Calibri" w:cs="Arial"/>
                <w:b/>
                <w:bCs/>
                <w:sz w:val="24"/>
                <w:szCs w:val="24"/>
                <w:lang w:eastAsia="es-ES"/>
              </w:rPr>
            </w:pPr>
            <w:r w:rsidRPr="003C6AC7">
              <w:rPr>
                <w:rFonts w:ascii="Calibri" w:eastAsia="Times New Roman" w:hAnsi="Calibri" w:cs="Arial"/>
                <w:b/>
                <w:bCs/>
                <w:sz w:val="24"/>
                <w:szCs w:val="24"/>
                <w:lang w:eastAsia="es-ES"/>
              </w:rPr>
              <w:t>Actividades de enseñanza-aprendizaje</w:t>
            </w:r>
          </w:p>
        </w:tc>
      </w:tr>
      <w:tr w:rsidR="003C6AC7" w:rsidRPr="003C6AC7" w14:paraId="5B255FDF" w14:textId="77777777" w:rsidTr="00104785">
        <w:trPr>
          <w:trHeight w:val="416"/>
          <w:jc w:val="center"/>
        </w:trPr>
        <w:tc>
          <w:tcPr>
            <w:tcW w:w="1144" w:type="dxa"/>
            <w:vMerge/>
            <w:vAlign w:val="center"/>
          </w:tcPr>
          <w:p w14:paraId="0A57942D" w14:textId="77777777" w:rsidR="003C6AC7" w:rsidRPr="003C6AC7" w:rsidRDefault="003C6AC7" w:rsidP="003C6AC7">
            <w:pPr>
              <w:widowControl w:val="0"/>
              <w:autoSpaceDN w:val="0"/>
              <w:jc w:val="center"/>
              <w:rPr>
                <w:rFonts w:ascii="Calibri" w:eastAsia="Times New Roman" w:hAnsi="Calibri" w:cs="Arial"/>
                <w:lang w:eastAsia="es-ES"/>
              </w:rPr>
            </w:pPr>
          </w:p>
        </w:tc>
        <w:tc>
          <w:tcPr>
            <w:tcW w:w="2395" w:type="dxa"/>
            <w:vMerge/>
            <w:vAlign w:val="center"/>
          </w:tcPr>
          <w:p w14:paraId="5CDC29AF" w14:textId="77777777" w:rsidR="003C6AC7" w:rsidRPr="003C6AC7" w:rsidRDefault="003C6AC7" w:rsidP="003C6AC7">
            <w:pPr>
              <w:widowControl w:val="0"/>
              <w:autoSpaceDN w:val="0"/>
              <w:jc w:val="center"/>
              <w:rPr>
                <w:rFonts w:ascii="Calibri" w:eastAsia="Times New Roman" w:hAnsi="Calibri" w:cs="Arial"/>
                <w:lang w:eastAsia="es-ES"/>
              </w:rPr>
            </w:pPr>
          </w:p>
        </w:tc>
        <w:tc>
          <w:tcPr>
            <w:tcW w:w="2835" w:type="dxa"/>
            <w:vAlign w:val="center"/>
          </w:tcPr>
          <w:p w14:paraId="05380647" w14:textId="77777777" w:rsidR="003C6AC7" w:rsidRPr="003C6AC7" w:rsidRDefault="003C6AC7" w:rsidP="003C6AC7">
            <w:pPr>
              <w:widowControl w:val="0"/>
              <w:autoSpaceDN w:val="0"/>
              <w:jc w:val="center"/>
              <w:rPr>
                <w:rFonts w:ascii="Calibri" w:eastAsia="Times New Roman" w:hAnsi="Calibri" w:cs="Arial"/>
                <w:b/>
                <w:bCs/>
                <w:sz w:val="24"/>
                <w:szCs w:val="24"/>
                <w:lang w:eastAsia="es-ES"/>
              </w:rPr>
            </w:pPr>
            <w:r w:rsidRPr="003C6AC7">
              <w:rPr>
                <w:rFonts w:ascii="Calibri" w:eastAsia="Times New Roman" w:hAnsi="Calibri" w:cs="Arial"/>
                <w:b/>
                <w:bCs/>
                <w:sz w:val="24"/>
                <w:szCs w:val="24"/>
                <w:lang w:eastAsia="es-ES"/>
              </w:rPr>
              <w:t>Recursos didácticos</w:t>
            </w:r>
          </w:p>
        </w:tc>
        <w:tc>
          <w:tcPr>
            <w:tcW w:w="3260" w:type="dxa"/>
            <w:vAlign w:val="center"/>
          </w:tcPr>
          <w:p w14:paraId="51559441" w14:textId="77777777" w:rsidR="003C6AC7" w:rsidRPr="003C6AC7" w:rsidRDefault="003C6AC7" w:rsidP="003C6AC7">
            <w:pPr>
              <w:widowControl w:val="0"/>
              <w:autoSpaceDN w:val="0"/>
              <w:jc w:val="center"/>
              <w:rPr>
                <w:rFonts w:ascii="Calibri" w:eastAsia="Times New Roman" w:hAnsi="Calibri" w:cs="Arial"/>
                <w:b/>
                <w:bCs/>
                <w:sz w:val="24"/>
                <w:szCs w:val="24"/>
                <w:lang w:eastAsia="es-ES"/>
              </w:rPr>
            </w:pPr>
            <w:r w:rsidRPr="003C6AC7">
              <w:rPr>
                <w:rFonts w:ascii="Calibri" w:eastAsia="Times New Roman" w:hAnsi="Calibri" w:cs="Arial"/>
                <w:b/>
                <w:bCs/>
                <w:sz w:val="24"/>
                <w:szCs w:val="24"/>
                <w:lang w:eastAsia="es-ES"/>
              </w:rPr>
              <w:t>Actividades de aprendizaje</w:t>
            </w:r>
          </w:p>
        </w:tc>
      </w:tr>
      <w:tr w:rsidR="003C6AC7" w:rsidRPr="003C6AC7" w14:paraId="4F041484" w14:textId="77777777" w:rsidTr="00104785">
        <w:trPr>
          <w:jc w:val="center"/>
        </w:trPr>
        <w:tc>
          <w:tcPr>
            <w:tcW w:w="1144" w:type="dxa"/>
          </w:tcPr>
          <w:p w14:paraId="43DBDB2F"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t>1</w:t>
            </w:r>
          </w:p>
        </w:tc>
        <w:tc>
          <w:tcPr>
            <w:tcW w:w="2395" w:type="dxa"/>
          </w:tcPr>
          <w:p w14:paraId="64746680"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1: Hermenéutica: aproximación histórica y conceptual</w:t>
            </w:r>
          </w:p>
          <w:p w14:paraId="608D20D4" w14:textId="77777777" w:rsidR="003C6AC7" w:rsidRPr="003C6AC7" w:rsidRDefault="003C6AC7" w:rsidP="003C6AC7">
            <w:pPr>
              <w:widowControl w:val="0"/>
              <w:autoSpaceDN w:val="0"/>
              <w:rPr>
                <w:rFonts w:ascii="Calibri" w:eastAsia="Times New Roman" w:hAnsi="Calibri" w:cs="Calibri"/>
                <w:b/>
                <w:bCs/>
                <w:lang w:eastAsia="es-ES"/>
              </w:rPr>
            </w:pPr>
          </w:p>
          <w:p w14:paraId="2131472D"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1.1 La comprensión como problema hermenéutico</w:t>
            </w:r>
          </w:p>
          <w:p w14:paraId="7A843ADF"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3DD37FB0" w14:textId="77777777" w:rsidR="003C6AC7" w:rsidRPr="003C6AC7" w:rsidRDefault="003C6AC7" w:rsidP="003C6AC7">
            <w:pPr>
              <w:widowControl w:val="0"/>
              <w:autoSpaceDN w:val="0"/>
              <w:rPr>
                <w:rFonts w:ascii="Calibri" w:eastAsia="Times New Roman" w:hAnsi="Calibri" w:cs="Calibri"/>
                <w:color w:val="0070C0"/>
                <w:szCs w:val="18"/>
                <w:lang w:eastAsia="es-CR"/>
              </w:rPr>
            </w:pPr>
            <w:r w:rsidRPr="003C6AC7">
              <w:rPr>
                <w:rFonts w:ascii="Calibri" w:eastAsia="Times New Roman" w:hAnsi="Calibri" w:cs="Calibri"/>
                <w:color w:val="0070C0"/>
                <w:szCs w:val="18"/>
                <w:lang w:eastAsia="es-CR"/>
              </w:rPr>
              <w:t>Ruta de aprendizaje</w:t>
            </w:r>
          </w:p>
          <w:p w14:paraId="75D65462" w14:textId="77777777" w:rsidR="003C6AC7" w:rsidRPr="003C6AC7" w:rsidRDefault="003C6AC7" w:rsidP="003C6AC7">
            <w:pPr>
              <w:widowControl w:val="0"/>
              <w:autoSpaceDN w:val="0"/>
              <w:rPr>
                <w:rFonts w:ascii="Calibri" w:eastAsia="Times New Roman" w:hAnsi="Calibri" w:cs="Calibri"/>
                <w:color w:val="0070C0"/>
                <w:szCs w:val="18"/>
                <w:lang w:eastAsia="es-CR"/>
              </w:rPr>
            </w:pPr>
          </w:p>
          <w:p w14:paraId="3A701E73"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szCs w:val="18"/>
                <w:lang w:val="es-ES_tradnl" w:eastAsia="es-CR"/>
              </w:rPr>
              <w:t>Gadamer, Hans-Georg.</w:t>
            </w:r>
            <w:r w:rsidRPr="003C6AC7">
              <w:rPr>
                <w:rFonts w:ascii="Calibri" w:eastAsia="Times New Roman" w:hAnsi="Calibri" w:cs="Calibri"/>
                <w:color w:val="000000"/>
                <w:szCs w:val="18"/>
                <w:lang w:val="es-ES_tradnl" w:eastAsia="es-CR"/>
              </w:rPr>
              <w:t xml:space="preserve"> “Sobre el círculo de la comprensión”. En </w:t>
            </w:r>
            <w:r w:rsidRPr="003C6AC7">
              <w:rPr>
                <w:rFonts w:ascii="Calibri" w:eastAsia="Times New Roman" w:hAnsi="Calibri" w:cs="Calibri"/>
                <w:i/>
                <w:iCs/>
                <w:szCs w:val="18"/>
                <w:lang w:val="es-ES_tradnl" w:eastAsia="es-CR"/>
              </w:rPr>
              <w:t>Verdad y método II</w:t>
            </w:r>
            <w:r w:rsidRPr="003C6AC7">
              <w:rPr>
                <w:rFonts w:ascii="Calibri" w:eastAsia="Times New Roman" w:hAnsi="Calibri" w:cs="Calibri"/>
                <w:szCs w:val="18"/>
                <w:lang w:val="es-ES_tradnl" w:eastAsia="es-CR"/>
              </w:rPr>
              <w:t xml:space="preserve">, 63-70. Salamanca: Ediciones Sígueme, 2002. </w:t>
            </w:r>
            <w:r w:rsidRPr="003C6AC7">
              <w:rPr>
                <w:rFonts w:ascii="Calibri" w:eastAsia="Times New Roman" w:hAnsi="Calibri" w:cs="Calibri"/>
                <w:color w:val="0070C0"/>
                <w:szCs w:val="18"/>
                <w:lang w:val="es-ES_tradnl" w:eastAsia="es-CR"/>
              </w:rPr>
              <w:t>(clásico, última edición)</w:t>
            </w:r>
          </w:p>
          <w:p w14:paraId="7A4CFC83" w14:textId="77777777" w:rsidR="003C6AC7" w:rsidRPr="003C6AC7" w:rsidRDefault="003C6AC7" w:rsidP="003C6AC7">
            <w:pPr>
              <w:widowControl w:val="0"/>
              <w:autoSpaceDN w:val="0"/>
              <w:rPr>
                <w:rFonts w:ascii="Calibri" w:eastAsia="Times New Roman" w:hAnsi="Calibri" w:cs="Calibri"/>
                <w:sz w:val="20"/>
                <w:szCs w:val="16"/>
                <w:lang w:val="es-ES_tradnl" w:eastAsia="es-CR"/>
              </w:rPr>
            </w:pPr>
          </w:p>
          <w:p w14:paraId="76802C84"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szCs w:val="18"/>
                <w:lang w:val="es-ES_tradnl" w:eastAsia="es-CR"/>
              </w:rPr>
              <w:t xml:space="preserve">Ricoeur, Paul.  “La función hermenéutica del distanciamiento”. En </w:t>
            </w:r>
            <w:r w:rsidRPr="003C6AC7">
              <w:rPr>
                <w:rFonts w:ascii="Calibri" w:eastAsia="Times New Roman" w:hAnsi="Calibri" w:cs="Calibri"/>
                <w:i/>
                <w:iCs/>
                <w:szCs w:val="18"/>
                <w:lang w:val="es-ES_tradnl" w:eastAsia="es-CR"/>
              </w:rPr>
              <w:t>Hermenéutica y acción: de la hermenéutica del texto a la hermenéutica de la acción</w:t>
            </w:r>
            <w:r w:rsidRPr="003C6AC7">
              <w:rPr>
                <w:rFonts w:ascii="Calibri" w:eastAsia="Times New Roman" w:hAnsi="Calibri" w:cs="Calibri"/>
                <w:szCs w:val="18"/>
                <w:lang w:val="es-ES_tradnl" w:eastAsia="es-CR"/>
              </w:rPr>
              <w:t>, 95-110</w:t>
            </w:r>
            <w:r w:rsidRPr="003C6AC7">
              <w:rPr>
                <w:rFonts w:ascii="Calibri" w:eastAsia="Times New Roman" w:hAnsi="Calibri" w:cs="Calibri"/>
                <w:i/>
                <w:iCs/>
                <w:szCs w:val="18"/>
                <w:lang w:val="es-ES_tradnl" w:eastAsia="es-CR"/>
              </w:rPr>
              <w:t xml:space="preserve">.  </w:t>
            </w:r>
            <w:r w:rsidRPr="003C6AC7">
              <w:rPr>
                <w:rFonts w:ascii="Calibri" w:eastAsia="Times New Roman" w:hAnsi="Calibri" w:cs="Calibri"/>
                <w:szCs w:val="18"/>
                <w:lang w:val="es-ES_tradnl" w:eastAsia="es-CR"/>
              </w:rPr>
              <w:t xml:space="preserve">Buenos Aires: Prometeo libros, 2008. </w:t>
            </w:r>
            <w:r w:rsidRPr="003C6AC7">
              <w:rPr>
                <w:rFonts w:ascii="Calibri" w:eastAsia="Times New Roman" w:hAnsi="Calibri" w:cs="Calibri"/>
                <w:color w:val="0070C0"/>
                <w:szCs w:val="18"/>
                <w:lang w:val="es-ES_tradnl" w:eastAsia="es-CR"/>
              </w:rPr>
              <w:t>(clásico, última edición)</w:t>
            </w:r>
          </w:p>
          <w:p w14:paraId="2E38B8C5"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511517EF"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r w:rsidRPr="003C6AC7">
              <w:rPr>
                <w:rFonts w:ascii="Calibri" w:eastAsia="Times New Roman" w:hAnsi="Calibri" w:cs="Calibri"/>
                <w:b/>
                <w:bCs/>
                <w:color w:val="0070C0"/>
                <w:szCs w:val="18"/>
                <w:lang w:val="es-ES_tradnl" w:eastAsia="es-CR"/>
              </w:rPr>
              <w:t>Material complementario</w:t>
            </w:r>
          </w:p>
          <w:p w14:paraId="314418C5"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p>
          <w:p w14:paraId="1C771B74" w14:textId="77777777" w:rsidR="003C6AC7" w:rsidRPr="003C6AC7" w:rsidRDefault="003C6AC7" w:rsidP="003C6AC7">
            <w:pPr>
              <w:widowControl w:val="0"/>
              <w:autoSpaceDN w:val="0"/>
              <w:rPr>
                <w:rFonts w:ascii="Calibri" w:eastAsia="Times New Roman" w:hAnsi="Calibri" w:cs="Calibri"/>
                <w:color w:val="0070C0"/>
                <w:szCs w:val="18"/>
                <w:lang w:val="es-ES_tradnl" w:eastAsia="es-CR"/>
              </w:rPr>
            </w:pPr>
            <w:r w:rsidRPr="003C6AC7">
              <w:rPr>
                <w:rFonts w:ascii="Calibri" w:eastAsia="Times New Roman" w:hAnsi="Calibri" w:cs="Calibri"/>
                <w:color w:val="0070C0"/>
                <w:szCs w:val="18"/>
                <w:lang w:val="es-ES_tradnl" w:eastAsia="es-CR"/>
              </w:rPr>
              <w:t>Guía para la participación en un foro en la plataforma Moodle</w:t>
            </w:r>
          </w:p>
          <w:p w14:paraId="2064FB79" w14:textId="77777777" w:rsidR="003C6AC7" w:rsidRPr="003C6AC7" w:rsidRDefault="003C6AC7" w:rsidP="003C6AC7">
            <w:pPr>
              <w:widowControl w:val="0"/>
              <w:autoSpaceDN w:val="0"/>
              <w:rPr>
                <w:rFonts w:ascii="Calibri" w:eastAsia="Times New Roman" w:hAnsi="Calibri" w:cs="Calibri"/>
                <w:color w:val="0070C0"/>
                <w:szCs w:val="18"/>
                <w:lang w:val="es-ES_tradnl" w:eastAsia="es-CR"/>
              </w:rPr>
            </w:pPr>
          </w:p>
          <w:p w14:paraId="5D100BA0" w14:textId="77777777" w:rsidR="003C6AC7" w:rsidRPr="003C6AC7" w:rsidRDefault="003C6AC7" w:rsidP="003C6AC7">
            <w:pPr>
              <w:widowControl w:val="0"/>
              <w:autoSpaceDN w:val="0"/>
              <w:rPr>
                <w:rFonts w:ascii="Calibri" w:eastAsia="Times New Roman" w:hAnsi="Calibri" w:cs="Calibri"/>
                <w:color w:val="0070C0"/>
                <w:szCs w:val="18"/>
                <w:lang w:val="es-ES_tradnl" w:eastAsia="es-CR"/>
              </w:rPr>
            </w:pPr>
            <w:r w:rsidRPr="003C6AC7">
              <w:rPr>
                <w:rFonts w:ascii="Calibri" w:eastAsia="Times New Roman" w:hAnsi="Calibri" w:cs="Calibri"/>
                <w:color w:val="0070C0"/>
                <w:szCs w:val="18"/>
                <w:lang w:val="es-ES_tradnl" w:eastAsia="es-CR"/>
              </w:rPr>
              <w:t xml:space="preserve">Guía para la participación mediante la herramienta Big Blue </w:t>
            </w:r>
            <w:proofErr w:type="spellStart"/>
            <w:r w:rsidRPr="003C6AC7">
              <w:rPr>
                <w:rFonts w:ascii="Calibri" w:eastAsia="Times New Roman" w:hAnsi="Calibri" w:cs="Calibri"/>
                <w:color w:val="0070C0"/>
                <w:szCs w:val="18"/>
                <w:lang w:val="es-ES_tradnl" w:eastAsia="es-CR"/>
              </w:rPr>
              <w:t>Button</w:t>
            </w:r>
            <w:proofErr w:type="spellEnd"/>
            <w:r w:rsidRPr="003C6AC7">
              <w:rPr>
                <w:rFonts w:ascii="Calibri" w:eastAsia="Times New Roman" w:hAnsi="Calibri" w:cs="Calibri"/>
                <w:color w:val="0070C0"/>
                <w:szCs w:val="18"/>
                <w:lang w:val="es-ES_tradnl" w:eastAsia="es-CR"/>
              </w:rPr>
              <w:t xml:space="preserve"> en la plataforma Moodle</w:t>
            </w:r>
          </w:p>
          <w:p w14:paraId="4B9ADB95" w14:textId="77777777" w:rsidR="003C6AC7" w:rsidRPr="003C6AC7" w:rsidRDefault="003C6AC7" w:rsidP="003C6AC7">
            <w:pPr>
              <w:widowControl w:val="0"/>
              <w:autoSpaceDN w:val="0"/>
              <w:rPr>
                <w:rFonts w:ascii="Calibri" w:eastAsia="Times New Roman" w:hAnsi="Calibri" w:cs="Calibri"/>
                <w:color w:val="0070C0"/>
                <w:szCs w:val="18"/>
                <w:lang w:val="es-ES_tradnl" w:eastAsia="es-CR"/>
              </w:rPr>
            </w:pPr>
          </w:p>
          <w:p w14:paraId="0EE6B088"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color w:val="0070C0"/>
                <w:szCs w:val="18"/>
                <w:lang w:val="es-ES_tradnl" w:eastAsia="es-CR"/>
              </w:rPr>
              <w:t>Guía para la elaboración de un mapa conceptual</w:t>
            </w:r>
          </w:p>
          <w:p w14:paraId="430F1D3C"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35E159BE" w14:textId="77777777" w:rsidR="003C6AC7" w:rsidRPr="003C6AC7" w:rsidRDefault="003C6AC7" w:rsidP="003C6AC7">
            <w:pPr>
              <w:widowControl w:val="0"/>
              <w:numPr>
                <w:ilvl w:val="0"/>
                <w:numId w:val="227"/>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Participación en el foro social CAFETERÍA.</w:t>
            </w:r>
          </w:p>
          <w:p w14:paraId="213CAAC9" w14:textId="77777777" w:rsidR="003C6AC7" w:rsidRPr="003C6AC7" w:rsidRDefault="003C6AC7" w:rsidP="003C6AC7">
            <w:pPr>
              <w:widowControl w:val="0"/>
              <w:numPr>
                <w:ilvl w:val="0"/>
                <w:numId w:val="227"/>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Participación en el foro de dudas. </w:t>
            </w:r>
          </w:p>
          <w:p w14:paraId="2F70B5EA" w14:textId="77777777" w:rsidR="003C6AC7" w:rsidRPr="003C6AC7" w:rsidRDefault="003C6AC7" w:rsidP="003C6AC7">
            <w:pPr>
              <w:widowControl w:val="0"/>
              <w:numPr>
                <w:ilvl w:val="0"/>
                <w:numId w:val="227"/>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Realizar las lecturas de la sesión.</w:t>
            </w:r>
          </w:p>
          <w:p w14:paraId="11FFA422" w14:textId="77777777" w:rsidR="003C6AC7" w:rsidRPr="003C6AC7" w:rsidRDefault="003C6AC7" w:rsidP="003C6AC7">
            <w:pPr>
              <w:widowControl w:val="0"/>
              <w:numPr>
                <w:ilvl w:val="0"/>
                <w:numId w:val="227"/>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Introducción a las temáticas del curso en un encuentro sincrónico virtual (formativo). </w:t>
            </w:r>
          </w:p>
          <w:p w14:paraId="174862D4" w14:textId="77777777" w:rsidR="003C6AC7" w:rsidRPr="003C6AC7" w:rsidRDefault="003C6AC7" w:rsidP="003C6AC7">
            <w:pPr>
              <w:widowControl w:val="0"/>
              <w:numPr>
                <w:ilvl w:val="0"/>
                <w:numId w:val="227"/>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Elaboración de un mapa conceptual sobre la comprensión como problema hermenéutico.</w:t>
            </w:r>
          </w:p>
        </w:tc>
      </w:tr>
      <w:tr w:rsidR="003C6AC7" w:rsidRPr="003C6AC7" w14:paraId="01D133C4" w14:textId="77777777" w:rsidTr="00104785">
        <w:trPr>
          <w:jc w:val="center"/>
        </w:trPr>
        <w:tc>
          <w:tcPr>
            <w:tcW w:w="1144" w:type="dxa"/>
          </w:tcPr>
          <w:p w14:paraId="6A93D9F4"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t>2</w:t>
            </w:r>
          </w:p>
        </w:tc>
        <w:tc>
          <w:tcPr>
            <w:tcW w:w="2395" w:type="dxa"/>
          </w:tcPr>
          <w:p w14:paraId="451D42DA"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1: Hermenéutica: aproximación histórica y conceptual</w:t>
            </w:r>
          </w:p>
          <w:p w14:paraId="0E9A7D8A" w14:textId="77777777" w:rsidR="003C6AC7" w:rsidRPr="003C6AC7" w:rsidRDefault="003C6AC7" w:rsidP="003C6AC7">
            <w:pPr>
              <w:widowControl w:val="0"/>
              <w:autoSpaceDN w:val="0"/>
              <w:rPr>
                <w:rFonts w:ascii="Calibri" w:eastAsia="Times New Roman" w:hAnsi="Calibri" w:cs="Calibri"/>
                <w:lang w:eastAsia="es-ES"/>
              </w:rPr>
            </w:pPr>
          </w:p>
          <w:p w14:paraId="57CED087"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1.2 La hermenéutica y las ciencias sociales</w:t>
            </w:r>
          </w:p>
          <w:p w14:paraId="3422AA21" w14:textId="77777777" w:rsidR="003C6AC7" w:rsidRPr="003C6AC7" w:rsidRDefault="003C6AC7" w:rsidP="003C6AC7">
            <w:pPr>
              <w:widowControl w:val="0"/>
              <w:autoSpaceDN w:val="0"/>
              <w:rPr>
                <w:rFonts w:ascii="Calibri" w:eastAsia="Times New Roman" w:hAnsi="Calibri" w:cs="Calibri"/>
                <w:lang w:eastAsia="es-ES"/>
              </w:rPr>
            </w:pPr>
          </w:p>
          <w:p w14:paraId="30E57AB9" w14:textId="77777777" w:rsidR="003C6AC7" w:rsidRPr="003C6AC7" w:rsidRDefault="003C6AC7" w:rsidP="003C6AC7">
            <w:pPr>
              <w:widowControl w:val="0"/>
              <w:autoSpaceDN w:val="0"/>
              <w:rPr>
                <w:rFonts w:ascii="Calibri" w:eastAsia="Times New Roman" w:hAnsi="Calibri" w:cs="Calibri"/>
                <w:lang w:eastAsia="es-ES"/>
              </w:rPr>
            </w:pPr>
          </w:p>
          <w:p w14:paraId="6EA1D0AA"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50CEF235" w14:textId="77777777" w:rsidR="003C6AC7" w:rsidRPr="003C6AC7" w:rsidRDefault="003C6AC7" w:rsidP="003C6AC7">
            <w:pPr>
              <w:widowControl w:val="0"/>
              <w:autoSpaceDN w:val="0"/>
              <w:rPr>
                <w:rFonts w:ascii="Calibri" w:eastAsia="Times New Roman" w:hAnsi="Calibri" w:cs="Calibri"/>
                <w:color w:val="0070C0"/>
                <w:szCs w:val="18"/>
                <w:lang w:eastAsia="es-CR"/>
              </w:rPr>
            </w:pPr>
            <w:r w:rsidRPr="003C6AC7">
              <w:rPr>
                <w:rFonts w:ascii="Calibri" w:eastAsia="Times New Roman" w:hAnsi="Calibri" w:cs="Calibri"/>
                <w:color w:val="0070C0"/>
                <w:szCs w:val="18"/>
                <w:lang w:eastAsia="es-CR"/>
              </w:rPr>
              <w:lastRenderedPageBreak/>
              <w:t>Ruta de aprendizaje</w:t>
            </w:r>
          </w:p>
          <w:p w14:paraId="2E2EBD30"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521C9D6C" w14:textId="77777777" w:rsidR="003C6AC7" w:rsidRPr="003C6AC7" w:rsidRDefault="003C6AC7" w:rsidP="003C6AC7">
            <w:pPr>
              <w:widowControl w:val="0"/>
              <w:autoSpaceDN w:val="0"/>
              <w:rPr>
                <w:rFonts w:ascii="Calibri" w:eastAsia="Times New Roman" w:hAnsi="Calibri" w:cs="Calibri"/>
                <w:szCs w:val="18"/>
                <w:lang w:val="es-ES_tradnl" w:eastAsia="es-CR"/>
              </w:rPr>
            </w:pPr>
            <w:proofErr w:type="spellStart"/>
            <w:r w:rsidRPr="003C6AC7">
              <w:rPr>
                <w:rFonts w:ascii="Calibri" w:eastAsia="Times New Roman" w:hAnsi="Calibri" w:cs="Calibri"/>
                <w:szCs w:val="18"/>
                <w:lang w:val="es-ES_tradnl" w:eastAsia="es-CR"/>
              </w:rPr>
              <w:t>Ferraris</w:t>
            </w:r>
            <w:proofErr w:type="spellEnd"/>
            <w:r w:rsidRPr="003C6AC7">
              <w:rPr>
                <w:rFonts w:ascii="Calibri" w:eastAsia="Times New Roman" w:hAnsi="Calibri" w:cs="Calibri"/>
                <w:szCs w:val="18"/>
                <w:lang w:val="es-ES_tradnl" w:eastAsia="es-CR"/>
              </w:rPr>
              <w:t xml:space="preserve">, Mauricio. “Las Ciencias Sociales”. En </w:t>
            </w:r>
            <w:r w:rsidRPr="003C6AC7">
              <w:rPr>
                <w:rFonts w:ascii="Calibri" w:eastAsia="Times New Roman" w:hAnsi="Calibri" w:cs="Calibri"/>
                <w:i/>
                <w:iCs/>
                <w:szCs w:val="18"/>
                <w:lang w:val="es-ES_tradnl" w:eastAsia="es-CR"/>
              </w:rPr>
              <w:t>Historia de la hermenéutica</w:t>
            </w:r>
            <w:r w:rsidRPr="003C6AC7">
              <w:rPr>
                <w:rFonts w:ascii="Calibri" w:eastAsia="Times New Roman" w:hAnsi="Calibri" w:cs="Calibri"/>
                <w:szCs w:val="18"/>
                <w:lang w:val="es-ES_tradnl" w:eastAsia="es-CR"/>
              </w:rPr>
              <w:t>, 311-323</w:t>
            </w:r>
            <w:r w:rsidRPr="003C6AC7">
              <w:rPr>
                <w:rFonts w:ascii="Calibri" w:eastAsia="Times New Roman" w:hAnsi="Calibri" w:cs="Calibri"/>
                <w:i/>
                <w:iCs/>
                <w:szCs w:val="18"/>
                <w:lang w:val="es-ES_tradnl" w:eastAsia="es-CR"/>
              </w:rPr>
              <w:t xml:space="preserve">. </w:t>
            </w:r>
            <w:r w:rsidRPr="003C6AC7">
              <w:rPr>
                <w:rFonts w:ascii="Calibri" w:eastAsia="Times New Roman" w:hAnsi="Calibri" w:cs="Calibri"/>
                <w:szCs w:val="18"/>
                <w:lang w:val="es-ES_tradnl" w:eastAsia="es-CR"/>
              </w:rPr>
              <w:t>México, D.F.: Siglo Veintiuno,</w:t>
            </w:r>
            <w:r w:rsidRPr="003C6AC7">
              <w:rPr>
                <w:rFonts w:ascii="Calibri" w:eastAsia="Times New Roman" w:hAnsi="Calibri" w:cs="Calibri"/>
                <w:i/>
                <w:iCs/>
                <w:szCs w:val="18"/>
                <w:lang w:val="es-ES_tradnl" w:eastAsia="es-CR"/>
              </w:rPr>
              <w:t xml:space="preserve"> </w:t>
            </w:r>
            <w:r w:rsidRPr="003C6AC7">
              <w:rPr>
                <w:rFonts w:ascii="Calibri" w:eastAsia="Times New Roman" w:hAnsi="Calibri" w:cs="Calibri"/>
                <w:szCs w:val="18"/>
                <w:lang w:val="es-ES_tradnl" w:eastAsia="es-CR"/>
              </w:rPr>
              <w:t xml:space="preserve">2002. </w:t>
            </w:r>
            <w:r w:rsidRPr="003C6AC7">
              <w:rPr>
                <w:rFonts w:ascii="Calibri" w:eastAsia="Times New Roman" w:hAnsi="Calibri" w:cs="Calibri"/>
                <w:color w:val="0070C0"/>
                <w:szCs w:val="18"/>
                <w:lang w:val="es-ES_tradnl" w:eastAsia="es-CR"/>
              </w:rPr>
              <w:t>(clásico, última edición)</w:t>
            </w:r>
          </w:p>
          <w:p w14:paraId="2ED020E9"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018B5AF9"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r w:rsidRPr="003C6AC7">
              <w:rPr>
                <w:rFonts w:ascii="Calibri" w:eastAsia="Times New Roman" w:hAnsi="Calibri" w:cs="Calibri"/>
                <w:b/>
                <w:bCs/>
                <w:color w:val="0070C0"/>
                <w:szCs w:val="18"/>
                <w:lang w:val="es-ES_tradnl" w:eastAsia="es-CR"/>
              </w:rPr>
              <w:lastRenderedPageBreak/>
              <w:t>Material complementario</w:t>
            </w:r>
          </w:p>
          <w:p w14:paraId="5A2DAB24"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p>
          <w:p w14:paraId="250B761F" w14:textId="77777777" w:rsidR="003C6AC7" w:rsidRPr="003C6AC7" w:rsidRDefault="003C6AC7" w:rsidP="003C6AC7">
            <w:pPr>
              <w:widowControl w:val="0"/>
              <w:autoSpaceDN w:val="0"/>
              <w:rPr>
                <w:rFonts w:ascii="Calibri" w:eastAsia="Times New Roman" w:hAnsi="Calibri" w:cs="Calibri"/>
                <w:color w:val="0070C0"/>
                <w:szCs w:val="18"/>
                <w:lang w:val="es-ES_tradnl" w:eastAsia="es-CR"/>
              </w:rPr>
            </w:pPr>
            <w:r w:rsidRPr="003C6AC7">
              <w:rPr>
                <w:rFonts w:ascii="Calibri" w:eastAsia="Times New Roman" w:hAnsi="Calibri" w:cs="Calibri"/>
                <w:color w:val="0070C0"/>
                <w:szCs w:val="18"/>
                <w:lang w:val="es-ES_tradnl" w:eastAsia="es-CR"/>
              </w:rPr>
              <w:t>Guía para la participación en un foro en la plataforma Moodle</w:t>
            </w:r>
          </w:p>
          <w:p w14:paraId="43BF53BC"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1DFC3049" w14:textId="77777777" w:rsidR="003C6AC7" w:rsidRPr="003C6AC7" w:rsidRDefault="003C6AC7" w:rsidP="003C6AC7">
            <w:pPr>
              <w:widowControl w:val="0"/>
              <w:numPr>
                <w:ilvl w:val="0"/>
                <w:numId w:val="228"/>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lastRenderedPageBreak/>
              <w:t>Realizar la lectura de la sesión.</w:t>
            </w:r>
          </w:p>
          <w:p w14:paraId="6ED523F4" w14:textId="77777777" w:rsidR="003C6AC7" w:rsidRPr="003C6AC7" w:rsidRDefault="003C6AC7" w:rsidP="003C6AC7">
            <w:pPr>
              <w:widowControl w:val="0"/>
              <w:numPr>
                <w:ilvl w:val="0"/>
                <w:numId w:val="228"/>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Participación en el foro temático: La historia de la hermenéutica y su relación con los Estudios Bíblicos. </w:t>
            </w:r>
          </w:p>
        </w:tc>
      </w:tr>
      <w:tr w:rsidR="003C6AC7" w:rsidRPr="003C6AC7" w14:paraId="71625CE2" w14:textId="77777777" w:rsidTr="00104785">
        <w:trPr>
          <w:jc w:val="center"/>
        </w:trPr>
        <w:tc>
          <w:tcPr>
            <w:tcW w:w="1144" w:type="dxa"/>
          </w:tcPr>
          <w:p w14:paraId="51BB9DE0"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t>3</w:t>
            </w:r>
          </w:p>
        </w:tc>
        <w:tc>
          <w:tcPr>
            <w:tcW w:w="2395" w:type="dxa"/>
          </w:tcPr>
          <w:p w14:paraId="25A472A5"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1: Hermenéutica: aproximación histórica y conceptual</w:t>
            </w:r>
          </w:p>
          <w:p w14:paraId="30CEED5F" w14:textId="77777777" w:rsidR="003C6AC7" w:rsidRPr="003C6AC7" w:rsidRDefault="003C6AC7" w:rsidP="003C6AC7">
            <w:pPr>
              <w:widowControl w:val="0"/>
              <w:autoSpaceDN w:val="0"/>
              <w:rPr>
                <w:rFonts w:ascii="Calibri" w:eastAsia="Times New Roman" w:hAnsi="Calibri" w:cs="Calibri"/>
                <w:lang w:eastAsia="es-ES"/>
              </w:rPr>
            </w:pPr>
          </w:p>
          <w:p w14:paraId="0D752FA7"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1.3 El mundo como texto y el mundo del texto</w:t>
            </w:r>
          </w:p>
          <w:p w14:paraId="63B1E0D9" w14:textId="77777777" w:rsidR="003C6AC7" w:rsidRPr="003C6AC7" w:rsidRDefault="003C6AC7" w:rsidP="003C6AC7">
            <w:pPr>
              <w:widowControl w:val="0"/>
              <w:autoSpaceDN w:val="0"/>
              <w:rPr>
                <w:rFonts w:ascii="Calibri" w:eastAsia="Times New Roman" w:hAnsi="Calibri" w:cs="Calibri"/>
                <w:lang w:eastAsia="es-ES"/>
              </w:rPr>
            </w:pPr>
          </w:p>
          <w:p w14:paraId="3A0BD41A" w14:textId="77777777" w:rsidR="003C6AC7" w:rsidRPr="003C6AC7" w:rsidRDefault="003C6AC7" w:rsidP="003C6AC7">
            <w:pPr>
              <w:widowControl w:val="0"/>
              <w:autoSpaceDN w:val="0"/>
              <w:rPr>
                <w:rFonts w:ascii="Calibri" w:eastAsia="Times New Roman" w:hAnsi="Calibri" w:cs="Calibri"/>
                <w:lang w:eastAsia="es-ES"/>
              </w:rPr>
            </w:pPr>
          </w:p>
          <w:p w14:paraId="72D4B92B" w14:textId="77777777" w:rsidR="003C6AC7" w:rsidRPr="003C6AC7" w:rsidRDefault="003C6AC7" w:rsidP="003C6AC7">
            <w:pPr>
              <w:widowControl w:val="0"/>
              <w:autoSpaceDN w:val="0"/>
              <w:rPr>
                <w:rFonts w:ascii="Calibri" w:eastAsia="Times New Roman" w:hAnsi="Calibri" w:cs="Calibri"/>
                <w:lang w:eastAsia="es-ES"/>
              </w:rPr>
            </w:pPr>
          </w:p>
          <w:p w14:paraId="65D08AA6"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0C63EF07" w14:textId="77777777" w:rsidR="003C6AC7" w:rsidRPr="003C6AC7" w:rsidRDefault="003C6AC7" w:rsidP="003C6AC7">
            <w:pPr>
              <w:widowControl w:val="0"/>
              <w:autoSpaceDN w:val="0"/>
              <w:rPr>
                <w:rFonts w:ascii="Calibri" w:eastAsia="Times New Roman" w:hAnsi="Calibri" w:cs="Calibri"/>
                <w:color w:val="0070C0"/>
                <w:szCs w:val="18"/>
                <w:lang w:eastAsia="es-CR"/>
              </w:rPr>
            </w:pPr>
            <w:r w:rsidRPr="003C6AC7">
              <w:rPr>
                <w:rFonts w:ascii="Calibri" w:eastAsia="Times New Roman" w:hAnsi="Calibri" w:cs="Calibri"/>
                <w:color w:val="0070C0"/>
                <w:szCs w:val="18"/>
                <w:lang w:eastAsia="es-CR"/>
              </w:rPr>
              <w:t>Ruta de aprendizaje</w:t>
            </w:r>
          </w:p>
          <w:p w14:paraId="70D5A885" w14:textId="77777777" w:rsidR="003C6AC7" w:rsidRPr="003C6AC7" w:rsidRDefault="003C6AC7" w:rsidP="003C6AC7">
            <w:pPr>
              <w:widowControl w:val="0"/>
              <w:autoSpaceDN w:val="0"/>
              <w:rPr>
                <w:rFonts w:ascii="Calibri" w:eastAsia="Noto Sans" w:hAnsi="Calibri" w:cs="Calibri"/>
                <w:szCs w:val="18"/>
                <w:lang w:eastAsia="es-CR"/>
              </w:rPr>
            </w:pPr>
          </w:p>
          <w:p w14:paraId="4FAEF35F" w14:textId="77777777" w:rsidR="003C6AC7" w:rsidRPr="003C6AC7" w:rsidRDefault="003C6AC7" w:rsidP="003C6AC7">
            <w:pPr>
              <w:widowControl w:val="0"/>
              <w:autoSpaceDN w:val="0"/>
              <w:rPr>
                <w:rFonts w:ascii="Calibri" w:eastAsia="Times New Roman" w:hAnsi="Calibri" w:cs="Calibri"/>
                <w:color w:val="0563C1"/>
                <w:szCs w:val="18"/>
                <w:u w:val="single"/>
                <w:lang w:val="es-ES_tradnl" w:eastAsia="es-CR"/>
              </w:rPr>
            </w:pPr>
            <w:r w:rsidRPr="003C6AC7">
              <w:rPr>
                <w:rFonts w:ascii="Calibri" w:eastAsia="Noto Sans" w:hAnsi="Calibri" w:cs="Calibri"/>
                <w:szCs w:val="18"/>
                <w:lang w:eastAsia="es-CR"/>
              </w:rPr>
              <w:t>Ardila J., Clemencia. “</w:t>
            </w:r>
            <w:r w:rsidRPr="003C6AC7">
              <w:rPr>
                <w:rFonts w:ascii="Calibri" w:eastAsia="Times New Roman" w:hAnsi="Calibri" w:cs="Calibri"/>
                <w:szCs w:val="18"/>
                <w:lang w:val="es-ES_tradnl" w:eastAsia="es-CR"/>
              </w:rPr>
              <w:t>Del mundo del texto al mundo del lector (Ricoeur y Cortázar</w:t>
            </w:r>
            <w:r w:rsidRPr="003C6AC7">
              <w:rPr>
                <w:rFonts w:ascii="Calibri" w:eastAsia="Noto Sans" w:hAnsi="Calibri" w:cs="Calibri"/>
                <w:szCs w:val="18"/>
                <w:lang w:eastAsia="es-CR"/>
              </w:rPr>
              <w:t xml:space="preserve">)”. </w:t>
            </w:r>
            <w:r w:rsidRPr="003C6AC7">
              <w:rPr>
                <w:rFonts w:ascii="Calibri" w:eastAsia="Noto Sans" w:hAnsi="Calibri" w:cs="Calibri"/>
                <w:i/>
                <w:iCs/>
                <w:szCs w:val="18"/>
                <w:lang w:eastAsia="es-CR"/>
              </w:rPr>
              <w:t>Co-Herencia</w:t>
            </w:r>
            <w:r w:rsidRPr="003C6AC7">
              <w:rPr>
                <w:rFonts w:ascii="Calibri" w:eastAsia="Noto Sans" w:hAnsi="Calibri" w:cs="Calibri"/>
                <w:szCs w:val="18"/>
                <w:lang w:eastAsia="es-CR"/>
              </w:rPr>
              <w:t xml:space="preserve"> n. 12 (2010): 131-159. </w:t>
            </w:r>
            <w:r w:rsidRPr="003C6AC7">
              <w:rPr>
                <w:rFonts w:ascii="Calibri" w:eastAsia="Times New Roman" w:hAnsi="Calibri" w:cs="Calibri"/>
                <w:szCs w:val="18"/>
                <w:lang w:val="es-ES_tradnl" w:eastAsia="es-CR"/>
              </w:rPr>
              <w:t xml:space="preserve">Acceso del 19 de octubre de 2022. </w:t>
            </w:r>
            <w:hyperlink r:id="rId362" w:history="1">
              <w:r w:rsidRPr="003C6AC7">
                <w:rPr>
                  <w:rFonts w:ascii="Calibri" w:eastAsia="Times New Roman" w:hAnsi="Calibri" w:cs="Calibri"/>
                  <w:color w:val="0563C1"/>
                  <w:szCs w:val="18"/>
                  <w:u w:val="single"/>
                  <w:lang w:val="es-ES_tradnl" w:eastAsia="es-CR"/>
                </w:rPr>
                <w:t>https://publicaciones.eafit.edu.co/index.php/co-herencia/article/view/19</w:t>
              </w:r>
            </w:hyperlink>
          </w:p>
          <w:p w14:paraId="05BB6380" w14:textId="77777777" w:rsidR="003C6AC7" w:rsidRPr="003C6AC7" w:rsidRDefault="003C6AC7" w:rsidP="003C6AC7">
            <w:pPr>
              <w:widowControl w:val="0"/>
              <w:autoSpaceDN w:val="0"/>
              <w:rPr>
                <w:rFonts w:ascii="Times New Roman" w:eastAsia="Times New Roman" w:hAnsi="Times New Roman" w:cs="Times New Roman"/>
                <w:color w:val="0563C1"/>
                <w:sz w:val="24"/>
                <w:szCs w:val="18"/>
                <w:u w:val="single"/>
                <w:lang w:val="es-ES_tradnl" w:eastAsia="es-CR"/>
              </w:rPr>
            </w:pPr>
          </w:p>
          <w:p w14:paraId="00E4CCC4"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r w:rsidRPr="003C6AC7">
              <w:rPr>
                <w:rFonts w:ascii="Calibri" w:eastAsia="Times New Roman" w:hAnsi="Calibri" w:cs="Calibri"/>
                <w:b/>
                <w:bCs/>
                <w:color w:val="0070C0"/>
                <w:szCs w:val="18"/>
                <w:lang w:val="es-ES_tradnl" w:eastAsia="es-CR"/>
              </w:rPr>
              <w:t>Material complementario</w:t>
            </w:r>
          </w:p>
          <w:p w14:paraId="64903592"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p>
          <w:p w14:paraId="0B640EFD" w14:textId="77777777" w:rsidR="003C6AC7" w:rsidRPr="003C6AC7" w:rsidRDefault="003C6AC7" w:rsidP="003C6AC7">
            <w:pPr>
              <w:widowControl w:val="0"/>
              <w:autoSpaceDN w:val="0"/>
              <w:rPr>
                <w:rFonts w:ascii="Calibri" w:eastAsia="Times New Roman" w:hAnsi="Calibri" w:cs="Calibri"/>
                <w:color w:val="0070C0"/>
                <w:szCs w:val="18"/>
                <w:lang w:val="es-ES_tradnl" w:eastAsia="es-CR"/>
              </w:rPr>
            </w:pPr>
            <w:r w:rsidRPr="003C6AC7">
              <w:rPr>
                <w:rFonts w:ascii="Calibri" w:eastAsia="Times New Roman" w:hAnsi="Calibri" w:cs="Calibri"/>
                <w:color w:val="0070C0"/>
                <w:szCs w:val="18"/>
                <w:lang w:val="es-ES_tradnl" w:eastAsia="es-CR"/>
              </w:rPr>
              <w:t>Guía para la elaboración de una reseña crítica de lectura</w:t>
            </w:r>
          </w:p>
          <w:p w14:paraId="189FC2E6" w14:textId="77777777" w:rsidR="003C6AC7" w:rsidRPr="003C6AC7" w:rsidRDefault="003C6AC7" w:rsidP="003C6AC7">
            <w:pPr>
              <w:widowControl w:val="0"/>
              <w:autoSpaceDN w:val="0"/>
              <w:rPr>
                <w:rFonts w:ascii="Calibri" w:eastAsia="Times New Roman" w:hAnsi="Calibri" w:cs="Calibri"/>
                <w:color w:val="0070C0"/>
                <w:szCs w:val="18"/>
                <w:lang w:val="es-ES_tradnl" w:eastAsia="es-CR"/>
              </w:rPr>
            </w:pPr>
          </w:p>
          <w:p w14:paraId="4404B3DE" w14:textId="77777777" w:rsidR="003C6AC7" w:rsidRPr="003C6AC7" w:rsidRDefault="003C6AC7" w:rsidP="003C6AC7">
            <w:pPr>
              <w:widowControl w:val="0"/>
              <w:autoSpaceDN w:val="0"/>
              <w:rPr>
                <w:rFonts w:ascii="Calibri" w:eastAsia="Times New Roman" w:hAnsi="Calibri" w:cs="Calibri"/>
                <w:color w:val="0070C0"/>
                <w:szCs w:val="18"/>
                <w:lang w:val="es-ES_tradnl" w:eastAsia="es-CR"/>
              </w:rPr>
            </w:pPr>
            <w:r w:rsidRPr="003C6AC7">
              <w:rPr>
                <w:rFonts w:ascii="Calibri" w:eastAsia="Times New Roman" w:hAnsi="Calibri" w:cs="Calibri"/>
                <w:color w:val="0070C0"/>
                <w:szCs w:val="18"/>
                <w:lang w:val="es-ES_tradnl" w:eastAsia="es-CR"/>
              </w:rPr>
              <w:t xml:space="preserve">Guía para la participación mediante la herramienta Big Blue </w:t>
            </w:r>
            <w:proofErr w:type="spellStart"/>
            <w:r w:rsidRPr="003C6AC7">
              <w:rPr>
                <w:rFonts w:ascii="Calibri" w:eastAsia="Times New Roman" w:hAnsi="Calibri" w:cs="Calibri"/>
                <w:color w:val="0070C0"/>
                <w:szCs w:val="18"/>
                <w:lang w:val="es-ES_tradnl" w:eastAsia="es-CR"/>
              </w:rPr>
              <w:t>Button</w:t>
            </w:r>
            <w:proofErr w:type="spellEnd"/>
            <w:r w:rsidRPr="003C6AC7">
              <w:rPr>
                <w:rFonts w:ascii="Calibri" w:eastAsia="Times New Roman" w:hAnsi="Calibri" w:cs="Calibri"/>
                <w:color w:val="0070C0"/>
                <w:szCs w:val="18"/>
                <w:lang w:val="es-ES_tradnl" w:eastAsia="es-CR"/>
              </w:rPr>
              <w:t xml:space="preserve"> en la plataforma Moodle</w:t>
            </w:r>
          </w:p>
          <w:p w14:paraId="03751BFA"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3EBEEE82" w14:textId="77777777" w:rsidR="003C6AC7" w:rsidRPr="003C6AC7" w:rsidRDefault="003C6AC7" w:rsidP="003C6AC7">
            <w:pPr>
              <w:widowControl w:val="0"/>
              <w:numPr>
                <w:ilvl w:val="0"/>
                <w:numId w:val="229"/>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Realizar la lectura de la sesión.</w:t>
            </w:r>
          </w:p>
          <w:p w14:paraId="3DD0BCE8" w14:textId="77777777" w:rsidR="003C6AC7" w:rsidRPr="003C6AC7" w:rsidRDefault="003C6AC7" w:rsidP="003C6AC7">
            <w:pPr>
              <w:widowControl w:val="0"/>
              <w:numPr>
                <w:ilvl w:val="0"/>
                <w:numId w:val="229"/>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Elaboración de una reseña crítica de la lectura.</w:t>
            </w:r>
          </w:p>
          <w:p w14:paraId="0BEBD54B" w14:textId="77777777" w:rsidR="003C6AC7" w:rsidRPr="003C6AC7" w:rsidRDefault="003C6AC7" w:rsidP="003C6AC7">
            <w:pPr>
              <w:widowControl w:val="0"/>
              <w:numPr>
                <w:ilvl w:val="0"/>
                <w:numId w:val="229"/>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Exposición docente y discusión grupal en un encuentro sincrónico virtual (formativo).</w:t>
            </w:r>
          </w:p>
        </w:tc>
      </w:tr>
      <w:tr w:rsidR="003C6AC7" w:rsidRPr="003C6AC7" w14:paraId="2780D162" w14:textId="77777777" w:rsidTr="00104785">
        <w:trPr>
          <w:trHeight w:val="1975"/>
          <w:jc w:val="center"/>
        </w:trPr>
        <w:tc>
          <w:tcPr>
            <w:tcW w:w="1144" w:type="dxa"/>
          </w:tcPr>
          <w:p w14:paraId="6592449B"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t>4</w:t>
            </w:r>
          </w:p>
        </w:tc>
        <w:tc>
          <w:tcPr>
            <w:tcW w:w="2395" w:type="dxa"/>
          </w:tcPr>
          <w:p w14:paraId="375EEDEA"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2: El proceso hermenéutico de la formación de los textos</w:t>
            </w:r>
          </w:p>
          <w:p w14:paraId="4FD9EA4C" w14:textId="77777777" w:rsidR="003C6AC7" w:rsidRPr="003C6AC7" w:rsidRDefault="003C6AC7" w:rsidP="003C6AC7">
            <w:pPr>
              <w:widowControl w:val="0"/>
              <w:autoSpaceDN w:val="0"/>
              <w:rPr>
                <w:rFonts w:ascii="Calibri" w:eastAsia="Times New Roman" w:hAnsi="Calibri" w:cs="Calibri"/>
                <w:b/>
                <w:bCs/>
                <w:lang w:eastAsia="es-ES"/>
              </w:rPr>
            </w:pPr>
          </w:p>
          <w:p w14:paraId="75FE399A"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2.1 La Biblia como texto sagrado en la tradición judeocristiana</w:t>
            </w:r>
          </w:p>
        </w:tc>
        <w:tc>
          <w:tcPr>
            <w:tcW w:w="2835" w:type="dxa"/>
          </w:tcPr>
          <w:p w14:paraId="34F4BA8A" w14:textId="77777777" w:rsidR="003C6AC7" w:rsidRPr="003C6AC7" w:rsidRDefault="003C6AC7" w:rsidP="003C6AC7">
            <w:pPr>
              <w:widowControl w:val="0"/>
              <w:autoSpaceDN w:val="0"/>
              <w:rPr>
                <w:rFonts w:ascii="Calibri" w:eastAsia="Times New Roman" w:hAnsi="Calibri" w:cs="Calibri"/>
                <w:color w:val="0070C0"/>
                <w:szCs w:val="18"/>
                <w:lang w:eastAsia="es-CR"/>
              </w:rPr>
            </w:pPr>
            <w:r w:rsidRPr="003C6AC7">
              <w:rPr>
                <w:rFonts w:ascii="Calibri" w:eastAsia="Times New Roman" w:hAnsi="Calibri" w:cs="Calibri"/>
                <w:color w:val="0070C0"/>
                <w:szCs w:val="18"/>
                <w:lang w:eastAsia="es-CR"/>
              </w:rPr>
              <w:t>Ruta de aprendizaje</w:t>
            </w:r>
          </w:p>
          <w:p w14:paraId="2BA501B2" w14:textId="77777777" w:rsidR="003C6AC7" w:rsidRPr="003C6AC7" w:rsidRDefault="003C6AC7" w:rsidP="003C6AC7">
            <w:pPr>
              <w:widowControl w:val="0"/>
              <w:autoSpaceDN w:val="0"/>
              <w:rPr>
                <w:rFonts w:ascii="Calibri" w:eastAsia="Times New Roman" w:hAnsi="Calibri" w:cs="Calibri"/>
                <w:szCs w:val="18"/>
                <w:lang w:val="fr-FR" w:eastAsia="es-CR"/>
              </w:rPr>
            </w:pPr>
          </w:p>
          <w:p w14:paraId="743EE107" w14:textId="77777777" w:rsidR="003C6AC7" w:rsidRPr="003C6AC7" w:rsidRDefault="003C6AC7" w:rsidP="003C6AC7">
            <w:pPr>
              <w:widowControl w:val="0"/>
              <w:autoSpaceDN w:val="0"/>
              <w:rPr>
                <w:rFonts w:ascii="Calibri" w:eastAsia="Times New Roman" w:hAnsi="Calibri" w:cs="Calibri"/>
                <w:szCs w:val="18"/>
                <w:lang w:val="fr-FR" w:eastAsia="es-CR"/>
              </w:rPr>
            </w:pPr>
            <w:r w:rsidRPr="003C6AC7">
              <w:rPr>
                <w:rFonts w:ascii="Calibri" w:eastAsia="Times New Roman" w:hAnsi="Calibri" w:cs="Calibri"/>
                <w:szCs w:val="18"/>
                <w:lang w:val="fr-FR" w:eastAsia="es-CR"/>
              </w:rPr>
              <w:t xml:space="preserve">Millet, Olivier y De Robert, Philippe. </w:t>
            </w:r>
            <w:r w:rsidRPr="003C6AC7">
              <w:rPr>
                <w:rFonts w:ascii="Calibri" w:eastAsia="Times New Roman" w:hAnsi="Calibri" w:cs="Calibri"/>
                <w:szCs w:val="18"/>
                <w:lang w:val="es-ES_tradnl" w:eastAsia="es-CR"/>
              </w:rPr>
              <w:t xml:space="preserve">“La Biblia judía”, “La Biblia cristiana: tradiciones exegéticas”. En </w:t>
            </w:r>
            <w:r w:rsidRPr="003C6AC7">
              <w:rPr>
                <w:rFonts w:ascii="Calibri" w:eastAsia="Times New Roman" w:hAnsi="Calibri" w:cs="Calibri"/>
                <w:i/>
                <w:iCs/>
                <w:szCs w:val="18"/>
                <w:lang w:val="es-ES_tradnl" w:eastAsia="es-CR"/>
              </w:rPr>
              <w:t>Cultura Bíblica</w:t>
            </w:r>
            <w:r w:rsidRPr="003C6AC7">
              <w:rPr>
                <w:rFonts w:ascii="Calibri" w:eastAsia="Times New Roman" w:hAnsi="Calibri" w:cs="Calibri"/>
                <w:szCs w:val="18"/>
                <w:lang w:val="es-ES_tradnl" w:eastAsia="es-CR"/>
              </w:rPr>
              <w:t>, 211-272</w:t>
            </w:r>
            <w:r w:rsidRPr="003C6AC7">
              <w:rPr>
                <w:rFonts w:ascii="Calibri" w:eastAsia="Times New Roman" w:hAnsi="Calibri" w:cs="Calibri"/>
                <w:i/>
                <w:iCs/>
                <w:szCs w:val="18"/>
                <w:lang w:val="es-ES_tradnl" w:eastAsia="es-CR"/>
              </w:rPr>
              <w:t xml:space="preserve">. </w:t>
            </w:r>
            <w:r w:rsidRPr="003C6AC7">
              <w:rPr>
                <w:rFonts w:ascii="Calibri" w:eastAsia="Times New Roman" w:hAnsi="Calibri" w:cs="Calibri"/>
                <w:szCs w:val="18"/>
                <w:lang w:val="es-ES_tradnl" w:eastAsia="es-CR"/>
              </w:rPr>
              <w:t xml:space="preserve">Madrid: Editorial Complutense, </w:t>
            </w:r>
            <w:r w:rsidRPr="003C6AC7">
              <w:rPr>
                <w:rFonts w:ascii="Calibri" w:eastAsia="Times New Roman" w:hAnsi="Calibri" w:cs="Calibri"/>
                <w:szCs w:val="18"/>
                <w:lang w:val="fr-FR" w:eastAsia="es-CR"/>
              </w:rPr>
              <w:t xml:space="preserve">2003. </w:t>
            </w:r>
            <w:r w:rsidRPr="003C6AC7">
              <w:rPr>
                <w:rFonts w:ascii="Calibri" w:eastAsia="Times New Roman" w:hAnsi="Calibri" w:cs="Calibri"/>
                <w:color w:val="0070C0"/>
                <w:szCs w:val="18"/>
                <w:lang w:val="es-ES_tradnl" w:eastAsia="es-CR"/>
              </w:rPr>
              <w:t>(clásico, última edición)</w:t>
            </w:r>
          </w:p>
          <w:p w14:paraId="2B4BC1CE" w14:textId="77777777" w:rsidR="003C6AC7" w:rsidRPr="003C6AC7" w:rsidRDefault="003C6AC7" w:rsidP="003C6AC7">
            <w:pPr>
              <w:widowControl w:val="0"/>
              <w:autoSpaceDN w:val="0"/>
              <w:rPr>
                <w:rFonts w:ascii="Calibri" w:eastAsia="Times New Roman" w:hAnsi="Calibri" w:cs="Calibri"/>
                <w:szCs w:val="18"/>
                <w:lang w:val="fr-FR" w:eastAsia="es-CR"/>
              </w:rPr>
            </w:pPr>
          </w:p>
          <w:p w14:paraId="1456C3D8"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r w:rsidRPr="003C6AC7">
              <w:rPr>
                <w:rFonts w:ascii="Calibri" w:eastAsia="Times New Roman" w:hAnsi="Calibri" w:cs="Calibri"/>
                <w:b/>
                <w:bCs/>
                <w:color w:val="0070C0"/>
                <w:szCs w:val="18"/>
                <w:lang w:val="es-ES_tradnl" w:eastAsia="es-CR"/>
              </w:rPr>
              <w:t>Material complementario</w:t>
            </w:r>
          </w:p>
          <w:p w14:paraId="5FA3FE4C"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p>
          <w:p w14:paraId="315F98BB" w14:textId="77777777" w:rsidR="003C6AC7" w:rsidRPr="003C6AC7" w:rsidRDefault="003C6AC7" w:rsidP="003C6AC7">
            <w:pPr>
              <w:widowControl w:val="0"/>
              <w:autoSpaceDN w:val="0"/>
              <w:rPr>
                <w:rFonts w:ascii="Calibri" w:eastAsia="Times New Roman" w:hAnsi="Calibri" w:cs="Calibri"/>
                <w:szCs w:val="18"/>
                <w:lang w:val="fr-FR" w:eastAsia="es-CR"/>
              </w:rPr>
            </w:pPr>
            <w:r w:rsidRPr="003C6AC7">
              <w:rPr>
                <w:rFonts w:ascii="Calibri" w:eastAsia="Times New Roman" w:hAnsi="Calibri" w:cs="Calibri"/>
                <w:color w:val="0070C0"/>
                <w:szCs w:val="18"/>
                <w:lang w:val="es-ES_tradnl" w:eastAsia="es-CR"/>
              </w:rPr>
              <w:t>Guía para la participación en un glosario en la plataforma Moodle</w:t>
            </w:r>
          </w:p>
          <w:p w14:paraId="3B72FFB9"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45C9221D" w14:textId="77777777" w:rsidR="003C6AC7" w:rsidRPr="003C6AC7" w:rsidRDefault="003C6AC7" w:rsidP="003C6AC7">
            <w:pPr>
              <w:widowControl w:val="0"/>
              <w:numPr>
                <w:ilvl w:val="0"/>
                <w:numId w:val="230"/>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Realizar la lectura de la sesión. </w:t>
            </w:r>
          </w:p>
          <w:p w14:paraId="502E9E6E" w14:textId="77777777" w:rsidR="003C6AC7" w:rsidRPr="003C6AC7" w:rsidRDefault="003C6AC7" w:rsidP="003C6AC7">
            <w:pPr>
              <w:widowControl w:val="0"/>
              <w:numPr>
                <w:ilvl w:val="0"/>
                <w:numId w:val="230"/>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Participación en la elaboración de un glosario sobre la Biblia judía y la Biblia cristiana. </w:t>
            </w:r>
          </w:p>
        </w:tc>
      </w:tr>
      <w:tr w:rsidR="003C6AC7" w:rsidRPr="003C6AC7" w14:paraId="49EF914E" w14:textId="77777777" w:rsidTr="00104785">
        <w:trPr>
          <w:trHeight w:val="2823"/>
          <w:jc w:val="center"/>
        </w:trPr>
        <w:tc>
          <w:tcPr>
            <w:tcW w:w="1144" w:type="dxa"/>
          </w:tcPr>
          <w:p w14:paraId="13ED53E7"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lastRenderedPageBreak/>
              <w:t>5</w:t>
            </w:r>
          </w:p>
        </w:tc>
        <w:tc>
          <w:tcPr>
            <w:tcW w:w="2395" w:type="dxa"/>
          </w:tcPr>
          <w:p w14:paraId="12B87A58"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2: El proceso hermenéutico de la formación de los textos</w:t>
            </w:r>
          </w:p>
          <w:p w14:paraId="4A3A4900" w14:textId="77777777" w:rsidR="003C6AC7" w:rsidRPr="003C6AC7" w:rsidRDefault="003C6AC7" w:rsidP="003C6AC7">
            <w:pPr>
              <w:widowControl w:val="0"/>
              <w:autoSpaceDN w:val="0"/>
              <w:rPr>
                <w:rFonts w:ascii="Calibri" w:eastAsia="Times New Roman" w:hAnsi="Calibri" w:cs="Calibri"/>
                <w:b/>
                <w:bCs/>
                <w:lang w:eastAsia="es-ES"/>
              </w:rPr>
            </w:pPr>
          </w:p>
          <w:p w14:paraId="390F6655"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2.2 La formación de los textos y el proceso de relectura</w:t>
            </w:r>
          </w:p>
        </w:tc>
        <w:tc>
          <w:tcPr>
            <w:tcW w:w="2835" w:type="dxa"/>
          </w:tcPr>
          <w:p w14:paraId="1ED5A2D9" w14:textId="77777777" w:rsidR="003C6AC7" w:rsidRPr="003C6AC7" w:rsidRDefault="003C6AC7" w:rsidP="003C6AC7">
            <w:pPr>
              <w:widowControl w:val="0"/>
              <w:autoSpaceDN w:val="0"/>
              <w:rPr>
                <w:rFonts w:ascii="Calibri" w:eastAsia="Times New Roman" w:hAnsi="Calibri" w:cs="Calibri"/>
                <w:color w:val="0070C0"/>
                <w:szCs w:val="18"/>
                <w:lang w:eastAsia="es-CR"/>
              </w:rPr>
            </w:pPr>
            <w:r w:rsidRPr="003C6AC7">
              <w:rPr>
                <w:rFonts w:ascii="Calibri" w:eastAsia="Times New Roman" w:hAnsi="Calibri" w:cs="Calibri"/>
                <w:color w:val="0070C0"/>
                <w:szCs w:val="18"/>
                <w:lang w:eastAsia="es-CR"/>
              </w:rPr>
              <w:t>Ruta de aprendizaje</w:t>
            </w:r>
          </w:p>
          <w:p w14:paraId="04D51BC1"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7E966213"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szCs w:val="18"/>
                <w:lang w:val="es-ES_tradnl" w:eastAsia="es-CR"/>
              </w:rPr>
              <w:t xml:space="preserve">De </w:t>
            </w:r>
            <w:proofErr w:type="spellStart"/>
            <w:r w:rsidRPr="003C6AC7">
              <w:rPr>
                <w:rFonts w:ascii="Calibri" w:eastAsia="Times New Roman" w:hAnsi="Calibri" w:cs="Calibri"/>
                <w:szCs w:val="18"/>
                <w:lang w:val="es-ES_tradnl" w:eastAsia="es-CR"/>
              </w:rPr>
              <w:t>Wit</w:t>
            </w:r>
            <w:proofErr w:type="spellEnd"/>
            <w:r w:rsidRPr="003C6AC7">
              <w:rPr>
                <w:rFonts w:ascii="Calibri" w:eastAsia="Times New Roman" w:hAnsi="Calibri" w:cs="Calibri"/>
                <w:szCs w:val="18"/>
                <w:lang w:val="es-ES_tradnl" w:eastAsia="es-CR"/>
              </w:rPr>
              <w:t>, Hans. “La labor redacción en el A.T.”, “Exégesis judía y patrística”.</w:t>
            </w:r>
            <w:r w:rsidRPr="003C6AC7">
              <w:rPr>
                <w:rFonts w:ascii="Calibri" w:eastAsia="Times New Roman" w:hAnsi="Calibri" w:cs="Calibri"/>
                <w:i/>
                <w:iCs/>
                <w:szCs w:val="18"/>
                <w:lang w:val="es-ES_tradnl" w:eastAsia="es-CR"/>
              </w:rPr>
              <w:t xml:space="preserve"> </w:t>
            </w:r>
            <w:r w:rsidRPr="003C6AC7">
              <w:rPr>
                <w:rFonts w:ascii="Calibri" w:eastAsia="Times New Roman" w:hAnsi="Calibri" w:cs="Calibri"/>
                <w:szCs w:val="18"/>
                <w:lang w:val="es-ES_tradnl" w:eastAsia="es-CR"/>
              </w:rPr>
              <w:t>En</w:t>
            </w:r>
            <w:r w:rsidRPr="003C6AC7">
              <w:rPr>
                <w:rFonts w:ascii="Calibri" w:eastAsia="Times New Roman" w:hAnsi="Calibri" w:cs="Calibri"/>
                <w:i/>
                <w:iCs/>
                <w:szCs w:val="18"/>
                <w:lang w:val="es-ES_tradnl" w:eastAsia="es-CR"/>
              </w:rPr>
              <w:t xml:space="preserve"> la dispersión el texto es patria: introducción a la hermenéutica clásica, moderna y posmoderna, </w:t>
            </w:r>
            <w:r w:rsidRPr="003C6AC7">
              <w:rPr>
                <w:rFonts w:ascii="Calibri" w:eastAsia="Times New Roman" w:hAnsi="Calibri" w:cs="Calibri"/>
                <w:szCs w:val="18"/>
                <w:lang w:val="es-ES_tradnl" w:eastAsia="es-CR"/>
              </w:rPr>
              <w:t xml:space="preserve">27-75. San José: Universidad Bíblica Latinoamericana, 2010. </w:t>
            </w:r>
            <w:r w:rsidRPr="003C6AC7">
              <w:rPr>
                <w:rFonts w:ascii="Calibri" w:eastAsia="Times New Roman" w:hAnsi="Calibri" w:cs="Calibri"/>
                <w:color w:val="0070C0"/>
                <w:szCs w:val="18"/>
                <w:lang w:val="es-ES_tradnl" w:eastAsia="es-CR"/>
              </w:rPr>
              <w:t>(clásico, última edición)</w:t>
            </w:r>
          </w:p>
          <w:p w14:paraId="6A3D5E1F"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4F50C8C4"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r w:rsidRPr="003C6AC7">
              <w:rPr>
                <w:rFonts w:ascii="Calibri" w:eastAsia="Times New Roman" w:hAnsi="Calibri" w:cs="Calibri"/>
                <w:b/>
                <w:bCs/>
                <w:color w:val="0070C0"/>
                <w:szCs w:val="18"/>
                <w:lang w:val="es-ES_tradnl" w:eastAsia="es-CR"/>
              </w:rPr>
              <w:t>Material complementario</w:t>
            </w:r>
          </w:p>
          <w:p w14:paraId="6932EA8E"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p>
          <w:p w14:paraId="615D443E"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color w:val="0070C0"/>
                <w:szCs w:val="18"/>
                <w:lang w:val="es-ES_tradnl" w:eastAsia="es-CR"/>
              </w:rPr>
              <w:t>Guía para la participación en un foro en la plataforma Moodle</w:t>
            </w:r>
          </w:p>
          <w:p w14:paraId="520FE5A0"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46E90291" w14:textId="77777777" w:rsidR="003C6AC7" w:rsidRPr="003C6AC7" w:rsidRDefault="003C6AC7" w:rsidP="003C6AC7">
            <w:pPr>
              <w:widowControl w:val="0"/>
              <w:numPr>
                <w:ilvl w:val="0"/>
                <w:numId w:val="231"/>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Realizar la lectura de la sesión.</w:t>
            </w:r>
          </w:p>
          <w:p w14:paraId="74144D8A" w14:textId="77777777" w:rsidR="003C6AC7" w:rsidRPr="003C6AC7" w:rsidRDefault="003C6AC7" w:rsidP="003C6AC7">
            <w:pPr>
              <w:widowControl w:val="0"/>
              <w:numPr>
                <w:ilvl w:val="0"/>
                <w:numId w:val="231"/>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Participación en el foro temático: Aportes epistemológicos de la hermenéutica en los Estudios Bíblicos. </w:t>
            </w:r>
          </w:p>
        </w:tc>
      </w:tr>
      <w:tr w:rsidR="003C6AC7" w:rsidRPr="003C6AC7" w14:paraId="5E1DEC8D" w14:textId="77777777" w:rsidTr="00104785">
        <w:trPr>
          <w:jc w:val="center"/>
        </w:trPr>
        <w:tc>
          <w:tcPr>
            <w:tcW w:w="1144" w:type="dxa"/>
          </w:tcPr>
          <w:p w14:paraId="06A64604"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t>6</w:t>
            </w:r>
          </w:p>
        </w:tc>
        <w:tc>
          <w:tcPr>
            <w:tcW w:w="2395" w:type="dxa"/>
          </w:tcPr>
          <w:p w14:paraId="33D8B16A"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2: El proceso hermenéutico de la formación de los textos</w:t>
            </w:r>
          </w:p>
          <w:p w14:paraId="1B1AFE8F" w14:textId="77777777" w:rsidR="003C6AC7" w:rsidRPr="003C6AC7" w:rsidRDefault="003C6AC7" w:rsidP="003C6AC7">
            <w:pPr>
              <w:widowControl w:val="0"/>
              <w:autoSpaceDN w:val="0"/>
              <w:rPr>
                <w:rFonts w:ascii="Calibri" w:eastAsia="Times New Roman" w:hAnsi="Calibri" w:cs="Calibri"/>
                <w:lang w:eastAsia="es-ES"/>
              </w:rPr>
            </w:pPr>
          </w:p>
          <w:p w14:paraId="75A47FA0"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2.3 La formación del canon como acto hermenéutico</w:t>
            </w:r>
          </w:p>
          <w:p w14:paraId="42C1087F"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026FD538" w14:textId="77777777" w:rsidR="003C6AC7" w:rsidRPr="003C6AC7" w:rsidRDefault="003C6AC7" w:rsidP="003C6AC7">
            <w:pPr>
              <w:widowControl w:val="0"/>
              <w:autoSpaceDN w:val="0"/>
              <w:rPr>
                <w:rFonts w:ascii="Calibri" w:eastAsia="Times New Roman" w:hAnsi="Calibri" w:cs="Calibri"/>
                <w:color w:val="0070C0"/>
                <w:szCs w:val="18"/>
                <w:lang w:eastAsia="es-CR"/>
              </w:rPr>
            </w:pPr>
            <w:r w:rsidRPr="003C6AC7">
              <w:rPr>
                <w:rFonts w:ascii="Calibri" w:eastAsia="Times New Roman" w:hAnsi="Calibri" w:cs="Calibri"/>
                <w:color w:val="0070C0"/>
                <w:szCs w:val="18"/>
                <w:lang w:eastAsia="es-CR"/>
              </w:rPr>
              <w:t>Ruta de aprendizaje</w:t>
            </w:r>
          </w:p>
          <w:p w14:paraId="17537A19" w14:textId="77777777" w:rsidR="003C6AC7" w:rsidRPr="003C6AC7" w:rsidRDefault="003C6AC7" w:rsidP="003C6AC7">
            <w:pPr>
              <w:widowControl w:val="0"/>
              <w:autoSpaceDN w:val="0"/>
              <w:rPr>
                <w:rFonts w:ascii="Calibri" w:eastAsia="Times New Roman" w:hAnsi="Calibri" w:cs="Arial"/>
                <w:lang w:eastAsia="es-CR"/>
              </w:rPr>
            </w:pPr>
          </w:p>
          <w:p w14:paraId="787FBFC3" w14:textId="77777777" w:rsidR="003C6AC7" w:rsidRPr="003C6AC7" w:rsidRDefault="003C6AC7" w:rsidP="003C6AC7">
            <w:pPr>
              <w:widowControl w:val="0"/>
              <w:autoSpaceDN w:val="0"/>
              <w:rPr>
                <w:rFonts w:ascii="Calibri" w:eastAsia="Times New Roman" w:hAnsi="Calibri" w:cs="Arial"/>
                <w:lang w:eastAsia="es-CR"/>
              </w:rPr>
            </w:pPr>
            <w:r w:rsidRPr="003C6AC7">
              <w:rPr>
                <w:rFonts w:ascii="Calibri" w:eastAsia="Times New Roman" w:hAnsi="Calibri" w:cs="Arial"/>
                <w:lang w:eastAsia="es-CR"/>
              </w:rPr>
              <w:t xml:space="preserve">Pérez, Miguel y </w:t>
            </w:r>
            <w:proofErr w:type="spellStart"/>
            <w:r w:rsidRPr="003C6AC7">
              <w:rPr>
                <w:rFonts w:ascii="Calibri" w:eastAsia="Times New Roman" w:hAnsi="Calibri" w:cs="Arial"/>
                <w:lang w:eastAsia="es-CR"/>
              </w:rPr>
              <w:t>Trebolle</w:t>
            </w:r>
            <w:proofErr w:type="spellEnd"/>
            <w:r w:rsidRPr="003C6AC7">
              <w:rPr>
                <w:rFonts w:ascii="Calibri" w:eastAsia="Times New Roman" w:hAnsi="Calibri" w:cs="Arial"/>
                <w:lang w:eastAsia="es-CR"/>
              </w:rPr>
              <w:t xml:space="preserve">, Julio. “El Canon Bíblico”. En </w:t>
            </w:r>
            <w:r w:rsidRPr="003C6AC7">
              <w:rPr>
                <w:rFonts w:ascii="Calibri" w:eastAsia="Times New Roman" w:hAnsi="Calibri" w:cs="Arial"/>
                <w:i/>
                <w:iCs/>
                <w:lang w:eastAsia="es-CR"/>
              </w:rPr>
              <w:t>Historia de la Biblia</w:t>
            </w:r>
            <w:r w:rsidRPr="003C6AC7">
              <w:rPr>
                <w:rFonts w:ascii="Calibri" w:eastAsia="Times New Roman" w:hAnsi="Calibri" w:cs="Arial"/>
                <w:lang w:eastAsia="es-CR"/>
              </w:rPr>
              <w:t xml:space="preserve">, 85-88. Madrid: Trotta, 2006. </w:t>
            </w:r>
            <w:r w:rsidRPr="003C6AC7">
              <w:rPr>
                <w:rFonts w:ascii="Calibri" w:eastAsia="Times New Roman" w:hAnsi="Calibri" w:cs="Calibri"/>
                <w:color w:val="0070C0"/>
                <w:szCs w:val="18"/>
                <w:lang w:val="es-ES_tradnl" w:eastAsia="es-CR"/>
              </w:rPr>
              <w:t>(clásico, última edición)</w:t>
            </w:r>
          </w:p>
          <w:p w14:paraId="57EC92E6"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29CC7386"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Material complementario</w:t>
            </w:r>
          </w:p>
          <w:p w14:paraId="237899B9" w14:textId="77777777" w:rsidR="003C6AC7" w:rsidRPr="003C6AC7" w:rsidRDefault="003C6AC7" w:rsidP="003C6AC7">
            <w:pPr>
              <w:widowControl w:val="0"/>
              <w:autoSpaceDN w:val="0"/>
              <w:rPr>
                <w:rFonts w:ascii="Calibri" w:eastAsia="Times New Roman" w:hAnsi="Calibri" w:cs="Calibri"/>
                <w:b/>
                <w:bCs/>
                <w:lang w:eastAsia="es-ES"/>
              </w:rPr>
            </w:pPr>
          </w:p>
          <w:p w14:paraId="64AE10F7" w14:textId="77777777" w:rsidR="003C6AC7" w:rsidRPr="003C6AC7" w:rsidRDefault="003C6AC7" w:rsidP="003C6AC7">
            <w:pPr>
              <w:widowControl w:val="0"/>
              <w:autoSpaceDN w:val="0"/>
              <w:rPr>
                <w:rFonts w:ascii="Calibri" w:eastAsia="Times New Roman" w:hAnsi="Calibri" w:cs="Arial"/>
                <w:lang w:eastAsia="es-CR"/>
              </w:rPr>
            </w:pPr>
            <w:proofErr w:type="spellStart"/>
            <w:r w:rsidRPr="003C6AC7">
              <w:rPr>
                <w:rFonts w:ascii="Calibri" w:eastAsia="Times New Roman" w:hAnsi="Calibri" w:cs="Arial"/>
                <w:lang w:eastAsia="es-CR"/>
              </w:rPr>
              <w:t>Gloor</w:t>
            </w:r>
            <w:proofErr w:type="spellEnd"/>
            <w:r w:rsidRPr="003C6AC7">
              <w:rPr>
                <w:rFonts w:ascii="Calibri" w:eastAsia="Times New Roman" w:hAnsi="Calibri" w:cs="Arial"/>
                <w:lang w:eastAsia="es-CR"/>
              </w:rPr>
              <w:t xml:space="preserve">, Daniel André. “El arte de vivir: corrientes filosóficas en tiempos del Nuevo Testamento”. </w:t>
            </w:r>
            <w:r w:rsidRPr="003C6AC7">
              <w:rPr>
                <w:rFonts w:ascii="Calibri" w:eastAsia="Times New Roman" w:hAnsi="Calibri" w:cs="Arial"/>
                <w:i/>
                <w:iCs/>
                <w:lang w:eastAsia="es-CR"/>
              </w:rPr>
              <w:t>Aportes Bíblicos</w:t>
            </w:r>
            <w:r w:rsidRPr="003C6AC7">
              <w:rPr>
                <w:rFonts w:ascii="Calibri" w:eastAsia="Times New Roman" w:hAnsi="Calibri" w:cs="Arial"/>
                <w:lang w:eastAsia="es-CR"/>
              </w:rPr>
              <w:t xml:space="preserve"> n. 17 (2013): 97-146.</w:t>
            </w:r>
          </w:p>
          <w:p w14:paraId="04CDCDDE" w14:textId="77777777" w:rsidR="003C6AC7" w:rsidRPr="003C6AC7" w:rsidRDefault="003C6AC7" w:rsidP="003C6AC7">
            <w:pPr>
              <w:widowControl w:val="0"/>
              <w:autoSpaceDN w:val="0"/>
              <w:rPr>
                <w:rFonts w:ascii="Calibri" w:eastAsia="Times New Roman" w:hAnsi="Calibri" w:cs="Arial"/>
                <w:lang w:eastAsia="es-CR"/>
              </w:rPr>
            </w:pPr>
          </w:p>
          <w:p w14:paraId="665F73F8" w14:textId="77777777" w:rsidR="003C6AC7" w:rsidRPr="003C6AC7" w:rsidRDefault="003C6AC7" w:rsidP="003C6AC7">
            <w:pPr>
              <w:widowControl w:val="0"/>
              <w:autoSpaceDN w:val="0"/>
              <w:rPr>
                <w:rFonts w:ascii="Calibri" w:eastAsia="Times New Roman" w:hAnsi="Calibri" w:cs="Arial"/>
                <w:color w:val="0070C0"/>
                <w:lang w:eastAsia="es-CR"/>
              </w:rPr>
            </w:pPr>
            <w:r w:rsidRPr="003C6AC7">
              <w:rPr>
                <w:rFonts w:ascii="Calibri" w:eastAsia="Times New Roman" w:hAnsi="Calibri" w:cs="Arial"/>
                <w:color w:val="0070C0"/>
                <w:lang w:eastAsia="es-CR"/>
              </w:rPr>
              <w:t>Guía para la elaboración de una reseña crítica de lectura</w:t>
            </w:r>
          </w:p>
          <w:p w14:paraId="76F0E561" w14:textId="77777777" w:rsidR="003C6AC7" w:rsidRPr="003C6AC7" w:rsidRDefault="003C6AC7" w:rsidP="003C6AC7">
            <w:pPr>
              <w:widowControl w:val="0"/>
              <w:autoSpaceDN w:val="0"/>
              <w:rPr>
                <w:rFonts w:ascii="Calibri" w:eastAsia="Times New Roman" w:hAnsi="Calibri" w:cs="Arial"/>
                <w:color w:val="0070C0"/>
                <w:lang w:eastAsia="es-CR"/>
              </w:rPr>
            </w:pPr>
          </w:p>
          <w:p w14:paraId="129CB6D9" w14:textId="77777777" w:rsidR="003C6AC7" w:rsidRPr="003C6AC7" w:rsidRDefault="003C6AC7" w:rsidP="003C6AC7">
            <w:pPr>
              <w:widowControl w:val="0"/>
              <w:autoSpaceDN w:val="0"/>
              <w:rPr>
                <w:rFonts w:ascii="Calibri" w:eastAsia="Times New Roman" w:hAnsi="Calibri" w:cs="Arial"/>
                <w:color w:val="0070C0"/>
                <w:lang w:eastAsia="es-CR"/>
              </w:rPr>
            </w:pPr>
            <w:r w:rsidRPr="003C6AC7">
              <w:rPr>
                <w:rFonts w:ascii="Calibri" w:eastAsia="Times New Roman" w:hAnsi="Calibri" w:cs="Arial"/>
                <w:color w:val="0070C0"/>
                <w:lang w:eastAsia="es-CR"/>
              </w:rPr>
              <w:t xml:space="preserve">Guía para la participación mediante la herramienta Big Blue </w:t>
            </w:r>
            <w:proofErr w:type="spellStart"/>
            <w:r w:rsidRPr="003C6AC7">
              <w:rPr>
                <w:rFonts w:ascii="Calibri" w:eastAsia="Times New Roman" w:hAnsi="Calibri" w:cs="Arial"/>
                <w:color w:val="0070C0"/>
                <w:lang w:eastAsia="es-CR"/>
              </w:rPr>
              <w:t>Button</w:t>
            </w:r>
            <w:proofErr w:type="spellEnd"/>
            <w:r w:rsidRPr="003C6AC7">
              <w:rPr>
                <w:rFonts w:ascii="Calibri" w:eastAsia="Times New Roman" w:hAnsi="Calibri" w:cs="Arial"/>
                <w:color w:val="0070C0"/>
                <w:lang w:eastAsia="es-CR"/>
              </w:rPr>
              <w:t xml:space="preserve"> en la plataforma Moodle</w:t>
            </w:r>
          </w:p>
          <w:p w14:paraId="211F5902" w14:textId="77777777" w:rsidR="003C6AC7" w:rsidRPr="003C6AC7" w:rsidRDefault="003C6AC7" w:rsidP="003C6AC7">
            <w:pPr>
              <w:widowControl w:val="0"/>
              <w:autoSpaceDN w:val="0"/>
              <w:rPr>
                <w:rFonts w:ascii="Calibri" w:eastAsia="Times New Roman" w:hAnsi="Calibri" w:cs="Arial"/>
                <w:color w:val="0070C0"/>
                <w:lang w:eastAsia="es-CR"/>
              </w:rPr>
            </w:pPr>
          </w:p>
          <w:p w14:paraId="4AA661B7" w14:textId="77777777" w:rsidR="003C6AC7" w:rsidRPr="003C6AC7" w:rsidRDefault="003C6AC7" w:rsidP="003C6AC7">
            <w:pPr>
              <w:widowControl w:val="0"/>
              <w:autoSpaceDN w:val="0"/>
              <w:rPr>
                <w:rFonts w:ascii="Calibri" w:eastAsia="Times New Roman" w:hAnsi="Calibri" w:cs="Arial"/>
                <w:color w:val="0070C0"/>
                <w:lang w:eastAsia="es-CR"/>
              </w:rPr>
            </w:pPr>
            <w:r w:rsidRPr="003C6AC7">
              <w:rPr>
                <w:rFonts w:ascii="Calibri" w:eastAsia="Times New Roman" w:hAnsi="Calibri" w:cs="Arial"/>
                <w:color w:val="0070C0"/>
                <w:lang w:eastAsia="es-CR"/>
              </w:rPr>
              <w:t>Guía para la elaboración de un ensayo</w:t>
            </w:r>
          </w:p>
          <w:p w14:paraId="6BFF87F6" w14:textId="77777777" w:rsidR="003C6AC7" w:rsidRPr="003C6AC7" w:rsidRDefault="003C6AC7" w:rsidP="003C6AC7">
            <w:pPr>
              <w:widowControl w:val="0"/>
              <w:autoSpaceDN w:val="0"/>
              <w:rPr>
                <w:rFonts w:ascii="Calibri" w:eastAsia="Times New Roman" w:hAnsi="Calibri" w:cs="Arial"/>
                <w:color w:val="0070C0"/>
                <w:lang w:eastAsia="es-CR"/>
              </w:rPr>
            </w:pPr>
          </w:p>
          <w:p w14:paraId="450FEA71" w14:textId="77777777" w:rsidR="003C6AC7" w:rsidRPr="003C6AC7" w:rsidRDefault="003C6AC7" w:rsidP="003C6AC7">
            <w:pPr>
              <w:widowControl w:val="0"/>
              <w:autoSpaceDN w:val="0"/>
              <w:rPr>
                <w:rFonts w:ascii="Calibri" w:eastAsia="Times New Roman" w:hAnsi="Calibri" w:cs="Arial"/>
                <w:color w:val="0070C0"/>
                <w:lang w:eastAsia="es-CR"/>
              </w:rPr>
            </w:pPr>
          </w:p>
          <w:p w14:paraId="0EA1D77B" w14:textId="77777777" w:rsidR="003C6AC7" w:rsidRPr="003C6AC7" w:rsidRDefault="003C6AC7" w:rsidP="003C6AC7">
            <w:pPr>
              <w:widowControl w:val="0"/>
              <w:autoSpaceDN w:val="0"/>
              <w:rPr>
                <w:rFonts w:ascii="Calibri" w:eastAsia="Times New Roman" w:hAnsi="Calibri" w:cs="Arial"/>
                <w:color w:val="0070C0"/>
                <w:lang w:eastAsia="es-CR"/>
              </w:rPr>
            </w:pPr>
          </w:p>
          <w:p w14:paraId="71D448C5"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77F8AB85" w14:textId="77777777" w:rsidR="003C6AC7" w:rsidRPr="003C6AC7" w:rsidRDefault="003C6AC7" w:rsidP="003C6AC7">
            <w:pPr>
              <w:widowControl w:val="0"/>
              <w:numPr>
                <w:ilvl w:val="0"/>
                <w:numId w:val="232"/>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lastRenderedPageBreak/>
              <w:t>Realizar la lectura de la sesión.</w:t>
            </w:r>
          </w:p>
          <w:p w14:paraId="19D8F432" w14:textId="77777777" w:rsidR="003C6AC7" w:rsidRPr="003C6AC7" w:rsidRDefault="003C6AC7" w:rsidP="003C6AC7">
            <w:pPr>
              <w:widowControl w:val="0"/>
              <w:numPr>
                <w:ilvl w:val="0"/>
                <w:numId w:val="232"/>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Elaboración de una reseña crítica de la lectura. </w:t>
            </w:r>
          </w:p>
          <w:p w14:paraId="331CE4C7" w14:textId="77777777" w:rsidR="003C6AC7" w:rsidRPr="003C6AC7" w:rsidRDefault="003C6AC7" w:rsidP="003C6AC7">
            <w:pPr>
              <w:widowControl w:val="0"/>
              <w:numPr>
                <w:ilvl w:val="0"/>
                <w:numId w:val="232"/>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Exposición docente y discusión grupal en un encuentro sincrónico virtual (formativo).</w:t>
            </w:r>
          </w:p>
          <w:p w14:paraId="76816C20" w14:textId="77777777" w:rsidR="003C6AC7" w:rsidRPr="003C6AC7" w:rsidRDefault="003C6AC7" w:rsidP="003C6AC7">
            <w:pPr>
              <w:widowControl w:val="0"/>
              <w:numPr>
                <w:ilvl w:val="0"/>
                <w:numId w:val="232"/>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Iniciar la elaboración del ensayo final. </w:t>
            </w:r>
          </w:p>
        </w:tc>
      </w:tr>
      <w:tr w:rsidR="003C6AC7" w:rsidRPr="003C6AC7" w14:paraId="1F55D25F" w14:textId="77777777" w:rsidTr="00104785">
        <w:trPr>
          <w:jc w:val="center"/>
        </w:trPr>
        <w:tc>
          <w:tcPr>
            <w:tcW w:w="1144" w:type="dxa"/>
          </w:tcPr>
          <w:p w14:paraId="3D08D0D6"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t>7</w:t>
            </w:r>
          </w:p>
        </w:tc>
        <w:tc>
          <w:tcPr>
            <w:tcW w:w="2395" w:type="dxa"/>
          </w:tcPr>
          <w:p w14:paraId="16408600"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3: Hermenéutica y Teología en la lectura de los textos/discursos</w:t>
            </w:r>
          </w:p>
          <w:p w14:paraId="446162D3" w14:textId="77777777" w:rsidR="003C6AC7" w:rsidRPr="003C6AC7" w:rsidRDefault="003C6AC7" w:rsidP="003C6AC7">
            <w:pPr>
              <w:widowControl w:val="0"/>
              <w:autoSpaceDN w:val="0"/>
              <w:rPr>
                <w:rFonts w:ascii="Calibri" w:eastAsia="Times New Roman" w:hAnsi="Calibri" w:cs="Calibri"/>
                <w:b/>
                <w:bCs/>
                <w:lang w:eastAsia="es-ES"/>
              </w:rPr>
            </w:pPr>
          </w:p>
          <w:p w14:paraId="671914AA"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3.1 La reserva de sentido y el crecimiento del texto en el proceso hermenéutico</w:t>
            </w:r>
          </w:p>
          <w:p w14:paraId="483A99B2"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0B2716A3" w14:textId="77777777" w:rsidR="003C6AC7" w:rsidRPr="003C6AC7" w:rsidRDefault="003C6AC7" w:rsidP="003C6AC7">
            <w:pPr>
              <w:widowControl w:val="0"/>
              <w:autoSpaceDN w:val="0"/>
              <w:rPr>
                <w:rFonts w:ascii="Calibri" w:eastAsia="Times New Roman" w:hAnsi="Calibri" w:cs="Arial"/>
                <w:lang w:eastAsia="es-CR"/>
              </w:rPr>
            </w:pPr>
            <w:r w:rsidRPr="003C6AC7">
              <w:rPr>
                <w:rFonts w:ascii="Calibri" w:eastAsia="Times New Roman" w:hAnsi="Calibri" w:cs="Calibri"/>
                <w:color w:val="0070C0"/>
                <w:szCs w:val="18"/>
                <w:lang w:eastAsia="es-CR"/>
              </w:rPr>
              <w:t>Ruta de aprendizaje</w:t>
            </w:r>
            <w:r w:rsidRPr="003C6AC7">
              <w:rPr>
                <w:rFonts w:ascii="Calibri" w:eastAsia="Times New Roman" w:hAnsi="Calibri" w:cs="Arial"/>
                <w:lang w:eastAsia="es-CR"/>
              </w:rPr>
              <w:t xml:space="preserve"> </w:t>
            </w:r>
          </w:p>
          <w:p w14:paraId="759C1DF0" w14:textId="77777777" w:rsidR="003C6AC7" w:rsidRPr="003C6AC7" w:rsidRDefault="003C6AC7" w:rsidP="003C6AC7">
            <w:pPr>
              <w:widowControl w:val="0"/>
              <w:autoSpaceDN w:val="0"/>
              <w:rPr>
                <w:rFonts w:ascii="Calibri" w:eastAsia="Times New Roman" w:hAnsi="Calibri" w:cs="Arial"/>
                <w:lang w:eastAsia="es-CR"/>
              </w:rPr>
            </w:pPr>
          </w:p>
          <w:p w14:paraId="01357F45" w14:textId="77777777" w:rsidR="003C6AC7" w:rsidRPr="003C6AC7" w:rsidRDefault="003C6AC7" w:rsidP="003C6AC7">
            <w:pPr>
              <w:widowControl w:val="0"/>
              <w:autoSpaceDN w:val="0"/>
              <w:rPr>
                <w:rFonts w:ascii="Calibri" w:eastAsia="Times New Roman" w:hAnsi="Calibri" w:cs="Arial"/>
                <w:lang w:eastAsia="es-CR"/>
              </w:rPr>
            </w:pPr>
            <w:proofErr w:type="spellStart"/>
            <w:r w:rsidRPr="003C6AC7">
              <w:rPr>
                <w:rFonts w:ascii="Calibri" w:eastAsia="Times New Roman" w:hAnsi="Calibri" w:cs="Arial"/>
                <w:lang w:eastAsia="es-CR"/>
              </w:rPr>
              <w:t>Croatto</w:t>
            </w:r>
            <w:proofErr w:type="spellEnd"/>
            <w:r w:rsidRPr="003C6AC7">
              <w:rPr>
                <w:rFonts w:ascii="Calibri" w:eastAsia="Times New Roman" w:hAnsi="Calibri" w:cs="Arial"/>
                <w:lang w:eastAsia="es-CR"/>
              </w:rPr>
              <w:t xml:space="preserve">, Severino. “Exégesis y Eiségesis”. En </w:t>
            </w:r>
            <w:r w:rsidRPr="003C6AC7">
              <w:rPr>
                <w:rFonts w:ascii="Calibri" w:eastAsia="Times New Roman" w:hAnsi="Calibri" w:cs="Arial"/>
                <w:i/>
                <w:iCs/>
                <w:lang w:eastAsia="es-CR"/>
              </w:rPr>
              <w:t>Hermenéutica bíblica: Para una teoría de la lectura como producción de sentido</w:t>
            </w:r>
            <w:r w:rsidRPr="003C6AC7">
              <w:rPr>
                <w:rFonts w:ascii="Calibri" w:eastAsia="Times New Roman" w:hAnsi="Calibri" w:cs="Arial"/>
                <w:lang w:eastAsia="es-CR"/>
              </w:rPr>
              <w:t xml:space="preserve">, 105-129. Argentina: LUMEN, 2004. </w:t>
            </w:r>
            <w:r w:rsidRPr="003C6AC7">
              <w:rPr>
                <w:rFonts w:ascii="Calibri" w:eastAsia="Times New Roman" w:hAnsi="Calibri" w:cs="Calibri"/>
                <w:color w:val="0070C0"/>
                <w:szCs w:val="18"/>
                <w:lang w:val="es-ES_tradnl" w:eastAsia="es-CR"/>
              </w:rPr>
              <w:t>(clásico, última edición)</w:t>
            </w:r>
          </w:p>
          <w:p w14:paraId="7C602FF0"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111BFB09"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szCs w:val="18"/>
                <w:lang w:val="es-ES_tradnl" w:eastAsia="es-CR"/>
              </w:rPr>
              <w:t xml:space="preserve">López Rodríguez, </w:t>
            </w:r>
            <w:proofErr w:type="spellStart"/>
            <w:r w:rsidRPr="003C6AC7">
              <w:rPr>
                <w:rFonts w:ascii="Calibri" w:eastAsia="Times New Roman" w:hAnsi="Calibri" w:cs="Calibri"/>
                <w:szCs w:val="18"/>
                <w:lang w:val="es-ES_tradnl" w:eastAsia="es-CR"/>
              </w:rPr>
              <w:t>Ediberto</w:t>
            </w:r>
            <w:proofErr w:type="spellEnd"/>
            <w:r w:rsidRPr="003C6AC7">
              <w:rPr>
                <w:rFonts w:ascii="Calibri" w:eastAsia="Times New Roman" w:hAnsi="Calibri" w:cs="Calibri"/>
                <w:szCs w:val="18"/>
                <w:lang w:val="es-ES_tradnl" w:eastAsia="es-CR"/>
              </w:rPr>
              <w:t xml:space="preserve">.  “La interpretación de la Biblia”. En </w:t>
            </w:r>
            <w:r w:rsidRPr="003C6AC7">
              <w:rPr>
                <w:rFonts w:ascii="Calibri" w:eastAsia="Times New Roman" w:hAnsi="Calibri" w:cs="Calibri"/>
                <w:i/>
                <w:iCs/>
                <w:szCs w:val="18"/>
                <w:lang w:val="es-ES_tradnl" w:eastAsia="es-CR"/>
              </w:rPr>
              <w:t>Para que comprendiesen las Escrituras: introducción a los métodos exegéticos</w:t>
            </w:r>
            <w:r w:rsidRPr="003C6AC7">
              <w:rPr>
                <w:rFonts w:ascii="Calibri" w:eastAsia="Times New Roman" w:hAnsi="Calibri" w:cs="Calibri"/>
                <w:szCs w:val="18"/>
                <w:lang w:val="es-ES_tradnl" w:eastAsia="es-CR"/>
              </w:rPr>
              <w:t>, 17-34</w:t>
            </w:r>
            <w:r w:rsidRPr="003C6AC7">
              <w:rPr>
                <w:rFonts w:ascii="Calibri" w:eastAsia="Times New Roman" w:hAnsi="Calibri" w:cs="Calibri"/>
                <w:i/>
                <w:iCs/>
                <w:szCs w:val="18"/>
                <w:lang w:val="es-ES_tradnl" w:eastAsia="es-CR"/>
              </w:rPr>
              <w:t xml:space="preserve">. </w:t>
            </w:r>
            <w:r w:rsidRPr="003C6AC7">
              <w:rPr>
                <w:rFonts w:ascii="Calibri" w:eastAsia="Times New Roman" w:hAnsi="Calibri" w:cs="Calibri"/>
                <w:szCs w:val="18"/>
                <w:lang w:val="es-ES_tradnl" w:eastAsia="es-CR"/>
              </w:rPr>
              <w:t xml:space="preserve">San Juan, P.R.: Seminario Evangélico de Puerto Rico, 2003. </w:t>
            </w:r>
            <w:r w:rsidRPr="003C6AC7">
              <w:rPr>
                <w:rFonts w:ascii="Calibri" w:eastAsia="Times New Roman" w:hAnsi="Calibri" w:cs="Calibri"/>
                <w:color w:val="0070C0"/>
                <w:szCs w:val="18"/>
                <w:lang w:val="es-ES_tradnl" w:eastAsia="es-CR"/>
              </w:rPr>
              <w:t>(clásico, última edición)</w:t>
            </w:r>
          </w:p>
          <w:p w14:paraId="797A360C"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607869E3" w14:textId="77777777" w:rsidR="003C6AC7" w:rsidRPr="003C6AC7" w:rsidRDefault="003C6AC7" w:rsidP="003C6AC7">
            <w:pPr>
              <w:widowControl w:val="0"/>
              <w:numPr>
                <w:ilvl w:val="0"/>
                <w:numId w:val="233"/>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Realizar las lecturas de la sesión. </w:t>
            </w:r>
          </w:p>
          <w:p w14:paraId="0683094D" w14:textId="77777777" w:rsidR="003C6AC7" w:rsidRPr="003C6AC7" w:rsidRDefault="003C6AC7" w:rsidP="003C6AC7">
            <w:pPr>
              <w:widowControl w:val="0"/>
              <w:numPr>
                <w:ilvl w:val="0"/>
                <w:numId w:val="233"/>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Análisis del texto bíblico de Marcos 5.1-20. </w:t>
            </w:r>
          </w:p>
          <w:p w14:paraId="6C088EA9" w14:textId="77777777" w:rsidR="003C6AC7" w:rsidRPr="003C6AC7" w:rsidRDefault="003C6AC7" w:rsidP="003C6AC7">
            <w:pPr>
              <w:widowControl w:val="0"/>
              <w:numPr>
                <w:ilvl w:val="0"/>
                <w:numId w:val="233"/>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Continuar con la elaboración del ensayo final.</w:t>
            </w:r>
          </w:p>
        </w:tc>
      </w:tr>
      <w:tr w:rsidR="003C6AC7" w:rsidRPr="003C6AC7" w14:paraId="66061CA2" w14:textId="77777777" w:rsidTr="00104785">
        <w:trPr>
          <w:jc w:val="center"/>
        </w:trPr>
        <w:tc>
          <w:tcPr>
            <w:tcW w:w="1144" w:type="dxa"/>
          </w:tcPr>
          <w:p w14:paraId="3A744C6C"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t>8</w:t>
            </w:r>
          </w:p>
        </w:tc>
        <w:tc>
          <w:tcPr>
            <w:tcW w:w="2395" w:type="dxa"/>
          </w:tcPr>
          <w:p w14:paraId="1AA490C5"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3: Hermenéutica y Teología en la lectura de los textos/discursos</w:t>
            </w:r>
          </w:p>
          <w:p w14:paraId="36529E9F" w14:textId="77777777" w:rsidR="003C6AC7" w:rsidRPr="003C6AC7" w:rsidRDefault="003C6AC7" w:rsidP="003C6AC7">
            <w:pPr>
              <w:widowControl w:val="0"/>
              <w:autoSpaceDN w:val="0"/>
              <w:rPr>
                <w:rFonts w:ascii="Calibri" w:eastAsia="Times New Roman" w:hAnsi="Calibri" w:cs="Calibri"/>
                <w:lang w:eastAsia="es-ES"/>
              </w:rPr>
            </w:pPr>
          </w:p>
          <w:p w14:paraId="1A9C176D"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3.2 El círculo hermenéutico y el conflicto de interpretaciones</w:t>
            </w:r>
          </w:p>
          <w:p w14:paraId="713B6605"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0EC5BB37" w14:textId="77777777" w:rsidR="003C6AC7" w:rsidRPr="003C6AC7" w:rsidRDefault="003C6AC7" w:rsidP="003C6AC7">
            <w:pPr>
              <w:widowControl w:val="0"/>
              <w:autoSpaceDN w:val="0"/>
              <w:rPr>
                <w:rFonts w:ascii="Calibri" w:eastAsia="Times New Roman" w:hAnsi="Calibri" w:cs="Calibri"/>
                <w:color w:val="0070C0"/>
                <w:szCs w:val="18"/>
                <w:lang w:eastAsia="es-CR"/>
              </w:rPr>
            </w:pPr>
            <w:r w:rsidRPr="003C6AC7">
              <w:rPr>
                <w:rFonts w:ascii="Calibri" w:eastAsia="Times New Roman" w:hAnsi="Calibri" w:cs="Calibri"/>
                <w:color w:val="0070C0"/>
                <w:szCs w:val="18"/>
                <w:lang w:eastAsia="es-CR"/>
              </w:rPr>
              <w:t>Ruta de aprendizaje</w:t>
            </w:r>
          </w:p>
          <w:p w14:paraId="52ABE7F3"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27EE2D3F"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szCs w:val="18"/>
                <w:lang w:val="es-ES_tradnl" w:eastAsia="es-CR"/>
              </w:rPr>
              <w:t xml:space="preserve">Segundo, Juan Luis. “El círculo hermenéutico”. En </w:t>
            </w:r>
            <w:r w:rsidRPr="003C6AC7">
              <w:rPr>
                <w:rFonts w:ascii="Calibri" w:eastAsia="Times New Roman" w:hAnsi="Calibri" w:cs="Calibri"/>
                <w:i/>
                <w:iCs/>
                <w:szCs w:val="18"/>
                <w:lang w:val="es-ES_tradnl" w:eastAsia="es-CR"/>
              </w:rPr>
              <w:t>Liberación de la teología</w:t>
            </w:r>
            <w:r w:rsidRPr="003C6AC7">
              <w:rPr>
                <w:rFonts w:ascii="Calibri" w:eastAsia="Times New Roman" w:hAnsi="Calibri" w:cs="Calibri"/>
                <w:szCs w:val="18"/>
                <w:lang w:val="es-ES_tradnl" w:eastAsia="es-CR"/>
              </w:rPr>
              <w:t>, 11-45</w:t>
            </w:r>
            <w:r w:rsidRPr="003C6AC7">
              <w:rPr>
                <w:rFonts w:ascii="Calibri" w:eastAsia="Times New Roman" w:hAnsi="Calibri" w:cs="Calibri"/>
                <w:i/>
                <w:iCs/>
                <w:szCs w:val="18"/>
                <w:lang w:val="es-ES_tradnl" w:eastAsia="es-CR"/>
              </w:rPr>
              <w:t xml:space="preserve">. </w:t>
            </w:r>
            <w:r w:rsidRPr="003C6AC7">
              <w:rPr>
                <w:rFonts w:ascii="Calibri" w:eastAsia="Times New Roman" w:hAnsi="Calibri" w:cs="Calibri"/>
                <w:szCs w:val="18"/>
                <w:lang w:val="es-ES_tradnl" w:eastAsia="es-CR"/>
              </w:rPr>
              <w:t xml:space="preserve">México, D.F.: Ediciones Carlos </w:t>
            </w:r>
            <w:proofErr w:type="spellStart"/>
            <w:r w:rsidRPr="003C6AC7">
              <w:rPr>
                <w:rFonts w:ascii="Calibri" w:eastAsia="Times New Roman" w:hAnsi="Calibri" w:cs="Calibri"/>
                <w:szCs w:val="18"/>
                <w:lang w:val="es-ES_tradnl" w:eastAsia="es-CR"/>
              </w:rPr>
              <w:t>Lohlé</w:t>
            </w:r>
            <w:proofErr w:type="spellEnd"/>
            <w:r w:rsidRPr="003C6AC7">
              <w:rPr>
                <w:rFonts w:ascii="Calibri" w:eastAsia="Times New Roman" w:hAnsi="Calibri" w:cs="Calibri"/>
                <w:szCs w:val="18"/>
                <w:lang w:val="es-ES_tradnl" w:eastAsia="es-CR"/>
              </w:rPr>
              <w:t>, 1975.</w:t>
            </w:r>
          </w:p>
          <w:p w14:paraId="774A86CD"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01225A2B"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r w:rsidRPr="003C6AC7">
              <w:rPr>
                <w:rFonts w:ascii="Calibri" w:eastAsia="Times New Roman" w:hAnsi="Calibri" w:cs="Calibri"/>
                <w:b/>
                <w:bCs/>
                <w:color w:val="0070C0"/>
                <w:szCs w:val="18"/>
                <w:lang w:val="es-ES_tradnl" w:eastAsia="es-CR"/>
              </w:rPr>
              <w:t>Material complementario</w:t>
            </w:r>
          </w:p>
          <w:p w14:paraId="1DE9C21F"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p>
          <w:p w14:paraId="2BC8CFF8" w14:textId="77777777" w:rsidR="003C6AC7" w:rsidRPr="003C6AC7" w:rsidRDefault="003C6AC7" w:rsidP="003C6AC7">
            <w:pPr>
              <w:widowControl w:val="0"/>
              <w:autoSpaceDN w:val="0"/>
              <w:rPr>
                <w:rFonts w:ascii="Calibri" w:eastAsia="Times New Roman" w:hAnsi="Calibri" w:cs="Calibri"/>
                <w:color w:val="0070C0"/>
                <w:szCs w:val="18"/>
                <w:lang w:val="es-ES_tradnl" w:eastAsia="es-CR"/>
              </w:rPr>
            </w:pPr>
            <w:r w:rsidRPr="003C6AC7">
              <w:rPr>
                <w:rFonts w:ascii="Calibri" w:eastAsia="Times New Roman" w:hAnsi="Calibri" w:cs="Calibri"/>
                <w:color w:val="0070C0"/>
                <w:szCs w:val="18"/>
                <w:lang w:val="es-ES_tradnl" w:eastAsia="es-CR"/>
              </w:rPr>
              <w:t>Guía para la elaboración de un mapa conceptual</w:t>
            </w:r>
          </w:p>
          <w:p w14:paraId="51DF1E9E"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77A67A76" w14:textId="77777777" w:rsidR="003C6AC7" w:rsidRPr="003C6AC7" w:rsidRDefault="003C6AC7" w:rsidP="003C6AC7">
            <w:pPr>
              <w:widowControl w:val="0"/>
              <w:numPr>
                <w:ilvl w:val="0"/>
                <w:numId w:val="234"/>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Realizar la lectura de la sesión.</w:t>
            </w:r>
          </w:p>
          <w:p w14:paraId="48B4E7F8" w14:textId="77777777" w:rsidR="003C6AC7" w:rsidRPr="003C6AC7" w:rsidRDefault="003C6AC7" w:rsidP="003C6AC7">
            <w:pPr>
              <w:widowControl w:val="0"/>
              <w:numPr>
                <w:ilvl w:val="0"/>
                <w:numId w:val="234"/>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Elaboración de un mapa conceptual sobre el círculo hermenéutico. </w:t>
            </w:r>
          </w:p>
          <w:p w14:paraId="5F33EC89" w14:textId="77777777" w:rsidR="003C6AC7" w:rsidRPr="003C6AC7" w:rsidRDefault="003C6AC7" w:rsidP="003C6AC7">
            <w:pPr>
              <w:widowControl w:val="0"/>
              <w:numPr>
                <w:ilvl w:val="0"/>
                <w:numId w:val="234"/>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Continuar con la elaboración del ensayo final.</w:t>
            </w:r>
          </w:p>
        </w:tc>
      </w:tr>
      <w:tr w:rsidR="003C6AC7" w:rsidRPr="003C6AC7" w14:paraId="2D0025F4" w14:textId="77777777" w:rsidTr="00104785">
        <w:trPr>
          <w:jc w:val="center"/>
        </w:trPr>
        <w:tc>
          <w:tcPr>
            <w:tcW w:w="1144" w:type="dxa"/>
          </w:tcPr>
          <w:p w14:paraId="13855D07"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t>9</w:t>
            </w:r>
          </w:p>
        </w:tc>
        <w:tc>
          <w:tcPr>
            <w:tcW w:w="2395" w:type="dxa"/>
          </w:tcPr>
          <w:p w14:paraId="7E4E97C7"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3: Hermenéutica y Teología en la lectura de los textos/discursos</w:t>
            </w:r>
          </w:p>
          <w:p w14:paraId="28219D03" w14:textId="77777777" w:rsidR="003C6AC7" w:rsidRPr="003C6AC7" w:rsidRDefault="003C6AC7" w:rsidP="003C6AC7">
            <w:pPr>
              <w:widowControl w:val="0"/>
              <w:autoSpaceDN w:val="0"/>
              <w:rPr>
                <w:rFonts w:ascii="Calibri" w:eastAsia="Times New Roman" w:hAnsi="Calibri" w:cs="Calibri"/>
                <w:lang w:eastAsia="es-ES"/>
              </w:rPr>
            </w:pPr>
          </w:p>
          <w:p w14:paraId="2C914F56"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3.3 Teología y praxis</w:t>
            </w:r>
          </w:p>
          <w:p w14:paraId="5D9D6883"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7ABF545C" w14:textId="77777777" w:rsidR="003C6AC7" w:rsidRPr="003C6AC7" w:rsidRDefault="003C6AC7" w:rsidP="003C6AC7">
            <w:pPr>
              <w:widowControl w:val="0"/>
              <w:autoSpaceDN w:val="0"/>
              <w:rPr>
                <w:rFonts w:ascii="Calibri" w:eastAsia="Times New Roman" w:hAnsi="Calibri" w:cs="Calibri"/>
                <w:color w:val="0070C0"/>
                <w:szCs w:val="18"/>
                <w:lang w:eastAsia="es-CR"/>
              </w:rPr>
            </w:pPr>
            <w:r w:rsidRPr="003C6AC7">
              <w:rPr>
                <w:rFonts w:ascii="Calibri" w:eastAsia="Times New Roman" w:hAnsi="Calibri" w:cs="Calibri"/>
                <w:color w:val="0070C0"/>
                <w:szCs w:val="18"/>
                <w:lang w:eastAsia="es-CR"/>
              </w:rPr>
              <w:t>Ruta de aprendizaje</w:t>
            </w:r>
          </w:p>
          <w:p w14:paraId="19144768"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3A042F88" w14:textId="77777777" w:rsidR="003C6AC7" w:rsidRPr="003C6AC7" w:rsidRDefault="003C6AC7" w:rsidP="003C6AC7">
            <w:pPr>
              <w:widowControl w:val="0"/>
              <w:autoSpaceDN w:val="0"/>
              <w:rPr>
                <w:rFonts w:ascii="Calibri" w:eastAsia="Times New Roman" w:hAnsi="Calibri" w:cs="Calibri"/>
                <w:color w:val="0563C1"/>
                <w:szCs w:val="18"/>
                <w:u w:val="single"/>
                <w:lang w:val="es-ES_tradnl" w:eastAsia="es-CR"/>
              </w:rPr>
            </w:pPr>
            <w:r w:rsidRPr="003C6AC7">
              <w:rPr>
                <w:rFonts w:ascii="Calibri" w:eastAsia="Times New Roman" w:hAnsi="Calibri" w:cs="Calibri"/>
                <w:szCs w:val="18"/>
                <w:lang w:val="es-ES_tradnl" w:eastAsia="es-CR"/>
              </w:rPr>
              <w:t>Pimentel Chacón, Jonathan. “Jon Sobrino, construcción de la esperanza y una teología desde el Sur”.</w:t>
            </w:r>
            <w:r w:rsidRPr="003C6AC7">
              <w:rPr>
                <w:rFonts w:ascii="Calibri" w:eastAsia="Times New Roman" w:hAnsi="Calibri" w:cs="Calibri"/>
                <w:i/>
                <w:iCs/>
                <w:szCs w:val="18"/>
                <w:lang w:val="es-ES_tradnl" w:eastAsia="es-CR"/>
              </w:rPr>
              <w:t xml:space="preserve"> Revista Ecuménica, </w:t>
            </w:r>
            <w:r w:rsidRPr="003C6AC7">
              <w:rPr>
                <w:rFonts w:ascii="Calibri" w:eastAsia="Times New Roman" w:hAnsi="Calibri" w:cs="Calibri"/>
                <w:szCs w:val="18"/>
                <w:lang w:val="es-ES_tradnl" w:eastAsia="es-CR"/>
              </w:rPr>
              <w:t xml:space="preserve">n. 2 (2007): 121-138. Acceso el 22 de octubre de 2022. </w:t>
            </w:r>
            <w:hyperlink r:id="rId363" w:history="1">
              <w:r w:rsidRPr="003C6AC7">
                <w:rPr>
                  <w:rFonts w:ascii="Calibri" w:eastAsia="Times New Roman" w:hAnsi="Calibri" w:cs="Calibri"/>
                  <w:color w:val="0563C1"/>
                  <w:szCs w:val="18"/>
                  <w:u w:val="single"/>
                  <w:lang w:val="es-ES_tradnl" w:eastAsia="es-CR"/>
                </w:rPr>
                <w:t>https://repositorio.una.ac.cr/handle/11056/20226</w:t>
              </w:r>
            </w:hyperlink>
          </w:p>
          <w:p w14:paraId="4DA04A93" w14:textId="77777777" w:rsidR="003C6AC7" w:rsidRPr="003C6AC7" w:rsidRDefault="003C6AC7" w:rsidP="003C6AC7">
            <w:pPr>
              <w:widowControl w:val="0"/>
              <w:autoSpaceDN w:val="0"/>
              <w:rPr>
                <w:rFonts w:ascii="Calibri" w:eastAsia="Times New Roman" w:hAnsi="Calibri" w:cs="Calibri"/>
                <w:color w:val="0563C1"/>
                <w:szCs w:val="18"/>
                <w:u w:val="single"/>
                <w:lang w:val="es-ES_tradnl" w:eastAsia="es-CR"/>
              </w:rPr>
            </w:pPr>
          </w:p>
          <w:p w14:paraId="1959BEE6"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r w:rsidRPr="003C6AC7">
              <w:rPr>
                <w:rFonts w:ascii="Calibri" w:eastAsia="Times New Roman" w:hAnsi="Calibri" w:cs="Calibri"/>
                <w:b/>
                <w:bCs/>
                <w:color w:val="0070C0"/>
                <w:szCs w:val="18"/>
                <w:lang w:val="es-ES_tradnl" w:eastAsia="es-CR"/>
              </w:rPr>
              <w:t>Material complementario</w:t>
            </w:r>
          </w:p>
          <w:p w14:paraId="22FD3AB3"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p>
          <w:p w14:paraId="67C1A0E5" w14:textId="77777777" w:rsidR="003C6AC7" w:rsidRPr="003C6AC7" w:rsidRDefault="003C6AC7" w:rsidP="003C6AC7">
            <w:pPr>
              <w:widowControl w:val="0"/>
              <w:autoSpaceDN w:val="0"/>
              <w:rPr>
                <w:rFonts w:ascii="Calibri" w:eastAsia="Times New Roman" w:hAnsi="Calibri" w:cs="Calibri"/>
                <w:color w:val="0563C1"/>
                <w:u w:val="single"/>
                <w:lang w:val="es-ES_tradnl" w:eastAsia="es-CR"/>
              </w:rPr>
            </w:pPr>
            <w:r w:rsidRPr="003C6AC7">
              <w:rPr>
                <w:rFonts w:ascii="Calibri" w:eastAsia="Times New Roman" w:hAnsi="Calibri" w:cs="Calibri"/>
                <w:color w:val="0070C0"/>
                <w:lang w:val="es-ES_tradnl" w:eastAsia="es-CR"/>
              </w:rPr>
              <w:t>Guía para la elaboración de un ensayo</w:t>
            </w:r>
          </w:p>
          <w:p w14:paraId="0A46500E"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4679DAEA" w14:textId="77777777" w:rsidR="003C6AC7" w:rsidRPr="003C6AC7" w:rsidRDefault="003C6AC7" w:rsidP="003C6AC7">
            <w:pPr>
              <w:widowControl w:val="0"/>
              <w:numPr>
                <w:ilvl w:val="0"/>
                <w:numId w:val="235"/>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lastRenderedPageBreak/>
              <w:t>Realizar la lectura de la sesión.</w:t>
            </w:r>
          </w:p>
          <w:p w14:paraId="4BD014D4" w14:textId="77777777" w:rsidR="003C6AC7" w:rsidRPr="003C6AC7" w:rsidRDefault="003C6AC7" w:rsidP="003C6AC7">
            <w:pPr>
              <w:widowControl w:val="0"/>
              <w:numPr>
                <w:ilvl w:val="0"/>
                <w:numId w:val="235"/>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Elaboración de un ensayo crítico sobre los principios epistemológicos y sus desafíos para la interpretación bíblica y la teología práctica.</w:t>
            </w:r>
          </w:p>
          <w:p w14:paraId="08BBF058" w14:textId="77777777" w:rsidR="003C6AC7" w:rsidRPr="003C6AC7" w:rsidRDefault="003C6AC7" w:rsidP="003C6AC7">
            <w:pPr>
              <w:widowControl w:val="0"/>
              <w:autoSpaceDN w:val="0"/>
              <w:ind w:left="316"/>
              <w:contextualSpacing/>
              <w:rPr>
                <w:rFonts w:ascii="Calibri" w:eastAsia="Times New Roman" w:hAnsi="Calibri" w:cs="Calibri"/>
                <w:lang w:eastAsia="es-ES"/>
              </w:rPr>
            </w:pPr>
          </w:p>
        </w:tc>
      </w:tr>
      <w:tr w:rsidR="003C6AC7" w:rsidRPr="003C6AC7" w14:paraId="42ACD461" w14:textId="77777777" w:rsidTr="00104785">
        <w:trPr>
          <w:jc w:val="center"/>
        </w:trPr>
        <w:tc>
          <w:tcPr>
            <w:tcW w:w="1144" w:type="dxa"/>
          </w:tcPr>
          <w:p w14:paraId="79BCCE24"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t>10</w:t>
            </w:r>
          </w:p>
        </w:tc>
        <w:tc>
          <w:tcPr>
            <w:tcW w:w="2395" w:type="dxa"/>
          </w:tcPr>
          <w:p w14:paraId="5B3D2660"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3: Hermenéutica y Teología en la lectura de los textos/discursos</w:t>
            </w:r>
          </w:p>
          <w:p w14:paraId="53F60EE9" w14:textId="77777777" w:rsidR="003C6AC7" w:rsidRPr="003C6AC7" w:rsidRDefault="003C6AC7" w:rsidP="003C6AC7">
            <w:pPr>
              <w:widowControl w:val="0"/>
              <w:autoSpaceDN w:val="0"/>
              <w:rPr>
                <w:rFonts w:ascii="Calibri" w:eastAsia="Times New Roman" w:hAnsi="Calibri" w:cs="Calibri"/>
                <w:lang w:eastAsia="es-ES"/>
              </w:rPr>
            </w:pPr>
          </w:p>
          <w:p w14:paraId="21A6D8EA"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3.3 Teología y praxis</w:t>
            </w:r>
          </w:p>
        </w:tc>
        <w:tc>
          <w:tcPr>
            <w:tcW w:w="2835" w:type="dxa"/>
          </w:tcPr>
          <w:p w14:paraId="18DC3B70" w14:textId="77777777" w:rsidR="003C6AC7" w:rsidRPr="003C6AC7" w:rsidRDefault="003C6AC7" w:rsidP="003C6AC7">
            <w:pPr>
              <w:widowControl w:val="0"/>
              <w:autoSpaceDN w:val="0"/>
              <w:rPr>
                <w:rFonts w:ascii="Calibri" w:eastAsia="Times New Roman" w:hAnsi="Calibri" w:cs="Arial"/>
                <w:lang w:eastAsia="es-CR"/>
              </w:rPr>
            </w:pPr>
            <w:r w:rsidRPr="003C6AC7">
              <w:rPr>
                <w:rFonts w:ascii="Calibri" w:eastAsia="Times New Roman" w:hAnsi="Calibri" w:cs="Calibri"/>
                <w:color w:val="0070C0"/>
                <w:szCs w:val="18"/>
                <w:lang w:eastAsia="es-CR"/>
              </w:rPr>
              <w:t>Ruta de aprendizaje</w:t>
            </w:r>
            <w:r w:rsidRPr="003C6AC7">
              <w:rPr>
                <w:rFonts w:ascii="Calibri" w:eastAsia="Times New Roman" w:hAnsi="Calibri" w:cs="Arial"/>
                <w:lang w:eastAsia="es-CR"/>
              </w:rPr>
              <w:t xml:space="preserve"> </w:t>
            </w:r>
          </w:p>
          <w:p w14:paraId="53E0F487" w14:textId="77777777" w:rsidR="003C6AC7" w:rsidRPr="003C6AC7" w:rsidRDefault="003C6AC7" w:rsidP="003C6AC7">
            <w:pPr>
              <w:widowControl w:val="0"/>
              <w:autoSpaceDN w:val="0"/>
              <w:rPr>
                <w:rFonts w:ascii="Calibri" w:eastAsia="Times New Roman" w:hAnsi="Calibri" w:cs="Arial"/>
                <w:lang w:eastAsia="es-CR"/>
              </w:rPr>
            </w:pPr>
          </w:p>
          <w:p w14:paraId="7811CBC3" w14:textId="77777777" w:rsidR="003C6AC7" w:rsidRPr="003C6AC7" w:rsidRDefault="003C6AC7" w:rsidP="003C6AC7">
            <w:pPr>
              <w:widowControl w:val="0"/>
              <w:autoSpaceDN w:val="0"/>
              <w:rPr>
                <w:rFonts w:ascii="Calibri" w:eastAsia="Times New Roman" w:hAnsi="Calibri" w:cs="Arial"/>
                <w:lang w:eastAsia="es-CR"/>
              </w:rPr>
            </w:pPr>
            <w:proofErr w:type="spellStart"/>
            <w:r w:rsidRPr="003C6AC7">
              <w:rPr>
                <w:rFonts w:ascii="Calibri" w:eastAsia="Times New Roman" w:hAnsi="Calibri" w:cs="Arial"/>
                <w:lang w:eastAsia="es-CR"/>
              </w:rPr>
              <w:t>Vuola</w:t>
            </w:r>
            <w:proofErr w:type="spellEnd"/>
            <w:r w:rsidRPr="003C6AC7">
              <w:rPr>
                <w:rFonts w:ascii="Calibri" w:eastAsia="Times New Roman" w:hAnsi="Calibri" w:cs="Arial"/>
                <w:lang w:eastAsia="es-CR"/>
              </w:rPr>
              <w:t xml:space="preserve">, Elina. “El método de la tecnología de la liberación”. En </w:t>
            </w:r>
            <w:r w:rsidRPr="003C6AC7">
              <w:rPr>
                <w:rFonts w:ascii="Calibri" w:eastAsia="Times New Roman" w:hAnsi="Calibri" w:cs="Arial"/>
                <w:i/>
                <w:iCs/>
                <w:lang w:eastAsia="es-CR"/>
              </w:rPr>
              <w:t>Teología feminista, teología de la liberación: los límites de la liberación: (la praxis como método de la teología latinoamericana de la liberación y de la teología feminista)</w:t>
            </w:r>
            <w:r w:rsidRPr="003C6AC7">
              <w:rPr>
                <w:rFonts w:ascii="Calibri" w:eastAsia="Times New Roman" w:hAnsi="Calibri" w:cs="Arial"/>
                <w:lang w:eastAsia="es-CR"/>
              </w:rPr>
              <w:t>, 48-71</w:t>
            </w:r>
            <w:r w:rsidRPr="003C6AC7">
              <w:rPr>
                <w:rFonts w:ascii="Calibri" w:eastAsia="Times New Roman" w:hAnsi="Calibri" w:cs="Arial"/>
                <w:i/>
                <w:iCs/>
                <w:lang w:eastAsia="es-CR"/>
              </w:rPr>
              <w:t xml:space="preserve">. </w:t>
            </w:r>
            <w:r w:rsidRPr="003C6AC7">
              <w:rPr>
                <w:rFonts w:ascii="Calibri" w:eastAsia="Times New Roman" w:hAnsi="Calibri" w:cs="Arial"/>
                <w:lang w:eastAsia="es-CR"/>
              </w:rPr>
              <w:t xml:space="preserve">Madrid: IEPALA, 2000. </w:t>
            </w:r>
            <w:r w:rsidRPr="003C6AC7">
              <w:rPr>
                <w:rFonts w:ascii="Calibri" w:eastAsia="Times New Roman" w:hAnsi="Calibri" w:cs="Calibri"/>
                <w:color w:val="0070C0"/>
                <w:szCs w:val="18"/>
                <w:lang w:val="es-ES_tradnl" w:eastAsia="es-CR"/>
              </w:rPr>
              <w:t>(clásico, última edición)</w:t>
            </w:r>
          </w:p>
          <w:p w14:paraId="5DC2E72F"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192BCCEB" w14:textId="77777777" w:rsidR="003C6AC7" w:rsidRPr="003C6AC7" w:rsidRDefault="003C6AC7" w:rsidP="003C6AC7">
            <w:pPr>
              <w:widowControl w:val="0"/>
              <w:autoSpaceDN w:val="0"/>
              <w:rPr>
                <w:rFonts w:ascii="Calibri" w:eastAsia="Times New Roman" w:hAnsi="Calibri" w:cs="Calibri"/>
                <w:color w:val="0563C1"/>
                <w:szCs w:val="18"/>
                <w:u w:val="single"/>
                <w:lang w:val="es-ES_tradnl" w:eastAsia="es-CR"/>
              </w:rPr>
            </w:pPr>
            <w:r w:rsidRPr="003C6AC7">
              <w:rPr>
                <w:rFonts w:ascii="Calibri" w:eastAsia="Times New Roman" w:hAnsi="Calibri" w:cs="Calibri"/>
                <w:szCs w:val="18"/>
                <w:lang w:val="es-ES_tradnl" w:eastAsia="es-CR"/>
              </w:rPr>
              <w:t>Trigo, Pedro.  “El Dios de los pobres”.</w:t>
            </w:r>
            <w:r w:rsidRPr="003C6AC7">
              <w:rPr>
                <w:rFonts w:ascii="Calibri" w:eastAsia="Times New Roman" w:hAnsi="Calibri" w:cs="Calibri"/>
                <w:i/>
                <w:iCs/>
                <w:szCs w:val="18"/>
                <w:lang w:val="es-ES_tradnl" w:eastAsia="es-CR"/>
              </w:rPr>
              <w:t xml:space="preserve"> Revista Latinoamericana de Teología</w:t>
            </w:r>
            <w:r w:rsidRPr="003C6AC7">
              <w:rPr>
                <w:rFonts w:ascii="Calibri" w:eastAsia="Times New Roman" w:hAnsi="Calibri" w:cs="Calibri"/>
                <w:szCs w:val="18"/>
                <w:lang w:val="es-ES_tradnl" w:eastAsia="es-CR"/>
              </w:rPr>
              <w:t xml:space="preserve">, no. 87 (2012): 245-258. Acceso el 22 de octubre de 2022 </w:t>
            </w:r>
            <w:hyperlink r:id="rId364" w:history="1">
              <w:r w:rsidRPr="003C6AC7">
                <w:rPr>
                  <w:rFonts w:ascii="Calibri" w:eastAsia="Times New Roman" w:hAnsi="Calibri" w:cs="Calibri"/>
                  <w:color w:val="0563C1"/>
                  <w:szCs w:val="18"/>
                  <w:u w:val="single"/>
                  <w:lang w:val="es-ES_tradnl" w:eastAsia="es-CR"/>
                </w:rPr>
                <w:t>https://doi.org/10.51378/rlt.v29i87.4726</w:t>
              </w:r>
            </w:hyperlink>
          </w:p>
          <w:p w14:paraId="40611ADA"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685001F9" w14:textId="77777777" w:rsidR="003C6AC7" w:rsidRPr="003C6AC7" w:rsidRDefault="003C6AC7" w:rsidP="003C6AC7">
            <w:pPr>
              <w:widowControl w:val="0"/>
              <w:numPr>
                <w:ilvl w:val="0"/>
                <w:numId w:val="236"/>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Realizar las lecturas de la sesión.</w:t>
            </w:r>
          </w:p>
          <w:p w14:paraId="6068930F" w14:textId="77777777" w:rsidR="003C6AC7" w:rsidRPr="003C6AC7" w:rsidRDefault="003C6AC7" w:rsidP="003C6AC7">
            <w:pPr>
              <w:widowControl w:val="0"/>
              <w:numPr>
                <w:ilvl w:val="0"/>
                <w:numId w:val="236"/>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Análisis del texto bíblico de Génesis 2-3. </w:t>
            </w:r>
          </w:p>
          <w:p w14:paraId="26DE8BFB" w14:textId="77777777" w:rsidR="003C6AC7" w:rsidRPr="003C6AC7" w:rsidRDefault="003C6AC7" w:rsidP="003C6AC7">
            <w:pPr>
              <w:widowControl w:val="0"/>
              <w:numPr>
                <w:ilvl w:val="0"/>
                <w:numId w:val="236"/>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Continuar con la elaboración del ensayo final. </w:t>
            </w:r>
          </w:p>
        </w:tc>
      </w:tr>
      <w:tr w:rsidR="003C6AC7" w:rsidRPr="003C6AC7" w14:paraId="5EFD02E2" w14:textId="77777777" w:rsidTr="00104785">
        <w:trPr>
          <w:trHeight w:val="7645"/>
          <w:jc w:val="center"/>
        </w:trPr>
        <w:tc>
          <w:tcPr>
            <w:tcW w:w="1144" w:type="dxa"/>
          </w:tcPr>
          <w:p w14:paraId="7B5C6FEA"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lastRenderedPageBreak/>
              <w:t>11</w:t>
            </w:r>
          </w:p>
        </w:tc>
        <w:tc>
          <w:tcPr>
            <w:tcW w:w="2395" w:type="dxa"/>
          </w:tcPr>
          <w:p w14:paraId="243E6CAE"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4: Diversas lecturas bíblicas actuales</w:t>
            </w:r>
          </w:p>
          <w:p w14:paraId="09DC0EAE" w14:textId="77777777" w:rsidR="003C6AC7" w:rsidRPr="003C6AC7" w:rsidRDefault="003C6AC7" w:rsidP="003C6AC7">
            <w:pPr>
              <w:widowControl w:val="0"/>
              <w:autoSpaceDN w:val="0"/>
              <w:rPr>
                <w:rFonts w:ascii="Calibri" w:eastAsia="Times New Roman" w:hAnsi="Calibri" w:cs="Calibri"/>
                <w:b/>
                <w:bCs/>
                <w:lang w:eastAsia="es-ES"/>
              </w:rPr>
            </w:pPr>
          </w:p>
          <w:p w14:paraId="5A2BD6EA"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4.1 Hermenéutica feminista y literatura latinoamericana</w:t>
            </w:r>
          </w:p>
          <w:p w14:paraId="5EE0C791"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7054E97A" w14:textId="77777777" w:rsidR="003C6AC7" w:rsidRPr="003C6AC7" w:rsidRDefault="003C6AC7" w:rsidP="003C6AC7">
            <w:pPr>
              <w:widowControl w:val="0"/>
              <w:autoSpaceDN w:val="0"/>
              <w:rPr>
                <w:rFonts w:ascii="Calibri" w:eastAsia="Times New Roman" w:hAnsi="Calibri" w:cs="Arial"/>
                <w:lang w:eastAsia="es-CR"/>
              </w:rPr>
            </w:pPr>
            <w:r w:rsidRPr="003C6AC7">
              <w:rPr>
                <w:rFonts w:ascii="Calibri" w:eastAsia="Times New Roman" w:hAnsi="Calibri" w:cs="Calibri"/>
                <w:color w:val="0070C0"/>
                <w:szCs w:val="18"/>
                <w:lang w:eastAsia="es-CR"/>
              </w:rPr>
              <w:t>Ruta de aprendizaje</w:t>
            </w:r>
            <w:r w:rsidRPr="003C6AC7">
              <w:rPr>
                <w:rFonts w:ascii="Calibri" w:eastAsia="Times New Roman" w:hAnsi="Calibri" w:cs="Arial"/>
                <w:lang w:eastAsia="es-CR"/>
              </w:rPr>
              <w:t xml:space="preserve"> </w:t>
            </w:r>
          </w:p>
          <w:p w14:paraId="048DEB6E" w14:textId="77777777" w:rsidR="003C6AC7" w:rsidRPr="003C6AC7" w:rsidRDefault="003C6AC7" w:rsidP="003C6AC7">
            <w:pPr>
              <w:widowControl w:val="0"/>
              <w:autoSpaceDN w:val="0"/>
              <w:rPr>
                <w:rFonts w:ascii="Calibri" w:eastAsia="Times New Roman" w:hAnsi="Calibri" w:cs="Arial"/>
                <w:lang w:eastAsia="es-CR"/>
              </w:rPr>
            </w:pPr>
          </w:p>
          <w:p w14:paraId="538D830C" w14:textId="77777777" w:rsidR="003C6AC7" w:rsidRPr="003C6AC7" w:rsidRDefault="003C6AC7" w:rsidP="003C6AC7">
            <w:pPr>
              <w:widowControl w:val="0"/>
              <w:autoSpaceDN w:val="0"/>
              <w:rPr>
                <w:rFonts w:ascii="Calibri" w:eastAsia="Times New Roman" w:hAnsi="Calibri" w:cs="Arial"/>
                <w:lang w:eastAsia="es-CR"/>
              </w:rPr>
            </w:pPr>
            <w:proofErr w:type="spellStart"/>
            <w:r w:rsidRPr="003C6AC7">
              <w:rPr>
                <w:rFonts w:ascii="Calibri" w:eastAsia="Times New Roman" w:hAnsi="Calibri" w:cs="Arial"/>
                <w:lang w:eastAsia="es-CR"/>
              </w:rPr>
              <w:t>Schüssler</w:t>
            </w:r>
            <w:proofErr w:type="spellEnd"/>
            <w:r w:rsidRPr="003C6AC7">
              <w:rPr>
                <w:rFonts w:ascii="Calibri" w:eastAsia="Times New Roman" w:hAnsi="Calibri" w:cs="Arial"/>
                <w:lang w:eastAsia="es-CR"/>
              </w:rPr>
              <w:t xml:space="preserve"> </w:t>
            </w:r>
            <w:proofErr w:type="spellStart"/>
            <w:r w:rsidRPr="003C6AC7">
              <w:rPr>
                <w:rFonts w:ascii="Calibri" w:eastAsia="Times New Roman" w:hAnsi="Calibri" w:cs="Arial"/>
                <w:lang w:eastAsia="es-CR"/>
              </w:rPr>
              <w:t>Fiorenza</w:t>
            </w:r>
            <w:proofErr w:type="spellEnd"/>
            <w:r w:rsidRPr="003C6AC7">
              <w:rPr>
                <w:rFonts w:ascii="Calibri" w:eastAsia="Times New Roman" w:hAnsi="Calibri" w:cs="Arial"/>
                <w:lang w:eastAsia="es-CR"/>
              </w:rPr>
              <w:t xml:space="preserve">, Elisabeth. “Entre la investigación y el movimiento social: estudios feministas de la Biblia en el Siglo XX”. En </w:t>
            </w:r>
            <w:r w:rsidRPr="003C6AC7">
              <w:rPr>
                <w:rFonts w:ascii="Calibri" w:eastAsia="Times New Roman" w:hAnsi="Calibri" w:cs="Arial"/>
                <w:i/>
                <w:iCs/>
                <w:lang w:eastAsia="es-CR"/>
              </w:rPr>
              <w:t>La exégesis feminista del siglo XX: investigación y movimiento</w:t>
            </w:r>
            <w:r w:rsidRPr="003C6AC7">
              <w:rPr>
                <w:rFonts w:ascii="Calibri" w:eastAsia="Times New Roman" w:hAnsi="Calibri" w:cs="Arial"/>
                <w:lang w:eastAsia="es-CR"/>
              </w:rPr>
              <w:t xml:space="preserve">, editado por Elizabeth </w:t>
            </w:r>
            <w:proofErr w:type="spellStart"/>
            <w:r w:rsidRPr="003C6AC7">
              <w:rPr>
                <w:rFonts w:ascii="Calibri" w:eastAsia="Times New Roman" w:hAnsi="Calibri" w:cs="Arial"/>
                <w:lang w:eastAsia="es-CR"/>
              </w:rPr>
              <w:t>Schüssler</w:t>
            </w:r>
            <w:proofErr w:type="spellEnd"/>
            <w:r w:rsidRPr="003C6AC7">
              <w:rPr>
                <w:rFonts w:ascii="Calibri" w:eastAsia="Times New Roman" w:hAnsi="Calibri" w:cs="Arial"/>
                <w:lang w:eastAsia="es-CR"/>
              </w:rPr>
              <w:t xml:space="preserve"> </w:t>
            </w:r>
            <w:proofErr w:type="spellStart"/>
            <w:r w:rsidRPr="003C6AC7">
              <w:rPr>
                <w:rFonts w:ascii="Calibri" w:eastAsia="Times New Roman" w:hAnsi="Calibri" w:cs="Arial"/>
                <w:lang w:eastAsia="es-CR"/>
              </w:rPr>
              <w:t>Fiorenza</w:t>
            </w:r>
            <w:proofErr w:type="spellEnd"/>
            <w:r w:rsidRPr="003C6AC7">
              <w:rPr>
                <w:rFonts w:ascii="Calibri" w:eastAsia="Times New Roman" w:hAnsi="Calibri" w:cs="Arial"/>
                <w:lang w:eastAsia="es-CR"/>
              </w:rPr>
              <w:t>, 15-32</w:t>
            </w:r>
            <w:r w:rsidRPr="003C6AC7">
              <w:rPr>
                <w:rFonts w:ascii="Calibri" w:eastAsia="Times New Roman" w:hAnsi="Calibri" w:cs="Arial"/>
                <w:i/>
                <w:iCs/>
                <w:lang w:eastAsia="es-CR"/>
              </w:rPr>
              <w:t>.</w:t>
            </w:r>
            <w:r w:rsidRPr="003C6AC7">
              <w:rPr>
                <w:rFonts w:ascii="Calibri" w:eastAsia="Times New Roman" w:hAnsi="Calibri" w:cs="Arial"/>
                <w:lang w:eastAsia="es-CR"/>
              </w:rPr>
              <w:t xml:space="preserve"> Navarra: Verbo Divino, 2015. </w:t>
            </w:r>
            <w:r w:rsidRPr="003C6AC7">
              <w:rPr>
                <w:rFonts w:ascii="Calibri" w:eastAsia="Times New Roman" w:hAnsi="Calibri" w:cs="Calibri"/>
                <w:color w:val="0070C0"/>
                <w:szCs w:val="18"/>
                <w:lang w:val="es-ES_tradnl" w:eastAsia="es-CR"/>
              </w:rPr>
              <w:t>(clásico, última edición)</w:t>
            </w:r>
          </w:p>
          <w:p w14:paraId="76E94404"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6DE3336E" w14:textId="77777777" w:rsidR="003C6AC7" w:rsidRPr="003C6AC7" w:rsidRDefault="003C6AC7" w:rsidP="003C6AC7">
            <w:pPr>
              <w:widowControl w:val="0"/>
              <w:autoSpaceDN w:val="0"/>
              <w:rPr>
                <w:rFonts w:ascii="Calibri" w:eastAsia="Times New Roman" w:hAnsi="Calibri" w:cs="Arial"/>
                <w:lang w:eastAsia="es-CR"/>
              </w:rPr>
            </w:pPr>
            <w:r w:rsidRPr="003C6AC7">
              <w:rPr>
                <w:rFonts w:ascii="Calibri" w:eastAsia="Times New Roman" w:hAnsi="Calibri" w:cs="Arial"/>
                <w:lang w:eastAsia="es-CR"/>
              </w:rPr>
              <w:t>Loades, Ann</w:t>
            </w:r>
            <w:r w:rsidRPr="003C6AC7">
              <w:rPr>
                <w:rFonts w:ascii="Calibri" w:eastAsia="Times New Roman" w:hAnsi="Calibri" w:cs="Arial"/>
                <w:i/>
                <w:iCs/>
                <w:lang w:eastAsia="es-CR"/>
              </w:rPr>
              <w:t xml:space="preserve">. </w:t>
            </w:r>
            <w:r w:rsidRPr="003C6AC7">
              <w:rPr>
                <w:rFonts w:ascii="Calibri" w:eastAsia="Times New Roman" w:hAnsi="Calibri" w:cs="Arial"/>
                <w:lang w:eastAsia="es-CR"/>
              </w:rPr>
              <w:t>“La interpretación feminista”.</w:t>
            </w:r>
            <w:r w:rsidRPr="003C6AC7">
              <w:rPr>
                <w:rFonts w:ascii="Calibri" w:eastAsia="Times New Roman" w:hAnsi="Calibri" w:cs="Arial"/>
                <w:i/>
                <w:iCs/>
                <w:lang w:eastAsia="es-CR"/>
              </w:rPr>
              <w:t xml:space="preserve"> </w:t>
            </w:r>
            <w:r w:rsidRPr="003C6AC7">
              <w:rPr>
                <w:rFonts w:ascii="Calibri" w:eastAsia="Times New Roman" w:hAnsi="Calibri" w:cs="Arial"/>
                <w:lang w:eastAsia="es-CR"/>
              </w:rPr>
              <w:t>En</w:t>
            </w:r>
            <w:r w:rsidRPr="003C6AC7">
              <w:rPr>
                <w:rFonts w:ascii="Calibri" w:eastAsia="Times New Roman" w:hAnsi="Calibri" w:cs="Arial"/>
                <w:i/>
                <w:iCs/>
                <w:lang w:eastAsia="es-CR"/>
              </w:rPr>
              <w:t xml:space="preserve"> La interpretación bíblica hoy, </w:t>
            </w:r>
            <w:r w:rsidRPr="003C6AC7">
              <w:rPr>
                <w:rFonts w:ascii="Calibri" w:eastAsia="Times New Roman" w:hAnsi="Calibri" w:cs="Arial"/>
                <w:lang w:eastAsia="es-CR"/>
              </w:rPr>
              <w:t xml:space="preserve">editado por John Barton, 105-119. Santander, Sal </w:t>
            </w:r>
            <w:proofErr w:type="spellStart"/>
            <w:r w:rsidRPr="003C6AC7">
              <w:rPr>
                <w:rFonts w:ascii="Calibri" w:eastAsia="Times New Roman" w:hAnsi="Calibri" w:cs="Arial"/>
                <w:lang w:eastAsia="es-CR"/>
              </w:rPr>
              <w:t>Terrae</w:t>
            </w:r>
            <w:proofErr w:type="spellEnd"/>
            <w:r w:rsidRPr="003C6AC7">
              <w:rPr>
                <w:rFonts w:ascii="Calibri" w:eastAsia="Times New Roman" w:hAnsi="Calibri" w:cs="Arial"/>
                <w:lang w:eastAsia="es-CR"/>
              </w:rPr>
              <w:t>, 2001.</w:t>
            </w:r>
          </w:p>
          <w:p w14:paraId="4038E50B"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61B7A7FE" w14:textId="77777777" w:rsidR="003C6AC7" w:rsidRPr="003C6AC7" w:rsidRDefault="003C6AC7" w:rsidP="003C6AC7">
            <w:pPr>
              <w:widowControl w:val="0"/>
              <w:autoSpaceDN w:val="0"/>
              <w:rPr>
                <w:rFonts w:ascii="Calibri" w:eastAsia="Times New Roman" w:hAnsi="Calibri" w:cs="Calibri"/>
                <w:b/>
                <w:bCs/>
                <w:szCs w:val="18"/>
                <w:lang w:val="es-ES_tradnl" w:eastAsia="es-CR"/>
              </w:rPr>
            </w:pPr>
            <w:r w:rsidRPr="003C6AC7">
              <w:rPr>
                <w:rFonts w:ascii="Calibri" w:eastAsia="Times New Roman" w:hAnsi="Calibri" w:cs="Calibri"/>
                <w:b/>
                <w:bCs/>
                <w:szCs w:val="18"/>
                <w:lang w:val="es-ES_tradnl" w:eastAsia="es-CR"/>
              </w:rPr>
              <w:t>Material complementario</w:t>
            </w:r>
          </w:p>
          <w:p w14:paraId="5DB4A2AC" w14:textId="77777777" w:rsidR="003C6AC7" w:rsidRPr="003C6AC7" w:rsidRDefault="003C6AC7" w:rsidP="003C6AC7">
            <w:pPr>
              <w:widowControl w:val="0"/>
              <w:autoSpaceDN w:val="0"/>
              <w:rPr>
                <w:rFonts w:ascii="Calibri" w:eastAsia="Times New Roman" w:hAnsi="Calibri" w:cs="Calibri"/>
                <w:b/>
                <w:bCs/>
                <w:szCs w:val="18"/>
                <w:lang w:val="es-ES_tradnl" w:eastAsia="es-CR"/>
              </w:rPr>
            </w:pPr>
          </w:p>
          <w:p w14:paraId="75D193CC" w14:textId="77777777" w:rsidR="003C6AC7" w:rsidRPr="003C6AC7" w:rsidRDefault="003C6AC7" w:rsidP="003C6AC7">
            <w:pPr>
              <w:widowControl w:val="0"/>
              <w:autoSpaceDN w:val="0"/>
              <w:rPr>
                <w:rFonts w:ascii="Calibri" w:eastAsia="Times New Roman" w:hAnsi="Calibri" w:cs="Arial"/>
                <w:lang w:eastAsia="es-CR"/>
              </w:rPr>
            </w:pPr>
            <w:proofErr w:type="spellStart"/>
            <w:r w:rsidRPr="003C6AC7">
              <w:rPr>
                <w:rFonts w:ascii="Calibri" w:eastAsia="Times New Roman" w:hAnsi="Calibri" w:cs="Arial"/>
                <w:lang w:eastAsia="es-CR"/>
              </w:rPr>
              <w:t>Roitman</w:t>
            </w:r>
            <w:proofErr w:type="spellEnd"/>
            <w:r w:rsidRPr="003C6AC7">
              <w:rPr>
                <w:rFonts w:ascii="Calibri" w:eastAsia="Times New Roman" w:hAnsi="Calibri" w:cs="Arial"/>
                <w:lang w:eastAsia="es-CR"/>
              </w:rPr>
              <w:t xml:space="preserve">, Adolfo D. “La diosa </w:t>
            </w:r>
            <w:proofErr w:type="spellStart"/>
            <w:r w:rsidRPr="003C6AC7">
              <w:rPr>
                <w:rFonts w:ascii="Calibri" w:eastAsia="Times New Roman" w:hAnsi="Calibri" w:cs="Arial"/>
                <w:lang w:eastAsia="es-CR"/>
              </w:rPr>
              <w:t>Aserá</w:t>
            </w:r>
            <w:proofErr w:type="spellEnd"/>
            <w:r w:rsidRPr="003C6AC7">
              <w:rPr>
                <w:rFonts w:ascii="Calibri" w:eastAsia="Times New Roman" w:hAnsi="Calibri" w:cs="Arial"/>
                <w:lang w:eastAsia="es-CR"/>
              </w:rPr>
              <w:t>: ¿la consorte de Yahveh?” En</w:t>
            </w:r>
            <w:r w:rsidRPr="003C6AC7">
              <w:rPr>
                <w:rFonts w:ascii="Calibri" w:eastAsia="Times New Roman" w:hAnsi="Calibri" w:cs="Arial"/>
                <w:i/>
                <w:iCs/>
                <w:lang w:eastAsia="es-CR"/>
              </w:rPr>
              <w:t xml:space="preserve"> Biblia, exégesis y religión: una lectura crítico-histórica del judaísmo</w:t>
            </w:r>
            <w:r w:rsidRPr="003C6AC7">
              <w:rPr>
                <w:rFonts w:ascii="Calibri" w:eastAsia="Times New Roman" w:hAnsi="Calibri" w:cs="Arial"/>
                <w:lang w:eastAsia="es-CR"/>
              </w:rPr>
              <w:t xml:space="preserve">, 223-231. Estella (Navarra): Verbo Divino, 2010. </w:t>
            </w:r>
            <w:r w:rsidRPr="003C6AC7">
              <w:rPr>
                <w:rFonts w:ascii="Calibri" w:eastAsia="Times New Roman" w:hAnsi="Calibri" w:cs="Calibri"/>
                <w:color w:val="0070C0"/>
                <w:szCs w:val="18"/>
                <w:lang w:val="es-ES_tradnl" w:eastAsia="es-CR"/>
              </w:rPr>
              <w:t>(clásico, última edición)</w:t>
            </w:r>
          </w:p>
          <w:p w14:paraId="041FE7DB" w14:textId="77777777" w:rsidR="003C6AC7" w:rsidRPr="003C6AC7" w:rsidRDefault="003C6AC7" w:rsidP="003C6AC7">
            <w:pPr>
              <w:widowControl w:val="0"/>
              <w:autoSpaceDN w:val="0"/>
              <w:rPr>
                <w:rFonts w:ascii="Calibri" w:eastAsia="Times New Roman" w:hAnsi="Calibri" w:cs="Arial"/>
                <w:lang w:eastAsia="es-CR"/>
              </w:rPr>
            </w:pPr>
          </w:p>
          <w:p w14:paraId="570E8204" w14:textId="77777777" w:rsidR="003C6AC7" w:rsidRPr="003C6AC7" w:rsidRDefault="003C6AC7" w:rsidP="003C6AC7">
            <w:pPr>
              <w:widowControl w:val="0"/>
              <w:autoSpaceDN w:val="0"/>
              <w:rPr>
                <w:rFonts w:ascii="Calibri" w:eastAsia="Times New Roman" w:hAnsi="Calibri" w:cs="Arial"/>
                <w:color w:val="0070C0"/>
                <w:lang w:eastAsia="es-CR"/>
              </w:rPr>
            </w:pPr>
            <w:r w:rsidRPr="003C6AC7">
              <w:rPr>
                <w:rFonts w:ascii="Calibri" w:eastAsia="Times New Roman" w:hAnsi="Calibri" w:cs="Arial"/>
                <w:color w:val="0070C0"/>
                <w:lang w:eastAsia="es-CR"/>
              </w:rPr>
              <w:t xml:space="preserve">Guía para la participación mediante la herramienta Big Blue </w:t>
            </w:r>
            <w:proofErr w:type="spellStart"/>
            <w:r w:rsidRPr="003C6AC7">
              <w:rPr>
                <w:rFonts w:ascii="Calibri" w:eastAsia="Times New Roman" w:hAnsi="Calibri" w:cs="Arial"/>
                <w:color w:val="0070C0"/>
                <w:lang w:eastAsia="es-CR"/>
              </w:rPr>
              <w:t>Button</w:t>
            </w:r>
            <w:proofErr w:type="spellEnd"/>
            <w:r w:rsidRPr="003C6AC7">
              <w:rPr>
                <w:rFonts w:ascii="Calibri" w:eastAsia="Times New Roman" w:hAnsi="Calibri" w:cs="Arial"/>
                <w:color w:val="0070C0"/>
                <w:lang w:eastAsia="es-CR"/>
              </w:rPr>
              <w:t xml:space="preserve"> en la plataforma Moodle</w:t>
            </w:r>
          </w:p>
          <w:p w14:paraId="629EBBE7" w14:textId="77777777" w:rsidR="003C6AC7" w:rsidRPr="003C6AC7" w:rsidRDefault="003C6AC7" w:rsidP="003C6AC7">
            <w:pPr>
              <w:widowControl w:val="0"/>
              <w:autoSpaceDN w:val="0"/>
              <w:rPr>
                <w:rFonts w:ascii="Calibri" w:eastAsia="Times New Roman" w:hAnsi="Calibri" w:cs="Arial"/>
                <w:color w:val="0070C0"/>
                <w:lang w:eastAsia="es-CR"/>
              </w:rPr>
            </w:pPr>
          </w:p>
        </w:tc>
        <w:tc>
          <w:tcPr>
            <w:tcW w:w="3260" w:type="dxa"/>
          </w:tcPr>
          <w:p w14:paraId="7E9B6EB2" w14:textId="77777777" w:rsidR="003C6AC7" w:rsidRPr="003C6AC7" w:rsidRDefault="003C6AC7" w:rsidP="003C6AC7">
            <w:pPr>
              <w:widowControl w:val="0"/>
              <w:numPr>
                <w:ilvl w:val="0"/>
                <w:numId w:val="237"/>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Realizar las lecturas de la sesión.</w:t>
            </w:r>
          </w:p>
          <w:p w14:paraId="2BF2A471" w14:textId="77777777" w:rsidR="003C6AC7" w:rsidRPr="003C6AC7" w:rsidRDefault="003C6AC7" w:rsidP="003C6AC7">
            <w:pPr>
              <w:widowControl w:val="0"/>
              <w:numPr>
                <w:ilvl w:val="0"/>
                <w:numId w:val="237"/>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Exposición docente y discusión de lecturas en un encuentro sincrónico virtual (formativo). </w:t>
            </w:r>
          </w:p>
          <w:p w14:paraId="169B4D9B" w14:textId="77777777" w:rsidR="003C6AC7" w:rsidRPr="003C6AC7" w:rsidRDefault="003C6AC7" w:rsidP="003C6AC7">
            <w:pPr>
              <w:widowControl w:val="0"/>
              <w:numPr>
                <w:ilvl w:val="0"/>
                <w:numId w:val="237"/>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Entregar un avance del ensayo final. </w:t>
            </w:r>
          </w:p>
        </w:tc>
      </w:tr>
      <w:tr w:rsidR="003C6AC7" w:rsidRPr="003C6AC7" w14:paraId="77C215C0" w14:textId="77777777" w:rsidTr="00104785">
        <w:trPr>
          <w:trHeight w:val="4142"/>
          <w:jc w:val="center"/>
        </w:trPr>
        <w:tc>
          <w:tcPr>
            <w:tcW w:w="1144" w:type="dxa"/>
          </w:tcPr>
          <w:p w14:paraId="2B646E32"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lastRenderedPageBreak/>
              <w:t>12</w:t>
            </w:r>
          </w:p>
        </w:tc>
        <w:tc>
          <w:tcPr>
            <w:tcW w:w="2395" w:type="dxa"/>
          </w:tcPr>
          <w:p w14:paraId="46E442B0"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4: Diversas lecturas bíblicas actuales</w:t>
            </w:r>
          </w:p>
          <w:p w14:paraId="3DDF4190" w14:textId="77777777" w:rsidR="003C6AC7" w:rsidRPr="003C6AC7" w:rsidRDefault="003C6AC7" w:rsidP="003C6AC7">
            <w:pPr>
              <w:widowControl w:val="0"/>
              <w:autoSpaceDN w:val="0"/>
              <w:rPr>
                <w:rFonts w:ascii="Calibri" w:eastAsia="Times New Roman" w:hAnsi="Calibri" w:cs="Calibri"/>
                <w:lang w:eastAsia="es-ES"/>
              </w:rPr>
            </w:pPr>
          </w:p>
          <w:p w14:paraId="38E3132B"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4.1 Hermenéutica feminista y literatura latinoamericana</w:t>
            </w:r>
          </w:p>
          <w:p w14:paraId="7A633B00"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4BDB5BCC"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color w:val="0070C0"/>
                <w:szCs w:val="18"/>
                <w:lang w:eastAsia="es-CR"/>
              </w:rPr>
              <w:t>Ruta de aprendizaje</w:t>
            </w:r>
            <w:r w:rsidRPr="003C6AC7">
              <w:rPr>
                <w:rFonts w:ascii="Calibri" w:eastAsia="Times New Roman" w:hAnsi="Calibri" w:cs="Calibri"/>
                <w:szCs w:val="18"/>
                <w:lang w:val="es-ES_tradnl" w:eastAsia="es-CR"/>
              </w:rPr>
              <w:t xml:space="preserve"> </w:t>
            </w:r>
          </w:p>
          <w:p w14:paraId="395D710F"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50C71F05"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szCs w:val="18"/>
                <w:lang w:val="es-ES_tradnl" w:eastAsia="es-CR"/>
              </w:rPr>
              <w:t xml:space="preserve">García Bachmann, Mercedes. “Evaluación de la prostitución desde los textos bíblicos”. </w:t>
            </w:r>
            <w:r w:rsidRPr="003C6AC7">
              <w:rPr>
                <w:rFonts w:ascii="Calibri" w:eastAsia="Times New Roman" w:hAnsi="Calibri" w:cs="Calibri"/>
                <w:i/>
                <w:iCs/>
                <w:szCs w:val="18"/>
                <w:lang w:val="es-ES_tradnl" w:eastAsia="es-CR"/>
              </w:rPr>
              <w:t xml:space="preserve">Cuadernos de Teología </w:t>
            </w:r>
            <w:r w:rsidRPr="003C6AC7">
              <w:rPr>
                <w:rFonts w:ascii="Calibri" w:eastAsia="Times New Roman" w:hAnsi="Calibri" w:cs="Calibri"/>
                <w:szCs w:val="18"/>
                <w:lang w:val="es-ES_tradnl" w:eastAsia="es-CR"/>
              </w:rPr>
              <w:t>vol. 19</w:t>
            </w:r>
            <w:r w:rsidRPr="003C6AC7">
              <w:rPr>
                <w:rFonts w:ascii="Calibri" w:eastAsia="Times New Roman" w:hAnsi="Calibri" w:cs="Calibri"/>
                <w:i/>
                <w:iCs/>
                <w:szCs w:val="18"/>
                <w:lang w:val="es-ES_tradnl" w:eastAsia="es-CR"/>
              </w:rPr>
              <w:t xml:space="preserve"> </w:t>
            </w:r>
            <w:r w:rsidRPr="003C6AC7">
              <w:rPr>
                <w:rFonts w:ascii="Calibri" w:eastAsia="Times New Roman" w:hAnsi="Calibri" w:cs="Calibri"/>
                <w:szCs w:val="18"/>
                <w:lang w:val="es-ES_tradnl" w:eastAsia="es-CR"/>
              </w:rPr>
              <w:t>(2000): 23-35.</w:t>
            </w:r>
          </w:p>
          <w:p w14:paraId="01FDE31A"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03FE1F96" w14:textId="77777777" w:rsidR="003C6AC7" w:rsidRPr="003C6AC7" w:rsidRDefault="003C6AC7" w:rsidP="003C6AC7">
            <w:pPr>
              <w:widowControl w:val="0"/>
              <w:autoSpaceDN w:val="0"/>
              <w:rPr>
                <w:rFonts w:ascii="Calibri" w:eastAsia="Times New Roman" w:hAnsi="Calibri" w:cs="Calibri"/>
                <w:b/>
                <w:bCs/>
                <w:szCs w:val="18"/>
                <w:lang w:val="es-ES_tradnl" w:eastAsia="es-CR"/>
              </w:rPr>
            </w:pPr>
            <w:r w:rsidRPr="003C6AC7">
              <w:rPr>
                <w:rFonts w:ascii="Calibri" w:eastAsia="Times New Roman" w:hAnsi="Calibri" w:cs="Calibri"/>
                <w:b/>
                <w:bCs/>
                <w:szCs w:val="18"/>
                <w:lang w:val="es-ES_tradnl" w:eastAsia="es-CR"/>
              </w:rPr>
              <w:t>Material complementario</w:t>
            </w:r>
          </w:p>
          <w:p w14:paraId="470E6761" w14:textId="77777777" w:rsidR="003C6AC7" w:rsidRPr="003C6AC7" w:rsidRDefault="003C6AC7" w:rsidP="003C6AC7">
            <w:pPr>
              <w:widowControl w:val="0"/>
              <w:autoSpaceDN w:val="0"/>
              <w:rPr>
                <w:rFonts w:ascii="Calibri" w:eastAsia="Times New Roman" w:hAnsi="Calibri" w:cs="Calibri"/>
                <w:b/>
                <w:bCs/>
                <w:szCs w:val="18"/>
                <w:lang w:val="es-ES_tradnl" w:eastAsia="es-CR"/>
              </w:rPr>
            </w:pPr>
          </w:p>
          <w:p w14:paraId="0EA0D351" w14:textId="77777777" w:rsidR="003C6AC7" w:rsidRPr="003C6AC7" w:rsidRDefault="003C6AC7" w:rsidP="003C6AC7">
            <w:pPr>
              <w:widowControl w:val="0"/>
              <w:autoSpaceDN w:val="0"/>
              <w:rPr>
                <w:rFonts w:ascii="Calibri" w:eastAsia="Times New Roman" w:hAnsi="Calibri" w:cs="Arial"/>
                <w:lang w:eastAsia="es-CR"/>
              </w:rPr>
            </w:pPr>
            <w:r w:rsidRPr="003C6AC7">
              <w:rPr>
                <w:rFonts w:ascii="Calibri" w:eastAsia="Times New Roman" w:hAnsi="Calibri" w:cs="Arial"/>
                <w:lang w:eastAsia="es-CR"/>
              </w:rPr>
              <w:t xml:space="preserve">Rocha </w:t>
            </w:r>
            <w:proofErr w:type="spellStart"/>
            <w:r w:rsidRPr="003C6AC7">
              <w:rPr>
                <w:rFonts w:ascii="Calibri" w:eastAsia="Times New Roman" w:hAnsi="Calibri" w:cs="Arial"/>
                <w:lang w:eastAsia="es-CR"/>
              </w:rPr>
              <w:t>Areas</w:t>
            </w:r>
            <w:proofErr w:type="spellEnd"/>
            <w:r w:rsidRPr="003C6AC7">
              <w:rPr>
                <w:rFonts w:ascii="Calibri" w:eastAsia="Times New Roman" w:hAnsi="Calibri" w:cs="Arial"/>
                <w:lang w:eastAsia="es-CR"/>
              </w:rPr>
              <w:t>, Violeta. “Tejiendo con Biblia y vida”. En </w:t>
            </w:r>
            <w:r w:rsidRPr="003C6AC7">
              <w:rPr>
                <w:rFonts w:ascii="Calibri" w:eastAsia="Times New Roman" w:hAnsi="Calibri" w:cs="Arial"/>
                <w:i/>
                <w:iCs/>
                <w:lang w:eastAsia="es-CR"/>
              </w:rPr>
              <w:t>El tejido de la Biblia y la vida: relectura bíblica con perspectiva de género</w:t>
            </w:r>
            <w:r w:rsidRPr="003C6AC7">
              <w:rPr>
                <w:rFonts w:ascii="Calibri" w:eastAsia="Times New Roman" w:hAnsi="Calibri" w:cs="Arial"/>
                <w:lang w:eastAsia="es-CR"/>
              </w:rPr>
              <w:t>, 79-100</w:t>
            </w:r>
            <w:r w:rsidRPr="003C6AC7">
              <w:rPr>
                <w:rFonts w:ascii="Calibri" w:eastAsia="Times New Roman" w:hAnsi="Calibri" w:cs="Arial"/>
                <w:i/>
                <w:iCs/>
                <w:lang w:eastAsia="es-CR"/>
              </w:rPr>
              <w:t>.</w:t>
            </w:r>
            <w:r w:rsidRPr="003C6AC7">
              <w:rPr>
                <w:rFonts w:ascii="Calibri" w:eastAsia="Times New Roman" w:hAnsi="Calibri" w:cs="Arial"/>
                <w:lang w:eastAsia="es-CR"/>
              </w:rPr>
              <w:t xml:space="preserve">  San José: SEBILA, 2012. </w:t>
            </w:r>
            <w:r w:rsidRPr="003C6AC7">
              <w:rPr>
                <w:rFonts w:ascii="Calibri" w:eastAsia="Times New Roman" w:hAnsi="Calibri" w:cs="Calibri"/>
                <w:color w:val="0070C0"/>
                <w:szCs w:val="18"/>
                <w:lang w:val="es-ES_tradnl" w:eastAsia="es-CR"/>
              </w:rPr>
              <w:t>(clásico, última edición)</w:t>
            </w:r>
          </w:p>
          <w:p w14:paraId="4AD781DF" w14:textId="77777777" w:rsidR="003C6AC7" w:rsidRPr="003C6AC7" w:rsidRDefault="003C6AC7" w:rsidP="003C6AC7">
            <w:pPr>
              <w:widowControl w:val="0"/>
              <w:autoSpaceDN w:val="0"/>
              <w:rPr>
                <w:rFonts w:ascii="Calibri" w:eastAsia="Times New Roman" w:hAnsi="Calibri" w:cs="Arial"/>
                <w:lang w:eastAsia="es-CR"/>
              </w:rPr>
            </w:pPr>
          </w:p>
          <w:p w14:paraId="489E31BC"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Arial"/>
                <w:color w:val="0070C0"/>
                <w:lang w:eastAsia="es-CR"/>
              </w:rPr>
              <w:t>Guía para la participación en un foro en la plataforma Moodle</w:t>
            </w:r>
          </w:p>
          <w:p w14:paraId="77E6DE72" w14:textId="77777777" w:rsidR="003C6AC7" w:rsidRPr="003C6AC7" w:rsidRDefault="003C6AC7" w:rsidP="003C6AC7">
            <w:pPr>
              <w:widowControl w:val="0"/>
              <w:autoSpaceDN w:val="0"/>
              <w:rPr>
                <w:rFonts w:ascii="Calibri" w:eastAsia="Times New Roman" w:hAnsi="Calibri" w:cs="Calibri"/>
                <w:szCs w:val="18"/>
                <w:lang w:val="es-ES_tradnl" w:eastAsia="es-CR"/>
              </w:rPr>
            </w:pPr>
          </w:p>
        </w:tc>
        <w:tc>
          <w:tcPr>
            <w:tcW w:w="3260" w:type="dxa"/>
          </w:tcPr>
          <w:p w14:paraId="6EF0C3DB" w14:textId="77777777" w:rsidR="003C6AC7" w:rsidRPr="003C6AC7" w:rsidRDefault="003C6AC7" w:rsidP="003C6AC7">
            <w:pPr>
              <w:widowControl w:val="0"/>
              <w:numPr>
                <w:ilvl w:val="0"/>
                <w:numId w:val="238"/>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Realizar la lectura de la sesión. </w:t>
            </w:r>
          </w:p>
          <w:p w14:paraId="25969FEC" w14:textId="77777777" w:rsidR="003C6AC7" w:rsidRPr="003C6AC7" w:rsidRDefault="003C6AC7" w:rsidP="003C6AC7">
            <w:pPr>
              <w:widowControl w:val="0"/>
              <w:numPr>
                <w:ilvl w:val="0"/>
                <w:numId w:val="238"/>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Participación en el foro temático: Los desafíos y las contribuciones de la hermenéutica feminista de la Biblia. </w:t>
            </w:r>
          </w:p>
          <w:p w14:paraId="1E81E1D9" w14:textId="77777777" w:rsidR="003C6AC7" w:rsidRPr="003C6AC7" w:rsidRDefault="003C6AC7" w:rsidP="003C6AC7">
            <w:pPr>
              <w:widowControl w:val="0"/>
              <w:numPr>
                <w:ilvl w:val="0"/>
                <w:numId w:val="238"/>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Continuar con la elaboración del ensayo final. </w:t>
            </w:r>
          </w:p>
        </w:tc>
      </w:tr>
      <w:tr w:rsidR="003C6AC7" w:rsidRPr="003C6AC7" w14:paraId="0FFAE8AD" w14:textId="77777777" w:rsidTr="00104785">
        <w:trPr>
          <w:jc w:val="center"/>
        </w:trPr>
        <w:tc>
          <w:tcPr>
            <w:tcW w:w="1144" w:type="dxa"/>
          </w:tcPr>
          <w:p w14:paraId="6BC9515F"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t>13</w:t>
            </w:r>
          </w:p>
        </w:tc>
        <w:tc>
          <w:tcPr>
            <w:tcW w:w="2395" w:type="dxa"/>
          </w:tcPr>
          <w:p w14:paraId="254395A3"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4: Diversas lecturas bíblicas actuales</w:t>
            </w:r>
          </w:p>
          <w:p w14:paraId="2CD045E3" w14:textId="77777777" w:rsidR="003C6AC7" w:rsidRPr="003C6AC7" w:rsidRDefault="003C6AC7" w:rsidP="003C6AC7">
            <w:pPr>
              <w:widowControl w:val="0"/>
              <w:autoSpaceDN w:val="0"/>
              <w:rPr>
                <w:rFonts w:ascii="Calibri" w:eastAsia="Times New Roman" w:hAnsi="Calibri" w:cs="Calibri"/>
                <w:lang w:eastAsia="es-ES"/>
              </w:rPr>
            </w:pPr>
          </w:p>
          <w:p w14:paraId="4D15EDBB"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4.2 Hermenéutica indígena y religiosidad popular</w:t>
            </w:r>
          </w:p>
          <w:p w14:paraId="5D4DF7B9"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1325576A"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color w:val="0070C0"/>
                <w:szCs w:val="18"/>
                <w:lang w:eastAsia="es-CR"/>
              </w:rPr>
              <w:t>Ruta de aprendizaje</w:t>
            </w:r>
            <w:r w:rsidRPr="003C6AC7">
              <w:rPr>
                <w:rFonts w:ascii="Calibri" w:eastAsia="Times New Roman" w:hAnsi="Calibri" w:cs="Calibri"/>
                <w:szCs w:val="18"/>
                <w:lang w:val="es-ES_tradnl" w:eastAsia="es-CR"/>
              </w:rPr>
              <w:t xml:space="preserve"> </w:t>
            </w:r>
          </w:p>
          <w:p w14:paraId="1A9743DE"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381364A1"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szCs w:val="18"/>
                <w:lang w:val="es-ES_tradnl" w:eastAsia="es-CR"/>
              </w:rPr>
              <w:t xml:space="preserve">Chipana Quispe, Sofía. “…Has ocultado estas cosas a sabios e inteligente, y se las has revelado a pequeños”. En </w:t>
            </w:r>
            <w:r w:rsidRPr="003C6AC7">
              <w:rPr>
                <w:rFonts w:ascii="Calibri" w:eastAsia="Times New Roman" w:hAnsi="Calibri" w:cs="Calibri"/>
                <w:i/>
                <w:iCs/>
                <w:szCs w:val="18"/>
                <w:lang w:val="es-ES_tradnl" w:eastAsia="es-CR"/>
              </w:rPr>
              <w:t xml:space="preserve">Teología andina, el tejido diverso de la </w:t>
            </w:r>
            <w:r w:rsidRPr="003C6AC7">
              <w:rPr>
                <w:rFonts w:ascii="Calibri" w:eastAsia="Times New Roman" w:hAnsi="Calibri" w:cs="Calibri"/>
                <w:szCs w:val="18"/>
                <w:lang w:val="es-ES_tradnl" w:eastAsia="es-CR"/>
              </w:rPr>
              <w:t xml:space="preserve">fe indígena, coordinado por Josef </w:t>
            </w:r>
            <w:proofErr w:type="spellStart"/>
            <w:r w:rsidRPr="003C6AC7">
              <w:rPr>
                <w:rFonts w:ascii="Calibri" w:eastAsia="Times New Roman" w:hAnsi="Calibri" w:cs="Calibri"/>
                <w:szCs w:val="18"/>
                <w:lang w:val="es-ES_tradnl" w:eastAsia="es-CR"/>
              </w:rPr>
              <w:t>Estermann</w:t>
            </w:r>
            <w:proofErr w:type="spellEnd"/>
            <w:r w:rsidRPr="003C6AC7">
              <w:rPr>
                <w:rFonts w:ascii="Calibri" w:eastAsia="Times New Roman" w:hAnsi="Calibri" w:cs="Calibri"/>
                <w:szCs w:val="18"/>
                <w:lang w:val="es-ES_tradnl" w:eastAsia="es-CR"/>
              </w:rPr>
              <w:t>, 411-430</w:t>
            </w:r>
            <w:r w:rsidRPr="003C6AC7">
              <w:rPr>
                <w:rFonts w:ascii="Calibri" w:eastAsia="Times New Roman" w:hAnsi="Calibri" w:cs="Calibri"/>
                <w:i/>
                <w:iCs/>
                <w:szCs w:val="18"/>
                <w:lang w:val="es-ES_tradnl" w:eastAsia="es-CR"/>
              </w:rPr>
              <w:t>.</w:t>
            </w:r>
            <w:r w:rsidRPr="003C6AC7">
              <w:rPr>
                <w:rFonts w:ascii="Calibri" w:eastAsia="Times New Roman" w:hAnsi="Calibri" w:cs="Calibri"/>
                <w:szCs w:val="18"/>
                <w:lang w:val="es-ES_tradnl" w:eastAsia="es-CR"/>
              </w:rPr>
              <w:t xml:space="preserve"> La Paz: ISEAT, 2006. </w:t>
            </w:r>
            <w:r w:rsidRPr="003C6AC7">
              <w:rPr>
                <w:rFonts w:ascii="Calibri" w:eastAsia="Times New Roman" w:hAnsi="Calibri" w:cs="Calibri"/>
                <w:color w:val="0070C0"/>
                <w:szCs w:val="18"/>
                <w:lang w:val="es-ES_tradnl" w:eastAsia="es-CR"/>
              </w:rPr>
              <w:t>(clásico, última edición)</w:t>
            </w:r>
          </w:p>
          <w:p w14:paraId="5B084B2E" w14:textId="77777777" w:rsidR="003C6AC7" w:rsidRPr="003C6AC7" w:rsidRDefault="003C6AC7" w:rsidP="003C6AC7">
            <w:pPr>
              <w:widowControl w:val="0"/>
              <w:autoSpaceDN w:val="0"/>
              <w:rPr>
                <w:rFonts w:ascii="Calibri" w:eastAsia="Times New Roman" w:hAnsi="Calibri" w:cs="Calibri"/>
                <w:szCs w:val="18"/>
                <w:lang w:val="es-ES_tradnl" w:eastAsia="es-CR"/>
              </w:rPr>
            </w:pPr>
          </w:p>
          <w:p w14:paraId="6839039E"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r w:rsidRPr="003C6AC7">
              <w:rPr>
                <w:rFonts w:ascii="Calibri" w:eastAsia="Times New Roman" w:hAnsi="Calibri" w:cs="Calibri"/>
                <w:b/>
                <w:bCs/>
                <w:color w:val="0070C0"/>
                <w:szCs w:val="18"/>
                <w:lang w:val="es-ES_tradnl" w:eastAsia="es-CR"/>
              </w:rPr>
              <w:t>Material complementario</w:t>
            </w:r>
          </w:p>
          <w:p w14:paraId="6E4CB16B"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p>
          <w:p w14:paraId="0F3F3ABA" w14:textId="77777777" w:rsidR="003C6AC7" w:rsidRPr="003C6AC7" w:rsidRDefault="003C6AC7" w:rsidP="003C6AC7">
            <w:pPr>
              <w:widowControl w:val="0"/>
              <w:autoSpaceDN w:val="0"/>
              <w:rPr>
                <w:rFonts w:ascii="Calibri" w:eastAsia="Times New Roman" w:hAnsi="Calibri" w:cs="Calibri"/>
                <w:color w:val="0070C0"/>
                <w:szCs w:val="18"/>
                <w:lang w:val="es-ES_tradnl" w:eastAsia="es-CR"/>
              </w:rPr>
            </w:pPr>
            <w:r w:rsidRPr="003C6AC7">
              <w:rPr>
                <w:rFonts w:ascii="Calibri" w:eastAsia="Times New Roman" w:hAnsi="Calibri" w:cs="Calibri"/>
                <w:color w:val="0070C0"/>
                <w:szCs w:val="18"/>
                <w:lang w:val="es-ES_tradnl" w:eastAsia="es-CR"/>
              </w:rPr>
              <w:t>Guía para la elaboración de una reseña crítica de lectura</w:t>
            </w:r>
          </w:p>
          <w:p w14:paraId="07BCB7EF" w14:textId="77777777" w:rsidR="003C6AC7" w:rsidRPr="003C6AC7" w:rsidRDefault="003C6AC7" w:rsidP="003C6AC7">
            <w:pPr>
              <w:widowControl w:val="0"/>
              <w:autoSpaceDN w:val="0"/>
              <w:rPr>
                <w:rFonts w:ascii="Calibri" w:eastAsia="Times New Roman" w:hAnsi="Calibri" w:cs="Calibri"/>
                <w:color w:val="0070C0"/>
                <w:szCs w:val="18"/>
                <w:lang w:val="es-ES_tradnl" w:eastAsia="es-CR"/>
              </w:rPr>
            </w:pPr>
          </w:p>
          <w:p w14:paraId="6DE8EE70" w14:textId="77777777" w:rsidR="003C6AC7" w:rsidRPr="003C6AC7" w:rsidRDefault="003C6AC7" w:rsidP="003C6AC7">
            <w:pPr>
              <w:widowControl w:val="0"/>
              <w:autoSpaceDN w:val="0"/>
              <w:rPr>
                <w:rFonts w:ascii="Calibri" w:eastAsia="Times New Roman" w:hAnsi="Calibri" w:cs="Calibri"/>
                <w:szCs w:val="18"/>
                <w:lang w:val="es-ES_tradnl" w:eastAsia="es-CR"/>
              </w:rPr>
            </w:pPr>
            <w:r w:rsidRPr="003C6AC7">
              <w:rPr>
                <w:rFonts w:ascii="Calibri" w:eastAsia="Times New Roman" w:hAnsi="Calibri" w:cs="Calibri"/>
                <w:color w:val="0070C0"/>
                <w:szCs w:val="18"/>
                <w:lang w:val="es-ES_tradnl" w:eastAsia="es-CR"/>
              </w:rPr>
              <w:t xml:space="preserve">Guía para la participación mediante la herramienta Big Blue </w:t>
            </w:r>
            <w:proofErr w:type="spellStart"/>
            <w:r w:rsidRPr="003C6AC7">
              <w:rPr>
                <w:rFonts w:ascii="Calibri" w:eastAsia="Times New Roman" w:hAnsi="Calibri" w:cs="Calibri"/>
                <w:color w:val="0070C0"/>
                <w:szCs w:val="18"/>
                <w:lang w:val="es-ES_tradnl" w:eastAsia="es-CR"/>
              </w:rPr>
              <w:t>Button</w:t>
            </w:r>
            <w:proofErr w:type="spellEnd"/>
            <w:r w:rsidRPr="003C6AC7">
              <w:rPr>
                <w:rFonts w:ascii="Calibri" w:eastAsia="Times New Roman" w:hAnsi="Calibri" w:cs="Calibri"/>
                <w:color w:val="0070C0"/>
                <w:szCs w:val="18"/>
                <w:lang w:val="es-ES_tradnl" w:eastAsia="es-CR"/>
              </w:rPr>
              <w:t xml:space="preserve"> en la plataforma Moodle</w:t>
            </w:r>
          </w:p>
          <w:p w14:paraId="1C103BBF"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35D0C802" w14:textId="77777777" w:rsidR="003C6AC7" w:rsidRPr="003C6AC7" w:rsidRDefault="003C6AC7" w:rsidP="003C6AC7">
            <w:pPr>
              <w:widowControl w:val="0"/>
              <w:numPr>
                <w:ilvl w:val="0"/>
                <w:numId w:val="239"/>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Realizar la lectura de la sesión. </w:t>
            </w:r>
          </w:p>
          <w:p w14:paraId="2595C25B" w14:textId="77777777" w:rsidR="003C6AC7" w:rsidRPr="003C6AC7" w:rsidRDefault="003C6AC7" w:rsidP="003C6AC7">
            <w:pPr>
              <w:widowControl w:val="0"/>
              <w:numPr>
                <w:ilvl w:val="0"/>
                <w:numId w:val="239"/>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Elaboración de una reseña crítica de la lectura. </w:t>
            </w:r>
          </w:p>
          <w:p w14:paraId="7D4DD76D" w14:textId="77777777" w:rsidR="003C6AC7" w:rsidRPr="003C6AC7" w:rsidRDefault="003C6AC7" w:rsidP="003C6AC7">
            <w:pPr>
              <w:widowControl w:val="0"/>
              <w:numPr>
                <w:ilvl w:val="0"/>
                <w:numId w:val="239"/>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Exposición docente y discusión grupal en un encuentro sincrónico virtual (formativo). </w:t>
            </w:r>
          </w:p>
          <w:p w14:paraId="2E4E5D8B" w14:textId="77777777" w:rsidR="003C6AC7" w:rsidRPr="003C6AC7" w:rsidRDefault="003C6AC7" w:rsidP="003C6AC7">
            <w:pPr>
              <w:widowControl w:val="0"/>
              <w:numPr>
                <w:ilvl w:val="0"/>
                <w:numId w:val="239"/>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Continuar con la elaboración del ensayo final. </w:t>
            </w:r>
          </w:p>
          <w:p w14:paraId="0F677B89" w14:textId="77777777" w:rsidR="003C6AC7" w:rsidRPr="003C6AC7" w:rsidRDefault="003C6AC7" w:rsidP="003C6AC7">
            <w:pPr>
              <w:widowControl w:val="0"/>
              <w:autoSpaceDN w:val="0"/>
              <w:ind w:left="316"/>
              <w:contextualSpacing/>
              <w:rPr>
                <w:rFonts w:ascii="Calibri" w:eastAsia="Times New Roman" w:hAnsi="Calibri" w:cs="Calibri"/>
                <w:lang w:eastAsia="es-ES"/>
              </w:rPr>
            </w:pPr>
          </w:p>
        </w:tc>
      </w:tr>
      <w:tr w:rsidR="003C6AC7" w:rsidRPr="003C6AC7" w14:paraId="6DEC8F68" w14:textId="77777777" w:rsidTr="00104785">
        <w:trPr>
          <w:jc w:val="center"/>
        </w:trPr>
        <w:tc>
          <w:tcPr>
            <w:tcW w:w="1144" w:type="dxa"/>
          </w:tcPr>
          <w:p w14:paraId="27BCE747"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t>14</w:t>
            </w:r>
          </w:p>
        </w:tc>
        <w:tc>
          <w:tcPr>
            <w:tcW w:w="2395" w:type="dxa"/>
          </w:tcPr>
          <w:p w14:paraId="15014BA3"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 xml:space="preserve">Unidad 4: Diversas lecturas bíblicas </w:t>
            </w:r>
            <w:r w:rsidRPr="003C6AC7">
              <w:rPr>
                <w:rFonts w:ascii="Calibri" w:eastAsia="Times New Roman" w:hAnsi="Calibri" w:cs="Calibri"/>
                <w:b/>
                <w:bCs/>
                <w:lang w:eastAsia="es-ES"/>
              </w:rPr>
              <w:lastRenderedPageBreak/>
              <w:t>actuales</w:t>
            </w:r>
          </w:p>
          <w:p w14:paraId="6DBF7292" w14:textId="77777777" w:rsidR="003C6AC7" w:rsidRPr="003C6AC7" w:rsidRDefault="003C6AC7" w:rsidP="003C6AC7">
            <w:pPr>
              <w:widowControl w:val="0"/>
              <w:autoSpaceDN w:val="0"/>
              <w:rPr>
                <w:rFonts w:ascii="Calibri" w:eastAsia="Times New Roman" w:hAnsi="Calibri" w:cs="Calibri"/>
                <w:lang w:eastAsia="es-ES"/>
              </w:rPr>
            </w:pPr>
          </w:p>
          <w:p w14:paraId="649B3A61"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4.3 Hermenéutica intercultural y cine</w:t>
            </w:r>
          </w:p>
          <w:p w14:paraId="321B9872"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67B414E5" w14:textId="77777777" w:rsidR="003C6AC7" w:rsidRPr="003C6AC7" w:rsidRDefault="003C6AC7" w:rsidP="003C6AC7">
            <w:pPr>
              <w:widowControl w:val="0"/>
              <w:autoSpaceDN w:val="0"/>
              <w:rPr>
                <w:rFonts w:ascii="Calibri" w:eastAsia="Times New Roman" w:hAnsi="Calibri" w:cs="Arial"/>
                <w:lang w:eastAsia="es-CR"/>
              </w:rPr>
            </w:pPr>
            <w:r w:rsidRPr="003C6AC7">
              <w:rPr>
                <w:rFonts w:ascii="Calibri" w:eastAsia="Times New Roman" w:hAnsi="Calibri" w:cs="Calibri"/>
                <w:color w:val="0070C0"/>
                <w:szCs w:val="18"/>
                <w:lang w:eastAsia="es-CR"/>
              </w:rPr>
              <w:lastRenderedPageBreak/>
              <w:t>Ruta de aprendizaje</w:t>
            </w:r>
            <w:r w:rsidRPr="003C6AC7">
              <w:rPr>
                <w:rFonts w:ascii="Calibri" w:eastAsia="Times New Roman" w:hAnsi="Calibri" w:cs="Arial"/>
                <w:lang w:eastAsia="es-CR"/>
              </w:rPr>
              <w:t xml:space="preserve"> </w:t>
            </w:r>
          </w:p>
          <w:p w14:paraId="029279F9" w14:textId="77777777" w:rsidR="003C6AC7" w:rsidRPr="003C6AC7" w:rsidRDefault="003C6AC7" w:rsidP="003C6AC7">
            <w:pPr>
              <w:widowControl w:val="0"/>
              <w:autoSpaceDN w:val="0"/>
              <w:rPr>
                <w:rFonts w:ascii="Calibri" w:eastAsia="Times New Roman" w:hAnsi="Calibri" w:cs="Arial"/>
                <w:lang w:eastAsia="es-CR"/>
              </w:rPr>
            </w:pPr>
          </w:p>
          <w:p w14:paraId="485E04B2" w14:textId="77777777" w:rsidR="003C6AC7" w:rsidRPr="003C6AC7" w:rsidRDefault="003C6AC7" w:rsidP="003C6AC7">
            <w:pPr>
              <w:widowControl w:val="0"/>
              <w:autoSpaceDN w:val="0"/>
              <w:rPr>
                <w:rFonts w:ascii="Calibri" w:eastAsia="Times New Roman" w:hAnsi="Calibri" w:cs="Arial"/>
                <w:lang w:eastAsia="es-CR"/>
              </w:rPr>
            </w:pPr>
            <w:r w:rsidRPr="003C6AC7">
              <w:rPr>
                <w:rFonts w:ascii="Calibri" w:eastAsia="Times New Roman" w:hAnsi="Calibri" w:cs="Arial"/>
                <w:lang w:eastAsia="es-CR"/>
              </w:rPr>
              <w:lastRenderedPageBreak/>
              <w:t xml:space="preserve">De </w:t>
            </w:r>
            <w:proofErr w:type="spellStart"/>
            <w:r w:rsidRPr="003C6AC7">
              <w:rPr>
                <w:rFonts w:ascii="Calibri" w:eastAsia="Times New Roman" w:hAnsi="Calibri" w:cs="Arial"/>
                <w:lang w:eastAsia="es-CR"/>
              </w:rPr>
              <w:t>Wit</w:t>
            </w:r>
            <w:proofErr w:type="spellEnd"/>
            <w:r w:rsidRPr="003C6AC7">
              <w:rPr>
                <w:rFonts w:ascii="Calibri" w:eastAsia="Times New Roman" w:hAnsi="Calibri" w:cs="Arial"/>
                <w:lang w:eastAsia="es-CR"/>
              </w:rPr>
              <w:t xml:space="preserve">, Hans y López, Edgar A. “Vencer la soledad: Introducción a la teoría y al método de la lectura intercultural de la Biblia”. En </w:t>
            </w:r>
            <w:r w:rsidRPr="003C6AC7">
              <w:rPr>
                <w:rFonts w:ascii="Calibri" w:eastAsia="Times New Roman" w:hAnsi="Calibri" w:cs="Arial"/>
                <w:i/>
                <w:iCs/>
                <w:lang w:eastAsia="es-CR"/>
              </w:rPr>
              <w:t>Lectura intercultural de la Biblia en contextos de impunidad en América Latina</w:t>
            </w:r>
            <w:r w:rsidRPr="003C6AC7">
              <w:rPr>
                <w:rFonts w:ascii="Calibri" w:eastAsia="Times New Roman" w:hAnsi="Calibri" w:cs="Arial"/>
                <w:lang w:eastAsia="es-CR"/>
              </w:rPr>
              <w:t>, 95-126</w:t>
            </w:r>
            <w:r w:rsidRPr="003C6AC7">
              <w:rPr>
                <w:rFonts w:ascii="Calibri" w:eastAsia="Times New Roman" w:hAnsi="Calibri" w:cs="Arial"/>
                <w:i/>
                <w:iCs/>
                <w:lang w:eastAsia="es-CR"/>
              </w:rPr>
              <w:t xml:space="preserve">.  </w:t>
            </w:r>
            <w:r w:rsidRPr="003C6AC7">
              <w:rPr>
                <w:rFonts w:ascii="Calibri" w:eastAsia="Times New Roman" w:hAnsi="Calibri" w:cs="Arial"/>
                <w:lang w:eastAsia="es-CR"/>
              </w:rPr>
              <w:t xml:space="preserve">Colombia: Pontificia Universidad Javeriana, 2013. </w:t>
            </w:r>
            <w:r w:rsidRPr="003C6AC7">
              <w:rPr>
                <w:rFonts w:ascii="Calibri" w:eastAsia="Times New Roman" w:hAnsi="Calibri" w:cs="Calibri"/>
                <w:color w:val="0070C0"/>
                <w:szCs w:val="18"/>
                <w:lang w:val="es-ES_tradnl" w:eastAsia="es-CR"/>
              </w:rPr>
              <w:t>(clásico, última edición)</w:t>
            </w:r>
          </w:p>
          <w:p w14:paraId="59E70631" w14:textId="77777777" w:rsidR="003C6AC7" w:rsidRPr="003C6AC7" w:rsidRDefault="003C6AC7" w:rsidP="003C6AC7">
            <w:pPr>
              <w:widowControl w:val="0"/>
              <w:autoSpaceDN w:val="0"/>
              <w:rPr>
                <w:rFonts w:ascii="Calibri" w:eastAsia="Times New Roman" w:hAnsi="Calibri" w:cs="Arial"/>
                <w:lang w:eastAsia="es-CR"/>
              </w:rPr>
            </w:pPr>
          </w:p>
          <w:p w14:paraId="0EE57B5E"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r w:rsidRPr="003C6AC7">
              <w:rPr>
                <w:rFonts w:ascii="Calibri" w:eastAsia="Times New Roman" w:hAnsi="Calibri" w:cs="Calibri"/>
                <w:b/>
                <w:bCs/>
                <w:color w:val="0070C0"/>
                <w:szCs w:val="18"/>
                <w:lang w:val="es-ES_tradnl" w:eastAsia="es-CR"/>
              </w:rPr>
              <w:t>Material complementario</w:t>
            </w:r>
          </w:p>
          <w:p w14:paraId="14BA7867"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p>
          <w:p w14:paraId="50A9C42F" w14:textId="77777777" w:rsidR="003C6AC7" w:rsidRPr="003C6AC7" w:rsidRDefault="003C6AC7" w:rsidP="003C6AC7">
            <w:pPr>
              <w:widowControl w:val="0"/>
              <w:autoSpaceDN w:val="0"/>
              <w:rPr>
                <w:rFonts w:ascii="Calibri" w:eastAsia="Times New Roman" w:hAnsi="Calibri" w:cs="Arial"/>
                <w:color w:val="0070C0"/>
                <w:lang w:eastAsia="es-CR"/>
              </w:rPr>
            </w:pPr>
            <w:r w:rsidRPr="003C6AC7">
              <w:rPr>
                <w:rFonts w:ascii="Calibri" w:eastAsia="Times New Roman" w:hAnsi="Calibri" w:cs="Calibri"/>
                <w:color w:val="0070C0"/>
                <w:szCs w:val="18"/>
                <w:lang w:val="es-ES_tradnl" w:eastAsia="es-CR"/>
              </w:rPr>
              <w:t>Guía para la participación en un foro en la plataforma Moodle</w:t>
            </w:r>
          </w:p>
          <w:p w14:paraId="1BD824D4" w14:textId="77777777" w:rsidR="003C6AC7" w:rsidRPr="003C6AC7" w:rsidRDefault="003C6AC7" w:rsidP="003C6AC7">
            <w:pPr>
              <w:widowControl w:val="0"/>
              <w:autoSpaceDN w:val="0"/>
              <w:rPr>
                <w:rFonts w:ascii="Calibri" w:eastAsia="Times New Roman" w:hAnsi="Calibri" w:cs="Calibri"/>
                <w:lang w:eastAsia="es-ES"/>
              </w:rPr>
            </w:pPr>
          </w:p>
        </w:tc>
        <w:tc>
          <w:tcPr>
            <w:tcW w:w="3260" w:type="dxa"/>
          </w:tcPr>
          <w:p w14:paraId="4E09A61E" w14:textId="77777777" w:rsidR="003C6AC7" w:rsidRPr="003C6AC7" w:rsidRDefault="003C6AC7" w:rsidP="003C6AC7">
            <w:pPr>
              <w:widowControl w:val="0"/>
              <w:numPr>
                <w:ilvl w:val="0"/>
                <w:numId w:val="240"/>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lastRenderedPageBreak/>
              <w:t>Realizar la lectura de la sesión.</w:t>
            </w:r>
          </w:p>
          <w:p w14:paraId="6336A337" w14:textId="77777777" w:rsidR="003C6AC7" w:rsidRPr="003C6AC7" w:rsidRDefault="003C6AC7" w:rsidP="003C6AC7">
            <w:pPr>
              <w:widowControl w:val="0"/>
              <w:numPr>
                <w:ilvl w:val="0"/>
                <w:numId w:val="240"/>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lastRenderedPageBreak/>
              <w:t xml:space="preserve">Participación en el foro temático: Las hermenéuticas bíblicas contemporáneas actuales. </w:t>
            </w:r>
          </w:p>
          <w:p w14:paraId="42205869" w14:textId="77777777" w:rsidR="003C6AC7" w:rsidRPr="003C6AC7" w:rsidRDefault="003C6AC7" w:rsidP="003C6AC7">
            <w:pPr>
              <w:widowControl w:val="0"/>
              <w:numPr>
                <w:ilvl w:val="0"/>
                <w:numId w:val="240"/>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Continuar con la elaboración del ensayo final. </w:t>
            </w:r>
          </w:p>
        </w:tc>
      </w:tr>
      <w:tr w:rsidR="003C6AC7" w:rsidRPr="003C6AC7" w14:paraId="57575303" w14:textId="77777777" w:rsidTr="00104785">
        <w:trPr>
          <w:jc w:val="center"/>
        </w:trPr>
        <w:tc>
          <w:tcPr>
            <w:tcW w:w="1144" w:type="dxa"/>
          </w:tcPr>
          <w:p w14:paraId="27466BC3" w14:textId="77777777" w:rsidR="003C6AC7" w:rsidRPr="003C6AC7" w:rsidRDefault="003C6AC7" w:rsidP="003C6AC7">
            <w:pPr>
              <w:widowControl w:val="0"/>
              <w:autoSpaceDN w:val="0"/>
              <w:jc w:val="center"/>
              <w:rPr>
                <w:rFonts w:ascii="Calibri" w:eastAsia="Times New Roman" w:hAnsi="Calibri" w:cs="Calibri"/>
                <w:lang w:eastAsia="es-ES"/>
              </w:rPr>
            </w:pPr>
            <w:r w:rsidRPr="003C6AC7">
              <w:rPr>
                <w:rFonts w:ascii="Calibri" w:eastAsia="Times New Roman" w:hAnsi="Calibri" w:cs="Calibri"/>
                <w:lang w:eastAsia="es-ES"/>
              </w:rPr>
              <w:lastRenderedPageBreak/>
              <w:t>15</w:t>
            </w:r>
          </w:p>
        </w:tc>
        <w:tc>
          <w:tcPr>
            <w:tcW w:w="2395" w:type="dxa"/>
          </w:tcPr>
          <w:p w14:paraId="53A0EFBB" w14:textId="77777777" w:rsidR="003C6AC7" w:rsidRPr="003C6AC7" w:rsidRDefault="003C6AC7" w:rsidP="003C6AC7">
            <w:pPr>
              <w:widowControl w:val="0"/>
              <w:autoSpaceDN w:val="0"/>
              <w:rPr>
                <w:rFonts w:ascii="Calibri" w:eastAsia="Times New Roman" w:hAnsi="Calibri" w:cs="Calibri"/>
                <w:b/>
                <w:bCs/>
                <w:lang w:eastAsia="es-ES"/>
              </w:rPr>
            </w:pPr>
            <w:r w:rsidRPr="003C6AC7">
              <w:rPr>
                <w:rFonts w:ascii="Calibri" w:eastAsia="Times New Roman" w:hAnsi="Calibri" w:cs="Calibri"/>
                <w:b/>
                <w:bCs/>
                <w:lang w:eastAsia="es-ES"/>
              </w:rPr>
              <w:t>Unidad 4: Diversas lecturas bíblicas actuales</w:t>
            </w:r>
          </w:p>
          <w:p w14:paraId="6019B53E" w14:textId="77777777" w:rsidR="003C6AC7" w:rsidRPr="003C6AC7" w:rsidRDefault="003C6AC7" w:rsidP="003C6AC7">
            <w:pPr>
              <w:widowControl w:val="0"/>
              <w:autoSpaceDN w:val="0"/>
              <w:rPr>
                <w:rFonts w:ascii="Calibri" w:eastAsia="Times New Roman" w:hAnsi="Calibri" w:cs="Calibri"/>
                <w:lang w:eastAsia="es-ES"/>
              </w:rPr>
            </w:pPr>
          </w:p>
          <w:p w14:paraId="554B0355"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lang w:eastAsia="es-ES"/>
              </w:rPr>
              <w:t>4.4 Ensayo final</w:t>
            </w:r>
          </w:p>
          <w:p w14:paraId="39CBBEBA" w14:textId="77777777" w:rsidR="003C6AC7" w:rsidRPr="003C6AC7" w:rsidRDefault="003C6AC7" w:rsidP="003C6AC7">
            <w:pPr>
              <w:widowControl w:val="0"/>
              <w:autoSpaceDN w:val="0"/>
              <w:rPr>
                <w:rFonts w:ascii="Calibri" w:eastAsia="Times New Roman" w:hAnsi="Calibri" w:cs="Calibri"/>
                <w:lang w:eastAsia="es-ES"/>
              </w:rPr>
            </w:pPr>
          </w:p>
          <w:p w14:paraId="5860C028" w14:textId="77777777" w:rsidR="003C6AC7" w:rsidRPr="003C6AC7" w:rsidRDefault="003C6AC7" w:rsidP="003C6AC7">
            <w:pPr>
              <w:widowControl w:val="0"/>
              <w:autoSpaceDN w:val="0"/>
              <w:rPr>
                <w:rFonts w:ascii="Calibri" w:eastAsia="Times New Roman" w:hAnsi="Calibri" w:cs="Calibri"/>
                <w:lang w:eastAsia="es-ES"/>
              </w:rPr>
            </w:pPr>
          </w:p>
        </w:tc>
        <w:tc>
          <w:tcPr>
            <w:tcW w:w="2835" w:type="dxa"/>
          </w:tcPr>
          <w:p w14:paraId="12B8AF87" w14:textId="77777777" w:rsidR="003C6AC7" w:rsidRPr="003C6AC7" w:rsidRDefault="003C6AC7" w:rsidP="003C6AC7">
            <w:pPr>
              <w:widowControl w:val="0"/>
              <w:autoSpaceDN w:val="0"/>
              <w:rPr>
                <w:rFonts w:ascii="Calibri" w:eastAsia="Times New Roman" w:hAnsi="Calibri" w:cs="Calibri"/>
                <w:color w:val="0070C0"/>
                <w:szCs w:val="18"/>
                <w:lang w:eastAsia="es-CR"/>
              </w:rPr>
            </w:pPr>
            <w:r w:rsidRPr="003C6AC7">
              <w:rPr>
                <w:rFonts w:ascii="Calibri" w:eastAsia="Times New Roman" w:hAnsi="Calibri" w:cs="Calibri"/>
                <w:color w:val="0070C0"/>
                <w:szCs w:val="18"/>
                <w:lang w:eastAsia="es-CR"/>
              </w:rPr>
              <w:t>Ruta de aprendizaje</w:t>
            </w:r>
          </w:p>
          <w:p w14:paraId="52327E39" w14:textId="77777777" w:rsidR="003C6AC7" w:rsidRPr="003C6AC7" w:rsidRDefault="003C6AC7" w:rsidP="003C6AC7">
            <w:pPr>
              <w:widowControl w:val="0"/>
              <w:autoSpaceDN w:val="0"/>
              <w:rPr>
                <w:rFonts w:ascii="Calibri" w:eastAsia="Times New Roman" w:hAnsi="Calibri" w:cs="Calibri"/>
                <w:color w:val="0070C0"/>
                <w:szCs w:val="18"/>
                <w:lang w:eastAsia="es-CR"/>
              </w:rPr>
            </w:pPr>
          </w:p>
          <w:p w14:paraId="762122AD"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r w:rsidRPr="003C6AC7">
              <w:rPr>
                <w:rFonts w:ascii="Calibri" w:eastAsia="Times New Roman" w:hAnsi="Calibri" w:cs="Calibri"/>
                <w:b/>
                <w:bCs/>
                <w:color w:val="0070C0"/>
                <w:szCs w:val="18"/>
                <w:lang w:val="es-ES_tradnl" w:eastAsia="es-CR"/>
              </w:rPr>
              <w:t>Material complementario</w:t>
            </w:r>
          </w:p>
          <w:p w14:paraId="703C3C1C" w14:textId="77777777" w:rsidR="003C6AC7" w:rsidRPr="003C6AC7" w:rsidRDefault="003C6AC7" w:rsidP="003C6AC7">
            <w:pPr>
              <w:widowControl w:val="0"/>
              <w:autoSpaceDN w:val="0"/>
              <w:rPr>
                <w:rFonts w:ascii="Calibri" w:eastAsia="Times New Roman" w:hAnsi="Calibri" w:cs="Calibri"/>
                <w:b/>
                <w:bCs/>
                <w:color w:val="0070C0"/>
                <w:szCs w:val="18"/>
                <w:lang w:val="es-ES_tradnl" w:eastAsia="es-CR"/>
              </w:rPr>
            </w:pPr>
          </w:p>
          <w:p w14:paraId="51DAE25A" w14:textId="77777777" w:rsidR="003C6AC7" w:rsidRPr="003C6AC7" w:rsidRDefault="003C6AC7" w:rsidP="003C6AC7">
            <w:pPr>
              <w:widowControl w:val="0"/>
              <w:autoSpaceDN w:val="0"/>
              <w:rPr>
                <w:rFonts w:ascii="Calibri" w:eastAsia="Times New Roman" w:hAnsi="Calibri" w:cs="Calibri"/>
                <w:lang w:eastAsia="es-ES"/>
              </w:rPr>
            </w:pPr>
            <w:r w:rsidRPr="003C6AC7">
              <w:rPr>
                <w:rFonts w:ascii="Calibri" w:eastAsia="Times New Roman" w:hAnsi="Calibri" w:cs="Calibri"/>
                <w:color w:val="0070C0"/>
                <w:szCs w:val="18"/>
                <w:lang w:val="es-ES_tradnl" w:eastAsia="es-CR"/>
              </w:rPr>
              <w:t>Guía para la elaboración de un ensayo</w:t>
            </w:r>
          </w:p>
        </w:tc>
        <w:tc>
          <w:tcPr>
            <w:tcW w:w="3260" w:type="dxa"/>
          </w:tcPr>
          <w:p w14:paraId="552A6AFD" w14:textId="77777777" w:rsidR="003C6AC7" w:rsidRPr="003C6AC7" w:rsidRDefault="003C6AC7" w:rsidP="003C6AC7">
            <w:pPr>
              <w:widowControl w:val="0"/>
              <w:numPr>
                <w:ilvl w:val="0"/>
                <w:numId w:val="241"/>
              </w:numPr>
              <w:overflowPunct w:val="0"/>
              <w:autoSpaceDE w:val="0"/>
              <w:autoSpaceDN w:val="0"/>
              <w:adjustRightInd w:val="0"/>
              <w:spacing w:before="120"/>
              <w:ind w:left="316"/>
              <w:contextualSpacing/>
              <w:rPr>
                <w:rFonts w:ascii="Calibri" w:eastAsia="Times New Roman" w:hAnsi="Calibri" w:cs="Calibri"/>
                <w:lang w:eastAsia="es-ES"/>
              </w:rPr>
            </w:pPr>
            <w:r w:rsidRPr="003C6AC7">
              <w:rPr>
                <w:rFonts w:ascii="Calibri" w:eastAsia="Times New Roman" w:hAnsi="Calibri" w:cs="Calibri"/>
                <w:lang w:eastAsia="es-ES"/>
              </w:rPr>
              <w:t xml:space="preserve">Entregar el ensayo final. </w:t>
            </w:r>
          </w:p>
        </w:tc>
      </w:tr>
    </w:tbl>
    <w:p w14:paraId="4C187188"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60C84745"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7E630C3C"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38D968C3"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0794CA33"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721DB355"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7875B58B"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56C28477"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7F60A384"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396DFA70"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4B2D5B5A"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26165C2C"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42DABA9B"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5C35B61B"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139815EF"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ES"/>
          <w14:ligatures w14:val="none"/>
        </w:rPr>
      </w:pPr>
    </w:p>
    <w:p w14:paraId="698D6F51" w14:textId="77777777" w:rsidR="003C6AC7" w:rsidRPr="003C6AC7" w:rsidRDefault="003C6AC7" w:rsidP="003C6AC7">
      <w:pPr>
        <w:widowControl w:val="0"/>
        <w:overflowPunct w:val="0"/>
        <w:autoSpaceDE w:val="0"/>
        <w:autoSpaceDN w:val="0"/>
        <w:adjustRightInd w:val="0"/>
        <w:spacing w:before="120" w:after="0" w:line="240" w:lineRule="auto"/>
        <w:ind w:left="142" w:right="146"/>
        <w:jc w:val="both"/>
        <w:rPr>
          <w:rFonts w:ascii="Calibri" w:eastAsia="Times New Roman" w:hAnsi="Calibri" w:cs="Calibri"/>
          <w:b/>
          <w:bCs/>
          <w:color w:val="000000"/>
          <w:kern w:val="0"/>
          <w:lang w:val="es-ES_tradnl" w:eastAsia="es-CR"/>
          <w14:ligatures w14:val="none"/>
        </w:rPr>
      </w:pPr>
      <w:r w:rsidRPr="003C6AC7">
        <w:rPr>
          <w:rFonts w:ascii="Calibri" w:eastAsia="Times New Roman" w:hAnsi="Calibri" w:cs="Calibri"/>
          <w:b/>
          <w:bCs/>
          <w:color w:val="000000"/>
          <w:kern w:val="0"/>
          <w:lang w:val="es-ES_tradnl" w:eastAsia="es-CR"/>
          <w14:ligatures w14:val="none"/>
        </w:rPr>
        <w:lastRenderedPageBreak/>
        <w:t>IX. Distribución de tiempo semanal</w:t>
      </w:r>
    </w:p>
    <w:p w14:paraId="71F45941" w14:textId="77777777" w:rsidR="003C6AC7" w:rsidRPr="003C6AC7" w:rsidRDefault="003C6AC7" w:rsidP="003C6AC7">
      <w:pPr>
        <w:widowControl w:val="0"/>
        <w:overflowPunct w:val="0"/>
        <w:autoSpaceDE w:val="0"/>
        <w:autoSpaceDN w:val="0"/>
        <w:adjustRightInd w:val="0"/>
        <w:spacing w:before="120" w:after="0" w:line="240" w:lineRule="auto"/>
        <w:ind w:left="142" w:right="146"/>
        <w:jc w:val="both"/>
        <w:rPr>
          <w:rFonts w:ascii="Calibri" w:eastAsia="Times New Roman" w:hAnsi="Calibri" w:cs="Calibri"/>
          <w:b/>
          <w:bCs/>
          <w:color w:val="000000"/>
          <w:kern w:val="0"/>
          <w:lang w:val="es-ES_tradnl" w:eastAsia="es-CR"/>
          <w14:ligatures w14:val="none"/>
        </w:rPr>
      </w:pPr>
      <w:r w:rsidRPr="003C6AC7">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461102DB"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5"/>
        <w:tblW w:w="8900" w:type="dxa"/>
        <w:jc w:val="center"/>
        <w:tblLook w:val="04A0" w:firstRow="1" w:lastRow="0" w:firstColumn="1" w:lastColumn="0" w:noHBand="0" w:noVBand="1"/>
      </w:tblPr>
      <w:tblGrid>
        <w:gridCol w:w="2150"/>
        <w:gridCol w:w="1435"/>
        <w:gridCol w:w="5315"/>
      </w:tblGrid>
      <w:tr w:rsidR="003C6AC7" w:rsidRPr="003C6AC7" w14:paraId="7035E028" w14:textId="77777777" w:rsidTr="00104785">
        <w:trPr>
          <w:trHeight w:val="562"/>
          <w:jc w:val="center"/>
        </w:trPr>
        <w:tc>
          <w:tcPr>
            <w:tcW w:w="2150" w:type="dxa"/>
            <w:vAlign w:val="center"/>
          </w:tcPr>
          <w:p w14:paraId="15A7694C"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3C6AC7">
              <w:rPr>
                <w:rFonts w:ascii="Calibri" w:eastAsia="Times New Roman" w:hAnsi="Calibri" w:cs="Calibri"/>
                <w:b/>
                <w:bCs/>
                <w:color w:val="000000"/>
                <w:lang w:val="es-ES_tradnl" w:eastAsia="es-CR"/>
              </w:rPr>
              <w:t>Tipo de horas</w:t>
            </w:r>
          </w:p>
          <w:p w14:paraId="527F4500"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3C6AC7">
              <w:rPr>
                <w:rFonts w:ascii="Calibri" w:eastAsia="Times New Roman" w:hAnsi="Calibri" w:cs="Calibri"/>
                <w:b/>
                <w:bCs/>
                <w:color w:val="000000"/>
                <w:lang w:val="es-ES_tradnl" w:eastAsia="es-CR"/>
              </w:rPr>
              <w:t>(categoría)</w:t>
            </w:r>
          </w:p>
        </w:tc>
        <w:tc>
          <w:tcPr>
            <w:tcW w:w="1435" w:type="dxa"/>
            <w:vAlign w:val="center"/>
          </w:tcPr>
          <w:p w14:paraId="7786FA45"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3C6AC7">
              <w:rPr>
                <w:rFonts w:ascii="Calibri" w:eastAsia="Times New Roman" w:hAnsi="Calibri" w:cs="Calibri"/>
                <w:b/>
                <w:bCs/>
                <w:color w:val="000000"/>
                <w:lang w:val="es-ES_tradnl" w:eastAsia="es-CR"/>
              </w:rPr>
              <w:t>Horas por semana</w:t>
            </w:r>
          </w:p>
        </w:tc>
        <w:tc>
          <w:tcPr>
            <w:tcW w:w="5315" w:type="dxa"/>
            <w:vAlign w:val="center"/>
          </w:tcPr>
          <w:p w14:paraId="103C3124"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3C6AC7">
              <w:rPr>
                <w:rFonts w:ascii="Calibri" w:eastAsia="Times New Roman" w:hAnsi="Calibri" w:cs="Calibri"/>
                <w:b/>
                <w:bCs/>
                <w:color w:val="000000"/>
                <w:lang w:val="es-ES_tradnl" w:eastAsia="es-CR"/>
              </w:rPr>
              <w:t>Actividades relacionadas</w:t>
            </w:r>
          </w:p>
        </w:tc>
      </w:tr>
      <w:tr w:rsidR="003C6AC7" w:rsidRPr="003C6AC7" w14:paraId="122F909C" w14:textId="77777777" w:rsidTr="00104785">
        <w:trPr>
          <w:trHeight w:val="865"/>
          <w:jc w:val="center"/>
        </w:trPr>
        <w:tc>
          <w:tcPr>
            <w:tcW w:w="2150" w:type="dxa"/>
            <w:vAlign w:val="center"/>
          </w:tcPr>
          <w:p w14:paraId="5DE55391"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Horas de Estudio Individual (HEI)</w:t>
            </w:r>
          </w:p>
        </w:tc>
        <w:tc>
          <w:tcPr>
            <w:tcW w:w="1435" w:type="dxa"/>
            <w:vAlign w:val="center"/>
          </w:tcPr>
          <w:p w14:paraId="41C3D763"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4</w:t>
            </w:r>
          </w:p>
        </w:tc>
        <w:tc>
          <w:tcPr>
            <w:tcW w:w="5315" w:type="dxa"/>
          </w:tcPr>
          <w:p w14:paraId="112AD885" w14:textId="77777777" w:rsidR="003C6AC7" w:rsidRPr="003C6AC7" w:rsidRDefault="003C6AC7" w:rsidP="003C6AC7">
            <w:pPr>
              <w:widowControl w:val="0"/>
              <w:numPr>
                <w:ilvl w:val="0"/>
                <w:numId w:val="34"/>
              </w:numPr>
              <w:overflowPunct w:val="0"/>
              <w:autoSpaceDE w:val="0"/>
              <w:autoSpaceDN w:val="0"/>
              <w:adjustRightInd w:val="0"/>
              <w:spacing w:before="120"/>
              <w:contextualSpacing/>
              <w:rPr>
                <w:rFonts w:ascii="Calibri" w:eastAsia="Times New Roman" w:hAnsi="Calibri" w:cs="Arial"/>
                <w:color w:val="000000"/>
                <w:lang w:val="es-ES_tradnl" w:eastAsia="es-CR"/>
              </w:rPr>
            </w:pPr>
            <w:r w:rsidRPr="003C6AC7">
              <w:rPr>
                <w:rFonts w:ascii="Calibri" w:eastAsia="Times New Roman" w:hAnsi="Calibri" w:cs="Arial"/>
                <w:color w:val="000000"/>
                <w:lang w:val="es-ES_tradnl" w:eastAsia="es-CR"/>
              </w:rPr>
              <w:t>Lectura de los textos (materiales en formato digital).</w:t>
            </w:r>
          </w:p>
          <w:p w14:paraId="33C11AD8" w14:textId="77777777" w:rsidR="003C6AC7" w:rsidRPr="003C6AC7" w:rsidRDefault="003C6AC7" w:rsidP="003C6AC7">
            <w:pPr>
              <w:widowControl w:val="0"/>
              <w:numPr>
                <w:ilvl w:val="0"/>
                <w:numId w:val="34"/>
              </w:numPr>
              <w:overflowPunct w:val="0"/>
              <w:autoSpaceDE w:val="0"/>
              <w:autoSpaceDN w:val="0"/>
              <w:adjustRightInd w:val="0"/>
              <w:spacing w:before="120"/>
              <w:contextualSpacing/>
              <w:rPr>
                <w:rFonts w:ascii="Calibri" w:eastAsia="Times New Roman" w:hAnsi="Calibri" w:cs="Arial"/>
                <w:color w:val="000000"/>
                <w:lang w:val="es-ES_tradnl" w:eastAsia="es-CR"/>
              </w:rPr>
            </w:pPr>
            <w:r w:rsidRPr="003C6AC7">
              <w:rPr>
                <w:rFonts w:ascii="Calibri" w:eastAsia="Times New Roman" w:hAnsi="Calibri" w:cs="Arial"/>
                <w:color w:val="000000"/>
                <w:lang w:val="es-ES_tradnl" w:eastAsia="es-CR"/>
              </w:rPr>
              <w:t>Análisis de lecturas e investigación por cuenta propia.</w:t>
            </w:r>
          </w:p>
        </w:tc>
      </w:tr>
      <w:tr w:rsidR="003C6AC7" w:rsidRPr="003C6AC7" w14:paraId="331864FC" w14:textId="77777777" w:rsidTr="00104785">
        <w:trPr>
          <w:trHeight w:val="571"/>
          <w:jc w:val="center"/>
        </w:trPr>
        <w:tc>
          <w:tcPr>
            <w:tcW w:w="2150" w:type="dxa"/>
            <w:vAlign w:val="center"/>
          </w:tcPr>
          <w:p w14:paraId="45CB76BB"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Horas de Trabajo Colaborativo (HTC)</w:t>
            </w:r>
          </w:p>
        </w:tc>
        <w:tc>
          <w:tcPr>
            <w:tcW w:w="1435" w:type="dxa"/>
            <w:vAlign w:val="center"/>
          </w:tcPr>
          <w:p w14:paraId="2996B768"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2</w:t>
            </w:r>
          </w:p>
        </w:tc>
        <w:tc>
          <w:tcPr>
            <w:tcW w:w="5315" w:type="dxa"/>
            <w:vAlign w:val="center"/>
          </w:tcPr>
          <w:p w14:paraId="1606D199" w14:textId="77777777" w:rsidR="003C6AC7" w:rsidRPr="003C6AC7" w:rsidRDefault="003C6AC7" w:rsidP="003C6AC7">
            <w:pPr>
              <w:widowControl w:val="0"/>
              <w:numPr>
                <w:ilvl w:val="0"/>
                <w:numId w:val="35"/>
              </w:numPr>
              <w:overflowPunct w:val="0"/>
              <w:autoSpaceDE w:val="0"/>
              <w:autoSpaceDN w:val="0"/>
              <w:adjustRightInd w:val="0"/>
              <w:spacing w:before="120"/>
              <w:contextualSpacing/>
              <w:rPr>
                <w:rFonts w:ascii="Calibri" w:eastAsia="Times New Roman" w:hAnsi="Calibri" w:cs="Arial"/>
                <w:color w:val="000000"/>
                <w:lang w:val="es-ES_tradnl" w:eastAsia="es-CR"/>
              </w:rPr>
            </w:pPr>
            <w:r w:rsidRPr="003C6AC7">
              <w:rPr>
                <w:rFonts w:ascii="Calibri" w:eastAsia="Times New Roman" w:hAnsi="Calibri" w:cs="Arial"/>
                <w:color w:val="000000"/>
                <w:lang w:val="es-ES_tradnl" w:eastAsia="es-CR"/>
              </w:rPr>
              <w:t>Participación en los foros temáticos (incluye aportes personales y réplicas a los y las demás estudiantes).</w:t>
            </w:r>
          </w:p>
          <w:p w14:paraId="1EA392A1" w14:textId="77777777" w:rsidR="003C6AC7" w:rsidRPr="003C6AC7" w:rsidRDefault="003C6AC7" w:rsidP="003C6AC7">
            <w:pPr>
              <w:widowControl w:val="0"/>
              <w:numPr>
                <w:ilvl w:val="0"/>
                <w:numId w:val="35"/>
              </w:numPr>
              <w:overflowPunct w:val="0"/>
              <w:autoSpaceDE w:val="0"/>
              <w:autoSpaceDN w:val="0"/>
              <w:adjustRightInd w:val="0"/>
              <w:spacing w:before="120"/>
              <w:contextualSpacing/>
              <w:rPr>
                <w:rFonts w:ascii="Calibri" w:eastAsia="Times New Roman" w:hAnsi="Calibri" w:cs="Arial"/>
                <w:color w:val="000000"/>
                <w:lang w:val="es-ES_tradnl" w:eastAsia="es-CR"/>
              </w:rPr>
            </w:pPr>
            <w:r w:rsidRPr="003C6AC7">
              <w:rPr>
                <w:rFonts w:ascii="Calibri" w:eastAsia="Times New Roman" w:hAnsi="Calibri" w:cs="Arial"/>
                <w:color w:val="000000"/>
                <w:lang w:val="es-ES_tradnl" w:eastAsia="es-CR"/>
              </w:rPr>
              <w:t>Participación en los encuentros sincrónicos virtuales.</w:t>
            </w:r>
          </w:p>
          <w:p w14:paraId="043CFF3C" w14:textId="77777777" w:rsidR="003C6AC7" w:rsidRPr="003C6AC7" w:rsidRDefault="003C6AC7" w:rsidP="003C6AC7">
            <w:pPr>
              <w:widowControl w:val="0"/>
              <w:numPr>
                <w:ilvl w:val="0"/>
                <w:numId w:val="35"/>
              </w:numPr>
              <w:overflowPunct w:val="0"/>
              <w:autoSpaceDE w:val="0"/>
              <w:autoSpaceDN w:val="0"/>
              <w:adjustRightInd w:val="0"/>
              <w:spacing w:before="120"/>
              <w:contextualSpacing/>
              <w:rPr>
                <w:rFonts w:ascii="Calibri" w:eastAsia="Times New Roman" w:hAnsi="Calibri" w:cs="Arial"/>
                <w:color w:val="000000"/>
                <w:lang w:val="es-ES_tradnl" w:eastAsia="es-CR"/>
              </w:rPr>
            </w:pPr>
            <w:r w:rsidRPr="003C6AC7">
              <w:rPr>
                <w:rFonts w:ascii="Calibri" w:eastAsia="Times New Roman" w:hAnsi="Calibri" w:cs="Arial"/>
                <w:color w:val="000000"/>
                <w:lang w:val="es-ES_tradnl" w:eastAsia="es-CR"/>
              </w:rPr>
              <w:t>Participación en la elaboración de un glosario.</w:t>
            </w:r>
          </w:p>
        </w:tc>
      </w:tr>
      <w:tr w:rsidR="003C6AC7" w:rsidRPr="003C6AC7" w14:paraId="1D4DA1C6" w14:textId="77777777" w:rsidTr="00104785">
        <w:trPr>
          <w:trHeight w:val="868"/>
          <w:jc w:val="center"/>
        </w:trPr>
        <w:tc>
          <w:tcPr>
            <w:tcW w:w="2150" w:type="dxa"/>
            <w:vAlign w:val="center"/>
          </w:tcPr>
          <w:p w14:paraId="49E6D643"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Horas de Producción Individual (HPI)</w:t>
            </w:r>
          </w:p>
        </w:tc>
        <w:tc>
          <w:tcPr>
            <w:tcW w:w="1435" w:type="dxa"/>
            <w:vAlign w:val="center"/>
          </w:tcPr>
          <w:p w14:paraId="37B6A374"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4</w:t>
            </w:r>
          </w:p>
        </w:tc>
        <w:tc>
          <w:tcPr>
            <w:tcW w:w="5315" w:type="dxa"/>
            <w:vAlign w:val="center"/>
          </w:tcPr>
          <w:p w14:paraId="74A96E2E" w14:textId="77777777" w:rsidR="003C6AC7" w:rsidRPr="003C6AC7" w:rsidRDefault="003C6AC7" w:rsidP="003C6AC7">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Elaboración de reseñas críticas de lecturas.</w:t>
            </w:r>
          </w:p>
          <w:p w14:paraId="22F4E122" w14:textId="77777777" w:rsidR="003C6AC7" w:rsidRPr="003C6AC7" w:rsidRDefault="003C6AC7" w:rsidP="003C6AC7">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 xml:space="preserve">Análisis de textos bíblicos. </w:t>
            </w:r>
          </w:p>
          <w:p w14:paraId="276DAA19" w14:textId="77777777" w:rsidR="003C6AC7" w:rsidRPr="003C6AC7" w:rsidRDefault="003C6AC7" w:rsidP="003C6AC7">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Elaboración de mapas conceptuales.</w:t>
            </w:r>
          </w:p>
          <w:p w14:paraId="35234545" w14:textId="77777777" w:rsidR="003C6AC7" w:rsidRPr="003C6AC7" w:rsidRDefault="003C6AC7" w:rsidP="003C6AC7">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Elaboración de un ensayo crítico.</w:t>
            </w:r>
          </w:p>
          <w:p w14:paraId="252526C9" w14:textId="77777777" w:rsidR="003C6AC7" w:rsidRPr="003C6AC7" w:rsidRDefault="003C6AC7" w:rsidP="003C6AC7">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Elaboración de un ensayo final.</w:t>
            </w:r>
          </w:p>
        </w:tc>
      </w:tr>
      <w:tr w:rsidR="003C6AC7" w:rsidRPr="003C6AC7" w14:paraId="24333FFE" w14:textId="77777777" w:rsidTr="00104785">
        <w:trPr>
          <w:trHeight w:val="576"/>
          <w:jc w:val="center"/>
        </w:trPr>
        <w:tc>
          <w:tcPr>
            <w:tcW w:w="2150" w:type="dxa"/>
            <w:vAlign w:val="center"/>
          </w:tcPr>
          <w:p w14:paraId="4643D79C"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Horas de Práctica (HP)</w:t>
            </w:r>
          </w:p>
        </w:tc>
        <w:tc>
          <w:tcPr>
            <w:tcW w:w="1435" w:type="dxa"/>
            <w:vAlign w:val="center"/>
          </w:tcPr>
          <w:p w14:paraId="33B35BBB"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2</w:t>
            </w:r>
          </w:p>
        </w:tc>
        <w:tc>
          <w:tcPr>
            <w:tcW w:w="5315" w:type="dxa"/>
            <w:vAlign w:val="center"/>
          </w:tcPr>
          <w:p w14:paraId="02D2E988" w14:textId="77777777" w:rsidR="003C6AC7" w:rsidRPr="003C6AC7" w:rsidRDefault="003C6AC7" w:rsidP="003C6AC7">
            <w:pPr>
              <w:widowControl w:val="0"/>
              <w:numPr>
                <w:ilvl w:val="0"/>
                <w:numId w:val="36"/>
              </w:numPr>
              <w:overflowPunct w:val="0"/>
              <w:autoSpaceDE w:val="0"/>
              <w:autoSpaceDN w:val="0"/>
              <w:adjustRightInd w:val="0"/>
              <w:spacing w:before="120"/>
              <w:contextualSpacing/>
              <w:rPr>
                <w:rFonts w:ascii="Calibri" w:eastAsia="Times New Roman" w:hAnsi="Calibri" w:cs="Calibri"/>
                <w:bCs/>
                <w:color w:val="000000"/>
                <w:lang w:val="es-ES_tradnl" w:eastAsia="es-CR"/>
              </w:rPr>
            </w:pPr>
            <w:r w:rsidRPr="003C6AC7">
              <w:rPr>
                <w:rFonts w:ascii="Calibri" w:eastAsia="Times New Roman" w:hAnsi="Calibri" w:cs="Calibri"/>
                <w:bCs/>
                <w:color w:val="000000"/>
                <w:lang w:val="es-ES_tradnl" w:eastAsia="es-CR"/>
              </w:rPr>
              <w:t>En este curso, por su naturaleza, las horas prácticas contemplan los ejercicios de estudio bíblico.</w:t>
            </w:r>
          </w:p>
          <w:p w14:paraId="7055BCA7" w14:textId="77777777" w:rsidR="003C6AC7" w:rsidRPr="003C6AC7" w:rsidRDefault="003C6AC7" w:rsidP="003C6AC7">
            <w:pPr>
              <w:widowControl w:val="0"/>
              <w:overflowPunct w:val="0"/>
              <w:autoSpaceDE w:val="0"/>
              <w:autoSpaceDN w:val="0"/>
              <w:adjustRightInd w:val="0"/>
              <w:ind w:left="720"/>
              <w:contextualSpacing/>
              <w:rPr>
                <w:rFonts w:ascii="Calibri" w:eastAsia="Times New Roman" w:hAnsi="Calibri" w:cs="Arial"/>
                <w:color w:val="000000"/>
                <w:lang w:val="es-ES_tradnl" w:eastAsia="es-CR"/>
              </w:rPr>
            </w:pPr>
          </w:p>
        </w:tc>
      </w:tr>
      <w:tr w:rsidR="003C6AC7" w:rsidRPr="003C6AC7" w14:paraId="7622DD04" w14:textId="77777777" w:rsidTr="00104785">
        <w:trPr>
          <w:trHeight w:val="280"/>
          <w:jc w:val="center"/>
        </w:trPr>
        <w:tc>
          <w:tcPr>
            <w:tcW w:w="2150" w:type="dxa"/>
            <w:vAlign w:val="center"/>
          </w:tcPr>
          <w:p w14:paraId="5D2ABE46" w14:textId="77777777" w:rsidR="003C6AC7" w:rsidRPr="003C6AC7" w:rsidRDefault="003C6AC7" w:rsidP="003C6AC7">
            <w:pPr>
              <w:widowControl w:val="0"/>
              <w:overflowPunct w:val="0"/>
              <w:autoSpaceDE w:val="0"/>
              <w:autoSpaceDN w:val="0"/>
              <w:adjustRightInd w:val="0"/>
              <w:jc w:val="center"/>
              <w:rPr>
                <w:rFonts w:ascii="Calibri" w:eastAsia="Times New Roman" w:hAnsi="Calibri" w:cs="Arial"/>
                <w:b/>
                <w:bCs/>
                <w:color w:val="000000"/>
                <w:lang w:eastAsia="es-CR"/>
              </w:rPr>
            </w:pPr>
            <w:r w:rsidRPr="003C6AC7">
              <w:rPr>
                <w:rFonts w:ascii="Calibri" w:eastAsia="Times New Roman" w:hAnsi="Calibri" w:cs="Arial"/>
                <w:b/>
                <w:bCs/>
                <w:color w:val="000000"/>
                <w:lang w:eastAsia="es-CR"/>
              </w:rPr>
              <w:t>Total de horas (TH)</w:t>
            </w:r>
          </w:p>
        </w:tc>
        <w:tc>
          <w:tcPr>
            <w:tcW w:w="1435" w:type="dxa"/>
            <w:vAlign w:val="center"/>
          </w:tcPr>
          <w:p w14:paraId="4BD27CD0"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3C6AC7">
              <w:rPr>
                <w:rFonts w:ascii="Calibri" w:eastAsia="Times New Roman" w:hAnsi="Calibri" w:cs="Calibri"/>
                <w:b/>
                <w:bCs/>
                <w:color w:val="000000"/>
                <w:lang w:val="es-ES_tradnl" w:eastAsia="es-CR"/>
              </w:rPr>
              <w:t>12</w:t>
            </w:r>
          </w:p>
        </w:tc>
        <w:tc>
          <w:tcPr>
            <w:tcW w:w="5315" w:type="dxa"/>
            <w:vAlign w:val="center"/>
          </w:tcPr>
          <w:p w14:paraId="650B1B4A" w14:textId="77777777" w:rsidR="003C6AC7" w:rsidRPr="003C6AC7" w:rsidRDefault="003C6AC7" w:rsidP="003C6AC7">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3285DB50"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43B6573" w14:textId="77777777" w:rsidR="003C6AC7" w:rsidRPr="003C6AC7" w:rsidRDefault="003C6AC7" w:rsidP="003C6AC7">
      <w:pPr>
        <w:widowControl w:val="0"/>
        <w:overflowPunct w:val="0"/>
        <w:autoSpaceDE w:val="0"/>
        <w:autoSpaceDN w:val="0"/>
        <w:adjustRightInd w:val="0"/>
        <w:spacing w:before="120" w:after="0" w:line="240" w:lineRule="auto"/>
        <w:ind w:left="142" w:right="146"/>
        <w:jc w:val="both"/>
        <w:rPr>
          <w:rFonts w:ascii="Calibri" w:eastAsia="Times New Roman" w:hAnsi="Calibri" w:cs="Arial"/>
          <w:color w:val="000000"/>
          <w:kern w:val="0"/>
          <w:lang w:val="es-ES" w:eastAsia="es-CR"/>
          <w14:ligatures w14:val="none"/>
        </w:rPr>
      </w:pPr>
      <w:r w:rsidRPr="003C6AC7">
        <w:rPr>
          <w:rFonts w:ascii="Calibri" w:eastAsia="Times New Roman" w:hAnsi="Calibri" w:cs="Arial"/>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05AFE15F"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47659EE7"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208DCFE6"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7B6D6512"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2ECB5E6C"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4AF22AE1"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4763C4D1"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59825FEA"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79A6739D"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3C6AC7">
        <w:rPr>
          <w:rFonts w:ascii="Calibri" w:eastAsia="Times New Roman" w:hAnsi="Calibri" w:cs="Arial"/>
          <w:b/>
          <w:bCs/>
          <w:color w:val="000000"/>
          <w:kern w:val="0"/>
          <w:lang w:val="es-ES_tradnl" w:eastAsia="es-CR"/>
          <w14:ligatures w14:val="none"/>
        </w:rPr>
        <w:lastRenderedPageBreak/>
        <w:t>X. Evaluación</w:t>
      </w:r>
    </w:p>
    <w:p w14:paraId="01AE458D"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Calibri" w:hAnsi="Calibri" w:cs="Calibri"/>
          <w:kern w:val="0"/>
          <w:szCs w:val="18"/>
          <w14:ligatures w14:val="none"/>
        </w:rPr>
      </w:pPr>
      <w:r w:rsidRPr="003C6AC7">
        <w:rPr>
          <w:rFonts w:ascii="Calibri" w:eastAsia="Times New Roman" w:hAnsi="Calibri" w:cs="Calibri"/>
          <w:kern w:val="0"/>
          <w:szCs w:val="18"/>
          <w:lang w:val="es-ES_tradnl" w:eastAsia="es-CR"/>
          <w14:ligatures w14:val="none"/>
        </w:rPr>
        <w:t xml:space="preserve">La evaluación se realizará con base en las discusiones grupales y los trabajos sobre el material que se introduce en este curso. Se analizarán los procesos de aprendizaje y su desarrollo durante el curso, la interacción grupal y la capacidad de construir sobre lo trabajado en cada sesión. La retroalimentación de la persona docente será fundamental para orientar el desarrollo de las capacidades cognitivas de los y las estudiantes. La evaluación sumativa se realizará por medio de la sumatoria de todas las actividades de aprendizaje realizadas en el curso.  </w:t>
      </w:r>
      <w:r w:rsidRPr="003C6AC7">
        <w:rPr>
          <w:rFonts w:ascii="Calibri" w:eastAsia="Calibri" w:hAnsi="Calibri" w:cs="Calibri"/>
          <w:kern w:val="0"/>
          <w:szCs w:val="18"/>
          <w14:ligatures w14:val="none"/>
        </w:rPr>
        <w:t>El curso se aprueba con una nota mínima de 7.00 (siete en escala decimal)</w:t>
      </w:r>
      <w:r w:rsidRPr="003C6AC7">
        <w:rPr>
          <w:rFonts w:ascii="Calibri" w:eastAsia="Times New Roman" w:hAnsi="Calibri" w:cs="Calibri"/>
          <w:kern w:val="0"/>
          <w:szCs w:val="18"/>
          <w:lang w:val="es-ES_tradnl" w:eastAsia="es-CR"/>
          <w14:ligatures w14:val="none"/>
        </w:rPr>
        <w:t xml:space="preserve">. </w:t>
      </w:r>
      <w:r w:rsidRPr="003C6AC7">
        <w:rPr>
          <w:rFonts w:ascii="Calibri" w:eastAsia="Calibri" w:hAnsi="Calibri" w:cs="Calibri"/>
          <w:kern w:val="0"/>
          <w:szCs w:val="18"/>
          <w14:ligatures w14:val="none"/>
        </w:rPr>
        <w:t>Los porcentajes asignados a cada elemento del curso son los siguientes:</w:t>
      </w:r>
    </w:p>
    <w:p w14:paraId="15AEDAE9" w14:textId="77777777" w:rsidR="003C6AC7" w:rsidRPr="003C6AC7" w:rsidRDefault="003C6AC7" w:rsidP="003C6AC7">
      <w:pPr>
        <w:autoSpaceDE w:val="0"/>
        <w:autoSpaceDN w:val="0"/>
        <w:adjustRightInd w:val="0"/>
        <w:spacing w:after="0" w:line="240" w:lineRule="auto"/>
        <w:jc w:val="both"/>
        <w:rPr>
          <w:rFonts w:ascii="Calibri" w:eastAsia="Calibri" w:hAnsi="Calibri" w:cs="Arial"/>
          <w:bCs/>
          <w:kern w:val="0"/>
          <w14:ligatures w14:val="none"/>
        </w:rPr>
      </w:pPr>
    </w:p>
    <w:tbl>
      <w:tblPr>
        <w:tblpPr w:leftFromText="141" w:rightFromText="141" w:vertAnchor="text" w:horzAnchor="margin" w:tblpXSpec="center" w:tblpY="226"/>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776"/>
        <w:gridCol w:w="1291"/>
      </w:tblGrid>
      <w:tr w:rsidR="003C6AC7" w:rsidRPr="003C6AC7" w14:paraId="53AD942A" w14:textId="77777777" w:rsidTr="00104785">
        <w:trPr>
          <w:trHeight w:val="414"/>
        </w:trPr>
        <w:tc>
          <w:tcPr>
            <w:tcW w:w="9067" w:type="dxa"/>
            <w:gridSpan w:val="2"/>
          </w:tcPr>
          <w:p w14:paraId="7010E852" w14:textId="77777777" w:rsidR="003C6AC7" w:rsidRPr="003C6AC7" w:rsidRDefault="003C6AC7" w:rsidP="003C6AC7">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3C6AC7">
              <w:rPr>
                <w:rFonts w:ascii="Calibri" w:eastAsia="Times New Roman" w:hAnsi="Calibri" w:cs="Calibri"/>
                <w:b/>
                <w:bCs/>
                <w:kern w:val="0"/>
                <w:lang w:val="es-ES_tradnl" w:eastAsia="es-CR"/>
                <w14:ligatures w14:val="none"/>
              </w:rPr>
              <w:t xml:space="preserve">Síntesis cuantitativa de la evaluación </w:t>
            </w:r>
          </w:p>
        </w:tc>
      </w:tr>
      <w:tr w:rsidR="003C6AC7" w:rsidRPr="003C6AC7" w14:paraId="15BE16C5" w14:textId="77777777" w:rsidTr="00104785">
        <w:trPr>
          <w:trHeight w:val="562"/>
        </w:trPr>
        <w:tc>
          <w:tcPr>
            <w:tcW w:w="7776" w:type="dxa"/>
          </w:tcPr>
          <w:p w14:paraId="4519EB32"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Calibri"/>
                <w:b/>
                <w:bCs/>
                <w:kern w:val="0"/>
                <w:lang w:val="es-ES_tradnl" w:eastAsia="es-CR"/>
                <w14:ligatures w14:val="none"/>
              </w:rPr>
            </w:pPr>
            <w:r w:rsidRPr="003C6AC7">
              <w:rPr>
                <w:rFonts w:ascii="Calibri" w:eastAsia="Times New Roman" w:hAnsi="Calibri" w:cs="Calibri"/>
                <w:b/>
                <w:bCs/>
                <w:kern w:val="0"/>
                <w:lang w:val="es-ES_tradnl" w:eastAsia="es-CR"/>
                <w14:ligatures w14:val="none"/>
              </w:rPr>
              <w:t>Rubros para evaluar</w:t>
            </w:r>
          </w:p>
          <w:p w14:paraId="0E60B223" w14:textId="77777777" w:rsidR="003C6AC7" w:rsidRPr="003C6AC7" w:rsidRDefault="003C6AC7" w:rsidP="003C6AC7">
            <w:pPr>
              <w:widowControl w:val="0"/>
              <w:overflowPunct w:val="0"/>
              <w:autoSpaceDE w:val="0"/>
              <w:autoSpaceDN w:val="0"/>
              <w:adjustRightInd w:val="0"/>
              <w:spacing w:before="120" w:after="0" w:line="240" w:lineRule="auto"/>
              <w:jc w:val="both"/>
              <w:rPr>
                <w:rFonts w:ascii="Calibri" w:eastAsia="Times New Roman" w:hAnsi="Calibri" w:cs="Calibri"/>
                <w:b/>
                <w:bCs/>
                <w:kern w:val="0"/>
                <w:lang w:val="es-ES_tradnl" w:eastAsia="es-CR"/>
                <w14:ligatures w14:val="none"/>
              </w:rPr>
            </w:pPr>
          </w:p>
        </w:tc>
        <w:tc>
          <w:tcPr>
            <w:tcW w:w="1291" w:type="dxa"/>
          </w:tcPr>
          <w:p w14:paraId="2E9E9B71" w14:textId="77777777" w:rsidR="003C6AC7" w:rsidRPr="003C6AC7" w:rsidRDefault="003C6AC7" w:rsidP="003C6AC7">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3C6AC7">
              <w:rPr>
                <w:rFonts w:ascii="Calibri" w:eastAsia="Times New Roman" w:hAnsi="Calibri" w:cs="Calibri"/>
                <w:b/>
                <w:bCs/>
                <w:kern w:val="0"/>
                <w:lang w:val="es-ES_tradnl" w:eastAsia="es-CR"/>
                <w14:ligatures w14:val="none"/>
              </w:rPr>
              <w:t>Porcentaje total</w:t>
            </w:r>
          </w:p>
        </w:tc>
      </w:tr>
      <w:tr w:rsidR="003C6AC7" w:rsidRPr="003C6AC7" w14:paraId="4735ED4E" w14:textId="77777777" w:rsidTr="00104785">
        <w:trPr>
          <w:trHeight w:val="861"/>
        </w:trPr>
        <w:tc>
          <w:tcPr>
            <w:tcW w:w="7776" w:type="dxa"/>
          </w:tcPr>
          <w:p w14:paraId="387C3971"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b/>
                <w:bCs/>
                <w:i/>
                <w:kern w:val="0"/>
                <w:lang w:val="es-ES_tradnl" w:eastAsia="es-CR"/>
                <w14:ligatures w14:val="none"/>
              </w:rPr>
            </w:pPr>
            <w:r w:rsidRPr="003C6AC7">
              <w:rPr>
                <w:rFonts w:ascii="Calibri" w:eastAsia="Times New Roman" w:hAnsi="Calibri" w:cs="Calibri"/>
                <w:b/>
                <w:bCs/>
                <w:i/>
                <w:kern w:val="0"/>
                <w:lang w:val="es-ES_tradnl" w:eastAsia="es-CR"/>
                <w14:ligatures w14:val="none"/>
              </w:rPr>
              <w:t>Encuentros sincrónicos virtuales</w:t>
            </w:r>
          </w:p>
          <w:p w14:paraId="10B46E88" w14:textId="77777777" w:rsidR="003C6AC7" w:rsidRPr="003C6AC7" w:rsidRDefault="003C6AC7" w:rsidP="003C6AC7">
            <w:pPr>
              <w:autoSpaceDE w:val="0"/>
              <w:autoSpaceDN w:val="0"/>
              <w:adjustRightInd w:val="0"/>
              <w:spacing w:after="0" w:line="240" w:lineRule="auto"/>
              <w:jc w:val="both"/>
              <w:rPr>
                <w:rFonts w:ascii="Calibri" w:eastAsia="Times New Roman" w:hAnsi="Calibri" w:cs="Arial"/>
                <w:b/>
                <w:bCs/>
                <w:i/>
                <w:iCs/>
                <w:kern w:val="0"/>
                <w:lang w:val="es-ES_tradnl" w:eastAsia="es-CR"/>
                <w14:ligatures w14:val="none"/>
              </w:rPr>
            </w:pPr>
            <w:r w:rsidRPr="003C6AC7">
              <w:rPr>
                <w:rFonts w:ascii="Calibri" w:eastAsia="Times New Roman" w:hAnsi="Calibri" w:cs="Arial"/>
                <w:kern w:val="0"/>
                <w:lang w:val="es-ES_tradnl" w:eastAsia="es-CR"/>
                <w14:ligatures w14:val="none"/>
              </w:rPr>
              <w:t>Se llevan a cabo en las sesiones 1, 3, 6, 11 y 13. Tienen un valor formativo y no sumativo.</w:t>
            </w:r>
          </w:p>
        </w:tc>
        <w:tc>
          <w:tcPr>
            <w:tcW w:w="1291" w:type="dxa"/>
            <w:vAlign w:val="center"/>
          </w:tcPr>
          <w:p w14:paraId="75012002" w14:textId="77777777" w:rsidR="003C6AC7" w:rsidRPr="003C6AC7" w:rsidRDefault="003C6AC7" w:rsidP="003C6AC7">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r w:rsidRPr="003C6AC7">
              <w:rPr>
                <w:rFonts w:ascii="Calibri" w:eastAsia="Times New Roman" w:hAnsi="Calibri" w:cs="Calibri"/>
                <w:bCs/>
                <w:kern w:val="0"/>
                <w:lang w:val="es-ES_tradnl" w:eastAsia="es-CR"/>
                <w14:ligatures w14:val="none"/>
              </w:rPr>
              <w:t>̶</w:t>
            </w:r>
          </w:p>
        </w:tc>
      </w:tr>
      <w:tr w:rsidR="003C6AC7" w:rsidRPr="003C6AC7" w14:paraId="7B987396" w14:textId="77777777" w:rsidTr="00104785">
        <w:trPr>
          <w:trHeight w:val="595"/>
        </w:trPr>
        <w:tc>
          <w:tcPr>
            <w:tcW w:w="7776" w:type="dxa"/>
          </w:tcPr>
          <w:p w14:paraId="7ADD977C"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b/>
                <w:bCs/>
                <w:i/>
                <w:kern w:val="0"/>
                <w:lang w:val="es-ES_tradnl" w:eastAsia="es-CR"/>
                <w14:ligatures w14:val="none"/>
              </w:rPr>
            </w:pPr>
            <w:r w:rsidRPr="003C6AC7">
              <w:rPr>
                <w:rFonts w:ascii="Calibri" w:eastAsia="Times New Roman" w:hAnsi="Calibri" w:cs="Calibri"/>
                <w:b/>
                <w:bCs/>
                <w:i/>
                <w:kern w:val="0"/>
                <w:lang w:val="es-ES_tradnl" w:eastAsia="es-CR"/>
                <w14:ligatures w14:val="none"/>
              </w:rPr>
              <w:t>Foros temáticos</w:t>
            </w:r>
          </w:p>
          <w:p w14:paraId="22095B32"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_tradnl" w:eastAsia="es-CR"/>
                <w14:ligatures w14:val="none"/>
              </w:rPr>
            </w:pPr>
            <w:r w:rsidRPr="003C6AC7">
              <w:rPr>
                <w:rFonts w:ascii="Calibri" w:eastAsia="Times New Roman" w:hAnsi="Calibri" w:cs="Calibri"/>
                <w:iCs/>
                <w:kern w:val="0"/>
                <w:lang w:val="es-ES_tradnl" w:eastAsia="es-CR"/>
                <w14:ligatures w14:val="none"/>
              </w:rPr>
              <w:t>Se desarrollan en las sesiones 2, 5, 12 y 14. Cada foro tiene un valor de 3,75%.</w:t>
            </w:r>
          </w:p>
        </w:tc>
        <w:tc>
          <w:tcPr>
            <w:tcW w:w="1291" w:type="dxa"/>
            <w:vAlign w:val="center"/>
          </w:tcPr>
          <w:p w14:paraId="5BFC5D69" w14:textId="77777777" w:rsidR="003C6AC7" w:rsidRPr="003C6AC7" w:rsidRDefault="003C6AC7" w:rsidP="003C6AC7">
            <w:pPr>
              <w:widowControl w:val="0"/>
              <w:overflowPunct w:val="0"/>
              <w:autoSpaceDE w:val="0"/>
              <w:autoSpaceDN w:val="0"/>
              <w:adjustRightInd w:val="0"/>
              <w:spacing w:after="0" w:line="240" w:lineRule="auto"/>
              <w:jc w:val="center"/>
              <w:rPr>
                <w:rFonts w:ascii="Calibri" w:eastAsia="Times New Roman" w:hAnsi="Calibri" w:cs="Calibri"/>
                <w:bCs/>
                <w:kern w:val="0"/>
                <w:lang w:val="es-ES_tradnl" w:eastAsia="es-CR"/>
                <w14:ligatures w14:val="none"/>
              </w:rPr>
            </w:pPr>
            <w:r w:rsidRPr="003C6AC7">
              <w:rPr>
                <w:rFonts w:ascii="Calibri" w:eastAsia="Times New Roman" w:hAnsi="Calibri" w:cs="Calibri"/>
                <w:bCs/>
                <w:kern w:val="0"/>
                <w:lang w:val="es-ES_tradnl" w:eastAsia="es-CR"/>
                <w14:ligatures w14:val="none"/>
              </w:rPr>
              <w:t>15%</w:t>
            </w:r>
          </w:p>
        </w:tc>
      </w:tr>
      <w:tr w:rsidR="003C6AC7" w:rsidRPr="003C6AC7" w14:paraId="607F02CC" w14:textId="77777777" w:rsidTr="00104785">
        <w:trPr>
          <w:trHeight w:val="602"/>
        </w:trPr>
        <w:tc>
          <w:tcPr>
            <w:tcW w:w="7776" w:type="dxa"/>
          </w:tcPr>
          <w:p w14:paraId="229737A8"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b/>
                <w:bCs/>
                <w:i/>
                <w:kern w:val="0"/>
                <w:lang w:val="es-ES_tradnl" w:eastAsia="es-CR"/>
                <w14:ligatures w14:val="none"/>
              </w:rPr>
            </w:pPr>
            <w:r w:rsidRPr="003C6AC7">
              <w:rPr>
                <w:rFonts w:ascii="Calibri" w:eastAsia="Times New Roman" w:hAnsi="Calibri" w:cs="Calibri"/>
                <w:b/>
                <w:bCs/>
                <w:i/>
                <w:kern w:val="0"/>
                <w:lang w:val="es-ES_tradnl" w:eastAsia="es-CR"/>
                <w14:ligatures w14:val="none"/>
              </w:rPr>
              <w:t>Reseñas críticas de lecturas</w:t>
            </w:r>
          </w:p>
          <w:p w14:paraId="1E3EECBE"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_tradnl" w:eastAsia="es-CR"/>
                <w14:ligatures w14:val="none"/>
              </w:rPr>
            </w:pPr>
            <w:r w:rsidRPr="003C6AC7">
              <w:rPr>
                <w:rFonts w:ascii="Calibri" w:eastAsia="Times New Roman" w:hAnsi="Calibri" w:cs="Calibri"/>
                <w:iCs/>
                <w:kern w:val="0"/>
                <w:lang w:val="es-ES_tradnl" w:eastAsia="es-CR"/>
                <w14:ligatures w14:val="none"/>
              </w:rPr>
              <w:t>Se elaboran en las sesiones 3, 6 y 13. Cada reseña tiene un valor de 5%.</w:t>
            </w:r>
          </w:p>
        </w:tc>
        <w:tc>
          <w:tcPr>
            <w:tcW w:w="1291" w:type="dxa"/>
            <w:vAlign w:val="center"/>
          </w:tcPr>
          <w:p w14:paraId="6F0CFE27" w14:textId="77777777" w:rsidR="003C6AC7" w:rsidRPr="003C6AC7" w:rsidRDefault="003C6AC7" w:rsidP="003C6AC7">
            <w:pPr>
              <w:widowControl w:val="0"/>
              <w:overflowPunct w:val="0"/>
              <w:autoSpaceDE w:val="0"/>
              <w:autoSpaceDN w:val="0"/>
              <w:adjustRightInd w:val="0"/>
              <w:spacing w:after="0" w:line="240" w:lineRule="auto"/>
              <w:jc w:val="center"/>
              <w:rPr>
                <w:rFonts w:ascii="Calibri" w:eastAsia="Times New Roman" w:hAnsi="Calibri" w:cs="Calibri"/>
                <w:bCs/>
                <w:kern w:val="0"/>
                <w:lang w:val="es-ES_tradnl" w:eastAsia="es-CR"/>
                <w14:ligatures w14:val="none"/>
              </w:rPr>
            </w:pPr>
            <w:r w:rsidRPr="003C6AC7">
              <w:rPr>
                <w:rFonts w:ascii="Calibri" w:eastAsia="Times New Roman" w:hAnsi="Calibri" w:cs="Calibri"/>
                <w:bCs/>
                <w:kern w:val="0"/>
                <w:lang w:val="es-ES_tradnl" w:eastAsia="es-CR"/>
                <w14:ligatures w14:val="none"/>
              </w:rPr>
              <w:t>15%</w:t>
            </w:r>
          </w:p>
        </w:tc>
      </w:tr>
      <w:tr w:rsidR="003C6AC7" w:rsidRPr="003C6AC7" w14:paraId="6CCB0BBE" w14:textId="77777777" w:rsidTr="00104785">
        <w:trPr>
          <w:trHeight w:val="602"/>
        </w:trPr>
        <w:tc>
          <w:tcPr>
            <w:tcW w:w="7776" w:type="dxa"/>
          </w:tcPr>
          <w:p w14:paraId="039B23DB"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b/>
                <w:bCs/>
                <w:i/>
                <w:kern w:val="0"/>
                <w:lang w:val="es-ES_tradnl" w:eastAsia="es-CR"/>
                <w14:ligatures w14:val="none"/>
              </w:rPr>
            </w:pPr>
            <w:r w:rsidRPr="003C6AC7">
              <w:rPr>
                <w:rFonts w:ascii="Calibri" w:eastAsia="Times New Roman" w:hAnsi="Calibri" w:cs="Calibri"/>
                <w:b/>
                <w:bCs/>
                <w:i/>
                <w:kern w:val="0"/>
                <w:lang w:val="es-ES_tradnl" w:eastAsia="es-CR"/>
                <w14:ligatures w14:val="none"/>
              </w:rPr>
              <w:t>Glosario</w:t>
            </w:r>
          </w:p>
          <w:p w14:paraId="71BB3091"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_tradnl" w:eastAsia="es-CR"/>
                <w14:ligatures w14:val="none"/>
              </w:rPr>
            </w:pPr>
            <w:r w:rsidRPr="003C6AC7">
              <w:rPr>
                <w:rFonts w:ascii="Calibri" w:eastAsia="Times New Roman" w:hAnsi="Calibri" w:cs="Calibri"/>
                <w:iCs/>
                <w:kern w:val="0"/>
                <w:lang w:val="es-ES_tradnl" w:eastAsia="es-CR"/>
                <w14:ligatures w14:val="none"/>
              </w:rPr>
              <w:t xml:space="preserve">Se desarrolla en la sesión 4. </w:t>
            </w:r>
          </w:p>
        </w:tc>
        <w:tc>
          <w:tcPr>
            <w:tcW w:w="1291" w:type="dxa"/>
            <w:vAlign w:val="center"/>
          </w:tcPr>
          <w:p w14:paraId="35432ABB" w14:textId="77777777" w:rsidR="003C6AC7" w:rsidRPr="003C6AC7" w:rsidRDefault="003C6AC7" w:rsidP="003C6AC7">
            <w:pPr>
              <w:widowControl w:val="0"/>
              <w:overflowPunct w:val="0"/>
              <w:autoSpaceDE w:val="0"/>
              <w:autoSpaceDN w:val="0"/>
              <w:adjustRightInd w:val="0"/>
              <w:spacing w:after="0" w:line="240" w:lineRule="auto"/>
              <w:jc w:val="center"/>
              <w:rPr>
                <w:rFonts w:ascii="Calibri" w:eastAsia="Times New Roman" w:hAnsi="Calibri" w:cs="Calibri"/>
                <w:bCs/>
                <w:kern w:val="0"/>
                <w:lang w:val="es-ES_tradnl" w:eastAsia="es-CR"/>
                <w14:ligatures w14:val="none"/>
              </w:rPr>
            </w:pPr>
            <w:r w:rsidRPr="003C6AC7">
              <w:rPr>
                <w:rFonts w:ascii="Calibri" w:eastAsia="Times New Roman" w:hAnsi="Calibri" w:cs="Calibri"/>
                <w:bCs/>
                <w:kern w:val="0"/>
                <w:lang w:val="es-ES_tradnl" w:eastAsia="es-CR"/>
                <w14:ligatures w14:val="none"/>
              </w:rPr>
              <w:t>5%</w:t>
            </w:r>
          </w:p>
        </w:tc>
      </w:tr>
      <w:tr w:rsidR="003C6AC7" w:rsidRPr="003C6AC7" w14:paraId="5126670B" w14:textId="77777777" w:rsidTr="00104785">
        <w:trPr>
          <w:trHeight w:val="602"/>
        </w:trPr>
        <w:tc>
          <w:tcPr>
            <w:tcW w:w="7776" w:type="dxa"/>
          </w:tcPr>
          <w:p w14:paraId="448E60A0"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b/>
                <w:bCs/>
                <w:i/>
                <w:kern w:val="0"/>
                <w:lang w:val="es-ES_tradnl" w:eastAsia="es-CR"/>
                <w14:ligatures w14:val="none"/>
              </w:rPr>
            </w:pPr>
            <w:r w:rsidRPr="003C6AC7">
              <w:rPr>
                <w:rFonts w:ascii="Calibri" w:eastAsia="Times New Roman" w:hAnsi="Calibri" w:cs="Calibri"/>
                <w:b/>
                <w:bCs/>
                <w:i/>
                <w:kern w:val="0"/>
                <w:lang w:val="es-ES_tradnl" w:eastAsia="es-CR"/>
                <w14:ligatures w14:val="none"/>
              </w:rPr>
              <w:t>Análisis de textos bíblicos</w:t>
            </w:r>
          </w:p>
          <w:p w14:paraId="251DA37B"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_tradnl" w:eastAsia="es-CR"/>
                <w14:ligatures w14:val="none"/>
              </w:rPr>
            </w:pPr>
            <w:r w:rsidRPr="003C6AC7">
              <w:rPr>
                <w:rFonts w:ascii="Calibri" w:eastAsia="Times New Roman" w:hAnsi="Calibri" w:cs="Calibri"/>
                <w:iCs/>
                <w:kern w:val="0"/>
                <w:lang w:val="es-ES_tradnl" w:eastAsia="es-CR"/>
                <w14:ligatures w14:val="none"/>
              </w:rPr>
              <w:t>Se distribuyen de la siguiente forma y cada uno tiene un valor de 10%:</w:t>
            </w:r>
          </w:p>
          <w:p w14:paraId="7D1578DA"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_tradnl" w:eastAsia="es-CR"/>
                <w14:ligatures w14:val="none"/>
              </w:rPr>
            </w:pPr>
            <w:r w:rsidRPr="003C6AC7">
              <w:rPr>
                <w:rFonts w:ascii="Calibri" w:eastAsia="Times New Roman" w:hAnsi="Calibri" w:cs="Calibri"/>
                <w:iCs/>
                <w:kern w:val="0"/>
                <w:lang w:val="es-ES_tradnl" w:eastAsia="es-CR"/>
                <w14:ligatures w14:val="none"/>
              </w:rPr>
              <w:t>- Análisis del texto bíblico de Marcos 5.1-20 (sesión 7).</w:t>
            </w:r>
          </w:p>
          <w:p w14:paraId="3BCA34DD"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 w:eastAsia="es-CR"/>
                <w14:ligatures w14:val="none"/>
              </w:rPr>
            </w:pPr>
            <w:r w:rsidRPr="003C6AC7">
              <w:rPr>
                <w:rFonts w:ascii="Calibri" w:eastAsia="Times New Roman" w:hAnsi="Calibri" w:cs="Calibri"/>
                <w:iCs/>
                <w:kern w:val="0"/>
                <w:lang w:val="es-ES_tradnl" w:eastAsia="es-CR"/>
                <w14:ligatures w14:val="none"/>
              </w:rPr>
              <w:t>- Análisis del texto bíblico de Génesis 2-3 (sesión 10).</w:t>
            </w:r>
          </w:p>
        </w:tc>
        <w:tc>
          <w:tcPr>
            <w:tcW w:w="1291" w:type="dxa"/>
            <w:vAlign w:val="center"/>
          </w:tcPr>
          <w:p w14:paraId="575ACAE4" w14:textId="77777777" w:rsidR="003C6AC7" w:rsidRPr="003C6AC7" w:rsidRDefault="003C6AC7" w:rsidP="003C6AC7">
            <w:pPr>
              <w:widowControl w:val="0"/>
              <w:overflowPunct w:val="0"/>
              <w:autoSpaceDE w:val="0"/>
              <w:autoSpaceDN w:val="0"/>
              <w:adjustRightInd w:val="0"/>
              <w:spacing w:after="0" w:line="240" w:lineRule="auto"/>
              <w:jc w:val="center"/>
              <w:rPr>
                <w:rFonts w:ascii="Calibri" w:eastAsia="Times New Roman" w:hAnsi="Calibri" w:cs="Calibri"/>
                <w:bCs/>
                <w:kern w:val="0"/>
                <w:lang w:val="es-ES_tradnl" w:eastAsia="es-CR"/>
                <w14:ligatures w14:val="none"/>
              </w:rPr>
            </w:pPr>
            <w:r w:rsidRPr="003C6AC7">
              <w:rPr>
                <w:rFonts w:ascii="Calibri" w:eastAsia="Times New Roman" w:hAnsi="Calibri" w:cs="Calibri"/>
                <w:bCs/>
                <w:kern w:val="0"/>
                <w:lang w:val="es-ES_tradnl" w:eastAsia="es-CR"/>
                <w14:ligatures w14:val="none"/>
              </w:rPr>
              <w:t>20%</w:t>
            </w:r>
          </w:p>
        </w:tc>
      </w:tr>
      <w:tr w:rsidR="003C6AC7" w:rsidRPr="003C6AC7" w14:paraId="2801223A" w14:textId="77777777" w:rsidTr="00104785">
        <w:trPr>
          <w:trHeight w:val="602"/>
        </w:trPr>
        <w:tc>
          <w:tcPr>
            <w:tcW w:w="7776" w:type="dxa"/>
          </w:tcPr>
          <w:p w14:paraId="494BDF25"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b/>
                <w:bCs/>
                <w:i/>
                <w:kern w:val="0"/>
                <w:lang w:val="es-ES_tradnl" w:eastAsia="es-CR"/>
                <w14:ligatures w14:val="none"/>
              </w:rPr>
            </w:pPr>
            <w:r w:rsidRPr="003C6AC7">
              <w:rPr>
                <w:rFonts w:ascii="Calibri" w:eastAsia="Times New Roman" w:hAnsi="Calibri" w:cs="Calibri"/>
                <w:b/>
                <w:bCs/>
                <w:i/>
                <w:kern w:val="0"/>
                <w:lang w:val="es-ES_tradnl" w:eastAsia="es-CR"/>
                <w14:ligatures w14:val="none"/>
              </w:rPr>
              <w:t>Ensayo crítico</w:t>
            </w:r>
          </w:p>
          <w:p w14:paraId="7EBC7996"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_tradnl" w:eastAsia="es-CR"/>
                <w14:ligatures w14:val="none"/>
              </w:rPr>
            </w:pPr>
            <w:r w:rsidRPr="003C6AC7">
              <w:rPr>
                <w:rFonts w:ascii="Calibri" w:eastAsia="Times New Roman" w:hAnsi="Calibri" w:cs="Calibri"/>
                <w:iCs/>
                <w:kern w:val="0"/>
                <w:lang w:val="es-ES_tradnl" w:eastAsia="es-CR"/>
                <w14:ligatures w14:val="none"/>
              </w:rPr>
              <w:t>Se elabora en la sesión 9.</w:t>
            </w:r>
          </w:p>
        </w:tc>
        <w:tc>
          <w:tcPr>
            <w:tcW w:w="1291" w:type="dxa"/>
            <w:vAlign w:val="center"/>
          </w:tcPr>
          <w:p w14:paraId="1F9165F5" w14:textId="77777777" w:rsidR="003C6AC7" w:rsidRPr="003C6AC7" w:rsidRDefault="003C6AC7" w:rsidP="003C6AC7">
            <w:pPr>
              <w:widowControl w:val="0"/>
              <w:overflowPunct w:val="0"/>
              <w:autoSpaceDE w:val="0"/>
              <w:autoSpaceDN w:val="0"/>
              <w:adjustRightInd w:val="0"/>
              <w:spacing w:after="0" w:line="240" w:lineRule="auto"/>
              <w:jc w:val="center"/>
              <w:rPr>
                <w:rFonts w:ascii="Calibri" w:eastAsia="Times New Roman" w:hAnsi="Calibri" w:cs="Calibri"/>
                <w:bCs/>
                <w:kern w:val="0"/>
                <w:lang w:val="es-ES_tradnl" w:eastAsia="es-CR"/>
                <w14:ligatures w14:val="none"/>
              </w:rPr>
            </w:pPr>
            <w:r w:rsidRPr="003C6AC7">
              <w:rPr>
                <w:rFonts w:ascii="Calibri" w:eastAsia="Times New Roman" w:hAnsi="Calibri" w:cs="Calibri"/>
                <w:bCs/>
                <w:kern w:val="0"/>
                <w:lang w:val="es-ES_tradnl" w:eastAsia="es-CR"/>
                <w14:ligatures w14:val="none"/>
              </w:rPr>
              <w:t>10%</w:t>
            </w:r>
          </w:p>
        </w:tc>
      </w:tr>
      <w:tr w:rsidR="003C6AC7" w:rsidRPr="003C6AC7" w14:paraId="44B5F253" w14:textId="77777777" w:rsidTr="00104785">
        <w:trPr>
          <w:trHeight w:val="602"/>
        </w:trPr>
        <w:tc>
          <w:tcPr>
            <w:tcW w:w="7776" w:type="dxa"/>
          </w:tcPr>
          <w:p w14:paraId="4E8AC3B7"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b/>
                <w:bCs/>
                <w:i/>
                <w:kern w:val="0"/>
                <w:lang w:val="es-ES_tradnl" w:eastAsia="es-CR"/>
                <w14:ligatures w14:val="none"/>
              </w:rPr>
            </w:pPr>
            <w:r w:rsidRPr="003C6AC7">
              <w:rPr>
                <w:rFonts w:ascii="Calibri" w:eastAsia="Times New Roman" w:hAnsi="Calibri" w:cs="Calibri"/>
                <w:b/>
                <w:bCs/>
                <w:i/>
                <w:kern w:val="0"/>
                <w:lang w:val="es-ES_tradnl" w:eastAsia="es-CR"/>
                <w14:ligatures w14:val="none"/>
              </w:rPr>
              <w:t>Mapas conceptuales</w:t>
            </w:r>
          </w:p>
          <w:p w14:paraId="3C83299C"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_tradnl" w:eastAsia="es-CR"/>
                <w14:ligatures w14:val="none"/>
              </w:rPr>
            </w:pPr>
            <w:r w:rsidRPr="003C6AC7">
              <w:rPr>
                <w:rFonts w:ascii="Calibri" w:eastAsia="Times New Roman" w:hAnsi="Calibri" w:cs="Calibri"/>
                <w:iCs/>
                <w:kern w:val="0"/>
                <w:lang w:val="es-ES_tradnl" w:eastAsia="es-CR"/>
                <w14:ligatures w14:val="none"/>
              </w:rPr>
              <w:t>Se elaboran en las sesiones 1 y 8. Cada mapa tiene un valor de 5%.</w:t>
            </w:r>
          </w:p>
        </w:tc>
        <w:tc>
          <w:tcPr>
            <w:tcW w:w="1291" w:type="dxa"/>
            <w:vAlign w:val="center"/>
          </w:tcPr>
          <w:p w14:paraId="0EE00F41" w14:textId="77777777" w:rsidR="003C6AC7" w:rsidRPr="003C6AC7" w:rsidRDefault="003C6AC7" w:rsidP="003C6AC7">
            <w:pPr>
              <w:widowControl w:val="0"/>
              <w:overflowPunct w:val="0"/>
              <w:autoSpaceDE w:val="0"/>
              <w:autoSpaceDN w:val="0"/>
              <w:adjustRightInd w:val="0"/>
              <w:spacing w:after="0" w:line="240" w:lineRule="auto"/>
              <w:jc w:val="center"/>
              <w:rPr>
                <w:rFonts w:ascii="Calibri" w:eastAsia="Times New Roman" w:hAnsi="Calibri" w:cs="Calibri"/>
                <w:bCs/>
                <w:kern w:val="0"/>
                <w:lang w:val="es-ES_tradnl" w:eastAsia="es-CR"/>
                <w14:ligatures w14:val="none"/>
              </w:rPr>
            </w:pPr>
            <w:r w:rsidRPr="003C6AC7">
              <w:rPr>
                <w:rFonts w:ascii="Calibri" w:eastAsia="Times New Roman" w:hAnsi="Calibri" w:cs="Calibri"/>
                <w:bCs/>
                <w:kern w:val="0"/>
                <w:lang w:val="es-ES_tradnl" w:eastAsia="es-CR"/>
                <w14:ligatures w14:val="none"/>
              </w:rPr>
              <w:t>10%</w:t>
            </w:r>
          </w:p>
        </w:tc>
      </w:tr>
      <w:tr w:rsidR="003C6AC7" w:rsidRPr="003C6AC7" w14:paraId="0E6153AF" w14:textId="77777777" w:rsidTr="00104785">
        <w:trPr>
          <w:trHeight w:val="602"/>
        </w:trPr>
        <w:tc>
          <w:tcPr>
            <w:tcW w:w="7776" w:type="dxa"/>
          </w:tcPr>
          <w:p w14:paraId="131E3F75"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b/>
                <w:bCs/>
                <w:i/>
                <w:kern w:val="0"/>
                <w:lang w:val="es-ES_tradnl" w:eastAsia="es-CR"/>
                <w14:ligatures w14:val="none"/>
              </w:rPr>
            </w:pPr>
            <w:r w:rsidRPr="003C6AC7">
              <w:rPr>
                <w:rFonts w:ascii="Calibri" w:eastAsia="Times New Roman" w:hAnsi="Calibri" w:cs="Calibri"/>
                <w:b/>
                <w:bCs/>
                <w:i/>
                <w:kern w:val="0"/>
                <w:lang w:val="es-ES_tradnl" w:eastAsia="es-CR"/>
                <w14:ligatures w14:val="none"/>
              </w:rPr>
              <w:t>Ensayo final</w:t>
            </w:r>
          </w:p>
          <w:p w14:paraId="0A753529"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_tradnl" w:eastAsia="es-CR"/>
                <w14:ligatures w14:val="none"/>
              </w:rPr>
            </w:pPr>
            <w:r w:rsidRPr="003C6AC7">
              <w:rPr>
                <w:rFonts w:ascii="Calibri" w:eastAsia="Times New Roman" w:hAnsi="Calibri" w:cs="Calibri"/>
                <w:iCs/>
                <w:kern w:val="0"/>
                <w:lang w:val="es-ES_tradnl" w:eastAsia="es-CR"/>
                <w14:ligatures w14:val="none"/>
              </w:rPr>
              <w:t>Se elabora desde la sesión 6 hasta la 15 de la siguiente forma:</w:t>
            </w:r>
          </w:p>
          <w:p w14:paraId="4D852E93"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_tradnl" w:eastAsia="es-CR"/>
                <w14:ligatures w14:val="none"/>
              </w:rPr>
            </w:pPr>
            <w:r w:rsidRPr="003C6AC7">
              <w:rPr>
                <w:rFonts w:ascii="Calibri" w:eastAsia="Times New Roman" w:hAnsi="Calibri" w:cs="Calibri"/>
                <w:iCs/>
                <w:kern w:val="0"/>
                <w:lang w:val="es-ES_tradnl" w:eastAsia="es-CR"/>
                <w14:ligatures w14:val="none"/>
              </w:rPr>
              <w:t>- Inicio de la elaboración (sesión 6).</w:t>
            </w:r>
          </w:p>
          <w:p w14:paraId="09589E97"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_tradnl" w:eastAsia="es-CR"/>
                <w14:ligatures w14:val="none"/>
              </w:rPr>
            </w:pPr>
            <w:r w:rsidRPr="003C6AC7">
              <w:rPr>
                <w:rFonts w:ascii="Calibri" w:eastAsia="Times New Roman" w:hAnsi="Calibri" w:cs="Calibri"/>
                <w:iCs/>
                <w:kern w:val="0"/>
                <w:lang w:val="es-ES_tradnl" w:eastAsia="es-CR"/>
                <w14:ligatures w14:val="none"/>
              </w:rPr>
              <w:t>- Avance del ensayo (sesión 11).</w:t>
            </w:r>
          </w:p>
          <w:p w14:paraId="27C8AA86" w14:textId="77777777" w:rsidR="003C6AC7" w:rsidRPr="003C6AC7" w:rsidRDefault="003C6AC7" w:rsidP="003C6AC7">
            <w:pPr>
              <w:widowControl w:val="0"/>
              <w:overflowPunct w:val="0"/>
              <w:autoSpaceDE w:val="0"/>
              <w:autoSpaceDN w:val="0"/>
              <w:adjustRightInd w:val="0"/>
              <w:spacing w:after="0" w:line="240" w:lineRule="auto"/>
              <w:contextualSpacing/>
              <w:jc w:val="both"/>
              <w:rPr>
                <w:rFonts w:ascii="Calibri" w:eastAsia="Times New Roman" w:hAnsi="Calibri" w:cs="Calibri"/>
                <w:iCs/>
                <w:kern w:val="0"/>
                <w:lang w:val="es-ES_tradnl" w:eastAsia="es-CR"/>
                <w14:ligatures w14:val="none"/>
              </w:rPr>
            </w:pPr>
            <w:r w:rsidRPr="003C6AC7">
              <w:rPr>
                <w:rFonts w:ascii="Calibri" w:eastAsia="Times New Roman" w:hAnsi="Calibri" w:cs="Calibri"/>
                <w:iCs/>
                <w:kern w:val="0"/>
                <w:lang w:val="es-ES_tradnl" w:eastAsia="es-CR"/>
                <w14:ligatures w14:val="none"/>
              </w:rPr>
              <w:t xml:space="preserve">- Entrega ensayo final (sesión 15). </w:t>
            </w:r>
          </w:p>
        </w:tc>
        <w:tc>
          <w:tcPr>
            <w:tcW w:w="1291" w:type="dxa"/>
            <w:vAlign w:val="center"/>
          </w:tcPr>
          <w:p w14:paraId="58429BD6" w14:textId="77777777" w:rsidR="003C6AC7" w:rsidRPr="003C6AC7" w:rsidRDefault="003C6AC7" w:rsidP="003C6AC7">
            <w:pPr>
              <w:widowControl w:val="0"/>
              <w:overflowPunct w:val="0"/>
              <w:autoSpaceDE w:val="0"/>
              <w:autoSpaceDN w:val="0"/>
              <w:adjustRightInd w:val="0"/>
              <w:spacing w:after="0" w:line="240" w:lineRule="auto"/>
              <w:jc w:val="center"/>
              <w:rPr>
                <w:rFonts w:ascii="Calibri" w:eastAsia="Times New Roman" w:hAnsi="Calibri" w:cs="Calibri"/>
                <w:bCs/>
                <w:kern w:val="0"/>
                <w:lang w:val="es-ES_tradnl" w:eastAsia="es-CR"/>
                <w14:ligatures w14:val="none"/>
              </w:rPr>
            </w:pPr>
            <w:r w:rsidRPr="003C6AC7">
              <w:rPr>
                <w:rFonts w:ascii="Calibri" w:eastAsia="Times New Roman" w:hAnsi="Calibri" w:cs="Calibri"/>
                <w:bCs/>
                <w:kern w:val="0"/>
                <w:lang w:val="es-ES_tradnl" w:eastAsia="es-CR"/>
                <w14:ligatures w14:val="none"/>
              </w:rPr>
              <w:t>25%</w:t>
            </w:r>
          </w:p>
        </w:tc>
      </w:tr>
      <w:tr w:rsidR="003C6AC7" w:rsidRPr="003C6AC7" w14:paraId="2983BC70" w14:textId="77777777" w:rsidTr="00104785">
        <w:trPr>
          <w:trHeight w:val="317"/>
        </w:trPr>
        <w:tc>
          <w:tcPr>
            <w:tcW w:w="7776" w:type="dxa"/>
            <w:vAlign w:val="center"/>
          </w:tcPr>
          <w:p w14:paraId="46D42C7A" w14:textId="77777777" w:rsidR="003C6AC7" w:rsidRPr="003C6AC7" w:rsidRDefault="003C6AC7" w:rsidP="003C6AC7">
            <w:pPr>
              <w:widowControl w:val="0"/>
              <w:overflowPunct w:val="0"/>
              <w:autoSpaceDE w:val="0"/>
              <w:autoSpaceDN w:val="0"/>
              <w:adjustRightInd w:val="0"/>
              <w:spacing w:before="120" w:after="0" w:line="240" w:lineRule="auto"/>
              <w:contextualSpacing/>
              <w:rPr>
                <w:rFonts w:ascii="Calibri" w:eastAsia="Times New Roman" w:hAnsi="Calibri" w:cs="Calibri"/>
                <w:b/>
                <w:bCs/>
                <w:iCs/>
                <w:kern w:val="0"/>
                <w:lang w:val="es-ES_tradnl" w:eastAsia="es-CR"/>
                <w14:ligatures w14:val="none"/>
              </w:rPr>
            </w:pPr>
            <w:r w:rsidRPr="003C6AC7">
              <w:rPr>
                <w:rFonts w:ascii="Calibri" w:eastAsia="Times New Roman" w:hAnsi="Calibri" w:cs="Calibri"/>
                <w:b/>
                <w:bCs/>
                <w:iCs/>
                <w:kern w:val="0"/>
                <w:lang w:val="es-ES_tradnl" w:eastAsia="es-CR"/>
                <w14:ligatures w14:val="none"/>
              </w:rPr>
              <w:t>Total</w:t>
            </w:r>
          </w:p>
        </w:tc>
        <w:tc>
          <w:tcPr>
            <w:tcW w:w="1291" w:type="dxa"/>
            <w:vAlign w:val="center"/>
          </w:tcPr>
          <w:p w14:paraId="54BB1E3C" w14:textId="77777777" w:rsidR="003C6AC7" w:rsidRPr="003C6AC7" w:rsidRDefault="003C6AC7" w:rsidP="003C6AC7">
            <w:pPr>
              <w:widowControl w:val="0"/>
              <w:overflowPunct w:val="0"/>
              <w:autoSpaceDE w:val="0"/>
              <w:autoSpaceDN w:val="0"/>
              <w:adjustRightInd w:val="0"/>
              <w:spacing w:before="120" w:after="0" w:line="240" w:lineRule="auto"/>
              <w:jc w:val="center"/>
              <w:rPr>
                <w:rFonts w:ascii="Calibri" w:eastAsia="Times New Roman" w:hAnsi="Calibri" w:cs="Calibri"/>
                <w:b/>
                <w:kern w:val="0"/>
                <w:lang w:val="es-ES_tradnl" w:eastAsia="es-CR"/>
                <w14:ligatures w14:val="none"/>
              </w:rPr>
            </w:pPr>
            <w:r w:rsidRPr="003C6AC7">
              <w:rPr>
                <w:rFonts w:ascii="Calibri" w:eastAsia="Times New Roman" w:hAnsi="Calibri" w:cs="Calibri"/>
                <w:b/>
                <w:kern w:val="0"/>
                <w:lang w:val="es-ES_tradnl" w:eastAsia="es-CR"/>
                <w14:ligatures w14:val="none"/>
              </w:rPr>
              <w:t>100%</w:t>
            </w:r>
          </w:p>
        </w:tc>
      </w:tr>
    </w:tbl>
    <w:p w14:paraId="3DE0E9F5" w14:textId="77777777" w:rsidR="003C6AC7" w:rsidRPr="003C6AC7" w:rsidRDefault="003C6AC7" w:rsidP="003C6AC7">
      <w:pPr>
        <w:autoSpaceDE w:val="0"/>
        <w:autoSpaceDN w:val="0"/>
        <w:adjustRightInd w:val="0"/>
        <w:spacing w:after="0" w:line="240" w:lineRule="auto"/>
        <w:jc w:val="both"/>
        <w:rPr>
          <w:rFonts w:ascii="Calibri" w:eastAsia="Calibri" w:hAnsi="Calibri" w:cs="Arial"/>
          <w:bCs/>
          <w:kern w:val="0"/>
          <w14:ligatures w14:val="none"/>
        </w:rPr>
      </w:pPr>
    </w:p>
    <w:p w14:paraId="4CFC0A67" w14:textId="77777777" w:rsidR="003C6AC7" w:rsidRPr="003C6AC7" w:rsidRDefault="003C6AC7" w:rsidP="003C6AC7">
      <w:pPr>
        <w:overflowPunct w:val="0"/>
        <w:autoSpaceDE w:val="0"/>
        <w:autoSpaceDN w:val="0"/>
        <w:adjustRightInd w:val="0"/>
        <w:jc w:val="both"/>
        <w:rPr>
          <w:rFonts w:ascii="Arial" w:eastAsia="Calibri" w:hAnsi="Arial" w:cs="Arial"/>
          <w:b/>
          <w:bCs/>
          <w:kern w:val="0"/>
          <w:sz w:val="24"/>
          <w:szCs w:val="20"/>
          <w:lang w:val="es-ES_tradnl" w:eastAsia="es-CR"/>
          <w14:ligatures w14:val="none"/>
        </w:rPr>
      </w:pPr>
    </w:p>
    <w:p w14:paraId="7C27FAB0" w14:textId="77777777" w:rsidR="003C6AC7" w:rsidRPr="003C6AC7" w:rsidRDefault="003C6AC7" w:rsidP="003C6AC7">
      <w:pPr>
        <w:overflowPunct w:val="0"/>
        <w:autoSpaceDE w:val="0"/>
        <w:autoSpaceDN w:val="0"/>
        <w:adjustRightInd w:val="0"/>
        <w:jc w:val="both"/>
        <w:rPr>
          <w:rFonts w:ascii="Arial" w:eastAsia="Calibri" w:hAnsi="Arial" w:cs="Arial"/>
          <w:b/>
          <w:bCs/>
          <w:kern w:val="0"/>
          <w:sz w:val="24"/>
          <w:szCs w:val="20"/>
          <w:lang w:val="es-ES_tradnl" w:eastAsia="es-CR"/>
          <w14:ligatures w14:val="none"/>
        </w:rPr>
      </w:pPr>
    </w:p>
    <w:p w14:paraId="24C93A02" w14:textId="77777777" w:rsidR="003C6AC7" w:rsidRPr="003C6AC7" w:rsidRDefault="003C6AC7" w:rsidP="003C6AC7">
      <w:pPr>
        <w:overflowPunct w:val="0"/>
        <w:autoSpaceDE w:val="0"/>
        <w:autoSpaceDN w:val="0"/>
        <w:adjustRightInd w:val="0"/>
        <w:jc w:val="both"/>
        <w:rPr>
          <w:rFonts w:ascii="Calibri" w:eastAsia="Calibri" w:hAnsi="Calibri" w:cs="Calibri"/>
          <w:b/>
          <w:bCs/>
          <w:kern w:val="0"/>
          <w:szCs w:val="18"/>
          <w:lang w:val="es-ES_tradnl" w:eastAsia="es-CR"/>
          <w14:ligatures w14:val="none"/>
        </w:rPr>
        <w:sectPr w:rsidR="003C6AC7" w:rsidRPr="003C6AC7" w:rsidSect="003C6AC7">
          <w:pgSz w:w="12240" w:h="15840"/>
          <w:pgMar w:top="1440" w:right="1440" w:bottom="1440" w:left="1440" w:header="720" w:footer="720" w:gutter="0"/>
          <w:cols w:space="720"/>
          <w:docGrid w:linePitch="360"/>
        </w:sectPr>
      </w:pPr>
    </w:p>
    <w:p w14:paraId="56C3332B"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788736" behindDoc="0" locked="0" layoutInCell="1" allowOverlap="1" wp14:anchorId="1B03AD94" wp14:editId="7726BAEA">
                <wp:simplePos x="0" y="0"/>
                <wp:positionH relativeFrom="margin">
                  <wp:align>center</wp:align>
                </wp:positionH>
                <wp:positionV relativeFrom="paragraph">
                  <wp:posOffset>-635</wp:posOffset>
                </wp:positionV>
                <wp:extent cx="7879080" cy="395288"/>
                <wp:effectExtent l="0" t="0" r="26670" b="24130"/>
                <wp:wrapNone/>
                <wp:docPr id="1497176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95288"/>
                        </a:xfrm>
                        <a:prstGeom prst="rect">
                          <a:avLst/>
                        </a:prstGeom>
                        <a:solidFill>
                          <a:srgbClr val="FFFFFF"/>
                        </a:solidFill>
                        <a:ln w="9525">
                          <a:solidFill>
                            <a:srgbClr val="000000"/>
                          </a:solidFill>
                          <a:miter lim="800000"/>
                          <a:headEnd/>
                          <a:tailEnd/>
                        </a:ln>
                      </wps:spPr>
                      <wps:txbx>
                        <w:txbxContent>
                          <w:p w14:paraId="10247779" w14:textId="77777777" w:rsidR="003C6AC7" w:rsidRPr="003C6AC7" w:rsidRDefault="003C6AC7" w:rsidP="003C6AC7">
                            <w:pPr>
                              <w:jc w:val="center"/>
                              <w:rPr>
                                <w:rFonts w:cs="Calibri"/>
                                <w:b/>
                                <w:szCs w:val="24"/>
                              </w:rPr>
                            </w:pPr>
                            <w:r w:rsidRPr="003C6AC7">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3AD94" id="_x0000_s1184" type="#_x0000_t202" style="position:absolute;left:0;text-align:left;margin-left:0;margin-top:-.05pt;width:620.4pt;height:31.15pt;z-index:2527887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">
                <v:textbox>
                  <w:txbxContent>
                    <w:p w14:paraId="10247779" w14:textId="77777777" w:rsidR="003C6AC7" w:rsidRPr="003C6AC7" w:rsidRDefault="003C6AC7" w:rsidP="003C6AC7">
                      <w:pPr>
                        <w:jc w:val="center"/>
                        <w:rPr>
                          <w:rFonts w:cs="Calibri"/>
                          <w:b/>
                          <w:szCs w:val="24"/>
                        </w:rPr>
                      </w:pPr>
                      <w:r w:rsidRPr="003C6AC7">
                        <w:rPr>
                          <w:rFonts w:cs="Calibri"/>
                          <w:b/>
                          <w:szCs w:val="24"/>
                        </w:rPr>
                        <w:t>RÚBRICA DE EVALUACIÓN – FORO TEMÁTICO</w:t>
                      </w:r>
                    </w:p>
                  </w:txbxContent>
                </v:textbox>
                <w10:wrap anchorx="margin"/>
              </v:shape>
            </w:pict>
          </mc:Fallback>
        </mc:AlternateContent>
      </w:r>
    </w:p>
    <w:p w14:paraId="198EEDA9"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1B403B99" w14:textId="77777777" w:rsidR="003C6AC7" w:rsidRPr="003C6AC7" w:rsidRDefault="003C6AC7" w:rsidP="003C6AC7">
      <w:pPr>
        <w:overflowPunct w:val="0"/>
        <w:autoSpaceDE w:val="0"/>
        <w:autoSpaceDN w:val="0"/>
        <w:adjustRightInd w:val="0"/>
        <w:jc w:val="center"/>
        <w:rPr>
          <w:rFonts w:ascii="Calibri" w:eastAsia="Calibri" w:hAnsi="Calibri" w:cs="Calibri"/>
          <w:color w:val="0070C0"/>
          <w:kern w:val="0"/>
          <w:szCs w:val="18"/>
          <w:lang w:val="es-ES_tradnl" w:eastAsia="es-CR"/>
          <w14:ligatures w14:val="none"/>
        </w:rPr>
      </w:pPr>
      <w:r w:rsidRPr="003C6AC7">
        <w:rPr>
          <w:rFonts w:ascii="Calibri" w:eastAsia="Calibri" w:hAnsi="Calibri" w:cs="Calibri"/>
          <w:color w:val="0070C0"/>
          <w:kern w:val="0"/>
          <w:szCs w:val="18"/>
          <w:lang w:val="es-ES_tradnl" w:eastAsia="es-CR"/>
          <w14:ligatures w14:val="none"/>
        </w:rPr>
        <w:t>La estrategia del foro permitirá que las personas estudiantes y la persona docente interactúen en este y discutan las temáticas del curso. Se desarrollan en las sesiones 2, 5, 12 y 14. Cada foro tiene un valor de 3,75%.</w:t>
      </w:r>
    </w:p>
    <w:p w14:paraId="0A3B0FD6" w14:textId="77777777" w:rsidR="003C6AC7" w:rsidRPr="003C6AC7" w:rsidRDefault="003C6AC7" w:rsidP="003C6AC7">
      <w:pPr>
        <w:overflowPunct w:val="0"/>
        <w:autoSpaceDE w:val="0"/>
        <w:autoSpaceDN w:val="0"/>
        <w:adjustRightInd w:val="0"/>
        <w:jc w:val="center"/>
        <w:rPr>
          <w:rFonts w:ascii="Calibri" w:eastAsia="Calibri" w:hAnsi="Calibri" w:cs="Calibri"/>
          <w:kern w:val="0"/>
          <w:szCs w:val="18"/>
          <w:lang w:val="es-ES_tradnl" w:eastAsia="es-CR"/>
          <w14:ligatures w14:val="none"/>
        </w:rPr>
      </w:pPr>
      <w:r w:rsidRPr="003C6AC7">
        <w:rPr>
          <w:rFonts w:ascii="Calibri" w:eastAsia="Calibri" w:hAnsi="Calibri" w:cs="Calibri"/>
          <w:noProof/>
          <w:kern w:val="0"/>
          <w:szCs w:val="18"/>
          <w:lang w:val="es-ES_tradnl" w:eastAsia="es-CR"/>
          <w14:ligatures w14:val="none"/>
        </w:rPr>
        <w:drawing>
          <wp:anchor distT="0" distB="0" distL="114300" distR="114300" simplePos="0" relativeHeight="252789760" behindDoc="0" locked="0" layoutInCell="1" allowOverlap="1" wp14:anchorId="23DD8D09" wp14:editId="057846A6">
            <wp:simplePos x="0" y="0"/>
            <wp:positionH relativeFrom="margin">
              <wp:align>center</wp:align>
            </wp:positionH>
            <wp:positionV relativeFrom="paragraph">
              <wp:posOffset>6350</wp:posOffset>
            </wp:positionV>
            <wp:extent cx="8305137" cy="6033913"/>
            <wp:effectExtent l="0" t="0" r="1270" b="5080"/>
            <wp:wrapNone/>
            <wp:docPr id="179426279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262794" name="Imagen 1" descr="Tabla&#10;&#10;Descripción generada automáticamente"/>
                    <pic:cNvPicPr/>
                  </pic:nvPicPr>
                  <pic:blipFill>
                    <a:blip r:embed="rId365">
                      <a:extLst>
                        <a:ext uri="{28A0092B-C50C-407E-A947-70E740481C1C}">
                          <a14:useLocalDpi xmlns:a14="http://schemas.microsoft.com/office/drawing/2010/main" val="0"/>
                        </a:ext>
                      </a:extLst>
                    </a:blip>
                    <a:stretch>
                      <a:fillRect/>
                    </a:stretch>
                  </pic:blipFill>
                  <pic:spPr>
                    <a:xfrm>
                      <a:off x="0" y="0"/>
                      <a:ext cx="8305137" cy="6033913"/>
                    </a:xfrm>
                    <a:prstGeom prst="rect">
                      <a:avLst/>
                    </a:prstGeom>
                  </pic:spPr>
                </pic:pic>
              </a:graphicData>
            </a:graphic>
            <wp14:sizeRelH relativeFrom="margin">
              <wp14:pctWidth>0</wp14:pctWidth>
            </wp14:sizeRelH>
            <wp14:sizeRelV relativeFrom="margin">
              <wp14:pctHeight>0</wp14:pctHeight>
            </wp14:sizeRelV>
          </wp:anchor>
        </w:drawing>
      </w:r>
    </w:p>
    <w:p w14:paraId="16DB4183"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746CFDFA"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Calibri" w:eastAsia="Calibri" w:hAnsi="Calibri" w:cs="Calibri"/>
          <w:b/>
          <w:bCs/>
          <w:kern w:val="0"/>
          <w:szCs w:val="18"/>
          <w:lang w:val="es-ES_tradnl" w:eastAsia="es-CR"/>
          <w14:ligatures w14:val="none"/>
        </w:rPr>
        <w:br w:type="page"/>
      </w:r>
    </w:p>
    <w:p w14:paraId="1458534A"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90784" behindDoc="0" locked="0" layoutInCell="1" allowOverlap="1" wp14:anchorId="723B0081" wp14:editId="5C8F4986">
                <wp:simplePos x="0" y="0"/>
                <wp:positionH relativeFrom="margin">
                  <wp:align>center</wp:align>
                </wp:positionH>
                <wp:positionV relativeFrom="paragraph">
                  <wp:posOffset>-124460</wp:posOffset>
                </wp:positionV>
                <wp:extent cx="6606540" cy="411480"/>
                <wp:effectExtent l="0" t="0" r="22860" b="26670"/>
                <wp:wrapNone/>
                <wp:docPr id="882008113" name="Cuadro de texto 882008113"/>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2081F1E" w14:textId="77777777" w:rsidR="003C6AC7" w:rsidRPr="003C6AC7" w:rsidRDefault="003C6AC7" w:rsidP="003C6AC7">
                            <w:pPr>
                              <w:jc w:val="center"/>
                              <w:rPr>
                                <w:rFonts w:cs="Calibri"/>
                              </w:rPr>
                            </w:pPr>
                            <w:r w:rsidRPr="003C6AC7">
                              <w:rPr>
                                <w:rFonts w:cs="Calibri"/>
                                <w:b/>
                              </w:rPr>
                              <w:t>RÚBRICA DE EVALUACIÓN – RESEÑA CRÍTICA DE LECTURA</w:t>
                            </w:r>
                          </w:p>
                          <w:p w14:paraId="6C9EAAA5" w14:textId="77777777" w:rsidR="003C6AC7" w:rsidRPr="003C6AC7" w:rsidRDefault="003C6AC7" w:rsidP="003C6AC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3B0081" id="Cuadro de texto 882008113" o:spid="_x0000_s1185" type="#_x0000_t202" style="position:absolute;left:0;text-align:left;margin-left:0;margin-top:-9.8pt;width:520.2pt;height:32.4pt;z-index:2527907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" fillcolor="window" strokeweight=".5pt">
                <v:textbox>
                  <w:txbxContent>
                    <w:p w14:paraId="62081F1E" w14:textId="77777777" w:rsidR="003C6AC7" w:rsidRPr="003C6AC7" w:rsidRDefault="003C6AC7" w:rsidP="003C6AC7">
                      <w:pPr>
                        <w:jc w:val="center"/>
                        <w:rPr>
                          <w:rFonts w:cs="Calibri"/>
                        </w:rPr>
                      </w:pPr>
                      <w:r w:rsidRPr="003C6AC7">
                        <w:rPr>
                          <w:rFonts w:cs="Calibri"/>
                          <w:b/>
                        </w:rPr>
                        <w:t>RÚBRICA DE EVALUACIÓN – RESEÑA CRÍTICA DE LECTURA</w:t>
                      </w:r>
                    </w:p>
                    <w:p w14:paraId="6C9EAAA5" w14:textId="77777777" w:rsidR="003C6AC7" w:rsidRPr="003C6AC7" w:rsidRDefault="003C6AC7" w:rsidP="003C6AC7">
                      <w:pPr>
                        <w:jc w:val="center"/>
                        <w:rPr>
                          <w:rFonts w:cs="Calibri"/>
                        </w:rPr>
                      </w:pPr>
                    </w:p>
                  </w:txbxContent>
                </v:textbox>
                <w10:wrap anchorx="margin"/>
              </v:shape>
            </w:pict>
          </mc:Fallback>
        </mc:AlternateContent>
      </w:r>
    </w:p>
    <w:p w14:paraId="1B7FEDEA"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15D6EE0C" w14:textId="77777777" w:rsidR="003C6AC7" w:rsidRPr="003C6AC7" w:rsidRDefault="003C6AC7" w:rsidP="003C6AC7">
      <w:pPr>
        <w:overflowPunct w:val="0"/>
        <w:autoSpaceDE w:val="0"/>
        <w:autoSpaceDN w:val="0"/>
        <w:adjustRightInd w:val="0"/>
        <w:jc w:val="center"/>
        <w:rPr>
          <w:rFonts w:ascii="Calibri" w:eastAsia="Calibri" w:hAnsi="Calibri" w:cs="Calibri"/>
          <w:color w:val="0070C0"/>
          <w:kern w:val="0"/>
          <w:szCs w:val="18"/>
          <w:lang w:val="es-ES_tradnl" w:eastAsia="es-CR"/>
          <w14:ligatures w14:val="none"/>
        </w:rPr>
      </w:pPr>
      <w:r w:rsidRPr="003C6AC7">
        <w:rPr>
          <w:rFonts w:ascii="Calibri" w:eastAsia="Calibri" w:hAnsi="Calibri" w:cs="Calibri"/>
          <w:color w:val="0070C0"/>
          <w:kern w:val="0"/>
          <w:szCs w:val="18"/>
          <w:lang w:val="es-ES_tradnl" w:eastAsia="es-CR"/>
          <w14:ligatures w14:val="none"/>
        </w:rPr>
        <w:t>La reseña crítica es un texto argumentativo y expositivo que nace del análisis de las ideas contenidas en la lectura a reseñar. Esta estrategia pedagógica se desarrolla por parte de las personas estudiantes en tres sesiones específicas, las cuales son la 3, la 6 y la 13. Cada reseña tiene un valor de 5%.</w:t>
      </w:r>
    </w:p>
    <w:p w14:paraId="7176F323" w14:textId="77777777" w:rsidR="003C6AC7" w:rsidRPr="003C6AC7" w:rsidRDefault="003C6AC7" w:rsidP="003C6AC7">
      <w:pPr>
        <w:overflowPunct w:val="0"/>
        <w:autoSpaceDE w:val="0"/>
        <w:autoSpaceDN w:val="0"/>
        <w:adjustRightInd w:val="0"/>
        <w:jc w:val="center"/>
        <w:rPr>
          <w:rFonts w:ascii="Calibri" w:eastAsia="Calibri" w:hAnsi="Calibri" w:cs="Calibri"/>
          <w:kern w:val="0"/>
          <w:szCs w:val="18"/>
          <w:lang w:val="es-ES_tradnl" w:eastAsia="es-CR"/>
          <w14:ligatures w14:val="none"/>
        </w:rPr>
      </w:pPr>
    </w:p>
    <w:p w14:paraId="7B5A6911"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Calibri" w:eastAsia="Calibri" w:hAnsi="Calibri" w:cs="Calibri"/>
          <w:noProof/>
          <w:kern w:val="0"/>
          <w:szCs w:val="18"/>
          <w:lang w:val="es-ES_tradnl" w:eastAsia="es-CR"/>
          <w14:ligatures w14:val="none"/>
        </w:rPr>
        <w:drawing>
          <wp:anchor distT="0" distB="0" distL="114300" distR="114300" simplePos="0" relativeHeight="252791808" behindDoc="0" locked="0" layoutInCell="1" allowOverlap="1" wp14:anchorId="000492D8" wp14:editId="4A8210EE">
            <wp:simplePos x="0" y="0"/>
            <wp:positionH relativeFrom="margin">
              <wp:align>right</wp:align>
            </wp:positionH>
            <wp:positionV relativeFrom="paragraph">
              <wp:posOffset>139700</wp:posOffset>
            </wp:positionV>
            <wp:extent cx="9144000" cy="4925695"/>
            <wp:effectExtent l="0" t="0" r="0" b="8255"/>
            <wp:wrapNone/>
            <wp:docPr id="161438402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84027" name="Imagen 2" descr="Tabla&#10;&#10;Descripción generada automáticamente"/>
                    <pic:cNvPicPr/>
                  </pic:nvPicPr>
                  <pic:blipFill>
                    <a:blip r:embed="rId366">
                      <a:extLst>
                        <a:ext uri="{28A0092B-C50C-407E-A947-70E740481C1C}">
                          <a14:useLocalDpi xmlns:a14="http://schemas.microsoft.com/office/drawing/2010/main" val="0"/>
                        </a:ext>
                      </a:extLst>
                    </a:blip>
                    <a:stretch>
                      <a:fillRect/>
                    </a:stretch>
                  </pic:blipFill>
                  <pic:spPr>
                    <a:xfrm>
                      <a:off x="0" y="0"/>
                      <a:ext cx="9144000" cy="4925695"/>
                    </a:xfrm>
                    <a:prstGeom prst="rect">
                      <a:avLst/>
                    </a:prstGeom>
                  </pic:spPr>
                </pic:pic>
              </a:graphicData>
            </a:graphic>
          </wp:anchor>
        </w:drawing>
      </w:r>
    </w:p>
    <w:p w14:paraId="567DABFB"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2E3BB14C" w14:textId="77777777" w:rsidR="003C6AC7" w:rsidRPr="003C6AC7" w:rsidRDefault="003C6AC7" w:rsidP="003C6AC7">
      <w:pPr>
        <w:overflowPunct w:val="0"/>
        <w:autoSpaceDE w:val="0"/>
        <w:autoSpaceDN w:val="0"/>
        <w:adjustRightInd w:val="0"/>
        <w:jc w:val="both"/>
        <w:rPr>
          <w:rFonts w:ascii="Calibri" w:eastAsia="Calibri" w:hAnsi="Calibri" w:cs="Calibri"/>
          <w:b/>
          <w:bCs/>
          <w:kern w:val="0"/>
          <w:szCs w:val="18"/>
          <w:lang w:val="es-ES_tradnl" w:eastAsia="es-CR"/>
          <w14:ligatures w14:val="none"/>
        </w:rPr>
      </w:pPr>
      <w:r w:rsidRPr="003C6AC7">
        <w:rPr>
          <w:rFonts w:ascii="Calibri" w:eastAsia="Calibri" w:hAnsi="Calibri" w:cs="Calibri"/>
          <w:b/>
          <w:bCs/>
          <w:kern w:val="0"/>
          <w:szCs w:val="18"/>
          <w:lang w:val="es-ES_tradnl" w:eastAsia="es-CR"/>
          <w14:ligatures w14:val="none"/>
        </w:rPr>
        <w:br w:type="page"/>
      </w:r>
    </w:p>
    <w:p w14:paraId="430D86C7"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792832" behindDoc="0" locked="0" layoutInCell="1" allowOverlap="1" wp14:anchorId="7AD05798" wp14:editId="25BD67D1">
                <wp:simplePos x="0" y="0"/>
                <wp:positionH relativeFrom="margin">
                  <wp:align>center</wp:align>
                </wp:positionH>
                <wp:positionV relativeFrom="paragraph">
                  <wp:posOffset>-635</wp:posOffset>
                </wp:positionV>
                <wp:extent cx="6606540" cy="411480"/>
                <wp:effectExtent l="0" t="0" r="22860" b="26670"/>
                <wp:wrapNone/>
                <wp:docPr id="506360768" name="Cuadro de texto 50636076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E057999" w14:textId="77777777" w:rsidR="003C6AC7" w:rsidRPr="003C6AC7" w:rsidRDefault="003C6AC7" w:rsidP="003C6AC7">
                            <w:pPr>
                              <w:jc w:val="center"/>
                              <w:rPr>
                                <w:rFonts w:cs="Calibri"/>
                              </w:rPr>
                            </w:pPr>
                            <w:r w:rsidRPr="003C6AC7">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05798" id="Cuadro de texto 506360768" o:spid="_x0000_s1186" type="#_x0000_t202" style="position:absolute;left:0;text-align:left;margin-left:0;margin-top:-.05pt;width:520.2pt;height:32.4pt;z-index:2527928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" fillcolor="window" strokeweight=".5pt">
                <v:textbox>
                  <w:txbxContent>
                    <w:p w14:paraId="1E057999" w14:textId="77777777" w:rsidR="003C6AC7" w:rsidRPr="003C6AC7" w:rsidRDefault="003C6AC7" w:rsidP="003C6AC7">
                      <w:pPr>
                        <w:jc w:val="center"/>
                        <w:rPr>
                          <w:rFonts w:cs="Calibri"/>
                        </w:rPr>
                      </w:pPr>
                      <w:r w:rsidRPr="003C6AC7">
                        <w:rPr>
                          <w:rFonts w:cs="Calibri"/>
                          <w:b/>
                        </w:rPr>
                        <w:t>RÚBRICA DE EVALUACIÓN – GLOSARIO</w:t>
                      </w:r>
                    </w:p>
                  </w:txbxContent>
                </v:textbox>
                <w10:wrap anchorx="margin"/>
              </v:shape>
            </w:pict>
          </mc:Fallback>
        </mc:AlternateContent>
      </w:r>
    </w:p>
    <w:p w14:paraId="78F855C8"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69FFE386" w14:textId="77777777" w:rsidR="003C6AC7" w:rsidRPr="003C6AC7" w:rsidRDefault="003C6AC7" w:rsidP="003C6AC7">
      <w:pPr>
        <w:overflowPunct w:val="0"/>
        <w:autoSpaceDE w:val="0"/>
        <w:autoSpaceDN w:val="0"/>
        <w:adjustRightInd w:val="0"/>
        <w:jc w:val="center"/>
        <w:rPr>
          <w:rFonts w:ascii="Calibri" w:eastAsia="Times New Roman" w:hAnsi="Calibri" w:cs="Calibri"/>
          <w:color w:val="0070C0"/>
          <w:kern w:val="0"/>
          <w:lang w:eastAsia="es-CR"/>
          <w14:ligatures w14:val="none"/>
        </w:rPr>
      </w:pPr>
      <w:r w:rsidRPr="003C6AC7">
        <w:rPr>
          <w:rFonts w:ascii="Calibri" w:eastAsia="Times New Roman" w:hAnsi="Calibri" w:cs="Calibri"/>
          <w:color w:val="0070C0"/>
          <w:kern w:val="0"/>
          <w:lang w:eastAsia="es-CR"/>
          <w14:ligatures w14:val="none"/>
        </w:rPr>
        <w:t>El glosario se desarrolla en forma colectiva, en el cual cada estudiante aportará cinco conceptos a la luz del debate sobre la Biblia judía y la Biblia cristiana contenido en la lectura de una sesión. Se desarrolla en la sesión 4 y tiene un valor de 5%.</w:t>
      </w:r>
    </w:p>
    <w:p w14:paraId="18C86DEA"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5C2D6281"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Calibri" w:eastAsia="Calibri" w:hAnsi="Calibri" w:cs="Calibri"/>
          <w:b/>
          <w:bCs/>
          <w:noProof/>
          <w:kern w:val="0"/>
          <w:szCs w:val="18"/>
          <w:lang w:val="es-ES_tradnl" w:eastAsia="es-CR"/>
          <w14:ligatures w14:val="none"/>
        </w:rPr>
        <w:drawing>
          <wp:anchor distT="0" distB="0" distL="114300" distR="114300" simplePos="0" relativeHeight="252793856" behindDoc="0" locked="0" layoutInCell="1" allowOverlap="1" wp14:anchorId="6E4491AB" wp14:editId="579537AB">
            <wp:simplePos x="0" y="0"/>
            <wp:positionH relativeFrom="margin">
              <wp:align>center</wp:align>
            </wp:positionH>
            <wp:positionV relativeFrom="paragraph">
              <wp:posOffset>11430</wp:posOffset>
            </wp:positionV>
            <wp:extent cx="8820912" cy="5388864"/>
            <wp:effectExtent l="0" t="0" r="0" b="2540"/>
            <wp:wrapNone/>
            <wp:docPr id="139061271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612711" name="Imagen 3" descr="Tabla&#10;&#10;Descripción generada automáticamente"/>
                    <pic:cNvPicPr/>
                  </pic:nvPicPr>
                  <pic:blipFill>
                    <a:blip r:embed="rId367">
                      <a:extLst>
                        <a:ext uri="{28A0092B-C50C-407E-A947-70E740481C1C}">
                          <a14:useLocalDpi xmlns:a14="http://schemas.microsoft.com/office/drawing/2010/main" val="0"/>
                        </a:ext>
                      </a:extLst>
                    </a:blip>
                    <a:stretch>
                      <a:fillRect/>
                    </a:stretch>
                  </pic:blipFill>
                  <pic:spPr>
                    <a:xfrm>
                      <a:off x="0" y="0"/>
                      <a:ext cx="8820912" cy="5388864"/>
                    </a:xfrm>
                    <a:prstGeom prst="rect">
                      <a:avLst/>
                    </a:prstGeom>
                  </pic:spPr>
                </pic:pic>
              </a:graphicData>
            </a:graphic>
          </wp:anchor>
        </w:drawing>
      </w:r>
    </w:p>
    <w:p w14:paraId="5428C70E" w14:textId="77777777" w:rsidR="003C6AC7" w:rsidRPr="003C6AC7" w:rsidRDefault="003C6AC7" w:rsidP="003C6AC7">
      <w:pPr>
        <w:overflowPunct w:val="0"/>
        <w:autoSpaceDE w:val="0"/>
        <w:autoSpaceDN w:val="0"/>
        <w:adjustRightInd w:val="0"/>
        <w:jc w:val="both"/>
        <w:rPr>
          <w:rFonts w:ascii="Calibri" w:eastAsia="Calibri" w:hAnsi="Calibri" w:cs="Calibri"/>
          <w:b/>
          <w:bCs/>
          <w:kern w:val="0"/>
          <w:szCs w:val="18"/>
          <w:lang w:val="es-ES_tradnl" w:eastAsia="es-CR"/>
          <w14:ligatures w14:val="none"/>
        </w:rPr>
      </w:pPr>
      <w:r w:rsidRPr="003C6AC7">
        <w:rPr>
          <w:rFonts w:ascii="Calibri" w:eastAsia="Calibri" w:hAnsi="Calibri" w:cs="Calibri"/>
          <w:b/>
          <w:bCs/>
          <w:kern w:val="0"/>
          <w:szCs w:val="18"/>
          <w:lang w:val="es-ES_tradnl" w:eastAsia="es-CR"/>
          <w14:ligatures w14:val="none"/>
        </w:rPr>
        <w:br w:type="page"/>
      </w:r>
    </w:p>
    <w:p w14:paraId="3B6935E9"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94880" behindDoc="0" locked="0" layoutInCell="1" allowOverlap="1" wp14:anchorId="1285805A" wp14:editId="2699BF62">
                <wp:simplePos x="0" y="0"/>
                <wp:positionH relativeFrom="margin">
                  <wp:align>center</wp:align>
                </wp:positionH>
                <wp:positionV relativeFrom="paragraph">
                  <wp:posOffset>-90487</wp:posOffset>
                </wp:positionV>
                <wp:extent cx="6606540" cy="411480"/>
                <wp:effectExtent l="0" t="0" r="22860" b="26670"/>
                <wp:wrapNone/>
                <wp:docPr id="1237375071" name="Cuadro de texto 123737507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316AD96" w14:textId="77777777" w:rsidR="003C6AC7" w:rsidRPr="003C6AC7" w:rsidRDefault="003C6AC7" w:rsidP="003C6AC7">
                            <w:pPr>
                              <w:jc w:val="center"/>
                              <w:rPr>
                                <w:rFonts w:cs="Calibri"/>
                                <w:bCs/>
                              </w:rPr>
                            </w:pPr>
                            <w:r w:rsidRPr="003C6AC7">
                              <w:rPr>
                                <w:rFonts w:cs="Calibri"/>
                                <w:b/>
                              </w:rPr>
                              <w:t>ESCALA DE EVALUACIÓN – ANÁLISIS DE TEXTOS</w:t>
                            </w:r>
                          </w:p>
                          <w:p w14:paraId="280E2684" w14:textId="77777777" w:rsidR="003C6AC7" w:rsidRPr="003C6AC7" w:rsidRDefault="003C6AC7" w:rsidP="003C6AC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5805A" id="Cuadro de texto 1237375071" o:spid="_x0000_s1187" type="#_x0000_t202" style="position:absolute;left:0;text-align:left;margin-left:0;margin-top:-7.1pt;width:520.2pt;height:32.4pt;z-index:252794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" fillcolor="window" strokeweight=".5pt">
                <v:textbox>
                  <w:txbxContent>
                    <w:p w14:paraId="5316AD96" w14:textId="77777777" w:rsidR="003C6AC7" w:rsidRPr="003C6AC7" w:rsidRDefault="003C6AC7" w:rsidP="003C6AC7">
                      <w:pPr>
                        <w:jc w:val="center"/>
                        <w:rPr>
                          <w:rFonts w:cs="Calibri"/>
                          <w:bCs/>
                        </w:rPr>
                      </w:pPr>
                      <w:r w:rsidRPr="003C6AC7">
                        <w:rPr>
                          <w:rFonts w:cs="Calibri"/>
                          <w:b/>
                        </w:rPr>
                        <w:t>ESCALA DE EVALUACIÓN – ANÁLISIS DE TEXTOS</w:t>
                      </w:r>
                    </w:p>
                    <w:p w14:paraId="280E2684" w14:textId="77777777" w:rsidR="003C6AC7" w:rsidRPr="003C6AC7" w:rsidRDefault="003C6AC7" w:rsidP="003C6AC7">
                      <w:pPr>
                        <w:jc w:val="center"/>
                        <w:rPr>
                          <w:rFonts w:cs="Calibri"/>
                        </w:rPr>
                      </w:pPr>
                    </w:p>
                  </w:txbxContent>
                </v:textbox>
                <w10:wrap anchorx="margin"/>
              </v:shape>
            </w:pict>
          </mc:Fallback>
        </mc:AlternateContent>
      </w:r>
    </w:p>
    <w:p w14:paraId="4E45EC9B"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6B92E2A7" w14:textId="77777777" w:rsidR="003C6AC7" w:rsidRPr="003C6AC7" w:rsidRDefault="003C6AC7" w:rsidP="003C6AC7">
      <w:pPr>
        <w:overflowPunct w:val="0"/>
        <w:autoSpaceDE w:val="0"/>
        <w:autoSpaceDN w:val="0"/>
        <w:adjustRightInd w:val="0"/>
        <w:jc w:val="center"/>
        <w:rPr>
          <w:rFonts w:ascii="Calibri" w:eastAsia="Calibri" w:hAnsi="Calibri" w:cs="Calibri"/>
          <w:color w:val="0070C0"/>
          <w:kern w:val="0"/>
          <w:szCs w:val="18"/>
          <w:lang w:val="es-ES_tradnl" w:eastAsia="es-CR"/>
          <w14:ligatures w14:val="none"/>
        </w:rPr>
      </w:pPr>
      <w:r w:rsidRPr="003C6AC7">
        <w:rPr>
          <w:rFonts w:ascii="Calibri" w:eastAsia="Calibri" w:hAnsi="Calibri" w:cs="Calibri"/>
          <w:color w:val="0070C0"/>
          <w:kern w:val="0"/>
          <w:szCs w:val="18"/>
          <w:lang w:val="es-ES_tradnl" w:eastAsia="es-CR"/>
          <w14:ligatures w14:val="none"/>
        </w:rPr>
        <w:t>Se utilizará la estrategia de análisis de textos en dos momentos. En el primero de ellos los y las estudiantes analizarán Marcos 5.1-20 y en el segundo el texto será Génesis 2-3. Ambos análisis se realizarán a la luz de la literatura de las sesiones 7 y 10. Se distribuyen de la siguiente forma y cada uno tiene un valor de 10%: análisis del texto bíblico de Marcos 5.1-20 (sesión 7) y análisis del texto bíblico de Génesis 2-3 (sesión 10).</w:t>
      </w:r>
    </w:p>
    <w:p w14:paraId="7D0E1388"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Calibri" w:eastAsia="Calibri" w:hAnsi="Calibri" w:cs="Calibri"/>
          <w:b/>
          <w:bCs/>
          <w:noProof/>
          <w:kern w:val="0"/>
          <w:szCs w:val="18"/>
          <w:lang w:val="es-ES_tradnl" w:eastAsia="es-CR"/>
          <w14:ligatures w14:val="none"/>
        </w:rPr>
        <w:drawing>
          <wp:anchor distT="0" distB="0" distL="114300" distR="114300" simplePos="0" relativeHeight="252795904" behindDoc="0" locked="0" layoutInCell="1" allowOverlap="1" wp14:anchorId="734FDF66" wp14:editId="5A3A5339">
            <wp:simplePos x="0" y="0"/>
            <wp:positionH relativeFrom="margin">
              <wp:align>center</wp:align>
            </wp:positionH>
            <wp:positionV relativeFrom="paragraph">
              <wp:posOffset>275590</wp:posOffset>
            </wp:positionV>
            <wp:extent cx="7973568" cy="5114544"/>
            <wp:effectExtent l="0" t="0" r="8890" b="0"/>
            <wp:wrapNone/>
            <wp:docPr id="1178900313"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00313" name="Imagen 4" descr="Tabla&#10;&#10;Descripción generada automáticamente"/>
                    <pic:cNvPicPr/>
                  </pic:nvPicPr>
                  <pic:blipFill>
                    <a:blip r:embed="rId368">
                      <a:extLst>
                        <a:ext uri="{28A0092B-C50C-407E-A947-70E740481C1C}">
                          <a14:useLocalDpi xmlns:a14="http://schemas.microsoft.com/office/drawing/2010/main" val="0"/>
                        </a:ext>
                      </a:extLst>
                    </a:blip>
                    <a:stretch>
                      <a:fillRect/>
                    </a:stretch>
                  </pic:blipFill>
                  <pic:spPr>
                    <a:xfrm>
                      <a:off x="0" y="0"/>
                      <a:ext cx="7973568" cy="5114544"/>
                    </a:xfrm>
                    <a:prstGeom prst="rect">
                      <a:avLst/>
                    </a:prstGeom>
                  </pic:spPr>
                </pic:pic>
              </a:graphicData>
            </a:graphic>
          </wp:anchor>
        </w:drawing>
      </w:r>
      <w:r w:rsidRPr="003C6AC7">
        <w:rPr>
          <w:rFonts w:ascii="Calibri" w:eastAsia="Calibri" w:hAnsi="Calibri" w:cs="Calibri"/>
          <w:b/>
          <w:bCs/>
          <w:kern w:val="0"/>
          <w:szCs w:val="18"/>
          <w:lang w:val="es-ES_tradnl" w:eastAsia="es-CR"/>
          <w14:ligatures w14:val="none"/>
        </w:rPr>
        <w:br w:type="page"/>
      </w:r>
    </w:p>
    <w:p w14:paraId="201033C8"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96928" behindDoc="0" locked="0" layoutInCell="1" allowOverlap="1" wp14:anchorId="0A97A5A0" wp14:editId="76B99E86">
                <wp:simplePos x="0" y="0"/>
                <wp:positionH relativeFrom="margin">
                  <wp:align>center</wp:align>
                </wp:positionH>
                <wp:positionV relativeFrom="paragraph">
                  <wp:posOffset>-123825</wp:posOffset>
                </wp:positionV>
                <wp:extent cx="6606540" cy="411480"/>
                <wp:effectExtent l="0" t="0" r="22860" b="26670"/>
                <wp:wrapNone/>
                <wp:docPr id="696585438" name="Cuadro de texto 69658543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1E85352" w14:textId="77777777" w:rsidR="003C6AC7" w:rsidRPr="003C6AC7" w:rsidRDefault="003C6AC7" w:rsidP="003C6AC7">
                            <w:pPr>
                              <w:jc w:val="center"/>
                              <w:rPr>
                                <w:rFonts w:cs="Calibri"/>
                              </w:rPr>
                            </w:pPr>
                            <w:r w:rsidRPr="003C6AC7">
                              <w:rPr>
                                <w:rFonts w:cs="Calibri"/>
                                <w:b/>
                              </w:rPr>
                              <w:t>ESCALA DE EVALUACIÓN – ENSAYO CRÍTICO</w:t>
                            </w:r>
                          </w:p>
                          <w:p w14:paraId="08D14191" w14:textId="77777777" w:rsidR="003C6AC7" w:rsidRPr="003C6AC7" w:rsidRDefault="003C6AC7" w:rsidP="003C6AC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7A5A0" id="Cuadro de texto 696585438" o:spid="_x0000_s1188" type="#_x0000_t202" style="position:absolute;left:0;text-align:left;margin-left:0;margin-top:-9.75pt;width:520.2pt;height:32.4pt;z-index:252796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" fillcolor="window" strokeweight=".5pt">
                <v:textbox>
                  <w:txbxContent>
                    <w:p w14:paraId="41E85352" w14:textId="77777777" w:rsidR="003C6AC7" w:rsidRPr="003C6AC7" w:rsidRDefault="003C6AC7" w:rsidP="003C6AC7">
                      <w:pPr>
                        <w:jc w:val="center"/>
                        <w:rPr>
                          <w:rFonts w:cs="Calibri"/>
                        </w:rPr>
                      </w:pPr>
                      <w:r w:rsidRPr="003C6AC7">
                        <w:rPr>
                          <w:rFonts w:cs="Calibri"/>
                          <w:b/>
                        </w:rPr>
                        <w:t>ESCALA DE EVALUACIÓN – ENSAYO CRÍTICO</w:t>
                      </w:r>
                    </w:p>
                    <w:p w14:paraId="08D14191" w14:textId="77777777" w:rsidR="003C6AC7" w:rsidRPr="003C6AC7" w:rsidRDefault="003C6AC7" w:rsidP="003C6AC7">
                      <w:pPr>
                        <w:jc w:val="center"/>
                        <w:rPr>
                          <w:rFonts w:cs="Calibri"/>
                        </w:rPr>
                      </w:pPr>
                    </w:p>
                  </w:txbxContent>
                </v:textbox>
                <w10:wrap anchorx="margin"/>
              </v:shape>
            </w:pict>
          </mc:Fallback>
        </mc:AlternateContent>
      </w:r>
    </w:p>
    <w:p w14:paraId="289F3E5F"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00289DA1" w14:textId="77777777" w:rsidR="003C6AC7" w:rsidRPr="003C6AC7" w:rsidRDefault="003C6AC7" w:rsidP="003C6AC7">
      <w:pPr>
        <w:overflowPunct w:val="0"/>
        <w:autoSpaceDE w:val="0"/>
        <w:autoSpaceDN w:val="0"/>
        <w:adjustRightInd w:val="0"/>
        <w:jc w:val="center"/>
        <w:rPr>
          <w:rFonts w:ascii="Calibri" w:eastAsia="Calibri" w:hAnsi="Calibri" w:cs="Calibri"/>
          <w:color w:val="0070C0"/>
          <w:kern w:val="0"/>
          <w:szCs w:val="18"/>
          <w:lang w:val="es-ES_tradnl" w:eastAsia="es-CR"/>
          <w14:ligatures w14:val="none"/>
        </w:rPr>
      </w:pPr>
      <w:r w:rsidRPr="003C6AC7">
        <w:rPr>
          <w:rFonts w:ascii="Calibri" w:eastAsia="Calibri" w:hAnsi="Calibri" w:cs="Calibri"/>
          <w:color w:val="0070C0"/>
          <w:kern w:val="0"/>
          <w:szCs w:val="18"/>
          <w:lang w:val="es-ES_tradnl" w:eastAsia="es-CR"/>
          <w14:ligatures w14:val="none"/>
        </w:rPr>
        <w:t>En torno a una introducción, un desarrollo y una conclusión, así como a referencias bibliográficas (estilo Chicago-Deusto), las personas estudiantes desarrollan en este curso un ensayo que constituye un ejercicio de producción académica. Se elabora en la sesión 9 y tiene un valor de 10%.</w:t>
      </w:r>
    </w:p>
    <w:p w14:paraId="3133D82B" w14:textId="77777777" w:rsidR="003C6AC7" w:rsidRPr="003C6AC7" w:rsidRDefault="003C6AC7" w:rsidP="003C6AC7">
      <w:pPr>
        <w:overflowPunct w:val="0"/>
        <w:autoSpaceDE w:val="0"/>
        <w:autoSpaceDN w:val="0"/>
        <w:adjustRightInd w:val="0"/>
        <w:jc w:val="center"/>
        <w:rPr>
          <w:rFonts w:ascii="Calibri" w:eastAsia="Calibri" w:hAnsi="Calibri" w:cs="Calibri"/>
          <w:kern w:val="0"/>
          <w:szCs w:val="18"/>
          <w:lang w:val="es-ES_tradnl" w:eastAsia="es-CR"/>
          <w14:ligatures w14:val="none"/>
        </w:rPr>
      </w:pPr>
    </w:p>
    <w:p w14:paraId="2CF8C9AF"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Calibri" w:eastAsia="Calibri" w:hAnsi="Calibri" w:cs="Calibri"/>
          <w:noProof/>
          <w:kern w:val="0"/>
          <w:szCs w:val="18"/>
          <w:lang w:val="es-ES_tradnl" w:eastAsia="es-CR"/>
          <w14:ligatures w14:val="none"/>
        </w:rPr>
        <w:drawing>
          <wp:anchor distT="0" distB="0" distL="114300" distR="114300" simplePos="0" relativeHeight="252797952" behindDoc="0" locked="0" layoutInCell="1" allowOverlap="1" wp14:anchorId="4A036BBF" wp14:editId="00495BFA">
            <wp:simplePos x="0" y="0"/>
            <wp:positionH relativeFrom="margin">
              <wp:align>center</wp:align>
            </wp:positionH>
            <wp:positionV relativeFrom="paragraph">
              <wp:posOffset>6350</wp:posOffset>
            </wp:positionV>
            <wp:extent cx="8247380" cy="4486275"/>
            <wp:effectExtent l="0" t="0" r="1270" b="9525"/>
            <wp:wrapNone/>
            <wp:docPr id="1293454386"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454386" name="Imagen 5" descr="Tabla&#10;&#10;Descripción generada automáticamente"/>
                    <pic:cNvPicPr/>
                  </pic:nvPicPr>
                  <pic:blipFill>
                    <a:blip r:embed="rId369">
                      <a:extLst>
                        <a:ext uri="{28A0092B-C50C-407E-A947-70E740481C1C}">
                          <a14:useLocalDpi xmlns:a14="http://schemas.microsoft.com/office/drawing/2010/main" val="0"/>
                        </a:ext>
                      </a:extLst>
                    </a:blip>
                    <a:stretch>
                      <a:fillRect/>
                    </a:stretch>
                  </pic:blipFill>
                  <pic:spPr>
                    <a:xfrm>
                      <a:off x="0" y="0"/>
                      <a:ext cx="8247380" cy="4486275"/>
                    </a:xfrm>
                    <a:prstGeom prst="rect">
                      <a:avLst/>
                    </a:prstGeom>
                  </pic:spPr>
                </pic:pic>
              </a:graphicData>
            </a:graphic>
          </wp:anchor>
        </w:drawing>
      </w:r>
      <w:r w:rsidRPr="003C6AC7">
        <w:rPr>
          <w:rFonts w:ascii="Calibri" w:eastAsia="Calibri" w:hAnsi="Calibri" w:cs="Calibri"/>
          <w:b/>
          <w:bCs/>
          <w:kern w:val="0"/>
          <w:szCs w:val="18"/>
          <w:lang w:val="es-ES_tradnl" w:eastAsia="es-CR"/>
          <w14:ligatures w14:val="none"/>
        </w:rPr>
        <w:br w:type="page"/>
      </w:r>
    </w:p>
    <w:p w14:paraId="5F5DFB31"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98976" behindDoc="0" locked="0" layoutInCell="1" allowOverlap="1" wp14:anchorId="195A3447" wp14:editId="349452F3">
                <wp:simplePos x="0" y="0"/>
                <wp:positionH relativeFrom="margin">
                  <wp:align>center</wp:align>
                </wp:positionH>
                <wp:positionV relativeFrom="paragraph">
                  <wp:posOffset>-635</wp:posOffset>
                </wp:positionV>
                <wp:extent cx="6606540" cy="411480"/>
                <wp:effectExtent l="0" t="0" r="22860" b="26670"/>
                <wp:wrapNone/>
                <wp:docPr id="385023453" name="Cuadro de texto 385023453"/>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ECD03CF" w14:textId="77777777" w:rsidR="003C6AC7" w:rsidRPr="003C6AC7" w:rsidRDefault="003C6AC7" w:rsidP="003C6AC7">
                            <w:pPr>
                              <w:jc w:val="center"/>
                              <w:rPr>
                                <w:rFonts w:cs="Calibri"/>
                              </w:rPr>
                            </w:pPr>
                            <w:r w:rsidRPr="003C6AC7">
                              <w:rPr>
                                <w:rFonts w:cs="Calibri"/>
                                <w:b/>
                              </w:rPr>
                              <w:t>RÚBRICA DE EVALUACIÓN – MAPA CONCEPTUAL</w:t>
                            </w:r>
                          </w:p>
                          <w:p w14:paraId="7A17F583" w14:textId="77777777" w:rsidR="003C6AC7" w:rsidRPr="003C6AC7" w:rsidRDefault="003C6AC7" w:rsidP="003C6AC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A3447" id="Cuadro de texto 385023453" o:spid="_x0000_s1189" type="#_x0000_t202" style="position:absolute;left:0;text-align:left;margin-left:0;margin-top:-.05pt;width:520.2pt;height:32.4pt;z-index:252798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" fillcolor="window" strokeweight=".5pt">
                <v:textbox>
                  <w:txbxContent>
                    <w:p w14:paraId="5ECD03CF" w14:textId="77777777" w:rsidR="003C6AC7" w:rsidRPr="003C6AC7" w:rsidRDefault="003C6AC7" w:rsidP="003C6AC7">
                      <w:pPr>
                        <w:jc w:val="center"/>
                        <w:rPr>
                          <w:rFonts w:cs="Calibri"/>
                        </w:rPr>
                      </w:pPr>
                      <w:r w:rsidRPr="003C6AC7">
                        <w:rPr>
                          <w:rFonts w:cs="Calibri"/>
                          <w:b/>
                        </w:rPr>
                        <w:t>RÚBRICA DE EVALUACIÓN – MAPA CONCEPTUAL</w:t>
                      </w:r>
                    </w:p>
                    <w:p w14:paraId="7A17F583" w14:textId="77777777" w:rsidR="003C6AC7" w:rsidRPr="003C6AC7" w:rsidRDefault="003C6AC7" w:rsidP="003C6AC7">
                      <w:pPr>
                        <w:jc w:val="center"/>
                        <w:rPr>
                          <w:rFonts w:cs="Calibri"/>
                        </w:rPr>
                      </w:pPr>
                    </w:p>
                  </w:txbxContent>
                </v:textbox>
                <w10:wrap anchorx="margin"/>
              </v:shape>
            </w:pict>
          </mc:Fallback>
        </mc:AlternateContent>
      </w:r>
    </w:p>
    <w:p w14:paraId="337A5E9E"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788CA8BD" w14:textId="77777777" w:rsidR="003C6AC7" w:rsidRPr="003C6AC7" w:rsidRDefault="003C6AC7" w:rsidP="003C6AC7">
      <w:pPr>
        <w:overflowPunct w:val="0"/>
        <w:autoSpaceDE w:val="0"/>
        <w:autoSpaceDN w:val="0"/>
        <w:adjustRightInd w:val="0"/>
        <w:jc w:val="center"/>
        <w:rPr>
          <w:rFonts w:ascii="Calibri" w:eastAsia="Calibri" w:hAnsi="Calibri" w:cs="Calibri"/>
          <w:color w:val="0070C0"/>
          <w:kern w:val="0"/>
          <w:szCs w:val="18"/>
          <w:lang w:val="es-ES_tradnl" w:eastAsia="es-CR"/>
          <w14:ligatures w14:val="none"/>
        </w:rPr>
      </w:pPr>
      <w:r w:rsidRPr="003C6AC7">
        <w:rPr>
          <w:rFonts w:ascii="Calibri" w:eastAsia="Calibri" w:hAnsi="Calibri" w:cs="Calibri"/>
          <w:color w:val="0070C0"/>
          <w:kern w:val="0"/>
          <w:szCs w:val="18"/>
          <w:lang w:val="es-ES_tradnl" w:eastAsia="es-CR"/>
          <w14:ligatures w14:val="none"/>
        </w:rPr>
        <w:t>Se define al mapa conceptual como una herramienta gráfica de aprendizaje que permite establecer jerarquías entre las ideas y conceptos de un texto o lectura y sus relaciones en forma gráfica y creativa. En las sesiones 1 y 8 se elaborarán mapas conceptuales, los cuales tienen un valor de 5% cada uno.</w:t>
      </w:r>
    </w:p>
    <w:p w14:paraId="47325697" w14:textId="77777777" w:rsidR="003C6AC7" w:rsidRPr="003C6AC7" w:rsidRDefault="003C6AC7" w:rsidP="003C6AC7">
      <w:pPr>
        <w:overflowPunct w:val="0"/>
        <w:autoSpaceDE w:val="0"/>
        <w:autoSpaceDN w:val="0"/>
        <w:adjustRightInd w:val="0"/>
        <w:jc w:val="center"/>
        <w:rPr>
          <w:rFonts w:ascii="Calibri" w:eastAsia="Calibri" w:hAnsi="Calibri" w:cs="Calibri"/>
          <w:kern w:val="0"/>
          <w:szCs w:val="18"/>
          <w:lang w:val="es-ES_tradnl" w:eastAsia="es-CR"/>
          <w14:ligatures w14:val="none"/>
        </w:rPr>
      </w:pPr>
      <w:r w:rsidRPr="003C6AC7">
        <w:rPr>
          <w:rFonts w:ascii="Calibri" w:eastAsia="Calibri" w:hAnsi="Calibri" w:cs="Calibri"/>
          <w:noProof/>
          <w:kern w:val="0"/>
          <w:szCs w:val="18"/>
          <w:lang w:val="es-ES_tradnl" w:eastAsia="es-CR"/>
          <w14:ligatures w14:val="none"/>
        </w:rPr>
        <w:drawing>
          <wp:anchor distT="0" distB="0" distL="114300" distR="114300" simplePos="0" relativeHeight="252800000" behindDoc="0" locked="0" layoutInCell="1" allowOverlap="1" wp14:anchorId="393EFD3D" wp14:editId="4085EBB8">
            <wp:simplePos x="0" y="0"/>
            <wp:positionH relativeFrom="margin">
              <wp:align>right</wp:align>
            </wp:positionH>
            <wp:positionV relativeFrom="paragraph">
              <wp:posOffset>240030</wp:posOffset>
            </wp:positionV>
            <wp:extent cx="9144000" cy="4454525"/>
            <wp:effectExtent l="0" t="0" r="0" b="3175"/>
            <wp:wrapNone/>
            <wp:docPr id="777314193"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14193" name="Imagen 6" descr="Tabla&#10;&#10;Descripción generada automáticamente"/>
                    <pic:cNvPicPr/>
                  </pic:nvPicPr>
                  <pic:blipFill>
                    <a:blip r:embed="rId370">
                      <a:extLst>
                        <a:ext uri="{28A0092B-C50C-407E-A947-70E740481C1C}">
                          <a14:useLocalDpi xmlns:a14="http://schemas.microsoft.com/office/drawing/2010/main" val="0"/>
                        </a:ext>
                      </a:extLst>
                    </a:blip>
                    <a:stretch>
                      <a:fillRect/>
                    </a:stretch>
                  </pic:blipFill>
                  <pic:spPr>
                    <a:xfrm>
                      <a:off x="0" y="0"/>
                      <a:ext cx="9144000" cy="4454525"/>
                    </a:xfrm>
                    <a:prstGeom prst="rect">
                      <a:avLst/>
                    </a:prstGeom>
                  </pic:spPr>
                </pic:pic>
              </a:graphicData>
            </a:graphic>
          </wp:anchor>
        </w:drawing>
      </w:r>
    </w:p>
    <w:p w14:paraId="7130C97A"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77AE395D" w14:textId="77777777" w:rsidR="003C6AC7" w:rsidRPr="003C6AC7" w:rsidRDefault="003C6AC7" w:rsidP="003C6AC7">
      <w:pPr>
        <w:overflowPunct w:val="0"/>
        <w:autoSpaceDE w:val="0"/>
        <w:autoSpaceDN w:val="0"/>
        <w:adjustRightInd w:val="0"/>
        <w:jc w:val="both"/>
        <w:rPr>
          <w:rFonts w:ascii="Calibri" w:eastAsia="Calibri" w:hAnsi="Calibri" w:cs="Calibri"/>
          <w:b/>
          <w:bCs/>
          <w:kern w:val="0"/>
          <w:szCs w:val="18"/>
          <w:lang w:val="es-ES_tradnl" w:eastAsia="es-CR"/>
          <w14:ligatures w14:val="none"/>
        </w:rPr>
      </w:pPr>
      <w:r w:rsidRPr="003C6AC7">
        <w:rPr>
          <w:rFonts w:ascii="Calibri" w:eastAsia="Calibri" w:hAnsi="Calibri" w:cs="Calibri"/>
          <w:b/>
          <w:bCs/>
          <w:kern w:val="0"/>
          <w:szCs w:val="18"/>
          <w:lang w:val="es-ES_tradnl" w:eastAsia="es-CR"/>
          <w14:ligatures w14:val="none"/>
        </w:rPr>
        <w:br w:type="page"/>
      </w:r>
    </w:p>
    <w:p w14:paraId="71DBA24A"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01024" behindDoc="0" locked="0" layoutInCell="1" allowOverlap="1" wp14:anchorId="6CB0D486" wp14:editId="56D5FAFC">
                <wp:simplePos x="0" y="0"/>
                <wp:positionH relativeFrom="margin">
                  <wp:align>center</wp:align>
                </wp:positionH>
                <wp:positionV relativeFrom="paragraph">
                  <wp:posOffset>-181610</wp:posOffset>
                </wp:positionV>
                <wp:extent cx="6606540" cy="411480"/>
                <wp:effectExtent l="0" t="0" r="22860" b="26670"/>
                <wp:wrapNone/>
                <wp:docPr id="1695508184" name="Cuadro de texto 1695508184"/>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4329037" w14:textId="77777777" w:rsidR="003C6AC7" w:rsidRPr="003C6AC7" w:rsidRDefault="003C6AC7" w:rsidP="003C6AC7">
                            <w:pPr>
                              <w:jc w:val="center"/>
                              <w:rPr>
                                <w:rFonts w:cs="Calibri"/>
                              </w:rPr>
                            </w:pPr>
                            <w:r w:rsidRPr="003C6AC7">
                              <w:rPr>
                                <w:rFonts w:cs="Calibri"/>
                                <w:b/>
                              </w:rPr>
                              <w:t>ESCALA DE EVALUACIÓN – ENSAYO FINAL</w:t>
                            </w:r>
                          </w:p>
                          <w:p w14:paraId="22D33791" w14:textId="77777777" w:rsidR="003C6AC7" w:rsidRPr="003C6AC7" w:rsidRDefault="003C6AC7" w:rsidP="003C6AC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0D486" id="Cuadro de texto 1695508184" o:spid="_x0000_s1190" type="#_x0000_t202" style="position:absolute;left:0;text-align:left;margin-left:0;margin-top:-14.3pt;width:520.2pt;height:32.4pt;z-index:252801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" fillcolor="window" strokeweight=".5pt">
                <v:textbox>
                  <w:txbxContent>
                    <w:p w14:paraId="04329037" w14:textId="77777777" w:rsidR="003C6AC7" w:rsidRPr="003C6AC7" w:rsidRDefault="003C6AC7" w:rsidP="003C6AC7">
                      <w:pPr>
                        <w:jc w:val="center"/>
                        <w:rPr>
                          <w:rFonts w:cs="Calibri"/>
                        </w:rPr>
                      </w:pPr>
                      <w:r w:rsidRPr="003C6AC7">
                        <w:rPr>
                          <w:rFonts w:cs="Calibri"/>
                          <w:b/>
                        </w:rPr>
                        <w:t>ESCALA DE EVALUACIÓN – ENSAYO FINAL</w:t>
                      </w:r>
                    </w:p>
                    <w:p w14:paraId="22D33791" w14:textId="77777777" w:rsidR="003C6AC7" w:rsidRPr="003C6AC7" w:rsidRDefault="003C6AC7" w:rsidP="003C6AC7">
                      <w:pPr>
                        <w:jc w:val="center"/>
                        <w:rPr>
                          <w:rFonts w:cs="Calibri"/>
                        </w:rPr>
                      </w:pPr>
                    </w:p>
                  </w:txbxContent>
                </v:textbox>
                <w10:wrap anchorx="margin"/>
              </v:shape>
            </w:pict>
          </mc:Fallback>
        </mc:AlternateContent>
      </w:r>
    </w:p>
    <w:p w14:paraId="11EDD451"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6BF6DC66" w14:textId="77777777" w:rsidR="003C6AC7" w:rsidRPr="003C6AC7" w:rsidRDefault="003C6AC7" w:rsidP="003C6AC7">
      <w:pPr>
        <w:overflowPunct w:val="0"/>
        <w:autoSpaceDE w:val="0"/>
        <w:autoSpaceDN w:val="0"/>
        <w:adjustRightInd w:val="0"/>
        <w:jc w:val="center"/>
        <w:rPr>
          <w:rFonts w:ascii="Calibri" w:eastAsia="Calibri" w:hAnsi="Calibri" w:cs="Calibri"/>
          <w:color w:val="0070C0"/>
          <w:kern w:val="0"/>
          <w:szCs w:val="18"/>
          <w:lang w:val="es-ES_tradnl" w:eastAsia="es-CR"/>
          <w14:ligatures w14:val="none"/>
        </w:rPr>
      </w:pPr>
      <w:r w:rsidRPr="003C6AC7">
        <w:rPr>
          <w:rFonts w:ascii="Calibri" w:eastAsia="Times New Roman" w:hAnsi="Calibri" w:cs="Calibri"/>
          <w:color w:val="0070C0"/>
          <w:kern w:val="0"/>
          <w:lang w:eastAsia="es-CR"/>
          <w14:ligatures w14:val="none"/>
        </w:rPr>
        <w:t>Constituye en el trabajo final del curso. Permitirá que los y las estudiantes profundicen en uno de los ejes temáticos y perspectivas hermenéuticas estudiados en la Unidad IV.</w:t>
      </w:r>
      <w:r w:rsidRPr="003C6AC7">
        <w:rPr>
          <w:rFonts w:ascii="Calibri" w:eastAsia="Calibri" w:hAnsi="Calibri" w:cs="Calibri"/>
          <w:color w:val="0070C0"/>
          <w:kern w:val="0"/>
          <w:szCs w:val="18"/>
          <w:lang w:val="es-ES_tradnl" w:eastAsia="es-CR"/>
          <w14:ligatures w14:val="none"/>
        </w:rPr>
        <w:t xml:space="preserve"> Se elabora desde la sesión 6 hasta la 15 de la siguiente forma: inicio de la elaboración (sesión 6), avance del ensayo (sesión 11) y entrega del ensayo final (sesión 15). Tiene un valor de 25%.</w:t>
      </w:r>
    </w:p>
    <w:p w14:paraId="78721F00"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r w:rsidRPr="003C6AC7">
        <w:rPr>
          <w:rFonts w:ascii="Calibri" w:eastAsia="Calibri" w:hAnsi="Calibri" w:cs="Calibri"/>
          <w:noProof/>
          <w:kern w:val="0"/>
          <w:szCs w:val="18"/>
          <w:lang w:val="es-ES_tradnl" w:eastAsia="es-CR"/>
          <w14:ligatures w14:val="none"/>
        </w:rPr>
        <w:drawing>
          <wp:anchor distT="0" distB="0" distL="114300" distR="114300" simplePos="0" relativeHeight="252802048" behindDoc="0" locked="0" layoutInCell="1" allowOverlap="1" wp14:anchorId="6A0A7B5F" wp14:editId="2F2BE5F2">
            <wp:simplePos x="0" y="0"/>
            <wp:positionH relativeFrom="margin">
              <wp:align>center</wp:align>
            </wp:positionH>
            <wp:positionV relativeFrom="paragraph">
              <wp:posOffset>270192</wp:posOffset>
            </wp:positionV>
            <wp:extent cx="8071104" cy="4956048"/>
            <wp:effectExtent l="0" t="0" r="6350" b="0"/>
            <wp:wrapNone/>
            <wp:docPr id="1928284546"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284546" name="Imagen 7" descr="Tabla&#10;&#10;Descripción generada automáticamente"/>
                    <pic:cNvPicPr/>
                  </pic:nvPicPr>
                  <pic:blipFill>
                    <a:blip r:embed="rId371">
                      <a:extLst>
                        <a:ext uri="{28A0092B-C50C-407E-A947-70E740481C1C}">
                          <a14:useLocalDpi xmlns:a14="http://schemas.microsoft.com/office/drawing/2010/main" val="0"/>
                        </a:ext>
                      </a:extLst>
                    </a:blip>
                    <a:stretch>
                      <a:fillRect/>
                    </a:stretch>
                  </pic:blipFill>
                  <pic:spPr>
                    <a:xfrm>
                      <a:off x="0" y="0"/>
                      <a:ext cx="8071104" cy="4956048"/>
                    </a:xfrm>
                    <a:prstGeom prst="rect">
                      <a:avLst/>
                    </a:prstGeom>
                  </pic:spPr>
                </pic:pic>
              </a:graphicData>
            </a:graphic>
          </wp:anchor>
        </w:drawing>
      </w:r>
    </w:p>
    <w:p w14:paraId="4D1C3D35" w14:textId="77777777" w:rsidR="003C6AC7" w:rsidRPr="003C6AC7" w:rsidRDefault="003C6AC7" w:rsidP="003C6AC7">
      <w:pPr>
        <w:overflowPunct w:val="0"/>
        <w:autoSpaceDE w:val="0"/>
        <w:autoSpaceDN w:val="0"/>
        <w:adjustRightInd w:val="0"/>
        <w:jc w:val="both"/>
        <w:rPr>
          <w:rFonts w:ascii="Calibri" w:eastAsia="Calibri" w:hAnsi="Calibri" w:cs="Calibri"/>
          <w:b/>
          <w:bCs/>
          <w:kern w:val="0"/>
          <w:szCs w:val="18"/>
          <w:lang w:val="es-ES_tradnl" w:eastAsia="es-CR"/>
          <w14:ligatures w14:val="none"/>
        </w:rPr>
      </w:pPr>
    </w:p>
    <w:p w14:paraId="4F64FDFC" w14:textId="77777777" w:rsidR="003C6AC7" w:rsidRPr="003C6AC7" w:rsidRDefault="003C6AC7" w:rsidP="003C6AC7">
      <w:pPr>
        <w:overflowPunct w:val="0"/>
        <w:autoSpaceDE w:val="0"/>
        <w:autoSpaceDN w:val="0"/>
        <w:adjustRightInd w:val="0"/>
        <w:jc w:val="both"/>
        <w:rPr>
          <w:rFonts w:ascii="Calibri" w:eastAsia="Calibri" w:hAnsi="Calibri" w:cs="Calibri"/>
          <w:b/>
          <w:bCs/>
          <w:kern w:val="0"/>
          <w:szCs w:val="18"/>
          <w:lang w:val="es-ES_tradnl" w:eastAsia="es-CR"/>
          <w14:ligatures w14:val="none"/>
        </w:rPr>
      </w:pPr>
    </w:p>
    <w:p w14:paraId="70707D51" w14:textId="77777777" w:rsidR="003C6AC7" w:rsidRPr="003C6AC7" w:rsidRDefault="003C6AC7" w:rsidP="003C6AC7">
      <w:pPr>
        <w:overflowPunct w:val="0"/>
        <w:autoSpaceDE w:val="0"/>
        <w:autoSpaceDN w:val="0"/>
        <w:adjustRightInd w:val="0"/>
        <w:jc w:val="both"/>
        <w:rPr>
          <w:rFonts w:ascii="Calibri" w:eastAsia="Calibri" w:hAnsi="Calibri" w:cs="Calibri"/>
          <w:b/>
          <w:bCs/>
          <w:kern w:val="0"/>
          <w:szCs w:val="18"/>
          <w:lang w:val="es-ES_tradnl" w:eastAsia="es-CR"/>
          <w14:ligatures w14:val="none"/>
        </w:rPr>
      </w:pPr>
    </w:p>
    <w:p w14:paraId="26848549"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44FA1AE9"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49E72ADF"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446478C4" w14:textId="77777777" w:rsidR="003C6AC7" w:rsidRPr="003C6AC7" w:rsidRDefault="003C6AC7" w:rsidP="003C6AC7">
      <w:pPr>
        <w:overflowPunct w:val="0"/>
        <w:autoSpaceDE w:val="0"/>
        <w:autoSpaceDN w:val="0"/>
        <w:adjustRightInd w:val="0"/>
        <w:jc w:val="center"/>
        <w:rPr>
          <w:rFonts w:ascii="Calibri" w:eastAsia="Calibri" w:hAnsi="Calibri" w:cs="Calibri"/>
          <w:b/>
          <w:bCs/>
          <w:kern w:val="0"/>
          <w:szCs w:val="18"/>
          <w:lang w:val="es-ES_tradnl" w:eastAsia="es-CR"/>
          <w14:ligatures w14:val="none"/>
        </w:rPr>
      </w:pPr>
    </w:p>
    <w:p w14:paraId="5D79C32E" w14:textId="77777777" w:rsidR="003C6AC7" w:rsidRPr="003C6AC7" w:rsidRDefault="003C6AC7" w:rsidP="003C6AC7">
      <w:pPr>
        <w:overflowPunct w:val="0"/>
        <w:autoSpaceDE w:val="0"/>
        <w:autoSpaceDN w:val="0"/>
        <w:adjustRightInd w:val="0"/>
        <w:rPr>
          <w:rFonts w:ascii="Calibri" w:eastAsia="Calibri" w:hAnsi="Calibri" w:cs="Calibri"/>
          <w:b/>
          <w:bCs/>
          <w:kern w:val="0"/>
          <w:szCs w:val="18"/>
          <w:lang w:val="es-ES_tradnl" w:eastAsia="es-CR"/>
          <w14:ligatures w14:val="none"/>
        </w:rPr>
        <w:sectPr w:rsidR="003C6AC7" w:rsidRPr="003C6AC7" w:rsidSect="003C6AC7">
          <w:pgSz w:w="15840" w:h="12240" w:orient="landscape"/>
          <w:pgMar w:top="720" w:right="720" w:bottom="720" w:left="720" w:header="720" w:footer="720" w:gutter="0"/>
          <w:cols w:space="720"/>
          <w:docGrid w:linePitch="360"/>
        </w:sectPr>
      </w:pPr>
    </w:p>
    <w:p w14:paraId="23419C98" w14:textId="77777777" w:rsidR="003C6AC7" w:rsidRPr="003C6AC7" w:rsidRDefault="003C6AC7" w:rsidP="003C6AC7">
      <w:pPr>
        <w:overflowPunct w:val="0"/>
        <w:autoSpaceDE w:val="0"/>
        <w:autoSpaceDN w:val="0"/>
        <w:adjustRightInd w:val="0"/>
        <w:jc w:val="both"/>
        <w:rPr>
          <w:rFonts w:ascii="Calibri" w:eastAsia="Calibri" w:hAnsi="Calibri" w:cs="Calibri"/>
          <w:b/>
          <w:bCs/>
          <w:kern w:val="0"/>
          <w:szCs w:val="18"/>
          <w:lang w:val="es-ES_tradnl" w:eastAsia="es-CR"/>
          <w14:ligatures w14:val="none"/>
        </w:rPr>
      </w:pPr>
      <w:r w:rsidRPr="003C6AC7">
        <w:rPr>
          <w:rFonts w:ascii="Calibri" w:eastAsia="Calibri" w:hAnsi="Calibri" w:cs="Calibri"/>
          <w:b/>
          <w:bCs/>
          <w:kern w:val="0"/>
          <w:szCs w:val="18"/>
          <w:lang w:val="es-ES_tradnl" w:eastAsia="es-CR"/>
          <w14:ligatures w14:val="none"/>
        </w:rPr>
        <w:lastRenderedPageBreak/>
        <w:t>XI. Bibliografía obligatoria</w:t>
      </w:r>
    </w:p>
    <w:p w14:paraId="272147BD" w14:textId="77777777" w:rsidR="003C6AC7" w:rsidRPr="003C6AC7" w:rsidRDefault="003C6AC7" w:rsidP="003C6AC7">
      <w:pPr>
        <w:overflowPunct w:val="0"/>
        <w:autoSpaceDE w:val="0"/>
        <w:autoSpaceDN w:val="0"/>
        <w:adjustRightInd w:val="0"/>
        <w:jc w:val="both"/>
        <w:rPr>
          <w:rFonts w:ascii="Calibri" w:eastAsia="Times New Roman" w:hAnsi="Calibri" w:cs="Arial"/>
          <w:bCs/>
          <w:color w:val="000000"/>
          <w:kern w:val="0"/>
          <w:lang w:eastAsia="es-CR"/>
          <w14:ligatures w14:val="none"/>
        </w:rPr>
      </w:pPr>
      <w:r w:rsidRPr="003C6AC7">
        <w:rPr>
          <w:rFonts w:ascii="Calibri" w:eastAsia="Times New Roman" w:hAnsi="Calibri" w:cs="Arial"/>
          <w:b/>
          <w:color w:val="000000"/>
          <w:kern w:val="0"/>
          <w:lang w:eastAsia="es-CR"/>
          <w14:ligatures w14:val="none"/>
        </w:rPr>
        <w:t>Nota:</w:t>
      </w:r>
      <w:r w:rsidRPr="003C6AC7">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3C6AC7">
        <w:rPr>
          <w:rFonts w:ascii="Calibri" w:eastAsia="Times New Roman" w:hAnsi="Calibri" w:cs="Arial"/>
          <w:bCs/>
          <w:color w:val="000000"/>
          <w:kern w:val="0"/>
          <w:lang w:eastAsia="es-CR"/>
          <w14:ligatures w14:val="none"/>
        </w:rPr>
        <w:t>pdf</w:t>
      </w:r>
      <w:proofErr w:type="spellEnd"/>
      <w:r w:rsidRPr="003C6AC7">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42C9F34E" w14:textId="77777777" w:rsidR="003C6AC7" w:rsidRPr="003C6AC7" w:rsidRDefault="003C6AC7" w:rsidP="003C6AC7">
      <w:pPr>
        <w:widowControl w:val="0"/>
        <w:overflowPunct w:val="0"/>
        <w:autoSpaceDE w:val="0"/>
        <w:autoSpaceDN w:val="0"/>
        <w:adjustRightInd w:val="0"/>
        <w:spacing w:before="120" w:after="0" w:line="240" w:lineRule="auto"/>
        <w:ind w:left="708" w:hanging="708"/>
        <w:jc w:val="both"/>
        <w:rPr>
          <w:rFonts w:ascii="Calibri" w:eastAsia="Noto Sans" w:hAnsi="Calibri" w:cs="Calibri"/>
          <w:kern w:val="0"/>
          <w:lang w:val="fr-FR" w:eastAsia="es-CR"/>
          <w14:ligatures w14:val="none"/>
        </w:rPr>
      </w:pPr>
      <w:r w:rsidRPr="003C6AC7">
        <w:rPr>
          <w:rFonts w:ascii="Calibri" w:eastAsia="Times New Roman" w:hAnsi="Calibri" w:cs="Calibri"/>
          <w:kern w:val="0"/>
          <w:lang w:val="es-ES_tradnl" w:eastAsia="es-CR"/>
          <w14:ligatures w14:val="none"/>
        </w:rPr>
        <w:t xml:space="preserve">Ardila J., Clemencia. “Del mundo del texto al mundo del lector (Ricoeur y Cortázar)”. </w:t>
      </w:r>
      <w:r w:rsidRPr="003C6AC7">
        <w:rPr>
          <w:rFonts w:ascii="Calibri" w:eastAsia="Times New Roman" w:hAnsi="Calibri" w:cs="Calibri"/>
          <w:i/>
          <w:iCs/>
          <w:kern w:val="0"/>
          <w:lang w:val="es-ES_tradnl" w:eastAsia="es-CR"/>
          <w14:ligatures w14:val="none"/>
        </w:rPr>
        <w:t>Co-Herencia</w:t>
      </w:r>
      <w:r w:rsidRPr="003C6AC7">
        <w:rPr>
          <w:rFonts w:ascii="Calibri" w:eastAsia="Times New Roman" w:hAnsi="Calibri" w:cs="Calibri"/>
          <w:kern w:val="0"/>
          <w:lang w:val="es-ES_tradnl" w:eastAsia="es-CR"/>
          <w14:ligatures w14:val="none"/>
        </w:rPr>
        <w:t xml:space="preserve">, 12 (2010): 131-159. Acceso del 22 de octubre de 2022. </w:t>
      </w:r>
      <w:hyperlink r:id="rId372" w:history="1">
        <w:r w:rsidRPr="003C6AC7">
          <w:rPr>
            <w:rFonts w:ascii="Calibri" w:eastAsia="Times New Roman" w:hAnsi="Calibri" w:cs="Calibri"/>
            <w:color w:val="0563C1"/>
            <w:kern w:val="0"/>
            <w:u w:val="single"/>
            <w:lang w:val="es-ES_tradnl" w:eastAsia="es-CR"/>
            <w14:ligatures w14:val="none"/>
          </w:rPr>
          <w:t>https://publicaciones.eafit.edu.co/index.php/co-herencia/article/view/19</w:t>
        </w:r>
      </w:hyperlink>
      <w:r w:rsidRPr="003C6AC7">
        <w:rPr>
          <w:rFonts w:ascii="Calibri" w:eastAsia="Times New Roman" w:hAnsi="Calibri" w:cs="Calibri"/>
          <w:kern w:val="0"/>
          <w:lang w:val="es-ES_tradnl" w:eastAsia="es-CR"/>
          <w14:ligatures w14:val="none"/>
        </w:rPr>
        <w:t xml:space="preserve"> </w:t>
      </w:r>
    </w:p>
    <w:p w14:paraId="5887C26A" w14:textId="77777777" w:rsidR="003C6AC7" w:rsidRPr="003C6AC7" w:rsidRDefault="003C6AC7" w:rsidP="003C6AC7">
      <w:pPr>
        <w:spacing w:before="120" w:after="0" w:line="276" w:lineRule="auto"/>
        <w:ind w:left="720" w:hanging="720"/>
        <w:jc w:val="both"/>
        <w:rPr>
          <w:rFonts w:ascii="Calibri" w:eastAsia="Calibri" w:hAnsi="Calibri" w:cs="Arial"/>
          <w:kern w:val="0"/>
          <w:lang w:val="es-ES"/>
          <w14:ligatures w14:val="none"/>
        </w:rPr>
      </w:pPr>
      <w:proofErr w:type="spellStart"/>
      <w:r w:rsidRPr="003C6AC7">
        <w:rPr>
          <w:rFonts w:ascii="Calibri" w:eastAsia="Calibri" w:hAnsi="Calibri" w:cs="Arial"/>
          <w:kern w:val="0"/>
          <w:lang w:val="es-ES"/>
          <w14:ligatures w14:val="none"/>
        </w:rPr>
        <w:t>Croatto</w:t>
      </w:r>
      <w:proofErr w:type="spellEnd"/>
      <w:r w:rsidRPr="003C6AC7">
        <w:rPr>
          <w:rFonts w:ascii="Calibri" w:eastAsia="Calibri" w:hAnsi="Calibri" w:cs="Arial"/>
          <w:kern w:val="0"/>
          <w:lang w:val="es-ES"/>
          <w14:ligatures w14:val="none"/>
        </w:rPr>
        <w:t xml:space="preserve">, Severino. </w:t>
      </w:r>
      <w:r w:rsidRPr="003C6AC7">
        <w:rPr>
          <w:rFonts w:ascii="Calibri" w:eastAsia="Calibri" w:hAnsi="Calibri" w:cs="Arial"/>
          <w:i/>
          <w:iCs/>
          <w:kern w:val="0"/>
          <w:lang w:val="es-ES"/>
          <w14:ligatures w14:val="none"/>
        </w:rPr>
        <w:t>Hermenéutica bíblica: Para una teoría de la lectura como producción de sentido</w:t>
      </w:r>
      <w:r w:rsidRPr="003C6AC7">
        <w:rPr>
          <w:rFonts w:ascii="Calibri" w:eastAsia="Calibri" w:hAnsi="Calibri" w:cs="Arial"/>
          <w:kern w:val="0"/>
          <w:lang w:val="es-ES"/>
          <w14:ligatures w14:val="none"/>
        </w:rPr>
        <w:t>. Argentina: LUMEN, 2004. (</w:t>
      </w:r>
      <w:r w:rsidRPr="003C6AC7">
        <w:rPr>
          <w:rFonts w:ascii="Calibri" w:eastAsia="Calibri" w:hAnsi="Calibri" w:cs="Arial"/>
          <w:color w:val="0070C0"/>
          <w:kern w:val="0"/>
          <w:lang w:val="es-ES"/>
          <w14:ligatures w14:val="none"/>
        </w:rPr>
        <w:t xml:space="preserve">clásico, </w:t>
      </w:r>
      <w:r w:rsidRPr="003C6AC7">
        <w:rPr>
          <w:rFonts w:ascii="Calibri" w:eastAsia="Calibri" w:hAnsi="Calibri" w:cs="Arial"/>
          <w:kern w:val="0"/>
          <w:lang w:val="es-ES"/>
          <w14:ligatures w14:val="none"/>
        </w:rPr>
        <w:t>última edición)</w:t>
      </w:r>
    </w:p>
    <w:p w14:paraId="6B3A367F" w14:textId="77777777" w:rsidR="003C6AC7" w:rsidRPr="003C6AC7" w:rsidRDefault="003C6AC7" w:rsidP="003C6AC7">
      <w:pPr>
        <w:spacing w:before="120" w:after="0" w:line="276" w:lineRule="auto"/>
        <w:ind w:left="720" w:hanging="720"/>
        <w:jc w:val="both"/>
        <w:rPr>
          <w:rFonts w:ascii="Calibri" w:eastAsia="Calibri" w:hAnsi="Calibri" w:cs="Arial"/>
          <w:kern w:val="0"/>
          <w:lang w:val="es-ES"/>
          <w14:ligatures w14:val="none"/>
        </w:rPr>
      </w:pPr>
      <w:r w:rsidRPr="003C6AC7">
        <w:rPr>
          <w:rFonts w:ascii="Calibri" w:eastAsia="Calibri" w:hAnsi="Calibri" w:cs="Arial"/>
          <w:kern w:val="0"/>
          <w:lang w:val="es-ES"/>
          <w14:ligatures w14:val="none"/>
        </w:rPr>
        <w:t xml:space="preserve">De </w:t>
      </w:r>
      <w:proofErr w:type="spellStart"/>
      <w:r w:rsidRPr="003C6AC7">
        <w:rPr>
          <w:rFonts w:ascii="Calibri" w:eastAsia="Calibri" w:hAnsi="Calibri" w:cs="Arial"/>
          <w:kern w:val="0"/>
          <w:lang w:val="es-ES"/>
          <w14:ligatures w14:val="none"/>
        </w:rPr>
        <w:t>Wit</w:t>
      </w:r>
      <w:proofErr w:type="spellEnd"/>
      <w:r w:rsidRPr="003C6AC7">
        <w:rPr>
          <w:rFonts w:ascii="Calibri" w:eastAsia="Calibri" w:hAnsi="Calibri" w:cs="Arial"/>
          <w:kern w:val="0"/>
          <w:lang w:val="es-ES"/>
          <w14:ligatures w14:val="none"/>
        </w:rPr>
        <w:t xml:space="preserve">, Hans. </w:t>
      </w:r>
      <w:r w:rsidRPr="003C6AC7">
        <w:rPr>
          <w:rFonts w:ascii="Calibri" w:eastAsia="Calibri" w:hAnsi="Calibri" w:cs="Arial"/>
          <w:i/>
          <w:iCs/>
          <w:kern w:val="0"/>
          <w:lang w:val="es-ES"/>
          <w14:ligatures w14:val="none"/>
        </w:rPr>
        <w:t>En la dispersión el texto es patria: introducción a la hermenéutica clásica, moderna y posmoderna.</w:t>
      </w:r>
      <w:r w:rsidRPr="003C6AC7">
        <w:rPr>
          <w:rFonts w:ascii="Calibri" w:eastAsia="Calibri" w:hAnsi="Calibri" w:cs="Arial"/>
          <w:kern w:val="0"/>
          <w:lang w:val="es-ES"/>
          <w14:ligatures w14:val="none"/>
        </w:rPr>
        <w:t xml:space="preserve">  San José: Universidad Bíblica Latinoamericana, 2010. (</w:t>
      </w:r>
      <w:r w:rsidRPr="003C6AC7">
        <w:rPr>
          <w:rFonts w:ascii="Calibri" w:eastAsia="Calibri" w:hAnsi="Calibri" w:cs="Arial"/>
          <w:color w:val="0070C0"/>
          <w:kern w:val="0"/>
          <w:lang w:val="es-ES"/>
          <w14:ligatures w14:val="none"/>
        </w:rPr>
        <w:t xml:space="preserve">clásico, </w:t>
      </w:r>
      <w:r w:rsidRPr="003C6AC7">
        <w:rPr>
          <w:rFonts w:ascii="Calibri" w:eastAsia="Calibri" w:hAnsi="Calibri" w:cs="Arial"/>
          <w:kern w:val="0"/>
          <w:lang w:val="es-ES"/>
          <w14:ligatures w14:val="none"/>
        </w:rPr>
        <w:t>última edición)</w:t>
      </w:r>
    </w:p>
    <w:p w14:paraId="334985BF" w14:textId="77777777" w:rsidR="003C6AC7" w:rsidRPr="003C6AC7" w:rsidRDefault="003C6AC7" w:rsidP="003C6AC7">
      <w:pPr>
        <w:spacing w:before="120" w:after="0" w:line="276" w:lineRule="auto"/>
        <w:ind w:left="720" w:hanging="720"/>
        <w:jc w:val="both"/>
        <w:rPr>
          <w:rFonts w:ascii="Calibri" w:eastAsia="Calibri" w:hAnsi="Calibri" w:cs="Arial"/>
          <w:kern w:val="0"/>
          <w:lang w:val="es-ES"/>
          <w14:ligatures w14:val="none"/>
        </w:rPr>
      </w:pPr>
      <w:r w:rsidRPr="003C6AC7">
        <w:rPr>
          <w:rFonts w:ascii="Calibri" w:eastAsia="Calibri" w:hAnsi="Calibri" w:cs="Arial"/>
          <w:kern w:val="0"/>
          <w:lang w:val="es-ES"/>
          <w14:ligatures w14:val="none"/>
        </w:rPr>
        <w:t xml:space="preserve">De </w:t>
      </w:r>
      <w:proofErr w:type="spellStart"/>
      <w:r w:rsidRPr="003C6AC7">
        <w:rPr>
          <w:rFonts w:ascii="Calibri" w:eastAsia="Calibri" w:hAnsi="Calibri" w:cs="Arial"/>
          <w:kern w:val="0"/>
          <w:lang w:val="es-ES"/>
          <w14:ligatures w14:val="none"/>
        </w:rPr>
        <w:t>Wit</w:t>
      </w:r>
      <w:proofErr w:type="spellEnd"/>
      <w:r w:rsidRPr="003C6AC7">
        <w:rPr>
          <w:rFonts w:ascii="Calibri" w:eastAsia="Calibri" w:hAnsi="Calibri" w:cs="Arial"/>
          <w:kern w:val="0"/>
          <w:lang w:val="es-ES"/>
          <w14:ligatures w14:val="none"/>
        </w:rPr>
        <w:t xml:space="preserve">, Hans y Edgar A. López. </w:t>
      </w:r>
      <w:r w:rsidRPr="003C6AC7">
        <w:rPr>
          <w:rFonts w:ascii="Calibri" w:eastAsia="Calibri" w:hAnsi="Calibri" w:cs="Arial"/>
          <w:i/>
          <w:iCs/>
          <w:kern w:val="0"/>
          <w:lang w:val="es-ES"/>
          <w14:ligatures w14:val="none"/>
        </w:rPr>
        <w:t>Lectura intercultural de la Biblia en contextos de impunidad en América Latina</w:t>
      </w:r>
      <w:r w:rsidRPr="003C6AC7">
        <w:rPr>
          <w:rFonts w:ascii="Calibri" w:eastAsia="Calibri" w:hAnsi="Calibri" w:cs="Arial"/>
          <w:kern w:val="0"/>
          <w:lang w:val="es-ES"/>
          <w14:ligatures w14:val="none"/>
        </w:rPr>
        <w:t>. Colombia: Pontificia Universidad Javeriana, 2013. (</w:t>
      </w:r>
      <w:r w:rsidRPr="003C6AC7">
        <w:rPr>
          <w:rFonts w:ascii="Calibri" w:eastAsia="Calibri" w:hAnsi="Calibri" w:cs="Arial"/>
          <w:color w:val="0070C0"/>
          <w:kern w:val="0"/>
          <w:lang w:val="es-ES"/>
          <w14:ligatures w14:val="none"/>
        </w:rPr>
        <w:t xml:space="preserve">clásico, </w:t>
      </w:r>
      <w:r w:rsidRPr="003C6AC7">
        <w:rPr>
          <w:rFonts w:ascii="Calibri" w:eastAsia="Calibri" w:hAnsi="Calibri" w:cs="Arial"/>
          <w:kern w:val="0"/>
          <w:lang w:val="es-ES"/>
          <w14:ligatures w14:val="none"/>
        </w:rPr>
        <w:t>última edición)</w:t>
      </w:r>
    </w:p>
    <w:p w14:paraId="269CC189" w14:textId="77777777" w:rsidR="003C6AC7" w:rsidRPr="003C6AC7" w:rsidRDefault="003C6AC7" w:rsidP="003C6AC7">
      <w:pPr>
        <w:spacing w:before="120" w:after="0" w:line="276" w:lineRule="auto"/>
        <w:ind w:left="720" w:hanging="720"/>
        <w:jc w:val="both"/>
        <w:rPr>
          <w:rFonts w:ascii="Calibri" w:eastAsia="Calibri" w:hAnsi="Calibri" w:cs="Arial"/>
          <w:kern w:val="0"/>
          <w:lang w:val="es-ES"/>
          <w14:ligatures w14:val="none"/>
        </w:rPr>
      </w:pPr>
      <w:r w:rsidRPr="003C6AC7">
        <w:rPr>
          <w:rFonts w:ascii="Calibri" w:eastAsia="Calibri" w:hAnsi="Calibri" w:cs="Arial"/>
          <w:kern w:val="0"/>
          <w:lang w:val="es-ES"/>
          <w14:ligatures w14:val="none"/>
        </w:rPr>
        <w:t xml:space="preserve">Chipana Quispe, Sofía. “…Has ocultado estas cosas a sabios e inteligente, y se las has revelado a pequeños”. En </w:t>
      </w:r>
      <w:r w:rsidRPr="003C6AC7">
        <w:rPr>
          <w:rFonts w:ascii="Calibri" w:eastAsia="Calibri" w:hAnsi="Calibri" w:cs="Arial"/>
          <w:i/>
          <w:iCs/>
          <w:kern w:val="0"/>
          <w:lang w:val="es-ES"/>
          <w14:ligatures w14:val="none"/>
        </w:rPr>
        <w:t xml:space="preserve">Teología andina, el tejido diverso de la </w:t>
      </w:r>
      <w:r w:rsidRPr="003C6AC7">
        <w:rPr>
          <w:rFonts w:ascii="Calibri" w:eastAsia="Calibri" w:hAnsi="Calibri" w:cs="Arial"/>
          <w:kern w:val="0"/>
          <w:lang w:val="es-ES"/>
          <w14:ligatures w14:val="none"/>
        </w:rPr>
        <w:t xml:space="preserve">fe indígena, coordinado por Josef </w:t>
      </w:r>
      <w:proofErr w:type="spellStart"/>
      <w:r w:rsidRPr="003C6AC7">
        <w:rPr>
          <w:rFonts w:ascii="Calibri" w:eastAsia="Calibri" w:hAnsi="Calibri" w:cs="Arial"/>
          <w:kern w:val="0"/>
          <w:lang w:val="es-ES"/>
          <w14:ligatures w14:val="none"/>
        </w:rPr>
        <w:t>Estermann</w:t>
      </w:r>
      <w:proofErr w:type="spellEnd"/>
      <w:r w:rsidRPr="003C6AC7">
        <w:rPr>
          <w:rFonts w:ascii="Calibri" w:eastAsia="Calibri" w:hAnsi="Calibri" w:cs="Arial"/>
          <w:kern w:val="0"/>
          <w:lang w:val="es-ES"/>
          <w14:ligatures w14:val="none"/>
        </w:rPr>
        <w:t>, 411-430</w:t>
      </w:r>
      <w:r w:rsidRPr="003C6AC7">
        <w:rPr>
          <w:rFonts w:ascii="Calibri" w:eastAsia="Calibri" w:hAnsi="Calibri" w:cs="Arial"/>
          <w:i/>
          <w:iCs/>
          <w:kern w:val="0"/>
          <w:lang w:val="es-ES"/>
          <w14:ligatures w14:val="none"/>
        </w:rPr>
        <w:t>.</w:t>
      </w:r>
      <w:r w:rsidRPr="003C6AC7">
        <w:rPr>
          <w:rFonts w:ascii="Calibri" w:eastAsia="Calibri" w:hAnsi="Calibri" w:cs="Arial"/>
          <w:kern w:val="0"/>
          <w:lang w:val="es-ES"/>
          <w14:ligatures w14:val="none"/>
        </w:rPr>
        <w:t xml:space="preserve"> La Paz: ISEAT, 2006. (</w:t>
      </w:r>
      <w:r w:rsidRPr="003C6AC7">
        <w:rPr>
          <w:rFonts w:ascii="Calibri" w:eastAsia="Calibri" w:hAnsi="Calibri" w:cs="Arial"/>
          <w:color w:val="0070C0"/>
          <w:kern w:val="0"/>
          <w:lang w:val="es-ES"/>
          <w14:ligatures w14:val="none"/>
        </w:rPr>
        <w:t xml:space="preserve">clásico, </w:t>
      </w:r>
      <w:r w:rsidRPr="003C6AC7">
        <w:rPr>
          <w:rFonts w:ascii="Calibri" w:eastAsia="Calibri" w:hAnsi="Calibri" w:cs="Arial"/>
          <w:kern w:val="0"/>
          <w:lang w:val="es-ES"/>
          <w14:ligatures w14:val="none"/>
        </w:rPr>
        <w:t xml:space="preserve">última edición) </w:t>
      </w:r>
    </w:p>
    <w:p w14:paraId="66B973BE" w14:textId="77777777" w:rsidR="003C6AC7" w:rsidRPr="003C6AC7" w:rsidRDefault="003C6AC7" w:rsidP="003C6AC7">
      <w:pPr>
        <w:spacing w:before="120" w:after="0" w:line="276" w:lineRule="auto"/>
        <w:ind w:left="720" w:hanging="720"/>
        <w:jc w:val="both"/>
        <w:rPr>
          <w:rFonts w:ascii="Calibri" w:eastAsia="Calibri" w:hAnsi="Calibri" w:cs="Arial"/>
          <w:kern w:val="0"/>
          <w:lang w:val="es-ES"/>
          <w14:ligatures w14:val="none"/>
        </w:rPr>
      </w:pPr>
      <w:proofErr w:type="spellStart"/>
      <w:r w:rsidRPr="003C6AC7">
        <w:rPr>
          <w:rFonts w:ascii="Calibri" w:eastAsia="Calibri" w:hAnsi="Calibri" w:cs="Arial"/>
          <w:kern w:val="0"/>
          <w:lang w:val="es-ES"/>
          <w14:ligatures w14:val="none"/>
        </w:rPr>
        <w:t>Ferraris</w:t>
      </w:r>
      <w:proofErr w:type="spellEnd"/>
      <w:r w:rsidRPr="003C6AC7">
        <w:rPr>
          <w:rFonts w:ascii="Calibri" w:eastAsia="Calibri" w:hAnsi="Calibri" w:cs="Arial"/>
          <w:kern w:val="0"/>
          <w:lang w:val="es-ES"/>
          <w14:ligatures w14:val="none"/>
        </w:rPr>
        <w:t xml:space="preserve">, Mauricio. </w:t>
      </w:r>
      <w:r w:rsidRPr="003C6AC7">
        <w:rPr>
          <w:rFonts w:ascii="Calibri" w:eastAsia="Calibri" w:hAnsi="Calibri" w:cs="Arial"/>
          <w:i/>
          <w:iCs/>
          <w:kern w:val="0"/>
          <w:lang w:val="es-ES"/>
          <w14:ligatures w14:val="none"/>
        </w:rPr>
        <w:t>Historia de la hermenéutica</w:t>
      </w:r>
      <w:r w:rsidRPr="003C6AC7">
        <w:rPr>
          <w:rFonts w:ascii="Calibri" w:eastAsia="Calibri" w:hAnsi="Calibri" w:cs="Arial"/>
          <w:kern w:val="0"/>
          <w:lang w:val="es-ES"/>
          <w14:ligatures w14:val="none"/>
        </w:rPr>
        <w:t>. México, D.F.: Siglo Veintiuno,</w:t>
      </w:r>
      <w:r w:rsidRPr="003C6AC7">
        <w:rPr>
          <w:rFonts w:ascii="Calibri" w:eastAsia="Calibri" w:hAnsi="Calibri" w:cs="Arial"/>
          <w:i/>
          <w:iCs/>
          <w:kern w:val="0"/>
          <w:lang w:val="es-ES"/>
          <w14:ligatures w14:val="none"/>
        </w:rPr>
        <w:t xml:space="preserve"> </w:t>
      </w:r>
      <w:r w:rsidRPr="003C6AC7">
        <w:rPr>
          <w:rFonts w:ascii="Calibri" w:eastAsia="Calibri" w:hAnsi="Calibri" w:cs="Arial"/>
          <w:kern w:val="0"/>
          <w:lang w:val="es-ES"/>
          <w14:ligatures w14:val="none"/>
        </w:rPr>
        <w:t>2002. (</w:t>
      </w:r>
      <w:r w:rsidRPr="003C6AC7">
        <w:rPr>
          <w:rFonts w:ascii="Calibri" w:eastAsia="Calibri" w:hAnsi="Calibri" w:cs="Arial"/>
          <w:color w:val="0070C0"/>
          <w:kern w:val="0"/>
          <w:lang w:val="es-ES"/>
          <w14:ligatures w14:val="none"/>
        </w:rPr>
        <w:t xml:space="preserve">clásico, </w:t>
      </w:r>
      <w:r w:rsidRPr="003C6AC7">
        <w:rPr>
          <w:rFonts w:ascii="Calibri" w:eastAsia="Calibri" w:hAnsi="Calibri" w:cs="Arial"/>
          <w:kern w:val="0"/>
          <w:lang w:val="es-ES"/>
          <w14:ligatures w14:val="none"/>
        </w:rPr>
        <w:t>última edición)</w:t>
      </w:r>
    </w:p>
    <w:p w14:paraId="739A2B18" w14:textId="77777777" w:rsidR="003C6AC7" w:rsidRPr="003C6AC7" w:rsidRDefault="003C6AC7" w:rsidP="003C6AC7">
      <w:pPr>
        <w:spacing w:before="120" w:after="0" w:line="276" w:lineRule="auto"/>
        <w:ind w:left="720" w:hanging="720"/>
        <w:jc w:val="both"/>
        <w:rPr>
          <w:rFonts w:ascii="Calibri" w:eastAsia="Calibri" w:hAnsi="Calibri" w:cs="Calibri"/>
          <w:kern w:val="0"/>
          <w14:ligatures w14:val="none"/>
        </w:rPr>
      </w:pPr>
      <w:r w:rsidRPr="003C6AC7">
        <w:rPr>
          <w:rFonts w:ascii="Calibri" w:eastAsia="Calibri" w:hAnsi="Calibri" w:cs="Calibri"/>
          <w:kern w:val="0"/>
          <w14:ligatures w14:val="none"/>
        </w:rPr>
        <w:t>Gadamer, Hans-Georg.</w:t>
      </w:r>
      <w:r w:rsidRPr="003C6AC7">
        <w:rPr>
          <w:rFonts w:ascii="Calibri" w:eastAsia="Calibri" w:hAnsi="Calibri" w:cs="Calibri"/>
          <w:color w:val="000000"/>
          <w:kern w:val="0"/>
          <w14:ligatures w14:val="none"/>
        </w:rPr>
        <w:t xml:space="preserve"> </w:t>
      </w:r>
      <w:r w:rsidRPr="003C6AC7">
        <w:rPr>
          <w:rFonts w:ascii="Calibri" w:eastAsia="Calibri" w:hAnsi="Calibri" w:cs="Calibri"/>
          <w:i/>
          <w:iCs/>
          <w:kern w:val="0"/>
          <w14:ligatures w14:val="none"/>
        </w:rPr>
        <w:t>Verdad y método II</w:t>
      </w:r>
      <w:r w:rsidRPr="003C6AC7">
        <w:rPr>
          <w:rFonts w:ascii="Calibri" w:eastAsia="Calibri" w:hAnsi="Calibri" w:cs="Calibri"/>
          <w:kern w:val="0"/>
          <w14:ligatures w14:val="none"/>
        </w:rPr>
        <w:t>. Salamanca: Ediciones Sígueme, 2002. (Clásico, última edición, 2015)</w:t>
      </w:r>
    </w:p>
    <w:p w14:paraId="7C742735" w14:textId="77777777" w:rsidR="003C6AC7" w:rsidRPr="003C6AC7" w:rsidRDefault="003C6AC7" w:rsidP="003C6AC7">
      <w:pPr>
        <w:spacing w:before="120" w:after="0" w:line="276" w:lineRule="auto"/>
        <w:ind w:left="720" w:hanging="720"/>
        <w:jc w:val="both"/>
        <w:rPr>
          <w:rFonts w:ascii="Calibri" w:eastAsia="Calibri" w:hAnsi="Calibri" w:cs="Calibri"/>
          <w:kern w:val="0"/>
          <w14:ligatures w14:val="none"/>
        </w:rPr>
      </w:pPr>
      <w:r w:rsidRPr="003C6AC7">
        <w:rPr>
          <w:rFonts w:ascii="Calibri" w:eastAsia="Calibri" w:hAnsi="Calibri" w:cs="Calibri"/>
          <w:kern w:val="0"/>
          <w14:ligatures w14:val="none"/>
        </w:rPr>
        <w:t xml:space="preserve">García Bachmann, Mercedes. “Evaluación de la prostitución desde los textos bíblicos”. </w:t>
      </w:r>
      <w:r w:rsidRPr="003C6AC7">
        <w:rPr>
          <w:rFonts w:ascii="Calibri" w:eastAsia="Calibri" w:hAnsi="Calibri" w:cs="Calibri"/>
          <w:i/>
          <w:iCs/>
          <w:kern w:val="0"/>
          <w14:ligatures w14:val="none"/>
        </w:rPr>
        <w:t>Cuadernos de Teología</w:t>
      </w:r>
      <w:r w:rsidRPr="003C6AC7">
        <w:rPr>
          <w:rFonts w:ascii="Calibri" w:eastAsia="Calibri" w:hAnsi="Calibri" w:cs="Calibri"/>
          <w:kern w:val="0"/>
          <w14:ligatures w14:val="none"/>
        </w:rPr>
        <w:t>, vol. 19</w:t>
      </w:r>
      <w:r w:rsidRPr="003C6AC7">
        <w:rPr>
          <w:rFonts w:ascii="Calibri" w:eastAsia="Calibri" w:hAnsi="Calibri" w:cs="Calibri"/>
          <w:i/>
          <w:iCs/>
          <w:kern w:val="0"/>
          <w14:ligatures w14:val="none"/>
        </w:rPr>
        <w:t xml:space="preserve"> </w:t>
      </w:r>
      <w:r w:rsidRPr="003C6AC7">
        <w:rPr>
          <w:rFonts w:ascii="Calibri" w:eastAsia="Calibri" w:hAnsi="Calibri" w:cs="Calibri"/>
          <w:kern w:val="0"/>
          <w14:ligatures w14:val="none"/>
        </w:rPr>
        <w:t xml:space="preserve">(2000): 23-35. </w:t>
      </w:r>
    </w:p>
    <w:p w14:paraId="0F112740" w14:textId="77777777" w:rsidR="003C6AC7" w:rsidRPr="003C6AC7" w:rsidRDefault="003C6AC7" w:rsidP="003C6AC7">
      <w:pPr>
        <w:spacing w:before="120" w:after="0" w:line="276" w:lineRule="auto"/>
        <w:ind w:left="720" w:hanging="720"/>
        <w:jc w:val="both"/>
        <w:rPr>
          <w:rFonts w:ascii="Calibri" w:eastAsia="Calibri" w:hAnsi="Calibri" w:cs="Arial"/>
          <w:kern w:val="0"/>
          <w:lang w:val="es-ES"/>
          <w14:ligatures w14:val="none"/>
        </w:rPr>
      </w:pPr>
      <w:r w:rsidRPr="003C6AC7">
        <w:rPr>
          <w:rFonts w:ascii="Calibri" w:eastAsia="Calibri" w:hAnsi="Calibri" w:cs="Arial"/>
          <w:kern w:val="0"/>
          <w:lang w:val="es-ES"/>
          <w14:ligatures w14:val="none"/>
        </w:rPr>
        <w:t>Loades, Ann</w:t>
      </w:r>
      <w:r w:rsidRPr="003C6AC7">
        <w:rPr>
          <w:rFonts w:ascii="Calibri" w:eastAsia="Calibri" w:hAnsi="Calibri" w:cs="Arial"/>
          <w:i/>
          <w:iCs/>
          <w:kern w:val="0"/>
          <w:lang w:val="es-ES"/>
          <w14:ligatures w14:val="none"/>
        </w:rPr>
        <w:t xml:space="preserve">. </w:t>
      </w:r>
      <w:r w:rsidRPr="003C6AC7">
        <w:rPr>
          <w:rFonts w:ascii="Calibri" w:eastAsia="Calibri" w:hAnsi="Calibri" w:cs="Arial"/>
          <w:kern w:val="0"/>
          <w:lang w:val="es-ES"/>
          <w14:ligatures w14:val="none"/>
        </w:rPr>
        <w:t>“La interpretación feminista”.</w:t>
      </w:r>
      <w:r w:rsidRPr="003C6AC7">
        <w:rPr>
          <w:rFonts w:ascii="Calibri" w:eastAsia="Calibri" w:hAnsi="Calibri" w:cs="Arial"/>
          <w:i/>
          <w:iCs/>
          <w:kern w:val="0"/>
          <w:lang w:val="es-ES"/>
          <w14:ligatures w14:val="none"/>
        </w:rPr>
        <w:t xml:space="preserve"> </w:t>
      </w:r>
      <w:r w:rsidRPr="003C6AC7">
        <w:rPr>
          <w:rFonts w:ascii="Calibri" w:eastAsia="Calibri" w:hAnsi="Calibri" w:cs="Arial"/>
          <w:kern w:val="0"/>
          <w:lang w:val="es-ES"/>
          <w14:ligatures w14:val="none"/>
        </w:rPr>
        <w:t>En</w:t>
      </w:r>
      <w:r w:rsidRPr="003C6AC7">
        <w:rPr>
          <w:rFonts w:ascii="Calibri" w:eastAsia="Calibri" w:hAnsi="Calibri" w:cs="Arial"/>
          <w:i/>
          <w:iCs/>
          <w:kern w:val="0"/>
          <w:lang w:val="es-ES"/>
          <w14:ligatures w14:val="none"/>
        </w:rPr>
        <w:t xml:space="preserve"> La interpretación bíblica hoy, </w:t>
      </w:r>
      <w:r w:rsidRPr="003C6AC7">
        <w:rPr>
          <w:rFonts w:ascii="Calibri" w:eastAsia="Calibri" w:hAnsi="Calibri" w:cs="Arial"/>
          <w:kern w:val="0"/>
          <w:lang w:val="es-ES"/>
          <w14:ligatures w14:val="none"/>
        </w:rPr>
        <w:t xml:space="preserve">editado por John Barton, 105-119. Santander, Sal </w:t>
      </w:r>
      <w:proofErr w:type="spellStart"/>
      <w:r w:rsidRPr="003C6AC7">
        <w:rPr>
          <w:rFonts w:ascii="Calibri" w:eastAsia="Calibri" w:hAnsi="Calibri" w:cs="Arial"/>
          <w:kern w:val="0"/>
          <w:lang w:val="es-ES"/>
          <w14:ligatures w14:val="none"/>
        </w:rPr>
        <w:t>Terrae</w:t>
      </w:r>
      <w:proofErr w:type="spellEnd"/>
      <w:r w:rsidRPr="003C6AC7">
        <w:rPr>
          <w:rFonts w:ascii="Calibri" w:eastAsia="Calibri" w:hAnsi="Calibri" w:cs="Arial"/>
          <w:kern w:val="0"/>
          <w:lang w:val="es-ES"/>
          <w14:ligatures w14:val="none"/>
        </w:rPr>
        <w:t>, 2001. (</w:t>
      </w:r>
      <w:r w:rsidRPr="003C6AC7">
        <w:rPr>
          <w:rFonts w:ascii="Calibri" w:eastAsia="Calibri" w:hAnsi="Calibri" w:cs="Arial"/>
          <w:color w:val="0070C0"/>
          <w:kern w:val="0"/>
          <w:lang w:val="es-ES"/>
          <w14:ligatures w14:val="none"/>
        </w:rPr>
        <w:t xml:space="preserve">clásico, </w:t>
      </w:r>
      <w:r w:rsidRPr="003C6AC7">
        <w:rPr>
          <w:rFonts w:ascii="Calibri" w:eastAsia="Calibri" w:hAnsi="Calibri" w:cs="Arial"/>
          <w:kern w:val="0"/>
          <w:lang w:val="es-ES"/>
          <w14:ligatures w14:val="none"/>
        </w:rPr>
        <w:t>última edición)</w:t>
      </w:r>
    </w:p>
    <w:p w14:paraId="201B73A1" w14:textId="77777777" w:rsidR="003C6AC7" w:rsidRPr="003C6AC7" w:rsidRDefault="003C6AC7" w:rsidP="003C6AC7">
      <w:pPr>
        <w:spacing w:before="120" w:after="0" w:line="276" w:lineRule="auto"/>
        <w:ind w:left="720" w:hanging="720"/>
        <w:jc w:val="both"/>
        <w:rPr>
          <w:rFonts w:ascii="Calibri" w:eastAsia="Calibri" w:hAnsi="Calibri" w:cs="Arial"/>
          <w:kern w:val="0"/>
          <w:lang w:val="es-ES"/>
          <w14:ligatures w14:val="none"/>
        </w:rPr>
      </w:pPr>
      <w:r w:rsidRPr="003C6AC7">
        <w:rPr>
          <w:rFonts w:ascii="Calibri" w:eastAsia="Calibri" w:hAnsi="Calibri" w:cs="Arial"/>
          <w:kern w:val="0"/>
          <w:lang w:val="es-ES"/>
          <w14:ligatures w14:val="none"/>
        </w:rPr>
        <w:t xml:space="preserve">López Rodríguez, </w:t>
      </w:r>
      <w:proofErr w:type="spellStart"/>
      <w:r w:rsidRPr="003C6AC7">
        <w:rPr>
          <w:rFonts w:ascii="Calibri" w:eastAsia="Calibri" w:hAnsi="Calibri" w:cs="Arial"/>
          <w:kern w:val="0"/>
          <w:lang w:val="es-ES"/>
          <w14:ligatures w14:val="none"/>
        </w:rPr>
        <w:t>Ediberto</w:t>
      </w:r>
      <w:proofErr w:type="spellEnd"/>
      <w:r w:rsidRPr="003C6AC7">
        <w:rPr>
          <w:rFonts w:ascii="Calibri" w:eastAsia="Calibri" w:hAnsi="Calibri" w:cs="Arial"/>
          <w:kern w:val="0"/>
          <w:lang w:val="es-ES"/>
          <w14:ligatures w14:val="none"/>
        </w:rPr>
        <w:t xml:space="preserve">. </w:t>
      </w:r>
      <w:r w:rsidRPr="003C6AC7">
        <w:rPr>
          <w:rFonts w:ascii="Calibri" w:eastAsia="Calibri" w:hAnsi="Calibri" w:cs="Arial"/>
          <w:i/>
          <w:iCs/>
          <w:kern w:val="0"/>
          <w:lang w:val="es-ES"/>
          <w14:ligatures w14:val="none"/>
        </w:rPr>
        <w:t>Para que comprendiesen las Escrituras: introducción a los métodos exegéticos</w:t>
      </w:r>
      <w:r w:rsidRPr="003C6AC7">
        <w:rPr>
          <w:rFonts w:ascii="Calibri" w:eastAsia="Calibri" w:hAnsi="Calibri" w:cs="Arial"/>
          <w:kern w:val="0"/>
          <w:lang w:val="es-ES"/>
          <w14:ligatures w14:val="none"/>
        </w:rPr>
        <w:t>. San Juan, P.R.: Seminario Evangélico de Puerto Rico, 2003. (</w:t>
      </w:r>
      <w:r w:rsidRPr="003C6AC7">
        <w:rPr>
          <w:rFonts w:ascii="Calibri" w:eastAsia="Calibri" w:hAnsi="Calibri" w:cs="Arial"/>
          <w:color w:val="0070C0"/>
          <w:kern w:val="0"/>
          <w:lang w:val="es-ES"/>
          <w14:ligatures w14:val="none"/>
        </w:rPr>
        <w:t xml:space="preserve">clásico, </w:t>
      </w:r>
      <w:r w:rsidRPr="003C6AC7">
        <w:rPr>
          <w:rFonts w:ascii="Calibri" w:eastAsia="Calibri" w:hAnsi="Calibri" w:cs="Arial"/>
          <w:kern w:val="0"/>
          <w:lang w:val="es-ES"/>
          <w14:ligatures w14:val="none"/>
        </w:rPr>
        <w:t>última edición)</w:t>
      </w:r>
    </w:p>
    <w:p w14:paraId="582FB5DD" w14:textId="77777777" w:rsidR="003C6AC7" w:rsidRPr="003C6AC7" w:rsidRDefault="003C6AC7" w:rsidP="003C6AC7">
      <w:pPr>
        <w:spacing w:before="120" w:after="0" w:line="276" w:lineRule="auto"/>
        <w:ind w:left="720" w:hanging="720"/>
        <w:jc w:val="both"/>
        <w:rPr>
          <w:rFonts w:ascii="Calibri" w:eastAsia="Calibri" w:hAnsi="Calibri" w:cs="Calibri"/>
          <w:kern w:val="0"/>
          <w14:ligatures w14:val="none"/>
        </w:rPr>
      </w:pPr>
      <w:r w:rsidRPr="003C6AC7">
        <w:rPr>
          <w:rFonts w:ascii="Calibri" w:eastAsia="Calibri" w:hAnsi="Calibri" w:cs="Calibri"/>
          <w:kern w:val="0"/>
          <w:lang w:val="fr-FR"/>
          <w14:ligatures w14:val="none"/>
        </w:rPr>
        <w:t xml:space="preserve">Millet, Olivier y Philippe De Robert. </w:t>
      </w:r>
      <w:r w:rsidRPr="003C6AC7">
        <w:rPr>
          <w:rFonts w:ascii="Calibri" w:eastAsia="Calibri" w:hAnsi="Calibri" w:cs="Calibri"/>
          <w:i/>
          <w:iCs/>
          <w:kern w:val="0"/>
          <w14:ligatures w14:val="none"/>
        </w:rPr>
        <w:t>Cultura Bíblica</w:t>
      </w:r>
      <w:r w:rsidRPr="003C6AC7">
        <w:rPr>
          <w:rFonts w:ascii="Calibri" w:eastAsia="Calibri" w:hAnsi="Calibri" w:cs="Calibri"/>
          <w:kern w:val="0"/>
          <w14:ligatures w14:val="none"/>
        </w:rPr>
        <w:t>.</w:t>
      </w:r>
      <w:r w:rsidRPr="003C6AC7">
        <w:rPr>
          <w:rFonts w:ascii="Calibri" w:eastAsia="Calibri" w:hAnsi="Calibri" w:cs="Calibri"/>
          <w:i/>
          <w:iCs/>
          <w:kern w:val="0"/>
          <w14:ligatures w14:val="none"/>
        </w:rPr>
        <w:t xml:space="preserve"> </w:t>
      </w:r>
      <w:r w:rsidRPr="003C6AC7">
        <w:rPr>
          <w:rFonts w:ascii="Calibri" w:eastAsia="Calibri" w:hAnsi="Calibri" w:cs="Calibri"/>
          <w:kern w:val="0"/>
          <w14:ligatures w14:val="none"/>
        </w:rPr>
        <w:t xml:space="preserve">Madrid: Editorial Complutense, </w:t>
      </w:r>
      <w:r w:rsidRPr="003C6AC7">
        <w:rPr>
          <w:rFonts w:ascii="Calibri" w:eastAsia="Calibri" w:hAnsi="Calibri" w:cs="Calibri"/>
          <w:kern w:val="0"/>
          <w:lang w:val="fr-FR"/>
          <w14:ligatures w14:val="none"/>
        </w:rPr>
        <w:t xml:space="preserve">2003. </w:t>
      </w:r>
      <w:r w:rsidRPr="003C6AC7">
        <w:rPr>
          <w:rFonts w:ascii="Calibri" w:eastAsia="Calibri" w:hAnsi="Calibri" w:cs="Calibri"/>
          <w:kern w:val="0"/>
          <w14:ligatures w14:val="none"/>
        </w:rPr>
        <w:t>(</w:t>
      </w:r>
      <w:r w:rsidRPr="003C6AC7">
        <w:rPr>
          <w:rFonts w:ascii="Calibri" w:eastAsia="Calibri" w:hAnsi="Calibri" w:cs="Arial"/>
          <w:color w:val="0070C0"/>
          <w:kern w:val="0"/>
          <w:lang w:val="es-ES"/>
          <w14:ligatures w14:val="none"/>
        </w:rPr>
        <w:t xml:space="preserve">clásico, </w:t>
      </w:r>
      <w:r w:rsidRPr="003C6AC7">
        <w:rPr>
          <w:rFonts w:ascii="Calibri" w:eastAsia="Calibri" w:hAnsi="Calibri" w:cs="Calibri"/>
          <w:kern w:val="0"/>
          <w14:ligatures w14:val="none"/>
        </w:rPr>
        <w:t>última edición)</w:t>
      </w:r>
    </w:p>
    <w:p w14:paraId="3960B8FA" w14:textId="77777777" w:rsidR="003C6AC7" w:rsidRPr="003C6AC7" w:rsidRDefault="003C6AC7" w:rsidP="003C6AC7">
      <w:pPr>
        <w:spacing w:before="120" w:after="0" w:line="276" w:lineRule="auto"/>
        <w:ind w:left="720" w:hanging="720"/>
        <w:jc w:val="both"/>
        <w:rPr>
          <w:rFonts w:ascii="Calibri" w:eastAsia="Calibri" w:hAnsi="Calibri" w:cs="Arial"/>
          <w:kern w:val="0"/>
          <w:lang w:val="es-ES"/>
          <w14:ligatures w14:val="none"/>
        </w:rPr>
      </w:pPr>
      <w:r w:rsidRPr="003C6AC7">
        <w:rPr>
          <w:rFonts w:ascii="Calibri" w:eastAsia="Calibri" w:hAnsi="Calibri" w:cs="Arial"/>
          <w:kern w:val="0"/>
          <w:lang w:val="es-ES"/>
          <w14:ligatures w14:val="none"/>
        </w:rPr>
        <w:t xml:space="preserve">Pérez, Miguel y Julio </w:t>
      </w:r>
      <w:proofErr w:type="spellStart"/>
      <w:r w:rsidRPr="003C6AC7">
        <w:rPr>
          <w:rFonts w:ascii="Calibri" w:eastAsia="Calibri" w:hAnsi="Calibri" w:cs="Arial"/>
          <w:kern w:val="0"/>
          <w:lang w:val="es-ES"/>
          <w14:ligatures w14:val="none"/>
        </w:rPr>
        <w:t>Trebolle</w:t>
      </w:r>
      <w:proofErr w:type="spellEnd"/>
      <w:r w:rsidRPr="003C6AC7">
        <w:rPr>
          <w:rFonts w:ascii="Calibri" w:eastAsia="Calibri" w:hAnsi="Calibri" w:cs="Arial"/>
          <w:kern w:val="0"/>
          <w:lang w:val="es-ES"/>
          <w14:ligatures w14:val="none"/>
        </w:rPr>
        <w:t xml:space="preserve">. </w:t>
      </w:r>
      <w:r w:rsidRPr="003C6AC7">
        <w:rPr>
          <w:rFonts w:ascii="Calibri" w:eastAsia="Calibri" w:hAnsi="Calibri" w:cs="Arial"/>
          <w:i/>
          <w:iCs/>
          <w:kern w:val="0"/>
          <w:lang w:val="es-ES"/>
          <w14:ligatures w14:val="none"/>
        </w:rPr>
        <w:t>Historia de la Biblia</w:t>
      </w:r>
      <w:r w:rsidRPr="003C6AC7">
        <w:rPr>
          <w:rFonts w:ascii="Calibri" w:eastAsia="Calibri" w:hAnsi="Calibri" w:cs="Arial"/>
          <w:kern w:val="0"/>
          <w:lang w:val="es-ES"/>
          <w14:ligatures w14:val="none"/>
        </w:rPr>
        <w:t>. Madrid: Trotta, 2006. (</w:t>
      </w:r>
      <w:r w:rsidRPr="003C6AC7">
        <w:rPr>
          <w:rFonts w:ascii="Calibri" w:eastAsia="Calibri" w:hAnsi="Calibri" w:cs="Arial"/>
          <w:color w:val="0070C0"/>
          <w:kern w:val="0"/>
          <w:lang w:val="es-ES"/>
          <w14:ligatures w14:val="none"/>
        </w:rPr>
        <w:t xml:space="preserve">clásico, </w:t>
      </w:r>
      <w:r w:rsidRPr="003C6AC7">
        <w:rPr>
          <w:rFonts w:ascii="Calibri" w:eastAsia="Calibri" w:hAnsi="Calibri" w:cs="Arial"/>
          <w:kern w:val="0"/>
          <w:lang w:val="es-ES"/>
          <w14:ligatures w14:val="none"/>
        </w:rPr>
        <w:t>última edición)</w:t>
      </w:r>
    </w:p>
    <w:p w14:paraId="4EA5128E" w14:textId="77777777" w:rsidR="003C6AC7" w:rsidRPr="003C6AC7" w:rsidRDefault="003C6AC7" w:rsidP="003C6AC7">
      <w:pPr>
        <w:widowControl w:val="0"/>
        <w:overflowPunct w:val="0"/>
        <w:autoSpaceDE w:val="0"/>
        <w:autoSpaceDN w:val="0"/>
        <w:adjustRightInd w:val="0"/>
        <w:spacing w:before="120" w:after="0" w:line="240" w:lineRule="auto"/>
        <w:ind w:left="720" w:hanging="720"/>
        <w:jc w:val="both"/>
        <w:rPr>
          <w:rFonts w:ascii="Calibri" w:eastAsia="Times New Roman" w:hAnsi="Calibri" w:cs="Calibri"/>
          <w:kern w:val="0"/>
          <w:lang w:val="es-ES_tradnl" w:eastAsia="es-CR"/>
          <w14:ligatures w14:val="none"/>
        </w:rPr>
      </w:pPr>
      <w:r w:rsidRPr="003C6AC7">
        <w:rPr>
          <w:rFonts w:ascii="Calibri" w:eastAsia="Times New Roman" w:hAnsi="Calibri" w:cs="Calibri"/>
          <w:kern w:val="0"/>
          <w:lang w:val="es-ES_tradnl" w:eastAsia="es-CR"/>
          <w14:ligatures w14:val="none"/>
        </w:rPr>
        <w:t>Pimentel Chacón, Jonathan. “Jon Sobrino, construcción de la esperanza y una teología desde el Sur”.</w:t>
      </w:r>
      <w:r w:rsidRPr="003C6AC7">
        <w:rPr>
          <w:rFonts w:ascii="Calibri" w:eastAsia="Times New Roman" w:hAnsi="Calibri" w:cs="Calibri"/>
          <w:i/>
          <w:iCs/>
          <w:kern w:val="0"/>
          <w:lang w:val="es-ES_tradnl" w:eastAsia="es-CR"/>
          <w14:ligatures w14:val="none"/>
        </w:rPr>
        <w:t xml:space="preserve"> Revista Ecuménica</w:t>
      </w:r>
      <w:r w:rsidRPr="003C6AC7">
        <w:rPr>
          <w:rFonts w:ascii="Calibri" w:eastAsia="Times New Roman" w:hAnsi="Calibri" w:cs="Calibri"/>
          <w:kern w:val="0"/>
          <w:lang w:val="es-ES_tradnl" w:eastAsia="es-CR"/>
          <w14:ligatures w14:val="none"/>
        </w:rPr>
        <w:t>,</w:t>
      </w:r>
      <w:r w:rsidRPr="003C6AC7">
        <w:rPr>
          <w:rFonts w:ascii="Calibri" w:eastAsia="Times New Roman" w:hAnsi="Calibri" w:cs="Calibri"/>
          <w:i/>
          <w:iCs/>
          <w:kern w:val="0"/>
          <w:lang w:val="es-ES_tradnl" w:eastAsia="es-CR"/>
          <w14:ligatures w14:val="none"/>
        </w:rPr>
        <w:t xml:space="preserve"> </w:t>
      </w:r>
      <w:r w:rsidRPr="003C6AC7">
        <w:rPr>
          <w:rFonts w:ascii="Calibri" w:eastAsia="Times New Roman" w:hAnsi="Calibri" w:cs="Calibri"/>
          <w:kern w:val="0"/>
          <w:lang w:val="es-ES_tradnl" w:eastAsia="es-CR"/>
          <w14:ligatures w14:val="none"/>
        </w:rPr>
        <w:t xml:space="preserve">2 (2007): 121-138. Acceso el 22 de octubre de 2022. </w:t>
      </w:r>
      <w:hyperlink r:id="rId373" w:history="1">
        <w:r w:rsidRPr="003C6AC7">
          <w:rPr>
            <w:rFonts w:ascii="Calibri" w:eastAsia="Times New Roman" w:hAnsi="Calibri" w:cs="Calibri"/>
            <w:color w:val="0563C1"/>
            <w:kern w:val="0"/>
            <w:u w:val="single"/>
            <w:lang w:val="es-ES_tradnl" w:eastAsia="es-CR"/>
            <w14:ligatures w14:val="none"/>
          </w:rPr>
          <w:t>https://repositorio.una.ac.cr/handle/11056/20226</w:t>
        </w:r>
      </w:hyperlink>
      <w:r w:rsidRPr="003C6AC7">
        <w:rPr>
          <w:rFonts w:ascii="Calibri" w:eastAsia="Times New Roman" w:hAnsi="Calibri" w:cs="Calibri"/>
          <w:kern w:val="0"/>
          <w:lang w:val="es-ES_tradnl" w:eastAsia="es-CR"/>
          <w14:ligatures w14:val="none"/>
        </w:rPr>
        <w:t xml:space="preserve"> </w:t>
      </w:r>
    </w:p>
    <w:p w14:paraId="2DC5B338" w14:textId="77777777" w:rsidR="003C6AC7" w:rsidRPr="003C6AC7" w:rsidRDefault="003C6AC7" w:rsidP="003C6AC7">
      <w:pPr>
        <w:widowControl w:val="0"/>
        <w:overflowPunct w:val="0"/>
        <w:autoSpaceDE w:val="0"/>
        <w:autoSpaceDN w:val="0"/>
        <w:adjustRightInd w:val="0"/>
        <w:spacing w:before="120" w:after="0" w:line="240" w:lineRule="auto"/>
        <w:ind w:left="720" w:hanging="720"/>
        <w:jc w:val="both"/>
        <w:rPr>
          <w:rFonts w:ascii="Calibri" w:eastAsia="Times New Roman" w:hAnsi="Calibri" w:cs="Calibri"/>
          <w:kern w:val="0"/>
          <w:lang w:val="es-ES_tradnl" w:eastAsia="es-CR"/>
          <w14:ligatures w14:val="none"/>
        </w:rPr>
      </w:pPr>
      <w:r w:rsidRPr="003C6AC7">
        <w:rPr>
          <w:rFonts w:ascii="Calibri" w:eastAsia="Times New Roman" w:hAnsi="Calibri" w:cs="Calibri"/>
          <w:kern w:val="0"/>
          <w:lang w:val="es-ES_tradnl" w:eastAsia="es-CR"/>
          <w14:ligatures w14:val="none"/>
        </w:rPr>
        <w:t xml:space="preserve">Ricoeur, Paul. </w:t>
      </w:r>
      <w:r w:rsidRPr="003C6AC7">
        <w:rPr>
          <w:rFonts w:ascii="Calibri" w:eastAsia="Times New Roman" w:hAnsi="Calibri" w:cs="Calibri"/>
          <w:i/>
          <w:iCs/>
          <w:kern w:val="0"/>
          <w:lang w:val="es-ES_tradnl" w:eastAsia="es-CR"/>
          <w14:ligatures w14:val="none"/>
        </w:rPr>
        <w:t>Hermenéutica y acción: de la hermenéutica del texto a la hermenéutica de la acción</w:t>
      </w:r>
      <w:r w:rsidRPr="003C6AC7">
        <w:rPr>
          <w:rFonts w:ascii="Calibri" w:eastAsia="Times New Roman" w:hAnsi="Calibri" w:cs="Calibri"/>
          <w:kern w:val="0"/>
          <w:lang w:val="es-ES_tradnl" w:eastAsia="es-CR"/>
          <w14:ligatures w14:val="none"/>
        </w:rPr>
        <w:t>. Buenos Aires: Prometeo libros, 2008. (</w:t>
      </w:r>
      <w:r w:rsidRPr="003C6AC7">
        <w:rPr>
          <w:rFonts w:ascii="Calibri" w:eastAsia="Times New Roman" w:hAnsi="Calibri" w:cs="Calibri"/>
          <w:color w:val="0070C0"/>
          <w:kern w:val="0"/>
          <w:lang w:val="es-ES_tradnl" w:eastAsia="es-CR"/>
          <w14:ligatures w14:val="none"/>
        </w:rPr>
        <w:t>clásico</w:t>
      </w:r>
      <w:r w:rsidRPr="003C6AC7">
        <w:rPr>
          <w:rFonts w:ascii="Calibri" w:eastAsia="Times New Roman" w:hAnsi="Calibri" w:cs="Arial"/>
          <w:color w:val="0070C0"/>
          <w:kern w:val="0"/>
          <w:sz w:val="24"/>
          <w:szCs w:val="20"/>
          <w:lang w:val="es-ES" w:eastAsia="es-CR"/>
          <w14:ligatures w14:val="none"/>
        </w:rPr>
        <w:t>,</w:t>
      </w:r>
      <w:r w:rsidRPr="003C6AC7">
        <w:rPr>
          <w:rFonts w:ascii="Calibri" w:eastAsia="Times New Roman" w:hAnsi="Calibri" w:cs="Arial"/>
          <w:kern w:val="0"/>
          <w:sz w:val="24"/>
          <w:szCs w:val="20"/>
          <w:lang w:val="es-ES" w:eastAsia="es-CR"/>
          <w14:ligatures w14:val="none"/>
        </w:rPr>
        <w:t xml:space="preserve"> </w:t>
      </w:r>
      <w:r w:rsidRPr="003C6AC7">
        <w:rPr>
          <w:rFonts w:ascii="Calibri" w:eastAsia="Times New Roman" w:hAnsi="Calibri" w:cs="Calibri"/>
          <w:kern w:val="0"/>
          <w:lang w:val="es-ES_tradnl" w:eastAsia="es-CR"/>
          <w14:ligatures w14:val="none"/>
        </w:rPr>
        <w:t>última edición)</w:t>
      </w:r>
    </w:p>
    <w:p w14:paraId="147938D3" w14:textId="77777777" w:rsidR="003C6AC7" w:rsidRPr="003C6AC7" w:rsidRDefault="003C6AC7" w:rsidP="003C6AC7">
      <w:pPr>
        <w:widowControl w:val="0"/>
        <w:overflowPunct w:val="0"/>
        <w:autoSpaceDE w:val="0"/>
        <w:autoSpaceDN w:val="0"/>
        <w:adjustRightInd w:val="0"/>
        <w:spacing w:before="120" w:after="0" w:line="240" w:lineRule="auto"/>
        <w:ind w:left="708" w:hanging="708"/>
        <w:jc w:val="both"/>
        <w:rPr>
          <w:rFonts w:ascii="Calibri" w:eastAsia="Times New Roman" w:hAnsi="Calibri" w:cs="Arial"/>
          <w:kern w:val="0"/>
          <w:lang w:val="es-ES" w:eastAsia="es-CR"/>
          <w14:ligatures w14:val="none"/>
        </w:rPr>
      </w:pPr>
      <w:proofErr w:type="spellStart"/>
      <w:r w:rsidRPr="003C6AC7">
        <w:rPr>
          <w:rFonts w:ascii="Calibri" w:eastAsia="Times New Roman" w:hAnsi="Calibri" w:cs="Arial"/>
          <w:kern w:val="0"/>
          <w:lang w:val="es-ES" w:eastAsia="es-CR"/>
          <w14:ligatures w14:val="none"/>
        </w:rPr>
        <w:t>Schüssler</w:t>
      </w:r>
      <w:proofErr w:type="spellEnd"/>
      <w:r w:rsidRPr="003C6AC7">
        <w:rPr>
          <w:rFonts w:ascii="Calibri" w:eastAsia="Times New Roman" w:hAnsi="Calibri" w:cs="Arial"/>
          <w:kern w:val="0"/>
          <w:lang w:val="es-ES" w:eastAsia="es-CR"/>
          <w14:ligatures w14:val="none"/>
        </w:rPr>
        <w:t xml:space="preserve"> </w:t>
      </w:r>
      <w:proofErr w:type="spellStart"/>
      <w:r w:rsidRPr="003C6AC7">
        <w:rPr>
          <w:rFonts w:ascii="Calibri" w:eastAsia="Times New Roman" w:hAnsi="Calibri" w:cs="Arial"/>
          <w:kern w:val="0"/>
          <w:lang w:val="es-ES" w:eastAsia="es-CR"/>
          <w14:ligatures w14:val="none"/>
        </w:rPr>
        <w:t>Fiorenza</w:t>
      </w:r>
      <w:proofErr w:type="spellEnd"/>
      <w:r w:rsidRPr="003C6AC7">
        <w:rPr>
          <w:rFonts w:ascii="Calibri" w:eastAsia="Times New Roman" w:hAnsi="Calibri" w:cs="Arial"/>
          <w:kern w:val="0"/>
          <w:lang w:val="es-ES" w:eastAsia="es-CR"/>
          <w14:ligatures w14:val="none"/>
        </w:rPr>
        <w:t xml:space="preserve">, Elisabeth. “Entre la investigación y el movimiento social: estudios feministas de la Biblia en el Siglo XX”. En </w:t>
      </w:r>
      <w:r w:rsidRPr="003C6AC7">
        <w:rPr>
          <w:rFonts w:ascii="Calibri" w:eastAsia="Times New Roman" w:hAnsi="Calibri" w:cs="Arial"/>
          <w:i/>
          <w:iCs/>
          <w:kern w:val="0"/>
          <w:lang w:val="es-ES" w:eastAsia="es-CR"/>
          <w14:ligatures w14:val="none"/>
        </w:rPr>
        <w:t>La exégesis feminista del siglo XX: investigación y movimiento</w:t>
      </w:r>
      <w:r w:rsidRPr="003C6AC7">
        <w:rPr>
          <w:rFonts w:ascii="Calibri" w:eastAsia="Times New Roman" w:hAnsi="Calibri" w:cs="Arial"/>
          <w:kern w:val="0"/>
          <w:lang w:val="es-ES" w:eastAsia="es-CR"/>
          <w14:ligatures w14:val="none"/>
        </w:rPr>
        <w:t xml:space="preserve">, </w:t>
      </w:r>
      <w:r w:rsidRPr="003C6AC7">
        <w:rPr>
          <w:rFonts w:ascii="Calibri" w:eastAsia="Times New Roman" w:hAnsi="Calibri" w:cs="Arial"/>
          <w:kern w:val="0"/>
          <w:lang w:val="es-ES" w:eastAsia="es-CR"/>
          <w14:ligatures w14:val="none"/>
        </w:rPr>
        <w:lastRenderedPageBreak/>
        <w:t xml:space="preserve">editado por Elizabeth </w:t>
      </w:r>
      <w:proofErr w:type="spellStart"/>
      <w:r w:rsidRPr="003C6AC7">
        <w:rPr>
          <w:rFonts w:ascii="Calibri" w:eastAsia="Times New Roman" w:hAnsi="Calibri" w:cs="Arial"/>
          <w:kern w:val="0"/>
          <w:lang w:val="es-ES" w:eastAsia="es-CR"/>
          <w14:ligatures w14:val="none"/>
        </w:rPr>
        <w:t>Schüssler</w:t>
      </w:r>
      <w:proofErr w:type="spellEnd"/>
      <w:r w:rsidRPr="003C6AC7">
        <w:rPr>
          <w:rFonts w:ascii="Calibri" w:eastAsia="Times New Roman" w:hAnsi="Calibri" w:cs="Arial"/>
          <w:kern w:val="0"/>
          <w:lang w:val="es-ES" w:eastAsia="es-CR"/>
          <w14:ligatures w14:val="none"/>
        </w:rPr>
        <w:t xml:space="preserve"> </w:t>
      </w:r>
      <w:proofErr w:type="spellStart"/>
      <w:r w:rsidRPr="003C6AC7">
        <w:rPr>
          <w:rFonts w:ascii="Calibri" w:eastAsia="Times New Roman" w:hAnsi="Calibri" w:cs="Arial"/>
          <w:kern w:val="0"/>
          <w:lang w:val="es-ES" w:eastAsia="es-CR"/>
          <w14:ligatures w14:val="none"/>
        </w:rPr>
        <w:t>Fiorenza</w:t>
      </w:r>
      <w:proofErr w:type="spellEnd"/>
      <w:r w:rsidRPr="003C6AC7">
        <w:rPr>
          <w:rFonts w:ascii="Calibri" w:eastAsia="Times New Roman" w:hAnsi="Calibri" w:cs="Arial"/>
          <w:kern w:val="0"/>
          <w:lang w:val="es-ES" w:eastAsia="es-CR"/>
          <w14:ligatures w14:val="none"/>
        </w:rPr>
        <w:t>, 15-32</w:t>
      </w:r>
      <w:r w:rsidRPr="003C6AC7">
        <w:rPr>
          <w:rFonts w:ascii="Calibri" w:eastAsia="Times New Roman" w:hAnsi="Calibri" w:cs="Arial"/>
          <w:i/>
          <w:iCs/>
          <w:kern w:val="0"/>
          <w:lang w:val="es-ES" w:eastAsia="es-CR"/>
          <w14:ligatures w14:val="none"/>
        </w:rPr>
        <w:t>.</w:t>
      </w:r>
      <w:r w:rsidRPr="003C6AC7">
        <w:rPr>
          <w:rFonts w:ascii="Calibri" w:eastAsia="Times New Roman" w:hAnsi="Calibri" w:cs="Arial"/>
          <w:kern w:val="0"/>
          <w:lang w:val="es-ES" w:eastAsia="es-CR"/>
          <w14:ligatures w14:val="none"/>
        </w:rPr>
        <w:t xml:space="preserve"> Navarra: Verbo Divino, 2015. (</w:t>
      </w:r>
      <w:r w:rsidRPr="003C6AC7">
        <w:rPr>
          <w:rFonts w:ascii="Calibri" w:eastAsia="Times New Roman" w:hAnsi="Calibri" w:cs="Calibri"/>
          <w:color w:val="0070C0"/>
          <w:kern w:val="0"/>
          <w:lang w:val="es-ES_tradnl" w:eastAsia="es-CR"/>
          <w14:ligatures w14:val="none"/>
        </w:rPr>
        <w:t>clásico</w:t>
      </w:r>
      <w:r w:rsidRPr="003C6AC7">
        <w:rPr>
          <w:rFonts w:ascii="Calibri" w:eastAsia="Times New Roman" w:hAnsi="Calibri" w:cs="Arial"/>
          <w:color w:val="0070C0"/>
          <w:kern w:val="0"/>
          <w:sz w:val="24"/>
          <w:szCs w:val="20"/>
          <w:lang w:val="es-ES" w:eastAsia="es-CR"/>
          <w14:ligatures w14:val="none"/>
        </w:rPr>
        <w:t xml:space="preserve">, </w:t>
      </w:r>
      <w:r w:rsidRPr="003C6AC7">
        <w:rPr>
          <w:rFonts w:ascii="Calibri" w:eastAsia="Times New Roman" w:hAnsi="Calibri" w:cs="Arial"/>
          <w:kern w:val="0"/>
          <w:lang w:val="es-ES" w:eastAsia="es-CR"/>
          <w14:ligatures w14:val="none"/>
        </w:rPr>
        <w:t>última edición)</w:t>
      </w:r>
    </w:p>
    <w:p w14:paraId="0985A317" w14:textId="77777777" w:rsidR="003C6AC7" w:rsidRPr="003C6AC7" w:rsidRDefault="003C6AC7" w:rsidP="003C6AC7">
      <w:pPr>
        <w:widowControl w:val="0"/>
        <w:overflowPunct w:val="0"/>
        <w:autoSpaceDE w:val="0"/>
        <w:autoSpaceDN w:val="0"/>
        <w:adjustRightInd w:val="0"/>
        <w:spacing w:before="120" w:after="0" w:line="240" w:lineRule="auto"/>
        <w:ind w:left="708" w:hanging="708"/>
        <w:jc w:val="both"/>
        <w:rPr>
          <w:rFonts w:ascii="Calibri" w:eastAsia="Times New Roman" w:hAnsi="Calibri" w:cs="Arial"/>
          <w:kern w:val="0"/>
          <w:lang w:val="es-ES" w:eastAsia="es-CR"/>
          <w14:ligatures w14:val="none"/>
        </w:rPr>
      </w:pPr>
      <w:r w:rsidRPr="003C6AC7">
        <w:rPr>
          <w:rFonts w:ascii="Calibri" w:eastAsia="Times New Roman" w:hAnsi="Calibri" w:cs="Arial"/>
          <w:kern w:val="0"/>
          <w:lang w:val="es-ES" w:eastAsia="es-CR"/>
          <w14:ligatures w14:val="none"/>
        </w:rPr>
        <w:t xml:space="preserve">Segundo, Juan Luis. </w:t>
      </w:r>
      <w:r w:rsidRPr="003C6AC7">
        <w:rPr>
          <w:rFonts w:ascii="Calibri" w:eastAsia="Times New Roman" w:hAnsi="Calibri" w:cs="Arial"/>
          <w:i/>
          <w:iCs/>
          <w:kern w:val="0"/>
          <w:lang w:val="es-ES" w:eastAsia="es-CR"/>
          <w14:ligatures w14:val="none"/>
        </w:rPr>
        <w:t xml:space="preserve">Liberación de la teología. </w:t>
      </w:r>
      <w:r w:rsidRPr="003C6AC7">
        <w:rPr>
          <w:rFonts w:ascii="Calibri" w:eastAsia="Times New Roman" w:hAnsi="Calibri" w:cs="Arial"/>
          <w:kern w:val="0"/>
          <w:lang w:val="es-ES" w:eastAsia="es-CR"/>
          <w14:ligatures w14:val="none"/>
        </w:rPr>
        <w:t xml:space="preserve">México, D.F.: Ediciones Carlos </w:t>
      </w:r>
      <w:proofErr w:type="spellStart"/>
      <w:r w:rsidRPr="003C6AC7">
        <w:rPr>
          <w:rFonts w:ascii="Calibri" w:eastAsia="Times New Roman" w:hAnsi="Calibri" w:cs="Arial"/>
          <w:kern w:val="0"/>
          <w:lang w:val="es-ES" w:eastAsia="es-CR"/>
          <w14:ligatures w14:val="none"/>
        </w:rPr>
        <w:t>Lohlé</w:t>
      </w:r>
      <w:proofErr w:type="spellEnd"/>
      <w:r w:rsidRPr="003C6AC7">
        <w:rPr>
          <w:rFonts w:ascii="Calibri" w:eastAsia="Times New Roman" w:hAnsi="Calibri" w:cs="Arial"/>
          <w:kern w:val="0"/>
          <w:lang w:val="es-ES" w:eastAsia="es-CR"/>
          <w14:ligatures w14:val="none"/>
        </w:rPr>
        <w:t>, 1975. (clásico, última edición)</w:t>
      </w:r>
    </w:p>
    <w:p w14:paraId="66CE51D1" w14:textId="77777777" w:rsidR="003C6AC7" w:rsidRPr="003C6AC7" w:rsidRDefault="003C6AC7" w:rsidP="003C6AC7">
      <w:pPr>
        <w:widowControl w:val="0"/>
        <w:overflowPunct w:val="0"/>
        <w:autoSpaceDE w:val="0"/>
        <w:autoSpaceDN w:val="0"/>
        <w:adjustRightInd w:val="0"/>
        <w:spacing w:before="120" w:after="0" w:line="240" w:lineRule="auto"/>
        <w:ind w:left="708" w:hanging="708"/>
        <w:jc w:val="both"/>
        <w:rPr>
          <w:rFonts w:ascii="Calibri" w:eastAsia="Times New Roman" w:hAnsi="Calibri" w:cs="Calibri"/>
          <w:kern w:val="0"/>
          <w:lang w:val="es-ES_tradnl" w:eastAsia="es-CR"/>
          <w14:ligatures w14:val="none"/>
        </w:rPr>
      </w:pPr>
      <w:r w:rsidRPr="003C6AC7">
        <w:rPr>
          <w:rFonts w:ascii="Calibri" w:eastAsia="Times New Roman" w:hAnsi="Calibri" w:cs="Calibri"/>
          <w:kern w:val="0"/>
          <w:lang w:val="es-ES_tradnl" w:eastAsia="es-CR"/>
          <w14:ligatures w14:val="none"/>
        </w:rPr>
        <w:t>Trigo, Pedro. “El Dios de los pobres”.</w:t>
      </w:r>
      <w:r w:rsidRPr="003C6AC7">
        <w:rPr>
          <w:rFonts w:ascii="Calibri" w:eastAsia="Times New Roman" w:hAnsi="Calibri" w:cs="Calibri"/>
          <w:i/>
          <w:iCs/>
          <w:kern w:val="0"/>
          <w:lang w:val="es-ES_tradnl" w:eastAsia="es-CR"/>
          <w14:ligatures w14:val="none"/>
        </w:rPr>
        <w:t xml:space="preserve"> Revista Latinoamericana de Teología</w:t>
      </w:r>
      <w:r w:rsidRPr="003C6AC7">
        <w:rPr>
          <w:rFonts w:ascii="Calibri" w:eastAsia="Times New Roman" w:hAnsi="Calibri" w:cs="Calibri"/>
          <w:kern w:val="0"/>
          <w:lang w:val="es-ES_tradnl" w:eastAsia="es-CR"/>
          <w14:ligatures w14:val="none"/>
        </w:rPr>
        <w:t xml:space="preserve">, 87 (2012): 245-258. Acceso el 22 de octubre de 2022 </w:t>
      </w:r>
      <w:hyperlink r:id="rId374" w:history="1">
        <w:r w:rsidRPr="003C6AC7">
          <w:rPr>
            <w:rFonts w:ascii="Calibri" w:eastAsia="Times New Roman" w:hAnsi="Calibri" w:cs="Calibri"/>
            <w:color w:val="0563C1"/>
            <w:kern w:val="0"/>
            <w:u w:val="single"/>
            <w:lang w:val="es-ES_tradnl" w:eastAsia="es-CR"/>
            <w14:ligatures w14:val="none"/>
          </w:rPr>
          <w:t>https://doi.org/10.51378/rlt.v29i87.4726</w:t>
        </w:r>
      </w:hyperlink>
      <w:r w:rsidRPr="003C6AC7">
        <w:rPr>
          <w:rFonts w:ascii="Calibri" w:eastAsia="Times New Roman" w:hAnsi="Calibri" w:cs="Calibri"/>
          <w:kern w:val="0"/>
          <w:lang w:val="es-ES_tradnl" w:eastAsia="es-CR"/>
          <w14:ligatures w14:val="none"/>
        </w:rPr>
        <w:t xml:space="preserve"> </w:t>
      </w:r>
    </w:p>
    <w:p w14:paraId="14259C11" w14:textId="77777777" w:rsidR="003C6AC7" w:rsidRPr="003C6AC7" w:rsidRDefault="003C6AC7" w:rsidP="003C6AC7">
      <w:pPr>
        <w:widowControl w:val="0"/>
        <w:overflowPunct w:val="0"/>
        <w:autoSpaceDE w:val="0"/>
        <w:autoSpaceDN w:val="0"/>
        <w:adjustRightInd w:val="0"/>
        <w:spacing w:before="120" w:after="0" w:line="240" w:lineRule="auto"/>
        <w:ind w:left="708" w:hanging="708"/>
        <w:jc w:val="both"/>
        <w:rPr>
          <w:rFonts w:ascii="Calibri" w:eastAsia="Times New Roman" w:hAnsi="Calibri" w:cs="Arial"/>
          <w:kern w:val="0"/>
          <w:lang w:val="es-ES" w:eastAsia="es-CR"/>
          <w14:ligatures w14:val="none"/>
        </w:rPr>
      </w:pPr>
      <w:proofErr w:type="spellStart"/>
      <w:r w:rsidRPr="003C6AC7">
        <w:rPr>
          <w:rFonts w:ascii="Calibri" w:eastAsia="Times New Roman" w:hAnsi="Calibri" w:cs="Arial"/>
          <w:kern w:val="0"/>
          <w:lang w:val="es-ES" w:eastAsia="es-CR"/>
          <w14:ligatures w14:val="none"/>
        </w:rPr>
        <w:t>Vuola</w:t>
      </w:r>
      <w:proofErr w:type="spellEnd"/>
      <w:r w:rsidRPr="003C6AC7">
        <w:rPr>
          <w:rFonts w:ascii="Calibri" w:eastAsia="Times New Roman" w:hAnsi="Calibri" w:cs="Arial"/>
          <w:kern w:val="0"/>
          <w:lang w:val="es-ES" w:eastAsia="es-CR"/>
          <w14:ligatures w14:val="none"/>
        </w:rPr>
        <w:t xml:space="preserve">, Elina. </w:t>
      </w:r>
      <w:r w:rsidRPr="003C6AC7">
        <w:rPr>
          <w:rFonts w:ascii="Calibri" w:eastAsia="Times New Roman" w:hAnsi="Calibri" w:cs="Arial"/>
          <w:i/>
          <w:iCs/>
          <w:kern w:val="0"/>
          <w:lang w:val="es-ES" w:eastAsia="es-CR"/>
          <w14:ligatures w14:val="none"/>
        </w:rPr>
        <w:t xml:space="preserve">Teología feminista, teología de la liberación: los límites de la liberación: (la praxis como método de la teología latinoamericana de la liberación y de la teología feminista). </w:t>
      </w:r>
      <w:r w:rsidRPr="003C6AC7">
        <w:rPr>
          <w:rFonts w:ascii="Calibri" w:eastAsia="Times New Roman" w:hAnsi="Calibri" w:cs="Arial"/>
          <w:kern w:val="0"/>
          <w:lang w:val="es-ES" w:eastAsia="es-CR"/>
          <w14:ligatures w14:val="none"/>
        </w:rPr>
        <w:t>Madrid: IEPALA, 2000. (</w:t>
      </w:r>
      <w:r w:rsidRPr="003C6AC7">
        <w:rPr>
          <w:rFonts w:ascii="Calibri" w:eastAsia="Times New Roman" w:hAnsi="Calibri" w:cs="Arial"/>
          <w:color w:val="0070C0"/>
          <w:kern w:val="0"/>
          <w:lang w:val="es-ES" w:eastAsia="es-CR"/>
          <w14:ligatures w14:val="none"/>
        </w:rPr>
        <w:t>clásico,</w:t>
      </w:r>
      <w:r w:rsidRPr="003C6AC7">
        <w:rPr>
          <w:rFonts w:ascii="Calibri" w:eastAsia="Times New Roman" w:hAnsi="Calibri" w:cs="Arial"/>
          <w:kern w:val="0"/>
          <w:lang w:val="es-ES" w:eastAsia="es-CR"/>
          <w14:ligatures w14:val="none"/>
        </w:rPr>
        <w:t xml:space="preserve"> última edición)</w:t>
      </w:r>
    </w:p>
    <w:p w14:paraId="01E0E330" w14:textId="77777777" w:rsidR="003C6AC7" w:rsidRPr="003C6AC7" w:rsidRDefault="003C6AC7" w:rsidP="003C6AC7">
      <w:pPr>
        <w:widowControl w:val="0"/>
        <w:overflowPunct w:val="0"/>
        <w:autoSpaceDE w:val="0"/>
        <w:autoSpaceDN w:val="0"/>
        <w:adjustRightInd w:val="0"/>
        <w:spacing w:before="120" w:after="0" w:line="240" w:lineRule="auto"/>
        <w:ind w:left="708" w:hanging="708"/>
        <w:jc w:val="both"/>
        <w:rPr>
          <w:rFonts w:ascii="Calibri" w:eastAsia="Times New Roman" w:hAnsi="Calibri" w:cs="Calibri"/>
          <w:kern w:val="0"/>
          <w:lang w:val="es-ES_tradnl" w:eastAsia="es-CR"/>
          <w14:ligatures w14:val="none"/>
        </w:rPr>
      </w:pPr>
    </w:p>
    <w:p w14:paraId="2B7865F5" w14:textId="77777777" w:rsidR="003C6AC7" w:rsidRPr="003C6AC7" w:rsidRDefault="003C6AC7" w:rsidP="003C6AC7">
      <w:pPr>
        <w:overflowPunct w:val="0"/>
        <w:autoSpaceDE w:val="0"/>
        <w:autoSpaceDN w:val="0"/>
        <w:adjustRightInd w:val="0"/>
        <w:jc w:val="both"/>
        <w:rPr>
          <w:rFonts w:ascii="Calibri" w:eastAsia="Times New Roman" w:hAnsi="Calibri" w:cs="Calibri"/>
          <w:b/>
          <w:bCs/>
          <w:kern w:val="0"/>
          <w:lang w:val="es-ES_tradnl" w:eastAsia="es-CR"/>
          <w14:ligatures w14:val="none"/>
        </w:rPr>
      </w:pPr>
      <w:r w:rsidRPr="003C6AC7">
        <w:rPr>
          <w:rFonts w:ascii="Calibri" w:eastAsia="Times New Roman" w:hAnsi="Calibri" w:cs="Calibri"/>
          <w:b/>
          <w:bCs/>
          <w:kern w:val="0"/>
          <w:lang w:val="es-ES_tradnl" w:eastAsia="es-CR"/>
          <w14:ligatures w14:val="none"/>
        </w:rPr>
        <w:t>XII. Bibliografía complementaria</w:t>
      </w:r>
    </w:p>
    <w:p w14:paraId="44EC205A" w14:textId="77777777" w:rsidR="003C6AC7" w:rsidRPr="003C6AC7" w:rsidRDefault="003C6AC7" w:rsidP="003C6AC7">
      <w:pPr>
        <w:overflowPunct w:val="0"/>
        <w:autoSpaceDE w:val="0"/>
        <w:autoSpaceDN w:val="0"/>
        <w:adjustRightInd w:val="0"/>
        <w:jc w:val="both"/>
        <w:rPr>
          <w:rFonts w:ascii="Calibri" w:eastAsia="Times New Roman" w:hAnsi="Calibri" w:cs="Arial"/>
          <w:bCs/>
          <w:color w:val="000000"/>
          <w:kern w:val="0"/>
          <w:lang w:eastAsia="es-CR"/>
          <w14:ligatures w14:val="none"/>
        </w:rPr>
      </w:pPr>
      <w:r w:rsidRPr="003C6AC7">
        <w:rPr>
          <w:rFonts w:ascii="Calibri" w:eastAsia="Times New Roman" w:hAnsi="Calibri" w:cs="Arial"/>
          <w:b/>
          <w:color w:val="000000"/>
          <w:kern w:val="0"/>
          <w:lang w:eastAsia="es-CR"/>
          <w14:ligatures w14:val="none"/>
        </w:rPr>
        <w:t>Nota:</w:t>
      </w:r>
      <w:r w:rsidRPr="003C6AC7">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3C6AC7">
        <w:rPr>
          <w:rFonts w:ascii="Calibri" w:eastAsia="Times New Roman" w:hAnsi="Calibri" w:cs="Arial"/>
          <w:bCs/>
          <w:color w:val="000000"/>
          <w:kern w:val="0"/>
          <w:lang w:eastAsia="es-CR"/>
          <w14:ligatures w14:val="none"/>
        </w:rPr>
        <w:t>pdf</w:t>
      </w:r>
      <w:proofErr w:type="spellEnd"/>
      <w:r w:rsidRPr="003C6AC7">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31A1FDF4" w14:textId="77777777" w:rsidR="003C6AC7" w:rsidRPr="003C6AC7" w:rsidRDefault="003C6AC7" w:rsidP="003C6AC7">
      <w:pPr>
        <w:widowControl w:val="0"/>
        <w:overflowPunct w:val="0"/>
        <w:autoSpaceDE w:val="0"/>
        <w:autoSpaceDN w:val="0"/>
        <w:adjustRightInd w:val="0"/>
        <w:spacing w:before="120" w:after="0" w:line="240" w:lineRule="auto"/>
        <w:ind w:left="720" w:hanging="720"/>
        <w:jc w:val="both"/>
        <w:rPr>
          <w:rFonts w:ascii="Calibri" w:eastAsia="Times New Roman" w:hAnsi="Calibri" w:cs="Arial"/>
          <w:kern w:val="0"/>
          <w:lang w:val="es-ES" w:eastAsia="es-CR"/>
          <w14:ligatures w14:val="none"/>
        </w:rPr>
      </w:pPr>
      <w:proofErr w:type="spellStart"/>
      <w:r w:rsidRPr="003C6AC7">
        <w:rPr>
          <w:rFonts w:ascii="Calibri" w:eastAsia="Times New Roman" w:hAnsi="Calibri" w:cs="Arial"/>
          <w:kern w:val="0"/>
          <w:lang w:val="es-ES" w:eastAsia="es-CR"/>
          <w14:ligatures w14:val="none"/>
        </w:rPr>
        <w:t>Gloor</w:t>
      </w:r>
      <w:proofErr w:type="spellEnd"/>
      <w:r w:rsidRPr="003C6AC7">
        <w:rPr>
          <w:rFonts w:ascii="Calibri" w:eastAsia="Times New Roman" w:hAnsi="Calibri" w:cs="Arial"/>
          <w:kern w:val="0"/>
          <w:lang w:val="es-ES" w:eastAsia="es-CR"/>
          <w14:ligatures w14:val="none"/>
        </w:rPr>
        <w:t xml:space="preserve">, Daniel André. “El arte de vivir: corrientes filosóficas en tiempos del Nuevo Testamento”. </w:t>
      </w:r>
      <w:r w:rsidRPr="003C6AC7">
        <w:rPr>
          <w:rFonts w:ascii="Calibri" w:eastAsia="Times New Roman" w:hAnsi="Calibri" w:cs="Arial"/>
          <w:i/>
          <w:iCs/>
          <w:kern w:val="0"/>
          <w:lang w:val="es-ES" w:eastAsia="es-CR"/>
          <w14:ligatures w14:val="none"/>
        </w:rPr>
        <w:t>Aportes Bíblicos</w:t>
      </w:r>
      <w:r w:rsidRPr="003C6AC7">
        <w:rPr>
          <w:rFonts w:ascii="Calibri" w:eastAsia="Times New Roman" w:hAnsi="Calibri" w:cs="Arial"/>
          <w:kern w:val="0"/>
          <w:lang w:val="es-ES" w:eastAsia="es-CR"/>
          <w14:ligatures w14:val="none"/>
        </w:rPr>
        <w:t xml:space="preserve"> n.º 17 (2013): 97-146. </w:t>
      </w:r>
    </w:p>
    <w:p w14:paraId="2E984AA4" w14:textId="77777777" w:rsidR="003C6AC7" w:rsidRPr="003C6AC7" w:rsidRDefault="003C6AC7" w:rsidP="003C6AC7">
      <w:pPr>
        <w:widowControl w:val="0"/>
        <w:overflowPunct w:val="0"/>
        <w:autoSpaceDE w:val="0"/>
        <w:autoSpaceDN w:val="0"/>
        <w:adjustRightInd w:val="0"/>
        <w:spacing w:before="120" w:after="0" w:line="240" w:lineRule="auto"/>
        <w:ind w:left="720" w:hanging="720"/>
        <w:jc w:val="both"/>
        <w:rPr>
          <w:rFonts w:ascii="Calibri" w:eastAsia="Times New Roman" w:hAnsi="Calibri" w:cs="Arial"/>
          <w:kern w:val="0"/>
          <w:lang w:val="es-ES" w:eastAsia="es-CR"/>
          <w14:ligatures w14:val="none"/>
        </w:rPr>
      </w:pPr>
      <w:r w:rsidRPr="003C6AC7">
        <w:rPr>
          <w:rFonts w:ascii="Calibri" w:eastAsia="Times New Roman" w:hAnsi="Calibri" w:cs="Arial"/>
          <w:kern w:val="0"/>
          <w:lang w:val="es-ES" w:eastAsia="es-CR"/>
          <w14:ligatures w14:val="none"/>
        </w:rPr>
        <w:t xml:space="preserve">Rocha </w:t>
      </w:r>
      <w:proofErr w:type="spellStart"/>
      <w:r w:rsidRPr="003C6AC7">
        <w:rPr>
          <w:rFonts w:ascii="Calibri" w:eastAsia="Times New Roman" w:hAnsi="Calibri" w:cs="Arial"/>
          <w:kern w:val="0"/>
          <w:lang w:val="es-ES" w:eastAsia="es-CR"/>
          <w14:ligatures w14:val="none"/>
        </w:rPr>
        <w:t>Areas</w:t>
      </w:r>
      <w:proofErr w:type="spellEnd"/>
      <w:r w:rsidRPr="003C6AC7">
        <w:rPr>
          <w:rFonts w:ascii="Calibri" w:eastAsia="Times New Roman" w:hAnsi="Calibri" w:cs="Arial"/>
          <w:kern w:val="0"/>
          <w:lang w:val="es-ES" w:eastAsia="es-CR"/>
          <w14:ligatures w14:val="none"/>
        </w:rPr>
        <w:t>, Violeta. </w:t>
      </w:r>
      <w:r w:rsidRPr="003C6AC7">
        <w:rPr>
          <w:rFonts w:ascii="Calibri" w:eastAsia="Times New Roman" w:hAnsi="Calibri" w:cs="Arial"/>
          <w:i/>
          <w:iCs/>
          <w:kern w:val="0"/>
          <w:lang w:val="es-ES" w:eastAsia="es-CR"/>
          <w14:ligatures w14:val="none"/>
        </w:rPr>
        <w:t>El tejido de la Biblia y la vida: relectura bíblica con perspectiva de género.</w:t>
      </w:r>
      <w:r w:rsidRPr="003C6AC7">
        <w:rPr>
          <w:rFonts w:ascii="Calibri" w:eastAsia="Times New Roman" w:hAnsi="Calibri" w:cs="Arial"/>
          <w:kern w:val="0"/>
          <w:lang w:val="es-ES" w:eastAsia="es-CR"/>
          <w14:ligatures w14:val="none"/>
        </w:rPr>
        <w:t xml:space="preserve">  San José: SEBILA, 2012. (</w:t>
      </w:r>
      <w:r w:rsidRPr="003C6AC7">
        <w:rPr>
          <w:rFonts w:ascii="Calibri" w:eastAsia="Times New Roman" w:hAnsi="Calibri" w:cs="Arial"/>
          <w:color w:val="0070C0"/>
          <w:kern w:val="0"/>
          <w:lang w:val="es-ES" w:eastAsia="es-CR"/>
          <w14:ligatures w14:val="none"/>
        </w:rPr>
        <w:t>clásico,</w:t>
      </w:r>
      <w:r w:rsidRPr="003C6AC7">
        <w:rPr>
          <w:rFonts w:ascii="Calibri" w:eastAsia="Times New Roman" w:hAnsi="Calibri" w:cs="Arial"/>
          <w:kern w:val="0"/>
          <w:lang w:val="es-ES" w:eastAsia="es-CR"/>
          <w14:ligatures w14:val="none"/>
        </w:rPr>
        <w:t xml:space="preserve"> última edición)</w:t>
      </w:r>
    </w:p>
    <w:p w14:paraId="06D75851" w14:textId="6B4BA182" w:rsidR="001C79FC" w:rsidRDefault="003C6AC7" w:rsidP="003C6AC7">
      <w:pPr>
        <w:rPr>
          <w:sz w:val="24"/>
          <w:szCs w:val="24"/>
        </w:rPr>
      </w:pPr>
      <w:proofErr w:type="spellStart"/>
      <w:r w:rsidRPr="003C6AC7">
        <w:rPr>
          <w:rFonts w:ascii="Calibri" w:eastAsia="Times New Roman" w:hAnsi="Calibri" w:cs="Arial"/>
          <w:kern w:val="0"/>
          <w:lang w:val="es-ES" w:eastAsia="es-CR"/>
          <w14:ligatures w14:val="none"/>
        </w:rPr>
        <w:t>Roitman</w:t>
      </w:r>
      <w:proofErr w:type="spellEnd"/>
      <w:r w:rsidRPr="003C6AC7">
        <w:rPr>
          <w:rFonts w:ascii="Calibri" w:eastAsia="Times New Roman" w:hAnsi="Calibri" w:cs="Arial"/>
          <w:kern w:val="0"/>
          <w:lang w:val="es-ES" w:eastAsia="es-CR"/>
          <w14:ligatures w14:val="none"/>
        </w:rPr>
        <w:t xml:space="preserve">, Adolfo D. </w:t>
      </w:r>
      <w:r w:rsidRPr="003C6AC7">
        <w:rPr>
          <w:rFonts w:ascii="Calibri" w:eastAsia="Times New Roman" w:hAnsi="Calibri" w:cs="Arial"/>
          <w:i/>
          <w:iCs/>
          <w:kern w:val="0"/>
          <w:lang w:val="es-ES" w:eastAsia="es-CR"/>
          <w14:ligatures w14:val="none"/>
        </w:rPr>
        <w:t>Biblia, exégesis y religión: una lectura crítico-histórica del judaísmo</w:t>
      </w:r>
      <w:r w:rsidRPr="003C6AC7">
        <w:rPr>
          <w:rFonts w:ascii="Calibri" w:eastAsia="Times New Roman" w:hAnsi="Calibri" w:cs="Arial"/>
          <w:kern w:val="0"/>
          <w:lang w:val="es-ES" w:eastAsia="es-CR"/>
          <w14:ligatures w14:val="none"/>
        </w:rPr>
        <w:t>. Estella (Navarra): Verbo Divino, 2010. (</w:t>
      </w:r>
      <w:proofErr w:type="spellStart"/>
      <w:r w:rsidRPr="003C6AC7">
        <w:rPr>
          <w:rFonts w:ascii="Calibri" w:eastAsia="Times New Roman" w:hAnsi="Calibri" w:cs="Arial"/>
          <w:color w:val="0070C0"/>
          <w:kern w:val="0"/>
          <w:lang w:val="es-ES" w:eastAsia="es-CR"/>
          <w14:ligatures w14:val="none"/>
        </w:rPr>
        <w:t>cl</w:t>
      </w:r>
      <w:proofErr w:type="spellEnd"/>
      <w:r>
        <w:rPr>
          <w:sz w:val="24"/>
          <w:szCs w:val="24"/>
        </w:rPr>
        <w:t xml:space="preserve"> </w:t>
      </w:r>
      <w:r w:rsidR="001C79FC">
        <w:rPr>
          <w:sz w:val="24"/>
          <w:szCs w:val="24"/>
        </w:rPr>
        <w:br w:type="page"/>
      </w:r>
    </w:p>
    <w:p w14:paraId="4D1C4F3B" w14:textId="77777777" w:rsidR="002840C3" w:rsidRPr="002840C3" w:rsidRDefault="002840C3" w:rsidP="002840C3">
      <w:pPr>
        <w:widowControl w:val="0"/>
        <w:overflowPunct w:val="0"/>
        <w:autoSpaceDE w:val="0"/>
        <w:autoSpaceDN w:val="0"/>
        <w:adjustRightInd w:val="0"/>
        <w:spacing w:before="120" w:after="0" w:line="240" w:lineRule="auto"/>
        <w:jc w:val="center"/>
        <w:rPr>
          <w:rFonts w:ascii="Arial" w:eastAsia="Times New Roman" w:hAnsi="Arial" w:cs="Arial"/>
          <w:kern w:val="0"/>
          <w:sz w:val="24"/>
          <w:szCs w:val="20"/>
          <w:lang w:val="es-ES_tradnl" w:eastAsia="es-CR"/>
          <w14:ligatures w14:val="none"/>
        </w:rPr>
      </w:pPr>
      <w:r w:rsidRPr="002840C3">
        <w:rPr>
          <w:rFonts w:ascii="Times New Roman" w:eastAsia="Times New Roman" w:hAnsi="Times New Roman" w:cs="Times New Roman"/>
          <w:noProof/>
          <w:kern w:val="0"/>
          <w:sz w:val="24"/>
          <w:szCs w:val="20"/>
          <w:lang w:val="es-ES_tradnl" w:eastAsia="es-CR"/>
          <w14:ligatures w14:val="none"/>
        </w:rPr>
        <w:lastRenderedPageBreak/>
        <w:drawing>
          <wp:inline distT="0" distB="0" distL="0" distR="0" wp14:anchorId="665B58B4" wp14:editId="63F261FE">
            <wp:extent cx="2009775" cy="1548377"/>
            <wp:effectExtent l="0" t="0" r="0" b="0"/>
            <wp:docPr id="476399674"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99674" name="0 Imagen" descr="Logotipo&#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2009775" cy="1548377"/>
                    </a:xfrm>
                    <a:prstGeom prst="rect">
                      <a:avLst/>
                    </a:prstGeom>
                  </pic:spPr>
                </pic:pic>
              </a:graphicData>
            </a:graphic>
          </wp:inline>
        </w:drawing>
      </w:r>
    </w:p>
    <w:p w14:paraId="52185C68" w14:textId="77777777" w:rsidR="002840C3" w:rsidRPr="002840C3" w:rsidRDefault="002840C3" w:rsidP="002840C3">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0"/>
          <w:lang w:eastAsia="es-CR"/>
          <w14:ligatures w14:val="none"/>
        </w:rPr>
      </w:pPr>
    </w:p>
    <w:p w14:paraId="0B9DD0AF" w14:textId="77777777" w:rsidR="002840C3" w:rsidRPr="002840C3" w:rsidRDefault="002840C3" w:rsidP="002840C3">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0"/>
          <w:lang w:eastAsia="es-CR"/>
          <w14:ligatures w14:val="none"/>
        </w:rPr>
      </w:pPr>
      <w:r w:rsidRPr="002840C3">
        <w:rPr>
          <w:rFonts w:ascii="Calibri" w:eastAsia="Times New Roman" w:hAnsi="Calibri" w:cs="Arial"/>
          <w:b/>
          <w:spacing w:val="-2"/>
          <w:kern w:val="0"/>
          <w:sz w:val="24"/>
          <w:szCs w:val="20"/>
          <w:lang w:eastAsia="es-CR"/>
          <w14:ligatures w14:val="none"/>
        </w:rPr>
        <w:t>Universidad Bíblica Latinoamericana</w:t>
      </w:r>
    </w:p>
    <w:p w14:paraId="405B8751" w14:textId="77777777" w:rsidR="002840C3" w:rsidRPr="002840C3" w:rsidRDefault="002840C3" w:rsidP="002840C3">
      <w:pPr>
        <w:keepNext/>
        <w:widowControl w:val="0"/>
        <w:overflowPunct w:val="0"/>
        <w:autoSpaceDE w:val="0"/>
        <w:autoSpaceDN w:val="0"/>
        <w:adjustRightInd w:val="0"/>
        <w:spacing w:after="0" w:line="240" w:lineRule="auto"/>
        <w:jc w:val="center"/>
        <w:outlineLvl w:val="1"/>
        <w:rPr>
          <w:rFonts w:ascii="Calibri" w:eastAsia="Times New Roman" w:hAnsi="Calibri" w:cs="Arial"/>
          <w:b/>
          <w:i/>
          <w:iCs/>
          <w:spacing w:val="-2"/>
          <w:kern w:val="28"/>
          <w:sz w:val="24"/>
          <w:szCs w:val="20"/>
          <w:lang w:eastAsia="es-CR"/>
          <w14:ligatures w14:val="none"/>
        </w:rPr>
      </w:pPr>
      <w:r w:rsidRPr="002840C3">
        <w:rPr>
          <w:rFonts w:ascii="Calibri" w:eastAsia="Times New Roman" w:hAnsi="Calibri" w:cs="Arial"/>
          <w:b/>
          <w:i/>
          <w:iCs/>
          <w:spacing w:val="-2"/>
          <w:kern w:val="28"/>
          <w:sz w:val="24"/>
          <w:szCs w:val="20"/>
          <w:lang w:eastAsia="es-CR"/>
          <w14:ligatures w14:val="none"/>
        </w:rPr>
        <w:t>Facultad de Teología</w:t>
      </w:r>
    </w:p>
    <w:p w14:paraId="1262FBAE" w14:textId="77777777" w:rsidR="002840C3" w:rsidRPr="002840C3" w:rsidRDefault="002840C3" w:rsidP="002840C3">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r w:rsidRPr="002840C3">
        <w:rPr>
          <w:rFonts w:ascii="Calibri" w:eastAsia="Times New Roman" w:hAnsi="Calibri" w:cs="Arial"/>
          <w:b/>
          <w:bCs/>
          <w:kern w:val="0"/>
          <w:sz w:val="24"/>
          <w:szCs w:val="20"/>
          <w:lang w:val="es-ES_tradnl" w:eastAsia="es-CR"/>
          <w14:ligatures w14:val="none"/>
        </w:rPr>
        <w:t xml:space="preserve"> Escuela de Ciencias Bíblicas</w:t>
      </w:r>
    </w:p>
    <w:p w14:paraId="7A5E0019" w14:textId="77777777" w:rsidR="002840C3" w:rsidRPr="002840C3" w:rsidRDefault="002840C3" w:rsidP="002840C3">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p>
    <w:p w14:paraId="0336C0A3" w14:textId="77777777" w:rsidR="002840C3" w:rsidRPr="002840C3" w:rsidRDefault="002840C3" w:rsidP="002840C3">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r w:rsidRPr="002840C3">
        <w:rPr>
          <w:rFonts w:ascii="Calibri" w:eastAsia="Times New Roman" w:hAnsi="Calibri" w:cs="Arial"/>
          <w:b/>
          <w:bCs/>
          <w:kern w:val="0"/>
          <w:sz w:val="24"/>
          <w:szCs w:val="20"/>
          <w:lang w:val="es-ES_tradnl" w:eastAsia="es-CR"/>
          <w14:ligatures w14:val="none"/>
        </w:rPr>
        <w:t>Sílabo</w:t>
      </w:r>
    </w:p>
    <w:p w14:paraId="6688E2F0" w14:textId="77777777" w:rsidR="002840C3" w:rsidRPr="002840C3" w:rsidRDefault="002840C3" w:rsidP="002840C3">
      <w:pPr>
        <w:widowControl w:val="0"/>
        <w:overflowPunct w:val="0"/>
        <w:autoSpaceDE w:val="0"/>
        <w:autoSpaceDN w:val="0"/>
        <w:adjustRightInd w:val="0"/>
        <w:spacing w:after="0" w:line="240" w:lineRule="auto"/>
        <w:jc w:val="center"/>
        <w:rPr>
          <w:rFonts w:ascii="Calibri" w:eastAsia="Times New Roman" w:hAnsi="Calibri" w:cs="Arial"/>
          <w:b/>
          <w:bCs/>
          <w:kern w:val="0"/>
          <w:sz w:val="24"/>
          <w:szCs w:val="20"/>
          <w:lang w:val="es-ES_tradnl" w:eastAsia="es-CR"/>
          <w14:ligatures w14:val="none"/>
        </w:rPr>
      </w:pPr>
      <w:bookmarkStart w:id="52" w:name="CB103"/>
      <w:r w:rsidRPr="002840C3">
        <w:rPr>
          <w:rFonts w:ascii="Calibri" w:eastAsia="Times New Roman" w:hAnsi="Calibri" w:cs="Arial"/>
          <w:b/>
          <w:bCs/>
          <w:kern w:val="0"/>
          <w:sz w:val="24"/>
          <w:szCs w:val="20"/>
          <w:lang w:eastAsia="es-CR"/>
          <w14:ligatures w14:val="none"/>
        </w:rPr>
        <w:t>Griego II</w:t>
      </w:r>
    </w:p>
    <w:bookmarkEnd w:id="52"/>
    <w:p w14:paraId="2C76F419" w14:textId="77777777" w:rsidR="002840C3" w:rsidRPr="002840C3" w:rsidRDefault="002840C3" w:rsidP="002840C3">
      <w:pPr>
        <w:widowControl w:val="0"/>
        <w:overflowPunct w:val="0"/>
        <w:autoSpaceDE w:val="0"/>
        <w:autoSpaceDN w:val="0"/>
        <w:adjustRightInd w:val="0"/>
        <w:spacing w:before="120" w:after="0" w:line="240" w:lineRule="auto"/>
        <w:rPr>
          <w:rFonts w:ascii="Calibri" w:eastAsia="Times New Roman" w:hAnsi="Calibri" w:cs="Arial"/>
          <w:b/>
          <w:bCs/>
          <w:kern w:val="0"/>
          <w:sz w:val="24"/>
          <w:szCs w:val="20"/>
          <w:lang w:val="es-ES_tradnl" w:eastAsia="es-CR"/>
          <w14:ligatures w14:val="none"/>
        </w:rPr>
      </w:pPr>
    </w:p>
    <w:p w14:paraId="6A7F2491" w14:textId="77777777" w:rsidR="002840C3" w:rsidRPr="002840C3" w:rsidRDefault="002840C3" w:rsidP="002840C3">
      <w:pPr>
        <w:widowControl w:val="0"/>
        <w:overflowPunct w:val="0"/>
        <w:autoSpaceDE w:val="0"/>
        <w:autoSpaceDN w:val="0"/>
        <w:adjustRightInd w:val="0"/>
        <w:spacing w:before="120" w:after="0" w:line="240" w:lineRule="auto"/>
        <w:rPr>
          <w:rFonts w:ascii="Calibri" w:eastAsia="Times New Roman" w:hAnsi="Calibri" w:cs="Arial"/>
          <w:b/>
          <w:bCs/>
          <w:kern w:val="0"/>
          <w:sz w:val="24"/>
          <w:szCs w:val="20"/>
          <w:lang w:val="es-ES_tradnl" w:eastAsia="es-CR"/>
          <w14:ligatures w14:val="none"/>
        </w:rPr>
      </w:pPr>
    </w:p>
    <w:tbl>
      <w:tblPr>
        <w:tblStyle w:val="Tablaconcuadrcula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7162"/>
      </w:tblGrid>
      <w:tr w:rsidR="002840C3" w:rsidRPr="002840C3" w14:paraId="68E3FA4F" w14:textId="77777777" w:rsidTr="00104785">
        <w:tc>
          <w:tcPr>
            <w:tcW w:w="1668" w:type="dxa"/>
          </w:tcPr>
          <w:p w14:paraId="2AAAC570" w14:textId="77777777" w:rsidR="002840C3" w:rsidRPr="002840C3" w:rsidRDefault="002840C3" w:rsidP="002840C3">
            <w:pPr>
              <w:rPr>
                <w:rFonts w:ascii="Calibri" w:hAnsi="Calibri" w:cs="Arial"/>
                <w:b/>
                <w:bCs/>
                <w:color w:val="000000"/>
                <w:lang w:val="es-CR"/>
              </w:rPr>
            </w:pPr>
            <w:r w:rsidRPr="002840C3">
              <w:rPr>
                <w:rFonts w:ascii="Calibri" w:hAnsi="Calibri" w:cs="Arial"/>
                <w:b/>
                <w:bCs/>
                <w:color w:val="000000"/>
                <w:lang w:val="es-CR"/>
              </w:rPr>
              <w:t>Código</w:t>
            </w:r>
          </w:p>
        </w:tc>
        <w:tc>
          <w:tcPr>
            <w:tcW w:w="7386" w:type="dxa"/>
          </w:tcPr>
          <w:p w14:paraId="74652FB4" w14:textId="77777777" w:rsidR="002840C3" w:rsidRPr="002840C3" w:rsidRDefault="002840C3" w:rsidP="002840C3">
            <w:pPr>
              <w:rPr>
                <w:rFonts w:ascii="Calibri" w:hAnsi="Calibri" w:cs="Arial"/>
                <w:color w:val="000000"/>
                <w:lang w:val="es-CR"/>
              </w:rPr>
            </w:pPr>
            <w:r w:rsidRPr="002840C3">
              <w:rPr>
                <w:rFonts w:ascii="Calibri" w:hAnsi="Calibri" w:cs="Arial"/>
                <w:color w:val="000000"/>
                <w:lang w:val="es-CR"/>
              </w:rPr>
              <w:t>CB 103</w:t>
            </w:r>
          </w:p>
        </w:tc>
      </w:tr>
      <w:tr w:rsidR="002840C3" w:rsidRPr="002840C3" w14:paraId="574A32FC" w14:textId="77777777" w:rsidTr="00104785">
        <w:tc>
          <w:tcPr>
            <w:tcW w:w="1668" w:type="dxa"/>
          </w:tcPr>
          <w:p w14:paraId="0D069486" w14:textId="77777777" w:rsidR="002840C3" w:rsidRPr="002840C3" w:rsidRDefault="002840C3" w:rsidP="002840C3">
            <w:pPr>
              <w:rPr>
                <w:rFonts w:ascii="Calibri" w:hAnsi="Calibri" w:cs="Arial"/>
                <w:b/>
                <w:bCs/>
                <w:color w:val="000000"/>
                <w:lang w:val="es-CR"/>
              </w:rPr>
            </w:pPr>
            <w:r w:rsidRPr="002840C3">
              <w:rPr>
                <w:rFonts w:ascii="Calibri" w:hAnsi="Calibri" w:cs="Arial"/>
                <w:b/>
                <w:bCs/>
                <w:color w:val="000000"/>
                <w:lang w:val="es-CR"/>
              </w:rPr>
              <w:t>Créditos</w:t>
            </w:r>
          </w:p>
        </w:tc>
        <w:tc>
          <w:tcPr>
            <w:tcW w:w="7386" w:type="dxa"/>
          </w:tcPr>
          <w:p w14:paraId="507C9AC4" w14:textId="77777777" w:rsidR="002840C3" w:rsidRPr="002840C3" w:rsidRDefault="002840C3" w:rsidP="002840C3">
            <w:pPr>
              <w:rPr>
                <w:rFonts w:ascii="Calibri" w:hAnsi="Calibri" w:cs="Arial"/>
                <w:color w:val="000000"/>
                <w:lang w:val="es-CR"/>
              </w:rPr>
            </w:pPr>
            <w:r w:rsidRPr="002840C3">
              <w:rPr>
                <w:rFonts w:ascii="Calibri" w:hAnsi="Calibri" w:cs="Arial"/>
                <w:color w:val="000000"/>
                <w:lang w:val="es-CR"/>
              </w:rPr>
              <w:t>4</w:t>
            </w:r>
          </w:p>
        </w:tc>
      </w:tr>
      <w:tr w:rsidR="002840C3" w:rsidRPr="002840C3" w14:paraId="57EAE04F" w14:textId="77777777" w:rsidTr="00104785">
        <w:tc>
          <w:tcPr>
            <w:tcW w:w="1668" w:type="dxa"/>
          </w:tcPr>
          <w:p w14:paraId="5492C8F5" w14:textId="77777777" w:rsidR="002840C3" w:rsidRPr="002840C3" w:rsidRDefault="002840C3" w:rsidP="002840C3">
            <w:pPr>
              <w:rPr>
                <w:rFonts w:ascii="Calibri" w:hAnsi="Calibri" w:cs="Arial"/>
                <w:b/>
                <w:bCs/>
                <w:color w:val="000000"/>
                <w:lang w:val="es-CR"/>
              </w:rPr>
            </w:pPr>
            <w:r w:rsidRPr="002840C3">
              <w:rPr>
                <w:rFonts w:ascii="Calibri" w:hAnsi="Calibri" w:cs="Arial"/>
                <w:b/>
                <w:bCs/>
                <w:color w:val="000000"/>
                <w:lang w:val="es-CR"/>
              </w:rPr>
              <w:t>Requisitos</w:t>
            </w:r>
          </w:p>
        </w:tc>
        <w:tc>
          <w:tcPr>
            <w:tcW w:w="7386" w:type="dxa"/>
          </w:tcPr>
          <w:p w14:paraId="1E344FEC" w14:textId="77777777" w:rsidR="002840C3" w:rsidRPr="002840C3" w:rsidRDefault="002840C3" w:rsidP="002840C3">
            <w:pPr>
              <w:rPr>
                <w:rFonts w:ascii="Calibri" w:hAnsi="Calibri" w:cs="Arial"/>
                <w:color w:val="000000"/>
                <w:lang w:val="es-CR"/>
              </w:rPr>
            </w:pPr>
            <w:r w:rsidRPr="002840C3">
              <w:rPr>
                <w:rFonts w:ascii="Calibri" w:hAnsi="Calibri" w:cs="Arial"/>
                <w:color w:val="000000"/>
                <w:lang w:val="es-CR"/>
              </w:rPr>
              <w:t>CB 102</w:t>
            </w:r>
          </w:p>
        </w:tc>
      </w:tr>
      <w:tr w:rsidR="002840C3" w:rsidRPr="002840C3" w14:paraId="0C58BCB2" w14:textId="77777777" w:rsidTr="00104785">
        <w:tc>
          <w:tcPr>
            <w:tcW w:w="1668" w:type="dxa"/>
          </w:tcPr>
          <w:p w14:paraId="68AC0CCA" w14:textId="77777777" w:rsidR="002840C3" w:rsidRPr="002840C3" w:rsidRDefault="002840C3" w:rsidP="002840C3">
            <w:pPr>
              <w:rPr>
                <w:rFonts w:ascii="Calibri" w:hAnsi="Calibri" w:cs="Arial"/>
                <w:b/>
                <w:bCs/>
                <w:color w:val="000000"/>
                <w:lang w:val="es-CR"/>
              </w:rPr>
            </w:pPr>
            <w:r w:rsidRPr="002840C3">
              <w:rPr>
                <w:rFonts w:ascii="Calibri" w:hAnsi="Calibri" w:cs="Arial"/>
                <w:b/>
                <w:bCs/>
                <w:color w:val="000000"/>
                <w:lang w:val="es-CR"/>
              </w:rPr>
              <w:t>Modalidad</w:t>
            </w:r>
          </w:p>
        </w:tc>
        <w:tc>
          <w:tcPr>
            <w:tcW w:w="7386" w:type="dxa"/>
          </w:tcPr>
          <w:p w14:paraId="2B739646" w14:textId="77777777" w:rsidR="002840C3" w:rsidRPr="002840C3" w:rsidRDefault="002840C3" w:rsidP="002840C3">
            <w:pPr>
              <w:rPr>
                <w:rFonts w:ascii="Calibri" w:hAnsi="Calibri" w:cs="Arial"/>
                <w:color w:val="000000"/>
                <w:lang w:val="es-CR"/>
              </w:rPr>
            </w:pPr>
            <w:r w:rsidRPr="002840C3">
              <w:rPr>
                <w:rFonts w:ascii="Calibri" w:hAnsi="Calibri" w:cs="Arial"/>
                <w:color w:val="000000"/>
                <w:lang w:val="es-CR"/>
              </w:rPr>
              <w:t>Virtual</w:t>
            </w:r>
          </w:p>
        </w:tc>
      </w:tr>
      <w:tr w:rsidR="002840C3" w:rsidRPr="002840C3" w14:paraId="449F8B71" w14:textId="77777777" w:rsidTr="00104785">
        <w:tc>
          <w:tcPr>
            <w:tcW w:w="1668" w:type="dxa"/>
          </w:tcPr>
          <w:p w14:paraId="434BB428" w14:textId="77777777" w:rsidR="002840C3" w:rsidRPr="002840C3" w:rsidRDefault="002840C3" w:rsidP="002840C3">
            <w:pPr>
              <w:rPr>
                <w:rFonts w:ascii="Calibri" w:hAnsi="Calibri" w:cs="Arial"/>
                <w:b/>
                <w:bCs/>
                <w:color w:val="000000"/>
                <w:lang w:val="es-CR"/>
              </w:rPr>
            </w:pPr>
            <w:r w:rsidRPr="002840C3">
              <w:rPr>
                <w:rFonts w:ascii="Calibri" w:hAnsi="Calibri" w:cs="Arial"/>
                <w:b/>
                <w:bCs/>
                <w:color w:val="000000"/>
                <w:lang w:val="es-CR"/>
              </w:rPr>
              <w:t>Naturaleza</w:t>
            </w:r>
          </w:p>
        </w:tc>
        <w:tc>
          <w:tcPr>
            <w:tcW w:w="7386" w:type="dxa"/>
          </w:tcPr>
          <w:p w14:paraId="4A4B44E9" w14:textId="77777777" w:rsidR="002840C3" w:rsidRPr="002840C3" w:rsidRDefault="002840C3" w:rsidP="002840C3">
            <w:pPr>
              <w:rPr>
                <w:rFonts w:ascii="Calibri" w:hAnsi="Calibri" w:cs="Arial"/>
                <w:color w:val="000000"/>
                <w:lang w:val="es-CR"/>
              </w:rPr>
            </w:pPr>
            <w:r w:rsidRPr="002840C3">
              <w:rPr>
                <w:rFonts w:ascii="Calibri" w:hAnsi="Calibri" w:cs="Arial"/>
                <w:color w:val="000000"/>
                <w:lang w:val="es-CR"/>
              </w:rPr>
              <w:t>Teórico-práctico</w:t>
            </w:r>
          </w:p>
        </w:tc>
      </w:tr>
      <w:tr w:rsidR="002840C3" w:rsidRPr="002840C3" w14:paraId="240AB953" w14:textId="77777777" w:rsidTr="00104785">
        <w:tc>
          <w:tcPr>
            <w:tcW w:w="1668" w:type="dxa"/>
          </w:tcPr>
          <w:p w14:paraId="37B53E00" w14:textId="77777777" w:rsidR="002840C3" w:rsidRPr="002840C3" w:rsidRDefault="002840C3" w:rsidP="002840C3">
            <w:pPr>
              <w:rPr>
                <w:rFonts w:ascii="Calibri" w:hAnsi="Calibri" w:cs="Arial"/>
                <w:b/>
                <w:bCs/>
                <w:color w:val="000000"/>
                <w:lang w:val="es-CR"/>
              </w:rPr>
            </w:pPr>
            <w:r w:rsidRPr="002840C3">
              <w:rPr>
                <w:rFonts w:ascii="Calibri" w:hAnsi="Calibri" w:cs="Arial"/>
                <w:b/>
                <w:bCs/>
                <w:color w:val="000000"/>
                <w:lang w:val="es-CR"/>
              </w:rPr>
              <w:t>Periodo</w:t>
            </w:r>
          </w:p>
        </w:tc>
        <w:tc>
          <w:tcPr>
            <w:tcW w:w="7386" w:type="dxa"/>
          </w:tcPr>
          <w:p w14:paraId="3F185892" w14:textId="77777777" w:rsidR="002840C3" w:rsidRPr="002840C3" w:rsidRDefault="002840C3" w:rsidP="002840C3">
            <w:pPr>
              <w:rPr>
                <w:rFonts w:ascii="Calibri" w:hAnsi="Calibri" w:cs="Arial"/>
                <w:color w:val="000000"/>
                <w:lang w:val="es-CR"/>
              </w:rPr>
            </w:pPr>
            <w:r w:rsidRPr="002840C3">
              <w:rPr>
                <w:rFonts w:ascii="Calibri" w:hAnsi="Calibri" w:cs="Arial"/>
                <w:color w:val="000000"/>
                <w:lang w:val="es-CR"/>
              </w:rPr>
              <w:t>Cuatrimestral (15 semanas lectivas)</w:t>
            </w:r>
          </w:p>
        </w:tc>
      </w:tr>
      <w:tr w:rsidR="002840C3" w:rsidRPr="002840C3" w14:paraId="7D38736E" w14:textId="77777777" w:rsidTr="00104785">
        <w:tc>
          <w:tcPr>
            <w:tcW w:w="1668" w:type="dxa"/>
          </w:tcPr>
          <w:p w14:paraId="4A74684A" w14:textId="77777777" w:rsidR="002840C3" w:rsidRPr="002840C3" w:rsidRDefault="002840C3" w:rsidP="002840C3">
            <w:pPr>
              <w:rPr>
                <w:rFonts w:ascii="Calibri" w:hAnsi="Calibri" w:cs="Arial"/>
                <w:b/>
                <w:bCs/>
                <w:color w:val="000000"/>
                <w:lang w:val="es-CR"/>
              </w:rPr>
            </w:pPr>
            <w:r w:rsidRPr="002840C3">
              <w:rPr>
                <w:rFonts w:ascii="Calibri" w:hAnsi="Calibri" w:cs="Arial"/>
                <w:b/>
                <w:bCs/>
                <w:color w:val="000000"/>
                <w:lang w:val="es-CR"/>
              </w:rPr>
              <w:t>Nivel</w:t>
            </w:r>
          </w:p>
        </w:tc>
        <w:tc>
          <w:tcPr>
            <w:tcW w:w="7386" w:type="dxa"/>
          </w:tcPr>
          <w:p w14:paraId="6ED1AF21" w14:textId="77777777" w:rsidR="002840C3" w:rsidRPr="002840C3" w:rsidRDefault="002840C3" w:rsidP="002840C3">
            <w:pPr>
              <w:rPr>
                <w:rFonts w:ascii="Calibri" w:hAnsi="Calibri" w:cs="Arial"/>
                <w:color w:val="000000"/>
                <w:lang w:val="es-CR"/>
              </w:rPr>
            </w:pPr>
            <w:r w:rsidRPr="002840C3">
              <w:rPr>
                <w:rFonts w:ascii="Calibri" w:hAnsi="Calibri" w:cs="Arial"/>
                <w:color w:val="000000"/>
                <w:lang w:val="es-CR"/>
              </w:rPr>
              <w:t>VI Cuatrimestre</w:t>
            </w:r>
          </w:p>
        </w:tc>
      </w:tr>
      <w:tr w:rsidR="002840C3" w:rsidRPr="002840C3" w14:paraId="52A2913A" w14:textId="77777777" w:rsidTr="00104785">
        <w:tc>
          <w:tcPr>
            <w:tcW w:w="1668" w:type="dxa"/>
          </w:tcPr>
          <w:p w14:paraId="79B13945" w14:textId="77777777" w:rsidR="002840C3" w:rsidRPr="002840C3" w:rsidRDefault="002840C3" w:rsidP="002840C3">
            <w:pPr>
              <w:rPr>
                <w:rFonts w:ascii="Calibri" w:hAnsi="Calibri" w:cs="Arial"/>
                <w:b/>
                <w:bCs/>
                <w:color w:val="000000"/>
                <w:lang w:val="es-CR"/>
              </w:rPr>
            </w:pPr>
            <w:r w:rsidRPr="002840C3">
              <w:rPr>
                <w:rFonts w:ascii="Calibri" w:hAnsi="Calibri" w:cs="Arial"/>
                <w:b/>
                <w:bCs/>
                <w:color w:val="000000"/>
                <w:lang w:val="es-CR"/>
              </w:rPr>
              <w:t>Horario</w:t>
            </w:r>
          </w:p>
        </w:tc>
        <w:tc>
          <w:tcPr>
            <w:tcW w:w="7386" w:type="dxa"/>
          </w:tcPr>
          <w:p w14:paraId="1EEF0514" w14:textId="77777777" w:rsidR="002840C3" w:rsidRPr="002840C3" w:rsidRDefault="002840C3" w:rsidP="002840C3">
            <w:pPr>
              <w:rPr>
                <w:rFonts w:ascii="Calibri" w:hAnsi="Calibri" w:cs="Arial"/>
                <w:color w:val="000000"/>
                <w:lang w:val="es-CR"/>
              </w:rPr>
            </w:pPr>
            <w:r w:rsidRPr="002840C3">
              <w:rPr>
                <w:rFonts w:ascii="Calibri" w:hAnsi="Calibri" w:cs="Arial"/>
                <w:color w:val="000000"/>
                <w:lang w:val="es-CR"/>
              </w:rPr>
              <w:t>El curso requiere de 12 horas de trabajo semanal</w:t>
            </w:r>
          </w:p>
        </w:tc>
      </w:tr>
      <w:tr w:rsidR="002840C3" w:rsidRPr="002840C3" w14:paraId="3988A2CF" w14:textId="77777777" w:rsidTr="00104785">
        <w:tc>
          <w:tcPr>
            <w:tcW w:w="1668" w:type="dxa"/>
          </w:tcPr>
          <w:p w14:paraId="41AA4A6B" w14:textId="77777777" w:rsidR="002840C3" w:rsidRPr="002840C3" w:rsidRDefault="002840C3" w:rsidP="002840C3">
            <w:pPr>
              <w:rPr>
                <w:rFonts w:ascii="Calibri" w:hAnsi="Calibri" w:cs="Arial"/>
                <w:b/>
                <w:bCs/>
                <w:color w:val="000000"/>
                <w:lang w:val="es-CR"/>
              </w:rPr>
            </w:pPr>
            <w:r w:rsidRPr="002840C3">
              <w:rPr>
                <w:rFonts w:ascii="Calibri" w:hAnsi="Calibri" w:cs="Arial"/>
                <w:b/>
                <w:bCs/>
                <w:color w:val="000000"/>
                <w:lang w:val="es-CR"/>
              </w:rPr>
              <w:t>Aula</w:t>
            </w:r>
          </w:p>
        </w:tc>
        <w:tc>
          <w:tcPr>
            <w:tcW w:w="7386" w:type="dxa"/>
          </w:tcPr>
          <w:p w14:paraId="3CF5B760" w14:textId="77777777" w:rsidR="002840C3" w:rsidRPr="002840C3" w:rsidRDefault="002840C3" w:rsidP="002840C3">
            <w:pPr>
              <w:rPr>
                <w:rFonts w:ascii="Calibri" w:hAnsi="Calibri" w:cs="Arial"/>
                <w:color w:val="000000"/>
                <w:lang w:val="es-CR"/>
              </w:rPr>
            </w:pPr>
            <w:r w:rsidRPr="002840C3">
              <w:rPr>
                <w:rFonts w:ascii="Calibri" w:hAnsi="Calibri" w:cs="Arial"/>
                <w:color w:val="000000"/>
                <w:lang w:val="es-CR"/>
              </w:rPr>
              <w:t>Plataforma virtual de la UBL</w:t>
            </w:r>
          </w:p>
        </w:tc>
      </w:tr>
      <w:tr w:rsidR="002840C3" w:rsidRPr="002840C3" w14:paraId="2D09619B" w14:textId="77777777" w:rsidTr="00104785">
        <w:tc>
          <w:tcPr>
            <w:tcW w:w="1668" w:type="dxa"/>
          </w:tcPr>
          <w:p w14:paraId="49DABD3C" w14:textId="77777777" w:rsidR="002840C3" w:rsidRPr="002840C3" w:rsidRDefault="002840C3" w:rsidP="002840C3">
            <w:pPr>
              <w:rPr>
                <w:rFonts w:ascii="Calibri" w:hAnsi="Calibri" w:cs="Arial"/>
                <w:b/>
                <w:bCs/>
                <w:color w:val="000000"/>
                <w:lang w:val="es-CR"/>
              </w:rPr>
            </w:pPr>
            <w:r w:rsidRPr="002840C3">
              <w:rPr>
                <w:rFonts w:ascii="Calibri" w:hAnsi="Calibri" w:cs="Arial"/>
                <w:b/>
                <w:bCs/>
                <w:color w:val="000000"/>
                <w:lang w:val="es-CR"/>
              </w:rPr>
              <w:t>Docente</w:t>
            </w:r>
          </w:p>
        </w:tc>
        <w:tc>
          <w:tcPr>
            <w:tcW w:w="7386" w:type="dxa"/>
          </w:tcPr>
          <w:p w14:paraId="679A7F0F" w14:textId="77777777" w:rsidR="002840C3" w:rsidRPr="002840C3" w:rsidRDefault="002840C3" w:rsidP="002840C3">
            <w:pPr>
              <w:rPr>
                <w:rFonts w:ascii="Calibri" w:hAnsi="Calibri" w:cs="Arial"/>
                <w:color w:val="000000"/>
                <w:lang w:val="es-CR"/>
              </w:rPr>
            </w:pPr>
          </w:p>
        </w:tc>
      </w:tr>
      <w:tr w:rsidR="002840C3" w:rsidRPr="002840C3" w14:paraId="01E73E07" w14:textId="77777777" w:rsidTr="00104785">
        <w:tc>
          <w:tcPr>
            <w:tcW w:w="1668" w:type="dxa"/>
            <w:vAlign w:val="center"/>
          </w:tcPr>
          <w:p w14:paraId="5BF23426" w14:textId="77777777" w:rsidR="002840C3" w:rsidRPr="002840C3" w:rsidRDefault="002840C3" w:rsidP="002840C3">
            <w:pPr>
              <w:rPr>
                <w:rFonts w:ascii="Calibri" w:hAnsi="Calibri" w:cs="Arial"/>
                <w:color w:val="000000"/>
                <w:lang w:val="es-CR"/>
              </w:rPr>
            </w:pPr>
            <w:r w:rsidRPr="002840C3">
              <w:rPr>
                <w:rFonts w:ascii="Calibri" w:hAnsi="Calibri" w:cs="Arial"/>
                <w:b/>
                <w:bCs/>
                <w:color w:val="000000"/>
                <w:lang w:val="es-CR"/>
              </w:rPr>
              <w:t>Instrucciones administrativas</w:t>
            </w:r>
          </w:p>
        </w:tc>
        <w:tc>
          <w:tcPr>
            <w:tcW w:w="7386" w:type="dxa"/>
          </w:tcPr>
          <w:p w14:paraId="75C78286" w14:textId="77777777" w:rsidR="002840C3" w:rsidRPr="002840C3" w:rsidRDefault="002840C3" w:rsidP="002840C3">
            <w:pPr>
              <w:rPr>
                <w:rFonts w:ascii="Calibri" w:hAnsi="Calibri" w:cs="Arial"/>
                <w:lang w:val="es-CR"/>
              </w:rPr>
            </w:pPr>
            <w:r w:rsidRPr="002840C3">
              <w:rPr>
                <w:rFonts w:ascii="Calibri" w:hAnsi="Calibri" w:cs="Arial"/>
                <w:color w:val="000000"/>
                <w:lang w:val="es-CR"/>
              </w:rPr>
              <w:t>El curso es virtual, por lo que se requiere de acceso a una computadora con conexión a Internet, además de destrezas básicas para el manejo de correo electrónico y la plataforma Moodle desde el rol de estudiante. Por su naturaleza teórico-práctica, en este curso se debe invertir tres horas semanales en trabajos prácticos.</w:t>
            </w:r>
            <w:r w:rsidRPr="002840C3">
              <w:rPr>
                <w:rFonts w:ascii="Calibri" w:hAnsi="Calibri" w:cs="Arial"/>
                <w:lang w:val="es-CR"/>
              </w:rPr>
              <w:t xml:space="preserve"> La dirección de acceso a la plataforma es la siguiente: </w:t>
            </w:r>
            <w:hyperlink r:id="rId375">
              <w:r w:rsidRPr="002840C3">
                <w:rPr>
                  <w:rFonts w:ascii="Calibri" w:hAnsi="Calibri" w:cs="Arial"/>
                  <w:color w:val="0563C1"/>
                  <w:u w:val="single"/>
                  <w:lang w:val="es-CR"/>
                </w:rPr>
                <w:t>https://campus.ubl.ac.cr/login/index.php</w:t>
              </w:r>
            </w:hyperlink>
          </w:p>
        </w:tc>
      </w:tr>
    </w:tbl>
    <w:p w14:paraId="1F434306" w14:textId="77777777" w:rsidR="002840C3" w:rsidRPr="002840C3" w:rsidRDefault="002840C3" w:rsidP="002840C3">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p>
    <w:p w14:paraId="726F04A9"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b/>
          <w:bCs/>
          <w:color w:val="000000"/>
          <w:kern w:val="0"/>
          <w:lang w:val="es-ES_tradnl" w:eastAsia="es-CR"/>
          <w14:ligatures w14:val="none"/>
        </w:rPr>
      </w:pPr>
    </w:p>
    <w:p w14:paraId="2812C32E"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b/>
          <w:bCs/>
          <w:color w:val="000000"/>
          <w:kern w:val="0"/>
          <w:lang w:val="es-ES_tradnl" w:eastAsia="es-CR"/>
          <w14:ligatures w14:val="none"/>
        </w:rPr>
      </w:pPr>
    </w:p>
    <w:p w14:paraId="72D671E2"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b/>
          <w:bCs/>
          <w:color w:val="000000"/>
          <w:kern w:val="0"/>
          <w:lang w:val="es-ES_tradnl" w:eastAsia="es-CR"/>
          <w14:ligatures w14:val="none"/>
        </w:rPr>
      </w:pPr>
      <w:r w:rsidRPr="002840C3">
        <w:rPr>
          <w:rFonts w:ascii="Calibri" w:eastAsia="Times New Roman" w:hAnsi="Calibri" w:cs="Arial"/>
          <w:b/>
          <w:bCs/>
          <w:color w:val="000000"/>
          <w:kern w:val="0"/>
          <w:lang w:val="es-ES_tradnl" w:eastAsia="es-CR"/>
          <w14:ligatures w14:val="none"/>
        </w:rPr>
        <w:t>I. Descripción</w:t>
      </w:r>
    </w:p>
    <w:p w14:paraId="27DBD175"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b/>
          <w:bCs/>
          <w:color w:val="000000"/>
          <w:kern w:val="0"/>
          <w:lang w:val="es-ES_tradnl" w:eastAsia="es-CR"/>
          <w14:ligatures w14:val="none"/>
        </w:rPr>
      </w:pPr>
    </w:p>
    <w:p w14:paraId="36FF2DC7"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b/>
          <w:bCs/>
          <w:color w:val="000000"/>
          <w:kern w:val="0"/>
          <w:lang w:val="es-ES" w:eastAsia="es-CR"/>
          <w14:ligatures w14:val="none"/>
        </w:rPr>
      </w:pPr>
      <w:r w:rsidRPr="002840C3">
        <w:rPr>
          <w:rFonts w:ascii="Calibri" w:eastAsia="Times New Roman" w:hAnsi="Calibri" w:cs="Arial"/>
          <w:color w:val="000000"/>
          <w:kern w:val="0"/>
          <w:lang w:val="es-ES" w:eastAsia="es-CR"/>
          <w14:ligatures w14:val="none"/>
        </w:rPr>
        <w:t xml:space="preserve">Sobre la base puesta en el curso Griego I, la materia Griego II construye un conocimiento de las estructuras gramaticales más elaboradas. Además, introduce al/la estudiante a la lectura corrida del texto del Nuevo Testamento en el idioma original. </w:t>
      </w:r>
    </w:p>
    <w:p w14:paraId="768BEE93"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b/>
          <w:bCs/>
          <w:color w:val="000000"/>
          <w:kern w:val="0"/>
          <w:lang w:val="es-ES_tradnl" w:eastAsia="es-CR"/>
          <w14:ligatures w14:val="none"/>
        </w:rPr>
      </w:pPr>
    </w:p>
    <w:p w14:paraId="714C81F3"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b/>
          <w:bCs/>
          <w:color w:val="000000"/>
          <w:kern w:val="0"/>
          <w:lang w:val="es-ES_tradnl" w:eastAsia="es-CR"/>
          <w14:ligatures w14:val="none"/>
        </w:rPr>
      </w:pPr>
    </w:p>
    <w:p w14:paraId="1F222D8F"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b/>
          <w:bCs/>
          <w:color w:val="000000"/>
          <w:kern w:val="0"/>
          <w:lang w:val="es-ES_tradnl" w:eastAsia="es-CR"/>
          <w14:ligatures w14:val="none"/>
        </w:rPr>
      </w:pPr>
    </w:p>
    <w:p w14:paraId="7D3A782C"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b/>
          <w:bCs/>
          <w:color w:val="000000"/>
          <w:kern w:val="0"/>
          <w:lang w:val="es-ES_tradnl" w:eastAsia="es-CR"/>
          <w14:ligatures w14:val="none"/>
        </w:rPr>
      </w:pPr>
      <w:r w:rsidRPr="002840C3">
        <w:rPr>
          <w:rFonts w:ascii="Calibri" w:eastAsia="Times New Roman" w:hAnsi="Calibri" w:cs="Arial"/>
          <w:b/>
          <w:bCs/>
          <w:color w:val="000000"/>
          <w:kern w:val="0"/>
          <w:lang w:val="es-ES_tradnl" w:eastAsia="es-CR"/>
          <w14:ligatures w14:val="none"/>
        </w:rPr>
        <w:lastRenderedPageBreak/>
        <w:t>II. Objetivo general</w:t>
      </w:r>
    </w:p>
    <w:p w14:paraId="47213D26"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color w:val="000000"/>
          <w:kern w:val="0"/>
          <w:lang w:val="es-ES_tradnl" w:eastAsia="es-CR"/>
          <w14:ligatures w14:val="none"/>
        </w:rPr>
      </w:pPr>
    </w:p>
    <w:p w14:paraId="6133BCBC"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Lograr un dominio del griego koiné que le permita leer y traducir el texto del Nuevo Testamento con la ayuda de diccionarios y otros libros de consulta, por medio de la práctica progresiva con ejemplos tomados del Nuevo Testamento en griego.</w:t>
      </w:r>
    </w:p>
    <w:p w14:paraId="18DC61A6"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color w:val="000000"/>
          <w:kern w:val="0"/>
          <w:lang w:val="es-ES_tradnl" w:eastAsia="es-CR"/>
          <w14:ligatures w14:val="none"/>
        </w:rPr>
      </w:pPr>
    </w:p>
    <w:p w14:paraId="599ADF9D" w14:textId="77777777" w:rsidR="002840C3" w:rsidRPr="002840C3" w:rsidRDefault="002840C3" w:rsidP="002840C3">
      <w:pPr>
        <w:autoSpaceDE w:val="0"/>
        <w:autoSpaceDN w:val="0"/>
        <w:adjustRightInd w:val="0"/>
        <w:spacing w:after="200" w:line="240" w:lineRule="auto"/>
        <w:contextualSpacing/>
        <w:jc w:val="both"/>
        <w:rPr>
          <w:rFonts w:ascii="Calibri" w:eastAsia="Times New Roman" w:hAnsi="Calibri" w:cs="Arial"/>
          <w:b/>
          <w:bCs/>
          <w:color w:val="000000"/>
          <w:kern w:val="0"/>
          <w:lang w:val="es-ES_tradnl" w:eastAsia="es-CR"/>
          <w14:ligatures w14:val="none"/>
        </w:rPr>
      </w:pPr>
      <w:r w:rsidRPr="002840C3">
        <w:rPr>
          <w:rFonts w:ascii="Calibri" w:eastAsia="Times New Roman" w:hAnsi="Calibri" w:cs="Arial"/>
          <w:b/>
          <w:bCs/>
          <w:color w:val="000000"/>
          <w:kern w:val="0"/>
          <w:lang w:val="es-ES_tradnl" w:eastAsia="es-CR"/>
          <w14:ligatures w14:val="none"/>
        </w:rPr>
        <w:t>III. Objetivos específicos</w:t>
      </w:r>
    </w:p>
    <w:p w14:paraId="258180B9" w14:textId="77777777" w:rsidR="002840C3" w:rsidRPr="002840C3" w:rsidRDefault="002840C3" w:rsidP="002840C3">
      <w:pPr>
        <w:widowControl w:val="0"/>
        <w:overflowPunct w:val="0"/>
        <w:autoSpaceDE w:val="0"/>
        <w:autoSpaceDN w:val="0"/>
        <w:adjustRightInd w:val="0"/>
        <w:spacing w:after="0" w:line="36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1. Reconocer y traducir expresiones verbales en todos los tiempos y modos.</w:t>
      </w:r>
    </w:p>
    <w:p w14:paraId="74340841" w14:textId="77777777" w:rsidR="002840C3" w:rsidRPr="002840C3" w:rsidRDefault="002840C3" w:rsidP="002840C3">
      <w:pPr>
        <w:widowControl w:val="0"/>
        <w:overflowPunct w:val="0"/>
        <w:autoSpaceDE w:val="0"/>
        <w:autoSpaceDN w:val="0"/>
        <w:adjustRightInd w:val="0"/>
        <w:spacing w:after="0" w:line="36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2. Dominar el sistema de participios y los varios tipos de construcciones participiales.</w:t>
      </w:r>
    </w:p>
    <w:p w14:paraId="0B2D97A8" w14:textId="77777777" w:rsidR="002840C3" w:rsidRPr="002840C3" w:rsidRDefault="002840C3" w:rsidP="002840C3">
      <w:pPr>
        <w:widowControl w:val="0"/>
        <w:overflowPunct w:val="0"/>
        <w:autoSpaceDE w:val="0"/>
        <w:autoSpaceDN w:val="0"/>
        <w:adjustRightInd w:val="0"/>
        <w:spacing w:after="0" w:line="36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3. Analizar y leer todas las estructuras sintácticas necesarias para leer el Nuevo Testamento.</w:t>
      </w:r>
    </w:p>
    <w:p w14:paraId="6F1FCD30"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4. Aumentar el vocabulario y desarrollar más capacidad de traducción de textos.</w:t>
      </w:r>
    </w:p>
    <w:p w14:paraId="320F9D61"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1C155E4B"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2840C3">
        <w:rPr>
          <w:rFonts w:ascii="Calibri" w:eastAsia="Times New Roman" w:hAnsi="Calibri" w:cs="Arial"/>
          <w:b/>
          <w:bCs/>
          <w:color w:val="000000"/>
          <w:kern w:val="0"/>
          <w:lang w:val="es-ES_tradnl" w:eastAsia="es-CR"/>
          <w14:ligatures w14:val="none"/>
        </w:rPr>
        <w:t>IV. Contenidos</w:t>
      </w:r>
    </w:p>
    <w:p w14:paraId="7ACF24BB"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77C110B1"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Arial"/>
          <w:b/>
          <w:bCs/>
          <w:color w:val="000000"/>
          <w:kern w:val="0"/>
          <w:lang w:val="es-ES_tradnl" w:eastAsia="es-CR"/>
          <w14:ligatures w14:val="none"/>
        </w:rPr>
      </w:pPr>
      <w:r w:rsidRPr="002840C3">
        <w:rPr>
          <w:rFonts w:ascii="Calibri" w:eastAsia="Times" w:hAnsi="Calibri" w:cs="Arial"/>
          <w:b/>
          <w:bCs/>
          <w:color w:val="000000"/>
          <w:kern w:val="0"/>
          <w:lang w:val="es-ES_tradnl" w:eastAsia="es-CR"/>
          <w14:ligatures w14:val="none"/>
        </w:rPr>
        <w:t>Unidad 1: Repaso de los contenidos de CB102 Griego I</w:t>
      </w:r>
    </w:p>
    <w:p w14:paraId="44AA52C2" w14:textId="77777777" w:rsidR="002840C3" w:rsidRPr="002840C3" w:rsidRDefault="002840C3" w:rsidP="003F255B">
      <w:pPr>
        <w:widowControl w:val="0"/>
        <w:overflowPunct w:val="0"/>
        <w:autoSpaceDE w:val="0"/>
        <w:autoSpaceDN w:val="0"/>
        <w:adjustRightInd w:val="0"/>
        <w:spacing w:after="0" w:line="240" w:lineRule="auto"/>
        <w:jc w:val="both"/>
        <w:rPr>
          <w:rFonts w:ascii="Calibri" w:eastAsia="Times" w:hAnsi="Calibri" w:cs="Arial"/>
          <w:b/>
          <w:bCs/>
          <w:color w:val="000000"/>
          <w:kern w:val="0"/>
          <w:lang w:val="es-ES_tradnl" w:eastAsia="es-CR"/>
          <w14:ligatures w14:val="none"/>
        </w:rPr>
      </w:pPr>
    </w:p>
    <w:p w14:paraId="5535AB13" w14:textId="77777777" w:rsidR="002840C3" w:rsidRPr="002840C3" w:rsidRDefault="002840C3" w:rsidP="003F255B">
      <w:pPr>
        <w:widowControl w:val="0"/>
        <w:overflowPunct w:val="0"/>
        <w:autoSpaceDE w:val="0"/>
        <w:autoSpaceDN w:val="0"/>
        <w:adjustRightInd w:val="0"/>
        <w:spacing w:after="0" w:line="240" w:lineRule="auto"/>
        <w:rPr>
          <w:rFonts w:ascii="Calibri" w:eastAsia="Times New Roman" w:hAnsi="Calibri" w:cs="Arial"/>
          <w:color w:val="000000"/>
          <w:kern w:val="0"/>
          <w:lang w:val="es-ES_tradnl" w:eastAsia="es-CR"/>
          <w14:ligatures w14:val="none"/>
        </w:rPr>
      </w:pPr>
      <w:r w:rsidRPr="002840C3">
        <w:rPr>
          <w:rFonts w:ascii="Calibri" w:eastAsia="Times" w:hAnsi="Calibri" w:cs="Times New Roman"/>
          <w:kern w:val="0"/>
          <w:lang w:val="es-ES_tradnl" w:eastAsia="es-CR"/>
          <w14:ligatures w14:val="none"/>
        </w:rPr>
        <w:t>1.1 3era declinación; Instrumentalidad expresada en caso dativo; El concepto adjetivo con preposición; Concordancia entre declinaciones</w:t>
      </w:r>
    </w:p>
    <w:p w14:paraId="06F0E680"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w:hAnsi="Calibri" w:cs="Times New Roman"/>
          <w:kern w:val="0"/>
          <w:lang w:val="es-ES_tradnl" w:eastAsia="es-CR"/>
          <w14:ligatures w14:val="none"/>
        </w:rPr>
        <w:t>1.2 Voz pasiva; Cuatro partes fundamentales del verbo</w:t>
      </w:r>
    </w:p>
    <w:p w14:paraId="62C773DF"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 w:eastAsia="es-CR"/>
          <w14:ligatures w14:val="none"/>
        </w:rPr>
      </w:pPr>
      <w:r w:rsidRPr="002840C3">
        <w:rPr>
          <w:rFonts w:ascii="Calibri" w:eastAsia="Times" w:hAnsi="Calibri" w:cs="Times New Roman"/>
          <w:kern w:val="0"/>
          <w:lang w:val="es-ES" w:eastAsia="es-CR"/>
          <w14:ligatures w14:val="none"/>
        </w:rPr>
        <w:t xml:space="preserve">1.3 1era declinación, masculina; Voz media; El pronombre indefinido </w:t>
      </w:r>
      <w:proofErr w:type="spellStart"/>
      <w:r w:rsidRPr="002840C3">
        <w:rPr>
          <w:rFonts w:ascii="Calibri" w:eastAsia="Times" w:hAnsi="Calibri" w:cs="Times New Roman"/>
          <w:kern w:val="0"/>
          <w:lang w:val="es-ES" w:eastAsia="es-CR"/>
          <w14:ligatures w14:val="none"/>
        </w:rPr>
        <w:t>tij</w:t>
      </w:r>
      <w:proofErr w:type="spellEnd"/>
    </w:p>
    <w:p w14:paraId="18B514C5"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 w:eastAsia="es-CR"/>
          <w14:ligatures w14:val="none"/>
        </w:rPr>
      </w:pPr>
      <w:r w:rsidRPr="002840C3">
        <w:rPr>
          <w:rFonts w:ascii="Calibri" w:eastAsia="Times" w:hAnsi="Calibri" w:cs="Times New Roman"/>
          <w:kern w:val="0"/>
          <w:lang w:val="es-ES" w:eastAsia="es-CR"/>
          <w14:ligatures w14:val="none"/>
        </w:rPr>
        <w:t xml:space="preserve">1.4 Verbos defectivos; Modo imperativo en voz media; El infinitivo con artículo; El pronombre </w:t>
      </w:r>
      <w:proofErr w:type="spellStart"/>
      <w:r w:rsidRPr="002840C3">
        <w:rPr>
          <w:rFonts w:ascii="Calibri" w:eastAsia="Times" w:hAnsi="Calibri" w:cs="Times New Roman"/>
          <w:kern w:val="0"/>
          <w:lang w:val="es-ES" w:eastAsia="es-CR"/>
          <w14:ligatures w14:val="none"/>
        </w:rPr>
        <w:t>outoj</w:t>
      </w:r>
      <w:proofErr w:type="spellEnd"/>
    </w:p>
    <w:p w14:paraId="75EA8C79"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w:hAnsi="Calibri" w:cs="Times New Roman"/>
          <w:kern w:val="0"/>
          <w:lang w:val="es-ES_tradnl" w:eastAsia="es-CR"/>
          <w14:ligatures w14:val="none"/>
        </w:rPr>
        <w:t>1.5 Repaso de conjugación; Verbos compuestos</w:t>
      </w:r>
    </w:p>
    <w:p w14:paraId="421C0607"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w:hAnsi="Calibri" w:cs="Times New Roman"/>
          <w:kern w:val="0"/>
          <w:lang w:val="es-ES_tradnl" w:eastAsia="es-CR"/>
          <w14:ligatures w14:val="none"/>
        </w:rPr>
        <w:t>1.6 Repaso de declinación</w:t>
      </w:r>
    </w:p>
    <w:p w14:paraId="48200EFD"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w:hAnsi="Calibri" w:cs="Times New Roman"/>
          <w:kern w:val="0"/>
          <w:lang w:val="es-ES_tradnl" w:eastAsia="es-CR"/>
          <w14:ligatures w14:val="none"/>
        </w:rPr>
        <w:t>1.7 Primer examen escrito</w:t>
      </w:r>
    </w:p>
    <w:p w14:paraId="10EBCE97"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sz w:val="2"/>
          <w:szCs w:val="2"/>
          <w:lang w:val="es-ES_tradnl" w:eastAsia="es-CR"/>
          <w14:ligatures w14:val="none"/>
        </w:rPr>
      </w:pPr>
    </w:p>
    <w:p w14:paraId="1010E7F8" w14:textId="77777777" w:rsidR="003F255B" w:rsidRDefault="003F255B" w:rsidP="003F255B">
      <w:pPr>
        <w:widowControl w:val="0"/>
        <w:overflowPunct w:val="0"/>
        <w:autoSpaceDE w:val="0"/>
        <w:autoSpaceDN w:val="0"/>
        <w:adjustRightInd w:val="0"/>
        <w:spacing w:after="0" w:line="240" w:lineRule="auto"/>
        <w:rPr>
          <w:rFonts w:ascii="Calibri" w:eastAsia="Times New Roman" w:hAnsi="Calibri" w:cs="Arial"/>
          <w:b/>
          <w:bCs/>
          <w:color w:val="000000"/>
          <w:kern w:val="0"/>
          <w:lang w:val="es-ES_tradnl" w:eastAsia="es-CR"/>
          <w14:ligatures w14:val="none"/>
        </w:rPr>
      </w:pPr>
    </w:p>
    <w:p w14:paraId="41611FB1" w14:textId="06629C40"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New Roman" w:hAnsi="Calibri" w:cs="Arial"/>
          <w:b/>
          <w:bCs/>
          <w:color w:val="000000"/>
          <w:kern w:val="0"/>
          <w:lang w:val="es-ES_tradnl" w:eastAsia="es-CR"/>
          <w14:ligatures w14:val="none"/>
        </w:rPr>
        <w:t>Unidad 2: Estructuras sintácticas con participios y con el pronombre relativo</w:t>
      </w:r>
    </w:p>
    <w:p w14:paraId="4609A2EA"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sz w:val="2"/>
          <w:szCs w:val="2"/>
          <w:lang w:val="es-ES_tradnl" w:eastAsia="es-CR"/>
          <w14:ligatures w14:val="none"/>
        </w:rPr>
      </w:pPr>
    </w:p>
    <w:p w14:paraId="7ABBCE22"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 w:eastAsia="es-CR"/>
          <w14:ligatures w14:val="none"/>
        </w:rPr>
      </w:pPr>
      <w:r w:rsidRPr="002840C3">
        <w:rPr>
          <w:rFonts w:ascii="Calibri" w:eastAsia="Times" w:hAnsi="Calibri" w:cs="Times New Roman"/>
          <w:kern w:val="0"/>
          <w:lang w:val="es-ES" w:eastAsia="es-CR"/>
          <w14:ligatures w14:val="none"/>
        </w:rPr>
        <w:t xml:space="preserve">2.1 El participio presente. El significado del tiempo en el participio. Funciones circunstancial y </w:t>
      </w:r>
      <w:proofErr w:type="spellStart"/>
      <w:r w:rsidRPr="002840C3">
        <w:rPr>
          <w:rFonts w:ascii="Calibri" w:eastAsia="Times" w:hAnsi="Calibri" w:cs="Times New Roman"/>
          <w:kern w:val="0"/>
          <w:lang w:val="es-ES" w:eastAsia="es-CR"/>
          <w14:ligatures w14:val="none"/>
        </w:rPr>
        <w:t>perifrásica</w:t>
      </w:r>
      <w:proofErr w:type="spellEnd"/>
    </w:p>
    <w:p w14:paraId="11DFFA78"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w:hAnsi="Calibri" w:cs="Times New Roman"/>
          <w:kern w:val="0"/>
          <w:lang w:val="es-ES_tradnl" w:eastAsia="es-CR"/>
          <w14:ligatures w14:val="none"/>
        </w:rPr>
        <w:t>2.2 El participio aoristo y futuro. El significado del tiempo aoristo en el participio. El genitivo absoluto</w:t>
      </w:r>
    </w:p>
    <w:p w14:paraId="58989AD8"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w:hAnsi="Calibri" w:cs="Times New Roman"/>
          <w:kern w:val="0"/>
          <w:lang w:val="es-ES_tradnl" w:eastAsia="es-CR"/>
          <w14:ligatures w14:val="none"/>
        </w:rPr>
        <w:t>2.3 La función adjetival del participio. Verbos contractos. Expresiones de comparación</w:t>
      </w:r>
    </w:p>
    <w:p w14:paraId="717934B8"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sz w:val="2"/>
          <w:szCs w:val="2"/>
          <w:lang w:val="es-ES_tradnl" w:eastAsia="es-CR"/>
          <w14:ligatures w14:val="none"/>
        </w:rPr>
      </w:pPr>
    </w:p>
    <w:p w14:paraId="53E41A74" w14:textId="77777777" w:rsidR="003F255B" w:rsidRDefault="003F255B" w:rsidP="003F255B">
      <w:pPr>
        <w:widowControl w:val="0"/>
        <w:overflowPunct w:val="0"/>
        <w:autoSpaceDE w:val="0"/>
        <w:autoSpaceDN w:val="0"/>
        <w:adjustRightInd w:val="0"/>
        <w:spacing w:after="0" w:line="240" w:lineRule="auto"/>
        <w:rPr>
          <w:rFonts w:ascii="Calibri" w:eastAsia="Times New Roman" w:hAnsi="Calibri" w:cs="Arial"/>
          <w:b/>
          <w:bCs/>
          <w:color w:val="000000"/>
          <w:kern w:val="0"/>
          <w:lang w:val="es-ES_tradnl" w:eastAsia="es-CR"/>
          <w14:ligatures w14:val="none"/>
        </w:rPr>
      </w:pPr>
    </w:p>
    <w:p w14:paraId="51E87865" w14:textId="739FC8B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New Roman" w:hAnsi="Calibri" w:cs="Arial"/>
          <w:b/>
          <w:bCs/>
          <w:color w:val="000000"/>
          <w:kern w:val="0"/>
          <w:lang w:val="es-ES_tradnl" w:eastAsia="es-CR"/>
          <w14:ligatures w14:val="none"/>
        </w:rPr>
        <w:t>Unidad 3: Tiempos perfecto y pluscuamperfecto de los verbos</w:t>
      </w:r>
    </w:p>
    <w:p w14:paraId="5E5F96C7"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sz w:val="2"/>
          <w:szCs w:val="2"/>
          <w:lang w:val="es-ES_tradnl" w:eastAsia="es-CR"/>
          <w14:ligatures w14:val="none"/>
        </w:rPr>
      </w:pPr>
    </w:p>
    <w:p w14:paraId="14283334"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 w:eastAsia="es-CR"/>
          <w14:ligatures w14:val="none"/>
        </w:rPr>
      </w:pPr>
      <w:r w:rsidRPr="002840C3">
        <w:rPr>
          <w:rFonts w:ascii="Calibri" w:eastAsia="Times" w:hAnsi="Calibri" w:cs="Times New Roman"/>
          <w:kern w:val="0"/>
          <w:lang w:val="es-ES" w:eastAsia="es-CR"/>
          <w14:ligatures w14:val="none"/>
        </w:rPr>
        <w:t xml:space="preserve">3.1 El pronombre relativo </w:t>
      </w:r>
      <w:proofErr w:type="spellStart"/>
      <w:r w:rsidRPr="002840C3">
        <w:rPr>
          <w:rFonts w:ascii="Calibri" w:eastAsia="Times" w:hAnsi="Calibri" w:cs="Times New Roman"/>
          <w:kern w:val="0"/>
          <w:lang w:val="es-ES" w:eastAsia="es-CR"/>
          <w14:ligatures w14:val="none"/>
        </w:rPr>
        <w:t>oj</w:t>
      </w:r>
      <w:proofErr w:type="spellEnd"/>
      <w:r w:rsidRPr="002840C3">
        <w:rPr>
          <w:rFonts w:ascii="Calibri" w:eastAsia="Times" w:hAnsi="Calibri" w:cs="Times New Roman"/>
          <w:kern w:val="0"/>
          <w:lang w:val="es-ES" w:eastAsia="es-CR"/>
          <w14:ligatures w14:val="none"/>
        </w:rPr>
        <w:t xml:space="preserve">. Tiempos perfecto y pluscuamperfecto. Las partes fundamentales. El verbo </w:t>
      </w:r>
      <w:proofErr w:type="spellStart"/>
      <w:r w:rsidRPr="002840C3">
        <w:rPr>
          <w:rFonts w:ascii="Calibri" w:eastAsia="Times" w:hAnsi="Calibri" w:cs="Times New Roman"/>
          <w:kern w:val="0"/>
          <w:lang w:val="es-ES" w:eastAsia="es-CR"/>
          <w14:ligatures w14:val="none"/>
        </w:rPr>
        <w:t>oida</w:t>
      </w:r>
      <w:proofErr w:type="spellEnd"/>
    </w:p>
    <w:p w14:paraId="6540FC5F"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sz w:val="2"/>
          <w:szCs w:val="2"/>
          <w:lang w:val="es-ES_tradnl" w:eastAsia="es-CR"/>
          <w14:ligatures w14:val="none"/>
        </w:rPr>
      </w:pPr>
    </w:p>
    <w:p w14:paraId="1BECD6DC" w14:textId="77777777" w:rsidR="003F255B" w:rsidRDefault="003F255B" w:rsidP="003F255B">
      <w:pPr>
        <w:widowControl w:val="0"/>
        <w:overflowPunct w:val="0"/>
        <w:autoSpaceDE w:val="0"/>
        <w:autoSpaceDN w:val="0"/>
        <w:adjustRightInd w:val="0"/>
        <w:spacing w:after="0" w:line="240" w:lineRule="auto"/>
        <w:rPr>
          <w:rFonts w:ascii="Calibri" w:eastAsia="Times" w:hAnsi="Calibri" w:cs="Arial"/>
          <w:b/>
          <w:bCs/>
          <w:color w:val="000000"/>
          <w:kern w:val="0"/>
          <w:lang w:val="es-ES_tradnl" w:eastAsia="es-CR"/>
          <w14:ligatures w14:val="none"/>
        </w:rPr>
      </w:pPr>
    </w:p>
    <w:p w14:paraId="091EC858" w14:textId="70D7A549"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w:hAnsi="Calibri" w:cs="Arial"/>
          <w:b/>
          <w:bCs/>
          <w:color w:val="000000"/>
          <w:kern w:val="0"/>
          <w:lang w:val="es-ES_tradnl" w:eastAsia="es-CR"/>
          <w14:ligatures w14:val="none"/>
        </w:rPr>
        <w:t>Unidad 4: Modos subjuntivo, optativo y superlativo; Oraciones condicionales</w:t>
      </w:r>
    </w:p>
    <w:p w14:paraId="7CF886CC"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sz w:val="2"/>
          <w:szCs w:val="2"/>
          <w:lang w:val="es-ES_tradnl" w:eastAsia="es-CR"/>
          <w14:ligatures w14:val="none"/>
        </w:rPr>
      </w:pPr>
    </w:p>
    <w:p w14:paraId="65582E1A"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 w:eastAsia="es-CR"/>
          <w14:ligatures w14:val="none"/>
        </w:rPr>
      </w:pPr>
      <w:r w:rsidRPr="002840C3">
        <w:rPr>
          <w:rFonts w:ascii="Calibri" w:eastAsia="Times" w:hAnsi="Calibri" w:cs="Times New Roman"/>
          <w:kern w:val="0"/>
          <w:lang w:val="es-ES" w:eastAsia="es-CR"/>
          <w14:ligatures w14:val="none"/>
        </w:rPr>
        <w:t xml:space="preserve">4.1 Modo subjuntivo. Preguntas que comienzan con </w:t>
      </w:r>
      <w:proofErr w:type="spellStart"/>
      <w:r w:rsidRPr="002840C3">
        <w:rPr>
          <w:rFonts w:ascii="Calibri" w:eastAsia="Times" w:hAnsi="Calibri" w:cs="Times New Roman"/>
          <w:kern w:val="0"/>
          <w:lang w:val="es-ES" w:eastAsia="es-CR"/>
          <w14:ligatures w14:val="none"/>
        </w:rPr>
        <w:t>ou</w:t>
      </w:r>
      <w:proofErr w:type="spellEnd"/>
      <w:r w:rsidRPr="002840C3">
        <w:rPr>
          <w:rFonts w:ascii="Calibri" w:eastAsia="Times" w:hAnsi="Calibri" w:cs="Times New Roman"/>
          <w:kern w:val="0"/>
          <w:lang w:val="es-ES" w:eastAsia="es-CR"/>
          <w14:ligatures w14:val="none"/>
        </w:rPr>
        <w:t xml:space="preserve"> o me</w:t>
      </w:r>
    </w:p>
    <w:p w14:paraId="02ED8E2A"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w:hAnsi="Calibri" w:cs="Times New Roman"/>
          <w:kern w:val="0"/>
          <w:lang w:val="es-ES_tradnl" w:eastAsia="es-CR"/>
          <w14:ligatures w14:val="none"/>
        </w:rPr>
        <w:t>4.2 Oraciones condicionales. Modo optativo. Números</w:t>
      </w:r>
    </w:p>
    <w:p w14:paraId="6E739841"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sz w:val="2"/>
          <w:szCs w:val="2"/>
          <w:lang w:val="es-ES_tradnl" w:eastAsia="es-CR"/>
          <w14:ligatures w14:val="none"/>
        </w:rPr>
      </w:pPr>
    </w:p>
    <w:p w14:paraId="35A221B9" w14:textId="77777777" w:rsidR="003F255B" w:rsidRDefault="003F255B" w:rsidP="003F255B">
      <w:pPr>
        <w:widowControl w:val="0"/>
        <w:overflowPunct w:val="0"/>
        <w:autoSpaceDE w:val="0"/>
        <w:autoSpaceDN w:val="0"/>
        <w:adjustRightInd w:val="0"/>
        <w:spacing w:after="0" w:line="240" w:lineRule="auto"/>
        <w:rPr>
          <w:rFonts w:ascii="Calibri" w:eastAsia="Times" w:hAnsi="Calibri" w:cs="Arial"/>
          <w:b/>
          <w:bCs/>
          <w:color w:val="000000"/>
          <w:kern w:val="0"/>
          <w:lang w:val="es-ES_tradnl" w:eastAsia="es-CR"/>
          <w14:ligatures w14:val="none"/>
        </w:rPr>
      </w:pPr>
    </w:p>
    <w:p w14:paraId="63A4DBE4" w14:textId="67FB7AC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w:hAnsi="Calibri" w:cs="Arial"/>
          <w:b/>
          <w:bCs/>
          <w:color w:val="000000"/>
          <w:kern w:val="0"/>
          <w:lang w:val="es-ES_tradnl" w:eastAsia="es-CR"/>
          <w14:ligatures w14:val="none"/>
        </w:rPr>
        <w:t>Unidad 5: Lectura, análisis y traducción de textos del Nuevo Testamento</w:t>
      </w:r>
    </w:p>
    <w:p w14:paraId="4694A859"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sz w:val="2"/>
          <w:szCs w:val="2"/>
          <w:lang w:val="es-ES_tradnl" w:eastAsia="es-CR"/>
          <w14:ligatures w14:val="none"/>
        </w:rPr>
      </w:pPr>
    </w:p>
    <w:p w14:paraId="500B3519" w14:textId="77777777" w:rsidR="002840C3" w:rsidRPr="002840C3" w:rsidRDefault="002840C3" w:rsidP="003F255B">
      <w:pPr>
        <w:widowControl w:val="0"/>
        <w:overflowPunct w:val="0"/>
        <w:autoSpaceDE w:val="0"/>
        <w:autoSpaceDN w:val="0"/>
        <w:adjustRightInd w:val="0"/>
        <w:spacing w:after="0" w:line="240" w:lineRule="auto"/>
        <w:rPr>
          <w:rFonts w:ascii="Calibri" w:eastAsia="Times" w:hAnsi="Calibri" w:cs="Times New Roman"/>
          <w:kern w:val="0"/>
          <w:lang w:val="es-ES_tradnl" w:eastAsia="es-CR"/>
          <w14:ligatures w14:val="none"/>
        </w:rPr>
      </w:pPr>
      <w:r w:rsidRPr="002840C3">
        <w:rPr>
          <w:rFonts w:ascii="Calibri" w:eastAsia="Times" w:hAnsi="Calibri" w:cs="Arial"/>
          <w:color w:val="000000"/>
          <w:kern w:val="0"/>
          <w:lang w:val="es-ES_tradnl" w:eastAsia="es-CR"/>
          <w14:ligatures w14:val="none"/>
        </w:rPr>
        <w:t>5.1 Repaso y examen de lectura</w:t>
      </w:r>
    </w:p>
    <w:p w14:paraId="5900E6F5" w14:textId="77777777" w:rsidR="002840C3" w:rsidRDefault="002840C3" w:rsidP="003F255B">
      <w:pPr>
        <w:widowControl w:val="0"/>
        <w:overflowPunct w:val="0"/>
        <w:autoSpaceDE w:val="0"/>
        <w:autoSpaceDN w:val="0"/>
        <w:adjustRightInd w:val="0"/>
        <w:spacing w:after="0" w:line="240" w:lineRule="auto"/>
        <w:rPr>
          <w:rFonts w:ascii="Calibri" w:eastAsia="Times" w:hAnsi="Calibri" w:cs="Arial"/>
          <w:color w:val="000000"/>
          <w:kern w:val="0"/>
          <w:lang w:val="es-ES_tradnl" w:eastAsia="es-CR"/>
          <w14:ligatures w14:val="none"/>
        </w:rPr>
      </w:pPr>
      <w:r w:rsidRPr="002840C3">
        <w:rPr>
          <w:rFonts w:ascii="Calibri" w:eastAsia="Times" w:hAnsi="Calibri" w:cs="Arial"/>
          <w:color w:val="000000"/>
          <w:kern w:val="0"/>
          <w:lang w:val="es-ES_tradnl" w:eastAsia="es-CR"/>
          <w14:ligatures w14:val="none"/>
        </w:rPr>
        <w:t>5.2 Segundo examen escrito y examen de lectura</w:t>
      </w:r>
    </w:p>
    <w:p w14:paraId="6CA8A9A2" w14:textId="77777777" w:rsidR="003F255B" w:rsidRPr="002840C3" w:rsidRDefault="003F255B" w:rsidP="003F255B">
      <w:pPr>
        <w:widowControl w:val="0"/>
        <w:overflowPunct w:val="0"/>
        <w:autoSpaceDE w:val="0"/>
        <w:autoSpaceDN w:val="0"/>
        <w:adjustRightInd w:val="0"/>
        <w:spacing w:after="0" w:line="240" w:lineRule="auto"/>
        <w:rPr>
          <w:rFonts w:ascii="Calibri" w:eastAsia="Times" w:hAnsi="Calibri" w:cs="Arial"/>
          <w:color w:val="000000"/>
          <w:kern w:val="0"/>
          <w:lang w:val="es-ES_tradnl" w:eastAsia="es-CR"/>
          <w14:ligatures w14:val="none"/>
        </w:rPr>
      </w:pPr>
    </w:p>
    <w:p w14:paraId="12A92DE8" w14:textId="77777777" w:rsidR="002840C3" w:rsidRPr="002840C3" w:rsidRDefault="002840C3" w:rsidP="002840C3">
      <w:pPr>
        <w:autoSpaceDE w:val="0"/>
        <w:autoSpaceDN w:val="0"/>
        <w:adjustRightInd w:val="0"/>
        <w:spacing w:after="0" w:line="240" w:lineRule="auto"/>
        <w:contextualSpacing/>
        <w:jc w:val="both"/>
        <w:rPr>
          <w:rFonts w:ascii="Calibri" w:eastAsia="Calibri" w:hAnsi="Calibri" w:cs="Arial"/>
          <w:b/>
          <w:bCs/>
          <w:color w:val="000000"/>
          <w:kern w:val="0"/>
          <w14:ligatures w14:val="none"/>
        </w:rPr>
      </w:pPr>
    </w:p>
    <w:p w14:paraId="7F52DC24" w14:textId="77777777" w:rsidR="002840C3" w:rsidRPr="002840C3" w:rsidRDefault="002840C3" w:rsidP="002840C3">
      <w:pPr>
        <w:autoSpaceDE w:val="0"/>
        <w:autoSpaceDN w:val="0"/>
        <w:adjustRightInd w:val="0"/>
        <w:spacing w:after="0" w:line="240" w:lineRule="auto"/>
        <w:contextualSpacing/>
        <w:jc w:val="both"/>
        <w:rPr>
          <w:rFonts w:ascii="Calibri" w:eastAsia="Calibri" w:hAnsi="Calibri" w:cs="Arial"/>
          <w:color w:val="00B050"/>
          <w:kern w:val="0"/>
          <w14:ligatures w14:val="none"/>
        </w:rPr>
      </w:pPr>
      <w:r w:rsidRPr="002840C3">
        <w:rPr>
          <w:rFonts w:ascii="Calibri" w:eastAsia="Calibri" w:hAnsi="Calibri" w:cs="Arial"/>
          <w:b/>
          <w:bCs/>
          <w:color w:val="000000"/>
          <w:kern w:val="0"/>
          <w14:ligatures w14:val="none"/>
        </w:rPr>
        <w:lastRenderedPageBreak/>
        <w:t>V. Metodología</w:t>
      </w:r>
    </w:p>
    <w:p w14:paraId="28D4607E" w14:textId="77777777" w:rsidR="002840C3" w:rsidRPr="002840C3" w:rsidRDefault="002840C3" w:rsidP="002840C3">
      <w:pPr>
        <w:autoSpaceDE w:val="0"/>
        <w:autoSpaceDN w:val="0"/>
        <w:adjustRightInd w:val="0"/>
        <w:spacing w:after="0" w:line="240" w:lineRule="auto"/>
        <w:contextualSpacing/>
        <w:jc w:val="both"/>
        <w:rPr>
          <w:rFonts w:ascii="Calibri" w:eastAsia="Times New Roman" w:hAnsi="Calibri" w:cs="Arial"/>
          <w:b/>
          <w:bCs/>
          <w:color w:val="000000"/>
          <w:kern w:val="0"/>
          <w:lang w:eastAsia="es-CR"/>
          <w14:ligatures w14:val="none"/>
        </w:rPr>
      </w:pPr>
    </w:p>
    <w:p w14:paraId="76868EB9" w14:textId="77777777" w:rsidR="002840C3" w:rsidRPr="002840C3" w:rsidRDefault="002840C3" w:rsidP="002840C3">
      <w:pPr>
        <w:autoSpaceDE w:val="0"/>
        <w:autoSpaceDN w:val="0"/>
        <w:adjustRightInd w:val="0"/>
        <w:spacing w:after="0" w:line="240" w:lineRule="auto"/>
        <w:contextualSpacing/>
        <w:jc w:val="both"/>
        <w:rPr>
          <w:rFonts w:ascii="Calibri" w:eastAsia="Times New Roman" w:hAnsi="Calibri" w:cs="Arial"/>
          <w:color w:val="000000"/>
          <w:kern w:val="0"/>
          <w:lang w:eastAsia="es-CR"/>
          <w14:ligatures w14:val="none"/>
        </w:rPr>
      </w:pPr>
      <w:r w:rsidRPr="002840C3">
        <w:rPr>
          <w:rFonts w:ascii="Calibri" w:eastAsia="Times New Roman" w:hAnsi="Calibri" w:cs="Arial"/>
          <w:color w:val="000000"/>
          <w:kern w:val="0"/>
          <w:lang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231E3DF4"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840C3">
        <w:rPr>
          <w:rFonts w:ascii="Calibri" w:eastAsia="Calibri" w:hAnsi="Calibri" w:cs="Calibri"/>
          <w:color w:val="000000"/>
          <w:kern w:val="0"/>
          <w:lang w:eastAsia="es-CR"/>
          <w14:ligatures w14:val="none"/>
        </w:rPr>
        <w:t xml:space="preserve">Este curso teórico-práctico está diseñado, por un lado, para aportar elementos fundamentales de vocabulario, sintaxis y ortografía del griego del Nuevo Testamento y, por el otro, para ejercitar la práctica de traducción de textos del Nuevo Testamento. En este curso continuaremos usando el texto programado </w:t>
      </w:r>
      <w:r w:rsidRPr="002840C3">
        <w:rPr>
          <w:rFonts w:ascii="Calibri" w:eastAsia="Calibri" w:hAnsi="Calibri" w:cs="Calibri"/>
          <w:i/>
          <w:iCs/>
          <w:color w:val="000000"/>
          <w:kern w:val="0"/>
          <w:lang w:eastAsia="es-CR"/>
          <w14:ligatures w14:val="none"/>
        </w:rPr>
        <w:t>El Griego del Nuevo Testamento</w:t>
      </w:r>
      <w:r w:rsidRPr="002840C3">
        <w:rPr>
          <w:rFonts w:ascii="Calibri" w:eastAsia="Calibri" w:hAnsi="Calibri" w:cs="Calibri"/>
          <w:color w:val="000000"/>
          <w:kern w:val="0"/>
          <w:lang w:eastAsia="es-CR"/>
          <w14:ligatures w14:val="none"/>
        </w:rPr>
        <w:t xml:space="preserve">, el cual se </w:t>
      </w:r>
      <w:r w:rsidRPr="002840C3">
        <w:rPr>
          <w:rFonts w:ascii="Calibri" w:eastAsia="Times New Roman" w:hAnsi="Calibri" w:cs="Arial"/>
          <w:color w:val="000000"/>
          <w:kern w:val="0"/>
          <w:lang w:val="es-ES_tradnl" w:eastAsia="es-CR"/>
          <w14:ligatures w14:val="none"/>
        </w:rPr>
        <w:t xml:space="preserve">encuentra en cada una de las sesiones en la plataforma digital y ofrece la base para el aprendizaje teórico y la práctica de los y las estudiantes. La persona docente seguirá la estructura de este libro, aportando insumos de aclaración, orientación y profundización. Un elemento metodológico fundamental serán los encuentros sincrónicos virtuales, en los cuales la persona docente explicará los elementos centrales de la sintaxis y la gramática, aspectos necesarios para las prácticas, ejercicios de traducción y pruebas que se realizarán durante el curso.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w:t>
      </w:r>
    </w:p>
    <w:p w14:paraId="5A3B7F19" w14:textId="77777777" w:rsid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2840C3">
        <w:rPr>
          <w:rFonts w:ascii="Calibri" w:eastAsia="Times New Roman" w:hAnsi="Calibri" w:cs="Arial"/>
          <w:color w:val="000000"/>
          <w:kern w:val="0"/>
          <w:lang w:val="es-ES" w:eastAsia="es-CR"/>
          <w14:ligatures w14:val="none"/>
        </w:rPr>
        <w:t xml:space="preserve">Las pruebas cortas y los ejercicios de traducción, tanto escritos como de lectura, aportarán a la comprensión acumulativa de los contenidos, con el fin de manejar las competencias necesarias para la traducción. El énfasis de este curso está en el desarrollo de las habilidades necesarias para traducir textos bíblicos independientemente de la guía de la persona docente y, a la vez, valorar la importancia de la traducción para la práctica exegética. Estas habilidades serán desarrolladas en el aula virtual con la guía de la persona docente, y fuera del aula virtual con trabajo de traducción. En cada sesión los y las estudiantes tendrán prácticas y pruebas que identificarán sus aptitudes en relación con la comprensión de algunos problemas gramaticales y el manejo del vocabulario, pero enfocados principalmente al análisis de las formas verbales. La naturaleza teórico-práctica del curso se plasma, en primera instancia, en el desarrollo de insumos teóricos a nivel de gramática y, en segunda instancia, en la práctica de la traducción para la exégesis que es el fin último del aprendizaje de este idioma. </w:t>
      </w:r>
    </w:p>
    <w:p w14:paraId="3FDCA806" w14:textId="77777777" w:rsidR="0029597A" w:rsidRPr="002840C3" w:rsidRDefault="0029597A"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p>
    <w:p w14:paraId="3787CA88" w14:textId="77777777" w:rsidR="002840C3" w:rsidRPr="002840C3" w:rsidRDefault="002840C3" w:rsidP="002840C3">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2840C3">
        <w:rPr>
          <w:rFonts w:ascii="Calibri" w:eastAsia="Times New Roman" w:hAnsi="Calibri" w:cs="Arial"/>
          <w:b/>
          <w:bCs/>
          <w:color w:val="000000"/>
          <w:kern w:val="0"/>
          <w:lang w:val="es-ES_tradnl" w:eastAsia="es-CR"/>
          <w14:ligatures w14:val="none"/>
        </w:rPr>
        <w:t>VI. Estrategias de aprendizaje</w:t>
      </w:r>
    </w:p>
    <w:p w14:paraId="6F71A52F" w14:textId="77777777" w:rsidR="002840C3" w:rsidRPr="002840C3" w:rsidRDefault="002840C3" w:rsidP="002840C3">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75DAFDD9" w14:textId="77777777" w:rsidR="002840C3" w:rsidRPr="002840C3" w:rsidRDefault="002840C3" w:rsidP="002840C3">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Las estrategias de aprendizaje de este curso se enfocarán en el desarrollo de la capacidad de análisis sintáctico y semántico comparativo de las lenguas griega y castellana, con el fin de comprender mejor las estructuras de pensamiento que subyacen en cada una.</w:t>
      </w:r>
    </w:p>
    <w:p w14:paraId="6D495EBF" w14:textId="77777777" w:rsidR="002840C3" w:rsidRPr="002840C3" w:rsidRDefault="002840C3" w:rsidP="002840C3">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32C4BB66" w14:textId="77777777" w:rsidR="002840C3" w:rsidRPr="002840C3" w:rsidRDefault="002840C3" w:rsidP="002840C3">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lastRenderedPageBreak/>
        <w:t>Se utilizan las siguientes estrategias de aprendizaje:</w:t>
      </w:r>
    </w:p>
    <w:p w14:paraId="40561531" w14:textId="77777777" w:rsidR="002840C3" w:rsidRPr="002840C3" w:rsidRDefault="002840C3" w:rsidP="002840C3">
      <w:pPr>
        <w:autoSpaceDE w:val="0"/>
        <w:autoSpaceDN w:val="0"/>
        <w:adjustRightInd w:val="0"/>
        <w:spacing w:after="0" w:line="240" w:lineRule="auto"/>
        <w:jc w:val="both"/>
        <w:rPr>
          <w:rFonts w:ascii="Calibri" w:eastAsia="Times New Roman" w:hAnsi="Calibri" w:cs="Arial"/>
          <w:color w:val="000000"/>
          <w:kern w:val="0"/>
          <w:sz w:val="10"/>
          <w:szCs w:val="10"/>
          <w:lang w:val="es-ES_tradnl" w:eastAsia="es-CR"/>
          <w14:ligatures w14:val="none"/>
        </w:rPr>
      </w:pPr>
    </w:p>
    <w:p w14:paraId="4177CA2C"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Calibri" w:hAnsi="Calibri" w:cs="Calibri"/>
          <w:kern w:val="0"/>
          <w:lang w:val="es-ES" w:eastAsia="es-CR"/>
          <w14:ligatures w14:val="none"/>
        </w:rPr>
      </w:pPr>
      <w:r w:rsidRPr="002840C3">
        <w:rPr>
          <w:rFonts w:ascii="Calibri" w:eastAsia="Times New Roman" w:hAnsi="Calibri" w:cs="Arial"/>
          <w:b/>
          <w:bCs/>
          <w:color w:val="000000"/>
          <w:kern w:val="0"/>
          <w:lang w:val="es-ES_tradnl" w:eastAsia="es-CR"/>
          <w14:ligatures w14:val="none"/>
        </w:rPr>
        <w:t>a) Encuentro sincrónico virtual:</w:t>
      </w:r>
      <w:r w:rsidRPr="002840C3">
        <w:rPr>
          <w:rFonts w:ascii="Calibri" w:eastAsia="Times New Roman" w:hAnsi="Calibri" w:cs="Arial"/>
          <w:color w:val="000000"/>
          <w:kern w:val="0"/>
          <w:lang w:val="es-ES_tradnl" w:eastAsia="es-CR"/>
          <w14:ligatures w14:val="none"/>
        </w:rPr>
        <w:t xml:space="preserve"> </w:t>
      </w:r>
      <w:r w:rsidRPr="002840C3">
        <w:rPr>
          <w:rFonts w:ascii="Calibri" w:eastAsia="Calibri" w:hAnsi="Calibri" w:cs="Calibri"/>
          <w:color w:val="000000"/>
          <w:kern w:val="0"/>
          <w:lang w:val="es-ES" w:eastAsia="es-CR"/>
          <w14:ligatures w14:val="none"/>
        </w:rPr>
        <w:t xml:space="preserve">Los encuentros sincrónicos virtuales tienen valor formativo. Son de particular importancia en este curso ya que en ellos se explicarán los insumos de la sesión y se aclararán dudas sobre los aspectos gramaticales y de traducción. Además, se realizarán ejercicios y traducciones orales. En este curso se realizan en las sesiones 1 a la 6 y 8 a la 14. </w:t>
      </w:r>
      <w:r w:rsidRPr="002840C3">
        <w:rPr>
          <w:rFonts w:ascii="Calibri" w:eastAsia="Calibri" w:hAnsi="Calibri" w:cs="Calibri"/>
          <w:kern w:val="0"/>
          <w:lang w:val="es-ES" w:eastAsia="es-CR"/>
          <w14:ligatures w14:val="none"/>
        </w:rPr>
        <w:t xml:space="preserve"> </w:t>
      </w:r>
    </w:p>
    <w:p w14:paraId="2B93DDDE"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ES"/>
          <w14:ligatures w14:val="none"/>
        </w:rPr>
      </w:pPr>
    </w:p>
    <w:p w14:paraId="62B345FE"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ES"/>
          <w14:ligatures w14:val="none"/>
        </w:rPr>
      </w:pPr>
      <w:r w:rsidRPr="002840C3">
        <w:rPr>
          <w:rFonts w:ascii="Calibri" w:eastAsia="Times New Roman" w:hAnsi="Calibri" w:cs="Arial"/>
          <w:b/>
          <w:bCs/>
          <w:color w:val="000000"/>
          <w:kern w:val="0"/>
          <w:lang w:val="es-ES" w:eastAsia="es-CR"/>
          <w14:ligatures w14:val="none"/>
        </w:rPr>
        <w:t>b) Práctica:</w:t>
      </w:r>
      <w:r w:rsidRPr="002840C3">
        <w:rPr>
          <w:rFonts w:ascii="Calibri" w:eastAsia="Times New Roman" w:hAnsi="Calibri" w:cs="Arial"/>
          <w:color w:val="000000"/>
          <w:kern w:val="0"/>
          <w:lang w:val="es-ES" w:eastAsia="es-CR"/>
          <w14:ligatures w14:val="none"/>
        </w:rPr>
        <w:t xml:space="preserve"> Durante todo el curso se utiliza un texto base de estudio programado en el cual los y las estudiantes podrán practicar en cada una de las sesiones realizando ejercicios sobre los temas estudiados. Estas prácticas no tienen un valor sumativo, ya que su función es permitir la ejercitación permanente de los estudiantes como preparación para realizar las diversas pruebas que se llevan a cabo en diferentes momentos del curso. Además, las personas estudiantes tendrán acceso a las respuestas de dichas prácticas a través de un documento digital (propio del texto base de estudio programado) que se alojará en la plataforma virtual, permitiendo así la corroboración de sus respuestas y la corrección de estás cuando sea necesario.</w:t>
      </w:r>
    </w:p>
    <w:p w14:paraId="129111E5"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ES"/>
          <w14:ligatures w14:val="none"/>
        </w:rPr>
      </w:pPr>
    </w:p>
    <w:p w14:paraId="626831E4"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Calibri" w:hAnsi="Calibri" w:cs="Calibri"/>
          <w:color w:val="0070C0"/>
          <w:kern w:val="0"/>
          <w:lang w:val="es-ES" w:eastAsia="es-CR"/>
          <w14:ligatures w14:val="none"/>
        </w:rPr>
      </w:pPr>
      <w:r w:rsidRPr="002840C3">
        <w:rPr>
          <w:rFonts w:ascii="Calibri" w:eastAsia="Times New Roman" w:hAnsi="Calibri" w:cs="Arial"/>
          <w:b/>
          <w:bCs/>
          <w:color w:val="000000"/>
          <w:kern w:val="0"/>
          <w:lang w:val="es-ES_tradnl" w:eastAsia="es-CR"/>
          <w14:ligatures w14:val="none"/>
        </w:rPr>
        <w:t>c) Prueba corta:</w:t>
      </w:r>
      <w:r w:rsidRPr="002840C3">
        <w:rPr>
          <w:rFonts w:ascii="Calibri" w:eastAsia="Times New Roman" w:hAnsi="Calibri" w:cs="Arial"/>
          <w:color w:val="000000"/>
          <w:kern w:val="0"/>
          <w:lang w:val="es-ES_tradnl" w:eastAsia="es-CR"/>
          <w14:ligatures w14:val="none"/>
        </w:rPr>
        <w:t xml:space="preserve"> </w:t>
      </w:r>
      <w:r w:rsidRPr="002840C3">
        <w:rPr>
          <w:rFonts w:ascii="Calibri" w:eastAsia="Calibri" w:hAnsi="Calibri" w:cs="Calibri"/>
          <w:color w:val="000000"/>
          <w:kern w:val="0"/>
          <w:lang w:val="es-ES" w:eastAsia="es-CR"/>
          <w14:ligatures w14:val="none"/>
        </w:rPr>
        <w:t xml:space="preserve">Las pruebas cortas se realizarán en el aula virtual en las sesiones 2, 5 y 6. Con ellas se pretenderá evaluar el uso de herramientas (gramática, diccionario, concordancias) en análisis de verbos, sustantivos y traducción de oraciones. </w:t>
      </w:r>
      <w:r w:rsidRPr="002840C3">
        <w:rPr>
          <w:rFonts w:ascii="Calibri" w:eastAsia="Calibri" w:hAnsi="Calibri" w:cs="Calibri"/>
          <w:color w:val="0070C0"/>
          <w:kern w:val="0"/>
          <w:lang w:val="es-ES" w:eastAsia="es-CR"/>
          <w14:ligatures w14:val="none"/>
        </w:rPr>
        <w:t>Podrán realizarse con todos los elementos (diccionarios y gramáticas) a mano, sin embargo, cada prueba tiene un tiempo limitado para su resolución. La prueba estará disponible en la herramienta de cuestionario del aula virtual donde la persona estudiante encontrará las preguntas que debe resolver y el tiempo asignado para ello. La herramienta controla el tiempo.</w:t>
      </w:r>
    </w:p>
    <w:p w14:paraId="524EDE67"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2"/>
          <w:szCs w:val="2"/>
          <w:lang w:val="es-ES_tradnl" w:eastAsia="es-CR"/>
          <w14:ligatures w14:val="none"/>
        </w:rPr>
      </w:pPr>
    </w:p>
    <w:p w14:paraId="36B708CF"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b/>
          <w:bCs/>
          <w:color w:val="000000"/>
          <w:kern w:val="0"/>
          <w:lang w:val="es-ES_tradnl" w:eastAsia="es-CR"/>
          <w14:ligatures w14:val="none"/>
        </w:rPr>
        <w:t>d) Ejercicio de traducción:</w:t>
      </w:r>
      <w:r w:rsidRPr="002840C3">
        <w:rPr>
          <w:rFonts w:ascii="Calibri" w:eastAsia="Times New Roman" w:hAnsi="Calibri" w:cs="Arial"/>
          <w:color w:val="000000"/>
          <w:kern w:val="0"/>
          <w:lang w:val="es-ES_tradnl" w:eastAsia="es-CR"/>
          <w14:ligatures w14:val="none"/>
        </w:rPr>
        <w:t xml:space="preserve"> Estos ejercicios permitirán que los y las estudiantes hagan una aplicación práctica de lo aprendido en la traducción de textos bíblicos escritos en griego. La persona estudiante deberá descargar el documento del aula virtual, realizar la traducción y entregarlo a la persona docente para su calificación.</w:t>
      </w:r>
    </w:p>
    <w:p w14:paraId="26D9BC8D"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2"/>
          <w:szCs w:val="2"/>
          <w:lang w:val="es-ES_tradnl" w:eastAsia="es-CR"/>
          <w14:ligatures w14:val="none"/>
        </w:rPr>
      </w:pPr>
    </w:p>
    <w:p w14:paraId="0A232E6A"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Calibri" w:hAnsi="Calibri" w:cs="Calibri"/>
          <w:kern w:val="0"/>
          <w:lang w:val="es-ES" w:eastAsia="es-CR"/>
          <w14:ligatures w14:val="none"/>
        </w:rPr>
      </w:pPr>
      <w:r w:rsidRPr="002840C3">
        <w:rPr>
          <w:rFonts w:ascii="Calibri" w:eastAsia="Times New Roman" w:hAnsi="Calibri" w:cs="Arial"/>
          <w:b/>
          <w:bCs/>
          <w:color w:val="000000"/>
          <w:kern w:val="0"/>
          <w:lang w:val="es-ES_tradnl" w:eastAsia="es-CR"/>
          <w14:ligatures w14:val="none"/>
        </w:rPr>
        <w:t>e) Examen escrito:</w:t>
      </w:r>
      <w:r w:rsidRPr="002840C3">
        <w:rPr>
          <w:rFonts w:ascii="Calibri" w:eastAsia="Times New Roman" w:hAnsi="Calibri" w:cs="Arial"/>
          <w:color w:val="000000"/>
          <w:kern w:val="0"/>
          <w:lang w:val="es-ES_tradnl" w:eastAsia="es-CR"/>
          <w14:ligatures w14:val="none"/>
        </w:rPr>
        <w:t xml:space="preserve"> Los exámenes escritos se realizan en las sesiones 7 y 15 y valorarán de forma acumulativa los aprendizajes y las competencias desarrolladas a lo largo del curso. Se trata de traducciones asincrónicas a lo largo de la sesión en las que se asignen que pretenden demostrar el manejo de las herramientas (gramática, diccionario, concordancias). </w:t>
      </w:r>
      <w:r w:rsidRPr="00484790">
        <w:rPr>
          <w:rFonts w:ascii="Calibri" w:eastAsia="Times New Roman" w:hAnsi="Calibri" w:cs="Arial"/>
          <w:color w:val="0070C0"/>
          <w:kern w:val="0"/>
          <w:lang w:val="es-ES_tradnl" w:eastAsia="es-CR"/>
          <w14:ligatures w14:val="none"/>
        </w:rPr>
        <w:t>La persona estudiante deberá descargar el examen del aula virtual en la fecha estipulada y resolverlo dentro del plazo de tiempo establecido para su entrega.</w:t>
      </w:r>
      <w:r w:rsidRPr="00484790">
        <w:rPr>
          <w:rFonts w:ascii="Calibri" w:eastAsia="Calibri" w:hAnsi="Calibri" w:cs="Calibri"/>
          <w:color w:val="0070C0"/>
          <w:kern w:val="0"/>
          <w:lang w:val="es-ES" w:eastAsia="es-CR"/>
          <w14:ligatures w14:val="none"/>
        </w:rPr>
        <w:t xml:space="preserve">  </w:t>
      </w:r>
    </w:p>
    <w:p w14:paraId="02B84D09"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2"/>
          <w:szCs w:val="2"/>
          <w:lang w:val="es-ES_tradnl" w:eastAsia="es-CR"/>
          <w14:ligatures w14:val="none"/>
        </w:rPr>
      </w:pPr>
    </w:p>
    <w:p w14:paraId="73701268"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2840C3">
        <w:rPr>
          <w:rFonts w:ascii="Calibri" w:eastAsia="Times New Roman" w:hAnsi="Calibri" w:cs="Arial"/>
          <w:b/>
          <w:bCs/>
          <w:color w:val="000000"/>
          <w:kern w:val="0"/>
          <w:lang w:val="es-ES" w:eastAsia="es-CR"/>
          <w14:ligatures w14:val="none"/>
        </w:rPr>
        <w:t xml:space="preserve">f) Examen de lectura: </w:t>
      </w:r>
      <w:r w:rsidRPr="002840C3">
        <w:rPr>
          <w:rFonts w:ascii="Calibri" w:eastAsia="Times New Roman" w:hAnsi="Calibri" w:cs="Arial"/>
          <w:color w:val="000000"/>
          <w:kern w:val="0"/>
          <w:lang w:val="es-ES" w:eastAsia="es-CR"/>
          <w14:ligatures w14:val="none"/>
        </w:rPr>
        <w:t>El examen de lectura se desarrollará en forma oral durante las últimas dos sesiones del curso en un encuentro sincrónico virtual convenido entre la persona docente y la persona estudiante. Su finalidad consistirá en corregir, en tiempo real, la pronunciación y la calidad de la lectura del griego koiné.</w:t>
      </w:r>
    </w:p>
    <w:p w14:paraId="2D7F0C35"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7E04115C"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7D1AFAE4"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b/>
          <w:bCs/>
          <w:color w:val="000000"/>
          <w:kern w:val="0"/>
          <w:lang w:val="es-ES_tradnl" w:eastAsia="es-CR"/>
          <w14:ligatures w14:val="none"/>
        </w:rPr>
        <w:t>VII. Recursos didácticos</w:t>
      </w:r>
    </w:p>
    <w:p w14:paraId="0F18026E"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2721E458"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840C3">
        <w:rPr>
          <w:rFonts w:ascii="Calibri" w:eastAsia="Times New Roman" w:hAnsi="Calibri" w:cs="Arial"/>
          <w:color w:val="000000"/>
          <w:kern w:val="0"/>
          <w:lang w:val="es-ES" w:eastAsia="es-ES"/>
          <w14:ligatures w14:val="none"/>
        </w:rPr>
        <w:t>Para lograr los objetivos del curso, desarrollar los contenidos y la metodología propuesta se hará uso de los siguientes recursos didácticos:</w:t>
      </w:r>
    </w:p>
    <w:p w14:paraId="5A41C827"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28A8653F"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840C3">
        <w:rPr>
          <w:rFonts w:ascii="Calibri" w:eastAsia="Times New Roman" w:hAnsi="Calibri" w:cs="Arial"/>
          <w:color w:val="000000"/>
          <w:kern w:val="0"/>
          <w:lang w:val="es-ES" w:eastAsia="es-ES"/>
          <w14:ligatures w14:val="none"/>
        </w:rPr>
        <w:t xml:space="preserve">a) Lecturas semanales obligatorias que se asignan como insumo para las actividades individuales y grupales, abordando aspectos gramaticales y exegéticos del griego del Nuevo Testamento. Todos los materiales de lectura están disponibles en formato digital en la plataforma virtual. </w:t>
      </w:r>
    </w:p>
    <w:p w14:paraId="5F40FCFF"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5B36BE0B"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840C3">
        <w:rPr>
          <w:rFonts w:ascii="Calibri" w:eastAsia="Times New Roman" w:hAnsi="Calibri" w:cs="Arial"/>
          <w:color w:val="000000"/>
          <w:kern w:val="0"/>
          <w:lang w:val="es-ES" w:eastAsia="es-ES"/>
          <w14:ligatures w14:val="none"/>
        </w:rPr>
        <w:t>b) Lecturas complementarias en algunas de las sesiones que se asignan para su lectura con el fin de ampliar las temáticas gramaticales y exegéticas. Realizar estas lecturas es opcional.</w:t>
      </w:r>
    </w:p>
    <w:p w14:paraId="5E258C0D"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617AC9AE"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840C3">
        <w:rPr>
          <w:rFonts w:ascii="Calibri" w:eastAsia="Times New Roman" w:hAnsi="Calibri" w:cs="Arial"/>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3E97F4D3"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6698099B"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840C3">
        <w:rPr>
          <w:rFonts w:ascii="Calibri" w:eastAsia="Times New Roman" w:hAnsi="Calibri" w:cs="Arial"/>
          <w:color w:val="000000"/>
          <w:kern w:val="0"/>
          <w:lang w:val="es-ES" w:eastAsia="es-ES"/>
          <w14:ligatures w14:val="none"/>
        </w:rPr>
        <w:t xml:space="preserve">d) En la plataforma virtual también dispondrá de una guía general que se encuentra en el material complementario de la sesión correspondiente para la participación mediante la herramienta Big Blue </w:t>
      </w:r>
      <w:proofErr w:type="spellStart"/>
      <w:r w:rsidRPr="002840C3">
        <w:rPr>
          <w:rFonts w:ascii="Calibri" w:eastAsia="Times New Roman" w:hAnsi="Calibri" w:cs="Arial"/>
          <w:color w:val="000000"/>
          <w:kern w:val="0"/>
          <w:lang w:val="es-ES" w:eastAsia="es-ES"/>
          <w14:ligatures w14:val="none"/>
        </w:rPr>
        <w:t>Button</w:t>
      </w:r>
      <w:proofErr w:type="spellEnd"/>
      <w:r w:rsidRPr="002840C3">
        <w:rPr>
          <w:rFonts w:ascii="Calibri" w:eastAsia="Times New Roman" w:hAnsi="Calibri" w:cs="Arial"/>
          <w:color w:val="000000"/>
          <w:kern w:val="0"/>
          <w:lang w:val="es-ES" w:eastAsia="es-ES"/>
          <w14:ligatures w14:val="none"/>
        </w:rPr>
        <w:t xml:space="preserve"> en la plataforma Moodle.</w:t>
      </w:r>
    </w:p>
    <w:p w14:paraId="71B58008"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5AFDB55B"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840C3">
        <w:rPr>
          <w:rFonts w:ascii="Calibri" w:eastAsia="Times New Roman" w:hAnsi="Calibri" w:cs="Arial"/>
          <w:color w:val="000000"/>
          <w:kern w:val="0"/>
          <w:lang w:val="es-ES" w:eastAsia="es-ES"/>
          <w14:ligatures w14:val="none"/>
        </w:rPr>
        <w:t xml:space="preserve">e) Se utilizará el texto programado “El griego del Nuevo Testamento”, elaborado por Irene </w:t>
      </w:r>
      <w:proofErr w:type="spellStart"/>
      <w:r w:rsidRPr="002840C3">
        <w:rPr>
          <w:rFonts w:ascii="Calibri" w:eastAsia="Times New Roman" w:hAnsi="Calibri" w:cs="Arial"/>
          <w:color w:val="000000"/>
          <w:kern w:val="0"/>
          <w:lang w:val="es-ES" w:eastAsia="es-ES"/>
          <w14:ligatures w14:val="none"/>
        </w:rPr>
        <w:t>Foulkes</w:t>
      </w:r>
      <w:proofErr w:type="spellEnd"/>
      <w:r w:rsidRPr="002840C3">
        <w:rPr>
          <w:rFonts w:ascii="Calibri" w:eastAsia="Times New Roman" w:hAnsi="Calibri" w:cs="Arial"/>
          <w:color w:val="000000"/>
          <w:kern w:val="0"/>
          <w:lang w:val="es-ES" w:eastAsia="es-ES"/>
          <w14:ligatures w14:val="none"/>
        </w:rPr>
        <w:t>, como recurso didáctico fundamental del curso, el cual ofrece material básico para el aprendizaje del griego, junto con vocabulario y ejercicios prácticos.</w:t>
      </w:r>
    </w:p>
    <w:p w14:paraId="5223470A"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2E692273"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563C1"/>
          <w:kern w:val="0"/>
          <w:u w:val="single"/>
          <w:lang w:val="es-ES_tradnl" w:eastAsia="es-ES"/>
          <w14:ligatures w14:val="none"/>
        </w:rPr>
      </w:pPr>
      <w:r w:rsidRPr="002840C3">
        <w:rPr>
          <w:rFonts w:ascii="Calibri" w:eastAsia="Times New Roman" w:hAnsi="Calibri" w:cs="Arial"/>
          <w:color w:val="000000"/>
          <w:kern w:val="0"/>
          <w:lang w:val="es-ES" w:eastAsia="es-ES"/>
          <w14:ligatures w14:val="none"/>
        </w:rPr>
        <w:t>f) Se emplearán Biblias en griego, versiones interlineares, diccionarios, léxicos, gramáticas griegas, estudios de sintaxis y algunas de las más importantes traducciones del Nuevo Testamento al castellano.</w:t>
      </w:r>
    </w:p>
    <w:p w14:paraId="125B6B20"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563C1"/>
          <w:kern w:val="0"/>
          <w:u w:val="single"/>
          <w:lang w:val="es-ES_tradnl" w:eastAsia="es-ES"/>
          <w14:ligatures w14:val="none"/>
        </w:rPr>
      </w:pPr>
    </w:p>
    <w:p w14:paraId="582959D4"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eastAsia="es-CR"/>
          <w14:ligatures w14:val="none"/>
        </w:rPr>
      </w:pPr>
      <w:r w:rsidRPr="002840C3">
        <w:rPr>
          <w:rFonts w:ascii="Calibri" w:eastAsia="Times New Roman" w:hAnsi="Calibri" w:cs="Arial"/>
          <w:kern w:val="0"/>
          <w:lang w:val="es-ES_tradnl" w:eastAsia="es-ES"/>
          <w14:ligatures w14:val="none"/>
        </w:rPr>
        <w:t xml:space="preserve">g) El </w:t>
      </w:r>
      <w:proofErr w:type="spellStart"/>
      <w:r w:rsidRPr="002840C3">
        <w:rPr>
          <w:rFonts w:ascii="Calibri" w:eastAsia="Times New Roman" w:hAnsi="Calibri" w:cs="Arial"/>
          <w:i/>
          <w:iCs/>
          <w:color w:val="000000"/>
          <w:kern w:val="0"/>
          <w:lang w:eastAsia="es-CR"/>
          <w14:ligatures w14:val="none"/>
        </w:rPr>
        <w:t>Novum</w:t>
      </w:r>
      <w:proofErr w:type="spellEnd"/>
      <w:r w:rsidRPr="002840C3">
        <w:rPr>
          <w:rFonts w:ascii="Calibri" w:eastAsia="Times New Roman" w:hAnsi="Calibri" w:cs="Arial"/>
          <w:i/>
          <w:iCs/>
          <w:color w:val="000000"/>
          <w:kern w:val="0"/>
          <w:lang w:eastAsia="es-CR"/>
          <w14:ligatures w14:val="none"/>
        </w:rPr>
        <w:t xml:space="preserve"> </w:t>
      </w:r>
      <w:proofErr w:type="spellStart"/>
      <w:r w:rsidRPr="002840C3">
        <w:rPr>
          <w:rFonts w:ascii="Calibri" w:eastAsia="Times New Roman" w:hAnsi="Calibri" w:cs="Arial"/>
          <w:i/>
          <w:iCs/>
          <w:color w:val="000000"/>
          <w:kern w:val="0"/>
          <w:lang w:eastAsia="es-CR"/>
          <w14:ligatures w14:val="none"/>
        </w:rPr>
        <w:t>Testamentum</w:t>
      </w:r>
      <w:proofErr w:type="spellEnd"/>
      <w:r w:rsidRPr="002840C3">
        <w:rPr>
          <w:rFonts w:ascii="Calibri" w:eastAsia="Times New Roman" w:hAnsi="Calibri" w:cs="Arial"/>
          <w:i/>
          <w:iCs/>
          <w:color w:val="000000"/>
          <w:kern w:val="0"/>
          <w:lang w:eastAsia="es-CR"/>
          <w14:ligatures w14:val="none"/>
        </w:rPr>
        <w:t xml:space="preserve"> </w:t>
      </w:r>
      <w:proofErr w:type="spellStart"/>
      <w:r w:rsidRPr="002840C3">
        <w:rPr>
          <w:rFonts w:ascii="Calibri" w:eastAsia="Times New Roman" w:hAnsi="Calibri" w:cs="Arial"/>
          <w:i/>
          <w:iCs/>
          <w:color w:val="000000"/>
          <w:kern w:val="0"/>
          <w:lang w:eastAsia="es-CR"/>
          <w14:ligatures w14:val="none"/>
        </w:rPr>
        <w:t>Graece</w:t>
      </w:r>
      <w:proofErr w:type="spellEnd"/>
      <w:r w:rsidRPr="002840C3">
        <w:rPr>
          <w:rFonts w:ascii="Calibri" w:eastAsia="Times New Roman" w:hAnsi="Calibri" w:cs="Arial"/>
          <w:i/>
          <w:iCs/>
          <w:color w:val="000000"/>
          <w:kern w:val="0"/>
          <w:lang w:eastAsia="es-CR"/>
          <w14:ligatures w14:val="none"/>
        </w:rPr>
        <w:t xml:space="preserve"> </w:t>
      </w:r>
      <w:r w:rsidRPr="002840C3">
        <w:rPr>
          <w:rFonts w:ascii="Calibri" w:eastAsia="Times New Roman" w:hAnsi="Calibri" w:cs="Arial"/>
          <w:color w:val="000000"/>
          <w:kern w:val="0"/>
          <w:lang w:eastAsia="es-CR"/>
          <w14:ligatures w14:val="none"/>
        </w:rPr>
        <w:t xml:space="preserve">está accesible en línea para el estudio del griego durante todo el curso y se puede consultar en la </w:t>
      </w:r>
      <w:hyperlink r:id="rId376">
        <w:r w:rsidRPr="002840C3">
          <w:rPr>
            <w:rFonts w:ascii="Calibri" w:eastAsia="Times New Roman" w:hAnsi="Calibri" w:cs="Arial"/>
            <w:color w:val="0563C1"/>
            <w:kern w:val="0"/>
            <w:u w:val="single"/>
            <w:lang w:eastAsia="es-CR"/>
            <w14:ligatures w14:val="none"/>
          </w:rPr>
          <w:t>página de los editores</w:t>
        </w:r>
      </w:hyperlink>
      <w:r w:rsidRPr="002840C3">
        <w:rPr>
          <w:rFonts w:ascii="Calibri" w:eastAsia="Times New Roman" w:hAnsi="Calibri" w:cs="Arial"/>
          <w:color w:val="000000"/>
          <w:kern w:val="0"/>
          <w:lang w:eastAsia="es-CR"/>
          <w14:ligatures w14:val="none"/>
        </w:rPr>
        <w:t xml:space="preserve"> (ver datos en la bibliografía).</w:t>
      </w:r>
    </w:p>
    <w:p w14:paraId="4568047D"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kern w:val="0"/>
          <w:lang w:eastAsia="es-ES"/>
          <w14:ligatures w14:val="none"/>
        </w:rPr>
      </w:pPr>
    </w:p>
    <w:p w14:paraId="42810D85"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2840C3">
        <w:rPr>
          <w:rFonts w:ascii="Calibri" w:eastAsia="Times New Roman" w:hAnsi="Calibri" w:cs="Arial"/>
          <w:color w:val="000000"/>
          <w:kern w:val="0"/>
          <w:lang w:val="es-ES" w:eastAsia="es-ES"/>
          <w14:ligatures w14:val="none"/>
        </w:rPr>
        <w:t xml:space="preserve">h) También puede disponer de las bases de datos, revistas en línea, repositorios y buscadores especializados a los cuales puede acceder mediante la Biblioteca Enrique </w:t>
      </w:r>
      <w:proofErr w:type="spellStart"/>
      <w:r w:rsidRPr="002840C3">
        <w:rPr>
          <w:rFonts w:ascii="Calibri" w:eastAsia="Times New Roman" w:hAnsi="Calibri" w:cs="Arial"/>
          <w:color w:val="000000"/>
          <w:kern w:val="0"/>
          <w:lang w:val="es-ES" w:eastAsia="es-ES"/>
          <w14:ligatures w14:val="none"/>
        </w:rPr>
        <w:t>Strachan</w:t>
      </w:r>
      <w:proofErr w:type="spellEnd"/>
      <w:r w:rsidRPr="002840C3">
        <w:rPr>
          <w:rFonts w:ascii="Calibri" w:eastAsia="Times New Roman" w:hAnsi="Calibri" w:cs="Arial"/>
          <w:color w:val="000000"/>
          <w:kern w:val="0"/>
          <w:lang w:val="es-ES" w:eastAsia="es-ES"/>
          <w14:ligatures w14:val="none"/>
        </w:rPr>
        <w:t xml:space="preserve"> (</w:t>
      </w:r>
      <w:hyperlink r:id="rId377">
        <w:r w:rsidRPr="002840C3">
          <w:rPr>
            <w:rFonts w:ascii="Calibri" w:eastAsia="Times New Roman" w:hAnsi="Calibri" w:cs="Arial"/>
            <w:color w:val="0563C1"/>
            <w:kern w:val="0"/>
            <w:u w:val="single"/>
            <w:lang w:val="es-ES" w:eastAsia="es-ES"/>
            <w14:ligatures w14:val="none"/>
          </w:rPr>
          <w:t>https://www.ubl.ac.cr/biblioteca</w:t>
        </w:r>
      </w:hyperlink>
      <w:r w:rsidRPr="002840C3">
        <w:rPr>
          <w:rFonts w:ascii="Calibri" w:eastAsia="Times New Roman" w:hAnsi="Calibri" w:cs="Arial"/>
          <w:color w:val="000000"/>
          <w:kern w:val="0"/>
          <w:lang w:val="es-ES" w:eastAsia="es-ES"/>
          <w14:ligatures w14:val="none"/>
        </w:rPr>
        <w:t>), así como consultar el Portal de Revistas de la UBL (</w:t>
      </w:r>
      <w:hyperlink r:id="rId378">
        <w:r w:rsidRPr="002840C3">
          <w:rPr>
            <w:rFonts w:ascii="Calibri" w:eastAsia="Times New Roman" w:hAnsi="Calibri" w:cs="Arial"/>
            <w:color w:val="0563C1"/>
            <w:kern w:val="0"/>
            <w:u w:val="single"/>
            <w:lang w:val="es-ES" w:eastAsia="es-ES"/>
            <w14:ligatures w14:val="none"/>
          </w:rPr>
          <w:t>http://revistas.ubl.ac.cr/</w:t>
        </w:r>
      </w:hyperlink>
      <w:r w:rsidRPr="002840C3">
        <w:rPr>
          <w:rFonts w:ascii="Calibri" w:eastAsia="Times New Roman" w:hAnsi="Calibri" w:cs="Arial"/>
          <w:color w:val="000000"/>
          <w:kern w:val="0"/>
          <w:lang w:val="es-ES" w:eastAsia="es-ES"/>
          <w14:ligatures w14:val="none"/>
        </w:rPr>
        <w:t>). A través del correo de la biblioteca (</w:t>
      </w:r>
      <w:hyperlink r:id="rId379">
        <w:r w:rsidRPr="002840C3">
          <w:rPr>
            <w:rFonts w:ascii="Calibri" w:eastAsia="Times New Roman" w:hAnsi="Calibri" w:cs="Arial"/>
            <w:color w:val="0563C1"/>
            <w:kern w:val="0"/>
            <w:u w:val="single"/>
            <w:lang w:val="es-ES" w:eastAsia="es-ES"/>
            <w14:ligatures w14:val="none"/>
          </w:rPr>
          <w:t>biblioteca@ubl.ac.cr</w:t>
        </w:r>
      </w:hyperlink>
      <w:r w:rsidRPr="002840C3">
        <w:rPr>
          <w:rFonts w:ascii="Calibri" w:eastAsia="Times New Roman" w:hAnsi="Calibri" w:cs="Arial"/>
          <w:color w:val="000000"/>
          <w:kern w:val="0"/>
          <w:lang w:val="es-ES" w:eastAsia="es-ES"/>
          <w14:ligatures w14:val="none"/>
        </w:rPr>
        <w:t xml:space="preserve">) puede solicitar recursos que se encuentren en la colección física. </w:t>
      </w:r>
    </w:p>
    <w:p w14:paraId="6BF0868C"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0566A3E5"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ES"/>
          <w14:ligatures w14:val="none"/>
        </w:rPr>
      </w:pPr>
      <w:r w:rsidRPr="002840C3">
        <w:rPr>
          <w:rFonts w:ascii="Calibri" w:eastAsia="Times New Roman" w:hAnsi="Calibri" w:cs="Arial"/>
          <w:color w:val="000000"/>
          <w:kern w:val="0"/>
          <w:lang w:val="es-ES" w:eastAsia="es-ES"/>
          <w14:ligatures w14:val="none"/>
        </w:rPr>
        <w:t>i)</w:t>
      </w:r>
      <w:r w:rsidRPr="002840C3">
        <w:rPr>
          <w:rFonts w:ascii="Times New Roman" w:eastAsia="Times New Roman" w:hAnsi="Times New Roman" w:cs="Arial"/>
          <w:kern w:val="0"/>
          <w:sz w:val="24"/>
          <w:szCs w:val="20"/>
          <w:lang w:val="es-ES_tradnl" w:eastAsia="es-CR"/>
          <w14:ligatures w14:val="none"/>
        </w:rPr>
        <w:t xml:space="preserve"> </w:t>
      </w:r>
      <w:r w:rsidRPr="002840C3">
        <w:rPr>
          <w:rFonts w:ascii="Calibri" w:eastAsia="Times New Roman" w:hAnsi="Calibri" w:cs="Arial"/>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Bíblicas. Dicho espacio está disponible para todas las personas registradas en el campus virtual y se puede acceder a través del siguiente enlace: </w:t>
      </w:r>
      <w:hyperlink r:id="rId380">
        <w:r w:rsidRPr="002840C3">
          <w:rPr>
            <w:rFonts w:ascii="Calibri" w:eastAsia="Times New Roman" w:hAnsi="Calibri" w:cs="Arial"/>
            <w:color w:val="0563C1"/>
            <w:kern w:val="0"/>
            <w:u w:val="single"/>
            <w:lang w:val="es-ES_tradnl" w:eastAsia="es-CR"/>
            <w14:ligatures w14:val="none"/>
          </w:rPr>
          <w:t>https://campus.ubl.ac.cr/course/index.php?categoryid=186</w:t>
        </w:r>
      </w:hyperlink>
    </w:p>
    <w:p w14:paraId="4DAA458F"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ES"/>
          <w14:ligatures w14:val="none"/>
        </w:rPr>
      </w:pPr>
    </w:p>
    <w:p w14:paraId="183B4FBA" w14:textId="77777777" w:rsid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ES"/>
          <w14:ligatures w14:val="none"/>
        </w:rPr>
      </w:pPr>
      <w:r w:rsidRPr="002840C3">
        <w:rPr>
          <w:rFonts w:ascii="Calibri" w:eastAsia="Times New Roman" w:hAnsi="Calibri" w:cs="Arial"/>
          <w:color w:val="000000"/>
          <w:kern w:val="0"/>
          <w:lang w:val="es-ES" w:eastAsia="es-ES"/>
          <w14:ligatures w14:val="none"/>
        </w:rPr>
        <w:t>j) Mediante el campus virtual accederá al espacio de soporte técnico, en el cual puede evacuar sus dudas o preguntas frecuentes y al correo electrónico para comunicarse con la persona docente.</w:t>
      </w:r>
    </w:p>
    <w:p w14:paraId="688412CD" w14:textId="77777777" w:rsidR="003F255B" w:rsidRDefault="003F255B"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ES"/>
          <w14:ligatures w14:val="none"/>
        </w:rPr>
      </w:pPr>
    </w:p>
    <w:p w14:paraId="74916CD2" w14:textId="77777777" w:rsidR="003F255B" w:rsidRDefault="003F255B"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ES"/>
          <w14:ligatures w14:val="none"/>
        </w:rPr>
      </w:pPr>
    </w:p>
    <w:p w14:paraId="0A298126" w14:textId="77777777" w:rsidR="003F255B" w:rsidRDefault="003F255B"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ES"/>
          <w14:ligatures w14:val="none"/>
        </w:rPr>
      </w:pPr>
    </w:p>
    <w:p w14:paraId="09D9B2DB" w14:textId="77777777" w:rsidR="003F255B" w:rsidRPr="002840C3" w:rsidRDefault="003F255B"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0B7BEA32" w14:textId="77777777" w:rsidR="002840C3" w:rsidRPr="002840C3" w:rsidRDefault="002840C3" w:rsidP="002840C3">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r w:rsidRPr="002840C3">
        <w:rPr>
          <w:rFonts w:ascii="Calibri" w:eastAsia="Times New Roman" w:hAnsi="Calibri" w:cs="Arial"/>
          <w:b/>
          <w:bCs/>
          <w:color w:val="000000"/>
          <w:kern w:val="0"/>
          <w:lang w:val="es-ES_tradnl" w:eastAsia="es-CR"/>
          <w14:ligatures w14:val="none"/>
        </w:rPr>
        <w:lastRenderedPageBreak/>
        <w:t>VIII. Cronograma de trabajo</w:t>
      </w:r>
    </w:p>
    <w:p w14:paraId="2BD44879" w14:textId="77777777" w:rsidR="002840C3" w:rsidRPr="002840C3" w:rsidRDefault="002840C3" w:rsidP="002840C3">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tbl>
      <w:tblPr>
        <w:tblStyle w:val="Tablaconcuadrcula3"/>
        <w:tblW w:w="9493" w:type="dxa"/>
        <w:jc w:val="center"/>
        <w:tblLook w:val="04A0" w:firstRow="1" w:lastRow="0" w:firstColumn="1" w:lastColumn="0" w:noHBand="0" w:noVBand="1"/>
      </w:tblPr>
      <w:tblGrid>
        <w:gridCol w:w="1144"/>
        <w:gridCol w:w="2395"/>
        <w:gridCol w:w="3119"/>
        <w:gridCol w:w="2835"/>
      </w:tblGrid>
      <w:tr w:rsidR="002840C3" w:rsidRPr="002840C3" w14:paraId="2340DBD3" w14:textId="77777777" w:rsidTr="00104785">
        <w:trPr>
          <w:trHeight w:val="463"/>
          <w:jc w:val="center"/>
        </w:trPr>
        <w:tc>
          <w:tcPr>
            <w:tcW w:w="1144" w:type="dxa"/>
            <w:vMerge w:val="restart"/>
            <w:vAlign w:val="center"/>
          </w:tcPr>
          <w:p w14:paraId="09ED084D" w14:textId="77777777" w:rsidR="002840C3" w:rsidRPr="002840C3" w:rsidRDefault="002840C3" w:rsidP="002840C3">
            <w:pPr>
              <w:jc w:val="center"/>
              <w:rPr>
                <w:rFonts w:ascii="Calibri" w:hAnsi="Calibri" w:cs="Arial"/>
                <w:b/>
                <w:bCs/>
              </w:rPr>
            </w:pPr>
            <w:r w:rsidRPr="002840C3">
              <w:rPr>
                <w:rFonts w:ascii="Calibri" w:hAnsi="Calibri" w:cs="Arial"/>
                <w:b/>
                <w:bCs/>
              </w:rPr>
              <w:t>Sesión</w:t>
            </w:r>
          </w:p>
          <w:p w14:paraId="65642A3E" w14:textId="77777777" w:rsidR="002840C3" w:rsidRPr="002840C3" w:rsidRDefault="002840C3" w:rsidP="002840C3">
            <w:pPr>
              <w:jc w:val="center"/>
              <w:rPr>
                <w:rFonts w:ascii="Calibri" w:hAnsi="Calibri" w:cs="Arial"/>
                <w:b/>
                <w:bCs/>
              </w:rPr>
            </w:pPr>
            <w:r w:rsidRPr="002840C3">
              <w:rPr>
                <w:rFonts w:ascii="Calibri" w:hAnsi="Calibri" w:cs="Arial"/>
                <w:b/>
                <w:bCs/>
              </w:rPr>
              <w:t>(semana)</w:t>
            </w:r>
          </w:p>
        </w:tc>
        <w:tc>
          <w:tcPr>
            <w:tcW w:w="2395" w:type="dxa"/>
            <w:vMerge w:val="restart"/>
            <w:vAlign w:val="center"/>
          </w:tcPr>
          <w:p w14:paraId="4EB5762C" w14:textId="77777777" w:rsidR="002840C3" w:rsidRPr="002840C3" w:rsidRDefault="002840C3" w:rsidP="002840C3">
            <w:pPr>
              <w:jc w:val="center"/>
              <w:rPr>
                <w:rFonts w:ascii="Calibri" w:hAnsi="Calibri" w:cs="Arial"/>
                <w:b/>
                <w:bCs/>
              </w:rPr>
            </w:pPr>
            <w:r w:rsidRPr="002840C3">
              <w:rPr>
                <w:rFonts w:ascii="Calibri" w:hAnsi="Calibri" w:cs="Arial"/>
                <w:b/>
                <w:bCs/>
              </w:rPr>
              <w:t>Contenidos temáticos</w:t>
            </w:r>
          </w:p>
        </w:tc>
        <w:tc>
          <w:tcPr>
            <w:tcW w:w="5954" w:type="dxa"/>
            <w:gridSpan w:val="2"/>
            <w:vAlign w:val="center"/>
          </w:tcPr>
          <w:p w14:paraId="2283542C" w14:textId="77777777" w:rsidR="002840C3" w:rsidRPr="002840C3" w:rsidRDefault="002840C3" w:rsidP="002840C3">
            <w:pPr>
              <w:jc w:val="center"/>
              <w:rPr>
                <w:rFonts w:ascii="Calibri" w:hAnsi="Calibri" w:cs="Arial"/>
                <w:b/>
                <w:bCs/>
              </w:rPr>
            </w:pPr>
            <w:r w:rsidRPr="002840C3">
              <w:rPr>
                <w:rFonts w:ascii="Calibri" w:hAnsi="Calibri" w:cs="Arial"/>
                <w:b/>
                <w:bCs/>
              </w:rPr>
              <w:t>Actividades de enseñanza-aprendizaje</w:t>
            </w:r>
          </w:p>
        </w:tc>
      </w:tr>
      <w:tr w:rsidR="002840C3" w:rsidRPr="002840C3" w14:paraId="3AD3CCCF" w14:textId="77777777" w:rsidTr="00104785">
        <w:trPr>
          <w:trHeight w:val="413"/>
          <w:jc w:val="center"/>
        </w:trPr>
        <w:tc>
          <w:tcPr>
            <w:tcW w:w="1144" w:type="dxa"/>
            <w:vMerge/>
            <w:vAlign w:val="center"/>
          </w:tcPr>
          <w:p w14:paraId="0A3DFE34" w14:textId="77777777" w:rsidR="002840C3" w:rsidRPr="002840C3" w:rsidRDefault="002840C3" w:rsidP="002840C3">
            <w:pPr>
              <w:jc w:val="center"/>
              <w:rPr>
                <w:rFonts w:ascii="Calibri" w:hAnsi="Calibri" w:cs="Arial"/>
              </w:rPr>
            </w:pPr>
          </w:p>
        </w:tc>
        <w:tc>
          <w:tcPr>
            <w:tcW w:w="2395" w:type="dxa"/>
            <w:vMerge/>
            <w:vAlign w:val="center"/>
          </w:tcPr>
          <w:p w14:paraId="074DCE7C" w14:textId="77777777" w:rsidR="002840C3" w:rsidRPr="002840C3" w:rsidRDefault="002840C3" w:rsidP="002840C3">
            <w:pPr>
              <w:jc w:val="center"/>
              <w:rPr>
                <w:rFonts w:ascii="Calibri" w:hAnsi="Calibri" w:cs="Arial"/>
              </w:rPr>
            </w:pPr>
          </w:p>
        </w:tc>
        <w:tc>
          <w:tcPr>
            <w:tcW w:w="3119" w:type="dxa"/>
            <w:vAlign w:val="center"/>
          </w:tcPr>
          <w:p w14:paraId="4EF72A5C" w14:textId="77777777" w:rsidR="002840C3" w:rsidRPr="002840C3" w:rsidRDefault="002840C3" w:rsidP="002840C3">
            <w:pPr>
              <w:jc w:val="center"/>
              <w:rPr>
                <w:rFonts w:ascii="Calibri" w:hAnsi="Calibri" w:cs="Arial"/>
                <w:b/>
                <w:bCs/>
              </w:rPr>
            </w:pPr>
            <w:r w:rsidRPr="002840C3">
              <w:rPr>
                <w:rFonts w:ascii="Calibri" w:hAnsi="Calibri" w:cs="Arial"/>
                <w:b/>
                <w:bCs/>
              </w:rPr>
              <w:t>Recursos didácticos</w:t>
            </w:r>
          </w:p>
        </w:tc>
        <w:tc>
          <w:tcPr>
            <w:tcW w:w="2835" w:type="dxa"/>
            <w:vAlign w:val="center"/>
          </w:tcPr>
          <w:p w14:paraId="7B20F7EA" w14:textId="77777777" w:rsidR="002840C3" w:rsidRPr="002840C3" w:rsidRDefault="002840C3" w:rsidP="002840C3">
            <w:pPr>
              <w:jc w:val="center"/>
              <w:rPr>
                <w:rFonts w:ascii="Calibri" w:hAnsi="Calibri" w:cs="Arial"/>
                <w:b/>
                <w:bCs/>
              </w:rPr>
            </w:pPr>
            <w:r w:rsidRPr="002840C3">
              <w:rPr>
                <w:rFonts w:ascii="Calibri" w:hAnsi="Calibri" w:cs="Arial"/>
                <w:b/>
                <w:bCs/>
              </w:rPr>
              <w:t>Actividades de aprendizaje</w:t>
            </w:r>
          </w:p>
        </w:tc>
      </w:tr>
      <w:tr w:rsidR="002840C3" w:rsidRPr="002840C3" w14:paraId="7B6E39E2" w14:textId="77777777" w:rsidTr="00104785">
        <w:trPr>
          <w:trHeight w:val="3678"/>
          <w:jc w:val="center"/>
        </w:trPr>
        <w:tc>
          <w:tcPr>
            <w:tcW w:w="1144" w:type="dxa"/>
          </w:tcPr>
          <w:p w14:paraId="6A650454" w14:textId="77777777" w:rsidR="002840C3" w:rsidRPr="002840C3" w:rsidRDefault="002840C3" w:rsidP="002840C3">
            <w:pPr>
              <w:jc w:val="center"/>
              <w:rPr>
                <w:rFonts w:ascii="Calibri" w:hAnsi="Calibri" w:cs="Arial"/>
              </w:rPr>
            </w:pPr>
          </w:p>
          <w:p w14:paraId="4063F045" w14:textId="77777777" w:rsidR="002840C3" w:rsidRPr="002840C3" w:rsidRDefault="002840C3" w:rsidP="002840C3">
            <w:pPr>
              <w:jc w:val="center"/>
              <w:rPr>
                <w:rFonts w:ascii="Calibri" w:hAnsi="Calibri" w:cs="Arial"/>
              </w:rPr>
            </w:pPr>
            <w:r w:rsidRPr="002840C3">
              <w:rPr>
                <w:rFonts w:ascii="Calibri" w:hAnsi="Calibri" w:cs="Arial"/>
              </w:rPr>
              <w:t>1</w:t>
            </w:r>
          </w:p>
        </w:tc>
        <w:tc>
          <w:tcPr>
            <w:tcW w:w="2395" w:type="dxa"/>
          </w:tcPr>
          <w:p w14:paraId="5505542B"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1: Repaso de los contenidos de CB102 Griego I</w:t>
            </w:r>
          </w:p>
          <w:p w14:paraId="487ACBF0" w14:textId="77777777" w:rsidR="002840C3" w:rsidRPr="002840C3" w:rsidRDefault="002840C3" w:rsidP="002840C3">
            <w:pPr>
              <w:rPr>
                <w:rFonts w:ascii="Calibri" w:hAnsi="Calibri" w:cs="Arial"/>
                <w:b/>
                <w:bCs/>
              </w:rPr>
            </w:pPr>
          </w:p>
          <w:p w14:paraId="29EE999E" w14:textId="77777777" w:rsidR="002840C3" w:rsidRPr="002840C3" w:rsidRDefault="002840C3" w:rsidP="002840C3">
            <w:pPr>
              <w:rPr>
                <w:rFonts w:ascii="Calibri" w:hAnsi="Calibri"/>
              </w:rPr>
            </w:pPr>
            <w:r w:rsidRPr="002840C3">
              <w:rPr>
                <w:rFonts w:ascii="Calibri" w:hAnsi="Calibri"/>
              </w:rPr>
              <w:t>1.1 3era declinación; Instrumentalidad expresada en caso dativo; El concepto adjetivo con preposición; Concordancia entre declinaciones</w:t>
            </w:r>
          </w:p>
        </w:tc>
        <w:tc>
          <w:tcPr>
            <w:tcW w:w="3119" w:type="dxa"/>
          </w:tcPr>
          <w:p w14:paraId="41881DA9"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1DE6BF61" w14:textId="77777777" w:rsidR="002840C3" w:rsidRPr="002840C3" w:rsidRDefault="002840C3" w:rsidP="002840C3">
            <w:pPr>
              <w:rPr>
                <w:rFonts w:ascii="Calibri" w:hAnsi="Calibri" w:cs="Arial"/>
                <w:color w:val="0070C0"/>
              </w:rPr>
            </w:pPr>
          </w:p>
          <w:p w14:paraId="38489DB1"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XIII”. En </w:t>
            </w:r>
            <w:r w:rsidRPr="002840C3">
              <w:rPr>
                <w:rFonts w:ascii="Calibri" w:hAnsi="Calibri" w:cs="Arial"/>
                <w:i/>
                <w:iCs/>
                <w:color w:val="000000"/>
              </w:rPr>
              <w:t>El griego del Nuevo Testamento: texto programado</w:t>
            </w:r>
            <w:r w:rsidRPr="002840C3">
              <w:rPr>
                <w:rFonts w:ascii="Calibri" w:hAnsi="Calibri" w:cs="Arial"/>
                <w:color w:val="000000"/>
              </w:rPr>
              <w:t xml:space="preserve">, 189-213. San José: Universidad Bíblica Latinoamericana, 2010. </w:t>
            </w:r>
            <w:r w:rsidRPr="002840C3">
              <w:rPr>
                <w:rFonts w:ascii="Calibri" w:hAnsi="Calibri" w:cs="Calibri"/>
                <w:color w:val="0070C0"/>
                <w:szCs w:val="18"/>
              </w:rPr>
              <w:t>(clásico, última edición)</w:t>
            </w:r>
          </w:p>
          <w:p w14:paraId="54D664A5" w14:textId="77777777" w:rsidR="002840C3" w:rsidRPr="002840C3" w:rsidRDefault="002840C3" w:rsidP="002840C3">
            <w:pPr>
              <w:rPr>
                <w:rFonts w:ascii="Calibri" w:hAnsi="Calibri" w:cs="Arial"/>
                <w:color w:val="000000"/>
              </w:rPr>
            </w:pPr>
          </w:p>
          <w:p w14:paraId="3FDFE383" w14:textId="77777777" w:rsidR="002840C3" w:rsidRPr="002840C3" w:rsidRDefault="002840C3" w:rsidP="002840C3">
            <w:pPr>
              <w:rPr>
                <w:rFonts w:ascii="Calibri" w:hAnsi="Calibri" w:cs="Arial"/>
                <w:b/>
                <w:bCs/>
                <w:color w:val="0070C0"/>
              </w:rPr>
            </w:pPr>
            <w:r w:rsidRPr="002840C3">
              <w:rPr>
                <w:rFonts w:ascii="Calibri" w:hAnsi="Calibri" w:cs="Arial"/>
                <w:b/>
                <w:bCs/>
                <w:color w:val="0070C0"/>
              </w:rPr>
              <w:t>MATERIAL COMPLEMENTARIO</w:t>
            </w:r>
          </w:p>
          <w:p w14:paraId="0B27DCB4" w14:textId="77777777" w:rsidR="002840C3" w:rsidRPr="002840C3" w:rsidRDefault="002840C3" w:rsidP="002840C3">
            <w:pPr>
              <w:rPr>
                <w:rFonts w:ascii="Calibri" w:hAnsi="Calibri" w:cs="Arial"/>
                <w:b/>
                <w:bCs/>
                <w:color w:val="0070C0"/>
              </w:rPr>
            </w:pPr>
          </w:p>
          <w:p w14:paraId="134A9D24" w14:textId="77777777" w:rsidR="002840C3" w:rsidRPr="002840C3" w:rsidRDefault="002840C3" w:rsidP="002840C3">
            <w:pPr>
              <w:rPr>
                <w:rFonts w:ascii="Calibri" w:hAnsi="Calibri" w:cs="Arial"/>
                <w:color w:val="0070C0"/>
              </w:rPr>
            </w:pPr>
            <w:r w:rsidRPr="002840C3">
              <w:rPr>
                <w:rFonts w:ascii="Calibri" w:hAnsi="Calibri" w:cs="Arial"/>
                <w:color w:val="0070C0"/>
              </w:rPr>
              <w:t>Guía para la participación en un foro en la plataforma Moodle</w:t>
            </w:r>
          </w:p>
          <w:p w14:paraId="307B26F3" w14:textId="77777777" w:rsidR="002840C3" w:rsidRPr="002840C3" w:rsidRDefault="002840C3" w:rsidP="002840C3">
            <w:pPr>
              <w:rPr>
                <w:rFonts w:ascii="Calibri" w:hAnsi="Calibri" w:cs="Arial"/>
                <w:color w:val="0070C0"/>
              </w:rPr>
            </w:pPr>
          </w:p>
          <w:p w14:paraId="7F920CF1" w14:textId="77777777" w:rsidR="002840C3" w:rsidRPr="002840C3" w:rsidRDefault="002840C3" w:rsidP="002840C3">
            <w:pPr>
              <w:rPr>
                <w:rFonts w:ascii="Calibri" w:hAnsi="Calibri" w:cs="Arial"/>
                <w:color w:val="0070C0"/>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p w14:paraId="2107837F" w14:textId="77777777" w:rsidR="002840C3" w:rsidRPr="002840C3" w:rsidRDefault="002840C3" w:rsidP="002840C3">
            <w:pPr>
              <w:rPr>
                <w:rFonts w:ascii="Calibri" w:hAnsi="Calibri" w:cs="Arial"/>
                <w:color w:val="0070C0"/>
              </w:rPr>
            </w:pPr>
          </w:p>
        </w:tc>
        <w:tc>
          <w:tcPr>
            <w:tcW w:w="2835" w:type="dxa"/>
          </w:tcPr>
          <w:p w14:paraId="384C620C" w14:textId="77777777" w:rsidR="002840C3" w:rsidRPr="002840C3" w:rsidRDefault="002840C3" w:rsidP="002840C3">
            <w:pPr>
              <w:numPr>
                <w:ilvl w:val="0"/>
                <w:numId w:val="242"/>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Participación en el foro social CAFETERÍA.</w:t>
            </w:r>
          </w:p>
          <w:p w14:paraId="655A4810" w14:textId="77777777" w:rsidR="002840C3" w:rsidRPr="002840C3" w:rsidRDefault="002840C3" w:rsidP="002840C3">
            <w:pPr>
              <w:numPr>
                <w:ilvl w:val="0"/>
                <w:numId w:val="242"/>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Participación en el foro de dudas.</w:t>
            </w:r>
          </w:p>
          <w:p w14:paraId="538B889E" w14:textId="77777777" w:rsidR="002840C3" w:rsidRPr="002840C3" w:rsidRDefault="002840C3" w:rsidP="002840C3">
            <w:pPr>
              <w:numPr>
                <w:ilvl w:val="0"/>
                <w:numId w:val="242"/>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Presentación del curso, las temáticas y las actividades a desarrollar en un encuentro sincrónico virtual.</w:t>
            </w:r>
          </w:p>
          <w:p w14:paraId="2B050A70" w14:textId="77777777" w:rsidR="002840C3" w:rsidRPr="002840C3" w:rsidRDefault="002840C3" w:rsidP="002840C3">
            <w:pPr>
              <w:numPr>
                <w:ilvl w:val="0"/>
                <w:numId w:val="242"/>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tc>
      </w:tr>
      <w:tr w:rsidR="002840C3" w:rsidRPr="002840C3" w14:paraId="3A0A036F" w14:textId="77777777" w:rsidTr="00104785">
        <w:trPr>
          <w:jc w:val="center"/>
        </w:trPr>
        <w:tc>
          <w:tcPr>
            <w:tcW w:w="1144" w:type="dxa"/>
          </w:tcPr>
          <w:p w14:paraId="4EAF9314" w14:textId="77777777" w:rsidR="002840C3" w:rsidRPr="002840C3" w:rsidRDefault="002840C3" w:rsidP="002840C3">
            <w:pPr>
              <w:jc w:val="center"/>
              <w:rPr>
                <w:rFonts w:ascii="Calibri" w:hAnsi="Calibri" w:cs="Arial"/>
              </w:rPr>
            </w:pPr>
          </w:p>
          <w:p w14:paraId="40AA4965" w14:textId="77777777" w:rsidR="002840C3" w:rsidRPr="002840C3" w:rsidRDefault="002840C3" w:rsidP="002840C3">
            <w:pPr>
              <w:jc w:val="center"/>
              <w:rPr>
                <w:rFonts w:ascii="Calibri" w:hAnsi="Calibri" w:cs="Arial"/>
              </w:rPr>
            </w:pPr>
            <w:r w:rsidRPr="002840C3">
              <w:rPr>
                <w:rFonts w:ascii="Calibri" w:hAnsi="Calibri" w:cs="Arial"/>
              </w:rPr>
              <w:t>2</w:t>
            </w:r>
          </w:p>
        </w:tc>
        <w:tc>
          <w:tcPr>
            <w:tcW w:w="2395" w:type="dxa"/>
          </w:tcPr>
          <w:p w14:paraId="5FCE8D71"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1: Repaso de los contenidos de CB102 Griego I</w:t>
            </w:r>
          </w:p>
          <w:p w14:paraId="12151B85" w14:textId="77777777" w:rsidR="002840C3" w:rsidRPr="002840C3" w:rsidRDefault="002840C3" w:rsidP="002840C3">
            <w:pPr>
              <w:rPr>
                <w:rFonts w:ascii="Calibri" w:hAnsi="Calibri" w:cs="Arial"/>
                <w:b/>
                <w:bCs/>
              </w:rPr>
            </w:pPr>
          </w:p>
          <w:p w14:paraId="4ECD6D45" w14:textId="77777777" w:rsidR="002840C3" w:rsidRPr="002840C3" w:rsidRDefault="002840C3" w:rsidP="002840C3">
            <w:pPr>
              <w:rPr>
                <w:rFonts w:ascii="Calibri" w:hAnsi="Calibri"/>
              </w:rPr>
            </w:pPr>
            <w:r w:rsidRPr="002840C3">
              <w:rPr>
                <w:rFonts w:ascii="Calibri" w:hAnsi="Calibri"/>
              </w:rPr>
              <w:t>1.2 Voz pasiva; Cuatro partes fundamentales del verbo</w:t>
            </w:r>
          </w:p>
          <w:p w14:paraId="39E5D37F" w14:textId="77777777" w:rsidR="002840C3" w:rsidRPr="002840C3" w:rsidRDefault="002840C3" w:rsidP="002840C3">
            <w:pPr>
              <w:rPr>
                <w:rFonts w:ascii="Calibri" w:hAnsi="Calibri" w:cs="Arial"/>
              </w:rPr>
            </w:pPr>
          </w:p>
        </w:tc>
        <w:tc>
          <w:tcPr>
            <w:tcW w:w="3119" w:type="dxa"/>
          </w:tcPr>
          <w:p w14:paraId="40EF8A66"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409D4E09" w14:textId="77777777" w:rsidR="002840C3" w:rsidRPr="002840C3" w:rsidRDefault="002840C3" w:rsidP="002840C3">
            <w:pPr>
              <w:rPr>
                <w:rFonts w:ascii="Calibri" w:hAnsi="Calibri" w:cs="Arial"/>
                <w:color w:val="000000"/>
              </w:rPr>
            </w:pPr>
          </w:p>
          <w:p w14:paraId="6DC78715"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XIV”. En </w:t>
            </w:r>
            <w:r w:rsidRPr="002840C3">
              <w:rPr>
                <w:rFonts w:ascii="Calibri" w:hAnsi="Calibri" w:cs="Arial"/>
                <w:i/>
                <w:iCs/>
                <w:color w:val="000000"/>
              </w:rPr>
              <w:t>El griego del Nuevo Testamento: texto programado</w:t>
            </w:r>
            <w:r w:rsidRPr="002840C3">
              <w:rPr>
                <w:rFonts w:ascii="Calibri" w:hAnsi="Calibri" w:cs="Arial"/>
                <w:color w:val="000000"/>
              </w:rPr>
              <w:t xml:space="preserve">, 215-239. San José: Universidad Bíblica Latinoamericana, 2010. </w:t>
            </w:r>
            <w:r w:rsidRPr="002840C3">
              <w:rPr>
                <w:rFonts w:ascii="Calibri" w:hAnsi="Calibri" w:cs="Calibri"/>
                <w:color w:val="0070C0"/>
                <w:szCs w:val="18"/>
              </w:rPr>
              <w:t>(clásico, última edición)</w:t>
            </w:r>
          </w:p>
          <w:p w14:paraId="1A962C57" w14:textId="77777777" w:rsidR="002840C3" w:rsidRPr="002840C3" w:rsidRDefault="002840C3" w:rsidP="002840C3">
            <w:pPr>
              <w:rPr>
                <w:rFonts w:ascii="Calibri" w:hAnsi="Calibri" w:cs="Arial"/>
                <w:color w:val="000000"/>
              </w:rPr>
            </w:pPr>
          </w:p>
          <w:p w14:paraId="0E2FB4E3" w14:textId="77777777" w:rsidR="002840C3" w:rsidRPr="002840C3" w:rsidRDefault="002840C3" w:rsidP="002840C3">
            <w:pPr>
              <w:rPr>
                <w:rFonts w:ascii="Calibri" w:hAnsi="Calibri" w:cs="Arial"/>
                <w:color w:val="000000"/>
              </w:rPr>
            </w:pPr>
            <w:r w:rsidRPr="002840C3">
              <w:rPr>
                <w:rFonts w:ascii="Calibri" w:hAnsi="Calibri" w:cs="Arial"/>
                <w:b/>
                <w:bCs/>
                <w:color w:val="0070C0"/>
              </w:rPr>
              <w:t>MATERIAL COMPLEMENTARIO</w:t>
            </w:r>
          </w:p>
          <w:p w14:paraId="573B338B" w14:textId="77777777" w:rsidR="002840C3" w:rsidRPr="002840C3" w:rsidRDefault="002840C3" w:rsidP="002840C3">
            <w:pPr>
              <w:rPr>
                <w:rFonts w:ascii="Calibri" w:hAnsi="Calibri" w:cs="Arial"/>
                <w:color w:val="000000"/>
              </w:rPr>
            </w:pPr>
          </w:p>
          <w:p w14:paraId="1535357D" w14:textId="77777777" w:rsidR="002840C3" w:rsidRPr="002840C3" w:rsidRDefault="002840C3" w:rsidP="002840C3">
            <w:pPr>
              <w:rPr>
                <w:rFonts w:ascii="Calibri" w:hAnsi="Calibri" w:cs="Arial"/>
                <w:color w:val="000000"/>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p w14:paraId="3551B5A8" w14:textId="77777777" w:rsidR="002840C3" w:rsidRPr="002840C3" w:rsidRDefault="002840C3" w:rsidP="002840C3">
            <w:pPr>
              <w:rPr>
                <w:rFonts w:ascii="Calibri" w:hAnsi="Calibri" w:cs="Arial"/>
              </w:rPr>
            </w:pPr>
          </w:p>
        </w:tc>
        <w:tc>
          <w:tcPr>
            <w:tcW w:w="2835" w:type="dxa"/>
          </w:tcPr>
          <w:p w14:paraId="1AB2BF2E"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Participación en un encuentro sincrónico virtual.</w:t>
            </w:r>
          </w:p>
          <w:p w14:paraId="565D16AF"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p w14:paraId="4C3C22A5"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Resolución de la prueba corta 1 en el aula virtual.</w:t>
            </w:r>
          </w:p>
        </w:tc>
      </w:tr>
      <w:tr w:rsidR="002840C3" w:rsidRPr="002840C3" w14:paraId="46140CBD" w14:textId="77777777" w:rsidTr="00104785">
        <w:trPr>
          <w:jc w:val="center"/>
        </w:trPr>
        <w:tc>
          <w:tcPr>
            <w:tcW w:w="1144" w:type="dxa"/>
          </w:tcPr>
          <w:p w14:paraId="2D329DF4" w14:textId="77777777" w:rsidR="002840C3" w:rsidRPr="002840C3" w:rsidRDefault="002840C3" w:rsidP="002840C3">
            <w:pPr>
              <w:jc w:val="center"/>
              <w:rPr>
                <w:rFonts w:ascii="Calibri" w:hAnsi="Calibri" w:cs="Arial"/>
              </w:rPr>
            </w:pPr>
          </w:p>
          <w:p w14:paraId="09E2714F" w14:textId="77777777" w:rsidR="002840C3" w:rsidRPr="002840C3" w:rsidRDefault="002840C3" w:rsidP="002840C3">
            <w:pPr>
              <w:jc w:val="center"/>
              <w:rPr>
                <w:rFonts w:ascii="Calibri" w:hAnsi="Calibri" w:cs="Arial"/>
              </w:rPr>
            </w:pPr>
            <w:r w:rsidRPr="002840C3">
              <w:rPr>
                <w:rFonts w:ascii="Calibri" w:hAnsi="Calibri" w:cs="Arial"/>
              </w:rPr>
              <w:t>3</w:t>
            </w:r>
          </w:p>
        </w:tc>
        <w:tc>
          <w:tcPr>
            <w:tcW w:w="2395" w:type="dxa"/>
          </w:tcPr>
          <w:p w14:paraId="4F21AB1B"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1: Repaso de los contenidos de CB102 Griego I</w:t>
            </w:r>
          </w:p>
          <w:p w14:paraId="59AE089E" w14:textId="77777777" w:rsidR="002840C3" w:rsidRPr="002840C3" w:rsidRDefault="002840C3" w:rsidP="002840C3">
            <w:pPr>
              <w:rPr>
                <w:rFonts w:ascii="Calibri" w:hAnsi="Calibri" w:cs="Arial"/>
              </w:rPr>
            </w:pPr>
          </w:p>
          <w:p w14:paraId="048D7F20" w14:textId="77777777" w:rsidR="002840C3" w:rsidRPr="002840C3" w:rsidRDefault="002840C3" w:rsidP="002840C3">
            <w:pPr>
              <w:rPr>
                <w:rFonts w:ascii="Calibri" w:hAnsi="Calibri"/>
              </w:rPr>
            </w:pPr>
            <w:r w:rsidRPr="002840C3">
              <w:rPr>
                <w:rFonts w:ascii="Calibri" w:hAnsi="Calibri"/>
              </w:rPr>
              <w:t xml:space="preserve">1.3 1era declinación, masculina; Voz media; </w:t>
            </w:r>
            <w:r w:rsidRPr="002840C3">
              <w:rPr>
                <w:rFonts w:ascii="Calibri" w:hAnsi="Calibri"/>
              </w:rPr>
              <w:lastRenderedPageBreak/>
              <w:t xml:space="preserve">El pronombre indefinido </w:t>
            </w:r>
            <w:proofErr w:type="spellStart"/>
            <w:r w:rsidRPr="002840C3">
              <w:rPr>
                <w:rFonts w:ascii="Calibri" w:hAnsi="Calibri"/>
              </w:rPr>
              <w:t>tij</w:t>
            </w:r>
            <w:proofErr w:type="spellEnd"/>
          </w:p>
          <w:p w14:paraId="4352AD6A" w14:textId="77777777" w:rsidR="002840C3" w:rsidRPr="002840C3" w:rsidRDefault="002840C3" w:rsidP="002840C3">
            <w:pPr>
              <w:rPr>
                <w:rFonts w:ascii="Calibri" w:hAnsi="Calibri" w:cs="Arial"/>
              </w:rPr>
            </w:pPr>
          </w:p>
        </w:tc>
        <w:tc>
          <w:tcPr>
            <w:tcW w:w="3119" w:type="dxa"/>
          </w:tcPr>
          <w:p w14:paraId="55D39D97" w14:textId="77777777" w:rsidR="002840C3" w:rsidRPr="002840C3" w:rsidRDefault="002840C3" w:rsidP="002840C3">
            <w:pPr>
              <w:rPr>
                <w:rFonts w:ascii="Calibri" w:hAnsi="Calibri" w:cs="Arial"/>
                <w:color w:val="0070C0"/>
              </w:rPr>
            </w:pPr>
            <w:r w:rsidRPr="002840C3">
              <w:rPr>
                <w:rFonts w:ascii="Calibri" w:hAnsi="Calibri" w:cs="Arial"/>
                <w:color w:val="0070C0"/>
              </w:rPr>
              <w:lastRenderedPageBreak/>
              <w:t>Ruta de aprendizaje</w:t>
            </w:r>
          </w:p>
          <w:p w14:paraId="32517AC7" w14:textId="77777777" w:rsidR="002840C3" w:rsidRPr="002840C3" w:rsidRDefault="002840C3" w:rsidP="002840C3">
            <w:pPr>
              <w:rPr>
                <w:rFonts w:ascii="Calibri" w:hAnsi="Calibri" w:cs="Arial"/>
                <w:color w:val="000000"/>
              </w:rPr>
            </w:pPr>
          </w:p>
          <w:p w14:paraId="7AE004B9"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XV”. En </w:t>
            </w:r>
            <w:r w:rsidRPr="002840C3">
              <w:rPr>
                <w:rFonts w:ascii="Calibri" w:hAnsi="Calibri" w:cs="Arial"/>
                <w:i/>
                <w:iCs/>
                <w:color w:val="000000"/>
              </w:rPr>
              <w:t>El griego del Nuevo Testamento: texto programado</w:t>
            </w:r>
            <w:r w:rsidRPr="002840C3">
              <w:rPr>
                <w:rFonts w:ascii="Calibri" w:hAnsi="Calibri" w:cs="Arial"/>
                <w:color w:val="000000"/>
              </w:rPr>
              <w:t xml:space="preserve">, 241-258. San José: Universidad Bíblica </w:t>
            </w:r>
            <w:r w:rsidRPr="002840C3">
              <w:rPr>
                <w:rFonts w:ascii="Calibri" w:hAnsi="Calibri" w:cs="Arial"/>
                <w:color w:val="000000"/>
              </w:rPr>
              <w:lastRenderedPageBreak/>
              <w:t xml:space="preserve">Latinoamericana, 2010. </w:t>
            </w:r>
            <w:r w:rsidRPr="002840C3">
              <w:rPr>
                <w:rFonts w:ascii="Calibri" w:hAnsi="Calibri" w:cs="Calibri"/>
                <w:color w:val="0070C0"/>
                <w:szCs w:val="18"/>
              </w:rPr>
              <w:t>(clásico, última edición)</w:t>
            </w:r>
          </w:p>
          <w:p w14:paraId="7F2224A4" w14:textId="77777777" w:rsidR="002840C3" w:rsidRPr="002840C3" w:rsidRDefault="002840C3" w:rsidP="002840C3">
            <w:pPr>
              <w:rPr>
                <w:rFonts w:ascii="Calibri" w:hAnsi="Calibri" w:cs="Arial"/>
                <w:color w:val="000000"/>
                <w:sz w:val="20"/>
              </w:rPr>
            </w:pPr>
          </w:p>
          <w:p w14:paraId="5BE49619" w14:textId="77777777" w:rsidR="002840C3" w:rsidRPr="002840C3" w:rsidRDefault="002840C3" w:rsidP="002840C3">
            <w:pPr>
              <w:rPr>
                <w:rFonts w:ascii="Calibri" w:hAnsi="Calibri" w:cs="Arial"/>
              </w:rPr>
            </w:pPr>
            <w:r w:rsidRPr="002840C3">
              <w:rPr>
                <w:rFonts w:ascii="Calibri" w:hAnsi="Calibri" w:cs="Arial"/>
              </w:rPr>
              <w:t xml:space="preserve">Delgado, Inmaculada. “Voz medio-pasiva del verbo: modo indicativo”. En </w:t>
            </w:r>
            <w:r w:rsidRPr="002840C3">
              <w:rPr>
                <w:rFonts w:ascii="Calibri" w:hAnsi="Calibri" w:cs="Arial"/>
                <w:i/>
                <w:iCs/>
              </w:rPr>
              <w:t>Gramática griega del Nuevo Testamento: I. Morfología</w:t>
            </w:r>
            <w:r w:rsidRPr="002840C3">
              <w:rPr>
                <w:rFonts w:ascii="Calibri" w:hAnsi="Calibri" w:cs="Arial"/>
              </w:rPr>
              <w:t xml:space="preserve">, 137-141. Estella: Verbo Divino, 2013. </w:t>
            </w:r>
            <w:r w:rsidRPr="002840C3">
              <w:rPr>
                <w:rFonts w:ascii="Calibri" w:hAnsi="Calibri" w:cs="Calibri"/>
                <w:color w:val="0070C0"/>
                <w:szCs w:val="18"/>
              </w:rPr>
              <w:t>(clásico, última edición)</w:t>
            </w:r>
          </w:p>
          <w:p w14:paraId="6B5F13EC" w14:textId="77777777" w:rsidR="002840C3" w:rsidRPr="002840C3" w:rsidRDefault="002840C3" w:rsidP="002840C3">
            <w:pPr>
              <w:rPr>
                <w:rFonts w:ascii="Calibri" w:hAnsi="Calibri" w:cs="Arial"/>
              </w:rPr>
            </w:pPr>
          </w:p>
          <w:p w14:paraId="398C3294" w14:textId="77777777" w:rsidR="002840C3" w:rsidRPr="002840C3" w:rsidRDefault="002840C3" w:rsidP="002840C3">
            <w:pPr>
              <w:rPr>
                <w:rFonts w:ascii="Calibri" w:hAnsi="Calibri" w:cs="Arial"/>
              </w:rPr>
            </w:pPr>
            <w:r w:rsidRPr="002840C3">
              <w:rPr>
                <w:rFonts w:ascii="Calibri" w:hAnsi="Calibri" w:cs="Arial"/>
                <w:b/>
                <w:bCs/>
                <w:color w:val="0070C0"/>
              </w:rPr>
              <w:t>MATERIAL COMPLEMENTARIO</w:t>
            </w:r>
          </w:p>
          <w:p w14:paraId="527D3CB1" w14:textId="77777777" w:rsidR="002840C3" w:rsidRPr="002840C3" w:rsidRDefault="002840C3" w:rsidP="002840C3">
            <w:pPr>
              <w:rPr>
                <w:rFonts w:ascii="Calibri" w:hAnsi="Calibri" w:cs="Arial"/>
                <w:b/>
                <w:bCs/>
              </w:rPr>
            </w:pPr>
          </w:p>
          <w:p w14:paraId="298E45D8" w14:textId="77777777" w:rsidR="002840C3" w:rsidRPr="002840C3" w:rsidRDefault="002840C3" w:rsidP="002840C3">
            <w:pPr>
              <w:rPr>
                <w:rFonts w:ascii="Calibri" w:hAnsi="Calibri" w:cs="Arial"/>
                <w:b/>
                <w:bCs/>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p w14:paraId="521A2664" w14:textId="77777777" w:rsidR="002840C3" w:rsidRPr="002840C3" w:rsidRDefault="002840C3" w:rsidP="002840C3">
            <w:pPr>
              <w:rPr>
                <w:rFonts w:ascii="Calibri" w:hAnsi="Calibri" w:cs="Arial"/>
                <w:b/>
                <w:bCs/>
              </w:rPr>
            </w:pPr>
          </w:p>
        </w:tc>
        <w:tc>
          <w:tcPr>
            <w:tcW w:w="2835" w:type="dxa"/>
          </w:tcPr>
          <w:p w14:paraId="503FA9A3"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lastRenderedPageBreak/>
              <w:t>Realizar la lectura de la sesión.</w:t>
            </w:r>
          </w:p>
          <w:p w14:paraId="355BADDA"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Participación en un encuentro sincrónico virtual.</w:t>
            </w:r>
          </w:p>
          <w:p w14:paraId="192963A8"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lastRenderedPageBreak/>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p w14:paraId="63E0E73D" w14:textId="77777777" w:rsidR="002840C3" w:rsidRPr="002840C3" w:rsidRDefault="002840C3" w:rsidP="002840C3">
            <w:pPr>
              <w:rPr>
                <w:rFonts w:ascii="Calibri" w:hAnsi="Calibri" w:cs="Arial"/>
                <w:lang w:val="es-CR"/>
              </w:rPr>
            </w:pPr>
          </w:p>
        </w:tc>
      </w:tr>
      <w:tr w:rsidR="002840C3" w:rsidRPr="002840C3" w14:paraId="478AB49E" w14:textId="77777777" w:rsidTr="00104785">
        <w:trPr>
          <w:jc w:val="center"/>
        </w:trPr>
        <w:tc>
          <w:tcPr>
            <w:tcW w:w="1144" w:type="dxa"/>
          </w:tcPr>
          <w:p w14:paraId="0A3998FD" w14:textId="77777777" w:rsidR="002840C3" w:rsidRPr="002840C3" w:rsidRDefault="002840C3" w:rsidP="002840C3">
            <w:pPr>
              <w:jc w:val="center"/>
              <w:rPr>
                <w:rFonts w:ascii="Calibri" w:hAnsi="Calibri" w:cs="Arial"/>
              </w:rPr>
            </w:pPr>
          </w:p>
          <w:p w14:paraId="5EAECBB8" w14:textId="77777777" w:rsidR="002840C3" w:rsidRPr="002840C3" w:rsidRDefault="002840C3" w:rsidP="002840C3">
            <w:pPr>
              <w:jc w:val="center"/>
              <w:rPr>
                <w:rFonts w:ascii="Calibri" w:hAnsi="Calibri" w:cs="Arial"/>
              </w:rPr>
            </w:pPr>
            <w:r w:rsidRPr="002840C3">
              <w:rPr>
                <w:rFonts w:ascii="Calibri" w:hAnsi="Calibri" w:cs="Arial"/>
              </w:rPr>
              <w:t>4</w:t>
            </w:r>
          </w:p>
        </w:tc>
        <w:tc>
          <w:tcPr>
            <w:tcW w:w="2395" w:type="dxa"/>
          </w:tcPr>
          <w:p w14:paraId="72CA3951"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1: Repaso de los contenidos de CB102 Griego I</w:t>
            </w:r>
          </w:p>
          <w:p w14:paraId="5305D2B5" w14:textId="77777777" w:rsidR="002840C3" w:rsidRPr="002840C3" w:rsidRDefault="002840C3" w:rsidP="002840C3">
            <w:pPr>
              <w:rPr>
                <w:rFonts w:ascii="Calibri" w:hAnsi="Calibri" w:cs="Arial"/>
              </w:rPr>
            </w:pPr>
          </w:p>
          <w:p w14:paraId="21715461" w14:textId="77777777" w:rsidR="002840C3" w:rsidRPr="002840C3" w:rsidRDefault="002840C3" w:rsidP="002840C3">
            <w:pPr>
              <w:rPr>
                <w:rFonts w:ascii="Calibri" w:hAnsi="Calibri"/>
              </w:rPr>
            </w:pPr>
            <w:r w:rsidRPr="002840C3">
              <w:rPr>
                <w:rFonts w:ascii="Calibri" w:hAnsi="Calibri"/>
              </w:rPr>
              <w:t xml:space="preserve">1.4 Verbos defectivos; Modo imperativo en voz media; El infinitivo con artículo; El pronombre </w:t>
            </w:r>
            <w:proofErr w:type="spellStart"/>
            <w:r w:rsidRPr="002840C3">
              <w:rPr>
                <w:rFonts w:ascii="Calibri" w:hAnsi="Calibri"/>
              </w:rPr>
              <w:t>outoj</w:t>
            </w:r>
            <w:proofErr w:type="spellEnd"/>
          </w:p>
          <w:p w14:paraId="13BED2ED" w14:textId="77777777" w:rsidR="002840C3" w:rsidRPr="002840C3" w:rsidRDefault="002840C3" w:rsidP="002840C3">
            <w:pPr>
              <w:rPr>
                <w:rFonts w:ascii="Calibri" w:hAnsi="Calibri" w:cs="Arial"/>
              </w:rPr>
            </w:pPr>
          </w:p>
        </w:tc>
        <w:tc>
          <w:tcPr>
            <w:tcW w:w="3119" w:type="dxa"/>
          </w:tcPr>
          <w:p w14:paraId="1AAE7EBB"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33407AFD" w14:textId="77777777" w:rsidR="002840C3" w:rsidRPr="002840C3" w:rsidRDefault="002840C3" w:rsidP="002840C3">
            <w:pPr>
              <w:rPr>
                <w:rFonts w:ascii="Calibri" w:hAnsi="Calibri" w:cs="Arial"/>
                <w:color w:val="000000"/>
              </w:rPr>
            </w:pPr>
          </w:p>
          <w:p w14:paraId="4BBB1872"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XVI”. En </w:t>
            </w:r>
            <w:r w:rsidRPr="002840C3">
              <w:rPr>
                <w:rFonts w:ascii="Calibri" w:hAnsi="Calibri" w:cs="Arial"/>
                <w:i/>
                <w:iCs/>
                <w:color w:val="000000"/>
              </w:rPr>
              <w:t>El griego del Nuevo Testamento: texto programado</w:t>
            </w:r>
            <w:r w:rsidRPr="002840C3">
              <w:rPr>
                <w:rFonts w:ascii="Calibri" w:hAnsi="Calibri" w:cs="Arial"/>
                <w:color w:val="000000"/>
              </w:rPr>
              <w:t xml:space="preserve">, 259-281. San José: Universidad Bíblica Latinoamericana, 2010. </w:t>
            </w:r>
            <w:r w:rsidRPr="002840C3">
              <w:rPr>
                <w:rFonts w:ascii="Calibri" w:hAnsi="Calibri" w:cs="Calibri"/>
                <w:color w:val="0070C0"/>
                <w:szCs w:val="18"/>
              </w:rPr>
              <w:t>(clásico, última edición)</w:t>
            </w:r>
          </w:p>
          <w:p w14:paraId="63A5B3C4" w14:textId="77777777" w:rsidR="002840C3" w:rsidRPr="002840C3" w:rsidRDefault="002840C3" w:rsidP="002840C3">
            <w:pPr>
              <w:rPr>
                <w:rFonts w:ascii="Calibri" w:hAnsi="Calibri" w:cs="Arial"/>
                <w:color w:val="000000"/>
              </w:rPr>
            </w:pPr>
          </w:p>
          <w:p w14:paraId="66EE44B0" w14:textId="77777777" w:rsidR="002840C3" w:rsidRPr="002840C3" w:rsidRDefault="002840C3" w:rsidP="002840C3">
            <w:pPr>
              <w:rPr>
                <w:rFonts w:ascii="Calibri" w:hAnsi="Calibri" w:cs="Arial"/>
                <w:color w:val="000000"/>
              </w:rPr>
            </w:pPr>
            <w:r w:rsidRPr="002840C3">
              <w:rPr>
                <w:rFonts w:ascii="Calibri" w:hAnsi="Calibri" w:cs="Arial"/>
                <w:b/>
                <w:bCs/>
                <w:color w:val="0070C0"/>
              </w:rPr>
              <w:t>MATERIAL COMPLEMENTARIO</w:t>
            </w:r>
          </w:p>
          <w:p w14:paraId="5DCDEFA6" w14:textId="77777777" w:rsidR="002840C3" w:rsidRPr="002840C3" w:rsidRDefault="002840C3" w:rsidP="002840C3">
            <w:pPr>
              <w:rPr>
                <w:rFonts w:ascii="Calibri" w:hAnsi="Calibri" w:cs="Arial"/>
                <w:color w:val="000000"/>
              </w:rPr>
            </w:pPr>
          </w:p>
          <w:p w14:paraId="406F99BB" w14:textId="77777777" w:rsidR="002840C3" w:rsidRPr="002840C3" w:rsidRDefault="002840C3" w:rsidP="002840C3">
            <w:pPr>
              <w:rPr>
                <w:rFonts w:ascii="Calibri" w:hAnsi="Calibri" w:cs="Arial"/>
                <w:color w:val="000000"/>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p w14:paraId="14698064" w14:textId="77777777" w:rsidR="002840C3" w:rsidRPr="002840C3" w:rsidRDefault="002840C3" w:rsidP="002840C3">
            <w:pPr>
              <w:rPr>
                <w:rFonts w:ascii="Calibri" w:hAnsi="Calibri" w:cs="Arial"/>
              </w:rPr>
            </w:pPr>
          </w:p>
        </w:tc>
        <w:tc>
          <w:tcPr>
            <w:tcW w:w="2835" w:type="dxa"/>
          </w:tcPr>
          <w:p w14:paraId="2E6F2D8F"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Participación en un encuentro sincrónico virtual.</w:t>
            </w:r>
          </w:p>
          <w:p w14:paraId="7A338762"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p w14:paraId="25DDC2E6"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Realización del ejercicio de traducción 1.</w:t>
            </w:r>
          </w:p>
        </w:tc>
      </w:tr>
      <w:tr w:rsidR="002840C3" w:rsidRPr="002840C3" w14:paraId="18FD99AA" w14:textId="77777777" w:rsidTr="00104785">
        <w:trPr>
          <w:jc w:val="center"/>
        </w:trPr>
        <w:tc>
          <w:tcPr>
            <w:tcW w:w="1144" w:type="dxa"/>
          </w:tcPr>
          <w:p w14:paraId="2F3FDAAE" w14:textId="77777777" w:rsidR="002840C3" w:rsidRPr="002840C3" w:rsidRDefault="002840C3" w:rsidP="002840C3">
            <w:pPr>
              <w:jc w:val="center"/>
              <w:rPr>
                <w:rFonts w:ascii="Calibri" w:hAnsi="Calibri" w:cs="Arial"/>
              </w:rPr>
            </w:pPr>
          </w:p>
          <w:p w14:paraId="3FB5116A" w14:textId="77777777" w:rsidR="002840C3" w:rsidRPr="002840C3" w:rsidRDefault="002840C3" w:rsidP="002840C3">
            <w:pPr>
              <w:jc w:val="center"/>
              <w:rPr>
                <w:rFonts w:ascii="Calibri" w:hAnsi="Calibri" w:cs="Arial"/>
              </w:rPr>
            </w:pPr>
            <w:r w:rsidRPr="002840C3">
              <w:rPr>
                <w:rFonts w:ascii="Calibri" w:hAnsi="Calibri" w:cs="Arial"/>
              </w:rPr>
              <w:t>5</w:t>
            </w:r>
          </w:p>
        </w:tc>
        <w:tc>
          <w:tcPr>
            <w:tcW w:w="2395" w:type="dxa"/>
          </w:tcPr>
          <w:p w14:paraId="2069DEEF"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1: Repaso de los contenidos de CB102 Griego I</w:t>
            </w:r>
          </w:p>
          <w:p w14:paraId="189A3EFC" w14:textId="77777777" w:rsidR="002840C3" w:rsidRPr="002840C3" w:rsidRDefault="002840C3" w:rsidP="002840C3">
            <w:pPr>
              <w:rPr>
                <w:rFonts w:ascii="Calibri" w:hAnsi="Calibri" w:cs="Arial"/>
              </w:rPr>
            </w:pPr>
          </w:p>
          <w:p w14:paraId="706EF9F3" w14:textId="77777777" w:rsidR="002840C3" w:rsidRPr="002840C3" w:rsidRDefault="002840C3" w:rsidP="002840C3">
            <w:pPr>
              <w:rPr>
                <w:rFonts w:ascii="Calibri" w:hAnsi="Calibri"/>
              </w:rPr>
            </w:pPr>
            <w:r w:rsidRPr="002840C3">
              <w:rPr>
                <w:rFonts w:ascii="Calibri" w:hAnsi="Calibri"/>
              </w:rPr>
              <w:t>1.5 Repaso de conjugación; Verbos compuestos</w:t>
            </w:r>
          </w:p>
          <w:p w14:paraId="6C77C627" w14:textId="77777777" w:rsidR="002840C3" w:rsidRPr="002840C3" w:rsidRDefault="002840C3" w:rsidP="002840C3">
            <w:pPr>
              <w:rPr>
                <w:rFonts w:ascii="Calibri" w:hAnsi="Calibri" w:cs="Arial"/>
              </w:rPr>
            </w:pPr>
          </w:p>
        </w:tc>
        <w:tc>
          <w:tcPr>
            <w:tcW w:w="3119" w:type="dxa"/>
          </w:tcPr>
          <w:p w14:paraId="49F9AF24"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0AC0E45A" w14:textId="77777777" w:rsidR="002840C3" w:rsidRPr="002840C3" w:rsidRDefault="002840C3" w:rsidP="002840C3">
            <w:pPr>
              <w:rPr>
                <w:rFonts w:ascii="Calibri" w:hAnsi="Calibri" w:cs="Arial"/>
                <w:color w:val="000000"/>
              </w:rPr>
            </w:pPr>
          </w:p>
          <w:p w14:paraId="2505163B"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XVII”. En </w:t>
            </w:r>
            <w:r w:rsidRPr="002840C3">
              <w:rPr>
                <w:rFonts w:ascii="Calibri" w:hAnsi="Calibri" w:cs="Arial"/>
                <w:i/>
                <w:iCs/>
                <w:color w:val="000000"/>
              </w:rPr>
              <w:t>El griego del Nuevo Testamento: texto programado</w:t>
            </w:r>
            <w:r w:rsidRPr="002840C3">
              <w:rPr>
                <w:rFonts w:ascii="Calibri" w:hAnsi="Calibri" w:cs="Arial"/>
                <w:color w:val="000000"/>
              </w:rPr>
              <w:t xml:space="preserve">, 283-314. San José: Universidad Bíblica Latinoamericana, 2010. </w:t>
            </w:r>
            <w:r w:rsidRPr="002840C3">
              <w:rPr>
                <w:rFonts w:ascii="Calibri" w:hAnsi="Calibri" w:cs="Calibri"/>
                <w:color w:val="0070C0"/>
                <w:szCs w:val="18"/>
              </w:rPr>
              <w:t>(clásico, última edición)</w:t>
            </w:r>
          </w:p>
          <w:p w14:paraId="4F329E7D" w14:textId="77777777" w:rsidR="002840C3" w:rsidRPr="002840C3" w:rsidRDefault="002840C3" w:rsidP="002840C3">
            <w:pPr>
              <w:rPr>
                <w:rFonts w:ascii="Calibri" w:hAnsi="Calibri" w:cs="Arial"/>
                <w:color w:val="000000"/>
              </w:rPr>
            </w:pPr>
          </w:p>
          <w:p w14:paraId="63F6FF12" w14:textId="77777777" w:rsidR="002840C3" w:rsidRPr="002840C3" w:rsidRDefault="002840C3" w:rsidP="002840C3">
            <w:pPr>
              <w:rPr>
                <w:rFonts w:ascii="Calibri" w:hAnsi="Calibri" w:cs="Arial"/>
                <w:color w:val="000000"/>
              </w:rPr>
            </w:pPr>
            <w:r w:rsidRPr="002840C3">
              <w:rPr>
                <w:rFonts w:ascii="Calibri" w:hAnsi="Calibri" w:cs="Arial"/>
                <w:b/>
                <w:bCs/>
                <w:color w:val="0070C0"/>
              </w:rPr>
              <w:t>MATERIAL COMPLEMENTARIO</w:t>
            </w:r>
          </w:p>
          <w:p w14:paraId="15A43154" w14:textId="77777777" w:rsidR="002840C3" w:rsidRPr="002840C3" w:rsidRDefault="002840C3" w:rsidP="002840C3">
            <w:pPr>
              <w:rPr>
                <w:rFonts w:ascii="Calibri" w:hAnsi="Calibri" w:cs="Arial"/>
                <w:color w:val="000000"/>
              </w:rPr>
            </w:pPr>
          </w:p>
          <w:p w14:paraId="57052A8C" w14:textId="77777777" w:rsidR="002840C3" w:rsidRPr="002840C3" w:rsidRDefault="002840C3" w:rsidP="002840C3">
            <w:pPr>
              <w:rPr>
                <w:rFonts w:ascii="Calibri" w:hAnsi="Calibri" w:cs="Arial"/>
                <w:color w:val="0070C0"/>
              </w:rPr>
            </w:pPr>
            <w:r w:rsidRPr="002840C3">
              <w:rPr>
                <w:rFonts w:ascii="Calibri" w:hAnsi="Calibri" w:cs="Arial"/>
                <w:color w:val="0070C0"/>
              </w:rPr>
              <w:t xml:space="preserve">Guía para la participación mediante la herramienta Big </w:t>
            </w:r>
            <w:r w:rsidRPr="002840C3">
              <w:rPr>
                <w:rFonts w:ascii="Calibri" w:hAnsi="Calibri" w:cs="Arial"/>
                <w:color w:val="0070C0"/>
              </w:rPr>
              <w:lastRenderedPageBreak/>
              <w:t xml:space="preserve">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p w14:paraId="7C3E1E30" w14:textId="77777777" w:rsidR="002840C3" w:rsidRPr="002840C3" w:rsidRDefault="002840C3" w:rsidP="002840C3">
            <w:pPr>
              <w:rPr>
                <w:rFonts w:ascii="Calibri" w:hAnsi="Calibri" w:cs="Arial"/>
                <w:color w:val="000000"/>
              </w:rPr>
            </w:pPr>
          </w:p>
          <w:p w14:paraId="761915C3" w14:textId="77777777" w:rsidR="002840C3" w:rsidRPr="002840C3" w:rsidRDefault="002840C3" w:rsidP="002840C3">
            <w:pPr>
              <w:rPr>
                <w:rFonts w:ascii="Calibri" w:hAnsi="Calibri" w:cs="Arial"/>
              </w:rPr>
            </w:pPr>
          </w:p>
        </w:tc>
        <w:tc>
          <w:tcPr>
            <w:tcW w:w="2835" w:type="dxa"/>
          </w:tcPr>
          <w:p w14:paraId="3B64E3A2"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lastRenderedPageBreak/>
              <w:t>Participación en un encuentro sincrónico virtual.</w:t>
            </w:r>
          </w:p>
          <w:p w14:paraId="287D9931"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p w14:paraId="756AB062"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Resolución de la prueba corta 2 en el aula virtual.</w:t>
            </w:r>
          </w:p>
        </w:tc>
      </w:tr>
      <w:tr w:rsidR="002840C3" w:rsidRPr="002840C3" w14:paraId="25DDC58F" w14:textId="77777777" w:rsidTr="00104785">
        <w:trPr>
          <w:jc w:val="center"/>
        </w:trPr>
        <w:tc>
          <w:tcPr>
            <w:tcW w:w="1144" w:type="dxa"/>
          </w:tcPr>
          <w:p w14:paraId="53FCBE30" w14:textId="77777777" w:rsidR="002840C3" w:rsidRPr="002840C3" w:rsidRDefault="002840C3" w:rsidP="002840C3">
            <w:pPr>
              <w:jc w:val="center"/>
              <w:rPr>
                <w:rFonts w:ascii="Calibri" w:hAnsi="Calibri" w:cs="Arial"/>
              </w:rPr>
            </w:pPr>
          </w:p>
          <w:p w14:paraId="22191074" w14:textId="77777777" w:rsidR="002840C3" w:rsidRPr="002840C3" w:rsidRDefault="002840C3" w:rsidP="002840C3">
            <w:pPr>
              <w:jc w:val="center"/>
              <w:rPr>
                <w:rFonts w:ascii="Calibri" w:hAnsi="Calibri" w:cs="Arial"/>
              </w:rPr>
            </w:pPr>
            <w:r w:rsidRPr="002840C3">
              <w:rPr>
                <w:rFonts w:ascii="Calibri" w:hAnsi="Calibri" w:cs="Arial"/>
              </w:rPr>
              <w:t>6</w:t>
            </w:r>
          </w:p>
        </w:tc>
        <w:tc>
          <w:tcPr>
            <w:tcW w:w="2395" w:type="dxa"/>
          </w:tcPr>
          <w:p w14:paraId="369903E3"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1: Repaso de los contenidos de CB102 Griego I</w:t>
            </w:r>
          </w:p>
          <w:p w14:paraId="2736FBD3" w14:textId="77777777" w:rsidR="002840C3" w:rsidRPr="002840C3" w:rsidRDefault="002840C3" w:rsidP="002840C3">
            <w:pPr>
              <w:rPr>
                <w:rFonts w:ascii="Calibri" w:hAnsi="Calibri" w:cs="Arial"/>
              </w:rPr>
            </w:pPr>
          </w:p>
          <w:p w14:paraId="036797C3" w14:textId="77777777" w:rsidR="002840C3" w:rsidRPr="002840C3" w:rsidRDefault="002840C3" w:rsidP="002840C3">
            <w:pPr>
              <w:rPr>
                <w:rFonts w:ascii="Calibri" w:hAnsi="Calibri"/>
              </w:rPr>
            </w:pPr>
            <w:r w:rsidRPr="002840C3">
              <w:rPr>
                <w:rFonts w:ascii="Calibri" w:hAnsi="Calibri"/>
              </w:rPr>
              <w:t>1.6 Repaso de declinación</w:t>
            </w:r>
          </w:p>
          <w:p w14:paraId="3835B99B" w14:textId="77777777" w:rsidR="002840C3" w:rsidRPr="002840C3" w:rsidRDefault="002840C3" w:rsidP="002840C3">
            <w:pPr>
              <w:rPr>
                <w:rFonts w:ascii="Calibri" w:hAnsi="Calibri" w:cs="Arial"/>
              </w:rPr>
            </w:pPr>
          </w:p>
        </w:tc>
        <w:tc>
          <w:tcPr>
            <w:tcW w:w="3119" w:type="dxa"/>
          </w:tcPr>
          <w:p w14:paraId="001E37C5"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224E267B" w14:textId="77777777" w:rsidR="002840C3" w:rsidRPr="002840C3" w:rsidRDefault="002840C3" w:rsidP="002840C3">
            <w:pPr>
              <w:rPr>
                <w:rFonts w:ascii="Calibri" w:hAnsi="Calibri" w:cs="Arial"/>
                <w:color w:val="000000"/>
              </w:rPr>
            </w:pPr>
          </w:p>
          <w:p w14:paraId="2B271314"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XVIII”. En </w:t>
            </w:r>
            <w:r w:rsidRPr="002840C3">
              <w:rPr>
                <w:rFonts w:ascii="Calibri" w:hAnsi="Calibri" w:cs="Arial"/>
                <w:i/>
                <w:iCs/>
                <w:color w:val="000000"/>
              </w:rPr>
              <w:t>El griego del Nuevo Testamento: texto programado</w:t>
            </w:r>
            <w:r w:rsidRPr="002840C3">
              <w:rPr>
                <w:rFonts w:ascii="Calibri" w:hAnsi="Calibri" w:cs="Arial"/>
                <w:color w:val="000000"/>
              </w:rPr>
              <w:t xml:space="preserve">, 321-350. San José: Universidad Bíblica Latinoamericana, 2010. </w:t>
            </w:r>
            <w:r w:rsidRPr="002840C3">
              <w:rPr>
                <w:rFonts w:ascii="Calibri" w:hAnsi="Calibri" w:cs="Calibri"/>
                <w:color w:val="0070C0"/>
                <w:szCs w:val="18"/>
              </w:rPr>
              <w:t>(clásico, última edición)</w:t>
            </w:r>
          </w:p>
          <w:p w14:paraId="1513B8B1" w14:textId="77777777" w:rsidR="002840C3" w:rsidRPr="002840C3" w:rsidRDefault="002840C3" w:rsidP="002840C3">
            <w:pPr>
              <w:rPr>
                <w:rFonts w:ascii="Calibri" w:hAnsi="Calibri" w:cs="Arial"/>
                <w:color w:val="000000"/>
              </w:rPr>
            </w:pPr>
          </w:p>
          <w:p w14:paraId="30A10A49" w14:textId="77777777" w:rsidR="002840C3" w:rsidRPr="002840C3" w:rsidRDefault="002840C3" w:rsidP="002840C3">
            <w:pPr>
              <w:rPr>
                <w:rFonts w:ascii="Calibri" w:hAnsi="Calibri" w:cs="Arial"/>
                <w:color w:val="000000"/>
              </w:rPr>
            </w:pPr>
            <w:r w:rsidRPr="002840C3">
              <w:rPr>
                <w:rFonts w:ascii="Calibri" w:hAnsi="Calibri" w:cs="Arial"/>
                <w:b/>
                <w:bCs/>
                <w:color w:val="0070C0"/>
              </w:rPr>
              <w:t>MATERIAL COMPLEMENTARIO</w:t>
            </w:r>
          </w:p>
          <w:p w14:paraId="2D145DE6" w14:textId="77777777" w:rsidR="002840C3" w:rsidRPr="002840C3" w:rsidRDefault="002840C3" w:rsidP="002840C3">
            <w:pPr>
              <w:rPr>
                <w:rFonts w:ascii="Calibri" w:hAnsi="Calibri" w:cs="Arial"/>
                <w:color w:val="000000"/>
              </w:rPr>
            </w:pPr>
          </w:p>
          <w:p w14:paraId="0163100F" w14:textId="77777777" w:rsidR="002840C3" w:rsidRPr="002840C3" w:rsidRDefault="002840C3" w:rsidP="002840C3">
            <w:pPr>
              <w:rPr>
                <w:rFonts w:ascii="Calibri" w:hAnsi="Calibri" w:cs="Arial"/>
                <w:color w:val="0070C0"/>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p w14:paraId="506BB836" w14:textId="77777777" w:rsidR="002840C3" w:rsidRPr="002840C3" w:rsidRDefault="002840C3" w:rsidP="002840C3">
            <w:pPr>
              <w:rPr>
                <w:rFonts w:ascii="Calibri" w:hAnsi="Calibri" w:cs="Arial"/>
              </w:rPr>
            </w:pPr>
          </w:p>
        </w:tc>
        <w:tc>
          <w:tcPr>
            <w:tcW w:w="2835" w:type="dxa"/>
          </w:tcPr>
          <w:p w14:paraId="4F86C243"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Participación en un encuentro sincrónico virtual.</w:t>
            </w:r>
          </w:p>
          <w:p w14:paraId="7FD7770D"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p w14:paraId="07FF3173"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Resolución de la prueba corta 3 en el aula virtual.</w:t>
            </w:r>
          </w:p>
          <w:p w14:paraId="6418C8D7" w14:textId="77777777" w:rsidR="002840C3" w:rsidRPr="002840C3" w:rsidRDefault="002840C3" w:rsidP="002840C3">
            <w:pPr>
              <w:rPr>
                <w:rFonts w:ascii="Calibri" w:hAnsi="Calibri" w:cs="Arial"/>
                <w:lang w:val="es-CR"/>
              </w:rPr>
            </w:pPr>
          </w:p>
        </w:tc>
      </w:tr>
      <w:tr w:rsidR="002840C3" w:rsidRPr="002840C3" w14:paraId="4D2F326D" w14:textId="77777777" w:rsidTr="00104785">
        <w:trPr>
          <w:jc w:val="center"/>
        </w:trPr>
        <w:tc>
          <w:tcPr>
            <w:tcW w:w="1144" w:type="dxa"/>
          </w:tcPr>
          <w:p w14:paraId="47F0D68A" w14:textId="77777777" w:rsidR="002840C3" w:rsidRPr="002840C3" w:rsidRDefault="002840C3" w:rsidP="002840C3">
            <w:pPr>
              <w:jc w:val="center"/>
              <w:rPr>
                <w:rFonts w:ascii="Calibri" w:hAnsi="Calibri" w:cs="Arial"/>
              </w:rPr>
            </w:pPr>
          </w:p>
          <w:p w14:paraId="7D6352EE" w14:textId="77777777" w:rsidR="002840C3" w:rsidRPr="002840C3" w:rsidRDefault="002840C3" w:rsidP="002840C3">
            <w:pPr>
              <w:jc w:val="center"/>
              <w:rPr>
                <w:rFonts w:ascii="Calibri" w:hAnsi="Calibri" w:cs="Arial"/>
              </w:rPr>
            </w:pPr>
            <w:r w:rsidRPr="002840C3">
              <w:rPr>
                <w:rFonts w:ascii="Calibri" w:hAnsi="Calibri" w:cs="Arial"/>
              </w:rPr>
              <w:t>7</w:t>
            </w:r>
          </w:p>
        </w:tc>
        <w:tc>
          <w:tcPr>
            <w:tcW w:w="2395" w:type="dxa"/>
          </w:tcPr>
          <w:p w14:paraId="66717CC1"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1: Repaso de los contenidos de CB102 Griego I</w:t>
            </w:r>
          </w:p>
          <w:p w14:paraId="2ACBE18A" w14:textId="77777777" w:rsidR="002840C3" w:rsidRPr="002840C3" w:rsidRDefault="002840C3" w:rsidP="002840C3">
            <w:pPr>
              <w:rPr>
                <w:rFonts w:ascii="Calibri" w:hAnsi="Calibri" w:cs="Arial"/>
              </w:rPr>
            </w:pPr>
          </w:p>
          <w:p w14:paraId="6A983469" w14:textId="77777777" w:rsidR="002840C3" w:rsidRPr="002840C3" w:rsidRDefault="002840C3" w:rsidP="002840C3">
            <w:pPr>
              <w:rPr>
                <w:rFonts w:ascii="Calibri" w:hAnsi="Calibri"/>
              </w:rPr>
            </w:pPr>
            <w:r w:rsidRPr="002840C3">
              <w:rPr>
                <w:rFonts w:ascii="Calibri" w:hAnsi="Calibri"/>
              </w:rPr>
              <w:t>1.7 Primer examen escrito</w:t>
            </w:r>
          </w:p>
          <w:p w14:paraId="6C1F92B5" w14:textId="77777777" w:rsidR="002840C3" w:rsidRPr="002840C3" w:rsidRDefault="002840C3" w:rsidP="002840C3">
            <w:pPr>
              <w:rPr>
                <w:rFonts w:ascii="Calibri" w:hAnsi="Calibri" w:cs="Arial"/>
              </w:rPr>
            </w:pPr>
          </w:p>
        </w:tc>
        <w:tc>
          <w:tcPr>
            <w:tcW w:w="3119" w:type="dxa"/>
          </w:tcPr>
          <w:p w14:paraId="124C1F8B"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0D62DFA8" w14:textId="77777777" w:rsidR="002840C3" w:rsidRPr="002840C3" w:rsidRDefault="002840C3" w:rsidP="002840C3">
            <w:pPr>
              <w:rPr>
                <w:rFonts w:ascii="Calibri" w:hAnsi="Calibri" w:cs="Arial"/>
              </w:rPr>
            </w:pPr>
          </w:p>
          <w:p w14:paraId="252AE070" w14:textId="77777777" w:rsidR="002840C3" w:rsidRPr="002840C3" w:rsidRDefault="002840C3" w:rsidP="002840C3">
            <w:pPr>
              <w:rPr>
                <w:rFonts w:ascii="Calibri" w:hAnsi="Calibri" w:cs="Arial"/>
              </w:rPr>
            </w:pPr>
          </w:p>
        </w:tc>
        <w:tc>
          <w:tcPr>
            <w:tcW w:w="2835" w:type="dxa"/>
          </w:tcPr>
          <w:p w14:paraId="78F0E933" w14:textId="77777777" w:rsidR="002840C3" w:rsidRPr="002840C3" w:rsidRDefault="002840C3" w:rsidP="002840C3">
            <w:pPr>
              <w:numPr>
                <w:ilvl w:val="0"/>
                <w:numId w:val="244"/>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Resolución del primer examen escrito.</w:t>
            </w:r>
          </w:p>
        </w:tc>
      </w:tr>
      <w:tr w:rsidR="002840C3" w:rsidRPr="002840C3" w14:paraId="2D87426B" w14:textId="77777777" w:rsidTr="00104785">
        <w:trPr>
          <w:jc w:val="center"/>
        </w:trPr>
        <w:tc>
          <w:tcPr>
            <w:tcW w:w="1144" w:type="dxa"/>
          </w:tcPr>
          <w:p w14:paraId="26AE64D4" w14:textId="77777777" w:rsidR="002840C3" w:rsidRPr="002840C3" w:rsidRDefault="002840C3" w:rsidP="002840C3">
            <w:pPr>
              <w:jc w:val="center"/>
              <w:rPr>
                <w:rFonts w:ascii="Calibri" w:hAnsi="Calibri" w:cs="Arial"/>
              </w:rPr>
            </w:pPr>
          </w:p>
          <w:p w14:paraId="0B5EDBB5" w14:textId="77777777" w:rsidR="002840C3" w:rsidRPr="002840C3" w:rsidRDefault="002840C3" w:rsidP="002840C3">
            <w:pPr>
              <w:jc w:val="center"/>
              <w:rPr>
                <w:rFonts w:ascii="Calibri" w:hAnsi="Calibri" w:cs="Arial"/>
              </w:rPr>
            </w:pPr>
            <w:r w:rsidRPr="002840C3">
              <w:rPr>
                <w:rFonts w:ascii="Calibri" w:hAnsi="Calibri" w:cs="Arial"/>
              </w:rPr>
              <w:t>8</w:t>
            </w:r>
          </w:p>
        </w:tc>
        <w:tc>
          <w:tcPr>
            <w:tcW w:w="2395" w:type="dxa"/>
          </w:tcPr>
          <w:p w14:paraId="511F5531"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2: Estructuras sintácticas con participios y con el pronombre relativo</w:t>
            </w:r>
          </w:p>
          <w:p w14:paraId="3A14199C" w14:textId="77777777" w:rsidR="002840C3" w:rsidRPr="002840C3" w:rsidRDefault="002840C3" w:rsidP="002840C3">
            <w:pPr>
              <w:rPr>
                <w:rFonts w:ascii="Calibri" w:hAnsi="Calibri" w:cs="Arial"/>
              </w:rPr>
            </w:pPr>
          </w:p>
          <w:p w14:paraId="30274339" w14:textId="77777777" w:rsidR="002840C3" w:rsidRPr="002840C3" w:rsidRDefault="002840C3" w:rsidP="002840C3">
            <w:pPr>
              <w:rPr>
                <w:rFonts w:ascii="Calibri" w:hAnsi="Calibri"/>
              </w:rPr>
            </w:pPr>
            <w:r w:rsidRPr="002840C3">
              <w:rPr>
                <w:rFonts w:ascii="Calibri" w:hAnsi="Calibri"/>
              </w:rPr>
              <w:t xml:space="preserve">2.1 El participio presente. El significado del tiempo en el participio. Funciones circunstancial y </w:t>
            </w:r>
            <w:proofErr w:type="spellStart"/>
            <w:r w:rsidRPr="002840C3">
              <w:rPr>
                <w:rFonts w:ascii="Calibri" w:hAnsi="Calibri"/>
              </w:rPr>
              <w:t>perifrásica</w:t>
            </w:r>
            <w:proofErr w:type="spellEnd"/>
          </w:p>
          <w:p w14:paraId="6D4ABB78" w14:textId="77777777" w:rsidR="002840C3" w:rsidRPr="002840C3" w:rsidRDefault="002840C3" w:rsidP="002840C3">
            <w:pPr>
              <w:rPr>
                <w:rFonts w:ascii="Calibri" w:hAnsi="Calibri" w:cs="Arial"/>
              </w:rPr>
            </w:pPr>
          </w:p>
        </w:tc>
        <w:tc>
          <w:tcPr>
            <w:tcW w:w="3119" w:type="dxa"/>
          </w:tcPr>
          <w:p w14:paraId="6706DBA9"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0D25BFFC" w14:textId="77777777" w:rsidR="002840C3" w:rsidRPr="002840C3" w:rsidRDefault="002840C3" w:rsidP="002840C3">
            <w:pPr>
              <w:rPr>
                <w:rFonts w:ascii="Calibri" w:hAnsi="Calibri" w:cs="Arial"/>
                <w:color w:val="000000"/>
              </w:rPr>
            </w:pPr>
          </w:p>
          <w:p w14:paraId="7C42D500"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XIX”. En </w:t>
            </w:r>
            <w:r w:rsidRPr="002840C3">
              <w:rPr>
                <w:rFonts w:ascii="Calibri" w:hAnsi="Calibri" w:cs="Arial"/>
                <w:i/>
                <w:iCs/>
                <w:color w:val="000000"/>
              </w:rPr>
              <w:t>El griego del Nuevo Testamento: texto programado</w:t>
            </w:r>
            <w:r w:rsidRPr="002840C3">
              <w:rPr>
                <w:rFonts w:ascii="Calibri" w:hAnsi="Calibri" w:cs="Arial"/>
                <w:color w:val="000000"/>
              </w:rPr>
              <w:t xml:space="preserve">, 355-382. San José: Universidad Bíblica Latinoamericana, 2010. </w:t>
            </w:r>
            <w:r w:rsidRPr="002840C3">
              <w:rPr>
                <w:rFonts w:ascii="Calibri" w:hAnsi="Calibri" w:cs="Calibri"/>
                <w:color w:val="0070C0"/>
                <w:szCs w:val="18"/>
              </w:rPr>
              <w:t>(clásico, última edición)</w:t>
            </w:r>
          </w:p>
          <w:p w14:paraId="2AF25285" w14:textId="77777777" w:rsidR="002840C3" w:rsidRPr="002840C3" w:rsidRDefault="002840C3" w:rsidP="002840C3">
            <w:pPr>
              <w:rPr>
                <w:rFonts w:ascii="Calibri" w:hAnsi="Calibri" w:cs="Arial"/>
                <w:color w:val="000000"/>
              </w:rPr>
            </w:pPr>
          </w:p>
          <w:p w14:paraId="2D5472FD" w14:textId="77777777" w:rsidR="002840C3" w:rsidRPr="002840C3" w:rsidRDefault="002840C3" w:rsidP="002840C3">
            <w:pPr>
              <w:rPr>
                <w:rFonts w:ascii="Calibri" w:hAnsi="Calibri" w:cs="Arial"/>
                <w:color w:val="000000"/>
              </w:rPr>
            </w:pPr>
            <w:r w:rsidRPr="002840C3">
              <w:rPr>
                <w:rFonts w:ascii="Calibri" w:hAnsi="Calibri" w:cs="Arial"/>
                <w:b/>
                <w:bCs/>
                <w:color w:val="0070C0"/>
              </w:rPr>
              <w:t>MATERIAL COMPLEMENTARIO</w:t>
            </w:r>
          </w:p>
          <w:p w14:paraId="1BCC1001" w14:textId="77777777" w:rsidR="002840C3" w:rsidRPr="002840C3" w:rsidRDefault="002840C3" w:rsidP="002840C3">
            <w:pPr>
              <w:rPr>
                <w:rFonts w:ascii="Calibri" w:hAnsi="Calibri" w:cs="Arial"/>
                <w:color w:val="000000"/>
              </w:rPr>
            </w:pPr>
          </w:p>
          <w:p w14:paraId="7E8EC3C3" w14:textId="77777777" w:rsidR="002840C3" w:rsidRPr="002840C3" w:rsidRDefault="002840C3" w:rsidP="002840C3">
            <w:pPr>
              <w:rPr>
                <w:rFonts w:ascii="Calibri" w:hAnsi="Calibri" w:cs="Arial"/>
                <w:color w:val="000000"/>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p w14:paraId="45F90208" w14:textId="77777777" w:rsidR="002840C3" w:rsidRPr="002840C3" w:rsidRDefault="002840C3" w:rsidP="002840C3">
            <w:pPr>
              <w:rPr>
                <w:rFonts w:ascii="Calibri" w:hAnsi="Calibri" w:cs="Arial"/>
              </w:rPr>
            </w:pPr>
          </w:p>
        </w:tc>
        <w:tc>
          <w:tcPr>
            <w:tcW w:w="2835" w:type="dxa"/>
          </w:tcPr>
          <w:p w14:paraId="7CCFBFD9"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Participación en un encuentro sincrónico virtual.</w:t>
            </w:r>
          </w:p>
          <w:p w14:paraId="48FFEAF5"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p w14:paraId="1CE58E0D"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Realización del ejercicio de traducción 2.</w:t>
            </w:r>
          </w:p>
        </w:tc>
      </w:tr>
      <w:tr w:rsidR="002840C3" w:rsidRPr="002840C3" w14:paraId="610B6176" w14:textId="77777777" w:rsidTr="00104785">
        <w:trPr>
          <w:jc w:val="center"/>
        </w:trPr>
        <w:tc>
          <w:tcPr>
            <w:tcW w:w="1144" w:type="dxa"/>
          </w:tcPr>
          <w:p w14:paraId="390BD777" w14:textId="77777777" w:rsidR="002840C3" w:rsidRPr="002840C3" w:rsidRDefault="002840C3" w:rsidP="002840C3">
            <w:pPr>
              <w:jc w:val="center"/>
              <w:rPr>
                <w:rFonts w:ascii="Calibri" w:hAnsi="Calibri" w:cs="Arial"/>
              </w:rPr>
            </w:pPr>
          </w:p>
          <w:p w14:paraId="1655CCD8" w14:textId="77777777" w:rsidR="002840C3" w:rsidRPr="002840C3" w:rsidRDefault="002840C3" w:rsidP="002840C3">
            <w:pPr>
              <w:jc w:val="center"/>
              <w:rPr>
                <w:rFonts w:ascii="Calibri" w:hAnsi="Calibri" w:cs="Arial"/>
              </w:rPr>
            </w:pPr>
            <w:r w:rsidRPr="002840C3">
              <w:rPr>
                <w:rFonts w:ascii="Calibri" w:hAnsi="Calibri" w:cs="Arial"/>
              </w:rPr>
              <w:t>9</w:t>
            </w:r>
          </w:p>
        </w:tc>
        <w:tc>
          <w:tcPr>
            <w:tcW w:w="2395" w:type="dxa"/>
          </w:tcPr>
          <w:p w14:paraId="74A0416C"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2: Estructuras sintácticas con participios y con el pronombre relativo</w:t>
            </w:r>
          </w:p>
          <w:p w14:paraId="42FACCF6" w14:textId="77777777" w:rsidR="002840C3" w:rsidRPr="002840C3" w:rsidRDefault="002840C3" w:rsidP="002840C3">
            <w:pPr>
              <w:rPr>
                <w:rFonts w:ascii="Calibri" w:hAnsi="Calibri" w:cs="Arial"/>
              </w:rPr>
            </w:pPr>
          </w:p>
          <w:p w14:paraId="2A95D59B" w14:textId="77777777" w:rsidR="002840C3" w:rsidRPr="002840C3" w:rsidRDefault="002840C3" w:rsidP="002840C3">
            <w:pPr>
              <w:rPr>
                <w:rFonts w:ascii="Calibri" w:hAnsi="Calibri"/>
              </w:rPr>
            </w:pPr>
            <w:r w:rsidRPr="002840C3">
              <w:rPr>
                <w:rFonts w:ascii="Calibri" w:hAnsi="Calibri"/>
              </w:rPr>
              <w:lastRenderedPageBreak/>
              <w:t>2.2 El participio aoristo y futuro. El significado del tiempo aoristo en el participio. El genitivo absoluto</w:t>
            </w:r>
          </w:p>
          <w:p w14:paraId="513065C9" w14:textId="77777777" w:rsidR="002840C3" w:rsidRPr="002840C3" w:rsidRDefault="002840C3" w:rsidP="002840C3">
            <w:pPr>
              <w:rPr>
                <w:rFonts w:ascii="Calibri" w:hAnsi="Calibri" w:cs="Arial"/>
              </w:rPr>
            </w:pPr>
          </w:p>
        </w:tc>
        <w:tc>
          <w:tcPr>
            <w:tcW w:w="3119" w:type="dxa"/>
          </w:tcPr>
          <w:p w14:paraId="48BDBEFD" w14:textId="77777777" w:rsidR="002840C3" w:rsidRPr="002840C3" w:rsidRDefault="002840C3" w:rsidP="002840C3">
            <w:pPr>
              <w:rPr>
                <w:rFonts w:ascii="Calibri" w:hAnsi="Calibri" w:cs="Arial"/>
                <w:color w:val="0070C0"/>
              </w:rPr>
            </w:pPr>
            <w:r w:rsidRPr="002840C3">
              <w:rPr>
                <w:rFonts w:ascii="Calibri" w:hAnsi="Calibri" w:cs="Arial"/>
                <w:color w:val="0070C0"/>
              </w:rPr>
              <w:lastRenderedPageBreak/>
              <w:t>Ruta de aprendizaje</w:t>
            </w:r>
          </w:p>
          <w:p w14:paraId="3254CA20" w14:textId="77777777" w:rsidR="002840C3" w:rsidRPr="002840C3" w:rsidRDefault="002840C3" w:rsidP="002840C3">
            <w:pPr>
              <w:rPr>
                <w:rFonts w:ascii="Calibri" w:hAnsi="Calibri" w:cs="Arial"/>
                <w:color w:val="000000"/>
              </w:rPr>
            </w:pPr>
          </w:p>
          <w:p w14:paraId="79DAFBC6"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XX”. En </w:t>
            </w:r>
            <w:r w:rsidRPr="002840C3">
              <w:rPr>
                <w:rFonts w:ascii="Calibri" w:hAnsi="Calibri" w:cs="Arial"/>
                <w:i/>
                <w:iCs/>
                <w:color w:val="000000"/>
              </w:rPr>
              <w:t>El griego del Nuevo Testamento: texto programado</w:t>
            </w:r>
            <w:r w:rsidRPr="002840C3">
              <w:rPr>
                <w:rFonts w:ascii="Calibri" w:hAnsi="Calibri" w:cs="Arial"/>
                <w:color w:val="000000"/>
              </w:rPr>
              <w:t xml:space="preserve">, 385-422. San </w:t>
            </w:r>
            <w:r w:rsidRPr="002840C3">
              <w:rPr>
                <w:rFonts w:ascii="Calibri" w:hAnsi="Calibri" w:cs="Arial"/>
                <w:color w:val="000000"/>
              </w:rPr>
              <w:lastRenderedPageBreak/>
              <w:t xml:space="preserve">José: Universidad Bíblica Latinoamericana, 2010. </w:t>
            </w:r>
            <w:r w:rsidRPr="002840C3">
              <w:rPr>
                <w:rFonts w:ascii="Calibri" w:hAnsi="Calibri" w:cs="Calibri"/>
                <w:color w:val="0070C0"/>
                <w:szCs w:val="18"/>
              </w:rPr>
              <w:t>(clásico, última edición)</w:t>
            </w:r>
          </w:p>
          <w:p w14:paraId="60F9C613" w14:textId="77777777" w:rsidR="002840C3" w:rsidRPr="002840C3" w:rsidRDefault="002840C3" w:rsidP="002840C3">
            <w:pPr>
              <w:rPr>
                <w:rFonts w:ascii="Calibri" w:hAnsi="Calibri" w:cs="Arial"/>
                <w:color w:val="000000"/>
              </w:rPr>
            </w:pPr>
          </w:p>
          <w:p w14:paraId="6930BD83" w14:textId="77777777" w:rsidR="002840C3" w:rsidRPr="002840C3" w:rsidRDefault="002840C3" w:rsidP="002840C3">
            <w:pPr>
              <w:rPr>
                <w:rFonts w:ascii="Calibri" w:hAnsi="Calibri" w:cs="Arial"/>
                <w:b/>
                <w:bCs/>
                <w:color w:val="0070C0"/>
              </w:rPr>
            </w:pPr>
            <w:r w:rsidRPr="002840C3">
              <w:rPr>
                <w:rFonts w:ascii="Calibri" w:hAnsi="Calibri" w:cs="Arial"/>
                <w:b/>
                <w:bCs/>
                <w:color w:val="0070C0"/>
              </w:rPr>
              <w:t>MATERIAL COMPLEMENTARIO</w:t>
            </w:r>
          </w:p>
          <w:p w14:paraId="0DE3390A" w14:textId="77777777" w:rsidR="002840C3" w:rsidRPr="002840C3" w:rsidRDefault="002840C3" w:rsidP="002840C3">
            <w:pPr>
              <w:rPr>
                <w:rFonts w:ascii="Calibri" w:hAnsi="Calibri" w:cs="Arial"/>
                <w:b/>
                <w:bCs/>
              </w:rPr>
            </w:pPr>
          </w:p>
          <w:p w14:paraId="610FDE11" w14:textId="77777777" w:rsidR="002840C3" w:rsidRPr="002840C3" w:rsidRDefault="002840C3" w:rsidP="002840C3">
            <w:pPr>
              <w:rPr>
                <w:rFonts w:ascii="Calibri" w:hAnsi="Calibri" w:cs="Arial"/>
                <w:color w:val="0070C0"/>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p w14:paraId="38C71D2D" w14:textId="77777777" w:rsidR="002840C3" w:rsidRPr="002840C3" w:rsidRDefault="002840C3" w:rsidP="002840C3">
            <w:pPr>
              <w:rPr>
                <w:rFonts w:ascii="Calibri" w:hAnsi="Calibri" w:cs="Arial"/>
              </w:rPr>
            </w:pPr>
          </w:p>
        </w:tc>
        <w:tc>
          <w:tcPr>
            <w:tcW w:w="2835" w:type="dxa"/>
          </w:tcPr>
          <w:p w14:paraId="49B70982"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lastRenderedPageBreak/>
              <w:t>Participación en un encuentro sincrónico virtual.</w:t>
            </w:r>
          </w:p>
          <w:p w14:paraId="0DF4A8FB"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lastRenderedPageBreak/>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p w14:paraId="7E03561C" w14:textId="77777777" w:rsidR="002840C3" w:rsidRPr="002840C3" w:rsidRDefault="002840C3" w:rsidP="002840C3">
            <w:pPr>
              <w:rPr>
                <w:rFonts w:ascii="Calibri" w:hAnsi="Calibri" w:cs="Arial"/>
                <w:lang w:val="es-CR"/>
              </w:rPr>
            </w:pPr>
          </w:p>
        </w:tc>
      </w:tr>
      <w:tr w:rsidR="002840C3" w:rsidRPr="002840C3" w14:paraId="37B49A24" w14:textId="77777777" w:rsidTr="00104785">
        <w:trPr>
          <w:jc w:val="center"/>
        </w:trPr>
        <w:tc>
          <w:tcPr>
            <w:tcW w:w="1144" w:type="dxa"/>
          </w:tcPr>
          <w:p w14:paraId="0CA6DE49" w14:textId="77777777" w:rsidR="002840C3" w:rsidRPr="002840C3" w:rsidRDefault="002840C3" w:rsidP="002840C3">
            <w:pPr>
              <w:jc w:val="center"/>
              <w:rPr>
                <w:rFonts w:ascii="Calibri" w:hAnsi="Calibri" w:cs="Arial"/>
              </w:rPr>
            </w:pPr>
          </w:p>
          <w:p w14:paraId="78AA5801" w14:textId="77777777" w:rsidR="002840C3" w:rsidRPr="002840C3" w:rsidRDefault="002840C3" w:rsidP="002840C3">
            <w:pPr>
              <w:jc w:val="center"/>
              <w:rPr>
                <w:rFonts w:ascii="Calibri" w:hAnsi="Calibri" w:cs="Arial"/>
              </w:rPr>
            </w:pPr>
            <w:r w:rsidRPr="002840C3">
              <w:rPr>
                <w:rFonts w:ascii="Calibri" w:hAnsi="Calibri" w:cs="Arial"/>
              </w:rPr>
              <w:t>10</w:t>
            </w:r>
          </w:p>
        </w:tc>
        <w:tc>
          <w:tcPr>
            <w:tcW w:w="2395" w:type="dxa"/>
          </w:tcPr>
          <w:p w14:paraId="39FF1520"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2: Estructuras sintácticas con participios y con el pronombre relativo</w:t>
            </w:r>
          </w:p>
          <w:p w14:paraId="09DA42B9" w14:textId="77777777" w:rsidR="002840C3" w:rsidRPr="002840C3" w:rsidRDefault="002840C3" w:rsidP="002840C3">
            <w:pPr>
              <w:rPr>
                <w:rFonts w:ascii="Calibri" w:hAnsi="Calibri" w:cs="Arial"/>
                <w:b/>
                <w:bCs/>
                <w:color w:val="000000"/>
              </w:rPr>
            </w:pPr>
          </w:p>
          <w:p w14:paraId="153E5B5F" w14:textId="77777777" w:rsidR="002840C3" w:rsidRPr="002840C3" w:rsidRDefault="002840C3" w:rsidP="002840C3">
            <w:pPr>
              <w:rPr>
                <w:rFonts w:ascii="Calibri" w:hAnsi="Calibri" w:cs="Arial"/>
                <w:b/>
                <w:bCs/>
                <w:color w:val="000000"/>
              </w:rPr>
            </w:pPr>
            <w:r w:rsidRPr="002840C3">
              <w:rPr>
                <w:rFonts w:ascii="Calibri" w:hAnsi="Calibri"/>
              </w:rPr>
              <w:t>2.3 La función adjetival del participio. Verbos contractos. Expresiones de comparación</w:t>
            </w:r>
          </w:p>
          <w:p w14:paraId="14440CC7" w14:textId="77777777" w:rsidR="002840C3" w:rsidRPr="002840C3" w:rsidRDefault="002840C3" w:rsidP="002840C3">
            <w:pPr>
              <w:rPr>
                <w:rFonts w:ascii="Calibri" w:hAnsi="Calibri" w:cs="Arial"/>
              </w:rPr>
            </w:pPr>
          </w:p>
        </w:tc>
        <w:tc>
          <w:tcPr>
            <w:tcW w:w="3119" w:type="dxa"/>
          </w:tcPr>
          <w:p w14:paraId="11AAE9CA"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64D7A666" w14:textId="77777777" w:rsidR="002840C3" w:rsidRPr="002840C3" w:rsidRDefault="002840C3" w:rsidP="002840C3">
            <w:pPr>
              <w:rPr>
                <w:rFonts w:ascii="Calibri" w:hAnsi="Calibri" w:cs="Arial"/>
                <w:color w:val="000000"/>
              </w:rPr>
            </w:pPr>
          </w:p>
          <w:p w14:paraId="401783DA"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XXI”. En </w:t>
            </w:r>
            <w:r w:rsidRPr="002840C3">
              <w:rPr>
                <w:rFonts w:ascii="Calibri" w:hAnsi="Calibri" w:cs="Arial"/>
                <w:i/>
                <w:iCs/>
                <w:color w:val="000000"/>
              </w:rPr>
              <w:t>El griego del Nuevo Testamento: texto programado</w:t>
            </w:r>
            <w:r w:rsidRPr="002840C3">
              <w:rPr>
                <w:rFonts w:ascii="Calibri" w:hAnsi="Calibri" w:cs="Arial"/>
                <w:color w:val="000000"/>
              </w:rPr>
              <w:t xml:space="preserve">, 427-455. San José: Universidad Bíblica Latinoamericana, 2010. </w:t>
            </w:r>
            <w:r w:rsidRPr="002840C3">
              <w:rPr>
                <w:rFonts w:ascii="Calibri" w:hAnsi="Calibri" w:cs="Calibri"/>
                <w:color w:val="0070C0"/>
                <w:szCs w:val="18"/>
              </w:rPr>
              <w:t>(clásico, última edición)</w:t>
            </w:r>
          </w:p>
          <w:p w14:paraId="612A1224" w14:textId="77777777" w:rsidR="002840C3" w:rsidRPr="002840C3" w:rsidRDefault="002840C3" w:rsidP="002840C3">
            <w:pPr>
              <w:rPr>
                <w:rFonts w:ascii="Calibri" w:hAnsi="Calibri" w:cs="Arial"/>
                <w:color w:val="000000"/>
              </w:rPr>
            </w:pPr>
          </w:p>
          <w:p w14:paraId="2606E804" w14:textId="77777777" w:rsidR="002840C3" w:rsidRPr="002840C3" w:rsidRDefault="002840C3" w:rsidP="002840C3">
            <w:pPr>
              <w:rPr>
                <w:rFonts w:ascii="Calibri" w:hAnsi="Calibri" w:cs="Arial"/>
              </w:rPr>
            </w:pPr>
            <w:r w:rsidRPr="002840C3">
              <w:rPr>
                <w:rFonts w:ascii="Calibri" w:hAnsi="Calibri" w:cs="Arial"/>
              </w:rPr>
              <w:t xml:space="preserve">Delgado, Inmaculada. “Verbos puros contractos”. En </w:t>
            </w:r>
            <w:r w:rsidRPr="002840C3">
              <w:rPr>
                <w:rFonts w:ascii="Calibri" w:hAnsi="Calibri" w:cs="Arial"/>
                <w:i/>
                <w:iCs/>
              </w:rPr>
              <w:t>Gramática griega del Nuevo Testamento: I. Morfología</w:t>
            </w:r>
            <w:r w:rsidRPr="002840C3">
              <w:rPr>
                <w:rFonts w:ascii="Calibri" w:hAnsi="Calibri" w:cs="Arial"/>
              </w:rPr>
              <w:t xml:space="preserve">, 203-206. Estella: Verbo Divino, 2013. </w:t>
            </w:r>
            <w:r w:rsidRPr="002840C3">
              <w:rPr>
                <w:rFonts w:ascii="Calibri" w:hAnsi="Calibri" w:cs="Calibri"/>
                <w:color w:val="0070C0"/>
                <w:szCs w:val="18"/>
              </w:rPr>
              <w:t>(clásico, última edición)</w:t>
            </w:r>
          </w:p>
          <w:p w14:paraId="71FF9B5F" w14:textId="77777777" w:rsidR="002840C3" w:rsidRPr="002840C3" w:rsidRDefault="002840C3" w:rsidP="002840C3">
            <w:pPr>
              <w:rPr>
                <w:rFonts w:ascii="Calibri" w:hAnsi="Calibri" w:cs="Arial"/>
              </w:rPr>
            </w:pPr>
          </w:p>
          <w:p w14:paraId="75F87502" w14:textId="77777777" w:rsidR="002840C3" w:rsidRPr="002840C3" w:rsidRDefault="002840C3" w:rsidP="002840C3">
            <w:pPr>
              <w:rPr>
                <w:rFonts w:ascii="Calibri" w:hAnsi="Calibri" w:cs="Arial"/>
              </w:rPr>
            </w:pPr>
            <w:r w:rsidRPr="002840C3">
              <w:rPr>
                <w:rFonts w:ascii="Calibri" w:hAnsi="Calibri" w:cs="Arial"/>
                <w:b/>
                <w:bCs/>
                <w:color w:val="0070C0"/>
              </w:rPr>
              <w:t>MATERIAL COMPLEMENTARIO</w:t>
            </w:r>
          </w:p>
          <w:p w14:paraId="57ADC456" w14:textId="77777777" w:rsidR="002840C3" w:rsidRPr="002840C3" w:rsidRDefault="002840C3" w:rsidP="002840C3">
            <w:pPr>
              <w:rPr>
                <w:rFonts w:ascii="Calibri" w:hAnsi="Calibri" w:cs="Arial"/>
              </w:rPr>
            </w:pPr>
          </w:p>
          <w:p w14:paraId="405205C3" w14:textId="77777777" w:rsidR="002840C3" w:rsidRPr="002840C3" w:rsidRDefault="002840C3" w:rsidP="002840C3">
            <w:pPr>
              <w:rPr>
                <w:rFonts w:ascii="Calibri" w:hAnsi="Calibri" w:cs="Arial"/>
                <w:color w:val="0070C0"/>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p w14:paraId="25B3E09C" w14:textId="77777777" w:rsidR="002840C3" w:rsidRPr="002840C3" w:rsidRDefault="002840C3" w:rsidP="002840C3">
            <w:pPr>
              <w:rPr>
                <w:rFonts w:ascii="Calibri" w:hAnsi="Calibri" w:cs="Arial"/>
              </w:rPr>
            </w:pPr>
          </w:p>
        </w:tc>
        <w:tc>
          <w:tcPr>
            <w:tcW w:w="2835" w:type="dxa"/>
          </w:tcPr>
          <w:p w14:paraId="00BC8130"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Realizar la lectura de la sesión.</w:t>
            </w:r>
          </w:p>
          <w:p w14:paraId="5AB4D0F9"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Participación en un encuentro sincrónico virtual.</w:t>
            </w:r>
          </w:p>
          <w:p w14:paraId="65C1C5AF"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p w14:paraId="55C9BF16"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Realización del ejercicio de traducción 3.</w:t>
            </w:r>
          </w:p>
        </w:tc>
      </w:tr>
      <w:tr w:rsidR="002840C3" w:rsidRPr="002840C3" w14:paraId="3C482706" w14:textId="77777777" w:rsidTr="00104785">
        <w:trPr>
          <w:jc w:val="center"/>
        </w:trPr>
        <w:tc>
          <w:tcPr>
            <w:tcW w:w="1144" w:type="dxa"/>
          </w:tcPr>
          <w:p w14:paraId="268A272E" w14:textId="77777777" w:rsidR="002840C3" w:rsidRPr="002840C3" w:rsidRDefault="002840C3" w:rsidP="002840C3">
            <w:pPr>
              <w:jc w:val="center"/>
              <w:rPr>
                <w:rFonts w:ascii="Calibri" w:hAnsi="Calibri" w:cs="Arial"/>
              </w:rPr>
            </w:pPr>
          </w:p>
          <w:p w14:paraId="1D0DC9DC" w14:textId="77777777" w:rsidR="002840C3" w:rsidRPr="002840C3" w:rsidRDefault="002840C3" w:rsidP="002840C3">
            <w:pPr>
              <w:jc w:val="center"/>
              <w:rPr>
                <w:rFonts w:ascii="Calibri" w:hAnsi="Calibri" w:cs="Arial"/>
              </w:rPr>
            </w:pPr>
            <w:r w:rsidRPr="002840C3">
              <w:rPr>
                <w:rFonts w:ascii="Calibri" w:hAnsi="Calibri" w:cs="Arial"/>
              </w:rPr>
              <w:t>11</w:t>
            </w:r>
          </w:p>
        </w:tc>
        <w:tc>
          <w:tcPr>
            <w:tcW w:w="2395" w:type="dxa"/>
          </w:tcPr>
          <w:p w14:paraId="3505AE9A"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3: Tiempos perfecto y pluscuamperfecto de los verbos</w:t>
            </w:r>
          </w:p>
          <w:p w14:paraId="36080DD5" w14:textId="77777777" w:rsidR="002840C3" w:rsidRPr="002840C3" w:rsidRDefault="002840C3" w:rsidP="002840C3">
            <w:pPr>
              <w:rPr>
                <w:rFonts w:ascii="Calibri" w:hAnsi="Calibri" w:cs="Arial"/>
                <w:b/>
                <w:bCs/>
                <w:color w:val="000000"/>
              </w:rPr>
            </w:pPr>
          </w:p>
          <w:p w14:paraId="6E076D95" w14:textId="77777777" w:rsidR="002840C3" w:rsidRPr="002840C3" w:rsidRDefault="002840C3" w:rsidP="002840C3">
            <w:pPr>
              <w:rPr>
                <w:rFonts w:ascii="Calibri" w:hAnsi="Calibri"/>
              </w:rPr>
            </w:pPr>
            <w:r w:rsidRPr="002840C3">
              <w:rPr>
                <w:rFonts w:ascii="Calibri" w:hAnsi="Calibri"/>
              </w:rPr>
              <w:t xml:space="preserve">3.1 El pronombre relativo </w:t>
            </w:r>
            <w:proofErr w:type="spellStart"/>
            <w:r w:rsidRPr="002840C3">
              <w:rPr>
                <w:rFonts w:ascii="Calibri" w:hAnsi="Calibri"/>
              </w:rPr>
              <w:t>oj</w:t>
            </w:r>
            <w:proofErr w:type="spellEnd"/>
            <w:r w:rsidRPr="002840C3">
              <w:rPr>
                <w:rFonts w:ascii="Calibri" w:hAnsi="Calibri"/>
              </w:rPr>
              <w:t xml:space="preserve">. Tiempos perfecto y pluscuamperfecto. Las partes fundamentales. El verbo </w:t>
            </w:r>
            <w:proofErr w:type="spellStart"/>
            <w:r w:rsidRPr="002840C3">
              <w:rPr>
                <w:rFonts w:ascii="Calibri" w:hAnsi="Calibri"/>
              </w:rPr>
              <w:t>oida</w:t>
            </w:r>
            <w:proofErr w:type="spellEnd"/>
          </w:p>
          <w:p w14:paraId="2E03D8BA" w14:textId="77777777" w:rsidR="002840C3" w:rsidRPr="002840C3" w:rsidRDefault="002840C3" w:rsidP="002840C3">
            <w:pPr>
              <w:rPr>
                <w:rFonts w:ascii="Calibri" w:hAnsi="Calibri" w:cs="Arial"/>
              </w:rPr>
            </w:pPr>
          </w:p>
        </w:tc>
        <w:tc>
          <w:tcPr>
            <w:tcW w:w="3119" w:type="dxa"/>
          </w:tcPr>
          <w:p w14:paraId="649E2B1D"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22E8E5AF" w14:textId="77777777" w:rsidR="002840C3" w:rsidRPr="002840C3" w:rsidRDefault="002840C3" w:rsidP="002840C3">
            <w:pPr>
              <w:rPr>
                <w:rFonts w:ascii="Calibri" w:hAnsi="Calibri" w:cs="Arial"/>
                <w:color w:val="000000"/>
              </w:rPr>
            </w:pPr>
          </w:p>
          <w:p w14:paraId="5BC01E80"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XXII”. En </w:t>
            </w:r>
            <w:r w:rsidRPr="002840C3">
              <w:rPr>
                <w:rFonts w:ascii="Calibri" w:hAnsi="Calibri" w:cs="Arial"/>
                <w:i/>
                <w:iCs/>
                <w:color w:val="000000"/>
              </w:rPr>
              <w:t>El griego del Nuevo Testamento: texto programado</w:t>
            </w:r>
            <w:r w:rsidRPr="002840C3">
              <w:rPr>
                <w:rFonts w:ascii="Calibri" w:hAnsi="Calibri" w:cs="Arial"/>
                <w:color w:val="000000"/>
              </w:rPr>
              <w:t xml:space="preserve">, 457-487. San José: Universidad Bíblica Latinoamericana, 2010. </w:t>
            </w:r>
            <w:r w:rsidRPr="002840C3">
              <w:rPr>
                <w:rFonts w:ascii="Calibri" w:hAnsi="Calibri" w:cs="Calibri"/>
                <w:color w:val="0070C0"/>
                <w:szCs w:val="18"/>
              </w:rPr>
              <w:t>(clásico, última edición)</w:t>
            </w:r>
          </w:p>
          <w:p w14:paraId="745EE99E" w14:textId="77777777" w:rsidR="002840C3" w:rsidRPr="002840C3" w:rsidRDefault="002840C3" w:rsidP="002840C3">
            <w:pPr>
              <w:rPr>
                <w:rFonts w:ascii="Calibri" w:hAnsi="Calibri" w:cs="Arial"/>
                <w:color w:val="000000"/>
              </w:rPr>
            </w:pPr>
          </w:p>
          <w:p w14:paraId="7835396C" w14:textId="77777777" w:rsidR="002840C3" w:rsidRPr="002840C3" w:rsidRDefault="002840C3" w:rsidP="002840C3">
            <w:pPr>
              <w:rPr>
                <w:rFonts w:ascii="Calibri" w:hAnsi="Calibri" w:cs="Arial"/>
              </w:rPr>
            </w:pPr>
            <w:r w:rsidRPr="002840C3">
              <w:rPr>
                <w:rFonts w:ascii="Calibri" w:hAnsi="Calibri" w:cs="Arial"/>
              </w:rPr>
              <w:t xml:space="preserve">Delgado, Inmaculada. “Aoristo, perfecto y pluscuamperfecto de indicativo: el aumento y la reduplicación”. En </w:t>
            </w:r>
            <w:r w:rsidRPr="002840C3">
              <w:rPr>
                <w:rFonts w:ascii="Calibri" w:hAnsi="Calibri" w:cs="Arial"/>
                <w:i/>
                <w:iCs/>
              </w:rPr>
              <w:t xml:space="preserve">Gramática griega del Nuevo Testamento: I. </w:t>
            </w:r>
            <w:r w:rsidRPr="002840C3">
              <w:rPr>
                <w:rFonts w:ascii="Calibri" w:hAnsi="Calibri" w:cs="Arial"/>
                <w:i/>
                <w:iCs/>
              </w:rPr>
              <w:lastRenderedPageBreak/>
              <w:t>Morfología</w:t>
            </w:r>
            <w:r w:rsidRPr="002840C3">
              <w:rPr>
                <w:rFonts w:ascii="Calibri" w:hAnsi="Calibri" w:cs="Arial"/>
              </w:rPr>
              <w:t xml:space="preserve">, 73-79. Estella: Verbo Divino, 2013. </w:t>
            </w:r>
            <w:r w:rsidRPr="002840C3">
              <w:rPr>
                <w:rFonts w:ascii="Calibri" w:hAnsi="Calibri" w:cs="Calibri"/>
                <w:color w:val="0070C0"/>
                <w:szCs w:val="18"/>
              </w:rPr>
              <w:t>(clásico, última edición)</w:t>
            </w:r>
          </w:p>
          <w:p w14:paraId="2CE8DB26" w14:textId="77777777" w:rsidR="002840C3" w:rsidRPr="002840C3" w:rsidRDefault="002840C3" w:rsidP="002840C3">
            <w:pPr>
              <w:rPr>
                <w:rFonts w:ascii="Calibri" w:hAnsi="Calibri" w:cs="Arial"/>
              </w:rPr>
            </w:pPr>
          </w:p>
          <w:p w14:paraId="7C2BFE78" w14:textId="77777777" w:rsidR="002840C3" w:rsidRPr="002840C3" w:rsidRDefault="002840C3" w:rsidP="002840C3">
            <w:pPr>
              <w:rPr>
                <w:rFonts w:ascii="Calibri" w:hAnsi="Calibri" w:cs="Arial"/>
              </w:rPr>
            </w:pPr>
            <w:r w:rsidRPr="002840C3">
              <w:rPr>
                <w:rFonts w:ascii="Calibri" w:hAnsi="Calibri" w:cs="Arial"/>
                <w:b/>
                <w:bCs/>
                <w:color w:val="0070C0"/>
              </w:rPr>
              <w:t>MATERIAL COMPLEMENTARIO</w:t>
            </w:r>
          </w:p>
          <w:p w14:paraId="3ECE2E3D" w14:textId="77777777" w:rsidR="002840C3" w:rsidRPr="002840C3" w:rsidRDefault="002840C3" w:rsidP="002840C3">
            <w:pPr>
              <w:rPr>
                <w:rFonts w:ascii="Calibri" w:hAnsi="Calibri" w:cs="Arial"/>
              </w:rPr>
            </w:pPr>
          </w:p>
          <w:p w14:paraId="06D0C2B0" w14:textId="77777777" w:rsidR="002840C3" w:rsidRPr="002840C3" w:rsidRDefault="002840C3" w:rsidP="002840C3">
            <w:pPr>
              <w:rPr>
                <w:rFonts w:ascii="Calibri" w:hAnsi="Calibri" w:cs="Arial"/>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tc>
        <w:tc>
          <w:tcPr>
            <w:tcW w:w="2835" w:type="dxa"/>
          </w:tcPr>
          <w:p w14:paraId="11C99C54"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lastRenderedPageBreak/>
              <w:t>Realizar la lectura de la sesión.</w:t>
            </w:r>
          </w:p>
          <w:p w14:paraId="7E7EF371"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Participación en un encuentro sincrónico virtual.</w:t>
            </w:r>
          </w:p>
          <w:p w14:paraId="674E2757"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tc>
      </w:tr>
      <w:tr w:rsidR="002840C3" w:rsidRPr="002840C3" w14:paraId="3423096C" w14:textId="77777777" w:rsidTr="00104785">
        <w:trPr>
          <w:jc w:val="center"/>
        </w:trPr>
        <w:tc>
          <w:tcPr>
            <w:tcW w:w="1144" w:type="dxa"/>
          </w:tcPr>
          <w:p w14:paraId="370DD2AB" w14:textId="77777777" w:rsidR="002840C3" w:rsidRPr="002840C3" w:rsidRDefault="002840C3" w:rsidP="002840C3">
            <w:pPr>
              <w:jc w:val="center"/>
              <w:rPr>
                <w:rFonts w:ascii="Calibri" w:hAnsi="Calibri" w:cs="Arial"/>
              </w:rPr>
            </w:pPr>
          </w:p>
          <w:p w14:paraId="2857BA85" w14:textId="77777777" w:rsidR="002840C3" w:rsidRPr="002840C3" w:rsidRDefault="002840C3" w:rsidP="002840C3">
            <w:pPr>
              <w:jc w:val="center"/>
              <w:rPr>
                <w:rFonts w:ascii="Calibri" w:hAnsi="Calibri" w:cs="Arial"/>
              </w:rPr>
            </w:pPr>
            <w:r w:rsidRPr="002840C3">
              <w:rPr>
                <w:rFonts w:ascii="Calibri" w:hAnsi="Calibri" w:cs="Arial"/>
              </w:rPr>
              <w:t>12</w:t>
            </w:r>
          </w:p>
        </w:tc>
        <w:tc>
          <w:tcPr>
            <w:tcW w:w="2395" w:type="dxa"/>
          </w:tcPr>
          <w:p w14:paraId="489B5655"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4: Modos subjuntivo, optativo y superlativo; Oraciones condicionales</w:t>
            </w:r>
          </w:p>
          <w:p w14:paraId="0A4BE8CD" w14:textId="77777777" w:rsidR="002840C3" w:rsidRPr="002840C3" w:rsidRDefault="002840C3" w:rsidP="002840C3">
            <w:pPr>
              <w:rPr>
                <w:rFonts w:ascii="Calibri" w:hAnsi="Calibri" w:cs="Arial"/>
              </w:rPr>
            </w:pPr>
          </w:p>
          <w:p w14:paraId="1D2EC5DC" w14:textId="77777777" w:rsidR="002840C3" w:rsidRPr="002840C3" w:rsidRDefault="002840C3" w:rsidP="002840C3">
            <w:pPr>
              <w:rPr>
                <w:rFonts w:ascii="Calibri" w:hAnsi="Calibri"/>
              </w:rPr>
            </w:pPr>
            <w:r w:rsidRPr="002840C3">
              <w:rPr>
                <w:rFonts w:ascii="Calibri" w:hAnsi="Calibri"/>
              </w:rPr>
              <w:t xml:space="preserve">4.1 Modo subjuntivo. Preguntas que comienzan con </w:t>
            </w:r>
            <w:proofErr w:type="spellStart"/>
            <w:r w:rsidRPr="002840C3">
              <w:rPr>
                <w:rFonts w:ascii="Calibri" w:hAnsi="Calibri"/>
              </w:rPr>
              <w:t>ou</w:t>
            </w:r>
            <w:proofErr w:type="spellEnd"/>
            <w:r w:rsidRPr="002840C3">
              <w:rPr>
                <w:rFonts w:ascii="Calibri" w:hAnsi="Calibri"/>
              </w:rPr>
              <w:t xml:space="preserve"> o me</w:t>
            </w:r>
          </w:p>
          <w:p w14:paraId="2669440B" w14:textId="77777777" w:rsidR="002840C3" w:rsidRPr="002840C3" w:rsidRDefault="002840C3" w:rsidP="002840C3">
            <w:pPr>
              <w:rPr>
                <w:rFonts w:ascii="Calibri" w:hAnsi="Calibri" w:cs="Arial"/>
              </w:rPr>
            </w:pPr>
          </w:p>
        </w:tc>
        <w:tc>
          <w:tcPr>
            <w:tcW w:w="3119" w:type="dxa"/>
          </w:tcPr>
          <w:p w14:paraId="2F641989"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2E3477CF" w14:textId="77777777" w:rsidR="002840C3" w:rsidRPr="002840C3" w:rsidRDefault="002840C3" w:rsidP="002840C3">
            <w:pPr>
              <w:rPr>
                <w:rFonts w:ascii="Calibri" w:hAnsi="Calibri" w:cs="Arial"/>
                <w:color w:val="000000"/>
              </w:rPr>
            </w:pPr>
          </w:p>
          <w:p w14:paraId="2DE50E47"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XXIII”. En </w:t>
            </w:r>
            <w:r w:rsidRPr="002840C3">
              <w:rPr>
                <w:rFonts w:ascii="Calibri" w:hAnsi="Calibri" w:cs="Arial"/>
                <w:i/>
                <w:iCs/>
                <w:color w:val="000000"/>
              </w:rPr>
              <w:t>El griego del Nuevo Testamento: texto programado</w:t>
            </w:r>
            <w:r w:rsidRPr="002840C3">
              <w:rPr>
                <w:rFonts w:ascii="Calibri" w:hAnsi="Calibri" w:cs="Arial"/>
                <w:color w:val="000000"/>
              </w:rPr>
              <w:t xml:space="preserve">, 491-518. San José: Universidad Bíblica Latinoamericana, 2010. </w:t>
            </w:r>
            <w:r w:rsidRPr="002840C3">
              <w:rPr>
                <w:rFonts w:ascii="Calibri" w:hAnsi="Calibri" w:cs="Calibri"/>
                <w:color w:val="0070C0"/>
                <w:szCs w:val="18"/>
              </w:rPr>
              <w:t>(clásico, última edición)</w:t>
            </w:r>
          </w:p>
          <w:p w14:paraId="4761779C" w14:textId="77777777" w:rsidR="002840C3" w:rsidRPr="002840C3" w:rsidRDefault="002840C3" w:rsidP="002840C3">
            <w:pPr>
              <w:rPr>
                <w:rFonts w:ascii="Calibri" w:hAnsi="Calibri" w:cs="Arial"/>
                <w:color w:val="000000"/>
              </w:rPr>
            </w:pPr>
          </w:p>
          <w:p w14:paraId="01366FE5" w14:textId="77777777" w:rsidR="002840C3" w:rsidRPr="002840C3" w:rsidRDefault="002840C3" w:rsidP="002840C3">
            <w:pPr>
              <w:rPr>
                <w:rFonts w:ascii="Calibri" w:hAnsi="Calibri" w:cs="Arial"/>
              </w:rPr>
            </w:pPr>
            <w:r w:rsidRPr="002840C3">
              <w:rPr>
                <w:rFonts w:ascii="Calibri" w:hAnsi="Calibri" w:cs="Arial"/>
              </w:rPr>
              <w:t xml:space="preserve">Delgado, Inmaculada. “Modo subjuntivo del verbo en las tres voces. Modo subjuntivo del verbo </w:t>
            </w:r>
            <w:proofErr w:type="spellStart"/>
            <w:r w:rsidRPr="002840C3">
              <w:rPr>
                <w:rFonts w:ascii="Calibri" w:hAnsi="Calibri" w:cs="Arial"/>
              </w:rPr>
              <w:t>eimi</w:t>
            </w:r>
            <w:proofErr w:type="spellEnd"/>
            <w:r w:rsidRPr="002840C3">
              <w:rPr>
                <w:rFonts w:ascii="Calibri" w:hAnsi="Calibri" w:cs="Arial"/>
              </w:rPr>
              <w:t xml:space="preserve">”. En </w:t>
            </w:r>
            <w:r w:rsidRPr="002840C3">
              <w:rPr>
                <w:rFonts w:ascii="Calibri" w:hAnsi="Calibri" w:cs="Arial"/>
                <w:i/>
                <w:iCs/>
              </w:rPr>
              <w:t>Gramática griega del Nuevo Testamento: I. Morfología</w:t>
            </w:r>
            <w:r w:rsidRPr="002840C3">
              <w:rPr>
                <w:rFonts w:ascii="Calibri" w:hAnsi="Calibri" w:cs="Arial"/>
              </w:rPr>
              <w:t xml:space="preserve">, 143-146. Estella: Verbo Divino, 2013. </w:t>
            </w:r>
            <w:r w:rsidRPr="002840C3">
              <w:rPr>
                <w:rFonts w:ascii="Calibri" w:hAnsi="Calibri" w:cs="Calibri"/>
                <w:color w:val="0070C0"/>
                <w:szCs w:val="18"/>
              </w:rPr>
              <w:t>(clásico, última edición)</w:t>
            </w:r>
          </w:p>
          <w:p w14:paraId="206F5DF7" w14:textId="77777777" w:rsidR="002840C3" w:rsidRPr="002840C3" w:rsidRDefault="002840C3" w:rsidP="002840C3">
            <w:pPr>
              <w:rPr>
                <w:rFonts w:ascii="Calibri" w:hAnsi="Calibri" w:cs="Arial"/>
              </w:rPr>
            </w:pPr>
          </w:p>
          <w:p w14:paraId="6B7481EE" w14:textId="77777777" w:rsidR="002840C3" w:rsidRPr="002840C3" w:rsidRDefault="002840C3" w:rsidP="002840C3">
            <w:pPr>
              <w:rPr>
                <w:rFonts w:ascii="Calibri" w:hAnsi="Calibri" w:cs="Arial"/>
                <w:b/>
                <w:bCs/>
                <w:color w:val="0070C0"/>
              </w:rPr>
            </w:pPr>
            <w:r w:rsidRPr="002840C3">
              <w:rPr>
                <w:rFonts w:ascii="Calibri" w:hAnsi="Calibri" w:cs="Arial"/>
                <w:b/>
                <w:bCs/>
                <w:color w:val="0070C0"/>
              </w:rPr>
              <w:t>MATERIAL COMPLEMENTARIO</w:t>
            </w:r>
          </w:p>
          <w:p w14:paraId="6FA96B73" w14:textId="77777777" w:rsidR="002840C3" w:rsidRPr="002840C3" w:rsidRDefault="002840C3" w:rsidP="002840C3">
            <w:pPr>
              <w:rPr>
                <w:rFonts w:ascii="Calibri" w:hAnsi="Calibri" w:cs="Arial"/>
                <w:b/>
                <w:bCs/>
              </w:rPr>
            </w:pPr>
          </w:p>
          <w:p w14:paraId="518C173C" w14:textId="77777777" w:rsidR="002840C3" w:rsidRPr="002840C3" w:rsidRDefault="002840C3" w:rsidP="002840C3">
            <w:pPr>
              <w:rPr>
                <w:rFonts w:ascii="Calibri" w:hAnsi="Calibri" w:cs="Arial"/>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p w14:paraId="06642767" w14:textId="77777777" w:rsidR="002840C3" w:rsidRPr="002840C3" w:rsidRDefault="002840C3" w:rsidP="002840C3">
            <w:pPr>
              <w:rPr>
                <w:rFonts w:ascii="Calibri" w:hAnsi="Calibri" w:cs="Arial"/>
              </w:rPr>
            </w:pPr>
          </w:p>
        </w:tc>
        <w:tc>
          <w:tcPr>
            <w:tcW w:w="2835" w:type="dxa"/>
          </w:tcPr>
          <w:p w14:paraId="4B483C49"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Realizar la lectura de la sesión.</w:t>
            </w:r>
          </w:p>
          <w:p w14:paraId="2D3D9A42"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Participación en un encuentro sincrónico virtual.</w:t>
            </w:r>
          </w:p>
          <w:p w14:paraId="2F53925F"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tc>
      </w:tr>
      <w:tr w:rsidR="002840C3" w:rsidRPr="002840C3" w14:paraId="1D8F5128" w14:textId="77777777" w:rsidTr="00104785">
        <w:trPr>
          <w:jc w:val="center"/>
        </w:trPr>
        <w:tc>
          <w:tcPr>
            <w:tcW w:w="1144" w:type="dxa"/>
          </w:tcPr>
          <w:p w14:paraId="3F2D55F1" w14:textId="77777777" w:rsidR="002840C3" w:rsidRPr="002840C3" w:rsidRDefault="002840C3" w:rsidP="002840C3">
            <w:pPr>
              <w:jc w:val="center"/>
              <w:rPr>
                <w:rFonts w:ascii="Calibri" w:hAnsi="Calibri" w:cs="Arial"/>
              </w:rPr>
            </w:pPr>
          </w:p>
          <w:p w14:paraId="4946D2FF" w14:textId="77777777" w:rsidR="002840C3" w:rsidRPr="002840C3" w:rsidRDefault="002840C3" w:rsidP="002840C3">
            <w:pPr>
              <w:jc w:val="center"/>
              <w:rPr>
                <w:rFonts w:ascii="Calibri" w:hAnsi="Calibri" w:cs="Arial"/>
              </w:rPr>
            </w:pPr>
            <w:r w:rsidRPr="002840C3">
              <w:rPr>
                <w:rFonts w:ascii="Calibri" w:hAnsi="Calibri" w:cs="Arial"/>
              </w:rPr>
              <w:t>13</w:t>
            </w:r>
          </w:p>
        </w:tc>
        <w:tc>
          <w:tcPr>
            <w:tcW w:w="2395" w:type="dxa"/>
          </w:tcPr>
          <w:p w14:paraId="3D194F50"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4: Modos subjuntivo, optativo y superlativo; Oraciones condicionales</w:t>
            </w:r>
          </w:p>
          <w:p w14:paraId="0F047F44" w14:textId="77777777" w:rsidR="002840C3" w:rsidRPr="002840C3" w:rsidRDefault="002840C3" w:rsidP="002840C3">
            <w:pPr>
              <w:rPr>
                <w:rFonts w:ascii="Calibri" w:hAnsi="Calibri" w:cs="Arial"/>
              </w:rPr>
            </w:pPr>
          </w:p>
          <w:p w14:paraId="3A9306F4" w14:textId="77777777" w:rsidR="002840C3" w:rsidRPr="002840C3" w:rsidRDefault="002840C3" w:rsidP="002840C3">
            <w:pPr>
              <w:rPr>
                <w:rFonts w:ascii="Calibri" w:hAnsi="Calibri"/>
              </w:rPr>
            </w:pPr>
            <w:r w:rsidRPr="002840C3">
              <w:rPr>
                <w:rFonts w:ascii="Calibri" w:hAnsi="Calibri"/>
              </w:rPr>
              <w:t>4.2 Oraciones condicionales. Modo optativo. Números</w:t>
            </w:r>
          </w:p>
          <w:p w14:paraId="357EA1C6" w14:textId="77777777" w:rsidR="002840C3" w:rsidRPr="002840C3" w:rsidRDefault="002840C3" w:rsidP="002840C3">
            <w:pPr>
              <w:rPr>
                <w:rFonts w:ascii="Calibri" w:hAnsi="Calibri" w:cs="Arial"/>
              </w:rPr>
            </w:pPr>
          </w:p>
        </w:tc>
        <w:tc>
          <w:tcPr>
            <w:tcW w:w="3119" w:type="dxa"/>
          </w:tcPr>
          <w:p w14:paraId="5610E851"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61AD5EE3" w14:textId="77777777" w:rsidR="002840C3" w:rsidRPr="002840C3" w:rsidRDefault="002840C3" w:rsidP="002840C3">
            <w:pPr>
              <w:rPr>
                <w:rFonts w:ascii="Calibri" w:hAnsi="Calibri" w:cs="Arial"/>
                <w:color w:val="000000"/>
              </w:rPr>
            </w:pPr>
          </w:p>
          <w:p w14:paraId="531E2725" w14:textId="77777777" w:rsidR="002840C3" w:rsidRPr="002840C3" w:rsidRDefault="002840C3" w:rsidP="002840C3">
            <w:pPr>
              <w:rPr>
                <w:rFonts w:ascii="Calibri" w:hAnsi="Calibri" w:cs="Arial"/>
                <w:color w:val="000000"/>
              </w:rPr>
            </w:pPr>
            <w:proofErr w:type="spellStart"/>
            <w:r w:rsidRPr="002840C3">
              <w:rPr>
                <w:rFonts w:ascii="Calibri" w:hAnsi="Calibri" w:cs="Arial"/>
                <w:color w:val="000000"/>
              </w:rPr>
              <w:t>Foulkes</w:t>
            </w:r>
            <w:proofErr w:type="spellEnd"/>
            <w:r w:rsidRPr="002840C3">
              <w:rPr>
                <w:rFonts w:ascii="Calibri" w:hAnsi="Calibri" w:cs="Arial"/>
                <w:color w:val="000000"/>
              </w:rPr>
              <w:t xml:space="preserve">, Irene. “Capítulo XXIV”. En </w:t>
            </w:r>
            <w:r w:rsidRPr="002840C3">
              <w:rPr>
                <w:rFonts w:ascii="Calibri" w:hAnsi="Calibri" w:cs="Arial"/>
                <w:i/>
                <w:iCs/>
                <w:color w:val="000000"/>
              </w:rPr>
              <w:t>El griego del Nuevo Testamento: texto programado</w:t>
            </w:r>
            <w:r w:rsidRPr="002840C3">
              <w:rPr>
                <w:rFonts w:ascii="Calibri" w:hAnsi="Calibri" w:cs="Arial"/>
                <w:color w:val="000000"/>
              </w:rPr>
              <w:t xml:space="preserve">, 521-536. San José: Universidad Bíblica Latinoamericana, 2010. </w:t>
            </w:r>
            <w:r w:rsidRPr="002840C3">
              <w:rPr>
                <w:rFonts w:ascii="Calibri" w:hAnsi="Calibri" w:cs="Calibri"/>
                <w:color w:val="0070C0"/>
                <w:szCs w:val="18"/>
              </w:rPr>
              <w:t>(clásico, última edición)</w:t>
            </w:r>
          </w:p>
          <w:p w14:paraId="46D099DF" w14:textId="77777777" w:rsidR="002840C3" w:rsidRPr="002840C3" w:rsidRDefault="002840C3" w:rsidP="002840C3">
            <w:pPr>
              <w:rPr>
                <w:rFonts w:ascii="Calibri" w:hAnsi="Calibri" w:cs="Arial"/>
                <w:color w:val="000000"/>
              </w:rPr>
            </w:pPr>
          </w:p>
          <w:p w14:paraId="4BABDB46" w14:textId="77777777" w:rsidR="002840C3" w:rsidRPr="002840C3" w:rsidRDefault="002840C3" w:rsidP="002840C3">
            <w:pPr>
              <w:rPr>
                <w:rFonts w:ascii="Calibri" w:hAnsi="Calibri" w:cs="Arial"/>
              </w:rPr>
            </w:pPr>
            <w:r w:rsidRPr="002840C3">
              <w:rPr>
                <w:rFonts w:ascii="Calibri" w:hAnsi="Calibri" w:cs="Arial"/>
              </w:rPr>
              <w:t xml:space="preserve">Delgado, Inmaculada. “Modo optativo del verbo en las tres voces. Modo optativo del verbo </w:t>
            </w:r>
            <w:proofErr w:type="spellStart"/>
            <w:r w:rsidRPr="002840C3">
              <w:rPr>
                <w:rFonts w:ascii="Calibri" w:hAnsi="Calibri" w:cs="Arial"/>
              </w:rPr>
              <w:t>eimi</w:t>
            </w:r>
            <w:proofErr w:type="spellEnd"/>
            <w:r w:rsidRPr="002840C3">
              <w:rPr>
                <w:rFonts w:ascii="Calibri" w:hAnsi="Calibri" w:cs="Arial"/>
              </w:rPr>
              <w:t xml:space="preserve">”. En </w:t>
            </w:r>
            <w:r w:rsidRPr="002840C3">
              <w:rPr>
                <w:rFonts w:ascii="Calibri" w:hAnsi="Calibri" w:cs="Arial"/>
                <w:i/>
                <w:iCs/>
              </w:rPr>
              <w:t xml:space="preserve">Gramática griega del </w:t>
            </w:r>
            <w:r w:rsidRPr="002840C3">
              <w:rPr>
                <w:rFonts w:ascii="Calibri" w:hAnsi="Calibri" w:cs="Arial"/>
                <w:i/>
                <w:iCs/>
              </w:rPr>
              <w:lastRenderedPageBreak/>
              <w:t>Nuevo Testamento: I. Morfología</w:t>
            </w:r>
            <w:r w:rsidRPr="002840C3">
              <w:rPr>
                <w:rFonts w:ascii="Calibri" w:hAnsi="Calibri" w:cs="Arial"/>
              </w:rPr>
              <w:t xml:space="preserve">, 153-157. Estella: Verbo Divino, 2013. </w:t>
            </w:r>
            <w:r w:rsidRPr="002840C3">
              <w:rPr>
                <w:rFonts w:ascii="Calibri" w:hAnsi="Calibri" w:cs="Calibri"/>
                <w:color w:val="0070C0"/>
                <w:szCs w:val="18"/>
              </w:rPr>
              <w:t>(clásico, última edición)</w:t>
            </w:r>
          </w:p>
          <w:p w14:paraId="1B07EF6A" w14:textId="77777777" w:rsidR="002840C3" w:rsidRPr="002840C3" w:rsidRDefault="002840C3" w:rsidP="002840C3">
            <w:pPr>
              <w:rPr>
                <w:rFonts w:ascii="Calibri" w:hAnsi="Calibri" w:cs="Arial"/>
              </w:rPr>
            </w:pPr>
          </w:p>
          <w:p w14:paraId="1A7866F7" w14:textId="77777777" w:rsidR="002840C3" w:rsidRPr="002840C3" w:rsidRDefault="002840C3" w:rsidP="002840C3">
            <w:pPr>
              <w:rPr>
                <w:rFonts w:ascii="Calibri" w:hAnsi="Calibri" w:cs="Arial"/>
                <w:b/>
                <w:bCs/>
                <w:color w:val="0070C0"/>
              </w:rPr>
            </w:pPr>
            <w:r w:rsidRPr="002840C3">
              <w:rPr>
                <w:rFonts w:ascii="Calibri" w:hAnsi="Calibri" w:cs="Arial"/>
                <w:b/>
                <w:bCs/>
                <w:color w:val="0070C0"/>
              </w:rPr>
              <w:t>MATERIAL COMPLEMENTARIO</w:t>
            </w:r>
          </w:p>
          <w:p w14:paraId="1812C0B7" w14:textId="77777777" w:rsidR="002840C3" w:rsidRPr="002840C3" w:rsidRDefault="002840C3" w:rsidP="002840C3">
            <w:pPr>
              <w:rPr>
                <w:rFonts w:ascii="Calibri" w:hAnsi="Calibri" w:cs="Arial"/>
                <w:b/>
                <w:bCs/>
              </w:rPr>
            </w:pPr>
          </w:p>
          <w:p w14:paraId="2277DBB0" w14:textId="77777777" w:rsidR="002840C3" w:rsidRPr="002840C3" w:rsidRDefault="002840C3" w:rsidP="002840C3">
            <w:pPr>
              <w:rPr>
                <w:rFonts w:ascii="Calibri" w:hAnsi="Calibri" w:cs="Arial"/>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p w14:paraId="6B33B30C" w14:textId="77777777" w:rsidR="002840C3" w:rsidRPr="002840C3" w:rsidRDefault="002840C3" w:rsidP="002840C3">
            <w:pPr>
              <w:rPr>
                <w:rFonts w:ascii="Calibri" w:hAnsi="Calibri" w:cs="Arial"/>
              </w:rPr>
            </w:pPr>
          </w:p>
        </w:tc>
        <w:tc>
          <w:tcPr>
            <w:tcW w:w="2835" w:type="dxa"/>
          </w:tcPr>
          <w:p w14:paraId="3968B178"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lastRenderedPageBreak/>
              <w:t>Realizar la lectura de la sesión.</w:t>
            </w:r>
          </w:p>
          <w:p w14:paraId="006D27D5"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Práctica del texto para el examen de lectura en un encuentro sincrónico virtual.</w:t>
            </w:r>
          </w:p>
          <w:p w14:paraId="769DC4AE" w14:textId="77777777" w:rsidR="002840C3" w:rsidRPr="002840C3" w:rsidRDefault="002840C3" w:rsidP="002840C3">
            <w:pPr>
              <w:numPr>
                <w:ilvl w:val="0"/>
                <w:numId w:val="243"/>
              </w:numPr>
              <w:spacing w:after="200" w:line="276" w:lineRule="auto"/>
              <w:ind w:left="315"/>
              <w:contextualSpacing/>
              <w:rPr>
                <w:rFonts w:ascii="Calibri" w:eastAsia="Calibri" w:hAnsi="Calibri" w:cs="Arial"/>
                <w:lang w:val="es-CR"/>
              </w:rPr>
            </w:pPr>
            <w:r w:rsidRPr="002840C3">
              <w:rPr>
                <w:rFonts w:ascii="Calibri" w:eastAsia="Calibri" w:hAnsi="Calibri" w:cs="Arial"/>
                <w:lang w:val="es-CR"/>
              </w:rPr>
              <w:t xml:space="preserve">Realización de la práctica del texto de Irene </w:t>
            </w:r>
            <w:proofErr w:type="spellStart"/>
            <w:r w:rsidRPr="002840C3">
              <w:rPr>
                <w:rFonts w:ascii="Calibri" w:eastAsia="Calibri" w:hAnsi="Calibri" w:cs="Arial"/>
                <w:lang w:val="es-CR"/>
              </w:rPr>
              <w:t>Foulkes</w:t>
            </w:r>
            <w:proofErr w:type="spellEnd"/>
            <w:r w:rsidRPr="002840C3">
              <w:rPr>
                <w:rFonts w:ascii="Calibri" w:eastAsia="Calibri" w:hAnsi="Calibri" w:cs="Arial"/>
                <w:lang w:val="es-CR"/>
              </w:rPr>
              <w:t xml:space="preserve"> (formativo).</w:t>
            </w:r>
          </w:p>
        </w:tc>
      </w:tr>
      <w:tr w:rsidR="002840C3" w:rsidRPr="002840C3" w14:paraId="7BEA48B9" w14:textId="77777777" w:rsidTr="00104785">
        <w:trPr>
          <w:jc w:val="center"/>
        </w:trPr>
        <w:tc>
          <w:tcPr>
            <w:tcW w:w="1144" w:type="dxa"/>
          </w:tcPr>
          <w:p w14:paraId="1E2939FC" w14:textId="77777777" w:rsidR="002840C3" w:rsidRPr="002840C3" w:rsidRDefault="002840C3" w:rsidP="002840C3">
            <w:pPr>
              <w:jc w:val="center"/>
              <w:rPr>
                <w:rFonts w:ascii="Calibri" w:hAnsi="Calibri" w:cs="Arial"/>
              </w:rPr>
            </w:pPr>
          </w:p>
          <w:p w14:paraId="2EA232D8" w14:textId="77777777" w:rsidR="002840C3" w:rsidRPr="002840C3" w:rsidRDefault="002840C3" w:rsidP="002840C3">
            <w:pPr>
              <w:jc w:val="center"/>
              <w:rPr>
                <w:rFonts w:ascii="Calibri" w:hAnsi="Calibri" w:cs="Arial"/>
              </w:rPr>
            </w:pPr>
            <w:r w:rsidRPr="002840C3">
              <w:rPr>
                <w:rFonts w:ascii="Calibri" w:hAnsi="Calibri" w:cs="Arial"/>
              </w:rPr>
              <w:t>14</w:t>
            </w:r>
          </w:p>
        </w:tc>
        <w:tc>
          <w:tcPr>
            <w:tcW w:w="2395" w:type="dxa"/>
          </w:tcPr>
          <w:p w14:paraId="1F854816"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5: Lectura, análisis y traducción de textos del Nuevo Testamento</w:t>
            </w:r>
          </w:p>
          <w:p w14:paraId="572B2FA2" w14:textId="77777777" w:rsidR="002840C3" w:rsidRPr="002840C3" w:rsidRDefault="002840C3" w:rsidP="002840C3">
            <w:pPr>
              <w:rPr>
                <w:rFonts w:ascii="Calibri" w:hAnsi="Calibri" w:cs="Arial"/>
              </w:rPr>
            </w:pPr>
          </w:p>
          <w:p w14:paraId="2ECF4A2C" w14:textId="77777777" w:rsidR="002840C3" w:rsidRPr="002840C3" w:rsidRDefault="002840C3" w:rsidP="002840C3">
            <w:pPr>
              <w:rPr>
                <w:rFonts w:ascii="Calibri" w:hAnsi="Calibri" w:cs="Arial"/>
                <w:color w:val="000000"/>
              </w:rPr>
            </w:pPr>
            <w:r w:rsidRPr="002840C3">
              <w:rPr>
                <w:rFonts w:ascii="Calibri" w:hAnsi="Calibri" w:cs="Arial"/>
                <w:color w:val="000000"/>
              </w:rPr>
              <w:t>5.1 Repaso y examen de lectura</w:t>
            </w:r>
          </w:p>
          <w:p w14:paraId="615D382C" w14:textId="77777777" w:rsidR="002840C3" w:rsidRPr="002840C3" w:rsidRDefault="002840C3" w:rsidP="002840C3">
            <w:pPr>
              <w:rPr>
                <w:rFonts w:ascii="Calibri" w:hAnsi="Calibri" w:cs="Arial"/>
              </w:rPr>
            </w:pPr>
          </w:p>
        </w:tc>
        <w:tc>
          <w:tcPr>
            <w:tcW w:w="3119" w:type="dxa"/>
          </w:tcPr>
          <w:p w14:paraId="5040E70B"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64EC82E3" w14:textId="77777777" w:rsidR="002840C3" w:rsidRPr="002840C3" w:rsidRDefault="002840C3" w:rsidP="002840C3">
            <w:pPr>
              <w:rPr>
                <w:rFonts w:ascii="Calibri" w:hAnsi="Calibri" w:cs="Arial"/>
              </w:rPr>
            </w:pPr>
          </w:p>
          <w:p w14:paraId="60661BE6" w14:textId="77777777" w:rsidR="002840C3" w:rsidRPr="002840C3" w:rsidRDefault="002840C3" w:rsidP="002840C3">
            <w:pPr>
              <w:rPr>
                <w:rFonts w:ascii="Calibri" w:hAnsi="Calibri" w:cs="Arial"/>
                <w:b/>
                <w:bCs/>
                <w:color w:val="0070C0"/>
              </w:rPr>
            </w:pPr>
            <w:r w:rsidRPr="002840C3">
              <w:rPr>
                <w:rFonts w:ascii="Calibri" w:hAnsi="Calibri" w:cs="Arial"/>
                <w:b/>
                <w:bCs/>
                <w:color w:val="0070C0"/>
              </w:rPr>
              <w:t>MATERIAL COMPLEMENTARIO</w:t>
            </w:r>
          </w:p>
          <w:p w14:paraId="484933CD" w14:textId="77777777" w:rsidR="002840C3" w:rsidRPr="002840C3" w:rsidRDefault="002840C3" w:rsidP="002840C3">
            <w:pPr>
              <w:rPr>
                <w:rFonts w:ascii="Calibri" w:hAnsi="Calibri" w:cs="Arial"/>
                <w:b/>
                <w:bCs/>
              </w:rPr>
            </w:pPr>
          </w:p>
          <w:p w14:paraId="3B5512DE" w14:textId="77777777" w:rsidR="002840C3" w:rsidRPr="002840C3" w:rsidRDefault="002840C3" w:rsidP="002840C3">
            <w:pPr>
              <w:rPr>
                <w:rFonts w:ascii="Calibri" w:hAnsi="Calibri" w:cs="Arial"/>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tc>
        <w:tc>
          <w:tcPr>
            <w:tcW w:w="2835" w:type="dxa"/>
          </w:tcPr>
          <w:p w14:paraId="49C1AEDB" w14:textId="77777777" w:rsidR="002840C3" w:rsidRPr="002840C3" w:rsidRDefault="002840C3" w:rsidP="002840C3">
            <w:pPr>
              <w:numPr>
                <w:ilvl w:val="0"/>
                <w:numId w:val="225"/>
              </w:numPr>
              <w:spacing w:after="200" w:line="276" w:lineRule="auto"/>
              <w:ind w:left="314"/>
              <w:contextualSpacing/>
              <w:rPr>
                <w:rFonts w:ascii="Calibri" w:eastAsia="Calibri" w:hAnsi="Calibri" w:cs="Arial"/>
                <w:lang w:val="es-CR"/>
              </w:rPr>
            </w:pPr>
            <w:r w:rsidRPr="002840C3">
              <w:rPr>
                <w:rFonts w:ascii="Calibri" w:eastAsia="Calibri" w:hAnsi="Calibri" w:cs="Arial"/>
                <w:lang w:val="es-CR"/>
              </w:rPr>
              <w:t>Repaso para el segundo examen escrito en el aula virtual.</w:t>
            </w:r>
          </w:p>
          <w:p w14:paraId="265DEA17" w14:textId="77777777" w:rsidR="002840C3" w:rsidRPr="002840C3" w:rsidRDefault="002840C3" w:rsidP="002840C3">
            <w:pPr>
              <w:numPr>
                <w:ilvl w:val="0"/>
                <w:numId w:val="225"/>
              </w:numPr>
              <w:spacing w:after="200" w:line="276" w:lineRule="auto"/>
              <w:ind w:left="314"/>
              <w:contextualSpacing/>
              <w:rPr>
                <w:rFonts w:ascii="Calibri" w:eastAsia="Calibri" w:hAnsi="Calibri" w:cs="Arial"/>
                <w:lang w:val="es-CR"/>
              </w:rPr>
            </w:pPr>
            <w:r w:rsidRPr="002840C3">
              <w:rPr>
                <w:rFonts w:ascii="Calibri" w:eastAsia="Calibri" w:hAnsi="Calibri" w:cs="Arial"/>
                <w:lang w:val="es-CR"/>
              </w:rPr>
              <w:t>Realización del examen de lectura (oral) en un encuentro sincrónico virtual convenido entre docente y estudiante.</w:t>
            </w:r>
          </w:p>
        </w:tc>
      </w:tr>
      <w:tr w:rsidR="002840C3" w:rsidRPr="002840C3" w14:paraId="7A819003" w14:textId="77777777" w:rsidTr="00104785">
        <w:trPr>
          <w:jc w:val="center"/>
        </w:trPr>
        <w:tc>
          <w:tcPr>
            <w:tcW w:w="1144" w:type="dxa"/>
          </w:tcPr>
          <w:p w14:paraId="65F4CF46" w14:textId="77777777" w:rsidR="002840C3" w:rsidRPr="002840C3" w:rsidRDefault="002840C3" w:rsidP="002840C3">
            <w:pPr>
              <w:jc w:val="center"/>
              <w:rPr>
                <w:rFonts w:ascii="Calibri" w:hAnsi="Calibri" w:cs="Arial"/>
              </w:rPr>
            </w:pPr>
          </w:p>
          <w:p w14:paraId="7BC0AA2F" w14:textId="77777777" w:rsidR="002840C3" w:rsidRPr="002840C3" w:rsidRDefault="002840C3" w:rsidP="002840C3">
            <w:pPr>
              <w:jc w:val="center"/>
              <w:rPr>
                <w:rFonts w:ascii="Calibri" w:hAnsi="Calibri" w:cs="Arial"/>
              </w:rPr>
            </w:pPr>
            <w:r w:rsidRPr="002840C3">
              <w:rPr>
                <w:rFonts w:ascii="Calibri" w:hAnsi="Calibri" w:cs="Arial"/>
              </w:rPr>
              <w:t>15</w:t>
            </w:r>
          </w:p>
        </w:tc>
        <w:tc>
          <w:tcPr>
            <w:tcW w:w="2395" w:type="dxa"/>
          </w:tcPr>
          <w:p w14:paraId="294DD3A6" w14:textId="77777777" w:rsidR="002840C3" w:rsidRPr="002840C3" w:rsidRDefault="002840C3" w:rsidP="002840C3">
            <w:pPr>
              <w:rPr>
                <w:rFonts w:ascii="Calibri" w:hAnsi="Calibri" w:cs="Arial"/>
                <w:b/>
                <w:bCs/>
                <w:color w:val="000000"/>
              </w:rPr>
            </w:pPr>
            <w:r w:rsidRPr="002840C3">
              <w:rPr>
                <w:rFonts w:ascii="Calibri" w:hAnsi="Calibri" w:cs="Arial"/>
                <w:b/>
                <w:bCs/>
                <w:color w:val="000000"/>
              </w:rPr>
              <w:t>Unidad 5: Lectura, análisis y traducción de textos del Nuevo Testamento</w:t>
            </w:r>
          </w:p>
          <w:p w14:paraId="29BD4379" w14:textId="77777777" w:rsidR="002840C3" w:rsidRPr="002840C3" w:rsidRDefault="002840C3" w:rsidP="002840C3">
            <w:pPr>
              <w:rPr>
                <w:rFonts w:ascii="Calibri" w:hAnsi="Calibri" w:cs="Arial"/>
                <w:b/>
                <w:bCs/>
                <w:color w:val="000000"/>
              </w:rPr>
            </w:pPr>
          </w:p>
          <w:p w14:paraId="5CD24D53" w14:textId="77777777" w:rsidR="002840C3" w:rsidRPr="002840C3" w:rsidRDefault="002840C3" w:rsidP="002840C3">
            <w:pPr>
              <w:rPr>
                <w:rFonts w:ascii="Calibri" w:hAnsi="Calibri" w:cs="Arial"/>
                <w:color w:val="000000"/>
              </w:rPr>
            </w:pPr>
            <w:r w:rsidRPr="002840C3">
              <w:rPr>
                <w:rFonts w:ascii="Calibri" w:hAnsi="Calibri" w:cs="Arial"/>
                <w:color w:val="000000"/>
              </w:rPr>
              <w:t>5.2 Segundo examen escrito y examen de lectura</w:t>
            </w:r>
          </w:p>
          <w:p w14:paraId="0AED573A" w14:textId="77777777" w:rsidR="002840C3" w:rsidRPr="002840C3" w:rsidRDefault="002840C3" w:rsidP="002840C3">
            <w:pPr>
              <w:rPr>
                <w:rFonts w:ascii="Calibri" w:hAnsi="Calibri" w:cs="Arial"/>
              </w:rPr>
            </w:pPr>
          </w:p>
        </w:tc>
        <w:tc>
          <w:tcPr>
            <w:tcW w:w="3119" w:type="dxa"/>
          </w:tcPr>
          <w:p w14:paraId="4E37F907" w14:textId="77777777" w:rsidR="002840C3" w:rsidRPr="002840C3" w:rsidRDefault="002840C3" w:rsidP="002840C3">
            <w:pPr>
              <w:rPr>
                <w:rFonts w:ascii="Calibri" w:hAnsi="Calibri" w:cs="Arial"/>
                <w:color w:val="0070C0"/>
              </w:rPr>
            </w:pPr>
            <w:r w:rsidRPr="002840C3">
              <w:rPr>
                <w:rFonts w:ascii="Calibri" w:hAnsi="Calibri" w:cs="Arial"/>
                <w:color w:val="0070C0"/>
              </w:rPr>
              <w:t>Ruta de aprendizaje</w:t>
            </w:r>
          </w:p>
          <w:p w14:paraId="54595AC8" w14:textId="77777777" w:rsidR="002840C3" w:rsidRPr="002840C3" w:rsidRDefault="002840C3" w:rsidP="002840C3">
            <w:pPr>
              <w:rPr>
                <w:rFonts w:ascii="Calibri" w:hAnsi="Calibri" w:cs="Arial"/>
              </w:rPr>
            </w:pPr>
          </w:p>
          <w:p w14:paraId="02FC9150" w14:textId="77777777" w:rsidR="002840C3" w:rsidRPr="002840C3" w:rsidRDefault="002840C3" w:rsidP="002840C3">
            <w:pPr>
              <w:rPr>
                <w:rFonts w:ascii="Calibri" w:hAnsi="Calibri" w:cs="Arial"/>
                <w:b/>
                <w:bCs/>
                <w:color w:val="0070C0"/>
              </w:rPr>
            </w:pPr>
            <w:r w:rsidRPr="002840C3">
              <w:rPr>
                <w:rFonts w:ascii="Calibri" w:hAnsi="Calibri" w:cs="Arial"/>
                <w:b/>
                <w:bCs/>
                <w:color w:val="0070C0"/>
              </w:rPr>
              <w:t>MATERIAL COMPLEMENTARIO</w:t>
            </w:r>
          </w:p>
          <w:p w14:paraId="2E5F57B2" w14:textId="77777777" w:rsidR="002840C3" w:rsidRPr="002840C3" w:rsidRDefault="002840C3" w:rsidP="002840C3">
            <w:pPr>
              <w:rPr>
                <w:rFonts w:ascii="Calibri" w:hAnsi="Calibri" w:cs="Arial"/>
                <w:b/>
                <w:bCs/>
              </w:rPr>
            </w:pPr>
          </w:p>
          <w:p w14:paraId="1AB412E6" w14:textId="77777777" w:rsidR="002840C3" w:rsidRPr="002840C3" w:rsidRDefault="002840C3" w:rsidP="002840C3">
            <w:pPr>
              <w:rPr>
                <w:rFonts w:ascii="Calibri" w:hAnsi="Calibri" w:cs="Arial"/>
              </w:rPr>
            </w:pPr>
            <w:r w:rsidRPr="002840C3">
              <w:rPr>
                <w:rFonts w:ascii="Calibri" w:hAnsi="Calibri" w:cs="Arial"/>
                <w:color w:val="0070C0"/>
              </w:rPr>
              <w:t xml:space="preserve">Guía para la participación mediante la herramienta Big Blue </w:t>
            </w:r>
            <w:proofErr w:type="spellStart"/>
            <w:r w:rsidRPr="002840C3">
              <w:rPr>
                <w:rFonts w:ascii="Calibri" w:hAnsi="Calibri" w:cs="Arial"/>
                <w:color w:val="0070C0"/>
              </w:rPr>
              <w:t>Button</w:t>
            </w:r>
            <w:proofErr w:type="spellEnd"/>
            <w:r w:rsidRPr="002840C3">
              <w:rPr>
                <w:rFonts w:ascii="Calibri" w:hAnsi="Calibri" w:cs="Arial"/>
                <w:color w:val="0070C0"/>
              </w:rPr>
              <w:t xml:space="preserve"> en la plataforma Moodle</w:t>
            </w:r>
          </w:p>
        </w:tc>
        <w:tc>
          <w:tcPr>
            <w:tcW w:w="2835" w:type="dxa"/>
          </w:tcPr>
          <w:p w14:paraId="0945B3C3" w14:textId="77777777" w:rsidR="002840C3" w:rsidRPr="002840C3" w:rsidRDefault="002840C3" w:rsidP="002840C3">
            <w:pPr>
              <w:numPr>
                <w:ilvl w:val="0"/>
                <w:numId w:val="226"/>
              </w:numPr>
              <w:spacing w:after="200" w:line="276" w:lineRule="auto"/>
              <w:ind w:left="314"/>
              <w:contextualSpacing/>
              <w:rPr>
                <w:rFonts w:ascii="Calibri" w:eastAsia="Calibri" w:hAnsi="Calibri" w:cs="Arial"/>
                <w:lang w:val="es-CR"/>
              </w:rPr>
            </w:pPr>
            <w:r w:rsidRPr="002840C3">
              <w:rPr>
                <w:rFonts w:ascii="Calibri" w:eastAsia="Calibri" w:hAnsi="Calibri" w:cs="Arial"/>
                <w:lang w:val="es-CR"/>
              </w:rPr>
              <w:t>Resolución del segundo examen escrito.</w:t>
            </w:r>
          </w:p>
          <w:p w14:paraId="520DE7C7" w14:textId="77777777" w:rsidR="002840C3" w:rsidRPr="002840C3" w:rsidRDefault="002840C3" w:rsidP="002840C3">
            <w:pPr>
              <w:numPr>
                <w:ilvl w:val="0"/>
                <w:numId w:val="226"/>
              </w:numPr>
              <w:spacing w:after="200" w:line="276" w:lineRule="auto"/>
              <w:ind w:left="314"/>
              <w:contextualSpacing/>
              <w:rPr>
                <w:rFonts w:ascii="Calibri" w:eastAsia="Calibri" w:hAnsi="Calibri" w:cs="Arial"/>
                <w:lang w:val="es-CR"/>
              </w:rPr>
            </w:pPr>
            <w:r w:rsidRPr="002840C3">
              <w:rPr>
                <w:rFonts w:ascii="Calibri" w:eastAsia="Calibri" w:hAnsi="Calibri" w:cs="Arial"/>
                <w:lang w:val="es-CR"/>
              </w:rPr>
              <w:t>Realización del examen de lectura (oral) en un encuentro sincrónico virtual convenido entre docente y estudiante.</w:t>
            </w:r>
          </w:p>
        </w:tc>
      </w:tr>
    </w:tbl>
    <w:p w14:paraId="577EB14F"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32650508"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687EDBDF"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65C5DD4A"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72C75392"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63DDF342"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54CA287B"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6A7FDA09"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45DC85ED"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380ABC33"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0EE2C7F9"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2D1E4DF6"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3E6613EF"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2840C3">
        <w:rPr>
          <w:rFonts w:ascii="Calibri" w:eastAsia="Times New Roman" w:hAnsi="Calibri" w:cs="Arial"/>
          <w:b/>
          <w:bCs/>
          <w:color w:val="000000"/>
          <w:kern w:val="0"/>
          <w:lang w:val="es-ES_tradnl" w:eastAsia="es-CR"/>
          <w14:ligatures w14:val="none"/>
        </w:rPr>
        <w:lastRenderedPageBreak/>
        <w:t>IX. Distribución de tiempo semanal</w:t>
      </w:r>
    </w:p>
    <w:p w14:paraId="6D178898"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prácticas, ejercicios de traducción, pruebas cortas y exámenes. Debe considerarse que, al tener este curso asignados 4 créditos, se debe invertir 12 horas de trabajo por semana. La distribución de tiempos es la siguiente:</w:t>
      </w:r>
    </w:p>
    <w:p w14:paraId="3AE02814"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tbl>
      <w:tblPr>
        <w:tblStyle w:val="Tablaconcuadrcula3"/>
        <w:tblW w:w="9090" w:type="dxa"/>
        <w:jc w:val="center"/>
        <w:tblLook w:val="04A0" w:firstRow="1" w:lastRow="0" w:firstColumn="1" w:lastColumn="0" w:noHBand="0" w:noVBand="1"/>
      </w:tblPr>
      <w:tblGrid>
        <w:gridCol w:w="2196"/>
        <w:gridCol w:w="1466"/>
        <w:gridCol w:w="5428"/>
      </w:tblGrid>
      <w:tr w:rsidR="002840C3" w:rsidRPr="002840C3" w14:paraId="789E66AC" w14:textId="77777777" w:rsidTr="00104785">
        <w:trPr>
          <w:trHeight w:val="567"/>
          <w:jc w:val="center"/>
        </w:trPr>
        <w:tc>
          <w:tcPr>
            <w:tcW w:w="2196" w:type="dxa"/>
            <w:vAlign w:val="center"/>
          </w:tcPr>
          <w:p w14:paraId="446E60A8" w14:textId="77777777" w:rsidR="002840C3" w:rsidRPr="002840C3" w:rsidRDefault="002840C3" w:rsidP="002840C3">
            <w:pPr>
              <w:jc w:val="center"/>
              <w:rPr>
                <w:rFonts w:ascii="Calibri" w:hAnsi="Calibri" w:cs="Arial"/>
                <w:b/>
                <w:bCs/>
                <w:color w:val="000000"/>
              </w:rPr>
            </w:pPr>
            <w:r w:rsidRPr="002840C3">
              <w:rPr>
                <w:rFonts w:ascii="Calibri" w:hAnsi="Calibri" w:cs="Arial"/>
                <w:b/>
                <w:bCs/>
                <w:color w:val="000000"/>
              </w:rPr>
              <w:t>Tipo de horas</w:t>
            </w:r>
          </w:p>
          <w:p w14:paraId="597EDB41" w14:textId="77777777" w:rsidR="002840C3" w:rsidRPr="002840C3" w:rsidRDefault="002840C3" w:rsidP="002840C3">
            <w:pPr>
              <w:jc w:val="center"/>
              <w:rPr>
                <w:rFonts w:ascii="Calibri" w:hAnsi="Calibri" w:cs="Arial"/>
                <w:b/>
                <w:bCs/>
                <w:color w:val="000000"/>
              </w:rPr>
            </w:pPr>
            <w:r w:rsidRPr="002840C3">
              <w:rPr>
                <w:rFonts w:ascii="Calibri" w:hAnsi="Calibri" w:cs="Arial"/>
                <w:b/>
                <w:bCs/>
                <w:color w:val="000000"/>
              </w:rPr>
              <w:t>(categoría)</w:t>
            </w:r>
          </w:p>
        </w:tc>
        <w:tc>
          <w:tcPr>
            <w:tcW w:w="1466" w:type="dxa"/>
            <w:vAlign w:val="center"/>
          </w:tcPr>
          <w:p w14:paraId="72AE3EBA" w14:textId="77777777" w:rsidR="002840C3" w:rsidRPr="002840C3" w:rsidRDefault="002840C3" w:rsidP="002840C3">
            <w:pPr>
              <w:jc w:val="center"/>
              <w:rPr>
                <w:rFonts w:ascii="Calibri" w:hAnsi="Calibri" w:cs="Arial"/>
                <w:b/>
                <w:bCs/>
                <w:color w:val="000000"/>
              </w:rPr>
            </w:pPr>
            <w:r w:rsidRPr="002840C3">
              <w:rPr>
                <w:rFonts w:ascii="Calibri" w:hAnsi="Calibri" w:cs="Arial"/>
                <w:b/>
                <w:bCs/>
                <w:color w:val="000000"/>
              </w:rPr>
              <w:t>Horas por semana</w:t>
            </w:r>
          </w:p>
        </w:tc>
        <w:tc>
          <w:tcPr>
            <w:tcW w:w="5428" w:type="dxa"/>
            <w:vAlign w:val="center"/>
          </w:tcPr>
          <w:p w14:paraId="21A957EA" w14:textId="77777777" w:rsidR="002840C3" w:rsidRPr="002840C3" w:rsidRDefault="002840C3" w:rsidP="002840C3">
            <w:pPr>
              <w:jc w:val="center"/>
              <w:rPr>
                <w:rFonts w:ascii="Calibri" w:hAnsi="Calibri" w:cs="Arial"/>
                <w:b/>
                <w:bCs/>
                <w:color w:val="000000"/>
              </w:rPr>
            </w:pPr>
            <w:r w:rsidRPr="002840C3">
              <w:rPr>
                <w:rFonts w:ascii="Calibri" w:hAnsi="Calibri" w:cs="Arial"/>
                <w:b/>
                <w:bCs/>
                <w:color w:val="000000"/>
              </w:rPr>
              <w:t>Actividades relacionadas</w:t>
            </w:r>
          </w:p>
        </w:tc>
      </w:tr>
      <w:tr w:rsidR="002840C3" w:rsidRPr="002840C3" w14:paraId="539C6BFC" w14:textId="77777777" w:rsidTr="00104785">
        <w:trPr>
          <w:trHeight w:val="849"/>
          <w:jc w:val="center"/>
        </w:trPr>
        <w:tc>
          <w:tcPr>
            <w:tcW w:w="2196" w:type="dxa"/>
            <w:vAlign w:val="center"/>
          </w:tcPr>
          <w:p w14:paraId="6FD5DD4D" w14:textId="77777777" w:rsidR="002840C3" w:rsidRPr="002840C3" w:rsidRDefault="002840C3" w:rsidP="002840C3">
            <w:pPr>
              <w:jc w:val="center"/>
              <w:rPr>
                <w:rFonts w:ascii="Calibri" w:hAnsi="Calibri" w:cs="Arial"/>
                <w:color w:val="000000"/>
              </w:rPr>
            </w:pPr>
            <w:r w:rsidRPr="002840C3">
              <w:rPr>
                <w:rFonts w:ascii="Calibri" w:hAnsi="Calibri" w:cs="Arial"/>
                <w:color w:val="000000"/>
              </w:rPr>
              <w:t>Horas de Estudio Individual (HEI)</w:t>
            </w:r>
          </w:p>
        </w:tc>
        <w:tc>
          <w:tcPr>
            <w:tcW w:w="1466" w:type="dxa"/>
            <w:vAlign w:val="center"/>
          </w:tcPr>
          <w:p w14:paraId="7A97C6E2" w14:textId="77777777" w:rsidR="002840C3" w:rsidRPr="002840C3" w:rsidRDefault="002840C3" w:rsidP="002840C3">
            <w:pPr>
              <w:jc w:val="center"/>
              <w:rPr>
                <w:rFonts w:ascii="Calibri" w:hAnsi="Calibri" w:cs="Arial"/>
                <w:color w:val="000000"/>
              </w:rPr>
            </w:pPr>
            <w:r w:rsidRPr="002840C3">
              <w:rPr>
                <w:rFonts w:ascii="Calibri" w:hAnsi="Calibri" w:cs="Arial"/>
                <w:color w:val="000000"/>
              </w:rPr>
              <w:t>4</w:t>
            </w:r>
          </w:p>
        </w:tc>
        <w:tc>
          <w:tcPr>
            <w:tcW w:w="5428" w:type="dxa"/>
          </w:tcPr>
          <w:p w14:paraId="2BB5CC4E" w14:textId="77777777" w:rsidR="002840C3" w:rsidRPr="002840C3" w:rsidRDefault="002840C3" w:rsidP="002840C3">
            <w:pPr>
              <w:numPr>
                <w:ilvl w:val="0"/>
                <w:numId w:val="34"/>
              </w:numPr>
              <w:contextualSpacing/>
              <w:rPr>
                <w:rFonts w:ascii="Calibri" w:eastAsia="Calibri" w:hAnsi="Calibri" w:cs="Arial"/>
                <w:color w:val="000000"/>
                <w:lang w:val="es-CR"/>
              </w:rPr>
            </w:pPr>
            <w:r w:rsidRPr="002840C3">
              <w:rPr>
                <w:rFonts w:ascii="Calibri" w:eastAsia="Calibri" w:hAnsi="Calibri" w:cs="Arial"/>
                <w:color w:val="000000"/>
                <w:lang w:val="es-CR"/>
              </w:rPr>
              <w:t>Lectura de los textos (materiales en formato digital).</w:t>
            </w:r>
          </w:p>
          <w:p w14:paraId="786B9E14" w14:textId="77777777" w:rsidR="002840C3" w:rsidRPr="002840C3" w:rsidRDefault="002840C3" w:rsidP="002840C3">
            <w:pPr>
              <w:numPr>
                <w:ilvl w:val="0"/>
                <w:numId w:val="34"/>
              </w:numPr>
              <w:contextualSpacing/>
              <w:rPr>
                <w:rFonts w:ascii="Calibri" w:eastAsia="Calibri" w:hAnsi="Calibri" w:cs="Arial"/>
                <w:color w:val="000000"/>
                <w:lang w:val="es-CR"/>
              </w:rPr>
            </w:pPr>
            <w:r w:rsidRPr="002840C3">
              <w:rPr>
                <w:rFonts w:ascii="Calibri" w:eastAsia="Calibri" w:hAnsi="Calibri" w:cs="Arial"/>
                <w:color w:val="000000"/>
                <w:lang w:val="es-CR"/>
              </w:rPr>
              <w:t>Estudio de la materia y memorización del vocabulario y reglas gramaticales.</w:t>
            </w:r>
          </w:p>
        </w:tc>
      </w:tr>
      <w:tr w:rsidR="002840C3" w:rsidRPr="002840C3" w14:paraId="42183F40" w14:textId="77777777" w:rsidTr="00104785">
        <w:trPr>
          <w:trHeight w:val="582"/>
          <w:jc w:val="center"/>
        </w:trPr>
        <w:tc>
          <w:tcPr>
            <w:tcW w:w="2196" w:type="dxa"/>
            <w:vAlign w:val="center"/>
          </w:tcPr>
          <w:p w14:paraId="32E7932A" w14:textId="77777777" w:rsidR="002840C3" w:rsidRPr="002840C3" w:rsidRDefault="002840C3" w:rsidP="002840C3">
            <w:pPr>
              <w:jc w:val="center"/>
              <w:rPr>
                <w:rFonts w:ascii="Calibri" w:hAnsi="Calibri" w:cs="Arial"/>
                <w:color w:val="000000"/>
              </w:rPr>
            </w:pPr>
            <w:r w:rsidRPr="002840C3">
              <w:rPr>
                <w:rFonts w:ascii="Calibri" w:hAnsi="Calibri" w:cs="Arial"/>
                <w:color w:val="000000"/>
              </w:rPr>
              <w:t>Horas de Trabajo Colaborativo (HTC)</w:t>
            </w:r>
          </w:p>
        </w:tc>
        <w:tc>
          <w:tcPr>
            <w:tcW w:w="1466" w:type="dxa"/>
            <w:vAlign w:val="center"/>
          </w:tcPr>
          <w:p w14:paraId="79058C52" w14:textId="77777777" w:rsidR="002840C3" w:rsidRPr="002840C3" w:rsidRDefault="002840C3" w:rsidP="002840C3">
            <w:pPr>
              <w:jc w:val="center"/>
              <w:rPr>
                <w:rFonts w:ascii="Calibri" w:hAnsi="Calibri" w:cs="Arial"/>
                <w:color w:val="000000"/>
              </w:rPr>
            </w:pPr>
            <w:r w:rsidRPr="002840C3">
              <w:rPr>
                <w:rFonts w:ascii="Calibri" w:hAnsi="Calibri" w:cs="Arial"/>
                <w:color w:val="000000"/>
              </w:rPr>
              <w:t>2</w:t>
            </w:r>
          </w:p>
        </w:tc>
        <w:tc>
          <w:tcPr>
            <w:tcW w:w="5428" w:type="dxa"/>
          </w:tcPr>
          <w:p w14:paraId="64E50C5D" w14:textId="77777777" w:rsidR="002840C3" w:rsidRPr="002840C3" w:rsidRDefault="002840C3" w:rsidP="002840C3">
            <w:pPr>
              <w:numPr>
                <w:ilvl w:val="0"/>
                <w:numId w:val="35"/>
              </w:numPr>
              <w:contextualSpacing/>
              <w:rPr>
                <w:rFonts w:ascii="Calibri" w:eastAsia="Calibri" w:hAnsi="Calibri" w:cs="Arial"/>
                <w:color w:val="000000"/>
                <w:lang w:val="es-CR"/>
              </w:rPr>
            </w:pPr>
            <w:r w:rsidRPr="002840C3">
              <w:rPr>
                <w:rFonts w:ascii="Calibri" w:eastAsia="Calibri" w:hAnsi="Calibri" w:cs="Arial"/>
                <w:color w:val="000000"/>
                <w:lang w:val="es-CR"/>
              </w:rPr>
              <w:t>Participación en los encuentros sincrónicos virtuales.</w:t>
            </w:r>
          </w:p>
        </w:tc>
      </w:tr>
      <w:tr w:rsidR="002840C3" w:rsidRPr="002840C3" w14:paraId="5FB46CE8" w14:textId="77777777" w:rsidTr="00104785">
        <w:trPr>
          <w:trHeight w:val="866"/>
          <w:jc w:val="center"/>
        </w:trPr>
        <w:tc>
          <w:tcPr>
            <w:tcW w:w="2196" w:type="dxa"/>
            <w:vAlign w:val="center"/>
          </w:tcPr>
          <w:p w14:paraId="373F5091" w14:textId="77777777" w:rsidR="002840C3" w:rsidRPr="002840C3" w:rsidRDefault="002840C3" w:rsidP="002840C3">
            <w:pPr>
              <w:jc w:val="center"/>
              <w:rPr>
                <w:rFonts w:ascii="Calibri" w:hAnsi="Calibri" w:cs="Arial"/>
                <w:color w:val="000000"/>
              </w:rPr>
            </w:pPr>
            <w:r w:rsidRPr="002840C3">
              <w:rPr>
                <w:rFonts w:ascii="Calibri" w:hAnsi="Calibri" w:cs="Arial"/>
                <w:color w:val="000000"/>
              </w:rPr>
              <w:t>Horas de Producción Individual (HPI)</w:t>
            </w:r>
          </w:p>
        </w:tc>
        <w:tc>
          <w:tcPr>
            <w:tcW w:w="1466" w:type="dxa"/>
            <w:vAlign w:val="center"/>
          </w:tcPr>
          <w:p w14:paraId="1302AE1C" w14:textId="77777777" w:rsidR="002840C3" w:rsidRPr="002840C3" w:rsidRDefault="002840C3" w:rsidP="002840C3">
            <w:pPr>
              <w:jc w:val="center"/>
              <w:rPr>
                <w:rFonts w:ascii="Calibri" w:hAnsi="Calibri" w:cs="Arial"/>
                <w:color w:val="000000"/>
              </w:rPr>
            </w:pPr>
            <w:r w:rsidRPr="002840C3">
              <w:rPr>
                <w:rFonts w:ascii="Calibri" w:hAnsi="Calibri" w:cs="Arial"/>
                <w:color w:val="000000"/>
              </w:rPr>
              <w:t>3</w:t>
            </w:r>
          </w:p>
        </w:tc>
        <w:tc>
          <w:tcPr>
            <w:tcW w:w="5428" w:type="dxa"/>
          </w:tcPr>
          <w:p w14:paraId="68DE1D12" w14:textId="77777777" w:rsidR="002840C3" w:rsidRPr="002840C3" w:rsidRDefault="002840C3" w:rsidP="002840C3">
            <w:pPr>
              <w:numPr>
                <w:ilvl w:val="0"/>
                <w:numId w:val="36"/>
              </w:numPr>
              <w:contextualSpacing/>
              <w:rPr>
                <w:rFonts w:ascii="Calibri" w:eastAsia="Calibri" w:hAnsi="Calibri" w:cs="Arial"/>
                <w:color w:val="000000"/>
                <w:lang w:val="es-CR"/>
              </w:rPr>
            </w:pPr>
            <w:r w:rsidRPr="002840C3">
              <w:rPr>
                <w:rFonts w:ascii="Calibri" w:eastAsia="Calibri" w:hAnsi="Calibri" w:cs="Arial"/>
                <w:color w:val="000000"/>
                <w:lang w:val="es-CR"/>
              </w:rPr>
              <w:t>Realización de prácticas.</w:t>
            </w:r>
          </w:p>
          <w:p w14:paraId="2C0E1E85" w14:textId="77777777" w:rsidR="002840C3" w:rsidRPr="002840C3" w:rsidRDefault="002840C3" w:rsidP="002840C3">
            <w:pPr>
              <w:numPr>
                <w:ilvl w:val="0"/>
                <w:numId w:val="36"/>
              </w:numPr>
              <w:contextualSpacing/>
              <w:rPr>
                <w:rFonts w:ascii="Calibri" w:eastAsia="Calibri" w:hAnsi="Calibri" w:cs="Arial"/>
                <w:color w:val="000000"/>
                <w:lang w:val="es-CR"/>
              </w:rPr>
            </w:pPr>
            <w:r w:rsidRPr="002840C3">
              <w:rPr>
                <w:rFonts w:ascii="Calibri" w:eastAsia="Calibri" w:hAnsi="Calibri" w:cs="Arial"/>
                <w:color w:val="000000"/>
                <w:lang w:val="es-CR"/>
              </w:rPr>
              <w:t>Resolución de pruebas cortas.</w:t>
            </w:r>
          </w:p>
          <w:p w14:paraId="34B5AC22" w14:textId="77777777" w:rsidR="002840C3" w:rsidRPr="002840C3" w:rsidRDefault="002840C3" w:rsidP="002840C3">
            <w:pPr>
              <w:numPr>
                <w:ilvl w:val="0"/>
                <w:numId w:val="36"/>
              </w:numPr>
              <w:contextualSpacing/>
              <w:rPr>
                <w:rFonts w:ascii="Calibri" w:eastAsia="Calibri" w:hAnsi="Calibri" w:cs="Arial"/>
                <w:color w:val="000000"/>
                <w:lang w:val="es-CR"/>
              </w:rPr>
            </w:pPr>
            <w:r w:rsidRPr="002840C3">
              <w:rPr>
                <w:rFonts w:ascii="Calibri" w:eastAsia="Calibri" w:hAnsi="Calibri" w:cs="Arial"/>
                <w:color w:val="000000"/>
                <w:lang w:val="es-CR"/>
              </w:rPr>
              <w:t>Realización de ejercicios de traducción.</w:t>
            </w:r>
          </w:p>
          <w:p w14:paraId="389969B2" w14:textId="77777777" w:rsidR="002840C3" w:rsidRPr="002840C3" w:rsidRDefault="002840C3" w:rsidP="002840C3">
            <w:pPr>
              <w:numPr>
                <w:ilvl w:val="0"/>
                <w:numId w:val="36"/>
              </w:numPr>
              <w:contextualSpacing/>
              <w:rPr>
                <w:rFonts w:ascii="Calibri" w:eastAsia="Calibri" w:hAnsi="Calibri" w:cs="Arial"/>
                <w:color w:val="000000"/>
                <w:lang w:val="es-CR"/>
              </w:rPr>
            </w:pPr>
            <w:r w:rsidRPr="002840C3">
              <w:rPr>
                <w:rFonts w:ascii="Calibri" w:eastAsia="Calibri" w:hAnsi="Calibri" w:cs="Arial"/>
                <w:color w:val="000000"/>
                <w:lang w:val="es-CR"/>
              </w:rPr>
              <w:t>Resolución de exámenes escritos.</w:t>
            </w:r>
          </w:p>
          <w:p w14:paraId="7078A73B" w14:textId="77777777" w:rsidR="002840C3" w:rsidRPr="002840C3" w:rsidRDefault="002840C3" w:rsidP="002840C3">
            <w:pPr>
              <w:numPr>
                <w:ilvl w:val="0"/>
                <w:numId w:val="36"/>
              </w:numPr>
              <w:contextualSpacing/>
              <w:rPr>
                <w:rFonts w:ascii="Calibri" w:eastAsia="Calibri" w:hAnsi="Calibri" w:cs="Arial"/>
                <w:color w:val="000000"/>
                <w:lang w:val="es-CR"/>
              </w:rPr>
            </w:pPr>
            <w:r w:rsidRPr="002840C3">
              <w:rPr>
                <w:rFonts w:ascii="Calibri" w:eastAsia="Calibri" w:hAnsi="Calibri" w:cs="Arial"/>
                <w:color w:val="000000"/>
                <w:lang w:val="es-CR"/>
              </w:rPr>
              <w:t>Realización de un examen de lectura.</w:t>
            </w:r>
          </w:p>
        </w:tc>
      </w:tr>
      <w:tr w:rsidR="002840C3" w:rsidRPr="002840C3" w14:paraId="523AE20A" w14:textId="77777777" w:rsidTr="00104785">
        <w:trPr>
          <w:trHeight w:val="582"/>
          <w:jc w:val="center"/>
        </w:trPr>
        <w:tc>
          <w:tcPr>
            <w:tcW w:w="2196" w:type="dxa"/>
            <w:vAlign w:val="center"/>
          </w:tcPr>
          <w:p w14:paraId="27C2DE78" w14:textId="77777777" w:rsidR="002840C3" w:rsidRPr="002840C3" w:rsidRDefault="002840C3" w:rsidP="002840C3">
            <w:pPr>
              <w:jc w:val="center"/>
              <w:rPr>
                <w:rFonts w:ascii="Calibri" w:hAnsi="Calibri" w:cs="Arial"/>
                <w:color w:val="000000"/>
              </w:rPr>
            </w:pPr>
            <w:r w:rsidRPr="002840C3">
              <w:rPr>
                <w:rFonts w:ascii="Calibri" w:hAnsi="Calibri" w:cs="Arial"/>
                <w:color w:val="000000"/>
              </w:rPr>
              <w:t>Horas de Práctica (HP)</w:t>
            </w:r>
          </w:p>
        </w:tc>
        <w:tc>
          <w:tcPr>
            <w:tcW w:w="1466" w:type="dxa"/>
            <w:vAlign w:val="center"/>
          </w:tcPr>
          <w:p w14:paraId="79DD616E" w14:textId="77777777" w:rsidR="002840C3" w:rsidRPr="002840C3" w:rsidRDefault="002840C3" w:rsidP="002840C3">
            <w:pPr>
              <w:jc w:val="center"/>
              <w:rPr>
                <w:rFonts w:ascii="Calibri" w:hAnsi="Calibri" w:cs="Arial"/>
                <w:color w:val="000000"/>
              </w:rPr>
            </w:pPr>
            <w:r w:rsidRPr="002840C3">
              <w:rPr>
                <w:rFonts w:ascii="Calibri" w:hAnsi="Calibri" w:cs="Arial"/>
                <w:color w:val="000000"/>
              </w:rPr>
              <w:t>3</w:t>
            </w:r>
          </w:p>
        </w:tc>
        <w:tc>
          <w:tcPr>
            <w:tcW w:w="5428" w:type="dxa"/>
          </w:tcPr>
          <w:p w14:paraId="3CEFAFDF" w14:textId="77777777" w:rsidR="002840C3" w:rsidRPr="002840C3" w:rsidRDefault="002840C3" w:rsidP="002840C3">
            <w:pPr>
              <w:numPr>
                <w:ilvl w:val="0"/>
                <w:numId w:val="36"/>
              </w:numPr>
              <w:contextualSpacing/>
              <w:rPr>
                <w:rFonts w:ascii="Calibri" w:eastAsia="Calibri" w:hAnsi="Calibri" w:cs="Arial"/>
                <w:color w:val="000000"/>
                <w:lang w:val="es-CR"/>
              </w:rPr>
            </w:pPr>
            <w:r w:rsidRPr="002840C3">
              <w:rPr>
                <w:rFonts w:ascii="Calibri" w:eastAsia="Calibri" w:hAnsi="Calibri" w:cs="Arial"/>
                <w:color w:val="000000"/>
                <w:lang w:val="es-CR"/>
              </w:rPr>
              <w:t>Por su naturaleza, en este curso la práctica consiste en ejercicios de lectura y traducción del griego.</w:t>
            </w:r>
          </w:p>
        </w:tc>
      </w:tr>
      <w:tr w:rsidR="002840C3" w:rsidRPr="002840C3" w14:paraId="4CE9A7DB" w14:textId="77777777" w:rsidTr="00104785">
        <w:trPr>
          <w:trHeight w:val="283"/>
          <w:jc w:val="center"/>
        </w:trPr>
        <w:tc>
          <w:tcPr>
            <w:tcW w:w="2196" w:type="dxa"/>
            <w:vAlign w:val="center"/>
          </w:tcPr>
          <w:p w14:paraId="37FE8648" w14:textId="77777777" w:rsidR="002840C3" w:rsidRPr="002840C3" w:rsidRDefault="002840C3" w:rsidP="002840C3">
            <w:pPr>
              <w:jc w:val="center"/>
              <w:rPr>
                <w:rFonts w:ascii="Calibri" w:hAnsi="Calibri" w:cs="Arial"/>
                <w:b/>
                <w:bCs/>
                <w:color w:val="000000"/>
              </w:rPr>
            </w:pPr>
            <w:r w:rsidRPr="002840C3">
              <w:rPr>
                <w:rFonts w:ascii="Calibri" w:hAnsi="Calibri" w:cs="Arial"/>
                <w:b/>
                <w:bCs/>
                <w:color w:val="000000"/>
              </w:rPr>
              <w:t>Total de horas (TH)</w:t>
            </w:r>
          </w:p>
        </w:tc>
        <w:tc>
          <w:tcPr>
            <w:tcW w:w="1466" w:type="dxa"/>
            <w:vAlign w:val="center"/>
          </w:tcPr>
          <w:p w14:paraId="3A723A2B" w14:textId="77777777" w:rsidR="002840C3" w:rsidRPr="002840C3" w:rsidRDefault="002840C3" w:rsidP="002840C3">
            <w:pPr>
              <w:jc w:val="center"/>
              <w:rPr>
                <w:rFonts w:ascii="Calibri" w:hAnsi="Calibri" w:cs="Arial"/>
                <w:b/>
                <w:bCs/>
                <w:color w:val="000000"/>
              </w:rPr>
            </w:pPr>
            <w:r w:rsidRPr="002840C3">
              <w:rPr>
                <w:rFonts w:ascii="Calibri" w:hAnsi="Calibri" w:cs="Arial"/>
                <w:b/>
                <w:bCs/>
                <w:color w:val="000000"/>
              </w:rPr>
              <w:t>12</w:t>
            </w:r>
          </w:p>
        </w:tc>
        <w:tc>
          <w:tcPr>
            <w:tcW w:w="5428" w:type="dxa"/>
            <w:vAlign w:val="center"/>
          </w:tcPr>
          <w:p w14:paraId="4B2E5E6F" w14:textId="77777777" w:rsidR="002840C3" w:rsidRPr="002840C3" w:rsidRDefault="002840C3" w:rsidP="002840C3">
            <w:pPr>
              <w:jc w:val="center"/>
              <w:rPr>
                <w:rFonts w:ascii="Calibri" w:hAnsi="Calibri" w:cs="Arial"/>
                <w:b/>
                <w:bCs/>
                <w:color w:val="000000"/>
              </w:rPr>
            </w:pPr>
          </w:p>
        </w:tc>
      </w:tr>
    </w:tbl>
    <w:p w14:paraId="3AD96D1A"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423B518A" w14:textId="77777777" w:rsidR="002840C3" w:rsidRPr="002840C3" w:rsidRDefault="002840C3" w:rsidP="002840C3">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2840C3">
        <w:rPr>
          <w:rFonts w:ascii="Calibri" w:eastAsia="Times New Roman" w:hAnsi="Calibri" w:cs="Arial"/>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78B405D4" w14:textId="77777777" w:rsidR="002840C3" w:rsidRPr="002840C3" w:rsidRDefault="002840C3" w:rsidP="002840C3">
      <w:pPr>
        <w:rPr>
          <w:rFonts w:ascii="Calibri" w:eastAsia="Times New Roman" w:hAnsi="Calibri" w:cs="Arial"/>
          <w:b/>
          <w:bCs/>
          <w:color w:val="000000"/>
          <w:kern w:val="0"/>
          <w:lang w:val="es-ES_tradnl" w:eastAsia="es-CR"/>
          <w14:ligatures w14:val="none"/>
        </w:rPr>
      </w:pPr>
    </w:p>
    <w:p w14:paraId="2D508908" w14:textId="77777777" w:rsidR="002840C3" w:rsidRDefault="002840C3" w:rsidP="002840C3">
      <w:pPr>
        <w:rPr>
          <w:rFonts w:ascii="Calibri" w:eastAsia="Times New Roman" w:hAnsi="Calibri" w:cs="Arial"/>
          <w:b/>
          <w:bCs/>
          <w:color w:val="000000"/>
          <w:kern w:val="0"/>
          <w:lang w:val="es-ES_tradnl" w:eastAsia="es-CR"/>
          <w14:ligatures w14:val="none"/>
        </w:rPr>
      </w:pPr>
    </w:p>
    <w:p w14:paraId="0D24020D" w14:textId="77777777" w:rsidR="0029597A" w:rsidRDefault="0029597A" w:rsidP="002840C3">
      <w:pPr>
        <w:rPr>
          <w:rFonts w:ascii="Calibri" w:eastAsia="Times New Roman" w:hAnsi="Calibri" w:cs="Arial"/>
          <w:b/>
          <w:bCs/>
          <w:color w:val="000000"/>
          <w:kern w:val="0"/>
          <w:lang w:val="es-ES_tradnl" w:eastAsia="es-CR"/>
          <w14:ligatures w14:val="none"/>
        </w:rPr>
      </w:pPr>
    </w:p>
    <w:p w14:paraId="03037C99" w14:textId="77777777" w:rsidR="0029597A" w:rsidRDefault="0029597A" w:rsidP="002840C3">
      <w:pPr>
        <w:rPr>
          <w:rFonts w:ascii="Calibri" w:eastAsia="Times New Roman" w:hAnsi="Calibri" w:cs="Arial"/>
          <w:b/>
          <w:bCs/>
          <w:color w:val="000000"/>
          <w:kern w:val="0"/>
          <w:lang w:val="es-ES_tradnl" w:eastAsia="es-CR"/>
          <w14:ligatures w14:val="none"/>
        </w:rPr>
      </w:pPr>
    </w:p>
    <w:p w14:paraId="3390FCBF" w14:textId="77777777" w:rsidR="0029597A" w:rsidRDefault="0029597A" w:rsidP="002840C3">
      <w:pPr>
        <w:rPr>
          <w:rFonts w:ascii="Calibri" w:eastAsia="Times New Roman" w:hAnsi="Calibri" w:cs="Arial"/>
          <w:b/>
          <w:bCs/>
          <w:color w:val="000000"/>
          <w:kern w:val="0"/>
          <w:lang w:val="es-ES_tradnl" w:eastAsia="es-CR"/>
          <w14:ligatures w14:val="none"/>
        </w:rPr>
      </w:pPr>
    </w:p>
    <w:p w14:paraId="2C51AFFE" w14:textId="77777777" w:rsidR="0029597A" w:rsidRPr="002840C3" w:rsidRDefault="0029597A" w:rsidP="002840C3">
      <w:pPr>
        <w:rPr>
          <w:rFonts w:ascii="Calibri" w:eastAsia="Times New Roman" w:hAnsi="Calibri" w:cs="Arial"/>
          <w:b/>
          <w:bCs/>
          <w:color w:val="000000"/>
          <w:kern w:val="0"/>
          <w:lang w:val="es-ES_tradnl" w:eastAsia="es-CR"/>
          <w14:ligatures w14:val="none"/>
        </w:rPr>
      </w:pPr>
    </w:p>
    <w:p w14:paraId="05A5CADB" w14:textId="77777777" w:rsidR="002840C3" w:rsidRPr="002840C3" w:rsidRDefault="002840C3" w:rsidP="002840C3">
      <w:pPr>
        <w:rPr>
          <w:rFonts w:ascii="Calibri" w:eastAsia="Times New Roman" w:hAnsi="Calibri" w:cs="Arial"/>
          <w:b/>
          <w:bCs/>
          <w:color w:val="000000"/>
          <w:kern w:val="0"/>
          <w:lang w:val="es-ES_tradnl" w:eastAsia="es-CR"/>
          <w14:ligatures w14:val="none"/>
        </w:rPr>
      </w:pPr>
    </w:p>
    <w:p w14:paraId="4463E9F5" w14:textId="77777777" w:rsidR="002840C3" w:rsidRPr="002840C3" w:rsidRDefault="002840C3" w:rsidP="002840C3">
      <w:pPr>
        <w:rPr>
          <w:rFonts w:ascii="Calibri" w:eastAsia="Times New Roman" w:hAnsi="Calibri" w:cs="Arial"/>
          <w:b/>
          <w:bCs/>
          <w:color w:val="000000"/>
          <w:kern w:val="0"/>
          <w:lang w:val="es-ES_tradnl" w:eastAsia="es-CR"/>
          <w14:ligatures w14:val="none"/>
        </w:rPr>
      </w:pPr>
    </w:p>
    <w:p w14:paraId="481330E6" w14:textId="77777777" w:rsidR="002840C3" w:rsidRPr="002840C3" w:rsidRDefault="002840C3" w:rsidP="002840C3">
      <w:pPr>
        <w:rPr>
          <w:rFonts w:ascii="Calibri" w:eastAsia="Times New Roman" w:hAnsi="Calibri" w:cs="Arial"/>
          <w:b/>
          <w:bCs/>
          <w:color w:val="000000"/>
          <w:kern w:val="0"/>
          <w:lang w:val="es-ES_tradnl" w:eastAsia="es-CR"/>
          <w14:ligatures w14:val="none"/>
        </w:rPr>
      </w:pPr>
    </w:p>
    <w:p w14:paraId="79222E25" w14:textId="77777777" w:rsidR="002840C3" w:rsidRPr="002840C3" w:rsidRDefault="002840C3" w:rsidP="002840C3">
      <w:pPr>
        <w:spacing w:before="120" w:after="0" w:line="240" w:lineRule="auto"/>
        <w:jc w:val="both"/>
        <w:rPr>
          <w:rFonts w:ascii="Times New Roman" w:eastAsia="Times New Roman" w:hAnsi="Times New Roman" w:cs="Times New Roman"/>
          <w:kern w:val="0"/>
          <w:sz w:val="24"/>
          <w:szCs w:val="20"/>
          <w:lang w:val="es-ES_tradnl" w:eastAsia="es-CR"/>
          <w14:ligatures w14:val="none"/>
        </w:rPr>
      </w:pPr>
      <w:r w:rsidRPr="002840C3">
        <w:rPr>
          <w:rFonts w:ascii="Calibri" w:eastAsia="Times New Roman" w:hAnsi="Calibri" w:cs="Arial"/>
          <w:b/>
          <w:bCs/>
          <w:color w:val="000000"/>
          <w:kern w:val="0"/>
          <w:lang w:val="es-ES_tradnl" w:eastAsia="es-CR"/>
          <w14:ligatures w14:val="none"/>
        </w:rPr>
        <w:lastRenderedPageBreak/>
        <w:t>X. Evaluación</w:t>
      </w:r>
      <w:r w:rsidRPr="002840C3">
        <w:rPr>
          <w:rFonts w:ascii="Times New Roman" w:eastAsia="Times New Roman" w:hAnsi="Times New Roman" w:cs="Times New Roman"/>
          <w:kern w:val="0"/>
          <w:sz w:val="24"/>
          <w:szCs w:val="20"/>
          <w:lang w:val="es-ES_tradnl" w:eastAsia="es-CR"/>
          <w14:ligatures w14:val="none"/>
        </w:rPr>
        <w:tab/>
      </w:r>
    </w:p>
    <w:p w14:paraId="2F514026" w14:textId="77777777" w:rsidR="002840C3" w:rsidRPr="002840C3" w:rsidRDefault="002840C3" w:rsidP="002840C3">
      <w:pPr>
        <w:spacing w:before="120" w:after="0" w:line="240" w:lineRule="auto"/>
        <w:jc w:val="both"/>
        <w:rPr>
          <w:rFonts w:ascii="Calibri" w:eastAsia="Calibri" w:hAnsi="Calibri" w:cs="Calibri"/>
          <w:color w:val="000000"/>
          <w:kern w:val="0"/>
          <w:lang w:eastAsia="es-CR"/>
          <w14:ligatures w14:val="none"/>
        </w:rPr>
      </w:pPr>
      <w:r w:rsidRPr="002840C3">
        <w:rPr>
          <w:rFonts w:ascii="Calibri" w:eastAsia="Calibri" w:hAnsi="Calibri" w:cs="Calibri"/>
          <w:color w:val="000000"/>
          <w:kern w:val="0"/>
          <w:lang w:eastAsia="es-CR"/>
          <w14:ligatures w14:val="none"/>
        </w:rPr>
        <w:t>El curso requiere participación continua de los y las estudiantes en la plataforma virtual para lograr el manejo de los contenidos y el desarrollo de los ejercicios prácticos.  Se realiza un ejercicio práctico cada semana, el cual aporta una medición del avance y manejo de las competencias básicas con el fin de que la persona docente y la persona estudiante refuercen las áreas que así lo ameritan. La nota mínima de aprobación será de un 7.00 (siete en escala decimal). La distribución de rubros evaluados y su porcentaje en la nota final es la siguiente:</w:t>
      </w:r>
    </w:p>
    <w:tbl>
      <w:tblPr>
        <w:tblpPr w:leftFromText="141" w:rightFromText="141" w:vertAnchor="text" w:horzAnchor="page" w:tblpX="1667" w:tblpY="324"/>
        <w:tblW w:w="9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905"/>
        <w:gridCol w:w="1383"/>
      </w:tblGrid>
      <w:tr w:rsidR="002840C3" w:rsidRPr="002840C3" w14:paraId="0FB5827C" w14:textId="77777777" w:rsidTr="00104785">
        <w:tc>
          <w:tcPr>
            <w:tcW w:w="9288" w:type="dxa"/>
            <w:gridSpan w:val="2"/>
          </w:tcPr>
          <w:p w14:paraId="5B16AB46" w14:textId="77777777" w:rsidR="002840C3" w:rsidRPr="002840C3" w:rsidRDefault="002840C3" w:rsidP="002840C3">
            <w:pPr>
              <w:autoSpaceDE w:val="0"/>
              <w:autoSpaceDN w:val="0"/>
              <w:adjustRightInd w:val="0"/>
              <w:spacing w:after="0" w:line="240" w:lineRule="auto"/>
              <w:contextualSpacing/>
              <w:jc w:val="center"/>
              <w:rPr>
                <w:rFonts w:ascii="Calibri" w:eastAsia="Calibri" w:hAnsi="Calibri" w:cs="Arial"/>
                <w:b/>
                <w:bCs/>
                <w:color w:val="00B050"/>
                <w:kern w:val="0"/>
                <w14:ligatures w14:val="none"/>
              </w:rPr>
            </w:pPr>
            <w:r w:rsidRPr="002840C3">
              <w:rPr>
                <w:rFonts w:ascii="Calibri" w:eastAsia="Calibri" w:hAnsi="Calibri" w:cs="Arial"/>
                <w:b/>
                <w:bCs/>
                <w:kern w:val="0"/>
                <w14:ligatures w14:val="none"/>
              </w:rPr>
              <w:t>Síntesis cuantitativa de evaluación</w:t>
            </w:r>
          </w:p>
        </w:tc>
      </w:tr>
      <w:tr w:rsidR="002840C3" w:rsidRPr="002840C3" w14:paraId="39948400" w14:textId="77777777" w:rsidTr="00104785">
        <w:trPr>
          <w:trHeight w:val="297"/>
        </w:trPr>
        <w:tc>
          <w:tcPr>
            <w:tcW w:w="7905" w:type="dxa"/>
            <w:vAlign w:val="center"/>
          </w:tcPr>
          <w:p w14:paraId="415B91A9" w14:textId="77777777" w:rsidR="002840C3" w:rsidRPr="002840C3" w:rsidRDefault="002840C3" w:rsidP="002840C3">
            <w:pPr>
              <w:autoSpaceDE w:val="0"/>
              <w:autoSpaceDN w:val="0"/>
              <w:adjustRightInd w:val="0"/>
              <w:spacing w:after="0" w:line="240" w:lineRule="auto"/>
              <w:contextualSpacing/>
              <w:rPr>
                <w:rFonts w:ascii="Calibri" w:eastAsia="Calibri" w:hAnsi="Calibri" w:cs="Arial"/>
                <w:b/>
                <w:bCs/>
                <w:color w:val="000000"/>
                <w:kern w:val="0"/>
                <w14:ligatures w14:val="none"/>
              </w:rPr>
            </w:pPr>
            <w:r w:rsidRPr="002840C3">
              <w:rPr>
                <w:rFonts w:ascii="Calibri" w:eastAsia="Calibri" w:hAnsi="Calibri" w:cs="Arial"/>
                <w:b/>
                <w:bCs/>
                <w:color w:val="000000"/>
                <w:kern w:val="0"/>
                <w14:ligatures w14:val="none"/>
              </w:rPr>
              <w:t>Rubros para evaluar</w:t>
            </w:r>
          </w:p>
        </w:tc>
        <w:tc>
          <w:tcPr>
            <w:tcW w:w="1383" w:type="dxa"/>
          </w:tcPr>
          <w:p w14:paraId="70EFC63A" w14:textId="77777777" w:rsidR="002840C3" w:rsidRPr="002840C3" w:rsidRDefault="002840C3" w:rsidP="002840C3">
            <w:pPr>
              <w:autoSpaceDE w:val="0"/>
              <w:autoSpaceDN w:val="0"/>
              <w:adjustRightInd w:val="0"/>
              <w:spacing w:after="0" w:line="240" w:lineRule="auto"/>
              <w:contextualSpacing/>
              <w:jc w:val="center"/>
              <w:rPr>
                <w:rFonts w:ascii="Calibri" w:eastAsia="Calibri" w:hAnsi="Calibri" w:cs="Arial"/>
                <w:b/>
                <w:bCs/>
                <w:color w:val="000000"/>
                <w:kern w:val="0"/>
                <w14:ligatures w14:val="none"/>
              </w:rPr>
            </w:pPr>
            <w:r w:rsidRPr="002840C3">
              <w:rPr>
                <w:rFonts w:ascii="Calibri" w:eastAsia="Calibri" w:hAnsi="Calibri" w:cs="Arial"/>
                <w:b/>
                <w:bCs/>
                <w:color w:val="000000"/>
                <w:kern w:val="0"/>
                <w14:ligatures w14:val="none"/>
              </w:rPr>
              <w:t>Porcentaje total</w:t>
            </w:r>
          </w:p>
        </w:tc>
      </w:tr>
      <w:tr w:rsidR="002840C3" w:rsidRPr="002840C3" w14:paraId="211996BD" w14:textId="77777777" w:rsidTr="00104785">
        <w:tc>
          <w:tcPr>
            <w:tcW w:w="7905" w:type="dxa"/>
          </w:tcPr>
          <w:p w14:paraId="1198C141"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b/>
                <w:bCs/>
                <w:i/>
                <w:iCs/>
                <w:color w:val="0070C0"/>
                <w:kern w:val="0"/>
                <w:lang w:val="es-ES_tradnl" w:eastAsia="es-CR"/>
                <w14:ligatures w14:val="none"/>
              </w:rPr>
            </w:pPr>
            <w:r w:rsidRPr="002840C3">
              <w:rPr>
                <w:rFonts w:ascii="Calibri" w:eastAsia="Times New Roman" w:hAnsi="Calibri" w:cs="Arial"/>
                <w:b/>
                <w:bCs/>
                <w:i/>
                <w:iCs/>
                <w:color w:val="0070C0"/>
                <w:kern w:val="0"/>
                <w:lang w:val="es-ES_tradnl" w:eastAsia="es-CR"/>
                <w14:ligatures w14:val="none"/>
              </w:rPr>
              <w:t>Encuentros sincrónicos virtuales</w:t>
            </w:r>
          </w:p>
          <w:p w14:paraId="2C3A9881"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70C0"/>
                <w:kern w:val="0"/>
                <w:lang w:val="es-ES_tradnl" w:eastAsia="es-CR"/>
                <w14:ligatures w14:val="none"/>
              </w:rPr>
            </w:pPr>
            <w:r w:rsidRPr="002840C3">
              <w:rPr>
                <w:rFonts w:ascii="Calibri" w:eastAsia="Times New Roman" w:hAnsi="Calibri" w:cs="Arial"/>
                <w:color w:val="0070C0"/>
                <w:kern w:val="0"/>
                <w:lang w:val="es-ES_tradnl" w:eastAsia="es-CR"/>
                <w14:ligatures w14:val="none"/>
              </w:rPr>
              <w:t>Se llevan a cabo de las sesiones 1 a la 6 y 8 a la 14. Tienen un valor formativo y no sumativo.</w:t>
            </w:r>
          </w:p>
        </w:tc>
        <w:tc>
          <w:tcPr>
            <w:tcW w:w="1383" w:type="dxa"/>
            <w:vAlign w:val="center"/>
          </w:tcPr>
          <w:p w14:paraId="5EF9680D" w14:textId="77777777" w:rsidR="002840C3" w:rsidRPr="002840C3" w:rsidRDefault="002840C3" w:rsidP="002840C3">
            <w:pPr>
              <w:widowControl w:val="0"/>
              <w:overflowPunct w:val="0"/>
              <w:autoSpaceDE w:val="0"/>
              <w:autoSpaceDN w:val="0"/>
              <w:adjustRightInd w:val="0"/>
              <w:spacing w:after="0" w:line="240" w:lineRule="auto"/>
              <w:jc w:val="center"/>
              <w:rPr>
                <w:rFonts w:ascii="Calibri" w:eastAsia="Times New Roman" w:hAnsi="Calibri" w:cs="Arial"/>
                <w:color w:val="0070C0"/>
                <w:kern w:val="0"/>
                <w:lang w:val="es-ES_tradnl" w:eastAsia="es-CR"/>
                <w14:ligatures w14:val="none"/>
              </w:rPr>
            </w:pPr>
            <w:r w:rsidRPr="002840C3">
              <w:rPr>
                <w:rFonts w:ascii="Calibri" w:eastAsia="Times New Roman" w:hAnsi="Calibri" w:cs="Arial"/>
                <w:color w:val="0070C0"/>
                <w:kern w:val="0"/>
                <w:lang w:val="es-ES_tradnl" w:eastAsia="es-CR"/>
                <w14:ligatures w14:val="none"/>
              </w:rPr>
              <w:t>̶</w:t>
            </w:r>
          </w:p>
        </w:tc>
      </w:tr>
      <w:tr w:rsidR="002840C3" w:rsidRPr="002840C3" w14:paraId="0B3AADB5" w14:textId="77777777" w:rsidTr="00104785">
        <w:tc>
          <w:tcPr>
            <w:tcW w:w="7905" w:type="dxa"/>
          </w:tcPr>
          <w:p w14:paraId="6DB8863B" w14:textId="77777777" w:rsidR="002840C3" w:rsidRPr="002840C3" w:rsidRDefault="002840C3" w:rsidP="002840C3">
            <w:pPr>
              <w:autoSpaceDE w:val="0"/>
              <w:autoSpaceDN w:val="0"/>
              <w:adjustRightInd w:val="0"/>
              <w:spacing w:after="0" w:line="240" w:lineRule="auto"/>
              <w:contextualSpacing/>
              <w:jc w:val="both"/>
              <w:rPr>
                <w:rFonts w:ascii="Calibri" w:eastAsia="Calibri" w:hAnsi="Calibri" w:cs="Arial"/>
                <w:b/>
                <w:bCs/>
                <w:i/>
                <w:iCs/>
                <w:color w:val="000000"/>
                <w:kern w:val="0"/>
                <w14:ligatures w14:val="none"/>
              </w:rPr>
            </w:pPr>
            <w:r w:rsidRPr="002840C3">
              <w:rPr>
                <w:rFonts w:ascii="Calibri" w:eastAsia="Calibri" w:hAnsi="Calibri" w:cs="Arial"/>
                <w:b/>
                <w:bCs/>
                <w:i/>
                <w:iCs/>
                <w:color w:val="000000"/>
                <w:kern w:val="0"/>
                <w14:ligatures w14:val="none"/>
              </w:rPr>
              <w:t>Prácticas</w:t>
            </w:r>
          </w:p>
          <w:p w14:paraId="5B0280C4" w14:textId="77777777" w:rsidR="002840C3" w:rsidRPr="002840C3" w:rsidRDefault="002840C3" w:rsidP="002840C3">
            <w:pPr>
              <w:autoSpaceDE w:val="0"/>
              <w:autoSpaceDN w:val="0"/>
              <w:adjustRightInd w:val="0"/>
              <w:spacing w:after="0" w:line="240" w:lineRule="auto"/>
              <w:contextualSpacing/>
              <w:jc w:val="both"/>
              <w:rPr>
                <w:rFonts w:ascii="Calibri" w:eastAsia="Calibri" w:hAnsi="Calibri" w:cs="Arial"/>
                <w:color w:val="000000"/>
                <w:kern w:val="0"/>
                <w14:ligatures w14:val="none"/>
              </w:rPr>
            </w:pPr>
            <w:r w:rsidRPr="002840C3">
              <w:rPr>
                <w:rFonts w:ascii="Calibri" w:eastAsia="Calibri" w:hAnsi="Calibri" w:cs="Arial"/>
                <w:color w:val="000000"/>
                <w:kern w:val="0"/>
                <w14:ligatures w14:val="none"/>
              </w:rPr>
              <w:t>Se realizan en las sesiones 1, 2, 3, 4, 5, 6, 8, 9, 10, 11, 12 y 13. Tienen un valor formativo y no sumativo.</w:t>
            </w:r>
          </w:p>
        </w:tc>
        <w:tc>
          <w:tcPr>
            <w:tcW w:w="1383" w:type="dxa"/>
            <w:vAlign w:val="center"/>
          </w:tcPr>
          <w:p w14:paraId="0A12B872" w14:textId="77777777" w:rsidR="002840C3" w:rsidRPr="002840C3" w:rsidRDefault="002840C3" w:rsidP="002840C3">
            <w:pPr>
              <w:widowControl w:val="0"/>
              <w:overflowPunct w:val="0"/>
              <w:autoSpaceDE w:val="0"/>
              <w:autoSpaceDN w:val="0"/>
              <w:adjustRightInd w:val="0"/>
              <w:spacing w:after="0" w:line="240" w:lineRule="auto"/>
              <w:jc w:val="center"/>
              <w:rPr>
                <w:rFonts w:ascii="Times New Roman" w:eastAsia="Times New Roman" w:hAnsi="Times New Roman" w:cs="Times New Roman"/>
                <w:kern w:val="0"/>
                <w:sz w:val="24"/>
                <w:szCs w:val="20"/>
                <w:lang w:val="es-ES_tradnl" w:eastAsia="es-CR"/>
                <w14:ligatures w14:val="none"/>
              </w:rPr>
            </w:pPr>
            <w:r w:rsidRPr="002840C3">
              <w:rPr>
                <w:rFonts w:ascii="Times New Roman" w:eastAsia="Times New Roman" w:hAnsi="Times New Roman" w:cs="Times New Roman"/>
                <w:kern w:val="0"/>
                <w:sz w:val="24"/>
                <w:szCs w:val="20"/>
                <w:lang w:val="es-ES_tradnl" w:eastAsia="es-CR"/>
                <w14:ligatures w14:val="none"/>
              </w:rPr>
              <w:t>̶</w:t>
            </w:r>
          </w:p>
        </w:tc>
      </w:tr>
      <w:tr w:rsidR="002840C3" w:rsidRPr="002840C3" w14:paraId="3DDD40F0" w14:textId="77777777" w:rsidTr="00104785">
        <w:tc>
          <w:tcPr>
            <w:tcW w:w="7905" w:type="dxa"/>
          </w:tcPr>
          <w:p w14:paraId="6526A662"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840C3">
              <w:rPr>
                <w:rFonts w:ascii="Calibri" w:eastAsia="Times New Roman" w:hAnsi="Calibri" w:cs="Arial"/>
                <w:b/>
                <w:bCs/>
                <w:i/>
                <w:iCs/>
                <w:color w:val="000000"/>
                <w:kern w:val="0"/>
                <w:lang w:val="es-ES_tradnl" w:eastAsia="es-CR"/>
                <w14:ligatures w14:val="none"/>
              </w:rPr>
              <w:t>Pruebas cortas</w:t>
            </w:r>
          </w:p>
          <w:p w14:paraId="16C9EF32"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Se llevan a cabo en las sesiones 2, 5 y 6. Cada prueba tiene un valor de 5%.</w:t>
            </w:r>
          </w:p>
        </w:tc>
        <w:tc>
          <w:tcPr>
            <w:tcW w:w="1383" w:type="dxa"/>
            <w:vAlign w:val="center"/>
          </w:tcPr>
          <w:p w14:paraId="5BEA12BA" w14:textId="77777777" w:rsidR="002840C3" w:rsidRPr="002840C3" w:rsidRDefault="002840C3" w:rsidP="002840C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15%</w:t>
            </w:r>
          </w:p>
        </w:tc>
      </w:tr>
      <w:tr w:rsidR="002840C3" w:rsidRPr="002840C3" w14:paraId="46FBD33E" w14:textId="77777777" w:rsidTr="00104785">
        <w:tc>
          <w:tcPr>
            <w:tcW w:w="7905" w:type="dxa"/>
          </w:tcPr>
          <w:p w14:paraId="6C110915"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840C3">
              <w:rPr>
                <w:rFonts w:ascii="Calibri" w:eastAsia="Times New Roman" w:hAnsi="Calibri" w:cs="Arial"/>
                <w:b/>
                <w:bCs/>
                <w:i/>
                <w:iCs/>
                <w:color w:val="000000"/>
                <w:kern w:val="0"/>
                <w:lang w:val="es-ES_tradnl" w:eastAsia="es-CR"/>
                <w14:ligatures w14:val="none"/>
              </w:rPr>
              <w:t>Ejercicios de traducción</w:t>
            </w:r>
          </w:p>
          <w:p w14:paraId="649658EC"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Se realizan en las sesiones 4, 8 y 10. Cada ejercicio tiene un valor de 5%.</w:t>
            </w:r>
          </w:p>
        </w:tc>
        <w:tc>
          <w:tcPr>
            <w:tcW w:w="1383" w:type="dxa"/>
            <w:vAlign w:val="center"/>
          </w:tcPr>
          <w:p w14:paraId="76DE3DF5" w14:textId="77777777" w:rsidR="002840C3" w:rsidRPr="002840C3" w:rsidRDefault="002840C3" w:rsidP="002840C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15%</w:t>
            </w:r>
          </w:p>
        </w:tc>
      </w:tr>
      <w:tr w:rsidR="002840C3" w:rsidRPr="002840C3" w14:paraId="1032C28A" w14:textId="77777777" w:rsidTr="00104785">
        <w:tc>
          <w:tcPr>
            <w:tcW w:w="7905" w:type="dxa"/>
          </w:tcPr>
          <w:p w14:paraId="45E3D973"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840C3">
              <w:rPr>
                <w:rFonts w:ascii="Calibri" w:eastAsia="Times New Roman" w:hAnsi="Calibri" w:cs="Arial"/>
                <w:b/>
                <w:bCs/>
                <w:i/>
                <w:iCs/>
                <w:color w:val="000000"/>
                <w:kern w:val="0"/>
                <w:lang w:val="es-ES_tradnl" w:eastAsia="es-CR"/>
                <w14:ligatures w14:val="none"/>
              </w:rPr>
              <w:t>Exámenes escritos</w:t>
            </w:r>
          </w:p>
          <w:p w14:paraId="5119E825"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 xml:space="preserve">Se llevan a cabo en las sesiones 7 y 15. Cada examen tiene un valor de </w:t>
            </w:r>
            <w:r w:rsidRPr="002840C3">
              <w:rPr>
                <w:rFonts w:ascii="Calibri" w:eastAsia="Times New Roman" w:hAnsi="Calibri" w:cs="Arial"/>
                <w:color w:val="0070C0"/>
                <w:kern w:val="0"/>
                <w:lang w:val="es-ES_tradnl" w:eastAsia="es-CR"/>
                <w14:ligatures w14:val="none"/>
              </w:rPr>
              <w:t>25%</w:t>
            </w:r>
          </w:p>
        </w:tc>
        <w:tc>
          <w:tcPr>
            <w:tcW w:w="1383" w:type="dxa"/>
            <w:vAlign w:val="center"/>
          </w:tcPr>
          <w:p w14:paraId="69EBA556" w14:textId="77777777" w:rsidR="002840C3" w:rsidRPr="002840C3" w:rsidRDefault="002840C3" w:rsidP="002840C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70C0"/>
                <w:kern w:val="0"/>
                <w:lang w:val="es-ES_tradnl" w:eastAsia="es-CR"/>
                <w14:ligatures w14:val="none"/>
              </w:rPr>
              <w:t>50%</w:t>
            </w:r>
          </w:p>
        </w:tc>
      </w:tr>
      <w:tr w:rsidR="002840C3" w:rsidRPr="002840C3" w14:paraId="14648C95" w14:textId="77777777" w:rsidTr="00104785">
        <w:tc>
          <w:tcPr>
            <w:tcW w:w="7905" w:type="dxa"/>
          </w:tcPr>
          <w:p w14:paraId="065DEA00"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b/>
                <w:bCs/>
                <w:i/>
                <w:iCs/>
                <w:color w:val="000000"/>
                <w:kern w:val="0"/>
                <w:lang w:val="es-ES_tradnl" w:eastAsia="es-CR"/>
                <w14:ligatures w14:val="none"/>
              </w:rPr>
            </w:pPr>
            <w:r w:rsidRPr="002840C3">
              <w:rPr>
                <w:rFonts w:ascii="Calibri" w:eastAsia="Times New Roman" w:hAnsi="Calibri" w:cs="Arial"/>
                <w:b/>
                <w:bCs/>
                <w:i/>
                <w:iCs/>
                <w:color w:val="000000"/>
                <w:kern w:val="0"/>
                <w:lang w:val="es-ES_tradnl" w:eastAsia="es-CR"/>
                <w14:ligatures w14:val="none"/>
              </w:rPr>
              <w:t>Examen de lectura</w:t>
            </w:r>
          </w:p>
          <w:p w14:paraId="5BE6A883" w14:textId="77777777" w:rsidR="002840C3" w:rsidRPr="002840C3" w:rsidRDefault="002840C3" w:rsidP="002840C3">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0000"/>
                <w:kern w:val="0"/>
                <w:lang w:val="es-ES_tradnl" w:eastAsia="es-CR"/>
                <w14:ligatures w14:val="none"/>
              </w:rPr>
              <w:t>Se realiza en las sesiones 14 y 15 (según horario convenido entre estudiante y docente).</w:t>
            </w:r>
          </w:p>
        </w:tc>
        <w:tc>
          <w:tcPr>
            <w:tcW w:w="1383" w:type="dxa"/>
            <w:vAlign w:val="center"/>
          </w:tcPr>
          <w:p w14:paraId="3ADB915E" w14:textId="77777777" w:rsidR="002840C3" w:rsidRPr="002840C3" w:rsidRDefault="002840C3" w:rsidP="002840C3">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2840C3">
              <w:rPr>
                <w:rFonts w:ascii="Calibri" w:eastAsia="Times New Roman" w:hAnsi="Calibri" w:cs="Arial"/>
                <w:color w:val="0070C0"/>
                <w:kern w:val="0"/>
                <w:lang w:val="es-ES_tradnl" w:eastAsia="es-CR"/>
                <w14:ligatures w14:val="none"/>
              </w:rPr>
              <w:t>20%</w:t>
            </w:r>
          </w:p>
        </w:tc>
      </w:tr>
      <w:tr w:rsidR="002840C3" w:rsidRPr="002840C3" w14:paraId="45085849" w14:textId="77777777" w:rsidTr="00104785">
        <w:tc>
          <w:tcPr>
            <w:tcW w:w="7905" w:type="dxa"/>
          </w:tcPr>
          <w:p w14:paraId="7071E3E7" w14:textId="77777777" w:rsidR="002840C3" w:rsidRPr="002840C3" w:rsidRDefault="002840C3" w:rsidP="002840C3">
            <w:pPr>
              <w:autoSpaceDE w:val="0"/>
              <w:autoSpaceDN w:val="0"/>
              <w:adjustRightInd w:val="0"/>
              <w:spacing w:after="0" w:line="240" w:lineRule="auto"/>
              <w:contextualSpacing/>
              <w:jc w:val="both"/>
              <w:rPr>
                <w:rFonts w:ascii="Calibri" w:eastAsia="Calibri" w:hAnsi="Calibri" w:cs="Arial"/>
                <w:b/>
                <w:bCs/>
                <w:color w:val="000000"/>
                <w:kern w:val="0"/>
                <w14:ligatures w14:val="none"/>
              </w:rPr>
            </w:pPr>
            <w:r w:rsidRPr="002840C3">
              <w:rPr>
                <w:rFonts w:ascii="Calibri" w:eastAsia="Calibri" w:hAnsi="Calibri" w:cs="Arial"/>
                <w:b/>
                <w:bCs/>
                <w:color w:val="000000"/>
                <w:kern w:val="0"/>
                <w14:ligatures w14:val="none"/>
              </w:rPr>
              <w:t>Total</w:t>
            </w:r>
          </w:p>
        </w:tc>
        <w:tc>
          <w:tcPr>
            <w:tcW w:w="1383" w:type="dxa"/>
            <w:vAlign w:val="center"/>
          </w:tcPr>
          <w:p w14:paraId="5C410276" w14:textId="77777777" w:rsidR="002840C3" w:rsidRPr="002840C3" w:rsidRDefault="002840C3" w:rsidP="002840C3">
            <w:pPr>
              <w:autoSpaceDE w:val="0"/>
              <w:autoSpaceDN w:val="0"/>
              <w:adjustRightInd w:val="0"/>
              <w:spacing w:after="0" w:line="240" w:lineRule="auto"/>
              <w:contextualSpacing/>
              <w:jc w:val="center"/>
              <w:rPr>
                <w:rFonts w:ascii="Calibri" w:eastAsia="Calibri" w:hAnsi="Calibri" w:cs="Arial"/>
                <w:b/>
                <w:bCs/>
                <w:color w:val="000000"/>
                <w:kern w:val="0"/>
                <w14:ligatures w14:val="none"/>
              </w:rPr>
            </w:pPr>
            <w:r w:rsidRPr="002840C3">
              <w:rPr>
                <w:rFonts w:ascii="Calibri" w:eastAsia="Calibri" w:hAnsi="Calibri" w:cs="Arial"/>
                <w:b/>
                <w:bCs/>
                <w:color w:val="000000"/>
                <w:kern w:val="0"/>
                <w14:ligatures w14:val="none"/>
              </w:rPr>
              <w:t>100%</w:t>
            </w:r>
          </w:p>
        </w:tc>
      </w:tr>
    </w:tbl>
    <w:p w14:paraId="6C2FC62D" w14:textId="77777777" w:rsidR="002840C3" w:rsidRPr="002840C3" w:rsidRDefault="002840C3" w:rsidP="002840C3">
      <w:pPr>
        <w:spacing w:before="120" w:after="0" w:line="240" w:lineRule="auto"/>
        <w:jc w:val="both"/>
        <w:rPr>
          <w:rFonts w:ascii="Calibri" w:eastAsia="Calibri" w:hAnsi="Calibri" w:cs="Calibri"/>
          <w:color w:val="000000"/>
          <w:kern w:val="0"/>
          <w:lang w:val="es-ES" w:eastAsia="es-CR"/>
          <w14:ligatures w14:val="none"/>
        </w:rPr>
      </w:pPr>
    </w:p>
    <w:p w14:paraId="7FD2AE7F" w14:textId="77777777" w:rsidR="002840C3" w:rsidRPr="002840C3" w:rsidRDefault="002840C3" w:rsidP="002840C3">
      <w:pPr>
        <w:spacing w:before="120" w:after="0" w:line="240" w:lineRule="auto"/>
        <w:jc w:val="center"/>
        <w:rPr>
          <w:rFonts w:ascii="Calibri" w:eastAsia="Calibri" w:hAnsi="Calibri" w:cs="Calibri"/>
          <w:color w:val="000000"/>
          <w:kern w:val="0"/>
          <w:lang w:val="es-ES" w:eastAsia="es-CR"/>
          <w14:ligatures w14:val="none"/>
        </w:rPr>
      </w:pPr>
    </w:p>
    <w:p w14:paraId="507D2B9B" w14:textId="77777777" w:rsidR="002840C3" w:rsidRPr="002840C3" w:rsidRDefault="002840C3" w:rsidP="002840C3">
      <w:pPr>
        <w:rPr>
          <w:rFonts w:ascii="Calibri" w:eastAsia="Calibri" w:hAnsi="Calibri" w:cs="Calibri"/>
          <w:color w:val="000000"/>
          <w:kern w:val="0"/>
          <w:lang w:val="es-ES" w:eastAsia="es-CR"/>
          <w14:ligatures w14:val="none"/>
        </w:rPr>
      </w:pPr>
      <w:r w:rsidRPr="002840C3">
        <w:rPr>
          <w:rFonts w:ascii="Times New Roman" w:eastAsia="Times New Roman" w:hAnsi="Times New Roman" w:cs="Times New Roman"/>
          <w:kern w:val="0"/>
          <w:sz w:val="24"/>
          <w:szCs w:val="20"/>
          <w:lang w:val="es-ES_tradnl" w:eastAsia="es-CR"/>
          <w14:ligatures w14:val="none"/>
        </w:rPr>
        <w:br w:type="page"/>
      </w:r>
    </w:p>
    <w:p w14:paraId="6CFEC1AE" w14:textId="77777777" w:rsidR="002840C3" w:rsidRPr="002840C3" w:rsidRDefault="002840C3" w:rsidP="002840C3">
      <w:pPr>
        <w:rPr>
          <w:rFonts w:ascii="Calibri" w:eastAsia="Calibri" w:hAnsi="Calibri" w:cs="Calibri"/>
          <w:b/>
          <w:bCs/>
          <w:color w:val="000000"/>
          <w:kern w:val="0"/>
          <w:lang w:val="es-ES" w:eastAsia="es-CR"/>
          <w14:ligatures w14:val="none"/>
        </w:rPr>
        <w:sectPr w:rsidR="002840C3" w:rsidRPr="002840C3" w:rsidSect="002840C3">
          <w:pgSz w:w="12240" w:h="15840"/>
          <w:pgMar w:top="1417" w:right="1701" w:bottom="1417" w:left="1701" w:header="708" w:footer="708" w:gutter="0"/>
          <w:cols w:space="708"/>
          <w:docGrid w:linePitch="360"/>
        </w:sectPr>
      </w:pPr>
    </w:p>
    <w:p w14:paraId="04593164" w14:textId="4ACBFA2B" w:rsidR="002840C3" w:rsidRPr="002840C3" w:rsidRDefault="002840C3" w:rsidP="002840C3">
      <w:pPr>
        <w:jc w:val="center"/>
        <w:rPr>
          <w:rFonts w:ascii="Calibri" w:eastAsia="Calibri" w:hAnsi="Calibri" w:cs="Calibri"/>
          <w:b/>
          <w:bCs/>
          <w:color w:val="000000"/>
          <w:kern w:val="0"/>
          <w:lang w:val="es-ES" w:eastAsia="es-CR"/>
          <w14:ligatures w14:val="none"/>
        </w:rPr>
      </w:pPr>
      <w:r w:rsidRPr="002840C3">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66208" behindDoc="0" locked="0" layoutInCell="1" allowOverlap="1" wp14:anchorId="5BE7D60E" wp14:editId="680BC0E2">
                <wp:simplePos x="0" y="0"/>
                <wp:positionH relativeFrom="margin">
                  <wp:align>center</wp:align>
                </wp:positionH>
                <wp:positionV relativeFrom="paragraph">
                  <wp:posOffset>0</wp:posOffset>
                </wp:positionV>
                <wp:extent cx="6606540" cy="411480"/>
                <wp:effectExtent l="0" t="0" r="22860" b="26670"/>
                <wp:wrapNone/>
                <wp:docPr id="991109232" name="Cuadro de texto 991109232"/>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6628592" w14:textId="77777777" w:rsidR="002840C3" w:rsidRPr="002840C3" w:rsidRDefault="002840C3" w:rsidP="002840C3">
                            <w:pPr>
                              <w:jc w:val="center"/>
                              <w:rPr>
                                <w:rFonts w:cs="Calibri"/>
                                <w:bCs/>
                              </w:rPr>
                            </w:pPr>
                            <w:r w:rsidRPr="002840C3">
                              <w:rPr>
                                <w:rFonts w:cs="Calibri"/>
                                <w:b/>
                              </w:rPr>
                              <w:t>ESCALA DE EVALUACIÓN – PRUEBA CORTA</w:t>
                            </w:r>
                          </w:p>
                          <w:p w14:paraId="0CAAE4B2" w14:textId="77777777" w:rsidR="002840C3" w:rsidRPr="002840C3" w:rsidRDefault="002840C3" w:rsidP="002840C3">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D60E" id="Cuadro de texto 991109232" o:spid="_x0000_s1191" type="#_x0000_t202" style="position:absolute;left:0;text-align:left;margin-left:0;margin-top:0;width:520.2pt;height:32.4pt;z-index:252766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" fillcolor="window" strokeweight=".5pt">
                <v:textbox>
                  <w:txbxContent>
                    <w:p w14:paraId="06628592" w14:textId="77777777" w:rsidR="002840C3" w:rsidRPr="002840C3" w:rsidRDefault="002840C3" w:rsidP="002840C3">
                      <w:pPr>
                        <w:jc w:val="center"/>
                        <w:rPr>
                          <w:rFonts w:cs="Calibri"/>
                          <w:bCs/>
                        </w:rPr>
                      </w:pPr>
                      <w:r w:rsidRPr="002840C3">
                        <w:rPr>
                          <w:rFonts w:cs="Calibri"/>
                          <w:b/>
                        </w:rPr>
                        <w:t>ESCALA DE EVALUACIÓN – PRUEBA CORTA</w:t>
                      </w:r>
                    </w:p>
                    <w:p w14:paraId="0CAAE4B2" w14:textId="77777777" w:rsidR="002840C3" w:rsidRPr="002840C3" w:rsidRDefault="002840C3" w:rsidP="002840C3">
                      <w:pPr>
                        <w:jc w:val="center"/>
                        <w:rPr>
                          <w:rFonts w:cs="Calibri"/>
                        </w:rPr>
                      </w:pPr>
                    </w:p>
                  </w:txbxContent>
                </v:textbox>
                <w10:wrap anchorx="margin"/>
              </v:shape>
            </w:pict>
          </mc:Fallback>
        </mc:AlternateContent>
      </w:r>
      <w:proofErr w:type="spellStart"/>
      <w:r w:rsidR="006610BC">
        <w:rPr>
          <w:rFonts w:ascii="Calibri" w:eastAsia="Calibri" w:hAnsi="Calibri" w:cs="Calibri"/>
          <w:b/>
          <w:bCs/>
          <w:color w:val="000000"/>
          <w:kern w:val="0"/>
          <w:lang w:val="es-ES" w:eastAsia="es-CR"/>
          <w14:ligatures w14:val="none"/>
        </w:rPr>
        <w:t>sociolo</w:t>
      </w:r>
      <w:proofErr w:type="spellEnd"/>
    </w:p>
    <w:p w14:paraId="6CC8827F" w14:textId="77777777" w:rsidR="002840C3" w:rsidRPr="002840C3" w:rsidRDefault="002840C3" w:rsidP="002840C3">
      <w:pPr>
        <w:jc w:val="center"/>
        <w:rPr>
          <w:rFonts w:ascii="Calibri" w:eastAsia="Calibri" w:hAnsi="Calibri" w:cs="Calibri"/>
          <w:b/>
          <w:bCs/>
          <w:color w:val="000000"/>
          <w:kern w:val="0"/>
          <w:lang w:val="es-ES" w:eastAsia="es-CR"/>
          <w14:ligatures w14:val="none"/>
        </w:rPr>
      </w:pPr>
    </w:p>
    <w:p w14:paraId="634332AD" w14:textId="77777777" w:rsidR="002840C3" w:rsidRPr="002840C3" w:rsidRDefault="002840C3" w:rsidP="002840C3">
      <w:pPr>
        <w:jc w:val="center"/>
        <w:rPr>
          <w:rFonts w:ascii="Calibri" w:eastAsia="Calibri" w:hAnsi="Calibri" w:cs="Calibri"/>
          <w:color w:val="0070C0"/>
          <w:kern w:val="0"/>
          <w:lang w:val="es-ES" w:eastAsia="es-CR"/>
          <w14:ligatures w14:val="none"/>
        </w:rPr>
      </w:pPr>
      <w:r w:rsidRPr="002840C3">
        <w:rPr>
          <w:rFonts w:ascii="Calibri" w:eastAsia="Calibri" w:hAnsi="Calibri" w:cs="Calibri"/>
          <w:color w:val="0070C0"/>
          <w:kern w:val="0"/>
          <w:lang w:val="es-ES" w:eastAsia="es-CR"/>
          <w14:ligatures w14:val="none"/>
        </w:rPr>
        <w:t>Las pruebas cortas se realizarán de forma asincrónica durante la sesión en que se han asignado. Con ellas se pretenderá evaluar el uso de herramientas (gramática, diccionario, concordancias) en análisis de verbos, sustantivos y traducción de oraciones. Se llevan a cabo en las sesiones 2, 5 y 6. Cada prueba tiene un valor de 5%.</w:t>
      </w:r>
    </w:p>
    <w:p w14:paraId="23FC1075" w14:textId="2FE4AF2F" w:rsidR="002840C3" w:rsidRPr="002840C3" w:rsidRDefault="0029597A" w:rsidP="002840C3">
      <w:pPr>
        <w:jc w:val="center"/>
        <w:rPr>
          <w:rFonts w:ascii="Calibri" w:eastAsia="Calibri" w:hAnsi="Calibri" w:cs="Calibri"/>
          <w:color w:val="000000"/>
          <w:kern w:val="0"/>
          <w:lang w:val="es-ES" w:eastAsia="es-CR"/>
          <w14:ligatures w14:val="none"/>
        </w:rPr>
      </w:pPr>
      <w:r w:rsidRPr="002840C3">
        <w:rPr>
          <w:rFonts w:ascii="Calibri" w:eastAsia="Calibri" w:hAnsi="Calibri" w:cs="Calibri"/>
          <w:noProof/>
          <w:color w:val="000000"/>
          <w:kern w:val="0"/>
          <w:lang w:val="es-ES" w:eastAsia="es-CR"/>
          <w14:ligatures w14:val="none"/>
        </w:rPr>
        <w:drawing>
          <wp:anchor distT="0" distB="0" distL="114300" distR="114300" simplePos="0" relativeHeight="252767232" behindDoc="0" locked="0" layoutInCell="1" allowOverlap="1" wp14:anchorId="25F38A3A" wp14:editId="7F90F22A">
            <wp:simplePos x="0" y="0"/>
            <wp:positionH relativeFrom="margin">
              <wp:posOffset>651163</wp:posOffset>
            </wp:positionH>
            <wp:positionV relativeFrom="paragraph">
              <wp:posOffset>95481</wp:posOffset>
            </wp:positionV>
            <wp:extent cx="8077200" cy="3243072"/>
            <wp:effectExtent l="0" t="0" r="0" b="0"/>
            <wp:wrapNone/>
            <wp:docPr id="1016130606" name="Imagen 1"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30606" name="Imagen 1" descr="Interfaz de usuario gráfica, Aplicación, Tabla&#10;&#10;Descripción generada automáticamente"/>
                    <pic:cNvPicPr/>
                  </pic:nvPicPr>
                  <pic:blipFill>
                    <a:blip r:embed="rId381">
                      <a:extLst>
                        <a:ext uri="{28A0092B-C50C-407E-A947-70E740481C1C}">
                          <a14:useLocalDpi xmlns:a14="http://schemas.microsoft.com/office/drawing/2010/main" val="0"/>
                        </a:ext>
                      </a:extLst>
                    </a:blip>
                    <a:stretch>
                      <a:fillRect/>
                    </a:stretch>
                  </pic:blipFill>
                  <pic:spPr>
                    <a:xfrm>
                      <a:off x="0" y="0"/>
                      <a:ext cx="8077200" cy="3243072"/>
                    </a:xfrm>
                    <a:prstGeom prst="rect">
                      <a:avLst/>
                    </a:prstGeom>
                  </pic:spPr>
                </pic:pic>
              </a:graphicData>
            </a:graphic>
          </wp:anchor>
        </w:drawing>
      </w:r>
    </w:p>
    <w:p w14:paraId="18102AC7" w14:textId="55C634CE" w:rsidR="002840C3" w:rsidRPr="002840C3" w:rsidRDefault="002840C3" w:rsidP="002840C3">
      <w:pPr>
        <w:jc w:val="center"/>
        <w:rPr>
          <w:rFonts w:ascii="Calibri" w:eastAsia="Calibri" w:hAnsi="Calibri" w:cs="Calibri"/>
          <w:color w:val="000000"/>
          <w:kern w:val="0"/>
          <w:lang w:val="es-ES" w:eastAsia="es-CR"/>
          <w14:ligatures w14:val="none"/>
        </w:rPr>
      </w:pPr>
      <w:r w:rsidRPr="002840C3">
        <w:rPr>
          <w:rFonts w:ascii="Calibri" w:eastAsia="Calibri" w:hAnsi="Calibri" w:cs="Calibri"/>
          <w:color w:val="000000"/>
          <w:kern w:val="0"/>
          <w:lang w:val="es-ES" w:eastAsia="es-CR"/>
          <w14:ligatures w14:val="none"/>
        </w:rPr>
        <w:br w:type="page"/>
      </w:r>
    </w:p>
    <w:p w14:paraId="3F45D8B4" w14:textId="77777777" w:rsidR="002840C3" w:rsidRPr="002840C3" w:rsidRDefault="002840C3" w:rsidP="002840C3">
      <w:pPr>
        <w:jc w:val="center"/>
        <w:rPr>
          <w:rFonts w:ascii="Calibri" w:eastAsia="Calibri" w:hAnsi="Calibri" w:cs="Calibri"/>
          <w:b/>
          <w:bCs/>
          <w:color w:val="000000"/>
          <w:kern w:val="0"/>
          <w:lang w:val="es-ES" w:eastAsia="es-CR"/>
          <w14:ligatures w14:val="none"/>
        </w:rPr>
      </w:pPr>
      <w:r w:rsidRPr="002840C3">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68256" behindDoc="0" locked="0" layoutInCell="1" allowOverlap="1" wp14:anchorId="2E76936B" wp14:editId="16024CC9">
                <wp:simplePos x="0" y="0"/>
                <wp:positionH relativeFrom="margin">
                  <wp:align>center</wp:align>
                </wp:positionH>
                <wp:positionV relativeFrom="paragraph">
                  <wp:posOffset>0</wp:posOffset>
                </wp:positionV>
                <wp:extent cx="6606540" cy="411480"/>
                <wp:effectExtent l="0" t="0" r="22860" b="26670"/>
                <wp:wrapNone/>
                <wp:docPr id="1034187076" name="Cuadro de texto 1034187076"/>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3142C0D" w14:textId="77777777" w:rsidR="002840C3" w:rsidRPr="002840C3" w:rsidRDefault="002840C3" w:rsidP="002840C3">
                            <w:pPr>
                              <w:jc w:val="center"/>
                              <w:rPr>
                                <w:rFonts w:cs="Calibri"/>
                                <w:bCs/>
                              </w:rPr>
                            </w:pPr>
                            <w:r w:rsidRPr="002840C3">
                              <w:rPr>
                                <w:rFonts w:cs="Calibri"/>
                                <w:b/>
                              </w:rPr>
                              <w:t>ESCALA DE EVALUACIÓN – EJERCICIO DE TRADUCCIÓN</w:t>
                            </w:r>
                          </w:p>
                          <w:p w14:paraId="07EAA8B9" w14:textId="77777777" w:rsidR="002840C3" w:rsidRPr="002840C3" w:rsidRDefault="002840C3" w:rsidP="002840C3">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6936B" id="Cuadro de texto 1034187076" o:spid="_x0000_s1192" type="#_x0000_t202" style="position:absolute;left:0;text-align:left;margin-left:0;margin-top:0;width:520.2pt;height:32.4pt;z-index:252768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" fillcolor="window" strokeweight=".5pt">
                <v:textbox>
                  <w:txbxContent>
                    <w:p w14:paraId="13142C0D" w14:textId="77777777" w:rsidR="002840C3" w:rsidRPr="002840C3" w:rsidRDefault="002840C3" w:rsidP="002840C3">
                      <w:pPr>
                        <w:jc w:val="center"/>
                        <w:rPr>
                          <w:rFonts w:cs="Calibri"/>
                          <w:bCs/>
                        </w:rPr>
                      </w:pPr>
                      <w:r w:rsidRPr="002840C3">
                        <w:rPr>
                          <w:rFonts w:cs="Calibri"/>
                          <w:b/>
                        </w:rPr>
                        <w:t>ESCALA DE EVALUACIÓN – EJERCICIO DE TRADUCCIÓN</w:t>
                      </w:r>
                    </w:p>
                    <w:p w14:paraId="07EAA8B9" w14:textId="77777777" w:rsidR="002840C3" w:rsidRPr="002840C3" w:rsidRDefault="002840C3" w:rsidP="002840C3">
                      <w:pPr>
                        <w:jc w:val="center"/>
                        <w:rPr>
                          <w:rFonts w:cs="Calibri"/>
                        </w:rPr>
                      </w:pPr>
                    </w:p>
                  </w:txbxContent>
                </v:textbox>
                <w10:wrap anchorx="margin"/>
              </v:shape>
            </w:pict>
          </mc:Fallback>
        </mc:AlternateContent>
      </w:r>
    </w:p>
    <w:p w14:paraId="75974502" w14:textId="77777777" w:rsidR="002840C3" w:rsidRPr="002840C3" w:rsidRDefault="002840C3" w:rsidP="002840C3">
      <w:pPr>
        <w:rPr>
          <w:rFonts w:ascii="Calibri" w:eastAsia="Calibri" w:hAnsi="Calibri" w:cs="Calibri"/>
          <w:b/>
          <w:bCs/>
          <w:color w:val="000000"/>
          <w:kern w:val="0"/>
          <w:lang w:val="es-ES" w:eastAsia="es-CR"/>
          <w14:ligatures w14:val="none"/>
        </w:rPr>
      </w:pPr>
    </w:p>
    <w:p w14:paraId="473F52D7" w14:textId="77777777" w:rsidR="002840C3" w:rsidRPr="002840C3" w:rsidRDefault="002840C3" w:rsidP="002840C3">
      <w:pPr>
        <w:jc w:val="center"/>
        <w:rPr>
          <w:rFonts w:ascii="Calibri" w:eastAsia="Calibri" w:hAnsi="Calibri" w:cs="Calibri"/>
          <w:color w:val="0070C0"/>
          <w:kern w:val="0"/>
          <w:lang w:val="es-ES" w:eastAsia="es-CR"/>
          <w14:ligatures w14:val="none"/>
        </w:rPr>
      </w:pPr>
      <w:r w:rsidRPr="002840C3">
        <w:rPr>
          <w:rFonts w:ascii="Calibri" w:eastAsia="Calibri" w:hAnsi="Calibri" w:cs="Calibri"/>
          <w:color w:val="0070C0"/>
          <w:kern w:val="0"/>
          <w:lang w:val="es-ES" w:eastAsia="es-CR"/>
          <w14:ligatures w14:val="none"/>
        </w:rPr>
        <w:t>Estos ejercicios permitirán que los y las estudiantes hagan una aplicación práctica de lo aprendido en la traducción de textos bíblicos escritos en griego. Se realizan en las sesiones 4, 8 y 10. Cada ejercicio tiene un valor de 5%.</w:t>
      </w:r>
    </w:p>
    <w:p w14:paraId="6359D859" w14:textId="77777777" w:rsidR="002840C3" w:rsidRPr="002840C3" w:rsidRDefault="002840C3" w:rsidP="002840C3">
      <w:pPr>
        <w:jc w:val="center"/>
        <w:rPr>
          <w:rFonts w:ascii="Calibri" w:eastAsia="Calibri" w:hAnsi="Calibri" w:cs="Calibri"/>
          <w:color w:val="000000"/>
          <w:kern w:val="0"/>
          <w:lang w:val="es-ES" w:eastAsia="es-CR"/>
          <w14:ligatures w14:val="none"/>
        </w:rPr>
      </w:pPr>
    </w:p>
    <w:p w14:paraId="08CDAACC" w14:textId="6743D7B7" w:rsidR="002840C3" w:rsidRPr="002840C3" w:rsidRDefault="0029597A" w:rsidP="002840C3">
      <w:pPr>
        <w:jc w:val="center"/>
        <w:rPr>
          <w:rFonts w:ascii="Calibri" w:eastAsia="Calibri" w:hAnsi="Calibri" w:cs="Calibri"/>
          <w:color w:val="000000"/>
          <w:kern w:val="0"/>
          <w:lang w:val="es-ES" w:eastAsia="es-CR"/>
          <w14:ligatures w14:val="none"/>
        </w:rPr>
      </w:pPr>
      <w:r w:rsidRPr="002840C3">
        <w:rPr>
          <w:rFonts w:ascii="Calibri" w:eastAsia="Calibri" w:hAnsi="Calibri" w:cs="Calibri"/>
          <w:noProof/>
          <w:color w:val="000000"/>
          <w:kern w:val="0"/>
          <w:lang w:val="es-ES" w:eastAsia="es-CR"/>
          <w14:ligatures w14:val="none"/>
        </w:rPr>
        <w:drawing>
          <wp:anchor distT="0" distB="0" distL="114300" distR="114300" simplePos="0" relativeHeight="252769280" behindDoc="0" locked="0" layoutInCell="1" allowOverlap="1" wp14:anchorId="7148777C" wp14:editId="30B76EA8">
            <wp:simplePos x="0" y="0"/>
            <wp:positionH relativeFrom="margin">
              <wp:align>center</wp:align>
            </wp:positionH>
            <wp:positionV relativeFrom="paragraph">
              <wp:posOffset>10564</wp:posOffset>
            </wp:positionV>
            <wp:extent cx="7967472" cy="3279648"/>
            <wp:effectExtent l="0" t="0" r="0" b="0"/>
            <wp:wrapNone/>
            <wp:docPr id="901613364"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13364" name="Imagen 2" descr="Interfaz de usuario gráfica, Aplicación&#10;&#10;Descripción generada automáticamente"/>
                    <pic:cNvPicPr/>
                  </pic:nvPicPr>
                  <pic:blipFill>
                    <a:blip r:embed="rId382">
                      <a:extLst>
                        <a:ext uri="{28A0092B-C50C-407E-A947-70E740481C1C}">
                          <a14:useLocalDpi xmlns:a14="http://schemas.microsoft.com/office/drawing/2010/main" val="0"/>
                        </a:ext>
                      </a:extLst>
                    </a:blip>
                    <a:stretch>
                      <a:fillRect/>
                    </a:stretch>
                  </pic:blipFill>
                  <pic:spPr>
                    <a:xfrm>
                      <a:off x="0" y="0"/>
                      <a:ext cx="7967472" cy="3279648"/>
                    </a:xfrm>
                    <a:prstGeom prst="rect">
                      <a:avLst/>
                    </a:prstGeom>
                  </pic:spPr>
                </pic:pic>
              </a:graphicData>
            </a:graphic>
          </wp:anchor>
        </w:drawing>
      </w:r>
    </w:p>
    <w:p w14:paraId="551E0D21" w14:textId="7486825B" w:rsidR="002840C3" w:rsidRPr="002840C3" w:rsidRDefault="002840C3" w:rsidP="002840C3">
      <w:pPr>
        <w:jc w:val="center"/>
        <w:rPr>
          <w:rFonts w:ascii="Calibri" w:eastAsia="Calibri" w:hAnsi="Calibri" w:cs="Calibri"/>
          <w:color w:val="000000"/>
          <w:kern w:val="0"/>
          <w:lang w:val="es-ES" w:eastAsia="es-CR"/>
          <w14:ligatures w14:val="none"/>
        </w:rPr>
      </w:pPr>
    </w:p>
    <w:p w14:paraId="7CEA8D97" w14:textId="77777777" w:rsidR="002840C3" w:rsidRPr="002840C3" w:rsidRDefault="002840C3" w:rsidP="002840C3">
      <w:pPr>
        <w:rPr>
          <w:rFonts w:ascii="Calibri" w:eastAsia="Calibri" w:hAnsi="Calibri" w:cs="Calibri"/>
          <w:b/>
          <w:bCs/>
          <w:color w:val="000000"/>
          <w:kern w:val="0"/>
          <w:lang w:val="es-ES" w:eastAsia="es-CR"/>
          <w14:ligatures w14:val="none"/>
        </w:rPr>
      </w:pPr>
    </w:p>
    <w:p w14:paraId="4D46DB8E" w14:textId="77777777" w:rsidR="002840C3" w:rsidRPr="002840C3" w:rsidRDefault="002840C3" w:rsidP="002840C3">
      <w:pPr>
        <w:rPr>
          <w:rFonts w:ascii="Calibri" w:eastAsia="Calibri" w:hAnsi="Calibri" w:cs="Calibri"/>
          <w:b/>
          <w:bCs/>
          <w:color w:val="000000"/>
          <w:kern w:val="0"/>
          <w:lang w:val="es-ES" w:eastAsia="es-CR"/>
          <w14:ligatures w14:val="none"/>
        </w:rPr>
      </w:pPr>
    </w:p>
    <w:p w14:paraId="3261C09C" w14:textId="77777777" w:rsidR="002840C3" w:rsidRPr="002840C3" w:rsidRDefault="002840C3" w:rsidP="002840C3">
      <w:pPr>
        <w:rPr>
          <w:rFonts w:ascii="Calibri" w:eastAsia="Calibri" w:hAnsi="Calibri" w:cs="Calibri"/>
          <w:b/>
          <w:bCs/>
          <w:color w:val="000000"/>
          <w:kern w:val="0"/>
          <w:lang w:val="es-ES" w:eastAsia="es-CR"/>
          <w14:ligatures w14:val="none"/>
        </w:rPr>
      </w:pPr>
      <w:r w:rsidRPr="002840C3">
        <w:rPr>
          <w:rFonts w:ascii="Calibri" w:eastAsia="Calibri" w:hAnsi="Calibri" w:cs="Calibri"/>
          <w:b/>
          <w:bCs/>
          <w:color w:val="000000"/>
          <w:kern w:val="0"/>
          <w:lang w:val="es-ES" w:eastAsia="es-CR"/>
          <w14:ligatures w14:val="none"/>
        </w:rPr>
        <w:br w:type="page"/>
      </w:r>
    </w:p>
    <w:p w14:paraId="6B26FB55" w14:textId="77777777" w:rsidR="002840C3" w:rsidRPr="002840C3" w:rsidRDefault="002840C3" w:rsidP="002840C3">
      <w:pPr>
        <w:jc w:val="center"/>
        <w:rPr>
          <w:rFonts w:ascii="Calibri" w:eastAsia="Calibri" w:hAnsi="Calibri" w:cs="Calibri"/>
          <w:b/>
          <w:bCs/>
          <w:color w:val="000000"/>
          <w:kern w:val="0"/>
          <w:lang w:val="es-ES" w:eastAsia="es-CR"/>
          <w14:ligatures w14:val="none"/>
        </w:rPr>
      </w:pPr>
      <w:r w:rsidRPr="002840C3">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70304" behindDoc="0" locked="0" layoutInCell="1" allowOverlap="1" wp14:anchorId="5E09B49E" wp14:editId="3562F428">
                <wp:simplePos x="0" y="0"/>
                <wp:positionH relativeFrom="margin">
                  <wp:align>center</wp:align>
                </wp:positionH>
                <wp:positionV relativeFrom="paragraph">
                  <wp:posOffset>-953</wp:posOffset>
                </wp:positionV>
                <wp:extent cx="6606540" cy="411480"/>
                <wp:effectExtent l="0" t="0" r="22860" b="26670"/>
                <wp:wrapNone/>
                <wp:docPr id="1298251242" name="Cuadro de texto 1298251242"/>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05764F2" w14:textId="77777777" w:rsidR="002840C3" w:rsidRPr="002840C3" w:rsidRDefault="002840C3" w:rsidP="002840C3">
                            <w:pPr>
                              <w:jc w:val="center"/>
                              <w:rPr>
                                <w:rFonts w:cs="Calibri"/>
                                <w:bCs/>
                              </w:rPr>
                            </w:pPr>
                            <w:r w:rsidRPr="002840C3">
                              <w:rPr>
                                <w:rFonts w:cs="Calibri"/>
                                <w:b/>
                              </w:rPr>
                              <w:t>ESCALA DE EVALUACIÓN – EXÁMEN ESCRITO</w:t>
                            </w:r>
                          </w:p>
                          <w:p w14:paraId="43C88A68" w14:textId="77777777" w:rsidR="002840C3" w:rsidRPr="002840C3" w:rsidRDefault="002840C3" w:rsidP="002840C3">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9B49E" id="Cuadro de texto 1298251242" o:spid="_x0000_s1193" type="#_x0000_t202" style="position:absolute;left:0;text-align:left;margin-left:0;margin-top:-.1pt;width:520.2pt;height:32.4pt;z-index:252770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" fillcolor="window" strokeweight=".5pt">
                <v:textbox>
                  <w:txbxContent>
                    <w:p w14:paraId="505764F2" w14:textId="77777777" w:rsidR="002840C3" w:rsidRPr="002840C3" w:rsidRDefault="002840C3" w:rsidP="002840C3">
                      <w:pPr>
                        <w:jc w:val="center"/>
                        <w:rPr>
                          <w:rFonts w:cs="Calibri"/>
                          <w:bCs/>
                        </w:rPr>
                      </w:pPr>
                      <w:r w:rsidRPr="002840C3">
                        <w:rPr>
                          <w:rFonts w:cs="Calibri"/>
                          <w:b/>
                        </w:rPr>
                        <w:t>ESCALA DE EVALUACIÓN – EXÁMEN ESCRITO</w:t>
                      </w:r>
                    </w:p>
                    <w:p w14:paraId="43C88A68" w14:textId="77777777" w:rsidR="002840C3" w:rsidRPr="002840C3" w:rsidRDefault="002840C3" w:rsidP="002840C3">
                      <w:pPr>
                        <w:jc w:val="center"/>
                        <w:rPr>
                          <w:rFonts w:cs="Calibri"/>
                        </w:rPr>
                      </w:pPr>
                    </w:p>
                  </w:txbxContent>
                </v:textbox>
                <w10:wrap anchorx="margin"/>
              </v:shape>
            </w:pict>
          </mc:Fallback>
        </mc:AlternateContent>
      </w:r>
    </w:p>
    <w:p w14:paraId="5184E3D7" w14:textId="77777777" w:rsidR="002840C3" w:rsidRPr="002840C3" w:rsidRDefault="002840C3" w:rsidP="002840C3">
      <w:pPr>
        <w:jc w:val="center"/>
        <w:rPr>
          <w:rFonts w:ascii="Calibri" w:eastAsia="Calibri" w:hAnsi="Calibri" w:cs="Calibri"/>
          <w:b/>
          <w:bCs/>
          <w:color w:val="000000"/>
          <w:kern w:val="0"/>
          <w:lang w:val="es-ES" w:eastAsia="es-CR"/>
          <w14:ligatures w14:val="none"/>
        </w:rPr>
      </w:pPr>
    </w:p>
    <w:p w14:paraId="72258199" w14:textId="77777777" w:rsidR="002840C3" w:rsidRPr="002840C3" w:rsidRDefault="002840C3" w:rsidP="002840C3">
      <w:pPr>
        <w:jc w:val="center"/>
        <w:rPr>
          <w:rFonts w:ascii="Calibri" w:eastAsia="Calibri" w:hAnsi="Calibri" w:cs="Calibri"/>
          <w:color w:val="0070C0"/>
          <w:kern w:val="0"/>
          <w:lang w:val="es-ES" w:eastAsia="es-CR"/>
          <w14:ligatures w14:val="none"/>
        </w:rPr>
      </w:pPr>
      <w:r w:rsidRPr="002840C3">
        <w:rPr>
          <w:rFonts w:ascii="Calibri" w:eastAsia="Calibri" w:hAnsi="Calibri" w:cs="Calibri"/>
          <w:color w:val="0070C0"/>
          <w:kern w:val="0"/>
          <w:lang w:val="es-ES" w:eastAsia="es-CR"/>
          <w14:ligatures w14:val="none"/>
        </w:rPr>
        <w:t>Los exámenes escritos valorarán de forma acumulativa los aprendizajes y las competencias desarrolladas a lo largo del curso. Se trata de traducciones asincrónicas a lo largo de la sesión en las que se asignen que pretenden demostrar el manejo de las herramientas (gramática, diccionario, concordancias). Se llevan a cabo en las sesiones 7 y 15. Cada examen tiene un valor de 25%.</w:t>
      </w:r>
    </w:p>
    <w:p w14:paraId="23E9CA43" w14:textId="77777777" w:rsidR="002840C3" w:rsidRPr="002840C3" w:rsidRDefault="002840C3" w:rsidP="002840C3">
      <w:pPr>
        <w:jc w:val="center"/>
        <w:rPr>
          <w:rFonts w:ascii="Calibri" w:eastAsia="Calibri" w:hAnsi="Calibri" w:cs="Calibri"/>
          <w:color w:val="000000"/>
          <w:kern w:val="0"/>
          <w:lang w:val="es-ES" w:eastAsia="es-CR"/>
          <w14:ligatures w14:val="none"/>
        </w:rPr>
      </w:pPr>
    </w:p>
    <w:p w14:paraId="5B013398" w14:textId="77777777" w:rsidR="002840C3" w:rsidRPr="002840C3" w:rsidRDefault="002840C3" w:rsidP="002840C3">
      <w:pPr>
        <w:jc w:val="center"/>
        <w:rPr>
          <w:rFonts w:ascii="Calibri" w:eastAsia="Calibri" w:hAnsi="Calibri" w:cs="Calibri"/>
          <w:color w:val="000000"/>
          <w:kern w:val="0"/>
          <w:lang w:val="es-ES" w:eastAsia="es-CR"/>
          <w14:ligatures w14:val="none"/>
        </w:rPr>
      </w:pPr>
    </w:p>
    <w:p w14:paraId="58254474" w14:textId="77777777" w:rsidR="002840C3" w:rsidRPr="002840C3" w:rsidRDefault="002840C3" w:rsidP="002840C3">
      <w:pPr>
        <w:jc w:val="center"/>
        <w:rPr>
          <w:rFonts w:ascii="Calibri" w:eastAsia="Calibri" w:hAnsi="Calibri" w:cs="Calibri"/>
          <w:color w:val="000000"/>
          <w:kern w:val="0"/>
          <w:lang w:val="es-ES" w:eastAsia="es-CR"/>
          <w14:ligatures w14:val="none"/>
        </w:rPr>
      </w:pPr>
      <w:r w:rsidRPr="002840C3">
        <w:rPr>
          <w:rFonts w:ascii="Calibri" w:eastAsia="Calibri" w:hAnsi="Calibri" w:cs="Calibri"/>
          <w:noProof/>
          <w:color w:val="000000"/>
          <w:kern w:val="0"/>
          <w:lang w:val="es-ES" w:eastAsia="es-CR"/>
          <w14:ligatures w14:val="none"/>
        </w:rPr>
        <w:drawing>
          <wp:inline distT="0" distB="0" distL="0" distR="0" wp14:anchorId="303D6572" wp14:editId="3E6981C2">
            <wp:extent cx="7979664" cy="3285744"/>
            <wp:effectExtent l="0" t="0" r="2540" b="0"/>
            <wp:docPr id="1116151171" name="Imagen 3"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51171" name="Imagen 3" descr="Interfaz de usuario gráfica, Tabla&#10;&#10;Descripción generada automáticamente"/>
                    <pic:cNvPicPr/>
                  </pic:nvPicPr>
                  <pic:blipFill>
                    <a:blip r:embed="rId383">
                      <a:extLst>
                        <a:ext uri="{28A0092B-C50C-407E-A947-70E740481C1C}">
                          <a14:useLocalDpi xmlns:a14="http://schemas.microsoft.com/office/drawing/2010/main" val="0"/>
                        </a:ext>
                      </a:extLst>
                    </a:blip>
                    <a:stretch>
                      <a:fillRect/>
                    </a:stretch>
                  </pic:blipFill>
                  <pic:spPr>
                    <a:xfrm>
                      <a:off x="0" y="0"/>
                      <a:ext cx="7979664" cy="3285744"/>
                    </a:xfrm>
                    <a:prstGeom prst="rect">
                      <a:avLst/>
                    </a:prstGeom>
                  </pic:spPr>
                </pic:pic>
              </a:graphicData>
            </a:graphic>
          </wp:inline>
        </w:drawing>
      </w:r>
    </w:p>
    <w:p w14:paraId="28C0081C" w14:textId="77777777" w:rsidR="002840C3" w:rsidRPr="002840C3" w:rsidRDefault="002840C3" w:rsidP="002840C3">
      <w:pPr>
        <w:jc w:val="center"/>
        <w:rPr>
          <w:rFonts w:ascii="Calibri" w:eastAsia="Calibri" w:hAnsi="Calibri" w:cs="Calibri"/>
          <w:b/>
          <w:bCs/>
          <w:color w:val="000000"/>
          <w:kern w:val="0"/>
          <w:lang w:val="es-ES" w:eastAsia="es-CR"/>
          <w14:ligatures w14:val="none"/>
        </w:rPr>
      </w:pPr>
      <w:r w:rsidRPr="002840C3">
        <w:rPr>
          <w:rFonts w:ascii="Calibri" w:eastAsia="Calibri" w:hAnsi="Calibri" w:cs="Calibri"/>
          <w:b/>
          <w:bCs/>
          <w:color w:val="000000"/>
          <w:kern w:val="0"/>
          <w:lang w:val="es-ES" w:eastAsia="es-CR"/>
          <w14:ligatures w14:val="none"/>
        </w:rPr>
        <w:br w:type="page"/>
      </w:r>
    </w:p>
    <w:p w14:paraId="6A03D836" w14:textId="77777777" w:rsidR="002840C3" w:rsidRPr="002840C3" w:rsidRDefault="002840C3" w:rsidP="002840C3">
      <w:pPr>
        <w:jc w:val="center"/>
        <w:rPr>
          <w:rFonts w:ascii="Calibri" w:eastAsia="Calibri" w:hAnsi="Calibri" w:cs="Calibri"/>
          <w:b/>
          <w:bCs/>
          <w:color w:val="000000"/>
          <w:kern w:val="0"/>
          <w:lang w:val="es-ES" w:eastAsia="es-CR"/>
          <w14:ligatures w14:val="none"/>
        </w:rPr>
      </w:pPr>
      <w:r w:rsidRPr="002840C3">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71328" behindDoc="0" locked="0" layoutInCell="1" allowOverlap="1" wp14:anchorId="70A3C3EB" wp14:editId="55A00368">
                <wp:simplePos x="0" y="0"/>
                <wp:positionH relativeFrom="margin">
                  <wp:align>center</wp:align>
                </wp:positionH>
                <wp:positionV relativeFrom="paragraph">
                  <wp:posOffset>28575</wp:posOffset>
                </wp:positionV>
                <wp:extent cx="6606540" cy="411480"/>
                <wp:effectExtent l="0" t="0" r="22860" b="26670"/>
                <wp:wrapNone/>
                <wp:docPr id="1829337695" name="Cuadro de texto 1829337695"/>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7F72803C" w14:textId="77777777" w:rsidR="002840C3" w:rsidRPr="002840C3" w:rsidRDefault="002840C3" w:rsidP="002840C3">
                            <w:pPr>
                              <w:jc w:val="center"/>
                              <w:rPr>
                                <w:rFonts w:cs="Calibri"/>
                                <w:bCs/>
                              </w:rPr>
                            </w:pPr>
                            <w:r w:rsidRPr="002840C3">
                              <w:rPr>
                                <w:rFonts w:cs="Calibri"/>
                                <w:b/>
                              </w:rPr>
                              <w:t>ESCALA DE EVALUACIÓN – EXAMEN DE LECTURA</w:t>
                            </w:r>
                          </w:p>
                          <w:p w14:paraId="66AE706F" w14:textId="77777777" w:rsidR="002840C3" w:rsidRPr="002840C3" w:rsidRDefault="002840C3" w:rsidP="002840C3">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3C3EB" id="Cuadro de texto 1829337695" o:spid="_x0000_s1194" type="#_x0000_t202" style="position:absolute;left:0;text-align:left;margin-left:0;margin-top:2.25pt;width:520.2pt;height:32.4pt;z-index:252771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" fillcolor="window" strokeweight=".5pt">
                <v:textbox>
                  <w:txbxContent>
                    <w:p w14:paraId="7F72803C" w14:textId="77777777" w:rsidR="002840C3" w:rsidRPr="002840C3" w:rsidRDefault="002840C3" w:rsidP="002840C3">
                      <w:pPr>
                        <w:jc w:val="center"/>
                        <w:rPr>
                          <w:rFonts w:cs="Calibri"/>
                          <w:bCs/>
                        </w:rPr>
                      </w:pPr>
                      <w:r w:rsidRPr="002840C3">
                        <w:rPr>
                          <w:rFonts w:cs="Calibri"/>
                          <w:b/>
                        </w:rPr>
                        <w:t>ESCALA DE EVALUACIÓN – EXAMEN DE LECTURA</w:t>
                      </w:r>
                    </w:p>
                    <w:p w14:paraId="66AE706F" w14:textId="77777777" w:rsidR="002840C3" w:rsidRPr="002840C3" w:rsidRDefault="002840C3" w:rsidP="002840C3">
                      <w:pPr>
                        <w:jc w:val="center"/>
                        <w:rPr>
                          <w:rFonts w:cs="Calibri"/>
                        </w:rPr>
                      </w:pPr>
                    </w:p>
                  </w:txbxContent>
                </v:textbox>
                <w10:wrap anchorx="margin"/>
              </v:shape>
            </w:pict>
          </mc:Fallback>
        </mc:AlternateContent>
      </w:r>
    </w:p>
    <w:p w14:paraId="308A78BE" w14:textId="77777777" w:rsidR="002840C3" w:rsidRPr="002840C3" w:rsidRDefault="002840C3" w:rsidP="002840C3">
      <w:pPr>
        <w:jc w:val="center"/>
        <w:rPr>
          <w:rFonts w:ascii="Calibri" w:eastAsia="Calibri" w:hAnsi="Calibri" w:cs="Calibri"/>
          <w:b/>
          <w:bCs/>
          <w:color w:val="000000"/>
          <w:kern w:val="0"/>
          <w:lang w:val="es-ES" w:eastAsia="es-CR"/>
          <w14:ligatures w14:val="none"/>
        </w:rPr>
      </w:pPr>
    </w:p>
    <w:p w14:paraId="4B46E4CB" w14:textId="77777777" w:rsidR="002840C3" w:rsidRPr="002840C3" w:rsidRDefault="002840C3" w:rsidP="002840C3">
      <w:pPr>
        <w:jc w:val="center"/>
        <w:rPr>
          <w:rFonts w:ascii="Calibri" w:eastAsia="Calibri" w:hAnsi="Calibri" w:cs="Calibri"/>
          <w:color w:val="0070C0"/>
          <w:kern w:val="0"/>
          <w:lang w:val="es-ES" w:eastAsia="es-CR"/>
          <w14:ligatures w14:val="none"/>
        </w:rPr>
      </w:pPr>
      <w:r w:rsidRPr="002840C3">
        <w:rPr>
          <w:rFonts w:ascii="Calibri" w:eastAsia="Calibri" w:hAnsi="Calibri" w:cs="Calibri"/>
          <w:color w:val="0070C0"/>
          <w:kern w:val="0"/>
          <w:lang w:val="es-ES" w:eastAsia="es-CR"/>
          <w14:ligatures w14:val="none"/>
        </w:rPr>
        <w:t>El examen de lectura se desarrollará en las últimas dos sesiones del curso (14 y 15) en un encuentro sincrónico virtual convenido entre la persona docente y la persona estudiante. Tiene un valor de 20%.</w:t>
      </w:r>
    </w:p>
    <w:p w14:paraId="79C41C6E" w14:textId="77777777" w:rsidR="002840C3" w:rsidRPr="002840C3" w:rsidRDefault="002840C3" w:rsidP="002840C3">
      <w:pPr>
        <w:jc w:val="center"/>
        <w:rPr>
          <w:rFonts w:ascii="Calibri" w:eastAsia="Calibri" w:hAnsi="Calibri" w:cs="Calibri"/>
          <w:color w:val="000000"/>
          <w:kern w:val="0"/>
          <w:lang w:val="es-ES" w:eastAsia="es-CR"/>
          <w14:ligatures w14:val="none"/>
        </w:rPr>
      </w:pPr>
    </w:p>
    <w:p w14:paraId="73839C3F" w14:textId="77777777" w:rsidR="002840C3" w:rsidRPr="002840C3" w:rsidRDefault="002840C3" w:rsidP="002840C3">
      <w:pPr>
        <w:jc w:val="center"/>
        <w:rPr>
          <w:rFonts w:ascii="Calibri" w:eastAsia="Calibri" w:hAnsi="Calibri" w:cs="Calibri"/>
          <w:color w:val="000000"/>
          <w:kern w:val="0"/>
          <w:lang w:val="es-ES" w:eastAsia="es-CR"/>
          <w14:ligatures w14:val="none"/>
        </w:rPr>
      </w:pPr>
    </w:p>
    <w:p w14:paraId="1B0E197F" w14:textId="77777777" w:rsidR="002840C3" w:rsidRPr="002840C3" w:rsidRDefault="002840C3" w:rsidP="002840C3">
      <w:pPr>
        <w:jc w:val="center"/>
        <w:rPr>
          <w:rFonts w:ascii="Calibri" w:eastAsia="Calibri" w:hAnsi="Calibri" w:cs="Calibri"/>
          <w:color w:val="000000"/>
          <w:kern w:val="0"/>
          <w:lang w:val="es-ES" w:eastAsia="es-CR"/>
          <w14:ligatures w14:val="none"/>
        </w:rPr>
      </w:pPr>
      <w:r w:rsidRPr="002840C3">
        <w:rPr>
          <w:rFonts w:ascii="Calibri" w:eastAsia="Calibri" w:hAnsi="Calibri" w:cs="Calibri"/>
          <w:noProof/>
          <w:color w:val="000000"/>
          <w:kern w:val="0"/>
          <w:lang w:val="es-ES" w:eastAsia="es-CR"/>
          <w14:ligatures w14:val="none"/>
        </w:rPr>
        <w:drawing>
          <wp:inline distT="0" distB="0" distL="0" distR="0" wp14:anchorId="76AFA27E" wp14:editId="4AF9A353">
            <wp:extent cx="7961376" cy="3243072"/>
            <wp:effectExtent l="0" t="0" r="1905" b="0"/>
            <wp:docPr id="982638399" name="Imagen 4"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38399" name="Imagen 4" descr="Interfaz de usuario gráfica, Aplicación, Tabla&#10;&#10;Descripción generada automáticamente"/>
                    <pic:cNvPicPr/>
                  </pic:nvPicPr>
                  <pic:blipFill>
                    <a:blip r:embed="rId384">
                      <a:extLst>
                        <a:ext uri="{28A0092B-C50C-407E-A947-70E740481C1C}">
                          <a14:useLocalDpi xmlns:a14="http://schemas.microsoft.com/office/drawing/2010/main" val="0"/>
                        </a:ext>
                      </a:extLst>
                    </a:blip>
                    <a:stretch>
                      <a:fillRect/>
                    </a:stretch>
                  </pic:blipFill>
                  <pic:spPr>
                    <a:xfrm>
                      <a:off x="0" y="0"/>
                      <a:ext cx="7961376" cy="3243072"/>
                    </a:xfrm>
                    <a:prstGeom prst="rect">
                      <a:avLst/>
                    </a:prstGeom>
                  </pic:spPr>
                </pic:pic>
              </a:graphicData>
            </a:graphic>
          </wp:inline>
        </w:drawing>
      </w:r>
    </w:p>
    <w:p w14:paraId="06F4D350" w14:textId="77777777" w:rsidR="002840C3" w:rsidRPr="002840C3" w:rsidRDefault="002840C3" w:rsidP="002840C3">
      <w:pPr>
        <w:jc w:val="center"/>
        <w:rPr>
          <w:rFonts w:ascii="Calibri" w:eastAsia="Calibri" w:hAnsi="Calibri" w:cs="Calibri"/>
          <w:b/>
          <w:bCs/>
          <w:color w:val="000000"/>
          <w:kern w:val="0"/>
          <w:lang w:val="es-ES" w:eastAsia="es-CR"/>
          <w14:ligatures w14:val="none"/>
        </w:rPr>
      </w:pPr>
    </w:p>
    <w:p w14:paraId="795B640C" w14:textId="77777777" w:rsidR="002840C3" w:rsidRPr="002840C3" w:rsidRDefault="002840C3" w:rsidP="002840C3">
      <w:pPr>
        <w:jc w:val="center"/>
        <w:rPr>
          <w:rFonts w:ascii="Calibri" w:eastAsia="Calibri" w:hAnsi="Calibri" w:cs="Calibri"/>
          <w:b/>
          <w:bCs/>
          <w:color w:val="000000"/>
          <w:kern w:val="0"/>
          <w:lang w:val="es-ES" w:eastAsia="es-CR"/>
          <w14:ligatures w14:val="none"/>
        </w:rPr>
      </w:pPr>
    </w:p>
    <w:p w14:paraId="421A2535" w14:textId="77777777" w:rsidR="002840C3" w:rsidRPr="002840C3" w:rsidRDefault="002840C3" w:rsidP="002840C3">
      <w:pPr>
        <w:rPr>
          <w:rFonts w:ascii="Calibri" w:eastAsia="Calibri" w:hAnsi="Calibri" w:cs="Calibri"/>
          <w:b/>
          <w:bCs/>
          <w:color w:val="000000"/>
          <w:kern w:val="0"/>
          <w:lang w:val="es-ES" w:eastAsia="es-CR"/>
          <w14:ligatures w14:val="none"/>
        </w:rPr>
      </w:pPr>
      <w:r w:rsidRPr="002840C3">
        <w:rPr>
          <w:rFonts w:ascii="Calibri" w:eastAsia="Calibri" w:hAnsi="Calibri" w:cs="Calibri"/>
          <w:b/>
          <w:bCs/>
          <w:color w:val="000000"/>
          <w:kern w:val="0"/>
          <w:lang w:val="es-ES" w:eastAsia="es-CR"/>
          <w14:ligatures w14:val="none"/>
        </w:rPr>
        <w:br w:type="page"/>
      </w:r>
    </w:p>
    <w:p w14:paraId="00123E0C" w14:textId="77777777" w:rsidR="002840C3" w:rsidRPr="002840C3" w:rsidRDefault="002840C3" w:rsidP="002840C3">
      <w:pPr>
        <w:rPr>
          <w:rFonts w:ascii="Calibri" w:eastAsia="Calibri" w:hAnsi="Calibri" w:cs="Calibri"/>
          <w:b/>
          <w:bCs/>
          <w:color w:val="000000"/>
          <w:kern w:val="0"/>
          <w:lang w:val="es-ES" w:eastAsia="es-CR"/>
          <w14:ligatures w14:val="none"/>
        </w:rPr>
        <w:sectPr w:rsidR="002840C3" w:rsidRPr="002840C3" w:rsidSect="002840C3">
          <w:pgSz w:w="15840" w:h="12240" w:orient="landscape"/>
          <w:pgMar w:top="720" w:right="720" w:bottom="720" w:left="720" w:header="709" w:footer="709" w:gutter="0"/>
          <w:cols w:space="708"/>
          <w:docGrid w:linePitch="360"/>
        </w:sectPr>
      </w:pPr>
    </w:p>
    <w:p w14:paraId="56E2F307" w14:textId="77777777" w:rsidR="002840C3" w:rsidRPr="002840C3" w:rsidRDefault="002840C3" w:rsidP="002840C3">
      <w:pPr>
        <w:rPr>
          <w:rFonts w:ascii="Calibri" w:eastAsia="Calibri" w:hAnsi="Calibri" w:cs="Calibri"/>
          <w:b/>
          <w:bCs/>
          <w:color w:val="000000"/>
          <w:kern w:val="0"/>
          <w:lang w:val="es-ES" w:eastAsia="es-CR"/>
          <w14:ligatures w14:val="none"/>
        </w:rPr>
      </w:pPr>
      <w:r w:rsidRPr="002840C3">
        <w:rPr>
          <w:rFonts w:ascii="Calibri" w:eastAsia="Calibri" w:hAnsi="Calibri" w:cs="Calibri"/>
          <w:b/>
          <w:bCs/>
          <w:color w:val="000000"/>
          <w:kern w:val="0"/>
          <w:lang w:val="es-ES" w:eastAsia="es-CR"/>
          <w14:ligatures w14:val="none"/>
        </w:rPr>
        <w:lastRenderedPageBreak/>
        <w:t>XI. Bibliografía obligatoria</w:t>
      </w:r>
    </w:p>
    <w:p w14:paraId="5B9234E0" w14:textId="77777777" w:rsidR="002840C3" w:rsidRPr="002840C3" w:rsidRDefault="002840C3" w:rsidP="002840C3">
      <w:pPr>
        <w:jc w:val="both"/>
        <w:rPr>
          <w:rFonts w:ascii="Calibri" w:eastAsia="Times New Roman" w:hAnsi="Calibri" w:cs="Arial"/>
          <w:bCs/>
          <w:color w:val="000000"/>
          <w:kern w:val="0"/>
          <w:lang w:eastAsia="es-CR"/>
          <w14:ligatures w14:val="none"/>
        </w:rPr>
      </w:pPr>
      <w:r w:rsidRPr="002840C3">
        <w:rPr>
          <w:rFonts w:ascii="Calibri" w:eastAsia="Times New Roman" w:hAnsi="Calibri" w:cs="Arial"/>
          <w:b/>
          <w:color w:val="000000"/>
          <w:kern w:val="0"/>
          <w:lang w:eastAsia="es-CR"/>
          <w14:ligatures w14:val="none"/>
        </w:rPr>
        <w:t>Nota:</w:t>
      </w:r>
      <w:r w:rsidRPr="002840C3">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2840C3">
        <w:rPr>
          <w:rFonts w:ascii="Calibri" w:eastAsia="Times New Roman" w:hAnsi="Calibri" w:cs="Arial"/>
          <w:bCs/>
          <w:color w:val="000000"/>
          <w:kern w:val="0"/>
          <w:lang w:eastAsia="es-CR"/>
          <w14:ligatures w14:val="none"/>
        </w:rPr>
        <w:t>pdf</w:t>
      </w:r>
      <w:proofErr w:type="spellEnd"/>
      <w:r w:rsidRPr="002840C3">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13035AFB" w14:textId="77777777" w:rsidR="002840C3" w:rsidRPr="002840C3" w:rsidRDefault="002840C3" w:rsidP="002840C3">
      <w:pPr>
        <w:widowControl w:val="0"/>
        <w:overflowPunct w:val="0"/>
        <w:autoSpaceDE w:val="0"/>
        <w:autoSpaceDN w:val="0"/>
        <w:adjustRightInd w:val="0"/>
        <w:spacing w:before="120" w:after="120" w:line="240" w:lineRule="auto"/>
        <w:ind w:left="539" w:right="-431" w:hanging="539"/>
        <w:rPr>
          <w:rFonts w:ascii="Calibri" w:eastAsia="Times New Roman" w:hAnsi="Calibri" w:cs="Calibri"/>
          <w:kern w:val="0"/>
          <w:szCs w:val="18"/>
          <w:lang w:val="es-ES_tradnl" w:eastAsia="es-CR"/>
          <w14:ligatures w14:val="none"/>
        </w:rPr>
      </w:pPr>
      <w:r w:rsidRPr="002840C3">
        <w:rPr>
          <w:rFonts w:ascii="Calibri" w:eastAsia="Times New Roman" w:hAnsi="Calibri" w:cs="Calibri"/>
          <w:kern w:val="0"/>
          <w:szCs w:val="18"/>
          <w:lang w:val="es-ES_tradnl" w:eastAsia="es-CR"/>
          <w14:ligatures w14:val="none"/>
        </w:rPr>
        <w:t xml:space="preserve">Delgado, Inmaculada. </w:t>
      </w:r>
      <w:r w:rsidRPr="002840C3">
        <w:rPr>
          <w:rFonts w:ascii="Calibri" w:eastAsia="Times New Roman" w:hAnsi="Calibri" w:cs="Calibri"/>
          <w:i/>
          <w:iCs/>
          <w:kern w:val="0"/>
          <w:szCs w:val="18"/>
          <w:lang w:val="es-ES_tradnl" w:eastAsia="es-CR"/>
          <w14:ligatures w14:val="none"/>
        </w:rPr>
        <w:t>Gramática griega del Nuevo Testamento: I. Morfología</w:t>
      </w:r>
      <w:r w:rsidRPr="002840C3">
        <w:rPr>
          <w:rFonts w:ascii="Calibri" w:eastAsia="Times New Roman" w:hAnsi="Calibri" w:cs="Calibri"/>
          <w:kern w:val="0"/>
          <w:szCs w:val="18"/>
          <w:lang w:val="es-ES_tradnl" w:eastAsia="es-CR"/>
          <w14:ligatures w14:val="none"/>
        </w:rPr>
        <w:t>. Estella: Verbo Divino, 2013. (</w:t>
      </w:r>
      <w:r w:rsidRPr="002840C3">
        <w:rPr>
          <w:rFonts w:ascii="Calibri" w:eastAsia="Times New Roman" w:hAnsi="Calibri" w:cs="Calibri"/>
          <w:color w:val="0070C0"/>
          <w:kern w:val="0"/>
          <w:szCs w:val="18"/>
          <w:lang w:val="es-ES_tradnl" w:eastAsia="es-CR"/>
          <w14:ligatures w14:val="none"/>
        </w:rPr>
        <w:t>clásico,</w:t>
      </w:r>
      <w:r w:rsidRPr="002840C3">
        <w:rPr>
          <w:rFonts w:ascii="Calibri" w:eastAsia="Times New Roman" w:hAnsi="Calibri" w:cs="Calibri"/>
          <w:kern w:val="0"/>
          <w:szCs w:val="18"/>
          <w:lang w:val="es-ES_tradnl" w:eastAsia="es-CR"/>
          <w14:ligatures w14:val="none"/>
        </w:rPr>
        <w:t xml:space="preserve"> última edición)</w:t>
      </w:r>
    </w:p>
    <w:p w14:paraId="02C60E5A" w14:textId="77777777" w:rsidR="002840C3" w:rsidRPr="002840C3" w:rsidRDefault="002840C3" w:rsidP="002840C3">
      <w:pPr>
        <w:widowControl w:val="0"/>
        <w:overflowPunct w:val="0"/>
        <w:autoSpaceDE w:val="0"/>
        <w:autoSpaceDN w:val="0"/>
        <w:adjustRightInd w:val="0"/>
        <w:spacing w:before="120" w:after="120" w:line="240" w:lineRule="auto"/>
        <w:ind w:left="539" w:right="-431" w:hanging="539"/>
        <w:rPr>
          <w:rFonts w:ascii="Calibri" w:eastAsia="Times New Roman" w:hAnsi="Calibri" w:cs="Calibri"/>
          <w:kern w:val="0"/>
          <w:szCs w:val="18"/>
          <w:lang w:val="es-ES_tradnl" w:eastAsia="es-CR"/>
          <w14:ligatures w14:val="none"/>
        </w:rPr>
      </w:pPr>
      <w:proofErr w:type="spellStart"/>
      <w:r w:rsidRPr="002840C3">
        <w:rPr>
          <w:rFonts w:ascii="Calibri" w:eastAsia="Times New Roman" w:hAnsi="Calibri" w:cs="Calibri"/>
          <w:color w:val="000000"/>
          <w:kern w:val="0"/>
          <w:szCs w:val="18"/>
          <w:lang w:val="es-ES_tradnl" w:eastAsia="es-CR"/>
          <w14:ligatures w14:val="none"/>
        </w:rPr>
        <w:t>Foulkes</w:t>
      </w:r>
      <w:proofErr w:type="spellEnd"/>
      <w:r w:rsidRPr="002840C3">
        <w:rPr>
          <w:rFonts w:ascii="Calibri" w:eastAsia="Times New Roman" w:hAnsi="Calibri" w:cs="Calibri"/>
          <w:color w:val="000000"/>
          <w:kern w:val="0"/>
          <w:szCs w:val="18"/>
          <w:lang w:val="es-ES_tradnl" w:eastAsia="es-CR"/>
          <w14:ligatures w14:val="none"/>
        </w:rPr>
        <w:t xml:space="preserve">, Irene. </w:t>
      </w:r>
      <w:r w:rsidRPr="002840C3">
        <w:rPr>
          <w:rFonts w:ascii="Calibri" w:eastAsia="Times New Roman" w:hAnsi="Calibri" w:cs="Calibri"/>
          <w:i/>
          <w:iCs/>
          <w:color w:val="000000"/>
          <w:kern w:val="0"/>
          <w:szCs w:val="18"/>
          <w:lang w:val="es-ES_tradnl" w:eastAsia="es-CR"/>
          <w14:ligatures w14:val="none"/>
        </w:rPr>
        <w:t>El griego del Nuevo Testamento: texto programado</w:t>
      </w:r>
      <w:r w:rsidRPr="002840C3">
        <w:rPr>
          <w:rFonts w:ascii="Calibri" w:eastAsia="Times New Roman" w:hAnsi="Calibri" w:cs="Calibri"/>
          <w:color w:val="000000"/>
          <w:kern w:val="0"/>
          <w:szCs w:val="18"/>
          <w:lang w:val="es-ES_tradnl" w:eastAsia="es-CR"/>
          <w14:ligatures w14:val="none"/>
        </w:rPr>
        <w:t xml:space="preserve">. San José: Universidad Bíblica Latinoamericana, 2010. </w:t>
      </w:r>
      <w:r w:rsidRPr="002840C3">
        <w:rPr>
          <w:rFonts w:ascii="Calibri" w:eastAsia="Times New Roman" w:hAnsi="Calibri" w:cs="Calibri"/>
          <w:kern w:val="0"/>
          <w:szCs w:val="18"/>
          <w:lang w:val="es-ES_tradnl" w:eastAsia="es-CR"/>
          <w14:ligatures w14:val="none"/>
        </w:rPr>
        <w:t>(</w:t>
      </w:r>
      <w:r w:rsidRPr="002840C3">
        <w:rPr>
          <w:rFonts w:ascii="Calibri" w:eastAsia="Times New Roman" w:hAnsi="Calibri" w:cs="Calibri"/>
          <w:color w:val="0070C0"/>
          <w:kern w:val="0"/>
          <w:szCs w:val="18"/>
          <w:lang w:val="es-ES_tradnl" w:eastAsia="es-CR"/>
          <w14:ligatures w14:val="none"/>
        </w:rPr>
        <w:t xml:space="preserve">clásico, </w:t>
      </w:r>
      <w:r w:rsidRPr="002840C3">
        <w:rPr>
          <w:rFonts w:ascii="Calibri" w:eastAsia="Times New Roman" w:hAnsi="Calibri" w:cs="Calibri"/>
          <w:kern w:val="0"/>
          <w:szCs w:val="18"/>
          <w:lang w:val="es-ES_tradnl" w:eastAsia="es-CR"/>
          <w14:ligatures w14:val="none"/>
        </w:rPr>
        <w:t>última edición)</w:t>
      </w:r>
    </w:p>
    <w:p w14:paraId="03214AE5" w14:textId="77777777" w:rsidR="002840C3" w:rsidRPr="002840C3" w:rsidRDefault="002840C3" w:rsidP="002840C3">
      <w:pPr>
        <w:widowControl w:val="0"/>
        <w:overflowPunct w:val="0"/>
        <w:autoSpaceDE w:val="0"/>
        <w:autoSpaceDN w:val="0"/>
        <w:adjustRightInd w:val="0"/>
        <w:spacing w:before="120" w:after="120" w:line="240" w:lineRule="auto"/>
        <w:ind w:left="539" w:right="-431" w:hanging="539"/>
        <w:rPr>
          <w:rFonts w:ascii="Calibri" w:eastAsia="Times New Roman" w:hAnsi="Calibri" w:cs="Calibri"/>
          <w:kern w:val="0"/>
          <w:szCs w:val="18"/>
          <w:lang w:val="es-ES_tradnl" w:eastAsia="es-CR"/>
          <w14:ligatures w14:val="none"/>
        </w:rPr>
      </w:pPr>
    </w:p>
    <w:p w14:paraId="2F42EF83" w14:textId="77777777" w:rsidR="002840C3" w:rsidRPr="002840C3" w:rsidRDefault="002840C3" w:rsidP="002840C3">
      <w:pPr>
        <w:rPr>
          <w:rFonts w:ascii="Calibri" w:eastAsia="Times New Roman" w:hAnsi="Calibri" w:cs="Calibri"/>
          <w:b/>
          <w:bCs/>
          <w:color w:val="000000"/>
          <w:kern w:val="0"/>
          <w:szCs w:val="18"/>
          <w:lang w:val="es-ES_tradnl" w:eastAsia="es-CR"/>
          <w14:ligatures w14:val="none"/>
        </w:rPr>
      </w:pPr>
      <w:r w:rsidRPr="002840C3">
        <w:rPr>
          <w:rFonts w:ascii="Calibri" w:eastAsia="Times New Roman" w:hAnsi="Calibri" w:cs="Calibri"/>
          <w:b/>
          <w:bCs/>
          <w:color w:val="000000"/>
          <w:kern w:val="0"/>
          <w:szCs w:val="18"/>
          <w:lang w:val="es-ES_tradnl" w:eastAsia="es-CR"/>
          <w14:ligatures w14:val="none"/>
        </w:rPr>
        <w:t>XII. Bibliografía complementaria</w:t>
      </w:r>
    </w:p>
    <w:p w14:paraId="35EB4788" w14:textId="77777777" w:rsidR="002840C3" w:rsidRPr="002840C3" w:rsidRDefault="002840C3" w:rsidP="002840C3">
      <w:pPr>
        <w:jc w:val="both"/>
        <w:rPr>
          <w:rFonts w:ascii="Calibri" w:eastAsia="Times New Roman" w:hAnsi="Calibri" w:cs="Calibri"/>
          <w:bCs/>
          <w:color w:val="000000"/>
          <w:kern w:val="0"/>
          <w:lang w:eastAsia="es-CR"/>
          <w14:ligatures w14:val="none"/>
        </w:rPr>
      </w:pPr>
      <w:r w:rsidRPr="002840C3">
        <w:rPr>
          <w:rFonts w:ascii="Calibri" w:eastAsia="Times New Roman" w:hAnsi="Calibri" w:cs="Arial"/>
          <w:b/>
          <w:color w:val="000000"/>
          <w:kern w:val="0"/>
          <w:lang w:eastAsia="es-CR"/>
          <w14:ligatures w14:val="none"/>
        </w:rPr>
        <w:t>Nota:</w:t>
      </w:r>
      <w:r w:rsidRPr="002840C3">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2840C3">
        <w:rPr>
          <w:rFonts w:ascii="Calibri" w:eastAsia="Times New Roman" w:hAnsi="Calibri" w:cs="Arial"/>
          <w:bCs/>
          <w:color w:val="000000"/>
          <w:kern w:val="0"/>
          <w:lang w:eastAsia="es-CR"/>
          <w14:ligatures w14:val="none"/>
        </w:rPr>
        <w:t>pdf</w:t>
      </w:r>
      <w:proofErr w:type="spellEnd"/>
      <w:r w:rsidRPr="002840C3">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w:t>
      </w:r>
      <w:r w:rsidRPr="002840C3">
        <w:rPr>
          <w:rFonts w:ascii="Calibri" w:eastAsia="Times New Roman" w:hAnsi="Calibri" w:cs="Calibri"/>
          <w:bCs/>
          <w:color w:val="000000"/>
          <w:kern w:val="0"/>
          <w:lang w:eastAsia="es-CR"/>
          <w14:ligatures w14:val="none"/>
        </w:rPr>
        <w:t>aula virtual.</w:t>
      </w:r>
    </w:p>
    <w:p w14:paraId="511329DB" w14:textId="1E240187" w:rsidR="00733225" w:rsidRPr="009C47DF" w:rsidRDefault="002840C3" w:rsidP="002840C3">
      <w:pPr>
        <w:rPr>
          <w:sz w:val="24"/>
          <w:szCs w:val="24"/>
          <w:lang w:val="es-ES_tradnl"/>
        </w:rPr>
      </w:pPr>
      <w:r w:rsidRPr="002840C3">
        <w:rPr>
          <w:rFonts w:ascii="Calibri" w:eastAsia="Times New Roman" w:hAnsi="Calibri" w:cs="Calibri"/>
          <w:color w:val="000000"/>
          <w:kern w:val="0"/>
          <w:lang w:val="en-US" w:eastAsia="es-CR"/>
          <w14:ligatures w14:val="none"/>
        </w:rPr>
        <w:t xml:space="preserve">Nestle-Aland. </w:t>
      </w:r>
      <w:r w:rsidRPr="002840C3">
        <w:rPr>
          <w:rFonts w:ascii="Calibri" w:eastAsia="Times New Roman" w:hAnsi="Calibri" w:cs="Calibri"/>
          <w:i/>
          <w:iCs/>
          <w:color w:val="000000"/>
          <w:kern w:val="0"/>
          <w:lang w:val="en-US" w:eastAsia="es-CR"/>
          <w14:ligatures w14:val="none"/>
        </w:rPr>
        <w:t xml:space="preserve">Novum </w:t>
      </w:r>
      <w:proofErr w:type="spellStart"/>
      <w:r w:rsidRPr="002840C3">
        <w:rPr>
          <w:rFonts w:ascii="Calibri" w:eastAsia="Times New Roman" w:hAnsi="Calibri" w:cs="Calibri"/>
          <w:i/>
          <w:iCs/>
          <w:color w:val="000000"/>
          <w:kern w:val="0"/>
          <w:lang w:val="en-US" w:eastAsia="es-CR"/>
          <w14:ligatures w14:val="none"/>
        </w:rPr>
        <w:t>Testamentum</w:t>
      </w:r>
      <w:proofErr w:type="spellEnd"/>
      <w:r w:rsidRPr="002840C3">
        <w:rPr>
          <w:rFonts w:ascii="Calibri" w:eastAsia="Times New Roman" w:hAnsi="Calibri" w:cs="Calibri"/>
          <w:i/>
          <w:iCs/>
          <w:color w:val="000000"/>
          <w:kern w:val="0"/>
          <w:lang w:val="en-US" w:eastAsia="es-CR"/>
          <w14:ligatures w14:val="none"/>
        </w:rPr>
        <w:t xml:space="preserve"> </w:t>
      </w:r>
      <w:proofErr w:type="spellStart"/>
      <w:r w:rsidRPr="002840C3">
        <w:rPr>
          <w:rFonts w:ascii="Calibri" w:eastAsia="Times New Roman" w:hAnsi="Calibri" w:cs="Calibri"/>
          <w:i/>
          <w:iCs/>
          <w:color w:val="000000"/>
          <w:kern w:val="0"/>
          <w:lang w:val="en-US" w:eastAsia="es-CR"/>
          <w14:ligatures w14:val="none"/>
        </w:rPr>
        <w:t>Graece</w:t>
      </w:r>
      <w:proofErr w:type="spellEnd"/>
      <w:r w:rsidRPr="002840C3">
        <w:rPr>
          <w:rFonts w:ascii="Calibri" w:eastAsia="Times New Roman" w:hAnsi="Calibri" w:cs="Calibri"/>
          <w:i/>
          <w:iCs/>
          <w:color w:val="000000"/>
          <w:kern w:val="0"/>
          <w:lang w:val="en-US" w:eastAsia="es-CR"/>
          <w14:ligatures w14:val="none"/>
        </w:rPr>
        <w:t xml:space="preserve">. </w:t>
      </w:r>
      <w:r w:rsidRPr="002840C3">
        <w:rPr>
          <w:rFonts w:ascii="Calibri" w:eastAsia="Calibri" w:hAnsi="Calibri" w:cs="Calibri"/>
          <w:color w:val="000000"/>
          <w:kern w:val="0"/>
          <w:lang w:val="de-DE" w:eastAsia="es-CR"/>
          <w14:ligatures w14:val="none"/>
        </w:rPr>
        <w:t xml:space="preserve">Stuttgart: Deutsche Bibelgesellschaft, 2012. Acceso el 2 de noviembre de 2022. </w:t>
      </w:r>
      <w:hyperlink r:id="rId385" w:history="1">
        <w:r w:rsidRPr="002840C3">
          <w:rPr>
            <w:rFonts w:ascii="Calibri" w:eastAsia="Calibri" w:hAnsi="Calibri" w:cs="Calibri"/>
            <w:color w:val="0563C1"/>
            <w:kern w:val="0"/>
            <w:u w:val="single"/>
            <w:lang w:val="de-DE" w:eastAsia="es-CR"/>
            <w14:ligatures w14:val="none"/>
          </w:rPr>
          <w:t>https://www.academic-bible.com/en/online-bibles/novum-testamentum-graece-na-28/read-the-bible-text/</w:t>
        </w:r>
      </w:hyperlink>
    </w:p>
    <w:p w14:paraId="2EAD4E9C" w14:textId="77777777" w:rsidR="0081395D" w:rsidRPr="00687AE9" w:rsidRDefault="0081395D" w:rsidP="00733225">
      <w:pPr>
        <w:rPr>
          <w:sz w:val="24"/>
          <w:szCs w:val="24"/>
        </w:rPr>
      </w:pPr>
    </w:p>
    <w:p w14:paraId="1F2F6A10" w14:textId="77777777" w:rsidR="0081395D" w:rsidRPr="00687AE9" w:rsidRDefault="0081395D" w:rsidP="00733225">
      <w:pPr>
        <w:rPr>
          <w:sz w:val="24"/>
          <w:szCs w:val="24"/>
        </w:rPr>
      </w:pPr>
    </w:p>
    <w:p w14:paraId="42026954" w14:textId="77777777" w:rsidR="0081395D" w:rsidRPr="00687AE9" w:rsidRDefault="0081395D" w:rsidP="00733225">
      <w:pPr>
        <w:rPr>
          <w:sz w:val="24"/>
          <w:szCs w:val="24"/>
        </w:rPr>
      </w:pPr>
    </w:p>
    <w:p w14:paraId="2D5E8A5A" w14:textId="77777777" w:rsidR="0081395D" w:rsidRPr="00687AE9" w:rsidRDefault="0081395D" w:rsidP="00733225">
      <w:pPr>
        <w:rPr>
          <w:sz w:val="24"/>
          <w:szCs w:val="24"/>
        </w:rPr>
      </w:pPr>
    </w:p>
    <w:p w14:paraId="3AEC8FF7" w14:textId="77777777" w:rsidR="0081395D" w:rsidRPr="00687AE9" w:rsidRDefault="0081395D" w:rsidP="00733225">
      <w:pPr>
        <w:rPr>
          <w:sz w:val="24"/>
          <w:szCs w:val="24"/>
        </w:rPr>
      </w:pPr>
    </w:p>
    <w:p w14:paraId="7991AE6B" w14:textId="77777777" w:rsidR="0081395D" w:rsidRPr="00687AE9" w:rsidRDefault="0081395D" w:rsidP="00733225">
      <w:pPr>
        <w:rPr>
          <w:sz w:val="24"/>
          <w:szCs w:val="24"/>
        </w:rPr>
      </w:pPr>
    </w:p>
    <w:p w14:paraId="187E79FF" w14:textId="77777777" w:rsidR="0081395D" w:rsidRPr="00687AE9" w:rsidRDefault="0081395D" w:rsidP="00733225">
      <w:pPr>
        <w:rPr>
          <w:sz w:val="24"/>
          <w:szCs w:val="24"/>
        </w:rPr>
      </w:pPr>
    </w:p>
    <w:p w14:paraId="6C0557AE" w14:textId="77777777" w:rsidR="0081395D" w:rsidRPr="00687AE9" w:rsidRDefault="0081395D" w:rsidP="00733225">
      <w:pPr>
        <w:rPr>
          <w:sz w:val="24"/>
          <w:szCs w:val="24"/>
        </w:rPr>
      </w:pPr>
    </w:p>
    <w:p w14:paraId="6DC3DEBD" w14:textId="77777777" w:rsidR="0081395D" w:rsidRPr="00687AE9" w:rsidRDefault="0081395D" w:rsidP="00733225">
      <w:pPr>
        <w:rPr>
          <w:sz w:val="24"/>
          <w:szCs w:val="24"/>
        </w:rPr>
      </w:pPr>
    </w:p>
    <w:p w14:paraId="0770A396" w14:textId="77777777" w:rsidR="0081395D" w:rsidRPr="00687AE9" w:rsidRDefault="0081395D" w:rsidP="00733225">
      <w:pPr>
        <w:rPr>
          <w:sz w:val="24"/>
          <w:szCs w:val="24"/>
        </w:rPr>
      </w:pPr>
    </w:p>
    <w:p w14:paraId="4A158ACB" w14:textId="17110012" w:rsidR="00670807" w:rsidRDefault="00670807">
      <w:pPr>
        <w:rPr>
          <w:sz w:val="24"/>
          <w:szCs w:val="24"/>
        </w:rPr>
      </w:pPr>
      <w:r>
        <w:rPr>
          <w:sz w:val="24"/>
          <w:szCs w:val="24"/>
        </w:rPr>
        <w:br w:type="page"/>
      </w:r>
    </w:p>
    <w:p w14:paraId="343F5349" w14:textId="77777777" w:rsidR="005E4FEC" w:rsidRPr="005E4FEC" w:rsidRDefault="005E4FEC" w:rsidP="005E4FEC">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r w:rsidRPr="005E4FEC">
        <w:rPr>
          <w:rFonts w:ascii="Calibri" w:eastAsia="Times New Roman" w:hAnsi="Calibri" w:cs="Calibri"/>
          <w:noProof/>
          <w:color w:val="000000"/>
          <w:kern w:val="0"/>
          <w:sz w:val="24"/>
          <w:szCs w:val="24"/>
          <w:lang w:eastAsia="es-CR"/>
          <w14:ligatures w14:val="none"/>
        </w:rPr>
        <w:lastRenderedPageBreak/>
        <w:drawing>
          <wp:inline distT="0" distB="0" distL="0" distR="0" wp14:anchorId="5EF4AEFB" wp14:editId="624F9388">
            <wp:extent cx="2009775" cy="1548377"/>
            <wp:effectExtent l="0" t="0" r="0" b="0"/>
            <wp:docPr id="10217794"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7794"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7C6AF374" w14:textId="77777777" w:rsidR="005E4FEC" w:rsidRPr="005E4FEC" w:rsidRDefault="005E4FEC" w:rsidP="005E4FEC">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p>
    <w:p w14:paraId="2E0AA479" w14:textId="77777777" w:rsidR="005E4FEC" w:rsidRPr="005E4FEC" w:rsidRDefault="005E4FEC" w:rsidP="005E4FEC">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r w:rsidRPr="005E4FEC">
        <w:rPr>
          <w:rFonts w:ascii="Calibri" w:eastAsia="Times New Roman" w:hAnsi="Calibri" w:cs="Calibri"/>
          <w:b/>
          <w:spacing w:val="-2"/>
          <w:kern w:val="0"/>
          <w:sz w:val="24"/>
          <w:szCs w:val="24"/>
          <w:lang w:eastAsia="es-CR"/>
          <w14:ligatures w14:val="none"/>
        </w:rPr>
        <w:t>Universidad Bíblica Latinoamericana</w:t>
      </w:r>
    </w:p>
    <w:p w14:paraId="69548F32" w14:textId="77777777" w:rsidR="005E4FEC" w:rsidRPr="005E4FEC" w:rsidRDefault="005E4FEC" w:rsidP="005E4FEC">
      <w:pPr>
        <w:keepNext/>
        <w:widowControl w:val="0"/>
        <w:overflowPunct w:val="0"/>
        <w:autoSpaceDE w:val="0"/>
        <w:autoSpaceDN w:val="0"/>
        <w:adjustRightInd w:val="0"/>
        <w:spacing w:after="0" w:line="240" w:lineRule="auto"/>
        <w:jc w:val="center"/>
        <w:outlineLvl w:val="1"/>
        <w:rPr>
          <w:rFonts w:ascii="Calibri" w:eastAsia="Times New Roman" w:hAnsi="Calibri" w:cs="Calibri"/>
          <w:b/>
          <w:i/>
          <w:spacing w:val="-2"/>
          <w:kern w:val="28"/>
          <w:sz w:val="24"/>
          <w:szCs w:val="24"/>
          <w:lang w:eastAsia="es-CR"/>
          <w14:ligatures w14:val="none"/>
        </w:rPr>
      </w:pPr>
      <w:r w:rsidRPr="005E4FEC">
        <w:rPr>
          <w:rFonts w:ascii="Calibri" w:eastAsia="Times New Roman" w:hAnsi="Calibri" w:cs="Calibri"/>
          <w:b/>
          <w:i/>
          <w:spacing w:val="-2"/>
          <w:kern w:val="28"/>
          <w:sz w:val="24"/>
          <w:szCs w:val="24"/>
          <w:lang w:eastAsia="es-CR"/>
          <w14:ligatures w14:val="none"/>
        </w:rPr>
        <w:t>Facultad de Teología</w:t>
      </w:r>
    </w:p>
    <w:p w14:paraId="6C0657D0" w14:textId="77777777" w:rsidR="005E4FEC" w:rsidRPr="005E4FEC" w:rsidRDefault="005E4FEC" w:rsidP="005E4FEC">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r w:rsidRPr="005E4FEC">
        <w:rPr>
          <w:rFonts w:ascii="Calibri" w:eastAsia="Times New Roman" w:hAnsi="Calibri" w:cs="Arial"/>
          <w:b/>
          <w:bCs/>
          <w:kern w:val="0"/>
          <w:sz w:val="24"/>
          <w:szCs w:val="20"/>
          <w:lang w:val="es-ES_tradnl" w:eastAsia="es-CR"/>
          <w14:ligatures w14:val="none"/>
        </w:rPr>
        <w:t xml:space="preserve">Bachillerato en </w:t>
      </w:r>
      <w:r w:rsidRPr="005E4FEC">
        <w:rPr>
          <w:rFonts w:ascii="Calibri" w:eastAsia="Times New Roman" w:hAnsi="Calibri" w:cs="Calibri"/>
          <w:b/>
          <w:bCs/>
          <w:kern w:val="0"/>
          <w:sz w:val="24"/>
          <w:szCs w:val="24"/>
          <w:lang w:val="es-ES_tradnl" w:eastAsia="es-CR"/>
          <w14:ligatures w14:val="none"/>
        </w:rPr>
        <w:t>Ciencias Bíblicas</w:t>
      </w:r>
    </w:p>
    <w:p w14:paraId="4A63C0EC" w14:textId="77777777" w:rsidR="005E4FEC" w:rsidRPr="005E4FEC" w:rsidRDefault="005E4FEC" w:rsidP="005E4FEC">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p>
    <w:p w14:paraId="6FECE909" w14:textId="77777777" w:rsidR="005E4FEC" w:rsidRPr="005E4FEC" w:rsidRDefault="005E4FEC" w:rsidP="005E4FEC">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5E4FEC">
        <w:rPr>
          <w:rFonts w:ascii="Calibri" w:eastAsia="Times New Roman" w:hAnsi="Calibri" w:cs="Calibri"/>
          <w:b/>
          <w:kern w:val="0"/>
          <w:sz w:val="24"/>
          <w:szCs w:val="24"/>
          <w:lang w:val="es-ES_tradnl" w:eastAsia="es-CR"/>
          <w14:ligatures w14:val="none"/>
        </w:rPr>
        <w:t>Sílabo</w:t>
      </w:r>
    </w:p>
    <w:p w14:paraId="6EB4ED29" w14:textId="77777777" w:rsidR="005E4FEC" w:rsidRPr="005E4FEC" w:rsidRDefault="005E4FEC" w:rsidP="005E4FEC">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bookmarkStart w:id="53" w:name="CB106"/>
      <w:r w:rsidRPr="005E4FEC">
        <w:rPr>
          <w:rFonts w:ascii="Calibri" w:eastAsia="Times New Roman" w:hAnsi="Calibri" w:cs="Calibri"/>
          <w:b/>
          <w:kern w:val="0"/>
          <w:sz w:val="24"/>
          <w:szCs w:val="24"/>
          <w:lang w:val="es-ES_tradnl" w:eastAsia="es-CR"/>
          <w14:ligatures w14:val="none"/>
        </w:rPr>
        <w:t>Sociología del Período Bíblico I</w:t>
      </w:r>
    </w:p>
    <w:bookmarkEnd w:id="53"/>
    <w:p w14:paraId="2DFB3781" w14:textId="77777777" w:rsidR="005E4FEC" w:rsidRPr="005E4FEC" w:rsidRDefault="005E4FEC" w:rsidP="005E4FEC">
      <w:pPr>
        <w:widowControl w:val="0"/>
        <w:overflowPunct w:val="0"/>
        <w:autoSpaceDE w:val="0"/>
        <w:autoSpaceDN w:val="0"/>
        <w:adjustRightInd w:val="0"/>
        <w:spacing w:before="120" w:after="0" w:line="240" w:lineRule="auto"/>
        <w:jc w:val="center"/>
        <w:rPr>
          <w:rFonts w:ascii="Arial" w:eastAsia="Times New Roman" w:hAnsi="Arial" w:cs="Arial"/>
          <w:b/>
          <w:kern w:val="0"/>
          <w:sz w:val="24"/>
          <w:szCs w:val="24"/>
          <w:lang w:val="es-ES_tradnl" w:eastAsia="es-CR"/>
          <w14:ligatures w14:val="none"/>
        </w:rPr>
      </w:pPr>
    </w:p>
    <w:p w14:paraId="198D2236" w14:textId="77777777" w:rsidR="005E4FEC" w:rsidRPr="005E4FEC" w:rsidRDefault="005E4FEC" w:rsidP="005E4FEC">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aconcuadrcula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
        <w:gridCol w:w="1664"/>
        <w:gridCol w:w="7158"/>
      </w:tblGrid>
      <w:tr w:rsidR="005E4FEC" w:rsidRPr="005E4FEC" w14:paraId="241057D7" w14:textId="77777777" w:rsidTr="00104785">
        <w:tc>
          <w:tcPr>
            <w:tcW w:w="1672" w:type="dxa"/>
            <w:gridSpan w:val="2"/>
          </w:tcPr>
          <w:p w14:paraId="56663CFE" w14:textId="77777777" w:rsidR="005E4FEC" w:rsidRPr="005E4FEC" w:rsidRDefault="005E4FEC" w:rsidP="005E4FEC">
            <w:pPr>
              <w:rPr>
                <w:rFonts w:ascii="Calibri" w:hAnsi="Calibri" w:cs="Calibri"/>
                <w:b/>
                <w:color w:val="000000"/>
                <w:lang w:val="es-CR"/>
              </w:rPr>
            </w:pPr>
            <w:r w:rsidRPr="005E4FEC">
              <w:rPr>
                <w:rFonts w:ascii="Calibri" w:hAnsi="Calibri" w:cs="Calibri"/>
                <w:b/>
                <w:color w:val="000000"/>
                <w:lang w:val="es-CR"/>
              </w:rPr>
              <w:t>Código</w:t>
            </w:r>
          </w:p>
        </w:tc>
        <w:tc>
          <w:tcPr>
            <w:tcW w:w="7382" w:type="dxa"/>
          </w:tcPr>
          <w:p w14:paraId="2B3ED223" w14:textId="77777777" w:rsidR="005E4FEC" w:rsidRPr="005E4FEC" w:rsidRDefault="005E4FEC" w:rsidP="005E4FEC">
            <w:pPr>
              <w:rPr>
                <w:rFonts w:ascii="Calibri" w:hAnsi="Calibri" w:cs="Calibri"/>
                <w:color w:val="000000"/>
                <w:lang w:val="es-CR"/>
              </w:rPr>
            </w:pPr>
            <w:r w:rsidRPr="005E4FEC">
              <w:rPr>
                <w:rFonts w:ascii="Calibri" w:hAnsi="Calibri" w:cs="Calibri"/>
                <w:color w:val="000000"/>
                <w:lang w:val="es-CR"/>
              </w:rPr>
              <w:t>CB 106</w:t>
            </w:r>
          </w:p>
        </w:tc>
      </w:tr>
      <w:tr w:rsidR="005E4FEC" w:rsidRPr="005E4FEC" w14:paraId="62E74B60" w14:textId="77777777" w:rsidTr="00104785">
        <w:trPr>
          <w:gridBefore w:val="1"/>
          <w:wBefore w:w="6" w:type="dxa"/>
        </w:trPr>
        <w:tc>
          <w:tcPr>
            <w:tcW w:w="1666" w:type="dxa"/>
          </w:tcPr>
          <w:p w14:paraId="2206A5C1" w14:textId="77777777" w:rsidR="005E4FEC" w:rsidRPr="005E4FEC" w:rsidRDefault="005E4FEC" w:rsidP="005E4FEC">
            <w:pPr>
              <w:rPr>
                <w:rFonts w:ascii="Calibri" w:hAnsi="Calibri" w:cs="Calibri"/>
                <w:b/>
                <w:color w:val="000000"/>
                <w:lang w:val="es-CR"/>
              </w:rPr>
            </w:pPr>
            <w:r w:rsidRPr="005E4FEC">
              <w:rPr>
                <w:rFonts w:ascii="Calibri" w:hAnsi="Calibri" w:cs="Calibri"/>
                <w:b/>
                <w:color w:val="000000"/>
                <w:lang w:val="es-CR"/>
              </w:rPr>
              <w:t>Créditos</w:t>
            </w:r>
          </w:p>
        </w:tc>
        <w:tc>
          <w:tcPr>
            <w:tcW w:w="7382" w:type="dxa"/>
          </w:tcPr>
          <w:p w14:paraId="74119E00" w14:textId="77777777" w:rsidR="005E4FEC" w:rsidRPr="005E4FEC" w:rsidRDefault="005E4FEC" w:rsidP="005E4FEC">
            <w:pPr>
              <w:rPr>
                <w:rFonts w:ascii="Calibri" w:hAnsi="Calibri" w:cs="Calibri"/>
                <w:color w:val="000000"/>
                <w:lang w:val="es-CR"/>
              </w:rPr>
            </w:pPr>
            <w:r w:rsidRPr="005E4FEC">
              <w:rPr>
                <w:rFonts w:ascii="Calibri" w:hAnsi="Calibri" w:cs="Calibri"/>
                <w:color w:val="000000"/>
                <w:lang w:val="es-CR"/>
              </w:rPr>
              <w:t>4</w:t>
            </w:r>
          </w:p>
        </w:tc>
      </w:tr>
      <w:tr w:rsidR="005E4FEC" w:rsidRPr="005E4FEC" w14:paraId="0AF51BEB" w14:textId="77777777" w:rsidTr="00104785">
        <w:trPr>
          <w:gridBefore w:val="1"/>
          <w:wBefore w:w="6" w:type="dxa"/>
        </w:trPr>
        <w:tc>
          <w:tcPr>
            <w:tcW w:w="1666" w:type="dxa"/>
          </w:tcPr>
          <w:p w14:paraId="5E4398EF" w14:textId="77777777" w:rsidR="005E4FEC" w:rsidRPr="005E4FEC" w:rsidRDefault="005E4FEC" w:rsidP="005E4FEC">
            <w:pPr>
              <w:rPr>
                <w:rFonts w:ascii="Calibri" w:hAnsi="Calibri" w:cs="Calibri"/>
                <w:b/>
                <w:color w:val="000000"/>
                <w:lang w:val="es-CR"/>
              </w:rPr>
            </w:pPr>
            <w:r w:rsidRPr="005E4FEC">
              <w:rPr>
                <w:rFonts w:ascii="Calibri" w:hAnsi="Calibri" w:cs="Calibri"/>
                <w:b/>
                <w:color w:val="000000"/>
                <w:lang w:val="es-CR"/>
              </w:rPr>
              <w:t>Requisitos</w:t>
            </w:r>
          </w:p>
        </w:tc>
        <w:tc>
          <w:tcPr>
            <w:tcW w:w="7382" w:type="dxa"/>
          </w:tcPr>
          <w:p w14:paraId="624EFAB7" w14:textId="77777777" w:rsidR="005E4FEC" w:rsidRPr="005E4FEC" w:rsidRDefault="005E4FEC" w:rsidP="005E4FEC">
            <w:pPr>
              <w:rPr>
                <w:rFonts w:ascii="Calibri" w:hAnsi="Calibri" w:cs="Calibri"/>
                <w:color w:val="000000"/>
                <w:lang w:val="es-CR"/>
              </w:rPr>
            </w:pPr>
            <w:r w:rsidRPr="005E4FEC">
              <w:rPr>
                <w:rFonts w:ascii="Calibri" w:hAnsi="Calibri" w:cs="Calibri"/>
                <w:color w:val="000000"/>
                <w:lang w:val="es-CR"/>
              </w:rPr>
              <w:t>CBX 108</w:t>
            </w:r>
          </w:p>
        </w:tc>
      </w:tr>
      <w:tr w:rsidR="005E4FEC" w:rsidRPr="005E4FEC" w14:paraId="09DBCF03" w14:textId="77777777" w:rsidTr="00104785">
        <w:trPr>
          <w:gridBefore w:val="1"/>
          <w:wBefore w:w="6" w:type="dxa"/>
        </w:trPr>
        <w:tc>
          <w:tcPr>
            <w:tcW w:w="1666" w:type="dxa"/>
          </w:tcPr>
          <w:p w14:paraId="783CCD40" w14:textId="77777777" w:rsidR="005E4FEC" w:rsidRPr="005E4FEC" w:rsidRDefault="005E4FEC" w:rsidP="005E4FEC">
            <w:pPr>
              <w:rPr>
                <w:rFonts w:ascii="Calibri" w:hAnsi="Calibri" w:cs="Calibri"/>
                <w:b/>
                <w:color w:val="000000"/>
                <w:lang w:val="es-CR"/>
              </w:rPr>
            </w:pPr>
            <w:r w:rsidRPr="005E4FEC">
              <w:rPr>
                <w:rFonts w:ascii="Calibri" w:hAnsi="Calibri" w:cs="Calibri"/>
                <w:b/>
                <w:color w:val="000000"/>
                <w:lang w:val="es-CR"/>
              </w:rPr>
              <w:t>Modalidad</w:t>
            </w:r>
          </w:p>
        </w:tc>
        <w:tc>
          <w:tcPr>
            <w:tcW w:w="7382" w:type="dxa"/>
          </w:tcPr>
          <w:p w14:paraId="4F9B0A02" w14:textId="77777777" w:rsidR="005E4FEC" w:rsidRPr="005E4FEC" w:rsidRDefault="005E4FEC" w:rsidP="005E4FEC">
            <w:pPr>
              <w:rPr>
                <w:rFonts w:ascii="Calibri" w:hAnsi="Calibri" w:cs="Calibri"/>
                <w:color w:val="000000"/>
                <w:lang w:val="es-CR"/>
              </w:rPr>
            </w:pPr>
            <w:r w:rsidRPr="005E4FEC">
              <w:rPr>
                <w:rFonts w:ascii="Calibri" w:hAnsi="Calibri" w:cs="Calibri"/>
                <w:color w:val="000000"/>
                <w:lang w:val="es-CR"/>
              </w:rPr>
              <w:t>Virtual</w:t>
            </w:r>
          </w:p>
        </w:tc>
      </w:tr>
      <w:tr w:rsidR="005E4FEC" w:rsidRPr="005E4FEC" w14:paraId="734F5FDE" w14:textId="77777777" w:rsidTr="00104785">
        <w:trPr>
          <w:gridBefore w:val="1"/>
          <w:wBefore w:w="6" w:type="dxa"/>
        </w:trPr>
        <w:tc>
          <w:tcPr>
            <w:tcW w:w="1666" w:type="dxa"/>
          </w:tcPr>
          <w:p w14:paraId="50A1693A" w14:textId="77777777" w:rsidR="005E4FEC" w:rsidRPr="005E4FEC" w:rsidRDefault="005E4FEC" w:rsidP="005E4FEC">
            <w:pPr>
              <w:rPr>
                <w:rFonts w:ascii="Calibri" w:hAnsi="Calibri" w:cs="Calibri"/>
                <w:b/>
                <w:color w:val="000000"/>
                <w:lang w:val="es-CR"/>
              </w:rPr>
            </w:pPr>
            <w:r w:rsidRPr="005E4FEC">
              <w:rPr>
                <w:rFonts w:ascii="Calibri" w:hAnsi="Calibri" w:cs="Calibri"/>
                <w:b/>
                <w:color w:val="000000"/>
                <w:lang w:val="es-CR"/>
              </w:rPr>
              <w:t>Naturaleza</w:t>
            </w:r>
          </w:p>
        </w:tc>
        <w:tc>
          <w:tcPr>
            <w:tcW w:w="7382" w:type="dxa"/>
          </w:tcPr>
          <w:p w14:paraId="5B4EA651" w14:textId="77777777" w:rsidR="005E4FEC" w:rsidRPr="005E4FEC" w:rsidRDefault="005E4FEC" w:rsidP="005E4FEC">
            <w:pPr>
              <w:rPr>
                <w:rFonts w:ascii="Calibri" w:hAnsi="Calibri" w:cs="Calibri"/>
                <w:color w:val="000000"/>
                <w:lang w:val="es-CR"/>
              </w:rPr>
            </w:pPr>
            <w:r w:rsidRPr="005E4FEC">
              <w:rPr>
                <w:rFonts w:ascii="Calibri" w:hAnsi="Calibri" w:cs="Calibri"/>
                <w:color w:val="000000"/>
                <w:lang w:val="es-CR"/>
              </w:rPr>
              <w:t>Teórico</w:t>
            </w:r>
          </w:p>
        </w:tc>
      </w:tr>
      <w:tr w:rsidR="005E4FEC" w:rsidRPr="005E4FEC" w14:paraId="4D8FDB8F" w14:textId="77777777" w:rsidTr="00104785">
        <w:trPr>
          <w:gridBefore w:val="1"/>
          <w:wBefore w:w="6" w:type="dxa"/>
        </w:trPr>
        <w:tc>
          <w:tcPr>
            <w:tcW w:w="1666" w:type="dxa"/>
          </w:tcPr>
          <w:p w14:paraId="471DBDCF" w14:textId="77777777" w:rsidR="005E4FEC" w:rsidRPr="005E4FEC" w:rsidRDefault="005E4FEC" w:rsidP="005E4FEC">
            <w:pPr>
              <w:rPr>
                <w:rFonts w:ascii="Calibri" w:hAnsi="Calibri" w:cs="Calibri"/>
                <w:b/>
                <w:color w:val="000000"/>
                <w:lang w:val="es-CR"/>
              </w:rPr>
            </w:pPr>
            <w:r w:rsidRPr="005E4FEC">
              <w:rPr>
                <w:rFonts w:ascii="Calibri" w:hAnsi="Calibri" w:cs="Calibri"/>
                <w:b/>
                <w:color w:val="000000"/>
                <w:lang w:val="es-CR"/>
              </w:rPr>
              <w:t>Periodo</w:t>
            </w:r>
          </w:p>
        </w:tc>
        <w:tc>
          <w:tcPr>
            <w:tcW w:w="7382" w:type="dxa"/>
          </w:tcPr>
          <w:p w14:paraId="5B079945" w14:textId="77777777" w:rsidR="005E4FEC" w:rsidRPr="005E4FEC" w:rsidRDefault="005E4FEC" w:rsidP="005E4FEC">
            <w:pPr>
              <w:rPr>
                <w:rFonts w:ascii="Calibri" w:hAnsi="Calibri" w:cs="Calibri"/>
                <w:color w:val="000000"/>
                <w:lang w:val="es-CR"/>
              </w:rPr>
            </w:pPr>
            <w:r w:rsidRPr="005E4FEC">
              <w:rPr>
                <w:rFonts w:ascii="Calibri" w:hAnsi="Calibri" w:cs="Calibri"/>
                <w:color w:val="000000"/>
                <w:lang w:val="es-CR"/>
              </w:rPr>
              <w:t>Cuatrimestral (15 semanas lectivas)</w:t>
            </w:r>
          </w:p>
        </w:tc>
      </w:tr>
      <w:tr w:rsidR="005E4FEC" w:rsidRPr="005E4FEC" w14:paraId="63F7E3BB" w14:textId="77777777" w:rsidTr="00104785">
        <w:trPr>
          <w:gridBefore w:val="1"/>
          <w:wBefore w:w="6" w:type="dxa"/>
        </w:trPr>
        <w:tc>
          <w:tcPr>
            <w:tcW w:w="1666" w:type="dxa"/>
          </w:tcPr>
          <w:p w14:paraId="22E6E194" w14:textId="77777777" w:rsidR="005E4FEC" w:rsidRPr="005E4FEC" w:rsidRDefault="005E4FEC" w:rsidP="005E4FEC">
            <w:pPr>
              <w:rPr>
                <w:rFonts w:ascii="Calibri" w:hAnsi="Calibri" w:cs="Calibri"/>
                <w:b/>
                <w:color w:val="000000"/>
                <w:lang w:val="es-CR"/>
              </w:rPr>
            </w:pPr>
            <w:r w:rsidRPr="005E4FEC">
              <w:rPr>
                <w:rFonts w:ascii="Calibri" w:hAnsi="Calibri" w:cs="Calibri"/>
                <w:b/>
                <w:color w:val="000000"/>
                <w:lang w:val="es-CR"/>
              </w:rPr>
              <w:t>Nivel</w:t>
            </w:r>
          </w:p>
        </w:tc>
        <w:tc>
          <w:tcPr>
            <w:tcW w:w="7382" w:type="dxa"/>
          </w:tcPr>
          <w:p w14:paraId="0E68C26F" w14:textId="77777777" w:rsidR="005E4FEC" w:rsidRPr="005E4FEC" w:rsidRDefault="005E4FEC" w:rsidP="005E4FEC">
            <w:pPr>
              <w:rPr>
                <w:rFonts w:ascii="Calibri" w:hAnsi="Calibri" w:cs="Calibri"/>
                <w:color w:val="000000"/>
                <w:lang w:val="es-CR"/>
              </w:rPr>
            </w:pPr>
            <w:r w:rsidRPr="005E4FEC">
              <w:rPr>
                <w:rFonts w:ascii="Calibri" w:hAnsi="Calibri" w:cs="Calibri"/>
                <w:color w:val="000000"/>
                <w:lang w:val="es-CR"/>
              </w:rPr>
              <w:t>VI Cuatrimestre</w:t>
            </w:r>
          </w:p>
        </w:tc>
      </w:tr>
      <w:tr w:rsidR="005E4FEC" w:rsidRPr="005E4FEC" w14:paraId="339EC88A" w14:textId="77777777" w:rsidTr="00104785">
        <w:trPr>
          <w:gridBefore w:val="1"/>
          <w:wBefore w:w="6" w:type="dxa"/>
        </w:trPr>
        <w:tc>
          <w:tcPr>
            <w:tcW w:w="1666" w:type="dxa"/>
          </w:tcPr>
          <w:p w14:paraId="37E85ABF" w14:textId="77777777" w:rsidR="005E4FEC" w:rsidRPr="005E4FEC" w:rsidRDefault="005E4FEC" w:rsidP="005E4FEC">
            <w:pPr>
              <w:rPr>
                <w:rFonts w:ascii="Calibri" w:hAnsi="Calibri" w:cs="Calibri"/>
                <w:b/>
                <w:color w:val="000000"/>
                <w:lang w:val="es-CR"/>
              </w:rPr>
            </w:pPr>
            <w:r w:rsidRPr="005E4FEC">
              <w:rPr>
                <w:rFonts w:ascii="Calibri" w:hAnsi="Calibri" w:cs="Calibri"/>
                <w:b/>
                <w:color w:val="000000"/>
                <w:lang w:val="es-CR"/>
              </w:rPr>
              <w:t>Horario</w:t>
            </w:r>
          </w:p>
        </w:tc>
        <w:tc>
          <w:tcPr>
            <w:tcW w:w="7382" w:type="dxa"/>
          </w:tcPr>
          <w:p w14:paraId="67EE14BF" w14:textId="77777777" w:rsidR="005E4FEC" w:rsidRPr="005E4FEC" w:rsidRDefault="005E4FEC" w:rsidP="005E4FEC">
            <w:pPr>
              <w:rPr>
                <w:rFonts w:ascii="Calibri" w:hAnsi="Calibri" w:cs="Calibri"/>
                <w:color w:val="000000"/>
                <w:lang w:val="es-CR"/>
              </w:rPr>
            </w:pPr>
            <w:r w:rsidRPr="005E4FEC">
              <w:rPr>
                <w:rFonts w:ascii="Calibri" w:hAnsi="Calibri" w:cs="Calibri"/>
                <w:color w:val="000000"/>
                <w:lang w:val="es-CR"/>
              </w:rPr>
              <w:t>El curso requiere de 12 horas de trabajo semanal</w:t>
            </w:r>
          </w:p>
        </w:tc>
      </w:tr>
      <w:tr w:rsidR="005E4FEC" w:rsidRPr="005E4FEC" w14:paraId="7CED8C59" w14:textId="77777777" w:rsidTr="00104785">
        <w:trPr>
          <w:gridBefore w:val="1"/>
          <w:wBefore w:w="6" w:type="dxa"/>
        </w:trPr>
        <w:tc>
          <w:tcPr>
            <w:tcW w:w="1666" w:type="dxa"/>
          </w:tcPr>
          <w:p w14:paraId="6D803836" w14:textId="77777777" w:rsidR="005E4FEC" w:rsidRPr="005E4FEC" w:rsidRDefault="005E4FEC" w:rsidP="005E4FEC">
            <w:pPr>
              <w:rPr>
                <w:rFonts w:ascii="Calibri" w:hAnsi="Calibri" w:cs="Calibri"/>
                <w:b/>
                <w:color w:val="000000"/>
                <w:lang w:val="es-CR"/>
              </w:rPr>
            </w:pPr>
            <w:r w:rsidRPr="005E4FEC">
              <w:rPr>
                <w:rFonts w:ascii="Calibri" w:hAnsi="Calibri" w:cs="Calibri"/>
                <w:b/>
                <w:color w:val="000000"/>
                <w:lang w:val="es-CR"/>
              </w:rPr>
              <w:t>Aula</w:t>
            </w:r>
          </w:p>
        </w:tc>
        <w:tc>
          <w:tcPr>
            <w:tcW w:w="7382" w:type="dxa"/>
          </w:tcPr>
          <w:p w14:paraId="6AF966E7" w14:textId="77777777" w:rsidR="005E4FEC" w:rsidRPr="005E4FEC" w:rsidRDefault="005E4FEC" w:rsidP="005E4FEC">
            <w:pPr>
              <w:rPr>
                <w:rFonts w:ascii="Calibri" w:hAnsi="Calibri" w:cs="Calibri"/>
                <w:color w:val="000000"/>
                <w:lang w:val="es-CR"/>
              </w:rPr>
            </w:pPr>
            <w:r w:rsidRPr="005E4FEC">
              <w:rPr>
                <w:rFonts w:ascii="Calibri" w:hAnsi="Calibri" w:cs="Calibri"/>
                <w:color w:val="000000"/>
                <w:lang w:val="es-CR"/>
              </w:rPr>
              <w:t>Plataforma virtual de la UBL</w:t>
            </w:r>
          </w:p>
        </w:tc>
      </w:tr>
      <w:tr w:rsidR="005E4FEC" w:rsidRPr="005E4FEC" w14:paraId="3EBB43FF" w14:textId="77777777" w:rsidTr="00104785">
        <w:trPr>
          <w:gridBefore w:val="1"/>
          <w:wBefore w:w="6" w:type="dxa"/>
        </w:trPr>
        <w:tc>
          <w:tcPr>
            <w:tcW w:w="1666" w:type="dxa"/>
          </w:tcPr>
          <w:p w14:paraId="402E29D8" w14:textId="77777777" w:rsidR="005E4FEC" w:rsidRPr="005E4FEC" w:rsidRDefault="005E4FEC" w:rsidP="005E4FEC">
            <w:pPr>
              <w:rPr>
                <w:rFonts w:ascii="Calibri" w:hAnsi="Calibri" w:cs="Calibri"/>
                <w:b/>
                <w:color w:val="000000"/>
                <w:lang w:val="es-CR"/>
              </w:rPr>
            </w:pPr>
            <w:r w:rsidRPr="005E4FEC">
              <w:rPr>
                <w:rFonts w:ascii="Calibri" w:hAnsi="Calibri" w:cs="Calibri"/>
                <w:b/>
                <w:color w:val="000000"/>
                <w:lang w:val="es-CR"/>
              </w:rPr>
              <w:t>Docente</w:t>
            </w:r>
          </w:p>
        </w:tc>
        <w:tc>
          <w:tcPr>
            <w:tcW w:w="7382" w:type="dxa"/>
          </w:tcPr>
          <w:p w14:paraId="46081285" w14:textId="77777777" w:rsidR="005E4FEC" w:rsidRPr="005E4FEC" w:rsidRDefault="005E4FEC" w:rsidP="005E4FEC">
            <w:pPr>
              <w:rPr>
                <w:rFonts w:ascii="Calibri" w:hAnsi="Calibri" w:cs="Calibri"/>
                <w:color w:val="000000"/>
                <w:lang w:val="es-CR"/>
              </w:rPr>
            </w:pPr>
          </w:p>
        </w:tc>
      </w:tr>
      <w:tr w:rsidR="005E4FEC" w:rsidRPr="005E4FEC" w14:paraId="6991789D" w14:textId="77777777" w:rsidTr="00104785">
        <w:trPr>
          <w:gridBefore w:val="1"/>
          <w:wBefore w:w="6" w:type="dxa"/>
        </w:trPr>
        <w:tc>
          <w:tcPr>
            <w:tcW w:w="1666" w:type="dxa"/>
            <w:vAlign w:val="center"/>
          </w:tcPr>
          <w:p w14:paraId="312C52A6" w14:textId="77777777" w:rsidR="005E4FEC" w:rsidRPr="005E4FEC" w:rsidRDefault="005E4FEC" w:rsidP="005E4FEC">
            <w:pPr>
              <w:rPr>
                <w:rFonts w:ascii="Calibri" w:hAnsi="Calibri" w:cs="Calibri"/>
                <w:color w:val="000000"/>
                <w:lang w:val="es-CR"/>
              </w:rPr>
            </w:pPr>
            <w:r w:rsidRPr="005E4FEC">
              <w:rPr>
                <w:rFonts w:ascii="Calibri" w:hAnsi="Calibri" w:cs="Calibri"/>
                <w:b/>
                <w:color w:val="000000"/>
                <w:lang w:val="es-CR"/>
              </w:rPr>
              <w:t>Instrucciones administrativas</w:t>
            </w:r>
          </w:p>
        </w:tc>
        <w:tc>
          <w:tcPr>
            <w:tcW w:w="7382" w:type="dxa"/>
          </w:tcPr>
          <w:p w14:paraId="0C6B68F3" w14:textId="77777777" w:rsidR="005E4FEC" w:rsidRPr="005E4FEC" w:rsidRDefault="005E4FEC" w:rsidP="005E4FEC">
            <w:pPr>
              <w:rPr>
                <w:rFonts w:ascii="Calibri" w:hAnsi="Calibri" w:cs="Calibri"/>
                <w:lang w:val="es-CR"/>
              </w:rPr>
            </w:pPr>
            <w:r w:rsidRPr="005E4FEC">
              <w:rPr>
                <w:rFonts w:ascii="Calibri" w:hAnsi="Calibri" w:cs="Calibri"/>
                <w:color w:val="000000"/>
                <w:lang w:val="es-CR"/>
              </w:rPr>
              <w:t>El curso es virtual, por lo que se requiere de acceso a una computadora con conexión a Internet, además de destrezas básicas para el manejo de correo electrónico y la plataforma Moodle desde el rol de estudiante.</w:t>
            </w:r>
            <w:r w:rsidRPr="005E4FEC">
              <w:rPr>
                <w:rFonts w:ascii="Calibri" w:hAnsi="Calibri" w:cs="Calibri"/>
                <w:lang w:val="es-CR"/>
              </w:rPr>
              <w:t xml:space="preserve"> La dirección de acceso a la plataforma es la siguiente:</w:t>
            </w:r>
          </w:p>
          <w:p w14:paraId="0FA5E010" w14:textId="77777777" w:rsidR="005E4FEC" w:rsidRPr="005E4FEC" w:rsidRDefault="00DD16F2" w:rsidP="005E4FEC">
            <w:pPr>
              <w:rPr>
                <w:rFonts w:ascii="Calibri" w:hAnsi="Calibri" w:cs="Calibri"/>
                <w:color w:val="000000"/>
                <w:lang w:val="es-CR"/>
              </w:rPr>
            </w:pPr>
            <w:hyperlink r:id="rId386" w:history="1">
              <w:r w:rsidR="005E4FEC" w:rsidRPr="005E4FEC">
                <w:rPr>
                  <w:rFonts w:ascii="Calibri" w:hAnsi="Calibri" w:cs="Calibri"/>
                  <w:color w:val="0563C1"/>
                  <w:u w:val="single"/>
                  <w:lang w:val="es-CR"/>
                </w:rPr>
                <w:t>https://campus.ubl.ac.cr/login/index.php</w:t>
              </w:r>
            </w:hyperlink>
            <w:r w:rsidR="005E4FEC" w:rsidRPr="005E4FEC">
              <w:rPr>
                <w:rFonts w:ascii="Calibri" w:hAnsi="Calibri" w:cs="Calibri"/>
                <w:color w:val="000000"/>
                <w:lang w:val="es-CR"/>
              </w:rPr>
              <w:t xml:space="preserve"> </w:t>
            </w:r>
          </w:p>
        </w:tc>
      </w:tr>
    </w:tbl>
    <w:p w14:paraId="0CCCFEB9" w14:textId="77777777" w:rsidR="005E4FEC" w:rsidRPr="005E4FEC" w:rsidRDefault="005E4FEC" w:rsidP="005E4FEC">
      <w:pPr>
        <w:widowControl w:val="0"/>
        <w:overflowPunct w:val="0"/>
        <w:autoSpaceDE w:val="0"/>
        <w:autoSpaceDN w:val="0"/>
        <w:adjustRightInd w:val="0"/>
        <w:spacing w:before="120" w:after="0" w:line="240" w:lineRule="auto"/>
        <w:ind w:left="360"/>
        <w:jc w:val="center"/>
        <w:rPr>
          <w:rFonts w:ascii="Calibri" w:eastAsia="Times New Roman" w:hAnsi="Calibri" w:cs="Calibri"/>
          <w:b/>
          <w:color w:val="000000"/>
          <w:kern w:val="0"/>
          <w:lang w:val="es-ES_tradnl" w:eastAsia="es-CR"/>
          <w14:ligatures w14:val="none"/>
        </w:rPr>
      </w:pPr>
    </w:p>
    <w:p w14:paraId="2F54B0F6" w14:textId="77777777" w:rsidR="005E4FEC" w:rsidRPr="005E4FEC" w:rsidRDefault="005E4FEC" w:rsidP="005E4FEC">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 xml:space="preserve">I. Descripción          </w:t>
      </w:r>
    </w:p>
    <w:p w14:paraId="5F159838"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E4FEC">
        <w:rPr>
          <w:rFonts w:ascii="Calibri" w:eastAsia="Times New Roman" w:hAnsi="Calibri" w:cs="Calibri"/>
          <w:color w:val="000000"/>
          <w:kern w:val="0"/>
          <w:lang w:val="es-ES_tradnl" w:eastAsia="es-CR"/>
          <w14:ligatures w14:val="none"/>
        </w:rPr>
        <w:t>Estudio de las condiciones sociales del pueblo hebreo que dieron lugar a la aparición de los escritos bíblicos del Antiguo Testamento. Marcar las diferencias sociales detrás del desarrollo literario de los diferentes géneros. Correlacionar elementos sociales como el patriarcado, la monarquía, el templo como institución, los pobres y los profetas con textos bíblicos. Valorar el aporte del estudio de lo social en la exégesis del Antiguo Testamento.</w:t>
      </w:r>
    </w:p>
    <w:p w14:paraId="5A7D87CA" w14:textId="77777777" w:rsidR="005E4FEC" w:rsidRPr="005E4FEC" w:rsidRDefault="005E4FEC" w:rsidP="005E4FEC">
      <w:pPr>
        <w:autoSpaceDE w:val="0"/>
        <w:autoSpaceDN w:val="0"/>
        <w:adjustRightInd w:val="0"/>
        <w:spacing w:after="0" w:line="240" w:lineRule="auto"/>
        <w:ind w:left="360"/>
        <w:jc w:val="both"/>
        <w:rPr>
          <w:rFonts w:ascii="Calibri" w:eastAsia="Times New Roman" w:hAnsi="Calibri" w:cs="Calibri"/>
          <w:b/>
          <w:bCs/>
          <w:color w:val="000000"/>
          <w:kern w:val="0"/>
          <w:lang w:val="es-ES_tradnl" w:eastAsia="es-CR"/>
          <w14:ligatures w14:val="none"/>
        </w:rPr>
      </w:pPr>
    </w:p>
    <w:p w14:paraId="1CCF3C5B" w14:textId="77777777" w:rsidR="005E4FEC" w:rsidRPr="005E4FEC" w:rsidRDefault="005E4FEC" w:rsidP="005E4FEC">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II. Objetivo general</w:t>
      </w:r>
      <w:r w:rsidRPr="005E4FEC">
        <w:rPr>
          <w:rFonts w:ascii="Calibri" w:eastAsia="Times New Roman" w:hAnsi="Calibri" w:cs="Calibri"/>
          <w:b/>
          <w:bCs/>
          <w:color w:val="000000"/>
          <w:kern w:val="0"/>
          <w:lang w:val="es-ES_tradnl" w:eastAsia="es-CR"/>
          <w14:ligatures w14:val="none"/>
        </w:rPr>
        <w:tab/>
      </w:r>
    </w:p>
    <w:p w14:paraId="554B3F15" w14:textId="77777777" w:rsid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4FEC">
        <w:rPr>
          <w:rFonts w:ascii="Calibri" w:eastAsia="Times New Roman" w:hAnsi="Calibri" w:cs="Arial"/>
          <w:color w:val="000000"/>
          <w:kern w:val="0"/>
          <w:lang w:val="es-ES" w:eastAsia="es-CR"/>
          <w14:ligatures w14:val="none"/>
        </w:rPr>
        <w:t>Estudiar los elementos sociales presentes en los escritos del Antiguo Testamento como reflejo de la sociedad que dio lugar a tales textos.</w:t>
      </w:r>
    </w:p>
    <w:p w14:paraId="1D68B47D"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p>
    <w:p w14:paraId="42BFE22B" w14:textId="77777777" w:rsidR="005E4FEC" w:rsidRPr="005E4FEC" w:rsidRDefault="005E4FEC" w:rsidP="005E4FEC">
      <w:pPr>
        <w:autoSpaceDE w:val="0"/>
        <w:autoSpaceDN w:val="0"/>
        <w:adjustRightInd w:val="0"/>
        <w:spacing w:after="0" w:line="240" w:lineRule="auto"/>
        <w:jc w:val="both"/>
        <w:rPr>
          <w:rFonts w:ascii="Calibri" w:eastAsia="Times New Roman" w:hAnsi="Calibri" w:cs="Calibri"/>
          <w:b/>
          <w:bCs/>
          <w:iCs/>
          <w:color w:val="000000"/>
          <w:kern w:val="0"/>
          <w:lang w:val="es-ES_tradnl" w:eastAsia="es-CR"/>
          <w14:ligatures w14:val="none"/>
        </w:rPr>
      </w:pPr>
      <w:r w:rsidRPr="005E4FEC">
        <w:rPr>
          <w:rFonts w:ascii="Calibri" w:eastAsia="Times New Roman" w:hAnsi="Calibri" w:cs="Calibri"/>
          <w:b/>
          <w:bCs/>
          <w:iCs/>
          <w:color w:val="000000"/>
          <w:kern w:val="0"/>
          <w:lang w:val="es-ES_tradnl" w:eastAsia="es-CR"/>
          <w14:ligatures w14:val="none"/>
        </w:rPr>
        <w:t>III.</w:t>
      </w:r>
      <w:r w:rsidRPr="005E4FEC">
        <w:rPr>
          <w:rFonts w:ascii="Calibri" w:eastAsia="Times New Roman" w:hAnsi="Calibri" w:cs="Calibri"/>
          <w:bCs/>
          <w:iCs/>
          <w:color w:val="000000"/>
          <w:kern w:val="0"/>
          <w:lang w:val="es-ES_tradnl" w:eastAsia="es-CR"/>
          <w14:ligatures w14:val="none"/>
        </w:rPr>
        <w:t xml:space="preserve"> </w:t>
      </w:r>
      <w:r w:rsidRPr="005E4FEC">
        <w:rPr>
          <w:rFonts w:ascii="Calibri" w:eastAsia="Times New Roman" w:hAnsi="Calibri" w:cs="Calibri"/>
          <w:b/>
          <w:bCs/>
          <w:iCs/>
          <w:color w:val="000000"/>
          <w:kern w:val="0"/>
          <w:lang w:val="es-ES_tradnl" w:eastAsia="es-CR"/>
          <w14:ligatures w14:val="none"/>
        </w:rPr>
        <w:t>Objetivos específicos</w:t>
      </w:r>
      <w:r w:rsidRPr="005E4FEC">
        <w:rPr>
          <w:rFonts w:ascii="Calibri" w:eastAsia="Times New Roman" w:hAnsi="Calibri" w:cs="Calibri"/>
          <w:b/>
          <w:bCs/>
          <w:iCs/>
          <w:color w:val="000000"/>
          <w:kern w:val="0"/>
          <w:lang w:val="es-ES_tradnl" w:eastAsia="es-CR"/>
          <w14:ligatures w14:val="none"/>
        </w:rPr>
        <w:tab/>
      </w:r>
    </w:p>
    <w:p w14:paraId="565467C8" w14:textId="77777777" w:rsidR="005E4FEC" w:rsidRPr="005E4FEC" w:rsidRDefault="005E4FEC" w:rsidP="005E4FEC">
      <w:pPr>
        <w:widowControl w:val="0"/>
        <w:overflowPunct w:val="0"/>
        <w:autoSpaceDE w:val="0"/>
        <w:autoSpaceDN w:val="0"/>
        <w:adjustRightInd w:val="0"/>
        <w:spacing w:before="120" w:after="0" w:line="240" w:lineRule="auto"/>
        <w:rPr>
          <w:rFonts w:ascii="Calibri" w:eastAsia="Times New Roman" w:hAnsi="Calibri" w:cs="Calibri"/>
          <w:i/>
          <w:snapToGrid w:val="0"/>
          <w:color w:val="000000"/>
          <w:kern w:val="0"/>
          <w:lang w:val="es-ES_tradnl" w:eastAsia="es-CR"/>
          <w14:ligatures w14:val="none"/>
        </w:rPr>
      </w:pPr>
      <w:r w:rsidRPr="005E4FEC">
        <w:rPr>
          <w:rFonts w:ascii="Calibri" w:eastAsia="Times New Roman" w:hAnsi="Calibri" w:cs="Calibri"/>
          <w:i/>
          <w:snapToGrid w:val="0"/>
          <w:color w:val="000000"/>
          <w:kern w:val="0"/>
          <w:lang w:val="es-ES_tradnl" w:eastAsia="es-CR"/>
          <w14:ligatures w14:val="none"/>
        </w:rPr>
        <w:t>Conocimiento y comprensión</w:t>
      </w:r>
    </w:p>
    <w:p w14:paraId="7F1E4D87"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i/>
          <w:snapToGrid w:val="0"/>
          <w:color w:val="000000"/>
          <w:kern w:val="0"/>
          <w:lang w:val="es-ES_tradnl" w:eastAsia="es-CR"/>
          <w14:ligatures w14:val="none"/>
        </w:rPr>
      </w:pPr>
      <w:r w:rsidRPr="005E4FEC">
        <w:rPr>
          <w:rFonts w:ascii="Calibri" w:eastAsia="Times New Roman" w:hAnsi="Calibri" w:cs="Calibri"/>
          <w:iCs/>
          <w:snapToGrid w:val="0"/>
          <w:color w:val="000000"/>
          <w:kern w:val="0"/>
          <w:lang w:val="es-ES_tradnl" w:eastAsia="es-CR"/>
          <w14:ligatures w14:val="none"/>
        </w:rPr>
        <w:t xml:space="preserve">1. </w:t>
      </w:r>
      <w:r w:rsidRPr="005E4FEC">
        <w:rPr>
          <w:rFonts w:ascii="Calibri" w:eastAsia="Times New Roman" w:hAnsi="Calibri" w:cs="Calibri"/>
          <w:color w:val="000000"/>
          <w:kern w:val="0"/>
          <w:lang w:val="es-ES_tradnl" w:eastAsia="es-CR"/>
          <w14:ligatures w14:val="none"/>
        </w:rPr>
        <w:t>Estudiar las etapas de creación de los escritos del Antiguo Testamento relacionándolas con los imperios y sus imposiciones de tipo social.</w:t>
      </w:r>
    </w:p>
    <w:p w14:paraId="48912722"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i/>
          <w:snapToGrid w:val="0"/>
          <w:color w:val="000000"/>
          <w:kern w:val="0"/>
          <w:lang w:val="es-ES_tradnl" w:eastAsia="es-CR"/>
          <w14:ligatures w14:val="none"/>
        </w:rPr>
      </w:pPr>
      <w:r w:rsidRPr="005E4FEC">
        <w:rPr>
          <w:rFonts w:ascii="Calibri" w:eastAsia="Times New Roman" w:hAnsi="Calibri" w:cs="Calibri"/>
          <w:iCs/>
          <w:snapToGrid w:val="0"/>
          <w:color w:val="000000"/>
          <w:kern w:val="0"/>
          <w:lang w:val="es-ES_tradnl" w:eastAsia="es-CR"/>
          <w14:ligatures w14:val="none"/>
        </w:rPr>
        <w:t xml:space="preserve">2. </w:t>
      </w:r>
      <w:r w:rsidRPr="005E4FEC">
        <w:rPr>
          <w:rFonts w:ascii="Calibri" w:eastAsia="Times New Roman" w:hAnsi="Calibri" w:cs="Calibri"/>
          <w:color w:val="000000"/>
          <w:kern w:val="0"/>
          <w:lang w:val="es-ES_tradnl" w:eastAsia="es-CR"/>
          <w14:ligatures w14:val="none"/>
        </w:rPr>
        <w:t>Destacar la influencia de las instituciones sociales como el patriarcado, el templo, la monarquía y la esclavitud en los escritos del Antiguo Testamento.</w:t>
      </w:r>
    </w:p>
    <w:p w14:paraId="03971D32" w14:textId="77777777" w:rsidR="005E4FEC" w:rsidRPr="005E4FEC" w:rsidRDefault="005E4FEC" w:rsidP="005E4FEC">
      <w:pPr>
        <w:widowControl w:val="0"/>
        <w:overflowPunct w:val="0"/>
        <w:autoSpaceDE w:val="0"/>
        <w:autoSpaceDN w:val="0"/>
        <w:adjustRightInd w:val="0"/>
        <w:spacing w:before="120" w:after="0" w:line="240" w:lineRule="auto"/>
        <w:rPr>
          <w:rFonts w:ascii="Calibri" w:eastAsia="Times New Roman" w:hAnsi="Calibri" w:cs="Calibri"/>
          <w:i/>
          <w:snapToGrid w:val="0"/>
          <w:color w:val="000000"/>
          <w:kern w:val="0"/>
          <w:lang w:val="es-ES_tradnl" w:eastAsia="es-CR"/>
          <w14:ligatures w14:val="none"/>
        </w:rPr>
      </w:pPr>
      <w:r w:rsidRPr="005E4FEC">
        <w:rPr>
          <w:rFonts w:ascii="Calibri" w:eastAsia="Times New Roman" w:hAnsi="Calibri" w:cs="Calibri"/>
          <w:i/>
          <w:snapToGrid w:val="0"/>
          <w:color w:val="000000"/>
          <w:kern w:val="0"/>
          <w:lang w:val="es-ES_tradnl" w:eastAsia="es-CR"/>
          <w14:ligatures w14:val="none"/>
        </w:rPr>
        <w:t xml:space="preserve">Actitudes y valores </w:t>
      </w:r>
    </w:p>
    <w:p w14:paraId="5747B279"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Cs w:val="18"/>
          <w:lang w:val="es-ES_tradnl" w:eastAsia="es-CR"/>
          <w14:ligatures w14:val="none"/>
        </w:rPr>
      </w:pPr>
      <w:r w:rsidRPr="005E4FEC">
        <w:rPr>
          <w:rFonts w:ascii="Calibri" w:eastAsia="Times New Roman" w:hAnsi="Calibri" w:cs="Calibri"/>
          <w:color w:val="000000"/>
          <w:kern w:val="0"/>
          <w:szCs w:val="18"/>
          <w:lang w:val="es-ES_tradnl" w:eastAsia="es-CR"/>
          <w14:ligatures w14:val="none"/>
        </w:rPr>
        <w:t>1. Mostrar la importancia de conocer las condiciones sociales para hacer exégesis de textos del Antiguo Testamento.</w:t>
      </w:r>
    </w:p>
    <w:p w14:paraId="7496A558"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252158E" w14:textId="77777777" w:rsidR="005E4FEC" w:rsidRPr="005E4FEC" w:rsidRDefault="005E4FEC" w:rsidP="005E4FEC">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 xml:space="preserve">IV. Contenidos      </w:t>
      </w:r>
    </w:p>
    <w:p w14:paraId="3211DAB4"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1FFF75D" w14:textId="77777777" w:rsidR="005E4FEC" w:rsidRPr="005E4FEC" w:rsidRDefault="005E4FEC" w:rsidP="005E4FEC">
      <w:pPr>
        <w:widowControl w:val="0"/>
        <w:overflowPunct w:val="0"/>
        <w:autoSpaceDE w:val="0"/>
        <w:autoSpaceDN w:val="0"/>
        <w:adjustRightInd w:val="0"/>
        <w:spacing w:after="0" w:line="240" w:lineRule="auto"/>
        <w:rPr>
          <w:rFonts w:ascii="Calibri" w:eastAsia="Times New Roman" w:hAnsi="Calibri" w:cs="Calibri"/>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 xml:space="preserve">Unidad 1: </w:t>
      </w:r>
      <w:r w:rsidRPr="005E4FEC">
        <w:rPr>
          <w:rFonts w:ascii="Calibri" w:eastAsia="Times New Roman" w:hAnsi="Calibri" w:cs="Calibri"/>
          <w:b/>
          <w:color w:val="000000"/>
          <w:kern w:val="0"/>
          <w:lang w:val="es-ES_tradnl" w:eastAsia="es-CR"/>
          <w14:ligatures w14:val="none"/>
        </w:rPr>
        <w:t>El mundo social del Antiguo Testamento</w:t>
      </w:r>
    </w:p>
    <w:p w14:paraId="03C1B209"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1.1 Introducción al curso</w:t>
      </w:r>
    </w:p>
    <w:p w14:paraId="38D7B180"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 xml:space="preserve">1.2 </w:t>
      </w:r>
      <w:r w:rsidRPr="005E4FEC">
        <w:rPr>
          <w:rFonts w:ascii="Calibri" w:eastAsia="Times New Roman" w:hAnsi="Calibri" w:cs="Calibri"/>
          <w:color w:val="000000"/>
          <w:kern w:val="0"/>
          <w:lang w:val="es-ES_tradnl" w:eastAsia="es-CR"/>
          <w14:ligatures w14:val="none"/>
        </w:rPr>
        <w:t>Formación del pueblo hebreo y la adquisición de patrones sociales</w:t>
      </w:r>
    </w:p>
    <w:p w14:paraId="45C1581D"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 xml:space="preserve">1.3 </w:t>
      </w:r>
      <w:r w:rsidRPr="005E4FEC">
        <w:rPr>
          <w:rFonts w:ascii="Calibri" w:eastAsia="Times New Roman" w:hAnsi="Calibri" w:cs="Calibri"/>
          <w:color w:val="000000"/>
          <w:kern w:val="0"/>
          <w:lang w:val="es-ES_tradnl" w:eastAsia="es-CR"/>
          <w14:ligatures w14:val="none"/>
        </w:rPr>
        <w:t xml:space="preserve">Los imperios </w:t>
      </w:r>
      <w:r w:rsidRPr="005E4FEC">
        <w:rPr>
          <w:rFonts w:ascii="Calibri" w:eastAsia="Times New Roman" w:hAnsi="Calibri" w:cs="Calibri"/>
          <w:bCs/>
          <w:color w:val="000000"/>
          <w:kern w:val="0"/>
          <w:lang w:val="es-ES_tradnl" w:eastAsia="es-CR"/>
          <w14:ligatures w14:val="none"/>
        </w:rPr>
        <w:t xml:space="preserve">del antiguo Cercano Oriente </w:t>
      </w:r>
      <w:r w:rsidRPr="005E4FEC">
        <w:rPr>
          <w:rFonts w:ascii="Calibri" w:eastAsia="Times New Roman" w:hAnsi="Calibri" w:cs="Calibri"/>
          <w:color w:val="000000"/>
          <w:kern w:val="0"/>
          <w:lang w:val="es-ES_tradnl" w:eastAsia="es-CR"/>
          <w14:ligatures w14:val="none"/>
        </w:rPr>
        <w:t>y sus imposiciones sociales</w:t>
      </w:r>
    </w:p>
    <w:p w14:paraId="255E177F"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5B81724"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Unidad 2: L</w:t>
      </w:r>
      <w:r w:rsidRPr="005E4FEC">
        <w:rPr>
          <w:rFonts w:ascii="Calibri" w:eastAsia="Times New Roman" w:hAnsi="Calibri" w:cs="Calibri"/>
          <w:b/>
          <w:color w:val="000000"/>
          <w:kern w:val="0"/>
          <w:lang w:val="es-ES_tradnl" w:eastAsia="es-CR"/>
          <w14:ligatures w14:val="none"/>
        </w:rPr>
        <w:t>as instituciones del Antiguo Testamento y su influencia en los escritos del AT</w:t>
      </w:r>
    </w:p>
    <w:p w14:paraId="225C75CE"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2.1 F</w:t>
      </w:r>
      <w:r w:rsidRPr="005E4FEC">
        <w:rPr>
          <w:rFonts w:ascii="Calibri" w:eastAsia="Times New Roman" w:hAnsi="Calibri" w:cs="Calibri"/>
          <w:color w:val="000000"/>
          <w:kern w:val="0"/>
          <w:lang w:val="es-ES_tradnl" w:eastAsia="es-CR"/>
          <w14:ligatures w14:val="none"/>
        </w:rPr>
        <w:t>ormación de la conducta social del pueblo hebreo</w:t>
      </w:r>
    </w:p>
    <w:p w14:paraId="50201C61"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 xml:space="preserve">2.2 </w:t>
      </w:r>
      <w:r w:rsidRPr="005E4FEC">
        <w:rPr>
          <w:rFonts w:ascii="Calibri" w:eastAsia="Times New Roman" w:hAnsi="Calibri" w:cs="Calibri"/>
          <w:color w:val="000000"/>
          <w:kern w:val="0"/>
          <w:lang w:val="es-ES_tradnl" w:eastAsia="es-CR"/>
          <w14:ligatures w14:val="none"/>
        </w:rPr>
        <w:t>El templo, la monarquía, la esclavitud y el patriarcado</w:t>
      </w:r>
    </w:p>
    <w:p w14:paraId="7AED8615"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53DD376"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Unidad 3: Movimientos sociales en el antiguo Israel</w:t>
      </w:r>
    </w:p>
    <w:p w14:paraId="2FE604D9"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3.1 Causas y consecuencias de la aparición de sectores marginales en el antiguo Israel: pobres, mujeres y extranjeros</w:t>
      </w:r>
    </w:p>
    <w:p w14:paraId="2654CE67"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3.2 Grupos político-religiosos que conformaron el antiguo Israel</w:t>
      </w:r>
    </w:p>
    <w:p w14:paraId="1E7F0988"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A9D5E28"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Unidad 4: Expresiones socio-religiosas de la sociedad en el antiguo Israel</w:t>
      </w:r>
    </w:p>
    <w:p w14:paraId="5231DD67"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4.1 Formas de la religiosidad popular en el antiguo Israel</w:t>
      </w:r>
    </w:p>
    <w:p w14:paraId="5E078D16"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4.2 Fundamento y función sociopolítica del binomio “pureza-impureza” en la dinámica sociopolítica de la sociedad israelita</w:t>
      </w:r>
    </w:p>
    <w:p w14:paraId="62BC6892"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4.3 Síntesis, evaluación y cierre</w:t>
      </w:r>
    </w:p>
    <w:p w14:paraId="7104923C"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76B08E6" w14:textId="77777777" w:rsidR="005E4FEC" w:rsidRPr="005E4FEC" w:rsidRDefault="005E4FEC" w:rsidP="005E4FEC">
      <w:pPr>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 xml:space="preserve">V. Metodología </w:t>
      </w:r>
    </w:p>
    <w:p w14:paraId="40413832"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4FEC">
        <w:rPr>
          <w:rFonts w:ascii="Calibri" w:eastAsia="Times New Roman" w:hAnsi="Calibri" w:cs="Arial"/>
          <w:color w:val="000000"/>
          <w:kern w:val="0"/>
          <w:lang w:val="es-ES" w:eastAsia="es-CR"/>
          <w14:ligatures w14:val="none"/>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w:t>
      </w:r>
      <w:r w:rsidRPr="005E4FEC">
        <w:rPr>
          <w:rFonts w:ascii="Calibri" w:eastAsia="Times New Roman" w:hAnsi="Calibri" w:cs="Arial"/>
          <w:color w:val="000000"/>
          <w:kern w:val="0"/>
          <w:lang w:val="es-ES" w:eastAsia="es-CR"/>
          <w14:ligatures w14:val="none"/>
        </w:rPr>
        <w:lastRenderedPageBreak/>
        <w:t>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2115AB6F"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Con el fin de promover la reflexión crítica sobre los contenidos del curso (insumos teóricos), su presencia en el Antiguo Testamento, su relevancia para la interpretación de textos bíblicos y para la comprensión de fenómenos actuales, el curso desarrolla una metodología que combina los trabajos colaborativos de discusión y debate, con reflexiones críticas propias sobre los contenidos. El fin es desarrollar la capacidad de valorar y analizar las fuentes del estudio de la sociedad y cultura del período bíblico del Antiguo Testamento como fundamento para la interpretación bíblica. Los trabajos grupales ofrecen la oportunidad de profundizar en un tema específico del curso y el trabajo final evidencia la capacidad de establecer un diálogo entre los insumos teóricos, el texto bíblico y la vida. En los encuentros sincrónicos virtuales la persona docente aportará elementos de profundización, se discutirá sobre textos bíblicos específicos y también se realizará una retroalimentación a los trabajos grupales.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575E8FEC"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61C43F54" w14:textId="77777777" w:rsidR="005E4FEC" w:rsidRPr="005E4FEC" w:rsidRDefault="005E4FEC" w:rsidP="005E4FEC">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 xml:space="preserve">VI. Estrategias de aprendizaje </w:t>
      </w:r>
    </w:p>
    <w:p w14:paraId="40BE5740"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 xml:space="preserve">Las estrategias de aprendizaje en el curso buscan un diálogo crítico entre las personas estudiantes y las temáticas presentadas mediante las lecturas, los aportes docentes, la actividades colaborativas e individuales. Están orientadas para la interacción sobre los modelos para el estudio del mundo social del Antiguo Testamento, los aportes de dichos estudios y su aplicación a la interpretación de los textos bíblicos. </w:t>
      </w:r>
    </w:p>
    <w:p w14:paraId="61261501"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Se utilizan las siguientes estrategias de aprendizaje:</w:t>
      </w:r>
    </w:p>
    <w:p w14:paraId="0D00B0A4"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5E4FEC">
        <w:rPr>
          <w:rFonts w:ascii="Calibri" w:eastAsia="Times New Roman" w:hAnsi="Calibri" w:cs="Arial"/>
          <w:b/>
          <w:bCs/>
          <w:color w:val="000000"/>
          <w:kern w:val="0"/>
          <w:lang w:val="es-ES" w:eastAsia="es-CR"/>
          <w14:ligatures w14:val="none"/>
        </w:rPr>
        <w:t xml:space="preserve">a) Encuentro sincrónico virtual: </w:t>
      </w:r>
      <w:r w:rsidRPr="005E4FEC">
        <w:rPr>
          <w:rFonts w:ascii="Calibri" w:eastAsia="Times New Roman" w:hAnsi="Calibri" w:cs="Arial"/>
          <w:color w:val="000000"/>
          <w:kern w:val="0"/>
          <w:lang w:val="es-ES" w:eastAsia="es-CR"/>
          <w14:ligatures w14:val="none"/>
        </w:rPr>
        <w:t xml:space="preserve">Los encuentros sincrónicos virtuales que se realizan en las sesiones 1, 3, 6, 7, 8, 10 y 13 son espacios de encuentro para fortalecer la comunicación entre los y las estudiantes y la persona docente. En estos, la persona docente comparte, aclara y profundiza temáticas del curso, las personas participantes desarrollarán diálogos e intercambiarán aportes y dudas sobre dichos insumos y su pertinencia. En la primera sesión el encuentro sincrónico se aprovechará con el fin de introducir el curso y discutir elementos fundamentales para el estudio del mundo social del Antiguo Testamento. En posteriores sesiones se abordarán temas muy debatidos en el estudio del Antiguo Testamento, con el fin de exponer diversas posturas y desarrollar valoraciones críticas de manera colectiva. Finalmente, este será el espacio mediante el cual las personas estudiantes realizarán presentaciones grupales sobre los temas asignados según la guía que será aportada por la persona docente.  Los encuentro sincrónicos virtuales tienen valor formativo. </w:t>
      </w:r>
    </w:p>
    <w:p w14:paraId="6E853EEB"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iCs/>
          <w:color w:val="000000"/>
          <w:kern w:val="0"/>
          <w:lang w:val="es-ES_tradnl" w:eastAsia="es-CR"/>
          <w14:ligatures w14:val="none"/>
        </w:rPr>
      </w:pPr>
      <w:r w:rsidRPr="005E4FEC">
        <w:rPr>
          <w:rFonts w:ascii="Calibri" w:eastAsia="Times New Roman" w:hAnsi="Calibri" w:cs="Calibri"/>
          <w:b/>
          <w:bCs/>
          <w:iCs/>
          <w:color w:val="000000"/>
          <w:kern w:val="0"/>
          <w:lang w:val="es-ES_tradnl" w:eastAsia="es-CR"/>
          <w14:ligatures w14:val="none"/>
        </w:rPr>
        <w:t xml:space="preserve">b) Foro: </w:t>
      </w:r>
      <w:r w:rsidRPr="005E4FEC">
        <w:rPr>
          <w:rFonts w:ascii="Calibri" w:eastAsia="Times New Roman" w:hAnsi="Calibri" w:cs="Calibri"/>
          <w:bCs/>
          <w:color w:val="000000"/>
          <w:kern w:val="0"/>
          <w:lang w:val="es-ES_tradnl" w:eastAsia="es-CR"/>
          <w14:ligatures w14:val="none"/>
        </w:rPr>
        <w:t xml:space="preserve">Los foros permiten una interacción sostenida asincrónica entre las personas estudiantes </w:t>
      </w:r>
      <w:r w:rsidRPr="005E4FEC">
        <w:rPr>
          <w:rFonts w:ascii="Calibri" w:eastAsia="Times New Roman" w:hAnsi="Calibri" w:cs="Calibri"/>
          <w:bCs/>
          <w:color w:val="000000"/>
          <w:kern w:val="0"/>
          <w:lang w:val="es-ES_tradnl" w:eastAsia="es-CR"/>
          <w14:ligatures w14:val="none"/>
        </w:rPr>
        <w:lastRenderedPageBreak/>
        <w:t xml:space="preserve">sobre temas específicos. Cada foro requiere un aporte inicial que responda a las orientaciones aportadas. Posteriormente se buscará el diálogo y debate sobre los aportes presentados, con retroalimentación docente. Los foros en este curso permitirán el análisis de las instituciones sociales reflejadas en un Salmo, así como el abordaje de los temas de marginación social en el Antiguo Testamento y el sistema de pureza e impureza. La reflexión y el análisis colaborativo se orientará hacia las implicaciones para la interpretación de textos bíblicos en el contexto de cada estudiante. </w:t>
      </w:r>
    </w:p>
    <w:p w14:paraId="08CBB82F"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iCs/>
          <w:color w:val="000000"/>
          <w:kern w:val="0"/>
          <w:lang w:val="es-ES_tradnl" w:eastAsia="es-CR"/>
          <w14:ligatures w14:val="none"/>
        </w:rPr>
      </w:pPr>
      <w:r w:rsidRPr="005E4FEC">
        <w:rPr>
          <w:rFonts w:ascii="Calibri" w:eastAsia="Times New Roman" w:hAnsi="Calibri" w:cs="Calibri"/>
          <w:b/>
          <w:color w:val="000000"/>
          <w:kern w:val="0"/>
          <w:lang w:val="es-ES_tradnl" w:eastAsia="es-CR"/>
          <w14:ligatures w14:val="none"/>
        </w:rPr>
        <w:t xml:space="preserve">c) Reseña crítica de lectura: </w:t>
      </w:r>
      <w:r w:rsidRPr="005E4FEC">
        <w:rPr>
          <w:rFonts w:ascii="Calibri" w:eastAsia="Times New Roman" w:hAnsi="Calibri" w:cs="Calibri"/>
          <w:iCs/>
          <w:color w:val="000000"/>
          <w:kern w:val="0"/>
          <w:lang w:val="es-ES_tradnl" w:eastAsia="es-CR"/>
          <w14:ligatures w14:val="none"/>
        </w:rPr>
        <w:t xml:space="preserve">Las reseñas críticas requieren un análisis de las lecturas, identificación de los temas y argumentos centrales y una valoración crítica de estos para contextualizarlos. En una sesión los y las estudiantes realizarán una reseña de tres comentarios sobre textos del antiguo Cercano Oriente y, en otra sesión el tema será la relación entre política y religión en el Antiguo Testamento. </w:t>
      </w:r>
    </w:p>
    <w:p w14:paraId="0A658B77"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
          <w:color w:val="000000"/>
          <w:kern w:val="0"/>
          <w:lang w:val="es-ES_tradnl" w:eastAsia="es-CR"/>
          <w14:ligatures w14:val="none"/>
        </w:rPr>
        <w:t xml:space="preserve">d) Glosario: </w:t>
      </w:r>
      <w:r w:rsidRPr="005E4FEC">
        <w:rPr>
          <w:rFonts w:ascii="Calibri" w:eastAsia="Times New Roman" w:hAnsi="Calibri" w:cs="Calibri"/>
          <w:bCs/>
          <w:color w:val="000000"/>
          <w:kern w:val="0"/>
          <w:lang w:val="es-ES_tradnl" w:eastAsia="es-CR"/>
          <w14:ligatures w14:val="none"/>
        </w:rPr>
        <w:t>Como herramienta del aula virtual el glosario es un espacio de construcción colectiva a partir del desarrollo de conceptos con base en las lecturas y otros insumos del curso. En este curso se elaborará un glosario, en el cual cada estudiante identificará y desarrollará seis conceptos o ideas claves derivadas de las lecturas sobre los imperios en el antiguo Cercano Oriente y su impacto en el desarrollo social, religioso, cultural y político del antiguo Israel. Luego cada persona estudiante comentará tres de los conceptos desarrollados por sus compañeros o compañeras.</w:t>
      </w:r>
    </w:p>
    <w:p w14:paraId="74A40408"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
          <w:color w:val="000000"/>
          <w:kern w:val="0"/>
          <w:lang w:val="es-ES_tradnl" w:eastAsia="es-CR"/>
          <w14:ligatures w14:val="none"/>
        </w:rPr>
        <w:t xml:space="preserve">e) Ensayo: </w:t>
      </w:r>
      <w:r w:rsidRPr="005E4FEC">
        <w:rPr>
          <w:rFonts w:ascii="Calibri" w:eastAsia="Calibri" w:hAnsi="Calibri" w:cs="Times New Roman"/>
          <w:kern w:val="0"/>
          <w:lang w:val="es-MX"/>
          <w14:ligatures w14:val="none"/>
        </w:rPr>
        <w:t xml:space="preserve">El ensayo que se realiza en el curso es un escrito argumentativo y fundamentado sobre el tema asignado. Tiene </w:t>
      </w:r>
      <w:r w:rsidRPr="005E4FEC">
        <w:rPr>
          <w:rFonts w:ascii="Calibri" w:eastAsia="Times New Roman" w:hAnsi="Calibri" w:cs="Calibri"/>
          <w:iCs/>
          <w:color w:val="000000"/>
          <w:kern w:val="0"/>
          <w:lang w:val="es-ES_tradnl" w:eastAsia="es-CR"/>
          <w14:ligatures w14:val="none"/>
        </w:rPr>
        <w:t>como fin que la persona estudiante desarrolle el tema de la intervención de la profecía en la conducta social del antiguo Israel, aportando ejemplos para sustentar sus argumentos.</w:t>
      </w:r>
    </w:p>
    <w:p w14:paraId="533BA2C3"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iCs/>
          <w:color w:val="000000"/>
          <w:kern w:val="0"/>
          <w:lang w:val="es-ES_tradnl" w:eastAsia="es-CR"/>
          <w14:ligatures w14:val="none"/>
        </w:rPr>
      </w:pPr>
      <w:r w:rsidRPr="005E4FEC">
        <w:rPr>
          <w:rFonts w:ascii="Calibri" w:eastAsia="Times New Roman" w:hAnsi="Calibri" w:cs="Calibri"/>
          <w:b/>
          <w:bCs/>
          <w:iCs/>
          <w:color w:val="000000"/>
          <w:kern w:val="0"/>
          <w:lang w:val="es-ES_tradnl" w:eastAsia="es-CR"/>
          <w14:ligatures w14:val="none"/>
        </w:rPr>
        <w:t xml:space="preserve">f) Wiki: </w:t>
      </w:r>
      <w:r w:rsidRPr="005E4FEC">
        <w:rPr>
          <w:rFonts w:ascii="Calibri" w:eastAsia="Times New Roman" w:hAnsi="Calibri" w:cs="Calibri"/>
          <w:iCs/>
          <w:color w:val="000000"/>
          <w:kern w:val="0"/>
          <w:lang w:val="es-ES_tradnl" w:eastAsia="es-CR"/>
          <w14:ligatures w14:val="none"/>
        </w:rPr>
        <w:t>El wiki es una herramienta para la producción colectiva en el que las personas pueden crear de manera colaborativa un escrito o bien un producto de otra naturaleza según las indicaciones que se aporten. En este curso se realiza un wiki en durante dos sesiones sobre la religiosidad popular en el Antiguo Testamento que busca una descripción del fenómeno, ejemplos de textos bíblicos y su contextualización en el marco de la religiosidad popular actual. Los aportes escritos se complementan con imágenes y/o videos.</w:t>
      </w:r>
    </w:p>
    <w:p w14:paraId="31DFF66C"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 w:eastAsia="es-CR"/>
          <w14:ligatures w14:val="none"/>
        </w:rPr>
      </w:pPr>
      <w:r w:rsidRPr="005E4FEC">
        <w:rPr>
          <w:rFonts w:ascii="Calibri" w:eastAsia="Times New Roman" w:hAnsi="Calibri" w:cs="Arial"/>
          <w:b/>
          <w:bCs/>
          <w:color w:val="000000"/>
          <w:kern w:val="0"/>
          <w:lang w:val="es-ES" w:eastAsia="es-CR"/>
          <w14:ligatures w14:val="none"/>
        </w:rPr>
        <w:t xml:space="preserve">g) Presentación grupal: </w:t>
      </w:r>
      <w:r w:rsidRPr="005E4FEC">
        <w:rPr>
          <w:rFonts w:ascii="Calibri" w:eastAsia="Times New Roman" w:hAnsi="Calibri" w:cs="Arial"/>
          <w:color w:val="000000"/>
          <w:kern w:val="0"/>
          <w:lang w:val="es-ES" w:eastAsia="es-CR"/>
          <w14:ligatures w14:val="none"/>
        </w:rPr>
        <w:t xml:space="preserve">La presentación grupal es el producto final del trabajo colaborativo realizado por los grupos asignados por la persona docente. Mediante encuentros sincrónicos los grupos presentarán los resultados de su trabajo sobre el tema de la sesión que les fue asignada, según la guía aportada por la persona docente. Se realizará una discusión amplia sobre cada presentación.  </w:t>
      </w:r>
    </w:p>
    <w:p w14:paraId="77FD5011"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 xml:space="preserve">h) Monografía: </w:t>
      </w:r>
      <w:r w:rsidRPr="005E4FEC">
        <w:rPr>
          <w:rFonts w:ascii="Calibri" w:eastAsia="Times New Roman" w:hAnsi="Calibri" w:cs="Calibri"/>
          <w:color w:val="000000"/>
          <w:kern w:val="0"/>
          <w:lang w:val="es-ES_tradnl" w:eastAsia="es-CR"/>
          <w14:ligatures w14:val="none"/>
        </w:rPr>
        <w:t>El trabajo final del curso es un escrito de estilo monográfico en el que la persona estudiante desarrollará un comentario sobre un texto bíblico que refleje dinámicas del mundo social y su expresión religiosa, y que demuestre manejo de los contenidos del curso. El trabajo se orientará mediante la guía aportada por la persona docente.</w:t>
      </w:r>
    </w:p>
    <w:p w14:paraId="4BF59D47"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289F856F"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sz w:val="10"/>
          <w:szCs w:val="10"/>
          <w:lang w:val="es-ES_tradnl" w:eastAsia="es-CR"/>
          <w14:ligatures w14:val="none"/>
        </w:rPr>
      </w:pPr>
    </w:p>
    <w:p w14:paraId="0ACEC899"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
          <w:bCs/>
          <w:color w:val="000000"/>
          <w:kern w:val="0"/>
          <w:lang w:val="pt-BR" w:eastAsia="es-CR"/>
          <w14:ligatures w14:val="none"/>
        </w:rPr>
        <w:t xml:space="preserve">VII. Recursos </w:t>
      </w:r>
      <w:r w:rsidRPr="005E4FEC">
        <w:rPr>
          <w:rFonts w:ascii="Calibri" w:eastAsia="Times New Roman" w:hAnsi="Calibri" w:cs="Calibri"/>
          <w:b/>
          <w:bCs/>
          <w:color w:val="000000"/>
          <w:kern w:val="0"/>
          <w:lang w:eastAsia="es-CR"/>
          <w14:ligatures w14:val="none"/>
        </w:rPr>
        <w:t>didácticos</w:t>
      </w:r>
    </w:p>
    <w:p w14:paraId="39F23DD2"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D3A6986"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4FEC">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64EEF10D"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DA2627B"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5E4FEC">
        <w:rPr>
          <w:rFonts w:ascii="Calibri" w:eastAsia="Times New Roman" w:hAnsi="Calibri" w:cs="Arial"/>
          <w:color w:val="000000"/>
          <w:kern w:val="0"/>
          <w:lang w:val="es-ES" w:eastAsia="es-ES"/>
          <w14:ligatures w14:val="none"/>
        </w:rPr>
        <w:t xml:space="preserve">a) Lecturas semanales obligatorias sobre diversos aspectos del mundo social del Antiguo Testamento y los enfoques para su estudio que se asignan como insumos para abordar los contenidos temáticos y para desarrollar las actividades individuales y grupales. Todos los materiales de lectura están disponibles en formato digital en la plataforma virtual.  </w:t>
      </w:r>
    </w:p>
    <w:p w14:paraId="19A8CB99"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B9767EC"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4FEC">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7A7AC38A"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2AC7A3F"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4FEC">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3DDA9921"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6316374"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4FEC">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glosario, un wiki y mediante la herramienta Big Blue </w:t>
      </w:r>
      <w:proofErr w:type="spellStart"/>
      <w:r w:rsidRPr="005E4FEC">
        <w:rPr>
          <w:rFonts w:ascii="Calibri" w:eastAsia="Times New Roman" w:hAnsi="Calibri" w:cs="Calibri"/>
          <w:color w:val="000000"/>
          <w:kern w:val="0"/>
          <w:lang w:val="es-ES" w:eastAsia="es-ES"/>
          <w14:ligatures w14:val="none"/>
        </w:rPr>
        <w:t>Button</w:t>
      </w:r>
      <w:proofErr w:type="spellEnd"/>
      <w:r w:rsidRPr="005E4FEC">
        <w:rPr>
          <w:rFonts w:ascii="Calibri" w:eastAsia="Times New Roman" w:hAnsi="Calibri" w:cs="Calibri"/>
          <w:color w:val="000000"/>
          <w:kern w:val="0"/>
          <w:lang w:val="es-ES" w:eastAsia="es-ES"/>
          <w14:ligatures w14:val="none"/>
        </w:rPr>
        <w:t xml:space="preserve"> en la plataforma Moodle; así como para la elaboración de una reseña crítica de lectura, un ensayo y una monografía.</w:t>
      </w:r>
    </w:p>
    <w:p w14:paraId="2FC1122A"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CE29181"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4FEC">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5E4FEC">
        <w:rPr>
          <w:rFonts w:ascii="Calibri" w:eastAsia="Times New Roman" w:hAnsi="Calibri" w:cs="Calibri"/>
          <w:color w:val="000000"/>
          <w:kern w:val="0"/>
          <w:lang w:val="es-ES" w:eastAsia="es-ES"/>
          <w14:ligatures w14:val="none"/>
        </w:rPr>
        <w:t>Strachan</w:t>
      </w:r>
      <w:proofErr w:type="spellEnd"/>
      <w:r w:rsidRPr="005E4FEC">
        <w:rPr>
          <w:rFonts w:ascii="Calibri" w:eastAsia="Times New Roman" w:hAnsi="Calibri" w:cs="Calibri"/>
          <w:color w:val="000000"/>
          <w:kern w:val="0"/>
          <w:lang w:val="es-ES" w:eastAsia="es-ES"/>
          <w14:ligatures w14:val="none"/>
        </w:rPr>
        <w:t xml:space="preserve"> (</w:t>
      </w:r>
      <w:hyperlink r:id="rId387" w:history="1">
        <w:r w:rsidRPr="005E4FEC">
          <w:rPr>
            <w:rFonts w:ascii="Calibri" w:eastAsia="Times New Roman" w:hAnsi="Calibri" w:cs="Calibri"/>
            <w:color w:val="0563C1"/>
            <w:kern w:val="0"/>
            <w:u w:val="single"/>
            <w:lang w:val="es-ES" w:eastAsia="es-ES"/>
            <w14:ligatures w14:val="none"/>
          </w:rPr>
          <w:t>https://www.ubl.ac.cr/biblioteca</w:t>
        </w:r>
      </w:hyperlink>
      <w:r w:rsidRPr="005E4FEC">
        <w:rPr>
          <w:rFonts w:ascii="Calibri" w:eastAsia="Times New Roman" w:hAnsi="Calibri" w:cs="Calibri"/>
          <w:color w:val="000000"/>
          <w:kern w:val="0"/>
          <w:lang w:val="es-ES" w:eastAsia="es-ES"/>
          <w14:ligatures w14:val="none"/>
        </w:rPr>
        <w:t>), así como consultar el Portal de Revistas de la UBL (</w:t>
      </w:r>
      <w:hyperlink r:id="rId388" w:history="1">
        <w:r w:rsidRPr="005E4FEC">
          <w:rPr>
            <w:rFonts w:ascii="Calibri" w:eastAsia="Times New Roman" w:hAnsi="Calibri" w:cs="Calibri"/>
            <w:color w:val="0563C1"/>
            <w:kern w:val="0"/>
            <w:u w:val="single"/>
            <w:lang w:val="es-ES" w:eastAsia="es-ES"/>
            <w14:ligatures w14:val="none"/>
          </w:rPr>
          <w:t>http://revistas.ubl.ac.cr/</w:t>
        </w:r>
      </w:hyperlink>
      <w:r w:rsidRPr="005E4FEC">
        <w:rPr>
          <w:rFonts w:ascii="Calibri" w:eastAsia="Times New Roman" w:hAnsi="Calibri" w:cs="Calibri"/>
          <w:color w:val="000000"/>
          <w:kern w:val="0"/>
          <w:lang w:val="es-ES" w:eastAsia="es-ES"/>
          <w14:ligatures w14:val="none"/>
        </w:rPr>
        <w:t>). A través del correo de la biblioteca (</w:t>
      </w:r>
      <w:hyperlink r:id="rId389" w:history="1">
        <w:r w:rsidRPr="005E4FEC">
          <w:rPr>
            <w:rFonts w:ascii="Calibri" w:eastAsia="Times New Roman" w:hAnsi="Calibri" w:cs="Calibri"/>
            <w:color w:val="0563C1"/>
            <w:kern w:val="0"/>
            <w:u w:val="single"/>
            <w:lang w:val="es-ES" w:eastAsia="es-ES"/>
            <w14:ligatures w14:val="none"/>
          </w:rPr>
          <w:t>biblioteca@ubl.ac.cr</w:t>
        </w:r>
      </w:hyperlink>
      <w:r w:rsidRPr="005E4FEC">
        <w:rPr>
          <w:rFonts w:ascii="Calibri" w:eastAsia="Times New Roman" w:hAnsi="Calibri" w:cs="Calibri"/>
          <w:color w:val="000000"/>
          <w:kern w:val="0"/>
          <w:lang w:val="es-ES" w:eastAsia="es-ES"/>
          <w14:ligatures w14:val="none"/>
        </w:rPr>
        <w:t xml:space="preserve">) puede solicitar recursos que se encuentren en la colección física. </w:t>
      </w:r>
    </w:p>
    <w:p w14:paraId="3AF4B6D7"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91719B1"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5E4FEC">
        <w:rPr>
          <w:rFonts w:ascii="Calibri" w:eastAsia="Times New Roman" w:hAnsi="Calibri" w:cs="Calibri"/>
          <w:color w:val="000000"/>
          <w:kern w:val="0"/>
          <w:lang w:val="es-ES" w:eastAsia="es-ES"/>
          <w14:ligatures w14:val="none"/>
        </w:rPr>
        <w:t>f)</w:t>
      </w:r>
      <w:r w:rsidRPr="005E4FEC">
        <w:rPr>
          <w:rFonts w:ascii="Times New Roman" w:eastAsia="Times New Roman" w:hAnsi="Times New Roman" w:cs="Calibri"/>
          <w:bCs/>
          <w:kern w:val="0"/>
          <w:sz w:val="24"/>
          <w:szCs w:val="24"/>
          <w:lang w:val="es-ES_tradnl" w:eastAsia="es-CR"/>
          <w14:ligatures w14:val="none"/>
        </w:rPr>
        <w:t xml:space="preserve"> </w:t>
      </w:r>
      <w:r w:rsidRPr="005E4FEC">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Bíblicas. Dicho espacio está disponible para todas las personas registradas en el campus virtual y se puede acceder a través del siguiente enlace: </w:t>
      </w:r>
      <w:hyperlink r:id="rId390" w:history="1">
        <w:r w:rsidRPr="005E4FEC">
          <w:rPr>
            <w:rFonts w:ascii="Calibri" w:eastAsia="Times New Roman" w:hAnsi="Calibri" w:cs="Calibri"/>
            <w:color w:val="0563C1"/>
            <w:kern w:val="0"/>
            <w:u w:val="single"/>
            <w:lang w:val="es-ES_tradnl" w:eastAsia="es-CR"/>
            <w14:ligatures w14:val="none"/>
          </w:rPr>
          <w:t>https://campus.ubl.ac.cr/course/index.php?categoryid=186</w:t>
        </w:r>
      </w:hyperlink>
    </w:p>
    <w:p w14:paraId="66416EFE"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774C025A" w14:textId="77777777" w:rsidR="005E4FEC" w:rsidRPr="005E4FEC" w:rsidRDefault="005E4FEC" w:rsidP="005E4FEC">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5E4FEC">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3A032F1B"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732F4C1"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8E450B3"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9F8D2E6"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9BF7C4C"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42105909"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083477A1"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FDE084B" w14:textId="77777777" w:rsid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299B7D7"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3F116E9"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308D78A"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5419C60"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1190782"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VIII. Cronograma de trabajo</w:t>
      </w:r>
    </w:p>
    <w:p w14:paraId="6841F126"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tbl>
      <w:tblPr>
        <w:tblStyle w:val="Tablaconcuadrcula4"/>
        <w:tblW w:w="9634" w:type="dxa"/>
        <w:jc w:val="center"/>
        <w:tblLayout w:type="fixed"/>
        <w:tblLook w:val="04A0" w:firstRow="1" w:lastRow="0" w:firstColumn="1" w:lastColumn="0" w:noHBand="0" w:noVBand="1"/>
      </w:tblPr>
      <w:tblGrid>
        <w:gridCol w:w="1144"/>
        <w:gridCol w:w="2109"/>
        <w:gridCol w:w="3121"/>
        <w:gridCol w:w="3260"/>
      </w:tblGrid>
      <w:tr w:rsidR="005E4FEC" w:rsidRPr="005E4FEC" w14:paraId="61274EC7" w14:textId="77777777" w:rsidTr="00104785">
        <w:trPr>
          <w:trHeight w:val="463"/>
          <w:jc w:val="center"/>
        </w:trPr>
        <w:tc>
          <w:tcPr>
            <w:tcW w:w="1144" w:type="dxa"/>
            <w:vMerge w:val="restart"/>
            <w:vAlign w:val="center"/>
          </w:tcPr>
          <w:p w14:paraId="44CD2070" w14:textId="77777777" w:rsidR="005E4FEC" w:rsidRPr="005E4FEC" w:rsidRDefault="005E4FEC" w:rsidP="005E4FEC">
            <w:pPr>
              <w:jc w:val="center"/>
              <w:rPr>
                <w:rFonts w:ascii="Calibri" w:hAnsi="Calibri" w:cs="Calibri"/>
                <w:b/>
                <w:bCs/>
                <w:color w:val="000000"/>
                <w:szCs w:val="24"/>
              </w:rPr>
            </w:pPr>
            <w:r w:rsidRPr="005E4FEC">
              <w:rPr>
                <w:rFonts w:ascii="Calibri" w:hAnsi="Calibri" w:cs="Calibri"/>
                <w:b/>
                <w:bCs/>
                <w:color w:val="000000"/>
                <w:szCs w:val="24"/>
              </w:rPr>
              <w:t>Sesión</w:t>
            </w:r>
          </w:p>
          <w:p w14:paraId="0C62362B" w14:textId="77777777" w:rsidR="005E4FEC" w:rsidRPr="005E4FEC" w:rsidRDefault="005E4FEC" w:rsidP="005E4FEC">
            <w:pPr>
              <w:jc w:val="center"/>
              <w:rPr>
                <w:rFonts w:ascii="Calibri" w:hAnsi="Calibri" w:cs="Calibri"/>
                <w:b/>
                <w:bCs/>
                <w:color w:val="000000"/>
                <w:szCs w:val="24"/>
              </w:rPr>
            </w:pPr>
            <w:r w:rsidRPr="005E4FEC">
              <w:rPr>
                <w:rFonts w:ascii="Calibri" w:hAnsi="Calibri" w:cs="Calibri"/>
                <w:b/>
                <w:bCs/>
                <w:color w:val="000000"/>
                <w:szCs w:val="24"/>
              </w:rPr>
              <w:t>(semana)</w:t>
            </w:r>
          </w:p>
        </w:tc>
        <w:tc>
          <w:tcPr>
            <w:tcW w:w="2109" w:type="dxa"/>
            <w:vMerge w:val="restart"/>
            <w:vAlign w:val="center"/>
          </w:tcPr>
          <w:p w14:paraId="2EC4BC0E" w14:textId="77777777" w:rsidR="005E4FEC" w:rsidRPr="005E4FEC" w:rsidRDefault="005E4FEC" w:rsidP="005E4FEC">
            <w:pPr>
              <w:jc w:val="center"/>
              <w:rPr>
                <w:rFonts w:ascii="Calibri" w:hAnsi="Calibri" w:cs="Calibri"/>
                <w:b/>
                <w:bCs/>
                <w:color w:val="000000"/>
                <w:szCs w:val="24"/>
              </w:rPr>
            </w:pPr>
            <w:r w:rsidRPr="005E4FEC">
              <w:rPr>
                <w:rFonts w:ascii="Calibri" w:hAnsi="Calibri" w:cs="Calibri"/>
                <w:b/>
                <w:bCs/>
                <w:color w:val="000000"/>
                <w:szCs w:val="24"/>
              </w:rPr>
              <w:t>Contenidos temáticos</w:t>
            </w:r>
          </w:p>
        </w:tc>
        <w:tc>
          <w:tcPr>
            <w:tcW w:w="6381" w:type="dxa"/>
            <w:gridSpan w:val="2"/>
            <w:vAlign w:val="center"/>
          </w:tcPr>
          <w:p w14:paraId="4C6F33E9" w14:textId="77777777" w:rsidR="005E4FEC" w:rsidRPr="005E4FEC" w:rsidRDefault="005E4FEC" w:rsidP="005E4FEC">
            <w:pPr>
              <w:jc w:val="center"/>
              <w:rPr>
                <w:rFonts w:ascii="Calibri" w:hAnsi="Calibri" w:cs="Calibri"/>
                <w:b/>
                <w:bCs/>
                <w:color w:val="000000"/>
                <w:szCs w:val="24"/>
              </w:rPr>
            </w:pPr>
            <w:r w:rsidRPr="005E4FEC">
              <w:rPr>
                <w:rFonts w:ascii="Calibri" w:hAnsi="Calibri" w:cs="Calibri"/>
                <w:b/>
                <w:bCs/>
                <w:color w:val="000000"/>
                <w:szCs w:val="24"/>
              </w:rPr>
              <w:t>Actividades de enseñanza-aprendizaje</w:t>
            </w:r>
          </w:p>
        </w:tc>
      </w:tr>
      <w:tr w:rsidR="005E4FEC" w:rsidRPr="005E4FEC" w14:paraId="660766AF" w14:textId="77777777" w:rsidTr="00104785">
        <w:trPr>
          <w:trHeight w:val="413"/>
          <w:jc w:val="center"/>
        </w:trPr>
        <w:tc>
          <w:tcPr>
            <w:tcW w:w="1144" w:type="dxa"/>
            <w:vMerge/>
            <w:vAlign w:val="center"/>
          </w:tcPr>
          <w:p w14:paraId="3C062007" w14:textId="77777777" w:rsidR="005E4FEC" w:rsidRPr="005E4FEC" w:rsidRDefault="005E4FEC" w:rsidP="005E4FEC">
            <w:pPr>
              <w:jc w:val="center"/>
              <w:rPr>
                <w:rFonts w:ascii="Calibri" w:hAnsi="Calibri" w:cs="Calibri"/>
                <w:color w:val="000000"/>
              </w:rPr>
            </w:pPr>
          </w:p>
        </w:tc>
        <w:tc>
          <w:tcPr>
            <w:tcW w:w="2109" w:type="dxa"/>
            <w:vMerge/>
            <w:vAlign w:val="center"/>
          </w:tcPr>
          <w:p w14:paraId="5207906C" w14:textId="77777777" w:rsidR="005E4FEC" w:rsidRPr="005E4FEC" w:rsidRDefault="005E4FEC" w:rsidP="005E4FEC">
            <w:pPr>
              <w:jc w:val="center"/>
              <w:rPr>
                <w:rFonts w:ascii="Calibri" w:hAnsi="Calibri" w:cs="Calibri"/>
                <w:color w:val="000000"/>
              </w:rPr>
            </w:pPr>
          </w:p>
        </w:tc>
        <w:tc>
          <w:tcPr>
            <w:tcW w:w="3121" w:type="dxa"/>
            <w:vAlign w:val="center"/>
          </w:tcPr>
          <w:p w14:paraId="073C5DF3" w14:textId="77777777" w:rsidR="005E4FEC" w:rsidRPr="005E4FEC" w:rsidRDefault="005E4FEC" w:rsidP="005E4FEC">
            <w:pPr>
              <w:jc w:val="center"/>
              <w:rPr>
                <w:rFonts w:ascii="Calibri" w:hAnsi="Calibri" w:cs="Calibri"/>
                <w:b/>
                <w:bCs/>
                <w:color w:val="000000"/>
                <w:szCs w:val="24"/>
              </w:rPr>
            </w:pPr>
            <w:r w:rsidRPr="005E4FEC">
              <w:rPr>
                <w:rFonts w:ascii="Calibri" w:hAnsi="Calibri" w:cs="Calibri"/>
                <w:b/>
                <w:bCs/>
                <w:color w:val="000000"/>
                <w:szCs w:val="24"/>
              </w:rPr>
              <w:t>Recursos didácticos</w:t>
            </w:r>
          </w:p>
        </w:tc>
        <w:tc>
          <w:tcPr>
            <w:tcW w:w="3260" w:type="dxa"/>
            <w:vAlign w:val="center"/>
          </w:tcPr>
          <w:p w14:paraId="31ECD72B" w14:textId="77777777" w:rsidR="005E4FEC" w:rsidRPr="005E4FEC" w:rsidRDefault="005E4FEC" w:rsidP="005E4FEC">
            <w:pPr>
              <w:jc w:val="center"/>
              <w:rPr>
                <w:rFonts w:ascii="Calibri" w:hAnsi="Calibri" w:cs="Calibri"/>
                <w:b/>
                <w:bCs/>
                <w:color w:val="000000"/>
                <w:szCs w:val="24"/>
              </w:rPr>
            </w:pPr>
            <w:r w:rsidRPr="005E4FEC">
              <w:rPr>
                <w:rFonts w:ascii="Calibri" w:hAnsi="Calibri" w:cs="Calibri"/>
                <w:b/>
                <w:bCs/>
                <w:color w:val="000000"/>
                <w:szCs w:val="24"/>
              </w:rPr>
              <w:t>Actividades de aprendizaje</w:t>
            </w:r>
          </w:p>
        </w:tc>
      </w:tr>
      <w:tr w:rsidR="005E4FEC" w:rsidRPr="005E4FEC" w14:paraId="16D3ACEB" w14:textId="77777777" w:rsidTr="00104785">
        <w:trPr>
          <w:jc w:val="center"/>
        </w:trPr>
        <w:tc>
          <w:tcPr>
            <w:tcW w:w="1144" w:type="dxa"/>
          </w:tcPr>
          <w:p w14:paraId="44FB2E27" w14:textId="77777777" w:rsidR="005E4FEC" w:rsidRPr="005E4FEC" w:rsidRDefault="005E4FEC" w:rsidP="005E4FEC">
            <w:pPr>
              <w:jc w:val="center"/>
              <w:rPr>
                <w:rFonts w:ascii="Calibri" w:hAnsi="Calibri" w:cs="Calibri"/>
                <w:color w:val="000000"/>
              </w:rPr>
            </w:pPr>
          </w:p>
          <w:p w14:paraId="73265B31"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1</w:t>
            </w:r>
          </w:p>
        </w:tc>
        <w:tc>
          <w:tcPr>
            <w:tcW w:w="2109" w:type="dxa"/>
          </w:tcPr>
          <w:p w14:paraId="21855C84"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Unidad 1: El mundo social del Antiguo Testamento</w:t>
            </w:r>
          </w:p>
          <w:p w14:paraId="143AF538" w14:textId="77777777" w:rsidR="005E4FEC" w:rsidRPr="005E4FEC" w:rsidRDefault="005E4FEC" w:rsidP="005E4FEC">
            <w:pPr>
              <w:rPr>
                <w:rFonts w:ascii="Calibri" w:hAnsi="Calibri" w:cs="Calibri"/>
                <w:b/>
                <w:bCs/>
                <w:color w:val="000000"/>
              </w:rPr>
            </w:pPr>
          </w:p>
          <w:p w14:paraId="34DE20D6" w14:textId="77777777" w:rsidR="005E4FEC" w:rsidRPr="005E4FEC" w:rsidRDefault="005E4FEC" w:rsidP="005E4FEC">
            <w:pPr>
              <w:rPr>
                <w:rFonts w:ascii="Calibri" w:hAnsi="Calibri" w:cs="Calibri"/>
                <w:color w:val="000000"/>
              </w:rPr>
            </w:pPr>
            <w:r w:rsidRPr="005E4FEC">
              <w:rPr>
                <w:rFonts w:ascii="Calibri" w:hAnsi="Calibri" w:cs="Calibri"/>
                <w:color w:val="000000"/>
              </w:rPr>
              <w:t>1.1 Introducción al curso</w:t>
            </w:r>
          </w:p>
          <w:p w14:paraId="489E941F" w14:textId="77777777" w:rsidR="005E4FEC" w:rsidRPr="005E4FEC" w:rsidRDefault="005E4FEC" w:rsidP="005E4FEC">
            <w:pPr>
              <w:rPr>
                <w:rFonts w:ascii="Calibri" w:hAnsi="Calibri" w:cs="Calibri"/>
                <w:color w:val="000000"/>
              </w:rPr>
            </w:pPr>
          </w:p>
        </w:tc>
        <w:tc>
          <w:tcPr>
            <w:tcW w:w="3121" w:type="dxa"/>
          </w:tcPr>
          <w:p w14:paraId="06A55610"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0FE34D67" w14:textId="77777777" w:rsidR="005E4FEC" w:rsidRPr="005E4FEC" w:rsidRDefault="005E4FEC" w:rsidP="005E4FEC">
            <w:pPr>
              <w:rPr>
                <w:rFonts w:ascii="Calibri" w:hAnsi="Calibri" w:cs="Calibri"/>
                <w:color w:val="0070C0"/>
              </w:rPr>
            </w:pPr>
          </w:p>
          <w:p w14:paraId="1E1D14A1" w14:textId="77777777" w:rsidR="005E4FEC" w:rsidRPr="005E4FEC" w:rsidRDefault="005E4FEC" w:rsidP="005E4FEC">
            <w:pPr>
              <w:rPr>
                <w:rFonts w:ascii="Calibri" w:hAnsi="Calibri" w:cs="Calibri"/>
                <w:color w:val="000000"/>
              </w:rPr>
            </w:pPr>
            <w:r w:rsidRPr="005E4FEC">
              <w:rPr>
                <w:rFonts w:ascii="Calibri" w:hAnsi="Calibri" w:cs="Calibri"/>
                <w:color w:val="000000"/>
              </w:rPr>
              <w:t xml:space="preserve">Kessler, Reiner. </w:t>
            </w:r>
            <w:r w:rsidRPr="005E4FEC">
              <w:rPr>
                <w:rFonts w:ascii="Calibri" w:hAnsi="Calibri" w:cs="Arial"/>
                <w:lang w:val="es-CR"/>
              </w:rPr>
              <w:t xml:space="preserve">“Introducción. El método de la historia social”. </w:t>
            </w:r>
            <w:r w:rsidRPr="005E4FEC">
              <w:rPr>
                <w:rFonts w:ascii="Calibri" w:hAnsi="Calibri" w:cs="Calibri"/>
                <w:color w:val="000000"/>
              </w:rPr>
              <w:t xml:space="preserve">En </w:t>
            </w:r>
            <w:r w:rsidRPr="005E4FEC">
              <w:rPr>
                <w:rFonts w:ascii="Calibri" w:hAnsi="Calibri" w:cs="Calibri"/>
                <w:i/>
                <w:color w:val="000000"/>
              </w:rPr>
              <w:t>Historia social del antiguo Israel</w:t>
            </w:r>
            <w:r w:rsidRPr="005E4FEC">
              <w:rPr>
                <w:rFonts w:ascii="Calibri" w:hAnsi="Calibri" w:cs="Calibri"/>
                <w:iCs/>
                <w:color w:val="000000"/>
              </w:rPr>
              <w:t>, 11-29</w:t>
            </w:r>
            <w:r w:rsidRPr="005E4FEC">
              <w:rPr>
                <w:rFonts w:ascii="Calibri" w:hAnsi="Calibri" w:cs="Calibri"/>
                <w:i/>
                <w:color w:val="000000"/>
              </w:rPr>
              <w:t xml:space="preserve">. </w:t>
            </w:r>
            <w:r w:rsidRPr="005E4FEC">
              <w:rPr>
                <w:rFonts w:ascii="Calibri" w:hAnsi="Calibri" w:cs="Calibri"/>
                <w:color w:val="000000"/>
              </w:rPr>
              <w:t xml:space="preserve">Salamanca: Sígueme, 2013. </w:t>
            </w:r>
            <w:r w:rsidRPr="005E4FEC">
              <w:rPr>
                <w:rFonts w:ascii="Calibri" w:hAnsi="Calibri" w:cs="Calibri"/>
                <w:color w:val="0070C0"/>
              </w:rPr>
              <w:t>(clásico, última edición)</w:t>
            </w:r>
          </w:p>
          <w:p w14:paraId="5CAD1E68" w14:textId="77777777" w:rsidR="005E4FEC" w:rsidRPr="005E4FEC" w:rsidRDefault="005E4FEC" w:rsidP="005E4FEC">
            <w:pPr>
              <w:rPr>
                <w:rFonts w:ascii="Calibri" w:hAnsi="Calibri" w:cs="Calibri"/>
                <w:color w:val="000000"/>
              </w:rPr>
            </w:pPr>
          </w:p>
          <w:p w14:paraId="78746547" w14:textId="77777777" w:rsidR="005E4FEC" w:rsidRPr="005E4FEC" w:rsidRDefault="005E4FEC" w:rsidP="005E4FEC">
            <w:pPr>
              <w:rPr>
                <w:rFonts w:ascii="Calibri" w:hAnsi="Calibri" w:cs="Arial"/>
              </w:rPr>
            </w:pPr>
            <w:r w:rsidRPr="005E4FEC">
              <w:rPr>
                <w:rFonts w:ascii="Calibri" w:hAnsi="Calibri" w:cs="Arial"/>
              </w:rPr>
              <w:t xml:space="preserve">Ramírez Kidd, José Enrique. “La esclavitud en la Biblia: realidad, metáfora, desafío. Itinerario cultural e histórico de </w:t>
            </w:r>
            <w:proofErr w:type="spellStart"/>
            <w:r w:rsidRPr="005E4FEC">
              <w:rPr>
                <w:rFonts w:ascii="Calibri" w:hAnsi="Calibri" w:cs="Arial"/>
              </w:rPr>
              <w:t>Deut</w:t>
            </w:r>
            <w:proofErr w:type="spellEnd"/>
            <w:r w:rsidRPr="005E4FEC">
              <w:rPr>
                <w:rFonts w:ascii="Calibri" w:hAnsi="Calibri" w:cs="Arial"/>
              </w:rPr>
              <w:t xml:space="preserve"> 23.16-17”. </w:t>
            </w:r>
            <w:r w:rsidRPr="005E4FEC">
              <w:rPr>
                <w:rFonts w:ascii="Calibri" w:hAnsi="Calibri" w:cs="Arial"/>
                <w:i/>
                <w:iCs/>
              </w:rPr>
              <w:t xml:space="preserve">Aportes Bíblicos, </w:t>
            </w:r>
            <w:r w:rsidRPr="005E4FEC">
              <w:rPr>
                <w:rFonts w:ascii="Calibri" w:hAnsi="Calibri" w:cs="Arial"/>
              </w:rPr>
              <w:t>n.º 20 (2015): 9-11.</w:t>
            </w:r>
          </w:p>
          <w:p w14:paraId="245E4B68" w14:textId="77777777" w:rsidR="005E4FEC" w:rsidRPr="005E4FEC" w:rsidRDefault="005E4FEC" w:rsidP="005E4FEC">
            <w:pPr>
              <w:rPr>
                <w:rFonts w:ascii="Calibri" w:hAnsi="Calibri" w:cs="Arial"/>
              </w:rPr>
            </w:pPr>
          </w:p>
          <w:p w14:paraId="507F9CF0" w14:textId="77777777" w:rsidR="005E4FEC" w:rsidRPr="005E4FEC" w:rsidRDefault="005E4FEC" w:rsidP="005E4FEC">
            <w:pPr>
              <w:rPr>
                <w:rFonts w:ascii="Calibri" w:hAnsi="Calibri" w:cs="Calibri"/>
                <w:b/>
                <w:bCs/>
                <w:color w:val="0070C0"/>
              </w:rPr>
            </w:pPr>
            <w:r w:rsidRPr="005E4FEC">
              <w:rPr>
                <w:rFonts w:ascii="Calibri" w:hAnsi="Calibri" w:cs="Calibri"/>
                <w:b/>
                <w:bCs/>
                <w:color w:val="0070C0"/>
              </w:rPr>
              <w:t>Material complementario</w:t>
            </w:r>
          </w:p>
          <w:p w14:paraId="4AB479F4" w14:textId="77777777" w:rsidR="005E4FEC" w:rsidRPr="005E4FEC" w:rsidRDefault="005E4FEC" w:rsidP="005E4FEC">
            <w:pPr>
              <w:rPr>
                <w:rFonts w:ascii="Calibri" w:hAnsi="Calibri" w:cs="Calibri"/>
                <w:b/>
                <w:bCs/>
                <w:color w:val="0070C0"/>
              </w:rPr>
            </w:pPr>
          </w:p>
          <w:p w14:paraId="08B76C85" w14:textId="77777777" w:rsidR="005E4FEC" w:rsidRPr="005E4FEC" w:rsidRDefault="005E4FEC" w:rsidP="005E4FEC">
            <w:pPr>
              <w:rPr>
                <w:rFonts w:ascii="Calibri" w:hAnsi="Calibri" w:cs="Calibri"/>
                <w:color w:val="0070C0"/>
              </w:rPr>
            </w:pPr>
            <w:r w:rsidRPr="005E4FEC">
              <w:rPr>
                <w:rFonts w:ascii="Calibri" w:hAnsi="Calibri" w:cs="Calibri"/>
                <w:color w:val="0070C0"/>
              </w:rPr>
              <w:t>Guía para la participación en un foro en la plataforma Moodle</w:t>
            </w:r>
          </w:p>
          <w:p w14:paraId="7FCAECD9" w14:textId="77777777" w:rsidR="005E4FEC" w:rsidRPr="005E4FEC" w:rsidRDefault="005E4FEC" w:rsidP="005E4FEC">
            <w:pPr>
              <w:rPr>
                <w:rFonts w:ascii="Calibri" w:hAnsi="Calibri" w:cs="Calibri"/>
                <w:color w:val="0070C0"/>
              </w:rPr>
            </w:pPr>
          </w:p>
          <w:p w14:paraId="26ED4C6D" w14:textId="77777777" w:rsidR="005E4FEC" w:rsidRPr="005E4FEC" w:rsidRDefault="005E4FEC" w:rsidP="005E4FEC">
            <w:pPr>
              <w:rPr>
                <w:rFonts w:ascii="Calibri" w:hAnsi="Calibri" w:cs="Calibri"/>
                <w:color w:val="0070C0"/>
              </w:rPr>
            </w:pPr>
            <w:r w:rsidRPr="005E4FEC">
              <w:rPr>
                <w:rFonts w:ascii="Calibri" w:hAnsi="Calibri" w:cs="Calibri"/>
                <w:color w:val="0070C0"/>
              </w:rPr>
              <w:t xml:space="preserve">Guía para la participación mediante la herramienta Big Blue </w:t>
            </w:r>
            <w:proofErr w:type="spellStart"/>
            <w:r w:rsidRPr="005E4FEC">
              <w:rPr>
                <w:rFonts w:ascii="Calibri" w:hAnsi="Calibri" w:cs="Calibri"/>
                <w:color w:val="0070C0"/>
              </w:rPr>
              <w:t>Button</w:t>
            </w:r>
            <w:proofErr w:type="spellEnd"/>
            <w:r w:rsidRPr="005E4FEC">
              <w:rPr>
                <w:rFonts w:ascii="Calibri" w:hAnsi="Calibri" w:cs="Calibri"/>
                <w:color w:val="0070C0"/>
              </w:rPr>
              <w:t xml:space="preserve"> en la plataforma Moodle</w:t>
            </w:r>
          </w:p>
          <w:p w14:paraId="7899B45B" w14:textId="77777777" w:rsidR="005E4FEC" w:rsidRPr="005E4FEC" w:rsidRDefault="005E4FEC" w:rsidP="005E4FEC">
            <w:pPr>
              <w:rPr>
                <w:rFonts w:ascii="Calibri" w:hAnsi="Calibri" w:cs="Calibri"/>
                <w:color w:val="000000"/>
              </w:rPr>
            </w:pPr>
          </w:p>
        </w:tc>
        <w:tc>
          <w:tcPr>
            <w:tcW w:w="3260" w:type="dxa"/>
          </w:tcPr>
          <w:p w14:paraId="3BA90131" w14:textId="77777777" w:rsidR="005E4FEC" w:rsidRPr="005E4FEC" w:rsidRDefault="005E4FEC" w:rsidP="005E4FEC">
            <w:pPr>
              <w:numPr>
                <w:ilvl w:val="0"/>
                <w:numId w:val="245"/>
              </w:numPr>
              <w:spacing w:after="200" w:line="276" w:lineRule="auto"/>
              <w:ind w:left="325"/>
              <w:contextualSpacing/>
              <w:rPr>
                <w:rFonts w:ascii="Calibri" w:eastAsia="Calibri" w:hAnsi="Calibri" w:cs="Calibri"/>
                <w:color w:val="000000"/>
                <w:lang w:val="es-CR"/>
              </w:rPr>
            </w:pPr>
            <w:r w:rsidRPr="005E4FEC">
              <w:rPr>
                <w:rFonts w:ascii="Calibri" w:eastAsia="Calibri" w:hAnsi="Calibri" w:cs="Calibri"/>
                <w:color w:val="000000"/>
                <w:lang w:val="es-CR"/>
              </w:rPr>
              <w:t>Participación en el foro social CAFETERÍA.</w:t>
            </w:r>
          </w:p>
          <w:p w14:paraId="5D9F91A3" w14:textId="77777777" w:rsidR="005E4FEC" w:rsidRPr="005E4FEC" w:rsidRDefault="005E4FEC" w:rsidP="005E4FEC">
            <w:pPr>
              <w:numPr>
                <w:ilvl w:val="0"/>
                <w:numId w:val="245"/>
              </w:numPr>
              <w:spacing w:after="200" w:line="276" w:lineRule="auto"/>
              <w:ind w:left="325"/>
              <w:contextualSpacing/>
              <w:rPr>
                <w:rFonts w:ascii="Calibri" w:eastAsia="Calibri" w:hAnsi="Calibri" w:cs="Calibri"/>
                <w:color w:val="000000"/>
                <w:lang w:val="es-CR"/>
              </w:rPr>
            </w:pPr>
            <w:r w:rsidRPr="005E4FEC">
              <w:rPr>
                <w:rFonts w:ascii="Calibri" w:eastAsia="Calibri" w:hAnsi="Calibri" w:cs="Calibri"/>
                <w:color w:val="000000"/>
                <w:lang w:val="es-CR"/>
              </w:rPr>
              <w:t>Participación en el foro de dudas.</w:t>
            </w:r>
          </w:p>
          <w:p w14:paraId="4DA2F614" w14:textId="77777777" w:rsidR="005E4FEC" w:rsidRPr="005E4FEC" w:rsidRDefault="005E4FEC" w:rsidP="005E4FEC">
            <w:pPr>
              <w:numPr>
                <w:ilvl w:val="0"/>
                <w:numId w:val="245"/>
              </w:numPr>
              <w:spacing w:after="200" w:line="276" w:lineRule="auto"/>
              <w:ind w:left="325"/>
              <w:contextualSpacing/>
              <w:rPr>
                <w:rFonts w:ascii="Calibri" w:eastAsia="Calibri" w:hAnsi="Calibri" w:cs="Calibri"/>
                <w:color w:val="000000"/>
                <w:lang w:val="es-CR"/>
              </w:rPr>
            </w:pPr>
            <w:r w:rsidRPr="005E4FEC">
              <w:rPr>
                <w:rFonts w:ascii="Calibri" w:eastAsia="Calibri" w:hAnsi="Calibri" w:cs="Calibri"/>
                <w:color w:val="000000"/>
                <w:lang w:val="es-CR"/>
              </w:rPr>
              <w:t>Introducción a los temas del curso en un encuentro sincrónico virtual.</w:t>
            </w:r>
          </w:p>
          <w:p w14:paraId="7FC72B43" w14:textId="77777777" w:rsidR="005E4FEC" w:rsidRPr="005E4FEC" w:rsidRDefault="005E4FEC" w:rsidP="005E4FEC">
            <w:pPr>
              <w:numPr>
                <w:ilvl w:val="0"/>
                <w:numId w:val="245"/>
              </w:numPr>
              <w:spacing w:after="200" w:line="276" w:lineRule="auto"/>
              <w:ind w:left="325"/>
              <w:contextualSpacing/>
              <w:rPr>
                <w:rFonts w:ascii="Calibri" w:eastAsia="Calibri" w:hAnsi="Calibri" w:cs="Calibri"/>
                <w:color w:val="000000"/>
                <w:lang w:val="es-CR"/>
              </w:rPr>
            </w:pPr>
            <w:r w:rsidRPr="005E4FEC">
              <w:rPr>
                <w:rFonts w:ascii="Calibri" w:eastAsia="Calibri" w:hAnsi="Calibri" w:cs="Calibri"/>
                <w:color w:val="000000"/>
                <w:lang w:val="es-CR"/>
              </w:rPr>
              <w:t>Realizar las lecturas de la sesión como preparación para participar en el foro temático de la próxima sesión.</w:t>
            </w:r>
          </w:p>
        </w:tc>
      </w:tr>
      <w:tr w:rsidR="005E4FEC" w:rsidRPr="005E4FEC" w14:paraId="5AEB36F5" w14:textId="77777777" w:rsidTr="00104785">
        <w:trPr>
          <w:jc w:val="center"/>
        </w:trPr>
        <w:tc>
          <w:tcPr>
            <w:tcW w:w="1144" w:type="dxa"/>
          </w:tcPr>
          <w:p w14:paraId="519D6559" w14:textId="77777777" w:rsidR="005E4FEC" w:rsidRPr="005E4FEC" w:rsidRDefault="005E4FEC" w:rsidP="005E4FEC">
            <w:pPr>
              <w:jc w:val="center"/>
              <w:rPr>
                <w:rFonts w:ascii="Calibri" w:hAnsi="Calibri" w:cs="Calibri"/>
                <w:color w:val="000000"/>
              </w:rPr>
            </w:pPr>
          </w:p>
          <w:p w14:paraId="1E45E718"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2</w:t>
            </w:r>
          </w:p>
        </w:tc>
        <w:tc>
          <w:tcPr>
            <w:tcW w:w="2109" w:type="dxa"/>
          </w:tcPr>
          <w:p w14:paraId="7ABF3C70"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Unidad 1: El mundo social del Antiguo Testamento</w:t>
            </w:r>
          </w:p>
          <w:p w14:paraId="157E81C9" w14:textId="77777777" w:rsidR="005E4FEC" w:rsidRPr="005E4FEC" w:rsidRDefault="005E4FEC" w:rsidP="005E4FEC">
            <w:pPr>
              <w:rPr>
                <w:rFonts w:ascii="Calibri" w:hAnsi="Calibri" w:cs="Calibri"/>
                <w:color w:val="000000"/>
              </w:rPr>
            </w:pPr>
          </w:p>
          <w:p w14:paraId="3145C17B" w14:textId="77777777" w:rsidR="005E4FEC" w:rsidRPr="005E4FEC" w:rsidRDefault="005E4FEC" w:rsidP="005E4FEC">
            <w:pPr>
              <w:rPr>
                <w:rFonts w:ascii="Calibri" w:hAnsi="Calibri" w:cs="Calibri"/>
                <w:color w:val="000000"/>
              </w:rPr>
            </w:pPr>
            <w:r w:rsidRPr="005E4FEC">
              <w:rPr>
                <w:rFonts w:ascii="Calibri" w:hAnsi="Calibri" w:cs="Calibri"/>
                <w:color w:val="000000"/>
              </w:rPr>
              <w:t>1.2 Formación del pueblo hebreo y la adquisición de patrones sociales</w:t>
            </w:r>
          </w:p>
          <w:p w14:paraId="5C1C4DC5" w14:textId="77777777" w:rsidR="005E4FEC" w:rsidRPr="005E4FEC" w:rsidRDefault="005E4FEC" w:rsidP="005E4FEC">
            <w:pPr>
              <w:rPr>
                <w:rFonts w:ascii="Calibri" w:hAnsi="Calibri" w:cs="Calibri"/>
                <w:color w:val="000000"/>
              </w:rPr>
            </w:pPr>
          </w:p>
        </w:tc>
        <w:tc>
          <w:tcPr>
            <w:tcW w:w="3121" w:type="dxa"/>
          </w:tcPr>
          <w:p w14:paraId="44E06059"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6EDD11BE" w14:textId="77777777" w:rsidR="005E4FEC" w:rsidRPr="005E4FEC" w:rsidRDefault="005E4FEC" w:rsidP="005E4FEC">
            <w:pPr>
              <w:rPr>
                <w:rFonts w:ascii="Calibri" w:hAnsi="Calibri" w:cs="Calibri"/>
              </w:rPr>
            </w:pPr>
          </w:p>
          <w:p w14:paraId="31FE96F1" w14:textId="77777777" w:rsidR="005E4FEC" w:rsidRPr="005E4FEC" w:rsidRDefault="005E4FEC" w:rsidP="005E4FEC">
            <w:pPr>
              <w:rPr>
                <w:rFonts w:ascii="Calibri" w:hAnsi="Calibri" w:cs="Calibri"/>
              </w:rPr>
            </w:pPr>
            <w:r w:rsidRPr="005E4FEC">
              <w:rPr>
                <w:rFonts w:ascii="Calibri" w:hAnsi="Calibri" w:cs="Calibri"/>
              </w:rPr>
              <w:t xml:space="preserve">Ramírez Kidd, José Enrique. </w:t>
            </w:r>
            <w:r w:rsidRPr="005E4FEC">
              <w:rPr>
                <w:rFonts w:ascii="Calibri" w:hAnsi="Calibri" w:cs="Arial"/>
                <w:lang w:val="es-CR"/>
              </w:rPr>
              <w:t>“</w:t>
            </w:r>
            <w:r w:rsidRPr="005E4FEC">
              <w:rPr>
                <w:rFonts w:ascii="Calibri" w:hAnsi="Calibri" w:cs="Arial"/>
                <w:iCs/>
                <w:lang w:val="es-CR"/>
              </w:rPr>
              <w:t xml:space="preserve">Autoridad y misericordia: el </w:t>
            </w:r>
            <w:proofErr w:type="spellStart"/>
            <w:r w:rsidRPr="005E4FEC">
              <w:rPr>
                <w:rFonts w:ascii="Calibri" w:hAnsi="Calibri" w:cs="Arial"/>
                <w:iCs/>
                <w:lang w:val="es-CR"/>
              </w:rPr>
              <w:t>ostracón</w:t>
            </w:r>
            <w:proofErr w:type="spellEnd"/>
            <w:r w:rsidRPr="005E4FEC">
              <w:rPr>
                <w:rFonts w:ascii="Calibri" w:hAnsi="Calibri" w:cs="Arial"/>
                <w:iCs/>
                <w:lang w:val="es-CR"/>
              </w:rPr>
              <w:t xml:space="preserve"> de </w:t>
            </w:r>
            <w:proofErr w:type="spellStart"/>
            <w:r w:rsidRPr="005E4FEC">
              <w:rPr>
                <w:rFonts w:ascii="Calibri" w:hAnsi="Calibri" w:cs="Arial"/>
                <w:iCs/>
                <w:lang w:val="es-CR"/>
              </w:rPr>
              <w:t>Meshad</w:t>
            </w:r>
            <w:proofErr w:type="spellEnd"/>
            <w:r w:rsidRPr="005E4FEC">
              <w:rPr>
                <w:rFonts w:ascii="Calibri" w:hAnsi="Calibri" w:cs="Arial"/>
                <w:iCs/>
                <w:lang w:val="es-CR"/>
              </w:rPr>
              <w:t xml:space="preserve"> </w:t>
            </w:r>
            <w:proofErr w:type="spellStart"/>
            <w:r w:rsidRPr="005E4FEC">
              <w:rPr>
                <w:rFonts w:ascii="Calibri" w:hAnsi="Calibri" w:cs="Arial"/>
                <w:iCs/>
                <w:lang w:val="es-CR"/>
              </w:rPr>
              <w:t>Hashavyahu</w:t>
            </w:r>
            <w:proofErr w:type="spellEnd"/>
            <w:r w:rsidRPr="005E4FEC">
              <w:rPr>
                <w:rFonts w:ascii="Calibri" w:hAnsi="Calibri" w:cs="Arial"/>
                <w:iCs/>
                <w:lang w:val="es-CR"/>
              </w:rPr>
              <w:t xml:space="preserve">”, </w:t>
            </w:r>
            <w:r w:rsidRPr="005E4FEC">
              <w:rPr>
                <w:rFonts w:ascii="Calibri" w:hAnsi="Calibri" w:cs="Arial"/>
                <w:lang w:val="es-CR"/>
              </w:rPr>
              <w:t>“</w:t>
            </w:r>
            <w:r w:rsidRPr="005E4FEC">
              <w:rPr>
                <w:rFonts w:ascii="Calibri" w:hAnsi="Calibri" w:cs="Arial"/>
                <w:iCs/>
                <w:lang w:val="es-CR"/>
              </w:rPr>
              <w:t xml:space="preserve">Historia social de Israel: esbozo”, </w:t>
            </w:r>
            <w:r w:rsidRPr="005E4FEC">
              <w:rPr>
                <w:rFonts w:ascii="Calibri" w:hAnsi="Calibri" w:cs="Arial"/>
                <w:lang w:val="es-CR"/>
              </w:rPr>
              <w:t>“</w:t>
            </w:r>
            <w:r w:rsidRPr="005E4FEC">
              <w:rPr>
                <w:rFonts w:ascii="Calibri" w:hAnsi="Calibri" w:cs="Arial"/>
                <w:iCs/>
                <w:lang w:val="es-CR"/>
              </w:rPr>
              <w:t xml:space="preserve">Carta de un niño a su madre”. </w:t>
            </w:r>
            <w:r w:rsidRPr="005E4FEC">
              <w:rPr>
                <w:rFonts w:ascii="Calibri" w:hAnsi="Calibri" w:cs="Arial"/>
                <w:lang w:val="es-CR"/>
              </w:rPr>
              <w:t xml:space="preserve">En </w:t>
            </w:r>
            <w:r w:rsidRPr="005E4FEC">
              <w:rPr>
                <w:rFonts w:ascii="Calibri" w:hAnsi="Calibri" w:cs="Calibri"/>
                <w:i/>
              </w:rPr>
              <w:t>Para comprender el Antiguo Testamento</w:t>
            </w:r>
            <w:r w:rsidRPr="005E4FEC">
              <w:rPr>
                <w:rFonts w:ascii="Calibri" w:hAnsi="Calibri" w:cs="Calibri"/>
                <w:iCs/>
              </w:rPr>
              <w:t xml:space="preserve">, 197-198, 207-216. </w:t>
            </w:r>
            <w:r w:rsidRPr="005E4FEC">
              <w:rPr>
                <w:rFonts w:ascii="Calibri" w:hAnsi="Calibri" w:cs="Calibri"/>
              </w:rPr>
              <w:t xml:space="preserve">San José: Editorial SEBILA, 2019. </w:t>
            </w:r>
            <w:r w:rsidRPr="005E4FEC">
              <w:rPr>
                <w:rFonts w:ascii="Calibri" w:hAnsi="Calibri" w:cs="Calibri"/>
                <w:color w:val="0070C0"/>
                <w:szCs w:val="18"/>
              </w:rPr>
              <w:t>(clásico, última edición)</w:t>
            </w:r>
          </w:p>
          <w:p w14:paraId="0EF16B34" w14:textId="77777777" w:rsidR="005E4FEC" w:rsidRPr="005E4FEC" w:rsidRDefault="005E4FEC" w:rsidP="005E4FEC">
            <w:pPr>
              <w:rPr>
                <w:rFonts w:ascii="Calibri" w:hAnsi="Calibri" w:cs="Calibri"/>
              </w:rPr>
            </w:pPr>
          </w:p>
          <w:p w14:paraId="5EAA6096" w14:textId="77777777" w:rsidR="005E4FEC" w:rsidRPr="005E4FEC" w:rsidRDefault="005E4FEC" w:rsidP="005E4FEC">
            <w:pPr>
              <w:rPr>
                <w:rFonts w:ascii="Calibri" w:hAnsi="Calibri" w:cs="Calibri"/>
                <w:b/>
                <w:bCs/>
                <w:color w:val="0070C0"/>
              </w:rPr>
            </w:pPr>
            <w:r w:rsidRPr="005E4FEC">
              <w:rPr>
                <w:rFonts w:ascii="Calibri" w:hAnsi="Calibri" w:cs="Calibri"/>
                <w:b/>
                <w:bCs/>
                <w:color w:val="0070C0"/>
              </w:rPr>
              <w:lastRenderedPageBreak/>
              <w:t>Material complementario</w:t>
            </w:r>
          </w:p>
          <w:p w14:paraId="49484B42" w14:textId="77777777" w:rsidR="005E4FEC" w:rsidRPr="005E4FEC" w:rsidRDefault="005E4FEC" w:rsidP="005E4FEC">
            <w:pPr>
              <w:rPr>
                <w:rFonts w:ascii="Calibri" w:hAnsi="Calibri" w:cs="Calibri"/>
                <w:b/>
                <w:bCs/>
                <w:color w:val="0070C0"/>
              </w:rPr>
            </w:pPr>
          </w:p>
          <w:p w14:paraId="757C0AF9" w14:textId="77777777" w:rsidR="005E4FEC" w:rsidRPr="005E4FEC" w:rsidRDefault="005E4FEC" w:rsidP="005E4FEC">
            <w:pPr>
              <w:rPr>
                <w:rFonts w:ascii="Calibri" w:hAnsi="Calibri" w:cs="Calibri"/>
              </w:rPr>
            </w:pPr>
            <w:r w:rsidRPr="005E4FEC">
              <w:rPr>
                <w:rFonts w:ascii="Calibri" w:hAnsi="Calibri" w:cs="Calibri"/>
                <w:color w:val="0070C0"/>
              </w:rPr>
              <w:t>Guía para la participación en un foro en la plataforma Moodle</w:t>
            </w:r>
          </w:p>
          <w:p w14:paraId="32BDF728" w14:textId="77777777" w:rsidR="005E4FEC" w:rsidRPr="005E4FEC" w:rsidRDefault="005E4FEC" w:rsidP="005E4FEC">
            <w:pPr>
              <w:rPr>
                <w:rFonts w:ascii="Calibri" w:hAnsi="Calibri" w:cs="Calibri"/>
                <w:color w:val="000000"/>
              </w:rPr>
            </w:pPr>
          </w:p>
        </w:tc>
        <w:tc>
          <w:tcPr>
            <w:tcW w:w="3260" w:type="dxa"/>
          </w:tcPr>
          <w:p w14:paraId="3CBF8762" w14:textId="77777777" w:rsidR="005E4FEC" w:rsidRPr="005E4FEC" w:rsidRDefault="005E4FEC" w:rsidP="005E4FEC">
            <w:pPr>
              <w:numPr>
                <w:ilvl w:val="0"/>
                <w:numId w:val="246"/>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lastRenderedPageBreak/>
              <w:t>Realizar la lectura de la sesión.</w:t>
            </w:r>
          </w:p>
          <w:p w14:paraId="1AB989E1" w14:textId="77777777" w:rsidR="005E4FEC" w:rsidRPr="005E4FEC" w:rsidRDefault="005E4FEC" w:rsidP="005E4FEC">
            <w:pPr>
              <w:numPr>
                <w:ilvl w:val="0"/>
                <w:numId w:val="246"/>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Participación en el foro temático: La historia social y las ideas religiosas.</w:t>
            </w:r>
          </w:p>
        </w:tc>
      </w:tr>
      <w:tr w:rsidR="005E4FEC" w:rsidRPr="005E4FEC" w14:paraId="09EE55CB" w14:textId="77777777" w:rsidTr="00104785">
        <w:trPr>
          <w:jc w:val="center"/>
        </w:trPr>
        <w:tc>
          <w:tcPr>
            <w:tcW w:w="1144" w:type="dxa"/>
          </w:tcPr>
          <w:p w14:paraId="0CA83404" w14:textId="77777777" w:rsidR="005E4FEC" w:rsidRPr="005E4FEC" w:rsidRDefault="005E4FEC" w:rsidP="005E4FEC">
            <w:pPr>
              <w:jc w:val="center"/>
              <w:rPr>
                <w:rFonts w:ascii="Calibri" w:hAnsi="Calibri" w:cs="Calibri"/>
                <w:color w:val="000000"/>
              </w:rPr>
            </w:pPr>
          </w:p>
          <w:p w14:paraId="2BE03D38"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3</w:t>
            </w:r>
          </w:p>
        </w:tc>
        <w:tc>
          <w:tcPr>
            <w:tcW w:w="2109" w:type="dxa"/>
          </w:tcPr>
          <w:p w14:paraId="549956EC"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Unidad 1: El mundo social del Antiguo Testamento</w:t>
            </w:r>
          </w:p>
          <w:p w14:paraId="19A883D0" w14:textId="77777777" w:rsidR="005E4FEC" w:rsidRPr="005E4FEC" w:rsidRDefault="005E4FEC" w:rsidP="005E4FEC">
            <w:pPr>
              <w:rPr>
                <w:rFonts w:ascii="Calibri" w:hAnsi="Calibri" w:cs="Calibri"/>
                <w:b/>
                <w:bCs/>
                <w:color w:val="000000"/>
              </w:rPr>
            </w:pPr>
          </w:p>
          <w:p w14:paraId="70D58180" w14:textId="77777777" w:rsidR="005E4FEC" w:rsidRPr="005E4FEC" w:rsidRDefault="005E4FEC" w:rsidP="005E4FEC">
            <w:pPr>
              <w:rPr>
                <w:rFonts w:ascii="Calibri" w:hAnsi="Calibri" w:cs="Calibri"/>
                <w:color w:val="000000"/>
              </w:rPr>
            </w:pPr>
            <w:r w:rsidRPr="005E4FEC">
              <w:rPr>
                <w:rFonts w:ascii="Calibri" w:hAnsi="Calibri" w:cs="Calibri"/>
                <w:color w:val="000000"/>
              </w:rPr>
              <w:t>1.2 Formación del pueblo hebreo y la adquisición de patrones sociales</w:t>
            </w:r>
          </w:p>
          <w:p w14:paraId="49D5FB84" w14:textId="77777777" w:rsidR="005E4FEC" w:rsidRPr="005E4FEC" w:rsidRDefault="005E4FEC" w:rsidP="005E4FEC">
            <w:pPr>
              <w:rPr>
                <w:rFonts w:ascii="Calibri" w:hAnsi="Calibri" w:cs="Calibri"/>
                <w:color w:val="000000"/>
              </w:rPr>
            </w:pPr>
          </w:p>
          <w:p w14:paraId="311EE613" w14:textId="77777777" w:rsidR="005E4FEC" w:rsidRPr="005E4FEC" w:rsidRDefault="005E4FEC" w:rsidP="005E4FEC">
            <w:pPr>
              <w:rPr>
                <w:rFonts w:ascii="Calibri" w:hAnsi="Calibri" w:cs="Calibri"/>
                <w:color w:val="000000"/>
              </w:rPr>
            </w:pPr>
          </w:p>
          <w:p w14:paraId="096D28B1" w14:textId="77777777" w:rsidR="005E4FEC" w:rsidRPr="005E4FEC" w:rsidRDefault="005E4FEC" w:rsidP="005E4FEC">
            <w:pPr>
              <w:rPr>
                <w:rFonts w:ascii="Calibri" w:hAnsi="Calibri" w:cs="Calibri"/>
                <w:color w:val="000000"/>
              </w:rPr>
            </w:pPr>
          </w:p>
          <w:p w14:paraId="3BBED436" w14:textId="77777777" w:rsidR="005E4FEC" w:rsidRPr="005E4FEC" w:rsidRDefault="005E4FEC" w:rsidP="005E4FEC">
            <w:pPr>
              <w:rPr>
                <w:rFonts w:ascii="Calibri" w:hAnsi="Calibri" w:cs="Calibri"/>
                <w:color w:val="000000"/>
              </w:rPr>
            </w:pPr>
          </w:p>
        </w:tc>
        <w:tc>
          <w:tcPr>
            <w:tcW w:w="3121" w:type="dxa"/>
          </w:tcPr>
          <w:p w14:paraId="22DFE127"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01CD5E3A" w14:textId="77777777" w:rsidR="005E4FEC" w:rsidRPr="005E4FEC" w:rsidRDefault="005E4FEC" w:rsidP="005E4FEC">
            <w:pPr>
              <w:rPr>
                <w:rFonts w:ascii="Calibri" w:hAnsi="Calibri" w:cs="Calibri"/>
                <w:color w:val="000000"/>
              </w:rPr>
            </w:pPr>
          </w:p>
          <w:p w14:paraId="3EA48E5E" w14:textId="77777777" w:rsidR="005E4FEC" w:rsidRPr="005E4FEC" w:rsidRDefault="005E4FEC" w:rsidP="005E4FEC">
            <w:pPr>
              <w:rPr>
                <w:rFonts w:ascii="Calibri" w:hAnsi="Calibri" w:cs="Calibri"/>
                <w:color w:val="000000"/>
              </w:rPr>
            </w:pPr>
            <w:r w:rsidRPr="005E4FEC">
              <w:rPr>
                <w:rFonts w:ascii="Calibri" w:hAnsi="Calibri" w:cs="Calibri"/>
                <w:color w:val="000000"/>
              </w:rPr>
              <w:t xml:space="preserve">Kessler, Reiner. </w:t>
            </w:r>
            <w:r w:rsidRPr="005E4FEC">
              <w:rPr>
                <w:rFonts w:ascii="Calibri" w:hAnsi="Calibri"/>
                <w:lang w:val="es-CR"/>
              </w:rPr>
              <w:t xml:space="preserve">“La formación de Israel como sociedad basada en el parentesco”. </w:t>
            </w:r>
            <w:r w:rsidRPr="005E4FEC">
              <w:rPr>
                <w:rFonts w:ascii="Calibri" w:hAnsi="Calibri" w:cs="Calibri"/>
                <w:color w:val="000000"/>
              </w:rPr>
              <w:t xml:space="preserve">En </w:t>
            </w:r>
            <w:r w:rsidRPr="005E4FEC">
              <w:rPr>
                <w:rFonts w:ascii="Calibri" w:hAnsi="Calibri" w:cs="Calibri"/>
                <w:i/>
                <w:color w:val="000000"/>
              </w:rPr>
              <w:t>Historia social del antiguo Israel</w:t>
            </w:r>
            <w:r w:rsidRPr="005E4FEC">
              <w:rPr>
                <w:rFonts w:ascii="Calibri" w:hAnsi="Calibri" w:cs="Calibri"/>
                <w:iCs/>
                <w:color w:val="000000"/>
              </w:rPr>
              <w:t>, 69-102</w:t>
            </w:r>
            <w:r w:rsidRPr="005E4FEC">
              <w:rPr>
                <w:rFonts w:ascii="Calibri" w:hAnsi="Calibri" w:cs="Calibri"/>
                <w:i/>
                <w:color w:val="000000"/>
              </w:rPr>
              <w:t xml:space="preserve">. </w:t>
            </w:r>
            <w:r w:rsidRPr="005E4FEC">
              <w:rPr>
                <w:rFonts w:ascii="Calibri" w:hAnsi="Calibri" w:cs="Calibri"/>
                <w:color w:val="000000"/>
              </w:rPr>
              <w:t xml:space="preserve">Salamanca: Sígueme, 2013. </w:t>
            </w:r>
            <w:r w:rsidRPr="005E4FEC">
              <w:rPr>
                <w:rFonts w:ascii="Calibri" w:hAnsi="Calibri" w:cs="Calibri"/>
                <w:color w:val="0070C0"/>
              </w:rPr>
              <w:t>(clásico, última edición)</w:t>
            </w:r>
          </w:p>
          <w:p w14:paraId="49F687F0" w14:textId="77777777" w:rsidR="005E4FEC" w:rsidRPr="005E4FEC" w:rsidRDefault="005E4FEC" w:rsidP="005E4FEC">
            <w:pPr>
              <w:rPr>
                <w:rFonts w:ascii="Calibri" w:hAnsi="Calibri" w:cs="Calibri"/>
                <w:color w:val="000000"/>
              </w:rPr>
            </w:pPr>
          </w:p>
          <w:p w14:paraId="11C9E03A" w14:textId="77777777" w:rsidR="005E4FEC" w:rsidRPr="005E4FEC" w:rsidRDefault="005E4FEC" w:rsidP="005E4FEC">
            <w:pPr>
              <w:rPr>
                <w:rFonts w:ascii="Calibri" w:hAnsi="Calibri" w:cs="Calibri"/>
                <w:b/>
                <w:bCs/>
                <w:color w:val="0070C0"/>
              </w:rPr>
            </w:pPr>
            <w:r w:rsidRPr="005E4FEC">
              <w:rPr>
                <w:rFonts w:ascii="Calibri" w:hAnsi="Calibri" w:cs="Calibri"/>
                <w:b/>
                <w:bCs/>
                <w:color w:val="0070C0"/>
              </w:rPr>
              <w:t>Material complementario</w:t>
            </w:r>
          </w:p>
          <w:p w14:paraId="08ABC2FA" w14:textId="77777777" w:rsidR="005E4FEC" w:rsidRPr="005E4FEC" w:rsidRDefault="005E4FEC" w:rsidP="005E4FEC">
            <w:pPr>
              <w:rPr>
                <w:rFonts w:ascii="Calibri" w:hAnsi="Calibri" w:cs="Calibri"/>
                <w:b/>
                <w:bCs/>
                <w:color w:val="0070C0"/>
              </w:rPr>
            </w:pPr>
          </w:p>
          <w:p w14:paraId="4063A33F" w14:textId="77777777" w:rsidR="005E4FEC" w:rsidRPr="005E4FEC" w:rsidRDefault="005E4FEC" w:rsidP="005E4FEC">
            <w:pPr>
              <w:rPr>
                <w:rFonts w:ascii="Calibri" w:hAnsi="Calibri" w:cs="Calibri"/>
                <w:color w:val="0070C0"/>
              </w:rPr>
            </w:pPr>
            <w:r w:rsidRPr="005E4FEC">
              <w:rPr>
                <w:rFonts w:ascii="Calibri" w:hAnsi="Calibri" w:cs="Calibri"/>
                <w:color w:val="0070C0"/>
              </w:rPr>
              <w:t>Guía para la elaboración de una reseña crítica de lectura</w:t>
            </w:r>
          </w:p>
          <w:p w14:paraId="497A8B17" w14:textId="77777777" w:rsidR="005E4FEC" w:rsidRPr="005E4FEC" w:rsidRDefault="005E4FEC" w:rsidP="005E4FEC">
            <w:pPr>
              <w:rPr>
                <w:rFonts w:ascii="Calibri" w:hAnsi="Calibri" w:cs="Calibri"/>
                <w:color w:val="0070C0"/>
              </w:rPr>
            </w:pPr>
          </w:p>
          <w:p w14:paraId="7D36DE13" w14:textId="77777777" w:rsidR="005E4FEC" w:rsidRPr="005E4FEC" w:rsidRDefault="005E4FEC" w:rsidP="005E4FEC">
            <w:pPr>
              <w:rPr>
                <w:rFonts w:ascii="Calibri" w:hAnsi="Calibri" w:cs="Calibri"/>
                <w:color w:val="0070C0"/>
              </w:rPr>
            </w:pPr>
            <w:r w:rsidRPr="005E4FEC">
              <w:rPr>
                <w:rFonts w:ascii="Calibri" w:hAnsi="Calibri" w:cs="Calibri"/>
                <w:color w:val="0070C0"/>
              </w:rPr>
              <w:t xml:space="preserve">Guía para la participación mediante la herramienta Big Blue </w:t>
            </w:r>
            <w:proofErr w:type="spellStart"/>
            <w:r w:rsidRPr="005E4FEC">
              <w:rPr>
                <w:rFonts w:ascii="Calibri" w:hAnsi="Calibri" w:cs="Calibri"/>
                <w:color w:val="0070C0"/>
              </w:rPr>
              <w:t>Button</w:t>
            </w:r>
            <w:proofErr w:type="spellEnd"/>
            <w:r w:rsidRPr="005E4FEC">
              <w:rPr>
                <w:rFonts w:ascii="Calibri" w:hAnsi="Calibri" w:cs="Calibri"/>
                <w:color w:val="0070C0"/>
              </w:rPr>
              <w:t xml:space="preserve"> en la plataforma Moodle</w:t>
            </w:r>
          </w:p>
          <w:p w14:paraId="3CF26E3F" w14:textId="77777777" w:rsidR="005E4FEC" w:rsidRPr="005E4FEC" w:rsidRDefault="005E4FEC" w:rsidP="005E4FEC">
            <w:pPr>
              <w:rPr>
                <w:rFonts w:ascii="Calibri" w:hAnsi="Calibri" w:cs="Calibri"/>
                <w:color w:val="000000"/>
              </w:rPr>
            </w:pPr>
          </w:p>
        </w:tc>
        <w:tc>
          <w:tcPr>
            <w:tcW w:w="3260" w:type="dxa"/>
          </w:tcPr>
          <w:p w14:paraId="3B7C3DBB" w14:textId="77777777" w:rsidR="005E4FEC" w:rsidRPr="005E4FEC" w:rsidRDefault="005E4FEC" w:rsidP="005E4FEC">
            <w:pPr>
              <w:numPr>
                <w:ilvl w:val="0"/>
                <w:numId w:val="247"/>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Realizar la lectura de la sesión.</w:t>
            </w:r>
          </w:p>
          <w:p w14:paraId="2858F66B" w14:textId="77777777" w:rsidR="005E4FEC" w:rsidRPr="005E4FEC" w:rsidRDefault="005E4FEC" w:rsidP="005E4FEC">
            <w:pPr>
              <w:numPr>
                <w:ilvl w:val="0"/>
                <w:numId w:val="247"/>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Elabore una reseña crítica de la lectura.</w:t>
            </w:r>
          </w:p>
          <w:p w14:paraId="77F22549" w14:textId="77777777" w:rsidR="005E4FEC" w:rsidRPr="005E4FEC" w:rsidRDefault="005E4FEC" w:rsidP="005E4FEC">
            <w:pPr>
              <w:numPr>
                <w:ilvl w:val="0"/>
                <w:numId w:val="247"/>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Exposición docente y profundización grupal en un encuentro sincrónico virtual.</w:t>
            </w:r>
          </w:p>
          <w:p w14:paraId="1F8D4720" w14:textId="77777777" w:rsidR="005E4FEC" w:rsidRPr="005E4FEC" w:rsidRDefault="005E4FEC" w:rsidP="005E4FEC">
            <w:pPr>
              <w:numPr>
                <w:ilvl w:val="0"/>
                <w:numId w:val="247"/>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 xml:space="preserve">Asignación de los temas para las presentaciones grupales de las sesiones 6, 7, 8 y 10. </w:t>
            </w:r>
          </w:p>
        </w:tc>
      </w:tr>
      <w:tr w:rsidR="005E4FEC" w:rsidRPr="005E4FEC" w14:paraId="6A7C866B" w14:textId="77777777" w:rsidTr="00104785">
        <w:trPr>
          <w:jc w:val="center"/>
        </w:trPr>
        <w:tc>
          <w:tcPr>
            <w:tcW w:w="1144" w:type="dxa"/>
          </w:tcPr>
          <w:p w14:paraId="175E04F2" w14:textId="77777777" w:rsidR="005E4FEC" w:rsidRPr="005E4FEC" w:rsidRDefault="005E4FEC" w:rsidP="005E4FEC">
            <w:pPr>
              <w:jc w:val="center"/>
              <w:rPr>
                <w:rFonts w:ascii="Calibri" w:hAnsi="Calibri" w:cs="Calibri"/>
                <w:color w:val="000000"/>
              </w:rPr>
            </w:pPr>
          </w:p>
          <w:p w14:paraId="0CF0743C"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4</w:t>
            </w:r>
          </w:p>
        </w:tc>
        <w:tc>
          <w:tcPr>
            <w:tcW w:w="2109" w:type="dxa"/>
          </w:tcPr>
          <w:p w14:paraId="7FA7DDBC"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Unidad 1: El mundo social del Antiguo Testamento</w:t>
            </w:r>
          </w:p>
          <w:p w14:paraId="65F2817C" w14:textId="77777777" w:rsidR="005E4FEC" w:rsidRPr="005E4FEC" w:rsidRDefault="005E4FEC" w:rsidP="005E4FEC">
            <w:pPr>
              <w:rPr>
                <w:rFonts w:ascii="Calibri" w:hAnsi="Calibri" w:cs="Calibri"/>
                <w:color w:val="000000"/>
              </w:rPr>
            </w:pPr>
          </w:p>
          <w:p w14:paraId="235E6C8F" w14:textId="77777777" w:rsidR="005E4FEC" w:rsidRPr="005E4FEC" w:rsidRDefault="005E4FEC" w:rsidP="005E4FEC">
            <w:pPr>
              <w:rPr>
                <w:rFonts w:ascii="Calibri" w:hAnsi="Calibri" w:cs="Calibri"/>
                <w:color w:val="000000"/>
              </w:rPr>
            </w:pPr>
            <w:r w:rsidRPr="005E4FEC">
              <w:rPr>
                <w:rFonts w:ascii="Calibri" w:hAnsi="Calibri" w:cs="Calibri"/>
                <w:bCs/>
                <w:color w:val="000000"/>
              </w:rPr>
              <w:t xml:space="preserve">1.3 </w:t>
            </w:r>
            <w:r w:rsidRPr="005E4FEC">
              <w:rPr>
                <w:rFonts w:ascii="Calibri" w:hAnsi="Calibri" w:cs="Calibri"/>
                <w:color w:val="000000"/>
              </w:rPr>
              <w:t xml:space="preserve">Los imperios </w:t>
            </w:r>
            <w:r w:rsidRPr="005E4FEC">
              <w:rPr>
                <w:rFonts w:ascii="Calibri" w:hAnsi="Calibri" w:cs="Calibri"/>
                <w:bCs/>
                <w:color w:val="000000"/>
              </w:rPr>
              <w:t xml:space="preserve">del antiguo Cercano Oriente </w:t>
            </w:r>
            <w:r w:rsidRPr="005E4FEC">
              <w:rPr>
                <w:rFonts w:ascii="Calibri" w:hAnsi="Calibri" w:cs="Calibri"/>
                <w:color w:val="000000"/>
              </w:rPr>
              <w:t>y sus imposiciones sociales</w:t>
            </w:r>
          </w:p>
          <w:p w14:paraId="78775CBF" w14:textId="77777777" w:rsidR="005E4FEC" w:rsidRPr="005E4FEC" w:rsidRDefault="005E4FEC" w:rsidP="005E4FEC">
            <w:pPr>
              <w:rPr>
                <w:rFonts w:ascii="Calibri" w:hAnsi="Calibri" w:cs="Calibri"/>
                <w:color w:val="000000"/>
              </w:rPr>
            </w:pPr>
          </w:p>
        </w:tc>
        <w:tc>
          <w:tcPr>
            <w:tcW w:w="3121" w:type="dxa"/>
          </w:tcPr>
          <w:p w14:paraId="162E1170"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005FA785" w14:textId="77777777" w:rsidR="005E4FEC" w:rsidRPr="005E4FEC" w:rsidRDefault="005E4FEC" w:rsidP="005E4FEC">
            <w:pPr>
              <w:rPr>
                <w:rFonts w:ascii="Calibri" w:hAnsi="Calibri" w:cs="Calibri"/>
                <w:color w:val="000000"/>
              </w:rPr>
            </w:pPr>
          </w:p>
          <w:p w14:paraId="70AA44C6" w14:textId="77777777" w:rsidR="005E4FEC" w:rsidRPr="005E4FEC" w:rsidRDefault="005E4FEC" w:rsidP="005E4FEC">
            <w:pPr>
              <w:rPr>
                <w:rFonts w:ascii="Calibri" w:hAnsi="Calibri" w:cs="Calibri"/>
                <w:color w:val="000000"/>
              </w:rPr>
            </w:pPr>
            <w:proofErr w:type="spellStart"/>
            <w:r w:rsidRPr="005E4FEC">
              <w:rPr>
                <w:rFonts w:ascii="Calibri" w:hAnsi="Calibri" w:cs="Calibri"/>
                <w:color w:val="000000"/>
              </w:rPr>
              <w:t>Liverani</w:t>
            </w:r>
            <w:proofErr w:type="spellEnd"/>
            <w:r w:rsidRPr="005E4FEC">
              <w:rPr>
                <w:rFonts w:ascii="Calibri" w:hAnsi="Calibri" w:cs="Calibri"/>
                <w:color w:val="000000"/>
              </w:rPr>
              <w:t xml:space="preserve">, Mario. </w:t>
            </w:r>
            <w:r w:rsidRPr="005E4FEC">
              <w:rPr>
                <w:rFonts w:ascii="Calibri" w:hAnsi="Calibri"/>
                <w:lang w:val="es-CR"/>
              </w:rPr>
              <w:t xml:space="preserve">“La dominación Egipcia”, “El impacto del imperio asirio”, “El impacto del imperio babilónico”. En </w:t>
            </w:r>
            <w:r w:rsidRPr="005E4FEC">
              <w:rPr>
                <w:rFonts w:ascii="Calibri" w:hAnsi="Calibri" w:cs="Calibri"/>
                <w:i/>
                <w:color w:val="000000"/>
              </w:rPr>
              <w:t>Más allá de la Biblia: historia antigua de Israel</w:t>
            </w:r>
            <w:r w:rsidRPr="005E4FEC">
              <w:rPr>
                <w:rFonts w:ascii="Calibri" w:hAnsi="Calibri" w:cs="Calibri"/>
                <w:iCs/>
                <w:color w:val="000000"/>
              </w:rPr>
              <w:t>, 13-22, 171-185, 219-234</w:t>
            </w:r>
            <w:r w:rsidRPr="005E4FEC">
              <w:rPr>
                <w:rFonts w:ascii="Calibri" w:hAnsi="Calibri" w:cs="Calibri"/>
                <w:i/>
                <w:color w:val="000000"/>
              </w:rPr>
              <w:t xml:space="preserve">. </w:t>
            </w:r>
            <w:r w:rsidRPr="005E4FEC">
              <w:rPr>
                <w:rFonts w:ascii="Calibri" w:hAnsi="Calibri" w:cs="Calibri"/>
                <w:color w:val="000000"/>
              </w:rPr>
              <w:t xml:space="preserve">Barcelona: Crítica, 2005. </w:t>
            </w:r>
            <w:r w:rsidRPr="005E4FEC">
              <w:rPr>
                <w:rFonts w:ascii="Calibri" w:hAnsi="Calibri" w:cs="Calibri"/>
                <w:color w:val="0070C0"/>
              </w:rPr>
              <w:t>(clásico, última edición)</w:t>
            </w:r>
          </w:p>
          <w:p w14:paraId="4F1D4742" w14:textId="77777777" w:rsidR="005E4FEC" w:rsidRPr="005E4FEC" w:rsidRDefault="005E4FEC" w:rsidP="005E4FEC">
            <w:pPr>
              <w:rPr>
                <w:rFonts w:ascii="Calibri" w:hAnsi="Calibri" w:cs="Calibri"/>
                <w:color w:val="000000"/>
              </w:rPr>
            </w:pPr>
          </w:p>
          <w:p w14:paraId="3143836C"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Material complementario</w:t>
            </w:r>
          </w:p>
          <w:p w14:paraId="061594EA" w14:textId="77777777" w:rsidR="005E4FEC" w:rsidRPr="005E4FEC" w:rsidRDefault="005E4FEC" w:rsidP="005E4FEC">
            <w:pPr>
              <w:rPr>
                <w:rFonts w:ascii="Calibri" w:hAnsi="Calibri" w:cs="Calibri"/>
                <w:b/>
                <w:bCs/>
                <w:color w:val="000000"/>
              </w:rPr>
            </w:pPr>
          </w:p>
          <w:p w14:paraId="04FE7DD9" w14:textId="77777777" w:rsidR="005E4FEC" w:rsidRPr="005E4FEC" w:rsidRDefault="005E4FEC" w:rsidP="005E4FEC">
            <w:pPr>
              <w:rPr>
                <w:rFonts w:ascii="Calibri" w:hAnsi="Calibri"/>
                <w:lang w:val="es-CR"/>
              </w:rPr>
            </w:pPr>
            <w:r w:rsidRPr="005E4FEC">
              <w:rPr>
                <w:rFonts w:ascii="Calibri" w:hAnsi="Calibri"/>
                <w:lang w:val="es-CR"/>
              </w:rPr>
              <w:t xml:space="preserve">Damien, </w:t>
            </w:r>
            <w:proofErr w:type="spellStart"/>
            <w:r w:rsidRPr="005E4FEC">
              <w:rPr>
                <w:rFonts w:ascii="Calibri" w:hAnsi="Calibri"/>
                <w:lang w:val="es-CR"/>
              </w:rPr>
              <w:t>Noël</w:t>
            </w:r>
            <w:proofErr w:type="spellEnd"/>
            <w:r w:rsidRPr="005E4FEC">
              <w:rPr>
                <w:rFonts w:ascii="Calibri" w:hAnsi="Calibri"/>
                <w:lang w:val="es-CR"/>
              </w:rPr>
              <w:t xml:space="preserve">. “El periodo persa”. En </w:t>
            </w:r>
            <w:proofErr w:type="spellStart"/>
            <w:r w:rsidRPr="005E4FEC">
              <w:rPr>
                <w:rFonts w:ascii="Calibri" w:hAnsi="Calibri"/>
                <w:i/>
                <w:iCs/>
                <w:lang w:val="es-CR"/>
              </w:rPr>
              <w:t>En</w:t>
            </w:r>
            <w:proofErr w:type="spellEnd"/>
            <w:r w:rsidRPr="005E4FEC">
              <w:rPr>
                <w:rFonts w:ascii="Calibri" w:hAnsi="Calibri"/>
                <w:i/>
                <w:iCs/>
                <w:lang w:val="es-CR"/>
              </w:rPr>
              <w:t xml:space="preserve"> tiempo de los imperios: del exilio a Antíoco Epífanes (587-175): historia de Israel</w:t>
            </w:r>
            <w:r w:rsidRPr="005E4FEC">
              <w:rPr>
                <w:rFonts w:ascii="Calibri" w:hAnsi="Calibri"/>
                <w:lang w:val="es-CR"/>
              </w:rPr>
              <w:t>, 23-46.</w:t>
            </w:r>
            <w:r w:rsidRPr="005E4FEC">
              <w:rPr>
                <w:rFonts w:ascii="Calibri" w:hAnsi="Calibri"/>
                <w:i/>
                <w:iCs/>
                <w:lang w:val="es-CR"/>
              </w:rPr>
              <w:t xml:space="preserve"> </w:t>
            </w:r>
            <w:r w:rsidRPr="005E4FEC">
              <w:rPr>
                <w:rFonts w:ascii="Calibri" w:hAnsi="Calibri"/>
                <w:lang w:val="es-CR"/>
              </w:rPr>
              <w:t xml:space="preserve">Estella (Navarra): Verbo Divino, 2004. </w:t>
            </w:r>
            <w:r w:rsidRPr="005E4FEC">
              <w:rPr>
                <w:rFonts w:ascii="Calibri" w:hAnsi="Calibri" w:cs="Calibri"/>
                <w:color w:val="0070C0"/>
              </w:rPr>
              <w:t>(clásico, última edición)</w:t>
            </w:r>
          </w:p>
          <w:p w14:paraId="322EA116" w14:textId="77777777" w:rsidR="005E4FEC" w:rsidRPr="005E4FEC" w:rsidRDefault="005E4FEC" w:rsidP="005E4FEC">
            <w:pPr>
              <w:rPr>
                <w:rFonts w:ascii="Calibri" w:hAnsi="Calibri" w:cs="Calibri"/>
                <w:color w:val="000000"/>
              </w:rPr>
            </w:pPr>
          </w:p>
          <w:p w14:paraId="41E685C2" w14:textId="77777777" w:rsidR="005E4FEC" w:rsidRPr="005E4FEC" w:rsidRDefault="005E4FEC" w:rsidP="005E4FEC">
            <w:pPr>
              <w:rPr>
                <w:rFonts w:ascii="Calibri" w:hAnsi="Calibri" w:cs="Calibri"/>
                <w:color w:val="0070C0"/>
              </w:rPr>
            </w:pPr>
            <w:r w:rsidRPr="005E4FEC">
              <w:rPr>
                <w:rFonts w:ascii="Calibri" w:hAnsi="Calibri" w:cs="Calibri"/>
                <w:color w:val="0070C0"/>
              </w:rPr>
              <w:t>Guía para la participación en un glosario en la plataforma Moodle</w:t>
            </w:r>
          </w:p>
          <w:p w14:paraId="43A6493B" w14:textId="77777777" w:rsidR="005E4FEC" w:rsidRPr="005E4FEC" w:rsidRDefault="005E4FEC" w:rsidP="005E4FEC">
            <w:pPr>
              <w:rPr>
                <w:rFonts w:ascii="Calibri" w:hAnsi="Calibri" w:cs="Calibri"/>
                <w:color w:val="0070C0"/>
              </w:rPr>
            </w:pPr>
          </w:p>
        </w:tc>
        <w:tc>
          <w:tcPr>
            <w:tcW w:w="3260" w:type="dxa"/>
          </w:tcPr>
          <w:p w14:paraId="5D542989" w14:textId="77777777" w:rsidR="005E4FEC" w:rsidRPr="005E4FEC" w:rsidRDefault="005E4FEC" w:rsidP="005E4FEC">
            <w:pPr>
              <w:numPr>
                <w:ilvl w:val="0"/>
                <w:numId w:val="248"/>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lastRenderedPageBreak/>
              <w:t>Realizar la lectura de la sesión.</w:t>
            </w:r>
          </w:p>
          <w:p w14:paraId="00CA4317" w14:textId="77777777" w:rsidR="005E4FEC" w:rsidRPr="005E4FEC" w:rsidRDefault="005E4FEC" w:rsidP="005E4FEC">
            <w:pPr>
              <w:numPr>
                <w:ilvl w:val="0"/>
                <w:numId w:val="248"/>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Participación en la elaboración de un glosario sobre los imperios del antiguo Cercano Oriente.</w:t>
            </w:r>
          </w:p>
        </w:tc>
      </w:tr>
      <w:tr w:rsidR="005E4FEC" w:rsidRPr="005E4FEC" w14:paraId="259A7ED4" w14:textId="77777777" w:rsidTr="00104785">
        <w:trPr>
          <w:jc w:val="center"/>
        </w:trPr>
        <w:tc>
          <w:tcPr>
            <w:tcW w:w="1144" w:type="dxa"/>
          </w:tcPr>
          <w:p w14:paraId="463DB880" w14:textId="77777777" w:rsidR="005E4FEC" w:rsidRPr="005E4FEC" w:rsidRDefault="005E4FEC" w:rsidP="005E4FEC">
            <w:pPr>
              <w:jc w:val="center"/>
              <w:rPr>
                <w:rFonts w:ascii="Calibri" w:hAnsi="Calibri" w:cs="Calibri"/>
                <w:color w:val="000000"/>
              </w:rPr>
            </w:pPr>
          </w:p>
          <w:p w14:paraId="48DBCE95"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5</w:t>
            </w:r>
          </w:p>
        </w:tc>
        <w:tc>
          <w:tcPr>
            <w:tcW w:w="2109" w:type="dxa"/>
          </w:tcPr>
          <w:p w14:paraId="3390F9EE" w14:textId="77777777" w:rsidR="005E4FEC" w:rsidRPr="005E4FEC" w:rsidRDefault="005E4FEC" w:rsidP="005E4FEC">
            <w:pPr>
              <w:rPr>
                <w:rFonts w:ascii="Calibri" w:hAnsi="Calibri" w:cs="Calibri"/>
                <w:b/>
                <w:color w:val="000000"/>
              </w:rPr>
            </w:pPr>
            <w:r w:rsidRPr="005E4FEC">
              <w:rPr>
                <w:rFonts w:ascii="Calibri" w:hAnsi="Calibri" w:cs="Calibri"/>
                <w:b/>
                <w:bCs/>
                <w:color w:val="000000"/>
              </w:rPr>
              <w:t>Unidad 2: L</w:t>
            </w:r>
            <w:r w:rsidRPr="005E4FEC">
              <w:rPr>
                <w:rFonts w:ascii="Calibri" w:hAnsi="Calibri" w:cs="Calibri"/>
                <w:b/>
                <w:color w:val="000000"/>
              </w:rPr>
              <w:t>as instituciones del Antiguo Testamento y su influencia en los escritos del AT</w:t>
            </w:r>
          </w:p>
          <w:p w14:paraId="5BD0E418" w14:textId="77777777" w:rsidR="005E4FEC" w:rsidRPr="005E4FEC" w:rsidRDefault="005E4FEC" w:rsidP="005E4FEC">
            <w:pPr>
              <w:rPr>
                <w:rFonts w:ascii="Calibri" w:hAnsi="Calibri" w:cs="Calibri"/>
                <w:b/>
                <w:color w:val="000000"/>
              </w:rPr>
            </w:pPr>
          </w:p>
          <w:p w14:paraId="77CB553E" w14:textId="77777777" w:rsidR="005E4FEC" w:rsidRPr="005E4FEC" w:rsidRDefault="005E4FEC" w:rsidP="005E4FEC">
            <w:pPr>
              <w:rPr>
                <w:rFonts w:ascii="Calibri" w:hAnsi="Calibri" w:cs="Calibri"/>
                <w:bCs/>
                <w:color w:val="000000"/>
              </w:rPr>
            </w:pPr>
            <w:r w:rsidRPr="005E4FEC">
              <w:rPr>
                <w:rFonts w:ascii="Calibri" w:hAnsi="Calibri" w:cs="Calibri"/>
                <w:bCs/>
                <w:color w:val="000000"/>
              </w:rPr>
              <w:t>2.1 F</w:t>
            </w:r>
            <w:r w:rsidRPr="005E4FEC">
              <w:rPr>
                <w:rFonts w:ascii="Calibri" w:hAnsi="Calibri" w:cs="Calibri"/>
                <w:color w:val="000000"/>
              </w:rPr>
              <w:t>ormación de la conducta social del pueblo hebreo</w:t>
            </w:r>
          </w:p>
          <w:p w14:paraId="4E921446" w14:textId="77777777" w:rsidR="005E4FEC" w:rsidRPr="005E4FEC" w:rsidRDefault="005E4FEC" w:rsidP="005E4FEC">
            <w:pPr>
              <w:rPr>
                <w:rFonts w:ascii="Calibri" w:hAnsi="Calibri" w:cs="Calibri"/>
                <w:b/>
                <w:bCs/>
                <w:color w:val="000000"/>
              </w:rPr>
            </w:pPr>
          </w:p>
        </w:tc>
        <w:tc>
          <w:tcPr>
            <w:tcW w:w="3121" w:type="dxa"/>
          </w:tcPr>
          <w:p w14:paraId="552098DF"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5E957BE0" w14:textId="77777777" w:rsidR="005E4FEC" w:rsidRPr="005E4FEC" w:rsidRDefault="005E4FEC" w:rsidP="005E4FEC">
            <w:pPr>
              <w:rPr>
                <w:rFonts w:ascii="Calibri" w:hAnsi="Calibri" w:cs="Calibri"/>
              </w:rPr>
            </w:pPr>
          </w:p>
          <w:p w14:paraId="27BE2A8D" w14:textId="77777777" w:rsidR="005E4FEC" w:rsidRPr="005E4FEC" w:rsidRDefault="005E4FEC" w:rsidP="005E4FEC">
            <w:pPr>
              <w:rPr>
                <w:rFonts w:ascii="Calibri" w:hAnsi="Calibri" w:cs="Calibri"/>
                <w:iCs/>
              </w:rPr>
            </w:pPr>
            <w:proofErr w:type="spellStart"/>
            <w:r w:rsidRPr="005E4FEC">
              <w:rPr>
                <w:rFonts w:ascii="Calibri" w:hAnsi="Calibri" w:cs="Calibri"/>
              </w:rPr>
              <w:t>Heschel</w:t>
            </w:r>
            <w:proofErr w:type="spellEnd"/>
            <w:r w:rsidRPr="005E4FEC">
              <w:rPr>
                <w:rFonts w:ascii="Calibri" w:hAnsi="Calibri" w:cs="Calibri"/>
              </w:rPr>
              <w:t xml:space="preserve">, Abraham. “La justicia”. En </w:t>
            </w:r>
            <w:r w:rsidRPr="005E4FEC">
              <w:rPr>
                <w:rFonts w:ascii="Calibri" w:hAnsi="Calibri" w:cs="Calibri"/>
                <w:i/>
              </w:rPr>
              <w:t>Los profetas II. Concepciones históricas y teológicas</w:t>
            </w:r>
            <w:r w:rsidRPr="005E4FEC">
              <w:rPr>
                <w:rFonts w:ascii="Calibri" w:hAnsi="Calibri" w:cs="Calibri"/>
                <w:iCs/>
              </w:rPr>
              <w:t>, 69-89.</w:t>
            </w:r>
            <w:r w:rsidRPr="005E4FEC">
              <w:rPr>
                <w:rFonts w:ascii="Calibri" w:hAnsi="Calibri" w:cs="Calibri"/>
                <w:i/>
              </w:rPr>
              <w:t xml:space="preserve"> </w:t>
            </w:r>
            <w:r w:rsidRPr="005E4FEC">
              <w:rPr>
                <w:rFonts w:ascii="Calibri" w:hAnsi="Calibri" w:cs="Calibri"/>
                <w:iCs/>
              </w:rPr>
              <w:t xml:space="preserve">Buenos Aires: Editorial Paidós, 1973. </w:t>
            </w:r>
            <w:r w:rsidRPr="005E4FEC">
              <w:rPr>
                <w:rFonts w:ascii="Calibri" w:hAnsi="Calibri" w:cs="Calibri"/>
                <w:color w:val="0070C0"/>
              </w:rPr>
              <w:t>(clásico, última edición)</w:t>
            </w:r>
          </w:p>
          <w:p w14:paraId="45732576" w14:textId="77777777" w:rsidR="005E4FEC" w:rsidRPr="005E4FEC" w:rsidRDefault="005E4FEC" w:rsidP="005E4FEC">
            <w:pPr>
              <w:rPr>
                <w:rFonts w:ascii="Calibri" w:hAnsi="Calibri" w:cs="Calibri"/>
                <w:iCs/>
              </w:rPr>
            </w:pPr>
          </w:p>
          <w:p w14:paraId="6D70E938" w14:textId="77777777" w:rsidR="005E4FEC" w:rsidRPr="005E4FEC" w:rsidRDefault="005E4FEC" w:rsidP="005E4FEC">
            <w:pPr>
              <w:rPr>
                <w:rFonts w:ascii="Calibri" w:hAnsi="Calibri" w:cs="Calibri"/>
                <w:iCs/>
              </w:rPr>
            </w:pPr>
            <w:r w:rsidRPr="005E4FEC">
              <w:rPr>
                <w:rFonts w:ascii="Calibri" w:hAnsi="Calibri"/>
              </w:rPr>
              <w:t xml:space="preserve">García López, Félix. “Raíces bíblicas de los derechos humanos”. En </w:t>
            </w:r>
            <w:r w:rsidRPr="005E4FEC">
              <w:rPr>
                <w:rFonts w:ascii="Calibri" w:hAnsi="Calibri"/>
                <w:i/>
                <w:iCs/>
              </w:rPr>
              <w:t xml:space="preserve">La Torá: escritos sobre el </w:t>
            </w:r>
            <w:r w:rsidRPr="005E4FEC">
              <w:rPr>
                <w:rFonts w:ascii="Calibri" w:hAnsi="Calibri"/>
              </w:rPr>
              <w:t xml:space="preserve">Pentateuco, 65-81. Estella (Navarra): Verbo Divino, 2012. </w:t>
            </w:r>
            <w:r w:rsidRPr="005E4FEC">
              <w:rPr>
                <w:rFonts w:ascii="Calibri" w:hAnsi="Calibri" w:cs="Calibri"/>
                <w:color w:val="0070C0"/>
              </w:rPr>
              <w:t>(clásico, última edición)</w:t>
            </w:r>
          </w:p>
          <w:p w14:paraId="1FB002E1" w14:textId="77777777" w:rsidR="005E4FEC" w:rsidRPr="005E4FEC" w:rsidRDefault="005E4FEC" w:rsidP="005E4FEC">
            <w:pPr>
              <w:rPr>
                <w:rFonts w:ascii="Calibri" w:hAnsi="Calibri" w:cs="Calibri"/>
                <w:color w:val="000000"/>
              </w:rPr>
            </w:pPr>
          </w:p>
          <w:p w14:paraId="3E6B3D31"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Material complementario</w:t>
            </w:r>
          </w:p>
          <w:p w14:paraId="33175745" w14:textId="77777777" w:rsidR="005E4FEC" w:rsidRPr="005E4FEC" w:rsidRDefault="005E4FEC" w:rsidP="005E4FEC">
            <w:pPr>
              <w:rPr>
                <w:rFonts w:ascii="Calibri" w:hAnsi="Calibri" w:cs="Calibri"/>
                <w:b/>
                <w:bCs/>
                <w:color w:val="000000"/>
              </w:rPr>
            </w:pPr>
          </w:p>
          <w:p w14:paraId="217BBD12" w14:textId="77777777" w:rsidR="005E4FEC" w:rsidRPr="005E4FEC" w:rsidRDefault="005E4FEC" w:rsidP="005E4FEC">
            <w:pPr>
              <w:rPr>
                <w:rFonts w:ascii="Calibri" w:hAnsi="Calibri" w:cs="Calibri"/>
                <w:color w:val="000000"/>
              </w:rPr>
            </w:pPr>
            <w:r w:rsidRPr="005E4FEC">
              <w:rPr>
                <w:rFonts w:ascii="Calibri" w:hAnsi="Calibri" w:cs="Calibri"/>
                <w:color w:val="000000"/>
              </w:rPr>
              <w:t xml:space="preserve">Ramírez Kidd, José Enrique. “Las quejas de un campesino elocuente: la justicia social en el antiguo Egipto”. </w:t>
            </w:r>
            <w:r w:rsidRPr="005E4FEC">
              <w:rPr>
                <w:rFonts w:ascii="Calibri" w:hAnsi="Calibri" w:cs="Calibri"/>
                <w:i/>
                <w:color w:val="000000"/>
              </w:rPr>
              <w:t xml:space="preserve">Aportes </w:t>
            </w:r>
            <w:r w:rsidRPr="005E4FEC">
              <w:rPr>
                <w:rFonts w:ascii="Calibri" w:hAnsi="Calibri" w:cs="Calibri"/>
                <w:color w:val="000000"/>
              </w:rPr>
              <w:t>Bíblicos, n. 10 (2010): 7-40.</w:t>
            </w:r>
          </w:p>
          <w:p w14:paraId="23112E90" w14:textId="77777777" w:rsidR="005E4FEC" w:rsidRPr="005E4FEC" w:rsidRDefault="005E4FEC" w:rsidP="005E4FEC">
            <w:pPr>
              <w:rPr>
                <w:rFonts w:ascii="Calibri" w:hAnsi="Calibri" w:cs="Calibri"/>
                <w:color w:val="000000"/>
              </w:rPr>
            </w:pPr>
          </w:p>
          <w:p w14:paraId="653407AD" w14:textId="77777777" w:rsidR="005E4FEC" w:rsidRPr="005E4FEC" w:rsidRDefault="005E4FEC" w:rsidP="005E4FEC">
            <w:pPr>
              <w:rPr>
                <w:rFonts w:ascii="Calibri" w:hAnsi="Calibri" w:cs="Calibri"/>
                <w:color w:val="0070C0"/>
              </w:rPr>
            </w:pPr>
            <w:r w:rsidRPr="005E4FEC">
              <w:rPr>
                <w:rFonts w:ascii="Calibri" w:hAnsi="Calibri" w:cs="Calibri"/>
                <w:color w:val="0070C0"/>
              </w:rPr>
              <w:t>Guía para la elaboración de un ensayo</w:t>
            </w:r>
          </w:p>
          <w:p w14:paraId="18176EFD" w14:textId="77777777" w:rsidR="005E4FEC" w:rsidRPr="005E4FEC" w:rsidRDefault="005E4FEC" w:rsidP="005E4FEC">
            <w:pPr>
              <w:rPr>
                <w:rFonts w:ascii="Calibri" w:hAnsi="Calibri" w:cs="Calibri"/>
                <w:color w:val="0070C0"/>
              </w:rPr>
            </w:pPr>
          </w:p>
          <w:p w14:paraId="56098C0B" w14:textId="77777777" w:rsidR="005E4FEC" w:rsidRPr="005E4FEC" w:rsidRDefault="005E4FEC" w:rsidP="005E4FEC">
            <w:pPr>
              <w:rPr>
                <w:rFonts w:ascii="Calibri" w:hAnsi="Calibri" w:cs="Calibri"/>
                <w:color w:val="000000"/>
              </w:rPr>
            </w:pPr>
            <w:r w:rsidRPr="005E4FEC">
              <w:rPr>
                <w:rFonts w:ascii="Calibri" w:hAnsi="Calibri" w:cs="Calibri"/>
                <w:color w:val="0070C0"/>
              </w:rPr>
              <w:t>Guía para la elaboración de una monografía</w:t>
            </w:r>
          </w:p>
          <w:p w14:paraId="474E5B4F" w14:textId="77777777" w:rsidR="005E4FEC" w:rsidRPr="005E4FEC" w:rsidRDefault="005E4FEC" w:rsidP="005E4FEC">
            <w:pPr>
              <w:rPr>
                <w:rFonts w:ascii="Calibri" w:hAnsi="Calibri" w:cs="Calibri"/>
                <w:color w:val="000000"/>
              </w:rPr>
            </w:pPr>
          </w:p>
        </w:tc>
        <w:tc>
          <w:tcPr>
            <w:tcW w:w="3260" w:type="dxa"/>
          </w:tcPr>
          <w:p w14:paraId="2411D352" w14:textId="77777777" w:rsidR="005E4FEC" w:rsidRPr="005E4FEC" w:rsidRDefault="005E4FEC" w:rsidP="005E4FEC">
            <w:pPr>
              <w:numPr>
                <w:ilvl w:val="0"/>
                <w:numId w:val="249"/>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Realizar las lecturas de la sesión.</w:t>
            </w:r>
          </w:p>
          <w:p w14:paraId="5AE4C0A9" w14:textId="77777777" w:rsidR="005E4FEC" w:rsidRPr="005E4FEC" w:rsidRDefault="005E4FEC" w:rsidP="005E4FEC">
            <w:pPr>
              <w:numPr>
                <w:ilvl w:val="0"/>
                <w:numId w:val="249"/>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 xml:space="preserve">Elaboración de un ensayo sobre la intervención profética en la conducta social del antiguo Israel. </w:t>
            </w:r>
          </w:p>
          <w:p w14:paraId="14C0055D" w14:textId="77777777" w:rsidR="005E4FEC" w:rsidRPr="005E4FEC" w:rsidRDefault="005E4FEC" w:rsidP="005E4FEC">
            <w:pPr>
              <w:numPr>
                <w:ilvl w:val="0"/>
                <w:numId w:val="249"/>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Escogencia del texto bíblico para comentar en la monografía final.</w:t>
            </w:r>
          </w:p>
        </w:tc>
      </w:tr>
      <w:tr w:rsidR="005E4FEC" w:rsidRPr="005E4FEC" w14:paraId="46AA9BD2" w14:textId="77777777" w:rsidTr="00104785">
        <w:trPr>
          <w:jc w:val="center"/>
        </w:trPr>
        <w:tc>
          <w:tcPr>
            <w:tcW w:w="1144" w:type="dxa"/>
          </w:tcPr>
          <w:p w14:paraId="33004DC7" w14:textId="77777777" w:rsidR="005E4FEC" w:rsidRPr="005E4FEC" w:rsidRDefault="005E4FEC" w:rsidP="005E4FEC">
            <w:pPr>
              <w:jc w:val="center"/>
              <w:rPr>
                <w:rFonts w:ascii="Calibri" w:hAnsi="Calibri" w:cs="Calibri"/>
                <w:color w:val="000000"/>
              </w:rPr>
            </w:pPr>
          </w:p>
          <w:p w14:paraId="2DB49F10"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6</w:t>
            </w:r>
          </w:p>
        </w:tc>
        <w:tc>
          <w:tcPr>
            <w:tcW w:w="2109" w:type="dxa"/>
          </w:tcPr>
          <w:p w14:paraId="05470581" w14:textId="77777777" w:rsidR="005E4FEC" w:rsidRPr="005E4FEC" w:rsidRDefault="005E4FEC" w:rsidP="005E4FEC">
            <w:pPr>
              <w:rPr>
                <w:rFonts w:ascii="Calibri" w:hAnsi="Calibri" w:cs="Calibri"/>
                <w:b/>
                <w:color w:val="000000"/>
              </w:rPr>
            </w:pPr>
            <w:r w:rsidRPr="005E4FEC">
              <w:rPr>
                <w:rFonts w:ascii="Calibri" w:hAnsi="Calibri" w:cs="Calibri"/>
                <w:b/>
                <w:bCs/>
                <w:color w:val="000000"/>
              </w:rPr>
              <w:t>Unidad 2: L</w:t>
            </w:r>
            <w:r w:rsidRPr="005E4FEC">
              <w:rPr>
                <w:rFonts w:ascii="Calibri" w:hAnsi="Calibri" w:cs="Calibri"/>
                <w:b/>
                <w:color w:val="000000"/>
              </w:rPr>
              <w:t>as instituciones del Antiguo Testamento y su influencia en los escritos del AT</w:t>
            </w:r>
          </w:p>
          <w:p w14:paraId="10AACD6E" w14:textId="77777777" w:rsidR="005E4FEC" w:rsidRPr="005E4FEC" w:rsidRDefault="005E4FEC" w:rsidP="005E4FEC">
            <w:pPr>
              <w:rPr>
                <w:rFonts w:ascii="Calibri" w:hAnsi="Calibri" w:cs="Calibri"/>
                <w:color w:val="000000"/>
              </w:rPr>
            </w:pPr>
          </w:p>
          <w:p w14:paraId="0397A4D8" w14:textId="77777777" w:rsidR="005E4FEC" w:rsidRPr="005E4FEC" w:rsidRDefault="005E4FEC" w:rsidP="005E4FEC">
            <w:pPr>
              <w:rPr>
                <w:rFonts w:ascii="Calibri" w:hAnsi="Calibri" w:cs="Calibri"/>
                <w:color w:val="000000"/>
              </w:rPr>
            </w:pPr>
            <w:r w:rsidRPr="005E4FEC">
              <w:rPr>
                <w:rFonts w:ascii="Calibri" w:hAnsi="Calibri" w:cs="Calibri"/>
                <w:bCs/>
                <w:color w:val="000000"/>
              </w:rPr>
              <w:t xml:space="preserve">2.2 </w:t>
            </w:r>
            <w:r w:rsidRPr="005E4FEC">
              <w:rPr>
                <w:rFonts w:ascii="Calibri" w:hAnsi="Calibri" w:cs="Calibri"/>
                <w:color w:val="000000"/>
              </w:rPr>
              <w:t>El templo, la monarquía, la esclavitud y el patriarcado</w:t>
            </w:r>
          </w:p>
          <w:p w14:paraId="6B9BA891" w14:textId="77777777" w:rsidR="005E4FEC" w:rsidRPr="005E4FEC" w:rsidRDefault="005E4FEC" w:rsidP="005E4FEC">
            <w:pPr>
              <w:rPr>
                <w:rFonts w:ascii="Calibri" w:hAnsi="Calibri" w:cs="Calibri"/>
                <w:color w:val="000000"/>
              </w:rPr>
            </w:pPr>
          </w:p>
        </w:tc>
        <w:tc>
          <w:tcPr>
            <w:tcW w:w="3121" w:type="dxa"/>
          </w:tcPr>
          <w:p w14:paraId="4D9EA20F"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59BBFC21" w14:textId="77777777" w:rsidR="005E4FEC" w:rsidRPr="005E4FEC" w:rsidRDefault="005E4FEC" w:rsidP="005E4FEC">
            <w:pPr>
              <w:rPr>
                <w:rFonts w:ascii="Calibri" w:hAnsi="Calibri" w:cs="Calibri"/>
                <w:szCs w:val="18"/>
                <w:shd w:val="clear" w:color="auto" w:fill="FFFFFF"/>
              </w:rPr>
            </w:pPr>
          </w:p>
          <w:p w14:paraId="1BC4604C" w14:textId="77777777" w:rsidR="005E4FEC" w:rsidRPr="005E4FEC" w:rsidRDefault="005E4FEC" w:rsidP="005E4FEC">
            <w:pPr>
              <w:rPr>
                <w:rFonts w:ascii="Calibri" w:hAnsi="Calibri" w:cs="Calibri"/>
                <w:szCs w:val="18"/>
                <w:shd w:val="clear" w:color="auto" w:fill="FFFFFF"/>
              </w:rPr>
            </w:pPr>
            <w:proofErr w:type="spellStart"/>
            <w:r w:rsidRPr="005E4FEC">
              <w:rPr>
                <w:rFonts w:ascii="Calibri" w:hAnsi="Calibri" w:cs="Calibri"/>
                <w:szCs w:val="18"/>
                <w:shd w:val="clear" w:color="auto" w:fill="FFFFFF"/>
              </w:rPr>
              <w:t>Roitman</w:t>
            </w:r>
            <w:proofErr w:type="spellEnd"/>
            <w:r w:rsidRPr="005E4FEC">
              <w:rPr>
                <w:rFonts w:ascii="Calibri" w:hAnsi="Calibri" w:cs="Calibri"/>
                <w:szCs w:val="18"/>
                <w:shd w:val="clear" w:color="auto" w:fill="FFFFFF"/>
              </w:rPr>
              <w:t>, Adolfo. “El Primer Templo de Jerusalén: entre mito e historia”. En </w:t>
            </w:r>
            <w:r w:rsidRPr="005E4FEC">
              <w:rPr>
                <w:rFonts w:ascii="Calibri" w:hAnsi="Calibri" w:cs="Calibri"/>
                <w:i/>
                <w:iCs/>
                <w:szCs w:val="18"/>
                <w:shd w:val="clear" w:color="auto" w:fill="FFFFFF"/>
              </w:rPr>
              <w:t>Del tabernáculo al templo: sobre el espacio sagrado en el judaísmo antiguo</w:t>
            </w:r>
            <w:r w:rsidRPr="005E4FEC">
              <w:rPr>
                <w:rFonts w:ascii="Calibri" w:hAnsi="Calibri" w:cs="Calibri"/>
                <w:szCs w:val="18"/>
                <w:shd w:val="clear" w:color="auto" w:fill="FFFFFF"/>
              </w:rPr>
              <w:t xml:space="preserve">, 61-90. Estella: Verbo Divino, 2016. </w:t>
            </w:r>
            <w:r w:rsidRPr="005E4FEC">
              <w:rPr>
                <w:rFonts w:ascii="Calibri" w:hAnsi="Calibri" w:cs="Calibri"/>
                <w:color w:val="0070C0"/>
              </w:rPr>
              <w:t>(clásico, última edición)</w:t>
            </w:r>
          </w:p>
          <w:p w14:paraId="57AF0313" w14:textId="77777777" w:rsidR="005E4FEC" w:rsidRPr="005E4FEC" w:rsidRDefault="005E4FEC" w:rsidP="005E4FEC">
            <w:pPr>
              <w:rPr>
                <w:rFonts w:ascii="Calibri" w:hAnsi="Calibri" w:cs="Calibri"/>
                <w:szCs w:val="18"/>
                <w:shd w:val="clear" w:color="auto" w:fill="FFFFFF"/>
              </w:rPr>
            </w:pPr>
          </w:p>
          <w:p w14:paraId="7015C3F8" w14:textId="77777777" w:rsidR="005E4FEC" w:rsidRPr="005E4FEC" w:rsidRDefault="005E4FEC" w:rsidP="005E4FEC">
            <w:pPr>
              <w:rPr>
                <w:rFonts w:ascii="Calibri" w:hAnsi="Calibri" w:cs="Calibri"/>
                <w:b/>
                <w:bCs/>
                <w:color w:val="0070C0"/>
              </w:rPr>
            </w:pPr>
            <w:r w:rsidRPr="005E4FEC">
              <w:rPr>
                <w:rFonts w:ascii="Calibri" w:hAnsi="Calibri" w:cs="Calibri"/>
                <w:b/>
                <w:bCs/>
                <w:color w:val="0070C0"/>
              </w:rPr>
              <w:t>Material complementario</w:t>
            </w:r>
          </w:p>
          <w:p w14:paraId="0E0BF9A8" w14:textId="77777777" w:rsidR="005E4FEC" w:rsidRPr="005E4FEC" w:rsidRDefault="005E4FEC" w:rsidP="005E4FEC">
            <w:pPr>
              <w:rPr>
                <w:rFonts w:ascii="Calibri" w:hAnsi="Calibri" w:cs="Calibri"/>
                <w:b/>
                <w:bCs/>
                <w:color w:val="0070C0"/>
              </w:rPr>
            </w:pPr>
          </w:p>
          <w:p w14:paraId="7C755F8B" w14:textId="77777777" w:rsidR="005E4FEC" w:rsidRPr="005E4FEC" w:rsidRDefault="005E4FEC" w:rsidP="005E4FEC">
            <w:pPr>
              <w:rPr>
                <w:rFonts w:ascii="Calibri" w:hAnsi="Calibri" w:cs="Calibri"/>
                <w:szCs w:val="18"/>
                <w:shd w:val="clear" w:color="auto" w:fill="FFFFFF"/>
              </w:rPr>
            </w:pPr>
            <w:r w:rsidRPr="005E4FEC">
              <w:rPr>
                <w:rFonts w:ascii="Calibri" w:hAnsi="Calibri" w:cs="Calibri"/>
                <w:color w:val="0070C0"/>
              </w:rPr>
              <w:t xml:space="preserve">Guía para la participación mediante la herramienta Big Blue </w:t>
            </w:r>
            <w:proofErr w:type="spellStart"/>
            <w:r w:rsidRPr="005E4FEC">
              <w:rPr>
                <w:rFonts w:ascii="Calibri" w:hAnsi="Calibri" w:cs="Calibri"/>
                <w:color w:val="0070C0"/>
              </w:rPr>
              <w:t>Button</w:t>
            </w:r>
            <w:proofErr w:type="spellEnd"/>
            <w:r w:rsidRPr="005E4FEC">
              <w:rPr>
                <w:rFonts w:ascii="Calibri" w:hAnsi="Calibri" w:cs="Calibri"/>
                <w:color w:val="0070C0"/>
              </w:rPr>
              <w:t xml:space="preserve"> en la plataforma Moodle</w:t>
            </w:r>
          </w:p>
          <w:p w14:paraId="3DDF5C92" w14:textId="77777777" w:rsidR="005E4FEC" w:rsidRPr="005E4FEC" w:rsidRDefault="005E4FEC" w:rsidP="005E4FEC">
            <w:pPr>
              <w:rPr>
                <w:rFonts w:ascii="Calibri" w:hAnsi="Calibri" w:cs="Calibri"/>
                <w:color w:val="000000"/>
              </w:rPr>
            </w:pPr>
          </w:p>
        </w:tc>
        <w:tc>
          <w:tcPr>
            <w:tcW w:w="3260" w:type="dxa"/>
          </w:tcPr>
          <w:p w14:paraId="3CEF174B"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Realizar la lectura de la sesión.</w:t>
            </w:r>
          </w:p>
          <w:p w14:paraId="3B5D724F"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Presentación grupal en un encuentro sincrónico virtual.</w:t>
            </w:r>
          </w:p>
          <w:p w14:paraId="0AF72748"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Continuar con la elaboración de la monografía final.</w:t>
            </w:r>
          </w:p>
        </w:tc>
      </w:tr>
      <w:tr w:rsidR="005E4FEC" w:rsidRPr="005E4FEC" w14:paraId="281BF9DD" w14:textId="77777777" w:rsidTr="00104785">
        <w:trPr>
          <w:jc w:val="center"/>
        </w:trPr>
        <w:tc>
          <w:tcPr>
            <w:tcW w:w="1144" w:type="dxa"/>
          </w:tcPr>
          <w:p w14:paraId="1A2896A4" w14:textId="77777777" w:rsidR="005E4FEC" w:rsidRPr="005E4FEC" w:rsidRDefault="005E4FEC" w:rsidP="005E4FEC">
            <w:pPr>
              <w:jc w:val="center"/>
              <w:rPr>
                <w:rFonts w:ascii="Calibri" w:hAnsi="Calibri" w:cs="Calibri"/>
                <w:color w:val="000000"/>
              </w:rPr>
            </w:pPr>
          </w:p>
          <w:p w14:paraId="2227D2C5"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7</w:t>
            </w:r>
          </w:p>
        </w:tc>
        <w:tc>
          <w:tcPr>
            <w:tcW w:w="2109" w:type="dxa"/>
          </w:tcPr>
          <w:p w14:paraId="6CCD8417" w14:textId="77777777" w:rsidR="005E4FEC" w:rsidRPr="005E4FEC" w:rsidRDefault="005E4FEC" w:rsidP="005E4FEC">
            <w:pPr>
              <w:rPr>
                <w:rFonts w:ascii="Calibri" w:hAnsi="Calibri" w:cs="Calibri"/>
                <w:b/>
                <w:color w:val="000000"/>
              </w:rPr>
            </w:pPr>
            <w:r w:rsidRPr="005E4FEC">
              <w:rPr>
                <w:rFonts w:ascii="Calibri" w:hAnsi="Calibri" w:cs="Calibri"/>
                <w:b/>
                <w:bCs/>
                <w:color w:val="000000"/>
              </w:rPr>
              <w:t>Unidad 2: L</w:t>
            </w:r>
            <w:r w:rsidRPr="005E4FEC">
              <w:rPr>
                <w:rFonts w:ascii="Calibri" w:hAnsi="Calibri" w:cs="Calibri"/>
                <w:b/>
                <w:color w:val="000000"/>
              </w:rPr>
              <w:t>as instituciones del Antiguo Testamento y su influencia en los escritos del AT</w:t>
            </w:r>
          </w:p>
          <w:p w14:paraId="23514CDC" w14:textId="77777777" w:rsidR="005E4FEC" w:rsidRPr="005E4FEC" w:rsidRDefault="005E4FEC" w:rsidP="005E4FEC">
            <w:pPr>
              <w:rPr>
                <w:rFonts w:ascii="Calibri" w:hAnsi="Calibri" w:cs="Calibri"/>
                <w:color w:val="000000"/>
              </w:rPr>
            </w:pPr>
          </w:p>
          <w:p w14:paraId="00FE59FC" w14:textId="77777777" w:rsidR="005E4FEC" w:rsidRPr="005E4FEC" w:rsidRDefault="005E4FEC" w:rsidP="005E4FEC">
            <w:pPr>
              <w:rPr>
                <w:rFonts w:ascii="Calibri" w:hAnsi="Calibri" w:cs="Calibri"/>
                <w:color w:val="000000"/>
              </w:rPr>
            </w:pPr>
            <w:r w:rsidRPr="005E4FEC">
              <w:rPr>
                <w:rFonts w:ascii="Calibri" w:hAnsi="Calibri" w:cs="Calibri"/>
                <w:bCs/>
                <w:color w:val="000000"/>
              </w:rPr>
              <w:t xml:space="preserve">2.2 </w:t>
            </w:r>
            <w:r w:rsidRPr="005E4FEC">
              <w:rPr>
                <w:rFonts w:ascii="Calibri" w:hAnsi="Calibri" w:cs="Calibri"/>
                <w:color w:val="000000"/>
              </w:rPr>
              <w:t>El templo, la monarquía, la esclavitud y el patriarcado</w:t>
            </w:r>
          </w:p>
          <w:p w14:paraId="38CEC5A8" w14:textId="77777777" w:rsidR="005E4FEC" w:rsidRPr="005E4FEC" w:rsidRDefault="005E4FEC" w:rsidP="005E4FEC">
            <w:pPr>
              <w:rPr>
                <w:rFonts w:ascii="Calibri" w:hAnsi="Calibri" w:cs="Calibri"/>
                <w:color w:val="000000"/>
              </w:rPr>
            </w:pPr>
          </w:p>
        </w:tc>
        <w:tc>
          <w:tcPr>
            <w:tcW w:w="3121" w:type="dxa"/>
          </w:tcPr>
          <w:p w14:paraId="6F817ED8"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55EC0E57" w14:textId="77777777" w:rsidR="005E4FEC" w:rsidRPr="005E4FEC" w:rsidRDefault="005E4FEC" w:rsidP="005E4FEC">
            <w:pPr>
              <w:rPr>
                <w:rFonts w:ascii="Calibri" w:hAnsi="Calibri" w:cs="Calibri"/>
                <w:color w:val="000000"/>
              </w:rPr>
            </w:pPr>
          </w:p>
          <w:p w14:paraId="5BEF12C5" w14:textId="77777777" w:rsidR="005E4FEC" w:rsidRPr="005E4FEC" w:rsidRDefault="005E4FEC" w:rsidP="005E4FEC">
            <w:pPr>
              <w:rPr>
                <w:rFonts w:ascii="Calibri" w:hAnsi="Calibri" w:cs="Calibri"/>
                <w:color w:val="000000"/>
              </w:rPr>
            </w:pPr>
            <w:r w:rsidRPr="005E4FEC">
              <w:rPr>
                <w:rFonts w:ascii="Calibri" w:hAnsi="Calibri" w:cs="Calibri"/>
                <w:color w:val="000000"/>
              </w:rPr>
              <w:t xml:space="preserve">De </w:t>
            </w:r>
            <w:proofErr w:type="spellStart"/>
            <w:r w:rsidRPr="005E4FEC">
              <w:rPr>
                <w:rFonts w:ascii="Calibri" w:hAnsi="Calibri" w:cs="Calibri"/>
                <w:color w:val="000000"/>
              </w:rPr>
              <w:t>Vaux</w:t>
            </w:r>
            <w:proofErr w:type="spellEnd"/>
            <w:r w:rsidRPr="005E4FEC">
              <w:rPr>
                <w:rFonts w:ascii="Calibri" w:hAnsi="Calibri" w:cs="Calibri"/>
                <w:color w:val="000000"/>
              </w:rPr>
              <w:t xml:space="preserve">, Roland. “Los esclavos”. En </w:t>
            </w:r>
            <w:r w:rsidRPr="005E4FEC">
              <w:rPr>
                <w:rFonts w:ascii="Calibri" w:hAnsi="Calibri" w:cs="Calibri"/>
                <w:i/>
                <w:color w:val="000000"/>
              </w:rPr>
              <w:t>Instituciones del Antiguo Testamento</w:t>
            </w:r>
            <w:r w:rsidRPr="005E4FEC">
              <w:rPr>
                <w:rFonts w:ascii="Calibri" w:hAnsi="Calibri" w:cs="Calibri"/>
                <w:iCs/>
                <w:color w:val="000000"/>
              </w:rPr>
              <w:t>, 124-137</w:t>
            </w:r>
            <w:r w:rsidRPr="005E4FEC">
              <w:rPr>
                <w:rFonts w:ascii="Calibri" w:hAnsi="Calibri" w:cs="Calibri"/>
                <w:i/>
                <w:color w:val="000000"/>
              </w:rPr>
              <w:t xml:space="preserve">. </w:t>
            </w:r>
            <w:r w:rsidRPr="005E4FEC">
              <w:rPr>
                <w:rFonts w:ascii="Calibri" w:hAnsi="Calibri" w:cs="Calibri"/>
                <w:color w:val="000000"/>
              </w:rPr>
              <w:t xml:space="preserve">Barcelona: Herder, 1976. </w:t>
            </w:r>
            <w:r w:rsidRPr="005E4FEC">
              <w:rPr>
                <w:rFonts w:ascii="Calibri" w:hAnsi="Calibri" w:cs="Calibri"/>
                <w:color w:val="0070C0"/>
              </w:rPr>
              <w:t>(clásico, última edición 1992)</w:t>
            </w:r>
          </w:p>
          <w:p w14:paraId="7DAFF05F" w14:textId="77777777" w:rsidR="005E4FEC" w:rsidRPr="005E4FEC" w:rsidRDefault="005E4FEC" w:rsidP="005E4FEC">
            <w:pPr>
              <w:rPr>
                <w:rFonts w:ascii="Calibri" w:hAnsi="Calibri" w:cs="Calibri"/>
                <w:color w:val="000000"/>
              </w:rPr>
            </w:pPr>
          </w:p>
          <w:p w14:paraId="61A5606D" w14:textId="77777777" w:rsidR="005E4FEC" w:rsidRPr="005E4FEC" w:rsidRDefault="005E4FEC" w:rsidP="005E4FEC">
            <w:pPr>
              <w:rPr>
                <w:rFonts w:ascii="Calibri" w:hAnsi="Calibri" w:cs="Calibri"/>
                <w:color w:val="000000"/>
              </w:rPr>
            </w:pPr>
            <w:r w:rsidRPr="005E4FEC">
              <w:rPr>
                <w:rFonts w:ascii="Calibri" w:hAnsi="Calibri" w:cs="Calibri"/>
                <w:color w:val="000000"/>
              </w:rPr>
              <w:t xml:space="preserve">Ramírez Kidd, José Enrique. “La esclavitud en la Biblia: realidad, metáfora, desafío. Itinerario cultural e histórico de </w:t>
            </w:r>
            <w:proofErr w:type="spellStart"/>
            <w:r w:rsidRPr="005E4FEC">
              <w:rPr>
                <w:rFonts w:ascii="Calibri" w:hAnsi="Calibri" w:cs="Calibri"/>
                <w:color w:val="000000"/>
              </w:rPr>
              <w:t>Deut</w:t>
            </w:r>
            <w:proofErr w:type="spellEnd"/>
            <w:r w:rsidRPr="005E4FEC">
              <w:rPr>
                <w:rFonts w:ascii="Calibri" w:hAnsi="Calibri" w:cs="Calibri"/>
                <w:color w:val="000000"/>
              </w:rPr>
              <w:t xml:space="preserve"> 23.16-17”. </w:t>
            </w:r>
            <w:r w:rsidRPr="005E4FEC">
              <w:rPr>
                <w:rFonts w:ascii="Calibri" w:hAnsi="Calibri" w:cs="Calibri"/>
                <w:i/>
                <w:color w:val="000000"/>
              </w:rPr>
              <w:t xml:space="preserve">Aportes Bíblicos, </w:t>
            </w:r>
            <w:r w:rsidRPr="005E4FEC">
              <w:rPr>
                <w:rFonts w:ascii="Calibri" w:hAnsi="Calibri" w:cs="Calibri"/>
                <w:iCs/>
                <w:color w:val="000000"/>
              </w:rPr>
              <w:t>n.º</w:t>
            </w:r>
            <w:r w:rsidRPr="005E4FEC">
              <w:rPr>
                <w:rFonts w:ascii="Calibri" w:hAnsi="Calibri" w:cs="Calibri"/>
                <w:color w:val="000000"/>
              </w:rPr>
              <w:t xml:space="preserve"> 20 (2015): 12-39.</w:t>
            </w:r>
          </w:p>
          <w:p w14:paraId="20710F70" w14:textId="77777777" w:rsidR="005E4FEC" w:rsidRPr="005E4FEC" w:rsidRDefault="005E4FEC" w:rsidP="005E4FEC">
            <w:pPr>
              <w:rPr>
                <w:rFonts w:ascii="Calibri" w:hAnsi="Calibri" w:cs="Calibri"/>
                <w:color w:val="000000"/>
              </w:rPr>
            </w:pPr>
          </w:p>
          <w:p w14:paraId="2C6A0D5C" w14:textId="77777777" w:rsidR="005E4FEC" w:rsidRPr="005E4FEC" w:rsidRDefault="005E4FEC" w:rsidP="005E4FEC">
            <w:pPr>
              <w:rPr>
                <w:rFonts w:ascii="Calibri" w:hAnsi="Calibri" w:cs="Calibri"/>
                <w:b/>
                <w:bCs/>
                <w:color w:val="0070C0"/>
              </w:rPr>
            </w:pPr>
            <w:r w:rsidRPr="005E4FEC">
              <w:rPr>
                <w:rFonts w:ascii="Calibri" w:hAnsi="Calibri" w:cs="Calibri"/>
                <w:b/>
                <w:bCs/>
                <w:color w:val="0070C0"/>
              </w:rPr>
              <w:t>Material complementario</w:t>
            </w:r>
          </w:p>
          <w:p w14:paraId="7B8F5BCF" w14:textId="77777777" w:rsidR="005E4FEC" w:rsidRPr="005E4FEC" w:rsidRDefault="005E4FEC" w:rsidP="005E4FEC">
            <w:pPr>
              <w:rPr>
                <w:rFonts w:ascii="Calibri" w:hAnsi="Calibri" w:cs="Calibri"/>
                <w:b/>
                <w:bCs/>
                <w:color w:val="0070C0"/>
              </w:rPr>
            </w:pPr>
          </w:p>
          <w:p w14:paraId="45C208CA" w14:textId="77777777" w:rsidR="005E4FEC" w:rsidRPr="005E4FEC" w:rsidRDefault="005E4FEC" w:rsidP="005E4FEC">
            <w:pPr>
              <w:rPr>
                <w:rFonts w:ascii="Calibri" w:hAnsi="Calibri" w:cs="Calibri"/>
                <w:color w:val="000000"/>
              </w:rPr>
            </w:pPr>
            <w:r w:rsidRPr="005E4FEC">
              <w:rPr>
                <w:rFonts w:ascii="Calibri" w:hAnsi="Calibri" w:cs="Calibri"/>
                <w:color w:val="0070C0"/>
              </w:rPr>
              <w:t xml:space="preserve">Guía para la participación mediante la herramienta Big Blue </w:t>
            </w:r>
            <w:proofErr w:type="spellStart"/>
            <w:r w:rsidRPr="005E4FEC">
              <w:rPr>
                <w:rFonts w:ascii="Calibri" w:hAnsi="Calibri" w:cs="Calibri"/>
                <w:color w:val="0070C0"/>
              </w:rPr>
              <w:t>Button</w:t>
            </w:r>
            <w:proofErr w:type="spellEnd"/>
            <w:r w:rsidRPr="005E4FEC">
              <w:rPr>
                <w:rFonts w:ascii="Calibri" w:hAnsi="Calibri" w:cs="Calibri"/>
                <w:color w:val="0070C0"/>
              </w:rPr>
              <w:t xml:space="preserve"> en la plataforma Moodle</w:t>
            </w:r>
          </w:p>
          <w:p w14:paraId="3FD7F923" w14:textId="77777777" w:rsidR="005E4FEC" w:rsidRPr="005E4FEC" w:rsidRDefault="005E4FEC" w:rsidP="005E4FEC">
            <w:pPr>
              <w:rPr>
                <w:rFonts w:ascii="Calibri" w:hAnsi="Calibri" w:cs="Calibri"/>
                <w:color w:val="000000"/>
              </w:rPr>
            </w:pPr>
          </w:p>
        </w:tc>
        <w:tc>
          <w:tcPr>
            <w:tcW w:w="3260" w:type="dxa"/>
          </w:tcPr>
          <w:p w14:paraId="5B7D7FB1"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Realizar las lecturas de la sesión.</w:t>
            </w:r>
          </w:p>
          <w:p w14:paraId="78988A2E"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Presentación grupal en un encuentro sincrónico virtual.</w:t>
            </w:r>
          </w:p>
          <w:p w14:paraId="0EFA0199"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Continuar con la elaboración de la monografía final.</w:t>
            </w:r>
          </w:p>
        </w:tc>
      </w:tr>
      <w:tr w:rsidR="005E4FEC" w:rsidRPr="005E4FEC" w14:paraId="484ABCB4" w14:textId="77777777" w:rsidTr="00104785">
        <w:trPr>
          <w:jc w:val="center"/>
        </w:trPr>
        <w:tc>
          <w:tcPr>
            <w:tcW w:w="1144" w:type="dxa"/>
          </w:tcPr>
          <w:p w14:paraId="544D5E5D" w14:textId="77777777" w:rsidR="005E4FEC" w:rsidRPr="005E4FEC" w:rsidRDefault="005E4FEC" w:rsidP="005E4FEC">
            <w:pPr>
              <w:jc w:val="center"/>
              <w:rPr>
                <w:rFonts w:ascii="Calibri" w:hAnsi="Calibri" w:cs="Calibri"/>
                <w:color w:val="000000"/>
              </w:rPr>
            </w:pPr>
          </w:p>
          <w:p w14:paraId="3729EFC6"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8</w:t>
            </w:r>
          </w:p>
        </w:tc>
        <w:tc>
          <w:tcPr>
            <w:tcW w:w="2109" w:type="dxa"/>
          </w:tcPr>
          <w:p w14:paraId="5EE05E89" w14:textId="77777777" w:rsidR="005E4FEC" w:rsidRPr="005E4FEC" w:rsidRDefault="005E4FEC" w:rsidP="005E4FEC">
            <w:pPr>
              <w:rPr>
                <w:rFonts w:ascii="Calibri" w:hAnsi="Calibri" w:cs="Calibri"/>
                <w:b/>
                <w:color w:val="000000"/>
              </w:rPr>
            </w:pPr>
            <w:r w:rsidRPr="005E4FEC">
              <w:rPr>
                <w:rFonts w:ascii="Calibri" w:hAnsi="Calibri" w:cs="Calibri"/>
                <w:b/>
                <w:bCs/>
                <w:color w:val="000000"/>
              </w:rPr>
              <w:t>Unidad 2: L</w:t>
            </w:r>
            <w:r w:rsidRPr="005E4FEC">
              <w:rPr>
                <w:rFonts w:ascii="Calibri" w:hAnsi="Calibri" w:cs="Calibri"/>
                <w:b/>
                <w:color w:val="000000"/>
              </w:rPr>
              <w:t>as instituciones del Antiguo Testamento y su influencia en los escritos del AT</w:t>
            </w:r>
          </w:p>
          <w:p w14:paraId="6097A547" w14:textId="77777777" w:rsidR="005E4FEC" w:rsidRPr="005E4FEC" w:rsidRDefault="005E4FEC" w:rsidP="005E4FEC">
            <w:pPr>
              <w:rPr>
                <w:rFonts w:ascii="Calibri" w:hAnsi="Calibri" w:cs="Calibri"/>
                <w:color w:val="000000"/>
              </w:rPr>
            </w:pPr>
          </w:p>
          <w:p w14:paraId="34AC8A22" w14:textId="77777777" w:rsidR="005E4FEC" w:rsidRPr="005E4FEC" w:rsidRDefault="005E4FEC" w:rsidP="005E4FEC">
            <w:pPr>
              <w:rPr>
                <w:rFonts w:ascii="Calibri" w:hAnsi="Calibri" w:cs="Calibri"/>
                <w:color w:val="000000"/>
              </w:rPr>
            </w:pPr>
            <w:r w:rsidRPr="005E4FEC">
              <w:rPr>
                <w:rFonts w:ascii="Calibri" w:hAnsi="Calibri" w:cs="Calibri"/>
                <w:bCs/>
                <w:color w:val="000000"/>
              </w:rPr>
              <w:t xml:space="preserve">2.2 </w:t>
            </w:r>
            <w:r w:rsidRPr="005E4FEC">
              <w:rPr>
                <w:rFonts w:ascii="Calibri" w:hAnsi="Calibri" w:cs="Calibri"/>
                <w:color w:val="000000"/>
              </w:rPr>
              <w:t>El templo, la monarquía, la esclavitud y el patriarcado</w:t>
            </w:r>
          </w:p>
          <w:p w14:paraId="5A3BFF0F" w14:textId="77777777" w:rsidR="005E4FEC" w:rsidRPr="005E4FEC" w:rsidRDefault="005E4FEC" w:rsidP="005E4FEC">
            <w:pPr>
              <w:rPr>
                <w:rFonts w:ascii="Calibri" w:hAnsi="Calibri" w:cs="Calibri"/>
                <w:color w:val="000000"/>
              </w:rPr>
            </w:pPr>
          </w:p>
        </w:tc>
        <w:tc>
          <w:tcPr>
            <w:tcW w:w="3121" w:type="dxa"/>
          </w:tcPr>
          <w:p w14:paraId="4AB4D1F1"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15E6EF2F" w14:textId="77777777" w:rsidR="005E4FEC" w:rsidRPr="005E4FEC" w:rsidRDefault="005E4FEC" w:rsidP="005E4FEC">
            <w:pPr>
              <w:rPr>
                <w:rFonts w:ascii="Calibri" w:hAnsi="Calibri" w:cs="Calibri"/>
                <w:color w:val="000000"/>
              </w:rPr>
            </w:pPr>
          </w:p>
          <w:p w14:paraId="57728F60" w14:textId="77777777" w:rsidR="005E4FEC" w:rsidRPr="005E4FEC" w:rsidRDefault="005E4FEC" w:rsidP="005E4FEC">
            <w:pPr>
              <w:rPr>
                <w:rFonts w:ascii="Calibri" w:hAnsi="Calibri" w:cs="Calibri"/>
                <w:color w:val="000000"/>
              </w:rPr>
            </w:pPr>
            <w:proofErr w:type="spellStart"/>
            <w:r w:rsidRPr="005E4FEC">
              <w:rPr>
                <w:rFonts w:ascii="Calibri" w:hAnsi="Calibri" w:cs="Calibri"/>
                <w:color w:val="000000"/>
              </w:rPr>
              <w:t>Démare</w:t>
            </w:r>
            <w:proofErr w:type="spellEnd"/>
            <w:r w:rsidRPr="005E4FEC">
              <w:rPr>
                <w:rFonts w:ascii="Calibri" w:hAnsi="Calibri" w:cs="Calibri"/>
                <w:color w:val="000000"/>
              </w:rPr>
              <w:t xml:space="preserve">-Lafont, Sophie. “Los derechos de las mujeres en los textos jurídicos del Antiguo Oriente Próximo”. En </w:t>
            </w:r>
            <w:r w:rsidRPr="005E4FEC">
              <w:rPr>
                <w:rFonts w:ascii="Calibri" w:hAnsi="Calibri" w:cs="Calibri"/>
                <w:i/>
                <w:iCs/>
              </w:rPr>
              <w:t xml:space="preserve">La </w:t>
            </w:r>
            <w:proofErr w:type="spellStart"/>
            <w:r w:rsidRPr="005E4FEC">
              <w:rPr>
                <w:rFonts w:ascii="Calibri" w:hAnsi="Calibri" w:cs="Calibri"/>
                <w:i/>
                <w:iCs/>
              </w:rPr>
              <w:t>Torah</w:t>
            </w:r>
            <w:proofErr w:type="spellEnd"/>
            <w:r w:rsidRPr="005E4FEC">
              <w:rPr>
                <w:rFonts w:ascii="Calibri" w:hAnsi="Calibri" w:cs="Calibri"/>
              </w:rPr>
              <w:t xml:space="preserve">, editado por </w:t>
            </w:r>
            <w:proofErr w:type="spellStart"/>
            <w:r w:rsidRPr="005E4FEC">
              <w:rPr>
                <w:rFonts w:ascii="Calibri" w:hAnsi="Calibri" w:cs="Calibri"/>
              </w:rPr>
              <w:t>Irmtraud</w:t>
            </w:r>
            <w:proofErr w:type="spellEnd"/>
            <w:r w:rsidRPr="005E4FEC">
              <w:rPr>
                <w:rFonts w:ascii="Calibri" w:hAnsi="Calibri" w:cs="Calibri"/>
              </w:rPr>
              <w:t xml:space="preserve"> Fischer y Mercedes Navarro, 127-147. </w:t>
            </w:r>
            <w:r w:rsidRPr="005E4FEC">
              <w:rPr>
                <w:rFonts w:ascii="Calibri" w:hAnsi="Calibri" w:cs="Calibri"/>
                <w:color w:val="000000"/>
              </w:rPr>
              <w:t>Estella: Verbo Divino, 2010.</w:t>
            </w:r>
            <w:r w:rsidRPr="005E4FEC">
              <w:rPr>
                <w:rFonts w:ascii="Calibri" w:hAnsi="Calibri" w:cs="Calibri"/>
                <w:color w:val="0070C0"/>
              </w:rPr>
              <w:t xml:space="preserve"> (clásico, última edición)</w:t>
            </w:r>
          </w:p>
          <w:p w14:paraId="60F343A5" w14:textId="77777777" w:rsidR="005E4FEC" w:rsidRPr="005E4FEC" w:rsidRDefault="005E4FEC" w:rsidP="005E4FEC">
            <w:pPr>
              <w:rPr>
                <w:rFonts w:ascii="Calibri" w:hAnsi="Calibri" w:cs="Calibri"/>
                <w:color w:val="000000"/>
              </w:rPr>
            </w:pPr>
          </w:p>
          <w:p w14:paraId="6F76EEC0" w14:textId="77777777" w:rsidR="005E4FEC" w:rsidRPr="005E4FEC" w:rsidRDefault="005E4FEC" w:rsidP="005E4FEC">
            <w:pPr>
              <w:rPr>
                <w:rFonts w:ascii="Calibri" w:hAnsi="Calibri" w:cs="Calibri"/>
              </w:rPr>
            </w:pPr>
            <w:proofErr w:type="spellStart"/>
            <w:r w:rsidRPr="005E4FEC">
              <w:rPr>
                <w:rFonts w:ascii="Calibri" w:hAnsi="Calibri" w:cs="Calibri"/>
              </w:rPr>
              <w:t>Finsterbuch</w:t>
            </w:r>
            <w:proofErr w:type="spellEnd"/>
            <w:r w:rsidRPr="005E4FEC">
              <w:rPr>
                <w:rFonts w:ascii="Calibri" w:hAnsi="Calibri" w:cs="Calibri"/>
              </w:rPr>
              <w:t xml:space="preserve">, Karin. “Mujeres: entre «dependencia» y «autonomía». Aspectos relevantes de género en los textos legislativos de la </w:t>
            </w:r>
            <w:proofErr w:type="spellStart"/>
            <w:r w:rsidRPr="005E4FEC">
              <w:rPr>
                <w:rFonts w:ascii="Calibri" w:hAnsi="Calibri" w:cs="Calibri"/>
              </w:rPr>
              <w:t>Torah</w:t>
            </w:r>
            <w:proofErr w:type="spellEnd"/>
            <w:r w:rsidRPr="005E4FEC">
              <w:rPr>
                <w:rFonts w:ascii="Calibri" w:hAnsi="Calibri" w:cs="Calibri"/>
              </w:rPr>
              <w:t xml:space="preserve">”. En </w:t>
            </w:r>
            <w:r w:rsidRPr="005E4FEC">
              <w:rPr>
                <w:rFonts w:ascii="Calibri" w:hAnsi="Calibri" w:cs="Calibri"/>
                <w:i/>
                <w:iCs/>
              </w:rPr>
              <w:t xml:space="preserve">La </w:t>
            </w:r>
            <w:proofErr w:type="spellStart"/>
            <w:r w:rsidRPr="005E4FEC">
              <w:rPr>
                <w:rFonts w:ascii="Calibri" w:hAnsi="Calibri" w:cs="Calibri"/>
                <w:i/>
                <w:iCs/>
              </w:rPr>
              <w:t>Torah</w:t>
            </w:r>
            <w:proofErr w:type="spellEnd"/>
            <w:r w:rsidRPr="005E4FEC">
              <w:rPr>
                <w:rFonts w:ascii="Calibri" w:hAnsi="Calibri" w:cs="Calibri"/>
              </w:rPr>
              <w:t xml:space="preserve">, editado por </w:t>
            </w:r>
            <w:proofErr w:type="spellStart"/>
            <w:r w:rsidRPr="005E4FEC">
              <w:rPr>
                <w:rFonts w:ascii="Calibri" w:hAnsi="Calibri" w:cs="Calibri"/>
              </w:rPr>
              <w:t>Irmtraud</w:t>
            </w:r>
            <w:proofErr w:type="spellEnd"/>
            <w:r w:rsidRPr="005E4FEC">
              <w:rPr>
                <w:rFonts w:ascii="Calibri" w:hAnsi="Calibri" w:cs="Calibri"/>
              </w:rPr>
              <w:t xml:space="preserve"> Fischer y Mercedes Navarro, 409-434. Estella: Verbo Divino, 2010. </w:t>
            </w:r>
            <w:r w:rsidRPr="005E4FEC">
              <w:rPr>
                <w:rFonts w:ascii="Calibri" w:hAnsi="Calibri" w:cs="Calibri"/>
                <w:color w:val="0070C0"/>
              </w:rPr>
              <w:t>(clásico, última edición)</w:t>
            </w:r>
          </w:p>
          <w:p w14:paraId="40B22579" w14:textId="77777777" w:rsidR="005E4FEC" w:rsidRPr="005E4FEC" w:rsidRDefault="005E4FEC" w:rsidP="005E4FEC">
            <w:pPr>
              <w:rPr>
                <w:rFonts w:ascii="Calibri" w:hAnsi="Calibri" w:cs="Calibri"/>
                <w:color w:val="000000"/>
              </w:rPr>
            </w:pPr>
          </w:p>
          <w:p w14:paraId="0D547830"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Material complementario</w:t>
            </w:r>
          </w:p>
          <w:p w14:paraId="7C938C1F" w14:textId="77777777" w:rsidR="005E4FEC" w:rsidRPr="005E4FEC" w:rsidRDefault="005E4FEC" w:rsidP="005E4FEC">
            <w:pPr>
              <w:rPr>
                <w:rFonts w:ascii="Calibri" w:hAnsi="Calibri" w:cs="Calibri"/>
                <w:b/>
                <w:bCs/>
                <w:color w:val="000000"/>
              </w:rPr>
            </w:pPr>
          </w:p>
          <w:p w14:paraId="4373746D" w14:textId="77777777" w:rsidR="005E4FEC" w:rsidRPr="005E4FEC" w:rsidRDefault="005E4FEC" w:rsidP="005E4FEC">
            <w:pPr>
              <w:rPr>
                <w:rFonts w:ascii="Calibri" w:hAnsi="Calibri" w:cs="Calibri"/>
              </w:rPr>
            </w:pPr>
            <w:r w:rsidRPr="005E4FEC">
              <w:rPr>
                <w:rFonts w:ascii="Calibri" w:hAnsi="Calibri" w:cs="Calibri"/>
              </w:rPr>
              <w:t xml:space="preserve">Cook, Elisabeth. “La mujer extranjera y la infidelidad de </w:t>
            </w:r>
            <w:r w:rsidRPr="005E4FEC">
              <w:rPr>
                <w:rFonts w:ascii="Calibri" w:hAnsi="Calibri" w:cs="Calibri"/>
              </w:rPr>
              <w:lastRenderedPageBreak/>
              <w:t xml:space="preserve">Israel”. En </w:t>
            </w:r>
            <w:r w:rsidRPr="005E4FEC">
              <w:rPr>
                <w:rFonts w:ascii="Calibri" w:hAnsi="Calibri" w:cs="Calibri"/>
                <w:i/>
                <w:iCs/>
              </w:rPr>
              <w:t>La mujer como extranjera en Israel: un estudio exegético de Esdras 9-10</w:t>
            </w:r>
            <w:r w:rsidRPr="005E4FEC">
              <w:rPr>
                <w:rFonts w:ascii="Calibri" w:hAnsi="Calibri" w:cs="Calibri"/>
              </w:rPr>
              <w:t xml:space="preserve">, 153-189. San José: SEBILA, 2011. </w:t>
            </w:r>
            <w:r w:rsidRPr="005E4FEC">
              <w:rPr>
                <w:rFonts w:ascii="Calibri" w:hAnsi="Calibri" w:cs="Calibri"/>
                <w:color w:val="0070C0"/>
              </w:rPr>
              <w:t>(clásico, última edición)</w:t>
            </w:r>
          </w:p>
          <w:p w14:paraId="3F465A7B" w14:textId="77777777" w:rsidR="005E4FEC" w:rsidRPr="005E4FEC" w:rsidRDefault="005E4FEC" w:rsidP="005E4FEC">
            <w:pPr>
              <w:rPr>
                <w:rFonts w:ascii="Calibri" w:hAnsi="Calibri" w:cs="Calibri"/>
              </w:rPr>
            </w:pPr>
          </w:p>
          <w:p w14:paraId="0909F535" w14:textId="77777777" w:rsidR="005E4FEC" w:rsidRPr="005E4FEC" w:rsidRDefault="005E4FEC" w:rsidP="005E4FEC">
            <w:pPr>
              <w:rPr>
                <w:rFonts w:ascii="Calibri" w:hAnsi="Calibri" w:cs="Calibri"/>
                <w:color w:val="0070C0"/>
              </w:rPr>
            </w:pPr>
            <w:r w:rsidRPr="005E4FEC">
              <w:rPr>
                <w:rFonts w:ascii="Calibri" w:hAnsi="Calibri" w:cs="Calibri"/>
                <w:color w:val="0070C0"/>
              </w:rPr>
              <w:t xml:space="preserve">Guía para la participación mediante la herramienta Big Blue </w:t>
            </w:r>
            <w:proofErr w:type="spellStart"/>
            <w:r w:rsidRPr="005E4FEC">
              <w:rPr>
                <w:rFonts w:ascii="Calibri" w:hAnsi="Calibri" w:cs="Calibri"/>
                <w:color w:val="0070C0"/>
              </w:rPr>
              <w:t>Button</w:t>
            </w:r>
            <w:proofErr w:type="spellEnd"/>
            <w:r w:rsidRPr="005E4FEC">
              <w:rPr>
                <w:rFonts w:ascii="Calibri" w:hAnsi="Calibri" w:cs="Calibri"/>
                <w:color w:val="0070C0"/>
              </w:rPr>
              <w:t xml:space="preserve"> en la plataforma Moodle</w:t>
            </w:r>
          </w:p>
          <w:p w14:paraId="5E10A188" w14:textId="77777777" w:rsidR="005E4FEC" w:rsidRPr="005E4FEC" w:rsidRDefault="005E4FEC" w:rsidP="005E4FEC">
            <w:pPr>
              <w:rPr>
                <w:rFonts w:ascii="Calibri" w:hAnsi="Calibri" w:cs="Calibri"/>
                <w:color w:val="000000"/>
              </w:rPr>
            </w:pPr>
          </w:p>
        </w:tc>
        <w:tc>
          <w:tcPr>
            <w:tcW w:w="3260" w:type="dxa"/>
          </w:tcPr>
          <w:p w14:paraId="3F11CFD9"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lastRenderedPageBreak/>
              <w:t>Realizar las lecturas de la sesión.</w:t>
            </w:r>
          </w:p>
          <w:p w14:paraId="295F91D3"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Presentación grupal en un encuentro sincrónico virtual.</w:t>
            </w:r>
          </w:p>
          <w:p w14:paraId="526A04E6"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Continuar con la elaboración de la monografía final.</w:t>
            </w:r>
          </w:p>
        </w:tc>
      </w:tr>
      <w:tr w:rsidR="005E4FEC" w:rsidRPr="005E4FEC" w14:paraId="79466140" w14:textId="77777777" w:rsidTr="00104785">
        <w:trPr>
          <w:jc w:val="center"/>
        </w:trPr>
        <w:tc>
          <w:tcPr>
            <w:tcW w:w="1144" w:type="dxa"/>
          </w:tcPr>
          <w:p w14:paraId="7636145D" w14:textId="77777777" w:rsidR="005E4FEC" w:rsidRPr="005E4FEC" w:rsidRDefault="005E4FEC" w:rsidP="005E4FEC">
            <w:pPr>
              <w:jc w:val="center"/>
              <w:rPr>
                <w:rFonts w:ascii="Calibri" w:hAnsi="Calibri" w:cs="Calibri"/>
                <w:color w:val="000000"/>
              </w:rPr>
            </w:pPr>
          </w:p>
          <w:p w14:paraId="13B81EDC"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9</w:t>
            </w:r>
          </w:p>
        </w:tc>
        <w:tc>
          <w:tcPr>
            <w:tcW w:w="2109" w:type="dxa"/>
          </w:tcPr>
          <w:p w14:paraId="1984A721"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Unidad 3: Movimientos sociales en el antiguo Israel</w:t>
            </w:r>
          </w:p>
          <w:p w14:paraId="110C623A" w14:textId="77777777" w:rsidR="005E4FEC" w:rsidRPr="005E4FEC" w:rsidRDefault="005E4FEC" w:rsidP="005E4FEC">
            <w:pPr>
              <w:rPr>
                <w:rFonts w:ascii="Calibri" w:hAnsi="Calibri" w:cs="Calibri"/>
                <w:b/>
                <w:bCs/>
                <w:color w:val="000000"/>
              </w:rPr>
            </w:pPr>
          </w:p>
          <w:p w14:paraId="2320F841" w14:textId="77777777" w:rsidR="005E4FEC" w:rsidRPr="005E4FEC" w:rsidRDefault="005E4FEC" w:rsidP="005E4FEC">
            <w:pPr>
              <w:rPr>
                <w:rFonts w:ascii="Calibri" w:hAnsi="Calibri" w:cs="Calibri"/>
                <w:bCs/>
                <w:color w:val="000000"/>
              </w:rPr>
            </w:pPr>
            <w:r w:rsidRPr="005E4FEC">
              <w:rPr>
                <w:rFonts w:ascii="Calibri" w:hAnsi="Calibri" w:cs="Calibri"/>
                <w:bCs/>
                <w:color w:val="000000"/>
              </w:rPr>
              <w:t>3.1 Causas y consecuencias de la aparición de sectores marginales en el antiguo Israel: pobres, mujeres y extranjeros</w:t>
            </w:r>
          </w:p>
          <w:p w14:paraId="42E09D65" w14:textId="77777777" w:rsidR="005E4FEC" w:rsidRPr="005E4FEC" w:rsidRDefault="005E4FEC" w:rsidP="005E4FEC">
            <w:pPr>
              <w:rPr>
                <w:rFonts w:ascii="Calibri" w:hAnsi="Calibri" w:cs="Calibri"/>
                <w:color w:val="000000"/>
              </w:rPr>
            </w:pPr>
          </w:p>
        </w:tc>
        <w:tc>
          <w:tcPr>
            <w:tcW w:w="3121" w:type="dxa"/>
          </w:tcPr>
          <w:p w14:paraId="3E0305FB"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1509434E" w14:textId="77777777" w:rsidR="005E4FEC" w:rsidRPr="005E4FEC" w:rsidRDefault="005E4FEC" w:rsidP="005E4FEC">
            <w:pPr>
              <w:rPr>
                <w:rFonts w:ascii="Calibri" w:hAnsi="Calibri" w:cs="Calibri"/>
                <w:color w:val="000000"/>
              </w:rPr>
            </w:pPr>
          </w:p>
          <w:p w14:paraId="1F67C800" w14:textId="77777777" w:rsidR="005E4FEC" w:rsidRPr="005E4FEC" w:rsidRDefault="005E4FEC" w:rsidP="005E4FEC">
            <w:pPr>
              <w:rPr>
                <w:rFonts w:ascii="Calibri" w:hAnsi="Calibri" w:cs="Calibri"/>
                <w:color w:val="000000"/>
              </w:rPr>
            </w:pPr>
            <w:r w:rsidRPr="005E4FEC">
              <w:rPr>
                <w:rFonts w:ascii="Calibri" w:hAnsi="Calibri" w:cs="Calibri"/>
                <w:color w:val="000000"/>
              </w:rPr>
              <w:t xml:space="preserve">Kessler, Reiner. </w:t>
            </w:r>
            <w:r w:rsidRPr="005E4FEC">
              <w:rPr>
                <w:rFonts w:ascii="Calibri" w:hAnsi="Calibri"/>
                <w:lang w:val="es-CR"/>
              </w:rPr>
              <w:t xml:space="preserve">“La formación de una antigua sociedad de clases”. En </w:t>
            </w:r>
            <w:r w:rsidRPr="005E4FEC">
              <w:rPr>
                <w:rFonts w:ascii="Calibri" w:hAnsi="Calibri" w:cs="Calibri"/>
                <w:i/>
                <w:color w:val="000000"/>
              </w:rPr>
              <w:t>Historia social del antiguo Israel</w:t>
            </w:r>
            <w:r w:rsidRPr="005E4FEC">
              <w:rPr>
                <w:rFonts w:ascii="Calibri" w:hAnsi="Calibri" w:cs="Calibri"/>
                <w:iCs/>
                <w:color w:val="000000"/>
              </w:rPr>
              <w:t>, 165-183</w:t>
            </w:r>
            <w:r w:rsidRPr="005E4FEC">
              <w:rPr>
                <w:rFonts w:ascii="Calibri" w:hAnsi="Calibri" w:cs="Calibri"/>
                <w:i/>
                <w:color w:val="000000"/>
              </w:rPr>
              <w:t xml:space="preserve">. </w:t>
            </w:r>
            <w:r w:rsidRPr="005E4FEC">
              <w:rPr>
                <w:rFonts w:ascii="Calibri" w:hAnsi="Calibri" w:cs="Calibri"/>
                <w:color w:val="000000"/>
              </w:rPr>
              <w:t xml:space="preserve">Salamanca: Sígueme, 2013. </w:t>
            </w:r>
            <w:r w:rsidRPr="005E4FEC">
              <w:rPr>
                <w:rFonts w:ascii="Calibri" w:hAnsi="Calibri" w:cs="Calibri"/>
                <w:color w:val="0070C0"/>
              </w:rPr>
              <w:t>(clásico, última edición)</w:t>
            </w:r>
          </w:p>
          <w:p w14:paraId="6B707878" w14:textId="77777777" w:rsidR="005E4FEC" w:rsidRPr="005E4FEC" w:rsidRDefault="005E4FEC" w:rsidP="005E4FEC">
            <w:pPr>
              <w:rPr>
                <w:rFonts w:ascii="Calibri" w:hAnsi="Calibri" w:cs="Calibri"/>
                <w:color w:val="000000"/>
              </w:rPr>
            </w:pPr>
          </w:p>
          <w:p w14:paraId="54CA96F1" w14:textId="77777777" w:rsidR="005E4FEC" w:rsidRPr="005E4FEC" w:rsidRDefault="005E4FEC" w:rsidP="005E4FEC">
            <w:pPr>
              <w:rPr>
                <w:rFonts w:ascii="Calibri" w:hAnsi="Calibri" w:cs="Calibri"/>
                <w:b/>
                <w:bCs/>
                <w:color w:val="0070C0"/>
              </w:rPr>
            </w:pPr>
            <w:r w:rsidRPr="005E4FEC">
              <w:rPr>
                <w:rFonts w:ascii="Calibri" w:hAnsi="Calibri" w:cs="Calibri"/>
                <w:b/>
                <w:bCs/>
                <w:color w:val="0070C0"/>
              </w:rPr>
              <w:t>Material complementario</w:t>
            </w:r>
          </w:p>
          <w:p w14:paraId="7B0D856C" w14:textId="77777777" w:rsidR="005E4FEC" w:rsidRPr="005E4FEC" w:rsidRDefault="005E4FEC" w:rsidP="005E4FEC">
            <w:pPr>
              <w:rPr>
                <w:rFonts w:ascii="Calibri" w:hAnsi="Calibri" w:cs="Calibri"/>
                <w:b/>
                <w:bCs/>
                <w:color w:val="0070C0"/>
              </w:rPr>
            </w:pPr>
          </w:p>
          <w:p w14:paraId="50C47353" w14:textId="77777777" w:rsidR="005E4FEC" w:rsidRPr="005E4FEC" w:rsidRDefault="005E4FEC" w:rsidP="005E4FEC">
            <w:pPr>
              <w:rPr>
                <w:rFonts w:ascii="Calibri" w:hAnsi="Calibri" w:cs="Calibri"/>
                <w:color w:val="0070C0"/>
              </w:rPr>
            </w:pPr>
            <w:r w:rsidRPr="005E4FEC">
              <w:rPr>
                <w:rFonts w:ascii="Calibri" w:hAnsi="Calibri" w:cs="Calibri"/>
                <w:color w:val="0070C0"/>
              </w:rPr>
              <w:t>Guía para la participación en un foro en la plataforma Moodle</w:t>
            </w:r>
          </w:p>
          <w:p w14:paraId="1B8910FE" w14:textId="77777777" w:rsidR="005E4FEC" w:rsidRPr="005E4FEC" w:rsidRDefault="005E4FEC" w:rsidP="005E4FEC">
            <w:pPr>
              <w:rPr>
                <w:rFonts w:ascii="Calibri" w:hAnsi="Calibri" w:cs="Calibri"/>
                <w:color w:val="0070C0"/>
              </w:rPr>
            </w:pPr>
          </w:p>
          <w:p w14:paraId="745DB1F1" w14:textId="77777777" w:rsidR="005E4FEC" w:rsidRPr="005E4FEC" w:rsidRDefault="005E4FEC" w:rsidP="005E4FEC">
            <w:pPr>
              <w:rPr>
                <w:rFonts w:ascii="Calibri" w:hAnsi="Calibri" w:cs="Calibri"/>
                <w:color w:val="0070C0"/>
              </w:rPr>
            </w:pPr>
            <w:r w:rsidRPr="005E4FEC">
              <w:rPr>
                <w:rFonts w:ascii="Calibri" w:hAnsi="Calibri" w:cs="Calibri"/>
                <w:color w:val="0070C0"/>
              </w:rPr>
              <w:t>Guía para la elaboración de una monografía</w:t>
            </w:r>
          </w:p>
          <w:p w14:paraId="49806A4E" w14:textId="77777777" w:rsidR="005E4FEC" w:rsidRPr="005E4FEC" w:rsidRDefault="005E4FEC" w:rsidP="005E4FEC">
            <w:pPr>
              <w:rPr>
                <w:rFonts w:ascii="Calibri" w:hAnsi="Calibri" w:cs="Calibri"/>
                <w:color w:val="000000"/>
              </w:rPr>
            </w:pPr>
          </w:p>
        </w:tc>
        <w:tc>
          <w:tcPr>
            <w:tcW w:w="3260" w:type="dxa"/>
          </w:tcPr>
          <w:p w14:paraId="5E7B00A2" w14:textId="77777777" w:rsidR="005E4FEC" w:rsidRPr="005E4FEC" w:rsidRDefault="005E4FEC" w:rsidP="005E4FEC">
            <w:pPr>
              <w:numPr>
                <w:ilvl w:val="0"/>
                <w:numId w:val="251"/>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Realizar la lectura de la sesión.</w:t>
            </w:r>
          </w:p>
          <w:p w14:paraId="2FD43FF0" w14:textId="77777777" w:rsidR="005E4FEC" w:rsidRPr="005E4FEC" w:rsidRDefault="005E4FEC" w:rsidP="005E4FEC">
            <w:pPr>
              <w:numPr>
                <w:ilvl w:val="0"/>
                <w:numId w:val="251"/>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Participación en el foro temático: Las causas de la marginación social en el antiguo Israel.</w:t>
            </w:r>
          </w:p>
          <w:p w14:paraId="7CA5A20A" w14:textId="77777777" w:rsidR="005E4FEC" w:rsidRPr="005E4FEC" w:rsidRDefault="005E4FEC" w:rsidP="005E4FEC">
            <w:pPr>
              <w:numPr>
                <w:ilvl w:val="0"/>
                <w:numId w:val="251"/>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Entregar un avance de la monografía final.</w:t>
            </w:r>
          </w:p>
        </w:tc>
      </w:tr>
      <w:tr w:rsidR="005E4FEC" w:rsidRPr="005E4FEC" w14:paraId="23B64088" w14:textId="77777777" w:rsidTr="00104785">
        <w:trPr>
          <w:jc w:val="center"/>
        </w:trPr>
        <w:tc>
          <w:tcPr>
            <w:tcW w:w="1144" w:type="dxa"/>
          </w:tcPr>
          <w:p w14:paraId="1C0DCBC3" w14:textId="77777777" w:rsidR="005E4FEC" w:rsidRPr="005E4FEC" w:rsidRDefault="005E4FEC" w:rsidP="005E4FEC">
            <w:pPr>
              <w:jc w:val="center"/>
              <w:rPr>
                <w:rFonts w:ascii="Calibri" w:hAnsi="Calibri" w:cs="Calibri"/>
                <w:color w:val="000000"/>
              </w:rPr>
            </w:pPr>
          </w:p>
          <w:p w14:paraId="584EC6E3"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10</w:t>
            </w:r>
          </w:p>
        </w:tc>
        <w:tc>
          <w:tcPr>
            <w:tcW w:w="2109" w:type="dxa"/>
          </w:tcPr>
          <w:p w14:paraId="6130E481"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Unidad 3: Movimientos sociales en el antiguo Israel</w:t>
            </w:r>
          </w:p>
          <w:p w14:paraId="2BBB143D" w14:textId="77777777" w:rsidR="005E4FEC" w:rsidRPr="005E4FEC" w:rsidRDefault="005E4FEC" w:rsidP="005E4FEC">
            <w:pPr>
              <w:rPr>
                <w:rFonts w:ascii="Calibri" w:hAnsi="Calibri" w:cs="Calibri"/>
                <w:b/>
                <w:bCs/>
                <w:color w:val="000000"/>
              </w:rPr>
            </w:pPr>
          </w:p>
          <w:p w14:paraId="430426CD" w14:textId="77777777" w:rsidR="005E4FEC" w:rsidRPr="005E4FEC" w:rsidRDefault="005E4FEC" w:rsidP="005E4FEC">
            <w:pPr>
              <w:rPr>
                <w:rFonts w:ascii="Calibri" w:hAnsi="Calibri" w:cs="Calibri"/>
                <w:bCs/>
                <w:color w:val="000000"/>
              </w:rPr>
            </w:pPr>
            <w:r w:rsidRPr="005E4FEC">
              <w:rPr>
                <w:rFonts w:ascii="Calibri" w:hAnsi="Calibri" w:cs="Calibri"/>
                <w:bCs/>
                <w:color w:val="000000"/>
              </w:rPr>
              <w:t>3.1 Causas y consecuencias de la aparición de sectores marginales en el antiguo Israel: pobres, mujeres y extranjeros</w:t>
            </w:r>
          </w:p>
          <w:p w14:paraId="11515A9F" w14:textId="77777777" w:rsidR="005E4FEC" w:rsidRPr="005E4FEC" w:rsidRDefault="005E4FEC" w:rsidP="005E4FEC">
            <w:pPr>
              <w:rPr>
                <w:rFonts w:ascii="Calibri" w:hAnsi="Calibri" w:cs="Calibri"/>
                <w:color w:val="000000"/>
              </w:rPr>
            </w:pPr>
          </w:p>
        </w:tc>
        <w:tc>
          <w:tcPr>
            <w:tcW w:w="3121" w:type="dxa"/>
          </w:tcPr>
          <w:p w14:paraId="790E388F"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319CCBFF" w14:textId="77777777" w:rsidR="005E4FEC" w:rsidRPr="005E4FEC" w:rsidRDefault="005E4FEC" w:rsidP="005E4FEC">
            <w:pPr>
              <w:rPr>
                <w:rFonts w:ascii="Calibri" w:hAnsi="Calibri" w:cs="Calibri"/>
                <w:color w:val="000000"/>
              </w:rPr>
            </w:pPr>
          </w:p>
          <w:p w14:paraId="674ACDD3" w14:textId="77777777" w:rsidR="005E4FEC" w:rsidRPr="005E4FEC" w:rsidRDefault="005E4FEC" w:rsidP="005E4FEC">
            <w:pPr>
              <w:rPr>
                <w:rFonts w:ascii="Calibri" w:hAnsi="Calibri" w:cs="Calibri"/>
                <w:color w:val="000000"/>
              </w:rPr>
            </w:pPr>
            <w:r w:rsidRPr="005E4FEC">
              <w:rPr>
                <w:rFonts w:ascii="Calibri" w:hAnsi="Calibri" w:cs="Calibri"/>
                <w:color w:val="000000"/>
              </w:rPr>
              <w:t xml:space="preserve">Ramírez Kidd, José Enrique. “La experiencia de Dios desde la mujer: Rut”, “El extranjero en el Antiguo Testamento”, “Viudas y huérfanos en el Antiguo Testamento”. En </w:t>
            </w:r>
            <w:r w:rsidRPr="005E4FEC">
              <w:rPr>
                <w:rFonts w:ascii="Calibri" w:hAnsi="Calibri" w:cs="Calibri"/>
                <w:i/>
                <w:color w:val="000000"/>
              </w:rPr>
              <w:t>El extranjero, la viuda y el huérfano en el Antiguo Testamento</w:t>
            </w:r>
            <w:r w:rsidRPr="005E4FEC">
              <w:rPr>
                <w:rFonts w:ascii="Calibri" w:hAnsi="Calibri" w:cs="Calibri"/>
                <w:iCs/>
                <w:color w:val="000000"/>
              </w:rPr>
              <w:t>, 13-85</w:t>
            </w:r>
            <w:r w:rsidRPr="005E4FEC">
              <w:rPr>
                <w:rFonts w:ascii="Calibri" w:hAnsi="Calibri" w:cs="Calibri"/>
                <w:i/>
                <w:color w:val="000000"/>
              </w:rPr>
              <w:t xml:space="preserve">. </w:t>
            </w:r>
            <w:r w:rsidRPr="005E4FEC">
              <w:rPr>
                <w:rFonts w:ascii="Calibri" w:hAnsi="Calibri" w:cs="Calibri"/>
                <w:color w:val="000000"/>
              </w:rPr>
              <w:t xml:space="preserve">San José: Editorial SEBILA, 2003. </w:t>
            </w:r>
            <w:r w:rsidRPr="005E4FEC">
              <w:rPr>
                <w:rFonts w:ascii="Calibri" w:hAnsi="Calibri" w:cs="Calibri"/>
                <w:color w:val="0070C0"/>
              </w:rPr>
              <w:t>(clásico, última edición)</w:t>
            </w:r>
          </w:p>
          <w:p w14:paraId="3BC70FD7" w14:textId="77777777" w:rsidR="005E4FEC" w:rsidRPr="005E4FEC" w:rsidRDefault="005E4FEC" w:rsidP="005E4FEC">
            <w:pPr>
              <w:rPr>
                <w:rFonts w:ascii="Calibri" w:hAnsi="Calibri" w:cs="Calibri"/>
                <w:color w:val="000000"/>
              </w:rPr>
            </w:pPr>
          </w:p>
          <w:p w14:paraId="5EB76C11" w14:textId="77777777" w:rsidR="005E4FEC" w:rsidRPr="005E4FEC" w:rsidRDefault="005E4FEC" w:rsidP="005E4FEC">
            <w:pPr>
              <w:rPr>
                <w:rFonts w:ascii="Calibri" w:hAnsi="Calibri" w:cs="Calibri"/>
                <w:b/>
                <w:bCs/>
                <w:color w:val="0070C0"/>
              </w:rPr>
            </w:pPr>
            <w:r w:rsidRPr="005E4FEC">
              <w:rPr>
                <w:rFonts w:ascii="Calibri" w:hAnsi="Calibri" w:cs="Calibri"/>
                <w:b/>
                <w:bCs/>
                <w:color w:val="0070C0"/>
              </w:rPr>
              <w:t>Material complementario</w:t>
            </w:r>
          </w:p>
          <w:p w14:paraId="3DB9B486" w14:textId="77777777" w:rsidR="005E4FEC" w:rsidRPr="005E4FEC" w:rsidRDefault="005E4FEC" w:rsidP="005E4FEC">
            <w:pPr>
              <w:rPr>
                <w:rFonts w:ascii="Calibri" w:hAnsi="Calibri" w:cs="Calibri"/>
                <w:b/>
                <w:bCs/>
                <w:color w:val="0070C0"/>
              </w:rPr>
            </w:pPr>
          </w:p>
          <w:p w14:paraId="184F452F" w14:textId="77777777" w:rsidR="005E4FEC" w:rsidRPr="005E4FEC" w:rsidRDefault="005E4FEC" w:rsidP="005E4FEC">
            <w:pPr>
              <w:rPr>
                <w:rFonts w:ascii="Calibri" w:hAnsi="Calibri" w:cs="Calibri"/>
                <w:color w:val="0070C0"/>
              </w:rPr>
            </w:pPr>
            <w:r w:rsidRPr="005E4FEC">
              <w:rPr>
                <w:rFonts w:ascii="Calibri" w:hAnsi="Calibri" w:cs="Calibri"/>
                <w:color w:val="0070C0"/>
              </w:rPr>
              <w:t xml:space="preserve">Guía para la participación mediante la herramienta Big Blue </w:t>
            </w:r>
            <w:proofErr w:type="spellStart"/>
            <w:r w:rsidRPr="005E4FEC">
              <w:rPr>
                <w:rFonts w:ascii="Calibri" w:hAnsi="Calibri" w:cs="Calibri"/>
                <w:color w:val="0070C0"/>
              </w:rPr>
              <w:t>Button</w:t>
            </w:r>
            <w:proofErr w:type="spellEnd"/>
            <w:r w:rsidRPr="005E4FEC">
              <w:rPr>
                <w:rFonts w:ascii="Calibri" w:hAnsi="Calibri" w:cs="Calibri"/>
                <w:color w:val="0070C0"/>
              </w:rPr>
              <w:t xml:space="preserve"> en la plataforma Moodle</w:t>
            </w:r>
          </w:p>
          <w:p w14:paraId="341DE102" w14:textId="77777777" w:rsidR="005E4FEC" w:rsidRPr="005E4FEC" w:rsidRDefault="005E4FEC" w:rsidP="005E4FEC">
            <w:pPr>
              <w:rPr>
                <w:rFonts w:ascii="Calibri" w:hAnsi="Calibri" w:cs="Calibri"/>
                <w:color w:val="000000"/>
              </w:rPr>
            </w:pPr>
          </w:p>
        </w:tc>
        <w:tc>
          <w:tcPr>
            <w:tcW w:w="3260" w:type="dxa"/>
          </w:tcPr>
          <w:p w14:paraId="794DE7C2"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Realizar la lectura de la sesión.</w:t>
            </w:r>
          </w:p>
          <w:p w14:paraId="3CC0FC1B"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Presentación grupal en un encuentro sincrónico virtual.</w:t>
            </w:r>
          </w:p>
          <w:p w14:paraId="529470BF" w14:textId="77777777" w:rsidR="005E4FEC" w:rsidRPr="005E4FEC" w:rsidRDefault="005E4FEC" w:rsidP="005E4FEC">
            <w:pPr>
              <w:numPr>
                <w:ilvl w:val="0"/>
                <w:numId w:val="250"/>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Continuar con la elaboración de la monografía final.</w:t>
            </w:r>
          </w:p>
        </w:tc>
      </w:tr>
      <w:tr w:rsidR="005E4FEC" w:rsidRPr="005E4FEC" w14:paraId="1E505462" w14:textId="77777777" w:rsidTr="00104785">
        <w:trPr>
          <w:jc w:val="center"/>
        </w:trPr>
        <w:tc>
          <w:tcPr>
            <w:tcW w:w="1144" w:type="dxa"/>
          </w:tcPr>
          <w:p w14:paraId="21D65F86" w14:textId="77777777" w:rsidR="005E4FEC" w:rsidRPr="005E4FEC" w:rsidRDefault="005E4FEC" w:rsidP="005E4FEC">
            <w:pPr>
              <w:jc w:val="center"/>
              <w:rPr>
                <w:rFonts w:ascii="Calibri" w:hAnsi="Calibri" w:cs="Calibri"/>
                <w:color w:val="000000"/>
              </w:rPr>
            </w:pPr>
          </w:p>
          <w:p w14:paraId="381B6169"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11</w:t>
            </w:r>
          </w:p>
        </w:tc>
        <w:tc>
          <w:tcPr>
            <w:tcW w:w="2109" w:type="dxa"/>
          </w:tcPr>
          <w:p w14:paraId="0D74C8CC"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Unidad 3: Movimientos sociales en el antiguo Israel</w:t>
            </w:r>
          </w:p>
          <w:p w14:paraId="5447F0CE" w14:textId="77777777" w:rsidR="005E4FEC" w:rsidRPr="005E4FEC" w:rsidRDefault="005E4FEC" w:rsidP="005E4FEC">
            <w:pPr>
              <w:rPr>
                <w:rFonts w:ascii="Calibri" w:hAnsi="Calibri" w:cs="Calibri"/>
                <w:color w:val="000000"/>
              </w:rPr>
            </w:pPr>
          </w:p>
          <w:p w14:paraId="66EDFF9A" w14:textId="77777777" w:rsidR="005E4FEC" w:rsidRPr="005E4FEC" w:rsidRDefault="005E4FEC" w:rsidP="005E4FEC">
            <w:pPr>
              <w:rPr>
                <w:rFonts w:ascii="Calibri" w:hAnsi="Calibri" w:cs="Calibri"/>
                <w:bCs/>
                <w:color w:val="000000"/>
              </w:rPr>
            </w:pPr>
            <w:r w:rsidRPr="005E4FEC">
              <w:rPr>
                <w:rFonts w:ascii="Calibri" w:hAnsi="Calibri" w:cs="Calibri"/>
                <w:bCs/>
                <w:color w:val="000000"/>
              </w:rPr>
              <w:t>3.2 Grupos político-religiosos que conformaron el antiguo Israel</w:t>
            </w:r>
          </w:p>
          <w:p w14:paraId="53739EF2" w14:textId="77777777" w:rsidR="005E4FEC" w:rsidRPr="005E4FEC" w:rsidRDefault="005E4FEC" w:rsidP="005E4FEC">
            <w:pPr>
              <w:rPr>
                <w:rFonts w:ascii="Calibri" w:hAnsi="Calibri" w:cs="Calibri"/>
                <w:color w:val="000000"/>
              </w:rPr>
            </w:pPr>
          </w:p>
        </w:tc>
        <w:tc>
          <w:tcPr>
            <w:tcW w:w="3121" w:type="dxa"/>
          </w:tcPr>
          <w:p w14:paraId="15A58840"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0A68CD07" w14:textId="77777777" w:rsidR="005E4FEC" w:rsidRPr="005E4FEC" w:rsidRDefault="005E4FEC" w:rsidP="005E4FEC">
            <w:pPr>
              <w:rPr>
                <w:rFonts w:ascii="Calibri" w:hAnsi="Calibri" w:cs="Calibri"/>
                <w:color w:val="000000"/>
              </w:rPr>
            </w:pPr>
          </w:p>
          <w:p w14:paraId="718E4DD9" w14:textId="77777777" w:rsidR="005E4FEC" w:rsidRPr="005E4FEC" w:rsidRDefault="005E4FEC" w:rsidP="005E4FEC">
            <w:pPr>
              <w:rPr>
                <w:rFonts w:ascii="Calibri" w:hAnsi="Calibri" w:cs="Calibri"/>
                <w:color w:val="000000"/>
              </w:rPr>
            </w:pPr>
            <w:r w:rsidRPr="005E4FEC">
              <w:rPr>
                <w:rFonts w:ascii="Calibri" w:hAnsi="Calibri" w:cs="Calibri"/>
                <w:color w:val="000000"/>
              </w:rPr>
              <w:t xml:space="preserve">Smith, Morton. “Partidos político-religiosos que conformaron el Antiguo Testamento”. </w:t>
            </w:r>
            <w:r w:rsidRPr="005E4FEC">
              <w:rPr>
                <w:rFonts w:ascii="Calibri" w:hAnsi="Calibri" w:cs="Calibri"/>
                <w:i/>
                <w:color w:val="000000"/>
              </w:rPr>
              <w:t>Aportes Bíblicos</w:t>
            </w:r>
            <w:r w:rsidRPr="005E4FEC">
              <w:rPr>
                <w:rFonts w:ascii="Calibri" w:hAnsi="Calibri" w:cs="Calibri"/>
                <w:iCs/>
                <w:color w:val="000000"/>
              </w:rPr>
              <w:t>, n.º</w:t>
            </w:r>
            <w:r w:rsidRPr="005E4FEC">
              <w:rPr>
                <w:rFonts w:ascii="Calibri" w:hAnsi="Calibri" w:cs="Calibri"/>
                <w:i/>
                <w:color w:val="000000"/>
              </w:rPr>
              <w:t xml:space="preserve"> </w:t>
            </w:r>
            <w:r w:rsidRPr="005E4FEC">
              <w:rPr>
                <w:rFonts w:ascii="Calibri" w:hAnsi="Calibri" w:cs="Calibri"/>
                <w:color w:val="000000"/>
              </w:rPr>
              <w:t>4 (2007): 42-62.</w:t>
            </w:r>
          </w:p>
          <w:p w14:paraId="7B4D6288" w14:textId="77777777" w:rsidR="005E4FEC" w:rsidRPr="005E4FEC" w:rsidRDefault="005E4FEC" w:rsidP="005E4FEC">
            <w:pPr>
              <w:rPr>
                <w:rFonts w:ascii="Calibri" w:hAnsi="Calibri" w:cs="Calibri"/>
                <w:color w:val="000000"/>
              </w:rPr>
            </w:pPr>
          </w:p>
          <w:p w14:paraId="62CA0067"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Material complementario</w:t>
            </w:r>
          </w:p>
          <w:p w14:paraId="7A7E5923" w14:textId="77777777" w:rsidR="005E4FEC" w:rsidRPr="005E4FEC" w:rsidRDefault="005E4FEC" w:rsidP="005E4FEC">
            <w:pPr>
              <w:rPr>
                <w:rFonts w:ascii="Calibri" w:hAnsi="Calibri" w:cs="Calibri"/>
                <w:b/>
                <w:bCs/>
                <w:color w:val="000000"/>
              </w:rPr>
            </w:pPr>
          </w:p>
          <w:p w14:paraId="5C2E9F3B" w14:textId="77777777" w:rsidR="005E4FEC" w:rsidRPr="005E4FEC" w:rsidRDefault="005E4FEC" w:rsidP="005E4FEC">
            <w:pPr>
              <w:rPr>
                <w:rFonts w:ascii="Calibri" w:hAnsi="Calibri" w:cs="Calibri"/>
                <w:color w:val="0563C1"/>
                <w:u w:val="single"/>
                <w:lang w:val="es-CR"/>
              </w:rPr>
            </w:pPr>
            <w:r w:rsidRPr="005E4FEC">
              <w:rPr>
                <w:rFonts w:ascii="Calibri" w:hAnsi="Calibri" w:cs="Calibri"/>
              </w:rPr>
              <w:t xml:space="preserve">García López, Félix. “Teología política en el Deuteronomio. </w:t>
            </w:r>
            <w:r w:rsidRPr="005E4FEC">
              <w:rPr>
                <w:rFonts w:ascii="Calibri" w:hAnsi="Calibri" w:cs="Calibri"/>
                <w:lang w:val="es-CR"/>
              </w:rPr>
              <w:t xml:space="preserve">¿Existe un punto </w:t>
            </w:r>
            <w:proofErr w:type="spellStart"/>
            <w:r w:rsidRPr="005E4FEC">
              <w:rPr>
                <w:rFonts w:ascii="Calibri" w:hAnsi="Calibri" w:cs="Calibri"/>
                <w:lang w:val="es-CR"/>
              </w:rPr>
              <w:t>arquimédico</w:t>
            </w:r>
            <w:proofErr w:type="spellEnd"/>
            <w:r w:rsidRPr="005E4FEC">
              <w:rPr>
                <w:rFonts w:ascii="Calibri" w:hAnsi="Calibri" w:cs="Calibri"/>
                <w:lang w:val="es-CR"/>
              </w:rPr>
              <w:t xml:space="preserve"> en la crítica del Pentateuco?”. </w:t>
            </w:r>
            <w:proofErr w:type="spellStart"/>
            <w:r w:rsidRPr="005E4FEC">
              <w:rPr>
                <w:rFonts w:ascii="Calibri" w:hAnsi="Calibri" w:cs="Calibri"/>
                <w:i/>
                <w:iCs/>
                <w:lang w:val="es-CR"/>
              </w:rPr>
              <w:t>Salmanticensis</w:t>
            </w:r>
            <w:proofErr w:type="spellEnd"/>
            <w:r w:rsidRPr="005E4FEC">
              <w:rPr>
                <w:rFonts w:ascii="Calibri" w:hAnsi="Calibri" w:cs="Calibri"/>
                <w:lang w:val="es-CR"/>
              </w:rPr>
              <w:t xml:space="preserve">, n. 61 (2014): 25-38. Acceso el 28 de octubre de 2022. </w:t>
            </w:r>
            <w:proofErr w:type="spellStart"/>
            <w:r w:rsidRPr="005E4FEC">
              <w:rPr>
                <w:rFonts w:ascii="Calibri" w:hAnsi="Calibri" w:cs="Calibri"/>
                <w:lang w:val="es-CR"/>
              </w:rPr>
              <w:t>Doi</w:t>
            </w:r>
            <w:proofErr w:type="spellEnd"/>
            <w:r w:rsidRPr="005E4FEC">
              <w:rPr>
                <w:rFonts w:ascii="Calibri" w:hAnsi="Calibri" w:cs="Calibri"/>
                <w:lang w:val="es-CR"/>
              </w:rPr>
              <w:t xml:space="preserve">: </w:t>
            </w:r>
            <w:hyperlink r:id="rId391" w:history="1">
              <w:r w:rsidRPr="005E4FEC">
                <w:rPr>
                  <w:rFonts w:ascii="Calibri" w:hAnsi="Calibri" w:cs="Calibri"/>
                  <w:color w:val="0563C1"/>
                  <w:u w:val="single"/>
                  <w:lang w:val="es-CR"/>
                </w:rPr>
                <w:t>https://doi.org/10.36576/summa.33295</w:t>
              </w:r>
            </w:hyperlink>
          </w:p>
          <w:p w14:paraId="039F7CAB" w14:textId="77777777" w:rsidR="005E4FEC" w:rsidRPr="005E4FEC" w:rsidRDefault="005E4FEC" w:rsidP="005E4FEC">
            <w:pPr>
              <w:rPr>
                <w:rFonts w:ascii="Calibri" w:hAnsi="Calibri" w:cs="Calibri"/>
                <w:color w:val="0563C1"/>
                <w:u w:val="single"/>
                <w:lang w:val="es-CR"/>
              </w:rPr>
            </w:pPr>
          </w:p>
          <w:p w14:paraId="187E649F" w14:textId="77777777" w:rsidR="005E4FEC" w:rsidRPr="005E4FEC" w:rsidRDefault="005E4FEC" w:rsidP="005E4FEC">
            <w:pPr>
              <w:rPr>
                <w:rFonts w:ascii="Calibri" w:hAnsi="Calibri" w:cs="Calibri"/>
                <w:color w:val="0070C0"/>
                <w:lang w:val="es-CR"/>
              </w:rPr>
            </w:pPr>
            <w:r w:rsidRPr="005E4FEC">
              <w:rPr>
                <w:rFonts w:ascii="Calibri" w:hAnsi="Calibri" w:cs="Calibri"/>
                <w:color w:val="0070C0"/>
                <w:lang w:val="es-CR"/>
              </w:rPr>
              <w:t>Guía para la elaboración de una reseña crítica de lectura</w:t>
            </w:r>
          </w:p>
          <w:p w14:paraId="43E6D997" w14:textId="77777777" w:rsidR="005E4FEC" w:rsidRPr="005E4FEC" w:rsidRDefault="005E4FEC" w:rsidP="005E4FEC">
            <w:pPr>
              <w:rPr>
                <w:rFonts w:ascii="Calibri" w:hAnsi="Calibri" w:cs="Calibri"/>
                <w:color w:val="000000"/>
              </w:rPr>
            </w:pPr>
          </w:p>
        </w:tc>
        <w:tc>
          <w:tcPr>
            <w:tcW w:w="3260" w:type="dxa"/>
          </w:tcPr>
          <w:p w14:paraId="0A3647AE" w14:textId="77777777" w:rsidR="005E4FEC" w:rsidRPr="005E4FEC" w:rsidRDefault="005E4FEC" w:rsidP="005E4FEC">
            <w:pPr>
              <w:numPr>
                <w:ilvl w:val="0"/>
                <w:numId w:val="252"/>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Realizar la lectura de la sesión.</w:t>
            </w:r>
          </w:p>
          <w:p w14:paraId="5F689F2C" w14:textId="77777777" w:rsidR="005E4FEC" w:rsidRPr="005E4FEC" w:rsidRDefault="005E4FEC" w:rsidP="005E4FEC">
            <w:pPr>
              <w:numPr>
                <w:ilvl w:val="0"/>
                <w:numId w:val="252"/>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Elaboración de una reseña crítica de la lectura.</w:t>
            </w:r>
          </w:p>
          <w:p w14:paraId="4BAF4755" w14:textId="77777777" w:rsidR="005E4FEC" w:rsidRPr="005E4FEC" w:rsidRDefault="005E4FEC" w:rsidP="005E4FEC">
            <w:pPr>
              <w:numPr>
                <w:ilvl w:val="0"/>
                <w:numId w:val="252"/>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Continuar con la elaboración de la monografía final.</w:t>
            </w:r>
          </w:p>
        </w:tc>
      </w:tr>
      <w:tr w:rsidR="005E4FEC" w:rsidRPr="005E4FEC" w14:paraId="3CB7BF01" w14:textId="77777777" w:rsidTr="00104785">
        <w:trPr>
          <w:jc w:val="center"/>
        </w:trPr>
        <w:tc>
          <w:tcPr>
            <w:tcW w:w="1144" w:type="dxa"/>
          </w:tcPr>
          <w:p w14:paraId="0AC1F88A" w14:textId="77777777" w:rsidR="005E4FEC" w:rsidRPr="005E4FEC" w:rsidRDefault="005E4FEC" w:rsidP="005E4FEC">
            <w:pPr>
              <w:jc w:val="center"/>
              <w:rPr>
                <w:rFonts w:ascii="Calibri" w:hAnsi="Calibri" w:cs="Calibri"/>
                <w:color w:val="000000"/>
              </w:rPr>
            </w:pPr>
          </w:p>
          <w:p w14:paraId="4E687DCE"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12</w:t>
            </w:r>
          </w:p>
        </w:tc>
        <w:tc>
          <w:tcPr>
            <w:tcW w:w="2109" w:type="dxa"/>
          </w:tcPr>
          <w:p w14:paraId="19AF201B"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Unidad 4: Expresiones socio-religiosas de la sociedad en el antiguo Israel</w:t>
            </w:r>
          </w:p>
          <w:p w14:paraId="6E6F5E3C" w14:textId="77777777" w:rsidR="005E4FEC" w:rsidRPr="005E4FEC" w:rsidRDefault="005E4FEC" w:rsidP="005E4FEC">
            <w:pPr>
              <w:rPr>
                <w:rFonts w:ascii="Calibri" w:hAnsi="Calibri" w:cs="Calibri"/>
                <w:b/>
                <w:bCs/>
                <w:color w:val="000000"/>
              </w:rPr>
            </w:pPr>
          </w:p>
          <w:p w14:paraId="417F0701" w14:textId="77777777" w:rsidR="005E4FEC" w:rsidRPr="005E4FEC" w:rsidRDefault="005E4FEC" w:rsidP="005E4FEC">
            <w:pPr>
              <w:rPr>
                <w:rFonts w:ascii="Calibri" w:hAnsi="Calibri" w:cs="Calibri"/>
                <w:bCs/>
                <w:color w:val="000000"/>
              </w:rPr>
            </w:pPr>
            <w:r w:rsidRPr="005E4FEC">
              <w:rPr>
                <w:rFonts w:ascii="Calibri" w:hAnsi="Calibri" w:cs="Calibri"/>
                <w:bCs/>
                <w:color w:val="000000"/>
              </w:rPr>
              <w:t>4.1 Formas de la religiosidad popular en el antiguo Israel</w:t>
            </w:r>
          </w:p>
          <w:p w14:paraId="413C77B9" w14:textId="77777777" w:rsidR="005E4FEC" w:rsidRPr="005E4FEC" w:rsidRDefault="005E4FEC" w:rsidP="005E4FEC">
            <w:pPr>
              <w:rPr>
                <w:rFonts w:ascii="Calibri" w:hAnsi="Calibri" w:cs="Calibri"/>
                <w:b/>
                <w:bCs/>
                <w:color w:val="000000"/>
              </w:rPr>
            </w:pPr>
          </w:p>
        </w:tc>
        <w:tc>
          <w:tcPr>
            <w:tcW w:w="3121" w:type="dxa"/>
          </w:tcPr>
          <w:p w14:paraId="47C9BD30"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216BB122" w14:textId="77777777" w:rsidR="005E4FEC" w:rsidRPr="005E4FEC" w:rsidRDefault="005E4FEC" w:rsidP="005E4FEC">
            <w:pPr>
              <w:rPr>
                <w:rFonts w:ascii="Calibri" w:hAnsi="Calibri" w:cs="Calibri"/>
                <w:color w:val="000000"/>
              </w:rPr>
            </w:pPr>
          </w:p>
          <w:p w14:paraId="3B771EE6" w14:textId="77777777" w:rsidR="005E4FEC" w:rsidRPr="005E4FEC" w:rsidRDefault="005E4FEC" w:rsidP="005E4FEC">
            <w:pPr>
              <w:rPr>
                <w:rFonts w:ascii="Calibri" w:hAnsi="Calibri" w:cs="Calibri"/>
                <w:color w:val="000000"/>
              </w:rPr>
            </w:pPr>
            <w:r w:rsidRPr="005E4FEC">
              <w:rPr>
                <w:rFonts w:ascii="Calibri" w:hAnsi="Calibri" w:cs="Calibri"/>
                <w:color w:val="000000"/>
              </w:rPr>
              <w:t xml:space="preserve">Cook, Elisabeth. “La cultura religiosa de las mujeres: una mirada desde el antiguo Israel”. </w:t>
            </w:r>
            <w:r w:rsidRPr="005E4FEC">
              <w:rPr>
                <w:rFonts w:ascii="Calibri" w:hAnsi="Calibri" w:cs="Calibri"/>
                <w:i/>
                <w:color w:val="000000"/>
              </w:rPr>
              <w:t>Aportes Bíblicos</w:t>
            </w:r>
            <w:r w:rsidRPr="005E4FEC">
              <w:rPr>
                <w:rFonts w:ascii="Calibri" w:hAnsi="Calibri" w:cs="Calibri"/>
                <w:iCs/>
                <w:color w:val="000000"/>
              </w:rPr>
              <w:t xml:space="preserve">, </w:t>
            </w:r>
            <w:proofErr w:type="spellStart"/>
            <w:r w:rsidRPr="005E4FEC">
              <w:rPr>
                <w:rFonts w:ascii="Calibri" w:hAnsi="Calibri" w:cs="Calibri"/>
                <w:iCs/>
                <w:color w:val="000000"/>
              </w:rPr>
              <w:t>nº</w:t>
            </w:r>
            <w:proofErr w:type="spellEnd"/>
            <w:r w:rsidRPr="005E4FEC">
              <w:rPr>
                <w:rFonts w:ascii="Calibri" w:hAnsi="Calibri" w:cs="Calibri"/>
                <w:i/>
                <w:color w:val="000000"/>
              </w:rPr>
              <w:t xml:space="preserve"> </w:t>
            </w:r>
            <w:r w:rsidRPr="005E4FEC">
              <w:rPr>
                <w:rFonts w:ascii="Calibri" w:hAnsi="Calibri" w:cs="Calibri"/>
                <w:color w:val="000000"/>
              </w:rPr>
              <w:t>14 (2012): 7-46.</w:t>
            </w:r>
          </w:p>
          <w:p w14:paraId="63E92436" w14:textId="77777777" w:rsidR="005E4FEC" w:rsidRPr="005E4FEC" w:rsidRDefault="005E4FEC" w:rsidP="005E4FEC">
            <w:pPr>
              <w:rPr>
                <w:rFonts w:ascii="Calibri" w:hAnsi="Calibri" w:cs="Calibri"/>
                <w:color w:val="000000"/>
              </w:rPr>
            </w:pPr>
          </w:p>
          <w:p w14:paraId="021F107A"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Material complementario</w:t>
            </w:r>
          </w:p>
          <w:p w14:paraId="7CC7B829" w14:textId="77777777" w:rsidR="005E4FEC" w:rsidRPr="005E4FEC" w:rsidRDefault="005E4FEC" w:rsidP="005E4FEC">
            <w:pPr>
              <w:rPr>
                <w:rFonts w:ascii="Calibri" w:hAnsi="Calibri" w:cs="Calibri"/>
                <w:b/>
                <w:bCs/>
                <w:color w:val="000000"/>
              </w:rPr>
            </w:pPr>
          </w:p>
          <w:p w14:paraId="14F104AB" w14:textId="77777777" w:rsidR="005E4FEC" w:rsidRPr="005E4FEC" w:rsidRDefault="005E4FEC" w:rsidP="005E4FEC">
            <w:pPr>
              <w:rPr>
                <w:rFonts w:ascii="Calibri" w:hAnsi="Calibri" w:cs="Calibri"/>
                <w:color w:val="0563C1"/>
                <w:u w:val="single"/>
              </w:rPr>
            </w:pPr>
            <w:r w:rsidRPr="005E4FEC">
              <w:rPr>
                <w:rFonts w:ascii="Calibri" w:hAnsi="Calibri" w:cs="Calibri"/>
              </w:rPr>
              <w:t xml:space="preserve">García, Rodrigo. “Espacio sagrado y Religiosidad Popular: perspectivas veterotestamentarias”. </w:t>
            </w:r>
            <w:r w:rsidRPr="005E4FEC">
              <w:rPr>
                <w:rFonts w:ascii="Calibri" w:hAnsi="Calibri" w:cs="Calibri"/>
                <w:i/>
                <w:iCs/>
              </w:rPr>
              <w:t>Teología y Vida</w:t>
            </w:r>
            <w:r w:rsidRPr="005E4FEC">
              <w:rPr>
                <w:rFonts w:ascii="Calibri" w:hAnsi="Calibri" w:cs="Calibri"/>
              </w:rPr>
              <w:t xml:space="preserve">, n. 2-3 (2003): 310-331. Acceso el 28 de octubre de 2022. </w:t>
            </w:r>
            <w:proofErr w:type="spellStart"/>
            <w:r w:rsidRPr="005E4FEC">
              <w:rPr>
                <w:rFonts w:ascii="Calibri" w:hAnsi="Calibri" w:cs="Calibri"/>
              </w:rPr>
              <w:t>doi</w:t>
            </w:r>
            <w:proofErr w:type="spellEnd"/>
            <w:r w:rsidRPr="005E4FEC">
              <w:rPr>
                <w:rFonts w:ascii="Calibri" w:hAnsi="Calibri" w:cs="Calibri"/>
              </w:rPr>
              <w:t xml:space="preserve">: </w:t>
            </w:r>
            <w:hyperlink r:id="rId392" w:history="1">
              <w:r w:rsidRPr="005E4FEC">
                <w:rPr>
                  <w:rFonts w:ascii="Calibri" w:hAnsi="Calibri" w:cs="Calibri"/>
                  <w:color w:val="0563C1"/>
                  <w:u w:val="single"/>
                </w:rPr>
                <w:t>http://dx.doi.org/10.4067/S0049-34492003000200013</w:t>
              </w:r>
            </w:hyperlink>
          </w:p>
          <w:p w14:paraId="7D4CE3C4" w14:textId="77777777" w:rsidR="005E4FEC" w:rsidRPr="005E4FEC" w:rsidRDefault="005E4FEC" w:rsidP="005E4FEC">
            <w:pPr>
              <w:rPr>
                <w:rFonts w:ascii="Calibri" w:hAnsi="Calibri" w:cs="Calibri"/>
                <w:color w:val="0563C1"/>
                <w:u w:val="single"/>
              </w:rPr>
            </w:pPr>
          </w:p>
          <w:p w14:paraId="09CAD9A2" w14:textId="77777777" w:rsidR="005E4FEC" w:rsidRPr="005E4FEC" w:rsidRDefault="005E4FEC" w:rsidP="005E4FEC">
            <w:pPr>
              <w:rPr>
                <w:rFonts w:ascii="Calibri" w:hAnsi="Calibri" w:cs="Calibri"/>
                <w:color w:val="0563C1"/>
              </w:rPr>
            </w:pPr>
            <w:r w:rsidRPr="005E4FEC">
              <w:rPr>
                <w:rFonts w:ascii="Calibri" w:hAnsi="Calibri" w:cs="Calibri"/>
                <w:color w:val="0563C1"/>
              </w:rPr>
              <w:t>Guía para la participación en un wiki en la plataforma Moodle</w:t>
            </w:r>
          </w:p>
          <w:p w14:paraId="460BC00B" w14:textId="77777777" w:rsidR="005E4FEC" w:rsidRPr="005E4FEC" w:rsidRDefault="005E4FEC" w:rsidP="005E4FEC">
            <w:pPr>
              <w:rPr>
                <w:rFonts w:ascii="Calibri" w:hAnsi="Calibri" w:cs="Calibri"/>
                <w:color w:val="000000"/>
              </w:rPr>
            </w:pPr>
          </w:p>
        </w:tc>
        <w:tc>
          <w:tcPr>
            <w:tcW w:w="3260" w:type="dxa"/>
          </w:tcPr>
          <w:p w14:paraId="4BD33592" w14:textId="77777777" w:rsidR="005E4FEC" w:rsidRPr="005E4FEC" w:rsidRDefault="005E4FEC" w:rsidP="005E4FEC">
            <w:pPr>
              <w:numPr>
                <w:ilvl w:val="0"/>
                <w:numId w:val="253"/>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Realizar la lectura de la sesión.</w:t>
            </w:r>
          </w:p>
          <w:p w14:paraId="00BAF823" w14:textId="77777777" w:rsidR="005E4FEC" w:rsidRPr="005E4FEC" w:rsidRDefault="005E4FEC" w:rsidP="005E4FEC">
            <w:pPr>
              <w:numPr>
                <w:ilvl w:val="0"/>
                <w:numId w:val="253"/>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 xml:space="preserve">Inicio de la elaboración de un wiki sobre la religiosidad popular. </w:t>
            </w:r>
          </w:p>
          <w:p w14:paraId="1FCDFEE1" w14:textId="77777777" w:rsidR="005E4FEC" w:rsidRPr="005E4FEC" w:rsidRDefault="005E4FEC" w:rsidP="005E4FEC">
            <w:pPr>
              <w:numPr>
                <w:ilvl w:val="0"/>
                <w:numId w:val="253"/>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Continuar con la elaboración de la monografía final.</w:t>
            </w:r>
          </w:p>
        </w:tc>
      </w:tr>
      <w:tr w:rsidR="005E4FEC" w:rsidRPr="005E4FEC" w14:paraId="41F608FA" w14:textId="77777777" w:rsidTr="00104785">
        <w:trPr>
          <w:jc w:val="center"/>
        </w:trPr>
        <w:tc>
          <w:tcPr>
            <w:tcW w:w="1144" w:type="dxa"/>
          </w:tcPr>
          <w:p w14:paraId="7027505B" w14:textId="77777777" w:rsidR="005E4FEC" w:rsidRPr="005E4FEC" w:rsidRDefault="005E4FEC" w:rsidP="005E4FEC">
            <w:pPr>
              <w:jc w:val="center"/>
              <w:rPr>
                <w:rFonts w:ascii="Calibri" w:hAnsi="Calibri" w:cs="Calibri"/>
                <w:color w:val="000000"/>
              </w:rPr>
            </w:pPr>
          </w:p>
          <w:p w14:paraId="2F42A40D"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13</w:t>
            </w:r>
          </w:p>
        </w:tc>
        <w:tc>
          <w:tcPr>
            <w:tcW w:w="2109" w:type="dxa"/>
          </w:tcPr>
          <w:p w14:paraId="2A9C5D44"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Unidad 4: Expresiones socio-religiosas de la sociedad en el antiguo Israel</w:t>
            </w:r>
          </w:p>
          <w:p w14:paraId="4BB2CBAD" w14:textId="77777777" w:rsidR="005E4FEC" w:rsidRPr="005E4FEC" w:rsidRDefault="005E4FEC" w:rsidP="005E4FEC">
            <w:pPr>
              <w:rPr>
                <w:rFonts w:ascii="Calibri" w:hAnsi="Calibri" w:cs="Calibri"/>
                <w:b/>
                <w:bCs/>
                <w:color w:val="000000"/>
              </w:rPr>
            </w:pPr>
          </w:p>
          <w:p w14:paraId="253C7AC0" w14:textId="77777777" w:rsidR="005E4FEC" w:rsidRPr="005E4FEC" w:rsidRDefault="005E4FEC" w:rsidP="005E4FEC">
            <w:pPr>
              <w:rPr>
                <w:rFonts w:ascii="Calibri" w:hAnsi="Calibri" w:cs="Calibri"/>
                <w:bCs/>
                <w:color w:val="000000"/>
              </w:rPr>
            </w:pPr>
            <w:r w:rsidRPr="005E4FEC">
              <w:rPr>
                <w:rFonts w:ascii="Calibri" w:hAnsi="Calibri" w:cs="Calibri"/>
                <w:bCs/>
                <w:color w:val="000000"/>
              </w:rPr>
              <w:t>4.1 Formas de la religiosidad popular en el antiguo Israel</w:t>
            </w:r>
          </w:p>
          <w:p w14:paraId="1C3DD57E" w14:textId="77777777" w:rsidR="005E4FEC" w:rsidRPr="005E4FEC" w:rsidRDefault="005E4FEC" w:rsidP="005E4FEC">
            <w:pPr>
              <w:rPr>
                <w:rFonts w:ascii="Calibri" w:hAnsi="Calibri" w:cs="Calibri"/>
                <w:color w:val="000000"/>
              </w:rPr>
            </w:pPr>
          </w:p>
        </w:tc>
        <w:tc>
          <w:tcPr>
            <w:tcW w:w="3121" w:type="dxa"/>
          </w:tcPr>
          <w:p w14:paraId="0B341007"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67579A6F" w14:textId="77777777" w:rsidR="005E4FEC" w:rsidRPr="005E4FEC" w:rsidRDefault="005E4FEC" w:rsidP="005E4FEC">
            <w:pPr>
              <w:rPr>
                <w:rFonts w:ascii="Calibri" w:hAnsi="Calibri" w:cs="Calibri"/>
                <w:color w:val="000000"/>
              </w:rPr>
            </w:pPr>
          </w:p>
          <w:p w14:paraId="26CC6F84" w14:textId="77777777" w:rsidR="005E4FEC" w:rsidRPr="005E4FEC" w:rsidRDefault="005E4FEC" w:rsidP="005E4FEC">
            <w:pPr>
              <w:rPr>
                <w:rFonts w:ascii="Calibri" w:hAnsi="Calibri" w:cs="Calibri"/>
                <w:color w:val="000000"/>
              </w:rPr>
            </w:pPr>
            <w:r w:rsidRPr="005E4FEC">
              <w:rPr>
                <w:rFonts w:ascii="Calibri" w:hAnsi="Calibri" w:cs="Calibri"/>
                <w:color w:val="000000"/>
              </w:rPr>
              <w:t xml:space="preserve">Ramírez Kidd, José Enrique. “Carta al dios personal”, “Las fiestas: ruptura con lo cotidiano”, “Religión oficial, religión popular”, “El folklore en el AT”. En </w:t>
            </w:r>
            <w:r w:rsidRPr="005E4FEC">
              <w:rPr>
                <w:rFonts w:ascii="Calibri" w:hAnsi="Calibri" w:cs="Calibri"/>
                <w:i/>
                <w:color w:val="000000"/>
              </w:rPr>
              <w:t>Para comprender el Antiguo Testamento</w:t>
            </w:r>
            <w:r w:rsidRPr="005E4FEC">
              <w:rPr>
                <w:rFonts w:ascii="Calibri" w:hAnsi="Calibri" w:cs="Calibri"/>
                <w:iCs/>
                <w:color w:val="000000"/>
              </w:rPr>
              <w:t>, 89-92, 174-177, 230-239, 260-266</w:t>
            </w:r>
            <w:r w:rsidRPr="005E4FEC">
              <w:rPr>
                <w:rFonts w:ascii="Calibri" w:hAnsi="Calibri" w:cs="Calibri"/>
                <w:i/>
                <w:color w:val="000000"/>
              </w:rPr>
              <w:t xml:space="preserve">. </w:t>
            </w:r>
            <w:r w:rsidRPr="005E4FEC">
              <w:rPr>
                <w:rFonts w:ascii="Calibri" w:hAnsi="Calibri" w:cs="Calibri"/>
                <w:color w:val="000000"/>
              </w:rPr>
              <w:t xml:space="preserve">San José: Editorial SEBILA, 2019. </w:t>
            </w:r>
            <w:r w:rsidRPr="005E4FEC">
              <w:rPr>
                <w:rFonts w:ascii="Calibri" w:hAnsi="Calibri" w:cs="Calibri"/>
                <w:color w:val="0070C0"/>
              </w:rPr>
              <w:t>(clásico, última edición)</w:t>
            </w:r>
          </w:p>
          <w:p w14:paraId="0BDED09B" w14:textId="77777777" w:rsidR="005E4FEC" w:rsidRPr="005E4FEC" w:rsidRDefault="005E4FEC" w:rsidP="005E4FEC">
            <w:pPr>
              <w:rPr>
                <w:rFonts w:ascii="Calibri" w:hAnsi="Calibri" w:cs="Calibri"/>
                <w:color w:val="000000"/>
              </w:rPr>
            </w:pPr>
          </w:p>
          <w:p w14:paraId="7DF57FE1" w14:textId="77777777" w:rsidR="005E4FEC" w:rsidRPr="005E4FEC" w:rsidRDefault="005E4FEC" w:rsidP="005E4FEC">
            <w:pPr>
              <w:rPr>
                <w:rFonts w:ascii="Calibri" w:hAnsi="Calibri" w:cs="Calibri"/>
                <w:b/>
                <w:bCs/>
                <w:color w:val="0070C0"/>
              </w:rPr>
            </w:pPr>
            <w:r w:rsidRPr="005E4FEC">
              <w:rPr>
                <w:rFonts w:ascii="Calibri" w:hAnsi="Calibri" w:cs="Calibri"/>
                <w:b/>
                <w:bCs/>
                <w:color w:val="0070C0"/>
              </w:rPr>
              <w:t>Material complementario</w:t>
            </w:r>
          </w:p>
          <w:p w14:paraId="4E37D612" w14:textId="77777777" w:rsidR="005E4FEC" w:rsidRPr="005E4FEC" w:rsidRDefault="005E4FEC" w:rsidP="005E4FEC">
            <w:pPr>
              <w:rPr>
                <w:rFonts w:ascii="Calibri" w:hAnsi="Calibri" w:cs="Calibri"/>
                <w:b/>
                <w:bCs/>
                <w:color w:val="0070C0"/>
              </w:rPr>
            </w:pPr>
          </w:p>
          <w:p w14:paraId="4F1C49C7" w14:textId="77777777" w:rsidR="005E4FEC" w:rsidRPr="005E4FEC" w:rsidRDefault="005E4FEC" w:rsidP="005E4FEC">
            <w:pPr>
              <w:rPr>
                <w:rFonts w:ascii="Calibri" w:hAnsi="Calibri" w:cs="Calibri"/>
                <w:color w:val="0070C0"/>
              </w:rPr>
            </w:pPr>
            <w:r w:rsidRPr="005E4FEC">
              <w:rPr>
                <w:rFonts w:ascii="Calibri" w:hAnsi="Calibri" w:cs="Calibri"/>
                <w:color w:val="0070C0"/>
              </w:rPr>
              <w:t>Guía para la participación en un wiki en la plataforma Moodle</w:t>
            </w:r>
          </w:p>
          <w:p w14:paraId="0B473DF3" w14:textId="77777777" w:rsidR="005E4FEC" w:rsidRPr="005E4FEC" w:rsidRDefault="005E4FEC" w:rsidP="005E4FEC">
            <w:pPr>
              <w:rPr>
                <w:rFonts w:ascii="Calibri" w:hAnsi="Calibri" w:cs="Calibri"/>
                <w:color w:val="0070C0"/>
              </w:rPr>
            </w:pPr>
          </w:p>
          <w:p w14:paraId="472040E9" w14:textId="77777777" w:rsidR="005E4FEC" w:rsidRPr="005E4FEC" w:rsidRDefault="005E4FEC" w:rsidP="005E4FEC">
            <w:pPr>
              <w:rPr>
                <w:rFonts w:ascii="Calibri" w:hAnsi="Calibri" w:cs="Calibri"/>
                <w:color w:val="0070C0"/>
              </w:rPr>
            </w:pPr>
            <w:r w:rsidRPr="005E4FEC">
              <w:rPr>
                <w:rFonts w:ascii="Calibri" w:hAnsi="Calibri" w:cs="Calibri"/>
                <w:color w:val="0070C0"/>
              </w:rPr>
              <w:t xml:space="preserve">Guía para la participación mediante la herramienta Big Blue </w:t>
            </w:r>
            <w:proofErr w:type="spellStart"/>
            <w:r w:rsidRPr="005E4FEC">
              <w:rPr>
                <w:rFonts w:ascii="Calibri" w:hAnsi="Calibri" w:cs="Calibri"/>
                <w:color w:val="0070C0"/>
              </w:rPr>
              <w:t>Button</w:t>
            </w:r>
            <w:proofErr w:type="spellEnd"/>
            <w:r w:rsidRPr="005E4FEC">
              <w:rPr>
                <w:rFonts w:ascii="Calibri" w:hAnsi="Calibri" w:cs="Calibri"/>
                <w:color w:val="0070C0"/>
              </w:rPr>
              <w:t xml:space="preserve"> en la plataforma Moodle</w:t>
            </w:r>
          </w:p>
          <w:p w14:paraId="3B66F5E0" w14:textId="77777777" w:rsidR="005E4FEC" w:rsidRPr="005E4FEC" w:rsidRDefault="005E4FEC" w:rsidP="005E4FEC">
            <w:pPr>
              <w:rPr>
                <w:rFonts w:ascii="Calibri" w:hAnsi="Calibri" w:cs="Calibri"/>
                <w:color w:val="000000"/>
              </w:rPr>
            </w:pPr>
          </w:p>
        </w:tc>
        <w:tc>
          <w:tcPr>
            <w:tcW w:w="3260" w:type="dxa"/>
          </w:tcPr>
          <w:p w14:paraId="77F353EF" w14:textId="77777777" w:rsidR="005E4FEC" w:rsidRPr="005E4FEC" w:rsidRDefault="005E4FEC" w:rsidP="005E4FEC">
            <w:pPr>
              <w:numPr>
                <w:ilvl w:val="0"/>
                <w:numId w:val="254"/>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Realizar la lectura de la sesión.</w:t>
            </w:r>
          </w:p>
          <w:p w14:paraId="4CE7F58E" w14:textId="77777777" w:rsidR="005E4FEC" w:rsidRPr="005E4FEC" w:rsidRDefault="005E4FEC" w:rsidP="005E4FEC">
            <w:pPr>
              <w:numPr>
                <w:ilvl w:val="0"/>
                <w:numId w:val="254"/>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 xml:space="preserve">Conclusión de la elaboración de un wiki sobre la religiosidad popular. </w:t>
            </w:r>
          </w:p>
          <w:p w14:paraId="79C41AA1" w14:textId="77777777" w:rsidR="005E4FEC" w:rsidRPr="005E4FEC" w:rsidRDefault="005E4FEC" w:rsidP="005E4FEC">
            <w:pPr>
              <w:numPr>
                <w:ilvl w:val="0"/>
                <w:numId w:val="254"/>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Profundización temática en un encuentro sincrónico virtual.</w:t>
            </w:r>
          </w:p>
          <w:p w14:paraId="733E8EB7" w14:textId="77777777" w:rsidR="005E4FEC" w:rsidRPr="005E4FEC" w:rsidRDefault="005E4FEC" w:rsidP="005E4FEC">
            <w:pPr>
              <w:numPr>
                <w:ilvl w:val="0"/>
                <w:numId w:val="254"/>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Continuar con la elaboración de la monografía final.</w:t>
            </w:r>
          </w:p>
        </w:tc>
      </w:tr>
      <w:tr w:rsidR="005E4FEC" w:rsidRPr="005E4FEC" w14:paraId="575E067C" w14:textId="77777777" w:rsidTr="00104785">
        <w:trPr>
          <w:jc w:val="center"/>
        </w:trPr>
        <w:tc>
          <w:tcPr>
            <w:tcW w:w="1144" w:type="dxa"/>
          </w:tcPr>
          <w:p w14:paraId="16C33A76" w14:textId="77777777" w:rsidR="005E4FEC" w:rsidRPr="005E4FEC" w:rsidRDefault="005E4FEC" w:rsidP="005E4FEC">
            <w:pPr>
              <w:jc w:val="center"/>
              <w:rPr>
                <w:rFonts w:ascii="Calibri" w:hAnsi="Calibri" w:cs="Calibri"/>
                <w:color w:val="000000"/>
              </w:rPr>
            </w:pPr>
          </w:p>
          <w:p w14:paraId="5AA679F6"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14</w:t>
            </w:r>
          </w:p>
        </w:tc>
        <w:tc>
          <w:tcPr>
            <w:tcW w:w="2109" w:type="dxa"/>
          </w:tcPr>
          <w:p w14:paraId="3FA1BBF1"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Unidad 4: Expresiones socio-religiosas de la sociedad en el antiguo Israel</w:t>
            </w:r>
          </w:p>
          <w:p w14:paraId="3AB3E3C5" w14:textId="77777777" w:rsidR="005E4FEC" w:rsidRPr="005E4FEC" w:rsidRDefault="005E4FEC" w:rsidP="005E4FEC">
            <w:pPr>
              <w:rPr>
                <w:rFonts w:ascii="Calibri" w:hAnsi="Calibri" w:cs="Calibri"/>
                <w:color w:val="000000"/>
              </w:rPr>
            </w:pPr>
          </w:p>
          <w:p w14:paraId="2235C087" w14:textId="77777777" w:rsidR="005E4FEC" w:rsidRPr="005E4FEC" w:rsidRDefault="005E4FEC" w:rsidP="005E4FEC">
            <w:pPr>
              <w:rPr>
                <w:rFonts w:ascii="Calibri" w:hAnsi="Calibri" w:cs="Calibri"/>
                <w:color w:val="000000"/>
              </w:rPr>
            </w:pPr>
            <w:r w:rsidRPr="005E4FEC">
              <w:rPr>
                <w:rFonts w:ascii="Calibri" w:hAnsi="Calibri" w:cs="Calibri"/>
                <w:bCs/>
                <w:color w:val="000000"/>
              </w:rPr>
              <w:t>4.2 Fundamento y función sociopolítica del binomio “pureza-impureza” en la dinámica sociopolítica de la sociedad israelita</w:t>
            </w:r>
          </w:p>
          <w:p w14:paraId="0327CB38" w14:textId="77777777" w:rsidR="005E4FEC" w:rsidRPr="005E4FEC" w:rsidRDefault="005E4FEC" w:rsidP="005E4FEC">
            <w:pPr>
              <w:rPr>
                <w:rFonts w:ascii="Calibri" w:hAnsi="Calibri" w:cs="Calibri"/>
                <w:color w:val="000000"/>
              </w:rPr>
            </w:pPr>
          </w:p>
        </w:tc>
        <w:tc>
          <w:tcPr>
            <w:tcW w:w="3121" w:type="dxa"/>
          </w:tcPr>
          <w:p w14:paraId="28ABE475" w14:textId="77777777" w:rsidR="005E4FEC" w:rsidRPr="005E4FEC" w:rsidRDefault="005E4FEC" w:rsidP="005E4FEC">
            <w:pPr>
              <w:rPr>
                <w:rFonts w:ascii="Calibri" w:hAnsi="Calibri" w:cs="Calibri"/>
                <w:color w:val="0070C0"/>
              </w:rPr>
            </w:pPr>
            <w:r w:rsidRPr="005E4FEC">
              <w:rPr>
                <w:rFonts w:ascii="Calibri" w:hAnsi="Calibri" w:cs="Calibri"/>
                <w:color w:val="0070C0"/>
              </w:rPr>
              <w:t>Ruta de aprendizaje</w:t>
            </w:r>
          </w:p>
          <w:p w14:paraId="6568306D" w14:textId="77777777" w:rsidR="005E4FEC" w:rsidRPr="005E4FEC" w:rsidRDefault="005E4FEC" w:rsidP="005E4FEC">
            <w:pPr>
              <w:rPr>
                <w:rFonts w:ascii="Calibri" w:hAnsi="Calibri"/>
              </w:rPr>
            </w:pPr>
          </w:p>
          <w:p w14:paraId="6916A0DC" w14:textId="77777777" w:rsidR="005E4FEC" w:rsidRPr="005E4FEC" w:rsidRDefault="005E4FEC" w:rsidP="005E4FEC">
            <w:pPr>
              <w:rPr>
                <w:rFonts w:ascii="Calibri" w:hAnsi="Calibri"/>
              </w:rPr>
            </w:pPr>
            <w:r w:rsidRPr="005E4FEC">
              <w:rPr>
                <w:rFonts w:ascii="Calibri" w:hAnsi="Calibri"/>
              </w:rPr>
              <w:t xml:space="preserve">García López, Félix. </w:t>
            </w:r>
            <w:r w:rsidRPr="005E4FEC">
              <w:rPr>
                <w:rFonts w:ascii="Calibri" w:hAnsi="Calibri"/>
                <w:lang w:val="es-CR"/>
              </w:rPr>
              <w:t xml:space="preserve">“El sistema de pureza en la tradición judía”. En </w:t>
            </w:r>
            <w:r w:rsidRPr="005E4FEC">
              <w:rPr>
                <w:rFonts w:ascii="Calibri" w:hAnsi="Calibri"/>
                <w:i/>
                <w:iCs/>
              </w:rPr>
              <w:t>La Torá: escritos sobre el Pentateuco</w:t>
            </w:r>
            <w:r w:rsidRPr="005E4FEC">
              <w:rPr>
                <w:rFonts w:ascii="Calibri" w:hAnsi="Calibri"/>
              </w:rPr>
              <w:t xml:space="preserve">, 211-223. Estella (Navarra): Verbo Divino, 2012. </w:t>
            </w:r>
            <w:r w:rsidRPr="005E4FEC">
              <w:rPr>
                <w:rFonts w:ascii="Calibri" w:hAnsi="Calibri" w:cs="Calibri"/>
                <w:color w:val="0070C0"/>
              </w:rPr>
              <w:t>(clásico, última edición)</w:t>
            </w:r>
          </w:p>
          <w:p w14:paraId="2425FAE7" w14:textId="77777777" w:rsidR="005E4FEC" w:rsidRPr="005E4FEC" w:rsidRDefault="005E4FEC" w:rsidP="005E4FEC">
            <w:pPr>
              <w:rPr>
                <w:rFonts w:ascii="Calibri" w:hAnsi="Calibri"/>
              </w:rPr>
            </w:pPr>
          </w:p>
          <w:p w14:paraId="601747BB" w14:textId="77777777" w:rsidR="005E4FEC" w:rsidRPr="005E4FEC" w:rsidRDefault="005E4FEC" w:rsidP="005E4FEC">
            <w:pPr>
              <w:rPr>
                <w:rFonts w:ascii="Calibri" w:hAnsi="Calibri" w:cs="Calibri"/>
              </w:rPr>
            </w:pPr>
            <w:proofErr w:type="spellStart"/>
            <w:r w:rsidRPr="005E4FEC">
              <w:rPr>
                <w:rFonts w:ascii="Calibri" w:hAnsi="Calibri" w:cs="Calibri"/>
              </w:rPr>
              <w:t>Erbele-Küster</w:t>
            </w:r>
            <w:proofErr w:type="spellEnd"/>
            <w:r w:rsidRPr="005E4FEC">
              <w:rPr>
                <w:rFonts w:ascii="Calibri" w:hAnsi="Calibri" w:cs="Calibri"/>
              </w:rPr>
              <w:t xml:space="preserve">, Dorothea. “Sexo y culto. «Puro»/«impuro» como categoría relevante de género”. En </w:t>
            </w:r>
            <w:r w:rsidRPr="005E4FEC">
              <w:rPr>
                <w:rFonts w:ascii="Calibri" w:hAnsi="Calibri" w:cs="Calibri"/>
                <w:i/>
                <w:iCs/>
              </w:rPr>
              <w:t xml:space="preserve">La </w:t>
            </w:r>
            <w:proofErr w:type="spellStart"/>
            <w:r w:rsidRPr="005E4FEC">
              <w:rPr>
                <w:rFonts w:ascii="Calibri" w:hAnsi="Calibri" w:cs="Calibri"/>
                <w:i/>
                <w:iCs/>
              </w:rPr>
              <w:t>Torah</w:t>
            </w:r>
            <w:proofErr w:type="spellEnd"/>
            <w:r w:rsidRPr="005E4FEC">
              <w:rPr>
                <w:rFonts w:ascii="Calibri" w:hAnsi="Calibri" w:cs="Calibri"/>
              </w:rPr>
              <w:t xml:space="preserve">, editado por </w:t>
            </w:r>
            <w:proofErr w:type="spellStart"/>
            <w:r w:rsidRPr="005E4FEC">
              <w:rPr>
                <w:rFonts w:ascii="Calibri" w:hAnsi="Calibri" w:cs="Calibri"/>
              </w:rPr>
              <w:t>Irmtraud</w:t>
            </w:r>
            <w:proofErr w:type="spellEnd"/>
            <w:r w:rsidRPr="005E4FEC">
              <w:rPr>
                <w:rFonts w:ascii="Calibri" w:hAnsi="Calibri" w:cs="Calibri"/>
              </w:rPr>
              <w:t xml:space="preserve"> Fischer y Mercedes Navarro, 379-407. Estella: Verbo Divino, 2010. </w:t>
            </w:r>
            <w:r w:rsidRPr="005E4FEC">
              <w:rPr>
                <w:rFonts w:ascii="Calibri" w:hAnsi="Calibri" w:cs="Calibri"/>
                <w:color w:val="0070C0"/>
              </w:rPr>
              <w:t>(clásico, última edición)</w:t>
            </w:r>
          </w:p>
          <w:p w14:paraId="7827CCA3" w14:textId="77777777" w:rsidR="005E4FEC" w:rsidRPr="005E4FEC" w:rsidRDefault="005E4FEC" w:rsidP="005E4FEC">
            <w:pPr>
              <w:rPr>
                <w:rFonts w:ascii="Calibri" w:hAnsi="Calibri" w:cs="Calibri"/>
              </w:rPr>
            </w:pPr>
          </w:p>
          <w:p w14:paraId="29E28526" w14:textId="77777777" w:rsidR="005E4FEC" w:rsidRPr="005E4FEC" w:rsidRDefault="005E4FEC" w:rsidP="005E4FEC">
            <w:pPr>
              <w:rPr>
                <w:rFonts w:ascii="Calibri" w:hAnsi="Calibri" w:cs="Calibri"/>
                <w:b/>
                <w:bCs/>
                <w:color w:val="0070C0"/>
              </w:rPr>
            </w:pPr>
            <w:r w:rsidRPr="005E4FEC">
              <w:rPr>
                <w:rFonts w:ascii="Calibri" w:hAnsi="Calibri" w:cs="Calibri"/>
                <w:b/>
                <w:bCs/>
                <w:color w:val="0070C0"/>
              </w:rPr>
              <w:t>Material complementario</w:t>
            </w:r>
          </w:p>
          <w:p w14:paraId="721AC710" w14:textId="77777777" w:rsidR="005E4FEC" w:rsidRPr="005E4FEC" w:rsidRDefault="005E4FEC" w:rsidP="005E4FEC">
            <w:pPr>
              <w:rPr>
                <w:rFonts w:ascii="Calibri" w:hAnsi="Calibri" w:cs="Calibri"/>
                <w:b/>
                <w:bCs/>
                <w:color w:val="0070C0"/>
              </w:rPr>
            </w:pPr>
          </w:p>
          <w:p w14:paraId="08539CDD" w14:textId="77777777" w:rsidR="005E4FEC" w:rsidRPr="005E4FEC" w:rsidRDefault="005E4FEC" w:rsidP="005E4FEC">
            <w:pPr>
              <w:rPr>
                <w:rFonts w:ascii="Calibri" w:hAnsi="Calibri" w:cs="Calibri"/>
                <w:color w:val="0070C0"/>
              </w:rPr>
            </w:pPr>
            <w:r w:rsidRPr="005E4FEC">
              <w:rPr>
                <w:rFonts w:ascii="Calibri" w:hAnsi="Calibri" w:cs="Calibri"/>
                <w:color w:val="0070C0"/>
              </w:rPr>
              <w:t>Guía para la participación en un foro en la plataforma Moodle</w:t>
            </w:r>
          </w:p>
          <w:p w14:paraId="0AB57B11" w14:textId="77777777" w:rsidR="005E4FEC" w:rsidRPr="005E4FEC" w:rsidRDefault="005E4FEC" w:rsidP="005E4FEC">
            <w:pPr>
              <w:rPr>
                <w:rFonts w:ascii="Calibri" w:hAnsi="Calibri" w:cs="Calibri"/>
                <w:color w:val="000000"/>
              </w:rPr>
            </w:pPr>
          </w:p>
        </w:tc>
        <w:tc>
          <w:tcPr>
            <w:tcW w:w="3260" w:type="dxa"/>
          </w:tcPr>
          <w:p w14:paraId="6F3EF82A" w14:textId="77777777" w:rsidR="005E4FEC" w:rsidRPr="005E4FEC" w:rsidRDefault="005E4FEC" w:rsidP="005E4FEC">
            <w:pPr>
              <w:numPr>
                <w:ilvl w:val="0"/>
                <w:numId w:val="255"/>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Realizar las lecturas de la sesión.</w:t>
            </w:r>
          </w:p>
          <w:p w14:paraId="5DC35DEA" w14:textId="77777777" w:rsidR="005E4FEC" w:rsidRPr="005E4FEC" w:rsidRDefault="005E4FEC" w:rsidP="005E4FEC">
            <w:pPr>
              <w:numPr>
                <w:ilvl w:val="0"/>
                <w:numId w:val="255"/>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 xml:space="preserve">Participación en el foro temático: La pureza y la impureza en el Antiguo Testamento. </w:t>
            </w:r>
          </w:p>
          <w:p w14:paraId="2AF6C130" w14:textId="77777777" w:rsidR="005E4FEC" w:rsidRPr="005E4FEC" w:rsidRDefault="005E4FEC" w:rsidP="005E4FEC">
            <w:pPr>
              <w:numPr>
                <w:ilvl w:val="0"/>
                <w:numId w:val="255"/>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t>Continuar con la elaboración de la monografía final.</w:t>
            </w:r>
          </w:p>
        </w:tc>
      </w:tr>
      <w:tr w:rsidR="005E4FEC" w:rsidRPr="005E4FEC" w14:paraId="3D92EB43" w14:textId="77777777" w:rsidTr="00104785">
        <w:trPr>
          <w:jc w:val="center"/>
        </w:trPr>
        <w:tc>
          <w:tcPr>
            <w:tcW w:w="1144" w:type="dxa"/>
          </w:tcPr>
          <w:p w14:paraId="4D2B97CA" w14:textId="77777777" w:rsidR="005E4FEC" w:rsidRPr="005E4FEC" w:rsidRDefault="005E4FEC" w:rsidP="005E4FEC">
            <w:pPr>
              <w:jc w:val="center"/>
              <w:rPr>
                <w:rFonts w:ascii="Calibri" w:hAnsi="Calibri" w:cs="Calibri"/>
                <w:color w:val="000000"/>
              </w:rPr>
            </w:pPr>
          </w:p>
          <w:p w14:paraId="1C6B0AEF" w14:textId="77777777" w:rsidR="005E4FEC" w:rsidRPr="005E4FEC" w:rsidRDefault="005E4FEC" w:rsidP="005E4FEC">
            <w:pPr>
              <w:jc w:val="center"/>
              <w:rPr>
                <w:rFonts w:ascii="Calibri" w:hAnsi="Calibri" w:cs="Calibri"/>
                <w:color w:val="000000"/>
              </w:rPr>
            </w:pPr>
            <w:r w:rsidRPr="005E4FEC">
              <w:rPr>
                <w:rFonts w:ascii="Calibri" w:hAnsi="Calibri" w:cs="Calibri"/>
                <w:color w:val="000000"/>
              </w:rPr>
              <w:t>15</w:t>
            </w:r>
          </w:p>
        </w:tc>
        <w:tc>
          <w:tcPr>
            <w:tcW w:w="2109" w:type="dxa"/>
          </w:tcPr>
          <w:p w14:paraId="518F318A" w14:textId="77777777" w:rsidR="005E4FEC" w:rsidRPr="005E4FEC" w:rsidRDefault="005E4FEC" w:rsidP="005E4FEC">
            <w:pPr>
              <w:rPr>
                <w:rFonts w:ascii="Calibri" w:hAnsi="Calibri" w:cs="Calibri"/>
                <w:b/>
                <w:bCs/>
                <w:color w:val="000000"/>
              </w:rPr>
            </w:pPr>
            <w:r w:rsidRPr="005E4FEC">
              <w:rPr>
                <w:rFonts w:ascii="Calibri" w:hAnsi="Calibri" w:cs="Calibri"/>
                <w:b/>
                <w:bCs/>
                <w:color w:val="000000"/>
              </w:rPr>
              <w:t>Unidad 4: Expresiones socio-</w:t>
            </w:r>
            <w:r w:rsidRPr="005E4FEC">
              <w:rPr>
                <w:rFonts w:ascii="Calibri" w:hAnsi="Calibri" w:cs="Calibri"/>
                <w:b/>
                <w:bCs/>
                <w:color w:val="000000"/>
              </w:rPr>
              <w:lastRenderedPageBreak/>
              <w:t>religiosas de la sociedad en el antiguo Israel</w:t>
            </w:r>
          </w:p>
          <w:p w14:paraId="7D6C563E" w14:textId="77777777" w:rsidR="005E4FEC" w:rsidRPr="005E4FEC" w:rsidRDefault="005E4FEC" w:rsidP="005E4FEC">
            <w:pPr>
              <w:rPr>
                <w:rFonts w:ascii="Calibri" w:hAnsi="Calibri" w:cs="Calibri"/>
                <w:color w:val="000000"/>
              </w:rPr>
            </w:pPr>
          </w:p>
          <w:p w14:paraId="403583EE" w14:textId="77777777" w:rsidR="005E4FEC" w:rsidRPr="005E4FEC" w:rsidRDefault="005E4FEC" w:rsidP="005E4FEC">
            <w:pPr>
              <w:rPr>
                <w:rFonts w:ascii="Calibri" w:hAnsi="Calibri" w:cs="Calibri"/>
                <w:color w:val="000000"/>
              </w:rPr>
            </w:pPr>
            <w:r w:rsidRPr="005E4FEC">
              <w:rPr>
                <w:rFonts w:ascii="Calibri" w:hAnsi="Calibri" w:cs="Calibri"/>
                <w:color w:val="000000"/>
              </w:rPr>
              <w:t>4.3 Síntesis, evaluación y cierre</w:t>
            </w:r>
          </w:p>
          <w:p w14:paraId="60132198" w14:textId="77777777" w:rsidR="005E4FEC" w:rsidRPr="005E4FEC" w:rsidRDefault="005E4FEC" w:rsidP="005E4FEC">
            <w:pPr>
              <w:rPr>
                <w:rFonts w:ascii="Calibri" w:hAnsi="Calibri" w:cs="Calibri"/>
                <w:color w:val="000000"/>
              </w:rPr>
            </w:pPr>
          </w:p>
        </w:tc>
        <w:tc>
          <w:tcPr>
            <w:tcW w:w="3121" w:type="dxa"/>
          </w:tcPr>
          <w:p w14:paraId="58FC9FC8" w14:textId="77777777" w:rsidR="005E4FEC" w:rsidRPr="005E4FEC" w:rsidRDefault="005E4FEC" w:rsidP="005E4FEC">
            <w:pPr>
              <w:rPr>
                <w:rFonts w:ascii="Calibri" w:hAnsi="Calibri" w:cs="Calibri"/>
                <w:color w:val="0070C0"/>
              </w:rPr>
            </w:pPr>
            <w:r w:rsidRPr="005E4FEC">
              <w:rPr>
                <w:rFonts w:ascii="Calibri" w:hAnsi="Calibri" w:cs="Calibri"/>
                <w:color w:val="0070C0"/>
              </w:rPr>
              <w:lastRenderedPageBreak/>
              <w:t>Ruta de aprendizaje</w:t>
            </w:r>
          </w:p>
          <w:p w14:paraId="6E8A9425" w14:textId="77777777" w:rsidR="005E4FEC" w:rsidRPr="005E4FEC" w:rsidRDefault="005E4FEC" w:rsidP="005E4FEC">
            <w:pPr>
              <w:rPr>
                <w:rFonts w:ascii="Calibri" w:hAnsi="Calibri" w:cs="Calibri"/>
                <w:color w:val="0070C0"/>
              </w:rPr>
            </w:pPr>
          </w:p>
          <w:p w14:paraId="55623D23" w14:textId="77777777" w:rsidR="005E4FEC" w:rsidRPr="005E4FEC" w:rsidRDefault="005E4FEC" w:rsidP="005E4FEC">
            <w:pPr>
              <w:rPr>
                <w:rFonts w:ascii="Calibri" w:hAnsi="Calibri" w:cs="Calibri"/>
                <w:b/>
                <w:bCs/>
                <w:color w:val="0070C0"/>
              </w:rPr>
            </w:pPr>
            <w:r w:rsidRPr="005E4FEC">
              <w:rPr>
                <w:rFonts w:ascii="Calibri" w:hAnsi="Calibri" w:cs="Calibri"/>
                <w:b/>
                <w:bCs/>
                <w:color w:val="0070C0"/>
              </w:rPr>
              <w:lastRenderedPageBreak/>
              <w:t>Material complementario</w:t>
            </w:r>
          </w:p>
          <w:p w14:paraId="34D03E8F" w14:textId="77777777" w:rsidR="005E4FEC" w:rsidRPr="005E4FEC" w:rsidRDefault="005E4FEC" w:rsidP="005E4FEC">
            <w:pPr>
              <w:rPr>
                <w:rFonts w:ascii="Calibri" w:hAnsi="Calibri" w:cs="Calibri"/>
                <w:b/>
                <w:bCs/>
                <w:color w:val="0070C0"/>
              </w:rPr>
            </w:pPr>
          </w:p>
          <w:p w14:paraId="33FCBB6F" w14:textId="77777777" w:rsidR="005E4FEC" w:rsidRPr="005E4FEC" w:rsidRDefault="005E4FEC" w:rsidP="005E4FEC">
            <w:pPr>
              <w:rPr>
                <w:rFonts w:ascii="Calibri" w:hAnsi="Calibri" w:cs="Calibri"/>
                <w:color w:val="000000"/>
              </w:rPr>
            </w:pPr>
            <w:r w:rsidRPr="005E4FEC">
              <w:rPr>
                <w:rFonts w:ascii="Calibri" w:hAnsi="Calibri" w:cs="Calibri"/>
                <w:color w:val="0070C0"/>
              </w:rPr>
              <w:t>Guía para la elaboración de una monografía</w:t>
            </w:r>
          </w:p>
        </w:tc>
        <w:tc>
          <w:tcPr>
            <w:tcW w:w="3260" w:type="dxa"/>
          </w:tcPr>
          <w:p w14:paraId="01AF4FBE" w14:textId="77777777" w:rsidR="005E4FEC" w:rsidRPr="005E4FEC" w:rsidRDefault="005E4FEC" w:rsidP="005E4FEC">
            <w:pPr>
              <w:numPr>
                <w:ilvl w:val="0"/>
                <w:numId w:val="256"/>
              </w:numPr>
              <w:spacing w:after="200" w:line="276" w:lineRule="auto"/>
              <w:ind w:left="316"/>
              <w:contextualSpacing/>
              <w:rPr>
                <w:rFonts w:ascii="Calibri" w:eastAsia="Calibri" w:hAnsi="Calibri" w:cs="Calibri"/>
                <w:color w:val="000000"/>
                <w:lang w:val="es-CR"/>
              </w:rPr>
            </w:pPr>
            <w:r w:rsidRPr="005E4FEC">
              <w:rPr>
                <w:rFonts w:ascii="Calibri" w:eastAsia="Calibri" w:hAnsi="Calibri" w:cs="Calibri"/>
                <w:color w:val="000000"/>
                <w:lang w:val="es-CR"/>
              </w:rPr>
              <w:lastRenderedPageBreak/>
              <w:t>Entregar la monografía final.</w:t>
            </w:r>
          </w:p>
        </w:tc>
      </w:tr>
    </w:tbl>
    <w:p w14:paraId="48584EDF"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IX. Distribución de tiempo semanal</w:t>
      </w:r>
    </w:p>
    <w:p w14:paraId="7ED69035"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0867413C"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4"/>
        <w:tblW w:w="8784" w:type="dxa"/>
        <w:tblLook w:val="04A0" w:firstRow="1" w:lastRow="0" w:firstColumn="1" w:lastColumn="0" w:noHBand="0" w:noVBand="1"/>
      </w:tblPr>
      <w:tblGrid>
        <w:gridCol w:w="2122"/>
        <w:gridCol w:w="1417"/>
        <w:gridCol w:w="5245"/>
      </w:tblGrid>
      <w:tr w:rsidR="005E4FEC" w:rsidRPr="005E4FEC" w14:paraId="2EE86541" w14:textId="77777777" w:rsidTr="00104785">
        <w:tc>
          <w:tcPr>
            <w:tcW w:w="2122" w:type="dxa"/>
            <w:vAlign w:val="center"/>
          </w:tcPr>
          <w:p w14:paraId="7C3E578F" w14:textId="77777777" w:rsidR="005E4FEC" w:rsidRPr="005E4FEC" w:rsidRDefault="005E4FEC" w:rsidP="005E4FEC">
            <w:pPr>
              <w:jc w:val="center"/>
              <w:rPr>
                <w:rFonts w:ascii="Calibri" w:hAnsi="Calibri" w:cs="Calibri"/>
                <w:b/>
                <w:bCs/>
                <w:color w:val="000000"/>
              </w:rPr>
            </w:pPr>
            <w:r w:rsidRPr="005E4FEC">
              <w:rPr>
                <w:rFonts w:ascii="Calibri" w:hAnsi="Calibri" w:cs="Calibri"/>
                <w:b/>
                <w:bCs/>
                <w:color w:val="000000"/>
              </w:rPr>
              <w:t>Tipo de horas</w:t>
            </w:r>
          </w:p>
          <w:p w14:paraId="7EB21510" w14:textId="77777777" w:rsidR="005E4FEC" w:rsidRPr="005E4FEC" w:rsidRDefault="005E4FEC" w:rsidP="005E4FEC">
            <w:pPr>
              <w:jc w:val="center"/>
              <w:rPr>
                <w:rFonts w:ascii="Calibri" w:hAnsi="Calibri" w:cs="Calibri"/>
                <w:b/>
                <w:bCs/>
                <w:color w:val="000000"/>
              </w:rPr>
            </w:pPr>
            <w:r w:rsidRPr="005E4FEC">
              <w:rPr>
                <w:rFonts w:ascii="Calibri" w:hAnsi="Calibri" w:cs="Calibri"/>
                <w:b/>
                <w:bCs/>
                <w:color w:val="000000"/>
              </w:rPr>
              <w:t>(categoría)</w:t>
            </w:r>
          </w:p>
        </w:tc>
        <w:tc>
          <w:tcPr>
            <w:tcW w:w="1417" w:type="dxa"/>
            <w:vAlign w:val="center"/>
          </w:tcPr>
          <w:p w14:paraId="10DEFA6E" w14:textId="77777777" w:rsidR="005E4FEC" w:rsidRPr="005E4FEC" w:rsidRDefault="005E4FEC" w:rsidP="005E4FEC">
            <w:pPr>
              <w:jc w:val="center"/>
              <w:rPr>
                <w:rFonts w:ascii="Calibri" w:hAnsi="Calibri" w:cs="Calibri"/>
                <w:b/>
                <w:bCs/>
                <w:color w:val="000000"/>
              </w:rPr>
            </w:pPr>
            <w:r w:rsidRPr="005E4FEC">
              <w:rPr>
                <w:rFonts w:ascii="Calibri" w:hAnsi="Calibri" w:cs="Calibri"/>
                <w:b/>
                <w:bCs/>
                <w:color w:val="000000"/>
              </w:rPr>
              <w:t>Horas por semana</w:t>
            </w:r>
          </w:p>
        </w:tc>
        <w:tc>
          <w:tcPr>
            <w:tcW w:w="5245" w:type="dxa"/>
            <w:vAlign w:val="center"/>
          </w:tcPr>
          <w:p w14:paraId="553A0BED" w14:textId="77777777" w:rsidR="005E4FEC" w:rsidRPr="005E4FEC" w:rsidRDefault="005E4FEC" w:rsidP="005E4FEC">
            <w:pPr>
              <w:jc w:val="center"/>
              <w:rPr>
                <w:rFonts w:ascii="Calibri" w:hAnsi="Calibri" w:cs="Calibri"/>
                <w:b/>
                <w:bCs/>
                <w:color w:val="000000"/>
              </w:rPr>
            </w:pPr>
            <w:r w:rsidRPr="005E4FEC">
              <w:rPr>
                <w:rFonts w:ascii="Calibri" w:hAnsi="Calibri" w:cs="Calibri"/>
                <w:b/>
                <w:bCs/>
                <w:color w:val="000000"/>
              </w:rPr>
              <w:t>Actividades relacionadas</w:t>
            </w:r>
          </w:p>
        </w:tc>
      </w:tr>
      <w:tr w:rsidR="005E4FEC" w:rsidRPr="005E4FEC" w14:paraId="6E3141CE" w14:textId="77777777" w:rsidTr="00104785">
        <w:tc>
          <w:tcPr>
            <w:tcW w:w="2122" w:type="dxa"/>
            <w:vAlign w:val="center"/>
          </w:tcPr>
          <w:p w14:paraId="24814682" w14:textId="77777777" w:rsidR="005E4FEC" w:rsidRPr="005E4FEC" w:rsidRDefault="005E4FEC" w:rsidP="005E4FEC">
            <w:pPr>
              <w:jc w:val="center"/>
              <w:rPr>
                <w:rFonts w:ascii="Calibri" w:hAnsi="Calibri" w:cs="Calibri"/>
                <w:bCs/>
                <w:color w:val="000000"/>
              </w:rPr>
            </w:pPr>
            <w:r w:rsidRPr="005E4FEC">
              <w:rPr>
                <w:rFonts w:ascii="Calibri" w:hAnsi="Calibri" w:cs="Calibri"/>
                <w:bCs/>
                <w:color w:val="000000"/>
              </w:rPr>
              <w:t>Horas de Estudio Individual (HEI)</w:t>
            </w:r>
          </w:p>
        </w:tc>
        <w:tc>
          <w:tcPr>
            <w:tcW w:w="1417" w:type="dxa"/>
            <w:vAlign w:val="center"/>
          </w:tcPr>
          <w:p w14:paraId="0E7A9F2E" w14:textId="77777777" w:rsidR="005E4FEC" w:rsidRPr="005E4FEC" w:rsidRDefault="005E4FEC" w:rsidP="005E4FEC">
            <w:pPr>
              <w:jc w:val="center"/>
              <w:rPr>
                <w:rFonts w:ascii="Calibri" w:hAnsi="Calibri" w:cs="Calibri"/>
                <w:bCs/>
                <w:color w:val="000000"/>
              </w:rPr>
            </w:pPr>
            <w:r w:rsidRPr="005E4FEC">
              <w:rPr>
                <w:rFonts w:ascii="Calibri" w:hAnsi="Calibri" w:cs="Calibri"/>
                <w:bCs/>
                <w:color w:val="000000"/>
              </w:rPr>
              <w:t>4</w:t>
            </w:r>
          </w:p>
        </w:tc>
        <w:tc>
          <w:tcPr>
            <w:tcW w:w="5245" w:type="dxa"/>
          </w:tcPr>
          <w:p w14:paraId="113952CC" w14:textId="77777777" w:rsidR="005E4FEC" w:rsidRPr="005E4FEC" w:rsidRDefault="005E4FEC" w:rsidP="005E4FEC">
            <w:pPr>
              <w:numPr>
                <w:ilvl w:val="0"/>
                <w:numId w:val="34"/>
              </w:numPr>
              <w:contextualSpacing/>
              <w:rPr>
                <w:rFonts w:ascii="Calibri" w:eastAsia="Calibri" w:hAnsi="Calibri" w:cs="Calibri"/>
                <w:bCs/>
                <w:color w:val="000000"/>
                <w:lang w:val="es-CR"/>
              </w:rPr>
            </w:pPr>
            <w:r w:rsidRPr="005E4FEC">
              <w:rPr>
                <w:rFonts w:ascii="Calibri" w:eastAsia="Calibri" w:hAnsi="Calibri" w:cs="Calibri"/>
                <w:bCs/>
                <w:color w:val="000000"/>
                <w:lang w:val="es-CR"/>
              </w:rPr>
              <w:t>Lectura de los textos (materiales en formato digital).</w:t>
            </w:r>
          </w:p>
          <w:p w14:paraId="5F2A2098" w14:textId="77777777" w:rsidR="005E4FEC" w:rsidRPr="005E4FEC" w:rsidRDefault="005E4FEC" w:rsidP="005E4FEC">
            <w:pPr>
              <w:numPr>
                <w:ilvl w:val="0"/>
                <w:numId w:val="34"/>
              </w:numPr>
              <w:contextualSpacing/>
              <w:rPr>
                <w:rFonts w:ascii="Calibri" w:eastAsia="Calibri" w:hAnsi="Calibri" w:cs="Calibri"/>
                <w:bCs/>
                <w:color w:val="000000"/>
                <w:lang w:val="es-CR"/>
              </w:rPr>
            </w:pPr>
            <w:r w:rsidRPr="005E4FEC">
              <w:rPr>
                <w:rFonts w:ascii="Calibri" w:eastAsia="Calibri" w:hAnsi="Calibri" w:cs="Calibri"/>
                <w:bCs/>
                <w:color w:val="000000"/>
                <w:lang w:val="es-CR"/>
              </w:rPr>
              <w:t>Análisis de lecturas e investigación por cuenta propia.</w:t>
            </w:r>
          </w:p>
        </w:tc>
      </w:tr>
      <w:tr w:rsidR="005E4FEC" w:rsidRPr="005E4FEC" w14:paraId="7BC03425" w14:textId="77777777" w:rsidTr="00104785">
        <w:tc>
          <w:tcPr>
            <w:tcW w:w="2122" w:type="dxa"/>
            <w:vAlign w:val="center"/>
          </w:tcPr>
          <w:p w14:paraId="72B66CD3" w14:textId="77777777" w:rsidR="005E4FEC" w:rsidRPr="005E4FEC" w:rsidRDefault="005E4FEC" w:rsidP="005E4FEC">
            <w:pPr>
              <w:jc w:val="center"/>
              <w:rPr>
                <w:rFonts w:ascii="Calibri" w:hAnsi="Calibri" w:cs="Calibri"/>
                <w:bCs/>
                <w:color w:val="000000"/>
              </w:rPr>
            </w:pPr>
            <w:r w:rsidRPr="005E4FEC">
              <w:rPr>
                <w:rFonts w:ascii="Calibri" w:hAnsi="Calibri" w:cs="Calibri"/>
                <w:bCs/>
                <w:color w:val="000000"/>
              </w:rPr>
              <w:t>Horas de Trabajo Colaborativo (HTC)</w:t>
            </w:r>
          </w:p>
        </w:tc>
        <w:tc>
          <w:tcPr>
            <w:tcW w:w="1417" w:type="dxa"/>
            <w:vAlign w:val="center"/>
          </w:tcPr>
          <w:p w14:paraId="5B79D78E" w14:textId="77777777" w:rsidR="005E4FEC" w:rsidRPr="005E4FEC" w:rsidRDefault="005E4FEC" w:rsidP="005E4FEC">
            <w:pPr>
              <w:jc w:val="center"/>
              <w:rPr>
                <w:rFonts w:ascii="Calibri" w:hAnsi="Calibri" w:cs="Calibri"/>
                <w:bCs/>
                <w:color w:val="000000"/>
              </w:rPr>
            </w:pPr>
            <w:r w:rsidRPr="005E4FEC">
              <w:rPr>
                <w:rFonts w:ascii="Calibri" w:hAnsi="Calibri" w:cs="Calibri"/>
                <w:bCs/>
                <w:color w:val="000000"/>
              </w:rPr>
              <w:t>5</w:t>
            </w:r>
          </w:p>
        </w:tc>
        <w:tc>
          <w:tcPr>
            <w:tcW w:w="5245" w:type="dxa"/>
          </w:tcPr>
          <w:p w14:paraId="6C4F5AFE" w14:textId="77777777" w:rsidR="005E4FEC" w:rsidRPr="005E4FEC" w:rsidRDefault="005E4FEC" w:rsidP="005E4FEC">
            <w:pPr>
              <w:numPr>
                <w:ilvl w:val="0"/>
                <w:numId w:val="35"/>
              </w:numPr>
              <w:contextualSpacing/>
              <w:rPr>
                <w:rFonts w:ascii="Calibri" w:eastAsia="Calibri" w:hAnsi="Calibri" w:cs="Calibri"/>
                <w:bCs/>
                <w:color w:val="000000"/>
                <w:lang w:val="es-CR"/>
              </w:rPr>
            </w:pPr>
            <w:r w:rsidRPr="005E4FEC">
              <w:rPr>
                <w:rFonts w:ascii="Calibri" w:eastAsia="Calibri" w:hAnsi="Calibri" w:cs="Calibri"/>
                <w:bCs/>
                <w:color w:val="000000"/>
                <w:lang w:val="es-CR"/>
              </w:rPr>
              <w:t>Participación en los foros (incluye aportes personales y réplicas a los y las demás estudiantes).</w:t>
            </w:r>
          </w:p>
          <w:p w14:paraId="3B62BE81" w14:textId="77777777" w:rsidR="005E4FEC" w:rsidRPr="005E4FEC" w:rsidRDefault="005E4FEC" w:rsidP="005E4FEC">
            <w:pPr>
              <w:numPr>
                <w:ilvl w:val="0"/>
                <w:numId w:val="35"/>
              </w:numPr>
              <w:contextualSpacing/>
              <w:rPr>
                <w:rFonts w:ascii="Calibri" w:eastAsia="Calibri" w:hAnsi="Calibri" w:cs="Calibri"/>
                <w:bCs/>
                <w:color w:val="000000"/>
                <w:lang w:val="es-CR"/>
              </w:rPr>
            </w:pPr>
            <w:r w:rsidRPr="005E4FEC">
              <w:rPr>
                <w:rFonts w:ascii="Calibri" w:eastAsia="Calibri" w:hAnsi="Calibri" w:cs="Calibri"/>
                <w:bCs/>
                <w:color w:val="000000"/>
                <w:lang w:val="es-CR"/>
              </w:rPr>
              <w:t>Participación en los encuentros sincrónicos virtuales.</w:t>
            </w:r>
          </w:p>
          <w:p w14:paraId="56333AFF" w14:textId="77777777" w:rsidR="005E4FEC" w:rsidRPr="005E4FEC" w:rsidRDefault="005E4FEC" w:rsidP="005E4FEC">
            <w:pPr>
              <w:numPr>
                <w:ilvl w:val="0"/>
                <w:numId w:val="35"/>
              </w:numPr>
              <w:contextualSpacing/>
              <w:rPr>
                <w:rFonts w:ascii="Calibri" w:eastAsia="Calibri" w:hAnsi="Calibri" w:cs="Calibri"/>
                <w:bCs/>
                <w:color w:val="000000"/>
                <w:lang w:val="es-CR"/>
              </w:rPr>
            </w:pPr>
            <w:r w:rsidRPr="005E4FEC">
              <w:rPr>
                <w:rFonts w:ascii="Calibri" w:eastAsia="Calibri" w:hAnsi="Calibri" w:cs="Calibri"/>
                <w:bCs/>
                <w:color w:val="000000"/>
                <w:lang w:val="es-CR"/>
              </w:rPr>
              <w:t>Participación en la elaboración de un glosario.</w:t>
            </w:r>
          </w:p>
          <w:p w14:paraId="066B2434" w14:textId="77777777" w:rsidR="005E4FEC" w:rsidRPr="005E4FEC" w:rsidRDefault="005E4FEC" w:rsidP="005E4FEC">
            <w:pPr>
              <w:numPr>
                <w:ilvl w:val="0"/>
                <w:numId w:val="35"/>
              </w:numPr>
              <w:contextualSpacing/>
              <w:rPr>
                <w:rFonts w:ascii="Calibri" w:eastAsia="Calibri" w:hAnsi="Calibri" w:cs="Calibri"/>
                <w:bCs/>
                <w:color w:val="000000"/>
                <w:lang w:val="es-CR"/>
              </w:rPr>
            </w:pPr>
            <w:r w:rsidRPr="005E4FEC">
              <w:rPr>
                <w:rFonts w:ascii="Calibri" w:eastAsia="Calibri" w:hAnsi="Calibri" w:cs="Calibri"/>
                <w:bCs/>
                <w:color w:val="000000"/>
                <w:lang w:val="es-CR"/>
              </w:rPr>
              <w:t>Participación en la elaboración de un wiki.</w:t>
            </w:r>
          </w:p>
          <w:p w14:paraId="57589104" w14:textId="77777777" w:rsidR="005E4FEC" w:rsidRPr="005E4FEC" w:rsidRDefault="005E4FEC" w:rsidP="005E4FEC">
            <w:pPr>
              <w:numPr>
                <w:ilvl w:val="0"/>
                <w:numId w:val="35"/>
              </w:numPr>
              <w:contextualSpacing/>
              <w:rPr>
                <w:rFonts w:ascii="Calibri" w:eastAsia="Calibri" w:hAnsi="Calibri" w:cs="Calibri"/>
                <w:bCs/>
                <w:color w:val="000000"/>
                <w:lang w:val="es-CR"/>
              </w:rPr>
            </w:pPr>
            <w:r w:rsidRPr="005E4FEC">
              <w:rPr>
                <w:rFonts w:ascii="Calibri" w:eastAsia="Calibri" w:hAnsi="Calibri" w:cs="Calibri"/>
                <w:bCs/>
                <w:color w:val="000000"/>
                <w:lang w:val="es-CR"/>
              </w:rPr>
              <w:t>Elaboración de una presentación grupal.</w:t>
            </w:r>
          </w:p>
        </w:tc>
      </w:tr>
      <w:tr w:rsidR="005E4FEC" w:rsidRPr="005E4FEC" w14:paraId="55E5DFDE" w14:textId="77777777" w:rsidTr="00104785">
        <w:tc>
          <w:tcPr>
            <w:tcW w:w="2122" w:type="dxa"/>
            <w:vAlign w:val="center"/>
          </w:tcPr>
          <w:p w14:paraId="179D6CA6" w14:textId="77777777" w:rsidR="005E4FEC" w:rsidRPr="005E4FEC" w:rsidRDefault="005E4FEC" w:rsidP="005E4FEC">
            <w:pPr>
              <w:jc w:val="center"/>
              <w:rPr>
                <w:rFonts w:ascii="Calibri" w:hAnsi="Calibri" w:cs="Calibri"/>
                <w:bCs/>
                <w:color w:val="000000"/>
              </w:rPr>
            </w:pPr>
            <w:r w:rsidRPr="005E4FEC">
              <w:rPr>
                <w:rFonts w:ascii="Calibri" w:hAnsi="Calibri" w:cs="Calibri"/>
                <w:bCs/>
                <w:color w:val="000000"/>
              </w:rPr>
              <w:t>Horas de Producción Individual (HPI)</w:t>
            </w:r>
          </w:p>
        </w:tc>
        <w:tc>
          <w:tcPr>
            <w:tcW w:w="1417" w:type="dxa"/>
            <w:vAlign w:val="center"/>
          </w:tcPr>
          <w:p w14:paraId="0D5DE3DD" w14:textId="77777777" w:rsidR="005E4FEC" w:rsidRPr="005E4FEC" w:rsidRDefault="005E4FEC" w:rsidP="005E4FEC">
            <w:pPr>
              <w:jc w:val="center"/>
              <w:rPr>
                <w:rFonts w:ascii="Calibri" w:hAnsi="Calibri" w:cs="Calibri"/>
                <w:bCs/>
                <w:color w:val="000000"/>
              </w:rPr>
            </w:pPr>
            <w:r w:rsidRPr="005E4FEC">
              <w:rPr>
                <w:rFonts w:ascii="Calibri" w:hAnsi="Calibri" w:cs="Calibri"/>
                <w:bCs/>
                <w:color w:val="000000"/>
              </w:rPr>
              <w:t>3</w:t>
            </w:r>
          </w:p>
        </w:tc>
        <w:tc>
          <w:tcPr>
            <w:tcW w:w="5245" w:type="dxa"/>
          </w:tcPr>
          <w:p w14:paraId="65FB5AAB" w14:textId="77777777" w:rsidR="005E4FEC" w:rsidRPr="005E4FEC" w:rsidRDefault="005E4FEC" w:rsidP="005E4FEC">
            <w:pPr>
              <w:numPr>
                <w:ilvl w:val="0"/>
                <w:numId w:val="36"/>
              </w:numPr>
              <w:contextualSpacing/>
              <w:rPr>
                <w:rFonts w:ascii="Calibri" w:eastAsia="Calibri" w:hAnsi="Calibri" w:cs="Calibri"/>
                <w:bCs/>
                <w:color w:val="000000"/>
                <w:lang w:val="es-CR"/>
              </w:rPr>
            </w:pPr>
            <w:r w:rsidRPr="005E4FEC">
              <w:rPr>
                <w:rFonts w:ascii="Calibri" w:eastAsia="Calibri" w:hAnsi="Calibri" w:cs="Calibri"/>
                <w:bCs/>
                <w:color w:val="000000"/>
                <w:lang w:val="es-CR"/>
              </w:rPr>
              <w:t>Elaboración de reseñas críticas de lecturas.</w:t>
            </w:r>
          </w:p>
          <w:p w14:paraId="76D2339A" w14:textId="77777777" w:rsidR="005E4FEC" w:rsidRPr="005E4FEC" w:rsidRDefault="005E4FEC" w:rsidP="005E4FEC">
            <w:pPr>
              <w:numPr>
                <w:ilvl w:val="0"/>
                <w:numId w:val="36"/>
              </w:numPr>
              <w:contextualSpacing/>
              <w:rPr>
                <w:rFonts w:ascii="Calibri" w:eastAsia="Calibri" w:hAnsi="Calibri" w:cs="Calibri"/>
                <w:bCs/>
                <w:color w:val="000000"/>
                <w:lang w:val="es-CR"/>
              </w:rPr>
            </w:pPr>
            <w:r w:rsidRPr="005E4FEC">
              <w:rPr>
                <w:rFonts w:ascii="Calibri" w:eastAsia="Calibri" w:hAnsi="Calibri" w:cs="Calibri"/>
                <w:bCs/>
                <w:color w:val="000000"/>
                <w:lang w:val="es-CR"/>
              </w:rPr>
              <w:t>Elaboración de un ensayo.</w:t>
            </w:r>
          </w:p>
          <w:p w14:paraId="791280D8" w14:textId="77777777" w:rsidR="005E4FEC" w:rsidRPr="005E4FEC" w:rsidRDefault="005E4FEC" w:rsidP="005E4FEC">
            <w:pPr>
              <w:numPr>
                <w:ilvl w:val="0"/>
                <w:numId w:val="36"/>
              </w:numPr>
              <w:contextualSpacing/>
              <w:rPr>
                <w:rFonts w:ascii="Calibri" w:eastAsia="Calibri" w:hAnsi="Calibri" w:cs="Calibri"/>
                <w:bCs/>
                <w:color w:val="000000"/>
                <w:lang w:val="es-CR"/>
              </w:rPr>
            </w:pPr>
            <w:r w:rsidRPr="005E4FEC">
              <w:rPr>
                <w:rFonts w:ascii="Calibri" w:eastAsia="Calibri" w:hAnsi="Calibri" w:cs="Calibri"/>
                <w:bCs/>
                <w:color w:val="000000"/>
                <w:lang w:val="es-CR"/>
              </w:rPr>
              <w:t>Elaboración de una monografía (trabajo final).</w:t>
            </w:r>
          </w:p>
        </w:tc>
      </w:tr>
      <w:tr w:rsidR="005E4FEC" w:rsidRPr="005E4FEC" w14:paraId="7675D2F7" w14:textId="77777777" w:rsidTr="00104785">
        <w:tc>
          <w:tcPr>
            <w:tcW w:w="2122" w:type="dxa"/>
            <w:vAlign w:val="center"/>
          </w:tcPr>
          <w:p w14:paraId="6ECA3C29" w14:textId="77777777" w:rsidR="005E4FEC" w:rsidRPr="005E4FEC" w:rsidRDefault="005E4FEC" w:rsidP="005E4FEC">
            <w:pPr>
              <w:jc w:val="center"/>
              <w:rPr>
                <w:rFonts w:ascii="Calibri" w:hAnsi="Calibri" w:cs="Calibri"/>
                <w:b/>
                <w:bCs/>
                <w:color w:val="000000"/>
              </w:rPr>
            </w:pPr>
            <w:r w:rsidRPr="005E4FEC">
              <w:rPr>
                <w:rFonts w:ascii="Calibri" w:hAnsi="Calibri" w:cs="Calibri"/>
                <w:b/>
                <w:bCs/>
                <w:color w:val="000000"/>
              </w:rPr>
              <w:t>Total de horas (TH)</w:t>
            </w:r>
          </w:p>
        </w:tc>
        <w:tc>
          <w:tcPr>
            <w:tcW w:w="1417" w:type="dxa"/>
            <w:vAlign w:val="center"/>
          </w:tcPr>
          <w:p w14:paraId="5F72DC0A" w14:textId="77777777" w:rsidR="005E4FEC" w:rsidRPr="005E4FEC" w:rsidRDefault="005E4FEC" w:rsidP="005E4FEC">
            <w:pPr>
              <w:jc w:val="center"/>
              <w:rPr>
                <w:rFonts w:ascii="Calibri" w:hAnsi="Calibri" w:cs="Calibri"/>
                <w:b/>
                <w:bCs/>
                <w:color w:val="000000"/>
              </w:rPr>
            </w:pPr>
            <w:r w:rsidRPr="005E4FEC">
              <w:rPr>
                <w:rFonts w:ascii="Calibri" w:hAnsi="Calibri" w:cs="Calibri"/>
                <w:b/>
                <w:bCs/>
                <w:color w:val="000000"/>
              </w:rPr>
              <w:t>12</w:t>
            </w:r>
          </w:p>
        </w:tc>
        <w:tc>
          <w:tcPr>
            <w:tcW w:w="5245" w:type="dxa"/>
            <w:vAlign w:val="center"/>
          </w:tcPr>
          <w:p w14:paraId="5470623E" w14:textId="77777777" w:rsidR="005E4FEC" w:rsidRPr="005E4FEC" w:rsidRDefault="005E4FEC" w:rsidP="005E4FEC">
            <w:pPr>
              <w:jc w:val="center"/>
              <w:rPr>
                <w:rFonts w:ascii="Calibri" w:hAnsi="Calibri" w:cs="Calibri"/>
                <w:b/>
                <w:bCs/>
                <w:color w:val="000000"/>
              </w:rPr>
            </w:pPr>
          </w:p>
        </w:tc>
      </w:tr>
    </w:tbl>
    <w:p w14:paraId="212B43E5"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3D86CE7"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Arial"/>
          <w:color w:val="000000"/>
          <w:kern w:val="0"/>
          <w:lang w:val="es-ES_tradnl"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70D6A30C"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539E7FC"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4985ACA7"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83D511F"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7605811D"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lastRenderedPageBreak/>
        <w:t>X. Evaluación</w:t>
      </w:r>
    </w:p>
    <w:p w14:paraId="4C371F42"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color w:val="000000"/>
          <w:kern w:val="0"/>
          <w:lang w:val="es-ES_tradnl" w:eastAsia="es-CR"/>
          <w14:ligatures w14:val="none"/>
        </w:rPr>
        <w:t>La evaluación se realizará por medio de estrategias de aprendizaje individuales y colaborativas, con las cuales se busca comprobar, a lo largo del curso, la apropiación de los contenidos y el diálogo crítico con estos. Especialmente las actividades colaborativas aportarán en la evaluación de la capacidad de debate y colaboración en la producción de conocimiento. El curso de aprueba con una nota mínima de 7.00 (siete en escala decimal). Los porcentajes asignados a cada rubro evaluativo del curso son los siguientes:</w:t>
      </w:r>
    </w:p>
    <w:p w14:paraId="79B70C34"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W w:w="95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320"/>
        <w:gridCol w:w="1211"/>
      </w:tblGrid>
      <w:tr w:rsidR="005E4FEC" w:rsidRPr="005E4FEC" w14:paraId="2CDC5D81" w14:textId="77777777" w:rsidTr="00104785">
        <w:trPr>
          <w:trHeight w:val="266"/>
          <w:jc w:val="center"/>
        </w:trPr>
        <w:tc>
          <w:tcPr>
            <w:tcW w:w="9531" w:type="dxa"/>
            <w:gridSpan w:val="2"/>
          </w:tcPr>
          <w:p w14:paraId="7E5C0FF0" w14:textId="77777777" w:rsidR="005E4FEC" w:rsidRPr="005E4FEC" w:rsidRDefault="005E4FEC" w:rsidP="005E4FEC">
            <w:pPr>
              <w:autoSpaceDE w:val="0"/>
              <w:autoSpaceDN w:val="0"/>
              <w:adjustRightInd w:val="0"/>
              <w:spacing w:after="0" w:line="240" w:lineRule="auto"/>
              <w:contextualSpacing/>
              <w:jc w:val="center"/>
              <w:rPr>
                <w:rFonts w:ascii="Calibri" w:eastAsia="Calibri" w:hAnsi="Calibri" w:cs="Calibri"/>
                <w:b/>
                <w:bCs/>
                <w:i/>
                <w:color w:val="000000"/>
                <w:kern w:val="0"/>
                <w14:ligatures w14:val="none"/>
              </w:rPr>
            </w:pPr>
            <w:r w:rsidRPr="005E4FEC">
              <w:rPr>
                <w:rFonts w:ascii="Calibri" w:eastAsia="Calibri" w:hAnsi="Calibri" w:cs="Calibri"/>
                <w:b/>
                <w:color w:val="000000"/>
                <w:kern w:val="0"/>
                <w:lang w:val="es-ES_tradnl" w:eastAsia="es-CR"/>
                <w14:ligatures w14:val="none"/>
              </w:rPr>
              <w:t>Síntesis cuantitativa de la evaluación</w:t>
            </w:r>
          </w:p>
        </w:tc>
      </w:tr>
      <w:tr w:rsidR="005E4FEC" w:rsidRPr="005E4FEC" w14:paraId="0105F693" w14:textId="77777777" w:rsidTr="00104785">
        <w:trPr>
          <w:trHeight w:val="518"/>
          <w:jc w:val="center"/>
        </w:trPr>
        <w:tc>
          <w:tcPr>
            <w:tcW w:w="8320" w:type="dxa"/>
          </w:tcPr>
          <w:p w14:paraId="1CFBE652"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Cs/>
                <w:color w:val="000000"/>
                <w:kern w:val="0"/>
                <w14:ligatures w14:val="none"/>
              </w:rPr>
            </w:pPr>
            <w:r w:rsidRPr="005E4FEC">
              <w:rPr>
                <w:rFonts w:ascii="Calibri" w:eastAsia="Calibri" w:hAnsi="Calibri" w:cs="Calibri"/>
                <w:b/>
                <w:color w:val="000000"/>
                <w:kern w:val="0"/>
                <w:lang w:val="es-ES_tradnl" w:eastAsia="es-CR"/>
                <w14:ligatures w14:val="none"/>
              </w:rPr>
              <w:t>Rubros para evaluar</w:t>
            </w:r>
          </w:p>
        </w:tc>
        <w:tc>
          <w:tcPr>
            <w:tcW w:w="1211" w:type="dxa"/>
          </w:tcPr>
          <w:p w14:paraId="06BFA412" w14:textId="77777777" w:rsidR="005E4FEC" w:rsidRPr="005E4FEC" w:rsidRDefault="005E4FEC" w:rsidP="005E4FEC">
            <w:pPr>
              <w:autoSpaceDE w:val="0"/>
              <w:autoSpaceDN w:val="0"/>
              <w:adjustRightInd w:val="0"/>
              <w:spacing w:after="0" w:line="240" w:lineRule="auto"/>
              <w:contextualSpacing/>
              <w:jc w:val="center"/>
              <w:rPr>
                <w:rFonts w:ascii="Calibri" w:eastAsia="Calibri" w:hAnsi="Calibri" w:cs="Calibri"/>
                <w:b/>
                <w:bCs/>
                <w:i/>
                <w:color w:val="000000"/>
                <w:kern w:val="0"/>
                <w14:ligatures w14:val="none"/>
              </w:rPr>
            </w:pPr>
            <w:r w:rsidRPr="005E4FEC">
              <w:rPr>
                <w:rFonts w:ascii="Calibri" w:eastAsia="Calibri" w:hAnsi="Calibri" w:cs="Calibri"/>
                <w:b/>
                <w:color w:val="000000"/>
                <w:kern w:val="0"/>
                <w:lang w:val="es-ES_tradnl" w:eastAsia="es-CR"/>
                <w14:ligatures w14:val="none"/>
              </w:rPr>
              <w:t>Porcentaje total</w:t>
            </w:r>
          </w:p>
        </w:tc>
      </w:tr>
      <w:tr w:rsidR="005E4FEC" w:rsidRPr="005E4FEC" w14:paraId="511E2134" w14:textId="77777777" w:rsidTr="00104785">
        <w:trPr>
          <w:trHeight w:val="612"/>
          <w:jc w:val="center"/>
        </w:trPr>
        <w:tc>
          <w:tcPr>
            <w:tcW w:w="8320" w:type="dxa"/>
          </w:tcPr>
          <w:p w14:paraId="5CD10313"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70C0"/>
                <w:kern w:val="0"/>
                <w14:ligatures w14:val="none"/>
              </w:rPr>
            </w:pPr>
            <w:r w:rsidRPr="005E4FEC">
              <w:rPr>
                <w:rFonts w:ascii="Calibri" w:eastAsia="Calibri" w:hAnsi="Calibri" w:cs="Calibri"/>
                <w:b/>
                <w:bCs/>
                <w:i/>
                <w:color w:val="0070C0"/>
                <w:kern w:val="0"/>
                <w14:ligatures w14:val="none"/>
              </w:rPr>
              <w:t>Encuentros sincrónicos virtuales</w:t>
            </w:r>
          </w:p>
          <w:p w14:paraId="596FC70B"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70C0"/>
                <w:kern w:val="0"/>
                <w14:ligatures w14:val="none"/>
              </w:rPr>
            </w:pPr>
            <w:r w:rsidRPr="005E4FEC">
              <w:rPr>
                <w:rFonts w:ascii="Calibri" w:eastAsia="Calibri" w:hAnsi="Calibri" w:cs="Calibri"/>
                <w:iCs/>
                <w:color w:val="0070C0"/>
                <w:kern w:val="0"/>
                <w14:ligatures w14:val="none"/>
              </w:rPr>
              <w:t>Se llevan a cabo</w:t>
            </w:r>
            <w:r w:rsidRPr="005E4FEC">
              <w:rPr>
                <w:rFonts w:ascii="Calibri" w:eastAsia="Calibri" w:hAnsi="Calibri" w:cs="Calibri"/>
                <w:b/>
                <w:bCs/>
                <w:i/>
                <w:color w:val="0070C0"/>
                <w:kern w:val="0"/>
                <w14:ligatures w14:val="none"/>
              </w:rPr>
              <w:t xml:space="preserve"> </w:t>
            </w:r>
            <w:r w:rsidRPr="005E4FEC">
              <w:rPr>
                <w:rFonts w:ascii="Calibri" w:eastAsia="Calibri" w:hAnsi="Calibri" w:cs="Calibri"/>
                <w:iCs/>
                <w:color w:val="0070C0"/>
                <w:kern w:val="0"/>
                <w14:ligatures w14:val="none"/>
              </w:rPr>
              <w:t xml:space="preserve">en las sesiones 1, 3, 6, 7, 8, 10 y 13. Tienen un valor formativo y no sumativo. </w:t>
            </w:r>
          </w:p>
        </w:tc>
        <w:tc>
          <w:tcPr>
            <w:tcW w:w="1211" w:type="dxa"/>
            <w:vAlign w:val="center"/>
          </w:tcPr>
          <w:p w14:paraId="3033DFD1" w14:textId="77777777" w:rsidR="005E4FEC" w:rsidRPr="005E4FEC" w:rsidRDefault="005E4FEC" w:rsidP="005E4FEC">
            <w:pPr>
              <w:widowControl w:val="0"/>
              <w:overflowPunct w:val="0"/>
              <w:autoSpaceDE w:val="0"/>
              <w:autoSpaceDN w:val="0"/>
              <w:adjustRightInd w:val="0"/>
              <w:spacing w:before="120" w:after="0" w:line="240" w:lineRule="auto"/>
              <w:jc w:val="center"/>
              <w:rPr>
                <w:rFonts w:ascii="Calibri" w:eastAsia="Times New Roman" w:hAnsi="Calibri" w:cs="Calibri"/>
                <w:iCs/>
                <w:color w:val="0070C0"/>
                <w:kern w:val="0"/>
                <w:lang w:val="es-ES_tradnl" w:eastAsia="es-CR"/>
                <w14:ligatures w14:val="none"/>
              </w:rPr>
            </w:pPr>
            <w:r w:rsidRPr="005E4FEC">
              <w:rPr>
                <w:rFonts w:ascii="Calibri" w:eastAsia="Times New Roman" w:hAnsi="Calibri" w:cs="Calibri"/>
                <w:bCs/>
                <w:color w:val="0070C0"/>
                <w:kern w:val="0"/>
                <w:lang w:val="es-ES_tradnl" w:eastAsia="es-CR"/>
                <w14:ligatures w14:val="none"/>
              </w:rPr>
              <w:t>̶</w:t>
            </w:r>
          </w:p>
        </w:tc>
      </w:tr>
      <w:tr w:rsidR="005E4FEC" w:rsidRPr="005E4FEC" w14:paraId="699112EC" w14:textId="77777777" w:rsidTr="00104785">
        <w:trPr>
          <w:trHeight w:val="533"/>
          <w:jc w:val="center"/>
        </w:trPr>
        <w:tc>
          <w:tcPr>
            <w:tcW w:w="8320" w:type="dxa"/>
          </w:tcPr>
          <w:p w14:paraId="0BEC9E49"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5E4FEC">
              <w:rPr>
                <w:rFonts w:ascii="Calibri" w:eastAsia="Calibri" w:hAnsi="Calibri" w:cs="Calibri"/>
                <w:b/>
                <w:bCs/>
                <w:i/>
                <w:color w:val="000000"/>
                <w:kern w:val="0"/>
                <w14:ligatures w14:val="none"/>
              </w:rPr>
              <w:t>Foros temáticos</w:t>
            </w:r>
          </w:p>
          <w:p w14:paraId="0F811A8F"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5E4FEC">
              <w:rPr>
                <w:rFonts w:ascii="Calibri" w:eastAsia="Calibri" w:hAnsi="Calibri" w:cs="Calibri"/>
                <w:bCs/>
                <w:color w:val="000000"/>
                <w:kern w:val="0"/>
                <w14:ligatures w14:val="none"/>
              </w:rPr>
              <w:t xml:space="preserve">Se desarrollan en las sesiones 2, 9 y 14. Cada foro tiene un valor de 5%. </w:t>
            </w:r>
          </w:p>
        </w:tc>
        <w:tc>
          <w:tcPr>
            <w:tcW w:w="1211" w:type="dxa"/>
            <w:vAlign w:val="center"/>
          </w:tcPr>
          <w:p w14:paraId="66E490BA" w14:textId="77777777" w:rsidR="005E4FEC" w:rsidRPr="005E4FEC" w:rsidRDefault="005E4FEC" w:rsidP="005E4FEC">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5E4FEC">
              <w:rPr>
                <w:rFonts w:ascii="Calibri" w:eastAsia="Times New Roman" w:hAnsi="Calibri" w:cs="Calibri"/>
                <w:iCs/>
                <w:color w:val="000000"/>
                <w:kern w:val="0"/>
                <w:lang w:val="es-ES_tradnl" w:eastAsia="es-CR"/>
                <w14:ligatures w14:val="none"/>
              </w:rPr>
              <w:t>15%</w:t>
            </w:r>
          </w:p>
        </w:tc>
      </w:tr>
      <w:tr w:rsidR="005E4FEC" w:rsidRPr="005E4FEC" w14:paraId="2DF11449" w14:textId="77777777" w:rsidTr="00104785">
        <w:trPr>
          <w:trHeight w:val="518"/>
          <w:jc w:val="center"/>
        </w:trPr>
        <w:tc>
          <w:tcPr>
            <w:tcW w:w="8320" w:type="dxa"/>
          </w:tcPr>
          <w:p w14:paraId="7D8FE263"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Cs/>
                <w:color w:val="000000"/>
                <w:kern w:val="0"/>
                <w14:ligatures w14:val="none"/>
              </w:rPr>
            </w:pPr>
            <w:r w:rsidRPr="005E4FEC">
              <w:rPr>
                <w:rFonts w:ascii="Calibri" w:eastAsia="Calibri" w:hAnsi="Calibri" w:cs="Calibri"/>
                <w:b/>
                <w:bCs/>
                <w:i/>
                <w:color w:val="000000"/>
                <w:kern w:val="0"/>
                <w14:ligatures w14:val="none"/>
              </w:rPr>
              <w:t xml:space="preserve">Reseñas críticas de lecturas </w:t>
            </w:r>
            <w:r w:rsidRPr="005E4FEC">
              <w:rPr>
                <w:rFonts w:ascii="Calibri" w:eastAsia="Calibri" w:hAnsi="Calibri" w:cs="Calibri"/>
                <w:b/>
                <w:bCs/>
                <w:iCs/>
                <w:color w:val="000000"/>
                <w:kern w:val="0"/>
                <w14:ligatures w14:val="none"/>
              </w:rPr>
              <w:t xml:space="preserve"> </w:t>
            </w:r>
          </w:p>
          <w:p w14:paraId="13ECFD6F"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Cs/>
                <w:color w:val="000000"/>
                <w:kern w:val="0"/>
                <w14:ligatures w14:val="none"/>
              </w:rPr>
            </w:pPr>
            <w:r w:rsidRPr="005E4FEC">
              <w:rPr>
                <w:rFonts w:ascii="Calibri" w:eastAsia="Calibri" w:hAnsi="Calibri" w:cs="Calibri"/>
                <w:iCs/>
                <w:color w:val="000000"/>
                <w:kern w:val="0"/>
                <w14:ligatures w14:val="none"/>
              </w:rPr>
              <w:t>Se elaboran en las sesiones 3 y 11. Cada reseña tiene un valor de 10%.</w:t>
            </w:r>
          </w:p>
        </w:tc>
        <w:tc>
          <w:tcPr>
            <w:tcW w:w="1211" w:type="dxa"/>
            <w:vAlign w:val="center"/>
          </w:tcPr>
          <w:p w14:paraId="05C33C68" w14:textId="77777777" w:rsidR="005E4FEC" w:rsidRPr="005E4FEC" w:rsidRDefault="005E4FEC" w:rsidP="005E4FEC">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5E4FEC">
              <w:rPr>
                <w:rFonts w:ascii="Calibri" w:eastAsia="Times New Roman" w:hAnsi="Calibri" w:cs="Calibri"/>
                <w:iCs/>
                <w:color w:val="000000"/>
                <w:kern w:val="0"/>
                <w:lang w:val="es-ES_tradnl" w:eastAsia="es-CR"/>
                <w14:ligatures w14:val="none"/>
              </w:rPr>
              <w:t>20%</w:t>
            </w:r>
          </w:p>
        </w:tc>
      </w:tr>
      <w:tr w:rsidR="005E4FEC" w:rsidRPr="005E4FEC" w14:paraId="44C947DC" w14:textId="77777777" w:rsidTr="00104785">
        <w:trPr>
          <w:trHeight w:val="533"/>
          <w:jc w:val="center"/>
        </w:trPr>
        <w:tc>
          <w:tcPr>
            <w:tcW w:w="8320" w:type="dxa"/>
          </w:tcPr>
          <w:p w14:paraId="14A3F855"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5E4FEC">
              <w:rPr>
                <w:rFonts w:ascii="Calibri" w:eastAsia="Calibri" w:hAnsi="Calibri" w:cs="Calibri"/>
                <w:b/>
                <w:bCs/>
                <w:i/>
                <w:color w:val="000000"/>
                <w:kern w:val="0"/>
                <w14:ligatures w14:val="none"/>
              </w:rPr>
              <w:t>Wiki</w:t>
            </w:r>
          </w:p>
          <w:p w14:paraId="717A971D"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5E4FEC">
              <w:rPr>
                <w:rFonts w:ascii="Calibri" w:eastAsia="Calibri" w:hAnsi="Calibri" w:cs="Calibri"/>
                <w:iCs/>
                <w:color w:val="000000"/>
                <w:kern w:val="0"/>
                <w14:ligatures w14:val="none"/>
              </w:rPr>
              <w:t>Se desarrolla en las sesiones 12 y 13.</w:t>
            </w:r>
          </w:p>
        </w:tc>
        <w:tc>
          <w:tcPr>
            <w:tcW w:w="1211" w:type="dxa"/>
            <w:vAlign w:val="center"/>
          </w:tcPr>
          <w:p w14:paraId="07042342" w14:textId="77777777" w:rsidR="005E4FEC" w:rsidRPr="005E4FEC" w:rsidRDefault="005E4FEC" w:rsidP="005E4FEC">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5E4FEC">
              <w:rPr>
                <w:rFonts w:ascii="Calibri" w:eastAsia="Times New Roman" w:hAnsi="Calibri" w:cs="Calibri"/>
                <w:iCs/>
                <w:color w:val="000000"/>
                <w:kern w:val="0"/>
                <w:lang w:val="es-ES_tradnl" w:eastAsia="es-CR"/>
                <w14:ligatures w14:val="none"/>
              </w:rPr>
              <w:t>10%</w:t>
            </w:r>
          </w:p>
        </w:tc>
      </w:tr>
      <w:tr w:rsidR="005E4FEC" w:rsidRPr="005E4FEC" w14:paraId="6876DECC" w14:textId="77777777" w:rsidTr="00104785">
        <w:trPr>
          <w:trHeight w:val="518"/>
          <w:jc w:val="center"/>
        </w:trPr>
        <w:tc>
          <w:tcPr>
            <w:tcW w:w="8320" w:type="dxa"/>
          </w:tcPr>
          <w:p w14:paraId="78D69531"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5E4FEC">
              <w:rPr>
                <w:rFonts w:ascii="Calibri" w:eastAsia="Calibri" w:hAnsi="Calibri" w:cs="Calibri"/>
                <w:b/>
                <w:bCs/>
                <w:i/>
                <w:color w:val="000000"/>
                <w:kern w:val="0"/>
                <w14:ligatures w14:val="none"/>
              </w:rPr>
              <w:t>Glosario</w:t>
            </w:r>
          </w:p>
          <w:p w14:paraId="5B266393" w14:textId="77777777" w:rsidR="005E4FEC" w:rsidRPr="005E4FEC" w:rsidRDefault="005E4FEC" w:rsidP="005E4FEC">
            <w:pPr>
              <w:autoSpaceDE w:val="0"/>
              <w:autoSpaceDN w:val="0"/>
              <w:adjustRightInd w:val="0"/>
              <w:spacing w:after="0" w:line="240" w:lineRule="auto"/>
              <w:contextualSpacing/>
              <w:jc w:val="both"/>
              <w:rPr>
                <w:rFonts w:ascii="Calibri" w:eastAsia="Calibri" w:hAnsi="Calibri" w:cs="Calibri"/>
                <w:bCs/>
                <w:color w:val="000000"/>
                <w:kern w:val="0"/>
                <w14:ligatures w14:val="none"/>
              </w:rPr>
            </w:pPr>
            <w:r w:rsidRPr="005E4FEC">
              <w:rPr>
                <w:rFonts w:ascii="Calibri" w:eastAsia="Calibri" w:hAnsi="Calibri" w:cs="Calibri"/>
                <w:bCs/>
                <w:color w:val="000000"/>
                <w:kern w:val="0"/>
                <w14:ligatures w14:val="none"/>
              </w:rPr>
              <w:t xml:space="preserve">Se desarrolla en la sesión 4.  </w:t>
            </w:r>
          </w:p>
        </w:tc>
        <w:tc>
          <w:tcPr>
            <w:tcW w:w="1211" w:type="dxa"/>
            <w:vAlign w:val="center"/>
          </w:tcPr>
          <w:p w14:paraId="6AC6D218" w14:textId="77777777" w:rsidR="005E4FEC" w:rsidRPr="005E4FEC" w:rsidRDefault="005E4FEC" w:rsidP="005E4FEC">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5E4FEC">
              <w:rPr>
                <w:rFonts w:ascii="Calibri" w:eastAsia="Times New Roman" w:hAnsi="Calibri" w:cs="Calibri"/>
                <w:iCs/>
                <w:color w:val="000000"/>
                <w:kern w:val="0"/>
                <w:lang w:val="es-ES_tradnl" w:eastAsia="es-CR"/>
                <w14:ligatures w14:val="none"/>
              </w:rPr>
              <w:t>5%</w:t>
            </w:r>
          </w:p>
        </w:tc>
      </w:tr>
      <w:tr w:rsidR="005E4FEC" w:rsidRPr="005E4FEC" w14:paraId="45A24013" w14:textId="77777777" w:rsidTr="00104785">
        <w:trPr>
          <w:trHeight w:val="499"/>
          <w:jc w:val="center"/>
        </w:trPr>
        <w:tc>
          <w:tcPr>
            <w:tcW w:w="8320" w:type="dxa"/>
          </w:tcPr>
          <w:p w14:paraId="334E3085"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5E4FEC">
              <w:rPr>
                <w:rFonts w:ascii="Calibri" w:eastAsia="Calibri" w:hAnsi="Calibri" w:cs="Calibri"/>
                <w:b/>
                <w:bCs/>
                <w:i/>
                <w:color w:val="000000"/>
                <w:kern w:val="0"/>
                <w14:ligatures w14:val="none"/>
              </w:rPr>
              <w:t>Ensayo</w:t>
            </w:r>
          </w:p>
          <w:p w14:paraId="59A8342F" w14:textId="77777777" w:rsidR="005E4FEC" w:rsidRPr="005E4FEC" w:rsidRDefault="005E4FEC" w:rsidP="005E4FEC">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0000"/>
                <w:kern w:val="0"/>
                <w14:ligatures w14:val="none"/>
              </w:rPr>
            </w:pPr>
            <w:r w:rsidRPr="005E4FEC">
              <w:rPr>
                <w:rFonts w:ascii="Calibri" w:eastAsia="Calibri" w:hAnsi="Calibri" w:cs="Calibri"/>
                <w:iCs/>
                <w:color w:val="000000"/>
                <w:kern w:val="0"/>
                <w14:ligatures w14:val="none"/>
              </w:rPr>
              <w:t>Se elabora en la sesión 5.</w:t>
            </w:r>
          </w:p>
        </w:tc>
        <w:tc>
          <w:tcPr>
            <w:tcW w:w="1211" w:type="dxa"/>
            <w:vAlign w:val="center"/>
          </w:tcPr>
          <w:p w14:paraId="24E6CF0F" w14:textId="77777777" w:rsidR="005E4FEC" w:rsidRPr="005E4FEC" w:rsidRDefault="005E4FEC" w:rsidP="005E4FEC">
            <w:pPr>
              <w:widowControl w:val="0"/>
              <w:overflowPunct w:val="0"/>
              <w:autoSpaceDE w:val="0"/>
              <w:autoSpaceDN w:val="0"/>
              <w:adjustRightInd w:val="0"/>
              <w:spacing w:before="120" w:after="0" w:line="240" w:lineRule="auto"/>
              <w:jc w:val="center"/>
              <w:rPr>
                <w:rFonts w:ascii="Calibri" w:eastAsia="Times New Roman" w:hAnsi="Calibri" w:cs="Calibri"/>
                <w:iCs/>
                <w:color w:val="000000"/>
                <w:kern w:val="0"/>
                <w:lang w:val="es-ES_tradnl" w:eastAsia="es-CR"/>
                <w14:ligatures w14:val="none"/>
              </w:rPr>
            </w:pPr>
            <w:r w:rsidRPr="005E4FEC">
              <w:rPr>
                <w:rFonts w:ascii="Calibri" w:eastAsia="Times New Roman" w:hAnsi="Calibri" w:cs="Calibri"/>
                <w:iCs/>
                <w:color w:val="000000"/>
                <w:kern w:val="0"/>
                <w:lang w:val="es-ES_tradnl" w:eastAsia="es-CR"/>
                <w14:ligatures w14:val="none"/>
              </w:rPr>
              <w:t>10%</w:t>
            </w:r>
          </w:p>
        </w:tc>
      </w:tr>
      <w:tr w:rsidR="005E4FEC" w:rsidRPr="005E4FEC" w14:paraId="2C62FBC9" w14:textId="77777777" w:rsidTr="00104785">
        <w:trPr>
          <w:trHeight w:val="369"/>
          <w:jc w:val="center"/>
        </w:trPr>
        <w:tc>
          <w:tcPr>
            <w:tcW w:w="8320" w:type="dxa"/>
            <w:vAlign w:val="center"/>
          </w:tcPr>
          <w:p w14:paraId="7C80F9A2" w14:textId="77777777" w:rsidR="005E4FEC" w:rsidRPr="005E4FEC" w:rsidRDefault="005E4FEC" w:rsidP="005E4FEC">
            <w:pPr>
              <w:autoSpaceDE w:val="0"/>
              <w:autoSpaceDN w:val="0"/>
              <w:adjustRightInd w:val="0"/>
              <w:spacing w:after="0" w:line="240" w:lineRule="auto"/>
              <w:contextualSpacing/>
              <w:rPr>
                <w:rFonts w:ascii="Calibri" w:eastAsia="Calibri" w:hAnsi="Calibri" w:cs="Calibri"/>
                <w:b/>
                <w:bCs/>
                <w:i/>
                <w:iCs/>
                <w:color w:val="000000"/>
                <w:kern w:val="0"/>
                <w14:ligatures w14:val="none"/>
              </w:rPr>
            </w:pPr>
            <w:r w:rsidRPr="005E4FEC">
              <w:rPr>
                <w:rFonts w:ascii="Calibri" w:eastAsia="Calibri" w:hAnsi="Calibri" w:cs="Calibri"/>
                <w:b/>
                <w:bCs/>
                <w:i/>
                <w:iCs/>
                <w:color w:val="000000"/>
                <w:kern w:val="0"/>
                <w14:ligatures w14:val="none"/>
              </w:rPr>
              <w:t>Presentación grupal</w:t>
            </w:r>
          </w:p>
          <w:p w14:paraId="7AF5A8CB" w14:textId="77777777" w:rsidR="005E4FEC" w:rsidRPr="005E4FEC" w:rsidRDefault="005E4FEC" w:rsidP="005E4FEC">
            <w:pPr>
              <w:autoSpaceDE w:val="0"/>
              <w:autoSpaceDN w:val="0"/>
              <w:adjustRightInd w:val="0"/>
              <w:spacing w:after="0" w:line="240" w:lineRule="auto"/>
              <w:contextualSpacing/>
              <w:jc w:val="both"/>
              <w:rPr>
                <w:rFonts w:ascii="Calibri" w:eastAsia="Calibri" w:hAnsi="Calibri" w:cs="Calibri"/>
                <w:color w:val="000000"/>
                <w:kern w:val="0"/>
                <w14:ligatures w14:val="none"/>
              </w:rPr>
            </w:pPr>
            <w:r w:rsidRPr="005E4FEC">
              <w:rPr>
                <w:rFonts w:ascii="Calibri" w:eastAsia="Calibri" w:hAnsi="Calibri" w:cs="Calibri"/>
                <w:color w:val="000000"/>
                <w:kern w:val="0"/>
                <w14:ligatures w14:val="none"/>
              </w:rPr>
              <w:t>Cada estudiante realizará una presentación en forma grupal en alguna de las siguientes sesiones: 6, 7, 8 o 10 (según asignación docente).</w:t>
            </w:r>
          </w:p>
        </w:tc>
        <w:tc>
          <w:tcPr>
            <w:tcW w:w="1211" w:type="dxa"/>
            <w:vAlign w:val="center"/>
          </w:tcPr>
          <w:p w14:paraId="3D597825" w14:textId="77777777" w:rsidR="005E4FEC" w:rsidRPr="005E4FEC" w:rsidRDefault="005E4FEC" w:rsidP="005E4FEC">
            <w:pPr>
              <w:widowControl w:val="0"/>
              <w:overflowPunct w:val="0"/>
              <w:autoSpaceDE w:val="0"/>
              <w:autoSpaceDN w:val="0"/>
              <w:adjustRightInd w:val="0"/>
              <w:spacing w:before="120" w:after="0" w:line="240" w:lineRule="auto"/>
              <w:jc w:val="center"/>
              <w:rPr>
                <w:rFonts w:ascii="Calibri" w:eastAsia="Times New Roman" w:hAnsi="Calibri" w:cs="Calibri"/>
                <w:bCs/>
                <w:iCs/>
                <w:color w:val="000000"/>
                <w:kern w:val="0"/>
                <w:lang w:val="es-ES_tradnl" w:eastAsia="es-CR"/>
                <w14:ligatures w14:val="none"/>
              </w:rPr>
            </w:pPr>
            <w:r w:rsidRPr="005E4FEC">
              <w:rPr>
                <w:rFonts w:ascii="Calibri" w:eastAsia="Times New Roman" w:hAnsi="Calibri" w:cs="Calibri"/>
                <w:bCs/>
                <w:iCs/>
                <w:color w:val="000000"/>
                <w:kern w:val="0"/>
                <w:lang w:val="es-ES_tradnl" w:eastAsia="es-CR"/>
                <w14:ligatures w14:val="none"/>
              </w:rPr>
              <w:t>10%</w:t>
            </w:r>
          </w:p>
        </w:tc>
      </w:tr>
      <w:tr w:rsidR="005E4FEC" w:rsidRPr="005E4FEC" w14:paraId="5F9F8138" w14:textId="77777777" w:rsidTr="00104785">
        <w:trPr>
          <w:trHeight w:val="369"/>
          <w:jc w:val="center"/>
        </w:trPr>
        <w:tc>
          <w:tcPr>
            <w:tcW w:w="8320" w:type="dxa"/>
            <w:vAlign w:val="center"/>
          </w:tcPr>
          <w:p w14:paraId="6C62076A" w14:textId="77777777" w:rsidR="005E4FEC" w:rsidRPr="005E4FEC" w:rsidRDefault="005E4FEC" w:rsidP="005E4FEC">
            <w:pPr>
              <w:autoSpaceDE w:val="0"/>
              <w:autoSpaceDN w:val="0"/>
              <w:adjustRightInd w:val="0"/>
              <w:spacing w:after="0" w:line="240" w:lineRule="auto"/>
              <w:contextualSpacing/>
              <w:rPr>
                <w:rFonts w:ascii="Calibri" w:eastAsia="Calibri" w:hAnsi="Calibri" w:cs="Calibri"/>
                <w:b/>
                <w:bCs/>
                <w:i/>
                <w:iCs/>
                <w:color w:val="000000"/>
                <w:kern w:val="0"/>
                <w14:ligatures w14:val="none"/>
              </w:rPr>
            </w:pPr>
            <w:r w:rsidRPr="005E4FEC">
              <w:rPr>
                <w:rFonts w:ascii="Calibri" w:eastAsia="Calibri" w:hAnsi="Calibri" w:cs="Calibri"/>
                <w:b/>
                <w:bCs/>
                <w:i/>
                <w:iCs/>
                <w:color w:val="000000"/>
                <w:kern w:val="0"/>
                <w14:ligatures w14:val="none"/>
              </w:rPr>
              <w:t>Monografía final</w:t>
            </w:r>
          </w:p>
          <w:p w14:paraId="07C34C98" w14:textId="77777777" w:rsidR="005E4FEC" w:rsidRPr="005E4FEC" w:rsidRDefault="005E4FEC" w:rsidP="005E4FEC">
            <w:pPr>
              <w:autoSpaceDE w:val="0"/>
              <w:autoSpaceDN w:val="0"/>
              <w:adjustRightInd w:val="0"/>
              <w:spacing w:after="0" w:line="240" w:lineRule="auto"/>
              <w:contextualSpacing/>
              <w:rPr>
                <w:rFonts w:ascii="Calibri" w:eastAsia="Calibri" w:hAnsi="Calibri" w:cs="Calibri"/>
                <w:color w:val="000000"/>
                <w:kern w:val="0"/>
                <w14:ligatures w14:val="none"/>
              </w:rPr>
            </w:pPr>
            <w:r w:rsidRPr="005E4FEC">
              <w:rPr>
                <w:rFonts w:ascii="Calibri" w:eastAsia="Calibri" w:hAnsi="Calibri" w:cs="Calibri"/>
                <w:color w:val="000000"/>
                <w:kern w:val="0"/>
                <w14:ligatures w14:val="none"/>
              </w:rPr>
              <w:t>Se elabora desde la sesión 5 hasta la 15 de la siguiente forma:</w:t>
            </w:r>
          </w:p>
          <w:p w14:paraId="6A5E2A06" w14:textId="77777777" w:rsidR="005E4FEC" w:rsidRPr="005E4FEC" w:rsidRDefault="005E4FEC" w:rsidP="005E4FEC">
            <w:pPr>
              <w:autoSpaceDE w:val="0"/>
              <w:autoSpaceDN w:val="0"/>
              <w:adjustRightInd w:val="0"/>
              <w:spacing w:after="0" w:line="240" w:lineRule="auto"/>
              <w:contextualSpacing/>
              <w:rPr>
                <w:rFonts w:ascii="Calibri" w:eastAsia="Calibri" w:hAnsi="Calibri" w:cs="Calibri"/>
                <w:color w:val="000000"/>
                <w:kern w:val="0"/>
                <w14:ligatures w14:val="none"/>
              </w:rPr>
            </w:pPr>
            <w:r w:rsidRPr="005E4FEC">
              <w:rPr>
                <w:rFonts w:ascii="Calibri" w:eastAsia="Calibri" w:hAnsi="Calibri" w:cs="Calibri"/>
                <w:color w:val="000000"/>
                <w:kern w:val="0"/>
                <w14:ligatures w14:val="none"/>
              </w:rPr>
              <w:t>- Escogencia del texto bíblico para comentar (sesión 5).</w:t>
            </w:r>
          </w:p>
          <w:p w14:paraId="397F1AF8" w14:textId="77777777" w:rsidR="005E4FEC" w:rsidRPr="005E4FEC" w:rsidRDefault="005E4FEC" w:rsidP="005E4FEC">
            <w:pPr>
              <w:autoSpaceDE w:val="0"/>
              <w:autoSpaceDN w:val="0"/>
              <w:adjustRightInd w:val="0"/>
              <w:spacing w:after="0" w:line="240" w:lineRule="auto"/>
              <w:contextualSpacing/>
              <w:rPr>
                <w:rFonts w:ascii="Calibri" w:eastAsia="Calibri" w:hAnsi="Calibri" w:cs="Calibri"/>
                <w:color w:val="000000"/>
                <w:kern w:val="0"/>
                <w14:ligatures w14:val="none"/>
              </w:rPr>
            </w:pPr>
            <w:r w:rsidRPr="005E4FEC">
              <w:rPr>
                <w:rFonts w:ascii="Calibri" w:eastAsia="Calibri" w:hAnsi="Calibri" w:cs="Calibri"/>
                <w:color w:val="000000"/>
                <w:kern w:val="0"/>
                <w14:ligatures w14:val="none"/>
              </w:rPr>
              <w:t>- Entrega de un avance (sesión 9).</w:t>
            </w:r>
          </w:p>
          <w:p w14:paraId="5C3A806C" w14:textId="77777777" w:rsidR="005E4FEC" w:rsidRPr="005E4FEC" w:rsidRDefault="005E4FEC" w:rsidP="005E4FEC">
            <w:pPr>
              <w:autoSpaceDE w:val="0"/>
              <w:autoSpaceDN w:val="0"/>
              <w:adjustRightInd w:val="0"/>
              <w:spacing w:after="0" w:line="240" w:lineRule="auto"/>
              <w:contextualSpacing/>
              <w:rPr>
                <w:rFonts w:ascii="Calibri" w:eastAsia="Calibri" w:hAnsi="Calibri" w:cs="Calibri"/>
                <w:color w:val="000000"/>
                <w:kern w:val="0"/>
                <w14:ligatures w14:val="none"/>
              </w:rPr>
            </w:pPr>
            <w:r w:rsidRPr="005E4FEC">
              <w:rPr>
                <w:rFonts w:ascii="Calibri" w:eastAsia="Calibri" w:hAnsi="Calibri" w:cs="Calibri"/>
                <w:color w:val="000000"/>
                <w:kern w:val="0"/>
                <w14:ligatures w14:val="none"/>
              </w:rPr>
              <w:t xml:space="preserve">- Entrega de la monografía (sesión 15). </w:t>
            </w:r>
          </w:p>
        </w:tc>
        <w:tc>
          <w:tcPr>
            <w:tcW w:w="1211" w:type="dxa"/>
            <w:vAlign w:val="center"/>
          </w:tcPr>
          <w:p w14:paraId="4B5D9164" w14:textId="77777777" w:rsidR="005E4FEC" w:rsidRPr="005E4FEC" w:rsidRDefault="005E4FEC" w:rsidP="005E4FEC">
            <w:pPr>
              <w:widowControl w:val="0"/>
              <w:overflowPunct w:val="0"/>
              <w:autoSpaceDE w:val="0"/>
              <w:autoSpaceDN w:val="0"/>
              <w:adjustRightInd w:val="0"/>
              <w:spacing w:before="120" w:after="0" w:line="240" w:lineRule="auto"/>
              <w:jc w:val="center"/>
              <w:rPr>
                <w:rFonts w:ascii="Calibri" w:eastAsia="Times New Roman" w:hAnsi="Calibri" w:cs="Calibri"/>
                <w:bCs/>
                <w:iCs/>
                <w:color w:val="000000"/>
                <w:kern w:val="0"/>
                <w:lang w:val="es-ES_tradnl" w:eastAsia="es-CR"/>
                <w14:ligatures w14:val="none"/>
              </w:rPr>
            </w:pPr>
            <w:r w:rsidRPr="005E4FEC">
              <w:rPr>
                <w:rFonts w:ascii="Calibri" w:eastAsia="Times New Roman" w:hAnsi="Calibri" w:cs="Calibri"/>
                <w:bCs/>
                <w:iCs/>
                <w:color w:val="0070C0"/>
                <w:kern w:val="0"/>
                <w:lang w:val="es-ES_tradnl" w:eastAsia="es-CR"/>
                <w14:ligatures w14:val="none"/>
              </w:rPr>
              <w:t>30%</w:t>
            </w:r>
          </w:p>
        </w:tc>
      </w:tr>
      <w:tr w:rsidR="005E4FEC" w:rsidRPr="005E4FEC" w14:paraId="1D753E2C" w14:textId="77777777" w:rsidTr="00104785">
        <w:trPr>
          <w:trHeight w:val="198"/>
          <w:jc w:val="center"/>
        </w:trPr>
        <w:tc>
          <w:tcPr>
            <w:tcW w:w="8320" w:type="dxa"/>
            <w:vAlign w:val="center"/>
          </w:tcPr>
          <w:p w14:paraId="052D1DA9" w14:textId="77777777" w:rsidR="005E4FEC" w:rsidRPr="005E4FEC" w:rsidRDefault="005E4FEC" w:rsidP="005E4FEC">
            <w:pPr>
              <w:autoSpaceDE w:val="0"/>
              <w:autoSpaceDN w:val="0"/>
              <w:adjustRightInd w:val="0"/>
              <w:spacing w:after="0" w:line="240" w:lineRule="auto"/>
              <w:contextualSpacing/>
              <w:rPr>
                <w:rFonts w:ascii="Calibri" w:eastAsia="Calibri" w:hAnsi="Calibri" w:cs="Calibri"/>
                <w:b/>
                <w:bCs/>
                <w:color w:val="000000"/>
                <w:kern w:val="0"/>
                <w14:ligatures w14:val="none"/>
              </w:rPr>
            </w:pPr>
            <w:r w:rsidRPr="005E4FEC">
              <w:rPr>
                <w:rFonts w:ascii="Calibri" w:eastAsia="Calibri" w:hAnsi="Calibri" w:cs="Calibri"/>
                <w:b/>
                <w:bCs/>
                <w:color w:val="000000"/>
                <w:kern w:val="0"/>
                <w14:ligatures w14:val="none"/>
              </w:rPr>
              <w:t>Total</w:t>
            </w:r>
          </w:p>
        </w:tc>
        <w:tc>
          <w:tcPr>
            <w:tcW w:w="1211" w:type="dxa"/>
            <w:vAlign w:val="center"/>
          </w:tcPr>
          <w:p w14:paraId="2ED7877B" w14:textId="77777777" w:rsidR="005E4FEC" w:rsidRPr="005E4FEC" w:rsidRDefault="005E4FEC" w:rsidP="005E4FEC">
            <w:pPr>
              <w:widowControl w:val="0"/>
              <w:overflowPunct w:val="0"/>
              <w:autoSpaceDE w:val="0"/>
              <w:autoSpaceDN w:val="0"/>
              <w:adjustRightInd w:val="0"/>
              <w:spacing w:before="120" w:after="0" w:line="240" w:lineRule="auto"/>
              <w:jc w:val="center"/>
              <w:rPr>
                <w:rFonts w:ascii="Calibri" w:eastAsia="Times New Roman" w:hAnsi="Calibri" w:cs="Calibri"/>
                <w:b/>
                <w:iCs/>
                <w:color w:val="000000"/>
                <w:kern w:val="0"/>
                <w:lang w:val="es-ES_tradnl" w:eastAsia="es-CR"/>
                <w14:ligatures w14:val="none"/>
              </w:rPr>
            </w:pPr>
            <w:r w:rsidRPr="005E4FEC">
              <w:rPr>
                <w:rFonts w:ascii="Calibri" w:eastAsia="Times New Roman" w:hAnsi="Calibri" w:cs="Calibri"/>
                <w:b/>
                <w:iCs/>
                <w:color w:val="000000"/>
                <w:kern w:val="0"/>
                <w:lang w:val="es-ES_tradnl" w:eastAsia="es-CR"/>
                <w14:ligatures w14:val="none"/>
              </w:rPr>
              <w:t>100%</w:t>
            </w:r>
          </w:p>
        </w:tc>
      </w:tr>
    </w:tbl>
    <w:p w14:paraId="35DED236"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0332C3F"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06A92451"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21E2DE51"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17778752"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5F8F099D" w14:textId="77777777" w:rsidR="005E4FEC" w:rsidRPr="005E4FEC" w:rsidRDefault="005E4FEC" w:rsidP="005E4FEC">
      <w:pPr>
        <w:rPr>
          <w:rFonts w:ascii="Calibri" w:eastAsia="Times New Roman" w:hAnsi="Calibri" w:cs="Calibri"/>
          <w:b/>
          <w:color w:val="000000"/>
          <w:kern w:val="0"/>
          <w:lang w:val="es-ES_tradnl" w:eastAsia="es-CR"/>
          <w14:ligatures w14:val="none"/>
        </w:rPr>
        <w:sectPr w:rsidR="005E4FEC" w:rsidRPr="005E4FEC" w:rsidSect="005E4FEC">
          <w:headerReference w:type="default" r:id="rId393"/>
          <w:pgSz w:w="12240" w:h="15840"/>
          <w:pgMar w:top="1417" w:right="1701" w:bottom="1417" w:left="1701" w:header="708" w:footer="708" w:gutter="0"/>
          <w:pgNumType w:start="354"/>
          <w:cols w:space="708"/>
          <w:docGrid w:linePitch="360"/>
        </w:sectPr>
      </w:pPr>
    </w:p>
    <w:p w14:paraId="0D70A80D" w14:textId="77777777" w:rsidR="005E4FEC" w:rsidRPr="005E4FEC" w:rsidRDefault="005E4FEC" w:rsidP="005E4FEC">
      <w:pPr>
        <w:jc w:val="center"/>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773376" behindDoc="0" locked="0" layoutInCell="1" allowOverlap="1" wp14:anchorId="02EC7F53" wp14:editId="45DD40C9">
                <wp:simplePos x="0" y="0"/>
                <wp:positionH relativeFrom="margin">
                  <wp:align>center</wp:align>
                </wp:positionH>
                <wp:positionV relativeFrom="paragraph">
                  <wp:posOffset>-359093</wp:posOffset>
                </wp:positionV>
                <wp:extent cx="7879080" cy="390525"/>
                <wp:effectExtent l="0" t="0" r="26670" b="28575"/>
                <wp:wrapNone/>
                <wp:docPr id="15629317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90525"/>
                        </a:xfrm>
                        <a:prstGeom prst="rect">
                          <a:avLst/>
                        </a:prstGeom>
                        <a:solidFill>
                          <a:srgbClr val="FFFFFF"/>
                        </a:solidFill>
                        <a:ln w="9525">
                          <a:solidFill>
                            <a:srgbClr val="000000"/>
                          </a:solidFill>
                          <a:miter lim="800000"/>
                          <a:headEnd/>
                          <a:tailEnd/>
                        </a:ln>
                      </wps:spPr>
                      <wps:txbx>
                        <w:txbxContent>
                          <w:p w14:paraId="68FB9152" w14:textId="77777777" w:rsidR="005E4FEC" w:rsidRPr="005E4FEC" w:rsidRDefault="005E4FEC" w:rsidP="005E4FEC">
                            <w:pPr>
                              <w:jc w:val="center"/>
                              <w:rPr>
                                <w:rFonts w:cs="Calibri"/>
                                <w:b/>
                                <w:szCs w:val="24"/>
                              </w:rPr>
                            </w:pPr>
                            <w:r w:rsidRPr="005E4FEC">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EC7F53" id="_x0000_s1195" type="#_x0000_t202" style="position:absolute;left:0;text-align:left;margin-left:0;margin-top:-28.3pt;width:620.4pt;height:30.75pt;z-index:2527733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">
                <v:textbox>
                  <w:txbxContent>
                    <w:p w14:paraId="68FB9152" w14:textId="77777777" w:rsidR="005E4FEC" w:rsidRPr="005E4FEC" w:rsidRDefault="005E4FEC" w:rsidP="005E4FEC">
                      <w:pPr>
                        <w:jc w:val="center"/>
                        <w:rPr>
                          <w:rFonts w:cs="Calibri"/>
                          <w:b/>
                          <w:szCs w:val="24"/>
                        </w:rPr>
                      </w:pPr>
                      <w:r w:rsidRPr="005E4FEC">
                        <w:rPr>
                          <w:rFonts w:cs="Calibri"/>
                          <w:b/>
                          <w:szCs w:val="24"/>
                        </w:rPr>
                        <w:t>RÚBRICA DE EVALUACIÓN – FORO TEMÁTICO</w:t>
                      </w:r>
                    </w:p>
                  </w:txbxContent>
                </v:textbox>
                <w10:wrap anchorx="margin"/>
              </v:shape>
            </w:pict>
          </mc:Fallback>
        </mc:AlternateContent>
      </w:r>
    </w:p>
    <w:p w14:paraId="35EBB04C" w14:textId="77777777" w:rsidR="005E4FEC" w:rsidRPr="005E4FEC" w:rsidRDefault="005E4FEC" w:rsidP="005E4FEC">
      <w:pPr>
        <w:jc w:val="center"/>
        <w:rPr>
          <w:rFonts w:ascii="Calibri" w:eastAsia="Times New Roman" w:hAnsi="Calibri" w:cs="Calibri"/>
          <w:bCs/>
          <w:color w:val="0070C0"/>
          <w:kern w:val="0"/>
          <w:lang w:val="es-ES_tradnl" w:eastAsia="es-CR"/>
          <w14:ligatures w14:val="none"/>
        </w:rPr>
      </w:pPr>
      <w:r w:rsidRPr="005E4FEC">
        <w:rPr>
          <w:rFonts w:ascii="Calibri" w:eastAsia="Times New Roman" w:hAnsi="Calibri" w:cs="Calibri"/>
          <w:bCs/>
          <w:color w:val="0070C0"/>
          <w:kern w:val="0"/>
          <w:lang w:val="es-ES_tradnl" w:eastAsia="es-CR"/>
          <w14:ligatures w14:val="none"/>
        </w:rPr>
        <w:t>Los foros permiten una interacción sostenida asincrónica entre las personas estudiantes sobre temas específicos. Cada foro requiere un aporte inicial que responda a las orientaciones aportadas. Se desarrollan en las sesiones 2, 9 y 14. Cada foro tiene un valor de 5%.</w:t>
      </w:r>
    </w:p>
    <w:p w14:paraId="2DD72894" w14:textId="77777777" w:rsidR="005E4FEC" w:rsidRPr="005E4FEC" w:rsidRDefault="005E4FEC" w:rsidP="005E4FEC">
      <w:pPr>
        <w:jc w:val="center"/>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noProof/>
          <w:color w:val="000000"/>
          <w:kern w:val="0"/>
          <w:lang w:val="es-ES_tradnl" w:eastAsia="es-CR"/>
          <w14:ligatures w14:val="none"/>
        </w:rPr>
        <w:drawing>
          <wp:anchor distT="0" distB="0" distL="114300" distR="114300" simplePos="0" relativeHeight="252774400" behindDoc="0" locked="0" layoutInCell="1" allowOverlap="1" wp14:anchorId="540B2A40" wp14:editId="4B60B1D1">
            <wp:simplePos x="0" y="0"/>
            <wp:positionH relativeFrom="margin">
              <wp:align>center</wp:align>
            </wp:positionH>
            <wp:positionV relativeFrom="paragraph">
              <wp:posOffset>106045</wp:posOffset>
            </wp:positionV>
            <wp:extent cx="7967662" cy="5782088"/>
            <wp:effectExtent l="0" t="0" r="0" b="9525"/>
            <wp:wrapNone/>
            <wp:docPr id="82395856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958568" name="Imagen 1" descr="Tabla&#10;&#10;Descripción generada automáticamente"/>
                    <pic:cNvPicPr/>
                  </pic:nvPicPr>
                  <pic:blipFill>
                    <a:blip r:embed="rId394">
                      <a:extLst>
                        <a:ext uri="{28A0092B-C50C-407E-A947-70E740481C1C}">
                          <a14:useLocalDpi xmlns:a14="http://schemas.microsoft.com/office/drawing/2010/main" val="0"/>
                        </a:ext>
                      </a:extLst>
                    </a:blip>
                    <a:stretch>
                      <a:fillRect/>
                    </a:stretch>
                  </pic:blipFill>
                  <pic:spPr>
                    <a:xfrm>
                      <a:off x="0" y="0"/>
                      <a:ext cx="7967662" cy="5782088"/>
                    </a:xfrm>
                    <a:prstGeom prst="rect">
                      <a:avLst/>
                    </a:prstGeom>
                  </pic:spPr>
                </pic:pic>
              </a:graphicData>
            </a:graphic>
            <wp14:sizeRelH relativeFrom="margin">
              <wp14:pctWidth>0</wp14:pctWidth>
            </wp14:sizeRelH>
            <wp14:sizeRelV relativeFrom="margin">
              <wp14:pctHeight>0</wp14:pctHeight>
            </wp14:sizeRelV>
          </wp:anchor>
        </w:drawing>
      </w:r>
    </w:p>
    <w:p w14:paraId="323C8EDB" w14:textId="77777777" w:rsidR="005E4FEC" w:rsidRPr="005E4FEC" w:rsidRDefault="005E4FEC" w:rsidP="005E4FEC">
      <w:pPr>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
          <w:color w:val="000000"/>
          <w:kern w:val="0"/>
          <w:lang w:val="es-ES_tradnl" w:eastAsia="es-CR"/>
          <w14:ligatures w14:val="none"/>
        </w:rPr>
        <w:br w:type="page"/>
      </w:r>
    </w:p>
    <w:p w14:paraId="58414046"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r w:rsidRPr="005E4FEC">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75424" behindDoc="0" locked="0" layoutInCell="1" allowOverlap="1" wp14:anchorId="57926D3A" wp14:editId="27751CCB">
                <wp:simplePos x="0" y="0"/>
                <wp:positionH relativeFrom="margin">
                  <wp:align>center</wp:align>
                </wp:positionH>
                <wp:positionV relativeFrom="paragraph">
                  <wp:posOffset>-339725</wp:posOffset>
                </wp:positionV>
                <wp:extent cx="6606540" cy="411480"/>
                <wp:effectExtent l="0" t="0" r="22860" b="26670"/>
                <wp:wrapNone/>
                <wp:docPr id="275109008" name="Cuadro de texto 27510900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602EE14" w14:textId="77777777" w:rsidR="005E4FEC" w:rsidRPr="005E4FEC" w:rsidRDefault="005E4FEC" w:rsidP="005E4FEC">
                            <w:pPr>
                              <w:jc w:val="center"/>
                              <w:rPr>
                                <w:rFonts w:cs="Calibri"/>
                              </w:rPr>
                            </w:pPr>
                            <w:r w:rsidRPr="005E4FEC">
                              <w:rPr>
                                <w:rFonts w:cs="Calibri"/>
                                <w:b/>
                              </w:rPr>
                              <w:t>RÚBRICA DE EVALUACIÓN – RESEÑA CRÍTICA DE LECTURA</w:t>
                            </w:r>
                          </w:p>
                          <w:p w14:paraId="09742F57" w14:textId="77777777" w:rsidR="005E4FEC" w:rsidRPr="005E4FEC" w:rsidRDefault="005E4FEC" w:rsidP="005E4FEC">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926D3A" id="Cuadro de texto 275109008" o:spid="_x0000_s1196" type="#_x0000_t202" style="position:absolute;left:0;text-align:left;margin-left:0;margin-top:-26.75pt;width:520.2pt;height:32.4pt;z-index:2527754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" fillcolor="window" strokeweight=".5pt">
                <v:textbox>
                  <w:txbxContent>
                    <w:p w14:paraId="1602EE14" w14:textId="77777777" w:rsidR="005E4FEC" w:rsidRPr="005E4FEC" w:rsidRDefault="005E4FEC" w:rsidP="005E4FEC">
                      <w:pPr>
                        <w:jc w:val="center"/>
                        <w:rPr>
                          <w:rFonts w:cs="Calibri"/>
                        </w:rPr>
                      </w:pPr>
                      <w:r w:rsidRPr="005E4FEC">
                        <w:rPr>
                          <w:rFonts w:cs="Calibri"/>
                          <w:b/>
                        </w:rPr>
                        <w:t>RÚBRICA DE EVALUACIÓN – RESEÑA CRÍTICA DE LECTURA</w:t>
                      </w:r>
                    </w:p>
                    <w:p w14:paraId="09742F57" w14:textId="77777777" w:rsidR="005E4FEC" w:rsidRPr="005E4FEC" w:rsidRDefault="005E4FEC" w:rsidP="005E4FEC">
                      <w:pPr>
                        <w:jc w:val="center"/>
                        <w:rPr>
                          <w:rFonts w:cs="Calibri"/>
                        </w:rPr>
                      </w:pPr>
                    </w:p>
                  </w:txbxContent>
                </v:textbox>
                <w10:wrap anchorx="margin"/>
              </v:shape>
            </w:pict>
          </mc:Fallback>
        </mc:AlternateContent>
      </w:r>
    </w:p>
    <w:p w14:paraId="5A4B99AA" w14:textId="77777777" w:rsidR="005E4FEC" w:rsidRPr="005E4FEC" w:rsidRDefault="005E4FEC" w:rsidP="005E4FEC">
      <w:pPr>
        <w:jc w:val="center"/>
        <w:rPr>
          <w:rFonts w:ascii="Calibri" w:eastAsia="Times New Roman" w:hAnsi="Calibri" w:cs="Calibri"/>
          <w:bCs/>
          <w:color w:val="0070C0"/>
          <w:kern w:val="0"/>
          <w:lang w:val="es-ES_tradnl" w:eastAsia="es-CR"/>
          <w14:ligatures w14:val="none"/>
        </w:rPr>
      </w:pPr>
      <w:r w:rsidRPr="005E4FEC">
        <w:rPr>
          <w:rFonts w:ascii="Calibri" w:eastAsia="Times New Roman" w:hAnsi="Calibri" w:cs="Calibri"/>
          <w:bCs/>
          <w:color w:val="0070C0"/>
          <w:kern w:val="0"/>
          <w:lang w:val="es-ES_tradnl" w:eastAsia="es-CR"/>
          <w14:ligatures w14:val="none"/>
        </w:rPr>
        <w:t>Las reseñas críticas requieren un análisis de las lecturas, identificación de los temas y argumentos centrales y una valoración crítica de estos para contextualizarlos. Se elaboran en las sesiones 3 y 11. Cada reseña tiene un valor de 10%.</w:t>
      </w:r>
    </w:p>
    <w:p w14:paraId="2152FF9A" w14:textId="77777777" w:rsidR="005E4FEC" w:rsidRPr="005E4FEC" w:rsidRDefault="005E4FEC" w:rsidP="005E4FEC">
      <w:pPr>
        <w:jc w:val="center"/>
        <w:rPr>
          <w:rFonts w:ascii="Calibri" w:eastAsia="Times New Roman" w:hAnsi="Calibri" w:cs="Calibri"/>
          <w:bCs/>
          <w:color w:val="000000"/>
          <w:kern w:val="0"/>
          <w:lang w:val="es-ES_tradnl" w:eastAsia="es-CR"/>
          <w14:ligatures w14:val="none"/>
        </w:rPr>
      </w:pPr>
    </w:p>
    <w:p w14:paraId="08247F8E"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Cs/>
          <w:noProof/>
          <w:color w:val="000000"/>
          <w:kern w:val="0"/>
          <w:lang w:val="es-ES_tradnl" w:eastAsia="es-CR"/>
          <w14:ligatures w14:val="none"/>
        </w:rPr>
        <w:drawing>
          <wp:anchor distT="0" distB="0" distL="114300" distR="114300" simplePos="0" relativeHeight="252776448" behindDoc="0" locked="0" layoutInCell="1" allowOverlap="1" wp14:anchorId="52DE5F9A" wp14:editId="38067834">
            <wp:simplePos x="0" y="0"/>
            <wp:positionH relativeFrom="margin">
              <wp:align>center</wp:align>
            </wp:positionH>
            <wp:positionV relativeFrom="paragraph">
              <wp:posOffset>153035</wp:posOffset>
            </wp:positionV>
            <wp:extent cx="8967216" cy="4785360"/>
            <wp:effectExtent l="0" t="0" r="5715" b="0"/>
            <wp:wrapNone/>
            <wp:docPr id="546030184"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030184" name="Imagen 2" descr="Tabla&#10;&#10;Descripción generada automáticamente"/>
                    <pic:cNvPicPr/>
                  </pic:nvPicPr>
                  <pic:blipFill>
                    <a:blip r:embed="rId395">
                      <a:extLst>
                        <a:ext uri="{28A0092B-C50C-407E-A947-70E740481C1C}">
                          <a14:useLocalDpi xmlns:a14="http://schemas.microsoft.com/office/drawing/2010/main" val="0"/>
                        </a:ext>
                      </a:extLst>
                    </a:blip>
                    <a:stretch>
                      <a:fillRect/>
                    </a:stretch>
                  </pic:blipFill>
                  <pic:spPr>
                    <a:xfrm>
                      <a:off x="0" y="0"/>
                      <a:ext cx="8967216" cy="4785360"/>
                    </a:xfrm>
                    <a:prstGeom prst="rect">
                      <a:avLst/>
                    </a:prstGeom>
                  </pic:spPr>
                </pic:pic>
              </a:graphicData>
            </a:graphic>
          </wp:anchor>
        </w:drawing>
      </w:r>
    </w:p>
    <w:p w14:paraId="7B3E1E6F"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p>
    <w:p w14:paraId="19227CD7"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
          <w:color w:val="000000"/>
          <w:kern w:val="0"/>
          <w:lang w:val="es-ES_tradnl" w:eastAsia="es-CR"/>
          <w14:ligatures w14:val="none"/>
        </w:rPr>
        <w:br w:type="page"/>
      </w:r>
    </w:p>
    <w:p w14:paraId="5B1C08F7"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r w:rsidRPr="005E4FEC">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777472" behindDoc="0" locked="0" layoutInCell="1" allowOverlap="1" wp14:anchorId="6B3E33E3" wp14:editId="4C5972DE">
                <wp:simplePos x="0" y="0"/>
                <wp:positionH relativeFrom="margin">
                  <wp:align>center</wp:align>
                </wp:positionH>
                <wp:positionV relativeFrom="paragraph">
                  <wp:posOffset>-359092</wp:posOffset>
                </wp:positionV>
                <wp:extent cx="7025640" cy="395287"/>
                <wp:effectExtent l="0" t="0" r="22860" b="24130"/>
                <wp:wrapNone/>
                <wp:docPr id="71647103" name="Cuadro de texto 71647103"/>
                <wp:cNvGraphicFramePr/>
                <a:graphic xmlns:a="http://schemas.openxmlformats.org/drawingml/2006/main">
                  <a:graphicData uri="http://schemas.microsoft.com/office/word/2010/wordprocessingShape">
                    <wps:wsp>
                      <wps:cNvSpPr txBox="1"/>
                      <wps:spPr>
                        <a:xfrm>
                          <a:off x="0" y="0"/>
                          <a:ext cx="7025640" cy="395287"/>
                        </a:xfrm>
                        <a:prstGeom prst="rect">
                          <a:avLst/>
                        </a:prstGeom>
                        <a:solidFill>
                          <a:sysClr val="window" lastClr="FFFFFF"/>
                        </a:solidFill>
                        <a:ln w="6350">
                          <a:solidFill>
                            <a:prstClr val="black"/>
                          </a:solidFill>
                        </a:ln>
                      </wps:spPr>
                      <wps:txbx>
                        <w:txbxContent>
                          <w:p w14:paraId="4948C750" w14:textId="77777777" w:rsidR="005E4FEC" w:rsidRPr="005E4FEC" w:rsidRDefault="005E4FEC" w:rsidP="005E4FEC">
                            <w:pPr>
                              <w:jc w:val="center"/>
                              <w:rPr>
                                <w:rFonts w:cs="Calibri"/>
                                <w:b/>
                              </w:rPr>
                            </w:pPr>
                            <w:r w:rsidRPr="005E4FEC">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E33E3" id="Cuadro de texto 71647103" o:spid="_x0000_s1197" type="#_x0000_t202" style="position:absolute;left:0;text-align:left;margin-left:0;margin-top:-28.25pt;width:553.2pt;height:31.1pt;z-index:252777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" fillcolor="window" strokeweight=".5pt">
                <v:textbox>
                  <w:txbxContent>
                    <w:p w14:paraId="4948C750" w14:textId="77777777" w:rsidR="005E4FEC" w:rsidRPr="005E4FEC" w:rsidRDefault="005E4FEC" w:rsidP="005E4FEC">
                      <w:pPr>
                        <w:jc w:val="center"/>
                        <w:rPr>
                          <w:rFonts w:cs="Calibri"/>
                          <w:b/>
                        </w:rPr>
                      </w:pPr>
                      <w:r w:rsidRPr="005E4FEC">
                        <w:rPr>
                          <w:rFonts w:cs="Calibri"/>
                          <w:b/>
                        </w:rPr>
                        <w:t>RÚBRICA DE EVALUACIÓN – WIKI</w:t>
                      </w:r>
                    </w:p>
                  </w:txbxContent>
                </v:textbox>
                <w10:wrap anchorx="margin"/>
              </v:shape>
            </w:pict>
          </mc:Fallback>
        </mc:AlternateContent>
      </w:r>
    </w:p>
    <w:p w14:paraId="5D90C2CC" w14:textId="77777777" w:rsidR="005E4FEC" w:rsidRPr="005E4FEC" w:rsidRDefault="005E4FEC" w:rsidP="005E4FEC">
      <w:pPr>
        <w:jc w:val="center"/>
        <w:rPr>
          <w:rFonts w:ascii="Calibri" w:eastAsia="Times New Roman" w:hAnsi="Calibri" w:cs="Calibri"/>
          <w:bCs/>
          <w:color w:val="0070C0"/>
          <w:kern w:val="0"/>
          <w:lang w:val="es-ES_tradnl" w:eastAsia="es-CR"/>
          <w14:ligatures w14:val="none"/>
        </w:rPr>
      </w:pPr>
      <w:r w:rsidRPr="005E4FEC">
        <w:rPr>
          <w:rFonts w:ascii="Calibri" w:eastAsia="Times New Roman" w:hAnsi="Calibri" w:cs="Calibri"/>
          <w:bCs/>
          <w:color w:val="0070C0"/>
          <w:kern w:val="0"/>
          <w:lang w:val="es-ES_tradnl" w:eastAsia="es-CR"/>
          <w14:ligatures w14:val="none"/>
        </w:rPr>
        <w:t>El wiki es una herramienta para la producción colectiva en el que las personas pueden crear de manera colaborativa un escrito o bien un producto de otra naturaleza según las indicaciones que se aporten. Se desarrolla en las sesiones 12 y 13 y tiene un valor de 10%.</w:t>
      </w:r>
    </w:p>
    <w:p w14:paraId="158DE880" w14:textId="77777777" w:rsidR="005E4FEC" w:rsidRPr="005E4FEC" w:rsidRDefault="005E4FEC" w:rsidP="005E4FEC">
      <w:pPr>
        <w:jc w:val="center"/>
        <w:rPr>
          <w:rFonts w:ascii="Calibri" w:eastAsia="Times New Roman" w:hAnsi="Calibri" w:cs="Calibri"/>
          <w:bCs/>
          <w:color w:val="000000"/>
          <w:kern w:val="0"/>
          <w:lang w:val="es-ES_tradnl" w:eastAsia="es-CR"/>
          <w14:ligatures w14:val="none"/>
        </w:rPr>
      </w:pPr>
    </w:p>
    <w:p w14:paraId="001D288E"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Cs/>
          <w:noProof/>
          <w:color w:val="000000"/>
          <w:kern w:val="0"/>
          <w:lang w:val="es-ES_tradnl" w:eastAsia="es-CR"/>
          <w14:ligatures w14:val="none"/>
        </w:rPr>
        <w:drawing>
          <wp:anchor distT="0" distB="0" distL="114300" distR="114300" simplePos="0" relativeHeight="252778496" behindDoc="0" locked="0" layoutInCell="1" allowOverlap="1" wp14:anchorId="1E987B9A" wp14:editId="5ACA8B53">
            <wp:simplePos x="0" y="0"/>
            <wp:positionH relativeFrom="margin">
              <wp:align>right</wp:align>
            </wp:positionH>
            <wp:positionV relativeFrom="paragraph">
              <wp:posOffset>38735</wp:posOffset>
            </wp:positionV>
            <wp:extent cx="9144000" cy="4647565"/>
            <wp:effectExtent l="0" t="0" r="0" b="635"/>
            <wp:wrapNone/>
            <wp:docPr id="1881607609" name="Imagen 3"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607609" name="Imagen 3" descr="Tabla, Calendario&#10;&#10;Descripción generada automáticamente"/>
                    <pic:cNvPicPr/>
                  </pic:nvPicPr>
                  <pic:blipFill>
                    <a:blip r:embed="rId396">
                      <a:extLst>
                        <a:ext uri="{28A0092B-C50C-407E-A947-70E740481C1C}">
                          <a14:useLocalDpi xmlns:a14="http://schemas.microsoft.com/office/drawing/2010/main" val="0"/>
                        </a:ext>
                      </a:extLst>
                    </a:blip>
                    <a:stretch>
                      <a:fillRect/>
                    </a:stretch>
                  </pic:blipFill>
                  <pic:spPr>
                    <a:xfrm>
                      <a:off x="0" y="0"/>
                      <a:ext cx="9144000" cy="4647565"/>
                    </a:xfrm>
                    <a:prstGeom prst="rect">
                      <a:avLst/>
                    </a:prstGeom>
                  </pic:spPr>
                </pic:pic>
              </a:graphicData>
            </a:graphic>
          </wp:anchor>
        </w:drawing>
      </w:r>
    </w:p>
    <w:p w14:paraId="79A98FF2"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
          <w:color w:val="000000"/>
          <w:kern w:val="0"/>
          <w:lang w:val="es-ES_tradnl" w:eastAsia="es-CR"/>
          <w14:ligatures w14:val="none"/>
        </w:rPr>
        <w:br w:type="page"/>
      </w:r>
    </w:p>
    <w:p w14:paraId="7904383D" w14:textId="77777777" w:rsidR="005E4FEC" w:rsidRPr="005E4FEC" w:rsidRDefault="005E4FEC" w:rsidP="005E4FEC">
      <w:pPr>
        <w:rPr>
          <w:rFonts w:ascii="Calibri" w:eastAsia="Times New Roman" w:hAnsi="Calibri" w:cs="Calibri"/>
          <w:b/>
          <w:color w:val="000000"/>
          <w:kern w:val="0"/>
          <w:lang w:val="es-ES_tradnl" w:eastAsia="es-CR"/>
          <w14:ligatures w14:val="none"/>
        </w:rPr>
      </w:pPr>
      <w:r w:rsidRPr="005E4FEC">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779520" behindDoc="0" locked="0" layoutInCell="1" allowOverlap="1" wp14:anchorId="274FDAD3" wp14:editId="3D8AAB2B">
                <wp:simplePos x="0" y="0"/>
                <wp:positionH relativeFrom="margin">
                  <wp:align>center</wp:align>
                </wp:positionH>
                <wp:positionV relativeFrom="paragraph">
                  <wp:posOffset>-338455</wp:posOffset>
                </wp:positionV>
                <wp:extent cx="6606540" cy="411480"/>
                <wp:effectExtent l="0" t="0" r="22860" b="26670"/>
                <wp:wrapNone/>
                <wp:docPr id="771138785" name="Cuadro de texto 771138785"/>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8133670" w14:textId="77777777" w:rsidR="005E4FEC" w:rsidRPr="005E4FEC" w:rsidRDefault="005E4FEC" w:rsidP="005E4FEC">
                            <w:pPr>
                              <w:jc w:val="center"/>
                              <w:rPr>
                                <w:rFonts w:cs="Calibri"/>
                              </w:rPr>
                            </w:pPr>
                            <w:r w:rsidRPr="005E4FEC">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FDAD3" id="Cuadro de texto 771138785" o:spid="_x0000_s1198" type="#_x0000_t202" style="position:absolute;margin-left:0;margin-top:-26.65pt;width:520.2pt;height:32.4pt;z-index:252779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" fillcolor="window" strokeweight=".5pt">
                <v:textbox>
                  <w:txbxContent>
                    <w:p w14:paraId="08133670" w14:textId="77777777" w:rsidR="005E4FEC" w:rsidRPr="005E4FEC" w:rsidRDefault="005E4FEC" w:rsidP="005E4FEC">
                      <w:pPr>
                        <w:jc w:val="center"/>
                        <w:rPr>
                          <w:rFonts w:cs="Calibri"/>
                        </w:rPr>
                      </w:pPr>
                      <w:r w:rsidRPr="005E4FEC">
                        <w:rPr>
                          <w:rFonts w:cs="Calibri"/>
                          <w:b/>
                        </w:rPr>
                        <w:t>RÚBRICA DE EVALUACIÓN – GLOSARIO</w:t>
                      </w:r>
                    </w:p>
                  </w:txbxContent>
                </v:textbox>
                <w10:wrap anchorx="margin"/>
              </v:shape>
            </w:pict>
          </mc:Fallback>
        </mc:AlternateContent>
      </w:r>
    </w:p>
    <w:p w14:paraId="31EE7805" w14:textId="5DA09450" w:rsidR="005E4FEC" w:rsidRPr="005E4FEC" w:rsidRDefault="005E4FEC" w:rsidP="005E4FEC">
      <w:pPr>
        <w:jc w:val="center"/>
        <w:rPr>
          <w:rFonts w:ascii="Calibri" w:eastAsia="Times New Roman" w:hAnsi="Calibri" w:cs="Calibri"/>
          <w:bCs/>
          <w:color w:val="0070C0"/>
          <w:kern w:val="0"/>
          <w:lang w:val="es-ES_tradnl" w:eastAsia="es-CR"/>
          <w14:ligatures w14:val="none"/>
        </w:rPr>
      </w:pPr>
      <w:r w:rsidRPr="005E4FEC">
        <w:rPr>
          <w:rFonts w:ascii="Calibri" w:eastAsia="Times New Roman" w:hAnsi="Calibri" w:cs="Calibri"/>
          <w:bCs/>
          <w:color w:val="0070C0"/>
          <w:kern w:val="0"/>
          <w:lang w:val="es-ES_tradnl" w:eastAsia="es-CR"/>
          <w14:ligatures w14:val="none"/>
        </w:rPr>
        <w:t>Como herramienta del aula virtual el glosario es un espacio de construcción colectiva a partir del desarrollo de conceptos con base en las lecturas y otros insumos del curso. Se desarrolla en la sesión 4 y tiene un valor de 5%.</w:t>
      </w:r>
    </w:p>
    <w:p w14:paraId="247F1509" w14:textId="10562F7B" w:rsidR="005E4FEC" w:rsidRPr="005E4FEC" w:rsidRDefault="005E4FEC" w:rsidP="005E4FEC">
      <w:pPr>
        <w:jc w:val="center"/>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noProof/>
          <w:color w:val="000000"/>
          <w:kern w:val="0"/>
          <w:lang w:val="es-ES_tradnl" w:eastAsia="es-CR"/>
          <w14:ligatures w14:val="none"/>
        </w:rPr>
        <w:drawing>
          <wp:anchor distT="0" distB="0" distL="114300" distR="114300" simplePos="0" relativeHeight="252780544" behindDoc="0" locked="0" layoutInCell="1" allowOverlap="1" wp14:anchorId="0BD55449" wp14:editId="3A54B084">
            <wp:simplePos x="0" y="0"/>
            <wp:positionH relativeFrom="margin">
              <wp:posOffset>214746</wp:posOffset>
            </wp:positionH>
            <wp:positionV relativeFrom="paragraph">
              <wp:posOffset>4965</wp:posOffset>
            </wp:positionV>
            <wp:extent cx="8839200" cy="5419344"/>
            <wp:effectExtent l="0" t="0" r="0" b="0"/>
            <wp:wrapNone/>
            <wp:docPr id="578940617"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940617" name="Imagen 4" descr="Tabla&#10;&#10;Descripción generada automáticamente"/>
                    <pic:cNvPicPr/>
                  </pic:nvPicPr>
                  <pic:blipFill>
                    <a:blip r:embed="rId397">
                      <a:extLst>
                        <a:ext uri="{28A0092B-C50C-407E-A947-70E740481C1C}">
                          <a14:useLocalDpi xmlns:a14="http://schemas.microsoft.com/office/drawing/2010/main" val="0"/>
                        </a:ext>
                      </a:extLst>
                    </a:blip>
                    <a:stretch>
                      <a:fillRect/>
                    </a:stretch>
                  </pic:blipFill>
                  <pic:spPr>
                    <a:xfrm>
                      <a:off x="0" y="0"/>
                      <a:ext cx="8839200" cy="5419344"/>
                    </a:xfrm>
                    <a:prstGeom prst="rect">
                      <a:avLst/>
                    </a:prstGeom>
                  </pic:spPr>
                </pic:pic>
              </a:graphicData>
            </a:graphic>
          </wp:anchor>
        </w:drawing>
      </w:r>
    </w:p>
    <w:p w14:paraId="3A56BD1B" w14:textId="7480E821" w:rsidR="005E4FEC" w:rsidRPr="005E4FEC" w:rsidRDefault="005E4FEC" w:rsidP="005E4FEC">
      <w:pPr>
        <w:rPr>
          <w:rFonts w:ascii="Calibri" w:eastAsia="Times New Roman" w:hAnsi="Calibri" w:cs="Calibri"/>
          <w:b/>
          <w:color w:val="000000"/>
          <w:kern w:val="0"/>
          <w:lang w:val="es-ES_tradnl" w:eastAsia="es-CR"/>
          <w14:ligatures w14:val="none"/>
        </w:rPr>
      </w:pPr>
    </w:p>
    <w:p w14:paraId="2CA18F8C"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4D0CC66D"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7E2511E5"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6F2C7746"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
          <w:color w:val="000000"/>
          <w:kern w:val="0"/>
          <w:lang w:val="es-ES_tradnl" w:eastAsia="es-CR"/>
          <w14:ligatures w14:val="none"/>
        </w:rPr>
        <w:br w:type="page"/>
      </w:r>
    </w:p>
    <w:p w14:paraId="17E8A6A7"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r w:rsidRPr="005E4FEC">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81568" behindDoc="0" locked="0" layoutInCell="1" allowOverlap="1" wp14:anchorId="6A9DD1E2" wp14:editId="0D17BFBA">
                <wp:simplePos x="0" y="0"/>
                <wp:positionH relativeFrom="margin">
                  <wp:align>center</wp:align>
                </wp:positionH>
                <wp:positionV relativeFrom="paragraph">
                  <wp:posOffset>-168910</wp:posOffset>
                </wp:positionV>
                <wp:extent cx="6606540" cy="561975"/>
                <wp:effectExtent l="0" t="0" r="22860" b="28575"/>
                <wp:wrapNone/>
                <wp:docPr id="851973576" name="Cuadro de texto 851973576"/>
                <wp:cNvGraphicFramePr/>
                <a:graphic xmlns:a="http://schemas.openxmlformats.org/drawingml/2006/main">
                  <a:graphicData uri="http://schemas.microsoft.com/office/word/2010/wordprocessingShape">
                    <wps:wsp>
                      <wps:cNvSpPr txBox="1"/>
                      <wps:spPr>
                        <a:xfrm>
                          <a:off x="0" y="0"/>
                          <a:ext cx="6606540" cy="561975"/>
                        </a:xfrm>
                        <a:prstGeom prst="rect">
                          <a:avLst/>
                        </a:prstGeom>
                        <a:solidFill>
                          <a:sysClr val="window" lastClr="FFFFFF"/>
                        </a:solidFill>
                        <a:ln w="6350">
                          <a:solidFill>
                            <a:prstClr val="black"/>
                          </a:solidFill>
                        </a:ln>
                      </wps:spPr>
                      <wps:txbx>
                        <w:txbxContent>
                          <w:p w14:paraId="641C0927" w14:textId="77777777" w:rsidR="005E4FEC" w:rsidRPr="005E4FEC" w:rsidRDefault="005E4FEC" w:rsidP="005E4FEC">
                            <w:pPr>
                              <w:jc w:val="center"/>
                              <w:rPr>
                                <w:rFonts w:cs="Calibri"/>
                              </w:rPr>
                            </w:pPr>
                            <w:r w:rsidRPr="005E4FEC">
                              <w:rPr>
                                <w:rFonts w:cs="Calibri"/>
                                <w:b/>
                              </w:rPr>
                              <w:t>ESCALA DE EVALUACIÓN – ENSAYO SOBRE LA INTERVENCIÓN PROFÉTICA EN LA CONDUCTA SOCIAL DEL ANTIGUO ISRAEL</w:t>
                            </w:r>
                          </w:p>
                          <w:p w14:paraId="22980C4A" w14:textId="77777777" w:rsidR="005E4FEC" w:rsidRPr="005E4FEC" w:rsidRDefault="005E4FEC" w:rsidP="005E4FEC">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DD1E2" id="Cuadro de texto 851973576" o:spid="_x0000_s1199" type="#_x0000_t202" style="position:absolute;left:0;text-align:left;margin-left:0;margin-top:-13.3pt;width:520.2pt;height:44.25pt;z-index:252781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" fillcolor="window" strokeweight=".5pt">
                <v:textbox>
                  <w:txbxContent>
                    <w:p w14:paraId="641C0927" w14:textId="77777777" w:rsidR="005E4FEC" w:rsidRPr="005E4FEC" w:rsidRDefault="005E4FEC" w:rsidP="005E4FEC">
                      <w:pPr>
                        <w:jc w:val="center"/>
                        <w:rPr>
                          <w:rFonts w:cs="Calibri"/>
                        </w:rPr>
                      </w:pPr>
                      <w:r w:rsidRPr="005E4FEC">
                        <w:rPr>
                          <w:rFonts w:cs="Calibri"/>
                          <w:b/>
                        </w:rPr>
                        <w:t>ESCALA DE EVALUACIÓN – ENSAYO SOBRE LA INTERVENCIÓN PROFÉTICA EN LA CONDUCTA SOCIAL DEL ANTIGUO ISRAEL</w:t>
                      </w:r>
                    </w:p>
                    <w:p w14:paraId="22980C4A" w14:textId="77777777" w:rsidR="005E4FEC" w:rsidRPr="005E4FEC" w:rsidRDefault="005E4FEC" w:rsidP="005E4FEC">
                      <w:pPr>
                        <w:jc w:val="center"/>
                        <w:rPr>
                          <w:rFonts w:cs="Calibri"/>
                        </w:rPr>
                      </w:pPr>
                    </w:p>
                  </w:txbxContent>
                </v:textbox>
                <w10:wrap anchorx="margin"/>
              </v:shape>
            </w:pict>
          </mc:Fallback>
        </mc:AlternateContent>
      </w:r>
    </w:p>
    <w:p w14:paraId="4F1529BB" w14:textId="77777777" w:rsidR="005E4FEC" w:rsidRDefault="005E4FEC" w:rsidP="005E4FEC">
      <w:pPr>
        <w:jc w:val="center"/>
        <w:rPr>
          <w:rFonts w:ascii="Calibri" w:eastAsia="Times New Roman" w:hAnsi="Calibri" w:cs="Calibri"/>
          <w:bCs/>
          <w:color w:val="0070C0"/>
          <w:kern w:val="0"/>
          <w:lang w:val="es-ES_tradnl" w:eastAsia="es-CR"/>
          <w14:ligatures w14:val="none"/>
        </w:rPr>
      </w:pPr>
    </w:p>
    <w:p w14:paraId="534E0FA3" w14:textId="6322F4C6" w:rsidR="005E4FEC" w:rsidRPr="005E4FEC" w:rsidRDefault="005E4FEC" w:rsidP="005E4FEC">
      <w:pPr>
        <w:jc w:val="center"/>
        <w:rPr>
          <w:rFonts w:ascii="Calibri" w:eastAsia="Times New Roman" w:hAnsi="Calibri" w:cs="Calibri"/>
          <w:bCs/>
          <w:color w:val="0070C0"/>
          <w:kern w:val="0"/>
          <w:lang w:val="es-ES_tradnl" w:eastAsia="es-CR"/>
          <w14:ligatures w14:val="none"/>
        </w:rPr>
      </w:pPr>
      <w:r w:rsidRPr="005E4FEC">
        <w:rPr>
          <w:rFonts w:ascii="Calibri" w:eastAsia="Times New Roman" w:hAnsi="Calibri" w:cs="Calibri"/>
          <w:bCs/>
          <w:color w:val="0070C0"/>
          <w:kern w:val="0"/>
          <w:lang w:val="es-ES_tradnl" w:eastAsia="es-CR"/>
          <w14:ligatures w14:val="none"/>
        </w:rPr>
        <w:t>El ensayo tiene como fin que la persona estudiante desarrolle el tema de la intervención de la profecía en la conducta social del antiguo Israel, aportando ejemplos para sustentar sus argumentos. Se elabora en la sesión 5 y tiene un valor de 10%.</w:t>
      </w:r>
    </w:p>
    <w:p w14:paraId="74BAB82E" w14:textId="789ED577" w:rsidR="005E4FEC" w:rsidRPr="005E4FEC" w:rsidRDefault="005E4FEC" w:rsidP="005E4FEC">
      <w:pPr>
        <w:jc w:val="center"/>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noProof/>
          <w:color w:val="000000"/>
          <w:kern w:val="0"/>
          <w:lang w:val="es-ES_tradnl" w:eastAsia="es-CR"/>
          <w14:ligatures w14:val="none"/>
        </w:rPr>
        <w:drawing>
          <wp:anchor distT="0" distB="0" distL="114300" distR="114300" simplePos="0" relativeHeight="252782592" behindDoc="0" locked="0" layoutInCell="1" allowOverlap="1" wp14:anchorId="172CADD0" wp14:editId="6FB9A764">
            <wp:simplePos x="0" y="0"/>
            <wp:positionH relativeFrom="margin">
              <wp:posOffset>489238</wp:posOffset>
            </wp:positionH>
            <wp:positionV relativeFrom="paragraph">
              <wp:posOffset>7563</wp:posOffset>
            </wp:positionV>
            <wp:extent cx="8247888" cy="4815840"/>
            <wp:effectExtent l="0" t="0" r="1270" b="3810"/>
            <wp:wrapNone/>
            <wp:docPr id="636568358"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568358" name="Imagen 5" descr="Tabla&#10;&#10;Descripción generada automáticamente"/>
                    <pic:cNvPicPr/>
                  </pic:nvPicPr>
                  <pic:blipFill>
                    <a:blip r:embed="rId398">
                      <a:extLst>
                        <a:ext uri="{28A0092B-C50C-407E-A947-70E740481C1C}">
                          <a14:useLocalDpi xmlns:a14="http://schemas.microsoft.com/office/drawing/2010/main" val="0"/>
                        </a:ext>
                      </a:extLst>
                    </a:blip>
                    <a:stretch>
                      <a:fillRect/>
                    </a:stretch>
                  </pic:blipFill>
                  <pic:spPr>
                    <a:xfrm>
                      <a:off x="0" y="0"/>
                      <a:ext cx="8247888" cy="4815840"/>
                    </a:xfrm>
                    <a:prstGeom prst="rect">
                      <a:avLst/>
                    </a:prstGeom>
                  </pic:spPr>
                </pic:pic>
              </a:graphicData>
            </a:graphic>
          </wp:anchor>
        </w:drawing>
      </w:r>
    </w:p>
    <w:p w14:paraId="3A389FFE" w14:textId="04F2FB49" w:rsidR="005E4FEC" w:rsidRPr="005E4FEC" w:rsidRDefault="005E4FEC" w:rsidP="005E4FEC">
      <w:pPr>
        <w:jc w:val="center"/>
        <w:rPr>
          <w:rFonts w:ascii="Calibri" w:eastAsia="Times New Roman" w:hAnsi="Calibri" w:cs="Calibri"/>
          <w:b/>
          <w:color w:val="000000"/>
          <w:kern w:val="0"/>
          <w:lang w:val="es-ES_tradnl" w:eastAsia="es-CR"/>
          <w14:ligatures w14:val="none"/>
        </w:rPr>
      </w:pPr>
    </w:p>
    <w:p w14:paraId="295EA0AD"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
          <w:color w:val="000000"/>
          <w:kern w:val="0"/>
          <w:lang w:val="es-ES_tradnl" w:eastAsia="es-CR"/>
          <w14:ligatures w14:val="none"/>
        </w:rPr>
        <w:br w:type="page"/>
      </w:r>
    </w:p>
    <w:p w14:paraId="2E46D8AD"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r w:rsidRPr="005E4FEC">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83616" behindDoc="0" locked="0" layoutInCell="1" allowOverlap="1" wp14:anchorId="417A200D" wp14:editId="052C61DA">
                <wp:simplePos x="0" y="0"/>
                <wp:positionH relativeFrom="margin">
                  <wp:align>center</wp:align>
                </wp:positionH>
                <wp:positionV relativeFrom="paragraph">
                  <wp:posOffset>-282892</wp:posOffset>
                </wp:positionV>
                <wp:extent cx="6606540" cy="411480"/>
                <wp:effectExtent l="0" t="0" r="22860" b="26670"/>
                <wp:wrapNone/>
                <wp:docPr id="2025844339" name="Cuadro de texto 2025844339"/>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3E1C34AC" w14:textId="77777777" w:rsidR="005E4FEC" w:rsidRPr="005E4FEC" w:rsidRDefault="005E4FEC" w:rsidP="005E4FEC">
                            <w:pPr>
                              <w:jc w:val="center"/>
                              <w:rPr>
                                <w:rFonts w:cs="Calibri"/>
                              </w:rPr>
                            </w:pPr>
                            <w:r w:rsidRPr="005E4FEC">
                              <w:rPr>
                                <w:rFonts w:cs="Calibri"/>
                                <w:b/>
                              </w:rPr>
                              <w:t>ESCALA DE EVALUACIÓN – PRESENTACIÓN GRUPAL</w:t>
                            </w:r>
                          </w:p>
                          <w:p w14:paraId="5B1D7064" w14:textId="77777777" w:rsidR="005E4FEC" w:rsidRPr="005E4FEC" w:rsidRDefault="005E4FEC" w:rsidP="005E4FEC">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A200D" id="Cuadro de texto 2025844339" o:spid="_x0000_s1200" type="#_x0000_t202" style="position:absolute;left:0;text-align:left;margin-left:0;margin-top:-22.25pt;width:520.2pt;height:32.4pt;z-index:252783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" fillcolor="window" strokeweight=".5pt">
                <v:textbox>
                  <w:txbxContent>
                    <w:p w14:paraId="3E1C34AC" w14:textId="77777777" w:rsidR="005E4FEC" w:rsidRPr="005E4FEC" w:rsidRDefault="005E4FEC" w:rsidP="005E4FEC">
                      <w:pPr>
                        <w:jc w:val="center"/>
                        <w:rPr>
                          <w:rFonts w:cs="Calibri"/>
                        </w:rPr>
                      </w:pPr>
                      <w:r w:rsidRPr="005E4FEC">
                        <w:rPr>
                          <w:rFonts w:cs="Calibri"/>
                          <w:b/>
                        </w:rPr>
                        <w:t>ESCALA DE EVALUACIÓN – PRESENTACIÓN GRUPAL</w:t>
                      </w:r>
                    </w:p>
                    <w:p w14:paraId="5B1D7064" w14:textId="77777777" w:rsidR="005E4FEC" w:rsidRPr="005E4FEC" w:rsidRDefault="005E4FEC" w:rsidP="005E4FEC">
                      <w:pPr>
                        <w:jc w:val="center"/>
                        <w:rPr>
                          <w:rFonts w:cs="Calibri"/>
                        </w:rPr>
                      </w:pPr>
                    </w:p>
                  </w:txbxContent>
                </v:textbox>
                <w10:wrap anchorx="margin"/>
              </v:shape>
            </w:pict>
          </mc:Fallback>
        </mc:AlternateContent>
      </w:r>
    </w:p>
    <w:p w14:paraId="6EF337CA" w14:textId="77777777" w:rsidR="005E4FEC" w:rsidRPr="005E4FEC" w:rsidRDefault="005E4FEC" w:rsidP="005E4FEC">
      <w:pPr>
        <w:jc w:val="center"/>
        <w:rPr>
          <w:rFonts w:ascii="Calibri" w:eastAsia="Times New Roman" w:hAnsi="Calibri" w:cs="Calibri"/>
          <w:color w:val="0070C0"/>
          <w:kern w:val="0"/>
          <w:lang w:val="es-ES_tradnl" w:eastAsia="es-CR"/>
          <w14:ligatures w14:val="none"/>
        </w:rPr>
      </w:pPr>
      <w:r w:rsidRPr="005E4FEC">
        <w:rPr>
          <w:rFonts w:ascii="Calibri" w:eastAsia="Times New Roman" w:hAnsi="Calibri" w:cs="Calibri"/>
          <w:bCs/>
          <w:color w:val="0070C0"/>
          <w:kern w:val="0"/>
          <w:lang w:val="es-ES_tradnl" w:eastAsia="es-CR"/>
          <w14:ligatures w14:val="none"/>
        </w:rPr>
        <w:t xml:space="preserve">La presentación grupal es el producto final del trabajo colaborativo realizado por los grupos asignados por la persona docente. </w:t>
      </w:r>
      <w:r w:rsidRPr="005E4FEC">
        <w:rPr>
          <w:rFonts w:ascii="Calibri" w:eastAsia="Times New Roman" w:hAnsi="Calibri" w:cs="Calibri"/>
          <w:color w:val="0070C0"/>
          <w:kern w:val="0"/>
          <w:lang w:val="es-ES_tradnl" w:eastAsia="es-CR"/>
          <w14:ligatures w14:val="none"/>
        </w:rPr>
        <w:t>Mediante encuentros sincrónicos los grupos presentarán los resultados de su trabajo sobre el tema de la sesión que les fue asignada. Se realizan en las sesiones 6, 7, 8 o 10 (según asignación docente) y tiene un valor de 10%.</w:t>
      </w:r>
    </w:p>
    <w:p w14:paraId="03B04383" w14:textId="77777777" w:rsidR="005E4FEC" w:rsidRPr="005E4FEC" w:rsidRDefault="005E4FEC" w:rsidP="005E4FEC">
      <w:pPr>
        <w:jc w:val="center"/>
        <w:rPr>
          <w:rFonts w:ascii="Calibri" w:eastAsia="Times New Roman" w:hAnsi="Calibri" w:cs="Calibri"/>
          <w:bCs/>
          <w:color w:val="000000"/>
          <w:kern w:val="0"/>
          <w:lang w:val="es-ES_tradnl" w:eastAsia="es-CR"/>
          <w14:ligatures w14:val="none"/>
        </w:rPr>
      </w:pPr>
      <w:r w:rsidRPr="005E4FEC">
        <w:rPr>
          <w:rFonts w:ascii="Calibri" w:eastAsia="Times New Roman" w:hAnsi="Calibri" w:cs="Calibri"/>
          <w:bCs/>
          <w:noProof/>
          <w:color w:val="000000"/>
          <w:kern w:val="0"/>
          <w:lang w:val="es-ES_tradnl" w:eastAsia="es-CR"/>
          <w14:ligatures w14:val="none"/>
        </w:rPr>
        <w:drawing>
          <wp:anchor distT="0" distB="0" distL="114300" distR="114300" simplePos="0" relativeHeight="252784640" behindDoc="0" locked="0" layoutInCell="1" allowOverlap="1" wp14:anchorId="12B2947B" wp14:editId="67F6F392">
            <wp:simplePos x="0" y="0"/>
            <wp:positionH relativeFrom="margin">
              <wp:align>center</wp:align>
            </wp:positionH>
            <wp:positionV relativeFrom="paragraph">
              <wp:posOffset>220980</wp:posOffset>
            </wp:positionV>
            <wp:extent cx="8089392" cy="4303776"/>
            <wp:effectExtent l="0" t="0" r="6985" b="1905"/>
            <wp:wrapNone/>
            <wp:docPr id="516329103" name="Imagen 6"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29103" name="Imagen 6" descr="Interfaz de usuario gráfica, Aplicación, Tabla&#10;&#10;Descripción generada automáticamente"/>
                    <pic:cNvPicPr/>
                  </pic:nvPicPr>
                  <pic:blipFill>
                    <a:blip r:embed="rId399">
                      <a:extLst>
                        <a:ext uri="{28A0092B-C50C-407E-A947-70E740481C1C}">
                          <a14:useLocalDpi xmlns:a14="http://schemas.microsoft.com/office/drawing/2010/main" val="0"/>
                        </a:ext>
                      </a:extLst>
                    </a:blip>
                    <a:stretch>
                      <a:fillRect/>
                    </a:stretch>
                  </pic:blipFill>
                  <pic:spPr>
                    <a:xfrm>
                      <a:off x="0" y="0"/>
                      <a:ext cx="8089392" cy="4303776"/>
                    </a:xfrm>
                    <a:prstGeom prst="rect">
                      <a:avLst/>
                    </a:prstGeom>
                  </pic:spPr>
                </pic:pic>
              </a:graphicData>
            </a:graphic>
          </wp:anchor>
        </w:drawing>
      </w:r>
    </w:p>
    <w:p w14:paraId="1C1AA746"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458FE220"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3BE2BA38"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040ED2F6"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47BFC7F6"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236702BC"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41E09C05"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60CE4EB8"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65AEE00D"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00D6528E"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3929C06B"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11C79082"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2FFF7CAE"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775EF48D"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10D8C128"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6676DFCA"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7974346D"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7A0C36F3"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41A50422"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729C6FEE" w14:textId="77777777" w:rsidR="005E4FEC" w:rsidRPr="005E4FEC" w:rsidRDefault="005E4FEC" w:rsidP="005E4FEC">
      <w:pPr>
        <w:jc w:val="center"/>
        <w:rPr>
          <w:rFonts w:ascii="Calibri" w:eastAsia="Times New Roman" w:hAnsi="Calibri" w:cs="Calibri"/>
          <w:b/>
          <w:color w:val="000000"/>
          <w:kern w:val="0"/>
          <w:lang w:val="es-ES_tradnl" w:eastAsia="es-CR"/>
          <w14:ligatures w14:val="none"/>
        </w:rPr>
      </w:pPr>
      <w:r w:rsidRPr="005E4FEC">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785664" behindDoc="0" locked="0" layoutInCell="1" allowOverlap="1" wp14:anchorId="07EB0D6C" wp14:editId="5F6E927E">
                <wp:simplePos x="0" y="0"/>
                <wp:positionH relativeFrom="margin">
                  <wp:align>center</wp:align>
                </wp:positionH>
                <wp:positionV relativeFrom="paragraph">
                  <wp:posOffset>-353060</wp:posOffset>
                </wp:positionV>
                <wp:extent cx="6606540" cy="390525"/>
                <wp:effectExtent l="0" t="0" r="22860" b="28575"/>
                <wp:wrapNone/>
                <wp:docPr id="1410327173" name="Cuadro de texto 1410327173"/>
                <wp:cNvGraphicFramePr/>
                <a:graphic xmlns:a="http://schemas.openxmlformats.org/drawingml/2006/main">
                  <a:graphicData uri="http://schemas.microsoft.com/office/word/2010/wordprocessingShape">
                    <wps:wsp>
                      <wps:cNvSpPr txBox="1"/>
                      <wps:spPr>
                        <a:xfrm>
                          <a:off x="0" y="0"/>
                          <a:ext cx="6606540" cy="390525"/>
                        </a:xfrm>
                        <a:prstGeom prst="rect">
                          <a:avLst/>
                        </a:prstGeom>
                        <a:solidFill>
                          <a:sysClr val="window" lastClr="FFFFFF"/>
                        </a:solidFill>
                        <a:ln w="6350">
                          <a:solidFill>
                            <a:prstClr val="black"/>
                          </a:solidFill>
                        </a:ln>
                      </wps:spPr>
                      <wps:txbx>
                        <w:txbxContent>
                          <w:p w14:paraId="136D983A" w14:textId="77777777" w:rsidR="005E4FEC" w:rsidRPr="005E4FEC" w:rsidRDefault="005E4FEC" w:rsidP="005E4FEC">
                            <w:pPr>
                              <w:jc w:val="center"/>
                              <w:rPr>
                                <w:rFonts w:cs="Calibri"/>
                              </w:rPr>
                            </w:pPr>
                            <w:r w:rsidRPr="005E4FEC">
                              <w:rPr>
                                <w:rFonts w:cs="Calibri"/>
                                <w:b/>
                              </w:rPr>
                              <w:t>ESCALA DE EVALUACIÓN – MONOGRAFÍA</w:t>
                            </w:r>
                          </w:p>
                          <w:p w14:paraId="6E75B21F" w14:textId="77777777" w:rsidR="005E4FEC" w:rsidRPr="005E4FEC" w:rsidRDefault="005E4FEC" w:rsidP="005E4FEC">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B0D6C" id="Cuadro de texto 1410327173" o:spid="_x0000_s1201" type="#_x0000_t202" style="position:absolute;left:0;text-align:left;margin-left:0;margin-top:-27.8pt;width:520.2pt;height:30.75pt;z-index:252785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" fillcolor="window" strokeweight=".5pt">
                <v:textbox>
                  <w:txbxContent>
                    <w:p w14:paraId="136D983A" w14:textId="77777777" w:rsidR="005E4FEC" w:rsidRPr="005E4FEC" w:rsidRDefault="005E4FEC" w:rsidP="005E4FEC">
                      <w:pPr>
                        <w:jc w:val="center"/>
                        <w:rPr>
                          <w:rFonts w:cs="Calibri"/>
                        </w:rPr>
                      </w:pPr>
                      <w:r w:rsidRPr="005E4FEC">
                        <w:rPr>
                          <w:rFonts w:cs="Calibri"/>
                          <w:b/>
                        </w:rPr>
                        <w:t>ESCALA DE EVALUACIÓN – MONOGRAFÍA</w:t>
                      </w:r>
                    </w:p>
                    <w:p w14:paraId="6E75B21F" w14:textId="77777777" w:rsidR="005E4FEC" w:rsidRPr="005E4FEC" w:rsidRDefault="005E4FEC" w:rsidP="005E4FEC">
                      <w:pPr>
                        <w:jc w:val="center"/>
                        <w:rPr>
                          <w:rFonts w:cs="Calibri"/>
                        </w:rPr>
                      </w:pPr>
                    </w:p>
                  </w:txbxContent>
                </v:textbox>
                <w10:wrap anchorx="margin"/>
              </v:shape>
            </w:pict>
          </mc:Fallback>
        </mc:AlternateContent>
      </w:r>
    </w:p>
    <w:p w14:paraId="767EE6A8" w14:textId="77777777" w:rsidR="005E4FEC" w:rsidRPr="005E4FEC" w:rsidRDefault="005E4FEC" w:rsidP="005E4FEC">
      <w:pPr>
        <w:jc w:val="center"/>
        <w:rPr>
          <w:rFonts w:ascii="Calibri" w:eastAsia="Times New Roman" w:hAnsi="Calibri" w:cs="Calibri"/>
          <w:bCs/>
          <w:color w:val="0070C0"/>
          <w:kern w:val="0"/>
          <w:lang w:val="es-ES_tradnl" w:eastAsia="es-CR"/>
          <w14:ligatures w14:val="none"/>
        </w:rPr>
      </w:pPr>
      <w:r w:rsidRPr="005E4FEC">
        <w:rPr>
          <w:rFonts w:ascii="Calibri" w:eastAsia="Times New Roman" w:hAnsi="Calibri" w:cs="Calibri"/>
          <w:bCs/>
          <w:color w:val="0070C0"/>
          <w:kern w:val="0"/>
          <w:lang w:val="es-ES_tradnl" w:eastAsia="es-CR"/>
          <w14:ligatures w14:val="none"/>
        </w:rPr>
        <w:t>El trabajo final del curso es un escrito de estilo monográfico en el que la persona estudiante desarrollará un comentario sobre un texto bíblico que refleje dinámicas del mundo social y su expresión religiosa. Se elabora desde la sesión 5 hasta la 15 de la siguiente forma: escogencia del texto bíblico para comentar (sesión 5), entrega de un avance (sesión 9) y entrega de la monografía (sesión 15). Tiene un valor de 30%.</w:t>
      </w:r>
    </w:p>
    <w:p w14:paraId="7D63BC21" w14:textId="77777777" w:rsidR="005E4FEC" w:rsidRPr="005E4FEC" w:rsidRDefault="005E4FEC" w:rsidP="005E4FEC">
      <w:pPr>
        <w:jc w:val="center"/>
        <w:rPr>
          <w:rFonts w:ascii="Calibri" w:eastAsia="Times New Roman" w:hAnsi="Calibri" w:cs="Calibri"/>
          <w:bCs/>
          <w:color w:val="000000"/>
          <w:kern w:val="0"/>
          <w:lang w:val="es-ES_tradnl" w:eastAsia="es-CR"/>
          <w14:ligatures w14:val="none"/>
        </w:rPr>
      </w:pPr>
    </w:p>
    <w:p w14:paraId="76353CFD" w14:textId="77777777" w:rsidR="005E4FEC" w:rsidRPr="005E4FEC" w:rsidRDefault="005E4FEC" w:rsidP="005E4FEC">
      <w:pPr>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Cs/>
          <w:noProof/>
          <w:color w:val="000000"/>
          <w:kern w:val="0"/>
          <w:lang w:val="es-ES_tradnl" w:eastAsia="es-CR"/>
          <w14:ligatures w14:val="none"/>
        </w:rPr>
        <w:drawing>
          <wp:anchor distT="0" distB="0" distL="114300" distR="114300" simplePos="0" relativeHeight="252786688" behindDoc="0" locked="0" layoutInCell="1" allowOverlap="1" wp14:anchorId="2FF6D6B3" wp14:editId="2B974C39">
            <wp:simplePos x="0" y="0"/>
            <wp:positionH relativeFrom="margin">
              <wp:align>center</wp:align>
            </wp:positionH>
            <wp:positionV relativeFrom="paragraph">
              <wp:posOffset>97155</wp:posOffset>
            </wp:positionV>
            <wp:extent cx="8168640" cy="3864610"/>
            <wp:effectExtent l="0" t="0" r="3810" b="2540"/>
            <wp:wrapNone/>
            <wp:docPr id="1325231800"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31800" name="Imagen 7" descr="Tabla&#10;&#10;Descripción generada automáticamente"/>
                    <pic:cNvPicPr/>
                  </pic:nvPicPr>
                  <pic:blipFill>
                    <a:blip r:embed="rId400">
                      <a:extLst>
                        <a:ext uri="{28A0092B-C50C-407E-A947-70E740481C1C}">
                          <a14:useLocalDpi xmlns:a14="http://schemas.microsoft.com/office/drawing/2010/main" val="0"/>
                        </a:ext>
                      </a:extLst>
                    </a:blip>
                    <a:stretch>
                      <a:fillRect/>
                    </a:stretch>
                  </pic:blipFill>
                  <pic:spPr>
                    <a:xfrm>
                      <a:off x="0" y="0"/>
                      <a:ext cx="8168640" cy="3864610"/>
                    </a:xfrm>
                    <a:prstGeom prst="rect">
                      <a:avLst/>
                    </a:prstGeom>
                  </pic:spPr>
                </pic:pic>
              </a:graphicData>
            </a:graphic>
          </wp:anchor>
        </w:drawing>
      </w:r>
    </w:p>
    <w:p w14:paraId="7371B19D"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6BB7D00A" w14:textId="77777777" w:rsidR="005E4FEC" w:rsidRPr="005E4FEC" w:rsidRDefault="005E4FEC" w:rsidP="005E4FEC">
      <w:pPr>
        <w:rPr>
          <w:rFonts w:ascii="Calibri" w:eastAsia="Times New Roman" w:hAnsi="Calibri" w:cs="Calibri"/>
          <w:b/>
          <w:color w:val="000000"/>
          <w:kern w:val="0"/>
          <w:lang w:val="es-ES_tradnl" w:eastAsia="es-CR"/>
          <w14:ligatures w14:val="none"/>
        </w:rPr>
      </w:pPr>
    </w:p>
    <w:p w14:paraId="05B50127" w14:textId="77777777" w:rsidR="005E4FEC" w:rsidRPr="005E4FEC" w:rsidRDefault="005E4FEC" w:rsidP="005E4FEC">
      <w:pPr>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
          <w:color w:val="000000"/>
          <w:kern w:val="0"/>
          <w:lang w:val="es-ES_tradnl" w:eastAsia="es-CR"/>
          <w14:ligatures w14:val="none"/>
        </w:rPr>
        <w:br w:type="page"/>
      </w:r>
    </w:p>
    <w:p w14:paraId="0BF9EFD7" w14:textId="77777777" w:rsidR="005E4FEC" w:rsidRPr="005E4FEC" w:rsidRDefault="005E4FEC" w:rsidP="005E4FEC">
      <w:pPr>
        <w:rPr>
          <w:rFonts w:ascii="Calibri" w:eastAsia="Times New Roman" w:hAnsi="Calibri" w:cs="Calibri"/>
          <w:b/>
          <w:color w:val="000000"/>
          <w:kern w:val="0"/>
          <w:lang w:val="es-ES_tradnl" w:eastAsia="es-CR"/>
          <w14:ligatures w14:val="none"/>
        </w:rPr>
        <w:sectPr w:rsidR="005E4FEC" w:rsidRPr="005E4FEC" w:rsidSect="005E4FEC">
          <w:pgSz w:w="15840" w:h="12240" w:orient="landscape"/>
          <w:pgMar w:top="720" w:right="720" w:bottom="720" w:left="720" w:header="709" w:footer="709" w:gutter="0"/>
          <w:pgNumType w:start="354"/>
          <w:cols w:space="708"/>
          <w:docGrid w:linePitch="360"/>
        </w:sectPr>
      </w:pPr>
    </w:p>
    <w:p w14:paraId="0E72C734" w14:textId="77777777" w:rsidR="005E4FEC" w:rsidRPr="005E4FEC" w:rsidRDefault="005E4FEC" w:rsidP="005E4FEC">
      <w:pPr>
        <w:rPr>
          <w:rFonts w:ascii="Calibri" w:eastAsia="Times New Roman" w:hAnsi="Calibri" w:cs="Calibri"/>
          <w:b/>
          <w:color w:val="000000"/>
          <w:kern w:val="0"/>
          <w:lang w:val="es-ES_tradnl" w:eastAsia="es-CR"/>
          <w14:ligatures w14:val="none"/>
        </w:rPr>
      </w:pPr>
      <w:r w:rsidRPr="005E4FEC">
        <w:rPr>
          <w:rFonts w:ascii="Calibri" w:eastAsia="Times New Roman" w:hAnsi="Calibri" w:cs="Calibri"/>
          <w:b/>
          <w:color w:val="000000"/>
          <w:kern w:val="0"/>
          <w:lang w:val="es-ES_tradnl" w:eastAsia="es-CR"/>
          <w14:ligatures w14:val="none"/>
        </w:rPr>
        <w:lastRenderedPageBreak/>
        <w:t>XI. Bibliografía obligatoria</w:t>
      </w:r>
    </w:p>
    <w:p w14:paraId="6450BCED" w14:textId="77777777" w:rsidR="005E4FEC" w:rsidRPr="005E4FEC" w:rsidRDefault="005E4FEC" w:rsidP="005E4FEC">
      <w:pPr>
        <w:jc w:val="both"/>
        <w:rPr>
          <w:rFonts w:ascii="Calibri" w:eastAsia="Times New Roman" w:hAnsi="Calibri" w:cs="Arial"/>
          <w:bCs/>
          <w:color w:val="000000"/>
          <w:kern w:val="0"/>
          <w:lang w:eastAsia="es-CR"/>
          <w14:ligatures w14:val="none"/>
        </w:rPr>
      </w:pPr>
      <w:r w:rsidRPr="005E4FEC">
        <w:rPr>
          <w:rFonts w:ascii="Calibri" w:eastAsia="Times New Roman" w:hAnsi="Calibri" w:cs="Arial"/>
          <w:b/>
          <w:color w:val="000000"/>
          <w:kern w:val="0"/>
          <w:lang w:eastAsia="es-CR"/>
          <w14:ligatures w14:val="none"/>
        </w:rPr>
        <w:t>Nota:</w:t>
      </w:r>
      <w:r w:rsidRPr="005E4FEC">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5E4FEC">
        <w:rPr>
          <w:rFonts w:ascii="Calibri" w:eastAsia="Times New Roman" w:hAnsi="Calibri" w:cs="Arial"/>
          <w:bCs/>
          <w:color w:val="000000"/>
          <w:kern w:val="0"/>
          <w:lang w:eastAsia="es-CR"/>
          <w14:ligatures w14:val="none"/>
        </w:rPr>
        <w:t>pdf</w:t>
      </w:r>
      <w:proofErr w:type="spellEnd"/>
      <w:r w:rsidRPr="005E4FEC">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086CC24B" w14:textId="77777777" w:rsidR="005E4FEC" w:rsidRPr="005E4FEC" w:rsidRDefault="005E4FEC" w:rsidP="005E4FEC">
      <w:pPr>
        <w:widowControl w:val="0"/>
        <w:overflowPunct w:val="0"/>
        <w:autoSpaceDE w:val="0"/>
        <w:autoSpaceDN w:val="0"/>
        <w:adjustRightInd w:val="0"/>
        <w:spacing w:before="120" w:after="0" w:line="240" w:lineRule="auto"/>
        <w:ind w:left="720" w:hanging="720"/>
        <w:jc w:val="both"/>
        <w:rPr>
          <w:rFonts w:ascii="Calibri" w:eastAsia="Times New Roman" w:hAnsi="Calibri" w:cs="Calibri"/>
          <w:kern w:val="0"/>
          <w:lang w:val="es-ES" w:eastAsia="es-CR"/>
          <w14:ligatures w14:val="none"/>
        </w:rPr>
      </w:pPr>
      <w:r w:rsidRPr="005E4FEC">
        <w:rPr>
          <w:rFonts w:ascii="Calibri" w:eastAsia="Times New Roman" w:hAnsi="Calibri" w:cs="Calibri"/>
          <w:color w:val="000000"/>
          <w:kern w:val="0"/>
          <w:lang w:val="es-ES_tradnl" w:eastAsia="es-CR"/>
          <w14:ligatures w14:val="none"/>
        </w:rPr>
        <w:t xml:space="preserve">Cook, Elisabeth. “La cultura religiosa de las mujeres: una mirada desde el antiguo Israel”. </w:t>
      </w:r>
      <w:r w:rsidRPr="005E4FEC">
        <w:rPr>
          <w:rFonts w:ascii="Calibri" w:eastAsia="Times New Roman" w:hAnsi="Calibri" w:cs="Calibri"/>
          <w:i/>
          <w:color w:val="000000"/>
          <w:kern w:val="0"/>
          <w:lang w:val="es-ES_tradnl" w:eastAsia="es-CR"/>
          <w14:ligatures w14:val="none"/>
        </w:rPr>
        <w:t>Aportes Bíblicos</w:t>
      </w:r>
      <w:r w:rsidRPr="005E4FEC">
        <w:rPr>
          <w:rFonts w:ascii="Calibri" w:eastAsia="Times New Roman" w:hAnsi="Calibri" w:cs="Calibri"/>
          <w:iCs/>
          <w:color w:val="000000"/>
          <w:kern w:val="0"/>
          <w:lang w:val="es-ES_tradnl" w:eastAsia="es-CR"/>
          <w14:ligatures w14:val="none"/>
        </w:rPr>
        <w:t>, n.º</w:t>
      </w:r>
      <w:r w:rsidRPr="005E4FEC">
        <w:rPr>
          <w:rFonts w:ascii="Calibri" w:eastAsia="Times New Roman" w:hAnsi="Calibri" w:cs="Calibri"/>
          <w:i/>
          <w:color w:val="000000"/>
          <w:kern w:val="0"/>
          <w:lang w:val="es-ES_tradnl" w:eastAsia="es-CR"/>
          <w14:ligatures w14:val="none"/>
        </w:rPr>
        <w:t xml:space="preserve"> </w:t>
      </w:r>
      <w:r w:rsidRPr="005E4FEC">
        <w:rPr>
          <w:rFonts w:ascii="Calibri" w:eastAsia="Times New Roman" w:hAnsi="Calibri" w:cs="Calibri"/>
          <w:color w:val="000000"/>
          <w:kern w:val="0"/>
          <w:lang w:val="es-ES_tradnl" w:eastAsia="es-CR"/>
          <w14:ligatures w14:val="none"/>
        </w:rPr>
        <w:t xml:space="preserve">14 (2012): 7-46. </w:t>
      </w:r>
    </w:p>
    <w:p w14:paraId="4F6663D4" w14:textId="77777777" w:rsidR="005E4FEC" w:rsidRPr="005E4FEC" w:rsidRDefault="005E4FEC" w:rsidP="005E4FEC">
      <w:pPr>
        <w:widowControl w:val="0"/>
        <w:overflowPunct w:val="0"/>
        <w:autoSpaceDE w:val="0"/>
        <w:autoSpaceDN w:val="0"/>
        <w:adjustRightInd w:val="0"/>
        <w:spacing w:before="120" w:after="0" w:line="240" w:lineRule="auto"/>
        <w:ind w:left="706" w:hanging="706"/>
        <w:jc w:val="both"/>
        <w:rPr>
          <w:rFonts w:ascii="Calibri" w:eastAsia="Times New Roman" w:hAnsi="Calibri" w:cs="Calibri"/>
          <w:color w:val="000000"/>
          <w:kern w:val="0"/>
          <w:lang w:val="es-ES_tradnl" w:eastAsia="es-CR"/>
          <w14:ligatures w14:val="none"/>
        </w:rPr>
      </w:pPr>
      <w:proofErr w:type="spellStart"/>
      <w:r w:rsidRPr="005E4FEC">
        <w:rPr>
          <w:rFonts w:ascii="Calibri" w:eastAsia="Times New Roman" w:hAnsi="Calibri" w:cs="Calibri"/>
          <w:color w:val="000000"/>
          <w:kern w:val="0"/>
          <w:lang w:val="es-ES_tradnl" w:eastAsia="es-CR"/>
          <w14:ligatures w14:val="none"/>
        </w:rPr>
        <w:t>Démare</w:t>
      </w:r>
      <w:proofErr w:type="spellEnd"/>
      <w:r w:rsidRPr="005E4FEC">
        <w:rPr>
          <w:rFonts w:ascii="Calibri" w:eastAsia="Times New Roman" w:hAnsi="Calibri" w:cs="Calibri"/>
          <w:color w:val="000000"/>
          <w:kern w:val="0"/>
          <w:lang w:val="es-ES_tradnl" w:eastAsia="es-CR"/>
          <w14:ligatures w14:val="none"/>
        </w:rPr>
        <w:t xml:space="preserve">-Lafont, Sophie. “Los derechos de las mujeres en los textos jurídicos del Antiguo Oriente Próximo”. </w:t>
      </w:r>
      <w:r w:rsidRPr="005E4FEC">
        <w:rPr>
          <w:rFonts w:ascii="Calibri" w:eastAsia="Times New Roman" w:hAnsi="Calibri" w:cs="Calibri"/>
          <w:kern w:val="0"/>
          <w:lang w:val="es-ES_tradnl" w:eastAsia="es-CR"/>
          <w14:ligatures w14:val="none"/>
        </w:rPr>
        <w:t xml:space="preserve">En </w:t>
      </w:r>
      <w:r w:rsidRPr="005E4FEC">
        <w:rPr>
          <w:rFonts w:ascii="Calibri" w:eastAsia="Times New Roman" w:hAnsi="Calibri" w:cs="Calibri"/>
          <w:i/>
          <w:iCs/>
          <w:kern w:val="0"/>
          <w:lang w:val="es-ES_tradnl" w:eastAsia="es-CR"/>
          <w14:ligatures w14:val="none"/>
        </w:rPr>
        <w:t xml:space="preserve">La </w:t>
      </w:r>
      <w:proofErr w:type="spellStart"/>
      <w:r w:rsidRPr="005E4FEC">
        <w:rPr>
          <w:rFonts w:ascii="Calibri" w:eastAsia="Times New Roman" w:hAnsi="Calibri" w:cs="Calibri"/>
          <w:i/>
          <w:iCs/>
          <w:kern w:val="0"/>
          <w:lang w:val="es-ES_tradnl" w:eastAsia="es-CR"/>
          <w14:ligatures w14:val="none"/>
        </w:rPr>
        <w:t>Torah</w:t>
      </w:r>
      <w:proofErr w:type="spellEnd"/>
      <w:r w:rsidRPr="005E4FEC">
        <w:rPr>
          <w:rFonts w:ascii="Calibri" w:eastAsia="Times New Roman" w:hAnsi="Calibri" w:cs="Calibri"/>
          <w:kern w:val="0"/>
          <w:lang w:val="es-ES_tradnl" w:eastAsia="es-CR"/>
          <w14:ligatures w14:val="none"/>
        </w:rPr>
        <w:t xml:space="preserve">, editado por </w:t>
      </w:r>
      <w:proofErr w:type="spellStart"/>
      <w:r w:rsidRPr="005E4FEC">
        <w:rPr>
          <w:rFonts w:ascii="Calibri" w:eastAsia="Times New Roman" w:hAnsi="Calibri" w:cs="Calibri"/>
          <w:kern w:val="0"/>
          <w:lang w:val="es-ES_tradnl" w:eastAsia="es-CR"/>
          <w14:ligatures w14:val="none"/>
        </w:rPr>
        <w:t>Irmtraud</w:t>
      </w:r>
      <w:proofErr w:type="spellEnd"/>
      <w:r w:rsidRPr="005E4FEC">
        <w:rPr>
          <w:rFonts w:ascii="Calibri" w:eastAsia="Times New Roman" w:hAnsi="Calibri" w:cs="Calibri"/>
          <w:kern w:val="0"/>
          <w:lang w:val="es-ES_tradnl" w:eastAsia="es-CR"/>
          <w14:ligatures w14:val="none"/>
        </w:rPr>
        <w:t xml:space="preserve"> Fischer y Mercedes Navarro, 127-147. Estella: Verbo Divino, 2010. (</w:t>
      </w:r>
      <w:r w:rsidRPr="005E4FEC">
        <w:rPr>
          <w:rFonts w:ascii="Calibri" w:eastAsia="Times New Roman" w:hAnsi="Calibri" w:cs="Calibri"/>
          <w:color w:val="0070C0"/>
          <w:kern w:val="0"/>
          <w:lang w:val="es-ES_tradnl" w:eastAsia="es-CR"/>
          <w14:ligatures w14:val="none"/>
        </w:rPr>
        <w:t xml:space="preserve">clásico, </w:t>
      </w:r>
      <w:r w:rsidRPr="005E4FEC">
        <w:rPr>
          <w:rFonts w:ascii="Calibri" w:eastAsia="Times New Roman" w:hAnsi="Calibri" w:cs="Calibri"/>
          <w:kern w:val="0"/>
          <w:lang w:val="es-ES_tradnl" w:eastAsia="es-CR"/>
          <w14:ligatures w14:val="none"/>
        </w:rPr>
        <w:t xml:space="preserve">última edición) </w:t>
      </w:r>
    </w:p>
    <w:p w14:paraId="261098C7" w14:textId="77777777" w:rsidR="005E4FEC" w:rsidRPr="005E4FEC" w:rsidRDefault="005E4FEC" w:rsidP="005E4FEC">
      <w:pPr>
        <w:widowControl w:val="0"/>
        <w:overflowPunct w:val="0"/>
        <w:autoSpaceDE w:val="0"/>
        <w:autoSpaceDN w:val="0"/>
        <w:adjustRightInd w:val="0"/>
        <w:spacing w:before="120" w:after="0" w:line="240" w:lineRule="auto"/>
        <w:ind w:left="720" w:hanging="720"/>
        <w:jc w:val="both"/>
        <w:rPr>
          <w:rFonts w:ascii="Calibri" w:eastAsia="Times New Roman" w:hAnsi="Calibri" w:cs="Calibri"/>
          <w:color w:val="000000"/>
          <w:kern w:val="0"/>
          <w:lang w:val="es-ES_tradnl" w:eastAsia="es-CR"/>
          <w14:ligatures w14:val="none"/>
        </w:rPr>
      </w:pPr>
      <w:r w:rsidRPr="005E4FEC">
        <w:rPr>
          <w:rFonts w:ascii="Calibri" w:eastAsia="Times New Roman" w:hAnsi="Calibri" w:cs="Calibri"/>
          <w:color w:val="000000"/>
          <w:kern w:val="0"/>
          <w:lang w:val="es-ES_tradnl" w:eastAsia="es-CR"/>
          <w14:ligatures w14:val="none"/>
        </w:rPr>
        <w:t xml:space="preserve">De </w:t>
      </w:r>
      <w:proofErr w:type="spellStart"/>
      <w:r w:rsidRPr="005E4FEC">
        <w:rPr>
          <w:rFonts w:ascii="Calibri" w:eastAsia="Times New Roman" w:hAnsi="Calibri" w:cs="Calibri"/>
          <w:color w:val="000000"/>
          <w:kern w:val="0"/>
          <w:lang w:val="es-ES_tradnl" w:eastAsia="es-CR"/>
          <w14:ligatures w14:val="none"/>
        </w:rPr>
        <w:t>Vaux</w:t>
      </w:r>
      <w:proofErr w:type="spellEnd"/>
      <w:r w:rsidRPr="005E4FEC">
        <w:rPr>
          <w:rFonts w:ascii="Calibri" w:eastAsia="Times New Roman" w:hAnsi="Calibri" w:cs="Calibri"/>
          <w:color w:val="000000"/>
          <w:kern w:val="0"/>
          <w:lang w:val="es-ES_tradnl" w:eastAsia="es-CR"/>
          <w14:ligatures w14:val="none"/>
        </w:rPr>
        <w:t xml:space="preserve">, Roland. </w:t>
      </w:r>
      <w:r w:rsidRPr="005E4FEC">
        <w:rPr>
          <w:rFonts w:ascii="Calibri" w:eastAsia="Times New Roman" w:hAnsi="Calibri" w:cs="Calibri"/>
          <w:i/>
          <w:color w:val="000000"/>
          <w:kern w:val="0"/>
          <w:lang w:val="es-ES_tradnl" w:eastAsia="es-CR"/>
          <w14:ligatures w14:val="none"/>
        </w:rPr>
        <w:t xml:space="preserve">Instituciones del Antiguo Testamento. </w:t>
      </w:r>
      <w:r w:rsidRPr="005E4FEC">
        <w:rPr>
          <w:rFonts w:ascii="Calibri" w:eastAsia="Times New Roman" w:hAnsi="Calibri" w:cs="Calibri"/>
          <w:color w:val="000000"/>
          <w:kern w:val="0"/>
          <w:lang w:val="es-ES_tradnl" w:eastAsia="es-CR"/>
          <w14:ligatures w14:val="none"/>
        </w:rPr>
        <w:t xml:space="preserve">Barcelona: Herder, 1976. (Clásico, </w:t>
      </w:r>
      <w:r w:rsidRPr="005E4FEC">
        <w:rPr>
          <w:rFonts w:ascii="Calibri" w:eastAsia="Times New Roman" w:hAnsi="Calibri" w:cs="Calibri"/>
          <w:color w:val="0070C0"/>
          <w:kern w:val="0"/>
          <w:lang w:val="es-ES_tradnl" w:eastAsia="es-CR"/>
          <w14:ligatures w14:val="none"/>
        </w:rPr>
        <w:t>última edición 1992</w:t>
      </w:r>
      <w:r w:rsidRPr="005E4FEC">
        <w:rPr>
          <w:rFonts w:ascii="Calibri" w:eastAsia="Times New Roman" w:hAnsi="Calibri" w:cs="Calibri"/>
          <w:color w:val="000000"/>
          <w:kern w:val="0"/>
          <w:lang w:val="es-ES_tradnl" w:eastAsia="es-CR"/>
          <w14:ligatures w14:val="none"/>
        </w:rPr>
        <w:t>)</w:t>
      </w:r>
    </w:p>
    <w:p w14:paraId="65C1DF2F" w14:textId="77777777" w:rsidR="005E4FEC" w:rsidRPr="005E4FEC" w:rsidRDefault="005E4FEC" w:rsidP="005E4FEC">
      <w:pPr>
        <w:widowControl w:val="0"/>
        <w:overflowPunct w:val="0"/>
        <w:autoSpaceDE w:val="0"/>
        <w:autoSpaceDN w:val="0"/>
        <w:adjustRightInd w:val="0"/>
        <w:spacing w:before="120" w:after="0" w:line="240" w:lineRule="auto"/>
        <w:ind w:left="706" w:hanging="706"/>
        <w:jc w:val="both"/>
        <w:rPr>
          <w:rFonts w:ascii="Calibri" w:eastAsia="Times New Roman" w:hAnsi="Calibri" w:cs="Calibri"/>
          <w:color w:val="000000"/>
          <w:kern w:val="0"/>
          <w:lang w:val="es-ES_tradnl" w:eastAsia="es-CR"/>
          <w14:ligatures w14:val="none"/>
        </w:rPr>
      </w:pPr>
      <w:proofErr w:type="spellStart"/>
      <w:r w:rsidRPr="005E4FEC">
        <w:rPr>
          <w:rFonts w:ascii="Calibri" w:eastAsia="Times New Roman" w:hAnsi="Calibri" w:cs="Calibri"/>
          <w:kern w:val="0"/>
          <w:lang w:val="es-ES_tradnl" w:eastAsia="es-CR"/>
          <w14:ligatures w14:val="none"/>
        </w:rPr>
        <w:t>Erbele-Küster</w:t>
      </w:r>
      <w:proofErr w:type="spellEnd"/>
      <w:r w:rsidRPr="005E4FEC">
        <w:rPr>
          <w:rFonts w:ascii="Calibri" w:eastAsia="Times New Roman" w:hAnsi="Calibri" w:cs="Calibri"/>
          <w:kern w:val="0"/>
          <w:lang w:val="es-ES_tradnl" w:eastAsia="es-CR"/>
          <w14:ligatures w14:val="none"/>
        </w:rPr>
        <w:t xml:space="preserve">, Dorothea. “Sexo y culto. «Puro»/«impuro» como categoría relevante de género”. En </w:t>
      </w:r>
      <w:r w:rsidRPr="005E4FEC">
        <w:rPr>
          <w:rFonts w:ascii="Calibri" w:eastAsia="Times New Roman" w:hAnsi="Calibri" w:cs="Calibri"/>
          <w:i/>
          <w:iCs/>
          <w:kern w:val="0"/>
          <w:lang w:val="es-ES_tradnl" w:eastAsia="es-CR"/>
          <w14:ligatures w14:val="none"/>
        </w:rPr>
        <w:t xml:space="preserve">La </w:t>
      </w:r>
      <w:proofErr w:type="spellStart"/>
      <w:r w:rsidRPr="005E4FEC">
        <w:rPr>
          <w:rFonts w:ascii="Calibri" w:eastAsia="Times New Roman" w:hAnsi="Calibri" w:cs="Calibri"/>
          <w:i/>
          <w:iCs/>
          <w:kern w:val="0"/>
          <w:lang w:val="es-ES_tradnl" w:eastAsia="es-CR"/>
          <w14:ligatures w14:val="none"/>
        </w:rPr>
        <w:t>Torah</w:t>
      </w:r>
      <w:proofErr w:type="spellEnd"/>
      <w:r w:rsidRPr="005E4FEC">
        <w:rPr>
          <w:rFonts w:ascii="Calibri" w:eastAsia="Times New Roman" w:hAnsi="Calibri" w:cs="Calibri"/>
          <w:kern w:val="0"/>
          <w:lang w:val="es-ES_tradnl" w:eastAsia="es-CR"/>
          <w14:ligatures w14:val="none"/>
        </w:rPr>
        <w:t xml:space="preserve">, editado por </w:t>
      </w:r>
      <w:proofErr w:type="spellStart"/>
      <w:r w:rsidRPr="005E4FEC">
        <w:rPr>
          <w:rFonts w:ascii="Calibri" w:eastAsia="Times New Roman" w:hAnsi="Calibri" w:cs="Calibri"/>
          <w:kern w:val="0"/>
          <w:lang w:val="es-ES_tradnl" w:eastAsia="es-CR"/>
          <w14:ligatures w14:val="none"/>
        </w:rPr>
        <w:t>Irmtraud</w:t>
      </w:r>
      <w:proofErr w:type="spellEnd"/>
      <w:r w:rsidRPr="005E4FEC">
        <w:rPr>
          <w:rFonts w:ascii="Calibri" w:eastAsia="Times New Roman" w:hAnsi="Calibri" w:cs="Calibri"/>
          <w:kern w:val="0"/>
          <w:lang w:val="es-ES_tradnl" w:eastAsia="es-CR"/>
          <w14:ligatures w14:val="none"/>
        </w:rPr>
        <w:t xml:space="preserve"> Fischer y Mercedes Navarro, 379-407. Estella: Verbo Divino, 2010. (</w:t>
      </w:r>
      <w:r w:rsidRPr="005E4FEC">
        <w:rPr>
          <w:rFonts w:ascii="Calibri" w:eastAsia="Times New Roman" w:hAnsi="Calibri" w:cs="Calibri"/>
          <w:color w:val="0070C0"/>
          <w:kern w:val="0"/>
          <w:lang w:val="es-ES_tradnl" w:eastAsia="es-CR"/>
          <w14:ligatures w14:val="none"/>
        </w:rPr>
        <w:t xml:space="preserve">clásico, </w:t>
      </w:r>
      <w:r w:rsidRPr="005E4FEC">
        <w:rPr>
          <w:rFonts w:ascii="Calibri" w:eastAsia="Times New Roman" w:hAnsi="Calibri" w:cs="Calibri"/>
          <w:kern w:val="0"/>
          <w:lang w:val="es-ES_tradnl" w:eastAsia="es-CR"/>
          <w14:ligatures w14:val="none"/>
        </w:rPr>
        <w:t>última edición)</w:t>
      </w:r>
      <w:r w:rsidRPr="005E4FEC">
        <w:rPr>
          <w:rFonts w:ascii="Calibri" w:eastAsia="Times New Roman" w:hAnsi="Calibri" w:cs="Calibri"/>
          <w:color w:val="000000"/>
          <w:kern w:val="0"/>
          <w:lang w:val="es-ES_tradnl" w:eastAsia="es-CR"/>
          <w14:ligatures w14:val="none"/>
        </w:rPr>
        <w:t xml:space="preserve"> </w:t>
      </w:r>
    </w:p>
    <w:p w14:paraId="599C068F" w14:textId="77777777" w:rsidR="005E4FEC" w:rsidRPr="005E4FEC" w:rsidRDefault="005E4FEC" w:rsidP="005E4FEC">
      <w:pPr>
        <w:widowControl w:val="0"/>
        <w:overflowPunct w:val="0"/>
        <w:autoSpaceDE w:val="0"/>
        <w:autoSpaceDN w:val="0"/>
        <w:adjustRightInd w:val="0"/>
        <w:spacing w:before="120" w:after="0" w:line="240" w:lineRule="auto"/>
        <w:ind w:left="706" w:hanging="706"/>
        <w:jc w:val="both"/>
        <w:rPr>
          <w:rFonts w:ascii="Calibri" w:eastAsia="Times New Roman" w:hAnsi="Calibri" w:cs="Calibri"/>
          <w:color w:val="000000"/>
          <w:kern w:val="0"/>
          <w:lang w:val="es-ES_tradnl" w:eastAsia="es-CR"/>
          <w14:ligatures w14:val="none"/>
        </w:rPr>
      </w:pPr>
      <w:proofErr w:type="spellStart"/>
      <w:r w:rsidRPr="005E4FEC">
        <w:rPr>
          <w:rFonts w:ascii="Calibri" w:eastAsia="Times New Roman" w:hAnsi="Calibri" w:cs="Calibri"/>
          <w:kern w:val="0"/>
          <w:lang w:val="es-ES_tradnl" w:eastAsia="es-CR"/>
          <w14:ligatures w14:val="none"/>
        </w:rPr>
        <w:t>Finsterbuch</w:t>
      </w:r>
      <w:proofErr w:type="spellEnd"/>
      <w:r w:rsidRPr="005E4FEC">
        <w:rPr>
          <w:rFonts w:ascii="Calibri" w:eastAsia="Times New Roman" w:hAnsi="Calibri" w:cs="Calibri"/>
          <w:kern w:val="0"/>
          <w:lang w:val="es-ES_tradnl" w:eastAsia="es-CR"/>
          <w14:ligatures w14:val="none"/>
        </w:rPr>
        <w:t xml:space="preserve">, Karin. “Mujeres: entre «dependencia» y «autonomía». Aspectos relevantes de género en los textos </w:t>
      </w:r>
      <w:proofErr w:type="spellStart"/>
      <w:r w:rsidRPr="005E4FEC">
        <w:rPr>
          <w:rFonts w:ascii="Calibri" w:eastAsia="Times New Roman" w:hAnsi="Calibri" w:cs="Calibri"/>
          <w:kern w:val="0"/>
          <w:lang w:val="es-ES_tradnl" w:eastAsia="es-CR"/>
          <w14:ligatures w14:val="none"/>
        </w:rPr>
        <w:t>regislativos</w:t>
      </w:r>
      <w:proofErr w:type="spellEnd"/>
      <w:r w:rsidRPr="005E4FEC">
        <w:rPr>
          <w:rFonts w:ascii="Calibri" w:eastAsia="Times New Roman" w:hAnsi="Calibri" w:cs="Calibri"/>
          <w:kern w:val="0"/>
          <w:lang w:val="es-ES_tradnl" w:eastAsia="es-CR"/>
          <w14:ligatures w14:val="none"/>
        </w:rPr>
        <w:t xml:space="preserve"> de la </w:t>
      </w:r>
      <w:proofErr w:type="spellStart"/>
      <w:r w:rsidRPr="005E4FEC">
        <w:rPr>
          <w:rFonts w:ascii="Calibri" w:eastAsia="Times New Roman" w:hAnsi="Calibri" w:cs="Calibri"/>
          <w:kern w:val="0"/>
          <w:lang w:val="es-ES_tradnl" w:eastAsia="es-CR"/>
          <w14:ligatures w14:val="none"/>
        </w:rPr>
        <w:t>Torah</w:t>
      </w:r>
      <w:proofErr w:type="spellEnd"/>
      <w:r w:rsidRPr="005E4FEC">
        <w:rPr>
          <w:rFonts w:ascii="Calibri" w:eastAsia="Times New Roman" w:hAnsi="Calibri" w:cs="Calibri"/>
          <w:kern w:val="0"/>
          <w:lang w:val="es-ES_tradnl" w:eastAsia="es-CR"/>
          <w14:ligatures w14:val="none"/>
        </w:rPr>
        <w:t xml:space="preserve">”. En </w:t>
      </w:r>
      <w:r w:rsidRPr="005E4FEC">
        <w:rPr>
          <w:rFonts w:ascii="Calibri" w:eastAsia="Times New Roman" w:hAnsi="Calibri" w:cs="Calibri"/>
          <w:i/>
          <w:iCs/>
          <w:kern w:val="0"/>
          <w:lang w:val="es-ES_tradnl" w:eastAsia="es-CR"/>
          <w14:ligatures w14:val="none"/>
        </w:rPr>
        <w:t xml:space="preserve">La </w:t>
      </w:r>
      <w:proofErr w:type="spellStart"/>
      <w:r w:rsidRPr="005E4FEC">
        <w:rPr>
          <w:rFonts w:ascii="Calibri" w:eastAsia="Times New Roman" w:hAnsi="Calibri" w:cs="Calibri"/>
          <w:i/>
          <w:iCs/>
          <w:kern w:val="0"/>
          <w:lang w:val="es-ES_tradnl" w:eastAsia="es-CR"/>
          <w14:ligatures w14:val="none"/>
        </w:rPr>
        <w:t>Torah</w:t>
      </w:r>
      <w:proofErr w:type="spellEnd"/>
      <w:r w:rsidRPr="005E4FEC">
        <w:rPr>
          <w:rFonts w:ascii="Calibri" w:eastAsia="Times New Roman" w:hAnsi="Calibri" w:cs="Calibri"/>
          <w:kern w:val="0"/>
          <w:lang w:val="es-ES_tradnl" w:eastAsia="es-CR"/>
          <w14:ligatures w14:val="none"/>
        </w:rPr>
        <w:t xml:space="preserve">, editado por </w:t>
      </w:r>
      <w:proofErr w:type="spellStart"/>
      <w:r w:rsidRPr="005E4FEC">
        <w:rPr>
          <w:rFonts w:ascii="Calibri" w:eastAsia="Times New Roman" w:hAnsi="Calibri" w:cs="Calibri"/>
          <w:kern w:val="0"/>
          <w:lang w:val="es-ES_tradnl" w:eastAsia="es-CR"/>
          <w14:ligatures w14:val="none"/>
        </w:rPr>
        <w:t>Irmtraud</w:t>
      </w:r>
      <w:proofErr w:type="spellEnd"/>
      <w:r w:rsidRPr="005E4FEC">
        <w:rPr>
          <w:rFonts w:ascii="Calibri" w:eastAsia="Times New Roman" w:hAnsi="Calibri" w:cs="Calibri"/>
          <w:kern w:val="0"/>
          <w:lang w:val="es-ES_tradnl" w:eastAsia="es-CR"/>
          <w14:ligatures w14:val="none"/>
        </w:rPr>
        <w:t xml:space="preserve"> Fischer y Mercedes Navarro, 409-435. Estella: Verbo Divino, 2010. (</w:t>
      </w:r>
      <w:r w:rsidRPr="005E4FEC">
        <w:rPr>
          <w:rFonts w:ascii="Calibri" w:eastAsia="Times New Roman" w:hAnsi="Calibri" w:cs="Calibri"/>
          <w:color w:val="0070C0"/>
          <w:kern w:val="0"/>
          <w:lang w:val="es-ES_tradnl" w:eastAsia="es-CR"/>
          <w14:ligatures w14:val="none"/>
        </w:rPr>
        <w:t xml:space="preserve">clásico, </w:t>
      </w:r>
      <w:r w:rsidRPr="005E4FEC">
        <w:rPr>
          <w:rFonts w:ascii="Calibri" w:eastAsia="Times New Roman" w:hAnsi="Calibri" w:cs="Calibri"/>
          <w:kern w:val="0"/>
          <w:lang w:val="es-ES_tradnl" w:eastAsia="es-CR"/>
          <w14:ligatures w14:val="none"/>
        </w:rPr>
        <w:t>última edición)</w:t>
      </w:r>
      <w:r w:rsidRPr="005E4FEC">
        <w:rPr>
          <w:rFonts w:ascii="Calibri" w:eastAsia="Times New Roman" w:hAnsi="Calibri" w:cs="Calibri"/>
          <w:color w:val="000000"/>
          <w:kern w:val="0"/>
          <w:lang w:val="es-ES_tradnl" w:eastAsia="es-CR"/>
          <w14:ligatures w14:val="none"/>
        </w:rPr>
        <w:t xml:space="preserve"> </w:t>
      </w:r>
    </w:p>
    <w:p w14:paraId="51B478C9" w14:textId="77777777" w:rsidR="005E4FEC" w:rsidRPr="005E4FEC" w:rsidRDefault="005E4FEC" w:rsidP="005E4FEC">
      <w:pPr>
        <w:widowControl w:val="0"/>
        <w:overflowPunct w:val="0"/>
        <w:autoSpaceDE w:val="0"/>
        <w:autoSpaceDN w:val="0"/>
        <w:adjustRightInd w:val="0"/>
        <w:spacing w:before="120" w:after="0" w:line="240" w:lineRule="auto"/>
        <w:ind w:left="706" w:hanging="706"/>
        <w:jc w:val="both"/>
        <w:rPr>
          <w:rFonts w:ascii="Calibri" w:eastAsia="Times New Roman" w:hAnsi="Calibri" w:cs="Calibri"/>
          <w:color w:val="000000"/>
          <w:kern w:val="0"/>
          <w:lang w:val="es-ES_tradnl" w:eastAsia="es-CR"/>
          <w14:ligatures w14:val="none"/>
        </w:rPr>
      </w:pPr>
      <w:r w:rsidRPr="005E4FEC">
        <w:rPr>
          <w:rFonts w:ascii="Calibri" w:eastAsia="Times New Roman" w:hAnsi="Calibri" w:cs="Calibri"/>
          <w:kern w:val="0"/>
          <w:lang w:val="es-ES" w:eastAsia="es-CR"/>
          <w14:ligatures w14:val="none"/>
        </w:rPr>
        <w:t xml:space="preserve">García López, Félix. </w:t>
      </w:r>
      <w:r w:rsidRPr="005E4FEC">
        <w:rPr>
          <w:rFonts w:ascii="Calibri" w:eastAsia="Times New Roman" w:hAnsi="Calibri" w:cs="Calibri"/>
          <w:i/>
          <w:iCs/>
          <w:kern w:val="0"/>
          <w:lang w:val="es-ES" w:eastAsia="es-CR"/>
          <w14:ligatures w14:val="none"/>
        </w:rPr>
        <w:t>La Torá: escritos sobre el Pentateuco</w:t>
      </w:r>
      <w:r w:rsidRPr="005E4FEC">
        <w:rPr>
          <w:rFonts w:ascii="Calibri" w:eastAsia="Times New Roman" w:hAnsi="Calibri" w:cs="Calibri"/>
          <w:kern w:val="0"/>
          <w:lang w:val="es-ES" w:eastAsia="es-CR"/>
          <w14:ligatures w14:val="none"/>
        </w:rPr>
        <w:t xml:space="preserve">. Estella (Navarra): Verbo Divino, 2012. </w:t>
      </w:r>
      <w:r w:rsidRPr="005E4FEC">
        <w:rPr>
          <w:rFonts w:ascii="Calibri" w:eastAsia="Times New Roman" w:hAnsi="Calibri" w:cs="Calibri"/>
          <w:kern w:val="0"/>
          <w:lang w:val="es-ES_tradnl" w:eastAsia="es-CR"/>
          <w14:ligatures w14:val="none"/>
        </w:rPr>
        <w:t>(</w:t>
      </w:r>
      <w:r w:rsidRPr="005E4FEC">
        <w:rPr>
          <w:rFonts w:ascii="Calibri" w:eastAsia="Times New Roman" w:hAnsi="Calibri" w:cs="Calibri"/>
          <w:color w:val="0070C0"/>
          <w:kern w:val="0"/>
          <w:lang w:val="es-ES_tradnl" w:eastAsia="es-CR"/>
          <w14:ligatures w14:val="none"/>
        </w:rPr>
        <w:t xml:space="preserve">clásico, </w:t>
      </w:r>
      <w:r w:rsidRPr="005E4FEC">
        <w:rPr>
          <w:rFonts w:ascii="Calibri" w:eastAsia="Times New Roman" w:hAnsi="Calibri" w:cs="Calibri"/>
          <w:kern w:val="0"/>
          <w:lang w:val="es-ES_tradnl" w:eastAsia="es-CR"/>
          <w14:ligatures w14:val="none"/>
        </w:rPr>
        <w:t>última edición)</w:t>
      </w:r>
    </w:p>
    <w:p w14:paraId="138A92E2" w14:textId="77777777" w:rsidR="005E4FEC" w:rsidRPr="005E4FEC" w:rsidRDefault="005E4FEC" w:rsidP="005E4FEC">
      <w:pPr>
        <w:widowControl w:val="0"/>
        <w:overflowPunct w:val="0"/>
        <w:autoSpaceDE w:val="0"/>
        <w:autoSpaceDN w:val="0"/>
        <w:adjustRightInd w:val="0"/>
        <w:spacing w:before="120" w:after="0" w:line="240" w:lineRule="auto"/>
        <w:ind w:left="706" w:hanging="706"/>
        <w:jc w:val="both"/>
        <w:rPr>
          <w:rFonts w:ascii="Calibri" w:eastAsia="Times New Roman" w:hAnsi="Calibri" w:cs="Calibri"/>
          <w:iCs/>
          <w:color w:val="000000"/>
          <w:kern w:val="0"/>
          <w:lang w:val="es-ES_tradnl" w:eastAsia="es-CR"/>
          <w14:ligatures w14:val="none"/>
        </w:rPr>
      </w:pPr>
      <w:proofErr w:type="spellStart"/>
      <w:r w:rsidRPr="005E4FEC">
        <w:rPr>
          <w:rFonts w:ascii="Calibri" w:eastAsia="Times New Roman" w:hAnsi="Calibri" w:cs="Calibri"/>
          <w:kern w:val="0"/>
          <w:lang w:val="es-ES_tradnl" w:eastAsia="es-CR"/>
          <w14:ligatures w14:val="none"/>
        </w:rPr>
        <w:t>Heschel</w:t>
      </w:r>
      <w:proofErr w:type="spellEnd"/>
      <w:r w:rsidRPr="005E4FEC">
        <w:rPr>
          <w:rFonts w:ascii="Calibri" w:eastAsia="Times New Roman" w:hAnsi="Calibri" w:cs="Calibri"/>
          <w:kern w:val="0"/>
          <w:lang w:val="es-ES_tradnl" w:eastAsia="es-CR"/>
          <w14:ligatures w14:val="none"/>
        </w:rPr>
        <w:t xml:space="preserve">, Abraham. </w:t>
      </w:r>
      <w:r w:rsidRPr="005E4FEC">
        <w:rPr>
          <w:rFonts w:ascii="Calibri" w:eastAsia="Times New Roman" w:hAnsi="Calibri" w:cs="Calibri"/>
          <w:i/>
          <w:kern w:val="0"/>
          <w:lang w:val="es-ES_tradnl" w:eastAsia="es-CR"/>
          <w14:ligatures w14:val="none"/>
        </w:rPr>
        <w:t xml:space="preserve">Los profetas II. Concepciones históricas y teológicas. </w:t>
      </w:r>
      <w:r w:rsidRPr="005E4FEC">
        <w:rPr>
          <w:rFonts w:ascii="Calibri" w:eastAsia="Times New Roman" w:hAnsi="Calibri" w:cs="Calibri"/>
          <w:iCs/>
          <w:kern w:val="0"/>
          <w:lang w:val="es-ES_tradnl" w:eastAsia="es-CR"/>
          <w14:ligatures w14:val="none"/>
        </w:rPr>
        <w:t xml:space="preserve">Buenos Aires: Editorial Paidós, 1973. (Clásico, </w:t>
      </w:r>
      <w:r w:rsidRPr="005E4FEC">
        <w:rPr>
          <w:rFonts w:ascii="Calibri" w:eastAsia="Times New Roman" w:hAnsi="Calibri" w:cs="Calibri"/>
          <w:iCs/>
          <w:color w:val="0070C0"/>
          <w:kern w:val="0"/>
          <w:lang w:val="es-ES_tradnl" w:eastAsia="es-CR"/>
          <w14:ligatures w14:val="none"/>
        </w:rPr>
        <w:t>última edición</w:t>
      </w:r>
      <w:r w:rsidRPr="005E4FEC">
        <w:rPr>
          <w:rFonts w:ascii="Calibri" w:eastAsia="Times New Roman" w:hAnsi="Calibri" w:cs="Calibri"/>
          <w:iCs/>
          <w:kern w:val="0"/>
          <w:lang w:val="es-ES_tradnl" w:eastAsia="es-CR"/>
          <w14:ligatures w14:val="none"/>
        </w:rPr>
        <w:t xml:space="preserve">) </w:t>
      </w:r>
    </w:p>
    <w:p w14:paraId="4631B61A" w14:textId="77777777" w:rsidR="005E4FEC" w:rsidRPr="005E4FEC" w:rsidRDefault="005E4FEC" w:rsidP="005E4FEC">
      <w:pPr>
        <w:widowControl w:val="0"/>
        <w:overflowPunct w:val="0"/>
        <w:autoSpaceDE w:val="0"/>
        <w:autoSpaceDN w:val="0"/>
        <w:adjustRightInd w:val="0"/>
        <w:spacing w:before="120" w:after="0" w:line="240" w:lineRule="auto"/>
        <w:ind w:left="720" w:hanging="720"/>
        <w:jc w:val="both"/>
        <w:rPr>
          <w:rFonts w:ascii="Calibri" w:eastAsia="Times New Roman" w:hAnsi="Calibri" w:cs="Calibri"/>
          <w:color w:val="000000"/>
          <w:kern w:val="0"/>
          <w:lang w:val="es-ES_tradnl" w:eastAsia="es-CR"/>
          <w14:ligatures w14:val="none"/>
        </w:rPr>
      </w:pPr>
      <w:r w:rsidRPr="005E4FEC">
        <w:rPr>
          <w:rFonts w:ascii="Calibri" w:eastAsia="Times New Roman" w:hAnsi="Calibri" w:cs="Calibri"/>
          <w:color w:val="000000"/>
          <w:kern w:val="0"/>
          <w:lang w:val="es-ES_tradnl" w:eastAsia="es-CR"/>
          <w14:ligatures w14:val="none"/>
        </w:rPr>
        <w:t xml:space="preserve">Kessler, Reiner. </w:t>
      </w:r>
      <w:r w:rsidRPr="005E4FEC">
        <w:rPr>
          <w:rFonts w:ascii="Calibri" w:eastAsia="Times New Roman" w:hAnsi="Calibri" w:cs="Calibri"/>
          <w:i/>
          <w:color w:val="000000"/>
          <w:kern w:val="0"/>
          <w:lang w:val="es-ES_tradnl" w:eastAsia="es-CR"/>
          <w14:ligatures w14:val="none"/>
        </w:rPr>
        <w:t xml:space="preserve">Historia social del antiguo Israel. </w:t>
      </w:r>
      <w:r w:rsidRPr="005E4FEC">
        <w:rPr>
          <w:rFonts w:ascii="Calibri" w:eastAsia="Times New Roman" w:hAnsi="Calibri" w:cs="Calibri"/>
          <w:color w:val="000000"/>
          <w:kern w:val="0"/>
          <w:lang w:val="es-ES_tradnl" w:eastAsia="es-CR"/>
          <w14:ligatures w14:val="none"/>
        </w:rPr>
        <w:t xml:space="preserve">Salamanca: Sígueme, 2013. </w:t>
      </w:r>
      <w:r w:rsidRPr="005E4FEC">
        <w:rPr>
          <w:rFonts w:ascii="Calibri" w:eastAsia="Times New Roman" w:hAnsi="Calibri" w:cs="Calibri"/>
          <w:kern w:val="0"/>
          <w:lang w:val="es-ES_tradnl" w:eastAsia="es-CR"/>
          <w14:ligatures w14:val="none"/>
        </w:rPr>
        <w:t>(</w:t>
      </w:r>
      <w:r w:rsidRPr="005E4FEC">
        <w:rPr>
          <w:rFonts w:ascii="Calibri" w:eastAsia="Times New Roman" w:hAnsi="Calibri" w:cs="Calibri"/>
          <w:color w:val="0070C0"/>
          <w:kern w:val="0"/>
          <w:lang w:val="es-ES_tradnl" w:eastAsia="es-CR"/>
          <w14:ligatures w14:val="none"/>
        </w:rPr>
        <w:t xml:space="preserve">clásico, </w:t>
      </w:r>
      <w:r w:rsidRPr="005E4FEC">
        <w:rPr>
          <w:rFonts w:ascii="Calibri" w:eastAsia="Times New Roman" w:hAnsi="Calibri" w:cs="Calibri"/>
          <w:kern w:val="0"/>
          <w:lang w:val="es-ES_tradnl" w:eastAsia="es-CR"/>
          <w14:ligatures w14:val="none"/>
        </w:rPr>
        <w:t>última edición)</w:t>
      </w:r>
    </w:p>
    <w:p w14:paraId="7C23E0A7" w14:textId="77777777" w:rsidR="005E4FEC" w:rsidRPr="005E4FEC" w:rsidRDefault="005E4FEC" w:rsidP="005E4FEC">
      <w:pPr>
        <w:widowControl w:val="0"/>
        <w:overflowPunct w:val="0"/>
        <w:autoSpaceDE w:val="0"/>
        <w:autoSpaceDN w:val="0"/>
        <w:adjustRightInd w:val="0"/>
        <w:spacing w:before="120" w:after="0" w:line="240" w:lineRule="auto"/>
        <w:ind w:left="720" w:hanging="720"/>
        <w:jc w:val="both"/>
        <w:rPr>
          <w:rFonts w:ascii="Calibri" w:eastAsia="Times New Roman" w:hAnsi="Calibri" w:cs="Calibri"/>
          <w:color w:val="000000"/>
          <w:kern w:val="0"/>
          <w:lang w:val="es-ES_tradnl" w:eastAsia="es-CR"/>
          <w14:ligatures w14:val="none"/>
        </w:rPr>
      </w:pPr>
      <w:proofErr w:type="spellStart"/>
      <w:r w:rsidRPr="005E4FEC">
        <w:rPr>
          <w:rFonts w:ascii="Calibri" w:eastAsia="Times New Roman" w:hAnsi="Calibri" w:cs="Calibri"/>
          <w:color w:val="000000"/>
          <w:kern w:val="0"/>
          <w:lang w:val="es-ES_tradnl" w:eastAsia="es-CR"/>
          <w14:ligatures w14:val="none"/>
        </w:rPr>
        <w:t>Liverani</w:t>
      </w:r>
      <w:proofErr w:type="spellEnd"/>
      <w:r w:rsidRPr="005E4FEC">
        <w:rPr>
          <w:rFonts w:ascii="Calibri" w:eastAsia="Times New Roman" w:hAnsi="Calibri" w:cs="Calibri"/>
          <w:color w:val="000000"/>
          <w:kern w:val="0"/>
          <w:lang w:val="es-ES_tradnl" w:eastAsia="es-CR"/>
          <w14:ligatures w14:val="none"/>
        </w:rPr>
        <w:t xml:space="preserve">, Mario. </w:t>
      </w:r>
      <w:r w:rsidRPr="005E4FEC">
        <w:rPr>
          <w:rFonts w:ascii="Calibri" w:eastAsia="Times New Roman" w:hAnsi="Calibri" w:cs="Calibri"/>
          <w:i/>
          <w:color w:val="000000"/>
          <w:kern w:val="0"/>
          <w:lang w:val="es-ES_tradnl" w:eastAsia="es-CR"/>
          <w14:ligatures w14:val="none"/>
        </w:rPr>
        <w:t xml:space="preserve">Más allá de la Biblia: historia antigua de Israel. </w:t>
      </w:r>
      <w:r w:rsidRPr="005E4FEC">
        <w:rPr>
          <w:rFonts w:ascii="Calibri" w:eastAsia="Times New Roman" w:hAnsi="Calibri" w:cs="Calibri"/>
          <w:color w:val="000000"/>
          <w:kern w:val="0"/>
          <w:lang w:val="es-ES_tradnl" w:eastAsia="es-CR"/>
          <w14:ligatures w14:val="none"/>
        </w:rPr>
        <w:t xml:space="preserve">Barcelona: Crítica, 2005. </w:t>
      </w:r>
      <w:r w:rsidRPr="005E4FEC">
        <w:rPr>
          <w:rFonts w:ascii="Calibri" w:eastAsia="Times New Roman" w:hAnsi="Calibri" w:cs="Calibri"/>
          <w:kern w:val="0"/>
          <w:lang w:val="es-ES_tradnl" w:eastAsia="es-CR"/>
          <w14:ligatures w14:val="none"/>
        </w:rPr>
        <w:t>(</w:t>
      </w:r>
      <w:r w:rsidRPr="005E4FEC">
        <w:rPr>
          <w:rFonts w:ascii="Calibri" w:eastAsia="Times New Roman" w:hAnsi="Calibri" w:cs="Calibri"/>
          <w:color w:val="0070C0"/>
          <w:kern w:val="0"/>
          <w:lang w:val="es-ES_tradnl" w:eastAsia="es-CR"/>
          <w14:ligatures w14:val="none"/>
        </w:rPr>
        <w:t xml:space="preserve">clásico, </w:t>
      </w:r>
      <w:r w:rsidRPr="005E4FEC">
        <w:rPr>
          <w:rFonts w:ascii="Calibri" w:eastAsia="Times New Roman" w:hAnsi="Calibri" w:cs="Calibri"/>
          <w:kern w:val="0"/>
          <w:lang w:val="es-ES_tradnl" w:eastAsia="es-CR"/>
          <w14:ligatures w14:val="none"/>
        </w:rPr>
        <w:t>última edición)</w:t>
      </w:r>
    </w:p>
    <w:p w14:paraId="076E6560" w14:textId="77777777" w:rsidR="005E4FEC" w:rsidRPr="005E4FEC" w:rsidRDefault="005E4FEC" w:rsidP="005E4FEC">
      <w:pPr>
        <w:widowControl w:val="0"/>
        <w:overflowPunct w:val="0"/>
        <w:autoSpaceDE w:val="0"/>
        <w:autoSpaceDN w:val="0"/>
        <w:adjustRightInd w:val="0"/>
        <w:spacing w:before="120" w:after="0" w:line="240" w:lineRule="auto"/>
        <w:ind w:left="706" w:hanging="706"/>
        <w:jc w:val="both"/>
        <w:rPr>
          <w:rFonts w:ascii="Calibri" w:eastAsia="Times New Roman" w:hAnsi="Calibri" w:cs="Calibri"/>
          <w:color w:val="000000"/>
          <w:kern w:val="0"/>
          <w:lang w:val="es-ES_tradnl" w:eastAsia="es-CR"/>
          <w14:ligatures w14:val="none"/>
        </w:rPr>
      </w:pPr>
      <w:r w:rsidRPr="005E4FEC">
        <w:rPr>
          <w:rFonts w:ascii="Calibri" w:eastAsia="Times New Roman" w:hAnsi="Calibri" w:cs="Calibri"/>
          <w:color w:val="000000"/>
          <w:kern w:val="0"/>
          <w:lang w:val="es-ES_tradnl" w:eastAsia="es-CR"/>
          <w14:ligatures w14:val="none"/>
        </w:rPr>
        <w:t xml:space="preserve">Ramírez Kidd, José Enrique. </w:t>
      </w:r>
      <w:r w:rsidRPr="005E4FEC">
        <w:rPr>
          <w:rFonts w:ascii="Calibri" w:eastAsia="Times New Roman" w:hAnsi="Calibri" w:cs="Calibri"/>
          <w:i/>
          <w:color w:val="000000"/>
          <w:kern w:val="0"/>
          <w:lang w:val="es-ES_tradnl" w:eastAsia="es-CR"/>
          <w14:ligatures w14:val="none"/>
        </w:rPr>
        <w:t xml:space="preserve">El extranjero, la viuda y el huérfano en el Antiguo Testamento. </w:t>
      </w:r>
      <w:r w:rsidRPr="005E4FEC">
        <w:rPr>
          <w:rFonts w:ascii="Calibri" w:eastAsia="Times New Roman" w:hAnsi="Calibri" w:cs="Calibri"/>
          <w:color w:val="000000"/>
          <w:kern w:val="0"/>
          <w:lang w:val="es-ES_tradnl" w:eastAsia="es-CR"/>
          <w14:ligatures w14:val="none"/>
        </w:rPr>
        <w:t xml:space="preserve">San José: Editorial SEBILA, 2003. </w:t>
      </w:r>
      <w:r w:rsidRPr="005E4FEC">
        <w:rPr>
          <w:rFonts w:ascii="Calibri" w:eastAsia="Times New Roman" w:hAnsi="Calibri" w:cs="Calibri"/>
          <w:kern w:val="0"/>
          <w:lang w:val="es-ES_tradnl" w:eastAsia="es-CR"/>
          <w14:ligatures w14:val="none"/>
        </w:rPr>
        <w:t>(</w:t>
      </w:r>
      <w:r w:rsidRPr="005E4FEC">
        <w:rPr>
          <w:rFonts w:ascii="Calibri" w:eastAsia="Times New Roman" w:hAnsi="Calibri" w:cs="Calibri"/>
          <w:color w:val="0070C0"/>
          <w:kern w:val="0"/>
          <w:lang w:val="es-ES_tradnl" w:eastAsia="es-CR"/>
          <w14:ligatures w14:val="none"/>
        </w:rPr>
        <w:t xml:space="preserve">clásico, </w:t>
      </w:r>
      <w:r w:rsidRPr="005E4FEC">
        <w:rPr>
          <w:rFonts w:ascii="Calibri" w:eastAsia="Times New Roman" w:hAnsi="Calibri" w:cs="Calibri"/>
          <w:kern w:val="0"/>
          <w:lang w:val="es-ES_tradnl" w:eastAsia="es-CR"/>
          <w14:ligatures w14:val="none"/>
        </w:rPr>
        <w:t>última edición)</w:t>
      </w:r>
      <w:r w:rsidRPr="005E4FEC">
        <w:rPr>
          <w:rFonts w:ascii="Calibri" w:eastAsia="Times New Roman" w:hAnsi="Calibri" w:cs="Calibri"/>
          <w:color w:val="000000"/>
          <w:kern w:val="0"/>
          <w:lang w:val="es-ES_tradnl" w:eastAsia="es-CR"/>
          <w14:ligatures w14:val="none"/>
        </w:rPr>
        <w:t xml:space="preserve"> </w:t>
      </w:r>
    </w:p>
    <w:p w14:paraId="3133CD59" w14:textId="77777777" w:rsidR="005E4FEC" w:rsidRPr="005E4FEC" w:rsidRDefault="005E4FEC" w:rsidP="005E4FEC">
      <w:pPr>
        <w:widowControl w:val="0"/>
        <w:overflowPunct w:val="0"/>
        <w:autoSpaceDE w:val="0"/>
        <w:autoSpaceDN w:val="0"/>
        <w:adjustRightInd w:val="0"/>
        <w:spacing w:before="120" w:after="0" w:line="240" w:lineRule="auto"/>
        <w:ind w:left="706" w:hanging="706"/>
        <w:jc w:val="both"/>
        <w:rPr>
          <w:rFonts w:ascii="Calibri" w:eastAsia="Times New Roman" w:hAnsi="Calibri" w:cs="Calibri"/>
          <w:color w:val="000000"/>
          <w:kern w:val="0"/>
          <w:lang w:val="es-ES_tradnl" w:eastAsia="es-CR"/>
          <w14:ligatures w14:val="none"/>
        </w:rPr>
      </w:pPr>
      <w:r w:rsidRPr="005E4FEC">
        <w:rPr>
          <w:rFonts w:ascii="Calibri" w:eastAsia="Times New Roman" w:hAnsi="Calibri" w:cs="Calibri"/>
          <w:color w:val="000000"/>
          <w:kern w:val="0"/>
          <w:lang w:val="es-ES_tradnl" w:eastAsia="es-CR"/>
          <w14:ligatures w14:val="none"/>
        </w:rPr>
        <w:t xml:space="preserve">Ramírez Kidd, José Enrique. “La esclavitud en la Biblia: realidad, metáfora, desafío. Itinerario cultural e histórico de </w:t>
      </w:r>
      <w:proofErr w:type="spellStart"/>
      <w:r w:rsidRPr="005E4FEC">
        <w:rPr>
          <w:rFonts w:ascii="Calibri" w:eastAsia="Times New Roman" w:hAnsi="Calibri" w:cs="Calibri"/>
          <w:color w:val="000000"/>
          <w:kern w:val="0"/>
          <w:lang w:val="es-ES_tradnl" w:eastAsia="es-CR"/>
          <w14:ligatures w14:val="none"/>
        </w:rPr>
        <w:t>Deut</w:t>
      </w:r>
      <w:proofErr w:type="spellEnd"/>
      <w:r w:rsidRPr="005E4FEC">
        <w:rPr>
          <w:rFonts w:ascii="Calibri" w:eastAsia="Times New Roman" w:hAnsi="Calibri" w:cs="Calibri"/>
          <w:color w:val="000000"/>
          <w:kern w:val="0"/>
          <w:lang w:val="es-ES_tradnl" w:eastAsia="es-CR"/>
          <w14:ligatures w14:val="none"/>
        </w:rPr>
        <w:t xml:space="preserve"> 23.16-17”. </w:t>
      </w:r>
      <w:r w:rsidRPr="005E4FEC">
        <w:rPr>
          <w:rFonts w:ascii="Calibri" w:eastAsia="Times New Roman" w:hAnsi="Calibri" w:cs="Calibri"/>
          <w:i/>
          <w:color w:val="000000"/>
          <w:kern w:val="0"/>
          <w:lang w:val="es-ES_tradnl" w:eastAsia="es-CR"/>
          <w14:ligatures w14:val="none"/>
        </w:rPr>
        <w:t xml:space="preserve">Aportes Bíblicos, </w:t>
      </w:r>
      <w:r w:rsidRPr="005E4FEC">
        <w:rPr>
          <w:rFonts w:ascii="Calibri" w:eastAsia="Times New Roman" w:hAnsi="Calibri" w:cs="Calibri"/>
          <w:iCs/>
          <w:color w:val="000000"/>
          <w:kern w:val="0"/>
          <w:lang w:val="es-ES_tradnl" w:eastAsia="es-CR"/>
          <w14:ligatures w14:val="none"/>
        </w:rPr>
        <w:t>n.º</w:t>
      </w:r>
      <w:r w:rsidRPr="005E4FEC">
        <w:rPr>
          <w:rFonts w:ascii="Calibri" w:eastAsia="Times New Roman" w:hAnsi="Calibri" w:cs="Calibri"/>
          <w:color w:val="000000"/>
          <w:kern w:val="0"/>
          <w:lang w:val="es-ES_tradnl" w:eastAsia="es-CR"/>
          <w14:ligatures w14:val="none"/>
        </w:rPr>
        <w:t xml:space="preserve"> 20 (2015): </w:t>
      </w:r>
      <w:r w:rsidRPr="005E4FEC">
        <w:rPr>
          <w:rFonts w:ascii="Calibri" w:eastAsia="Times New Roman" w:hAnsi="Calibri" w:cs="Calibri"/>
          <w:kern w:val="0"/>
          <w:lang w:val="es-ES_tradnl" w:eastAsia="es-CR"/>
          <w14:ligatures w14:val="none"/>
        </w:rPr>
        <w:t>9-68</w:t>
      </w:r>
      <w:r w:rsidRPr="005E4FEC">
        <w:rPr>
          <w:rFonts w:ascii="Calibri" w:eastAsia="Times New Roman" w:hAnsi="Calibri" w:cs="Calibri"/>
          <w:color w:val="000000"/>
          <w:kern w:val="0"/>
          <w:lang w:val="es-ES_tradnl" w:eastAsia="es-CR"/>
          <w14:ligatures w14:val="none"/>
        </w:rPr>
        <w:t xml:space="preserve">. </w:t>
      </w:r>
    </w:p>
    <w:p w14:paraId="2B598F06" w14:textId="77777777" w:rsidR="005E4FEC" w:rsidRPr="005E4FEC" w:rsidRDefault="005E4FEC" w:rsidP="005E4FEC">
      <w:pPr>
        <w:widowControl w:val="0"/>
        <w:overflowPunct w:val="0"/>
        <w:autoSpaceDE w:val="0"/>
        <w:autoSpaceDN w:val="0"/>
        <w:adjustRightInd w:val="0"/>
        <w:spacing w:before="120" w:after="0" w:line="240" w:lineRule="auto"/>
        <w:ind w:left="720" w:hanging="720"/>
        <w:jc w:val="both"/>
        <w:rPr>
          <w:rFonts w:ascii="Calibri" w:eastAsia="Times New Roman" w:hAnsi="Calibri" w:cs="Calibri"/>
          <w:color w:val="000000"/>
          <w:kern w:val="0"/>
          <w:lang w:val="es-ES_tradnl" w:eastAsia="es-CR"/>
          <w14:ligatures w14:val="none"/>
        </w:rPr>
      </w:pPr>
      <w:r w:rsidRPr="005E4FEC">
        <w:rPr>
          <w:rFonts w:ascii="Calibri" w:eastAsia="Times New Roman" w:hAnsi="Calibri" w:cs="Calibri"/>
          <w:color w:val="000000"/>
          <w:kern w:val="0"/>
          <w:lang w:val="es-ES_tradnl" w:eastAsia="es-CR"/>
          <w14:ligatures w14:val="none"/>
        </w:rPr>
        <w:t xml:space="preserve">Ramírez Kidd, José Enrique. </w:t>
      </w:r>
      <w:r w:rsidRPr="005E4FEC">
        <w:rPr>
          <w:rFonts w:ascii="Calibri" w:eastAsia="Times New Roman" w:hAnsi="Calibri" w:cs="Calibri"/>
          <w:i/>
          <w:color w:val="000000"/>
          <w:kern w:val="0"/>
          <w:lang w:val="es-ES_tradnl" w:eastAsia="es-CR"/>
          <w14:ligatures w14:val="none"/>
        </w:rPr>
        <w:t xml:space="preserve">Para comprender el Antiguo Testamento. </w:t>
      </w:r>
      <w:r w:rsidRPr="005E4FEC">
        <w:rPr>
          <w:rFonts w:ascii="Calibri" w:eastAsia="Times New Roman" w:hAnsi="Calibri" w:cs="Calibri"/>
          <w:color w:val="000000"/>
          <w:kern w:val="0"/>
          <w:lang w:val="es-ES_tradnl" w:eastAsia="es-CR"/>
          <w14:ligatures w14:val="none"/>
        </w:rPr>
        <w:t>San José: Editorial SEBILA, 2019.</w:t>
      </w:r>
    </w:p>
    <w:p w14:paraId="25D09BCB" w14:textId="77777777" w:rsidR="005E4FEC" w:rsidRPr="005E4FEC" w:rsidRDefault="005E4FEC" w:rsidP="005E4FEC">
      <w:pPr>
        <w:widowControl w:val="0"/>
        <w:overflowPunct w:val="0"/>
        <w:autoSpaceDE w:val="0"/>
        <w:autoSpaceDN w:val="0"/>
        <w:adjustRightInd w:val="0"/>
        <w:spacing w:before="120" w:after="0" w:line="240" w:lineRule="auto"/>
        <w:ind w:left="706" w:hanging="706"/>
        <w:jc w:val="both"/>
        <w:rPr>
          <w:rFonts w:ascii="Calibri" w:eastAsia="Times New Roman" w:hAnsi="Calibri" w:cs="Calibri"/>
          <w:kern w:val="0"/>
          <w:lang w:val="es-ES_tradnl" w:eastAsia="es-CR"/>
          <w14:ligatures w14:val="none"/>
        </w:rPr>
      </w:pPr>
      <w:proofErr w:type="spellStart"/>
      <w:r w:rsidRPr="005E4FEC">
        <w:rPr>
          <w:rFonts w:ascii="Calibri" w:eastAsia="Times New Roman" w:hAnsi="Calibri" w:cs="Calibri"/>
          <w:kern w:val="0"/>
          <w:szCs w:val="18"/>
          <w:shd w:val="clear" w:color="auto" w:fill="FFFFFF"/>
          <w:lang w:val="es-ES_tradnl" w:eastAsia="es-CR"/>
          <w14:ligatures w14:val="none"/>
        </w:rPr>
        <w:t>Roitman</w:t>
      </w:r>
      <w:proofErr w:type="spellEnd"/>
      <w:r w:rsidRPr="005E4FEC">
        <w:rPr>
          <w:rFonts w:ascii="Calibri" w:eastAsia="Times New Roman" w:hAnsi="Calibri" w:cs="Calibri"/>
          <w:kern w:val="0"/>
          <w:szCs w:val="18"/>
          <w:shd w:val="clear" w:color="auto" w:fill="FFFFFF"/>
          <w:lang w:val="es-ES_tradnl" w:eastAsia="es-CR"/>
          <w14:ligatures w14:val="none"/>
        </w:rPr>
        <w:t>, Adolfo. </w:t>
      </w:r>
      <w:r w:rsidRPr="005E4FEC">
        <w:rPr>
          <w:rFonts w:ascii="Calibri" w:eastAsia="Times New Roman" w:hAnsi="Calibri" w:cs="Calibri"/>
          <w:i/>
          <w:iCs/>
          <w:kern w:val="0"/>
          <w:szCs w:val="18"/>
          <w:shd w:val="clear" w:color="auto" w:fill="FFFFFF"/>
          <w:lang w:val="es-ES_tradnl" w:eastAsia="es-CR"/>
          <w14:ligatures w14:val="none"/>
        </w:rPr>
        <w:t>Del tabernáculo al templo: sobre el espacio sagrado en el judaísmo antiguo</w:t>
      </w:r>
      <w:r w:rsidRPr="005E4FEC">
        <w:rPr>
          <w:rFonts w:ascii="Calibri" w:eastAsia="Times New Roman" w:hAnsi="Calibri" w:cs="Calibri"/>
          <w:kern w:val="0"/>
          <w:szCs w:val="18"/>
          <w:shd w:val="clear" w:color="auto" w:fill="FFFFFF"/>
          <w:lang w:val="es-ES_tradnl" w:eastAsia="es-CR"/>
          <w14:ligatures w14:val="none"/>
        </w:rPr>
        <w:t xml:space="preserve">. Estella: Verbo Divino, 2016. </w:t>
      </w:r>
      <w:r w:rsidRPr="005E4FEC">
        <w:rPr>
          <w:rFonts w:ascii="Calibri" w:eastAsia="Times New Roman" w:hAnsi="Calibri" w:cs="Calibri"/>
          <w:kern w:val="0"/>
          <w:lang w:val="es-ES_tradnl" w:eastAsia="es-CR"/>
          <w14:ligatures w14:val="none"/>
        </w:rPr>
        <w:t>(</w:t>
      </w:r>
      <w:r w:rsidRPr="005E4FEC">
        <w:rPr>
          <w:rFonts w:ascii="Calibri" w:eastAsia="Times New Roman" w:hAnsi="Calibri" w:cs="Calibri"/>
          <w:color w:val="0070C0"/>
          <w:kern w:val="0"/>
          <w:lang w:val="es-ES_tradnl" w:eastAsia="es-CR"/>
          <w14:ligatures w14:val="none"/>
        </w:rPr>
        <w:t xml:space="preserve">clásico, </w:t>
      </w:r>
      <w:r w:rsidRPr="005E4FEC">
        <w:rPr>
          <w:rFonts w:ascii="Calibri" w:eastAsia="Times New Roman" w:hAnsi="Calibri" w:cs="Calibri"/>
          <w:kern w:val="0"/>
          <w:lang w:val="es-ES_tradnl" w:eastAsia="es-CR"/>
          <w14:ligatures w14:val="none"/>
        </w:rPr>
        <w:t>última edición)</w:t>
      </w:r>
      <w:r w:rsidRPr="005E4FEC">
        <w:rPr>
          <w:rFonts w:ascii="Calibri" w:eastAsia="Times New Roman" w:hAnsi="Calibri" w:cs="Calibri"/>
          <w:kern w:val="0"/>
          <w:szCs w:val="18"/>
          <w:shd w:val="clear" w:color="auto" w:fill="FFFFFF"/>
          <w:lang w:val="es-ES_tradnl" w:eastAsia="es-CR"/>
          <w14:ligatures w14:val="none"/>
        </w:rPr>
        <w:t> </w:t>
      </w:r>
    </w:p>
    <w:p w14:paraId="4EF58094" w14:textId="77777777" w:rsidR="005E4FEC" w:rsidRPr="005E4FEC" w:rsidRDefault="005E4FEC" w:rsidP="005E4FEC">
      <w:pPr>
        <w:widowControl w:val="0"/>
        <w:overflowPunct w:val="0"/>
        <w:autoSpaceDE w:val="0"/>
        <w:autoSpaceDN w:val="0"/>
        <w:adjustRightInd w:val="0"/>
        <w:spacing w:before="120" w:after="0" w:line="240" w:lineRule="auto"/>
        <w:ind w:left="706" w:hanging="706"/>
        <w:jc w:val="both"/>
        <w:rPr>
          <w:rFonts w:ascii="Calibri" w:eastAsia="Times New Roman" w:hAnsi="Calibri" w:cs="Calibri"/>
          <w:color w:val="000000"/>
          <w:kern w:val="0"/>
          <w:lang w:val="es-ES_tradnl" w:eastAsia="es-CR"/>
          <w14:ligatures w14:val="none"/>
        </w:rPr>
      </w:pPr>
      <w:r w:rsidRPr="005E4FEC">
        <w:rPr>
          <w:rFonts w:ascii="Calibri" w:eastAsia="Times New Roman" w:hAnsi="Calibri" w:cs="Calibri"/>
          <w:color w:val="000000"/>
          <w:kern w:val="0"/>
          <w:lang w:val="es-ES_tradnl" w:eastAsia="es-CR"/>
          <w14:ligatures w14:val="none"/>
        </w:rPr>
        <w:t xml:space="preserve">Smith, Morton. “Partidos político-religiosos que conformaron el Antiguo Testamento”. </w:t>
      </w:r>
      <w:r w:rsidRPr="005E4FEC">
        <w:rPr>
          <w:rFonts w:ascii="Calibri" w:eastAsia="Times New Roman" w:hAnsi="Calibri" w:cs="Calibri"/>
          <w:i/>
          <w:color w:val="000000"/>
          <w:kern w:val="0"/>
          <w:lang w:val="es-ES_tradnl" w:eastAsia="es-CR"/>
          <w14:ligatures w14:val="none"/>
        </w:rPr>
        <w:t>Aportes Bíblicos</w:t>
      </w:r>
      <w:r w:rsidRPr="005E4FEC">
        <w:rPr>
          <w:rFonts w:ascii="Calibri" w:eastAsia="Times New Roman" w:hAnsi="Calibri" w:cs="Calibri"/>
          <w:iCs/>
          <w:color w:val="000000"/>
          <w:kern w:val="0"/>
          <w:lang w:val="es-ES_tradnl" w:eastAsia="es-CR"/>
          <w14:ligatures w14:val="none"/>
        </w:rPr>
        <w:t>, n.º</w:t>
      </w:r>
      <w:r w:rsidRPr="005E4FEC">
        <w:rPr>
          <w:rFonts w:ascii="Calibri" w:eastAsia="Times New Roman" w:hAnsi="Calibri" w:cs="Calibri"/>
          <w:i/>
          <w:color w:val="000000"/>
          <w:kern w:val="0"/>
          <w:lang w:val="es-ES_tradnl" w:eastAsia="es-CR"/>
          <w14:ligatures w14:val="none"/>
        </w:rPr>
        <w:t xml:space="preserve"> </w:t>
      </w:r>
      <w:r w:rsidRPr="005E4FEC">
        <w:rPr>
          <w:rFonts w:ascii="Calibri" w:eastAsia="Times New Roman" w:hAnsi="Calibri" w:cs="Calibri"/>
          <w:color w:val="000000"/>
          <w:kern w:val="0"/>
          <w:lang w:val="es-ES_tradnl" w:eastAsia="es-CR"/>
          <w14:ligatures w14:val="none"/>
        </w:rPr>
        <w:t>4 (2007): 7-62.</w:t>
      </w:r>
    </w:p>
    <w:p w14:paraId="3B5292B2" w14:textId="77777777" w:rsidR="005E4FEC" w:rsidRPr="005E4FEC" w:rsidRDefault="005E4FEC" w:rsidP="005E4FEC">
      <w:pPr>
        <w:widowControl w:val="0"/>
        <w:overflowPunct w:val="0"/>
        <w:autoSpaceDE w:val="0"/>
        <w:autoSpaceDN w:val="0"/>
        <w:adjustRightInd w:val="0"/>
        <w:spacing w:before="120" w:after="0" w:line="240" w:lineRule="auto"/>
        <w:ind w:left="706" w:hanging="706"/>
        <w:jc w:val="both"/>
        <w:rPr>
          <w:rFonts w:ascii="Calibri" w:eastAsia="Times New Roman" w:hAnsi="Calibri" w:cs="Calibri"/>
          <w:kern w:val="0"/>
          <w:lang w:val="es-ES_tradnl" w:eastAsia="es-CR"/>
          <w14:ligatures w14:val="none"/>
        </w:rPr>
      </w:pPr>
    </w:p>
    <w:p w14:paraId="69D283D7" w14:textId="77777777" w:rsidR="005E4FEC" w:rsidRPr="005E4FEC" w:rsidRDefault="005E4FEC" w:rsidP="005E4FEC">
      <w:pPr>
        <w:widowControl w:val="0"/>
        <w:overflowPunct w:val="0"/>
        <w:autoSpaceDE w:val="0"/>
        <w:autoSpaceDN w:val="0"/>
        <w:adjustRightInd w:val="0"/>
        <w:spacing w:before="120" w:after="0" w:line="240" w:lineRule="auto"/>
        <w:ind w:left="706" w:hanging="706"/>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b/>
          <w:bCs/>
          <w:color w:val="000000"/>
          <w:kern w:val="0"/>
          <w:lang w:val="es-ES_tradnl" w:eastAsia="es-CR"/>
          <w14:ligatures w14:val="none"/>
        </w:rPr>
        <w:t>XII. Bibliografía complementaria</w:t>
      </w:r>
    </w:p>
    <w:p w14:paraId="4C18AC64" w14:textId="77777777" w:rsidR="005E4FEC" w:rsidRPr="005E4FEC" w:rsidRDefault="005E4FEC" w:rsidP="005E4FEC">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5E4FEC">
        <w:rPr>
          <w:rFonts w:ascii="Calibri" w:eastAsia="Times New Roman" w:hAnsi="Calibri" w:cs="Arial"/>
          <w:b/>
          <w:color w:val="000000"/>
          <w:kern w:val="0"/>
          <w:lang w:eastAsia="es-CR"/>
          <w14:ligatures w14:val="none"/>
        </w:rPr>
        <w:t>Nota:</w:t>
      </w:r>
      <w:r w:rsidRPr="005E4FEC">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5E4FEC">
        <w:rPr>
          <w:rFonts w:ascii="Calibri" w:eastAsia="Times New Roman" w:hAnsi="Calibri" w:cs="Arial"/>
          <w:bCs/>
          <w:color w:val="000000"/>
          <w:kern w:val="0"/>
          <w:lang w:eastAsia="es-CR"/>
          <w14:ligatures w14:val="none"/>
        </w:rPr>
        <w:t>pdf</w:t>
      </w:r>
      <w:proofErr w:type="spellEnd"/>
      <w:r w:rsidRPr="005E4FEC">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699A57A2" w14:textId="77777777" w:rsidR="005E4FEC" w:rsidRPr="005E4FEC" w:rsidRDefault="005E4FEC" w:rsidP="005E4FEC">
      <w:pPr>
        <w:widowControl w:val="0"/>
        <w:overflowPunct w:val="0"/>
        <w:autoSpaceDE w:val="0"/>
        <w:autoSpaceDN w:val="0"/>
        <w:adjustRightInd w:val="0"/>
        <w:spacing w:before="120" w:after="0" w:line="240" w:lineRule="auto"/>
        <w:ind w:left="706" w:hanging="706"/>
        <w:jc w:val="both"/>
        <w:rPr>
          <w:rFonts w:ascii="Calibri" w:eastAsia="Times New Roman" w:hAnsi="Calibri" w:cs="Calibri"/>
          <w:b/>
          <w:bCs/>
          <w:color w:val="000000"/>
          <w:kern w:val="0"/>
          <w:lang w:val="es-ES_tradnl" w:eastAsia="es-CR"/>
          <w14:ligatures w14:val="none"/>
        </w:rPr>
      </w:pPr>
      <w:r w:rsidRPr="005E4FEC">
        <w:rPr>
          <w:rFonts w:ascii="Calibri" w:eastAsia="Times New Roman" w:hAnsi="Calibri" w:cs="Calibri"/>
          <w:kern w:val="0"/>
          <w:lang w:val="es-ES" w:eastAsia="es-CR"/>
          <w14:ligatures w14:val="none"/>
        </w:rPr>
        <w:lastRenderedPageBreak/>
        <w:t xml:space="preserve">Cook, Elisabeth. </w:t>
      </w:r>
      <w:r w:rsidRPr="005E4FEC">
        <w:rPr>
          <w:rFonts w:ascii="Calibri" w:eastAsia="Times New Roman" w:hAnsi="Calibri" w:cs="Calibri"/>
          <w:i/>
          <w:iCs/>
          <w:kern w:val="0"/>
          <w:lang w:val="es-ES" w:eastAsia="es-CR"/>
          <w14:ligatures w14:val="none"/>
        </w:rPr>
        <w:t>La mujer como extranjera en Israel: un estudio exegético de Esdras 9-10</w:t>
      </w:r>
      <w:r w:rsidRPr="005E4FEC">
        <w:rPr>
          <w:rFonts w:ascii="Calibri" w:eastAsia="Times New Roman" w:hAnsi="Calibri" w:cs="Calibri"/>
          <w:kern w:val="0"/>
          <w:lang w:val="es-ES" w:eastAsia="es-CR"/>
          <w14:ligatures w14:val="none"/>
        </w:rPr>
        <w:t xml:space="preserve">. San José: SEBILA, 2011. </w:t>
      </w:r>
      <w:r w:rsidRPr="005E4FEC">
        <w:rPr>
          <w:rFonts w:ascii="Calibri" w:eastAsia="Times New Roman" w:hAnsi="Calibri" w:cs="Calibri"/>
          <w:kern w:val="0"/>
          <w:lang w:val="es-ES_tradnl" w:eastAsia="es-CR"/>
          <w14:ligatures w14:val="none"/>
        </w:rPr>
        <w:t>(</w:t>
      </w:r>
      <w:r w:rsidRPr="005E4FEC">
        <w:rPr>
          <w:rFonts w:ascii="Calibri" w:eastAsia="Times New Roman" w:hAnsi="Calibri" w:cs="Calibri"/>
          <w:color w:val="0070C0"/>
          <w:kern w:val="0"/>
          <w:lang w:val="es-ES_tradnl" w:eastAsia="es-CR"/>
          <w14:ligatures w14:val="none"/>
        </w:rPr>
        <w:t>clásico,</w:t>
      </w:r>
      <w:r w:rsidRPr="005E4FEC">
        <w:rPr>
          <w:rFonts w:ascii="Calibri" w:eastAsia="Times New Roman" w:hAnsi="Calibri" w:cs="Calibri"/>
          <w:kern w:val="0"/>
          <w:lang w:val="es-ES_tradnl" w:eastAsia="es-CR"/>
          <w14:ligatures w14:val="none"/>
        </w:rPr>
        <w:t xml:space="preserve"> última edición)</w:t>
      </w:r>
    </w:p>
    <w:p w14:paraId="6120E3DA" w14:textId="77777777" w:rsidR="005E4FEC" w:rsidRPr="005E4FEC" w:rsidRDefault="005E4FEC" w:rsidP="005E4FEC">
      <w:pPr>
        <w:widowControl w:val="0"/>
        <w:overflowPunct w:val="0"/>
        <w:autoSpaceDE w:val="0"/>
        <w:autoSpaceDN w:val="0"/>
        <w:adjustRightInd w:val="0"/>
        <w:spacing w:before="120" w:after="240" w:line="240" w:lineRule="auto"/>
        <w:ind w:left="706" w:hanging="706"/>
        <w:jc w:val="both"/>
        <w:rPr>
          <w:rFonts w:ascii="Calibri" w:eastAsia="Times New Roman" w:hAnsi="Calibri" w:cs="Calibri"/>
          <w:color w:val="000000"/>
          <w:kern w:val="0"/>
          <w:lang w:val="es-ES_tradnl" w:eastAsia="es-CR"/>
          <w14:ligatures w14:val="none"/>
        </w:rPr>
      </w:pPr>
      <w:r w:rsidRPr="005E4FEC">
        <w:rPr>
          <w:rFonts w:ascii="Calibri" w:eastAsia="Times New Roman" w:hAnsi="Calibri" w:cs="Calibri"/>
          <w:kern w:val="0"/>
          <w:lang w:val="es-ES_tradnl" w:eastAsia="es-CR"/>
          <w14:ligatures w14:val="none"/>
        </w:rPr>
        <w:t xml:space="preserve">Damien, </w:t>
      </w:r>
      <w:proofErr w:type="spellStart"/>
      <w:r w:rsidRPr="005E4FEC">
        <w:rPr>
          <w:rFonts w:ascii="Calibri" w:eastAsia="Times New Roman" w:hAnsi="Calibri" w:cs="Calibri"/>
          <w:kern w:val="0"/>
          <w:lang w:val="es-ES_tradnl" w:eastAsia="es-CR"/>
          <w14:ligatures w14:val="none"/>
        </w:rPr>
        <w:t>Noël</w:t>
      </w:r>
      <w:proofErr w:type="spellEnd"/>
      <w:r w:rsidRPr="005E4FEC">
        <w:rPr>
          <w:rFonts w:ascii="Calibri" w:eastAsia="Times New Roman" w:hAnsi="Calibri" w:cs="Calibri"/>
          <w:kern w:val="0"/>
          <w:lang w:val="es-ES_tradnl" w:eastAsia="es-CR"/>
          <w14:ligatures w14:val="none"/>
        </w:rPr>
        <w:t xml:space="preserve">. </w:t>
      </w:r>
      <w:r w:rsidRPr="005E4FEC">
        <w:rPr>
          <w:rFonts w:ascii="Calibri" w:eastAsia="Times New Roman" w:hAnsi="Calibri" w:cs="Calibri"/>
          <w:i/>
          <w:iCs/>
          <w:kern w:val="0"/>
          <w:lang w:val="es-ES_tradnl" w:eastAsia="es-CR"/>
          <w14:ligatures w14:val="none"/>
        </w:rPr>
        <w:t>En tiempos de los imperios: del exilio a Antíoco Epífanes (587-175).</w:t>
      </w:r>
      <w:r w:rsidRPr="005E4FEC">
        <w:rPr>
          <w:rFonts w:ascii="Calibri" w:eastAsia="Times New Roman" w:hAnsi="Calibri" w:cs="Calibri"/>
          <w:kern w:val="0"/>
          <w:lang w:val="es-ES_tradnl" w:eastAsia="es-CR"/>
          <w14:ligatures w14:val="none"/>
        </w:rPr>
        <w:t xml:space="preserve"> Estella (Navarra): Verbo Divino, 2004. (</w:t>
      </w:r>
      <w:r w:rsidRPr="005E4FEC">
        <w:rPr>
          <w:rFonts w:ascii="Calibri" w:eastAsia="Times New Roman" w:hAnsi="Calibri" w:cs="Calibri"/>
          <w:color w:val="0070C0"/>
          <w:kern w:val="0"/>
          <w:lang w:val="es-ES_tradnl" w:eastAsia="es-CR"/>
          <w14:ligatures w14:val="none"/>
        </w:rPr>
        <w:t xml:space="preserve">clásico, </w:t>
      </w:r>
      <w:r w:rsidRPr="005E4FEC">
        <w:rPr>
          <w:rFonts w:ascii="Calibri" w:eastAsia="Times New Roman" w:hAnsi="Calibri" w:cs="Calibri"/>
          <w:kern w:val="0"/>
          <w:lang w:val="es-ES_tradnl" w:eastAsia="es-CR"/>
          <w14:ligatures w14:val="none"/>
        </w:rPr>
        <w:t xml:space="preserve">última edición) </w:t>
      </w:r>
    </w:p>
    <w:p w14:paraId="45D201A7" w14:textId="77777777" w:rsidR="005E4FEC" w:rsidRPr="005E4FEC" w:rsidRDefault="005E4FEC" w:rsidP="005E4FEC">
      <w:pPr>
        <w:widowControl w:val="0"/>
        <w:overflowPunct w:val="0"/>
        <w:autoSpaceDE w:val="0"/>
        <w:autoSpaceDN w:val="0"/>
        <w:adjustRightInd w:val="0"/>
        <w:spacing w:before="120" w:after="240" w:line="240" w:lineRule="auto"/>
        <w:ind w:left="706" w:hanging="706"/>
        <w:jc w:val="both"/>
        <w:rPr>
          <w:rFonts w:ascii="Calibri" w:eastAsia="Times New Roman" w:hAnsi="Calibri" w:cs="Calibri"/>
          <w:color w:val="000000"/>
          <w:kern w:val="0"/>
          <w:lang w:val="es-ES_tradnl" w:eastAsia="es-CR"/>
          <w14:ligatures w14:val="none"/>
        </w:rPr>
      </w:pPr>
      <w:r w:rsidRPr="005E4FEC">
        <w:rPr>
          <w:rFonts w:ascii="Calibri" w:eastAsia="Times New Roman" w:hAnsi="Calibri" w:cs="Calibri"/>
          <w:kern w:val="0"/>
          <w:lang w:val="es-ES" w:eastAsia="es-CR"/>
          <w14:ligatures w14:val="none"/>
        </w:rPr>
        <w:t xml:space="preserve">García López, Félix. “Teología política en el Deuteronomio. </w:t>
      </w:r>
      <w:r w:rsidRPr="005E4FEC">
        <w:rPr>
          <w:rFonts w:ascii="Calibri" w:eastAsia="Times New Roman" w:hAnsi="Calibri" w:cs="Calibri"/>
          <w:kern w:val="0"/>
          <w:lang w:val="es-ES_tradnl" w:eastAsia="es-CR"/>
          <w14:ligatures w14:val="none"/>
        </w:rPr>
        <w:t xml:space="preserve">¿Existe un punto </w:t>
      </w:r>
      <w:proofErr w:type="spellStart"/>
      <w:r w:rsidRPr="005E4FEC">
        <w:rPr>
          <w:rFonts w:ascii="Calibri" w:eastAsia="Times New Roman" w:hAnsi="Calibri" w:cs="Calibri"/>
          <w:kern w:val="0"/>
          <w:lang w:val="es-ES_tradnl" w:eastAsia="es-CR"/>
          <w14:ligatures w14:val="none"/>
        </w:rPr>
        <w:t>arquimédico</w:t>
      </w:r>
      <w:proofErr w:type="spellEnd"/>
      <w:r w:rsidRPr="005E4FEC">
        <w:rPr>
          <w:rFonts w:ascii="Calibri" w:eastAsia="Times New Roman" w:hAnsi="Calibri" w:cs="Calibri"/>
          <w:kern w:val="0"/>
          <w:lang w:val="es-ES_tradnl" w:eastAsia="es-CR"/>
          <w14:ligatures w14:val="none"/>
        </w:rPr>
        <w:t xml:space="preserve"> en la crítica del Pentateuco?”. </w:t>
      </w:r>
      <w:proofErr w:type="spellStart"/>
      <w:r w:rsidRPr="005E4FEC">
        <w:rPr>
          <w:rFonts w:ascii="Calibri" w:eastAsia="Times New Roman" w:hAnsi="Calibri" w:cs="Calibri"/>
          <w:i/>
          <w:iCs/>
          <w:kern w:val="0"/>
          <w:lang w:val="es-ES_tradnl" w:eastAsia="es-CR"/>
          <w14:ligatures w14:val="none"/>
        </w:rPr>
        <w:t>Salmanticensis</w:t>
      </w:r>
      <w:proofErr w:type="spellEnd"/>
      <w:r w:rsidRPr="005E4FEC">
        <w:rPr>
          <w:rFonts w:ascii="Calibri" w:eastAsia="Times New Roman" w:hAnsi="Calibri" w:cs="Calibri"/>
          <w:kern w:val="0"/>
          <w:lang w:val="es-ES_tradnl" w:eastAsia="es-CR"/>
          <w14:ligatures w14:val="none"/>
        </w:rPr>
        <w:t xml:space="preserve"> vol. 61 (2014): 25-38. Acceso el 28 de octubre de 2022. </w:t>
      </w:r>
      <w:hyperlink r:id="rId401" w:history="1">
        <w:r w:rsidRPr="005E4FEC">
          <w:rPr>
            <w:rFonts w:ascii="Calibri" w:eastAsia="Times New Roman" w:hAnsi="Calibri" w:cs="Calibri"/>
            <w:color w:val="0563C1"/>
            <w:kern w:val="0"/>
            <w:u w:val="single"/>
            <w:lang w:val="es-ES_tradnl" w:eastAsia="es-CR"/>
            <w14:ligatures w14:val="none"/>
          </w:rPr>
          <w:t>https://doi.org/10.36576/summa.33295</w:t>
        </w:r>
      </w:hyperlink>
    </w:p>
    <w:p w14:paraId="24964D3E" w14:textId="77777777" w:rsidR="005E4FEC" w:rsidRPr="005E4FEC" w:rsidRDefault="005E4FEC" w:rsidP="005E4FEC">
      <w:pPr>
        <w:widowControl w:val="0"/>
        <w:overflowPunct w:val="0"/>
        <w:autoSpaceDE w:val="0"/>
        <w:autoSpaceDN w:val="0"/>
        <w:adjustRightInd w:val="0"/>
        <w:spacing w:before="120" w:after="0" w:line="240" w:lineRule="auto"/>
        <w:ind w:left="709" w:hanging="709"/>
        <w:jc w:val="both"/>
        <w:rPr>
          <w:rFonts w:ascii="Calibri" w:eastAsia="Times New Roman" w:hAnsi="Calibri" w:cs="Calibri"/>
          <w:i/>
          <w:iCs/>
          <w:kern w:val="0"/>
          <w:lang w:val="es-ES_tradnl" w:eastAsia="es-CR"/>
          <w14:ligatures w14:val="none"/>
        </w:rPr>
      </w:pPr>
      <w:r w:rsidRPr="005E4FEC">
        <w:rPr>
          <w:rFonts w:ascii="Calibri" w:eastAsia="Times New Roman" w:hAnsi="Calibri" w:cs="Calibri"/>
          <w:kern w:val="0"/>
          <w:lang w:val="es-ES_tradnl" w:eastAsia="es-CR"/>
          <w14:ligatures w14:val="none"/>
        </w:rPr>
        <w:t xml:space="preserve">García, Rodrigo. “Espacio sagrado y Religiosidad Popular: perspectivas veterotestamentarias”. Teología y Vida 2-3 (2003): 310-331. Acceso el 28 de octubre de 2022. </w:t>
      </w:r>
      <w:hyperlink r:id="rId402" w:history="1">
        <w:r w:rsidRPr="005E4FEC">
          <w:rPr>
            <w:rFonts w:ascii="Calibri" w:eastAsia="Times New Roman" w:hAnsi="Calibri" w:cs="Calibri"/>
            <w:color w:val="0563C1"/>
            <w:kern w:val="0"/>
            <w:u w:val="single"/>
            <w:lang w:val="es-ES_tradnl" w:eastAsia="es-CR"/>
            <w14:ligatures w14:val="none"/>
          </w:rPr>
          <w:t>http://dx.doi.org/10.4067/S0049-34492003000200013</w:t>
        </w:r>
      </w:hyperlink>
      <w:r w:rsidRPr="005E4FEC">
        <w:rPr>
          <w:rFonts w:ascii="Calibri" w:eastAsia="Times New Roman" w:hAnsi="Calibri" w:cs="Calibri"/>
          <w:kern w:val="0"/>
          <w:lang w:val="es-ES_tradnl" w:eastAsia="es-CR"/>
          <w14:ligatures w14:val="none"/>
        </w:rPr>
        <w:t xml:space="preserve"> </w:t>
      </w:r>
    </w:p>
    <w:p w14:paraId="351E1ABE" w14:textId="77777777" w:rsidR="005E4FEC" w:rsidRPr="005E4FEC" w:rsidRDefault="005E4FEC" w:rsidP="005E4FEC">
      <w:pPr>
        <w:widowControl w:val="0"/>
        <w:overflowPunct w:val="0"/>
        <w:autoSpaceDE w:val="0"/>
        <w:autoSpaceDN w:val="0"/>
        <w:adjustRightInd w:val="0"/>
        <w:spacing w:before="120" w:after="0" w:line="240" w:lineRule="auto"/>
        <w:ind w:left="709" w:hanging="709"/>
        <w:jc w:val="both"/>
        <w:rPr>
          <w:rFonts w:ascii="Calibri" w:eastAsia="Times New Roman" w:hAnsi="Calibri" w:cs="Calibri"/>
          <w:i/>
          <w:iCs/>
          <w:kern w:val="0"/>
          <w:lang w:val="es-ES_tradnl" w:eastAsia="es-CR"/>
          <w14:ligatures w14:val="none"/>
        </w:rPr>
      </w:pPr>
      <w:r w:rsidRPr="005E4FEC">
        <w:rPr>
          <w:rFonts w:ascii="Calibri" w:eastAsia="Times New Roman" w:hAnsi="Calibri" w:cs="Calibri"/>
          <w:color w:val="000000"/>
          <w:kern w:val="0"/>
          <w:lang w:val="es-ES_tradnl" w:eastAsia="es-CR"/>
          <w14:ligatures w14:val="none"/>
        </w:rPr>
        <w:t xml:space="preserve">Ramírez Kidd, José Enrique. “Las quejas de un campesino elocuente: la justicia social en el antiguo Egipto”. </w:t>
      </w:r>
      <w:r w:rsidRPr="005E4FEC">
        <w:rPr>
          <w:rFonts w:ascii="Calibri" w:eastAsia="Times New Roman" w:hAnsi="Calibri" w:cs="Calibri"/>
          <w:i/>
          <w:color w:val="000000"/>
          <w:kern w:val="0"/>
          <w:lang w:val="es-ES_tradnl" w:eastAsia="es-CR"/>
          <w14:ligatures w14:val="none"/>
        </w:rPr>
        <w:t>Aportes Bíblicos</w:t>
      </w:r>
      <w:r w:rsidRPr="005E4FEC">
        <w:rPr>
          <w:rFonts w:ascii="Calibri" w:eastAsia="Times New Roman" w:hAnsi="Calibri" w:cs="Calibri"/>
          <w:color w:val="000000"/>
          <w:kern w:val="0"/>
          <w:lang w:val="es-ES_tradnl" w:eastAsia="es-CR"/>
          <w14:ligatures w14:val="none"/>
        </w:rPr>
        <w:t xml:space="preserve"> 10 (2010): </w:t>
      </w:r>
      <w:r w:rsidRPr="005E4FEC">
        <w:rPr>
          <w:rFonts w:ascii="Calibri" w:eastAsia="Times New Roman" w:hAnsi="Calibri" w:cs="Calibri"/>
          <w:kern w:val="0"/>
          <w:lang w:val="es-ES_tradnl" w:eastAsia="es-CR"/>
          <w14:ligatures w14:val="none"/>
        </w:rPr>
        <w:t>5-90</w:t>
      </w:r>
      <w:r w:rsidRPr="005E4FEC">
        <w:rPr>
          <w:rFonts w:ascii="Calibri" w:eastAsia="Times New Roman" w:hAnsi="Calibri" w:cs="Calibri"/>
          <w:color w:val="000000"/>
          <w:kern w:val="0"/>
          <w:lang w:val="es-ES_tradnl" w:eastAsia="es-CR"/>
          <w14:ligatures w14:val="none"/>
        </w:rPr>
        <w:t>.</w:t>
      </w:r>
    </w:p>
    <w:p w14:paraId="706B7A10" w14:textId="77777777" w:rsidR="0081395D" w:rsidRPr="00687AE9" w:rsidRDefault="0081395D" w:rsidP="00733225">
      <w:pPr>
        <w:rPr>
          <w:sz w:val="24"/>
          <w:szCs w:val="24"/>
        </w:rPr>
      </w:pPr>
    </w:p>
    <w:p w14:paraId="5B32EF4D" w14:textId="15C2F8AD" w:rsidR="00EF1A23" w:rsidRDefault="00EF1A23">
      <w:pPr>
        <w:rPr>
          <w:sz w:val="24"/>
          <w:szCs w:val="24"/>
        </w:rPr>
      </w:pPr>
      <w:r>
        <w:rPr>
          <w:sz w:val="24"/>
          <w:szCs w:val="24"/>
        </w:rPr>
        <w:br w:type="page"/>
      </w:r>
    </w:p>
    <w:p w14:paraId="0696D6F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r w:rsidRPr="00B3411D">
        <w:rPr>
          <w:rFonts w:ascii="Arial" w:eastAsia="Times New Roman" w:hAnsi="Arial" w:cs="Arial"/>
          <w:noProof/>
          <w:kern w:val="0"/>
          <w:sz w:val="24"/>
          <w:szCs w:val="24"/>
          <w:lang w:eastAsia="es-CR"/>
          <w14:ligatures w14:val="none"/>
        </w:rPr>
        <w:lastRenderedPageBreak/>
        <w:drawing>
          <wp:inline distT="0" distB="0" distL="0" distR="0" wp14:anchorId="4CD114C1" wp14:editId="0C160C5A">
            <wp:extent cx="2009775" cy="1548377"/>
            <wp:effectExtent l="0" t="0" r="0" b="0"/>
            <wp:docPr id="9861476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3C0C92B" w14:textId="77777777" w:rsidR="00B3411D" w:rsidRPr="00B3411D" w:rsidRDefault="00B3411D" w:rsidP="00B3411D">
      <w:pPr>
        <w:keepNext/>
        <w:widowControl w:val="0"/>
        <w:overflowPunct w:val="0"/>
        <w:autoSpaceDE w:val="0"/>
        <w:autoSpaceDN w:val="0"/>
        <w:adjustRightInd w:val="0"/>
        <w:spacing w:after="0" w:line="276" w:lineRule="auto"/>
        <w:jc w:val="center"/>
        <w:outlineLvl w:val="0"/>
        <w:rPr>
          <w:rFonts w:ascii="Arial" w:eastAsia="Times New Roman" w:hAnsi="Arial" w:cs="Arial"/>
          <w:b/>
          <w:kern w:val="0"/>
          <w:sz w:val="24"/>
          <w:szCs w:val="24"/>
          <w:lang w:val="es-ES_tradnl" w:eastAsia="es-CR"/>
          <w14:ligatures w14:val="none"/>
        </w:rPr>
      </w:pPr>
    </w:p>
    <w:p w14:paraId="75F26CDB" w14:textId="77777777" w:rsidR="00B3411D" w:rsidRPr="00B3411D" w:rsidRDefault="00B3411D" w:rsidP="00B3411D">
      <w:pPr>
        <w:keepNext/>
        <w:widowControl w:val="0"/>
        <w:overflowPunct w:val="0"/>
        <w:autoSpaceDE w:val="0"/>
        <w:autoSpaceDN w:val="0"/>
        <w:adjustRightInd w:val="0"/>
        <w:spacing w:after="0" w:line="276" w:lineRule="auto"/>
        <w:jc w:val="center"/>
        <w:outlineLvl w:val="0"/>
        <w:rPr>
          <w:rFonts w:ascii="Calibri" w:eastAsia="Times New Roman" w:hAnsi="Calibri" w:cs="Arial"/>
          <w:b/>
          <w:kern w:val="0"/>
          <w:sz w:val="24"/>
          <w:szCs w:val="24"/>
          <w:lang w:val="es-ES_tradnl" w:eastAsia="es-CR"/>
          <w14:ligatures w14:val="none"/>
        </w:rPr>
      </w:pPr>
      <w:r w:rsidRPr="00B3411D">
        <w:rPr>
          <w:rFonts w:ascii="Calibri" w:eastAsia="Times New Roman" w:hAnsi="Calibri" w:cs="Arial"/>
          <w:b/>
          <w:kern w:val="0"/>
          <w:sz w:val="24"/>
          <w:szCs w:val="24"/>
          <w:lang w:val="es-ES_tradnl" w:eastAsia="es-CR"/>
          <w14:ligatures w14:val="none"/>
        </w:rPr>
        <w:t>Universidad Bíblica Latinoamericana</w:t>
      </w:r>
    </w:p>
    <w:p w14:paraId="7046FF86" w14:textId="77777777" w:rsidR="00B3411D" w:rsidRPr="00B3411D" w:rsidRDefault="00B3411D" w:rsidP="00B3411D">
      <w:pPr>
        <w:keepNext/>
        <w:widowControl w:val="0"/>
        <w:overflowPunct w:val="0"/>
        <w:autoSpaceDE w:val="0"/>
        <w:autoSpaceDN w:val="0"/>
        <w:adjustRightInd w:val="0"/>
        <w:spacing w:after="0" w:line="276" w:lineRule="auto"/>
        <w:jc w:val="center"/>
        <w:outlineLvl w:val="1"/>
        <w:rPr>
          <w:rFonts w:ascii="Calibri" w:eastAsia="Times New Roman" w:hAnsi="Calibri" w:cs="Arial"/>
          <w:b/>
          <w:i/>
          <w:kern w:val="0"/>
          <w:sz w:val="24"/>
          <w:szCs w:val="24"/>
          <w:lang w:val="es-ES_tradnl" w:eastAsia="es-CR"/>
          <w14:ligatures w14:val="none"/>
        </w:rPr>
      </w:pPr>
      <w:r w:rsidRPr="00B3411D">
        <w:rPr>
          <w:rFonts w:ascii="Calibri" w:eastAsia="Times New Roman" w:hAnsi="Calibri" w:cs="Arial"/>
          <w:b/>
          <w:i/>
          <w:kern w:val="0"/>
          <w:sz w:val="24"/>
          <w:szCs w:val="24"/>
          <w:lang w:val="es-ES_tradnl" w:eastAsia="es-CR"/>
          <w14:ligatures w14:val="none"/>
        </w:rPr>
        <w:t>Facultad de Teología</w:t>
      </w:r>
    </w:p>
    <w:p w14:paraId="6EC59C28" w14:textId="77777777" w:rsidR="00B3411D" w:rsidRPr="00B3411D" w:rsidRDefault="00B3411D" w:rsidP="00B3411D">
      <w:pPr>
        <w:widowControl w:val="0"/>
        <w:overflowPunct w:val="0"/>
        <w:autoSpaceDE w:val="0"/>
        <w:autoSpaceDN w:val="0"/>
        <w:adjustRightInd w:val="0"/>
        <w:spacing w:after="0" w:line="276" w:lineRule="auto"/>
        <w:jc w:val="center"/>
        <w:rPr>
          <w:rFonts w:ascii="Calibri" w:eastAsia="Times New Roman" w:hAnsi="Calibri" w:cs="Arial"/>
          <w:b/>
          <w:bCs/>
          <w:kern w:val="0"/>
          <w:sz w:val="24"/>
          <w:szCs w:val="24"/>
          <w:lang w:val="es-ES_tradnl" w:eastAsia="es-CR"/>
          <w14:ligatures w14:val="none"/>
        </w:rPr>
      </w:pPr>
      <w:r w:rsidRPr="00B3411D">
        <w:rPr>
          <w:rFonts w:ascii="Calibri" w:eastAsia="Times New Roman" w:hAnsi="Calibri" w:cs="Arial"/>
          <w:b/>
          <w:bCs/>
          <w:kern w:val="0"/>
          <w:sz w:val="24"/>
          <w:szCs w:val="20"/>
          <w:lang w:val="es-ES_tradnl" w:eastAsia="es-CR"/>
          <w14:ligatures w14:val="none"/>
        </w:rPr>
        <w:t xml:space="preserve">Bachillerato en </w:t>
      </w:r>
      <w:r w:rsidRPr="00B3411D">
        <w:rPr>
          <w:rFonts w:ascii="Calibri" w:eastAsia="Times New Roman" w:hAnsi="Calibri" w:cs="Arial"/>
          <w:b/>
          <w:bCs/>
          <w:kern w:val="0"/>
          <w:sz w:val="24"/>
          <w:szCs w:val="24"/>
          <w:lang w:val="es-ES_tradnl" w:eastAsia="es-CR"/>
          <w14:ligatures w14:val="none"/>
        </w:rPr>
        <w:t xml:space="preserve">Ciencias </w:t>
      </w:r>
      <w:r w:rsidRPr="00B3411D">
        <w:rPr>
          <w:rFonts w:ascii="Calibri" w:eastAsia="Times New Roman" w:hAnsi="Calibri" w:cs="Arial"/>
          <w:b/>
          <w:bCs/>
          <w:kern w:val="0"/>
          <w:sz w:val="24"/>
          <w:szCs w:val="20"/>
          <w:lang w:val="es-ES_tradnl" w:eastAsia="es-CR"/>
          <w14:ligatures w14:val="none"/>
        </w:rPr>
        <w:t>Bíblicas</w:t>
      </w:r>
    </w:p>
    <w:p w14:paraId="2E049AB3" w14:textId="77777777" w:rsidR="00B3411D" w:rsidRPr="00B3411D" w:rsidRDefault="00B3411D" w:rsidP="00B3411D">
      <w:pPr>
        <w:widowControl w:val="0"/>
        <w:overflowPunct w:val="0"/>
        <w:autoSpaceDE w:val="0"/>
        <w:autoSpaceDN w:val="0"/>
        <w:adjustRightInd w:val="0"/>
        <w:spacing w:after="0" w:line="276" w:lineRule="auto"/>
        <w:jc w:val="center"/>
        <w:rPr>
          <w:rFonts w:ascii="Calibri" w:eastAsia="Times New Roman" w:hAnsi="Calibri" w:cs="Arial"/>
          <w:b/>
          <w:bCs/>
          <w:kern w:val="0"/>
          <w:sz w:val="24"/>
          <w:szCs w:val="24"/>
          <w:lang w:val="es-ES_tradnl" w:eastAsia="es-CR"/>
          <w14:ligatures w14:val="none"/>
        </w:rPr>
      </w:pPr>
    </w:p>
    <w:p w14:paraId="01AF9BB9" w14:textId="77777777" w:rsidR="00B3411D" w:rsidRPr="00B3411D" w:rsidRDefault="00B3411D" w:rsidP="00B3411D">
      <w:pPr>
        <w:widowControl w:val="0"/>
        <w:overflowPunct w:val="0"/>
        <w:autoSpaceDE w:val="0"/>
        <w:autoSpaceDN w:val="0"/>
        <w:adjustRightInd w:val="0"/>
        <w:spacing w:after="0" w:line="276" w:lineRule="auto"/>
        <w:jc w:val="center"/>
        <w:rPr>
          <w:rFonts w:ascii="Calibri" w:eastAsia="Times New Roman" w:hAnsi="Calibri" w:cs="Arial"/>
          <w:b/>
          <w:kern w:val="0"/>
          <w:sz w:val="24"/>
          <w:szCs w:val="24"/>
          <w:lang w:eastAsia="es-CR"/>
          <w14:ligatures w14:val="none"/>
        </w:rPr>
      </w:pPr>
      <w:r w:rsidRPr="00B3411D">
        <w:rPr>
          <w:rFonts w:ascii="Calibri" w:eastAsia="Times New Roman" w:hAnsi="Calibri" w:cs="Arial"/>
          <w:b/>
          <w:kern w:val="0"/>
          <w:sz w:val="24"/>
          <w:szCs w:val="24"/>
          <w:lang w:eastAsia="es-CR"/>
          <w14:ligatures w14:val="none"/>
        </w:rPr>
        <w:t>Sílabo</w:t>
      </w:r>
    </w:p>
    <w:p w14:paraId="48F5C1C0" w14:textId="77777777" w:rsidR="00B3411D" w:rsidRPr="00B3411D" w:rsidRDefault="00B3411D" w:rsidP="00B3411D">
      <w:pPr>
        <w:widowControl w:val="0"/>
        <w:overflowPunct w:val="0"/>
        <w:autoSpaceDE w:val="0"/>
        <w:autoSpaceDN w:val="0"/>
        <w:adjustRightInd w:val="0"/>
        <w:spacing w:after="0" w:line="276" w:lineRule="auto"/>
        <w:jc w:val="center"/>
        <w:rPr>
          <w:rFonts w:ascii="Calibri" w:eastAsia="Times New Roman" w:hAnsi="Calibri" w:cs="Arial"/>
          <w:b/>
          <w:kern w:val="0"/>
          <w:sz w:val="24"/>
          <w:szCs w:val="24"/>
          <w:lang w:eastAsia="es-CR"/>
          <w14:ligatures w14:val="none"/>
        </w:rPr>
      </w:pPr>
      <w:bookmarkStart w:id="54" w:name="CTX110"/>
      <w:r w:rsidRPr="00B3411D">
        <w:rPr>
          <w:rFonts w:ascii="Calibri" w:eastAsia="Times New Roman" w:hAnsi="Calibri" w:cs="Arial"/>
          <w:b/>
          <w:spacing w:val="-2"/>
          <w:kern w:val="0"/>
          <w:sz w:val="24"/>
          <w:szCs w:val="24"/>
          <w:lang w:val="pt-BR" w:eastAsia="es-CR"/>
          <w14:ligatures w14:val="none"/>
        </w:rPr>
        <w:t>Liturgia I</w:t>
      </w:r>
    </w:p>
    <w:bookmarkEnd w:id="54"/>
    <w:p w14:paraId="1716CFC7" w14:textId="77777777" w:rsidR="00B3411D" w:rsidRPr="00B3411D" w:rsidRDefault="00B3411D" w:rsidP="00B3411D">
      <w:pPr>
        <w:widowControl w:val="0"/>
        <w:overflowPunct w:val="0"/>
        <w:autoSpaceDE w:val="0"/>
        <w:autoSpaceDN w:val="0"/>
        <w:adjustRightInd w:val="0"/>
        <w:spacing w:after="0" w:line="276" w:lineRule="auto"/>
        <w:rPr>
          <w:rFonts w:ascii="Calibri" w:eastAsia="Times New Roman" w:hAnsi="Calibri" w:cs="Arial"/>
          <w:kern w:val="0"/>
          <w:sz w:val="24"/>
          <w:szCs w:val="24"/>
          <w:lang w:eastAsia="es-CR"/>
          <w14:ligatures w14:val="none"/>
        </w:rPr>
      </w:pPr>
    </w:p>
    <w:p w14:paraId="612DB46C" w14:textId="77777777" w:rsidR="00B3411D" w:rsidRPr="00B3411D" w:rsidRDefault="00B3411D" w:rsidP="00B3411D">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aconcuadrcula"/>
        <w:tblW w:w="0" w:type="auto"/>
        <w:tblLook w:val="04A0" w:firstRow="1" w:lastRow="0" w:firstColumn="1" w:lastColumn="0" w:noHBand="0" w:noVBand="1"/>
      </w:tblPr>
      <w:tblGrid>
        <w:gridCol w:w="1667"/>
        <w:gridCol w:w="7161"/>
      </w:tblGrid>
      <w:tr w:rsidR="00B3411D" w:rsidRPr="00B3411D" w14:paraId="3B8093B0" w14:textId="77777777" w:rsidTr="00CE7124">
        <w:tc>
          <w:tcPr>
            <w:tcW w:w="1667" w:type="dxa"/>
          </w:tcPr>
          <w:p w14:paraId="316F76BE" w14:textId="77777777" w:rsidR="00B3411D" w:rsidRPr="00B3411D" w:rsidRDefault="00B3411D" w:rsidP="00B3411D">
            <w:pPr>
              <w:rPr>
                <w:rFonts w:ascii="Calibri" w:hAnsi="Calibri" w:cs="Calibri"/>
                <w:b/>
              </w:rPr>
            </w:pPr>
            <w:r w:rsidRPr="00B3411D">
              <w:rPr>
                <w:rFonts w:ascii="Calibri" w:hAnsi="Calibri" w:cs="Calibri"/>
                <w:b/>
              </w:rPr>
              <w:t>Código</w:t>
            </w:r>
          </w:p>
        </w:tc>
        <w:tc>
          <w:tcPr>
            <w:tcW w:w="7161" w:type="dxa"/>
          </w:tcPr>
          <w:p w14:paraId="1C2B12E5" w14:textId="77777777" w:rsidR="00B3411D" w:rsidRPr="00B3411D" w:rsidRDefault="00B3411D" w:rsidP="00B3411D">
            <w:pPr>
              <w:rPr>
                <w:rFonts w:ascii="Calibri" w:hAnsi="Calibri" w:cs="Calibri"/>
              </w:rPr>
            </w:pPr>
            <w:r w:rsidRPr="00B3411D">
              <w:rPr>
                <w:rFonts w:ascii="Calibri" w:hAnsi="Calibri" w:cs="Calibri"/>
              </w:rPr>
              <w:t>CTX 110</w:t>
            </w:r>
          </w:p>
        </w:tc>
      </w:tr>
      <w:tr w:rsidR="00B3411D" w:rsidRPr="00B3411D" w14:paraId="670F9A86" w14:textId="77777777" w:rsidTr="00CE7124">
        <w:tc>
          <w:tcPr>
            <w:tcW w:w="1667" w:type="dxa"/>
          </w:tcPr>
          <w:p w14:paraId="4EAE9F21" w14:textId="77777777" w:rsidR="00B3411D" w:rsidRPr="00B3411D" w:rsidRDefault="00B3411D" w:rsidP="00B3411D">
            <w:pPr>
              <w:rPr>
                <w:rFonts w:ascii="Calibri" w:hAnsi="Calibri" w:cs="Calibri"/>
                <w:b/>
              </w:rPr>
            </w:pPr>
            <w:r w:rsidRPr="00B3411D">
              <w:rPr>
                <w:rFonts w:ascii="Calibri" w:hAnsi="Calibri" w:cs="Calibri"/>
                <w:b/>
              </w:rPr>
              <w:t>Créditos</w:t>
            </w:r>
          </w:p>
        </w:tc>
        <w:tc>
          <w:tcPr>
            <w:tcW w:w="7161" w:type="dxa"/>
          </w:tcPr>
          <w:p w14:paraId="1C1B86D0" w14:textId="77777777" w:rsidR="00B3411D" w:rsidRPr="00B3411D" w:rsidRDefault="00B3411D" w:rsidP="00B3411D">
            <w:pPr>
              <w:rPr>
                <w:rFonts w:ascii="Calibri" w:hAnsi="Calibri" w:cs="Calibri"/>
              </w:rPr>
            </w:pPr>
            <w:r w:rsidRPr="00B3411D">
              <w:rPr>
                <w:rFonts w:ascii="Calibri" w:hAnsi="Calibri" w:cs="Calibri"/>
              </w:rPr>
              <w:t>4</w:t>
            </w:r>
          </w:p>
        </w:tc>
      </w:tr>
      <w:tr w:rsidR="00B3411D" w:rsidRPr="00B3411D" w14:paraId="0891314C" w14:textId="77777777" w:rsidTr="00CE7124">
        <w:tc>
          <w:tcPr>
            <w:tcW w:w="1667" w:type="dxa"/>
          </w:tcPr>
          <w:p w14:paraId="5CA7F306" w14:textId="77777777" w:rsidR="00B3411D" w:rsidRPr="00B3411D" w:rsidRDefault="00B3411D" w:rsidP="00B3411D">
            <w:pPr>
              <w:rPr>
                <w:rFonts w:ascii="Calibri" w:hAnsi="Calibri" w:cs="Calibri"/>
                <w:b/>
              </w:rPr>
            </w:pPr>
            <w:r w:rsidRPr="00B3411D">
              <w:rPr>
                <w:rFonts w:ascii="Calibri" w:hAnsi="Calibri" w:cs="Calibri"/>
                <w:b/>
              </w:rPr>
              <w:t>Requisitos</w:t>
            </w:r>
          </w:p>
        </w:tc>
        <w:tc>
          <w:tcPr>
            <w:tcW w:w="7161" w:type="dxa"/>
          </w:tcPr>
          <w:p w14:paraId="3223200C" w14:textId="77777777" w:rsidR="00B3411D" w:rsidRPr="00B3411D" w:rsidRDefault="00B3411D" w:rsidP="00B3411D">
            <w:pPr>
              <w:rPr>
                <w:rFonts w:ascii="Calibri" w:hAnsi="Calibri" w:cs="Calibri"/>
              </w:rPr>
            </w:pPr>
            <w:r w:rsidRPr="00B3411D">
              <w:rPr>
                <w:rFonts w:ascii="Calibri" w:hAnsi="Calibri" w:cs="Calibri"/>
              </w:rPr>
              <w:t>CTX 107</w:t>
            </w:r>
          </w:p>
        </w:tc>
      </w:tr>
      <w:tr w:rsidR="00B3411D" w:rsidRPr="00B3411D" w14:paraId="27B90A07" w14:textId="77777777" w:rsidTr="00CE7124">
        <w:tc>
          <w:tcPr>
            <w:tcW w:w="1667" w:type="dxa"/>
          </w:tcPr>
          <w:p w14:paraId="451CE848" w14:textId="77777777" w:rsidR="00B3411D" w:rsidRPr="00B3411D" w:rsidRDefault="00B3411D" w:rsidP="00B3411D">
            <w:pPr>
              <w:rPr>
                <w:rFonts w:ascii="Calibri" w:hAnsi="Calibri" w:cs="Calibri"/>
                <w:b/>
              </w:rPr>
            </w:pPr>
            <w:r w:rsidRPr="00B3411D">
              <w:rPr>
                <w:rFonts w:ascii="Calibri" w:hAnsi="Calibri" w:cs="Calibri"/>
                <w:b/>
              </w:rPr>
              <w:t>Modalidad</w:t>
            </w:r>
          </w:p>
        </w:tc>
        <w:tc>
          <w:tcPr>
            <w:tcW w:w="7161" w:type="dxa"/>
          </w:tcPr>
          <w:p w14:paraId="0107EA6D" w14:textId="77777777" w:rsidR="00B3411D" w:rsidRPr="00B3411D" w:rsidRDefault="00B3411D" w:rsidP="00B3411D">
            <w:pPr>
              <w:rPr>
                <w:rFonts w:ascii="Calibri" w:hAnsi="Calibri" w:cs="Calibri"/>
              </w:rPr>
            </w:pPr>
            <w:r w:rsidRPr="00B3411D">
              <w:rPr>
                <w:rFonts w:ascii="Calibri" w:hAnsi="Calibri" w:cs="Calibri"/>
              </w:rPr>
              <w:t>Virtual</w:t>
            </w:r>
          </w:p>
        </w:tc>
      </w:tr>
      <w:tr w:rsidR="00B3411D" w:rsidRPr="00B3411D" w14:paraId="05A72449" w14:textId="77777777" w:rsidTr="00CE7124">
        <w:tc>
          <w:tcPr>
            <w:tcW w:w="1667" w:type="dxa"/>
          </w:tcPr>
          <w:p w14:paraId="00C26B64" w14:textId="77777777" w:rsidR="00B3411D" w:rsidRPr="00B3411D" w:rsidRDefault="00B3411D" w:rsidP="00B3411D">
            <w:pPr>
              <w:rPr>
                <w:rFonts w:ascii="Calibri" w:hAnsi="Calibri" w:cs="Calibri"/>
                <w:b/>
              </w:rPr>
            </w:pPr>
            <w:r w:rsidRPr="00B3411D">
              <w:rPr>
                <w:rFonts w:ascii="Calibri" w:hAnsi="Calibri" w:cs="Calibri"/>
                <w:b/>
              </w:rPr>
              <w:t>Naturaleza</w:t>
            </w:r>
          </w:p>
        </w:tc>
        <w:tc>
          <w:tcPr>
            <w:tcW w:w="7161" w:type="dxa"/>
          </w:tcPr>
          <w:p w14:paraId="3D9E86D3" w14:textId="77777777" w:rsidR="00B3411D" w:rsidRPr="00B3411D" w:rsidRDefault="00B3411D" w:rsidP="00B3411D">
            <w:pPr>
              <w:rPr>
                <w:rFonts w:ascii="Calibri" w:hAnsi="Calibri" w:cs="Calibri"/>
              </w:rPr>
            </w:pPr>
            <w:r w:rsidRPr="00B3411D">
              <w:rPr>
                <w:rFonts w:ascii="Calibri" w:hAnsi="Calibri" w:cs="Calibri"/>
              </w:rPr>
              <w:t>Teórico-práctico</w:t>
            </w:r>
          </w:p>
        </w:tc>
      </w:tr>
      <w:tr w:rsidR="00B3411D" w:rsidRPr="00B3411D" w14:paraId="284AAC5F" w14:textId="77777777" w:rsidTr="00CE7124">
        <w:tc>
          <w:tcPr>
            <w:tcW w:w="1667" w:type="dxa"/>
          </w:tcPr>
          <w:p w14:paraId="7827C0C2" w14:textId="77777777" w:rsidR="00B3411D" w:rsidRPr="00B3411D" w:rsidRDefault="00B3411D" w:rsidP="00B3411D">
            <w:pPr>
              <w:rPr>
                <w:rFonts w:ascii="Calibri" w:hAnsi="Calibri" w:cs="Calibri"/>
                <w:b/>
              </w:rPr>
            </w:pPr>
            <w:r w:rsidRPr="00B3411D">
              <w:rPr>
                <w:rFonts w:ascii="Calibri" w:hAnsi="Calibri" w:cs="Calibri"/>
                <w:b/>
              </w:rPr>
              <w:t>Periodo</w:t>
            </w:r>
          </w:p>
        </w:tc>
        <w:tc>
          <w:tcPr>
            <w:tcW w:w="7161" w:type="dxa"/>
          </w:tcPr>
          <w:p w14:paraId="281AD42E" w14:textId="77777777" w:rsidR="00B3411D" w:rsidRPr="00B3411D" w:rsidRDefault="00B3411D" w:rsidP="00B3411D">
            <w:pPr>
              <w:rPr>
                <w:rFonts w:ascii="Calibri" w:hAnsi="Calibri" w:cs="Calibri"/>
              </w:rPr>
            </w:pPr>
            <w:r w:rsidRPr="00B3411D">
              <w:rPr>
                <w:rFonts w:ascii="Calibri" w:hAnsi="Calibri" w:cs="Calibri"/>
              </w:rPr>
              <w:t>Cuatrimestral (15 semanas lectivas)</w:t>
            </w:r>
          </w:p>
        </w:tc>
      </w:tr>
      <w:tr w:rsidR="00B3411D" w:rsidRPr="00B3411D" w14:paraId="2D9B7456" w14:textId="77777777" w:rsidTr="00CE7124">
        <w:tc>
          <w:tcPr>
            <w:tcW w:w="1667" w:type="dxa"/>
          </w:tcPr>
          <w:p w14:paraId="53C3932D" w14:textId="77777777" w:rsidR="00B3411D" w:rsidRPr="00B3411D" w:rsidRDefault="00B3411D" w:rsidP="00B3411D">
            <w:pPr>
              <w:rPr>
                <w:rFonts w:ascii="Calibri" w:hAnsi="Calibri" w:cs="Calibri"/>
                <w:b/>
              </w:rPr>
            </w:pPr>
            <w:r w:rsidRPr="00B3411D">
              <w:rPr>
                <w:rFonts w:ascii="Calibri" w:hAnsi="Calibri" w:cs="Calibri"/>
                <w:b/>
              </w:rPr>
              <w:t>Nivel</w:t>
            </w:r>
          </w:p>
        </w:tc>
        <w:tc>
          <w:tcPr>
            <w:tcW w:w="7161" w:type="dxa"/>
          </w:tcPr>
          <w:p w14:paraId="10F1F6F3" w14:textId="77777777" w:rsidR="00B3411D" w:rsidRPr="00B3411D" w:rsidRDefault="00B3411D" w:rsidP="00B3411D">
            <w:pPr>
              <w:rPr>
                <w:rFonts w:ascii="Calibri" w:hAnsi="Calibri" w:cs="Calibri"/>
              </w:rPr>
            </w:pPr>
            <w:r w:rsidRPr="00B3411D">
              <w:rPr>
                <w:rFonts w:ascii="Calibri" w:hAnsi="Calibri" w:cs="Calibri"/>
              </w:rPr>
              <w:t>VI Cuatrimestre</w:t>
            </w:r>
          </w:p>
        </w:tc>
      </w:tr>
      <w:tr w:rsidR="00B3411D" w:rsidRPr="00B3411D" w14:paraId="78756A4B" w14:textId="77777777" w:rsidTr="00CE7124">
        <w:tc>
          <w:tcPr>
            <w:tcW w:w="1667" w:type="dxa"/>
          </w:tcPr>
          <w:p w14:paraId="3FCAD997" w14:textId="77777777" w:rsidR="00B3411D" w:rsidRPr="00B3411D" w:rsidRDefault="00B3411D" w:rsidP="00B3411D">
            <w:pPr>
              <w:rPr>
                <w:rFonts w:ascii="Calibri" w:hAnsi="Calibri" w:cs="Calibri"/>
                <w:b/>
              </w:rPr>
            </w:pPr>
            <w:r w:rsidRPr="00B3411D">
              <w:rPr>
                <w:rFonts w:ascii="Calibri" w:hAnsi="Calibri" w:cs="Calibri"/>
                <w:b/>
              </w:rPr>
              <w:t>Horario</w:t>
            </w:r>
          </w:p>
        </w:tc>
        <w:tc>
          <w:tcPr>
            <w:tcW w:w="7161" w:type="dxa"/>
          </w:tcPr>
          <w:p w14:paraId="640A413B" w14:textId="77777777" w:rsidR="00B3411D" w:rsidRPr="00B3411D" w:rsidRDefault="00B3411D" w:rsidP="00B3411D">
            <w:pPr>
              <w:rPr>
                <w:rFonts w:ascii="Calibri" w:hAnsi="Calibri" w:cs="Calibri"/>
              </w:rPr>
            </w:pPr>
            <w:r w:rsidRPr="00B3411D">
              <w:rPr>
                <w:rFonts w:ascii="Calibri" w:hAnsi="Calibri" w:cs="Calibri"/>
              </w:rPr>
              <w:t>El curso requiere de 12 horas de trabajo semanal</w:t>
            </w:r>
          </w:p>
        </w:tc>
      </w:tr>
      <w:tr w:rsidR="00B3411D" w:rsidRPr="00B3411D" w14:paraId="72CD9ECD" w14:textId="77777777" w:rsidTr="00CE7124">
        <w:tc>
          <w:tcPr>
            <w:tcW w:w="1667" w:type="dxa"/>
          </w:tcPr>
          <w:p w14:paraId="4B7BB4BC" w14:textId="77777777" w:rsidR="00B3411D" w:rsidRPr="00B3411D" w:rsidRDefault="00B3411D" w:rsidP="00B3411D">
            <w:pPr>
              <w:rPr>
                <w:rFonts w:ascii="Calibri" w:hAnsi="Calibri" w:cs="Calibri"/>
                <w:b/>
              </w:rPr>
            </w:pPr>
            <w:r w:rsidRPr="00B3411D">
              <w:rPr>
                <w:rFonts w:ascii="Calibri" w:hAnsi="Calibri" w:cs="Calibri"/>
                <w:b/>
              </w:rPr>
              <w:t>Aula</w:t>
            </w:r>
          </w:p>
        </w:tc>
        <w:tc>
          <w:tcPr>
            <w:tcW w:w="7161" w:type="dxa"/>
          </w:tcPr>
          <w:p w14:paraId="63D162F1" w14:textId="77777777" w:rsidR="00B3411D" w:rsidRPr="00B3411D" w:rsidRDefault="00B3411D" w:rsidP="00B3411D">
            <w:pPr>
              <w:rPr>
                <w:rFonts w:ascii="Calibri" w:hAnsi="Calibri" w:cs="Calibri"/>
              </w:rPr>
            </w:pPr>
            <w:r w:rsidRPr="00B3411D">
              <w:rPr>
                <w:rFonts w:ascii="Calibri" w:hAnsi="Calibri" w:cs="Calibri"/>
              </w:rPr>
              <w:t>Plataforma virtual de la UBL</w:t>
            </w:r>
          </w:p>
        </w:tc>
      </w:tr>
      <w:tr w:rsidR="00B3411D" w:rsidRPr="00B3411D" w14:paraId="019226B9" w14:textId="77777777" w:rsidTr="00CE7124">
        <w:tc>
          <w:tcPr>
            <w:tcW w:w="1667" w:type="dxa"/>
          </w:tcPr>
          <w:p w14:paraId="555203DA" w14:textId="77777777" w:rsidR="00B3411D" w:rsidRPr="00B3411D" w:rsidRDefault="00B3411D" w:rsidP="00B3411D">
            <w:pPr>
              <w:rPr>
                <w:rFonts w:ascii="Calibri" w:hAnsi="Calibri" w:cs="Calibri"/>
                <w:b/>
              </w:rPr>
            </w:pPr>
            <w:r w:rsidRPr="00B3411D">
              <w:rPr>
                <w:rFonts w:ascii="Calibri" w:hAnsi="Calibri" w:cs="Calibri"/>
                <w:b/>
              </w:rPr>
              <w:t>Docente</w:t>
            </w:r>
          </w:p>
        </w:tc>
        <w:tc>
          <w:tcPr>
            <w:tcW w:w="7161" w:type="dxa"/>
          </w:tcPr>
          <w:p w14:paraId="466A92E5" w14:textId="77777777" w:rsidR="00B3411D" w:rsidRPr="00B3411D" w:rsidRDefault="00B3411D" w:rsidP="00B3411D">
            <w:pPr>
              <w:rPr>
                <w:rFonts w:ascii="Calibri" w:hAnsi="Calibri" w:cs="Calibri"/>
              </w:rPr>
            </w:pPr>
          </w:p>
        </w:tc>
      </w:tr>
      <w:tr w:rsidR="00B3411D" w:rsidRPr="00B3411D" w14:paraId="30BEEF1D" w14:textId="77777777" w:rsidTr="00CE7124">
        <w:tc>
          <w:tcPr>
            <w:tcW w:w="1667" w:type="dxa"/>
          </w:tcPr>
          <w:p w14:paraId="5EE43E47" w14:textId="77777777" w:rsidR="00B3411D" w:rsidRPr="00B3411D" w:rsidRDefault="00B3411D" w:rsidP="00B3411D">
            <w:pPr>
              <w:rPr>
                <w:rFonts w:ascii="Calibri" w:hAnsi="Calibri" w:cs="Calibri"/>
              </w:rPr>
            </w:pPr>
            <w:r w:rsidRPr="00B3411D">
              <w:rPr>
                <w:rFonts w:ascii="Calibri" w:hAnsi="Calibri" w:cs="Calibri"/>
                <w:b/>
              </w:rPr>
              <w:t>Instrucciones administrativas</w:t>
            </w:r>
          </w:p>
        </w:tc>
        <w:tc>
          <w:tcPr>
            <w:tcW w:w="7161" w:type="dxa"/>
          </w:tcPr>
          <w:p w14:paraId="75361709" w14:textId="77777777" w:rsidR="00B3411D" w:rsidRPr="00B3411D" w:rsidRDefault="00B3411D" w:rsidP="00B3411D">
            <w:pPr>
              <w:rPr>
                <w:rFonts w:ascii="Calibri" w:hAnsi="Calibri" w:cs="Calibri"/>
              </w:rPr>
            </w:pPr>
            <w:r w:rsidRPr="00B3411D">
              <w:rPr>
                <w:rFonts w:ascii="Calibri" w:hAnsi="Calibri" w:cs="Calibri"/>
              </w:rPr>
              <w:t>El curso es virtual, por lo que se requiere de acceso a una computadora con conexión a Internet, además de destrezas básicas para el manejo de correo electrónico y la plataforma Moodle desde el rol de estudiante. Por su naturaleza teórico-práctica el curso requiere de 2 horas de práctica semanal. La dirección de acceso a la plataforma es la siguiente:</w:t>
            </w:r>
          </w:p>
          <w:p w14:paraId="371EB97E" w14:textId="77777777" w:rsidR="00B3411D" w:rsidRPr="00B3411D" w:rsidRDefault="00DD16F2" w:rsidP="00B3411D">
            <w:pPr>
              <w:rPr>
                <w:rFonts w:ascii="Calibri" w:hAnsi="Calibri" w:cs="Calibri"/>
              </w:rPr>
            </w:pPr>
            <w:hyperlink r:id="rId403" w:history="1">
              <w:r w:rsidR="00B3411D" w:rsidRPr="00B3411D">
                <w:rPr>
                  <w:rFonts w:ascii="Calibri" w:hAnsi="Calibri" w:cs="Calibri"/>
                  <w:color w:val="0563C1"/>
                  <w:u w:val="single"/>
                </w:rPr>
                <w:t>https://campus.ubl.ac.cr/login/index.php</w:t>
              </w:r>
            </w:hyperlink>
          </w:p>
        </w:tc>
      </w:tr>
    </w:tbl>
    <w:p w14:paraId="27E80B4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Times New Roman"/>
          <w:color w:val="000000"/>
          <w:kern w:val="0"/>
          <w:lang w:val="es-ES_tradnl" w:eastAsia="es-CR"/>
          <w14:ligatures w14:val="none"/>
        </w:rPr>
      </w:pPr>
    </w:p>
    <w:p w14:paraId="0C061B55" w14:textId="77777777" w:rsidR="00B3411D" w:rsidRPr="00B3411D" w:rsidRDefault="00B3411D" w:rsidP="00B3411D">
      <w:pPr>
        <w:keepNext/>
        <w:widowControl w:val="0"/>
        <w:overflowPunct w:val="0"/>
        <w:autoSpaceDE w:val="0"/>
        <w:autoSpaceDN w:val="0"/>
        <w:adjustRightInd w:val="0"/>
        <w:spacing w:after="0" w:line="240" w:lineRule="auto"/>
        <w:jc w:val="both"/>
        <w:outlineLvl w:val="1"/>
        <w:rPr>
          <w:rFonts w:ascii="Calibri" w:eastAsia="Times New Roman" w:hAnsi="Calibri" w:cs="Arial"/>
          <w:b/>
          <w:color w:val="000000"/>
          <w:spacing w:val="-2"/>
          <w:kern w:val="28"/>
          <w:lang w:val="pt-BR" w:eastAsia="es-CR"/>
          <w14:ligatures w14:val="none"/>
        </w:rPr>
      </w:pPr>
    </w:p>
    <w:p w14:paraId="6153529C" w14:textId="77777777" w:rsidR="00B3411D" w:rsidRPr="00B3411D" w:rsidRDefault="00B3411D" w:rsidP="00B3411D">
      <w:pPr>
        <w:keepNext/>
        <w:widowControl w:val="0"/>
        <w:overflowPunct w:val="0"/>
        <w:autoSpaceDE w:val="0"/>
        <w:autoSpaceDN w:val="0"/>
        <w:adjustRightInd w:val="0"/>
        <w:spacing w:after="0" w:line="240" w:lineRule="auto"/>
        <w:jc w:val="both"/>
        <w:outlineLvl w:val="1"/>
        <w:rPr>
          <w:rFonts w:ascii="Calibri" w:eastAsia="Times New Roman" w:hAnsi="Calibri" w:cs="Arial"/>
          <w:b/>
          <w:color w:val="000000"/>
          <w:spacing w:val="-2"/>
          <w:kern w:val="28"/>
          <w:lang w:val="pt-BR" w:eastAsia="es-CR"/>
          <w14:ligatures w14:val="none"/>
        </w:rPr>
      </w:pPr>
      <w:r w:rsidRPr="00B3411D">
        <w:rPr>
          <w:rFonts w:ascii="Calibri" w:eastAsia="Times New Roman" w:hAnsi="Calibri" w:cs="Arial"/>
          <w:b/>
          <w:color w:val="000000"/>
          <w:spacing w:val="-2"/>
          <w:kern w:val="28"/>
          <w:lang w:val="pt-BR" w:eastAsia="es-CR"/>
          <w14:ligatures w14:val="none"/>
        </w:rPr>
        <w:t xml:space="preserve">I. </w:t>
      </w:r>
      <w:r w:rsidRPr="00B3411D">
        <w:rPr>
          <w:rFonts w:ascii="Calibri" w:eastAsia="Times New Roman" w:hAnsi="Calibri" w:cs="Arial"/>
          <w:b/>
          <w:color w:val="000000"/>
          <w:spacing w:val="-2"/>
          <w:kern w:val="28"/>
          <w:lang w:eastAsia="es-CR"/>
          <w14:ligatures w14:val="none"/>
        </w:rPr>
        <w:t>Descripción</w:t>
      </w:r>
    </w:p>
    <w:p w14:paraId="5495167E"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 xml:space="preserve">La celebración es parte vital de la cotidianidad humana. Este curso pretende profundizar bíblico-teológica y pastoralmente los fundamentos de la celebración, a fin de reorientar la praxis litúrgica en el marco de la iglesia latinoamericana y caribeña. Profundizaremos también el sentido de fiesta, la psicología de la celebración, el arte en la celebración y la aplicación de la comunicación popular en el marco de la celebración de la fe. </w:t>
      </w:r>
    </w:p>
    <w:p w14:paraId="768CC838" w14:textId="77777777" w:rsidR="00B3411D" w:rsidRDefault="00B3411D" w:rsidP="00B3411D">
      <w:pPr>
        <w:rPr>
          <w:rFonts w:ascii="Calibri" w:eastAsia="Times New Roman" w:hAnsi="Calibri" w:cs="Arial"/>
          <w:b/>
          <w:color w:val="000000"/>
          <w:spacing w:val="-2"/>
          <w:kern w:val="28"/>
          <w:lang w:val="es-ES_tradnl" w:eastAsia="es-CR"/>
          <w14:ligatures w14:val="none"/>
        </w:rPr>
      </w:pPr>
    </w:p>
    <w:p w14:paraId="4F3B4C95" w14:textId="77777777" w:rsidR="003F255B" w:rsidRPr="00B3411D" w:rsidRDefault="003F255B" w:rsidP="00B3411D">
      <w:pPr>
        <w:rPr>
          <w:rFonts w:ascii="Calibri" w:eastAsia="Times New Roman" w:hAnsi="Calibri" w:cs="Arial"/>
          <w:b/>
          <w:color w:val="000000"/>
          <w:spacing w:val="-2"/>
          <w:kern w:val="28"/>
          <w:lang w:val="es-ES_tradnl" w:eastAsia="es-CR"/>
          <w14:ligatures w14:val="none"/>
        </w:rPr>
      </w:pPr>
    </w:p>
    <w:p w14:paraId="11EA147E" w14:textId="77777777" w:rsidR="00B3411D" w:rsidRPr="00B3411D" w:rsidRDefault="00B3411D" w:rsidP="00B3411D">
      <w:pPr>
        <w:rPr>
          <w:rFonts w:ascii="Calibri" w:eastAsia="Times New Roman" w:hAnsi="Calibri" w:cs="Arial"/>
          <w:b/>
          <w:color w:val="000000"/>
          <w:spacing w:val="-2"/>
          <w:kern w:val="28"/>
          <w:lang w:val="es-ES_tradnl" w:eastAsia="es-CR"/>
          <w14:ligatures w14:val="none"/>
        </w:rPr>
      </w:pPr>
      <w:r w:rsidRPr="00B3411D">
        <w:rPr>
          <w:rFonts w:ascii="Calibri" w:eastAsia="Times New Roman" w:hAnsi="Calibri" w:cs="Arial"/>
          <w:b/>
          <w:color w:val="000000"/>
          <w:spacing w:val="-2"/>
          <w:kern w:val="28"/>
          <w:lang w:val="es-ES_tradnl" w:eastAsia="es-CR"/>
          <w14:ligatures w14:val="none"/>
        </w:rPr>
        <w:lastRenderedPageBreak/>
        <w:t>II. Objetivo general</w:t>
      </w:r>
    </w:p>
    <w:p w14:paraId="5C20DAE5" w14:textId="77777777" w:rsidR="00B3411D" w:rsidRPr="00B3411D" w:rsidRDefault="00B3411D" w:rsidP="00B3411D">
      <w:pPr>
        <w:rPr>
          <w:rFonts w:ascii="Calibri" w:eastAsia="Times New Roman" w:hAnsi="Calibri" w:cs="Arial"/>
          <w:b/>
          <w:color w:val="000000"/>
          <w:spacing w:val="-2"/>
          <w:kern w:val="28"/>
          <w:lang w:val="es-ES_tradnl" w:eastAsia="es-CR"/>
          <w14:ligatures w14:val="none"/>
        </w:rPr>
      </w:pPr>
      <w:r w:rsidRPr="00B3411D">
        <w:rPr>
          <w:rFonts w:ascii="Calibri" w:eastAsia="Times New Roman" w:hAnsi="Calibri" w:cs="Arial"/>
          <w:color w:val="000000"/>
          <w:kern w:val="0"/>
          <w:lang w:val="es-ES_tradnl" w:eastAsia="es-CR"/>
          <w14:ligatures w14:val="none"/>
        </w:rPr>
        <w:t>Analizar el proceso de renovación litúrgica con miras a que en las iglesias se geste este movimiento del Espíritu, mediante personas capacitadas para orientar y ayudar en este proceso de renovación.</w:t>
      </w:r>
    </w:p>
    <w:p w14:paraId="737A7B13"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color w:val="000000"/>
          <w:spacing w:val="-2"/>
          <w:kern w:val="28"/>
          <w:lang w:val="es-ES_tradnl" w:eastAsia="es-CR"/>
          <w14:ligatures w14:val="none"/>
        </w:rPr>
      </w:pPr>
    </w:p>
    <w:p w14:paraId="3CD079B8"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color w:val="000000"/>
          <w:spacing w:val="-2"/>
          <w:kern w:val="28"/>
          <w:lang w:val="es-ES_tradnl" w:eastAsia="es-CR"/>
          <w14:ligatures w14:val="none"/>
        </w:rPr>
        <w:t>III. Objetivos específicos</w:t>
      </w:r>
    </w:p>
    <w:p w14:paraId="24DA5E63"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6863CDEF"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Entender el desarrollo histórico etimológico de la palabra Liturgia.</w:t>
      </w:r>
    </w:p>
    <w:p w14:paraId="57E03F16"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Valorar la relación Liturgia y Vida.</w:t>
      </w:r>
    </w:p>
    <w:p w14:paraId="50E11318"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Comprender el desarrollo bíblico teológico de la liturgia a partir de algunos momentos históricos.</w:t>
      </w:r>
    </w:p>
    <w:p w14:paraId="7DF39EA3" w14:textId="77777777" w:rsidR="00B3411D" w:rsidRDefault="00B3411D" w:rsidP="00B3411D">
      <w:pPr>
        <w:widowControl w:val="0"/>
        <w:overflowPunct w:val="0"/>
        <w:autoSpaceDE w:val="0"/>
        <w:autoSpaceDN w:val="0"/>
        <w:adjustRightInd w:val="0"/>
        <w:spacing w:after="0" w:line="240" w:lineRule="auto"/>
        <w:ind w:firstLine="567"/>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3.1. El éxodo (Eje liberación).</w:t>
      </w:r>
    </w:p>
    <w:p w14:paraId="50DA7F2A" w14:textId="77777777" w:rsidR="00B3411D" w:rsidRDefault="00B3411D" w:rsidP="00B3411D">
      <w:pPr>
        <w:widowControl w:val="0"/>
        <w:overflowPunct w:val="0"/>
        <w:autoSpaceDE w:val="0"/>
        <w:autoSpaceDN w:val="0"/>
        <w:adjustRightInd w:val="0"/>
        <w:spacing w:after="0" w:line="240" w:lineRule="auto"/>
        <w:ind w:firstLine="567"/>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3.2. Los profetas (Eje justicia).</w:t>
      </w:r>
    </w:p>
    <w:p w14:paraId="61D911F8" w14:textId="77777777" w:rsidR="00B3411D" w:rsidRDefault="00B3411D" w:rsidP="00B3411D">
      <w:pPr>
        <w:widowControl w:val="0"/>
        <w:overflowPunct w:val="0"/>
        <w:autoSpaceDE w:val="0"/>
        <w:autoSpaceDN w:val="0"/>
        <w:adjustRightInd w:val="0"/>
        <w:spacing w:after="0" w:line="240" w:lineRule="auto"/>
        <w:ind w:firstLine="567"/>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3.3. El exilio (Eje recuperación de la esperanza).</w:t>
      </w:r>
    </w:p>
    <w:p w14:paraId="3BCD7925" w14:textId="0079F5D8" w:rsidR="00B3411D" w:rsidRPr="00B3411D" w:rsidRDefault="00B3411D" w:rsidP="00B3411D">
      <w:pPr>
        <w:widowControl w:val="0"/>
        <w:overflowPunct w:val="0"/>
        <w:autoSpaceDE w:val="0"/>
        <w:autoSpaceDN w:val="0"/>
        <w:adjustRightInd w:val="0"/>
        <w:spacing w:after="0" w:line="240" w:lineRule="auto"/>
        <w:ind w:firstLine="567"/>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3.4. Comunidad primitiva (Eje resurrección).</w:t>
      </w:r>
    </w:p>
    <w:p w14:paraId="54AD5C61"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Examinar el desarrollo histórico de la liturgia protestante desde la comunidad primitiva hasta la pluralidad actual.</w:t>
      </w:r>
    </w:p>
    <w:p w14:paraId="19BDCA36"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Indagar sobre la relación del sentido de Fiesta con Celebración.</w:t>
      </w:r>
    </w:p>
    <w:p w14:paraId="21032C59"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Considerar el uso del calendario litúrgico como elemento pedagógico en la liturgia.</w:t>
      </w:r>
    </w:p>
    <w:p w14:paraId="11C904B0"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Promover el uso de diversas artes en la celebración litúrgica como medio de expresión de sentimientos.</w:t>
      </w:r>
    </w:p>
    <w:p w14:paraId="67C589CF"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Aplicar conocimientos de la comunicación popular a nuestra práctica de animación litúrgica.</w:t>
      </w:r>
    </w:p>
    <w:p w14:paraId="2044BB0B" w14:textId="77777777" w:rsidR="00B3411D" w:rsidRPr="00B3411D" w:rsidRDefault="00B3411D" w:rsidP="00B3411D">
      <w:pPr>
        <w:widowControl w:val="0"/>
        <w:numPr>
          <w:ilvl w:val="1"/>
          <w:numId w:val="173"/>
        </w:numPr>
        <w:overflowPunct w:val="0"/>
        <w:autoSpaceDE w:val="0"/>
        <w:autoSpaceDN w:val="0"/>
        <w:adjustRightInd w:val="0"/>
        <w:spacing w:after="0" w:line="240" w:lineRule="auto"/>
        <w:ind w:left="567" w:hanging="540"/>
        <w:jc w:val="both"/>
        <w:rPr>
          <w:rFonts w:ascii="Calibri" w:eastAsia="Times New Roman" w:hAnsi="Calibri" w:cs="Arial"/>
          <w:color w:val="000000"/>
          <w:kern w:val="0"/>
          <w:lang w:val="es-ES_tradnl" w:eastAsia="es-CR"/>
          <w14:ligatures w14:val="none"/>
        </w:rPr>
      </w:pPr>
      <w:r w:rsidRPr="00B3411D">
        <w:rPr>
          <w:rFonts w:ascii="Calibri" w:eastAsia="Times New Roman" w:hAnsi="Calibri" w:cs="Arial"/>
          <w:color w:val="000000"/>
          <w:kern w:val="0"/>
          <w:lang w:val="es-ES_tradnl" w:eastAsia="es-CR"/>
          <w14:ligatures w14:val="none"/>
        </w:rPr>
        <w:t>Promover elementos celebrativos y de animación comunitaria litúrgica en su iglesia y comunidad.</w:t>
      </w:r>
    </w:p>
    <w:p w14:paraId="07C85D9B"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_tradnl" w:eastAsia="es-CR"/>
          <w14:ligatures w14:val="none"/>
        </w:rPr>
      </w:pPr>
    </w:p>
    <w:p w14:paraId="2CBBB729"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color w:val="000000"/>
          <w:spacing w:val="-2"/>
          <w:kern w:val="28"/>
          <w:lang w:val="es-ES_tradnl" w:eastAsia="es-CR"/>
          <w14:ligatures w14:val="none"/>
        </w:rPr>
      </w:pPr>
      <w:r w:rsidRPr="00B3411D">
        <w:rPr>
          <w:rFonts w:ascii="Calibri" w:eastAsia="Times New Roman" w:hAnsi="Calibri" w:cs="Arial"/>
          <w:b/>
          <w:color w:val="000000"/>
          <w:spacing w:val="-2"/>
          <w:kern w:val="28"/>
          <w:lang w:val="es-ES_tradnl" w:eastAsia="es-CR"/>
          <w14:ligatures w14:val="none"/>
        </w:rPr>
        <w:t>IV. Contenidos</w:t>
      </w:r>
    </w:p>
    <w:p w14:paraId="386E6E0C"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color w:val="000000"/>
          <w:spacing w:val="-2"/>
          <w:kern w:val="28"/>
          <w:lang w:val="es-ES_tradnl" w:eastAsia="es-CR"/>
          <w14:ligatures w14:val="none"/>
        </w:rPr>
      </w:pPr>
    </w:p>
    <w:p w14:paraId="7F808724"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color w:val="000000"/>
          <w:spacing w:val="-2"/>
          <w:kern w:val="28"/>
          <w:lang w:val="es-ES_tradnl" w:eastAsia="es-CR"/>
          <w14:ligatures w14:val="none"/>
        </w:rPr>
      </w:pPr>
      <w:r w:rsidRPr="00B3411D">
        <w:rPr>
          <w:rFonts w:ascii="Calibri" w:eastAsia="Times New Roman" w:hAnsi="Calibri" w:cs="Arial"/>
          <w:b/>
          <w:bCs/>
          <w:color w:val="000000"/>
          <w:kern w:val="0"/>
          <w:lang w:val="es-ES_tradnl" w:eastAsia="es-CR"/>
          <w14:ligatures w14:val="none"/>
        </w:rPr>
        <w:t>Unidad 1: Renovación litúrgica contextual</w:t>
      </w:r>
    </w:p>
    <w:p w14:paraId="00CD668B"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62E39CB7"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1.1 Desarrollo histórico-etimológico del término Liturgia</w:t>
      </w:r>
    </w:p>
    <w:p w14:paraId="50FFF77D"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1.2 Renovación litúrgica en contextos originarios latinoamericanos y caribeños</w:t>
      </w:r>
    </w:p>
    <w:p w14:paraId="06C66801"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0490AFEE"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Unidad 2: Liturgia, liberación y afirmación de la vida y la esperanza</w:t>
      </w:r>
    </w:p>
    <w:p w14:paraId="3DB9EE77"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20FE1D21"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2.1 Celebración y Liberación en el Antiguo Testamento</w:t>
      </w:r>
    </w:p>
    <w:p w14:paraId="4FB042EB"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2.2 Modelo de culto del Antiguo Testamento en tres momentos</w:t>
      </w:r>
    </w:p>
    <w:p w14:paraId="38041999"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1056CF76"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Unidad 3: La liturgia en las primeras comunidades cristianas</w:t>
      </w:r>
    </w:p>
    <w:p w14:paraId="6D61A347"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55C1CA96"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3.1 El seguimiento de Jesús como fundamento de la espiritualidad cristiana</w:t>
      </w:r>
    </w:p>
    <w:p w14:paraId="0685B6A2" w14:textId="77777777" w:rsidR="00B3411D" w:rsidRPr="00B3411D" w:rsidRDefault="00B3411D" w:rsidP="4C9C2619">
      <w:pPr>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 xml:space="preserve">3.2 Las críticas de Jesús al </w:t>
      </w:r>
      <w:proofErr w:type="spellStart"/>
      <w:r w:rsidRPr="4C9C2619">
        <w:rPr>
          <w:rFonts w:ascii="Calibri" w:eastAsia="Times New Roman" w:hAnsi="Calibri" w:cs="Arial"/>
          <w:color w:val="000000"/>
          <w:kern w:val="0"/>
          <w:lang w:val="es-ES" w:eastAsia="es-CR"/>
          <w14:ligatures w14:val="none"/>
        </w:rPr>
        <w:t>cultualismo</w:t>
      </w:r>
      <w:proofErr w:type="spellEnd"/>
      <w:r w:rsidRPr="4C9C2619">
        <w:rPr>
          <w:rFonts w:ascii="Calibri" w:eastAsia="Times New Roman" w:hAnsi="Calibri" w:cs="Arial"/>
          <w:color w:val="000000"/>
          <w:kern w:val="0"/>
          <w:lang w:val="es-ES" w:eastAsia="es-CR"/>
          <w14:ligatures w14:val="none"/>
        </w:rPr>
        <w:t xml:space="preserve"> de su época</w:t>
      </w:r>
    </w:p>
    <w:p w14:paraId="52BC2C08"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3.3 El culto en las comunidades cristianas primitivas</w:t>
      </w:r>
    </w:p>
    <w:p w14:paraId="17F21E2D"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Unidad 4: Desarrollo litúrgico en Occidente: Desde el primer siglo D.C. hasta nuestros días</w:t>
      </w:r>
    </w:p>
    <w:p w14:paraId="3E7C741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2"/>
          <w:szCs w:val="2"/>
          <w:lang w:val="es-ES_tradnl" w:eastAsia="es-CR"/>
          <w14:ligatures w14:val="none"/>
        </w:rPr>
      </w:pPr>
    </w:p>
    <w:p w14:paraId="477DBA91"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4.1 Formas litúrgicas en occidente</w:t>
      </w:r>
    </w:p>
    <w:p w14:paraId="3D6B3953" w14:textId="77777777" w:rsidR="00B3411D" w:rsidRPr="00B3411D" w:rsidRDefault="00B3411D" w:rsidP="4C9C261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lastRenderedPageBreak/>
        <w:t xml:space="preserve">4.2 Pentecostalismo, </w:t>
      </w:r>
      <w:proofErr w:type="spellStart"/>
      <w:r w:rsidRPr="4C9C2619">
        <w:rPr>
          <w:rFonts w:ascii="Calibri" w:eastAsia="Times New Roman" w:hAnsi="Calibri" w:cs="Arial"/>
          <w:color w:val="000000"/>
          <w:kern w:val="0"/>
          <w:lang w:val="es-ES" w:eastAsia="es-CR"/>
          <w14:ligatures w14:val="none"/>
        </w:rPr>
        <w:t>carismatismo</w:t>
      </w:r>
      <w:proofErr w:type="spellEnd"/>
      <w:r w:rsidRPr="4C9C2619">
        <w:rPr>
          <w:rFonts w:ascii="Calibri" w:eastAsia="Times New Roman" w:hAnsi="Calibri" w:cs="Arial"/>
          <w:color w:val="000000"/>
          <w:kern w:val="0"/>
          <w:lang w:val="es-ES" w:eastAsia="es-CR"/>
          <w14:ligatures w14:val="none"/>
        </w:rPr>
        <w:t xml:space="preserve"> y </w:t>
      </w:r>
      <w:proofErr w:type="spellStart"/>
      <w:r w:rsidRPr="4C9C2619">
        <w:rPr>
          <w:rFonts w:ascii="Calibri" w:eastAsia="Times New Roman" w:hAnsi="Calibri" w:cs="Arial"/>
          <w:color w:val="000000"/>
          <w:kern w:val="0"/>
          <w:lang w:val="es-ES" w:eastAsia="es-CR"/>
          <w14:ligatures w14:val="none"/>
        </w:rPr>
        <w:t>neopentecostalismo</w:t>
      </w:r>
      <w:proofErr w:type="spellEnd"/>
    </w:p>
    <w:p w14:paraId="5582E72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19EB111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 xml:space="preserve">Unidad 5: Liturgia, contexto y teología: Inclusión y exclusión en la liturgia cristiana </w:t>
      </w:r>
    </w:p>
    <w:p w14:paraId="69FABF12"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53810615"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5.1 Sentido de fiesta y celebración inclusivas</w:t>
      </w:r>
    </w:p>
    <w:p w14:paraId="17D326B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5.2 Inclusión y exclusión en la fe cristiana: panorama histórico</w:t>
      </w:r>
    </w:p>
    <w:p w14:paraId="1A8171E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5.3 Liturgia latinoamericana: ¿Incluyente o excluyente?</w:t>
      </w:r>
    </w:p>
    <w:p w14:paraId="72FB9DEE"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39E6ACB2"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Unidad 6: Renovación litúrgica, comunicación y animación</w:t>
      </w:r>
    </w:p>
    <w:p w14:paraId="617BFE9B"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p>
    <w:p w14:paraId="6CE36742"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6.1 Convergencia entre Liturgia, Pastoral y Teología</w:t>
      </w:r>
    </w:p>
    <w:p w14:paraId="6AFD3ED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6.2 Comunicación y liturgia (el calendario litúrgico)</w:t>
      </w:r>
    </w:p>
    <w:p w14:paraId="1060C5A7"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6.3 Animación litúrgica (el uso de las artes)</w:t>
      </w:r>
    </w:p>
    <w:p w14:paraId="6B8B61C5"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6.4 Recomendaciones y pautas</w:t>
      </w:r>
    </w:p>
    <w:p w14:paraId="5D32B50E" w14:textId="77777777" w:rsidR="00B3411D" w:rsidRPr="00B3411D" w:rsidRDefault="00B3411D" w:rsidP="00B3411D">
      <w:pPr>
        <w:keepNext/>
        <w:widowControl w:val="0"/>
        <w:overflowPunct w:val="0"/>
        <w:autoSpaceDE w:val="0"/>
        <w:autoSpaceDN w:val="0"/>
        <w:adjustRightInd w:val="0"/>
        <w:spacing w:before="120" w:after="0" w:line="240" w:lineRule="auto"/>
        <w:jc w:val="both"/>
        <w:outlineLvl w:val="1"/>
        <w:rPr>
          <w:rFonts w:ascii="Calibri" w:eastAsia="Times New Roman" w:hAnsi="Calibri" w:cs="Arial"/>
          <w:b/>
          <w:color w:val="000000"/>
          <w:spacing w:val="-2"/>
          <w:kern w:val="28"/>
          <w:lang w:val="es-ES_tradnl" w:eastAsia="es-CR"/>
          <w14:ligatures w14:val="none"/>
        </w:rPr>
      </w:pPr>
    </w:p>
    <w:p w14:paraId="7D58C8E7" w14:textId="77777777" w:rsidR="00B3411D" w:rsidRPr="00B3411D" w:rsidRDefault="00B3411D" w:rsidP="00B3411D">
      <w:pPr>
        <w:keepNext/>
        <w:widowControl w:val="0"/>
        <w:overflowPunct w:val="0"/>
        <w:autoSpaceDE w:val="0"/>
        <w:autoSpaceDN w:val="0"/>
        <w:adjustRightInd w:val="0"/>
        <w:spacing w:before="120" w:after="0" w:line="240" w:lineRule="auto"/>
        <w:jc w:val="both"/>
        <w:outlineLvl w:val="1"/>
        <w:rPr>
          <w:rFonts w:ascii="Calibri" w:eastAsia="Times New Roman" w:hAnsi="Calibri" w:cs="Arial"/>
          <w:b/>
          <w:color w:val="000000"/>
          <w:spacing w:val="-2"/>
          <w:kern w:val="28"/>
          <w:lang w:val="es-ES_tradnl" w:eastAsia="es-CR"/>
          <w14:ligatures w14:val="none"/>
        </w:rPr>
      </w:pPr>
      <w:r w:rsidRPr="00B3411D">
        <w:rPr>
          <w:rFonts w:ascii="Calibri" w:eastAsia="Times New Roman" w:hAnsi="Calibri" w:cs="Arial"/>
          <w:b/>
          <w:color w:val="000000"/>
          <w:spacing w:val="-2"/>
          <w:kern w:val="28"/>
          <w:lang w:val="es-ES_tradnl" w:eastAsia="es-CR"/>
          <w14:ligatures w14:val="none"/>
        </w:rPr>
        <w:t xml:space="preserve">V. Metodología </w:t>
      </w:r>
    </w:p>
    <w:p w14:paraId="5220388F"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B3411D">
        <w:rPr>
          <w:rFonts w:ascii="Calibri" w:eastAsia="Times New Roman" w:hAnsi="Calibri" w:cs="Calibri"/>
          <w:color w:val="000000"/>
          <w:kern w:val="0"/>
          <w:lang w:val="es-ES_tradnl"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r w:rsidRPr="00B3411D">
        <w:rPr>
          <w:rFonts w:ascii="Calibri" w:eastAsia="Times New Roman" w:hAnsi="Calibri" w:cs="Arial"/>
          <w:color w:val="000000"/>
          <w:kern w:val="0"/>
          <w:lang w:val="es-ES" w:eastAsia="es-CR"/>
          <w14:ligatures w14:val="none"/>
        </w:rPr>
        <w:t xml:space="preserve"> </w:t>
      </w:r>
    </w:p>
    <w:p w14:paraId="39269C7E"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B3411D">
        <w:rPr>
          <w:rFonts w:ascii="Calibri" w:eastAsia="Times New Roman" w:hAnsi="Calibri" w:cs="Arial"/>
          <w:color w:val="000000"/>
          <w:kern w:val="0"/>
          <w:lang w:val="es-ES" w:eastAsia="es-CR"/>
          <w14:ligatures w14:val="none"/>
        </w:rPr>
        <w:t xml:space="preserve">El curso es de carácter teórico-práctico. Se guiará por una metodología basada en la reflexión crítica sobre el acto litúrgico en las iglesias y comunidades de fe de América Latina y el Caribe y con reflexiones grupales y ejercicios prácticos en el aula virtual. Esta metodología requiere de la participación activa a través de la plataforma Moodle tanto de la persona docente como de los y las estudiantes. Se pondrán en práctica las capacidades críticas de los y las estudiantes ante los contenidos del curso mediante la participación individual, la participación a nivel grupal (en los foros temáticos virtuales), la investigación y la construcción de conocimiento tanto personal como colectivo. La participación de los y las estudiantes será sumamente importante en el compartir de sus experiencias litúrgicas previas y cómo el debate y la discusión virtual les mueve a transformarlas. </w:t>
      </w:r>
    </w:p>
    <w:p w14:paraId="194E5FBF"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B3411D">
        <w:rPr>
          <w:rFonts w:ascii="Calibri" w:eastAsia="Times New Roman" w:hAnsi="Calibri" w:cs="Arial"/>
          <w:color w:val="000000"/>
          <w:kern w:val="0"/>
          <w:lang w:val="es-ES" w:eastAsia="es-CR"/>
          <w14:ligatures w14:val="none"/>
        </w:rPr>
        <w:t xml:space="preserve">El profesor hará presentaciones magistrales en encuentros sincrónicos virtuales a través de la herramienta Big Blue Botton, con insumos sobre los principales contenidos del curso. </w:t>
      </w:r>
      <w:r w:rsidRPr="00B3411D">
        <w:rPr>
          <w:rFonts w:ascii="Calibri" w:eastAsia="Times New Roman" w:hAnsi="Calibri" w:cs="Calibri"/>
          <w:bCs/>
          <w:kern w:val="0"/>
          <w:lang w:val="es-ES_tradnl" w:eastAsia="es-CR"/>
          <w14:ligatures w14:val="none"/>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r w:rsidRPr="00B3411D">
        <w:rPr>
          <w:rFonts w:ascii="Times New Roman" w:eastAsia="Times New Roman" w:hAnsi="Times New Roman" w:cs="Calibri"/>
          <w:bCs/>
          <w:kern w:val="0"/>
          <w:lang w:val="es-ES_tradnl" w:eastAsia="es-CR"/>
          <w14:ligatures w14:val="none"/>
        </w:rPr>
        <w:t xml:space="preserve"> </w:t>
      </w:r>
      <w:r w:rsidRPr="00B3411D">
        <w:rPr>
          <w:rFonts w:ascii="Calibri" w:eastAsia="Times New Roman" w:hAnsi="Calibri" w:cs="Arial"/>
          <w:color w:val="000000"/>
          <w:kern w:val="0"/>
          <w:lang w:val="es-ES" w:eastAsia="es-CR"/>
          <w14:ligatures w14:val="none"/>
        </w:rPr>
        <w:t>Orientará los trabajos descritos en la sección de evaluación que buscan generar el diálogo, la reflexión y el debate crítico. Estos son un total de 9 tareas. El rol del docente es el de facilitador y orientador de los aprendizajes. El rol del estudiante es apropiarse de su propio proceso de aprendizaje y construir nuevos conocimientos mediante el curso.</w:t>
      </w:r>
    </w:p>
    <w:p w14:paraId="6EBBF149"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p>
    <w:p w14:paraId="3B2461A0"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r w:rsidRPr="00B3411D">
        <w:rPr>
          <w:rFonts w:ascii="Calibri" w:eastAsia="Times New Roman" w:hAnsi="Calibri" w:cs="Arial"/>
          <w:b/>
          <w:color w:val="000000"/>
          <w:spacing w:val="-2"/>
          <w:kern w:val="28"/>
          <w:lang w:val="es-ES" w:eastAsia="es-CR"/>
          <w14:ligatures w14:val="none"/>
        </w:rPr>
        <w:t>VI. Estrategias de aprendizaje</w:t>
      </w:r>
    </w:p>
    <w:p w14:paraId="7DC2045F" w14:textId="77777777" w:rsidR="00B3411D" w:rsidRPr="00B3411D" w:rsidRDefault="00B3411D" w:rsidP="4C9C261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Las experiencias de aprendizaje del presente curso buscan que las personas estudiantes analicen el proceso de renovación litúrgica con miras a que en las iglesias se geste este movimiento del Espíritu, mediante personas capacitadas para orientar y ayudar en este proceso de renovación.</w:t>
      </w:r>
    </w:p>
    <w:p w14:paraId="172EBB2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Se utilizarán las siguientes estrategias de aprendizaje:</w:t>
      </w:r>
    </w:p>
    <w:p w14:paraId="76CDBC53"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3411D">
        <w:rPr>
          <w:rFonts w:ascii="Calibri" w:eastAsia="Times New Roman" w:hAnsi="Calibri" w:cs="Calibri"/>
          <w:b/>
          <w:color w:val="000000"/>
          <w:kern w:val="0"/>
          <w:lang w:val="es-ES_tradnl" w:eastAsia="es-CR"/>
          <w14:ligatures w14:val="none"/>
        </w:rPr>
        <w:t xml:space="preserve">a) Foro: </w:t>
      </w:r>
      <w:r w:rsidRPr="00B3411D">
        <w:rPr>
          <w:rFonts w:ascii="Calibri" w:eastAsia="Calibri" w:hAnsi="Calibri" w:cs="Calibri"/>
          <w:bCs/>
          <w:kern w:val="0"/>
          <w14:ligatures w14:val="none"/>
        </w:rPr>
        <w:t>Con la finalidad de proveer experiencias de aprendizaje interactivo y colaborativo, los foros buscan la participación de los y las estudiantes con base en las lecturas asignadas para el debate y la discusión grupal.</w:t>
      </w:r>
      <w:r w:rsidRPr="00B3411D">
        <w:rPr>
          <w:rFonts w:ascii="Calibri" w:eastAsia="Times New Roman" w:hAnsi="Calibri" w:cs="Arial"/>
          <w:bCs/>
          <w:kern w:val="0"/>
          <w:lang w:val="es-ES_tradnl" w:eastAsia="es-CR"/>
          <w14:ligatures w14:val="none"/>
        </w:rPr>
        <w:t xml:space="preserve"> En este curso los foros se desarrollan en varias sesiones </w:t>
      </w:r>
      <w:r w:rsidRPr="00B3411D">
        <w:rPr>
          <w:rFonts w:ascii="Calibri" w:eastAsia="Calibri" w:hAnsi="Calibri" w:cs="Calibri"/>
          <w:bCs/>
          <w:kern w:val="0"/>
          <w:lang w:val="es-ES_tradnl"/>
          <w14:ligatures w14:val="none"/>
        </w:rPr>
        <w:t>y cubren temas de debate tales como: lo que se entiende por liturgia, el seguimiento a Jesús y la espiritualidad cristiana, diferentes formas litúrgicas, inclusión y exclusión en la fe cristiana, entre otras.</w:t>
      </w:r>
    </w:p>
    <w:p w14:paraId="4DBEA61A"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3411D">
        <w:rPr>
          <w:rFonts w:ascii="Calibri" w:eastAsia="Times New Roman" w:hAnsi="Calibri" w:cs="Calibri"/>
          <w:b/>
          <w:color w:val="000000"/>
          <w:kern w:val="0"/>
          <w:lang w:val="es-ES_tradnl" w:eastAsia="es-CR"/>
          <w14:ligatures w14:val="none"/>
        </w:rPr>
        <w:t xml:space="preserve">b) Wiki: </w:t>
      </w:r>
      <w:r w:rsidRPr="00B3411D">
        <w:rPr>
          <w:rFonts w:ascii="Calibri" w:eastAsia="Calibri" w:hAnsi="Calibri" w:cs="Times New Roman"/>
          <w:kern w:val="0"/>
          <w:lang w:val="es-MX"/>
          <w14:ligatures w14:val="none"/>
        </w:rPr>
        <w:t>Un wiki es una herramienta tecnológica colaborativa que permite la colección de información en página digital con aportes y ediciones de los y las estudiantes. Esta estrategia de aprendizaje se utilizará en la primera sesión con el fin de que las personas estudiantes construyan una reflexión previa sobre lo que se entiende por Liturgia.</w:t>
      </w:r>
    </w:p>
    <w:p w14:paraId="25F7074B"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3411D">
        <w:rPr>
          <w:rFonts w:ascii="Calibri" w:eastAsia="Times New Roman" w:hAnsi="Calibri" w:cs="Calibri"/>
          <w:b/>
          <w:kern w:val="0"/>
          <w:lang w:val="es-ES_tradnl" w:eastAsia="es-CR"/>
          <w14:ligatures w14:val="none"/>
        </w:rPr>
        <w:t xml:space="preserve">c) Encuentro sincrónico virtual: </w:t>
      </w:r>
      <w:r w:rsidRPr="00B3411D">
        <w:rPr>
          <w:rFonts w:ascii="Calibri" w:eastAsia="Calibri" w:hAnsi="Calibri" w:cs="Calibri"/>
          <w:bCs/>
          <w:kern w:val="0"/>
          <w14:ligatures w14:val="none"/>
        </w:rPr>
        <w:t>Los encuentros sincrónicos virtuales son espacios de encuentro remota en una plataforma virtual. En este curso t</w:t>
      </w:r>
      <w:r w:rsidRPr="00B3411D">
        <w:rPr>
          <w:rFonts w:ascii="Calibri" w:eastAsia="Calibri" w:hAnsi="Calibri" w:cs="Arial"/>
          <w:kern w:val="0"/>
          <w14:ligatures w14:val="none"/>
        </w:rPr>
        <w:t>ienen un carácter formativo y de encuentro con la persona docente, no sumativo en cuanto a la evaluación. Se grabarán las sesiones para que estén disponibles en el aula virtual. La persona docente desarrollará exposiciones temáticas y ejercicios grupales sobre tópicos tales como: la renovación litúrgica contextual, la liturgia como afirmación y liberación, la liturgia de las primeras comunidades cristianas, el desarrollo litúrgico en occidente, liturgia contexto y teología, entre otros temas claves del curso.</w:t>
      </w:r>
    </w:p>
    <w:p w14:paraId="10DF858A" w14:textId="77777777" w:rsidR="00B3411D" w:rsidRPr="00B3411D" w:rsidRDefault="00B3411D"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b/>
          <w:bCs/>
          <w:color w:val="000000"/>
          <w:kern w:val="0"/>
          <w:lang w:val="es-ES" w:eastAsia="es-CR"/>
          <w14:ligatures w14:val="none"/>
        </w:rPr>
        <w:t xml:space="preserve">d) Diseño de un orden de culto: </w:t>
      </w:r>
      <w:r w:rsidRPr="4C9C2619">
        <w:rPr>
          <w:rFonts w:ascii="Calibri" w:eastAsia="Times New Roman" w:hAnsi="Calibri" w:cs="Calibri"/>
          <w:color w:val="000000"/>
          <w:kern w:val="0"/>
          <w:lang w:val="es-ES" w:eastAsia="es-CR"/>
          <w14:ligatures w14:val="none"/>
        </w:rPr>
        <w:t xml:space="preserve">Un diseño de un orden de culto implica elaborar una estructura litúrgica para una comunidad de fe o iglesia, en la cual se colocan elementos acordes con cada momento litúrgico y la temática. </w:t>
      </w:r>
      <w:r w:rsidRPr="4C9C2619">
        <w:rPr>
          <w:rFonts w:ascii="Calibri" w:eastAsia="Times New Roman" w:hAnsi="Calibri" w:cs="Calibri"/>
          <w:kern w:val="0"/>
          <w:lang w:val="es-ES" w:eastAsia="es-CR"/>
          <w14:ligatures w14:val="none"/>
        </w:rPr>
        <w:t>Durante una sesión se diseñará un orden de culto para su comunidad de fe u OBF, con el fin de aplicar el modelo de culto del proceso del exilio y recuperación de la fe visto en el curso.</w:t>
      </w:r>
    </w:p>
    <w:p w14:paraId="6A12C8EF"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Calibri" w:hAnsi="Calibri" w:cs="Times New Roman"/>
          <w:kern w:val="0"/>
          <w:lang w:val="es-MX"/>
          <w14:ligatures w14:val="none"/>
        </w:rPr>
      </w:pPr>
      <w:r w:rsidRPr="00B3411D">
        <w:rPr>
          <w:rFonts w:ascii="Calibri" w:eastAsia="Times New Roman" w:hAnsi="Calibri" w:cs="Calibri"/>
          <w:b/>
          <w:bCs/>
          <w:color w:val="000000"/>
          <w:kern w:val="0"/>
          <w:lang w:val="es-ES_tradnl" w:eastAsia="es-CR"/>
          <w14:ligatures w14:val="none"/>
        </w:rPr>
        <w:t xml:space="preserve">e) </w:t>
      </w:r>
      <w:r w:rsidRPr="00B3411D">
        <w:rPr>
          <w:rFonts w:ascii="Calibri" w:eastAsia="Times New Roman" w:hAnsi="Calibri" w:cs="Calibri"/>
          <w:b/>
          <w:bCs/>
          <w:color w:val="000000"/>
          <w:kern w:val="0"/>
          <w:lang w:eastAsia="es-CR"/>
          <w14:ligatures w14:val="none"/>
        </w:rPr>
        <w:t xml:space="preserve">Ensayo: </w:t>
      </w:r>
      <w:r w:rsidRPr="00B3411D">
        <w:rPr>
          <w:rFonts w:ascii="Calibri" w:eastAsia="Calibri" w:hAnsi="Calibri" w:cs="Times New Roman"/>
          <w:kern w:val="0"/>
          <w:lang w:val="es-MX"/>
          <w14:ligatures w14:val="none"/>
        </w:rPr>
        <w:t>El ensayo es un ejercicio académico, argumentativo y fundamentado que se realiza para el tratamiento de un tema o tópico. Contiene una introducción, un desarrollo y una conclusión, así como las respectivas referencias bibliográficas (bajo el sistema Chicago-Deusto que usa la UBL). Durante una sesión se aborda el tema de la praxis pastoral de Jesús y, con el objetivo de profundizar, se elaborará un ensayo libre que tome en cuenta aspectos como: la actitud inclusiva y de gracia de Jesús con grupos específicos, la praxis transformadora de Jesús, la inclusión y la gracia como modelos de relación en la espiritualidad cristiana.</w:t>
      </w:r>
    </w:p>
    <w:p w14:paraId="6DB375CD"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B3411D">
        <w:rPr>
          <w:rFonts w:ascii="Calibri" w:eastAsia="Times New Roman" w:hAnsi="Calibri" w:cs="Calibri"/>
          <w:b/>
          <w:bCs/>
          <w:color w:val="000000"/>
          <w:kern w:val="0"/>
          <w:lang w:eastAsia="es-CR"/>
          <w14:ligatures w14:val="none"/>
        </w:rPr>
        <w:t xml:space="preserve">f) Glosario: </w:t>
      </w:r>
      <w:r w:rsidRPr="00B3411D">
        <w:rPr>
          <w:rFonts w:ascii="Calibri" w:eastAsia="Calibri" w:hAnsi="Calibri" w:cs="Times New Roman"/>
          <w:kern w:val="0"/>
          <w:lang w:val="es-MX"/>
          <w14:ligatures w14:val="none"/>
        </w:rPr>
        <w:t>Esta herramienta virtual permite la colección de conceptos de una disciplina o tema, la búsqueda de significados y la apropiación de estos por parte de la persona estudiante. En este curso se elaborará un glosario con el fin de internalizar conceptos sobre las formas litúrgicas en occidente, según los aportes de la lectura asignada.</w:t>
      </w:r>
    </w:p>
    <w:p w14:paraId="18BB38C7"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3411D">
        <w:rPr>
          <w:rFonts w:ascii="Calibri" w:eastAsia="Times New Roman" w:hAnsi="Calibri" w:cs="Calibri"/>
          <w:b/>
          <w:color w:val="000000"/>
          <w:kern w:val="0"/>
          <w:lang w:eastAsia="es-CR"/>
          <w14:ligatures w14:val="none"/>
        </w:rPr>
        <w:t>g) Resumen:</w:t>
      </w:r>
      <w:r w:rsidRPr="00B3411D">
        <w:rPr>
          <w:rFonts w:ascii="Calibri" w:eastAsia="Times New Roman" w:hAnsi="Calibri" w:cs="Calibri"/>
          <w:color w:val="000000"/>
          <w:kern w:val="0"/>
          <w:lang w:eastAsia="es-CR"/>
          <w14:ligatures w14:val="none"/>
        </w:rPr>
        <w:t xml:space="preserve"> El resumen es una exposición abreviada, concisa y fiel sobre los puntos más importantes de un texto o documento. Este debe ser objetivo, claro y coherente. Su propósito fundamental es facilitar la comprensión de un texto. Se elaborará</w:t>
      </w:r>
      <w:r w:rsidRPr="00B3411D">
        <w:rPr>
          <w:rFonts w:ascii="Calibri" w:eastAsia="Times New Roman" w:hAnsi="Calibri" w:cs="Calibri"/>
          <w:kern w:val="0"/>
          <w:lang w:eastAsia="es-CR"/>
          <w14:ligatures w14:val="none"/>
        </w:rPr>
        <w:t xml:space="preserve"> un resumen sobre la lectura de una sesión que muestre el desarrollo litúrgico de occidente, desde el primer siglo hasta nuestros días.</w:t>
      </w:r>
    </w:p>
    <w:p w14:paraId="617DF525"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kern w:val="0"/>
          <w:lang w:eastAsia="es-CR"/>
          <w14:ligatures w14:val="none"/>
        </w:rPr>
      </w:pPr>
      <w:r w:rsidRPr="00B3411D">
        <w:rPr>
          <w:rFonts w:ascii="Calibri" w:eastAsia="Times New Roman" w:hAnsi="Calibri" w:cs="Calibri"/>
          <w:b/>
          <w:bCs/>
          <w:color w:val="000000"/>
          <w:kern w:val="0"/>
          <w:lang w:eastAsia="es-CR"/>
          <w14:ligatures w14:val="none"/>
        </w:rPr>
        <w:lastRenderedPageBreak/>
        <w:t xml:space="preserve">h) Informe de observación: </w:t>
      </w:r>
      <w:r w:rsidRPr="00B3411D">
        <w:rPr>
          <w:rFonts w:ascii="Calibri" w:eastAsia="Times New Roman" w:hAnsi="Calibri" w:cs="Calibri"/>
          <w:color w:val="000000"/>
          <w:kern w:val="0"/>
          <w:lang w:eastAsia="es-CR"/>
          <w14:ligatures w14:val="none"/>
        </w:rPr>
        <w:t>Un informe de observación es un trabajo escrito que se realiza a partir de la observación, en este caso de formas litúrgicas y de una liturgia dominical, en el cual se registra de forma sistemática lo observado con el fin de documentarlo y analiza</w:t>
      </w:r>
      <w:r w:rsidRPr="00B3411D">
        <w:rPr>
          <w:rFonts w:ascii="Calibri" w:eastAsia="Times New Roman" w:hAnsi="Calibri" w:cs="Calibri"/>
          <w:kern w:val="0"/>
          <w:lang w:eastAsia="es-CR"/>
          <w14:ligatures w14:val="none"/>
        </w:rPr>
        <w:t xml:space="preserve">rlo. Durante una sesión emplearemos esta estrategia, a partir de una guía detallada, para elaborar un informe de observación de un culto en una iglesia pentecostal, </w:t>
      </w:r>
      <w:proofErr w:type="spellStart"/>
      <w:r w:rsidRPr="00B3411D">
        <w:rPr>
          <w:rFonts w:ascii="Calibri" w:eastAsia="Times New Roman" w:hAnsi="Calibri" w:cs="Calibri"/>
          <w:kern w:val="0"/>
          <w:lang w:eastAsia="es-CR"/>
          <w14:ligatures w14:val="none"/>
        </w:rPr>
        <w:t>neopentecostal</w:t>
      </w:r>
      <w:proofErr w:type="spellEnd"/>
      <w:r w:rsidRPr="00B3411D">
        <w:rPr>
          <w:rFonts w:ascii="Calibri" w:eastAsia="Times New Roman" w:hAnsi="Calibri" w:cs="Calibri"/>
          <w:kern w:val="0"/>
          <w:lang w:eastAsia="es-CR"/>
          <w14:ligatures w14:val="none"/>
        </w:rPr>
        <w:t xml:space="preserve"> o católica carismática.</w:t>
      </w:r>
    </w:p>
    <w:p w14:paraId="383277E4"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B3411D">
        <w:rPr>
          <w:rFonts w:ascii="Calibri" w:eastAsia="Times New Roman" w:hAnsi="Calibri" w:cs="Calibri"/>
          <w:b/>
          <w:bCs/>
          <w:color w:val="000000"/>
          <w:kern w:val="0"/>
          <w:lang w:eastAsia="es-CR"/>
          <w14:ligatures w14:val="none"/>
        </w:rPr>
        <w:t xml:space="preserve">i) Asesoría litúrgica: </w:t>
      </w:r>
      <w:r w:rsidRPr="00B3411D">
        <w:rPr>
          <w:rFonts w:ascii="Calibri" w:eastAsia="Times New Roman" w:hAnsi="Calibri" w:cs="Calibri"/>
          <w:color w:val="000000"/>
          <w:kern w:val="0"/>
          <w:lang w:eastAsia="es-CR"/>
          <w14:ligatures w14:val="none"/>
        </w:rPr>
        <w:t xml:space="preserve">Una asesoría litúrgica es un trabajo contextual que aborda un problema específico en una comunidad de fe, de orden litúrgico, para el cual se elaboran estrategias de respuesta a la luz de los propios conocimientos, la investigación y la experiencia. </w:t>
      </w:r>
      <w:r w:rsidRPr="00B3411D">
        <w:rPr>
          <w:rFonts w:ascii="Calibri" w:eastAsia="Times New Roman" w:hAnsi="Calibri" w:cs="Calibri"/>
          <w:kern w:val="0"/>
          <w:lang w:eastAsia="es-CR"/>
          <w14:ligatures w14:val="none"/>
        </w:rPr>
        <w:t>En este curso se realiza una asesoría litúrgica, con base en una guía para ello, como trabajo final del curso.</w:t>
      </w:r>
    </w:p>
    <w:p w14:paraId="032E2B71" w14:textId="77777777" w:rsidR="00B3411D" w:rsidRPr="00B3411D" w:rsidRDefault="00B3411D" w:rsidP="00B3411D">
      <w:pPr>
        <w:spacing w:after="0" w:line="240" w:lineRule="auto"/>
        <w:jc w:val="both"/>
        <w:rPr>
          <w:rFonts w:ascii="Calibri" w:eastAsia="Times New Roman" w:hAnsi="Calibri" w:cs="Calibri"/>
          <w:color w:val="000000"/>
          <w:kern w:val="0"/>
          <w:lang w:eastAsia="es-CR"/>
          <w14:ligatures w14:val="none"/>
        </w:rPr>
      </w:pPr>
    </w:p>
    <w:p w14:paraId="1D4537B7" w14:textId="77777777" w:rsidR="00B3411D" w:rsidRPr="00B3411D" w:rsidRDefault="00B3411D" w:rsidP="00B3411D">
      <w:pPr>
        <w:spacing w:after="0" w:line="240" w:lineRule="auto"/>
        <w:jc w:val="both"/>
        <w:rPr>
          <w:rFonts w:ascii="Calibri" w:eastAsia="Times New Roman" w:hAnsi="Calibri" w:cs="Calibri"/>
          <w:b/>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r w:rsidRPr="00B3411D">
        <w:rPr>
          <w:rFonts w:ascii="Calibri" w:eastAsia="Times New Roman" w:hAnsi="Calibri" w:cs="Calibri"/>
          <w:b/>
          <w:bCs/>
          <w:color w:val="000000"/>
          <w:kern w:val="0"/>
          <w:lang w:eastAsia="es-CR"/>
          <w14:ligatures w14:val="none"/>
        </w:rPr>
        <w:t xml:space="preserve"> </w:t>
      </w:r>
    </w:p>
    <w:p w14:paraId="03771AAA" w14:textId="77777777" w:rsidR="00B3411D" w:rsidRPr="00B3411D" w:rsidRDefault="00B3411D" w:rsidP="00B3411D">
      <w:pPr>
        <w:spacing w:after="0" w:line="240" w:lineRule="auto"/>
        <w:jc w:val="both"/>
        <w:rPr>
          <w:rFonts w:ascii="Calibri" w:eastAsia="Times New Roman" w:hAnsi="Calibri" w:cs="Calibri"/>
          <w:color w:val="000000"/>
          <w:kern w:val="0"/>
          <w:lang w:val="es-ES_tradnl" w:eastAsia="es-CR"/>
          <w14:ligatures w14:val="none"/>
        </w:rPr>
      </w:pPr>
    </w:p>
    <w:p w14:paraId="0B469233"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 xml:space="preserve">VII. Recursos didácticos </w:t>
      </w:r>
    </w:p>
    <w:p w14:paraId="2D6368F9"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59BEE602"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0B8AB47F"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33B107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6BF3F5D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92ABA3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473738C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C8A3835"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4D9B242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3C65F9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glosario, un wiki y mediante la herramienta Big Blue </w:t>
      </w:r>
      <w:proofErr w:type="spellStart"/>
      <w:r w:rsidRPr="00B3411D">
        <w:rPr>
          <w:rFonts w:ascii="Calibri" w:eastAsia="Times New Roman" w:hAnsi="Calibri" w:cs="Calibri"/>
          <w:color w:val="000000"/>
          <w:kern w:val="0"/>
          <w:lang w:val="es-ES" w:eastAsia="es-ES"/>
          <w14:ligatures w14:val="none"/>
        </w:rPr>
        <w:t>Button</w:t>
      </w:r>
      <w:proofErr w:type="spellEnd"/>
      <w:r w:rsidRPr="00B3411D">
        <w:rPr>
          <w:rFonts w:ascii="Calibri" w:eastAsia="Times New Roman" w:hAnsi="Calibri" w:cs="Calibri"/>
          <w:color w:val="000000"/>
          <w:kern w:val="0"/>
          <w:lang w:val="es-ES" w:eastAsia="es-ES"/>
          <w14:ligatures w14:val="none"/>
        </w:rPr>
        <w:t xml:space="preserve"> en la plataforma Moodle; así como de guías para elaborar un ensayo, una asesoría litúrgica, un informe de observación participante y un informe de observación de formas litúrgicas que se encuentran en la sección de actividades de la sesión correspondiente.</w:t>
      </w:r>
    </w:p>
    <w:p w14:paraId="7C4D9D2F"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8940DE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B3411D">
        <w:rPr>
          <w:rFonts w:ascii="Calibri" w:eastAsia="Times New Roman" w:hAnsi="Calibri" w:cs="Calibri"/>
          <w:color w:val="000000"/>
          <w:kern w:val="0"/>
          <w:lang w:val="es-ES" w:eastAsia="es-ES"/>
          <w14:ligatures w14:val="none"/>
        </w:rPr>
        <w:t>Strachan</w:t>
      </w:r>
      <w:proofErr w:type="spellEnd"/>
      <w:r w:rsidRPr="00B3411D">
        <w:rPr>
          <w:rFonts w:ascii="Calibri" w:eastAsia="Times New Roman" w:hAnsi="Calibri" w:cs="Calibri"/>
          <w:color w:val="000000"/>
          <w:kern w:val="0"/>
          <w:lang w:val="es-ES" w:eastAsia="es-ES"/>
          <w14:ligatures w14:val="none"/>
        </w:rPr>
        <w:t xml:space="preserve"> (</w:t>
      </w:r>
      <w:hyperlink r:id="rId404" w:history="1">
        <w:r w:rsidRPr="00B3411D">
          <w:rPr>
            <w:rFonts w:ascii="Calibri" w:eastAsia="Times New Roman" w:hAnsi="Calibri" w:cs="Calibri"/>
            <w:color w:val="0563C1"/>
            <w:kern w:val="0"/>
            <w:u w:val="single"/>
            <w:lang w:val="es-ES" w:eastAsia="es-ES"/>
            <w14:ligatures w14:val="none"/>
          </w:rPr>
          <w:t>https://www.ubl.ac.cr/biblioteca</w:t>
        </w:r>
      </w:hyperlink>
      <w:r w:rsidRPr="00B3411D">
        <w:rPr>
          <w:rFonts w:ascii="Calibri" w:eastAsia="Times New Roman" w:hAnsi="Calibri" w:cs="Calibri"/>
          <w:color w:val="000000"/>
          <w:kern w:val="0"/>
          <w:lang w:val="es-ES" w:eastAsia="es-ES"/>
          <w14:ligatures w14:val="none"/>
        </w:rPr>
        <w:t>), así como consultar el Portal de Revistas de la UBL (</w:t>
      </w:r>
      <w:hyperlink r:id="rId405" w:history="1">
        <w:r w:rsidRPr="00B3411D">
          <w:rPr>
            <w:rFonts w:ascii="Calibri" w:eastAsia="Times New Roman" w:hAnsi="Calibri" w:cs="Calibri"/>
            <w:color w:val="0563C1"/>
            <w:kern w:val="0"/>
            <w:u w:val="single"/>
            <w:lang w:val="es-ES" w:eastAsia="es-ES"/>
            <w14:ligatures w14:val="none"/>
          </w:rPr>
          <w:t>http://revistas.ubl.ac.cr/</w:t>
        </w:r>
      </w:hyperlink>
      <w:r w:rsidRPr="00B3411D">
        <w:rPr>
          <w:rFonts w:ascii="Calibri" w:eastAsia="Times New Roman" w:hAnsi="Calibri" w:cs="Calibri"/>
          <w:color w:val="000000"/>
          <w:kern w:val="0"/>
          <w:lang w:val="es-ES" w:eastAsia="es-ES"/>
          <w14:ligatures w14:val="none"/>
        </w:rPr>
        <w:t>). A través del correo de la biblioteca (</w:t>
      </w:r>
      <w:hyperlink r:id="rId406" w:history="1">
        <w:r w:rsidRPr="00B3411D">
          <w:rPr>
            <w:rFonts w:ascii="Calibri" w:eastAsia="Times New Roman" w:hAnsi="Calibri" w:cs="Calibri"/>
            <w:color w:val="0563C1"/>
            <w:kern w:val="0"/>
            <w:u w:val="single"/>
            <w:lang w:val="es-ES" w:eastAsia="es-ES"/>
            <w14:ligatures w14:val="none"/>
          </w:rPr>
          <w:t>biblioteca@ubl.ac.cr</w:t>
        </w:r>
      </w:hyperlink>
      <w:r w:rsidRPr="00B3411D">
        <w:rPr>
          <w:rFonts w:ascii="Calibri" w:eastAsia="Times New Roman" w:hAnsi="Calibri" w:cs="Calibri"/>
          <w:color w:val="000000"/>
          <w:kern w:val="0"/>
          <w:lang w:val="es-ES" w:eastAsia="es-ES"/>
          <w14:ligatures w14:val="none"/>
        </w:rPr>
        <w:t xml:space="preserve">) puede solicitar recursos que se encuentren en la colección física. </w:t>
      </w:r>
    </w:p>
    <w:p w14:paraId="72E6649B"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BAE7AA9" w14:textId="6884EC35"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3411D">
        <w:rPr>
          <w:rFonts w:ascii="Calibri" w:eastAsia="Times New Roman" w:hAnsi="Calibri" w:cs="Calibri"/>
          <w:color w:val="000000"/>
          <w:kern w:val="0"/>
          <w:lang w:val="es-ES" w:eastAsia="es-ES"/>
          <w14:ligatures w14:val="none"/>
        </w:rPr>
        <w:t xml:space="preserve">f) </w:t>
      </w:r>
      <w:r w:rsidRPr="00B3411D">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B3411D">
        <w:rPr>
          <w:rFonts w:ascii="Calibri" w:eastAsia="Times New Roman" w:hAnsi="Calibri" w:cs="Calibri"/>
          <w:bCs/>
          <w:kern w:val="0"/>
          <w:lang w:val="es-ES_tradnl" w:eastAsia="es-CR"/>
          <w14:ligatures w14:val="none"/>
        </w:rPr>
        <w:t xml:space="preserve">. Dicho espacio </w:t>
      </w:r>
      <w:r w:rsidRPr="00B3411D">
        <w:rPr>
          <w:rFonts w:ascii="Calibri" w:eastAsia="Times New Roman" w:hAnsi="Calibri" w:cs="Calibri"/>
          <w:bCs/>
          <w:kern w:val="0"/>
          <w:lang w:val="es-ES_tradnl" w:eastAsia="es-CR"/>
          <w14:ligatures w14:val="none"/>
        </w:rPr>
        <w:lastRenderedPageBreak/>
        <w:t xml:space="preserve">está disponible para todas las personas registradas en el campus virtual y se puede acceder a través del siguiente enlace: </w:t>
      </w:r>
      <w:hyperlink r:id="rId407" w:history="1">
        <w:r w:rsidRPr="00B3411D">
          <w:rPr>
            <w:rFonts w:ascii="Calibri" w:eastAsia="Times New Roman" w:hAnsi="Calibri" w:cs="Calibri"/>
            <w:bCs/>
            <w:color w:val="0563C1"/>
            <w:kern w:val="0"/>
            <w:u w:val="single"/>
            <w:lang w:val="es-ES_tradnl" w:eastAsia="es-CR"/>
            <w14:ligatures w14:val="none"/>
          </w:rPr>
          <w:t>https://campus.ubl.ac.cr/course/index.php?categoryid=186</w:t>
        </w:r>
      </w:hyperlink>
    </w:p>
    <w:p w14:paraId="3FA44BAF"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CF84B7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r w:rsidRPr="00B3411D">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7C732A3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9270C4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A0E84D1" w14:textId="77777777" w:rsid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2F3BC1C5" w14:textId="77777777" w:rsid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72567DBD" w14:textId="77777777" w:rsid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7F377779" w14:textId="77777777" w:rsid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2ECBE9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A09FFE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2CABCAD7"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5591663B"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460BD441"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4EDA8DE4"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1823A39"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C0060BD"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58C302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4E209EB0"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5474A13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959048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070EC70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5CF6C657"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0223CD2D"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282FB75"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5F5959D"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9799E46"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9B9AF0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37CAA50"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09E81D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4BE74F6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03DEBEED"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34F31A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030F6A3"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5172A7AD"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697773B"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BC5F509"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24565BF9"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2013231F"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19371090"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708335E8"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74B7FE10"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519AA485"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34A67422"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70C212D1"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6058CD4A"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Calibri" w:hAnsi="Calibri" w:cs="Calibri"/>
          <w:bCs/>
          <w:color w:val="000000"/>
          <w:kern w:val="0"/>
          <w14:ligatures w14:val="none"/>
        </w:rPr>
      </w:pPr>
    </w:p>
    <w:p w14:paraId="49C88957"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r w:rsidRPr="00B3411D">
        <w:rPr>
          <w:rFonts w:ascii="Calibri" w:eastAsia="Times New Roman" w:hAnsi="Calibri" w:cs="Arial"/>
          <w:b/>
          <w:color w:val="000000"/>
          <w:spacing w:val="-2"/>
          <w:kern w:val="28"/>
          <w:lang w:val="es-ES" w:eastAsia="es-CR"/>
          <w14:ligatures w14:val="none"/>
        </w:rPr>
        <w:lastRenderedPageBreak/>
        <w:t>VIII. Cronograma de trabajo</w:t>
      </w:r>
    </w:p>
    <w:p w14:paraId="2D49B94E"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1"/>
        <w:gridCol w:w="2410"/>
        <w:gridCol w:w="2835"/>
        <w:gridCol w:w="3118"/>
      </w:tblGrid>
      <w:tr w:rsidR="00B3411D" w:rsidRPr="00B3411D" w14:paraId="06DA0A2A" w14:textId="77777777" w:rsidTr="4C9C2619">
        <w:trPr>
          <w:trHeight w:val="463"/>
          <w:jc w:val="center"/>
        </w:trPr>
        <w:tc>
          <w:tcPr>
            <w:tcW w:w="1271" w:type="dxa"/>
            <w:vMerge w:val="restart"/>
            <w:vAlign w:val="center"/>
          </w:tcPr>
          <w:p w14:paraId="0056B1FE"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B3411D">
              <w:rPr>
                <w:rFonts w:ascii="Calibri" w:eastAsia="Times New Roman" w:hAnsi="Calibri" w:cs="Arial"/>
                <w:b/>
                <w:color w:val="000000"/>
                <w:kern w:val="0"/>
                <w:sz w:val="24"/>
                <w:szCs w:val="24"/>
                <w:lang w:val="es-ES_tradnl" w:eastAsia="es-CR"/>
                <w14:ligatures w14:val="none"/>
              </w:rPr>
              <w:t>Sesión (semana)</w:t>
            </w:r>
          </w:p>
        </w:tc>
        <w:tc>
          <w:tcPr>
            <w:tcW w:w="2410" w:type="dxa"/>
            <w:vMerge w:val="restart"/>
            <w:vAlign w:val="center"/>
          </w:tcPr>
          <w:p w14:paraId="18F709C9"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B3411D">
              <w:rPr>
                <w:rFonts w:ascii="Calibri" w:eastAsia="Times New Roman" w:hAnsi="Calibri" w:cs="Arial"/>
                <w:b/>
                <w:kern w:val="0"/>
                <w:sz w:val="24"/>
                <w:szCs w:val="24"/>
                <w:lang w:val="es-ES_tradnl" w:eastAsia="es-CR"/>
                <w14:ligatures w14:val="none"/>
              </w:rPr>
              <w:t>Contenidos temáticos</w:t>
            </w:r>
          </w:p>
        </w:tc>
        <w:tc>
          <w:tcPr>
            <w:tcW w:w="5953" w:type="dxa"/>
            <w:gridSpan w:val="2"/>
            <w:vAlign w:val="center"/>
          </w:tcPr>
          <w:p w14:paraId="583F1373"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B3411D">
              <w:rPr>
                <w:rFonts w:ascii="Calibri" w:eastAsia="Times New Roman" w:hAnsi="Calibri" w:cs="Arial"/>
                <w:b/>
                <w:color w:val="000000"/>
                <w:kern w:val="0"/>
                <w:sz w:val="24"/>
                <w:szCs w:val="24"/>
                <w:lang w:val="es-ES_tradnl" w:eastAsia="es-CR"/>
                <w14:ligatures w14:val="none"/>
              </w:rPr>
              <w:t>Actividades de enseñanza-aprendizaje</w:t>
            </w:r>
          </w:p>
        </w:tc>
      </w:tr>
      <w:tr w:rsidR="00B3411D" w:rsidRPr="00B3411D" w14:paraId="2A35385A" w14:textId="77777777" w:rsidTr="4C9C2619">
        <w:trPr>
          <w:trHeight w:val="467"/>
          <w:jc w:val="center"/>
        </w:trPr>
        <w:tc>
          <w:tcPr>
            <w:tcW w:w="1271" w:type="dxa"/>
            <w:vMerge/>
          </w:tcPr>
          <w:p w14:paraId="75C49BB6" w14:textId="77777777" w:rsidR="00B3411D" w:rsidRPr="00B3411D" w:rsidRDefault="00B3411D" w:rsidP="00B3411D">
            <w:pPr>
              <w:widowControl w:val="0"/>
              <w:overflowPunct w:val="0"/>
              <w:autoSpaceDE w:val="0"/>
              <w:autoSpaceDN w:val="0"/>
              <w:adjustRightInd w:val="0"/>
              <w:spacing w:after="0" w:line="240" w:lineRule="auto"/>
              <w:ind w:right="-249"/>
              <w:jc w:val="center"/>
              <w:rPr>
                <w:rFonts w:ascii="Calibri" w:eastAsia="Times New Roman" w:hAnsi="Calibri" w:cs="Arial"/>
                <w:b/>
                <w:color w:val="000000"/>
                <w:kern w:val="0"/>
                <w:lang w:val="es-ES_tradnl" w:eastAsia="es-CR"/>
                <w14:ligatures w14:val="none"/>
              </w:rPr>
            </w:pPr>
          </w:p>
        </w:tc>
        <w:tc>
          <w:tcPr>
            <w:tcW w:w="2410" w:type="dxa"/>
            <w:vMerge/>
            <w:vAlign w:val="center"/>
          </w:tcPr>
          <w:p w14:paraId="129686A3"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kern w:val="0"/>
                <w:lang w:val="es-ES_tradnl" w:eastAsia="es-CR"/>
                <w14:ligatures w14:val="none"/>
              </w:rPr>
            </w:pPr>
          </w:p>
        </w:tc>
        <w:tc>
          <w:tcPr>
            <w:tcW w:w="2835" w:type="dxa"/>
            <w:vAlign w:val="center"/>
          </w:tcPr>
          <w:p w14:paraId="33B7D5E3"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B3411D">
              <w:rPr>
                <w:rFonts w:ascii="Calibri" w:eastAsia="Times New Roman" w:hAnsi="Calibri" w:cs="Arial"/>
                <w:b/>
                <w:color w:val="000000"/>
                <w:kern w:val="0"/>
                <w:sz w:val="24"/>
                <w:szCs w:val="24"/>
                <w:lang w:val="es-ES_tradnl" w:eastAsia="es-CR"/>
                <w14:ligatures w14:val="none"/>
              </w:rPr>
              <w:t>Recursos didácticos</w:t>
            </w:r>
          </w:p>
        </w:tc>
        <w:tc>
          <w:tcPr>
            <w:tcW w:w="3118" w:type="dxa"/>
            <w:vAlign w:val="center"/>
          </w:tcPr>
          <w:p w14:paraId="2E95218F"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color w:val="000000"/>
                <w:kern w:val="0"/>
                <w:sz w:val="24"/>
                <w:szCs w:val="24"/>
                <w:lang w:val="es-ES_tradnl" w:eastAsia="es-CR"/>
                <w14:ligatures w14:val="none"/>
              </w:rPr>
            </w:pPr>
            <w:r w:rsidRPr="00B3411D">
              <w:rPr>
                <w:rFonts w:ascii="Calibri" w:eastAsia="Times New Roman" w:hAnsi="Calibri" w:cs="Arial"/>
                <w:b/>
                <w:color w:val="000000"/>
                <w:kern w:val="0"/>
                <w:sz w:val="24"/>
                <w:szCs w:val="24"/>
                <w:lang w:val="es-ES_tradnl" w:eastAsia="es-CR"/>
                <w14:ligatures w14:val="none"/>
              </w:rPr>
              <w:t>Actividades de aprendizaje</w:t>
            </w:r>
          </w:p>
        </w:tc>
      </w:tr>
      <w:tr w:rsidR="00B3411D" w:rsidRPr="00B3411D" w14:paraId="008C6E01" w14:textId="77777777" w:rsidTr="4C9C2619">
        <w:trPr>
          <w:jc w:val="center"/>
        </w:trPr>
        <w:tc>
          <w:tcPr>
            <w:tcW w:w="1271" w:type="dxa"/>
          </w:tcPr>
          <w:p w14:paraId="56BFA08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w:t>
            </w:r>
          </w:p>
        </w:tc>
        <w:tc>
          <w:tcPr>
            <w:tcW w:w="2410" w:type="dxa"/>
          </w:tcPr>
          <w:p w14:paraId="107E07A1"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1: Renovación litúrgica contextual</w:t>
            </w:r>
          </w:p>
          <w:p w14:paraId="4DF761E3"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Cs/>
                <w:kern w:val="0"/>
                <w:lang w:val="es-ES_tradnl" w:eastAsia="es-CR"/>
                <w14:ligatures w14:val="none"/>
              </w:rPr>
              <w:t>1.1 Desarrollo histórico-etimológico del término Liturgia</w:t>
            </w:r>
          </w:p>
          <w:p w14:paraId="2673165C"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sz w:val="10"/>
                <w:lang w:val="es-ES_tradnl" w:eastAsia="es-CR"/>
                <w14:ligatures w14:val="none"/>
              </w:rPr>
            </w:pPr>
          </w:p>
          <w:p w14:paraId="282D998C"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1.2 Renovación litúrgica en contextos originarios latinoamericanos y caribeños</w:t>
            </w:r>
          </w:p>
        </w:tc>
        <w:tc>
          <w:tcPr>
            <w:tcW w:w="2835" w:type="dxa"/>
          </w:tcPr>
          <w:p w14:paraId="78684654" w14:textId="77777777" w:rsidR="00B3411D" w:rsidRPr="00B3411D" w:rsidRDefault="00B3411D" w:rsidP="00B3411D">
            <w:pPr>
              <w:widowControl w:val="0"/>
              <w:overflowPunct w:val="0"/>
              <w:autoSpaceDE w:val="0"/>
              <w:autoSpaceDN w:val="0"/>
              <w:adjustRightInd w:val="0"/>
              <w:spacing w:before="120"/>
              <w:rPr>
                <w:rFonts w:ascii="Calibri" w:eastAsia="MS Mincho" w:hAnsi="Calibri" w:cs="Calibri"/>
                <w:color w:val="0070C0"/>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535F06BD"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Borobio, Dionisio. “¿Qué es celebración litúrgica?”. En </w:t>
            </w:r>
            <w:r w:rsidRPr="00B3411D">
              <w:rPr>
                <w:rFonts w:ascii="Calibri" w:eastAsia="MS Mincho" w:hAnsi="Calibri" w:cs="Calibri"/>
                <w:i/>
                <w:kern w:val="0"/>
                <w:lang w:val="es-ES_tradnl" w:eastAsia="es-CR"/>
                <w14:ligatures w14:val="none"/>
              </w:rPr>
              <w:t xml:space="preserve">Celebrar para vivir: liturgia y sacramentos de la Iglesia, </w:t>
            </w:r>
            <w:r w:rsidRPr="00B3411D">
              <w:rPr>
                <w:rFonts w:ascii="Calibri" w:eastAsia="MS Mincho" w:hAnsi="Calibri" w:cs="Calibri"/>
                <w:kern w:val="0"/>
                <w:lang w:val="es-ES_tradnl" w:eastAsia="es-CR"/>
                <w14:ligatures w14:val="none"/>
              </w:rPr>
              <w:t>17-25.</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Salamanca: Sígueme, 2003.  </w:t>
            </w:r>
            <w:r w:rsidRPr="00B3411D">
              <w:rPr>
                <w:rFonts w:ascii="Calibri" w:eastAsia="MS Mincho" w:hAnsi="Calibri" w:cs="Calibri"/>
                <w:color w:val="0070C0"/>
                <w:kern w:val="0"/>
                <w:lang w:val="es-ES_tradnl" w:eastAsia="es-CR"/>
                <w14:ligatures w14:val="none"/>
              </w:rPr>
              <w:t>(clásico, última edición)</w:t>
            </w:r>
          </w:p>
          <w:p w14:paraId="7F92752C"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proofErr w:type="spellStart"/>
            <w:r w:rsidRPr="4C9C2619">
              <w:rPr>
                <w:rFonts w:ascii="Calibri" w:eastAsia="MS Mincho" w:hAnsi="Calibri" w:cs="Calibri"/>
                <w:kern w:val="0"/>
                <w:lang w:val="es-ES" w:eastAsia="es-CR"/>
                <w14:ligatures w14:val="none"/>
              </w:rPr>
              <w:t>Kirst</w:t>
            </w:r>
            <w:proofErr w:type="spellEnd"/>
            <w:r w:rsidRPr="4C9C2619">
              <w:rPr>
                <w:rFonts w:ascii="Calibri" w:eastAsia="MS Mincho" w:hAnsi="Calibri" w:cs="Calibri"/>
                <w:kern w:val="0"/>
                <w:lang w:val="es-ES" w:eastAsia="es-CR"/>
                <w14:ligatures w14:val="none"/>
              </w:rPr>
              <w:t xml:space="preserve">, Nelson. “¿Qué es el culto?”, “¿Qué es la liturgia?”. En </w:t>
            </w:r>
            <w:r w:rsidRPr="4C9C2619">
              <w:rPr>
                <w:rFonts w:ascii="Calibri" w:eastAsia="MS Mincho" w:hAnsi="Calibri" w:cs="Calibri"/>
                <w:i/>
                <w:iCs/>
                <w:kern w:val="0"/>
                <w:lang w:val="es-ES" w:eastAsia="es-CR"/>
                <w14:ligatures w14:val="none"/>
              </w:rPr>
              <w:t xml:space="preserve">Culto cristiano: historia, teología y formas, </w:t>
            </w:r>
            <w:r w:rsidRPr="4C9C2619">
              <w:rPr>
                <w:rFonts w:ascii="Calibri" w:eastAsia="MS Mincho" w:hAnsi="Calibri" w:cs="Calibri"/>
                <w:kern w:val="0"/>
                <w:lang w:val="es-ES" w:eastAsia="es-CR"/>
                <w14:ligatures w14:val="none"/>
              </w:rPr>
              <w:t>1-11.</w:t>
            </w:r>
            <w:r w:rsidRPr="4C9C2619">
              <w:rPr>
                <w:rFonts w:ascii="Calibri" w:eastAsia="MS Mincho" w:hAnsi="Calibri" w:cs="Calibri"/>
                <w:i/>
                <w:iCs/>
                <w:kern w:val="0"/>
                <w:lang w:val="es-ES" w:eastAsia="es-CR"/>
                <w14:ligatures w14:val="none"/>
              </w:rPr>
              <w:t xml:space="preserve"> </w:t>
            </w:r>
            <w:r w:rsidRPr="4C9C2619">
              <w:rPr>
                <w:rFonts w:ascii="Calibri" w:eastAsia="MS Mincho" w:hAnsi="Calibri" w:cs="Calibri"/>
                <w:kern w:val="0"/>
                <w:lang w:val="es-ES" w:eastAsia="es-CR"/>
                <w14:ligatures w14:val="none"/>
              </w:rPr>
              <w:t xml:space="preserve">Quito: Sinodal, 2000. </w:t>
            </w:r>
            <w:r w:rsidRPr="4C9C2619">
              <w:rPr>
                <w:rFonts w:ascii="Calibri" w:eastAsia="MS Mincho" w:hAnsi="Calibri" w:cs="Calibri"/>
                <w:color w:val="0070C0"/>
                <w:kern w:val="0"/>
                <w:lang w:val="es-ES" w:eastAsia="es-CR"/>
                <w14:ligatures w14:val="none"/>
              </w:rPr>
              <w:t>(clásico, última edición)</w:t>
            </w:r>
          </w:p>
          <w:p w14:paraId="30A60422"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bCs/>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6BF95C99"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bCs/>
                <w:color w:val="0070C0"/>
                <w:kern w:val="0"/>
                <w:lang w:val="es-ES_tradnl" w:eastAsia="es-CR"/>
                <w14:ligatures w14:val="none"/>
              </w:rPr>
            </w:pPr>
            <w:r w:rsidRPr="00B3411D">
              <w:rPr>
                <w:rFonts w:ascii="Calibri" w:eastAsia="Times New Roman" w:hAnsi="Calibri" w:cs="Calibri"/>
                <w:bCs/>
                <w:color w:val="0070C0"/>
                <w:kern w:val="0"/>
                <w:lang w:val="es-ES_tradnl" w:eastAsia="es-CR"/>
                <w14:ligatures w14:val="none"/>
              </w:rPr>
              <w:t>Guía para la participación en un wiki en la plataforma Moodle</w:t>
            </w:r>
          </w:p>
          <w:p w14:paraId="58624806"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bCs/>
                <w:color w:val="0070C0"/>
                <w:kern w:val="0"/>
                <w:lang w:val="es-ES_tradnl" w:eastAsia="es-CR"/>
                <w14:ligatures w14:val="none"/>
              </w:rPr>
            </w:pPr>
          </w:p>
        </w:tc>
        <w:tc>
          <w:tcPr>
            <w:tcW w:w="3118" w:type="dxa"/>
          </w:tcPr>
          <w:p w14:paraId="4D72047E"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el foro social CAFETERÍA.</w:t>
            </w:r>
          </w:p>
          <w:p w14:paraId="2A232859"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el foro de dudas.</w:t>
            </w:r>
          </w:p>
          <w:p w14:paraId="21CF9841"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la elaboración del wiki grupal: Lo que entendemos por Liturgia, donde se realizará una discusión grupal y un debate plenario (tarea 1).</w:t>
            </w:r>
          </w:p>
          <w:p w14:paraId="3410B8C0" w14:textId="77777777" w:rsidR="00B3411D" w:rsidRPr="00B3411D" w:rsidRDefault="00B3411D" w:rsidP="00B3411D">
            <w:pPr>
              <w:spacing w:after="0" w:line="240" w:lineRule="auto"/>
              <w:rPr>
                <w:rFonts w:ascii="Calibri" w:eastAsia="Times New Roman" w:hAnsi="Calibri" w:cs="Calibri"/>
                <w:color w:val="000000"/>
                <w:kern w:val="0"/>
                <w:lang w:val="es-ES_tradnl" w:eastAsia="es-CR"/>
                <w14:ligatures w14:val="none"/>
              </w:rPr>
            </w:pPr>
          </w:p>
        </w:tc>
      </w:tr>
      <w:tr w:rsidR="00B3411D" w:rsidRPr="00B3411D" w14:paraId="03DA3248" w14:textId="77777777" w:rsidTr="4C9C2619">
        <w:trPr>
          <w:trHeight w:val="1124"/>
          <w:jc w:val="center"/>
        </w:trPr>
        <w:tc>
          <w:tcPr>
            <w:tcW w:w="1271" w:type="dxa"/>
          </w:tcPr>
          <w:p w14:paraId="2664BE15"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p>
          <w:p w14:paraId="01DCFB6F"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2</w:t>
            </w:r>
          </w:p>
        </w:tc>
        <w:tc>
          <w:tcPr>
            <w:tcW w:w="2410" w:type="dxa"/>
          </w:tcPr>
          <w:p w14:paraId="15A67B1A"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1: Renovación litúrgica contextual</w:t>
            </w:r>
          </w:p>
          <w:p w14:paraId="2ECD3EE5"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3411D">
              <w:rPr>
                <w:rFonts w:ascii="Calibri" w:eastAsia="Times New Roman" w:hAnsi="Calibri" w:cs="Calibri"/>
                <w:bCs/>
                <w:kern w:val="0"/>
                <w:lang w:val="es-ES_tradnl" w:eastAsia="es-CR"/>
                <w14:ligatures w14:val="none"/>
              </w:rPr>
              <w:t>1.2 Renovación litúrgica en contextos originarios latinoamericanos y caribeños</w:t>
            </w:r>
          </w:p>
          <w:p w14:paraId="12F2B0FF"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037CE1A6"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color w:val="222222"/>
                <w:kern w:val="0"/>
                <w:shd w:val="clear" w:color="auto" w:fill="FFFFFF"/>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68E93F35"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proofErr w:type="spellStart"/>
            <w:r w:rsidRPr="4C9C2619">
              <w:rPr>
                <w:rFonts w:ascii="Calibri" w:eastAsia="Times New Roman" w:hAnsi="Calibri" w:cs="Calibri"/>
                <w:color w:val="222222"/>
                <w:kern w:val="0"/>
                <w:shd w:val="clear" w:color="auto" w:fill="FFFFFF"/>
                <w:lang w:val="es-ES" w:eastAsia="es-CR"/>
                <w14:ligatures w14:val="none"/>
              </w:rPr>
              <w:t>Chupuncgo</w:t>
            </w:r>
            <w:proofErr w:type="spellEnd"/>
            <w:r w:rsidRPr="4C9C2619">
              <w:rPr>
                <w:rFonts w:ascii="Calibri" w:eastAsia="Times New Roman" w:hAnsi="Calibri" w:cs="Calibri"/>
                <w:color w:val="222222"/>
                <w:kern w:val="0"/>
                <w:shd w:val="clear" w:color="auto" w:fill="FFFFFF"/>
                <w:lang w:val="es-ES" w:eastAsia="es-CR"/>
                <w14:ligatures w14:val="none"/>
              </w:rPr>
              <w:t>, </w:t>
            </w:r>
            <w:proofErr w:type="spellStart"/>
            <w:r w:rsidRPr="4C9C2619">
              <w:rPr>
                <w:rFonts w:ascii="Calibri" w:eastAsia="Times New Roman" w:hAnsi="Calibri" w:cs="Calibri"/>
                <w:color w:val="222222"/>
                <w:kern w:val="0"/>
                <w:shd w:val="clear" w:color="auto" w:fill="FFFFFF"/>
                <w:lang w:val="es-ES" w:eastAsia="es-CR"/>
                <w14:ligatures w14:val="none"/>
              </w:rPr>
              <w:t>Anscar</w:t>
            </w:r>
            <w:proofErr w:type="spellEnd"/>
            <w:r w:rsidRPr="4C9C2619">
              <w:rPr>
                <w:rFonts w:ascii="Calibri" w:eastAsia="Times New Roman" w:hAnsi="Calibri" w:cs="Calibri"/>
                <w:color w:val="222222"/>
                <w:kern w:val="0"/>
                <w:shd w:val="clear" w:color="auto" w:fill="FFFFFF"/>
                <w:lang w:val="es-ES" w:eastAsia="es-CR"/>
                <w14:ligatures w14:val="none"/>
              </w:rPr>
              <w:t xml:space="preserve"> J., “La liturgia y los componentes de la cultura”. En </w:t>
            </w:r>
            <w:r w:rsidRPr="4C9C2619">
              <w:rPr>
                <w:rFonts w:ascii="Calibri" w:eastAsia="Times New Roman" w:hAnsi="Calibri" w:cs="Calibri"/>
                <w:i/>
                <w:iCs/>
                <w:color w:val="222222"/>
                <w:kern w:val="0"/>
                <w:shd w:val="clear" w:color="auto" w:fill="FFFFFF"/>
                <w:lang w:val="es-ES" w:eastAsia="es-CR"/>
                <w14:ligatures w14:val="none"/>
              </w:rPr>
              <w:t>Inculturación de la liturgia en contextos latinoamericanos y caribeños: aproximaciones teológicas y pedagógicas,</w:t>
            </w:r>
            <w:r w:rsidRPr="4C9C2619">
              <w:rPr>
                <w:rFonts w:ascii="Calibri" w:eastAsia="Times New Roman" w:hAnsi="Calibri" w:cs="Calibri"/>
                <w:color w:val="222222"/>
                <w:kern w:val="0"/>
                <w:shd w:val="clear" w:color="auto" w:fill="FFFFFF"/>
                <w:lang w:val="es-ES" w:eastAsia="es-CR"/>
                <w14:ligatures w14:val="none"/>
              </w:rPr>
              <w:t xml:space="preserve"> coordinado por Amílcar Ulloa, 197-211. Colombia: CETELA, 2003. </w:t>
            </w:r>
            <w:r w:rsidRPr="4C9C2619">
              <w:rPr>
                <w:rFonts w:ascii="Calibri" w:eastAsia="MS Mincho" w:hAnsi="Calibri" w:cs="Calibri"/>
                <w:color w:val="0070C0"/>
                <w:kern w:val="0"/>
                <w:lang w:val="es-ES" w:eastAsia="es-CR"/>
                <w14:ligatures w14:val="none"/>
              </w:rPr>
              <w:t>(clásico, última edición)</w:t>
            </w:r>
          </w:p>
          <w:p w14:paraId="572AC8A7"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proofErr w:type="spellStart"/>
            <w:r w:rsidRPr="4C9C2619">
              <w:rPr>
                <w:rFonts w:ascii="Calibri" w:eastAsia="MS Mincho" w:hAnsi="Calibri" w:cs="Calibri"/>
                <w:kern w:val="0"/>
                <w:lang w:val="es-ES" w:eastAsia="es-CR"/>
                <w14:ligatures w14:val="none"/>
              </w:rPr>
              <w:t>Sik</w:t>
            </w:r>
            <w:proofErr w:type="spellEnd"/>
            <w:r w:rsidRPr="4C9C2619">
              <w:rPr>
                <w:rFonts w:ascii="Calibri" w:eastAsia="MS Mincho" w:hAnsi="Calibri" w:cs="Calibri"/>
                <w:kern w:val="0"/>
                <w:lang w:val="es-ES" w:eastAsia="es-CR"/>
                <w14:ligatures w14:val="none"/>
              </w:rPr>
              <w:t xml:space="preserve"> Hong, In.  “Redescubrimiento de la liturgia en las iglesias </w:t>
            </w:r>
            <w:r w:rsidRPr="4C9C2619">
              <w:rPr>
                <w:rFonts w:ascii="Calibri" w:eastAsia="MS Mincho" w:hAnsi="Calibri" w:cs="Calibri"/>
                <w:kern w:val="0"/>
                <w:lang w:val="es-ES" w:eastAsia="es-CR"/>
                <w14:ligatures w14:val="none"/>
              </w:rPr>
              <w:lastRenderedPageBreak/>
              <w:t xml:space="preserve">evangélicas”.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11-25. Buenos Aires: </w:t>
            </w:r>
            <w:proofErr w:type="spellStart"/>
            <w:r w:rsidRPr="4C9C2619">
              <w:rPr>
                <w:rFonts w:ascii="Calibri" w:eastAsia="MS Mincho" w:hAnsi="Calibri" w:cs="Calibri"/>
                <w:kern w:val="0"/>
                <w:lang w:val="es-ES" w:eastAsia="es-CR"/>
                <w14:ligatures w14:val="none"/>
              </w:rPr>
              <w:t>Kairos</w:t>
            </w:r>
            <w:proofErr w:type="spellEnd"/>
            <w:r w:rsidRPr="4C9C2619">
              <w:rPr>
                <w:rFonts w:ascii="Calibri" w:eastAsia="MS Mincho" w:hAnsi="Calibri" w:cs="Calibri"/>
                <w:kern w:val="0"/>
                <w:lang w:val="es-ES" w:eastAsia="es-CR"/>
                <w14:ligatures w14:val="none"/>
              </w:rPr>
              <w:t xml:space="preserve">, 2004. </w:t>
            </w:r>
            <w:r w:rsidRPr="4C9C2619">
              <w:rPr>
                <w:rFonts w:ascii="Calibri" w:eastAsia="MS Mincho" w:hAnsi="Calibri" w:cs="Calibri"/>
                <w:color w:val="0070C0"/>
                <w:kern w:val="0"/>
                <w:lang w:val="es-ES" w:eastAsia="es-CR"/>
                <w14:ligatures w14:val="none"/>
              </w:rPr>
              <w:t>(clásico, última edición)</w:t>
            </w:r>
          </w:p>
          <w:p w14:paraId="1F60A282"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
                <w:kern w:val="0"/>
                <w:lang w:val="es-ES_tradnl" w:eastAsia="es-CR"/>
                <w14:ligatures w14:val="none"/>
              </w:rPr>
            </w:pPr>
            <w:r w:rsidRPr="00B3411D">
              <w:rPr>
                <w:rFonts w:ascii="Calibri" w:eastAsia="MS Mincho" w:hAnsi="Calibri" w:cs="Calibri"/>
                <w:b/>
                <w:kern w:val="0"/>
                <w:lang w:val="es-ES_tradnl" w:eastAsia="es-CR"/>
                <w14:ligatures w14:val="none"/>
              </w:rPr>
              <w:t>Material complementario</w:t>
            </w:r>
          </w:p>
          <w:p w14:paraId="59472805"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Times New Roman" w:hAnsi="Calibri" w:cs="Calibri"/>
                <w:kern w:val="0"/>
                <w:lang w:eastAsia="es-CR"/>
                <w14:ligatures w14:val="none"/>
              </w:rPr>
              <w:t xml:space="preserve">Comunidad de Educación Teológica Ecuménica Latinoamericana-Caribeña. “Liturgia contextualizada </w:t>
            </w:r>
            <w:proofErr w:type="spellStart"/>
            <w:r w:rsidRPr="00B3411D">
              <w:rPr>
                <w:rFonts w:ascii="Calibri" w:eastAsia="Times New Roman" w:hAnsi="Calibri" w:cs="Calibri"/>
                <w:kern w:val="0"/>
                <w:lang w:eastAsia="es-CR"/>
                <w14:ligatures w14:val="none"/>
              </w:rPr>
              <w:t>kichwa</w:t>
            </w:r>
            <w:proofErr w:type="spellEnd"/>
            <w:r w:rsidRPr="00B3411D">
              <w:rPr>
                <w:rFonts w:ascii="Calibri" w:eastAsia="Times New Roman" w:hAnsi="Calibri" w:cs="Calibri"/>
                <w:kern w:val="0"/>
                <w:lang w:eastAsia="es-CR"/>
                <w14:ligatures w14:val="none"/>
              </w:rPr>
              <w:t xml:space="preserve">”. En </w:t>
            </w:r>
            <w:r w:rsidRPr="00B3411D">
              <w:rPr>
                <w:rFonts w:ascii="Calibri" w:eastAsia="Times New Roman" w:hAnsi="Calibri" w:cs="Calibri"/>
                <w:i/>
                <w:kern w:val="0"/>
                <w:lang w:eastAsia="es-CR"/>
                <w14:ligatures w14:val="none"/>
              </w:rPr>
              <w:t>Inculturación de la liturgia en contextos latinoamericanos y caribeños: aproximaciones teológicas y pedagógicas</w:t>
            </w:r>
            <w:r w:rsidRPr="00B3411D">
              <w:rPr>
                <w:rFonts w:ascii="Calibri" w:eastAsia="Times New Roman" w:hAnsi="Calibri" w:cs="Calibri"/>
                <w:kern w:val="0"/>
                <w:lang w:eastAsia="es-CR"/>
                <w14:ligatures w14:val="none"/>
              </w:rPr>
              <w:t xml:space="preserve">, 303-309. Bogotá: CETELA, 2003. </w:t>
            </w:r>
            <w:r w:rsidRPr="00B3411D">
              <w:rPr>
                <w:rFonts w:ascii="Calibri" w:eastAsia="MS Mincho" w:hAnsi="Calibri" w:cs="Calibri"/>
                <w:color w:val="0070C0"/>
                <w:kern w:val="0"/>
                <w:lang w:val="es-ES_tradnl" w:eastAsia="es-CR"/>
                <w14:ligatures w14:val="none"/>
              </w:rPr>
              <w:t>(clásico, última edición)</w:t>
            </w:r>
          </w:p>
          <w:p w14:paraId="19D73D02"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Cs/>
                <w:color w:val="0070C0"/>
                <w:kern w:val="0"/>
                <w:lang w:val="es-ES_tradnl" w:eastAsia="es-CR"/>
                <w14:ligatures w14:val="none"/>
              </w:rPr>
            </w:pPr>
            <w:r w:rsidRPr="00B3411D">
              <w:rPr>
                <w:rFonts w:ascii="Calibri" w:eastAsia="MS Mincho" w:hAnsi="Calibri" w:cs="Calibri"/>
                <w:bCs/>
                <w:color w:val="0070C0"/>
                <w:kern w:val="0"/>
                <w:lang w:val="es-ES_tradnl" w:eastAsia="es-CR"/>
                <w14:ligatures w14:val="none"/>
              </w:rPr>
              <w:t>Guía para la participación en un foro en la plataforma Moodle</w:t>
            </w:r>
          </w:p>
          <w:p w14:paraId="714C2C7F"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
                <w:color w:val="0070C0"/>
                <w:kern w:val="0"/>
                <w:lang w:val="es-ES_tradnl" w:eastAsia="es-CR"/>
                <w14:ligatures w14:val="none"/>
              </w:rPr>
            </w:pPr>
          </w:p>
        </w:tc>
        <w:tc>
          <w:tcPr>
            <w:tcW w:w="3118" w:type="dxa"/>
          </w:tcPr>
          <w:p w14:paraId="1253FBE0"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lastRenderedPageBreak/>
              <w:t>Elaboración de un estudio etimológico-histórico de la palabra Liturgia (tarea 2).</w:t>
            </w:r>
          </w:p>
          <w:p w14:paraId="3AF27E0B"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 xml:space="preserve">Participación en el foro temático grupal: Presentación de informe de estudiantes sobre entrevistas. </w:t>
            </w:r>
          </w:p>
        </w:tc>
      </w:tr>
      <w:tr w:rsidR="00B3411D" w:rsidRPr="00B3411D" w14:paraId="41BF4579" w14:textId="77777777" w:rsidTr="4C9C2619">
        <w:trPr>
          <w:jc w:val="center"/>
        </w:trPr>
        <w:tc>
          <w:tcPr>
            <w:tcW w:w="1271" w:type="dxa"/>
          </w:tcPr>
          <w:p w14:paraId="64C7B62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3</w:t>
            </w:r>
          </w:p>
          <w:p w14:paraId="5CA46A6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2A9403D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2: Liturgia, liberación y afirmación de la vida y la esperanza</w:t>
            </w:r>
          </w:p>
          <w:p w14:paraId="0B64D91B"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 xml:space="preserve">2.1 Celebración y Liberación en el Antiguo Testamento </w:t>
            </w:r>
          </w:p>
        </w:tc>
        <w:tc>
          <w:tcPr>
            <w:tcW w:w="2835" w:type="dxa"/>
          </w:tcPr>
          <w:p w14:paraId="36E98D8B"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38E7D1D5"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“Liturgia, liberación y afirmación de la vida y la esperanza”. En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23-29.</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San José: SEBILA, 2009. </w:t>
            </w:r>
            <w:r w:rsidRPr="00B3411D">
              <w:rPr>
                <w:rFonts w:ascii="Calibri" w:eastAsia="MS Mincho" w:hAnsi="Calibri" w:cs="Calibri"/>
                <w:color w:val="0070C0"/>
                <w:kern w:val="0"/>
                <w:lang w:val="es-ES_tradnl" w:eastAsia="es-CR"/>
                <w14:ligatures w14:val="none"/>
              </w:rPr>
              <w:t>(clásico, última edición)</w:t>
            </w:r>
          </w:p>
          <w:p w14:paraId="3069A508"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5FECF6C6" w14:textId="77777777" w:rsidR="00B3411D" w:rsidRPr="00B3411D" w:rsidRDefault="00B3411D" w:rsidP="4C9C2619">
            <w:pPr>
              <w:widowControl w:val="0"/>
              <w:overflowPunct w:val="0"/>
              <w:autoSpaceDE w:val="0"/>
              <w:autoSpaceDN w:val="0"/>
              <w:adjustRightInd w:val="0"/>
              <w:spacing w:before="120" w:after="0" w:line="240" w:lineRule="auto"/>
              <w:ind w:right="35"/>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20C40617"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kern w:val="0"/>
                <w:lang w:val="es-ES_tradnl" w:eastAsia="es-CR"/>
                <w14:ligatures w14:val="none"/>
              </w:rPr>
            </w:pPr>
          </w:p>
        </w:tc>
        <w:tc>
          <w:tcPr>
            <w:tcW w:w="3118" w:type="dxa"/>
          </w:tcPr>
          <w:p w14:paraId="1B2A5302"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Presentación del docente en un encuentro sincrónico virtual (formativo).</w:t>
            </w:r>
          </w:p>
        </w:tc>
      </w:tr>
      <w:tr w:rsidR="00B3411D" w:rsidRPr="00B3411D" w14:paraId="540608F5" w14:textId="77777777" w:rsidTr="4C9C2619">
        <w:trPr>
          <w:jc w:val="center"/>
        </w:trPr>
        <w:tc>
          <w:tcPr>
            <w:tcW w:w="1271" w:type="dxa"/>
          </w:tcPr>
          <w:p w14:paraId="61D9135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4</w:t>
            </w:r>
          </w:p>
          <w:p w14:paraId="5FC6D48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69D43188"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lastRenderedPageBreak/>
              <w:t xml:space="preserve">Unidad 2: Liturgia, liberación y afirmación </w:t>
            </w:r>
            <w:r w:rsidRPr="00B3411D">
              <w:rPr>
                <w:rFonts w:ascii="Calibri" w:eastAsia="Times New Roman" w:hAnsi="Calibri" w:cs="Calibri"/>
                <w:b/>
                <w:bCs/>
                <w:kern w:val="0"/>
                <w:lang w:val="es-ES_tradnl" w:eastAsia="es-CR"/>
                <w14:ligatures w14:val="none"/>
              </w:rPr>
              <w:lastRenderedPageBreak/>
              <w:t>de la vida y la esperanza</w:t>
            </w:r>
          </w:p>
          <w:p w14:paraId="0C7D1D3B"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 xml:space="preserve">2.1 Celebración y Liberación en el Antiguo Testamento </w:t>
            </w:r>
          </w:p>
          <w:p w14:paraId="36D70659"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721B5AB9"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color w:val="222222"/>
                <w:kern w:val="0"/>
                <w:shd w:val="clear" w:color="auto" w:fill="FFFFFF"/>
                <w:lang w:val="es-ES_tradnl" w:eastAsia="es-CR"/>
                <w14:ligatures w14:val="none"/>
              </w:rPr>
            </w:pPr>
            <w:r w:rsidRPr="00B3411D">
              <w:rPr>
                <w:rFonts w:ascii="Calibri" w:eastAsia="MS Mincho" w:hAnsi="Calibri" w:cs="Calibri"/>
                <w:color w:val="0070C0"/>
                <w:kern w:val="0"/>
                <w:lang w:val="es-ES_tradnl" w:eastAsia="es-CR"/>
                <w14:ligatures w14:val="none"/>
              </w:rPr>
              <w:lastRenderedPageBreak/>
              <w:t>Ruta de aprendizaje</w:t>
            </w:r>
          </w:p>
          <w:p w14:paraId="1E74559C"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Times New Roman" w:hAnsi="Calibri" w:cs="Calibri"/>
                <w:color w:val="222222"/>
                <w:kern w:val="0"/>
                <w:shd w:val="clear" w:color="auto" w:fill="FFFFFF"/>
                <w:lang w:val="es-ES_tradnl" w:eastAsia="es-CR"/>
                <w14:ligatures w14:val="none"/>
              </w:rPr>
              <w:lastRenderedPageBreak/>
              <w:t>Luca, José de. "Celebración y Liberación". En</w:t>
            </w:r>
            <w:r w:rsidRPr="00B3411D">
              <w:rPr>
                <w:rFonts w:ascii="Calibri" w:eastAsia="Times New Roman" w:hAnsi="Calibri" w:cs="Calibri"/>
                <w:i/>
                <w:iCs/>
                <w:color w:val="222222"/>
                <w:kern w:val="0"/>
                <w:shd w:val="clear" w:color="auto" w:fill="FFFFFF"/>
                <w:lang w:val="es-ES_tradnl" w:eastAsia="es-CR"/>
                <w14:ligatures w14:val="none"/>
              </w:rPr>
              <w:t> La Celebración Cristiana: </w:t>
            </w:r>
            <w:r w:rsidRPr="00B3411D">
              <w:rPr>
                <w:rFonts w:ascii="Calibri" w:eastAsia="Times New Roman" w:hAnsi="Calibri" w:cs="Calibri"/>
                <w:i/>
                <w:color w:val="222222"/>
                <w:kern w:val="0"/>
                <w:shd w:val="clear" w:color="auto" w:fill="FFFFFF"/>
                <w:lang w:val="es-ES_tradnl" w:eastAsia="es-CR"/>
                <w14:ligatures w14:val="none"/>
              </w:rPr>
              <w:t>antología del curso CTX110 Liturgia I</w:t>
            </w:r>
            <w:r w:rsidRPr="00B3411D">
              <w:rPr>
                <w:rFonts w:ascii="Calibri" w:eastAsia="Times New Roman" w:hAnsi="Calibri" w:cs="Calibri"/>
                <w:color w:val="222222"/>
                <w:kern w:val="0"/>
                <w:shd w:val="clear" w:color="auto" w:fill="FFFFFF"/>
                <w:lang w:val="es-ES_tradnl" w:eastAsia="es-CR"/>
                <w14:ligatures w14:val="none"/>
              </w:rPr>
              <w:t xml:space="preserve">, compilada por Edwin Mora Guevara, 52-65. San José: Universidad Bíblica Latinoamericana, 2009. </w:t>
            </w:r>
            <w:r w:rsidRPr="00B3411D">
              <w:rPr>
                <w:rFonts w:ascii="Calibri" w:eastAsia="MS Mincho" w:hAnsi="Calibri" w:cs="Calibri"/>
                <w:color w:val="0070C0"/>
                <w:kern w:val="0"/>
                <w:lang w:val="es-ES_tradnl" w:eastAsia="es-CR"/>
                <w14:ligatures w14:val="none"/>
              </w:rPr>
              <w:t>(clásico, última edición)</w:t>
            </w:r>
          </w:p>
          <w:p w14:paraId="7004F273"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08D60923"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r w:rsidRPr="00B3411D">
              <w:rPr>
                <w:rFonts w:ascii="Calibri" w:eastAsia="Times New Roman" w:hAnsi="Calibri" w:cs="Calibri"/>
                <w:color w:val="0070C0"/>
                <w:kern w:val="0"/>
                <w:lang w:val="es-ES_tradnl" w:eastAsia="es-CR"/>
                <w14:ligatures w14:val="none"/>
              </w:rPr>
              <w:t>Guía para la participación en un foro en la plataforma Moodle</w:t>
            </w:r>
          </w:p>
          <w:p w14:paraId="162931C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color w:val="0070C0"/>
                <w:kern w:val="0"/>
                <w:lang w:val="es-ES_tradnl" w:eastAsia="es-CR"/>
                <w14:ligatures w14:val="none"/>
              </w:rPr>
            </w:pPr>
          </w:p>
        </w:tc>
        <w:tc>
          <w:tcPr>
            <w:tcW w:w="3118" w:type="dxa"/>
          </w:tcPr>
          <w:p w14:paraId="45682DC9"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lastRenderedPageBreak/>
              <w:t xml:space="preserve">Participación en el foro temático grupal: Celebración </w:t>
            </w:r>
            <w:r w:rsidRPr="00B3411D">
              <w:rPr>
                <w:rFonts w:ascii="Calibri" w:eastAsia="Times New Roman" w:hAnsi="Calibri" w:cs="Calibri"/>
                <w:color w:val="000000"/>
                <w:kern w:val="0"/>
                <w:lang w:val="es-ES_tradnl" w:eastAsia="es-CR"/>
                <w14:ligatures w14:val="none"/>
              </w:rPr>
              <w:lastRenderedPageBreak/>
              <w:t>y liberación en el Antiguo Testamento (tarea 3: primera parte), donde se discutirá y debatirá críticamente.</w:t>
            </w:r>
          </w:p>
          <w:p w14:paraId="48B14738" w14:textId="77777777" w:rsidR="00B3411D" w:rsidRPr="00B3411D" w:rsidRDefault="00B3411D" w:rsidP="00B3411D">
            <w:pPr>
              <w:spacing w:after="0" w:line="240" w:lineRule="auto"/>
              <w:rPr>
                <w:rFonts w:ascii="Calibri" w:eastAsia="Times New Roman" w:hAnsi="Calibri" w:cs="Calibri"/>
                <w:color w:val="000000"/>
                <w:kern w:val="0"/>
                <w:lang w:val="es-ES_tradnl" w:eastAsia="es-CR"/>
                <w14:ligatures w14:val="none"/>
              </w:rPr>
            </w:pPr>
          </w:p>
        </w:tc>
      </w:tr>
      <w:tr w:rsidR="00B3411D" w:rsidRPr="00B3411D" w14:paraId="29D99FCE" w14:textId="77777777" w:rsidTr="4C9C2619">
        <w:trPr>
          <w:jc w:val="center"/>
        </w:trPr>
        <w:tc>
          <w:tcPr>
            <w:tcW w:w="1271" w:type="dxa"/>
          </w:tcPr>
          <w:p w14:paraId="0692822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lastRenderedPageBreak/>
              <w:t>5</w:t>
            </w:r>
          </w:p>
          <w:p w14:paraId="3D97381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tc>
        <w:tc>
          <w:tcPr>
            <w:tcW w:w="2410" w:type="dxa"/>
          </w:tcPr>
          <w:p w14:paraId="6D5030E8"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2: Liturgia, liberación y afirmación de la vida y la esperanza</w:t>
            </w:r>
          </w:p>
          <w:p w14:paraId="387130F6"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2.2 Modelo de culto del Antiguo Testamento en tres momentos</w:t>
            </w:r>
          </w:p>
          <w:p w14:paraId="697030CB"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100CDD60" w14:textId="77777777" w:rsidR="00B3411D" w:rsidRPr="00B3411D" w:rsidRDefault="00B3411D" w:rsidP="00B3411D">
            <w:pPr>
              <w:spacing w:line="240" w:lineRule="auto"/>
              <w:rPr>
                <w:rFonts w:ascii="Calibri" w:eastAsia="MS Mincho" w:hAnsi="Calibri" w:cs="Calibri"/>
                <w:kern w:val="0"/>
                <w:sz w:val="2"/>
                <w:szCs w:val="2"/>
                <w:lang w:val="es-ES_tradnl" w:eastAsia="es-CR"/>
                <w14:ligatures w14:val="none"/>
              </w:rPr>
            </w:pPr>
          </w:p>
          <w:p w14:paraId="5895687E" w14:textId="77777777" w:rsidR="00B3411D" w:rsidRPr="00B3411D" w:rsidRDefault="00B3411D" w:rsidP="00B3411D">
            <w:pPr>
              <w:spacing w:line="240" w:lineRule="auto"/>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76D68196"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Rodríguez, Sebastián. “El culto en general”, “El culto en Israel”. En </w:t>
            </w:r>
            <w:r w:rsidRPr="00B3411D">
              <w:rPr>
                <w:rFonts w:ascii="Calibri" w:eastAsia="MS Mincho" w:hAnsi="Calibri" w:cs="Calibri"/>
                <w:i/>
                <w:kern w:val="0"/>
                <w:lang w:val="es-ES_tradnl" w:eastAsia="es-CR"/>
                <w14:ligatures w14:val="none"/>
              </w:rPr>
              <w:t xml:space="preserve">Liturgia para el siglo XXI: Antología de la liturgia cristiana, </w:t>
            </w:r>
            <w:r w:rsidRPr="00B3411D">
              <w:rPr>
                <w:rFonts w:ascii="Calibri" w:eastAsia="MS Mincho" w:hAnsi="Calibri" w:cs="Calibri"/>
                <w:kern w:val="0"/>
                <w:lang w:val="es-ES_tradnl" w:eastAsia="es-CR"/>
                <w14:ligatures w14:val="none"/>
              </w:rPr>
              <w:t>35-42.</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Barcelona: CLIE, 1999. </w:t>
            </w:r>
            <w:r w:rsidRPr="00B3411D">
              <w:rPr>
                <w:rFonts w:ascii="Calibri" w:eastAsia="MS Mincho" w:hAnsi="Calibri" w:cs="Calibri"/>
                <w:color w:val="0070C0"/>
                <w:kern w:val="0"/>
                <w:lang w:val="es-ES_tradnl" w:eastAsia="es-CR"/>
                <w14:ligatures w14:val="none"/>
              </w:rPr>
              <w:t>(clásico, última edición)</w:t>
            </w:r>
          </w:p>
          <w:p w14:paraId="1E365334" w14:textId="77777777" w:rsidR="00B3411D" w:rsidRPr="00B3411D" w:rsidRDefault="00B3411D" w:rsidP="00B3411D">
            <w:pPr>
              <w:spacing w:line="240" w:lineRule="auto"/>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2522A12C" w14:textId="77777777" w:rsidR="00B3411D" w:rsidRPr="00B3411D" w:rsidRDefault="00B3411D" w:rsidP="00B3411D">
            <w:pPr>
              <w:spacing w:line="240" w:lineRule="auto"/>
              <w:rPr>
                <w:rFonts w:ascii="Calibri" w:eastAsia="Calibri" w:hAnsi="Calibri" w:cs="Calibri"/>
                <w:bCs/>
                <w:kern w:val="0"/>
                <w14:ligatures w14:val="none"/>
              </w:rPr>
            </w:pPr>
            <w:r w:rsidRPr="00B3411D">
              <w:rPr>
                <w:rFonts w:ascii="Calibri" w:eastAsia="MS Mincho" w:hAnsi="Calibri" w:cs="Calibri"/>
                <w:bCs/>
                <w:color w:val="0070C0"/>
                <w:kern w:val="0"/>
                <w:lang w:val="es-ES_tradnl" w:eastAsia="es-CR"/>
                <w14:ligatures w14:val="none"/>
              </w:rPr>
              <w:t>Guía para la participación en un foro en la plataforma Moodle</w:t>
            </w:r>
          </w:p>
        </w:tc>
        <w:tc>
          <w:tcPr>
            <w:tcW w:w="3118" w:type="dxa"/>
          </w:tcPr>
          <w:p w14:paraId="3C8DE010"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 xml:space="preserve">Trabajo en grupos por cada momento histórico (en el foro temático grupal) y diseño de un culto o liturgia, el cual se entrega a través de dicho foro (tarea 3: segunda parte). </w:t>
            </w:r>
          </w:p>
        </w:tc>
      </w:tr>
      <w:tr w:rsidR="00B3411D" w:rsidRPr="00B3411D" w14:paraId="2490DB6A" w14:textId="77777777" w:rsidTr="4C9C2619">
        <w:trPr>
          <w:trHeight w:val="1372"/>
          <w:jc w:val="center"/>
        </w:trPr>
        <w:tc>
          <w:tcPr>
            <w:tcW w:w="1271" w:type="dxa"/>
          </w:tcPr>
          <w:p w14:paraId="1CD45B1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 xml:space="preserve"> 6</w:t>
            </w:r>
          </w:p>
        </w:tc>
        <w:tc>
          <w:tcPr>
            <w:tcW w:w="2410" w:type="dxa"/>
          </w:tcPr>
          <w:p w14:paraId="19B705C7"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3: La liturgia en las primeras comunidades cristianas</w:t>
            </w:r>
          </w:p>
          <w:p w14:paraId="1D657245"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3.1 El seguimiento de Jesús como fundamento de la espiritualidad cristiana</w:t>
            </w:r>
          </w:p>
          <w:p w14:paraId="57DD85C6"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2835" w:type="dxa"/>
          </w:tcPr>
          <w:p w14:paraId="6861EC6C" w14:textId="77777777" w:rsidR="00B3411D" w:rsidRPr="00B3411D" w:rsidRDefault="00B3411D" w:rsidP="00B3411D">
            <w:pPr>
              <w:widowControl w:val="0"/>
              <w:overflowPunct w:val="0"/>
              <w:autoSpaceDE w:val="0"/>
              <w:autoSpaceDN w:val="0"/>
              <w:adjustRightInd w:val="0"/>
              <w:spacing w:before="120"/>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0FB7CFDE"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“La liturgia de las primeras comunidades cristianas”. En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31-42.</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San José: SEBILA, 2009.  </w:t>
            </w:r>
            <w:r w:rsidRPr="00B3411D">
              <w:rPr>
                <w:rFonts w:ascii="Calibri" w:eastAsia="MS Mincho" w:hAnsi="Calibri" w:cs="Calibri"/>
                <w:color w:val="0070C0"/>
                <w:kern w:val="0"/>
                <w:lang w:val="es-ES_tradnl" w:eastAsia="es-CR"/>
                <w14:ligatures w14:val="none"/>
              </w:rPr>
              <w:t>(clásico, última edición)</w:t>
            </w:r>
          </w:p>
          <w:p w14:paraId="19AE28F4"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Rodríguez, Sebastián. “El culto en el Nuevo Testamento”, “Los sacramentos en el culto”, “La </w:t>
            </w:r>
            <w:r w:rsidRPr="4C9C2619">
              <w:rPr>
                <w:rFonts w:ascii="Calibri" w:eastAsia="MS Mincho" w:hAnsi="Calibri" w:cs="Calibri"/>
                <w:kern w:val="0"/>
                <w:lang w:val="es-ES" w:eastAsia="es-CR"/>
                <w14:ligatures w14:val="none"/>
              </w:rPr>
              <w:lastRenderedPageBreak/>
              <w:t>evolución del culto cristiano”, “</w:t>
            </w:r>
            <w:proofErr w:type="spellStart"/>
            <w:r w:rsidRPr="4C9C2619">
              <w:rPr>
                <w:rFonts w:ascii="Calibri" w:eastAsia="MS Mincho" w:hAnsi="Calibri" w:cs="Calibri"/>
                <w:kern w:val="0"/>
                <w:lang w:val="es-ES" w:eastAsia="es-CR"/>
                <w14:ligatures w14:val="none"/>
              </w:rPr>
              <w:t>Didaché</w:t>
            </w:r>
            <w:proofErr w:type="spellEnd"/>
            <w:r w:rsidRPr="4C9C2619">
              <w:rPr>
                <w:rFonts w:ascii="Calibri" w:eastAsia="MS Mincho" w:hAnsi="Calibri" w:cs="Calibri"/>
                <w:kern w:val="0"/>
                <w:lang w:val="es-ES" w:eastAsia="es-CR"/>
                <w14:ligatures w14:val="none"/>
              </w:rPr>
              <w:t xml:space="preserve">: La enseñanza de los apóstoles”, “Liturgia del culto con santa cena”, “Liturgia de Hipólito”. En </w:t>
            </w:r>
            <w:r w:rsidRPr="4C9C2619">
              <w:rPr>
                <w:rFonts w:ascii="Calibri" w:eastAsia="MS Mincho" w:hAnsi="Calibri" w:cs="Calibri"/>
                <w:i/>
                <w:iCs/>
                <w:kern w:val="0"/>
                <w:lang w:val="es-ES" w:eastAsia="es-CR"/>
                <w14:ligatures w14:val="none"/>
              </w:rPr>
              <w:t xml:space="preserve">Liturgia para el siglo XXI: Antología de la liturgia cristiana, </w:t>
            </w:r>
            <w:r w:rsidRPr="4C9C2619">
              <w:rPr>
                <w:rFonts w:ascii="Calibri" w:eastAsia="MS Mincho" w:hAnsi="Calibri" w:cs="Calibri"/>
                <w:kern w:val="0"/>
                <w:lang w:val="es-ES" w:eastAsia="es-CR"/>
                <w14:ligatures w14:val="none"/>
              </w:rPr>
              <w:t>43-68.</w:t>
            </w:r>
            <w:r w:rsidRPr="4C9C2619">
              <w:rPr>
                <w:rFonts w:ascii="Calibri" w:eastAsia="MS Mincho" w:hAnsi="Calibri" w:cs="Calibri"/>
                <w:i/>
                <w:iCs/>
                <w:kern w:val="0"/>
                <w:lang w:val="es-ES" w:eastAsia="es-CR"/>
                <w14:ligatures w14:val="none"/>
              </w:rPr>
              <w:t xml:space="preserve"> </w:t>
            </w:r>
            <w:r w:rsidRPr="4C9C2619">
              <w:rPr>
                <w:rFonts w:ascii="Calibri" w:eastAsia="MS Mincho" w:hAnsi="Calibri" w:cs="Calibri"/>
                <w:kern w:val="0"/>
                <w:lang w:val="es-ES" w:eastAsia="es-CR"/>
                <w14:ligatures w14:val="none"/>
              </w:rPr>
              <w:t xml:space="preserve">Barcelona: CLIE, 1999. </w:t>
            </w:r>
            <w:r w:rsidRPr="4C9C2619">
              <w:rPr>
                <w:rFonts w:ascii="Calibri" w:eastAsia="MS Mincho" w:hAnsi="Calibri" w:cs="Calibri"/>
                <w:color w:val="0070C0"/>
                <w:kern w:val="0"/>
                <w:lang w:val="es-ES" w:eastAsia="es-CR"/>
                <w14:ligatures w14:val="none"/>
              </w:rPr>
              <w:t>(clásico, última edición)</w:t>
            </w:r>
          </w:p>
          <w:p w14:paraId="4965E00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64510A2B" w14:textId="77777777" w:rsidR="00B3411D" w:rsidRPr="00B3411D" w:rsidRDefault="00B3411D" w:rsidP="4C9C2619">
            <w:pPr>
              <w:widowControl w:val="0"/>
              <w:overflowPunct w:val="0"/>
              <w:autoSpaceDE w:val="0"/>
              <w:autoSpaceDN w:val="0"/>
              <w:adjustRightInd w:val="0"/>
              <w:spacing w:before="120" w:after="0" w:line="240" w:lineRule="auto"/>
              <w:rPr>
                <w:rFonts w:ascii="Calibri" w:eastAsia="MS Mincho" w:hAnsi="Calibri" w:cs="Calibri"/>
                <w:color w:val="0070C0"/>
                <w:kern w:val="0"/>
                <w:lang w:val="es-ES" w:eastAsia="es-CR"/>
                <w14:ligatures w14:val="none"/>
              </w:rPr>
            </w:pPr>
            <w:r w:rsidRPr="4C9C2619">
              <w:rPr>
                <w:rFonts w:ascii="Calibri" w:eastAsia="MS Mincho"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MS Mincho" w:hAnsi="Calibri" w:cs="Calibri"/>
                <w:color w:val="0070C0"/>
                <w:kern w:val="0"/>
                <w:lang w:val="es-ES" w:eastAsia="es-CR"/>
                <w14:ligatures w14:val="none"/>
              </w:rPr>
              <w:t>Button</w:t>
            </w:r>
            <w:proofErr w:type="spellEnd"/>
            <w:r w:rsidRPr="4C9C2619">
              <w:rPr>
                <w:rFonts w:ascii="Calibri" w:eastAsia="MS Mincho" w:hAnsi="Calibri" w:cs="Calibri"/>
                <w:color w:val="0070C0"/>
                <w:kern w:val="0"/>
                <w:lang w:val="es-ES" w:eastAsia="es-CR"/>
                <w14:ligatures w14:val="none"/>
              </w:rPr>
              <w:t xml:space="preserve"> en la plataforma Moodle</w:t>
            </w:r>
          </w:p>
          <w:p w14:paraId="13FFFD59"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MS Mincho" w:hAnsi="Calibri" w:cs="Calibri"/>
                <w:bCs/>
                <w:kern w:val="0"/>
                <w:lang w:val="es-ES_tradnl" w:eastAsia="es-CR"/>
                <w14:ligatures w14:val="none"/>
              </w:rPr>
            </w:pPr>
            <w:r w:rsidRPr="00B3411D">
              <w:rPr>
                <w:rFonts w:ascii="Calibri" w:eastAsia="MS Mincho" w:hAnsi="Calibri" w:cs="Calibri"/>
                <w:bCs/>
                <w:color w:val="0070C0"/>
                <w:kern w:val="0"/>
                <w:lang w:val="es-ES_tradnl" w:eastAsia="es-CR"/>
                <w14:ligatures w14:val="none"/>
              </w:rPr>
              <w:t>Guía para la participación en un foro en la plataforma Moodle</w:t>
            </w:r>
          </w:p>
          <w:p w14:paraId="5EA6FE1F"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3118" w:type="dxa"/>
          </w:tcPr>
          <w:p w14:paraId="476FCD58"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lastRenderedPageBreak/>
              <w:t>Exposición magistral en un encuentro sincrónico virtual (formativo).</w:t>
            </w:r>
          </w:p>
          <w:p w14:paraId="272579E5"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el foro temático grupal: Seguimiento a Jesús y espiritualidad cristiana, donde se revisarán las lecturas asignadas y se realizará una discusión grupal.</w:t>
            </w:r>
          </w:p>
          <w:p w14:paraId="63C20042" w14:textId="77777777" w:rsidR="00B3411D" w:rsidRPr="00B3411D" w:rsidRDefault="00B3411D" w:rsidP="00B3411D">
            <w:pPr>
              <w:spacing w:after="0" w:line="240" w:lineRule="auto"/>
              <w:ind w:right="35"/>
              <w:rPr>
                <w:rFonts w:ascii="Calibri" w:eastAsia="Times New Roman" w:hAnsi="Calibri" w:cs="Calibri"/>
                <w:color w:val="000000"/>
                <w:kern w:val="0"/>
                <w:lang w:val="es-ES_tradnl" w:eastAsia="es-CR"/>
                <w14:ligatures w14:val="none"/>
              </w:rPr>
            </w:pPr>
          </w:p>
        </w:tc>
      </w:tr>
      <w:tr w:rsidR="00B3411D" w:rsidRPr="00B3411D" w14:paraId="006EF340" w14:textId="77777777" w:rsidTr="4C9C2619">
        <w:trPr>
          <w:trHeight w:val="557"/>
          <w:jc w:val="center"/>
        </w:trPr>
        <w:tc>
          <w:tcPr>
            <w:tcW w:w="1271" w:type="dxa"/>
          </w:tcPr>
          <w:p w14:paraId="643E398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7</w:t>
            </w:r>
          </w:p>
        </w:tc>
        <w:tc>
          <w:tcPr>
            <w:tcW w:w="2410" w:type="dxa"/>
          </w:tcPr>
          <w:p w14:paraId="423145C9"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3: La liturgia en las primeras comunidades cristianas</w:t>
            </w:r>
          </w:p>
          <w:p w14:paraId="774EF8C6" w14:textId="77777777" w:rsidR="00B3411D" w:rsidRPr="00B3411D" w:rsidRDefault="00B3411D" w:rsidP="4C9C2619">
            <w:pPr>
              <w:widowControl w:val="0"/>
              <w:overflowPunct w:val="0"/>
              <w:autoSpaceDE w:val="0"/>
              <w:autoSpaceDN w:val="0"/>
              <w:adjustRightInd w:val="0"/>
              <w:spacing w:before="120"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3.2 Las críticas de Jesús al </w:t>
            </w:r>
            <w:proofErr w:type="spellStart"/>
            <w:r w:rsidRPr="4C9C2619">
              <w:rPr>
                <w:rFonts w:ascii="Calibri" w:eastAsia="Times New Roman" w:hAnsi="Calibri" w:cs="Calibri"/>
                <w:kern w:val="0"/>
                <w:lang w:val="es-ES" w:eastAsia="es-CR"/>
                <w14:ligatures w14:val="none"/>
              </w:rPr>
              <w:t>cultualismo</w:t>
            </w:r>
            <w:proofErr w:type="spellEnd"/>
            <w:r w:rsidRPr="4C9C2619">
              <w:rPr>
                <w:rFonts w:ascii="Calibri" w:eastAsia="Times New Roman" w:hAnsi="Calibri" w:cs="Calibri"/>
                <w:kern w:val="0"/>
                <w:lang w:val="es-ES" w:eastAsia="es-CR"/>
                <w14:ligatures w14:val="none"/>
              </w:rPr>
              <w:t xml:space="preserve"> de su época</w:t>
            </w:r>
          </w:p>
          <w:p w14:paraId="2BAAAC15"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3411D">
              <w:rPr>
                <w:rFonts w:ascii="Calibri" w:eastAsia="Times New Roman" w:hAnsi="Calibri" w:cs="Calibri"/>
                <w:bCs/>
                <w:kern w:val="0"/>
                <w:lang w:val="es-ES_tradnl" w:eastAsia="es-CR"/>
                <w14:ligatures w14:val="none"/>
              </w:rPr>
              <w:t>3.3 El culto en las comunidades cristianas primitivas</w:t>
            </w:r>
          </w:p>
          <w:p w14:paraId="4D9867B0"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6ACE9E68" w14:textId="77777777" w:rsidR="00B3411D" w:rsidRPr="00B3411D" w:rsidRDefault="00B3411D" w:rsidP="00B3411D">
            <w:pPr>
              <w:widowControl w:val="0"/>
              <w:overflowPunct w:val="0"/>
              <w:autoSpaceDE w:val="0"/>
              <w:autoSpaceDN w:val="0"/>
              <w:adjustRightInd w:val="0"/>
              <w:spacing w:before="120" w:line="240" w:lineRule="auto"/>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139FE2F6" w14:textId="77777777" w:rsidR="00B3411D" w:rsidRPr="00B3411D" w:rsidRDefault="00B3411D" w:rsidP="00B3411D">
            <w:pPr>
              <w:widowControl w:val="0"/>
              <w:overflowPunct w:val="0"/>
              <w:autoSpaceDE w:val="0"/>
              <w:autoSpaceDN w:val="0"/>
              <w:adjustRightInd w:val="0"/>
              <w:spacing w:before="120" w:line="240" w:lineRule="auto"/>
              <w:rPr>
                <w:rFonts w:ascii="Calibri" w:eastAsia="Times New Roman"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“Violencia contra las personas sufrientes. El caso de quienes padecían enfermedad en tiempos de Jesús. Un acercamiento pastoral”. </w:t>
            </w:r>
            <w:r w:rsidRPr="00B3411D">
              <w:rPr>
                <w:rFonts w:ascii="Calibri" w:eastAsia="MS Mincho" w:hAnsi="Calibri" w:cs="Calibri"/>
                <w:i/>
                <w:kern w:val="0"/>
                <w:lang w:val="es-ES_tradnl" w:eastAsia="es-CR"/>
                <w14:ligatures w14:val="none"/>
              </w:rPr>
              <w:t xml:space="preserve">Vida y Pensamiento 22, </w:t>
            </w:r>
            <w:r w:rsidRPr="00B3411D">
              <w:rPr>
                <w:rFonts w:ascii="Calibri" w:eastAsia="MS Mincho" w:hAnsi="Calibri" w:cs="Calibri"/>
                <w:kern w:val="0"/>
                <w:lang w:val="es-ES_tradnl" w:eastAsia="es-CR"/>
                <w14:ligatures w14:val="none"/>
              </w:rPr>
              <w:t>n.1 (2002): pp.103-134.</w:t>
            </w:r>
          </w:p>
          <w:p w14:paraId="77D2AF7C"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proofErr w:type="spellStart"/>
            <w:r w:rsidRPr="4C9C2619">
              <w:rPr>
                <w:rFonts w:ascii="Calibri" w:eastAsia="Times New Roman" w:hAnsi="Calibri" w:cs="Calibri"/>
                <w:color w:val="222222"/>
                <w:kern w:val="0"/>
                <w:shd w:val="clear" w:color="auto" w:fill="FFFFFF"/>
                <w:lang w:val="es-ES" w:eastAsia="es-CR"/>
                <w14:ligatures w14:val="none"/>
              </w:rPr>
              <w:t>Wren</w:t>
            </w:r>
            <w:proofErr w:type="spellEnd"/>
            <w:r w:rsidRPr="4C9C2619">
              <w:rPr>
                <w:rFonts w:ascii="Calibri" w:eastAsia="Times New Roman" w:hAnsi="Calibri" w:cs="Calibri"/>
                <w:color w:val="222222"/>
                <w:kern w:val="0"/>
                <w:shd w:val="clear" w:color="auto" w:fill="FFFFFF"/>
                <w:lang w:val="es-ES" w:eastAsia="es-CR"/>
                <w14:ligatures w14:val="none"/>
              </w:rPr>
              <w:t>, Brian. "Justicia y liberación en la eucaristía". En</w:t>
            </w:r>
            <w:r w:rsidRPr="4C9C2619">
              <w:rPr>
                <w:rFonts w:ascii="Calibri" w:eastAsia="Times New Roman" w:hAnsi="Calibri" w:cs="Calibri"/>
                <w:i/>
                <w:iCs/>
                <w:color w:val="222222"/>
                <w:kern w:val="0"/>
                <w:shd w:val="clear" w:color="auto" w:fill="FFFFFF"/>
                <w:lang w:val="es-ES" w:eastAsia="es-CR"/>
                <w14:ligatures w14:val="none"/>
              </w:rPr>
              <w:t> La Celebración Cristiana: </w:t>
            </w:r>
            <w:r w:rsidRPr="4C9C2619">
              <w:rPr>
                <w:rFonts w:ascii="Calibri" w:eastAsia="Times New Roman" w:hAnsi="Calibri" w:cs="Calibri"/>
                <w:color w:val="222222"/>
                <w:kern w:val="0"/>
                <w:shd w:val="clear" w:color="auto" w:fill="FFFFFF"/>
                <w:lang w:val="es-ES" w:eastAsia="es-CR"/>
                <w14:ligatures w14:val="none"/>
              </w:rPr>
              <w:t xml:space="preserve">antología del curso CTX110 Liturgia I, compilada por Edwin Mora Guevara, 67-72. San José: Universidad Bíblica Latinoamericana, 2009. </w:t>
            </w:r>
            <w:r w:rsidRPr="4C9C2619">
              <w:rPr>
                <w:rFonts w:ascii="Calibri" w:eastAsia="MS Mincho" w:hAnsi="Calibri" w:cs="Calibri"/>
                <w:color w:val="0070C0"/>
                <w:kern w:val="0"/>
                <w:lang w:val="es-ES" w:eastAsia="es-CR"/>
                <w14:ligatures w14:val="none"/>
              </w:rPr>
              <w:t>(clásico, última edición)</w:t>
            </w:r>
          </w:p>
          <w:p w14:paraId="68A32A1F" w14:textId="77777777" w:rsidR="00B3411D" w:rsidRPr="00B3411D" w:rsidRDefault="00B3411D" w:rsidP="00B3411D">
            <w:pPr>
              <w:widowControl w:val="0"/>
              <w:overflowPunct w:val="0"/>
              <w:autoSpaceDE w:val="0"/>
              <w:autoSpaceDN w:val="0"/>
              <w:adjustRightInd w:val="0"/>
              <w:spacing w:before="120" w:line="240" w:lineRule="auto"/>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5693CDB0" w14:textId="77777777" w:rsidR="00B3411D" w:rsidRPr="00B3411D" w:rsidRDefault="00B3411D" w:rsidP="00B3411D">
            <w:pPr>
              <w:widowControl w:val="0"/>
              <w:overflowPunct w:val="0"/>
              <w:autoSpaceDE w:val="0"/>
              <w:autoSpaceDN w:val="0"/>
              <w:adjustRightInd w:val="0"/>
              <w:spacing w:before="120" w:line="240" w:lineRule="auto"/>
              <w:rPr>
                <w:rFonts w:ascii="Calibri" w:eastAsia="Times New Roman" w:hAnsi="Calibri" w:cs="Calibri"/>
                <w:bCs/>
                <w:color w:val="222222"/>
                <w:kern w:val="0"/>
                <w:shd w:val="clear" w:color="auto" w:fill="FFFFFF"/>
                <w:lang w:val="es-ES_tradnl" w:eastAsia="es-CR"/>
                <w14:ligatures w14:val="none"/>
              </w:rPr>
            </w:pPr>
            <w:r w:rsidRPr="00B3411D">
              <w:rPr>
                <w:rFonts w:ascii="Calibri" w:eastAsia="MS Mincho" w:hAnsi="Calibri" w:cs="Calibri"/>
                <w:bCs/>
                <w:color w:val="0070C0"/>
                <w:kern w:val="0"/>
                <w:lang w:val="es-ES_tradnl" w:eastAsia="es-CR"/>
                <w14:ligatures w14:val="none"/>
              </w:rPr>
              <w:t xml:space="preserve">Guía para la participación en </w:t>
            </w:r>
            <w:r w:rsidRPr="00B3411D">
              <w:rPr>
                <w:rFonts w:ascii="Calibri" w:eastAsia="MS Mincho" w:hAnsi="Calibri" w:cs="Calibri"/>
                <w:bCs/>
                <w:color w:val="0070C0"/>
                <w:kern w:val="0"/>
                <w:lang w:val="es-ES_tradnl" w:eastAsia="es-CR"/>
                <w14:ligatures w14:val="none"/>
              </w:rPr>
              <w:lastRenderedPageBreak/>
              <w:t>un foro en la plataforma Moodle</w:t>
            </w:r>
          </w:p>
        </w:tc>
        <w:tc>
          <w:tcPr>
            <w:tcW w:w="3118" w:type="dxa"/>
          </w:tcPr>
          <w:p w14:paraId="7F46BE63"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lastRenderedPageBreak/>
              <w:t>Elaboración de un informe de investigación (ensayo: tarea 4).</w:t>
            </w:r>
          </w:p>
          <w:p w14:paraId="5802D9EB"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 xml:space="preserve">Retroalimentación y debate grupal en el foro donde se entrega el ensayo. </w:t>
            </w:r>
          </w:p>
        </w:tc>
      </w:tr>
      <w:tr w:rsidR="00B3411D" w:rsidRPr="00B3411D" w14:paraId="5A170C73" w14:textId="77777777" w:rsidTr="4C9C2619">
        <w:trPr>
          <w:trHeight w:val="557"/>
          <w:jc w:val="center"/>
        </w:trPr>
        <w:tc>
          <w:tcPr>
            <w:tcW w:w="1271" w:type="dxa"/>
          </w:tcPr>
          <w:p w14:paraId="3B76A0C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8</w:t>
            </w:r>
          </w:p>
        </w:tc>
        <w:tc>
          <w:tcPr>
            <w:tcW w:w="2410" w:type="dxa"/>
          </w:tcPr>
          <w:p w14:paraId="51032440"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4: Desarrollo litúrgico en Occidente: Desde el primer siglo D.C. hasta nuestros días</w:t>
            </w:r>
          </w:p>
          <w:p w14:paraId="00927968"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p>
          <w:p w14:paraId="0E482935"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4.1 Formas litúrgicas en occidente</w:t>
            </w:r>
          </w:p>
          <w:p w14:paraId="01617FFF"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sz w:val="12"/>
                <w:lang w:val="es-ES_tradnl" w:eastAsia="es-CR"/>
                <w14:ligatures w14:val="none"/>
              </w:rPr>
            </w:pPr>
          </w:p>
          <w:p w14:paraId="1477F8EC"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5995360F" w14:textId="77777777" w:rsidR="00B3411D" w:rsidRPr="00B3411D" w:rsidRDefault="00B3411D" w:rsidP="00B3411D">
            <w:pPr>
              <w:widowControl w:val="0"/>
              <w:overflowPunct w:val="0"/>
              <w:autoSpaceDE w:val="0"/>
              <w:autoSpaceDN w:val="0"/>
              <w:adjustRightInd w:val="0"/>
              <w:spacing w:before="120"/>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4C47D39C"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“Desarrollo litúrgico en Occidente desde el primer siglo hasta nuestros días”. En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43-49.</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San José: SEBILA, 2009.  </w:t>
            </w:r>
            <w:r w:rsidRPr="00B3411D">
              <w:rPr>
                <w:rFonts w:ascii="Calibri" w:eastAsia="MS Mincho" w:hAnsi="Calibri" w:cs="Calibri"/>
                <w:color w:val="0070C0"/>
                <w:kern w:val="0"/>
                <w:lang w:val="es-ES_tradnl" w:eastAsia="es-CR"/>
                <w14:ligatures w14:val="none"/>
              </w:rPr>
              <w:t>(clásico, última edición)</w:t>
            </w:r>
          </w:p>
          <w:p w14:paraId="7A8DF2AB"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Martínez, Joel y Raquel Martínez. “El año cristiano”. En </w:t>
            </w:r>
            <w:r w:rsidRPr="4C9C2619">
              <w:rPr>
                <w:rFonts w:ascii="Calibri" w:eastAsia="MS Mincho" w:hAnsi="Calibri" w:cs="Calibri"/>
                <w:i/>
                <w:iCs/>
                <w:kern w:val="0"/>
                <w:lang w:val="es-ES" w:eastAsia="es-CR"/>
                <w14:ligatures w14:val="none"/>
              </w:rPr>
              <w:t xml:space="preserve">Fiesta cristiana: recursos para la Adoración, </w:t>
            </w:r>
            <w:r w:rsidRPr="4C9C2619">
              <w:rPr>
                <w:rFonts w:ascii="Calibri" w:eastAsia="MS Mincho" w:hAnsi="Calibri" w:cs="Calibri"/>
                <w:kern w:val="0"/>
                <w:lang w:val="es-ES" w:eastAsia="es-CR"/>
                <w14:ligatures w14:val="none"/>
              </w:rPr>
              <w:t>104-123.</w:t>
            </w:r>
            <w:r w:rsidRPr="4C9C2619">
              <w:rPr>
                <w:rFonts w:ascii="Calibri" w:eastAsia="MS Mincho" w:hAnsi="Calibri" w:cs="Calibri"/>
                <w:i/>
                <w:iCs/>
                <w:kern w:val="0"/>
                <w:lang w:val="es-ES" w:eastAsia="es-CR"/>
                <w14:ligatures w14:val="none"/>
              </w:rPr>
              <w:t xml:space="preserve"> </w:t>
            </w:r>
            <w:r w:rsidRPr="4C9C2619">
              <w:rPr>
                <w:rFonts w:ascii="Calibri" w:eastAsia="MS Mincho" w:hAnsi="Calibri" w:cs="Calibri"/>
                <w:kern w:val="0"/>
                <w:lang w:val="es-ES" w:eastAsia="es-CR"/>
                <w14:ligatures w14:val="none"/>
              </w:rPr>
              <w:t xml:space="preserve">Nashville: Abingdon </w:t>
            </w:r>
            <w:proofErr w:type="spellStart"/>
            <w:r w:rsidRPr="4C9C2619">
              <w:rPr>
                <w:rFonts w:ascii="Calibri" w:eastAsia="MS Mincho" w:hAnsi="Calibri" w:cs="Calibri"/>
                <w:kern w:val="0"/>
                <w:lang w:val="es-ES" w:eastAsia="es-CR"/>
                <w14:ligatures w14:val="none"/>
              </w:rPr>
              <w:t>Press</w:t>
            </w:r>
            <w:proofErr w:type="spellEnd"/>
            <w:r w:rsidRPr="4C9C2619">
              <w:rPr>
                <w:rFonts w:ascii="Calibri" w:eastAsia="MS Mincho" w:hAnsi="Calibri" w:cs="Calibri"/>
                <w:kern w:val="0"/>
                <w:lang w:val="es-ES" w:eastAsia="es-CR"/>
                <w14:ligatures w14:val="none"/>
              </w:rPr>
              <w:t xml:space="preserve">, 2003. </w:t>
            </w:r>
            <w:r w:rsidRPr="4C9C2619">
              <w:rPr>
                <w:rFonts w:ascii="Calibri" w:eastAsia="MS Mincho" w:hAnsi="Calibri" w:cs="Calibri"/>
                <w:color w:val="0070C0"/>
                <w:kern w:val="0"/>
                <w:lang w:val="es-ES" w:eastAsia="es-CR"/>
                <w14:ligatures w14:val="none"/>
              </w:rPr>
              <w:t>(clásico, última edición)</w:t>
            </w:r>
          </w:p>
          <w:p w14:paraId="32A372A6"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Times New Roman" w:hAnsi="Calibri" w:cs="Calibri"/>
                <w:kern w:val="0"/>
                <w:lang w:val="es-ES_tradnl" w:eastAsia="es-CR"/>
                <w14:ligatures w14:val="none"/>
              </w:rPr>
              <w:t xml:space="preserve">López Rubio, Amós. “La liturgia y el tiempo: celebrar a Cristo a través del año litúrgico”. En </w:t>
            </w:r>
            <w:r w:rsidRPr="00B3411D">
              <w:rPr>
                <w:rFonts w:ascii="Calibri" w:eastAsia="Times New Roman" w:hAnsi="Calibri" w:cs="Calibri"/>
                <w:i/>
                <w:kern w:val="0"/>
                <w:lang w:val="es-ES_tradnl" w:eastAsia="es-CR"/>
                <w14:ligatures w14:val="none"/>
              </w:rPr>
              <w:t>Liturgia, fiesta de la esperanza: una introducción al culto cristiano desde una perspectiva ecuménica y latinoamericana</w:t>
            </w:r>
            <w:r w:rsidRPr="00B3411D">
              <w:rPr>
                <w:rFonts w:ascii="Calibri" w:eastAsia="Times New Roman" w:hAnsi="Calibri" w:cs="Calibri"/>
                <w:kern w:val="0"/>
                <w:lang w:val="es-ES_tradnl" w:eastAsia="es-CR"/>
                <w14:ligatures w14:val="none"/>
              </w:rPr>
              <w:t xml:space="preserve">, compilado por Amós López Rubio, 153-176. La Habana: Editorial Caminos, 2018. </w:t>
            </w:r>
            <w:r w:rsidRPr="00B3411D">
              <w:rPr>
                <w:rFonts w:ascii="Calibri" w:eastAsia="MS Mincho" w:hAnsi="Calibri" w:cs="Calibri"/>
                <w:color w:val="0070C0"/>
                <w:kern w:val="0"/>
                <w:lang w:val="es-ES_tradnl" w:eastAsia="es-CR"/>
                <w14:ligatures w14:val="none"/>
              </w:rPr>
              <w:t>(clásico, última edición)</w:t>
            </w:r>
          </w:p>
          <w:p w14:paraId="43720CC4"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b/>
                <w:kern w:val="0"/>
                <w:lang w:val="es-ES_tradnl" w:eastAsia="es-CR"/>
                <w14:ligatures w14:val="none"/>
              </w:rPr>
            </w:pPr>
            <w:r w:rsidRPr="00B3411D">
              <w:rPr>
                <w:rFonts w:ascii="Calibri" w:eastAsia="Times New Roman" w:hAnsi="Calibri" w:cs="Calibri"/>
                <w:b/>
                <w:kern w:val="0"/>
                <w:lang w:val="es-ES_tradnl" w:eastAsia="es-CR"/>
                <w14:ligatures w14:val="none"/>
              </w:rPr>
              <w:t>Material complementario</w:t>
            </w:r>
          </w:p>
          <w:p w14:paraId="09609977" w14:textId="77777777" w:rsidR="00B3411D" w:rsidRPr="00B3411D" w:rsidRDefault="00B3411D" w:rsidP="00B3411D">
            <w:pPr>
              <w:widowControl w:val="0"/>
              <w:overflowPunct w:val="0"/>
              <w:autoSpaceDE w:val="0"/>
              <w:autoSpaceDN w:val="0"/>
              <w:adjustRightInd w:val="0"/>
              <w:spacing w:before="120" w:line="240" w:lineRule="auto"/>
              <w:rPr>
                <w:rFonts w:ascii="Calibri" w:eastAsia="Times New Roman" w:hAnsi="Calibri" w:cs="Calibri"/>
                <w:color w:val="0563C1"/>
                <w:kern w:val="0"/>
                <w:u w:val="single"/>
                <w:lang w:eastAsia="es-CR"/>
                <w14:ligatures w14:val="none"/>
              </w:rPr>
            </w:pPr>
            <w:r w:rsidRPr="00B3411D">
              <w:rPr>
                <w:rFonts w:ascii="Calibri" w:eastAsia="Times New Roman" w:hAnsi="Calibri" w:cs="Calibri"/>
                <w:kern w:val="0"/>
                <w:lang w:eastAsia="es-CR"/>
                <w14:ligatures w14:val="none"/>
              </w:rPr>
              <w:t xml:space="preserve">Pérez Díaz, Moisés Daniel. “Vida cristiana y celebración litúrgica: La relación entre liturgia y espiritualidad”. </w:t>
            </w:r>
            <w:r w:rsidRPr="00B3411D">
              <w:rPr>
                <w:rFonts w:ascii="Calibri" w:eastAsia="Times New Roman" w:hAnsi="Calibri" w:cs="Calibri"/>
                <w:i/>
                <w:kern w:val="0"/>
                <w:lang w:eastAsia="es-CR"/>
                <w14:ligatures w14:val="none"/>
              </w:rPr>
              <w:t xml:space="preserve">Revista </w:t>
            </w:r>
            <w:proofErr w:type="spellStart"/>
            <w:r w:rsidRPr="00B3411D">
              <w:rPr>
                <w:rFonts w:ascii="Calibri" w:eastAsia="Times New Roman" w:hAnsi="Calibri" w:cs="Calibri"/>
                <w:i/>
                <w:kern w:val="0"/>
                <w:lang w:eastAsia="es-CR"/>
                <w14:ligatures w14:val="none"/>
              </w:rPr>
              <w:t>Albertus</w:t>
            </w:r>
            <w:proofErr w:type="spellEnd"/>
            <w:r w:rsidRPr="00B3411D">
              <w:rPr>
                <w:rFonts w:ascii="Calibri" w:eastAsia="Times New Roman" w:hAnsi="Calibri" w:cs="Calibri"/>
                <w:i/>
                <w:kern w:val="0"/>
                <w:lang w:eastAsia="es-CR"/>
                <w14:ligatures w14:val="none"/>
              </w:rPr>
              <w:t xml:space="preserve"> Magnus</w:t>
            </w:r>
            <w:r w:rsidRPr="00B3411D">
              <w:rPr>
                <w:rFonts w:ascii="Calibri" w:eastAsia="Times New Roman" w:hAnsi="Calibri" w:cs="Calibri"/>
                <w:kern w:val="0"/>
                <w:lang w:eastAsia="es-CR"/>
                <w14:ligatures w14:val="none"/>
              </w:rPr>
              <w:t xml:space="preserve"> 5, n. 2 (2014): 243-266. Acceso el 18 de diciembre de 2020. </w:t>
            </w:r>
            <w:hyperlink r:id="rId408" w:history="1">
              <w:r w:rsidRPr="00B3411D">
                <w:rPr>
                  <w:rFonts w:ascii="Calibri" w:eastAsia="Times New Roman" w:hAnsi="Calibri" w:cs="Calibri"/>
                  <w:color w:val="0563C1"/>
                  <w:kern w:val="0"/>
                  <w:u w:val="single"/>
                  <w:lang w:eastAsia="es-CR"/>
                  <w14:ligatures w14:val="none"/>
                </w:rPr>
                <w:t>https://doi.org/10.15332/s2</w:t>
              </w:r>
              <w:r w:rsidRPr="00B3411D">
                <w:rPr>
                  <w:rFonts w:ascii="Calibri" w:eastAsia="Times New Roman" w:hAnsi="Calibri" w:cs="Calibri"/>
                  <w:color w:val="0563C1"/>
                  <w:kern w:val="0"/>
                  <w:u w:val="single"/>
                  <w:lang w:eastAsia="es-CR"/>
                  <w14:ligatures w14:val="none"/>
                </w:rPr>
                <w:lastRenderedPageBreak/>
                <w:t>011-9771.2014.0002.04</w:t>
              </w:r>
            </w:hyperlink>
          </w:p>
          <w:p w14:paraId="59EC3109" w14:textId="77777777" w:rsidR="00B3411D" w:rsidRPr="00B3411D" w:rsidRDefault="00B3411D" w:rsidP="00B3411D">
            <w:pPr>
              <w:widowControl w:val="0"/>
              <w:overflowPunct w:val="0"/>
              <w:autoSpaceDE w:val="0"/>
              <w:autoSpaceDN w:val="0"/>
              <w:adjustRightInd w:val="0"/>
              <w:spacing w:before="120" w:line="240" w:lineRule="auto"/>
              <w:rPr>
                <w:rFonts w:ascii="Calibri" w:eastAsia="MS Mincho" w:hAnsi="Calibri" w:cs="Calibri"/>
                <w:kern w:val="0"/>
                <w:lang w:val="es-ES_tradnl" w:eastAsia="es-CR"/>
                <w14:ligatures w14:val="none"/>
              </w:rPr>
            </w:pPr>
            <w:r w:rsidRPr="00B3411D">
              <w:rPr>
                <w:rFonts w:ascii="Calibri" w:eastAsia="Times New Roman" w:hAnsi="Calibri" w:cs="Calibri"/>
                <w:color w:val="0563C1"/>
                <w:kern w:val="0"/>
                <w:lang w:eastAsia="es-CR"/>
                <w14:ligatures w14:val="none"/>
              </w:rPr>
              <w:t xml:space="preserve">Guía para la participación mediante la herramienta Big Blue </w:t>
            </w:r>
            <w:proofErr w:type="spellStart"/>
            <w:r w:rsidRPr="00B3411D">
              <w:rPr>
                <w:rFonts w:ascii="Calibri" w:eastAsia="Times New Roman" w:hAnsi="Calibri" w:cs="Calibri"/>
                <w:color w:val="0563C1"/>
                <w:kern w:val="0"/>
                <w:lang w:eastAsia="es-CR"/>
                <w14:ligatures w14:val="none"/>
              </w:rPr>
              <w:t>Button</w:t>
            </w:r>
            <w:proofErr w:type="spellEnd"/>
            <w:r w:rsidRPr="00B3411D">
              <w:rPr>
                <w:rFonts w:ascii="Calibri" w:eastAsia="Times New Roman" w:hAnsi="Calibri" w:cs="Calibri"/>
                <w:color w:val="0563C1"/>
                <w:kern w:val="0"/>
                <w:lang w:eastAsia="es-CR"/>
                <w14:ligatures w14:val="none"/>
              </w:rPr>
              <w:t xml:space="preserve"> en la plataforma Moodle</w:t>
            </w:r>
          </w:p>
        </w:tc>
        <w:tc>
          <w:tcPr>
            <w:tcW w:w="3118" w:type="dxa"/>
          </w:tcPr>
          <w:p w14:paraId="5522190F"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lastRenderedPageBreak/>
              <w:t>Revisión de la literatura asignada y presentación docente en un encuentro sincrónico virtual (formativo).</w:t>
            </w:r>
          </w:p>
          <w:p w14:paraId="182838C8"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Elaboración de un resumen (tarea 5).</w:t>
            </w:r>
          </w:p>
        </w:tc>
      </w:tr>
      <w:tr w:rsidR="00B3411D" w:rsidRPr="00B3411D" w14:paraId="0EA60232" w14:textId="77777777" w:rsidTr="4C9C2619">
        <w:trPr>
          <w:trHeight w:val="553"/>
          <w:jc w:val="center"/>
        </w:trPr>
        <w:tc>
          <w:tcPr>
            <w:tcW w:w="1271" w:type="dxa"/>
            <w:shd w:val="clear" w:color="auto" w:fill="auto"/>
          </w:tcPr>
          <w:p w14:paraId="41456FA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9</w:t>
            </w:r>
          </w:p>
          <w:p w14:paraId="1FD9CF6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p>
        </w:tc>
        <w:tc>
          <w:tcPr>
            <w:tcW w:w="2410" w:type="dxa"/>
            <w:shd w:val="clear" w:color="auto" w:fill="auto"/>
          </w:tcPr>
          <w:p w14:paraId="01F7A6C6"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4: Desarrollo litúrgico en Occidente: Desde el primer siglo D.C. hasta nuestros días</w:t>
            </w:r>
          </w:p>
          <w:p w14:paraId="14C5BE6B"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0126C31A"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4.1 Formas litúrgicas en occidente</w:t>
            </w:r>
          </w:p>
          <w:p w14:paraId="471777B7"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shd w:val="clear" w:color="auto" w:fill="auto"/>
          </w:tcPr>
          <w:p w14:paraId="6A5874F5"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sz w:val="12"/>
                <w14:ligatures w14:val="none"/>
              </w:rPr>
            </w:pPr>
          </w:p>
          <w:p w14:paraId="5E8BB943" w14:textId="77777777" w:rsidR="00B3411D" w:rsidRPr="00B3411D" w:rsidRDefault="00B3411D" w:rsidP="00B3411D">
            <w:pPr>
              <w:autoSpaceDE w:val="0"/>
              <w:autoSpaceDN w:val="0"/>
              <w:adjustRightInd w:val="0"/>
              <w:spacing w:after="0" w:line="240" w:lineRule="auto"/>
              <w:rPr>
                <w:rFonts w:ascii="Calibri" w:eastAsia="MS Mincho" w:hAnsi="Calibri" w:cs="Calibri"/>
                <w:color w:val="0070C0"/>
                <w:kern w:val="0"/>
                <w14:ligatures w14:val="none"/>
              </w:rPr>
            </w:pPr>
            <w:r w:rsidRPr="00B3411D">
              <w:rPr>
                <w:rFonts w:ascii="Calibri" w:eastAsia="MS Mincho" w:hAnsi="Calibri" w:cs="Calibri"/>
                <w:color w:val="0070C0"/>
                <w:kern w:val="0"/>
                <w14:ligatures w14:val="none"/>
              </w:rPr>
              <w:t>Ruta de aprendizaje</w:t>
            </w:r>
          </w:p>
          <w:p w14:paraId="314F2C83"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14:ligatures w14:val="none"/>
              </w:rPr>
            </w:pPr>
          </w:p>
          <w:p w14:paraId="456B6A04"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Times New Roman" w:hAnsi="Calibri" w:cs="Calibri"/>
                <w:kern w:val="0"/>
                <w:lang w:val="es-ES_tradnl" w:eastAsia="es-CR"/>
                <w14:ligatures w14:val="none"/>
              </w:rPr>
              <w:t xml:space="preserve">Maxwell, William D. “Formas litúrgicas en occidente”. En </w:t>
            </w:r>
            <w:r w:rsidRPr="00B3411D">
              <w:rPr>
                <w:rFonts w:ascii="Calibri" w:eastAsia="Times New Roman" w:hAnsi="Calibri" w:cs="Calibri"/>
                <w:i/>
                <w:iCs/>
                <w:kern w:val="0"/>
                <w:lang w:val="es-ES_tradnl" w:eastAsia="es-CR"/>
                <w14:ligatures w14:val="none"/>
              </w:rPr>
              <w:t xml:space="preserve">La Celebración Cristiana: </w:t>
            </w:r>
            <w:r w:rsidRPr="00B3411D">
              <w:rPr>
                <w:rFonts w:ascii="Calibri" w:eastAsia="Times New Roman" w:hAnsi="Calibri" w:cs="Calibri"/>
                <w:kern w:val="0"/>
                <w:lang w:val="es-ES_tradnl" w:eastAsia="es-CR"/>
                <w14:ligatures w14:val="none"/>
              </w:rPr>
              <w:t xml:space="preserve">antología del curso CTX110 Liturgia I, por Edwin Mora Guevara, 155-184. San José: Universidad Bíblica Latinoamericana, 2009. </w:t>
            </w:r>
            <w:r w:rsidRPr="00B3411D">
              <w:rPr>
                <w:rFonts w:ascii="Calibri" w:eastAsia="MS Mincho" w:hAnsi="Calibri" w:cs="Calibri"/>
                <w:color w:val="0070C0"/>
                <w:kern w:val="0"/>
                <w:lang w:val="es-ES_tradnl" w:eastAsia="es-CR"/>
                <w14:ligatures w14:val="none"/>
              </w:rPr>
              <w:t>(clásico, última edición)</w:t>
            </w:r>
          </w:p>
          <w:p w14:paraId="44CEFFC8"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14:ligatures w14:val="none"/>
              </w:rPr>
            </w:pPr>
          </w:p>
          <w:p w14:paraId="54377DD0" w14:textId="77777777" w:rsidR="00B3411D" w:rsidRPr="00B3411D" w:rsidRDefault="00B3411D" w:rsidP="00B3411D">
            <w:pPr>
              <w:autoSpaceDE w:val="0"/>
              <w:autoSpaceDN w:val="0"/>
              <w:adjustRightInd w:val="0"/>
              <w:spacing w:after="0" w:line="240" w:lineRule="auto"/>
              <w:rPr>
                <w:rFonts w:ascii="Calibri" w:eastAsia="MS Mincho" w:hAnsi="Calibri" w:cs="Calibri"/>
                <w:b/>
                <w:color w:val="0070C0"/>
                <w:kern w:val="0"/>
                <w14:ligatures w14:val="none"/>
              </w:rPr>
            </w:pPr>
            <w:r w:rsidRPr="00B3411D">
              <w:rPr>
                <w:rFonts w:ascii="Calibri" w:eastAsia="MS Mincho" w:hAnsi="Calibri" w:cs="Calibri"/>
                <w:b/>
                <w:color w:val="0070C0"/>
                <w:kern w:val="0"/>
                <w14:ligatures w14:val="none"/>
              </w:rPr>
              <w:t>Material complementario</w:t>
            </w:r>
          </w:p>
          <w:p w14:paraId="6FE26C73" w14:textId="77777777" w:rsidR="00B3411D" w:rsidRPr="00B3411D" w:rsidRDefault="00B3411D" w:rsidP="00B3411D">
            <w:pPr>
              <w:autoSpaceDE w:val="0"/>
              <w:autoSpaceDN w:val="0"/>
              <w:adjustRightInd w:val="0"/>
              <w:spacing w:after="0" w:line="240" w:lineRule="auto"/>
              <w:rPr>
                <w:rFonts w:ascii="Calibri" w:eastAsia="MS Mincho" w:hAnsi="Calibri" w:cs="Calibri"/>
                <w:b/>
                <w:color w:val="0070C0"/>
                <w:kern w:val="0"/>
                <w14:ligatures w14:val="none"/>
              </w:rPr>
            </w:pPr>
          </w:p>
          <w:p w14:paraId="5C677A73" w14:textId="77777777" w:rsidR="00B3411D" w:rsidRPr="00B3411D" w:rsidRDefault="00B3411D" w:rsidP="00B3411D">
            <w:pPr>
              <w:autoSpaceDE w:val="0"/>
              <w:autoSpaceDN w:val="0"/>
              <w:adjustRightInd w:val="0"/>
              <w:spacing w:after="0" w:line="240" w:lineRule="auto"/>
              <w:rPr>
                <w:rFonts w:ascii="Calibri" w:eastAsia="Calibri" w:hAnsi="Calibri" w:cs="Calibri"/>
                <w:bCs/>
                <w:color w:val="000000"/>
                <w:kern w:val="0"/>
                <w14:ligatures w14:val="none"/>
              </w:rPr>
            </w:pPr>
            <w:r w:rsidRPr="00B3411D">
              <w:rPr>
                <w:rFonts w:ascii="Calibri" w:eastAsia="MS Mincho" w:hAnsi="Calibri" w:cs="Calibri"/>
                <w:bCs/>
                <w:color w:val="0070C0"/>
                <w:kern w:val="0"/>
                <w14:ligatures w14:val="none"/>
              </w:rPr>
              <w:t>Guía para la participación en un glosario en la plataforma Moodle</w:t>
            </w:r>
          </w:p>
          <w:p w14:paraId="08D18597"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14:ligatures w14:val="none"/>
              </w:rPr>
            </w:pPr>
          </w:p>
        </w:tc>
        <w:tc>
          <w:tcPr>
            <w:tcW w:w="3118" w:type="dxa"/>
            <w:shd w:val="clear" w:color="auto" w:fill="auto"/>
          </w:tcPr>
          <w:p w14:paraId="68FEB656"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la elaboración de un glosario grupal, donde se debatirán los conceptos (tarea 6).</w:t>
            </w:r>
          </w:p>
        </w:tc>
      </w:tr>
      <w:tr w:rsidR="00B3411D" w:rsidRPr="00B3411D" w14:paraId="50ECAE67" w14:textId="77777777" w:rsidTr="4C9C2619">
        <w:trPr>
          <w:trHeight w:val="557"/>
          <w:jc w:val="center"/>
        </w:trPr>
        <w:tc>
          <w:tcPr>
            <w:tcW w:w="1271" w:type="dxa"/>
          </w:tcPr>
          <w:p w14:paraId="11AF02C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kern w:val="0"/>
                <w:lang w:val="es-ES_tradnl" w:eastAsia="es-CR"/>
                <w14:ligatures w14:val="none"/>
              </w:rPr>
              <w:br w:type="page"/>
            </w:r>
            <w:r w:rsidRPr="00B3411D">
              <w:rPr>
                <w:rFonts w:ascii="Calibri" w:eastAsia="Times New Roman" w:hAnsi="Calibri" w:cs="Calibri"/>
                <w:color w:val="000000"/>
                <w:kern w:val="0"/>
                <w:lang w:val="es-ES_tradnl" w:eastAsia="es-CR"/>
                <w14:ligatures w14:val="none"/>
              </w:rPr>
              <w:t>10</w:t>
            </w:r>
          </w:p>
          <w:p w14:paraId="020AFC4B"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p>
        </w:tc>
        <w:tc>
          <w:tcPr>
            <w:tcW w:w="2410" w:type="dxa"/>
          </w:tcPr>
          <w:p w14:paraId="7A7D74DA"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4: Desarrollo litúrgico en Occidente: Desde el primer siglo D.C. hasta nuestros días</w:t>
            </w:r>
          </w:p>
          <w:p w14:paraId="39F8C476"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795B79D"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4.1 Formas litúrgicas en occidente</w:t>
            </w:r>
          </w:p>
          <w:p w14:paraId="65B1C638"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2835" w:type="dxa"/>
          </w:tcPr>
          <w:p w14:paraId="700E376B"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sz w:val="10"/>
                <w14:ligatures w14:val="none"/>
              </w:rPr>
            </w:pPr>
          </w:p>
          <w:p w14:paraId="6C710558"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14:ligatures w14:val="none"/>
              </w:rPr>
            </w:pPr>
            <w:r w:rsidRPr="00B3411D">
              <w:rPr>
                <w:rFonts w:ascii="Calibri" w:eastAsia="MS Mincho" w:hAnsi="Calibri" w:cs="Calibri"/>
                <w:color w:val="0070C0"/>
                <w:kern w:val="0"/>
                <w14:ligatures w14:val="none"/>
              </w:rPr>
              <w:t>Ruta de aprendizaje</w:t>
            </w:r>
          </w:p>
          <w:p w14:paraId="46E6FC60" w14:textId="77777777" w:rsidR="00B3411D" w:rsidRPr="00B3411D" w:rsidRDefault="00B3411D" w:rsidP="00B3411D">
            <w:pPr>
              <w:autoSpaceDE w:val="0"/>
              <w:autoSpaceDN w:val="0"/>
              <w:adjustRightInd w:val="0"/>
              <w:spacing w:after="0" w:line="240" w:lineRule="auto"/>
              <w:rPr>
                <w:rFonts w:ascii="Calibri" w:eastAsia="Calibri" w:hAnsi="Calibri" w:cs="Calibri"/>
                <w:color w:val="000000"/>
                <w:kern w:val="0"/>
                <w14:ligatures w14:val="none"/>
              </w:rPr>
            </w:pPr>
          </w:p>
          <w:p w14:paraId="266CCF03"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Times New Roman" w:hAnsi="Calibri" w:cs="Calibri"/>
                <w:kern w:val="0"/>
                <w:lang w:val="es-ES_tradnl" w:eastAsia="es-CR"/>
                <w14:ligatures w14:val="none"/>
              </w:rPr>
              <w:t xml:space="preserve">Álvarez, Carmelo. “La liturgia en la historia” En </w:t>
            </w:r>
            <w:r w:rsidRPr="00B3411D">
              <w:rPr>
                <w:rFonts w:ascii="Calibri" w:eastAsia="Times New Roman" w:hAnsi="Calibri" w:cs="Calibri"/>
                <w:i/>
                <w:iCs/>
                <w:kern w:val="0"/>
                <w:lang w:val="es-ES_tradnl" w:eastAsia="es-CR"/>
                <w14:ligatures w14:val="none"/>
              </w:rPr>
              <w:t xml:space="preserve">La Celebración Cristiana: </w:t>
            </w:r>
            <w:r w:rsidRPr="00B3411D">
              <w:rPr>
                <w:rFonts w:ascii="Calibri" w:eastAsia="Times New Roman" w:hAnsi="Calibri" w:cs="Calibri"/>
                <w:i/>
                <w:kern w:val="0"/>
                <w:lang w:val="es-ES_tradnl" w:eastAsia="es-CR"/>
                <w14:ligatures w14:val="none"/>
              </w:rPr>
              <w:t>antología del curso CTX110 Liturgia I</w:t>
            </w:r>
            <w:r w:rsidRPr="00B3411D">
              <w:rPr>
                <w:rFonts w:ascii="Calibri" w:eastAsia="Times New Roman" w:hAnsi="Calibri" w:cs="Calibri"/>
                <w:kern w:val="0"/>
                <w:lang w:val="es-ES_tradnl" w:eastAsia="es-CR"/>
                <w14:ligatures w14:val="none"/>
              </w:rPr>
              <w:t xml:space="preserve">, compilada por Edwin Mora Guevara, 185-202. San José: Universidad Bíblica Latinoamericana, 2009. </w:t>
            </w:r>
            <w:r w:rsidRPr="00B3411D">
              <w:rPr>
                <w:rFonts w:ascii="Calibri" w:eastAsia="MS Mincho" w:hAnsi="Calibri" w:cs="Calibri"/>
                <w:color w:val="0070C0"/>
                <w:kern w:val="0"/>
                <w:lang w:val="es-ES_tradnl" w:eastAsia="es-CR"/>
                <w14:ligatures w14:val="none"/>
              </w:rPr>
              <w:t>(clásico, última edición)</w:t>
            </w:r>
          </w:p>
          <w:p w14:paraId="374E5B4A"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Rodríguez, Sebastián. </w:t>
            </w:r>
            <w:r w:rsidRPr="00B3411D">
              <w:rPr>
                <w:rFonts w:ascii="Calibri" w:eastAsia="MS Mincho" w:hAnsi="Calibri" w:cs="Calibri"/>
                <w:i/>
                <w:kern w:val="0"/>
                <w:lang w:val="es-ES_tradnl" w:eastAsia="es-CR"/>
                <w14:ligatures w14:val="none"/>
              </w:rPr>
              <w:t xml:space="preserve">Liturgia para el siglo XXI: Antología de la liturgia cristiana, </w:t>
            </w:r>
            <w:r w:rsidRPr="00B3411D">
              <w:rPr>
                <w:rFonts w:ascii="Calibri" w:eastAsia="MS Mincho" w:hAnsi="Calibri" w:cs="Calibri"/>
                <w:kern w:val="0"/>
                <w:lang w:val="es-ES_tradnl" w:eastAsia="es-CR"/>
                <w14:ligatures w14:val="none"/>
              </w:rPr>
              <w:t>505-590.</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Barcelona: CLIE, 1999. </w:t>
            </w:r>
            <w:r w:rsidRPr="00B3411D">
              <w:rPr>
                <w:rFonts w:ascii="Calibri" w:eastAsia="MS Mincho" w:hAnsi="Calibri" w:cs="Calibri"/>
                <w:color w:val="0070C0"/>
                <w:kern w:val="0"/>
                <w:lang w:val="es-ES_tradnl" w:eastAsia="es-CR"/>
                <w14:ligatures w14:val="none"/>
              </w:rPr>
              <w:t>(clásico, última edición)</w:t>
            </w:r>
          </w:p>
          <w:p w14:paraId="5410FE5F"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proofErr w:type="spellStart"/>
            <w:r w:rsidRPr="4C9C2619">
              <w:rPr>
                <w:rFonts w:ascii="Calibri" w:eastAsia="MS Mincho" w:hAnsi="Calibri" w:cs="Arial"/>
                <w:kern w:val="0"/>
                <w:lang w:val="es-ES" w:eastAsia="es-CR"/>
                <w14:ligatures w14:val="none"/>
              </w:rPr>
              <w:lastRenderedPageBreak/>
              <w:t>Bassett</w:t>
            </w:r>
            <w:proofErr w:type="spellEnd"/>
            <w:r w:rsidRPr="4C9C2619">
              <w:rPr>
                <w:rFonts w:ascii="Calibri" w:eastAsia="MS Mincho" w:hAnsi="Calibri" w:cs="Arial"/>
                <w:kern w:val="0"/>
                <w:lang w:val="es-ES" w:eastAsia="es-CR"/>
                <w14:ligatures w14:val="none"/>
              </w:rPr>
              <w:t xml:space="preserve">, Marcelino. "Liturgia y Ecología". En </w:t>
            </w:r>
            <w:r w:rsidRPr="4C9C2619">
              <w:rPr>
                <w:rFonts w:ascii="Calibri" w:eastAsia="MS Mincho" w:hAnsi="Calibri" w:cs="Arial"/>
                <w:i/>
                <w:iCs/>
                <w:kern w:val="0"/>
                <w:lang w:val="es-ES" w:eastAsia="es-CR"/>
                <w14:ligatures w14:val="none"/>
              </w:rPr>
              <w:t>Liturgia, fiesta de la esperanza: una introducción al culto cristiano desde una perspectiva ecuménica y latinoamericana</w:t>
            </w:r>
            <w:r w:rsidRPr="4C9C2619">
              <w:rPr>
                <w:rFonts w:ascii="Calibri" w:eastAsia="MS Mincho" w:hAnsi="Calibri" w:cs="Arial"/>
                <w:kern w:val="0"/>
                <w:lang w:val="es-ES" w:eastAsia="es-CR"/>
                <w14:ligatures w14:val="none"/>
              </w:rPr>
              <w:t xml:space="preserve">, compilado por Amós López Rubio, 232-247. La Habana: Editorial Caminos, 2018. </w:t>
            </w:r>
            <w:r w:rsidRPr="4C9C2619">
              <w:rPr>
                <w:rFonts w:ascii="Calibri" w:eastAsia="MS Mincho" w:hAnsi="Calibri" w:cs="Calibri"/>
                <w:color w:val="0070C0"/>
                <w:kern w:val="0"/>
                <w:lang w:val="es-ES" w:eastAsia="es-CR"/>
                <w14:ligatures w14:val="none"/>
              </w:rPr>
              <w:t>(clásico, última edición)</w:t>
            </w:r>
          </w:p>
          <w:p w14:paraId="2AFB7035" w14:textId="77777777" w:rsidR="00B3411D" w:rsidRPr="00B3411D" w:rsidRDefault="00B3411D" w:rsidP="00B3411D">
            <w:pPr>
              <w:widowControl w:val="0"/>
              <w:overflowPunct w:val="0"/>
              <w:autoSpaceDE w:val="0"/>
              <w:autoSpaceDN w:val="0"/>
              <w:adjustRightInd w:val="0"/>
              <w:spacing w:before="120"/>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0B0C7819" w14:textId="77777777" w:rsidR="00B3411D" w:rsidRPr="00B3411D" w:rsidRDefault="00B3411D" w:rsidP="00B3411D">
            <w:pPr>
              <w:widowControl w:val="0"/>
              <w:overflowPunct w:val="0"/>
              <w:autoSpaceDE w:val="0"/>
              <w:autoSpaceDN w:val="0"/>
              <w:adjustRightInd w:val="0"/>
              <w:spacing w:before="120"/>
              <w:rPr>
                <w:rFonts w:ascii="Calibri" w:eastAsia="MS Mincho" w:hAnsi="Calibri" w:cs="Arial"/>
                <w:bCs/>
                <w:kern w:val="0"/>
                <w:lang w:val="es-ES_tradnl" w:eastAsia="es-CR"/>
                <w14:ligatures w14:val="none"/>
              </w:rPr>
            </w:pPr>
            <w:r w:rsidRPr="00B3411D">
              <w:rPr>
                <w:rFonts w:ascii="Calibri" w:eastAsia="MS Mincho" w:hAnsi="Calibri" w:cs="Calibri"/>
                <w:bCs/>
                <w:color w:val="0070C0"/>
                <w:kern w:val="0"/>
                <w:lang w:val="es-ES_tradnl" w:eastAsia="es-CR"/>
                <w14:ligatures w14:val="none"/>
              </w:rPr>
              <w:t>Guía para la participación en un foro en la plataforma Moodle</w:t>
            </w:r>
          </w:p>
        </w:tc>
        <w:tc>
          <w:tcPr>
            <w:tcW w:w="3118" w:type="dxa"/>
          </w:tcPr>
          <w:p w14:paraId="78681E8F"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lastRenderedPageBreak/>
              <w:t>Elaboración de una presentación de su propia tradición litúrgica (ritual originario) (tarea 7).</w:t>
            </w:r>
          </w:p>
          <w:p w14:paraId="4D695F17"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 xml:space="preserve">Participación en el foro temático: Diferentes formas litúrgicas, donde se realizará una discusión y un debate crítico. </w:t>
            </w:r>
          </w:p>
          <w:p w14:paraId="5E71DB08" w14:textId="77777777" w:rsidR="00B3411D" w:rsidRPr="00B3411D" w:rsidRDefault="00B3411D" w:rsidP="00B3411D">
            <w:pPr>
              <w:spacing w:after="0" w:line="240" w:lineRule="auto"/>
              <w:ind w:right="35"/>
              <w:rPr>
                <w:rFonts w:ascii="Calibri" w:eastAsia="Times New Roman" w:hAnsi="Calibri" w:cs="Calibri"/>
                <w:color w:val="000000"/>
                <w:kern w:val="0"/>
                <w:lang w:val="es-ES_tradnl" w:eastAsia="es-CR"/>
                <w14:ligatures w14:val="none"/>
              </w:rPr>
            </w:pPr>
          </w:p>
        </w:tc>
      </w:tr>
      <w:tr w:rsidR="00B3411D" w:rsidRPr="00B3411D" w14:paraId="6F01908A" w14:textId="77777777" w:rsidTr="4C9C2619">
        <w:trPr>
          <w:trHeight w:val="40"/>
          <w:jc w:val="center"/>
        </w:trPr>
        <w:tc>
          <w:tcPr>
            <w:tcW w:w="1271" w:type="dxa"/>
          </w:tcPr>
          <w:p w14:paraId="22EB7FD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11</w:t>
            </w:r>
          </w:p>
        </w:tc>
        <w:tc>
          <w:tcPr>
            <w:tcW w:w="2410" w:type="dxa"/>
          </w:tcPr>
          <w:p w14:paraId="3F94D79D"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4: Desarrollo litúrgico en Occidente: Desde el primer siglo D.C. hasta nuestros días</w:t>
            </w:r>
          </w:p>
          <w:p w14:paraId="4C2080D2"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5FAC984" w14:textId="77777777" w:rsidR="00B3411D" w:rsidRPr="00B3411D" w:rsidRDefault="00B3411D" w:rsidP="4C9C2619">
            <w:pPr>
              <w:widowControl w:val="0"/>
              <w:overflowPunct w:val="0"/>
              <w:autoSpaceDE w:val="0"/>
              <w:autoSpaceDN w:val="0"/>
              <w:adjustRightInd w:val="0"/>
              <w:spacing w:after="0" w:line="240" w:lineRule="auto"/>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4.2 Pentecostalismo, </w:t>
            </w:r>
            <w:proofErr w:type="spellStart"/>
            <w:r w:rsidRPr="4C9C2619">
              <w:rPr>
                <w:rFonts w:ascii="Calibri" w:eastAsia="Times New Roman" w:hAnsi="Calibri" w:cs="Calibri"/>
                <w:kern w:val="0"/>
                <w:lang w:val="es-ES" w:eastAsia="es-CR"/>
                <w14:ligatures w14:val="none"/>
              </w:rPr>
              <w:t>carismatismo</w:t>
            </w:r>
            <w:proofErr w:type="spellEnd"/>
            <w:r w:rsidRPr="4C9C2619">
              <w:rPr>
                <w:rFonts w:ascii="Calibri" w:eastAsia="Times New Roman" w:hAnsi="Calibri" w:cs="Calibri"/>
                <w:kern w:val="0"/>
                <w:lang w:val="es-ES" w:eastAsia="es-CR"/>
                <w14:ligatures w14:val="none"/>
              </w:rPr>
              <w:t xml:space="preserve"> y </w:t>
            </w:r>
            <w:proofErr w:type="spellStart"/>
            <w:r w:rsidRPr="4C9C2619">
              <w:rPr>
                <w:rFonts w:ascii="Calibri" w:eastAsia="Times New Roman" w:hAnsi="Calibri" w:cs="Calibri"/>
                <w:kern w:val="0"/>
                <w:lang w:val="es-ES" w:eastAsia="es-CR"/>
                <w14:ligatures w14:val="none"/>
              </w:rPr>
              <w:t>neopentecostalismo</w:t>
            </w:r>
            <w:proofErr w:type="spellEnd"/>
          </w:p>
          <w:p w14:paraId="51117C88"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tc>
        <w:tc>
          <w:tcPr>
            <w:tcW w:w="2835" w:type="dxa"/>
          </w:tcPr>
          <w:p w14:paraId="26E3545C"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7A2816EC"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Times New Roman" w:hAnsi="Calibri" w:cs="Calibri"/>
                <w:kern w:val="0"/>
                <w:lang w:val="es-ES" w:eastAsia="es-CR"/>
                <w14:ligatures w14:val="none"/>
              </w:rPr>
              <w:t xml:space="preserve">Mora, Edwin. “Pentecostalismo, </w:t>
            </w:r>
            <w:proofErr w:type="spellStart"/>
            <w:r w:rsidRPr="4C9C2619">
              <w:rPr>
                <w:rFonts w:ascii="Calibri" w:eastAsia="Times New Roman" w:hAnsi="Calibri" w:cs="Calibri"/>
                <w:kern w:val="0"/>
                <w:lang w:val="es-ES" w:eastAsia="es-CR"/>
                <w14:ligatures w14:val="none"/>
              </w:rPr>
              <w:t>carismatismo</w:t>
            </w:r>
            <w:proofErr w:type="spellEnd"/>
            <w:r w:rsidRPr="4C9C2619">
              <w:rPr>
                <w:rFonts w:ascii="Calibri" w:eastAsia="Times New Roman" w:hAnsi="Calibri" w:cs="Calibri"/>
                <w:kern w:val="0"/>
                <w:lang w:val="es-ES" w:eastAsia="es-CR"/>
                <w14:ligatures w14:val="none"/>
              </w:rPr>
              <w:t xml:space="preserve"> y </w:t>
            </w:r>
            <w:proofErr w:type="spellStart"/>
            <w:r w:rsidRPr="4C9C2619">
              <w:rPr>
                <w:rFonts w:ascii="Calibri" w:eastAsia="Times New Roman" w:hAnsi="Calibri" w:cs="Calibri"/>
                <w:kern w:val="0"/>
                <w:lang w:val="es-ES" w:eastAsia="es-CR"/>
                <w14:ligatures w14:val="none"/>
              </w:rPr>
              <w:t>neopentecostalismo</w:t>
            </w:r>
            <w:proofErr w:type="spellEnd"/>
            <w:r w:rsidRPr="4C9C2619">
              <w:rPr>
                <w:rFonts w:ascii="Calibri" w:eastAsia="Times New Roman" w:hAnsi="Calibri" w:cs="Calibri"/>
                <w:kern w:val="0"/>
                <w:lang w:val="es-ES" w:eastAsia="es-CR"/>
                <w14:ligatures w14:val="none"/>
              </w:rPr>
              <w:t xml:space="preserve">”. En </w:t>
            </w:r>
            <w:r w:rsidRPr="4C9C2619">
              <w:rPr>
                <w:rFonts w:ascii="Calibri" w:eastAsia="Times New Roman" w:hAnsi="Calibri" w:cs="Calibri"/>
                <w:i/>
                <w:iCs/>
                <w:kern w:val="0"/>
                <w:lang w:val="es-ES" w:eastAsia="es-CR"/>
                <w14:ligatures w14:val="none"/>
              </w:rPr>
              <w:t>La celebración cristiana: renovación litúrgica contextual</w:t>
            </w:r>
            <w:r w:rsidRPr="4C9C2619">
              <w:rPr>
                <w:rFonts w:ascii="Calibri" w:eastAsia="Times New Roman" w:hAnsi="Calibri" w:cs="Calibri"/>
                <w:kern w:val="0"/>
                <w:lang w:val="es-ES" w:eastAsia="es-CR"/>
                <w14:ligatures w14:val="none"/>
              </w:rPr>
              <w:t xml:space="preserve">, 50-56. San José: SEBILA, 2009. </w:t>
            </w:r>
            <w:r w:rsidRPr="4C9C2619">
              <w:rPr>
                <w:rFonts w:ascii="Calibri" w:eastAsia="MS Mincho" w:hAnsi="Calibri" w:cs="Calibri"/>
                <w:color w:val="0070C0"/>
                <w:kern w:val="0"/>
                <w:lang w:val="es-ES" w:eastAsia="es-CR"/>
                <w14:ligatures w14:val="none"/>
              </w:rPr>
              <w:t>(clásico, última edición)</w:t>
            </w:r>
          </w:p>
          <w:p w14:paraId="6F046334"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Material complementario</w:t>
            </w:r>
          </w:p>
          <w:p w14:paraId="165EAB51"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Times New Roman" w:hAnsi="Calibri" w:cs="Calibri"/>
                <w:kern w:val="0"/>
                <w:lang w:val="es-ES" w:eastAsia="es-CR"/>
                <w14:ligatures w14:val="none"/>
              </w:rPr>
              <w:t xml:space="preserve">Comunidad de Educación Teológica Ecuménica Latinoamericana-Caribeña. “Celebración y liberación en la espiritualidad pentecostal”. En </w:t>
            </w:r>
            <w:r w:rsidRPr="4C9C2619">
              <w:rPr>
                <w:rFonts w:ascii="Calibri" w:eastAsia="Times New Roman" w:hAnsi="Calibri" w:cs="Calibri"/>
                <w:i/>
                <w:iCs/>
                <w:kern w:val="0"/>
                <w:lang w:val="es-ES" w:eastAsia="es-CR"/>
                <w14:ligatures w14:val="none"/>
              </w:rPr>
              <w:t>Inculturación de la liturgia en contextos latinoamericanos y caribeños: aproximaciones teológicas y pedagógicas</w:t>
            </w:r>
            <w:r w:rsidRPr="4C9C2619">
              <w:rPr>
                <w:rFonts w:ascii="Calibri" w:eastAsia="Times New Roman" w:hAnsi="Calibri" w:cs="Calibri"/>
                <w:kern w:val="0"/>
                <w:lang w:val="es-ES" w:eastAsia="es-CR"/>
                <w14:ligatures w14:val="none"/>
              </w:rPr>
              <w:t xml:space="preserve">, 141-154. Bogotá: CETELA, 2003. </w:t>
            </w:r>
            <w:r w:rsidRPr="4C9C2619">
              <w:rPr>
                <w:rFonts w:ascii="Calibri" w:eastAsia="MS Mincho" w:hAnsi="Calibri" w:cs="Calibri"/>
                <w:color w:val="0070C0"/>
                <w:kern w:val="0"/>
                <w:lang w:val="es-ES" w:eastAsia="es-CR"/>
                <w14:ligatures w14:val="none"/>
              </w:rPr>
              <w:t>(clásico, última edición)</w:t>
            </w:r>
          </w:p>
          <w:p w14:paraId="48DF0BC8"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Calibri" w:hAnsi="Calibri" w:cs="Calibri"/>
                <w:color w:val="0563C1"/>
                <w:kern w:val="0"/>
                <w:u w:val="single"/>
                <w14:ligatures w14:val="none"/>
              </w:rPr>
            </w:pPr>
            <w:proofErr w:type="spellStart"/>
            <w:r w:rsidRPr="00B3411D">
              <w:rPr>
                <w:rFonts w:ascii="Calibri" w:eastAsia="Times New Roman" w:hAnsi="Calibri" w:cs="Calibri"/>
                <w:kern w:val="0"/>
                <w:lang w:val="es-ES_tradnl" w:eastAsia="es-CR"/>
                <w14:ligatures w14:val="none"/>
              </w:rPr>
              <w:t>Eichin</w:t>
            </w:r>
            <w:proofErr w:type="spellEnd"/>
            <w:r w:rsidRPr="00B3411D">
              <w:rPr>
                <w:rFonts w:ascii="Calibri" w:eastAsia="Times New Roman" w:hAnsi="Calibri" w:cs="Calibri"/>
                <w:kern w:val="0"/>
                <w:lang w:val="es-ES_tradnl" w:eastAsia="es-CR"/>
                <w14:ligatures w14:val="none"/>
              </w:rPr>
              <w:t xml:space="preserve"> Molina, Cristian y </w:t>
            </w:r>
            <w:r w:rsidRPr="00B3411D">
              <w:rPr>
                <w:rFonts w:ascii="Calibri" w:eastAsia="Times New Roman" w:hAnsi="Calibri" w:cs="Calibri"/>
                <w:kern w:val="0"/>
                <w:lang w:val="es-ES_tradnl" w:eastAsia="es-CR"/>
                <w14:ligatures w14:val="none"/>
              </w:rPr>
              <w:lastRenderedPageBreak/>
              <w:t xml:space="preserve">Pedro Pablo Achondo Moya. “La liturgia ante el riesgo de la virtualidad: efectos y cuestionamientos eclesiológicos en tiempo de pandemia”. </w:t>
            </w:r>
            <w:r w:rsidRPr="00B3411D">
              <w:rPr>
                <w:rFonts w:ascii="Calibri" w:eastAsia="Times New Roman" w:hAnsi="Calibri" w:cs="Calibri"/>
                <w:i/>
                <w:iCs/>
                <w:kern w:val="0"/>
                <w:lang w:val="es-ES_tradnl" w:eastAsia="es-CR"/>
                <w14:ligatures w14:val="none"/>
              </w:rPr>
              <w:t>Teología y Vida</w:t>
            </w:r>
            <w:r w:rsidRPr="00B3411D">
              <w:rPr>
                <w:rFonts w:ascii="Calibri" w:eastAsia="Times New Roman" w:hAnsi="Calibri" w:cs="Calibri"/>
                <w:kern w:val="0"/>
                <w:lang w:val="es-ES_tradnl" w:eastAsia="es-CR"/>
                <w14:ligatures w14:val="none"/>
              </w:rPr>
              <w:t xml:space="preserve"> 61, n. 3 (2020): 373-396. Acceso el 18 de diciembre de 2020. </w:t>
            </w:r>
            <w:hyperlink r:id="rId409" w:history="1">
              <w:r w:rsidRPr="00B3411D">
                <w:rPr>
                  <w:rFonts w:ascii="Calibri" w:eastAsia="Calibri" w:hAnsi="Calibri" w:cs="Calibri"/>
                  <w:color w:val="0563C1"/>
                  <w:kern w:val="0"/>
                  <w:u w:val="single"/>
                  <w14:ligatures w14:val="none"/>
                </w:rPr>
                <w:t xml:space="preserve">http://ojs.uc.cl/index.php/ </w:t>
              </w:r>
              <w:proofErr w:type="spellStart"/>
              <w:r w:rsidRPr="00B3411D">
                <w:rPr>
                  <w:rFonts w:ascii="Calibri" w:eastAsia="Calibri" w:hAnsi="Calibri" w:cs="Calibri"/>
                  <w:color w:val="0563C1"/>
                  <w:kern w:val="0"/>
                  <w:u w:val="single"/>
                  <w14:ligatures w14:val="none"/>
                </w:rPr>
                <w:t>tyv</w:t>
              </w:r>
              <w:proofErr w:type="spellEnd"/>
              <w:r w:rsidRPr="00B3411D">
                <w:rPr>
                  <w:rFonts w:ascii="Calibri" w:eastAsia="Calibri" w:hAnsi="Calibri" w:cs="Calibri"/>
                  <w:color w:val="0563C1"/>
                  <w:kern w:val="0"/>
                  <w:u w:val="single"/>
                  <w14:ligatures w14:val="none"/>
                </w:rPr>
                <w:t>/</w:t>
              </w:r>
              <w:proofErr w:type="spellStart"/>
              <w:r w:rsidRPr="00B3411D">
                <w:rPr>
                  <w:rFonts w:ascii="Calibri" w:eastAsia="Calibri" w:hAnsi="Calibri" w:cs="Calibri"/>
                  <w:color w:val="0563C1"/>
                  <w:kern w:val="0"/>
                  <w:u w:val="single"/>
                  <w14:ligatures w14:val="none"/>
                </w:rPr>
                <w:t>article</w:t>
              </w:r>
              <w:proofErr w:type="spellEnd"/>
              <w:r w:rsidRPr="00B3411D">
                <w:rPr>
                  <w:rFonts w:ascii="Calibri" w:eastAsia="Calibri" w:hAnsi="Calibri" w:cs="Calibri"/>
                  <w:color w:val="0563C1"/>
                  <w:kern w:val="0"/>
                  <w:u w:val="single"/>
                  <w14:ligatures w14:val="none"/>
                </w:rPr>
                <w:t>/</w:t>
              </w:r>
              <w:proofErr w:type="spellStart"/>
              <w:r w:rsidRPr="00B3411D">
                <w:rPr>
                  <w:rFonts w:ascii="Calibri" w:eastAsia="Calibri" w:hAnsi="Calibri" w:cs="Calibri"/>
                  <w:color w:val="0563C1"/>
                  <w:kern w:val="0"/>
                  <w:u w:val="single"/>
                  <w14:ligatures w14:val="none"/>
                </w:rPr>
                <w:t>view</w:t>
              </w:r>
              <w:proofErr w:type="spellEnd"/>
              <w:r w:rsidRPr="00B3411D">
                <w:rPr>
                  <w:rFonts w:ascii="Calibri" w:eastAsia="Calibri" w:hAnsi="Calibri" w:cs="Calibri"/>
                  <w:color w:val="0563C1"/>
                  <w:kern w:val="0"/>
                  <w:u w:val="single"/>
                  <w14:ligatures w14:val="none"/>
                </w:rPr>
                <w:t>/14446</w:t>
              </w:r>
            </w:hyperlink>
          </w:p>
          <w:p w14:paraId="2FD3CAD4"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Calibri" w:hAnsi="Calibri" w:cs="Calibri"/>
                <w:color w:val="0563C1"/>
                <w:kern w:val="0"/>
                <w14:ligatures w14:val="none"/>
              </w:rPr>
            </w:pPr>
            <w:r w:rsidRPr="00B3411D">
              <w:rPr>
                <w:rFonts w:ascii="Calibri" w:eastAsia="Calibri" w:hAnsi="Calibri" w:cs="Calibri"/>
                <w:color w:val="0563C1"/>
                <w:kern w:val="0"/>
                <w14:ligatures w14:val="none"/>
              </w:rPr>
              <w:t>Guía para la participación en un foro en la plataforma Moodle</w:t>
            </w:r>
          </w:p>
          <w:p w14:paraId="6B18F251"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Calibri" w:hAnsi="Calibri" w:cs="Calibri"/>
                <w:color w:val="0563C1"/>
                <w:kern w:val="0"/>
                <w14:ligatures w14:val="none"/>
              </w:rPr>
            </w:pPr>
          </w:p>
        </w:tc>
        <w:tc>
          <w:tcPr>
            <w:tcW w:w="3118" w:type="dxa"/>
          </w:tcPr>
          <w:p w14:paraId="3714FC52"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lastRenderedPageBreak/>
              <w:t>Elaboración y presentación del informe de observación (tarea 8) de los estudiantes.</w:t>
            </w:r>
          </w:p>
          <w:p w14:paraId="3B20A909"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Práctica grupal (discusión) en el foro grupal donde se entrega el informe.</w:t>
            </w:r>
          </w:p>
        </w:tc>
      </w:tr>
      <w:tr w:rsidR="00B3411D" w:rsidRPr="00B3411D" w14:paraId="4765D223" w14:textId="77777777" w:rsidTr="4C9C2619">
        <w:trPr>
          <w:trHeight w:val="5309"/>
          <w:jc w:val="center"/>
        </w:trPr>
        <w:tc>
          <w:tcPr>
            <w:tcW w:w="1271" w:type="dxa"/>
          </w:tcPr>
          <w:p w14:paraId="2A12E8E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12</w:t>
            </w:r>
          </w:p>
        </w:tc>
        <w:tc>
          <w:tcPr>
            <w:tcW w:w="2410" w:type="dxa"/>
          </w:tcPr>
          <w:p w14:paraId="327DDFFA"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 xml:space="preserve">Unidad 5: Liturgia, contexto y teología: Inclusión y exclusión en la liturgia cristiana </w:t>
            </w:r>
          </w:p>
          <w:p w14:paraId="22064F8A"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sz w:val="6"/>
                <w:lang w:val="es-ES_tradnl" w:eastAsia="es-CR"/>
                <w14:ligatures w14:val="none"/>
              </w:rPr>
            </w:pPr>
          </w:p>
          <w:p w14:paraId="6726332D"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5.1 Sentido de fiesta y celebración inclusivas</w:t>
            </w:r>
          </w:p>
          <w:p w14:paraId="3F864194"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p>
        </w:tc>
        <w:tc>
          <w:tcPr>
            <w:tcW w:w="2835" w:type="dxa"/>
          </w:tcPr>
          <w:p w14:paraId="1C8EAAC0"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28395561"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Barreda Toscano, Juan José. “Hacia una teología bíblica de la celebración litúrgica”.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127-162. Buenos Aires: </w:t>
            </w:r>
            <w:proofErr w:type="spellStart"/>
            <w:r w:rsidRPr="4C9C2619">
              <w:rPr>
                <w:rFonts w:ascii="Calibri" w:eastAsia="MS Mincho" w:hAnsi="Calibri" w:cs="Calibri"/>
                <w:kern w:val="0"/>
                <w:lang w:val="es-ES" w:eastAsia="es-CR"/>
                <w14:ligatures w14:val="none"/>
              </w:rPr>
              <w:t>Kairos</w:t>
            </w:r>
            <w:proofErr w:type="spellEnd"/>
            <w:r w:rsidRPr="4C9C2619">
              <w:rPr>
                <w:rFonts w:ascii="Calibri" w:eastAsia="MS Mincho" w:hAnsi="Calibri" w:cs="Calibri"/>
                <w:kern w:val="0"/>
                <w:lang w:val="es-ES" w:eastAsia="es-CR"/>
                <w14:ligatures w14:val="none"/>
              </w:rPr>
              <w:t xml:space="preserve">, 2004. </w:t>
            </w:r>
            <w:r w:rsidRPr="4C9C2619">
              <w:rPr>
                <w:rFonts w:ascii="Calibri" w:eastAsia="MS Mincho" w:hAnsi="Calibri" w:cs="Calibri"/>
                <w:color w:val="0070C0"/>
                <w:kern w:val="0"/>
                <w:lang w:val="es-ES" w:eastAsia="es-CR"/>
                <w14:ligatures w14:val="none"/>
              </w:rPr>
              <w:t>(clásico, última edición)</w:t>
            </w:r>
          </w:p>
          <w:p w14:paraId="3A8D249C"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proofErr w:type="spellStart"/>
            <w:r w:rsidRPr="4C9C2619">
              <w:rPr>
                <w:rFonts w:ascii="Calibri" w:eastAsia="MS Mincho" w:hAnsi="Calibri" w:cs="Calibri"/>
                <w:kern w:val="0"/>
                <w:lang w:val="es-ES" w:eastAsia="es-CR"/>
                <w14:ligatures w14:val="none"/>
              </w:rPr>
              <w:t>Steinfeld</w:t>
            </w:r>
            <w:proofErr w:type="spellEnd"/>
            <w:r w:rsidRPr="4C9C2619">
              <w:rPr>
                <w:rFonts w:ascii="Calibri" w:eastAsia="MS Mincho" w:hAnsi="Calibri" w:cs="Calibri"/>
                <w:kern w:val="0"/>
                <w:lang w:val="es-ES" w:eastAsia="es-CR"/>
                <w14:ligatures w14:val="none"/>
              </w:rPr>
              <w:t xml:space="preserve">, Guillermo. “El paradigma sistémico en la liturgia trinitaria”.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27-53. Buenos Aires: </w:t>
            </w:r>
            <w:proofErr w:type="spellStart"/>
            <w:r w:rsidRPr="4C9C2619">
              <w:rPr>
                <w:rFonts w:ascii="Calibri" w:eastAsia="MS Mincho" w:hAnsi="Calibri" w:cs="Calibri"/>
                <w:kern w:val="0"/>
                <w:lang w:val="es-ES" w:eastAsia="es-CR"/>
                <w14:ligatures w14:val="none"/>
              </w:rPr>
              <w:t>Kairos</w:t>
            </w:r>
            <w:proofErr w:type="spellEnd"/>
            <w:r w:rsidRPr="4C9C2619">
              <w:rPr>
                <w:rFonts w:ascii="Calibri" w:eastAsia="MS Mincho" w:hAnsi="Calibri" w:cs="Calibri"/>
                <w:kern w:val="0"/>
                <w:lang w:val="es-ES" w:eastAsia="es-CR"/>
                <w14:ligatures w14:val="none"/>
              </w:rPr>
              <w:t xml:space="preserve">, 2004. </w:t>
            </w:r>
            <w:r w:rsidRPr="4C9C2619">
              <w:rPr>
                <w:rFonts w:ascii="Calibri" w:eastAsia="MS Mincho" w:hAnsi="Calibri" w:cs="Calibri"/>
                <w:color w:val="0070C0"/>
                <w:kern w:val="0"/>
                <w:lang w:val="es-ES" w:eastAsia="es-CR"/>
                <w14:ligatures w14:val="none"/>
              </w:rPr>
              <w:t>(clásico, última edición)</w:t>
            </w:r>
          </w:p>
          <w:p w14:paraId="53C23B41"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Arial"/>
                <w:kern w:val="0"/>
                <w:lang w:val="es-ES_tradnl" w:eastAsia="es-CR"/>
                <w14:ligatures w14:val="none"/>
              </w:rPr>
              <w:t xml:space="preserve">López Rubio, Amós. “El espacio litúrgico”. </w:t>
            </w:r>
            <w:r w:rsidRPr="00B3411D">
              <w:rPr>
                <w:rFonts w:ascii="Calibri" w:eastAsia="MS Mincho" w:hAnsi="Calibri" w:cs="Arial"/>
                <w:i/>
                <w:kern w:val="0"/>
                <w:lang w:val="es-ES_tradnl" w:eastAsia="es-CR"/>
                <w14:ligatures w14:val="none"/>
              </w:rPr>
              <w:t>En Liturgia, fiesta de la esperanza: una introducción al culto cristiano desde una perspectiva ecuménica y latinoamericana</w:t>
            </w:r>
            <w:r w:rsidRPr="00B3411D">
              <w:rPr>
                <w:rFonts w:ascii="Calibri" w:eastAsia="MS Mincho" w:hAnsi="Calibri" w:cs="Arial"/>
                <w:kern w:val="0"/>
                <w:lang w:val="es-ES_tradnl" w:eastAsia="es-CR"/>
                <w14:ligatures w14:val="none"/>
              </w:rPr>
              <w:t>, compilado por Amós López Rubio, 200-</w:t>
            </w:r>
            <w:r w:rsidRPr="00B3411D">
              <w:rPr>
                <w:rFonts w:ascii="Calibri" w:eastAsia="MS Mincho" w:hAnsi="Calibri" w:cs="Arial"/>
                <w:kern w:val="0"/>
                <w:lang w:val="es-ES_tradnl" w:eastAsia="es-CR"/>
                <w14:ligatures w14:val="none"/>
              </w:rPr>
              <w:lastRenderedPageBreak/>
              <w:t xml:space="preserve">211. La Habana: Editorial Caminos, 2018. </w:t>
            </w:r>
            <w:r w:rsidRPr="00B3411D">
              <w:rPr>
                <w:rFonts w:ascii="Calibri" w:eastAsia="MS Mincho" w:hAnsi="Calibri" w:cs="Calibri"/>
                <w:color w:val="0070C0"/>
                <w:kern w:val="0"/>
                <w:lang w:val="es-ES_tradnl" w:eastAsia="es-CR"/>
                <w14:ligatures w14:val="none"/>
              </w:rPr>
              <w:t>(clásico, última edición)</w:t>
            </w:r>
          </w:p>
          <w:p w14:paraId="5D680A7F"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7B679AD3" w14:textId="77777777" w:rsidR="00B3411D" w:rsidRPr="00B3411D" w:rsidRDefault="00B3411D" w:rsidP="4C9C2619">
            <w:pPr>
              <w:widowControl w:val="0"/>
              <w:overflowPunct w:val="0"/>
              <w:autoSpaceDE w:val="0"/>
              <w:autoSpaceDN w:val="0"/>
              <w:adjustRightInd w:val="0"/>
              <w:spacing w:before="120" w:after="0" w:line="240" w:lineRule="auto"/>
              <w:ind w:right="35"/>
              <w:rPr>
                <w:rFonts w:ascii="Calibri" w:eastAsia="MS Mincho" w:hAnsi="Calibri" w:cs="Arial"/>
                <w:color w:val="0070C0"/>
                <w:kern w:val="0"/>
                <w:lang w:val="es-ES" w:eastAsia="es-CR"/>
                <w14:ligatures w14:val="none"/>
              </w:rPr>
            </w:pPr>
            <w:r w:rsidRPr="4C9C2619">
              <w:rPr>
                <w:rFonts w:ascii="Calibri" w:eastAsia="MS Mincho" w:hAnsi="Calibri" w:cs="Arial"/>
                <w:color w:val="0070C0"/>
                <w:kern w:val="0"/>
                <w:lang w:val="es-ES" w:eastAsia="es-CR"/>
                <w14:ligatures w14:val="none"/>
              </w:rPr>
              <w:t xml:space="preserve">Guía para la participación mediante la herramienta Big Blue </w:t>
            </w:r>
            <w:proofErr w:type="spellStart"/>
            <w:r w:rsidRPr="4C9C2619">
              <w:rPr>
                <w:rFonts w:ascii="Calibri" w:eastAsia="MS Mincho" w:hAnsi="Calibri" w:cs="Arial"/>
                <w:color w:val="0070C0"/>
                <w:kern w:val="0"/>
                <w:lang w:val="es-ES" w:eastAsia="es-CR"/>
                <w14:ligatures w14:val="none"/>
              </w:rPr>
              <w:t>Button</w:t>
            </w:r>
            <w:proofErr w:type="spellEnd"/>
            <w:r w:rsidRPr="4C9C2619">
              <w:rPr>
                <w:rFonts w:ascii="Calibri" w:eastAsia="MS Mincho" w:hAnsi="Calibri" w:cs="Arial"/>
                <w:color w:val="0070C0"/>
                <w:kern w:val="0"/>
                <w:lang w:val="es-ES" w:eastAsia="es-CR"/>
                <w14:ligatures w14:val="none"/>
              </w:rPr>
              <w:t xml:space="preserve"> en la plataforma Moodle</w:t>
            </w:r>
          </w:p>
          <w:p w14:paraId="50AB980C"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Arial"/>
                <w:color w:val="0070C0"/>
                <w:kern w:val="0"/>
                <w:lang w:val="es-ES_tradnl" w:eastAsia="es-CR"/>
                <w14:ligatures w14:val="none"/>
              </w:rPr>
            </w:pPr>
            <w:r w:rsidRPr="00B3411D">
              <w:rPr>
                <w:rFonts w:ascii="Calibri" w:eastAsia="MS Mincho" w:hAnsi="Calibri" w:cs="Arial"/>
                <w:color w:val="0070C0"/>
                <w:kern w:val="0"/>
                <w:lang w:val="es-ES_tradnl" w:eastAsia="es-CR"/>
                <w14:ligatures w14:val="none"/>
              </w:rPr>
              <w:t>Guía para la participación en un foro en la plataforma Moodle</w:t>
            </w:r>
          </w:p>
          <w:p w14:paraId="61F4E6E3"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Arial"/>
                <w:color w:val="0070C0"/>
                <w:kern w:val="0"/>
                <w:lang w:val="es-ES_tradnl" w:eastAsia="es-CR"/>
                <w14:ligatures w14:val="none"/>
              </w:rPr>
            </w:pPr>
          </w:p>
        </w:tc>
        <w:tc>
          <w:tcPr>
            <w:tcW w:w="3118" w:type="dxa"/>
          </w:tcPr>
          <w:p w14:paraId="0B4A8D33"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lastRenderedPageBreak/>
              <w:t>Presentación docente en un encuentro sincrónico virtual (formativo).</w:t>
            </w:r>
          </w:p>
          <w:p w14:paraId="4617A53C"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el foro temático grupal: Fiesta y celebración inclusivas.</w:t>
            </w:r>
          </w:p>
          <w:p w14:paraId="142AC21F"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Presentación de los y las estudiantes: informe plenario sobre el avance en su observación participante en un encuentro sincrónico virtual (formativo).</w:t>
            </w:r>
          </w:p>
        </w:tc>
      </w:tr>
      <w:tr w:rsidR="00B3411D" w:rsidRPr="00B3411D" w14:paraId="4F97737F" w14:textId="77777777" w:rsidTr="4C9C2619">
        <w:trPr>
          <w:jc w:val="center"/>
        </w:trPr>
        <w:tc>
          <w:tcPr>
            <w:tcW w:w="1271" w:type="dxa"/>
          </w:tcPr>
          <w:p w14:paraId="283B6F5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13</w:t>
            </w:r>
          </w:p>
        </w:tc>
        <w:tc>
          <w:tcPr>
            <w:tcW w:w="2410" w:type="dxa"/>
          </w:tcPr>
          <w:p w14:paraId="0B2C3D26"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 xml:space="preserve">Unidad 5: Liturgia, contexto y teología: Inclusión y exclusión en la liturgia cristiana </w:t>
            </w:r>
          </w:p>
          <w:p w14:paraId="3B327FA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5.2 Inclusión y exclusión en la fe cristiana: panorama histórico</w:t>
            </w:r>
          </w:p>
          <w:p w14:paraId="1B58AB0D"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5.3 Liturgia latinoamericana: ¿incluyente o excluyente?</w:t>
            </w:r>
          </w:p>
          <w:p w14:paraId="33A6C2BA"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tc>
        <w:tc>
          <w:tcPr>
            <w:tcW w:w="2835" w:type="dxa"/>
          </w:tcPr>
          <w:p w14:paraId="1F892B78"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6C556286"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“Inclusión y exclusión en la liturgia cristiana: perspectiva histórica y pastoral”. En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57-78.</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San José: SEBILA, 2009. </w:t>
            </w:r>
            <w:r w:rsidRPr="00B3411D">
              <w:rPr>
                <w:rFonts w:ascii="Calibri" w:eastAsia="MS Mincho" w:hAnsi="Calibri" w:cs="Calibri"/>
                <w:color w:val="0070C0"/>
                <w:kern w:val="0"/>
                <w:lang w:val="es-ES_tradnl" w:eastAsia="es-CR"/>
                <w14:ligatures w14:val="none"/>
              </w:rPr>
              <w:t>(clásico, última edición)</w:t>
            </w:r>
          </w:p>
          <w:p w14:paraId="22B196E8"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sz w:val="8"/>
                <w:lang w:val="es-ES_tradnl" w:eastAsia="es-CR"/>
                <w14:ligatures w14:val="none"/>
              </w:rPr>
            </w:pPr>
          </w:p>
          <w:p w14:paraId="11F70F3C"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Arial"/>
                <w:kern w:val="0"/>
                <w:lang w:val="es-ES_tradnl" w:eastAsia="es-CR"/>
                <w14:ligatures w14:val="none"/>
              </w:rPr>
              <w:t xml:space="preserve">Verdecia, Rolando Mauro. "Liturgia y discapacidad: hacia una adoración comunitaria verdaderamente inclusiva". En </w:t>
            </w:r>
            <w:r w:rsidRPr="00B3411D">
              <w:rPr>
                <w:rFonts w:ascii="Calibri" w:eastAsia="MS Mincho" w:hAnsi="Calibri" w:cs="Arial"/>
                <w:i/>
                <w:kern w:val="0"/>
                <w:lang w:val="es-ES_tradnl" w:eastAsia="es-CR"/>
                <w14:ligatures w14:val="none"/>
              </w:rPr>
              <w:t>Liturgia, fiesta de la esperanza: una introducción al culto cristiano desde una perspectiva ecuménica y latinoamericana</w:t>
            </w:r>
            <w:r w:rsidRPr="00B3411D">
              <w:rPr>
                <w:rFonts w:ascii="Calibri" w:eastAsia="MS Mincho" w:hAnsi="Calibri" w:cs="Arial"/>
                <w:kern w:val="0"/>
                <w:lang w:val="es-ES_tradnl" w:eastAsia="es-CR"/>
                <w14:ligatures w14:val="none"/>
              </w:rPr>
              <w:t xml:space="preserve">, compilado por Amós López Rubio, 278-294. La Habana: Editorial Caminos, 2018.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color w:val="0070C0"/>
                <w:kern w:val="0"/>
                <w:lang w:val="es-ES_tradnl" w:eastAsia="es-CR"/>
                <w14:ligatures w14:val="none"/>
              </w:rPr>
              <w:lastRenderedPageBreak/>
              <w:t>última edición)</w:t>
            </w:r>
          </w:p>
          <w:p w14:paraId="4E10392D"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
                <w:kern w:val="0"/>
                <w:lang w:val="es-ES_tradnl" w:eastAsia="es-CR"/>
                <w14:ligatures w14:val="none"/>
              </w:rPr>
            </w:pPr>
            <w:r w:rsidRPr="00B3411D">
              <w:rPr>
                <w:rFonts w:ascii="Calibri" w:eastAsia="MS Mincho" w:hAnsi="Calibri" w:cs="Calibri"/>
                <w:b/>
                <w:kern w:val="0"/>
                <w:lang w:val="es-ES_tradnl" w:eastAsia="es-CR"/>
                <w14:ligatures w14:val="none"/>
              </w:rPr>
              <w:t>Material complementario</w:t>
            </w:r>
          </w:p>
          <w:p w14:paraId="5F6E5F05"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kern w:val="0"/>
                <w:lang w:val="es-ES_tradnl" w:eastAsia="es-CR"/>
                <w14:ligatures w14:val="none"/>
              </w:rPr>
            </w:pPr>
            <w:r w:rsidRPr="00B3411D">
              <w:rPr>
                <w:rFonts w:ascii="Calibri" w:eastAsia="Times New Roman" w:hAnsi="Calibri" w:cs="Calibri"/>
                <w:kern w:val="0"/>
                <w:lang w:eastAsia="es-CR"/>
                <w14:ligatures w14:val="none"/>
              </w:rPr>
              <w:t xml:space="preserve">Rosas, Guillermo. “Celebración de la vida en las comunidades de América Latina”. </w:t>
            </w:r>
            <w:r w:rsidRPr="00B3411D">
              <w:rPr>
                <w:rFonts w:ascii="Calibri" w:eastAsia="Times New Roman" w:hAnsi="Calibri" w:cs="Calibri"/>
                <w:i/>
                <w:kern w:val="0"/>
                <w:lang w:eastAsia="es-CR"/>
                <w14:ligatures w14:val="none"/>
              </w:rPr>
              <w:t>Teología y Vida</w:t>
            </w:r>
            <w:r w:rsidRPr="00B3411D">
              <w:rPr>
                <w:rFonts w:ascii="Calibri" w:eastAsia="Times New Roman" w:hAnsi="Calibri" w:cs="Calibri"/>
                <w:kern w:val="0"/>
                <w:lang w:eastAsia="es-CR"/>
                <w14:ligatures w14:val="none"/>
              </w:rPr>
              <w:t xml:space="preserve"> 48, n.1 (2007): 57-71. Acceso el 18 de diciembre de 2020. </w:t>
            </w:r>
            <w:hyperlink r:id="rId410" w:history="1">
              <w:r w:rsidRPr="00B3411D">
                <w:rPr>
                  <w:rFonts w:ascii="Calibri" w:eastAsia="Times New Roman" w:hAnsi="Calibri" w:cs="Calibri"/>
                  <w:color w:val="0563C1"/>
                  <w:kern w:val="0"/>
                  <w:u w:val="single"/>
                  <w:lang w:eastAsia="es-CR"/>
                  <w14:ligatures w14:val="none"/>
                </w:rPr>
                <w:t>https://scielo.conicyt.cl/scielo.php?script=sci_arttext&amp;pid=S0049-34492007000100005</w:t>
              </w:r>
            </w:hyperlink>
          </w:p>
          <w:p w14:paraId="28401D55" w14:textId="77777777" w:rsidR="00B3411D" w:rsidRPr="00B3411D" w:rsidRDefault="00B3411D" w:rsidP="4C9C2619">
            <w:pPr>
              <w:widowControl w:val="0"/>
              <w:overflowPunct w:val="0"/>
              <w:autoSpaceDE w:val="0"/>
              <w:autoSpaceDN w:val="0"/>
              <w:adjustRightInd w:val="0"/>
              <w:spacing w:before="120" w:after="0" w:line="240" w:lineRule="auto"/>
              <w:ind w:right="35"/>
              <w:rPr>
                <w:rFonts w:ascii="Calibri" w:eastAsia="MS Mincho" w:hAnsi="Calibri" w:cs="Calibri"/>
                <w:color w:val="0070C0"/>
                <w:kern w:val="0"/>
                <w:lang w:val="es-ES" w:eastAsia="es-CR"/>
                <w14:ligatures w14:val="none"/>
              </w:rPr>
            </w:pPr>
            <w:r w:rsidRPr="4C9C2619">
              <w:rPr>
                <w:rFonts w:ascii="Calibri" w:eastAsia="MS Mincho"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MS Mincho" w:hAnsi="Calibri" w:cs="Calibri"/>
                <w:color w:val="0070C0"/>
                <w:kern w:val="0"/>
                <w:lang w:val="es-ES" w:eastAsia="es-CR"/>
                <w14:ligatures w14:val="none"/>
              </w:rPr>
              <w:t>Button</w:t>
            </w:r>
            <w:proofErr w:type="spellEnd"/>
            <w:r w:rsidRPr="4C9C2619">
              <w:rPr>
                <w:rFonts w:ascii="Calibri" w:eastAsia="MS Mincho" w:hAnsi="Calibri" w:cs="Calibri"/>
                <w:color w:val="0070C0"/>
                <w:kern w:val="0"/>
                <w:lang w:val="es-ES" w:eastAsia="es-CR"/>
                <w14:ligatures w14:val="none"/>
              </w:rPr>
              <w:t xml:space="preserve"> en la plataforma Moodle</w:t>
            </w:r>
          </w:p>
          <w:p w14:paraId="3EB2098A"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color w:val="0070C0"/>
                <w:kern w:val="0"/>
                <w:lang w:val="es-ES_tradnl" w:eastAsia="es-CR"/>
                <w14:ligatures w14:val="none"/>
              </w:rPr>
            </w:pPr>
            <w:r w:rsidRPr="00B3411D">
              <w:rPr>
                <w:rFonts w:ascii="Calibri" w:eastAsia="MS Mincho" w:hAnsi="Calibri" w:cs="Calibri"/>
                <w:color w:val="0070C0"/>
                <w:kern w:val="0"/>
                <w:lang w:val="es-ES_tradnl" w:eastAsia="es-CR"/>
                <w14:ligatures w14:val="none"/>
              </w:rPr>
              <w:t>Guía para la participación en un foro en la plataforma Moodle</w:t>
            </w:r>
          </w:p>
          <w:p w14:paraId="4F24CDCC"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color w:val="0070C0"/>
                <w:kern w:val="0"/>
                <w:lang w:val="es-ES_tradnl" w:eastAsia="es-CR"/>
                <w14:ligatures w14:val="none"/>
              </w:rPr>
            </w:pPr>
          </w:p>
        </w:tc>
        <w:tc>
          <w:tcPr>
            <w:tcW w:w="3118" w:type="dxa"/>
          </w:tcPr>
          <w:p w14:paraId="51F7DCB5"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lastRenderedPageBreak/>
              <w:t>Presentación magistral docente en un encuentro sincrónico virtual (formativo).</w:t>
            </w:r>
          </w:p>
          <w:p w14:paraId="2CDADE2D"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Participación en el foro temático grupal: Inclusión y exclusión en la fe cristiana.</w:t>
            </w:r>
          </w:p>
          <w:p w14:paraId="638A36B1"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Continuar trabajando en el informe de observación participante (trabajo individual).</w:t>
            </w:r>
          </w:p>
          <w:p w14:paraId="4861160B"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Plenaria de presentación de pautas de acción (avance en su observación participante) en un encuentro sincrónico virtual (formativo).</w:t>
            </w:r>
          </w:p>
        </w:tc>
      </w:tr>
      <w:tr w:rsidR="00B3411D" w:rsidRPr="00B3411D" w14:paraId="07321240" w14:textId="77777777" w:rsidTr="4C9C2619">
        <w:trPr>
          <w:jc w:val="center"/>
        </w:trPr>
        <w:tc>
          <w:tcPr>
            <w:tcW w:w="1271" w:type="dxa"/>
          </w:tcPr>
          <w:p w14:paraId="00369E4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14</w:t>
            </w:r>
          </w:p>
        </w:tc>
        <w:tc>
          <w:tcPr>
            <w:tcW w:w="2410" w:type="dxa"/>
          </w:tcPr>
          <w:p w14:paraId="4A6242FC"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6: Renovación litúrgica, comunicación y animación</w:t>
            </w:r>
          </w:p>
          <w:p w14:paraId="36B0A4CD"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B3411D">
              <w:rPr>
                <w:rFonts w:ascii="Calibri" w:eastAsia="Times New Roman" w:hAnsi="Calibri" w:cs="Calibri"/>
                <w:bCs/>
                <w:kern w:val="0"/>
                <w:lang w:val="es-ES_tradnl" w:eastAsia="es-CR"/>
                <w14:ligatures w14:val="none"/>
              </w:rPr>
              <w:t>6.1 Convergencia entre Liturgia, Pastoral y Teología</w:t>
            </w:r>
          </w:p>
          <w:p w14:paraId="31AF19E0"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Cs/>
                <w:kern w:val="0"/>
                <w:sz w:val="2"/>
                <w:szCs w:val="2"/>
                <w:lang w:val="es-ES_tradnl" w:eastAsia="es-CR"/>
                <w14:ligatures w14:val="none"/>
              </w:rPr>
            </w:pPr>
          </w:p>
          <w:p w14:paraId="25807234"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3411D">
              <w:rPr>
                <w:rFonts w:ascii="Calibri" w:eastAsia="Times New Roman" w:hAnsi="Calibri" w:cs="Calibri"/>
                <w:bCs/>
                <w:kern w:val="0"/>
                <w:lang w:val="es-ES_tradnl" w:eastAsia="es-CR"/>
                <w14:ligatures w14:val="none"/>
              </w:rPr>
              <w:t>6.2 Comunicación y liturgia (el calendario litúrgico)</w:t>
            </w:r>
          </w:p>
        </w:tc>
        <w:tc>
          <w:tcPr>
            <w:tcW w:w="2835" w:type="dxa"/>
          </w:tcPr>
          <w:p w14:paraId="4BAA07D6"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54FB7981"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“Pastoral litúrgica en contextos latinoamericanos, indígenas y caribeños”. En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79-101.</w:t>
            </w:r>
            <w:r w:rsidRPr="00B3411D">
              <w:rPr>
                <w:rFonts w:ascii="Calibri" w:eastAsia="MS Mincho" w:hAnsi="Calibri" w:cs="Calibri"/>
                <w:i/>
                <w:kern w:val="0"/>
                <w:lang w:val="es-ES_tradnl" w:eastAsia="es-CR"/>
                <w14:ligatures w14:val="none"/>
              </w:rPr>
              <w:t xml:space="preserve"> </w:t>
            </w:r>
            <w:r w:rsidRPr="00B3411D">
              <w:rPr>
                <w:rFonts w:ascii="Calibri" w:eastAsia="MS Mincho" w:hAnsi="Calibri" w:cs="Calibri"/>
                <w:kern w:val="0"/>
                <w:lang w:val="es-ES_tradnl" w:eastAsia="es-CR"/>
                <w14:ligatures w14:val="none"/>
              </w:rPr>
              <w:t xml:space="preserve">San José: SEBILA, 2009. </w:t>
            </w:r>
            <w:r w:rsidRPr="00B3411D">
              <w:rPr>
                <w:rFonts w:ascii="Calibri" w:eastAsia="MS Mincho" w:hAnsi="Calibri" w:cs="Calibri"/>
                <w:color w:val="0070C0"/>
                <w:kern w:val="0"/>
                <w:lang w:val="es-ES_tradnl" w:eastAsia="es-CR"/>
                <w14:ligatures w14:val="none"/>
              </w:rPr>
              <w:t>(clásico, última edición)</w:t>
            </w:r>
          </w:p>
          <w:p w14:paraId="4E711EC2"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r w:rsidRPr="4C9C2619">
              <w:rPr>
                <w:rFonts w:ascii="Calibri" w:eastAsia="MS Mincho" w:hAnsi="Calibri" w:cs="Calibri"/>
                <w:kern w:val="0"/>
                <w:lang w:val="es-ES" w:eastAsia="es-CR"/>
                <w14:ligatures w14:val="none"/>
              </w:rPr>
              <w:t xml:space="preserve">Roldán, Alberto. “El cuerpo en el culto: de la negación a la reivindicación”.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55-81. Buenos Aires: </w:t>
            </w:r>
            <w:proofErr w:type="spellStart"/>
            <w:r w:rsidRPr="4C9C2619">
              <w:rPr>
                <w:rFonts w:ascii="Calibri" w:eastAsia="MS Mincho" w:hAnsi="Calibri" w:cs="Calibri"/>
                <w:kern w:val="0"/>
                <w:lang w:val="es-ES" w:eastAsia="es-CR"/>
                <w14:ligatures w14:val="none"/>
              </w:rPr>
              <w:t>Kairos</w:t>
            </w:r>
            <w:proofErr w:type="spellEnd"/>
            <w:r w:rsidRPr="4C9C2619">
              <w:rPr>
                <w:rFonts w:ascii="Calibri" w:eastAsia="MS Mincho" w:hAnsi="Calibri" w:cs="Calibri"/>
                <w:kern w:val="0"/>
                <w:lang w:val="es-ES" w:eastAsia="es-CR"/>
                <w14:ligatures w14:val="none"/>
              </w:rPr>
              <w:t xml:space="preserve">, 2004. </w:t>
            </w:r>
            <w:r w:rsidRPr="4C9C2619">
              <w:rPr>
                <w:rFonts w:ascii="Calibri" w:eastAsia="MS Mincho" w:hAnsi="Calibri" w:cs="Calibri"/>
                <w:color w:val="0070C0"/>
                <w:kern w:val="0"/>
                <w:lang w:val="es-ES" w:eastAsia="es-CR"/>
                <w14:ligatures w14:val="none"/>
              </w:rPr>
              <w:t>(clásico, última edición)</w:t>
            </w:r>
          </w:p>
          <w:p w14:paraId="64B5CA99" w14:textId="77777777" w:rsidR="00B3411D" w:rsidRPr="00B3411D" w:rsidRDefault="00B3411D" w:rsidP="00B3411D">
            <w:pPr>
              <w:widowControl w:val="0"/>
              <w:overflowPunct w:val="0"/>
              <w:autoSpaceDE w:val="0"/>
              <w:autoSpaceDN w:val="0"/>
              <w:adjustRightInd w:val="0"/>
              <w:spacing w:before="120"/>
              <w:rPr>
                <w:rFonts w:ascii="Calibri" w:eastAsia="Times New Roman" w:hAnsi="Calibri" w:cs="Calibri"/>
                <w:color w:val="0070C0"/>
                <w:kern w:val="0"/>
                <w:lang w:val="es-ES_tradnl" w:eastAsia="es-CR"/>
                <w14:ligatures w14:val="none"/>
              </w:rPr>
            </w:pPr>
            <w:proofErr w:type="spellStart"/>
            <w:r w:rsidRPr="00B3411D">
              <w:rPr>
                <w:rFonts w:ascii="Calibri" w:eastAsia="Times New Roman" w:hAnsi="Calibri" w:cs="Calibri"/>
                <w:kern w:val="0"/>
                <w:lang w:eastAsia="es-CR"/>
                <w14:ligatures w14:val="none"/>
              </w:rPr>
              <w:t>Mansk</w:t>
            </w:r>
            <w:proofErr w:type="spellEnd"/>
            <w:r w:rsidRPr="00B3411D">
              <w:rPr>
                <w:rFonts w:ascii="Calibri" w:eastAsia="Times New Roman" w:hAnsi="Calibri" w:cs="Calibri"/>
                <w:kern w:val="0"/>
                <w:lang w:eastAsia="es-CR"/>
                <w14:ligatures w14:val="none"/>
              </w:rPr>
              <w:t xml:space="preserve">, </w:t>
            </w:r>
            <w:proofErr w:type="spellStart"/>
            <w:r w:rsidRPr="00B3411D">
              <w:rPr>
                <w:rFonts w:ascii="Calibri" w:eastAsia="Times New Roman" w:hAnsi="Calibri" w:cs="Calibri"/>
                <w:kern w:val="0"/>
                <w:lang w:eastAsia="es-CR"/>
                <w14:ligatures w14:val="none"/>
              </w:rPr>
              <w:t>Erli</w:t>
            </w:r>
            <w:proofErr w:type="spellEnd"/>
            <w:r w:rsidRPr="00B3411D">
              <w:rPr>
                <w:rFonts w:ascii="Calibri" w:eastAsia="Times New Roman" w:hAnsi="Calibri" w:cs="Calibri"/>
                <w:kern w:val="0"/>
                <w:lang w:eastAsia="es-CR"/>
                <w14:ligatures w14:val="none"/>
              </w:rPr>
              <w:t xml:space="preserve">. “Dedicación de los espacios sagrados”. En </w:t>
            </w:r>
            <w:r w:rsidRPr="00B3411D">
              <w:rPr>
                <w:rFonts w:ascii="Calibri" w:eastAsia="Times New Roman" w:hAnsi="Calibri" w:cs="Calibri"/>
                <w:i/>
                <w:kern w:val="0"/>
                <w:lang w:eastAsia="es-CR"/>
                <w14:ligatures w14:val="none"/>
              </w:rPr>
              <w:t xml:space="preserve">Liturgia, fiesta de la </w:t>
            </w:r>
            <w:r w:rsidRPr="00B3411D">
              <w:rPr>
                <w:rFonts w:ascii="Calibri" w:eastAsia="Times New Roman" w:hAnsi="Calibri" w:cs="Calibri"/>
                <w:i/>
                <w:kern w:val="0"/>
                <w:lang w:eastAsia="es-CR"/>
                <w14:ligatures w14:val="none"/>
              </w:rPr>
              <w:lastRenderedPageBreak/>
              <w:t>esperanza: una introducción al culto cristiano desde una perspectiva ecuménica y latinoamericana</w:t>
            </w:r>
            <w:r w:rsidRPr="00B3411D">
              <w:rPr>
                <w:rFonts w:ascii="Calibri" w:eastAsia="Times New Roman" w:hAnsi="Calibri" w:cs="Calibri"/>
                <w:kern w:val="0"/>
                <w:lang w:eastAsia="es-CR"/>
                <w14:ligatures w14:val="none"/>
              </w:rPr>
              <w:t xml:space="preserve">, compilado por Amós López Rubio, 212-231. La Habana: Editorial Caminos, 2018. </w:t>
            </w:r>
            <w:r w:rsidRPr="00B3411D">
              <w:rPr>
                <w:rFonts w:ascii="Calibri" w:eastAsia="MS Mincho" w:hAnsi="Calibri" w:cs="Calibri"/>
                <w:color w:val="0070C0"/>
                <w:kern w:val="0"/>
                <w:lang w:val="es-ES_tradnl" w:eastAsia="es-CR"/>
                <w14:ligatures w14:val="none"/>
              </w:rPr>
              <w:t>(clásico, última edición)</w:t>
            </w:r>
          </w:p>
          <w:p w14:paraId="2D2A2C6B"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kern w:val="0"/>
                <w:lang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45F6E0BC"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color w:val="0070C0"/>
                <w:kern w:val="0"/>
                <w:lang w:eastAsia="es-CR"/>
                <w14:ligatures w14:val="none"/>
              </w:rPr>
            </w:pPr>
            <w:r w:rsidRPr="00B3411D">
              <w:rPr>
                <w:rFonts w:ascii="Calibri" w:eastAsia="Times New Roman" w:hAnsi="Calibri" w:cs="Calibri"/>
                <w:color w:val="0070C0"/>
                <w:kern w:val="0"/>
                <w:lang w:eastAsia="es-CR"/>
                <w14:ligatures w14:val="none"/>
              </w:rPr>
              <w:t xml:space="preserve">Guía para la participación mediante la herramienta Big Blue </w:t>
            </w:r>
            <w:proofErr w:type="spellStart"/>
            <w:r w:rsidRPr="00B3411D">
              <w:rPr>
                <w:rFonts w:ascii="Calibri" w:eastAsia="Times New Roman" w:hAnsi="Calibri" w:cs="Calibri"/>
                <w:color w:val="0070C0"/>
                <w:kern w:val="0"/>
                <w:lang w:eastAsia="es-CR"/>
                <w14:ligatures w14:val="none"/>
              </w:rPr>
              <w:t>Button</w:t>
            </w:r>
            <w:proofErr w:type="spellEnd"/>
            <w:r w:rsidRPr="00B3411D">
              <w:rPr>
                <w:rFonts w:ascii="Calibri" w:eastAsia="Times New Roman" w:hAnsi="Calibri" w:cs="Calibri"/>
                <w:color w:val="0070C0"/>
                <w:kern w:val="0"/>
                <w:lang w:eastAsia="es-CR"/>
                <w14:ligatures w14:val="none"/>
              </w:rPr>
              <w:t xml:space="preserve"> en la plataforma Moodle</w:t>
            </w:r>
          </w:p>
          <w:p w14:paraId="2B185A4D"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kern w:val="0"/>
                <w:lang w:eastAsia="es-CR"/>
                <w14:ligatures w14:val="none"/>
              </w:rPr>
            </w:pPr>
          </w:p>
        </w:tc>
        <w:tc>
          <w:tcPr>
            <w:tcW w:w="3118" w:type="dxa"/>
          </w:tcPr>
          <w:p w14:paraId="604CF2D2"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lastRenderedPageBreak/>
              <w:t xml:space="preserve">Presentación del docente y discusión de lecturas mediante un trabajo en grupos en un encuentro sincrónico virtual (formativo). </w:t>
            </w:r>
          </w:p>
          <w:p w14:paraId="030C3AA2"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Conclusión del informe de la observación participante.</w:t>
            </w:r>
          </w:p>
        </w:tc>
      </w:tr>
      <w:tr w:rsidR="00B3411D" w:rsidRPr="00B3411D" w14:paraId="5CDC7ECA" w14:textId="77777777" w:rsidTr="4C9C2619">
        <w:trPr>
          <w:trHeight w:val="2537"/>
          <w:jc w:val="center"/>
        </w:trPr>
        <w:tc>
          <w:tcPr>
            <w:tcW w:w="1271" w:type="dxa"/>
          </w:tcPr>
          <w:p w14:paraId="26F2D9F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15</w:t>
            </w:r>
          </w:p>
        </w:tc>
        <w:tc>
          <w:tcPr>
            <w:tcW w:w="2410" w:type="dxa"/>
          </w:tcPr>
          <w:p w14:paraId="4DA1032F"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3411D">
              <w:rPr>
                <w:rFonts w:ascii="Calibri" w:eastAsia="Times New Roman" w:hAnsi="Calibri" w:cs="Calibri"/>
                <w:b/>
                <w:bCs/>
                <w:kern w:val="0"/>
                <w:lang w:val="es-ES_tradnl" w:eastAsia="es-CR"/>
                <w14:ligatures w14:val="none"/>
              </w:rPr>
              <w:t>Unidad 6: Renovación litúrgica, comunicación y animación</w:t>
            </w:r>
          </w:p>
          <w:p w14:paraId="3503F595"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3411D">
              <w:rPr>
                <w:rFonts w:ascii="Calibri" w:eastAsia="Times New Roman" w:hAnsi="Calibri" w:cs="Calibri"/>
                <w:kern w:val="0"/>
                <w:lang w:val="es-ES_tradnl" w:eastAsia="es-CR"/>
                <w14:ligatures w14:val="none"/>
              </w:rPr>
              <w:t>6.3 Animación litúrgica (el uso de las artes)</w:t>
            </w:r>
          </w:p>
          <w:p w14:paraId="73F12CA4"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B3411D">
              <w:rPr>
                <w:rFonts w:ascii="Calibri" w:eastAsia="Times New Roman" w:hAnsi="Calibri" w:cs="Calibri"/>
                <w:kern w:val="0"/>
                <w:lang w:val="es-ES_tradnl" w:eastAsia="es-CR"/>
                <w14:ligatures w14:val="none"/>
              </w:rPr>
              <w:t>6.4 Recomendaciones y pautas</w:t>
            </w:r>
          </w:p>
          <w:p w14:paraId="064A95C7"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Calibri"/>
                <w:bCs/>
                <w:kern w:val="0"/>
                <w:lang w:val="es-ES_tradnl" w:eastAsia="es-CR"/>
                <w14:ligatures w14:val="none"/>
              </w:rPr>
            </w:pPr>
          </w:p>
        </w:tc>
        <w:tc>
          <w:tcPr>
            <w:tcW w:w="2835" w:type="dxa"/>
          </w:tcPr>
          <w:p w14:paraId="7660B30E"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kern w:val="0"/>
                <w:lang w:val="es-ES_tradnl" w:eastAsia="es-CR"/>
                <w14:ligatures w14:val="none"/>
              </w:rPr>
            </w:pPr>
            <w:r w:rsidRPr="00B3411D">
              <w:rPr>
                <w:rFonts w:ascii="Calibri" w:eastAsia="MS Mincho" w:hAnsi="Calibri" w:cs="Calibri"/>
                <w:color w:val="0070C0"/>
                <w:kern w:val="0"/>
                <w:lang w:val="es-ES_tradnl" w:eastAsia="es-CR"/>
                <w14:ligatures w14:val="none"/>
              </w:rPr>
              <w:t>Ruta de aprendizaje</w:t>
            </w:r>
          </w:p>
          <w:p w14:paraId="76C21007" w14:textId="77777777" w:rsidR="00B3411D" w:rsidRPr="00B3411D" w:rsidRDefault="00B3411D" w:rsidP="4C9C2619">
            <w:pPr>
              <w:widowControl w:val="0"/>
              <w:overflowPunct w:val="0"/>
              <w:autoSpaceDE w:val="0"/>
              <w:autoSpaceDN w:val="0"/>
              <w:adjustRightInd w:val="0"/>
              <w:spacing w:before="120"/>
              <w:rPr>
                <w:rFonts w:ascii="Calibri" w:eastAsia="Times New Roman" w:hAnsi="Calibri" w:cs="Calibri"/>
                <w:color w:val="0070C0"/>
                <w:kern w:val="0"/>
                <w:lang w:val="es-ES" w:eastAsia="es-CR"/>
                <w14:ligatures w14:val="none"/>
              </w:rPr>
            </w:pPr>
            <w:proofErr w:type="spellStart"/>
            <w:r w:rsidRPr="4C9C2619">
              <w:rPr>
                <w:rFonts w:ascii="Calibri" w:eastAsia="MS Mincho" w:hAnsi="Calibri" w:cs="Calibri"/>
                <w:kern w:val="0"/>
                <w:lang w:val="es-ES" w:eastAsia="es-CR"/>
                <w14:ligatures w14:val="none"/>
              </w:rPr>
              <w:t>Moffatt</w:t>
            </w:r>
            <w:proofErr w:type="spellEnd"/>
            <w:r w:rsidRPr="4C9C2619">
              <w:rPr>
                <w:rFonts w:ascii="Calibri" w:eastAsia="MS Mincho" w:hAnsi="Calibri" w:cs="Calibri"/>
                <w:kern w:val="0"/>
                <w:lang w:val="es-ES" w:eastAsia="es-CR"/>
                <w14:ligatures w14:val="none"/>
              </w:rPr>
              <w:t xml:space="preserve">, Edgardo. “La música es teología”.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83-99. Buenos Aires: </w:t>
            </w:r>
            <w:proofErr w:type="spellStart"/>
            <w:r w:rsidRPr="4C9C2619">
              <w:rPr>
                <w:rFonts w:ascii="Calibri" w:eastAsia="MS Mincho" w:hAnsi="Calibri" w:cs="Calibri"/>
                <w:kern w:val="0"/>
                <w:lang w:val="es-ES" w:eastAsia="es-CR"/>
                <w14:ligatures w14:val="none"/>
              </w:rPr>
              <w:t>Kairos</w:t>
            </w:r>
            <w:proofErr w:type="spellEnd"/>
            <w:r w:rsidRPr="4C9C2619">
              <w:rPr>
                <w:rFonts w:ascii="Calibri" w:eastAsia="MS Mincho" w:hAnsi="Calibri" w:cs="Calibri"/>
                <w:kern w:val="0"/>
                <w:lang w:val="es-ES" w:eastAsia="es-CR"/>
                <w14:ligatures w14:val="none"/>
              </w:rPr>
              <w:t xml:space="preserve">, 2004. </w:t>
            </w:r>
            <w:r w:rsidRPr="4C9C2619">
              <w:rPr>
                <w:rFonts w:ascii="Calibri" w:eastAsia="MS Mincho" w:hAnsi="Calibri" w:cs="Calibri"/>
                <w:color w:val="0070C0"/>
                <w:kern w:val="0"/>
                <w:lang w:val="es-ES" w:eastAsia="es-CR"/>
                <w14:ligatures w14:val="none"/>
              </w:rPr>
              <w:t>(clásico, última edición)</w:t>
            </w:r>
          </w:p>
          <w:p w14:paraId="0DEDC4C6"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MS Mincho" w:hAnsi="Calibri" w:cs="Calibri"/>
                <w:b/>
                <w:color w:val="0070C0"/>
                <w:kern w:val="0"/>
                <w:lang w:val="es-ES_tradnl" w:eastAsia="es-CR"/>
                <w14:ligatures w14:val="none"/>
              </w:rPr>
            </w:pPr>
            <w:r w:rsidRPr="00B3411D">
              <w:rPr>
                <w:rFonts w:ascii="Calibri" w:eastAsia="MS Mincho" w:hAnsi="Calibri" w:cs="Calibri"/>
                <w:b/>
                <w:color w:val="0070C0"/>
                <w:kern w:val="0"/>
                <w:lang w:val="es-ES_tradnl" w:eastAsia="es-CR"/>
                <w14:ligatures w14:val="none"/>
              </w:rPr>
              <w:t>Material complementario</w:t>
            </w:r>
          </w:p>
          <w:p w14:paraId="75A28684"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color w:val="0070C0"/>
                <w:kern w:val="0"/>
                <w:lang w:eastAsia="es-CR"/>
                <w14:ligatures w14:val="none"/>
              </w:rPr>
            </w:pPr>
            <w:r w:rsidRPr="00B3411D">
              <w:rPr>
                <w:rFonts w:ascii="Calibri" w:eastAsia="Times New Roman" w:hAnsi="Calibri" w:cs="Calibri"/>
                <w:color w:val="0070C0"/>
                <w:kern w:val="0"/>
                <w:lang w:eastAsia="es-CR"/>
                <w14:ligatures w14:val="none"/>
              </w:rPr>
              <w:t xml:space="preserve">Guía para la participación mediante la herramienta Big Blue </w:t>
            </w:r>
            <w:proofErr w:type="spellStart"/>
            <w:r w:rsidRPr="00B3411D">
              <w:rPr>
                <w:rFonts w:ascii="Calibri" w:eastAsia="Times New Roman" w:hAnsi="Calibri" w:cs="Calibri"/>
                <w:color w:val="0070C0"/>
                <w:kern w:val="0"/>
                <w:lang w:eastAsia="es-CR"/>
                <w14:ligatures w14:val="none"/>
              </w:rPr>
              <w:t>Button</w:t>
            </w:r>
            <w:proofErr w:type="spellEnd"/>
            <w:r w:rsidRPr="00B3411D">
              <w:rPr>
                <w:rFonts w:ascii="Calibri" w:eastAsia="Times New Roman" w:hAnsi="Calibri" w:cs="Calibri"/>
                <w:color w:val="0070C0"/>
                <w:kern w:val="0"/>
                <w:lang w:eastAsia="es-CR"/>
                <w14:ligatures w14:val="none"/>
              </w:rPr>
              <w:t xml:space="preserve"> en la plataforma Moodle</w:t>
            </w:r>
          </w:p>
          <w:p w14:paraId="770F64B2" w14:textId="77777777" w:rsidR="00B3411D" w:rsidRPr="00B3411D" w:rsidRDefault="00B3411D" w:rsidP="00B3411D">
            <w:pPr>
              <w:widowControl w:val="0"/>
              <w:overflowPunct w:val="0"/>
              <w:autoSpaceDE w:val="0"/>
              <w:autoSpaceDN w:val="0"/>
              <w:adjustRightInd w:val="0"/>
              <w:spacing w:before="120" w:after="0" w:line="240" w:lineRule="auto"/>
              <w:ind w:right="35"/>
              <w:rPr>
                <w:rFonts w:ascii="Calibri" w:eastAsia="Times New Roman" w:hAnsi="Calibri" w:cs="Calibri"/>
                <w:color w:val="0070C0"/>
                <w:kern w:val="0"/>
                <w:lang w:eastAsia="es-CR"/>
                <w14:ligatures w14:val="none"/>
              </w:rPr>
            </w:pPr>
          </w:p>
        </w:tc>
        <w:tc>
          <w:tcPr>
            <w:tcW w:w="3118" w:type="dxa"/>
          </w:tcPr>
          <w:p w14:paraId="2496EC7D"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Elaboración del trabajo final de asesoría litúrgica.</w:t>
            </w:r>
          </w:p>
          <w:p w14:paraId="4CFB3992" w14:textId="77777777" w:rsidR="00B3411D" w:rsidRPr="00B3411D" w:rsidRDefault="00B3411D" w:rsidP="00B3411D">
            <w:pPr>
              <w:widowControl w:val="0"/>
              <w:numPr>
                <w:ilvl w:val="0"/>
                <w:numId w:val="174"/>
              </w:numPr>
              <w:overflowPunct w:val="0"/>
              <w:autoSpaceDE w:val="0"/>
              <w:autoSpaceDN w:val="0"/>
              <w:adjustRightInd w:val="0"/>
              <w:spacing w:before="120" w:after="0" w:line="240" w:lineRule="auto"/>
              <w:ind w:left="149" w:right="35" w:hanging="149"/>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Reflexión plenaria y debate crítico en un encuentro sincrónico virtual (formativo).</w:t>
            </w:r>
          </w:p>
        </w:tc>
      </w:tr>
    </w:tbl>
    <w:p w14:paraId="11F8E2AD"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p>
    <w:p w14:paraId="141CD1C7" w14:textId="77777777" w:rsidR="00B3411D" w:rsidRPr="00B3411D" w:rsidRDefault="00B3411D" w:rsidP="00B3411D">
      <w:pPr>
        <w:rPr>
          <w:rFonts w:ascii="Calibri" w:eastAsia="Times New Roman" w:hAnsi="Calibri" w:cs="Calibri"/>
          <w:b/>
          <w:bCs/>
          <w:color w:val="000000"/>
          <w:kern w:val="0"/>
          <w:lang w:val="es-ES_tradnl" w:eastAsia="es-CR"/>
          <w14:ligatures w14:val="none"/>
        </w:rPr>
      </w:pPr>
      <w:r w:rsidRPr="00B3411D">
        <w:rPr>
          <w:rFonts w:ascii="Calibri" w:eastAsia="Times New Roman" w:hAnsi="Calibri" w:cs="Arial"/>
          <w:b/>
          <w:color w:val="000000"/>
          <w:spacing w:val="-2"/>
          <w:kern w:val="28"/>
          <w:lang w:val="es-ES" w:eastAsia="es-CR"/>
          <w14:ligatures w14:val="none"/>
        </w:rPr>
        <w:br w:type="page"/>
      </w:r>
      <w:r w:rsidRPr="00B3411D">
        <w:rPr>
          <w:rFonts w:ascii="Calibri" w:eastAsia="Times New Roman" w:hAnsi="Calibri" w:cs="Calibri"/>
          <w:b/>
          <w:bCs/>
          <w:color w:val="000000"/>
          <w:kern w:val="0"/>
          <w:lang w:val="es-ES_tradnl" w:eastAsia="es-CR"/>
          <w14:ligatures w14:val="none"/>
        </w:rPr>
        <w:lastRenderedPageBreak/>
        <w:t>IX. Distribución de tiempo semanal</w:t>
      </w:r>
    </w:p>
    <w:p w14:paraId="30A88B59"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3411D">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4CF696D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8784" w:type="dxa"/>
        <w:tblLook w:val="04A0" w:firstRow="1" w:lastRow="0" w:firstColumn="1" w:lastColumn="0" w:noHBand="0" w:noVBand="1"/>
      </w:tblPr>
      <w:tblGrid>
        <w:gridCol w:w="2122"/>
        <w:gridCol w:w="1275"/>
        <w:gridCol w:w="5387"/>
      </w:tblGrid>
      <w:tr w:rsidR="00B3411D" w:rsidRPr="00B3411D" w14:paraId="18786005" w14:textId="77777777" w:rsidTr="00CE7124">
        <w:tc>
          <w:tcPr>
            <w:tcW w:w="2122" w:type="dxa"/>
          </w:tcPr>
          <w:p w14:paraId="2B04C6B0"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Tipo de horas</w:t>
            </w:r>
          </w:p>
          <w:p w14:paraId="714723F4"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(categoría)</w:t>
            </w:r>
          </w:p>
        </w:tc>
        <w:tc>
          <w:tcPr>
            <w:tcW w:w="1275" w:type="dxa"/>
          </w:tcPr>
          <w:p w14:paraId="513B358F"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Horas por semana</w:t>
            </w:r>
          </w:p>
        </w:tc>
        <w:tc>
          <w:tcPr>
            <w:tcW w:w="5387" w:type="dxa"/>
            <w:vAlign w:val="center"/>
          </w:tcPr>
          <w:p w14:paraId="67829AC5"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Actividades relacionadas</w:t>
            </w:r>
          </w:p>
        </w:tc>
      </w:tr>
      <w:tr w:rsidR="00B3411D" w:rsidRPr="00B3411D" w14:paraId="431CA90B" w14:textId="77777777" w:rsidTr="00CE7124">
        <w:trPr>
          <w:trHeight w:val="679"/>
        </w:trPr>
        <w:tc>
          <w:tcPr>
            <w:tcW w:w="2122" w:type="dxa"/>
            <w:vAlign w:val="center"/>
          </w:tcPr>
          <w:p w14:paraId="5D085B3C"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Horas de Estudio Individual (HEI)</w:t>
            </w:r>
          </w:p>
        </w:tc>
        <w:tc>
          <w:tcPr>
            <w:tcW w:w="1275" w:type="dxa"/>
            <w:vAlign w:val="center"/>
          </w:tcPr>
          <w:p w14:paraId="24A0E836"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4</w:t>
            </w:r>
          </w:p>
        </w:tc>
        <w:tc>
          <w:tcPr>
            <w:tcW w:w="5387" w:type="dxa"/>
          </w:tcPr>
          <w:p w14:paraId="4BF92A2C" w14:textId="77777777" w:rsidR="00B3411D" w:rsidRPr="00B3411D" w:rsidRDefault="00B3411D" w:rsidP="00B3411D">
            <w:pPr>
              <w:numPr>
                <w:ilvl w:val="0"/>
                <w:numId w:val="34"/>
              </w:numPr>
              <w:contextualSpacing/>
              <w:rPr>
                <w:rFonts w:ascii="Calibri" w:eastAsia="Calibri" w:hAnsi="Calibri" w:cs="Calibri"/>
                <w:bCs/>
                <w:color w:val="000000"/>
              </w:rPr>
            </w:pPr>
            <w:r w:rsidRPr="00B3411D">
              <w:rPr>
                <w:rFonts w:ascii="Calibri" w:eastAsia="Calibri" w:hAnsi="Calibri" w:cs="Calibri"/>
                <w:bCs/>
                <w:color w:val="000000"/>
              </w:rPr>
              <w:t>Lectura de los textos (materiales en formato digital).</w:t>
            </w:r>
          </w:p>
          <w:p w14:paraId="30D3A98F" w14:textId="77777777" w:rsidR="00B3411D" w:rsidRPr="00B3411D" w:rsidRDefault="00B3411D" w:rsidP="00B3411D">
            <w:pPr>
              <w:numPr>
                <w:ilvl w:val="0"/>
                <w:numId w:val="34"/>
              </w:numPr>
              <w:contextualSpacing/>
              <w:rPr>
                <w:rFonts w:ascii="Calibri" w:eastAsia="Calibri" w:hAnsi="Calibri" w:cs="Calibri"/>
                <w:bCs/>
                <w:color w:val="000000"/>
              </w:rPr>
            </w:pPr>
            <w:r w:rsidRPr="00B3411D">
              <w:rPr>
                <w:rFonts w:ascii="Calibri" w:eastAsia="Calibri" w:hAnsi="Calibri" w:cs="Calibri"/>
                <w:bCs/>
                <w:color w:val="000000"/>
              </w:rPr>
              <w:t>Análisis de lecturas e investigación por cuenta propia.</w:t>
            </w:r>
          </w:p>
        </w:tc>
      </w:tr>
      <w:tr w:rsidR="00B3411D" w:rsidRPr="00B3411D" w14:paraId="4A8CE9D2" w14:textId="77777777" w:rsidTr="00CE7124">
        <w:trPr>
          <w:trHeight w:val="1540"/>
        </w:trPr>
        <w:tc>
          <w:tcPr>
            <w:tcW w:w="2122" w:type="dxa"/>
            <w:vAlign w:val="center"/>
          </w:tcPr>
          <w:p w14:paraId="3D8DD985"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Horas de Trabajo Colaborativo (HTC)</w:t>
            </w:r>
          </w:p>
        </w:tc>
        <w:tc>
          <w:tcPr>
            <w:tcW w:w="1275" w:type="dxa"/>
            <w:vAlign w:val="center"/>
          </w:tcPr>
          <w:p w14:paraId="05DEAAF2"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2</w:t>
            </w:r>
          </w:p>
        </w:tc>
        <w:tc>
          <w:tcPr>
            <w:tcW w:w="5387" w:type="dxa"/>
          </w:tcPr>
          <w:p w14:paraId="4A50C168" w14:textId="77777777" w:rsidR="00B3411D" w:rsidRPr="00B3411D" w:rsidRDefault="00B3411D" w:rsidP="00B3411D">
            <w:pPr>
              <w:numPr>
                <w:ilvl w:val="0"/>
                <w:numId w:val="35"/>
              </w:numPr>
              <w:contextualSpacing/>
              <w:rPr>
                <w:rFonts w:ascii="Calibri" w:eastAsia="Calibri" w:hAnsi="Calibri" w:cs="Calibri"/>
                <w:bCs/>
                <w:color w:val="000000"/>
              </w:rPr>
            </w:pPr>
            <w:r w:rsidRPr="00B3411D">
              <w:rPr>
                <w:rFonts w:ascii="Calibri" w:eastAsia="Calibri" w:hAnsi="Calibri" w:cs="Calibri"/>
                <w:bCs/>
                <w:color w:val="000000"/>
              </w:rPr>
              <w:t>Participación en los foros temáticos (incluye aportes personales y réplicas a los demás estudiantes).</w:t>
            </w:r>
          </w:p>
          <w:p w14:paraId="1718952A" w14:textId="77777777" w:rsidR="00B3411D" w:rsidRPr="00B3411D" w:rsidRDefault="00B3411D" w:rsidP="00B3411D">
            <w:pPr>
              <w:numPr>
                <w:ilvl w:val="0"/>
                <w:numId w:val="35"/>
              </w:numPr>
              <w:contextualSpacing/>
              <w:rPr>
                <w:rFonts w:ascii="Calibri" w:eastAsia="Calibri" w:hAnsi="Calibri" w:cs="Calibri"/>
                <w:bCs/>
                <w:color w:val="000000"/>
              </w:rPr>
            </w:pPr>
            <w:r w:rsidRPr="00B3411D">
              <w:rPr>
                <w:rFonts w:ascii="Calibri" w:eastAsia="Calibri" w:hAnsi="Calibri" w:cs="Calibri"/>
                <w:bCs/>
                <w:color w:val="000000"/>
              </w:rPr>
              <w:t>Participación en la elaboración de un wiki.</w:t>
            </w:r>
          </w:p>
          <w:p w14:paraId="251F32B1" w14:textId="77777777" w:rsidR="00B3411D" w:rsidRPr="00B3411D" w:rsidRDefault="00B3411D" w:rsidP="00B3411D">
            <w:pPr>
              <w:numPr>
                <w:ilvl w:val="0"/>
                <w:numId w:val="35"/>
              </w:numPr>
              <w:contextualSpacing/>
              <w:rPr>
                <w:rFonts w:ascii="Calibri" w:eastAsia="Calibri" w:hAnsi="Calibri" w:cs="Calibri"/>
                <w:bCs/>
                <w:color w:val="000000"/>
              </w:rPr>
            </w:pPr>
            <w:r w:rsidRPr="00B3411D">
              <w:rPr>
                <w:rFonts w:ascii="Calibri" w:eastAsia="Calibri" w:hAnsi="Calibri" w:cs="Calibri"/>
                <w:bCs/>
                <w:color w:val="000000"/>
              </w:rPr>
              <w:t>Participación en la elaboración de un glosario.</w:t>
            </w:r>
          </w:p>
          <w:p w14:paraId="38E88040" w14:textId="77777777" w:rsidR="00B3411D" w:rsidRPr="00B3411D" w:rsidRDefault="00B3411D" w:rsidP="00B3411D">
            <w:pPr>
              <w:numPr>
                <w:ilvl w:val="0"/>
                <w:numId w:val="35"/>
              </w:numPr>
              <w:contextualSpacing/>
              <w:rPr>
                <w:rFonts w:ascii="Calibri" w:eastAsia="Calibri" w:hAnsi="Calibri" w:cs="Calibri"/>
                <w:bCs/>
                <w:color w:val="000000"/>
              </w:rPr>
            </w:pPr>
            <w:r w:rsidRPr="00B3411D">
              <w:rPr>
                <w:rFonts w:ascii="Calibri" w:eastAsia="Calibri" w:hAnsi="Calibri" w:cs="Calibri"/>
                <w:bCs/>
                <w:color w:val="000000"/>
              </w:rPr>
              <w:t>Participación en los encuentros sincrónicos virtuales.</w:t>
            </w:r>
          </w:p>
        </w:tc>
      </w:tr>
      <w:tr w:rsidR="00B3411D" w:rsidRPr="00B3411D" w14:paraId="05D3C8C3" w14:textId="77777777" w:rsidTr="00CE7124">
        <w:trPr>
          <w:trHeight w:val="995"/>
        </w:trPr>
        <w:tc>
          <w:tcPr>
            <w:tcW w:w="2122" w:type="dxa"/>
            <w:vAlign w:val="center"/>
          </w:tcPr>
          <w:p w14:paraId="1AF2FD93"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Horas de Producción Individual (HPI)</w:t>
            </w:r>
          </w:p>
        </w:tc>
        <w:tc>
          <w:tcPr>
            <w:tcW w:w="1275" w:type="dxa"/>
            <w:vAlign w:val="center"/>
          </w:tcPr>
          <w:p w14:paraId="76F6B389"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4</w:t>
            </w:r>
          </w:p>
        </w:tc>
        <w:tc>
          <w:tcPr>
            <w:tcW w:w="5387" w:type="dxa"/>
          </w:tcPr>
          <w:p w14:paraId="71528561" w14:textId="77777777" w:rsidR="00B3411D" w:rsidRPr="00B3411D" w:rsidRDefault="00B3411D" w:rsidP="00B3411D">
            <w:pPr>
              <w:numPr>
                <w:ilvl w:val="0"/>
                <w:numId w:val="36"/>
              </w:numPr>
              <w:contextualSpacing/>
              <w:rPr>
                <w:rFonts w:ascii="Calibri" w:eastAsia="Calibri" w:hAnsi="Calibri" w:cs="Calibri"/>
                <w:bCs/>
                <w:color w:val="000000"/>
              </w:rPr>
            </w:pPr>
            <w:r w:rsidRPr="00B3411D">
              <w:rPr>
                <w:rFonts w:ascii="Calibri" w:eastAsia="Calibri" w:hAnsi="Calibri" w:cs="Calibri"/>
                <w:bCs/>
                <w:color w:val="000000"/>
              </w:rPr>
              <w:t>Elaboración de tareas (estudio de la palabra Liturgia, diseño de un culto o liturgia, ensayo, resumen, presentación, informe).</w:t>
            </w:r>
          </w:p>
        </w:tc>
      </w:tr>
      <w:tr w:rsidR="00B3411D" w:rsidRPr="00B3411D" w14:paraId="38F94BBC" w14:textId="77777777" w:rsidTr="00CE7124">
        <w:trPr>
          <w:trHeight w:val="981"/>
        </w:trPr>
        <w:tc>
          <w:tcPr>
            <w:tcW w:w="2122" w:type="dxa"/>
            <w:vAlign w:val="center"/>
          </w:tcPr>
          <w:p w14:paraId="28C99152"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Horas de Práctica (HP)</w:t>
            </w:r>
          </w:p>
        </w:tc>
        <w:tc>
          <w:tcPr>
            <w:tcW w:w="1275" w:type="dxa"/>
            <w:vAlign w:val="center"/>
          </w:tcPr>
          <w:p w14:paraId="57D8BE45" w14:textId="77777777" w:rsidR="00B3411D" w:rsidRPr="00B3411D" w:rsidRDefault="00B3411D" w:rsidP="00B3411D">
            <w:pPr>
              <w:jc w:val="center"/>
              <w:rPr>
                <w:rFonts w:ascii="Calibri" w:hAnsi="Calibri" w:cs="Calibri"/>
                <w:bCs/>
                <w:color w:val="000000"/>
              </w:rPr>
            </w:pPr>
            <w:r w:rsidRPr="00B3411D">
              <w:rPr>
                <w:rFonts w:ascii="Calibri" w:hAnsi="Calibri" w:cs="Calibri"/>
                <w:bCs/>
                <w:color w:val="000000"/>
              </w:rPr>
              <w:t>2</w:t>
            </w:r>
          </w:p>
        </w:tc>
        <w:tc>
          <w:tcPr>
            <w:tcW w:w="5387" w:type="dxa"/>
          </w:tcPr>
          <w:p w14:paraId="310841D9" w14:textId="77777777" w:rsidR="00B3411D" w:rsidRPr="00B3411D" w:rsidRDefault="00B3411D" w:rsidP="00B3411D">
            <w:pPr>
              <w:numPr>
                <w:ilvl w:val="0"/>
                <w:numId w:val="36"/>
              </w:numPr>
              <w:contextualSpacing/>
              <w:rPr>
                <w:rFonts w:ascii="Calibri" w:eastAsia="Calibri" w:hAnsi="Calibri" w:cs="Calibri"/>
                <w:bCs/>
                <w:color w:val="000000"/>
              </w:rPr>
            </w:pPr>
            <w:r w:rsidRPr="00B3411D">
              <w:rPr>
                <w:rFonts w:ascii="Calibri" w:eastAsia="Calibri" w:hAnsi="Calibri" w:cs="Calibri"/>
                <w:bCs/>
                <w:color w:val="000000"/>
              </w:rPr>
              <w:t>Observación de formas litúrgicas.</w:t>
            </w:r>
          </w:p>
          <w:p w14:paraId="24D2E113" w14:textId="77777777" w:rsidR="00B3411D" w:rsidRPr="00B3411D" w:rsidRDefault="00B3411D" w:rsidP="00B3411D">
            <w:pPr>
              <w:numPr>
                <w:ilvl w:val="0"/>
                <w:numId w:val="36"/>
              </w:numPr>
              <w:contextualSpacing/>
              <w:rPr>
                <w:rFonts w:ascii="Calibri" w:eastAsia="Calibri" w:hAnsi="Calibri" w:cs="Calibri"/>
                <w:bCs/>
                <w:color w:val="000000"/>
              </w:rPr>
            </w:pPr>
            <w:r w:rsidRPr="00B3411D">
              <w:rPr>
                <w:rFonts w:ascii="Calibri" w:eastAsia="Calibri" w:hAnsi="Calibri" w:cs="Calibri"/>
                <w:bCs/>
                <w:color w:val="000000"/>
              </w:rPr>
              <w:t>Observación participante.</w:t>
            </w:r>
          </w:p>
          <w:p w14:paraId="49115511" w14:textId="77777777" w:rsidR="00B3411D" w:rsidRPr="00B3411D" w:rsidRDefault="00B3411D" w:rsidP="00B3411D">
            <w:pPr>
              <w:numPr>
                <w:ilvl w:val="0"/>
                <w:numId w:val="36"/>
              </w:numPr>
              <w:contextualSpacing/>
              <w:rPr>
                <w:rFonts w:ascii="Calibri" w:eastAsia="Calibri" w:hAnsi="Calibri" w:cs="Calibri"/>
                <w:bCs/>
                <w:color w:val="000000"/>
              </w:rPr>
            </w:pPr>
            <w:r w:rsidRPr="00B3411D">
              <w:rPr>
                <w:rFonts w:ascii="Calibri" w:eastAsia="Calibri" w:hAnsi="Calibri" w:cs="Calibri"/>
                <w:bCs/>
                <w:color w:val="000000"/>
              </w:rPr>
              <w:t>Asesoría litúrgica.</w:t>
            </w:r>
          </w:p>
        </w:tc>
      </w:tr>
      <w:tr w:rsidR="00B3411D" w:rsidRPr="00B3411D" w14:paraId="537EE536" w14:textId="77777777" w:rsidTr="00CE7124">
        <w:tc>
          <w:tcPr>
            <w:tcW w:w="2122" w:type="dxa"/>
            <w:vAlign w:val="center"/>
          </w:tcPr>
          <w:p w14:paraId="4EDB4DFA"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Total de horas (TH)</w:t>
            </w:r>
          </w:p>
        </w:tc>
        <w:tc>
          <w:tcPr>
            <w:tcW w:w="1275" w:type="dxa"/>
          </w:tcPr>
          <w:p w14:paraId="4E4B5220" w14:textId="77777777" w:rsidR="00B3411D" w:rsidRPr="00B3411D" w:rsidRDefault="00B3411D" w:rsidP="00B3411D">
            <w:pPr>
              <w:jc w:val="center"/>
              <w:rPr>
                <w:rFonts w:ascii="Calibri" w:hAnsi="Calibri" w:cs="Calibri"/>
                <w:b/>
                <w:bCs/>
                <w:color w:val="000000"/>
              </w:rPr>
            </w:pPr>
            <w:r w:rsidRPr="00B3411D">
              <w:rPr>
                <w:rFonts w:ascii="Calibri" w:hAnsi="Calibri" w:cs="Calibri"/>
                <w:b/>
                <w:bCs/>
                <w:color w:val="000000"/>
              </w:rPr>
              <w:t>12</w:t>
            </w:r>
          </w:p>
        </w:tc>
        <w:tc>
          <w:tcPr>
            <w:tcW w:w="5387" w:type="dxa"/>
          </w:tcPr>
          <w:p w14:paraId="3A9A7B74" w14:textId="77777777" w:rsidR="00B3411D" w:rsidRPr="00B3411D" w:rsidRDefault="00B3411D" w:rsidP="00B3411D">
            <w:pPr>
              <w:jc w:val="center"/>
              <w:rPr>
                <w:rFonts w:ascii="Calibri" w:hAnsi="Calibri" w:cs="Calibri"/>
                <w:b/>
                <w:bCs/>
                <w:color w:val="000000"/>
              </w:rPr>
            </w:pPr>
          </w:p>
        </w:tc>
      </w:tr>
    </w:tbl>
    <w:p w14:paraId="462C1AD0"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50D815E" w14:textId="77777777" w:rsidR="00B3411D" w:rsidRPr="00B3411D" w:rsidRDefault="00B3411D"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1228CAE5" w14:textId="77777777" w:rsidR="00B3411D" w:rsidRPr="00B3411D" w:rsidRDefault="00B3411D" w:rsidP="00B3411D">
      <w:pPr>
        <w:rPr>
          <w:rFonts w:ascii="Calibri" w:eastAsia="Times New Roman" w:hAnsi="Calibri" w:cs="Arial"/>
          <w:b/>
          <w:color w:val="000000"/>
          <w:spacing w:val="-2"/>
          <w:kern w:val="28"/>
          <w:lang w:val="es-ES" w:eastAsia="es-CR"/>
          <w14:ligatures w14:val="none"/>
        </w:rPr>
      </w:pPr>
      <w:r w:rsidRPr="00B3411D">
        <w:rPr>
          <w:rFonts w:ascii="Calibri" w:eastAsia="Times New Roman" w:hAnsi="Calibri" w:cs="Arial"/>
          <w:b/>
          <w:color w:val="000000"/>
          <w:spacing w:val="-2"/>
          <w:kern w:val="28"/>
          <w:lang w:val="es-ES" w:eastAsia="es-CR"/>
          <w14:ligatures w14:val="none"/>
        </w:rPr>
        <w:br w:type="page"/>
      </w:r>
    </w:p>
    <w:p w14:paraId="41FC5B34"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color w:val="000000"/>
          <w:spacing w:val="-2"/>
          <w:kern w:val="28"/>
          <w:lang w:val="es-ES" w:eastAsia="es-CR"/>
          <w14:ligatures w14:val="none"/>
        </w:rPr>
      </w:pPr>
      <w:r w:rsidRPr="00B3411D">
        <w:rPr>
          <w:rFonts w:ascii="Calibri" w:eastAsia="Times New Roman" w:hAnsi="Calibri" w:cs="Arial"/>
          <w:b/>
          <w:color w:val="000000"/>
          <w:spacing w:val="-2"/>
          <w:kern w:val="28"/>
          <w:lang w:val="es-ES" w:eastAsia="es-CR"/>
          <w14:ligatures w14:val="none"/>
        </w:rPr>
        <w:lastRenderedPageBreak/>
        <w:t>X. Evaluación</w:t>
      </w:r>
    </w:p>
    <w:p w14:paraId="0943B395"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Al inicio del curso se realizará una actividad sobre lo que los y las estudiantes entienden por Liturgia, lo que brindará la base de partida del curso. La evaluación sumativa se desarrollará mediante la entrega de tareas, la participación en los foros temáticos virtuales y la elaboración de una observación participante y una asesoría litúrgica que demuestren el desarrollo de una nueva concepción de la liturgia contextual. La nota mínima de aprobación es de 7.00 (en escala decimal). Trabajos en donde se demuestre plagio tienen una nota de cero. Se asignan los siguientes porcentajes a cada elemento del curso.</w:t>
      </w:r>
    </w:p>
    <w:p w14:paraId="054D1EDE"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60"/>
        <w:gridCol w:w="1560"/>
      </w:tblGrid>
      <w:tr w:rsidR="00B3411D" w:rsidRPr="00B3411D" w14:paraId="497235D9" w14:textId="77777777" w:rsidTr="4C9C2619">
        <w:trPr>
          <w:trHeight w:val="58"/>
        </w:trPr>
        <w:tc>
          <w:tcPr>
            <w:tcW w:w="8720" w:type="dxa"/>
            <w:gridSpan w:val="2"/>
            <w:vAlign w:val="center"/>
          </w:tcPr>
          <w:p w14:paraId="7AA5E5EA"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color w:val="000000"/>
                <w:kern w:val="0"/>
                <w:lang w:val="es-ES_tradnl" w:eastAsia="es-CR"/>
                <w14:ligatures w14:val="none"/>
              </w:rPr>
              <w:t>Síntesis cuantitativa de la evaluación</w:t>
            </w:r>
          </w:p>
        </w:tc>
      </w:tr>
      <w:tr w:rsidR="00B3411D" w:rsidRPr="00B3411D" w14:paraId="6001D8FA" w14:textId="77777777" w:rsidTr="4C9C2619">
        <w:tc>
          <w:tcPr>
            <w:tcW w:w="7160" w:type="dxa"/>
            <w:vAlign w:val="center"/>
          </w:tcPr>
          <w:p w14:paraId="3D8898C7"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color w:val="000000"/>
                <w:kern w:val="0"/>
                <w:lang w:val="es-ES_tradnl" w:eastAsia="es-CR"/>
                <w14:ligatures w14:val="none"/>
              </w:rPr>
              <w:t>Rubros para evaluar</w:t>
            </w:r>
          </w:p>
        </w:tc>
        <w:tc>
          <w:tcPr>
            <w:tcW w:w="1560" w:type="dxa"/>
            <w:vAlign w:val="center"/>
          </w:tcPr>
          <w:p w14:paraId="3C59E70E"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Porcentaje total</w:t>
            </w:r>
          </w:p>
        </w:tc>
      </w:tr>
      <w:tr w:rsidR="00B3411D" w:rsidRPr="00B3411D" w14:paraId="78CD51D4" w14:textId="77777777" w:rsidTr="4C9C2619">
        <w:tc>
          <w:tcPr>
            <w:tcW w:w="7160" w:type="dxa"/>
            <w:vAlign w:val="center"/>
          </w:tcPr>
          <w:p w14:paraId="41EDE74E"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Arial"/>
                <w:b/>
                <w:i/>
                <w:iCs/>
                <w:color w:val="000000"/>
                <w:kern w:val="0"/>
                <w:lang w:val="es-ES_tradnl" w:eastAsia="es-CR"/>
                <w14:ligatures w14:val="none"/>
              </w:rPr>
            </w:pPr>
            <w:r w:rsidRPr="00B3411D">
              <w:rPr>
                <w:rFonts w:ascii="Calibri" w:eastAsia="Times New Roman" w:hAnsi="Calibri" w:cs="Arial"/>
                <w:b/>
                <w:i/>
                <w:iCs/>
                <w:color w:val="000000"/>
                <w:kern w:val="0"/>
                <w:lang w:val="es-ES_tradnl" w:eastAsia="es-CR"/>
                <w14:ligatures w14:val="none"/>
              </w:rPr>
              <w:t>Encuentros sincrónicos virtuales</w:t>
            </w:r>
          </w:p>
          <w:p w14:paraId="5ECF782C" w14:textId="77777777" w:rsidR="00B3411D" w:rsidRPr="00B3411D" w:rsidRDefault="00B3411D" w:rsidP="00B3411D">
            <w:pPr>
              <w:widowControl w:val="0"/>
              <w:overflowPunct w:val="0"/>
              <w:autoSpaceDE w:val="0"/>
              <w:autoSpaceDN w:val="0"/>
              <w:adjustRightInd w:val="0"/>
              <w:spacing w:after="0" w:line="240" w:lineRule="auto"/>
              <w:jc w:val="both"/>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 xml:space="preserve">Se llevan a cabo en las sesiones 3, 6, 8, 12, 13, 14 y 15. Tienen un valor formativo y no sumativo. </w:t>
            </w:r>
          </w:p>
        </w:tc>
        <w:tc>
          <w:tcPr>
            <w:tcW w:w="1560" w:type="dxa"/>
            <w:vAlign w:val="center"/>
          </w:tcPr>
          <w:p w14:paraId="58420BD8"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Arial"/>
                <w:color w:val="000000"/>
                <w:kern w:val="0"/>
                <w:lang w:val="es-ES_tradnl" w:eastAsia="es-CR"/>
                <w14:ligatures w14:val="none"/>
              </w:rPr>
            </w:pPr>
            <w:r w:rsidRPr="00B3411D">
              <w:rPr>
                <w:rFonts w:ascii="Calibri" w:eastAsia="Times New Roman" w:hAnsi="Calibri" w:cs="Calibri"/>
                <w:color w:val="000000"/>
                <w:kern w:val="0"/>
                <w:lang w:val="es-ES_tradnl" w:eastAsia="es-CR"/>
                <w14:ligatures w14:val="none"/>
              </w:rPr>
              <w:t>̶</w:t>
            </w:r>
          </w:p>
        </w:tc>
      </w:tr>
      <w:tr w:rsidR="00B3411D" w:rsidRPr="00B3411D" w14:paraId="74EBEFC3" w14:textId="77777777" w:rsidTr="4C9C2619">
        <w:tc>
          <w:tcPr>
            <w:tcW w:w="7160" w:type="dxa"/>
            <w:vAlign w:val="center"/>
          </w:tcPr>
          <w:p w14:paraId="77C93596"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Arial"/>
                <w:b/>
                <w:i/>
                <w:iCs/>
                <w:color w:val="0070C0"/>
                <w:kern w:val="0"/>
                <w:lang w:val="es-ES_tradnl" w:eastAsia="es-CR"/>
                <w14:ligatures w14:val="none"/>
              </w:rPr>
            </w:pPr>
            <w:r w:rsidRPr="00B3411D">
              <w:rPr>
                <w:rFonts w:ascii="Calibri" w:eastAsia="Times New Roman" w:hAnsi="Calibri" w:cs="Arial"/>
                <w:b/>
                <w:i/>
                <w:iCs/>
                <w:color w:val="0070C0"/>
                <w:kern w:val="0"/>
                <w:lang w:val="es-ES_tradnl" w:eastAsia="es-CR"/>
                <w14:ligatures w14:val="none"/>
              </w:rPr>
              <w:t>Foros temáticos</w:t>
            </w:r>
          </w:p>
          <w:p w14:paraId="7D19BA31" w14:textId="77777777" w:rsidR="00B3411D" w:rsidRPr="00B3411D" w:rsidRDefault="00B3411D" w:rsidP="00B3411D">
            <w:pPr>
              <w:widowControl w:val="0"/>
              <w:overflowPunct w:val="0"/>
              <w:autoSpaceDE w:val="0"/>
              <w:autoSpaceDN w:val="0"/>
              <w:adjustRightInd w:val="0"/>
              <w:spacing w:after="0" w:line="240" w:lineRule="auto"/>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70C0"/>
                <w:kern w:val="0"/>
                <w:lang w:val="es-ES_tradnl" w:eastAsia="es-CR"/>
                <w14:ligatures w14:val="none"/>
              </w:rPr>
              <w:t>Se desarrollan durante las sesiones 2, 6, 10, 12 y 13. Cada foro tiene un valor de 2%.</w:t>
            </w:r>
          </w:p>
        </w:tc>
        <w:tc>
          <w:tcPr>
            <w:tcW w:w="1560" w:type="dxa"/>
            <w:vAlign w:val="center"/>
          </w:tcPr>
          <w:p w14:paraId="5F08EFFF" w14:textId="77777777" w:rsidR="00B3411D" w:rsidRPr="00B3411D" w:rsidRDefault="00B3411D" w:rsidP="00B3411D">
            <w:pPr>
              <w:widowControl w:val="0"/>
              <w:overflowPunct w:val="0"/>
              <w:autoSpaceDE w:val="0"/>
              <w:autoSpaceDN w:val="0"/>
              <w:adjustRightInd w:val="0"/>
              <w:spacing w:after="0" w:line="240" w:lineRule="auto"/>
              <w:jc w:val="center"/>
              <w:rPr>
                <w:rFonts w:ascii="Calibri" w:eastAsia="Times New Roman" w:hAnsi="Calibri" w:cs="Calibri"/>
                <w:color w:val="000000"/>
                <w:kern w:val="0"/>
                <w:lang w:val="es-ES_tradnl" w:eastAsia="es-CR"/>
                <w14:ligatures w14:val="none"/>
              </w:rPr>
            </w:pPr>
            <w:r w:rsidRPr="00B3411D">
              <w:rPr>
                <w:rFonts w:ascii="Calibri" w:eastAsia="Times New Roman" w:hAnsi="Calibri" w:cs="Calibri"/>
                <w:color w:val="0070C0"/>
                <w:kern w:val="0"/>
                <w:lang w:val="es-ES_tradnl" w:eastAsia="es-CR"/>
                <w14:ligatures w14:val="none"/>
              </w:rPr>
              <w:t>10%</w:t>
            </w:r>
          </w:p>
        </w:tc>
      </w:tr>
      <w:tr w:rsidR="00B3411D" w:rsidRPr="00B3411D" w14:paraId="0DD7F780" w14:textId="77777777" w:rsidTr="4C9C2619">
        <w:tc>
          <w:tcPr>
            <w:tcW w:w="7160" w:type="dxa"/>
          </w:tcPr>
          <w:p w14:paraId="1A59FBC9"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i/>
                <w:iCs/>
                <w:kern w:val="0"/>
                <w:lang w:val="es-ES_tradnl" w:eastAsia="es-CR"/>
                <w14:ligatures w14:val="none"/>
              </w:rPr>
            </w:pPr>
            <w:r w:rsidRPr="00B3411D">
              <w:rPr>
                <w:rFonts w:ascii="Calibri" w:eastAsia="Times New Roman" w:hAnsi="Calibri" w:cs="Arial"/>
                <w:b/>
                <w:i/>
                <w:iCs/>
                <w:kern w:val="0"/>
                <w:lang w:val="es-ES_tradnl" w:eastAsia="es-CR"/>
                <w14:ligatures w14:val="none"/>
              </w:rPr>
              <w:t>Tareas</w:t>
            </w:r>
          </w:p>
          <w:p w14:paraId="091D0FE3"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Se realizan un total de nueve tareas, de las cuales ocho tiene un valor de 5% y son las siguientes:</w:t>
            </w:r>
          </w:p>
          <w:p w14:paraId="3AF71DFB"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Wiki (sesión 1).</w:t>
            </w:r>
          </w:p>
          <w:p w14:paraId="3545E799"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Estudio de la palabra Liturgia (sesión 2).</w:t>
            </w:r>
          </w:p>
          <w:p w14:paraId="55D2A203"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Foro temático grupal (sesión 4).</w:t>
            </w:r>
          </w:p>
          <w:p w14:paraId="0C9E273B"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Diseño de un culto o liturgia (sesión 5).</w:t>
            </w:r>
          </w:p>
          <w:p w14:paraId="2A53C99E"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Ensayo (sesión 7).</w:t>
            </w:r>
          </w:p>
          <w:p w14:paraId="6B6A7B4D"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Resumen (sesión 8).</w:t>
            </w:r>
          </w:p>
          <w:p w14:paraId="6F092F0F"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Glosario (sesión 9).</w:t>
            </w:r>
          </w:p>
          <w:p w14:paraId="4E5F367A"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 Presentación de su propia tradición litúrgica (sesión 10).</w:t>
            </w:r>
          </w:p>
          <w:p w14:paraId="35B9D30B"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p>
          <w:p w14:paraId="34E215FA" w14:textId="77777777" w:rsidR="00B3411D" w:rsidRPr="00B3411D" w:rsidRDefault="00B3411D" w:rsidP="4C9C2619">
            <w:pPr>
              <w:autoSpaceDE w:val="0"/>
              <w:autoSpaceDN w:val="0"/>
              <w:adjustRightInd w:val="0"/>
              <w:spacing w:after="0" w:line="240" w:lineRule="auto"/>
              <w:jc w:val="both"/>
              <w:rPr>
                <w:rFonts w:ascii="Calibri" w:eastAsia="Times New Roman" w:hAnsi="Calibri" w:cs="Arial"/>
                <w:kern w:val="0"/>
                <w:lang w:val="es-ES" w:eastAsia="es-CR"/>
                <w14:ligatures w14:val="none"/>
              </w:rPr>
            </w:pPr>
            <w:r w:rsidRPr="4C9C2619">
              <w:rPr>
                <w:rFonts w:ascii="Calibri" w:eastAsia="Times New Roman" w:hAnsi="Calibri" w:cs="Arial"/>
                <w:kern w:val="0"/>
                <w:lang w:val="es-ES" w:eastAsia="es-CR"/>
                <w14:ligatures w14:val="none"/>
              </w:rPr>
              <w:t xml:space="preserve">En la sesión 11 se elabora un informe de observación de formas litúrgicas, el cual tiene un valor de 10%. </w:t>
            </w:r>
          </w:p>
        </w:tc>
        <w:tc>
          <w:tcPr>
            <w:tcW w:w="1560" w:type="dxa"/>
            <w:vAlign w:val="center"/>
          </w:tcPr>
          <w:p w14:paraId="6071EE8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50%</w:t>
            </w:r>
          </w:p>
        </w:tc>
      </w:tr>
      <w:tr w:rsidR="00B3411D" w:rsidRPr="00B3411D" w14:paraId="1D67D065" w14:textId="77777777" w:rsidTr="4C9C2619">
        <w:tc>
          <w:tcPr>
            <w:tcW w:w="7160" w:type="dxa"/>
          </w:tcPr>
          <w:p w14:paraId="313EB029"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i/>
                <w:iCs/>
                <w:kern w:val="0"/>
                <w:lang w:val="es-ES_tradnl" w:eastAsia="es-CR"/>
                <w14:ligatures w14:val="none"/>
              </w:rPr>
            </w:pPr>
            <w:r w:rsidRPr="00B3411D">
              <w:rPr>
                <w:rFonts w:ascii="Calibri" w:eastAsia="Times New Roman" w:hAnsi="Calibri" w:cs="Arial"/>
                <w:b/>
                <w:i/>
                <w:iCs/>
                <w:kern w:val="0"/>
                <w:lang w:val="es-ES_tradnl" w:eastAsia="es-CR"/>
                <w14:ligatures w14:val="none"/>
              </w:rPr>
              <w:t>Observación participante</w:t>
            </w:r>
          </w:p>
          <w:p w14:paraId="4CF8D362"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Se realiza de la sesión 12 a la 14.</w:t>
            </w:r>
          </w:p>
        </w:tc>
        <w:tc>
          <w:tcPr>
            <w:tcW w:w="1560" w:type="dxa"/>
            <w:vAlign w:val="center"/>
          </w:tcPr>
          <w:p w14:paraId="00D2432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20%</w:t>
            </w:r>
          </w:p>
        </w:tc>
      </w:tr>
      <w:tr w:rsidR="00B3411D" w:rsidRPr="00B3411D" w14:paraId="6C699E72" w14:textId="77777777" w:rsidTr="4C9C2619">
        <w:tc>
          <w:tcPr>
            <w:tcW w:w="7160" w:type="dxa"/>
          </w:tcPr>
          <w:p w14:paraId="32B26B44"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
                <w:i/>
                <w:iCs/>
                <w:kern w:val="0"/>
                <w:lang w:val="es-ES_tradnl" w:eastAsia="es-CR"/>
                <w14:ligatures w14:val="none"/>
              </w:rPr>
            </w:pPr>
            <w:r w:rsidRPr="00B3411D">
              <w:rPr>
                <w:rFonts w:ascii="Calibri" w:eastAsia="Times New Roman" w:hAnsi="Calibri" w:cs="Arial"/>
                <w:b/>
                <w:i/>
                <w:iCs/>
                <w:kern w:val="0"/>
                <w:lang w:val="es-ES_tradnl" w:eastAsia="es-CR"/>
                <w14:ligatures w14:val="none"/>
              </w:rPr>
              <w:t>Asesoría litúrgica</w:t>
            </w:r>
          </w:p>
          <w:p w14:paraId="01C9D401" w14:textId="77777777" w:rsidR="00B3411D" w:rsidRPr="00B3411D" w:rsidRDefault="00B3411D" w:rsidP="00B3411D">
            <w:pPr>
              <w:autoSpaceDE w:val="0"/>
              <w:autoSpaceDN w:val="0"/>
              <w:adjustRightInd w:val="0"/>
              <w:spacing w:after="0" w:line="240" w:lineRule="auto"/>
              <w:jc w:val="both"/>
              <w:rPr>
                <w:rFonts w:ascii="Calibri" w:eastAsia="Times New Roman" w:hAnsi="Calibri" w:cs="Arial"/>
                <w:bCs/>
                <w:kern w:val="0"/>
                <w:lang w:val="es-ES_tradnl" w:eastAsia="es-CR"/>
                <w14:ligatures w14:val="none"/>
              </w:rPr>
            </w:pPr>
            <w:r w:rsidRPr="00B3411D">
              <w:rPr>
                <w:rFonts w:ascii="Calibri" w:eastAsia="Times New Roman" w:hAnsi="Calibri" w:cs="Arial"/>
                <w:bCs/>
                <w:kern w:val="0"/>
                <w:lang w:val="es-ES_tradnl" w:eastAsia="es-CR"/>
                <w14:ligatures w14:val="none"/>
              </w:rPr>
              <w:t>Se elabora en la sesión 15.</w:t>
            </w:r>
          </w:p>
        </w:tc>
        <w:tc>
          <w:tcPr>
            <w:tcW w:w="1560" w:type="dxa"/>
            <w:vAlign w:val="center"/>
          </w:tcPr>
          <w:p w14:paraId="36D6E05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B3411D">
              <w:rPr>
                <w:rFonts w:ascii="Calibri" w:eastAsia="Times New Roman" w:hAnsi="Calibri" w:cs="Arial"/>
                <w:bCs/>
                <w:color w:val="000000"/>
                <w:kern w:val="0"/>
                <w:lang w:val="es-ES_tradnl" w:eastAsia="es-CR"/>
                <w14:ligatures w14:val="none"/>
              </w:rPr>
              <w:t>20%</w:t>
            </w:r>
          </w:p>
        </w:tc>
      </w:tr>
      <w:tr w:rsidR="00B3411D" w:rsidRPr="00B3411D" w14:paraId="0CBDC273" w14:textId="77777777" w:rsidTr="4C9C2619">
        <w:trPr>
          <w:trHeight w:val="242"/>
        </w:trPr>
        <w:tc>
          <w:tcPr>
            <w:tcW w:w="7160" w:type="dxa"/>
            <w:vAlign w:val="center"/>
          </w:tcPr>
          <w:p w14:paraId="2AF067FD" w14:textId="77777777" w:rsidR="00B3411D" w:rsidRPr="00B3411D" w:rsidRDefault="00B3411D" w:rsidP="00B3411D">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Total</w:t>
            </w:r>
          </w:p>
        </w:tc>
        <w:tc>
          <w:tcPr>
            <w:tcW w:w="1560" w:type="dxa"/>
            <w:vAlign w:val="center"/>
          </w:tcPr>
          <w:p w14:paraId="63D2100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t>100%</w:t>
            </w:r>
          </w:p>
        </w:tc>
      </w:tr>
    </w:tbl>
    <w:p w14:paraId="66D96A73"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p w14:paraId="3DD5B237"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p>
    <w:p w14:paraId="4A22CC29" w14:textId="77777777" w:rsidR="00B3411D" w:rsidRPr="00B3411D" w:rsidRDefault="00B3411D" w:rsidP="00B3411D">
      <w:pPr>
        <w:rPr>
          <w:rFonts w:ascii="Calibri" w:eastAsia="Times New Roman" w:hAnsi="Calibri" w:cs="Arial"/>
          <w:b/>
          <w:bCs/>
          <w:color w:val="000000"/>
          <w:kern w:val="0"/>
          <w:lang w:val="es-ES_tradnl" w:eastAsia="es-CR"/>
          <w14:ligatures w14:val="none"/>
        </w:rPr>
      </w:pPr>
      <w:r w:rsidRPr="00B3411D">
        <w:rPr>
          <w:rFonts w:ascii="Calibri" w:eastAsia="Times New Roman" w:hAnsi="Calibri" w:cs="Arial"/>
          <w:b/>
          <w:bCs/>
          <w:color w:val="000000"/>
          <w:kern w:val="0"/>
          <w:lang w:val="es-ES_tradnl" w:eastAsia="es-CR"/>
          <w14:ligatures w14:val="none"/>
        </w:rPr>
        <w:br w:type="page"/>
      </w:r>
    </w:p>
    <w:p w14:paraId="33FF151D"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sectPr w:rsidR="00B3411D" w:rsidRPr="00B3411D" w:rsidSect="005C1895">
          <w:headerReference w:type="default" r:id="rId411"/>
          <w:pgSz w:w="12240" w:h="15840"/>
          <w:pgMar w:top="1417" w:right="1701" w:bottom="1417" w:left="1701" w:header="708" w:footer="708" w:gutter="0"/>
          <w:pgNumType w:start="378"/>
          <w:cols w:space="708"/>
          <w:docGrid w:linePitch="360"/>
        </w:sectPr>
      </w:pPr>
    </w:p>
    <w:p w14:paraId="5BD9D9AB"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520448" behindDoc="0" locked="0" layoutInCell="1" allowOverlap="1" wp14:anchorId="44E4A32D" wp14:editId="1254BDF5">
                <wp:simplePos x="0" y="0"/>
                <wp:positionH relativeFrom="margin">
                  <wp:align>center</wp:align>
                </wp:positionH>
                <wp:positionV relativeFrom="paragraph">
                  <wp:posOffset>-16193</wp:posOffset>
                </wp:positionV>
                <wp:extent cx="7879080" cy="400050"/>
                <wp:effectExtent l="0" t="0" r="26670" b="19050"/>
                <wp:wrapNone/>
                <wp:docPr id="10530434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0050"/>
                        </a:xfrm>
                        <a:prstGeom prst="rect">
                          <a:avLst/>
                        </a:prstGeom>
                        <a:solidFill>
                          <a:srgbClr val="FFFFFF"/>
                        </a:solidFill>
                        <a:ln w="9525">
                          <a:solidFill>
                            <a:srgbClr val="000000"/>
                          </a:solidFill>
                          <a:miter lim="800000"/>
                          <a:headEnd/>
                          <a:tailEnd/>
                        </a:ln>
                      </wps:spPr>
                      <wps:txbx>
                        <w:txbxContent>
                          <w:p w14:paraId="1C6F8B3B" w14:textId="77777777" w:rsidR="00B3411D" w:rsidRPr="00B3411D" w:rsidRDefault="00B3411D" w:rsidP="00B3411D">
                            <w:pPr>
                              <w:jc w:val="center"/>
                              <w:rPr>
                                <w:rFonts w:cs="Calibri"/>
                                <w:b/>
                                <w:szCs w:val="24"/>
                              </w:rPr>
                            </w:pPr>
                            <w:r w:rsidRPr="00B3411D">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4A32D" id="_x0000_s1202" type="#_x0000_t202" style="position:absolute;left:0;text-align:left;margin-left:0;margin-top:-1.3pt;width:620.4pt;height:31.5pt;z-index:2525204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">
                <v:textbox>
                  <w:txbxContent>
                    <w:p w14:paraId="1C6F8B3B" w14:textId="77777777" w:rsidR="00B3411D" w:rsidRPr="00B3411D" w:rsidRDefault="00B3411D" w:rsidP="00B3411D">
                      <w:pPr>
                        <w:jc w:val="center"/>
                        <w:rPr>
                          <w:rFonts w:cs="Calibri"/>
                          <w:b/>
                          <w:szCs w:val="24"/>
                        </w:rPr>
                      </w:pPr>
                      <w:r w:rsidRPr="00B3411D">
                        <w:rPr>
                          <w:rFonts w:cs="Calibri"/>
                          <w:b/>
                          <w:szCs w:val="24"/>
                        </w:rPr>
                        <w:t>RÚBRICA DE EVALUACIÓN – FORO TEMÁTICO</w:t>
                      </w:r>
                    </w:p>
                  </w:txbxContent>
                </v:textbox>
                <w10:wrap anchorx="margin"/>
              </v:shape>
            </w:pict>
          </mc:Fallback>
        </mc:AlternateContent>
      </w:r>
    </w:p>
    <w:p w14:paraId="4F8050AF"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08A42211" w14:textId="77777777" w:rsidR="00B3411D" w:rsidRPr="00B3411D" w:rsidRDefault="00B3411D" w:rsidP="4C9C2619">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Con la finalidad de proveer experiencias de aprendizaje interactivo y colaborativo, los foros buscan la participación de los y las estudiantes con base en las lecturas asignadas para el debate y la discusión grupal. Se desarrollan durante las sesiones 2, 6, 10, 12 y 13. Cada foro tiene un valor de 2%.</w:t>
      </w:r>
    </w:p>
    <w:p w14:paraId="1BBBAD8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b/>
          <w:bCs/>
          <w:noProof/>
          <w:kern w:val="0"/>
          <w:lang w:val="es-ES_tradnl" w:eastAsia="es-CR"/>
          <w14:ligatures w14:val="none"/>
        </w:rPr>
        <w:drawing>
          <wp:anchor distT="0" distB="0" distL="114300" distR="114300" simplePos="0" relativeHeight="252521472" behindDoc="0" locked="0" layoutInCell="1" allowOverlap="1" wp14:anchorId="580813DA" wp14:editId="48EE86B5">
            <wp:simplePos x="0" y="0"/>
            <wp:positionH relativeFrom="margin">
              <wp:align>center</wp:align>
            </wp:positionH>
            <wp:positionV relativeFrom="paragraph">
              <wp:posOffset>201930</wp:posOffset>
            </wp:positionV>
            <wp:extent cx="8382000" cy="6060652"/>
            <wp:effectExtent l="0" t="0" r="0" b="0"/>
            <wp:wrapNone/>
            <wp:docPr id="122207006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70060" name="Imagen 1" descr="Tabla&#10;&#10;Descripción generada automáticamente"/>
                    <pic:cNvPicPr/>
                  </pic:nvPicPr>
                  <pic:blipFill>
                    <a:blip r:embed="rId412">
                      <a:extLst>
                        <a:ext uri="{28A0092B-C50C-407E-A947-70E740481C1C}">
                          <a14:useLocalDpi xmlns:a14="http://schemas.microsoft.com/office/drawing/2010/main" val="0"/>
                        </a:ext>
                      </a:extLst>
                    </a:blip>
                    <a:stretch>
                      <a:fillRect/>
                    </a:stretch>
                  </pic:blipFill>
                  <pic:spPr>
                    <a:xfrm>
                      <a:off x="0" y="0"/>
                      <a:ext cx="8382000" cy="6060652"/>
                    </a:xfrm>
                    <a:prstGeom prst="rect">
                      <a:avLst/>
                    </a:prstGeom>
                  </pic:spPr>
                </pic:pic>
              </a:graphicData>
            </a:graphic>
            <wp14:sizeRelH relativeFrom="margin">
              <wp14:pctWidth>0</wp14:pctWidth>
            </wp14:sizeRelH>
            <wp14:sizeRelV relativeFrom="margin">
              <wp14:pctHeight>0</wp14:pctHeight>
            </wp14:sizeRelV>
          </wp:anchor>
        </w:drawing>
      </w:r>
    </w:p>
    <w:p w14:paraId="09FC2B1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kern w:val="0"/>
          <w:lang w:val="es-ES_tradnl" w:eastAsia="es-CR"/>
          <w14:ligatures w14:val="none"/>
        </w:rPr>
      </w:pPr>
    </w:p>
    <w:p w14:paraId="2A0D1906"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5385B998"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522496" behindDoc="0" locked="0" layoutInCell="1" allowOverlap="1" wp14:anchorId="01B2B8E8" wp14:editId="406C4604">
                <wp:simplePos x="0" y="0"/>
                <wp:positionH relativeFrom="margin">
                  <wp:align>center</wp:align>
                </wp:positionH>
                <wp:positionV relativeFrom="paragraph">
                  <wp:posOffset>-119062</wp:posOffset>
                </wp:positionV>
                <wp:extent cx="7025640" cy="433387"/>
                <wp:effectExtent l="0" t="0" r="22860" b="24130"/>
                <wp:wrapNone/>
                <wp:docPr id="735105239" name="Cuadro de texto 1"/>
                <wp:cNvGraphicFramePr/>
                <a:graphic xmlns:a="http://schemas.openxmlformats.org/drawingml/2006/main">
                  <a:graphicData uri="http://schemas.microsoft.com/office/word/2010/wordprocessingShape">
                    <wps:wsp>
                      <wps:cNvSpPr txBox="1"/>
                      <wps:spPr>
                        <a:xfrm>
                          <a:off x="0" y="0"/>
                          <a:ext cx="7025640" cy="433387"/>
                        </a:xfrm>
                        <a:prstGeom prst="rect">
                          <a:avLst/>
                        </a:prstGeom>
                        <a:solidFill>
                          <a:sysClr val="window" lastClr="FFFFFF"/>
                        </a:solidFill>
                        <a:ln w="6350">
                          <a:solidFill>
                            <a:prstClr val="black"/>
                          </a:solidFill>
                        </a:ln>
                      </wps:spPr>
                      <wps:txbx>
                        <w:txbxContent>
                          <w:p w14:paraId="07501A35" w14:textId="77777777" w:rsidR="00B3411D" w:rsidRPr="00B3411D" w:rsidRDefault="00B3411D" w:rsidP="00B3411D">
                            <w:pPr>
                              <w:jc w:val="center"/>
                              <w:rPr>
                                <w:rFonts w:cs="Calibri"/>
                                <w:b/>
                              </w:rPr>
                            </w:pPr>
                            <w:r w:rsidRPr="00B3411D">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2B8E8" id="_x0000_s1203" type="#_x0000_t202" style="position:absolute;left:0;text-align:left;margin-left:0;margin-top:-9.35pt;width:553.2pt;height:34.1pt;z-index:252522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" fillcolor="window" strokeweight=".5pt">
                <v:textbox>
                  <w:txbxContent>
                    <w:p w14:paraId="07501A35" w14:textId="77777777" w:rsidR="00B3411D" w:rsidRPr="00B3411D" w:rsidRDefault="00B3411D" w:rsidP="00B3411D">
                      <w:pPr>
                        <w:jc w:val="center"/>
                        <w:rPr>
                          <w:rFonts w:cs="Calibri"/>
                          <w:b/>
                        </w:rPr>
                      </w:pPr>
                      <w:r w:rsidRPr="00B3411D">
                        <w:rPr>
                          <w:rFonts w:cs="Calibri"/>
                          <w:b/>
                        </w:rPr>
                        <w:t>RÚBRICA DE EVALUACIÓN - WIKI</w:t>
                      </w:r>
                    </w:p>
                  </w:txbxContent>
                </v:textbox>
                <w10:wrap anchorx="margin"/>
              </v:shape>
            </w:pict>
          </mc:Fallback>
        </mc:AlternateContent>
      </w:r>
    </w:p>
    <w:p w14:paraId="4C2DE1D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173D1AD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 xml:space="preserve">Un wiki es una herramienta tecnológica colaborativa que permite la colección de información en página digital con aportes y ediciones de los y las estudiantes. Se elabora en la sesión 1 para construir una visión colectiva de lo que es la liturgia. Tiene un valor de 5% y se evalúa según esta rúbrica. </w:t>
      </w:r>
    </w:p>
    <w:p w14:paraId="1E3AA27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A7851B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kern w:val="0"/>
          <w:lang w:val="es-ES_tradnl" w:eastAsia="es-CR"/>
          <w14:ligatures w14:val="none"/>
        </w:rPr>
      </w:pPr>
      <w:r w:rsidRPr="00B3411D">
        <w:rPr>
          <w:rFonts w:ascii="Calibri" w:eastAsia="Times New Roman" w:hAnsi="Calibri" w:cs="Arial"/>
          <w:b/>
          <w:bCs/>
          <w:noProof/>
          <w:kern w:val="0"/>
          <w:lang w:val="es-ES_tradnl" w:eastAsia="es-CR"/>
          <w14:ligatures w14:val="none"/>
        </w:rPr>
        <w:drawing>
          <wp:anchor distT="0" distB="0" distL="114300" distR="114300" simplePos="0" relativeHeight="252523520" behindDoc="0" locked="0" layoutInCell="1" allowOverlap="1" wp14:anchorId="14C6E7F7" wp14:editId="2DBDB76A">
            <wp:simplePos x="0" y="0"/>
            <wp:positionH relativeFrom="column">
              <wp:posOffset>57150</wp:posOffset>
            </wp:positionH>
            <wp:positionV relativeFrom="paragraph">
              <wp:posOffset>75883</wp:posOffset>
            </wp:positionV>
            <wp:extent cx="9022080" cy="4797552"/>
            <wp:effectExtent l="0" t="0" r="7620" b="3175"/>
            <wp:wrapNone/>
            <wp:docPr id="1175121798"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21798" name="Imagen 2" descr="Tabla&#10;&#10;Descripción generada automáticamente"/>
                    <pic:cNvPicPr/>
                  </pic:nvPicPr>
                  <pic:blipFill>
                    <a:blip r:embed="rId413">
                      <a:extLst>
                        <a:ext uri="{28A0092B-C50C-407E-A947-70E740481C1C}">
                          <a14:useLocalDpi xmlns:a14="http://schemas.microsoft.com/office/drawing/2010/main" val="0"/>
                        </a:ext>
                      </a:extLst>
                    </a:blip>
                    <a:stretch>
                      <a:fillRect/>
                    </a:stretch>
                  </pic:blipFill>
                  <pic:spPr>
                    <a:xfrm>
                      <a:off x="0" y="0"/>
                      <a:ext cx="9022080" cy="4797552"/>
                    </a:xfrm>
                    <a:prstGeom prst="rect">
                      <a:avLst/>
                    </a:prstGeom>
                  </pic:spPr>
                </pic:pic>
              </a:graphicData>
            </a:graphic>
          </wp:anchor>
        </w:drawing>
      </w:r>
    </w:p>
    <w:p w14:paraId="04E42EE1"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40E72D34"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24544" behindDoc="0" locked="0" layoutInCell="1" allowOverlap="1" wp14:anchorId="62321853" wp14:editId="36DC188C">
                <wp:simplePos x="0" y="0"/>
                <wp:positionH relativeFrom="margin">
                  <wp:align>center</wp:align>
                </wp:positionH>
                <wp:positionV relativeFrom="paragraph">
                  <wp:posOffset>-46672</wp:posOffset>
                </wp:positionV>
                <wp:extent cx="7016750" cy="338138"/>
                <wp:effectExtent l="0" t="0" r="12700" b="24130"/>
                <wp:wrapNone/>
                <wp:docPr id="2016483365"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0" cy="338138"/>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98F902C" w14:textId="77777777" w:rsidR="00B3411D" w:rsidRPr="00B3411D" w:rsidRDefault="00B3411D" w:rsidP="00B3411D">
                            <w:pPr>
                              <w:spacing w:before="75"/>
                              <w:jc w:val="center"/>
                              <w:rPr>
                                <w:rFonts w:cs="Calibri"/>
                                <w:b/>
                              </w:rPr>
                            </w:pPr>
                            <w:r w:rsidRPr="00B3411D">
                              <w:rPr>
                                <w:rFonts w:cs="Calibri"/>
                                <w:b/>
                              </w:rPr>
                              <w:t>ESCALA DE EVALUACIÓN – ESTUDIO DE LA PALABRA LITURGIA</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62321853" id="_x0000_s1204" type="#_x0000_t202" style="position:absolute;left:0;text-align:left;margin-left:0;margin-top:-3.65pt;width:552.5pt;height:26.65pt;z-index:2525245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" filled="f" strokeweight=".48pt">
                <v:textbox inset="0,0,0,0">
                  <w:txbxContent>
                    <w:p w14:paraId="498F902C" w14:textId="77777777" w:rsidR="00B3411D" w:rsidRPr="00B3411D" w:rsidRDefault="00B3411D" w:rsidP="00B3411D">
                      <w:pPr>
                        <w:spacing w:before="75"/>
                        <w:jc w:val="center"/>
                        <w:rPr>
                          <w:rFonts w:cs="Calibri"/>
                          <w:b/>
                        </w:rPr>
                      </w:pPr>
                      <w:r w:rsidRPr="00B3411D">
                        <w:rPr>
                          <w:rFonts w:cs="Calibri"/>
                          <w:b/>
                        </w:rPr>
                        <w:t>ESCALA DE EVALUACIÓN – ESTUDIO DE LA PALABRA LITURGIA</w:t>
                      </w:r>
                    </w:p>
                  </w:txbxContent>
                </v:textbox>
                <w10:wrap anchorx="margin"/>
              </v:shape>
            </w:pict>
          </mc:Fallback>
        </mc:AlternateContent>
      </w:r>
    </w:p>
    <w:p w14:paraId="7FBDF7F5"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35DE6A9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En la sesión 2 se elaborará un estudio de la palabra liturgia a partir de los principales aportes que la persona estudiante percibe de las lecturas en cuanto a la relación entre liturgia y cultura. Tiene un valor de 5%.</w:t>
      </w:r>
    </w:p>
    <w:p w14:paraId="30AAFA3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A4D088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25568" behindDoc="0" locked="0" layoutInCell="1" allowOverlap="1" wp14:anchorId="34A67805" wp14:editId="71572464">
            <wp:simplePos x="0" y="0"/>
            <wp:positionH relativeFrom="column">
              <wp:posOffset>481013</wp:posOffset>
            </wp:positionH>
            <wp:positionV relativeFrom="paragraph">
              <wp:posOffset>75883</wp:posOffset>
            </wp:positionV>
            <wp:extent cx="8180832" cy="4413504"/>
            <wp:effectExtent l="0" t="0" r="0" b="6350"/>
            <wp:wrapNone/>
            <wp:docPr id="905553219"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553219" name="Imagen 4" descr="Tabla&#10;&#10;Descripción generada automáticamente"/>
                    <pic:cNvPicPr/>
                  </pic:nvPicPr>
                  <pic:blipFill>
                    <a:blip r:embed="rId414">
                      <a:extLst>
                        <a:ext uri="{28A0092B-C50C-407E-A947-70E740481C1C}">
                          <a14:useLocalDpi xmlns:a14="http://schemas.microsoft.com/office/drawing/2010/main" val="0"/>
                        </a:ext>
                      </a:extLst>
                    </a:blip>
                    <a:stretch>
                      <a:fillRect/>
                    </a:stretch>
                  </pic:blipFill>
                  <pic:spPr>
                    <a:xfrm>
                      <a:off x="0" y="0"/>
                      <a:ext cx="8180832" cy="4413504"/>
                    </a:xfrm>
                    <a:prstGeom prst="rect">
                      <a:avLst/>
                    </a:prstGeom>
                  </pic:spPr>
                </pic:pic>
              </a:graphicData>
            </a:graphic>
          </wp:anchor>
        </w:drawing>
      </w:r>
    </w:p>
    <w:p w14:paraId="684C53D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3395F8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kern w:val="0"/>
          <w:lang w:val="es-ES_tradnl" w:eastAsia="es-CR"/>
          <w14:ligatures w14:val="none"/>
        </w:rPr>
      </w:pPr>
    </w:p>
    <w:p w14:paraId="5B12CAFB"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7B01F29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526592" behindDoc="0" locked="0" layoutInCell="1" allowOverlap="1" wp14:anchorId="371C0298" wp14:editId="489C5B35">
                <wp:simplePos x="0" y="0"/>
                <wp:positionH relativeFrom="margin">
                  <wp:align>center</wp:align>
                </wp:positionH>
                <wp:positionV relativeFrom="paragraph">
                  <wp:posOffset>-191135</wp:posOffset>
                </wp:positionV>
                <wp:extent cx="7879080" cy="428625"/>
                <wp:effectExtent l="0" t="0" r="26670" b="28575"/>
                <wp:wrapNone/>
                <wp:docPr id="11985783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28625"/>
                        </a:xfrm>
                        <a:prstGeom prst="rect">
                          <a:avLst/>
                        </a:prstGeom>
                        <a:solidFill>
                          <a:srgbClr val="FFFFFF"/>
                        </a:solidFill>
                        <a:ln w="9525">
                          <a:solidFill>
                            <a:srgbClr val="000000"/>
                          </a:solidFill>
                          <a:miter lim="800000"/>
                          <a:headEnd/>
                          <a:tailEnd/>
                        </a:ln>
                      </wps:spPr>
                      <wps:txbx>
                        <w:txbxContent>
                          <w:p w14:paraId="05C7EDC6" w14:textId="77777777" w:rsidR="00B3411D" w:rsidRPr="00B3411D" w:rsidRDefault="00B3411D" w:rsidP="00B3411D">
                            <w:pPr>
                              <w:jc w:val="center"/>
                              <w:rPr>
                                <w:rFonts w:cs="Calibri"/>
                                <w:b/>
                                <w:szCs w:val="24"/>
                              </w:rPr>
                            </w:pPr>
                            <w:r w:rsidRPr="00B3411D">
                              <w:rPr>
                                <w:rFonts w:cs="Calibri"/>
                                <w:b/>
                                <w:szCs w:val="24"/>
                              </w:rPr>
                              <w:t>RÚBRICA DE EVALUACIÓN – FORO TEMÁTICO GRUPAL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C0298" id="_x0000_s1205" type="#_x0000_t202" style="position:absolute;left:0;text-align:left;margin-left:0;margin-top:-15.05pt;width:620.4pt;height:33.75pt;z-index:2525265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">
                <v:textbox>
                  <w:txbxContent>
                    <w:p w14:paraId="05C7EDC6" w14:textId="77777777" w:rsidR="00B3411D" w:rsidRPr="00B3411D" w:rsidRDefault="00B3411D" w:rsidP="00B3411D">
                      <w:pPr>
                        <w:jc w:val="center"/>
                        <w:rPr>
                          <w:rFonts w:cs="Calibri"/>
                          <w:b/>
                          <w:szCs w:val="24"/>
                        </w:rPr>
                      </w:pPr>
                      <w:r w:rsidRPr="00B3411D">
                        <w:rPr>
                          <w:rFonts w:cs="Calibri"/>
                          <w:b/>
                          <w:szCs w:val="24"/>
                        </w:rPr>
                        <w:t>RÚBRICA DE EVALUACIÓN – FORO TEMÁTICO GRUPAL</w:t>
                      </w:r>
                    </w:p>
                  </w:txbxContent>
                </v:textbox>
                <w10:wrap anchorx="margin"/>
              </v:shape>
            </w:pict>
          </mc:Fallback>
        </mc:AlternateContent>
      </w:r>
    </w:p>
    <w:p w14:paraId="14C3C0C1"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34C66D60" w14:textId="77777777" w:rsidR="00B3411D" w:rsidRPr="00B3411D" w:rsidRDefault="00B3411D" w:rsidP="4C9C2619">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El foro temático grupal de la sesión 4 es un espacio donde los y las estudiantes interactuarán en torno a los principales elementos que caracterizan el culto en el Antiguo Testamento a partir de la lectura de la sesión. Tiene un valor de 5%.</w:t>
      </w:r>
    </w:p>
    <w:p w14:paraId="3B5EDDB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16D315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kern w:val="0"/>
          <w:lang w:val="es-ES_tradnl" w:eastAsia="es-CR"/>
          <w14:ligatures w14:val="none"/>
        </w:rPr>
      </w:pPr>
      <w:r w:rsidRPr="00B3411D">
        <w:rPr>
          <w:rFonts w:ascii="Calibri" w:eastAsia="Times New Roman" w:hAnsi="Calibri" w:cs="Arial"/>
          <w:b/>
          <w:bCs/>
          <w:noProof/>
          <w:kern w:val="0"/>
          <w:lang w:val="es-ES_tradnl" w:eastAsia="es-CR"/>
          <w14:ligatures w14:val="none"/>
        </w:rPr>
        <w:drawing>
          <wp:anchor distT="0" distB="0" distL="114300" distR="114300" simplePos="0" relativeHeight="252527616" behindDoc="0" locked="0" layoutInCell="1" allowOverlap="1" wp14:anchorId="3163DFDD" wp14:editId="5F8FF26E">
            <wp:simplePos x="0" y="0"/>
            <wp:positionH relativeFrom="margin">
              <wp:align>center</wp:align>
            </wp:positionH>
            <wp:positionV relativeFrom="paragraph">
              <wp:posOffset>79058</wp:posOffset>
            </wp:positionV>
            <wp:extent cx="8148637" cy="5876639"/>
            <wp:effectExtent l="0" t="0" r="5080" b="0"/>
            <wp:wrapNone/>
            <wp:docPr id="1672993424"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93424" name="Imagen 5" descr="Tabla&#10;&#10;Descripción generada automáticamente"/>
                    <pic:cNvPicPr/>
                  </pic:nvPicPr>
                  <pic:blipFill>
                    <a:blip r:embed="rId415">
                      <a:extLst>
                        <a:ext uri="{28A0092B-C50C-407E-A947-70E740481C1C}">
                          <a14:useLocalDpi xmlns:a14="http://schemas.microsoft.com/office/drawing/2010/main" val="0"/>
                        </a:ext>
                      </a:extLst>
                    </a:blip>
                    <a:stretch>
                      <a:fillRect/>
                    </a:stretch>
                  </pic:blipFill>
                  <pic:spPr>
                    <a:xfrm>
                      <a:off x="0" y="0"/>
                      <a:ext cx="8148637" cy="5876639"/>
                    </a:xfrm>
                    <a:prstGeom prst="rect">
                      <a:avLst/>
                    </a:prstGeom>
                  </pic:spPr>
                </pic:pic>
              </a:graphicData>
            </a:graphic>
            <wp14:sizeRelH relativeFrom="margin">
              <wp14:pctWidth>0</wp14:pctWidth>
            </wp14:sizeRelH>
            <wp14:sizeRelV relativeFrom="margin">
              <wp14:pctHeight>0</wp14:pctHeight>
            </wp14:sizeRelV>
          </wp:anchor>
        </w:drawing>
      </w:r>
    </w:p>
    <w:p w14:paraId="1509B6DC"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30B8E5DF"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28640" behindDoc="0" locked="0" layoutInCell="1" allowOverlap="1" wp14:anchorId="30545B4D" wp14:editId="2F3F5DAF">
                <wp:simplePos x="0" y="0"/>
                <wp:positionH relativeFrom="margin">
                  <wp:align>center</wp:align>
                </wp:positionH>
                <wp:positionV relativeFrom="paragraph">
                  <wp:posOffset>-113030</wp:posOffset>
                </wp:positionV>
                <wp:extent cx="7016750" cy="365760"/>
                <wp:effectExtent l="0" t="0" r="12700" b="15240"/>
                <wp:wrapNone/>
                <wp:docPr id="296078992"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0" cy="36576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9454E32" w14:textId="77777777" w:rsidR="00B3411D" w:rsidRPr="00B3411D" w:rsidRDefault="00B3411D" w:rsidP="00B3411D">
                            <w:pPr>
                              <w:spacing w:before="75"/>
                              <w:rPr>
                                <w:rFonts w:cs="Calibri"/>
                                <w:b/>
                              </w:rPr>
                            </w:pPr>
                            <w:r w:rsidRPr="00B3411D">
                              <w:rPr>
                                <w:rFonts w:cs="Calibri"/>
                                <w:b/>
                              </w:rPr>
                              <w:t>ESCALA DE EVALUACIÓN – DISEÑO DE UN CULTO O LITURGIA PARA SU COMUNIDAD DE FE O IGLESIA</w:t>
                            </w:r>
                          </w:p>
                        </w:txbxContent>
                      </wps:txbx>
                      <wps:bodyPr rot="0" vert="horz" wrap="square" lIns="0" tIns="0" rIns="0" bIns="0" anchor="t" anchorCtr="0" upright="1">
                        <a:noAutofit/>
                      </wps:bodyPr>
                    </wps:wsp>
                  </a:graphicData>
                </a:graphic>
              </wp:anchor>
            </w:drawing>
          </mc:Choice>
          <mc:Fallback>
            <w:pict>
              <v:shape w14:anchorId="30545B4D" id="_x0000_s1206" type="#_x0000_t202" style="position:absolute;left:0;text-align:left;margin-left:0;margin-top:-8.9pt;width:552.5pt;height:28.8pt;z-index:252528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" filled="f" strokeweight=".48pt">
                <v:textbox inset="0,0,0,0">
                  <w:txbxContent>
                    <w:p w14:paraId="39454E32" w14:textId="77777777" w:rsidR="00B3411D" w:rsidRPr="00B3411D" w:rsidRDefault="00B3411D" w:rsidP="00B3411D">
                      <w:pPr>
                        <w:spacing w:before="75"/>
                        <w:rPr>
                          <w:rFonts w:cs="Calibri"/>
                          <w:b/>
                        </w:rPr>
                      </w:pPr>
                      <w:r w:rsidRPr="00B3411D">
                        <w:rPr>
                          <w:rFonts w:cs="Calibri"/>
                          <w:b/>
                        </w:rPr>
                        <w:t>ESCALA DE EVALUACIÓN – DISEÑO DE UN CULTO O LITURGIA PARA SU COMUNIDAD DE FE O IGLESIA</w:t>
                      </w:r>
                    </w:p>
                  </w:txbxContent>
                </v:textbox>
                <w10:wrap anchorx="margin"/>
              </v:shape>
            </w:pict>
          </mc:Fallback>
        </mc:AlternateContent>
      </w:r>
    </w:p>
    <w:p w14:paraId="40576E95"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753A2A6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Un diseño de un orden de culto implica elaborar una estructura litúrgica para una comunidad de fe o iglesia, en la cual se colocan elementos acordes con cada momento litúrgico y la temática. Se elabora en la sesión 5 y tiene un valor de 5%.</w:t>
      </w:r>
    </w:p>
    <w:p w14:paraId="5379E7A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6B8753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b/>
          <w:bCs/>
          <w:kern w:val="0"/>
          <w:lang w:val="es-ES_tradnl" w:eastAsia="es-CR"/>
          <w14:ligatures w14:val="none"/>
        </w:rPr>
      </w:pPr>
      <w:r w:rsidRPr="00B3411D">
        <w:rPr>
          <w:rFonts w:ascii="Calibri" w:eastAsia="Times New Roman" w:hAnsi="Calibri" w:cs="Arial"/>
          <w:b/>
          <w:bCs/>
          <w:noProof/>
          <w:kern w:val="0"/>
          <w:lang w:val="es-ES_tradnl" w:eastAsia="es-CR"/>
          <w14:ligatures w14:val="none"/>
        </w:rPr>
        <w:drawing>
          <wp:anchor distT="0" distB="0" distL="114300" distR="114300" simplePos="0" relativeHeight="252529664" behindDoc="0" locked="0" layoutInCell="1" allowOverlap="1" wp14:anchorId="2CF9CBB5" wp14:editId="06089D06">
            <wp:simplePos x="0" y="0"/>
            <wp:positionH relativeFrom="column">
              <wp:posOffset>466725</wp:posOffset>
            </wp:positionH>
            <wp:positionV relativeFrom="paragraph">
              <wp:posOffset>75883</wp:posOffset>
            </wp:positionV>
            <wp:extent cx="8205216" cy="3864864"/>
            <wp:effectExtent l="0" t="0" r="5715" b="2540"/>
            <wp:wrapNone/>
            <wp:docPr id="1280402270"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02270" name="Imagen 7" descr="Tabla&#10;&#10;Descripción generada automáticamente"/>
                    <pic:cNvPicPr/>
                  </pic:nvPicPr>
                  <pic:blipFill>
                    <a:blip r:embed="rId416">
                      <a:extLst>
                        <a:ext uri="{28A0092B-C50C-407E-A947-70E740481C1C}">
                          <a14:useLocalDpi xmlns:a14="http://schemas.microsoft.com/office/drawing/2010/main" val="0"/>
                        </a:ext>
                      </a:extLst>
                    </a:blip>
                    <a:stretch>
                      <a:fillRect/>
                    </a:stretch>
                  </pic:blipFill>
                  <pic:spPr>
                    <a:xfrm>
                      <a:off x="0" y="0"/>
                      <a:ext cx="8205216" cy="3864864"/>
                    </a:xfrm>
                    <a:prstGeom prst="rect">
                      <a:avLst/>
                    </a:prstGeom>
                  </pic:spPr>
                </pic:pic>
              </a:graphicData>
            </a:graphic>
          </wp:anchor>
        </w:drawing>
      </w:r>
    </w:p>
    <w:p w14:paraId="6D74A0E1"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2E4CCDE7"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30688" behindDoc="0" locked="0" layoutInCell="1" allowOverlap="1" wp14:anchorId="137CA07C" wp14:editId="2F257C74">
                <wp:simplePos x="0" y="0"/>
                <wp:positionH relativeFrom="margin">
                  <wp:align>center</wp:align>
                </wp:positionH>
                <wp:positionV relativeFrom="paragraph">
                  <wp:posOffset>-76200</wp:posOffset>
                </wp:positionV>
                <wp:extent cx="6806565" cy="344805"/>
                <wp:effectExtent l="0" t="0" r="13335" b="17145"/>
                <wp:wrapNone/>
                <wp:docPr id="1262324287"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6565" cy="344805"/>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BDA1E84" w14:textId="77777777" w:rsidR="00B3411D" w:rsidRPr="00B3411D" w:rsidRDefault="00B3411D" w:rsidP="00B3411D">
                            <w:pPr>
                              <w:spacing w:before="74"/>
                              <w:ind w:right="1661"/>
                              <w:jc w:val="center"/>
                              <w:rPr>
                                <w:rFonts w:cs="Calibri"/>
                                <w:b/>
                              </w:rPr>
                            </w:pPr>
                            <w:r w:rsidRPr="00B3411D">
                              <w:rPr>
                                <w:rFonts w:cs="Calibri"/>
                                <w:b/>
                              </w:rPr>
                              <w:t>ESCALA DE EVALUACIÓN – ENSAYO SOBRE LA PRAXIS PASTORAL DE JESÚS</w:t>
                            </w:r>
                          </w:p>
                        </w:txbxContent>
                      </wps:txbx>
                      <wps:bodyPr rot="0" vert="horz" wrap="square" lIns="0" tIns="0" rIns="0" bIns="0" anchor="t" anchorCtr="0" upright="1">
                        <a:noAutofit/>
                      </wps:bodyPr>
                    </wps:wsp>
                  </a:graphicData>
                </a:graphic>
              </wp:anchor>
            </w:drawing>
          </mc:Choice>
          <mc:Fallback>
            <w:pict>
              <v:shape w14:anchorId="137CA07C" id="_x0000_s1207" type="#_x0000_t202" style="position:absolute;left:0;text-align:left;margin-left:0;margin-top:-6pt;width:535.95pt;height:27.15pt;z-index:2525306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" filled="f" strokeweight=".48pt">
                <v:textbox inset="0,0,0,0">
                  <w:txbxContent>
                    <w:p w14:paraId="4BDA1E84" w14:textId="77777777" w:rsidR="00B3411D" w:rsidRPr="00B3411D" w:rsidRDefault="00B3411D" w:rsidP="00B3411D">
                      <w:pPr>
                        <w:spacing w:before="74"/>
                        <w:ind w:right="1661"/>
                        <w:jc w:val="center"/>
                        <w:rPr>
                          <w:rFonts w:cs="Calibri"/>
                          <w:b/>
                        </w:rPr>
                      </w:pPr>
                      <w:r w:rsidRPr="00B3411D">
                        <w:rPr>
                          <w:rFonts w:cs="Calibri"/>
                          <w:b/>
                        </w:rPr>
                        <w:t>ESCALA DE EVALUACIÓN – ENSAYO SOBRE LA PRAXIS PASTORAL DE JESÚS</w:t>
                      </w:r>
                    </w:p>
                  </w:txbxContent>
                </v:textbox>
                <w10:wrap anchorx="margin"/>
              </v:shape>
            </w:pict>
          </mc:Fallback>
        </mc:AlternateContent>
      </w:r>
    </w:p>
    <w:p w14:paraId="5383DBA0"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048D789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El ensayo es un ejercicio académico, argumentativo y fundamentado que se realiza para el tratamiento de un tema o tópico. Contiene una introducción, un desarrollo y una conclusión, así como las respectivas referencias bibliográficas (bajo el sistema Chicago-Deusto que usa la UBL). Se elabora en la sesión 7 y tiene un valor de 5%.</w:t>
      </w:r>
    </w:p>
    <w:p w14:paraId="42592A0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1AE263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b/>
          <w:bCs/>
          <w:noProof/>
          <w:kern w:val="0"/>
          <w:lang w:val="es-ES_tradnl" w:eastAsia="es-CR"/>
          <w14:ligatures w14:val="none"/>
        </w:rPr>
        <w:drawing>
          <wp:anchor distT="0" distB="0" distL="114300" distR="114300" simplePos="0" relativeHeight="252531712" behindDoc="0" locked="0" layoutInCell="1" allowOverlap="1" wp14:anchorId="4C244BF3" wp14:editId="27829301">
            <wp:simplePos x="0" y="0"/>
            <wp:positionH relativeFrom="margin">
              <wp:align>center</wp:align>
            </wp:positionH>
            <wp:positionV relativeFrom="paragraph">
              <wp:posOffset>125730</wp:posOffset>
            </wp:positionV>
            <wp:extent cx="8302625" cy="3596640"/>
            <wp:effectExtent l="0" t="0" r="3175" b="3810"/>
            <wp:wrapNone/>
            <wp:docPr id="453906054" name="Imagen 9"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06054" name="Imagen 9" descr="Interfaz de usuario gráfica, Aplicación, Tabla&#10;&#10;Descripción generada automáticamente"/>
                    <pic:cNvPicPr/>
                  </pic:nvPicPr>
                  <pic:blipFill>
                    <a:blip r:embed="rId417">
                      <a:extLst>
                        <a:ext uri="{28A0092B-C50C-407E-A947-70E740481C1C}">
                          <a14:useLocalDpi xmlns:a14="http://schemas.microsoft.com/office/drawing/2010/main" val="0"/>
                        </a:ext>
                      </a:extLst>
                    </a:blip>
                    <a:stretch>
                      <a:fillRect/>
                    </a:stretch>
                  </pic:blipFill>
                  <pic:spPr>
                    <a:xfrm>
                      <a:off x="0" y="0"/>
                      <a:ext cx="8302625" cy="3596640"/>
                    </a:xfrm>
                    <a:prstGeom prst="rect">
                      <a:avLst/>
                    </a:prstGeom>
                  </pic:spPr>
                </pic:pic>
              </a:graphicData>
            </a:graphic>
          </wp:anchor>
        </w:drawing>
      </w:r>
    </w:p>
    <w:p w14:paraId="40FCAD0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8869D1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F445F8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D10B8E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5920BA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ED5ACB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64F679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F45921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B01BFA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D22B1C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70BE58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E71672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F8F075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D19ECC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69D430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A21D20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E83A9B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C11BFE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FFB90E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0F1D5A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89EB10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AF9297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532736" behindDoc="0" locked="0" layoutInCell="1" allowOverlap="1" wp14:anchorId="574E4C27" wp14:editId="71CC563F">
                <wp:simplePos x="0" y="0"/>
                <wp:positionH relativeFrom="margin">
                  <wp:align>center</wp:align>
                </wp:positionH>
                <wp:positionV relativeFrom="paragraph">
                  <wp:posOffset>-123508</wp:posOffset>
                </wp:positionV>
                <wp:extent cx="7437120" cy="428625"/>
                <wp:effectExtent l="0" t="0" r="11430" b="28575"/>
                <wp:wrapNone/>
                <wp:docPr id="1897537927" name="Cuadro de texto 1897537927"/>
                <wp:cNvGraphicFramePr/>
                <a:graphic xmlns:a="http://schemas.openxmlformats.org/drawingml/2006/main">
                  <a:graphicData uri="http://schemas.microsoft.com/office/word/2010/wordprocessingShape">
                    <wps:wsp>
                      <wps:cNvSpPr txBox="1"/>
                      <wps:spPr>
                        <a:xfrm>
                          <a:off x="0" y="0"/>
                          <a:ext cx="7437120" cy="428625"/>
                        </a:xfrm>
                        <a:prstGeom prst="rect">
                          <a:avLst/>
                        </a:prstGeom>
                        <a:solidFill>
                          <a:sysClr val="window" lastClr="FFFFFF"/>
                        </a:solidFill>
                        <a:ln w="6350">
                          <a:solidFill>
                            <a:prstClr val="black"/>
                          </a:solidFill>
                        </a:ln>
                      </wps:spPr>
                      <wps:txbx>
                        <w:txbxContent>
                          <w:p w14:paraId="46E301F4" w14:textId="77777777" w:rsidR="00B3411D" w:rsidRPr="00B3411D" w:rsidRDefault="00B3411D" w:rsidP="00B3411D">
                            <w:pPr>
                              <w:jc w:val="center"/>
                              <w:rPr>
                                <w:rFonts w:cs="Calibri"/>
                                <w:b/>
                              </w:rPr>
                            </w:pPr>
                            <w:r w:rsidRPr="00B3411D">
                              <w:rPr>
                                <w:rFonts w:cs="Calibri"/>
                                <w:b/>
                              </w:rPr>
                              <w:t>RÚBRICA DE EVALUACIÓN – RESUMEN DE LECTURA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E4C27" id="Cuadro de texto 1897537927" o:spid="_x0000_s1208" type="#_x0000_t202" style="position:absolute;left:0;text-align:left;margin-left:0;margin-top:-9.75pt;width:585.6pt;height:33.75pt;z-index:252532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" fillcolor="window" strokeweight=".5pt">
                <v:textbox>
                  <w:txbxContent>
                    <w:p w14:paraId="46E301F4" w14:textId="77777777" w:rsidR="00B3411D" w:rsidRPr="00B3411D" w:rsidRDefault="00B3411D" w:rsidP="00B3411D">
                      <w:pPr>
                        <w:jc w:val="center"/>
                        <w:rPr>
                          <w:rFonts w:cs="Calibri"/>
                          <w:b/>
                        </w:rPr>
                      </w:pPr>
                      <w:r w:rsidRPr="00B3411D">
                        <w:rPr>
                          <w:rFonts w:cs="Calibri"/>
                          <w:b/>
                        </w:rPr>
                        <w:t>RÚBRICA DE EVALUACIÓN – RESUMEN DE LECTURA</w:t>
                      </w:r>
                    </w:p>
                  </w:txbxContent>
                </v:textbox>
                <w10:wrap anchorx="margin"/>
              </v:shape>
            </w:pict>
          </mc:Fallback>
        </mc:AlternateContent>
      </w:r>
    </w:p>
    <w:p w14:paraId="33B8734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62A40D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 xml:space="preserve">En la sesión 8 se presenta un resumen de la lectura, recogiendo los elementos más importantes del texto. Tiene un valor de 5% y se evalúa según la siguiente rúbrica. </w:t>
      </w:r>
    </w:p>
    <w:p w14:paraId="5E06ECE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ABAF72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33760" behindDoc="0" locked="0" layoutInCell="1" allowOverlap="1" wp14:anchorId="4715A62C" wp14:editId="2494C66B">
            <wp:simplePos x="0" y="0"/>
            <wp:positionH relativeFrom="column">
              <wp:posOffset>0</wp:posOffset>
            </wp:positionH>
            <wp:positionV relativeFrom="paragraph">
              <wp:posOffset>75883</wp:posOffset>
            </wp:positionV>
            <wp:extent cx="9144000" cy="4989195"/>
            <wp:effectExtent l="0" t="0" r="0" b="1905"/>
            <wp:wrapNone/>
            <wp:docPr id="1678381764"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81764" name="Imagen 10" descr="Tabla&#10;&#10;Descripción generada automáticamente"/>
                    <pic:cNvPicPr/>
                  </pic:nvPicPr>
                  <pic:blipFill>
                    <a:blip r:embed="rId418">
                      <a:extLst>
                        <a:ext uri="{28A0092B-C50C-407E-A947-70E740481C1C}">
                          <a14:useLocalDpi xmlns:a14="http://schemas.microsoft.com/office/drawing/2010/main" val="0"/>
                        </a:ext>
                      </a:extLst>
                    </a:blip>
                    <a:stretch>
                      <a:fillRect/>
                    </a:stretch>
                  </pic:blipFill>
                  <pic:spPr>
                    <a:xfrm>
                      <a:off x="0" y="0"/>
                      <a:ext cx="9144000" cy="4989195"/>
                    </a:xfrm>
                    <a:prstGeom prst="rect">
                      <a:avLst/>
                    </a:prstGeom>
                  </pic:spPr>
                </pic:pic>
              </a:graphicData>
            </a:graphic>
          </wp:anchor>
        </w:drawing>
      </w:r>
    </w:p>
    <w:p w14:paraId="01A7F3C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33FC8A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1015A5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BF4101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D19246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896878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1D9B5B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81CCA0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37F504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63692B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6A6A2A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1BA173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B1A58B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CC9A73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F1FC67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10D779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CB24DE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F6258A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AF0B79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FBF23E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2D0E98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39B91A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22F4A3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b/>
          <w:noProof/>
          <w:kern w:val="0"/>
          <w:sz w:val="24"/>
          <w:szCs w:val="20"/>
          <w:lang w:eastAsia="es-CR"/>
          <w14:ligatures w14:val="none"/>
        </w:rPr>
        <mc:AlternateContent>
          <mc:Choice Requires="wps">
            <w:drawing>
              <wp:anchor distT="0" distB="0" distL="114300" distR="114300" simplePos="0" relativeHeight="252534784" behindDoc="0" locked="0" layoutInCell="1" allowOverlap="1" wp14:anchorId="7A8CC7F1" wp14:editId="05DF56ED">
                <wp:simplePos x="0" y="0"/>
                <wp:positionH relativeFrom="margin">
                  <wp:align>center</wp:align>
                </wp:positionH>
                <wp:positionV relativeFrom="paragraph">
                  <wp:posOffset>-95885</wp:posOffset>
                </wp:positionV>
                <wp:extent cx="6606540" cy="411480"/>
                <wp:effectExtent l="0" t="0" r="22860" b="26670"/>
                <wp:wrapNone/>
                <wp:docPr id="1759470407" name="Cuadro de texto 175947040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E9424B4" w14:textId="77777777" w:rsidR="00B3411D" w:rsidRPr="00B3411D" w:rsidRDefault="00B3411D" w:rsidP="00B3411D">
                            <w:pPr>
                              <w:jc w:val="center"/>
                              <w:rPr>
                                <w:rFonts w:cs="Calibri"/>
                              </w:rPr>
                            </w:pPr>
                            <w:r w:rsidRPr="00B3411D">
                              <w:rPr>
                                <w:rFonts w:cs="Calibri"/>
                                <w:b/>
                              </w:rPr>
                              <w:t>RÚBRICA DE EVALUACIÓN – GLOSARIO GRUPAL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CC7F1" id="Cuadro de texto 1759470407" o:spid="_x0000_s1209" type="#_x0000_t202" style="position:absolute;left:0;text-align:left;margin-left:0;margin-top:-7.55pt;width:520.2pt;height:32.4pt;z-index:252534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" fillcolor="window" strokeweight=".5pt">
                <v:textbox>
                  <w:txbxContent>
                    <w:p w14:paraId="4E9424B4" w14:textId="77777777" w:rsidR="00B3411D" w:rsidRPr="00B3411D" w:rsidRDefault="00B3411D" w:rsidP="00B3411D">
                      <w:pPr>
                        <w:jc w:val="center"/>
                        <w:rPr>
                          <w:rFonts w:cs="Calibri"/>
                        </w:rPr>
                      </w:pPr>
                      <w:r w:rsidRPr="00B3411D">
                        <w:rPr>
                          <w:rFonts w:cs="Calibri"/>
                          <w:b/>
                        </w:rPr>
                        <w:t>RÚBRICA DE EVALUACIÓN – GLOSARIO GRUPAL</w:t>
                      </w:r>
                    </w:p>
                  </w:txbxContent>
                </v:textbox>
                <w10:wrap anchorx="margin"/>
              </v:shape>
            </w:pict>
          </mc:Fallback>
        </mc:AlternateContent>
      </w:r>
    </w:p>
    <w:p w14:paraId="1B3F3A0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3A2302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Esta herramienta virtual permite la colección de conceptos de una disciplina o tema, la búsqueda de significados y la apropiación de estos por parte de la persona estudiante. Se elabora en la sesión 9 y tiene un valor de 5%.</w:t>
      </w:r>
    </w:p>
    <w:p w14:paraId="601D390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C22AA7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35808" behindDoc="0" locked="0" layoutInCell="1" allowOverlap="1" wp14:anchorId="641664A3" wp14:editId="4A1FB74D">
            <wp:simplePos x="0" y="0"/>
            <wp:positionH relativeFrom="margin">
              <wp:align>center</wp:align>
            </wp:positionH>
            <wp:positionV relativeFrom="paragraph">
              <wp:posOffset>80328</wp:posOffset>
            </wp:positionV>
            <wp:extent cx="7978775" cy="5374222"/>
            <wp:effectExtent l="0" t="0" r="3175" b="0"/>
            <wp:wrapNone/>
            <wp:docPr id="1044912314"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12314" name="Imagen 11" descr="Tabla&#10;&#10;Descripción generada automáticamente"/>
                    <pic:cNvPicPr/>
                  </pic:nvPicPr>
                  <pic:blipFill>
                    <a:blip r:embed="rId419">
                      <a:extLst>
                        <a:ext uri="{28A0092B-C50C-407E-A947-70E740481C1C}">
                          <a14:useLocalDpi xmlns:a14="http://schemas.microsoft.com/office/drawing/2010/main" val="0"/>
                        </a:ext>
                      </a:extLst>
                    </a:blip>
                    <a:stretch>
                      <a:fillRect/>
                    </a:stretch>
                  </pic:blipFill>
                  <pic:spPr>
                    <a:xfrm>
                      <a:off x="0" y="0"/>
                      <a:ext cx="7978775" cy="5374222"/>
                    </a:xfrm>
                    <a:prstGeom prst="rect">
                      <a:avLst/>
                    </a:prstGeom>
                  </pic:spPr>
                </pic:pic>
              </a:graphicData>
            </a:graphic>
            <wp14:sizeRelH relativeFrom="margin">
              <wp14:pctWidth>0</wp14:pctWidth>
            </wp14:sizeRelH>
            <wp14:sizeRelV relativeFrom="margin">
              <wp14:pctHeight>0</wp14:pctHeight>
            </wp14:sizeRelV>
          </wp:anchor>
        </w:drawing>
      </w:r>
    </w:p>
    <w:p w14:paraId="38F2BC6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3316F3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A85522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7AC5CB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A6E5A3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68883A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E2F0E3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E41DD9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FDF33A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0CCD43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CF5763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FC576C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56A4C6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A01769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52F45A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190572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96D8A6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A6373A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458862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31FD17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6B2FA9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B44A6E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3C3FEA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mc:AlternateContent>
          <mc:Choice Requires="wps">
            <w:drawing>
              <wp:inline distT="0" distB="0" distL="0" distR="0" wp14:anchorId="3DC7E901" wp14:editId="394291A6">
                <wp:extent cx="6806565" cy="452755"/>
                <wp:effectExtent l="8255" t="9525" r="5080" b="13970"/>
                <wp:docPr id="1477521371"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6565" cy="45275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02D142" w14:textId="77777777" w:rsidR="00B3411D" w:rsidRPr="00B3411D" w:rsidRDefault="00B3411D" w:rsidP="00B3411D">
                            <w:pPr>
                              <w:spacing w:before="74"/>
                              <w:ind w:right="1661"/>
                              <w:jc w:val="center"/>
                              <w:rPr>
                                <w:rFonts w:cs="Calibri"/>
                                <w:b/>
                              </w:rPr>
                            </w:pPr>
                            <w:r w:rsidRPr="00B3411D">
                              <w:rPr>
                                <w:rFonts w:cs="Calibri"/>
                                <w:b/>
                              </w:rPr>
                              <w:t>ESCALA DE EVALUACIÓN – PRESENTACIÓN DE SU PROPIA TRADICIÓN LITÚRGICA</w:t>
                            </w:r>
                          </w:p>
                        </w:txbxContent>
                      </wps:txbx>
                      <wps:bodyPr rot="0" vert="horz" wrap="square" lIns="0" tIns="0" rIns="0" bIns="0" anchor="t" anchorCtr="0" upright="1">
                        <a:noAutofit/>
                      </wps:bodyPr>
                    </wps:wsp>
                  </a:graphicData>
                </a:graphic>
              </wp:inline>
            </w:drawing>
          </mc:Choice>
          <mc:Fallback>
            <w:pict>
              <v:shape w14:anchorId="3DC7E901" id="Cuadro de texto 12" o:spid="_x0000_s1210" type="#_x0000_t202" style="width:535.95pt;height:3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" filled="f" strokeweight=".48pt">
                <v:textbox inset="0,0,0,0">
                  <w:txbxContent>
                    <w:p w14:paraId="4F02D142" w14:textId="77777777" w:rsidR="00B3411D" w:rsidRPr="00B3411D" w:rsidRDefault="00B3411D" w:rsidP="00B3411D">
                      <w:pPr>
                        <w:spacing w:before="74"/>
                        <w:ind w:right="1661"/>
                        <w:jc w:val="center"/>
                        <w:rPr>
                          <w:rFonts w:cs="Calibri"/>
                          <w:b/>
                        </w:rPr>
                      </w:pPr>
                      <w:r w:rsidRPr="00B3411D">
                        <w:rPr>
                          <w:rFonts w:cs="Calibri"/>
                          <w:b/>
                        </w:rPr>
                        <w:t>ESCALA DE EVALUACIÓN – PRESENTACIÓN DE SU PROPIA TRADICIÓN LITÚRGICA</w:t>
                      </w:r>
                    </w:p>
                  </w:txbxContent>
                </v:textbox>
                <w10:anchorlock/>
              </v:shape>
            </w:pict>
          </mc:Fallback>
        </mc:AlternateContent>
      </w:r>
    </w:p>
    <w:p w14:paraId="210C32F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C0CFF3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En la sesión 10 se elaborará una presentación de la tradición liturgia propia de la persona estudiante, basándose en los elementos que presentan las lecturas de la sesión. El objetivo es que el documento que elabore también le sea útil para presentar su propia tradición litúrgica a otras personas (si fuera oportuno). Tiene un valor de 5%.</w:t>
      </w:r>
    </w:p>
    <w:p w14:paraId="49A7724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7D8593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36832" behindDoc="0" locked="0" layoutInCell="1" allowOverlap="1" wp14:anchorId="49DA4F51" wp14:editId="5721B13D">
            <wp:simplePos x="0" y="0"/>
            <wp:positionH relativeFrom="column">
              <wp:posOffset>457200</wp:posOffset>
            </wp:positionH>
            <wp:positionV relativeFrom="paragraph">
              <wp:posOffset>75883</wp:posOffset>
            </wp:positionV>
            <wp:extent cx="8223504" cy="3797808"/>
            <wp:effectExtent l="0" t="0" r="6350" b="0"/>
            <wp:wrapNone/>
            <wp:docPr id="1482854084" name="Imagen 13"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54084" name="Imagen 13" descr="Interfaz de usuario gráfica, Aplicación, Tabla&#10;&#10;Descripción generada automáticamente"/>
                    <pic:cNvPicPr/>
                  </pic:nvPicPr>
                  <pic:blipFill>
                    <a:blip r:embed="rId420">
                      <a:extLst>
                        <a:ext uri="{28A0092B-C50C-407E-A947-70E740481C1C}">
                          <a14:useLocalDpi xmlns:a14="http://schemas.microsoft.com/office/drawing/2010/main" val="0"/>
                        </a:ext>
                      </a:extLst>
                    </a:blip>
                    <a:stretch>
                      <a:fillRect/>
                    </a:stretch>
                  </pic:blipFill>
                  <pic:spPr>
                    <a:xfrm>
                      <a:off x="0" y="0"/>
                      <a:ext cx="8223504" cy="3797808"/>
                    </a:xfrm>
                    <a:prstGeom prst="rect">
                      <a:avLst/>
                    </a:prstGeom>
                  </pic:spPr>
                </pic:pic>
              </a:graphicData>
            </a:graphic>
          </wp:anchor>
        </w:drawing>
      </w:r>
    </w:p>
    <w:p w14:paraId="01E3BF7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935175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4CC452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B86125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17B0C7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8992DA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779615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6993D1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FC9BBC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935970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7EF202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BB0B49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50C981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F345E2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70D2BA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F4F861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B156CD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37856" behindDoc="0" locked="0" layoutInCell="1" allowOverlap="1" wp14:anchorId="429950B2" wp14:editId="0EB986D9">
                <wp:simplePos x="0" y="0"/>
                <wp:positionH relativeFrom="margin">
                  <wp:align>center</wp:align>
                </wp:positionH>
                <wp:positionV relativeFrom="paragraph">
                  <wp:posOffset>-31115</wp:posOffset>
                </wp:positionV>
                <wp:extent cx="6827520" cy="320040"/>
                <wp:effectExtent l="0" t="0" r="11430" b="22860"/>
                <wp:wrapNone/>
                <wp:docPr id="122885266"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27520" cy="320040"/>
                        </a:xfrm>
                        <a:prstGeom prst="rect">
                          <a:avLst/>
                        </a:prstGeom>
                        <a:noFill/>
                        <a:ln w="609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297BC36" w14:textId="77777777" w:rsidR="00B3411D" w:rsidRPr="00B3411D" w:rsidRDefault="00B3411D" w:rsidP="00B3411D">
                            <w:pPr>
                              <w:spacing w:before="75"/>
                              <w:ind w:right="1378"/>
                              <w:jc w:val="center"/>
                              <w:rPr>
                                <w:rFonts w:cs="Calibri"/>
                                <w:b/>
                              </w:rPr>
                            </w:pPr>
                            <w:r w:rsidRPr="00B3411D">
                              <w:rPr>
                                <w:rFonts w:cs="Calibri"/>
                                <w:b/>
                              </w:rPr>
                              <w:t>ESCALA DE EVALUACIÓN – INFORME DE OBSERVACIÓN DE FORMAS LITÚRGICAS</w:t>
                            </w:r>
                          </w:p>
                        </w:txbxContent>
                      </wps:txbx>
                      <wps:bodyPr rot="0" vert="horz" wrap="square" lIns="0" tIns="0" rIns="0" bIns="0" anchor="t" anchorCtr="0" upright="1">
                        <a:noAutofit/>
                      </wps:bodyPr>
                    </wps:wsp>
                  </a:graphicData>
                </a:graphic>
              </wp:anchor>
            </w:drawing>
          </mc:Choice>
          <mc:Fallback>
            <w:pict>
              <v:shape w14:anchorId="429950B2" id="_x0000_s1211" type="#_x0000_t202" style="position:absolute;left:0;text-align:left;margin-left:0;margin-top:-2.45pt;width:537.6pt;height:25.2pt;z-index:2525378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" filled="f" strokeweight=".48pt">
                <v:textbox inset="0,0,0,0">
                  <w:txbxContent>
                    <w:p w14:paraId="6297BC36" w14:textId="77777777" w:rsidR="00B3411D" w:rsidRPr="00B3411D" w:rsidRDefault="00B3411D" w:rsidP="00B3411D">
                      <w:pPr>
                        <w:spacing w:before="75"/>
                        <w:ind w:right="1378"/>
                        <w:jc w:val="center"/>
                        <w:rPr>
                          <w:rFonts w:cs="Calibri"/>
                          <w:b/>
                        </w:rPr>
                      </w:pPr>
                      <w:r w:rsidRPr="00B3411D">
                        <w:rPr>
                          <w:rFonts w:cs="Calibri"/>
                          <w:b/>
                        </w:rPr>
                        <w:t>ESCALA DE EVALUACIÓN – INFORME DE OBSERVACIÓN DE FORMAS LITÚRGICAS</w:t>
                      </w:r>
                    </w:p>
                  </w:txbxContent>
                </v:textbox>
                <w10:wrap anchorx="margin"/>
              </v:shape>
            </w:pict>
          </mc:Fallback>
        </mc:AlternateContent>
      </w:r>
    </w:p>
    <w:p w14:paraId="6FFC59C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F0C140F" w14:textId="77777777" w:rsidR="00B3411D" w:rsidRPr="00B3411D" w:rsidRDefault="00B3411D" w:rsidP="4C9C2619">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Un informe de observación es un trabajo escrito que se realiza a partir de la observación, en este caso de formas litúrgicas y de una liturgia dominical, en el cual se registra de forma sistemática lo observado con el fin de documentarlo y analizarlo. Se realiza en la sesión 11 y tiene un valor de 10%.</w:t>
      </w:r>
    </w:p>
    <w:p w14:paraId="4D6A604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4FCAC6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38880" behindDoc="0" locked="0" layoutInCell="1" allowOverlap="1" wp14:anchorId="7E76DF90" wp14:editId="316B8203">
            <wp:simplePos x="0" y="0"/>
            <wp:positionH relativeFrom="margin">
              <wp:align>center</wp:align>
            </wp:positionH>
            <wp:positionV relativeFrom="paragraph">
              <wp:posOffset>232727</wp:posOffset>
            </wp:positionV>
            <wp:extent cx="8284464" cy="3566160"/>
            <wp:effectExtent l="0" t="0" r="2540" b="0"/>
            <wp:wrapNone/>
            <wp:docPr id="1766196926" name="Imagen 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96926" name="Imagen 15" descr="Tabla&#10;&#10;Descripción generada automáticamente"/>
                    <pic:cNvPicPr/>
                  </pic:nvPicPr>
                  <pic:blipFill>
                    <a:blip r:embed="rId421">
                      <a:extLst>
                        <a:ext uri="{28A0092B-C50C-407E-A947-70E740481C1C}">
                          <a14:useLocalDpi xmlns:a14="http://schemas.microsoft.com/office/drawing/2010/main" val="0"/>
                        </a:ext>
                      </a:extLst>
                    </a:blip>
                    <a:stretch>
                      <a:fillRect/>
                    </a:stretch>
                  </pic:blipFill>
                  <pic:spPr>
                    <a:xfrm>
                      <a:off x="0" y="0"/>
                      <a:ext cx="8284464" cy="3566160"/>
                    </a:xfrm>
                    <a:prstGeom prst="rect">
                      <a:avLst/>
                    </a:prstGeom>
                  </pic:spPr>
                </pic:pic>
              </a:graphicData>
            </a:graphic>
          </wp:anchor>
        </w:drawing>
      </w:r>
    </w:p>
    <w:p w14:paraId="6C6DF99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20D662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714E4D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79D1EC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1B24AA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FE6AF6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FE3C7E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077C4D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DC6B46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B04E1B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554DA3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3443F8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C4700A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AF1E1C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C70B0C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A3B397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D19067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418DFF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954C22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3A9073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686B9E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9967C22"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D24D41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39904" behindDoc="0" locked="0" layoutInCell="1" allowOverlap="1" wp14:anchorId="046779BF" wp14:editId="10B640E6">
                <wp:simplePos x="0" y="0"/>
                <wp:positionH relativeFrom="margin">
                  <wp:align>center</wp:align>
                </wp:positionH>
                <wp:positionV relativeFrom="paragraph">
                  <wp:posOffset>-152400</wp:posOffset>
                </wp:positionV>
                <wp:extent cx="6606540" cy="411480"/>
                <wp:effectExtent l="0" t="0" r="22860" b="26670"/>
                <wp:wrapNone/>
                <wp:docPr id="397501367"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3F51A91" w14:textId="77777777" w:rsidR="00B3411D" w:rsidRPr="00B3411D" w:rsidRDefault="00B3411D" w:rsidP="00B3411D">
                            <w:pPr>
                              <w:jc w:val="center"/>
                              <w:rPr>
                                <w:rFonts w:cs="Calibri"/>
                              </w:rPr>
                            </w:pPr>
                            <w:r w:rsidRPr="00B3411D">
                              <w:rPr>
                                <w:rFonts w:cs="Calibri"/>
                                <w:b/>
                              </w:rPr>
                              <w:t>RÚBRICA DE EVALUACIÓN – INFORME DE OBSERVACIÓN PARTICIPANTE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6779BF" id="_x0000_s1212" type="#_x0000_t202" style="position:absolute;left:0;text-align:left;margin-left:0;margin-top:-12pt;width:520.2pt;height:32.4pt;z-index:25253990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" fillcolor="window" strokeweight=".5pt">
                <v:textbox>
                  <w:txbxContent>
                    <w:p w14:paraId="43F51A91" w14:textId="77777777" w:rsidR="00B3411D" w:rsidRPr="00B3411D" w:rsidRDefault="00B3411D" w:rsidP="00B3411D">
                      <w:pPr>
                        <w:jc w:val="center"/>
                        <w:rPr>
                          <w:rFonts w:cs="Calibri"/>
                        </w:rPr>
                      </w:pPr>
                      <w:r w:rsidRPr="00B3411D">
                        <w:rPr>
                          <w:rFonts w:cs="Calibri"/>
                          <w:b/>
                        </w:rPr>
                        <w:t>RÚBRICA DE EVALUACIÓN – INFORME DE OBSERVACIÓN PARTICIPANTE</w:t>
                      </w:r>
                    </w:p>
                  </w:txbxContent>
                </v:textbox>
                <w10:wrap anchorx="margin"/>
              </v:shape>
            </w:pict>
          </mc:Fallback>
        </mc:AlternateContent>
      </w:r>
    </w:p>
    <w:p w14:paraId="38E8F82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C84D7C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Esta tarea implica que las personas estudiantes participen en la liturgia de una comunidad de fe para observar si existe o no inclusión en la liturgia. Se realiza de la sesión 12 a la 14 y tiene un valor de 20%.</w:t>
      </w:r>
    </w:p>
    <w:p w14:paraId="6F57689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40928" behindDoc="0" locked="0" layoutInCell="1" allowOverlap="1" wp14:anchorId="3AE466FC" wp14:editId="674FAA8F">
            <wp:simplePos x="0" y="0"/>
            <wp:positionH relativeFrom="margin">
              <wp:align>center</wp:align>
            </wp:positionH>
            <wp:positionV relativeFrom="paragraph">
              <wp:posOffset>143510</wp:posOffset>
            </wp:positionV>
            <wp:extent cx="8979408" cy="4145280"/>
            <wp:effectExtent l="0" t="0" r="0" b="7620"/>
            <wp:wrapNone/>
            <wp:docPr id="239961800" name="Imagen 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61800" name="Imagen 16" descr="Tabla&#10;&#10;Descripción generada automáticamente"/>
                    <pic:cNvPicPr/>
                  </pic:nvPicPr>
                  <pic:blipFill>
                    <a:blip r:embed="rId422">
                      <a:extLst>
                        <a:ext uri="{28A0092B-C50C-407E-A947-70E740481C1C}">
                          <a14:useLocalDpi xmlns:a14="http://schemas.microsoft.com/office/drawing/2010/main" val="0"/>
                        </a:ext>
                      </a:extLst>
                    </a:blip>
                    <a:stretch>
                      <a:fillRect/>
                    </a:stretch>
                  </pic:blipFill>
                  <pic:spPr>
                    <a:xfrm>
                      <a:off x="0" y="0"/>
                      <a:ext cx="8979408" cy="4145280"/>
                    </a:xfrm>
                    <a:prstGeom prst="rect">
                      <a:avLst/>
                    </a:prstGeom>
                  </pic:spPr>
                </pic:pic>
              </a:graphicData>
            </a:graphic>
          </wp:anchor>
        </w:drawing>
      </w:r>
    </w:p>
    <w:p w14:paraId="0754BE5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9166306"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AE1B41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FC6F18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E2CCF1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8107EC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BDCED63"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58BDF4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201B1C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60E43B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C477E5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DC6D3C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FB7630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95E759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7D29D6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5ECD641"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9E435A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2EC4BA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E1EE74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29CB0F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03DE9E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242BAD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7506192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600BC1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41952" behindDoc="0" locked="0" layoutInCell="1" allowOverlap="1" wp14:anchorId="764F280E" wp14:editId="55C0A7CE">
                <wp:simplePos x="0" y="0"/>
                <wp:positionH relativeFrom="margin">
                  <wp:align>center</wp:align>
                </wp:positionH>
                <wp:positionV relativeFrom="paragraph">
                  <wp:posOffset>-95250</wp:posOffset>
                </wp:positionV>
                <wp:extent cx="6606540" cy="411480"/>
                <wp:effectExtent l="0" t="0" r="22860" b="26670"/>
                <wp:wrapNone/>
                <wp:docPr id="1866978952"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FC7368E" w14:textId="77777777" w:rsidR="00B3411D" w:rsidRPr="00B3411D" w:rsidRDefault="00B3411D" w:rsidP="00B3411D">
                            <w:pPr>
                              <w:jc w:val="center"/>
                              <w:rPr>
                                <w:rFonts w:cs="Calibri"/>
                              </w:rPr>
                            </w:pPr>
                            <w:r w:rsidRPr="00B3411D">
                              <w:rPr>
                                <w:rFonts w:cs="Calibri"/>
                                <w:b/>
                              </w:rPr>
                              <w:t>RÚBRICA DE EVALUACIÓN – INFORME DE ASESORÍA LITÚRGICA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4F280E" id="_x0000_s1213" type="#_x0000_t202" style="position:absolute;left:0;text-align:left;margin-left:0;margin-top:-7.5pt;width:520.2pt;height:32.4pt;z-index:2525419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" fillcolor="window" strokeweight=".5pt">
                <v:textbox>
                  <w:txbxContent>
                    <w:p w14:paraId="4FC7368E" w14:textId="77777777" w:rsidR="00B3411D" w:rsidRPr="00B3411D" w:rsidRDefault="00B3411D" w:rsidP="00B3411D">
                      <w:pPr>
                        <w:jc w:val="center"/>
                        <w:rPr>
                          <w:rFonts w:cs="Calibri"/>
                        </w:rPr>
                      </w:pPr>
                      <w:r w:rsidRPr="00B3411D">
                        <w:rPr>
                          <w:rFonts w:cs="Calibri"/>
                          <w:b/>
                        </w:rPr>
                        <w:t>RÚBRICA DE EVALUACIÓN – INFORME DE ASESORÍA LITÚRGICA</w:t>
                      </w:r>
                    </w:p>
                  </w:txbxContent>
                </v:textbox>
                <w10:wrap anchorx="margin"/>
              </v:shape>
            </w:pict>
          </mc:Fallback>
        </mc:AlternateContent>
      </w:r>
    </w:p>
    <w:p w14:paraId="653CE285"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BCB078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color w:val="0070C0"/>
          <w:kern w:val="0"/>
          <w:lang w:val="es-ES_tradnl" w:eastAsia="es-CR"/>
          <w14:ligatures w14:val="none"/>
        </w:rPr>
      </w:pPr>
      <w:r w:rsidRPr="00B3411D">
        <w:rPr>
          <w:rFonts w:ascii="Calibri" w:eastAsia="Times New Roman" w:hAnsi="Calibri" w:cs="Arial"/>
          <w:color w:val="0070C0"/>
          <w:kern w:val="0"/>
          <w:lang w:val="es-ES_tradnl" w:eastAsia="es-CR"/>
          <w14:ligatures w14:val="none"/>
        </w:rPr>
        <w:t>Una asesoría litúrgica es un trabajo contextual que aborda un problema específico en una comunidad de fe, de orden litúrgico, para el cual se elaboran estrategias de respuesta a la luz de los propios conocimientos, la investigación y la experiencia. Se elabora en la sesión 15 y tiene un valor de 20%.</w:t>
      </w:r>
    </w:p>
    <w:p w14:paraId="66ED49AB"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8300DC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r w:rsidRPr="00B3411D">
        <w:rPr>
          <w:rFonts w:ascii="Calibri" w:eastAsia="Times New Roman" w:hAnsi="Calibri" w:cs="Arial"/>
          <w:noProof/>
          <w:kern w:val="0"/>
          <w:lang w:val="es-ES_tradnl" w:eastAsia="es-CR"/>
          <w14:ligatures w14:val="none"/>
        </w:rPr>
        <w:drawing>
          <wp:anchor distT="0" distB="0" distL="114300" distR="114300" simplePos="0" relativeHeight="252542976" behindDoc="0" locked="0" layoutInCell="1" allowOverlap="1" wp14:anchorId="5AF27A74" wp14:editId="23508E35">
            <wp:simplePos x="0" y="0"/>
            <wp:positionH relativeFrom="column">
              <wp:posOffset>85725</wp:posOffset>
            </wp:positionH>
            <wp:positionV relativeFrom="paragraph">
              <wp:posOffset>75883</wp:posOffset>
            </wp:positionV>
            <wp:extent cx="8967216" cy="4645152"/>
            <wp:effectExtent l="0" t="0" r="5715" b="3175"/>
            <wp:wrapNone/>
            <wp:docPr id="1955489440" name="Imagen 1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89440" name="Imagen 17" descr="Tabla&#10;&#10;Descripción generada automáticamente"/>
                    <pic:cNvPicPr/>
                  </pic:nvPicPr>
                  <pic:blipFill>
                    <a:blip r:embed="rId423">
                      <a:extLst>
                        <a:ext uri="{28A0092B-C50C-407E-A947-70E740481C1C}">
                          <a14:useLocalDpi xmlns:a14="http://schemas.microsoft.com/office/drawing/2010/main" val="0"/>
                        </a:ext>
                      </a:extLst>
                    </a:blip>
                    <a:stretch>
                      <a:fillRect/>
                    </a:stretch>
                  </pic:blipFill>
                  <pic:spPr>
                    <a:xfrm>
                      <a:off x="0" y="0"/>
                      <a:ext cx="8967216" cy="4645152"/>
                    </a:xfrm>
                    <a:prstGeom prst="rect">
                      <a:avLst/>
                    </a:prstGeom>
                  </pic:spPr>
                </pic:pic>
              </a:graphicData>
            </a:graphic>
          </wp:anchor>
        </w:drawing>
      </w:r>
    </w:p>
    <w:p w14:paraId="268E1B6F"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4BF4060"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8156E8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93F029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153663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57856CD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4ADC05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8B9691C"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C0208E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51D36F4"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4CD1F3B9"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2D7FEC2E"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F9470B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CB5B5D7"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020DAEE8"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1FBBDC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11ACE17A"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3052CFCD" w14:textId="77777777" w:rsidR="00B3411D" w:rsidRPr="00B3411D" w:rsidRDefault="00B3411D" w:rsidP="00B3411D">
      <w:pPr>
        <w:widowControl w:val="0"/>
        <w:overflowPunct w:val="0"/>
        <w:autoSpaceDE w:val="0"/>
        <w:autoSpaceDN w:val="0"/>
        <w:adjustRightInd w:val="0"/>
        <w:spacing w:before="120" w:after="0" w:line="240" w:lineRule="auto"/>
        <w:jc w:val="center"/>
        <w:rPr>
          <w:rFonts w:ascii="Calibri" w:eastAsia="Times New Roman" w:hAnsi="Calibri" w:cs="Arial"/>
          <w:kern w:val="0"/>
          <w:lang w:val="es-ES_tradnl" w:eastAsia="es-CR"/>
          <w14:ligatures w14:val="none"/>
        </w:rPr>
      </w:pPr>
    </w:p>
    <w:p w14:paraId="6E998799"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B3411D">
        <w:rPr>
          <w:rFonts w:ascii="Calibri" w:eastAsia="Times New Roman" w:hAnsi="Calibri" w:cs="Arial"/>
          <w:b/>
          <w:bCs/>
          <w:kern w:val="0"/>
          <w:lang w:val="es-ES_tradnl" w:eastAsia="es-CR"/>
          <w14:ligatures w14:val="none"/>
        </w:rPr>
        <w:br w:type="page"/>
      </w:r>
    </w:p>
    <w:p w14:paraId="12F3F604"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sectPr w:rsidR="00B3411D" w:rsidRPr="00B3411D" w:rsidSect="005C1895">
          <w:pgSz w:w="15840" w:h="12240" w:orient="landscape"/>
          <w:pgMar w:top="720" w:right="720" w:bottom="720" w:left="720" w:header="709" w:footer="709" w:gutter="0"/>
          <w:pgNumType w:start="378"/>
          <w:cols w:space="708"/>
          <w:docGrid w:linePitch="360"/>
        </w:sectPr>
      </w:pPr>
    </w:p>
    <w:p w14:paraId="3431ADA1"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spacing w:val="-2"/>
          <w:kern w:val="28"/>
          <w:lang w:val="es-ES_tradnl" w:eastAsia="es-CR"/>
          <w14:ligatures w14:val="none"/>
        </w:rPr>
      </w:pPr>
      <w:r w:rsidRPr="00B3411D">
        <w:rPr>
          <w:rFonts w:ascii="Calibri" w:eastAsia="Times New Roman" w:hAnsi="Calibri" w:cs="Arial"/>
          <w:b/>
          <w:bCs/>
          <w:kern w:val="0"/>
          <w:lang w:val="es-ES_tradnl" w:eastAsia="es-CR"/>
          <w14:ligatures w14:val="none"/>
        </w:rPr>
        <w:lastRenderedPageBreak/>
        <w:t>XI. Bibliografía obligatoria</w:t>
      </w:r>
    </w:p>
    <w:p w14:paraId="70DEB979"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B3411D">
        <w:rPr>
          <w:rFonts w:ascii="Calibri" w:eastAsia="Times New Roman" w:hAnsi="Calibri" w:cs="Arial"/>
          <w:b/>
          <w:color w:val="000000"/>
          <w:kern w:val="0"/>
          <w:lang w:eastAsia="es-CR"/>
          <w14:ligatures w14:val="none"/>
        </w:rPr>
        <w:t>Nota:</w:t>
      </w:r>
      <w:r w:rsidRPr="00B3411D">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B3411D">
        <w:rPr>
          <w:rFonts w:ascii="Calibri" w:eastAsia="Times New Roman" w:hAnsi="Calibri" w:cs="Arial"/>
          <w:bCs/>
          <w:color w:val="000000"/>
          <w:kern w:val="0"/>
          <w:lang w:eastAsia="es-CR"/>
          <w14:ligatures w14:val="none"/>
        </w:rPr>
        <w:t>pdf</w:t>
      </w:r>
      <w:proofErr w:type="spellEnd"/>
      <w:r w:rsidRPr="00B3411D">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2B7E5BCE" w14:textId="77777777" w:rsidR="00B3411D" w:rsidRPr="00B3411D" w:rsidRDefault="00B3411D" w:rsidP="00B3411D">
      <w:pPr>
        <w:widowControl w:val="0"/>
        <w:overflowPunct w:val="0"/>
        <w:autoSpaceDE w:val="0"/>
        <w:autoSpaceDN w:val="0"/>
        <w:adjustRightInd w:val="0"/>
        <w:spacing w:before="120" w:after="120" w:line="240" w:lineRule="auto"/>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Álvarez, Carmelo. “La liturgia en la historia” En </w:t>
      </w:r>
      <w:r w:rsidRPr="00B3411D">
        <w:rPr>
          <w:rFonts w:ascii="Calibri" w:eastAsia="MS Mincho" w:hAnsi="Calibri" w:cs="Calibri"/>
          <w:i/>
          <w:kern w:val="0"/>
          <w:lang w:val="es-ES_tradnl" w:eastAsia="es-CR"/>
          <w14:ligatures w14:val="none"/>
        </w:rPr>
        <w:t>La Celebración Cristiana: antología del curso CTX110 Liturgia I</w:t>
      </w:r>
      <w:r w:rsidRPr="00B3411D">
        <w:rPr>
          <w:rFonts w:ascii="Calibri" w:eastAsia="MS Mincho" w:hAnsi="Calibri" w:cs="Calibri"/>
          <w:kern w:val="0"/>
          <w:lang w:val="es-ES_tradnl" w:eastAsia="es-CR"/>
          <w14:ligatures w14:val="none"/>
        </w:rPr>
        <w:t>, compilada por Edwin Mora Guevara, 185-202. San José: Universidad Bíblica Latinoamericana, 2009.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2994C9A0" w14:textId="77777777" w:rsidR="00B3411D" w:rsidRPr="00B3411D" w:rsidRDefault="00B3411D" w:rsidP="4C9C2619">
      <w:pPr>
        <w:widowControl w:val="0"/>
        <w:overflowPunct w:val="0"/>
        <w:autoSpaceDE w:val="0"/>
        <w:autoSpaceDN w:val="0"/>
        <w:adjustRightInd w:val="0"/>
        <w:spacing w:before="120" w:after="120" w:line="240" w:lineRule="auto"/>
        <w:jc w:val="both"/>
        <w:rPr>
          <w:rFonts w:ascii="Calibri" w:eastAsia="MS Mincho" w:hAnsi="Calibri" w:cs="Calibri"/>
          <w:kern w:val="0"/>
          <w:lang w:val="es-ES" w:eastAsia="es-CR"/>
          <w14:ligatures w14:val="none"/>
        </w:rPr>
      </w:pPr>
      <w:r w:rsidRPr="4C9C2619">
        <w:rPr>
          <w:rFonts w:ascii="Calibri" w:eastAsia="MS Mincho" w:hAnsi="Calibri" w:cs="Calibri"/>
          <w:kern w:val="0"/>
          <w:lang w:val="es-ES" w:eastAsia="es-CR"/>
          <w14:ligatures w14:val="none"/>
        </w:rPr>
        <w:t xml:space="preserve">Barreda Toscano, Juan José. “Hacia una teología bíblica de la celebración litúrgica”.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127-162. Buenos Aires: </w:t>
      </w:r>
      <w:proofErr w:type="spellStart"/>
      <w:r w:rsidRPr="4C9C2619">
        <w:rPr>
          <w:rFonts w:ascii="Calibri" w:eastAsia="MS Mincho" w:hAnsi="Calibri" w:cs="Calibri"/>
          <w:kern w:val="0"/>
          <w:lang w:val="es-ES" w:eastAsia="es-CR"/>
          <w14:ligatures w14:val="none"/>
        </w:rPr>
        <w:t>Kairos</w:t>
      </w:r>
      <w:proofErr w:type="spellEnd"/>
      <w:r w:rsidRPr="4C9C2619">
        <w:rPr>
          <w:rFonts w:ascii="Calibri" w:eastAsia="MS Mincho" w:hAnsi="Calibri" w:cs="Calibri"/>
          <w:kern w:val="0"/>
          <w:lang w:val="es-ES" w:eastAsia="es-CR"/>
          <w14:ligatures w14:val="none"/>
        </w:rPr>
        <w:t>, 2004. (</w:t>
      </w:r>
      <w:r w:rsidRPr="4C9C2619">
        <w:rPr>
          <w:rFonts w:ascii="Calibri" w:eastAsia="MS Mincho" w:hAnsi="Calibri" w:cs="Calibri"/>
          <w:color w:val="0070C0"/>
          <w:kern w:val="0"/>
          <w:lang w:val="es-ES" w:eastAsia="es-CR"/>
          <w14:ligatures w14:val="none"/>
        </w:rPr>
        <w:t>clásico,</w:t>
      </w:r>
      <w:r w:rsidRPr="4C9C2619">
        <w:rPr>
          <w:rFonts w:ascii="Calibri" w:eastAsia="MS Mincho" w:hAnsi="Calibri" w:cs="Calibri"/>
          <w:kern w:val="0"/>
          <w:lang w:val="es-ES" w:eastAsia="es-CR"/>
          <w14:ligatures w14:val="none"/>
        </w:rPr>
        <w:t xml:space="preserve"> última edición)</w:t>
      </w:r>
    </w:p>
    <w:p w14:paraId="4C07C628" w14:textId="77777777" w:rsidR="00B3411D" w:rsidRPr="00B3411D" w:rsidRDefault="00B3411D" w:rsidP="4C9C2619">
      <w:pPr>
        <w:widowControl w:val="0"/>
        <w:overflowPunct w:val="0"/>
        <w:autoSpaceDE w:val="0"/>
        <w:autoSpaceDN w:val="0"/>
        <w:adjustRightInd w:val="0"/>
        <w:spacing w:before="120" w:after="120" w:line="240" w:lineRule="auto"/>
        <w:jc w:val="both"/>
        <w:rPr>
          <w:rFonts w:ascii="Calibri" w:eastAsia="MS Mincho" w:hAnsi="Calibri" w:cs="Calibri"/>
          <w:color w:val="00B050"/>
          <w:kern w:val="0"/>
          <w:lang w:val="es-ES" w:eastAsia="es-CR"/>
          <w14:ligatures w14:val="none"/>
        </w:rPr>
      </w:pPr>
      <w:proofErr w:type="spellStart"/>
      <w:r w:rsidRPr="4C9C2619">
        <w:rPr>
          <w:rFonts w:ascii="Calibri" w:eastAsia="MS Mincho" w:hAnsi="Calibri" w:cs="Calibri"/>
          <w:kern w:val="0"/>
          <w:lang w:val="es-ES" w:eastAsia="es-CR"/>
          <w14:ligatures w14:val="none"/>
        </w:rPr>
        <w:t>Bassett</w:t>
      </w:r>
      <w:proofErr w:type="spellEnd"/>
      <w:r w:rsidRPr="4C9C2619">
        <w:rPr>
          <w:rFonts w:ascii="Calibri" w:eastAsia="MS Mincho" w:hAnsi="Calibri" w:cs="Calibri"/>
          <w:kern w:val="0"/>
          <w:lang w:val="es-ES" w:eastAsia="es-CR"/>
          <w14:ligatures w14:val="none"/>
        </w:rPr>
        <w:t xml:space="preserve">, Marcelino "Liturgia y Ecología". En </w:t>
      </w:r>
      <w:r w:rsidRPr="4C9C2619">
        <w:rPr>
          <w:rFonts w:ascii="Calibri" w:eastAsia="MS Mincho" w:hAnsi="Calibri" w:cs="Calibri"/>
          <w:i/>
          <w:iCs/>
          <w:kern w:val="0"/>
          <w:lang w:val="es-ES" w:eastAsia="es-CR"/>
          <w14:ligatures w14:val="none"/>
        </w:rPr>
        <w:t>Liturgia, fiesta de la esperanza: una introducción al culto cristiano desde una perspectiva ecuménica y latinoamericana</w:t>
      </w:r>
      <w:r w:rsidRPr="4C9C2619">
        <w:rPr>
          <w:rFonts w:ascii="Calibri" w:eastAsia="MS Mincho" w:hAnsi="Calibri" w:cs="Calibri"/>
          <w:kern w:val="0"/>
          <w:lang w:val="es-ES" w:eastAsia="es-CR"/>
          <w14:ligatures w14:val="none"/>
        </w:rPr>
        <w:t>, compilado por Amós López Rubio, 232-247. La Habana: Editorial Caminos, 2018.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6149CDDD" w14:textId="77777777" w:rsidR="00B3411D" w:rsidRPr="00B3411D" w:rsidRDefault="00B3411D" w:rsidP="00B3411D">
      <w:pPr>
        <w:widowControl w:val="0"/>
        <w:overflowPunct w:val="0"/>
        <w:autoSpaceDE w:val="0"/>
        <w:autoSpaceDN w:val="0"/>
        <w:adjustRightInd w:val="0"/>
        <w:spacing w:before="120" w:after="120" w:line="240" w:lineRule="auto"/>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Borobio, Dionisio. </w:t>
      </w:r>
      <w:r w:rsidRPr="00B3411D">
        <w:rPr>
          <w:rFonts w:ascii="Calibri" w:eastAsia="MS Mincho" w:hAnsi="Calibri" w:cs="Calibri"/>
          <w:i/>
          <w:kern w:val="0"/>
          <w:lang w:val="es-ES_tradnl" w:eastAsia="es-CR"/>
          <w14:ligatures w14:val="none"/>
        </w:rPr>
        <w:t xml:space="preserve">Celebrar para vivir: liturgia y sacramentos de la Iglesia. </w:t>
      </w:r>
      <w:r w:rsidRPr="00B3411D">
        <w:rPr>
          <w:rFonts w:ascii="Calibri" w:eastAsia="MS Mincho" w:hAnsi="Calibri" w:cs="Calibri"/>
          <w:kern w:val="0"/>
          <w:lang w:val="es-ES_tradnl" w:eastAsia="es-CR"/>
          <w14:ligatures w14:val="none"/>
        </w:rPr>
        <w:t>Salamanca: Sígueme, 2003.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676B6F40" w14:textId="77777777" w:rsidR="00B3411D" w:rsidRPr="00B3411D" w:rsidRDefault="00B3411D" w:rsidP="4C9C2619">
      <w:pPr>
        <w:widowControl w:val="0"/>
        <w:overflowPunct w:val="0"/>
        <w:autoSpaceDE w:val="0"/>
        <w:autoSpaceDN w:val="0"/>
        <w:adjustRightInd w:val="0"/>
        <w:spacing w:before="120" w:after="120" w:line="240" w:lineRule="auto"/>
        <w:jc w:val="both"/>
        <w:rPr>
          <w:rFonts w:ascii="Calibri" w:eastAsia="MS Mincho" w:hAnsi="Calibri" w:cs="Calibri"/>
          <w:kern w:val="0"/>
          <w:lang w:val="es-ES" w:eastAsia="es-CR"/>
          <w14:ligatures w14:val="none"/>
        </w:rPr>
      </w:pPr>
      <w:proofErr w:type="spellStart"/>
      <w:r w:rsidRPr="4C9C2619">
        <w:rPr>
          <w:rFonts w:ascii="Calibri" w:eastAsia="Times New Roman" w:hAnsi="Calibri" w:cs="Calibri"/>
          <w:color w:val="222222"/>
          <w:kern w:val="0"/>
          <w:shd w:val="clear" w:color="auto" w:fill="FFFFFF"/>
          <w:lang w:val="es-ES" w:eastAsia="es-CR"/>
          <w14:ligatures w14:val="none"/>
        </w:rPr>
        <w:t>Chupuncgo</w:t>
      </w:r>
      <w:proofErr w:type="spellEnd"/>
      <w:r w:rsidRPr="4C9C2619">
        <w:rPr>
          <w:rFonts w:ascii="Calibri" w:eastAsia="Times New Roman" w:hAnsi="Calibri" w:cs="Calibri"/>
          <w:color w:val="222222"/>
          <w:kern w:val="0"/>
          <w:shd w:val="clear" w:color="auto" w:fill="FFFFFF"/>
          <w:lang w:val="es-ES" w:eastAsia="es-CR"/>
          <w14:ligatures w14:val="none"/>
        </w:rPr>
        <w:t>, </w:t>
      </w:r>
      <w:proofErr w:type="spellStart"/>
      <w:r w:rsidRPr="4C9C2619">
        <w:rPr>
          <w:rFonts w:ascii="Calibri" w:eastAsia="Times New Roman" w:hAnsi="Calibri" w:cs="Calibri"/>
          <w:color w:val="222222"/>
          <w:kern w:val="0"/>
          <w:shd w:val="clear" w:color="auto" w:fill="FFFFFF"/>
          <w:lang w:val="es-ES" w:eastAsia="es-CR"/>
          <w14:ligatures w14:val="none"/>
        </w:rPr>
        <w:t>Anscar</w:t>
      </w:r>
      <w:proofErr w:type="spellEnd"/>
      <w:r w:rsidRPr="4C9C2619">
        <w:rPr>
          <w:rFonts w:ascii="Calibri" w:eastAsia="Times New Roman" w:hAnsi="Calibri" w:cs="Calibri"/>
          <w:color w:val="222222"/>
          <w:kern w:val="0"/>
          <w:shd w:val="clear" w:color="auto" w:fill="FFFFFF"/>
          <w:lang w:val="es-ES" w:eastAsia="es-CR"/>
          <w14:ligatures w14:val="none"/>
        </w:rPr>
        <w:t xml:space="preserve"> J., “La liturgia y los componentes de la cultura”. En </w:t>
      </w:r>
      <w:r w:rsidRPr="4C9C2619">
        <w:rPr>
          <w:rFonts w:ascii="Calibri" w:eastAsia="Times New Roman" w:hAnsi="Calibri" w:cs="Calibri"/>
          <w:i/>
          <w:iCs/>
          <w:color w:val="222222"/>
          <w:kern w:val="0"/>
          <w:shd w:val="clear" w:color="auto" w:fill="FFFFFF"/>
          <w:lang w:val="es-ES" w:eastAsia="es-CR"/>
          <w14:ligatures w14:val="none"/>
        </w:rPr>
        <w:t>Inculturación de la liturgia en contextos latinoamericanos y caribeños: aproximaciones teológicas y pedagógicas,</w:t>
      </w:r>
      <w:r w:rsidRPr="4C9C2619">
        <w:rPr>
          <w:rFonts w:ascii="Calibri" w:eastAsia="Times New Roman" w:hAnsi="Calibri" w:cs="Calibri"/>
          <w:color w:val="222222"/>
          <w:kern w:val="0"/>
          <w:shd w:val="clear" w:color="auto" w:fill="FFFFFF"/>
          <w:lang w:val="es-ES" w:eastAsia="es-CR"/>
          <w14:ligatures w14:val="none"/>
        </w:rPr>
        <w:t> coordinado por Amílcar Ulloa, 197-211. Colombia: CETELA, 2003. </w:t>
      </w:r>
      <w:r w:rsidRPr="4C9C2619">
        <w:rPr>
          <w:rFonts w:ascii="Calibri" w:eastAsia="MS Mincho" w:hAnsi="Calibri" w:cs="Calibri"/>
          <w:kern w:val="0"/>
          <w:lang w:val="es-ES" w:eastAsia="es-CR"/>
          <w14:ligatures w14:val="none"/>
        </w:rPr>
        <w:t>(</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1F97CD88" w14:textId="77777777" w:rsidR="00B3411D" w:rsidRPr="00B3411D" w:rsidRDefault="00B3411D" w:rsidP="4C9C2619">
      <w:pPr>
        <w:widowControl w:val="0"/>
        <w:overflowPunct w:val="0"/>
        <w:autoSpaceDE w:val="0"/>
        <w:autoSpaceDN w:val="0"/>
        <w:adjustRightInd w:val="0"/>
        <w:spacing w:before="120" w:after="120" w:line="240" w:lineRule="auto"/>
        <w:jc w:val="both"/>
        <w:rPr>
          <w:rFonts w:ascii="Calibri" w:eastAsia="MS Mincho" w:hAnsi="Calibri" w:cs="Calibri"/>
          <w:kern w:val="0"/>
          <w:lang w:val="es-ES" w:eastAsia="es-CR"/>
          <w14:ligatures w14:val="none"/>
        </w:rPr>
      </w:pPr>
      <w:proofErr w:type="spellStart"/>
      <w:r w:rsidRPr="4C9C2619">
        <w:rPr>
          <w:rFonts w:ascii="Calibri" w:eastAsia="MS Mincho" w:hAnsi="Calibri" w:cs="Calibri"/>
          <w:kern w:val="0"/>
          <w:lang w:val="es-ES" w:eastAsia="es-CR"/>
          <w14:ligatures w14:val="none"/>
        </w:rPr>
        <w:t>Kirst</w:t>
      </w:r>
      <w:proofErr w:type="spellEnd"/>
      <w:r w:rsidRPr="4C9C2619">
        <w:rPr>
          <w:rFonts w:ascii="Calibri" w:eastAsia="MS Mincho" w:hAnsi="Calibri" w:cs="Calibri"/>
          <w:kern w:val="0"/>
          <w:lang w:val="es-ES" w:eastAsia="es-CR"/>
          <w14:ligatures w14:val="none"/>
        </w:rPr>
        <w:t xml:space="preserve">, Nelson. </w:t>
      </w:r>
      <w:r w:rsidRPr="4C9C2619">
        <w:rPr>
          <w:rFonts w:ascii="Calibri" w:eastAsia="MS Mincho" w:hAnsi="Calibri" w:cs="Calibri"/>
          <w:i/>
          <w:iCs/>
          <w:kern w:val="0"/>
          <w:lang w:val="es-ES" w:eastAsia="es-CR"/>
          <w14:ligatures w14:val="none"/>
        </w:rPr>
        <w:t xml:space="preserve">Culto cristiano: historia, teología y formas. </w:t>
      </w:r>
      <w:r w:rsidRPr="4C9C2619">
        <w:rPr>
          <w:rFonts w:ascii="Calibri" w:eastAsia="MS Mincho" w:hAnsi="Calibri" w:cs="Calibri"/>
          <w:kern w:val="0"/>
          <w:lang w:val="es-ES" w:eastAsia="es-CR"/>
          <w14:ligatures w14:val="none"/>
        </w:rPr>
        <w:t>Quito: Sinodal, 2000.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1DB4A7BC" w14:textId="77777777" w:rsidR="00B3411D" w:rsidRPr="00B3411D" w:rsidRDefault="00B3411D" w:rsidP="00B3411D">
      <w:pPr>
        <w:widowControl w:val="0"/>
        <w:overflowPunct w:val="0"/>
        <w:autoSpaceDE w:val="0"/>
        <w:autoSpaceDN w:val="0"/>
        <w:adjustRightInd w:val="0"/>
        <w:spacing w:before="120" w:after="120" w:line="240" w:lineRule="auto"/>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López Rubio, Amós. “El espacio litúrgico”. </w:t>
      </w:r>
      <w:r w:rsidRPr="00B3411D">
        <w:rPr>
          <w:rFonts w:ascii="Calibri" w:eastAsia="MS Mincho" w:hAnsi="Calibri" w:cs="Calibri"/>
          <w:i/>
          <w:kern w:val="0"/>
          <w:lang w:val="es-ES_tradnl" w:eastAsia="es-CR"/>
          <w14:ligatures w14:val="none"/>
        </w:rPr>
        <w:t>En Liturgia, fiesta de la esperanza: una introducción al culto cristiano desde una perspectiva ecuménica y latinoamericana</w:t>
      </w:r>
      <w:r w:rsidRPr="00B3411D">
        <w:rPr>
          <w:rFonts w:ascii="Calibri" w:eastAsia="MS Mincho" w:hAnsi="Calibri" w:cs="Calibri"/>
          <w:kern w:val="0"/>
          <w:lang w:val="es-ES_tradnl" w:eastAsia="es-CR"/>
          <w14:ligatures w14:val="none"/>
        </w:rPr>
        <w:t>, compilado por Amós López Rubio, 200-211. La Habana: Editorial Caminos, 2018.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36939C28" w14:textId="77777777" w:rsidR="00B3411D" w:rsidRPr="00B3411D" w:rsidRDefault="00B3411D" w:rsidP="00B3411D">
      <w:pPr>
        <w:widowControl w:val="0"/>
        <w:overflowPunct w:val="0"/>
        <w:autoSpaceDE w:val="0"/>
        <w:autoSpaceDN w:val="0"/>
        <w:adjustRightInd w:val="0"/>
        <w:spacing w:before="120" w:after="120" w:line="240" w:lineRule="auto"/>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López Rubio, Amós. “La liturgia y el tiempo: celebrar a Cristo a través del año litúrgico”. En </w:t>
      </w:r>
      <w:r w:rsidRPr="00B3411D">
        <w:rPr>
          <w:rFonts w:ascii="Calibri" w:eastAsia="MS Mincho" w:hAnsi="Calibri" w:cs="Calibri"/>
          <w:i/>
          <w:kern w:val="0"/>
          <w:lang w:val="es-ES_tradnl" w:eastAsia="es-CR"/>
          <w14:ligatures w14:val="none"/>
        </w:rPr>
        <w:t>Liturgia, fiesta de la esperanza: una introducción al culto cristiano desde una perspectiva ecuménica y latinoamericana</w:t>
      </w:r>
      <w:r w:rsidRPr="00B3411D">
        <w:rPr>
          <w:rFonts w:ascii="Calibri" w:eastAsia="MS Mincho" w:hAnsi="Calibri" w:cs="Calibri"/>
          <w:kern w:val="0"/>
          <w:lang w:val="es-ES_tradnl" w:eastAsia="es-CR"/>
          <w14:ligatures w14:val="none"/>
        </w:rPr>
        <w:t>, compilado por Amós López Rubio, 153-176. La Habana: Editorial Caminos, 2018.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57DA8199" w14:textId="77777777" w:rsidR="00B3411D" w:rsidRPr="00B3411D" w:rsidRDefault="00B3411D" w:rsidP="00B3411D">
      <w:pPr>
        <w:widowControl w:val="0"/>
        <w:shd w:val="clear" w:color="auto" w:fill="FFFFFF"/>
        <w:overflowPunct w:val="0"/>
        <w:autoSpaceDE w:val="0"/>
        <w:autoSpaceDN w:val="0"/>
        <w:adjustRightInd w:val="0"/>
        <w:spacing w:before="120" w:after="0" w:line="276" w:lineRule="auto"/>
        <w:jc w:val="both"/>
        <w:rPr>
          <w:rFonts w:ascii="Calibri" w:eastAsia="Times New Roman" w:hAnsi="Calibri" w:cs="Calibri"/>
          <w:color w:val="222222"/>
          <w:kern w:val="0"/>
          <w:lang w:val="es-ES_tradnl" w:eastAsia="es-CR"/>
          <w14:ligatures w14:val="none"/>
        </w:rPr>
      </w:pPr>
      <w:r w:rsidRPr="00B3411D">
        <w:rPr>
          <w:rFonts w:ascii="Calibri" w:eastAsia="Times New Roman" w:hAnsi="Calibri" w:cs="Calibri"/>
          <w:color w:val="222222"/>
          <w:kern w:val="0"/>
          <w:lang w:val="es-ES_tradnl" w:eastAsia="es-CR"/>
          <w14:ligatures w14:val="none"/>
        </w:rPr>
        <w:t>Luca, José de. "Celebración y Liberación". En</w:t>
      </w:r>
      <w:r w:rsidRPr="00B3411D">
        <w:rPr>
          <w:rFonts w:ascii="Calibri" w:eastAsia="Times New Roman" w:hAnsi="Calibri" w:cs="Calibri"/>
          <w:i/>
          <w:iCs/>
          <w:color w:val="222222"/>
          <w:kern w:val="0"/>
          <w:lang w:val="es-ES_tradnl" w:eastAsia="es-CR"/>
          <w14:ligatures w14:val="none"/>
        </w:rPr>
        <w:t> La Celebración Cristiana: </w:t>
      </w:r>
      <w:r w:rsidRPr="00B3411D">
        <w:rPr>
          <w:rFonts w:ascii="Calibri" w:eastAsia="Times New Roman" w:hAnsi="Calibri" w:cs="Calibri"/>
          <w:i/>
          <w:color w:val="222222"/>
          <w:kern w:val="0"/>
          <w:lang w:val="es-ES_tradnl" w:eastAsia="es-CR"/>
          <w14:ligatures w14:val="none"/>
        </w:rPr>
        <w:t>antología del curso CTX110 Liturgia I</w:t>
      </w:r>
      <w:r w:rsidRPr="00B3411D">
        <w:rPr>
          <w:rFonts w:ascii="Calibri" w:eastAsia="Times New Roman" w:hAnsi="Calibri" w:cs="Calibri"/>
          <w:color w:val="222222"/>
          <w:kern w:val="0"/>
          <w:lang w:val="es-ES_tradnl" w:eastAsia="es-CR"/>
          <w14:ligatures w14:val="none"/>
        </w:rPr>
        <w:t xml:space="preserve">, compilada por Edwin Mora Guevara, 25-32. San José: Universidad Bíblica Latinoamericana, 2009. </w:t>
      </w:r>
      <w:r w:rsidRPr="00B3411D">
        <w:rPr>
          <w:rFonts w:ascii="Calibri" w:eastAsia="MS Mincho" w:hAnsi="Calibri" w:cs="Calibri"/>
          <w:kern w:val="0"/>
          <w:lang w:val="es-ES_tradnl" w:eastAsia="es-CR"/>
          <w14:ligatures w14:val="none"/>
        </w:rPr>
        <w:t>(</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74AAA6F7" w14:textId="77777777" w:rsidR="00B3411D" w:rsidRPr="00B3411D" w:rsidRDefault="00B3411D" w:rsidP="4C9C2619">
      <w:pPr>
        <w:widowControl w:val="0"/>
        <w:shd w:val="clear" w:color="auto" w:fill="FFFFFF" w:themeFill="background1"/>
        <w:overflowPunct w:val="0"/>
        <w:autoSpaceDE w:val="0"/>
        <w:autoSpaceDN w:val="0"/>
        <w:adjustRightInd w:val="0"/>
        <w:spacing w:before="120" w:after="0" w:line="276" w:lineRule="auto"/>
        <w:jc w:val="both"/>
        <w:rPr>
          <w:rFonts w:ascii="Calibri" w:eastAsia="Times New Roman" w:hAnsi="Calibri" w:cs="Calibri"/>
          <w:color w:val="00B050"/>
          <w:kern w:val="0"/>
          <w:lang w:val="es-ES" w:eastAsia="es-CR"/>
          <w14:ligatures w14:val="none"/>
        </w:rPr>
      </w:pPr>
      <w:proofErr w:type="spellStart"/>
      <w:r w:rsidRPr="4C9C2619">
        <w:rPr>
          <w:rFonts w:ascii="Calibri" w:eastAsia="Times New Roman" w:hAnsi="Calibri" w:cs="Calibri"/>
          <w:kern w:val="0"/>
          <w:lang w:val="es-ES" w:eastAsia="es-CR"/>
          <w14:ligatures w14:val="none"/>
        </w:rPr>
        <w:t>Mansk</w:t>
      </w:r>
      <w:proofErr w:type="spellEnd"/>
      <w:r w:rsidRPr="4C9C2619">
        <w:rPr>
          <w:rFonts w:ascii="Calibri" w:eastAsia="Times New Roman" w:hAnsi="Calibri" w:cs="Calibri"/>
          <w:kern w:val="0"/>
          <w:lang w:val="es-ES" w:eastAsia="es-CR"/>
          <w14:ligatures w14:val="none"/>
        </w:rPr>
        <w:t xml:space="preserve">, </w:t>
      </w:r>
      <w:proofErr w:type="spellStart"/>
      <w:r w:rsidRPr="4C9C2619">
        <w:rPr>
          <w:rFonts w:ascii="Calibri" w:eastAsia="Times New Roman" w:hAnsi="Calibri" w:cs="Calibri"/>
          <w:kern w:val="0"/>
          <w:lang w:val="es-ES" w:eastAsia="es-CR"/>
          <w14:ligatures w14:val="none"/>
        </w:rPr>
        <w:t>Erli</w:t>
      </w:r>
      <w:proofErr w:type="spellEnd"/>
      <w:r w:rsidRPr="4C9C2619">
        <w:rPr>
          <w:rFonts w:ascii="Calibri" w:eastAsia="Times New Roman" w:hAnsi="Calibri" w:cs="Calibri"/>
          <w:kern w:val="0"/>
          <w:lang w:val="es-ES" w:eastAsia="es-CR"/>
          <w14:ligatures w14:val="none"/>
        </w:rPr>
        <w:t xml:space="preserve">. “Dedicación de los espacios sagrados”. En </w:t>
      </w:r>
      <w:r w:rsidRPr="4C9C2619">
        <w:rPr>
          <w:rFonts w:ascii="Calibri" w:eastAsia="Times New Roman" w:hAnsi="Calibri" w:cs="Calibri"/>
          <w:i/>
          <w:iCs/>
          <w:kern w:val="0"/>
          <w:lang w:val="es-ES" w:eastAsia="es-CR"/>
          <w14:ligatures w14:val="none"/>
        </w:rPr>
        <w:t>Liturgia, fiesta de la esperanza: una introducción al culto cristiano desde una perspectiva ecuménica y latinoamericana</w:t>
      </w:r>
      <w:r w:rsidRPr="4C9C2619">
        <w:rPr>
          <w:rFonts w:ascii="Calibri" w:eastAsia="Times New Roman" w:hAnsi="Calibri" w:cs="Calibri"/>
          <w:kern w:val="0"/>
          <w:lang w:val="es-ES" w:eastAsia="es-CR"/>
          <w14:ligatures w14:val="none"/>
        </w:rPr>
        <w:t xml:space="preserve">, compilado por Amós López Rubio, 212-231. La Habana: Editorial Caminos, 2018. </w:t>
      </w:r>
      <w:r w:rsidRPr="4C9C2619">
        <w:rPr>
          <w:rFonts w:ascii="Calibri" w:eastAsia="MS Mincho" w:hAnsi="Calibri" w:cs="Calibri"/>
          <w:kern w:val="0"/>
          <w:lang w:val="es-ES" w:eastAsia="es-CR"/>
          <w14:ligatures w14:val="none"/>
        </w:rPr>
        <w:t>(última edición)</w:t>
      </w:r>
    </w:p>
    <w:p w14:paraId="51D45082" w14:textId="77777777" w:rsidR="00B3411D" w:rsidRPr="00B3411D" w:rsidRDefault="00B3411D" w:rsidP="4C9C2619">
      <w:pPr>
        <w:widowControl w:val="0"/>
        <w:overflowPunct w:val="0"/>
        <w:autoSpaceDE w:val="0"/>
        <w:autoSpaceDN w:val="0"/>
        <w:adjustRightInd w:val="0"/>
        <w:spacing w:before="120" w:after="120" w:line="240" w:lineRule="auto"/>
        <w:jc w:val="both"/>
        <w:rPr>
          <w:rFonts w:ascii="Calibri" w:eastAsia="MS Mincho" w:hAnsi="Calibri" w:cs="Calibri"/>
          <w:kern w:val="0"/>
          <w:lang w:val="es-ES" w:eastAsia="es-CR"/>
          <w14:ligatures w14:val="none"/>
        </w:rPr>
      </w:pPr>
      <w:r w:rsidRPr="4C9C2619">
        <w:rPr>
          <w:rFonts w:ascii="Calibri" w:eastAsia="MS Mincho" w:hAnsi="Calibri" w:cs="Calibri"/>
          <w:kern w:val="0"/>
          <w:lang w:val="es-ES" w:eastAsia="es-CR"/>
          <w14:ligatures w14:val="none"/>
        </w:rPr>
        <w:t xml:space="preserve">Martínez, Joel y Raquel Martínez. </w:t>
      </w:r>
      <w:r w:rsidRPr="4C9C2619">
        <w:rPr>
          <w:rFonts w:ascii="Calibri" w:eastAsia="MS Mincho" w:hAnsi="Calibri" w:cs="Calibri"/>
          <w:i/>
          <w:iCs/>
          <w:kern w:val="0"/>
          <w:lang w:val="es-ES" w:eastAsia="es-CR"/>
          <w14:ligatures w14:val="none"/>
        </w:rPr>
        <w:t xml:space="preserve">Fiesta cristiana: recursos para la Adoración. </w:t>
      </w:r>
      <w:r w:rsidRPr="4C9C2619">
        <w:rPr>
          <w:rFonts w:ascii="Calibri" w:eastAsia="MS Mincho" w:hAnsi="Calibri" w:cs="Calibri"/>
          <w:kern w:val="0"/>
          <w:lang w:val="es-ES" w:eastAsia="es-CR"/>
          <w14:ligatures w14:val="none"/>
        </w:rPr>
        <w:t xml:space="preserve">Nashville: Abingdon </w:t>
      </w:r>
      <w:proofErr w:type="spellStart"/>
      <w:r w:rsidRPr="4C9C2619">
        <w:rPr>
          <w:rFonts w:ascii="Calibri" w:eastAsia="MS Mincho" w:hAnsi="Calibri" w:cs="Calibri"/>
          <w:kern w:val="0"/>
          <w:lang w:val="es-ES" w:eastAsia="es-CR"/>
          <w14:ligatures w14:val="none"/>
        </w:rPr>
        <w:t>Press</w:t>
      </w:r>
      <w:proofErr w:type="spellEnd"/>
      <w:r w:rsidRPr="4C9C2619">
        <w:rPr>
          <w:rFonts w:ascii="Calibri" w:eastAsia="MS Mincho" w:hAnsi="Calibri" w:cs="Calibri"/>
          <w:kern w:val="0"/>
          <w:lang w:val="es-ES" w:eastAsia="es-CR"/>
          <w14:ligatures w14:val="none"/>
        </w:rPr>
        <w:t>, 2003.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592171F4" w14:textId="77777777" w:rsidR="00B3411D" w:rsidRPr="00B3411D" w:rsidRDefault="00B3411D" w:rsidP="00B3411D">
      <w:pPr>
        <w:widowControl w:val="0"/>
        <w:overflowPunct w:val="0"/>
        <w:autoSpaceDE w:val="0"/>
        <w:autoSpaceDN w:val="0"/>
        <w:adjustRightInd w:val="0"/>
        <w:spacing w:before="120" w:after="120" w:line="240" w:lineRule="auto"/>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Maxwell, William D. “Formas litúrgicas en occidente”. (1963, clásico). </w:t>
      </w:r>
      <w:r w:rsidRPr="00B3411D">
        <w:rPr>
          <w:rFonts w:ascii="Calibri" w:eastAsia="MS Mincho" w:hAnsi="Calibri" w:cs="Calibri"/>
          <w:i/>
          <w:kern w:val="0"/>
          <w:lang w:val="es-ES_tradnl" w:eastAsia="es-CR"/>
          <w14:ligatures w14:val="none"/>
        </w:rPr>
        <w:t>En La Celebración Cristiana: antología del curso CTX110 Liturgia I</w:t>
      </w:r>
      <w:r w:rsidRPr="00B3411D">
        <w:rPr>
          <w:rFonts w:ascii="Calibri" w:eastAsia="MS Mincho" w:hAnsi="Calibri" w:cs="Calibri"/>
          <w:kern w:val="0"/>
          <w:lang w:val="es-ES_tradnl" w:eastAsia="es-CR"/>
          <w14:ligatures w14:val="none"/>
        </w:rPr>
        <w:t>, compilada por Edwin Mora Guevara, 155-184. San José: Universidad Bíblica Latinoamericana, 2009.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731D789A" w14:textId="77777777" w:rsidR="00B3411D" w:rsidRPr="00B3411D" w:rsidRDefault="00B3411D" w:rsidP="4C9C2619">
      <w:pPr>
        <w:widowControl w:val="0"/>
        <w:overflowPunct w:val="0"/>
        <w:autoSpaceDE w:val="0"/>
        <w:autoSpaceDN w:val="0"/>
        <w:adjustRightInd w:val="0"/>
        <w:spacing w:before="120" w:after="120" w:line="240" w:lineRule="auto"/>
        <w:jc w:val="both"/>
        <w:rPr>
          <w:rFonts w:ascii="Calibri" w:eastAsia="MS Mincho" w:hAnsi="Calibri" w:cs="Calibri"/>
          <w:kern w:val="0"/>
          <w:lang w:val="es-ES" w:eastAsia="es-CR"/>
          <w14:ligatures w14:val="none"/>
        </w:rPr>
      </w:pPr>
      <w:proofErr w:type="spellStart"/>
      <w:r w:rsidRPr="4C9C2619">
        <w:rPr>
          <w:rFonts w:ascii="Calibri" w:eastAsia="MS Mincho" w:hAnsi="Calibri" w:cs="Calibri"/>
          <w:kern w:val="0"/>
          <w:lang w:val="es-ES" w:eastAsia="es-CR"/>
          <w14:ligatures w14:val="none"/>
        </w:rPr>
        <w:t>Moffatt</w:t>
      </w:r>
      <w:proofErr w:type="spellEnd"/>
      <w:r w:rsidRPr="4C9C2619">
        <w:rPr>
          <w:rFonts w:ascii="Calibri" w:eastAsia="MS Mincho" w:hAnsi="Calibri" w:cs="Calibri"/>
          <w:kern w:val="0"/>
          <w:lang w:val="es-ES" w:eastAsia="es-CR"/>
          <w14:ligatures w14:val="none"/>
        </w:rPr>
        <w:t xml:space="preserve">, Edgardo. “La música es teología”.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83-99. Buenos Aires: </w:t>
      </w:r>
      <w:proofErr w:type="spellStart"/>
      <w:r w:rsidRPr="4C9C2619">
        <w:rPr>
          <w:rFonts w:ascii="Calibri" w:eastAsia="MS Mincho" w:hAnsi="Calibri" w:cs="Calibri"/>
          <w:kern w:val="0"/>
          <w:lang w:val="es-ES" w:eastAsia="es-CR"/>
          <w14:ligatures w14:val="none"/>
        </w:rPr>
        <w:t>Kairos</w:t>
      </w:r>
      <w:proofErr w:type="spellEnd"/>
      <w:r w:rsidRPr="4C9C2619">
        <w:rPr>
          <w:rFonts w:ascii="Calibri" w:eastAsia="MS Mincho" w:hAnsi="Calibri" w:cs="Calibri"/>
          <w:kern w:val="0"/>
          <w:lang w:val="es-ES" w:eastAsia="es-CR"/>
          <w14:ligatures w14:val="none"/>
        </w:rPr>
        <w:t>, 2004.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lastRenderedPageBreak/>
        <w:t>última edición)</w:t>
      </w:r>
    </w:p>
    <w:p w14:paraId="4CA8996A" w14:textId="77777777" w:rsidR="00B3411D" w:rsidRPr="00B3411D" w:rsidRDefault="00B3411D" w:rsidP="00B3411D">
      <w:pPr>
        <w:widowControl w:val="0"/>
        <w:overflowPunct w:val="0"/>
        <w:autoSpaceDE w:val="0"/>
        <w:autoSpaceDN w:val="0"/>
        <w:adjustRightInd w:val="0"/>
        <w:spacing w:before="120" w:after="120" w:line="240" w:lineRule="auto"/>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w:t>
      </w:r>
      <w:r w:rsidRPr="00B3411D">
        <w:rPr>
          <w:rFonts w:ascii="Calibri" w:eastAsia="MS Mincho" w:hAnsi="Calibri" w:cs="Calibri"/>
          <w:i/>
          <w:kern w:val="0"/>
          <w:lang w:val="es-ES_tradnl" w:eastAsia="es-CR"/>
          <w14:ligatures w14:val="none"/>
        </w:rPr>
        <w:t xml:space="preserve">La celebración cristiana: renovación litúrgica contextual. </w:t>
      </w:r>
      <w:r w:rsidRPr="00B3411D">
        <w:rPr>
          <w:rFonts w:ascii="Calibri" w:eastAsia="MS Mincho" w:hAnsi="Calibri" w:cs="Calibri"/>
          <w:kern w:val="0"/>
          <w:lang w:val="es-ES_tradnl" w:eastAsia="es-CR"/>
          <w14:ligatures w14:val="none"/>
        </w:rPr>
        <w:t>San José: SEBILA, 2009.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7B125FE1" w14:textId="77777777" w:rsidR="00B3411D" w:rsidRPr="00B3411D" w:rsidRDefault="00B3411D" w:rsidP="00B3411D">
      <w:pPr>
        <w:widowControl w:val="0"/>
        <w:overflowPunct w:val="0"/>
        <w:autoSpaceDE w:val="0"/>
        <w:autoSpaceDN w:val="0"/>
        <w:adjustRightInd w:val="0"/>
        <w:spacing w:before="120" w:after="120" w:line="240" w:lineRule="auto"/>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Mora, Edwin. “Violencia contra las personas sufrientes. El caso de quienes padecían enfermedad en tiempos de Jesús. Un acercamiento pastoral”. </w:t>
      </w:r>
      <w:r w:rsidRPr="00B3411D">
        <w:rPr>
          <w:rFonts w:ascii="Calibri" w:eastAsia="MS Mincho" w:hAnsi="Calibri" w:cs="Calibri"/>
          <w:i/>
          <w:kern w:val="0"/>
          <w:lang w:val="es-ES_tradnl" w:eastAsia="es-CR"/>
          <w14:ligatures w14:val="none"/>
        </w:rPr>
        <w:t xml:space="preserve">Vida y Pensamiento 22, </w:t>
      </w:r>
      <w:r w:rsidRPr="00B3411D">
        <w:rPr>
          <w:rFonts w:ascii="Calibri" w:eastAsia="MS Mincho" w:hAnsi="Calibri" w:cs="Calibri"/>
          <w:kern w:val="0"/>
          <w:lang w:val="es-ES_tradnl" w:eastAsia="es-CR"/>
          <w14:ligatures w14:val="none"/>
        </w:rPr>
        <w:t>n.1 (2002): pp.103-134.</w:t>
      </w:r>
    </w:p>
    <w:p w14:paraId="0AF53BEB" w14:textId="77777777" w:rsidR="00B3411D" w:rsidRPr="00B3411D" w:rsidRDefault="00B3411D" w:rsidP="00B3411D">
      <w:pPr>
        <w:widowControl w:val="0"/>
        <w:overflowPunct w:val="0"/>
        <w:autoSpaceDE w:val="0"/>
        <w:autoSpaceDN w:val="0"/>
        <w:adjustRightInd w:val="0"/>
        <w:spacing w:before="120" w:after="120" w:line="240" w:lineRule="auto"/>
        <w:jc w:val="both"/>
        <w:rPr>
          <w:rFonts w:ascii="Calibri" w:eastAsia="MS Mincho" w:hAnsi="Calibri" w:cs="Calibri"/>
          <w:kern w:val="0"/>
          <w:lang w:val="es-ES_tradnl" w:eastAsia="es-CR"/>
          <w14:ligatures w14:val="none"/>
        </w:rPr>
      </w:pPr>
      <w:r w:rsidRPr="00B3411D">
        <w:rPr>
          <w:rFonts w:ascii="Calibri" w:eastAsia="MS Mincho" w:hAnsi="Calibri" w:cs="Calibri"/>
          <w:kern w:val="0"/>
          <w:lang w:val="es-ES_tradnl" w:eastAsia="es-CR"/>
          <w14:ligatures w14:val="none"/>
        </w:rPr>
        <w:t xml:space="preserve">Rodríguez, Sebastián. </w:t>
      </w:r>
      <w:r w:rsidRPr="00B3411D">
        <w:rPr>
          <w:rFonts w:ascii="Calibri" w:eastAsia="MS Mincho" w:hAnsi="Calibri" w:cs="Calibri"/>
          <w:i/>
          <w:kern w:val="0"/>
          <w:lang w:val="es-ES_tradnl" w:eastAsia="es-CR"/>
          <w14:ligatures w14:val="none"/>
        </w:rPr>
        <w:t xml:space="preserve">Liturgia para el siglo XXI: Antología de la liturgia cristiana. </w:t>
      </w:r>
      <w:r w:rsidRPr="00B3411D">
        <w:rPr>
          <w:rFonts w:ascii="Calibri" w:eastAsia="MS Mincho" w:hAnsi="Calibri" w:cs="Calibri"/>
          <w:kern w:val="0"/>
          <w:lang w:val="es-ES_tradnl" w:eastAsia="es-CR"/>
          <w14:ligatures w14:val="none"/>
        </w:rPr>
        <w:t>Barcelona: CLIE, 1999.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 xml:space="preserve">última edición) </w:t>
      </w:r>
    </w:p>
    <w:p w14:paraId="7D085F8A" w14:textId="77777777" w:rsidR="00B3411D" w:rsidRPr="00B3411D" w:rsidRDefault="00B3411D" w:rsidP="4C9C2619">
      <w:pPr>
        <w:widowControl w:val="0"/>
        <w:overflowPunct w:val="0"/>
        <w:autoSpaceDE w:val="0"/>
        <w:autoSpaceDN w:val="0"/>
        <w:adjustRightInd w:val="0"/>
        <w:spacing w:before="120" w:after="120" w:line="240" w:lineRule="auto"/>
        <w:jc w:val="both"/>
        <w:rPr>
          <w:rFonts w:ascii="Calibri" w:eastAsia="MS Mincho" w:hAnsi="Calibri" w:cs="Calibri"/>
          <w:kern w:val="0"/>
          <w:lang w:val="es-ES" w:eastAsia="es-CR"/>
          <w14:ligatures w14:val="none"/>
        </w:rPr>
      </w:pPr>
      <w:r w:rsidRPr="4C9C2619">
        <w:rPr>
          <w:rFonts w:ascii="Calibri" w:eastAsia="MS Mincho" w:hAnsi="Calibri" w:cs="Calibri"/>
          <w:kern w:val="0"/>
          <w:lang w:val="es-ES" w:eastAsia="es-CR"/>
          <w14:ligatures w14:val="none"/>
        </w:rPr>
        <w:t xml:space="preserve">Roldán, Alberto. “El cuerpo en el culto: de la negación a la reivindicación”.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55-81. Buenos Aires: </w:t>
      </w:r>
      <w:proofErr w:type="spellStart"/>
      <w:r w:rsidRPr="4C9C2619">
        <w:rPr>
          <w:rFonts w:ascii="Calibri" w:eastAsia="MS Mincho" w:hAnsi="Calibri" w:cs="Calibri"/>
          <w:kern w:val="0"/>
          <w:lang w:val="es-ES" w:eastAsia="es-CR"/>
          <w14:ligatures w14:val="none"/>
        </w:rPr>
        <w:t>Kairos</w:t>
      </w:r>
      <w:proofErr w:type="spellEnd"/>
      <w:r w:rsidRPr="4C9C2619">
        <w:rPr>
          <w:rFonts w:ascii="Calibri" w:eastAsia="MS Mincho" w:hAnsi="Calibri" w:cs="Calibri"/>
          <w:kern w:val="0"/>
          <w:lang w:val="es-ES" w:eastAsia="es-CR"/>
          <w14:ligatures w14:val="none"/>
        </w:rPr>
        <w:t>, 2004.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454621AD" w14:textId="77777777" w:rsidR="00B3411D" w:rsidRPr="00B3411D" w:rsidRDefault="00B3411D" w:rsidP="4C9C2619">
      <w:pPr>
        <w:widowControl w:val="0"/>
        <w:overflowPunct w:val="0"/>
        <w:autoSpaceDE w:val="0"/>
        <w:autoSpaceDN w:val="0"/>
        <w:adjustRightInd w:val="0"/>
        <w:spacing w:before="120" w:after="120" w:line="240" w:lineRule="auto"/>
        <w:jc w:val="both"/>
        <w:rPr>
          <w:rFonts w:ascii="Calibri" w:eastAsia="MS Mincho" w:hAnsi="Calibri" w:cs="Calibri"/>
          <w:kern w:val="0"/>
          <w:lang w:val="es-ES" w:eastAsia="es-CR"/>
          <w14:ligatures w14:val="none"/>
        </w:rPr>
      </w:pPr>
      <w:proofErr w:type="spellStart"/>
      <w:r w:rsidRPr="4C9C2619">
        <w:rPr>
          <w:rFonts w:ascii="Calibri" w:eastAsia="MS Mincho" w:hAnsi="Calibri" w:cs="Calibri"/>
          <w:kern w:val="0"/>
          <w:lang w:val="es-ES" w:eastAsia="es-CR"/>
          <w14:ligatures w14:val="none"/>
        </w:rPr>
        <w:t>Sik</w:t>
      </w:r>
      <w:proofErr w:type="spellEnd"/>
      <w:r w:rsidRPr="4C9C2619">
        <w:rPr>
          <w:rFonts w:ascii="Calibri" w:eastAsia="MS Mincho" w:hAnsi="Calibri" w:cs="Calibri"/>
          <w:kern w:val="0"/>
          <w:lang w:val="es-ES" w:eastAsia="es-CR"/>
          <w14:ligatures w14:val="none"/>
        </w:rPr>
        <w:t xml:space="preserve"> Hong, In. “Redescubrimiento de la liturgia en las iglesias evangélicas”.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11-25. Buenos Aires: </w:t>
      </w:r>
      <w:proofErr w:type="spellStart"/>
      <w:r w:rsidRPr="4C9C2619">
        <w:rPr>
          <w:rFonts w:ascii="Calibri" w:eastAsia="MS Mincho" w:hAnsi="Calibri" w:cs="Calibri"/>
          <w:kern w:val="0"/>
          <w:lang w:val="es-ES" w:eastAsia="es-CR"/>
          <w14:ligatures w14:val="none"/>
        </w:rPr>
        <w:t>Kairos</w:t>
      </w:r>
      <w:proofErr w:type="spellEnd"/>
      <w:r w:rsidRPr="4C9C2619">
        <w:rPr>
          <w:rFonts w:ascii="Calibri" w:eastAsia="MS Mincho" w:hAnsi="Calibri" w:cs="Calibri"/>
          <w:kern w:val="0"/>
          <w:lang w:val="es-ES" w:eastAsia="es-CR"/>
          <w14:ligatures w14:val="none"/>
        </w:rPr>
        <w:t>, 2004.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 xml:space="preserve">última edición)  </w:t>
      </w:r>
    </w:p>
    <w:p w14:paraId="2E86BD18" w14:textId="77777777" w:rsidR="00B3411D" w:rsidRPr="00B3411D" w:rsidRDefault="00B3411D" w:rsidP="4C9C2619">
      <w:pPr>
        <w:widowControl w:val="0"/>
        <w:overflowPunct w:val="0"/>
        <w:autoSpaceDE w:val="0"/>
        <w:autoSpaceDN w:val="0"/>
        <w:adjustRightInd w:val="0"/>
        <w:spacing w:before="120" w:after="120" w:line="276" w:lineRule="auto"/>
        <w:jc w:val="both"/>
        <w:rPr>
          <w:rFonts w:ascii="Calibri" w:eastAsia="MS Mincho" w:hAnsi="Calibri" w:cs="Calibri"/>
          <w:kern w:val="0"/>
          <w:lang w:val="es-ES" w:eastAsia="es-CR"/>
          <w14:ligatures w14:val="none"/>
        </w:rPr>
      </w:pPr>
      <w:proofErr w:type="spellStart"/>
      <w:r w:rsidRPr="4C9C2619">
        <w:rPr>
          <w:rFonts w:ascii="Calibri" w:eastAsia="MS Mincho" w:hAnsi="Calibri" w:cs="Calibri"/>
          <w:kern w:val="0"/>
          <w:lang w:val="es-ES" w:eastAsia="es-CR"/>
          <w14:ligatures w14:val="none"/>
        </w:rPr>
        <w:t>Steinfeld</w:t>
      </w:r>
      <w:proofErr w:type="spellEnd"/>
      <w:r w:rsidRPr="4C9C2619">
        <w:rPr>
          <w:rFonts w:ascii="Calibri" w:eastAsia="MS Mincho" w:hAnsi="Calibri" w:cs="Calibri"/>
          <w:kern w:val="0"/>
          <w:lang w:val="es-ES" w:eastAsia="es-CR"/>
          <w14:ligatures w14:val="none"/>
        </w:rPr>
        <w:t xml:space="preserve">, Guillermo. “El paradigma sistémico en la liturgia trinitaria”. En </w:t>
      </w:r>
      <w:r w:rsidRPr="4C9C2619">
        <w:rPr>
          <w:rFonts w:ascii="Calibri" w:eastAsia="MS Mincho" w:hAnsi="Calibri" w:cs="Calibri"/>
          <w:i/>
          <w:iCs/>
          <w:kern w:val="0"/>
          <w:lang w:val="es-ES" w:eastAsia="es-CR"/>
          <w14:ligatures w14:val="none"/>
        </w:rPr>
        <w:t xml:space="preserve">Unidos en Adoración. La celebración litúrgica como lugar teológico, </w:t>
      </w:r>
      <w:r w:rsidRPr="4C9C2619">
        <w:rPr>
          <w:rFonts w:ascii="Calibri" w:eastAsia="MS Mincho" w:hAnsi="Calibri" w:cs="Calibri"/>
          <w:kern w:val="0"/>
          <w:lang w:val="es-ES" w:eastAsia="es-CR"/>
          <w14:ligatures w14:val="none"/>
        </w:rPr>
        <w:t xml:space="preserve">editado por Juan José Barreda Toscano, 27-53. Buenos Aires: </w:t>
      </w:r>
      <w:proofErr w:type="spellStart"/>
      <w:r w:rsidRPr="4C9C2619">
        <w:rPr>
          <w:rFonts w:ascii="Calibri" w:eastAsia="MS Mincho" w:hAnsi="Calibri" w:cs="Calibri"/>
          <w:kern w:val="0"/>
          <w:lang w:val="es-ES" w:eastAsia="es-CR"/>
          <w14:ligatures w14:val="none"/>
        </w:rPr>
        <w:t>Kairos</w:t>
      </w:r>
      <w:proofErr w:type="spellEnd"/>
      <w:r w:rsidRPr="4C9C2619">
        <w:rPr>
          <w:rFonts w:ascii="Calibri" w:eastAsia="MS Mincho" w:hAnsi="Calibri" w:cs="Calibri"/>
          <w:kern w:val="0"/>
          <w:lang w:val="es-ES" w:eastAsia="es-CR"/>
          <w14:ligatures w14:val="none"/>
        </w:rPr>
        <w:t>, 2004. (</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021113FE" w14:textId="77777777" w:rsidR="00B3411D" w:rsidRPr="00B3411D" w:rsidRDefault="00B3411D" w:rsidP="00B3411D">
      <w:pPr>
        <w:widowControl w:val="0"/>
        <w:overflowPunct w:val="0"/>
        <w:autoSpaceDE w:val="0"/>
        <w:autoSpaceDN w:val="0"/>
        <w:adjustRightInd w:val="0"/>
        <w:spacing w:before="120" w:after="120" w:line="276" w:lineRule="auto"/>
        <w:jc w:val="both"/>
        <w:rPr>
          <w:rFonts w:ascii="Calibri" w:eastAsia="MS Mincho" w:hAnsi="Calibri" w:cs="Calibri"/>
          <w:color w:val="00B050"/>
          <w:kern w:val="0"/>
          <w:lang w:val="es-ES_tradnl" w:eastAsia="es-CR"/>
          <w14:ligatures w14:val="none"/>
        </w:rPr>
      </w:pPr>
      <w:r w:rsidRPr="00B3411D">
        <w:rPr>
          <w:rFonts w:ascii="Calibri" w:eastAsia="MS Mincho" w:hAnsi="Calibri" w:cs="Calibri"/>
          <w:kern w:val="0"/>
          <w:lang w:val="es-ES_tradnl" w:eastAsia="es-CR"/>
          <w14:ligatures w14:val="none"/>
        </w:rPr>
        <w:t xml:space="preserve">Verdecia, Rolando Mauro. "Liturgia y discapacidad: hacia una adoración comunitaria verdaderamente inclusiva". En </w:t>
      </w:r>
      <w:r w:rsidRPr="00B3411D">
        <w:rPr>
          <w:rFonts w:ascii="Calibri" w:eastAsia="MS Mincho" w:hAnsi="Calibri" w:cs="Calibri"/>
          <w:i/>
          <w:kern w:val="0"/>
          <w:lang w:val="es-ES_tradnl" w:eastAsia="es-CR"/>
          <w14:ligatures w14:val="none"/>
        </w:rPr>
        <w:t>Liturgia, fiesta de la esperanza: una introducción al culto cristiano desde una perspectiva ecuménica y latinoamericana</w:t>
      </w:r>
      <w:r w:rsidRPr="00B3411D">
        <w:rPr>
          <w:rFonts w:ascii="Calibri" w:eastAsia="MS Mincho" w:hAnsi="Calibri" w:cs="Calibri"/>
          <w:kern w:val="0"/>
          <w:lang w:val="es-ES_tradnl" w:eastAsia="es-CR"/>
          <w14:ligatures w14:val="none"/>
        </w:rPr>
        <w:t>, compilado por Amós López Rubio, 278-294. La Habana: Editorial Caminos, 2018. (</w:t>
      </w:r>
      <w:r w:rsidRPr="00B3411D">
        <w:rPr>
          <w:rFonts w:ascii="Calibri" w:eastAsia="MS Mincho" w:hAnsi="Calibri" w:cs="Calibri"/>
          <w:color w:val="0070C0"/>
          <w:kern w:val="0"/>
          <w:lang w:val="es-ES_tradnl" w:eastAsia="es-CR"/>
          <w14:ligatures w14:val="none"/>
        </w:rPr>
        <w:t xml:space="preserve">clásico, </w:t>
      </w:r>
      <w:r w:rsidRPr="00B3411D">
        <w:rPr>
          <w:rFonts w:ascii="Calibri" w:eastAsia="MS Mincho" w:hAnsi="Calibri" w:cs="Calibri"/>
          <w:kern w:val="0"/>
          <w:lang w:val="es-ES_tradnl" w:eastAsia="es-CR"/>
          <w14:ligatures w14:val="none"/>
        </w:rPr>
        <w:t>última edición)</w:t>
      </w:r>
    </w:p>
    <w:p w14:paraId="6438BBAE" w14:textId="77777777" w:rsidR="00B3411D" w:rsidRPr="00B3411D" w:rsidRDefault="00B3411D" w:rsidP="4C9C2619">
      <w:pPr>
        <w:widowControl w:val="0"/>
        <w:overflowPunct w:val="0"/>
        <w:autoSpaceDE w:val="0"/>
        <w:autoSpaceDN w:val="0"/>
        <w:adjustRightInd w:val="0"/>
        <w:spacing w:before="120" w:after="120" w:line="276" w:lineRule="auto"/>
        <w:jc w:val="both"/>
        <w:rPr>
          <w:rFonts w:ascii="Calibri" w:eastAsia="MS Mincho" w:hAnsi="Calibri" w:cs="Calibri"/>
          <w:color w:val="00B050"/>
          <w:kern w:val="0"/>
          <w:lang w:val="es-ES" w:eastAsia="es-CR"/>
          <w14:ligatures w14:val="none"/>
        </w:rPr>
      </w:pPr>
      <w:proofErr w:type="spellStart"/>
      <w:r w:rsidRPr="4C9C2619">
        <w:rPr>
          <w:rFonts w:ascii="Calibri" w:eastAsia="Times New Roman" w:hAnsi="Calibri" w:cs="Calibri"/>
          <w:color w:val="222222"/>
          <w:kern w:val="0"/>
          <w:lang w:val="es-ES" w:eastAsia="es-CR"/>
          <w14:ligatures w14:val="none"/>
        </w:rPr>
        <w:t>Wren</w:t>
      </w:r>
      <w:proofErr w:type="spellEnd"/>
      <w:r w:rsidRPr="4C9C2619">
        <w:rPr>
          <w:rFonts w:ascii="Calibri" w:eastAsia="Times New Roman" w:hAnsi="Calibri" w:cs="Calibri"/>
          <w:color w:val="222222"/>
          <w:kern w:val="0"/>
          <w:lang w:val="es-ES" w:eastAsia="es-CR"/>
          <w14:ligatures w14:val="none"/>
        </w:rPr>
        <w:t>, Brian. "Justicia y liberación en la eucaristía". En</w:t>
      </w:r>
      <w:r w:rsidRPr="4C9C2619">
        <w:rPr>
          <w:rFonts w:ascii="Calibri" w:eastAsia="Times New Roman" w:hAnsi="Calibri" w:cs="Calibri"/>
          <w:i/>
          <w:iCs/>
          <w:color w:val="222222"/>
          <w:kern w:val="0"/>
          <w:lang w:val="es-ES" w:eastAsia="es-CR"/>
          <w14:ligatures w14:val="none"/>
        </w:rPr>
        <w:t> La Celebración Cristiana: antología del curso CTX110 Liturgia I</w:t>
      </w:r>
      <w:r w:rsidRPr="4C9C2619">
        <w:rPr>
          <w:rFonts w:ascii="Calibri" w:eastAsia="Times New Roman" w:hAnsi="Calibri" w:cs="Calibri"/>
          <w:color w:val="222222"/>
          <w:kern w:val="0"/>
          <w:lang w:val="es-ES" w:eastAsia="es-CR"/>
          <w14:ligatures w14:val="none"/>
        </w:rPr>
        <w:t>, compilada por Edwin Mora Guevara, 67-72. San José: Universidad Bíblica Latinoamericana, 2009. </w:t>
      </w:r>
      <w:r w:rsidRPr="4C9C2619">
        <w:rPr>
          <w:rFonts w:ascii="Calibri" w:eastAsia="MS Mincho" w:hAnsi="Calibri" w:cs="Calibri"/>
          <w:kern w:val="0"/>
          <w:lang w:val="es-ES" w:eastAsia="es-CR"/>
          <w14:ligatures w14:val="none"/>
        </w:rPr>
        <w:t>(</w:t>
      </w:r>
      <w:proofErr w:type="spellStart"/>
      <w:r w:rsidRPr="4C9C2619">
        <w:rPr>
          <w:rFonts w:ascii="Calibri" w:eastAsia="MS Mincho" w:hAnsi="Calibri" w:cs="Calibri"/>
          <w:color w:val="0070C0"/>
          <w:kern w:val="0"/>
          <w:lang w:val="es-ES" w:eastAsia="es-CR"/>
          <w14:ligatures w14:val="none"/>
        </w:rPr>
        <w:t>clásico,</w:t>
      </w:r>
      <w:r w:rsidRPr="4C9C2619">
        <w:rPr>
          <w:rFonts w:ascii="Calibri" w:eastAsia="MS Mincho" w:hAnsi="Calibri" w:cs="Calibri"/>
          <w:kern w:val="0"/>
          <w:lang w:val="es-ES" w:eastAsia="es-CR"/>
          <w14:ligatures w14:val="none"/>
        </w:rPr>
        <w:t>última</w:t>
      </w:r>
      <w:proofErr w:type="spellEnd"/>
      <w:r w:rsidRPr="4C9C2619">
        <w:rPr>
          <w:rFonts w:ascii="Calibri" w:eastAsia="MS Mincho" w:hAnsi="Calibri" w:cs="Calibri"/>
          <w:kern w:val="0"/>
          <w:lang w:val="es-ES" w:eastAsia="es-CR"/>
          <w14:ligatures w14:val="none"/>
        </w:rPr>
        <w:t xml:space="preserve"> edición)</w:t>
      </w:r>
    </w:p>
    <w:p w14:paraId="6F84FC32" w14:textId="77777777" w:rsidR="00B3411D" w:rsidRPr="00B3411D" w:rsidRDefault="00B3411D" w:rsidP="00B3411D">
      <w:pPr>
        <w:widowControl w:val="0"/>
        <w:overflowPunct w:val="0"/>
        <w:autoSpaceDE w:val="0"/>
        <w:autoSpaceDN w:val="0"/>
        <w:adjustRightInd w:val="0"/>
        <w:spacing w:before="120" w:after="0" w:line="240" w:lineRule="auto"/>
        <w:jc w:val="both"/>
        <w:rPr>
          <w:rFonts w:ascii="Calibri" w:eastAsia="Times New Roman" w:hAnsi="Calibri" w:cs="Arial"/>
          <w:spacing w:val="-2"/>
          <w:kern w:val="28"/>
          <w:lang w:val="es-ES_tradnl" w:eastAsia="es-CR"/>
          <w14:ligatures w14:val="none"/>
        </w:rPr>
      </w:pPr>
    </w:p>
    <w:p w14:paraId="5BCBEFEA" w14:textId="77777777" w:rsidR="00B3411D" w:rsidRPr="00B3411D" w:rsidRDefault="00B3411D" w:rsidP="00B3411D">
      <w:pPr>
        <w:shd w:val="clear" w:color="auto" w:fill="FFFFFF"/>
        <w:spacing w:after="0" w:line="276" w:lineRule="auto"/>
        <w:rPr>
          <w:rFonts w:ascii="Calibri" w:eastAsia="Times New Roman" w:hAnsi="Calibri" w:cs="Calibri"/>
          <w:b/>
          <w:color w:val="222222"/>
          <w:kern w:val="0"/>
          <w:lang w:eastAsia="es-CR"/>
          <w14:ligatures w14:val="none"/>
        </w:rPr>
      </w:pPr>
      <w:r w:rsidRPr="00B3411D">
        <w:rPr>
          <w:rFonts w:ascii="Calibri" w:eastAsia="Times New Roman" w:hAnsi="Calibri" w:cs="Calibri"/>
          <w:b/>
          <w:color w:val="222222"/>
          <w:kern w:val="0"/>
          <w:lang w:eastAsia="es-CR"/>
          <w14:ligatures w14:val="none"/>
        </w:rPr>
        <w:t>XII. Bibliografía complementaria</w:t>
      </w:r>
    </w:p>
    <w:p w14:paraId="39BFD79F" w14:textId="77777777" w:rsidR="00B3411D" w:rsidRPr="00B3411D" w:rsidRDefault="00B3411D" w:rsidP="00B3411D">
      <w:pPr>
        <w:shd w:val="clear" w:color="auto" w:fill="FFFFFF"/>
        <w:spacing w:after="0" w:line="240" w:lineRule="auto"/>
        <w:jc w:val="both"/>
        <w:rPr>
          <w:rFonts w:ascii="Calibri" w:eastAsia="Times New Roman" w:hAnsi="Calibri" w:cs="Arial"/>
          <w:b/>
          <w:color w:val="000000"/>
          <w:kern w:val="0"/>
          <w:sz w:val="10"/>
          <w:szCs w:val="10"/>
          <w:lang w:eastAsia="es-CR"/>
          <w14:ligatures w14:val="none"/>
        </w:rPr>
      </w:pPr>
    </w:p>
    <w:p w14:paraId="0FBFD305" w14:textId="77777777" w:rsidR="00B3411D" w:rsidRPr="00B3411D" w:rsidRDefault="00B3411D" w:rsidP="00B3411D">
      <w:pPr>
        <w:shd w:val="clear" w:color="auto" w:fill="FFFFFF"/>
        <w:spacing w:after="0" w:line="240" w:lineRule="auto"/>
        <w:jc w:val="both"/>
        <w:rPr>
          <w:rFonts w:ascii="Calibri" w:eastAsia="Times New Roman" w:hAnsi="Calibri" w:cs="Arial"/>
          <w:bCs/>
          <w:color w:val="000000"/>
          <w:kern w:val="0"/>
          <w:lang w:eastAsia="es-CR"/>
          <w14:ligatures w14:val="none"/>
        </w:rPr>
      </w:pPr>
      <w:r w:rsidRPr="00B3411D">
        <w:rPr>
          <w:rFonts w:ascii="Calibri" w:eastAsia="Times New Roman" w:hAnsi="Calibri" w:cs="Arial"/>
          <w:b/>
          <w:color w:val="000000"/>
          <w:kern w:val="0"/>
          <w:lang w:eastAsia="es-CR"/>
          <w14:ligatures w14:val="none"/>
        </w:rPr>
        <w:t>Nota:</w:t>
      </w:r>
      <w:r w:rsidRPr="00B3411D">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B3411D">
        <w:rPr>
          <w:rFonts w:ascii="Calibri" w:eastAsia="Times New Roman" w:hAnsi="Calibri" w:cs="Arial"/>
          <w:bCs/>
          <w:color w:val="000000"/>
          <w:kern w:val="0"/>
          <w:lang w:eastAsia="es-CR"/>
          <w14:ligatures w14:val="none"/>
        </w:rPr>
        <w:t>pdf</w:t>
      </w:r>
      <w:proofErr w:type="spellEnd"/>
      <w:r w:rsidRPr="00B3411D">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4D0F1BA4" w14:textId="77777777" w:rsidR="00B3411D" w:rsidRPr="00B3411D" w:rsidRDefault="00B3411D" w:rsidP="00B3411D">
      <w:pPr>
        <w:shd w:val="clear" w:color="auto" w:fill="FFFFFF"/>
        <w:spacing w:after="0" w:line="240" w:lineRule="auto"/>
        <w:jc w:val="both"/>
        <w:rPr>
          <w:rFonts w:ascii="Calibri" w:eastAsia="Times New Roman" w:hAnsi="Calibri" w:cs="Arial"/>
          <w:bCs/>
          <w:color w:val="000000"/>
          <w:kern w:val="0"/>
          <w:lang w:eastAsia="es-CR"/>
          <w14:ligatures w14:val="none"/>
        </w:rPr>
      </w:pPr>
    </w:p>
    <w:p w14:paraId="57A43E97" w14:textId="77777777" w:rsidR="00B3411D" w:rsidRPr="00B3411D" w:rsidRDefault="00B3411D" w:rsidP="4C9C2619">
      <w:pPr>
        <w:widowControl w:val="0"/>
        <w:shd w:val="clear" w:color="auto" w:fill="FFFFFF" w:themeFill="background1"/>
        <w:overflowPunct w:val="0"/>
        <w:autoSpaceDE w:val="0"/>
        <w:autoSpaceDN w:val="0"/>
        <w:adjustRightInd w:val="0"/>
        <w:spacing w:before="120" w:after="0" w:line="276" w:lineRule="auto"/>
        <w:jc w:val="both"/>
        <w:rPr>
          <w:rFonts w:ascii="Calibri" w:eastAsia="Times New Roman" w:hAnsi="Calibri" w:cs="Calibri"/>
          <w:color w:val="00B050"/>
          <w:kern w:val="0"/>
          <w:lang w:val="es-ES" w:eastAsia="es-CR"/>
          <w14:ligatures w14:val="none"/>
        </w:rPr>
      </w:pPr>
      <w:r w:rsidRPr="4C9C2619">
        <w:rPr>
          <w:rFonts w:ascii="Calibri" w:eastAsia="Times New Roman" w:hAnsi="Calibri" w:cs="Calibri"/>
          <w:kern w:val="0"/>
          <w:lang w:val="es-ES" w:eastAsia="es-CR"/>
          <w14:ligatures w14:val="none"/>
        </w:rPr>
        <w:t xml:space="preserve">Comunidad de Educación Teológica Ecuménica Latinoamericana-Caribeña. </w:t>
      </w:r>
      <w:r w:rsidRPr="4C9C2619">
        <w:rPr>
          <w:rFonts w:ascii="Calibri" w:eastAsia="Times New Roman" w:hAnsi="Calibri" w:cs="Calibri"/>
          <w:i/>
          <w:iCs/>
          <w:kern w:val="0"/>
          <w:lang w:val="es-ES" w:eastAsia="es-CR"/>
          <w14:ligatures w14:val="none"/>
        </w:rPr>
        <w:t>Inculturación de la liturgia en contextos latinoamericanos y caribeños: aproximaciones teológicas y pedagógicas.</w:t>
      </w:r>
      <w:r w:rsidRPr="4C9C2619">
        <w:rPr>
          <w:rFonts w:ascii="Calibri" w:eastAsia="Times New Roman" w:hAnsi="Calibri" w:cs="Calibri"/>
          <w:kern w:val="0"/>
          <w:lang w:val="es-ES" w:eastAsia="es-CR"/>
          <w14:ligatures w14:val="none"/>
        </w:rPr>
        <w:t xml:space="preserve"> Bogotá: CETELA, 2003. </w:t>
      </w:r>
      <w:r w:rsidRPr="4C9C2619">
        <w:rPr>
          <w:rFonts w:ascii="Calibri" w:eastAsia="MS Mincho" w:hAnsi="Calibri" w:cs="Calibri"/>
          <w:kern w:val="0"/>
          <w:lang w:val="es-ES" w:eastAsia="es-CR"/>
          <w14:ligatures w14:val="none"/>
        </w:rPr>
        <w:t>(</w:t>
      </w:r>
      <w:r w:rsidRPr="4C9C2619">
        <w:rPr>
          <w:rFonts w:ascii="Calibri" w:eastAsia="MS Mincho" w:hAnsi="Calibri" w:cs="Calibri"/>
          <w:color w:val="0070C0"/>
          <w:kern w:val="0"/>
          <w:lang w:val="es-ES" w:eastAsia="es-CR"/>
          <w14:ligatures w14:val="none"/>
        </w:rPr>
        <w:t xml:space="preserve">clásico, </w:t>
      </w:r>
      <w:r w:rsidRPr="4C9C2619">
        <w:rPr>
          <w:rFonts w:ascii="Calibri" w:eastAsia="MS Mincho" w:hAnsi="Calibri" w:cs="Calibri"/>
          <w:kern w:val="0"/>
          <w:lang w:val="es-ES" w:eastAsia="es-CR"/>
          <w14:ligatures w14:val="none"/>
        </w:rPr>
        <w:t>última edición)</w:t>
      </w:r>
    </w:p>
    <w:p w14:paraId="530202CB" w14:textId="77777777" w:rsidR="00B3411D" w:rsidRPr="00B3411D" w:rsidRDefault="00B3411D" w:rsidP="4C9C2619">
      <w:pPr>
        <w:widowControl w:val="0"/>
        <w:shd w:val="clear" w:color="auto" w:fill="FFFFFF" w:themeFill="background1"/>
        <w:overflowPunct w:val="0"/>
        <w:autoSpaceDE w:val="0"/>
        <w:autoSpaceDN w:val="0"/>
        <w:adjustRightInd w:val="0"/>
        <w:spacing w:before="120" w:after="0" w:line="276" w:lineRule="auto"/>
        <w:jc w:val="both"/>
        <w:rPr>
          <w:rFonts w:ascii="Calibri" w:eastAsia="Times New Roman" w:hAnsi="Calibri" w:cs="Calibri"/>
          <w:color w:val="222222"/>
          <w:kern w:val="0"/>
          <w:lang w:val="es-ES" w:eastAsia="es-CR"/>
          <w14:ligatures w14:val="none"/>
        </w:rPr>
      </w:pPr>
      <w:proofErr w:type="spellStart"/>
      <w:r w:rsidRPr="4C9C2619">
        <w:rPr>
          <w:rFonts w:ascii="Calibri" w:eastAsia="Times New Roman" w:hAnsi="Calibri" w:cs="Calibri"/>
          <w:kern w:val="0"/>
          <w:lang w:val="es-ES" w:eastAsia="es-CR"/>
          <w14:ligatures w14:val="none"/>
        </w:rPr>
        <w:t>Eichin</w:t>
      </w:r>
      <w:proofErr w:type="spellEnd"/>
      <w:r w:rsidRPr="4C9C2619">
        <w:rPr>
          <w:rFonts w:ascii="Calibri" w:eastAsia="Times New Roman" w:hAnsi="Calibri" w:cs="Calibri"/>
          <w:kern w:val="0"/>
          <w:lang w:val="es-ES" w:eastAsia="es-CR"/>
          <w14:ligatures w14:val="none"/>
        </w:rPr>
        <w:t xml:space="preserve"> Molina, Cristian y Pedro Pablo Achondo Moya. “La liturgia ante el riesgo de la virtualidad: efectos y cuestionamientos eclesiológicos en tiempo de pandemia”. </w:t>
      </w:r>
      <w:r w:rsidRPr="4C9C2619">
        <w:rPr>
          <w:rFonts w:ascii="Calibri" w:eastAsia="Times New Roman" w:hAnsi="Calibri" w:cs="Calibri"/>
          <w:i/>
          <w:iCs/>
          <w:kern w:val="0"/>
          <w:lang w:val="es-ES" w:eastAsia="es-CR"/>
          <w14:ligatures w14:val="none"/>
        </w:rPr>
        <w:t>Teología y Vida</w:t>
      </w:r>
      <w:r w:rsidRPr="4C9C2619">
        <w:rPr>
          <w:rFonts w:ascii="Calibri" w:eastAsia="Times New Roman" w:hAnsi="Calibri" w:cs="Calibri"/>
          <w:kern w:val="0"/>
          <w:lang w:val="es-ES" w:eastAsia="es-CR"/>
          <w14:ligatures w14:val="none"/>
        </w:rPr>
        <w:t xml:space="preserve"> 61, n. 3 (2020): 373-396. Acceso el 18 de diciembre de 2020. </w:t>
      </w:r>
      <w:hyperlink r:id="rId424" w:history="1">
        <w:r w:rsidRPr="4C9C2619">
          <w:rPr>
            <w:rFonts w:ascii="Calibri" w:eastAsia="Times New Roman" w:hAnsi="Calibri" w:cs="Calibri"/>
            <w:color w:val="0563C1"/>
            <w:kern w:val="0"/>
            <w:u w:val="single"/>
            <w:lang w:val="es-ES" w:eastAsia="es-CR"/>
            <w14:ligatures w14:val="none"/>
          </w:rPr>
          <w:t>http://ojs.uc.cl/index.php/tyv/article/view/14446</w:t>
        </w:r>
      </w:hyperlink>
      <w:r w:rsidRPr="4C9C2619">
        <w:rPr>
          <w:rFonts w:ascii="Calibri" w:eastAsia="Times New Roman" w:hAnsi="Calibri" w:cs="Calibri"/>
          <w:color w:val="222222"/>
          <w:kern w:val="0"/>
          <w:lang w:val="es-ES" w:eastAsia="es-CR"/>
          <w14:ligatures w14:val="none"/>
        </w:rPr>
        <w:t xml:space="preserve"> </w:t>
      </w:r>
    </w:p>
    <w:p w14:paraId="0F31FAB8" w14:textId="77777777" w:rsidR="00B3411D" w:rsidRPr="00B3411D" w:rsidRDefault="00B3411D" w:rsidP="4C9C2619">
      <w:pPr>
        <w:widowControl w:val="0"/>
        <w:shd w:val="clear" w:color="auto" w:fill="FFFFFF" w:themeFill="background1"/>
        <w:overflowPunct w:val="0"/>
        <w:autoSpaceDE w:val="0"/>
        <w:autoSpaceDN w:val="0"/>
        <w:adjustRightInd w:val="0"/>
        <w:spacing w:before="120" w:after="0" w:line="276" w:lineRule="auto"/>
        <w:jc w:val="both"/>
        <w:rPr>
          <w:rFonts w:ascii="Calibri" w:eastAsia="Times New Roman" w:hAnsi="Calibri" w:cs="Calibri"/>
          <w:color w:val="222222"/>
          <w:kern w:val="0"/>
          <w:lang w:val="es-ES" w:eastAsia="es-CR"/>
          <w14:ligatures w14:val="none"/>
        </w:rPr>
      </w:pPr>
      <w:r w:rsidRPr="4C9C2619">
        <w:rPr>
          <w:rFonts w:ascii="Calibri" w:eastAsia="Times New Roman" w:hAnsi="Calibri" w:cs="Calibri"/>
          <w:kern w:val="0"/>
          <w:lang w:val="es-ES" w:eastAsia="es-CR"/>
          <w14:ligatures w14:val="none"/>
        </w:rPr>
        <w:t xml:space="preserve">Pérez Díaz, Moisés Daniel. “Vida cristiana y celebración litúrgica: La relación entre liturgia y espiritualidad”. </w:t>
      </w:r>
      <w:r w:rsidRPr="4C9C2619">
        <w:rPr>
          <w:rFonts w:ascii="Calibri" w:eastAsia="Times New Roman" w:hAnsi="Calibri" w:cs="Calibri"/>
          <w:i/>
          <w:iCs/>
          <w:kern w:val="0"/>
          <w:lang w:val="es-ES" w:eastAsia="es-CR"/>
          <w14:ligatures w14:val="none"/>
        </w:rPr>
        <w:t xml:space="preserve">Revista </w:t>
      </w:r>
      <w:proofErr w:type="spellStart"/>
      <w:r w:rsidRPr="4C9C2619">
        <w:rPr>
          <w:rFonts w:ascii="Calibri" w:eastAsia="Times New Roman" w:hAnsi="Calibri" w:cs="Calibri"/>
          <w:i/>
          <w:iCs/>
          <w:kern w:val="0"/>
          <w:lang w:val="es-ES" w:eastAsia="es-CR"/>
          <w14:ligatures w14:val="none"/>
        </w:rPr>
        <w:t>Albertus</w:t>
      </w:r>
      <w:proofErr w:type="spellEnd"/>
      <w:r w:rsidRPr="4C9C2619">
        <w:rPr>
          <w:rFonts w:ascii="Calibri" w:eastAsia="Times New Roman" w:hAnsi="Calibri" w:cs="Calibri"/>
          <w:i/>
          <w:iCs/>
          <w:kern w:val="0"/>
          <w:lang w:val="es-ES" w:eastAsia="es-CR"/>
          <w14:ligatures w14:val="none"/>
        </w:rPr>
        <w:t xml:space="preserve"> Magnus</w:t>
      </w:r>
      <w:r w:rsidRPr="4C9C2619">
        <w:rPr>
          <w:rFonts w:ascii="Calibri" w:eastAsia="Times New Roman" w:hAnsi="Calibri" w:cs="Calibri"/>
          <w:kern w:val="0"/>
          <w:lang w:val="es-ES" w:eastAsia="es-CR"/>
          <w14:ligatures w14:val="none"/>
        </w:rPr>
        <w:t xml:space="preserve"> 5, n. 2 (2014): 243-266. Acceso el 18 de diciembre de 2020.</w:t>
      </w:r>
      <w:r w:rsidRPr="4C9C2619">
        <w:rPr>
          <w:rFonts w:ascii="Calibri" w:eastAsia="Times New Roman" w:hAnsi="Calibri" w:cs="Calibri"/>
          <w:color w:val="222222"/>
          <w:kern w:val="0"/>
          <w:lang w:val="es-ES" w:eastAsia="es-CR"/>
          <w14:ligatures w14:val="none"/>
        </w:rPr>
        <w:t xml:space="preserve"> </w:t>
      </w:r>
      <w:hyperlink r:id="rId425" w:history="1">
        <w:r w:rsidRPr="4C9C2619">
          <w:rPr>
            <w:rFonts w:ascii="Calibri" w:eastAsia="Times New Roman" w:hAnsi="Calibri" w:cs="Calibri"/>
            <w:color w:val="0563C1"/>
            <w:kern w:val="0"/>
            <w:u w:val="single"/>
            <w:lang w:val="es-ES" w:eastAsia="es-CR"/>
            <w14:ligatures w14:val="none"/>
          </w:rPr>
          <w:t>https://doi.org/10.15332/s2011-9771.2014.0002.04</w:t>
        </w:r>
      </w:hyperlink>
      <w:r w:rsidRPr="4C9C2619">
        <w:rPr>
          <w:rFonts w:ascii="Calibri" w:eastAsia="Times New Roman" w:hAnsi="Calibri" w:cs="Calibri"/>
          <w:color w:val="222222"/>
          <w:kern w:val="0"/>
          <w:lang w:val="es-ES" w:eastAsia="es-CR"/>
          <w14:ligatures w14:val="none"/>
        </w:rPr>
        <w:t xml:space="preserve"> </w:t>
      </w:r>
    </w:p>
    <w:p w14:paraId="73CAB28D" w14:textId="0B6C1793" w:rsidR="0081395D" w:rsidRPr="00687AE9" w:rsidRDefault="00B3411D" w:rsidP="00B3411D">
      <w:pPr>
        <w:rPr>
          <w:sz w:val="24"/>
          <w:szCs w:val="24"/>
        </w:rPr>
      </w:pPr>
      <w:r w:rsidRPr="00B3411D">
        <w:rPr>
          <w:rFonts w:ascii="Calibri" w:eastAsia="Times New Roman" w:hAnsi="Calibri" w:cs="Calibri"/>
          <w:kern w:val="0"/>
          <w:lang w:val="es-ES_tradnl" w:eastAsia="es-CR"/>
          <w14:ligatures w14:val="none"/>
        </w:rPr>
        <w:lastRenderedPageBreak/>
        <w:t xml:space="preserve">Rosas, Guillermo. “Celebración de la vida en las comunidades de América Latina”. </w:t>
      </w:r>
      <w:r w:rsidRPr="00B3411D">
        <w:rPr>
          <w:rFonts w:ascii="Calibri" w:eastAsia="Times New Roman" w:hAnsi="Calibri" w:cs="Calibri"/>
          <w:i/>
          <w:kern w:val="0"/>
          <w:lang w:val="es-ES_tradnl" w:eastAsia="es-CR"/>
          <w14:ligatures w14:val="none"/>
        </w:rPr>
        <w:t>Teología y Vida</w:t>
      </w:r>
      <w:r w:rsidRPr="00B3411D">
        <w:rPr>
          <w:rFonts w:ascii="Calibri" w:eastAsia="Times New Roman" w:hAnsi="Calibri" w:cs="Calibri"/>
          <w:kern w:val="0"/>
          <w:lang w:val="es-ES_tradnl" w:eastAsia="es-CR"/>
          <w14:ligatures w14:val="none"/>
        </w:rPr>
        <w:t xml:space="preserve"> 48, n.1 (2007): 57-71. Acceso el 18 de diciembre de 2020. </w:t>
      </w:r>
      <w:hyperlink r:id="rId426" w:history="1">
        <w:r w:rsidRPr="00B3411D">
          <w:rPr>
            <w:rFonts w:ascii="Calibri" w:eastAsia="Times New Roman" w:hAnsi="Calibri" w:cs="Calibri"/>
            <w:color w:val="0563C1"/>
            <w:kern w:val="0"/>
            <w:u w:val="single"/>
            <w:lang w:val="es-ES_tradnl" w:eastAsia="es-CR"/>
            <w14:ligatures w14:val="none"/>
          </w:rPr>
          <w:t>https://scielo.conicyt.cl/scielo.php?script=sci_arttext&amp;pid=S0049-34492007000100005</w:t>
        </w:r>
      </w:hyperlink>
    </w:p>
    <w:p w14:paraId="1A21A49B" w14:textId="77777777" w:rsidR="0081395D" w:rsidRPr="00687AE9" w:rsidRDefault="0081395D" w:rsidP="00733225">
      <w:pPr>
        <w:rPr>
          <w:sz w:val="24"/>
          <w:szCs w:val="24"/>
        </w:rPr>
      </w:pPr>
    </w:p>
    <w:p w14:paraId="03FAA127" w14:textId="77777777" w:rsidR="0081395D" w:rsidRPr="00687AE9" w:rsidRDefault="0081395D" w:rsidP="00733225">
      <w:pPr>
        <w:rPr>
          <w:sz w:val="24"/>
          <w:szCs w:val="24"/>
        </w:rPr>
      </w:pPr>
    </w:p>
    <w:p w14:paraId="76AE3031" w14:textId="77777777" w:rsidR="0081395D" w:rsidRPr="00687AE9" w:rsidRDefault="0081395D" w:rsidP="00733225">
      <w:pPr>
        <w:rPr>
          <w:sz w:val="24"/>
          <w:szCs w:val="24"/>
        </w:rPr>
      </w:pPr>
    </w:p>
    <w:p w14:paraId="0D251204" w14:textId="77777777" w:rsidR="0081395D" w:rsidRPr="00687AE9" w:rsidRDefault="0081395D" w:rsidP="00733225">
      <w:pPr>
        <w:rPr>
          <w:sz w:val="24"/>
          <w:szCs w:val="24"/>
        </w:rPr>
      </w:pPr>
    </w:p>
    <w:p w14:paraId="063C5F70" w14:textId="77777777" w:rsidR="0081395D" w:rsidRPr="00687AE9" w:rsidRDefault="0081395D" w:rsidP="00733225">
      <w:pPr>
        <w:rPr>
          <w:sz w:val="24"/>
          <w:szCs w:val="24"/>
        </w:rPr>
      </w:pPr>
    </w:p>
    <w:p w14:paraId="2FFC85F0" w14:textId="77777777" w:rsidR="0081395D" w:rsidRPr="00687AE9" w:rsidRDefault="0081395D" w:rsidP="00733225">
      <w:pPr>
        <w:rPr>
          <w:sz w:val="24"/>
          <w:szCs w:val="24"/>
        </w:rPr>
      </w:pPr>
    </w:p>
    <w:p w14:paraId="0DCD002E" w14:textId="24A5C638" w:rsidR="00A966FC" w:rsidRDefault="00A966FC">
      <w:pPr>
        <w:rPr>
          <w:sz w:val="24"/>
          <w:szCs w:val="24"/>
        </w:rPr>
      </w:pPr>
      <w:r>
        <w:rPr>
          <w:sz w:val="24"/>
          <w:szCs w:val="24"/>
        </w:rPr>
        <w:br w:type="page"/>
      </w:r>
    </w:p>
    <w:p w14:paraId="70C99FF2" w14:textId="60D09861" w:rsidR="00DC6C24" w:rsidRPr="006B5A49" w:rsidRDefault="008034EA" w:rsidP="00CD4110">
      <w:pPr>
        <w:pStyle w:val="SPECIAL2"/>
      </w:pPr>
      <w:bookmarkStart w:id="55" w:name="_Toc166526884"/>
      <w:r w:rsidRPr="00CD4110">
        <w:lastRenderedPageBreak/>
        <w:t>V</w:t>
      </w:r>
      <w:r w:rsidR="00DC6C24" w:rsidRPr="00CD4110">
        <w:t>I</w:t>
      </w:r>
      <w:r w:rsidRPr="00CD4110">
        <w:t>I</w:t>
      </w:r>
      <w:r w:rsidR="00DC6C24" w:rsidRPr="00CD4110">
        <w:t xml:space="preserve"> CUATRIMESTRE</w:t>
      </w:r>
      <w:bookmarkEnd w:id="55"/>
    </w:p>
    <w:p w14:paraId="0209FD15" w14:textId="77777777" w:rsidR="00DC6C24" w:rsidRDefault="00DC6C24" w:rsidP="00DC6C24">
      <w:pPr>
        <w:jc w:val="center"/>
        <w:rPr>
          <w:b/>
          <w:bCs/>
          <w:sz w:val="32"/>
          <w:szCs w:val="32"/>
          <w:lang w:val="es-ES"/>
        </w:rPr>
      </w:pPr>
    </w:p>
    <w:p w14:paraId="543EACF9" w14:textId="1B1321C4" w:rsidR="00DC6C24" w:rsidRPr="006B5A49" w:rsidRDefault="00DD16F2" w:rsidP="00DC6C24">
      <w:pPr>
        <w:rPr>
          <w:sz w:val="24"/>
          <w:szCs w:val="24"/>
        </w:rPr>
      </w:pPr>
      <w:hyperlink w:anchor="CTX121" w:history="1">
        <w:r w:rsidR="00DC6C24" w:rsidRPr="000611BD">
          <w:rPr>
            <w:rStyle w:val="Hipervnculo"/>
            <w:sz w:val="24"/>
            <w:szCs w:val="24"/>
            <w:lang w:val="es-ES"/>
          </w:rPr>
          <w:t>CTX1</w:t>
        </w:r>
        <w:r w:rsidR="008034EA" w:rsidRPr="000611BD">
          <w:rPr>
            <w:rStyle w:val="Hipervnculo"/>
            <w:sz w:val="24"/>
            <w:szCs w:val="24"/>
            <w:lang w:val="es-ES"/>
          </w:rPr>
          <w:t>21 Educación Cristiana</w:t>
        </w:r>
      </w:hyperlink>
    </w:p>
    <w:p w14:paraId="037EBBF5" w14:textId="54B34F2A" w:rsidR="00DC6C24" w:rsidRPr="006B5A49" w:rsidRDefault="00DD16F2" w:rsidP="00DC6C24">
      <w:pPr>
        <w:rPr>
          <w:sz w:val="24"/>
          <w:szCs w:val="24"/>
        </w:rPr>
      </w:pPr>
      <w:hyperlink w:anchor="CB111" w:history="1">
        <w:r w:rsidR="00DC6C24" w:rsidRPr="000611BD">
          <w:rPr>
            <w:rStyle w:val="Hipervnculo"/>
            <w:sz w:val="24"/>
            <w:szCs w:val="24"/>
          </w:rPr>
          <w:t>C</w:t>
        </w:r>
        <w:r w:rsidR="00744DAE" w:rsidRPr="000611BD">
          <w:rPr>
            <w:rStyle w:val="Hipervnculo"/>
            <w:sz w:val="24"/>
            <w:szCs w:val="24"/>
          </w:rPr>
          <w:t>B111 Análisis de Textos Bíblicos</w:t>
        </w:r>
      </w:hyperlink>
    </w:p>
    <w:p w14:paraId="2FFD54E9" w14:textId="4CC97815" w:rsidR="00DC6C24" w:rsidRPr="006B5A49" w:rsidRDefault="00DD16F2" w:rsidP="00DC6C24">
      <w:pPr>
        <w:rPr>
          <w:sz w:val="24"/>
          <w:szCs w:val="24"/>
        </w:rPr>
      </w:pPr>
      <w:hyperlink w:anchor="CB114" w:history="1">
        <w:r w:rsidR="00DC6C24" w:rsidRPr="000611BD">
          <w:rPr>
            <w:rStyle w:val="Hipervnculo"/>
            <w:sz w:val="24"/>
            <w:szCs w:val="24"/>
          </w:rPr>
          <w:t>C</w:t>
        </w:r>
        <w:r w:rsidR="00744DAE" w:rsidRPr="000611BD">
          <w:rPr>
            <w:rStyle w:val="Hipervnculo"/>
            <w:sz w:val="24"/>
            <w:szCs w:val="24"/>
          </w:rPr>
          <w:t>B114 Sociología del Período Bíblico II</w:t>
        </w:r>
      </w:hyperlink>
    </w:p>
    <w:p w14:paraId="24AF3D3F" w14:textId="6C992B35" w:rsidR="00DC6C24" w:rsidRDefault="00DD16F2" w:rsidP="00DC6C24">
      <w:pPr>
        <w:rPr>
          <w:sz w:val="24"/>
          <w:szCs w:val="24"/>
        </w:rPr>
      </w:pPr>
      <w:hyperlink w:anchor="CB112" w:history="1">
        <w:r w:rsidR="00DC6C24" w:rsidRPr="000611BD">
          <w:rPr>
            <w:rStyle w:val="Hipervnculo"/>
            <w:sz w:val="24"/>
            <w:szCs w:val="24"/>
          </w:rPr>
          <w:t>C</w:t>
        </w:r>
        <w:r w:rsidR="00744DAE" w:rsidRPr="000611BD">
          <w:rPr>
            <w:rStyle w:val="Hipervnculo"/>
            <w:sz w:val="24"/>
            <w:szCs w:val="24"/>
          </w:rPr>
          <w:t>B112 Teología Bíblica</w:t>
        </w:r>
      </w:hyperlink>
    </w:p>
    <w:p w14:paraId="77E23B55" w14:textId="77777777" w:rsidR="00767E65" w:rsidRDefault="00767E65" w:rsidP="00DC6C24">
      <w:pPr>
        <w:rPr>
          <w:sz w:val="24"/>
          <w:szCs w:val="24"/>
        </w:rPr>
      </w:pPr>
    </w:p>
    <w:p w14:paraId="6D73B84E" w14:textId="77777777" w:rsidR="00767E65" w:rsidRDefault="00767E65" w:rsidP="00DC6C24">
      <w:pPr>
        <w:rPr>
          <w:sz w:val="24"/>
          <w:szCs w:val="24"/>
        </w:rPr>
      </w:pPr>
    </w:p>
    <w:p w14:paraId="43BC0A27" w14:textId="77777777" w:rsidR="00767E65" w:rsidRDefault="00767E65" w:rsidP="00DC6C24">
      <w:pPr>
        <w:rPr>
          <w:sz w:val="24"/>
          <w:szCs w:val="24"/>
        </w:rPr>
      </w:pPr>
    </w:p>
    <w:p w14:paraId="304F36A2" w14:textId="77777777" w:rsidR="00767E65" w:rsidRDefault="00767E65" w:rsidP="00DC6C24">
      <w:pPr>
        <w:rPr>
          <w:sz w:val="24"/>
          <w:szCs w:val="24"/>
        </w:rPr>
      </w:pPr>
    </w:p>
    <w:p w14:paraId="28ECF218" w14:textId="77777777" w:rsidR="00767E65" w:rsidRDefault="00767E65" w:rsidP="00DC6C24">
      <w:pPr>
        <w:rPr>
          <w:sz w:val="24"/>
          <w:szCs w:val="24"/>
        </w:rPr>
      </w:pPr>
    </w:p>
    <w:p w14:paraId="7B96FB57" w14:textId="77777777" w:rsidR="00767E65" w:rsidRDefault="00767E65" w:rsidP="00DC6C24">
      <w:pPr>
        <w:rPr>
          <w:sz w:val="24"/>
          <w:szCs w:val="24"/>
        </w:rPr>
      </w:pPr>
    </w:p>
    <w:p w14:paraId="14AC2793" w14:textId="77777777" w:rsidR="00767E65" w:rsidRDefault="00767E65" w:rsidP="00DC6C24">
      <w:pPr>
        <w:rPr>
          <w:sz w:val="24"/>
          <w:szCs w:val="24"/>
        </w:rPr>
      </w:pPr>
    </w:p>
    <w:p w14:paraId="0E4638EB" w14:textId="77777777" w:rsidR="00767E65" w:rsidRDefault="00767E65" w:rsidP="00DC6C24">
      <w:pPr>
        <w:rPr>
          <w:sz w:val="24"/>
          <w:szCs w:val="24"/>
        </w:rPr>
      </w:pPr>
    </w:p>
    <w:p w14:paraId="6DBFA582" w14:textId="77777777" w:rsidR="00767E65" w:rsidRDefault="00767E65" w:rsidP="00DC6C24">
      <w:pPr>
        <w:rPr>
          <w:sz w:val="24"/>
          <w:szCs w:val="24"/>
        </w:rPr>
      </w:pPr>
    </w:p>
    <w:p w14:paraId="0AA3B33A" w14:textId="77777777" w:rsidR="00767E65" w:rsidRDefault="00767E65" w:rsidP="00DC6C24">
      <w:pPr>
        <w:rPr>
          <w:sz w:val="24"/>
          <w:szCs w:val="24"/>
        </w:rPr>
      </w:pPr>
    </w:p>
    <w:p w14:paraId="628D1E99" w14:textId="77777777" w:rsidR="00767E65" w:rsidRDefault="00767E65" w:rsidP="00DC6C24">
      <w:pPr>
        <w:rPr>
          <w:sz w:val="24"/>
          <w:szCs w:val="24"/>
        </w:rPr>
      </w:pPr>
    </w:p>
    <w:p w14:paraId="3A03099D" w14:textId="77777777" w:rsidR="00767E65" w:rsidRDefault="00767E65" w:rsidP="00DC6C24">
      <w:pPr>
        <w:rPr>
          <w:sz w:val="24"/>
          <w:szCs w:val="24"/>
        </w:rPr>
      </w:pPr>
    </w:p>
    <w:p w14:paraId="5B877842" w14:textId="77777777" w:rsidR="00767E65" w:rsidRDefault="00767E65" w:rsidP="00DC6C24">
      <w:pPr>
        <w:rPr>
          <w:sz w:val="24"/>
          <w:szCs w:val="24"/>
        </w:rPr>
      </w:pPr>
    </w:p>
    <w:p w14:paraId="3BD3C033" w14:textId="77777777" w:rsidR="00767E65" w:rsidRDefault="00767E65" w:rsidP="00DC6C24">
      <w:pPr>
        <w:rPr>
          <w:sz w:val="24"/>
          <w:szCs w:val="24"/>
        </w:rPr>
      </w:pPr>
    </w:p>
    <w:p w14:paraId="0C30D794" w14:textId="77777777" w:rsidR="00767E65" w:rsidRDefault="00767E65" w:rsidP="00DC6C24">
      <w:pPr>
        <w:rPr>
          <w:sz w:val="24"/>
          <w:szCs w:val="24"/>
        </w:rPr>
      </w:pPr>
    </w:p>
    <w:p w14:paraId="312CC650" w14:textId="77777777" w:rsidR="00767E65" w:rsidRDefault="00767E65" w:rsidP="00DC6C24">
      <w:pPr>
        <w:rPr>
          <w:sz w:val="24"/>
          <w:szCs w:val="24"/>
        </w:rPr>
      </w:pPr>
    </w:p>
    <w:p w14:paraId="0668ADF1" w14:textId="77777777" w:rsidR="00767E65" w:rsidRDefault="00767E65" w:rsidP="00DC6C24">
      <w:pPr>
        <w:rPr>
          <w:sz w:val="24"/>
          <w:szCs w:val="24"/>
        </w:rPr>
      </w:pPr>
    </w:p>
    <w:p w14:paraId="1B517BE5" w14:textId="1E31D464" w:rsidR="00A966FC" w:rsidRDefault="00A966FC">
      <w:pPr>
        <w:rPr>
          <w:sz w:val="24"/>
          <w:szCs w:val="24"/>
        </w:rPr>
      </w:pPr>
      <w:r>
        <w:rPr>
          <w:sz w:val="24"/>
          <w:szCs w:val="24"/>
        </w:rPr>
        <w:br w:type="page"/>
      </w:r>
    </w:p>
    <w:p w14:paraId="22C38CB9" w14:textId="77777777" w:rsidR="00F977F7" w:rsidRPr="00F977F7" w:rsidRDefault="00F977F7" w:rsidP="00F977F7">
      <w:pPr>
        <w:widowControl w:val="0"/>
        <w:overflowPunct w:val="0"/>
        <w:autoSpaceDE w:val="0"/>
        <w:autoSpaceDN w:val="0"/>
        <w:adjustRightInd w:val="0"/>
        <w:spacing w:before="120" w:after="0" w:line="240" w:lineRule="auto"/>
        <w:jc w:val="center"/>
        <w:rPr>
          <w:rFonts w:ascii="Times New Roman" w:eastAsia="Times New Roman" w:hAnsi="Times New Roman" w:cs="Times New Roman"/>
          <w:kern w:val="0"/>
          <w:sz w:val="24"/>
          <w:szCs w:val="20"/>
          <w:lang w:val="es-ES_tradnl" w:eastAsia="es-CR"/>
          <w14:ligatures w14:val="none"/>
        </w:rPr>
      </w:pPr>
      <w:r w:rsidRPr="00F977F7">
        <w:rPr>
          <w:rFonts w:ascii="Arial" w:eastAsia="Times New Roman" w:hAnsi="Arial" w:cs="Arial"/>
          <w:noProof/>
          <w:kern w:val="0"/>
          <w:sz w:val="24"/>
          <w:szCs w:val="24"/>
          <w:lang w:eastAsia="es-CR"/>
          <w14:ligatures w14:val="none"/>
        </w:rPr>
        <w:lastRenderedPageBreak/>
        <w:drawing>
          <wp:inline distT="0" distB="0" distL="0" distR="0" wp14:anchorId="3C2CDCB4" wp14:editId="201BAED3">
            <wp:extent cx="2009775" cy="1548377"/>
            <wp:effectExtent l="0" t="0" r="0" b="0"/>
            <wp:docPr id="76613361"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3361"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42FA69A7" w14:textId="77777777" w:rsidR="00F977F7" w:rsidRPr="00F977F7" w:rsidRDefault="00F977F7" w:rsidP="00F977F7">
      <w:pPr>
        <w:keepNext/>
        <w:widowControl w:val="0"/>
        <w:overflowPunct w:val="0"/>
        <w:autoSpaceDE w:val="0"/>
        <w:autoSpaceDN w:val="0"/>
        <w:adjustRightInd w:val="0"/>
        <w:spacing w:after="0" w:line="240" w:lineRule="auto"/>
        <w:jc w:val="center"/>
        <w:outlineLvl w:val="0"/>
        <w:rPr>
          <w:rFonts w:ascii="Arial" w:eastAsia="Times New Roman" w:hAnsi="Arial" w:cs="Arial"/>
          <w:b/>
          <w:spacing w:val="-2"/>
          <w:kern w:val="0"/>
          <w:sz w:val="24"/>
          <w:szCs w:val="24"/>
          <w:lang w:eastAsia="es-CR"/>
          <w14:ligatures w14:val="none"/>
        </w:rPr>
      </w:pPr>
    </w:p>
    <w:p w14:paraId="1BB3FA58" w14:textId="77777777" w:rsidR="00F977F7" w:rsidRPr="00F977F7" w:rsidRDefault="00F977F7" w:rsidP="00F977F7">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r w:rsidRPr="00F977F7">
        <w:rPr>
          <w:rFonts w:ascii="Calibri" w:eastAsia="Times New Roman" w:hAnsi="Calibri" w:cs="Arial"/>
          <w:b/>
          <w:spacing w:val="-2"/>
          <w:kern w:val="0"/>
          <w:sz w:val="24"/>
          <w:szCs w:val="24"/>
          <w:lang w:eastAsia="es-CR"/>
          <w14:ligatures w14:val="none"/>
        </w:rPr>
        <w:t>Universidad Bíblica Latinoamericana</w:t>
      </w:r>
    </w:p>
    <w:p w14:paraId="6297D12B" w14:textId="77777777" w:rsidR="00F977F7" w:rsidRPr="00F977F7" w:rsidRDefault="00F977F7" w:rsidP="00F977F7">
      <w:pPr>
        <w:keepNext/>
        <w:widowControl w:val="0"/>
        <w:overflowPunct w:val="0"/>
        <w:autoSpaceDE w:val="0"/>
        <w:autoSpaceDN w:val="0"/>
        <w:adjustRightInd w:val="0"/>
        <w:spacing w:after="0" w:line="240" w:lineRule="auto"/>
        <w:jc w:val="center"/>
        <w:outlineLvl w:val="1"/>
        <w:rPr>
          <w:rFonts w:ascii="Calibri" w:eastAsia="Times New Roman" w:hAnsi="Calibri" w:cs="Arial"/>
          <w:b/>
          <w:i/>
          <w:spacing w:val="-2"/>
          <w:kern w:val="28"/>
          <w:sz w:val="24"/>
          <w:szCs w:val="24"/>
          <w:lang w:eastAsia="es-CR"/>
          <w14:ligatures w14:val="none"/>
        </w:rPr>
      </w:pPr>
      <w:r w:rsidRPr="00F977F7">
        <w:rPr>
          <w:rFonts w:ascii="Calibri" w:eastAsia="Times New Roman" w:hAnsi="Calibri" w:cs="Arial"/>
          <w:b/>
          <w:i/>
          <w:spacing w:val="-2"/>
          <w:kern w:val="28"/>
          <w:sz w:val="24"/>
          <w:szCs w:val="24"/>
          <w:lang w:eastAsia="es-CR"/>
          <w14:ligatures w14:val="none"/>
        </w:rPr>
        <w:t>Facultad de Teología</w:t>
      </w:r>
    </w:p>
    <w:p w14:paraId="7540383B" w14:textId="77777777" w:rsidR="00F977F7" w:rsidRPr="00F977F7" w:rsidRDefault="00F977F7" w:rsidP="00F977F7">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F977F7">
        <w:rPr>
          <w:rFonts w:ascii="Calibri" w:eastAsia="Times New Roman" w:hAnsi="Calibri" w:cs="Arial"/>
          <w:b/>
          <w:bCs/>
          <w:kern w:val="0"/>
          <w:sz w:val="24"/>
          <w:szCs w:val="20"/>
          <w:lang w:val="es-ES_tradnl" w:eastAsia="es-CR"/>
          <w14:ligatures w14:val="none"/>
        </w:rPr>
        <w:t xml:space="preserve">Bachillerato en </w:t>
      </w:r>
      <w:r w:rsidRPr="00F977F7">
        <w:rPr>
          <w:rFonts w:ascii="Calibri" w:eastAsia="Times New Roman" w:hAnsi="Calibri" w:cs="Arial"/>
          <w:b/>
          <w:bCs/>
          <w:kern w:val="0"/>
          <w:sz w:val="24"/>
          <w:szCs w:val="24"/>
          <w:lang w:val="es-ES_tradnl" w:eastAsia="es-CR"/>
          <w14:ligatures w14:val="none"/>
        </w:rPr>
        <w:t xml:space="preserve">Ciencias </w:t>
      </w:r>
      <w:r w:rsidRPr="00F977F7">
        <w:rPr>
          <w:rFonts w:ascii="Calibri" w:eastAsia="Times New Roman" w:hAnsi="Calibri" w:cs="Arial"/>
          <w:b/>
          <w:bCs/>
          <w:kern w:val="0"/>
          <w:sz w:val="24"/>
          <w:szCs w:val="20"/>
          <w:lang w:val="es-ES_tradnl" w:eastAsia="es-CR"/>
          <w14:ligatures w14:val="none"/>
        </w:rPr>
        <w:t>Bíblicas</w:t>
      </w:r>
    </w:p>
    <w:p w14:paraId="3BBA38ED" w14:textId="77777777" w:rsidR="00F977F7" w:rsidRPr="00F977F7" w:rsidRDefault="00F977F7" w:rsidP="00F977F7">
      <w:pPr>
        <w:widowControl w:val="0"/>
        <w:overflowPunct w:val="0"/>
        <w:autoSpaceDE w:val="0"/>
        <w:autoSpaceDN w:val="0"/>
        <w:adjustRightInd w:val="0"/>
        <w:spacing w:after="0" w:line="276" w:lineRule="auto"/>
        <w:rPr>
          <w:rFonts w:ascii="Calibri" w:eastAsia="Times New Roman" w:hAnsi="Calibri" w:cs="Arial"/>
          <w:b/>
          <w:kern w:val="0"/>
          <w:sz w:val="24"/>
          <w:szCs w:val="24"/>
          <w:lang w:val="es-ES_tradnl" w:eastAsia="es-CR"/>
          <w14:ligatures w14:val="none"/>
        </w:rPr>
      </w:pPr>
    </w:p>
    <w:p w14:paraId="7226C1EC" w14:textId="77777777" w:rsidR="00F977F7" w:rsidRPr="00F977F7" w:rsidRDefault="00F977F7" w:rsidP="00F977F7">
      <w:pPr>
        <w:widowControl w:val="0"/>
        <w:overflowPunct w:val="0"/>
        <w:autoSpaceDE w:val="0"/>
        <w:autoSpaceDN w:val="0"/>
        <w:adjustRightInd w:val="0"/>
        <w:spacing w:after="0" w:line="276" w:lineRule="auto"/>
        <w:jc w:val="center"/>
        <w:rPr>
          <w:rFonts w:ascii="Calibri" w:eastAsia="Times New Roman" w:hAnsi="Calibri" w:cs="Arial"/>
          <w:b/>
          <w:kern w:val="0"/>
          <w:sz w:val="24"/>
          <w:szCs w:val="24"/>
          <w:lang w:eastAsia="es-CR"/>
          <w14:ligatures w14:val="none"/>
        </w:rPr>
      </w:pPr>
      <w:r w:rsidRPr="00F977F7">
        <w:rPr>
          <w:rFonts w:ascii="Calibri" w:eastAsia="Times New Roman" w:hAnsi="Calibri" w:cs="Arial"/>
          <w:b/>
          <w:kern w:val="0"/>
          <w:sz w:val="24"/>
          <w:szCs w:val="24"/>
          <w:lang w:eastAsia="es-CR"/>
          <w14:ligatures w14:val="none"/>
        </w:rPr>
        <w:t>Sílabo</w:t>
      </w:r>
    </w:p>
    <w:p w14:paraId="53EA752B" w14:textId="77777777" w:rsidR="00F977F7" w:rsidRPr="00F977F7" w:rsidRDefault="00F977F7" w:rsidP="00F977F7">
      <w:pPr>
        <w:widowControl w:val="0"/>
        <w:overflowPunct w:val="0"/>
        <w:autoSpaceDE w:val="0"/>
        <w:autoSpaceDN w:val="0"/>
        <w:adjustRightInd w:val="0"/>
        <w:spacing w:after="0" w:line="276" w:lineRule="auto"/>
        <w:jc w:val="center"/>
        <w:rPr>
          <w:rFonts w:ascii="Calibri" w:eastAsia="Times New Roman" w:hAnsi="Calibri" w:cs="Arial"/>
          <w:b/>
          <w:kern w:val="0"/>
          <w:sz w:val="24"/>
          <w:szCs w:val="24"/>
          <w:lang w:eastAsia="es-CR"/>
          <w14:ligatures w14:val="none"/>
        </w:rPr>
      </w:pPr>
      <w:bookmarkStart w:id="56" w:name="CTX121"/>
      <w:r w:rsidRPr="00F977F7">
        <w:rPr>
          <w:rFonts w:ascii="Calibri" w:eastAsia="Times New Roman" w:hAnsi="Calibri" w:cs="Arial"/>
          <w:b/>
          <w:kern w:val="0"/>
          <w:sz w:val="24"/>
          <w:szCs w:val="24"/>
          <w:lang w:eastAsia="es-CR"/>
          <w14:ligatures w14:val="none"/>
        </w:rPr>
        <w:t>Educación Cristiana</w:t>
      </w:r>
    </w:p>
    <w:bookmarkEnd w:id="56"/>
    <w:p w14:paraId="649DC4F7" w14:textId="77777777" w:rsidR="00F977F7" w:rsidRPr="00F977F7" w:rsidRDefault="00F977F7" w:rsidP="00F977F7">
      <w:pPr>
        <w:widowControl w:val="0"/>
        <w:overflowPunct w:val="0"/>
        <w:autoSpaceDE w:val="0"/>
        <w:autoSpaceDN w:val="0"/>
        <w:adjustRightInd w:val="0"/>
        <w:spacing w:before="120" w:after="0" w:line="240" w:lineRule="auto"/>
        <w:rPr>
          <w:rFonts w:ascii="Arial" w:eastAsia="Times New Roman" w:hAnsi="Arial" w:cs="Arial"/>
          <w:kern w:val="0"/>
          <w:sz w:val="24"/>
          <w:szCs w:val="24"/>
          <w:lang w:val="es-ES_tradnl" w:eastAsia="es-CR"/>
          <w14:ligatures w14:val="none"/>
        </w:rPr>
      </w:pPr>
    </w:p>
    <w:p w14:paraId="139A297A" w14:textId="77777777" w:rsidR="00F977F7" w:rsidRPr="00F977F7" w:rsidRDefault="00F977F7" w:rsidP="00F977F7">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aconcuadrcula"/>
        <w:tblW w:w="0" w:type="auto"/>
        <w:tblLook w:val="04A0" w:firstRow="1" w:lastRow="0" w:firstColumn="1" w:lastColumn="0" w:noHBand="0" w:noVBand="1"/>
      </w:tblPr>
      <w:tblGrid>
        <w:gridCol w:w="1666"/>
        <w:gridCol w:w="7162"/>
      </w:tblGrid>
      <w:tr w:rsidR="00F977F7" w:rsidRPr="00F977F7" w14:paraId="05579423" w14:textId="77777777" w:rsidTr="00CE7124">
        <w:tc>
          <w:tcPr>
            <w:tcW w:w="1668" w:type="dxa"/>
          </w:tcPr>
          <w:p w14:paraId="1C35D675"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Código</w:t>
            </w:r>
          </w:p>
        </w:tc>
        <w:tc>
          <w:tcPr>
            <w:tcW w:w="7386" w:type="dxa"/>
          </w:tcPr>
          <w:p w14:paraId="587115A1"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CTX 121</w:t>
            </w:r>
          </w:p>
        </w:tc>
      </w:tr>
      <w:tr w:rsidR="00F977F7" w:rsidRPr="00F977F7" w14:paraId="1BDAD0C7" w14:textId="77777777" w:rsidTr="00CE7124">
        <w:tc>
          <w:tcPr>
            <w:tcW w:w="1668" w:type="dxa"/>
          </w:tcPr>
          <w:p w14:paraId="0BDAC39B"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Créditos</w:t>
            </w:r>
          </w:p>
        </w:tc>
        <w:tc>
          <w:tcPr>
            <w:tcW w:w="7386" w:type="dxa"/>
          </w:tcPr>
          <w:p w14:paraId="628ED052"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4</w:t>
            </w:r>
          </w:p>
        </w:tc>
      </w:tr>
      <w:tr w:rsidR="00F977F7" w:rsidRPr="00F977F7" w14:paraId="5A71649F" w14:textId="77777777" w:rsidTr="00CE7124">
        <w:tc>
          <w:tcPr>
            <w:tcW w:w="1668" w:type="dxa"/>
          </w:tcPr>
          <w:p w14:paraId="348826DA"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Requisitos</w:t>
            </w:r>
          </w:p>
        </w:tc>
        <w:tc>
          <w:tcPr>
            <w:tcW w:w="7386" w:type="dxa"/>
          </w:tcPr>
          <w:p w14:paraId="66475AC0"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Ninguno</w:t>
            </w:r>
          </w:p>
        </w:tc>
      </w:tr>
      <w:tr w:rsidR="00F977F7" w:rsidRPr="00F977F7" w14:paraId="3B4E5F0D" w14:textId="77777777" w:rsidTr="00CE7124">
        <w:tc>
          <w:tcPr>
            <w:tcW w:w="1668" w:type="dxa"/>
          </w:tcPr>
          <w:p w14:paraId="4B2DFEAE"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Modalidad</w:t>
            </w:r>
          </w:p>
        </w:tc>
        <w:tc>
          <w:tcPr>
            <w:tcW w:w="7386" w:type="dxa"/>
          </w:tcPr>
          <w:p w14:paraId="3E9027A9"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Virtual</w:t>
            </w:r>
          </w:p>
        </w:tc>
      </w:tr>
      <w:tr w:rsidR="00F977F7" w:rsidRPr="00F977F7" w14:paraId="69385739" w14:textId="77777777" w:rsidTr="00CE7124">
        <w:tc>
          <w:tcPr>
            <w:tcW w:w="1668" w:type="dxa"/>
          </w:tcPr>
          <w:p w14:paraId="48A15BB3"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Naturaleza</w:t>
            </w:r>
          </w:p>
        </w:tc>
        <w:tc>
          <w:tcPr>
            <w:tcW w:w="7386" w:type="dxa"/>
          </w:tcPr>
          <w:p w14:paraId="7147C408"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Teórico-práctico</w:t>
            </w:r>
          </w:p>
        </w:tc>
      </w:tr>
      <w:tr w:rsidR="00F977F7" w:rsidRPr="00F977F7" w14:paraId="73FD1E0C" w14:textId="77777777" w:rsidTr="00CE7124">
        <w:tc>
          <w:tcPr>
            <w:tcW w:w="1668" w:type="dxa"/>
          </w:tcPr>
          <w:p w14:paraId="31770A56"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Periodo</w:t>
            </w:r>
          </w:p>
        </w:tc>
        <w:tc>
          <w:tcPr>
            <w:tcW w:w="7386" w:type="dxa"/>
          </w:tcPr>
          <w:p w14:paraId="3ED45CE9"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Cuatrimestral (15 semanas lectivas)</w:t>
            </w:r>
          </w:p>
        </w:tc>
      </w:tr>
      <w:tr w:rsidR="00F977F7" w:rsidRPr="00F977F7" w14:paraId="02DEFC25" w14:textId="77777777" w:rsidTr="00CE7124">
        <w:tc>
          <w:tcPr>
            <w:tcW w:w="1668" w:type="dxa"/>
          </w:tcPr>
          <w:p w14:paraId="5076B688"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Nivel</w:t>
            </w:r>
          </w:p>
        </w:tc>
        <w:tc>
          <w:tcPr>
            <w:tcW w:w="7386" w:type="dxa"/>
          </w:tcPr>
          <w:p w14:paraId="75456921"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VII Cuatrimestre</w:t>
            </w:r>
          </w:p>
        </w:tc>
      </w:tr>
      <w:tr w:rsidR="00F977F7" w:rsidRPr="00F977F7" w14:paraId="4DF9C924" w14:textId="77777777" w:rsidTr="00CE7124">
        <w:tc>
          <w:tcPr>
            <w:tcW w:w="1668" w:type="dxa"/>
          </w:tcPr>
          <w:p w14:paraId="3F7BD34F"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Horario</w:t>
            </w:r>
          </w:p>
        </w:tc>
        <w:tc>
          <w:tcPr>
            <w:tcW w:w="7386" w:type="dxa"/>
          </w:tcPr>
          <w:p w14:paraId="0C665C90"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El curso requiere de 12 horas de trabajo semanal</w:t>
            </w:r>
          </w:p>
        </w:tc>
      </w:tr>
      <w:tr w:rsidR="00F977F7" w:rsidRPr="00F977F7" w14:paraId="43F6D856" w14:textId="77777777" w:rsidTr="00CE7124">
        <w:tc>
          <w:tcPr>
            <w:tcW w:w="1668" w:type="dxa"/>
          </w:tcPr>
          <w:p w14:paraId="02A65933"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Aula</w:t>
            </w:r>
          </w:p>
        </w:tc>
        <w:tc>
          <w:tcPr>
            <w:tcW w:w="7386" w:type="dxa"/>
          </w:tcPr>
          <w:p w14:paraId="42B8BB51"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lang w:eastAsia="es-CR"/>
              </w:rPr>
              <w:t>Plataforma virtual de la UBL</w:t>
            </w:r>
          </w:p>
        </w:tc>
      </w:tr>
      <w:tr w:rsidR="00F977F7" w:rsidRPr="00F977F7" w14:paraId="4FC69F93" w14:textId="77777777" w:rsidTr="00CE7124">
        <w:tc>
          <w:tcPr>
            <w:tcW w:w="1668" w:type="dxa"/>
          </w:tcPr>
          <w:p w14:paraId="6FD637C7" w14:textId="77777777" w:rsidR="00F977F7" w:rsidRPr="00F977F7" w:rsidRDefault="00F977F7" w:rsidP="00F977F7">
            <w:pPr>
              <w:widowControl w:val="0"/>
              <w:overflowPunct w:val="0"/>
              <w:autoSpaceDE w:val="0"/>
              <w:autoSpaceDN w:val="0"/>
              <w:adjustRightInd w:val="0"/>
              <w:rPr>
                <w:rFonts w:eastAsia="Times New Roman" w:cs="Calibri"/>
                <w:b/>
                <w:lang w:eastAsia="es-CR"/>
              </w:rPr>
            </w:pPr>
            <w:r w:rsidRPr="00F977F7">
              <w:rPr>
                <w:rFonts w:eastAsia="Times New Roman" w:cs="Calibri"/>
                <w:b/>
                <w:lang w:eastAsia="es-CR"/>
              </w:rPr>
              <w:t>Docente</w:t>
            </w:r>
          </w:p>
        </w:tc>
        <w:tc>
          <w:tcPr>
            <w:tcW w:w="7386" w:type="dxa"/>
          </w:tcPr>
          <w:p w14:paraId="0826B3A6" w14:textId="77777777" w:rsidR="00F977F7" w:rsidRPr="00F977F7" w:rsidRDefault="00F977F7" w:rsidP="00F977F7">
            <w:pPr>
              <w:widowControl w:val="0"/>
              <w:overflowPunct w:val="0"/>
              <w:autoSpaceDE w:val="0"/>
              <w:autoSpaceDN w:val="0"/>
              <w:adjustRightInd w:val="0"/>
              <w:rPr>
                <w:rFonts w:eastAsia="Times New Roman" w:cs="Calibri"/>
                <w:lang w:eastAsia="es-CR"/>
              </w:rPr>
            </w:pPr>
          </w:p>
        </w:tc>
      </w:tr>
      <w:tr w:rsidR="00F977F7" w:rsidRPr="00F977F7" w14:paraId="4EF4FB98" w14:textId="77777777" w:rsidTr="00CE7124">
        <w:tc>
          <w:tcPr>
            <w:tcW w:w="1668" w:type="dxa"/>
            <w:vAlign w:val="center"/>
          </w:tcPr>
          <w:p w14:paraId="11E4B40E" w14:textId="77777777" w:rsidR="00F977F7" w:rsidRPr="00F977F7" w:rsidRDefault="00F977F7" w:rsidP="00F977F7">
            <w:pPr>
              <w:widowControl w:val="0"/>
              <w:overflowPunct w:val="0"/>
              <w:autoSpaceDE w:val="0"/>
              <w:autoSpaceDN w:val="0"/>
              <w:adjustRightInd w:val="0"/>
              <w:rPr>
                <w:rFonts w:eastAsia="Times New Roman" w:cs="Calibri"/>
                <w:lang w:eastAsia="es-CR"/>
              </w:rPr>
            </w:pPr>
            <w:r w:rsidRPr="00F977F7">
              <w:rPr>
                <w:rFonts w:eastAsia="Times New Roman" w:cs="Calibri"/>
                <w:b/>
                <w:lang w:eastAsia="es-CR"/>
              </w:rPr>
              <w:t>Instrucciones administrativas</w:t>
            </w:r>
          </w:p>
        </w:tc>
        <w:tc>
          <w:tcPr>
            <w:tcW w:w="7386" w:type="dxa"/>
          </w:tcPr>
          <w:p w14:paraId="0DDC34E9" w14:textId="77777777" w:rsidR="00F977F7" w:rsidRPr="00F977F7" w:rsidRDefault="00F977F7" w:rsidP="00F977F7">
            <w:pPr>
              <w:widowControl w:val="0"/>
              <w:overflowPunct w:val="0"/>
              <w:autoSpaceDE w:val="0"/>
              <w:autoSpaceDN w:val="0"/>
              <w:adjustRightInd w:val="0"/>
              <w:jc w:val="both"/>
              <w:rPr>
                <w:rFonts w:eastAsia="Times New Roman" w:cs="Calibri"/>
                <w:lang w:eastAsia="es-CR"/>
              </w:rPr>
            </w:pPr>
            <w:r w:rsidRPr="00F977F7">
              <w:rPr>
                <w:rFonts w:eastAsia="Times New Roman"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2 horas semanales de práctica. La dirección de acceso a la plataforma es la siguiente:</w:t>
            </w:r>
          </w:p>
          <w:p w14:paraId="53E68E7C" w14:textId="77777777" w:rsidR="00F977F7" w:rsidRPr="00F977F7" w:rsidRDefault="00DD16F2" w:rsidP="00F977F7">
            <w:pPr>
              <w:widowControl w:val="0"/>
              <w:overflowPunct w:val="0"/>
              <w:autoSpaceDE w:val="0"/>
              <w:autoSpaceDN w:val="0"/>
              <w:adjustRightInd w:val="0"/>
              <w:jc w:val="both"/>
              <w:rPr>
                <w:rFonts w:eastAsia="Times New Roman" w:cs="Calibri"/>
                <w:lang w:eastAsia="es-CR"/>
              </w:rPr>
            </w:pPr>
            <w:hyperlink r:id="rId427" w:history="1">
              <w:r w:rsidR="00F977F7" w:rsidRPr="00F977F7">
                <w:rPr>
                  <w:rFonts w:eastAsia="Times New Roman" w:cs="Calibri"/>
                  <w:color w:val="0563C1"/>
                  <w:u w:val="single"/>
                  <w:lang w:eastAsia="es-CR"/>
                </w:rPr>
                <w:t>https://campus.ubl.ac.cr/login/index.php</w:t>
              </w:r>
            </w:hyperlink>
          </w:p>
        </w:tc>
      </w:tr>
    </w:tbl>
    <w:p w14:paraId="2764DA2D" w14:textId="77777777" w:rsidR="00F977F7" w:rsidRPr="00F977F7" w:rsidRDefault="00F977F7" w:rsidP="00F977F7">
      <w:pPr>
        <w:widowControl w:val="0"/>
        <w:overflowPunct w:val="0"/>
        <w:autoSpaceDE w:val="0"/>
        <w:autoSpaceDN w:val="0"/>
        <w:adjustRightInd w:val="0"/>
        <w:spacing w:after="0" w:line="240" w:lineRule="auto"/>
        <w:rPr>
          <w:rFonts w:ascii="Calibri" w:eastAsia="Arial" w:hAnsi="Calibri" w:cs="Arial"/>
          <w:color w:val="000000"/>
          <w:kern w:val="0"/>
          <w:lang w:val="es-ES_tradnl" w:eastAsia="es-CR"/>
          <w14:ligatures w14:val="none"/>
        </w:rPr>
      </w:pPr>
    </w:p>
    <w:p w14:paraId="6312AFA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 xml:space="preserve">I. Descripción </w:t>
      </w:r>
    </w:p>
    <w:p w14:paraId="5EE9D2E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Basado en el análisis de experiencias educativas se desarrollan criterios de evaluación, principales corrientes pedagógicas, bases bíblico-teológicas, históricas y de otras disciplinas para un ministerio docente liberador; además de la relación entre educación cristiana, educación popular, educación teológica y el ministerio docente específico con grupos por edad, sexo, cultura, etc.</w:t>
      </w:r>
    </w:p>
    <w:p w14:paraId="4B4C4F4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989C6C2"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II. Objetivo general</w:t>
      </w:r>
    </w:p>
    <w:p w14:paraId="459ADF43" w14:textId="77777777" w:rsidR="00F977F7" w:rsidRPr="00F977F7" w:rsidRDefault="00F977F7"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 xml:space="preserve">Reflexionar sobre los diversos aspectos que hacen parte de la educación cristiana, entendida en un sentido que involucra al conjunto de actividades educativas que realizan los/as cristianos/as en </w:t>
      </w:r>
      <w:r w:rsidRPr="4C9C2619">
        <w:rPr>
          <w:rFonts w:ascii="Calibri" w:eastAsia="Times New Roman" w:hAnsi="Calibri" w:cs="Arial"/>
          <w:color w:val="000000"/>
          <w:kern w:val="0"/>
          <w:lang w:val="es-ES" w:eastAsia="es-CR"/>
          <w14:ligatures w14:val="none"/>
        </w:rPr>
        <w:lastRenderedPageBreak/>
        <w:t xml:space="preserve">diferentes ámbitos.  Lo anterior implica que es necesario buscar una nueva comprensión de lo que entendemos por educación cristiana y ubicar el lugar y las funciones de </w:t>
      </w:r>
      <w:proofErr w:type="gramStart"/>
      <w:r w:rsidRPr="4C9C2619">
        <w:rPr>
          <w:rFonts w:ascii="Calibri" w:eastAsia="Times New Roman" w:hAnsi="Calibri" w:cs="Arial"/>
          <w:color w:val="000000"/>
          <w:kern w:val="0"/>
          <w:lang w:val="es-ES" w:eastAsia="es-CR"/>
          <w14:ligatures w14:val="none"/>
        </w:rPr>
        <w:t>la misma</w:t>
      </w:r>
      <w:proofErr w:type="gramEnd"/>
      <w:r w:rsidRPr="4C9C2619">
        <w:rPr>
          <w:rFonts w:ascii="Calibri" w:eastAsia="Times New Roman" w:hAnsi="Calibri" w:cs="Arial"/>
          <w:color w:val="000000"/>
          <w:kern w:val="0"/>
          <w:lang w:val="es-ES" w:eastAsia="es-CR"/>
          <w14:ligatures w14:val="none"/>
        </w:rPr>
        <w:t xml:space="preserve"> dentro del conjunto del quehacer teológico y pedagógico y, asimismo, discernir la pertinencia de un acercamiento didáctico a la educación cristiana.  El curso apunta en estas direcciones con el fin de ayudar a renovar el quehacer educativo de las iglesias, colegios, seminarios, etc.</w:t>
      </w:r>
    </w:p>
    <w:p w14:paraId="6173DE8F"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52E1042"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III. Objetivos específicos</w:t>
      </w:r>
    </w:p>
    <w:p w14:paraId="43327491"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Este curso capacitará a la persona estudiante para:</w:t>
      </w:r>
    </w:p>
    <w:p w14:paraId="2476CDD2"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Sistematizar su experiencia educativa buscando encontrar distintas etapas y características dentro de la misma.</w:t>
      </w:r>
    </w:p>
    <w:p w14:paraId="548DC0FA"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Describir las múltiples actividades y manifestaciones que se refieren a la educación cristiana.</w:t>
      </w:r>
    </w:p>
    <w:p w14:paraId="40B499E9"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Proponer una definición de la educación cristiana, por semejanzas y diferencias, con otras expresiones usadas en ámbitos pastorales y educativos.</w:t>
      </w:r>
    </w:p>
    <w:p w14:paraId="590B617B" w14:textId="77777777" w:rsidR="00F977F7" w:rsidRPr="00F977F7" w:rsidRDefault="00F977F7" w:rsidP="4C9C2619">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Descubrir y analizar las diferentes opciones pedagógicas que se encuentran en las múltiples manifestaciones de la educación cristiana.</w:t>
      </w:r>
    </w:p>
    <w:p w14:paraId="4BCB1F8E"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Ubicar el espacio que ocupa la educación cristiana dentro del quehacer teológico, analizando las diferentes maneras de enfocar las relaciones entre educación cristiana y teología.</w:t>
      </w:r>
    </w:p>
    <w:p w14:paraId="220F2C87"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Definir los principios hermenéuticos para la interpretación de los procesos pedagógicos bíblicos (Antiguo Testamento y práctica pedagógica de Jesús) y usarlos para evaluar el uso que se hace de la Biblia en la educación cristiana.</w:t>
      </w:r>
    </w:p>
    <w:p w14:paraId="231510D9" w14:textId="77777777" w:rsidR="00F977F7" w:rsidRPr="00F977F7"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 xml:space="preserve">Analizar cuatro modelos de iglesia y sus respectivos modelos de educación cristiana.  </w:t>
      </w:r>
    </w:p>
    <w:p w14:paraId="3A26C540" w14:textId="77777777" w:rsidR="00F977F7" w:rsidRPr="00F977F7" w:rsidDel="00B04BE1" w:rsidRDefault="00F977F7" w:rsidP="00F977F7">
      <w:pPr>
        <w:widowControl w:val="0"/>
        <w:numPr>
          <w:ilvl w:val="0"/>
          <w:numId w:val="175"/>
        </w:numPr>
        <w:overflowPunct w:val="0"/>
        <w:autoSpaceDE w:val="0"/>
        <w:autoSpaceDN w:val="0"/>
        <w:adjustRightInd w:val="0"/>
        <w:spacing w:before="120" w:after="0" w:line="240" w:lineRule="auto"/>
        <w:ind w:left="426"/>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Diferenciar los diversos componentes de los procesos educativos y aplicarlos a la educación cristiana.</w:t>
      </w:r>
    </w:p>
    <w:p w14:paraId="7C69F87F" w14:textId="77777777" w:rsidR="00F977F7" w:rsidRPr="00F977F7" w:rsidRDefault="00F977F7" w:rsidP="00F977F7">
      <w:pPr>
        <w:rPr>
          <w:rFonts w:ascii="Calibri" w:eastAsia="Times New Roman" w:hAnsi="Calibri" w:cs="Arial"/>
          <w:b/>
          <w:color w:val="000000"/>
          <w:kern w:val="0"/>
          <w:lang w:val="es-ES_tradnl" w:eastAsia="es-CR"/>
          <w14:ligatures w14:val="none"/>
        </w:rPr>
      </w:pPr>
    </w:p>
    <w:p w14:paraId="086F0E96" w14:textId="77777777" w:rsidR="00F977F7" w:rsidRPr="00F977F7" w:rsidRDefault="00F977F7" w:rsidP="00F977F7">
      <w:pPr>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 xml:space="preserve">IV. Contenidos  </w:t>
      </w:r>
    </w:p>
    <w:p w14:paraId="278F3A1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 xml:space="preserve">El curso combina elementos teóricos de la historia, la teología, la psicología y la pedagogía, que en conjunto interdisciplinario sentarán las bases para que cada persona estudiante pueda elaborar un Manual de Educación Cristiana según el contexto donde se inserta eclesialmente. </w:t>
      </w:r>
    </w:p>
    <w:p w14:paraId="3CB3E3D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C38690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Unidad 1: Aportes desde la teología: ¿Hacia dónde vamos?</w:t>
      </w:r>
    </w:p>
    <w:p w14:paraId="7B21F4A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1.1 La experiencia personal</w:t>
      </w:r>
    </w:p>
    <w:p w14:paraId="60B4877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1.2 La historia de la educación cristiana</w:t>
      </w:r>
    </w:p>
    <w:p w14:paraId="08BD820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1.3 Acercamientos a la educación cristiana</w:t>
      </w:r>
    </w:p>
    <w:p w14:paraId="6931F6F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Unidad 2: Aportes desde la psicología: ¿Con quienes trabajamos?</w:t>
      </w:r>
    </w:p>
    <w:p w14:paraId="3CDB88C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2.1 El desarrollo cognoscitivo o intelectual</w:t>
      </w:r>
    </w:p>
    <w:p w14:paraId="4D1B964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2.2 El desarrollo psico-social</w:t>
      </w:r>
    </w:p>
    <w:p w14:paraId="36612D6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2.3 El desarrollo espiritual</w:t>
      </w:r>
    </w:p>
    <w:p w14:paraId="4916F1A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lastRenderedPageBreak/>
        <w:t>2.4 El desarrollo moral</w:t>
      </w:r>
    </w:p>
    <w:p w14:paraId="1041607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 xml:space="preserve">2.5 Resumen: el desarrollo integral   </w:t>
      </w:r>
    </w:p>
    <w:p w14:paraId="312E88F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Unidad 3: Aportes desde la pedagogía: ¿Cómo comunicamos?</w:t>
      </w:r>
    </w:p>
    <w:p w14:paraId="61496BD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3.1 Enfoques de la enseñanza</w:t>
      </w:r>
    </w:p>
    <w:p w14:paraId="58BBA1A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3.2 Herramientas para la enseñanza</w:t>
      </w:r>
    </w:p>
    <w:p w14:paraId="313454A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3.3 Pasos para escribir una lección bíblica</w:t>
      </w:r>
    </w:p>
    <w:p w14:paraId="3F9FBF1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3.4 Pasos para dar una clase</w:t>
      </w:r>
    </w:p>
    <w:p w14:paraId="1CA4225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Unidad 4: Aportes desde la administración: ¿Cómo nos organizamos?</w:t>
      </w:r>
    </w:p>
    <w:p w14:paraId="5FC7028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4.1 La capacitación del equipo docente</w:t>
      </w:r>
    </w:p>
    <w:p w14:paraId="70B7FBF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4.2 La organización del programa de educación cristiana</w:t>
      </w:r>
    </w:p>
    <w:p w14:paraId="5D49D1D3"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7403742D"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V. Metodología</w:t>
      </w:r>
    </w:p>
    <w:p w14:paraId="438CCB19" w14:textId="77777777" w:rsidR="00F977F7" w:rsidRPr="00F977F7" w:rsidRDefault="00F977F7" w:rsidP="4C9C261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4C9C2619">
        <w:rPr>
          <w:rFonts w:ascii="Calibri" w:eastAsia="Times New Roman" w:hAnsi="Calibri" w:cs="Arial"/>
          <w:color w:val="000000"/>
          <w:kern w:val="0"/>
          <w:lang w:val="es-ES" w:eastAsia="es-CR"/>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0B585587"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ES"/>
          <w14:ligatures w14:val="none"/>
        </w:rPr>
      </w:pPr>
      <w:r w:rsidRPr="00F977F7">
        <w:rPr>
          <w:rFonts w:ascii="Calibri" w:eastAsia="Times New Roman" w:hAnsi="Calibri" w:cs="Arial"/>
          <w:color w:val="000000"/>
          <w:kern w:val="0"/>
          <w:lang w:val="es-ES_tradnl" w:eastAsia="es-CR"/>
          <w14:ligatures w14:val="none"/>
        </w:rPr>
        <w:t>La metodología del curso es teórica-práctica y está basada en la participación activa mediante la plataforma Moodle tanto de la persona docente como de los y las estudiantes. Se busca desarrollar capacidades críticas ante los contenidos del curso, la participación a nivel grupal, la investigación y la construcción colectiva de conocimientos. La persona docente orientará al grupo presentando insumos fundamentales por medio de lecturas digitales y encuentro sincrónicos virtuales, también generando el diálogo y la interacción grupal en línea sobre estos, desde la perspectiva y contexto de cada estudiante.</w:t>
      </w:r>
      <w:r w:rsidRPr="00F977F7">
        <w:rPr>
          <w:rFonts w:ascii="Times New Roman" w:eastAsia="Times New Roman" w:hAnsi="Times New Roman" w:cs="Times New Roman"/>
          <w:kern w:val="0"/>
          <w:sz w:val="24"/>
          <w:szCs w:val="20"/>
          <w:lang w:val="es-ES_tradnl" w:eastAsia="es-CR"/>
          <w14:ligatures w14:val="none"/>
        </w:rPr>
        <w:t xml:space="preserve"> </w:t>
      </w:r>
      <w:r w:rsidRPr="00F977F7">
        <w:rPr>
          <w:rFonts w:ascii="Calibri" w:eastAsia="Times New Roman" w:hAnsi="Calibri" w:cs="Arial"/>
          <w:color w:val="000000"/>
          <w:kern w:val="0"/>
          <w:lang w:val="es-ES_tradnl" w:eastAsia="es-CR"/>
          <w14:ligatures w14:val="none"/>
        </w:rPr>
        <w:t xml:space="preserve">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La práctica se realizará por medio de la elaboración de materiales de educación cristiana. </w:t>
      </w:r>
    </w:p>
    <w:p w14:paraId="56D5CE8B"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eastAsia="es-ES"/>
          <w14:ligatures w14:val="none"/>
        </w:rPr>
      </w:pPr>
      <w:r w:rsidRPr="00F977F7">
        <w:rPr>
          <w:rFonts w:ascii="Calibri" w:eastAsia="Times New Roman" w:hAnsi="Calibri" w:cs="Arial"/>
          <w:color w:val="000000"/>
          <w:kern w:val="0"/>
          <w:lang w:eastAsia="es-ES"/>
          <w14:ligatures w14:val="none"/>
        </w:rPr>
        <w:t>La reflexión crítica sobre la educación cristiana es de capital importancia en cuanto a los aspectos teóricos y fundamentales de la misma. En la aplicación del pensamiento crítico se requiere de la participación activa de los y las estudiantes y de la persona docente mediante el diálogo, el debate y el compartir experiencias en la plataforma virtual. Estas capacidades de debate y reflexión se pondrán en ejercicio en el curso mediante la participación tanto individual como grupal.</w:t>
      </w:r>
    </w:p>
    <w:p w14:paraId="636194AB"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eastAsia="es-ES"/>
          <w14:ligatures w14:val="none"/>
        </w:rPr>
        <w:t xml:space="preserve">Desde esta perspectiva, el rol de la persona docente radica en facilitar y encaminar el aprendizaje </w:t>
      </w:r>
      <w:r w:rsidRPr="00F977F7">
        <w:rPr>
          <w:rFonts w:ascii="Calibri" w:eastAsia="Times New Roman" w:hAnsi="Calibri" w:cs="Arial"/>
          <w:color w:val="000000"/>
          <w:kern w:val="0"/>
          <w:lang w:eastAsia="es-ES"/>
          <w14:ligatures w14:val="none"/>
        </w:rPr>
        <w:lastRenderedPageBreak/>
        <w:t>teórico y potenciar habilidades para ejercer la educación cristiana en los diferentes ámbitos socio-eclesiales donde se encuentran los y las estudiantes, mediante los ejercicios prácticos del curso.  La persona docente</w:t>
      </w:r>
      <w:r w:rsidRPr="00F977F7">
        <w:rPr>
          <w:rFonts w:ascii="Calibri" w:eastAsia="Times New Roman" w:hAnsi="Calibri" w:cs="Arial"/>
          <w:color w:val="000000"/>
          <w:kern w:val="0"/>
          <w:lang w:val="es-ES_tradnl" w:eastAsia="es-CR"/>
          <w14:ligatures w14:val="none"/>
        </w:rPr>
        <w:t xml:space="preserve"> orientará los trabajos descritos en la sección de evaluación, los cuales buscan generar el pensamiento crítico y la adquisición de habilidades.  El papel de los y las estudiantes es apropiarse de los conocimientos, potenciando los ya existentes y adquiriendo nuevos en un rol participativo en su proceso de aprendizaje.</w:t>
      </w:r>
    </w:p>
    <w:p w14:paraId="31914CB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2E391E90"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t>VI. Estrategias de aprendizaje</w:t>
      </w:r>
    </w:p>
    <w:p w14:paraId="60564D7B"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Cs/>
          <w:color w:val="000000"/>
          <w:kern w:val="0"/>
          <w:lang w:eastAsia="es-CR"/>
          <w14:ligatures w14:val="none"/>
        </w:rPr>
        <w:t>El aprendizaje en este curso permite que las personas estudiantes reflexionen sobre los diversos aspectos que hacen parte de la educación cristiana, entendida como el conjunto de actividades educativas que se realizan desde la fe cristiana en diferentes ámbitos, ubicadas en el quehacer teológico y pedagógico.</w:t>
      </w:r>
    </w:p>
    <w:p w14:paraId="69E7595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Cs/>
          <w:color w:val="000000"/>
          <w:kern w:val="0"/>
          <w:lang w:eastAsia="es-CR"/>
          <w14:ligatures w14:val="none"/>
        </w:rPr>
        <w:t>Se utilizan las siguientes estrategias de aprendizaje:</w:t>
      </w:r>
    </w:p>
    <w:p w14:paraId="6B5B9A3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a) Foro:</w:t>
      </w:r>
      <w:r w:rsidRPr="00F977F7">
        <w:rPr>
          <w:rFonts w:ascii="Calibri" w:eastAsia="Calibri" w:hAnsi="Calibri" w:cs="Arial"/>
          <w:bCs/>
          <w:color w:val="000000"/>
          <w:kern w:val="0"/>
          <w:lang w:eastAsia="es-CR"/>
          <w14:ligatures w14:val="none"/>
        </w:rPr>
        <w:t xml:space="preserve"> Es una actividad de discusión académica asincrónica ya que los y las estudiantes no tienen que acceder a la herramienta al mismo tiempo, constituyéndose en un escenario virtual para la exposición de ideas y debate. Cada persona estudiante ofrecerá su aporte desde las lecturas asignadas en las sesiones específicas donde se desarrollan los foros, a partir de los siguientes temas: compartiendo experiencias sobre la educación cristiana, desarrollo moral y su importancia para la educación cristiana, la práctica de la educación cristiana, el desarrollo de la fe y su pertinencia para el quehacer educativo. Finalmente, también se utilizarán foros para socializar el diseño de una lección bíblica y el perfil y plan de capacitación docente.</w:t>
      </w:r>
    </w:p>
    <w:p w14:paraId="34387651"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Calibri"/>
          <w:bCs/>
          <w:kern w:val="0"/>
          <w14:ligatures w14:val="none"/>
        </w:rPr>
      </w:pPr>
      <w:r w:rsidRPr="00F977F7">
        <w:rPr>
          <w:rFonts w:ascii="Calibri" w:eastAsia="Calibri" w:hAnsi="Calibri" w:cs="Arial"/>
          <w:b/>
          <w:color w:val="000000"/>
          <w:kern w:val="0"/>
          <w:lang w:eastAsia="es-CR"/>
          <w14:ligatures w14:val="none"/>
        </w:rPr>
        <w:t>b) Encuentros sincrónicos virtuales:</w:t>
      </w:r>
      <w:r w:rsidRPr="00F977F7">
        <w:rPr>
          <w:rFonts w:ascii="Calibri" w:eastAsia="Calibri" w:hAnsi="Calibri" w:cs="Arial"/>
          <w:bCs/>
          <w:color w:val="000000"/>
          <w:kern w:val="0"/>
          <w:lang w:eastAsia="es-CR"/>
          <w14:ligatures w14:val="none"/>
        </w:rPr>
        <w:t xml:space="preserve"> </w:t>
      </w:r>
      <w:r w:rsidRPr="00F977F7">
        <w:rPr>
          <w:rFonts w:ascii="Calibri" w:eastAsia="Calibri" w:hAnsi="Calibri" w:cs="Calibri"/>
          <w:bCs/>
          <w:kern w:val="0"/>
          <w14:ligatures w14:val="none"/>
        </w:rPr>
        <w:t xml:space="preserve">Los encuentros sincrónicos virtuales son espacios de sincronía remota en una plataforma virtual.  En este curso los encuentros virtuales sincrónicos son de carácter formativo y no sumativo. Se dispondrá de una grabación posterior al encuentro. La persona docente aportará insumos de profundización y clarificación. Se realizarán </w:t>
      </w:r>
      <w:r w:rsidRPr="00F977F7">
        <w:rPr>
          <w:rFonts w:ascii="Calibri" w:eastAsia="Calibri" w:hAnsi="Calibri" w:cs="Calibri"/>
          <w:bCs/>
          <w:kern w:val="0"/>
          <w:lang w:val="es-ES"/>
          <w14:ligatures w14:val="none"/>
        </w:rPr>
        <w:t>ejercicios de debate grupal y trabajo en grupos sobre temas tales como: la historia de la educación cristiana, aportes desde la psicología, aportes desde la pedagogía y, finalmente, aportes desde la administración de programas educativos y la capacitación del equipo docente de la iglesia o de una Organización Basada en la Fe.</w:t>
      </w:r>
    </w:p>
    <w:p w14:paraId="751FD3C5"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c) Autoevaluación del perfil de las metas de la educación cristiana:</w:t>
      </w:r>
      <w:r w:rsidRPr="00F977F7">
        <w:rPr>
          <w:rFonts w:ascii="Calibri" w:eastAsia="Calibri" w:hAnsi="Calibri" w:cs="Arial"/>
          <w:bCs/>
          <w:color w:val="000000"/>
          <w:kern w:val="0"/>
          <w:lang w:eastAsia="es-CR"/>
          <w14:ligatures w14:val="none"/>
        </w:rPr>
        <w:t xml:space="preserve"> </w:t>
      </w:r>
      <w:r w:rsidRPr="00F977F7">
        <w:rPr>
          <w:rFonts w:ascii="Calibri" w:eastAsia="Calibri" w:hAnsi="Calibri" w:cs="Arial"/>
          <w:kern w:val="0"/>
          <w:lang w:val="es-ES" w:eastAsia="es-CR"/>
          <w14:ligatures w14:val="none"/>
        </w:rPr>
        <w:t>Se trata de una estrategia de aprendizaje que hace uso de la autopercepción y expectativas personales ante el quehacer de la educación cristiana. Se realiza durante una sesión y con ella se busca autoevaluar el perfil de metas de la educación cristiana que se le ofrecerá a las personas estudiantes, desde su propia experiencia y realidad socio-eclesial.</w:t>
      </w:r>
    </w:p>
    <w:p w14:paraId="610C1E4E"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d) Reseña crítica de lectura:</w:t>
      </w:r>
      <w:r w:rsidRPr="00F977F7">
        <w:rPr>
          <w:rFonts w:ascii="Calibri" w:eastAsia="Calibri" w:hAnsi="Calibri" w:cs="Arial"/>
          <w:bCs/>
          <w:color w:val="000000"/>
          <w:kern w:val="0"/>
          <w:lang w:eastAsia="es-CR"/>
          <w14:ligatures w14:val="none"/>
        </w:rPr>
        <w:t xml:space="preserve"> </w:t>
      </w:r>
      <w:r w:rsidRPr="00F977F7">
        <w:rPr>
          <w:rFonts w:ascii="Calibri" w:eastAsia="Times New Roman" w:hAnsi="Calibri" w:cs="Calibri"/>
          <w:kern w:val="0"/>
          <w:szCs w:val="18"/>
          <w:lang w:val="es-MX" w:eastAsia="es-CR"/>
          <w14:ligatures w14:val="none"/>
        </w:rPr>
        <w:t>La realización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En este curso se utiliza esta estrategia para profundizar en el tema</w:t>
      </w:r>
      <w:r w:rsidRPr="00F977F7">
        <w:rPr>
          <w:rFonts w:ascii="Calibri" w:eastAsia="Times New Roman" w:hAnsi="Calibri" w:cs="Calibri"/>
          <w:kern w:val="0"/>
          <w:szCs w:val="18"/>
          <w:lang w:val="es-ES_tradnl" w:eastAsia="es-CR"/>
          <w14:ligatures w14:val="none"/>
        </w:rPr>
        <w:t xml:space="preserve"> del funcionamiento de la mente en cuanto al desarrollo cognoscitivo y el lenguaje.</w:t>
      </w:r>
    </w:p>
    <w:p w14:paraId="28F38C5A"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e) Mapa conceptual:</w:t>
      </w:r>
      <w:r w:rsidRPr="00F977F7">
        <w:rPr>
          <w:rFonts w:ascii="Calibri" w:eastAsia="Calibri" w:hAnsi="Calibri" w:cs="Arial"/>
          <w:bCs/>
          <w:color w:val="000000"/>
          <w:kern w:val="0"/>
          <w:lang w:eastAsia="es-CR"/>
          <w14:ligatures w14:val="none"/>
        </w:rPr>
        <w:t xml:space="preserve"> El mapa conceptual es una estrategia de aprendizaje que ayuda a organizar los aportes y conocimientos que nos brindan documentos escritos, al lograr representar y graficar aquellos conceptos y sus derivaciones. Se elaborará un mapa conceptual para estudiar las ocho edades del ser humano según el autor Erik Erikson. </w:t>
      </w:r>
    </w:p>
    <w:p w14:paraId="225C0F65"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f) Ensayo:</w:t>
      </w:r>
      <w:r w:rsidRPr="00F977F7">
        <w:rPr>
          <w:rFonts w:ascii="Calibri" w:eastAsia="Calibri" w:hAnsi="Calibri" w:cs="Arial"/>
          <w:bCs/>
          <w:color w:val="000000"/>
          <w:kern w:val="0"/>
          <w:lang w:eastAsia="es-CR"/>
          <w14:ligatures w14:val="none"/>
        </w:rPr>
        <w:t xml:space="preserve"> Se utilizará la estrategia del ensayo para reflexionar sobre la historia de la educación cristiana, con el objetivo de sintetizar los elementos claves que marcan su desarrollo y, en otro </w:t>
      </w:r>
      <w:r w:rsidRPr="00F977F7">
        <w:rPr>
          <w:rFonts w:ascii="Calibri" w:eastAsia="Calibri" w:hAnsi="Calibri" w:cs="Arial"/>
          <w:bCs/>
          <w:color w:val="000000"/>
          <w:kern w:val="0"/>
          <w:lang w:eastAsia="es-CR"/>
          <w14:ligatures w14:val="none"/>
        </w:rPr>
        <w:lastRenderedPageBreak/>
        <w:t>momento, para trabajar los acercamientos pedagógicos para la educación cristiana, con el objetivo de precisar aportes, desde lo pedagógico, para el quehacer educativo en su iglesia.</w:t>
      </w:r>
    </w:p>
    <w:p w14:paraId="40C76018"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
          <w:color w:val="000000"/>
          <w:kern w:val="0"/>
          <w:lang w:eastAsia="es-CR"/>
          <w14:ligatures w14:val="none"/>
        </w:rPr>
        <w:t>g) Diseño de una lección bíblica y del perfil y plan de capacitación docente:</w:t>
      </w:r>
      <w:r w:rsidRPr="00F977F7">
        <w:rPr>
          <w:rFonts w:ascii="Calibri" w:eastAsia="Calibri" w:hAnsi="Calibri" w:cs="Arial"/>
          <w:bCs/>
          <w:color w:val="000000"/>
          <w:kern w:val="0"/>
          <w:lang w:eastAsia="es-CR"/>
          <w14:ligatures w14:val="none"/>
        </w:rPr>
        <w:t xml:space="preserve"> El diseño de una lección bíblica es una estrategia de aprendizaje que permite practicar el planeamiento que toda persona debe realizar teniendo una función docente previo al desarrollo de la clase. Allí se plasman las dimensiones sociales, religiosas y psicológicas de la comunidad, como también el acercamiento pedagógico que se quiere desarrollar. Por su parte, con la elaboración de un perfil y plan de capacitación docente se ensayará la identificación de las áreas de conocimiento que son importantes para la formación de las personas que se desempeñan como docentes en un programa de educación cristiana.</w:t>
      </w:r>
    </w:p>
    <w:p w14:paraId="3BBE60B8"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Calibri"/>
          <w:kern w:val="0"/>
          <w14:ligatures w14:val="none"/>
        </w:rPr>
      </w:pPr>
      <w:r w:rsidRPr="00F977F7">
        <w:rPr>
          <w:rFonts w:ascii="Calibri" w:eastAsia="Calibri" w:hAnsi="Calibri" w:cs="Arial"/>
          <w:b/>
          <w:color w:val="000000"/>
          <w:kern w:val="0"/>
          <w:lang w:eastAsia="es-CR"/>
          <w14:ligatures w14:val="none"/>
        </w:rPr>
        <w:t xml:space="preserve">h) Manual de Educación Cristiana: </w:t>
      </w:r>
      <w:r w:rsidRPr="00F977F7">
        <w:rPr>
          <w:rFonts w:ascii="Calibri" w:eastAsia="Calibri" w:hAnsi="Calibri" w:cs="Calibri"/>
          <w:kern w:val="0"/>
          <w14:ligatures w14:val="none"/>
        </w:rPr>
        <w:t>Un manual es un compendio educativo que requiere del análisis, la síntesis y también de la didáctica para presentar los contenidos. Esta tarea se desarrolla durante todo el curso, constituyéndose en una estrategia integradora donde se plasmarán los cuatro temas centrales del curso: los acercamientos teológicos, pedagógicos, psicológicos y administrativos. Como se trata de un manual personalizado el objetivo que cada persona estudiante se base en la naturaleza de su iglesia, sus necesidades y contexto.</w:t>
      </w:r>
    </w:p>
    <w:p w14:paraId="1191512E"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Calibri" w:hAnsi="Calibri" w:cs="Arial"/>
          <w:bCs/>
          <w:color w:val="000000"/>
          <w:kern w:val="0"/>
          <w:lang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0EE41F7D"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sz w:val="2"/>
          <w:szCs w:val="2"/>
          <w:lang w:eastAsia="es-CR"/>
          <w14:ligatures w14:val="none"/>
        </w:rPr>
      </w:pPr>
    </w:p>
    <w:p w14:paraId="6098C6B7"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Cs/>
          <w:color w:val="000000"/>
          <w:kern w:val="0"/>
          <w:lang w:eastAsia="es-CR"/>
          <w14:ligatures w14:val="none"/>
        </w:rPr>
      </w:pPr>
      <w:r w:rsidRPr="00F977F7">
        <w:rPr>
          <w:rFonts w:ascii="Calibri" w:eastAsia="Times New Roman" w:hAnsi="Calibri" w:cs="Arial"/>
          <w:b/>
          <w:color w:val="000000"/>
          <w:kern w:val="0"/>
          <w:lang w:val="es-ES_tradnl" w:eastAsia="es-CR"/>
          <w14:ligatures w14:val="none"/>
        </w:rPr>
        <w:t>VII. Recursos didácticos</w:t>
      </w:r>
    </w:p>
    <w:p w14:paraId="600C3F2F"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0E0CCB5"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5B1A2567"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1519BE9B"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7B20026"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22BC825B"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4E19AA7"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4DF6B7FB"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sz w:val="14"/>
          <w:szCs w:val="14"/>
          <w:lang w:val="es-ES" w:eastAsia="es-ES"/>
          <w14:ligatures w14:val="none"/>
        </w:rPr>
      </w:pPr>
    </w:p>
    <w:p w14:paraId="0CFD04A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r w:rsidRPr="00F977F7">
        <w:rPr>
          <w:rFonts w:ascii="Calibri" w:eastAsia="Times New Roman" w:hAnsi="Calibri" w:cs="Calibri"/>
          <w:color w:val="000000"/>
          <w:kern w:val="0"/>
          <w:lang w:val="es-ES" w:eastAsia="es-ES"/>
          <w14:ligatures w14:val="none"/>
        </w:rPr>
        <w:t xml:space="preserve">d) </w:t>
      </w:r>
      <w:r w:rsidRPr="00F977F7">
        <w:rPr>
          <w:rFonts w:ascii="Calibri" w:eastAsia="Times New Roman" w:hAnsi="Calibri" w:cs="Calibri"/>
          <w:color w:val="000000"/>
          <w:kern w:val="0"/>
          <w:szCs w:val="20"/>
          <w:lang w:val="es-ES" w:eastAsia="es-ES"/>
          <w14:ligatures w14:val="none"/>
        </w:rPr>
        <w:t xml:space="preserve">En la plataforma virtual también dispondrá de guías generales que se encuentran en el material complementario de la sesión correspondiente para la participación en un foro y mediante la herramienta Big Blue </w:t>
      </w:r>
      <w:proofErr w:type="spellStart"/>
      <w:r w:rsidRPr="00F977F7">
        <w:rPr>
          <w:rFonts w:ascii="Calibri" w:eastAsia="Times New Roman" w:hAnsi="Calibri" w:cs="Calibri"/>
          <w:color w:val="000000"/>
          <w:kern w:val="0"/>
          <w:szCs w:val="20"/>
          <w:lang w:val="es-ES" w:eastAsia="es-ES"/>
          <w14:ligatures w14:val="none"/>
        </w:rPr>
        <w:t>Button</w:t>
      </w:r>
      <w:proofErr w:type="spellEnd"/>
      <w:r w:rsidRPr="00F977F7">
        <w:rPr>
          <w:rFonts w:ascii="Calibri" w:eastAsia="Times New Roman" w:hAnsi="Calibri" w:cs="Calibri"/>
          <w:color w:val="000000"/>
          <w:kern w:val="0"/>
          <w:szCs w:val="20"/>
          <w:lang w:val="es-ES" w:eastAsia="es-ES"/>
          <w14:ligatures w14:val="none"/>
        </w:rPr>
        <w:t xml:space="preserve"> en la plataforma Moodle, la elaboración de una reseña crítica de lectura y un mapa conceptual; así como de guías para los ensayos, el perfil y plan de capacitación docente, el diseño de una lección bíblica y el Manual de Educación Cristiana que se encuentran en la sección de actividades de la sesión correspondiente. </w:t>
      </w:r>
    </w:p>
    <w:p w14:paraId="61A961A6"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A14005C"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F977F7">
        <w:rPr>
          <w:rFonts w:ascii="Calibri" w:eastAsia="Times New Roman" w:hAnsi="Calibri" w:cs="Calibri"/>
          <w:color w:val="000000"/>
          <w:kern w:val="0"/>
          <w:lang w:val="es-ES" w:eastAsia="es-ES"/>
          <w14:ligatures w14:val="none"/>
        </w:rPr>
        <w:t>Strachan</w:t>
      </w:r>
      <w:proofErr w:type="spellEnd"/>
      <w:r w:rsidRPr="00F977F7">
        <w:rPr>
          <w:rFonts w:ascii="Calibri" w:eastAsia="Times New Roman" w:hAnsi="Calibri" w:cs="Calibri"/>
          <w:color w:val="000000"/>
          <w:kern w:val="0"/>
          <w:lang w:val="es-ES" w:eastAsia="es-ES"/>
          <w14:ligatures w14:val="none"/>
        </w:rPr>
        <w:t xml:space="preserve"> (</w:t>
      </w:r>
      <w:hyperlink r:id="rId428" w:history="1">
        <w:r w:rsidRPr="00F977F7">
          <w:rPr>
            <w:rFonts w:ascii="Calibri" w:eastAsia="Times New Roman" w:hAnsi="Calibri" w:cs="Calibri"/>
            <w:color w:val="0563C1"/>
            <w:kern w:val="0"/>
            <w:u w:val="single"/>
            <w:lang w:val="es-ES" w:eastAsia="es-ES"/>
            <w14:ligatures w14:val="none"/>
          </w:rPr>
          <w:t>https://www.ubl.ac.cr/biblioteca</w:t>
        </w:r>
      </w:hyperlink>
      <w:r w:rsidRPr="00F977F7">
        <w:rPr>
          <w:rFonts w:ascii="Calibri" w:eastAsia="Times New Roman" w:hAnsi="Calibri" w:cs="Calibri"/>
          <w:color w:val="000000"/>
          <w:kern w:val="0"/>
          <w:lang w:val="es-ES" w:eastAsia="es-ES"/>
          <w14:ligatures w14:val="none"/>
        </w:rPr>
        <w:t>), así como consultar el Portal de Revistas de la UBL (</w:t>
      </w:r>
      <w:hyperlink r:id="rId429" w:history="1">
        <w:r w:rsidRPr="00F977F7">
          <w:rPr>
            <w:rFonts w:ascii="Calibri" w:eastAsia="Times New Roman" w:hAnsi="Calibri" w:cs="Calibri"/>
            <w:color w:val="0563C1"/>
            <w:kern w:val="0"/>
            <w:u w:val="single"/>
            <w:lang w:val="es-ES" w:eastAsia="es-ES"/>
            <w14:ligatures w14:val="none"/>
          </w:rPr>
          <w:t>http://revistas.ubl.ac.cr/</w:t>
        </w:r>
      </w:hyperlink>
      <w:r w:rsidRPr="00F977F7">
        <w:rPr>
          <w:rFonts w:ascii="Calibri" w:eastAsia="Times New Roman" w:hAnsi="Calibri" w:cs="Calibri"/>
          <w:color w:val="000000"/>
          <w:kern w:val="0"/>
          <w:lang w:val="es-ES" w:eastAsia="es-ES"/>
          <w14:ligatures w14:val="none"/>
        </w:rPr>
        <w:t>). A través del correo de la biblioteca (</w:t>
      </w:r>
      <w:hyperlink r:id="rId430" w:history="1">
        <w:r w:rsidRPr="00F977F7">
          <w:rPr>
            <w:rFonts w:ascii="Calibri" w:eastAsia="Times New Roman" w:hAnsi="Calibri" w:cs="Calibri"/>
            <w:color w:val="0563C1"/>
            <w:kern w:val="0"/>
            <w:u w:val="single"/>
            <w:lang w:val="es-ES" w:eastAsia="es-ES"/>
            <w14:ligatures w14:val="none"/>
          </w:rPr>
          <w:t>biblioteca@ubl.ac.cr</w:t>
        </w:r>
      </w:hyperlink>
      <w:r w:rsidRPr="00F977F7">
        <w:rPr>
          <w:rFonts w:ascii="Calibri" w:eastAsia="Times New Roman" w:hAnsi="Calibri" w:cs="Calibri"/>
          <w:color w:val="000000"/>
          <w:kern w:val="0"/>
          <w:lang w:val="es-ES" w:eastAsia="es-ES"/>
          <w14:ligatures w14:val="none"/>
        </w:rPr>
        <w:t xml:space="preserve">) puede solicitar </w:t>
      </w:r>
      <w:r w:rsidRPr="00F977F7">
        <w:rPr>
          <w:rFonts w:ascii="Calibri" w:eastAsia="Times New Roman" w:hAnsi="Calibri" w:cs="Calibri"/>
          <w:color w:val="000000"/>
          <w:kern w:val="0"/>
          <w:lang w:val="es-ES" w:eastAsia="es-ES"/>
          <w14:ligatures w14:val="none"/>
        </w:rPr>
        <w:lastRenderedPageBreak/>
        <w:t>recursos que se encuentren en la colección física.</w:t>
      </w:r>
    </w:p>
    <w:p w14:paraId="2C5EA835"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667CA7A" w14:textId="52CBC22D"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 xml:space="preserve">f) </w:t>
      </w:r>
      <w:r w:rsidRPr="00F977F7">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F977F7">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431" w:history="1">
        <w:r w:rsidRPr="00F977F7">
          <w:rPr>
            <w:rFonts w:ascii="Calibri" w:eastAsia="Times New Roman" w:hAnsi="Calibri" w:cs="Calibri"/>
            <w:bCs/>
            <w:color w:val="0563C1"/>
            <w:kern w:val="0"/>
            <w:u w:val="single"/>
            <w:lang w:val="es-ES_tradnl" w:eastAsia="es-CR"/>
            <w14:ligatures w14:val="none"/>
          </w:rPr>
          <w:t>https://campus.ubl.ac.cr/course/index.php?categoryid=186</w:t>
        </w:r>
      </w:hyperlink>
      <w:r w:rsidRPr="00F977F7">
        <w:rPr>
          <w:rFonts w:ascii="Calibri" w:eastAsia="Times New Roman" w:hAnsi="Calibri" w:cs="Calibri"/>
          <w:color w:val="000000"/>
          <w:kern w:val="0"/>
          <w:lang w:val="es-ES" w:eastAsia="es-ES"/>
          <w14:ligatures w14:val="none"/>
        </w:rPr>
        <w:t xml:space="preserve"> </w:t>
      </w:r>
    </w:p>
    <w:p w14:paraId="16CF8044"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Calibri"/>
          <w:color w:val="000000"/>
          <w:kern w:val="0"/>
          <w:sz w:val="14"/>
          <w:szCs w:val="14"/>
          <w:lang w:val="es-ES" w:eastAsia="es-ES"/>
          <w14:ligatures w14:val="none"/>
        </w:rPr>
      </w:pPr>
    </w:p>
    <w:p w14:paraId="3178714B"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Calibri"/>
          <w:color w:val="000000"/>
          <w:kern w:val="0"/>
          <w:lang w:val="es-ES" w:eastAsia="es-ES"/>
          <w14:ligatures w14:val="none"/>
        </w:rPr>
      </w:pPr>
      <w:r w:rsidRPr="00F977F7">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749F13B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p>
    <w:p w14:paraId="15C58DD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p>
    <w:p w14:paraId="56DFF3F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Calibri"/>
          <w:color w:val="000000"/>
          <w:kern w:val="0"/>
          <w:szCs w:val="20"/>
          <w:lang w:val="es-ES" w:eastAsia="es-ES"/>
          <w14:ligatures w14:val="none"/>
        </w:rPr>
      </w:pPr>
    </w:p>
    <w:p w14:paraId="689FD3D3" w14:textId="77777777" w:rsidR="00F977F7" w:rsidRPr="00F977F7" w:rsidRDefault="00F977F7" w:rsidP="00F977F7">
      <w:pPr>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br w:type="page"/>
      </w:r>
    </w:p>
    <w:p w14:paraId="568E383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lastRenderedPageBreak/>
        <w:t>VIII. Cronograma de trabajo</w:t>
      </w:r>
    </w:p>
    <w:p w14:paraId="290F8BC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Arial" w:eastAsia="Times New Roman" w:hAnsi="Arial" w:cs="Arial"/>
          <w:b/>
          <w:kern w:val="0"/>
          <w:sz w:val="24"/>
          <w:szCs w:val="24"/>
          <w:lang w:val="es-ES_tradnl" w:eastAsia="es-CR"/>
          <w14:ligatures w14:val="none"/>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1"/>
        <w:gridCol w:w="2410"/>
        <w:gridCol w:w="2977"/>
        <w:gridCol w:w="3260"/>
      </w:tblGrid>
      <w:tr w:rsidR="00F977F7" w:rsidRPr="00F977F7" w14:paraId="06802E87" w14:textId="77777777" w:rsidTr="4C9C2619">
        <w:trPr>
          <w:trHeight w:val="463"/>
          <w:jc w:val="center"/>
        </w:trPr>
        <w:tc>
          <w:tcPr>
            <w:tcW w:w="1271" w:type="dxa"/>
            <w:vMerge w:val="restart"/>
            <w:vAlign w:val="center"/>
          </w:tcPr>
          <w:p w14:paraId="5471CCB9" w14:textId="77777777" w:rsidR="00F977F7" w:rsidRPr="00F977F7" w:rsidRDefault="00F977F7" w:rsidP="00F977F7">
            <w:pPr>
              <w:keepNext/>
              <w:keepLines/>
              <w:widowControl w:val="0"/>
              <w:overflowPunct w:val="0"/>
              <w:autoSpaceDE w:val="0"/>
              <w:autoSpaceDN w:val="0"/>
              <w:adjustRightInd w:val="0"/>
              <w:spacing w:after="0" w:line="240" w:lineRule="auto"/>
              <w:jc w:val="center"/>
              <w:outlineLvl w:val="1"/>
              <w:rPr>
                <w:rFonts w:ascii="Calibri" w:eastAsia="Times New Roman" w:hAnsi="Calibri" w:cs="Arial"/>
                <w:b/>
                <w:color w:val="000000"/>
                <w:kern w:val="0"/>
                <w:sz w:val="24"/>
                <w:szCs w:val="24"/>
                <w:lang w:val="es-ES_tradnl" w:eastAsia="es-CR" w:bidi="x-none"/>
                <w14:ligatures w14:val="none"/>
              </w:rPr>
            </w:pPr>
            <w:r w:rsidRPr="00F977F7">
              <w:rPr>
                <w:rFonts w:ascii="Calibri" w:eastAsia="Times New Roman" w:hAnsi="Calibri" w:cs="Arial"/>
                <w:b/>
                <w:color w:val="000000"/>
                <w:kern w:val="0"/>
                <w:sz w:val="24"/>
                <w:szCs w:val="24"/>
                <w:lang w:val="es-ES_tradnl" w:eastAsia="es-CR" w:bidi="x-none"/>
                <w14:ligatures w14:val="none"/>
              </w:rPr>
              <w:t>Sesión</w:t>
            </w:r>
          </w:p>
          <w:p w14:paraId="2CC7ABFA" w14:textId="77777777" w:rsidR="00F977F7" w:rsidRPr="00F977F7" w:rsidRDefault="00F977F7" w:rsidP="00F977F7">
            <w:pPr>
              <w:keepNext/>
              <w:keepLines/>
              <w:widowControl w:val="0"/>
              <w:overflowPunct w:val="0"/>
              <w:autoSpaceDE w:val="0"/>
              <w:autoSpaceDN w:val="0"/>
              <w:adjustRightInd w:val="0"/>
              <w:spacing w:after="0" w:line="240" w:lineRule="auto"/>
              <w:jc w:val="center"/>
              <w:outlineLvl w:val="1"/>
              <w:rPr>
                <w:rFonts w:ascii="Calibri" w:eastAsia="Times New Roman" w:hAnsi="Calibri" w:cs="Arial"/>
                <w:b/>
                <w:color w:val="000000"/>
                <w:kern w:val="0"/>
                <w:sz w:val="16"/>
                <w:szCs w:val="16"/>
                <w:lang w:val="es-ES_tradnl" w:eastAsia="es-CR" w:bidi="x-none"/>
                <w14:ligatures w14:val="none"/>
              </w:rPr>
            </w:pPr>
            <w:r w:rsidRPr="00F977F7">
              <w:rPr>
                <w:rFonts w:ascii="Calibri" w:eastAsia="Times New Roman" w:hAnsi="Calibri" w:cs="Arial"/>
                <w:b/>
                <w:color w:val="000000"/>
                <w:kern w:val="0"/>
                <w:sz w:val="24"/>
                <w:szCs w:val="24"/>
                <w:lang w:val="es-ES_tradnl" w:eastAsia="es-CR" w:bidi="x-none"/>
                <w14:ligatures w14:val="none"/>
              </w:rPr>
              <w:t>(semana)</w:t>
            </w:r>
          </w:p>
        </w:tc>
        <w:tc>
          <w:tcPr>
            <w:tcW w:w="2410" w:type="dxa"/>
            <w:vMerge w:val="restart"/>
            <w:vAlign w:val="center"/>
          </w:tcPr>
          <w:p w14:paraId="031D5656" w14:textId="77777777" w:rsidR="00F977F7" w:rsidRPr="00F977F7" w:rsidRDefault="00F977F7" w:rsidP="00F977F7">
            <w:pPr>
              <w:keepNext/>
              <w:keepLines/>
              <w:widowControl w:val="0"/>
              <w:overflowPunct w:val="0"/>
              <w:autoSpaceDE w:val="0"/>
              <w:autoSpaceDN w:val="0"/>
              <w:adjustRightInd w:val="0"/>
              <w:spacing w:after="0" w:line="240" w:lineRule="auto"/>
              <w:jc w:val="center"/>
              <w:outlineLvl w:val="1"/>
              <w:rPr>
                <w:rFonts w:ascii="Calibri" w:eastAsia="Times New Roman" w:hAnsi="Calibri" w:cs="Arial"/>
                <w:b/>
                <w:kern w:val="0"/>
                <w:sz w:val="24"/>
                <w:szCs w:val="24"/>
                <w:lang w:val="es-ES_tradnl" w:eastAsia="es-CR" w:bidi="x-none"/>
                <w14:ligatures w14:val="none"/>
              </w:rPr>
            </w:pPr>
            <w:r w:rsidRPr="00F977F7">
              <w:rPr>
                <w:rFonts w:ascii="Calibri" w:eastAsia="Times New Roman" w:hAnsi="Calibri" w:cs="Arial"/>
                <w:b/>
                <w:kern w:val="0"/>
                <w:sz w:val="24"/>
                <w:szCs w:val="24"/>
                <w:lang w:val="es-ES_tradnl" w:eastAsia="es-CR" w:bidi="x-none"/>
                <w14:ligatures w14:val="none"/>
              </w:rPr>
              <w:t>Contenidos temáticos</w:t>
            </w:r>
          </w:p>
        </w:tc>
        <w:tc>
          <w:tcPr>
            <w:tcW w:w="6237" w:type="dxa"/>
            <w:gridSpan w:val="2"/>
            <w:vAlign w:val="center"/>
          </w:tcPr>
          <w:p w14:paraId="1785E3C8" w14:textId="77777777" w:rsidR="00F977F7" w:rsidRPr="00F977F7" w:rsidRDefault="00F977F7" w:rsidP="00F977F7">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bidi="x-none"/>
                <w14:ligatures w14:val="none"/>
              </w:rPr>
            </w:pPr>
            <w:r w:rsidRPr="00F977F7">
              <w:rPr>
                <w:rFonts w:ascii="Calibri" w:eastAsia="Times New Roman" w:hAnsi="Calibri" w:cs="Arial"/>
                <w:b/>
                <w:kern w:val="0"/>
                <w:sz w:val="24"/>
                <w:szCs w:val="24"/>
                <w:lang w:val="es-ES_tradnl" w:eastAsia="es-CR" w:bidi="x-none"/>
                <w14:ligatures w14:val="none"/>
              </w:rPr>
              <w:t>Actividades de enseñanza-aprendizaje</w:t>
            </w:r>
          </w:p>
        </w:tc>
      </w:tr>
      <w:tr w:rsidR="00F977F7" w:rsidRPr="00F977F7" w14:paraId="6E7F738A" w14:textId="77777777" w:rsidTr="4C9C2619">
        <w:trPr>
          <w:trHeight w:val="413"/>
          <w:jc w:val="center"/>
        </w:trPr>
        <w:tc>
          <w:tcPr>
            <w:tcW w:w="1271" w:type="dxa"/>
            <w:vMerge/>
            <w:vAlign w:val="center"/>
          </w:tcPr>
          <w:p w14:paraId="7E85A45E" w14:textId="77777777" w:rsidR="00F977F7" w:rsidRPr="00F977F7" w:rsidRDefault="00F977F7" w:rsidP="00F977F7">
            <w:pPr>
              <w:keepNext/>
              <w:keepLines/>
              <w:widowControl w:val="0"/>
              <w:overflowPunct w:val="0"/>
              <w:autoSpaceDE w:val="0"/>
              <w:autoSpaceDN w:val="0"/>
              <w:adjustRightInd w:val="0"/>
              <w:spacing w:after="0" w:line="240" w:lineRule="auto"/>
              <w:jc w:val="center"/>
              <w:outlineLvl w:val="1"/>
              <w:rPr>
                <w:rFonts w:ascii="Calibri" w:eastAsia="Times New Roman" w:hAnsi="Calibri" w:cs="Arial"/>
                <w:b/>
                <w:color w:val="000000"/>
                <w:kern w:val="0"/>
                <w:lang w:val="es-ES_tradnl" w:eastAsia="es-CR" w:bidi="x-none"/>
                <w14:ligatures w14:val="none"/>
              </w:rPr>
            </w:pPr>
          </w:p>
        </w:tc>
        <w:tc>
          <w:tcPr>
            <w:tcW w:w="2410" w:type="dxa"/>
            <w:vMerge/>
            <w:vAlign w:val="center"/>
          </w:tcPr>
          <w:p w14:paraId="67FF943F" w14:textId="77777777" w:rsidR="00F977F7" w:rsidRPr="00F977F7" w:rsidRDefault="00F977F7" w:rsidP="00F977F7">
            <w:pPr>
              <w:keepNext/>
              <w:keepLines/>
              <w:widowControl w:val="0"/>
              <w:overflowPunct w:val="0"/>
              <w:autoSpaceDE w:val="0"/>
              <w:autoSpaceDN w:val="0"/>
              <w:adjustRightInd w:val="0"/>
              <w:spacing w:after="0" w:line="240" w:lineRule="auto"/>
              <w:jc w:val="center"/>
              <w:outlineLvl w:val="1"/>
              <w:rPr>
                <w:rFonts w:ascii="Calibri" w:eastAsia="Times New Roman" w:hAnsi="Calibri" w:cs="Arial"/>
                <w:b/>
                <w:kern w:val="0"/>
                <w:lang w:val="es-ES_tradnl" w:eastAsia="es-CR" w:bidi="x-none"/>
                <w14:ligatures w14:val="none"/>
              </w:rPr>
            </w:pPr>
          </w:p>
        </w:tc>
        <w:tc>
          <w:tcPr>
            <w:tcW w:w="2977" w:type="dxa"/>
            <w:vAlign w:val="center"/>
          </w:tcPr>
          <w:p w14:paraId="52E71684" w14:textId="77777777" w:rsidR="00F977F7" w:rsidRPr="00F977F7" w:rsidRDefault="00F977F7" w:rsidP="00F977F7">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bidi="x-none"/>
                <w14:ligatures w14:val="none"/>
              </w:rPr>
            </w:pPr>
            <w:r w:rsidRPr="00F977F7">
              <w:rPr>
                <w:rFonts w:ascii="Calibri" w:eastAsia="Times New Roman" w:hAnsi="Calibri" w:cs="Arial"/>
                <w:b/>
                <w:kern w:val="0"/>
                <w:sz w:val="24"/>
                <w:szCs w:val="24"/>
                <w:lang w:val="es-ES_tradnl" w:eastAsia="es-CR" w:bidi="x-none"/>
                <w14:ligatures w14:val="none"/>
              </w:rPr>
              <w:t>Recursos didácticos</w:t>
            </w:r>
          </w:p>
        </w:tc>
        <w:tc>
          <w:tcPr>
            <w:tcW w:w="3260" w:type="dxa"/>
            <w:vAlign w:val="center"/>
          </w:tcPr>
          <w:p w14:paraId="0657B9CC" w14:textId="77777777" w:rsidR="00F977F7" w:rsidRPr="00F977F7" w:rsidRDefault="00F977F7" w:rsidP="00F977F7">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bidi="x-none"/>
                <w14:ligatures w14:val="none"/>
              </w:rPr>
            </w:pPr>
            <w:r w:rsidRPr="00F977F7">
              <w:rPr>
                <w:rFonts w:ascii="Calibri" w:eastAsia="Times New Roman" w:hAnsi="Calibri" w:cs="Arial"/>
                <w:b/>
                <w:kern w:val="0"/>
                <w:sz w:val="24"/>
                <w:szCs w:val="24"/>
                <w:lang w:val="es-ES_tradnl" w:eastAsia="es-CR" w:bidi="x-none"/>
                <w14:ligatures w14:val="none"/>
              </w:rPr>
              <w:t>Actividades de aprendizaje</w:t>
            </w:r>
          </w:p>
        </w:tc>
      </w:tr>
      <w:tr w:rsidR="00F977F7" w:rsidRPr="00F977F7" w14:paraId="429A8085" w14:textId="77777777" w:rsidTr="4C9C2619">
        <w:trPr>
          <w:jc w:val="center"/>
        </w:trPr>
        <w:tc>
          <w:tcPr>
            <w:tcW w:w="1271" w:type="dxa"/>
          </w:tcPr>
          <w:p w14:paraId="2A806A53"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1B7BA8ED"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w:t>
            </w:r>
          </w:p>
          <w:p w14:paraId="720C5D78" w14:textId="77777777" w:rsidR="00F977F7" w:rsidRPr="00F977F7" w:rsidRDefault="00F977F7" w:rsidP="00F977F7">
            <w:pPr>
              <w:tabs>
                <w:tab w:val="right" w:leader="dot" w:pos="8640"/>
              </w:tabs>
              <w:spacing w:after="0" w:line="240" w:lineRule="auto"/>
              <w:ind w:left="170"/>
              <w:jc w:val="center"/>
              <w:rPr>
                <w:rFonts w:ascii="Calibri" w:eastAsia="Times New Roman" w:hAnsi="Calibri" w:cs="Calibri"/>
                <w:color w:val="FF0000"/>
                <w:kern w:val="0"/>
                <w:lang w:val="es-ES_tradnl" w:eastAsia="es-CR" w:bidi="x-none"/>
                <w14:ligatures w14:val="none"/>
              </w:rPr>
            </w:pPr>
          </w:p>
        </w:tc>
        <w:tc>
          <w:tcPr>
            <w:tcW w:w="2410" w:type="dxa"/>
          </w:tcPr>
          <w:p w14:paraId="5F6AA87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1: Aportes desde la teología: ¿Hacia dónde vamos?</w:t>
            </w:r>
          </w:p>
          <w:p w14:paraId="19CE08B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1.1 La experiencia personal</w:t>
            </w:r>
          </w:p>
        </w:tc>
        <w:tc>
          <w:tcPr>
            <w:tcW w:w="2977" w:type="dxa"/>
          </w:tcPr>
          <w:p w14:paraId="10323240" w14:textId="77777777" w:rsidR="00F977F7" w:rsidRPr="00F977F7" w:rsidRDefault="00F977F7" w:rsidP="00F977F7">
            <w:pPr>
              <w:spacing w:after="0" w:line="240" w:lineRule="auto"/>
              <w:rPr>
                <w:rFonts w:ascii="Calibri" w:eastAsia="Times New Roman" w:hAnsi="Calibri" w:cs="Calibri"/>
                <w:color w:val="0070C0"/>
                <w:kern w:val="0"/>
                <w:lang w:val="es-ES_tradnl" w:eastAsia="es-CR" w:bidi="x-none"/>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70BE70D4" w14:textId="77777777" w:rsidR="00F977F7" w:rsidRPr="00F977F7" w:rsidRDefault="00F977F7" w:rsidP="00F977F7">
            <w:pPr>
              <w:spacing w:after="0" w:line="240" w:lineRule="auto"/>
              <w:rPr>
                <w:rFonts w:ascii="Calibri" w:eastAsia="Times New Roman" w:hAnsi="Calibri" w:cs="Calibri"/>
                <w:color w:val="0070C0"/>
                <w:kern w:val="0"/>
                <w:lang w:val="es-ES_tradnl" w:eastAsia="es-CR" w:bidi="x-none"/>
                <w14:ligatures w14:val="none"/>
              </w:rPr>
            </w:pPr>
          </w:p>
          <w:p w14:paraId="54FB5BF7"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4A0402BF"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p>
          <w:p w14:paraId="16EA486F" w14:textId="77777777" w:rsidR="00F977F7" w:rsidRPr="00F977F7" w:rsidRDefault="00F977F7" w:rsidP="00F977F7">
            <w:pPr>
              <w:spacing w:after="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p w14:paraId="34E98525" w14:textId="77777777" w:rsidR="00F977F7" w:rsidRPr="00F977F7" w:rsidRDefault="00F977F7" w:rsidP="00F977F7">
            <w:pPr>
              <w:spacing w:after="0" w:line="240" w:lineRule="auto"/>
              <w:rPr>
                <w:rFonts w:ascii="Calibri" w:eastAsia="Times New Roman" w:hAnsi="Calibri" w:cs="Calibri"/>
                <w:bCs/>
                <w:color w:val="0070C0"/>
                <w:kern w:val="0"/>
                <w:lang w:eastAsia="es-CR"/>
                <w14:ligatures w14:val="none"/>
              </w:rPr>
            </w:pPr>
          </w:p>
          <w:p w14:paraId="7DA5A678" w14:textId="77777777" w:rsidR="00F977F7" w:rsidRPr="00F977F7" w:rsidRDefault="00F977F7" w:rsidP="00F977F7">
            <w:pPr>
              <w:spacing w:after="0" w:line="240" w:lineRule="auto"/>
              <w:rPr>
                <w:rFonts w:ascii="Calibri" w:eastAsia="Times New Roman" w:hAnsi="Calibri" w:cs="Calibri"/>
                <w:bCs/>
                <w:color w:val="0070C0"/>
                <w:kern w:val="0"/>
                <w:lang w:val="es-ES_tradnl" w:eastAsia="es-CR" w:bidi="x-none"/>
                <w14:ligatures w14:val="none"/>
              </w:rPr>
            </w:pPr>
            <w:r w:rsidRPr="00F977F7">
              <w:rPr>
                <w:rFonts w:ascii="Calibri" w:eastAsia="Times New Roman" w:hAnsi="Calibri" w:cs="Calibri"/>
                <w:bCs/>
                <w:color w:val="0070C0"/>
                <w:kern w:val="0"/>
                <w:lang w:eastAsia="es-CR"/>
                <w14:ligatures w14:val="none"/>
              </w:rPr>
              <w:t xml:space="preserve">Guía para la participación mediante la herramienta Big Blue </w:t>
            </w:r>
            <w:proofErr w:type="spellStart"/>
            <w:r w:rsidRPr="00F977F7">
              <w:rPr>
                <w:rFonts w:ascii="Calibri" w:eastAsia="Times New Roman" w:hAnsi="Calibri" w:cs="Calibri"/>
                <w:bCs/>
                <w:color w:val="0070C0"/>
                <w:kern w:val="0"/>
                <w:lang w:eastAsia="es-CR"/>
                <w14:ligatures w14:val="none"/>
              </w:rPr>
              <w:t>Button</w:t>
            </w:r>
            <w:proofErr w:type="spellEnd"/>
            <w:r w:rsidRPr="00F977F7">
              <w:rPr>
                <w:rFonts w:ascii="Calibri" w:eastAsia="Times New Roman" w:hAnsi="Calibri" w:cs="Calibri"/>
                <w:bCs/>
                <w:color w:val="0070C0"/>
                <w:kern w:val="0"/>
                <w:lang w:eastAsia="es-CR"/>
                <w14:ligatures w14:val="none"/>
              </w:rPr>
              <w:t xml:space="preserve"> en la plataforma Moodle</w:t>
            </w:r>
          </w:p>
        </w:tc>
        <w:tc>
          <w:tcPr>
            <w:tcW w:w="3260" w:type="dxa"/>
          </w:tcPr>
          <w:p w14:paraId="56F0351D"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Participación en el foro social CAFETERÍA.</w:t>
            </w:r>
          </w:p>
          <w:p w14:paraId="58328C8D"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Participación en el foro de dudas.</w:t>
            </w:r>
          </w:p>
          <w:p w14:paraId="2646D018"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temático: Compartiendo experiencias de la educación cristiana. </w:t>
            </w:r>
          </w:p>
          <w:p w14:paraId="05A9FE84"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6595C09A"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Inicia la elaboración de un Manual de Educación Cristiana.</w:t>
            </w:r>
          </w:p>
          <w:p w14:paraId="3D0ACC0E"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p>
          <w:p w14:paraId="62431571"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p>
        </w:tc>
      </w:tr>
      <w:tr w:rsidR="00F977F7" w:rsidRPr="00F977F7" w14:paraId="453E00B1" w14:textId="77777777" w:rsidTr="4C9C2619">
        <w:trPr>
          <w:jc w:val="center"/>
        </w:trPr>
        <w:tc>
          <w:tcPr>
            <w:tcW w:w="1271" w:type="dxa"/>
          </w:tcPr>
          <w:p w14:paraId="3C413A7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2D6BEFD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2</w:t>
            </w:r>
          </w:p>
          <w:p w14:paraId="20DE0A4A"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013D8F47"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31AE5AD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1: Aportes desde la teología: ¿Hacia dónde vamos?</w:t>
            </w:r>
          </w:p>
          <w:p w14:paraId="08DF4E29" w14:textId="77777777" w:rsidR="00F977F7" w:rsidRPr="00F977F7" w:rsidRDefault="00F977F7" w:rsidP="00F977F7">
            <w:pPr>
              <w:keepNext/>
              <w:keepLines/>
              <w:widowControl w:val="0"/>
              <w:tabs>
                <w:tab w:val="right" w:leader="dot" w:pos="8640"/>
              </w:tabs>
              <w:overflowPunct w:val="0"/>
              <w:autoSpaceDE w:val="0"/>
              <w:autoSpaceDN w:val="0"/>
              <w:adjustRightInd w:val="0"/>
              <w:spacing w:before="120" w:after="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1.2 La historia de la educación cristiana</w:t>
            </w:r>
          </w:p>
        </w:tc>
        <w:tc>
          <w:tcPr>
            <w:tcW w:w="2977" w:type="dxa"/>
          </w:tcPr>
          <w:p w14:paraId="79C6436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46140FE8"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George, </w:t>
            </w:r>
            <w:proofErr w:type="spellStart"/>
            <w:r w:rsidRPr="00F977F7">
              <w:rPr>
                <w:rFonts w:ascii="Calibri" w:eastAsia="Times New Roman" w:hAnsi="Calibri" w:cs="Calibri"/>
                <w:kern w:val="0"/>
                <w:lang w:eastAsia="es-CR"/>
                <w14:ligatures w14:val="none"/>
              </w:rPr>
              <w:t>Sherron</w:t>
            </w:r>
            <w:proofErr w:type="spellEnd"/>
            <w:r w:rsidRPr="00F977F7">
              <w:rPr>
                <w:rFonts w:ascii="Calibri" w:eastAsia="Times New Roman" w:hAnsi="Calibri" w:cs="Calibri"/>
                <w:kern w:val="0"/>
                <w:lang w:eastAsia="es-CR"/>
                <w14:ligatures w14:val="none"/>
              </w:rPr>
              <w:t xml:space="preserve">. “La Enseñanza en el Antiguo Testamento”, “La Enseñanza en el Nuevo Testamento”, “La Enseñanza en la Historia de la Iglesia”. En </w:t>
            </w:r>
            <w:r w:rsidRPr="00F977F7">
              <w:rPr>
                <w:rFonts w:ascii="Calibri" w:eastAsia="Times New Roman" w:hAnsi="Calibri" w:cs="Calibri"/>
                <w:i/>
                <w:kern w:val="0"/>
                <w:lang w:eastAsia="es-CR"/>
                <w14:ligatures w14:val="none"/>
              </w:rPr>
              <w:t xml:space="preserve">La Iglesia que educa: fundamentos bíblico-teológicos y pedagógicos de la educación cristiana, </w:t>
            </w:r>
            <w:r w:rsidRPr="00F977F7">
              <w:rPr>
                <w:rFonts w:ascii="Calibri" w:eastAsia="Times New Roman" w:hAnsi="Calibri" w:cs="Calibri"/>
                <w:kern w:val="0"/>
                <w:lang w:eastAsia="es-CR"/>
                <w14:ligatures w14:val="none"/>
              </w:rPr>
              <w:t>27-67.</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Quito: CLAI, 2005. </w:t>
            </w:r>
            <w:r w:rsidRPr="00F977F7">
              <w:rPr>
                <w:rFonts w:ascii="Calibri" w:eastAsia="Times New Roman" w:hAnsi="Calibri" w:cs="Calibri"/>
                <w:color w:val="0070C0"/>
                <w:kern w:val="0"/>
                <w:lang w:eastAsia="es-CR"/>
                <w14:ligatures w14:val="none"/>
              </w:rPr>
              <w:t>(clásico, última edición)</w:t>
            </w:r>
          </w:p>
          <w:p w14:paraId="0AB31EE9"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14B58C24"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proofErr w:type="spellStart"/>
            <w:r w:rsidRPr="00F977F7">
              <w:rPr>
                <w:rFonts w:ascii="Calibri" w:eastAsia="Times New Roman" w:hAnsi="Calibri" w:cs="Calibri"/>
                <w:kern w:val="0"/>
                <w:lang w:val="es-ES_tradnl" w:eastAsia="es-CR"/>
                <w14:ligatures w14:val="none"/>
              </w:rPr>
              <w:t>Floristán</w:t>
            </w:r>
            <w:proofErr w:type="spellEnd"/>
            <w:r w:rsidRPr="00F977F7">
              <w:rPr>
                <w:rFonts w:ascii="Calibri" w:eastAsia="Times New Roman" w:hAnsi="Calibri" w:cs="Calibri"/>
                <w:kern w:val="0"/>
                <w:lang w:val="es-ES_tradnl" w:eastAsia="es-CR"/>
                <w14:ligatures w14:val="none"/>
              </w:rPr>
              <w:t xml:space="preserve">, Casiano. “El catecumenado”, “La catequesis de adultos”. En </w:t>
            </w:r>
            <w:r w:rsidRPr="00F977F7">
              <w:rPr>
                <w:rFonts w:ascii="Calibri" w:eastAsia="Times New Roman" w:hAnsi="Calibri" w:cs="Calibri"/>
                <w:i/>
                <w:kern w:val="0"/>
                <w:lang w:val="es-ES_tradnl" w:eastAsia="es-CR"/>
                <w14:ligatures w14:val="none"/>
              </w:rPr>
              <w:t xml:space="preserve">Teología Práctica. Teoría y praxis de la acción pastoral, </w:t>
            </w:r>
            <w:r w:rsidRPr="00F977F7">
              <w:rPr>
                <w:rFonts w:ascii="Calibri" w:eastAsia="Times New Roman" w:hAnsi="Calibri" w:cs="Calibri"/>
                <w:kern w:val="0"/>
                <w:lang w:val="es-ES_tradnl" w:eastAsia="es-CR"/>
                <w14:ligatures w14:val="none"/>
              </w:rPr>
              <w:t>459-463 y 445-457.</w:t>
            </w:r>
            <w:r w:rsidRPr="00F977F7">
              <w:rPr>
                <w:rFonts w:ascii="Calibri" w:eastAsia="Times New Roman" w:hAnsi="Calibri" w:cs="Calibri"/>
                <w:i/>
                <w:kern w:val="0"/>
                <w:lang w:val="es-ES_tradnl" w:eastAsia="es-CR"/>
                <w14:ligatures w14:val="none"/>
              </w:rPr>
              <w:t xml:space="preserve"> </w:t>
            </w:r>
            <w:r w:rsidRPr="00F977F7">
              <w:rPr>
                <w:rFonts w:ascii="Calibri" w:eastAsia="Times New Roman" w:hAnsi="Calibri" w:cs="Calibri"/>
                <w:kern w:val="0"/>
                <w:lang w:val="es-ES_tradnl" w:eastAsia="es-CR"/>
                <w14:ligatures w14:val="none"/>
              </w:rPr>
              <w:t xml:space="preserve">Salamanca: Sígueme, 1993. </w:t>
            </w:r>
            <w:r w:rsidRPr="00F977F7">
              <w:rPr>
                <w:rFonts w:ascii="Calibri" w:eastAsia="Times New Roman" w:hAnsi="Calibri" w:cs="Calibri"/>
                <w:color w:val="0070C0"/>
                <w:kern w:val="0"/>
                <w:lang w:eastAsia="es-CR"/>
                <w14:ligatures w14:val="none"/>
              </w:rPr>
              <w:t>(clásico, última reimpresión, 2009)</w:t>
            </w:r>
          </w:p>
          <w:p w14:paraId="13CDFD19" w14:textId="77777777" w:rsidR="00F977F7" w:rsidRPr="00F977F7" w:rsidRDefault="00F977F7" w:rsidP="00F977F7">
            <w:pPr>
              <w:spacing w:after="0" w:line="240" w:lineRule="auto"/>
              <w:contextualSpacing/>
              <w:rPr>
                <w:rFonts w:ascii="Calibri" w:eastAsia="MS Mincho" w:hAnsi="Calibri" w:cs="Calibri"/>
                <w:kern w:val="0"/>
                <w:lang w:val="es-ES_tradnl"/>
                <w14:ligatures w14:val="none"/>
              </w:rPr>
            </w:pPr>
          </w:p>
          <w:p w14:paraId="60736E83"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Times New Roman"/>
                <w:kern w:val="0"/>
                <w:shd w:val="clear" w:color="auto" w:fill="FFFFFF"/>
                <w:lang w:val="es-ES_tradnl" w:eastAsia="es-CR"/>
                <w14:ligatures w14:val="none"/>
              </w:rPr>
              <w:lastRenderedPageBreak/>
              <w:t xml:space="preserve">Ordoñez </w:t>
            </w:r>
            <w:proofErr w:type="spellStart"/>
            <w:r w:rsidRPr="00F977F7">
              <w:rPr>
                <w:rFonts w:ascii="Calibri" w:eastAsia="Times New Roman" w:hAnsi="Calibri" w:cs="Times New Roman"/>
                <w:kern w:val="0"/>
                <w:shd w:val="clear" w:color="auto" w:fill="FFFFFF"/>
                <w:lang w:val="es-ES_tradnl" w:eastAsia="es-CR"/>
                <w14:ligatures w14:val="none"/>
              </w:rPr>
              <w:t>Peñalonzo</w:t>
            </w:r>
            <w:proofErr w:type="spellEnd"/>
            <w:r w:rsidRPr="00F977F7">
              <w:rPr>
                <w:rFonts w:ascii="Calibri" w:eastAsia="Times New Roman" w:hAnsi="Calibri" w:cs="Times New Roman"/>
                <w:kern w:val="0"/>
                <w:shd w:val="clear" w:color="auto" w:fill="FFFFFF"/>
                <w:lang w:val="es-ES_tradnl" w:eastAsia="es-CR"/>
                <w14:ligatures w14:val="none"/>
              </w:rPr>
              <w:t xml:space="preserve">, Jacinto. “Los aportes pedagógicos de la historia de la educación”. En </w:t>
            </w:r>
            <w:r w:rsidRPr="00F977F7">
              <w:rPr>
                <w:rFonts w:ascii="Calibri" w:eastAsia="Times New Roman" w:hAnsi="Calibri" w:cs="Times New Roman"/>
                <w:i/>
                <w:iCs/>
                <w:kern w:val="0"/>
                <w:shd w:val="clear" w:color="auto" w:fill="FFFFFF"/>
                <w:lang w:val="es-ES_tradnl" w:eastAsia="es-CR"/>
                <w14:ligatures w14:val="none"/>
              </w:rPr>
              <w:t>Introducción a la Pedagogía</w:t>
            </w:r>
            <w:r w:rsidRPr="00F977F7">
              <w:rPr>
                <w:rFonts w:ascii="Calibri" w:eastAsia="Times New Roman" w:hAnsi="Calibri" w:cs="Times New Roman"/>
                <w:kern w:val="0"/>
                <w:shd w:val="clear" w:color="auto" w:fill="FFFFFF"/>
                <w:lang w:val="es-ES_tradnl" w:eastAsia="es-CR"/>
                <w14:ligatures w14:val="none"/>
              </w:rPr>
              <w:t xml:space="preserve">, 151-162. San José, Costa Rica: EUNED, 2008. </w:t>
            </w:r>
            <w:r w:rsidRPr="00F977F7">
              <w:rPr>
                <w:rFonts w:ascii="Calibri" w:eastAsia="Times New Roman" w:hAnsi="Calibri" w:cs="Calibri"/>
                <w:color w:val="0070C0"/>
                <w:kern w:val="0"/>
                <w:lang w:eastAsia="es-CR"/>
                <w14:ligatures w14:val="none"/>
              </w:rPr>
              <w:t>(clásico, última edición)</w:t>
            </w:r>
          </w:p>
        </w:tc>
        <w:tc>
          <w:tcPr>
            <w:tcW w:w="3260" w:type="dxa"/>
          </w:tcPr>
          <w:p w14:paraId="47638DE7"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lastRenderedPageBreak/>
              <w:t xml:space="preserve">Elaboración de un ensayo sobre la historia de la educación cristiana. </w:t>
            </w:r>
          </w:p>
          <w:p w14:paraId="5147A97D"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tc>
      </w:tr>
      <w:tr w:rsidR="00F977F7" w:rsidRPr="00F977F7" w14:paraId="6C04C50E" w14:textId="77777777" w:rsidTr="4C9C2619">
        <w:trPr>
          <w:jc w:val="center"/>
        </w:trPr>
        <w:tc>
          <w:tcPr>
            <w:tcW w:w="1271" w:type="dxa"/>
          </w:tcPr>
          <w:p w14:paraId="76AD6FC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76A6DBB8"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3</w:t>
            </w:r>
          </w:p>
          <w:p w14:paraId="7A48105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9A896A1"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tc>
        <w:tc>
          <w:tcPr>
            <w:tcW w:w="2410" w:type="dxa"/>
          </w:tcPr>
          <w:p w14:paraId="13A7660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1: Aportes desde la teología: ¿Hacia dónde vamos?</w:t>
            </w:r>
          </w:p>
          <w:p w14:paraId="18029FBF"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1.3 Acercamientos a la educación cristiana</w:t>
            </w:r>
          </w:p>
        </w:tc>
        <w:tc>
          <w:tcPr>
            <w:tcW w:w="2977" w:type="dxa"/>
          </w:tcPr>
          <w:p w14:paraId="37B71D8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06F3C3C5"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“Guías prácticas”.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127-135.</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50AA113E"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2764459A"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“¿Qué deseamos lograr? Acercamientos a la educación cristiana”.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25-41.</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4CCEE2C3"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37DE270F"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kern w:val="0"/>
                <w:lang w:eastAsia="es-CR"/>
                <w14:ligatures w14:val="none"/>
              </w:rPr>
            </w:pPr>
            <w:r w:rsidRPr="00F977F7">
              <w:rPr>
                <w:rFonts w:ascii="Calibri" w:eastAsia="Times New Roman" w:hAnsi="Calibri" w:cs="Calibri"/>
                <w:b/>
                <w:kern w:val="0"/>
                <w:lang w:eastAsia="es-CR"/>
                <w14:ligatures w14:val="none"/>
              </w:rPr>
              <w:t>Material complementario</w:t>
            </w:r>
          </w:p>
          <w:p w14:paraId="608D4A95" w14:textId="77777777" w:rsidR="00F977F7" w:rsidRPr="00F977F7" w:rsidRDefault="00F977F7" w:rsidP="4C9C2619">
            <w:pPr>
              <w:widowControl w:val="0"/>
              <w:overflowPunct w:val="0"/>
              <w:autoSpaceDE w:val="0"/>
              <w:autoSpaceDN w:val="0"/>
              <w:adjustRightInd w:val="0"/>
              <w:spacing w:before="120" w:after="120" w:line="240" w:lineRule="auto"/>
              <w:rPr>
                <w:rFonts w:ascii="Calibri" w:eastAsia="Times New Roman" w:hAnsi="Calibri" w:cs="Calibri"/>
                <w:color w:val="0563C1"/>
                <w:kern w:val="0"/>
                <w:u w:val="single"/>
                <w:lang w:val="es-ES" w:eastAsia="es-CR"/>
                <w14:ligatures w14:val="none"/>
              </w:rPr>
            </w:pPr>
            <w:r w:rsidRPr="4C9C2619">
              <w:rPr>
                <w:rFonts w:ascii="Calibri" w:eastAsia="Times New Roman" w:hAnsi="Calibri" w:cs="Calibri"/>
                <w:kern w:val="0"/>
                <w:shd w:val="clear" w:color="auto" w:fill="FFFFFF"/>
                <w:lang w:val="es-ES" w:eastAsia="es-CR"/>
                <w14:ligatures w14:val="none"/>
              </w:rPr>
              <w:t xml:space="preserve">Santamaría Rodríguez, Juan Esteban, Eduard Andrés </w:t>
            </w:r>
            <w:proofErr w:type="spellStart"/>
            <w:r w:rsidRPr="4C9C2619">
              <w:rPr>
                <w:rFonts w:ascii="Calibri" w:eastAsia="Times New Roman" w:hAnsi="Calibri" w:cs="Calibri"/>
                <w:kern w:val="0"/>
                <w:shd w:val="clear" w:color="auto" w:fill="FFFFFF"/>
                <w:lang w:val="es-ES" w:eastAsia="es-CR"/>
                <w14:ligatures w14:val="none"/>
              </w:rPr>
              <w:t>Quitián</w:t>
            </w:r>
            <w:proofErr w:type="spellEnd"/>
            <w:r w:rsidRPr="4C9C2619">
              <w:rPr>
                <w:rFonts w:ascii="Calibri" w:eastAsia="Times New Roman" w:hAnsi="Calibri" w:cs="Calibri"/>
                <w:kern w:val="0"/>
                <w:shd w:val="clear" w:color="auto" w:fill="FFFFFF"/>
                <w:lang w:val="es-ES" w:eastAsia="es-CR"/>
                <w14:ligatures w14:val="none"/>
              </w:rPr>
              <w:t xml:space="preserve"> Álvarez y Alba Luz Orozco Bernal. “Caracterización de una pedagogía de la teología en perspectiva crítico-liberadora: Reflexiones desde la pedagogía crítica y la teología de la liberación”. </w:t>
            </w:r>
            <w:r w:rsidRPr="4C9C2619">
              <w:rPr>
                <w:rFonts w:ascii="Calibri" w:eastAsia="Times New Roman" w:hAnsi="Calibri" w:cs="Calibri"/>
                <w:i/>
                <w:iCs/>
                <w:kern w:val="0"/>
                <w:shd w:val="clear" w:color="auto" w:fill="FFFFFF"/>
                <w:lang w:val="es-ES" w:eastAsia="es-CR"/>
                <w14:ligatures w14:val="none"/>
              </w:rPr>
              <w:t xml:space="preserve">Revista </w:t>
            </w:r>
            <w:proofErr w:type="spellStart"/>
            <w:r w:rsidRPr="4C9C2619">
              <w:rPr>
                <w:rFonts w:ascii="Calibri" w:eastAsia="Times New Roman" w:hAnsi="Calibri" w:cs="Calibri"/>
                <w:i/>
                <w:iCs/>
                <w:kern w:val="0"/>
                <w:shd w:val="clear" w:color="auto" w:fill="FFFFFF"/>
                <w:lang w:val="es-ES" w:eastAsia="es-CR"/>
                <w14:ligatures w14:val="none"/>
              </w:rPr>
              <w:t>Albertus</w:t>
            </w:r>
            <w:proofErr w:type="spellEnd"/>
            <w:r w:rsidRPr="4C9C2619">
              <w:rPr>
                <w:rFonts w:ascii="Calibri" w:eastAsia="Times New Roman" w:hAnsi="Calibri" w:cs="Calibri"/>
                <w:i/>
                <w:iCs/>
                <w:kern w:val="0"/>
                <w:shd w:val="clear" w:color="auto" w:fill="FFFFFF"/>
                <w:lang w:val="es-ES" w:eastAsia="es-CR"/>
                <w14:ligatures w14:val="none"/>
              </w:rPr>
              <w:t xml:space="preserve"> Magnus </w:t>
            </w:r>
            <w:r w:rsidRPr="4C9C2619">
              <w:rPr>
                <w:rFonts w:ascii="Calibri" w:eastAsia="Times New Roman" w:hAnsi="Calibri" w:cs="Calibri"/>
                <w:kern w:val="0"/>
                <w:shd w:val="clear" w:color="auto" w:fill="FFFFFF"/>
                <w:lang w:val="es-ES" w:eastAsia="es-CR"/>
                <w14:ligatures w14:val="none"/>
              </w:rPr>
              <w:t>7, n. 2 (2016): 213-237. Acceso el 18 de diciembre de 2020.</w:t>
            </w:r>
            <w:r w:rsidRPr="4C9C2619">
              <w:rPr>
                <w:rFonts w:ascii="Times New Roman" w:eastAsia="Times New Roman" w:hAnsi="Times New Roman" w:cs="Times New Roman"/>
                <w:kern w:val="0"/>
                <w:sz w:val="24"/>
                <w:szCs w:val="24"/>
                <w:lang w:val="es-ES" w:eastAsia="es-CR"/>
                <w14:ligatures w14:val="none"/>
              </w:rPr>
              <w:t xml:space="preserve"> </w:t>
            </w:r>
            <w:hyperlink r:id="rId432" w:history="1">
              <w:r w:rsidRPr="4C9C2619">
                <w:rPr>
                  <w:rFonts w:ascii="Calibri" w:eastAsia="Times New Roman" w:hAnsi="Calibri" w:cs="Calibri"/>
                  <w:color w:val="0563C1"/>
                  <w:kern w:val="0"/>
                  <w:u w:val="single"/>
                  <w:lang w:val="es-ES" w:eastAsia="es-CR"/>
                  <w14:ligatures w14:val="none"/>
                </w:rPr>
                <w:t>https://doi.org/10.15332/s2011-9771.2016.0002.02</w:t>
              </w:r>
            </w:hyperlink>
          </w:p>
          <w:p w14:paraId="277311B1"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563C1"/>
                <w:kern w:val="0"/>
                <w:lang w:val="es-ES_tradnl" w:eastAsia="es-CR"/>
                <w14:ligatures w14:val="none"/>
              </w:rPr>
            </w:pPr>
            <w:r w:rsidRPr="00F977F7">
              <w:rPr>
                <w:rFonts w:ascii="Calibri" w:eastAsia="Times New Roman" w:hAnsi="Calibri" w:cs="Calibri"/>
                <w:color w:val="0563C1"/>
                <w:kern w:val="0"/>
                <w:lang w:val="es-ES_tradnl" w:eastAsia="es-CR"/>
                <w14:ligatures w14:val="none"/>
              </w:rPr>
              <w:t>Guía para la participación en un foro en la plataforma Moodle</w:t>
            </w:r>
          </w:p>
          <w:p w14:paraId="047A8BCC" w14:textId="77777777" w:rsidR="00F977F7" w:rsidRPr="00F977F7" w:rsidRDefault="00F977F7" w:rsidP="4C9C2619">
            <w:pPr>
              <w:widowControl w:val="0"/>
              <w:overflowPunct w:val="0"/>
              <w:autoSpaceDE w:val="0"/>
              <w:autoSpaceDN w:val="0"/>
              <w:adjustRightInd w:val="0"/>
              <w:spacing w:before="120" w:after="120" w:line="240" w:lineRule="auto"/>
              <w:rPr>
                <w:rFonts w:ascii="Calibri" w:eastAsia="Times New Roman" w:hAnsi="Calibri" w:cs="Calibri"/>
                <w:color w:val="0563C1"/>
                <w:kern w:val="0"/>
                <w:u w:val="single"/>
                <w:lang w:val="es-ES" w:eastAsia="es-CR"/>
                <w14:ligatures w14:val="none"/>
              </w:rPr>
            </w:pPr>
            <w:r w:rsidRPr="4C9C2619">
              <w:rPr>
                <w:rFonts w:ascii="Calibri" w:eastAsia="Times New Roman" w:hAnsi="Calibri" w:cs="Calibri"/>
                <w:color w:val="0563C1"/>
                <w:kern w:val="0"/>
                <w:lang w:val="es-ES" w:eastAsia="es-CR"/>
                <w14:ligatures w14:val="none"/>
              </w:rPr>
              <w:t xml:space="preserve">Guía para la participación </w:t>
            </w:r>
            <w:r w:rsidRPr="4C9C2619">
              <w:rPr>
                <w:rFonts w:ascii="Calibri" w:eastAsia="Times New Roman" w:hAnsi="Calibri" w:cs="Calibri"/>
                <w:color w:val="0563C1"/>
                <w:kern w:val="0"/>
                <w:lang w:val="es-ES" w:eastAsia="es-CR"/>
                <w14:ligatures w14:val="none"/>
              </w:rPr>
              <w:lastRenderedPageBreak/>
              <w:t xml:space="preserve">mediante la herramienta Big Blue </w:t>
            </w:r>
            <w:proofErr w:type="spellStart"/>
            <w:r w:rsidRPr="4C9C2619">
              <w:rPr>
                <w:rFonts w:ascii="Calibri" w:eastAsia="Times New Roman" w:hAnsi="Calibri" w:cs="Calibri"/>
                <w:color w:val="0563C1"/>
                <w:kern w:val="0"/>
                <w:lang w:val="es-ES" w:eastAsia="es-CR"/>
                <w14:ligatures w14:val="none"/>
              </w:rPr>
              <w:t>Button</w:t>
            </w:r>
            <w:proofErr w:type="spellEnd"/>
            <w:r w:rsidRPr="4C9C2619">
              <w:rPr>
                <w:rFonts w:ascii="Calibri" w:eastAsia="Times New Roman" w:hAnsi="Calibri" w:cs="Calibri"/>
                <w:color w:val="0563C1"/>
                <w:kern w:val="0"/>
                <w:lang w:val="es-ES" w:eastAsia="es-CR"/>
                <w14:ligatures w14:val="none"/>
              </w:rPr>
              <w:t xml:space="preserve"> en la plataforma Moodle</w:t>
            </w:r>
          </w:p>
        </w:tc>
        <w:tc>
          <w:tcPr>
            <w:tcW w:w="3260" w:type="dxa"/>
          </w:tcPr>
          <w:p w14:paraId="6C51B213"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lastRenderedPageBreak/>
              <w:t>Realización de una autoevaluación del perfil de las metas de la educación cristiana.</w:t>
            </w:r>
          </w:p>
          <w:p w14:paraId="1529801C"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para compartir sobre la autoevaluación realizada (formativo). </w:t>
            </w:r>
          </w:p>
          <w:p w14:paraId="742479BA"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365EC051"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tc>
      </w:tr>
      <w:tr w:rsidR="00F977F7" w:rsidRPr="00F977F7" w14:paraId="62F0F540" w14:textId="77777777" w:rsidTr="4C9C2619">
        <w:trPr>
          <w:jc w:val="center"/>
        </w:trPr>
        <w:tc>
          <w:tcPr>
            <w:tcW w:w="1271" w:type="dxa"/>
          </w:tcPr>
          <w:p w14:paraId="0E089DEE"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7B9F600A"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4</w:t>
            </w:r>
          </w:p>
          <w:p w14:paraId="2C3462C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70BD8184"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311EAB6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1: Aportes desde la teología: ¿Hacia dónde vamos?</w:t>
            </w:r>
          </w:p>
          <w:p w14:paraId="00A156A0"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1.3 Acercamientos a la educación cristiana</w:t>
            </w:r>
          </w:p>
        </w:tc>
        <w:tc>
          <w:tcPr>
            <w:tcW w:w="2977" w:type="dxa"/>
          </w:tcPr>
          <w:p w14:paraId="4884D5F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2B1089FF"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proofErr w:type="spellStart"/>
            <w:r w:rsidRPr="00F977F7">
              <w:rPr>
                <w:rFonts w:ascii="Calibri" w:eastAsia="Times New Roman" w:hAnsi="Calibri" w:cs="Calibri"/>
                <w:kern w:val="0"/>
                <w:lang w:eastAsia="es-CR"/>
                <w14:ligatures w14:val="none"/>
              </w:rPr>
              <w:t>Schipani</w:t>
            </w:r>
            <w:proofErr w:type="spellEnd"/>
            <w:r w:rsidRPr="00F977F7">
              <w:rPr>
                <w:rFonts w:ascii="Calibri" w:eastAsia="Times New Roman" w:hAnsi="Calibri" w:cs="Calibri"/>
                <w:kern w:val="0"/>
                <w:lang w:eastAsia="es-CR"/>
                <w14:ligatures w14:val="none"/>
              </w:rPr>
              <w:t xml:space="preserve">, Daniel. “Introducción”, “Esbozo de una teoría de la educación cristiana”. En </w:t>
            </w:r>
            <w:r w:rsidRPr="00F977F7">
              <w:rPr>
                <w:rFonts w:ascii="Calibri" w:eastAsia="Times New Roman" w:hAnsi="Calibri" w:cs="Calibri"/>
                <w:i/>
                <w:kern w:val="0"/>
                <w:lang w:eastAsia="es-CR"/>
                <w14:ligatures w14:val="none"/>
              </w:rPr>
              <w:t xml:space="preserve">El reino de Dios y el ministerio educativo de la iglesia, </w:t>
            </w:r>
            <w:r w:rsidRPr="00F977F7">
              <w:rPr>
                <w:rFonts w:ascii="Calibri" w:eastAsia="Times New Roman" w:hAnsi="Calibri" w:cs="Calibri"/>
                <w:kern w:val="0"/>
                <w:lang w:eastAsia="es-CR"/>
                <w14:ligatures w14:val="none"/>
              </w:rPr>
              <w:t>13-25 y 155-163.</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Miami: Caribe, 1983. </w:t>
            </w:r>
            <w:r w:rsidRPr="00F977F7">
              <w:rPr>
                <w:rFonts w:ascii="Calibri" w:eastAsia="Times New Roman" w:hAnsi="Calibri" w:cs="Calibri"/>
                <w:color w:val="0070C0"/>
                <w:kern w:val="0"/>
                <w:lang w:eastAsia="es-CR"/>
                <w14:ligatures w14:val="none"/>
              </w:rPr>
              <w:t>(clásico, última edición)</w:t>
            </w:r>
          </w:p>
          <w:p w14:paraId="348ABBDA"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49556739"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kern w:val="0"/>
                <w:lang w:eastAsia="es-CR"/>
                <w14:ligatures w14:val="none"/>
              </w:rPr>
            </w:pPr>
            <w:r w:rsidRPr="00F977F7">
              <w:rPr>
                <w:rFonts w:ascii="Calibri" w:eastAsia="Times New Roman" w:hAnsi="Calibri" w:cs="Calibri"/>
                <w:b/>
                <w:kern w:val="0"/>
                <w:lang w:eastAsia="es-CR"/>
                <w14:ligatures w14:val="none"/>
              </w:rPr>
              <w:t>Material complementario</w:t>
            </w:r>
          </w:p>
          <w:p w14:paraId="6C65C50E" w14:textId="77777777" w:rsidR="00F977F7" w:rsidRPr="00F977F7" w:rsidRDefault="00F977F7" w:rsidP="4C9C2619">
            <w:pPr>
              <w:widowControl w:val="0"/>
              <w:overflowPunct w:val="0"/>
              <w:autoSpaceDE w:val="0"/>
              <w:autoSpaceDN w:val="0"/>
              <w:adjustRightInd w:val="0"/>
              <w:spacing w:before="120" w:after="120" w:line="240" w:lineRule="auto"/>
              <w:rPr>
                <w:rFonts w:ascii="Calibri" w:eastAsia="Times New Roman" w:hAnsi="Calibri" w:cs="Calibri"/>
                <w:kern w:val="0"/>
                <w:shd w:val="clear" w:color="auto" w:fill="FFFFFF"/>
                <w:lang w:val="es-ES" w:eastAsia="es-CR"/>
                <w14:ligatures w14:val="none"/>
              </w:rPr>
            </w:pPr>
            <w:r w:rsidRPr="4C9C2619">
              <w:rPr>
                <w:rFonts w:ascii="Calibri" w:eastAsia="Times New Roman" w:hAnsi="Calibri" w:cs="Calibri"/>
                <w:kern w:val="0"/>
                <w:shd w:val="clear" w:color="auto" w:fill="FFFFFF"/>
                <w:lang w:val="es-ES" w:eastAsia="es-CR"/>
                <w14:ligatures w14:val="none"/>
              </w:rPr>
              <w:t xml:space="preserve">Gallego, Jorge Iván. “Pedagogía crítica y educación no formal”. </w:t>
            </w:r>
            <w:proofErr w:type="spellStart"/>
            <w:r w:rsidRPr="4C9C2619">
              <w:rPr>
                <w:rFonts w:ascii="Calibri" w:eastAsia="Times New Roman" w:hAnsi="Calibri" w:cs="Calibri"/>
                <w:i/>
                <w:iCs/>
                <w:kern w:val="0"/>
                <w:shd w:val="clear" w:color="auto" w:fill="FFFFFF"/>
                <w:lang w:val="es-ES" w:eastAsia="es-CR"/>
                <w14:ligatures w14:val="none"/>
              </w:rPr>
              <w:t>Uni-Pluriversidad</w:t>
            </w:r>
            <w:proofErr w:type="spellEnd"/>
            <w:r w:rsidRPr="4C9C2619">
              <w:rPr>
                <w:rFonts w:ascii="Calibri" w:eastAsia="Times New Roman" w:hAnsi="Calibri" w:cs="Calibri"/>
                <w:i/>
                <w:iCs/>
                <w:kern w:val="0"/>
                <w:shd w:val="clear" w:color="auto" w:fill="FFFFFF"/>
                <w:lang w:val="es-ES" w:eastAsia="es-CR"/>
                <w14:ligatures w14:val="none"/>
              </w:rPr>
              <w:t xml:space="preserve"> </w:t>
            </w:r>
            <w:r w:rsidRPr="4C9C2619">
              <w:rPr>
                <w:rFonts w:ascii="Calibri" w:eastAsia="Times New Roman" w:hAnsi="Calibri" w:cs="Calibri"/>
                <w:kern w:val="0"/>
                <w:shd w:val="clear" w:color="auto" w:fill="FFFFFF"/>
                <w:lang w:val="es-ES" w:eastAsia="es-CR"/>
                <w14:ligatures w14:val="none"/>
              </w:rPr>
              <w:t>7, n. 2 (2007): 35-38. Acceso el 18 de diciembre de 2020.</w:t>
            </w:r>
            <w:r w:rsidRPr="4C9C2619">
              <w:rPr>
                <w:rFonts w:ascii="Times New Roman" w:eastAsia="Times New Roman" w:hAnsi="Times New Roman" w:cs="Times New Roman"/>
                <w:kern w:val="0"/>
                <w:sz w:val="24"/>
                <w:szCs w:val="24"/>
                <w:lang w:val="es-ES" w:eastAsia="es-CR"/>
                <w14:ligatures w14:val="none"/>
              </w:rPr>
              <w:t xml:space="preserve"> </w:t>
            </w:r>
            <w:hyperlink r:id="rId433" w:history="1">
              <w:r w:rsidRPr="4C9C2619">
                <w:rPr>
                  <w:rFonts w:ascii="Calibri" w:eastAsia="Times New Roman" w:hAnsi="Calibri" w:cs="Calibri"/>
                  <w:color w:val="0563C1"/>
                  <w:kern w:val="0"/>
                  <w:u w:val="single"/>
                  <w:shd w:val="clear" w:color="auto" w:fill="FFFFFF"/>
                  <w:lang w:val="es-ES" w:eastAsia="es-CR"/>
                  <w14:ligatures w14:val="none"/>
                </w:rPr>
                <w:t>https://revistas.udea.edu.co/index.php/unip/article/view/11900</w:t>
              </w:r>
            </w:hyperlink>
            <w:r w:rsidRPr="4C9C2619">
              <w:rPr>
                <w:rFonts w:ascii="Calibri" w:eastAsia="Times New Roman" w:hAnsi="Calibri" w:cs="Calibri"/>
                <w:kern w:val="0"/>
                <w:shd w:val="clear" w:color="auto" w:fill="FFFFFF"/>
                <w:lang w:val="es-ES" w:eastAsia="es-CR"/>
                <w14:ligatures w14:val="none"/>
              </w:rPr>
              <w:t xml:space="preserve"> </w:t>
            </w:r>
          </w:p>
        </w:tc>
        <w:tc>
          <w:tcPr>
            <w:tcW w:w="3260" w:type="dxa"/>
          </w:tcPr>
          <w:p w14:paraId="174591A4"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Entrega del primer borrador del Manual de Educación Cristiana (marco teológico). </w:t>
            </w:r>
          </w:p>
        </w:tc>
      </w:tr>
      <w:tr w:rsidR="00F977F7" w:rsidRPr="00F977F7" w14:paraId="4E9F7874" w14:textId="77777777" w:rsidTr="4C9C2619">
        <w:trPr>
          <w:jc w:val="center"/>
        </w:trPr>
        <w:tc>
          <w:tcPr>
            <w:tcW w:w="1271" w:type="dxa"/>
          </w:tcPr>
          <w:p w14:paraId="50FD8CB0"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2A0B201E"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5</w:t>
            </w:r>
          </w:p>
          <w:p w14:paraId="07DBF31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1C0AA609"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5F905C78"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2: Aportes desde la psicología: ¿Con quienes trabajamos?</w:t>
            </w:r>
          </w:p>
          <w:p w14:paraId="40384016"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2.1 El desarrollo cognoscitivo o intelectual</w:t>
            </w:r>
          </w:p>
          <w:p w14:paraId="48FF5353"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strike/>
                <w:kern w:val="0"/>
                <w:lang w:val="es-ES_tradnl" w:eastAsia="es-CR" w:bidi="x-none"/>
                <w14:ligatures w14:val="none"/>
              </w:rPr>
            </w:pPr>
          </w:p>
        </w:tc>
        <w:tc>
          <w:tcPr>
            <w:tcW w:w="2977" w:type="dxa"/>
          </w:tcPr>
          <w:p w14:paraId="062C6E00" w14:textId="77777777" w:rsidR="00F977F7" w:rsidRPr="00F977F7" w:rsidRDefault="00F977F7" w:rsidP="00F977F7">
            <w:pPr>
              <w:spacing w:after="0" w:line="240" w:lineRule="auto"/>
              <w:rPr>
                <w:rFonts w:ascii="Calibri" w:eastAsia="Times New Roman" w:hAnsi="Calibri" w:cs="Calibri"/>
                <w:kern w:val="0"/>
                <w:shd w:val="clear" w:color="auto" w:fill="FFFFFF"/>
                <w:lang w:val="es-ES_tradnl"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7184971E" w14:textId="77777777" w:rsidR="00F977F7" w:rsidRPr="00F977F7" w:rsidRDefault="00F977F7" w:rsidP="00F977F7">
            <w:pPr>
              <w:spacing w:after="0" w:line="240" w:lineRule="auto"/>
              <w:rPr>
                <w:rFonts w:ascii="Calibri" w:eastAsia="Times New Roman" w:hAnsi="Calibri" w:cs="Calibri"/>
                <w:kern w:val="0"/>
                <w:shd w:val="clear" w:color="auto" w:fill="FFFFFF"/>
                <w:lang w:val="es-ES_tradnl" w:eastAsia="es-CR"/>
                <w14:ligatures w14:val="none"/>
              </w:rPr>
            </w:pPr>
          </w:p>
          <w:p w14:paraId="06A63EAE"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shd w:val="clear" w:color="auto" w:fill="FFFFFF"/>
                <w:lang w:val="es-ES_tradnl" w:eastAsia="es-CR"/>
                <w14:ligatures w14:val="none"/>
              </w:rPr>
              <w:t xml:space="preserve">Restrepo Carvajal, Jorge Emiro. “La cognición y el desarrollo cognitivo”. En </w:t>
            </w:r>
            <w:r w:rsidRPr="00F977F7">
              <w:rPr>
                <w:rFonts w:ascii="Calibri" w:eastAsia="Times New Roman" w:hAnsi="Calibri" w:cs="Calibri"/>
                <w:i/>
                <w:iCs/>
                <w:kern w:val="0"/>
                <w:shd w:val="clear" w:color="auto" w:fill="FFFFFF"/>
                <w:lang w:val="es-ES_tradnl" w:eastAsia="es-CR"/>
                <w14:ligatures w14:val="none"/>
              </w:rPr>
              <w:t>Desarrollo cognitivo: ecología cultural</w:t>
            </w:r>
            <w:r w:rsidRPr="00F977F7">
              <w:rPr>
                <w:rFonts w:ascii="Calibri" w:eastAsia="Times New Roman" w:hAnsi="Calibri" w:cs="Calibri"/>
                <w:kern w:val="0"/>
                <w:shd w:val="clear" w:color="auto" w:fill="FFFFFF"/>
                <w:lang w:val="es-ES_tradnl" w:eastAsia="es-CR"/>
                <w14:ligatures w14:val="none"/>
              </w:rPr>
              <w:t xml:space="preserve">, 111-188. México: Manual Moderno, 2019. </w:t>
            </w:r>
          </w:p>
          <w:p w14:paraId="32BF5887" w14:textId="77777777" w:rsidR="00F977F7" w:rsidRPr="00F977F7" w:rsidRDefault="00F977F7" w:rsidP="00F977F7">
            <w:pPr>
              <w:spacing w:after="0" w:line="240" w:lineRule="auto"/>
              <w:rPr>
                <w:rFonts w:ascii="Calibri" w:eastAsia="Times New Roman" w:hAnsi="Calibri" w:cs="Calibri"/>
                <w:kern w:val="0"/>
                <w:shd w:val="clear" w:color="auto" w:fill="FFFFFF"/>
                <w:lang w:val="es-ES_tradnl" w:eastAsia="es-CR"/>
                <w14:ligatures w14:val="none"/>
              </w:rPr>
            </w:pPr>
          </w:p>
          <w:p w14:paraId="71B3F92C"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206B0DCA"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p>
          <w:p w14:paraId="45FCBB26" w14:textId="77777777" w:rsidR="00F977F7" w:rsidRPr="00F977F7" w:rsidRDefault="00F977F7" w:rsidP="00F977F7">
            <w:pPr>
              <w:spacing w:after="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t>Guía para la elaboración de una reseña crítica de lectura</w:t>
            </w:r>
          </w:p>
          <w:p w14:paraId="0BA48690" w14:textId="77777777" w:rsidR="00F977F7" w:rsidRPr="00F977F7" w:rsidRDefault="00F977F7" w:rsidP="00F977F7">
            <w:pPr>
              <w:spacing w:after="0" w:line="240" w:lineRule="auto"/>
              <w:rPr>
                <w:rFonts w:ascii="Calibri" w:eastAsia="Times New Roman" w:hAnsi="Calibri" w:cs="Calibri"/>
                <w:bCs/>
                <w:color w:val="0070C0"/>
                <w:kern w:val="0"/>
                <w:lang w:eastAsia="es-CR"/>
                <w14:ligatures w14:val="none"/>
              </w:rPr>
            </w:pPr>
          </w:p>
          <w:p w14:paraId="41CAE90D" w14:textId="77777777" w:rsidR="00F977F7" w:rsidRPr="00F977F7" w:rsidRDefault="00F977F7" w:rsidP="00F977F7">
            <w:pPr>
              <w:spacing w:after="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t xml:space="preserve">Guía para la participación mediante la herramienta Big Blue </w:t>
            </w:r>
            <w:proofErr w:type="spellStart"/>
            <w:r w:rsidRPr="00F977F7">
              <w:rPr>
                <w:rFonts w:ascii="Calibri" w:eastAsia="Times New Roman" w:hAnsi="Calibri" w:cs="Calibri"/>
                <w:bCs/>
                <w:color w:val="0070C0"/>
                <w:kern w:val="0"/>
                <w:lang w:eastAsia="es-CR"/>
                <w14:ligatures w14:val="none"/>
              </w:rPr>
              <w:t>Button</w:t>
            </w:r>
            <w:proofErr w:type="spellEnd"/>
            <w:r w:rsidRPr="00F977F7">
              <w:rPr>
                <w:rFonts w:ascii="Calibri" w:eastAsia="Times New Roman" w:hAnsi="Calibri" w:cs="Calibri"/>
                <w:bCs/>
                <w:color w:val="0070C0"/>
                <w:kern w:val="0"/>
                <w:lang w:eastAsia="es-CR"/>
                <w14:ligatures w14:val="none"/>
              </w:rPr>
              <w:t xml:space="preserve"> en la plataforma Moodle</w:t>
            </w:r>
          </w:p>
          <w:p w14:paraId="205B6E0B" w14:textId="77777777" w:rsidR="00F977F7" w:rsidRPr="00F977F7" w:rsidRDefault="00F977F7" w:rsidP="00F977F7">
            <w:pPr>
              <w:spacing w:after="0" w:line="240" w:lineRule="auto"/>
              <w:rPr>
                <w:rFonts w:ascii="Calibri" w:eastAsia="Times New Roman" w:hAnsi="Calibri" w:cs="Calibri"/>
                <w:kern w:val="0"/>
                <w:lang w:eastAsia="es-CR" w:bidi="x-none"/>
                <w14:ligatures w14:val="none"/>
              </w:rPr>
            </w:pPr>
          </w:p>
        </w:tc>
        <w:tc>
          <w:tcPr>
            <w:tcW w:w="3260" w:type="dxa"/>
          </w:tcPr>
          <w:p w14:paraId="6E99590F"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Elaboración de una reseña crítica de lectura. </w:t>
            </w:r>
          </w:p>
          <w:p w14:paraId="0BFA9614"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275C3A09"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p w14:paraId="182B2AA9"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sobre el segundo borrador del Manual de Educación Cristiana (opcional). </w:t>
            </w:r>
          </w:p>
          <w:p w14:paraId="4B10627F"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p>
        </w:tc>
      </w:tr>
      <w:tr w:rsidR="00F977F7" w:rsidRPr="00F977F7" w14:paraId="7E4EEC22" w14:textId="77777777" w:rsidTr="4C9C2619">
        <w:trPr>
          <w:jc w:val="center"/>
        </w:trPr>
        <w:tc>
          <w:tcPr>
            <w:tcW w:w="1271" w:type="dxa"/>
          </w:tcPr>
          <w:p w14:paraId="56DCDD9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722D054D"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6</w:t>
            </w:r>
          </w:p>
          <w:p w14:paraId="44313DF4"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0229188"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3935EAB8"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2: Aportes desde la psicología: ¿Con quienes trabajamos?</w:t>
            </w:r>
          </w:p>
          <w:p w14:paraId="647A664A"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2.2 El desarrollo psico-social</w:t>
            </w:r>
          </w:p>
        </w:tc>
        <w:tc>
          <w:tcPr>
            <w:tcW w:w="2977" w:type="dxa"/>
          </w:tcPr>
          <w:p w14:paraId="46B30FBB" w14:textId="77777777" w:rsidR="00F977F7" w:rsidRPr="00F977F7" w:rsidRDefault="00F977F7" w:rsidP="00F977F7">
            <w:pPr>
              <w:spacing w:after="0" w:line="240" w:lineRule="auto"/>
              <w:rPr>
                <w:rFonts w:ascii="Calibri" w:eastAsia="Times New Roman" w:hAnsi="Calibri" w:cs="Calibri"/>
                <w:kern w:val="0"/>
                <w:lang w:val="es-ES_tradnl"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5E6F5385" w14:textId="77777777" w:rsidR="00F977F7" w:rsidRPr="00F977F7" w:rsidRDefault="00F977F7" w:rsidP="00F977F7">
            <w:pPr>
              <w:spacing w:after="0" w:line="240" w:lineRule="auto"/>
              <w:rPr>
                <w:rFonts w:ascii="Calibri" w:eastAsia="Times New Roman" w:hAnsi="Calibri" w:cs="Calibri"/>
                <w:kern w:val="0"/>
                <w:lang w:val="es-ES_tradnl" w:eastAsia="es-CR"/>
                <w14:ligatures w14:val="none"/>
              </w:rPr>
            </w:pPr>
          </w:p>
          <w:p w14:paraId="6FE4064E"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val="es-ES_tradnl" w:eastAsia="es-CR"/>
                <w14:ligatures w14:val="none"/>
              </w:rPr>
              <w:t xml:space="preserve">Erikson, Erik. “Ocho edades del hombre”. En </w:t>
            </w:r>
            <w:r w:rsidRPr="00F977F7">
              <w:rPr>
                <w:rFonts w:ascii="Calibri" w:eastAsia="Times New Roman" w:hAnsi="Calibri" w:cs="Calibri"/>
                <w:i/>
                <w:kern w:val="0"/>
                <w:lang w:val="es-ES_tradnl" w:eastAsia="es-CR"/>
                <w14:ligatures w14:val="none"/>
              </w:rPr>
              <w:t xml:space="preserve">Infancia y sociedad, </w:t>
            </w:r>
            <w:r w:rsidRPr="00F977F7">
              <w:rPr>
                <w:rFonts w:ascii="Calibri" w:eastAsia="Times New Roman" w:hAnsi="Calibri" w:cs="Calibri"/>
                <w:kern w:val="0"/>
                <w:lang w:val="es-ES_tradnl" w:eastAsia="es-CR"/>
                <w14:ligatures w14:val="none"/>
              </w:rPr>
              <w:t xml:space="preserve">traducción de Noemí </w:t>
            </w:r>
            <w:proofErr w:type="spellStart"/>
            <w:r w:rsidRPr="00F977F7">
              <w:rPr>
                <w:rFonts w:ascii="Calibri" w:eastAsia="Times New Roman" w:hAnsi="Calibri" w:cs="Calibri"/>
                <w:kern w:val="0"/>
                <w:lang w:val="es-ES_tradnl" w:eastAsia="es-CR"/>
                <w14:ligatures w14:val="none"/>
              </w:rPr>
              <w:t>Rosemblatt</w:t>
            </w:r>
            <w:proofErr w:type="spellEnd"/>
            <w:r w:rsidRPr="00F977F7">
              <w:rPr>
                <w:rFonts w:ascii="Calibri" w:eastAsia="Times New Roman" w:hAnsi="Calibri" w:cs="Calibri"/>
                <w:kern w:val="0"/>
                <w:lang w:val="es-ES_tradnl" w:eastAsia="es-CR"/>
                <w14:ligatures w14:val="none"/>
              </w:rPr>
              <w:t xml:space="preserve">, 222-247. Buenos Aires: Hormé, 2008. </w:t>
            </w:r>
            <w:r w:rsidRPr="00F977F7">
              <w:rPr>
                <w:rFonts w:ascii="Calibri" w:eastAsia="Times New Roman" w:hAnsi="Calibri" w:cs="Calibri"/>
                <w:color w:val="0070C0"/>
                <w:kern w:val="0"/>
                <w:lang w:eastAsia="es-CR"/>
                <w14:ligatures w14:val="none"/>
              </w:rPr>
              <w:t>(clásico, última edición)</w:t>
            </w:r>
          </w:p>
          <w:p w14:paraId="19D2DB3E"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4931AB92"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118FD5E9" w14:textId="77777777" w:rsidR="00F977F7" w:rsidRPr="00F977F7" w:rsidRDefault="00F977F7" w:rsidP="00F977F7">
            <w:pPr>
              <w:spacing w:after="0" w:line="240" w:lineRule="auto"/>
              <w:rPr>
                <w:rFonts w:ascii="Calibri" w:eastAsia="Times New Roman" w:hAnsi="Calibri" w:cs="Calibri"/>
                <w:b/>
                <w:color w:val="0070C0"/>
                <w:kern w:val="0"/>
                <w:lang w:eastAsia="es-CR"/>
                <w14:ligatures w14:val="none"/>
              </w:rPr>
            </w:pPr>
          </w:p>
          <w:p w14:paraId="560E0543" w14:textId="77777777" w:rsidR="00F977F7" w:rsidRPr="00F977F7" w:rsidRDefault="00F977F7" w:rsidP="00F977F7">
            <w:pPr>
              <w:spacing w:after="0" w:line="240" w:lineRule="auto"/>
              <w:rPr>
                <w:rFonts w:ascii="Calibri" w:eastAsia="Times New Roman" w:hAnsi="Calibri" w:cs="Calibri"/>
                <w:bCs/>
                <w:kern w:val="0"/>
                <w:lang w:val="es-ES_tradnl" w:eastAsia="es-CR" w:bidi="x-none"/>
                <w14:ligatures w14:val="none"/>
              </w:rPr>
            </w:pPr>
            <w:r w:rsidRPr="00F977F7">
              <w:rPr>
                <w:rFonts w:ascii="Calibri" w:eastAsia="Times New Roman" w:hAnsi="Calibri" w:cs="Calibri"/>
                <w:bCs/>
                <w:color w:val="0070C0"/>
                <w:kern w:val="0"/>
                <w:lang w:eastAsia="es-CR"/>
                <w14:ligatures w14:val="none"/>
              </w:rPr>
              <w:t>Guía para la elaboración de un mapa conceptual</w:t>
            </w:r>
          </w:p>
          <w:p w14:paraId="72ECCF53" w14:textId="77777777" w:rsidR="00F977F7" w:rsidRPr="00F977F7" w:rsidRDefault="00F977F7" w:rsidP="00F977F7">
            <w:pPr>
              <w:spacing w:after="0" w:line="240" w:lineRule="auto"/>
              <w:rPr>
                <w:rFonts w:ascii="Calibri" w:eastAsia="Times New Roman" w:hAnsi="Calibri" w:cs="Calibri"/>
                <w:kern w:val="0"/>
                <w:lang w:val="es-ES_tradnl" w:eastAsia="es-CR" w:bidi="x-none"/>
                <w14:ligatures w14:val="none"/>
              </w:rPr>
            </w:pPr>
          </w:p>
        </w:tc>
        <w:tc>
          <w:tcPr>
            <w:tcW w:w="3260" w:type="dxa"/>
          </w:tcPr>
          <w:p w14:paraId="01DAAA41"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Elaboración de un mapa conceptual.</w:t>
            </w:r>
          </w:p>
          <w:p w14:paraId="3CC21FE8"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tc>
      </w:tr>
      <w:tr w:rsidR="00F977F7" w:rsidRPr="00F977F7" w14:paraId="26627AEE" w14:textId="77777777" w:rsidTr="4C9C2619">
        <w:trPr>
          <w:jc w:val="center"/>
        </w:trPr>
        <w:tc>
          <w:tcPr>
            <w:tcW w:w="1271" w:type="dxa"/>
          </w:tcPr>
          <w:p w14:paraId="34C5D7ED"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24F97771"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7</w:t>
            </w:r>
          </w:p>
          <w:p w14:paraId="1167E373"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598D6B7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2161D43C"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2: Aportes desde la psicología: ¿Con quienes trabajamos?</w:t>
            </w:r>
          </w:p>
          <w:p w14:paraId="4117C741"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2.3 El desarrollo espiritual</w:t>
            </w:r>
          </w:p>
        </w:tc>
        <w:tc>
          <w:tcPr>
            <w:tcW w:w="2977" w:type="dxa"/>
          </w:tcPr>
          <w:p w14:paraId="4843F110"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7183D497"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proofErr w:type="spellStart"/>
            <w:r w:rsidRPr="00F977F7">
              <w:rPr>
                <w:rFonts w:ascii="Calibri" w:eastAsia="Times New Roman" w:hAnsi="Calibri" w:cs="Calibri"/>
                <w:kern w:val="0"/>
                <w:lang w:eastAsia="es-CR"/>
                <w14:ligatures w14:val="none"/>
              </w:rPr>
              <w:t>Westerhoff</w:t>
            </w:r>
            <w:proofErr w:type="spellEnd"/>
            <w:r w:rsidRPr="00F977F7">
              <w:rPr>
                <w:rFonts w:ascii="Calibri" w:eastAsia="Times New Roman" w:hAnsi="Calibri" w:cs="Calibri"/>
                <w:kern w:val="0"/>
                <w:lang w:eastAsia="es-CR"/>
                <w14:ligatures w14:val="none"/>
              </w:rPr>
              <w:t xml:space="preserve">, John. “La fe y su expansión”. En </w:t>
            </w:r>
            <w:r w:rsidRPr="00F977F7">
              <w:rPr>
                <w:rFonts w:ascii="Calibri" w:eastAsia="Times New Roman" w:hAnsi="Calibri" w:cs="Calibri"/>
                <w:i/>
                <w:kern w:val="0"/>
                <w:lang w:eastAsia="es-CR"/>
                <w14:ligatures w14:val="none"/>
              </w:rPr>
              <w:t xml:space="preserve">¿Tendrán fe nuestros hijos?, </w:t>
            </w:r>
            <w:r w:rsidRPr="00F977F7">
              <w:rPr>
                <w:rFonts w:ascii="Calibri" w:eastAsia="Times New Roman" w:hAnsi="Calibri" w:cs="Calibri"/>
                <w:kern w:val="0"/>
                <w:lang w:eastAsia="es-CR"/>
                <w14:ligatures w14:val="none"/>
              </w:rPr>
              <w:t xml:space="preserve">116-133, Buenos Aires, Aurora, 1979. </w:t>
            </w:r>
            <w:r w:rsidRPr="00F977F7">
              <w:rPr>
                <w:rFonts w:ascii="Calibri" w:eastAsia="Times New Roman" w:hAnsi="Calibri" w:cs="Calibri"/>
                <w:color w:val="0070C0"/>
                <w:kern w:val="0"/>
                <w:lang w:eastAsia="es-CR"/>
                <w14:ligatures w14:val="none"/>
              </w:rPr>
              <w:t>(clásico, última edición)</w:t>
            </w:r>
          </w:p>
          <w:p w14:paraId="697FA6A1"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61285F67"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64E0E85A"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p w14:paraId="233EC127" w14:textId="77777777" w:rsidR="00F977F7" w:rsidRPr="00F977F7" w:rsidRDefault="00F977F7" w:rsidP="00F977F7">
            <w:pPr>
              <w:widowControl w:val="0"/>
              <w:overflowPunct w:val="0"/>
              <w:autoSpaceDE w:val="0"/>
              <w:autoSpaceDN w:val="0"/>
              <w:adjustRightInd w:val="0"/>
              <w:spacing w:before="120" w:after="0" w:line="240" w:lineRule="auto"/>
              <w:rPr>
                <w:rFonts w:ascii="Calibri" w:eastAsia="Times New Roman" w:hAnsi="Calibri" w:cs="Calibri"/>
                <w:bCs/>
                <w:kern w:val="0"/>
                <w:lang w:val="es-ES_tradnl" w:eastAsia="es-CR"/>
                <w14:ligatures w14:val="none"/>
              </w:rPr>
            </w:pPr>
            <w:r w:rsidRPr="00F977F7">
              <w:rPr>
                <w:rFonts w:ascii="Calibri" w:eastAsia="Times New Roman" w:hAnsi="Calibri" w:cs="Calibri"/>
                <w:bCs/>
                <w:color w:val="0070C0"/>
                <w:kern w:val="0"/>
                <w:lang w:eastAsia="es-CR"/>
                <w14:ligatures w14:val="none"/>
              </w:rPr>
              <w:t xml:space="preserve">Guía para la participación mediante la herramienta Big Blue </w:t>
            </w:r>
            <w:proofErr w:type="spellStart"/>
            <w:r w:rsidRPr="00F977F7">
              <w:rPr>
                <w:rFonts w:ascii="Calibri" w:eastAsia="Times New Roman" w:hAnsi="Calibri" w:cs="Calibri"/>
                <w:bCs/>
                <w:color w:val="0070C0"/>
                <w:kern w:val="0"/>
                <w:lang w:eastAsia="es-CR"/>
                <w14:ligatures w14:val="none"/>
              </w:rPr>
              <w:t>Button</w:t>
            </w:r>
            <w:proofErr w:type="spellEnd"/>
            <w:r w:rsidRPr="00F977F7">
              <w:rPr>
                <w:rFonts w:ascii="Calibri" w:eastAsia="Times New Roman" w:hAnsi="Calibri" w:cs="Calibri"/>
                <w:bCs/>
                <w:color w:val="0070C0"/>
                <w:kern w:val="0"/>
                <w:lang w:eastAsia="es-CR"/>
                <w14:ligatures w14:val="none"/>
              </w:rPr>
              <w:t xml:space="preserve"> en la plataforma Moodle</w:t>
            </w:r>
          </w:p>
          <w:p w14:paraId="3984C3B2" w14:textId="77777777" w:rsidR="00F977F7" w:rsidRPr="00F977F7" w:rsidRDefault="00F977F7" w:rsidP="00F977F7">
            <w:pPr>
              <w:spacing w:after="0" w:line="240" w:lineRule="auto"/>
              <w:rPr>
                <w:rFonts w:ascii="Calibri" w:eastAsia="Times New Roman" w:hAnsi="Calibri" w:cs="Calibri"/>
                <w:strike/>
                <w:kern w:val="0"/>
                <w:lang w:val="es-ES_tradnl" w:eastAsia="es-CR"/>
                <w14:ligatures w14:val="none"/>
              </w:rPr>
            </w:pPr>
          </w:p>
        </w:tc>
        <w:tc>
          <w:tcPr>
            <w:tcW w:w="3260" w:type="dxa"/>
          </w:tcPr>
          <w:p w14:paraId="355444ED"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de pares: Reflexión sobre el desarrollo de la fe y su pertinencia para el quehacer educativo. </w:t>
            </w:r>
          </w:p>
          <w:p w14:paraId="7CE519F3"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7C218805"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p w14:paraId="2D6C14B0"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p>
        </w:tc>
      </w:tr>
      <w:tr w:rsidR="00F977F7" w:rsidRPr="00F977F7" w14:paraId="1170CB5B" w14:textId="77777777" w:rsidTr="4C9C2619">
        <w:trPr>
          <w:jc w:val="center"/>
        </w:trPr>
        <w:tc>
          <w:tcPr>
            <w:tcW w:w="1271" w:type="dxa"/>
          </w:tcPr>
          <w:p w14:paraId="2B12D1E1"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0C0A8147"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8</w:t>
            </w:r>
          </w:p>
          <w:p w14:paraId="0A0E40C9"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5FD81724" w14:textId="77777777" w:rsidR="00F977F7" w:rsidRPr="00F977F7" w:rsidRDefault="00F977F7" w:rsidP="00F977F7">
            <w:pPr>
              <w:tabs>
                <w:tab w:val="right" w:leader="dot" w:pos="8640"/>
              </w:tabs>
              <w:spacing w:after="0" w:line="240" w:lineRule="auto"/>
              <w:rPr>
                <w:rFonts w:ascii="Calibri" w:eastAsia="Times New Roman" w:hAnsi="Calibri" w:cs="Calibri"/>
                <w:color w:val="FF0000"/>
                <w:kern w:val="0"/>
                <w:lang w:val="es-ES_tradnl" w:eastAsia="es-CR" w:bidi="x-none"/>
                <w14:ligatures w14:val="none"/>
              </w:rPr>
            </w:pPr>
          </w:p>
        </w:tc>
        <w:tc>
          <w:tcPr>
            <w:tcW w:w="2410" w:type="dxa"/>
          </w:tcPr>
          <w:p w14:paraId="7FFC9BC9"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2: Aportes desde la psicología: ¿Con quienes trabajamos?</w:t>
            </w:r>
          </w:p>
          <w:p w14:paraId="18F17AD0"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2.4 El desarrollo moral</w:t>
            </w:r>
          </w:p>
          <w:p w14:paraId="03013CBB"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2.5 Resumen: el desarrollo integral</w:t>
            </w:r>
          </w:p>
          <w:p w14:paraId="61838A21"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p>
        </w:tc>
        <w:tc>
          <w:tcPr>
            <w:tcW w:w="2977" w:type="dxa"/>
          </w:tcPr>
          <w:p w14:paraId="0E56F6AD"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kern w:val="0"/>
                <w:lang w:val="es-ES_tradnl"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3941F76E"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32BE13B9"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val="es-ES_tradnl" w:eastAsia="es-CR"/>
                <w14:ligatures w14:val="none"/>
              </w:rPr>
              <w:t xml:space="preserve">Mujica Johnson, Felipe Nicolás. “Educación ética-moral basada en el amor”. En </w:t>
            </w:r>
            <w:r w:rsidRPr="00F977F7">
              <w:rPr>
                <w:rFonts w:ascii="Calibri" w:eastAsia="Times New Roman" w:hAnsi="Calibri" w:cs="Calibri"/>
                <w:i/>
                <w:iCs/>
                <w:kern w:val="0"/>
                <w:lang w:val="es-ES_tradnl" w:eastAsia="es-CR"/>
                <w14:ligatures w14:val="none"/>
              </w:rPr>
              <w:t>Educación ética basada en el amor: El valor moral de las emociones</w:t>
            </w:r>
            <w:r w:rsidRPr="00F977F7">
              <w:rPr>
                <w:rFonts w:ascii="Calibri" w:eastAsia="Times New Roman" w:hAnsi="Calibri" w:cs="Calibri"/>
                <w:kern w:val="0"/>
                <w:lang w:val="es-ES_tradnl" w:eastAsia="es-CR"/>
                <w14:ligatures w14:val="none"/>
              </w:rPr>
              <w:t xml:space="preserve">, 27-56. </w:t>
            </w:r>
            <w:proofErr w:type="spellStart"/>
            <w:r w:rsidRPr="00F977F7">
              <w:rPr>
                <w:rFonts w:ascii="Calibri" w:eastAsia="Times New Roman" w:hAnsi="Calibri" w:cs="Calibri"/>
                <w:kern w:val="0"/>
                <w:lang w:val="es-ES_tradnl" w:eastAsia="es-CR"/>
                <w14:ligatures w14:val="none"/>
              </w:rPr>
              <w:t>Saarbrücken</w:t>
            </w:r>
            <w:proofErr w:type="spellEnd"/>
            <w:r w:rsidRPr="00F977F7">
              <w:rPr>
                <w:rFonts w:ascii="Calibri" w:eastAsia="Times New Roman" w:hAnsi="Calibri" w:cs="Calibri"/>
                <w:kern w:val="0"/>
                <w:lang w:val="es-ES_tradnl" w:eastAsia="es-CR"/>
                <w14:ligatures w14:val="none"/>
              </w:rPr>
              <w:t xml:space="preserve">: Editorial Académica Española, 2020. </w:t>
            </w:r>
            <w:r w:rsidRPr="00F977F7">
              <w:rPr>
                <w:rFonts w:ascii="Calibri" w:eastAsia="Times New Roman" w:hAnsi="Calibri" w:cs="Calibri"/>
                <w:color w:val="0070C0"/>
                <w:kern w:val="0"/>
                <w:lang w:eastAsia="es-CR"/>
                <w14:ligatures w14:val="none"/>
              </w:rPr>
              <w:t>(clásico, última edición)</w:t>
            </w:r>
          </w:p>
          <w:p w14:paraId="4107751A"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56243891"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469AEF83"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“¿Qué necesita </w:t>
            </w:r>
            <w:r w:rsidRPr="00F977F7">
              <w:rPr>
                <w:rFonts w:ascii="Calibri" w:eastAsia="Times New Roman" w:hAnsi="Calibri" w:cs="Calibri"/>
                <w:kern w:val="0"/>
                <w:lang w:eastAsia="es-CR"/>
                <w14:ligatures w14:val="none"/>
              </w:rPr>
              <w:lastRenderedPageBreak/>
              <w:t xml:space="preserve">nuestro grupo? Etapas del desarrollo humano”.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45-55.</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40E35074"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6B924023"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64B38249"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b/>
                <w:color w:val="0070C0"/>
                <w:kern w:val="0"/>
                <w:lang w:eastAsia="es-CR"/>
                <w14:ligatures w14:val="none"/>
              </w:rPr>
            </w:pPr>
          </w:p>
          <w:p w14:paraId="559A2939"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p w14:paraId="162C4F78"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kern w:val="0"/>
                <w:lang w:eastAsia="es-CR"/>
                <w14:ligatures w14:val="none"/>
              </w:rPr>
            </w:pPr>
          </w:p>
        </w:tc>
        <w:tc>
          <w:tcPr>
            <w:tcW w:w="3260" w:type="dxa"/>
          </w:tcPr>
          <w:p w14:paraId="3CF16751"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lastRenderedPageBreak/>
              <w:t xml:space="preserve">Entrega del segundo borrador del Manual de Educación Cristiana (marco psicológico). </w:t>
            </w:r>
          </w:p>
          <w:p w14:paraId="14155529"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temático: Desarrollo moral y su importancia para la educación cristiana. </w:t>
            </w:r>
          </w:p>
        </w:tc>
      </w:tr>
      <w:tr w:rsidR="00F977F7" w:rsidRPr="00F977F7" w14:paraId="629B4A0F" w14:textId="77777777" w:rsidTr="4C9C2619">
        <w:trPr>
          <w:jc w:val="center"/>
        </w:trPr>
        <w:tc>
          <w:tcPr>
            <w:tcW w:w="1271" w:type="dxa"/>
          </w:tcPr>
          <w:p w14:paraId="2F362426"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4B158139"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9</w:t>
            </w:r>
          </w:p>
          <w:p w14:paraId="130B431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21AC6D1"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484A0F80"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3: Aportes desde la pedagogía: ¿Cómo comunicamos?</w:t>
            </w:r>
          </w:p>
          <w:p w14:paraId="5C417797"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3.1 Enfoques de la enseñanza</w:t>
            </w:r>
          </w:p>
        </w:tc>
        <w:tc>
          <w:tcPr>
            <w:tcW w:w="2977" w:type="dxa"/>
          </w:tcPr>
          <w:p w14:paraId="5695D0BE" w14:textId="77777777" w:rsidR="00F977F7" w:rsidRPr="00F977F7" w:rsidRDefault="00F977F7" w:rsidP="00F977F7">
            <w:pPr>
              <w:widowControl w:val="0"/>
              <w:autoSpaceDE w:val="0"/>
              <w:autoSpaceDN w:val="0"/>
              <w:adjustRightInd w:val="0"/>
              <w:spacing w:after="0" w:line="240" w:lineRule="auto"/>
              <w:ind w:left="34"/>
              <w:rPr>
                <w:rFonts w:ascii="Calibri" w:eastAsia="Times New Roman" w:hAnsi="Calibri" w:cs="Calibri"/>
                <w:kern w:val="0"/>
                <w:lang w:val="es-ES_tradnl"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4C75F0A6" w14:textId="77777777" w:rsidR="00F977F7" w:rsidRPr="00F977F7" w:rsidRDefault="00F977F7" w:rsidP="00F977F7">
            <w:pPr>
              <w:widowControl w:val="0"/>
              <w:autoSpaceDE w:val="0"/>
              <w:autoSpaceDN w:val="0"/>
              <w:adjustRightInd w:val="0"/>
              <w:spacing w:after="0" w:line="240" w:lineRule="auto"/>
              <w:ind w:left="34"/>
              <w:rPr>
                <w:rFonts w:ascii="Calibri" w:eastAsia="Times New Roman" w:hAnsi="Calibri" w:cs="Calibri"/>
                <w:kern w:val="0"/>
                <w:lang w:val="es-ES_tradnl" w:eastAsia="es-CR"/>
                <w14:ligatures w14:val="none"/>
              </w:rPr>
            </w:pPr>
          </w:p>
          <w:p w14:paraId="639DF229" w14:textId="77777777" w:rsidR="00F977F7" w:rsidRPr="00F977F7" w:rsidRDefault="00F977F7" w:rsidP="4C9C2619">
            <w:pPr>
              <w:widowControl w:val="0"/>
              <w:autoSpaceDE w:val="0"/>
              <w:autoSpaceDN w:val="0"/>
              <w:adjustRightInd w:val="0"/>
              <w:spacing w:after="0" w:line="240" w:lineRule="auto"/>
              <w:ind w:left="34"/>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Leme </w:t>
            </w:r>
            <w:proofErr w:type="spellStart"/>
            <w:r w:rsidRPr="4C9C2619">
              <w:rPr>
                <w:rFonts w:ascii="Calibri" w:eastAsia="Times New Roman" w:hAnsi="Calibri" w:cs="Calibri"/>
                <w:kern w:val="0"/>
                <w:lang w:val="es-ES" w:eastAsia="es-CR"/>
                <w14:ligatures w14:val="none"/>
              </w:rPr>
              <w:t>Garcez</w:t>
            </w:r>
            <w:proofErr w:type="spellEnd"/>
            <w:r w:rsidRPr="4C9C2619">
              <w:rPr>
                <w:rFonts w:ascii="Calibri" w:eastAsia="Times New Roman" w:hAnsi="Calibri" w:cs="Calibri"/>
                <w:kern w:val="0"/>
                <w:lang w:val="es-ES" w:eastAsia="es-CR"/>
                <w14:ligatures w14:val="none"/>
              </w:rPr>
              <w:t xml:space="preserve">, María Cecilia, et. al. “Aportes pedagógicos”. En </w:t>
            </w:r>
            <w:r w:rsidRPr="4C9C2619">
              <w:rPr>
                <w:rFonts w:ascii="Calibri" w:eastAsia="Times New Roman" w:hAnsi="Calibri" w:cs="Calibri"/>
                <w:i/>
                <w:iCs/>
                <w:kern w:val="0"/>
                <w:lang w:val="es-ES" w:eastAsia="es-CR"/>
                <w14:ligatures w14:val="none"/>
              </w:rPr>
              <w:t>Educación religiosa en América Latina y el Caribe: Reflexiones y voces plurales para caminos pedagógicos interculturales</w:t>
            </w:r>
            <w:r w:rsidRPr="4C9C2619">
              <w:rPr>
                <w:rFonts w:ascii="Calibri" w:eastAsia="Times New Roman" w:hAnsi="Calibri" w:cs="Calibri"/>
                <w:kern w:val="0"/>
                <w:lang w:val="es-ES" w:eastAsia="es-CR"/>
                <w14:ligatures w14:val="none"/>
              </w:rPr>
              <w:t xml:space="preserve">, compilado por José Mario Méndez </w:t>
            </w:r>
            <w:proofErr w:type="spellStart"/>
            <w:r w:rsidRPr="4C9C2619">
              <w:rPr>
                <w:rFonts w:ascii="Calibri" w:eastAsia="Times New Roman" w:hAnsi="Calibri" w:cs="Calibri"/>
                <w:kern w:val="0"/>
                <w:lang w:val="es-ES" w:eastAsia="es-CR"/>
                <w14:ligatures w14:val="none"/>
              </w:rPr>
              <w:t>Méndez</w:t>
            </w:r>
            <w:proofErr w:type="spellEnd"/>
            <w:r w:rsidRPr="4C9C2619">
              <w:rPr>
                <w:rFonts w:ascii="Calibri" w:eastAsia="Times New Roman" w:hAnsi="Calibri" w:cs="Calibri"/>
                <w:kern w:val="0"/>
                <w:lang w:val="es-ES" w:eastAsia="es-CR"/>
                <w14:ligatures w14:val="none"/>
              </w:rPr>
              <w:t xml:space="preserve">, 499-535. San José, Costa Rica: SEBILA, 2023. Acceso el 27 de agosto de 2023. </w:t>
            </w:r>
            <w:hyperlink r:id="rId434" w:history="1">
              <w:r w:rsidRPr="4C9C2619">
                <w:rPr>
                  <w:rFonts w:ascii="Calibri" w:eastAsia="Times New Roman" w:hAnsi="Calibri" w:cs="Calibri"/>
                  <w:color w:val="0563C1"/>
                  <w:kern w:val="0"/>
                  <w:u w:val="single"/>
                  <w:lang w:val="es-ES" w:eastAsia="es-CR"/>
                  <w14:ligatures w14:val="none"/>
                </w:rPr>
                <w:t>https://repositorio.una.ac.cr/bitstream/handle/11056/26080/Educacion_religiosa.pdf?sequence=1&amp;isAllowed=y</w:t>
              </w:r>
            </w:hyperlink>
          </w:p>
          <w:p w14:paraId="3D5FF147"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val="es-ES_tradnl" w:eastAsia="es-CR"/>
                <w14:ligatures w14:val="none"/>
              </w:rPr>
            </w:pPr>
            <w:r w:rsidRPr="00F977F7">
              <w:rPr>
                <w:rFonts w:ascii="Calibri" w:eastAsia="Times New Roman" w:hAnsi="Calibri" w:cs="Calibri"/>
                <w:kern w:val="0"/>
                <w:lang w:val="es-ES_tradnl" w:eastAsia="es-CR"/>
                <w14:ligatures w14:val="none"/>
              </w:rPr>
              <w:t xml:space="preserve">Freire, Paulo. “Capítulo II”, “Capítulo III”. En </w:t>
            </w:r>
            <w:r w:rsidRPr="00F977F7">
              <w:rPr>
                <w:rFonts w:ascii="Calibri" w:eastAsia="Times New Roman" w:hAnsi="Calibri" w:cs="Calibri"/>
                <w:i/>
                <w:kern w:val="0"/>
                <w:lang w:val="es-ES_tradnl" w:eastAsia="es-CR"/>
                <w14:ligatures w14:val="none"/>
              </w:rPr>
              <w:t xml:space="preserve">Pedagogía del oprimido, </w:t>
            </w:r>
            <w:r w:rsidRPr="00F977F7">
              <w:rPr>
                <w:rFonts w:ascii="Calibri" w:eastAsia="Times New Roman" w:hAnsi="Calibri" w:cs="Calibri"/>
                <w:kern w:val="0"/>
                <w:lang w:val="es-ES_tradnl" w:eastAsia="es-CR"/>
                <w14:ligatures w14:val="none"/>
              </w:rPr>
              <w:t>50-109.</w:t>
            </w:r>
            <w:r w:rsidRPr="00F977F7">
              <w:rPr>
                <w:rFonts w:ascii="Calibri" w:eastAsia="Times New Roman" w:hAnsi="Calibri" w:cs="Calibri"/>
                <w:i/>
                <w:kern w:val="0"/>
                <w:lang w:val="es-ES_tradnl" w:eastAsia="es-CR"/>
                <w14:ligatures w14:val="none"/>
              </w:rPr>
              <w:t xml:space="preserve"> </w:t>
            </w:r>
            <w:r w:rsidRPr="00F977F7">
              <w:rPr>
                <w:rFonts w:ascii="Calibri" w:eastAsia="Times New Roman" w:hAnsi="Calibri" w:cs="Calibri"/>
                <w:kern w:val="0"/>
                <w:lang w:val="es-ES_tradnl" w:eastAsia="es-CR"/>
                <w14:ligatures w14:val="none"/>
              </w:rPr>
              <w:t xml:space="preserve">Montevideo: Siglo Veintiuno, 1980. </w:t>
            </w:r>
            <w:r w:rsidRPr="00F977F7">
              <w:rPr>
                <w:rFonts w:ascii="Calibri" w:eastAsia="Times New Roman" w:hAnsi="Calibri" w:cs="Calibri"/>
                <w:color w:val="0070C0"/>
                <w:kern w:val="0"/>
                <w:lang w:eastAsia="es-CR"/>
                <w14:ligatures w14:val="none"/>
              </w:rPr>
              <w:t>(clásico, última reimpresión 2012)</w:t>
            </w:r>
          </w:p>
          <w:p w14:paraId="24B7F73A"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kern w:val="0"/>
                <w:lang w:val="es-ES_tradnl" w:eastAsia="es-CR"/>
                <w14:ligatures w14:val="none"/>
              </w:rPr>
            </w:pPr>
            <w:r w:rsidRPr="00F977F7">
              <w:rPr>
                <w:rFonts w:ascii="Calibri" w:eastAsia="Times New Roman" w:hAnsi="Calibri" w:cs="Calibri"/>
                <w:b/>
                <w:kern w:val="0"/>
                <w:lang w:val="es-ES_tradnl" w:eastAsia="es-CR"/>
                <w14:ligatures w14:val="none"/>
              </w:rPr>
              <w:t>Material complementario</w:t>
            </w:r>
          </w:p>
          <w:p w14:paraId="40943C05"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563C1"/>
                <w:kern w:val="0"/>
                <w:u w:val="single"/>
                <w:shd w:val="clear" w:color="auto" w:fill="FFFFFF"/>
                <w:lang w:val="es-ES_tradnl" w:eastAsia="es-CR"/>
                <w14:ligatures w14:val="none"/>
              </w:rPr>
            </w:pPr>
            <w:r w:rsidRPr="00F977F7">
              <w:rPr>
                <w:rFonts w:ascii="Calibri" w:eastAsia="Times New Roman" w:hAnsi="Calibri" w:cs="Calibri"/>
                <w:kern w:val="0"/>
                <w:lang w:val="es-ES_tradnl" w:eastAsia="es-CR"/>
                <w14:ligatures w14:val="none"/>
              </w:rPr>
              <w:t>Pérez, Javier. “La pedagogía incómoda de Jesús”. Aportes Teológicos, n.5 (2019): 3-67. Acceso el 18 de diciembre de 2020.</w:t>
            </w:r>
            <w:r w:rsidRPr="00F977F7">
              <w:rPr>
                <w:rFonts w:ascii="Times New Roman" w:eastAsia="Times New Roman" w:hAnsi="Times New Roman" w:cs="Times New Roman"/>
                <w:kern w:val="0"/>
                <w:sz w:val="24"/>
                <w:szCs w:val="20"/>
                <w:lang w:val="es-ES_tradnl" w:eastAsia="es-CR"/>
                <w14:ligatures w14:val="none"/>
              </w:rPr>
              <w:t xml:space="preserve"> </w:t>
            </w:r>
            <w:hyperlink r:id="rId435" w:history="1">
              <w:r w:rsidRPr="00F977F7">
                <w:rPr>
                  <w:rFonts w:ascii="Calibri" w:eastAsia="Times New Roman" w:hAnsi="Calibri" w:cs="Calibri"/>
                  <w:color w:val="0563C1"/>
                  <w:kern w:val="0"/>
                  <w:u w:val="single"/>
                  <w:shd w:val="clear" w:color="auto" w:fill="FFFFFF"/>
                  <w:lang w:val="es-ES_tradnl" w:eastAsia="es-CR"/>
                  <w14:ligatures w14:val="none"/>
                </w:rPr>
                <w:t>http://revistas.ubl.ac.cr/index.php/apteo/issue/view/58</w:t>
              </w:r>
            </w:hyperlink>
          </w:p>
          <w:p w14:paraId="11CF5E64" w14:textId="77777777" w:rsidR="00F977F7" w:rsidRPr="00F977F7" w:rsidRDefault="00F977F7" w:rsidP="4C9C2619">
            <w:pPr>
              <w:widowControl w:val="0"/>
              <w:overflowPunct w:val="0"/>
              <w:autoSpaceDE w:val="0"/>
              <w:autoSpaceDN w:val="0"/>
              <w:adjustRightInd w:val="0"/>
              <w:spacing w:before="120" w:after="120" w:line="240" w:lineRule="auto"/>
              <w:rPr>
                <w:rFonts w:ascii="Times New Roman" w:eastAsia="Times New Roman" w:hAnsi="Times New Roman" w:cs="Times New Roman"/>
                <w:b/>
                <w:bCs/>
                <w:kern w:val="0"/>
                <w:sz w:val="24"/>
                <w:szCs w:val="24"/>
                <w:lang w:val="es-ES" w:eastAsia="es-CR"/>
                <w14:ligatures w14:val="none"/>
              </w:rPr>
            </w:pPr>
            <w:r w:rsidRPr="4C9C2619">
              <w:rPr>
                <w:rFonts w:ascii="Calibri" w:eastAsia="Times New Roman" w:hAnsi="Calibri" w:cs="Calibri"/>
                <w:color w:val="0070C0"/>
                <w:kern w:val="0"/>
                <w:shd w:val="clear" w:color="auto" w:fill="FFFFFF"/>
                <w:lang w:val="es-ES" w:eastAsia="es-CR"/>
                <w14:ligatures w14:val="none"/>
              </w:rPr>
              <w:t xml:space="preserve">Guía para la participación mediante la herramienta Big </w:t>
            </w:r>
            <w:r w:rsidRPr="4C9C2619">
              <w:rPr>
                <w:rFonts w:ascii="Calibri" w:eastAsia="Times New Roman" w:hAnsi="Calibri" w:cs="Calibri"/>
                <w:color w:val="0070C0"/>
                <w:kern w:val="0"/>
                <w:shd w:val="clear" w:color="auto" w:fill="FFFFFF"/>
                <w:lang w:val="es-ES" w:eastAsia="es-CR"/>
                <w14:ligatures w14:val="none"/>
              </w:rPr>
              <w:lastRenderedPageBreak/>
              <w:t xml:space="preserve">Blue </w:t>
            </w:r>
            <w:proofErr w:type="spellStart"/>
            <w:r w:rsidRPr="4C9C2619">
              <w:rPr>
                <w:rFonts w:ascii="Calibri" w:eastAsia="Times New Roman" w:hAnsi="Calibri" w:cs="Calibri"/>
                <w:color w:val="0070C0"/>
                <w:kern w:val="0"/>
                <w:shd w:val="clear" w:color="auto" w:fill="FFFFFF"/>
                <w:lang w:val="es-ES" w:eastAsia="es-CR"/>
                <w14:ligatures w14:val="none"/>
              </w:rPr>
              <w:t>Button</w:t>
            </w:r>
            <w:proofErr w:type="spellEnd"/>
            <w:r w:rsidRPr="4C9C2619">
              <w:rPr>
                <w:rFonts w:ascii="Calibri" w:eastAsia="Times New Roman" w:hAnsi="Calibri" w:cs="Calibri"/>
                <w:color w:val="0070C0"/>
                <w:kern w:val="0"/>
                <w:shd w:val="clear" w:color="auto" w:fill="FFFFFF"/>
                <w:lang w:val="es-ES" w:eastAsia="es-CR"/>
                <w14:ligatures w14:val="none"/>
              </w:rPr>
              <w:t xml:space="preserve"> en la plataforma Moodle</w:t>
            </w:r>
          </w:p>
        </w:tc>
        <w:tc>
          <w:tcPr>
            <w:tcW w:w="3260" w:type="dxa"/>
          </w:tcPr>
          <w:p w14:paraId="5B64DC3F"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lastRenderedPageBreak/>
              <w:t xml:space="preserve">Elaboración de un ensayo sobre acercamientos pedagógicos para la educación cristiana. </w:t>
            </w:r>
          </w:p>
          <w:p w14:paraId="47624663"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20331437"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Continuar con la elaboración del Manual de Educación Cristiana. </w:t>
            </w:r>
          </w:p>
        </w:tc>
      </w:tr>
      <w:tr w:rsidR="00F977F7" w:rsidRPr="00F977F7" w14:paraId="7CF0DD22" w14:textId="77777777" w:rsidTr="4C9C2619">
        <w:trPr>
          <w:jc w:val="center"/>
        </w:trPr>
        <w:tc>
          <w:tcPr>
            <w:tcW w:w="1271" w:type="dxa"/>
          </w:tcPr>
          <w:p w14:paraId="7A75179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7917A6AB"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10</w:t>
            </w:r>
          </w:p>
          <w:p w14:paraId="1B61D6A6"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137460C5"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72B11D76"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3: Aportes desde la pedagogía: ¿Cómo comunicamos?</w:t>
            </w:r>
          </w:p>
          <w:p w14:paraId="0FC4250A"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3.1 Enfoques de la enseñanza</w:t>
            </w:r>
          </w:p>
        </w:tc>
        <w:tc>
          <w:tcPr>
            <w:tcW w:w="2977" w:type="dxa"/>
          </w:tcPr>
          <w:p w14:paraId="72CDBD2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59DDACA6"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“¿Cómo aprenden las personas? El método participativo”.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59-65.</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28353A57"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1D0BF3E0"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shd w:val="clear" w:color="auto" w:fill="FFFFFF"/>
                <w:lang w:val="es-ES_tradnl" w:eastAsia="es-CR"/>
                <w14:ligatures w14:val="none"/>
              </w:rPr>
              <w:t>Galindo, Israel. Capítulos del 24 al 28 de "El arte de la enseñanza cristiana"</w:t>
            </w:r>
            <w:r w:rsidRPr="00F977F7">
              <w:rPr>
                <w:rFonts w:ascii="Calibri" w:eastAsia="Times New Roman" w:hAnsi="Calibri" w:cs="Calibri"/>
                <w:i/>
                <w:iCs/>
                <w:kern w:val="0"/>
                <w:shd w:val="clear" w:color="auto" w:fill="FFFFFF"/>
                <w:lang w:val="es-ES_tradnl" w:eastAsia="es-CR"/>
                <w14:ligatures w14:val="none"/>
              </w:rPr>
              <w:t>. </w:t>
            </w:r>
            <w:r w:rsidRPr="00F977F7">
              <w:rPr>
                <w:rFonts w:ascii="Calibri" w:eastAsia="Times New Roman" w:hAnsi="Calibri" w:cs="Calibri"/>
                <w:kern w:val="0"/>
                <w:shd w:val="clear" w:color="auto" w:fill="FFFFFF"/>
                <w:lang w:val="es-ES_tradnl" w:eastAsia="es-CR"/>
                <w14:ligatures w14:val="none"/>
              </w:rPr>
              <w:t>En </w:t>
            </w:r>
            <w:r w:rsidRPr="00F977F7">
              <w:rPr>
                <w:rFonts w:ascii="Calibri" w:eastAsia="Times New Roman" w:hAnsi="Calibri" w:cs="Calibri"/>
                <w:i/>
                <w:iCs/>
                <w:kern w:val="0"/>
                <w:shd w:val="clear" w:color="auto" w:fill="FFFFFF"/>
                <w:lang w:val="es-ES_tradnl" w:eastAsia="es-CR"/>
                <w14:ligatures w14:val="none"/>
              </w:rPr>
              <w:t>Módulo Introducción a la Educación Cristiana</w:t>
            </w:r>
            <w:r w:rsidRPr="00F977F7">
              <w:rPr>
                <w:rFonts w:ascii="Calibri" w:eastAsia="Times New Roman" w:hAnsi="Calibri" w:cs="Calibri"/>
                <w:kern w:val="0"/>
                <w:shd w:val="clear" w:color="auto" w:fill="FFFFFF"/>
                <w:lang w:val="es-ES_tradnl" w:eastAsia="es-CR"/>
                <w14:ligatures w14:val="none"/>
              </w:rPr>
              <w:t xml:space="preserve">, compilado por Ruth Mooney, 297-311. San José, Costa Rica: Editorial SEBILA, 2010. </w:t>
            </w:r>
            <w:r w:rsidRPr="00F977F7">
              <w:rPr>
                <w:rFonts w:ascii="Calibri" w:eastAsia="Times New Roman" w:hAnsi="Calibri" w:cs="Calibri"/>
                <w:color w:val="0070C0"/>
                <w:kern w:val="0"/>
                <w:lang w:eastAsia="es-CR"/>
                <w14:ligatures w14:val="none"/>
              </w:rPr>
              <w:t>(clásico, última edición)</w:t>
            </w:r>
          </w:p>
          <w:p w14:paraId="6E978ACD"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46B4BDAD"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1EDD829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Cs/>
                <w:kern w:val="0"/>
                <w:lang w:val="es-ES_tradnl" w:eastAsia="es-CR" w:bidi="x-none"/>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tc>
        <w:tc>
          <w:tcPr>
            <w:tcW w:w="3260" w:type="dxa"/>
          </w:tcPr>
          <w:p w14:paraId="32E6E405"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Entrega del tercer borrador del Manual de Educación Cristiana (acercamiento pedagógico). </w:t>
            </w:r>
          </w:p>
          <w:p w14:paraId="5EC66A82"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temático: La práctica de la enseñanza cristiana. </w:t>
            </w:r>
          </w:p>
        </w:tc>
      </w:tr>
      <w:tr w:rsidR="00F977F7" w:rsidRPr="00F977F7" w14:paraId="377E1EFD" w14:textId="77777777" w:rsidTr="4C9C2619">
        <w:trPr>
          <w:jc w:val="center"/>
        </w:trPr>
        <w:tc>
          <w:tcPr>
            <w:tcW w:w="1271" w:type="dxa"/>
          </w:tcPr>
          <w:p w14:paraId="3F604E5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6CAB7770"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11</w:t>
            </w:r>
          </w:p>
          <w:p w14:paraId="0911F73B"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1146498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507EC71C"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3: Aportes desde la pedagogía: ¿Cómo comunicamos?</w:t>
            </w:r>
          </w:p>
          <w:p w14:paraId="2AA95092"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3.2 Herramientas para la enseñanza</w:t>
            </w:r>
          </w:p>
          <w:p w14:paraId="3C84AAE2"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3.3 Pasos para escribir una lección bíblica</w:t>
            </w:r>
          </w:p>
        </w:tc>
        <w:tc>
          <w:tcPr>
            <w:tcW w:w="2977" w:type="dxa"/>
          </w:tcPr>
          <w:p w14:paraId="489C82A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374C5539"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“¿Cómo organizamos las lecciones? El bosquejo”, “¿Cómo escribimos el material? La Lección”.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89-117.</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066E336B"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4CB73CD4"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Jiménez, Pablo. “El diseño de la clase”. En </w:t>
            </w:r>
            <w:r w:rsidRPr="00F977F7">
              <w:rPr>
                <w:rFonts w:ascii="Calibri" w:eastAsia="Times New Roman" w:hAnsi="Calibri" w:cs="Calibri"/>
                <w:i/>
                <w:kern w:val="0"/>
                <w:lang w:eastAsia="es-CR"/>
                <w14:ligatures w14:val="none"/>
              </w:rPr>
              <w:t xml:space="preserve">Principios de educación cristiana, </w:t>
            </w:r>
            <w:r w:rsidRPr="00F977F7">
              <w:rPr>
                <w:rFonts w:ascii="Calibri" w:eastAsia="Times New Roman" w:hAnsi="Calibri" w:cs="Calibri"/>
                <w:kern w:val="0"/>
                <w:lang w:eastAsia="es-CR"/>
                <w14:ligatures w14:val="none"/>
              </w:rPr>
              <w:t>63-76.</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Nashville: Abingdon, 2003. </w:t>
            </w:r>
            <w:r w:rsidRPr="00F977F7">
              <w:rPr>
                <w:rFonts w:ascii="Calibri" w:eastAsia="Times New Roman" w:hAnsi="Calibri" w:cs="Calibri"/>
                <w:color w:val="0070C0"/>
                <w:kern w:val="0"/>
                <w:lang w:eastAsia="es-CR"/>
                <w14:ligatures w14:val="none"/>
              </w:rPr>
              <w:t>(clásico, última edición)</w:t>
            </w:r>
          </w:p>
          <w:p w14:paraId="2CA56A42"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60EA2643"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11CAD2B3"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Cs/>
                <w:color w:val="0070C0"/>
                <w:kern w:val="0"/>
                <w:lang w:eastAsia="es-CR"/>
                <w14:ligatures w14:val="none"/>
              </w:rPr>
            </w:pPr>
            <w:r w:rsidRPr="00F977F7">
              <w:rPr>
                <w:rFonts w:ascii="Calibri" w:eastAsia="Times New Roman" w:hAnsi="Calibri" w:cs="Calibri"/>
                <w:bCs/>
                <w:color w:val="0070C0"/>
                <w:kern w:val="0"/>
                <w:lang w:eastAsia="es-CR"/>
                <w14:ligatures w14:val="none"/>
              </w:rPr>
              <w:lastRenderedPageBreak/>
              <w:t>Guía para la participación en un foro en la plataforma Moodle</w:t>
            </w:r>
          </w:p>
          <w:p w14:paraId="2D01E84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bCs/>
                <w:color w:val="0070C0"/>
                <w:kern w:val="0"/>
                <w:lang w:eastAsia="es-CR"/>
                <w14:ligatures w14:val="none"/>
              </w:rPr>
              <w:t xml:space="preserve">Guía para la participación mediante la herramienta Big Blue </w:t>
            </w:r>
            <w:proofErr w:type="spellStart"/>
            <w:r w:rsidRPr="00F977F7">
              <w:rPr>
                <w:rFonts w:ascii="Calibri" w:eastAsia="Times New Roman" w:hAnsi="Calibri" w:cs="Calibri"/>
                <w:bCs/>
                <w:color w:val="0070C0"/>
                <w:kern w:val="0"/>
                <w:lang w:eastAsia="es-CR"/>
                <w14:ligatures w14:val="none"/>
              </w:rPr>
              <w:t>Button</w:t>
            </w:r>
            <w:proofErr w:type="spellEnd"/>
            <w:r w:rsidRPr="00F977F7">
              <w:rPr>
                <w:rFonts w:ascii="Calibri" w:eastAsia="Times New Roman" w:hAnsi="Calibri" w:cs="Calibri"/>
                <w:bCs/>
                <w:color w:val="0070C0"/>
                <w:kern w:val="0"/>
                <w:lang w:eastAsia="es-CR"/>
                <w14:ligatures w14:val="none"/>
              </w:rPr>
              <w:t xml:space="preserve"> en la plataforma Moodle</w:t>
            </w:r>
          </w:p>
        </w:tc>
        <w:tc>
          <w:tcPr>
            <w:tcW w:w="3260" w:type="dxa"/>
          </w:tcPr>
          <w:p w14:paraId="3D37ED8A"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lastRenderedPageBreak/>
              <w:t xml:space="preserve">Participación en el foro de consultas sobre el diseño de una lección bíblica (formativo). </w:t>
            </w:r>
          </w:p>
          <w:p w14:paraId="25A09E80"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1DED6666"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p>
        </w:tc>
      </w:tr>
      <w:tr w:rsidR="00F977F7" w:rsidRPr="00F977F7" w14:paraId="4368F031" w14:textId="77777777" w:rsidTr="4C9C2619">
        <w:trPr>
          <w:jc w:val="center"/>
        </w:trPr>
        <w:tc>
          <w:tcPr>
            <w:tcW w:w="1271" w:type="dxa"/>
          </w:tcPr>
          <w:p w14:paraId="7C7791C5"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122025CF"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12</w:t>
            </w:r>
          </w:p>
          <w:p w14:paraId="765737C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0B030B36"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0ED1C24E"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3: Aportes desde la pedagogía: ¿Cómo comunicamos?</w:t>
            </w:r>
          </w:p>
          <w:p w14:paraId="2017D9D8" w14:textId="77777777" w:rsidR="00F977F7" w:rsidRPr="00F977F7" w:rsidRDefault="00F977F7" w:rsidP="00F977F7">
            <w:pPr>
              <w:widowControl w:val="0"/>
              <w:tabs>
                <w:tab w:val="right" w:leader="dot" w:pos="8640"/>
              </w:tabs>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3.4 Pasos para dar una clase</w:t>
            </w:r>
          </w:p>
        </w:tc>
        <w:tc>
          <w:tcPr>
            <w:tcW w:w="2977" w:type="dxa"/>
          </w:tcPr>
          <w:p w14:paraId="4E0CED17"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60F058FB"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Mooney, Ruth. “Sugerencias de actividades para la lección”, “Sugerencias para las actividades de Aprendamos de la Biblia”. En </w:t>
            </w:r>
            <w:r w:rsidRPr="00F977F7">
              <w:rPr>
                <w:rFonts w:ascii="Calibri" w:eastAsia="Times New Roman" w:hAnsi="Calibri" w:cs="Calibri"/>
                <w:i/>
                <w:kern w:val="0"/>
                <w:lang w:eastAsia="es-CR"/>
                <w14:ligatures w14:val="none"/>
              </w:rPr>
              <w:t xml:space="preserve">Manual para crear materiales de educación cristiana, </w:t>
            </w:r>
            <w:r w:rsidRPr="00F977F7">
              <w:rPr>
                <w:rFonts w:ascii="Calibri" w:eastAsia="Times New Roman" w:hAnsi="Calibri" w:cs="Calibri"/>
                <w:kern w:val="0"/>
                <w:lang w:eastAsia="es-CR"/>
                <w14:ligatures w14:val="none"/>
              </w:rPr>
              <w:t>137-175.</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Ontario: Pandora, 2001. </w:t>
            </w:r>
            <w:r w:rsidRPr="00F977F7">
              <w:rPr>
                <w:rFonts w:ascii="Calibri" w:eastAsia="Times New Roman" w:hAnsi="Calibri" w:cs="Calibri"/>
                <w:color w:val="0070C0"/>
                <w:kern w:val="0"/>
                <w:lang w:eastAsia="es-CR"/>
                <w14:ligatures w14:val="none"/>
              </w:rPr>
              <w:t>(clásico, última edición)</w:t>
            </w:r>
          </w:p>
          <w:p w14:paraId="7F9275EA"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30C27EF4"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Galindo, Israel. “El arte de hacer buenas preguntas”. En </w:t>
            </w:r>
            <w:r w:rsidRPr="00F977F7">
              <w:rPr>
                <w:rFonts w:ascii="Calibri" w:eastAsia="Times New Roman" w:hAnsi="Calibri" w:cs="Calibri"/>
                <w:i/>
                <w:iCs/>
                <w:kern w:val="0"/>
                <w:lang w:eastAsia="es-CR"/>
                <w14:ligatures w14:val="none"/>
              </w:rPr>
              <w:t>Módulo Introducción a la Educación Cristiana</w:t>
            </w:r>
            <w:r w:rsidRPr="00F977F7">
              <w:rPr>
                <w:rFonts w:ascii="Calibri" w:eastAsia="Times New Roman" w:hAnsi="Calibri" w:cs="Calibri"/>
                <w:kern w:val="0"/>
                <w:lang w:eastAsia="es-CR"/>
                <w14:ligatures w14:val="none"/>
              </w:rPr>
              <w:t>, compilado por Ruth Mooney, 346-348. San José, Costa Rica: Editorial SEBILA, 2010. </w:t>
            </w:r>
            <w:r w:rsidRPr="00F977F7">
              <w:rPr>
                <w:rFonts w:ascii="Calibri" w:eastAsia="Times New Roman" w:hAnsi="Calibri" w:cs="Calibri"/>
                <w:color w:val="0070C0"/>
                <w:kern w:val="0"/>
                <w:lang w:eastAsia="es-CR"/>
                <w14:ligatures w14:val="none"/>
              </w:rPr>
              <w:t>(clásico, última edición)</w:t>
            </w:r>
          </w:p>
          <w:p w14:paraId="308D34AD"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342AA91D" w14:textId="77777777" w:rsidR="00F977F7" w:rsidRPr="00F977F7" w:rsidRDefault="00F977F7" w:rsidP="00F977F7">
            <w:pPr>
              <w:shd w:val="clear" w:color="auto" w:fill="FFFFFF"/>
              <w:spacing w:after="0" w:line="240" w:lineRule="auto"/>
              <w:rPr>
                <w:rFonts w:ascii="Calibri" w:eastAsia="Times New Roman" w:hAnsi="Calibri" w:cs="Calibri"/>
                <w:kern w:val="0"/>
                <w:lang w:eastAsia="es-CR"/>
                <w14:ligatures w14:val="none"/>
              </w:rPr>
            </w:pPr>
          </w:p>
          <w:p w14:paraId="63A69653" w14:textId="77777777" w:rsidR="00F977F7" w:rsidRPr="00F977F7" w:rsidRDefault="00F977F7" w:rsidP="00F977F7">
            <w:pPr>
              <w:shd w:val="clear" w:color="auto" w:fill="FFFFFF"/>
              <w:spacing w:after="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08E1D15C" w14:textId="77777777" w:rsidR="00F977F7" w:rsidRPr="00F977F7" w:rsidRDefault="00F977F7" w:rsidP="00F977F7">
            <w:pPr>
              <w:shd w:val="clear" w:color="auto" w:fill="FFFFFF"/>
              <w:spacing w:after="0" w:line="240" w:lineRule="auto"/>
              <w:rPr>
                <w:rFonts w:ascii="Calibri" w:eastAsia="Times New Roman" w:hAnsi="Calibri" w:cs="Calibri"/>
                <w:b/>
                <w:color w:val="0070C0"/>
                <w:kern w:val="0"/>
                <w:lang w:eastAsia="es-CR"/>
                <w14:ligatures w14:val="none"/>
              </w:rPr>
            </w:pPr>
          </w:p>
          <w:p w14:paraId="5A297CC7" w14:textId="77777777" w:rsidR="00F977F7" w:rsidRPr="00F977F7" w:rsidRDefault="00F977F7" w:rsidP="00F977F7">
            <w:pPr>
              <w:shd w:val="clear" w:color="auto" w:fill="FFFFFF"/>
              <w:spacing w:after="0" w:line="240" w:lineRule="auto"/>
              <w:rPr>
                <w:rFonts w:ascii="Calibri" w:eastAsia="Times New Roman" w:hAnsi="Calibri" w:cs="Calibri"/>
                <w:bCs/>
                <w:kern w:val="0"/>
                <w:lang w:eastAsia="es-CR"/>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p w14:paraId="04A4CDA4" w14:textId="77777777" w:rsidR="00F977F7" w:rsidRPr="00F977F7" w:rsidRDefault="00F977F7" w:rsidP="00F977F7">
            <w:pPr>
              <w:widowControl w:val="0"/>
              <w:autoSpaceDE w:val="0"/>
              <w:autoSpaceDN w:val="0"/>
              <w:adjustRightInd w:val="0"/>
              <w:spacing w:after="0" w:line="240" w:lineRule="auto"/>
              <w:rPr>
                <w:rFonts w:ascii="Calibri" w:eastAsia="Times New Roman" w:hAnsi="Calibri" w:cs="Calibri"/>
                <w:kern w:val="0"/>
                <w:lang w:val="es-ES_tradnl" w:eastAsia="es-CR"/>
                <w14:ligatures w14:val="none"/>
              </w:rPr>
            </w:pPr>
          </w:p>
        </w:tc>
        <w:tc>
          <w:tcPr>
            <w:tcW w:w="3260" w:type="dxa"/>
          </w:tcPr>
          <w:p w14:paraId="4171BCE8"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Participación en el foro grupal: Diseño de una lección bíblica. </w:t>
            </w:r>
          </w:p>
        </w:tc>
      </w:tr>
      <w:tr w:rsidR="00F977F7" w:rsidRPr="00F977F7" w14:paraId="5C22E113" w14:textId="77777777" w:rsidTr="4C9C2619">
        <w:trPr>
          <w:jc w:val="center"/>
        </w:trPr>
        <w:tc>
          <w:tcPr>
            <w:tcW w:w="1271" w:type="dxa"/>
          </w:tcPr>
          <w:p w14:paraId="2BD34E76"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6475C35B"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13</w:t>
            </w:r>
          </w:p>
          <w:p w14:paraId="14D466A2"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3720FE5"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39D8A320"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4: Aportes desde la administración: ¿Cómo nos organizamos?</w:t>
            </w:r>
          </w:p>
          <w:p w14:paraId="46F6E1C9"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4.1 La capacitación del equipo docente</w:t>
            </w:r>
          </w:p>
        </w:tc>
        <w:tc>
          <w:tcPr>
            <w:tcW w:w="2977" w:type="dxa"/>
          </w:tcPr>
          <w:p w14:paraId="0840A9B9"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33BBDF8C"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Jiménez, Pablo. “El perfil del educador cristiano”. En </w:t>
            </w:r>
            <w:r w:rsidRPr="00F977F7">
              <w:rPr>
                <w:rFonts w:ascii="Calibri" w:eastAsia="Times New Roman" w:hAnsi="Calibri" w:cs="Calibri"/>
                <w:i/>
                <w:kern w:val="0"/>
                <w:lang w:eastAsia="es-CR"/>
                <w14:ligatures w14:val="none"/>
              </w:rPr>
              <w:t xml:space="preserve">Principios de educación cristiana, </w:t>
            </w:r>
            <w:r w:rsidRPr="00F977F7">
              <w:rPr>
                <w:rFonts w:ascii="Calibri" w:eastAsia="Times New Roman" w:hAnsi="Calibri" w:cs="Calibri"/>
                <w:kern w:val="0"/>
                <w:lang w:eastAsia="es-CR"/>
                <w14:ligatures w14:val="none"/>
              </w:rPr>
              <w:t>31-39.</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Nashville: Abingdon, 2003. </w:t>
            </w:r>
            <w:r w:rsidRPr="00F977F7">
              <w:rPr>
                <w:rFonts w:ascii="Calibri" w:eastAsia="Times New Roman" w:hAnsi="Calibri" w:cs="Calibri"/>
                <w:color w:val="0070C0"/>
                <w:kern w:val="0"/>
                <w:lang w:eastAsia="es-CR"/>
                <w14:ligatures w14:val="none"/>
              </w:rPr>
              <w:t>(clásico, última edición)</w:t>
            </w:r>
          </w:p>
          <w:p w14:paraId="497BC052"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2B8DE80D"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kern w:val="0"/>
                <w:lang w:eastAsia="es-CR"/>
                <w14:ligatures w14:val="none"/>
              </w:rPr>
            </w:pPr>
            <w:r w:rsidRPr="00F977F7">
              <w:rPr>
                <w:rFonts w:ascii="Calibri" w:eastAsia="Times New Roman" w:hAnsi="Calibri" w:cs="Calibri"/>
                <w:b/>
                <w:kern w:val="0"/>
                <w:lang w:eastAsia="es-CR"/>
                <w14:ligatures w14:val="none"/>
              </w:rPr>
              <w:t>Material complementario</w:t>
            </w:r>
          </w:p>
          <w:p w14:paraId="7E0C0187"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val="es-ES_tradnl" w:eastAsia="es-CR"/>
                <w14:ligatures w14:val="none"/>
              </w:rPr>
              <w:t xml:space="preserve">Freire, Pablo. “No hay </w:t>
            </w:r>
            <w:r w:rsidRPr="00F977F7">
              <w:rPr>
                <w:rFonts w:ascii="Calibri" w:eastAsia="Times New Roman" w:hAnsi="Calibri" w:cs="Calibri"/>
                <w:kern w:val="0"/>
                <w:lang w:val="es-ES_tradnl" w:eastAsia="es-CR"/>
                <w14:ligatures w14:val="none"/>
              </w:rPr>
              <w:lastRenderedPageBreak/>
              <w:t xml:space="preserve">docencia sin </w:t>
            </w:r>
            <w:proofErr w:type="spellStart"/>
            <w:r w:rsidRPr="00F977F7">
              <w:rPr>
                <w:rFonts w:ascii="Calibri" w:eastAsia="Times New Roman" w:hAnsi="Calibri" w:cs="Calibri"/>
                <w:kern w:val="0"/>
                <w:lang w:val="es-ES_tradnl" w:eastAsia="es-CR"/>
                <w14:ligatures w14:val="none"/>
              </w:rPr>
              <w:t>discencia</w:t>
            </w:r>
            <w:proofErr w:type="spellEnd"/>
            <w:r w:rsidRPr="00F977F7">
              <w:rPr>
                <w:rFonts w:ascii="Calibri" w:eastAsia="Times New Roman" w:hAnsi="Calibri" w:cs="Calibri"/>
                <w:kern w:val="0"/>
                <w:lang w:val="es-ES_tradnl" w:eastAsia="es-CR"/>
                <w14:ligatures w14:val="none"/>
              </w:rPr>
              <w:t xml:space="preserve">”. En </w:t>
            </w:r>
            <w:r w:rsidRPr="00F977F7">
              <w:rPr>
                <w:rFonts w:ascii="Calibri" w:eastAsia="Times New Roman" w:hAnsi="Calibri" w:cs="Calibri"/>
                <w:i/>
                <w:kern w:val="0"/>
                <w:lang w:val="es-ES_tradnl" w:eastAsia="es-CR"/>
                <w14:ligatures w14:val="none"/>
              </w:rPr>
              <w:t>Pedagogía de la autonomía</w:t>
            </w:r>
            <w:r w:rsidRPr="00F977F7">
              <w:rPr>
                <w:rFonts w:ascii="Calibri" w:eastAsia="Times New Roman" w:hAnsi="Calibri" w:cs="Calibri"/>
                <w:kern w:val="0"/>
                <w:lang w:val="es-ES_tradnl" w:eastAsia="es-CR"/>
                <w14:ligatures w14:val="none"/>
              </w:rPr>
              <w:t xml:space="preserve">, 11-22. México, D.F.: Siglo </w:t>
            </w:r>
            <w:proofErr w:type="spellStart"/>
            <w:r w:rsidRPr="00F977F7">
              <w:rPr>
                <w:rFonts w:ascii="Calibri" w:eastAsia="Times New Roman" w:hAnsi="Calibri" w:cs="Calibri"/>
                <w:kern w:val="0"/>
                <w:lang w:val="es-ES_tradnl" w:eastAsia="es-CR"/>
                <w14:ligatures w14:val="none"/>
              </w:rPr>
              <w:t>Veintinuno</w:t>
            </w:r>
            <w:proofErr w:type="spellEnd"/>
            <w:r w:rsidRPr="00F977F7">
              <w:rPr>
                <w:rFonts w:ascii="Calibri" w:eastAsia="Times New Roman" w:hAnsi="Calibri" w:cs="Calibri"/>
                <w:kern w:val="0"/>
                <w:lang w:val="es-ES_tradnl" w:eastAsia="es-CR"/>
                <w14:ligatures w14:val="none"/>
              </w:rPr>
              <w:t xml:space="preserve">, 1997. </w:t>
            </w:r>
            <w:r w:rsidRPr="00F977F7">
              <w:rPr>
                <w:rFonts w:ascii="Calibri" w:eastAsia="Times New Roman" w:hAnsi="Calibri" w:cs="Calibri"/>
                <w:color w:val="0070C0"/>
                <w:kern w:val="0"/>
                <w:lang w:eastAsia="es-CR"/>
                <w14:ligatures w14:val="none"/>
              </w:rPr>
              <w:t>(clásico, última reimpresión 2017)</w:t>
            </w:r>
          </w:p>
          <w:p w14:paraId="2DA38AD6"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7611F1B4"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val="es-ES_tradnl" w:eastAsia="es-CR"/>
                <w14:ligatures w14:val="none"/>
              </w:rPr>
            </w:pPr>
            <w:r w:rsidRPr="00F977F7">
              <w:rPr>
                <w:rFonts w:ascii="Calibri" w:eastAsia="Times New Roman" w:hAnsi="Calibri" w:cs="Calibri"/>
                <w:color w:val="0070C0"/>
                <w:kern w:val="0"/>
                <w:lang w:val="es-ES_tradnl" w:eastAsia="es-CR"/>
                <w14:ligatures w14:val="none"/>
              </w:rPr>
              <w:t>Guía para la participación en un foro en la plataforma Moodle</w:t>
            </w:r>
          </w:p>
          <w:p w14:paraId="29728EE9" w14:textId="77777777" w:rsidR="00F977F7" w:rsidRPr="00F977F7" w:rsidRDefault="00F977F7" w:rsidP="4C9C2619">
            <w:pPr>
              <w:widowControl w:val="0"/>
              <w:overflowPunct w:val="0"/>
              <w:autoSpaceDE w:val="0"/>
              <w:autoSpaceDN w:val="0"/>
              <w:adjustRightInd w:val="0"/>
              <w:spacing w:before="120" w:after="120" w:line="240" w:lineRule="auto"/>
              <w:rPr>
                <w:rFonts w:ascii="Calibri" w:eastAsia="Times New Roman" w:hAnsi="Calibri" w:cs="Calibri"/>
                <w:color w:val="0070C0"/>
                <w:kern w:val="0"/>
                <w:lang w:val="es-ES" w:eastAsia="es-CR"/>
                <w14:ligatures w14:val="none"/>
              </w:rPr>
            </w:pPr>
            <w:r w:rsidRPr="4C9C2619">
              <w:rPr>
                <w:rFonts w:ascii="Calibri" w:eastAsia="Times New Roman"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Times New Roman" w:hAnsi="Calibri" w:cs="Calibri"/>
                <w:color w:val="0070C0"/>
                <w:kern w:val="0"/>
                <w:lang w:val="es-ES" w:eastAsia="es-CR"/>
                <w14:ligatures w14:val="none"/>
              </w:rPr>
              <w:t>Button</w:t>
            </w:r>
            <w:proofErr w:type="spellEnd"/>
            <w:r w:rsidRPr="4C9C2619">
              <w:rPr>
                <w:rFonts w:ascii="Calibri" w:eastAsia="Times New Roman" w:hAnsi="Calibri" w:cs="Calibri"/>
                <w:color w:val="0070C0"/>
                <w:kern w:val="0"/>
                <w:lang w:val="es-ES" w:eastAsia="es-CR"/>
                <w14:ligatures w14:val="none"/>
              </w:rPr>
              <w:t xml:space="preserve"> en la plataforma Moodle</w:t>
            </w:r>
          </w:p>
          <w:p w14:paraId="2AE158B0" w14:textId="77777777" w:rsidR="00F977F7" w:rsidRPr="00F977F7" w:rsidRDefault="00F977F7" w:rsidP="00F977F7">
            <w:pPr>
              <w:spacing w:after="0" w:line="240" w:lineRule="auto"/>
              <w:contextualSpacing/>
              <w:rPr>
                <w:rFonts w:ascii="Calibri" w:eastAsia="MS Mincho" w:hAnsi="Calibri" w:cs="Calibri"/>
                <w:kern w:val="0"/>
                <w:lang w:val="es-ES_tradnl"/>
                <w14:ligatures w14:val="none"/>
              </w:rPr>
            </w:pPr>
          </w:p>
        </w:tc>
        <w:tc>
          <w:tcPr>
            <w:tcW w:w="3260" w:type="dxa"/>
          </w:tcPr>
          <w:p w14:paraId="22141BD3"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lastRenderedPageBreak/>
              <w:t>Participación en el foro grupal: Perfil y plan de capacitación docente.</w:t>
            </w:r>
          </w:p>
          <w:p w14:paraId="787C36DB"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Aporte docente en un encuentro sincrónico virtual (formativo).</w:t>
            </w:r>
          </w:p>
          <w:p w14:paraId="50515B28" w14:textId="77777777" w:rsidR="00F977F7" w:rsidRPr="00F977F7" w:rsidRDefault="00F977F7" w:rsidP="00F977F7">
            <w:pPr>
              <w:spacing w:after="0" w:line="240" w:lineRule="auto"/>
              <w:ind w:left="205"/>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 </w:t>
            </w:r>
          </w:p>
        </w:tc>
      </w:tr>
      <w:tr w:rsidR="00F977F7" w:rsidRPr="00F977F7" w14:paraId="0E269E0A" w14:textId="77777777" w:rsidTr="4C9C2619">
        <w:trPr>
          <w:jc w:val="center"/>
        </w:trPr>
        <w:tc>
          <w:tcPr>
            <w:tcW w:w="1271" w:type="dxa"/>
          </w:tcPr>
          <w:p w14:paraId="4121840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DD39AA6"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14</w:t>
            </w:r>
          </w:p>
          <w:p w14:paraId="79E0A76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3A83C143"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6B99F7E3"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4: Aportes desde la administración: ¿Cómo nos organizamos?</w:t>
            </w:r>
          </w:p>
          <w:p w14:paraId="0CC7A36C"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4.2 La organización del programa de educación cristiana</w:t>
            </w:r>
          </w:p>
        </w:tc>
        <w:tc>
          <w:tcPr>
            <w:tcW w:w="2977" w:type="dxa"/>
          </w:tcPr>
          <w:p w14:paraId="61D525B2"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eastAsia="es-CR"/>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49141819"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eastAsia="es-CR"/>
                <w14:ligatures w14:val="none"/>
              </w:rPr>
            </w:pPr>
            <w:r w:rsidRPr="00F977F7">
              <w:rPr>
                <w:rFonts w:ascii="Calibri" w:eastAsia="Times New Roman" w:hAnsi="Calibri" w:cs="Calibri"/>
                <w:kern w:val="0"/>
                <w:lang w:eastAsia="es-CR"/>
                <w14:ligatures w14:val="none"/>
              </w:rPr>
              <w:t xml:space="preserve">Jiménez, Pablo. “La educación cristiana en la iglesia local”. En </w:t>
            </w:r>
            <w:r w:rsidRPr="00F977F7">
              <w:rPr>
                <w:rFonts w:ascii="Calibri" w:eastAsia="Times New Roman" w:hAnsi="Calibri" w:cs="Calibri"/>
                <w:i/>
                <w:kern w:val="0"/>
                <w:lang w:eastAsia="es-CR"/>
                <w14:ligatures w14:val="none"/>
              </w:rPr>
              <w:t xml:space="preserve">Principios de educación cristiana, </w:t>
            </w:r>
            <w:r w:rsidRPr="00F977F7">
              <w:rPr>
                <w:rFonts w:ascii="Calibri" w:eastAsia="Times New Roman" w:hAnsi="Calibri" w:cs="Calibri"/>
                <w:kern w:val="0"/>
                <w:lang w:eastAsia="es-CR"/>
                <w14:ligatures w14:val="none"/>
              </w:rPr>
              <w:t>41-61.</w:t>
            </w:r>
            <w:r w:rsidRPr="00F977F7">
              <w:rPr>
                <w:rFonts w:ascii="Calibri" w:eastAsia="Times New Roman" w:hAnsi="Calibri" w:cs="Calibri"/>
                <w:i/>
                <w:kern w:val="0"/>
                <w:lang w:eastAsia="es-CR"/>
                <w14:ligatures w14:val="none"/>
              </w:rPr>
              <w:t xml:space="preserve"> </w:t>
            </w:r>
            <w:r w:rsidRPr="00F977F7">
              <w:rPr>
                <w:rFonts w:ascii="Calibri" w:eastAsia="Times New Roman" w:hAnsi="Calibri" w:cs="Calibri"/>
                <w:kern w:val="0"/>
                <w:lang w:eastAsia="es-CR"/>
                <w14:ligatures w14:val="none"/>
              </w:rPr>
              <w:t xml:space="preserve">Nashville: Abingdon, 2003. </w:t>
            </w:r>
            <w:r w:rsidRPr="00F977F7">
              <w:rPr>
                <w:rFonts w:ascii="Calibri" w:eastAsia="Times New Roman" w:hAnsi="Calibri" w:cs="Calibri"/>
                <w:color w:val="0070C0"/>
                <w:kern w:val="0"/>
                <w:lang w:eastAsia="es-CR"/>
                <w14:ligatures w14:val="none"/>
              </w:rPr>
              <w:t>(clásico, última edición)</w:t>
            </w:r>
          </w:p>
          <w:p w14:paraId="22ED4948" w14:textId="77777777" w:rsidR="00F977F7" w:rsidRPr="00F977F7" w:rsidRDefault="00F977F7" w:rsidP="00F977F7">
            <w:pPr>
              <w:spacing w:after="0" w:line="240" w:lineRule="auto"/>
              <w:contextualSpacing/>
              <w:rPr>
                <w:rFonts w:ascii="Calibri" w:eastAsia="MS Mincho" w:hAnsi="Calibri" w:cs="Calibri"/>
                <w:kern w:val="0"/>
                <w:sz w:val="12"/>
                <w:szCs w:val="12"/>
                <w:lang w:val="es-ES_tradnl"/>
                <w14:ligatures w14:val="none"/>
              </w:rPr>
            </w:pPr>
          </w:p>
          <w:p w14:paraId="04210C9A"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
                <w:color w:val="0070C0"/>
                <w:kern w:val="0"/>
                <w:lang w:eastAsia="es-CR"/>
                <w14:ligatures w14:val="none"/>
              </w:rPr>
            </w:pPr>
            <w:r w:rsidRPr="00F977F7">
              <w:rPr>
                <w:rFonts w:ascii="Calibri" w:eastAsia="Times New Roman" w:hAnsi="Calibri" w:cs="Calibri"/>
                <w:b/>
                <w:color w:val="0070C0"/>
                <w:kern w:val="0"/>
                <w:lang w:eastAsia="es-CR"/>
                <w14:ligatures w14:val="none"/>
              </w:rPr>
              <w:t>Material complementario</w:t>
            </w:r>
          </w:p>
          <w:p w14:paraId="02ED2154"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bCs/>
                <w:kern w:val="0"/>
                <w:lang w:eastAsia="es-CR"/>
                <w14:ligatures w14:val="none"/>
              </w:rPr>
            </w:pPr>
            <w:r w:rsidRPr="00F977F7">
              <w:rPr>
                <w:rFonts w:ascii="Calibri" w:eastAsia="Times New Roman" w:hAnsi="Calibri" w:cs="Calibri"/>
                <w:bCs/>
                <w:color w:val="0070C0"/>
                <w:kern w:val="0"/>
                <w:lang w:eastAsia="es-CR"/>
                <w14:ligatures w14:val="none"/>
              </w:rPr>
              <w:t>Guía para la participación en un foro en la plataforma Moodle</w:t>
            </w:r>
          </w:p>
        </w:tc>
        <w:tc>
          <w:tcPr>
            <w:tcW w:w="3260" w:type="dxa"/>
          </w:tcPr>
          <w:p w14:paraId="5E243B87"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Entrega del cuarto borrador del Manual de Educación Cristiana (gestión administrativa). </w:t>
            </w:r>
          </w:p>
          <w:p w14:paraId="2F0C83BC"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Participación en el foro sobre el cuarto borrador del Manual de Educación Cristiana (opcional).</w:t>
            </w:r>
          </w:p>
        </w:tc>
      </w:tr>
      <w:tr w:rsidR="00F977F7" w:rsidRPr="00F977F7" w14:paraId="44E1D030" w14:textId="77777777" w:rsidTr="4C9C2619">
        <w:trPr>
          <w:trHeight w:val="2291"/>
          <w:jc w:val="center"/>
        </w:trPr>
        <w:tc>
          <w:tcPr>
            <w:tcW w:w="1271" w:type="dxa"/>
          </w:tcPr>
          <w:p w14:paraId="7A8997D5"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0B92BB0C"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r w:rsidRPr="00F977F7">
              <w:rPr>
                <w:rFonts w:ascii="Calibri" w:eastAsia="Times New Roman" w:hAnsi="Calibri" w:cs="Calibri"/>
                <w:color w:val="000000"/>
                <w:kern w:val="0"/>
                <w:lang w:val="es-ES_tradnl" w:eastAsia="es-CR" w:bidi="x-none"/>
                <w14:ligatures w14:val="none"/>
              </w:rPr>
              <w:t>15</w:t>
            </w:r>
          </w:p>
          <w:p w14:paraId="171E67CB"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000000"/>
                <w:kern w:val="0"/>
                <w:lang w:val="es-ES_tradnl" w:eastAsia="es-CR" w:bidi="x-none"/>
                <w14:ligatures w14:val="none"/>
              </w:rPr>
            </w:pPr>
          </w:p>
          <w:p w14:paraId="0480A593" w14:textId="77777777" w:rsidR="00F977F7" w:rsidRPr="00F977F7" w:rsidRDefault="00F977F7" w:rsidP="00F977F7">
            <w:pPr>
              <w:tabs>
                <w:tab w:val="right" w:leader="dot" w:pos="8640"/>
              </w:tabs>
              <w:spacing w:after="0" w:line="240" w:lineRule="auto"/>
              <w:jc w:val="center"/>
              <w:rPr>
                <w:rFonts w:ascii="Calibri" w:eastAsia="Times New Roman" w:hAnsi="Calibri" w:cs="Calibri"/>
                <w:color w:val="FF0000"/>
                <w:kern w:val="0"/>
                <w:lang w:val="es-ES_tradnl" w:eastAsia="es-CR" w:bidi="x-none"/>
                <w14:ligatures w14:val="none"/>
              </w:rPr>
            </w:pPr>
          </w:p>
        </w:tc>
        <w:tc>
          <w:tcPr>
            <w:tcW w:w="2410" w:type="dxa"/>
          </w:tcPr>
          <w:p w14:paraId="565CAF2D" w14:textId="77777777" w:rsidR="00F977F7" w:rsidRPr="00F977F7" w:rsidRDefault="00F977F7" w:rsidP="00F977F7">
            <w:pPr>
              <w:keepNext/>
              <w:keepLines/>
              <w:widowControl w:val="0"/>
              <w:tabs>
                <w:tab w:val="right" w:leader="dot" w:pos="8640"/>
              </w:tabs>
              <w:overflowPunct w:val="0"/>
              <w:autoSpaceDE w:val="0"/>
              <w:autoSpaceDN w:val="0"/>
              <w:adjustRightInd w:val="0"/>
              <w:spacing w:before="200" w:after="120" w:line="240" w:lineRule="auto"/>
              <w:outlineLvl w:val="1"/>
              <w:rPr>
                <w:rFonts w:ascii="Calibri" w:eastAsia="Times New Roman" w:hAnsi="Calibri" w:cs="Calibri"/>
                <w:b/>
                <w:bCs/>
                <w:kern w:val="0"/>
                <w:lang w:val="es-ES_tradnl" w:eastAsia="es-CR" w:bidi="x-none"/>
                <w14:ligatures w14:val="none"/>
              </w:rPr>
            </w:pPr>
            <w:r w:rsidRPr="00F977F7">
              <w:rPr>
                <w:rFonts w:ascii="Calibri" w:eastAsia="Times New Roman" w:hAnsi="Calibri" w:cs="Calibri"/>
                <w:b/>
                <w:bCs/>
                <w:kern w:val="0"/>
                <w:lang w:val="es-ES_tradnl" w:eastAsia="es-CR" w:bidi="x-none"/>
                <w14:ligatures w14:val="none"/>
              </w:rPr>
              <w:t>Unidad 4: Aportes desde la administración: ¿Cómo nos organizamos?</w:t>
            </w:r>
          </w:p>
          <w:p w14:paraId="3CB922B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4.2 La organización del programa de educación cristiana</w:t>
            </w:r>
          </w:p>
        </w:tc>
        <w:tc>
          <w:tcPr>
            <w:tcW w:w="2977" w:type="dxa"/>
          </w:tcPr>
          <w:p w14:paraId="2575D0BA"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color w:val="0070C0"/>
                <w:kern w:val="0"/>
                <w:lang w:val="es-ES_tradnl" w:eastAsia="es-CR" w:bidi="x-none"/>
                <w14:ligatures w14:val="none"/>
              </w:rPr>
            </w:pPr>
            <w:r w:rsidRPr="00F977F7">
              <w:rPr>
                <w:rFonts w:ascii="Calibri" w:eastAsia="Times New Roman" w:hAnsi="Calibri" w:cs="Calibri"/>
                <w:color w:val="0070C0"/>
                <w:kern w:val="0"/>
                <w:lang w:val="es-ES_tradnl" w:eastAsia="es-CR" w:bidi="x-none"/>
                <w14:ligatures w14:val="none"/>
              </w:rPr>
              <w:t>Ruta de aprendizaje</w:t>
            </w:r>
          </w:p>
          <w:p w14:paraId="33D527EB" w14:textId="77777777" w:rsidR="00F977F7" w:rsidRPr="00F977F7" w:rsidRDefault="00F977F7" w:rsidP="00F977F7">
            <w:pPr>
              <w:widowControl w:val="0"/>
              <w:overflowPunct w:val="0"/>
              <w:autoSpaceDE w:val="0"/>
              <w:autoSpaceDN w:val="0"/>
              <w:adjustRightInd w:val="0"/>
              <w:spacing w:before="120" w:after="120" w:line="240" w:lineRule="auto"/>
              <w:rPr>
                <w:rFonts w:ascii="Calibri" w:eastAsia="Times New Roman" w:hAnsi="Calibri" w:cs="Calibri"/>
                <w:kern w:val="0"/>
                <w:lang w:val="es-ES_tradnl" w:eastAsia="es-CR" w:bidi="x-none"/>
                <w14:ligatures w14:val="none"/>
              </w:rPr>
            </w:pPr>
          </w:p>
        </w:tc>
        <w:tc>
          <w:tcPr>
            <w:tcW w:w="3260" w:type="dxa"/>
          </w:tcPr>
          <w:p w14:paraId="13692CA1" w14:textId="77777777" w:rsidR="00F977F7" w:rsidRPr="00F977F7" w:rsidRDefault="00F977F7" w:rsidP="00F977F7">
            <w:pPr>
              <w:widowControl w:val="0"/>
              <w:numPr>
                <w:ilvl w:val="1"/>
                <w:numId w:val="176"/>
              </w:numPr>
              <w:overflowPunct w:val="0"/>
              <w:autoSpaceDE w:val="0"/>
              <w:autoSpaceDN w:val="0"/>
              <w:adjustRightInd w:val="0"/>
              <w:spacing w:before="120" w:after="0" w:line="240" w:lineRule="auto"/>
              <w:ind w:left="205" w:hanging="238"/>
              <w:rPr>
                <w:rFonts w:ascii="Calibri" w:eastAsia="Times New Roman" w:hAnsi="Calibri" w:cs="Calibri"/>
                <w:kern w:val="0"/>
                <w:lang w:val="es-ES_tradnl" w:eastAsia="es-CR" w:bidi="x-none"/>
                <w14:ligatures w14:val="none"/>
              </w:rPr>
            </w:pPr>
            <w:r w:rsidRPr="00F977F7">
              <w:rPr>
                <w:rFonts w:ascii="Calibri" w:eastAsia="Times New Roman" w:hAnsi="Calibri" w:cs="Calibri"/>
                <w:kern w:val="0"/>
                <w:lang w:val="es-ES_tradnl" w:eastAsia="es-CR" w:bidi="x-none"/>
                <w14:ligatures w14:val="none"/>
              </w:rPr>
              <w:t xml:space="preserve">Entrega de la versión final del Manual de Educación Cristiana. </w:t>
            </w:r>
          </w:p>
        </w:tc>
      </w:tr>
    </w:tbl>
    <w:p w14:paraId="25FCA80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8C66E7A"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F89340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D9DFE7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6137A964"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2F6A47E8"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B555C4F"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4C3120D"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F977F7">
        <w:rPr>
          <w:rFonts w:ascii="Calibri" w:eastAsia="Times New Roman" w:hAnsi="Calibri" w:cs="Calibri"/>
          <w:b/>
          <w:bCs/>
          <w:color w:val="000000"/>
          <w:kern w:val="0"/>
          <w:lang w:val="es-ES_tradnl" w:eastAsia="es-CR"/>
          <w14:ligatures w14:val="none"/>
        </w:rPr>
        <w:lastRenderedPageBreak/>
        <w:t>IX. Distribución de tiempo semanal</w:t>
      </w:r>
    </w:p>
    <w:p w14:paraId="3A983DE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977F7">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reseña, tareas, ensayos, discusiones en foros o trabajos colaborativos.  Debe considerarse que, al tener este curso asignados 4 créditos, se debe invertir 12 horas de trabajo por semana. La distribución de tiempos es la siguiente:</w:t>
      </w:r>
    </w:p>
    <w:p w14:paraId="7D8BEE87"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8784" w:type="dxa"/>
        <w:tblLook w:val="04A0" w:firstRow="1" w:lastRow="0" w:firstColumn="1" w:lastColumn="0" w:noHBand="0" w:noVBand="1"/>
      </w:tblPr>
      <w:tblGrid>
        <w:gridCol w:w="2122"/>
        <w:gridCol w:w="1417"/>
        <w:gridCol w:w="5245"/>
      </w:tblGrid>
      <w:tr w:rsidR="00F977F7" w:rsidRPr="00F977F7" w14:paraId="2473F362" w14:textId="77777777" w:rsidTr="4C9C2619">
        <w:tc>
          <w:tcPr>
            <w:tcW w:w="2122" w:type="dxa"/>
          </w:tcPr>
          <w:p w14:paraId="7C4ABDE8"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r w:rsidRPr="00F977F7">
              <w:rPr>
                <w:rFonts w:eastAsia="Times New Roman" w:cs="Calibri"/>
                <w:b/>
                <w:bCs/>
                <w:color w:val="000000"/>
                <w:lang w:val="es-ES_tradnl" w:eastAsia="es-CR"/>
              </w:rPr>
              <w:t>Tipo de horas</w:t>
            </w:r>
          </w:p>
          <w:p w14:paraId="5A6459B4"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r w:rsidRPr="00F977F7">
              <w:rPr>
                <w:rFonts w:eastAsia="Times New Roman" w:cs="Calibri"/>
                <w:b/>
                <w:bCs/>
                <w:color w:val="000000"/>
                <w:lang w:val="es-ES_tradnl" w:eastAsia="es-CR"/>
              </w:rPr>
              <w:t>(categoría)</w:t>
            </w:r>
          </w:p>
        </w:tc>
        <w:tc>
          <w:tcPr>
            <w:tcW w:w="1417" w:type="dxa"/>
          </w:tcPr>
          <w:p w14:paraId="56D221EF"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r w:rsidRPr="00F977F7">
              <w:rPr>
                <w:rFonts w:eastAsia="Times New Roman" w:cs="Calibri"/>
                <w:b/>
                <w:bCs/>
                <w:color w:val="000000"/>
                <w:lang w:val="es-ES_tradnl" w:eastAsia="es-CR"/>
              </w:rPr>
              <w:t>Horas por semana</w:t>
            </w:r>
          </w:p>
        </w:tc>
        <w:tc>
          <w:tcPr>
            <w:tcW w:w="5245" w:type="dxa"/>
            <w:vAlign w:val="center"/>
          </w:tcPr>
          <w:p w14:paraId="566CBBF8"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r w:rsidRPr="00F977F7">
              <w:rPr>
                <w:rFonts w:eastAsia="Times New Roman" w:cs="Calibri"/>
                <w:b/>
                <w:bCs/>
                <w:color w:val="000000"/>
                <w:lang w:val="es-ES_tradnl" w:eastAsia="es-CR"/>
              </w:rPr>
              <w:t>Actividades relacionadas</w:t>
            </w:r>
          </w:p>
        </w:tc>
      </w:tr>
      <w:tr w:rsidR="00F977F7" w:rsidRPr="00F977F7" w14:paraId="42F2F1B5" w14:textId="77777777" w:rsidTr="4C9C2619">
        <w:trPr>
          <w:trHeight w:val="891"/>
        </w:trPr>
        <w:tc>
          <w:tcPr>
            <w:tcW w:w="2122" w:type="dxa"/>
            <w:vAlign w:val="center"/>
          </w:tcPr>
          <w:p w14:paraId="0F4CCBB9"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Horas de Estudio Individual (HEI)</w:t>
            </w:r>
          </w:p>
        </w:tc>
        <w:tc>
          <w:tcPr>
            <w:tcW w:w="1417" w:type="dxa"/>
            <w:vAlign w:val="center"/>
          </w:tcPr>
          <w:p w14:paraId="103038E0"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3</w:t>
            </w:r>
          </w:p>
        </w:tc>
        <w:tc>
          <w:tcPr>
            <w:tcW w:w="5245" w:type="dxa"/>
          </w:tcPr>
          <w:p w14:paraId="2502937D" w14:textId="77777777" w:rsidR="00F977F7" w:rsidRPr="00F977F7" w:rsidRDefault="00F977F7" w:rsidP="007B32C6">
            <w:pPr>
              <w:widowControl w:val="0"/>
              <w:numPr>
                <w:ilvl w:val="0"/>
                <w:numId w:val="34"/>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Lectura de los textos (materiales en formato digital).</w:t>
            </w:r>
          </w:p>
          <w:p w14:paraId="6EE0D908" w14:textId="77777777" w:rsidR="00F977F7" w:rsidRPr="00F977F7" w:rsidRDefault="00F977F7" w:rsidP="007B32C6">
            <w:pPr>
              <w:widowControl w:val="0"/>
              <w:numPr>
                <w:ilvl w:val="0"/>
                <w:numId w:val="34"/>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Análisis de lecturas e investigación por cuenta propia.</w:t>
            </w:r>
          </w:p>
        </w:tc>
      </w:tr>
      <w:tr w:rsidR="00F977F7" w:rsidRPr="00F977F7" w14:paraId="3E73B5AF" w14:textId="77777777" w:rsidTr="4C9C2619">
        <w:trPr>
          <w:trHeight w:val="1117"/>
        </w:trPr>
        <w:tc>
          <w:tcPr>
            <w:tcW w:w="2122" w:type="dxa"/>
            <w:vAlign w:val="center"/>
          </w:tcPr>
          <w:p w14:paraId="7D2F7282"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Horas de Trabajo Colaborativo (HTC)</w:t>
            </w:r>
          </w:p>
        </w:tc>
        <w:tc>
          <w:tcPr>
            <w:tcW w:w="1417" w:type="dxa"/>
            <w:vAlign w:val="center"/>
          </w:tcPr>
          <w:p w14:paraId="2048E98D"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3</w:t>
            </w:r>
          </w:p>
        </w:tc>
        <w:tc>
          <w:tcPr>
            <w:tcW w:w="5245" w:type="dxa"/>
          </w:tcPr>
          <w:p w14:paraId="283497AC" w14:textId="77777777" w:rsidR="00F977F7" w:rsidRPr="00F977F7" w:rsidRDefault="00F977F7" w:rsidP="007B32C6">
            <w:pPr>
              <w:widowControl w:val="0"/>
              <w:numPr>
                <w:ilvl w:val="0"/>
                <w:numId w:val="35"/>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Participación en los foros temáticos, foros grupales y foro de pares (incluye aportes personales y réplicas a los demás estudiantes).</w:t>
            </w:r>
          </w:p>
          <w:p w14:paraId="04AB65F9" w14:textId="77777777" w:rsidR="00F977F7" w:rsidRPr="00F977F7" w:rsidRDefault="00F977F7" w:rsidP="007B32C6">
            <w:pPr>
              <w:widowControl w:val="0"/>
              <w:numPr>
                <w:ilvl w:val="0"/>
                <w:numId w:val="35"/>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Participación en los encuentros sincrónicos virtuales.</w:t>
            </w:r>
          </w:p>
        </w:tc>
      </w:tr>
      <w:tr w:rsidR="00F977F7" w:rsidRPr="00F977F7" w14:paraId="723B5248" w14:textId="77777777" w:rsidTr="4C9C2619">
        <w:trPr>
          <w:trHeight w:val="1983"/>
        </w:trPr>
        <w:tc>
          <w:tcPr>
            <w:tcW w:w="2122" w:type="dxa"/>
            <w:vAlign w:val="center"/>
          </w:tcPr>
          <w:p w14:paraId="780DC533"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Horas de Producción Individual (HPI)</w:t>
            </w:r>
          </w:p>
        </w:tc>
        <w:tc>
          <w:tcPr>
            <w:tcW w:w="1417" w:type="dxa"/>
            <w:vAlign w:val="center"/>
          </w:tcPr>
          <w:p w14:paraId="4353326F"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4</w:t>
            </w:r>
          </w:p>
        </w:tc>
        <w:tc>
          <w:tcPr>
            <w:tcW w:w="5245" w:type="dxa"/>
          </w:tcPr>
          <w:p w14:paraId="69C29E5E"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Elaboración de una reseña crítica de lectura.</w:t>
            </w:r>
          </w:p>
          <w:p w14:paraId="6A427861"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 xml:space="preserve">Elaboración de un mapa conceptual. </w:t>
            </w:r>
          </w:p>
          <w:p w14:paraId="13110139"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 xml:space="preserve">Elaboración de dos ensayos. </w:t>
            </w:r>
          </w:p>
          <w:p w14:paraId="0E68B556"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 xml:space="preserve">Realización de una autoevaluación. </w:t>
            </w:r>
          </w:p>
          <w:p w14:paraId="62015E9C"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 xml:space="preserve">Diseño de una lección bíblica. </w:t>
            </w:r>
          </w:p>
          <w:p w14:paraId="6997739E" w14:textId="77777777" w:rsidR="00F977F7" w:rsidRPr="00F977F7" w:rsidRDefault="00F977F7" w:rsidP="007B32C6">
            <w:pPr>
              <w:widowControl w:val="0"/>
              <w:numPr>
                <w:ilvl w:val="0"/>
                <w:numId w:val="36"/>
              </w:numPr>
              <w:overflowPunct w:val="0"/>
              <w:autoSpaceDE w:val="0"/>
              <w:autoSpaceDN w:val="0"/>
              <w:adjustRightInd w:val="0"/>
              <w:jc w:val="both"/>
              <w:rPr>
                <w:rFonts w:eastAsia="Times New Roman" w:cs="Calibri"/>
                <w:bCs/>
                <w:color w:val="000000"/>
                <w:lang w:val="es-ES_tradnl" w:eastAsia="es-CR"/>
              </w:rPr>
            </w:pPr>
            <w:r w:rsidRPr="00F977F7">
              <w:rPr>
                <w:rFonts w:eastAsia="Times New Roman" w:cs="Calibri"/>
                <w:bCs/>
                <w:color w:val="000000"/>
                <w:lang w:val="es-ES_tradnl" w:eastAsia="es-CR"/>
              </w:rPr>
              <w:t xml:space="preserve">Elaboración de un perfil y plan de capacitación docente. </w:t>
            </w:r>
          </w:p>
        </w:tc>
      </w:tr>
      <w:tr w:rsidR="00F977F7" w:rsidRPr="00F977F7" w14:paraId="4347276D" w14:textId="77777777" w:rsidTr="4C9C2619">
        <w:tc>
          <w:tcPr>
            <w:tcW w:w="2122" w:type="dxa"/>
            <w:vAlign w:val="center"/>
          </w:tcPr>
          <w:p w14:paraId="68D084D9"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Horas de Práctica (HP)</w:t>
            </w:r>
          </w:p>
        </w:tc>
        <w:tc>
          <w:tcPr>
            <w:tcW w:w="1417" w:type="dxa"/>
            <w:vAlign w:val="center"/>
          </w:tcPr>
          <w:p w14:paraId="228559DE" w14:textId="77777777" w:rsidR="00F977F7" w:rsidRPr="00F977F7" w:rsidRDefault="00F977F7" w:rsidP="007B32C6">
            <w:pPr>
              <w:widowControl w:val="0"/>
              <w:overflowPunct w:val="0"/>
              <w:autoSpaceDE w:val="0"/>
              <w:autoSpaceDN w:val="0"/>
              <w:adjustRightInd w:val="0"/>
              <w:jc w:val="center"/>
              <w:rPr>
                <w:rFonts w:eastAsia="Times New Roman" w:cs="Calibri"/>
                <w:bCs/>
                <w:color w:val="000000"/>
                <w:lang w:val="es-ES_tradnl" w:eastAsia="es-CR"/>
              </w:rPr>
            </w:pPr>
            <w:r w:rsidRPr="00F977F7">
              <w:rPr>
                <w:rFonts w:eastAsia="Times New Roman" w:cs="Calibri"/>
                <w:bCs/>
                <w:color w:val="000000"/>
                <w:lang w:val="es-ES_tradnl" w:eastAsia="es-CR"/>
              </w:rPr>
              <w:t>2</w:t>
            </w:r>
          </w:p>
        </w:tc>
        <w:tc>
          <w:tcPr>
            <w:tcW w:w="5245" w:type="dxa"/>
            <w:vAlign w:val="center"/>
          </w:tcPr>
          <w:p w14:paraId="70D555BD" w14:textId="77777777" w:rsidR="00F977F7" w:rsidRPr="00F977F7" w:rsidRDefault="00F977F7" w:rsidP="007B32C6">
            <w:pPr>
              <w:widowControl w:val="0"/>
              <w:numPr>
                <w:ilvl w:val="0"/>
                <w:numId w:val="36"/>
              </w:numPr>
              <w:overflowPunct w:val="0"/>
              <w:autoSpaceDE w:val="0"/>
              <w:autoSpaceDN w:val="0"/>
              <w:adjustRightInd w:val="0"/>
              <w:rPr>
                <w:rFonts w:eastAsia="Times New Roman" w:cs="Calibri"/>
                <w:bCs/>
                <w:color w:val="000000"/>
                <w:lang w:val="es-ES_tradnl" w:eastAsia="es-CR"/>
              </w:rPr>
            </w:pPr>
            <w:r w:rsidRPr="00F977F7">
              <w:rPr>
                <w:rFonts w:eastAsia="Times New Roman" w:cs="Calibri"/>
                <w:bCs/>
                <w:color w:val="000000"/>
                <w:lang w:val="es-ES_tradnl" w:eastAsia="es-CR"/>
              </w:rPr>
              <w:t xml:space="preserve">Elaboración del Manual de Educación Cristiana. </w:t>
            </w:r>
          </w:p>
        </w:tc>
      </w:tr>
      <w:tr w:rsidR="00F977F7" w:rsidRPr="00F977F7" w14:paraId="0C743A14" w14:textId="77777777" w:rsidTr="4C9C2619">
        <w:tc>
          <w:tcPr>
            <w:tcW w:w="2122" w:type="dxa"/>
            <w:vAlign w:val="center"/>
          </w:tcPr>
          <w:p w14:paraId="1BC04C81" w14:textId="77777777" w:rsidR="00F977F7" w:rsidRPr="00F977F7" w:rsidRDefault="4C9C2619" w:rsidP="4C9C2619">
            <w:pPr>
              <w:widowControl w:val="0"/>
              <w:overflowPunct w:val="0"/>
              <w:autoSpaceDE w:val="0"/>
              <w:autoSpaceDN w:val="0"/>
              <w:adjustRightInd w:val="0"/>
              <w:jc w:val="center"/>
              <w:rPr>
                <w:rFonts w:eastAsia="Times New Roman" w:cs="Calibri"/>
                <w:b/>
                <w:bCs/>
                <w:color w:val="000000"/>
                <w:lang w:val="es-ES" w:eastAsia="es-CR"/>
              </w:rPr>
            </w:pPr>
            <w:r w:rsidRPr="4C9C2619">
              <w:rPr>
                <w:rFonts w:eastAsia="Times New Roman" w:cs="Calibri"/>
                <w:b/>
                <w:bCs/>
                <w:color w:val="000000" w:themeColor="text1"/>
                <w:lang w:val="es-ES" w:eastAsia="es-CR"/>
              </w:rPr>
              <w:t>Total de horas (TH)</w:t>
            </w:r>
          </w:p>
        </w:tc>
        <w:tc>
          <w:tcPr>
            <w:tcW w:w="1417" w:type="dxa"/>
            <w:vAlign w:val="center"/>
          </w:tcPr>
          <w:p w14:paraId="3B43A46A"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r w:rsidRPr="00F977F7">
              <w:rPr>
                <w:rFonts w:eastAsia="Times New Roman" w:cs="Calibri"/>
                <w:b/>
                <w:bCs/>
                <w:color w:val="000000"/>
                <w:lang w:val="es-ES_tradnl" w:eastAsia="es-CR"/>
              </w:rPr>
              <w:t>12</w:t>
            </w:r>
          </w:p>
        </w:tc>
        <w:tc>
          <w:tcPr>
            <w:tcW w:w="5245" w:type="dxa"/>
          </w:tcPr>
          <w:p w14:paraId="2D074F26" w14:textId="77777777" w:rsidR="00F977F7" w:rsidRPr="00F977F7" w:rsidRDefault="00F977F7" w:rsidP="007B32C6">
            <w:pPr>
              <w:widowControl w:val="0"/>
              <w:overflowPunct w:val="0"/>
              <w:autoSpaceDE w:val="0"/>
              <w:autoSpaceDN w:val="0"/>
              <w:adjustRightInd w:val="0"/>
              <w:jc w:val="center"/>
              <w:rPr>
                <w:rFonts w:eastAsia="Times New Roman" w:cs="Calibri"/>
                <w:b/>
                <w:bCs/>
                <w:color w:val="000000"/>
                <w:lang w:val="es-ES_tradnl" w:eastAsia="es-CR"/>
              </w:rPr>
            </w:pPr>
          </w:p>
        </w:tc>
      </w:tr>
    </w:tbl>
    <w:p w14:paraId="61E4B980"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EAD5219" w14:textId="77777777" w:rsidR="00F977F7" w:rsidRPr="00F977F7" w:rsidRDefault="00F977F7"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7A334073"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B3C84E6"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BC32E9D"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9E02CAF"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81EDB8F"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2DA00AC"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058ACEA"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4EE4C19"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lastRenderedPageBreak/>
        <w:t>X. Evaluación</w:t>
      </w:r>
    </w:p>
    <w:p w14:paraId="34EA32AD"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color w:val="000000"/>
          <w:kern w:val="0"/>
          <w:lang w:val="es-ES_tradnl" w:eastAsia="es-CR"/>
          <w14:ligatures w14:val="none"/>
        </w:rPr>
        <w:t>Se evaluará la adquisición de conocimientos acerca de la educación cristiana, enfocándose en la habilidad de analizar y evaluar esos conocimientos con el fin de sintetizarlos en un Manual de Educación Cristiana. Al mismo tiempo, se evaluará el desarrollo de destrezas concretas para la enseñanza. La participación en los foros será clave por los diálogos, análisis y proyectos que se realizan.</w:t>
      </w:r>
      <w:r w:rsidRPr="00F977F7">
        <w:rPr>
          <w:rFonts w:ascii="Calibri" w:eastAsia="Times New Roman" w:hAnsi="Calibri" w:cs="Arial"/>
          <w:color w:val="000000"/>
          <w:kern w:val="0"/>
          <w:lang w:eastAsia="es-CR"/>
          <w14:ligatures w14:val="none"/>
        </w:rPr>
        <w:t xml:space="preserve"> La nota mínima de aprobación del curso es 7.00 (en escala decimal). La siguiente es la distribución porcentual de cada uno de los rubros evaluados para el cálculo de la nota final:</w:t>
      </w:r>
    </w:p>
    <w:p w14:paraId="17A6D74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1"/>
        <w:gridCol w:w="1203"/>
      </w:tblGrid>
      <w:tr w:rsidR="00F977F7" w:rsidRPr="00F977F7" w14:paraId="23AB3E21" w14:textId="77777777" w:rsidTr="00CE7124">
        <w:trPr>
          <w:trHeight w:val="324"/>
          <w:jc w:val="center"/>
        </w:trPr>
        <w:tc>
          <w:tcPr>
            <w:tcW w:w="8574" w:type="dxa"/>
            <w:gridSpan w:val="2"/>
          </w:tcPr>
          <w:p w14:paraId="769DED73" w14:textId="77777777" w:rsidR="00F977F7" w:rsidRPr="00F977F7" w:rsidRDefault="00F977F7" w:rsidP="00F977F7">
            <w:pPr>
              <w:widowControl w:val="0"/>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F977F7">
              <w:rPr>
                <w:rFonts w:ascii="Calibri" w:eastAsia="Times New Roman" w:hAnsi="Calibri" w:cs="Arial"/>
                <w:b/>
                <w:color w:val="000000"/>
                <w:kern w:val="0"/>
                <w:lang w:val="es-ES" w:eastAsia="es-CR"/>
                <w14:ligatures w14:val="none"/>
              </w:rPr>
              <w:t>Síntesis cuantitativa de la evaluación</w:t>
            </w:r>
          </w:p>
        </w:tc>
      </w:tr>
      <w:tr w:rsidR="00F977F7" w:rsidRPr="00F977F7" w14:paraId="74437537" w14:textId="77777777" w:rsidTr="00CE7124">
        <w:trPr>
          <w:jc w:val="center"/>
        </w:trPr>
        <w:tc>
          <w:tcPr>
            <w:tcW w:w="7371" w:type="dxa"/>
          </w:tcPr>
          <w:p w14:paraId="7B7B3A72"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F977F7">
              <w:rPr>
                <w:rFonts w:ascii="Calibri" w:eastAsia="Times New Roman" w:hAnsi="Calibri" w:cs="Arial"/>
                <w:b/>
                <w:color w:val="000000"/>
                <w:kern w:val="0"/>
                <w:lang w:val="es-ES" w:eastAsia="es-CR"/>
                <w14:ligatures w14:val="none"/>
              </w:rPr>
              <w:t>Rubros para evaluar</w:t>
            </w:r>
          </w:p>
          <w:p w14:paraId="417E2C0A"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p>
        </w:tc>
        <w:tc>
          <w:tcPr>
            <w:tcW w:w="1203" w:type="dxa"/>
          </w:tcPr>
          <w:p w14:paraId="206C4298"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F977F7">
              <w:rPr>
                <w:rFonts w:ascii="Calibri" w:eastAsia="Times New Roman" w:hAnsi="Calibri" w:cs="Arial"/>
                <w:b/>
                <w:color w:val="000000"/>
                <w:kern w:val="0"/>
                <w:lang w:val="es-ES" w:eastAsia="es-CR"/>
                <w14:ligatures w14:val="none"/>
              </w:rPr>
              <w:t>Porcentaje total</w:t>
            </w:r>
          </w:p>
        </w:tc>
      </w:tr>
      <w:tr w:rsidR="00F977F7" w:rsidRPr="00F977F7" w14:paraId="6B467F7D" w14:textId="77777777" w:rsidTr="00CE7124">
        <w:trPr>
          <w:jc w:val="center"/>
        </w:trPr>
        <w:tc>
          <w:tcPr>
            <w:tcW w:w="7371" w:type="dxa"/>
            <w:vAlign w:val="center"/>
          </w:tcPr>
          <w:p w14:paraId="5AF4C16E"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iCs/>
                <w:color w:val="000000"/>
                <w:kern w:val="0"/>
                <w:lang w:val="es-ES" w:eastAsia="es-CR"/>
                <w14:ligatures w14:val="none"/>
              </w:rPr>
            </w:pPr>
            <w:r w:rsidRPr="00F977F7">
              <w:rPr>
                <w:rFonts w:ascii="Calibri" w:eastAsia="Times New Roman" w:hAnsi="Calibri" w:cs="Arial"/>
                <w:b/>
                <w:i/>
                <w:iCs/>
                <w:color w:val="000000"/>
                <w:kern w:val="0"/>
                <w:lang w:val="es-ES" w:eastAsia="es-CR"/>
                <w14:ligatures w14:val="none"/>
              </w:rPr>
              <w:t>Encuentros sincrónicos virtuales</w:t>
            </w:r>
          </w:p>
          <w:p w14:paraId="7AAD7BF0"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bCs/>
                <w:color w:val="000000"/>
                <w:kern w:val="0"/>
                <w:lang w:val="es-ES" w:eastAsia="es-CR"/>
                <w14:ligatures w14:val="none"/>
              </w:rPr>
            </w:pPr>
            <w:r w:rsidRPr="00F977F7">
              <w:rPr>
                <w:rFonts w:ascii="Calibri" w:eastAsia="Times New Roman" w:hAnsi="Calibri" w:cs="Arial"/>
                <w:bCs/>
                <w:color w:val="000000"/>
                <w:kern w:val="0"/>
                <w:lang w:val="es-ES" w:eastAsia="es-CR"/>
                <w14:ligatures w14:val="none"/>
              </w:rPr>
              <w:t xml:space="preserve">Se llevan a cabo en las sesiones 1, 3, 5, 7, 9, 11 y 13. Tienen un valor formativo y no sumativo. </w:t>
            </w:r>
          </w:p>
        </w:tc>
        <w:tc>
          <w:tcPr>
            <w:tcW w:w="1203" w:type="dxa"/>
            <w:vAlign w:val="center"/>
          </w:tcPr>
          <w:p w14:paraId="6C78A45D"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bCs/>
                <w:color w:val="000000"/>
                <w:kern w:val="0"/>
                <w:lang w:val="es-ES" w:eastAsia="es-CR"/>
                <w14:ligatures w14:val="none"/>
              </w:rPr>
            </w:pPr>
            <w:r w:rsidRPr="00F977F7">
              <w:rPr>
                <w:rFonts w:ascii="Calibri" w:eastAsia="Times New Roman" w:hAnsi="Calibri" w:cs="Calibri"/>
                <w:b/>
                <w:color w:val="000000"/>
                <w:kern w:val="0"/>
                <w:lang w:val="es-ES" w:eastAsia="es-CR"/>
                <w14:ligatures w14:val="none"/>
              </w:rPr>
              <w:t>̶</w:t>
            </w:r>
          </w:p>
        </w:tc>
      </w:tr>
      <w:tr w:rsidR="00F977F7" w:rsidRPr="00F977F7" w14:paraId="2E011B34" w14:textId="77777777" w:rsidTr="00CE7124">
        <w:trPr>
          <w:jc w:val="center"/>
        </w:trPr>
        <w:tc>
          <w:tcPr>
            <w:tcW w:w="7371" w:type="dxa"/>
          </w:tcPr>
          <w:p w14:paraId="0A95DA6C"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Foros</w:t>
            </w:r>
          </w:p>
          <w:p w14:paraId="31E90606"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Se desarrollan en las sesiones 1, 7, 8 y 10. Cada foro tiene un valor de 5%. Los foros de las sesiones 3, 5, 11 y 14 no tienen un valor sumativo.   </w:t>
            </w:r>
          </w:p>
        </w:tc>
        <w:tc>
          <w:tcPr>
            <w:tcW w:w="1203" w:type="dxa"/>
            <w:vAlign w:val="center"/>
          </w:tcPr>
          <w:p w14:paraId="5398F523"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20%</w:t>
            </w:r>
          </w:p>
        </w:tc>
      </w:tr>
      <w:tr w:rsidR="00F977F7" w:rsidRPr="00F977F7" w14:paraId="7B17AF9D" w14:textId="77777777" w:rsidTr="00CE7124">
        <w:trPr>
          <w:jc w:val="center"/>
        </w:trPr>
        <w:tc>
          <w:tcPr>
            <w:tcW w:w="7371" w:type="dxa"/>
          </w:tcPr>
          <w:p w14:paraId="7B7D6B69"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Autoevaluación del perfil de las metas de la educación cristiana</w:t>
            </w:r>
          </w:p>
          <w:p w14:paraId="158E8CF7"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Se realiza en la sesión 3. </w:t>
            </w:r>
          </w:p>
        </w:tc>
        <w:tc>
          <w:tcPr>
            <w:tcW w:w="1203" w:type="dxa"/>
            <w:vAlign w:val="center"/>
          </w:tcPr>
          <w:p w14:paraId="18C28FE9"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5%</w:t>
            </w:r>
          </w:p>
        </w:tc>
      </w:tr>
      <w:tr w:rsidR="00F977F7" w:rsidRPr="00F977F7" w14:paraId="2D521314" w14:textId="77777777" w:rsidTr="00CE7124">
        <w:trPr>
          <w:jc w:val="center"/>
        </w:trPr>
        <w:tc>
          <w:tcPr>
            <w:tcW w:w="7371" w:type="dxa"/>
          </w:tcPr>
          <w:p w14:paraId="56B90F4C"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Reseña crítica de lectura</w:t>
            </w:r>
          </w:p>
          <w:p w14:paraId="148CBACB"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Se elabora en la sesión 5. </w:t>
            </w:r>
          </w:p>
        </w:tc>
        <w:tc>
          <w:tcPr>
            <w:tcW w:w="1203" w:type="dxa"/>
            <w:vAlign w:val="center"/>
          </w:tcPr>
          <w:p w14:paraId="75E6AB99"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5%</w:t>
            </w:r>
          </w:p>
        </w:tc>
      </w:tr>
      <w:tr w:rsidR="00F977F7" w:rsidRPr="00F977F7" w14:paraId="292898FF" w14:textId="77777777" w:rsidTr="00CE7124">
        <w:trPr>
          <w:jc w:val="center"/>
        </w:trPr>
        <w:tc>
          <w:tcPr>
            <w:tcW w:w="7371" w:type="dxa"/>
          </w:tcPr>
          <w:p w14:paraId="40B2C1E7"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Mapa conceptual</w:t>
            </w:r>
          </w:p>
          <w:p w14:paraId="24C59A61"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Se elabora en la sesión 6. </w:t>
            </w:r>
          </w:p>
        </w:tc>
        <w:tc>
          <w:tcPr>
            <w:tcW w:w="1203" w:type="dxa"/>
            <w:vAlign w:val="center"/>
          </w:tcPr>
          <w:p w14:paraId="4BC03E73"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5%</w:t>
            </w:r>
          </w:p>
        </w:tc>
      </w:tr>
      <w:tr w:rsidR="00F977F7" w:rsidRPr="00F977F7" w14:paraId="3BDA7AC7" w14:textId="77777777" w:rsidTr="00CE7124">
        <w:trPr>
          <w:jc w:val="center"/>
        </w:trPr>
        <w:tc>
          <w:tcPr>
            <w:tcW w:w="7371" w:type="dxa"/>
          </w:tcPr>
          <w:p w14:paraId="15823299"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Ensayos</w:t>
            </w:r>
          </w:p>
          <w:p w14:paraId="3EDBE7C1"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Se elaboran en las sesiones 2 y 9. Cada ensayo tiene un valor de 5%. </w:t>
            </w:r>
          </w:p>
        </w:tc>
        <w:tc>
          <w:tcPr>
            <w:tcW w:w="1203" w:type="dxa"/>
            <w:vAlign w:val="center"/>
          </w:tcPr>
          <w:p w14:paraId="1556BE98"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10%</w:t>
            </w:r>
          </w:p>
        </w:tc>
      </w:tr>
      <w:tr w:rsidR="00F977F7" w:rsidRPr="00F977F7" w14:paraId="45CCED80" w14:textId="77777777" w:rsidTr="00CE7124">
        <w:trPr>
          <w:jc w:val="center"/>
        </w:trPr>
        <w:tc>
          <w:tcPr>
            <w:tcW w:w="7371" w:type="dxa"/>
          </w:tcPr>
          <w:p w14:paraId="47A4E88D"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Diseño de una lección bíblica y del perfil y plan de capacitación docente</w:t>
            </w:r>
          </w:p>
          <w:p w14:paraId="1C7A5546"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Se distribuye de la siguiente forma:</w:t>
            </w:r>
          </w:p>
          <w:p w14:paraId="1C260F10"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Diseño de una lección bíblica (sesiones 11 y 12). Tiene un valor de 7,5%.</w:t>
            </w:r>
          </w:p>
          <w:p w14:paraId="7B1C87DD"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Perfil y plan de capacitación docente (sesión 13). Tiene un valor de 7,5%.</w:t>
            </w:r>
          </w:p>
        </w:tc>
        <w:tc>
          <w:tcPr>
            <w:tcW w:w="1203" w:type="dxa"/>
            <w:vAlign w:val="center"/>
          </w:tcPr>
          <w:p w14:paraId="10952C30"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15%</w:t>
            </w:r>
          </w:p>
        </w:tc>
      </w:tr>
      <w:tr w:rsidR="00F977F7" w:rsidRPr="00F977F7" w14:paraId="647F46E0" w14:textId="77777777" w:rsidTr="00CE7124">
        <w:trPr>
          <w:jc w:val="center"/>
        </w:trPr>
        <w:tc>
          <w:tcPr>
            <w:tcW w:w="7371" w:type="dxa"/>
          </w:tcPr>
          <w:p w14:paraId="61C02CF3"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i/>
                <w:color w:val="000000"/>
                <w:kern w:val="0"/>
                <w:lang w:val="es-ES" w:eastAsia="es-CR"/>
                <w14:ligatures w14:val="none"/>
              </w:rPr>
            </w:pPr>
            <w:r w:rsidRPr="00F977F7">
              <w:rPr>
                <w:rFonts w:ascii="Calibri" w:eastAsia="Times New Roman" w:hAnsi="Calibri" w:cs="Arial"/>
                <w:b/>
                <w:i/>
                <w:color w:val="000000"/>
                <w:kern w:val="0"/>
                <w:lang w:val="es-ES" w:eastAsia="es-CR"/>
                <w14:ligatures w14:val="none"/>
              </w:rPr>
              <w:t>Manual de Educación Cristiana</w:t>
            </w:r>
          </w:p>
          <w:p w14:paraId="2489643C"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Se elabora durante todo el curso de la siguiente forma:</w:t>
            </w:r>
          </w:p>
          <w:p w14:paraId="45D7123C"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Primer borrador (sesión 4). Tiene un valor de 7,5%.</w:t>
            </w:r>
          </w:p>
          <w:p w14:paraId="66E369BA"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Segundo borrador (sesión 8). Tiene un valor de 7,5%.</w:t>
            </w:r>
          </w:p>
          <w:p w14:paraId="3D5BEDEC"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Tercer borrador (sesión 10). Tiene un valor de 7,5%.</w:t>
            </w:r>
          </w:p>
          <w:p w14:paraId="0AC3390D"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xml:space="preserve">- Cuarto borrador (sesión 14). Tiene un valor de 7,5%. </w:t>
            </w:r>
          </w:p>
          <w:p w14:paraId="7E7051AE" w14:textId="77777777" w:rsidR="00F977F7" w:rsidRPr="00F977F7" w:rsidRDefault="00F977F7" w:rsidP="00F977F7">
            <w:pPr>
              <w:overflowPunct w:val="0"/>
              <w:autoSpaceDE w:val="0"/>
              <w:autoSpaceDN w:val="0"/>
              <w:adjustRightInd w:val="0"/>
              <w:spacing w:after="0" w:line="240" w:lineRule="auto"/>
              <w:jc w:val="both"/>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 Versión final del Manual (sesión 15). Tiene un valor de 10%.</w:t>
            </w:r>
          </w:p>
        </w:tc>
        <w:tc>
          <w:tcPr>
            <w:tcW w:w="1203" w:type="dxa"/>
            <w:vAlign w:val="center"/>
          </w:tcPr>
          <w:p w14:paraId="35FA75A0"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color w:val="000000"/>
                <w:kern w:val="0"/>
                <w:lang w:val="es-ES" w:eastAsia="es-CR"/>
                <w14:ligatures w14:val="none"/>
              </w:rPr>
            </w:pPr>
            <w:r w:rsidRPr="00F977F7">
              <w:rPr>
                <w:rFonts w:ascii="Calibri" w:eastAsia="Times New Roman" w:hAnsi="Calibri" w:cs="Arial"/>
                <w:color w:val="000000"/>
                <w:kern w:val="0"/>
                <w:lang w:val="es-ES" w:eastAsia="es-CR"/>
                <w14:ligatures w14:val="none"/>
              </w:rPr>
              <w:t>40%</w:t>
            </w:r>
          </w:p>
        </w:tc>
      </w:tr>
      <w:tr w:rsidR="00F977F7" w:rsidRPr="00F977F7" w14:paraId="7694F64E" w14:textId="77777777" w:rsidTr="00CE7124">
        <w:trPr>
          <w:jc w:val="center"/>
        </w:trPr>
        <w:tc>
          <w:tcPr>
            <w:tcW w:w="7371" w:type="dxa"/>
          </w:tcPr>
          <w:p w14:paraId="01CEF1B8" w14:textId="77777777" w:rsidR="00F977F7" w:rsidRPr="00F977F7" w:rsidRDefault="00F977F7" w:rsidP="00F977F7">
            <w:pPr>
              <w:overflowPunct w:val="0"/>
              <w:autoSpaceDE w:val="0"/>
              <w:autoSpaceDN w:val="0"/>
              <w:adjustRightInd w:val="0"/>
              <w:spacing w:after="0" w:line="240" w:lineRule="auto"/>
              <w:outlineLvl w:val="0"/>
              <w:rPr>
                <w:rFonts w:ascii="Calibri" w:eastAsia="Times New Roman" w:hAnsi="Calibri" w:cs="Arial"/>
                <w:b/>
                <w:color w:val="000000"/>
                <w:kern w:val="0"/>
                <w:lang w:val="es-ES" w:eastAsia="es-CR"/>
                <w14:ligatures w14:val="none"/>
              </w:rPr>
            </w:pPr>
            <w:r w:rsidRPr="00F977F7">
              <w:rPr>
                <w:rFonts w:ascii="Calibri" w:eastAsia="Times New Roman" w:hAnsi="Calibri" w:cs="Arial"/>
                <w:b/>
                <w:color w:val="000000"/>
                <w:kern w:val="0"/>
                <w:lang w:val="es-ES" w:eastAsia="es-CR"/>
                <w14:ligatures w14:val="none"/>
              </w:rPr>
              <w:t>Total</w:t>
            </w:r>
          </w:p>
        </w:tc>
        <w:tc>
          <w:tcPr>
            <w:tcW w:w="1203" w:type="dxa"/>
          </w:tcPr>
          <w:p w14:paraId="7B1BDA5C" w14:textId="77777777" w:rsidR="00F977F7" w:rsidRPr="00F977F7" w:rsidRDefault="00F977F7" w:rsidP="00F977F7">
            <w:pPr>
              <w:overflowPunct w:val="0"/>
              <w:autoSpaceDE w:val="0"/>
              <w:autoSpaceDN w:val="0"/>
              <w:adjustRightInd w:val="0"/>
              <w:spacing w:after="0" w:line="240" w:lineRule="auto"/>
              <w:jc w:val="center"/>
              <w:outlineLvl w:val="0"/>
              <w:rPr>
                <w:rFonts w:ascii="Calibri" w:eastAsia="Times New Roman" w:hAnsi="Calibri" w:cs="Arial"/>
                <w:b/>
                <w:color w:val="000000"/>
                <w:kern w:val="0"/>
                <w:lang w:val="es-ES" w:eastAsia="es-CR"/>
                <w14:ligatures w14:val="none"/>
              </w:rPr>
            </w:pPr>
            <w:r w:rsidRPr="00F977F7">
              <w:rPr>
                <w:rFonts w:ascii="Calibri" w:eastAsia="Times New Roman" w:hAnsi="Calibri" w:cs="Arial"/>
                <w:b/>
                <w:color w:val="000000"/>
                <w:kern w:val="0"/>
                <w:lang w:val="es-ES" w:eastAsia="es-CR"/>
                <w14:ligatures w14:val="none"/>
              </w:rPr>
              <w:t>100%</w:t>
            </w:r>
          </w:p>
        </w:tc>
      </w:tr>
    </w:tbl>
    <w:p w14:paraId="4BB9FB0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70C0"/>
          <w:kern w:val="0"/>
          <w:lang w:val="es-ES_tradnl" w:eastAsia="es-CR"/>
          <w14:ligatures w14:val="none"/>
        </w:rPr>
      </w:pPr>
    </w:p>
    <w:p w14:paraId="38E13781" w14:textId="77777777" w:rsidR="00F977F7" w:rsidRPr="00F977F7" w:rsidRDefault="00F977F7" w:rsidP="00F977F7">
      <w:pPr>
        <w:widowControl w:val="0"/>
        <w:overflowPunct w:val="0"/>
        <w:autoSpaceDE w:val="0"/>
        <w:autoSpaceDN w:val="0"/>
        <w:adjustRightInd w:val="0"/>
        <w:spacing w:before="120" w:after="0" w:line="240" w:lineRule="auto"/>
        <w:jc w:val="both"/>
        <w:rPr>
          <w:rFonts w:ascii="Calibri" w:eastAsia="Calibri" w:hAnsi="Calibri" w:cs="Arial"/>
          <w:b/>
          <w:bCs/>
          <w:color w:val="000000"/>
          <w:kern w:val="0"/>
          <w:lang w:eastAsia="es-CR"/>
          <w14:ligatures w14:val="none"/>
        </w:rPr>
      </w:pPr>
    </w:p>
    <w:p w14:paraId="331B2D86" w14:textId="77777777" w:rsidR="00F977F7" w:rsidRPr="00F977F7" w:rsidRDefault="00F977F7" w:rsidP="00F977F7">
      <w:pPr>
        <w:rPr>
          <w:rFonts w:ascii="Calibri" w:eastAsia="Calibri" w:hAnsi="Calibri" w:cs="Arial"/>
          <w:b/>
          <w:bCs/>
          <w:color w:val="000000"/>
          <w:kern w:val="0"/>
          <w:lang w:eastAsia="es-CR"/>
          <w14:ligatures w14:val="none"/>
        </w:rPr>
      </w:pPr>
      <w:r w:rsidRPr="00F977F7">
        <w:rPr>
          <w:rFonts w:ascii="Calibri" w:eastAsia="Calibri" w:hAnsi="Calibri" w:cs="Arial"/>
          <w:b/>
          <w:bCs/>
          <w:color w:val="000000"/>
          <w:kern w:val="0"/>
          <w:lang w:eastAsia="es-CR"/>
          <w14:ligatures w14:val="none"/>
        </w:rPr>
        <w:br w:type="page"/>
      </w:r>
    </w:p>
    <w:p w14:paraId="34AE497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sectPr w:rsidR="00F977F7" w:rsidRPr="00F977F7" w:rsidSect="005C1895">
          <w:pgSz w:w="12240" w:h="15840"/>
          <w:pgMar w:top="1417" w:right="1701" w:bottom="1417" w:left="1701" w:header="708" w:footer="708" w:gutter="0"/>
          <w:pgNumType w:start="395"/>
          <w:cols w:space="708"/>
          <w:docGrid w:linePitch="360"/>
        </w:sectPr>
      </w:pPr>
    </w:p>
    <w:p w14:paraId="1D4547A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545024" behindDoc="0" locked="0" layoutInCell="1" allowOverlap="1" wp14:anchorId="610E886D" wp14:editId="0594AB26">
                <wp:simplePos x="0" y="0"/>
                <wp:positionH relativeFrom="margin">
                  <wp:align>center</wp:align>
                </wp:positionH>
                <wp:positionV relativeFrom="paragraph">
                  <wp:posOffset>-76835</wp:posOffset>
                </wp:positionV>
                <wp:extent cx="7879080" cy="390525"/>
                <wp:effectExtent l="0" t="0" r="26670" b="28575"/>
                <wp:wrapNone/>
                <wp:docPr id="11389920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390525"/>
                        </a:xfrm>
                        <a:prstGeom prst="rect">
                          <a:avLst/>
                        </a:prstGeom>
                        <a:solidFill>
                          <a:srgbClr val="FFFFFF"/>
                        </a:solidFill>
                        <a:ln w="9525">
                          <a:solidFill>
                            <a:srgbClr val="000000"/>
                          </a:solidFill>
                          <a:miter lim="800000"/>
                          <a:headEnd/>
                          <a:tailEnd/>
                        </a:ln>
                      </wps:spPr>
                      <wps:txbx>
                        <w:txbxContent>
                          <w:p w14:paraId="626ED8FD" w14:textId="77777777" w:rsidR="00F977F7" w:rsidRPr="00F977F7" w:rsidRDefault="00F977F7" w:rsidP="00F977F7">
                            <w:pPr>
                              <w:jc w:val="center"/>
                              <w:rPr>
                                <w:rFonts w:cs="Calibri"/>
                                <w:b/>
                                <w:szCs w:val="24"/>
                              </w:rPr>
                            </w:pPr>
                            <w:r w:rsidRPr="00F977F7">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E886D" id="_x0000_s1214" type="#_x0000_t202" style="position:absolute;left:0;text-align:left;margin-left:0;margin-top:-6.05pt;width:620.4pt;height:30.75pt;z-index:25254502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">
                <v:textbox>
                  <w:txbxContent>
                    <w:p w14:paraId="626ED8FD" w14:textId="77777777" w:rsidR="00F977F7" w:rsidRPr="00F977F7" w:rsidRDefault="00F977F7" w:rsidP="00F977F7">
                      <w:pPr>
                        <w:jc w:val="center"/>
                        <w:rPr>
                          <w:rFonts w:cs="Calibri"/>
                          <w:b/>
                          <w:szCs w:val="24"/>
                        </w:rPr>
                      </w:pPr>
                      <w:r w:rsidRPr="00F977F7">
                        <w:rPr>
                          <w:rFonts w:cs="Calibri"/>
                          <w:b/>
                          <w:szCs w:val="24"/>
                        </w:rPr>
                        <w:t>RÚBRICA DE EVALUACIÓN – FORO TEMÁTICO</w:t>
                      </w:r>
                    </w:p>
                  </w:txbxContent>
                </v:textbox>
                <w10:wrap anchorx="margin"/>
              </v:shape>
            </w:pict>
          </mc:Fallback>
        </mc:AlternateContent>
      </w:r>
    </w:p>
    <w:p w14:paraId="05D9A67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9D3AE7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Es una actividad de discusión académica asincrónica ya que los y las estudiantes no tienen que acceder a la herramienta al mismo tiempo, constituyéndose en un escenario virtual para la exposición de ideas y debate. Se desarrollan en las sesiones 1, 7, 8 y 10. Cada foro tiene un valor de 5%. Los foros de las sesiones 3, 5, 11 y 14 no tienen un valor sumativo.</w:t>
      </w:r>
    </w:p>
    <w:p w14:paraId="18D914E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46048" behindDoc="0" locked="0" layoutInCell="1" allowOverlap="1" wp14:anchorId="33767359" wp14:editId="6233ED0E">
            <wp:simplePos x="0" y="0"/>
            <wp:positionH relativeFrom="margin">
              <wp:align>center</wp:align>
            </wp:positionH>
            <wp:positionV relativeFrom="paragraph">
              <wp:posOffset>196215</wp:posOffset>
            </wp:positionV>
            <wp:extent cx="8071716" cy="5832376"/>
            <wp:effectExtent l="0" t="0" r="5715" b="0"/>
            <wp:wrapNone/>
            <wp:docPr id="179172393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23934" name="Imagen 1" descr="Tabla&#10;&#10;Descripción generada automáticamente"/>
                    <pic:cNvPicPr/>
                  </pic:nvPicPr>
                  <pic:blipFill>
                    <a:blip r:embed="rId436"/>
                    <a:stretch>
                      <a:fillRect/>
                    </a:stretch>
                  </pic:blipFill>
                  <pic:spPr>
                    <a:xfrm>
                      <a:off x="0" y="0"/>
                      <a:ext cx="8071716" cy="5832376"/>
                    </a:xfrm>
                    <a:prstGeom prst="rect">
                      <a:avLst/>
                    </a:prstGeom>
                  </pic:spPr>
                </pic:pic>
              </a:graphicData>
            </a:graphic>
            <wp14:sizeRelH relativeFrom="margin">
              <wp14:pctWidth>0</wp14:pctWidth>
            </wp14:sizeRelH>
            <wp14:sizeRelV relativeFrom="margin">
              <wp14:pctHeight>0</wp14:pctHeight>
            </wp14:sizeRelV>
          </wp:anchor>
        </w:drawing>
      </w:r>
    </w:p>
    <w:p w14:paraId="5B02A2B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F28984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2365A65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DAA4DD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977FCF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B30E98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E7C7AD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880B7E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D1C358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E3DFAE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ACFEDC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5E1AE0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DDF22D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449083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0CE26D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FB3CFC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037EE4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7CBDB8F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56ECAE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66A037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C13AB0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994C0E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3AB9087A" w14:textId="079EACD4" w:rsidR="00F977F7" w:rsidRPr="00F977F7" w:rsidRDefault="000E483A" w:rsidP="000E483A">
      <w:pPr>
        <w:widowControl w:val="0"/>
        <w:tabs>
          <w:tab w:val="right" w:leader="dot" w:pos="8640"/>
        </w:tabs>
        <w:overflowPunct w:val="0"/>
        <w:autoSpaceDE w:val="0"/>
        <w:autoSpaceDN w:val="0"/>
        <w:adjustRightInd w:val="0"/>
        <w:spacing w:before="120" w:after="0" w:line="240" w:lineRule="auto"/>
        <w:rPr>
          <w:rFonts w:ascii="Calibri" w:eastAsia="Times New Roman" w:hAnsi="Calibri" w:cs="Arial"/>
          <w:bCs/>
          <w:color w:val="0070C0"/>
          <w:kern w:val="0"/>
          <w:lang w:val="es-ES_tradnl" w:eastAsia="es-CR"/>
          <w14:ligatures w14:val="none"/>
        </w:rPr>
      </w:pPr>
      <w:r w:rsidRPr="000E483A">
        <w:rPr>
          <w:rFonts w:ascii="Calibri" w:eastAsia="Times New Roman" w:hAnsi="Calibri" w:cs="Arial"/>
          <w:bCs/>
          <w:color w:val="0070C0"/>
          <w:kern w:val="0"/>
          <w:lang w:val="es-ES_tradnl" w:eastAsia="es-CR"/>
          <w14:ligatures w14:val="none"/>
        </w:rPr>
        <w:t>El foro de pares se desarrolla en la sesión 7 y tiene un valor de 5%. En este foro cada estudiante colocará una reflexión personal sobre el desarrollo de la fe y su pertinencia para el quehacer educativo para que un compañero o compañera pueda comentarla.</w:t>
      </w:r>
    </w:p>
    <w:p w14:paraId="678710C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
          <w:color w:val="000000"/>
          <w:kern w:val="0"/>
          <w:lang w:val="es-ES_tradnl" w:eastAsia="es-CR"/>
          <w14:ligatures w14:val="none"/>
        </w:rPr>
      </w:pPr>
    </w:p>
    <w:p w14:paraId="439A8D3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El foro de pares se desarrolla en la sesión 7 y tiene un valor de 5%. En este foro cada estudiante colocará una reflexión personal sobre el desarrollo de la fe y su pertinencia para el quehacer educativo para que un compañero o compañera pueda comentarla.</w:t>
      </w:r>
    </w:p>
    <w:p w14:paraId="1B27327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70C0"/>
          <w:kern w:val="0"/>
          <w:lang w:val="es-ES_tradnl" w:eastAsia="es-CR"/>
          <w14:ligatures w14:val="none"/>
        </w:rPr>
      </w:pPr>
    </w:p>
    <w:p w14:paraId="49C7083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noProof/>
          <w:color w:val="000000"/>
          <w:kern w:val="0"/>
          <w:lang w:val="es-ES_tradnl" w:eastAsia="es-CR"/>
          <w14:ligatures w14:val="none"/>
        </w:rPr>
        <w:drawing>
          <wp:anchor distT="0" distB="0" distL="114300" distR="114300" simplePos="0" relativeHeight="252548096" behindDoc="0" locked="0" layoutInCell="1" allowOverlap="1" wp14:anchorId="7D1A161D" wp14:editId="6CCF432E">
            <wp:simplePos x="0" y="0"/>
            <wp:positionH relativeFrom="margin">
              <wp:align>right</wp:align>
            </wp:positionH>
            <wp:positionV relativeFrom="page">
              <wp:posOffset>1336333</wp:posOffset>
            </wp:positionV>
            <wp:extent cx="9144000" cy="5730240"/>
            <wp:effectExtent l="0" t="0" r="0" b="3810"/>
            <wp:wrapNone/>
            <wp:docPr id="948092052"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92052" name="Imagen 2" descr="Tabla&#10;&#10;Descripción generada automáticamente"/>
                    <pic:cNvPicPr/>
                  </pic:nvPicPr>
                  <pic:blipFill>
                    <a:blip r:embed="rId437"/>
                    <a:stretch>
                      <a:fillRect/>
                    </a:stretch>
                  </pic:blipFill>
                  <pic:spPr>
                    <a:xfrm>
                      <a:off x="0" y="0"/>
                      <a:ext cx="9144000" cy="5730240"/>
                    </a:xfrm>
                    <a:prstGeom prst="rect">
                      <a:avLst/>
                    </a:prstGeom>
                  </pic:spPr>
                </pic:pic>
              </a:graphicData>
            </a:graphic>
          </wp:anchor>
        </w:drawing>
      </w:r>
      <w:r w:rsidRPr="00F977F7">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547072" behindDoc="0" locked="0" layoutInCell="1" allowOverlap="1" wp14:anchorId="6651243C" wp14:editId="51E7FA9F">
                <wp:simplePos x="0" y="0"/>
                <wp:positionH relativeFrom="margin">
                  <wp:posOffset>1125415</wp:posOffset>
                </wp:positionH>
                <wp:positionV relativeFrom="page">
                  <wp:posOffset>322385</wp:posOffset>
                </wp:positionV>
                <wp:extent cx="6873240" cy="404495"/>
                <wp:effectExtent l="0" t="0" r="22860" b="14605"/>
                <wp:wrapNone/>
                <wp:docPr id="406957093" name="Cuadro de texto 1"/>
                <wp:cNvGraphicFramePr/>
                <a:graphic xmlns:a="http://schemas.openxmlformats.org/drawingml/2006/main">
                  <a:graphicData uri="http://schemas.microsoft.com/office/word/2010/wordprocessingShape">
                    <wps:wsp>
                      <wps:cNvSpPr txBox="1"/>
                      <wps:spPr>
                        <a:xfrm>
                          <a:off x="0" y="0"/>
                          <a:ext cx="6873240" cy="404495"/>
                        </a:xfrm>
                        <a:prstGeom prst="rect">
                          <a:avLst/>
                        </a:prstGeom>
                        <a:solidFill>
                          <a:sysClr val="window" lastClr="FFFFFF"/>
                        </a:solidFill>
                        <a:ln w="6350">
                          <a:solidFill>
                            <a:prstClr val="black"/>
                          </a:solidFill>
                        </a:ln>
                      </wps:spPr>
                      <wps:txbx>
                        <w:txbxContent>
                          <w:p w14:paraId="4C0086F0" w14:textId="77777777" w:rsidR="00F977F7" w:rsidRPr="00F977F7" w:rsidRDefault="00F977F7" w:rsidP="00F977F7">
                            <w:pPr>
                              <w:jc w:val="center"/>
                              <w:rPr>
                                <w:rFonts w:cs="Calibri"/>
                              </w:rPr>
                            </w:pPr>
                            <w:r w:rsidRPr="00F977F7">
                              <w:rPr>
                                <w:rFonts w:cs="Calibri"/>
                                <w:b/>
                              </w:rPr>
                              <w:t>RÚBRICA DE EVALUACIÓN – FORO DE PARES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1243C" id="_x0000_s1215" type="#_x0000_t202" style="position:absolute;left:0;text-align:left;margin-left:88.6pt;margin-top:25.4pt;width:541.2pt;height:31.85pt;z-index:2525470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" fillcolor="window" strokeweight=".5pt">
                <v:textbox>
                  <w:txbxContent>
                    <w:p w14:paraId="4C0086F0" w14:textId="77777777" w:rsidR="00F977F7" w:rsidRPr="00F977F7" w:rsidRDefault="00F977F7" w:rsidP="00F977F7">
                      <w:pPr>
                        <w:jc w:val="center"/>
                        <w:rPr>
                          <w:rFonts w:cs="Calibri"/>
                        </w:rPr>
                      </w:pPr>
                      <w:r w:rsidRPr="00F977F7">
                        <w:rPr>
                          <w:rFonts w:cs="Calibri"/>
                          <w:b/>
                        </w:rPr>
                        <w:t>RÚBRICA DE EVALUACIÓN – FORO DE PARES</w:t>
                      </w:r>
                    </w:p>
                  </w:txbxContent>
                </v:textbox>
                <w10:wrap anchorx="margin" anchory="page"/>
              </v:shape>
            </w:pict>
          </mc:Fallback>
        </mc:AlternateContent>
      </w:r>
      <w:r w:rsidRPr="00F977F7">
        <w:rPr>
          <w:rFonts w:ascii="Calibri" w:eastAsia="Times New Roman" w:hAnsi="Calibri" w:cs="Arial"/>
          <w:b/>
          <w:color w:val="000000"/>
          <w:kern w:val="0"/>
          <w:lang w:val="es-ES_tradnl" w:eastAsia="es-CR"/>
          <w14:ligatures w14:val="none"/>
        </w:rPr>
        <w:br w:type="page"/>
      </w:r>
    </w:p>
    <w:p w14:paraId="739421A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49120" behindDoc="0" locked="0" layoutInCell="1" allowOverlap="1" wp14:anchorId="4B868405" wp14:editId="0283A0FE">
                <wp:simplePos x="0" y="0"/>
                <wp:positionH relativeFrom="margin">
                  <wp:posOffset>597877</wp:posOffset>
                </wp:positionH>
                <wp:positionV relativeFrom="page">
                  <wp:posOffset>644769</wp:posOffset>
                </wp:positionV>
                <wp:extent cx="7924800" cy="390525"/>
                <wp:effectExtent l="0" t="0" r="19050" b="28575"/>
                <wp:wrapNone/>
                <wp:docPr id="1706959664"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24800" cy="39052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68E258A" w14:textId="77777777" w:rsidR="00F977F7" w:rsidRPr="00F977F7" w:rsidRDefault="00F977F7" w:rsidP="00F977F7">
                            <w:pPr>
                              <w:spacing w:before="75"/>
                              <w:ind w:left="1114"/>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5"/>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AUTOEVALUACIÓN</w:t>
                            </w:r>
                            <w:r w:rsidRPr="00F977F7">
                              <w:rPr>
                                <w:rFonts w:cs="Calibri"/>
                                <w:b/>
                                <w:spacing w:val="-3"/>
                              </w:rPr>
                              <w:t xml:space="preserve"> </w:t>
                            </w:r>
                            <w:r w:rsidRPr="00F977F7">
                              <w:rPr>
                                <w:rFonts w:cs="Calibri"/>
                                <w:b/>
                              </w:rPr>
                              <w:t>DEL</w:t>
                            </w:r>
                            <w:r w:rsidRPr="00F977F7">
                              <w:rPr>
                                <w:rFonts w:cs="Calibri"/>
                                <w:b/>
                                <w:spacing w:val="-4"/>
                              </w:rPr>
                              <w:t xml:space="preserve"> </w:t>
                            </w:r>
                            <w:r w:rsidRPr="00F977F7">
                              <w:rPr>
                                <w:rFonts w:cs="Calibri"/>
                                <w:b/>
                              </w:rPr>
                              <w:t>PERFIL</w:t>
                            </w:r>
                            <w:r w:rsidRPr="00F977F7">
                              <w:rPr>
                                <w:rFonts w:cs="Calibri"/>
                                <w:b/>
                                <w:spacing w:val="-5"/>
                              </w:rPr>
                              <w:t xml:space="preserve"> </w:t>
                            </w:r>
                            <w:r w:rsidRPr="00F977F7">
                              <w:rPr>
                                <w:rFonts w:cs="Calibri"/>
                                <w:b/>
                              </w:rPr>
                              <w:t>DE LAS</w:t>
                            </w:r>
                            <w:r w:rsidRPr="00F977F7">
                              <w:rPr>
                                <w:rFonts w:cs="Calibri"/>
                                <w:b/>
                                <w:spacing w:val="-1"/>
                              </w:rPr>
                              <w:t xml:space="preserve"> </w:t>
                            </w:r>
                            <w:r w:rsidRPr="00F977F7">
                              <w:rPr>
                                <w:rFonts w:cs="Calibri"/>
                                <w:b/>
                              </w:rPr>
                              <w:t>METAS</w:t>
                            </w:r>
                            <w:r w:rsidRPr="00F977F7">
                              <w:rPr>
                                <w:rFonts w:cs="Calibri"/>
                                <w:b/>
                                <w:spacing w:val="-2"/>
                              </w:rPr>
                              <w:t xml:space="preserve"> </w:t>
                            </w:r>
                            <w:r w:rsidRPr="00F977F7">
                              <w:rPr>
                                <w:rFonts w:cs="Calibri"/>
                                <w:b/>
                              </w:rPr>
                              <w:t>DE</w:t>
                            </w:r>
                            <w:r w:rsidRPr="00F977F7">
                              <w:rPr>
                                <w:rFonts w:cs="Calibri"/>
                                <w:b/>
                                <w:spacing w:val="-5"/>
                              </w:rPr>
                              <w:t xml:space="preserve"> </w:t>
                            </w:r>
                            <w:r w:rsidRPr="00F977F7">
                              <w:rPr>
                                <w:rFonts w:cs="Calibri"/>
                                <w:b/>
                              </w:rPr>
                              <w:t>LA</w:t>
                            </w:r>
                            <w:r w:rsidRPr="00F977F7">
                              <w:rPr>
                                <w:rFonts w:cs="Calibri"/>
                                <w:b/>
                                <w:spacing w:val="-4"/>
                              </w:rPr>
                              <w:t xml:space="preserve"> </w:t>
                            </w:r>
                            <w:r w:rsidRPr="00F977F7">
                              <w:rPr>
                                <w:rFonts w:cs="Calibri"/>
                                <w:b/>
                              </w:rPr>
                              <w:t>EDUCACIÓN</w:t>
                            </w:r>
                            <w:r w:rsidRPr="00F977F7">
                              <w:rPr>
                                <w:rFonts w:cs="Calibri"/>
                                <w:b/>
                                <w:spacing w:val="-4"/>
                              </w:rPr>
                              <w:t xml:space="preserve"> </w:t>
                            </w:r>
                            <w:r w:rsidRPr="00F977F7">
                              <w:rPr>
                                <w:rFonts w:cs="Calibri"/>
                                <w:b/>
                              </w:rPr>
                              <w:t>CRISTIANA</w:t>
                            </w:r>
                          </w:p>
                        </w:txbxContent>
                      </wps:txbx>
                      <wps:bodyPr rot="0" vert="horz" wrap="square" lIns="0" tIns="0" rIns="0" bIns="0" anchor="t" anchorCtr="0" upright="1">
                        <a:noAutofit/>
                      </wps:bodyPr>
                    </wps:wsp>
                  </a:graphicData>
                </a:graphic>
              </wp:anchor>
            </w:drawing>
          </mc:Choice>
          <mc:Fallback>
            <w:pict>
              <v:shape w14:anchorId="4B868405" id="_x0000_s1216" type="#_x0000_t202" style="position:absolute;left:0;text-align:left;margin-left:47.1pt;margin-top:50.75pt;width:624pt;height:30.75pt;z-index:25254912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" filled="f" strokeweight=".72pt">
                <v:textbox inset="0,0,0,0">
                  <w:txbxContent>
                    <w:p w14:paraId="468E258A" w14:textId="77777777" w:rsidR="00F977F7" w:rsidRPr="00F977F7" w:rsidRDefault="00F977F7" w:rsidP="00F977F7">
                      <w:pPr>
                        <w:spacing w:before="75"/>
                        <w:ind w:left="1114"/>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5"/>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AUTOEVALUACIÓN</w:t>
                      </w:r>
                      <w:r w:rsidRPr="00F977F7">
                        <w:rPr>
                          <w:rFonts w:cs="Calibri"/>
                          <w:b/>
                          <w:spacing w:val="-3"/>
                        </w:rPr>
                        <w:t xml:space="preserve"> </w:t>
                      </w:r>
                      <w:r w:rsidRPr="00F977F7">
                        <w:rPr>
                          <w:rFonts w:cs="Calibri"/>
                          <w:b/>
                        </w:rPr>
                        <w:t>DEL</w:t>
                      </w:r>
                      <w:r w:rsidRPr="00F977F7">
                        <w:rPr>
                          <w:rFonts w:cs="Calibri"/>
                          <w:b/>
                          <w:spacing w:val="-4"/>
                        </w:rPr>
                        <w:t xml:space="preserve"> </w:t>
                      </w:r>
                      <w:r w:rsidRPr="00F977F7">
                        <w:rPr>
                          <w:rFonts w:cs="Calibri"/>
                          <w:b/>
                        </w:rPr>
                        <w:t>PERFIL</w:t>
                      </w:r>
                      <w:r w:rsidRPr="00F977F7">
                        <w:rPr>
                          <w:rFonts w:cs="Calibri"/>
                          <w:b/>
                          <w:spacing w:val="-5"/>
                        </w:rPr>
                        <w:t xml:space="preserve"> </w:t>
                      </w:r>
                      <w:r w:rsidRPr="00F977F7">
                        <w:rPr>
                          <w:rFonts w:cs="Calibri"/>
                          <w:b/>
                        </w:rPr>
                        <w:t>DE LAS</w:t>
                      </w:r>
                      <w:r w:rsidRPr="00F977F7">
                        <w:rPr>
                          <w:rFonts w:cs="Calibri"/>
                          <w:b/>
                          <w:spacing w:val="-1"/>
                        </w:rPr>
                        <w:t xml:space="preserve"> </w:t>
                      </w:r>
                      <w:r w:rsidRPr="00F977F7">
                        <w:rPr>
                          <w:rFonts w:cs="Calibri"/>
                          <w:b/>
                        </w:rPr>
                        <w:t>METAS</w:t>
                      </w:r>
                      <w:r w:rsidRPr="00F977F7">
                        <w:rPr>
                          <w:rFonts w:cs="Calibri"/>
                          <w:b/>
                          <w:spacing w:val="-2"/>
                        </w:rPr>
                        <w:t xml:space="preserve"> </w:t>
                      </w:r>
                      <w:r w:rsidRPr="00F977F7">
                        <w:rPr>
                          <w:rFonts w:cs="Calibri"/>
                          <w:b/>
                        </w:rPr>
                        <w:t>DE</w:t>
                      </w:r>
                      <w:r w:rsidRPr="00F977F7">
                        <w:rPr>
                          <w:rFonts w:cs="Calibri"/>
                          <w:b/>
                          <w:spacing w:val="-5"/>
                        </w:rPr>
                        <w:t xml:space="preserve"> </w:t>
                      </w:r>
                      <w:r w:rsidRPr="00F977F7">
                        <w:rPr>
                          <w:rFonts w:cs="Calibri"/>
                          <w:b/>
                        </w:rPr>
                        <w:t>LA</w:t>
                      </w:r>
                      <w:r w:rsidRPr="00F977F7">
                        <w:rPr>
                          <w:rFonts w:cs="Calibri"/>
                          <w:b/>
                          <w:spacing w:val="-4"/>
                        </w:rPr>
                        <w:t xml:space="preserve"> </w:t>
                      </w:r>
                      <w:r w:rsidRPr="00F977F7">
                        <w:rPr>
                          <w:rFonts w:cs="Calibri"/>
                          <w:b/>
                        </w:rPr>
                        <w:t>EDUCACIÓN</w:t>
                      </w:r>
                      <w:r w:rsidRPr="00F977F7">
                        <w:rPr>
                          <w:rFonts w:cs="Calibri"/>
                          <w:b/>
                          <w:spacing w:val="-4"/>
                        </w:rPr>
                        <w:t xml:space="preserve"> </w:t>
                      </w:r>
                      <w:r w:rsidRPr="00F977F7">
                        <w:rPr>
                          <w:rFonts w:cs="Calibri"/>
                          <w:b/>
                        </w:rPr>
                        <w:t>CRISTIANA</w:t>
                      </w:r>
                    </w:p>
                  </w:txbxContent>
                </v:textbox>
                <w10:wrap anchorx="margin" anchory="page"/>
              </v:shape>
            </w:pict>
          </mc:Fallback>
        </mc:AlternateContent>
      </w:r>
    </w:p>
    <w:p w14:paraId="14DB78B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42B363F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p>
    <w:p w14:paraId="770FDAB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Se trata de una estrategia de aprendizaje que hace uso de la autopercepción y expectativas personales ante el quehacer de la educación cristiana. Se realiza en la sesión 3 y tiene un valor de 5%.</w:t>
      </w:r>
    </w:p>
    <w:p w14:paraId="3647923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
          <w:color w:val="000000"/>
          <w:kern w:val="0"/>
          <w:lang w:val="es-ES_tradnl" w:eastAsia="es-CR"/>
          <w14:ligatures w14:val="none"/>
        </w:rPr>
      </w:pPr>
    </w:p>
    <w:p w14:paraId="72C08D0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noProof/>
          <w:color w:val="000000"/>
          <w:kern w:val="0"/>
          <w:lang w:val="es-ES_tradnl" w:eastAsia="es-CR"/>
          <w14:ligatures w14:val="none"/>
        </w:rPr>
        <w:drawing>
          <wp:anchor distT="0" distB="0" distL="114300" distR="114300" simplePos="0" relativeHeight="252550144" behindDoc="0" locked="0" layoutInCell="1" allowOverlap="1" wp14:anchorId="0EC3D657" wp14:editId="0A028594">
            <wp:simplePos x="0" y="0"/>
            <wp:positionH relativeFrom="margin">
              <wp:align>center</wp:align>
            </wp:positionH>
            <wp:positionV relativeFrom="paragraph">
              <wp:posOffset>67310</wp:posOffset>
            </wp:positionV>
            <wp:extent cx="8296656" cy="3011424"/>
            <wp:effectExtent l="0" t="0" r="0" b="0"/>
            <wp:wrapNone/>
            <wp:docPr id="1645974392" name="Imagen 4"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974392" name="Imagen 4" descr="Interfaz de usuario gráfica, Aplicación, Tabla&#10;&#10;Descripción generada automáticamente"/>
                    <pic:cNvPicPr/>
                  </pic:nvPicPr>
                  <pic:blipFill>
                    <a:blip r:embed="rId438"/>
                    <a:stretch>
                      <a:fillRect/>
                    </a:stretch>
                  </pic:blipFill>
                  <pic:spPr>
                    <a:xfrm>
                      <a:off x="0" y="0"/>
                      <a:ext cx="8296656" cy="3011424"/>
                    </a:xfrm>
                    <a:prstGeom prst="rect">
                      <a:avLst/>
                    </a:prstGeom>
                  </pic:spPr>
                </pic:pic>
              </a:graphicData>
            </a:graphic>
          </wp:anchor>
        </w:drawing>
      </w:r>
      <w:r w:rsidRPr="00F977F7">
        <w:rPr>
          <w:rFonts w:ascii="Calibri" w:eastAsia="Times New Roman" w:hAnsi="Calibri" w:cs="Arial"/>
          <w:b/>
          <w:color w:val="000000"/>
          <w:kern w:val="0"/>
          <w:lang w:val="es-ES_tradnl" w:eastAsia="es-CR"/>
          <w14:ligatures w14:val="none"/>
        </w:rPr>
        <w:br w:type="page"/>
      </w:r>
    </w:p>
    <w:p w14:paraId="5FEE87C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51168" behindDoc="0" locked="0" layoutInCell="1" allowOverlap="1" wp14:anchorId="1DCB2B33" wp14:editId="1645125B">
                <wp:simplePos x="0" y="0"/>
                <wp:positionH relativeFrom="margin">
                  <wp:align>center</wp:align>
                </wp:positionH>
                <wp:positionV relativeFrom="paragraph">
                  <wp:posOffset>4763</wp:posOffset>
                </wp:positionV>
                <wp:extent cx="6606540" cy="411480"/>
                <wp:effectExtent l="0" t="0" r="22860" b="26670"/>
                <wp:wrapNone/>
                <wp:docPr id="1016085068" name="Cuadro de texto 101608506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2563A21" w14:textId="77777777" w:rsidR="00F977F7" w:rsidRPr="00F977F7" w:rsidRDefault="00F977F7" w:rsidP="00F977F7">
                            <w:pPr>
                              <w:jc w:val="center"/>
                              <w:rPr>
                                <w:rFonts w:cs="Calibri"/>
                              </w:rPr>
                            </w:pPr>
                            <w:r w:rsidRPr="00F977F7">
                              <w:rPr>
                                <w:rFonts w:cs="Calibri"/>
                                <w:b/>
                              </w:rPr>
                              <w:t>RÚBRICA DE EVALUACIÓN – RESEÑA CRÍTICA DE LECTURA</w:t>
                            </w:r>
                          </w:p>
                          <w:p w14:paraId="2100DD61" w14:textId="77777777" w:rsidR="00F977F7" w:rsidRPr="00F977F7" w:rsidRDefault="00F977F7" w:rsidP="00F977F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CB2B33" id="Cuadro de texto 1016085068" o:spid="_x0000_s1217" type="#_x0000_t202" style="position:absolute;left:0;text-align:left;margin-left:0;margin-top:.4pt;width:520.2pt;height:32.4pt;z-index:2525511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" fillcolor="window" strokeweight=".5pt">
                <v:textbox>
                  <w:txbxContent>
                    <w:p w14:paraId="62563A21" w14:textId="77777777" w:rsidR="00F977F7" w:rsidRPr="00F977F7" w:rsidRDefault="00F977F7" w:rsidP="00F977F7">
                      <w:pPr>
                        <w:jc w:val="center"/>
                        <w:rPr>
                          <w:rFonts w:cs="Calibri"/>
                        </w:rPr>
                      </w:pPr>
                      <w:r w:rsidRPr="00F977F7">
                        <w:rPr>
                          <w:rFonts w:cs="Calibri"/>
                          <w:b/>
                        </w:rPr>
                        <w:t>RÚBRICA DE EVALUACIÓN – RESEÑA CRÍTICA DE LECTURA</w:t>
                      </w:r>
                    </w:p>
                    <w:p w14:paraId="2100DD61" w14:textId="77777777" w:rsidR="00F977F7" w:rsidRPr="00F977F7" w:rsidRDefault="00F977F7" w:rsidP="00F977F7">
                      <w:pPr>
                        <w:jc w:val="center"/>
                        <w:rPr>
                          <w:rFonts w:cs="Calibri"/>
                        </w:rPr>
                      </w:pPr>
                    </w:p>
                  </w:txbxContent>
                </v:textbox>
                <w10:wrap anchorx="margin"/>
              </v:shape>
            </w:pict>
          </mc:Fallback>
        </mc:AlternateContent>
      </w:r>
    </w:p>
    <w:p w14:paraId="5CDCA9E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186EC20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6C159E5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La realización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Se elabora en la sesión 5. Tiene un valor de 5%.</w:t>
      </w:r>
    </w:p>
    <w:p w14:paraId="1467703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F49430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52192" behindDoc="0" locked="0" layoutInCell="1" allowOverlap="1" wp14:anchorId="72DDE3D4" wp14:editId="457A33C0">
            <wp:simplePos x="0" y="0"/>
            <wp:positionH relativeFrom="column">
              <wp:posOffset>0</wp:posOffset>
            </wp:positionH>
            <wp:positionV relativeFrom="paragraph">
              <wp:posOffset>77788</wp:posOffset>
            </wp:positionV>
            <wp:extent cx="9144000" cy="4905375"/>
            <wp:effectExtent l="0" t="0" r="0" b="9525"/>
            <wp:wrapNone/>
            <wp:docPr id="1224388507"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388507" name="Imagen 5" descr="Tabla&#10;&#10;Descripción generada automáticamente"/>
                    <pic:cNvPicPr/>
                  </pic:nvPicPr>
                  <pic:blipFill>
                    <a:blip r:embed="rId439"/>
                    <a:stretch>
                      <a:fillRect/>
                    </a:stretch>
                  </pic:blipFill>
                  <pic:spPr>
                    <a:xfrm>
                      <a:off x="0" y="0"/>
                      <a:ext cx="9144000" cy="4905375"/>
                    </a:xfrm>
                    <a:prstGeom prst="rect">
                      <a:avLst/>
                    </a:prstGeom>
                  </pic:spPr>
                </pic:pic>
              </a:graphicData>
            </a:graphic>
          </wp:anchor>
        </w:drawing>
      </w:r>
    </w:p>
    <w:p w14:paraId="189C405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br w:type="page"/>
      </w:r>
    </w:p>
    <w:p w14:paraId="3D5D7F0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553216" behindDoc="0" locked="0" layoutInCell="1" allowOverlap="1" wp14:anchorId="7C2030C7" wp14:editId="79FC2EF0">
                <wp:simplePos x="0" y="0"/>
                <wp:positionH relativeFrom="margin">
                  <wp:align>center</wp:align>
                </wp:positionH>
                <wp:positionV relativeFrom="paragraph">
                  <wp:posOffset>-161925</wp:posOffset>
                </wp:positionV>
                <wp:extent cx="6697980" cy="400050"/>
                <wp:effectExtent l="0" t="0" r="26670" b="19050"/>
                <wp:wrapNone/>
                <wp:docPr id="1810221370" name="Rectángulo 1810221370"/>
                <wp:cNvGraphicFramePr/>
                <a:graphic xmlns:a="http://schemas.openxmlformats.org/drawingml/2006/main">
                  <a:graphicData uri="http://schemas.microsoft.com/office/word/2010/wordprocessingShape">
                    <wps:wsp>
                      <wps:cNvSpPr/>
                      <wps:spPr>
                        <a:xfrm>
                          <a:off x="0" y="0"/>
                          <a:ext cx="6697980" cy="40005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2CDC0FB" w14:textId="77777777" w:rsidR="00F977F7" w:rsidRPr="00F977F7" w:rsidRDefault="00F977F7" w:rsidP="00F977F7">
                            <w:pPr>
                              <w:jc w:val="center"/>
                              <w:rPr>
                                <w:rFonts w:cs="Calibri"/>
                                <w:b/>
                              </w:rPr>
                            </w:pPr>
                            <w:r w:rsidRPr="00F977F7">
                              <w:rPr>
                                <w:rFonts w:cs="Calibri"/>
                                <w:b/>
                              </w:rPr>
                              <w:t>RÚBRICA DE EVALUACIÓN – MAPA CONCEPTUAL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2030C7" id="Rectángulo 1810221370" o:spid="_x0000_s1218" style="position:absolute;left:0;text-align:left;margin-left:0;margin-top:-12.75pt;width:527.4pt;height:31.5pt;z-index:252553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" fillcolor="window" strokecolor="windowText" strokeweight=".25pt">
                <v:textbox>
                  <w:txbxContent>
                    <w:p w14:paraId="72CDC0FB" w14:textId="77777777" w:rsidR="00F977F7" w:rsidRPr="00F977F7" w:rsidRDefault="00F977F7" w:rsidP="00F977F7">
                      <w:pPr>
                        <w:jc w:val="center"/>
                        <w:rPr>
                          <w:rFonts w:cs="Calibri"/>
                          <w:b/>
                        </w:rPr>
                      </w:pPr>
                      <w:r w:rsidRPr="00F977F7">
                        <w:rPr>
                          <w:rFonts w:cs="Calibri"/>
                          <w:b/>
                        </w:rPr>
                        <w:t>RÚBRICA DE EVALUACIÓN – MAPA CONCEPTUAL</w:t>
                      </w:r>
                    </w:p>
                  </w:txbxContent>
                </v:textbox>
                <w10:wrap anchorx="margin"/>
              </v:rect>
            </w:pict>
          </mc:Fallback>
        </mc:AlternateContent>
      </w:r>
    </w:p>
    <w:p w14:paraId="46DE400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574C01C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El mapa conceptual es una estrategia de aprendizaje que ayuda a organizar los aportes y conocimientos que nos brindan documentos escritos, al lograr representar y graficar aquellos conceptos y sus derivaciones. Se elabora en la sesión 6 y tiene un valor de 5%.</w:t>
      </w:r>
    </w:p>
    <w:p w14:paraId="19ECD49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DA529A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
          <w:color w:val="000000"/>
          <w:kern w:val="0"/>
          <w:lang w:val="es-ES_tradnl" w:eastAsia="es-CR"/>
          <w14:ligatures w14:val="none"/>
        </w:rPr>
      </w:pPr>
      <w:r w:rsidRPr="00F977F7">
        <w:rPr>
          <w:rFonts w:ascii="Calibri" w:eastAsia="Times New Roman" w:hAnsi="Calibri" w:cs="Arial"/>
          <w:b/>
          <w:noProof/>
          <w:color w:val="000000"/>
          <w:kern w:val="0"/>
          <w:lang w:val="es-ES_tradnl" w:eastAsia="es-CR"/>
          <w14:ligatures w14:val="none"/>
        </w:rPr>
        <w:drawing>
          <wp:anchor distT="0" distB="0" distL="114300" distR="114300" simplePos="0" relativeHeight="252554240" behindDoc="0" locked="0" layoutInCell="1" allowOverlap="1" wp14:anchorId="5AA195B6" wp14:editId="03F94FF2">
            <wp:simplePos x="0" y="0"/>
            <wp:positionH relativeFrom="margin">
              <wp:align>center</wp:align>
            </wp:positionH>
            <wp:positionV relativeFrom="paragraph">
              <wp:posOffset>80645</wp:posOffset>
            </wp:positionV>
            <wp:extent cx="8461061" cy="5495925"/>
            <wp:effectExtent l="0" t="0" r="0" b="0"/>
            <wp:wrapNone/>
            <wp:docPr id="2001698481"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698481" name="Imagen 6" descr="Tabla&#10;&#10;Descripción generada automáticamente"/>
                    <pic:cNvPicPr/>
                  </pic:nvPicPr>
                  <pic:blipFill>
                    <a:blip r:embed="rId440"/>
                    <a:stretch>
                      <a:fillRect/>
                    </a:stretch>
                  </pic:blipFill>
                  <pic:spPr>
                    <a:xfrm>
                      <a:off x="0" y="0"/>
                      <a:ext cx="8461061" cy="5495925"/>
                    </a:xfrm>
                    <a:prstGeom prst="rect">
                      <a:avLst/>
                    </a:prstGeom>
                  </pic:spPr>
                </pic:pic>
              </a:graphicData>
            </a:graphic>
            <wp14:sizeRelH relativeFrom="margin">
              <wp14:pctWidth>0</wp14:pctWidth>
            </wp14:sizeRelH>
            <wp14:sizeRelV relativeFrom="margin">
              <wp14:pctHeight>0</wp14:pctHeight>
            </wp14:sizeRelV>
          </wp:anchor>
        </w:drawing>
      </w:r>
    </w:p>
    <w:p w14:paraId="343CDD3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br w:type="page"/>
      </w:r>
    </w:p>
    <w:p w14:paraId="1DFF5B2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55264" behindDoc="0" locked="0" layoutInCell="1" allowOverlap="1" wp14:anchorId="0E7CAED0" wp14:editId="604B285E">
                <wp:simplePos x="0" y="0"/>
                <wp:positionH relativeFrom="margin">
                  <wp:align>center</wp:align>
                </wp:positionH>
                <wp:positionV relativeFrom="paragraph">
                  <wp:posOffset>-47943</wp:posOffset>
                </wp:positionV>
                <wp:extent cx="7629525" cy="372110"/>
                <wp:effectExtent l="0" t="0" r="28575" b="27940"/>
                <wp:wrapNone/>
                <wp:docPr id="320531213"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9525" cy="37211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804A8B6" w14:textId="77777777" w:rsidR="00F977F7" w:rsidRPr="00F977F7" w:rsidRDefault="00F977F7" w:rsidP="00F977F7">
                            <w:pPr>
                              <w:spacing w:before="70"/>
                              <w:ind w:left="1723" w:right="1735"/>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 –</w:t>
                            </w:r>
                            <w:r w:rsidRPr="00F977F7">
                              <w:rPr>
                                <w:rFonts w:cs="Calibri"/>
                                <w:b/>
                                <w:spacing w:val="-3"/>
                              </w:rPr>
                              <w:t xml:space="preserve"> </w:t>
                            </w:r>
                            <w:r w:rsidRPr="00F977F7">
                              <w:rPr>
                                <w:rFonts w:cs="Calibri"/>
                                <w:b/>
                              </w:rPr>
                              <w:t>ENSAYO</w:t>
                            </w:r>
                            <w:r w:rsidRPr="00F977F7">
                              <w:rPr>
                                <w:rFonts w:cs="Calibri"/>
                                <w:b/>
                                <w:spacing w:val="-3"/>
                              </w:rPr>
                              <w:t xml:space="preserve"> </w:t>
                            </w:r>
                            <w:r w:rsidRPr="00F977F7">
                              <w:rPr>
                                <w:rFonts w:cs="Calibri"/>
                                <w:b/>
                              </w:rPr>
                              <w:t>SOBRE LA</w:t>
                            </w:r>
                            <w:r w:rsidRPr="00F977F7">
                              <w:rPr>
                                <w:rFonts w:cs="Calibri"/>
                                <w:b/>
                                <w:spacing w:val="-5"/>
                              </w:rPr>
                              <w:t xml:space="preserve"> </w:t>
                            </w:r>
                            <w:r w:rsidRPr="00F977F7">
                              <w:rPr>
                                <w:rFonts w:cs="Calibri"/>
                                <w:b/>
                              </w:rPr>
                              <w:t>HISTORIA</w:t>
                            </w:r>
                            <w:r w:rsidRPr="00F977F7">
                              <w:rPr>
                                <w:rFonts w:cs="Calibri"/>
                                <w:b/>
                                <w:spacing w:val="-4"/>
                              </w:rPr>
                              <w:t xml:space="preserve"> </w:t>
                            </w:r>
                            <w:r w:rsidRPr="00F977F7">
                              <w:rPr>
                                <w:rFonts w:cs="Calibri"/>
                                <w:b/>
                              </w:rPr>
                              <w:t>DE</w:t>
                            </w:r>
                            <w:r w:rsidRPr="00F977F7">
                              <w:rPr>
                                <w:rFonts w:cs="Calibri"/>
                                <w:b/>
                                <w:spacing w:val="-6"/>
                              </w:rPr>
                              <w:t xml:space="preserve"> </w:t>
                            </w:r>
                            <w:r w:rsidRPr="00F977F7">
                              <w:rPr>
                                <w:rFonts w:cs="Calibri"/>
                                <w:b/>
                              </w:rPr>
                              <w:t>LA EDUCACIÓN</w:t>
                            </w:r>
                            <w:r w:rsidRPr="00F977F7">
                              <w:rPr>
                                <w:rFonts w:cs="Calibri"/>
                                <w:b/>
                                <w:spacing w:val="-4"/>
                              </w:rPr>
                              <w:t xml:space="preserve"> </w:t>
                            </w:r>
                            <w:r w:rsidRPr="00F977F7">
                              <w:rPr>
                                <w:rFonts w:cs="Calibri"/>
                                <w:b/>
                              </w:rPr>
                              <w:t>CRISTIANA</w:t>
                            </w:r>
                          </w:p>
                        </w:txbxContent>
                      </wps:txbx>
                      <wps:bodyPr rot="0" vert="horz" wrap="square" lIns="0" tIns="0" rIns="0" bIns="0" anchor="t" anchorCtr="0" upright="1">
                        <a:noAutofit/>
                      </wps:bodyPr>
                    </wps:wsp>
                  </a:graphicData>
                </a:graphic>
              </wp:anchor>
            </w:drawing>
          </mc:Choice>
          <mc:Fallback>
            <w:pict>
              <v:shape w14:anchorId="0E7CAED0" id="_x0000_s1219" type="#_x0000_t202" style="position:absolute;left:0;text-align:left;margin-left:0;margin-top:-3.8pt;width:600.75pt;height:29.3pt;z-index:2525552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" filled="f" strokeweight=".72pt">
                <v:textbox inset="0,0,0,0">
                  <w:txbxContent>
                    <w:p w14:paraId="4804A8B6" w14:textId="77777777" w:rsidR="00F977F7" w:rsidRPr="00F977F7" w:rsidRDefault="00F977F7" w:rsidP="00F977F7">
                      <w:pPr>
                        <w:spacing w:before="70"/>
                        <w:ind w:left="1723" w:right="1735"/>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 –</w:t>
                      </w:r>
                      <w:r w:rsidRPr="00F977F7">
                        <w:rPr>
                          <w:rFonts w:cs="Calibri"/>
                          <w:b/>
                          <w:spacing w:val="-3"/>
                        </w:rPr>
                        <w:t xml:space="preserve"> </w:t>
                      </w:r>
                      <w:r w:rsidRPr="00F977F7">
                        <w:rPr>
                          <w:rFonts w:cs="Calibri"/>
                          <w:b/>
                        </w:rPr>
                        <w:t>ENSAYO</w:t>
                      </w:r>
                      <w:r w:rsidRPr="00F977F7">
                        <w:rPr>
                          <w:rFonts w:cs="Calibri"/>
                          <w:b/>
                          <w:spacing w:val="-3"/>
                        </w:rPr>
                        <w:t xml:space="preserve"> </w:t>
                      </w:r>
                      <w:r w:rsidRPr="00F977F7">
                        <w:rPr>
                          <w:rFonts w:cs="Calibri"/>
                          <w:b/>
                        </w:rPr>
                        <w:t>SOBRE LA</w:t>
                      </w:r>
                      <w:r w:rsidRPr="00F977F7">
                        <w:rPr>
                          <w:rFonts w:cs="Calibri"/>
                          <w:b/>
                          <w:spacing w:val="-5"/>
                        </w:rPr>
                        <w:t xml:space="preserve"> </w:t>
                      </w:r>
                      <w:r w:rsidRPr="00F977F7">
                        <w:rPr>
                          <w:rFonts w:cs="Calibri"/>
                          <w:b/>
                        </w:rPr>
                        <w:t>HISTORIA</w:t>
                      </w:r>
                      <w:r w:rsidRPr="00F977F7">
                        <w:rPr>
                          <w:rFonts w:cs="Calibri"/>
                          <w:b/>
                          <w:spacing w:val="-4"/>
                        </w:rPr>
                        <w:t xml:space="preserve"> </w:t>
                      </w:r>
                      <w:r w:rsidRPr="00F977F7">
                        <w:rPr>
                          <w:rFonts w:cs="Calibri"/>
                          <w:b/>
                        </w:rPr>
                        <w:t>DE</w:t>
                      </w:r>
                      <w:r w:rsidRPr="00F977F7">
                        <w:rPr>
                          <w:rFonts w:cs="Calibri"/>
                          <w:b/>
                          <w:spacing w:val="-6"/>
                        </w:rPr>
                        <w:t xml:space="preserve"> </w:t>
                      </w:r>
                      <w:r w:rsidRPr="00F977F7">
                        <w:rPr>
                          <w:rFonts w:cs="Calibri"/>
                          <w:b/>
                        </w:rPr>
                        <w:t>LA EDUCACIÓN</w:t>
                      </w:r>
                      <w:r w:rsidRPr="00F977F7">
                        <w:rPr>
                          <w:rFonts w:cs="Calibri"/>
                          <w:b/>
                          <w:spacing w:val="-4"/>
                        </w:rPr>
                        <w:t xml:space="preserve"> </w:t>
                      </w:r>
                      <w:r w:rsidRPr="00F977F7">
                        <w:rPr>
                          <w:rFonts w:cs="Calibri"/>
                          <w:b/>
                        </w:rPr>
                        <w:t>CRISTIANA</w:t>
                      </w:r>
                    </w:p>
                  </w:txbxContent>
                </v:textbox>
                <w10:wrap anchorx="margin"/>
              </v:shape>
            </w:pict>
          </mc:Fallback>
        </mc:AlternateContent>
      </w:r>
    </w:p>
    <w:p w14:paraId="6857B3C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p>
    <w:p w14:paraId="07992C12" w14:textId="77777777" w:rsidR="00F977F7" w:rsidRPr="00F977F7" w:rsidRDefault="00F977F7" w:rsidP="4C9C2619">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color w:val="000000"/>
          <w:kern w:val="0"/>
          <w:lang w:val="es-ES" w:eastAsia="es-CR"/>
          <w14:ligatures w14:val="none"/>
        </w:rPr>
      </w:pPr>
      <w:r w:rsidRPr="4C9C2619">
        <w:rPr>
          <w:rFonts w:ascii="Calibri" w:eastAsia="Times New Roman" w:hAnsi="Calibri" w:cs="Arial"/>
          <w:color w:val="0070C0"/>
          <w:kern w:val="0"/>
          <w:lang w:val="es-ES" w:eastAsia="es-CR"/>
          <w14:ligatures w14:val="none"/>
        </w:rPr>
        <w:t xml:space="preserve">En la sesión 2 se utiliza </w:t>
      </w:r>
      <w:proofErr w:type="spellStart"/>
      <w:r w:rsidRPr="4C9C2619">
        <w:rPr>
          <w:rFonts w:ascii="Calibri" w:eastAsia="Times New Roman" w:hAnsi="Calibri" w:cs="Arial"/>
          <w:color w:val="0070C0"/>
          <w:kern w:val="0"/>
          <w:lang w:val="es-ES" w:eastAsia="es-CR"/>
          <w14:ligatures w14:val="none"/>
        </w:rPr>
        <w:t>utiliza</w:t>
      </w:r>
      <w:proofErr w:type="spellEnd"/>
      <w:r w:rsidRPr="4C9C2619">
        <w:rPr>
          <w:rFonts w:ascii="Calibri" w:eastAsia="Times New Roman" w:hAnsi="Calibri" w:cs="Arial"/>
          <w:color w:val="0070C0"/>
          <w:kern w:val="0"/>
          <w:lang w:val="es-ES" w:eastAsia="es-CR"/>
          <w14:ligatures w14:val="none"/>
        </w:rPr>
        <w:t xml:space="preserve"> la estrategia del ensayo para reflexionar de manera fundamentada sobre la historia de la educación cristiana, con el objetivo de sintetizar los elementos claves que marcan su desarrollo 2. Tiene un valor de 5% y se evalúa según esta escala.</w:t>
      </w:r>
    </w:p>
    <w:p w14:paraId="1A3C604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
          <w:noProof/>
          <w:color w:val="000000"/>
          <w:kern w:val="0"/>
          <w:lang w:val="es-ES_tradnl" w:eastAsia="es-CR"/>
          <w14:ligatures w14:val="none"/>
        </w:rPr>
        <w:drawing>
          <wp:anchor distT="0" distB="0" distL="114300" distR="114300" simplePos="0" relativeHeight="252556288" behindDoc="0" locked="0" layoutInCell="1" allowOverlap="1" wp14:anchorId="3E5890F0" wp14:editId="66BD2B84">
            <wp:simplePos x="0" y="0"/>
            <wp:positionH relativeFrom="margin">
              <wp:align>center</wp:align>
            </wp:positionH>
            <wp:positionV relativeFrom="paragraph">
              <wp:posOffset>216853</wp:posOffset>
            </wp:positionV>
            <wp:extent cx="8186420" cy="4663440"/>
            <wp:effectExtent l="0" t="0" r="5080" b="3810"/>
            <wp:wrapNone/>
            <wp:docPr id="56567676"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7676" name="Imagen 8" descr="Tabla&#10;&#10;Descripción generada automáticamente"/>
                    <pic:cNvPicPr/>
                  </pic:nvPicPr>
                  <pic:blipFill>
                    <a:blip r:embed="rId441"/>
                    <a:stretch>
                      <a:fillRect/>
                    </a:stretch>
                  </pic:blipFill>
                  <pic:spPr>
                    <a:xfrm>
                      <a:off x="0" y="0"/>
                      <a:ext cx="8186420" cy="4663440"/>
                    </a:xfrm>
                    <a:prstGeom prst="rect">
                      <a:avLst/>
                    </a:prstGeom>
                  </pic:spPr>
                </pic:pic>
              </a:graphicData>
            </a:graphic>
          </wp:anchor>
        </w:drawing>
      </w:r>
    </w:p>
    <w:p w14:paraId="1946E81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042F28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35F110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11C967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0C59FD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892971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ABAEA8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FC3239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C3931B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9344B5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63AFBA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FD4442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D475EE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61018B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28FD2D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298066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D39784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0C808B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5044FC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174FDD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03C54E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591727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7E2001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429AA8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57312" behindDoc="0" locked="0" layoutInCell="1" allowOverlap="1" wp14:anchorId="023B491D" wp14:editId="37708F10">
                <wp:simplePos x="0" y="0"/>
                <wp:positionH relativeFrom="margin">
                  <wp:align>center</wp:align>
                </wp:positionH>
                <wp:positionV relativeFrom="paragraph">
                  <wp:posOffset>-95885</wp:posOffset>
                </wp:positionV>
                <wp:extent cx="7720965" cy="381000"/>
                <wp:effectExtent l="0" t="0" r="13335" b="19050"/>
                <wp:wrapNone/>
                <wp:docPr id="989099821" name="Cuadro de tex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20965" cy="38100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25944CE" w14:textId="77777777" w:rsidR="00F977F7" w:rsidRPr="00F977F7" w:rsidRDefault="00F977F7" w:rsidP="00F977F7">
                            <w:pPr>
                              <w:spacing w:before="70"/>
                              <w:ind w:left="653"/>
                              <w:rPr>
                                <w:rFonts w:cs="Calibri"/>
                                <w:b/>
                              </w:rPr>
                            </w:pPr>
                            <w:r w:rsidRPr="00F977F7">
                              <w:rPr>
                                <w:rFonts w:cs="Calibri"/>
                                <w:b/>
                              </w:rPr>
                              <w:t>ESCALA</w:t>
                            </w:r>
                            <w:r w:rsidRPr="00F977F7">
                              <w:rPr>
                                <w:rFonts w:cs="Calibri"/>
                                <w:b/>
                                <w:spacing w:val="-2"/>
                              </w:rPr>
                              <w:t xml:space="preserve"> </w:t>
                            </w:r>
                            <w:r w:rsidRPr="00F977F7">
                              <w:rPr>
                                <w:rFonts w:cs="Calibri"/>
                                <w:b/>
                              </w:rPr>
                              <w:t>DE</w:t>
                            </w:r>
                            <w:r w:rsidRPr="00F977F7">
                              <w:rPr>
                                <w:rFonts w:cs="Calibri"/>
                                <w:b/>
                                <w:spacing w:val="-7"/>
                              </w:rPr>
                              <w:t xml:space="preserve"> </w:t>
                            </w:r>
                            <w:r w:rsidRPr="00F977F7">
                              <w:rPr>
                                <w:rFonts w:cs="Calibri"/>
                                <w:b/>
                              </w:rPr>
                              <w:t>EVALUACIÓN</w:t>
                            </w:r>
                            <w:r w:rsidRPr="00F977F7">
                              <w:rPr>
                                <w:rFonts w:cs="Calibri"/>
                                <w:b/>
                                <w:spacing w:val="-2"/>
                              </w:rPr>
                              <w:t xml:space="preserve"> </w:t>
                            </w:r>
                            <w:r w:rsidRPr="00F977F7">
                              <w:rPr>
                                <w:rFonts w:cs="Calibri"/>
                                <w:b/>
                              </w:rPr>
                              <w:t>–</w:t>
                            </w:r>
                            <w:r w:rsidRPr="00F977F7">
                              <w:rPr>
                                <w:rFonts w:cs="Calibri"/>
                                <w:b/>
                                <w:spacing w:val="-4"/>
                              </w:rPr>
                              <w:t xml:space="preserve"> </w:t>
                            </w:r>
                            <w:r w:rsidRPr="00F977F7">
                              <w:rPr>
                                <w:rFonts w:cs="Calibri"/>
                                <w:b/>
                              </w:rPr>
                              <w:t>ENSAYO</w:t>
                            </w:r>
                            <w:r w:rsidRPr="00F977F7">
                              <w:rPr>
                                <w:rFonts w:cs="Calibri"/>
                                <w:b/>
                                <w:spacing w:val="-3"/>
                              </w:rPr>
                              <w:t xml:space="preserve"> </w:t>
                            </w:r>
                            <w:r w:rsidRPr="00F977F7">
                              <w:rPr>
                                <w:rFonts w:cs="Calibri"/>
                                <w:b/>
                              </w:rPr>
                              <w:t>SOBRE</w:t>
                            </w:r>
                            <w:r w:rsidRPr="00F977F7">
                              <w:rPr>
                                <w:rFonts w:cs="Calibri"/>
                                <w:b/>
                                <w:spacing w:val="-2"/>
                              </w:rPr>
                              <w:t xml:space="preserve"> </w:t>
                            </w:r>
                            <w:r w:rsidRPr="00F977F7">
                              <w:rPr>
                                <w:rFonts w:cs="Calibri"/>
                                <w:b/>
                              </w:rPr>
                              <w:t>ACERCAMIENTOS</w:t>
                            </w:r>
                            <w:r w:rsidRPr="00F977F7">
                              <w:rPr>
                                <w:rFonts w:cs="Calibri"/>
                                <w:b/>
                                <w:spacing w:val="-2"/>
                              </w:rPr>
                              <w:t xml:space="preserve"> </w:t>
                            </w:r>
                            <w:r w:rsidRPr="00F977F7">
                              <w:rPr>
                                <w:rFonts w:cs="Calibri"/>
                                <w:b/>
                              </w:rPr>
                              <w:t>PEDAGÓGICOS</w:t>
                            </w:r>
                            <w:r w:rsidRPr="00F977F7">
                              <w:rPr>
                                <w:rFonts w:cs="Calibri"/>
                                <w:b/>
                                <w:spacing w:val="-3"/>
                              </w:rPr>
                              <w:t xml:space="preserve"> </w:t>
                            </w:r>
                            <w:r w:rsidRPr="00F977F7">
                              <w:rPr>
                                <w:rFonts w:cs="Calibri"/>
                                <w:b/>
                              </w:rPr>
                              <w:t>PARA</w:t>
                            </w:r>
                            <w:r w:rsidRPr="00F977F7">
                              <w:rPr>
                                <w:rFonts w:cs="Calibri"/>
                                <w:b/>
                                <w:spacing w:val="-5"/>
                              </w:rPr>
                              <w:t xml:space="preserve"> </w:t>
                            </w:r>
                            <w:r w:rsidRPr="00F977F7">
                              <w:rPr>
                                <w:rFonts w:cs="Calibri"/>
                                <w:b/>
                              </w:rPr>
                              <w:t>LA</w:t>
                            </w:r>
                            <w:r w:rsidRPr="00F977F7">
                              <w:rPr>
                                <w:rFonts w:cs="Calibri"/>
                                <w:b/>
                                <w:spacing w:val="-6"/>
                              </w:rPr>
                              <w:t xml:space="preserve"> </w:t>
                            </w:r>
                            <w:r w:rsidRPr="00F977F7">
                              <w:rPr>
                                <w:rFonts w:cs="Calibri"/>
                                <w:b/>
                              </w:rPr>
                              <w:t>EDUCACIÓN</w:t>
                            </w:r>
                            <w:r w:rsidRPr="00F977F7">
                              <w:rPr>
                                <w:rFonts w:cs="Calibri"/>
                                <w:b/>
                                <w:spacing w:val="3"/>
                              </w:rPr>
                              <w:t xml:space="preserve"> </w:t>
                            </w:r>
                            <w:r w:rsidRPr="00F977F7">
                              <w:rPr>
                                <w:rFonts w:cs="Calibri"/>
                                <w:b/>
                              </w:rPr>
                              <w:t>CRISTIANA</w:t>
                            </w:r>
                          </w:p>
                        </w:txbxContent>
                      </wps:txbx>
                      <wps:bodyPr rot="0" vert="horz" wrap="square" lIns="0" tIns="0" rIns="0" bIns="0" anchor="t" anchorCtr="0" upright="1">
                        <a:noAutofit/>
                      </wps:bodyPr>
                    </wps:wsp>
                  </a:graphicData>
                </a:graphic>
              </wp:anchor>
            </w:drawing>
          </mc:Choice>
          <mc:Fallback>
            <w:pict>
              <v:shape w14:anchorId="023B491D" id="_x0000_s1220" type="#_x0000_t202" style="position:absolute;left:0;text-align:left;margin-left:0;margin-top:-7.55pt;width:607.95pt;height:30pt;z-index:252557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" filled="f" strokeweight=".72pt">
                <v:textbox inset="0,0,0,0">
                  <w:txbxContent>
                    <w:p w14:paraId="425944CE" w14:textId="77777777" w:rsidR="00F977F7" w:rsidRPr="00F977F7" w:rsidRDefault="00F977F7" w:rsidP="00F977F7">
                      <w:pPr>
                        <w:spacing w:before="70"/>
                        <w:ind w:left="653"/>
                        <w:rPr>
                          <w:rFonts w:cs="Calibri"/>
                          <w:b/>
                        </w:rPr>
                      </w:pPr>
                      <w:r w:rsidRPr="00F977F7">
                        <w:rPr>
                          <w:rFonts w:cs="Calibri"/>
                          <w:b/>
                        </w:rPr>
                        <w:t>ESCALA</w:t>
                      </w:r>
                      <w:r w:rsidRPr="00F977F7">
                        <w:rPr>
                          <w:rFonts w:cs="Calibri"/>
                          <w:b/>
                          <w:spacing w:val="-2"/>
                        </w:rPr>
                        <w:t xml:space="preserve"> </w:t>
                      </w:r>
                      <w:r w:rsidRPr="00F977F7">
                        <w:rPr>
                          <w:rFonts w:cs="Calibri"/>
                          <w:b/>
                        </w:rPr>
                        <w:t>DE</w:t>
                      </w:r>
                      <w:r w:rsidRPr="00F977F7">
                        <w:rPr>
                          <w:rFonts w:cs="Calibri"/>
                          <w:b/>
                          <w:spacing w:val="-7"/>
                        </w:rPr>
                        <w:t xml:space="preserve"> </w:t>
                      </w:r>
                      <w:r w:rsidRPr="00F977F7">
                        <w:rPr>
                          <w:rFonts w:cs="Calibri"/>
                          <w:b/>
                        </w:rPr>
                        <w:t>EVALUACIÓN</w:t>
                      </w:r>
                      <w:r w:rsidRPr="00F977F7">
                        <w:rPr>
                          <w:rFonts w:cs="Calibri"/>
                          <w:b/>
                          <w:spacing w:val="-2"/>
                        </w:rPr>
                        <w:t xml:space="preserve"> </w:t>
                      </w:r>
                      <w:r w:rsidRPr="00F977F7">
                        <w:rPr>
                          <w:rFonts w:cs="Calibri"/>
                          <w:b/>
                        </w:rPr>
                        <w:t>–</w:t>
                      </w:r>
                      <w:r w:rsidRPr="00F977F7">
                        <w:rPr>
                          <w:rFonts w:cs="Calibri"/>
                          <w:b/>
                          <w:spacing w:val="-4"/>
                        </w:rPr>
                        <w:t xml:space="preserve"> </w:t>
                      </w:r>
                      <w:r w:rsidRPr="00F977F7">
                        <w:rPr>
                          <w:rFonts w:cs="Calibri"/>
                          <w:b/>
                        </w:rPr>
                        <w:t>ENSAYO</w:t>
                      </w:r>
                      <w:r w:rsidRPr="00F977F7">
                        <w:rPr>
                          <w:rFonts w:cs="Calibri"/>
                          <w:b/>
                          <w:spacing w:val="-3"/>
                        </w:rPr>
                        <w:t xml:space="preserve"> </w:t>
                      </w:r>
                      <w:r w:rsidRPr="00F977F7">
                        <w:rPr>
                          <w:rFonts w:cs="Calibri"/>
                          <w:b/>
                        </w:rPr>
                        <w:t>SOBRE</w:t>
                      </w:r>
                      <w:r w:rsidRPr="00F977F7">
                        <w:rPr>
                          <w:rFonts w:cs="Calibri"/>
                          <w:b/>
                          <w:spacing w:val="-2"/>
                        </w:rPr>
                        <w:t xml:space="preserve"> </w:t>
                      </w:r>
                      <w:r w:rsidRPr="00F977F7">
                        <w:rPr>
                          <w:rFonts w:cs="Calibri"/>
                          <w:b/>
                        </w:rPr>
                        <w:t>ACERCAMIENTOS</w:t>
                      </w:r>
                      <w:r w:rsidRPr="00F977F7">
                        <w:rPr>
                          <w:rFonts w:cs="Calibri"/>
                          <w:b/>
                          <w:spacing w:val="-2"/>
                        </w:rPr>
                        <w:t xml:space="preserve"> </w:t>
                      </w:r>
                      <w:r w:rsidRPr="00F977F7">
                        <w:rPr>
                          <w:rFonts w:cs="Calibri"/>
                          <w:b/>
                        </w:rPr>
                        <w:t>PEDAGÓGICOS</w:t>
                      </w:r>
                      <w:r w:rsidRPr="00F977F7">
                        <w:rPr>
                          <w:rFonts w:cs="Calibri"/>
                          <w:b/>
                          <w:spacing w:val="-3"/>
                        </w:rPr>
                        <w:t xml:space="preserve"> </w:t>
                      </w:r>
                      <w:r w:rsidRPr="00F977F7">
                        <w:rPr>
                          <w:rFonts w:cs="Calibri"/>
                          <w:b/>
                        </w:rPr>
                        <w:t>PARA</w:t>
                      </w:r>
                      <w:r w:rsidRPr="00F977F7">
                        <w:rPr>
                          <w:rFonts w:cs="Calibri"/>
                          <w:b/>
                          <w:spacing w:val="-5"/>
                        </w:rPr>
                        <w:t xml:space="preserve"> </w:t>
                      </w:r>
                      <w:r w:rsidRPr="00F977F7">
                        <w:rPr>
                          <w:rFonts w:cs="Calibri"/>
                          <w:b/>
                        </w:rPr>
                        <w:t>LA</w:t>
                      </w:r>
                      <w:r w:rsidRPr="00F977F7">
                        <w:rPr>
                          <w:rFonts w:cs="Calibri"/>
                          <w:b/>
                          <w:spacing w:val="-6"/>
                        </w:rPr>
                        <w:t xml:space="preserve"> </w:t>
                      </w:r>
                      <w:r w:rsidRPr="00F977F7">
                        <w:rPr>
                          <w:rFonts w:cs="Calibri"/>
                          <w:b/>
                        </w:rPr>
                        <w:t>EDUCACIÓN</w:t>
                      </w:r>
                      <w:r w:rsidRPr="00F977F7">
                        <w:rPr>
                          <w:rFonts w:cs="Calibri"/>
                          <w:b/>
                          <w:spacing w:val="3"/>
                        </w:rPr>
                        <w:t xml:space="preserve"> </w:t>
                      </w:r>
                      <w:r w:rsidRPr="00F977F7">
                        <w:rPr>
                          <w:rFonts w:cs="Calibri"/>
                          <w:b/>
                        </w:rPr>
                        <w:t>CRISTIANA</w:t>
                      </w:r>
                    </w:p>
                  </w:txbxContent>
                </v:textbox>
                <w10:wrap anchorx="margin"/>
              </v:shape>
            </w:pict>
          </mc:Fallback>
        </mc:AlternateContent>
      </w:r>
    </w:p>
    <w:p w14:paraId="4D7EC2E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308AA1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 xml:space="preserve">En la sesión 9 se desarrolla un ensayo para reflexionar de manera fundamentada sobre los acercamientos pedagógicos para la educación cristiana. Tiene un valor de 5% y se evalúa según esta escala. </w:t>
      </w:r>
    </w:p>
    <w:p w14:paraId="4E71B30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58336" behindDoc="0" locked="0" layoutInCell="1" allowOverlap="1" wp14:anchorId="742D3520" wp14:editId="055BF514">
            <wp:simplePos x="0" y="0"/>
            <wp:positionH relativeFrom="column">
              <wp:posOffset>371475</wp:posOffset>
            </wp:positionH>
            <wp:positionV relativeFrom="paragraph">
              <wp:posOffset>73978</wp:posOffset>
            </wp:positionV>
            <wp:extent cx="8400288" cy="4395216"/>
            <wp:effectExtent l="0" t="0" r="1270" b="5715"/>
            <wp:wrapNone/>
            <wp:docPr id="142859278" name="Imagen 1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59278" name="Imagen 10" descr="Tabla&#10;&#10;Descripción generada automáticamente"/>
                    <pic:cNvPicPr/>
                  </pic:nvPicPr>
                  <pic:blipFill>
                    <a:blip r:embed="rId442"/>
                    <a:stretch>
                      <a:fillRect/>
                    </a:stretch>
                  </pic:blipFill>
                  <pic:spPr>
                    <a:xfrm>
                      <a:off x="0" y="0"/>
                      <a:ext cx="8400288" cy="4395216"/>
                    </a:xfrm>
                    <a:prstGeom prst="rect">
                      <a:avLst/>
                    </a:prstGeom>
                  </pic:spPr>
                </pic:pic>
              </a:graphicData>
            </a:graphic>
          </wp:anchor>
        </w:drawing>
      </w:r>
    </w:p>
    <w:p w14:paraId="7AED233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66D373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6EB4BC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BC82B8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93AA00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919F90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474064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222494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862276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88F330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8A5506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909AC5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324B52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245B00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67F75E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2DB0BF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865DB0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690FB3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301DB4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946D18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CE1A0A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6DD1AB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B575FB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1FF928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4A5DF0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59360" behindDoc="0" locked="0" layoutInCell="1" allowOverlap="1" wp14:anchorId="33D5BBD6" wp14:editId="2993C3BB">
                <wp:simplePos x="0" y="0"/>
                <wp:positionH relativeFrom="margin">
                  <wp:align>center</wp:align>
                </wp:positionH>
                <wp:positionV relativeFrom="paragraph">
                  <wp:posOffset>-143510</wp:posOffset>
                </wp:positionV>
                <wp:extent cx="7284720" cy="350520"/>
                <wp:effectExtent l="0" t="0" r="11430" b="11430"/>
                <wp:wrapNone/>
                <wp:docPr id="577810960" name="Cuadro de texto 577810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4720" cy="35052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08C5293" w14:textId="77777777" w:rsidR="00F977F7" w:rsidRPr="00F977F7" w:rsidRDefault="00F977F7" w:rsidP="00F977F7">
                            <w:pPr>
                              <w:spacing w:before="75"/>
                              <w:ind w:left="2711" w:right="2712"/>
                              <w:jc w:val="center"/>
                              <w:rPr>
                                <w:rFonts w:cs="Calibri"/>
                                <w:b/>
                              </w:rPr>
                            </w:pPr>
                            <w:r w:rsidRPr="00F977F7">
                              <w:rPr>
                                <w:rFonts w:cs="Calibri"/>
                                <w:b/>
                              </w:rPr>
                              <w:t>ESCALA DE</w:t>
                            </w:r>
                            <w:r w:rsidRPr="00F977F7">
                              <w:rPr>
                                <w:rFonts w:cs="Calibri"/>
                                <w:b/>
                                <w:spacing w:val="-5"/>
                              </w:rPr>
                              <w:t xml:space="preserve"> </w:t>
                            </w:r>
                            <w:r w:rsidRPr="00F977F7">
                              <w:rPr>
                                <w:rFonts w:cs="Calibri"/>
                                <w:b/>
                              </w:rPr>
                              <w:t>EVALUACIÓN –</w:t>
                            </w:r>
                            <w:r w:rsidRPr="00F977F7">
                              <w:rPr>
                                <w:rFonts w:cs="Calibri"/>
                                <w:b/>
                                <w:spacing w:val="-2"/>
                              </w:rPr>
                              <w:t xml:space="preserve"> </w:t>
                            </w:r>
                            <w:r w:rsidRPr="00F977F7">
                              <w:rPr>
                                <w:rFonts w:cs="Calibri"/>
                                <w:b/>
                              </w:rPr>
                              <w:t>DISEÑO</w:t>
                            </w:r>
                            <w:r w:rsidRPr="00F977F7">
                              <w:rPr>
                                <w:rFonts w:cs="Calibri"/>
                                <w:b/>
                                <w:spacing w:val="-2"/>
                              </w:rPr>
                              <w:t xml:space="preserve"> </w:t>
                            </w:r>
                            <w:r w:rsidRPr="00F977F7">
                              <w:rPr>
                                <w:rFonts w:cs="Calibri"/>
                                <w:b/>
                              </w:rPr>
                              <w:t>DE</w:t>
                            </w:r>
                            <w:r w:rsidRPr="00F977F7">
                              <w:rPr>
                                <w:rFonts w:cs="Calibri"/>
                                <w:b/>
                                <w:spacing w:val="-5"/>
                              </w:rPr>
                              <w:t xml:space="preserve"> </w:t>
                            </w:r>
                            <w:r w:rsidRPr="00F977F7">
                              <w:rPr>
                                <w:rFonts w:cs="Calibri"/>
                                <w:b/>
                              </w:rPr>
                              <w:t>UNA</w:t>
                            </w:r>
                            <w:r w:rsidRPr="00F977F7">
                              <w:rPr>
                                <w:rFonts w:cs="Calibri"/>
                                <w:b/>
                                <w:spacing w:val="-4"/>
                              </w:rPr>
                              <w:t xml:space="preserve"> </w:t>
                            </w:r>
                            <w:r w:rsidRPr="00F977F7">
                              <w:rPr>
                                <w:rFonts w:cs="Calibri"/>
                                <w:b/>
                              </w:rPr>
                              <w:t>LECCIÓN</w:t>
                            </w:r>
                            <w:r w:rsidRPr="00F977F7">
                              <w:rPr>
                                <w:rFonts w:cs="Calibri"/>
                                <w:b/>
                                <w:spacing w:val="-3"/>
                              </w:rPr>
                              <w:t xml:space="preserve"> </w:t>
                            </w:r>
                            <w:r w:rsidRPr="00F977F7">
                              <w:rPr>
                                <w:rFonts w:cs="Calibri"/>
                                <w:b/>
                              </w:rPr>
                              <w:t>BÍBLICA</w:t>
                            </w:r>
                          </w:p>
                        </w:txbxContent>
                      </wps:txbx>
                      <wps:bodyPr rot="0" vert="horz" wrap="square" lIns="0" tIns="0" rIns="0" bIns="0" anchor="t" anchorCtr="0" upright="1">
                        <a:noAutofit/>
                      </wps:bodyPr>
                    </wps:wsp>
                  </a:graphicData>
                </a:graphic>
              </wp:anchor>
            </w:drawing>
          </mc:Choice>
          <mc:Fallback>
            <w:pict>
              <v:shape w14:anchorId="33D5BBD6" id="Cuadro de texto 577810960" o:spid="_x0000_s1221" type="#_x0000_t202" style="position:absolute;left:0;text-align:left;margin-left:0;margin-top:-11.3pt;width:573.6pt;height:27.6pt;z-index:2525593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" filled="f" strokeweight=".72pt">
                <v:textbox inset="0,0,0,0">
                  <w:txbxContent>
                    <w:p w14:paraId="308C5293" w14:textId="77777777" w:rsidR="00F977F7" w:rsidRPr="00F977F7" w:rsidRDefault="00F977F7" w:rsidP="00F977F7">
                      <w:pPr>
                        <w:spacing w:before="75"/>
                        <w:ind w:left="2711" w:right="2712"/>
                        <w:jc w:val="center"/>
                        <w:rPr>
                          <w:rFonts w:cs="Calibri"/>
                          <w:b/>
                        </w:rPr>
                      </w:pPr>
                      <w:r w:rsidRPr="00F977F7">
                        <w:rPr>
                          <w:rFonts w:cs="Calibri"/>
                          <w:b/>
                        </w:rPr>
                        <w:t>ESCALA DE</w:t>
                      </w:r>
                      <w:r w:rsidRPr="00F977F7">
                        <w:rPr>
                          <w:rFonts w:cs="Calibri"/>
                          <w:b/>
                          <w:spacing w:val="-5"/>
                        </w:rPr>
                        <w:t xml:space="preserve"> </w:t>
                      </w:r>
                      <w:r w:rsidRPr="00F977F7">
                        <w:rPr>
                          <w:rFonts w:cs="Calibri"/>
                          <w:b/>
                        </w:rPr>
                        <w:t>EVALUACIÓN –</w:t>
                      </w:r>
                      <w:r w:rsidRPr="00F977F7">
                        <w:rPr>
                          <w:rFonts w:cs="Calibri"/>
                          <w:b/>
                          <w:spacing w:val="-2"/>
                        </w:rPr>
                        <w:t xml:space="preserve"> </w:t>
                      </w:r>
                      <w:r w:rsidRPr="00F977F7">
                        <w:rPr>
                          <w:rFonts w:cs="Calibri"/>
                          <w:b/>
                        </w:rPr>
                        <w:t>DISEÑO</w:t>
                      </w:r>
                      <w:r w:rsidRPr="00F977F7">
                        <w:rPr>
                          <w:rFonts w:cs="Calibri"/>
                          <w:b/>
                          <w:spacing w:val="-2"/>
                        </w:rPr>
                        <w:t xml:space="preserve"> </w:t>
                      </w:r>
                      <w:r w:rsidRPr="00F977F7">
                        <w:rPr>
                          <w:rFonts w:cs="Calibri"/>
                          <w:b/>
                        </w:rPr>
                        <w:t>DE</w:t>
                      </w:r>
                      <w:r w:rsidRPr="00F977F7">
                        <w:rPr>
                          <w:rFonts w:cs="Calibri"/>
                          <w:b/>
                          <w:spacing w:val="-5"/>
                        </w:rPr>
                        <w:t xml:space="preserve"> </w:t>
                      </w:r>
                      <w:r w:rsidRPr="00F977F7">
                        <w:rPr>
                          <w:rFonts w:cs="Calibri"/>
                          <w:b/>
                        </w:rPr>
                        <w:t>UNA</w:t>
                      </w:r>
                      <w:r w:rsidRPr="00F977F7">
                        <w:rPr>
                          <w:rFonts w:cs="Calibri"/>
                          <w:b/>
                          <w:spacing w:val="-4"/>
                        </w:rPr>
                        <w:t xml:space="preserve"> </w:t>
                      </w:r>
                      <w:r w:rsidRPr="00F977F7">
                        <w:rPr>
                          <w:rFonts w:cs="Calibri"/>
                          <w:b/>
                        </w:rPr>
                        <w:t>LECCIÓN</w:t>
                      </w:r>
                      <w:r w:rsidRPr="00F977F7">
                        <w:rPr>
                          <w:rFonts w:cs="Calibri"/>
                          <w:b/>
                          <w:spacing w:val="-3"/>
                        </w:rPr>
                        <w:t xml:space="preserve"> </w:t>
                      </w:r>
                      <w:r w:rsidRPr="00F977F7">
                        <w:rPr>
                          <w:rFonts w:cs="Calibri"/>
                          <w:b/>
                        </w:rPr>
                        <w:t>BÍBLICA</w:t>
                      </w:r>
                    </w:p>
                  </w:txbxContent>
                </v:textbox>
                <w10:wrap anchorx="margin"/>
              </v:shape>
            </w:pict>
          </mc:Fallback>
        </mc:AlternateContent>
      </w:r>
    </w:p>
    <w:p w14:paraId="5A68CA2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12135F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El diseño de una lección bíblica es una estrategia de aprendizaje que permite practicar el planeamiento que toda persona debe realizar teniendo una función docente previo al desarrollo de la clase. Se elabora en las sesiones 11 y 12 y tiene un valor de 7,5%.</w:t>
      </w:r>
    </w:p>
    <w:p w14:paraId="7220ADE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60384" behindDoc="0" locked="0" layoutInCell="1" allowOverlap="1" wp14:anchorId="24C89F3F" wp14:editId="3F920436">
            <wp:simplePos x="0" y="0"/>
            <wp:positionH relativeFrom="margin">
              <wp:align>center</wp:align>
            </wp:positionH>
            <wp:positionV relativeFrom="paragraph">
              <wp:posOffset>246380</wp:posOffset>
            </wp:positionV>
            <wp:extent cx="7948613" cy="5774535"/>
            <wp:effectExtent l="0" t="0" r="0" b="0"/>
            <wp:wrapNone/>
            <wp:docPr id="1653604075"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604075" name="Imagen 11" descr="Tabla&#10;&#10;Descripción generada automáticamente"/>
                    <pic:cNvPicPr/>
                  </pic:nvPicPr>
                  <pic:blipFill>
                    <a:blip r:embed="rId443"/>
                    <a:stretch>
                      <a:fillRect/>
                    </a:stretch>
                  </pic:blipFill>
                  <pic:spPr>
                    <a:xfrm>
                      <a:off x="0" y="0"/>
                      <a:ext cx="7948613" cy="5774535"/>
                    </a:xfrm>
                    <a:prstGeom prst="rect">
                      <a:avLst/>
                    </a:prstGeom>
                  </pic:spPr>
                </pic:pic>
              </a:graphicData>
            </a:graphic>
            <wp14:sizeRelH relativeFrom="margin">
              <wp14:pctWidth>0</wp14:pctWidth>
            </wp14:sizeRelH>
            <wp14:sizeRelV relativeFrom="margin">
              <wp14:pctHeight>0</wp14:pctHeight>
            </wp14:sizeRelV>
          </wp:anchor>
        </w:drawing>
      </w:r>
    </w:p>
    <w:p w14:paraId="6ABC814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CB9ABF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A06C44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0A57FD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826019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518F22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90F71D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08F994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FF9086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FC3FA5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C67817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9DDC1D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B621D4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E096A1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A3874B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2E1467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759753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DF1752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327196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DAB77E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61408" behindDoc="0" locked="0" layoutInCell="1" allowOverlap="1" wp14:anchorId="5FB85AAA" wp14:editId="3E7B1DCD">
                <wp:simplePos x="0" y="0"/>
                <wp:positionH relativeFrom="margin">
                  <wp:align>center</wp:align>
                </wp:positionH>
                <wp:positionV relativeFrom="paragraph">
                  <wp:posOffset>61595</wp:posOffset>
                </wp:positionV>
                <wp:extent cx="7218045" cy="342900"/>
                <wp:effectExtent l="0" t="0" r="20955" b="19050"/>
                <wp:wrapNone/>
                <wp:docPr id="2017479328"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8045" cy="342900"/>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8B03D45" w14:textId="77777777" w:rsidR="00F977F7" w:rsidRPr="00F977F7" w:rsidRDefault="00F977F7" w:rsidP="00F977F7">
                            <w:pPr>
                              <w:spacing w:before="75"/>
                              <w:ind w:left="2172" w:right="2176"/>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PERFIL</w:t>
                            </w:r>
                            <w:r w:rsidRPr="00F977F7">
                              <w:rPr>
                                <w:rFonts w:cs="Calibri"/>
                                <w:b/>
                                <w:spacing w:val="-5"/>
                              </w:rPr>
                              <w:t xml:space="preserve"> </w:t>
                            </w:r>
                            <w:r w:rsidRPr="00F977F7">
                              <w:rPr>
                                <w:rFonts w:cs="Calibri"/>
                                <w:b/>
                              </w:rPr>
                              <w:t>Y</w:t>
                            </w:r>
                            <w:r w:rsidRPr="00F977F7">
                              <w:rPr>
                                <w:rFonts w:cs="Calibri"/>
                                <w:b/>
                                <w:spacing w:val="-3"/>
                              </w:rPr>
                              <w:t xml:space="preserve"> </w:t>
                            </w:r>
                            <w:r w:rsidRPr="00F977F7">
                              <w:rPr>
                                <w:rFonts w:cs="Calibri"/>
                                <w:b/>
                              </w:rPr>
                              <w:t>PLAN</w:t>
                            </w:r>
                            <w:r w:rsidRPr="00F977F7">
                              <w:rPr>
                                <w:rFonts w:cs="Calibri"/>
                                <w:b/>
                                <w:spacing w:val="-4"/>
                              </w:rPr>
                              <w:t xml:space="preserve"> </w:t>
                            </w:r>
                            <w:r w:rsidRPr="00F977F7">
                              <w:rPr>
                                <w:rFonts w:cs="Calibri"/>
                                <w:b/>
                              </w:rPr>
                              <w:t>DE</w:t>
                            </w:r>
                            <w:r w:rsidRPr="00F977F7">
                              <w:rPr>
                                <w:rFonts w:cs="Calibri"/>
                                <w:b/>
                                <w:spacing w:val="-1"/>
                              </w:rPr>
                              <w:t xml:space="preserve"> </w:t>
                            </w:r>
                            <w:r w:rsidRPr="00F977F7">
                              <w:rPr>
                                <w:rFonts w:cs="Calibri"/>
                                <w:b/>
                              </w:rPr>
                              <w:t>CAPACITACIÓN</w:t>
                            </w:r>
                            <w:r w:rsidRPr="00F977F7">
                              <w:rPr>
                                <w:rFonts w:cs="Calibri"/>
                                <w:b/>
                                <w:spacing w:val="-4"/>
                              </w:rPr>
                              <w:t xml:space="preserve"> </w:t>
                            </w:r>
                            <w:r w:rsidRPr="00F977F7">
                              <w:rPr>
                                <w:rFonts w:cs="Calibri"/>
                                <w:b/>
                              </w:rPr>
                              <w:t>DOCENTE</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5FB85AAA" id="_x0000_s1222" type="#_x0000_t202" style="position:absolute;left:0;text-align:left;margin-left:0;margin-top:4.85pt;width:568.35pt;height:27pt;z-index:2525614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" filled="f" strokeweight=".72pt">
                <v:textbox inset="0,0,0,0">
                  <w:txbxContent>
                    <w:p w14:paraId="08B03D45" w14:textId="77777777" w:rsidR="00F977F7" w:rsidRPr="00F977F7" w:rsidRDefault="00F977F7" w:rsidP="00F977F7">
                      <w:pPr>
                        <w:spacing w:before="75"/>
                        <w:ind w:left="2172" w:right="2176"/>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PERFIL</w:t>
                      </w:r>
                      <w:r w:rsidRPr="00F977F7">
                        <w:rPr>
                          <w:rFonts w:cs="Calibri"/>
                          <w:b/>
                          <w:spacing w:val="-5"/>
                        </w:rPr>
                        <w:t xml:space="preserve"> </w:t>
                      </w:r>
                      <w:r w:rsidRPr="00F977F7">
                        <w:rPr>
                          <w:rFonts w:cs="Calibri"/>
                          <w:b/>
                        </w:rPr>
                        <w:t>Y</w:t>
                      </w:r>
                      <w:r w:rsidRPr="00F977F7">
                        <w:rPr>
                          <w:rFonts w:cs="Calibri"/>
                          <w:b/>
                          <w:spacing w:val="-3"/>
                        </w:rPr>
                        <w:t xml:space="preserve"> </w:t>
                      </w:r>
                      <w:r w:rsidRPr="00F977F7">
                        <w:rPr>
                          <w:rFonts w:cs="Calibri"/>
                          <w:b/>
                        </w:rPr>
                        <w:t>PLAN</w:t>
                      </w:r>
                      <w:r w:rsidRPr="00F977F7">
                        <w:rPr>
                          <w:rFonts w:cs="Calibri"/>
                          <w:b/>
                          <w:spacing w:val="-4"/>
                        </w:rPr>
                        <w:t xml:space="preserve"> </w:t>
                      </w:r>
                      <w:r w:rsidRPr="00F977F7">
                        <w:rPr>
                          <w:rFonts w:cs="Calibri"/>
                          <w:b/>
                        </w:rPr>
                        <w:t>DE</w:t>
                      </w:r>
                      <w:r w:rsidRPr="00F977F7">
                        <w:rPr>
                          <w:rFonts w:cs="Calibri"/>
                          <w:b/>
                          <w:spacing w:val="-1"/>
                        </w:rPr>
                        <w:t xml:space="preserve"> </w:t>
                      </w:r>
                      <w:r w:rsidRPr="00F977F7">
                        <w:rPr>
                          <w:rFonts w:cs="Calibri"/>
                          <w:b/>
                        </w:rPr>
                        <w:t>CAPACITACIÓN</w:t>
                      </w:r>
                      <w:r w:rsidRPr="00F977F7">
                        <w:rPr>
                          <w:rFonts w:cs="Calibri"/>
                          <w:b/>
                          <w:spacing w:val="-4"/>
                        </w:rPr>
                        <w:t xml:space="preserve"> </w:t>
                      </w:r>
                      <w:r w:rsidRPr="00F977F7">
                        <w:rPr>
                          <w:rFonts w:cs="Calibri"/>
                          <w:b/>
                        </w:rPr>
                        <w:t>DOCENTE</w:t>
                      </w:r>
                    </w:p>
                  </w:txbxContent>
                </v:textbox>
                <w10:wrap anchorx="margin"/>
              </v:shape>
            </w:pict>
          </mc:Fallback>
        </mc:AlternateContent>
      </w:r>
    </w:p>
    <w:p w14:paraId="66230D3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9BFCBFA" w14:textId="77777777" w:rsidR="00F977F7" w:rsidRPr="00F977F7" w:rsidRDefault="00F977F7" w:rsidP="4C9C2619">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color w:val="0070C0"/>
          <w:kern w:val="0"/>
          <w:lang w:val="es-ES" w:eastAsia="es-CR"/>
          <w14:ligatures w14:val="none"/>
        </w:rPr>
      </w:pPr>
      <w:r w:rsidRPr="4C9C2619">
        <w:rPr>
          <w:rFonts w:ascii="Calibri" w:eastAsia="Times New Roman" w:hAnsi="Calibri" w:cs="Arial"/>
          <w:color w:val="0070C0"/>
          <w:kern w:val="0"/>
          <w:lang w:val="es-ES" w:eastAsia="es-CR"/>
          <w14:ligatures w14:val="none"/>
        </w:rPr>
        <w:t>Con la elaboración de un perfil y plan de capacitación docente se ensayará la identificación de las áreas de conocimiento que son importantes para la formación de las personas que se desempeñan como docentes en un programa de educación cristiana. Se elabora en la sesión 13 y tiene un valor de 7,5%.</w:t>
      </w:r>
    </w:p>
    <w:p w14:paraId="7E01287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D7A0D4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62432" behindDoc="0" locked="0" layoutInCell="1" allowOverlap="1" wp14:anchorId="1433067C" wp14:editId="048C81B1">
            <wp:simplePos x="0" y="0"/>
            <wp:positionH relativeFrom="column">
              <wp:posOffset>981075</wp:posOffset>
            </wp:positionH>
            <wp:positionV relativeFrom="paragraph">
              <wp:posOffset>77153</wp:posOffset>
            </wp:positionV>
            <wp:extent cx="7181088" cy="5358384"/>
            <wp:effectExtent l="0" t="0" r="1270" b="0"/>
            <wp:wrapNone/>
            <wp:docPr id="991301364" name="Imagen 1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01364" name="Imagen 13" descr="Tabla&#10;&#10;Descripción generada automáticamente"/>
                    <pic:cNvPicPr/>
                  </pic:nvPicPr>
                  <pic:blipFill>
                    <a:blip r:embed="rId444"/>
                    <a:stretch>
                      <a:fillRect/>
                    </a:stretch>
                  </pic:blipFill>
                  <pic:spPr>
                    <a:xfrm>
                      <a:off x="0" y="0"/>
                      <a:ext cx="7181088" cy="5358384"/>
                    </a:xfrm>
                    <a:prstGeom prst="rect">
                      <a:avLst/>
                    </a:prstGeom>
                  </pic:spPr>
                </pic:pic>
              </a:graphicData>
            </a:graphic>
          </wp:anchor>
        </w:drawing>
      </w:r>
    </w:p>
    <w:p w14:paraId="1E5B877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86824E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E5BF7B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93A62B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FE92A3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F0675C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5E1F4D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879CA5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3556D4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F4D799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A3E25A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D37D11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15DFDA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DD8F1B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6BEEC7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581DD3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210F80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007E4F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9E8531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0C97FE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D3C071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2E8350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14802B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63456" behindDoc="0" locked="0" layoutInCell="1" allowOverlap="1" wp14:anchorId="1D581116" wp14:editId="56942BCB">
            <wp:simplePos x="0" y="0"/>
            <wp:positionH relativeFrom="column">
              <wp:posOffset>390525</wp:posOffset>
            </wp:positionH>
            <wp:positionV relativeFrom="paragraph">
              <wp:posOffset>76835</wp:posOffset>
            </wp:positionV>
            <wp:extent cx="8363712" cy="2133600"/>
            <wp:effectExtent l="0" t="0" r="0" b="0"/>
            <wp:wrapNone/>
            <wp:docPr id="280181660" name="Imagen 14"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81660" name="Imagen 14" descr="Gráfico&#10;&#10;Descripción generada automáticamente"/>
                    <pic:cNvPicPr/>
                  </pic:nvPicPr>
                  <pic:blipFill>
                    <a:blip r:embed="rId445"/>
                    <a:stretch>
                      <a:fillRect/>
                    </a:stretch>
                  </pic:blipFill>
                  <pic:spPr>
                    <a:xfrm>
                      <a:off x="0" y="0"/>
                      <a:ext cx="8363712" cy="2133600"/>
                    </a:xfrm>
                    <a:prstGeom prst="rect">
                      <a:avLst/>
                    </a:prstGeom>
                  </pic:spPr>
                </pic:pic>
              </a:graphicData>
            </a:graphic>
          </wp:anchor>
        </w:drawing>
      </w:r>
    </w:p>
    <w:p w14:paraId="429C51B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1F888C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6A49D7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43A20F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50FBE2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7FEEC3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9B97C4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BE0CE3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A54C0F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07BB68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515F0A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5BDCC1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D4BB2F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C1DD6C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FC5150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6C3FEF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81817C7" w14:textId="77777777" w:rsid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EB23928" w14:textId="77777777" w:rsidR="003F255B" w:rsidRDefault="003F255B"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2CABE65" w14:textId="77777777" w:rsidR="003F255B" w:rsidRDefault="003F255B"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597843F" w14:textId="77777777" w:rsidR="003F255B" w:rsidRPr="00F977F7" w:rsidRDefault="003F255B"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F54F7E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9B7EF4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06348D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BEE35F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ADFF2B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64480" behindDoc="0" locked="0" layoutInCell="1" allowOverlap="1" wp14:anchorId="0D60EA6F" wp14:editId="5A0E5613">
                <wp:simplePos x="0" y="0"/>
                <wp:positionH relativeFrom="margin">
                  <wp:align>center</wp:align>
                </wp:positionH>
                <wp:positionV relativeFrom="paragraph">
                  <wp:posOffset>5715</wp:posOffset>
                </wp:positionV>
                <wp:extent cx="7376160" cy="329565"/>
                <wp:effectExtent l="0" t="0" r="15240" b="13335"/>
                <wp:wrapNone/>
                <wp:docPr id="597472988" name="Cuadro de texto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6160" cy="329565"/>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EB60091" w14:textId="77777777" w:rsidR="00F977F7" w:rsidRPr="00F977F7" w:rsidRDefault="00F977F7" w:rsidP="00F977F7">
                            <w:pPr>
                              <w:spacing w:before="75"/>
                              <w:ind w:left="1707" w:right="1708"/>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BORRADORES</w:t>
                            </w:r>
                            <w:r w:rsidRPr="00F977F7">
                              <w:rPr>
                                <w:rFonts w:cs="Calibri"/>
                                <w:b/>
                                <w:spacing w:val="-2"/>
                              </w:rPr>
                              <w:t xml:space="preserve"> </w:t>
                            </w:r>
                            <w:r w:rsidRPr="00F977F7">
                              <w:rPr>
                                <w:rFonts w:cs="Calibri"/>
                                <w:b/>
                              </w:rPr>
                              <w:t>DEL MANUAL</w:t>
                            </w:r>
                            <w:r w:rsidRPr="00F977F7">
                              <w:rPr>
                                <w:rFonts w:cs="Calibri"/>
                                <w:b/>
                                <w:spacing w:val="-4"/>
                              </w:rPr>
                              <w:t xml:space="preserve"> </w:t>
                            </w:r>
                            <w:r w:rsidRPr="00F977F7">
                              <w:rPr>
                                <w:rFonts w:cs="Calibri"/>
                                <w:b/>
                              </w:rPr>
                              <w:t>DE</w:t>
                            </w:r>
                            <w:r w:rsidRPr="00F977F7">
                              <w:rPr>
                                <w:rFonts w:cs="Calibri"/>
                                <w:b/>
                                <w:spacing w:val="-6"/>
                              </w:rPr>
                              <w:t xml:space="preserve"> </w:t>
                            </w:r>
                            <w:r w:rsidRPr="00F977F7">
                              <w:rPr>
                                <w:rFonts w:cs="Calibri"/>
                                <w:b/>
                              </w:rPr>
                              <w:t>EDUCACIÓN</w:t>
                            </w:r>
                            <w:r w:rsidRPr="00F977F7">
                              <w:rPr>
                                <w:rFonts w:cs="Calibri"/>
                                <w:b/>
                                <w:spacing w:val="-4"/>
                              </w:rPr>
                              <w:t xml:space="preserve"> </w:t>
                            </w:r>
                            <w:r w:rsidRPr="00F977F7">
                              <w:rPr>
                                <w:rFonts w:cs="Calibri"/>
                                <w:b/>
                              </w:rPr>
                              <w:t>CRISTIANA</w:t>
                            </w:r>
                          </w:p>
                        </w:txbxContent>
                      </wps:txbx>
                      <wps:bodyPr rot="0" vert="horz" wrap="square" lIns="0" tIns="0" rIns="0" bIns="0" anchor="t" anchorCtr="0" upright="1">
                        <a:noAutofit/>
                      </wps:bodyPr>
                    </wps:wsp>
                  </a:graphicData>
                </a:graphic>
              </wp:anchor>
            </w:drawing>
          </mc:Choice>
          <mc:Fallback>
            <w:pict>
              <v:shape w14:anchorId="0D60EA6F" id="Cuadro de texto 15" o:spid="_x0000_s1223" type="#_x0000_t202" style="position:absolute;left:0;text-align:left;margin-left:0;margin-top:.45pt;width:580.8pt;height:25.95pt;z-index:252564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" filled="f" strokeweight=".72pt">
                <v:textbox inset="0,0,0,0">
                  <w:txbxContent>
                    <w:p w14:paraId="4EB60091" w14:textId="77777777" w:rsidR="00F977F7" w:rsidRPr="00F977F7" w:rsidRDefault="00F977F7" w:rsidP="00F977F7">
                      <w:pPr>
                        <w:spacing w:before="75"/>
                        <w:ind w:left="1707" w:right="1708"/>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6"/>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3"/>
                        </w:rPr>
                        <w:t xml:space="preserve"> </w:t>
                      </w:r>
                      <w:r w:rsidRPr="00F977F7">
                        <w:rPr>
                          <w:rFonts w:cs="Calibri"/>
                          <w:b/>
                        </w:rPr>
                        <w:t>BORRADORES</w:t>
                      </w:r>
                      <w:r w:rsidRPr="00F977F7">
                        <w:rPr>
                          <w:rFonts w:cs="Calibri"/>
                          <w:b/>
                          <w:spacing w:val="-2"/>
                        </w:rPr>
                        <w:t xml:space="preserve"> </w:t>
                      </w:r>
                      <w:r w:rsidRPr="00F977F7">
                        <w:rPr>
                          <w:rFonts w:cs="Calibri"/>
                          <w:b/>
                        </w:rPr>
                        <w:t>DEL MANUAL</w:t>
                      </w:r>
                      <w:r w:rsidRPr="00F977F7">
                        <w:rPr>
                          <w:rFonts w:cs="Calibri"/>
                          <w:b/>
                          <w:spacing w:val="-4"/>
                        </w:rPr>
                        <w:t xml:space="preserve"> </w:t>
                      </w:r>
                      <w:r w:rsidRPr="00F977F7">
                        <w:rPr>
                          <w:rFonts w:cs="Calibri"/>
                          <w:b/>
                        </w:rPr>
                        <w:t>DE</w:t>
                      </w:r>
                      <w:r w:rsidRPr="00F977F7">
                        <w:rPr>
                          <w:rFonts w:cs="Calibri"/>
                          <w:b/>
                          <w:spacing w:val="-6"/>
                        </w:rPr>
                        <w:t xml:space="preserve"> </w:t>
                      </w:r>
                      <w:r w:rsidRPr="00F977F7">
                        <w:rPr>
                          <w:rFonts w:cs="Calibri"/>
                          <w:b/>
                        </w:rPr>
                        <w:t>EDUCACIÓN</w:t>
                      </w:r>
                      <w:r w:rsidRPr="00F977F7">
                        <w:rPr>
                          <w:rFonts w:cs="Calibri"/>
                          <w:b/>
                          <w:spacing w:val="-4"/>
                        </w:rPr>
                        <w:t xml:space="preserve"> </w:t>
                      </w:r>
                      <w:r w:rsidRPr="00F977F7">
                        <w:rPr>
                          <w:rFonts w:cs="Calibri"/>
                          <w:b/>
                        </w:rPr>
                        <w:t>CRISTIANA</w:t>
                      </w:r>
                    </w:p>
                  </w:txbxContent>
                </v:textbox>
                <w10:wrap anchorx="margin"/>
              </v:shape>
            </w:pict>
          </mc:Fallback>
        </mc:AlternateContent>
      </w:r>
    </w:p>
    <w:p w14:paraId="4C6FDF5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AD85D5A" w14:textId="77777777" w:rsidR="00F977F7" w:rsidRPr="00F977F7" w:rsidRDefault="00F977F7" w:rsidP="4C9C2619">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color w:val="000000"/>
          <w:kern w:val="0"/>
          <w:lang w:val="es-ES" w:eastAsia="es-CR"/>
          <w14:ligatures w14:val="none"/>
        </w:rPr>
      </w:pPr>
      <w:r w:rsidRPr="4C9C2619">
        <w:rPr>
          <w:rFonts w:ascii="Calibri" w:eastAsia="Times New Roman" w:hAnsi="Calibri" w:cs="Arial"/>
          <w:color w:val="0070C0"/>
          <w:kern w:val="0"/>
          <w:lang w:val="es-ES" w:eastAsia="es-CR"/>
          <w14:ligatures w14:val="none"/>
        </w:rPr>
        <w:t xml:space="preserve">El manual de educación cristiana es el trabajo final del curso que recoge los insumos de todo el proceso de aprendizaje. Se presentan 4 borradores progresivos en las sesiones  4, 8, 10 y 14 que se evalúan según la rúbrica que sigue.  </w:t>
      </w:r>
    </w:p>
    <w:p w14:paraId="598247D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65504" behindDoc="0" locked="0" layoutInCell="1" allowOverlap="1" wp14:anchorId="7309081E" wp14:editId="3C895259">
            <wp:simplePos x="0" y="0"/>
            <wp:positionH relativeFrom="column">
              <wp:posOffset>428625</wp:posOffset>
            </wp:positionH>
            <wp:positionV relativeFrom="paragraph">
              <wp:posOffset>74295</wp:posOffset>
            </wp:positionV>
            <wp:extent cx="8284464" cy="4626864"/>
            <wp:effectExtent l="0" t="0" r="2540" b="2540"/>
            <wp:wrapNone/>
            <wp:docPr id="753401658" name="Imagen 1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401658" name="Imagen 16" descr="Tabla&#10;&#10;Descripción generada automáticamente"/>
                    <pic:cNvPicPr/>
                  </pic:nvPicPr>
                  <pic:blipFill>
                    <a:blip r:embed="rId446"/>
                    <a:stretch>
                      <a:fillRect/>
                    </a:stretch>
                  </pic:blipFill>
                  <pic:spPr>
                    <a:xfrm>
                      <a:off x="0" y="0"/>
                      <a:ext cx="8284464" cy="4626864"/>
                    </a:xfrm>
                    <a:prstGeom prst="rect">
                      <a:avLst/>
                    </a:prstGeom>
                  </pic:spPr>
                </pic:pic>
              </a:graphicData>
            </a:graphic>
          </wp:anchor>
        </w:drawing>
      </w:r>
    </w:p>
    <w:p w14:paraId="760B16F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27BDD7D"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4ECD84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D31194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FA335D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35682A2"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8DE336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F67CDB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C4CB02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50E1EC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9C0BAD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1CCF3E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EB5629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F94493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6C9DEA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970A46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1610D7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34E719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3685BC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596153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9B7FD9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287C52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24FFCF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66528" behindDoc="0" locked="0" layoutInCell="1" allowOverlap="1" wp14:anchorId="7B28E616" wp14:editId="6B0FDE50">
                <wp:simplePos x="0" y="0"/>
                <wp:positionH relativeFrom="margin">
                  <wp:align>center</wp:align>
                </wp:positionH>
                <wp:positionV relativeFrom="paragraph">
                  <wp:posOffset>1905</wp:posOffset>
                </wp:positionV>
                <wp:extent cx="7595870" cy="360045"/>
                <wp:effectExtent l="0" t="0" r="24130" b="20955"/>
                <wp:wrapNone/>
                <wp:docPr id="46265426" name="Cuadro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95870" cy="36004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423D6E6" w14:textId="77777777" w:rsidR="00F977F7" w:rsidRPr="00F977F7" w:rsidRDefault="00F977F7" w:rsidP="00F977F7">
                            <w:pPr>
                              <w:spacing w:before="75"/>
                              <w:ind w:left="1814" w:right="1820"/>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5"/>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2"/>
                              </w:rPr>
                              <w:t xml:space="preserve"> </w:t>
                            </w:r>
                            <w:r w:rsidRPr="00F977F7">
                              <w:rPr>
                                <w:rFonts w:cs="Calibri"/>
                                <w:b/>
                              </w:rPr>
                              <w:t>VERSIÓN</w:t>
                            </w:r>
                            <w:r w:rsidRPr="00F977F7">
                              <w:rPr>
                                <w:rFonts w:cs="Calibri"/>
                                <w:b/>
                                <w:spacing w:val="-4"/>
                              </w:rPr>
                              <w:t xml:space="preserve"> </w:t>
                            </w:r>
                            <w:r w:rsidRPr="00F977F7">
                              <w:rPr>
                                <w:rFonts w:cs="Calibri"/>
                                <w:b/>
                              </w:rPr>
                              <w:t>FINAL</w:t>
                            </w:r>
                            <w:r w:rsidRPr="00F977F7">
                              <w:rPr>
                                <w:rFonts w:cs="Calibri"/>
                                <w:b/>
                                <w:spacing w:val="-4"/>
                              </w:rPr>
                              <w:t xml:space="preserve"> </w:t>
                            </w:r>
                            <w:r w:rsidRPr="00F977F7">
                              <w:rPr>
                                <w:rFonts w:cs="Calibri"/>
                                <w:b/>
                              </w:rPr>
                              <w:t>DEL</w:t>
                            </w:r>
                            <w:r w:rsidRPr="00F977F7">
                              <w:rPr>
                                <w:rFonts w:cs="Calibri"/>
                                <w:b/>
                                <w:spacing w:val="-4"/>
                              </w:rPr>
                              <w:t xml:space="preserve"> </w:t>
                            </w:r>
                            <w:r w:rsidRPr="00F977F7">
                              <w:rPr>
                                <w:rFonts w:cs="Calibri"/>
                                <w:b/>
                              </w:rPr>
                              <w:t>MANUAL</w:t>
                            </w:r>
                            <w:r w:rsidRPr="00F977F7">
                              <w:rPr>
                                <w:rFonts w:cs="Calibri"/>
                                <w:b/>
                                <w:spacing w:val="-5"/>
                              </w:rPr>
                              <w:t xml:space="preserve"> </w:t>
                            </w:r>
                            <w:r w:rsidRPr="00F977F7">
                              <w:rPr>
                                <w:rFonts w:cs="Calibri"/>
                                <w:b/>
                              </w:rPr>
                              <w:t>DE</w:t>
                            </w:r>
                            <w:r w:rsidRPr="00F977F7">
                              <w:rPr>
                                <w:rFonts w:cs="Calibri"/>
                                <w:b/>
                                <w:spacing w:val="-5"/>
                              </w:rPr>
                              <w:t xml:space="preserve"> </w:t>
                            </w:r>
                            <w:r w:rsidRPr="00F977F7">
                              <w:rPr>
                                <w:rFonts w:cs="Calibri"/>
                                <w:b/>
                              </w:rPr>
                              <w:t>EDUCACIÓN</w:t>
                            </w:r>
                            <w:r w:rsidRPr="00F977F7">
                              <w:rPr>
                                <w:rFonts w:cs="Calibri"/>
                                <w:b/>
                                <w:spacing w:val="-3"/>
                              </w:rPr>
                              <w:t xml:space="preserve"> </w:t>
                            </w:r>
                            <w:r w:rsidRPr="00F977F7">
                              <w:rPr>
                                <w:rFonts w:cs="Calibri"/>
                                <w:b/>
                              </w:rPr>
                              <w:t>CRISTIANA</w:t>
                            </w:r>
                          </w:p>
                        </w:txbxContent>
                      </wps:txbx>
                      <wps:bodyPr rot="0" vert="horz" wrap="square" lIns="0" tIns="0" rIns="0" bIns="0" anchor="t" anchorCtr="0" upright="1">
                        <a:noAutofit/>
                      </wps:bodyPr>
                    </wps:wsp>
                  </a:graphicData>
                </a:graphic>
              </wp:anchor>
            </w:drawing>
          </mc:Choice>
          <mc:Fallback>
            <w:pict>
              <v:shape w14:anchorId="7B28E616" id="Cuadro de texto 17" o:spid="_x0000_s1224" type="#_x0000_t202" style="position:absolute;left:0;text-align:left;margin-left:0;margin-top:.15pt;width:598.1pt;height:28.35pt;z-index:2525665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" filled="f" strokeweight=".72pt">
                <v:textbox inset="0,0,0,0">
                  <w:txbxContent>
                    <w:p w14:paraId="4423D6E6" w14:textId="77777777" w:rsidR="00F977F7" w:rsidRPr="00F977F7" w:rsidRDefault="00F977F7" w:rsidP="00F977F7">
                      <w:pPr>
                        <w:spacing w:before="75"/>
                        <w:ind w:left="1814" w:right="1820"/>
                        <w:jc w:val="center"/>
                        <w:rPr>
                          <w:rFonts w:cs="Calibri"/>
                          <w:b/>
                        </w:rPr>
                      </w:pPr>
                      <w:r w:rsidRPr="00F977F7">
                        <w:rPr>
                          <w:rFonts w:cs="Calibri"/>
                          <w:b/>
                        </w:rPr>
                        <w:t>ESCALA</w:t>
                      </w:r>
                      <w:r w:rsidRPr="00F977F7">
                        <w:rPr>
                          <w:rFonts w:cs="Calibri"/>
                          <w:b/>
                          <w:spacing w:val="-1"/>
                        </w:rPr>
                        <w:t xml:space="preserve"> </w:t>
                      </w:r>
                      <w:r w:rsidRPr="00F977F7">
                        <w:rPr>
                          <w:rFonts w:cs="Calibri"/>
                          <w:b/>
                        </w:rPr>
                        <w:t>DE</w:t>
                      </w:r>
                      <w:r w:rsidRPr="00F977F7">
                        <w:rPr>
                          <w:rFonts w:cs="Calibri"/>
                          <w:b/>
                          <w:spacing w:val="-5"/>
                        </w:rPr>
                        <w:t xml:space="preserve"> </w:t>
                      </w:r>
                      <w:r w:rsidRPr="00F977F7">
                        <w:rPr>
                          <w:rFonts w:cs="Calibri"/>
                          <w:b/>
                        </w:rPr>
                        <w:t>EVALUACIÓN</w:t>
                      </w:r>
                      <w:r w:rsidRPr="00F977F7">
                        <w:rPr>
                          <w:rFonts w:cs="Calibri"/>
                          <w:b/>
                          <w:spacing w:val="-1"/>
                        </w:rPr>
                        <w:t xml:space="preserve"> </w:t>
                      </w:r>
                      <w:r w:rsidRPr="00F977F7">
                        <w:rPr>
                          <w:rFonts w:cs="Calibri"/>
                          <w:b/>
                        </w:rPr>
                        <w:t>–</w:t>
                      </w:r>
                      <w:r w:rsidRPr="00F977F7">
                        <w:rPr>
                          <w:rFonts w:cs="Calibri"/>
                          <w:b/>
                          <w:spacing w:val="-2"/>
                        </w:rPr>
                        <w:t xml:space="preserve"> </w:t>
                      </w:r>
                      <w:r w:rsidRPr="00F977F7">
                        <w:rPr>
                          <w:rFonts w:cs="Calibri"/>
                          <w:b/>
                        </w:rPr>
                        <w:t>VERSIÓN</w:t>
                      </w:r>
                      <w:r w:rsidRPr="00F977F7">
                        <w:rPr>
                          <w:rFonts w:cs="Calibri"/>
                          <w:b/>
                          <w:spacing w:val="-4"/>
                        </w:rPr>
                        <w:t xml:space="preserve"> </w:t>
                      </w:r>
                      <w:r w:rsidRPr="00F977F7">
                        <w:rPr>
                          <w:rFonts w:cs="Calibri"/>
                          <w:b/>
                        </w:rPr>
                        <w:t>FINAL</w:t>
                      </w:r>
                      <w:r w:rsidRPr="00F977F7">
                        <w:rPr>
                          <w:rFonts w:cs="Calibri"/>
                          <w:b/>
                          <w:spacing w:val="-4"/>
                        </w:rPr>
                        <w:t xml:space="preserve"> </w:t>
                      </w:r>
                      <w:r w:rsidRPr="00F977F7">
                        <w:rPr>
                          <w:rFonts w:cs="Calibri"/>
                          <w:b/>
                        </w:rPr>
                        <w:t>DEL</w:t>
                      </w:r>
                      <w:r w:rsidRPr="00F977F7">
                        <w:rPr>
                          <w:rFonts w:cs="Calibri"/>
                          <w:b/>
                          <w:spacing w:val="-4"/>
                        </w:rPr>
                        <w:t xml:space="preserve"> </w:t>
                      </w:r>
                      <w:r w:rsidRPr="00F977F7">
                        <w:rPr>
                          <w:rFonts w:cs="Calibri"/>
                          <w:b/>
                        </w:rPr>
                        <w:t>MANUAL</w:t>
                      </w:r>
                      <w:r w:rsidRPr="00F977F7">
                        <w:rPr>
                          <w:rFonts w:cs="Calibri"/>
                          <w:b/>
                          <w:spacing w:val="-5"/>
                        </w:rPr>
                        <w:t xml:space="preserve"> </w:t>
                      </w:r>
                      <w:r w:rsidRPr="00F977F7">
                        <w:rPr>
                          <w:rFonts w:cs="Calibri"/>
                          <w:b/>
                        </w:rPr>
                        <w:t>DE</w:t>
                      </w:r>
                      <w:r w:rsidRPr="00F977F7">
                        <w:rPr>
                          <w:rFonts w:cs="Calibri"/>
                          <w:b/>
                          <w:spacing w:val="-5"/>
                        </w:rPr>
                        <w:t xml:space="preserve"> </w:t>
                      </w:r>
                      <w:r w:rsidRPr="00F977F7">
                        <w:rPr>
                          <w:rFonts w:cs="Calibri"/>
                          <w:b/>
                        </w:rPr>
                        <w:t>EDUCACIÓN</w:t>
                      </w:r>
                      <w:r w:rsidRPr="00F977F7">
                        <w:rPr>
                          <w:rFonts w:cs="Calibri"/>
                          <w:b/>
                          <w:spacing w:val="-3"/>
                        </w:rPr>
                        <w:t xml:space="preserve"> </w:t>
                      </w:r>
                      <w:r w:rsidRPr="00F977F7">
                        <w:rPr>
                          <w:rFonts w:cs="Calibri"/>
                          <w:b/>
                        </w:rPr>
                        <w:t>CRISTIANA</w:t>
                      </w:r>
                    </w:p>
                  </w:txbxContent>
                </v:textbox>
                <w10:wrap anchorx="margin"/>
              </v:shape>
            </w:pict>
          </mc:Fallback>
        </mc:AlternateContent>
      </w:r>
    </w:p>
    <w:p w14:paraId="71A9511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4D85CA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70C0"/>
          <w:kern w:val="0"/>
          <w:lang w:val="es-ES_tradnl" w:eastAsia="es-CR"/>
          <w14:ligatures w14:val="none"/>
        </w:rPr>
      </w:pPr>
      <w:r w:rsidRPr="00F977F7">
        <w:rPr>
          <w:rFonts w:ascii="Calibri" w:eastAsia="Times New Roman" w:hAnsi="Calibri" w:cs="Arial"/>
          <w:bCs/>
          <w:color w:val="0070C0"/>
          <w:kern w:val="0"/>
          <w:lang w:val="es-ES_tradnl" w:eastAsia="es-CR"/>
          <w14:ligatures w14:val="none"/>
        </w:rPr>
        <w:t xml:space="preserve">El manual desarrollado entre la sesión 4 y 14 se entrega en su versión final en la sesión 15. Tiene un valor de 10% y se evalúa según esta escala. </w:t>
      </w:r>
    </w:p>
    <w:p w14:paraId="4B676E0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anchor distT="0" distB="0" distL="114300" distR="114300" simplePos="0" relativeHeight="252567552" behindDoc="0" locked="0" layoutInCell="1" allowOverlap="1" wp14:anchorId="5AD09ADF" wp14:editId="0FD247F0">
            <wp:simplePos x="0" y="0"/>
            <wp:positionH relativeFrom="margin">
              <wp:align>center</wp:align>
            </wp:positionH>
            <wp:positionV relativeFrom="paragraph">
              <wp:posOffset>203518</wp:posOffset>
            </wp:positionV>
            <wp:extent cx="7193280" cy="5029200"/>
            <wp:effectExtent l="0" t="0" r="7620" b="0"/>
            <wp:wrapNone/>
            <wp:docPr id="868768894" name="Imagen 1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68894" name="Imagen 18" descr="A screenshot of a computer screen&#10;&#10;Description automatically generated"/>
                    <pic:cNvPicPr/>
                  </pic:nvPicPr>
                  <pic:blipFill>
                    <a:blip r:embed="rId447"/>
                    <a:stretch>
                      <a:fillRect/>
                    </a:stretch>
                  </pic:blipFill>
                  <pic:spPr>
                    <a:xfrm>
                      <a:off x="0" y="0"/>
                      <a:ext cx="7193280" cy="5029200"/>
                    </a:xfrm>
                    <a:prstGeom prst="rect">
                      <a:avLst/>
                    </a:prstGeom>
                  </pic:spPr>
                </pic:pic>
              </a:graphicData>
            </a:graphic>
          </wp:anchor>
        </w:drawing>
      </w:r>
    </w:p>
    <w:p w14:paraId="59F3CF17"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95C7E1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C5D54C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38A20D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51AF47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621EFB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EF73CF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DE9B91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A6FD6D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F92DF2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088F46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115D83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E15392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F3E98B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F7453A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CBA24F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C28851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7985FB0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3FCF0B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9AAC7E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7C32688"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4AA0BCB"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A93432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E8462A0"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r w:rsidRPr="00F977F7">
        <w:rPr>
          <w:rFonts w:ascii="Calibri" w:eastAsia="Times New Roman" w:hAnsi="Calibri" w:cs="Arial"/>
          <w:bCs/>
          <w:noProof/>
          <w:color w:val="000000"/>
          <w:kern w:val="0"/>
          <w:lang w:val="es-ES_tradnl" w:eastAsia="es-CR"/>
          <w14:ligatures w14:val="none"/>
        </w:rPr>
        <w:drawing>
          <wp:inline distT="0" distB="0" distL="0" distR="0" wp14:anchorId="111E7D62" wp14:editId="59BCDF1C">
            <wp:extent cx="8394192" cy="2139696"/>
            <wp:effectExtent l="0" t="0" r="6985" b="0"/>
            <wp:docPr id="1417548731" name="Imagen 19" descr="Gráfico, Gráfico de cajas y bigo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548731" name="Imagen 19" descr="Gráfico, Gráfico de cajas y bigotes&#10;&#10;Descripción generada automáticamente"/>
                    <pic:cNvPicPr/>
                  </pic:nvPicPr>
                  <pic:blipFill>
                    <a:blip r:embed="rId448"/>
                    <a:stretch>
                      <a:fillRect/>
                    </a:stretch>
                  </pic:blipFill>
                  <pic:spPr>
                    <a:xfrm>
                      <a:off x="0" y="0"/>
                      <a:ext cx="8394192" cy="2139696"/>
                    </a:xfrm>
                    <a:prstGeom prst="rect">
                      <a:avLst/>
                    </a:prstGeom>
                  </pic:spPr>
                </pic:pic>
              </a:graphicData>
            </a:graphic>
          </wp:inline>
        </w:drawing>
      </w:r>
    </w:p>
    <w:p w14:paraId="07C848B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99ACEA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2F7AB2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26DA4A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35257F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905422C"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9C8689A"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2861B4E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4765333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106BB60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F320E1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0E537E5F"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3423B936"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59851705"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Cs/>
          <w:color w:val="000000"/>
          <w:kern w:val="0"/>
          <w:lang w:val="es-ES_tradnl" w:eastAsia="es-CR"/>
          <w14:ligatures w14:val="none"/>
        </w:rPr>
      </w:pPr>
    </w:p>
    <w:p w14:paraId="61D102D1"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center"/>
        <w:rPr>
          <w:rFonts w:ascii="Calibri" w:eastAsia="Times New Roman" w:hAnsi="Calibri" w:cs="Arial"/>
          <w:b/>
          <w:color w:val="000000"/>
          <w:kern w:val="0"/>
          <w:lang w:val="es-ES_tradnl" w:eastAsia="es-CR"/>
          <w14:ligatures w14:val="none"/>
        </w:rPr>
      </w:pPr>
    </w:p>
    <w:p w14:paraId="2A65EA43"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br w:type="page"/>
      </w:r>
    </w:p>
    <w:p w14:paraId="22D8DA1E"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
          <w:color w:val="000000"/>
          <w:kern w:val="0"/>
          <w:lang w:val="es-ES_tradnl" w:eastAsia="es-CR"/>
          <w14:ligatures w14:val="none"/>
        </w:rPr>
        <w:sectPr w:rsidR="00F977F7" w:rsidRPr="00F977F7" w:rsidSect="005C1895">
          <w:pgSz w:w="15840" w:h="12240" w:orient="landscape"/>
          <w:pgMar w:top="720" w:right="720" w:bottom="720" w:left="720" w:header="709" w:footer="709" w:gutter="0"/>
          <w:pgNumType w:start="395"/>
          <w:cols w:space="708"/>
          <w:docGrid w:linePitch="360"/>
        </w:sectPr>
      </w:pPr>
    </w:p>
    <w:p w14:paraId="74347934"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F977F7">
        <w:rPr>
          <w:rFonts w:ascii="Calibri" w:eastAsia="Times New Roman" w:hAnsi="Calibri" w:cs="Arial"/>
          <w:b/>
          <w:color w:val="000000"/>
          <w:kern w:val="0"/>
          <w:lang w:val="es-ES_tradnl" w:eastAsia="es-CR"/>
          <w14:ligatures w14:val="none"/>
        </w:rPr>
        <w:lastRenderedPageBreak/>
        <w:t>XI. Bibliografía obligatoria</w:t>
      </w:r>
    </w:p>
    <w:p w14:paraId="1C1AA499" w14:textId="77777777" w:rsidR="00F977F7" w:rsidRPr="00F977F7" w:rsidRDefault="00F977F7" w:rsidP="00F977F7">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F977F7">
        <w:rPr>
          <w:rFonts w:ascii="Calibri" w:eastAsia="Times New Roman" w:hAnsi="Calibri" w:cs="Arial"/>
          <w:b/>
          <w:color w:val="000000"/>
          <w:kern w:val="0"/>
          <w:lang w:eastAsia="es-CR"/>
          <w14:ligatures w14:val="none"/>
        </w:rPr>
        <w:t>Nota:</w:t>
      </w:r>
      <w:r w:rsidRPr="00F977F7">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F977F7">
        <w:rPr>
          <w:rFonts w:ascii="Calibri" w:eastAsia="Times New Roman" w:hAnsi="Calibri" w:cs="Arial"/>
          <w:bCs/>
          <w:color w:val="000000"/>
          <w:kern w:val="0"/>
          <w:lang w:eastAsia="es-CR"/>
          <w14:ligatures w14:val="none"/>
        </w:rPr>
        <w:t>pdf</w:t>
      </w:r>
      <w:proofErr w:type="spellEnd"/>
      <w:r w:rsidRPr="00F977F7">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452939DA"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Erikson, Erik. </w:t>
      </w:r>
      <w:r w:rsidRPr="4C9C2619">
        <w:rPr>
          <w:rFonts w:ascii="Calibri" w:eastAsia="Times New Roman" w:hAnsi="Calibri" w:cs="Calibri"/>
          <w:i/>
          <w:iCs/>
          <w:kern w:val="0"/>
          <w:lang w:val="es-ES" w:eastAsia="es-CR"/>
          <w14:ligatures w14:val="none"/>
        </w:rPr>
        <w:t xml:space="preserve">Infancia y sociedad, </w:t>
      </w:r>
      <w:r w:rsidRPr="4C9C2619">
        <w:rPr>
          <w:rFonts w:ascii="Calibri" w:eastAsia="Times New Roman" w:hAnsi="Calibri" w:cs="Calibri"/>
          <w:kern w:val="0"/>
          <w:lang w:val="es-ES" w:eastAsia="es-CR"/>
          <w14:ligatures w14:val="none"/>
        </w:rPr>
        <w:t xml:space="preserve">traducción de Noemí </w:t>
      </w:r>
      <w:proofErr w:type="spellStart"/>
      <w:r w:rsidRPr="4C9C2619">
        <w:rPr>
          <w:rFonts w:ascii="Calibri" w:eastAsia="Times New Roman" w:hAnsi="Calibri" w:cs="Calibri"/>
          <w:kern w:val="0"/>
          <w:lang w:val="es-ES" w:eastAsia="es-CR"/>
          <w14:ligatures w14:val="none"/>
        </w:rPr>
        <w:t>Rosemblatt</w:t>
      </w:r>
      <w:proofErr w:type="spellEnd"/>
      <w:r w:rsidRPr="4C9C2619">
        <w:rPr>
          <w:rFonts w:ascii="Calibri" w:eastAsia="Times New Roman" w:hAnsi="Calibri" w:cs="Calibri"/>
          <w:kern w:val="0"/>
          <w:lang w:val="es-ES" w:eastAsia="es-CR"/>
          <w14:ligatures w14:val="none"/>
        </w:rPr>
        <w:t>. Buenos Aires: Hormé, 2008. (</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kern w:val="0"/>
          <w:lang w:val="es-ES" w:eastAsia="es-CR"/>
          <w14:ligatures w14:val="none"/>
        </w:rPr>
        <w:t xml:space="preserve"> última edición)</w:t>
      </w:r>
    </w:p>
    <w:p w14:paraId="599D49D8"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Floristán</w:t>
      </w:r>
      <w:proofErr w:type="spellEnd"/>
      <w:r w:rsidRPr="4C9C2619">
        <w:rPr>
          <w:rFonts w:ascii="Calibri" w:eastAsia="Times New Roman" w:hAnsi="Calibri" w:cs="Calibri"/>
          <w:kern w:val="0"/>
          <w:lang w:val="es-ES" w:eastAsia="es-CR"/>
          <w14:ligatures w14:val="none"/>
        </w:rPr>
        <w:t xml:space="preserve">, Casiano. </w:t>
      </w:r>
      <w:r w:rsidRPr="4C9C2619">
        <w:rPr>
          <w:rFonts w:ascii="Calibri" w:eastAsia="Times New Roman" w:hAnsi="Calibri" w:cs="Calibri"/>
          <w:i/>
          <w:iCs/>
          <w:kern w:val="0"/>
          <w:lang w:val="es-ES" w:eastAsia="es-CR"/>
          <w14:ligatures w14:val="none"/>
        </w:rPr>
        <w:t xml:space="preserve">Teología Práctica. Teoría y praxis de la acción pastoral. </w:t>
      </w:r>
      <w:r w:rsidRPr="4C9C2619">
        <w:rPr>
          <w:rFonts w:ascii="Calibri" w:eastAsia="Times New Roman" w:hAnsi="Calibri" w:cs="Calibri"/>
          <w:kern w:val="0"/>
          <w:lang w:val="es-ES" w:eastAsia="es-CR"/>
          <w14:ligatures w14:val="none"/>
        </w:rPr>
        <w:t>Salamanca: Sígueme, 1993. (Clásico, última reimpresión, 2009)</w:t>
      </w:r>
    </w:p>
    <w:p w14:paraId="0226C1A8"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_tradnl" w:eastAsia="es-CR"/>
          <w14:ligatures w14:val="none"/>
        </w:rPr>
      </w:pPr>
      <w:r w:rsidRPr="00F977F7">
        <w:rPr>
          <w:rFonts w:ascii="Calibri" w:eastAsia="Times New Roman" w:hAnsi="Calibri" w:cs="Calibri"/>
          <w:kern w:val="0"/>
          <w:lang w:val="es-ES_tradnl" w:eastAsia="es-CR"/>
          <w14:ligatures w14:val="none"/>
        </w:rPr>
        <w:t xml:space="preserve">Freire, Paulo. </w:t>
      </w:r>
      <w:r w:rsidRPr="00F977F7">
        <w:rPr>
          <w:rFonts w:ascii="Calibri" w:eastAsia="Times New Roman" w:hAnsi="Calibri" w:cs="Calibri"/>
          <w:i/>
          <w:kern w:val="0"/>
          <w:lang w:val="es-ES_tradnl" w:eastAsia="es-CR"/>
          <w14:ligatures w14:val="none"/>
        </w:rPr>
        <w:t xml:space="preserve">Pedagogía del oprimido. </w:t>
      </w:r>
      <w:r w:rsidRPr="00F977F7">
        <w:rPr>
          <w:rFonts w:ascii="Calibri" w:eastAsia="Times New Roman" w:hAnsi="Calibri" w:cs="Calibri"/>
          <w:kern w:val="0"/>
          <w:lang w:val="es-ES_tradnl" w:eastAsia="es-CR"/>
          <w14:ligatures w14:val="none"/>
        </w:rPr>
        <w:t>Montevideo: Siglo Veintiuno, 1980. (Clásico, última reimpresión, 2012)</w:t>
      </w:r>
    </w:p>
    <w:p w14:paraId="23E009DF"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color w:val="222222"/>
          <w:kern w:val="0"/>
          <w:shd w:val="clear" w:color="auto" w:fill="FFFFFF"/>
          <w:lang w:val="es-ES_tradnl" w:eastAsia="es-CR"/>
          <w14:ligatures w14:val="none"/>
        </w:rPr>
      </w:pPr>
      <w:r w:rsidRPr="00F977F7">
        <w:rPr>
          <w:rFonts w:ascii="Calibri" w:eastAsia="Times New Roman" w:hAnsi="Calibri" w:cs="Calibri"/>
          <w:color w:val="222222"/>
          <w:kern w:val="0"/>
          <w:shd w:val="clear" w:color="auto" w:fill="FFFFFF"/>
          <w:lang w:val="es-ES_tradnl" w:eastAsia="es-CR"/>
          <w14:ligatures w14:val="none"/>
        </w:rPr>
        <w:t>Galindo, Israel. Capítulos del 24 al 28 de "El arte de la enseñanza cristiana"</w:t>
      </w:r>
      <w:r w:rsidRPr="00F977F7">
        <w:rPr>
          <w:rFonts w:ascii="Calibri" w:eastAsia="Times New Roman" w:hAnsi="Calibri" w:cs="Calibri"/>
          <w:i/>
          <w:iCs/>
          <w:color w:val="222222"/>
          <w:kern w:val="0"/>
          <w:shd w:val="clear" w:color="auto" w:fill="FFFFFF"/>
          <w:lang w:val="es-ES_tradnl" w:eastAsia="es-CR"/>
          <w14:ligatures w14:val="none"/>
        </w:rPr>
        <w:t>. </w:t>
      </w:r>
      <w:r w:rsidRPr="00F977F7">
        <w:rPr>
          <w:rFonts w:ascii="Calibri" w:eastAsia="Times New Roman" w:hAnsi="Calibri" w:cs="Calibri"/>
          <w:color w:val="222222"/>
          <w:kern w:val="0"/>
          <w:shd w:val="clear" w:color="auto" w:fill="FFFFFF"/>
          <w:lang w:val="es-ES_tradnl" w:eastAsia="es-CR"/>
          <w14:ligatures w14:val="none"/>
        </w:rPr>
        <w:t>En </w:t>
      </w:r>
      <w:r w:rsidRPr="00F977F7">
        <w:rPr>
          <w:rFonts w:ascii="Calibri" w:eastAsia="Times New Roman" w:hAnsi="Calibri" w:cs="Calibri"/>
          <w:i/>
          <w:iCs/>
          <w:color w:val="222222"/>
          <w:kern w:val="0"/>
          <w:shd w:val="clear" w:color="auto" w:fill="FFFFFF"/>
          <w:lang w:val="es-ES_tradnl" w:eastAsia="es-CR"/>
          <w14:ligatures w14:val="none"/>
        </w:rPr>
        <w:t>Módulo Introducción a la Educación Cristiana</w:t>
      </w:r>
      <w:r w:rsidRPr="00F977F7">
        <w:rPr>
          <w:rFonts w:ascii="Calibri" w:eastAsia="Times New Roman" w:hAnsi="Calibri" w:cs="Calibri"/>
          <w:color w:val="222222"/>
          <w:kern w:val="0"/>
          <w:shd w:val="clear" w:color="auto" w:fill="FFFFFF"/>
          <w:lang w:val="es-ES_tradnl" w:eastAsia="es-CR"/>
          <w14:ligatures w14:val="none"/>
        </w:rPr>
        <w:t xml:space="preserve">, compilado por Ruth Mooney, 297-311. San José, Costa Rica: Editorial SEBILA, 2010. </w:t>
      </w:r>
      <w:r w:rsidRPr="00F977F7">
        <w:rPr>
          <w:rFonts w:ascii="Calibri" w:eastAsia="Times New Roman" w:hAnsi="Calibri" w:cs="Calibri"/>
          <w:kern w:val="0"/>
          <w:lang w:val="es-ES_tradnl" w:eastAsia="es-CR"/>
          <w14:ligatures w14:val="none"/>
        </w:rPr>
        <w:t>(</w:t>
      </w:r>
      <w:r w:rsidRPr="00F977F7">
        <w:rPr>
          <w:rFonts w:ascii="Calibri" w:eastAsia="Times New Roman" w:hAnsi="Calibri" w:cs="Calibri"/>
          <w:color w:val="0070C0"/>
          <w:kern w:val="0"/>
          <w:lang w:val="es-ES_tradnl" w:eastAsia="es-CR"/>
          <w14:ligatures w14:val="none"/>
        </w:rPr>
        <w:t xml:space="preserve">clásico, </w:t>
      </w:r>
      <w:r w:rsidRPr="00F977F7">
        <w:rPr>
          <w:rFonts w:ascii="Calibri" w:eastAsia="Times New Roman" w:hAnsi="Calibri" w:cs="Calibri"/>
          <w:kern w:val="0"/>
          <w:lang w:val="es-ES_tradnl" w:eastAsia="es-CR"/>
          <w14:ligatures w14:val="none"/>
        </w:rPr>
        <w:t>última edición)</w:t>
      </w:r>
    </w:p>
    <w:p w14:paraId="64E7808F"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_tradnl" w:eastAsia="es-CR"/>
          <w14:ligatures w14:val="none"/>
        </w:rPr>
      </w:pPr>
      <w:r w:rsidRPr="00F977F7">
        <w:rPr>
          <w:rFonts w:ascii="Calibri" w:eastAsia="Times New Roman" w:hAnsi="Calibri" w:cs="Calibri"/>
          <w:color w:val="222222"/>
          <w:kern w:val="0"/>
          <w:shd w:val="clear" w:color="auto" w:fill="FFFFFF"/>
          <w:lang w:val="es-ES_tradnl" w:eastAsia="es-CR"/>
          <w14:ligatures w14:val="none"/>
        </w:rPr>
        <w:t>Galindo, Israel. “El Arte de Hacer Buenas Preguntas”. En </w:t>
      </w:r>
      <w:r w:rsidRPr="00F977F7">
        <w:rPr>
          <w:rFonts w:ascii="Calibri" w:eastAsia="Times New Roman" w:hAnsi="Calibri" w:cs="Calibri"/>
          <w:i/>
          <w:iCs/>
          <w:color w:val="222222"/>
          <w:kern w:val="0"/>
          <w:shd w:val="clear" w:color="auto" w:fill="FFFFFF"/>
          <w:lang w:val="es-ES_tradnl" w:eastAsia="es-CR"/>
          <w14:ligatures w14:val="none"/>
        </w:rPr>
        <w:t>Módulo Introducción a la Educación Cristiana</w:t>
      </w:r>
      <w:r w:rsidRPr="00F977F7">
        <w:rPr>
          <w:rFonts w:ascii="Calibri" w:eastAsia="Times New Roman" w:hAnsi="Calibri" w:cs="Calibri"/>
          <w:color w:val="222222"/>
          <w:kern w:val="0"/>
          <w:shd w:val="clear" w:color="auto" w:fill="FFFFFF"/>
          <w:lang w:val="es-ES_tradnl" w:eastAsia="es-CR"/>
          <w14:ligatures w14:val="none"/>
        </w:rPr>
        <w:t xml:space="preserve">, compilado por Ruth Mooney, 346-348. San José, Costa Rica: Editorial SEBILA, 2010. </w:t>
      </w:r>
      <w:r w:rsidRPr="00F977F7">
        <w:rPr>
          <w:rFonts w:ascii="Calibri" w:eastAsia="Times New Roman" w:hAnsi="Calibri" w:cs="Calibri"/>
          <w:kern w:val="0"/>
          <w:lang w:val="es-ES_tradnl" w:eastAsia="es-CR"/>
          <w14:ligatures w14:val="none"/>
        </w:rPr>
        <w:t>(</w:t>
      </w:r>
      <w:r w:rsidRPr="00F977F7">
        <w:rPr>
          <w:rFonts w:ascii="Calibri" w:eastAsia="Times New Roman" w:hAnsi="Calibri" w:cs="Calibri"/>
          <w:color w:val="0070C0"/>
          <w:kern w:val="0"/>
          <w:lang w:val="es-ES_tradnl" w:eastAsia="es-CR"/>
          <w14:ligatures w14:val="none"/>
        </w:rPr>
        <w:t xml:space="preserve">clásico, </w:t>
      </w:r>
      <w:r w:rsidRPr="00F977F7">
        <w:rPr>
          <w:rFonts w:ascii="Calibri" w:eastAsia="Times New Roman" w:hAnsi="Calibri" w:cs="Calibri"/>
          <w:kern w:val="0"/>
          <w:lang w:val="es-ES_tradnl" w:eastAsia="es-CR"/>
          <w14:ligatures w14:val="none"/>
        </w:rPr>
        <w:t>última edición)</w:t>
      </w:r>
      <w:r w:rsidRPr="00F977F7">
        <w:rPr>
          <w:rFonts w:ascii="Calibri" w:eastAsia="Times New Roman" w:hAnsi="Calibri" w:cs="Calibri"/>
          <w:color w:val="222222"/>
          <w:kern w:val="0"/>
          <w:shd w:val="clear" w:color="auto" w:fill="FFFFFF"/>
          <w:lang w:val="es-ES_tradnl" w:eastAsia="es-CR"/>
          <w14:ligatures w14:val="none"/>
        </w:rPr>
        <w:t> </w:t>
      </w:r>
    </w:p>
    <w:p w14:paraId="203BE8E9"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George, </w:t>
      </w:r>
      <w:proofErr w:type="spellStart"/>
      <w:r w:rsidRPr="4C9C2619">
        <w:rPr>
          <w:rFonts w:ascii="Calibri" w:eastAsia="Times New Roman" w:hAnsi="Calibri" w:cs="Calibri"/>
          <w:kern w:val="0"/>
          <w:lang w:val="es-ES" w:eastAsia="es-CR"/>
          <w14:ligatures w14:val="none"/>
        </w:rPr>
        <w:t>Sherron</w:t>
      </w:r>
      <w:proofErr w:type="spellEnd"/>
      <w:r w:rsidRPr="4C9C2619">
        <w:rPr>
          <w:rFonts w:ascii="Calibri" w:eastAsia="Times New Roman" w:hAnsi="Calibri" w:cs="Calibri"/>
          <w:kern w:val="0"/>
          <w:lang w:val="es-ES" w:eastAsia="es-CR"/>
          <w14:ligatures w14:val="none"/>
        </w:rPr>
        <w:t xml:space="preserve">. </w:t>
      </w:r>
      <w:r w:rsidRPr="4C9C2619">
        <w:rPr>
          <w:rFonts w:ascii="Calibri" w:eastAsia="Times New Roman" w:hAnsi="Calibri" w:cs="Calibri"/>
          <w:i/>
          <w:iCs/>
          <w:kern w:val="0"/>
          <w:lang w:val="es-ES" w:eastAsia="es-CR"/>
          <w14:ligatures w14:val="none"/>
        </w:rPr>
        <w:t xml:space="preserve">La Iglesia que educa: fundamentos bíblico-teológicos y pedagógicos de la educación cristiana. </w:t>
      </w:r>
      <w:r w:rsidRPr="4C9C2619">
        <w:rPr>
          <w:rFonts w:ascii="Calibri" w:eastAsia="Times New Roman" w:hAnsi="Calibri" w:cs="Calibri"/>
          <w:kern w:val="0"/>
          <w:lang w:val="es-ES" w:eastAsia="es-CR"/>
          <w14:ligatures w14:val="none"/>
        </w:rPr>
        <w:t>Quito: CLAI, 2005. (</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kern w:val="0"/>
          <w:lang w:val="es-ES" w:eastAsia="es-CR"/>
          <w14:ligatures w14:val="none"/>
        </w:rPr>
        <w:t>última edición)</w:t>
      </w:r>
    </w:p>
    <w:p w14:paraId="3562E8E5"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_tradnl" w:eastAsia="es-CR"/>
          <w14:ligatures w14:val="none"/>
        </w:rPr>
      </w:pPr>
      <w:r w:rsidRPr="00F977F7">
        <w:rPr>
          <w:rFonts w:ascii="Calibri" w:eastAsia="Times New Roman" w:hAnsi="Calibri" w:cs="Calibri"/>
          <w:kern w:val="0"/>
          <w:lang w:val="es-ES_tradnl" w:eastAsia="es-CR"/>
          <w14:ligatures w14:val="none"/>
        </w:rPr>
        <w:t xml:space="preserve">Jiménez, Pablo. </w:t>
      </w:r>
      <w:r w:rsidRPr="00F977F7">
        <w:rPr>
          <w:rFonts w:ascii="Calibri" w:eastAsia="Times New Roman" w:hAnsi="Calibri" w:cs="Calibri"/>
          <w:i/>
          <w:kern w:val="0"/>
          <w:lang w:val="es-ES_tradnl" w:eastAsia="es-CR"/>
          <w14:ligatures w14:val="none"/>
        </w:rPr>
        <w:t xml:space="preserve">Principios de educación cristiana. </w:t>
      </w:r>
      <w:r w:rsidRPr="00F977F7">
        <w:rPr>
          <w:rFonts w:ascii="Calibri" w:eastAsia="Times New Roman" w:hAnsi="Calibri" w:cs="Calibri"/>
          <w:kern w:val="0"/>
          <w:lang w:val="es-ES_tradnl" w:eastAsia="es-CR"/>
          <w14:ligatures w14:val="none"/>
        </w:rPr>
        <w:t>Nashville: Abingdon, 2003. (</w:t>
      </w:r>
      <w:r w:rsidRPr="00F977F7">
        <w:rPr>
          <w:rFonts w:ascii="Calibri" w:eastAsia="Times New Roman" w:hAnsi="Calibri" w:cs="Calibri"/>
          <w:color w:val="0070C0"/>
          <w:kern w:val="0"/>
          <w:lang w:val="es-ES_tradnl" w:eastAsia="es-CR"/>
          <w14:ligatures w14:val="none"/>
        </w:rPr>
        <w:t xml:space="preserve">clásico, </w:t>
      </w:r>
      <w:r w:rsidRPr="00F977F7">
        <w:rPr>
          <w:rFonts w:ascii="Calibri" w:eastAsia="Times New Roman" w:hAnsi="Calibri" w:cs="Calibri"/>
          <w:kern w:val="0"/>
          <w:lang w:val="es-ES_tradnl" w:eastAsia="es-CR"/>
          <w14:ligatures w14:val="none"/>
        </w:rPr>
        <w:t xml:space="preserve">última edición) </w:t>
      </w:r>
    </w:p>
    <w:p w14:paraId="2E8D6026"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Leme </w:t>
      </w:r>
      <w:proofErr w:type="spellStart"/>
      <w:r w:rsidRPr="4C9C2619">
        <w:rPr>
          <w:rFonts w:ascii="Calibri" w:eastAsia="Times New Roman" w:hAnsi="Calibri" w:cs="Calibri"/>
          <w:kern w:val="0"/>
          <w:lang w:val="es-ES" w:eastAsia="es-CR"/>
          <w14:ligatures w14:val="none"/>
        </w:rPr>
        <w:t>Garcez</w:t>
      </w:r>
      <w:proofErr w:type="spellEnd"/>
      <w:r w:rsidRPr="4C9C2619">
        <w:rPr>
          <w:rFonts w:ascii="Calibri" w:eastAsia="Times New Roman" w:hAnsi="Calibri" w:cs="Calibri"/>
          <w:kern w:val="0"/>
          <w:lang w:val="es-ES" w:eastAsia="es-CR"/>
          <w14:ligatures w14:val="none"/>
        </w:rPr>
        <w:t xml:space="preserve">, María Cecilia, et. al. “Aportes pedagógicos”. En </w:t>
      </w:r>
      <w:r w:rsidRPr="4C9C2619">
        <w:rPr>
          <w:rFonts w:ascii="Calibri" w:eastAsia="Times New Roman" w:hAnsi="Calibri" w:cs="Calibri"/>
          <w:i/>
          <w:iCs/>
          <w:kern w:val="0"/>
          <w:lang w:val="es-ES" w:eastAsia="es-CR"/>
          <w14:ligatures w14:val="none"/>
        </w:rPr>
        <w:t>Educación religiosa en América Latina y el Caribe: Reflexiones y voces plurales para caminos pedagógicos interculturales</w:t>
      </w:r>
      <w:r w:rsidRPr="4C9C2619">
        <w:rPr>
          <w:rFonts w:ascii="Calibri" w:eastAsia="Times New Roman" w:hAnsi="Calibri" w:cs="Calibri"/>
          <w:kern w:val="0"/>
          <w:lang w:val="es-ES" w:eastAsia="es-CR"/>
          <w14:ligatures w14:val="none"/>
        </w:rPr>
        <w:t xml:space="preserve">, compilado por José Mario Méndez </w:t>
      </w:r>
      <w:proofErr w:type="spellStart"/>
      <w:r w:rsidRPr="4C9C2619">
        <w:rPr>
          <w:rFonts w:ascii="Calibri" w:eastAsia="Times New Roman" w:hAnsi="Calibri" w:cs="Calibri"/>
          <w:kern w:val="0"/>
          <w:lang w:val="es-ES" w:eastAsia="es-CR"/>
          <w14:ligatures w14:val="none"/>
        </w:rPr>
        <w:t>Méndez</w:t>
      </w:r>
      <w:proofErr w:type="spellEnd"/>
      <w:r w:rsidRPr="4C9C2619">
        <w:rPr>
          <w:rFonts w:ascii="Calibri" w:eastAsia="Times New Roman" w:hAnsi="Calibri" w:cs="Calibri"/>
          <w:kern w:val="0"/>
          <w:lang w:val="es-ES" w:eastAsia="es-CR"/>
          <w14:ligatures w14:val="none"/>
        </w:rPr>
        <w:t xml:space="preserve">, 499-535. San José, Costa Rica: SEBILA, 2023. Acceso el 27 de agosto de 2023. </w:t>
      </w:r>
      <w:hyperlink r:id="rId449" w:history="1">
        <w:r w:rsidRPr="4C9C2619">
          <w:rPr>
            <w:rFonts w:ascii="Calibri" w:eastAsia="Times New Roman" w:hAnsi="Calibri" w:cs="Calibri"/>
            <w:color w:val="0563C1"/>
            <w:kern w:val="0"/>
            <w:u w:val="single"/>
            <w:lang w:val="es-ES" w:eastAsia="es-CR"/>
            <w14:ligatures w14:val="none"/>
          </w:rPr>
          <w:t>https://repositorio.una.ac.cr/bitstream/handle/11056/26080/Educacion_religiosa.pdf?sequence=1&amp;isAllowed=y</w:t>
        </w:r>
      </w:hyperlink>
      <w:r w:rsidRPr="4C9C2619">
        <w:rPr>
          <w:rFonts w:ascii="Calibri" w:eastAsia="Times New Roman" w:hAnsi="Calibri" w:cs="Calibri"/>
          <w:kern w:val="0"/>
          <w:lang w:val="es-ES" w:eastAsia="es-CR"/>
          <w14:ligatures w14:val="none"/>
        </w:rPr>
        <w:t xml:space="preserve">  </w:t>
      </w:r>
    </w:p>
    <w:p w14:paraId="00AE6C2C"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lang w:val="es-ES" w:eastAsia="es-CR"/>
          <w14:ligatures w14:val="none"/>
        </w:rPr>
        <w:t xml:space="preserve">Mujica Johnson, Felipe Nicolás. </w:t>
      </w:r>
      <w:r w:rsidRPr="4C9C2619">
        <w:rPr>
          <w:rFonts w:ascii="Calibri" w:eastAsia="Times New Roman" w:hAnsi="Calibri" w:cs="Calibri"/>
          <w:i/>
          <w:iCs/>
          <w:kern w:val="0"/>
          <w:lang w:val="es-ES" w:eastAsia="es-CR"/>
          <w14:ligatures w14:val="none"/>
        </w:rPr>
        <w:t>Educación ética basada en el amor: El valor moral de las emociones</w:t>
      </w:r>
      <w:r w:rsidRPr="4C9C2619">
        <w:rPr>
          <w:rFonts w:ascii="Calibri" w:eastAsia="Times New Roman" w:hAnsi="Calibri" w:cs="Calibri"/>
          <w:kern w:val="0"/>
          <w:lang w:val="es-ES" w:eastAsia="es-CR"/>
          <w14:ligatures w14:val="none"/>
        </w:rPr>
        <w:t xml:space="preserve">. </w:t>
      </w:r>
      <w:proofErr w:type="spellStart"/>
      <w:r w:rsidRPr="4C9C2619">
        <w:rPr>
          <w:rFonts w:ascii="Calibri" w:eastAsia="Times New Roman" w:hAnsi="Calibri" w:cs="Calibri"/>
          <w:kern w:val="0"/>
          <w:lang w:val="es-ES" w:eastAsia="es-CR"/>
          <w14:ligatures w14:val="none"/>
        </w:rPr>
        <w:t>Saarbrücken</w:t>
      </w:r>
      <w:proofErr w:type="spellEnd"/>
      <w:r w:rsidRPr="4C9C2619">
        <w:rPr>
          <w:rFonts w:ascii="Calibri" w:eastAsia="Times New Roman" w:hAnsi="Calibri" w:cs="Calibri"/>
          <w:kern w:val="0"/>
          <w:lang w:val="es-ES" w:eastAsia="es-CR"/>
          <w14:ligatures w14:val="none"/>
        </w:rPr>
        <w:t xml:space="preserve">: Editorial Académica Española, 2020. </w:t>
      </w:r>
    </w:p>
    <w:p w14:paraId="3E7889B5"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_tradnl" w:eastAsia="es-CR"/>
          <w14:ligatures w14:val="none"/>
        </w:rPr>
      </w:pPr>
      <w:r w:rsidRPr="00F977F7">
        <w:rPr>
          <w:rFonts w:ascii="Calibri" w:eastAsia="Times New Roman" w:hAnsi="Calibri" w:cs="Calibri"/>
          <w:kern w:val="0"/>
          <w:lang w:val="es-ES_tradnl" w:eastAsia="es-CR"/>
          <w14:ligatures w14:val="none"/>
        </w:rPr>
        <w:t xml:space="preserve">Mooney, Ruth. </w:t>
      </w:r>
      <w:r w:rsidRPr="00F977F7">
        <w:rPr>
          <w:rFonts w:ascii="Calibri" w:eastAsia="Times New Roman" w:hAnsi="Calibri" w:cs="Calibri"/>
          <w:i/>
          <w:kern w:val="0"/>
          <w:lang w:val="es-ES_tradnl" w:eastAsia="es-CR"/>
          <w14:ligatures w14:val="none"/>
        </w:rPr>
        <w:t xml:space="preserve">Manual para crear materiales de educación cristiana. </w:t>
      </w:r>
      <w:r w:rsidRPr="00F977F7">
        <w:rPr>
          <w:rFonts w:ascii="Calibri" w:eastAsia="Times New Roman" w:hAnsi="Calibri" w:cs="Calibri"/>
          <w:kern w:val="0"/>
          <w:lang w:val="es-ES_tradnl" w:eastAsia="es-CR"/>
          <w14:ligatures w14:val="none"/>
        </w:rPr>
        <w:t>Ontario: Pandora, 2001. (</w:t>
      </w:r>
      <w:r w:rsidRPr="00F977F7">
        <w:rPr>
          <w:rFonts w:ascii="Calibri" w:eastAsia="Times New Roman" w:hAnsi="Calibri" w:cs="Calibri"/>
          <w:color w:val="0070C0"/>
          <w:kern w:val="0"/>
          <w:lang w:val="es-ES_tradnl" w:eastAsia="es-CR"/>
          <w14:ligatures w14:val="none"/>
        </w:rPr>
        <w:t xml:space="preserve">clásico, </w:t>
      </w:r>
      <w:r w:rsidRPr="00F977F7">
        <w:rPr>
          <w:rFonts w:ascii="Calibri" w:eastAsia="Times New Roman" w:hAnsi="Calibri" w:cs="Calibri"/>
          <w:kern w:val="0"/>
          <w:lang w:val="es-ES_tradnl" w:eastAsia="es-CR"/>
          <w14:ligatures w14:val="none"/>
        </w:rPr>
        <w:t>última edición)</w:t>
      </w:r>
    </w:p>
    <w:p w14:paraId="3147C7A9" w14:textId="77777777" w:rsidR="00F977F7" w:rsidRPr="00F977F7" w:rsidRDefault="00F977F7" w:rsidP="4C9C2619">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lang w:val="es-ES" w:eastAsia="es-CR"/>
          <w14:ligatures w14:val="none"/>
        </w:rPr>
      </w:pPr>
      <w:r w:rsidRPr="4C9C2619">
        <w:rPr>
          <w:rFonts w:ascii="Calibri" w:eastAsia="Times New Roman" w:hAnsi="Calibri" w:cs="Calibri"/>
          <w:kern w:val="0"/>
          <w:shd w:val="clear" w:color="auto" w:fill="FFFFFF"/>
          <w:lang w:val="es-ES" w:eastAsia="es-CR"/>
          <w14:ligatures w14:val="none"/>
        </w:rPr>
        <w:t xml:space="preserve">Ordoñez </w:t>
      </w:r>
      <w:proofErr w:type="spellStart"/>
      <w:r w:rsidRPr="4C9C2619">
        <w:rPr>
          <w:rFonts w:ascii="Calibri" w:eastAsia="Times New Roman" w:hAnsi="Calibri" w:cs="Calibri"/>
          <w:kern w:val="0"/>
          <w:shd w:val="clear" w:color="auto" w:fill="FFFFFF"/>
          <w:lang w:val="es-ES" w:eastAsia="es-CR"/>
          <w14:ligatures w14:val="none"/>
        </w:rPr>
        <w:t>Peñalonzo</w:t>
      </w:r>
      <w:proofErr w:type="spellEnd"/>
      <w:r w:rsidRPr="4C9C2619">
        <w:rPr>
          <w:rFonts w:ascii="Calibri" w:eastAsia="Times New Roman" w:hAnsi="Calibri" w:cs="Calibri"/>
          <w:kern w:val="0"/>
          <w:shd w:val="clear" w:color="auto" w:fill="FFFFFF"/>
          <w:lang w:val="es-ES" w:eastAsia="es-CR"/>
          <w14:ligatures w14:val="none"/>
        </w:rPr>
        <w:t xml:space="preserve">, Jacinto. </w:t>
      </w:r>
      <w:r w:rsidRPr="4C9C2619">
        <w:rPr>
          <w:rFonts w:ascii="Calibri" w:eastAsia="Times New Roman" w:hAnsi="Calibri" w:cs="Calibri"/>
          <w:i/>
          <w:iCs/>
          <w:kern w:val="0"/>
          <w:shd w:val="clear" w:color="auto" w:fill="FFFFFF"/>
          <w:lang w:val="es-ES" w:eastAsia="es-CR"/>
          <w14:ligatures w14:val="none"/>
        </w:rPr>
        <w:t>Introducción a la Pedagogía</w:t>
      </w:r>
      <w:r w:rsidRPr="4C9C2619">
        <w:rPr>
          <w:rFonts w:ascii="Calibri" w:eastAsia="Times New Roman" w:hAnsi="Calibri" w:cs="Calibri"/>
          <w:kern w:val="0"/>
          <w:shd w:val="clear" w:color="auto" w:fill="FFFFFF"/>
          <w:lang w:val="es-ES" w:eastAsia="es-CR"/>
          <w14:ligatures w14:val="none"/>
        </w:rPr>
        <w:t xml:space="preserve">. San José, Costa Rica: EUNED, 2008. </w:t>
      </w:r>
      <w:r w:rsidRPr="4C9C2619">
        <w:rPr>
          <w:rFonts w:ascii="Calibri" w:eastAsia="Times New Roman" w:hAnsi="Calibri" w:cs="Calibri"/>
          <w:kern w:val="0"/>
          <w:lang w:val="es-ES" w:eastAsia="es-CR"/>
          <w14:ligatures w14:val="none"/>
        </w:rPr>
        <w:t>(</w:t>
      </w:r>
      <w:r w:rsidRPr="4C9C2619">
        <w:rPr>
          <w:rFonts w:ascii="Calibri" w:eastAsia="Times New Roman" w:hAnsi="Calibri" w:cs="Calibri"/>
          <w:color w:val="0070C0"/>
          <w:kern w:val="0"/>
          <w:lang w:val="es-ES" w:eastAsia="es-CR"/>
          <w14:ligatures w14:val="none"/>
        </w:rPr>
        <w:t xml:space="preserve">clásico, </w:t>
      </w:r>
      <w:r w:rsidRPr="4C9C2619">
        <w:rPr>
          <w:rFonts w:ascii="Calibri" w:eastAsia="Times New Roman" w:hAnsi="Calibri" w:cs="Calibri"/>
          <w:kern w:val="0"/>
          <w:lang w:val="es-ES" w:eastAsia="es-CR"/>
          <w14:ligatures w14:val="none"/>
        </w:rPr>
        <w:t>última edición)</w:t>
      </w:r>
    </w:p>
    <w:p w14:paraId="29C37AB5" w14:textId="77777777" w:rsidR="00F977F7" w:rsidRPr="00F977F7" w:rsidRDefault="00F977F7" w:rsidP="00F977F7">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shd w:val="clear" w:color="auto" w:fill="FFFFFF"/>
          <w:lang w:val="es-ES_tradnl" w:eastAsia="es-CR"/>
          <w14:ligatures w14:val="none"/>
        </w:rPr>
      </w:pPr>
      <w:r w:rsidRPr="00F977F7">
        <w:rPr>
          <w:rFonts w:ascii="Calibri" w:eastAsia="Times New Roman" w:hAnsi="Calibri" w:cs="Calibri"/>
          <w:kern w:val="0"/>
          <w:shd w:val="clear" w:color="auto" w:fill="FFFFFF"/>
          <w:lang w:val="es-ES_tradnl" w:eastAsia="es-CR"/>
          <w14:ligatures w14:val="none"/>
        </w:rPr>
        <w:t xml:space="preserve">Restrepo Carvajal, Jorge Emiro. </w:t>
      </w:r>
      <w:r w:rsidRPr="00F977F7">
        <w:rPr>
          <w:rFonts w:ascii="Calibri" w:eastAsia="Times New Roman" w:hAnsi="Calibri" w:cs="Calibri"/>
          <w:i/>
          <w:iCs/>
          <w:kern w:val="0"/>
          <w:shd w:val="clear" w:color="auto" w:fill="FFFFFF"/>
          <w:lang w:val="es-ES_tradnl" w:eastAsia="es-CR"/>
          <w14:ligatures w14:val="none"/>
        </w:rPr>
        <w:t>Desarrollo cognitivo: ecología cultural</w:t>
      </w:r>
      <w:r w:rsidRPr="00F977F7">
        <w:rPr>
          <w:rFonts w:ascii="Calibri" w:eastAsia="Times New Roman" w:hAnsi="Calibri" w:cs="Calibri"/>
          <w:kern w:val="0"/>
          <w:shd w:val="clear" w:color="auto" w:fill="FFFFFF"/>
          <w:lang w:val="es-ES_tradnl" w:eastAsia="es-CR"/>
          <w14:ligatures w14:val="none"/>
        </w:rPr>
        <w:t xml:space="preserve">. México: Manual Moderno, 2019. </w:t>
      </w:r>
    </w:p>
    <w:p w14:paraId="4B474333" w14:textId="77777777" w:rsidR="00F977F7" w:rsidRPr="00F977F7" w:rsidRDefault="00F977F7" w:rsidP="4C9C2619">
      <w:pPr>
        <w:widowControl w:val="0"/>
        <w:overflowPunct w:val="0"/>
        <w:autoSpaceDE w:val="0"/>
        <w:autoSpaceDN w:val="0"/>
        <w:adjustRightInd w:val="0"/>
        <w:spacing w:before="120" w:after="120" w:line="240" w:lineRule="auto"/>
        <w:ind w:left="709" w:hanging="709"/>
        <w:jc w:val="both"/>
        <w:rPr>
          <w:rFonts w:ascii="Calibri" w:eastAsia="Times New Roman" w:hAnsi="Calibri" w:cs="Calibri"/>
          <w:kern w:val="0"/>
          <w:lang w:val="es-ES" w:eastAsia="es-CR"/>
          <w14:ligatures w14:val="none"/>
        </w:rPr>
      </w:pPr>
      <w:proofErr w:type="spellStart"/>
      <w:r w:rsidRPr="4C9C2619">
        <w:rPr>
          <w:rFonts w:ascii="Calibri" w:eastAsia="Times New Roman" w:hAnsi="Calibri" w:cs="Calibri"/>
          <w:kern w:val="0"/>
          <w:lang w:val="es-ES" w:eastAsia="es-CR"/>
          <w14:ligatures w14:val="none"/>
        </w:rPr>
        <w:t>Schipani</w:t>
      </w:r>
      <w:proofErr w:type="spellEnd"/>
      <w:r w:rsidRPr="4C9C2619">
        <w:rPr>
          <w:rFonts w:ascii="Calibri" w:eastAsia="Times New Roman" w:hAnsi="Calibri" w:cs="Calibri"/>
          <w:kern w:val="0"/>
          <w:lang w:val="es-ES" w:eastAsia="es-CR"/>
          <w14:ligatures w14:val="none"/>
        </w:rPr>
        <w:t xml:space="preserve">, Daniel. </w:t>
      </w:r>
      <w:r w:rsidRPr="4C9C2619">
        <w:rPr>
          <w:rFonts w:ascii="Calibri" w:eastAsia="Times New Roman" w:hAnsi="Calibri" w:cs="Calibri"/>
          <w:i/>
          <w:iCs/>
          <w:kern w:val="0"/>
          <w:lang w:val="es-ES" w:eastAsia="es-CR"/>
          <w14:ligatures w14:val="none"/>
        </w:rPr>
        <w:t xml:space="preserve">El reino de Dios y el ministerio educativo de la iglesia. </w:t>
      </w:r>
      <w:r w:rsidRPr="4C9C2619">
        <w:rPr>
          <w:rFonts w:ascii="Calibri" w:eastAsia="Times New Roman" w:hAnsi="Calibri" w:cs="Calibri"/>
          <w:kern w:val="0"/>
          <w:lang w:val="es-ES" w:eastAsia="es-CR"/>
          <w14:ligatures w14:val="none"/>
        </w:rPr>
        <w:t xml:space="preserve">Miami: Caribe, 1983. (Clásico, </w:t>
      </w:r>
      <w:r w:rsidRPr="4C9C2619">
        <w:rPr>
          <w:rFonts w:ascii="Calibri" w:eastAsia="Times New Roman" w:hAnsi="Calibri" w:cs="Calibri"/>
          <w:color w:val="0070C0"/>
          <w:kern w:val="0"/>
          <w:lang w:val="es-ES" w:eastAsia="es-CR"/>
          <w14:ligatures w14:val="none"/>
        </w:rPr>
        <w:t>última edición</w:t>
      </w:r>
      <w:r w:rsidRPr="4C9C2619">
        <w:rPr>
          <w:rFonts w:ascii="Calibri" w:eastAsia="Times New Roman" w:hAnsi="Calibri" w:cs="Calibri"/>
          <w:kern w:val="0"/>
          <w:lang w:val="es-ES" w:eastAsia="es-CR"/>
          <w14:ligatures w14:val="none"/>
        </w:rPr>
        <w:t>)</w:t>
      </w:r>
    </w:p>
    <w:p w14:paraId="07E9E661" w14:textId="77777777" w:rsidR="00F977F7" w:rsidRPr="00F977F7" w:rsidRDefault="00F977F7" w:rsidP="4C9C2619">
      <w:pPr>
        <w:widowControl w:val="0"/>
        <w:tabs>
          <w:tab w:val="right" w:leader="dot" w:pos="8640"/>
        </w:tabs>
        <w:overflowPunct w:val="0"/>
        <w:autoSpaceDE w:val="0"/>
        <w:autoSpaceDN w:val="0"/>
        <w:adjustRightInd w:val="0"/>
        <w:spacing w:before="120" w:after="0" w:line="240" w:lineRule="auto"/>
        <w:jc w:val="both"/>
        <w:rPr>
          <w:rFonts w:ascii="Calibri" w:eastAsia="Times New Roman" w:hAnsi="Calibri" w:cs="Calibri"/>
          <w:color w:val="000000"/>
          <w:kern w:val="0"/>
          <w:sz w:val="20"/>
          <w:szCs w:val="20"/>
          <w:lang w:val="es-ES" w:eastAsia="es-CR"/>
          <w14:ligatures w14:val="none"/>
        </w:rPr>
      </w:pPr>
      <w:proofErr w:type="spellStart"/>
      <w:r w:rsidRPr="4C9C2619">
        <w:rPr>
          <w:rFonts w:ascii="Calibri" w:eastAsia="Times New Roman" w:hAnsi="Calibri" w:cs="Calibri"/>
          <w:kern w:val="0"/>
          <w:lang w:val="es-ES" w:eastAsia="es-CR"/>
          <w14:ligatures w14:val="none"/>
        </w:rPr>
        <w:t>Westerhoff</w:t>
      </w:r>
      <w:proofErr w:type="spellEnd"/>
      <w:r w:rsidRPr="4C9C2619">
        <w:rPr>
          <w:rFonts w:ascii="Calibri" w:eastAsia="Times New Roman" w:hAnsi="Calibri" w:cs="Calibri"/>
          <w:kern w:val="0"/>
          <w:lang w:val="es-ES" w:eastAsia="es-CR"/>
          <w14:ligatures w14:val="none"/>
        </w:rPr>
        <w:t xml:space="preserve">, John. </w:t>
      </w:r>
      <w:r w:rsidRPr="4C9C2619">
        <w:rPr>
          <w:rFonts w:ascii="Calibri" w:eastAsia="Times New Roman" w:hAnsi="Calibri" w:cs="Calibri"/>
          <w:i/>
          <w:iCs/>
          <w:kern w:val="0"/>
          <w:lang w:val="es-ES" w:eastAsia="es-CR"/>
          <w14:ligatures w14:val="none"/>
        </w:rPr>
        <w:t>¿Tendrán fe nuestros hijos?</w:t>
      </w:r>
      <w:r w:rsidRPr="4C9C2619">
        <w:rPr>
          <w:rFonts w:ascii="Calibri" w:eastAsia="Times New Roman" w:hAnsi="Calibri" w:cs="Calibri"/>
          <w:kern w:val="0"/>
          <w:lang w:val="es-ES" w:eastAsia="es-CR"/>
          <w14:ligatures w14:val="none"/>
        </w:rPr>
        <w:t xml:space="preserve"> Buenos Aires: Aurora, 1979. (Clásico, </w:t>
      </w:r>
      <w:r w:rsidRPr="4C9C2619">
        <w:rPr>
          <w:rFonts w:ascii="Calibri" w:eastAsia="Times New Roman" w:hAnsi="Calibri" w:cs="Calibri"/>
          <w:color w:val="0070C0"/>
          <w:kern w:val="0"/>
          <w:lang w:val="es-ES" w:eastAsia="es-CR"/>
          <w14:ligatures w14:val="none"/>
        </w:rPr>
        <w:t>última edición</w:t>
      </w:r>
      <w:r w:rsidRPr="4C9C2619">
        <w:rPr>
          <w:rFonts w:ascii="Calibri" w:eastAsia="Times New Roman" w:hAnsi="Calibri" w:cs="Calibri"/>
          <w:kern w:val="0"/>
          <w:lang w:val="es-ES" w:eastAsia="es-CR"/>
          <w14:ligatures w14:val="none"/>
        </w:rPr>
        <w:t>)</w:t>
      </w:r>
    </w:p>
    <w:p w14:paraId="3337CB77"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b/>
          <w:color w:val="222222"/>
          <w:kern w:val="0"/>
          <w:shd w:val="clear" w:color="auto" w:fill="FFFFFF"/>
          <w:lang w:val="es-ES_tradnl" w:eastAsia="es-CR"/>
          <w14:ligatures w14:val="none"/>
        </w:rPr>
      </w:pPr>
    </w:p>
    <w:p w14:paraId="7E855EDB"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b/>
          <w:color w:val="222222"/>
          <w:kern w:val="0"/>
          <w:shd w:val="clear" w:color="auto" w:fill="FFFFFF"/>
          <w:lang w:val="es-ES_tradnl" w:eastAsia="es-CR"/>
          <w14:ligatures w14:val="none"/>
        </w:rPr>
      </w:pPr>
    </w:p>
    <w:p w14:paraId="5D94F476"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b/>
          <w:color w:val="222222"/>
          <w:kern w:val="0"/>
          <w:shd w:val="clear" w:color="auto" w:fill="FFFFFF"/>
          <w:lang w:val="es-ES_tradnl" w:eastAsia="es-CR"/>
          <w14:ligatures w14:val="none"/>
        </w:rPr>
      </w:pPr>
    </w:p>
    <w:p w14:paraId="36734B47" w14:textId="77777777" w:rsidR="00F977F7" w:rsidRPr="00F977F7" w:rsidRDefault="00F977F7" w:rsidP="00F977F7">
      <w:pPr>
        <w:widowControl w:val="0"/>
        <w:overflowPunct w:val="0"/>
        <w:autoSpaceDE w:val="0"/>
        <w:autoSpaceDN w:val="0"/>
        <w:adjustRightInd w:val="0"/>
        <w:spacing w:before="120" w:after="120" w:line="240" w:lineRule="auto"/>
        <w:ind w:left="709" w:hanging="709"/>
        <w:jc w:val="both"/>
        <w:rPr>
          <w:rFonts w:ascii="Calibri" w:eastAsia="Times New Roman" w:hAnsi="Calibri" w:cs="Calibri"/>
          <w:color w:val="00B050"/>
          <w:kern w:val="0"/>
          <w:lang w:val="es-ES_tradnl" w:eastAsia="es-CR"/>
          <w14:ligatures w14:val="none"/>
        </w:rPr>
      </w:pPr>
      <w:r w:rsidRPr="00F977F7">
        <w:rPr>
          <w:rFonts w:ascii="Calibri" w:eastAsia="Times New Roman" w:hAnsi="Calibri" w:cs="Calibri"/>
          <w:b/>
          <w:color w:val="222222"/>
          <w:kern w:val="0"/>
          <w:shd w:val="clear" w:color="auto" w:fill="FFFFFF"/>
          <w:lang w:val="es-ES_tradnl" w:eastAsia="es-CR"/>
          <w14:ligatures w14:val="none"/>
        </w:rPr>
        <w:lastRenderedPageBreak/>
        <w:t>XII. Bibliografía complementaria</w:t>
      </w:r>
      <w:r w:rsidRPr="00F977F7">
        <w:rPr>
          <w:rFonts w:ascii="Calibri" w:eastAsia="Times New Roman" w:hAnsi="Calibri" w:cs="Calibri"/>
          <w:color w:val="00B050"/>
          <w:kern w:val="0"/>
          <w:lang w:val="es-ES_tradnl" w:eastAsia="es-CR"/>
          <w14:ligatures w14:val="none"/>
        </w:rPr>
        <w:t xml:space="preserve"> </w:t>
      </w:r>
    </w:p>
    <w:p w14:paraId="001BB8AA"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F977F7">
        <w:rPr>
          <w:rFonts w:ascii="Calibri" w:eastAsia="Times New Roman" w:hAnsi="Calibri" w:cs="Arial"/>
          <w:b/>
          <w:color w:val="000000"/>
          <w:kern w:val="0"/>
          <w:lang w:eastAsia="es-CR"/>
          <w14:ligatures w14:val="none"/>
        </w:rPr>
        <w:t>Nota:</w:t>
      </w:r>
      <w:r w:rsidRPr="00F977F7">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F977F7">
        <w:rPr>
          <w:rFonts w:ascii="Calibri" w:eastAsia="Times New Roman" w:hAnsi="Calibri" w:cs="Arial"/>
          <w:bCs/>
          <w:color w:val="000000"/>
          <w:kern w:val="0"/>
          <w:lang w:eastAsia="es-CR"/>
          <w14:ligatures w14:val="none"/>
        </w:rPr>
        <w:t>pdf</w:t>
      </w:r>
      <w:proofErr w:type="spellEnd"/>
      <w:r w:rsidRPr="00F977F7">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42880B61" w14:textId="77777777" w:rsidR="00F977F7" w:rsidRPr="00F977F7" w:rsidRDefault="00F977F7" w:rsidP="00F977F7">
      <w:pPr>
        <w:widowControl w:val="0"/>
        <w:overflowPunct w:val="0"/>
        <w:autoSpaceDE w:val="0"/>
        <w:autoSpaceDN w:val="0"/>
        <w:adjustRightInd w:val="0"/>
        <w:spacing w:after="0" w:line="240" w:lineRule="auto"/>
        <w:jc w:val="both"/>
        <w:rPr>
          <w:rFonts w:ascii="Calibri" w:eastAsia="Times New Roman" w:hAnsi="Calibri" w:cs="Arial"/>
          <w:bCs/>
          <w:color w:val="000000"/>
          <w:kern w:val="0"/>
          <w:lang w:eastAsia="es-CR"/>
          <w14:ligatures w14:val="none"/>
        </w:rPr>
      </w:pPr>
    </w:p>
    <w:p w14:paraId="782955DD" w14:textId="77777777" w:rsidR="00F977F7" w:rsidRPr="00F977F7" w:rsidRDefault="00F977F7" w:rsidP="4C9C2619">
      <w:pPr>
        <w:widowControl w:val="0"/>
        <w:overflowPunct w:val="0"/>
        <w:autoSpaceDE w:val="0"/>
        <w:autoSpaceDN w:val="0"/>
        <w:adjustRightInd w:val="0"/>
        <w:spacing w:before="120" w:after="120" w:line="276" w:lineRule="auto"/>
        <w:ind w:left="709" w:hanging="709"/>
        <w:jc w:val="both"/>
        <w:rPr>
          <w:rFonts w:ascii="Calibri" w:eastAsia="Times New Roman" w:hAnsi="Calibri" w:cs="Calibri"/>
          <w:kern w:val="0"/>
          <w:shd w:val="clear" w:color="auto" w:fill="FFFFFF"/>
          <w:lang w:val="es-ES" w:eastAsia="es-CR"/>
          <w14:ligatures w14:val="none"/>
        </w:rPr>
      </w:pPr>
      <w:r w:rsidRPr="4C9C2619">
        <w:rPr>
          <w:rFonts w:ascii="Calibri" w:eastAsia="Times New Roman" w:hAnsi="Calibri" w:cs="Calibri"/>
          <w:kern w:val="0"/>
          <w:shd w:val="clear" w:color="auto" w:fill="FFFFFF"/>
          <w:lang w:val="es-ES" w:eastAsia="es-CR"/>
          <w14:ligatures w14:val="none"/>
        </w:rPr>
        <w:t xml:space="preserve">Freire, Pablo. </w:t>
      </w:r>
      <w:r w:rsidRPr="4C9C2619">
        <w:rPr>
          <w:rFonts w:ascii="Calibri" w:eastAsia="Times New Roman" w:hAnsi="Calibri" w:cs="Calibri"/>
          <w:i/>
          <w:iCs/>
          <w:kern w:val="0"/>
          <w:shd w:val="clear" w:color="auto" w:fill="FFFFFF"/>
          <w:lang w:val="es-ES" w:eastAsia="es-CR"/>
          <w14:ligatures w14:val="none"/>
        </w:rPr>
        <w:t xml:space="preserve">Pedagogía de la autonomía. </w:t>
      </w:r>
      <w:r w:rsidRPr="4C9C2619">
        <w:rPr>
          <w:rFonts w:ascii="Calibri" w:eastAsia="Times New Roman" w:hAnsi="Calibri" w:cs="Calibri"/>
          <w:kern w:val="0"/>
          <w:shd w:val="clear" w:color="auto" w:fill="FFFFFF"/>
          <w:lang w:val="es-ES" w:eastAsia="es-CR"/>
          <w14:ligatures w14:val="none"/>
        </w:rPr>
        <w:t xml:space="preserve">México, D.F.: Siglo </w:t>
      </w:r>
      <w:proofErr w:type="spellStart"/>
      <w:r w:rsidRPr="4C9C2619">
        <w:rPr>
          <w:rFonts w:ascii="Calibri" w:eastAsia="Times New Roman" w:hAnsi="Calibri" w:cs="Calibri"/>
          <w:kern w:val="0"/>
          <w:shd w:val="clear" w:color="auto" w:fill="FFFFFF"/>
          <w:lang w:val="es-ES" w:eastAsia="es-CR"/>
          <w14:ligatures w14:val="none"/>
        </w:rPr>
        <w:t>Veintinuno</w:t>
      </w:r>
      <w:proofErr w:type="spellEnd"/>
      <w:r w:rsidRPr="4C9C2619">
        <w:rPr>
          <w:rFonts w:ascii="Calibri" w:eastAsia="Times New Roman" w:hAnsi="Calibri" w:cs="Calibri"/>
          <w:kern w:val="0"/>
          <w:shd w:val="clear" w:color="auto" w:fill="FFFFFF"/>
          <w:lang w:val="es-ES" w:eastAsia="es-CR"/>
          <w14:ligatures w14:val="none"/>
        </w:rPr>
        <w:t xml:space="preserve">, 1997. (Clásico, última reimpresión, 2017) </w:t>
      </w:r>
    </w:p>
    <w:p w14:paraId="64CFEE67" w14:textId="77777777" w:rsidR="00F977F7" w:rsidRPr="00F977F7" w:rsidRDefault="00F977F7" w:rsidP="4C9C2619">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B050"/>
          <w:kern w:val="0"/>
          <w:shd w:val="clear" w:color="auto" w:fill="FFFFFF"/>
          <w:lang w:val="es-ES" w:eastAsia="es-CR"/>
          <w14:ligatures w14:val="none"/>
        </w:rPr>
      </w:pPr>
      <w:r w:rsidRPr="4C9C2619">
        <w:rPr>
          <w:rFonts w:ascii="Calibri" w:eastAsia="Times New Roman" w:hAnsi="Calibri" w:cs="Calibri"/>
          <w:kern w:val="0"/>
          <w:shd w:val="clear" w:color="auto" w:fill="FFFFFF"/>
          <w:lang w:val="es-ES" w:eastAsia="es-CR"/>
          <w14:ligatures w14:val="none"/>
        </w:rPr>
        <w:t xml:space="preserve">Gallego, Jorge Iván. “Pedagogía crítica y educación no formal”. </w:t>
      </w:r>
      <w:proofErr w:type="spellStart"/>
      <w:r w:rsidRPr="4C9C2619">
        <w:rPr>
          <w:rFonts w:ascii="Calibri" w:eastAsia="Times New Roman" w:hAnsi="Calibri" w:cs="Calibri"/>
          <w:i/>
          <w:iCs/>
          <w:kern w:val="0"/>
          <w:shd w:val="clear" w:color="auto" w:fill="FFFFFF"/>
          <w:lang w:val="es-ES" w:eastAsia="es-CR"/>
          <w14:ligatures w14:val="none"/>
        </w:rPr>
        <w:t>Uni-Pluriversidad</w:t>
      </w:r>
      <w:proofErr w:type="spellEnd"/>
      <w:r w:rsidRPr="4C9C2619">
        <w:rPr>
          <w:rFonts w:ascii="Calibri" w:eastAsia="Times New Roman" w:hAnsi="Calibri" w:cs="Calibri"/>
          <w:i/>
          <w:iCs/>
          <w:kern w:val="0"/>
          <w:shd w:val="clear" w:color="auto" w:fill="FFFFFF"/>
          <w:lang w:val="es-ES" w:eastAsia="es-CR"/>
          <w14:ligatures w14:val="none"/>
        </w:rPr>
        <w:t xml:space="preserve"> </w:t>
      </w:r>
      <w:r w:rsidRPr="4C9C2619">
        <w:rPr>
          <w:rFonts w:ascii="Calibri" w:eastAsia="Times New Roman" w:hAnsi="Calibri" w:cs="Calibri"/>
          <w:kern w:val="0"/>
          <w:shd w:val="clear" w:color="auto" w:fill="FFFFFF"/>
          <w:lang w:val="es-ES" w:eastAsia="es-CR"/>
          <w14:ligatures w14:val="none"/>
        </w:rPr>
        <w:t xml:space="preserve">7, n. 2 (2007): 35-38. Acceso el 18 de diciembre de 2020. </w:t>
      </w:r>
      <w:hyperlink r:id="rId450" w:history="1">
        <w:r w:rsidRPr="4C9C2619">
          <w:rPr>
            <w:rFonts w:ascii="Calibri" w:eastAsia="Times New Roman" w:hAnsi="Calibri" w:cs="Calibri"/>
            <w:color w:val="0563C1"/>
            <w:kern w:val="0"/>
            <w:u w:val="single"/>
            <w:shd w:val="clear" w:color="auto" w:fill="FFFFFF"/>
            <w:lang w:val="es-ES" w:eastAsia="es-CR"/>
            <w14:ligatures w14:val="none"/>
          </w:rPr>
          <w:t>https://revistas.udea.edu.co/index.php/unip/article/view/11900</w:t>
        </w:r>
      </w:hyperlink>
      <w:r w:rsidRPr="4C9C2619">
        <w:rPr>
          <w:rFonts w:ascii="Calibri" w:eastAsia="Times New Roman" w:hAnsi="Calibri" w:cs="Calibri"/>
          <w:color w:val="00B050"/>
          <w:kern w:val="0"/>
          <w:shd w:val="clear" w:color="auto" w:fill="FFFFFF"/>
          <w:lang w:val="es-ES" w:eastAsia="es-CR"/>
          <w14:ligatures w14:val="none"/>
        </w:rPr>
        <w:t xml:space="preserve"> </w:t>
      </w:r>
    </w:p>
    <w:p w14:paraId="17F9CDA5" w14:textId="77777777" w:rsidR="00F977F7" w:rsidRPr="00F977F7" w:rsidRDefault="00F977F7" w:rsidP="00F977F7">
      <w:pPr>
        <w:widowControl w:val="0"/>
        <w:overflowPunct w:val="0"/>
        <w:autoSpaceDE w:val="0"/>
        <w:autoSpaceDN w:val="0"/>
        <w:adjustRightInd w:val="0"/>
        <w:spacing w:before="120" w:after="120" w:line="276" w:lineRule="auto"/>
        <w:ind w:left="709" w:hanging="709"/>
        <w:jc w:val="both"/>
        <w:rPr>
          <w:rFonts w:ascii="Calibri" w:eastAsia="Times New Roman" w:hAnsi="Calibri" w:cs="Calibri"/>
          <w:color w:val="00B050"/>
          <w:kern w:val="0"/>
          <w:shd w:val="clear" w:color="auto" w:fill="FFFFFF"/>
          <w:lang w:val="es-ES_tradnl" w:eastAsia="es-CR"/>
          <w14:ligatures w14:val="none"/>
        </w:rPr>
      </w:pPr>
      <w:r w:rsidRPr="00F977F7">
        <w:rPr>
          <w:rFonts w:ascii="Calibri" w:eastAsia="Times New Roman" w:hAnsi="Calibri" w:cs="Calibri"/>
          <w:kern w:val="0"/>
          <w:shd w:val="clear" w:color="auto" w:fill="FFFFFF"/>
          <w:lang w:val="es-ES_tradnl" w:eastAsia="es-CR"/>
          <w14:ligatures w14:val="none"/>
        </w:rPr>
        <w:t xml:space="preserve">Pérez, Javier. “La pedagogía incómoda de Jesús”. </w:t>
      </w:r>
      <w:r w:rsidRPr="00F977F7">
        <w:rPr>
          <w:rFonts w:ascii="Calibri" w:eastAsia="Times New Roman" w:hAnsi="Calibri" w:cs="Calibri"/>
          <w:i/>
          <w:kern w:val="0"/>
          <w:shd w:val="clear" w:color="auto" w:fill="FFFFFF"/>
          <w:lang w:val="es-ES_tradnl" w:eastAsia="es-CR"/>
          <w14:ligatures w14:val="none"/>
        </w:rPr>
        <w:t>Aportes Teológicos</w:t>
      </w:r>
      <w:r w:rsidRPr="00F977F7">
        <w:rPr>
          <w:rFonts w:ascii="Calibri" w:eastAsia="Times New Roman" w:hAnsi="Calibri" w:cs="Calibri"/>
          <w:kern w:val="0"/>
          <w:shd w:val="clear" w:color="auto" w:fill="FFFFFF"/>
          <w:lang w:val="es-ES_tradnl" w:eastAsia="es-CR"/>
          <w14:ligatures w14:val="none"/>
        </w:rPr>
        <w:t xml:space="preserve">, n.5 (2019): 3-67. Acceso el 18 de diciembre de 2020. </w:t>
      </w:r>
      <w:hyperlink r:id="rId451" w:history="1">
        <w:r w:rsidRPr="00F977F7">
          <w:rPr>
            <w:rFonts w:ascii="Calibri" w:eastAsia="Times New Roman" w:hAnsi="Calibri" w:cs="Calibri"/>
            <w:color w:val="0563C1"/>
            <w:kern w:val="0"/>
            <w:u w:val="single"/>
            <w:shd w:val="clear" w:color="auto" w:fill="FFFFFF"/>
            <w:lang w:val="es-ES_tradnl" w:eastAsia="es-CR"/>
            <w14:ligatures w14:val="none"/>
          </w:rPr>
          <w:t>http://revistas.ubl.ac.cr/index.php/apteo/issue/view/58</w:t>
        </w:r>
      </w:hyperlink>
      <w:r w:rsidRPr="00F977F7">
        <w:rPr>
          <w:rFonts w:ascii="Calibri" w:eastAsia="Times New Roman" w:hAnsi="Calibri" w:cs="Calibri"/>
          <w:color w:val="00B050"/>
          <w:kern w:val="0"/>
          <w:shd w:val="clear" w:color="auto" w:fill="FFFFFF"/>
          <w:lang w:val="es-ES_tradnl" w:eastAsia="es-CR"/>
          <w14:ligatures w14:val="none"/>
        </w:rPr>
        <w:t xml:space="preserve"> </w:t>
      </w:r>
    </w:p>
    <w:p w14:paraId="78ADCC61" w14:textId="6552FFD1" w:rsidR="00767E65" w:rsidRDefault="00F977F7" w:rsidP="00F977F7">
      <w:pPr>
        <w:rPr>
          <w:sz w:val="24"/>
          <w:szCs w:val="24"/>
        </w:rPr>
      </w:pPr>
      <w:r w:rsidRPr="00F977F7">
        <w:rPr>
          <w:rFonts w:ascii="Calibri" w:eastAsia="Times New Roman" w:hAnsi="Calibri" w:cs="Calibri"/>
          <w:kern w:val="0"/>
          <w:shd w:val="clear" w:color="auto" w:fill="FFFFFF"/>
          <w:lang w:val="es-ES_tradnl" w:eastAsia="es-CR"/>
          <w14:ligatures w14:val="none"/>
        </w:rPr>
        <w:t xml:space="preserve">Santamaría Rodríguez, Juan Esteban, Eduard Andrés </w:t>
      </w:r>
      <w:proofErr w:type="spellStart"/>
      <w:r w:rsidRPr="00F977F7">
        <w:rPr>
          <w:rFonts w:ascii="Calibri" w:eastAsia="Times New Roman" w:hAnsi="Calibri" w:cs="Calibri"/>
          <w:kern w:val="0"/>
          <w:shd w:val="clear" w:color="auto" w:fill="FFFFFF"/>
          <w:lang w:val="es-ES_tradnl" w:eastAsia="es-CR"/>
          <w14:ligatures w14:val="none"/>
        </w:rPr>
        <w:t>Quitián</w:t>
      </w:r>
      <w:proofErr w:type="spellEnd"/>
      <w:r w:rsidRPr="00F977F7">
        <w:rPr>
          <w:rFonts w:ascii="Calibri" w:eastAsia="Times New Roman" w:hAnsi="Calibri" w:cs="Calibri"/>
          <w:kern w:val="0"/>
          <w:shd w:val="clear" w:color="auto" w:fill="FFFFFF"/>
          <w:lang w:val="es-ES_tradnl" w:eastAsia="es-CR"/>
          <w14:ligatures w14:val="none"/>
        </w:rPr>
        <w:t xml:space="preserve"> Álvarez y Alba Luz Orozco Bernal. “Caracterización de una pedagogía de la teología en perspectiva crítico-liberadora: Reflexiones desde la pedagogía crítica y la teología de la liberación”. </w:t>
      </w:r>
      <w:r w:rsidRPr="00F977F7">
        <w:rPr>
          <w:rFonts w:ascii="Calibri" w:eastAsia="Times New Roman" w:hAnsi="Calibri" w:cs="Calibri"/>
          <w:i/>
          <w:kern w:val="0"/>
          <w:shd w:val="clear" w:color="auto" w:fill="FFFFFF"/>
          <w:lang w:val="es-ES_tradnl" w:eastAsia="es-CR"/>
          <w14:ligatures w14:val="none"/>
        </w:rPr>
        <w:t xml:space="preserve">Revista </w:t>
      </w:r>
      <w:proofErr w:type="spellStart"/>
      <w:r w:rsidRPr="00F977F7">
        <w:rPr>
          <w:rFonts w:ascii="Calibri" w:eastAsia="Times New Roman" w:hAnsi="Calibri" w:cs="Calibri"/>
          <w:i/>
          <w:kern w:val="0"/>
          <w:shd w:val="clear" w:color="auto" w:fill="FFFFFF"/>
          <w:lang w:val="es-ES_tradnl" w:eastAsia="es-CR"/>
          <w14:ligatures w14:val="none"/>
        </w:rPr>
        <w:t>Albertus</w:t>
      </w:r>
      <w:proofErr w:type="spellEnd"/>
      <w:r w:rsidRPr="00F977F7">
        <w:rPr>
          <w:rFonts w:ascii="Calibri" w:eastAsia="Times New Roman" w:hAnsi="Calibri" w:cs="Calibri"/>
          <w:i/>
          <w:kern w:val="0"/>
          <w:shd w:val="clear" w:color="auto" w:fill="FFFFFF"/>
          <w:lang w:val="es-ES_tradnl" w:eastAsia="es-CR"/>
          <w14:ligatures w14:val="none"/>
        </w:rPr>
        <w:t xml:space="preserve"> Magnus </w:t>
      </w:r>
      <w:r w:rsidRPr="00F977F7">
        <w:rPr>
          <w:rFonts w:ascii="Calibri" w:eastAsia="Times New Roman" w:hAnsi="Calibri" w:cs="Calibri"/>
          <w:kern w:val="0"/>
          <w:shd w:val="clear" w:color="auto" w:fill="FFFFFF"/>
          <w:lang w:val="es-ES_tradnl" w:eastAsia="es-CR"/>
          <w14:ligatures w14:val="none"/>
        </w:rPr>
        <w:t xml:space="preserve">7, n. 2 (2016): 213-237. Acceso el 18 de diciembre de 2020. </w:t>
      </w:r>
      <w:hyperlink r:id="rId452" w:history="1">
        <w:r w:rsidRPr="00F977F7">
          <w:rPr>
            <w:rFonts w:ascii="Calibri" w:eastAsia="Times New Roman" w:hAnsi="Calibri" w:cs="Calibri"/>
            <w:color w:val="0563C1"/>
            <w:kern w:val="0"/>
            <w:u w:val="single"/>
            <w:lang w:val="es-ES_tradnl" w:eastAsia="es-CR"/>
            <w14:ligatures w14:val="none"/>
          </w:rPr>
          <w:t>https://doi.org/10.15332/s2011-9771.2016.0002.02</w:t>
        </w:r>
      </w:hyperlink>
    </w:p>
    <w:p w14:paraId="5578FA58" w14:textId="77777777" w:rsidR="00767E65" w:rsidRDefault="00767E65" w:rsidP="00DC6C24">
      <w:pPr>
        <w:rPr>
          <w:sz w:val="24"/>
          <w:szCs w:val="24"/>
        </w:rPr>
      </w:pPr>
    </w:p>
    <w:p w14:paraId="451D9382" w14:textId="51668180" w:rsidR="005E6F8F" w:rsidRDefault="005E6F8F">
      <w:pPr>
        <w:rPr>
          <w:sz w:val="24"/>
          <w:szCs w:val="24"/>
        </w:rPr>
      </w:pPr>
      <w:r>
        <w:rPr>
          <w:sz w:val="24"/>
          <w:szCs w:val="24"/>
        </w:rPr>
        <w:br w:type="page"/>
      </w:r>
    </w:p>
    <w:p w14:paraId="64EE3223"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B977B2">
        <w:rPr>
          <w:rFonts w:ascii="Calibri" w:eastAsia="Times New Roman" w:hAnsi="Calibri" w:cs="Calibri"/>
          <w:noProof/>
          <w:color w:val="000000"/>
          <w:kern w:val="0"/>
          <w:lang w:val="en-US" w:bidi="he-IL"/>
          <w14:ligatures w14:val="none"/>
        </w:rPr>
        <w:lastRenderedPageBreak/>
        <w:drawing>
          <wp:inline distT="0" distB="0" distL="0" distR="0" wp14:anchorId="299D0DA8" wp14:editId="60C5BD36">
            <wp:extent cx="2009775" cy="1548377"/>
            <wp:effectExtent l="0" t="0" r="0" b="0"/>
            <wp:docPr id="128184257"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84257"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2106458E" w14:textId="77777777" w:rsidR="00B977B2" w:rsidRPr="00B977B2" w:rsidRDefault="00B977B2" w:rsidP="00B977B2">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lang w:val="en-US" w:eastAsia="es-CR"/>
          <w14:ligatures w14:val="none"/>
        </w:rPr>
      </w:pPr>
    </w:p>
    <w:p w14:paraId="08A70E17" w14:textId="77777777" w:rsidR="00B977B2" w:rsidRPr="00B977B2" w:rsidRDefault="00B977B2" w:rsidP="00B977B2">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r w:rsidRPr="00B977B2">
        <w:rPr>
          <w:rFonts w:ascii="Calibri" w:eastAsia="Times New Roman" w:hAnsi="Calibri" w:cs="Calibri"/>
          <w:b/>
          <w:spacing w:val="-2"/>
          <w:kern w:val="0"/>
          <w:sz w:val="24"/>
          <w:szCs w:val="24"/>
          <w:lang w:eastAsia="es-CR"/>
          <w14:ligatures w14:val="none"/>
        </w:rPr>
        <w:t>Universidad Bíblica Latinoamericana</w:t>
      </w:r>
    </w:p>
    <w:p w14:paraId="0BD42FFF" w14:textId="77777777" w:rsidR="00B977B2" w:rsidRPr="00B977B2" w:rsidRDefault="00B977B2" w:rsidP="00B977B2">
      <w:pPr>
        <w:keepNext/>
        <w:widowControl w:val="0"/>
        <w:overflowPunct w:val="0"/>
        <w:autoSpaceDE w:val="0"/>
        <w:autoSpaceDN w:val="0"/>
        <w:adjustRightInd w:val="0"/>
        <w:spacing w:after="0" w:line="240" w:lineRule="auto"/>
        <w:jc w:val="center"/>
        <w:outlineLvl w:val="1"/>
        <w:rPr>
          <w:rFonts w:ascii="Calibri" w:eastAsia="Times New Roman" w:hAnsi="Calibri" w:cs="Calibri"/>
          <w:b/>
          <w:i/>
          <w:spacing w:val="-2"/>
          <w:kern w:val="28"/>
          <w:sz w:val="24"/>
          <w:szCs w:val="24"/>
          <w:lang w:eastAsia="es-CR"/>
          <w14:ligatures w14:val="none"/>
        </w:rPr>
      </w:pPr>
      <w:r w:rsidRPr="00B977B2">
        <w:rPr>
          <w:rFonts w:ascii="Calibri" w:eastAsia="Times New Roman" w:hAnsi="Calibri" w:cs="Calibri"/>
          <w:b/>
          <w:i/>
          <w:spacing w:val="-2"/>
          <w:kern w:val="28"/>
          <w:sz w:val="24"/>
          <w:szCs w:val="24"/>
          <w:lang w:eastAsia="es-CR"/>
          <w14:ligatures w14:val="none"/>
        </w:rPr>
        <w:t>Facultad de Teología</w:t>
      </w:r>
    </w:p>
    <w:p w14:paraId="6642007B" w14:textId="77777777" w:rsidR="00B977B2" w:rsidRPr="00B977B2" w:rsidRDefault="00B977B2" w:rsidP="00B977B2">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r w:rsidRPr="00B977B2">
        <w:rPr>
          <w:rFonts w:ascii="Calibri" w:eastAsia="Times New Roman" w:hAnsi="Calibri" w:cs="Calibri"/>
          <w:b/>
          <w:bCs/>
          <w:kern w:val="0"/>
          <w:sz w:val="24"/>
          <w:szCs w:val="24"/>
          <w:lang w:val="es-ES_tradnl" w:eastAsia="es-CR"/>
          <w14:ligatures w14:val="none"/>
        </w:rPr>
        <w:t>Bachillerato en Ciencias Bíblicas</w:t>
      </w:r>
    </w:p>
    <w:p w14:paraId="0D196D64" w14:textId="77777777" w:rsidR="00B977B2" w:rsidRPr="00B977B2" w:rsidRDefault="00B977B2" w:rsidP="00B977B2">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eastAsia="es-CR"/>
          <w14:ligatures w14:val="none"/>
        </w:rPr>
      </w:pPr>
    </w:p>
    <w:p w14:paraId="23864EBA" w14:textId="77777777" w:rsidR="00B977B2" w:rsidRPr="00B977B2" w:rsidRDefault="00B977B2" w:rsidP="00B977B2">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eastAsia="es-CR"/>
          <w14:ligatures w14:val="none"/>
        </w:rPr>
      </w:pPr>
      <w:r w:rsidRPr="00B977B2">
        <w:rPr>
          <w:rFonts w:ascii="Calibri" w:eastAsia="Times New Roman" w:hAnsi="Calibri" w:cs="Calibri"/>
          <w:b/>
          <w:kern w:val="0"/>
          <w:sz w:val="24"/>
          <w:szCs w:val="24"/>
          <w:lang w:eastAsia="es-CR"/>
          <w14:ligatures w14:val="none"/>
        </w:rPr>
        <w:t>Sílabo</w:t>
      </w:r>
    </w:p>
    <w:p w14:paraId="7286EE4A" w14:textId="77777777" w:rsidR="00B977B2" w:rsidRPr="00B977B2" w:rsidRDefault="00B977B2" w:rsidP="00B977B2">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bookmarkStart w:id="57" w:name="CB111"/>
      <w:r w:rsidRPr="00B977B2">
        <w:rPr>
          <w:rFonts w:ascii="Calibri" w:eastAsia="Times New Roman" w:hAnsi="Calibri" w:cs="Calibri"/>
          <w:b/>
          <w:spacing w:val="-2"/>
          <w:kern w:val="0"/>
          <w:sz w:val="24"/>
          <w:szCs w:val="24"/>
          <w:lang w:eastAsia="es-CR"/>
          <w14:ligatures w14:val="none"/>
        </w:rPr>
        <w:t>Análisis de Textos Bíblicos</w:t>
      </w:r>
    </w:p>
    <w:bookmarkEnd w:id="57"/>
    <w:p w14:paraId="3D7079FB" w14:textId="77777777" w:rsidR="00B977B2" w:rsidRPr="00B977B2" w:rsidRDefault="00B977B2" w:rsidP="00B977B2">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p>
    <w:p w14:paraId="1F0457A5"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kern w:val="0"/>
          <w:highlight w:val="yellow"/>
          <w:lang w:val="es-ES_tradnl" w:eastAsia="es-CR"/>
          <w14:ligatures w14:val="none"/>
        </w:rPr>
      </w:pPr>
    </w:p>
    <w:tbl>
      <w:tblPr>
        <w:tblStyle w:val="Tablaconcuadrcula"/>
        <w:tblW w:w="0" w:type="auto"/>
        <w:tblLook w:val="04A0" w:firstRow="1" w:lastRow="0" w:firstColumn="1" w:lastColumn="0" w:noHBand="0" w:noVBand="1"/>
      </w:tblPr>
      <w:tblGrid>
        <w:gridCol w:w="1666"/>
        <w:gridCol w:w="7162"/>
      </w:tblGrid>
      <w:tr w:rsidR="00B977B2" w:rsidRPr="00B977B2" w14:paraId="3584D091" w14:textId="77777777" w:rsidTr="00104785">
        <w:tc>
          <w:tcPr>
            <w:tcW w:w="1668" w:type="dxa"/>
          </w:tcPr>
          <w:p w14:paraId="04A31708" w14:textId="77777777" w:rsidR="00B977B2" w:rsidRPr="00B977B2" w:rsidRDefault="00B977B2" w:rsidP="00B977B2">
            <w:pPr>
              <w:widowControl w:val="0"/>
              <w:overflowPunct w:val="0"/>
              <w:autoSpaceDE w:val="0"/>
              <w:autoSpaceDN w:val="0"/>
              <w:adjustRightInd w:val="0"/>
              <w:rPr>
                <w:rFonts w:eastAsia="Times New Roman" w:cs="Calibri"/>
                <w:b/>
                <w:color w:val="000000"/>
                <w:lang w:eastAsia="es-CR"/>
              </w:rPr>
            </w:pPr>
            <w:r w:rsidRPr="00B977B2">
              <w:rPr>
                <w:rFonts w:eastAsia="Times New Roman" w:cs="Calibri"/>
                <w:b/>
                <w:color w:val="000000"/>
                <w:lang w:eastAsia="es-CR"/>
              </w:rPr>
              <w:t>Código</w:t>
            </w:r>
          </w:p>
        </w:tc>
        <w:tc>
          <w:tcPr>
            <w:tcW w:w="7386" w:type="dxa"/>
          </w:tcPr>
          <w:p w14:paraId="7FB74952" w14:textId="77777777" w:rsidR="00B977B2" w:rsidRPr="00B977B2" w:rsidRDefault="00B977B2" w:rsidP="00B977B2">
            <w:pPr>
              <w:widowControl w:val="0"/>
              <w:overflowPunct w:val="0"/>
              <w:autoSpaceDE w:val="0"/>
              <w:autoSpaceDN w:val="0"/>
              <w:adjustRightInd w:val="0"/>
              <w:rPr>
                <w:rFonts w:eastAsia="Times New Roman" w:cs="Calibri"/>
                <w:color w:val="000000"/>
                <w:lang w:eastAsia="es-CR"/>
              </w:rPr>
            </w:pPr>
            <w:r w:rsidRPr="00B977B2">
              <w:rPr>
                <w:rFonts w:eastAsia="Times New Roman" w:cs="Calibri"/>
                <w:color w:val="000000"/>
                <w:lang w:eastAsia="es-CR"/>
              </w:rPr>
              <w:t>CB 111</w:t>
            </w:r>
          </w:p>
        </w:tc>
      </w:tr>
      <w:tr w:rsidR="00B977B2" w:rsidRPr="00B977B2" w14:paraId="6C184AD1" w14:textId="77777777" w:rsidTr="00104785">
        <w:tc>
          <w:tcPr>
            <w:tcW w:w="1668" w:type="dxa"/>
          </w:tcPr>
          <w:p w14:paraId="4342153B" w14:textId="77777777" w:rsidR="00B977B2" w:rsidRPr="00B977B2" w:rsidRDefault="00B977B2" w:rsidP="00B977B2">
            <w:pPr>
              <w:widowControl w:val="0"/>
              <w:overflowPunct w:val="0"/>
              <w:autoSpaceDE w:val="0"/>
              <w:autoSpaceDN w:val="0"/>
              <w:adjustRightInd w:val="0"/>
              <w:rPr>
                <w:rFonts w:eastAsia="Times New Roman" w:cs="Calibri"/>
                <w:b/>
                <w:color w:val="000000"/>
                <w:lang w:eastAsia="es-CR"/>
              </w:rPr>
            </w:pPr>
            <w:r w:rsidRPr="00B977B2">
              <w:rPr>
                <w:rFonts w:eastAsia="Times New Roman" w:cs="Calibri"/>
                <w:b/>
                <w:color w:val="000000"/>
                <w:lang w:eastAsia="es-CR"/>
              </w:rPr>
              <w:t>Créditos</w:t>
            </w:r>
          </w:p>
        </w:tc>
        <w:tc>
          <w:tcPr>
            <w:tcW w:w="7386" w:type="dxa"/>
          </w:tcPr>
          <w:p w14:paraId="59354802" w14:textId="77777777" w:rsidR="00B977B2" w:rsidRPr="00B977B2" w:rsidRDefault="00B977B2" w:rsidP="00B977B2">
            <w:pPr>
              <w:widowControl w:val="0"/>
              <w:overflowPunct w:val="0"/>
              <w:autoSpaceDE w:val="0"/>
              <w:autoSpaceDN w:val="0"/>
              <w:adjustRightInd w:val="0"/>
              <w:rPr>
                <w:rFonts w:eastAsia="Times New Roman" w:cs="Calibri"/>
                <w:color w:val="000000"/>
                <w:lang w:eastAsia="es-CR"/>
              </w:rPr>
            </w:pPr>
            <w:r w:rsidRPr="00B977B2">
              <w:rPr>
                <w:rFonts w:eastAsia="Times New Roman" w:cs="Calibri"/>
                <w:color w:val="000000"/>
                <w:lang w:eastAsia="es-CR"/>
              </w:rPr>
              <w:t>4</w:t>
            </w:r>
          </w:p>
        </w:tc>
      </w:tr>
      <w:tr w:rsidR="00B977B2" w:rsidRPr="00B977B2" w14:paraId="58A3625E" w14:textId="77777777" w:rsidTr="00104785">
        <w:tc>
          <w:tcPr>
            <w:tcW w:w="1668" w:type="dxa"/>
          </w:tcPr>
          <w:p w14:paraId="7AFB28D0" w14:textId="77777777" w:rsidR="00B977B2" w:rsidRPr="00B977B2" w:rsidRDefault="00B977B2" w:rsidP="00B977B2">
            <w:pPr>
              <w:widowControl w:val="0"/>
              <w:overflowPunct w:val="0"/>
              <w:autoSpaceDE w:val="0"/>
              <w:autoSpaceDN w:val="0"/>
              <w:adjustRightInd w:val="0"/>
              <w:rPr>
                <w:rFonts w:eastAsia="Times New Roman" w:cs="Calibri"/>
                <w:b/>
                <w:color w:val="000000"/>
                <w:lang w:eastAsia="es-CR"/>
              </w:rPr>
            </w:pPr>
            <w:r w:rsidRPr="00B977B2">
              <w:rPr>
                <w:rFonts w:eastAsia="Times New Roman" w:cs="Calibri"/>
                <w:b/>
                <w:color w:val="000000"/>
                <w:lang w:eastAsia="es-CR"/>
              </w:rPr>
              <w:t>Requisitos</w:t>
            </w:r>
          </w:p>
        </w:tc>
        <w:tc>
          <w:tcPr>
            <w:tcW w:w="7386" w:type="dxa"/>
          </w:tcPr>
          <w:p w14:paraId="10599B31" w14:textId="77777777" w:rsidR="00B977B2" w:rsidRPr="00B977B2" w:rsidRDefault="00B977B2" w:rsidP="00B977B2">
            <w:pPr>
              <w:widowControl w:val="0"/>
              <w:overflowPunct w:val="0"/>
              <w:autoSpaceDE w:val="0"/>
              <w:autoSpaceDN w:val="0"/>
              <w:adjustRightInd w:val="0"/>
              <w:rPr>
                <w:rFonts w:eastAsia="Times New Roman" w:cs="Calibri"/>
                <w:color w:val="000000"/>
                <w:lang w:eastAsia="es-CR"/>
              </w:rPr>
            </w:pPr>
            <w:r w:rsidRPr="00B977B2">
              <w:rPr>
                <w:rFonts w:eastAsia="Times New Roman" w:cs="Calibri"/>
                <w:color w:val="000000"/>
                <w:lang w:eastAsia="es-CR"/>
              </w:rPr>
              <w:t>CBX 113</w:t>
            </w:r>
          </w:p>
        </w:tc>
      </w:tr>
      <w:tr w:rsidR="00B977B2" w:rsidRPr="00B977B2" w14:paraId="509C4CE3" w14:textId="77777777" w:rsidTr="00104785">
        <w:tc>
          <w:tcPr>
            <w:tcW w:w="1668" w:type="dxa"/>
          </w:tcPr>
          <w:p w14:paraId="0F019980" w14:textId="77777777" w:rsidR="00B977B2" w:rsidRPr="00B977B2" w:rsidRDefault="00B977B2" w:rsidP="00B977B2">
            <w:pPr>
              <w:widowControl w:val="0"/>
              <w:overflowPunct w:val="0"/>
              <w:autoSpaceDE w:val="0"/>
              <w:autoSpaceDN w:val="0"/>
              <w:adjustRightInd w:val="0"/>
              <w:rPr>
                <w:rFonts w:eastAsia="Times New Roman" w:cs="Calibri"/>
                <w:b/>
                <w:color w:val="000000"/>
                <w:lang w:eastAsia="es-CR"/>
              </w:rPr>
            </w:pPr>
            <w:r w:rsidRPr="00B977B2">
              <w:rPr>
                <w:rFonts w:eastAsia="Times New Roman" w:cs="Calibri"/>
                <w:b/>
                <w:color w:val="000000"/>
                <w:lang w:eastAsia="es-CR"/>
              </w:rPr>
              <w:t>Modalidad</w:t>
            </w:r>
          </w:p>
        </w:tc>
        <w:tc>
          <w:tcPr>
            <w:tcW w:w="7386" w:type="dxa"/>
          </w:tcPr>
          <w:p w14:paraId="4B6A85D0" w14:textId="77777777" w:rsidR="00B977B2" w:rsidRPr="00B977B2" w:rsidRDefault="00B977B2" w:rsidP="00B977B2">
            <w:pPr>
              <w:widowControl w:val="0"/>
              <w:overflowPunct w:val="0"/>
              <w:autoSpaceDE w:val="0"/>
              <w:autoSpaceDN w:val="0"/>
              <w:adjustRightInd w:val="0"/>
              <w:rPr>
                <w:rFonts w:eastAsia="Times New Roman" w:cs="Calibri"/>
                <w:color w:val="000000"/>
                <w:lang w:eastAsia="es-CR"/>
              </w:rPr>
            </w:pPr>
            <w:r w:rsidRPr="00B977B2">
              <w:rPr>
                <w:rFonts w:eastAsia="Times New Roman" w:cs="Calibri"/>
                <w:color w:val="000000"/>
                <w:lang w:eastAsia="es-CR"/>
              </w:rPr>
              <w:t>Virtual</w:t>
            </w:r>
          </w:p>
        </w:tc>
      </w:tr>
      <w:tr w:rsidR="00B977B2" w:rsidRPr="00B977B2" w14:paraId="74C499DC" w14:textId="77777777" w:rsidTr="00104785">
        <w:tc>
          <w:tcPr>
            <w:tcW w:w="1668" w:type="dxa"/>
          </w:tcPr>
          <w:p w14:paraId="173E6F84" w14:textId="77777777" w:rsidR="00B977B2" w:rsidRPr="00B977B2" w:rsidRDefault="00B977B2" w:rsidP="00B977B2">
            <w:pPr>
              <w:widowControl w:val="0"/>
              <w:overflowPunct w:val="0"/>
              <w:autoSpaceDE w:val="0"/>
              <w:autoSpaceDN w:val="0"/>
              <w:adjustRightInd w:val="0"/>
              <w:rPr>
                <w:rFonts w:eastAsia="Times New Roman" w:cs="Calibri"/>
                <w:b/>
                <w:color w:val="000000"/>
                <w:lang w:eastAsia="es-CR"/>
              </w:rPr>
            </w:pPr>
            <w:r w:rsidRPr="00B977B2">
              <w:rPr>
                <w:rFonts w:eastAsia="Times New Roman" w:cs="Calibri"/>
                <w:b/>
                <w:color w:val="000000"/>
                <w:lang w:eastAsia="es-CR"/>
              </w:rPr>
              <w:t>Naturaleza</w:t>
            </w:r>
          </w:p>
        </w:tc>
        <w:tc>
          <w:tcPr>
            <w:tcW w:w="7386" w:type="dxa"/>
          </w:tcPr>
          <w:p w14:paraId="5148E6A1" w14:textId="77777777" w:rsidR="00B977B2" w:rsidRPr="00B977B2" w:rsidRDefault="00B977B2" w:rsidP="00B977B2">
            <w:pPr>
              <w:widowControl w:val="0"/>
              <w:overflowPunct w:val="0"/>
              <w:autoSpaceDE w:val="0"/>
              <w:autoSpaceDN w:val="0"/>
              <w:adjustRightInd w:val="0"/>
              <w:rPr>
                <w:rFonts w:eastAsia="Times New Roman" w:cs="Calibri"/>
                <w:color w:val="000000"/>
                <w:lang w:eastAsia="es-CR"/>
              </w:rPr>
            </w:pPr>
            <w:r w:rsidRPr="00B977B2">
              <w:rPr>
                <w:rFonts w:eastAsia="Times New Roman" w:cs="Calibri"/>
                <w:color w:val="000000"/>
                <w:lang w:eastAsia="es-CR"/>
              </w:rPr>
              <w:t>Teórico-práctico</w:t>
            </w:r>
          </w:p>
        </w:tc>
      </w:tr>
      <w:tr w:rsidR="00B977B2" w:rsidRPr="00B977B2" w14:paraId="7982D4AF" w14:textId="77777777" w:rsidTr="00104785">
        <w:tc>
          <w:tcPr>
            <w:tcW w:w="1668" w:type="dxa"/>
          </w:tcPr>
          <w:p w14:paraId="354F71ED" w14:textId="77777777" w:rsidR="00B977B2" w:rsidRPr="00B977B2" w:rsidRDefault="00B977B2" w:rsidP="00B977B2">
            <w:pPr>
              <w:widowControl w:val="0"/>
              <w:overflowPunct w:val="0"/>
              <w:autoSpaceDE w:val="0"/>
              <w:autoSpaceDN w:val="0"/>
              <w:adjustRightInd w:val="0"/>
              <w:rPr>
                <w:rFonts w:eastAsia="Times New Roman" w:cs="Calibri"/>
                <w:b/>
                <w:color w:val="000000"/>
                <w:lang w:eastAsia="es-CR"/>
              </w:rPr>
            </w:pPr>
            <w:r w:rsidRPr="00B977B2">
              <w:rPr>
                <w:rFonts w:eastAsia="Times New Roman" w:cs="Calibri"/>
                <w:b/>
                <w:color w:val="000000"/>
                <w:lang w:eastAsia="es-CR"/>
              </w:rPr>
              <w:t>Periodo</w:t>
            </w:r>
          </w:p>
        </w:tc>
        <w:tc>
          <w:tcPr>
            <w:tcW w:w="7386" w:type="dxa"/>
          </w:tcPr>
          <w:p w14:paraId="43D2653E" w14:textId="77777777" w:rsidR="00B977B2" w:rsidRPr="00B977B2" w:rsidRDefault="00B977B2" w:rsidP="00B977B2">
            <w:pPr>
              <w:widowControl w:val="0"/>
              <w:overflowPunct w:val="0"/>
              <w:autoSpaceDE w:val="0"/>
              <w:autoSpaceDN w:val="0"/>
              <w:adjustRightInd w:val="0"/>
              <w:rPr>
                <w:rFonts w:eastAsia="Times New Roman" w:cs="Calibri"/>
                <w:color w:val="000000"/>
                <w:lang w:eastAsia="es-CR"/>
              </w:rPr>
            </w:pPr>
            <w:r w:rsidRPr="00B977B2">
              <w:rPr>
                <w:rFonts w:eastAsia="Times New Roman" w:cs="Calibri"/>
                <w:color w:val="000000"/>
                <w:lang w:eastAsia="es-CR"/>
              </w:rPr>
              <w:t>Cuatrimestral (15 semanas lectivas)</w:t>
            </w:r>
          </w:p>
        </w:tc>
      </w:tr>
      <w:tr w:rsidR="00B977B2" w:rsidRPr="00B977B2" w14:paraId="06671C77" w14:textId="77777777" w:rsidTr="00104785">
        <w:tc>
          <w:tcPr>
            <w:tcW w:w="1668" w:type="dxa"/>
          </w:tcPr>
          <w:p w14:paraId="2B26439F" w14:textId="77777777" w:rsidR="00B977B2" w:rsidRPr="00B977B2" w:rsidRDefault="00B977B2" w:rsidP="00B977B2">
            <w:pPr>
              <w:widowControl w:val="0"/>
              <w:overflowPunct w:val="0"/>
              <w:autoSpaceDE w:val="0"/>
              <w:autoSpaceDN w:val="0"/>
              <w:adjustRightInd w:val="0"/>
              <w:rPr>
                <w:rFonts w:eastAsia="Times New Roman" w:cs="Calibri"/>
                <w:b/>
                <w:color w:val="000000"/>
                <w:lang w:eastAsia="es-CR"/>
              </w:rPr>
            </w:pPr>
            <w:r w:rsidRPr="00B977B2">
              <w:rPr>
                <w:rFonts w:eastAsia="Times New Roman" w:cs="Calibri"/>
                <w:b/>
                <w:color w:val="000000"/>
                <w:lang w:eastAsia="es-CR"/>
              </w:rPr>
              <w:t>Nivel</w:t>
            </w:r>
          </w:p>
        </w:tc>
        <w:tc>
          <w:tcPr>
            <w:tcW w:w="7386" w:type="dxa"/>
          </w:tcPr>
          <w:p w14:paraId="75FD02F3" w14:textId="77777777" w:rsidR="00B977B2" w:rsidRPr="00B977B2" w:rsidRDefault="00B977B2" w:rsidP="00B977B2">
            <w:pPr>
              <w:widowControl w:val="0"/>
              <w:overflowPunct w:val="0"/>
              <w:autoSpaceDE w:val="0"/>
              <w:autoSpaceDN w:val="0"/>
              <w:adjustRightInd w:val="0"/>
              <w:rPr>
                <w:rFonts w:eastAsia="Times New Roman" w:cs="Calibri"/>
                <w:color w:val="000000"/>
                <w:lang w:eastAsia="es-CR"/>
              </w:rPr>
            </w:pPr>
            <w:r w:rsidRPr="00B977B2">
              <w:rPr>
                <w:rFonts w:eastAsia="Times New Roman" w:cs="Calibri"/>
                <w:color w:val="000000"/>
                <w:lang w:eastAsia="es-CR"/>
              </w:rPr>
              <w:t>VII Cuatrimestre</w:t>
            </w:r>
          </w:p>
        </w:tc>
      </w:tr>
      <w:tr w:rsidR="00B977B2" w:rsidRPr="00B977B2" w14:paraId="7F2C844E" w14:textId="77777777" w:rsidTr="00104785">
        <w:tc>
          <w:tcPr>
            <w:tcW w:w="1668" w:type="dxa"/>
          </w:tcPr>
          <w:p w14:paraId="3CBBC232" w14:textId="77777777" w:rsidR="00B977B2" w:rsidRPr="00B977B2" w:rsidRDefault="00B977B2" w:rsidP="00B977B2">
            <w:pPr>
              <w:widowControl w:val="0"/>
              <w:overflowPunct w:val="0"/>
              <w:autoSpaceDE w:val="0"/>
              <w:autoSpaceDN w:val="0"/>
              <w:adjustRightInd w:val="0"/>
              <w:rPr>
                <w:rFonts w:eastAsia="Times New Roman" w:cs="Calibri"/>
                <w:b/>
                <w:color w:val="000000"/>
                <w:lang w:eastAsia="es-CR"/>
              </w:rPr>
            </w:pPr>
            <w:r w:rsidRPr="00B977B2">
              <w:rPr>
                <w:rFonts w:eastAsia="Times New Roman" w:cs="Calibri"/>
                <w:b/>
                <w:color w:val="000000"/>
                <w:lang w:eastAsia="es-CR"/>
              </w:rPr>
              <w:t>Horario</w:t>
            </w:r>
          </w:p>
        </w:tc>
        <w:tc>
          <w:tcPr>
            <w:tcW w:w="7386" w:type="dxa"/>
          </w:tcPr>
          <w:p w14:paraId="0A15BE27" w14:textId="77777777" w:rsidR="00B977B2" w:rsidRPr="00B977B2" w:rsidRDefault="00B977B2" w:rsidP="00B977B2">
            <w:pPr>
              <w:widowControl w:val="0"/>
              <w:overflowPunct w:val="0"/>
              <w:autoSpaceDE w:val="0"/>
              <w:autoSpaceDN w:val="0"/>
              <w:adjustRightInd w:val="0"/>
              <w:rPr>
                <w:rFonts w:eastAsia="Times New Roman" w:cs="Calibri"/>
                <w:color w:val="000000"/>
                <w:lang w:eastAsia="es-CR"/>
              </w:rPr>
            </w:pPr>
            <w:r w:rsidRPr="00B977B2">
              <w:rPr>
                <w:rFonts w:eastAsia="Times New Roman" w:cs="Calibri"/>
                <w:color w:val="000000"/>
                <w:lang w:eastAsia="es-CR"/>
              </w:rPr>
              <w:t>El curso requiere de 12 horas de trabajo semanal</w:t>
            </w:r>
          </w:p>
        </w:tc>
      </w:tr>
      <w:tr w:rsidR="00B977B2" w:rsidRPr="00B977B2" w14:paraId="1FC437BC" w14:textId="77777777" w:rsidTr="00104785">
        <w:tc>
          <w:tcPr>
            <w:tcW w:w="1668" w:type="dxa"/>
          </w:tcPr>
          <w:p w14:paraId="69DC8FA2" w14:textId="77777777" w:rsidR="00B977B2" w:rsidRPr="00B977B2" w:rsidRDefault="00B977B2" w:rsidP="00B977B2">
            <w:pPr>
              <w:widowControl w:val="0"/>
              <w:overflowPunct w:val="0"/>
              <w:autoSpaceDE w:val="0"/>
              <w:autoSpaceDN w:val="0"/>
              <w:adjustRightInd w:val="0"/>
              <w:rPr>
                <w:rFonts w:eastAsia="Times New Roman" w:cs="Calibri"/>
                <w:b/>
                <w:color w:val="000000"/>
                <w:lang w:eastAsia="es-CR"/>
              </w:rPr>
            </w:pPr>
            <w:r w:rsidRPr="00B977B2">
              <w:rPr>
                <w:rFonts w:eastAsia="Times New Roman" w:cs="Calibri"/>
                <w:b/>
                <w:color w:val="000000"/>
                <w:lang w:eastAsia="es-CR"/>
              </w:rPr>
              <w:t>Aula</w:t>
            </w:r>
          </w:p>
        </w:tc>
        <w:tc>
          <w:tcPr>
            <w:tcW w:w="7386" w:type="dxa"/>
          </w:tcPr>
          <w:p w14:paraId="4D7F17E3" w14:textId="77777777" w:rsidR="00B977B2" w:rsidRPr="00B977B2" w:rsidRDefault="00B977B2" w:rsidP="00B977B2">
            <w:pPr>
              <w:widowControl w:val="0"/>
              <w:overflowPunct w:val="0"/>
              <w:autoSpaceDE w:val="0"/>
              <w:autoSpaceDN w:val="0"/>
              <w:adjustRightInd w:val="0"/>
              <w:rPr>
                <w:rFonts w:eastAsia="Times New Roman" w:cs="Calibri"/>
                <w:color w:val="000000"/>
                <w:lang w:eastAsia="es-CR"/>
              </w:rPr>
            </w:pPr>
            <w:r w:rsidRPr="00B977B2">
              <w:rPr>
                <w:rFonts w:eastAsia="Times New Roman" w:cs="Calibri"/>
                <w:color w:val="000000"/>
                <w:lang w:eastAsia="es-CR"/>
              </w:rPr>
              <w:t>Plataforma virtual de la UBL</w:t>
            </w:r>
          </w:p>
        </w:tc>
      </w:tr>
      <w:tr w:rsidR="00B977B2" w:rsidRPr="00B977B2" w14:paraId="5FCEB5DD" w14:textId="77777777" w:rsidTr="00104785">
        <w:tc>
          <w:tcPr>
            <w:tcW w:w="1668" w:type="dxa"/>
          </w:tcPr>
          <w:p w14:paraId="459AD9B9" w14:textId="77777777" w:rsidR="00B977B2" w:rsidRPr="00B977B2" w:rsidRDefault="00B977B2" w:rsidP="00B977B2">
            <w:pPr>
              <w:widowControl w:val="0"/>
              <w:overflowPunct w:val="0"/>
              <w:autoSpaceDE w:val="0"/>
              <w:autoSpaceDN w:val="0"/>
              <w:adjustRightInd w:val="0"/>
              <w:rPr>
                <w:rFonts w:eastAsia="Times New Roman" w:cs="Calibri"/>
                <w:b/>
                <w:color w:val="000000"/>
                <w:lang w:eastAsia="es-CR"/>
              </w:rPr>
            </w:pPr>
            <w:r w:rsidRPr="00B977B2">
              <w:rPr>
                <w:rFonts w:eastAsia="Times New Roman" w:cs="Calibri"/>
                <w:b/>
                <w:color w:val="000000"/>
                <w:lang w:eastAsia="es-CR"/>
              </w:rPr>
              <w:t>Docente</w:t>
            </w:r>
          </w:p>
        </w:tc>
        <w:tc>
          <w:tcPr>
            <w:tcW w:w="7386" w:type="dxa"/>
          </w:tcPr>
          <w:p w14:paraId="609F7169" w14:textId="77777777" w:rsidR="00B977B2" w:rsidRPr="00B977B2" w:rsidRDefault="00B977B2" w:rsidP="00B977B2">
            <w:pPr>
              <w:widowControl w:val="0"/>
              <w:overflowPunct w:val="0"/>
              <w:autoSpaceDE w:val="0"/>
              <w:autoSpaceDN w:val="0"/>
              <w:adjustRightInd w:val="0"/>
              <w:rPr>
                <w:rFonts w:eastAsia="Times New Roman" w:cs="Calibri"/>
                <w:color w:val="000000"/>
                <w:lang w:eastAsia="es-CR"/>
              </w:rPr>
            </w:pPr>
          </w:p>
        </w:tc>
      </w:tr>
      <w:tr w:rsidR="00B977B2" w:rsidRPr="00B977B2" w14:paraId="7F6EC36A" w14:textId="77777777" w:rsidTr="00104785">
        <w:tc>
          <w:tcPr>
            <w:tcW w:w="1668" w:type="dxa"/>
            <w:vAlign w:val="center"/>
          </w:tcPr>
          <w:p w14:paraId="1823CEA2" w14:textId="77777777" w:rsidR="00B977B2" w:rsidRPr="00B977B2" w:rsidRDefault="00B977B2" w:rsidP="00B977B2">
            <w:pPr>
              <w:widowControl w:val="0"/>
              <w:overflowPunct w:val="0"/>
              <w:autoSpaceDE w:val="0"/>
              <w:autoSpaceDN w:val="0"/>
              <w:adjustRightInd w:val="0"/>
              <w:rPr>
                <w:rFonts w:eastAsia="Times New Roman" w:cs="Calibri"/>
                <w:color w:val="000000"/>
                <w:lang w:eastAsia="es-CR"/>
              </w:rPr>
            </w:pPr>
            <w:r w:rsidRPr="00B977B2">
              <w:rPr>
                <w:rFonts w:eastAsia="Times New Roman" w:cs="Calibri"/>
                <w:b/>
                <w:color w:val="000000"/>
                <w:lang w:eastAsia="es-CR"/>
              </w:rPr>
              <w:t>Instrucciones administrativas</w:t>
            </w:r>
          </w:p>
        </w:tc>
        <w:tc>
          <w:tcPr>
            <w:tcW w:w="7386" w:type="dxa"/>
          </w:tcPr>
          <w:p w14:paraId="30BACD2E" w14:textId="77777777" w:rsidR="00B977B2" w:rsidRPr="00B977B2" w:rsidRDefault="00B977B2" w:rsidP="00B977B2">
            <w:pPr>
              <w:widowControl w:val="0"/>
              <w:overflowPunct w:val="0"/>
              <w:autoSpaceDE w:val="0"/>
              <w:autoSpaceDN w:val="0"/>
              <w:adjustRightInd w:val="0"/>
              <w:jc w:val="both"/>
              <w:rPr>
                <w:rFonts w:eastAsia="Times New Roman" w:cs="Calibri"/>
                <w:lang w:eastAsia="es-CR"/>
              </w:rPr>
            </w:pPr>
            <w:r w:rsidRPr="00B977B2">
              <w:rPr>
                <w:rFonts w:eastAsia="Times New Roman" w:cs="Calibri"/>
                <w:color w:val="000000"/>
                <w:lang w:eastAsia="es-CR"/>
              </w:rPr>
              <w:t>El curso es virtual, por lo que se requiere de acceso a una computadora con conexión a Internet, además de destrezas básicas para el manejo de correo electrónico y la plataforma Moodle desde el rol de estudiante.</w:t>
            </w:r>
            <w:r w:rsidRPr="00B977B2">
              <w:rPr>
                <w:rFonts w:eastAsia="Times New Roman" w:cs="Calibri"/>
                <w:lang w:eastAsia="es-CR"/>
              </w:rPr>
              <w:t xml:space="preserve"> Por su naturaleza teórico-práctica en este curso se debe invertir dos horas semanales en trabajos prácticos. La dirección de acceso a la plataforma es la siguiente:</w:t>
            </w:r>
          </w:p>
          <w:p w14:paraId="095E3D9F" w14:textId="77777777" w:rsidR="00B977B2" w:rsidRPr="00B977B2" w:rsidRDefault="00DD16F2" w:rsidP="00B977B2">
            <w:pPr>
              <w:widowControl w:val="0"/>
              <w:overflowPunct w:val="0"/>
              <w:autoSpaceDE w:val="0"/>
              <w:autoSpaceDN w:val="0"/>
              <w:adjustRightInd w:val="0"/>
              <w:jc w:val="both"/>
              <w:rPr>
                <w:rFonts w:eastAsia="Times New Roman" w:cs="Calibri"/>
                <w:color w:val="000000"/>
                <w:lang w:eastAsia="es-CR"/>
              </w:rPr>
            </w:pPr>
            <w:hyperlink r:id="rId453" w:history="1">
              <w:r w:rsidR="00B977B2" w:rsidRPr="00B977B2">
                <w:rPr>
                  <w:rFonts w:eastAsia="Times New Roman" w:cs="Calibri"/>
                  <w:color w:val="0563C1"/>
                  <w:u w:val="single"/>
                  <w:lang w:eastAsia="es-CR"/>
                </w:rPr>
                <w:t>https://campus.ubl.ac.cr/login/index.php</w:t>
              </w:r>
            </w:hyperlink>
            <w:r w:rsidR="00B977B2" w:rsidRPr="00B977B2">
              <w:rPr>
                <w:rFonts w:eastAsia="Times New Roman" w:cs="Calibri"/>
                <w:color w:val="000000"/>
                <w:lang w:eastAsia="es-CR"/>
              </w:rPr>
              <w:t xml:space="preserve">  </w:t>
            </w:r>
          </w:p>
        </w:tc>
      </w:tr>
    </w:tbl>
    <w:p w14:paraId="574BC4B9"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10C6D9EE"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7A34871"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B977B2">
        <w:rPr>
          <w:rFonts w:ascii="Calibri" w:eastAsia="Times New Roman" w:hAnsi="Calibri" w:cs="Calibri"/>
          <w:b/>
          <w:bCs/>
          <w:color w:val="000000"/>
          <w:kern w:val="0"/>
          <w:lang w:val="es-ES_tradnl" w:eastAsia="es-CR"/>
          <w14:ligatures w14:val="none"/>
        </w:rPr>
        <w:t xml:space="preserve">I. Descripción </w:t>
      </w:r>
    </w:p>
    <w:p w14:paraId="0E1EEDBF"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highlight w:val="yellow"/>
          <w:lang w:val="es-ES_tradnl" w:eastAsia="es-CR"/>
          <w14:ligatures w14:val="none"/>
        </w:rPr>
      </w:pPr>
    </w:p>
    <w:p w14:paraId="539371EE"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B977B2">
        <w:rPr>
          <w:rFonts w:ascii="Calibri" w:eastAsia="Times New Roman" w:hAnsi="Calibri" w:cs="Arial"/>
          <w:color w:val="000000"/>
          <w:kern w:val="0"/>
          <w:lang w:val="es-ES_tradnl" w:eastAsia="es-CR"/>
          <w14:ligatures w14:val="none"/>
        </w:rPr>
        <w:t xml:space="preserve">Se privilegia en este curso el ejercicio de la capacidad de análisis de textos bíblicos como destreza fundamental en el ejercicio de las ciencias bíblicas, cuyo objeto de estudio es el texto bíblico. Las y los estudiantes deben completar los cursos introductorios para tener el trasfondo necesario para entrar en un análisis profundo de una selección de textos bíblicos. Se </w:t>
      </w:r>
      <w:r w:rsidRPr="00B977B2">
        <w:rPr>
          <w:rFonts w:ascii="Calibri" w:eastAsia="Times New Roman" w:hAnsi="Calibri" w:cs="Arial"/>
          <w:noProof/>
          <w:color w:val="000000"/>
          <w:kern w:val="0"/>
          <w:lang w:val="es-ES_tradnl" w:eastAsia="es-CR"/>
          <w14:ligatures w14:val="none"/>
        </w:rPr>
        <w:drawing>
          <wp:inline distT="0" distB="0" distL="0" distR="0" wp14:anchorId="6C1E9577" wp14:editId="6C58DC48">
            <wp:extent cx="12700" cy="6350"/>
            <wp:effectExtent l="0" t="0" r="0" b="0"/>
            <wp:docPr id="1965535684" name="Imagen 1965535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0" y="0"/>
                      <a:ext cx="12700" cy="6350"/>
                    </a:xfrm>
                    <a:prstGeom prst="rect">
                      <a:avLst/>
                    </a:prstGeom>
                    <a:noFill/>
                    <a:ln>
                      <a:noFill/>
                    </a:ln>
                  </pic:spPr>
                </pic:pic>
              </a:graphicData>
            </a:graphic>
          </wp:inline>
        </w:drawing>
      </w:r>
      <w:r w:rsidRPr="00B977B2">
        <w:rPr>
          <w:rFonts w:ascii="Calibri" w:eastAsia="Times New Roman" w:hAnsi="Calibri" w:cs="Arial"/>
          <w:color w:val="000000"/>
          <w:kern w:val="0"/>
          <w:lang w:val="es-ES_tradnl" w:eastAsia="es-CR"/>
          <w14:ligatures w14:val="none"/>
        </w:rPr>
        <w:t>exige la práctica de diversos métodos de análisis de textos, vistos siempre dentro del marco de las unidades mayores del Antiguo y Nuevo Testamento. Al abordar la interpretación de los textos, se mantiene la perspectiva de la comunidad hermenéutica actual al mismo tiempo que se investiga sobre las interpretaciones a través del período bíblico.</w:t>
      </w:r>
    </w:p>
    <w:p w14:paraId="5A86A47B"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7A60E789"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B977B2">
        <w:rPr>
          <w:rFonts w:ascii="Calibri" w:eastAsia="Times New Roman" w:hAnsi="Calibri" w:cs="Calibri"/>
          <w:b/>
          <w:color w:val="000000"/>
          <w:kern w:val="0"/>
          <w:lang w:val="es-ES_tradnl" w:eastAsia="es-CR"/>
          <w14:ligatures w14:val="none"/>
        </w:rPr>
        <w:t>II.</w:t>
      </w:r>
      <w:r w:rsidRPr="00B977B2">
        <w:rPr>
          <w:rFonts w:ascii="Calibri" w:eastAsia="Times New Roman" w:hAnsi="Calibri" w:cs="Calibri"/>
          <w:color w:val="000000"/>
          <w:kern w:val="0"/>
          <w:lang w:val="es-ES_tradnl" w:eastAsia="es-CR"/>
          <w14:ligatures w14:val="none"/>
        </w:rPr>
        <w:t xml:space="preserve"> </w:t>
      </w:r>
      <w:r w:rsidRPr="00B977B2">
        <w:rPr>
          <w:rFonts w:ascii="Calibri" w:eastAsia="Times New Roman" w:hAnsi="Calibri" w:cs="Calibri"/>
          <w:b/>
          <w:bCs/>
          <w:color w:val="000000"/>
          <w:kern w:val="0"/>
          <w:lang w:val="es-ES_tradnl" w:eastAsia="es-CR"/>
          <w14:ligatures w14:val="none"/>
        </w:rPr>
        <w:t>Objetivo general</w:t>
      </w:r>
    </w:p>
    <w:p w14:paraId="729F5F56"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B977B2">
        <w:rPr>
          <w:rFonts w:ascii="Calibri" w:eastAsia="Times New Roman" w:hAnsi="Calibri" w:cs="Calibri"/>
          <w:b/>
          <w:bCs/>
          <w:color w:val="000000"/>
          <w:kern w:val="0"/>
          <w:lang w:val="es-ES_tradnl" w:eastAsia="es-CR"/>
          <w14:ligatures w14:val="none"/>
        </w:rPr>
        <w:tab/>
      </w:r>
      <w:r w:rsidRPr="00B977B2">
        <w:rPr>
          <w:rFonts w:ascii="Calibri" w:eastAsia="Times New Roman" w:hAnsi="Calibri" w:cs="Calibri"/>
          <w:color w:val="FF0000"/>
          <w:kern w:val="0"/>
          <w:lang w:val="es-ES_tradnl" w:eastAsia="es-CR"/>
          <w14:ligatures w14:val="none"/>
        </w:rPr>
        <w:t xml:space="preserve"> </w:t>
      </w:r>
    </w:p>
    <w:p w14:paraId="67196E16" w14:textId="77777777" w:rsidR="00B977B2" w:rsidRPr="00B977B2" w:rsidRDefault="00B977B2" w:rsidP="00B977B2">
      <w:pPr>
        <w:autoSpaceDE w:val="0"/>
        <w:autoSpaceDN w:val="0"/>
        <w:adjustRightInd w:val="0"/>
        <w:spacing w:after="0" w:line="240" w:lineRule="auto"/>
        <w:jc w:val="both"/>
        <w:rPr>
          <w:rFonts w:ascii="Calibri" w:eastAsia="Times New Roman" w:hAnsi="Calibri" w:cs="Arial"/>
          <w:color w:val="000000"/>
          <w:kern w:val="0"/>
          <w:lang w:val="es-ES" w:eastAsia="es-CR"/>
          <w14:ligatures w14:val="none"/>
        </w:rPr>
      </w:pPr>
      <w:r w:rsidRPr="00B977B2">
        <w:rPr>
          <w:rFonts w:ascii="Calibri" w:eastAsia="Times New Roman" w:hAnsi="Calibri" w:cs="Arial"/>
          <w:color w:val="000000"/>
          <w:kern w:val="0"/>
          <w:lang w:val="es-ES" w:eastAsia="es-CR"/>
          <w14:ligatures w14:val="none"/>
        </w:rPr>
        <w:t>Producir análisis exegéticos de textos bíblicos de distintos géneros literarios y períodos históricos mediante la implementación de diversos métodos propios de la disciplina, con el fin de lograr un diálogo entre el mundo del texto y el mundo de hoy, y una comunicación expositiva eficaz.</w:t>
      </w:r>
    </w:p>
    <w:p w14:paraId="55A127F8"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2287371A"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B977B2">
        <w:rPr>
          <w:rFonts w:ascii="Calibri" w:eastAsia="Times New Roman" w:hAnsi="Calibri" w:cs="Calibri"/>
          <w:b/>
          <w:bCs/>
          <w:iCs/>
          <w:color w:val="000000"/>
          <w:kern w:val="0"/>
          <w:lang w:val="es-ES_tradnl" w:eastAsia="es-CR"/>
          <w14:ligatures w14:val="none"/>
        </w:rPr>
        <w:t xml:space="preserve">III. Objetivos específicos </w:t>
      </w:r>
    </w:p>
    <w:p w14:paraId="3859AA66"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62EAEF9B"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B977B2">
        <w:rPr>
          <w:rFonts w:ascii="Calibri" w:eastAsia="Times New Roman" w:hAnsi="Calibri" w:cs="Calibri"/>
          <w:color w:val="000000"/>
          <w:kern w:val="0"/>
          <w:lang w:val="es-ES_tradnl" w:eastAsia="es-CR"/>
          <w14:ligatures w14:val="none"/>
        </w:rPr>
        <w:t xml:space="preserve">1. Relacionar los textos con sus contextos literarios e históricos. </w:t>
      </w:r>
    </w:p>
    <w:p w14:paraId="69F7045E"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446F7C0A"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B977B2">
        <w:rPr>
          <w:rFonts w:ascii="Calibri" w:eastAsia="Times New Roman" w:hAnsi="Calibri" w:cs="Calibri"/>
          <w:color w:val="000000"/>
          <w:kern w:val="0"/>
          <w:lang w:val="es-ES_tradnl" w:eastAsia="es-CR"/>
          <w14:ligatures w14:val="none"/>
        </w:rPr>
        <w:t xml:space="preserve">2. Aplicar los métodos más usados en la interpretación de textos. </w:t>
      </w:r>
    </w:p>
    <w:p w14:paraId="03F66913"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1F299E6C"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B977B2">
        <w:rPr>
          <w:rFonts w:ascii="Calibri" w:eastAsia="Times New Roman" w:hAnsi="Calibri" w:cs="Calibri"/>
          <w:color w:val="000000"/>
          <w:kern w:val="0"/>
          <w:lang w:val="es-ES_tradnl" w:eastAsia="es-CR"/>
          <w14:ligatures w14:val="none"/>
        </w:rPr>
        <w:t xml:space="preserve">3. Analizar a profundidad textos bíblicos que sean de utilidad práctica en las comunidades de quienes estudian. </w:t>
      </w:r>
    </w:p>
    <w:p w14:paraId="1AAF68A2"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564DC8B2"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B977B2">
        <w:rPr>
          <w:rFonts w:ascii="Calibri" w:eastAsia="Times New Roman" w:hAnsi="Calibri" w:cs="Calibri"/>
          <w:color w:val="000000"/>
          <w:kern w:val="0"/>
          <w:lang w:val="es-ES_tradnl" w:eastAsia="es-CR"/>
          <w14:ligatures w14:val="none"/>
        </w:rPr>
        <w:t>4. Desarrollar destrezas que posibiliten que se compartan los resultados de estudio en la vida de sus iglesias respectivas.</w:t>
      </w:r>
    </w:p>
    <w:p w14:paraId="01193733"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3F674D89"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r w:rsidRPr="00B977B2">
        <w:rPr>
          <w:rFonts w:ascii="Calibri" w:eastAsia="Times New Roman" w:hAnsi="Calibri" w:cs="Calibri"/>
          <w:b/>
          <w:bCs/>
          <w:color w:val="000000"/>
          <w:kern w:val="0"/>
          <w:lang w:val="es-ES_tradnl" w:eastAsia="es-CR"/>
          <w14:ligatures w14:val="none"/>
        </w:rPr>
        <w:t xml:space="preserve">IV. Contenidos </w:t>
      </w:r>
    </w:p>
    <w:p w14:paraId="79164879"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color w:val="000000"/>
          <w:kern w:val="0"/>
          <w:lang w:val="es-ES_tradnl" w:eastAsia="es-CR"/>
          <w14:ligatures w14:val="none"/>
        </w:rPr>
      </w:pPr>
    </w:p>
    <w:p w14:paraId="66E74F1A"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B977B2">
        <w:rPr>
          <w:rFonts w:ascii="Calibri" w:eastAsia="Times New Roman" w:hAnsi="Calibri" w:cs="Calibri"/>
          <w:b/>
          <w:bCs/>
          <w:color w:val="000000"/>
          <w:kern w:val="0"/>
          <w:lang w:val="es-ES_tradnl" w:eastAsia="es-CR"/>
          <w14:ligatures w14:val="none"/>
        </w:rPr>
        <w:t>Unidad 1: Modelos comunes en la interpretación bíblica</w:t>
      </w:r>
    </w:p>
    <w:p w14:paraId="52D2901B"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72EF38B8"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lang w:val="es-ES_tradnl" w:eastAsia="es-CR"/>
          <w14:ligatures w14:val="none"/>
        </w:rPr>
      </w:pPr>
      <w:r w:rsidRPr="00B977B2">
        <w:rPr>
          <w:rFonts w:ascii="Calibri" w:eastAsia="Times New Roman" w:hAnsi="Calibri" w:cs="Calibri"/>
          <w:kern w:val="0"/>
          <w:lang w:val="es-ES_tradnl" w:eastAsia="es-CR"/>
          <w14:ligatures w14:val="none"/>
        </w:rPr>
        <w:t>1.1 Introducción al curso</w:t>
      </w:r>
    </w:p>
    <w:p w14:paraId="5E5FCDAC"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lang w:val="es-ES_tradnl" w:eastAsia="es-CR"/>
          <w14:ligatures w14:val="none"/>
        </w:rPr>
      </w:pPr>
      <w:r w:rsidRPr="00B977B2">
        <w:rPr>
          <w:rFonts w:ascii="Calibri" w:eastAsia="Times New Roman" w:hAnsi="Calibri" w:cs="Calibri"/>
          <w:kern w:val="0"/>
          <w:lang w:val="es-ES_tradnl" w:eastAsia="es-CR"/>
          <w14:ligatures w14:val="none"/>
        </w:rPr>
        <w:t>1.2 Métodos de interpretación bíblica</w:t>
      </w:r>
    </w:p>
    <w:p w14:paraId="1C622FCE"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lang w:val="es-ES_tradnl" w:eastAsia="es-CR"/>
          <w14:ligatures w14:val="none"/>
        </w:rPr>
      </w:pPr>
    </w:p>
    <w:p w14:paraId="7DD0B006"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lang w:val="es-ES_tradnl" w:eastAsia="es-CR"/>
          <w14:ligatures w14:val="none"/>
        </w:rPr>
      </w:pPr>
      <w:r w:rsidRPr="00B977B2">
        <w:rPr>
          <w:rFonts w:ascii="Calibri" w:eastAsia="Times New Roman" w:hAnsi="Calibri" w:cs="Calibri"/>
          <w:b/>
          <w:bCs/>
          <w:kern w:val="0"/>
          <w:lang w:val="es-ES_tradnl" w:eastAsia="es-CR"/>
          <w14:ligatures w14:val="none"/>
        </w:rPr>
        <w:t>Unidad 2: El trasfondo de los textos</w:t>
      </w:r>
    </w:p>
    <w:p w14:paraId="49FDCD3E"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lang w:val="es-ES_tradnl" w:eastAsia="es-CR"/>
          <w14:ligatures w14:val="none"/>
        </w:rPr>
      </w:pPr>
    </w:p>
    <w:p w14:paraId="28B78F21"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sz w:val="20"/>
          <w:szCs w:val="20"/>
          <w:lang w:val="es-ES_tradnl" w:eastAsia="es-CR"/>
          <w14:ligatures w14:val="none"/>
        </w:rPr>
      </w:pPr>
      <w:r w:rsidRPr="00B977B2">
        <w:rPr>
          <w:rFonts w:ascii="Calibri" w:eastAsia="Times New Roman" w:hAnsi="Calibri" w:cs="Calibri"/>
          <w:kern w:val="0"/>
          <w:szCs w:val="18"/>
          <w:lang w:val="pt-BR" w:eastAsia="es-CR"/>
          <w14:ligatures w14:val="none"/>
        </w:rPr>
        <w:t>2.1 Contexto social e histórico</w:t>
      </w:r>
    </w:p>
    <w:p w14:paraId="24FAA308"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sz w:val="20"/>
          <w:szCs w:val="20"/>
          <w:lang w:val="es-ES_tradnl" w:eastAsia="es-CR"/>
          <w14:ligatures w14:val="none"/>
        </w:rPr>
      </w:pPr>
      <w:r w:rsidRPr="00B977B2">
        <w:rPr>
          <w:rFonts w:ascii="Calibri" w:eastAsia="Times New Roman" w:hAnsi="Calibri" w:cs="Calibri"/>
          <w:kern w:val="0"/>
          <w:szCs w:val="18"/>
          <w:lang w:val="pt-BR" w:eastAsia="es-CR"/>
          <w14:ligatures w14:val="none"/>
        </w:rPr>
        <w:t xml:space="preserve">2.2 Contexto </w:t>
      </w:r>
      <w:r w:rsidRPr="00B977B2">
        <w:rPr>
          <w:rFonts w:ascii="Calibri" w:eastAsia="Times New Roman" w:hAnsi="Calibri" w:cs="Calibri"/>
          <w:kern w:val="0"/>
          <w:szCs w:val="18"/>
          <w:lang w:eastAsia="es-CR"/>
          <w14:ligatures w14:val="none"/>
        </w:rPr>
        <w:t>literario</w:t>
      </w:r>
    </w:p>
    <w:p w14:paraId="3E4D2CAB"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sz w:val="20"/>
          <w:szCs w:val="20"/>
          <w:lang w:val="es-ES_tradnl" w:eastAsia="es-CR"/>
          <w14:ligatures w14:val="none"/>
        </w:rPr>
      </w:pPr>
    </w:p>
    <w:p w14:paraId="31B76FE4"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sz w:val="20"/>
          <w:szCs w:val="20"/>
          <w:lang w:val="es-ES_tradnl" w:eastAsia="es-CR"/>
          <w14:ligatures w14:val="none"/>
        </w:rPr>
      </w:pPr>
      <w:r w:rsidRPr="00B977B2">
        <w:rPr>
          <w:rFonts w:ascii="Calibri" w:eastAsia="Times New Roman" w:hAnsi="Calibri" w:cs="Calibri"/>
          <w:b/>
          <w:bCs/>
          <w:kern w:val="0"/>
          <w:lang w:val="es-ES_tradnl" w:eastAsia="es-CR"/>
          <w14:ligatures w14:val="none"/>
        </w:rPr>
        <w:t>Unidad 3: El análisis de los textos seleccionados</w:t>
      </w:r>
    </w:p>
    <w:p w14:paraId="654C5A83"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sz w:val="20"/>
          <w:szCs w:val="20"/>
          <w:lang w:val="es-ES_tradnl" w:eastAsia="es-CR"/>
          <w14:ligatures w14:val="none"/>
        </w:rPr>
      </w:pPr>
    </w:p>
    <w:p w14:paraId="3D3947E1"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sz w:val="18"/>
          <w:szCs w:val="18"/>
          <w:lang w:val="es-ES_tradnl" w:eastAsia="es-CR"/>
          <w14:ligatures w14:val="none"/>
        </w:rPr>
      </w:pPr>
      <w:r w:rsidRPr="00B977B2">
        <w:rPr>
          <w:rFonts w:ascii="Calibri" w:eastAsia="Times New Roman" w:hAnsi="Calibri" w:cs="Calibri"/>
          <w:kern w:val="0"/>
          <w:szCs w:val="18"/>
          <w:lang w:val="es-ES_tradnl" w:eastAsia="es-CR"/>
          <w14:ligatures w14:val="none"/>
        </w:rPr>
        <w:t>3.1 Análisis narrativo</w:t>
      </w:r>
    </w:p>
    <w:p w14:paraId="598758FB"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sz w:val="18"/>
          <w:szCs w:val="18"/>
          <w:lang w:val="es-ES_tradnl" w:eastAsia="es-CR"/>
          <w14:ligatures w14:val="none"/>
        </w:rPr>
      </w:pPr>
      <w:r w:rsidRPr="00B977B2">
        <w:rPr>
          <w:rFonts w:ascii="Calibri" w:eastAsia="Times New Roman" w:hAnsi="Calibri" w:cs="Calibri"/>
          <w:kern w:val="0"/>
          <w:szCs w:val="18"/>
          <w:lang w:val="es-ES_tradnl" w:eastAsia="es-CR"/>
          <w14:ligatures w14:val="none"/>
        </w:rPr>
        <w:t>3.2 Análisis sociológico</w:t>
      </w:r>
    </w:p>
    <w:p w14:paraId="386D71A5"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sz w:val="18"/>
          <w:szCs w:val="18"/>
          <w:lang w:val="es-ES_tradnl" w:eastAsia="es-CR"/>
          <w14:ligatures w14:val="none"/>
        </w:rPr>
      </w:pPr>
      <w:r w:rsidRPr="00B977B2">
        <w:rPr>
          <w:rFonts w:ascii="Calibri" w:eastAsia="Times New Roman" w:hAnsi="Calibri" w:cs="Calibri"/>
          <w:kern w:val="0"/>
          <w:szCs w:val="18"/>
          <w:lang w:val="es-ES_tradnl" w:eastAsia="es-CR"/>
          <w14:ligatures w14:val="none"/>
        </w:rPr>
        <w:t>3.3 Análisis retórico</w:t>
      </w:r>
    </w:p>
    <w:p w14:paraId="59ADA653"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sz w:val="18"/>
          <w:szCs w:val="18"/>
          <w:lang w:val="es-ES_tradnl" w:eastAsia="es-CR"/>
          <w14:ligatures w14:val="none"/>
        </w:rPr>
      </w:pPr>
    </w:p>
    <w:p w14:paraId="75D2A0C1"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
          <w:bCs/>
          <w:kern w:val="0"/>
          <w:lang w:val="es-ES_tradnl" w:eastAsia="es-CR"/>
          <w14:ligatures w14:val="none"/>
        </w:rPr>
      </w:pPr>
      <w:r w:rsidRPr="00B977B2">
        <w:rPr>
          <w:rFonts w:ascii="Calibri" w:eastAsia="Times New Roman" w:hAnsi="Calibri" w:cs="Calibri"/>
          <w:b/>
          <w:bCs/>
          <w:kern w:val="0"/>
          <w:lang w:val="es-ES_tradnl" w:eastAsia="es-CR"/>
          <w14:ligatures w14:val="none"/>
        </w:rPr>
        <w:t>Unidad 4:  Análisis hermenéutico de los textos</w:t>
      </w:r>
    </w:p>
    <w:p w14:paraId="2C6E0DD1"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
          <w:bCs/>
          <w:kern w:val="0"/>
          <w:lang w:val="es-ES_tradnl" w:eastAsia="es-CR"/>
          <w14:ligatures w14:val="none"/>
        </w:rPr>
      </w:pPr>
    </w:p>
    <w:p w14:paraId="1514CE97"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lang w:val="es-ES_tradnl" w:eastAsia="es-CR"/>
          <w14:ligatures w14:val="none"/>
        </w:rPr>
      </w:pPr>
      <w:r w:rsidRPr="00B977B2">
        <w:rPr>
          <w:rFonts w:ascii="Calibri" w:eastAsia="Times New Roman" w:hAnsi="Calibri" w:cs="Calibri"/>
          <w:kern w:val="0"/>
          <w:lang w:val="es-ES_tradnl" w:eastAsia="es-CR"/>
          <w14:ligatures w14:val="none"/>
        </w:rPr>
        <w:t>4.1 La hermenéutica bíblica poscolonial</w:t>
      </w:r>
    </w:p>
    <w:p w14:paraId="5A462B27"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lang w:val="es-ES_tradnl" w:eastAsia="es-CR"/>
          <w14:ligatures w14:val="none"/>
        </w:rPr>
      </w:pPr>
      <w:r w:rsidRPr="00B977B2">
        <w:rPr>
          <w:rFonts w:ascii="Calibri" w:eastAsia="Times New Roman" w:hAnsi="Calibri" w:cs="Calibri"/>
          <w:kern w:val="0"/>
          <w:lang w:val="es-ES_tradnl" w:eastAsia="es-CR"/>
          <w14:ligatures w14:val="none"/>
        </w:rPr>
        <w:t>4.2 La hermenéutica bíblica feminista</w:t>
      </w:r>
    </w:p>
    <w:p w14:paraId="50F26F21"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lang w:val="es-ES_tradnl" w:eastAsia="es-CR"/>
          <w14:ligatures w14:val="none"/>
        </w:rPr>
      </w:pPr>
    </w:p>
    <w:p w14:paraId="7F9E1768"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
          <w:bCs/>
          <w:kern w:val="0"/>
          <w:szCs w:val="18"/>
          <w:lang w:val="es-ES_tradnl" w:eastAsia="es-CR"/>
          <w14:ligatures w14:val="none"/>
        </w:rPr>
      </w:pPr>
      <w:r w:rsidRPr="00B977B2">
        <w:rPr>
          <w:rFonts w:ascii="Calibri" w:eastAsia="Times New Roman" w:hAnsi="Calibri" w:cs="Calibri"/>
          <w:b/>
          <w:bCs/>
          <w:kern w:val="0"/>
          <w:szCs w:val="18"/>
          <w:lang w:val="es-ES_tradnl" w:eastAsia="es-CR"/>
          <w14:ligatures w14:val="none"/>
        </w:rPr>
        <w:t>Unidad 5: Conclusiones analíticas sobre los textos</w:t>
      </w:r>
    </w:p>
    <w:p w14:paraId="6EF4E97D"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
          <w:bCs/>
          <w:kern w:val="0"/>
          <w:szCs w:val="18"/>
          <w:lang w:val="es-ES_tradnl" w:eastAsia="es-CR"/>
          <w14:ligatures w14:val="none"/>
        </w:rPr>
      </w:pPr>
    </w:p>
    <w:p w14:paraId="44AE523A"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szCs w:val="18"/>
          <w:lang w:val="es-ES_tradnl" w:eastAsia="es-CR"/>
          <w14:ligatures w14:val="none"/>
        </w:rPr>
      </w:pPr>
      <w:r w:rsidRPr="00B977B2">
        <w:rPr>
          <w:rFonts w:ascii="Calibri" w:eastAsia="Times New Roman" w:hAnsi="Calibri" w:cs="Calibri"/>
          <w:kern w:val="0"/>
          <w:szCs w:val="18"/>
          <w:lang w:val="es-ES_tradnl" w:eastAsia="es-CR"/>
          <w14:ligatures w14:val="none"/>
        </w:rPr>
        <w:t>5.1 Revisión, recapitulación y síntesis</w:t>
      </w:r>
    </w:p>
    <w:p w14:paraId="6E95519C"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kern w:val="0"/>
          <w:sz w:val="16"/>
          <w:szCs w:val="16"/>
          <w:lang w:val="es-ES_tradnl" w:eastAsia="es-CR"/>
          <w14:ligatures w14:val="none"/>
        </w:rPr>
      </w:pPr>
      <w:r w:rsidRPr="00B977B2">
        <w:rPr>
          <w:rFonts w:ascii="Calibri" w:eastAsia="Times New Roman" w:hAnsi="Calibri" w:cs="Arial"/>
          <w:kern w:val="0"/>
          <w:lang w:val="es-ES_tradnl" w:eastAsia="es-CR"/>
          <w14:ligatures w14:val="none"/>
        </w:rPr>
        <w:t xml:space="preserve">5.2 Evaluación final </w:t>
      </w:r>
    </w:p>
    <w:p w14:paraId="7168C601"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Cs/>
          <w:kern w:val="0"/>
          <w:highlight w:val="yellow"/>
          <w14:ligatures w14:val="none"/>
        </w:rPr>
      </w:pPr>
      <w:r w:rsidRPr="00B977B2">
        <w:rPr>
          <w:rFonts w:ascii="Calibri" w:eastAsia="Calibri" w:hAnsi="Calibri" w:cs="Calibri"/>
          <w:b/>
          <w:bCs/>
          <w:color w:val="000000"/>
          <w:kern w:val="0"/>
          <w14:ligatures w14:val="none"/>
        </w:rPr>
        <w:t>V.</w:t>
      </w:r>
      <w:r w:rsidRPr="00B977B2">
        <w:rPr>
          <w:rFonts w:ascii="Calibri" w:eastAsia="Times New Roman" w:hAnsi="Calibri" w:cs="Calibri"/>
          <w:bCs/>
          <w:color w:val="000000"/>
          <w:kern w:val="0"/>
          <w:lang w:val="es-ES_tradnl" w:eastAsia="es-CR"/>
          <w14:ligatures w14:val="none"/>
        </w:rPr>
        <w:t xml:space="preserve"> </w:t>
      </w:r>
      <w:r w:rsidRPr="00B977B2">
        <w:rPr>
          <w:rFonts w:ascii="Calibri" w:eastAsia="Calibri" w:hAnsi="Calibri" w:cs="Calibri"/>
          <w:b/>
          <w:bCs/>
          <w:kern w:val="0"/>
          <w14:ligatures w14:val="none"/>
        </w:rPr>
        <w:t xml:space="preserve">Metodología </w:t>
      </w:r>
    </w:p>
    <w:p w14:paraId="5B8109C6"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B977B2">
        <w:rPr>
          <w:rFonts w:ascii="Calibri" w:eastAsia="Times New Roman" w:hAnsi="Calibri" w:cs="Arial"/>
          <w:color w:val="000000"/>
          <w:kern w:val="0"/>
          <w:lang w:val="es-ES" w:eastAsia="es-CR"/>
          <w14:ligatures w14:val="none"/>
        </w:rPr>
        <w:t xml:space="preserve">La metodología desarrollada en el aula virtual coloca a la persona estudiante como el eje central del </w:t>
      </w:r>
      <w:r w:rsidRPr="00B977B2">
        <w:rPr>
          <w:rFonts w:ascii="Calibri" w:eastAsia="Times New Roman" w:hAnsi="Calibri" w:cs="Arial"/>
          <w:color w:val="000000"/>
          <w:kern w:val="0"/>
          <w:lang w:val="es-ES" w:eastAsia="es-CR"/>
          <w14:ligatures w14:val="none"/>
        </w:rPr>
        <w:lastRenderedPageBreak/>
        <w:t>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0060E30D"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B977B2">
        <w:rPr>
          <w:rFonts w:ascii="Calibri" w:eastAsia="Times New Roman" w:hAnsi="Calibri" w:cs="Arial"/>
          <w:color w:val="000000"/>
          <w:kern w:val="0"/>
          <w:lang w:val="es-ES" w:eastAsia="es-CR"/>
          <w14:ligatures w14:val="none"/>
        </w:rPr>
        <w:t>Al trabajar con un texto antiguo de la Biblia se establece un tipo de conversación entre sistemas sociales distintos, es decir, del mundo antiguo y del mundo contemporáneo. Para que se dé un encuentro entre estos dos mundos se utilizan estrategias de lecturas intertextuales, interculturales y comparativas.  Al percibir la Biblia como alteridad es posible ubicar las narraciones en sus posibles contextos socioculturales, lo que permite construir una serie de escenarios en donde interactúan varios significados textuales. Con estas estrategias se construyen llaves hermenéuticas que hacen de la textualidad un entramado de interacciones sociales activadas a través del lenguaje y traducidas en los distintos escenarios creados. De esta manera, distintos acercamientos exegéticos, más los ejercicios de lectura intertextuales y comparativos permitirán entender qué era la Biblia como texto posado sobre muchos remiendos y elaborado sobre la base de contextos socioculturales y religiosos específicos.</w:t>
      </w:r>
    </w:p>
    <w:p w14:paraId="1FF30F57"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977B2">
        <w:rPr>
          <w:rFonts w:ascii="Calibri" w:eastAsia="Times New Roman" w:hAnsi="Calibri" w:cs="Calibri"/>
          <w:bCs/>
          <w:color w:val="000000"/>
          <w:kern w:val="0"/>
          <w:lang w:val="es-ES_tradnl" w:eastAsia="es-CR"/>
          <w14:ligatures w14:val="none"/>
        </w:rPr>
        <w:t>Con el apoyo de insumos teóricos aportados por la persona docente y las lecturas se realizarán ejercicios individuales y grupales con textos de diversos géneros literarios. Se valorarán, compararán y contrastarán acercamientos exegéticos, comparativos, interculturales e intertextuales a los textos bíblicos. La aplicación de diversos métodos a un texto bíblico permitirá el análisis crítico y profundo en sus posibles ambientes culturales, para finalmente exponer los resultados de una lectura crítica preliminar. En los encuentros sincrónicos virtuales la persona docente aportará elementos de profundización, se discutirá sobre textos bíblicos específicos y también se realizará una retroalimentación.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4AA03720"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sz w:val="8"/>
          <w:szCs w:val="8"/>
          <w:lang w:val="es-ES_tradnl" w:eastAsia="es-CR"/>
          <w14:ligatures w14:val="none"/>
        </w:rPr>
      </w:pPr>
    </w:p>
    <w:p w14:paraId="7F6FA987"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977B2">
        <w:rPr>
          <w:rFonts w:ascii="Calibri" w:eastAsia="Times New Roman" w:hAnsi="Calibri" w:cs="Calibri"/>
          <w:b/>
          <w:bCs/>
          <w:color w:val="000000"/>
          <w:kern w:val="0"/>
          <w:lang w:val="es-ES_tradnl" w:eastAsia="es-CR"/>
          <w14:ligatures w14:val="none"/>
        </w:rPr>
        <w:t>VI.</w:t>
      </w:r>
      <w:r w:rsidRPr="00B977B2">
        <w:rPr>
          <w:rFonts w:ascii="Calibri" w:eastAsia="Times New Roman" w:hAnsi="Calibri" w:cs="Calibri"/>
          <w:bCs/>
          <w:color w:val="000000"/>
          <w:kern w:val="0"/>
          <w:lang w:val="es-ES_tradnl" w:eastAsia="es-CR"/>
          <w14:ligatures w14:val="none"/>
        </w:rPr>
        <w:t xml:space="preserve"> </w:t>
      </w:r>
      <w:r w:rsidRPr="00B977B2">
        <w:rPr>
          <w:rFonts w:ascii="Calibri" w:eastAsia="Times New Roman" w:hAnsi="Calibri" w:cs="Calibri"/>
          <w:b/>
          <w:bCs/>
          <w:color w:val="000000"/>
          <w:kern w:val="0"/>
          <w:lang w:val="es-ES_tradnl" w:eastAsia="es-CR"/>
          <w14:ligatures w14:val="none"/>
        </w:rPr>
        <w:t xml:space="preserve">Estrategias de aprendizaje </w:t>
      </w:r>
    </w:p>
    <w:p w14:paraId="79C79740"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977B2">
        <w:rPr>
          <w:rFonts w:ascii="Calibri" w:eastAsia="Times New Roman" w:hAnsi="Calibri" w:cs="Calibri"/>
          <w:bCs/>
          <w:color w:val="000000"/>
          <w:kern w:val="0"/>
          <w:lang w:val="es-ES_tradnl" w:eastAsia="es-CR"/>
          <w14:ligatures w14:val="none"/>
        </w:rPr>
        <w:t>Las estrategias de aprendizajes se orientan por los objetivos del curso. Se priorizan tres tipos de estrategias: actividades de interacción y valoración crítica de los insumos de las lecturas, ejercicios individuales de análisis de textos bíblicos y actividades de diálogo y producción colectiva sobre los métodos de análisis bíblico, sus aportes, limitaciones e implementación.</w:t>
      </w:r>
    </w:p>
    <w:p w14:paraId="79027226"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977B2">
        <w:rPr>
          <w:rFonts w:ascii="Calibri" w:eastAsia="Times New Roman" w:hAnsi="Calibri" w:cs="Calibri"/>
          <w:bCs/>
          <w:color w:val="000000"/>
          <w:kern w:val="0"/>
          <w:lang w:val="es-ES_tradnl" w:eastAsia="es-CR"/>
          <w14:ligatures w14:val="none"/>
        </w:rPr>
        <w:t xml:space="preserve">Se utilizan las siguientes estrategias de aprendizaje: </w:t>
      </w:r>
    </w:p>
    <w:p w14:paraId="6DE21E67"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 w:eastAsia="es-CR"/>
          <w14:ligatures w14:val="none"/>
        </w:rPr>
      </w:pPr>
      <w:r w:rsidRPr="00B977B2">
        <w:rPr>
          <w:rFonts w:ascii="Calibri" w:eastAsia="Times New Roman" w:hAnsi="Calibri" w:cs="Arial"/>
          <w:b/>
          <w:bCs/>
          <w:color w:val="000000"/>
          <w:kern w:val="0"/>
          <w:lang w:val="es-ES" w:eastAsia="es-CR"/>
          <w14:ligatures w14:val="none"/>
        </w:rPr>
        <w:t xml:space="preserve">a) Encuentro sincrónico virtual: </w:t>
      </w:r>
      <w:r w:rsidRPr="00B977B2">
        <w:rPr>
          <w:rFonts w:ascii="Calibri" w:eastAsia="Times New Roman" w:hAnsi="Calibri" w:cs="Arial"/>
          <w:color w:val="000000"/>
          <w:kern w:val="0"/>
          <w:lang w:val="es-ES" w:eastAsia="es-CR"/>
          <w14:ligatures w14:val="none"/>
        </w:rPr>
        <w:t xml:space="preserve">Los encuentros sincrónicos virtuales se realizan por medio de la herramienta que se encuentra en la plataforma virtual. En ellos la persona docente aportará insumos de clarificación, profundización y orientación en la realización de ejercicios de análisis de textos en forma grupal. Se buscará desarrollar diálogos e intercambios sobre los distintos métodos de análisis de textos bíblicos. En las últimas dos sesiones los y las estudiantes presentarán su trabajo </w:t>
      </w:r>
      <w:r w:rsidRPr="00B977B2">
        <w:rPr>
          <w:rFonts w:ascii="Calibri" w:eastAsia="Times New Roman" w:hAnsi="Calibri" w:cs="Arial"/>
          <w:color w:val="000000"/>
          <w:kern w:val="0"/>
          <w:lang w:val="es-ES" w:eastAsia="es-CR"/>
          <w14:ligatures w14:val="none"/>
        </w:rPr>
        <w:lastRenderedPageBreak/>
        <w:t xml:space="preserve">final por medio de encuentros sincrónicos virtuales. Los encuentros sincrónicos tienen valor formativo. </w:t>
      </w:r>
    </w:p>
    <w:p w14:paraId="16B54656"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Arial"/>
          <w:kern w:val="0"/>
          <w:lang w:val="es-ES_tradnl" w:eastAsia="es-CR"/>
          <w14:ligatures w14:val="none"/>
        </w:rPr>
      </w:pPr>
      <w:r w:rsidRPr="00B977B2">
        <w:rPr>
          <w:rFonts w:ascii="Calibri" w:eastAsia="Times New Roman" w:hAnsi="Calibri" w:cs="Arial"/>
          <w:b/>
          <w:bCs/>
          <w:color w:val="000000"/>
          <w:kern w:val="0"/>
          <w:lang w:eastAsia="es-CR"/>
          <w14:ligatures w14:val="none"/>
        </w:rPr>
        <w:t xml:space="preserve">b) Foro: </w:t>
      </w:r>
      <w:r w:rsidRPr="00B977B2">
        <w:rPr>
          <w:rFonts w:ascii="Calibri" w:eastAsia="Times New Roman" w:hAnsi="Calibri" w:cs="Arial"/>
          <w:kern w:val="0"/>
          <w:lang w:val="es-ES_tradnl" w:eastAsia="es-CR"/>
          <w14:ligatures w14:val="none"/>
        </w:rPr>
        <w:t xml:space="preserve">Los foros son estrategias para fomentar el diálogo y la socialización de aportes y conocimientos de manera asincrónica. En ellos se realizará una discusión para desarrollar las ideas fundamentales de los textos asignados, formular una lectura intertextual entre los y las estudiantes y considerar el aporte de las lecturas para la práctica propia de análisis de textos bíblicos y su aplicación. Se promueve un diálogo que permita fortalecer la mirada crítica y contextual a los textos analizados y los métodos empleados, como también sus presupuestos teóricos. </w:t>
      </w:r>
    </w:p>
    <w:p w14:paraId="435820E4"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iCs/>
          <w:kern w:val="0"/>
          <w:szCs w:val="18"/>
          <w:lang w:val="es-ES_tradnl" w:eastAsia="es-CR"/>
          <w14:ligatures w14:val="none"/>
        </w:rPr>
      </w:pPr>
      <w:r w:rsidRPr="00B977B2">
        <w:rPr>
          <w:rFonts w:ascii="Calibri" w:eastAsia="Times New Roman" w:hAnsi="Calibri" w:cs="Calibri"/>
          <w:b/>
          <w:bCs/>
          <w:kern w:val="0"/>
          <w:szCs w:val="18"/>
          <w:lang w:val="es-ES_tradnl" w:eastAsia="es-CR"/>
          <w14:ligatures w14:val="none"/>
        </w:rPr>
        <w:t xml:space="preserve">c) Wiki: </w:t>
      </w:r>
      <w:r w:rsidRPr="00B977B2">
        <w:rPr>
          <w:rFonts w:ascii="Calibri" w:eastAsia="Times New Roman" w:hAnsi="Calibri" w:cs="Calibri"/>
          <w:iCs/>
          <w:kern w:val="0"/>
          <w:szCs w:val="18"/>
          <w:lang w:val="es-ES_tradnl" w:eastAsia="es-CR"/>
          <w14:ligatures w14:val="none"/>
        </w:rPr>
        <w:t xml:space="preserve">La herramienta del wiki permite desarrollar un trabajo colaborativo de construcción de un texto, análisis o insumos de otra naturaleza, según la indicación docente y la naturaleza del curso. Cada estudiante alimentará lo ya aportado por sus compañeros y compañeras para crear un solo texto que será producto de todos y todas. Las personas estudiantes desarrollarán un wiki sobre los modelos exegéticos y cómo estos indicen en nuestra lectura de la Biblia y, en otro momento, construirán un wiki sobre los métodos retóricos. En ambos wikis se aportarán ejemplos con textos bíblicos. </w:t>
      </w:r>
    </w:p>
    <w:p w14:paraId="26F2A7E4"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B977B2">
        <w:rPr>
          <w:rFonts w:ascii="Calibri" w:eastAsia="Times New Roman" w:hAnsi="Calibri" w:cs="Arial"/>
          <w:b/>
          <w:bCs/>
          <w:kern w:val="0"/>
          <w:lang w:val="es-ES" w:eastAsia="es-CR"/>
          <w14:ligatures w14:val="none"/>
        </w:rPr>
        <w:t xml:space="preserve">d) Análisis de textos bíblicos: </w:t>
      </w:r>
      <w:r w:rsidRPr="00B977B2">
        <w:rPr>
          <w:rFonts w:ascii="Calibri" w:eastAsia="Times New Roman" w:hAnsi="Calibri" w:cs="Arial"/>
          <w:kern w:val="0"/>
          <w:lang w:val="es-ES" w:eastAsia="es-CR"/>
          <w14:ligatures w14:val="none"/>
        </w:rPr>
        <w:t>Además de los análisis que se realizarán en los encuentros sincrónicos con la persona docente y demás personas del curso y en algunos de los foros, se desarrollarán tres trabajos individuales de análisis de textos bíblicos que serán asignados por la persona docente. Cada análisis se realizará con un método o enfoque distinto, acorde a la sesión respectiva. El ejercicio individual de análisis de textos será fundamental para fortalecer las destrezas y capacidades propias de una persona profesional en el área de Ciencias Bíblicas.</w:t>
      </w:r>
    </w:p>
    <w:p w14:paraId="461FA03B"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B977B2">
        <w:rPr>
          <w:rFonts w:ascii="Calibri" w:eastAsia="Times New Roman" w:hAnsi="Calibri" w:cs="Arial"/>
          <w:b/>
          <w:bCs/>
          <w:kern w:val="0"/>
          <w:lang w:val="es-ES" w:eastAsia="es-CR"/>
          <w14:ligatures w14:val="none"/>
        </w:rPr>
        <w:t xml:space="preserve">e) Trabajo final: </w:t>
      </w:r>
      <w:r w:rsidRPr="00B977B2">
        <w:rPr>
          <w:rFonts w:ascii="Calibri" w:eastAsia="Times New Roman" w:hAnsi="Calibri" w:cs="Arial"/>
          <w:kern w:val="0"/>
          <w:lang w:val="es-ES" w:eastAsia="es-CR"/>
          <w14:ligatures w14:val="none"/>
        </w:rPr>
        <w:t>El trabajo final es un trabajo grupal de análisis de un texto bíblico elegido entre los que asigne la persona docente. Se desarrollarán los métodos abordados en el curso, tomando en cuenta la retroalimentación recibida para los análisis entregados en sesiones anteriores. La persona docente entregará una guía para este trabajo. Antes de entregar en su forma final el trabajo, deberán entregar un borrador de este, con el objetivo de recibir retroalimentación de la persona docente.</w:t>
      </w:r>
    </w:p>
    <w:p w14:paraId="4652DF6F"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
          <w:bCs/>
          <w:kern w:val="0"/>
          <w:lang w:val="es-ES_tradnl" w:eastAsia="es-CR"/>
          <w14:ligatures w14:val="none"/>
        </w:rPr>
      </w:pPr>
      <w:r w:rsidRPr="00B977B2">
        <w:rPr>
          <w:rFonts w:ascii="Calibri" w:eastAsia="Times New Roman" w:hAnsi="Calibri" w:cs="Calibri"/>
          <w:b/>
          <w:bCs/>
          <w:kern w:val="0"/>
          <w:lang w:val="es-ES_tradnl" w:eastAsia="es-CR"/>
          <w14:ligatures w14:val="none"/>
        </w:rPr>
        <w:t xml:space="preserve">f) Presentación oral de los resultados del trabajo final: </w:t>
      </w:r>
      <w:r w:rsidRPr="00B977B2">
        <w:rPr>
          <w:rFonts w:ascii="Calibri" w:eastAsia="Times New Roman" w:hAnsi="Calibri" w:cs="Calibri"/>
          <w:kern w:val="0"/>
          <w:lang w:val="es-ES_tradnl" w:eastAsia="es-CR"/>
          <w14:ligatures w14:val="none"/>
        </w:rPr>
        <w:t>Cada grupo escogerá una persona encargada de exponer los resultados del trabajo final de forma oral. Así, las personas integrantes demostrarán el manejo de las herramientas utilizadas en clase en lo que se refiere a los modelos exegéticos y las lecturas de los textos bíblicos.</w:t>
      </w:r>
    </w:p>
    <w:p w14:paraId="745283A8"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CR"/>
          <w14:ligatures w14:val="none"/>
        </w:rPr>
      </w:pPr>
      <w:r w:rsidRPr="00B977B2">
        <w:rPr>
          <w:rFonts w:ascii="Calibri" w:eastAsia="Times New Roman" w:hAnsi="Calibri" w:cs="Calibri"/>
          <w:color w:val="000000"/>
          <w:kern w:val="0"/>
          <w:lang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1C91B82C"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2"/>
          <w:szCs w:val="2"/>
          <w:lang w:eastAsia="es-CR"/>
          <w14:ligatures w14:val="none"/>
        </w:rPr>
      </w:pPr>
    </w:p>
    <w:p w14:paraId="1D533871"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B977B2">
        <w:rPr>
          <w:rFonts w:ascii="Calibri" w:eastAsia="Times New Roman" w:hAnsi="Calibri" w:cs="Calibri"/>
          <w:b/>
          <w:bCs/>
          <w:color w:val="000000"/>
          <w:kern w:val="0"/>
          <w:lang w:val="es-ES_tradnl" w:eastAsia="es-CR"/>
          <w14:ligatures w14:val="none"/>
        </w:rPr>
        <w:t>VII. Recursos didácticos</w:t>
      </w:r>
    </w:p>
    <w:p w14:paraId="1CA91355"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D5753E9"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977B2">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3A3AD5AE"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E244B59"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B977B2">
        <w:rPr>
          <w:rFonts w:ascii="Calibri" w:eastAsia="Times New Roman" w:hAnsi="Calibri" w:cs="Arial"/>
          <w:color w:val="000000"/>
          <w:kern w:val="0"/>
          <w:lang w:val="es-ES" w:eastAsia="es-ES"/>
          <w14:ligatures w14:val="none"/>
        </w:rPr>
        <w:t xml:space="preserve">a) Lecturas semanales obligatorias que se asignan como insumo para las actividades individuales y grupales. Las lecturas abordan insumos teóricos y metodológicos para el análisis de textos que serán aplicados a los ejercicios prácticos asignados en foros, wiki, trabajos individuales, entre otros. Todos los materiales de lectura están disponibles en formato digital en la plataforma virtual.  </w:t>
      </w:r>
    </w:p>
    <w:p w14:paraId="516B9F0D"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8C18A2B"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B977B2">
        <w:rPr>
          <w:rFonts w:ascii="Calibri" w:eastAsia="Times New Roman" w:hAnsi="Calibri" w:cs="Arial"/>
          <w:color w:val="000000"/>
          <w:kern w:val="0"/>
          <w:lang w:val="es-ES" w:eastAsia="es-ES"/>
          <w14:ligatures w14:val="none"/>
        </w:rPr>
        <w:lastRenderedPageBreak/>
        <w:t>b) Lecturas complementarias en algunas de las sesiones que se asignan para su lectura con el fin de ampliar las temáticas y dar a conocer insumos para posterior profundización, según el interés de cada estudiante. Realizar estas lecturas es opcional.</w:t>
      </w:r>
    </w:p>
    <w:p w14:paraId="23DE624C"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56DCCCF"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977B2">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0056FAD1"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3E0E0B2"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977B2">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wiki y mediante la herramienta Big Blue </w:t>
      </w:r>
      <w:proofErr w:type="spellStart"/>
      <w:r w:rsidRPr="00B977B2">
        <w:rPr>
          <w:rFonts w:ascii="Calibri" w:eastAsia="Times New Roman" w:hAnsi="Calibri" w:cs="Calibri"/>
          <w:color w:val="000000"/>
          <w:kern w:val="0"/>
          <w:lang w:val="es-ES" w:eastAsia="es-ES"/>
          <w14:ligatures w14:val="none"/>
        </w:rPr>
        <w:t>Button</w:t>
      </w:r>
      <w:proofErr w:type="spellEnd"/>
      <w:r w:rsidRPr="00B977B2">
        <w:rPr>
          <w:rFonts w:ascii="Calibri" w:eastAsia="Times New Roman" w:hAnsi="Calibri" w:cs="Calibri"/>
          <w:color w:val="000000"/>
          <w:kern w:val="0"/>
          <w:lang w:val="es-ES" w:eastAsia="es-ES"/>
          <w14:ligatures w14:val="none"/>
        </w:rPr>
        <w:t xml:space="preserve"> en la plataforma Moodle, así como guías para los análisis de textos bíblicos y el trabajo final.</w:t>
      </w:r>
    </w:p>
    <w:p w14:paraId="0518CC0F"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3591093"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B977B2">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B977B2">
        <w:rPr>
          <w:rFonts w:ascii="Calibri" w:eastAsia="Times New Roman" w:hAnsi="Calibri" w:cs="Calibri"/>
          <w:color w:val="000000"/>
          <w:kern w:val="0"/>
          <w:lang w:val="es-ES" w:eastAsia="es-ES"/>
          <w14:ligatures w14:val="none"/>
        </w:rPr>
        <w:t>Strachan</w:t>
      </w:r>
      <w:proofErr w:type="spellEnd"/>
      <w:r w:rsidRPr="00B977B2">
        <w:rPr>
          <w:rFonts w:ascii="Calibri" w:eastAsia="Times New Roman" w:hAnsi="Calibri" w:cs="Calibri"/>
          <w:color w:val="000000"/>
          <w:kern w:val="0"/>
          <w:lang w:val="es-ES" w:eastAsia="es-ES"/>
          <w14:ligatures w14:val="none"/>
        </w:rPr>
        <w:t xml:space="preserve"> (</w:t>
      </w:r>
      <w:hyperlink r:id="rId455" w:history="1">
        <w:r w:rsidRPr="00B977B2">
          <w:rPr>
            <w:rFonts w:ascii="Calibri" w:eastAsia="Times New Roman" w:hAnsi="Calibri" w:cs="Calibri"/>
            <w:color w:val="0563C1"/>
            <w:kern w:val="0"/>
            <w:u w:val="single"/>
            <w:lang w:val="es-ES" w:eastAsia="es-ES"/>
            <w14:ligatures w14:val="none"/>
          </w:rPr>
          <w:t>https://www.ubl.ac.cr/biblioteca</w:t>
        </w:r>
      </w:hyperlink>
      <w:r w:rsidRPr="00B977B2">
        <w:rPr>
          <w:rFonts w:ascii="Calibri" w:eastAsia="Times New Roman" w:hAnsi="Calibri" w:cs="Calibri"/>
          <w:color w:val="000000"/>
          <w:kern w:val="0"/>
          <w:lang w:val="es-ES" w:eastAsia="es-ES"/>
          <w14:ligatures w14:val="none"/>
        </w:rPr>
        <w:t>), así como consultar el Portal de Revistas de la UBL (</w:t>
      </w:r>
      <w:hyperlink r:id="rId456" w:history="1">
        <w:r w:rsidRPr="00B977B2">
          <w:rPr>
            <w:rFonts w:ascii="Calibri" w:eastAsia="Times New Roman" w:hAnsi="Calibri" w:cs="Calibri"/>
            <w:color w:val="0563C1"/>
            <w:kern w:val="0"/>
            <w:u w:val="single"/>
            <w:lang w:val="es-ES" w:eastAsia="es-ES"/>
            <w14:ligatures w14:val="none"/>
          </w:rPr>
          <w:t>http://revistas.ubl.ac.cr/</w:t>
        </w:r>
      </w:hyperlink>
      <w:r w:rsidRPr="00B977B2">
        <w:rPr>
          <w:rFonts w:ascii="Calibri" w:eastAsia="Times New Roman" w:hAnsi="Calibri" w:cs="Calibri"/>
          <w:color w:val="000000"/>
          <w:kern w:val="0"/>
          <w:lang w:val="es-ES" w:eastAsia="es-ES"/>
          <w14:ligatures w14:val="none"/>
        </w:rPr>
        <w:t>). A través del correo de la biblioteca (</w:t>
      </w:r>
      <w:hyperlink r:id="rId457" w:history="1">
        <w:r w:rsidRPr="00B977B2">
          <w:rPr>
            <w:rFonts w:ascii="Calibri" w:eastAsia="Times New Roman" w:hAnsi="Calibri" w:cs="Calibri"/>
            <w:color w:val="0563C1"/>
            <w:kern w:val="0"/>
            <w:u w:val="single"/>
            <w:lang w:val="es-ES" w:eastAsia="es-ES"/>
            <w14:ligatures w14:val="none"/>
          </w:rPr>
          <w:t>biblioteca@ubl.ac.cr</w:t>
        </w:r>
      </w:hyperlink>
      <w:r w:rsidRPr="00B977B2">
        <w:rPr>
          <w:rFonts w:ascii="Calibri" w:eastAsia="Times New Roman" w:hAnsi="Calibri" w:cs="Calibri"/>
          <w:color w:val="000000"/>
          <w:kern w:val="0"/>
          <w:lang w:val="es-ES" w:eastAsia="es-ES"/>
          <w14:ligatures w14:val="none"/>
        </w:rPr>
        <w:t xml:space="preserve">) puede solicitar recursos que se encuentren en la colección física. </w:t>
      </w:r>
    </w:p>
    <w:p w14:paraId="2ADDA8ED"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4A6578E"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B977B2">
        <w:rPr>
          <w:rFonts w:ascii="Calibri" w:eastAsia="Times New Roman" w:hAnsi="Calibri" w:cs="Calibri"/>
          <w:color w:val="000000"/>
          <w:kern w:val="0"/>
          <w:lang w:val="es-ES" w:eastAsia="es-ES"/>
          <w14:ligatures w14:val="none"/>
        </w:rPr>
        <w:t>f)</w:t>
      </w:r>
      <w:r w:rsidRPr="00B977B2">
        <w:rPr>
          <w:rFonts w:ascii="Times New Roman" w:eastAsia="Times New Roman" w:hAnsi="Times New Roman" w:cs="Calibri"/>
          <w:bCs/>
          <w:kern w:val="0"/>
          <w:sz w:val="24"/>
          <w:szCs w:val="24"/>
          <w:lang w:val="es-ES_tradnl" w:eastAsia="es-CR"/>
          <w14:ligatures w14:val="none"/>
        </w:rPr>
        <w:t xml:space="preserve"> </w:t>
      </w:r>
      <w:r w:rsidRPr="00B977B2">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Bíblicas. Dicho espacio está disponible para todas las personas registradas en el campus virtual y se puede acceder a través del siguiente enlace: </w:t>
      </w:r>
      <w:hyperlink r:id="rId458" w:history="1">
        <w:r w:rsidRPr="00B977B2">
          <w:rPr>
            <w:rFonts w:ascii="Calibri" w:eastAsia="Times New Roman" w:hAnsi="Calibri" w:cs="Calibri"/>
            <w:bCs/>
            <w:color w:val="0563C1"/>
            <w:kern w:val="0"/>
            <w:u w:val="single"/>
            <w:lang w:val="es-ES_tradnl" w:eastAsia="es-CR"/>
            <w14:ligatures w14:val="none"/>
          </w:rPr>
          <w:t>https://campus.ubl.ac.cr/course/index.php?categoryid=186</w:t>
        </w:r>
      </w:hyperlink>
    </w:p>
    <w:p w14:paraId="4C7992B1"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6EFD5B4D" w14:textId="77777777" w:rsidR="00B977B2" w:rsidRPr="00B977B2" w:rsidRDefault="00B977B2" w:rsidP="00B977B2">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B977B2">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08A4925C"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2C8F90CA"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1AB26628"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4905DF07"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ES"/>
          <w14:ligatures w14:val="none"/>
        </w:rPr>
      </w:pPr>
    </w:p>
    <w:p w14:paraId="0149E8DD"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0B77072F"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705B3F95"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77A33498"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4B259E62"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eastAsia="es-ES"/>
          <w14:ligatures w14:val="none"/>
        </w:rPr>
      </w:pPr>
    </w:p>
    <w:p w14:paraId="7D39F67B" w14:textId="77777777" w:rsid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p>
    <w:p w14:paraId="0FC2834B" w14:textId="77777777" w:rsidR="00954291" w:rsidRDefault="00954291" w:rsidP="00B977B2">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p>
    <w:p w14:paraId="3A23BC46" w14:textId="77777777" w:rsidR="00954291" w:rsidRPr="00B977B2" w:rsidRDefault="00954291" w:rsidP="00B977B2">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p>
    <w:p w14:paraId="33B1C791"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p>
    <w:p w14:paraId="4641DB52"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p>
    <w:p w14:paraId="6787A3DD"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977B2">
        <w:rPr>
          <w:rFonts w:ascii="Calibri" w:eastAsia="Times New Roman" w:hAnsi="Calibri" w:cs="Calibri"/>
          <w:b/>
          <w:bCs/>
          <w:color w:val="000000"/>
          <w:kern w:val="0"/>
          <w:lang w:val="es-ES_tradnl" w:eastAsia="es-CR"/>
          <w14:ligatures w14:val="none"/>
        </w:rPr>
        <w:lastRenderedPageBreak/>
        <w:t xml:space="preserve">VIII. </w:t>
      </w:r>
      <w:r w:rsidRPr="00B977B2">
        <w:rPr>
          <w:rFonts w:ascii="Calibri" w:eastAsia="Times New Roman" w:hAnsi="Calibri" w:cs="Calibri"/>
          <w:b/>
          <w:bCs/>
          <w:kern w:val="0"/>
          <w:lang w:val="es-ES_tradnl" w:eastAsia="es-CR"/>
          <w14:ligatures w14:val="none"/>
        </w:rPr>
        <w:t>Cronograma de trabajo</w:t>
      </w:r>
    </w:p>
    <w:p w14:paraId="59A655A3"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tbl>
      <w:tblPr>
        <w:tblStyle w:val="Tablaconcuadrcula"/>
        <w:tblW w:w="10201" w:type="dxa"/>
        <w:jc w:val="center"/>
        <w:tblLayout w:type="fixed"/>
        <w:tblLook w:val="04A0" w:firstRow="1" w:lastRow="0" w:firstColumn="1" w:lastColumn="0" w:noHBand="0" w:noVBand="1"/>
      </w:tblPr>
      <w:tblGrid>
        <w:gridCol w:w="1144"/>
        <w:gridCol w:w="2395"/>
        <w:gridCol w:w="3402"/>
        <w:gridCol w:w="3260"/>
      </w:tblGrid>
      <w:tr w:rsidR="00B977B2" w:rsidRPr="00B977B2" w14:paraId="6BE36B8A" w14:textId="77777777" w:rsidTr="00104785">
        <w:trPr>
          <w:trHeight w:val="463"/>
          <w:jc w:val="center"/>
        </w:trPr>
        <w:tc>
          <w:tcPr>
            <w:tcW w:w="1144" w:type="dxa"/>
            <w:vMerge w:val="restart"/>
            <w:vAlign w:val="center"/>
          </w:tcPr>
          <w:p w14:paraId="5D302DD2" w14:textId="77777777" w:rsidR="00B977B2" w:rsidRPr="00B977B2" w:rsidRDefault="00B977B2" w:rsidP="00B977B2">
            <w:pPr>
              <w:widowControl w:val="0"/>
              <w:overflowPunct w:val="0"/>
              <w:autoSpaceDE w:val="0"/>
              <w:autoSpaceDN w:val="0"/>
              <w:adjustRightInd w:val="0"/>
              <w:jc w:val="center"/>
              <w:rPr>
                <w:rFonts w:eastAsia="Times New Roman" w:cs="Calibri"/>
                <w:b/>
                <w:bCs/>
                <w:sz w:val="24"/>
                <w:szCs w:val="24"/>
                <w:lang w:val="es-ES_tradnl" w:eastAsia="es-CR"/>
              </w:rPr>
            </w:pPr>
            <w:r w:rsidRPr="00B977B2">
              <w:rPr>
                <w:rFonts w:eastAsia="Times New Roman" w:cs="Calibri"/>
                <w:b/>
                <w:bCs/>
                <w:sz w:val="24"/>
                <w:szCs w:val="24"/>
                <w:lang w:val="es-ES_tradnl" w:eastAsia="es-CR"/>
              </w:rPr>
              <w:t xml:space="preserve">Sesión </w:t>
            </w:r>
          </w:p>
          <w:p w14:paraId="1C5AC8CD" w14:textId="77777777" w:rsidR="00B977B2" w:rsidRPr="00B977B2" w:rsidRDefault="00B977B2" w:rsidP="00B977B2">
            <w:pPr>
              <w:widowControl w:val="0"/>
              <w:overflowPunct w:val="0"/>
              <w:autoSpaceDE w:val="0"/>
              <w:autoSpaceDN w:val="0"/>
              <w:adjustRightInd w:val="0"/>
              <w:jc w:val="center"/>
              <w:rPr>
                <w:rFonts w:eastAsia="Times New Roman" w:cs="Calibri"/>
                <w:b/>
                <w:bCs/>
                <w:sz w:val="24"/>
                <w:szCs w:val="24"/>
                <w:lang w:val="es-ES_tradnl" w:eastAsia="es-CR"/>
              </w:rPr>
            </w:pPr>
            <w:r w:rsidRPr="00B977B2">
              <w:rPr>
                <w:rFonts w:eastAsia="Times New Roman" w:cs="Calibri"/>
                <w:b/>
                <w:bCs/>
                <w:sz w:val="24"/>
                <w:szCs w:val="24"/>
                <w:lang w:val="es-ES_tradnl" w:eastAsia="es-CR"/>
              </w:rPr>
              <w:t>(semana)</w:t>
            </w:r>
          </w:p>
        </w:tc>
        <w:tc>
          <w:tcPr>
            <w:tcW w:w="2395" w:type="dxa"/>
            <w:vMerge w:val="restart"/>
            <w:vAlign w:val="center"/>
          </w:tcPr>
          <w:p w14:paraId="61D62F72" w14:textId="77777777" w:rsidR="00B977B2" w:rsidRPr="00B977B2" w:rsidRDefault="00B977B2" w:rsidP="00B977B2">
            <w:pPr>
              <w:widowControl w:val="0"/>
              <w:overflowPunct w:val="0"/>
              <w:autoSpaceDE w:val="0"/>
              <w:autoSpaceDN w:val="0"/>
              <w:adjustRightInd w:val="0"/>
              <w:jc w:val="center"/>
              <w:rPr>
                <w:rFonts w:eastAsia="Times New Roman" w:cs="Calibri"/>
                <w:b/>
                <w:bCs/>
                <w:sz w:val="24"/>
                <w:szCs w:val="24"/>
                <w:lang w:val="es-ES_tradnl" w:eastAsia="es-CR"/>
              </w:rPr>
            </w:pPr>
            <w:r w:rsidRPr="00B977B2">
              <w:rPr>
                <w:rFonts w:eastAsia="Times New Roman" w:cs="Calibri"/>
                <w:b/>
                <w:bCs/>
                <w:sz w:val="24"/>
                <w:szCs w:val="24"/>
                <w:lang w:val="es-ES_tradnl" w:eastAsia="es-CR"/>
              </w:rPr>
              <w:t>Contenidos temáticos</w:t>
            </w:r>
          </w:p>
        </w:tc>
        <w:tc>
          <w:tcPr>
            <w:tcW w:w="6662" w:type="dxa"/>
            <w:gridSpan w:val="2"/>
            <w:vAlign w:val="center"/>
          </w:tcPr>
          <w:p w14:paraId="70E7137C" w14:textId="77777777" w:rsidR="00B977B2" w:rsidRPr="00B977B2" w:rsidRDefault="00B977B2" w:rsidP="00B977B2">
            <w:pPr>
              <w:widowControl w:val="0"/>
              <w:overflowPunct w:val="0"/>
              <w:autoSpaceDE w:val="0"/>
              <w:autoSpaceDN w:val="0"/>
              <w:adjustRightInd w:val="0"/>
              <w:jc w:val="center"/>
              <w:rPr>
                <w:rFonts w:eastAsia="Times New Roman" w:cs="Calibri"/>
                <w:b/>
                <w:bCs/>
                <w:sz w:val="24"/>
                <w:szCs w:val="24"/>
                <w:lang w:val="es-ES_tradnl" w:eastAsia="es-CR"/>
              </w:rPr>
            </w:pPr>
            <w:r w:rsidRPr="00B977B2">
              <w:rPr>
                <w:rFonts w:eastAsia="Times New Roman" w:cs="Calibri"/>
                <w:b/>
                <w:bCs/>
                <w:sz w:val="24"/>
                <w:szCs w:val="24"/>
                <w:lang w:val="es-ES_tradnl" w:eastAsia="es-CR"/>
              </w:rPr>
              <w:t>Actividades de enseñanza-aprendizaje</w:t>
            </w:r>
          </w:p>
        </w:tc>
      </w:tr>
      <w:tr w:rsidR="00B977B2" w:rsidRPr="00B977B2" w14:paraId="73ED0451" w14:textId="77777777" w:rsidTr="00104785">
        <w:trPr>
          <w:trHeight w:val="555"/>
          <w:jc w:val="center"/>
        </w:trPr>
        <w:tc>
          <w:tcPr>
            <w:tcW w:w="1144" w:type="dxa"/>
            <w:vMerge/>
            <w:vAlign w:val="center"/>
          </w:tcPr>
          <w:p w14:paraId="0EA171C4"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tc>
        <w:tc>
          <w:tcPr>
            <w:tcW w:w="2395" w:type="dxa"/>
            <w:vMerge/>
            <w:vAlign w:val="center"/>
          </w:tcPr>
          <w:p w14:paraId="62961D94"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tc>
        <w:tc>
          <w:tcPr>
            <w:tcW w:w="3402" w:type="dxa"/>
            <w:vAlign w:val="center"/>
          </w:tcPr>
          <w:p w14:paraId="33F9AB81" w14:textId="77777777" w:rsidR="00B977B2" w:rsidRPr="00B977B2" w:rsidRDefault="00B977B2" w:rsidP="00B977B2">
            <w:pPr>
              <w:widowControl w:val="0"/>
              <w:overflowPunct w:val="0"/>
              <w:autoSpaceDE w:val="0"/>
              <w:autoSpaceDN w:val="0"/>
              <w:adjustRightInd w:val="0"/>
              <w:jc w:val="center"/>
              <w:rPr>
                <w:rFonts w:eastAsia="Times New Roman" w:cs="Calibri"/>
                <w:b/>
                <w:bCs/>
                <w:sz w:val="24"/>
                <w:szCs w:val="24"/>
                <w:lang w:val="es-ES_tradnl" w:eastAsia="es-CR"/>
              </w:rPr>
            </w:pPr>
            <w:r w:rsidRPr="00B977B2">
              <w:rPr>
                <w:rFonts w:eastAsia="Times New Roman" w:cs="Calibri"/>
                <w:b/>
                <w:bCs/>
                <w:sz w:val="24"/>
                <w:szCs w:val="24"/>
                <w:lang w:val="es-ES_tradnl" w:eastAsia="es-CR"/>
              </w:rPr>
              <w:t>Recursos didácticos</w:t>
            </w:r>
          </w:p>
        </w:tc>
        <w:tc>
          <w:tcPr>
            <w:tcW w:w="3260" w:type="dxa"/>
            <w:vAlign w:val="center"/>
          </w:tcPr>
          <w:p w14:paraId="0C354D8E" w14:textId="77777777" w:rsidR="00B977B2" w:rsidRPr="00B977B2" w:rsidRDefault="00B977B2" w:rsidP="00B977B2">
            <w:pPr>
              <w:widowControl w:val="0"/>
              <w:overflowPunct w:val="0"/>
              <w:autoSpaceDE w:val="0"/>
              <w:autoSpaceDN w:val="0"/>
              <w:adjustRightInd w:val="0"/>
              <w:jc w:val="center"/>
              <w:rPr>
                <w:rFonts w:eastAsia="Times New Roman" w:cs="Calibri"/>
                <w:b/>
                <w:bCs/>
                <w:sz w:val="24"/>
                <w:szCs w:val="24"/>
                <w:lang w:val="es-ES_tradnl" w:eastAsia="es-CR"/>
              </w:rPr>
            </w:pPr>
            <w:r w:rsidRPr="00B977B2">
              <w:rPr>
                <w:rFonts w:eastAsia="Times New Roman" w:cs="Calibri"/>
                <w:b/>
                <w:bCs/>
                <w:sz w:val="24"/>
                <w:szCs w:val="24"/>
                <w:lang w:val="es-ES_tradnl" w:eastAsia="es-CR"/>
              </w:rPr>
              <w:t>Actividades de aprendizaje</w:t>
            </w:r>
          </w:p>
        </w:tc>
      </w:tr>
      <w:tr w:rsidR="00B977B2" w:rsidRPr="00B977B2" w14:paraId="0E95B336" w14:textId="77777777" w:rsidTr="00104785">
        <w:trPr>
          <w:jc w:val="center"/>
        </w:trPr>
        <w:tc>
          <w:tcPr>
            <w:tcW w:w="1144" w:type="dxa"/>
          </w:tcPr>
          <w:p w14:paraId="66CB9F6B"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2CAFBFC9"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1</w:t>
            </w:r>
          </w:p>
        </w:tc>
        <w:tc>
          <w:tcPr>
            <w:tcW w:w="2395" w:type="dxa"/>
          </w:tcPr>
          <w:p w14:paraId="6D5D5BC8" w14:textId="77777777" w:rsidR="00B977B2" w:rsidRPr="00B977B2" w:rsidRDefault="00B977B2" w:rsidP="00B977B2">
            <w:pPr>
              <w:widowControl w:val="0"/>
              <w:overflowPunct w:val="0"/>
              <w:autoSpaceDE w:val="0"/>
              <w:autoSpaceDN w:val="0"/>
              <w:adjustRightInd w:val="0"/>
              <w:rPr>
                <w:rFonts w:eastAsia="Times New Roman" w:cs="Calibri"/>
                <w:b/>
                <w:bCs/>
                <w:color w:val="000000"/>
                <w:lang w:val="es-ES_tradnl" w:eastAsia="es-CR"/>
              </w:rPr>
            </w:pPr>
            <w:r w:rsidRPr="00B977B2">
              <w:rPr>
                <w:rFonts w:eastAsia="Times New Roman" w:cs="Calibri"/>
                <w:b/>
                <w:bCs/>
                <w:color w:val="000000"/>
                <w:lang w:val="es-ES_tradnl" w:eastAsia="es-CR"/>
              </w:rPr>
              <w:t>Unidad 1: Modelos comunes en la interpretación bíblica</w:t>
            </w:r>
          </w:p>
          <w:p w14:paraId="3196F8B9" w14:textId="77777777" w:rsidR="00B977B2" w:rsidRPr="00B977B2" w:rsidRDefault="00B977B2" w:rsidP="00B977B2">
            <w:pPr>
              <w:widowControl w:val="0"/>
              <w:overflowPunct w:val="0"/>
              <w:autoSpaceDE w:val="0"/>
              <w:autoSpaceDN w:val="0"/>
              <w:adjustRightInd w:val="0"/>
              <w:rPr>
                <w:rFonts w:eastAsia="Times New Roman" w:cs="Calibri"/>
                <w:color w:val="000000"/>
                <w:lang w:val="es-ES_tradnl" w:eastAsia="es-CR"/>
              </w:rPr>
            </w:pPr>
          </w:p>
          <w:p w14:paraId="07D0AECC" w14:textId="77777777" w:rsidR="00B977B2" w:rsidRPr="00B977B2" w:rsidRDefault="00B977B2" w:rsidP="00B977B2">
            <w:pPr>
              <w:widowControl w:val="0"/>
              <w:overflowPunct w:val="0"/>
              <w:autoSpaceDE w:val="0"/>
              <w:autoSpaceDN w:val="0"/>
              <w:adjustRightInd w:val="0"/>
              <w:rPr>
                <w:rFonts w:eastAsia="Times New Roman" w:cs="Calibri"/>
                <w:color w:val="000000"/>
                <w:lang w:val="es-ES_tradnl" w:eastAsia="es-CR"/>
              </w:rPr>
            </w:pPr>
            <w:r w:rsidRPr="00B977B2">
              <w:rPr>
                <w:rFonts w:eastAsia="Times New Roman" w:cs="Calibri"/>
                <w:lang w:val="es-ES_tradnl" w:eastAsia="es-CR"/>
              </w:rPr>
              <w:t>1.1 Introducción al curso</w:t>
            </w:r>
          </w:p>
          <w:p w14:paraId="6BCE7690"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6AA763D4"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32AD9D0D"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p>
          <w:p w14:paraId="496EB7D1" w14:textId="77777777" w:rsidR="00B977B2" w:rsidRPr="00B977B2" w:rsidRDefault="00B977B2" w:rsidP="00B977B2">
            <w:pPr>
              <w:widowControl w:val="0"/>
              <w:overflowPunct w:val="0"/>
              <w:autoSpaceDE w:val="0"/>
              <w:autoSpaceDN w:val="0"/>
              <w:adjustRightInd w:val="0"/>
              <w:rPr>
                <w:rFonts w:eastAsia="Times New Roman" w:cs="Calibri"/>
                <w:color w:val="0563C1"/>
                <w:u w:val="single"/>
                <w:lang w:val="es-ES_tradnl" w:eastAsia="es-CR" w:bidi="he-IL"/>
              </w:rPr>
            </w:pPr>
            <w:r w:rsidRPr="00B977B2">
              <w:rPr>
                <w:rFonts w:eastAsia="Times New Roman" w:cs="Calibri"/>
                <w:lang w:val="es-ES_tradnl" w:eastAsia="es-CR" w:bidi="he-IL"/>
              </w:rPr>
              <w:t>Monroy Palacio, José Agustín. “Interculturalidad con enfoque bíblico-teológico”. </w:t>
            </w:r>
            <w:r w:rsidRPr="00B977B2">
              <w:rPr>
                <w:rFonts w:eastAsia="Times New Roman" w:cs="Calibri"/>
                <w:i/>
                <w:iCs/>
                <w:lang w:val="es-ES_tradnl" w:eastAsia="es-CR" w:bidi="he-IL"/>
              </w:rPr>
              <w:t xml:space="preserve">Camino, </w:t>
            </w:r>
            <w:r w:rsidRPr="00B977B2">
              <w:rPr>
                <w:rFonts w:eastAsia="Times New Roman" w:cs="Calibri"/>
                <w:lang w:val="es-ES_tradnl" w:eastAsia="es-CR" w:bidi="he-IL"/>
              </w:rPr>
              <w:t xml:space="preserve">n. 7 (2020): 25-31. Acceso el 18 de noviembre de 2022. </w:t>
            </w:r>
            <w:hyperlink r:id="rId459" w:history="1">
              <w:r w:rsidRPr="00B977B2">
                <w:rPr>
                  <w:rFonts w:eastAsia="Times New Roman" w:cs="Calibri"/>
                  <w:color w:val="0563C1"/>
                  <w:u w:val="single"/>
                  <w:lang w:val="es-ES_tradnl" w:eastAsia="es-CR" w:bidi="he-IL"/>
                </w:rPr>
                <w:t>https://revistas.uniclaretiana.edu.co/index.php/Camino/article/view/77</w:t>
              </w:r>
            </w:hyperlink>
          </w:p>
          <w:p w14:paraId="378E9A54"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74C35457"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r w:rsidRPr="00B977B2">
              <w:rPr>
                <w:rFonts w:eastAsia="Times New Roman" w:cs="Calibri"/>
                <w:b/>
                <w:bCs/>
                <w:color w:val="0070C0"/>
                <w:lang w:val="es-ES_tradnl" w:eastAsia="es-CR"/>
              </w:rPr>
              <w:t>Material complementario</w:t>
            </w:r>
          </w:p>
          <w:p w14:paraId="048786EB"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p>
          <w:p w14:paraId="5E4F9BD8"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rPr>
            </w:pPr>
            <w:r w:rsidRPr="00B977B2">
              <w:rPr>
                <w:rFonts w:eastAsia="Times New Roman" w:cs="Calibri"/>
                <w:color w:val="0070C0"/>
                <w:lang w:val="es-ES_tradnl" w:eastAsia="es-CR"/>
              </w:rPr>
              <w:t>Guía para la participación en un foro en la plataforma Moodle</w:t>
            </w:r>
          </w:p>
          <w:p w14:paraId="2F1A8955"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rPr>
            </w:pPr>
          </w:p>
          <w:p w14:paraId="28134FE2"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r w:rsidRPr="00B977B2">
              <w:rPr>
                <w:rFonts w:eastAsia="Times New Roman" w:cs="Calibri"/>
                <w:color w:val="0070C0"/>
                <w:lang w:val="es-ES_tradnl" w:eastAsia="es-CR"/>
              </w:rPr>
              <w:t xml:space="preserve">Guía para la participación mediante la herramienta Big Blue </w:t>
            </w:r>
            <w:proofErr w:type="spellStart"/>
            <w:r w:rsidRPr="00B977B2">
              <w:rPr>
                <w:rFonts w:eastAsia="Times New Roman" w:cs="Calibri"/>
                <w:color w:val="0070C0"/>
                <w:lang w:val="es-ES_tradnl" w:eastAsia="es-CR"/>
              </w:rPr>
              <w:t>Button</w:t>
            </w:r>
            <w:proofErr w:type="spellEnd"/>
            <w:r w:rsidRPr="00B977B2">
              <w:rPr>
                <w:rFonts w:eastAsia="Times New Roman" w:cs="Calibri"/>
                <w:color w:val="0070C0"/>
                <w:lang w:val="es-ES_tradnl" w:eastAsia="es-CR"/>
              </w:rPr>
              <w:t xml:space="preserve"> en la plataforma Moodle</w:t>
            </w:r>
          </w:p>
          <w:p w14:paraId="07EC47F4"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260" w:type="dxa"/>
          </w:tcPr>
          <w:p w14:paraId="0E910D9F" w14:textId="77777777" w:rsidR="00B977B2" w:rsidRPr="00B977B2" w:rsidRDefault="00B977B2" w:rsidP="00B977B2">
            <w:pPr>
              <w:widowControl w:val="0"/>
              <w:numPr>
                <w:ilvl w:val="0"/>
                <w:numId w:val="257"/>
              </w:numPr>
              <w:overflowPunct w:val="0"/>
              <w:autoSpaceDE w:val="0"/>
              <w:autoSpaceDN w:val="0"/>
              <w:adjustRightInd w:val="0"/>
              <w:spacing w:before="120"/>
              <w:ind w:left="314"/>
              <w:rPr>
                <w:rFonts w:cs="Calibri"/>
              </w:rPr>
            </w:pPr>
            <w:r w:rsidRPr="00B977B2">
              <w:rPr>
                <w:rFonts w:cs="Calibri"/>
              </w:rPr>
              <w:t>Participación en el foro social CAFETERÍA.</w:t>
            </w:r>
          </w:p>
          <w:p w14:paraId="6DC44628" w14:textId="77777777" w:rsidR="00B977B2" w:rsidRPr="00B977B2" w:rsidRDefault="00B977B2" w:rsidP="00B977B2">
            <w:pPr>
              <w:widowControl w:val="0"/>
              <w:numPr>
                <w:ilvl w:val="0"/>
                <w:numId w:val="257"/>
              </w:numPr>
              <w:overflowPunct w:val="0"/>
              <w:autoSpaceDE w:val="0"/>
              <w:autoSpaceDN w:val="0"/>
              <w:adjustRightInd w:val="0"/>
              <w:spacing w:before="120"/>
              <w:ind w:left="314"/>
              <w:rPr>
                <w:rFonts w:cs="Calibri"/>
              </w:rPr>
            </w:pPr>
            <w:r w:rsidRPr="00B977B2">
              <w:rPr>
                <w:rFonts w:cs="Calibri"/>
              </w:rPr>
              <w:t>Participación en el foro de dudas.</w:t>
            </w:r>
          </w:p>
          <w:p w14:paraId="1DC44B9E" w14:textId="77777777" w:rsidR="00B977B2" w:rsidRPr="00B977B2" w:rsidRDefault="00B977B2" w:rsidP="00B977B2">
            <w:pPr>
              <w:widowControl w:val="0"/>
              <w:numPr>
                <w:ilvl w:val="0"/>
                <w:numId w:val="257"/>
              </w:numPr>
              <w:overflowPunct w:val="0"/>
              <w:autoSpaceDE w:val="0"/>
              <w:autoSpaceDN w:val="0"/>
              <w:adjustRightInd w:val="0"/>
              <w:spacing w:before="120"/>
              <w:ind w:left="314"/>
              <w:rPr>
                <w:rFonts w:cs="Calibri"/>
              </w:rPr>
            </w:pPr>
            <w:r w:rsidRPr="00B977B2">
              <w:rPr>
                <w:rFonts w:cs="Calibri"/>
              </w:rPr>
              <w:t>Introducción a las temáticas del curso y debate sobre la interculturalidad en un encuentro sincrónico virtual.</w:t>
            </w:r>
          </w:p>
        </w:tc>
      </w:tr>
      <w:tr w:rsidR="00B977B2" w:rsidRPr="00B977B2" w14:paraId="69D8BAAF" w14:textId="77777777" w:rsidTr="00104785">
        <w:trPr>
          <w:jc w:val="center"/>
        </w:trPr>
        <w:tc>
          <w:tcPr>
            <w:tcW w:w="1144" w:type="dxa"/>
          </w:tcPr>
          <w:p w14:paraId="2008C4AF"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0B6E2B8B"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2</w:t>
            </w:r>
          </w:p>
        </w:tc>
        <w:tc>
          <w:tcPr>
            <w:tcW w:w="2395" w:type="dxa"/>
          </w:tcPr>
          <w:p w14:paraId="1C892F4B" w14:textId="77777777" w:rsidR="00B977B2" w:rsidRPr="00B977B2" w:rsidRDefault="00B977B2" w:rsidP="00B977B2">
            <w:pPr>
              <w:widowControl w:val="0"/>
              <w:overflowPunct w:val="0"/>
              <w:autoSpaceDE w:val="0"/>
              <w:autoSpaceDN w:val="0"/>
              <w:adjustRightInd w:val="0"/>
              <w:rPr>
                <w:rFonts w:eastAsia="Times New Roman" w:cs="Calibri"/>
                <w:b/>
                <w:bCs/>
                <w:color w:val="000000"/>
                <w:lang w:val="es-ES_tradnl" w:eastAsia="es-CR"/>
              </w:rPr>
            </w:pPr>
            <w:r w:rsidRPr="00B977B2">
              <w:rPr>
                <w:rFonts w:eastAsia="Times New Roman" w:cs="Calibri"/>
                <w:b/>
                <w:bCs/>
                <w:color w:val="000000"/>
                <w:lang w:val="es-ES_tradnl" w:eastAsia="es-CR"/>
              </w:rPr>
              <w:t>Unidad 1: Modelos comunes en la interpretación bíblica</w:t>
            </w:r>
          </w:p>
          <w:p w14:paraId="55E801C6"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4098E53E"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r w:rsidRPr="00B977B2">
              <w:rPr>
                <w:rFonts w:eastAsia="Times New Roman" w:cs="Calibri"/>
                <w:lang w:val="es-ES_tradnl" w:eastAsia="es-CR"/>
              </w:rPr>
              <w:t>1.2 Métodos de interpretación bíblica</w:t>
            </w:r>
          </w:p>
          <w:p w14:paraId="449F4CF8"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2E58B0F1"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1B88E824" w14:textId="77777777" w:rsidR="00B977B2" w:rsidRPr="00B977B2" w:rsidRDefault="00B977B2" w:rsidP="00B977B2">
            <w:pPr>
              <w:widowControl w:val="0"/>
              <w:overflowPunct w:val="0"/>
              <w:autoSpaceDE w:val="0"/>
              <w:autoSpaceDN w:val="0"/>
              <w:adjustRightInd w:val="0"/>
              <w:rPr>
                <w:rFonts w:eastAsia="Arial" w:cs="Calibri"/>
                <w:szCs w:val="18"/>
                <w:lang w:val="es-ES_tradnl" w:eastAsia="es-CR" w:bidi="he-IL"/>
              </w:rPr>
            </w:pPr>
          </w:p>
          <w:p w14:paraId="6E3E77B4" w14:textId="77777777" w:rsidR="00B977B2" w:rsidRPr="00B977B2" w:rsidRDefault="00B977B2" w:rsidP="00B977B2">
            <w:pPr>
              <w:widowControl w:val="0"/>
              <w:overflowPunct w:val="0"/>
              <w:autoSpaceDE w:val="0"/>
              <w:autoSpaceDN w:val="0"/>
              <w:adjustRightInd w:val="0"/>
              <w:rPr>
                <w:rFonts w:cs="Calibri"/>
                <w:szCs w:val="18"/>
                <w:lang w:val="es-ES_tradnl" w:eastAsia="es-CR" w:bidi="he-IL"/>
              </w:rPr>
            </w:pPr>
            <w:r w:rsidRPr="00B977B2">
              <w:rPr>
                <w:rFonts w:eastAsia="Arial" w:cs="Calibri"/>
                <w:szCs w:val="18"/>
                <w:lang w:val="es-ES_tradnl" w:eastAsia="es-CR" w:bidi="he-IL"/>
              </w:rPr>
              <w:t xml:space="preserve">Ramírez Kidd, José Enrique. “Descripción de la obra”. En </w:t>
            </w:r>
            <w:r w:rsidRPr="00B977B2">
              <w:rPr>
                <w:rFonts w:cs="Calibri"/>
                <w:i/>
                <w:szCs w:val="18"/>
                <w:lang w:val="es-ES_tradnl" w:eastAsia="es-CR" w:bidi="he-IL"/>
              </w:rPr>
              <w:t>Para comprender el Antiguo Testamento</w:t>
            </w:r>
            <w:r w:rsidRPr="00B977B2">
              <w:rPr>
                <w:rFonts w:cs="Calibri"/>
                <w:iCs/>
                <w:szCs w:val="18"/>
                <w:lang w:val="es-ES_tradnl" w:eastAsia="es-CR" w:bidi="he-IL"/>
              </w:rPr>
              <w:t>, 2-31</w:t>
            </w:r>
            <w:r w:rsidRPr="00B977B2">
              <w:rPr>
                <w:rFonts w:cs="Calibri"/>
                <w:szCs w:val="18"/>
                <w:lang w:val="es-ES_tradnl" w:eastAsia="es-CR" w:bidi="he-IL"/>
              </w:rPr>
              <w:t xml:space="preserve">. San José: SEBILA, 2019. </w:t>
            </w:r>
            <w:r w:rsidRPr="00B977B2">
              <w:rPr>
                <w:rFonts w:eastAsia="Times New Roman" w:cs="Calibri"/>
                <w:color w:val="0070C0"/>
                <w:szCs w:val="18"/>
                <w:lang w:val="es-ES_tradnl" w:eastAsia="es-CR"/>
              </w:rPr>
              <w:t>(clásico, última edición)</w:t>
            </w:r>
          </w:p>
          <w:p w14:paraId="6D83314B" w14:textId="77777777" w:rsidR="00B977B2" w:rsidRPr="00B977B2" w:rsidRDefault="00B977B2" w:rsidP="00B977B2">
            <w:pPr>
              <w:widowControl w:val="0"/>
              <w:overflowPunct w:val="0"/>
              <w:autoSpaceDE w:val="0"/>
              <w:autoSpaceDN w:val="0"/>
              <w:adjustRightInd w:val="0"/>
              <w:rPr>
                <w:rFonts w:cs="Calibri"/>
                <w:szCs w:val="18"/>
                <w:lang w:val="es-ES_tradnl" w:eastAsia="es-CR" w:bidi="he-IL"/>
              </w:rPr>
            </w:pPr>
          </w:p>
          <w:p w14:paraId="5D0702A8" w14:textId="77777777" w:rsidR="00B977B2" w:rsidRPr="00B977B2" w:rsidRDefault="00B977B2" w:rsidP="00B977B2">
            <w:pPr>
              <w:widowControl w:val="0"/>
              <w:overflowPunct w:val="0"/>
              <w:autoSpaceDE w:val="0"/>
              <w:autoSpaceDN w:val="0"/>
              <w:adjustRightInd w:val="0"/>
              <w:rPr>
                <w:rFonts w:eastAsia="Times New Roman" w:cs="Arial"/>
                <w:color w:val="0563C1"/>
                <w:u w:val="single"/>
                <w:lang w:val="es-ES" w:eastAsia="es-CR"/>
              </w:rPr>
            </w:pPr>
            <w:r w:rsidRPr="00B977B2">
              <w:rPr>
                <w:rFonts w:eastAsia="Times New Roman" w:cs="Arial"/>
                <w:lang w:val="es-ES" w:eastAsia="es-CR"/>
              </w:rPr>
              <w:t xml:space="preserve">Gil </w:t>
            </w:r>
            <w:proofErr w:type="spellStart"/>
            <w:r w:rsidRPr="00B977B2">
              <w:rPr>
                <w:rFonts w:eastAsia="Times New Roman" w:cs="Arial"/>
                <w:lang w:val="es-ES" w:eastAsia="es-CR"/>
              </w:rPr>
              <w:t>Arbiol</w:t>
            </w:r>
            <w:proofErr w:type="spellEnd"/>
            <w:r w:rsidRPr="00B977B2">
              <w:rPr>
                <w:rFonts w:eastAsia="Times New Roman" w:cs="Arial"/>
                <w:lang w:val="es-ES" w:eastAsia="es-CR"/>
              </w:rPr>
              <w:t xml:space="preserve">, Carlos. “La Biblia y el mundo del siglo XXI”. </w:t>
            </w:r>
            <w:r w:rsidRPr="00B977B2">
              <w:rPr>
                <w:rFonts w:eastAsia="Times New Roman" w:cs="Arial"/>
                <w:i/>
                <w:iCs/>
                <w:lang w:val="es-ES" w:eastAsia="es-CR"/>
              </w:rPr>
              <w:t>Iglesia Viva</w:t>
            </w:r>
            <w:r w:rsidRPr="00B977B2">
              <w:rPr>
                <w:rFonts w:eastAsia="Times New Roman" w:cs="Arial"/>
                <w:lang w:val="es-ES" w:eastAsia="es-CR"/>
              </w:rPr>
              <w:t xml:space="preserve">, n. 238 (2009): 9-22. Acceso el 18 de noviembre de 2022. </w:t>
            </w:r>
            <w:hyperlink r:id="rId460">
              <w:r w:rsidRPr="00B977B2">
                <w:rPr>
                  <w:rFonts w:eastAsia="Times New Roman" w:cs="Arial"/>
                  <w:color w:val="0563C1"/>
                  <w:u w:val="single"/>
                  <w:lang w:val="es-ES" w:eastAsia="es-CR"/>
                </w:rPr>
                <w:t>https://iviva.org/revistas/238/238-11-CARLOSGIL.pdf</w:t>
              </w:r>
            </w:hyperlink>
          </w:p>
          <w:p w14:paraId="70FDBCF9" w14:textId="77777777" w:rsidR="00B977B2" w:rsidRPr="00B977B2" w:rsidRDefault="00B977B2" w:rsidP="00B977B2">
            <w:pPr>
              <w:widowControl w:val="0"/>
              <w:overflowPunct w:val="0"/>
              <w:autoSpaceDE w:val="0"/>
              <w:autoSpaceDN w:val="0"/>
              <w:adjustRightInd w:val="0"/>
              <w:rPr>
                <w:rFonts w:ascii="Times New Roman" w:eastAsia="Times New Roman" w:hAnsi="Times New Roman"/>
                <w:bCs/>
                <w:color w:val="0563C1"/>
                <w:sz w:val="24"/>
                <w:szCs w:val="18"/>
                <w:u w:val="single"/>
                <w:lang w:val="es-ES_tradnl" w:eastAsia="es-CR"/>
              </w:rPr>
            </w:pPr>
          </w:p>
          <w:p w14:paraId="51478368" w14:textId="77777777" w:rsidR="00B977B2" w:rsidRPr="00B977B2" w:rsidRDefault="00B977B2" w:rsidP="00B977B2">
            <w:pPr>
              <w:widowControl w:val="0"/>
              <w:overflowPunct w:val="0"/>
              <w:autoSpaceDE w:val="0"/>
              <w:autoSpaceDN w:val="0"/>
              <w:adjustRightInd w:val="0"/>
              <w:rPr>
                <w:rFonts w:eastAsia="Times New Roman" w:cs="Calibri"/>
                <w:szCs w:val="18"/>
                <w:lang w:val="es-419" w:eastAsia="es-CR"/>
              </w:rPr>
            </w:pPr>
            <w:r w:rsidRPr="00B977B2">
              <w:rPr>
                <w:rFonts w:eastAsia="Times New Roman" w:cs="Calibri"/>
                <w:szCs w:val="18"/>
                <w:lang w:val="es-419" w:eastAsia="es-CR"/>
              </w:rPr>
              <w:t xml:space="preserve">Barton, John. </w:t>
            </w:r>
            <w:r w:rsidRPr="00B977B2">
              <w:rPr>
                <w:rFonts w:eastAsia="Times New Roman" w:cs="Calibri"/>
                <w:bCs/>
                <w:szCs w:val="18"/>
                <w:lang w:val="es-ES_tradnl" w:eastAsia="es-CR"/>
              </w:rPr>
              <w:t xml:space="preserve">“Enfoques histórico-críticos”. En </w:t>
            </w:r>
            <w:r w:rsidRPr="00B977B2">
              <w:rPr>
                <w:rFonts w:eastAsia="Times New Roman" w:cs="Calibri"/>
                <w:i/>
                <w:iCs/>
                <w:szCs w:val="18"/>
                <w:lang w:val="es-ES_tradnl" w:eastAsia="es-CR"/>
              </w:rPr>
              <w:t>La interpretación bíblica hoy</w:t>
            </w:r>
            <w:r w:rsidRPr="00B977B2">
              <w:rPr>
                <w:rFonts w:eastAsia="Times New Roman" w:cs="Calibri"/>
                <w:szCs w:val="18"/>
                <w:lang w:val="es-ES_tradnl" w:eastAsia="es-CR"/>
              </w:rPr>
              <w:t xml:space="preserve">, editado por John Barton, 25-37. Santander: Sal </w:t>
            </w:r>
            <w:proofErr w:type="spellStart"/>
            <w:r w:rsidRPr="00B977B2">
              <w:rPr>
                <w:rFonts w:eastAsia="Times New Roman" w:cs="Calibri"/>
                <w:szCs w:val="18"/>
                <w:lang w:val="es-ES_tradnl" w:eastAsia="es-CR"/>
              </w:rPr>
              <w:t>Terrae</w:t>
            </w:r>
            <w:proofErr w:type="spellEnd"/>
            <w:r w:rsidRPr="00B977B2">
              <w:rPr>
                <w:rFonts w:eastAsia="Times New Roman" w:cs="Calibri"/>
                <w:szCs w:val="18"/>
                <w:lang w:val="es-ES_tradnl" w:eastAsia="es-CR"/>
              </w:rPr>
              <w:t xml:space="preserve">. </w:t>
            </w:r>
            <w:r w:rsidRPr="00B977B2">
              <w:rPr>
                <w:rFonts w:eastAsia="Times New Roman" w:cs="Calibri"/>
                <w:szCs w:val="18"/>
                <w:lang w:val="es-419" w:eastAsia="es-CR"/>
              </w:rPr>
              <w:t xml:space="preserve">2001. </w:t>
            </w:r>
            <w:r w:rsidRPr="00B977B2">
              <w:rPr>
                <w:rFonts w:eastAsia="Times New Roman" w:cs="Calibri"/>
                <w:color w:val="0070C0"/>
                <w:szCs w:val="18"/>
                <w:lang w:val="es-419" w:eastAsia="es-CR"/>
              </w:rPr>
              <w:t xml:space="preserve">(clásico, última </w:t>
            </w:r>
            <w:r w:rsidRPr="00B977B2">
              <w:rPr>
                <w:rFonts w:eastAsia="Times New Roman" w:cs="Calibri"/>
                <w:color w:val="0070C0"/>
                <w:szCs w:val="18"/>
                <w:lang w:val="es-419" w:eastAsia="es-CR"/>
              </w:rPr>
              <w:lastRenderedPageBreak/>
              <w:t>edición)</w:t>
            </w:r>
          </w:p>
          <w:p w14:paraId="3F891CCD" w14:textId="77777777" w:rsidR="00B977B2" w:rsidRPr="00B977B2" w:rsidRDefault="00B977B2" w:rsidP="00B977B2">
            <w:pPr>
              <w:widowControl w:val="0"/>
              <w:overflowPunct w:val="0"/>
              <w:autoSpaceDE w:val="0"/>
              <w:autoSpaceDN w:val="0"/>
              <w:adjustRightInd w:val="0"/>
              <w:rPr>
                <w:rFonts w:eastAsia="Times New Roman" w:cs="Calibri"/>
                <w:szCs w:val="18"/>
                <w:lang w:val="es-419" w:eastAsia="es-CR"/>
              </w:rPr>
            </w:pPr>
          </w:p>
          <w:p w14:paraId="0A22AD28"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r w:rsidRPr="00B977B2">
              <w:rPr>
                <w:rFonts w:eastAsia="Times New Roman" w:cs="Calibri"/>
                <w:b/>
                <w:bCs/>
                <w:color w:val="0070C0"/>
                <w:lang w:val="es-ES_tradnl" w:eastAsia="es-CR"/>
              </w:rPr>
              <w:t>Material complementario</w:t>
            </w:r>
          </w:p>
          <w:p w14:paraId="6F599259"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p>
          <w:p w14:paraId="5A5050B9" w14:textId="77777777" w:rsidR="00B977B2" w:rsidRPr="00B977B2" w:rsidRDefault="00B977B2" w:rsidP="00B977B2">
            <w:pPr>
              <w:widowControl w:val="0"/>
              <w:overflowPunct w:val="0"/>
              <w:autoSpaceDE w:val="0"/>
              <w:autoSpaceDN w:val="0"/>
              <w:adjustRightInd w:val="0"/>
              <w:rPr>
                <w:rFonts w:eastAsia="Times New Roman" w:cs="Calibri"/>
                <w:szCs w:val="18"/>
                <w:lang w:val="es-419" w:eastAsia="es-CR"/>
              </w:rPr>
            </w:pPr>
            <w:r w:rsidRPr="00B977B2">
              <w:rPr>
                <w:rFonts w:eastAsia="Times New Roman" w:cs="Calibri"/>
                <w:color w:val="0070C0"/>
                <w:lang w:val="es-ES_tradnl" w:eastAsia="es-CR"/>
              </w:rPr>
              <w:t>Guía para la participación en un foro en la plataforma Moodle</w:t>
            </w:r>
          </w:p>
          <w:p w14:paraId="5635B4BA"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260" w:type="dxa"/>
          </w:tcPr>
          <w:p w14:paraId="65633682" w14:textId="77777777" w:rsidR="00B977B2" w:rsidRPr="00B977B2" w:rsidRDefault="00B977B2" w:rsidP="00B977B2">
            <w:pPr>
              <w:widowControl w:val="0"/>
              <w:numPr>
                <w:ilvl w:val="0"/>
                <w:numId w:val="258"/>
              </w:numPr>
              <w:overflowPunct w:val="0"/>
              <w:autoSpaceDE w:val="0"/>
              <w:autoSpaceDN w:val="0"/>
              <w:adjustRightInd w:val="0"/>
              <w:spacing w:before="120"/>
              <w:ind w:left="314"/>
              <w:rPr>
                <w:rFonts w:cs="Calibri"/>
              </w:rPr>
            </w:pPr>
            <w:r w:rsidRPr="00B977B2">
              <w:rPr>
                <w:rFonts w:cs="Calibri"/>
              </w:rPr>
              <w:lastRenderedPageBreak/>
              <w:t>Realizar las lecturas de la sesión.</w:t>
            </w:r>
          </w:p>
          <w:p w14:paraId="2A2F0B7E" w14:textId="77777777" w:rsidR="00B977B2" w:rsidRPr="00B977B2" w:rsidRDefault="00B977B2" w:rsidP="00B977B2">
            <w:pPr>
              <w:widowControl w:val="0"/>
              <w:numPr>
                <w:ilvl w:val="0"/>
                <w:numId w:val="258"/>
              </w:numPr>
              <w:overflowPunct w:val="0"/>
              <w:autoSpaceDE w:val="0"/>
              <w:autoSpaceDN w:val="0"/>
              <w:adjustRightInd w:val="0"/>
              <w:spacing w:before="120"/>
              <w:ind w:left="314"/>
              <w:rPr>
                <w:rFonts w:cs="Calibri"/>
              </w:rPr>
            </w:pPr>
            <w:r w:rsidRPr="00B977B2">
              <w:rPr>
                <w:rFonts w:cs="Calibri"/>
              </w:rPr>
              <w:t xml:space="preserve">Participación en el foro temático: Algunos métodos de interpretación bíblica. </w:t>
            </w:r>
          </w:p>
        </w:tc>
      </w:tr>
      <w:tr w:rsidR="00B977B2" w:rsidRPr="00B977B2" w14:paraId="376697C9" w14:textId="77777777" w:rsidTr="00104785">
        <w:trPr>
          <w:jc w:val="center"/>
        </w:trPr>
        <w:tc>
          <w:tcPr>
            <w:tcW w:w="1144" w:type="dxa"/>
          </w:tcPr>
          <w:p w14:paraId="3A7ECA94"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2D2E6509"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3</w:t>
            </w:r>
          </w:p>
        </w:tc>
        <w:tc>
          <w:tcPr>
            <w:tcW w:w="2395" w:type="dxa"/>
          </w:tcPr>
          <w:p w14:paraId="67E6D8DE" w14:textId="77777777" w:rsidR="00B977B2" w:rsidRPr="00B977B2" w:rsidRDefault="00B977B2" w:rsidP="00B977B2">
            <w:pPr>
              <w:widowControl w:val="0"/>
              <w:overflowPunct w:val="0"/>
              <w:autoSpaceDE w:val="0"/>
              <w:autoSpaceDN w:val="0"/>
              <w:adjustRightInd w:val="0"/>
              <w:rPr>
                <w:rFonts w:eastAsia="Times New Roman" w:cs="Calibri"/>
                <w:b/>
                <w:bCs/>
                <w:color w:val="000000"/>
                <w:lang w:val="es-ES_tradnl" w:eastAsia="es-CR"/>
              </w:rPr>
            </w:pPr>
            <w:r w:rsidRPr="00B977B2">
              <w:rPr>
                <w:rFonts w:eastAsia="Times New Roman" w:cs="Calibri"/>
                <w:b/>
                <w:bCs/>
                <w:color w:val="000000"/>
                <w:lang w:val="es-ES_tradnl" w:eastAsia="es-CR"/>
              </w:rPr>
              <w:t>Unidad 1: Modelos comunes en la interpretación bíblica</w:t>
            </w:r>
          </w:p>
          <w:p w14:paraId="1E1AAB3F"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00284743"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r w:rsidRPr="00B977B2">
              <w:rPr>
                <w:rFonts w:eastAsia="Times New Roman" w:cs="Calibri"/>
                <w:lang w:val="es-ES_tradnl" w:eastAsia="es-CR"/>
              </w:rPr>
              <w:t>1.2 Métodos de interpretación bíblica</w:t>
            </w:r>
          </w:p>
          <w:p w14:paraId="244291BC"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28DD9C36"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58BE8D58"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
          <w:p w14:paraId="21415EFC"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r w:rsidRPr="00B977B2">
              <w:rPr>
                <w:rFonts w:eastAsia="Times New Roman" w:cs="Arial"/>
                <w:lang w:val="es-ES" w:eastAsia="es-CR"/>
              </w:rPr>
              <w:t xml:space="preserve">De </w:t>
            </w:r>
            <w:proofErr w:type="spellStart"/>
            <w:r w:rsidRPr="00B977B2">
              <w:rPr>
                <w:rFonts w:eastAsia="Times New Roman" w:cs="Arial"/>
                <w:lang w:val="es-ES" w:eastAsia="es-CR"/>
              </w:rPr>
              <w:t>Wit</w:t>
            </w:r>
            <w:proofErr w:type="spellEnd"/>
            <w:r w:rsidRPr="00B977B2">
              <w:rPr>
                <w:rFonts w:eastAsia="Times New Roman" w:cs="Arial"/>
                <w:lang w:val="es-ES" w:eastAsia="es-CR"/>
              </w:rPr>
              <w:t xml:space="preserve">, Hans. “Los límites de la interpretación”. En </w:t>
            </w:r>
            <w:r w:rsidRPr="00B977B2">
              <w:rPr>
                <w:rFonts w:eastAsia="Times New Roman" w:cs="Arial"/>
                <w:i/>
                <w:iCs/>
                <w:lang w:val="es-ES" w:eastAsia="es-CR"/>
              </w:rPr>
              <w:t>La dispersión el texto es patria: introducción a la hermenéutica clásica, moderna y posmoderna</w:t>
            </w:r>
            <w:r w:rsidRPr="00B977B2">
              <w:rPr>
                <w:rFonts w:eastAsia="Times New Roman" w:cs="Arial"/>
                <w:lang w:val="es-ES" w:eastAsia="es-CR"/>
              </w:rPr>
              <w:t xml:space="preserve">, 482-505. San José: SEBILA, 2010. </w:t>
            </w:r>
            <w:r w:rsidRPr="00B977B2">
              <w:rPr>
                <w:rFonts w:eastAsia="Times New Roman" w:cs="Calibri"/>
                <w:color w:val="0070C0"/>
                <w:szCs w:val="18"/>
                <w:lang w:val="es-419" w:eastAsia="es-CR"/>
              </w:rPr>
              <w:t>(clásico, última edición)</w:t>
            </w:r>
          </w:p>
          <w:p w14:paraId="63E5A03E" w14:textId="77777777" w:rsidR="00B977B2" w:rsidRPr="00B977B2" w:rsidRDefault="00B977B2" w:rsidP="00B977B2">
            <w:pPr>
              <w:widowControl w:val="0"/>
              <w:overflowPunct w:val="0"/>
              <w:autoSpaceDE w:val="0"/>
              <w:autoSpaceDN w:val="0"/>
              <w:adjustRightInd w:val="0"/>
              <w:rPr>
                <w:rFonts w:eastAsia="Times New Roman" w:cs="Calibri"/>
                <w:bCs/>
                <w:szCs w:val="18"/>
                <w:lang w:val="es-ES_tradnl" w:eastAsia="es-CR"/>
              </w:rPr>
            </w:pPr>
          </w:p>
          <w:p w14:paraId="7B415B4A"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r w:rsidRPr="00B977B2">
              <w:rPr>
                <w:rFonts w:eastAsia="Times New Roman" w:cs="Arial"/>
                <w:lang w:val="es-ES" w:eastAsia="es-CR"/>
              </w:rPr>
              <w:t xml:space="preserve">Bernabé, Carmen. “Ni piedra ni espejo: la interpretación de la Biblia entre el fundamentalismo y el subjetivismo”. </w:t>
            </w:r>
            <w:proofErr w:type="spellStart"/>
            <w:r w:rsidRPr="00B977B2">
              <w:rPr>
                <w:rFonts w:eastAsia="Times New Roman" w:cs="Arial"/>
                <w:i/>
                <w:iCs/>
                <w:lang w:val="es-ES" w:eastAsia="es-CR"/>
              </w:rPr>
              <w:t>Theologica</w:t>
            </w:r>
            <w:proofErr w:type="spellEnd"/>
            <w:r w:rsidRPr="00B977B2">
              <w:rPr>
                <w:rFonts w:eastAsia="Times New Roman" w:cs="Arial"/>
                <w:i/>
                <w:iCs/>
                <w:lang w:val="es-ES" w:eastAsia="es-CR"/>
              </w:rPr>
              <w:t xml:space="preserve"> </w:t>
            </w:r>
            <w:proofErr w:type="spellStart"/>
            <w:r w:rsidRPr="00B977B2">
              <w:rPr>
                <w:rFonts w:eastAsia="Times New Roman" w:cs="Arial"/>
                <w:i/>
                <w:iCs/>
                <w:lang w:val="es-ES" w:eastAsia="es-CR"/>
              </w:rPr>
              <w:t>Xaveriana</w:t>
            </w:r>
            <w:proofErr w:type="spellEnd"/>
            <w:r w:rsidRPr="00B977B2">
              <w:rPr>
                <w:rFonts w:eastAsia="Times New Roman" w:cs="Arial"/>
                <w:lang w:val="es-ES" w:eastAsia="es-CR"/>
              </w:rPr>
              <w:t>, n.º 177 (2014): 267-286.</w:t>
            </w:r>
          </w:p>
          <w:p w14:paraId="15580DE3"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
          <w:p w14:paraId="6E19756F"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r w:rsidRPr="00B977B2">
              <w:rPr>
                <w:rFonts w:eastAsia="Times New Roman" w:cs="Calibri"/>
                <w:b/>
                <w:bCs/>
                <w:color w:val="0070C0"/>
                <w:lang w:val="es-ES_tradnl" w:eastAsia="es-CR"/>
              </w:rPr>
              <w:t>Material complementario</w:t>
            </w:r>
          </w:p>
          <w:p w14:paraId="61BB1776"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p>
          <w:p w14:paraId="617FF8AF"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r w:rsidRPr="00B977B2">
              <w:rPr>
                <w:rFonts w:eastAsia="Times New Roman" w:cs="Calibri"/>
                <w:color w:val="0070C0"/>
                <w:lang w:val="es-ES_tradnl" w:eastAsia="es-CR"/>
              </w:rPr>
              <w:t>Guía para la participación en un wiki en la plataforma Moodle</w:t>
            </w:r>
          </w:p>
          <w:p w14:paraId="05744438"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
        </w:tc>
        <w:tc>
          <w:tcPr>
            <w:tcW w:w="3260" w:type="dxa"/>
          </w:tcPr>
          <w:p w14:paraId="5869C85F" w14:textId="77777777" w:rsidR="00B977B2" w:rsidRPr="00B977B2" w:rsidRDefault="00B977B2" w:rsidP="00B977B2">
            <w:pPr>
              <w:widowControl w:val="0"/>
              <w:numPr>
                <w:ilvl w:val="0"/>
                <w:numId w:val="259"/>
              </w:numPr>
              <w:overflowPunct w:val="0"/>
              <w:autoSpaceDE w:val="0"/>
              <w:autoSpaceDN w:val="0"/>
              <w:adjustRightInd w:val="0"/>
              <w:spacing w:before="120"/>
              <w:ind w:left="314"/>
              <w:rPr>
                <w:rFonts w:cs="Calibri"/>
              </w:rPr>
            </w:pPr>
            <w:r w:rsidRPr="00B977B2">
              <w:rPr>
                <w:rFonts w:cs="Calibri"/>
              </w:rPr>
              <w:t>Realizar las lecturas de la sesión.</w:t>
            </w:r>
          </w:p>
          <w:p w14:paraId="6D38CEE8" w14:textId="77777777" w:rsidR="00B977B2" w:rsidRPr="00B977B2" w:rsidRDefault="00B977B2" w:rsidP="00B977B2">
            <w:pPr>
              <w:widowControl w:val="0"/>
              <w:numPr>
                <w:ilvl w:val="0"/>
                <w:numId w:val="259"/>
              </w:numPr>
              <w:overflowPunct w:val="0"/>
              <w:autoSpaceDE w:val="0"/>
              <w:autoSpaceDN w:val="0"/>
              <w:adjustRightInd w:val="0"/>
              <w:spacing w:before="120"/>
              <w:ind w:left="314"/>
              <w:rPr>
                <w:rFonts w:cs="Calibri"/>
              </w:rPr>
            </w:pPr>
            <w:r w:rsidRPr="00B977B2">
              <w:rPr>
                <w:rFonts w:cs="Calibri"/>
              </w:rPr>
              <w:t xml:space="preserve">Participación en la elaboración de un wiki sobre las implicaciones de los métodos exegéticos en las lecturas bíblicas. </w:t>
            </w:r>
          </w:p>
        </w:tc>
      </w:tr>
      <w:tr w:rsidR="00B977B2" w:rsidRPr="00B977B2" w14:paraId="69DEEA57" w14:textId="77777777" w:rsidTr="00104785">
        <w:trPr>
          <w:jc w:val="center"/>
        </w:trPr>
        <w:tc>
          <w:tcPr>
            <w:tcW w:w="1144" w:type="dxa"/>
          </w:tcPr>
          <w:p w14:paraId="75D9DD72"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4211600A"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4</w:t>
            </w:r>
          </w:p>
        </w:tc>
        <w:tc>
          <w:tcPr>
            <w:tcW w:w="2395" w:type="dxa"/>
          </w:tcPr>
          <w:p w14:paraId="2F9E42C4"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Unidad 2: El trasfondo de los textos</w:t>
            </w:r>
          </w:p>
          <w:p w14:paraId="65741897"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31E04C52"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r w:rsidRPr="00B977B2">
              <w:rPr>
                <w:rFonts w:eastAsia="Times New Roman" w:cs="Calibri"/>
                <w:szCs w:val="18"/>
                <w:lang w:val="pt-BR" w:eastAsia="es-CR"/>
              </w:rPr>
              <w:t>2.1 Contexto social e histórico</w:t>
            </w:r>
          </w:p>
          <w:p w14:paraId="04DCBC1C"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23293B3E"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7FD26E6B" w14:textId="77777777" w:rsidR="00B977B2" w:rsidRPr="00B977B2" w:rsidRDefault="00B977B2" w:rsidP="00B977B2">
            <w:pPr>
              <w:widowControl w:val="0"/>
              <w:overflowPunct w:val="0"/>
              <w:autoSpaceDE w:val="0"/>
              <w:autoSpaceDN w:val="0"/>
              <w:adjustRightInd w:val="0"/>
              <w:rPr>
                <w:rFonts w:eastAsia="Times New Roman" w:cs="Calibri"/>
                <w:bCs/>
                <w:szCs w:val="18"/>
                <w:lang w:val="es-ES_tradnl" w:eastAsia="es-CR"/>
              </w:rPr>
            </w:pPr>
          </w:p>
          <w:p w14:paraId="46E30837" w14:textId="77777777" w:rsidR="00B977B2" w:rsidRPr="00B977B2" w:rsidRDefault="00B977B2" w:rsidP="00B977B2">
            <w:pPr>
              <w:widowControl w:val="0"/>
              <w:overflowPunct w:val="0"/>
              <w:autoSpaceDE w:val="0"/>
              <w:autoSpaceDN w:val="0"/>
              <w:adjustRightInd w:val="0"/>
              <w:rPr>
                <w:rFonts w:eastAsia="Times New Roman" w:cs="Calibri"/>
                <w:bCs/>
                <w:szCs w:val="18"/>
                <w:lang w:val="es-ES_tradnl" w:eastAsia="es-CR"/>
              </w:rPr>
            </w:pPr>
            <w:r w:rsidRPr="00B977B2">
              <w:rPr>
                <w:rFonts w:eastAsia="Times New Roman" w:cs="Calibri"/>
                <w:bCs/>
                <w:szCs w:val="18"/>
                <w:lang w:val="es-ES_tradnl" w:eastAsia="es-CR"/>
              </w:rPr>
              <w:t xml:space="preserve">Kessler, Rainer. “La formación de una antigua sociedad de clases”. En </w:t>
            </w:r>
            <w:r w:rsidRPr="00B977B2">
              <w:rPr>
                <w:rFonts w:eastAsia="Times New Roman" w:cs="Calibri"/>
                <w:bCs/>
                <w:i/>
                <w:iCs/>
                <w:szCs w:val="18"/>
                <w:lang w:val="es-ES_tradnl" w:eastAsia="es-CR"/>
              </w:rPr>
              <w:t>Historia social del antiguo Israel</w:t>
            </w:r>
            <w:r w:rsidRPr="00B977B2">
              <w:rPr>
                <w:rFonts w:eastAsia="Times New Roman" w:cs="Calibri"/>
                <w:bCs/>
                <w:szCs w:val="18"/>
                <w:lang w:val="es-ES_tradnl" w:eastAsia="es-CR"/>
              </w:rPr>
              <w:t xml:space="preserve">, 165-183. Salamanca: Ediciones Sígueme, 2013. </w:t>
            </w:r>
            <w:r w:rsidRPr="00B977B2">
              <w:rPr>
                <w:rFonts w:eastAsia="Times New Roman" w:cs="Calibri"/>
                <w:color w:val="0070C0"/>
                <w:szCs w:val="18"/>
                <w:lang w:val="es-419" w:eastAsia="es-CR"/>
              </w:rPr>
              <w:t>(clásico, última edición)</w:t>
            </w:r>
          </w:p>
          <w:p w14:paraId="0EBEFDE0" w14:textId="77777777" w:rsidR="00B977B2" w:rsidRPr="00B977B2" w:rsidRDefault="00B977B2" w:rsidP="00B977B2">
            <w:pPr>
              <w:widowControl w:val="0"/>
              <w:overflowPunct w:val="0"/>
              <w:autoSpaceDE w:val="0"/>
              <w:autoSpaceDN w:val="0"/>
              <w:adjustRightInd w:val="0"/>
              <w:rPr>
                <w:rFonts w:eastAsia="Times New Roman" w:cs="Calibri"/>
                <w:bCs/>
                <w:szCs w:val="18"/>
                <w:lang w:val="es-ES_tradnl" w:eastAsia="es-CR"/>
              </w:rPr>
            </w:pPr>
          </w:p>
          <w:p w14:paraId="501E3053"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r w:rsidRPr="00B977B2">
              <w:rPr>
                <w:rFonts w:eastAsia="Times New Roman" w:cs="Arial"/>
                <w:lang w:val="es-ES" w:eastAsia="es-CR"/>
              </w:rPr>
              <w:t xml:space="preserve">Álvarez </w:t>
            </w:r>
            <w:proofErr w:type="spellStart"/>
            <w:r w:rsidRPr="00B977B2">
              <w:rPr>
                <w:rFonts w:eastAsia="Times New Roman" w:cs="Arial"/>
                <w:lang w:val="es-ES" w:eastAsia="es-CR"/>
              </w:rPr>
              <w:t>Cineira</w:t>
            </w:r>
            <w:proofErr w:type="spellEnd"/>
            <w:r w:rsidRPr="00B977B2">
              <w:rPr>
                <w:rFonts w:eastAsia="Times New Roman" w:cs="Arial"/>
                <w:lang w:val="es-ES" w:eastAsia="es-CR"/>
              </w:rPr>
              <w:t xml:space="preserve">, David. “La importancia del contexto histórico para la interpretación del Nuevo Testamento. El culto al emperador: Rom 1,3-4, una crítica velada”. En </w:t>
            </w:r>
            <w:r w:rsidRPr="00B977B2">
              <w:rPr>
                <w:rFonts w:eastAsia="Times New Roman" w:cs="Arial"/>
                <w:i/>
                <w:iCs/>
                <w:lang w:val="es-ES" w:eastAsia="es-CR"/>
              </w:rPr>
              <w:t>El Nuevo Testamento en su contexto: propuestas de lectu</w:t>
            </w:r>
            <w:r w:rsidRPr="00B977B2">
              <w:rPr>
                <w:rFonts w:eastAsia="Times New Roman" w:cs="Arial"/>
                <w:lang w:val="es-ES" w:eastAsia="es-CR"/>
              </w:rPr>
              <w:t>r</w:t>
            </w:r>
            <w:r w:rsidRPr="00B977B2">
              <w:rPr>
                <w:rFonts w:eastAsia="Times New Roman" w:cs="Arial"/>
                <w:i/>
                <w:iCs/>
                <w:lang w:val="es-ES" w:eastAsia="es-CR"/>
              </w:rPr>
              <w:t>a</w:t>
            </w:r>
            <w:r w:rsidRPr="00B977B2">
              <w:rPr>
                <w:rFonts w:eastAsia="Times New Roman" w:cs="Arial"/>
                <w:lang w:val="es-ES" w:eastAsia="es-CR"/>
              </w:rPr>
              <w:t xml:space="preserve">, editado por Rafael Aguirre, 35-56. Estella: Verbo Divino. 2013. </w:t>
            </w:r>
            <w:r w:rsidRPr="00B977B2">
              <w:rPr>
                <w:rFonts w:eastAsia="Times New Roman" w:cs="Calibri"/>
                <w:color w:val="0070C0"/>
                <w:szCs w:val="18"/>
                <w:lang w:val="es-419" w:eastAsia="es-CR"/>
              </w:rPr>
              <w:t>(clásico, última edición)</w:t>
            </w:r>
          </w:p>
          <w:p w14:paraId="3130B19A"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341A256E"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lastRenderedPageBreak/>
              <w:t>Material complementario</w:t>
            </w:r>
          </w:p>
          <w:p w14:paraId="6A1AC78C"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p>
          <w:p w14:paraId="206636DA"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roofErr w:type="spellStart"/>
            <w:r w:rsidRPr="00B977B2">
              <w:rPr>
                <w:rFonts w:eastAsia="Times New Roman" w:cs="Arial"/>
                <w:lang w:val="es-ES" w:eastAsia="es-CR"/>
              </w:rPr>
              <w:t>Whitelam</w:t>
            </w:r>
            <w:proofErr w:type="spellEnd"/>
            <w:r w:rsidRPr="00B977B2">
              <w:rPr>
                <w:rFonts w:eastAsia="Times New Roman" w:cs="Arial"/>
                <w:lang w:val="es-ES" w:eastAsia="es-CR"/>
              </w:rPr>
              <w:t xml:space="preserve">, Keith. “El mundo social de la Biblia”. En </w:t>
            </w:r>
            <w:r w:rsidRPr="00B977B2">
              <w:rPr>
                <w:rFonts w:eastAsia="Times New Roman" w:cs="Arial"/>
                <w:i/>
                <w:iCs/>
                <w:lang w:val="es-ES" w:eastAsia="es-CR"/>
              </w:rPr>
              <w:t>La interpretación bíblica hoy</w:t>
            </w:r>
            <w:r w:rsidRPr="00B977B2">
              <w:rPr>
                <w:rFonts w:eastAsia="Times New Roman" w:cs="Arial"/>
                <w:lang w:val="es-ES" w:eastAsia="es-CR"/>
              </w:rPr>
              <w:t xml:space="preserve">, 53-69. Editado por John Barton. Santander: Sal </w:t>
            </w:r>
            <w:proofErr w:type="spellStart"/>
            <w:r w:rsidRPr="00B977B2">
              <w:rPr>
                <w:rFonts w:eastAsia="Times New Roman" w:cs="Arial"/>
                <w:lang w:val="es-ES" w:eastAsia="es-CR"/>
              </w:rPr>
              <w:t>Terrae</w:t>
            </w:r>
            <w:proofErr w:type="spellEnd"/>
            <w:r w:rsidRPr="00B977B2">
              <w:rPr>
                <w:rFonts w:eastAsia="Times New Roman" w:cs="Arial"/>
                <w:lang w:val="es-ES" w:eastAsia="es-CR"/>
              </w:rPr>
              <w:t xml:space="preserve">, 2001. </w:t>
            </w:r>
            <w:r w:rsidRPr="00B977B2">
              <w:rPr>
                <w:rFonts w:eastAsia="Times New Roman" w:cs="Calibri"/>
                <w:color w:val="0070C0"/>
                <w:szCs w:val="18"/>
                <w:lang w:val="es-419" w:eastAsia="es-CR"/>
              </w:rPr>
              <w:t>(clásico, última edición)</w:t>
            </w:r>
          </w:p>
          <w:p w14:paraId="0C531FBE"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
          <w:p w14:paraId="6BF567A1" w14:textId="77777777" w:rsidR="00B977B2" w:rsidRPr="00B977B2" w:rsidRDefault="00B977B2" w:rsidP="00B977B2">
            <w:pPr>
              <w:widowControl w:val="0"/>
              <w:overflowPunct w:val="0"/>
              <w:autoSpaceDE w:val="0"/>
              <w:autoSpaceDN w:val="0"/>
              <w:adjustRightInd w:val="0"/>
              <w:rPr>
                <w:rFonts w:eastAsia="Times New Roman" w:cs="Arial"/>
                <w:color w:val="0070C0"/>
                <w:lang w:val="es-ES" w:eastAsia="es-CR"/>
              </w:rPr>
            </w:pPr>
            <w:r w:rsidRPr="00B977B2">
              <w:rPr>
                <w:rFonts w:eastAsia="Times New Roman" w:cs="Arial"/>
                <w:color w:val="0070C0"/>
                <w:lang w:val="es-ES" w:eastAsia="es-CR"/>
              </w:rPr>
              <w:t>Guía para la participación en un foro en la plataforma Moodle</w:t>
            </w:r>
          </w:p>
          <w:p w14:paraId="409580C0"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260" w:type="dxa"/>
          </w:tcPr>
          <w:p w14:paraId="427929EE" w14:textId="77777777" w:rsidR="00B977B2" w:rsidRPr="00B977B2" w:rsidRDefault="00B977B2" w:rsidP="00B977B2">
            <w:pPr>
              <w:widowControl w:val="0"/>
              <w:numPr>
                <w:ilvl w:val="0"/>
                <w:numId w:val="260"/>
              </w:numPr>
              <w:overflowPunct w:val="0"/>
              <w:autoSpaceDE w:val="0"/>
              <w:autoSpaceDN w:val="0"/>
              <w:adjustRightInd w:val="0"/>
              <w:spacing w:before="120"/>
              <w:ind w:left="312"/>
              <w:rPr>
                <w:rFonts w:cs="Calibri"/>
              </w:rPr>
            </w:pPr>
            <w:r w:rsidRPr="00B977B2">
              <w:rPr>
                <w:rFonts w:cs="Calibri"/>
              </w:rPr>
              <w:lastRenderedPageBreak/>
              <w:t>Realizar las lecturas de la sesión.</w:t>
            </w:r>
          </w:p>
          <w:p w14:paraId="3D4A63AE" w14:textId="77777777" w:rsidR="00B977B2" w:rsidRPr="00B977B2" w:rsidRDefault="00B977B2" w:rsidP="00B977B2">
            <w:pPr>
              <w:widowControl w:val="0"/>
              <w:numPr>
                <w:ilvl w:val="0"/>
                <w:numId w:val="260"/>
              </w:numPr>
              <w:overflowPunct w:val="0"/>
              <w:autoSpaceDE w:val="0"/>
              <w:autoSpaceDN w:val="0"/>
              <w:adjustRightInd w:val="0"/>
              <w:spacing w:before="120"/>
              <w:ind w:left="312"/>
              <w:rPr>
                <w:rFonts w:cs="Calibri"/>
              </w:rPr>
            </w:pPr>
            <w:r w:rsidRPr="00B977B2">
              <w:rPr>
                <w:rFonts w:cs="Calibri"/>
              </w:rPr>
              <w:t xml:space="preserve">Participación en el foro temático: Importancia del contexto sociocultural en las reflexiones bíblicas. </w:t>
            </w:r>
          </w:p>
        </w:tc>
      </w:tr>
      <w:tr w:rsidR="00B977B2" w:rsidRPr="00B977B2" w14:paraId="69E189B5" w14:textId="77777777" w:rsidTr="00104785">
        <w:trPr>
          <w:jc w:val="center"/>
        </w:trPr>
        <w:tc>
          <w:tcPr>
            <w:tcW w:w="1144" w:type="dxa"/>
          </w:tcPr>
          <w:p w14:paraId="27D10D88"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1A00F2E6"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5</w:t>
            </w:r>
          </w:p>
        </w:tc>
        <w:tc>
          <w:tcPr>
            <w:tcW w:w="2395" w:type="dxa"/>
          </w:tcPr>
          <w:p w14:paraId="317328E3"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Unidad 2: El trasfondo de los textos</w:t>
            </w:r>
          </w:p>
          <w:p w14:paraId="29F4634F"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1F92952F"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r w:rsidRPr="00B977B2">
              <w:rPr>
                <w:rFonts w:eastAsia="Times New Roman" w:cs="Calibri"/>
                <w:szCs w:val="18"/>
                <w:lang w:val="pt-BR" w:eastAsia="es-CR"/>
              </w:rPr>
              <w:t>2.1 Contexto social e histórico</w:t>
            </w:r>
          </w:p>
          <w:p w14:paraId="5571EA7D"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0E3DA304"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6DA38F9D"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
          <w:p w14:paraId="36C97EF5"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r w:rsidRPr="00B977B2">
              <w:rPr>
                <w:rFonts w:eastAsia="Times New Roman" w:cs="Arial"/>
                <w:lang w:val="es-ES" w:eastAsia="es-CR"/>
              </w:rPr>
              <w:t xml:space="preserve">Asurmendi, Jesús María. “Daniel y la apocalíptica”. En </w:t>
            </w:r>
            <w:r w:rsidRPr="00B977B2">
              <w:rPr>
                <w:rFonts w:eastAsia="Times New Roman" w:cs="Arial"/>
                <w:i/>
                <w:iCs/>
                <w:lang w:val="es-ES" w:eastAsia="es-CR"/>
              </w:rPr>
              <w:t>Historia, Narrativa, Apocalíptica: introducción al estudio de la Bibli</w:t>
            </w:r>
            <w:r w:rsidRPr="00B977B2">
              <w:rPr>
                <w:rFonts w:eastAsia="Times New Roman" w:cs="Arial"/>
                <w:lang w:val="es-ES" w:eastAsia="es-CR"/>
              </w:rPr>
              <w:t xml:space="preserve">a, editado por Antonio González Lamadrid, et. </w:t>
            </w:r>
            <w:proofErr w:type="spellStart"/>
            <w:r w:rsidRPr="00B977B2">
              <w:rPr>
                <w:rFonts w:eastAsia="Times New Roman" w:cs="Arial"/>
                <w:lang w:val="es-ES" w:eastAsia="es-CR"/>
              </w:rPr>
              <w:t>al</w:t>
            </w:r>
            <w:proofErr w:type="spellEnd"/>
            <w:r w:rsidRPr="00B977B2">
              <w:rPr>
                <w:rFonts w:eastAsia="Times New Roman" w:cs="Arial"/>
                <w:lang w:val="es-ES" w:eastAsia="es-CR"/>
              </w:rPr>
              <w:t xml:space="preserve">., 479-540. Estella: Verbo Divino. 2000. </w:t>
            </w:r>
            <w:r w:rsidRPr="00B977B2">
              <w:rPr>
                <w:rFonts w:eastAsia="Times New Roman" w:cs="Calibri"/>
                <w:color w:val="0070C0"/>
                <w:szCs w:val="18"/>
                <w:lang w:val="es-419" w:eastAsia="es-CR"/>
              </w:rPr>
              <w:t>(clásico, última edición)</w:t>
            </w:r>
          </w:p>
          <w:p w14:paraId="6B185FD5"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
          <w:p w14:paraId="21215EA0"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r w:rsidRPr="00B977B2">
              <w:rPr>
                <w:rFonts w:eastAsia="Times New Roman" w:cs="Calibri"/>
                <w:b/>
                <w:bCs/>
                <w:color w:val="0070C0"/>
                <w:lang w:val="es-ES_tradnl" w:eastAsia="es-CR"/>
              </w:rPr>
              <w:t>Material complementario</w:t>
            </w:r>
          </w:p>
          <w:p w14:paraId="1837D780"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p>
          <w:p w14:paraId="315305E5"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r w:rsidRPr="00B977B2">
              <w:rPr>
                <w:rFonts w:eastAsia="Times New Roman" w:cs="Calibri"/>
                <w:color w:val="0070C0"/>
                <w:lang w:val="es-ES_tradnl" w:eastAsia="es-CR"/>
              </w:rPr>
              <w:t xml:space="preserve">Guía para la participación mediante la herramienta Big Blue </w:t>
            </w:r>
            <w:proofErr w:type="spellStart"/>
            <w:r w:rsidRPr="00B977B2">
              <w:rPr>
                <w:rFonts w:eastAsia="Times New Roman" w:cs="Calibri"/>
                <w:color w:val="0070C0"/>
                <w:lang w:val="es-ES_tradnl" w:eastAsia="es-CR"/>
              </w:rPr>
              <w:t>Button</w:t>
            </w:r>
            <w:proofErr w:type="spellEnd"/>
            <w:r w:rsidRPr="00B977B2">
              <w:rPr>
                <w:rFonts w:eastAsia="Times New Roman" w:cs="Calibri"/>
                <w:color w:val="0070C0"/>
                <w:lang w:val="es-ES_tradnl" w:eastAsia="es-CR"/>
              </w:rPr>
              <w:t xml:space="preserve"> en la plataforma Moodle</w:t>
            </w:r>
          </w:p>
          <w:p w14:paraId="5915E51A"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260" w:type="dxa"/>
          </w:tcPr>
          <w:p w14:paraId="3802F827" w14:textId="77777777" w:rsidR="00B977B2" w:rsidRPr="00B977B2" w:rsidRDefault="00B977B2" w:rsidP="00B977B2">
            <w:pPr>
              <w:widowControl w:val="0"/>
              <w:numPr>
                <w:ilvl w:val="0"/>
                <w:numId w:val="261"/>
              </w:numPr>
              <w:overflowPunct w:val="0"/>
              <w:autoSpaceDE w:val="0"/>
              <w:autoSpaceDN w:val="0"/>
              <w:adjustRightInd w:val="0"/>
              <w:spacing w:before="120"/>
              <w:ind w:left="312"/>
              <w:rPr>
                <w:rFonts w:cs="Calibri"/>
              </w:rPr>
            </w:pPr>
            <w:r w:rsidRPr="00B977B2">
              <w:rPr>
                <w:rFonts w:cs="Calibri"/>
              </w:rPr>
              <w:t>Realizar la lectura de la sesión.</w:t>
            </w:r>
          </w:p>
          <w:p w14:paraId="64F6C49C" w14:textId="77777777" w:rsidR="00B977B2" w:rsidRPr="00B977B2" w:rsidRDefault="00B977B2" w:rsidP="00B977B2">
            <w:pPr>
              <w:widowControl w:val="0"/>
              <w:numPr>
                <w:ilvl w:val="0"/>
                <w:numId w:val="261"/>
              </w:numPr>
              <w:overflowPunct w:val="0"/>
              <w:autoSpaceDE w:val="0"/>
              <w:autoSpaceDN w:val="0"/>
              <w:adjustRightInd w:val="0"/>
              <w:spacing w:before="120"/>
              <w:ind w:left="312"/>
              <w:rPr>
                <w:rFonts w:cs="Calibri"/>
              </w:rPr>
            </w:pPr>
            <w:r w:rsidRPr="00B977B2">
              <w:rPr>
                <w:rFonts w:cs="Calibri"/>
              </w:rPr>
              <w:t xml:space="preserve">Explicación de la aplicación de las lecturas intertextuales en un encuentro sincrónico virtual. </w:t>
            </w:r>
          </w:p>
        </w:tc>
      </w:tr>
      <w:tr w:rsidR="00B977B2" w:rsidRPr="00B977B2" w14:paraId="04DD0D56" w14:textId="77777777" w:rsidTr="00104785">
        <w:trPr>
          <w:jc w:val="center"/>
        </w:trPr>
        <w:tc>
          <w:tcPr>
            <w:tcW w:w="1144" w:type="dxa"/>
          </w:tcPr>
          <w:p w14:paraId="0C6CDA52"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47002F0A"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6</w:t>
            </w:r>
          </w:p>
        </w:tc>
        <w:tc>
          <w:tcPr>
            <w:tcW w:w="2395" w:type="dxa"/>
          </w:tcPr>
          <w:p w14:paraId="6D1975C3"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Unidad 2: El trasfondo de los textos</w:t>
            </w:r>
          </w:p>
          <w:p w14:paraId="04C79F99"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79425777" w14:textId="77777777" w:rsidR="00B977B2" w:rsidRPr="00B977B2" w:rsidRDefault="00B977B2" w:rsidP="00B977B2">
            <w:pPr>
              <w:widowControl w:val="0"/>
              <w:overflowPunct w:val="0"/>
              <w:autoSpaceDE w:val="0"/>
              <w:autoSpaceDN w:val="0"/>
              <w:adjustRightInd w:val="0"/>
              <w:rPr>
                <w:rFonts w:eastAsia="Times New Roman" w:cs="Calibri"/>
                <w:szCs w:val="18"/>
                <w:lang w:val="pt-BR" w:eastAsia="es-CR"/>
              </w:rPr>
            </w:pPr>
            <w:r w:rsidRPr="00B977B2">
              <w:rPr>
                <w:rFonts w:eastAsia="Times New Roman" w:cs="Calibri"/>
                <w:szCs w:val="18"/>
                <w:lang w:val="pt-BR" w:eastAsia="es-CR"/>
              </w:rPr>
              <w:t xml:space="preserve">2.2 Contexto </w:t>
            </w:r>
            <w:r w:rsidRPr="00B977B2">
              <w:rPr>
                <w:rFonts w:eastAsia="Times New Roman" w:cs="Calibri"/>
                <w:szCs w:val="18"/>
                <w:lang w:eastAsia="es-CR"/>
              </w:rPr>
              <w:t>literario</w:t>
            </w:r>
          </w:p>
          <w:p w14:paraId="01227ADA"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22CFB22C"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14F30593"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
          <w:p w14:paraId="4A29913C"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roofErr w:type="spellStart"/>
            <w:r w:rsidRPr="00B977B2">
              <w:rPr>
                <w:rFonts w:eastAsia="Times New Roman" w:cs="Arial"/>
                <w:lang w:val="es-ES" w:eastAsia="es-CR"/>
              </w:rPr>
              <w:t>Marguerat</w:t>
            </w:r>
            <w:proofErr w:type="spellEnd"/>
            <w:r w:rsidRPr="00B977B2">
              <w:rPr>
                <w:rFonts w:eastAsia="Times New Roman" w:cs="Arial"/>
                <w:lang w:val="es-ES" w:eastAsia="es-CR"/>
              </w:rPr>
              <w:t xml:space="preserve">, Daniel e Yvan </w:t>
            </w:r>
            <w:proofErr w:type="spellStart"/>
            <w:r w:rsidRPr="00B977B2">
              <w:rPr>
                <w:rFonts w:eastAsia="Times New Roman" w:cs="Arial"/>
                <w:lang w:val="es-ES" w:eastAsia="es-CR"/>
              </w:rPr>
              <w:t>Bourquin</w:t>
            </w:r>
            <w:proofErr w:type="spellEnd"/>
            <w:r w:rsidRPr="00B977B2">
              <w:rPr>
                <w:rFonts w:eastAsia="Times New Roman" w:cs="Arial"/>
                <w:lang w:val="es-ES" w:eastAsia="es-CR"/>
              </w:rPr>
              <w:t xml:space="preserve">. “Historia y enunciación”. En </w:t>
            </w:r>
            <w:r w:rsidRPr="00B977B2">
              <w:rPr>
                <w:rFonts w:eastAsia="Times New Roman" w:cs="Arial"/>
                <w:i/>
                <w:iCs/>
                <w:lang w:val="es-ES" w:eastAsia="es-CR"/>
              </w:rPr>
              <w:t>Cómo leer los relatos bíblicos: iniciación al análisis narrativo</w:t>
            </w:r>
            <w:r w:rsidRPr="00B977B2">
              <w:rPr>
                <w:rFonts w:eastAsia="Times New Roman" w:cs="Arial"/>
                <w:lang w:val="es-ES" w:eastAsia="es-CR"/>
              </w:rPr>
              <w:t>, 35-50</w:t>
            </w:r>
            <w:r w:rsidRPr="00B977B2">
              <w:rPr>
                <w:rFonts w:eastAsia="Times New Roman" w:cs="Arial"/>
                <w:i/>
                <w:iCs/>
                <w:lang w:val="es-ES" w:eastAsia="es-CR"/>
              </w:rPr>
              <w:t xml:space="preserve">. </w:t>
            </w:r>
            <w:r w:rsidRPr="00B977B2">
              <w:rPr>
                <w:rFonts w:eastAsia="Times New Roman" w:cs="Arial"/>
                <w:lang w:val="es-ES" w:eastAsia="es-CR"/>
              </w:rPr>
              <w:t xml:space="preserve">Santander: Sal </w:t>
            </w:r>
            <w:proofErr w:type="spellStart"/>
            <w:r w:rsidRPr="00B977B2">
              <w:rPr>
                <w:rFonts w:eastAsia="Times New Roman" w:cs="Arial"/>
                <w:lang w:val="es-ES" w:eastAsia="es-CR"/>
              </w:rPr>
              <w:t>Terrae</w:t>
            </w:r>
            <w:proofErr w:type="spellEnd"/>
            <w:r w:rsidRPr="00B977B2">
              <w:rPr>
                <w:rFonts w:eastAsia="Times New Roman" w:cs="Arial"/>
                <w:lang w:val="es-ES" w:eastAsia="es-CR"/>
              </w:rPr>
              <w:t xml:space="preserve">, 2000. </w:t>
            </w:r>
            <w:r w:rsidRPr="00B977B2">
              <w:rPr>
                <w:rFonts w:eastAsia="Times New Roman" w:cs="Calibri"/>
                <w:color w:val="0070C0"/>
                <w:szCs w:val="18"/>
                <w:lang w:val="es-419" w:eastAsia="es-CR"/>
              </w:rPr>
              <w:t>(clásico, última edición)</w:t>
            </w:r>
          </w:p>
          <w:p w14:paraId="37B58F2A" w14:textId="77777777" w:rsidR="00B977B2" w:rsidRPr="00B977B2" w:rsidRDefault="00B977B2" w:rsidP="00B977B2">
            <w:pPr>
              <w:widowControl w:val="0"/>
              <w:overflowPunct w:val="0"/>
              <w:autoSpaceDE w:val="0"/>
              <w:autoSpaceDN w:val="0"/>
              <w:adjustRightInd w:val="0"/>
              <w:rPr>
                <w:rFonts w:eastAsia="Times New Roman" w:cs="Calibri"/>
                <w:szCs w:val="18"/>
                <w:lang w:val="es-ES_tradnl" w:eastAsia="es-CR"/>
              </w:rPr>
            </w:pPr>
          </w:p>
          <w:p w14:paraId="4B4210AE" w14:textId="77777777" w:rsidR="00B977B2" w:rsidRPr="00B977B2" w:rsidRDefault="00B977B2" w:rsidP="00B977B2">
            <w:pPr>
              <w:widowControl w:val="0"/>
              <w:overflowPunct w:val="0"/>
              <w:autoSpaceDE w:val="0"/>
              <w:autoSpaceDN w:val="0"/>
              <w:adjustRightInd w:val="0"/>
              <w:rPr>
                <w:rFonts w:eastAsia="Times New Roman" w:cs="Calibri"/>
                <w:b/>
                <w:bCs/>
                <w:szCs w:val="18"/>
                <w:lang w:val="es-ES_tradnl" w:eastAsia="es-CR"/>
              </w:rPr>
            </w:pPr>
            <w:r w:rsidRPr="00B977B2">
              <w:rPr>
                <w:rFonts w:eastAsia="Times New Roman" w:cs="Calibri"/>
                <w:b/>
                <w:bCs/>
                <w:szCs w:val="18"/>
                <w:lang w:val="es-ES_tradnl" w:eastAsia="es-CR"/>
              </w:rPr>
              <w:t>Material complementario</w:t>
            </w:r>
          </w:p>
          <w:p w14:paraId="4086B58F"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0AEFFA55" w14:textId="77777777" w:rsidR="00B977B2" w:rsidRPr="00B977B2" w:rsidRDefault="00B977B2" w:rsidP="00B977B2">
            <w:pPr>
              <w:widowControl w:val="0"/>
              <w:overflowPunct w:val="0"/>
              <w:autoSpaceDE w:val="0"/>
              <w:autoSpaceDN w:val="0"/>
              <w:adjustRightInd w:val="0"/>
              <w:rPr>
                <w:rFonts w:eastAsia="Times New Roman" w:cs="Arial"/>
                <w:bCs/>
                <w:lang w:eastAsia="es-CR"/>
              </w:rPr>
            </w:pPr>
            <w:r w:rsidRPr="00B977B2">
              <w:rPr>
                <w:rFonts w:eastAsia="Times New Roman" w:cs="Arial"/>
                <w:bCs/>
                <w:lang w:eastAsia="es-CR"/>
              </w:rPr>
              <w:t xml:space="preserve">West, Gerald. Estudio Contextual de la Biblia. </w:t>
            </w:r>
            <w:r w:rsidRPr="00B977B2">
              <w:rPr>
                <w:rFonts w:eastAsia="Times New Roman" w:cs="Arial"/>
                <w:bCs/>
                <w:i/>
                <w:iCs/>
                <w:lang w:eastAsia="es-CR"/>
              </w:rPr>
              <w:t>Aportes Bíblicos</w:t>
            </w:r>
            <w:r w:rsidRPr="00B977B2">
              <w:rPr>
                <w:rFonts w:eastAsia="Times New Roman" w:cs="Arial"/>
                <w:bCs/>
                <w:lang w:eastAsia="es-CR"/>
              </w:rPr>
              <w:t>, n.º 26 (2018): 26-53.</w:t>
            </w:r>
          </w:p>
          <w:p w14:paraId="33633804" w14:textId="77777777" w:rsidR="00B977B2" w:rsidRPr="00B977B2" w:rsidRDefault="00B977B2" w:rsidP="00B977B2">
            <w:pPr>
              <w:widowControl w:val="0"/>
              <w:overflowPunct w:val="0"/>
              <w:autoSpaceDE w:val="0"/>
              <w:autoSpaceDN w:val="0"/>
              <w:adjustRightInd w:val="0"/>
              <w:rPr>
                <w:rFonts w:eastAsia="Times New Roman" w:cs="Arial"/>
                <w:bCs/>
                <w:lang w:eastAsia="es-CR"/>
              </w:rPr>
            </w:pPr>
          </w:p>
          <w:p w14:paraId="0068C095" w14:textId="77777777" w:rsidR="00B977B2" w:rsidRDefault="00B977B2" w:rsidP="00B977B2">
            <w:pPr>
              <w:widowControl w:val="0"/>
              <w:overflowPunct w:val="0"/>
              <w:autoSpaceDE w:val="0"/>
              <w:autoSpaceDN w:val="0"/>
              <w:adjustRightInd w:val="0"/>
              <w:rPr>
                <w:rFonts w:eastAsia="Times New Roman" w:cs="Arial"/>
                <w:bCs/>
                <w:color w:val="0070C0"/>
                <w:lang w:eastAsia="es-CR"/>
              </w:rPr>
            </w:pPr>
            <w:r w:rsidRPr="00B977B2">
              <w:rPr>
                <w:rFonts w:eastAsia="Times New Roman" w:cs="Arial"/>
                <w:bCs/>
                <w:color w:val="0070C0"/>
                <w:lang w:eastAsia="es-CR"/>
              </w:rPr>
              <w:t>Guía para la participación en un foro en la plataforma Moodle</w:t>
            </w:r>
          </w:p>
          <w:p w14:paraId="2D99D7E4" w14:textId="77777777" w:rsidR="003F255B" w:rsidRPr="00B977B2" w:rsidRDefault="003F255B" w:rsidP="00B977B2">
            <w:pPr>
              <w:widowControl w:val="0"/>
              <w:overflowPunct w:val="0"/>
              <w:autoSpaceDE w:val="0"/>
              <w:autoSpaceDN w:val="0"/>
              <w:adjustRightInd w:val="0"/>
              <w:rPr>
                <w:rFonts w:eastAsia="Times New Roman" w:cs="Arial"/>
                <w:bCs/>
                <w:color w:val="0070C0"/>
                <w:lang w:eastAsia="es-CR"/>
              </w:rPr>
            </w:pPr>
          </w:p>
          <w:p w14:paraId="4DB0C069"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260" w:type="dxa"/>
          </w:tcPr>
          <w:p w14:paraId="10D26366" w14:textId="77777777" w:rsidR="00B977B2" w:rsidRPr="00B977B2" w:rsidRDefault="00B977B2" w:rsidP="00B977B2">
            <w:pPr>
              <w:widowControl w:val="0"/>
              <w:numPr>
                <w:ilvl w:val="0"/>
                <w:numId w:val="262"/>
              </w:numPr>
              <w:overflowPunct w:val="0"/>
              <w:autoSpaceDE w:val="0"/>
              <w:autoSpaceDN w:val="0"/>
              <w:adjustRightInd w:val="0"/>
              <w:spacing w:before="120"/>
              <w:ind w:left="312"/>
              <w:rPr>
                <w:rFonts w:cs="Calibri"/>
              </w:rPr>
            </w:pPr>
            <w:r w:rsidRPr="00B977B2">
              <w:rPr>
                <w:rFonts w:cs="Calibri"/>
              </w:rPr>
              <w:t>Realizar la lectura de la sesión.</w:t>
            </w:r>
          </w:p>
          <w:p w14:paraId="723C0D74" w14:textId="77777777" w:rsidR="00B977B2" w:rsidRPr="00B977B2" w:rsidRDefault="00B977B2" w:rsidP="00B977B2">
            <w:pPr>
              <w:widowControl w:val="0"/>
              <w:numPr>
                <w:ilvl w:val="0"/>
                <w:numId w:val="262"/>
              </w:numPr>
              <w:overflowPunct w:val="0"/>
              <w:autoSpaceDE w:val="0"/>
              <w:autoSpaceDN w:val="0"/>
              <w:adjustRightInd w:val="0"/>
              <w:spacing w:before="120"/>
              <w:ind w:left="312"/>
              <w:rPr>
                <w:rFonts w:cs="Calibri"/>
              </w:rPr>
            </w:pPr>
            <w:r w:rsidRPr="00B977B2">
              <w:rPr>
                <w:rFonts w:cs="Calibri"/>
              </w:rPr>
              <w:t>Participación en el foro temático: Contextos vitales de los textos bíblicos.</w:t>
            </w:r>
          </w:p>
        </w:tc>
      </w:tr>
      <w:tr w:rsidR="00B977B2" w:rsidRPr="00B977B2" w14:paraId="42213CB6" w14:textId="77777777" w:rsidTr="00104785">
        <w:trPr>
          <w:jc w:val="center"/>
        </w:trPr>
        <w:tc>
          <w:tcPr>
            <w:tcW w:w="1144" w:type="dxa"/>
          </w:tcPr>
          <w:p w14:paraId="2F5548D3"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75D7A369"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7</w:t>
            </w:r>
          </w:p>
        </w:tc>
        <w:tc>
          <w:tcPr>
            <w:tcW w:w="2395" w:type="dxa"/>
          </w:tcPr>
          <w:p w14:paraId="6CA4EE66"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Unidad 3: El análisis de los textos seleccionados</w:t>
            </w:r>
          </w:p>
          <w:p w14:paraId="0E5AB79E" w14:textId="77777777" w:rsidR="00B977B2" w:rsidRPr="00B977B2" w:rsidRDefault="00B977B2" w:rsidP="00B977B2">
            <w:pPr>
              <w:widowControl w:val="0"/>
              <w:overflowPunct w:val="0"/>
              <w:autoSpaceDE w:val="0"/>
              <w:autoSpaceDN w:val="0"/>
              <w:adjustRightInd w:val="0"/>
              <w:rPr>
                <w:rFonts w:eastAsia="Times New Roman" w:cs="Calibri"/>
                <w:szCs w:val="18"/>
                <w:lang w:val="es-ES_tradnl" w:eastAsia="es-CR"/>
              </w:rPr>
            </w:pPr>
          </w:p>
          <w:p w14:paraId="4942E5EA" w14:textId="77777777" w:rsidR="00B977B2" w:rsidRPr="00B977B2" w:rsidRDefault="00B977B2" w:rsidP="00B977B2">
            <w:pPr>
              <w:widowControl w:val="0"/>
              <w:overflowPunct w:val="0"/>
              <w:autoSpaceDE w:val="0"/>
              <w:autoSpaceDN w:val="0"/>
              <w:adjustRightInd w:val="0"/>
              <w:rPr>
                <w:rFonts w:eastAsia="Times New Roman" w:cs="Calibri"/>
                <w:szCs w:val="18"/>
                <w:lang w:val="es-ES_tradnl" w:eastAsia="es-CR"/>
              </w:rPr>
            </w:pPr>
            <w:r w:rsidRPr="00B977B2">
              <w:rPr>
                <w:rFonts w:eastAsia="Times New Roman" w:cs="Calibri"/>
                <w:szCs w:val="18"/>
                <w:lang w:val="es-ES_tradnl" w:eastAsia="es-CR"/>
              </w:rPr>
              <w:t>3.1 Análisis narrativo</w:t>
            </w:r>
          </w:p>
          <w:p w14:paraId="267B20B8"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5CA2FD19"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73D48225"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
          <w:p w14:paraId="3A91AC05"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roofErr w:type="spellStart"/>
            <w:r w:rsidRPr="00B977B2">
              <w:rPr>
                <w:rFonts w:eastAsia="Times New Roman" w:cs="Arial"/>
                <w:lang w:val="es-ES" w:eastAsia="es-CR"/>
              </w:rPr>
              <w:t>Marguerat</w:t>
            </w:r>
            <w:proofErr w:type="spellEnd"/>
            <w:r w:rsidRPr="00B977B2">
              <w:rPr>
                <w:rFonts w:eastAsia="Times New Roman" w:cs="Arial"/>
                <w:lang w:val="es-ES" w:eastAsia="es-CR"/>
              </w:rPr>
              <w:t xml:space="preserve">, Daniel e Yvan </w:t>
            </w:r>
            <w:proofErr w:type="spellStart"/>
            <w:r w:rsidRPr="00B977B2">
              <w:rPr>
                <w:rFonts w:eastAsia="Times New Roman" w:cs="Arial"/>
                <w:lang w:val="es-ES" w:eastAsia="es-CR"/>
              </w:rPr>
              <w:t>Bourquin</w:t>
            </w:r>
            <w:proofErr w:type="spellEnd"/>
            <w:r w:rsidRPr="00B977B2">
              <w:rPr>
                <w:rFonts w:eastAsia="Times New Roman" w:cs="Arial"/>
                <w:lang w:val="es-ES" w:eastAsia="es-CR"/>
              </w:rPr>
              <w:t xml:space="preserve">. “Entrar en el mundo del relato”. En </w:t>
            </w:r>
            <w:r w:rsidRPr="00B977B2">
              <w:rPr>
                <w:rFonts w:eastAsia="Times New Roman" w:cs="Arial"/>
                <w:i/>
                <w:iCs/>
                <w:lang w:val="es-ES" w:eastAsia="es-CR"/>
              </w:rPr>
              <w:t>Cómo leer los relatos bíblicos: iniciación al análisis narrativo</w:t>
            </w:r>
            <w:r w:rsidRPr="00B977B2">
              <w:rPr>
                <w:rFonts w:eastAsia="Times New Roman" w:cs="Arial"/>
                <w:lang w:val="es-ES" w:eastAsia="es-CR"/>
              </w:rPr>
              <w:t>, 11-34</w:t>
            </w:r>
            <w:r w:rsidRPr="00B977B2">
              <w:rPr>
                <w:rFonts w:eastAsia="Times New Roman" w:cs="Arial"/>
                <w:i/>
                <w:iCs/>
                <w:lang w:val="es-ES" w:eastAsia="es-CR"/>
              </w:rPr>
              <w:t xml:space="preserve">. </w:t>
            </w:r>
            <w:r w:rsidRPr="00B977B2">
              <w:rPr>
                <w:rFonts w:eastAsia="Times New Roman" w:cs="Arial"/>
                <w:lang w:val="es-ES" w:eastAsia="es-CR"/>
              </w:rPr>
              <w:t xml:space="preserve">Santander: Sal </w:t>
            </w:r>
            <w:proofErr w:type="spellStart"/>
            <w:r w:rsidRPr="00B977B2">
              <w:rPr>
                <w:rFonts w:eastAsia="Times New Roman" w:cs="Arial"/>
                <w:lang w:val="es-ES" w:eastAsia="es-CR"/>
              </w:rPr>
              <w:t>Terrae</w:t>
            </w:r>
            <w:proofErr w:type="spellEnd"/>
            <w:r w:rsidRPr="00B977B2">
              <w:rPr>
                <w:rFonts w:eastAsia="Times New Roman" w:cs="Arial"/>
                <w:lang w:val="es-ES" w:eastAsia="es-CR"/>
              </w:rPr>
              <w:t xml:space="preserve">, 2000. </w:t>
            </w:r>
            <w:r w:rsidRPr="00B977B2">
              <w:rPr>
                <w:rFonts w:eastAsia="Times New Roman" w:cs="Calibri"/>
                <w:color w:val="0070C0"/>
                <w:szCs w:val="18"/>
                <w:lang w:val="es-419" w:eastAsia="es-CR"/>
              </w:rPr>
              <w:t>(clásico, última edición)</w:t>
            </w:r>
          </w:p>
          <w:p w14:paraId="018108EC" w14:textId="77777777" w:rsidR="00B977B2" w:rsidRPr="00B977B2" w:rsidRDefault="00B977B2" w:rsidP="00B977B2">
            <w:pPr>
              <w:widowControl w:val="0"/>
              <w:overflowPunct w:val="0"/>
              <w:autoSpaceDE w:val="0"/>
              <w:autoSpaceDN w:val="0"/>
              <w:adjustRightInd w:val="0"/>
              <w:rPr>
                <w:rFonts w:eastAsia="Times New Roman" w:cs="Calibri"/>
                <w:szCs w:val="18"/>
                <w:lang w:val="es-ES_tradnl" w:eastAsia="es-CR"/>
              </w:rPr>
            </w:pPr>
          </w:p>
          <w:p w14:paraId="4E3FF5B0" w14:textId="77777777" w:rsidR="00B977B2" w:rsidRPr="00B977B2" w:rsidRDefault="00B977B2" w:rsidP="00B977B2">
            <w:pPr>
              <w:widowControl w:val="0"/>
              <w:overflowPunct w:val="0"/>
              <w:autoSpaceDE w:val="0"/>
              <w:autoSpaceDN w:val="0"/>
              <w:adjustRightInd w:val="0"/>
              <w:rPr>
                <w:rFonts w:eastAsia="Times New Roman" w:cs="Arial"/>
                <w:color w:val="0563C1"/>
                <w:u w:val="single"/>
                <w:lang w:val="es-ES" w:eastAsia="es-CR"/>
              </w:rPr>
            </w:pPr>
            <w:r w:rsidRPr="00B977B2">
              <w:rPr>
                <w:rFonts w:eastAsia="Times New Roman" w:cs="Arial"/>
                <w:lang w:val="es-ES" w:eastAsia="es-CR"/>
              </w:rPr>
              <w:t xml:space="preserve">Salas Portilla, Uriel Salomón. “David como rey absoluto: análisis narrativo de 2S 20”. </w:t>
            </w:r>
            <w:proofErr w:type="spellStart"/>
            <w:r w:rsidRPr="00B977B2">
              <w:rPr>
                <w:rFonts w:eastAsia="Times New Roman" w:cs="Arial"/>
                <w:i/>
                <w:iCs/>
                <w:lang w:val="es-ES" w:eastAsia="es-CR"/>
              </w:rPr>
              <w:t>Theologica</w:t>
            </w:r>
            <w:proofErr w:type="spellEnd"/>
            <w:r w:rsidRPr="00B977B2">
              <w:rPr>
                <w:rFonts w:eastAsia="Times New Roman" w:cs="Arial"/>
                <w:i/>
                <w:iCs/>
                <w:lang w:val="es-ES" w:eastAsia="es-CR"/>
              </w:rPr>
              <w:t xml:space="preserve"> </w:t>
            </w:r>
            <w:proofErr w:type="spellStart"/>
            <w:r w:rsidRPr="00B977B2">
              <w:rPr>
                <w:rFonts w:eastAsia="Times New Roman" w:cs="Arial"/>
                <w:i/>
                <w:iCs/>
                <w:lang w:val="es-ES" w:eastAsia="es-CR"/>
              </w:rPr>
              <w:t>Xaveriana</w:t>
            </w:r>
            <w:proofErr w:type="spellEnd"/>
            <w:r w:rsidRPr="00B977B2">
              <w:rPr>
                <w:rFonts w:eastAsia="Times New Roman" w:cs="Arial"/>
                <w:lang w:val="es-ES" w:eastAsia="es-CR"/>
              </w:rPr>
              <w:t xml:space="preserve">, n. 178 (2014): 515-543. Acceso el 18 de noviembre de 2022. </w:t>
            </w:r>
            <w:hyperlink r:id="rId461">
              <w:r w:rsidRPr="00B977B2">
                <w:rPr>
                  <w:rFonts w:eastAsia="Times New Roman" w:cs="Arial"/>
                  <w:color w:val="0563C1"/>
                  <w:u w:val="single"/>
                  <w:lang w:val="es-ES" w:eastAsia="es-CR"/>
                </w:rPr>
                <w:t>https://www.redalyc.org/articulo.oa?id=191032567008</w:t>
              </w:r>
            </w:hyperlink>
          </w:p>
          <w:p w14:paraId="06C1445F"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260" w:type="dxa"/>
          </w:tcPr>
          <w:p w14:paraId="3F68B0E0" w14:textId="77777777" w:rsidR="00B977B2" w:rsidRPr="00B977B2" w:rsidRDefault="00B977B2" w:rsidP="00B977B2">
            <w:pPr>
              <w:widowControl w:val="0"/>
              <w:numPr>
                <w:ilvl w:val="0"/>
                <w:numId w:val="263"/>
              </w:numPr>
              <w:overflowPunct w:val="0"/>
              <w:autoSpaceDE w:val="0"/>
              <w:autoSpaceDN w:val="0"/>
              <w:adjustRightInd w:val="0"/>
              <w:spacing w:before="120"/>
              <w:ind w:left="312"/>
              <w:rPr>
                <w:rFonts w:cs="Calibri"/>
              </w:rPr>
            </w:pPr>
            <w:r w:rsidRPr="00B977B2">
              <w:rPr>
                <w:rFonts w:cs="Calibri"/>
              </w:rPr>
              <w:t>Realizar las lecturas de la sesión.</w:t>
            </w:r>
          </w:p>
          <w:p w14:paraId="2E565C57" w14:textId="77777777" w:rsidR="00B977B2" w:rsidRPr="00B977B2" w:rsidRDefault="00B977B2" w:rsidP="00B977B2">
            <w:pPr>
              <w:widowControl w:val="0"/>
              <w:numPr>
                <w:ilvl w:val="0"/>
                <w:numId w:val="263"/>
              </w:numPr>
              <w:overflowPunct w:val="0"/>
              <w:autoSpaceDE w:val="0"/>
              <w:autoSpaceDN w:val="0"/>
              <w:adjustRightInd w:val="0"/>
              <w:spacing w:before="120"/>
              <w:ind w:left="312"/>
              <w:rPr>
                <w:rFonts w:cs="Calibri"/>
              </w:rPr>
            </w:pPr>
            <w:r w:rsidRPr="00B977B2">
              <w:rPr>
                <w:rFonts w:cs="Calibri"/>
              </w:rPr>
              <w:t xml:space="preserve">Iniciar la elaboración de un análisis narrativo de uno de los textos asignados por la persona docente. </w:t>
            </w:r>
          </w:p>
        </w:tc>
      </w:tr>
      <w:tr w:rsidR="00B977B2" w:rsidRPr="00B977B2" w14:paraId="6D1AD17D" w14:textId="77777777" w:rsidTr="00104785">
        <w:trPr>
          <w:jc w:val="center"/>
        </w:trPr>
        <w:tc>
          <w:tcPr>
            <w:tcW w:w="1144" w:type="dxa"/>
          </w:tcPr>
          <w:p w14:paraId="1022FA6C"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28EDAEB8"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8</w:t>
            </w:r>
          </w:p>
        </w:tc>
        <w:tc>
          <w:tcPr>
            <w:tcW w:w="2395" w:type="dxa"/>
          </w:tcPr>
          <w:p w14:paraId="41548623"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Unidad 3: El análisis de los textos seleccionados</w:t>
            </w:r>
          </w:p>
          <w:p w14:paraId="62AAB684" w14:textId="77777777" w:rsidR="00B977B2" w:rsidRPr="00B977B2" w:rsidRDefault="00B977B2" w:rsidP="00B977B2">
            <w:pPr>
              <w:widowControl w:val="0"/>
              <w:overflowPunct w:val="0"/>
              <w:autoSpaceDE w:val="0"/>
              <w:autoSpaceDN w:val="0"/>
              <w:adjustRightInd w:val="0"/>
              <w:rPr>
                <w:rFonts w:eastAsia="Times New Roman" w:cs="Calibri"/>
                <w:szCs w:val="18"/>
                <w:lang w:val="es-ES_tradnl" w:eastAsia="es-CR"/>
              </w:rPr>
            </w:pPr>
          </w:p>
          <w:p w14:paraId="4A28E2EF" w14:textId="77777777" w:rsidR="00B977B2" w:rsidRPr="00B977B2" w:rsidRDefault="00B977B2" w:rsidP="00B977B2">
            <w:pPr>
              <w:widowControl w:val="0"/>
              <w:overflowPunct w:val="0"/>
              <w:autoSpaceDE w:val="0"/>
              <w:autoSpaceDN w:val="0"/>
              <w:adjustRightInd w:val="0"/>
              <w:rPr>
                <w:rFonts w:eastAsia="Times New Roman" w:cs="Calibri"/>
                <w:szCs w:val="18"/>
                <w:lang w:val="es-ES_tradnl" w:eastAsia="es-CR"/>
              </w:rPr>
            </w:pPr>
            <w:r w:rsidRPr="00B977B2">
              <w:rPr>
                <w:rFonts w:eastAsia="Times New Roman" w:cs="Calibri"/>
                <w:szCs w:val="18"/>
                <w:lang w:val="es-ES_tradnl" w:eastAsia="es-CR"/>
              </w:rPr>
              <w:t>3.1 Análisis narrativo</w:t>
            </w:r>
          </w:p>
          <w:p w14:paraId="1D96C3C4"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3BE100FB"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41EF81AA"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p>
          <w:p w14:paraId="1C4E207D"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r w:rsidRPr="00B977B2">
              <w:rPr>
                <w:rFonts w:eastAsia="Times New Roman" w:cs="Calibri"/>
                <w:b/>
                <w:bCs/>
                <w:color w:val="0070C0"/>
                <w:lang w:val="es-ES_tradnl" w:eastAsia="es-CR"/>
              </w:rPr>
              <w:t>Material complementario</w:t>
            </w:r>
          </w:p>
          <w:p w14:paraId="7C412B0E"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p>
          <w:p w14:paraId="6B1DBB82"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r w:rsidRPr="00B977B2">
              <w:rPr>
                <w:rFonts w:eastAsia="Times New Roman" w:cs="Calibri"/>
                <w:color w:val="0070C0"/>
                <w:lang w:val="es-ES_tradnl" w:eastAsia="es-CR"/>
              </w:rPr>
              <w:t>Guía para la participación en un foro en la plataforma Moodle</w:t>
            </w:r>
          </w:p>
        </w:tc>
        <w:tc>
          <w:tcPr>
            <w:tcW w:w="3260" w:type="dxa"/>
          </w:tcPr>
          <w:p w14:paraId="6EAF5B24" w14:textId="77777777" w:rsidR="00B977B2" w:rsidRPr="00B977B2" w:rsidRDefault="00B977B2" w:rsidP="00B977B2">
            <w:pPr>
              <w:widowControl w:val="0"/>
              <w:numPr>
                <w:ilvl w:val="0"/>
                <w:numId w:val="264"/>
              </w:numPr>
              <w:overflowPunct w:val="0"/>
              <w:autoSpaceDE w:val="0"/>
              <w:autoSpaceDN w:val="0"/>
              <w:adjustRightInd w:val="0"/>
              <w:spacing w:before="120"/>
              <w:ind w:left="312"/>
              <w:rPr>
                <w:rFonts w:cs="Calibri"/>
              </w:rPr>
            </w:pPr>
            <w:r w:rsidRPr="00B977B2">
              <w:rPr>
                <w:rFonts w:cs="Calibri"/>
              </w:rPr>
              <w:t>Entregar el análisis narrativo de uno de los textos asignados por la persona docente.</w:t>
            </w:r>
          </w:p>
          <w:p w14:paraId="58486A17" w14:textId="77777777" w:rsidR="00B977B2" w:rsidRPr="00B977B2" w:rsidRDefault="00B977B2" w:rsidP="00B977B2">
            <w:pPr>
              <w:widowControl w:val="0"/>
              <w:numPr>
                <w:ilvl w:val="0"/>
                <w:numId w:val="264"/>
              </w:numPr>
              <w:overflowPunct w:val="0"/>
              <w:autoSpaceDE w:val="0"/>
              <w:autoSpaceDN w:val="0"/>
              <w:adjustRightInd w:val="0"/>
              <w:spacing w:before="120"/>
              <w:ind w:left="312"/>
              <w:rPr>
                <w:rFonts w:cs="Calibri"/>
              </w:rPr>
            </w:pPr>
            <w:r w:rsidRPr="00B977B2">
              <w:rPr>
                <w:rFonts w:cs="Calibri"/>
              </w:rPr>
              <w:t>Participación en el foro temático: Revisión, recapitulación y síntesis sobre los insumos estudiados hasta el momento.</w:t>
            </w:r>
          </w:p>
        </w:tc>
      </w:tr>
      <w:tr w:rsidR="00B977B2" w:rsidRPr="00B977B2" w14:paraId="736EA019" w14:textId="77777777" w:rsidTr="00104785">
        <w:trPr>
          <w:jc w:val="center"/>
        </w:trPr>
        <w:tc>
          <w:tcPr>
            <w:tcW w:w="1144" w:type="dxa"/>
          </w:tcPr>
          <w:p w14:paraId="38E3A025"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0F838F79"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9</w:t>
            </w:r>
          </w:p>
        </w:tc>
        <w:tc>
          <w:tcPr>
            <w:tcW w:w="2395" w:type="dxa"/>
          </w:tcPr>
          <w:p w14:paraId="4523DB3D"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Unidad 3: El análisis de los textos seleccionados</w:t>
            </w:r>
          </w:p>
          <w:p w14:paraId="0B9E9B8A"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5EC1B195" w14:textId="77777777" w:rsidR="00B977B2" w:rsidRPr="00B977B2" w:rsidRDefault="00B977B2" w:rsidP="00B977B2">
            <w:pPr>
              <w:widowControl w:val="0"/>
              <w:overflowPunct w:val="0"/>
              <w:autoSpaceDE w:val="0"/>
              <w:autoSpaceDN w:val="0"/>
              <w:adjustRightInd w:val="0"/>
              <w:rPr>
                <w:rFonts w:eastAsia="Times New Roman" w:cs="Calibri"/>
                <w:szCs w:val="18"/>
                <w:lang w:val="es-ES_tradnl" w:eastAsia="es-CR"/>
              </w:rPr>
            </w:pPr>
            <w:r w:rsidRPr="00B977B2">
              <w:rPr>
                <w:rFonts w:eastAsia="Times New Roman" w:cs="Calibri"/>
                <w:szCs w:val="18"/>
                <w:lang w:val="es-ES_tradnl" w:eastAsia="es-CR"/>
              </w:rPr>
              <w:t>3.2 Análisis sociológico</w:t>
            </w:r>
          </w:p>
          <w:p w14:paraId="47C680AA"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2542C3F0"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0D63A149" w14:textId="77777777" w:rsidR="00B977B2" w:rsidRPr="00B977B2" w:rsidRDefault="00B977B2" w:rsidP="00B977B2">
            <w:pPr>
              <w:widowControl w:val="0"/>
              <w:overflowPunct w:val="0"/>
              <w:autoSpaceDE w:val="0"/>
              <w:autoSpaceDN w:val="0"/>
              <w:adjustRightInd w:val="0"/>
              <w:rPr>
                <w:rFonts w:eastAsia="Times New Roman" w:cs="Calibri"/>
                <w:bCs/>
                <w:szCs w:val="18"/>
                <w:lang w:val="es-ES_tradnl" w:eastAsia="es-CR"/>
              </w:rPr>
            </w:pPr>
          </w:p>
          <w:p w14:paraId="422F31DB" w14:textId="77777777" w:rsidR="00B977B2" w:rsidRPr="00B977B2" w:rsidRDefault="00B977B2" w:rsidP="00B977B2">
            <w:pPr>
              <w:widowControl w:val="0"/>
              <w:overflowPunct w:val="0"/>
              <w:autoSpaceDE w:val="0"/>
              <w:autoSpaceDN w:val="0"/>
              <w:adjustRightInd w:val="0"/>
              <w:rPr>
                <w:rFonts w:eastAsia="Times New Roman" w:cs="Calibri"/>
                <w:bCs/>
                <w:szCs w:val="18"/>
                <w:lang w:val="es-ES_tradnl" w:eastAsia="es-CR"/>
              </w:rPr>
            </w:pPr>
            <w:r w:rsidRPr="00B977B2">
              <w:rPr>
                <w:rFonts w:eastAsia="Times New Roman" w:cs="Calibri"/>
                <w:bCs/>
                <w:szCs w:val="18"/>
                <w:lang w:val="es-ES_tradnl" w:eastAsia="es-CR"/>
              </w:rPr>
              <w:t xml:space="preserve">Aguirre, Rafael. “Exégesis contextual, ciencias sociales y dimensión teológica”. En </w:t>
            </w:r>
            <w:r w:rsidRPr="00B977B2">
              <w:rPr>
                <w:rFonts w:eastAsia="Times New Roman" w:cs="Calibri"/>
                <w:bCs/>
                <w:i/>
                <w:iCs/>
                <w:szCs w:val="18"/>
                <w:lang w:val="es-ES_tradnl" w:eastAsia="es-CR"/>
              </w:rPr>
              <w:t>El Nuevo Testamento en su contexto: propuestas de lectu</w:t>
            </w:r>
            <w:r w:rsidRPr="00B977B2">
              <w:rPr>
                <w:rFonts w:eastAsia="Times New Roman" w:cs="Calibri"/>
                <w:bCs/>
                <w:szCs w:val="18"/>
                <w:lang w:val="es-ES_tradnl" w:eastAsia="es-CR"/>
              </w:rPr>
              <w:t>r</w:t>
            </w:r>
            <w:r w:rsidRPr="00B977B2">
              <w:rPr>
                <w:rFonts w:eastAsia="Times New Roman" w:cs="Calibri"/>
                <w:bCs/>
                <w:i/>
                <w:iCs/>
                <w:szCs w:val="18"/>
                <w:lang w:val="es-ES_tradnl" w:eastAsia="es-CR"/>
              </w:rPr>
              <w:t>a</w:t>
            </w:r>
            <w:r w:rsidRPr="00B977B2">
              <w:rPr>
                <w:rFonts w:eastAsia="Times New Roman" w:cs="Calibri"/>
                <w:bCs/>
                <w:szCs w:val="18"/>
                <w:lang w:val="es-ES_tradnl" w:eastAsia="es-CR"/>
              </w:rPr>
              <w:t xml:space="preserve">, editado por Rafael Aguirre, 15-31. Estella: Verbo Divino. 2013. </w:t>
            </w:r>
            <w:r w:rsidRPr="00B977B2">
              <w:rPr>
                <w:rFonts w:eastAsia="Times New Roman" w:cs="Calibri"/>
                <w:color w:val="0070C0"/>
                <w:szCs w:val="18"/>
                <w:lang w:val="es-419" w:eastAsia="es-CR"/>
              </w:rPr>
              <w:t>(clásico, última edición)</w:t>
            </w:r>
          </w:p>
          <w:p w14:paraId="27986B36" w14:textId="77777777" w:rsidR="00B977B2" w:rsidRPr="00B977B2" w:rsidRDefault="00B977B2" w:rsidP="00B977B2">
            <w:pPr>
              <w:widowControl w:val="0"/>
              <w:overflowPunct w:val="0"/>
              <w:autoSpaceDE w:val="0"/>
              <w:autoSpaceDN w:val="0"/>
              <w:adjustRightInd w:val="0"/>
              <w:rPr>
                <w:rFonts w:eastAsia="Times New Roman" w:cs="Calibri"/>
                <w:bCs/>
                <w:szCs w:val="18"/>
                <w:lang w:val="es-ES_tradnl" w:eastAsia="es-CR"/>
              </w:rPr>
            </w:pPr>
          </w:p>
          <w:p w14:paraId="1D55C97E"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r w:rsidRPr="00B977B2">
              <w:rPr>
                <w:rFonts w:eastAsia="Times New Roman" w:cs="Calibri"/>
                <w:b/>
                <w:bCs/>
                <w:color w:val="0070C0"/>
                <w:lang w:val="es-ES_tradnl" w:eastAsia="es-CR"/>
              </w:rPr>
              <w:t>Material complementario</w:t>
            </w:r>
          </w:p>
          <w:p w14:paraId="7F1F9633"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p>
          <w:p w14:paraId="79D221E7" w14:textId="77777777" w:rsidR="00B977B2" w:rsidRPr="00B977B2" w:rsidRDefault="00B977B2" w:rsidP="00B977B2">
            <w:pPr>
              <w:widowControl w:val="0"/>
              <w:overflowPunct w:val="0"/>
              <w:autoSpaceDE w:val="0"/>
              <w:autoSpaceDN w:val="0"/>
              <w:adjustRightInd w:val="0"/>
              <w:rPr>
                <w:rFonts w:eastAsia="Times New Roman" w:cs="Calibri"/>
                <w:szCs w:val="18"/>
                <w:lang w:val="es-ES_tradnl" w:eastAsia="es-CR"/>
              </w:rPr>
            </w:pPr>
            <w:r w:rsidRPr="00B977B2">
              <w:rPr>
                <w:rFonts w:eastAsia="Times New Roman" w:cs="Calibri"/>
                <w:color w:val="0070C0"/>
                <w:lang w:val="es-ES_tradnl" w:eastAsia="es-CR"/>
              </w:rPr>
              <w:t xml:space="preserve">Guía para la participación mediante la herramienta Big Blue </w:t>
            </w:r>
            <w:proofErr w:type="spellStart"/>
            <w:r w:rsidRPr="00B977B2">
              <w:rPr>
                <w:rFonts w:eastAsia="Times New Roman" w:cs="Calibri"/>
                <w:color w:val="0070C0"/>
                <w:lang w:val="es-ES_tradnl" w:eastAsia="es-CR"/>
              </w:rPr>
              <w:t>Button</w:t>
            </w:r>
            <w:proofErr w:type="spellEnd"/>
            <w:r w:rsidRPr="00B977B2">
              <w:rPr>
                <w:rFonts w:eastAsia="Times New Roman" w:cs="Calibri"/>
                <w:color w:val="0070C0"/>
                <w:lang w:val="es-ES_tradnl" w:eastAsia="es-CR"/>
              </w:rPr>
              <w:t xml:space="preserve"> en la plataforma Moodle</w:t>
            </w:r>
          </w:p>
          <w:p w14:paraId="0D6B9308"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260" w:type="dxa"/>
          </w:tcPr>
          <w:p w14:paraId="72F453F9" w14:textId="77777777" w:rsidR="00B977B2" w:rsidRPr="00B977B2" w:rsidRDefault="00B977B2" w:rsidP="00B977B2">
            <w:pPr>
              <w:widowControl w:val="0"/>
              <w:numPr>
                <w:ilvl w:val="0"/>
                <w:numId w:val="265"/>
              </w:numPr>
              <w:overflowPunct w:val="0"/>
              <w:autoSpaceDE w:val="0"/>
              <w:autoSpaceDN w:val="0"/>
              <w:adjustRightInd w:val="0"/>
              <w:spacing w:before="120"/>
              <w:ind w:left="312"/>
              <w:rPr>
                <w:rFonts w:cs="Calibri"/>
              </w:rPr>
            </w:pPr>
            <w:r w:rsidRPr="00B977B2">
              <w:rPr>
                <w:rFonts w:cs="Calibri"/>
              </w:rPr>
              <w:t>Realizar la lectura de la sesión.</w:t>
            </w:r>
          </w:p>
          <w:p w14:paraId="22466EE5" w14:textId="77777777" w:rsidR="00B977B2" w:rsidRPr="00B977B2" w:rsidRDefault="00B977B2" w:rsidP="00B977B2">
            <w:pPr>
              <w:widowControl w:val="0"/>
              <w:numPr>
                <w:ilvl w:val="0"/>
                <w:numId w:val="265"/>
              </w:numPr>
              <w:overflowPunct w:val="0"/>
              <w:autoSpaceDE w:val="0"/>
              <w:autoSpaceDN w:val="0"/>
              <w:adjustRightInd w:val="0"/>
              <w:spacing w:before="120"/>
              <w:ind w:left="312"/>
              <w:rPr>
                <w:rFonts w:cs="Calibri"/>
              </w:rPr>
            </w:pPr>
            <w:r w:rsidRPr="00B977B2">
              <w:rPr>
                <w:rFonts w:cs="Calibri"/>
              </w:rPr>
              <w:t>Elaboración de un análisis sociológico de un texto bíblico.</w:t>
            </w:r>
          </w:p>
          <w:p w14:paraId="03190F5A" w14:textId="77777777" w:rsidR="00B977B2" w:rsidRPr="00B977B2" w:rsidRDefault="00B977B2" w:rsidP="00B977B2">
            <w:pPr>
              <w:widowControl w:val="0"/>
              <w:numPr>
                <w:ilvl w:val="0"/>
                <w:numId w:val="265"/>
              </w:numPr>
              <w:overflowPunct w:val="0"/>
              <w:autoSpaceDE w:val="0"/>
              <w:autoSpaceDN w:val="0"/>
              <w:adjustRightInd w:val="0"/>
              <w:spacing w:before="120"/>
              <w:ind w:left="312"/>
              <w:rPr>
                <w:rFonts w:cs="Calibri"/>
              </w:rPr>
            </w:pPr>
            <w:r w:rsidRPr="00B977B2">
              <w:rPr>
                <w:rFonts w:cs="Calibri"/>
              </w:rPr>
              <w:t>Exposición docente y discusión grupal en un encuentro sincrónico virtual.</w:t>
            </w:r>
          </w:p>
        </w:tc>
      </w:tr>
      <w:tr w:rsidR="00B977B2" w:rsidRPr="00B977B2" w14:paraId="43DB26E1" w14:textId="77777777" w:rsidTr="00104785">
        <w:trPr>
          <w:jc w:val="center"/>
        </w:trPr>
        <w:tc>
          <w:tcPr>
            <w:tcW w:w="1144" w:type="dxa"/>
          </w:tcPr>
          <w:p w14:paraId="7600C5F5"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16B747E9"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10</w:t>
            </w:r>
          </w:p>
        </w:tc>
        <w:tc>
          <w:tcPr>
            <w:tcW w:w="2395" w:type="dxa"/>
          </w:tcPr>
          <w:p w14:paraId="104E6B85"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 xml:space="preserve">Unidad 3: El análisis de los textos </w:t>
            </w:r>
            <w:r w:rsidRPr="00B977B2">
              <w:rPr>
                <w:rFonts w:eastAsia="Times New Roman" w:cs="Calibri"/>
                <w:b/>
                <w:bCs/>
                <w:lang w:val="es-ES_tradnl" w:eastAsia="es-CR"/>
              </w:rPr>
              <w:lastRenderedPageBreak/>
              <w:t>seleccionados</w:t>
            </w:r>
          </w:p>
          <w:p w14:paraId="2B7F97CC"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58EF35B7" w14:textId="77777777" w:rsidR="00B977B2" w:rsidRPr="00B977B2" w:rsidRDefault="00B977B2" w:rsidP="00B977B2">
            <w:pPr>
              <w:autoSpaceDE w:val="0"/>
              <w:autoSpaceDN w:val="0"/>
              <w:adjustRightInd w:val="0"/>
              <w:jc w:val="both"/>
              <w:rPr>
                <w:rFonts w:eastAsia="Times New Roman" w:cs="Calibri"/>
                <w:sz w:val="18"/>
                <w:szCs w:val="18"/>
                <w:lang w:val="es-ES_tradnl" w:eastAsia="es-CR"/>
              </w:rPr>
            </w:pPr>
            <w:r w:rsidRPr="00B977B2">
              <w:rPr>
                <w:rFonts w:eastAsia="Times New Roman" w:cs="Calibri"/>
                <w:szCs w:val="18"/>
                <w:lang w:val="es-ES_tradnl" w:eastAsia="es-CR"/>
              </w:rPr>
              <w:t>3.3 Análisis retórico</w:t>
            </w:r>
          </w:p>
          <w:p w14:paraId="6BEC87B1"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6C1E85D0"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lastRenderedPageBreak/>
              <w:t>Ruta de aprendizaje</w:t>
            </w:r>
          </w:p>
          <w:p w14:paraId="6A0067C8"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
          <w:p w14:paraId="2C9A612A"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roofErr w:type="spellStart"/>
            <w:r w:rsidRPr="00B977B2">
              <w:rPr>
                <w:rFonts w:eastAsia="Times New Roman" w:cs="Arial"/>
                <w:lang w:val="es-ES" w:eastAsia="es-CR"/>
              </w:rPr>
              <w:lastRenderedPageBreak/>
              <w:t>Meynet</w:t>
            </w:r>
            <w:proofErr w:type="spellEnd"/>
            <w:r w:rsidRPr="00B977B2">
              <w:rPr>
                <w:rFonts w:eastAsia="Times New Roman" w:cs="Arial"/>
                <w:lang w:val="es-ES" w:eastAsia="es-CR"/>
              </w:rPr>
              <w:t xml:space="preserve">, Roland. “La retórica bíblica”. En </w:t>
            </w:r>
            <w:r w:rsidRPr="00B977B2">
              <w:rPr>
                <w:rFonts w:eastAsia="Times New Roman" w:cs="Arial"/>
                <w:i/>
                <w:iCs/>
                <w:lang w:val="es-ES" w:eastAsia="es-CR"/>
              </w:rPr>
              <w:t>Leer la Biblia: una explicación para comprender. Un ensayo para reflexionar</w:t>
            </w:r>
            <w:r w:rsidRPr="00B977B2">
              <w:rPr>
                <w:rFonts w:eastAsia="Times New Roman" w:cs="Arial"/>
                <w:lang w:val="es-ES" w:eastAsia="es-CR"/>
              </w:rPr>
              <w:t xml:space="preserve">, 74-91. México: Siglo XXI Editores, 2003. </w:t>
            </w:r>
            <w:r w:rsidRPr="00B977B2">
              <w:rPr>
                <w:rFonts w:eastAsia="Times New Roman" w:cs="Calibri"/>
                <w:color w:val="0070C0"/>
                <w:szCs w:val="18"/>
                <w:lang w:val="es-419" w:eastAsia="es-CR"/>
              </w:rPr>
              <w:t>(clásico, última edición)</w:t>
            </w:r>
          </w:p>
          <w:p w14:paraId="398E4540" w14:textId="77777777" w:rsidR="00B977B2" w:rsidRPr="00B977B2" w:rsidRDefault="00B977B2" w:rsidP="00B977B2">
            <w:pPr>
              <w:widowControl w:val="0"/>
              <w:overflowPunct w:val="0"/>
              <w:autoSpaceDE w:val="0"/>
              <w:autoSpaceDN w:val="0"/>
              <w:adjustRightInd w:val="0"/>
              <w:rPr>
                <w:rFonts w:eastAsia="Times New Roman" w:cs="Calibri"/>
                <w:bCs/>
                <w:szCs w:val="18"/>
                <w:lang w:val="es-ES_tradnl" w:eastAsia="es-CR"/>
              </w:rPr>
            </w:pPr>
          </w:p>
          <w:p w14:paraId="22037C8C" w14:textId="77777777" w:rsidR="00B977B2" w:rsidRPr="00B977B2" w:rsidRDefault="00B977B2" w:rsidP="00B977B2">
            <w:pPr>
              <w:widowControl w:val="0"/>
              <w:overflowPunct w:val="0"/>
              <w:autoSpaceDE w:val="0"/>
              <w:autoSpaceDN w:val="0"/>
              <w:adjustRightInd w:val="0"/>
              <w:rPr>
                <w:rFonts w:eastAsia="Times New Roman" w:cs="Calibri"/>
                <w:b/>
                <w:szCs w:val="18"/>
                <w:lang w:val="es-ES_tradnl" w:eastAsia="es-CR"/>
              </w:rPr>
            </w:pPr>
            <w:r w:rsidRPr="00B977B2">
              <w:rPr>
                <w:rFonts w:eastAsia="Times New Roman" w:cs="Calibri"/>
                <w:b/>
                <w:szCs w:val="18"/>
                <w:lang w:val="es-ES_tradnl" w:eastAsia="es-CR"/>
              </w:rPr>
              <w:t>Material complementario</w:t>
            </w:r>
          </w:p>
          <w:p w14:paraId="7ACDC798" w14:textId="77777777" w:rsidR="00B977B2" w:rsidRPr="00B977B2" w:rsidRDefault="00B977B2" w:rsidP="00B977B2">
            <w:pPr>
              <w:widowControl w:val="0"/>
              <w:overflowPunct w:val="0"/>
              <w:autoSpaceDE w:val="0"/>
              <w:autoSpaceDN w:val="0"/>
              <w:adjustRightInd w:val="0"/>
              <w:rPr>
                <w:rFonts w:eastAsia="Times New Roman" w:cs="Calibri"/>
                <w:b/>
                <w:szCs w:val="18"/>
                <w:lang w:val="es-ES_tradnl" w:eastAsia="es-CR"/>
              </w:rPr>
            </w:pPr>
          </w:p>
          <w:p w14:paraId="436F1006" w14:textId="77777777" w:rsidR="00B977B2" w:rsidRPr="00B977B2" w:rsidRDefault="00B977B2" w:rsidP="00B977B2">
            <w:pPr>
              <w:widowControl w:val="0"/>
              <w:overflowPunct w:val="0"/>
              <w:autoSpaceDE w:val="0"/>
              <w:autoSpaceDN w:val="0"/>
              <w:adjustRightInd w:val="0"/>
              <w:rPr>
                <w:rFonts w:eastAsia="Times New Roman" w:cs="Calibri"/>
                <w:szCs w:val="18"/>
                <w:lang w:val="es-ES_tradnl" w:eastAsia="es-CR"/>
              </w:rPr>
            </w:pPr>
            <w:r w:rsidRPr="00B977B2">
              <w:rPr>
                <w:rFonts w:eastAsia="Times New Roman" w:cs="Calibri"/>
                <w:szCs w:val="18"/>
                <w:lang w:val="es-ES_tradnl" w:eastAsia="es-CR"/>
              </w:rPr>
              <w:t xml:space="preserve">Kennedy, George, A. “La retórica de los Evangelios”. En </w:t>
            </w:r>
            <w:r w:rsidRPr="00B977B2">
              <w:rPr>
                <w:rFonts w:eastAsia="Times New Roman" w:cs="Calibri"/>
                <w:i/>
                <w:iCs/>
                <w:szCs w:val="18"/>
                <w:lang w:val="es-ES_tradnl" w:eastAsia="es-CR"/>
              </w:rPr>
              <w:t>Retórica y Nuevo Testamento: la interpretación del Nuevo Testamento mediante la crítica retórica</w:t>
            </w:r>
            <w:r w:rsidRPr="00B977B2">
              <w:rPr>
                <w:rFonts w:eastAsia="Times New Roman" w:cs="Calibri"/>
                <w:szCs w:val="18"/>
                <w:lang w:val="es-ES_tradnl" w:eastAsia="es-CR"/>
              </w:rPr>
              <w:t xml:space="preserve">, 185-214. Madrid: Cristiandad, 2003. </w:t>
            </w:r>
            <w:r w:rsidRPr="00B977B2">
              <w:rPr>
                <w:rFonts w:eastAsia="Times New Roman" w:cs="Calibri"/>
                <w:color w:val="0070C0"/>
                <w:szCs w:val="18"/>
                <w:lang w:val="es-419" w:eastAsia="es-CR"/>
              </w:rPr>
              <w:t>(clásico, última edición)</w:t>
            </w:r>
          </w:p>
          <w:p w14:paraId="16C68F1F" w14:textId="77777777" w:rsidR="00B977B2" w:rsidRPr="00B977B2" w:rsidRDefault="00B977B2" w:rsidP="00B977B2">
            <w:pPr>
              <w:widowControl w:val="0"/>
              <w:overflowPunct w:val="0"/>
              <w:autoSpaceDE w:val="0"/>
              <w:autoSpaceDN w:val="0"/>
              <w:adjustRightInd w:val="0"/>
              <w:rPr>
                <w:rFonts w:eastAsia="Times New Roman" w:cs="Calibri"/>
                <w:szCs w:val="18"/>
                <w:lang w:val="es-ES_tradnl" w:eastAsia="es-CR"/>
              </w:rPr>
            </w:pPr>
          </w:p>
          <w:p w14:paraId="5A6D630A" w14:textId="77777777" w:rsidR="00B977B2" w:rsidRPr="00B977B2" w:rsidRDefault="00B977B2" w:rsidP="00B977B2">
            <w:pPr>
              <w:widowControl w:val="0"/>
              <w:overflowPunct w:val="0"/>
              <w:autoSpaceDE w:val="0"/>
              <w:autoSpaceDN w:val="0"/>
              <w:adjustRightInd w:val="0"/>
              <w:rPr>
                <w:rFonts w:eastAsia="Times New Roman" w:cs="Calibri"/>
                <w:color w:val="0070C0"/>
                <w:szCs w:val="18"/>
                <w:lang w:val="es-ES_tradnl" w:eastAsia="es-CR"/>
              </w:rPr>
            </w:pPr>
            <w:r w:rsidRPr="00B977B2">
              <w:rPr>
                <w:rFonts w:eastAsia="Times New Roman" w:cs="Calibri"/>
                <w:color w:val="0070C0"/>
                <w:szCs w:val="18"/>
                <w:lang w:val="es-ES_tradnl" w:eastAsia="es-CR"/>
              </w:rPr>
              <w:t>Guía para la participación en un wiki en la plataforma Moodle</w:t>
            </w:r>
          </w:p>
          <w:p w14:paraId="317D5B1D" w14:textId="77777777" w:rsidR="00B977B2" w:rsidRPr="00B977B2" w:rsidRDefault="00B977B2" w:rsidP="00B977B2">
            <w:pPr>
              <w:widowControl w:val="0"/>
              <w:overflowPunct w:val="0"/>
              <w:autoSpaceDE w:val="0"/>
              <w:autoSpaceDN w:val="0"/>
              <w:adjustRightInd w:val="0"/>
              <w:rPr>
                <w:rFonts w:eastAsia="Times New Roman" w:cs="Calibri"/>
                <w:b/>
                <w:lang w:val="es-ES_tradnl" w:eastAsia="es-CR"/>
              </w:rPr>
            </w:pPr>
          </w:p>
        </w:tc>
        <w:tc>
          <w:tcPr>
            <w:tcW w:w="3260" w:type="dxa"/>
          </w:tcPr>
          <w:p w14:paraId="311D3144" w14:textId="77777777" w:rsidR="00B977B2" w:rsidRPr="00B977B2" w:rsidRDefault="00B977B2" w:rsidP="00B977B2">
            <w:pPr>
              <w:widowControl w:val="0"/>
              <w:numPr>
                <w:ilvl w:val="0"/>
                <w:numId w:val="266"/>
              </w:numPr>
              <w:overflowPunct w:val="0"/>
              <w:autoSpaceDE w:val="0"/>
              <w:autoSpaceDN w:val="0"/>
              <w:adjustRightInd w:val="0"/>
              <w:spacing w:before="120"/>
              <w:ind w:left="312"/>
              <w:rPr>
                <w:rFonts w:cs="Calibri"/>
              </w:rPr>
            </w:pPr>
            <w:r w:rsidRPr="00B977B2">
              <w:rPr>
                <w:rFonts w:cs="Calibri"/>
              </w:rPr>
              <w:lastRenderedPageBreak/>
              <w:t xml:space="preserve">Realizar la lectura de la </w:t>
            </w:r>
            <w:r w:rsidRPr="00B977B2">
              <w:rPr>
                <w:rFonts w:cs="Calibri"/>
              </w:rPr>
              <w:lastRenderedPageBreak/>
              <w:t>sesión.</w:t>
            </w:r>
          </w:p>
          <w:p w14:paraId="47F7CD5A" w14:textId="77777777" w:rsidR="00B977B2" w:rsidRPr="00B977B2" w:rsidRDefault="00B977B2" w:rsidP="00B977B2">
            <w:pPr>
              <w:widowControl w:val="0"/>
              <w:numPr>
                <w:ilvl w:val="0"/>
                <w:numId w:val="266"/>
              </w:numPr>
              <w:overflowPunct w:val="0"/>
              <w:autoSpaceDE w:val="0"/>
              <w:autoSpaceDN w:val="0"/>
              <w:adjustRightInd w:val="0"/>
              <w:spacing w:before="120"/>
              <w:ind w:left="312"/>
              <w:rPr>
                <w:rFonts w:cs="Calibri"/>
              </w:rPr>
            </w:pPr>
            <w:r w:rsidRPr="00B977B2">
              <w:rPr>
                <w:rFonts w:cs="Calibri"/>
              </w:rPr>
              <w:t xml:space="preserve">Participación en la elaboración de un wiki sobre los métodos retóricos en las lecturas bíblicas. </w:t>
            </w:r>
          </w:p>
          <w:p w14:paraId="088DD2C3" w14:textId="77777777" w:rsidR="00B977B2" w:rsidRPr="00B977B2" w:rsidRDefault="00B977B2" w:rsidP="00B977B2">
            <w:pPr>
              <w:widowControl w:val="0"/>
              <w:numPr>
                <w:ilvl w:val="0"/>
                <w:numId w:val="266"/>
              </w:numPr>
              <w:overflowPunct w:val="0"/>
              <w:autoSpaceDE w:val="0"/>
              <w:autoSpaceDN w:val="0"/>
              <w:adjustRightInd w:val="0"/>
              <w:spacing w:before="120"/>
              <w:ind w:left="312"/>
              <w:rPr>
                <w:rFonts w:cs="Calibri"/>
              </w:rPr>
            </w:pPr>
            <w:r w:rsidRPr="00B977B2">
              <w:rPr>
                <w:rFonts w:cs="Calibri"/>
              </w:rPr>
              <w:t>Iniciar la elaboración del trabajo final.</w:t>
            </w:r>
          </w:p>
        </w:tc>
      </w:tr>
      <w:tr w:rsidR="00B977B2" w:rsidRPr="00B977B2" w14:paraId="7CF95DD4" w14:textId="77777777" w:rsidTr="00104785">
        <w:trPr>
          <w:jc w:val="center"/>
        </w:trPr>
        <w:tc>
          <w:tcPr>
            <w:tcW w:w="1144" w:type="dxa"/>
          </w:tcPr>
          <w:p w14:paraId="496F6DBD"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52D1C9FE"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11</w:t>
            </w:r>
          </w:p>
        </w:tc>
        <w:tc>
          <w:tcPr>
            <w:tcW w:w="2395" w:type="dxa"/>
          </w:tcPr>
          <w:p w14:paraId="553F0969"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Unidad 4:  Análisis hermenéutico de los textos</w:t>
            </w:r>
          </w:p>
          <w:p w14:paraId="6E58EFD0"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p>
          <w:p w14:paraId="64F4E344"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lang w:val="es-ES_tradnl" w:eastAsia="es-CR"/>
              </w:rPr>
              <w:t>4.1 La hermenéutica bíblica poscolonial</w:t>
            </w:r>
          </w:p>
          <w:p w14:paraId="21BF8657"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4B917AE4"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27245B04"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
          <w:p w14:paraId="38C4684B" w14:textId="77777777" w:rsidR="00B977B2" w:rsidRPr="00B977B2" w:rsidRDefault="00B977B2" w:rsidP="00B977B2">
            <w:pPr>
              <w:widowControl w:val="0"/>
              <w:overflowPunct w:val="0"/>
              <w:autoSpaceDE w:val="0"/>
              <w:autoSpaceDN w:val="0"/>
              <w:adjustRightInd w:val="0"/>
              <w:rPr>
                <w:rFonts w:eastAsia="Times New Roman" w:cs="Arial"/>
                <w:color w:val="0563C1"/>
                <w:u w:val="single"/>
                <w:lang w:val="es-ES" w:eastAsia="es-CR"/>
              </w:rPr>
            </w:pPr>
            <w:r w:rsidRPr="00B977B2">
              <w:rPr>
                <w:rFonts w:eastAsia="Times New Roman" w:cs="Arial"/>
                <w:lang w:val="es-ES" w:eastAsia="es-CR"/>
              </w:rPr>
              <w:t xml:space="preserve">Menéndez </w:t>
            </w:r>
            <w:proofErr w:type="spellStart"/>
            <w:r w:rsidRPr="00B977B2">
              <w:rPr>
                <w:rFonts w:eastAsia="Times New Roman" w:cs="Arial"/>
                <w:lang w:val="es-ES" w:eastAsia="es-CR"/>
              </w:rPr>
              <w:t>Antuña</w:t>
            </w:r>
            <w:proofErr w:type="spellEnd"/>
            <w:r w:rsidRPr="00B977B2">
              <w:rPr>
                <w:rFonts w:eastAsia="Times New Roman" w:cs="Arial"/>
                <w:lang w:val="es-ES" w:eastAsia="es-CR"/>
              </w:rPr>
              <w:t>, Luis. “</w:t>
            </w:r>
            <w:proofErr w:type="spellStart"/>
            <w:r w:rsidRPr="00B977B2">
              <w:rPr>
                <w:rFonts w:eastAsia="Times New Roman" w:cs="Arial"/>
                <w:lang w:val="es-ES" w:eastAsia="es-CR"/>
              </w:rPr>
              <w:t>Re-lecturas</w:t>
            </w:r>
            <w:proofErr w:type="spellEnd"/>
            <w:r w:rsidRPr="00B977B2">
              <w:rPr>
                <w:rFonts w:eastAsia="Times New Roman" w:cs="Arial"/>
                <w:lang w:val="es-ES" w:eastAsia="es-CR"/>
              </w:rPr>
              <w:t xml:space="preserve"> desde el ‘más-acá’. Introduciendo la óptica poscolonial en el panorama bíblico de lengua hispana”. </w:t>
            </w:r>
            <w:r w:rsidRPr="00B977B2">
              <w:rPr>
                <w:rFonts w:eastAsia="Times New Roman" w:cs="Arial"/>
                <w:i/>
                <w:iCs/>
                <w:lang w:val="es-ES" w:eastAsia="es-CR"/>
              </w:rPr>
              <w:t xml:space="preserve">Teológica </w:t>
            </w:r>
            <w:proofErr w:type="spellStart"/>
            <w:r w:rsidRPr="00B977B2">
              <w:rPr>
                <w:rFonts w:eastAsia="Times New Roman" w:cs="Arial"/>
                <w:i/>
                <w:iCs/>
                <w:lang w:val="es-ES" w:eastAsia="es-CR"/>
              </w:rPr>
              <w:t>Xaveriana</w:t>
            </w:r>
            <w:proofErr w:type="spellEnd"/>
            <w:r w:rsidRPr="00B977B2">
              <w:rPr>
                <w:rFonts w:eastAsia="Times New Roman" w:cs="Arial"/>
                <w:lang w:val="es-ES" w:eastAsia="es-CR"/>
              </w:rPr>
              <w:t xml:space="preserve">, n. 171 (2011): 169-202. Acceso el 18 de noviembre de 2022. </w:t>
            </w:r>
            <w:hyperlink r:id="rId462">
              <w:r w:rsidRPr="00B977B2">
                <w:rPr>
                  <w:rFonts w:eastAsia="Times New Roman" w:cs="Arial"/>
                  <w:color w:val="0563C1"/>
                  <w:u w:val="single"/>
                  <w:lang w:val="es-ES" w:eastAsia="es-CR"/>
                </w:rPr>
                <w:t>https://revistas.javeriana.edu.co/index.php/teoxaveriana/article/view/9366</w:t>
              </w:r>
            </w:hyperlink>
          </w:p>
          <w:p w14:paraId="61E1D5CB" w14:textId="77777777" w:rsidR="00B977B2" w:rsidRPr="00B977B2" w:rsidRDefault="00B977B2" w:rsidP="00B977B2">
            <w:pPr>
              <w:widowControl w:val="0"/>
              <w:overflowPunct w:val="0"/>
              <w:autoSpaceDE w:val="0"/>
              <w:autoSpaceDN w:val="0"/>
              <w:adjustRightInd w:val="0"/>
              <w:rPr>
                <w:rFonts w:eastAsia="Times New Roman" w:cs="Arial"/>
                <w:color w:val="0563C1"/>
                <w:u w:val="single"/>
                <w:lang w:val="es-ES" w:eastAsia="es-CR"/>
              </w:rPr>
            </w:pPr>
          </w:p>
          <w:p w14:paraId="2FD3B0B4"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r w:rsidRPr="00B977B2">
              <w:rPr>
                <w:rFonts w:eastAsia="Times New Roman" w:cs="Calibri"/>
                <w:b/>
                <w:bCs/>
                <w:color w:val="0070C0"/>
                <w:lang w:val="es-ES_tradnl" w:eastAsia="es-CR"/>
              </w:rPr>
              <w:t>Material complementario</w:t>
            </w:r>
          </w:p>
          <w:p w14:paraId="672EA8B4" w14:textId="77777777" w:rsidR="00B977B2" w:rsidRPr="00B977B2" w:rsidRDefault="00B977B2" w:rsidP="00B977B2">
            <w:pPr>
              <w:widowControl w:val="0"/>
              <w:overflowPunct w:val="0"/>
              <w:autoSpaceDE w:val="0"/>
              <w:autoSpaceDN w:val="0"/>
              <w:adjustRightInd w:val="0"/>
              <w:rPr>
                <w:rFonts w:ascii="Times New Roman" w:eastAsia="Times New Roman" w:hAnsi="Times New Roman" w:cs="Calibri"/>
                <w:b/>
                <w:bCs/>
                <w:color w:val="0070C0"/>
                <w:sz w:val="24"/>
                <w:szCs w:val="20"/>
                <w:lang w:val="es-ES_tradnl" w:eastAsia="es-CR"/>
              </w:rPr>
            </w:pPr>
          </w:p>
          <w:p w14:paraId="040AEDE4" w14:textId="77777777" w:rsidR="00B977B2" w:rsidRPr="00B977B2" w:rsidRDefault="00B977B2" w:rsidP="00B977B2">
            <w:pPr>
              <w:widowControl w:val="0"/>
              <w:overflowPunct w:val="0"/>
              <w:autoSpaceDE w:val="0"/>
              <w:autoSpaceDN w:val="0"/>
              <w:adjustRightInd w:val="0"/>
              <w:rPr>
                <w:rFonts w:eastAsia="Times New Roman" w:cs="Calibri"/>
                <w:color w:val="0563C1"/>
                <w:u w:val="single"/>
                <w:lang w:val="es-ES" w:eastAsia="es-CR"/>
              </w:rPr>
            </w:pPr>
            <w:r w:rsidRPr="00B977B2">
              <w:rPr>
                <w:rFonts w:eastAsia="Times New Roman" w:cs="Calibri"/>
                <w:color w:val="0070C0"/>
                <w:lang w:val="es-ES_tradnl" w:eastAsia="es-CR"/>
              </w:rPr>
              <w:t>Guía para la participación en un foro en la plataforma Moodle</w:t>
            </w:r>
          </w:p>
          <w:p w14:paraId="3254F7E8"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260" w:type="dxa"/>
          </w:tcPr>
          <w:p w14:paraId="00B73BFA" w14:textId="77777777" w:rsidR="00B977B2" w:rsidRPr="00B977B2" w:rsidRDefault="00B977B2" w:rsidP="00B977B2">
            <w:pPr>
              <w:widowControl w:val="0"/>
              <w:numPr>
                <w:ilvl w:val="0"/>
                <w:numId w:val="267"/>
              </w:numPr>
              <w:overflowPunct w:val="0"/>
              <w:autoSpaceDE w:val="0"/>
              <w:autoSpaceDN w:val="0"/>
              <w:adjustRightInd w:val="0"/>
              <w:spacing w:before="120"/>
              <w:ind w:left="312"/>
              <w:rPr>
                <w:rFonts w:cs="Calibri"/>
              </w:rPr>
            </w:pPr>
            <w:r w:rsidRPr="00B977B2">
              <w:rPr>
                <w:rFonts w:cs="Calibri"/>
              </w:rPr>
              <w:t>Realizar la lectura de la sesión.</w:t>
            </w:r>
          </w:p>
          <w:p w14:paraId="10849E3F" w14:textId="77777777" w:rsidR="00B977B2" w:rsidRPr="00B977B2" w:rsidRDefault="00B977B2" w:rsidP="00B977B2">
            <w:pPr>
              <w:widowControl w:val="0"/>
              <w:numPr>
                <w:ilvl w:val="0"/>
                <w:numId w:val="267"/>
              </w:numPr>
              <w:overflowPunct w:val="0"/>
              <w:autoSpaceDE w:val="0"/>
              <w:autoSpaceDN w:val="0"/>
              <w:adjustRightInd w:val="0"/>
              <w:spacing w:before="120"/>
              <w:ind w:left="312"/>
              <w:rPr>
                <w:rFonts w:cs="Calibri"/>
              </w:rPr>
            </w:pPr>
            <w:r w:rsidRPr="00B977B2">
              <w:rPr>
                <w:rFonts w:cs="Calibri"/>
              </w:rPr>
              <w:t xml:space="preserve">Participación en el foro temático: El modelo decolonial como lectura alternativa. </w:t>
            </w:r>
          </w:p>
          <w:p w14:paraId="4AB781BF" w14:textId="77777777" w:rsidR="00B977B2" w:rsidRPr="00B977B2" w:rsidRDefault="00B977B2" w:rsidP="00B977B2">
            <w:pPr>
              <w:widowControl w:val="0"/>
              <w:numPr>
                <w:ilvl w:val="0"/>
                <w:numId w:val="267"/>
              </w:numPr>
              <w:overflowPunct w:val="0"/>
              <w:autoSpaceDE w:val="0"/>
              <w:autoSpaceDN w:val="0"/>
              <w:adjustRightInd w:val="0"/>
              <w:spacing w:before="120"/>
              <w:ind w:left="312"/>
              <w:rPr>
                <w:rFonts w:cs="Calibri"/>
              </w:rPr>
            </w:pPr>
            <w:r w:rsidRPr="00B977B2">
              <w:rPr>
                <w:rFonts w:cs="Calibri"/>
              </w:rPr>
              <w:t xml:space="preserve">Continuar con la elaboración del trabajo final. </w:t>
            </w:r>
          </w:p>
        </w:tc>
      </w:tr>
      <w:tr w:rsidR="00B977B2" w:rsidRPr="00B977B2" w14:paraId="66C9011B" w14:textId="77777777" w:rsidTr="00104785">
        <w:trPr>
          <w:jc w:val="center"/>
        </w:trPr>
        <w:tc>
          <w:tcPr>
            <w:tcW w:w="1144" w:type="dxa"/>
          </w:tcPr>
          <w:p w14:paraId="059183A8"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3A747E67"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12</w:t>
            </w:r>
          </w:p>
        </w:tc>
        <w:tc>
          <w:tcPr>
            <w:tcW w:w="2395" w:type="dxa"/>
          </w:tcPr>
          <w:p w14:paraId="2221FC01"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Unidad 4:  Análisis hermenéutico de los textos</w:t>
            </w:r>
          </w:p>
          <w:p w14:paraId="0CCD69E3"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3F63F3CB" w14:textId="77777777" w:rsidR="00B977B2" w:rsidRPr="00B977B2" w:rsidRDefault="00B977B2" w:rsidP="00B977B2">
            <w:pPr>
              <w:autoSpaceDE w:val="0"/>
              <w:autoSpaceDN w:val="0"/>
              <w:adjustRightInd w:val="0"/>
              <w:rPr>
                <w:rFonts w:eastAsia="Times New Roman" w:cs="Calibri"/>
                <w:lang w:val="es-ES_tradnl" w:eastAsia="es-CR"/>
              </w:rPr>
            </w:pPr>
            <w:r w:rsidRPr="00B977B2">
              <w:rPr>
                <w:rFonts w:eastAsia="Times New Roman" w:cs="Calibri"/>
                <w:lang w:val="es-ES_tradnl" w:eastAsia="es-CR"/>
              </w:rPr>
              <w:t>4.2 La hermenéutica bíblica feminista</w:t>
            </w:r>
          </w:p>
          <w:p w14:paraId="788C93C6" w14:textId="77777777" w:rsidR="00B977B2" w:rsidRPr="00B977B2" w:rsidRDefault="00B977B2" w:rsidP="00B977B2">
            <w:pPr>
              <w:widowControl w:val="0"/>
              <w:overflowPunct w:val="0"/>
              <w:autoSpaceDE w:val="0"/>
              <w:autoSpaceDN w:val="0"/>
              <w:adjustRightInd w:val="0"/>
              <w:jc w:val="both"/>
              <w:rPr>
                <w:rFonts w:eastAsia="Times New Roman" w:cs="Calibri"/>
                <w:lang w:val="es-ES_tradnl" w:eastAsia="es-CR"/>
              </w:rPr>
            </w:pPr>
          </w:p>
        </w:tc>
        <w:tc>
          <w:tcPr>
            <w:tcW w:w="3402" w:type="dxa"/>
          </w:tcPr>
          <w:p w14:paraId="440E1BC0"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6C4B624C" w14:textId="77777777" w:rsidR="00B977B2" w:rsidRPr="00B977B2" w:rsidRDefault="00B977B2" w:rsidP="00B977B2">
            <w:pPr>
              <w:widowControl w:val="0"/>
              <w:overflowPunct w:val="0"/>
              <w:autoSpaceDE w:val="0"/>
              <w:autoSpaceDN w:val="0"/>
              <w:adjustRightInd w:val="0"/>
              <w:rPr>
                <w:rFonts w:eastAsia="Times New Roman" w:cs="Arial"/>
                <w:lang w:val="es-ES" w:eastAsia="es-CR"/>
              </w:rPr>
            </w:pPr>
          </w:p>
          <w:p w14:paraId="2306FDBD" w14:textId="77777777" w:rsidR="00B977B2" w:rsidRPr="00B977B2" w:rsidRDefault="00B977B2" w:rsidP="00B977B2">
            <w:pPr>
              <w:widowControl w:val="0"/>
              <w:overflowPunct w:val="0"/>
              <w:autoSpaceDE w:val="0"/>
              <w:autoSpaceDN w:val="0"/>
              <w:adjustRightInd w:val="0"/>
              <w:rPr>
                <w:rFonts w:eastAsia="Times New Roman" w:cs="Arial"/>
                <w:color w:val="0563C1"/>
                <w:u w:val="single"/>
                <w:lang w:val="es-ES" w:eastAsia="es-CR"/>
              </w:rPr>
            </w:pPr>
            <w:proofErr w:type="spellStart"/>
            <w:r w:rsidRPr="00B977B2">
              <w:rPr>
                <w:rFonts w:eastAsia="Times New Roman" w:cs="Arial"/>
                <w:lang w:val="es-ES" w:eastAsia="es-CR"/>
              </w:rPr>
              <w:t>Azcuy</w:t>
            </w:r>
            <w:proofErr w:type="spellEnd"/>
            <w:r w:rsidRPr="00B977B2">
              <w:rPr>
                <w:rFonts w:eastAsia="Times New Roman" w:cs="Arial"/>
                <w:lang w:val="es-ES" w:eastAsia="es-CR"/>
              </w:rPr>
              <w:t xml:space="preserve">, </w:t>
            </w:r>
            <w:proofErr w:type="spellStart"/>
            <w:r w:rsidRPr="00B977B2">
              <w:rPr>
                <w:rFonts w:eastAsia="Times New Roman" w:cs="Arial"/>
                <w:lang w:val="es-ES" w:eastAsia="es-CR"/>
              </w:rPr>
              <w:t>Virignia</w:t>
            </w:r>
            <w:proofErr w:type="spellEnd"/>
            <w:r w:rsidRPr="00B977B2">
              <w:rPr>
                <w:rFonts w:eastAsia="Times New Roman" w:cs="Arial"/>
                <w:lang w:val="es-ES" w:eastAsia="es-CR"/>
              </w:rPr>
              <w:t xml:space="preserve"> R. “Exégesis y teología en la encrucijada. </w:t>
            </w:r>
            <w:proofErr w:type="gramStart"/>
            <w:r w:rsidRPr="00B977B2">
              <w:rPr>
                <w:rFonts w:eastAsia="Times New Roman" w:cs="Arial"/>
                <w:lang w:val="es-ES" w:eastAsia="es-CR"/>
              </w:rPr>
              <w:t>Teología feminista e interpretación feminista</w:t>
            </w:r>
            <w:proofErr w:type="gramEnd"/>
            <w:r w:rsidRPr="00B977B2">
              <w:rPr>
                <w:rFonts w:eastAsia="Times New Roman" w:cs="Arial"/>
                <w:lang w:val="es-ES" w:eastAsia="es-CR"/>
              </w:rPr>
              <w:t xml:space="preserve"> de la Biblia: una aproximación”. </w:t>
            </w:r>
            <w:r w:rsidRPr="00B977B2">
              <w:rPr>
                <w:rFonts w:eastAsia="Times New Roman" w:cs="Arial"/>
                <w:i/>
                <w:iCs/>
                <w:lang w:val="es-ES" w:eastAsia="es-CR"/>
              </w:rPr>
              <w:t>Teología y Vida</w:t>
            </w:r>
            <w:r w:rsidRPr="00B977B2">
              <w:rPr>
                <w:rFonts w:eastAsia="Times New Roman" w:cs="Arial"/>
                <w:lang w:val="es-ES" w:eastAsia="es-CR"/>
              </w:rPr>
              <w:t xml:space="preserve">, n. 1-1 (2012) 163-192. Acceso el 18 de noviembre de 2022. </w:t>
            </w:r>
            <w:hyperlink r:id="rId463">
              <w:r w:rsidRPr="00B977B2">
                <w:rPr>
                  <w:rFonts w:eastAsia="Times New Roman" w:cs="Arial"/>
                  <w:color w:val="0563C1"/>
                  <w:u w:val="single"/>
                  <w:lang w:val="es-ES" w:eastAsia="es-CR"/>
                </w:rPr>
                <w:t>https://doi.org/10.4067/S0049-34492012000100008</w:t>
              </w:r>
            </w:hyperlink>
          </w:p>
          <w:p w14:paraId="5E410683" w14:textId="77777777" w:rsidR="00B977B2" w:rsidRPr="00B977B2" w:rsidRDefault="00B977B2" w:rsidP="00B977B2">
            <w:pPr>
              <w:widowControl w:val="0"/>
              <w:overflowPunct w:val="0"/>
              <w:autoSpaceDE w:val="0"/>
              <w:autoSpaceDN w:val="0"/>
              <w:adjustRightInd w:val="0"/>
              <w:rPr>
                <w:rFonts w:eastAsia="Times New Roman" w:cs="Arial"/>
                <w:color w:val="0563C1"/>
                <w:u w:val="single"/>
                <w:lang w:val="es-ES" w:eastAsia="es-CR"/>
              </w:rPr>
            </w:pPr>
          </w:p>
          <w:p w14:paraId="7FA3BB09"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260" w:type="dxa"/>
          </w:tcPr>
          <w:p w14:paraId="474B343E" w14:textId="77777777" w:rsidR="00B977B2" w:rsidRPr="00B977B2" w:rsidRDefault="00B977B2" w:rsidP="00B977B2">
            <w:pPr>
              <w:widowControl w:val="0"/>
              <w:numPr>
                <w:ilvl w:val="0"/>
                <w:numId w:val="268"/>
              </w:numPr>
              <w:overflowPunct w:val="0"/>
              <w:autoSpaceDE w:val="0"/>
              <w:autoSpaceDN w:val="0"/>
              <w:adjustRightInd w:val="0"/>
              <w:spacing w:before="120"/>
              <w:ind w:left="312"/>
              <w:rPr>
                <w:rFonts w:cs="Calibri"/>
              </w:rPr>
            </w:pPr>
            <w:r w:rsidRPr="00B977B2">
              <w:rPr>
                <w:rFonts w:cs="Calibri"/>
              </w:rPr>
              <w:lastRenderedPageBreak/>
              <w:t>Realizar la lectura de la sesión.</w:t>
            </w:r>
          </w:p>
          <w:p w14:paraId="2B1FFEA0" w14:textId="77777777" w:rsidR="00B977B2" w:rsidRPr="00B977B2" w:rsidRDefault="00B977B2" w:rsidP="00B977B2">
            <w:pPr>
              <w:widowControl w:val="0"/>
              <w:numPr>
                <w:ilvl w:val="0"/>
                <w:numId w:val="268"/>
              </w:numPr>
              <w:overflowPunct w:val="0"/>
              <w:autoSpaceDE w:val="0"/>
              <w:autoSpaceDN w:val="0"/>
              <w:adjustRightInd w:val="0"/>
              <w:spacing w:before="120"/>
              <w:ind w:left="312"/>
              <w:rPr>
                <w:rFonts w:cs="Calibri"/>
              </w:rPr>
            </w:pPr>
            <w:r w:rsidRPr="00B977B2">
              <w:rPr>
                <w:rFonts w:cs="Calibri"/>
              </w:rPr>
              <w:t>Realización de un ejercicio de hermenéutica bíblica feminista.</w:t>
            </w:r>
          </w:p>
          <w:p w14:paraId="0577FA46" w14:textId="77777777" w:rsidR="00B977B2" w:rsidRPr="00B977B2" w:rsidRDefault="00B977B2" w:rsidP="00B977B2">
            <w:pPr>
              <w:widowControl w:val="0"/>
              <w:numPr>
                <w:ilvl w:val="0"/>
                <w:numId w:val="268"/>
              </w:numPr>
              <w:overflowPunct w:val="0"/>
              <w:autoSpaceDE w:val="0"/>
              <w:autoSpaceDN w:val="0"/>
              <w:adjustRightInd w:val="0"/>
              <w:spacing w:before="120"/>
              <w:ind w:left="312"/>
              <w:rPr>
                <w:rFonts w:cs="Calibri"/>
              </w:rPr>
            </w:pPr>
            <w:r w:rsidRPr="00B977B2">
              <w:rPr>
                <w:rFonts w:cs="Calibri"/>
              </w:rPr>
              <w:t xml:space="preserve">Continuar con la elaboración del trabajo final.  </w:t>
            </w:r>
          </w:p>
        </w:tc>
      </w:tr>
      <w:tr w:rsidR="00B977B2" w:rsidRPr="00B977B2" w14:paraId="57494B09" w14:textId="77777777" w:rsidTr="00104785">
        <w:trPr>
          <w:jc w:val="center"/>
        </w:trPr>
        <w:tc>
          <w:tcPr>
            <w:tcW w:w="1144" w:type="dxa"/>
          </w:tcPr>
          <w:p w14:paraId="483C530F"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4D4B2FA7"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13</w:t>
            </w:r>
          </w:p>
        </w:tc>
        <w:tc>
          <w:tcPr>
            <w:tcW w:w="2395" w:type="dxa"/>
          </w:tcPr>
          <w:p w14:paraId="58700544"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Unidad 5: Conclusiones analíticas sobre los textos</w:t>
            </w:r>
          </w:p>
          <w:p w14:paraId="5C86D53F"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3BAFC008" w14:textId="77777777" w:rsidR="00B977B2" w:rsidRPr="00B977B2" w:rsidRDefault="00B977B2" w:rsidP="00B977B2">
            <w:pPr>
              <w:autoSpaceDE w:val="0"/>
              <w:autoSpaceDN w:val="0"/>
              <w:adjustRightInd w:val="0"/>
              <w:rPr>
                <w:rFonts w:eastAsia="Times New Roman" w:cs="Calibri"/>
                <w:szCs w:val="18"/>
                <w:lang w:val="es-ES_tradnl" w:eastAsia="es-CR"/>
              </w:rPr>
            </w:pPr>
            <w:r w:rsidRPr="00B977B2">
              <w:rPr>
                <w:rFonts w:eastAsia="Times New Roman" w:cs="Calibri"/>
                <w:szCs w:val="18"/>
                <w:lang w:val="es-ES_tradnl" w:eastAsia="es-CR"/>
              </w:rPr>
              <w:t>5.1 Revisión, recapitulación y síntesis</w:t>
            </w:r>
          </w:p>
          <w:p w14:paraId="6066CD31"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62DACC48"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7EDBCD2E" w14:textId="77777777" w:rsidR="00B977B2" w:rsidRPr="00B977B2" w:rsidRDefault="00B977B2" w:rsidP="00B977B2">
            <w:pPr>
              <w:widowControl w:val="0"/>
              <w:overflowPunct w:val="0"/>
              <w:autoSpaceDE w:val="0"/>
              <w:autoSpaceDN w:val="0"/>
              <w:adjustRightInd w:val="0"/>
              <w:rPr>
                <w:rFonts w:eastAsia="Times New Roman" w:cs="Calibri"/>
                <w:bCs/>
                <w:szCs w:val="18"/>
                <w:lang w:val="es-ES_tradnl" w:eastAsia="es-CR"/>
              </w:rPr>
            </w:pPr>
          </w:p>
          <w:p w14:paraId="515B548C" w14:textId="77777777" w:rsidR="00B977B2" w:rsidRPr="00B977B2" w:rsidRDefault="00B977B2" w:rsidP="00B977B2">
            <w:pPr>
              <w:widowControl w:val="0"/>
              <w:overflowPunct w:val="0"/>
              <w:autoSpaceDE w:val="0"/>
              <w:autoSpaceDN w:val="0"/>
              <w:adjustRightInd w:val="0"/>
              <w:rPr>
                <w:rFonts w:eastAsia="Times New Roman" w:cs="Calibri"/>
                <w:bCs/>
                <w:color w:val="0563C1"/>
                <w:szCs w:val="18"/>
                <w:u w:val="single"/>
                <w:lang w:val="es-ES_tradnl" w:eastAsia="es-CR"/>
              </w:rPr>
            </w:pPr>
            <w:r w:rsidRPr="00B977B2">
              <w:rPr>
                <w:rFonts w:eastAsia="Times New Roman" w:cs="Calibri"/>
                <w:bCs/>
                <w:szCs w:val="18"/>
                <w:lang w:val="es-ES_tradnl" w:eastAsia="es-CR"/>
              </w:rPr>
              <w:t xml:space="preserve">García-Bachmann, Mercedes. “Ejercicio de hermenéutica bíblica con perspectiva de género a partir de Isaías 2-4”. </w:t>
            </w:r>
            <w:r w:rsidRPr="00B977B2">
              <w:rPr>
                <w:rFonts w:eastAsia="Times New Roman" w:cs="Calibri"/>
                <w:bCs/>
                <w:i/>
                <w:iCs/>
                <w:szCs w:val="18"/>
                <w:lang w:val="es-ES_tradnl" w:eastAsia="es-CR"/>
              </w:rPr>
              <w:t>Teología y Vida</w:t>
            </w:r>
            <w:r w:rsidRPr="00B977B2">
              <w:rPr>
                <w:rFonts w:eastAsia="Times New Roman" w:cs="Calibri"/>
                <w:bCs/>
                <w:szCs w:val="18"/>
                <w:lang w:val="es-ES_tradnl" w:eastAsia="es-CR"/>
              </w:rPr>
              <w:t xml:space="preserve">, n. 4 (2020): 423-442. Acceso el 18 de noviembre de 2020. </w:t>
            </w:r>
            <w:hyperlink r:id="rId464" w:history="1">
              <w:r w:rsidRPr="00B977B2">
                <w:rPr>
                  <w:rFonts w:eastAsia="Times New Roman" w:cs="Calibri"/>
                  <w:bCs/>
                  <w:color w:val="0563C1"/>
                  <w:szCs w:val="18"/>
                  <w:u w:val="single"/>
                  <w:lang w:val="es-ES_tradnl" w:eastAsia="es-CR"/>
                </w:rPr>
                <w:t>https://doi.org/10.4067/S0049-34492020000400423</w:t>
              </w:r>
            </w:hyperlink>
          </w:p>
          <w:p w14:paraId="37C75BFF" w14:textId="77777777" w:rsidR="00B977B2" w:rsidRPr="00B977B2" w:rsidRDefault="00B977B2" w:rsidP="00B977B2">
            <w:pPr>
              <w:widowControl w:val="0"/>
              <w:overflowPunct w:val="0"/>
              <w:autoSpaceDE w:val="0"/>
              <w:autoSpaceDN w:val="0"/>
              <w:adjustRightInd w:val="0"/>
              <w:rPr>
                <w:rFonts w:ascii="Times New Roman" w:eastAsia="Times New Roman" w:hAnsi="Times New Roman"/>
                <w:bCs/>
                <w:color w:val="0563C1"/>
                <w:sz w:val="24"/>
                <w:szCs w:val="18"/>
                <w:u w:val="single"/>
                <w:lang w:val="es-ES_tradnl" w:eastAsia="es-CR"/>
              </w:rPr>
            </w:pPr>
          </w:p>
          <w:p w14:paraId="76211702"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Material complementario</w:t>
            </w:r>
          </w:p>
          <w:p w14:paraId="6E7C8B9A"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p>
          <w:p w14:paraId="3B049818" w14:textId="77777777" w:rsidR="00B977B2" w:rsidRPr="00B977B2" w:rsidRDefault="00B977B2" w:rsidP="00B977B2">
            <w:pPr>
              <w:widowControl w:val="0"/>
              <w:overflowPunct w:val="0"/>
              <w:autoSpaceDE w:val="0"/>
              <w:autoSpaceDN w:val="0"/>
              <w:adjustRightInd w:val="0"/>
              <w:rPr>
                <w:rFonts w:eastAsia="Times New Roman" w:cs="Calibri"/>
                <w:bCs/>
                <w:color w:val="0563C1"/>
                <w:szCs w:val="18"/>
                <w:u w:val="single"/>
                <w:lang w:val="es-ES_tradnl" w:eastAsia="es-CR"/>
              </w:rPr>
            </w:pPr>
            <w:r w:rsidRPr="00B977B2">
              <w:rPr>
                <w:rFonts w:eastAsia="Times New Roman" w:cs="Calibri"/>
                <w:bCs/>
                <w:szCs w:val="18"/>
                <w:lang w:val="es-ES_tradnl" w:eastAsia="es-CR"/>
              </w:rPr>
              <w:t xml:space="preserve">Castillo, David. “¡Ya no sube el cortador contra nosotros! Interpretar la Biblia con conciencia ecológica”. </w:t>
            </w:r>
            <w:r w:rsidRPr="00B977B2">
              <w:rPr>
                <w:rFonts w:eastAsia="Times New Roman" w:cs="Calibri"/>
                <w:bCs/>
                <w:i/>
                <w:iCs/>
                <w:szCs w:val="18"/>
                <w:lang w:val="es-ES_tradnl" w:eastAsia="es-CR"/>
              </w:rPr>
              <w:t>Revista de Interpretación Bíblica Latinoamericana</w:t>
            </w:r>
            <w:r w:rsidRPr="00B977B2">
              <w:rPr>
                <w:rFonts w:eastAsia="Times New Roman" w:cs="Calibri"/>
                <w:bCs/>
                <w:szCs w:val="18"/>
                <w:lang w:val="es-ES_tradnl" w:eastAsia="es-CR"/>
              </w:rPr>
              <w:t xml:space="preserve">, n. 2 (2019): 39-58. Acceso el 18 de noviembre de 2022. </w:t>
            </w:r>
            <w:hyperlink r:id="rId465" w:history="1">
              <w:r w:rsidRPr="00B977B2">
                <w:rPr>
                  <w:rFonts w:eastAsia="Times New Roman" w:cs="Calibri"/>
                  <w:bCs/>
                  <w:color w:val="0563C1"/>
                  <w:szCs w:val="18"/>
                  <w:u w:val="single"/>
                  <w:lang w:val="es-ES_tradnl" w:eastAsia="es-CR"/>
                </w:rPr>
                <w:t>https://doi.org/10.15603/1676-3394/ribla.v80n2p39-58</w:t>
              </w:r>
            </w:hyperlink>
          </w:p>
          <w:p w14:paraId="3A4BA204" w14:textId="77777777" w:rsidR="00B977B2" w:rsidRPr="00B977B2" w:rsidRDefault="00B977B2" w:rsidP="00B977B2">
            <w:pPr>
              <w:widowControl w:val="0"/>
              <w:overflowPunct w:val="0"/>
              <w:autoSpaceDE w:val="0"/>
              <w:autoSpaceDN w:val="0"/>
              <w:adjustRightInd w:val="0"/>
              <w:rPr>
                <w:rFonts w:eastAsia="Times New Roman" w:cs="Calibri"/>
                <w:bCs/>
                <w:color w:val="0563C1"/>
                <w:szCs w:val="18"/>
                <w:u w:val="single"/>
                <w:lang w:val="es-ES_tradnl" w:eastAsia="es-CR"/>
              </w:rPr>
            </w:pPr>
          </w:p>
          <w:p w14:paraId="0293505E" w14:textId="77777777" w:rsidR="00B977B2" w:rsidRPr="00B977B2" w:rsidRDefault="00B977B2" w:rsidP="00B977B2">
            <w:pPr>
              <w:widowControl w:val="0"/>
              <w:overflowPunct w:val="0"/>
              <w:autoSpaceDE w:val="0"/>
              <w:autoSpaceDN w:val="0"/>
              <w:adjustRightInd w:val="0"/>
              <w:rPr>
                <w:rFonts w:eastAsia="Times New Roman" w:cs="Calibri"/>
                <w:bCs/>
                <w:color w:val="0563C1"/>
                <w:szCs w:val="18"/>
                <w:lang w:val="es-ES_tradnl" w:eastAsia="es-CR"/>
              </w:rPr>
            </w:pPr>
            <w:r w:rsidRPr="00B977B2">
              <w:rPr>
                <w:rFonts w:eastAsia="Times New Roman" w:cs="Calibri"/>
                <w:bCs/>
                <w:color w:val="0563C1"/>
                <w:szCs w:val="18"/>
                <w:lang w:val="es-ES_tradnl" w:eastAsia="es-CR"/>
              </w:rPr>
              <w:t>Guía para la participación en un foro en la plataforma Moodle</w:t>
            </w:r>
          </w:p>
          <w:p w14:paraId="687EE29D"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260" w:type="dxa"/>
          </w:tcPr>
          <w:p w14:paraId="66C89147" w14:textId="77777777" w:rsidR="00B977B2" w:rsidRPr="00B977B2" w:rsidRDefault="00B977B2" w:rsidP="00B977B2">
            <w:pPr>
              <w:widowControl w:val="0"/>
              <w:numPr>
                <w:ilvl w:val="0"/>
                <w:numId w:val="269"/>
              </w:numPr>
              <w:overflowPunct w:val="0"/>
              <w:autoSpaceDE w:val="0"/>
              <w:autoSpaceDN w:val="0"/>
              <w:adjustRightInd w:val="0"/>
              <w:spacing w:before="120"/>
              <w:ind w:left="312"/>
              <w:rPr>
                <w:rFonts w:cs="Calibri"/>
              </w:rPr>
            </w:pPr>
            <w:r w:rsidRPr="00B977B2">
              <w:rPr>
                <w:rFonts w:cs="Calibri"/>
              </w:rPr>
              <w:t>Realizar la lectura de la sesión.</w:t>
            </w:r>
          </w:p>
          <w:p w14:paraId="377A4562" w14:textId="77777777" w:rsidR="00B977B2" w:rsidRPr="00B977B2" w:rsidRDefault="00B977B2" w:rsidP="00B977B2">
            <w:pPr>
              <w:widowControl w:val="0"/>
              <w:numPr>
                <w:ilvl w:val="0"/>
                <w:numId w:val="269"/>
              </w:numPr>
              <w:overflowPunct w:val="0"/>
              <w:autoSpaceDE w:val="0"/>
              <w:autoSpaceDN w:val="0"/>
              <w:adjustRightInd w:val="0"/>
              <w:spacing w:before="120"/>
              <w:ind w:left="312"/>
              <w:rPr>
                <w:rFonts w:cs="Calibri"/>
              </w:rPr>
            </w:pPr>
            <w:r w:rsidRPr="00B977B2">
              <w:rPr>
                <w:rFonts w:cs="Calibri"/>
              </w:rPr>
              <w:t>Participación en el foro temático: Revisión, recapitulación y síntesis sobre los insumos estudiados hasta el momento.</w:t>
            </w:r>
          </w:p>
          <w:p w14:paraId="68C48C5A" w14:textId="77777777" w:rsidR="00B977B2" w:rsidRPr="00B977B2" w:rsidRDefault="00B977B2" w:rsidP="00B977B2">
            <w:pPr>
              <w:widowControl w:val="0"/>
              <w:numPr>
                <w:ilvl w:val="0"/>
                <w:numId w:val="269"/>
              </w:numPr>
              <w:overflowPunct w:val="0"/>
              <w:autoSpaceDE w:val="0"/>
              <w:autoSpaceDN w:val="0"/>
              <w:adjustRightInd w:val="0"/>
              <w:spacing w:before="120"/>
              <w:ind w:left="312"/>
              <w:rPr>
                <w:rFonts w:cs="Calibri"/>
              </w:rPr>
            </w:pPr>
            <w:r w:rsidRPr="00B977B2">
              <w:rPr>
                <w:rFonts w:cs="Calibri"/>
              </w:rPr>
              <w:t>Entregar un borrador del trabajo final.</w:t>
            </w:r>
          </w:p>
        </w:tc>
      </w:tr>
      <w:tr w:rsidR="00B977B2" w:rsidRPr="00B977B2" w14:paraId="0366C959" w14:textId="77777777" w:rsidTr="00104785">
        <w:trPr>
          <w:jc w:val="center"/>
        </w:trPr>
        <w:tc>
          <w:tcPr>
            <w:tcW w:w="1144" w:type="dxa"/>
          </w:tcPr>
          <w:p w14:paraId="31D07927"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25C4A1B0"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14</w:t>
            </w:r>
          </w:p>
        </w:tc>
        <w:tc>
          <w:tcPr>
            <w:tcW w:w="2395" w:type="dxa"/>
          </w:tcPr>
          <w:p w14:paraId="037BB296"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Unidad 5: Conclusiones analíticas sobre los textos</w:t>
            </w:r>
          </w:p>
          <w:p w14:paraId="3B7EC935"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09F9D03F"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r w:rsidRPr="00B977B2">
              <w:rPr>
                <w:rFonts w:eastAsia="Times New Roman" w:cs="Calibri"/>
                <w:lang w:val="es-ES_tradnl" w:eastAsia="es-CR"/>
              </w:rPr>
              <w:t>5.2 Evaluación final</w:t>
            </w:r>
          </w:p>
          <w:p w14:paraId="4FB6BA22"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300F7B80"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5D01AC79"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p>
          <w:p w14:paraId="24428908"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r w:rsidRPr="00B977B2">
              <w:rPr>
                <w:rFonts w:eastAsia="Times New Roman" w:cs="Calibri"/>
                <w:b/>
                <w:bCs/>
                <w:color w:val="0070C0"/>
                <w:lang w:val="es-ES_tradnl" w:eastAsia="es-CR"/>
              </w:rPr>
              <w:t>Material complementario</w:t>
            </w:r>
          </w:p>
          <w:p w14:paraId="278FC10A"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p>
          <w:p w14:paraId="50ED5AE6"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r w:rsidRPr="00B977B2">
              <w:rPr>
                <w:rFonts w:eastAsia="Times New Roman" w:cs="Calibri"/>
                <w:color w:val="0070C0"/>
                <w:lang w:val="es-ES_tradnl" w:eastAsia="es-CR"/>
              </w:rPr>
              <w:t xml:space="preserve">Guía para la participación mediante la herramienta Big Blue </w:t>
            </w:r>
            <w:proofErr w:type="spellStart"/>
            <w:r w:rsidRPr="00B977B2">
              <w:rPr>
                <w:rFonts w:eastAsia="Times New Roman" w:cs="Calibri"/>
                <w:color w:val="0070C0"/>
                <w:lang w:val="es-ES_tradnl" w:eastAsia="es-CR"/>
              </w:rPr>
              <w:t>Button</w:t>
            </w:r>
            <w:proofErr w:type="spellEnd"/>
            <w:r w:rsidRPr="00B977B2">
              <w:rPr>
                <w:rFonts w:eastAsia="Times New Roman" w:cs="Calibri"/>
                <w:color w:val="0070C0"/>
                <w:lang w:val="es-ES_tradnl" w:eastAsia="es-CR"/>
              </w:rPr>
              <w:t xml:space="preserve"> en la plataforma Moodle</w:t>
            </w:r>
          </w:p>
        </w:tc>
        <w:tc>
          <w:tcPr>
            <w:tcW w:w="3260" w:type="dxa"/>
          </w:tcPr>
          <w:p w14:paraId="3CC50139" w14:textId="77777777" w:rsidR="00B977B2" w:rsidRPr="00B977B2" w:rsidRDefault="00B977B2" w:rsidP="00B977B2">
            <w:pPr>
              <w:widowControl w:val="0"/>
              <w:numPr>
                <w:ilvl w:val="0"/>
                <w:numId w:val="270"/>
              </w:numPr>
              <w:overflowPunct w:val="0"/>
              <w:autoSpaceDE w:val="0"/>
              <w:autoSpaceDN w:val="0"/>
              <w:adjustRightInd w:val="0"/>
              <w:spacing w:before="120"/>
              <w:ind w:left="312"/>
              <w:rPr>
                <w:rFonts w:cs="Calibri"/>
              </w:rPr>
            </w:pPr>
            <w:r w:rsidRPr="00B977B2">
              <w:rPr>
                <w:rFonts w:cs="Calibri"/>
              </w:rPr>
              <w:t>Presentación de un resumen oral de su trabajo final en un encuentro sincrónico virtual.</w:t>
            </w:r>
          </w:p>
          <w:p w14:paraId="6CCCAF1C" w14:textId="77777777" w:rsidR="00B977B2" w:rsidRPr="00B977B2" w:rsidRDefault="00B977B2" w:rsidP="00B977B2">
            <w:pPr>
              <w:widowControl w:val="0"/>
              <w:numPr>
                <w:ilvl w:val="0"/>
                <w:numId w:val="270"/>
              </w:numPr>
              <w:overflowPunct w:val="0"/>
              <w:autoSpaceDE w:val="0"/>
              <w:autoSpaceDN w:val="0"/>
              <w:adjustRightInd w:val="0"/>
              <w:spacing w:before="120"/>
              <w:ind w:left="312"/>
              <w:rPr>
                <w:rFonts w:cs="Calibri"/>
              </w:rPr>
            </w:pPr>
            <w:r w:rsidRPr="00B977B2">
              <w:rPr>
                <w:rFonts w:cs="Calibri"/>
              </w:rPr>
              <w:t>Continuar con la elaboración del trabajo final (correcciones a partir de la retroalimentación docente).</w:t>
            </w:r>
          </w:p>
        </w:tc>
      </w:tr>
      <w:tr w:rsidR="00B977B2" w:rsidRPr="00B977B2" w14:paraId="2391CD65" w14:textId="77777777" w:rsidTr="00104785">
        <w:trPr>
          <w:jc w:val="center"/>
        </w:trPr>
        <w:tc>
          <w:tcPr>
            <w:tcW w:w="1144" w:type="dxa"/>
          </w:tcPr>
          <w:p w14:paraId="19471EB2"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p>
          <w:p w14:paraId="58715174" w14:textId="77777777" w:rsidR="00B977B2" w:rsidRPr="00B977B2" w:rsidRDefault="00B977B2" w:rsidP="00B977B2">
            <w:pPr>
              <w:widowControl w:val="0"/>
              <w:overflowPunct w:val="0"/>
              <w:autoSpaceDE w:val="0"/>
              <w:autoSpaceDN w:val="0"/>
              <w:adjustRightInd w:val="0"/>
              <w:jc w:val="center"/>
              <w:rPr>
                <w:rFonts w:eastAsia="Times New Roman" w:cs="Calibri"/>
                <w:lang w:val="es-ES_tradnl" w:eastAsia="es-CR"/>
              </w:rPr>
            </w:pPr>
            <w:r w:rsidRPr="00B977B2">
              <w:rPr>
                <w:rFonts w:eastAsia="Times New Roman" w:cs="Calibri"/>
                <w:lang w:val="es-ES_tradnl" w:eastAsia="es-CR"/>
              </w:rPr>
              <w:t>15</w:t>
            </w:r>
          </w:p>
        </w:tc>
        <w:tc>
          <w:tcPr>
            <w:tcW w:w="2395" w:type="dxa"/>
          </w:tcPr>
          <w:p w14:paraId="0E4EB13A" w14:textId="77777777" w:rsidR="00B977B2" w:rsidRPr="00B977B2" w:rsidRDefault="00B977B2" w:rsidP="00B977B2">
            <w:pPr>
              <w:widowControl w:val="0"/>
              <w:overflowPunct w:val="0"/>
              <w:autoSpaceDE w:val="0"/>
              <w:autoSpaceDN w:val="0"/>
              <w:adjustRightInd w:val="0"/>
              <w:rPr>
                <w:rFonts w:eastAsia="Times New Roman" w:cs="Calibri"/>
                <w:b/>
                <w:bCs/>
                <w:lang w:val="es-ES_tradnl" w:eastAsia="es-CR"/>
              </w:rPr>
            </w:pPr>
            <w:r w:rsidRPr="00B977B2">
              <w:rPr>
                <w:rFonts w:eastAsia="Times New Roman" w:cs="Calibri"/>
                <w:b/>
                <w:bCs/>
                <w:lang w:val="es-ES_tradnl" w:eastAsia="es-CR"/>
              </w:rPr>
              <w:t>Unidad 5: Conclusiones analíticas sobre los textos</w:t>
            </w:r>
          </w:p>
          <w:p w14:paraId="7BF1A8A0"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p w14:paraId="00DF08ED"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r w:rsidRPr="00B977B2">
              <w:rPr>
                <w:rFonts w:eastAsia="Times New Roman" w:cs="Calibri"/>
                <w:lang w:val="es-ES_tradnl" w:eastAsia="es-CR"/>
              </w:rPr>
              <w:t>5.2 Evaluación final</w:t>
            </w:r>
          </w:p>
          <w:p w14:paraId="076616E3"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402" w:type="dxa"/>
          </w:tcPr>
          <w:p w14:paraId="7288AB13"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r w:rsidRPr="00B977B2">
              <w:rPr>
                <w:rFonts w:eastAsia="Times New Roman" w:cs="Calibri"/>
                <w:color w:val="0070C0"/>
                <w:lang w:val="es-ES_tradnl" w:eastAsia="es-CR" w:bidi="he-IL"/>
              </w:rPr>
              <w:t>Ruta de aprendizaje</w:t>
            </w:r>
          </w:p>
          <w:p w14:paraId="0017EE7B"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bidi="he-IL"/>
              </w:rPr>
            </w:pPr>
          </w:p>
          <w:p w14:paraId="31249636"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r w:rsidRPr="00B977B2">
              <w:rPr>
                <w:rFonts w:eastAsia="Times New Roman" w:cs="Calibri"/>
                <w:b/>
                <w:bCs/>
                <w:color w:val="0070C0"/>
                <w:lang w:val="es-ES_tradnl" w:eastAsia="es-CR"/>
              </w:rPr>
              <w:t>Material complementario</w:t>
            </w:r>
          </w:p>
          <w:p w14:paraId="63A371EE" w14:textId="77777777" w:rsidR="00B977B2" w:rsidRPr="00B977B2" w:rsidRDefault="00B977B2" w:rsidP="00B977B2">
            <w:pPr>
              <w:widowControl w:val="0"/>
              <w:overflowPunct w:val="0"/>
              <w:autoSpaceDE w:val="0"/>
              <w:autoSpaceDN w:val="0"/>
              <w:adjustRightInd w:val="0"/>
              <w:rPr>
                <w:rFonts w:eastAsia="Times New Roman" w:cs="Calibri"/>
                <w:b/>
                <w:bCs/>
                <w:color w:val="0070C0"/>
                <w:lang w:val="es-ES_tradnl" w:eastAsia="es-CR"/>
              </w:rPr>
            </w:pPr>
          </w:p>
          <w:p w14:paraId="1056968C" w14:textId="77777777" w:rsidR="00B977B2" w:rsidRPr="00B977B2" w:rsidRDefault="00B977B2" w:rsidP="00B977B2">
            <w:pPr>
              <w:widowControl w:val="0"/>
              <w:overflowPunct w:val="0"/>
              <w:autoSpaceDE w:val="0"/>
              <w:autoSpaceDN w:val="0"/>
              <w:adjustRightInd w:val="0"/>
              <w:rPr>
                <w:rFonts w:eastAsia="Times New Roman" w:cs="Calibri"/>
                <w:color w:val="0070C0"/>
                <w:lang w:val="es-ES_tradnl" w:eastAsia="es-CR"/>
              </w:rPr>
            </w:pPr>
            <w:r w:rsidRPr="00B977B2">
              <w:rPr>
                <w:rFonts w:eastAsia="Times New Roman" w:cs="Calibri"/>
                <w:color w:val="0070C0"/>
                <w:lang w:val="es-ES_tradnl" w:eastAsia="es-CR"/>
              </w:rPr>
              <w:t xml:space="preserve">Guía para la participación mediante la herramienta Big Blue </w:t>
            </w:r>
            <w:proofErr w:type="spellStart"/>
            <w:r w:rsidRPr="00B977B2">
              <w:rPr>
                <w:rFonts w:eastAsia="Times New Roman" w:cs="Calibri"/>
                <w:color w:val="0070C0"/>
                <w:lang w:val="es-ES_tradnl" w:eastAsia="es-CR"/>
              </w:rPr>
              <w:t>Button</w:t>
            </w:r>
            <w:proofErr w:type="spellEnd"/>
            <w:r w:rsidRPr="00B977B2">
              <w:rPr>
                <w:rFonts w:eastAsia="Times New Roman" w:cs="Calibri"/>
                <w:color w:val="0070C0"/>
                <w:lang w:val="es-ES_tradnl" w:eastAsia="es-CR"/>
              </w:rPr>
              <w:t xml:space="preserve"> en la plataforma Moodle</w:t>
            </w:r>
          </w:p>
          <w:p w14:paraId="64DA3F97" w14:textId="77777777" w:rsidR="00B977B2" w:rsidRPr="00B977B2" w:rsidRDefault="00B977B2" w:rsidP="00B977B2">
            <w:pPr>
              <w:widowControl w:val="0"/>
              <w:overflowPunct w:val="0"/>
              <w:autoSpaceDE w:val="0"/>
              <w:autoSpaceDN w:val="0"/>
              <w:adjustRightInd w:val="0"/>
              <w:rPr>
                <w:rFonts w:eastAsia="Times New Roman" w:cs="Calibri"/>
                <w:lang w:val="es-ES_tradnl" w:eastAsia="es-CR"/>
              </w:rPr>
            </w:pPr>
          </w:p>
        </w:tc>
        <w:tc>
          <w:tcPr>
            <w:tcW w:w="3260" w:type="dxa"/>
          </w:tcPr>
          <w:p w14:paraId="23C66FAE" w14:textId="77777777" w:rsidR="00B977B2" w:rsidRPr="00B977B2" w:rsidRDefault="00B977B2" w:rsidP="00B977B2">
            <w:pPr>
              <w:widowControl w:val="0"/>
              <w:numPr>
                <w:ilvl w:val="0"/>
                <w:numId w:val="271"/>
              </w:numPr>
              <w:overflowPunct w:val="0"/>
              <w:autoSpaceDE w:val="0"/>
              <w:autoSpaceDN w:val="0"/>
              <w:adjustRightInd w:val="0"/>
              <w:spacing w:before="120"/>
              <w:ind w:left="312"/>
              <w:rPr>
                <w:rFonts w:cs="Calibri"/>
              </w:rPr>
            </w:pPr>
            <w:r w:rsidRPr="00B977B2">
              <w:rPr>
                <w:rFonts w:cs="Calibri"/>
              </w:rPr>
              <w:t>Presentación de un resumen oral de su trabajo final en un encuentro sincrónico virtual.</w:t>
            </w:r>
          </w:p>
          <w:p w14:paraId="0EB7284D" w14:textId="77777777" w:rsidR="00B977B2" w:rsidRPr="00B977B2" w:rsidRDefault="00B977B2" w:rsidP="00B977B2">
            <w:pPr>
              <w:widowControl w:val="0"/>
              <w:numPr>
                <w:ilvl w:val="0"/>
                <w:numId w:val="271"/>
              </w:numPr>
              <w:overflowPunct w:val="0"/>
              <w:autoSpaceDE w:val="0"/>
              <w:autoSpaceDN w:val="0"/>
              <w:adjustRightInd w:val="0"/>
              <w:spacing w:before="120"/>
              <w:ind w:left="312"/>
              <w:rPr>
                <w:rFonts w:cs="Calibri"/>
              </w:rPr>
            </w:pPr>
            <w:r w:rsidRPr="00B977B2">
              <w:rPr>
                <w:rFonts w:cs="Calibri"/>
              </w:rPr>
              <w:t xml:space="preserve">Entregar el trabajo final. </w:t>
            </w:r>
          </w:p>
        </w:tc>
      </w:tr>
    </w:tbl>
    <w:p w14:paraId="2B8150BE" w14:textId="77777777" w:rsid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2AEA5882" w14:textId="77777777" w:rsidR="00954291" w:rsidRDefault="00954291" w:rsidP="00B977B2">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1DCE0916" w14:textId="77777777" w:rsidR="00954291" w:rsidRPr="00B977B2" w:rsidRDefault="00954291" w:rsidP="00B977B2">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p>
    <w:p w14:paraId="1B035394"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B977B2">
        <w:rPr>
          <w:rFonts w:ascii="Calibri" w:eastAsia="Times New Roman" w:hAnsi="Calibri" w:cs="Calibri"/>
          <w:b/>
          <w:bCs/>
          <w:color w:val="000000"/>
          <w:kern w:val="0"/>
          <w:lang w:val="es-ES_tradnl" w:eastAsia="es-CR"/>
          <w14:ligatures w14:val="none"/>
        </w:rPr>
        <w:t>IX. Distribución de tiempo semanal</w:t>
      </w:r>
    </w:p>
    <w:p w14:paraId="69AA2456"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B977B2">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3F40F3B3"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8784" w:type="dxa"/>
        <w:tblLook w:val="04A0" w:firstRow="1" w:lastRow="0" w:firstColumn="1" w:lastColumn="0" w:noHBand="0" w:noVBand="1"/>
      </w:tblPr>
      <w:tblGrid>
        <w:gridCol w:w="2122"/>
        <w:gridCol w:w="1417"/>
        <w:gridCol w:w="5245"/>
      </w:tblGrid>
      <w:tr w:rsidR="00B977B2" w:rsidRPr="00B977B2" w14:paraId="1FBBB04D" w14:textId="77777777" w:rsidTr="00104785">
        <w:tc>
          <w:tcPr>
            <w:tcW w:w="2122" w:type="dxa"/>
            <w:vAlign w:val="center"/>
          </w:tcPr>
          <w:p w14:paraId="39D1E88E" w14:textId="77777777" w:rsidR="00B977B2" w:rsidRPr="00B977B2" w:rsidRDefault="00B977B2" w:rsidP="00B977B2">
            <w:pPr>
              <w:widowControl w:val="0"/>
              <w:overflowPunct w:val="0"/>
              <w:autoSpaceDE w:val="0"/>
              <w:autoSpaceDN w:val="0"/>
              <w:adjustRightInd w:val="0"/>
              <w:jc w:val="center"/>
              <w:rPr>
                <w:rFonts w:eastAsia="Times New Roman" w:cs="Calibri"/>
                <w:b/>
                <w:bCs/>
                <w:color w:val="000000"/>
                <w:lang w:val="es-ES_tradnl" w:eastAsia="es-CR"/>
              </w:rPr>
            </w:pPr>
            <w:r w:rsidRPr="00B977B2">
              <w:rPr>
                <w:rFonts w:eastAsia="Times New Roman" w:cs="Calibri"/>
                <w:b/>
                <w:bCs/>
                <w:color w:val="000000"/>
                <w:lang w:val="es-ES_tradnl" w:eastAsia="es-CR"/>
              </w:rPr>
              <w:t>Tipo de horas</w:t>
            </w:r>
          </w:p>
          <w:p w14:paraId="44D350D9" w14:textId="77777777" w:rsidR="00B977B2" w:rsidRPr="00B977B2" w:rsidRDefault="00B977B2" w:rsidP="00B977B2">
            <w:pPr>
              <w:widowControl w:val="0"/>
              <w:overflowPunct w:val="0"/>
              <w:autoSpaceDE w:val="0"/>
              <w:autoSpaceDN w:val="0"/>
              <w:adjustRightInd w:val="0"/>
              <w:jc w:val="center"/>
              <w:rPr>
                <w:rFonts w:eastAsia="Times New Roman" w:cs="Calibri"/>
                <w:b/>
                <w:bCs/>
                <w:color w:val="000000"/>
                <w:lang w:val="es-ES_tradnl" w:eastAsia="es-CR"/>
              </w:rPr>
            </w:pPr>
            <w:r w:rsidRPr="00B977B2">
              <w:rPr>
                <w:rFonts w:eastAsia="Times New Roman" w:cs="Calibri"/>
                <w:b/>
                <w:bCs/>
                <w:color w:val="000000"/>
                <w:lang w:val="es-ES_tradnl" w:eastAsia="es-CR"/>
              </w:rPr>
              <w:t>(categoría)</w:t>
            </w:r>
          </w:p>
        </w:tc>
        <w:tc>
          <w:tcPr>
            <w:tcW w:w="1417" w:type="dxa"/>
            <w:vAlign w:val="center"/>
          </w:tcPr>
          <w:p w14:paraId="79D176AF" w14:textId="77777777" w:rsidR="00B977B2" w:rsidRPr="00B977B2" w:rsidRDefault="00B977B2" w:rsidP="00B977B2">
            <w:pPr>
              <w:widowControl w:val="0"/>
              <w:overflowPunct w:val="0"/>
              <w:autoSpaceDE w:val="0"/>
              <w:autoSpaceDN w:val="0"/>
              <w:adjustRightInd w:val="0"/>
              <w:jc w:val="center"/>
              <w:rPr>
                <w:rFonts w:eastAsia="Times New Roman" w:cs="Calibri"/>
                <w:b/>
                <w:bCs/>
                <w:color w:val="000000"/>
                <w:lang w:val="es-ES_tradnl" w:eastAsia="es-CR"/>
              </w:rPr>
            </w:pPr>
            <w:r w:rsidRPr="00B977B2">
              <w:rPr>
                <w:rFonts w:eastAsia="Times New Roman" w:cs="Calibri"/>
                <w:b/>
                <w:bCs/>
                <w:color w:val="000000"/>
                <w:lang w:val="es-ES_tradnl" w:eastAsia="es-CR"/>
              </w:rPr>
              <w:t>Horas por semana</w:t>
            </w:r>
          </w:p>
        </w:tc>
        <w:tc>
          <w:tcPr>
            <w:tcW w:w="5245" w:type="dxa"/>
            <w:vAlign w:val="center"/>
          </w:tcPr>
          <w:p w14:paraId="73C32051" w14:textId="77777777" w:rsidR="00B977B2" w:rsidRPr="00B977B2" w:rsidRDefault="00B977B2" w:rsidP="00B977B2">
            <w:pPr>
              <w:widowControl w:val="0"/>
              <w:overflowPunct w:val="0"/>
              <w:autoSpaceDE w:val="0"/>
              <w:autoSpaceDN w:val="0"/>
              <w:adjustRightInd w:val="0"/>
              <w:jc w:val="center"/>
              <w:rPr>
                <w:rFonts w:eastAsia="Times New Roman" w:cs="Calibri"/>
                <w:b/>
                <w:bCs/>
                <w:color w:val="000000"/>
                <w:lang w:val="es-ES_tradnl" w:eastAsia="es-CR"/>
              </w:rPr>
            </w:pPr>
            <w:r w:rsidRPr="00B977B2">
              <w:rPr>
                <w:rFonts w:eastAsia="Times New Roman" w:cs="Calibri"/>
                <w:b/>
                <w:bCs/>
                <w:color w:val="000000"/>
                <w:lang w:val="es-ES_tradnl" w:eastAsia="es-CR"/>
              </w:rPr>
              <w:t>Actividades relacionadas</w:t>
            </w:r>
          </w:p>
        </w:tc>
      </w:tr>
      <w:tr w:rsidR="00B977B2" w:rsidRPr="00B977B2" w14:paraId="09D9B691" w14:textId="77777777" w:rsidTr="00104785">
        <w:tc>
          <w:tcPr>
            <w:tcW w:w="2122" w:type="dxa"/>
            <w:vAlign w:val="center"/>
          </w:tcPr>
          <w:p w14:paraId="7E672A99" w14:textId="77777777" w:rsidR="00B977B2" w:rsidRPr="00B977B2" w:rsidRDefault="00B977B2" w:rsidP="00B977B2">
            <w:pPr>
              <w:widowControl w:val="0"/>
              <w:overflowPunct w:val="0"/>
              <w:autoSpaceDE w:val="0"/>
              <w:autoSpaceDN w:val="0"/>
              <w:adjustRightInd w:val="0"/>
              <w:jc w:val="center"/>
              <w:rPr>
                <w:rFonts w:eastAsia="Times New Roman" w:cs="Calibri"/>
                <w:bCs/>
                <w:color w:val="000000"/>
                <w:lang w:val="es-ES_tradnl" w:eastAsia="es-CR"/>
              </w:rPr>
            </w:pPr>
            <w:r w:rsidRPr="00B977B2">
              <w:rPr>
                <w:rFonts w:eastAsia="Times New Roman" w:cs="Calibri"/>
                <w:bCs/>
                <w:color w:val="000000"/>
                <w:lang w:val="es-ES_tradnl" w:eastAsia="es-CR"/>
              </w:rPr>
              <w:t>Horas de Estudio Individual (HEI)</w:t>
            </w:r>
          </w:p>
        </w:tc>
        <w:tc>
          <w:tcPr>
            <w:tcW w:w="1417" w:type="dxa"/>
            <w:vAlign w:val="center"/>
          </w:tcPr>
          <w:p w14:paraId="56DA2B5D" w14:textId="77777777" w:rsidR="00B977B2" w:rsidRPr="00B977B2" w:rsidRDefault="00B977B2" w:rsidP="00B977B2">
            <w:pPr>
              <w:widowControl w:val="0"/>
              <w:overflowPunct w:val="0"/>
              <w:autoSpaceDE w:val="0"/>
              <w:autoSpaceDN w:val="0"/>
              <w:adjustRightInd w:val="0"/>
              <w:jc w:val="center"/>
              <w:rPr>
                <w:rFonts w:eastAsia="Times New Roman" w:cs="Calibri"/>
                <w:bCs/>
                <w:color w:val="000000"/>
                <w:lang w:val="es-ES_tradnl" w:eastAsia="es-CR"/>
              </w:rPr>
            </w:pPr>
            <w:r w:rsidRPr="00B977B2">
              <w:rPr>
                <w:rFonts w:eastAsia="Times New Roman" w:cs="Calibri"/>
                <w:bCs/>
                <w:color w:val="000000"/>
                <w:lang w:val="es-ES_tradnl" w:eastAsia="es-CR"/>
              </w:rPr>
              <w:t>3</w:t>
            </w:r>
          </w:p>
        </w:tc>
        <w:tc>
          <w:tcPr>
            <w:tcW w:w="5245" w:type="dxa"/>
          </w:tcPr>
          <w:p w14:paraId="0ABE6B53" w14:textId="77777777" w:rsidR="00B977B2" w:rsidRPr="00B977B2" w:rsidRDefault="00B977B2" w:rsidP="00B977B2">
            <w:pPr>
              <w:widowControl w:val="0"/>
              <w:numPr>
                <w:ilvl w:val="0"/>
                <w:numId w:val="34"/>
              </w:numPr>
              <w:overflowPunct w:val="0"/>
              <w:autoSpaceDE w:val="0"/>
              <w:autoSpaceDN w:val="0"/>
              <w:adjustRightInd w:val="0"/>
              <w:spacing w:before="120"/>
              <w:jc w:val="both"/>
              <w:rPr>
                <w:rFonts w:cs="Calibri"/>
                <w:bCs/>
                <w:color w:val="000000"/>
              </w:rPr>
            </w:pPr>
            <w:r w:rsidRPr="00B977B2">
              <w:rPr>
                <w:rFonts w:cs="Calibri"/>
                <w:bCs/>
                <w:color w:val="000000"/>
              </w:rPr>
              <w:t>Lectura de los textos (materiales en formato digital).</w:t>
            </w:r>
          </w:p>
          <w:p w14:paraId="46280F24" w14:textId="77777777" w:rsidR="00B977B2" w:rsidRPr="00B977B2" w:rsidRDefault="00B977B2" w:rsidP="00B977B2">
            <w:pPr>
              <w:widowControl w:val="0"/>
              <w:numPr>
                <w:ilvl w:val="0"/>
                <w:numId w:val="34"/>
              </w:numPr>
              <w:overflowPunct w:val="0"/>
              <w:autoSpaceDE w:val="0"/>
              <w:autoSpaceDN w:val="0"/>
              <w:adjustRightInd w:val="0"/>
              <w:spacing w:before="120"/>
              <w:jc w:val="both"/>
              <w:rPr>
                <w:rFonts w:cs="Calibri"/>
                <w:bCs/>
                <w:color w:val="000000"/>
              </w:rPr>
            </w:pPr>
            <w:r w:rsidRPr="00B977B2">
              <w:rPr>
                <w:rFonts w:cs="Calibri"/>
                <w:bCs/>
                <w:color w:val="000000"/>
              </w:rPr>
              <w:t>Análisis de lecturas e investigación por cuenta propia.</w:t>
            </w:r>
          </w:p>
        </w:tc>
      </w:tr>
      <w:tr w:rsidR="00B977B2" w:rsidRPr="00B977B2" w14:paraId="7CE8FF66" w14:textId="77777777" w:rsidTr="00104785">
        <w:tc>
          <w:tcPr>
            <w:tcW w:w="2122" w:type="dxa"/>
            <w:vAlign w:val="center"/>
          </w:tcPr>
          <w:p w14:paraId="003D8E07" w14:textId="77777777" w:rsidR="00B977B2" w:rsidRPr="00B977B2" w:rsidRDefault="00B977B2" w:rsidP="00B977B2">
            <w:pPr>
              <w:widowControl w:val="0"/>
              <w:overflowPunct w:val="0"/>
              <w:autoSpaceDE w:val="0"/>
              <w:autoSpaceDN w:val="0"/>
              <w:adjustRightInd w:val="0"/>
              <w:jc w:val="center"/>
              <w:rPr>
                <w:rFonts w:eastAsia="Times New Roman" w:cs="Calibri"/>
                <w:bCs/>
                <w:color w:val="000000"/>
                <w:lang w:val="es-ES_tradnl" w:eastAsia="es-CR"/>
              </w:rPr>
            </w:pPr>
            <w:r w:rsidRPr="00B977B2">
              <w:rPr>
                <w:rFonts w:eastAsia="Times New Roman" w:cs="Calibri"/>
                <w:bCs/>
                <w:color w:val="000000"/>
                <w:lang w:val="es-ES_tradnl" w:eastAsia="es-CR"/>
              </w:rPr>
              <w:t>Horas de Trabajo Colaborativo (HTC)</w:t>
            </w:r>
          </w:p>
        </w:tc>
        <w:tc>
          <w:tcPr>
            <w:tcW w:w="1417" w:type="dxa"/>
            <w:vAlign w:val="center"/>
          </w:tcPr>
          <w:p w14:paraId="547E629B" w14:textId="77777777" w:rsidR="00B977B2" w:rsidRPr="00B977B2" w:rsidRDefault="00B977B2" w:rsidP="00B977B2">
            <w:pPr>
              <w:widowControl w:val="0"/>
              <w:overflowPunct w:val="0"/>
              <w:autoSpaceDE w:val="0"/>
              <w:autoSpaceDN w:val="0"/>
              <w:adjustRightInd w:val="0"/>
              <w:jc w:val="center"/>
              <w:rPr>
                <w:rFonts w:eastAsia="Times New Roman" w:cs="Calibri"/>
                <w:bCs/>
                <w:color w:val="000000"/>
                <w:lang w:val="es-ES_tradnl" w:eastAsia="es-CR"/>
              </w:rPr>
            </w:pPr>
            <w:r w:rsidRPr="00B977B2">
              <w:rPr>
                <w:rFonts w:eastAsia="Times New Roman" w:cs="Calibri"/>
                <w:bCs/>
                <w:color w:val="000000"/>
                <w:lang w:val="es-ES_tradnl" w:eastAsia="es-CR"/>
              </w:rPr>
              <w:t>4</w:t>
            </w:r>
          </w:p>
        </w:tc>
        <w:tc>
          <w:tcPr>
            <w:tcW w:w="5245" w:type="dxa"/>
          </w:tcPr>
          <w:p w14:paraId="0F99B9C4" w14:textId="77777777" w:rsidR="00B977B2" w:rsidRPr="00B977B2" w:rsidRDefault="00B977B2" w:rsidP="00B977B2">
            <w:pPr>
              <w:widowControl w:val="0"/>
              <w:numPr>
                <w:ilvl w:val="0"/>
                <w:numId w:val="35"/>
              </w:numPr>
              <w:overflowPunct w:val="0"/>
              <w:autoSpaceDE w:val="0"/>
              <w:autoSpaceDN w:val="0"/>
              <w:adjustRightInd w:val="0"/>
              <w:spacing w:before="120"/>
              <w:jc w:val="both"/>
              <w:rPr>
                <w:rFonts w:cs="Calibri"/>
                <w:bCs/>
                <w:color w:val="000000"/>
              </w:rPr>
            </w:pPr>
            <w:r w:rsidRPr="00B977B2">
              <w:rPr>
                <w:rFonts w:cs="Calibri"/>
                <w:bCs/>
                <w:color w:val="000000"/>
              </w:rPr>
              <w:t>Participación en los foros temáticos (incluye aportes personales y réplicas a los y las demás estudiantes).</w:t>
            </w:r>
          </w:p>
          <w:p w14:paraId="177853D2" w14:textId="77777777" w:rsidR="00B977B2" w:rsidRPr="00B977B2" w:rsidRDefault="00B977B2" w:rsidP="00B977B2">
            <w:pPr>
              <w:widowControl w:val="0"/>
              <w:numPr>
                <w:ilvl w:val="0"/>
                <w:numId w:val="35"/>
              </w:numPr>
              <w:overflowPunct w:val="0"/>
              <w:autoSpaceDE w:val="0"/>
              <w:autoSpaceDN w:val="0"/>
              <w:adjustRightInd w:val="0"/>
              <w:spacing w:before="120"/>
              <w:jc w:val="both"/>
              <w:rPr>
                <w:rFonts w:cs="Calibri"/>
                <w:bCs/>
                <w:color w:val="000000"/>
              </w:rPr>
            </w:pPr>
            <w:r w:rsidRPr="00B977B2">
              <w:rPr>
                <w:rFonts w:cs="Calibri"/>
                <w:bCs/>
                <w:color w:val="000000"/>
              </w:rPr>
              <w:t>Participación en la elaboración de wikis.</w:t>
            </w:r>
          </w:p>
          <w:p w14:paraId="7E345AEE" w14:textId="77777777" w:rsidR="00B977B2" w:rsidRPr="00B977B2" w:rsidRDefault="00B977B2" w:rsidP="00B977B2">
            <w:pPr>
              <w:widowControl w:val="0"/>
              <w:numPr>
                <w:ilvl w:val="0"/>
                <w:numId w:val="35"/>
              </w:numPr>
              <w:overflowPunct w:val="0"/>
              <w:autoSpaceDE w:val="0"/>
              <w:autoSpaceDN w:val="0"/>
              <w:adjustRightInd w:val="0"/>
              <w:spacing w:before="120"/>
              <w:jc w:val="both"/>
              <w:rPr>
                <w:rFonts w:cs="Calibri"/>
                <w:bCs/>
                <w:color w:val="000000"/>
              </w:rPr>
            </w:pPr>
            <w:r w:rsidRPr="00B977B2">
              <w:rPr>
                <w:rFonts w:cs="Calibri"/>
                <w:bCs/>
                <w:color w:val="000000"/>
              </w:rPr>
              <w:t>Participación en los encuentros sincrónicos virtuales.</w:t>
            </w:r>
          </w:p>
          <w:p w14:paraId="39914CC7" w14:textId="77777777" w:rsidR="00B977B2" w:rsidRPr="00B977B2" w:rsidRDefault="00B977B2" w:rsidP="00B977B2">
            <w:pPr>
              <w:widowControl w:val="0"/>
              <w:numPr>
                <w:ilvl w:val="0"/>
                <w:numId w:val="35"/>
              </w:numPr>
              <w:overflowPunct w:val="0"/>
              <w:autoSpaceDE w:val="0"/>
              <w:autoSpaceDN w:val="0"/>
              <w:adjustRightInd w:val="0"/>
              <w:spacing w:before="120"/>
              <w:jc w:val="both"/>
              <w:rPr>
                <w:rFonts w:cs="Calibri"/>
                <w:bCs/>
                <w:color w:val="000000"/>
              </w:rPr>
            </w:pPr>
            <w:r w:rsidRPr="00B977B2">
              <w:rPr>
                <w:rFonts w:cs="Calibri"/>
                <w:bCs/>
                <w:color w:val="000000"/>
              </w:rPr>
              <w:t>Elaboración de un trabajo final.</w:t>
            </w:r>
          </w:p>
          <w:p w14:paraId="163B52ED" w14:textId="77777777" w:rsidR="00B977B2" w:rsidRPr="00B977B2" w:rsidRDefault="00B977B2" w:rsidP="00B977B2">
            <w:pPr>
              <w:widowControl w:val="0"/>
              <w:numPr>
                <w:ilvl w:val="0"/>
                <w:numId w:val="35"/>
              </w:numPr>
              <w:overflowPunct w:val="0"/>
              <w:autoSpaceDE w:val="0"/>
              <w:autoSpaceDN w:val="0"/>
              <w:adjustRightInd w:val="0"/>
              <w:spacing w:before="120"/>
              <w:jc w:val="both"/>
              <w:rPr>
                <w:rFonts w:cs="Calibri"/>
                <w:bCs/>
                <w:color w:val="000000"/>
              </w:rPr>
            </w:pPr>
            <w:r w:rsidRPr="00B977B2">
              <w:rPr>
                <w:rFonts w:cs="Calibri"/>
                <w:bCs/>
                <w:color w:val="000000"/>
              </w:rPr>
              <w:t>Presentación oral de los resultados del trabajo final.</w:t>
            </w:r>
          </w:p>
        </w:tc>
      </w:tr>
      <w:tr w:rsidR="00B977B2" w:rsidRPr="00B977B2" w14:paraId="4C1EC0E6" w14:textId="77777777" w:rsidTr="00104785">
        <w:trPr>
          <w:trHeight w:val="772"/>
        </w:trPr>
        <w:tc>
          <w:tcPr>
            <w:tcW w:w="2122" w:type="dxa"/>
            <w:vAlign w:val="center"/>
          </w:tcPr>
          <w:p w14:paraId="119AD9D4" w14:textId="77777777" w:rsidR="00B977B2" w:rsidRPr="00B977B2" w:rsidRDefault="00B977B2" w:rsidP="00B977B2">
            <w:pPr>
              <w:widowControl w:val="0"/>
              <w:overflowPunct w:val="0"/>
              <w:autoSpaceDE w:val="0"/>
              <w:autoSpaceDN w:val="0"/>
              <w:adjustRightInd w:val="0"/>
              <w:jc w:val="center"/>
              <w:rPr>
                <w:rFonts w:eastAsia="Times New Roman" w:cs="Calibri"/>
                <w:bCs/>
                <w:color w:val="000000"/>
                <w:lang w:val="es-ES_tradnl" w:eastAsia="es-CR"/>
              </w:rPr>
            </w:pPr>
            <w:r w:rsidRPr="00B977B2">
              <w:rPr>
                <w:rFonts w:eastAsia="Times New Roman" w:cs="Calibri"/>
                <w:bCs/>
                <w:color w:val="000000"/>
                <w:lang w:val="es-ES_tradnl" w:eastAsia="es-CR"/>
              </w:rPr>
              <w:t>Horas de Producción Individual (HPI)</w:t>
            </w:r>
          </w:p>
        </w:tc>
        <w:tc>
          <w:tcPr>
            <w:tcW w:w="1417" w:type="dxa"/>
            <w:vAlign w:val="center"/>
          </w:tcPr>
          <w:p w14:paraId="7CA35189" w14:textId="77777777" w:rsidR="00B977B2" w:rsidRPr="00B977B2" w:rsidRDefault="00B977B2" w:rsidP="00B977B2">
            <w:pPr>
              <w:widowControl w:val="0"/>
              <w:overflowPunct w:val="0"/>
              <w:autoSpaceDE w:val="0"/>
              <w:autoSpaceDN w:val="0"/>
              <w:adjustRightInd w:val="0"/>
              <w:jc w:val="center"/>
              <w:rPr>
                <w:rFonts w:eastAsia="Times New Roman" w:cs="Calibri"/>
                <w:bCs/>
                <w:color w:val="000000"/>
                <w:lang w:val="es-ES_tradnl" w:eastAsia="es-CR"/>
              </w:rPr>
            </w:pPr>
            <w:r w:rsidRPr="00B977B2">
              <w:rPr>
                <w:rFonts w:eastAsia="Times New Roman" w:cs="Calibri"/>
                <w:bCs/>
                <w:color w:val="000000"/>
                <w:lang w:val="es-ES_tradnl" w:eastAsia="es-CR"/>
              </w:rPr>
              <w:t>3</w:t>
            </w:r>
          </w:p>
        </w:tc>
        <w:tc>
          <w:tcPr>
            <w:tcW w:w="5245" w:type="dxa"/>
          </w:tcPr>
          <w:p w14:paraId="207BE577" w14:textId="77777777" w:rsidR="00B977B2" w:rsidRPr="00B977B2" w:rsidRDefault="00B977B2" w:rsidP="00B977B2">
            <w:pPr>
              <w:widowControl w:val="0"/>
              <w:numPr>
                <w:ilvl w:val="0"/>
                <w:numId w:val="36"/>
              </w:numPr>
              <w:overflowPunct w:val="0"/>
              <w:autoSpaceDE w:val="0"/>
              <w:autoSpaceDN w:val="0"/>
              <w:adjustRightInd w:val="0"/>
              <w:spacing w:before="120"/>
              <w:jc w:val="both"/>
              <w:rPr>
                <w:rFonts w:cs="Calibri"/>
                <w:bCs/>
                <w:color w:val="000000"/>
              </w:rPr>
            </w:pPr>
            <w:r w:rsidRPr="00B977B2">
              <w:rPr>
                <w:rFonts w:cs="Calibri"/>
                <w:bCs/>
                <w:color w:val="000000"/>
              </w:rPr>
              <w:t>Análisis de textos bíblicos.</w:t>
            </w:r>
          </w:p>
        </w:tc>
      </w:tr>
      <w:tr w:rsidR="00B977B2" w:rsidRPr="00B977B2" w14:paraId="279281E5" w14:textId="77777777" w:rsidTr="00104785">
        <w:trPr>
          <w:trHeight w:val="696"/>
        </w:trPr>
        <w:tc>
          <w:tcPr>
            <w:tcW w:w="2122" w:type="dxa"/>
            <w:vAlign w:val="center"/>
          </w:tcPr>
          <w:p w14:paraId="52DB1A02" w14:textId="77777777" w:rsidR="00B977B2" w:rsidRPr="00B977B2" w:rsidRDefault="00B977B2" w:rsidP="00B977B2">
            <w:pPr>
              <w:widowControl w:val="0"/>
              <w:overflowPunct w:val="0"/>
              <w:autoSpaceDE w:val="0"/>
              <w:autoSpaceDN w:val="0"/>
              <w:adjustRightInd w:val="0"/>
              <w:jc w:val="center"/>
              <w:rPr>
                <w:rFonts w:eastAsia="Times New Roman" w:cs="Calibri"/>
                <w:bCs/>
                <w:color w:val="000000"/>
                <w:lang w:val="es-ES_tradnl" w:eastAsia="es-CR"/>
              </w:rPr>
            </w:pPr>
            <w:r w:rsidRPr="00B977B2">
              <w:rPr>
                <w:rFonts w:eastAsia="Times New Roman" w:cs="Calibri"/>
                <w:bCs/>
                <w:color w:val="000000"/>
                <w:lang w:val="es-ES_tradnl" w:eastAsia="es-CR"/>
              </w:rPr>
              <w:t>Horas de Práctica (HP)</w:t>
            </w:r>
          </w:p>
        </w:tc>
        <w:tc>
          <w:tcPr>
            <w:tcW w:w="1417" w:type="dxa"/>
            <w:vAlign w:val="center"/>
          </w:tcPr>
          <w:p w14:paraId="3A81B27E" w14:textId="77777777" w:rsidR="00B977B2" w:rsidRPr="00B977B2" w:rsidRDefault="00B977B2" w:rsidP="00B977B2">
            <w:pPr>
              <w:widowControl w:val="0"/>
              <w:overflowPunct w:val="0"/>
              <w:autoSpaceDE w:val="0"/>
              <w:autoSpaceDN w:val="0"/>
              <w:adjustRightInd w:val="0"/>
              <w:jc w:val="center"/>
              <w:rPr>
                <w:rFonts w:eastAsia="Times New Roman" w:cs="Calibri"/>
                <w:bCs/>
                <w:color w:val="000000"/>
                <w:lang w:val="es-ES_tradnl" w:eastAsia="es-CR"/>
              </w:rPr>
            </w:pPr>
            <w:r w:rsidRPr="00B977B2">
              <w:rPr>
                <w:rFonts w:eastAsia="Times New Roman" w:cs="Calibri"/>
                <w:bCs/>
                <w:color w:val="000000"/>
                <w:lang w:val="es-ES_tradnl" w:eastAsia="es-CR"/>
              </w:rPr>
              <w:t>2</w:t>
            </w:r>
          </w:p>
        </w:tc>
        <w:tc>
          <w:tcPr>
            <w:tcW w:w="5245" w:type="dxa"/>
          </w:tcPr>
          <w:p w14:paraId="1CA9579A" w14:textId="77777777" w:rsidR="00B977B2" w:rsidRPr="00B977B2" w:rsidRDefault="00B977B2" w:rsidP="00B977B2">
            <w:pPr>
              <w:widowControl w:val="0"/>
              <w:numPr>
                <w:ilvl w:val="0"/>
                <w:numId w:val="36"/>
              </w:numPr>
              <w:overflowPunct w:val="0"/>
              <w:autoSpaceDE w:val="0"/>
              <w:autoSpaceDN w:val="0"/>
              <w:adjustRightInd w:val="0"/>
              <w:spacing w:before="120"/>
              <w:jc w:val="both"/>
              <w:rPr>
                <w:rFonts w:cs="Calibri"/>
                <w:bCs/>
                <w:color w:val="000000"/>
              </w:rPr>
            </w:pPr>
            <w:r w:rsidRPr="00B977B2">
              <w:rPr>
                <w:rFonts w:cs="Calibri"/>
                <w:bCs/>
                <w:color w:val="000000"/>
              </w:rPr>
              <w:t>En este curso, por su naturaleza, las horas prácticas contemplan los ejercicios de estudio bíblico.</w:t>
            </w:r>
          </w:p>
        </w:tc>
      </w:tr>
      <w:tr w:rsidR="00B977B2" w:rsidRPr="00B977B2" w14:paraId="57D173D9" w14:textId="77777777" w:rsidTr="00104785">
        <w:tc>
          <w:tcPr>
            <w:tcW w:w="2122" w:type="dxa"/>
            <w:vAlign w:val="center"/>
          </w:tcPr>
          <w:p w14:paraId="3A8DE497" w14:textId="77777777" w:rsidR="00B977B2" w:rsidRPr="00B977B2" w:rsidRDefault="00B977B2" w:rsidP="00B977B2">
            <w:pPr>
              <w:widowControl w:val="0"/>
              <w:overflowPunct w:val="0"/>
              <w:autoSpaceDE w:val="0"/>
              <w:autoSpaceDN w:val="0"/>
              <w:adjustRightInd w:val="0"/>
              <w:jc w:val="center"/>
              <w:rPr>
                <w:rFonts w:eastAsia="Times New Roman" w:cs="Arial"/>
                <w:b/>
                <w:bCs/>
                <w:color w:val="000000"/>
                <w:lang w:val="es-ES" w:eastAsia="es-CR"/>
              </w:rPr>
            </w:pPr>
            <w:r w:rsidRPr="00B977B2">
              <w:rPr>
                <w:rFonts w:eastAsia="Times New Roman" w:cs="Arial"/>
                <w:b/>
                <w:bCs/>
                <w:color w:val="000000"/>
                <w:lang w:val="es-ES" w:eastAsia="es-CR"/>
              </w:rPr>
              <w:t>Total de horas (TH)</w:t>
            </w:r>
          </w:p>
        </w:tc>
        <w:tc>
          <w:tcPr>
            <w:tcW w:w="1417" w:type="dxa"/>
            <w:vAlign w:val="center"/>
          </w:tcPr>
          <w:p w14:paraId="708749BF" w14:textId="77777777" w:rsidR="00B977B2" w:rsidRPr="00B977B2" w:rsidRDefault="00B977B2" w:rsidP="00B977B2">
            <w:pPr>
              <w:widowControl w:val="0"/>
              <w:overflowPunct w:val="0"/>
              <w:autoSpaceDE w:val="0"/>
              <w:autoSpaceDN w:val="0"/>
              <w:adjustRightInd w:val="0"/>
              <w:jc w:val="center"/>
              <w:rPr>
                <w:rFonts w:eastAsia="Times New Roman" w:cs="Calibri"/>
                <w:b/>
                <w:bCs/>
                <w:color w:val="000000"/>
                <w:lang w:val="es-ES_tradnl" w:eastAsia="es-CR"/>
              </w:rPr>
            </w:pPr>
            <w:r w:rsidRPr="00B977B2">
              <w:rPr>
                <w:rFonts w:eastAsia="Times New Roman" w:cs="Calibri"/>
                <w:b/>
                <w:bCs/>
                <w:color w:val="000000"/>
                <w:lang w:val="es-ES_tradnl" w:eastAsia="es-CR"/>
              </w:rPr>
              <w:t>12</w:t>
            </w:r>
          </w:p>
        </w:tc>
        <w:tc>
          <w:tcPr>
            <w:tcW w:w="5245" w:type="dxa"/>
            <w:vAlign w:val="center"/>
          </w:tcPr>
          <w:p w14:paraId="11251CE0" w14:textId="77777777" w:rsidR="00B977B2" w:rsidRPr="00B977B2" w:rsidRDefault="00B977B2" w:rsidP="00B977B2">
            <w:pPr>
              <w:widowControl w:val="0"/>
              <w:overflowPunct w:val="0"/>
              <w:autoSpaceDE w:val="0"/>
              <w:autoSpaceDN w:val="0"/>
              <w:adjustRightInd w:val="0"/>
              <w:jc w:val="center"/>
              <w:rPr>
                <w:rFonts w:eastAsia="Times New Roman" w:cs="Calibri"/>
                <w:b/>
                <w:bCs/>
                <w:color w:val="000000"/>
                <w:lang w:val="es-ES_tradnl" w:eastAsia="es-CR"/>
              </w:rPr>
            </w:pPr>
          </w:p>
        </w:tc>
      </w:tr>
    </w:tbl>
    <w:p w14:paraId="195627B2"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93DA5AB"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B977B2">
        <w:rPr>
          <w:rFonts w:ascii="Calibri" w:eastAsia="Times New Roman" w:hAnsi="Calibri" w:cs="Arial"/>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6D0947F7"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
          <w:bCs/>
          <w:kern w:val="0"/>
          <w:lang w:val="es-ES_tradnl" w:eastAsia="es-CR"/>
          <w14:ligatures w14:val="none"/>
        </w:rPr>
      </w:pPr>
    </w:p>
    <w:p w14:paraId="181ACD70"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
          <w:bCs/>
          <w:kern w:val="0"/>
          <w:lang w:val="es-ES_tradnl" w:eastAsia="es-CR"/>
          <w14:ligatures w14:val="none"/>
        </w:rPr>
      </w:pPr>
    </w:p>
    <w:p w14:paraId="5747FB28"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
          <w:bCs/>
          <w:kern w:val="0"/>
          <w:lang w:val="es-ES_tradnl" w:eastAsia="es-CR"/>
          <w14:ligatures w14:val="none"/>
        </w:rPr>
      </w:pPr>
    </w:p>
    <w:p w14:paraId="5394E5B7"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
          <w:bCs/>
          <w:kern w:val="0"/>
          <w:lang w:val="es-ES_tradnl" w:eastAsia="es-CR"/>
          <w14:ligatures w14:val="none"/>
        </w:rPr>
      </w:pPr>
    </w:p>
    <w:p w14:paraId="02062113" w14:textId="77777777" w:rsidR="00B977B2" w:rsidRPr="00B977B2" w:rsidRDefault="00B977B2" w:rsidP="00B977B2">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B977B2">
        <w:rPr>
          <w:rFonts w:ascii="Calibri" w:eastAsia="Times New Roman" w:hAnsi="Calibri" w:cs="Calibri"/>
          <w:b/>
          <w:bCs/>
          <w:color w:val="000000"/>
          <w:kern w:val="0"/>
          <w:lang w:val="es-ES_tradnl" w:eastAsia="es-CR"/>
          <w14:ligatures w14:val="none"/>
        </w:rPr>
        <w:lastRenderedPageBreak/>
        <w:t xml:space="preserve">X. </w:t>
      </w:r>
      <w:r w:rsidRPr="00B977B2">
        <w:rPr>
          <w:rFonts w:ascii="Calibri" w:eastAsia="Times New Roman" w:hAnsi="Calibri" w:cs="Calibri"/>
          <w:b/>
          <w:bCs/>
          <w:kern w:val="0"/>
          <w:lang w:val="es-ES_tradnl" w:eastAsia="es-CR"/>
          <w14:ligatures w14:val="none"/>
        </w:rPr>
        <w:t>Evaluación</w:t>
      </w:r>
      <w:r w:rsidRPr="00B977B2">
        <w:rPr>
          <w:rFonts w:ascii="Calibri" w:eastAsia="Times New Roman" w:hAnsi="Calibri" w:cs="Calibri"/>
          <w:b/>
          <w:bCs/>
          <w:kern w:val="0"/>
          <w:lang w:val="es-ES_tradnl" w:eastAsia="es-CR"/>
          <w14:ligatures w14:val="none"/>
        </w:rPr>
        <w:tab/>
      </w:r>
    </w:p>
    <w:p w14:paraId="402F76A5"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B977B2">
        <w:rPr>
          <w:rFonts w:ascii="Calibri" w:eastAsia="Times New Roman" w:hAnsi="Calibri" w:cs="Calibri"/>
          <w:bCs/>
          <w:kern w:val="0"/>
          <w:lang w:val="es-ES_tradnl" w:eastAsia="es-CR"/>
          <w14:ligatures w14:val="none"/>
        </w:rPr>
        <w:t xml:space="preserve">Para le evaluación de este curso se analizarán los procesos de aprendizaje por medio de la interacción grupal en las actividades semanales y la capacidad de construir sobre lo trabajado en cada sesión. La retroalimentación de la persona docente será fundamental para orientar el desarrollo de las capacidades cognitivas de los y las estudiantes. La evaluación sumativa se realiza por medio de la sumatoria de las actividades de aprendizaje realizadas en el curso. El curso se aprueba con una nota mínima de 7.00 (siete en escala decimal). Los porcentajes asignados a cada elemento del curso son los siguientes: </w:t>
      </w:r>
    </w:p>
    <w:tbl>
      <w:tblPr>
        <w:tblpPr w:leftFromText="141" w:rightFromText="141" w:vertAnchor="text" w:horzAnchor="margin" w:tblpXSpec="center" w:tblpY="226"/>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776"/>
        <w:gridCol w:w="1291"/>
      </w:tblGrid>
      <w:tr w:rsidR="00B977B2" w:rsidRPr="00B977B2" w14:paraId="072FB560" w14:textId="77777777" w:rsidTr="00104785">
        <w:trPr>
          <w:trHeight w:val="414"/>
        </w:trPr>
        <w:tc>
          <w:tcPr>
            <w:tcW w:w="9067" w:type="dxa"/>
            <w:gridSpan w:val="2"/>
          </w:tcPr>
          <w:p w14:paraId="77E7803E"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B977B2">
              <w:rPr>
                <w:rFonts w:ascii="Calibri" w:eastAsia="Times New Roman" w:hAnsi="Calibri" w:cs="Calibri"/>
                <w:b/>
                <w:bCs/>
                <w:kern w:val="0"/>
                <w:lang w:val="es-ES_tradnl" w:eastAsia="es-CR"/>
                <w14:ligatures w14:val="none"/>
              </w:rPr>
              <w:t xml:space="preserve">Síntesis cuantitativa de la evaluación </w:t>
            </w:r>
          </w:p>
        </w:tc>
      </w:tr>
      <w:tr w:rsidR="00B977B2" w:rsidRPr="00B977B2" w14:paraId="02B282CC" w14:textId="77777777" w:rsidTr="00104785">
        <w:trPr>
          <w:trHeight w:val="562"/>
        </w:trPr>
        <w:tc>
          <w:tcPr>
            <w:tcW w:w="7776" w:type="dxa"/>
          </w:tcPr>
          <w:p w14:paraId="4C4DD840"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
                <w:bCs/>
                <w:kern w:val="0"/>
                <w:lang w:val="es-ES_tradnl" w:eastAsia="es-CR"/>
                <w14:ligatures w14:val="none"/>
              </w:rPr>
            </w:pPr>
            <w:r w:rsidRPr="00B977B2">
              <w:rPr>
                <w:rFonts w:ascii="Calibri" w:eastAsia="Times New Roman" w:hAnsi="Calibri" w:cs="Calibri"/>
                <w:b/>
                <w:bCs/>
                <w:kern w:val="0"/>
                <w:lang w:val="es-ES_tradnl" w:eastAsia="es-CR"/>
                <w14:ligatures w14:val="none"/>
              </w:rPr>
              <w:t>Rubros para evaluar</w:t>
            </w:r>
          </w:p>
          <w:p w14:paraId="616DE7D0"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
                <w:bCs/>
                <w:kern w:val="0"/>
                <w:lang w:val="es-ES_tradnl" w:eastAsia="es-CR"/>
                <w14:ligatures w14:val="none"/>
              </w:rPr>
            </w:pPr>
          </w:p>
        </w:tc>
        <w:tc>
          <w:tcPr>
            <w:tcW w:w="1291" w:type="dxa"/>
          </w:tcPr>
          <w:p w14:paraId="50630B3A"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B977B2">
              <w:rPr>
                <w:rFonts w:ascii="Calibri" w:eastAsia="Times New Roman" w:hAnsi="Calibri" w:cs="Calibri"/>
                <w:b/>
                <w:bCs/>
                <w:kern w:val="0"/>
                <w:lang w:val="es-ES_tradnl" w:eastAsia="es-CR"/>
                <w14:ligatures w14:val="none"/>
              </w:rPr>
              <w:t>Porcentaje total</w:t>
            </w:r>
          </w:p>
        </w:tc>
      </w:tr>
      <w:tr w:rsidR="00B977B2" w:rsidRPr="00B977B2" w14:paraId="40F6312A" w14:textId="77777777" w:rsidTr="00104785">
        <w:trPr>
          <w:trHeight w:val="861"/>
        </w:trPr>
        <w:tc>
          <w:tcPr>
            <w:tcW w:w="7776" w:type="dxa"/>
          </w:tcPr>
          <w:p w14:paraId="15506D9B"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color w:val="0070C0"/>
                <w:kern w:val="0"/>
                <w14:ligatures w14:val="none"/>
              </w:rPr>
            </w:pPr>
            <w:r w:rsidRPr="00B977B2">
              <w:rPr>
                <w:rFonts w:ascii="Calibri" w:eastAsia="Calibri" w:hAnsi="Calibri" w:cs="Calibri"/>
                <w:b/>
                <w:bCs/>
                <w:i/>
                <w:color w:val="0070C0"/>
                <w:kern w:val="0"/>
                <w14:ligatures w14:val="none"/>
              </w:rPr>
              <w:t>Encuentros sincrónicos virtuales</w:t>
            </w:r>
          </w:p>
          <w:p w14:paraId="49898E34" w14:textId="77777777" w:rsidR="00B977B2" w:rsidRPr="00B977B2" w:rsidRDefault="00B977B2" w:rsidP="00B977B2">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Calibri"/>
                <w:b/>
                <w:bCs/>
                <w:i/>
                <w:color w:val="0070C0"/>
                <w:kern w:val="0"/>
                <w14:ligatures w14:val="none"/>
              </w:rPr>
            </w:pPr>
            <w:r w:rsidRPr="00B977B2">
              <w:rPr>
                <w:rFonts w:ascii="Calibri" w:eastAsia="Calibri" w:hAnsi="Calibri" w:cs="Calibri"/>
                <w:color w:val="0070C0"/>
                <w:kern w:val="0"/>
                <w14:ligatures w14:val="none"/>
              </w:rPr>
              <w:t>Se llevan a cabo en las sesiones 1, 5, 9, 14 y 15. Tienen un valor formativo y no sumativo.</w:t>
            </w:r>
          </w:p>
        </w:tc>
        <w:tc>
          <w:tcPr>
            <w:tcW w:w="1291" w:type="dxa"/>
            <w:vAlign w:val="center"/>
          </w:tcPr>
          <w:p w14:paraId="3D2148E4"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B977B2">
              <w:rPr>
                <w:rFonts w:ascii="Calibri" w:eastAsia="Times New Roman" w:hAnsi="Calibri" w:cs="Calibri"/>
                <w:color w:val="0070C0"/>
                <w:kern w:val="0"/>
                <w:lang w:val="es-ES_tradnl" w:eastAsia="es-CR"/>
                <w14:ligatures w14:val="none"/>
              </w:rPr>
              <w:t>̶</w:t>
            </w:r>
          </w:p>
        </w:tc>
      </w:tr>
      <w:tr w:rsidR="00B977B2" w:rsidRPr="00B977B2" w14:paraId="35DA0D72" w14:textId="77777777" w:rsidTr="00104785">
        <w:trPr>
          <w:trHeight w:val="600"/>
        </w:trPr>
        <w:tc>
          <w:tcPr>
            <w:tcW w:w="7776" w:type="dxa"/>
          </w:tcPr>
          <w:p w14:paraId="3FC8E609"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b/>
                <w:bCs/>
                <w:i/>
                <w:kern w:val="0"/>
                <w14:ligatures w14:val="none"/>
              </w:rPr>
              <w:t>Foros temáticos</w:t>
            </w:r>
          </w:p>
          <w:p w14:paraId="192DAF94"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iCs/>
                <w:color w:val="0070C0"/>
                <w:kern w:val="0"/>
                <w14:ligatures w14:val="none"/>
              </w:rPr>
              <w:t>Se desarrollan en las sesiones 2, 4, 6, 8, 11 y 13. Cada foro tiene un valor de 5%.</w:t>
            </w:r>
          </w:p>
        </w:tc>
        <w:tc>
          <w:tcPr>
            <w:tcW w:w="1291" w:type="dxa"/>
            <w:vAlign w:val="center"/>
          </w:tcPr>
          <w:p w14:paraId="08B57F1C"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B977B2">
              <w:rPr>
                <w:rFonts w:ascii="Calibri" w:eastAsia="Times New Roman" w:hAnsi="Calibri" w:cs="Calibri"/>
                <w:bCs/>
                <w:color w:val="0070C0"/>
                <w:kern w:val="0"/>
                <w:lang w:val="es-ES_tradnl" w:eastAsia="es-CR"/>
                <w14:ligatures w14:val="none"/>
              </w:rPr>
              <w:t>30%</w:t>
            </w:r>
          </w:p>
        </w:tc>
      </w:tr>
      <w:tr w:rsidR="00B977B2" w:rsidRPr="00B977B2" w14:paraId="70C5FFD6" w14:textId="77777777" w:rsidTr="00104785">
        <w:trPr>
          <w:trHeight w:val="602"/>
        </w:trPr>
        <w:tc>
          <w:tcPr>
            <w:tcW w:w="7776" w:type="dxa"/>
          </w:tcPr>
          <w:p w14:paraId="094291B4"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b/>
                <w:bCs/>
                <w:i/>
                <w:kern w:val="0"/>
                <w14:ligatures w14:val="none"/>
              </w:rPr>
              <w:t>Wikis</w:t>
            </w:r>
          </w:p>
          <w:p w14:paraId="59DC5E36"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iCs/>
                <w:kern w:val="0"/>
                <w14:ligatures w14:val="none"/>
              </w:rPr>
              <w:t xml:space="preserve">Se desarrollan en las sesiones 3 y 10. Cada wiki tiene un valor de </w:t>
            </w:r>
            <w:r w:rsidRPr="00B977B2">
              <w:rPr>
                <w:rFonts w:ascii="Calibri" w:eastAsia="Calibri" w:hAnsi="Calibri" w:cs="Calibri"/>
                <w:iCs/>
                <w:color w:val="0070C0"/>
                <w:kern w:val="0"/>
                <w14:ligatures w14:val="none"/>
              </w:rPr>
              <w:t>7,5%.</w:t>
            </w:r>
          </w:p>
        </w:tc>
        <w:tc>
          <w:tcPr>
            <w:tcW w:w="1291" w:type="dxa"/>
            <w:vAlign w:val="center"/>
          </w:tcPr>
          <w:p w14:paraId="761723D1"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r w:rsidRPr="00B977B2">
              <w:rPr>
                <w:rFonts w:ascii="Calibri" w:eastAsia="Times New Roman" w:hAnsi="Calibri" w:cs="Calibri"/>
                <w:bCs/>
                <w:color w:val="0070C0"/>
                <w:kern w:val="0"/>
                <w:lang w:val="es-ES_tradnl" w:eastAsia="es-CR"/>
                <w14:ligatures w14:val="none"/>
              </w:rPr>
              <w:t>15%</w:t>
            </w:r>
          </w:p>
        </w:tc>
      </w:tr>
      <w:tr w:rsidR="00B977B2" w:rsidRPr="00B977B2" w14:paraId="7F043413" w14:textId="77777777" w:rsidTr="00104785">
        <w:trPr>
          <w:trHeight w:val="602"/>
        </w:trPr>
        <w:tc>
          <w:tcPr>
            <w:tcW w:w="7776" w:type="dxa"/>
          </w:tcPr>
          <w:p w14:paraId="76F498C5"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b/>
                <w:bCs/>
                <w:i/>
                <w:kern w:val="0"/>
                <w14:ligatures w14:val="none"/>
              </w:rPr>
              <w:t>Análisis de textos bíblicos</w:t>
            </w:r>
          </w:p>
          <w:p w14:paraId="2095AA4A"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iCs/>
                <w:kern w:val="0"/>
                <w14:ligatures w14:val="none"/>
              </w:rPr>
              <w:t>Se distribuyen de la siguiente forma y cada uno tiene un valor de 10%:</w:t>
            </w:r>
          </w:p>
          <w:p w14:paraId="28B2A1F1"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iCs/>
                <w:kern w:val="0"/>
                <w14:ligatures w14:val="none"/>
              </w:rPr>
              <w:t xml:space="preserve">- Análisis narrativo (sesiones 7 y 8). </w:t>
            </w:r>
          </w:p>
          <w:p w14:paraId="67FB51D9"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iCs/>
                <w:kern w:val="0"/>
                <w14:ligatures w14:val="none"/>
              </w:rPr>
              <w:t xml:space="preserve">- Análisis sociológico (sesión 9). </w:t>
            </w:r>
          </w:p>
          <w:p w14:paraId="2F7FCD9F"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iCs/>
                <w:kern w:val="0"/>
                <w14:ligatures w14:val="none"/>
              </w:rPr>
              <w:t xml:space="preserve">- Ejercicio de hermenéutica feminista (sesión 12). </w:t>
            </w:r>
          </w:p>
        </w:tc>
        <w:tc>
          <w:tcPr>
            <w:tcW w:w="1291" w:type="dxa"/>
            <w:vAlign w:val="center"/>
          </w:tcPr>
          <w:p w14:paraId="550013CB"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r w:rsidRPr="00B977B2">
              <w:rPr>
                <w:rFonts w:ascii="Calibri" w:eastAsia="Times New Roman" w:hAnsi="Calibri" w:cs="Calibri"/>
                <w:bCs/>
                <w:kern w:val="0"/>
                <w:lang w:val="es-ES_tradnl" w:eastAsia="es-CR"/>
                <w14:ligatures w14:val="none"/>
              </w:rPr>
              <w:t>30%</w:t>
            </w:r>
          </w:p>
        </w:tc>
      </w:tr>
      <w:tr w:rsidR="00B977B2" w:rsidRPr="00B977B2" w14:paraId="42F631D5" w14:textId="77777777" w:rsidTr="00104785">
        <w:trPr>
          <w:trHeight w:val="602"/>
        </w:trPr>
        <w:tc>
          <w:tcPr>
            <w:tcW w:w="7776" w:type="dxa"/>
          </w:tcPr>
          <w:p w14:paraId="5F4EBB3B"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b/>
                <w:bCs/>
                <w:i/>
                <w:kern w:val="0"/>
                <w14:ligatures w14:val="none"/>
              </w:rPr>
              <w:t>Trabajo final grupal</w:t>
            </w:r>
          </w:p>
          <w:p w14:paraId="6A71A9DC"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iCs/>
                <w:kern w:val="0"/>
                <w14:ligatures w14:val="none"/>
              </w:rPr>
              <w:t>Se elabora desde la sesión 10 hasta la 15 de la siguiente forma:</w:t>
            </w:r>
          </w:p>
          <w:p w14:paraId="258E5E8D"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iCs/>
                <w:kern w:val="0"/>
                <w14:ligatures w14:val="none"/>
              </w:rPr>
            </w:pPr>
            <w:r w:rsidRPr="00B977B2">
              <w:rPr>
                <w:rFonts w:ascii="Calibri" w:eastAsia="Calibri" w:hAnsi="Calibri" w:cs="Calibri"/>
                <w:iCs/>
                <w:kern w:val="0"/>
                <w14:ligatures w14:val="none"/>
              </w:rPr>
              <w:t>- Borrador (sesión 13).</w:t>
            </w:r>
          </w:p>
          <w:p w14:paraId="61CE03D7"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iCs/>
                <w:kern w:val="0"/>
                <w14:ligatures w14:val="none"/>
              </w:rPr>
            </w:pPr>
            <w:r w:rsidRPr="00B977B2">
              <w:rPr>
                <w:rFonts w:ascii="Calibri" w:eastAsia="Calibri" w:hAnsi="Calibri" w:cs="Calibri"/>
                <w:iCs/>
                <w:kern w:val="0"/>
                <w14:ligatures w14:val="none"/>
              </w:rPr>
              <w:t>- Correcciones a partir de la retroalimentación docente (sesión 14).</w:t>
            </w:r>
          </w:p>
          <w:p w14:paraId="377626EC"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iCs/>
                <w:kern w:val="0"/>
                <w14:ligatures w14:val="none"/>
              </w:rPr>
              <w:t>- Entrega trabajo final (sesión 15).</w:t>
            </w:r>
          </w:p>
        </w:tc>
        <w:tc>
          <w:tcPr>
            <w:tcW w:w="1291" w:type="dxa"/>
            <w:vAlign w:val="center"/>
          </w:tcPr>
          <w:p w14:paraId="4AC00114"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r w:rsidRPr="00B977B2">
              <w:rPr>
                <w:rFonts w:ascii="Calibri" w:eastAsia="Times New Roman" w:hAnsi="Calibri" w:cs="Calibri"/>
                <w:bCs/>
                <w:kern w:val="0"/>
                <w:lang w:val="es-ES_tradnl" w:eastAsia="es-CR"/>
                <w14:ligatures w14:val="none"/>
              </w:rPr>
              <w:t>20%</w:t>
            </w:r>
          </w:p>
        </w:tc>
      </w:tr>
      <w:tr w:rsidR="00B977B2" w:rsidRPr="00B977B2" w14:paraId="3A2B63B5" w14:textId="77777777" w:rsidTr="00104785">
        <w:trPr>
          <w:trHeight w:val="602"/>
        </w:trPr>
        <w:tc>
          <w:tcPr>
            <w:tcW w:w="7776" w:type="dxa"/>
          </w:tcPr>
          <w:p w14:paraId="79E2A2D9"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b/>
                <w:bCs/>
                <w:i/>
                <w:kern w:val="0"/>
                <w14:ligatures w14:val="none"/>
              </w:rPr>
              <w:t>Presentación oral trabajo final</w:t>
            </w:r>
          </w:p>
          <w:p w14:paraId="068E634F" w14:textId="77777777" w:rsidR="00B977B2" w:rsidRPr="00B977B2" w:rsidRDefault="00B977B2" w:rsidP="00B977B2">
            <w:pPr>
              <w:autoSpaceDE w:val="0"/>
              <w:autoSpaceDN w:val="0"/>
              <w:adjustRightInd w:val="0"/>
              <w:spacing w:after="0" w:line="240" w:lineRule="auto"/>
              <w:contextualSpacing/>
              <w:jc w:val="both"/>
              <w:rPr>
                <w:rFonts w:ascii="Calibri" w:eastAsia="Calibri" w:hAnsi="Calibri" w:cs="Calibri"/>
                <w:b/>
                <w:bCs/>
                <w:i/>
                <w:kern w:val="0"/>
                <w14:ligatures w14:val="none"/>
              </w:rPr>
            </w:pPr>
            <w:r w:rsidRPr="00B977B2">
              <w:rPr>
                <w:rFonts w:ascii="Calibri" w:eastAsia="Calibri" w:hAnsi="Calibri" w:cs="Calibri"/>
                <w:iCs/>
                <w:kern w:val="0"/>
                <w14:ligatures w14:val="none"/>
              </w:rPr>
              <w:t>Se lleva a cabo en las sesiones 14 y 15 según asignación docente.</w:t>
            </w:r>
          </w:p>
        </w:tc>
        <w:tc>
          <w:tcPr>
            <w:tcW w:w="1291" w:type="dxa"/>
            <w:vAlign w:val="center"/>
          </w:tcPr>
          <w:p w14:paraId="1F848692"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Cs/>
                <w:kern w:val="0"/>
                <w:lang w:val="es-ES_tradnl" w:eastAsia="es-CR"/>
                <w14:ligatures w14:val="none"/>
              </w:rPr>
            </w:pPr>
            <w:r w:rsidRPr="00B977B2">
              <w:rPr>
                <w:rFonts w:ascii="Calibri" w:eastAsia="Times New Roman" w:hAnsi="Calibri" w:cs="Calibri"/>
                <w:bCs/>
                <w:kern w:val="0"/>
                <w:lang w:val="es-ES_tradnl" w:eastAsia="es-CR"/>
                <w14:ligatures w14:val="none"/>
              </w:rPr>
              <w:t>5%</w:t>
            </w:r>
          </w:p>
        </w:tc>
      </w:tr>
      <w:tr w:rsidR="00B977B2" w:rsidRPr="00B977B2" w14:paraId="7CD77200" w14:textId="77777777" w:rsidTr="00104785">
        <w:trPr>
          <w:trHeight w:val="317"/>
        </w:trPr>
        <w:tc>
          <w:tcPr>
            <w:tcW w:w="7776" w:type="dxa"/>
            <w:vAlign w:val="center"/>
          </w:tcPr>
          <w:p w14:paraId="2D9CFA56" w14:textId="77777777" w:rsidR="00B977B2" w:rsidRPr="00B977B2" w:rsidRDefault="00B977B2" w:rsidP="00B977B2">
            <w:pPr>
              <w:autoSpaceDE w:val="0"/>
              <w:autoSpaceDN w:val="0"/>
              <w:adjustRightInd w:val="0"/>
              <w:spacing w:after="0" w:line="240" w:lineRule="auto"/>
              <w:contextualSpacing/>
              <w:rPr>
                <w:rFonts w:ascii="Calibri" w:eastAsia="Calibri" w:hAnsi="Calibri" w:cs="Calibri"/>
                <w:b/>
                <w:bCs/>
                <w:iCs/>
                <w:kern w:val="0"/>
                <w14:ligatures w14:val="none"/>
              </w:rPr>
            </w:pPr>
            <w:r w:rsidRPr="00B977B2">
              <w:rPr>
                <w:rFonts w:ascii="Calibri" w:eastAsia="Calibri" w:hAnsi="Calibri" w:cs="Calibri"/>
                <w:b/>
                <w:bCs/>
                <w:iCs/>
                <w:kern w:val="0"/>
                <w14:ligatures w14:val="none"/>
              </w:rPr>
              <w:t>Total</w:t>
            </w:r>
          </w:p>
        </w:tc>
        <w:tc>
          <w:tcPr>
            <w:tcW w:w="1291" w:type="dxa"/>
            <w:vAlign w:val="center"/>
          </w:tcPr>
          <w:p w14:paraId="7A3C7813"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kern w:val="0"/>
                <w:lang w:val="es-ES_tradnl" w:eastAsia="es-CR"/>
                <w14:ligatures w14:val="none"/>
              </w:rPr>
            </w:pPr>
            <w:r w:rsidRPr="00B977B2">
              <w:rPr>
                <w:rFonts w:ascii="Calibri" w:eastAsia="Times New Roman" w:hAnsi="Calibri" w:cs="Calibri"/>
                <w:b/>
                <w:kern w:val="0"/>
                <w:lang w:val="es-ES_tradnl" w:eastAsia="es-CR"/>
                <w14:ligatures w14:val="none"/>
              </w:rPr>
              <w:t>100%</w:t>
            </w:r>
          </w:p>
        </w:tc>
      </w:tr>
    </w:tbl>
    <w:p w14:paraId="703D6900"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p>
    <w:p w14:paraId="7EF220B4"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p>
    <w:p w14:paraId="29DD9566"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34B93535"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403B1336"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355CDA1B"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46280F55"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p>
    <w:p w14:paraId="09E0FB56"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sectPr w:rsidR="00B977B2" w:rsidRPr="00B977B2" w:rsidSect="00B977B2">
          <w:headerReference w:type="default" r:id="rId466"/>
          <w:pgSz w:w="12240" w:h="15840"/>
          <w:pgMar w:top="1417" w:right="1701" w:bottom="1417" w:left="1701" w:header="708" w:footer="708" w:gutter="0"/>
          <w:pgNumType w:start="406"/>
          <w:cols w:space="708"/>
          <w:docGrid w:linePitch="360"/>
        </w:sectPr>
      </w:pPr>
    </w:p>
    <w:p w14:paraId="1716C259"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B977B2">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804096" behindDoc="0" locked="0" layoutInCell="1" allowOverlap="1" wp14:anchorId="28079F48" wp14:editId="47766100">
                <wp:simplePos x="0" y="0"/>
                <wp:positionH relativeFrom="margin">
                  <wp:align>center</wp:align>
                </wp:positionH>
                <wp:positionV relativeFrom="paragraph">
                  <wp:posOffset>-306387</wp:posOffset>
                </wp:positionV>
                <wp:extent cx="7879080" cy="400050"/>
                <wp:effectExtent l="0" t="0" r="26670" b="19050"/>
                <wp:wrapNone/>
                <wp:docPr id="10676227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0050"/>
                        </a:xfrm>
                        <a:prstGeom prst="rect">
                          <a:avLst/>
                        </a:prstGeom>
                        <a:solidFill>
                          <a:srgbClr val="FFFFFF"/>
                        </a:solidFill>
                        <a:ln w="9525">
                          <a:solidFill>
                            <a:srgbClr val="000000"/>
                          </a:solidFill>
                          <a:miter lim="800000"/>
                          <a:headEnd/>
                          <a:tailEnd/>
                        </a:ln>
                      </wps:spPr>
                      <wps:txbx>
                        <w:txbxContent>
                          <w:p w14:paraId="0E4B52C5" w14:textId="77777777" w:rsidR="00B977B2" w:rsidRPr="00B977B2" w:rsidRDefault="00B977B2" w:rsidP="00B977B2">
                            <w:pPr>
                              <w:jc w:val="center"/>
                              <w:rPr>
                                <w:rFonts w:cs="Calibri"/>
                                <w:b/>
                                <w:szCs w:val="24"/>
                              </w:rPr>
                            </w:pPr>
                            <w:r w:rsidRPr="00B977B2">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79F48" id="_x0000_s1225" type="#_x0000_t202" style="position:absolute;left:0;text-align:left;margin-left:0;margin-top:-24.1pt;width:620.4pt;height:31.5pt;z-index:2528040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">
                <v:textbox>
                  <w:txbxContent>
                    <w:p w14:paraId="0E4B52C5" w14:textId="77777777" w:rsidR="00B977B2" w:rsidRPr="00B977B2" w:rsidRDefault="00B977B2" w:rsidP="00B977B2">
                      <w:pPr>
                        <w:jc w:val="center"/>
                        <w:rPr>
                          <w:rFonts w:cs="Calibri"/>
                          <w:b/>
                          <w:szCs w:val="24"/>
                        </w:rPr>
                      </w:pPr>
                      <w:r w:rsidRPr="00B977B2">
                        <w:rPr>
                          <w:rFonts w:cs="Calibri"/>
                          <w:b/>
                          <w:szCs w:val="24"/>
                        </w:rPr>
                        <w:t>RÚBRICA DE EVALUACIÓN – FORO TEMÁTICO</w:t>
                      </w:r>
                    </w:p>
                  </w:txbxContent>
                </v:textbox>
                <w10:wrap anchorx="margin"/>
              </v:shape>
            </w:pict>
          </mc:Fallback>
        </mc:AlternateContent>
      </w:r>
    </w:p>
    <w:p w14:paraId="5F2A9B55"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B977B2">
        <w:rPr>
          <w:rFonts w:ascii="Calibri" w:eastAsia="Times New Roman" w:hAnsi="Calibri" w:cs="Calibri"/>
          <w:color w:val="0070C0"/>
          <w:kern w:val="0"/>
          <w:lang w:val="es-ES_tradnl" w:eastAsia="es-CR"/>
          <w14:ligatures w14:val="none"/>
        </w:rPr>
        <w:t>Los foros son estrategias para fomentar el diálogo y la socialización de aportes y conocimientos de manera asincrónica. Se desarrollan en las sesiones 2, 4, 6, 8, 11 y 13. Cada foro tiene un valor de 5%.</w:t>
      </w:r>
    </w:p>
    <w:p w14:paraId="00960544"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B977B2">
        <w:rPr>
          <w:rFonts w:ascii="Calibri" w:eastAsia="Times New Roman" w:hAnsi="Calibri" w:cs="Calibri"/>
          <w:noProof/>
          <w:kern w:val="0"/>
          <w:lang w:val="es-ES_tradnl" w:eastAsia="es-CR"/>
          <w14:ligatures w14:val="none"/>
        </w:rPr>
        <w:drawing>
          <wp:anchor distT="0" distB="0" distL="114300" distR="114300" simplePos="0" relativeHeight="252805120" behindDoc="0" locked="0" layoutInCell="1" allowOverlap="1" wp14:anchorId="237420A8" wp14:editId="391596D6">
            <wp:simplePos x="0" y="0"/>
            <wp:positionH relativeFrom="margin">
              <wp:align>center</wp:align>
            </wp:positionH>
            <wp:positionV relativeFrom="paragraph">
              <wp:posOffset>245110</wp:posOffset>
            </wp:positionV>
            <wp:extent cx="8096250" cy="5863034"/>
            <wp:effectExtent l="0" t="0" r="0" b="4445"/>
            <wp:wrapNone/>
            <wp:docPr id="190754773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47739" name="Imagen 1" descr="Tabla&#10;&#10;Descripción generada automáticamente"/>
                    <pic:cNvPicPr/>
                  </pic:nvPicPr>
                  <pic:blipFill>
                    <a:blip r:embed="rId467">
                      <a:extLst>
                        <a:ext uri="{28A0092B-C50C-407E-A947-70E740481C1C}">
                          <a14:useLocalDpi xmlns:a14="http://schemas.microsoft.com/office/drawing/2010/main" val="0"/>
                        </a:ext>
                      </a:extLst>
                    </a:blip>
                    <a:stretch>
                      <a:fillRect/>
                    </a:stretch>
                  </pic:blipFill>
                  <pic:spPr>
                    <a:xfrm>
                      <a:off x="0" y="0"/>
                      <a:ext cx="8096250" cy="5863034"/>
                    </a:xfrm>
                    <a:prstGeom prst="rect">
                      <a:avLst/>
                    </a:prstGeom>
                  </pic:spPr>
                </pic:pic>
              </a:graphicData>
            </a:graphic>
            <wp14:sizeRelH relativeFrom="margin">
              <wp14:pctWidth>0</wp14:pctWidth>
            </wp14:sizeRelH>
            <wp14:sizeRelV relativeFrom="margin">
              <wp14:pctHeight>0</wp14:pctHeight>
            </wp14:sizeRelV>
          </wp:anchor>
        </w:drawing>
      </w:r>
    </w:p>
    <w:p w14:paraId="1654BF13"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977B2">
        <w:rPr>
          <w:rFonts w:ascii="Calibri" w:eastAsia="Times New Roman" w:hAnsi="Calibri" w:cs="Calibri"/>
          <w:b/>
          <w:bCs/>
          <w:kern w:val="0"/>
          <w:lang w:val="es-ES_tradnl" w:eastAsia="es-CR"/>
          <w14:ligatures w14:val="none"/>
        </w:rPr>
        <w:br w:type="page"/>
      </w:r>
    </w:p>
    <w:p w14:paraId="4C32E650"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B977B2">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806144" behindDoc="0" locked="0" layoutInCell="1" allowOverlap="1" wp14:anchorId="0C48665D" wp14:editId="7A98722A">
                <wp:simplePos x="0" y="0"/>
                <wp:positionH relativeFrom="margin">
                  <wp:align>center</wp:align>
                </wp:positionH>
                <wp:positionV relativeFrom="paragraph">
                  <wp:posOffset>-231313</wp:posOffset>
                </wp:positionV>
                <wp:extent cx="7025640" cy="452437"/>
                <wp:effectExtent l="0" t="0" r="22860" b="24130"/>
                <wp:wrapNone/>
                <wp:docPr id="975239357" name="Cuadro de texto 975239357"/>
                <wp:cNvGraphicFramePr/>
                <a:graphic xmlns:a="http://schemas.openxmlformats.org/drawingml/2006/main">
                  <a:graphicData uri="http://schemas.microsoft.com/office/word/2010/wordprocessingShape">
                    <wps:wsp>
                      <wps:cNvSpPr txBox="1"/>
                      <wps:spPr>
                        <a:xfrm>
                          <a:off x="0" y="0"/>
                          <a:ext cx="7025640" cy="452437"/>
                        </a:xfrm>
                        <a:prstGeom prst="rect">
                          <a:avLst/>
                        </a:prstGeom>
                        <a:solidFill>
                          <a:sysClr val="window" lastClr="FFFFFF"/>
                        </a:solidFill>
                        <a:ln w="6350">
                          <a:solidFill>
                            <a:prstClr val="black"/>
                          </a:solidFill>
                        </a:ln>
                      </wps:spPr>
                      <wps:txbx>
                        <w:txbxContent>
                          <w:p w14:paraId="7AB3012A" w14:textId="77777777" w:rsidR="00B977B2" w:rsidRPr="00B977B2" w:rsidRDefault="00B977B2" w:rsidP="00B977B2">
                            <w:pPr>
                              <w:jc w:val="center"/>
                              <w:rPr>
                                <w:rFonts w:cs="Calibri"/>
                                <w:b/>
                              </w:rPr>
                            </w:pPr>
                            <w:r w:rsidRPr="00B977B2">
                              <w:rPr>
                                <w:rFonts w:cs="Calibri"/>
                                <w:b/>
                              </w:rPr>
                              <w:t>RÚBRICA DE EVALUACIÓN –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8665D" id="Cuadro de texto 975239357" o:spid="_x0000_s1226" type="#_x0000_t202" style="position:absolute;left:0;text-align:left;margin-left:0;margin-top:-18.2pt;width:553.2pt;height:35.6pt;z-index:252806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" fillcolor="window" strokeweight=".5pt">
                <v:textbox>
                  <w:txbxContent>
                    <w:p w14:paraId="7AB3012A" w14:textId="77777777" w:rsidR="00B977B2" w:rsidRPr="00B977B2" w:rsidRDefault="00B977B2" w:rsidP="00B977B2">
                      <w:pPr>
                        <w:jc w:val="center"/>
                        <w:rPr>
                          <w:rFonts w:cs="Calibri"/>
                          <w:b/>
                        </w:rPr>
                      </w:pPr>
                      <w:r w:rsidRPr="00B977B2">
                        <w:rPr>
                          <w:rFonts w:cs="Calibri"/>
                          <w:b/>
                        </w:rPr>
                        <w:t>RÚBRICA DE EVALUACIÓN – WIKI</w:t>
                      </w:r>
                    </w:p>
                  </w:txbxContent>
                </v:textbox>
                <w10:wrap anchorx="margin"/>
              </v:shape>
            </w:pict>
          </mc:Fallback>
        </mc:AlternateContent>
      </w:r>
    </w:p>
    <w:p w14:paraId="57BA690F"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B977B2">
        <w:rPr>
          <w:rFonts w:ascii="Calibri" w:eastAsia="Times New Roman" w:hAnsi="Calibri" w:cs="Calibri"/>
          <w:color w:val="0070C0"/>
          <w:kern w:val="0"/>
          <w:lang w:val="es-ES_tradnl" w:eastAsia="es-CR"/>
          <w14:ligatures w14:val="none"/>
        </w:rPr>
        <w:t>La herramienta del wiki permite desarrollar un trabajo colaborativo de construcción de un texto, análisis o insumos de otra naturaleza, según la indicación docente y la naturaleza del curso. Se desarrollan en las sesiones 3 y 10. Cada wiki tiene un valor de 7,5%.</w:t>
      </w:r>
    </w:p>
    <w:p w14:paraId="255D4C74"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p>
    <w:p w14:paraId="074AB61E"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B977B2">
        <w:rPr>
          <w:rFonts w:ascii="Calibri" w:eastAsia="Times New Roman" w:hAnsi="Calibri" w:cs="Calibri"/>
          <w:noProof/>
          <w:kern w:val="0"/>
          <w:lang w:val="es-ES_tradnl" w:eastAsia="es-CR"/>
          <w14:ligatures w14:val="none"/>
        </w:rPr>
        <w:drawing>
          <wp:anchor distT="0" distB="0" distL="114300" distR="114300" simplePos="0" relativeHeight="252807168" behindDoc="0" locked="0" layoutInCell="1" allowOverlap="1" wp14:anchorId="19F9AA91" wp14:editId="1A113ACB">
            <wp:simplePos x="0" y="0"/>
            <wp:positionH relativeFrom="column">
              <wp:posOffset>0</wp:posOffset>
            </wp:positionH>
            <wp:positionV relativeFrom="paragraph">
              <wp:posOffset>78423</wp:posOffset>
            </wp:positionV>
            <wp:extent cx="9144000" cy="4636135"/>
            <wp:effectExtent l="0" t="0" r="0" b="0"/>
            <wp:wrapNone/>
            <wp:docPr id="484681154"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81154" name="Imagen 2" descr="Tabla&#10;&#10;Descripción generada automáticamente"/>
                    <pic:cNvPicPr/>
                  </pic:nvPicPr>
                  <pic:blipFill>
                    <a:blip r:embed="rId468">
                      <a:extLst>
                        <a:ext uri="{28A0092B-C50C-407E-A947-70E740481C1C}">
                          <a14:useLocalDpi xmlns:a14="http://schemas.microsoft.com/office/drawing/2010/main" val="0"/>
                        </a:ext>
                      </a:extLst>
                    </a:blip>
                    <a:stretch>
                      <a:fillRect/>
                    </a:stretch>
                  </pic:blipFill>
                  <pic:spPr>
                    <a:xfrm>
                      <a:off x="0" y="0"/>
                      <a:ext cx="9144000" cy="4636135"/>
                    </a:xfrm>
                    <a:prstGeom prst="rect">
                      <a:avLst/>
                    </a:prstGeom>
                  </pic:spPr>
                </pic:pic>
              </a:graphicData>
            </a:graphic>
          </wp:anchor>
        </w:drawing>
      </w:r>
    </w:p>
    <w:p w14:paraId="5839444F"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p>
    <w:p w14:paraId="27FE795F"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p>
    <w:p w14:paraId="6882EFDA"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B977B2">
        <w:rPr>
          <w:rFonts w:ascii="Calibri" w:eastAsia="Times New Roman" w:hAnsi="Calibri" w:cs="Calibri"/>
          <w:b/>
          <w:bCs/>
          <w:kern w:val="0"/>
          <w:lang w:val="es-ES_tradnl" w:eastAsia="es-CR"/>
          <w14:ligatures w14:val="none"/>
        </w:rPr>
        <w:br w:type="page"/>
      </w:r>
    </w:p>
    <w:p w14:paraId="02385CD5"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B977B2">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08192" behindDoc="0" locked="0" layoutInCell="1" allowOverlap="1" wp14:anchorId="2209477A" wp14:editId="5907E2F8">
                <wp:simplePos x="0" y="0"/>
                <wp:positionH relativeFrom="margin">
                  <wp:align>center</wp:align>
                </wp:positionH>
                <wp:positionV relativeFrom="paragraph">
                  <wp:posOffset>-328295</wp:posOffset>
                </wp:positionV>
                <wp:extent cx="6606540" cy="411480"/>
                <wp:effectExtent l="0" t="0" r="22860" b="26670"/>
                <wp:wrapNone/>
                <wp:docPr id="1520062632" name="Cuadro de texto 1520062632"/>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040B1E7" w14:textId="77777777" w:rsidR="00B977B2" w:rsidRPr="00B977B2" w:rsidRDefault="00B977B2" w:rsidP="00B977B2">
                            <w:pPr>
                              <w:jc w:val="center"/>
                              <w:rPr>
                                <w:rFonts w:cs="Calibri"/>
                                <w:bCs/>
                              </w:rPr>
                            </w:pPr>
                            <w:r w:rsidRPr="00B977B2">
                              <w:rPr>
                                <w:rFonts w:cs="Calibri"/>
                                <w:b/>
                              </w:rPr>
                              <w:t>ESCALA DE EVALUACIÓN – ANÁLISIS DE TEXTOS BÍBLICOS</w:t>
                            </w:r>
                          </w:p>
                          <w:p w14:paraId="0CF5B853" w14:textId="77777777" w:rsidR="00B977B2" w:rsidRPr="00B977B2" w:rsidRDefault="00B977B2" w:rsidP="00B977B2">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9477A" id="Cuadro de texto 1520062632" o:spid="_x0000_s1227" type="#_x0000_t202" style="position:absolute;left:0;text-align:left;margin-left:0;margin-top:-25.85pt;width:520.2pt;height:32.4pt;z-index:252808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" fillcolor="window" strokeweight=".5pt">
                <v:textbox>
                  <w:txbxContent>
                    <w:p w14:paraId="4040B1E7" w14:textId="77777777" w:rsidR="00B977B2" w:rsidRPr="00B977B2" w:rsidRDefault="00B977B2" w:rsidP="00B977B2">
                      <w:pPr>
                        <w:jc w:val="center"/>
                        <w:rPr>
                          <w:rFonts w:cs="Calibri"/>
                          <w:bCs/>
                        </w:rPr>
                      </w:pPr>
                      <w:r w:rsidRPr="00B977B2">
                        <w:rPr>
                          <w:rFonts w:cs="Calibri"/>
                          <w:b/>
                        </w:rPr>
                        <w:t>ESCALA DE EVALUACIÓN – ANÁLISIS DE TEXTOS BÍBLICOS</w:t>
                      </w:r>
                    </w:p>
                    <w:p w14:paraId="0CF5B853" w14:textId="77777777" w:rsidR="00B977B2" w:rsidRPr="00B977B2" w:rsidRDefault="00B977B2" w:rsidP="00B977B2">
                      <w:pPr>
                        <w:jc w:val="center"/>
                        <w:rPr>
                          <w:rFonts w:cs="Calibri"/>
                        </w:rPr>
                      </w:pPr>
                    </w:p>
                  </w:txbxContent>
                </v:textbox>
                <w10:wrap anchorx="margin"/>
              </v:shape>
            </w:pict>
          </mc:Fallback>
        </mc:AlternateContent>
      </w:r>
    </w:p>
    <w:p w14:paraId="474E1AAA"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B977B2">
        <w:rPr>
          <w:rFonts w:ascii="Calibri" w:eastAsia="Times New Roman" w:hAnsi="Calibri" w:cs="Calibri"/>
          <w:color w:val="0070C0"/>
          <w:kern w:val="0"/>
          <w:lang w:val="es-ES_tradnl" w:eastAsia="es-CR"/>
          <w14:ligatures w14:val="none"/>
        </w:rPr>
        <w:t>Además de los análisis que se realizarán en los encuentros sincrónicos con la persona docente y demás personas del curso y en algunos de los foros, se desarrollarán tres trabajos individuales de análisis de textos bíblicos. Se distribuyen de la siguiente forma y cada uno tiene un valor de 10%: análisis narrativo (sesiones 7 y 8), análisis sociológico (sesión 9) y ejercicio de hermenéutica feminista (sesión 12).</w:t>
      </w:r>
    </w:p>
    <w:p w14:paraId="1A61C9F3"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p>
    <w:p w14:paraId="348D1FC2"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B977B2">
        <w:rPr>
          <w:rFonts w:ascii="Calibri" w:eastAsia="Times New Roman" w:hAnsi="Calibri" w:cs="Calibri"/>
          <w:noProof/>
          <w:kern w:val="0"/>
          <w:lang w:val="es-ES_tradnl" w:eastAsia="es-CR"/>
          <w14:ligatures w14:val="none"/>
        </w:rPr>
        <w:drawing>
          <wp:anchor distT="0" distB="0" distL="114300" distR="114300" simplePos="0" relativeHeight="252809216" behindDoc="0" locked="0" layoutInCell="1" allowOverlap="1" wp14:anchorId="1E9B2128" wp14:editId="4053C5EF">
            <wp:simplePos x="0" y="0"/>
            <wp:positionH relativeFrom="column">
              <wp:posOffset>514350</wp:posOffset>
            </wp:positionH>
            <wp:positionV relativeFrom="paragraph">
              <wp:posOffset>74295</wp:posOffset>
            </wp:positionV>
            <wp:extent cx="8113776" cy="4230624"/>
            <wp:effectExtent l="0" t="0" r="1905" b="0"/>
            <wp:wrapNone/>
            <wp:docPr id="237865994" name="Imagen 3"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865994" name="Imagen 3" descr="Interfaz de usuario gráfica, Tabla&#10;&#10;Descripción generada automáticamente"/>
                    <pic:cNvPicPr/>
                  </pic:nvPicPr>
                  <pic:blipFill>
                    <a:blip r:embed="rId469">
                      <a:extLst>
                        <a:ext uri="{28A0092B-C50C-407E-A947-70E740481C1C}">
                          <a14:useLocalDpi xmlns:a14="http://schemas.microsoft.com/office/drawing/2010/main" val="0"/>
                        </a:ext>
                      </a:extLst>
                    </a:blip>
                    <a:stretch>
                      <a:fillRect/>
                    </a:stretch>
                  </pic:blipFill>
                  <pic:spPr>
                    <a:xfrm>
                      <a:off x="0" y="0"/>
                      <a:ext cx="8113776" cy="4230624"/>
                    </a:xfrm>
                    <a:prstGeom prst="rect">
                      <a:avLst/>
                    </a:prstGeom>
                  </pic:spPr>
                </pic:pic>
              </a:graphicData>
            </a:graphic>
          </wp:anchor>
        </w:drawing>
      </w:r>
    </w:p>
    <w:p w14:paraId="25081CF6"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p>
    <w:p w14:paraId="434BC7C8"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B977B2">
        <w:rPr>
          <w:rFonts w:ascii="Calibri" w:eastAsia="Times New Roman" w:hAnsi="Calibri" w:cs="Calibri"/>
          <w:b/>
          <w:bCs/>
          <w:kern w:val="0"/>
          <w:lang w:val="es-ES_tradnl" w:eastAsia="es-CR"/>
          <w14:ligatures w14:val="none"/>
        </w:rPr>
        <w:br w:type="page"/>
      </w:r>
    </w:p>
    <w:p w14:paraId="4D3C2942"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B977B2">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10240" behindDoc="0" locked="0" layoutInCell="1" allowOverlap="1" wp14:anchorId="68DD49D3" wp14:editId="0C6601FE">
                <wp:simplePos x="0" y="0"/>
                <wp:positionH relativeFrom="margin">
                  <wp:align>center</wp:align>
                </wp:positionH>
                <wp:positionV relativeFrom="paragraph">
                  <wp:posOffset>-361315</wp:posOffset>
                </wp:positionV>
                <wp:extent cx="6606540" cy="411480"/>
                <wp:effectExtent l="0" t="0" r="22860" b="26670"/>
                <wp:wrapNone/>
                <wp:docPr id="1650710508" name="Cuadro de texto 165071050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9ACED9E" w14:textId="77777777" w:rsidR="00B977B2" w:rsidRPr="00B977B2" w:rsidRDefault="00B977B2" w:rsidP="00B977B2">
                            <w:pPr>
                              <w:jc w:val="center"/>
                              <w:rPr>
                                <w:rFonts w:cs="Calibri"/>
                                <w:bCs/>
                              </w:rPr>
                            </w:pPr>
                            <w:r w:rsidRPr="00B977B2">
                              <w:rPr>
                                <w:rFonts w:cs="Calibri"/>
                                <w:b/>
                              </w:rPr>
                              <w:t>ESCALA DE EVALUACIÓN – TRABAJO FINAL</w:t>
                            </w:r>
                          </w:p>
                          <w:p w14:paraId="0A249959" w14:textId="77777777" w:rsidR="00B977B2" w:rsidRPr="00B977B2" w:rsidRDefault="00B977B2" w:rsidP="00B977B2">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D49D3" id="Cuadro de texto 1650710508" o:spid="_x0000_s1228" type="#_x0000_t202" style="position:absolute;left:0;text-align:left;margin-left:0;margin-top:-28.45pt;width:520.2pt;height:32.4pt;z-index:252810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" fillcolor="window" strokeweight=".5pt">
                <v:textbox>
                  <w:txbxContent>
                    <w:p w14:paraId="49ACED9E" w14:textId="77777777" w:rsidR="00B977B2" w:rsidRPr="00B977B2" w:rsidRDefault="00B977B2" w:rsidP="00B977B2">
                      <w:pPr>
                        <w:jc w:val="center"/>
                        <w:rPr>
                          <w:rFonts w:cs="Calibri"/>
                          <w:bCs/>
                        </w:rPr>
                      </w:pPr>
                      <w:r w:rsidRPr="00B977B2">
                        <w:rPr>
                          <w:rFonts w:cs="Calibri"/>
                          <w:b/>
                        </w:rPr>
                        <w:t>ESCALA DE EVALUACIÓN – TRABAJO FINAL</w:t>
                      </w:r>
                    </w:p>
                    <w:p w14:paraId="0A249959" w14:textId="77777777" w:rsidR="00B977B2" w:rsidRPr="00B977B2" w:rsidRDefault="00B977B2" w:rsidP="00B977B2">
                      <w:pPr>
                        <w:jc w:val="center"/>
                        <w:rPr>
                          <w:rFonts w:cs="Calibri"/>
                        </w:rPr>
                      </w:pPr>
                    </w:p>
                  </w:txbxContent>
                </v:textbox>
                <w10:wrap anchorx="margin"/>
              </v:shape>
            </w:pict>
          </mc:Fallback>
        </mc:AlternateContent>
      </w:r>
    </w:p>
    <w:p w14:paraId="1807AE82"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B977B2">
        <w:rPr>
          <w:rFonts w:ascii="Calibri" w:eastAsia="Times New Roman" w:hAnsi="Calibri" w:cs="Calibri"/>
          <w:color w:val="0070C0"/>
          <w:kern w:val="0"/>
          <w:lang w:val="es-ES_tradnl" w:eastAsia="es-CR"/>
          <w14:ligatures w14:val="none"/>
        </w:rPr>
        <w:t>El trabajo final es un trabajo grupal de análisis de un texto bíblico elegido entre los que asigne la persona docente. Se desarrollarán los métodos abordados en el curso, tomando en cuenta la retroalimentación recibida para los análisis entregados en sesiones anteriores. Se elabora desde la sesión 10 hasta la 15 de la siguiente forma: borrador (sesión 13), correcciones a partir de la retroalimentación docente (sesión 14) y entrega trabajo final (sesión 15). Tiene un valor de 20%.</w:t>
      </w:r>
    </w:p>
    <w:p w14:paraId="79BE696B" w14:textId="22EFA975" w:rsidR="00B977B2" w:rsidRPr="00B977B2" w:rsidRDefault="003F255B" w:rsidP="00B977B2">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B977B2">
        <w:rPr>
          <w:rFonts w:ascii="Calibri" w:eastAsia="Times New Roman" w:hAnsi="Calibri" w:cs="Calibri"/>
          <w:noProof/>
          <w:kern w:val="0"/>
          <w:lang w:val="es-ES_tradnl" w:eastAsia="es-CR"/>
          <w14:ligatures w14:val="none"/>
        </w:rPr>
        <w:drawing>
          <wp:anchor distT="0" distB="0" distL="114300" distR="114300" simplePos="0" relativeHeight="252811264" behindDoc="0" locked="0" layoutInCell="1" allowOverlap="1" wp14:anchorId="406714B0" wp14:editId="5F44A240">
            <wp:simplePos x="0" y="0"/>
            <wp:positionH relativeFrom="margin">
              <wp:align>center</wp:align>
            </wp:positionH>
            <wp:positionV relativeFrom="paragraph">
              <wp:posOffset>141836</wp:posOffset>
            </wp:positionV>
            <wp:extent cx="8107680" cy="4907280"/>
            <wp:effectExtent l="0" t="0" r="7620" b="7620"/>
            <wp:wrapNone/>
            <wp:docPr id="72254201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42014" name="Imagen 4" descr="Tabla&#10;&#10;Descripción generada automáticamente"/>
                    <pic:cNvPicPr/>
                  </pic:nvPicPr>
                  <pic:blipFill>
                    <a:blip r:embed="rId470">
                      <a:extLst>
                        <a:ext uri="{28A0092B-C50C-407E-A947-70E740481C1C}">
                          <a14:useLocalDpi xmlns:a14="http://schemas.microsoft.com/office/drawing/2010/main" val="0"/>
                        </a:ext>
                      </a:extLst>
                    </a:blip>
                    <a:stretch>
                      <a:fillRect/>
                    </a:stretch>
                  </pic:blipFill>
                  <pic:spPr>
                    <a:xfrm>
                      <a:off x="0" y="0"/>
                      <a:ext cx="8107680" cy="4907280"/>
                    </a:xfrm>
                    <a:prstGeom prst="rect">
                      <a:avLst/>
                    </a:prstGeom>
                  </pic:spPr>
                </pic:pic>
              </a:graphicData>
            </a:graphic>
          </wp:anchor>
        </w:drawing>
      </w:r>
    </w:p>
    <w:p w14:paraId="18DF36EB" w14:textId="07ECCFE1"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p>
    <w:p w14:paraId="464A9163"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p>
    <w:p w14:paraId="35B86FC3"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B977B2">
        <w:rPr>
          <w:rFonts w:ascii="Calibri" w:eastAsia="Times New Roman" w:hAnsi="Calibri" w:cs="Calibri"/>
          <w:b/>
          <w:bCs/>
          <w:kern w:val="0"/>
          <w:lang w:val="es-ES_tradnl" w:eastAsia="es-CR"/>
          <w14:ligatures w14:val="none"/>
        </w:rPr>
        <w:br w:type="page"/>
      </w:r>
    </w:p>
    <w:p w14:paraId="7FA45BC9"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pPr>
      <w:r w:rsidRPr="00B977B2">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12288" behindDoc="0" locked="0" layoutInCell="1" allowOverlap="1" wp14:anchorId="5EF26B3A" wp14:editId="15086EB5">
                <wp:simplePos x="0" y="0"/>
                <wp:positionH relativeFrom="margin">
                  <wp:align>center</wp:align>
                </wp:positionH>
                <wp:positionV relativeFrom="paragraph">
                  <wp:posOffset>-354647</wp:posOffset>
                </wp:positionV>
                <wp:extent cx="6606540" cy="411480"/>
                <wp:effectExtent l="0" t="0" r="22860" b="26670"/>
                <wp:wrapNone/>
                <wp:docPr id="1371688607" name="Cuadro de texto 137168860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391BA1BB" w14:textId="77777777" w:rsidR="00B977B2" w:rsidRPr="00B977B2" w:rsidRDefault="00B977B2" w:rsidP="00B977B2">
                            <w:pPr>
                              <w:jc w:val="center"/>
                              <w:rPr>
                                <w:rFonts w:cs="Calibri"/>
                                <w:bCs/>
                              </w:rPr>
                            </w:pPr>
                            <w:r w:rsidRPr="00B977B2">
                              <w:rPr>
                                <w:rFonts w:cs="Calibri"/>
                                <w:b/>
                              </w:rPr>
                              <w:t>ESCALA DE EVALUACIÓN – PRESENTACIÓN DEL TRABAJO FINAL</w:t>
                            </w:r>
                          </w:p>
                          <w:p w14:paraId="741857D3" w14:textId="77777777" w:rsidR="00B977B2" w:rsidRPr="00B977B2" w:rsidRDefault="00B977B2" w:rsidP="00B977B2">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26B3A" id="Cuadro de texto 1371688607" o:spid="_x0000_s1229" type="#_x0000_t202" style="position:absolute;left:0;text-align:left;margin-left:0;margin-top:-27.9pt;width:520.2pt;height:32.4pt;z-index:252812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" fillcolor="window" strokeweight=".5pt">
                <v:textbox>
                  <w:txbxContent>
                    <w:p w14:paraId="391BA1BB" w14:textId="77777777" w:rsidR="00B977B2" w:rsidRPr="00B977B2" w:rsidRDefault="00B977B2" w:rsidP="00B977B2">
                      <w:pPr>
                        <w:jc w:val="center"/>
                        <w:rPr>
                          <w:rFonts w:cs="Calibri"/>
                          <w:bCs/>
                        </w:rPr>
                      </w:pPr>
                      <w:r w:rsidRPr="00B977B2">
                        <w:rPr>
                          <w:rFonts w:cs="Calibri"/>
                          <w:b/>
                        </w:rPr>
                        <w:t>ESCALA DE EVALUACIÓN – PRESENTACIÓN DEL TRABAJO FINAL</w:t>
                      </w:r>
                    </w:p>
                    <w:p w14:paraId="741857D3" w14:textId="77777777" w:rsidR="00B977B2" w:rsidRPr="00B977B2" w:rsidRDefault="00B977B2" w:rsidP="00B977B2">
                      <w:pPr>
                        <w:jc w:val="center"/>
                        <w:rPr>
                          <w:rFonts w:cs="Calibri"/>
                        </w:rPr>
                      </w:pPr>
                    </w:p>
                  </w:txbxContent>
                </v:textbox>
                <w10:wrap anchorx="margin"/>
              </v:shape>
            </w:pict>
          </mc:Fallback>
        </mc:AlternateContent>
      </w:r>
    </w:p>
    <w:p w14:paraId="5F6226F4"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color w:val="0070C0"/>
          <w:kern w:val="0"/>
          <w:lang w:val="es-ES_tradnl" w:eastAsia="es-CR"/>
          <w14:ligatures w14:val="none"/>
        </w:rPr>
      </w:pPr>
      <w:r w:rsidRPr="00B977B2">
        <w:rPr>
          <w:rFonts w:ascii="Calibri" w:eastAsia="Times New Roman" w:hAnsi="Calibri" w:cs="Calibri"/>
          <w:color w:val="0070C0"/>
          <w:kern w:val="0"/>
          <w:lang w:val="es-ES_tradnl" w:eastAsia="es-CR"/>
          <w14:ligatures w14:val="none"/>
        </w:rPr>
        <w:t>Cada grupo escogerá una persona encargada de exponer los resultados del trabajo final de forma oral. Se lleva a cabo en las sesiones 14 y 15 según asignación docente. Tiene un valor de 5%.</w:t>
      </w:r>
    </w:p>
    <w:p w14:paraId="537D3F13" w14:textId="77777777"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p>
    <w:p w14:paraId="06E98CFB" w14:textId="7BAD9B0A" w:rsidR="00B977B2" w:rsidRPr="00B977B2" w:rsidRDefault="003F255B" w:rsidP="00B977B2">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B977B2">
        <w:rPr>
          <w:rFonts w:ascii="Calibri" w:eastAsia="Times New Roman" w:hAnsi="Calibri" w:cs="Calibri"/>
          <w:b/>
          <w:bCs/>
          <w:noProof/>
          <w:kern w:val="0"/>
          <w:lang w:val="es-ES_tradnl" w:eastAsia="es-CR"/>
          <w14:ligatures w14:val="none"/>
        </w:rPr>
        <w:drawing>
          <wp:inline distT="0" distB="0" distL="0" distR="0" wp14:anchorId="4E21C8B1" wp14:editId="011D0419">
            <wp:extent cx="8034528" cy="3980688"/>
            <wp:effectExtent l="0" t="0" r="5080" b="1270"/>
            <wp:docPr id="1472574491" name="Imagen 5"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74491" name="Imagen 5" descr="Interfaz de usuario gráfica, Aplicación, Tabla&#10;&#10;Descripción generada automáticamente"/>
                    <pic:cNvPicPr/>
                  </pic:nvPicPr>
                  <pic:blipFill>
                    <a:blip r:embed="rId471">
                      <a:extLst>
                        <a:ext uri="{28A0092B-C50C-407E-A947-70E740481C1C}">
                          <a14:useLocalDpi xmlns:a14="http://schemas.microsoft.com/office/drawing/2010/main" val="0"/>
                        </a:ext>
                      </a:extLst>
                    </a:blip>
                    <a:stretch>
                      <a:fillRect/>
                    </a:stretch>
                  </pic:blipFill>
                  <pic:spPr>
                    <a:xfrm>
                      <a:off x="0" y="0"/>
                      <a:ext cx="8034528" cy="3980688"/>
                    </a:xfrm>
                    <a:prstGeom prst="rect">
                      <a:avLst/>
                    </a:prstGeom>
                  </pic:spPr>
                </pic:pic>
              </a:graphicData>
            </a:graphic>
          </wp:inline>
        </w:drawing>
      </w:r>
    </w:p>
    <w:p w14:paraId="48D21AD4" w14:textId="10D42423" w:rsidR="00B977B2" w:rsidRPr="00B977B2" w:rsidRDefault="00B977B2" w:rsidP="00B977B2">
      <w:pPr>
        <w:widowControl w:val="0"/>
        <w:overflowPunct w:val="0"/>
        <w:autoSpaceDE w:val="0"/>
        <w:autoSpaceDN w:val="0"/>
        <w:adjustRightInd w:val="0"/>
        <w:spacing w:before="120" w:after="0" w:line="240" w:lineRule="auto"/>
        <w:jc w:val="center"/>
        <w:rPr>
          <w:rFonts w:ascii="Calibri" w:eastAsia="Times New Roman" w:hAnsi="Calibri" w:cs="Calibri"/>
          <w:b/>
          <w:bCs/>
          <w:kern w:val="0"/>
          <w:lang w:val="es-ES_tradnl" w:eastAsia="es-CR"/>
          <w14:ligatures w14:val="none"/>
        </w:rPr>
        <w:sectPr w:rsidR="00B977B2" w:rsidRPr="00B977B2" w:rsidSect="00B977B2">
          <w:pgSz w:w="15840" w:h="12240" w:orient="landscape"/>
          <w:pgMar w:top="720" w:right="720" w:bottom="720" w:left="720" w:header="709" w:footer="709" w:gutter="0"/>
          <w:pgNumType w:start="406"/>
          <w:cols w:space="708"/>
          <w:docGrid w:linePitch="360"/>
        </w:sectPr>
      </w:pPr>
    </w:p>
    <w:p w14:paraId="3F5BFFD9"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977B2">
        <w:rPr>
          <w:rFonts w:ascii="Calibri" w:eastAsia="Times New Roman" w:hAnsi="Calibri" w:cs="Calibri"/>
          <w:b/>
          <w:bCs/>
          <w:kern w:val="0"/>
          <w:lang w:val="es-ES_tradnl" w:eastAsia="es-CR"/>
          <w14:ligatures w14:val="none"/>
        </w:rPr>
        <w:lastRenderedPageBreak/>
        <w:t>XI. Bibliografía obligatoria</w:t>
      </w:r>
    </w:p>
    <w:p w14:paraId="4772F096"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B977B2">
        <w:rPr>
          <w:rFonts w:ascii="Calibri" w:eastAsia="Times New Roman" w:hAnsi="Calibri" w:cs="Arial"/>
          <w:b/>
          <w:color w:val="000000"/>
          <w:kern w:val="0"/>
          <w:lang w:eastAsia="es-CR"/>
          <w14:ligatures w14:val="none"/>
        </w:rPr>
        <w:t>Nota:</w:t>
      </w:r>
      <w:r w:rsidRPr="00B977B2">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B977B2">
        <w:rPr>
          <w:rFonts w:ascii="Calibri" w:eastAsia="Times New Roman" w:hAnsi="Calibri" w:cs="Arial"/>
          <w:bCs/>
          <w:color w:val="000000"/>
          <w:kern w:val="0"/>
          <w:lang w:eastAsia="es-CR"/>
          <w14:ligatures w14:val="none"/>
        </w:rPr>
        <w:t>pdf</w:t>
      </w:r>
      <w:proofErr w:type="spellEnd"/>
      <w:r w:rsidRPr="00B977B2">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1F8492A5" w14:textId="77777777" w:rsidR="00B977B2" w:rsidRPr="00B977B2" w:rsidRDefault="00B977B2" w:rsidP="00B977B2">
      <w:pPr>
        <w:widowControl w:val="0"/>
        <w:overflowPunct w:val="0"/>
        <w:autoSpaceDE w:val="0"/>
        <w:autoSpaceDN w:val="0"/>
        <w:adjustRightInd w:val="0"/>
        <w:spacing w:before="120" w:after="0" w:line="276" w:lineRule="auto"/>
        <w:ind w:left="851" w:hanging="851"/>
        <w:jc w:val="both"/>
        <w:rPr>
          <w:rFonts w:ascii="Calibri" w:eastAsia="Times New Roman" w:hAnsi="Calibri" w:cs="Calibri"/>
          <w:bCs/>
          <w:kern w:val="0"/>
          <w:lang w:val="es-ES_tradnl" w:eastAsia="es-CR"/>
          <w14:ligatures w14:val="none"/>
        </w:rPr>
      </w:pPr>
      <w:r w:rsidRPr="00B977B2">
        <w:rPr>
          <w:rFonts w:ascii="Calibri" w:eastAsia="Times New Roman" w:hAnsi="Calibri" w:cs="Calibri"/>
          <w:bCs/>
          <w:kern w:val="0"/>
          <w:lang w:val="es-ES_tradnl" w:eastAsia="es-CR"/>
          <w14:ligatures w14:val="none"/>
        </w:rPr>
        <w:t xml:space="preserve">Aguirre, Rafael. “Exégesis contextual, ciencias sociales y dimensión teológica”. En </w:t>
      </w:r>
      <w:r w:rsidRPr="00B977B2">
        <w:rPr>
          <w:rFonts w:ascii="Calibri" w:eastAsia="Times New Roman" w:hAnsi="Calibri" w:cs="Calibri"/>
          <w:bCs/>
          <w:i/>
          <w:iCs/>
          <w:kern w:val="0"/>
          <w:lang w:val="es-ES_tradnl" w:eastAsia="es-CR"/>
          <w14:ligatures w14:val="none"/>
        </w:rPr>
        <w:t>El Nuevo Testamento en su contexto: propuestas de lectu</w:t>
      </w:r>
      <w:r w:rsidRPr="00B977B2">
        <w:rPr>
          <w:rFonts w:ascii="Calibri" w:eastAsia="Times New Roman" w:hAnsi="Calibri" w:cs="Calibri"/>
          <w:bCs/>
          <w:kern w:val="0"/>
          <w:lang w:val="es-ES_tradnl" w:eastAsia="es-CR"/>
          <w14:ligatures w14:val="none"/>
        </w:rPr>
        <w:t>r</w:t>
      </w:r>
      <w:r w:rsidRPr="00B977B2">
        <w:rPr>
          <w:rFonts w:ascii="Calibri" w:eastAsia="Times New Roman" w:hAnsi="Calibri" w:cs="Calibri"/>
          <w:bCs/>
          <w:i/>
          <w:iCs/>
          <w:kern w:val="0"/>
          <w:lang w:val="es-ES_tradnl" w:eastAsia="es-CR"/>
          <w14:ligatures w14:val="none"/>
        </w:rPr>
        <w:t>a</w:t>
      </w:r>
      <w:r w:rsidRPr="00B977B2">
        <w:rPr>
          <w:rFonts w:ascii="Calibri" w:eastAsia="Times New Roman" w:hAnsi="Calibri" w:cs="Calibri"/>
          <w:bCs/>
          <w:kern w:val="0"/>
          <w:lang w:val="es-ES_tradnl" w:eastAsia="es-CR"/>
          <w14:ligatures w14:val="none"/>
        </w:rPr>
        <w:t>, editado por Rafael Aguirre, 15-31. Estella: Verbo Divino. 2013. (</w:t>
      </w:r>
      <w:r w:rsidRPr="00B977B2">
        <w:rPr>
          <w:rFonts w:ascii="Calibri" w:eastAsia="Times New Roman" w:hAnsi="Calibri" w:cs="Calibri"/>
          <w:bCs/>
          <w:color w:val="0070C0"/>
          <w:kern w:val="0"/>
          <w:lang w:val="es-ES_tradnl" w:eastAsia="es-CR"/>
          <w14:ligatures w14:val="none"/>
        </w:rPr>
        <w:t xml:space="preserve">clásico, </w:t>
      </w:r>
      <w:r w:rsidRPr="00B977B2">
        <w:rPr>
          <w:rFonts w:ascii="Calibri" w:eastAsia="Times New Roman" w:hAnsi="Calibri" w:cs="Calibri"/>
          <w:bCs/>
          <w:kern w:val="0"/>
          <w:lang w:val="es-ES_tradnl" w:eastAsia="es-CR"/>
          <w14:ligatures w14:val="none"/>
        </w:rPr>
        <w:t>última edición)</w:t>
      </w:r>
    </w:p>
    <w:p w14:paraId="3BFA89DA" w14:textId="77777777" w:rsidR="00B977B2" w:rsidRPr="00B977B2" w:rsidRDefault="00B977B2" w:rsidP="00B977B2">
      <w:pPr>
        <w:widowControl w:val="0"/>
        <w:overflowPunct w:val="0"/>
        <w:autoSpaceDE w:val="0"/>
        <w:autoSpaceDN w:val="0"/>
        <w:adjustRightInd w:val="0"/>
        <w:spacing w:before="120" w:after="0" w:line="276" w:lineRule="auto"/>
        <w:ind w:left="851" w:hanging="851"/>
        <w:jc w:val="both"/>
        <w:rPr>
          <w:rFonts w:ascii="Calibri" w:eastAsia="Times New Roman" w:hAnsi="Calibri" w:cs="Arial"/>
          <w:kern w:val="0"/>
          <w:lang w:val="es-ES" w:eastAsia="es-CR"/>
          <w14:ligatures w14:val="none"/>
        </w:rPr>
      </w:pPr>
      <w:r w:rsidRPr="00B977B2">
        <w:rPr>
          <w:rFonts w:ascii="Calibri" w:eastAsia="Times New Roman" w:hAnsi="Calibri" w:cs="Arial"/>
          <w:kern w:val="0"/>
          <w:lang w:val="es-ES" w:eastAsia="es-CR"/>
          <w14:ligatures w14:val="none"/>
        </w:rPr>
        <w:t xml:space="preserve">Álvarez </w:t>
      </w:r>
      <w:proofErr w:type="spellStart"/>
      <w:r w:rsidRPr="00B977B2">
        <w:rPr>
          <w:rFonts w:ascii="Calibri" w:eastAsia="Times New Roman" w:hAnsi="Calibri" w:cs="Arial"/>
          <w:kern w:val="0"/>
          <w:lang w:val="es-ES" w:eastAsia="es-CR"/>
          <w14:ligatures w14:val="none"/>
        </w:rPr>
        <w:t>Cineira</w:t>
      </w:r>
      <w:proofErr w:type="spellEnd"/>
      <w:r w:rsidRPr="00B977B2">
        <w:rPr>
          <w:rFonts w:ascii="Calibri" w:eastAsia="Times New Roman" w:hAnsi="Calibri" w:cs="Arial"/>
          <w:kern w:val="0"/>
          <w:lang w:val="es-ES" w:eastAsia="es-CR"/>
          <w14:ligatures w14:val="none"/>
        </w:rPr>
        <w:t xml:space="preserve">, David. “La importancia del contexto histórico para la interpretación del Nuevo Testamento. El culto al emperador: Rom 1,3-4, una crítica velada”. En </w:t>
      </w:r>
      <w:r w:rsidRPr="00B977B2">
        <w:rPr>
          <w:rFonts w:ascii="Calibri" w:eastAsia="Times New Roman" w:hAnsi="Calibri" w:cs="Arial"/>
          <w:i/>
          <w:iCs/>
          <w:kern w:val="0"/>
          <w:lang w:val="es-ES" w:eastAsia="es-CR"/>
          <w14:ligatures w14:val="none"/>
        </w:rPr>
        <w:t>El Nuevo Testamento en su contexto: propuestas de lectu</w:t>
      </w:r>
      <w:r w:rsidRPr="00B977B2">
        <w:rPr>
          <w:rFonts w:ascii="Calibri" w:eastAsia="Times New Roman" w:hAnsi="Calibri" w:cs="Arial"/>
          <w:kern w:val="0"/>
          <w:lang w:val="es-ES" w:eastAsia="es-CR"/>
          <w14:ligatures w14:val="none"/>
        </w:rPr>
        <w:t>r</w:t>
      </w:r>
      <w:r w:rsidRPr="00B977B2">
        <w:rPr>
          <w:rFonts w:ascii="Calibri" w:eastAsia="Times New Roman" w:hAnsi="Calibri" w:cs="Arial"/>
          <w:i/>
          <w:iCs/>
          <w:kern w:val="0"/>
          <w:lang w:val="es-ES" w:eastAsia="es-CR"/>
          <w14:ligatures w14:val="none"/>
        </w:rPr>
        <w:t>a</w:t>
      </w:r>
      <w:r w:rsidRPr="00B977B2">
        <w:rPr>
          <w:rFonts w:ascii="Calibri" w:eastAsia="Times New Roman" w:hAnsi="Calibri" w:cs="Arial"/>
          <w:kern w:val="0"/>
          <w:lang w:val="es-ES" w:eastAsia="es-CR"/>
          <w14:ligatures w14:val="none"/>
        </w:rPr>
        <w:t>, editado por Rafael Aguirre, 35-56. Estella: Verbo Divino. 2013. (</w:t>
      </w:r>
      <w:r w:rsidRPr="00B977B2">
        <w:rPr>
          <w:rFonts w:ascii="Calibri" w:eastAsia="Times New Roman" w:hAnsi="Calibri" w:cs="Calibri"/>
          <w:bCs/>
          <w:color w:val="0070C0"/>
          <w:kern w:val="0"/>
          <w:lang w:val="es-ES_tradnl" w:eastAsia="es-CR"/>
          <w14:ligatures w14:val="none"/>
        </w:rPr>
        <w:t xml:space="preserve">clásico, </w:t>
      </w:r>
      <w:r w:rsidRPr="00B977B2">
        <w:rPr>
          <w:rFonts w:ascii="Calibri" w:eastAsia="Times New Roman" w:hAnsi="Calibri" w:cs="Arial"/>
          <w:kern w:val="0"/>
          <w:lang w:val="es-ES" w:eastAsia="es-CR"/>
          <w14:ligatures w14:val="none"/>
        </w:rPr>
        <w:t>última edición)</w:t>
      </w:r>
    </w:p>
    <w:p w14:paraId="158735BB" w14:textId="77777777" w:rsidR="00B977B2" w:rsidRPr="00B977B2" w:rsidRDefault="00B977B2" w:rsidP="00B977B2">
      <w:pPr>
        <w:widowControl w:val="0"/>
        <w:overflowPunct w:val="0"/>
        <w:autoSpaceDE w:val="0"/>
        <w:autoSpaceDN w:val="0"/>
        <w:adjustRightInd w:val="0"/>
        <w:spacing w:before="120" w:after="0" w:line="276" w:lineRule="auto"/>
        <w:ind w:left="851" w:hanging="851"/>
        <w:jc w:val="both"/>
        <w:rPr>
          <w:rFonts w:ascii="Calibri" w:eastAsia="Times New Roman" w:hAnsi="Calibri" w:cs="Arial"/>
          <w:kern w:val="0"/>
          <w:lang w:val="es-ES" w:eastAsia="es-CR"/>
          <w14:ligatures w14:val="none"/>
        </w:rPr>
      </w:pPr>
      <w:proofErr w:type="spellStart"/>
      <w:r w:rsidRPr="00B977B2">
        <w:rPr>
          <w:rFonts w:ascii="Calibri" w:eastAsia="Times New Roman" w:hAnsi="Calibri" w:cs="Arial"/>
          <w:kern w:val="0"/>
          <w:lang w:val="es-ES" w:eastAsia="es-CR"/>
          <w14:ligatures w14:val="none"/>
        </w:rPr>
        <w:t>Azcuy</w:t>
      </w:r>
      <w:proofErr w:type="spellEnd"/>
      <w:r w:rsidRPr="00B977B2">
        <w:rPr>
          <w:rFonts w:ascii="Calibri" w:eastAsia="Times New Roman" w:hAnsi="Calibri" w:cs="Arial"/>
          <w:kern w:val="0"/>
          <w:lang w:val="es-ES" w:eastAsia="es-CR"/>
          <w14:ligatures w14:val="none"/>
        </w:rPr>
        <w:t xml:space="preserve">, </w:t>
      </w:r>
      <w:proofErr w:type="spellStart"/>
      <w:r w:rsidRPr="00B977B2">
        <w:rPr>
          <w:rFonts w:ascii="Calibri" w:eastAsia="Times New Roman" w:hAnsi="Calibri" w:cs="Arial"/>
          <w:kern w:val="0"/>
          <w:lang w:val="es-ES" w:eastAsia="es-CR"/>
          <w14:ligatures w14:val="none"/>
        </w:rPr>
        <w:t>Virignia</w:t>
      </w:r>
      <w:proofErr w:type="spellEnd"/>
      <w:r w:rsidRPr="00B977B2">
        <w:rPr>
          <w:rFonts w:ascii="Calibri" w:eastAsia="Times New Roman" w:hAnsi="Calibri" w:cs="Arial"/>
          <w:kern w:val="0"/>
          <w:lang w:val="es-ES" w:eastAsia="es-CR"/>
          <w14:ligatures w14:val="none"/>
        </w:rPr>
        <w:t xml:space="preserve"> R. “Exégesis y teología en la encrucijada. </w:t>
      </w:r>
      <w:proofErr w:type="gramStart"/>
      <w:r w:rsidRPr="00B977B2">
        <w:rPr>
          <w:rFonts w:ascii="Calibri" w:eastAsia="Times New Roman" w:hAnsi="Calibri" w:cs="Arial"/>
          <w:kern w:val="0"/>
          <w:lang w:val="es-ES" w:eastAsia="es-CR"/>
          <w14:ligatures w14:val="none"/>
        </w:rPr>
        <w:t>Teología feminista e interpretación feminista</w:t>
      </w:r>
      <w:proofErr w:type="gramEnd"/>
      <w:r w:rsidRPr="00B977B2">
        <w:rPr>
          <w:rFonts w:ascii="Calibri" w:eastAsia="Times New Roman" w:hAnsi="Calibri" w:cs="Arial"/>
          <w:kern w:val="0"/>
          <w:lang w:val="es-ES" w:eastAsia="es-CR"/>
          <w14:ligatures w14:val="none"/>
        </w:rPr>
        <w:t xml:space="preserve"> de la Biblia: una aproximación”. </w:t>
      </w:r>
      <w:r w:rsidRPr="00B977B2">
        <w:rPr>
          <w:rFonts w:ascii="Calibri" w:eastAsia="Times New Roman" w:hAnsi="Calibri" w:cs="Arial"/>
          <w:i/>
          <w:iCs/>
          <w:kern w:val="0"/>
          <w:lang w:val="es-ES" w:eastAsia="es-CR"/>
          <w14:ligatures w14:val="none"/>
        </w:rPr>
        <w:t>Teología y Vida</w:t>
      </w:r>
      <w:r w:rsidRPr="00B977B2">
        <w:rPr>
          <w:rFonts w:ascii="Calibri" w:eastAsia="Times New Roman" w:hAnsi="Calibri" w:cs="Arial"/>
          <w:kern w:val="0"/>
          <w:lang w:val="es-ES" w:eastAsia="es-CR"/>
          <w14:ligatures w14:val="none"/>
        </w:rPr>
        <w:t xml:space="preserve">, n. 1-2 (2012) 163-192. Acceso el 18 de noviembre de 2022. </w:t>
      </w:r>
      <w:hyperlink r:id="rId472">
        <w:r w:rsidRPr="00B977B2">
          <w:rPr>
            <w:rFonts w:ascii="Calibri" w:eastAsia="Times New Roman" w:hAnsi="Calibri" w:cs="Arial"/>
            <w:color w:val="0563C1"/>
            <w:kern w:val="0"/>
            <w:u w:val="single"/>
            <w:lang w:val="es-ES" w:eastAsia="es-CR"/>
            <w14:ligatures w14:val="none"/>
          </w:rPr>
          <w:t>https://doi.org/10.4067/S0049-34492012000100008</w:t>
        </w:r>
      </w:hyperlink>
      <w:r w:rsidRPr="00B977B2">
        <w:rPr>
          <w:rFonts w:ascii="Calibri" w:eastAsia="Times New Roman" w:hAnsi="Calibri" w:cs="Arial"/>
          <w:kern w:val="0"/>
          <w:lang w:val="es-ES" w:eastAsia="es-CR"/>
          <w14:ligatures w14:val="none"/>
        </w:rPr>
        <w:t xml:space="preserve"> </w:t>
      </w:r>
    </w:p>
    <w:p w14:paraId="7F250FFC" w14:textId="77777777" w:rsidR="00B977B2" w:rsidRPr="00B977B2" w:rsidRDefault="00B977B2" w:rsidP="00B977B2">
      <w:pPr>
        <w:widowControl w:val="0"/>
        <w:overflowPunct w:val="0"/>
        <w:autoSpaceDE w:val="0"/>
        <w:autoSpaceDN w:val="0"/>
        <w:adjustRightInd w:val="0"/>
        <w:spacing w:before="120" w:after="0" w:line="276" w:lineRule="auto"/>
        <w:ind w:left="851" w:hanging="851"/>
        <w:jc w:val="both"/>
        <w:rPr>
          <w:rFonts w:ascii="Calibri" w:eastAsia="Times New Roman" w:hAnsi="Calibri" w:cs="Arial"/>
          <w:color w:val="0070C0"/>
          <w:kern w:val="0"/>
          <w:lang w:val="es-ES" w:eastAsia="es-CR"/>
          <w14:ligatures w14:val="none"/>
        </w:rPr>
      </w:pPr>
      <w:r w:rsidRPr="00B977B2">
        <w:rPr>
          <w:rFonts w:ascii="Calibri" w:eastAsia="Times New Roman" w:hAnsi="Calibri" w:cs="Arial"/>
          <w:kern w:val="0"/>
          <w:lang w:val="es-ES" w:eastAsia="es-CR"/>
          <w14:ligatures w14:val="none"/>
        </w:rPr>
        <w:t xml:space="preserve">Asurmendi, Jesús María. “Daniel y la apocalíptica”. En </w:t>
      </w:r>
      <w:r w:rsidRPr="00B977B2">
        <w:rPr>
          <w:rFonts w:ascii="Calibri" w:eastAsia="Times New Roman" w:hAnsi="Calibri" w:cs="Arial"/>
          <w:i/>
          <w:iCs/>
          <w:kern w:val="0"/>
          <w:lang w:val="es-ES" w:eastAsia="es-CR"/>
          <w14:ligatures w14:val="none"/>
        </w:rPr>
        <w:t>Historia, Narrativa, Apocalíptica: introducción al estudio de la Bibli</w:t>
      </w:r>
      <w:r w:rsidRPr="00B977B2">
        <w:rPr>
          <w:rFonts w:ascii="Calibri" w:eastAsia="Times New Roman" w:hAnsi="Calibri" w:cs="Arial"/>
          <w:kern w:val="0"/>
          <w:lang w:val="es-ES" w:eastAsia="es-CR"/>
          <w14:ligatures w14:val="none"/>
        </w:rPr>
        <w:t xml:space="preserve">a, editado por Antonio González Lamadrid, et. </w:t>
      </w:r>
      <w:proofErr w:type="spellStart"/>
      <w:r w:rsidRPr="00B977B2">
        <w:rPr>
          <w:rFonts w:ascii="Calibri" w:eastAsia="Times New Roman" w:hAnsi="Calibri" w:cs="Arial"/>
          <w:kern w:val="0"/>
          <w:lang w:val="es-ES" w:eastAsia="es-CR"/>
          <w14:ligatures w14:val="none"/>
        </w:rPr>
        <w:t>al</w:t>
      </w:r>
      <w:proofErr w:type="spellEnd"/>
      <w:r w:rsidRPr="00B977B2">
        <w:rPr>
          <w:rFonts w:ascii="Calibri" w:eastAsia="Times New Roman" w:hAnsi="Calibri" w:cs="Arial"/>
          <w:kern w:val="0"/>
          <w:lang w:val="es-ES" w:eastAsia="es-CR"/>
          <w14:ligatures w14:val="none"/>
        </w:rPr>
        <w:t>., 479-540. Estella: Verbo Divino. 2000. (</w:t>
      </w:r>
      <w:r w:rsidRPr="00B977B2">
        <w:rPr>
          <w:rFonts w:ascii="Calibri" w:eastAsia="Times New Roman" w:hAnsi="Calibri" w:cs="Calibri"/>
          <w:bCs/>
          <w:color w:val="0070C0"/>
          <w:kern w:val="0"/>
          <w:lang w:val="es-ES_tradnl" w:eastAsia="es-CR"/>
          <w14:ligatures w14:val="none"/>
        </w:rPr>
        <w:t xml:space="preserve">clásico, </w:t>
      </w:r>
      <w:r w:rsidRPr="00B977B2">
        <w:rPr>
          <w:rFonts w:ascii="Calibri" w:eastAsia="Times New Roman" w:hAnsi="Calibri" w:cs="Arial"/>
          <w:kern w:val="0"/>
          <w:lang w:val="es-ES" w:eastAsia="es-CR"/>
          <w14:ligatures w14:val="none"/>
        </w:rPr>
        <w:t>última edición)</w:t>
      </w:r>
    </w:p>
    <w:p w14:paraId="4BE33A92" w14:textId="77777777" w:rsidR="00B977B2" w:rsidRPr="00B977B2" w:rsidRDefault="00B977B2" w:rsidP="00B977B2">
      <w:pPr>
        <w:widowControl w:val="0"/>
        <w:overflowPunct w:val="0"/>
        <w:autoSpaceDE w:val="0"/>
        <w:autoSpaceDN w:val="0"/>
        <w:adjustRightInd w:val="0"/>
        <w:spacing w:before="120" w:after="0" w:line="276" w:lineRule="auto"/>
        <w:ind w:left="709" w:hanging="709"/>
        <w:jc w:val="both"/>
        <w:rPr>
          <w:rFonts w:ascii="Calibri" w:eastAsia="Times New Roman" w:hAnsi="Calibri" w:cs="Calibri"/>
          <w:bCs/>
          <w:kern w:val="0"/>
          <w:lang w:val="es-ES_tradnl" w:eastAsia="es-CR"/>
          <w14:ligatures w14:val="none"/>
        </w:rPr>
      </w:pPr>
      <w:r w:rsidRPr="00B977B2">
        <w:rPr>
          <w:rFonts w:ascii="Calibri" w:eastAsia="Times New Roman" w:hAnsi="Calibri" w:cs="Calibri"/>
          <w:kern w:val="0"/>
          <w:lang w:val="es-419" w:eastAsia="es-CR"/>
          <w14:ligatures w14:val="none"/>
        </w:rPr>
        <w:t xml:space="preserve">Barton, John. </w:t>
      </w:r>
      <w:r w:rsidRPr="00B977B2">
        <w:rPr>
          <w:rFonts w:ascii="Calibri" w:eastAsia="Times New Roman" w:hAnsi="Calibri" w:cs="Calibri"/>
          <w:bCs/>
          <w:kern w:val="0"/>
          <w:lang w:val="es-ES_tradnl" w:eastAsia="es-CR"/>
          <w14:ligatures w14:val="none"/>
        </w:rPr>
        <w:t xml:space="preserve">“Enfoques histórico-críticos”. En </w:t>
      </w:r>
      <w:r w:rsidRPr="00B977B2">
        <w:rPr>
          <w:rFonts w:ascii="Calibri" w:eastAsia="Times New Roman" w:hAnsi="Calibri" w:cs="Calibri"/>
          <w:i/>
          <w:iCs/>
          <w:kern w:val="0"/>
          <w:lang w:val="es-ES_tradnl" w:eastAsia="es-CR"/>
          <w14:ligatures w14:val="none"/>
        </w:rPr>
        <w:t>La interpretación bíblica hoy</w:t>
      </w:r>
      <w:r w:rsidRPr="00B977B2">
        <w:rPr>
          <w:rFonts w:ascii="Calibri" w:eastAsia="Times New Roman" w:hAnsi="Calibri" w:cs="Calibri"/>
          <w:kern w:val="0"/>
          <w:lang w:val="es-ES_tradnl" w:eastAsia="es-CR"/>
          <w14:ligatures w14:val="none"/>
        </w:rPr>
        <w:t xml:space="preserve">, editado por John Barton, 25-37. Santander: Sal </w:t>
      </w:r>
      <w:proofErr w:type="spellStart"/>
      <w:r w:rsidRPr="00B977B2">
        <w:rPr>
          <w:rFonts w:ascii="Calibri" w:eastAsia="Times New Roman" w:hAnsi="Calibri" w:cs="Calibri"/>
          <w:kern w:val="0"/>
          <w:lang w:val="es-ES_tradnl" w:eastAsia="es-CR"/>
          <w14:ligatures w14:val="none"/>
        </w:rPr>
        <w:t>Terrae</w:t>
      </w:r>
      <w:proofErr w:type="spellEnd"/>
      <w:r w:rsidRPr="00B977B2">
        <w:rPr>
          <w:rFonts w:ascii="Calibri" w:eastAsia="Times New Roman" w:hAnsi="Calibri" w:cs="Calibri"/>
          <w:kern w:val="0"/>
          <w:lang w:val="es-ES_tradnl" w:eastAsia="es-CR"/>
          <w14:ligatures w14:val="none"/>
        </w:rPr>
        <w:t xml:space="preserve">. </w:t>
      </w:r>
      <w:r w:rsidRPr="00B977B2">
        <w:rPr>
          <w:rFonts w:ascii="Calibri" w:eastAsia="Times New Roman" w:hAnsi="Calibri" w:cs="Calibri"/>
          <w:kern w:val="0"/>
          <w:lang w:val="es-419" w:eastAsia="es-CR"/>
          <w14:ligatures w14:val="none"/>
        </w:rPr>
        <w:t xml:space="preserve">2001. </w:t>
      </w:r>
      <w:r w:rsidRPr="00B977B2">
        <w:rPr>
          <w:rFonts w:ascii="Calibri" w:eastAsia="Times New Roman" w:hAnsi="Calibri" w:cs="Calibri"/>
          <w:bCs/>
          <w:kern w:val="0"/>
          <w:lang w:val="es-ES_tradnl" w:eastAsia="es-CR"/>
          <w14:ligatures w14:val="none"/>
        </w:rPr>
        <w:t>(</w:t>
      </w:r>
      <w:r w:rsidRPr="00B977B2">
        <w:rPr>
          <w:rFonts w:ascii="Calibri" w:eastAsia="Times New Roman" w:hAnsi="Calibri" w:cs="Calibri"/>
          <w:bCs/>
          <w:color w:val="0070C0"/>
          <w:kern w:val="0"/>
          <w:lang w:val="es-ES_tradnl" w:eastAsia="es-CR"/>
          <w14:ligatures w14:val="none"/>
        </w:rPr>
        <w:t xml:space="preserve">clásico, </w:t>
      </w:r>
      <w:r w:rsidRPr="00B977B2">
        <w:rPr>
          <w:rFonts w:ascii="Calibri" w:eastAsia="Times New Roman" w:hAnsi="Calibri" w:cs="Calibri"/>
          <w:bCs/>
          <w:kern w:val="0"/>
          <w:lang w:val="es-ES_tradnl" w:eastAsia="es-CR"/>
          <w14:ligatures w14:val="none"/>
        </w:rPr>
        <w:t>última edición)</w:t>
      </w:r>
    </w:p>
    <w:p w14:paraId="674ACEF9" w14:textId="77777777" w:rsidR="00B977B2" w:rsidRPr="00B977B2" w:rsidRDefault="00B977B2" w:rsidP="00B977B2">
      <w:pPr>
        <w:widowControl w:val="0"/>
        <w:overflowPunct w:val="0"/>
        <w:autoSpaceDE w:val="0"/>
        <w:autoSpaceDN w:val="0"/>
        <w:adjustRightInd w:val="0"/>
        <w:spacing w:before="120" w:after="0" w:line="276" w:lineRule="auto"/>
        <w:ind w:left="851" w:hanging="851"/>
        <w:jc w:val="both"/>
        <w:rPr>
          <w:rFonts w:ascii="Calibri" w:eastAsia="Times New Roman" w:hAnsi="Calibri" w:cs="Arial"/>
          <w:kern w:val="0"/>
          <w:lang w:val="es-ES" w:eastAsia="es-CR"/>
          <w14:ligatures w14:val="none"/>
        </w:rPr>
      </w:pPr>
      <w:r w:rsidRPr="00B977B2">
        <w:rPr>
          <w:rFonts w:ascii="Calibri" w:eastAsia="Times New Roman" w:hAnsi="Calibri" w:cs="Arial"/>
          <w:kern w:val="0"/>
          <w:lang w:val="es-ES" w:eastAsia="es-CR"/>
          <w14:ligatures w14:val="none"/>
        </w:rPr>
        <w:t xml:space="preserve">Bernabé, Carmen. “Ni piedra ni espejo: la interpretación de la Biblia entre el fundamentalismo y el subjetivismo”. </w:t>
      </w:r>
      <w:proofErr w:type="spellStart"/>
      <w:r w:rsidRPr="00B977B2">
        <w:rPr>
          <w:rFonts w:ascii="Calibri" w:eastAsia="Times New Roman" w:hAnsi="Calibri" w:cs="Arial"/>
          <w:i/>
          <w:iCs/>
          <w:kern w:val="0"/>
          <w:lang w:val="es-ES" w:eastAsia="es-CR"/>
          <w14:ligatures w14:val="none"/>
        </w:rPr>
        <w:t>Theologica</w:t>
      </w:r>
      <w:proofErr w:type="spellEnd"/>
      <w:r w:rsidRPr="00B977B2">
        <w:rPr>
          <w:rFonts w:ascii="Calibri" w:eastAsia="Times New Roman" w:hAnsi="Calibri" w:cs="Arial"/>
          <w:i/>
          <w:iCs/>
          <w:kern w:val="0"/>
          <w:lang w:val="es-ES" w:eastAsia="es-CR"/>
          <w14:ligatures w14:val="none"/>
        </w:rPr>
        <w:t xml:space="preserve"> </w:t>
      </w:r>
      <w:proofErr w:type="spellStart"/>
      <w:r w:rsidRPr="00B977B2">
        <w:rPr>
          <w:rFonts w:ascii="Calibri" w:eastAsia="Times New Roman" w:hAnsi="Calibri" w:cs="Arial"/>
          <w:i/>
          <w:iCs/>
          <w:kern w:val="0"/>
          <w:lang w:val="es-ES" w:eastAsia="es-CR"/>
          <w14:ligatures w14:val="none"/>
        </w:rPr>
        <w:t>Xaveriana</w:t>
      </w:r>
      <w:proofErr w:type="spellEnd"/>
      <w:r w:rsidRPr="00B977B2">
        <w:rPr>
          <w:rFonts w:ascii="Calibri" w:eastAsia="Times New Roman" w:hAnsi="Calibri" w:cs="Arial"/>
          <w:kern w:val="0"/>
          <w:lang w:val="es-ES" w:eastAsia="es-CR"/>
          <w14:ligatures w14:val="none"/>
        </w:rPr>
        <w:t xml:space="preserve">, n.º 177 (2014): 267-286. </w:t>
      </w:r>
    </w:p>
    <w:p w14:paraId="3BF321CA" w14:textId="77777777" w:rsidR="00B977B2" w:rsidRPr="00B977B2" w:rsidRDefault="00B977B2" w:rsidP="00B977B2">
      <w:pPr>
        <w:widowControl w:val="0"/>
        <w:overflowPunct w:val="0"/>
        <w:autoSpaceDE w:val="0"/>
        <w:autoSpaceDN w:val="0"/>
        <w:adjustRightInd w:val="0"/>
        <w:spacing w:before="120" w:after="0" w:line="276" w:lineRule="auto"/>
        <w:ind w:left="851" w:hanging="851"/>
        <w:jc w:val="both"/>
        <w:rPr>
          <w:rFonts w:ascii="Calibri" w:eastAsia="Times New Roman" w:hAnsi="Calibri" w:cs="Arial"/>
          <w:kern w:val="0"/>
          <w:lang w:val="es-ES" w:eastAsia="es-CR"/>
          <w14:ligatures w14:val="none"/>
        </w:rPr>
      </w:pPr>
      <w:r w:rsidRPr="00B977B2">
        <w:rPr>
          <w:rFonts w:ascii="Calibri" w:eastAsia="Times New Roman" w:hAnsi="Calibri" w:cs="Arial"/>
          <w:kern w:val="0"/>
          <w:lang w:val="es-ES" w:eastAsia="es-CR"/>
          <w14:ligatures w14:val="none"/>
        </w:rPr>
        <w:t xml:space="preserve">De </w:t>
      </w:r>
      <w:proofErr w:type="spellStart"/>
      <w:r w:rsidRPr="00B977B2">
        <w:rPr>
          <w:rFonts w:ascii="Calibri" w:eastAsia="Times New Roman" w:hAnsi="Calibri" w:cs="Arial"/>
          <w:kern w:val="0"/>
          <w:lang w:val="es-ES" w:eastAsia="es-CR"/>
          <w14:ligatures w14:val="none"/>
        </w:rPr>
        <w:t>Wit</w:t>
      </w:r>
      <w:proofErr w:type="spellEnd"/>
      <w:r w:rsidRPr="00B977B2">
        <w:rPr>
          <w:rFonts w:ascii="Calibri" w:eastAsia="Times New Roman" w:hAnsi="Calibri" w:cs="Arial"/>
          <w:kern w:val="0"/>
          <w:lang w:val="es-ES" w:eastAsia="es-CR"/>
          <w14:ligatures w14:val="none"/>
        </w:rPr>
        <w:t xml:space="preserve">, Hans. </w:t>
      </w:r>
      <w:r w:rsidRPr="00B977B2">
        <w:rPr>
          <w:rFonts w:ascii="Calibri" w:eastAsia="Times New Roman" w:hAnsi="Calibri" w:cs="Arial"/>
          <w:i/>
          <w:iCs/>
          <w:kern w:val="0"/>
          <w:lang w:val="es-ES" w:eastAsia="es-CR"/>
          <w14:ligatures w14:val="none"/>
        </w:rPr>
        <w:t>En</w:t>
      </w:r>
      <w:r w:rsidRPr="00B977B2">
        <w:rPr>
          <w:rFonts w:ascii="Calibri" w:eastAsia="Times New Roman" w:hAnsi="Calibri" w:cs="Arial"/>
          <w:kern w:val="0"/>
          <w:lang w:val="es-ES" w:eastAsia="es-CR"/>
          <w14:ligatures w14:val="none"/>
        </w:rPr>
        <w:t xml:space="preserve"> </w:t>
      </w:r>
      <w:r w:rsidRPr="00B977B2">
        <w:rPr>
          <w:rFonts w:ascii="Calibri" w:eastAsia="Times New Roman" w:hAnsi="Calibri" w:cs="Arial"/>
          <w:i/>
          <w:iCs/>
          <w:kern w:val="0"/>
          <w:lang w:val="es-ES" w:eastAsia="es-CR"/>
          <w14:ligatures w14:val="none"/>
        </w:rPr>
        <w:t>la dispersión el texto es patria: introducción a la hermenéutica clásica, moderna y posmoderna</w:t>
      </w:r>
      <w:r w:rsidRPr="00B977B2">
        <w:rPr>
          <w:rFonts w:ascii="Calibri" w:eastAsia="Times New Roman" w:hAnsi="Calibri" w:cs="Arial"/>
          <w:kern w:val="0"/>
          <w:lang w:val="es-ES" w:eastAsia="es-CR"/>
          <w14:ligatures w14:val="none"/>
        </w:rPr>
        <w:t>. San José: SEBILA, 2010. (</w:t>
      </w:r>
      <w:r w:rsidRPr="00B977B2">
        <w:rPr>
          <w:rFonts w:ascii="Calibri" w:eastAsia="Times New Roman" w:hAnsi="Calibri" w:cs="Calibri"/>
          <w:bCs/>
          <w:color w:val="0070C0"/>
          <w:kern w:val="0"/>
          <w:lang w:val="es-ES_tradnl" w:eastAsia="es-CR"/>
          <w14:ligatures w14:val="none"/>
        </w:rPr>
        <w:t xml:space="preserve">clásico, </w:t>
      </w:r>
      <w:r w:rsidRPr="00B977B2">
        <w:rPr>
          <w:rFonts w:ascii="Calibri" w:eastAsia="Times New Roman" w:hAnsi="Calibri" w:cs="Arial"/>
          <w:kern w:val="0"/>
          <w:lang w:val="es-ES" w:eastAsia="es-CR"/>
          <w14:ligatures w14:val="none"/>
        </w:rPr>
        <w:t>última edición)</w:t>
      </w:r>
    </w:p>
    <w:p w14:paraId="79641B78" w14:textId="77777777" w:rsidR="00B977B2" w:rsidRPr="00B977B2" w:rsidRDefault="00B977B2" w:rsidP="00B977B2">
      <w:pPr>
        <w:widowControl w:val="0"/>
        <w:overflowPunct w:val="0"/>
        <w:autoSpaceDE w:val="0"/>
        <w:autoSpaceDN w:val="0"/>
        <w:adjustRightInd w:val="0"/>
        <w:spacing w:before="120" w:after="0" w:line="276" w:lineRule="auto"/>
        <w:ind w:left="851" w:hanging="851"/>
        <w:jc w:val="both"/>
        <w:rPr>
          <w:rFonts w:ascii="Calibri" w:eastAsia="Times New Roman" w:hAnsi="Calibri" w:cs="Calibri"/>
          <w:bCs/>
          <w:kern w:val="0"/>
          <w:lang w:val="es-ES_tradnl" w:eastAsia="es-CR"/>
          <w14:ligatures w14:val="none"/>
        </w:rPr>
      </w:pPr>
      <w:r w:rsidRPr="00B977B2">
        <w:rPr>
          <w:rFonts w:ascii="Calibri" w:eastAsia="Times New Roman" w:hAnsi="Calibri" w:cs="Calibri"/>
          <w:bCs/>
          <w:kern w:val="0"/>
          <w:lang w:val="es-ES_tradnl" w:eastAsia="es-CR"/>
          <w14:ligatures w14:val="none"/>
        </w:rPr>
        <w:t xml:space="preserve">García-Bachmann, Mercedes. “Ejercicio de hermenéutica bíblica con perspectiva de género a partir de Isaías 2-4”. </w:t>
      </w:r>
      <w:r w:rsidRPr="00B977B2">
        <w:rPr>
          <w:rFonts w:ascii="Calibri" w:eastAsia="Times New Roman" w:hAnsi="Calibri" w:cs="Calibri"/>
          <w:bCs/>
          <w:i/>
          <w:iCs/>
          <w:kern w:val="0"/>
          <w:lang w:val="es-ES_tradnl" w:eastAsia="es-CR"/>
          <w14:ligatures w14:val="none"/>
        </w:rPr>
        <w:t>Teología y Vida</w:t>
      </w:r>
      <w:r w:rsidRPr="00B977B2">
        <w:rPr>
          <w:rFonts w:ascii="Calibri" w:eastAsia="Times New Roman" w:hAnsi="Calibri" w:cs="Calibri"/>
          <w:bCs/>
          <w:kern w:val="0"/>
          <w:lang w:val="es-ES_tradnl" w:eastAsia="es-CR"/>
          <w14:ligatures w14:val="none"/>
        </w:rPr>
        <w:t xml:space="preserve">, n. 4 (2020): 423-442. Acceso el 18 de noviembre de 2022. </w:t>
      </w:r>
      <w:hyperlink r:id="rId473" w:history="1">
        <w:r w:rsidRPr="00B977B2">
          <w:rPr>
            <w:rFonts w:ascii="Calibri" w:eastAsia="Times New Roman" w:hAnsi="Calibri" w:cs="Calibri"/>
            <w:bCs/>
            <w:color w:val="0563C1"/>
            <w:kern w:val="0"/>
            <w:u w:val="single"/>
            <w:lang w:val="es-ES_tradnl" w:eastAsia="es-CR"/>
            <w14:ligatures w14:val="none"/>
          </w:rPr>
          <w:t>https://doi.org/10.4067/S0049-34492020000400423</w:t>
        </w:r>
      </w:hyperlink>
    </w:p>
    <w:p w14:paraId="107EC9AD" w14:textId="77777777" w:rsidR="00B977B2" w:rsidRPr="00B977B2" w:rsidRDefault="00B977B2" w:rsidP="00B977B2">
      <w:pPr>
        <w:widowControl w:val="0"/>
        <w:overflowPunct w:val="0"/>
        <w:autoSpaceDE w:val="0"/>
        <w:autoSpaceDN w:val="0"/>
        <w:adjustRightInd w:val="0"/>
        <w:spacing w:before="120" w:after="0" w:line="276" w:lineRule="auto"/>
        <w:ind w:left="851" w:hanging="851"/>
        <w:jc w:val="both"/>
        <w:rPr>
          <w:rFonts w:ascii="Calibri" w:eastAsia="Times New Roman" w:hAnsi="Calibri" w:cs="Arial"/>
          <w:color w:val="0563C1"/>
          <w:kern w:val="0"/>
          <w:u w:val="single"/>
          <w:lang w:val="es-ES" w:eastAsia="es-CR"/>
          <w14:ligatures w14:val="none"/>
        </w:rPr>
      </w:pPr>
      <w:r w:rsidRPr="00B977B2">
        <w:rPr>
          <w:rFonts w:ascii="Calibri" w:eastAsia="Times New Roman" w:hAnsi="Calibri" w:cs="Arial"/>
          <w:kern w:val="0"/>
          <w:lang w:val="es-ES" w:eastAsia="es-CR"/>
          <w14:ligatures w14:val="none"/>
        </w:rPr>
        <w:t xml:space="preserve">Gil </w:t>
      </w:r>
      <w:proofErr w:type="spellStart"/>
      <w:r w:rsidRPr="00B977B2">
        <w:rPr>
          <w:rFonts w:ascii="Calibri" w:eastAsia="Times New Roman" w:hAnsi="Calibri" w:cs="Arial"/>
          <w:kern w:val="0"/>
          <w:lang w:val="es-ES" w:eastAsia="es-CR"/>
          <w14:ligatures w14:val="none"/>
        </w:rPr>
        <w:t>Arbiol</w:t>
      </w:r>
      <w:proofErr w:type="spellEnd"/>
      <w:r w:rsidRPr="00B977B2">
        <w:rPr>
          <w:rFonts w:ascii="Calibri" w:eastAsia="Times New Roman" w:hAnsi="Calibri" w:cs="Arial"/>
          <w:kern w:val="0"/>
          <w:lang w:val="es-ES" w:eastAsia="es-CR"/>
          <w14:ligatures w14:val="none"/>
        </w:rPr>
        <w:t xml:space="preserve">, Carlos. “La Biblia y el mundo del siglo XXI”. </w:t>
      </w:r>
      <w:r w:rsidRPr="00B977B2">
        <w:rPr>
          <w:rFonts w:ascii="Calibri" w:eastAsia="Times New Roman" w:hAnsi="Calibri" w:cs="Arial"/>
          <w:i/>
          <w:iCs/>
          <w:kern w:val="0"/>
          <w:lang w:val="es-ES" w:eastAsia="es-CR"/>
          <w14:ligatures w14:val="none"/>
        </w:rPr>
        <w:t>Iglesia Viva</w:t>
      </w:r>
      <w:r w:rsidRPr="00B977B2">
        <w:rPr>
          <w:rFonts w:ascii="Calibri" w:eastAsia="Times New Roman" w:hAnsi="Calibri" w:cs="Arial"/>
          <w:kern w:val="0"/>
          <w:lang w:val="es-ES" w:eastAsia="es-CR"/>
          <w14:ligatures w14:val="none"/>
        </w:rPr>
        <w:t xml:space="preserve">, n. 238 (2009): 9-22. Acceso el 18 de noviembre de 2022. </w:t>
      </w:r>
      <w:hyperlink r:id="rId474">
        <w:r w:rsidRPr="00B977B2">
          <w:rPr>
            <w:rFonts w:ascii="Calibri" w:eastAsia="Times New Roman" w:hAnsi="Calibri" w:cs="Arial"/>
            <w:color w:val="0563C1"/>
            <w:kern w:val="0"/>
            <w:u w:val="single"/>
            <w:lang w:val="es-ES" w:eastAsia="es-CR"/>
            <w14:ligatures w14:val="none"/>
          </w:rPr>
          <w:t>https://iviva.org/revistas/238/238-11-CARLOSGIL.pdf</w:t>
        </w:r>
      </w:hyperlink>
    </w:p>
    <w:p w14:paraId="6B0BA7B8" w14:textId="77777777" w:rsidR="00B977B2" w:rsidRPr="00B977B2" w:rsidRDefault="00B977B2" w:rsidP="00B977B2">
      <w:pPr>
        <w:widowControl w:val="0"/>
        <w:overflowPunct w:val="0"/>
        <w:autoSpaceDE w:val="0"/>
        <w:autoSpaceDN w:val="0"/>
        <w:adjustRightInd w:val="0"/>
        <w:spacing w:before="120" w:after="0" w:line="276" w:lineRule="auto"/>
        <w:ind w:left="709" w:hanging="709"/>
        <w:jc w:val="both"/>
        <w:rPr>
          <w:rFonts w:ascii="Calibri" w:eastAsia="Times New Roman" w:hAnsi="Calibri" w:cs="Calibri"/>
          <w:bCs/>
          <w:kern w:val="0"/>
          <w:lang w:val="es-ES_tradnl" w:eastAsia="es-CR"/>
          <w14:ligatures w14:val="none"/>
        </w:rPr>
      </w:pPr>
      <w:r w:rsidRPr="00B977B2">
        <w:rPr>
          <w:rFonts w:ascii="Calibri" w:eastAsia="Times New Roman" w:hAnsi="Calibri" w:cs="Calibri"/>
          <w:bCs/>
          <w:kern w:val="0"/>
          <w:lang w:val="es-ES_tradnl" w:eastAsia="es-CR"/>
          <w14:ligatures w14:val="none"/>
        </w:rPr>
        <w:t xml:space="preserve">Kessler, Rainer. </w:t>
      </w:r>
      <w:r w:rsidRPr="00B977B2">
        <w:rPr>
          <w:rFonts w:ascii="Calibri" w:eastAsia="Times New Roman" w:hAnsi="Calibri" w:cs="Calibri"/>
          <w:bCs/>
          <w:i/>
          <w:iCs/>
          <w:kern w:val="0"/>
          <w:lang w:val="es-ES_tradnl" w:eastAsia="es-CR"/>
          <w14:ligatures w14:val="none"/>
        </w:rPr>
        <w:t>Historia social del antiguo Israel</w:t>
      </w:r>
      <w:r w:rsidRPr="00B977B2">
        <w:rPr>
          <w:rFonts w:ascii="Calibri" w:eastAsia="Times New Roman" w:hAnsi="Calibri" w:cs="Calibri"/>
          <w:bCs/>
          <w:kern w:val="0"/>
          <w:lang w:val="es-ES_tradnl" w:eastAsia="es-CR"/>
          <w14:ligatures w14:val="none"/>
        </w:rPr>
        <w:t>. Salamanca: Ediciones Sígueme, 2013. (</w:t>
      </w:r>
      <w:r w:rsidRPr="00B977B2">
        <w:rPr>
          <w:rFonts w:ascii="Calibri" w:eastAsia="Times New Roman" w:hAnsi="Calibri" w:cs="Calibri"/>
          <w:bCs/>
          <w:color w:val="0070C0"/>
          <w:kern w:val="0"/>
          <w:lang w:val="es-ES_tradnl" w:eastAsia="es-CR"/>
          <w14:ligatures w14:val="none"/>
        </w:rPr>
        <w:t xml:space="preserve">clásico, </w:t>
      </w:r>
      <w:r w:rsidRPr="00B977B2">
        <w:rPr>
          <w:rFonts w:ascii="Calibri" w:eastAsia="Times New Roman" w:hAnsi="Calibri" w:cs="Calibri"/>
          <w:bCs/>
          <w:kern w:val="0"/>
          <w:lang w:val="es-ES_tradnl" w:eastAsia="es-CR"/>
          <w14:ligatures w14:val="none"/>
        </w:rPr>
        <w:t>última edición)</w:t>
      </w:r>
    </w:p>
    <w:p w14:paraId="392E2EB0" w14:textId="77777777" w:rsidR="00B977B2" w:rsidRPr="00B977B2" w:rsidRDefault="00B977B2" w:rsidP="00B977B2">
      <w:pPr>
        <w:widowControl w:val="0"/>
        <w:overflowPunct w:val="0"/>
        <w:autoSpaceDE w:val="0"/>
        <w:autoSpaceDN w:val="0"/>
        <w:adjustRightInd w:val="0"/>
        <w:spacing w:before="120" w:after="0" w:line="276" w:lineRule="auto"/>
        <w:ind w:left="709" w:hanging="709"/>
        <w:jc w:val="both"/>
        <w:rPr>
          <w:rFonts w:ascii="Calibri" w:eastAsia="Times New Roman" w:hAnsi="Calibri" w:cs="Arial"/>
          <w:kern w:val="0"/>
          <w:lang w:val="es-ES" w:eastAsia="es-CR"/>
          <w14:ligatures w14:val="none"/>
        </w:rPr>
      </w:pPr>
      <w:proofErr w:type="spellStart"/>
      <w:r w:rsidRPr="00B977B2">
        <w:rPr>
          <w:rFonts w:ascii="Calibri" w:eastAsia="Times New Roman" w:hAnsi="Calibri" w:cs="Arial"/>
          <w:kern w:val="0"/>
          <w:lang w:val="es-ES" w:eastAsia="es-CR"/>
          <w14:ligatures w14:val="none"/>
        </w:rPr>
        <w:t>Marguerat</w:t>
      </w:r>
      <w:proofErr w:type="spellEnd"/>
      <w:r w:rsidRPr="00B977B2">
        <w:rPr>
          <w:rFonts w:ascii="Calibri" w:eastAsia="Times New Roman" w:hAnsi="Calibri" w:cs="Arial"/>
          <w:kern w:val="0"/>
          <w:lang w:val="es-ES" w:eastAsia="es-CR"/>
          <w14:ligatures w14:val="none"/>
        </w:rPr>
        <w:t xml:space="preserve">, Daniel e Yvan </w:t>
      </w:r>
      <w:proofErr w:type="spellStart"/>
      <w:r w:rsidRPr="00B977B2">
        <w:rPr>
          <w:rFonts w:ascii="Calibri" w:eastAsia="Times New Roman" w:hAnsi="Calibri" w:cs="Arial"/>
          <w:kern w:val="0"/>
          <w:lang w:val="es-ES" w:eastAsia="es-CR"/>
          <w14:ligatures w14:val="none"/>
        </w:rPr>
        <w:t>Bourquin</w:t>
      </w:r>
      <w:proofErr w:type="spellEnd"/>
      <w:r w:rsidRPr="00B977B2">
        <w:rPr>
          <w:rFonts w:ascii="Calibri" w:eastAsia="Times New Roman" w:hAnsi="Calibri" w:cs="Arial"/>
          <w:kern w:val="0"/>
          <w:lang w:val="es-ES" w:eastAsia="es-CR"/>
          <w14:ligatures w14:val="none"/>
        </w:rPr>
        <w:t xml:space="preserve">. </w:t>
      </w:r>
      <w:r w:rsidRPr="00B977B2">
        <w:rPr>
          <w:rFonts w:ascii="Calibri" w:eastAsia="Times New Roman" w:hAnsi="Calibri" w:cs="Arial"/>
          <w:i/>
          <w:iCs/>
          <w:kern w:val="0"/>
          <w:lang w:val="es-ES" w:eastAsia="es-CR"/>
          <w14:ligatures w14:val="none"/>
        </w:rPr>
        <w:t xml:space="preserve">Cómo leer los relatos bíblicos: iniciación al análisis narrativo. </w:t>
      </w:r>
      <w:r w:rsidRPr="00B977B2">
        <w:rPr>
          <w:rFonts w:ascii="Calibri" w:eastAsia="Times New Roman" w:hAnsi="Calibri" w:cs="Arial"/>
          <w:kern w:val="0"/>
          <w:lang w:val="es-ES" w:eastAsia="es-CR"/>
          <w14:ligatures w14:val="none"/>
        </w:rPr>
        <w:t xml:space="preserve">Santander: Sal </w:t>
      </w:r>
      <w:proofErr w:type="spellStart"/>
      <w:r w:rsidRPr="00B977B2">
        <w:rPr>
          <w:rFonts w:ascii="Calibri" w:eastAsia="Times New Roman" w:hAnsi="Calibri" w:cs="Arial"/>
          <w:kern w:val="0"/>
          <w:lang w:val="es-ES" w:eastAsia="es-CR"/>
          <w14:ligatures w14:val="none"/>
        </w:rPr>
        <w:t>Terrae</w:t>
      </w:r>
      <w:proofErr w:type="spellEnd"/>
      <w:r w:rsidRPr="00B977B2">
        <w:rPr>
          <w:rFonts w:ascii="Calibri" w:eastAsia="Times New Roman" w:hAnsi="Calibri" w:cs="Arial"/>
          <w:kern w:val="0"/>
          <w:lang w:val="es-ES" w:eastAsia="es-CR"/>
          <w14:ligatures w14:val="none"/>
        </w:rPr>
        <w:t>, 2000. (</w:t>
      </w:r>
      <w:r w:rsidRPr="00B977B2">
        <w:rPr>
          <w:rFonts w:ascii="Calibri" w:eastAsia="Times New Roman" w:hAnsi="Calibri" w:cs="Calibri"/>
          <w:bCs/>
          <w:color w:val="0070C0"/>
          <w:kern w:val="0"/>
          <w:lang w:val="es-ES_tradnl" w:eastAsia="es-CR"/>
          <w14:ligatures w14:val="none"/>
        </w:rPr>
        <w:t xml:space="preserve">clásico, </w:t>
      </w:r>
      <w:r w:rsidRPr="00B977B2">
        <w:rPr>
          <w:rFonts w:ascii="Calibri" w:eastAsia="Times New Roman" w:hAnsi="Calibri" w:cs="Arial"/>
          <w:kern w:val="0"/>
          <w:lang w:val="es-ES" w:eastAsia="es-CR"/>
          <w14:ligatures w14:val="none"/>
        </w:rPr>
        <w:t>última edición)</w:t>
      </w:r>
    </w:p>
    <w:p w14:paraId="3BC1DEB2" w14:textId="77777777" w:rsidR="00B977B2" w:rsidRPr="00B977B2" w:rsidRDefault="00B977B2" w:rsidP="00B977B2">
      <w:pPr>
        <w:widowControl w:val="0"/>
        <w:overflowPunct w:val="0"/>
        <w:autoSpaceDE w:val="0"/>
        <w:autoSpaceDN w:val="0"/>
        <w:adjustRightInd w:val="0"/>
        <w:spacing w:before="120" w:after="0" w:line="276" w:lineRule="auto"/>
        <w:ind w:left="851" w:hanging="851"/>
        <w:jc w:val="both"/>
        <w:rPr>
          <w:rFonts w:ascii="Calibri" w:eastAsia="Times New Roman" w:hAnsi="Calibri" w:cs="Arial"/>
          <w:kern w:val="0"/>
          <w:lang w:val="es-ES" w:eastAsia="es-CR"/>
          <w14:ligatures w14:val="none"/>
        </w:rPr>
      </w:pPr>
      <w:r w:rsidRPr="00B977B2">
        <w:rPr>
          <w:rFonts w:ascii="Calibri" w:eastAsia="Times New Roman" w:hAnsi="Calibri" w:cs="Arial"/>
          <w:kern w:val="0"/>
          <w:lang w:val="es-ES" w:eastAsia="es-CR"/>
          <w14:ligatures w14:val="none"/>
        </w:rPr>
        <w:t xml:space="preserve">Menéndez </w:t>
      </w:r>
      <w:proofErr w:type="spellStart"/>
      <w:r w:rsidRPr="00B977B2">
        <w:rPr>
          <w:rFonts w:ascii="Calibri" w:eastAsia="Times New Roman" w:hAnsi="Calibri" w:cs="Arial"/>
          <w:kern w:val="0"/>
          <w:lang w:val="es-ES" w:eastAsia="es-CR"/>
          <w14:ligatures w14:val="none"/>
        </w:rPr>
        <w:t>Antuña</w:t>
      </w:r>
      <w:proofErr w:type="spellEnd"/>
      <w:r w:rsidRPr="00B977B2">
        <w:rPr>
          <w:rFonts w:ascii="Calibri" w:eastAsia="Times New Roman" w:hAnsi="Calibri" w:cs="Arial"/>
          <w:kern w:val="0"/>
          <w:lang w:val="es-ES" w:eastAsia="es-CR"/>
          <w14:ligatures w14:val="none"/>
        </w:rPr>
        <w:t>, Luis. “</w:t>
      </w:r>
      <w:proofErr w:type="spellStart"/>
      <w:r w:rsidRPr="00B977B2">
        <w:rPr>
          <w:rFonts w:ascii="Calibri" w:eastAsia="Times New Roman" w:hAnsi="Calibri" w:cs="Arial"/>
          <w:kern w:val="0"/>
          <w:lang w:val="es-ES" w:eastAsia="es-CR"/>
          <w14:ligatures w14:val="none"/>
        </w:rPr>
        <w:t>Re-lecturas</w:t>
      </w:r>
      <w:proofErr w:type="spellEnd"/>
      <w:r w:rsidRPr="00B977B2">
        <w:rPr>
          <w:rFonts w:ascii="Calibri" w:eastAsia="Times New Roman" w:hAnsi="Calibri" w:cs="Arial"/>
          <w:kern w:val="0"/>
          <w:lang w:val="es-ES" w:eastAsia="es-CR"/>
          <w14:ligatures w14:val="none"/>
        </w:rPr>
        <w:t xml:space="preserve"> desde el ‘más-acá’. Introduciendo la óptica poscolonial en el panorama bíblico de lengua hispana”. </w:t>
      </w:r>
      <w:r w:rsidRPr="00B977B2">
        <w:rPr>
          <w:rFonts w:ascii="Calibri" w:eastAsia="Times New Roman" w:hAnsi="Calibri" w:cs="Arial"/>
          <w:i/>
          <w:iCs/>
          <w:kern w:val="0"/>
          <w:lang w:val="es-ES" w:eastAsia="es-CR"/>
          <w14:ligatures w14:val="none"/>
        </w:rPr>
        <w:t xml:space="preserve">Teológica </w:t>
      </w:r>
      <w:proofErr w:type="spellStart"/>
      <w:r w:rsidRPr="00B977B2">
        <w:rPr>
          <w:rFonts w:ascii="Calibri" w:eastAsia="Times New Roman" w:hAnsi="Calibri" w:cs="Arial"/>
          <w:i/>
          <w:iCs/>
          <w:kern w:val="0"/>
          <w:lang w:val="es-ES" w:eastAsia="es-CR"/>
          <w14:ligatures w14:val="none"/>
        </w:rPr>
        <w:t>Xaveriana</w:t>
      </w:r>
      <w:proofErr w:type="spellEnd"/>
      <w:r w:rsidRPr="00B977B2">
        <w:rPr>
          <w:rFonts w:ascii="Calibri" w:eastAsia="Times New Roman" w:hAnsi="Calibri" w:cs="Arial"/>
          <w:kern w:val="0"/>
          <w:lang w:val="es-ES" w:eastAsia="es-CR"/>
          <w14:ligatures w14:val="none"/>
        </w:rPr>
        <w:t xml:space="preserve">, n. 171 (2011): 169-202. Acceso el 18 de noviembre de 2022. </w:t>
      </w:r>
      <w:hyperlink r:id="rId475">
        <w:r w:rsidRPr="00B977B2">
          <w:rPr>
            <w:rFonts w:ascii="Calibri" w:eastAsia="Times New Roman" w:hAnsi="Calibri" w:cs="Arial"/>
            <w:color w:val="0563C1"/>
            <w:kern w:val="0"/>
            <w:u w:val="single"/>
            <w:lang w:val="es-ES" w:eastAsia="es-CR"/>
            <w14:ligatures w14:val="none"/>
          </w:rPr>
          <w:t>https://revistas.javeriana.edu.co/index.php/teoxaveriana/article/view/9366</w:t>
        </w:r>
      </w:hyperlink>
      <w:r w:rsidRPr="00B977B2">
        <w:rPr>
          <w:rFonts w:ascii="Calibri" w:eastAsia="Times New Roman" w:hAnsi="Calibri" w:cs="Arial"/>
          <w:kern w:val="0"/>
          <w:lang w:val="es-ES" w:eastAsia="es-CR"/>
          <w14:ligatures w14:val="none"/>
        </w:rPr>
        <w:t xml:space="preserve"> </w:t>
      </w:r>
    </w:p>
    <w:p w14:paraId="17891474" w14:textId="77777777" w:rsidR="00B977B2" w:rsidRPr="00B977B2" w:rsidRDefault="00B977B2" w:rsidP="00B977B2">
      <w:pPr>
        <w:widowControl w:val="0"/>
        <w:overflowPunct w:val="0"/>
        <w:autoSpaceDE w:val="0"/>
        <w:autoSpaceDN w:val="0"/>
        <w:adjustRightInd w:val="0"/>
        <w:spacing w:before="120" w:after="0" w:line="276" w:lineRule="auto"/>
        <w:ind w:left="851" w:hanging="851"/>
        <w:jc w:val="both"/>
        <w:rPr>
          <w:rFonts w:ascii="Calibri" w:eastAsia="Times New Roman" w:hAnsi="Calibri" w:cs="Arial"/>
          <w:kern w:val="0"/>
          <w:lang w:val="es-ES" w:eastAsia="es-CR"/>
          <w14:ligatures w14:val="none"/>
        </w:rPr>
      </w:pPr>
      <w:proofErr w:type="spellStart"/>
      <w:r w:rsidRPr="00B977B2">
        <w:rPr>
          <w:rFonts w:ascii="Calibri" w:eastAsia="Times New Roman" w:hAnsi="Calibri" w:cs="Arial"/>
          <w:kern w:val="0"/>
          <w:lang w:val="es-ES" w:eastAsia="es-CR"/>
          <w14:ligatures w14:val="none"/>
        </w:rPr>
        <w:lastRenderedPageBreak/>
        <w:t>Meynet</w:t>
      </w:r>
      <w:proofErr w:type="spellEnd"/>
      <w:r w:rsidRPr="00B977B2">
        <w:rPr>
          <w:rFonts w:ascii="Calibri" w:eastAsia="Times New Roman" w:hAnsi="Calibri" w:cs="Arial"/>
          <w:kern w:val="0"/>
          <w:lang w:val="es-ES" w:eastAsia="es-CR"/>
          <w14:ligatures w14:val="none"/>
        </w:rPr>
        <w:t xml:space="preserve">, Roland. </w:t>
      </w:r>
      <w:r w:rsidRPr="00B977B2">
        <w:rPr>
          <w:rFonts w:ascii="Calibri" w:eastAsia="Times New Roman" w:hAnsi="Calibri" w:cs="Arial"/>
          <w:i/>
          <w:iCs/>
          <w:kern w:val="0"/>
          <w:lang w:val="es-ES" w:eastAsia="es-CR"/>
          <w14:ligatures w14:val="none"/>
        </w:rPr>
        <w:t>Leer la Biblia: una explicación para comprender. Un ensayo para reflexionar</w:t>
      </w:r>
      <w:r w:rsidRPr="00B977B2">
        <w:rPr>
          <w:rFonts w:ascii="Calibri" w:eastAsia="Times New Roman" w:hAnsi="Calibri" w:cs="Arial"/>
          <w:kern w:val="0"/>
          <w:lang w:val="es-ES" w:eastAsia="es-CR"/>
          <w14:ligatures w14:val="none"/>
        </w:rPr>
        <w:t>. México: Siglo XXI Editores, 2003. (</w:t>
      </w:r>
      <w:r w:rsidRPr="00B977B2">
        <w:rPr>
          <w:rFonts w:ascii="Calibri" w:eastAsia="Times New Roman" w:hAnsi="Calibri" w:cs="Calibri"/>
          <w:bCs/>
          <w:color w:val="0070C0"/>
          <w:kern w:val="0"/>
          <w:lang w:val="es-ES_tradnl" w:eastAsia="es-CR"/>
          <w14:ligatures w14:val="none"/>
        </w:rPr>
        <w:t xml:space="preserve">clásico, </w:t>
      </w:r>
      <w:r w:rsidRPr="00B977B2">
        <w:rPr>
          <w:rFonts w:ascii="Calibri" w:eastAsia="Times New Roman" w:hAnsi="Calibri" w:cs="Arial"/>
          <w:kern w:val="0"/>
          <w:lang w:val="es-ES" w:eastAsia="es-CR"/>
          <w14:ligatures w14:val="none"/>
        </w:rPr>
        <w:t>última edición)</w:t>
      </w:r>
    </w:p>
    <w:p w14:paraId="00E26C0E" w14:textId="77777777" w:rsidR="00B977B2" w:rsidRPr="00B977B2" w:rsidRDefault="00B977B2" w:rsidP="00B977B2">
      <w:pPr>
        <w:widowControl w:val="0"/>
        <w:shd w:val="clear" w:color="auto" w:fill="FFFFFF"/>
        <w:overflowPunct w:val="0"/>
        <w:autoSpaceDE w:val="0"/>
        <w:autoSpaceDN w:val="0"/>
        <w:adjustRightInd w:val="0"/>
        <w:spacing w:before="120" w:after="0" w:line="240" w:lineRule="auto"/>
        <w:ind w:left="708" w:hanging="708"/>
        <w:jc w:val="both"/>
        <w:rPr>
          <w:rFonts w:ascii="Calibri" w:eastAsia="Times New Roman" w:hAnsi="Calibri" w:cs="Calibri"/>
          <w:kern w:val="0"/>
          <w:lang w:val="es-ES_tradnl" w:eastAsia="es-CR" w:bidi="he-IL"/>
          <w14:ligatures w14:val="none"/>
        </w:rPr>
      </w:pPr>
      <w:r w:rsidRPr="00B977B2">
        <w:rPr>
          <w:rFonts w:ascii="Calibri" w:eastAsia="Times New Roman" w:hAnsi="Calibri" w:cs="Calibri"/>
          <w:kern w:val="0"/>
          <w:lang w:val="es-ES_tradnl" w:eastAsia="es-CR" w:bidi="he-IL"/>
          <w14:ligatures w14:val="none"/>
        </w:rPr>
        <w:t>Monroy Palacio, José Agustín. “Interculturalidad con enfoque bíblico-teológico”. </w:t>
      </w:r>
      <w:r w:rsidRPr="00B977B2">
        <w:rPr>
          <w:rFonts w:ascii="Calibri" w:eastAsia="Times New Roman" w:hAnsi="Calibri" w:cs="Calibri"/>
          <w:i/>
          <w:iCs/>
          <w:kern w:val="0"/>
          <w:lang w:val="es-ES_tradnl" w:eastAsia="es-CR" w:bidi="he-IL"/>
          <w14:ligatures w14:val="none"/>
        </w:rPr>
        <w:t xml:space="preserve">Camino, </w:t>
      </w:r>
      <w:r w:rsidRPr="00B977B2">
        <w:rPr>
          <w:rFonts w:ascii="Calibri" w:eastAsia="Times New Roman" w:hAnsi="Calibri" w:cs="Calibri"/>
          <w:kern w:val="0"/>
          <w:lang w:val="es-ES_tradnl" w:eastAsia="es-CR" w:bidi="he-IL"/>
          <w14:ligatures w14:val="none"/>
        </w:rPr>
        <w:t xml:space="preserve">n. 7 (2020): 25-31. Acceso el 18 de noviembre de 2022. </w:t>
      </w:r>
      <w:hyperlink r:id="rId476" w:history="1">
        <w:r w:rsidRPr="00B977B2">
          <w:rPr>
            <w:rFonts w:ascii="Calibri" w:eastAsia="Times New Roman" w:hAnsi="Calibri" w:cs="Calibri"/>
            <w:color w:val="0563C1"/>
            <w:kern w:val="0"/>
            <w:u w:val="single"/>
            <w:lang w:val="es-ES_tradnl" w:eastAsia="es-CR" w:bidi="he-IL"/>
            <w14:ligatures w14:val="none"/>
          </w:rPr>
          <w:t>https://revistas.uniclaretiana.edu.co/index.php/Camino/article/view/77</w:t>
        </w:r>
      </w:hyperlink>
      <w:r w:rsidRPr="00B977B2">
        <w:rPr>
          <w:rFonts w:ascii="Calibri" w:eastAsia="Times New Roman" w:hAnsi="Calibri" w:cs="Calibri"/>
          <w:kern w:val="0"/>
          <w:lang w:val="es-ES_tradnl" w:eastAsia="es-CR" w:bidi="he-IL"/>
          <w14:ligatures w14:val="none"/>
        </w:rPr>
        <w:t xml:space="preserve"> </w:t>
      </w:r>
    </w:p>
    <w:p w14:paraId="0957F443" w14:textId="77777777" w:rsidR="00B977B2" w:rsidRPr="00B977B2" w:rsidRDefault="00B977B2" w:rsidP="00B977B2">
      <w:pPr>
        <w:widowControl w:val="0"/>
        <w:overflowPunct w:val="0"/>
        <w:autoSpaceDE w:val="0"/>
        <w:autoSpaceDN w:val="0"/>
        <w:adjustRightInd w:val="0"/>
        <w:spacing w:before="120" w:after="0" w:line="240" w:lineRule="auto"/>
        <w:ind w:left="709" w:hanging="709"/>
        <w:jc w:val="both"/>
        <w:rPr>
          <w:rFonts w:ascii="Calibri" w:eastAsia="Calibri" w:hAnsi="Calibri" w:cs="Calibri"/>
          <w:kern w:val="0"/>
          <w:lang w:val="es-ES_tradnl" w:eastAsia="es-CR" w:bidi="he-IL"/>
          <w14:ligatures w14:val="none"/>
        </w:rPr>
      </w:pPr>
      <w:r w:rsidRPr="00B977B2">
        <w:rPr>
          <w:rFonts w:ascii="Calibri" w:eastAsia="Arial" w:hAnsi="Calibri" w:cs="Calibri"/>
          <w:kern w:val="0"/>
          <w:lang w:val="es-ES_tradnl" w:eastAsia="es-CR" w:bidi="he-IL"/>
          <w14:ligatures w14:val="none"/>
        </w:rPr>
        <w:t xml:space="preserve">Ramírez Kidd, José Enrique. </w:t>
      </w:r>
      <w:r w:rsidRPr="00B977B2">
        <w:rPr>
          <w:rFonts w:ascii="Calibri" w:eastAsia="Calibri" w:hAnsi="Calibri" w:cs="Calibri"/>
          <w:i/>
          <w:kern w:val="0"/>
          <w:lang w:val="es-ES_tradnl" w:eastAsia="es-CR" w:bidi="he-IL"/>
          <w14:ligatures w14:val="none"/>
        </w:rPr>
        <w:t>Para comprender el Antiguo Testamento</w:t>
      </w:r>
      <w:r w:rsidRPr="00B977B2">
        <w:rPr>
          <w:rFonts w:ascii="Calibri" w:eastAsia="Calibri" w:hAnsi="Calibri" w:cs="Calibri"/>
          <w:kern w:val="0"/>
          <w:lang w:val="es-ES_tradnl" w:eastAsia="es-CR" w:bidi="he-IL"/>
          <w14:ligatures w14:val="none"/>
        </w:rPr>
        <w:t>. San José: SEBILA, 2019.</w:t>
      </w:r>
    </w:p>
    <w:p w14:paraId="0E425109" w14:textId="77777777" w:rsidR="00B977B2" w:rsidRPr="00B977B2" w:rsidRDefault="00B977B2" w:rsidP="00B977B2">
      <w:pPr>
        <w:widowControl w:val="0"/>
        <w:overflowPunct w:val="0"/>
        <w:autoSpaceDE w:val="0"/>
        <w:autoSpaceDN w:val="0"/>
        <w:adjustRightInd w:val="0"/>
        <w:spacing w:before="120" w:after="0" w:line="240" w:lineRule="auto"/>
        <w:ind w:left="709" w:hanging="709"/>
        <w:jc w:val="both"/>
        <w:rPr>
          <w:rFonts w:ascii="Calibri" w:eastAsia="Times New Roman" w:hAnsi="Calibri" w:cs="Arial"/>
          <w:color w:val="0563C1"/>
          <w:kern w:val="0"/>
          <w:u w:val="single"/>
          <w:lang w:val="es-ES" w:eastAsia="es-CR"/>
          <w14:ligatures w14:val="none"/>
        </w:rPr>
      </w:pPr>
      <w:r w:rsidRPr="00B977B2">
        <w:rPr>
          <w:rFonts w:ascii="Calibri" w:eastAsia="Times New Roman" w:hAnsi="Calibri" w:cs="Arial"/>
          <w:kern w:val="0"/>
          <w:lang w:val="es-ES" w:eastAsia="es-CR"/>
          <w14:ligatures w14:val="none"/>
        </w:rPr>
        <w:t xml:space="preserve">Salas Portilla, Uriel Salomón. “David como rey absoluto: análisis narrativo de 2S 20”. </w:t>
      </w:r>
      <w:proofErr w:type="spellStart"/>
      <w:r w:rsidRPr="00B977B2">
        <w:rPr>
          <w:rFonts w:ascii="Calibri" w:eastAsia="Times New Roman" w:hAnsi="Calibri" w:cs="Arial"/>
          <w:i/>
          <w:iCs/>
          <w:kern w:val="0"/>
          <w:lang w:val="es-ES" w:eastAsia="es-CR"/>
          <w14:ligatures w14:val="none"/>
        </w:rPr>
        <w:t>Theologica</w:t>
      </w:r>
      <w:proofErr w:type="spellEnd"/>
      <w:r w:rsidRPr="00B977B2">
        <w:rPr>
          <w:rFonts w:ascii="Calibri" w:eastAsia="Times New Roman" w:hAnsi="Calibri" w:cs="Arial"/>
          <w:i/>
          <w:iCs/>
          <w:kern w:val="0"/>
          <w:lang w:val="es-ES" w:eastAsia="es-CR"/>
          <w14:ligatures w14:val="none"/>
        </w:rPr>
        <w:t xml:space="preserve"> </w:t>
      </w:r>
      <w:proofErr w:type="spellStart"/>
      <w:r w:rsidRPr="00B977B2">
        <w:rPr>
          <w:rFonts w:ascii="Calibri" w:eastAsia="Times New Roman" w:hAnsi="Calibri" w:cs="Arial"/>
          <w:i/>
          <w:iCs/>
          <w:kern w:val="0"/>
          <w:lang w:val="es-ES" w:eastAsia="es-CR"/>
          <w14:ligatures w14:val="none"/>
        </w:rPr>
        <w:t>Xaveriana</w:t>
      </w:r>
      <w:proofErr w:type="spellEnd"/>
      <w:r w:rsidRPr="00B977B2">
        <w:rPr>
          <w:rFonts w:ascii="Calibri" w:eastAsia="Times New Roman" w:hAnsi="Calibri" w:cs="Arial"/>
          <w:kern w:val="0"/>
          <w:lang w:val="es-ES" w:eastAsia="es-CR"/>
          <w14:ligatures w14:val="none"/>
        </w:rPr>
        <w:t xml:space="preserve">, n. 178 (2014): 515-543. Acceso el 18 de noviembre de 2022. </w:t>
      </w:r>
      <w:hyperlink r:id="rId477">
        <w:r w:rsidRPr="00B977B2">
          <w:rPr>
            <w:rFonts w:ascii="Calibri" w:eastAsia="Times New Roman" w:hAnsi="Calibri" w:cs="Arial"/>
            <w:color w:val="0563C1"/>
            <w:kern w:val="0"/>
            <w:u w:val="single"/>
            <w:lang w:val="es-ES" w:eastAsia="es-CR"/>
            <w14:ligatures w14:val="none"/>
          </w:rPr>
          <w:t>https://www.redalyc.org/articulo.oa?id=191032567008</w:t>
        </w:r>
      </w:hyperlink>
    </w:p>
    <w:p w14:paraId="212B8912" w14:textId="77777777" w:rsidR="00B977B2" w:rsidRPr="00B977B2" w:rsidRDefault="00B977B2" w:rsidP="00B977B2">
      <w:pPr>
        <w:widowControl w:val="0"/>
        <w:overflowPunct w:val="0"/>
        <w:autoSpaceDE w:val="0"/>
        <w:autoSpaceDN w:val="0"/>
        <w:adjustRightInd w:val="0"/>
        <w:spacing w:before="120" w:after="0" w:line="240" w:lineRule="auto"/>
        <w:ind w:left="709" w:hanging="709"/>
        <w:jc w:val="both"/>
        <w:rPr>
          <w:rFonts w:ascii="Calibri" w:eastAsia="Calibri" w:hAnsi="Calibri" w:cs="Calibri"/>
          <w:kern w:val="0"/>
          <w:lang w:val="es-ES_tradnl" w:eastAsia="es-CR" w:bidi="he-IL"/>
          <w14:ligatures w14:val="none"/>
        </w:rPr>
      </w:pPr>
    </w:p>
    <w:p w14:paraId="1E363B9D" w14:textId="77777777" w:rsidR="00B977B2" w:rsidRPr="00B977B2" w:rsidRDefault="00B977B2" w:rsidP="00B977B2">
      <w:pPr>
        <w:widowControl w:val="0"/>
        <w:overflowPunct w:val="0"/>
        <w:autoSpaceDE w:val="0"/>
        <w:autoSpaceDN w:val="0"/>
        <w:adjustRightInd w:val="0"/>
        <w:spacing w:before="120" w:after="0" w:line="240" w:lineRule="auto"/>
        <w:rPr>
          <w:rFonts w:ascii="Calibri" w:eastAsia="Times New Roman" w:hAnsi="Calibri" w:cs="Calibri"/>
          <w:b/>
          <w:bCs/>
          <w:kern w:val="0"/>
          <w:lang w:val="es-ES_tradnl" w:eastAsia="es-CR"/>
          <w14:ligatures w14:val="none"/>
        </w:rPr>
      </w:pPr>
      <w:r w:rsidRPr="00B977B2">
        <w:rPr>
          <w:rFonts w:ascii="Calibri" w:eastAsia="Times New Roman" w:hAnsi="Calibri" w:cs="Calibri"/>
          <w:b/>
          <w:bCs/>
          <w:kern w:val="0"/>
          <w:lang w:val="es-ES_tradnl" w:eastAsia="es-CR"/>
          <w14:ligatures w14:val="none"/>
        </w:rPr>
        <w:t>XII. Bibliografía complementaria</w:t>
      </w:r>
    </w:p>
    <w:p w14:paraId="2199BD7B" w14:textId="77777777" w:rsidR="00B977B2" w:rsidRPr="00B977B2" w:rsidRDefault="00B977B2" w:rsidP="00B977B2">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B977B2">
        <w:rPr>
          <w:rFonts w:ascii="Calibri" w:eastAsia="Times New Roman" w:hAnsi="Calibri" w:cs="Arial"/>
          <w:b/>
          <w:color w:val="000000"/>
          <w:kern w:val="0"/>
          <w:lang w:eastAsia="es-CR"/>
          <w14:ligatures w14:val="none"/>
        </w:rPr>
        <w:t>Nota:</w:t>
      </w:r>
      <w:r w:rsidRPr="00B977B2">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B977B2">
        <w:rPr>
          <w:rFonts w:ascii="Calibri" w:eastAsia="Times New Roman" w:hAnsi="Calibri" w:cs="Arial"/>
          <w:bCs/>
          <w:color w:val="000000"/>
          <w:kern w:val="0"/>
          <w:lang w:eastAsia="es-CR"/>
          <w14:ligatures w14:val="none"/>
        </w:rPr>
        <w:t>pdf</w:t>
      </w:r>
      <w:proofErr w:type="spellEnd"/>
      <w:r w:rsidRPr="00B977B2">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2206E5CC" w14:textId="77777777" w:rsidR="00B977B2" w:rsidRPr="00B977B2" w:rsidRDefault="00B977B2" w:rsidP="00B977B2">
      <w:pPr>
        <w:widowControl w:val="0"/>
        <w:overflowPunct w:val="0"/>
        <w:autoSpaceDE w:val="0"/>
        <w:autoSpaceDN w:val="0"/>
        <w:adjustRightInd w:val="0"/>
        <w:spacing w:before="120" w:after="0" w:line="240" w:lineRule="auto"/>
        <w:ind w:left="708" w:hanging="709"/>
        <w:jc w:val="both"/>
        <w:rPr>
          <w:rFonts w:ascii="Calibri" w:eastAsia="Times New Roman" w:hAnsi="Calibri" w:cs="Calibri"/>
          <w:bCs/>
          <w:kern w:val="0"/>
          <w:lang w:val="es-ES_tradnl" w:eastAsia="es-CR"/>
          <w14:ligatures w14:val="none"/>
        </w:rPr>
      </w:pPr>
      <w:r w:rsidRPr="00B977B2">
        <w:rPr>
          <w:rFonts w:ascii="Calibri" w:eastAsia="Times New Roman" w:hAnsi="Calibri" w:cs="Calibri"/>
          <w:bCs/>
          <w:kern w:val="0"/>
          <w:lang w:val="es-ES_tradnl" w:eastAsia="es-CR"/>
          <w14:ligatures w14:val="none"/>
        </w:rPr>
        <w:t xml:space="preserve">Castillo, David. “¡Ya no sube el cortador contra nosotros! Interpretar la Biblia con conciencia ecológica”. </w:t>
      </w:r>
      <w:r w:rsidRPr="00B977B2">
        <w:rPr>
          <w:rFonts w:ascii="Calibri" w:eastAsia="Times New Roman" w:hAnsi="Calibri" w:cs="Calibri"/>
          <w:bCs/>
          <w:i/>
          <w:iCs/>
          <w:kern w:val="0"/>
          <w:lang w:val="es-ES_tradnl" w:eastAsia="es-CR"/>
          <w14:ligatures w14:val="none"/>
        </w:rPr>
        <w:t>Revista de Interpretación Bíblica Latinoamericana</w:t>
      </w:r>
      <w:r w:rsidRPr="00B977B2">
        <w:rPr>
          <w:rFonts w:ascii="Calibri" w:eastAsia="Times New Roman" w:hAnsi="Calibri" w:cs="Calibri"/>
          <w:bCs/>
          <w:kern w:val="0"/>
          <w:lang w:val="es-ES_tradnl" w:eastAsia="es-CR"/>
          <w14:ligatures w14:val="none"/>
        </w:rPr>
        <w:t xml:space="preserve">, n. 2 (2019): 39-58. Acceso el 18 de noviembre de 2022. </w:t>
      </w:r>
      <w:hyperlink r:id="rId478" w:history="1">
        <w:r w:rsidRPr="00B977B2">
          <w:rPr>
            <w:rFonts w:ascii="Calibri" w:eastAsia="Times New Roman" w:hAnsi="Calibri" w:cs="Calibri"/>
            <w:bCs/>
            <w:color w:val="0563C1"/>
            <w:kern w:val="0"/>
            <w:u w:val="single"/>
            <w:lang w:val="es-ES_tradnl" w:eastAsia="es-CR"/>
            <w14:ligatures w14:val="none"/>
          </w:rPr>
          <w:t>https://doi.org/10.15603/1676-3394/ribla.v80n2p39-58</w:t>
        </w:r>
      </w:hyperlink>
    </w:p>
    <w:p w14:paraId="7DAA9796" w14:textId="77777777" w:rsidR="00B977B2" w:rsidRPr="00B977B2" w:rsidRDefault="00B977B2" w:rsidP="00B977B2">
      <w:pPr>
        <w:widowControl w:val="0"/>
        <w:overflowPunct w:val="0"/>
        <w:autoSpaceDE w:val="0"/>
        <w:autoSpaceDN w:val="0"/>
        <w:adjustRightInd w:val="0"/>
        <w:spacing w:before="120" w:after="0" w:line="276" w:lineRule="auto"/>
        <w:ind w:left="708" w:hanging="709"/>
        <w:jc w:val="both"/>
        <w:rPr>
          <w:rFonts w:ascii="Calibri" w:eastAsia="Times New Roman" w:hAnsi="Calibri" w:cs="Calibri"/>
          <w:kern w:val="0"/>
          <w:lang w:val="es-ES_tradnl" w:eastAsia="es-CR"/>
          <w14:ligatures w14:val="none"/>
        </w:rPr>
      </w:pPr>
      <w:r w:rsidRPr="00B977B2">
        <w:rPr>
          <w:rFonts w:ascii="Calibri" w:eastAsia="Times New Roman" w:hAnsi="Calibri" w:cs="Calibri"/>
          <w:kern w:val="0"/>
          <w:lang w:val="es-ES_tradnl" w:eastAsia="es-CR"/>
          <w14:ligatures w14:val="none"/>
        </w:rPr>
        <w:t xml:space="preserve">Kennedy, George, A. </w:t>
      </w:r>
      <w:r w:rsidRPr="00B977B2">
        <w:rPr>
          <w:rFonts w:ascii="Calibri" w:eastAsia="Times New Roman" w:hAnsi="Calibri" w:cs="Calibri"/>
          <w:i/>
          <w:iCs/>
          <w:kern w:val="0"/>
          <w:lang w:val="es-ES_tradnl" w:eastAsia="es-CR"/>
          <w14:ligatures w14:val="none"/>
        </w:rPr>
        <w:t>Retórica y Nuevo Testamento: la interpretación del Nuevo Testamento mediante la crítica retórica</w:t>
      </w:r>
      <w:r w:rsidRPr="00B977B2">
        <w:rPr>
          <w:rFonts w:ascii="Calibri" w:eastAsia="Times New Roman" w:hAnsi="Calibri" w:cs="Calibri"/>
          <w:kern w:val="0"/>
          <w:lang w:val="es-ES_tradnl" w:eastAsia="es-CR"/>
          <w14:ligatures w14:val="none"/>
        </w:rPr>
        <w:t xml:space="preserve">, 185-214. Madrid: Cristiandad, 2003. </w:t>
      </w:r>
      <w:r w:rsidRPr="00B977B2">
        <w:rPr>
          <w:rFonts w:ascii="Calibri" w:eastAsia="Times New Roman" w:hAnsi="Calibri" w:cs="Calibri"/>
          <w:bCs/>
          <w:kern w:val="0"/>
          <w:lang w:val="es-ES_tradnl" w:eastAsia="es-CR"/>
          <w14:ligatures w14:val="none"/>
        </w:rPr>
        <w:t>(</w:t>
      </w:r>
      <w:r w:rsidRPr="00B977B2">
        <w:rPr>
          <w:rFonts w:ascii="Calibri" w:eastAsia="Times New Roman" w:hAnsi="Calibri" w:cs="Calibri"/>
          <w:bCs/>
          <w:color w:val="0070C0"/>
          <w:kern w:val="0"/>
          <w:lang w:val="es-ES_tradnl" w:eastAsia="es-CR"/>
          <w14:ligatures w14:val="none"/>
        </w:rPr>
        <w:t xml:space="preserve">clásico, </w:t>
      </w:r>
      <w:r w:rsidRPr="00B977B2">
        <w:rPr>
          <w:rFonts w:ascii="Calibri" w:eastAsia="Times New Roman" w:hAnsi="Calibri" w:cs="Calibri"/>
          <w:bCs/>
          <w:kern w:val="0"/>
          <w:lang w:val="es-ES_tradnl" w:eastAsia="es-CR"/>
          <w14:ligatures w14:val="none"/>
        </w:rPr>
        <w:t>última edición)</w:t>
      </w:r>
    </w:p>
    <w:p w14:paraId="14866133" w14:textId="77777777" w:rsidR="00B977B2" w:rsidRPr="00B977B2" w:rsidRDefault="00B977B2" w:rsidP="00B977B2">
      <w:pPr>
        <w:widowControl w:val="0"/>
        <w:suppressAutoHyphens/>
        <w:spacing w:before="120" w:after="0" w:line="240" w:lineRule="auto"/>
        <w:ind w:left="708" w:hanging="709"/>
        <w:jc w:val="both"/>
        <w:textAlignment w:val="baseline"/>
        <w:rPr>
          <w:rFonts w:ascii="Calibri" w:eastAsia="Times New Roman" w:hAnsi="Calibri" w:cs="Calibri"/>
          <w:bCs/>
          <w:color w:val="00000A"/>
          <w:kern w:val="0"/>
          <w:lang w:eastAsia="es-CR"/>
          <w14:ligatures w14:val="none"/>
        </w:rPr>
      </w:pPr>
      <w:r w:rsidRPr="00B977B2">
        <w:rPr>
          <w:rFonts w:ascii="Calibri" w:eastAsia="Times New Roman" w:hAnsi="Calibri" w:cs="Calibri"/>
          <w:bCs/>
          <w:color w:val="00000A"/>
          <w:kern w:val="0"/>
          <w:lang w:eastAsia="es-CR"/>
          <w14:ligatures w14:val="none"/>
        </w:rPr>
        <w:t xml:space="preserve">West, Gerald. Estudio Contextual de la Biblia. </w:t>
      </w:r>
      <w:r w:rsidRPr="00B977B2">
        <w:rPr>
          <w:rFonts w:ascii="Calibri" w:eastAsia="Times New Roman" w:hAnsi="Calibri" w:cs="Calibri"/>
          <w:bCs/>
          <w:i/>
          <w:iCs/>
          <w:color w:val="00000A"/>
          <w:kern w:val="0"/>
          <w:lang w:eastAsia="es-CR"/>
          <w14:ligatures w14:val="none"/>
        </w:rPr>
        <w:t>Aportes Bíblicos</w:t>
      </w:r>
      <w:r w:rsidRPr="00B977B2">
        <w:rPr>
          <w:rFonts w:ascii="Calibri" w:eastAsia="Times New Roman" w:hAnsi="Calibri" w:cs="Calibri"/>
          <w:bCs/>
          <w:color w:val="00000A"/>
          <w:kern w:val="0"/>
          <w:lang w:eastAsia="es-CR"/>
          <w14:ligatures w14:val="none"/>
        </w:rPr>
        <w:t xml:space="preserve">, n.º 26 (2018): 26-53. </w:t>
      </w:r>
    </w:p>
    <w:p w14:paraId="024B9B9A" w14:textId="77777777" w:rsidR="00B977B2" w:rsidRPr="00B977B2" w:rsidRDefault="00B977B2" w:rsidP="00B977B2">
      <w:pPr>
        <w:widowControl w:val="0"/>
        <w:suppressAutoHyphens/>
        <w:spacing w:before="120" w:after="0" w:line="240" w:lineRule="auto"/>
        <w:ind w:left="708" w:hanging="709"/>
        <w:jc w:val="both"/>
        <w:textAlignment w:val="baseline"/>
        <w:rPr>
          <w:rFonts w:ascii="Calibri" w:eastAsia="Times New Roman" w:hAnsi="Calibri" w:cs="Calibri"/>
          <w:bCs/>
          <w:color w:val="00000A"/>
          <w:kern w:val="0"/>
          <w:lang w:eastAsia="es-CR"/>
          <w14:ligatures w14:val="none"/>
        </w:rPr>
      </w:pPr>
      <w:proofErr w:type="spellStart"/>
      <w:r w:rsidRPr="00B977B2">
        <w:rPr>
          <w:rFonts w:ascii="Calibri" w:eastAsia="Times New Roman" w:hAnsi="Calibri" w:cs="Calibri"/>
          <w:bCs/>
          <w:color w:val="00000A"/>
          <w:kern w:val="0"/>
          <w:lang w:eastAsia="es-CR"/>
          <w14:ligatures w14:val="none"/>
        </w:rPr>
        <w:t>Whitelam</w:t>
      </w:r>
      <w:proofErr w:type="spellEnd"/>
      <w:r w:rsidRPr="00B977B2">
        <w:rPr>
          <w:rFonts w:ascii="Calibri" w:eastAsia="Times New Roman" w:hAnsi="Calibri" w:cs="Calibri"/>
          <w:bCs/>
          <w:color w:val="00000A"/>
          <w:kern w:val="0"/>
          <w:lang w:eastAsia="es-CR"/>
          <w14:ligatures w14:val="none"/>
        </w:rPr>
        <w:t xml:space="preserve">, Keith. “El mundo social de la Biblia”. En </w:t>
      </w:r>
      <w:r w:rsidRPr="00B977B2">
        <w:rPr>
          <w:rFonts w:ascii="Calibri" w:eastAsia="Times New Roman" w:hAnsi="Calibri" w:cs="Calibri"/>
          <w:i/>
          <w:iCs/>
          <w:color w:val="00000A"/>
          <w:kern w:val="0"/>
          <w:lang w:eastAsia="es-CR"/>
          <w14:ligatures w14:val="none"/>
        </w:rPr>
        <w:t>La interpretación bíblica hoy</w:t>
      </w:r>
      <w:r w:rsidRPr="00B977B2">
        <w:rPr>
          <w:rFonts w:ascii="Calibri" w:eastAsia="Times New Roman" w:hAnsi="Calibri" w:cs="Calibri"/>
          <w:color w:val="00000A"/>
          <w:kern w:val="0"/>
          <w:lang w:eastAsia="es-CR"/>
          <w14:ligatures w14:val="none"/>
        </w:rPr>
        <w:t xml:space="preserve">, editado por John Barton, 53-69. Santander: Sal </w:t>
      </w:r>
      <w:proofErr w:type="spellStart"/>
      <w:r w:rsidRPr="00B977B2">
        <w:rPr>
          <w:rFonts w:ascii="Calibri" w:eastAsia="Times New Roman" w:hAnsi="Calibri" w:cs="Calibri"/>
          <w:color w:val="00000A"/>
          <w:kern w:val="0"/>
          <w:lang w:eastAsia="es-CR"/>
          <w14:ligatures w14:val="none"/>
        </w:rPr>
        <w:t>Terrae</w:t>
      </w:r>
      <w:proofErr w:type="spellEnd"/>
      <w:r w:rsidRPr="00B977B2">
        <w:rPr>
          <w:rFonts w:ascii="Calibri" w:eastAsia="Times New Roman" w:hAnsi="Calibri" w:cs="Calibri"/>
          <w:color w:val="00000A"/>
          <w:kern w:val="0"/>
          <w:lang w:eastAsia="es-CR"/>
          <w14:ligatures w14:val="none"/>
        </w:rPr>
        <w:t xml:space="preserve">, 2001. </w:t>
      </w:r>
      <w:r w:rsidRPr="00B977B2">
        <w:rPr>
          <w:rFonts w:ascii="Calibri" w:eastAsia="Times New Roman" w:hAnsi="Calibri" w:cs="Calibri"/>
          <w:bCs/>
          <w:color w:val="00000A"/>
          <w:kern w:val="0"/>
          <w:lang w:eastAsia="es-CR"/>
          <w14:ligatures w14:val="none"/>
        </w:rPr>
        <w:t>(</w:t>
      </w:r>
      <w:proofErr w:type="spellStart"/>
      <w:r w:rsidRPr="00B977B2">
        <w:rPr>
          <w:rFonts w:ascii="Calibri" w:eastAsia="Times New Roman" w:hAnsi="Calibri" w:cs="Calibri"/>
          <w:bCs/>
          <w:color w:val="0070C0"/>
          <w:kern w:val="0"/>
          <w:lang w:val="en-US" w:eastAsia="es-CR"/>
          <w14:ligatures w14:val="none"/>
        </w:rPr>
        <w:t>clásico</w:t>
      </w:r>
      <w:proofErr w:type="spellEnd"/>
      <w:r w:rsidRPr="00B977B2">
        <w:rPr>
          <w:rFonts w:ascii="Calibri" w:eastAsia="Times New Roman" w:hAnsi="Calibri" w:cs="Calibri"/>
          <w:bCs/>
          <w:color w:val="0070C0"/>
          <w:kern w:val="0"/>
          <w:lang w:val="en-US" w:eastAsia="es-CR"/>
          <w14:ligatures w14:val="none"/>
        </w:rPr>
        <w:t xml:space="preserve">, </w:t>
      </w:r>
      <w:r w:rsidRPr="00B977B2">
        <w:rPr>
          <w:rFonts w:ascii="Calibri" w:eastAsia="Times New Roman" w:hAnsi="Calibri" w:cs="Calibri"/>
          <w:bCs/>
          <w:color w:val="00000A"/>
          <w:kern w:val="0"/>
          <w:lang w:eastAsia="es-CR"/>
          <w14:ligatures w14:val="none"/>
        </w:rPr>
        <w:t>última edición)</w:t>
      </w:r>
    </w:p>
    <w:p w14:paraId="2548B4E3" w14:textId="77777777" w:rsidR="000E483A" w:rsidRDefault="000E483A" w:rsidP="00DC6C24">
      <w:pPr>
        <w:rPr>
          <w:sz w:val="24"/>
          <w:szCs w:val="24"/>
        </w:rPr>
      </w:pPr>
    </w:p>
    <w:p w14:paraId="2DA24C4E" w14:textId="1CACDBD5" w:rsidR="00991BAD" w:rsidRDefault="00991BAD">
      <w:pPr>
        <w:rPr>
          <w:sz w:val="24"/>
          <w:szCs w:val="24"/>
        </w:rPr>
      </w:pPr>
      <w:r>
        <w:rPr>
          <w:sz w:val="24"/>
          <w:szCs w:val="24"/>
        </w:rPr>
        <w:br w:type="page"/>
      </w:r>
    </w:p>
    <w:p w14:paraId="0B2A8ECA" w14:textId="77777777" w:rsidR="00F65C48" w:rsidRPr="00F65C48" w:rsidRDefault="00F65C48" w:rsidP="00F65C48">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F65C48">
        <w:rPr>
          <w:rFonts w:ascii="Calibri" w:eastAsia="Times New Roman" w:hAnsi="Calibri" w:cs="Calibri"/>
          <w:noProof/>
          <w:color w:val="000000"/>
          <w:kern w:val="0"/>
          <w:lang w:eastAsia="es-CR"/>
          <w14:ligatures w14:val="none"/>
        </w:rPr>
        <w:lastRenderedPageBreak/>
        <w:drawing>
          <wp:inline distT="0" distB="0" distL="0" distR="0" wp14:anchorId="5A00EBD4" wp14:editId="7063F9BB">
            <wp:extent cx="2009775" cy="1548377"/>
            <wp:effectExtent l="0" t="0" r="0" b="0"/>
            <wp:docPr id="2011712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ara sílabo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7AB49A3F" w14:textId="77777777" w:rsidR="00F65C48" w:rsidRPr="00F65C48" w:rsidRDefault="00F65C48" w:rsidP="00F65C48">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r w:rsidRPr="00F65C48">
        <w:rPr>
          <w:rFonts w:ascii="Calibri" w:eastAsia="Times New Roman" w:hAnsi="Calibri" w:cs="Calibri"/>
          <w:b/>
          <w:spacing w:val="-2"/>
          <w:kern w:val="0"/>
          <w:sz w:val="24"/>
          <w:szCs w:val="24"/>
          <w:lang w:eastAsia="es-CR"/>
          <w14:ligatures w14:val="none"/>
        </w:rPr>
        <w:t>Universidad Bíblica Latinoamericana</w:t>
      </w:r>
    </w:p>
    <w:p w14:paraId="7D8E4BEF" w14:textId="77777777" w:rsidR="00F65C48" w:rsidRPr="00F65C48" w:rsidRDefault="00F65C48" w:rsidP="00F65C48">
      <w:pPr>
        <w:keepNext/>
        <w:widowControl w:val="0"/>
        <w:overflowPunct w:val="0"/>
        <w:autoSpaceDE w:val="0"/>
        <w:autoSpaceDN w:val="0"/>
        <w:adjustRightInd w:val="0"/>
        <w:spacing w:after="0" w:line="240" w:lineRule="auto"/>
        <w:jc w:val="center"/>
        <w:outlineLvl w:val="1"/>
        <w:rPr>
          <w:rFonts w:ascii="Calibri" w:eastAsia="Times New Roman" w:hAnsi="Calibri" w:cs="Calibri"/>
          <w:b/>
          <w:i/>
          <w:spacing w:val="-2"/>
          <w:kern w:val="28"/>
          <w:sz w:val="24"/>
          <w:szCs w:val="24"/>
          <w:lang w:eastAsia="es-CR"/>
          <w14:ligatures w14:val="none"/>
        </w:rPr>
      </w:pPr>
      <w:r w:rsidRPr="00F65C48">
        <w:rPr>
          <w:rFonts w:ascii="Calibri" w:eastAsia="Times New Roman" w:hAnsi="Calibri" w:cs="Calibri"/>
          <w:b/>
          <w:i/>
          <w:spacing w:val="-2"/>
          <w:kern w:val="28"/>
          <w:sz w:val="24"/>
          <w:szCs w:val="24"/>
          <w:lang w:eastAsia="es-CR"/>
          <w14:ligatures w14:val="none"/>
        </w:rPr>
        <w:t>Facultad de Teología</w:t>
      </w:r>
    </w:p>
    <w:p w14:paraId="57040323" w14:textId="77777777" w:rsidR="00F65C48" w:rsidRPr="00F65C48" w:rsidRDefault="00F65C48" w:rsidP="00F65C48">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r w:rsidRPr="00F65C48">
        <w:rPr>
          <w:rFonts w:ascii="Calibri" w:eastAsia="Times New Roman" w:hAnsi="Calibri" w:cs="Calibri"/>
          <w:b/>
          <w:bCs/>
          <w:kern w:val="0"/>
          <w:sz w:val="24"/>
          <w:szCs w:val="24"/>
          <w:lang w:val="es-ES_tradnl" w:eastAsia="es-CR"/>
          <w14:ligatures w14:val="none"/>
        </w:rPr>
        <w:t>Bachillerato en Ciencias Bíblicas</w:t>
      </w:r>
    </w:p>
    <w:p w14:paraId="4FF94488" w14:textId="77777777" w:rsidR="00F65C48" w:rsidRPr="00F65C48" w:rsidRDefault="00F65C48" w:rsidP="00F65C48">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p>
    <w:p w14:paraId="28C7080C" w14:textId="77777777" w:rsidR="00F65C48" w:rsidRPr="00F65C48" w:rsidRDefault="00F65C48" w:rsidP="00F65C48">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F65C48">
        <w:rPr>
          <w:rFonts w:ascii="Calibri" w:eastAsia="Times New Roman" w:hAnsi="Calibri" w:cs="Calibri"/>
          <w:b/>
          <w:kern w:val="0"/>
          <w:sz w:val="24"/>
          <w:szCs w:val="24"/>
          <w:lang w:val="es-ES_tradnl" w:eastAsia="es-CR"/>
          <w14:ligatures w14:val="none"/>
        </w:rPr>
        <w:t>Sílabo</w:t>
      </w:r>
    </w:p>
    <w:p w14:paraId="768C8AC0" w14:textId="77777777" w:rsidR="00F65C48" w:rsidRPr="00F65C48" w:rsidRDefault="00F65C48" w:rsidP="00F65C48">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bookmarkStart w:id="58" w:name="CB114"/>
      <w:r w:rsidRPr="00F65C48">
        <w:rPr>
          <w:rFonts w:ascii="Calibri" w:eastAsia="Times New Roman" w:hAnsi="Calibri" w:cs="Calibri"/>
          <w:b/>
          <w:kern w:val="0"/>
          <w:sz w:val="24"/>
          <w:szCs w:val="24"/>
          <w:lang w:val="es-ES_tradnl" w:eastAsia="es-CR"/>
          <w14:ligatures w14:val="none"/>
        </w:rPr>
        <w:t>Sociología del Periodo Bíblico II</w:t>
      </w:r>
    </w:p>
    <w:bookmarkEnd w:id="58"/>
    <w:p w14:paraId="08B3D227" w14:textId="77777777" w:rsidR="00F65C48" w:rsidRPr="00F65C48" w:rsidRDefault="00F65C48" w:rsidP="00F65C48">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p>
    <w:p w14:paraId="7591D2F1" w14:textId="77777777" w:rsidR="00F65C48" w:rsidRPr="00F65C48" w:rsidRDefault="00F65C48" w:rsidP="00F65C48">
      <w:pPr>
        <w:widowControl w:val="0"/>
        <w:overflowPunct w:val="0"/>
        <w:autoSpaceDE w:val="0"/>
        <w:autoSpaceDN w:val="0"/>
        <w:adjustRightInd w:val="0"/>
        <w:spacing w:before="120" w:after="0" w:line="240" w:lineRule="auto"/>
        <w:jc w:val="center"/>
        <w:rPr>
          <w:rFonts w:ascii="Calibri" w:eastAsia="Times New Roman" w:hAnsi="Calibri" w:cs="Calibri"/>
          <w:color w:val="00B0F0"/>
          <w:kern w:val="0"/>
          <w:lang w:val="es-ES_tradnl" w:eastAsia="es-CR"/>
          <w14:ligatures w14:val="none"/>
        </w:rPr>
      </w:pPr>
    </w:p>
    <w:tbl>
      <w:tblPr>
        <w:tblStyle w:val="Tablaconcuadrcula"/>
        <w:tblW w:w="0" w:type="auto"/>
        <w:tblLook w:val="04A0" w:firstRow="1" w:lastRow="0" w:firstColumn="1" w:lastColumn="0" w:noHBand="0" w:noVBand="1"/>
      </w:tblPr>
      <w:tblGrid>
        <w:gridCol w:w="1666"/>
        <w:gridCol w:w="7162"/>
      </w:tblGrid>
      <w:tr w:rsidR="00F65C48" w:rsidRPr="00F65C48" w14:paraId="6D38C856" w14:textId="77777777" w:rsidTr="00CE7124">
        <w:tc>
          <w:tcPr>
            <w:tcW w:w="1668" w:type="dxa"/>
          </w:tcPr>
          <w:p w14:paraId="76567144" w14:textId="77777777" w:rsidR="00F65C48" w:rsidRPr="00F65C48" w:rsidRDefault="00F65C48" w:rsidP="00F65C48">
            <w:pPr>
              <w:widowControl w:val="0"/>
              <w:overflowPunct w:val="0"/>
              <w:autoSpaceDE w:val="0"/>
              <w:autoSpaceDN w:val="0"/>
              <w:adjustRightInd w:val="0"/>
              <w:rPr>
                <w:rFonts w:ascii="Calibri" w:eastAsia="Times New Roman" w:hAnsi="Calibri" w:cs="Calibri"/>
                <w:b/>
                <w:color w:val="000000"/>
                <w:lang w:eastAsia="es-CR"/>
              </w:rPr>
            </w:pPr>
            <w:r w:rsidRPr="00F65C48">
              <w:rPr>
                <w:rFonts w:ascii="Calibri" w:eastAsia="Times New Roman" w:hAnsi="Calibri" w:cs="Calibri"/>
                <w:b/>
                <w:color w:val="000000"/>
                <w:lang w:eastAsia="es-CR"/>
              </w:rPr>
              <w:t>Código</w:t>
            </w:r>
          </w:p>
        </w:tc>
        <w:tc>
          <w:tcPr>
            <w:tcW w:w="7386" w:type="dxa"/>
          </w:tcPr>
          <w:p w14:paraId="6D443882" w14:textId="77777777" w:rsidR="00F65C48" w:rsidRPr="00F65C48" w:rsidRDefault="00F65C48" w:rsidP="00F65C48">
            <w:pPr>
              <w:widowControl w:val="0"/>
              <w:overflowPunct w:val="0"/>
              <w:autoSpaceDE w:val="0"/>
              <w:autoSpaceDN w:val="0"/>
              <w:adjustRightInd w:val="0"/>
              <w:rPr>
                <w:rFonts w:ascii="Calibri" w:eastAsia="Times New Roman" w:hAnsi="Calibri" w:cs="Calibri"/>
                <w:color w:val="000000"/>
                <w:lang w:eastAsia="es-CR"/>
              </w:rPr>
            </w:pPr>
            <w:r w:rsidRPr="00F65C48">
              <w:rPr>
                <w:rFonts w:ascii="Calibri" w:eastAsia="Times New Roman" w:hAnsi="Calibri" w:cs="Calibri"/>
                <w:color w:val="000000"/>
                <w:lang w:eastAsia="es-CR"/>
              </w:rPr>
              <w:t>CB 114</w:t>
            </w:r>
          </w:p>
        </w:tc>
      </w:tr>
      <w:tr w:rsidR="00F65C48" w:rsidRPr="00F65C48" w14:paraId="4F4C3880" w14:textId="77777777" w:rsidTr="00CE7124">
        <w:tc>
          <w:tcPr>
            <w:tcW w:w="1668" w:type="dxa"/>
          </w:tcPr>
          <w:p w14:paraId="366A87D9" w14:textId="77777777" w:rsidR="00F65C48" w:rsidRPr="00F65C48" w:rsidRDefault="00F65C48" w:rsidP="00F65C48">
            <w:pPr>
              <w:widowControl w:val="0"/>
              <w:overflowPunct w:val="0"/>
              <w:autoSpaceDE w:val="0"/>
              <w:autoSpaceDN w:val="0"/>
              <w:adjustRightInd w:val="0"/>
              <w:rPr>
                <w:rFonts w:ascii="Calibri" w:eastAsia="Times New Roman" w:hAnsi="Calibri" w:cs="Calibri"/>
                <w:b/>
                <w:color w:val="000000"/>
                <w:lang w:eastAsia="es-CR"/>
              </w:rPr>
            </w:pPr>
            <w:r w:rsidRPr="00F65C48">
              <w:rPr>
                <w:rFonts w:ascii="Calibri" w:eastAsia="Times New Roman" w:hAnsi="Calibri" w:cs="Calibri"/>
                <w:b/>
                <w:color w:val="000000"/>
                <w:lang w:eastAsia="es-CR"/>
              </w:rPr>
              <w:t>Créditos</w:t>
            </w:r>
          </w:p>
        </w:tc>
        <w:tc>
          <w:tcPr>
            <w:tcW w:w="7386" w:type="dxa"/>
          </w:tcPr>
          <w:p w14:paraId="2FEA6C5F" w14:textId="77777777" w:rsidR="00F65C48" w:rsidRPr="00F65C48" w:rsidRDefault="00F65C48" w:rsidP="00F65C48">
            <w:pPr>
              <w:widowControl w:val="0"/>
              <w:overflowPunct w:val="0"/>
              <w:autoSpaceDE w:val="0"/>
              <w:autoSpaceDN w:val="0"/>
              <w:adjustRightInd w:val="0"/>
              <w:rPr>
                <w:rFonts w:ascii="Calibri" w:eastAsia="Times New Roman" w:hAnsi="Calibri" w:cs="Calibri"/>
                <w:color w:val="000000"/>
                <w:lang w:eastAsia="es-CR"/>
              </w:rPr>
            </w:pPr>
            <w:r w:rsidRPr="00F65C48">
              <w:rPr>
                <w:rFonts w:ascii="Calibri" w:eastAsia="Times New Roman" w:hAnsi="Calibri" w:cs="Calibri"/>
                <w:color w:val="000000"/>
                <w:lang w:eastAsia="es-CR"/>
              </w:rPr>
              <w:t>4</w:t>
            </w:r>
          </w:p>
        </w:tc>
      </w:tr>
      <w:tr w:rsidR="00F65C48" w:rsidRPr="00F65C48" w14:paraId="29571168" w14:textId="77777777" w:rsidTr="00CE7124">
        <w:tc>
          <w:tcPr>
            <w:tcW w:w="1668" w:type="dxa"/>
          </w:tcPr>
          <w:p w14:paraId="3A2064FC" w14:textId="77777777" w:rsidR="00F65C48" w:rsidRPr="00F65C48" w:rsidRDefault="00F65C48" w:rsidP="00F65C48">
            <w:pPr>
              <w:widowControl w:val="0"/>
              <w:overflowPunct w:val="0"/>
              <w:autoSpaceDE w:val="0"/>
              <w:autoSpaceDN w:val="0"/>
              <w:adjustRightInd w:val="0"/>
              <w:rPr>
                <w:rFonts w:ascii="Calibri" w:eastAsia="Times New Roman" w:hAnsi="Calibri" w:cs="Calibri"/>
                <w:b/>
                <w:color w:val="000000"/>
                <w:lang w:eastAsia="es-CR"/>
              </w:rPr>
            </w:pPr>
            <w:r w:rsidRPr="00F65C48">
              <w:rPr>
                <w:rFonts w:ascii="Calibri" w:eastAsia="Times New Roman" w:hAnsi="Calibri" w:cs="Calibri"/>
                <w:b/>
                <w:color w:val="000000"/>
                <w:lang w:eastAsia="es-CR"/>
              </w:rPr>
              <w:t>Requisitos</w:t>
            </w:r>
          </w:p>
        </w:tc>
        <w:tc>
          <w:tcPr>
            <w:tcW w:w="7386" w:type="dxa"/>
          </w:tcPr>
          <w:p w14:paraId="07CEF343" w14:textId="77777777" w:rsidR="00F65C48" w:rsidRPr="00F65C48" w:rsidRDefault="00F65C48" w:rsidP="00F65C48">
            <w:pPr>
              <w:widowControl w:val="0"/>
              <w:overflowPunct w:val="0"/>
              <w:autoSpaceDE w:val="0"/>
              <w:autoSpaceDN w:val="0"/>
              <w:adjustRightInd w:val="0"/>
              <w:rPr>
                <w:rFonts w:ascii="Calibri" w:eastAsia="Times New Roman" w:hAnsi="Calibri" w:cs="Calibri"/>
                <w:color w:val="000000"/>
                <w:lang w:eastAsia="es-CR"/>
              </w:rPr>
            </w:pPr>
            <w:r w:rsidRPr="00F65C48">
              <w:rPr>
                <w:rFonts w:ascii="Calibri" w:eastAsia="Times New Roman" w:hAnsi="Calibri" w:cs="Calibri"/>
                <w:color w:val="000000"/>
                <w:lang w:eastAsia="es-CR"/>
              </w:rPr>
              <w:t>CBX 110</w:t>
            </w:r>
          </w:p>
        </w:tc>
      </w:tr>
      <w:tr w:rsidR="00F65C48" w:rsidRPr="00F65C48" w14:paraId="0EFB3DC0" w14:textId="77777777" w:rsidTr="00CE7124">
        <w:tc>
          <w:tcPr>
            <w:tcW w:w="1668" w:type="dxa"/>
          </w:tcPr>
          <w:p w14:paraId="0C4381E0" w14:textId="77777777" w:rsidR="00F65C48" w:rsidRPr="00F65C48" w:rsidRDefault="00F65C48" w:rsidP="00F65C48">
            <w:pPr>
              <w:widowControl w:val="0"/>
              <w:overflowPunct w:val="0"/>
              <w:autoSpaceDE w:val="0"/>
              <w:autoSpaceDN w:val="0"/>
              <w:adjustRightInd w:val="0"/>
              <w:rPr>
                <w:rFonts w:ascii="Calibri" w:eastAsia="Times New Roman" w:hAnsi="Calibri" w:cs="Calibri"/>
                <w:b/>
                <w:color w:val="000000"/>
                <w:lang w:eastAsia="es-CR"/>
              </w:rPr>
            </w:pPr>
            <w:r w:rsidRPr="00F65C48">
              <w:rPr>
                <w:rFonts w:ascii="Calibri" w:eastAsia="Times New Roman" w:hAnsi="Calibri" w:cs="Calibri"/>
                <w:b/>
                <w:color w:val="000000"/>
                <w:lang w:eastAsia="es-CR"/>
              </w:rPr>
              <w:t>Modalidad</w:t>
            </w:r>
          </w:p>
        </w:tc>
        <w:tc>
          <w:tcPr>
            <w:tcW w:w="7386" w:type="dxa"/>
          </w:tcPr>
          <w:p w14:paraId="14DA1F9B" w14:textId="77777777" w:rsidR="00F65C48" w:rsidRPr="00F65C48" w:rsidRDefault="00F65C48" w:rsidP="00F65C48">
            <w:pPr>
              <w:widowControl w:val="0"/>
              <w:overflowPunct w:val="0"/>
              <w:autoSpaceDE w:val="0"/>
              <w:autoSpaceDN w:val="0"/>
              <w:adjustRightInd w:val="0"/>
              <w:rPr>
                <w:rFonts w:ascii="Calibri" w:eastAsia="Times New Roman" w:hAnsi="Calibri" w:cs="Calibri"/>
                <w:color w:val="000000"/>
                <w:lang w:eastAsia="es-CR"/>
              </w:rPr>
            </w:pPr>
            <w:r w:rsidRPr="00F65C48">
              <w:rPr>
                <w:rFonts w:ascii="Calibri" w:eastAsia="Times New Roman" w:hAnsi="Calibri" w:cs="Calibri"/>
                <w:color w:val="000000"/>
                <w:lang w:eastAsia="es-CR"/>
              </w:rPr>
              <w:t>Virtual</w:t>
            </w:r>
          </w:p>
        </w:tc>
      </w:tr>
      <w:tr w:rsidR="00F65C48" w:rsidRPr="00F65C48" w14:paraId="3B6F6A9B" w14:textId="77777777" w:rsidTr="00CE7124">
        <w:tc>
          <w:tcPr>
            <w:tcW w:w="1668" w:type="dxa"/>
          </w:tcPr>
          <w:p w14:paraId="577CAA51" w14:textId="77777777" w:rsidR="00F65C48" w:rsidRPr="00F65C48" w:rsidRDefault="00F65C48" w:rsidP="00F65C48">
            <w:pPr>
              <w:widowControl w:val="0"/>
              <w:overflowPunct w:val="0"/>
              <w:autoSpaceDE w:val="0"/>
              <w:autoSpaceDN w:val="0"/>
              <w:adjustRightInd w:val="0"/>
              <w:rPr>
                <w:rFonts w:ascii="Calibri" w:eastAsia="Times New Roman" w:hAnsi="Calibri" w:cs="Calibri"/>
                <w:b/>
                <w:color w:val="000000"/>
                <w:lang w:eastAsia="es-CR"/>
              </w:rPr>
            </w:pPr>
            <w:r w:rsidRPr="00F65C48">
              <w:rPr>
                <w:rFonts w:ascii="Calibri" w:eastAsia="Times New Roman" w:hAnsi="Calibri" w:cs="Calibri"/>
                <w:b/>
                <w:color w:val="000000"/>
                <w:lang w:eastAsia="es-CR"/>
              </w:rPr>
              <w:t>Naturaleza</w:t>
            </w:r>
          </w:p>
        </w:tc>
        <w:tc>
          <w:tcPr>
            <w:tcW w:w="7386" w:type="dxa"/>
          </w:tcPr>
          <w:p w14:paraId="649ECEC6" w14:textId="77777777" w:rsidR="00F65C48" w:rsidRPr="00F65C48" w:rsidRDefault="00F65C48" w:rsidP="00F65C48">
            <w:pPr>
              <w:widowControl w:val="0"/>
              <w:overflowPunct w:val="0"/>
              <w:autoSpaceDE w:val="0"/>
              <w:autoSpaceDN w:val="0"/>
              <w:adjustRightInd w:val="0"/>
              <w:rPr>
                <w:rFonts w:ascii="Calibri" w:eastAsia="Times New Roman" w:hAnsi="Calibri" w:cs="Calibri"/>
                <w:color w:val="000000"/>
                <w:lang w:eastAsia="es-CR"/>
              </w:rPr>
            </w:pPr>
            <w:r w:rsidRPr="00F65C48">
              <w:rPr>
                <w:rFonts w:ascii="Calibri" w:eastAsia="Times New Roman" w:hAnsi="Calibri" w:cs="Calibri"/>
                <w:color w:val="000000"/>
                <w:lang w:eastAsia="es-CR"/>
              </w:rPr>
              <w:t>Teórico</w:t>
            </w:r>
          </w:p>
        </w:tc>
      </w:tr>
      <w:tr w:rsidR="00F65C48" w:rsidRPr="00F65C48" w14:paraId="6B70F698" w14:textId="77777777" w:rsidTr="00CE7124">
        <w:tc>
          <w:tcPr>
            <w:tcW w:w="1668" w:type="dxa"/>
          </w:tcPr>
          <w:p w14:paraId="3C598CA2" w14:textId="77777777" w:rsidR="00F65C48" w:rsidRPr="00F65C48" w:rsidRDefault="00F65C48" w:rsidP="00F65C48">
            <w:pPr>
              <w:widowControl w:val="0"/>
              <w:overflowPunct w:val="0"/>
              <w:autoSpaceDE w:val="0"/>
              <w:autoSpaceDN w:val="0"/>
              <w:adjustRightInd w:val="0"/>
              <w:rPr>
                <w:rFonts w:ascii="Calibri" w:eastAsia="Times New Roman" w:hAnsi="Calibri" w:cs="Calibri"/>
                <w:b/>
                <w:color w:val="000000"/>
                <w:lang w:eastAsia="es-CR"/>
              </w:rPr>
            </w:pPr>
            <w:r w:rsidRPr="00F65C48">
              <w:rPr>
                <w:rFonts w:ascii="Calibri" w:eastAsia="Times New Roman" w:hAnsi="Calibri" w:cs="Calibri"/>
                <w:b/>
                <w:color w:val="000000"/>
                <w:lang w:eastAsia="es-CR"/>
              </w:rPr>
              <w:t>Periodo</w:t>
            </w:r>
          </w:p>
        </w:tc>
        <w:tc>
          <w:tcPr>
            <w:tcW w:w="7386" w:type="dxa"/>
          </w:tcPr>
          <w:p w14:paraId="5274F1E6" w14:textId="77777777" w:rsidR="00F65C48" w:rsidRPr="00F65C48" w:rsidRDefault="00F65C48" w:rsidP="00F65C48">
            <w:pPr>
              <w:widowControl w:val="0"/>
              <w:overflowPunct w:val="0"/>
              <w:autoSpaceDE w:val="0"/>
              <w:autoSpaceDN w:val="0"/>
              <w:adjustRightInd w:val="0"/>
              <w:rPr>
                <w:rFonts w:ascii="Calibri" w:eastAsia="Times New Roman" w:hAnsi="Calibri" w:cs="Calibri"/>
                <w:color w:val="000000"/>
                <w:lang w:eastAsia="es-CR"/>
              </w:rPr>
            </w:pPr>
            <w:r w:rsidRPr="00F65C48">
              <w:rPr>
                <w:rFonts w:ascii="Calibri" w:eastAsia="Times New Roman" w:hAnsi="Calibri" w:cs="Calibri"/>
                <w:color w:val="000000"/>
                <w:lang w:eastAsia="es-CR"/>
              </w:rPr>
              <w:t>Cuatrimestral (15 semanas lectivas)</w:t>
            </w:r>
          </w:p>
        </w:tc>
      </w:tr>
      <w:tr w:rsidR="00F65C48" w:rsidRPr="00F65C48" w14:paraId="4FAB8CF0" w14:textId="77777777" w:rsidTr="00CE7124">
        <w:tc>
          <w:tcPr>
            <w:tcW w:w="1668" w:type="dxa"/>
          </w:tcPr>
          <w:p w14:paraId="67B11097" w14:textId="77777777" w:rsidR="00F65C48" w:rsidRPr="00F65C48" w:rsidRDefault="00F65C48" w:rsidP="00F65C48">
            <w:pPr>
              <w:widowControl w:val="0"/>
              <w:overflowPunct w:val="0"/>
              <w:autoSpaceDE w:val="0"/>
              <w:autoSpaceDN w:val="0"/>
              <w:adjustRightInd w:val="0"/>
              <w:rPr>
                <w:rFonts w:ascii="Calibri" w:eastAsia="Times New Roman" w:hAnsi="Calibri" w:cs="Calibri"/>
                <w:b/>
                <w:color w:val="000000"/>
                <w:lang w:eastAsia="es-CR"/>
              </w:rPr>
            </w:pPr>
            <w:r w:rsidRPr="00F65C48">
              <w:rPr>
                <w:rFonts w:ascii="Calibri" w:eastAsia="Times New Roman" w:hAnsi="Calibri" w:cs="Calibri"/>
                <w:b/>
                <w:color w:val="000000"/>
                <w:lang w:eastAsia="es-CR"/>
              </w:rPr>
              <w:t>Nivel</w:t>
            </w:r>
          </w:p>
        </w:tc>
        <w:tc>
          <w:tcPr>
            <w:tcW w:w="7386" w:type="dxa"/>
          </w:tcPr>
          <w:p w14:paraId="0ED655F0" w14:textId="77777777" w:rsidR="00F65C48" w:rsidRPr="00F65C48" w:rsidRDefault="00F65C48" w:rsidP="00F65C48">
            <w:pPr>
              <w:widowControl w:val="0"/>
              <w:overflowPunct w:val="0"/>
              <w:autoSpaceDE w:val="0"/>
              <w:autoSpaceDN w:val="0"/>
              <w:adjustRightInd w:val="0"/>
              <w:rPr>
                <w:rFonts w:ascii="Calibri" w:eastAsia="Times New Roman" w:hAnsi="Calibri" w:cs="Calibri"/>
                <w:color w:val="000000"/>
                <w:lang w:eastAsia="es-CR"/>
              </w:rPr>
            </w:pPr>
            <w:r w:rsidRPr="00F65C48">
              <w:rPr>
                <w:rFonts w:ascii="Calibri" w:eastAsia="Times New Roman" w:hAnsi="Calibri" w:cs="Calibri"/>
                <w:color w:val="000000"/>
                <w:lang w:eastAsia="es-CR"/>
              </w:rPr>
              <w:t>VII Cuatrimestre</w:t>
            </w:r>
          </w:p>
        </w:tc>
      </w:tr>
      <w:tr w:rsidR="00F65C48" w:rsidRPr="00F65C48" w14:paraId="36D3195F" w14:textId="77777777" w:rsidTr="00CE7124">
        <w:tc>
          <w:tcPr>
            <w:tcW w:w="1668" w:type="dxa"/>
          </w:tcPr>
          <w:p w14:paraId="034AA83C" w14:textId="77777777" w:rsidR="00F65C48" w:rsidRPr="00F65C48" w:rsidRDefault="00F65C48" w:rsidP="00F65C48">
            <w:pPr>
              <w:widowControl w:val="0"/>
              <w:overflowPunct w:val="0"/>
              <w:autoSpaceDE w:val="0"/>
              <w:autoSpaceDN w:val="0"/>
              <w:adjustRightInd w:val="0"/>
              <w:rPr>
                <w:rFonts w:ascii="Calibri" w:eastAsia="Times New Roman" w:hAnsi="Calibri" w:cs="Calibri"/>
                <w:b/>
                <w:color w:val="000000"/>
                <w:lang w:eastAsia="es-CR"/>
              </w:rPr>
            </w:pPr>
            <w:r w:rsidRPr="00F65C48">
              <w:rPr>
                <w:rFonts w:ascii="Calibri" w:eastAsia="Times New Roman" w:hAnsi="Calibri" w:cs="Calibri"/>
                <w:b/>
                <w:color w:val="000000"/>
                <w:lang w:eastAsia="es-CR"/>
              </w:rPr>
              <w:t>Horario</w:t>
            </w:r>
          </w:p>
        </w:tc>
        <w:tc>
          <w:tcPr>
            <w:tcW w:w="7386" w:type="dxa"/>
          </w:tcPr>
          <w:p w14:paraId="6224BF7D" w14:textId="77777777" w:rsidR="00F65C48" w:rsidRPr="00F65C48" w:rsidRDefault="00F65C48" w:rsidP="00F65C48">
            <w:pPr>
              <w:widowControl w:val="0"/>
              <w:overflowPunct w:val="0"/>
              <w:autoSpaceDE w:val="0"/>
              <w:autoSpaceDN w:val="0"/>
              <w:adjustRightInd w:val="0"/>
              <w:rPr>
                <w:rFonts w:ascii="Calibri" w:eastAsia="Times New Roman" w:hAnsi="Calibri" w:cs="Calibri"/>
                <w:color w:val="000000"/>
                <w:lang w:eastAsia="es-CR"/>
              </w:rPr>
            </w:pPr>
            <w:r w:rsidRPr="00F65C48">
              <w:rPr>
                <w:rFonts w:ascii="Calibri" w:eastAsia="Times New Roman" w:hAnsi="Calibri" w:cs="Calibri"/>
                <w:color w:val="000000"/>
                <w:lang w:eastAsia="es-CR"/>
              </w:rPr>
              <w:t>El curso requiere de 12 horas de trabajo semanal</w:t>
            </w:r>
          </w:p>
        </w:tc>
      </w:tr>
      <w:tr w:rsidR="00F65C48" w:rsidRPr="00F65C48" w14:paraId="47318AE8" w14:textId="77777777" w:rsidTr="00CE7124">
        <w:tc>
          <w:tcPr>
            <w:tcW w:w="1668" w:type="dxa"/>
          </w:tcPr>
          <w:p w14:paraId="5B811EC3" w14:textId="77777777" w:rsidR="00F65C48" w:rsidRPr="00F65C48" w:rsidRDefault="00F65C48" w:rsidP="00F65C48">
            <w:pPr>
              <w:widowControl w:val="0"/>
              <w:overflowPunct w:val="0"/>
              <w:autoSpaceDE w:val="0"/>
              <w:autoSpaceDN w:val="0"/>
              <w:adjustRightInd w:val="0"/>
              <w:rPr>
                <w:rFonts w:ascii="Calibri" w:eastAsia="Times New Roman" w:hAnsi="Calibri" w:cs="Calibri"/>
                <w:b/>
                <w:color w:val="000000"/>
                <w:lang w:eastAsia="es-CR"/>
              </w:rPr>
            </w:pPr>
            <w:r w:rsidRPr="00F65C48">
              <w:rPr>
                <w:rFonts w:ascii="Calibri" w:eastAsia="Times New Roman" w:hAnsi="Calibri" w:cs="Calibri"/>
                <w:b/>
                <w:color w:val="000000"/>
                <w:lang w:eastAsia="es-CR"/>
              </w:rPr>
              <w:t>Aula</w:t>
            </w:r>
          </w:p>
        </w:tc>
        <w:tc>
          <w:tcPr>
            <w:tcW w:w="7386" w:type="dxa"/>
          </w:tcPr>
          <w:p w14:paraId="03860319" w14:textId="77777777" w:rsidR="00F65C48" w:rsidRPr="00F65C48" w:rsidRDefault="00F65C48" w:rsidP="00F65C48">
            <w:pPr>
              <w:widowControl w:val="0"/>
              <w:overflowPunct w:val="0"/>
              <w:autoSpaceDE w:val="0"/>
              <w:autoSpaceDN w:val="0"/>
              <w:adjustRightInd w:val="0"/>
              <w:rPr>
                <w:rFonts w:ascii="Calibri" w:eastAsia="Times New Roman" w:hAnsi="Calibri" w:cs="Calibri"/>
                <w:color w:val="000000"/>
                <w:lang w:eastAsia="es-CR"/>
              </w:rPr>
            </w:pPr>
            <w:r w:rsidRPr="00F65C48">
              <w:rPr>
                <w:rFonts w:ascii="Calibri" w:eastAsia="Times New Roman" w:hAnsi="Calibri" w:cs="Calibri"/>
                <w:color w:val="000000"/>
                <w:lang w:eastAsia="es-CR"/>
              </w:rPr>
              <w:t>Plataforma virtual de la UBL</w:t>
            </w:r>
          </w:p>
        </w:tc>
      </w:tr>
      <w:tr w:rsidR="00F65C48" w:rsidRPr="00F65C48" w14:paraId="3DD7470B" w14:textId="77777777" w:rsidTr="00CE7124">
        <w:tc>
          <w:tcPr>
            <w:tcW w:w="1668" w:type="dxa"/>
          </w:tcPr>
          <w:p w14:paraId="52AAC24B" w14:textId="77777777" w:rsidR="00F65C48" w:rsidRPr="00F65C48" w:rsidRDefault="00F65C48" w:rsidP="00F65C48">
            <w:pPr>
              <w:widowControl w:val="0"/>
              <w:overflowPunct w:val="0"/>
              <w:autoSpaceDE w:val="0"/>
              <w:autoSpaceDN w:val="0"/>
              <w:adjustRightInd w:val="0"/>
              <w:rPr>
                <w:rFonts w:ascii="Calibri" w:eastAsia="Times New Roman" w:hAnsi="Calibri" w:cs="Calibri"/>
                <w:b/>
                <w:color w:val="000000"/>
                <w:lang w:eastAsia="es-CR"/>
              </w:rPr>
            </w:pPr>
            <w:r w:rsidRPr="00F65C48">
              <w:rPr>
                <w:rFonts w:ascii="Calibri" w:eastAsia="Times New Roman" w:hAnsi="Calibri" w:cs="Calibri"/>
                <w:b/>
                <w:color w:val="000000"/>
                <w:lang w:eastAsia="es-CR"/>
              </w:rPr>
              <w:t>Docente</w:t>
            </w:r>
          </w:p>
        </w:tc>
        <w:tc>
          <w:tcPr>
            <w:tcW w:w="7386" w:type="dxa"/>
          </w:tcPr>
          <w:p w14:paraId="7BEC932E" w14:textId="77777777" w:rsidR="00F65C48" w:rsidRPr="00F65C48" w:rsidRDefault="00F65C48" w:rsidP="00F65C48">
            <w:pPr>
              <w:widowControl w:val="0"/>
              <w:overflowPunct w:val="0"/>
              <w:autoSpaceDE w:val="0"/>
              <w:autoSpaceDN w:val="0"/>
              <w:adjustRightInd w:val="0"/>
              <w:rPr>
                <w:rFonts w:ascii="Calibri" w:eastAsia="Times New Roman" w:hAnsi="Calibri" w:cs="Calibri"/>
                <w:color w:val="000000"/>
                <w:lang w:eastAsia="es-CR"/>
              </w:rPr>
            </w:pPr>
          </w:p>
        </w:tc>
      </w:tr>
      <w:tr w:rsidR="00F65C48" w:rsidRPr="00F65C48" w14:paraId="76A66028" w14:textId="77777777" w:rsidTr="00CE7124">
        <w:tc>
          <w:tcPr>
            <w:tcW w:w="1668" w:type="dxa"/>
            <w:vAlign w:val="center"/>
          </w:tcPr>
          <w:p w14:paraId="06CD4A3D" w14:textId="77777777" w:rsidR="00F65C48" w:rsidRPr="00F65C48" w:rsidRDefault="00F65C48" w:rsidP="00F65C48">
            <w:pPr>
              <w:widowControl w:val="0"/>
              <w:overflowPunct w:val="0"/>
              <w:autoSpaceDE w:val="0"/>
              <w:autoSpaceDN w:val="0"/>
              <w:adjustRightInd w:val="0"/>
              <w:rPr>
                <w:rFonts w:ascii="Calibri" w:eastAsia="Times New Roman" w:hAnsi="Calibri" w:cs="Calibri"/>
                <w:color w:val="000000"/>
                <w:lang w:eastAsia="es-CR"/>
              </w:rPr>
            </w:pPr>
            <w:r w:rsidRPr="00F65C48">
              <w:rPr>
                <w:rFonts w:ascii="Calibri" w:eastAsia="Times New Roman" w:hAnsi="Calibri" w:cs="Calibri"/>
                <w:b/>
                <w:color w:val="000000"/>
                <w:lang w:eastAsia="es-CR"/>
              </w:rPr>
              <w:t>Instrucciones administrativas</w:t>
            </w:r>
          </w:p>
        </w:tc>
        <w:tc>
          <w:tcPr>
            <w:tcW w:w="7386" w:type="dxa"/>
          </w:tcPr>
          <w:p w14:paraId="0CA5C674" w14:textId="77777777" w:rsidR="00F65C48" w:rsidRPr="00F65C48" w:rsidRDefault="00F65C48" w:rsidP="00F65C48">
            <w:pPr>
              <w:widowControl w:val="0"/>
              <w:overflowPunct w:val="0"/>
              <w:autoSpaceDE w:val="0"/>
              <w:autoSpaceDN w:val="0"/>
              <w:adjustRightInd w:val="0"/>
              <w:jc w:val="both"/>
              <w:rPr>
                <w:rFonts w:ascii="Calibri" w:eastAsia="Times New Roman" w:hAnsi="Calibri" w:cs="Calibri"/>
                <w:lang w:eastAsia="es-CR"/>
              </w:rPr>
            </w:pPr>
            <w:r w:rsidRPr="00F65C48">
              <w:rPr>
                <w:rFonts w:ascii="Calibri" w:eastAsia="Times New Roman" w:hAnsi="Calibri" w:cs="Calibri"/>
                <w:color w:val="000000"/>
                <w:lang w:eastAsia="es-CR"/>
              </w:rPr>
              <w:t xml:space="preserve">El curso es virtual, por lo que se requiere de acceso a una computadora con conexión a Internet, además de destrezas básicas para el manejo de correo electrónico y la plataforma Moodle desde el rol de estudiante. </w:t>
            </w:r>
            <w:r w:rsidRPr="00F65C48">
              <w:rPr>
                <w:rFonts w:ascii="Calibri" w:eastAsia="Times New Roman" w:hAnsi="Calibri" w:cs="Calibri"/>
                <w:lang w:eastAsia="es-CR"/>
              </w:rPr>
              <w:t>La dirección de acceso a la plataforma es la siguiente:</w:t>
            </w:r>
          </w:p>
          <w:p w14:paraId="4EBAFDC5" w14:textId="77777777" w:rsidR="00F65C48" w:rsidRPr="00F65C48" w:rsidRDefault="00DD16F2" w:rsidP="00F65C48">
            <w:pPr>
              <w:widowControl w:val="0"/>
              <w:overflowPunct w:val="0"/>
              <w:autoSpaceDE w:val="0"/>
              <w:autoSpaceDN w:val="0"/>
              <w:adjustRightInd w:val="0"/>
              <w:jc w:val="both"/>
              <w:rPr>
                <w:rFonts w:ascii="Calibri" w:eastAsia="Times New Roman" w:hAnsi="Calibri" w:cs="Calibri"/>
                <w:color w:val="000000"/>
                <w:lang w:eastAsia="es-CR"/>
              </w:rPr>
            </w:pPr>
            <w:hyperlink r:id="rId479" w:history="1">
              <w:r w:rsidR="00F65C48" w:rsidRPr="00F65C48">
                <w:rPr>
                  <w:rFonts w:ascii="Calibri" w:eastAsia="Times New Roman" w:hAnsi="Calibri" w:cs="Calibri"/>
                  <w:color w:val="0563C1"/>
                  <w:u w:val="single"/>
                  <w:lang w:eastAsia="es-CR"/>
                </w:rPr>
                <w:t>https://campus.ubl.ac.cr/login/index.php</w:t>
              </w:r>
            </w:hyperlink>
          </w:p>
        </w:tc>
      </w:tr>
    </w:tbl>
    <w:p w14:paraId="67C3C674" w14:textId="77777777" w:rsidR="00F65C48" w:rsidRPr="00F65C48" w:rsidRDefault="00F65C48" w:rsidP="00F65C48">
      <w:pPr>
        <w:widowControl w:val="0"/>
        <w:overflowPunct w:val="0"/>
        <w:autoSpaceDE w:val="0"/>
        <w:autoSpaceDN w:val="0"/>
        <w:adjustRightInd w:val="0"/>
        <w:spacing w:before="120" w:after="0" w:line="240" w:lineRule="auto"/>
        <w:rPr>
          <w:rFonts w:ascii="Calibri" w:eastAsia="Times New Roman" w:hAnsi="Calibri" w:cs="Calibri"/>
          <w:color w:val="000000"/>
          <w:kern w:val="0"/>
          <w:lang w:val="es-ES_tradnl" w:eastAsia="es-CR"/>
          <w14:ligatures w14:val="none"/>
        </w:rPr>
      </w:pPr>
    </w:p>
    <w:p w14:paraId="5CA14DF2" w14:textId="77777777" w:rsidR="00F65C48" w:rsidRPr="00F65C48" w:rsidRDefault="00F65C48" w:rsidP="00F65C48">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333815C8" w14:textId="77777777" w:rsidR="00F65C48" w:rsidRPr="00F65C48" w:rsidRDefault="00F65C48" w:rsidP="00F65C48">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F65C48">
        <w:rPr>
          <w:rFonts w:ascii="Calibri" w:eastAsia="Times New Roman" w:hAnsi="Calibri" w:cs="Calibri"/>
          <w:b/>
          <w:bCs/>
          <w:color w:val="000000"/>
          <w:kern w:val="0"/>
          <w:lang w:val="es-ES_tradnl" w:eastAsia="es-CR"/>
          <w14:ligatures w14:val="none"/>
        </w:rPr>
        <w:t>I. Descripción</w:t>
      </w:r>
    </w:p>
    <w:p w14:paraId="09A85D78" w14:textId="77777777" w:rsidR="00F65C48" w:rsidRPr="00F65C48" w:rsidRDefault="00F65C48" w:rsidP="00F65C48">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1B1686D5" w14:textId="77777777" w:rsidR="00F65C48" w:rsidRPr="00F65C48" w:rsidRDefault="00F65C48" w:rsidP="00F65C48">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F65C48">
        <w:rPr>
          <w:rFonts w:ascii="Calibri" w:eastAsia="Times New Roman" w:hAnsi="Calibri" w:cs="Calibri"/>
          <w:snapToGrid w:val="0"/>
          <w:color w:val="000000"/>
          <w:kern w:val="0"/>
          <w:lang w:val="es-ES_tradnl" w:eastAsia="es-CR"/>
          <w14:ligatures w14:val="none"/>
        </w:rPr>
        <w:t>Los documentos que componen la Biblia surgieron dentro de la experiencia vivida del pueblo de Israel y más tarde de la iglesia cristiana primitiva. Se analizan los varios aspectos de la historia del antiguo Cercano Oriente con especial atención a los sistemas políticos y económicos en su relación con la vida social y religiosa del cristianismo.</w:t>
      </w:r>
    </w:p>
    <w:p w14:paraId="4A3F62BC" w14:textId="77777777" w:rsidR="00F65C48" w:rsidRPr="00F65C48" w:rsidRDefault="00F65C48" w:rsidP="00F65C48">
      <w:pPr>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7CBB9977" w14:textId="77777777" w:rsidR="00F65C48" w:rsidRPr="00F65C48" w:rsidRDefault="00F65C48" w:rsidP="00F65C48">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F65C48">
        <w:rPr>
          <w:rFonts w:ascii="Calibri" w:eastAsia="Times New Roman" w:hAnsi="Calibri" w:cs="Calibri"/>
          <w:b/>
          <w:color w:val="000000"/>
          <w:kern w:val="0"/>
          <w:lang w:val="es-ES_tradnl" w:eastAsia="es-CR"/>
          <w14:ligatures w14:val="none"/>
        </w:rPr>
        <w:t xml:space="preserve">II. </w:t>
      </w:r>
      <w:r w:rsidRPr="00F65C48">
        <w:rPr>
          <w:rFonts w:ascii="Calibri" w:eastAsia="Times New Roman" w:hAnsi="Calibri" w:cs="Calibri"/>
          <w:b/>
          <w:bCs/>
          <w:color w:val="000000"/>
          <w:kern w:val="0"/>
          <w:lang w:val="es-ES_tradnl" w:eastAsia="es-CR"/>
          <w14:ligatures w14:val="none"/>
        </w:rPr>
        <w:t>Objetivos generales</w:t>
      </w:r>
      <w:r w:rsidRPr="00F65C48">
        <w:rPr>
          <w:rFonts w:ascii="Calibri" w:eastAsia="Times New Roman" w:hAnsi="Calibri" w:cs="Calibri"/>
          <w:b/>
          <w:bCs/>
          <w:color w:val="000000"/>
          <w:kern w:val="0"/>
          <w:lang w:val="es-ES_tradnl" w:eastAsia="es-CR"/>
          <w14:ligatures w14:val="none"/>
        </w:rPr>
        <w:tab/>
      </w:r>
    </w:p>
    <w:p w14:paraId="43FB5BE6"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1D014F2A" w14:textId="77777777" w:rsidR="00F65C48" w:rsidRPr="00F65C48" w:rsidRDefault="00F65C48" w:rsidP="00F65C48">
      <w:pPr>
        <w:widowControl w:val="0"/>
        <w:numPr>
          <w:ilvl w:val="0"/>
          <w:numId w:val="272"/>
        </w:numPr>
        <w:overflowPunct w:val="0"/>
        <w:autoSpaceDE w:val="0"/>
        <w:autoSpaceDN w:val="0"/>
        <w:adjustRightInd w:val="0"/>
        <w:spacing w:before="120" w:after="0" w:line="240" w:lineRule="auto"/>
        <w:ind w:left="426"/>
        <w:jc w:val="both"/>
        <w:rPr>
          <w:rFonts w:ascii="Calibri" w:eastAsia="Times New Roman" w:hAnsi="Calibri" w:cs="Calibri"/>
          <w:snapToGrid w:val="0"/>
          <w:color w:val="000000"/>
          <w:kern w:val="0"/>
          <w:lang w:val="es-ES_tradnl" w:eastAsia="es-CR"/>
          <w14:ligatures w14:val="none"/>
        </w:rPr>
      </w:pPr>
      <w:r w:rsidRPr="00F65C48">
        <w:rPr>
          <w:rFonts w:ascii="Calibri" w:eastAsia="Times New Roman" w:hAnsi="Calibri" w:cs="Calibri"/>
          <w:snapToGrid w:val="0"/>
          <w:color w:val="000000"/>
          <w:kern w:val="0"/>
          <w:lang w:val="es-ES_tradnl" w:eastAsia="es-CR"/>
          <w14:ligatures w14:val="none"/>
        </w:rPr>
        <w:t>Estudiar las condiciones sociales que marcaron la aparición de instituciones, movimientos y producción literaria en el periodo 150 a.C. y 100 d. C.</w:t>
      </w:r>
    </w:p>
    <w:p w14:paraId="5646B21B" w14:textId="77777777" w:rsidR="00F65C48" w:rsidRPr="00F65C48" w:rsidRDefault="00F65C48" w:rsidP="00F65C48">
      <w:pPr>
        <w:widowControl w:val="0"/>
        <w:numPr>
          <w:ilvl w:val="0"/>
          <w:numId w:val="272"/>
        </w:numPr>
        <w:overflowPunct w:val="0"/>
        <w:autoSpaceDE w:val="0"/>
        <w:autoSpaceDN w:val="0"/>
        <w:adjustRightInd w:val="0"/>
        <w:spacing w:before="120" w:after="0" w:line="240" w:lineRule="auto"/>
        <w:ind w:left="426"/>
        <w:jc w:val="both"/>
        <w:rPr>
          <w:rFonts w:ascii="Calibri" w:eastAsia="Times New Roman" w:hAnsi="Calibri" w:cs="Calibri"/>
          <w:snapToGrid w:val="0"/>
          <w:color w:val="000000"/>
          <w:kern w:val="0"/>
          <w:lang w:val="es-ES_tradnl" w:eastAsia="es-CR"/>
          <w14:ligatures w14:val="none"/>
        </w:rPr>
      </w:pPr>
      <w:r w:rsidRPr="00F65C48">
        <w:rPr>
          <w:rFonts w:ascii="Calibri" w:eastAsia="Times New Roman" w:hAnsi="Calibri" w:cs="Calibri"/>
          <w:snapToGrid w:val="0"/>
          <w:color w:val="000000"/>
          <w:kern w:val="0"/>
          <w:lang w:val="es-ES_tradnl" w:eastAsia="es-CR"/>
          <w14:ligatures w14:val="none"/>
        </w:rPr>
        <w:lastRenderedPageBreak/>
        <w:t>Revisar varios modelos de análisis sociológicos destacando los aspectos más pertinentes en el estudio del cristianismo primitivo.</w:t>
      </w:r>
    </w:p>
    <w:p w14:paraId="712BAA52" w14:textId="77777777" w:rsidR="00F65C48" w:rsidRPr="00F65C48" w:rsidRDefault="00F65C48" w:rsidP="00F65C48">
      <w:pPr>
        <w:widowControl w:val="0"/>
        <w:numPr>
          <w:ilvl w:val="0"/>
          <w:numId w:val="272"/>
        </w:numPr>
        <w:overflowPunct w:val="0"/>
        <w:autoSpaceDE w:val="0"/>
        <w:autoSpaceDN w:val="0"/>
        <w:adjustRightInd w:val="0"/>
        <w:spacing w:before="120" w:after="0" w:line="240" w:lineRule="auto"/>
        <w:ind w:left="426"/>
        <w:jc w:val="both"/>
        <w:rPr>
          <w:rFonts w:ascii="Calibri" w:eastAsia="Times New Roman" w:hAnsi="Calibri" w:cs="Calibri"/>
          <w:snapToGrid w:val="0"/>
          <w:color w:val="000000"/>
          <w:kern w:val="0"/>
          <w:lang w:val="es-ES_tradnl" w:eastAsia="es-CR"/>
          <w14:ligatures w14:val="none"/>
        </w:rPr>
      </w:pPr>
      <w:r w:rsidRPr="00F65C48">
        <w:rPr>
          <w:rFonts w:ascii="Calibri" w:eastAsia="Times New Roman" w:hAnsi="Calibri" w:cs="Calibri"/>
          <w:snapToGrid w:val="0"/>
          <w:color w:val="000000"/>
          <w:kern w:val="0"/>
          <w:lang w:val="es-ES_tradnl" w:eastAsia="es-CR"/>
          <w14:ligatures w14:val="none"/>
        </w:rPr>
        <w:t>Revisar algunos de los aportes sociológicos al estudio del AT y del NT haciendo la interrelación con el modelo usado en dichos análisis.</w:t>
      </w:r>
    </w:p>
    <w:p w14:paraId="3331F6F0" w14:textId="77777777" w:rsidR="00F65C48" w:rsidRPr="00F65C48" w:rsidRDefault="00F65C48" w:rsidP="00F65C48">
      <w:pPr>
        <w:widowControl w:val="0"/>
        <w:numPr>
          <w:ilvl w:val="0"/>
          <w:numId w:val="272"/>
        </w:numPr>
        <w:overflowPunct w:val="0"/>
        <w:autoSpaceDE w:val="0"/>
        <w:autoSpaceDN w:val="0"/>
        <w:adjustRightInd w:val="0"/>
        <w:spacing w:before="120" w:after="0" w:line="240" w:lineRule="auto"/>
        <w:ind w:left="426"/>
        <w:jc w:val="both"/>
        <w:rPr>
          <w:rFonts w:ascii="Calibri" w:eastAsia="Times New Roman" w:hAnsi="Calibri" w:cs="Calibri"/>
          <w:snapToGrid w:val="0"/>
          <w:color w:val="000000"/>
          <w:kern w:val="0"/>
          <w:lang w:val="es-ES_tradnl" w:eastAsia="es-CR"/>
          <w14:ligatures w14:val="none"/>
        </w:rPr>
      </w:pPr>
      <w:r w:rsidRPr="00F65C48">
        <w:rPr>
          <w:rFonts w:ascii="Calibri" w:eastAsia="Times New Roman" w:hAnsi="Calibri" w:cs="Calibri"/>
          <w:snapToGrid w:val="0"/>
          <w:color w:val="000000"/>
          <w:kern w:val="0"/>
          <w:lang w:val="es-ES_tradnl" w:eastAsia="es-CR"/>
          <w14:ligatures w14:val="none"/>
        </w:rPr>
        <w:t>Estudiar algunos aspectos del AT y el NT desde la perspectiva de uno o varios de los modelos de análisis sociológicos.</w:t>
      </w:r>
    </w:p>
    <w:p w14:paraId="1EDB2570" w14:textId="77777777" w:rsidR="00F65C48" w:rsidRPr="00F65C48" w:rsidRDefault="00F65C48" w:rsidP="00F65C48">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583801C4" w14:textId="77777777" w:rsidR="00F65C48" w:rsidRPr="00F65C48" w:rsidRDefault="00F65C48" w:rsidP="00F65C48">
      <w:pPr>
        <w:spacing w:after="0" w:line="240" w:lineRule="auto"/>
        <w:jc w:val="both"/>
        <w:rPr>
          <w:rFonts w:ascii="Calibri" w:eastAsia="Times New Roman" w:hAnsi="Calibri" w:cs="Calibri"/>
          <w:snapToGrid w:val="0"/>
          <w:color w:val="000000"/>
          <w:kern w:val="0"/>
          <w:lang w:val="es-ES_tradnl" w:eastAsia="es-CR"/>
          <w14:ligatures w14:val="none"/>
        </w:rPr>
      </w:pPr>
      <w:r w:rsidRPr="00F65C48">
        <w:rPr>
          <w:rFonts w:ascii="Calibri" w:eastAsia="Times New Roman" w:hAnsi="Calibri" w:cs="Calibri"/>
          <w:b/>
          <w:bCs/>
          <w:iCs/>
          <w:color w:val="000000"/>
          <w:kern w:val="0"/>
          <w:lang w:val="es-ES_tradnl" w:eastAsia="es-CR"/>
          <w14:ligatures w14:val="none"/>
        </w:rPr>
        <w:t>III. Objetivos específicos</w:t>
      </w:r>
      <w:r w:rsidRPr="00F65C48">
        <w:rPr>
          <w:rFonts w:ascii="Calibri" w:eastAsia="Times New Roman" w:hAnsi="Calibri" w:cs="Calibri"/>
          <w:b/>
          <w:bCs/>
          <w:iCs/>
          <w:color w:val="000000"/>
          <w:kern w:val="0"/>
          <w:lang w:val="es-ES_tradnl" w:eastAsia="es-CR"/>
          <w14:ligatures w14:val="none"/>
        </w:rPr>
        <w:tab/>
      </w:r>
    </w:p>
    <w:p w14:paraId="77A8B25D"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
          <w:snapToGrid w:val="0"/>
          <w:color w:val="000000"/>
          <w:kern w:val="0"/>
          <w:lang w:val="es-ES_tradnl" w:eastAsia="es-CR"/>
          <w14:ligatures w14:val="none"/>
        </w:rPr>
      </w:pPr>
      <w:r w:rsidRPr="00F65C48">
        <w:rPr>
          <w:rFonts w:ascii="Calibri" w:eastAsia="Times New Roman" w:hAnsi="Calibri" w:cs="Calibri"/>
          <w:i/>
          <w:snapToGrid w:val="0"/>
          <w:color w:val="000000"/>
          <w:kern w:val="0"/>
          <w:lang w:val="es-ES_tradnl" w:eastAsia="es-CR"/>
          <w14:ligatures w14:val="none"/>
        </w:rPr>
        <w:t xml:space="preserve">Conocimiento y comprensión: </w:t>
      </w:r>
    </w:p>
    <w:p w14:paraId="1DCF84C9"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
          <w:snapToGrid w:val="0"/>
          <w:color w:val="000000"/>
          <w:kern w:val="0"/>
          <w:lang w:val="es-ES_tradnl" w:eastAsia="es-CR"/>
          <w14:ligatures w14:val="none"/>
        </w:rPr>
      </w:pPr>
      <w:r w:rsidRPr="00F65C48">
        <w:rPr>
          <w:rFonts w:ascii="Calibri" w:eastAsia="Times New Roman" w:hAnsi="Calibri" w:cs="Calibri"/>
          <w:iCs/>
          <w:snapToGrid w:val="0"/>
          <w:color w:val="000000"/>
          <w:kern w:val="0"/>
          <w:lang w:val="es-ES_tradnl" w:eastAsia="es-CR"/>
          <w14:ligatures w14:val="none"/>
        </w:rPr>
        <w:t xml:space="preserve">1. </w:t>
      </w:r>
      <w:r w:rsidRPr="00F65C48">
        <w:rPr>
          <w:rFonts w:ascii="Calibri" w:eastAsia="Times New Roman" w:hAnsi="Calibri" w:cs="Calibri"/>
          <w:snapToGrid w:val="0"/>
          <w:color w:val="000000"/>
          <w:kern w:val="0"/>
          <w:lang w:val="es-ES_tradnl" w:eastAsia="es-CR"/>
          <w14:ligatures w14:val="none"/>
        </w:rPr>
        <w:t>Analizar y comparar algunas de las corrientes sociológicas de la Palestina imperial romana.</w:t>
      </w:r>
    </w:p>
    <w:p w14:paraId="3D25D52F"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
          <w:snapToGrid w:val="0"/>
          <w:color w:val="000000"/>
          <w:kern w:val="0"/>
          <w:lang w:val="es-ES_tradnl" w:eastAsia="es-CR"/>
          <w14:ligatures w14:val="none"/>
        </w:rPr>
      </w:pPr>
      <w:r w:rsidRPr="00F65C48">
        <w:rPr>
          <w:rFonts w:ascii="Calibri" w:eastAsia="Times New Roman" w:hAnsi="Calibri" w:cs="Calibri"/>
          <w:snapToGrid w:val="0"/>
          <w:color w:val="000000"/>
          <w:kern w:val="0"/>
          <w:lang w:val="es-ES_tradnl" w:eastAsia="es-CR"/>
          <w14:ligatures w14:val="none"/>
        </w:rPr>
        <w:t>2. Investigar los modelos ideológicos detrás de los movimientos religiosos.</w:t>
      </w:r>
    </w:p>
    <w:p w14:paraId="6F702E75"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Arial"/>
          <w:i/>
          <w:iCs/>
          <w:snapToGrid w:val="0"/>
          <w:color w:val="000000"/>
          <w:kern w:val="0"/>
          <w:lang w:val="es-ES" w:eastAsia="es-CR"/>
          <w14:ligatures w14:val="none"/>
        </w:rPr>
      </w:pPr>
      <w:r w:rsidRPr="00F65C48">
        <w:rPr>
          <w:rFonts w:ascii="Calibri" w:eastAsia="Times New Roman" w:hAnsi="Calibri" w:cs="Arial"/>
          <w:snapToGrid w:val="0"/>
          <w:color w:val="000000"/>
          <w:kern w:val="0"/>
          <w:lang w:val="es-ES" w:eastAsia="es-CR"/>
          <w14:ligatures w14:val="none"/>
        </w:rPr>
        <w:t>3. Introducir brevemente algunos de los más significativos temas en el mensaje religioso de la literatura bíblica.</w:t>
      </w:r>
    </w:p>
    <w:p w14:paraId="3DB33C29"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
          <w:snapToGrid w:val="0"/>
          <w:color w:val="000000"/>
          <w:kern w:val="0"/>
          <w:lang w:val="es-ES_tradnl" w:eastAsia="es-CR"/>
          <w14:ligatures w14:val="none"/>
        </w:rPr>
      </w:pPr>
      <w:r w:rsidRPr="00F65C48">
        <w:rPr>
          <w:rFonts w:ascii="Calibri" w:eastAsia="Times New Roman" w:hAnsi="Calibri" w:cs="Calibri"/>
          <w:iCs/>
          <w:snapToGrid w:val="0"/>
          <w:color w:val="000000"/>
          <w:kern w:val="0"/>
          <w:lang w:val="es-ES_tradnl" w:eastAsia="es-CR"/>
          <w14:ligatures w14:val="none"/>
        </w:rPr>
        <w:t>4.</w:t>
      </w:r>
      <w:r w:rsidRPr="00F65C48">
        <w:rPr>
          <w:rFonts w:ascii="Calibri" w:eastAsia="Times New Roman" w:hAnsi="Calibri" w:cs="Calibri"/>
          <w:i/>
          <w:snapToGrid w:val="0"/>
          <w:color w:val="000000"/>
          <w:kern w:val="0"/>
          <w:lang w:val="es-ES_tradnl" w:eastAsia="es-CR"/>
          <w14:ligatures w14:val="none"/>
        </w:rPr>
        <w:t xml:space="preserve"> </w:t>
      </w:r>
      <w:r w:rsidRPr="00F65C48">
        <w:rPr>
          <w:rFonts w:ascii="Calibri" w:eastAsia="Times New Roman" w:hAnsi="Calibri" w:cs="Calibri"/>
          <w:snapToGrid w:val="0"/>
          <w:color w:val="000000"/>
          <w:kern w:val="0"/>
          <w:lang w:val="es-ES_tradnl" w:eastAsia="es-CR"/>
          <w14:ligatures w14:val="none"/>
        </w:rPr>
        <w:t>Introducir un método de exégesis con énfasis sociológico.</w:t>
      </w:r>
    </w:p>
    <w:p w14:paraId="2017BBE6"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
          <w:snapToGrid w:val="0"/>
          <w:color w:val="000000"/>
          <w:kern w:val="0"/>
          <w:lang w:val="es-ES_tradnl" w:eastAsia="es-CR"/>
          <w14:ligatures w14:val="none"/>
        </w:rPr>
      </w:pPr>
      <w:r w:rsidRPr="00F65C48">
        <w:rPr>
          <w:rFonts w:ascii="Calibri" w:eastAsia="Times New Roman" w:hAnsi="Calibri" w:cs="Calibri"/>
          <w:i/>
          <w:snapToGrid w:val="0"/>
          <w:color w:val="000000"/>
          <w:kern w:val="0"/>
          <w:lang w:val="es-ES_tradnl" w:eastAsia="es-CR"/>
          <w14:ligatures w14:val="none"/>
        </w:rPr>
        <w:t>Destrezas:</w:t>
      </w:r>
    </w:p>
    <w:p w14:paraId="49903993"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
          <w:snapToGrid w:val="0"/>
          <w:color w:val="000000"/>
          <w:kern w:val="0"/>
          <w:lang w:val="es-ES_tradnl" w:eastAsia="es-CR"/>
          <w14:ligatures w14:val="none"/>
        </w:rPr>
      </w:pPr>
      <w:r w:rsidRPr="00F65C48">
        <w:rPr>
          <w:rFonts w:ascii="Calibri" w:eastAsia="Times New Roman" w:hAnsi="Calibri" w:cs="Calibri"/>
          <w:iCs/>
          <w:snapToGrid w:val="0"/>
          <w:color w:val="000000"/>
          <w:kern w:val="0"/>
          <w:lang w:val="es-ES_tradnl" w:eastAsia="es-CR"/>
          <w14:ligatures w14:val="none"/>
        </w:rPr>
        <w:t xml:space="preserve">1. </w:t>
      </w:r>
      <w:r w:rsidRPr="00F65C48">
        <w:rPr>
          <w:rFonts w:ascii="Calibri" w:eastAsia="Times New Roman" w:hAnsi="Calibri" w:cs="Calibri"/>
          <w:snapToGrid w:val="0"/>
          <w:color w:val="000000"/>
          <w:kern w:val="0"/>
          <w:lang w:val="es-ES_tradnl" w:eastAsia="es-CR"/>
          <w14:ligatures w14:val="none"/>
        </w:rPr>
        <w:t>Usando las herramientas adquiridas en la primera unidad, analizar algunos de los textos producidos con acercamiento sociológico.</w:t>
      </w:r>
    </w:p>
    <w:p w14:paraId="3CFDA022"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
          <w:snapToGrid w:val="0"/>
          <w:color w:val="000000"/>
          <w:kern w:val="0"/>
          <w:lang w:val="es-ES_tradnl" w:eastAsia="es-CR"/>
          <w14:ligatures w14:val="none"/>
        </w:rPr>
      </w:pPr>
      <w:r w:rsidRPr="00F65C48">
        <w:rPr>
          <w:rFonts w:ascii="Calibri" w:eastAsia="Times New Roman" w:hAnsi="Calibri" w:cs="Calibri"/>
          <w:iCs/>
          <w:snapToGrid w:val="0"/>
          <w:color w:val="000000"/>
          <w:kern w:val="0"/>
          <w:lang w:val="es-ES_tradnl" w:eastAsia="es-CR"/>
          <w14:ligatures w14:val="none"/>
        </w:rPr>
        <w:t xml:space="preserve">2. </w:t>
      </w:r>
      <w:r w:rsidRPr="00F65C48">
        <w:rPr>
          <w:rFonts w:ascii="Calibri" w:eastAsia="Times New Roman" w:hAnsi="Calibri" w:cs="Calibri"/>
          <w:snapToGrid w:val="0"/>
          <w:color w:val="000000"/>
          <w:kern w:val="0"/>
          <w:lang w:val="es-ES_tradnl" w:eastAsia="es-CR"/>
          <w14:ligatures w14:val="none"/>
        </w:rPr>
        <w:t>Analizar algunos textos bíblicos con un acercamiento sociológico.</w:t>
      </w:r>
    </w:p>
    <w:p w14:paraId="68F5091F"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Cs/>
          <w:snapToGrid w:val="0"/>
          <w:color w:val="000000"/>
          <w:kern w:val="0"/>
          <w:sz w:val="2"/>
          <w:szCs w:val="2"/>
          <w:lang w:val="es-ES_tradnl" w:eastAsia="es-CR"/>
          <w14:ligatures w14:val="none"/>
        </w:rPr>
      </w:pPr>
    </w:p>
    <w:p w14:paraId="1B6BE320"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Cs/>
          <w:snapToGrid w:val="0"/>
          <w:color w:val="000000"/>
          <w:kern w:val="0"/>
          <w:sz w:val="2"/>
          <w:szCs w:val="2"/>
          <w:lang w:val="es-ES_tradnl" w:eastAsia="es-CR"/>
          <w14:ligatures w14:val="none"/>
        </w:rPr>
      </w:pPr>
    </w:p>
    <w:p w14:paraId="14F4F594"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
          <w:snapToGrid w:val="0"/>
          <w:color w:val="000000"/>
          <w:kern w:val="0"/>
          <w:lang w:val="es-ES_tradnl" w:eastAsia="es-CR"/>
          <w14:ligatures w14:val="none"/>
        </w:rPr>
      </w:pPr>
      <w:r w:rsidRPr="00F65C48">
        <w:rPr>
          <w:rFonts w:ascii="Calibri" w:eastAsia="Times New Roman" w:hAnsi="Calibri" w:cs="Calibri"/>
          <w:b/>
          <w:bCs/>
          <w:color w:val="000000"/>
          <w:kern w:val="0"/>
          <w:lang w:val="es-ES_tradnl" w:eastAsia="es-CR"/>
          <w14:ligatures w14:val="none"/>
        </w:rPr>
        <w:t>IV. Contenidos temáticos</w:t>
      </w:r>
    </w:p>
    <w:p w14:paraId="147DF607"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Cs/>
          <w:snapToGrid w:val="0"/>
          <w:color w:val="000000"/>
          <w:kern w:val="0"/>
          <w:sz w:val="16"/>
          <w:szCs w:val="16"/>
          <w:lang w:val="es-ES_tradnl" w:eastAsia="es-CR"/>
          <w14:ligatures w14:val="none"/>
        </w:rPr>
      </w:pPr>
    </w:p>
    <w:p w14:paraId="3F54140E"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i/>
          <w:snapToGrid w:val="0"/>
          <w:color w:val="000000"/>
          <w:kern w:val="0"/>
          <w:lang w:val="es-ES_tradnl" w:eastAsia="es-CR"/>
          <w14:ligatures w14:val="none"/>
        </w:rPr>
      </w:pPr>
      <w:r w:rsidRPr="00F65C48">
        <w:rPr>
          <w:rFonts w:ascii="Calibri" w:eastAsia="Times New Roman" w:hAnsi="Calibri" w:cs="Calibri"/>
          <w:b/>
          <w:bCs/>
          <w:color w:val="000000"/>
          <w:kern w:val="0"/>
          <w:lang w:val="es-ES_tradnl" w:eastAsia="es-CR"/>
          <w14:ligatures w14:val="none"/>
        </w:rPr>
        <w:t xml:space="preserve">Unidad 1: </w:t>
      </w:r>
      <w:r w:rsidRPr="00F65C48">
        <w:rPr>
          <w:rFonts w:ascii="Calibri" w:eastAsia="Times New Roman" w:hAnsi="Calibri" w:cs="Calibri"/>
          <w:b/>
          <w:color w:val="000000"/>
          <w:kern w:val="0"/>
          <w:lang w:val="es-ES_tradnl" w:eastAsia="es-CR"/>
          <w14:ligatures w14:val="none"/>
        </w:rPr>
        <w:t>Modelos de análisis sociológico</w:t>
      </w:r>
    </w:p>
    <w:p w14:paraId="179228B1"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F65C48">
        <w:rPr>
          <w:rFonts w:ascii="Calibri" w:eastAsia="Times New Roman" w:hAnsi="Calibri" w:cs="Calibri"/>
          <w:bCs/>
          <w:kern w:val="0"/>
          <w:lang w:val="es-ES_tradnl" w:eastAsia="es-CR"/>
          <w14:ligatures w14:val="none"/>
        </w:rPr>
        <w:t>1.1 Introducción al mundo social del Nuevo Testamento</w:t>
      </w:r>
    </w:p>
    <w:p w14:paraId="5D2FCC57"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65C48">
        <w:rPr>
          <w:rFonts w:ascii="Calibri" w:eastAsia="Times New Roman" w:hAnsi="Calibri" w:cs="Calibri"/>
          <w:bCs/>
          <w:color w:val="000000"/>
          <w:kern w:val="0"/>
          <w:lang w:val="es-ES_tradnl" w:eastAsia="es-CR"/>
          <w14:ligatures w14:val="none"/>
        </w:rPr>
        <w:t xml:space="preserve">1.2 </w:t>
      </w:r>
      <w:r w:rsidRPr="00F65C48">
        <w:rPr>
          <w:rFonts w:ascii="Calibri" w:eastAsia="Times New Roman" w:hAnsi="Calibri" w:cs="Calibri"/>
          <w:snapToGrid w:val="0"/>
          <w:color w:val="000000"/>
          <w:kern w:val="0"/>
          <w:lang w:val="es-ES_tradnl" w:eastAsia="es-CR"/>
          <w14:ligatures w14:val="none"/>
        </w:rPr>
        <w:t>Norman Gottwald: acercamiento sociológico al Antiguo Testamento</w:t>
      </w:r>
    </w:p>
    <w:p w14:paraId="0DBF0EBC"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F65C48">
        <w:rPr>
          <w:rFonts w:ascii="Calibri" w:eastAsia="Times New Roman" w:hAnsi="Calibri" w:cs="Arial"/>
          <w:color w:val="000000"/>
          <w:kern w:val="0"/>
          <w:lang w:val="es-ES" w:eastAsia="es-CR"/>
          <w14:ligatures w14:val="none"/>
        </w:rPr>
        <w:t xml:space="preserve">1.3 </w:t>
      </w:r>
      <w:proofErr w:type="spellStart"/>
      <w:r w:rsidRPr="00F65C48">
        <w:rPr>
          <w:rFonts w:ascii="Calibri" w:eastAsia="Times New Roman" w:hAnsi="Calibri" w:cs="Arial"/>
          <w:snapToGrid w:val="0"/>
          <w:color w:val="000000"/>
          <w:kern w:val="0"/>
          <w:lang w:val="es-ES" w:eastAsia="es-CR"/>
          <w14:ligatures w14:val="none"/>
        </w:rPr>
        <w:t>Gerd</w:t>
      </w:r>
      <w:proofErr w:type="spellEnd"/>
      <w:r w:rsidRPr="00F65C48">
        <w:rPr>
          <w:rFonts w:ascii="Calibri" w:eastAsia="Times New Roman" w:hAnsi="Calibri" w:cs="Arial"/>
          <w:snapToGrid w:val="0"/>
          <w:color w:val="000000"/>
          <w:kern w:val="0"/>
          <w:lang w:val="es-ES" w:eastAsia="es-CR"/>
          <w14:ligatures w14:val="none"/>
        </w:rPr>
        <w:t xml:space="preserve"> </w:t>
      </w:r>
      <w:proofErr w:type="spellStart"/>
      <w:r w:rsidRPr="00F65C48">
        <w:rPr>
          <w:rFonts w:ascii="Calibri" w:eastAsia="Times New Roman" w:hAnsi="Calibri" w:cs="Arial"/>
          <w:snapToGrid w:val="0"/>
          <w:color w:val="000000"/>
          <w:kern w:val="0"/>
          <w:lang w:val="es-ES" w:eastAsia="es-CR"/>
          <w14:ligatures w14:val="none"/>
        </w:rPr>
        <w:t>Theissen</w:t>
      </w:r>
      <w:proofErr w:type="spellEnd"/>
      <w:r w:rsidRPr="00F65C48">
        <w:rPr>
          <w:rFonts w:ascii="Calibri" w:eastAsia="Times New Roman" w:hAnsi="Calibri" w:cs="Arial"/>
          <w:snapToGrid w:val="0"/>
          <w:color w:val="000000"/>
          <w:kern w:val="0"/>
          <w:lang w:val="es-ES" w:eastAsia="es-CR"/>
          <w14:ligatures w14:val="none"/>
        </w:rPr>
        <w:t xml:space="preserve"> y el radicalismo itinerante en el movimiento de Jesús</w:t>
      </w:r>
    </w:p>
    <w:p w14:paraId="75A4EFB3"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F65C48">
        <w:rPr>
          <w:rFonts w:ascii="Calibri" w:eastAsia="Times New Roman" w:hAnsi="Calibri" w:cs="Arial"/>
          <w:color w:val="000000"/>
          <w:kern w:val="0"/>
          <w:lang w:val="es-ES" w:eastAsia="es-CR"/>
          <w14:ligatures w14:val="none"/>
        </w:rPr>
        <w:t xml:space="preserve">1.4 </w:t>
      </w:r>
      <w:r w:rsidRPr="00F65C48">
        <w:rPr>
          <w:rFonts w:ascii="Calibri" w:eastAsia="Times New Roman" w:hAnsi="Calibri" w:cs="Arial"/>
          <w:snapToGrid w:val="0"/>
          <w:color w:val="000000"/>
          <w:kern w:val="0"/>
          <w:lang w:val="es-ES" w:eastAsia="es-CR"/>
          <w14:ligatures w14:val="none"/>
        </w:rPr>
        <w:t xml:space="preserve">Richard </w:t>
      </w:r>
      <w:proofErr w:type="spellStart"/>
      <w:r w:rsidRPr="00F65C48">
        <w:rPr>
          <w:rFonts w:ascii="Calibri" w:eastAsia="Times New Roman" w:hAnsi="Calibri" w:cs="Arial"/>
          <w:snapToGrid w:val="0"/>
          <w:color w:val="000000"/>
          <w:kern w:val="0"/>
          <w:lang w:val="es-ES" w:eastAsia="es-CR"/>
          <w14:ligatures w14:val="none"/>
        </w:rPr>
        <w:t>Horsley</w:t>
      </w:r>
      <w:proofErr w:type="spellEnd"/>
      <w:r w:rsidRPr="00F65C48">
        <w:rPr>
          <w:rFonts w:ascii="Calibri" w:eastAsia="Times New Roman" w:hAnsi="Calibri" w:cs="Arial"/>
          <w:snapToGrid w:val="0"/>
          <w:color w:val="000000"/>
          <w:kern w:val="0"/>
          <w:lang w:val="es-ES" w:eastAsia="es-CR"/>
          <w14:ligatures w14:val="none"/>
        </w:rPr>
        <w:t xml:space="preserve"> y su análisis del movimiento de Jesús</w:t>
      </w:r>
    </w:p>
    <w:p w14:paraId="538CA913"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63F3244"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F65C48">
        <w:rPr>
          <w:rFonts w:ascii="Calibri" w:eastAsia="Times New Roman" w:hAnsi="Calibri" w:cs="Calibri"/>
          <w:b/>
          <w:bCs/>
          <w:color w:val="000000"/>
          <w:kern w:val="0"/>
          <w:lang w:val="es-ES_tradnl" w:eastAsia="es-CR"/>
          <w14:ligatures w14:val="none"/>
        </w:rPr>
        <w:t>Unidad 2: Estructuras políticas de Palestina en el período helenístico</w:t>
      </w:r>
    </w:p>
    <w:p w14:paraId="517837EA"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65C48">
        <w:rPr>
          <w:rFonts w:ascii="Calibri" w:eastAsia="Times New Roman" w:hAnsi="Calibri" w:cs="Calibri"/>
          <w:bCs/>
          <w:color w:val="000000"/>
          <w:kern w:val="0"/>
          <w:lang w:val="es-ES_tradnl" w:eastAsia="es-CR"/>
          <w14:ligatures w14:val="none"/>
        </w:rPr>
        <w:t>2.1 Panorama general de la organización y estructura del imperio romano</w:t>
      </w:r>
    </w:p>
    <w:p w14:paraId="0C05E45A"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F65C48">
        <w:rPr>
          <w:rFonts w:ascii="Calibri" w:eastAsia="Times New Roman" w:hAnsi="Calibri" w:cs="Calibri"/>
          <w:bCs/>
          <w:color w:val="000000"/>
          <w:kern w:val="0"/>
          <w:lang w:val="es-ES_tradnl" w:eastAsia="es-CR"/>
          <w14:ligatures w14:val="none"/>
        </w:rPr>
        <w:t>2.2 Organización y estructura de las provincias imperiales: Palestina</w:t>
      </w:r>
    </w:p>
    <w:p w14:paraId="59160A17"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D8DF371"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 w:eastAsia="es-CR"/>
          <w14:ligatures w14:val="none"/>
        </w:rPr>
      </w:pPr>
      <w:r w:rsidRPr="00F65C48">
        <w:rPr>
          <w:rFonts w:ascii="Calibri" w:eastAsia="Times New Roman" w:hAnsi="Calibri" w:cs="Arial"/>
          <w:b/>
          <w:bCs/>
          <w:color w:val="000000"/>
          <w:kern w:val="0"/>
          <w:lang w:val="es-ES" w:eastAsia="es-CR"/>
          <w14:ligatures w14:val="none"/>
        </w:rPr>
        <w:t>Unidad 3: Estructuras socio-económicas de Palestina en el período helenístico</w:t>
      </w:r>
    </w:p>
    <w:p w14:paraId="09C0FCC9"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65C48">
        <w:rPr>
          <w:rFonts w:ascii="Calibri" w:eastAsia="Times New Roman" w:hAnsi="Calibri" w:cs="Calibri"/>
          <w:bCs/>
          <w:color w:val="000000"/>
          <w:kern w:val="0"/>
          <w:lang w:val="es-ES_tradnl" w:eastAsia="es-CR"/>
          <w14:ligatures w14:val="none"/>
        </w:rPr>
        <w:t>3.1 Estructuras de la administración imperial romana en Palestina</w:t>
      </w:r>
    </w:p>
    <w:p w14:paraId="4BAE707A"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65C48">
        <w:rPr>
          <w:rFonts w:ascii="Calibri" w:eastAsia="Times New Roman" w:hAnsi="Calibri" w:cs="Calibri"/>
          <w:bCs/>
          <w:color w:val="000000"/>
          <w:kern w:val="0"/>
          <w:lang w:val="es-ES_tradnl" w:eastAsia="es-CR"/>
          <w14:ligatures w14:val="none"/>
        </w:rPr>
        <w:t>3.2 Rasgos básicos de “la pirámide económica” en la Palestina romana</w:t>
      </w:r>
    </w:p>
    <w:p w14:paraId="7E1DE0C4"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5B44C759"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F65C48">
        <w:rPr>
          <w:rFonts w:ascii="Calibri" w:eastAsia="Times New Roman" w:hAnsi="Calibri" w:cs="Calibri"/>
          <w:b/>
          <w:bCs/>
          <w:color w:val="000000"/>
          <w:kern w:val="0"/>
          <w:lang w:val="es-ES_tradnl" w:eastAsia="es-CR"/>
          <w14:ligatures w14:val="none"/>
        </w:rPr>
        <w:t>Unidad 4: Estructuras religiosas y filosóficas en el mundo greco-romano</w:t>
      </w:r>
    </w:p>
    <w:p w14:paraId="78A07CD1"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65C48">
        <w:rPr>
          <w:rFonts w:ascii="Calibri" w:eastAsia="Times New Roman" w:hAnsi="Calibri" w:cs="Calibri"/>
          <w:bCs/>
          <w:color w:val="000000"/>
          <w:kern w:val="0"/>
          <w:lang w:val="es-ES_tradnl" w:eastAsia="es-CR"/>
          <w14:ligatures w14:val="none"/>
        </w:rPr>
        <w:lastRenderedPageBreak/>
        <w:t>4.1 Religión del imperio y religión popular</w:t>
      </w:r>
    </w:p>
    <w:p w14:paraId="3FE155D0"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65C48">
        <w:rPr>
          <w:rFonts w:ascii="Calibri" w:eastAsia="Times New Roman" w:hAnsi="Calibri" w:cs="Calibri"/>
          <w:bCs/>
          <w:color w:val="000000"/>
          <w:kern w:val="0"/>
          <w:lang w:val="es-ES_tradnl" w:eastAsia="es-CR"/>
          <w14:ligatures w14:val="none"/>
        </w:rPr>
        <w:t>4.2 Los cultos mistéricos</w:t>
      </w:r>
    </w:p>
    <w:p w14:paraId="42A5D804"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65C48">
        <w:rPr>
          <w:rFonts w:ascii="Calibri" w:eastAsia="Times New Roman" w:hAnsi="Calibri" w:cs="Calibri"/>
          <w:bCs/>
          <w:color w:val="000000"/>
          <w:kern w:val="0"/>
          <w:lang w:val="es-ES_tradnl" w:eastAsia="es-CR"/>
          <w14:ligatures w14:val="none"/>
        </w:rPr>
        <w:t>4.3 Las filosofías helenísticas</w:t>
      </w:r>
    </w:p>
    <w:p w14:paraId="6F5CE7EB"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F65C48">
        <w:rPr>
          <w:rFonts w:ascii="Calibri" w:eastAsia="Times New Roman" w:hAnsi="Calibri" w:cs="Calibri"/>
          <w:kern w:val="0"/>
          <w:lang w:val="es-ES_tradnl" w:eastAsia="es-CR"/>
          <w14:ligatures w14:val="none"/>
        </w:rPr>
        <w:t>4.4 Presentación y discusión de los ensayos finales</w:t>
      </w:r>
    </w:p>
    <w:p w14:paraId="5A3A13BD" w14:textId="77777777" w:rsidR="00F65C48" w:rsidRPr="00F65C48" w:rsidRDefault="00F65C48" w:rsidP="00F65C48">
      <w:pPr>
        <w:autoSpaceDE w:val="0"/>
        <w:autoSpaceDN w:val="0"/>
        <w:adjustRightInd w:val="0"/>
        <w:spacing w:after="0" w:line="240" w:lineRule="auto"/>
        <w:contextualSpacing/>
        <w:jc w:val="both"/>
        <w:rPr>
          <w:rFonts w:ascii="Calibri" w:eastAsia="Times New Roman" w:hAnsi="Calibri" w:cs="Calibri"/>
          <w:bCs/>
          <w:color w:val="000000"/>
          <w:kern w:val="0"/>
          <w:lang w:val="es-ES_tradnl" w:eastAsia="es-CR"/>
          <w14:ligatures w14:val="none"/>
        </w:rPr>
      </w:pPr>
    </w:p>
    <w:p w14:paraId="01140CC3" w14:textId="77777777" w:rsidR="00F65C48" w:rsidRPr="00F65C48" w:rsidRDefault="00F65C48" w:rsidP="00F65C48">
      <w:pPr>
        <w:autoSpaceDE w:val="0"/>
        <w:autoSpaceDN w:val="0"/>
        <w:adjustRightInd w:val="0"/>
        <w:spacing w:after="0" w:line="240" w:lineRule="auto"/>
        <w:contextualSpacing/>
        <w:jc w:val="both"/>
        <w:rPr>
          <w:rFonts w:ascii="Calibri" w:eastAsia="Times New Roman" w:hAnsi="Calibri" w:cs="Calibri"/>
          <w:bCs/>
          <w:color w:val="000000"/>
          <w:kern w:val="0"/>
          <w:lang w:val="es-ES_tradnl" w:eastAsia="es-CR"/>
          <w14:ligatures w14:val="none"/>
        </w:rPr>
      </w:pPr>
    </w:p>
    <w:p w14:paraId="793A32CF" w14:textId="77777777" w:rsidR="00F65C48" w:rsidRPr="00F65C48" w:rsidRDefault="00F65C48" w:rsidP="00F65C48">
      <w:pPr>
        <w:autoSpaceDE w:val="0"/>
        <w:autoSpaceDN w:val="0"/>
        <w:adjustRightInd w:val="0"/>
        <w:spacing w:after="0" w:line="240" w:lineRule="auto"/>
        <w:contextualSpacing/>
        <w:jc w:val="both"/>
        <w:rPr>
          <w:rFonts w:ascii="Calibri" w:eastAsia="Calibri" w:hAnsi="Calibri" w:cs="Calibri"/>
          <w:b/>
          <w:bCs/>
          <w:kern w:val="0"/>
          <w14:ligatures w14:val="none"/>
        </w:rPr>
      </w:pPr>
      <w:r w:rsidRPr="00F65C48">
        <w:rPr>
          <w:rFonts w:ascii="Calibri" w:eastAsia="Calibri" w:hAnsi="Calibri" w:cs="Calibri"/>
          <w:b/>
          <w:bCs/>
          <w:kern w:val="0"/>
          <w14:ligatures w14:val="none"/>
        </w:rPr>
        <w:t>V.</w:t>
      </w:r>
      <w:r w:rsidRPr="00F65C48">
        <w:rPr>
          <w:rFonts w:ascii="Calibri" w:eastAsia="Times New Roman" w:hAnsi="Calibri" w:cs="Calibri"/>
          <w:bCs/>
          <w:kern w:val="0"/>
          <w:lang w:eastAsia="es-CR"/>
          <w14:ligatures w14:val="none"/>
        </w:rPr>
        <w:t xml:space="preserve"> </w:t>
      </w:r>
      <w:r w:rsidRPr="00F65C48">
        <w:rPr>
          <w:rFonts w:ascii="Calibri" w:eastAsia="Calibri" w:hAnsi="Calibri" w:cs="Calibri"/>
          <w:b/>
          <w:bCs/>
          <w:kern w:val="0"/>
          <w14:ligatures w14:val="none"/>
        </w:rPr>
        <w:t>Metodología</w:t>
      </w:r>
    </w:p>
    <w:p w14:paraId="48BC2237" w14:textId="77777777" w:rsidR="00F65C48" w:rsidRPr="00F65C48" w:rsidRDefault="00F65C48" w:rsidP="00F65C48">
      <w:pPr>
        <w:autoSpaceDE w:val="0"/>
        <w:autoSpaceDN w:val="0"/>
        <w:adjustRightInd w:val="0"/>
        <w:spacing w:after="0" w:line="240" w:lineRule="auto"/>
        <w:contextualSpacing/>
        <w:jc w:val="both"/>
        <w:rPr>
          <w:rFonts w:ascii="Calibri" w:eastAsia="Calibri" w:hAnsi="Calibri" w:cs="Calibri"/>
          <w:b/>
          <w:bCs/>
          <w:kern w:val="0"/>
          <w14:ligatures w14:val="none"/>
        </w:rPr>
      </w:pPr>
    </w:p>
    <w:p w14:paraId="74797676" w14:textId="77777777" w:rsidR="00F65C48" w:rsidRPr="00F65C48" w:rsidRDefault="00F65C48" w:rsidP="00F65C48">
      <w:pPr>
        <w:autoSpaceDE w:val="0"/>
        <w:autoSpaceDN w:val="0"/>
        <w:adjustRightInd w:val="0"/>
        <w:spacing w:after="0" w:line="240" w:lineRule="auto"/>
        <w:contextualSpacing/>
        <w:jc w:val="both"/>
        <w:rPr>
          <w:rFonts w:ascii="Calibri" w:eastAsia="Calibri" w:hAnsi="Calibri" w:cs="Calibri"/>
          <w:b/>
          <w:bCs/>
          <w:kern w:val="0"/>
          <w14:ligatures w14:val="none"/>
        </w:rPr>
      </w:pPr>
      <w:r w:rsidRPr="00F65C48">
        <w:rPr>
          <w:rFonts w:ascii="Calibri" w:eastAsia="Calibri" w:hAnsi="Calibri" w:cs="Calibri"/>
          <w:color w:val="000000"/>
          <w:kern w:val="0"/>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72C28EF1"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F65C48">
        <w:rPr>
          <w:rFonts w:ascii="Calibri" w:eastAsia="Times New Roman" w:hAnsi="Calibri" w:cs="Calibri"/>
          <w:color w:val="000000"/>
          <w:kern w:val="0"/>
          <w:lang w:val="es-ES_tradnl" w:eastAsia="es-CR"/>
          <w14:ligatures w14:val="none"/>
        </w:rPr>
        <w:t>La naturaleza del curso es teórica y presupone conocimientos ya adquiridos en la carrera sobre el Nuevo Testamento, las Ciencias Bíblicas y los métodos de estudio de textos bíblicos. La metodología está planteada para conocer, analizar y valorar las condiciones sociales, culturales, políticas, religiosas y filosóficas para la comprensión del mundo intercultural del Nuevo Testamento. Dado que los modelos para el estudio social del mundo del Nuevo Testamento son diversos, el curso inicia con una revisión y valoración de modelos propuestos para luego observar sus implicaciones para la interpretación bíblica. Los insumos del curso derivan de las lecturas, los aportes docentes y presentaciones grupales en los encuentros sincrónicos virtuales y el trabajo colaborativo en los foros temáticos. El estudio de la sociedad del Nuevo Testamento aporta elementos que contribuyen al análisis e interpretación de los textos bíblicos, por lo que estos se trabajarán tanto en los encuentros sincrónicos, como en los foros y trabajos individuales.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2CF299FB"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2"/>
          <w:szCs w:val="2"/>
          <w:lang w:val="es-ES_tradnl" w:eastAsia="es-CR"/>
          <w14:ligatures w14:val="none"/>
        </w:rPr>
      </w:pPr>
    </w:p>
    <w:p w14:paraId="7209F158"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r w:rsidRPr="00F65C48">
        <w:rPr>
          <w:rFonts w:ascii="Calibri" w:eastAsia="Times New Roman" w:hAnsi="Calibri" w:cs="Calibri"/>
          <w:b/>
          <w:bCs/>
          <w:color w:val="000000"/>
          <w:kern w:val="0"/>
          <w:lang w:val="es-ES_tradnl" w:eastAsia="es-CR"/>
          <w14:ligatures w14:val="none"/>
        </w:rPr>
        <w:t xml:space="preserve">VI. Estrategias de aprendizaje </w:t>
      </w:r>
    </w:p>
    <w:p w14:paraId="027CC1E5"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color w:val="000000"/>
          <w:kern w:val="0"/>
          <w:lang w:val="es-ES" w:eastAsia="es-ES"/>
          <w14:ligatures w14:val="none"/>
        </w:rPr>
        <w:t>De acuerdo con la metodología propuesta, el curso ofrecerá estrategias de aprendizaje que favorezcan el manejo de conceptos y modelos teóricos y de sus implicaciones para la interpretación de textos del Nuevo Testamento. Se realizará trabajo individual y colaborativo en el que se aplicarán los insumos teóricos al análisis de textos bíblicos.</w:t>
      </w:r>
    </w:p>
    <w:p w14:paraId="07272AAA"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color w:val="000000"/>
          <w:kern w:val="0"/>
          <w:lang w:val="es-ES" w:eastAsia="es-ES"/>
          <w14:ligatures w14:val="none"/>
        </w:rPr>
        <w:t>Se utilizan las siguientes estrategias de aprendizaje:</w:t>
      </w:r>
    </w:p>
    <w:p w14:paraId="049C5F48" w14:textId="77777777" w:rsid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3A716FE1" w14:textId="77777777" w:rsidR="00860530" w:rsidRPr="00F65C48" w:rsidRDefault="00860530"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7DFFF501"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ES"/>
          <w14:ligatures w14:val="none"/>
        </w:rPr>
      </w:pPr>
      <w:r w:rsidRPr="00F65C48">
        <w:rPr>
          <w:rFonts w:ascii="Calibri" w:eastAsia="Times New Roman" w:hAnsi="Calibri" w:cs="Arial"/>
          <w:b/>
          <w:bCs/>
          <w:color w:val="000000"/>
          <w:kern w:val="0"/>
          <w:lang w:val="es-ES" w:eastAsia="es-ES"/>
          <w14:ligatures w14:val="none"/>
        </w:rPr>
        <w:lastRenderedPageBreak/>
        <w:t xml:space="preserve">a) Encuentro sincrónico virtual: </w:t>
      </w:r>
      <w:r w:rsidRPr="00F65C48">
        <w:rPr>
          <w:rFonts w:ascii="Calibri" w:eastAsia="Times New Roman" w:hAnsi="Calibri" w:cs="Arial"/>
          <w:color w:val="000000"/>
          <w:kern w:val="0"/>
          <w:lang w:val="es-ES" w:eastAsia="es-ES"/>
          <w14:ligatures w14:val="none"/>
        </w:rPr>
        <w:t xml:space="preserve">Se realizarán encuentros sincrónicos a lo largo del curso, los cuales permitirán compartir aportes por parte de la persona docente, profundización y aclaración de las temáticas. Además, se desarrollarán como un espacio de diálogo con las personas estudiantes, así como para el análisis de textos que ejemplifiquen la aplicación de los aportes teóricos sobre el mundo del Nuevo Testamento. A su vez, durante cuatro sesiones se utilizará esta estrategia para que las personas estudiantes asignadas realicen presentaciones grupales sobre distintos temas, así como para que al final del curso cada estudiante presente un breve resumen oral de su ensayo final. Los encuentros sincrónicos virtuales tienen valor formativo. </w:t>
      </w:r>
    </w:p>
    <w:p w14:paraId="5F673095"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b/>
          <w:bCs/>
          <w:color w:val="000000"/>
          <w:kern w:val="0"/>
          <w:lang w:val="es-ES" w:eastAsia="es-ES"/>
          <w14:ligatures w14:val="none"/>
        </w:rPr>
        <w:t xml:space="preserve">b) Foro: </w:t>
      </w:r>
      <w:r w:rsidRPr="00F65C48">
        <w:rPr>
          <w:rFonts w:ascii="Calibri" w:eastAsia="Times New Roman" w:hAnsi="Calibri" w:cs="Calibri"/>
          <w:color w:val="000000"/>
          <w:kern w:val="0"/>
          <w:lang w:val="es-ES" w:eastAsia="es-ES"/>
          <w14:ligatures w14:val="none"/>
        </w:rPr>
        <w:t xml:space="preserve">Los foros son espacios de diálogo, debate y producción colaborativa asincrónica que se basan en los contenidos de las lecturas y otros insumos del curso. En este curso los utilizaremos para debatir los modelos de análisis de la sociedad del Nuevo Testamento, así como para comentar textos bíblicos específicos a partir de las temáticas aportadas por las lecturas y el análisis propio.  </w:t>
      </w:r>
    </w:p>
    <w:p w14:paraId="14BFBBCB"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b/>
          <w:bCs/>
          <w:color w:val="000000"/>
          <w:kern w:val="0"/>
          <w:lang w:val="es-ES" w:eastAsia="es-ES"/>
          <w14:ligatures w14:val="none"/>
        </w:rPr>
        <w:t xml:space="preserve">c) Reseña crítica de lectura: </w:t>
      </w:r>
      <w:r w:rsidRPr="00F65C48">
        <w:rPr>
          <w:rFonts w:ascii="Calibri" w:eastAsia="Times New Roman" w:hAnsi="Calibri" w:cs="Calibri"/>
          <w:color w:val="000000"/>
          <w:kern w:val="0"/>
          <w:lang w:val="es-ES" w:eastAsia="es-ES"/>
          <w14:ligatures w14:val="none"/>
        </w:rPr>
        <w:t xml:space="preserve">Las reseñas críticas permiten identificar los temas centrales de las lecturas, realizar una valoración crítica de estos y contextualizar sus aportes para la comprensión del Nuevo Testamento y su mundo social. Realizaremos dos reseñas, con la primera, además de reseñar, se buscará comparar los acercamientos de las personas autoras al estudio del mundo social del Nuevo Testamento; con la segunda, los y las estudiantes realizarán la valoración que hace el autor del cristianismo en el contexto de las religiones y corrientes filosóficas del mundo greco-romano.  </w:t>
      </w:r>
    </w:p>
    <w:p w14:paraId="1A94114C"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 w:eastAsia="es-ES"/>
          <w14:ligatures w14:val="none"/>
        </w:rPr>
      </w:pPr>
      <w:r w:rsidRPr="00F65C48">
        <w:rPr>
          <w:rFonts w:ascii="Calibri" w:eastAsia="Times New Roman" w:hAnsi="Calibri" w:cs="Calibri"/>
          <w:b/>
          <w:bCs/>
          <w:color w:val="000000"/>
          <w:kern w:val="0"/>
          <w:lang w:val="es-ES" w:eastAsia="es-ES"/>
          <w14:ligatures w14:val="none"/>
        </w:rPr>
        <w:t xml:space="preserve">d) Presentación grupal: </w:t>
      </w:r>
      <w:r w:rsidRPr="00F65C48">
        <w:rPr>
          <w:rFonts w:ascii="Calibri" w:eastAsia="Times New Roman" w:hAnsi="Calibri" w:cs="Calibri"/>
          <w:color w:val="000000"/>
          <w:kern w:val="0"/>
          <w:lang w:val="es-ES" w:eastAsia="es-ES"/>
          <w14:ligatures w14:val="none"/>
        </w:rPr>
        <w:t>Cada grupo, designado por la persona docente, elaborará y realizará una presentación sobre el tema de la sesión asignada con base en las lecturas y ejemplos de textos bíblicos. La comprensión del tema se evidenciará, además, en el diálogo que desarrolle el grupo con el resto de la clase posterior a la presentación. La clase se dividirá en cuatro grupos, por lo tanto, habrá un total de cuatro presentaciones durante el curso.</w:t>
      </w:r>
    </w:p>
    <w:p w14:paraId="3D684D14"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b/>
          <w:bCs/>
          <w:color w:val="000000"/>
          <w:kern w:val="0"/>
          <w:lang w:val="es-ES" w:eastAsia="es-ES"/>
          <w14:ligatures w14:val="none"/>
        </w:rPr>
        <w:t xml:space="preserve">e) Ensayo: </w:t>
      </w:r>
      <w:r w:rsidRPr="00F65C48">
        <w:rPr>
          <w:rFonts w:ascii="Calibri" w:eastAsia="Times New Roman" w:hAnsi="Calibri" w:cs="Calibri"/>
          <w:color w:val="000000"/>
          <w:kern w:val="0"/>
          <w:lang w:val="es-ES" w:eastAsia="es-ES"/>
          <w14:ligatures w14:val="none"/>
        </w:rPr>
        <w:t xml:space="preserve">Los ensayos son trabajos académicos personales en los que se desarrolla un tema con base en argumentos fundamentados y claramente organizados. Durante el curso los y las estudiantes realizarán un total de tres ensayos. Con el primero se buscará una valoración de los modelos de análisis sociológico que se han discutido en la Unidad I, con el segundo se abordarán las estructuras políticas de Palestina y su importancia para la interpretación de los textos del Nuevo Testamento y, por último, con el tercero se buscará que la persona estudiante pueda realizar una síntesis valorativa de los contenidos del curso, de manera particular sobre los modelos para el análisis del mundo social del Nuevo Testamento y cómo aplicarlos a textos bíblicos específicos. </w:t>
      </w:r>
    </w:p>
    <w:p w14:paraId="6561C225"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2"/>
          <w:szCs w:val="2"/>
          <w:lang w:val="es-ES" w:eastAsia="es-ES"/>
          <w14:ligatures w14:val="none"/>
        </w:rPr>
      </w:pPr>
    </w:p>
    <w:p w14:paraId="7261E306"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color w:val="000000"/>
          <w:kern w:val="0"/>
          <w:lang w:val="es-ES" w:eastAsia="es-ES"/>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304F585D"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sz w:val="2"/>
          <w:szCs w:val="2"/>
          <w:lang w:val="es-ES" w:eastAsia="es-ES"/>
          <w14:ligatures w14:val="none"/>
        </w:rPr>
      </w:pPr>
    </w:p>
    <w:p w14:paraId="6EFDB2F0"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F65C48">
        <w:rPr>
          <w:rFonts w:ascii="Calibri" w:eastAsia="Times New Roman" w:hAnsi="Calibri" w:cs="Calibri"/>
          <w:b/>
          <w:bCs/>
          <w:color w:val="000000"/>
          <w:kern w:val="0"/>
          <w:lang w:val="es-ES_tradnl" w:eastAsia="es-CR"/>
          <w14:ligatures w14:val="none"/>
        </w:rPr>
        <w:t xml:space="preserve">VII. Recursos didácticos </w:t>
      </w:r>
    </w:p>
    <w:p w14:paraId="15C68226"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sz w:val="2"/>
          <w:szCs w:val="2"/>
          <w:lang w:val="es-ES_tradnl" w:eastAsia="es-CR"/>
          <w14:ligatures w14:val="none"/>
        </w:rPr>
      </w:pPr>
    </w:p>
    <w:p w14:paraId="7B7BA113"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F65C48">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50DF5BB9"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3CEB1EF"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4B8CDC9D"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5F8551D"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color w:val="000000"/>
          <w:kern w:val="0"/>
          <w:lang w:val="es-ES" w:eastAsia="es-ES"/>
          <w14:ligatures w14:val="none"/>
        </w:rPr>
        <w:lastRenderedPageBreak/>
        <w:t>b) Lecturas complementarias en algunas de las sesiones que se asignan para su lectura con el fin de ampliar las temáticas. Realizar estas lecturas es opcional.</w:t>
      </w:r>
    </w:p>
    <w:p w14:paraId="52E630D2"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3EBC8B8"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67803247"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C15BC2A"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y mediante la herramienta Big Blue </w:t>
      </w:r>
      <w:proofErr w:type="spellStart"/>
      <w:r w:rsidRPr="00F65C48">
        <w:rPr>
          <w:rFonts w:ascii="Calibri" w:eastAsia="Times New Roman" w:hAnsi="Calibri" w:cs="Calibri"/>
          <w:color w:val="000000"/>
          <w:kern w:val="0"/>
          <w:lang w:val="es-ES" w:eastAsia="es-ES"/>
          <w14:ligatures w14:val="none"/>
        </w:rPr>
        <w:t>Button</w:t>
      </w:r>
      <w:proofErr w:type="spellEnd"/>
      <w:r w:rsidRPr="00F65C48">
        <w:rPr>
          <w:rFonts w:ascii="Calibri" w:eastAsia="Times New Roman" w:hAnsi="Calibri" w:cs="Calibri"/>
          <w:color w:val="000000"/>
          <w:kern w:val="0"/>
          <w:lang w:val="es-ES" w:eastAsia="es-ES"/>
          <w14:ligatures w14:val="none"/>
        </w:rPr>
        <w:t xml:space="preserve"> en la plataforma Moodle, así como para la elaboración de una reseña crítica de lectura y un ensayo.</w:t>
      </w:r>
    </w:p>
    <w:p w14:paraId="28E06017"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2D31B1C"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F65C48">
        <w:rPr>
          <w:rFonts w:ascii="Calibri" w:eastAsia="Times New Roman" w:hAnsi="Calibri" w:cs="Calibri"/>
          <w:color w:val="000000"/>
          <w:kern w:val="0"/>
          <w:lang w:val="es-ES" w:eastAsia="es-ES"/>
          <w14:ligatures w14:val="none"/>
        </w:rPr>
        <w:t>Strachan</w:t>
      </w:r>
      <w:proofErr w:type="spellEnd"/>
      <w:r w:rsidRPr="00F65C48">
        <w:rPr>
          <w:rFonts w:ascii="Calibri" w:eastAsia="Times New Roman" w:hAnsi="Calibri" w:cs="Calibri"/>
          <w:color w:val="000000"/>
          <w:kern w:val="0"/>
          <w:lang w:val="es-ES" w:eastAsia="es-ES"/>
          <w14:ligatures w14:val="none"/>
        </w:rPr>
        <w:t xml:space="preserve"> (</w:t>
      </w:r>
      <w:hyperlink r:id="rId480" w:history="1">
        <w:r w:rsidRPr="00F65C48">
          <w:rPr>
            <w:rFonts w:ascii="Calibri" w:eastAsia="Times New Roman" w:hAnsi="Calibri" w:cs="Calibri"/>
            <w:color w:val="0563C1"/>
            <w:kern w:val="0"/>
            <w:u w:val="single"/>
            <w:lang w:val="es-ES" w:eastAsia="es-ES"/>
            <w14:ligatures w14:val="none"/>
          </w:rPr>
          <w:t>https://www.ubl.ac.cr/biblioteca</w:t>
        </w:r>
      </w:hyperlink>
      <w:r w:rsidRPr="00F65C48">
        <w:rPr>
          <w:rFonts w:ascii="Calibri" w:eastAsia="Times New Roman" w:hAnsi="Calibri" w:cs="Calibri"/>
          <w:color w:val="000000"/>
          <w:kern w:val="0"/>
          <w:lang w:val="es-ES" w:eastAsia="es-ES"/>
          <w14:ligatures w14:val="none"/>
        </w:rPr>
        <w:t>), así como consultar el Portal de Revistas de la UBL (</w:t>
      </w:r>
      <w:hyperlink r:id="rId481" w:history="1">
        <w:r w:rsidRPr="00F65C48">
          <w:rPr>
            <w:rFonts w:ascii="Calibri" w:eastAsia="Times New Roman" w:hAnsi="Calibri" w:cs="Calibri"/>
            <w:color w:val="0563C1"/>
            <w:kern w:val="0"/>
            <w:u w:val="single"/>
            <w:lang w:val="es-ES" w:eastAsia="es-ES"/>
            <w14:ligatures w14:val="none"/>
          </w:rPr>
          <w:t>http://revistas.ubl.ac.cr/</w:t>
        </w:r>
      </w:hyperlink>
      <w:r w:rsidRPr="00F65C48">
        <w:rPr>
          <w:rFonts w:ascii="Calibri" w:eastAsia="Times New Roman" w:hAnsi="Calibri" w:cs="Calibri"/>
          <w:color w:val="000000"/>
          <w:kern w:val="0"/>
          <w:lang w:val="es-ES" w:eastAsia="es-ES"/>
          <w14:ligatures w14:val="none"/>
        </w:rPr>
        <w:t>). A través del correo de la biblioteca (</w:t>
      </w:r>
      <w:hyperlink r:id="rId482" w:history="1">
        <w:r w:rsidRPr="00F65C48">
          <w:rPr>
            <w:rFonts w:ascii="Calibri" w:eastAsia="Times New Roman" w:hAnsi="Calibri" w:cs="Calibri"/>
            <w:color w:val="0563C1"/>
            <w:kern w:val="0"/>
            <w:u w:val="single"/>
            <w:lang w:val="es-ES" w:eastAsia="es-ES"/>
            <w14:ligatures w14:val="none"/>
          </w:rPr>
          <w:t>biblioteca@ubl.ac.cr</w:t>
        </w:r>
      </w:hyperlink>
      <w:r w:rsidRPr="00F65C48">
        <w:rPr>
          <w:rFonts w:ascii="Calibri" w:eastAsia="Times New Roman" w:hAnsi="Calibri" w:cs="Calibri"/>
          <w:color w:val="000000"/>
          <w:kern w:val="0"/>
          <w:lang w:val="es-ES" w:eastAsia="es-ES"/>
          <w14:ligatures w14:val="none"/>
        </w:rPr>
        <w:t xml:space="preserve">) puede solicitar recursos que se encuentren en la colección física. </w:t>
      </w:r>
    </w:p>
    <w:p w14:paraId="37C3E953"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1DADB0F"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F65C48">
        <w:rPr>
          <w:rFonts w:ascii="Calibri" w:eastAsia="Times New Roman" w:hAnsi="Calibri" w:cs="Calibri"/>
          <w:color w:val="000000"/>
          <w:kern w:val="0"/>
          <w:lang w:val="es-ES" w:eastAsia="es-ES"/>
          <w14:ligatures w14:val="none"/>
        </w:rPr>
        <w:t>f)</w:t>
      </w:r>
      <w:r w:rsidRPr="00F65C48">
        <w:rPr>
          <w:rFonts w:ascii="Times New Roman" w:eastAsia="Times New Roman" w:hAnsi="Times New Roman" w:cs="Calibri"/>
          <w:bCs/>
          <w:kern w:val="0"/>
          <w:sz w:val="24"/>
          <w:szCs w:val="24"/>
          <w:lang w:val="es-ES_tradnl" w:eastAsia="es-CR"/>
          <w14:ligatures w14:val="none"/>
        </w:rPr>
        <w:t xml:space="preserve"> </w:t>
      </w:r>
      <w:r w:rsidRPr="00F65C48">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Bíblicas. Dicho espacio está disponible para todas las personas registradas en el campus virtual y se puede acceder a través del siguiente enlace: </w:t>
      </w:r>
      <w:hyperlink r:id="rId483" w:history="1">
        <w:r w:rsidRPr="00F65C48">
          <w:rPr>
            <w:rFonts w:ascii="Calibri" w:eastAsia="Times New Roman" w:hAnsi="Calibri" w:cs="Calibri"/>
            <w:bCs/>
            <w:color w:val="0563C1"/>
            <w:kern w:val="0"/>
            <w:u w:val="single"/>
            <w:lang w:val="es-ES_tradnl" w:eastAsia="es-CR"/>
            <w14:ligatures w14:val="none"/>
          </w:rPr>
          <w:t>https://campus.ubl.ac.cr/course/index.php?categoryid=186</w:t>
        </w:r>
      </w:hyperlink>
    </w:p>
    <w:p w14:paraId="7412BA58"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0D83B164"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65C48">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103900B4"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75DCB5C8"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2F36A2EF"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5E15663E"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760033EF"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00D548BF"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115470AD"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6F73538B"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3658F7C4"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0E25EA9B"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5FA5EBF6"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7B5A2A49"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4D151E44"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3E36F856"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ES"/>
          <w14:ligatures w14:val="none"/>
        </w:rPr>
      </w:pPr>
    </w:p>
    <w:p w14:paraId="69E9A372" w14:textId="77777777" w:rsidR="00860530" w:rsidRDefault="00860530" w:rsidP="00F65C48">
      <w:pPr>
        <w:autoSpaceDE w:val="0"/>
        <w:autoSpaceDN w:val="0"/>
        <w:adjustRightInd w:val="0"/>
        <w:spacing w:after="0" w:line="240" w:lineRule="auto"/>
        <w:jc w:val="both"/>
        <w:rPr>
          <w:rFonts w:ascii="Calibri" w:eastAsia="Times New Roman" w:hAnsi="Calibri" w:cs="Calibri"/>
          <w:b/>
          <w:bCs/>
          <w:kern w:val="0"/>
          <w:lang w:val="es-ES_tradnl" w:eastAsia="es-CR"/>
          <w14:ligatures w14:val="none"/>
        </w:rPr>
      </w:pPr>
    </w:p>
    <w:p w14:paraId="39DE0DA4" w14:textId="606A5271" w:rsidR="00F65C48" w:rsidRPr="00F65C48" w:rsidRDefault="00F65C48" w:rsidP="00F65C48">
      <w:pPr>
        <w:autoSpaceDE w:val="0"/>
        <w:autoSpaceDN w:val="0"/>
        <w:adjustRightInd w:val="0"/>
        <w:spacing w:after="0" w:line="240" w:lineRule="auto"/>
        <w:jc w:val="both"/>
        <w:rPr>
          <w:rFonts w:ascii="Calibri" w:eastAsia="Times New Roman" w:hAnsi="Calibri" w:cs="Calibri"/>
          <w:b/>
          <w:bCs/>
          <w:kern w:val="0"/>
          <w:lang w:eastAsia="es-CR"/>
          <w14:ligatures w14:val="none"/>
        </w:rPr>
      </w:pPr>
      <w:r w:rsidRPr="00F65C48">
        <w:rPr>
          <w:rFonts w:ascii="Calibri" w:eastAsia="Times New Roman" w:hAnsi="Calibri" w:cs="Calibri"/>
          <w:b/>
          <w:bCs/>
          <w:kern w:val="0"/>
          <w:lang w:val="es-ES_tradnl" w:eastAsia="es-CR"/>
          <w14:ligatures w14:val="none"/>
        </w:rPr>
        <w:lastRenderedPageBreak/>
        <w:t>VIII. Cronograma de trabajo</w:t>
      </w:r>
    </w:p>
    <w:p w14:paraId="16BE1B68" w14:textId="77777777" w:rsidR="00F65C48" w:rsidRPr="00F65C48" w:rsidRDefault="00F65C48" w:rsidP="00F65C48">
      <w:pPr>
        <w:autoSpaceDE w:val="0"/>
        <w:autoSpaceDN w:val="0"/>
        <w:adjustRightInd w:val="0"/>
        <w:spacing w:after="0" w:line="240" w:lineRule="auto"/>
        <w:jc w:val="both"/>
        <w:rPr>
          <w:rFonts w:ascii="Calibri" w:eastAsia="Times New Roman" w:hAnsi="Calibri" w:cs="Calibri"/>
          <w:b/>
          <w:bCs/>
          <w:kern w:val="0"/>
          <w:lang w:val="es-ES_tradnl" w:eastAsia="es-CR"/>
          <w14:ligatures w14:val="none"/>
        </w:rPr>
      </w:pPr>
    </w:p>
    <w:tbl>
      <w:tblPr>
        <w:tblStyle w:val="Tablaconcuadrcula"/>
        <w:tblW w:w="9918" w:type="dxa"/>
        <w:jc w:val="center"/>
        <w:tblLook w:val="04A0" w:firstRow="1" w:lastRow="0" w:firstColumn="1" w:lastColumn="0" w:noHBand="0" w:noVBand="1"/>
      </w:tblPr>
      <w:tblGrid>
        <w:gridCol w:w="1144"/>
        <w:gridCol w:w="2395"/>
        <w:gridCol w:w="3260"/>
        <w:gridCol w:w="3119"/>
      </w:tblGrid>
      <w:tr w:rsidR="00F65C48" w:rsidRPr="00F65C48" w14:paraId="449DC5D2" w14:textId="77777777" w:rsidTr="4C9C2619">
        <w:trPr>
          <w:trHeight w:val="447"/>
          <w:jc w:val="center"/>
        </w:trPr>
        <w:tc>
          <w:tcPr>
            <w:tcW w:w="1144" w:type="dxa"/>
            <w:vMerge w:val="restart"/>
            <w:vAlign w:val="center"/>
          </w:tcPr>
          <w:p w14:paraId="162E1B8F" w14:textId="77777777" w:rsidR="00F65C48" w:rsidRPr="00F65C48" w:rsidRDefault="00F65C48" w:rsidP="00F65C48">
            <w:pPr>
              <w:autoSpaceDE w:val="0"/>
              <w:autoSpaceDN w:val="0"/>
              <w:adjustRightInd w:val="0"/>
              <w:jc w:val="center"/>
              <w:rPr>
                <w:rFonts w:ascii="Calibri" w:eastAsia="Times New Roman" w:hAnsi="Calibri" w:cs="Calibri"/>
                <w:b/>
                <w:bCs/>
                <w:sz w:val="24"/>
                <w:szCs w:val="24"/>
                <w:lang w:val="es-ES_tradnl" w:eastAsia="es-CR"/>
              </w:rPr>
            </w:pPr>
            <w:r w:rsidRPr="00F65C48">
              <w:rPr>
                <w:rFonts w:ascii="Calibri" w:eastAsia="Times New Roman" w:hAnsi="Calibri" w:cs="Calibri"/>
                <w:b/>
                <w:bCs/>
                <w:sz w:val="24"/>
                <w:szCs w:val="24"/>
                <w:lang w:val="es-ES_tradnl" w:eastAsia="es-CR"/>
              </w:rPr>
              <w:t>Sesión</w:t>
            </w:r>
          </w:p>
          <w:p w14:paraId="01E3E7F6" w14:textId="77777777" w:rsidR="00F65C48" w:rsidRPr="00F65C48" w:rsidRDefault="00F65C48" w:rsidP="00F65C48">
            <w:pPr>
              <w:autoSpaceDE w:val="0"/>
              <w:autoSpaceDN w:val="0"/>
              <w:adjustRightInd w:val="0"/>
              <w:jc w:val="center"/>
              <w:rPr>
                <w:rFonts w:ascii="Calibri" w:eastAsia="Times New Roman" w:hAnsi="Calibri" w:cs="Calibri"/>
                <w:b/>
                <w:bCs/>
                <w:sz w:val="24"/>
                <w:szCs w:val="24"/>
                <w:lang w:val="es-ES_tradnl" w:eastAsia="es-CR"/>
              </w:rPr>
            </w:pPr>
            <w:r w:rsidRPr="00F65C48">
              <w:rPr>
                <w:rFonts w:ascii="Calibri" w:eastAsia="Times New Roman" w:hAnsi="Calibri" w:cs="Calibri"/>
                <w:b/>
                <w:bCs/>
                <w:sz w:val="24"/>
                <w:szCs w:val="24"/>
                <w:lang w:val="es-ES_tradnl" w:eastAsia="es-CR"/>
              </w:rPr>
              <w:t>(semana)</w:t>
            </w:r>
          </w:p>
        </w:tc>
        <w:tc>
          <w:tcPr>
            <w:tcW w:w="2395" w:type="dxa"/>
            <w:vMerge w:val="restart"/>
            <w:vAlign w:val="center"/>
          </w:tcPr>
          <w:p w14:paraId="1F4685E3" w14:textId="77777777" w:rsidR="00F65C48" w:rsidRPr="00F65C48" w:rsidRDefault="00F65C48" w:rsidP="00F65C48">
            <w:pPr>
              <w:autoSpaceDE w:val="0"/>
              <w:autoSpaceDN w:val="0"/>
              <w:adjustRightInd w:val="0"/>
              <w:jc w:val="center"/>
              <w:rPr>
                <w:rFonts w:ascii="Calibri" w:eastAsia="Times New Roman" w:hAnsi="Calibri" w:cs="Calibri"/>
                <w:b/>
                <w:bCs/>
                <w:sz w:val="24"/>
                <w:szCs w:val="24"/>
                <w:lang w:val="es-ES_tradnl" w:eastAsia="es-CR"/>
              </w:rPr>
            </w:pPr>
            <w:r w:rsidRPr="00F65C48">
              <w:rPr>
                <w:rFonts w:ascii="Calibri" w:eastAsia="Times New Roman" w:hAnsi="Calibri" w:cs="Calibri"/>
                <w:b/>
                <w:bCs/>
                <w:sz w:val="24"/>
                <w:szCs w:val="24"/>
                <w:lang w:val="es-ES_tradnl" w:eastAsia="es-CR"/>
              </w:rPr>
              <w:t>Contenidos temáticos</w:t>
            </w:r>
          </w:p>
        </w:tc>
        <w:tc>
          <w:tcPr>
            <w:tcW w:w="6379" w:type="dxa"/>
            <w:gridSpan w:val="2"/>
            <w:vAlign w:val="center"/>
          </w:tcPr>
          <w:p w14:paraId="6F8B0DD0" w14:textId="77777777" w:rsidR="00F65C48" w:rsidRPr="00F65C48" w:rsidRDefault="00F65C48" w:rsidP="00F65C48">
            <w:pPr>
              <w:autoSpaceDE w:val="0"/>
              <w:autoSpaceDN w:val="0"/>
              <w:adjustRightInd w:val="0"/>
              <w:jc w:val="center"/>
              <w:rPr>
                <w:rFonts w:ascii="Calibri" w:eastAsia="Times New Roman" w:hAnsi="Calibri" w:cs="Calibri"/>
                <w:b/>
                <w:bCs/>
                <w:sz w:val="24"/>
                <w:szCs w:val="24"/>
                <w:lang w:val="es-ES_tradnl" w:eastAsia="es-CR"/>
              </w:rPr>
            </w:pPr>
            <w:r w:rsidRPr="00F65C48">
              <w:rPr>
                <w:rFonts w:ascii="Calibri" w:eastAsia="Times New Roman" w:hAnsi="Calibri" w:cs="Calibri"/>
                <w:b/>
                <w:bCs/>
                <w:sz w:val="24"/>
                <w:szCs w:val="24"/>
                <w:lang w:val="es-ES_tradnl" w:eastAsia="es-CR"/>
              </w:rPr>
              <w:t>Actividades de enseñanza-aprendizaje</w:t>
            </w:r>
          </w:p>
        </w:tc>
      </w:tr>
      <w:tr w:rsidR="00F65C48" w:rsidRPr="00F65C48" w14:paraId="3595409E" w14:textId="77777777" w:rsidTr="4C9C2619">
        <w:trPr>
          <w:trHeight w:val="553"/>
          <w:jc w:val="center"/>
        </w:trPr>
        <w:tc>
          <w:tcPr>
            <w:tcW w:w="1144" w:type="dxa"/>
            <w:vMerge/>
          </w:tcPr>
          <w:p w14:paraId="73BADA6F" w14:textId="77777777" w:rsidR="00F65C48" w:rsidRPr="00F65C48" w:rsidRDefault="00F65C48" w:rsidP="00F65C48">
            <w:pPr>
              <w:autoSpaceDE w:val="0"/>
              <w:autoSpaceDN w:val="0"/>
              <w:adjustRightInd w:val="0"/>
              <w:jc w:val="both"/>
              <w:rPr>
                <w:rFonts w:ascii="Calibri" w:eastAsia="Times New Roman" w:hAnsi="Calibri" w:cs="Calibri"/>
                <w:b/>
                <w:bCs/>
                <w:lang w:val="es-ES_tradnl" w:eastAsia="es-CR"/>
              </w:rPr>
            </w:pPr>
          </w:p>
        </w:tc>
        <w:tc>
          <w:tcPr>
            <w:tcW w:w="2395" w:type="dxa"/>
            <w:vMerge/>
          </w:tcPr>
          <w:p w14:paraId="625AC9A9" w14:textId="77777777" w:rsidR="00F65C48" w:rsidRPr="00F65C48" w:rsidRDefault="00F65C48" w:rsidP="00F65C48">
            <w:pPr>
              <w:autoSpaceDE w:val="0"/>
              <w:autoSpaceDN w:val="0"/>
              <w:adjustRightInd w:val="0"/>
              <w:jc w:val="both"/>
              <w:rPr>
                <w:rFonts w:ascii="Calibri" w:eastAsia="Times New Roman" w:hAnsi="Calibri" w:cs="Calibri"/>
                <w:b/>
                <w:bCs/>
                <w:lang w:val="es-ES_tradnl" w:eastAsia="es-CR"/>
              </w:rPr>
            </w:pPr>
          </w:p>
        </w:tc>
        <w:tc>
          <w:tcPr>
            <w:tcW w:w="3260" w:type="dxa"/>
            <w:vAlign w:val="center"/>
          </w:tcPr>
          <w:p w14:paraId="4FF7439E" w14:textId="77777777" w:rsidR="00F65C48" w:rsidRPr="00F65C48" w:rsidRDefault="00F65C48" w:rsidP="00F65C48">
            <w:pPr>
              <w:autoSpaceDE w:val="0"/>
              <w:autoSpaceDN w:val="0"/>
              <w:adjustRightInd w:val="0"/>
              <w:jc w:val="center"/>
              <w:rPr>
                <w:rFonts w:ascii="Calibri" w:eastAsia="Times New Roman" w:hAnsi="Calibri" w:cs="Calibri"/>
                <w:b/>
                <w:bCs/>
                <w:sz w:val="24"/>
                <w:szCs w:val="24"/>
                <w:lang w:val="es-ES_tradnl" w:eastAsia="es-CR"/>
              </w:rPr>
            </w:pPr>
            <w:r w:rsidRPr="00F65C48">
              <w:rPr>
                <w:rFonts w:ascii="Calibri" w:eastAsia="Times New Roman" w:hAnsi="Calibri" w:cs="Calibri"/>
                <w:b/>
                <w:bCs/>
                <w:sz w:val="24"/>
                <w:szCs w:val="24"/>
                <w:lang w:val="es-ES_tradnl" w:eastAsia="es-CR"/>
              </w:rPr>
              <w:t>Recursos didácticos</w:t>
            </w:r>
          </w:p>
        </w:tc>
        <w:tc>
          <w:tcPr>
            <w:tcW w:w="3119" w:type="dxa"/>
            <w:vAlign w:val="center"/>
          </w:tcPr>
          <w:p w14:paraId="5BE9DB77" w14:textId="77777777" w:rsidR="00F65C48" w:rsidRPr="00F65C48" w:rsidRDefault="00F65C48" w:rsidP="00F65C48">
            <w:pPr>
              <w:autoSpaceDE w:val="0"/>
              <w:autoSpaceDN w:val="0"/>
              <w:adjustRightInd w:val="0"/>
              <w:jc w:val="center"/>
              <w:rPr>
                <w:rFonts w:ascii="Calibri" w:eastAsia="Times New Roman" w:hAnsi="Calibri" w:cs="Calibri"/>
                <w:b/>
                <w:bCs/>
                <w:sz w:val="24"/>
                <w:szCs w:val="24"/>
                <w:lang w:val="es-ES_tradnl" w:eastAsia="es-CR"/>
              </w:rPr>
            </w:pPr>
            <w:r w:rsidRPr="00F65C48">
              <w:rPr>
                <w:rFonts w:ascii="Calibri" w:eastAsia="Times New Roman" w:hAnsi="Calibri" w:cs="Calibri"/>
                <w:b/>
                <w:bCs/>
                <w:sz w:val="24"/>
                <w:szCs w:val="24"/>
                <w:lang w:val="es-ES_tradnl" w:eastAsia="es-CR"/>
              </w:rPr>
              <w:t>Actividades de aprendizaje</w:t>
            </w:r>
          </w:p>
        </w:tc>
      </w:tr>
      <w:tr w:rsidR="00F65C48" w:rsidRPr="00F65C48" w14:paraId="6F2A2936" w14:textId="77777777" w:rsidTr="4C9C2619">
        <w:trPr>
          <w:jc w:val="center"/>
        </w:trPr>
        <w:tc>
          <w:tcPr>
            <w:tcW w:w="1144" w:type="dxa"/>
          </w:tcPr>
          <w:p w14:paraId="39DCC5D1"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659DA34A"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1</w:t>
            </w:r>
          </w:p>
        </w:tc>
        <w:tc>
          <w:tcPr>
            <w:tcW w:w="2395" w:type="dxa"/>
          </w:tcPr>
          <w:p w14:paraId="6B8E28D8"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1: Modelos de análisis sociológico</w:t>
            </w:r>
          </w:p>
          <w:p w14:paraId="47C1D3F0"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71EC868F"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1.1 Introducción al mundo social del Nuevo Testamento</w:t>
            </w:r>
          </w:p>
          <w:p w14:paraId="19F31D21"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1EB13429"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0F2AD314"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p>
          <w:p w14:paraId="78F052FF"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t>Material complementario</w:t>
            </w:r>
          </w:p>
          <w:p w14:paraId="36ACEB56"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p>
          <w:p w14:paraId="22CD0EE5" w14:textId="77777777" w:rsidR="00F65C48" w:rsidRPr="00F65C48" w:rsidRDefault="00F65C48" w:rsidP="00F65C48">
            <w:pPr>
              <w:autoSpaceDE w:val="0"/>
              <w:autoSpaceDN w:val="0"/>
              <w:adjustRightInd w:val="0"/>
              <w:rPr>
                <w:rFonts w:ascii="Calibri" w:eastAsia="Times New Roman" w:hAnsi="Calibri" w:cs="Calibri"/>
                <w:color w:val="0070C0"/>
                <w:szCs w:val="18"/>
                <w:lang w:val="es-ES_tradnl" w:eastAsia="es-CR"/>
              </w:rPr>
            </w:pPr>
            <w:r w:rsidRPr="00F65C48">
              <w:rPr>
                <w:rFonts w:ascii="Calibri" w:eastAsia="Times New Roman" w:hAnsi="Calibri" w:cs="Calibri"/>
                <w:color w:val="0070C0"/>
                <w:szCs w:val="18"/>
                <w:lang w:val="es-ES_tradnl" w:eastAsia="es-CR"/>
              </w:rPr>
              <w:t>Guía para la participación en un foro en la plataforma Moodle</w:t>
            </w:r>
          </w:p>
          <w:p w14:paraId="2FC13A10" w14:textId="77777777" w:rsidR="00F65C48" w:rsidRPr="00F65C48" w:rsidRDefault="00F65C48" w:rsidP="00F65C48">
            <w:pPr>
              <w:autoSpaceDE w:val="0"/>
              <w:autoSpaceDN w:val="0"/>
              <w:adjustRightInd w:val="0"/>
              <w:rPr>
                <w:rFonts w:ascii="Calibri" w:eastAsia="Times New Roman" w:hAnsi="Calibri" w:cs="Calibri"/>
                <w:color w:val="0070C0"/>
                <w:szCs w:val="18"/>
                <w:lang w:val="es-ES_tradnl" w:eastAsia="es-CR"/>
              </w:rPr>
            </w:pPr>
          </w:p>
          <w:p w14:paraId="22DD4D9C" w14:textId="77777777" w:rsidR="00F65C48" w:rsidRPr="00F65C48" w:rsidRDefault="4C9C2619" w:rsidP="4C9C2619">
            <w:pPr>
              <w:autoSpaceDE w:val="0"/>
              <w:autoSpaceDN w:val="0"/>
              <w:adjustRightInd w:val="0"/>
              <w:rPr>
                <w:rFonts w:ascii="Calibri" w:eastAsia="Times New Roman" w:hAnsi="Calibri" w:cs="Calibri"/>
                <w:color w:val="0070C0"/>
                <w:lang w:val="es-ES" w:eastAsia="es-CR"/>
              </w:rPr>
            </w:pPr>
            <w:r w:rsidRPr="4C9C2619">
              <w:rPr>
                <w:rFonts w:ascii="Calibri" w:eastAsia="Times New Roman" w:hAnsi="Calibri" w:cs="Calibri"/>
                <w:color w:val="0070C0"/>
                <w:lang w:val="es-ES" w:eastAsia="es-CR"/>
              </w:rPr>
              <w:t xml:space="preserve">Guía para la participación mediante la herramienta Big Blue </w:t>
            </w:r>
            <w:proofErr w:type="spellStart"/>
            <w:r w:rsidRPr="4C9C2619">
              <w:rPr>
                <w:rFonts w:ascii="Calibri" w:eastAsia="Times New Roman" w:hAnsi="Calibri" w:cs="Calibri"/>
                <w:color w:val="0070C0"/>
                <w:lang w:val="es-ES" w:eastAsia="es-CR"/>
              </w:rPr>
              <w:t>Button</w:t>
            </w:r>
            <w:proofErr w:type="spellEnd"/>
            <w:r w:rsidRPr="4C9C2619">
              <w:rPr>
                <w:rFonts w:ascii="Calibri" w:eastAsia="Times New Roman" w:hAnsi="Calibri" w:cs="Calibri"/>
                <w:color w:val="0070C0"/>
                <w:lang w:val="es-ES" w:eastAsia="es-CR"/>
              </w:rPr>
              <w:t xml:space="preserve"> en la plataforma Moodle</w:t>
            </w:r>
          </w:p>
          <w:p w14:paraId="1EF70C53"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p>
        </w:tc>
        <w:tc>
          <w:tcPr>
            <w:tcW w:w="3119" w:type="dxa"/>
          </w:tcPr>
          <w:p w14:paraId="06A09DE7" w14:textId="77777777" w:rsidR="00F65C48" w:rsidRPr="00F65C48" w:rsidRDefault="00F65C48" w:rsidP="00F65C48">
            <w:pPr>
              <w:widowControl w:val="0"/>
              <w:numPr>
                <w:ilvl w:val="0"/>
                <w:numId w:val="273"/>
              </w:numPr>
              <w:overflowPunct w:val="0"/>
              <w:autoSpaceDE w:val="0"/>
              <w:autoSpaceDN w:val="0"/>
              <w:adjustRightInd w:val="0"/>
              <w:spacing w:before="120"/>
              <w:ind w:left="316"/>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Participación en el foro social CAFETERÍA.</w:t>
            </w:r>
          </w:p>
          <w:p w14:paraId="5AD660E9" w14:textId="77777777" w:rsidR="00F65C48" w:rsidRPr="00F65C48" w:rsidRDefault="00F65C48" w:rsidP="00F65C48">
            <w:pPr>
              <w:widowControl w:val="0"/>
              <w:numPr>
                <w:ilvl w:val="0"/>
                <w:numId w:val="273"/>
              </w:numPr>
              <w:overflowPunct w:val="0"/>
              <w:autoSpaceDE w:val="0"/>
              <w:autoSpaceDN w:val="0"/>
              <w:adjustRightInd w:val="0"/>
              <w:spacing w:before="120"/>
              <w:ind w:left="316"/>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Participación en el foro de dudas.</w:t>
            </w:r>
          </w:p>
          <w:p w14:paraId="6D50BB1C" w14:textId="77777777" w:rsidR="00F65C48" w:rsidRPr="00F65C48" w:rsidRDefault="00F65C48" w:rsidP="00F65C48">
            <w:pPr>
              <w:widowControl w:val="0"/>
              <w:numPr>
                <w:ilvl w:val="0"/>
                <w:numId w:val="273"/>
              </w:numPr>
              <w:overflowPunct w:val="0"/>
              <w:autoSpaceDE w:val="0"/>
              <w:autoSpaceDN w:val="0"/>
              <w:adjustRightInd w:val="0"/>
              <w:spacing w:before="120"/>
              <w:ind w:left="316"/>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Introducción al curso y a los contenidos temáticos en un encuentro sincrónico virtual.</w:t>
            </w:r>
          </w:p>
          <w:p w14:paraId="4D2713A9" w14:textId="77777777" w:rsidR="00F65C48" w:rsidRPr="00F65C48" w:rsidRDefault="00F65C48" w:rsidP="00F65C48">
            <w:pPr>
              <w:autoSpaceDE w:val="0"/>
              <w:autoSpaceDN w:val="0"/>
              <w:adjustRightInd w:val="0"/>
              <w:ind w:left="316"/>
              <w:contextualSpacing/>
              <w:rPr>
                <w:rFonts w:ascii="Calibri" w:eastAsia="Times New Roman" w:hAnsi="Calibri" w:cs="Calibri"/>
                <w:lang w:val="es-ES_tradnl" w:eastAsia="es-CR"/>
              </w:rPr>
            </w:pPr>
          </w:p>
        </w:tc>
      </w:tr>
      <w:tr w:rsidR="00F65C48" w:rsidRPr="00F65C48" w14:paraId="4EA7E96F" w14:textId="77777777" w:rsidTr="4C9C2619">
        <w:trPr>
          <w:jc w:val="center"/>
        </w:trPr>
        <w:tc>
          <w:tcPr>
            <w:tcW w:w="1144" w:type="dxa"/>
          </w:tcPr>
          <w:p w14:paraId="3F7BEF42"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10968D86"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2</w:t>
            </w:r>
          </w:p>
        </w:tc>
        <w:tc>
          <w:tcPr>
            <w:tcW w:w="2395" w:type="dxa"/>
          </w:tcPr>
          <w:p w14:paraId="7ABFF949"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1: Modelos de análisis sociológico</w:t>
            </w:r>
          </w:p>
          <w:p w14:paraId="31CB5AC9"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61668ED5"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1.2 Norman Gottwald: acercamiento sociológico al Antiguo Testamento</w:t>
            </w:r>
          </w:p>
          <w:p w14:paraId="36827BF6"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46DA6C80"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44814610" w14:textId="77777777" w:rsidR="00F65C48" w:rsidRPr="00F65C48" w:rsidRDefault="00F65C48" w:rsidP="00F65C48">
            <w:pPr>
              <w:autoSpaceDE w:val="0"/>
              <w:autoSpaceDN w:val="0"/>
              <w:adjustRightInd w:val="0"/>
              <w:rPr>
                <w:rFonts w:ascii="Calibri" w:eastAsia="Times New Roman" w:hAnsi="Calibri" w:cs="Calibri"/>
                <w:szCs w:val="18"/>
                <w:lang w:val="es-ES_tradnl" w:eastAsia="es-CR"/>
              </w:rPr>
            </w:pPr>
          </w:p>
          <w:p w14:paraId="2E69AC4E" w14:textId="77777777" w:rsidR="00F65C48" w:rsidRPr="00F65C48" w:rsidRDefault="00F65C48" w:rsidP="00F65C48">
            <w:pPr>
              <w:autoSpaceDE w:val="0"/>
              <w:autoSpaceDN w:val="0"/>
              <w:adjustRightInd w:val="0"/>
              <w:rPr>
                <w:rFonts w:ascii="Calibri" w:eastAsia="Times New Roman" w:hAnsi="Calibri" w:cs="Calibri"/>
                <w:szCs w:val="18"/>
                <w:lang w:val="es-ES_tradnl" w:eastAsia="es-CR"/>
              </w:rPr>
            </w:pPr>
            <w:r w:rsidRPr="00F65C48">
              <w:rPr>
                <w:rFonts w:ascii="Calibri" w:eastAsia="Times New Roman" w:hAnsi="Calibri" w:cs="Calibri"/>
                <w:szCs w:val="18"/>
                <w:lang w:val="es-ES_tradnl" w:eastAsia="es-CR"/>
              </w:rPr>
              <w:t xml:space="preserve">Aguirre, Rafael. “Exégesis contextual, ciencias sociales y dimensión teológica”. En </w:t>
            </w:r>
            <w:r w:rsidRPr="00F65C48">
              <w:rPr>
                <w:rFonts w:ascii="Calibri" w:eastAsia="Times New Roman" w:hAnsi="Calibri" w:cs="Calibri"/>
                <w:i/>
                <w:iCs/>
                <w:szCs w:val="18"/>
                <w:lang w:val="es-ES_tradnl" w:eastAsia="es-CR"/>
              </w:rPr>
              <w:t>El Nuevo Testamento en su contexto: propuestas de lectura</w:t>
            </w:r>
            <w:r w:rsidRPr="00F65C48">
              <w:rPr>
                <w:rFonts w:ascii="Calibri" w:eastAsia="Times New Roman" w:hAnsi="Calibri" w:cs="Calibri"/>
                <w:szCs w:val="18"/>
                <w:lang w:val="es-ES_tradnl" w:eastAsia="es-CR"/>
              </w:rPr>
              <w:t xml:space="preserve">, editado por Rafael Aguirre, 15-31. Estella: Verbo Divino, 2013. </w:t>
            </w:r>
            <w:r w:rsidRPr="00F65C48">
              <w:rPr>
                <w:rFonts w:ascii="Calibri" w:eastAsia="Times New Roman" w:hAnsi="Calibri" w:cs="Calibri"/>
                <w:color w:val="0070C0"/>
                <w:szCs w:val="18"/>
                <w:lang w:val="es-ES_tradnl" w:eastAsia="es-CR"/>
              </w:rPr>
              <w:t>(clásico, última edición)</w:t>
            </w:r>
          </w:p>
          <w:p w14:paraId="2703F3AB" w14:textId="77777777" w:rsidR="00F65C48" w:rsidRPr="00F65C48" w:rsidRDefault="00F65C48" w:rsidP="00F65C48">
            <w:pPr>
              <w:autoSpaceDE w:val="0"/>
              <w:autoSpaceDN w:val="0"/>
              <w:adjustRightInd w:val="0"/>
              <w:rPr>
                <w:rFonts w:ascii="Calibri" w:eastAsia="Times New Roman" w:hAnsi="Calibri" w:cs="Calibri"/>
                <w:szCs w:val="18"/>
                <w:lang w:val="es-ES_tradnl" w:eastAsia="es-CR"/>
              </w:rPr>
            </w:pPr>
          </w:p>
          <w:p w14:paraId="5DA7BDF6"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t>Material complementario</w:t>
            </w:r>
          </w:p>
          <w:p w14:paraId="072F7437"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p>
          <w:p w14:paraId="428A2065" w14:textId="77777777" w:rsidR="00F65C48" w:rsidRPr="00F65C48" w:rsidRDefault="00F65C48" w:rsidP="00F65C48">
            <w:pPr>
              <w:autoSpaceDE w:val="0"/>
              <w:autoSpaceDN w:val="0"/>
              <w:adjustRightInd w:val="0"/>
              <w:rPr>
                <w:rFonts w:ascii="Calibri" w:eastAsia="Times New Roman" w:hAnsi="Calibri" w:cs="Calibri"/>
                <w:color w:val="0070C0"/>
                <w:szCs w:val="18"/>
                <w:lang w:val="es-ES_tradnl" w:eastAsia="es-CR"/>
              </w:rPr>
            </w:pPr>
            <w:r w:rsidRPr="00F65C48">
              <w:rPr>
                <w:rFonts w:ascii="Calibri" w:eastAsia="Times New Roman" w:hAnsi="Calibri" w:cs="Calibri"/>
                <w:color w:val="0070C0"/>
                <w:szCs w:val="18"/>
                <w:lang w:val="es-ES_tradnl" w:eastAsia="es-CR"/>
              </w:rPr>
              <w:t>Guía para la participación en un foro en la plataforma Moodle</w:t>
            </w:r>
          </w:p>
          <w:p w14:paraId="4809A84B" w14:textId="77777777" w:rsidR="00F65C48" w:rsidRPr="00F65C48" w:rsidRDefault="00F65C48" w:rsidP="00F65C48">
            <w:pPr>
              <w:autoSpaceDE w:val="0"/>
              <w:autoSpaceDN w:val="0"/>
              <w:adjustRightInd w:val="0"/>
              <w:rPr>
                <w:rFonts w:ascii="Calibri" w:eastAsia="Times New Roman" w:hAnsi="Calibri" w:cs="Calibri"/>
                <w:color w:val="0070C0"/>
                <w:szCs w:val="18"/>
                <w:lang w:val="es-ES_tradnl" w:eastAsia="es-CR"/>
              </w:rPr>
            </w:pPr>
          </w:p>
          <w:p w14:paraId="358A2AC6" w14:textId="77777777" w:rsidR="00F65C48" w:rsidRPr="00F65C48" w:rsidRDefault="00F65C48" w:rsidP="00F65C48">
            <w:pPr>
              <w:autoSpaceDE w:val="0"/>
              <w:autoSpaceDN w:val="0"/>
              <w:adjustRightInd w:val="0"/>
              <w:rPr>
                <w:rFonts w:ascii="Calibri" w:eastAsia="Times New Roman" w:hAnsi="Calibri" w:cs="Calibri"/>
                <w:color w:val="0070C0"/>
                <w:szCs w:val="18"/>
                <w:lang w:val="es-ES_tradnl" w:eastAsia="es-CR"/>
              </w:rPr>
            </w:pPr>
            <w:r w:rsidRPr="00F65C48">
              <w:rPr>
                <w:rFonts w:ascii="Calibri" w:eastAsia="Times New Roman" w:hAnsi="Calibri" w:cs="Calibri"/>
                <w:color w:val="0070C0"/>
                <w:szCs w:val="18"/>
                <w:lang w:val="es-ES_tradnl" w:eastAsia="es-CR"/>
              </w:rPr>
              <w:t>Guía para la elaboración de un ensayo</w:t>
            </w:r>
          </w:p>
          <w:p w14:paraId="1097CC7E"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119" w:type="dxa"/>
          </w:tcPr>
          <w:p w14:paraId="2A8CBA18" w14:textId="77777777" w:rsidR="00F65C48" w:rsidRPr="00F65C48" w:rsidRDefault="00F65C48" w:rsidP="00F65C48">
            <w:pPr>
              <w:widowControl w:val="0"/>
              <w:numPr>
                <w:ilvl w:val="0"/>
                <w:numId w:val="274"/>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Realizar la lectura de la sesión.</w:t>
            </w:r>
          </w:p>
          <w:p w14:paraId="73CBE6A9" w14:textId="77777777" w:rsidR="00F65C48" w:rsidRPr="00F65C48" w:rsidRDefault="00F65C48" w:rsidP="00F65C48">
            <w:pPr>
              <w:widowControl w:val="0"/>
              <w:numPr>
                <w:ilvl w:val="0"/>
                <w:numId w:val="274"/>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Participación en el foro temático: Los modelos de análisis social del Nuevo Testamento.</w:t>
            </w:r>
          </w:p>
          <w:p w14:paraId="705CC738" w14:textId="77777777" w:rsidR="00F65C48" w:rsidRPr="00F65C48" w:rsidRDefault="00F65C48" w:rsidP="00F65C48">
            <w:pPr>
              <w:widowControl w:val="0"/>
              <w:numPr>
                <w:ilvl w:val="0"/>
                <w:numId w:val="274"/>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 xml:space="preserve">Iniciar la elaboración del ensayo sobre los modelos de análisis sociológico. </w:t>
            </w:r>
          </w:p>
          <w:p w14:paraId="3253A9DA" w14:textId="77777777" w:rsidR="00F65C48" w:rsidRPr="00F65C48" w:rsidRDefault="00F65C48" w:rsidP="00F65C48">
            <w:pPr>
              <w:autoSpaceDE w:val="0"/>
              <w:autoSpaceDN w:val="0"/>
              <w:adjustRightInd w:val="0"/>
              <w:ind w:left="314"/>
              <w:contextualSpacing/>
              <w:rPr>
                <w:rFonts w:ascii="Calibri" w:eastAsia="Times New Roman" w:hAnsi="Calibri" w:cs="Calibri"/>
                <w:lang w:val="es-ES_tradnl" w:eastAsia="es-CR"/>
              </w:rPr>
            </w:pPr>
          </w:p>
        </w:tc>
      </w:tr>
      <w:tr w:rsidR="00F65C48" w:rsidRPr="00F65C48" w14:paraId="2DF9E4FE" w14:textId="77777777" w:rsidTr="4C9C2619">
        <w:trPr>
          <w:jc w:val="center"/>
        </w:trPr>
        <w:tc>
          <w:tcPr>
            <w:tcW w:w="1144" w:type="dxa"/>
          </w:tcPr>
          <w:p w14:paraId="1AB32DFB"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66F7A3D0"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3</w:t>
            </w:r>
          </w:p>
        </w:tc>
        <w:tc>
          <w:tcPr>
            <w:tcW w:w="2395" w:type="dxa"/>
          </w:tcPr>
          <w:p w14:paraId="45545427"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1: Modelos de análisis sociológico</w:t>
            </w:r>
          </w:p>
          <w:p w14:paraId="4F2D4418"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169A2417" w14:textId="77777777" w:rsidR="00F65C48" w:rsidRPr="00F65C48" w:rsidRDefault="4C9C2619" w:rsidP="4C9C2619">
            <w:pPr>
              <w:autoSpaceDE w:val="0"/>
              <w:autoSpaceDN w:val="0"/>
              <w:adjustRightInd w:val="0"/>
              <w:rPr>
                <w:rFonts w:ascii="Calibri" w:eastAsia="Times New Roman" w:hAnsi="Calibri" w:cs="Calibri"/>
                <w:lang w:val="es-ES" w:eastAsia="es-CR"/>
              </w:rPr>
            </w:pPr>
            <w:r w:rsidRPr="4C9C2619">
              <w:rPr>
                <w:rFonts w:ascii="Calibri" w:eastAsia="Times New Roman" w:hAnsi="Calibri" w:cs="Calibri"/>
                <w:lang w:val="es-ES" w:eastAsia="es-CR"/>
              </w:rPr>
              <w:t xml:space="preserve">1.3 </w:t>
            </w:r>
            <w:proofErr w:type="spellStart"/>
            <w:r w:rsidRPr="4C9C2619">
              <w:rPr>
                <w:rFonts w:ascii="Calibri" w:eastAsia="Times New Roman" w:hAnsi="Calibri" w:cs="Calibri"/>
                <w:lang w:val="es-ES" w:eastAsia="es-CR"/>
              </w:rPr>
              <w:t>Gerd</w:t>
            </w:r>
            <w:proofErr w:type="spellEnd"/>
            <w:r w:rsidRPr="4C9C2619">
              <w:rPr>
                <w:rFonts w:ascii="Calibri" w:eastAsia="Times New Roman" w:hAnsi="Calibri" w:cs="Calibri"/>
                <w:lang w:val="es-ES" w:eastAsia="es-CR"/>
              </w:rPr>
              <w:t xml:space="preserve"> </w:t>
            </w:r>
            <w:proofErr w:type="spellStart"/>
            <w:r w:rsidRPr="4C9C2619">
              <w:rPr>
                <w:rFonts w:ascii="Calibri" w:eastAsia="Times New Roman" w:hAnsi="Calibri" w:cs="Calibri"/>
                <w:lang w:val="es-ES" w:eastAsia="es-CR"/>
              </w:rPr>
              <w:t>Theissen</w:t>
            </w:r>
            <w:proofErr w:type="spellEnd"/>
            <w:r w:rsidRPr="4C9C2619">
              <w:rPr>
                <w:rFonts w:ascii="Calibri" w:eastAsia="Times New Roman" w:hAnsi="Calibri" w:cs="Calibri"/>
                <w:lang w:val="es-ES" w:eastAsia="es-CR"/>
              </w:rPr>
              <w:t xml:space="preserve"> y el radicalismo itinerante en el movimiento de Jesús</w:t>
            </w:r>
          </w:p>
          <w:p w14:paraId="326731E4"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3BF1BFC3"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44565DB4" w14:textId="77777777" w:rsidR="00F65C48" w:rsidRPr="00F65C48" w:rsidRDefault="00F65C48" w:rsidP="00F65C48">
            <w:pPr>
              <w:autoSpaceDE w:val="0"/>
              <w:autoSpaceDN w:val="0"/>
              <w:adjustRightInd w:val="0"/>
              <w:rPr>
                <w:rFonts w:ascii="Calibri" w:eastAsia="Times New Roman" w:hAnsi="Calibri" w:cs="Calibri"/>
                <w:color w:val="000000"/>
                <w:szCs w:val="18"/>
                <w:lang w:val="es-ES_tradnl" w:eastAsia="es-CR"/>
              </w:rPr>
            </w:pPr>
          </w:p>
          <w:p w14:paraId="40558F44" w14:textId="77777777" w:rsidR="00F65C48" w:rsidRPr="00F65C48" w:rsidRDefault="4C9C2619" w:rsidP="4C9C2619">
            <w:pPr>
              <w:autoSpaceDE w:val="0"/>
              <w:autoSpaceDN w:val="0"/>
              <w:adjustRightInd w:val="0"/>
              <w:rPr>
                <w:rFonts w:ascii="Calibri" w:eastAsia="Times New Roman" w:hAnsi="Calibri" w:cs="Calibri"/>
                <w:color w:val="000000"/>
                <w:lang w:val="es-ES" w:eastAsia="es-CR"/>
              </w:rPr>
            </w:pPr>
            <w:proofErr w:type="spellStart"/>
            <w:r w:rsidRPr="4C9C2619">
              <w:rPr>
                <w:rFonts w:ascii="Calibri" w:eastAsia="Times New Roman" w:hAnsi="Calibri" w:cs="Calibri"/>
                <w:color w:val="000000" w:themeColor="text1"/>
                <w:lang w:val="es-ES" w:eastAsia="es-CR"/>
              </w:rPr>
              <w:t>Theissen</w:t>
            </w:r>
            <w:proofErr w:type="spellEnd"/>
            <w:r w:rsidRPr="4C9C2619">
              <w:rPr>
                <w:rFonts w:ascii="Calibri" w:eastAsia="Times New Roman" w:hAnsi="Calibri" w:cs="Calibri"/>
                <w:color w:val="000000" w:themeColor="text1"/>
                <w:lang w:val="es-ES" w:eastAsia="es-CR"/>
              </w:rPr>
              <w:t xml:space="preserve">, </w:t>
            </w:r>
            <w:proofErr w:type="spellStart"/>
            <w:r w:rsidRPr="4C9C2619">
              <w:rPr>
                <w:rFonts w:ascii="Calibri" w:eastAsia="Times New Roman" w:hAnsi="Calibri" w:cs="Calibri"/>
                <w:color w:val="000000" w:themeColor="text1"/>
                <w:lang w:val="es-ES" w:eastAsia="es-CR"/>
              </w:rPr>
              <w:t>Gerd</w:t>
            </w:r>
            <w:proofErr w:type="spellEnd"/>
            <w:r w:rsidRPr="4C9C2619">
              <w:rPr>
                <w:rFonts w:ascii="Calibri" w:eastAsia="Times New Roman" w:hAnsi="Calibri" w:cs="Calibri"/>
                <w:color w:val="000000" w:themeColor="text1"/>
                <w:lang w:val="es-ES" w:eastAsia="es-CR"/>
              </w:rPr>
              <w:t xml:space="preserve">. “Radicalismo itinerante: aspectos literarios-sociológicos de la tradición de las palabras de Jesús en el cristianismo primitivo”. En </w:t>
            </w:r>
            <w:r w:rsidRPr="4C9C2619">
              <w:rPr>
                <w:rFonts w:ascii="Calibri" w:eastAsia="Times New Roman" w:hAnsi="Calibri" w:cs="Calibri"/>
                <w:i/>
                <w:iCs/>
                <w:color w:val="000000" w:themeColor="text1"/>
                <w:lang w:val="es-ES" w:eastAsia="es-CR"/>
              </w:rPr>
              <w:t>Estudios de sociología del cristianismo primitivo</w:t>
            </w:r>
            <w:r w:rsidRPr="4C9C2619">
              <w:rPr>
                <w:rFonts w:ascii="Calibri" w:eastAsia="Times New Roman" w:hAnsi="Calibri" w:cs="Calibri"/>
                <w:color w:val="000000" w:themeColor="text1"/>
                <w:lang w:val="es-ES" w:eastAsia="es-CR"/>
              </w:rPr>
              <w:t>, 13-40. Salamanca: Sígueme, 1985.</w:t>
            </w:r>
            <w:r w:rsidRPr="4C9C2619">
              <w:rPr>
                <w:rFonts w:ascii="Calibri" w:eastAsia="Times New Roman" w:hAnsi="Calibri" w:cs="Calibri"/>
                <w:color w:val="0070C0"/>
                <w:lang w:val="es-ES" w:eastAsia="es-CR"/>
              </w:rPr>
              <w:t xml:space="preserve"> (clásico, última edición)</w:t>
            </w:r>
          </w:p>
          <w:p w14:paraId="2D660B7B" w14:textId="77777777" w:rsidR="00F65C48" w:rsidRPr="00F65C48" w:rsidRDefault="00F65C48" w:rsidP="00F65C48">
            <w:pPr>
              <w:autoSpaceDE w:val="0"/>
              <w:autoSpaceDN w:val="0"/>
              <w:adjustRightInd w:val="0"/>
              <w:rPr>
                <w:rFonts w:ascii="Calibri" w:eastAsia="Times New Roman" w:hAnsi="Calibri" w:cs="Calibri"/>
                <w:color w:val="000000"/>
                <w:szCs w:val="18"/>
                <w:lang w:val="es-ES_tradnl" w:eastAsia="es-CR"/>
              </w:rPr>
            </w:pPr>
          </w:p>
          <w:p w14:paraId="3ED3371D"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lastRenderedPageBreak/>
              <w:t>Material complementario</w:t>
            </w:r>
          </w:p>
          <w:p w14:paraId="47F62DAC" w14:textId="77777777" w:rsidR="00F65C48" w:rsidRPr="00F65C48" w:rsidRDefault="00F65C48" w:rsidP="00F65C48">
            <w:pPr>
              <w:autoSpaceDE w:val="0"/>
              <w:autoSpaceDN w:val="0"/>
              <w:adjustRightInd w:val="0"/>
              <w:rPr>
                <w:rFonts w:ascii="Calibri" w:eastAsia="Times New Roman" w:hAnsi="Calibri" w:cs="Calibri"/>
                <w:b/>
                <w:bCs/>
                <w:color w:val="000000"/>
                <w:szCs w:val="18"/>
                <w:lang w:val="es-ES_tradnl" w:eastAsia="es-CR"/>
              </w:rPr>
            </w:pPr>
          </w:p>
          <w:p w14:paraId="4A430D07" w14:textId="77777777" w:rsidR="00F65C48" w:rsidRPr="00F65C48" w:rsidRDefault="00F65C48" w:rsidP="00F65C48">
            <w:pPr>
              <w:autoSpaceDE w:val="0"/>
              <w:autoSpaceDN w:val="0"/>
              <w:adjustRightInd w:val="0"/>
              <w:rPr>
                <w:rFonts w:ascii="Calibri" w:eastAsia="Times New Roman" w:hAnsi="Calibri" w:cs="Calibri"/>
                <w:color w:val="0070C0"/>
                <w:szCs w:val="18"/>
                <w:lang w:val="es-ES_tradnl" w:eastAsia="es-CR"/>
              </w:rPr>
            </w:pPr>
            <w:r w:rsidRPr="00F65C48">
              <w:rPr>
                <w:rFonts w:ascii="Calibri" w:eastAsia="Times New Roman" w:hAnsi="Calibri" w:cs="Calibri"/>
                <w:color w:val="0070C0"/>
                <w:szCs w:val="18"/>
                <w:lang w:val="es-ES_tradnl" w:eastAsia="es-CR"/>
              </w:rPr>
              <w:t>Guía para la elaboración de una reseña crítica de lectura</w:t>
            </w:r>
          </w:p>
          <w:p w14:paraId="0957B4D1" w14:textId="77777777" w:rsidR="00F65C48" w:rsidRPr="00F65C48" w:rsidRDefault="00F65C48" w:rsidP="00F65C48">
            <w:pPr>
              <w:autoSpaceDE w:val="0"/>
              <w:autoSpaceDN w:val="0"/>
              <w:adjustRightInd w:val="0"/>
              <w:rPr>
                <w:rFonts w:ascii="Calibri" w:eastAsia="Times New Roman" w:hAnsi="Calibri" w:cs="Calibri"/>
                <w:szCs w:val="18"/>
                <w:lang w:val="es-ES_tradnl" w:eastAsia="es-CR"/>
              </w:rPr>
            </w:pPr>
          </w:p>
        </w:tc>
        <w:tc>
          <w:tcPr>
            <w:tcW w:w="3119" w:type="dxa"/>
          </w:tcPr>
          <w:p w14:paraId="04C05F4A" w14:textId="77777777" w:rsidR="00F65C48" w:rsidRPr="00F65C48" w:rsidRDefault="00F65C48" w:rsidP="00F65C48">
            <w:pPr>
              <w:widowControl w:val="0"/>
              <w:numPr>
                <w:ilvl w:val="0"/>
                <w:numId w:val="275"/>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lastRenderedPageBreak/>
              <w:t>Realizar la lectura de la sesión.</w:t>
            </w:r>
          </w:p>
          <w:p w14:paraId="6314578C" w14:textId="77777777" w:rsidR="00F65C48" w:rsidRPr="00F65C48" w:rsidRDefault="00F65C48" w:rsidP="00F65C48">
            <w:pPr>
              <w:widowControl w:val="0"/>
              <w:numPr>
                <w:ilvl w:val="0"/>
                <w:numId w:val="275"/>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 xml:space="preserve">Elaboración de una reseña crítica de la lectura. </w:t>
            </w:r>
          </w:p>
          <w:p w14:paraId="1E6F8282" w14:textId="77777777" w:rsidR="00F65C48" w:rsidRPr="00F65C48" w:rsidRDefault="00F65C48" w:rsidP="00F65C48">
            <w:pPr>
              <w:widowControl w:val="0"/>
              <w:numPr>
                <w:ilvl w:val="0"/>
                <w:numId w:val="275"/>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Continuar con la elaboración del ensayo sobre los modelos de análisis sociológico.</w:t>
            </w:r>
          </w:p>
          <w:p w14:paraId="36EE773D" w14:textId="77777777" w:rsidR="00F65C48" w:rsidRPr="00F65C48" w:rsidRDefault="00F65C48" w:rsidP="00F65C48">
            <w:pPr>
              <w:widowControl w:val="0"/>
              <w:numPr>
                <w:ilvl w:val="0"/>
                <w:numId w:val="275"/>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 xml:space="preserve">Asignación de temas para las presentaciones grupales de las sesiones 6, 8, 10 y 12. </w:t>
            </w:r>
          </w:p>
          <w:p w14:paraId="756139F8" w14:textId="77777777" w:rsidR="00F65C48" w:rsidRPr="00F65C48" w:rsidRDefault="00F65C48" w:rsidP="00F65C48">
            <w:pPr>
              <w:autoSpaceDE w:val="0"/>
              <w:autoSpaceDN w:val="0"/>
              <w:adjustRightInd w:val="0"/>
              <w:ind w:left="314"/>
              <w:contextualSpacing/>
              <w:rPr>
                <w:rFonts w:ascii="Calibri" w:eastAsia="Times New Roman" w:hAnsi="Calibri" w:cs="Calibri"/>
                <w:lang w:val="es-ES_tradnl" w:eastAsia="es-CR"/>
              </w:rPr>
            </w:pPr>
          </w:p>
        </w:tc>
      </w:tr>
      <w:tr w:rsidR="00F65C48" w:rsidRPr="00F65C48" w14:paraId="54A398F2" w14:textId="77777777" w:rsidTr="4C9C2619">
        <w:trPr>
          <w:jc w:val="center"/>
        </w:trPr>
        <w:tc>
          <w:tcPr>
            <w:tcW w:w="1144" w:type="dxa"/>
          </w:tcPr>
          <w:p w14:paraId="66D2AE86"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3B7E4B1B"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4</w:t>
            </w:r>
          </w:p>
        </w:tc>
        <w:tc>
          <w:tcPr>
            <w:tcW w:w="2395" w:type="dxa"/>
          </w:tcPr>
          <w:p w14:paraId="77143162"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1: Modelos de análisis sociológico</w:t>
            </w:r>
          </w:p>
          <w:p w14:paraId="5CB76FFD"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045032A0" w14:textId="77777777" w:rsidR="00F65C48" w:rsidRPr="00F65C48" w:rsidRDefault="4C9C2619" w:rsidP="4C9C2619">
            <w:pPr>
              <w:autoSpaceDE w:val="0"/>
              <w:autoSpaceDN w:val="0"/>
              <w:adjustRightInd w:val="0"/>
              <w:rPr>
                <w:rFonts w:ascii="Calibri" w:eastAsia="Times New Roman" w:hAnsi="Calibri" w:cs="Calibri"/>
                <w:lang w:val="es-ES" w:eastAsia="es-CR"/>
              </w:rPr>
            </w:pPr>
            <w:r w:rsidRPr="4C9C2619">
              <w:rPr>
                <w:rFonts w:ascii="Calibri" w:eastAsia="Times New Roman" w:hAnsi="Calibri" w:cs="Calibri"/>
                <w:lang w:val="es-ES" w:eastAsia="es-CR"/>
              </w:rPr>
              <w:t xml:space="preserve">1.4 Richard </w:t>
            </w:r>
            <w:proofErr w:type="spellStart"/>
            <w:r w:rsidRPr="4C9C2619">
              <w:rPr>
                <w:rFonts w:ascii="Calibri" w:eastAsia="Times New Roman" w:hAnsi="Calibri" w:cs="Calibri"/>
                <w:lang w:val="es-ES" w:eastAsia="es-CR"/>
              </w:rPr>
              <w:t>Horsley</w:t>
            </w:r>
            <w:proofErr w:type="spellEnd"/>
            <w:r w:rsidRPr="4C9C2619">
              <w:rPr>
                <w:rFonts w:ascii="Calibri" w:eastAsia="Times New Roman" w:hAnsi="Calibri" w:cs="Calibri"/>
                <w:lang w:val="es-ES" w:eastAsia="es-CR"/>
              </w:rPr>
              <w:t xml:space="preserve"> y su análisis del movimiento de Jesús</w:t>
            </w:r>
          </w:p>
          <w:p w14:paraId="13B2E551"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511408F3"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08A838C8" w14:textId="77777777" w:rsidR="00F65C48" w:rsidRPr="00F65C48" w:rsidRDefault="00F65C48" w:rsidP="00F65C48">
            <w:pPr>
              <w:autoSpaceDE w:val="0"/>
              <w:autoSpaceDN w:val="0"/>
              <w:adjustRightInd w:val="0"/>
              <w:rPr>
                <w:rFonts w:ascii="Calibri" w:eastAsia="Times New Roman" w:hAnsi="Calibri" w:cs="Calibri"/>
                <w:color w:val="000000"/>
                <w:szCs w:val="18"/>
                <w:lang w:val="es-ES_tradnl" w:eastAsia="es-CR"/>
              </w:rPr>
            </w:pPr>
          </w:p>
          <w:p w14:paraId="389716B7" w14:textId="77777777" w:rsidR="00F65C48" w:rsidRPr="00F65C48" w:rsidRDefault="4C9C2619" w:rsidP="4C9C2619">
            <w:pPr>
              <w:autoSpaceDE w:val="0"/>
              <w:autoSpaceDN w:val="0"/>
              <w:adjustRightInd w:val="0"/>
              <w:rPr>
                <w:rFonts w:ascii="Calibri" w:eastAsia="Times New Roman" w:hAnsi="Calibri" w:cs="Calibri"/>
                <w:color w:val="000000"/>
                <w:lang w:val="es-ES" w:eastAsia="es-CR"/>
              </w:rPr>
            </w:pPr>
            <w:proofErr w:type="spellStart"/>
            <w:r w:rsidRPr="4C9C2619">
              <w:rPr>
                <w:rFonts w:ascii="Calibri" w:eastAsia="Times New Roman" w:hAnsi="Calibri" w:cs="Calibri"/>
                <w:color w:val="000000" w:themeColor="text1"/>
                <w:lang w:val="es-ES" w:eastAsia="es-CR"/>
              </w:rPr>
              <w:t>Horsley</w:t>
            </w:r>
            <w:proofErr w:type="spellEnd"/>
            <w:r w:rsidRPr="4C9C2619">
              <w:rPr>
                <w:rFonts w:ascii="Calibri" w:eastAsia="Times New Roman" w:hAnsi="Calibri" w:cs="Calibri"/>
                <w:color w:val="000000" w:themeColor="text1"/>
                <w:lang w:val="es-ES" w:eastAsia="es-CR"/>
              </w:rPr>
              <w:t xml:space="preserve">, R. “El imperialismo romano: el nuevo desorden mundial”. En </w:t>
            </w:r>
            <w:r w:rsidRPr="4C9C2619">
              <w:rPr>
                <w:rFonts w:ascii="Calibri" w:eastAsia="Times New Roman" w:hAnsi="Calibri" w:cs="Calibri"/>
                <w:i/>
                <w:iCs/>
                <w:color w:val="000000" w:themeColor="text1"/>
                <w:lang w:val="es-ES" w:eastAsia="es-CR"/>
              </w:rPr>
              <w:t>Jesús y el Imperio: el Reino de Dios y el nuevo desorden mundial</w:t>
            </w:r>
            <w:r w:rsidRPr="4C9C2619">
              <w:rPr>
                <w:rFonts w:ascii="Calibri" w:eastAsia="Times New Roman" w:hAnsi="Calibri" w:cs="Calibri"/>
                <w:color w:val="000000" w:themeColor="text1"/>
                <w:lang w:val="es-ES" w:eastAsia="es-CR"/>
              </w:rPr>
              <w:t>, 27-50</w:t>
            </w:r>
            <w:r w:rsidRPr="4C9C2619">
              <w:rPr>
                <w:rFonts w:ascii="Calibri" w:eastAsia="Times New Roman" w:hAnsi="Calibri" w:cs="Calibri"/>
                <w:i/>
                <w:iCs/>
                <w:color w:val="000000" w:themeColor="text1"/>
                <w:lang w:val="es-ES" w:eastAsia="es-CR"/>
              </w:rPr>
              <w:t>.</w:t>
            </w:r>
            <w:r w:rsidRPr="4C9C2619">
              <w:rPr>
                <w:rFonts w:ascii="Calibri" w:eastAsia="Times New Roman" w:hAnsi="Calibri" w:cs="Calibri"/>
                <w:color w:val="000000" w:themeColor="text1"/>
                <w:lang w:val="es-ES" w:eastAsia="es-CR"/>
              </w:rPr>
              <w:t xml:space="preserve"> Estella: Verbo Divino, 2003.</w:t>
            </w:r>
            <w:r w:rsidRPr="4C9C2619">
              <w:rPr>
                <w:rFonts w:ascii="Calibri" w:eastAsia="Times New Roman" w:hAnsi="Calibri" w:cs="Calibri"/>
                <w:color w:val="0070C0"/>
                <w:lang w:val="es-ES" w:eastAsia="es-CR"/>
              </w:rPr>
              <w:t xml:space="preserve"> (clásico, última edición)</w:t>
            </w:r>
          </w:p>
          <w:p w14:paraId="174F3DF4" w14:textId="77777777" w:rsidR="00F65C48" w:rsidRPr="00F65C48" w:rsidRDefault="00F65C48" w:rsidP="00F65C48">
            <w:pPr>
              <w:autoSpaceDE w:val="0"/>
              <w:autoSpaceDN w:val="0"/>
              <w:adjustRightInd w:val="0"/>
              <w:rPr>
                <w:rFonts w:ascii="Calibri" w:eastAsia="Times New Roman" w:hAnsi="Calibri" w:cs="Calibri"/>
                <w:iCs/>
                <w:color w:val="000000"/>
                <w:szCs w:val="18"/>
                <w:lang w:val="es-ES_tradnl" w:eastAsia="es-CR"/>
              </w:rPr>
            </w:pPr>
          </w:p>
          <w:p w14:paraId="56087A74" w14:textId="77777777" w:rsidR="00F65C48" w:rsidRPr="00F65C48" w:rsidRDefault="00F65C48" w:rsidP="00F65C48">
            <w:pPr>
              <w:autoSpaceDE w:val="0"/>
              <w:autoSpaceDN w:val="0"/>
              <w:adjustRightInd w:val="0"/>
              <w:rPr>
                <w:rFonts w:ascii="Calibri" w:eastAsia="Arial" w:hAnsi="Calibri" w:cs="Calibri"/>
                <w:lang w:val="es-ES" w:eastAsia="es-CR"/>
              </w:rPr>
            </w:pPr>
            <w:r w:rsidRPr="00F65C48">
              <w:rPr>
                <w:rFonts w:ascii="Calibri" w:eastAsia="Arial" w:hAnsi="Calibri" w:cs="Calibri"/>
                <w:lang w:val="es-ES" w:eastAsia="es-CR"/>
              </w:rPr>
              <w:t>Rivas, Fernando. “Análisis socioeconómico. Economía de lo necesario (</w:t>
            </w:r>
            <w:proofErr w:type="spellStart"/>
            <w:r w:rsidRPr="00F65C48">
              <w:rPr>
                <w:rFonts w:ascii="Calibri" w:eastAsia="Arial" w:hAnsi="Calibri" w:cs="Calibri"/>
                <w:lang w:val="es-ES" w:eastAsia="es-CR"/>
              </w:rPr>
              <w:t>Lc</w:t>
            </w:r>
            <w:proofErr w:type="spellEnd"/>
            <w:r w:rsidRPr="00F65C48">
              <w:rPr>
                <w:rFonts w:ascii="Calibri" w:eastAsia="Arial" w:hAnsi="Calibri" w:cs="Calibri"/>
                <w:lang w:val="es-ES" w:eastAsia="es-CR"/>
              </w:rPr>
              <w:t xml:space="preserve"> 12,22-34) frente a la economía de la satisfacción (</w:t>
            </w:r>
            <w:proofErr w:type="spellStart"/>
            <w:r w:rsidRPr="00F65C48">
              <w:rPr>
                <w:rFonts w:ascii="Calibri" w:eastAsia="Arial" w:hAnsi="Calibri" w:cs="Calibri"/>
                <w:lang w:val="es-ES" w:eastAsia="es-CR"/>
              </w:rPr>
              <w:t>Lc</w:t>
            </w:r>
            <w:proofErr w:type="spellEnd"/>
            <w:r w:rsidRPr="00F65C48">
              <w:rPr>
                <w:rFonts w:ascii="Calibri" w:eastAsia="Arial" w:hAnsi="Calibri" w:cs="Calibri"/>
                <w:lang w:val="es-ES" w:eastAsia="es-CR"/>
              </w:rPr>
              <w:t xml:space="preserve"> 16,19-31)”. En </w:t>
            </w:r>
            <w:r w:rsidRPr="00F65C48">
              <w:rPr>
                <w:rFonts w:ascii="Calibri" w:eastAsia="Arial" w:hAnsi="Calibri" w:cs="Calibri"/>
                <w:i/>
                <w:iCs/>
                <w:lang w:val="es-ES" w:eastAsia="es-CR"/>
              </w:rPr>
              <w:t>El Nuevo Testamento en su contexto</w:t>
            </w:r>
            <w:r w:rsidRPr="00F65C48">
              <w:rPr>
                <w:rFonts w:ascii="Calibri" w:eastAsia="Times New Roman" w:hAnsi="Calibri" w:cs="Calibri"/>
                <w:i/>
                <w:iCs/>
                <w:lang w:val="es-ES_tradnl" w:eastAsia="es-CR"/>
              </w:rPr>
              <w:t>: propuestas de lectura</w:t>
            </w:r>
            <w:r w:rsidRPr="00F65C48">
              <w:rPr>
                <w:rFonts w:ascii="Calibri" w:eastAsia="Arial" w:hAnsi="Calibri" w:cs="Calibri"/>
                <w:lang w:val="es-ES" w:eastAsia="es-CR"/>
              </w:rPr>
              <w:t>, editado por Rafael Aguirre, 115-137. Estella: Verbo Divino, 2013.</w:t>
            </w:r>
            <w:r w:rsidRPr="00F65C48">
              <w:rPr>
                <w:rFonts w:ascii="Calibri" w:eastAsia="Times New Roman" w:hAnsi="Calibri" w:cs="Calibri"/>
                <w:color w:val="0070C0"/>
                <w:szCs w:val="18"/>
                <w:lang w:val="es-ES_tradnl" w:eastAsia="es-CR"/>
              </w:rPr>
              <w:t xml:space="preserve"> (clásico, última edición)</w:t>
            </w:r>
          </w:p>
          <w:p w14:paraId="1E4E928D" w14:textId="77777777" w:rsidR="00F65C48" w:rsidRPr="00F65C48" w:rsidRDefault="00F65C48" w:rsidP="00F65C48">
            <w:pPr>
              <w:autoSpaceDE w:val="0"/>
              <w:autoSpaceDN w:val="0"/>
              <w:adjustRightInd w:val="0"/>
              <w:rPr>
                <w:rFonts w:ascii="Calibri" w:eastAsia="Arial" w:hAnsi="Calibri" w:cs="Calibri"/>
                <w:lang w:val="es-ES" w:eastAsia="es-CR"/>
              </w:rPr>
            </w:pPr>
          </w:p>
          <w:p w14:paraId="4758FFF7"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t>Material complementario</w:t>
            </w:r>
          </w:p>
          <w:p w14:paraId="3C609147"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5FB235DF" w14:textId="77777777" w:rsidR="00F65C48" w:rsidRPr="00F65C48" w:rsidRDefault="00F65C48" w:rsidP="00F65C48">
            <w:pPr>
              <w:autoSpaceDE w:val="0"/>
              <w:autoSpaceDN w:val="0"/>
              <w:adjustRightInd w:val="0"/>
              <w:rPr>
                <w:rFonts w:ascii="Calibri" w:eastAsia="Arial" w:hAnsi="Calibri" w:cs="Calibri"/>
                <w:color w:val="0070C0"/>
                <w:lang w:val="es-ES" w:eastAsia="es-CR"/>
              </w:rPr>
            </w:pPr>
            <w:r w:rsidRPr="00F65C48">
              <w:rPr>
                <w:rFonts w:ascii="Calibri" w:eastAsia="Times New Roman" w:hAnsi="Calibri" w:cs="Calibri"/>
                <w:color w:val="0070C0"/>
                <w:lang w:val="es-ES_tradnl" w:eastAsia="es-CR"/>
              </w:rPr>
              <w:t>Guía para la participación en un foro en la plataforma Moodle</w:t>
            </w:r>
          </w:p>
          <w:p w14:paraId="52C98720"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119" w:type="dxa"/>
          </w:tcPr>
          <w:p w14:paraId="1851ABAC" w14:textId="77777777" w:rsidR="00F65C48" w:rsidRPr="00F65C48" w:rsidRDefault="00F65C48" w:rsidP="00F65C48">
            <w:pPr>
              <w:widowControl w:val="0"/>
              <w:numPr>
                <w:ilvl w:val="0"/>
                <w:numId w:val="276"/>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Realizar las lecturas de la sesión.</w:t>
            </w:r>
          </w:p>
          <w:p w14:paraId="10339F2F" w14:textId="77777777" w:rsidR="00F65C48" w:rsidRPr="00F65C48" w:rsidRDefault="00F65C48" w:rsidP="00F65C48">
            <w:pPr>
              <w:widowControl w:val="0"/>
              <w:numPr>
                <w:ilvl w:val="0"/>
                <w:numId w:val="276"/>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Participación en el foro temático: Estudio de un texto bíblico.</w:t>
            </w:r>
          </w:p>
          <w:p w14:paraId="276E7C4F" w14:textId="77777777" w:rsidR="00F65C48" w:rsidRPr="00F65C48" w:rsidRDefault="00F65C48" w:rsidP="00F65C48">
            <w:pPr>
              <w:widowControl w:val="0"/>
              <w:numPr>
                <w:ilvl w:val="0"/>
                <w:numId w:val="276"/>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Continuar con la elaboración del ensayo sobre los modelos de análisis sociológico.</w:t>
            </w:r>
          </w:p>
        </w:tc>
      </w:tr>
      <w:tr w:rsidR="00F65C48" w:rsidRPr="00F65C48" w14:paraId="798AA685" w14:textId="77777777" w:rsidTr="4C9C2619">
        <w:trPr>
          <w:jc w:val="center"/>
        </w:trPr>
        <w:tc>
          <w:tcPr>
            <w:tcW w:w="1144" w:type="dxa"/>
          </w:tcPr>
          <w:p w14:paraId="232F693D"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6CE4FD28"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5</w:t>
            </w:r>
          </w:p>
        </w:tc>
        <w:tc>
          <w:tcPr>
            <w:tcW w:w="2395" w:type="dxa"/>
          </w:tcPr>
          <w:p w14:paraId="27D0E9FC"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1: Modelos de análisis sociológico</w:t>
            </w:r>
          </w:p>
          <w:p w14:paraId="14AD252B"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51779413" w14:textId="77777777" w:rsidR="00F65C48" w:rsidRPr="00F65C48" w:rsidRDefault="4C9C2619" w:rsidP="4C9C2619">
            <w:pPr>
              <w:autoSpaceDE w:val="0"/>
              <w:autoSpaceDN w:val="0"/>
              <w:adjustRightInd w:val="0"/>
              <w:rPr>
                <w:rFonts w:ascii="Calibri" w:eastAsia="Times New Roman" w:hAnsi="Calibri" w:cs="Calibri"/>
                <w:lang w:val="es-ES" w:eastAsia="es-CR"/>
              </w:rPr>
            </w:pPr>
            <w:r w:rsidRPr="4C9C2619">
              <w:rPr>
                <w:rFonts w:ascii="Calibri" w:eastAsia="Times New Roman" w:hAnsi="Calibri" w:cs="Calibri"/>
                <w:lang w:val="es-ES" w:eastAsia="es-CR"/>
              </w:rPr>
              <w:t xml:space="preserve">1.4 Richard </w:t>
            </w:r>
            <w:proofErr w:type="spellStart"/>
            <w:r w:rsidRPr="4C9C2619">
              <w:rPr>
                <w:rFonts w:ascii="Calibri" w:eastAsia="Times New Roman" w:hAnsi="Calibri" w:cs="Calibri"/>
                <w:lang w:val="es-ES" w:eastAsia="es-CR"/>
              </w:rPr>
              <w:t>Horsley</w:t>
            </w:r>
            <w:proofErr w:type="spellEnd"/>
            <w:r w:rsidRPr="4C9C2619">
              <w:rPr>
                <w:rFonts w:ascii="Calibri" w:eastAsia="Times New Roman" w:hAnsi="Calibri" w:cs="Calibri"/>
                <w:lang w:val="es-ES" w:eastAsia="es-CR"/>
              </w:rPr>
              <w:t xml:space="preserve"> y su análisis del movimiento de Jesús</w:t>
            </w:r>
          </w:p>
          <w:p w14:paraId="7378723E"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6EC3B074"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64553CC3" w14:textId="77777777" w:rsidR="00F65C48" w:rsidRPr="00F65C48" w:rsidRDefault="00F65C48" w:rsidP="00F65C48">
            <w:pPr>
              <w:autoSpaceDE w:val="0"/>
              <w:autoSpaceDN w:val="0"/>
              <w:adjustRightInd w:val="0"/>
              <w:rPr>
                <w:rFonts w:ascii="Calibri" w:eastAsia="Arial" w:hAnsi="Calibri" w:cs="Calibri"/>
                <w:lang w:val="es-ES" w:eastAsia="es-CR"/>
              </w:rPr>
            </w:pPr>
          </w:p>
          <w:p w14:paraId="3508F0F6" w14:textId="77777777" w:rsidR="00F65C48" w:rsidRPr="00F65C48" w:rsidRDefault="00F65C48" w:rsidP="00F65C48">
            <w:pPr>
              <w:autoSpaceDE w:val="0"/>
              <w:autoSpaceDN w:val="0"/>
              <w:adjustRightInd w:val="0"/>
              <w:rPr>
                <w:rFonts w:ascii="Calibri" w:eastAsia="Arial" w:hAnsi="Calibri" w:cs="Calibri"/>
                <w:lang w:val="es-ES" w:eastAsia="es-CR"/>
              </w:rPr>
            </w:pPr>
            <w:r w:rsidRPr="00F65C48">
              <w:rPr>
                <w:rFonts w:ascii="Calibri" w:eastAsia="Arial" w:hAnsi="Calibri" w:cs="Calibri"/>
                <w:lang w:val="es-ES" w:eastAsia="es-CR"/>
              </w:rPr>
              <w:t xml:space="preserve">Miquel, Esther. “Personalidad de orientación colectivista. Un modelo de la psicología social”. En </w:t>
            </w:r>
            <w:r w:rsidRPr="00F65C48">
              <w:rPr>
                <w:rFonts w:ascii="Calibri" w:eastAsia="Arial" w:hAnsi="Calibri" w:cs="Calibri"/>
                <w:i/>
                <w:iCs/>
                <w:lang w:val="es-ES" w:eastAsia="es-CR"/>
              </w:rPr>
              <w:t>El</w:t>
            </w:r>
            <w:r w:rsidRPr="00F65C48">
              <w:rPr>
                <w:rFonts w:ascii="Calibri" w:eastAsia="Arial" w:hAnsi="Calibri" w:cs="Calibri"/>
                <w:lang w:val="es-ES" w:eastAsia="es-CR"/>
              </w:rPr>
              <w:t xml:space="preserve"> </w:t>
            </w:r>
            <w:r w:rsidRPr="00F65C48">
              <w:rPr>
                <w:rFonts w:ascii="Calibri" w:eastAsia="Arial" w:hAnsi="Calibri" w:cs="Calibri"/>
                <w:i/>
                <w:iCs/>
                <w:lang w:val="es-ES" w:eastAsia="es-CR"/>
              </w:rPr>
              <w:t>Nuevo Testamento desde las ciencias sociales</w:t>
            </w:r>
            <w:r w:rsidRPr="00F65C48">
              <w:rPr>
                <w:rFonts w:ascii="Calibri" w:eastAsia="Arial" w:hAnsi="Calibri" w:cs="Calibri"/>
                <w:lang w:val="es-ES" w:eastAsia="es-CR"/>
              </w:rPr>
              <w:t>, 91-110. Estella: Verbo Divino, 2011.</w:t>
            </w:r>
            <w:r w:rsidRPr="00F65C48">
              <w:rPr>
                <w:rFonts w:ascii="Calibri" w:eastAsia="Times New Roman" w:hAnsi="Calibri" w:cs="Calibri"/>
                <w:color w:val="0070C0"/>
                <w:szCs w:val="18"/>
                <w:lang w:val="es-ES_tradnl" w:eastAsia="es-CR"/>
              </w:rPr>
              <w:t xml:space="preserve"> (clásico, última edición)</w:t>
            </w:r>
          </w:p>
          <w:p w14:paraId="3310EB54" w14:textId="77777777" w:rsidR="00F65C48" w:rsidRPr="00F65C48" w:rsidRDefault="00F65C48" w:rsidP="00F65C48">
            <w:pPr>
              <w:autoSpaceDE w:val="0"/>
              <w:autoSpaceDN w:val="0"/>
              <w:adjustRightInd w:val="0"/>
              <w:rPr>
                <w:rFonts w:ascii="Calibri" w:eastAsia="Arial" w:hAnsi="Calibri" w:cs="Calibri"/>
                <w:lang w:val="es-ES" w:eastAsia="es-CR"/>
              </w:rPr>
            </w:pPr>
          </w:p>
          <w:p w14:paraId="2B20C6D0"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t>Material complementario</w:t>
            </w:r>
          </w:p>
          <w:p w14:paraId="2377F67A"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p>
          <w:p w14:paraId="4C3762C9" w14:textId="77777777" w:rsidR="00F65C48" w:rsidRDefault="00F65C48" w:rsidP="00F65C48">
            <w:pPr>
              <w:autoSpaceDE w:val="0"/>
              <w:autoSpaceDN w:val="0"/>
              <w:adjustRightInd w:val="0"/>
              <w:rPr>
                <w:rFonts w:ascii="Calibri" w:eastAsia="Times New Roman" w:hAnsi="Calibri" w:cs="Calibri"/>
                <w:color w:val="0070C0"/>
                <w:szCs w:val="18"/>
                <w:lang w:val="es-ES_tradnl" w:eastAsia="es-CR"/>
              </w:rPr>
            </w:pPr>
            <w:r w:rsidRPr="00F65C48">
              <w:rPr>
                <w:rFonts w:ascii="Calibri" w:eastAsia="Times New Roman" w:hAnsi="Calibri" w:cs="Calibri"/>
                <w:color w:val="0070C0"/>
                <w:szCs w:val="18"/>
                <w:lang w:val="es-ES_tradnl" w:eastAsia="es-CR"/>
              </w:rPr>
              <w:t>Guía para la elaboración de un ensayo</w:t>
            </w:r>
          </w:p>
          <w:p w14:paraId="2E909FBA" w14:textId="77777777" w:rsidR="00860530" w:rsidRPr="00F65C48" w:rsidRDefault="00860530" w:rsidP="00F65C48">
            <w:pPr>
              <w:autoSpaceDE w:val="0"/>
              <w:autoSpaceDN w:val="0"/>
              <w:adjustRightInd w:val="0"/>
              <w:rPr>
                <w:rFonts w:ascii="Calibri" w:eastAsia="Arial" w:hAnsi="Calibri" w:cs="Calibri"/>
                <w:lang w:val="es-ES" w:eastAsia="es-CR"/>
              </w:rPr>
            </w:pPr>
          </w:p>
          <w:p w14:paraId="03D5A944"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119" w:type="dxa"/>
          </w:tcPr>
          <w:p w14:paraId="36CB4CED" w14:textId="77777777" w:rsidR="00F65C48" w:rsidRPr="00F65C48" w:rsidRDefault="00F65C48" w:rsidP="00F65C48">
            <w:pPr>
              <w:widowControl w:val="0"/>
              <w:numPr>
                <w:ilvl w:val="0"/>
                <w:numId w:val="277"/>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Realizar la lectura de la sesión.</w:t>
            </w:r>
          </w:p>
          <w:p w14:paraId="3052F4EB" w14:textId="77777777" w:rsidR="00F65C48" w:rsidRPr="00F65C48" w:rsidRDefault="00F65C48" w:rsidP="00F65C48">
            <w:pPr>
              <w:widowControl w:val="0"/>
              <w:numPr>
                <w:ilvl w:val="0"/>
                <w:numId w:val="277"/>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Entregar el ensayo sobre los modelos de análisis sociológico.</w:t>
            </w:r>
          </w:p>
        </w:tc>
      </w:tr>
      <w:tr w:rsidR="00F65C48" w:rsidRPr="00F65C48" w14:paraId="1661FBEA" w14:textId="77777777" w:rsidTr="4C9C2619">
        <w:trPr>
          <w:jc w:val="center"/>
        </w:trPr>
        <w:tc>
          <w:tcPr>
            <w:tcW w:w="1144" w:type="dxa"/>
          </w:tcPr>
          <w:p w14:paraId="572343A3"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7EE69FD9"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6</w:t>
            </w:r>
          </w:p>
        </w:tc>
        <w:tc>
          <w:tcPr>
            <w:tcW w:w="2395" w:type="dxa"/>
          </w:tcPr>
          <w:p w14:paraId="708F4DA7"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2: Estructuras políticas de Palestina en el período helenístico</w:t>
            </w:r>
          </w:p>
          <w:p w14:paraId="44A2E964"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38E0868F"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2.1 Panorama general de la organización y estructura del imperio romano</w:t>
            </w:r>
          </w:p>
          <w:p w14:paraId="1896DEA3"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6EE7E004"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5089DA43" w14:textId="77777777" w:rsidR="00F65C48" w:rsidRPr="00F65C48" w:rsidRDefault="00F65C48" w:rsidP="00F65C48">
            <w:pPr>
              <w:autoSpaceDE w:val="0"/>
              <w:autoSpaceDN w:val="0"/>
              <w:adjustRightInd w:val="0"/>
              <w:rPr>
                <w:rFonts w:ascii="Calibri" w:eastAsia="Arial" w:hAnsi="Calibri" w:cs="Calibri"/>
                <w:lang w:val="es-ES" w:eastAsia="es-CR"/>
              </w:rPr>
            </w:pPr>
          </w:p>
          <w:p w14:paraId="538709E4" w14:textId="77777777" w:rsidR="00F65C48" w:rsidRPr="00F65C48" w:rsidRDefault="00F65C48" w:rsidP="00F65C48">
            <w:pPr>
              <w:autoSpaceDE w:val="0"/>
              <w:autoSpaceDN w:val="0"/>
              <w:adjustRightInd w:val="0"/>
              <w:rPr>
                <w:rFonts w:ascii="Calibri" w:eastAsia="Arial" w:hAnsi="Calibri" w:cs="Calibri"/>
                <w:lang w:val="es-ES" w:eastAsia="es-CR"/>
              </w:rPr>
            </w:pPr>
            <w:r w:rsidRPr="00F65C48">
              <w:rPr>
                <w:rFonts w:ascii="Calibri" w:eastAsia="Arial" w:hAnsi="Calibri" w:cs="Calibri"/>
                <w:lang w:val="es-ES" w:eastAsia="es-CR"/>
              </w:rPr>
              <w:t xml:space="preserve">Carter, Warren. “El mundo imperial romano”. En </w:t>
            </w:r>
            <w:r w:rsidRPr="00F65C48">
              <w:rPr>
                <w:rFonts w:ascii="Calibri" w:eastAsia="Arial" w:hAnsi="Calibri" w:cs="Calibri"/>
                <w:i/>
                <w:iCs/>
                <w:lang w:val="es-ES" w:eastAsia="es-CR"/>
              </w:rPr>
              <w:t>El Imperio romano y el Nuevo Testamento</w:t>
            </w:r>
            <w:r w:rsidRPr="00F65C48">
              <w:rPr>
                <w:rFonts w:ascii="Calibri" w:eastAsia="Arial" w:hAnsi="Calibri" w:cs="Calibri"/>
                <w:lang w:val="es-ES" w:eastAsia="es-CR"/>
              </w:rPr>
              <w:t>, 11-46. Estella: Verbo Divino, 2011.</w:t>
            </w:r>
            <w:r w:rsidRPr="00F65C48">
              <w:rPr>
                <w:rFonts w:ascii="Calibri" w:eastAsia="Times New Roman" w:hAnsi="Calibri" w:cs="Calibri"/>
                <w:color w:val="0070C0"/>
                <w:szCs w:val="18"/>
                <w:lang w:val="es-ES_tradnl" w:eastAsia="es-CR"/>
              </w:rPr>
              <w:t xml:space="preserve"> (clásico, última edición)</w:t>
            </w:r>
          </w:p>
          <w:p w14:paraId="7E934997" w14:textId="77777777" w:rsidR="00F65C48" w:rsidRPr="00F65C48" w:rsidRDefault="00F65C48" w:rsidP="00F65C48">
            <w:pPr>
              <w:autoSpaceDE w:val="0"/>
              <w:autoSpaceDN w:val="0"/>
              <w:adjustRightInd w:val="0"/>
              <w:rPr>
                <w:rFonts w:ascii="Calibri" w:eastAsia="Arial" w:hAnsi="Calibri" w:cs="Calibri"/>
                <w:lang w:val="es-ES" w:eastAsia="es-CR"/>
              </w:rPr>
            </w:pPr>
          </w:p>
          <w:p w14:paraId="737B16EB" w14:textId="77777777" w:rsidR="00F65C48" w:rsidRPr="00F65C48" w:rsidRDefault="00F65C48" w:rsidP="00F65C48">
            <w:pPr>
              <w:autoSpaceDE w:val="0"/>
              <w:autoSpaceDN w:val="0"/>
              <w:adjustRightInd w:val="0"/>
              <w:rPr>
                <w:rFonts w:ascii="Calibri" w:eastAsia="Arial" w:hAnsi="Calibri" w:cs="Calibri"/>
                <w:lang w:val="es-ES" w:eastAsia="es-CR"/>
              </w:rPr>
            </w:pPr>
            <w:proofErr w:type="spellStart"/>
            <w:r w:rsidRPr="00F65C48">
              <w:rPr>
                <w:rFonts w:ascii="Calibri" w:eastAsia="Arial" w:hAnsi="Calibri" w:cs="Calibri"/>
                <w:lang w:val="es-ES" w:eastAsia="es-CR"/>
              </w:rPr>
              <w:t>Osiek</w:t>
            </w:r>
            <w:proofErr w:type="spellEnd"/>
            <w:r w:rsidRPr="00F65C48">
              <w:rPr>
                <w:rFonts w:ascii="Calibri" w:eastAsia="Arial" w:hAnsi="Calibri" w:cs="Calibri"/>
                <w:lang w:val="es-ES" w:eastAsia="es-CR"/>
              </w:rPr>
              <w:t xml:space="preserve">, Catherine y Jennifer </w:t>
            </w:r>
            <w:proofErr w:type="spellStart"/>
            <w:r w:rsidRPr="00F65C48">
              <w:rPr>
                <w:rFonts w:ascii="Calibri" w:eastAsia="Arial" w:hAnsi="Calibri" w:cs="Calibri"/>
                <w:lang w:val="es-ES" w:eastAsia="es-CR"/>
              </w:rPr>
              <w:t>Pouya</w:t>
            </w:r>
            <w:proofErr w:type="spellEnd"/>
            <w:r w:rsidRPr="00F65C48">
              <w:rPr>
                <w:rFonts w:ascii="Calibri" w:eastAsia="Arial" w:hAnsi="Calibri" w:cs="Calibri"/>
                <w:lang w:val="es-ES" w:eastAsia="es-CR"/>
              </w:rPr>
              <w:t xml:space="preserve">, “Los conceptos de género en el mundo imperial romano”. En </w:t>
            </w:r>
            <w:r w:rsidRPr="00F65C48">
              <w:rPr>
                <w:rFonts w:ascii="Calibri" w:eastAsia="Arial" w:hAnsi="Calibri" w:cs="Calibri"/>
                <w:i/>
                <w:iCs/>
                <w:lang w:val="es-ES" w:eastAsia="es-CR"/>
              </w:rPr>
              <w:t xml:space="preserve">Para entender el mundo social del Nuevo Testamento, </w:t>
            </w:r>
            <w:r w:rsidRPr="00F65C48">
              <w:rPr>
                <w:rFonts w:ascii="Calibri" w:eastAsia="Arial" w:hAnsi="Calibri" w:cs="Calibri"/>
                <w:lang w:val="es-ES" w:eastAsia="es-CR"/>
              </w:rPr>
              <w:t xml:space="preserve">editado por Dietmar </w:t>
            </w:r>
            <w:proofErr w:type="spellStart"/>
            <w:r w:rsidRPr="00F65C48">
              <w:rPr>
                <w:rFonts w:ascii="Calibri" w:eastAsia="Arial" w:hAnsi="Calibri" w:cs="Calibri"/>
                <w:lang w:val="es-ES" w:eastAsia="es-CR"/>
              </w:rPr>
              <w:t>Neufeld</w:t>
            </w:r>
            <w:proofErr w:type="spellEnd"/>
            <w:r w:rsidRPr="00F65C48">
              <w:rPr>
                <w:rFonts w:ascii="Calibri" w:eastAsia="Arial" w:hAnsi="Calibri" w:cs="Calibri"/>
                <w:lang w:val="es-ES" w:eastAsia="es-CR"/>
              </w:rPr>
              <w:t xml:space="preserve"> y Richard E. </w:t>
            </w:r>
            <w:proofErr w:type="spellStart"/>
            <w:r w:rsidRPr="00F65C48">
              <w:rPr>
                <w:rFonts w:ascii="Calibri" w:eastAsia="Arial" w:hAnsi="Calibri" w:cs="Calibri"/>
                <w:lang w:val="es-ES" w:eastAsia="es-CR"/>
              </w:rPr>
              <w:t>DeMaris</w:t>
            </w:r>
            <w:proofErr w:type="spellEnd"/>
            <w:r w:rsidRPr="00F65C48">
              <w:rPr>
                <w:rFonts w:ascii="Calibri" w:eastAsia="Arial" w:hAnsi="Calibri" w:cs="Calibri"/>
                <w:lang w:val="es-ES" w:eastAsia="es-CR"/>
              </w:rPr>
              <w:t>, 79-96</w:t>
            </w:r>
            <w:r w:rsidRPr="00F65C48">
              <w:rPr>
                <w:rFonts w:ascii="Calibri" w:eastAsia="Arial" w:hAnsi="Calibri" w:cs="Calibri"/>
                <w:i/>
                <w:iCs/>
                <w:lang w:val="es-ES" w:eastAsia="es-CR"/>
              </w:rPr>
              <w:t xml:space="preserve">. </w:t>
            </w:r>
            <w:r w:rsidRPr="00F65C48">
              <w:rPr>
                <w:rFonts w:ascii="Calibri" w:eastAsia="Arial" w:hAnsi="Calibri" w:cs="Calibri"/>
                <w:lang w:val="es-ES" w:eastAsia="es-CR"/>
              </w:rPr>
              <w:t>Estella: Verbo Divino, 2015.</w:t>
            </w:r>
            <w:r w:rsidRPr="00F65C48">
              <w:rPr>
                <w:rFonts w:ascii="Calibri" w:eastAsia="Times New Roman" w:hAnsi="Calibri" w:cs="Calibri"/>
                <w:color w:val="0070C0"/>
                <w:szCs w:val="18"/>
                <w:lang w:val="es-ES_tradnl" w:eastAsia="es-CR"/>
              </w:rPr>
              <w:t xml:space="preserve"> (clásico, última edición)</w:t>
            </w:r>
          </w:p>
          <w:p w14:paraId="542B3952" w14:textId="77777777" w:rsidR="00F65C48" w:rsidRPr="00F65C48" w:rsidRDefault="00F65C48" w:rsidP="00F65C48">
            <w:pPr>
              <w:autoSpaceDE w:val="0"/>
              <w:autoSpaceDN w:val="0"/>
              <w:adjustRightInd w:val="0"/>
              <w:rPr>
                <w:rFonts w:ascii="Calibri" w:eastAsia="Arial" w:hAnsi="Calibri" w:cs="Calibri"/>
                <w:lang w:val="es-ES" w:eastAsia="es-CR"/>
              </w:rPr>
            </w:pPr>
          </w:p>
          <w:p w14:paraId="1942D3AF"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t>Material complementario</w:t>
            </w:r>
          </w:p>
          <w:p w14:paraId="33BFB2B2"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5C373380" w14:textId="77777777" w:rsidR="00F65C48" w:rsidRPr="00F65C48" w:rsidRDefault="4C9C2619" w:rsidP="4C9C2619">
            <w:pPr>
              <w:autoSpaceDE w:val="0"/>
              <w:autoSpaceDN w:val="0"/>
              <w:adjustRightInd w:val="0"/>
              <w:rPr>
                <w:rFonts w:ascii="Calibri" w:eastAsia="Times New Roman" w:hAnsi="Calibri" w:cs="Calibri"/>
                <w:color w:val="0070C0"/>
                <w:lang w:val="es-ES" w:eastAsia="es-CR"/>
              </w:rPr>
            </w:pPr>
            <w:r w:rsidRPr="4C9C2619">
              <w:rPr>
                <w:rFonts w:ascii="Calibri" w:eastAsia="Times New Roman" w:hAnsi="Calibri" w:cs="Calibri"/>
                <w:color w:val="0070C0"/>
                <w:lang w:val="es-ES" w:eastAsia="es-CR"/>
              </w:rPr>
              <w:t xml:space="preserve">Guía para la participación mediante la herramienta Big Blue </w:t>
            </w:r>
            <w:proofErr w:type="spellStart"/>
            <w:r w:rsidRPr="4C9C2619">
              <w:rPr>
                <w:rFonts w:ascii="Calibri" w:eastAsia="Times New Roman" w:hAnsi="Calibri" w:cs="Calibri"/>
                <w:color w:val="0070C0"/>
                <w:lang w:val="es-ES" w:eastAsia="es-CR"/>
              </w:rPr>
              <w:t>Button</w:t>
            </w:r>
            <w:proofErr w:type="spellEnd"/>
            <w:r w:rsidRPr="4C9C2619">
              <w:rPr>
                <w:rFonts w:ascii="Calibri" w:eastAsia="Times New Roman" w:hAnsi="Calibri" w:cs="Calibri"/>
                <w:color w:val="0070C0"/>
                <w:lang w:val="es-ES" w:eastAsia="es-CR"/>
              </w:rPr>
              <w:t xml:space="preserve"> en la plataforma Moodle</w:t>
            </w:r>
          </w:p>
          <w:p w14:paraId="4CBF915D"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p>
          <w:p w14:paraId="6C386AC8" w14:textId="77777777" w:rsidR="00F65C48" w:rsidRPr="00F65C48" w:rsidRDefault="00F65C48" w:rsidP="00F65C48">
            <w:pPr>
              <w:autoSpaceDE w:val="0"/>
              <w:autoSpaceDN w:val="0"/>
              <w:adjustRightInd w:val="0"/>
              <w:rPr>
                <w:rFonts w:ascii="Calibri" w:eastAsia="Arial" w:hAnsi="Calibri" w:cs="Calibri"/>
                <w:color w:val="0070C0"/>
                <w:lang w:val="es-ES" w:eastAsia="es-CR"/>
              </w:rPr>
            </w:pPr>
            <w:r w:rsidRPr="00F65C48">
              <w:rPr>
                <w:rFonts w:ascii="Calibri" w:eastAsia="Times New Roman" w:hAnsi="Calibri" w:cs="Calibri"/>
                <w:color w:val="0070C0"/>
                <w:lang w:val="es-ES_tradnl" w:eastAsia="es-CR"/>
              </w:rPr>
              <w:t>Guía para la elaboración de un ensayo</w:t>
            </w:r>
          </w:p>
          <w:p w14:paraId="4B657E3B"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119" w:type="dxa"/>
          </w:tcPr>
          <w:p w14:paraId="0FA875C7" w14:textId="77777777" w:rsidR="00F65C48" w:rsidRPr="00F65C48" w:rsidRDefault="00F65C48" w:rsidP="00F65C48">
            <w:pPr>
              <w:widowControl w:val="0"/>
              <w:numPr>
                <w:ilvl w:val="0"/>
                <w:numId w:val="278"/>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Realizar las lecturas de la sesión.</w:t>
            </w:r>
          </w:p>
          <w:p w14:paraId="4CBB0CB0" w14:textId="77777777" w:rsidR="00F65C48" w:rsidRPr="00F65C48" w:rsidRDefault="00F65C48" w:rsidP="00F65C48">
            <w:pPr>
              <w:widowControl w:val="0"/>
              <w:numPr>
                <w:ilvl w:val="0"/>
                <w:numId w:val="278"/>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Presentación grupal en un encuentro sincrónico virtual.</w:t>
            </w:r>
          </w:p>
          <w:p w14:paraId="3EE29B06" w14:textId="77777777" w:rsidR="00F65C48" w:rsidRPr="00F65C48" w:rsidRDefault="00F65C48" w:rsidP="00F65C48">
            <w:pPr>
              <w:widowControl w:val="0"/>
              <w:numPr>
                <w:ilvl w:val="0"/>
                <w:numId w:val="278"/>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 xml:space="preserve">Iniciar la elaboración de un ensayo sobre las estructuras políticas del imperio romano y Palestina a partir de las lecturas de la sesión. </w:t>
            </w:r>
          </w:p>
        </w:tc>
      </w:tr>
      <w:tr w:rsidR="00F65C48" w:rsidRPr="00F65C48" w14:paraId="1F636BD3" w14:textId="77777777" w:rsidTr="4C9C2619">
        <w:trPr>
          <w:jc w:val="center"/>
        </w:trPr>
        <w:tc>
          <w:tcPr>
            <w:tcW w:w="1144" w:type="dxa"/>
          </w:tcPr>
          <w:p w14:paraId="480A0577"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43808EAE"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7</w:t>
            </w:r>
          </w:p>
        </w:tc>
        <w:tc>
          <w:tcPr>
            <w:tcW w:w="2395" w:type="dxa"/>
          </w:tcPr>
          <w:p w14:paraId="35EE8AFE"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2: Estructuras políticas de Palestina en el período helenístico</w:t>
            </w:r>
          </w:p>
          <w:p w14:paraId="1B570DB0"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75B4E37D"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2.2 Organización y estructura de las provincias imperiales: Palestina</w:t>
            </w:r>
          </w:p>
          <w:p w14:paraId="37882859"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7D80B492"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4D9C47DD" w14:textId="77777777" w:rsidR="00F65C48" w:rsidRPr="00F65C48" w:rsidRDefault="00F65C48" w:rsidP="00F65C48">
            <w:pPr>
              <w:autoSpaceDE w:val="0"/>
              <w:autoSpaceDN w:val="0"/>
              <w:adjustRightInd w:val="0"/>
              <w:rPr>
                <w:rFonts w:ascii="Calibri" w:eastAsia="Arial" w:hAnsi="Calibri" w:cs="Calibri"/>
                <w:lang w:val="es-ES" w:eastAsia="es-CR"/>
              </w:rPr>
            </w:pPr>
          </w:p>
          <w:p w14:paraId="7F7DC8D1" w14:textId="77777777" w:rsidR="00F65C48" w:rsidRPr="00F65C48" w:rsidRDefault="00F65C48" w:rsidP="00F65C48">
            <w:pPr>
              <w:autoSpaceDE w:val="0"/>
              <w:autoSpaceDN w:val="0"/>
              <w:adjustRightInd w:val="0"/>
              <w:rPr>
                <w:rFonts w:ascii="Calibri" w:eastAsia="Arial" w:hAnsi="Calibri" w:cs="Calibri"/>
                <w:lang w:val="es-ES" w:eastAsia="es-CR"/>
              </w:rPr>
            </w:pPr>
            <w:proofErr w:type="spellStart"/>
            <w:r w:rsidRPr="00F65C48">
              <w:rPr>
                <w:rFonts w:ascii="Calibri" w:eastAsia="Arial" w:hAnsi="Calibri" w:cs="Calibri"/>
                <w:lang w:val="es-ES" w:eastAsia="es-CR"/>
              </w:rPr>
              <w:t>Kreider</w:t>
            </w:r>
            <w:proofErr w:type="spellEnd"/>
            <w:r w:rsidRPr="00F65C48">
              <w:rPr>
                <w:rFonts w:ascii="Calibri" w:eastAsia="Arial" w:hAnsi="Calibri" w:cs="Calibri"/>
                <w:lang w:val="es-ES" w:eastAsia="es-CR"/>
              </w:rPr>
              <w:t xml:space="preserve">, Alan. “Los cristianos como agentes de crecimiento”. En </w:t>
            </w:r>
            <w:r w:rsidRPr="00F65C48">
              <w:rPr>
                <w:rFonts w:ascii="Calibri" w:eastAsia="Arial" w:hAnsi="Calibri" w:cs="Calibri"/>
                <w:i/>
                <w:iCs/>
                <w:lang w:val="es-ES" w:eastAsia="es-CR"/>
              </w:rPr>
              <w:t>La paciencia</w:t>
            </w:r>
            <w:r w:rsidRPr="00F65C48">
              <w:rPr>
                <w:rFonts w:ascii="Calibri" w:eastAsia="Arial" w:hAnsi="Calibri" w:cs="Calibri"/>
                <w:lang w:val="es-ES" w:eastAsia="es-CR"/>
              </w:rPr>
              <w:t>: e</w:t>
            </w:r>
            <w:r w:rsidRPr="00F65C48">
              <w:rPr>
                <w:rFonts w:ascii="Calibri" w:eastAsia="Arial" w:hAnsi="Calibri" w:cs="Calibri"/>
                <w:i/>
                <w:iCs/>
                <w:lang w:val="es-ES" w:eastAsia="es-CR"/>
              </w:rPr>
              <w:t>l sorprendente fermento del cristianismo en el Imperio Romano</w:t>
            </w:r>
            <w:r w:rsidRPr="00F65C48">
              <w:rPr>
                <w:rFonts w:ascii="Calibri" w:eastAsia="Arial" w:hAnsi="Calibri" w:cs="Calibri"/>
                <w:lang w:val="es-ES" w:eastAsia="es-CR"/>
              </w:rPr>
              <w:t>, 99-118</w:t>
            </w:r>
            <w:r w:rsidRPr="00F65C48">
              <w:rPr>
                <w:rFonts w:ascii="Calibri" w:eastAsia="Arial" w:hAnsi="Calibri" w:cs="Calibri"/>
                <w:i/>
                <w:iCs/>
                <w:lang w:val="es-ES" w:eastAsia="es-CR"/>
              </w:rPr>
              <w:t xml:space="preserve">. </w:t>
            </w:r>
            <w:r w:rsidRPr="00F65C48">
              <w:rPr>
                <w:rFonts w:ascii="Calibri" w:eastAsia="Arial" w:hAnsi="Calibri" w:cs="Calibri"/>
                <w:lang w:val="es-ES" w:eastAsia="es-CR"/>
              </w:rPr>
              <w:t>Salamanca: Sígueme, 2017.</w:t>
            </w:r>
            <w:r w:rsidRPr="00F65C48">
              <w:rPr>
                <w:rFonts w:ascii="Calibri" w:eastAsia="Times New Roman" w:hAnsi="Calibri" w:cs="Calibri"/>
                <w:color w:val="0070C0"/>
                <w:szCs w:val="18"/>
                <w:lang w:val="es-ES_tradnl" w:eastAsia="es-CR"/>
              </w:rPr>
              <w:t xml:space="preserve"> (clásico, última edición)</w:t>
            </w:r>
          </w:p>
          <w:p w14:paraId="178DEA79" w14:textId="77777777" w:rsidR="00F65C48" w:rsidRPr="00F65C48" w:rsidRDefault="00F65C48" w:rsidP="00F65C48">
            <w:pPr>
              <w:autoSpaceDE w:val="0"/>
              <w:autoSpaceDN w:val="0"/>
              <w:adjustRightInd w:val="0"/>
              <w:rPr>
                <w:rFonts w:ascii="Calibri" w:eastAsia="Arial" w:hAnsi="Calibri" w:cs="Calibri"/>
                <w:lang w:val="es-ES" w:eastAsia="es-CR"/>
              </w:rPr>
            </w:pPr>
          </w:p>
          <w:p w14:paraId="3A68D0D7"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t>Material complementario</w:t>
            </w:r>
          </w:p>
          <w:p w14:paraId="62209A60"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17CF3FA7"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Guía para la participación en un foro en la plataforma Moodle</w:t>
            </w:r>
          </w:p>
          <w:p w14:paraId="04C996EE"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p>
          <w:p w14:paraId="44AFD0D9"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Guía para la elaboración de un ensayo</w:t>
            </w:r>
          </w:p>
          <w:p w14:paraId="27EBEB00"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119" w:type="dxa"/>
          </w:tcPr>
          <w:p w14:paraId="20A3347F" w14:textId="77777777" w:rsidR="00F65C48" w:rsidRPr="00F65C48" w:rsidRDefault="00F65C48" w:rsidP="00F65C48">
            <w:pPr>
              <w:widowControl w:val="0"/>
              <w:numPr>
                <w:ilvl w:val="0"/>
                <w:numId w:val="279"/>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Realizar la lectura de la sesión.</w:t>
            </w:r>
          </w:p>
          <w:p w14:paraId="3021A948" w14:textId="77777777" w:rsidR="00F65C48" w:rsidRPr="00F65C48" w:rsidRDefault="00F65C48" w:rsidP="00F65C48">
            <w:pPr>
              <w:widowControl w:val="0"/>
              <w:numPr>
                <w:ilvl w:val="0"/>
                <w:numId w:val="279"/>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Participación en el foro temático: Estudio de un texto bíblico.</w:t>
            </w:r>
          </w:p>
          <w:p w14:paraId="1667EB07" w14:textId="77777777" w:rsidR="00F65C48" w:rsidRPr="00F65C48" w:rsidRDefault="00F65C48" w:rsidP="00F65C48">
            <w:pPr>
              <w:widowControl w:val="0"/>
              <w:numPr>
                <w:ilvl w:val="0"/>
                <w:numId w:val="279"/>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Entregar el ensayo sobre las estructuras políticas del imperio romano y Palestina.</w:t>
            </w:r>
          </w:p>
          <w:p w14:paraId="2BB0240A" w14:textId="77777777" w:rsidR="00F65C48" w:rsidRPr="00F65C48" w:rsidRDefault="00F65C48" w:rsidP="00F65C48">
            <w:pPr>
              <w:autoSpaceDE w:val="0"/>
              <w:autoSpaceDN w:val="0"/>
              <w:adjustRightInd w:val="0"/>
              <w:ind w:left="314"/>
              <w:contextualSpacing/>
              <w:rPr>
                <w:rFonts w:ascii="Calibri" w:eastAsia="Times New Roman" w:hAnsi="Calibri" w:cs="Calibri"/>
                <w:lang w:val="es-ES_tradnl" w:eastAsia="es-CR"/>
              </w:rPr>
            </w:pPr>
          </w:p>
        </w:tc>
      </w:tr>
      <w:tr w:rsidR="00F65C48" w:rsidRPr="00F65C48" w14:paraId="618DB5F4" w14:textId="77777777" w:rsidTr="4C9C2619">
        <w:trPr>
          <w:jc w:val="center"/>
        </w:trPr>
        <w:tc>
          <w:tcPr>
            <w:tcW w:w="1144" w:type="dxa"/>
          </w:tcPr>
          <w:p w14:paraId="442C4F79"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72F1BC48"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8</w:t>
            </w:r>
          </w:p>
        </w:tc>
        <w:tc>
          <w:tcPr>
            <w:tcW w:w="2395" w:type="dxa"/>
          </w:tcPr>
          <w:p w14:paraId="3ED10281"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 xml:space="preserve">Unidad 3: Estructuras socioeconómicas de </w:t>
            </w:r>
            <w:r w:rsidRPr="00F65C48">
              <w:rPr>
                <w:rFonts w:ascii="Calibri" w:eastAsia="Times New Roman" w:hAnsi="Calibri" w:cs="Calibri"/>
                <w:b/>
                <w:bCs/>
                <w:lang w:val="es-ES_tradnl" w:eastAsia="es-CR"/>
              </w:rPr>
              <w:lastRenderedPageBreak/>
              <w:t>Palestina en el período helenístico</w:t>
            </w:r>
          </w:p>
          <w:p w14:paraId="7359DB83"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594729D3"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3.1 Estructuras de la administración imperial romana en Palestina</w:t>
            </w:r>
          </w:p>
          <w:p w14:paraId="1A1C5999"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4CA6032B"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lastRenderedPageBreak/>
              <w:t>Ruta de aprendizaje</w:t>
            </w:r>
          </w:p>
          <w:p w14:paraId="17D4787E" w14:textId="77777777" w:rsidR="00F65C48" w:rsidRPr="00F65C48" w:rsidRDefault="00F65C48" w:rsidP="00F65C48">
            <w:pPr>
              <w:autoSpaceDE w:val="0"/>
              <w:autoSpaceDN w:val="0"/>
              <w:adjustRightInd w:val="0"/>
              <w:rPr>
                <w:rFonts w:ascii="Calibri" w:eastAsia="Arial" w:hAnsi="Calibri" w:cs="Calibri"/>
                <w:lang w:val="es-ES" w:eastAsia="es-CR"/>
              </w:rPr>
            </w:pPr>
          </w:p>
          <w:p w14:paraId="4D1F3484" w14:textId="77777777" w:rsidR="00F65C48" w:rsidRPr="00F65C48" w:rsidRDefault="00F65C48" w:rsidP="00F65C48">
            <w:pPr>
              <w:autoSpaceDE w:val="0"/>
              <w:autoSpaceDN w:val="0"/>
              <w:adjustRightInd w:val="0"/>
              <w:rPr>
                <w:rFonts w:ascii="Calibri" w:eastAsia="Arial" w:hAnsi="Calibri" w:cs="Calibri"/>
                <w:lang w:val="es-ES" w:eastAsia="es-CR"/>
              </w:rPr>
            </w:pPr>
            <w:r w:rsidRPr="00F65C48">
              <w:rPr>
                <w:rFonts w:ascii="Calibri" w:eastAsia="Arial" w:hAnsi="Calibri" w:cs="Calibri"/>
                <w:lang w:val="es-ES" w:eastAsia="es-CR"/>
              </w:rPr>
              <w:lastRenderedPageBreak/>
              <w:t xml:space="preserve">Carter, Warren. “Los espacios del imperio: ámbitos urbanos y rurales”. En </w:t>
            </w:r>
            <w:r w:rsidRPr="00F65C48">
              <w:rPr>
                <w:rFonts w:ascii="Calibri" w:eastAsia="Arial" w:hAnsi="Calibri" w:cs="Calibri"/>
                <w:i/>
                <w:iCs/>
                <w:lang w:val="es-ES" w:eastAsia="es-CR"/>
              </w:rPr>
              <w:t>El Imperio romano y el Nuevo Testamento</w:t>
            </w:r>
            <w:r w:rsidRPr="00F65C48">
              <w:rPr>
                <w:rFonts w:ascii="Calibri" w:eastAsia="Arial" w:hAnsi="Calibri" w:cs="Calibri"/>
                <w:lang w:val="es-ES" w:eastAsia="es-CR"/>
              </w:rPr>
              <w:t>, 71-98. Estella: Verbo Divino, 2011.</w:t>
            </w:r>
            <w:r w:rsidRPr="00F65C48">
              <w:rPr>
                <w:rFonts w:ascii="Calibri" w:eastAsia="Times New Roman" w:hAnsi="Calibri" w:cs="Calibri"/>
                <w:color w:val="0070C0"/>
                <w:szCs w:val="18"/>
                <w:lang w:val="es-ES_tradnl" w:eastAsia="es-CR"/>
              </w:rPr>
              <w:t xml:space="preserve"> (clásico, última edición)</w:t>
            </w:r>
          </w:p>
          <w:p w14:paraId="412E9561" w14:textId="77777777" w:rsidR="00F65C48" w:rsidRPr="00F65C48" w:rsidRDefault="00F65C48" w:rsidP="00F65C48">
            <w:pPr>
              <w:autoSpaceDE w:val="0"/>
              <w:autoSpaceDN w:val="0"/>
              <w:adjustRightInd w:val="0"/>
              <w:rPr>
                <w:rFonts w:ascii="Calibri" w:eastAsia="Arial" w:hAnsi="Calibri" w:cs="Calibri"/>
                <w:lang w:val="es-ES" w:eastAsia="es-CR"/>
              </w:rPr>
            </w:pPr>
          </w:p>
          <w:p w14:paraId="33257385"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t>Material complementario</w:t>
            </w:r>
          </w:p>
          <w:p w14:paraId="3ECD8185"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p>
          <w:p w14:paraId="6CEE9ABD" w14:textId="77777777" w:rsidR="00F65C48" w:rsidRPr="00F65C48" w:rsidRDefault="4C9C2619" w:rsidP="4C9C2619">
            <w:pPr>
              <w:autoSpaceDE w:val="0"/>
              <w:autoSpaceDN w:val="0"/>
              <w:adjustRightInd w:val="0"/>
              <w:rPr>
                <w:rFonts w:ascii="Calibri" w:eastAsia="Times New Roman" w:hAnsi="Calibri" w:cs="Calibri"/>
                <w:color w:val="0070C0"/>
                <w:lang w:val="es-ES" w:eastAsia="es-CR"/>
              </w:rPr>
            </w:pPr>
            <w:r w:rsidRPr="4C9C2619">
              <w:rPr>
                <w:rFonts w:ascii="Calibri" w:eastAsia="Times New Roman" w:hAnsi="Calibri" w:cs="Calibri"/>
                <w:color w:val="0070C0"/>
                <w:lang w:val="es-ES" w:eastAsia="es-CR"/>
              </w:rPr>
              <w:t xml:space="preserve">Guía para la participación mediante la herramienta Big Blue </w:t>
            </w:r>
            <w:proofErr w:type="spellStart"/>
            <w:r w:rsidRPr="4C9C2619">
              <w:rPr>
                <w:rFonts w:ascii="Calibri" w:eastAsia="Times New Roman" w:hAnsi="Calibri" w:cs="Calibri"/>
                <w:color w:val="0070C0"/>
                <w:lang w:val="es-ES" w:eastAsia="es-CR"/>
              </w:rPr>
              <w:t>Button</w:t>
            </w:r>
            <w:proofErr w:type="spellEnd"/>
            <w:r w:rsidRPr="4C9C2619">
              <w:rPr>
                <w:rFonts w:ascii="Calibri" w:eastAsia="Times New Roman" w:hAnsi="Calibri" w:cs="Calibri"/>
                <w:color w:val="0070C0"/>
                <w:lang w:val="es-ES" w:eastAsia="es-CR"/>
              </w:rPr>
              <w:t xml:space="preserve"> en la plataforma Moodle</w:t>
            </w:r>
          </w:p>
          <w:p w14:paraId="18B3332F"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119" w:type="dxa"/>
          </w:tcPr>
          <w:p w14:paraId="2DBF428E" w14:textId="77777777" w:rsidR="00F65C48" w:rsidRPr="00F65C48" w:rsidRDefault="00F65C48" w:rsidP="00F65C48">
            <w:pPr>
              <w:widowControl w:val="0"/>
              <w:numPr>
                <w:ilvl w:val="0"/>
                <w:numId w:val="280"/>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lastRenderedPageBreak/>
              <w:t>Realizar la lectura de la sesión.</w:t>
            </w:r>
          </w:p>
          <w:p w14:paraId="1D690912" w14:textId="77777777" w:rsidR="00F65C48" w:rsidRPr="00F65C48" w:rsidRDefault="00F65C48" w:rsidP="00F65C48">
            <w:pPr>
              <w:widowControl w:val="0"/>
              <w:numPr>
                <w:ilvl w:val="0"/>
                <w:numId w:val="280"/>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 xml:space="preserve">Presentación grupal en un </w:t>
            </w:r>
            <w:r w:rsidRPr="00F65C48">
              <w:rPr>
                <w:rFonts w:ascii="Calibri" w:eastAsia="Times New Roman" w:hAnsi="Calibri" w:cs="Calibri"/>
                <w:lang w:val="es-ES_tradnl" w:eastAsia="es-CR"/>
              </w:rPr>
              <w:lastRenderedPageBreak/>
              <w:t>encuentro sincrónico virtual.</w:t>
            </w:r>
          </w:p>
        </w:tc>
      </w:tr>
      <w:tr w:rsidR="00F65C48" w:rsidRPr="00F65C48" w14:paraId="383498B0" w14:textId="77777777" w:rsidTr="4C9C2619">
        <w:trPr>
          <w:jc w:val="center"/>
        </w:trPr>
        <w:tc>
          <w:tcPr>
            <w:tcW w:w="1144" w:type="dxa"/>
          </w:tcPr>
          <w:p w14:paraId="148A373F"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15762B0E"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9</w:t>
            </w:r>
          </w:p>
        </w:tc>
        <w:tc>
          <w:tcPr>
            <w:tcW w:w="2395" w:type="dxa"/>
          </w:tcPr>
          <w:p w14:paraId="715E7048"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3: Estructuras socioeconómicas de Palestina en el período helenístico</w:t>
            </w:r>
          </w:p>
          <w:p w14:paraId="4F065CD6"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42246020"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3.2 Rasgos básicos de “la pirámide económica” en la Palestina romana</w:t>
            </w:r>
          </w:p>
          <w:p w14:paraId="08887210"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758C7965"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291A10A1" w14:textId="77777777" w:rsidR="00F65C48" w:rsidRPr="00F65C48" w:rsidRDefault="00F65C48" w:rsidP="00F65C48">
            <w:pPr>
              <w:autoSpaceDE w:val="0"/>
              <w:autoSpaceDN w:val="0"/>
              <w:adjustRightInd w:val="0"/>
              <w:rPr>
                <w:rFonts w:ascii="Calibri" w:eastAsia="Times New Roman" w:hAnsi="Calibri" w:cs="Calibri"/>
                <w:color w:val="000000"/>
                <w:lang w:val="es-ES_tradnl" w:eastAsia="es-CR"/>
              </w:rPr>
            </w:pPr>
          </w:p>
          <w:p w14:paraId="67FCAA8E" w14:textId="77777777" w:rsidR="00F65C48" w:rsidRPr="00F65C48" w:rsidRDefault="4C9C2619" w:rsidP="4C9C2619">
            <w:pPr>
              <w:autoSpaceDE w:val="0"/>
              <w:autoSpaceDN w:val="0"/>
              <w:adjustRightInd w:val="0"/>
              <w:rPr>
                <w:rFonts w:ascii="Calibri" w:eastAsia="Times New Roman" w:hAnsi="Calibri" w:cs="Calibri"/>
                <w:color w:val="000000"/>
                <w:lang w:val="es-ES" w:eastAsia="es-CR"/>
              </w:rPr>
            </w:pPr>
            <w:proofErr w:type="spellStart"/>
            <w:r w:rsidRPr="4C9C2619">
              <w:rPr>
                <w:rFonts w:ascii="Calibri" w:eastAsia="Times New Roman" w:hAnsi="Calibri" w:cs="Calibri"/>
                <w:color w:val="000000" w:themeColor="text1"/>
                <w:lang w:val="es-ES" w:eastAsia="es-CR"/>
              </w:rPr>
              <w:t>Rohrbaugh</w:t>
            </w:r>
            <w:proofErr w:type="spellEnd"/>
            <w:r w:rsidRPr="4C9C2619">
              <w:rPr>
                <w:rFonts w:ascii="Calibri" w:eastAsia="Times New Roman" w:hAnsi="Calibri" w:cs="Calibri"/>
                <w:color w:val="000000" w:themeColor="text1"/>
                <w:lang w:val="es-ES" w:eastAsia="es-CR"/>
              </w:rPr>
              <w:t xml:space="preserve">, Richard. “Honor: valor esencial en el mundo bíblico”. En </w:t>
            </w:r>
            <w:r w:rsidRPr="4C9C2619">
              <w:rPr>
                <w:rFonts w:ascii="Calibri" w:eastAsia="Times New Roman" w:hAnsi="Calibri" w:cs="Calibri"/>
                <w:i/>
                <w:iCs/>
                <w:color w:val="000000" w:themeColor="text1"/>
                <w:lang w:val="es-ES" w:eastAsia="es-CR"/>
              </w:rPr>
              <w:t>Para entender el mundo social del Nuevo Testamento</w:t>
            </w:r>
            <w:r w:rsidRPr="4C9C2619">
              <w:rPr>
                <w:rFonts w:ascii="Calibri" w:eastAsia="Times New Roman" w:hAnsi="Calibri" w:cs="Calibri"/>
                <w:color w:val="000000" w:themeColor="text1"/>
                <w:lang w:val="es-ES" w:eastAsia="es-CR"/>
              </w:rPr>
              <w:t xml:space="preserve">, editado por Dietmar </w:t>
            </w:r>
            <w:proofErr w:type="spellStart"/>
            <w:r w:rsidRPr="4C9C2619">
              <w:rPr>
                <w:rFonts w:ascii="Calibri" w:eastAsia="Times New Roman" w:hAnsi="Calibri" w:cs="Calibri"/>
                <w:color w:val="000000" w:themeColor="text1"/>
                <w:lang w:val="es-ES" w:eastAsia="es-CR"/>
              </w:rPr>
              <w:t>Neufeld</w:t>
            </w:r>
            <w:proofErr w:type="spellEnd"/>
            <w:r w:rsidRPr="4C9C2619">
              <w:rPr>
                <w:rFonts w:ascii="Calibri" w:eastAsia="Times New Roman" w:hAnsi="Calibri" w:cs="Calibri"/>
                <w:color w:val="000000" w:themeColor="text1"/>
                <w:lang w:val="es-ES" w:eastAsia="es-CR"/>
              </w:rPr>
              <w:t xml:space="preserve"> y Richard E. </w:t>
            </w:r>
            <w:proofErr w:type="spellStart"/>
            <w:r w:rsidRPr="4C9C2619">
              <w:rPr>
                <w:rFonts w:ascii="Calibri" w:eastAsia="Times New Roman" w:hAnsi="Calibri" w:cs="Calibri"/>
                <w:color w:val="000000" w:themeColor="text1"/>
                <w:lang w:val="es-ES" w:eastAsia="es-CR"/>
              </w:rPr>
              <w:t>DeMaris</w:t>
            </w:r>
            <w:proofErr w:type="spellEnd"/>
            <w:r w:rsidRPr="4C9C2619">
              <w:rPr>
                <w:rFonts w:ascii="Calibri" w:eastAsia="Times New Roman" w:hAnsi="Calibri" w:cs="Calibri"/>
                <w:color w:val="000000" w:themeColor="text1"/>
                <w:lang w:val="es-ES" w:eastAsia="es-CR"/>
              </w:rPr>
              <w:t>, 167-188. Estella: Verbo Divino, 2014.</w:t>
            </w:r>
            <w:r w:rsidRPr="4C9C2619">
              <w:rPr>
                <w:rFonts w:ascii="Calibri" w:eastAsia="Times New Roman" w:hAnsi="Calibri" w:cs="Calibri"/>
                <w:color w:val="0070C0"/>
                <w:lang w:val="es-ES" w:eastAsia="es-CR"/>
              </w:rPr>
              <w:t xml:space="preserve"> (clásico, última edición)</w:t>
            </w:r>
          </w:p>
          <w:p w14:paraId="63280105" w14:textId="77777777" w:rsidR="00F65C48" w:rsidRPr="00F65C48" w:rsidRDefault="00F65C48" w:rsidP="00F65C48">
            <w:pPr>
              <w:autoSpaceDE w:val="0"/>
              <w:autoSpaceDN w:val="0"/>
              <w:adjustRightInd w:val="0"/>
              <w:rPr>
                <w:rFonts w:ascii="Calibri" w:eastAsia="Times New Roman" w:hAnsi="Calibri" w:cs="Calibri"/>
                <w:color w:val="000000"/>
                <w:szCs w:val="18"/>
                <w:lang w:val="es-ES_tradnl" w:eastAsia="es-CR"/>
              </w:rPr>
            </w:pPr>
          </w:p>
          <w:p w14:paraId="10BC0B30" w14:textId="77777777" w:rsidR="00F65C48" w:rsidRPr="00F65C48" w:rsidRDefault="00F65C48" w:rsidP="00F65C48">
            <w:pPr>
              <w:autoSpaceDE w:val="0"/>
              <w:autoSpaceDN w:val="0"/>
              <w:adjustRightInd w:val="0"/>
              <w:rPr>
                <w:rFonts w:ascii="Calibri" w:eastAsia="Times New Roman" w:hAnsi="Calibri" w:cs="Calibri"/>
                <w:b/>
                <w:bCs/>
                <w:color w:val="000000"/>
                <w:szCs w:val="18"/>
                <w:lang w:val="es-ES_tradnl" w:eastAsia="es-CR"/>
              </w:rPr>
            </w:pPr>
            <w:r w:rsidRPr="00F65C48">
              <w:rPr>
                <w:rFonts w:ascii="Calibri" w:eastAsia="Times New Roman" w:hAnsi="Calibri" w:cs="Calibri"/>
                <w:b/>
                <w:bCs/>
                <w:color w:val="000000"/>
                <w:szCs w:val="18"/>
                <w:lang w:val="es-ES_tradnl" w:eastAsia="es-CR"/>
              </w:rPr>
              <w:t>Material complementario</w:t>
            </w:r>
          </w:p>
          <w:p w14:paraId="1905F945"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153894D3" w14:textId="77777777" w:rsidR="00F65C48" w:rsidRPr="00F65C48" w:rsidRDefault="4C9C2619" w:rsidP="4C9C2619">
            <w:pPr>
              <w:autoSpaceDE w:val="0"/>
              <w:autoSpaceDN w:val="0"/>
              <w:adjustRightInd w:val="0"/>
              <w:rPr>
                <w:rFonts w:ascii="Calibri" w:eastAsia="Times New Roman" w:hAnsi="Calibri" w:cs="Calibri"/>
                <w:color w:val="000000"/>
                <w:lang w:val="es-ES" w:eastAsia="es-CR"/>
              </w:rPr>
            </w:pPr>
            <w:r w:rsidRPr="4C9C2619">
              <w:rPr>
                <w:rFonts w:ascii="Calibri" w:eastAsia="Calibri" w:hAnsi="Calibri" w:cs="Calibri"/>
                <w:lang w:val="es-ES" w:eastAsia="es-CR"/>
              </w:rPr>
              <w:t xml:space="preserve">Stewart, Eric. “Estratificación social y Patronato en sociedades mediterráneas de la antigüedad”. </w:t>
            </w:r>
            <w:r w:rsidRPr="4C9C2619">
              <w:rPr>
                <w:rFonts w:ascii="Calibri" w:eastAsia="Times New Roman" w:hAnsi="Calibri" w:cs="Calibri"/>
                <w:color w:val="000000" w:themeColor="text1"/>
                <w:lang w:val="es-ES" w:eastAsia="es-CR"/>
              </w:rPr>
              <w:t xml:space="preserve">En </w:t>
            </w:r>
            <w:r w:rsidRPr="4C9C2619">
              <w:rPr>
                <w:rFonts w:ascii="Calibri" w:eastAsia="Times New Roman" w:hAnsi="Calibri" w:cs="Calibri"/>
                <w:i/>
                <w:iCs/>
                <w:color w:val="000000" w:themeColor="text1"/>
                <w:lang w:val="es-ES" w:eastAsia="es-CR"/>
              </w:rPr>
              <w:t>Para entender el mundo social del Nuevo Testamento</w:t>
            </w:r>
            <w:r w:rsidRPr="4C9C2619">
              <w:rPr>
                <w:rFonts w:ascii="Calibri" w:eastAsia="Times New Roman" w:hAnsi="Calibri" w:cs="Calibri"/>
                <w:color w:val="000000" w:themeColor="text1"/>
                <w:lang w:val="es-ES" w:eastAsia="es-CR"/>
              </w:rPr>
              <w:t xml:space="preserve">, editado por Dietmar </w:t>
            </w:r>
            <w:proofErr w:type="spellStart"/>
            <w:r w:rsidRPr="4C9C2619">
              <w:rPr>
                <w:rFonts w:ascii="Calibri" w:eastAsia="Times New Roman" w:hAnsi="Calibri" w:cs="Calibri"/>
                <w:color w:val="000000" w:themeColor="text1"/>
                <w:lang w:val="es-ES" w:eastAsia="es-CR"/>
              </w:rPr>
              <w:t>Neufeld</w:t>
            </w:r>
            <w:proofErr w:type="spellEnd"/>
            <w:r w:rsidRPr="4C9C2619">
              <w:rPr>
                <w:rFonts w:ascii="Calibri" w:eastAsia="Times New Roman" w:hAnsi="Calibri" w:cs="Calibri"/>
                <w:color w:val="000000" w:themeColor="text1"/>
                <w:lang w:val="es-ES" w:eastAsia="es-CR"/>
              </w:rPr>
              <w:t xml:space="preserve"> y Richard E. </w:t>
            </w:r>
            <w:proofErr w:type="spellStart"/>
            <w:r w:rsidRPr="4C9C2619">
              <w:rPr>
                <w:rFonts w:ascii="Calibri" w:eastAsia="Times New Roman" w:hAnsi="Calibri" w:cs="Calibri"/>
                <w:color w:val="000000" w:themeColor="text1"/>
                <w:lang w:val="es-ES" w:eastAsia="es-CR"/>
              </w:rPr>
              <w:t>DeMaris</w:t>
            </w:r>
            <w:proofErr w:type="spellEnd"/>
            <w:r w:rsidRPr="4C9C2619">
              <w:rPr>
                <w:rFonts w:ascii="Calibri" w:eastAsia="Times New Roman" w:hAnsi="Calibri" w:cs="Calibri"/>
                <w:color w:val="000000" w:themeColor="text1"/>
                <w:lang w:val="es-ES" w:eastAsia="es-CR"/>
              </w:rPr>
              <w:t>, 229-242. Estella: Verbo Divino, 2014.</w:t>
            </w:r>
            <w:r w:rsidRPr="4C9C2619">
              <w:rPr>
                <w:rFonts w:ascii="Calibri" w:eastAsia="Times New Roman" w:hAnsi="Calibri" w:cs="Calibri"/>
                <w:color w:val="0070C0"/>
                <w:lang w:val="es-ES" w:eastAsia="es-CR"/>
              </w:rPr>
              <w:t xml:space="preserve"> (clásico, última edición)</w:t>
            </w:r>
          </w:p>
          <w:p w14:paraId="36B22471" w14:textId="77777777" w:rsidR="00F65C48" w:rsidRPr="00F65C48" w:rsidRDefault="00F65C48" w:rsidP="00F65C48">
            <w:pPr>
              <w:autoSpaceDE w:val="0"/>
              <w:autoSpaceDN w:val="0"/>
              <w:adjustRightInd w:val="0"/>
              <w:rPr>
                <w:rFonts w:ascii="Calibri" w:eastAsia="Times New Roman" w:hAnsi="Calibri" w:cs="Calibri"/>
                <w:color w:val="000000"/>
                <w:lang w:val="es-ES_tradnl" w:eastAsia="es-CR"/>
              </w:rPr>
            </w:pPr>
          </w:p>
          <w:p w14:paraId="6B2CC8F5"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Guía para la participación en un foro en la plataforma Moodle</w:t>
            </w:r>
          </w:p>
          <w:p w14:paraId="30264AE7"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119" w:type="dxa"/>
          </w:tcPr>
          <w:p w14:paraId="481448F9" w14:textId="77777777" w:rsidR="00F65C48" w:rsidRPr="00F65C48" w:rsidRDefault="00F65C48" w:rsidP="00F65C48">
            <w:pPr>
              <w:widowControl w:val="0"/>
              <w:numPr>
                <w:ilvl w:val="0"/>
                <w:numId w:val="281"/>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Realizar la lectura de la sesión.</w:t>
            </w:r>
          </w:p>
          <w:p w14:paraId="4D40561E" w14:textId="77777777" w:rsidR="00F65C48" w:rsidRPr="00F65C48" w:rsidRDefault="00F65C48" w:rsidP="00F65C48">
            <w:pPr>
              <w:widowControl w:val="0"/>
              <w:numPr>
                <w:ilvl w:val="0"/>
                <w:numId w:val="281"/>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Participación en el foro temático: Honor y vergüenza en el mundo mediterráneo.</w:t>
            </w:r>
          </w:p>
        </w:tc>
      </w:tr>
      <w:tr w:rsidR="00F65C48" w:rsidRPr="00F65C48" w14:paraId="1CAE78FA" w14:textId="77777777" w:rsidTr="4C9C2619">
        <w:trPr>
          <w:jc w:val="center"/>
        </w:trPr>
        <w:tc>
          <w:tcPr>
            <w:tcW w:w="1144" w:type="dxa"/>
          </w:tcPr>
          <w:p w14:paraId="54D25EF8"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2592316D"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10</w:t>
            </w:r>
          </w:p>
        </w:tc>
        <w:tc>
          <w:tcPr>
            <w:tcW w:w="2395" w:type="dxa"/>
          </w:tcPr>
          <w:p w14:paraId="747EFA90"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4: Estructuras religiosas y filosóficas en el mundo greco-romano</w:t>
            </w:r>
          </w:p>
          <w:p w14:paraId="465F4998"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5097199E"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4.1 Religión del imperio y religión popular</w:t>
            </w:r>
          </w:p>
          <w:p w14:paraId="4FBEB497"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6222D7CD"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6DBDB03B" w14:textId="77777777" w:rsidR="00F65C48" w:rsidRPr="00F65C48" w:rsidRDefault="00F65C48" w:rsidP="00F65C48">
            <w:pPr>
              <w:autoSpaceDE w:val="0"/>
              <w:autoSpaceDN w:val="0"/>
              <w:adjustRightInd w:val="0"/>
              <w:rPr>
                <w:rFonts w:ascii="Calibri" w:eastAsia="Arial" w:hAnsi="Calibri" w:cs="Calibri"/>
                <w:lang w:val="es-ES" w:eastAsia="es-CR"/>
              </w:rPr>
            </w:pPr>
          </w:p>
          <w:p w14:paraId="211EC2B1" w14:textId="77777777" w:rsidR="00F65C48" w:rsidRPr="00F65C48" w:rsidRDefault="00F65C48" w:rsidP="00F65C48">
            <w:pPr>
              <w:autoSpaceDE w:val="0"/>
              <w:autoSpaceDN w:val="0"/>
              <w:adjustRightInd w:val="0"/>
              <w:rPr>
                <w:rFonts w:ascii="Calibri" w:eastAsia="Arial" w:hAnsi="Calibri" w:cs="Calibri"/>
                <w:lang w:val="es-ES" w:eastAsia="es-CR"/>
              </w:rPr>
            </w:pPr>
            <w:r w:rsidRPr="00F65C48">
              <w:rPr>
                <w:rFonts w:ascii="Calibri" w:eastAsia="Arial" w:hAnsi="Calibri" w:cs="Calibri"/>
                <w:lang w:val="es-ES" w:eastAsia="es-CR"/>
              </w:rPr>
              <w:t xml:space="preserve">Miquel, Esther. “Experiencias religiosas extraordinarias en los orígenes del cristianismo”. En </w:t>
            </w:r>
            <w:r w:rsidRPr="00F65C48">
              <w:rPr>
                <w:rFonts w:ascii="Calibri" w:eastAsia="Arial" w:hAnsi="Calibri" w:cs="Calibri"/>
                <w:i/>
                <w:iCs/>
                <w:lang w:val="es-ES" w:eastAsia="es-CR"/>
              </w:rPr>
              <w:t>Así vivían los primeros cristianos: evolución de las prácticas y las creencias en el cristianismo de los orígenes</w:t>
            </w:r>
            <w:r w:rsidRPr="00F65C48">
              <w:rPr>
                <w:rFonts w:ascii="Calibri" w:eastAsia="Arial" w:hAnsi="Calibri" w:cs="Calibri"/>
                <w:lang w:val="es-ES" w:eastAsia="es-CR"/>
              </w:rPr>
              <w:t xml:space="preserve">, editado por Rafael </w:t>
            </w:r>
            <w:r w:rsidRPr="00F65C48">
              <w:rPr>
                <w:rFonts w:ascii="Calibri" w:eastAsia="Arial" w:hAnsi="Calibri" w:cs="Calibri"/>
                <w:lang w:val="es-ES" w:eastAsia="es-CR"/>
              </w:rPr>
              <w:lastRenderedPageBreak/>
              <w:t>Aguirre, 19-64. Estella: Verbo Divino, 2018.</w:t>
            </w:r>
            <w:r w:rsidRPr="00F65C48">
              <w:rPr>
                <w:rFonts w:ascii="Calibri" w:eastAsia="Times New Roman" w:hAnsi="Calibri" w:cs="Calibri"/>
                <w:color w:val="0070C0"/>
                <w:szCs w:val="18"/>
                <w:lang w:val="es-ES_tradnl" w:eastAsia="es-CR"/>
              </w:rPr>
              <w:t xml:space="preserve"> (clásico, última edición)</w:t>
            </w:r>
          </w:p>
          <w:p w14:paraId="341FD280" w14:textId="77777777" w:rsidR="00F65C48" w:rsidRPr="00F65C48" w:rsidRDefault="00F65C48" w:rsidP="00F65C48">
            <w:pPr>
              <w:autoSpaceDE w:val="0"/>
              <w:autoSpaceDN w:val="0"/>
              <w:adjustRightInd w:val="0"/>
              <w:rPr>
                <w:rFonts w:ascii="Calibri" w:eastAsia="Arial" w:hAnsi="Calibri" w:cs="Calibri"/>
                <w:lang w:val="es-ES" w:eastAsia="es-CR"/>
              </w:rPr>
            </w:pPr>
          </w:p>
          <w:p w14:paraId="43DB35F1"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t>Material complementario</w:t>
            </w:r>
          </w:p>
          <w:p w14:paraId="4BB1364B"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687CA99E" w14:textId="77777777" w:rsidR="00F65C48" w:rsidRPr="00F65C48" w:rsidRDefault="4C9C2619" w:rsidP="4C9C2619">
            <w:pPr>
              <w:autoSpaceDE w:val="0"/>
              <w:autoSpaceDN w:val="0"/>
              <w:adjustRightInd w:val="0"/>
              <w:rPr>
                <w:rFonts w:ascii="Calibri" w:eastAsia="Times New Roman" w:hAnsi="Calibri" w:cs="Calibri"/>
                <w:color w:val="0070C0"/>
                <w:lang w:val="es-ES" w:eastAsia="es-CR"/>
              </w:rPr>
            </w:pPr>
            <w:r w:rsidRPr="4C9C2619">
              <w:rPr>
                <w:rFonts w:ascii="Calibri" w:eastAsia="Times New Roman" w:hAnsi="Calibri" w:cs="Calibri"/>
                <w:color w:val="0070C0"/>
                <w:lang w:val="es-ES" w:eastAsia="es-CR"/>
              </w:rPr>
              <w:t xml:space="preserve">Guía para la participación mediante la herramienta Big Blue </w:t>
            </w:r>
            <w:proofErr w:type="spellStart"/>
            <w:r w:rsidRPr="4C9C2619">
              <w:rPr>
                <w:rFonts w:ascii="Calibri" w:eastAsia="Times New Roman" w:hAnsi="Calibri" w:cs="Calibri"/>
                <w:color w:val="0070C0"/>
                <w:lang w:val="es-ES" w:eastAsia="es-CR"/>
              </w:rPr>
              <w:t>Button</w:t>
            </w:r>
            <w:proofErr w:type="spellEnd"/>
            <w:r w:rsidRPr="4C9C2619">
              <w:rPr>
                <w:rFonts w:ascii="Calibri" w:eastAsia="Times New Roman" w:hAnsi="Calibri" w:cs="Calibri"/>
                <w:color w:val="0070C0"/>
                <w:lang w:val="es-ES" w:eastAsia="es-CR"/>
              </w:rPr>
              <w:t xml:space="preserve"> en la plataforma Moodle</w:t>
            </w:r>
          </w:p>
          <w:p w14:paraId="11841274"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p>
          <w:p w14:paraId="12C4AFE1" w14:textId="77777777" w:rsidR="00F65C48" w:rsidRPr="00F65C48" w:rsidRDefault="00F65C48" w:rsidP="00F65C48">
            <w:pPr>
              <w:autoSpaceDE w:val="0"/>
              <w:autoSpaceDN w:val="0"/>
              <w:adjustRightInd w:val="0"/>
              <w:rPr>
                <w:rFonts w:ascii="Calibri" w:eastAsia="Arial" w:hAnsi="Calibri" w:cs="Calibri"/>
                <w:color w:val="0070C0"/>
                <w:lang w:val="es-ES" w:eastAsia="es-CR"/>
              </w:rPr>
            </w:pPr>
            <w:r w:rsidRPr="00F65C48">
              <w:rPr>
                <w:rFonts w:ascii="Calibri" w:eastAsia="Times New Roman" w:hAnsi="Calibri" w:cs="Calibri"/>
                <w:color w:val="0070C0"/>
                <w:lang w:val="es-ES_tradnl" w:eastAsia="es-CR"/>
              </w:rPr>
              <w:t>Guía para la elaboración de un ensayo</w:t>
            </w:r>
          </w:p>
          <w:p w14:paraId="1E9C0602"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119" w:type="dxa"/>
          </w:tcPr>
          <w:p w14:paraId="629F4833" w14:textId="77777777" w:rsidR="00F65C48" w:rsidRPr="00F65C48" w:rsidRDefault="00F65C48" w:rsidP="00F65C48">
            <w:pPr>
              <w:widowControl w:val="0"/>
              <w:numPr>
                <w:ilvl w:val="0"/>
                <w:numId w:val="282"/>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lastRenderedPageBreak/>
              <w:t>Realizar la lectura de la sesión.</w:t>
            </w:r>
          </w:p>
          <w:p w14:paraId="13A1C5B0" w14:textId="77777777" w:rsidR="00F65C48" w:rsidRPr="00F65C48" w:rsidRDefault="00F65C48" w:rsidP="00F65C48">
            <w:pPr>
              <w:widowControl w:val="0"/>
              <w:numPr>
                <w:ilvl w:val="0"/>
                <w:numId w:val="282"/>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Presentación grupal en un encuentro sincrónico virtual.</w:t>
            </w:r>
          </w:p>
          <w:p w14:paraId="4029BFC3" w14:textId="77777777" w:rsidR="00F65C48" w:rsidRPr="00F65C48" w:rsidRDefault="00F65C48" w:rsidP="00F65C48">
            <w:pPr>
              <w:widowControl w:val="0"/>
              <w:numPr>
                <w:ilvl w:val="0"/>
                <w:numId w:val="282"/>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Iniciar la elaboración del ensayo final.</w:t>
            </w:r>
          </w:p>
        </w:tc>
      </w:tr>
      <w:tr w:rsidR="00F65C48" w:rsidRPr="00F65C48" w14:paraId="4A80E120" w14:textId="77777777" w:rsidTr="4C9C2619">
        <w:trPr>
          <w:jc w:val="center"/>
        </w:trPr>
        <w:tc>
          <w:tcPr>
            <w:tcW w:w="1144" w:type="dxa"/>
          </w:tcPr>
          <w:p w14:paraId="6C63E031"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4E9C9BAE"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11</w:t>
            </w:r>
          </w:p>
        </w:tc>
        <w:tc>
          <w:tcPr>
            <w:tcW w:w="2395" w:type="dxa"/>
          </w:tcPr>
          <w:p w14:paraId="690D40FE"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4: Estructuras religiosas y filosóficas en el mundo greco-romano</w:t>
            </w:r>
          </w:p>
          <w:p w14:paraId="3C8347DC"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p>
          <w:p w14:paraId="136898DE"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4.1 Religión del imperio y religión popular</w:t>
            </w:r>
          </w:p>
          <w:p w14:paraId="2EBD3D3D"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2CE316AB"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1EE958DE" w14:textId="77777777" w:rsidR="00F65C48" w:rsidRPr="00F65C48" w:rsidRDefault="00F65C48" w:rsidP="00F65C48">
            <w:pPr>
              <w:autoSpaceDE w:val="0"/>
              <w:autoSpaceDN w:val="0"/>
              <w:adjustRightInd w:val="0"/>
              <w:rPr>
                <w:rFonts w:ascii="Calibri" w:eastAsia="Arial" w:hAnsi="Calibri" w:cs="Calibri"/>
                <w:lang w:val="es-ES" w:eastAsia="es-CR"/>
              </w:rPr>
            </w:pPr>
          </w:p>
          <w:p w14:paraId="7902FFB5" w14:textId="77777777" w:rsidR="00F65C48" w:rsidRPr="00F65C48" w:rsidRDefault="00F65C48" w:rsidP="00F65C48">
            <w:pPr>
              <w:autoSpaceDE w:val="0"/>
              <w:autoSpaceDN w:val="0"/>
              <w:adjustRightInd w:val="0"/>
              <w:rPr>
                <w:rFonts w:ascii="Calibri" w:eastAsia="Arial" w:hAnsi="Calibri" w:cs="Calibri"/>
                <w:lang w:val="es-ES" w:eastAsia="es-CR"/>
              </w:rPr>
            </w:pPr>
            <w:r w:rsidRPr="00F65C48">
              <w:rPr>
                <w:rFonts w:ascii="Calibri" w:eastAsia="Arial" w:hAnsi="Calibri" w:cs="Calibri"/>
                <w:lang w:val="es-ES" w:eastAsia="es-CR"/>
              </w:rPr>
              <w:t xml:space="preserve">Williams, </w:t>
            </w:r>
            <w:proofErr w:type="spellStart"/>
            <w:r w:rsidRPr="00F65C48">
              <w:rPr>
                <w:rFonts w:ascii="Calibri" w:eastAsia="Arial" w:hAnsi="Calibri" w:cs="Calibri"/>
                <w:lang w:val="es-ES" w:eastAsia="es-CR"/>
              </w:rPr>
              <w:t>Ritva</w:t>
            </w:r>
            <w:proofErr w:type="spellEnd"/>
            <w:r w:rsidRPr="00F65C48">
              <w:rPr>
                <w:rFonts w:ascii="Calibri" w:eastAsia="Arial" w:hAnsi="Calibri" w:cs="Calibri"/>
                <w:lang w:val="es-ES" w:eastAsia="es-CR"/>
              </w:rPr>
              <w:t xml:space="preserve">. “Pureza, suciedad, anomalías y abominaciones”. En </w:t>
            </w:r>
            <w:r w:rsidRPr="00F65C48">
              <w:rPr>
                <w:rFonts w:ascii="Calibri" w:eastAsia="Arial" w:hAnsi="Calibri" w:cs="Calibri"/>
                <w:i/>
                <w:iCs/>
                <w:lang w:val="es-ES" w:eastAsia="es-CR"/>
              </w:rPr>
              <w:t>Para entender el mundo social del Nuevo Testamento</w:t>
            </w:r>
            <w:r w:rsidRPr="00F65C48">
              <w:rPr>
                <w:rFonts w:ascii="Calibri" w:eastAsia="Arial" w:hAnsi="Calibri" w:cs="Calibri"/>
                <w:lang w:val="es-ES" w:eastAsia="es-CR"/>
              </w:rPr>
              <w:t xml:space="preserve">, editado por Dietmar </w:t>
            </w:r>
            <w:proofErr w:type="spellStart"/>
            <w:r w:rsidRPr="00F65C48">
              <w:rPr>
                <w:rFonts w:ascii="Calibri" w:eastAsia="Arial" w:hAnsi="Calibri" w:cs="Calibri"/>
                <w:lang w:val="es-ES" w:eastAsia="es-CR"/>
              </w:rPr>
              <w:t>Neufeld</w:t>
            </w:r>
            <w:proofErr w:type="spellEnd"/>
            <w:r w:rsidRPr="00F65C48">
              <w:rPr>
                <w:rFonts w:ascii="Calibri" w:eastAsia="Arial" w:hAnsi="Calibri" w:cs="Calibri"/>
                <w:lang w:val="es-ES" w:eastAsia="es-CR"/>
              </w:rPr>
              <w:t xml:space="preserve"> y Richard E. </w:t>
            </w:r>
            <w:proofErr w:type="spellStart"/>
            <w:r w:rsidRPr="00F65C48">
              <w:rPr>
                <w:rFonts w:ascii="Calibri" w:eastAsia="Arial" w:hAnsi="Calibri" w:cs="Calibri"/>
                <w:lang w:val="es-ES" w:eastAsia="es-CR"/>
              </w:rPr>
              <w:t>DeMaris</w:t>
            </w:r>
            <w:proofErr w:type="spellEnd"/>
            <w:r w:rsidRPr="00F65C48">
              <w:rPr>
                <w:rFonts w:ascii="Calibri" w:eastAsia="Arial" w:hAnsi="Calibri" w:cs="Calibri"/>
                <w:lang w:val="es-ES" w:eastAsia="es-CR"/>
              </w:rPr>
              <w:t>, 297-313. Estella: Verbo Divino, 2014.</w:t>
            </w:r>
            <w:r w:rsidRPr="00F65C48">
              <w:rPr>
                <w:rFonts w:ascii="Calibri" w:eastAsia="Times New Roman" w:hAnsi="Calibri" w:cs="Calibri"/>
                <w:color w:val="0070C0"/>
                <w:szCs w:val="18"/>
                <w:lang w:val="es-ES_tradnl" w:eastAsia="es-CR"/>
              </w:rPr>
              <w:t xml:space="preserve"> (clásico, última edición)</w:t>
            </w:r>
          </w:p>
          <w:p w14:paraId="0318B267" w14:textId="77777777" w:rsidR="00F65C48" w:rsidRPr="00F65C48" w:rsidRDefault="00F65C48" w:rsidP="00F65C48">
            <w:pPr>
              <w:autoSpaceDE w:val="0"/>
              <w:autoSpaceDN w:val="0"/>
              <w:adjustRightInd w:val="0"/>
              <w:rPr>
                <w:rFonts w:ascii="Calibri" w:eastAsia="Arial" w:hAnsi="Calibri" w:cs="Calibri"/>
                <w:lang w:val="es-ES" w:eastAsia="es-CR"/>
              </w:rPr>
            </w:pPr>
          </w:p>
          <w:p w14:paraId="6580BF68" w14:textId="77777777" w:rsidR="00F65C48" w:rsidRPr="00F65C48" w:rsidRDefault="00F65C48" w:rsidP="00F65C48">
            <w:pPr>
              <w:autoSpaceDE w:val="0"/>
              <w:autoSpaceDN w:val="0"/>
              <w:adjustRightInd w:val="0"/>
              <w:rPr>
                <w:rFonts w:ascii="Calibri" w:eastAsia="Arial" w:hAnsi="Calibri" w:cs="Calibri"/>
                <w:b/>
                <w:bCs/>
                <w:lang w:val="es-ES" w:eastAsia="es-CR"/>
              </w:rPr>
            </w:pPr>
            <w:r w:rsidRPr="00F65C48">
              <w:rPr>
                <w:rFonts w:ascii="Calibri" w:eastAsia="Arial" w:hAnsi="Calibri" w:cs="Calibri"/>
                <w:b/>
                <w:bCs/>
                <w:lang w:val="es-ES" w:eastAsia="es-CR"/>
              </w:rPr>
              <w:t>Material complementario</w:t>
            </w:r>
          </w:p>
          <w:p w14:paraId="173BD626" w14:textId="77777777" w:rsidR="00F65C48" w:rsidRPr="00F65C48" w:rsidRDefault="00F65C48" w:rsidP="00F65C48">
            <w:pPr>
              <w:autoSpaceDE w:val="0"/>
              <w:autoSpaceDN w:val="0"/>
              <w:adjustRightInd w:val="0"/>
              <w:rPr>
                <w:rFonts w:ascii="Calibri" w:eastAsia="Arial" w:hAnsi="Calibri" w:cs="Calibri"/>
                <w:b/>
                <w:bCs/>
                <w:lang w:val="es-ES" w:eastAsia="es-CR"/>
              </w:rPr>
            </w:pPr>
          </w:p>
          <w:p w14:paraId="6D93205B" w14:textId="77777777" w:rsidR="00F65C48" w:rsidRPr="00F65C48" w:rsidRDefault="00F65C48" w:rsidP="00F65C48">
            <w:pPr>
              <w:autoSpaceDE w:val="0"/>
              <w:autoSpaceDN w:val="0"/>
              <w:adjustRightInd w:val="0"/>
              <w:rPr>
                <w:rFonts w:ascii="Calibri" w:eastAsia="Times New Roman" w:hAnsi="Calibri" w:cs="Calibri"/>
                <w:szCs w:val="18"/>
                <w:lang w:val="es-ES" w:eastAsia="es-CR"/>
              </w:rPr>
            </w:pPr>
            <w:r w:rsidRPr="00F65C48">
              <w:rPr>
                <w:rFonts w:ascii="Calibri" w:eastAsia="Times New Roman" w:hAnsi="Calibri" w:cs="Calibri"/>
                <w:szCs w:val="18"/>
                <w:lang w:val="es-ES" w:eastAsia="es-CR"/>
              </w:rPr>
              <w:t xml:space="preserve">Álvarez </w:t>
            </w:r>
            <w:proofErr w:type="spellStart"/>
            <w:r w:rsidRPr="00F65C48">
              <w:rPr>
                <w:rFonts w:ascii="Calibri" w:eastAsia="Times New Roman" w:hAnsi="Calibri" w:cs="Calibri"/>
                <w:szCs w:val="18"/>
                <w:lang w:val="es-ES" w:eastAsia="es-CR"/>
              </w:rPr>
              <w:t>Ciniera</w:t>
            </w:r>
            <w:proofErr w:type="spellEnd"/>
            <w:r w:rsidRPr="00F65C48">
              <w:rPr>
                <w:rFonts w:ascii="Calibri" w:eastAsia="Times New Roman" w:hAnsi="Calibri" w:cs="Calibri"/>
                <w:szCs w:val="18"/>
                <w:lang w:val="es-ES" w:eastAsia="es-CR"/>
              </w:rPr>
              <w:t xml:space="preserve">, David. “La importancia del contexto histórico para la interpretación del Nuevo Testamento. El culto al emperador: Rom 1,3-4, una crítica velada”. En </w:t>
            </w:r>
            <w:r w:rsidRPr="00F65C48">
              <w:rPr>
                <w:rFonts w:ascii="Calibri" w:eastAsia="Times New Roman" w:hAnsi="Calibri" w:cs="Calibri"/>
                <w:i/>
                <w:iCs/>
                <w:szCs w:val="18"/>
                <w:lang w:val="es-ES" w:eastAsia="es-CR"/>
              </w:rPr>
              <w:t>El Nuevo Testamento en su contexto</w:t>
            </w:r>
            <w:r w:rsidRPr="00F65C48">
              <w:rPr>
                <w:rFonts w:ascii="Calibri" w:eastAsia="Times New Roman" w:hAnsi="Calibri" w:cs="Calibri"/>
                <w:szCs w:val="18"/>
                <w:lang w:val="es-ES" w:eastAsia="es-CR"/>
              </w:rPr>
              <w:t>, editado por Rafael Aguirre, 35-56. Estella: Verbo Divino, 2013.</w:t>
            </w:r>
            <w:r w:rsidRPr="00F65C48">
              <w:rPr>
                <w:rFonts w:ascii="Calibri" w:eastAsia="Times New Roman" w:hAnsi="Calibri" w:cs="Calibri"/>
                <w:color w:val="0070C0"/>
                <w:szCs w:val="18"/>
                <w:lang w:val="es-ES_tradnl" w:eastAsia="es-CR"/>
              </w:rPr>
              <w:t xml:space="preserve"> (clásico, última edición)</w:t>
            </w:r>
          </w:p>
          <w:p w14:paraId="404D37DF" w14:textId="77777777" w:rsidR="00F65C48" w:rsidRPr="00F65C48" w:rsidRDefault="00F65C48" w:rsidP="00F65C48">
            <w:pPr>
              <w:autoSpaceDE w:val="0"/>
              <w:autoSpaceDN w:val="0"/>
              <w:adjustRightInd w:val="0"/>
              <w:rPr>
                <w:rFonts w:ascii="Calibri" w:eastAsia="Times New Roman" w:hAnsi="Calibri" w:cs="Calibri"/>
                <w:szCs w:val="18"/>
                <w:lang w:val="es-ES" w:eastAsia="es-CR"/>
              </w:rPr>
            </w:pPr>
          </w:p>
          <w:p w14:paraId="6D6546BE" w14:textId="77777777" w:rsidR="00F65C48" w:rsidRPr="00F65C48" w:rsidRDefault="00F65C48" w:rsidP="00F65C48">
            <w:pPr>
              <w:autoSpaceDE w:val="0"/>
              <w:autoSpaceDN w:val="0"/>
              <w:adjustRightInd w:val="0"/>
              <w:rPr>
                <w:rFonts w:ascii="Calibri" w:eastAsia="Times New Roman" w:hAnsi="Calibri" w:cs="Calibri"/>
                <w:color w:val="0070C0"/>
                <w:szCs w:val="18"/>
                <w:lang w:val="es-ES" w:eastAsia="es-CR"/>
              </w:rPr>
            </w:pPr>
            <w:r w:rsidRPr="00F65C48">
              <w:rPr>
                <w:rFonts w:ascii="Calibri" w:eastAsia="Times New Roman" w:hAnsi="Calibri" w:cs="Calibri"/>
                <w:color w:val="0070C0"/>
                <w:szCs w:val="18"/>
                <w:lang w:val="es-ES" w:eastAsia="es-CR"/>
              </w:rPr>
              <w:t>Guía para la participación en un foro en la plataforma Moodle</w:t>
            </w:r>
          </w:p>
          <w:p w14:paraId="6157D3F8"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119" w:type="dxa"/>
          </w:tcPr>
          <w:p w14:paraId="016BAF22" w14:textId="77777777" w:rsidR="00F65C48" w:rsidRPr="00F65C48" w:rsidRDefault="00F65C48" w:rsidP="00F65C48">
            <w:pPr>
              <w:widowControl w:val="0"/>
              <w:numPr>
                <w:ilvl w:val="0"/>
                <w:numId w:val="283"/>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Realizar la lectura de la sesión.</w:t>
            </w:r>
          </w:p>
          <w:p w14:paraId="1B2A5D42" w14:textId="77777777" w:rsidR="00F65C48" w:rsidRPr="00F65C48" w:rsidRDefault="00F65C48" w:rsidP="00F65C48">
            <w:pPr>
              <w:widowControl w:val="0"/>
              <w:numPr>
                <w:ilvl w:val="0"/>
                <w:numId w:val="283"/>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Participación en el foro temático: Pureza e impureza como aspectos fundamentales de la religión.</w:t>
            </w:r>
          </w:p>
          <w:p w14:paraId="43485F68" w14:textId="77777777" w:rsidR="00F65C48" w:rsidRPr="00F65C48" w:rsidRDefault="00F65C48" w:rsidP="00F65C48">
            <w:pPr>
              <w:widowControl w:val="0"/>
              <w:numPr>
                <w:ilvl w:val="0"/>
                <w:numId w:val="283"/>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Continuar con la elaboración del ensayo final.</w:t>
            </w:r>
          </w:p>
        </w:tc>
      </w:tr>
      <w:tr w:rsidR="00F65C48" w:rsidRPr="00F65C48" w14:paraId="5811B7BB" w14:textId="77777777" w:rsidTr="4C9C2619">
        <w:trPr>
          <w:jc w:val="center"/>
        </w:trPr>
        <w:tc>
          <w:tcPr>
            <w:tcW w:w="1144" w:type="dxa"/>
          </w:tcPr>
          <w:p w14:paraId="4D495D98"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12986950"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12</w:t>
            </w:r>
          </w:p>
        </w:tc>
        <w:tc>
          <w:tcPr>
            <w:tcW w:w="2395" w:type="dxa"/>
          </w:tcPr>
          <w:p w14:paraId="7C0CD469"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4: Estructuras religiosas y filosóficas en el mundo greco-romano</w:t>
            </w:r>
          </w:p>
          <w:p w14:paraId="133DC2BF"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p w14:paraId="4364E3F1"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4.2 Los cultos mistéricos</w:t>
            </w:r>
          </w:p>
          <w:p w14:paraId="10896421"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01D2F5B9"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1529625F" w14:textId="77777777" w:rsidR="00F65C48" w:rsidRPr="00F65C48" w:rsidRDefault="00F65C48" w:rsidP="00F65C48">
            <w:pPr>
              <w:autoSpaceDE w:val="0"/>
              <w:autoSpaceDN w:val="0"/>
              <w:adjustRightInd w:val="0"/>
              <w:rPr>
                <w:rFonts w:ascii="Calibri" w:eastAsia="Arial" w:hAnsi="Calibri" w:cs="Calibri"/>
                <w:lang w:val="es-ES" w:eastAsia="es-CR"/>
              </w:rPr>
            </w:pPr>
          </w:p>
          <w:p w14:paraId="6FAF97C6" w14:textId="77777777" w:rsidR="00F65C48" w:rsidRPr="00F65C48" w:rsidRDefault="00F65C48" w:rsidP="00F65C48">
            <w:pPr>
              <w:autoSpaceDE w:val="0"/>
              <w:autoSpaceDN w:val="0"/>
              <w:adjustRightInd w:val="0"/>
              <w:rPr>
                <w:rFonts w:ascii="Calibri" w:eastAsia="Arial" w:hAnsi="Calibri" w:cs="Calibri"/>
                <w:lang w:val="es-ES" w:eastAsia="es-CR"/>
              </w:rPr>
            </w:pPr>
            <w:r w:rsidRPr="00F65C48">
              <w:rPr>
                <w:rFonts w:ascii="Calibri" w:eastAsia="Arial" w:hAnsi="Calibri" w:cs="Calibri"/>
                <w:lang w:val="es-ES" w:eastAsia="es-CR"/>
              </w:rPr>
              <w:t xml:space="preserve">Aguirre, Rafael. “Rito de pertenencia: comidas eucarísticas”. En </w:t>
            </w:r>
            <w:r w:rsidRPr="00F65C48">
              <w:rPr>
                <w:rFonts w:ascii="Calibri" w:eastAsia="Arial" w:hAnsi="Calibri" w:cs="Calibri"/>
                <w:i/>
                <w:iCs/>
                <w:lang w:val="es-ES" w:eastAsia="es-CR"/>
              </w:rPr>
              <w:t xml:space="preserve">Así vivían los primeros cristianos: evolución de las prácticas y las creencias en el </w:t>
            </w:r>
            <w:r w:rsidRPr="00F65C48">
              <w:rPr>
                <w:rFonts w:ascii="Calibri" w:eastAsia="Arial" w:hAnsi="Calibri" w:cs="Calibri"/>
                <w:i/>
                <w:iCs/>
                <w:lang w:val="es-ES" w:eastAsia="es-CR"/>
              </w:rPr>
              <w:lastRenderedPageBreak/>
              <w:t>cristianismo de los orígenes</w:t>
            </w:r>
            <w:r w:rsidRPr="00F65C48">
              <w:rPr>
                <w:rFonts w:ascii="Calibri" w:eastAsia="Arial" w:hAnsi="Calibri" w:cs="Calibri"/>
                <w:lang w:val="es-ES" w:eastAsia="es-CR"/>
              </w:rPr>
              <w:t>, editado por Rafael Aguirre, 157-209. Estella: Verbo Divino, 2018.</w:t>
            </w:r>
            <w:r w:rsidRPr="00F65C48">
              <w:rPr>
                <w:rFonts w:ascii="Calibri" w:eastAsia="Times New Roman" w:hAnsi="Calibri" w:cs="Calibri"/>
                <w:color w:val="0070C0"/>
                <w:szCs w:val="18"/>
                <w:lang w:val="es-ES_tradnl" w:eastAsia="es-CR"/>
              </w:rPr>
              <w:t xml:space="preserve"> (clásico, última edición)</w:t>
            </w:r>
          </w:p>
          <w:p w14:paraId="3E5E7FCA" w14:textId="77777777" w:rsidR="00F65C48" w:rsidRPr="00F65C48" w:rsidRDefault="00F65C48" w:rsidP="00F65C48">
            <w:pPr>
              <w:autoSpaceDE w:val="0"/>
              <w:autoSpaceDN w:val="0"/>
              <w:adjustRightInd w:val="0"/>
              <w:rPr>
                <w:rFonts w:ascii="Calibri" w:eastAsia="Arial" w:hAnsi="Calibri" w:cs="Calibri"/>
                <w:lang w:val="es-ES" w:eastAsia="es-CR"/>
              </w:rPr>
            </w:pPr>
          </w:p>
          <w:p w14:paraId="4A5941C6" w14:textId="77777777" w:rsidR="00F65C48" w:rsidRPr="00F65C48" w:rsidRDefault="00F65C48" w:rsidP="00F65C48">
            <w:pPr>
              <w:autoSpaceDE w:val="0"/>
              <w:autoSpaceDN w:val="0"/>
              <w:adjustRightInd w:val="0"/>
              <w:rPr>
                <w:rFonts w:ascii="Calibri" w:eastAsia="Arial" w:hAnsi="Calibri" w:cs="Calibri"/>
                <w:b/>
                <w:bCs/>
                <w:lang w:val="es-ES" w:eastAsia="es-CR"/>
              </w:rPr>
            </w:pPr>
            <w:r w:rsidRPr="00F65C48">
              <w:rPr>
                <w:rFonts w:ascii="Calibri" w:eastAsia="Arial" w:hAnsi="Calibri" w:cs="Calibri"/>
                <w:b/>
                <w:bCs/>
                <w:lang w:val="es-ES" w:eastAsia="es-CR"/>
              </w:rPr>
              <w:t>Material complementario</w:t>
            </w:r>
          </w:p>
          <w:p w14:paraId="5D3D1727" w14:textId="77777777" w:rsidR="00F65C48" w:rsidRPr="00F65C48" w:rsidRDefault="00F65C48" w:rsidP="00F65C48">
            <w:pPr>
              <w:autoSpaceDE w:val="0"/>
              <w:autoSpaceDN w:val="0"/>
              <w:adjustRightInd w:val="0"/>
              <w:rPr>
                <w:rFonts w:ascii="Calibri" w:eastAsia="Arial" w:hAnsi="Calibri" w:cs="Calibri"/>
                <w:b/>
                <w:bCs/>
                <w:lang w:val="es-ES" w:eastAsia="es-CR"/>
              </w:rPr>
            </w:pPr>
          </w:p>
          <w:p w14:paraId="0BAE254A" w14:textId="77777777" w:rsidR="00F65C48" w:rsidRPr="00F65C48" w:rsidRDefault="00F65C48" w:rsidP="00F65C48">
            <w:pPr>
              <w:autoSpaceDE w:val="0"/>
              <w:autoSpaceDN w:val="0"/>
              <w:adjustRightInd w:val="0"/>
              <w:rPr>
                <w:rFonts w:ascii="Calibri" w:eastAsia="Calibri" w:hAnsi="Calibri" w:cs="Calibri"/>
                <w:szCs w:val="18"/>
                <w:lang w:val="es-ES" w:eastAsia="es-CR"/>
              </w:rPr>
            </w:pPr>
            <w:proofErr w:type="spellStart"/>
            <w:r w:rsidRPr="00F65C48">
              <w:rPr>
                <w:rFonts w:ascii="Calibri" w:eastAsia="Calibri" w:hAnsi="Calibri" w:cs="Calibri"/>
                <w:szCs w:val="18"/>
                <w:lang w:val="es-ES" w:eastAsia="es-CR"/>
              </w:rPr>
              <w:t>Gloor</w:t>
            </w:r>
            <w:proofErr w:type="spellEnd"/>
            <w:r w:rsidRPr="00F65C48">
              <w:rPr>
                <w:rFonts w:ascii="Calibri" w:eastAsia="Calibri" w:hAnsi="Calibri" w:cs="Calibri"/>
                <w:szCs w:val="18"/>
                <w:lang w:val="es-ES" w:eastAsia="es-CR"/>
              </w:rPr>
              <w:t xml:space="preserve">, Daniel. “Los cultos mistéricos en tiempos del Nuevo Testamento”. </w:t>
            </w:r>
            <w:r w:rsidRPr="00F65C48">
              <w:rPr>
                <w:rFonts w:ascii="Calibri" w:eastAsia="Calibri" w:hAnsi="Calibri" w:cs="Calibri"/>
                <w:i/>
                <w:iCs/>
                <w:szCs w:val="18"/>
                <w:lang w:val="es-ES" w:eastAsia="es-CR"/>
              </w:rPr>
              <w:t>Aportes Bíblicos</w:t>
            </w:r>
            <w:r w:rsidRPr="00F65C48">
              <w:rPr>
                <w:rFonts w:ascii="Calibri" w:eastAsia="Calibri" w:hAnsi="Calibri" w:cs="Calibri"/>
                <w:szCs w:val="18"/>
                <w:lang w:val="es-ES" w:eastAsia="es-CR"/>
              </w:rPr>
              <w:t>, n.º 13 (2011): 9-88.</w:t>
            </w:r>
          </w:p>
          <w:p w14:paraId="32D92D7F" w14:textId="77777777" w:rsidR="00F65C48" w:rsidRPr="00F65C48" w:rsidRDefault="00F65C48" w:rsidP="00F65C48">
            <w:pPr>
              <w:autoSpaceDE w:val="0"/>
              <w:autoSpaceDN w:val="0"/>
              <w:adjustRightInd w:val="0"/>
              <w:rPr>
                <w:rFonts w:ascii="Calibri" w:eastAsia="Calibri" w:hAnsi="Calibri" w:cs="Calibri"/>
                <w:szCs w:val="18"/>
                <w:lang w:val="es-ES" w:eastAsia="es-CR"/>
              </w:rPr>
            </w:pPr>
          </w:p>
          <w:p w14:paraId="50B34205" w14:textId="77777777" w:rsidR="00F65C48" w:rsidRPr="00F65C48" w:rsidRDefault="00F65C48" w:rsidP="00F65C48">
            <w:pPr>
              <w:autoSpaceDE w:val="0"/>
              <w:autoSpaceDN w:val="0"/>
              <w:adjustRightInd w:val="0"/>
              <w:rPr>
                <w:rFonts w:ascii="Calibri" w:eastAsia="Calibri" w:hAnsi="Calibri" w:cs="Calibri"/>
                <w:color w:val="0070C0"/>
                <w:szCs w:val="18"/>
                <w:lang w:val="es-ES" w:eastAsia="es-CR"/>
              </w:rPr>
            </w:pPr>
            <w:r w:rsidRPr="00F65C48">
              <w:rPr>
                <w:rFonts w:ascii="Calibri" w:eastAsia="Calibri" w:hAnsi="Calibri" w:cs="Calibri"/>
                <w:color w:val="0070C0"/>
                <w:szCs w:val="18"/>
                <w:lang w:val="es-ES" w:eastAsia="es-CR"/>
              </w:rPr>
              <w:t xml:space="preserve">Guía para la participación mediante la herramienta Big Blue </w:t>
            </w:r>
            <w:proofErr w:type="spellStart"/>
            <w:r w:rsidRPr="00F65C48">
              <w:rPr>
                <w:rFonts w:ascii="Calibri" w:eastAsia="Calibri" w:hAnsi="Calibri" w:cs="Calibri"/>
                <w:color w:val="0070C0"/>
                <w:szCs w:val="18"/>
                <w:lang w:val="es-ES" w:eastAsia="es-CR"/>
              </w:rPr>
              <w:t>Button</w:t>
            </w:r>
            <w:proofErr w:type="spellEnd"/>
            <w:r w:rsidRPr="00F65C48">
              <w:rPr>
                <w:rFonts w:ascii="Calibri" w:eastAsia="Calibri" w:hAnsi="Calibri" w:cs="Calibri"/>
                <w:color w:val="0070C0"/>
                <w:szCs w:val="18"/>
                <w:lang w:val="es-ES" w:eastAsia="es-CR"/>
              </w:rPr>
              <w:t xml:space="preserve"> en la plataforma Moodle</w:t>
            </w:r>
          </w:p>
          <w:p w14:paraId="07F88E57"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119" w:type="dxa"/>
          </w:tcPr>
          <w:p w14:paraId="65794EE2" w14:textId="77777777" w:rsidR="00F65C48" w:rsidRPr="00F65C48" w:rsidRDefault="00F65C48" w:rsidP="00F65C48">
            <w:pPr>
              <w:widowControl w:val="0"/>
              <w:numPr>
                <w:ilvl w:val="0"/>
                <w:numId w:val="284"/>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lastRenderedPageBreak/>
              <w:t>Realizar la lectura de la sesión.</w:t>
            </w:r>
          </w:p>
          <w:p w14:paraId="79D4258A" w14:textId="77777777" w:rsidR="00F65C48" w:rsidRPr="00F65C48" w:rsidRDefault="00F65C48" w:rsidP="00F65C48">
            <w:pPr>
              <w:widowControl w:val="0"/>
              <w:numPr>
                <w:ilvl w:val="0"/>
                <w:numId w:val="284"/>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Presentación grupal en un encuentro sincrónico virtual.</w:t>
            </w:r>
          </w:p>
          <w:p w14:paraId="5AB11F7C" w14:textId="77777777" w:rsidR="00F65C48" w:rsidRPr="00F65C48" w:rsidRDefault="00F65C48" w:rsidP="00F65C48">
            <w:pPr>
              <w:widowControl w:val="0"/>
              <w:numPr>
                <w:ilvl w:val="0"/>
                <w:numId w:val="284"/>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Continuar con la elaboración del ensayo final.</w:t>
            </w:r>
          </w:p>
        </w:tc>
      </w:tr>
      <w:tr w:rsidR="00F65C48" w:rsidRPr="00F65C48" w14:paraId="59903BD1" w14:textId="77777777" w:rsidTr="4C9C2619">
        <w:trPr>
          <w:jc w:val="center"/>
        </w:trPr>
        <w:tc>
          <w:tcPr>
            <w:tcW w:w="1144" w:type="dxa"/>
          </w:tcPr>
          <w:p w14:paraId="3AC2590D"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4CDF1293"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13</w:t>
            </w:r>
          </w:p>
        </w:tc>
        <w:tc>
          <w:tcPr>
            <w:tcW w:w="2395" w:type="dxa"/>
          </w:tcPr>
          <w:p w14:paraId="24D87CDA"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4: Estructuras religiosas y filosóficas en el mundo greco-romano</w:t>
            </w:r>
          </w:p>
          <w:p w14:paraId="203A7CCE"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p w14:paraId="7ED2BADB"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4.3 Las filosofías helenísticas</w:t>
            </w:r>
          </w:p>
          <w:p w14:paraId="75576375"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348F821B"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007F105E" w14:textId="77777777" w:rsidR="00F65C48" w:rsidRPr="00F65C48" w:rsidRDefault="00F65C48" w:rsidP="00F65C48">
            <w:pPr>
              <w:autoSpaceDE w:val="0"/>
              <w:autoSpaceDN w:val="0"/>
              <w:adjustRightInd w:val="0"/>
              <w:rPr>
                <w:rFonts w:ascii="Calibri" w:eastAsia="Arial" w:hAnsi="Calibri" w:cs="Calibri"/>
                <w:lang w:val="es-ES" w:eastAsia="es-CR"/>
              </w:rPr>
            </w:pPr>
          </w:p>
          <w:p w14:paraId="25A38F5C" w14:textId="77777777" w:rsidR="00F65C48" w:rsidRPr="00F65C48" w:rsidRDefault="00F65C48" w:rsidP="00F65C48">
            <w:pPr>
              <w:autoSpaceDE w:val="0"/>
              <w:autoSpaceDN w:val="0"/>
              <w:adjustRightInd w:val="0"/>
              <w:rPr>
                <w:rFonts w:ascii="Calibri" w:eastAsia="Arial" w:hAnsi="Calibri" w:cs="Calibri"/>
                <w:lang w:val="es-ES" w:eastAsia="es-CR"/>
              </w:rPr>
            </w:pPr>
            <w:r w:rsidRPr="00F65C48">
              <w:rPr>
                <w:rFonts w:ascii="Calibri" w:eastAsia="Arial" w:hAnsi="Calibri" w:cs="Calibri"/>
                <w:lang w:val="es-ES" w:eastAsia="es-CR"/>
              </w:rPr>
              <w:t xml:space="preserve">Hurtado, Larry. “Un nuevo tipo de fe”. En </w:t>
            </w:r>
            <w:r w:rsidRPr="00F65C48">
              <w:rPr>
                <w:rFonts w:ascii="Calibri" w:eastAsia="Arial" w:hAnsi="Calibri" w:cs="Calibri"/>
                <w:i/>
                <w:iCs/>
                <w:lang w:val="es-ES" w:eastAsia="es-CR"/>
              </w:rPr>
              <w:t>Destructor de los dioses: el cristianismo en el mundo antiguo</w:t>
            </w:r>
            <w:r w:rsidRPr="00F65C48">
              <w:rPr>
                <w:rFonts w:ascii="Calibri" w:eastAsia="Arial" w:hAnsi="Calibri" w:cs="Calibri"/>
                <w:lang w:val="es-ES" w:eastAsia="es-CR"/>
              </w:rPr>
              <w:t>, 61-114</w:t>
            </w:r>
            <w:r w:rsidRPr="00F65C48">
              <w:rPr>
                <w:rFonts w:ascii="Calibri" w:eastAsia="Arial" w:hAnsi="Calibri" w:cs="Calibri"/>
                <w:i/>
                <w:iCs/>
                <w:lang w:val="es-ES" w:eastAsia="es-CR"/>
              </w:rPr>
              <w:t>.</w:t>
            </w:r>
            <w:r w:rsidRPr="00F65C48">
              <w:rPr>
                <w:rFonts w:ascii="Calibri" w:eastAsia="Arial" w:hAnsi="Calibri" w:cs="Calibri"/>
                <w:lang w:val="es-ES" w:eastAsia="es-CR"/>
              </w:rPr>
              <w:t xml:space="preserve"> Salamanca: Sígueme, 2017.</w:t>
            </w:r>
            <w:r w:rsidRPr="00F65C48">
              <w:rPr>
                <w:rFonts w:ascii="Calibri" w:eastAsia="Times New Roman" w:hAnsi="Calibri" w:cs="Calibri"/>
                <w:color w:val="0070C0"/>
                <w:szCs w:val="18"/>
                <w:lang w:val="es-ES_tradnl" w:eastAsia="es-CR"/>
              </w:rPr>
              <w:t xml:space="preserve"> (clásico, última edición)</w:t>
            </w:r>
          </w:p>
          <w:p w14:paraId="0EBF9285" w14:textId="77777777" w:rsidR="00F65C48" w:rsidRPr="00F65C48" w:rsidRDefault="00F65C48" w:rsidP="00F65C48">
            <w:pPr>
              <w:autoSpaceDE w:val="0"/>
              <w:autoSpaceDN w:val="0"/>
              <w:adjustRightInd w:val="0"/>
              <w:rPr>
                <w:rFonts w:ascii="Calibri" w:eastAsia="Arial" w:hAnsi="Calibri" w:cs="Calibri"/>
                <w:lang w:val="es-ES" w:eastAsia="es-CR"/>
              </w:rPr>
            </w:pPr>
          </w:p>
          <w:p w14:paraId="6664ABFA"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t>Material complementario</w:t>
            </w:r>
          </w:p>
          <w:p w14:paraId="3F268C18"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p>
          <w:p w14:paraId="44D95706" w14:textId="77777777" w:rsidR="00F65C48" w:rsidRPr="00F65C48" w:rsidRDefault="00F65C48" w:rsidP="00F65C48">
            <w:pPr>
              <w:autoSpaceDE w:val="0"/>
              <w:autoSpaceDN w:val="0"/>
              <w:adjustRightInd w:val="0"/>
              <w:rPr>
                <w:rFonts w:ascii="Calibri" w:eastAsia="Times New Roman" w:hAnsi="Calibri" w:cs="Calibri"/>
                <w:color w:val="0070C0"/>
                <w:szCs w:val="18"/>
                <w:lang w:val="es-ES_tradnl" w:eastAsia="es-CR"/>
              </w:rPr>
            </w:pPr>
            <w:r w:rsidRPr="00F65C48">
              <w:rPr>
                <w:rFonts w:ascii="Calibri" w:eastAsia="Times New Roman" w:hAnsi="Calibri" w:cs="Calibri"/>
                <w:color w:val="0070C0"/>
                <w:szCs w:val="18"/>
                <w:lang w:val="es-ES_tradnl" w:eastAsia="es-CR"/>
              </w:rPr>
              <w:t>Guía para la elaboración de una reseña crítica de lectura</w:t>
            </w:r>
          </w:p>
          <w:p w14:paraId="60EC6701"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119" w:type="dxa"/>
          </w:tcPr>
          <w:p w14:paraId="68388BCB" w14:textId="77777777" w:rsidR="00F65C48" w:rsidRPr="00F65C48" w:rsidRDefault="00F65C48" w:rsidP="00F65C48">
            <w:pPr>
              <w:widowControl w:val="0"/>
              <w:numPr>
                <w:ilvl w:val="0"/>
                <w:numId w:val="285"/>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Realizar la lectura de la sesión.</w:t>
            </w:r>
          </w:p>
          <w:p w14:paraId="5C57E34E" w14:textId="77777777" w:rsidR="00F65C48" w:rsidRPr="00F65C48" w:rsidRDefault="00F65C48" w:rsidP="00F65C48">
            <w:pPr>
              <w:widowControl w:val="0"/>
              <w:numPr>
                <w:ilvl w:val="0"/>
                <w:numId w:val="285"/>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Elaboración de una reseña crítica de la lectura.</w:t>
            </w:r>
          </w:p>
          <w:p w14:paraId="32B80B24" w14:textId="77777777" w:rsidR="00F65C48" w:rsidRPr="00F65C48" w:rsidRDefault="00F65C48" w:rsidP="00F65C48">
            <w:pPr>
              <w:widowControl w:val="0"/>
              <w:numPr>
                <w:ilvl w:val="0"/>
                <w:numId w:val="285"/>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Continuar con la elaboración del ensayo final.</w:t>
            </w:r>
          </w:p>
        </w:tc>
      </w:tr>
      <w:tr w:rsidR="00F65C48" w:rsidRPr="00F65C48" w14:paraId="38805BA1" w14:textId="77777777" w:rsidTr="4C9C2619">
        <w:trPr>
          <w:jc w:val="center"/>
        </w:trPr>
        <w:tc>
          <w:tcPr>
            <w:tcW w:w="1144" w:type="dxa"/>
          </w:tcPr>
          <w:p w14:paraId="0D53B5AB"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5F6D1472"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14</w:t>
            </w:r>
          </w:p>
        </w:tc>
        <w:tc>
          <w:tcPr>
            <w:tcW w:w="2395" w:type="dxa"/>
          </w:tcPr>
          <w:p w14:paraId="76B64382"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4: Estructuras religiosas y filosóficas en el mundo greco-romano</w:t>
            </w:r>
          </w:p>
          <w:p w14:paraId="4948DA39"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p w14:paraId="0AE88A43"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4.4 Presentación y discusión de los ensayos finales</w:t>
            </w:r>
          </w:p>
          <w:p w14:paraId="160CDFBE"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06F046BB"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4AD62B15"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p>
          <w:p w14:paraId="153F927B"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t>Material complementario</w:t>
            </w:r>
          </w:p>
          <w:p w14:paraId="42E347F5"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p>
          <w:p w14:paraId="244C6297" w14:textId="77777777" w:rsidR="00F65C48" w:rsidRPr="00F65C48" w:rsidRDefault="4C9C2619" w:rsidP="4C9C2619">
            <w:pPr>
              <w:autoSpaceDE w:val="0"/>
              <w:autoSpaceDN w:val="0"/>
              <w:adjustRightInd w:val="0"/>
              <w:rPr>
                <w:rFonts w:ascii="Calibri" w:eastAsia="Times New Roman" w:hAnsi="Calibri" w:cs="Calibri"/>
                <w:lang w:val="es-ES" w:eastAsia="es-CR"/>
              </w:rPr>
            </w:pPr>
            <w:r w:rsidRPr="4C9C2619">
              <w:rPr>
                <w:rFonts w:ascii="Calibri" w:eastAsia="Times New Roman" w:hAnsi="Calibri" w:cs="Calibri"/>
                <w:color w:val="0070C0"/>
                <w:lang w:val="es-ES" w:eastAsia="es-CR"/>
              </w:rPr>
              <w:t xml:space="preserve">Guía para la participación mediante la herramienta Big Blue </w:t>
            </w:r>
            <w:proofErr w:type="spellStart"/>
            <w:r w:rsidRPr="4C9C2619">
              <w:rPr>
                <w:rFonts w:ascii="Calibri" w:eastAsia="Times New Roman" w:hAnsi="Calibri" w:cs="Calibri"/>
                <w:color w:val="0070C0"/>
                <w:lang w:val="es-ES" w:eastAsia="es-CR"/>
              </w:rPr>
              <w:t>Button</w:t>
            </w:r>
            <w:proofErr w:type="spellEnd"/>
            <w:r w:rsidRPr="4C9C2619">
              <w:rPr>
                <w:rFonts w:ascii="Calibri" w:eastAsia="Times New Roman" w:hAnsi="Calibri" w:cs="Calibri"/>
                <w:color w:val="0070C0"/>
                <w:lang w:val="es-ES" w:eastAsia="es-CR"/>
              </w:rPr>
              <w:t xml:space="preserve"> en la plataforma Moodle</w:t>
            </w:r>
          </w:p>
        </w:tc>
        <w:tc>
          <w:tcPr>
            <w:tcW w:w="3119" w:type="dxa"/>
          </w:tcPr>
          <w:p w14:paraId="216EF381" w14:textId="77777777" w:rsidR="00F65C48" w:rsidRPr="00F65C48" w:rsidRDefault="00F65C48" w:rsidP="00F65C48">
            <w:pPr>
              <w:widowControl w:val="0"/>
              <w:numPr>
                <w:ilvl w:val="0"/>
                <w:numId w:val="286"/>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Presentación de un resumen oral de su ensayo final en un encuentro sincrónico virtual (según asignación docente).</w:t>
            </w:r>
          </w:p>
        </w:tc>
      </w:tr>
      <w:tr w:rsidR="00F65C48" w:rsidRPr="00F65C48" w14:paraId="572EBEAF" w14:textId="77777777" w:rsidTr="4C9C2619">
        <w:trPr>
          <w:jc w:val="center"/>
        </w:trPr>
        <w:tc>
          <w:tcPr>
            <w:tcW w:w="1144" w:type="dxa"/>
          </w:tcPr>
          <w:p w14:paraId="2F47F912"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p>
          <w:p w14:paraId="772AE940" w14:textId="77777777" w:rsidR="00F65C48" w:rsidRPr="00F65C48" w:rsidRDefault="00F65C48" w:rsidP="00F65C48">
            <w:pPr>
              <w:autoSpaceDE w:val="0"/>
              <w:autoSpaceDN w:val="0"/>
              <w:adjustRightInd w:val="0"/>
              <w:jc w:val="center"/>
              <w:rPr>
                <w:rFonts w:ascii="Calibri" w:eastAsia="Times New Roman" w:hAnsi="Calibri" w:cs="Calibri"/>
                <w:lang w:val="es-ES_tradnl" w:eastAsia="es-CR"/>
              </w:rPr>
            </w:pPr>
            <w:r w:rsidRPr="00F65C48">
              <w:rPr>
                <w:rFonts w:ascii="Calibri" w:eastAsia="Times New Roman" w:hAnsi="Calibri" w:cs="Calibri"/>
                <w:lang w:val="es-ES_tradnl" w:eastAsia="es-CR"/>
              </w:rPr>
              <w:t>15</w:t>
            </w:r>
          </w:p>
        </w:tc>
        <w:tc>
          <w:tcPr>
            <w:tcW w:w="2395" w:type="dxa"/>
          </w:tcPr>
          <w:p w14:paraId="4443218E" w14:textId="77777777" w:rsidR="00F65C48" w:rsidRPr="00F65C48" w:rsidRDefault="00F65C48" w:rsidP="00F65C48">
            <w:pPr>
              <w:autoSpaceDE w:val="0"/>
              <w:autoSpaceDN w:val="0"/>
              <w:adjustRightInd w:val="0"/>
              <w:rPr>
                <w:rFonts w:ascii="Calibri" w:eastAsia="Times New Roman" w:hAnsi="Calibri" w:cs="Calibri"/>
                <w:b/>
                <w:bCs/>
                <w:lang w:val="es-ES_tradnl" w:eastAsia="es-CR"/>
              </w:rPr>
            </w:pPr>
            <w:r w:rsidRPr="00F65C48">
              <w:rPr>
                <w:rFonts w:ascii="Calibri" w:eastAsia="Times New Roman" w:hAnsi="Calibri" w:cs="Calibri"/>
                <w:b/>
                <w:bCs/>
                <w:lang w:val="es-ES_tradnl" w:eastAsia="es-CR"/>
              </w:rPr>
              <w:t>Unidad 4: Estructuras religiosas y filosóficas en el mundo greco-romano</w:t>
            </w:r>
          </w:p>
          <w:p w14:paraId="5E6B0E3D"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p w14:paraId="4C0E2934" w14:textId="77777777" w:rsidR="00F65C48" w:rsidRPr="00F65C48" w:rsidRDefault="00F65C48" w:rsidP="00F65C48">
            <w:pPr>
              <w:autoSpaceDE w:val="0"/>
              <w:autoSpaceDN w:val="0"/>
              <w:adjustRightInd w:val="0"/>
              <w:rPr>
                <w:rFonts w:ascii="Calibri" w:eastAsia="Times New Roman" w:hAnsi="Calibri" w:cs="Calibri"/>
                <w:lang w:val="es-ES_tradnl" w:eastAsia="es-CR"/>
              </w:rPr>
            </w:pPr>
            <w:r w:rsidRPr="00F65C48">
              <w:rPr>
                <w:rFonts w:ascii="Calibri" w:eastAsia="Times New Roman" w:hAnsi="Calibri" w:cs="Calibri"/>
                <w:lang w:val="es-ES_tradnl" w:eastAsia="es-CR"/>
              </w:rPr>
              <w:t>4.4 Presentación y discusión de los ensayos finales</w:t>
            </w:r>
          </w:p>
          <w:p w14:paraId="564F9112" w14:textId="77777777" w:rsidR="00F65C48" w:rsidRPr="00F65C48" w:rsidRDefault="00F65C48" w:rsidP="00F65C48">
            <w:pPr>
              <w:autoSpaceDE w:val="0"/>
              <w:autoSpaceDN w:val="0"/>
              <w:adjustRightInd w:val="0"/>
              <w:rPr>
                <w:rFonts w:ascii="Calibri" w:eastAsia="Times New Roman" w:hAnsi="Calibri" w:cs="Calibri"/>
                <w:lang w:val="es-ES_tradnl" w:eastAsia="es-CR"/>
              </w:rPr>
            </w:pPr>
          </w:p>
        </w:tc>
        <w:tc>
          <w:tcPr>
            <w:tcW w:w="3260" w:type="dxa"/>
          </w:tcPr>
          <w:p w14:paraId="457D4FEE"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r w:rsidRPr="00F65C48">
              <w:rPr>
                <w:rFonts w:ascii="Calibri" w:eastAsia="Times New Roman" w:hAnsi="Calibri" w:cs="Calibri"/>
                <w:color w:val="0070C0"/>
                <w:lang w:val="es-ES_tradnl" w:eastAsia="es-CR"/>
              </w:rPr>
              <w:t>Ruta de aprendizaje</w:t>
            </w:r>
          </w:p>
          <w:p w14:paraId="737048FB"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p>
          <w:p w14:paraId="35ACB820"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r w:rsidRPr="00F65C48">
              <w:rPr>
                <w:rFonts w:ascii="Calibri" w:eastAsia="Times New Roman" w:hAnsi="Calibri" w:cs="Calibri"/>
                <w:b/>
                <w:bCs/>
                <w:color w:val="0070C0"/>
                <w:szCs w:val="18"/>
                <w:lang w:val="es-ES_tradnl" w:eastAsia="es-CR"/>
              </w:rPr>
              <w:t>Material complementario</w:t>
            </w:r>
          </w:p>
          <w:p w14:paraId="3E206FAD" w14:textId="77777777" w:rsidR="00F65C48" w:rsidRPr="00F65C48" w:rsidRDefault="00F65C48" w:rsidP="00F65C48">
            <w:pPr>
              <w:autoSpaceDE w:val="0"/>
              <w:autoSpaceDN w:val="0"/>
              <w:adjustRightInd w:val="0"/>
              <w:rPr>
                <w:rFonts w:ascii="Calibri" w:eastAsia="Times New Roman" w:hAnsi="Calibri" w:cs="Calibri"/>
                <w:b/>
                <w:bCs/>
                <w:color w:val="0070C0"/>
                <w:szCs w:val="18"/>
                <w:lang w:val="es-ES_tradnl" w:eastAsia="es-CR"/>
              </w:rPr>
            </w:pPr>
          </w:p>
          <w:p w14:paraId="7D6927B2" w14:textId="77777777" w:rsidR="00F65C48" w:rsidRPr="00F65C48" w:rsidRDefault="00F65C48" w:rsidP="00F65C48">
            <w:pPr>
              <w:autoSpaceDE w:val="0"/>
              <w:autoSpaceDN w:val="0"/>
              <w:adjustRightInd w:val="0"/>
              <w:rPr>
                <w:rFonts w:ascii="Calibri" w:eastAsia="Times New Roman" w:hAnsi="Calibri" w:cs="Calibri"/>
                <w:color w:val="0070C0"/>
                <w:szCs w:val="18"/>
                <w:lang w:val="es-ES_tradnl" w:eastAsia="es-CR"/>
              </w:rPr>
            </w:pPr>
            <w:r w:rsidRPr="00F65C48">
              <w:rPr>
                <w:rFonts w:ascii="Calibri" w:eastAsia="Times New Roman" w:hAnsi="Calibri" w:cs="Calibri"/>
                <w:color w:val="0070C0"/>
                <w:szCs w:val="18"/>
                <w:lang w:val="es-ES_tradnl" w:eastAsia="es-CR"/>
              </w:rPr>
              <w:t>Guía para la elaboración de un ensayo</w:t>
            </w:r>
          </w:p>
          <w:p w14:paraId="4624CE6D" w14:textId="77777777" w:rsidR="00F65C48" w:rsidRPr="00F65C48" w:rsidRDefault="00F65C48" w:rsidP="00F65C48">
            <w:pPr>
              <w:autoSpaceDE w:val="0"/>
              <w:autoSpaceDN w:val="0"/>
              <w:adjustRightInd w:val="0"/>
              <w:rPr>
                <w:rFonts w:ascii="Calibri" w:eastAsia="Times New Roman" w:hAnsi="Calibri" w:cs="Calibri"/>
                <w:color w:val="0070C0"/>
                <w:lang w:val="es-ES_tradnl" w:eastAsia="es-CR"/>
              </w:rPr>
            </w:pPr>
          </w:p>
          <w:p w14:paraId="3A1DB1D4" w14:textId="2DB82468" w:rsidR="00F65C48" w:rsidRPr="00F65C48" w:rsidRDefault="4C9C2619" w:rsidP="00860530">
            <w:pPr>
              <w:autoSpaceDE w:val="0"/>
              <w:autoSpaceDN w:val="0"/>
              <w:adjustRightInd w:val="0"/>
              <w:rPr>
                <w:rFonts w:ascii="Calibri" w:eastAsia="Times New Roman" w:hAnsi="Calibri" w:cs="Calibri"/>
                <w:color w:val="0070C0"/>
                <w:lang w:val="es-ES_tradnl" w:eastAsia="es-CR"/>
              </w:rPr>
            </w:pPr>
            <w:r w:rsidRPr="4C9C2619">
              <w:rPr>
                <w:rFonts w:ascii="Calibri" w:eastAsia="Times New Roman" w:hAnsi="Calibri" w:cs="Calibri"/>
                <w:color w:val="0070C0"/>
                <w:lang w:val="es-ES" w:eastAsia="es-CR"/>
              </w:rPr>
              <w:t xml:space="preserve">Guía para la participación mediante la herramienta Big Blue </w:t>
            </w:r>
            <w:proofErr w:type="spellStart"/>
            <w:r w:rsidRPr="4C9C2619">
              <w:rPr>
                <w:rFonts w:ascii="Calibri" w:eastAsia="Times New Roman" w:hAnsi="Calibri" w:cs="Calibri"/>
                <w:color w:val="0070C0"/>
                <w:lang w:val="es-ES" w:eastAsia="es-CR"/>
              </w:rPr>
              <w:t>Button</w:t>
            </w:r>
            <w:proofErr w:type="spellEnd"/>
            <w:r w:rsidRPr="4C9C2619">
              <w:rPr>
                <w:rFonts w:ascii="Calibri" w:eastAsia="Times New Roman" w:hAnsi="Calibri" w:cs="Calibri"/>
                <w:color w:val="0070C0"/>
                <w:lang w:val="es-ES" w:eastAsia="es-CR"/>
              </w:rPr>
              <w:t xml:space="preserve"> en la plataforma Moodle</w:t>
            </w:r>
          </w:p>
        </w:tc>
        <w:tc>
          <w:tcPr>
            <w:tcW w:w="3119" w:type="dxa"/>
          </w:tcPr>
          <w:p w14:paraId="203BD348" w14:textId="77777777" w:rsidR="00F65C48" w:rsidRPr="00F65C48" w:rsidRDefault="00F65C48" w:rsidP="00F65C48">
            <w:pPr>
              <w:widowControl w:val="0"/>
              <w:numPr>
                <w:ilvl w:val="0"/>
                <w:numId w:val="286"/>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Entrega de su ensayo final.</w:t>
            </w:r>
          </w:p>
          <w:p w14:paraId="32252CA7" w14:textId="77777777" w:rsidR="00F65C48" w:rsidRPr="00F65C48" w:rsidRDefault="00F65C48" w:rsidP="00F65C48">
            <w:pPr>
              <w:widowControl w:val="0"/>
              <w:numPr>
                <w:ilvl w:val="0"/>
                <w:numId w:val="286"/>
              </w:numPr>
              <w:overflowPunct w:val="0"/>
              <w:autoSpaceDE w:val="0"/>
              <w:autoSpaceDN w:val="0"/>
              <w:adjustRightInd w:val="0"/>
              <w:spacing w:before="120"/>
              <w:ind w:left="314"/>
              <w:contextualSpacing/>
              <w:rPr>
                <w:rFonts w:ascii="Calibri" w:eastAsia="Times New Roman" w:hAnsi="Calibri" w:cs="Calibri"/>
                <w:lang w:val="es-ES_tradnl" w:eastAsia="es-CR"/>
              </w:rPr>
            </w:pPr>
            <w:r w:rsidRPr="00F65C48">
              <w:rPr>
                <w:rFonts w:ascii="Calibri" w:eastAsia="Times New Roman" w:hAnsi="Calibri" w:cs="Calibri"/>
                <w:lang w:val="es-ES_tradnl" w:eastAsia="es-CR"/>
              </w:rPr>
              <w:t>Presentación de un resumen oral de su ensayo final en un encuentro sincrónico virtual (según asignación docente).</w:t>
            </w:r>
          </w:p>
        </w:tc>
      </w:tr>
    </w:tbl>
    <w:p w14:paraId="37562C5F" w14:textId="77777777" w:rsidR="00F65C48" w:rsidRPr="00F65C48" w:rsidRDefault="00F65C48" w:rsidP="00F65C48">
      <w:pPr>
        <w:autoSpaceDE w:val="0"/>
        <w:autoSpaceDN w:val="0"/>
        <w:adjustRightInd w:val="0"/>
        <w:spacing w:after="0" w:line="240" w:lineRule="auto"/>
        <w:jc w:val="both"/>
        <w:rPr>
          <w:rFonts w:ascii="Calibri" w:eastAsia="Times New Roman" w:hAnsi="Calibri" w:cs="Calibri"/>
          <w:b/>
          <w:bCs/>
          <w:kern w:val="0"/>
          <w:lang w:val="es-ES_tradnl" w:eastAsia="es-CR"/>
          <w14:ligatures w14:val="none"/>
        </w:rPr>
      </w:pPr>
    </w:p>
    <w:p w14:paraId="7FF10875"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F65C48">
        <w:rPr>
          <w:rFonts w:ascii="Calibri" w:eastAsia="Times New Roman" w:hAnsi="Calibri" w:cs="Calibri"/>
          <w:b/>
          <w:bCs/>
          <w:color w:val="000000"/>
          <w:kern w:val="0"/>
          <w:lang w:val="es-ES_tradnl" w:eastAsia="es-CR"/>
          <w14:ligatures w14:val="none"/>
        </w:rPr>
        <w:t>IX. Distribución de tiempo semanal</w:t>
      </w:r>
    </w:p>
    <w:p w14:paraId="5CDE6970"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65C48">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5B7FCE1E"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8784" w:type="dxa"/>
        <w:tblLook w:val="04A0" w:firstRow="1" w:lastRow="0" w:firstColumn="1" w:lastColumn="0" w:noHBand="0" w:noVBand="1"/>
      </w:tblPr>
      <w:tblGrid>
        <w:gridCol w:w="2122"/>
        <w:gridCol w:w="1417"/>
        <w:gridCol w:w="5245"/>
      </w:tblGrid>
      <w:tr w:rsidR="00F65C48" w:rsidRPr="00F65C48" w14:paraId="3117D0C1" w14:textId="77777777" w:rsidTr="4C9C2619">
        <w:tc>
          <w:tcPr>
            <w:tcW w:w="2122" w:type="dxa"/>
            <w:vAlign w:val="center"/>
          </w:tcPr>
          <w:p w14:paraId="51134C55"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65C48">
              <w:rPr>
                <w:rFonts w:ascii="Calibri" w:eastAsia="Times New Roman" w:hAnsi="Calibri" w:cs="Calibri"/>
                <w:b/>
                <w:bCs/>
                <w:color w:val="000000"/>
                <w:lang w:val="es-ES_tradnl" w:eastAsia="es-CR"/>
              </w:rPr>
              <w:t>Tipo de horas</w:t>
            </w:r>
          </w:p>
          <w:p w14:paraId="6C64473F"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65C48">
              <w:rPr>
                <w:rFonts w:ascii="Calibri" w:eastAsia="Times New Roman" w:hAnsi="Calibri" w:cs="Calibri"/>
                <w:b/>
                <w:bCs/>
                <w:color w:val="000000"/>
                <w:lang w:val="es-ES_tradnl" w:eastAsia="es-CR"/>
              </w:rPr>
              <w:t>(categoría)</w:t>
            </w:r>
          </w:p>
        </w:tc>
        <w:tc>
          <w:tcPr>
            <w:tcW w:w="1417" w:type="dxa"/>
            <w:vAlign w:val="center"/>
          </w:tcPr>
          <w:p w14:paraId="5E0E2B14"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65C48">
              <w:rPr>
                <w:rFonts w:ascii="Calibri" w:eastAsia="Times New Roman" w:hAnsi="Calibri" w:cs="Calibri"/>
                <w:b/>
                <w:bCs/>
                <w:color w:val="000000"/>
                <w:lang w:val="es-ES_tradnl" w:eastAsia="es-CR"/>
              </w:rPr>
              <w:t>Horas por semana</w:t>
            </w:r>
          </w:p>
        </w:tc>
        <w:tc>
          <w:tcPr>
            <w:tcW w:w="5245" w:type="dxa"/>
            <w:vAlign w:val="center"/>
          </w:tcPr>
          <w:p w14:paraId="60978D62"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65C48">
              <w:rPr>
                <w:rFonts w:ascii="Calibri" w:eastAsia="Times New Roman" w:hAnsi="Calibri" w:cs="Calibri"/>
                <w:b/>
                <w:bCs/>
                <w:color w:val="000000"/>
                <w:lang w:val="es-ES_tradnl" w:eastAsia="es-CR"/>
              </w:rPr>
              <w:t>Actividades relacionadas</w:t>
            </w:r>
          </w:p>
        </w:tc>
      </w:tr>
      <w:tr w:rsidR="00F65C48" w:rsidRPr="00F65C48" w14:paraId="2142BE9F" w14:textId="77777777" w:rsidTr="4C9C2619">
        <w:tc>
          <w:tcPr>
            <w:tcW w:w="2122" w:type="dxa"/>
            <w:vAlign w:val="center"/>
          </w:tcPr>
          <w:p w14:paraId="79B04205"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Horas de Estudio Individual (HEI)</w:t>
            </w:r>
          </w:p>
        </w:tc>
        <w:tc>
          <w:tcPr>
            <w:tcW w:w="1417" w:type="dxa"/>
            <w:vAlign w:val="center"/>
          </w:tcPr>
          <w:p w14:paraId="79E1A5B6"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4</w:t>
            </w:r>
          </w:p>
        </w:tc>
        <w:tc>
          <w:tcPr>
            <w:tcW w:w="5245" w:type="dxa"/>
          </w:tcPr>
          <w:p w14:paraId="609F2689" w14:textId="77777777" w:rsidR="00F65C48" w:rsidRPr="00F65C48" w:rsidRDefault="00F65C48" w:rsidP="00F65C48">
            <w:pPr>
              <w:widowControl w:val="0"/>
              <w:numPr>
                <w:ilvl w:val="0"/>
                <w:numId w:val="34"/>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Lectura de los textos (materiales en formato digital).</w:t>
            </w:r>
          </w:p>
          <w:p w14:paraId="54963381" w14:textId="77777777" w:rsidR="00F65C48" w:rsidRPr="00F65C48" w:rsidRDefault="00F65C48" w:rsidP="00F65C48">
            <w:pPr>
              <w:widowControl w:val="0"/>
              <w:numPr>
                <w:ilvl w:val="0"/>
                <w:numId w:val="34"/>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Análisis de lecturas e investigación por cuenta propia.</w:t>
            </w:r>
          </w:p>
        </w:tc>
      </w:tr>
      <w:tr w:rsidR="00F65C48" w:rsidRPr="00F65C48" w14:paraId="2C225935" w14:textId="77777777" w:rsidTr="4C9C2619">
        <w:tc>
          <w:tcPr>
            <w:tcW w:w="2122" w:type="dxa"/>
            <w:vAlign w:val="center"/>
          </w:tcPr>
          <w:p w14:paraId="18979CAD"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Horas de Trabajo Colaborativo (HTC)</w:t>
            </w:r>
          </w:p>
        </w:tc>
        <w:tc>
          <w:tcPr>
            <w:tcW w:w="1417" w:type="dxa"/>
            <w:vAlign w:val="center"/>
          </w:tcPr>
          <w:p w14:paraId="0B625432"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4</w:t>
            </w:r>
          </w:p>
        </w:tc>
        <w:tc>
          <w:tcPr>
            <w:tcW w:w="5245" w:type="dxa"/>
          </w:tcPr>
          <w:p w14:paraId="5644B03E" w14:textId="77777777" w:rsidR="00F65C48" w:rsidRPr="00F65C48" w:rsidRDefault="00F65C48" w:rsidP="00F65C48">
            <w:pPr>
              <w:widowControl w:val="0"/>
              <w:numPr>
                <w:ilvl w:val="0"/>
                <w:numId w:val="35"/>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Participación en los foros (incluye aportes personales y réplicas a los y las demás estudiantes).</w:t>
            </w:r>
          </w:p>
          <w:p w14:paraId="242A2F90" w14:textId="77777777" w:rsidR="00F65C48" w:rsidRPr="00F65C48" w:rsidRDefault="00F65C48" w:rsidP="00F65C48">
            <w:pPr>
              <w:widowControl w:val="0"/>
              <w:numPr>
                <w:ilvl w:val="0"/>
                <w:numId w:val="35"/>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Participación en los encuentros sincrónicos virtuales.</w:t>
            </w:r>
          </w:p>
          <w:p w14:paraId="016F7684" w14:textId="77777777" w:rsidR="00F65C48" w:rsidRPr="00F65C48" w:rsidRDefault="00F65C48" w:rsidP="00F65C48">
            <w:pPr>
              <w:widowControl w:val="0"/>
              <w:numPr>
                <w:ilvl w:val="0"/>
                <w:numId w:val="35"/>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Elaboración de una presentación grupal.</w:t>
            </w:r>
          </w:p>
        </w:tc>
      </w:tr>
      <w:tr w:rsidR="00F65C48" w:rsidRPr="00F65C48" w14:paraId="6C2C211D" w14:textId="77777777" w:rsidTr="4C9C2619">
        <w:tc>
          <w:tcPr>
            <w:tcW w:w="2122" w:type="dxa"/>
            <w:vAlign w:val="center"/>
          </w:tcPr>
          <w:p w14:paraId="3CC50306"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Horas de Producción Individual (HPI)</w:t>
            </w:r>
          </w:p>
        </w:tc>
        <w:tc>
          <w:tcPr>
            <w:tcW w:w="1417" w:type="dxa"/>
            <w:vAlign w:val="center"/>
          </w:tcPr>
          <w:p w14:paraId="6D11C811"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4</w:t>
            </w:r>
          </w:p>
        </w:tc>
        <w:tc>
          <w:tcPr>
            <w:tcW w:w="5245" w:type="dxa"/>
          </w:tcPr>
          <w:p w14:paraId="5E353640" w14:textId="77777777" w:rsidR="00F65C48" w:rsidRPr="00F65C48" w:rsidRDefault="00F65C48" w:rsidP="00F65C48">
            <w:pPr>
              <w:widowControl w:val="0"/>
              <w:numPr>
                <w:ilvl w:val="0"/>
                <w:numId w:val="36"/>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Elaboración de reseñas críticas de lecturas.</w:t>
            </w:r>
          </w:p>
          <w:p w14:paraId="3A6F1BAD" w14:textId="77777777" w:rsidR="00F65C48" w:rsidRPr="00F65C48" w:rsidRDefault="00F65C48" w:rsidP="00F65C48">
            <w:pPr>
              <w:widowControl w:val="0"/>
              <w:numPr>
                <w:ilvl w:val="0"/>
                <w:numId w:val="36"/>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Elaboración de un ensayo sobre</w:t>
            </w:r>
            <w:r w:rsidRPr="00F65C48">
              <w:rPr>
                <w:rFonts w:ascii="Calibri" w:eastAsia="Times New Roman" w:hAnsi="Calibri" w:cs="Calibri"/>
                <w:lang w:val="es-ES_tradnl" w:eastAsia="es-CR"/>
              </w:rPr>
              <w:t xml:space="preserve"> los modelos de análisis sociológico.</w:t>
            </w:r>
          </w:p>
          <w:p w14:paraId="5385A14D" w14:textId="77777777" w:rsidR="00F65C48" w:rsidRPr="00F65C48" w:rsidRDefault="00F65C48" w:rsidP="00F65C48">
            <w:pPr>
              <w:widowControl w:val="0"/>
              <w:numPr>
                <w:ilvl w:val="0"/>
                <w:numId w:val="36"/>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F65C48">
              <w:rPr>
                <w:rFonts w:ascii="Calibri" w:eastAsia="Times New Roman" w:hAnsi="Calibri" w:cs="Calibri"/>
                <w:lang w:val="es-ES_tradnl" w:eastAsia="es-CR"/>
              </w:rPr>
              <w:t>Elaboración de un ensayo sobre las estructuras políticas del imperio romano y Palestina.</w:t>
            </w:r>
          </w:p>
          <w:p w14:paraId="4889DE90" w14:textId="77777777" w:rsidR="00F65C48" w:rsidRPr="00F65C48" w:rsidRDefault="00F65C48" w:rsidP="00F65C48">
            <w:pPr>
              <w:widowControl w:val="0"/>
              <w:numPr>
                <w:ilvl w:val="0"/>
                <w:numId w:val="36"/>
              </w:numPr>
              <w:overflowPunct w:val="0"/>
              <w:autoSpaceDE w:val="0"/>
              <w:autoSpaceDN w:val="0"/>
              <w:adjustRightInd w:val="0"/>
              <w:spacing w:before="120"/>
              <w:contextualSpacing/>
              <w:jc w:val="both"/>
              <w:rPr>
                <w:rFonts w:ascii="Calibri" w:eastAsia="Times New Roman" w:hAnsi="Calibri" w:cs="Calibri"/>
                <w:bCs/>
                <w:color w:val="000000"/>
                <w:lang w:val="es-ES_tradnl" w:eastAsia="es-CR"/>
              </w:rPr>
            </w:pPr>
            <w:r w:rsidRPr="00F65C48">
              <w:rPr>
                <w:rFonts w:ascii="Calibri" w:eastAsia="Times New Roman" w:hAnsi="Calibri" w:cs="Calibri"/>
                <w:bCs/>
                <w:color w:val="000000"/>
                <w:lang w:val="es-ES_tradnl" w:eastAsia="es-CR"/>
              </w:rPr>
              <w:t>Elaboración de un ensayo final.</w:t>
            </w:r>
          </w:p>
        </w:tc>
      </w:tr>
      <w:tr w:rsidR="00F65C48" w:rsidRPr="00F65C48" w14:paraId="55C74822" w14:textId="77777777" w:rsidTr="4C9C2619">
        <w:tc>
          <w:tcPr>
            <w:tcW w:w="2122" w:type="dxa"/>
            <w:vAlign w:val="center"/>
          </w:tcPr>
          <w:p w14:paraId="73FF3777" w14:textId="77777777" w:rsidR="00F65C48" w:rsidRPr="00F65C48" w:rsidRDefault="4C9C2619" w:rsidP="4C9C2619">
            <w:pPr>
              <w:widowControl w:val="0"/>
              <w:overflowPunct w:val="0"/>
              <w:autoSpaceDE w:val="0"/>
              <w:autoSpaceDN w:val="0"/>
              <w:adjustRightInd w:val="0"/>
              <w:jc w:val="center"/>
              <w:rPr>
                <w:rFonts w:ascii="Calibri" w:eastAsia="Times New Roman" w:hAnsi="Calibri" w:cs="Calibri"/>
                <w:b/>
                <w:bCs/>
                <w:color w:val="000000"/>
                <w:lang w:val="es-ES" w:eastAsia="es-CR"/>
              </w:rPr>
            </w:pPr>
            <w:r w:rsidRPr="4C9C2619">
              <w:rPr>
                <w:rFonts w:ascii="Calibri" w:eastAsia="Times New Roman" w:hAnsi="Calibri" w:cs="Calibri"/>
                <w:b/>
                <w:bCs/>
                <w:color w:val="000000" w:themeColor="text1"/>
                <w:lang w:val="es-ES" w:eastAsia="es-CR"/>
              </w:rPr>
              <w:t>Total de horas (TH)</w:t>
            </w:r>
          </w:p>
        </w:tc>
        <w:tc>
          <w:tcPr>
            <w:tcW w:w="1417" w:type="dxa"/>
            <w:vAlign w:val="center"/>
          </w:tcPr>
          <w:p w14:paraId="20FFB9A8"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65C48">
              <w:rPr>
                <w:rFonts w:ascii="Calibri" w:eastAsia="Times New Roman" w:hAnsi="Calibri" w:cs="Calibri"/>
                <w:b/>
                <w:bCs/>
                <w:color w:val="000000"/>
                <w:lang w:val="es-ES_tradnl" w:eastAsia="es-CR"/>
              </w:rPr>
              <w:t>12</w:t>
            </w:r>
          </w:p>
        </w:tc>
        <w:tc>
          <w:tcPr>
            <w:tcW w:w="5245" w:type="dxa"/>
            <w:vAlign w:val="center"/>
          </w:tcPr>
          <w:p w14:paraId="0D822B64" w14:textId="77777777" w:rsidR="00F65C48" w:rsidRPr="00F65C48" w:rsidRDefault="00F65C48" w:rsidP="00F65C48">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59273204"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FB6B259" w14:textId="77777777" w:rsidR="00F65C48" w:rsidRPr="00F65C48" w:rsidRDefault="00F65C48"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2EE4D394"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B95A70A"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735EF0B"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B204C9E"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1281826"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6A333FF8"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B2A08F3"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6A635C9"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16A1BE3"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6EBCB252"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811F258" w14:textId="77777777" w:rsidR="00F65C48" w:rsidRPr="00F65C48" w:rsidRDefault="00F65C48" w:rsidP="00F65C48">
      <w:pPr>
        <w:rPr>
          <w:rFonts w:ascii="Calibri" w:eastAsia="Times New Roman" w:hAnsi="Calibri" w:cs="Calibri"/>
          <w:b/>
          <w:bCs/>
          <w:kern w:val="0"/>
          <w:lang w:val="es-ES_tradnl" w:eastAsia="es-CR"/>
          <w14:ligatures w14:val="none"/>
        </w:rPr>
      </w:pPr>
      <w:r w:rsidRPr="00F65C48">
        <w:rPr>
          <w:rFonts w:ascii="Calibri" w:eastAsia="Times New Roman" w:hAnsi="Calibri" w:cs="Calibri"/>
          <w:b/>
          <w:bCs/>
          <w:kern w:val="0"/>
          <w:lang w:val="es-ES_tradnl" w:eastAsia="es-CR"/>
          <w14:ligatures w14:val="none"/>
        </w:rPr>
        <w:t>X. Evaluación</w:t>
      </w:r>
    </w:p>
    <w:p w14:paraId="438AEBDE" w14:textId="77777777" w:rsidR="00F65C48" w:rsidRPr="00F65C48" w:rsidRDefault="00F65C48"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tareas y estrategias de aprendizaje propuestas en el curso coadyuvarán a realizar la evaluación sobre aquellos aspectos que muestren el crecimiento de los y las estudiantes mediante el uso de rúbricas de evaluación diseñadas para tales efectos. El curso se aprueba con una nota mínima de 7.00 (siete en escala decimal). Los porcentajes asignados a cada rubro evaluativo del curso son los siguientes:</w:t>
      </w:r>
    </w:p>
    <w:p w14:paraId="43876B94"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3D36F4FE" w14:textId="77777777" w:rsidR="00F65C48" w:rsidRPr="00F65C48" w:rsidRDefault="00F65C48" w:rsidP="00F65C48">
      <w:pPr>
        <w:autoSpaceDE w:val="0"/>
        <w:autoSpaceDN w:val="0"/>
        <w:adjustRightInd w:val="0"/>
        <w:spacing w:after="0" w:line="240" w:lineRule="auto"/>
        <w:jc w:val="both"/>
        <w:rPr>
          <w:rFonts w:ascii="Calibri" w:eastAsia="Calibri" w:hAnsi="Calibri" w:cs="Calibri"/>
          <w:bCs/>
          <w:color w:val="00B050"/>
          <w:kern w:val="0"/>
          <w14:ligatures w14:val="none"/>
        </w:rPr>
      </w:pPr>
    </w:p>
    <w:tbl>
      <w:tblPr>
        <w:tblW w:w="9271" w:type="dxa"/>
        <w:jc w:val="center"/>
        <w:tblLayout w:type="fixed"/>
        <w:tblLook w:val="04A0" w:firstRow="1" w:lastRow="0" w:firstColumn="1" w:lastColumn="0" w:noHBand="0" w:noVBand="1"/>
      </w:tblPr>
      <w:tblGrid>
        <w:gridCol w:w="7965"/>
        <w:gridCol w:w="1306"/>
      </w:tblGrid>
      <w:tr w:rsidR="00F65C48" w:rsidRPr="00F65C48" w14:paraId="37A47695" w14:textId="77777777" w:rsidTr="00F65C48">
        <w:trPr>
          <w:trHeight w:val="263"/>
          <w:jc w:val="center"/>
        </w:trPr>
        <w:tc>
          <w:tcPr>
            <w:tcW w:w="9271"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tcPr>
          <w:p w14:paraId="00618127" w14:textId="77777777" w:rsidR="00F65C48" w:rsidRPr="00F65C48" w:rsidRDefault="00F65C48" w:rsidP="00F65C48">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F65C48">
              <w:rPr>
                <w:rFonts w:ascii="Calibri" w:eastAsia="Arial" w:hAnsi="Calibri" w:cs="Calibri"/>
                <w:b/>
                <w:bCs/>
                <w:kern w:val="0"/>
                <w:lang w:val="es-ES_tradnl" w:eastAsia="es-CR"/>
                <w14:ligatures w14:val="none"/>
              </w:rPr>
              <w:t>Síntesis cuantitativa de la evaluación</w:t>
            </w:r>
          </w:p>
        </w:tc>
      </w:tr>
      <w:tr w:rsidR="00F65C48" w:rsidRPr="00F65C48" w14:paraId="41BD5BB5" w14:textId="77777777" w:rsidTr="00F65C48">
        <w:trPr>
          <w:trHeight w:val="660"/>
          <w:jc w:val="center"/>
        </w:trPr>
        <w:tc>
          <w:tcPr>
            <w:tcW w:w="7965"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3B65FB90"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F65C48">
              <w:rPr>
                <w:rFonts w:ascii="Calibri" w:eastAsia="Arial" w:hAnsi="Calibri" w:cs="Calibri"/>
                <w:b/>
                <w:bCs/>
                <w:kern w:val="0"/>
                <w:lang w:val="es-ES_tradnl" w:eastAsia="es-CR"/>
                <w14:ligatures w14:val="none"/>
              </w:rPr>
              <w:t>Rubros para evaluar</w:t>
            </w:r>
          </w:p>
        </w:tc>
        <w:tc>
          <w:tcPr>
            <w:tcW w:w="1306" w:type="dxa"/>
            <w:tcBorders>
              <w:top w:val="nil"/>
              <w:left w:val="single" w:sz="8" w:space="0" w:color="000000"/>
              <w:bottom w:val="single" w:sz="8" w:space="0" w:color="000000"/>
              <w:right w:val="single" w:sz="8" w:space="0" w:color="000000"/>
            </w:tcBorders>
            <w:tcMar>
              <w:left w:w="108" w:type="dxa"/>
              <w:right w:w="108" w:type="dxa"/>
            </w:tcMar>
            <w:vAlign w:val="center"/>
          </w:tcPr>
          <w:p w14:paraId="52708579" w14:textId="77777777" w:rsidR="00F65C48" w:rsidRPr="00F65C48" w:rsidRDefault="00F65C48" w:rsidP="00F65C48">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F65C48">
              <w:rPr>
                <w:rFonts w:ascii="Calibri" w:eastAsia="Arial" w:hAnsi="Calibri" w:cs="Calibri"/>
                <w:b/>
                <w:bCs/>
                <w:kern w:val="0"/>
                <w:lang w:val="es-ES_tradnl" w:eastAsia="es-CR"/>
                <w14:ligatures w14:val="none"/>
              </w:rPr>
              <w:t>Porcentaje total</w:t>
            </w:r>
          </w:p>
        </w:tc>
      </w:tr>
      <w:tr w:rsidR="00F65C48" w:rsidRPr="00F65C48" w14:paraId="3C4D7FAD" w14:textId="77777777" w:rsidTr="00F65C48">
        <w:trPr>
          <w:trHeight w:val="787"/>
          <w:jc w:val="center"/>
        </w:trPr>
        <w:tc>
          <w:tcPr>
            <w:tcW w:w="7965"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874060C"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Arial" w:hAnsi="Calibri" w:cs="Calibri"/>
                <w:b/>
                <w:bCs/>
                <w:color w:val="0070C0"/>
                <w:kern w:val="0"/>
                <w:lang w:val="es-ES_tradnl" w:eastAsia="es-CR"/>
                <w14:ligatures w14:val="none"/>
              </w:rPr>
            </w:pPr>
            <w:r w:rsidRPr="00F65C48">
              <w:rPr>
                <w:rFonts w:ascii="Calibri" w:eastAsia="Arial" w:hAnsi="Calibri" w:cs="Calibri"/>
                <w:b/>
                <w:bCs/>
                <w:i/>
                <w:iCs/>
                <w:color w:val="0070C0"/>
                <w:kern w:val="0"/>
                <w:lang w:val="es-ES_tradnl" w:eastAsia="es-CR"/>
                <w14:ligatures w14:val="none"/>
              </w:rPr>
              <w:t>Encuentros sincrónicos virtuales</w:t>
            </w:r>
          </w:p>
          <w:p w14:paraId="3618C54A"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Arial" w:hAnsi="Calibri" w:cs="Calibri"/>
                <w:b/>
                <w:bCs/>
                <w:color w:val="0070C0"/>
                <w:kern w:val="0"/>
                <w:lang w:val="es-ES_tradnl" w:eastAsia="es-CR"/>
                <w14:ligatures w14:val="none"/>
              </w:rPr>
            </w:pPr>
            <w:r w:rsidRPr="00F65C48">
              <w:rPr>
                <w:rFonts w:ascii="Calibri" w:eastAsia="Times New Roman" w:hAnsi="Calibri" w:cs="Calibri"/>
                <w:color w:val="0070C0"/>
                <w:kern w:val="0"/>
                <w:lang w:val="es-ES_tradnl" w:eastAsia="es-CR"/>
                <w14:ligatures w14:val="none"/>
              </w:rPr>
              <w:t>Se llevan a cabo en las sesiones 1, 6, 8, 10, 12, 14 y 15. Tienen un valor formativo y no sumativo.</w:t>
            </w:r>
          </w:p>
        </w:tc>
        <w:tc>
          <w:tcPr>
            <w:tcW w:w="1306" w:type="dxa"/>
            <w:tcBorders>
              <w:top w:val="nil"/>
              <w:left w:val="single" w:sz="8" w:space="0" w:color="000000"/>
              <w:bottom w:val="single" w:sz="8" w:space="0" w:color="000000"/>
              <w:right w:val="single" w:sz="8" w:space="0" w:color="000000"/>
            </w:tcBorders>
            <w:tcMar>
              <w:left w:w="108" w:type="dxa"/>
              <w:right w:w="108" w:type="dxa"/>
            </w:tcMar>
            <w:vAlign w:val="center"/>
          </w:tcPr>
          <w:p w14:paraId="6F5573EF" w14:textId="77777777" w:rsidR="00F65C48" w:rsidRPr="00F65C48" w:rsidRDefault="00F65C48" w:rsidP="00F65C48">
            <w:pPr>
              <w:widowControl w:val="0"/>
              <w:overflowPunct w:val="0"/>
              <w:autoSpaceDE w:val="0"/>
              <w:autoSpaceDN w:val="0"/>
              <w:adjustRightInd w:val="0"/>
              <w:spacing w:before="120" w:after="0" w:line="240" w:lineRule="auto"/>
              <w:jc w:val="center"/>
              <w:rPr>
                <w:rFonts w:ascii="Calibri" w:eastAsia="Arial" w:hAnsi="Calibri" w:cs="Calibri"/>
                <w:color w:val="0070C0"/>
                <w:kern w:val="0"/>
                <w:lang w:val="es-ES_tradnl" w:eastAsia="es-CR"/>
                <w14:ligatures w14:val="none"/>
              </w:rPr>
            </w:pPr>
            <w:r w:rsidRPr="00F65C48">
              <w:rPr>
                <w:rFonts w:ascii="Calibri" w:eastAsia="Times New Roman" w:hAnsi="Calibri" w:cs="Calibri"/>
                <w:color w:val="0070C0"/>
                <w:kern w:val="0"/>
                <w:lang w:val="es-ES_tradnl" w:eastAsia="es-CR"/>
                <w14:ligatures w14:val="none"/>
              </w:rPr>
              <w:t>̶</w:t>
            </w:r>
          </w:p>
        </w:tc>
      </w:tr>
      <w:tr w:rsidR="00F65C48" w:rsidRPr="00F65C48" w14:paraId="5C9F72E5" w14:textId="77777777" w:rsidTr="00F65C48">
        <w:trPr>
          <w:trHeight w:val="533"/>
          <w:jc w:val="center"/>
        </w:trPr>
        <w:tc>
          <w:tcPr>
            <w:tcW w:w="7965"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0427E066"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Arial" w:hAnsi="Calibri" w:cs="Calibri"/>
                <w:b/>
                <w:bCs/>
                <w:i/>
                <w:iCs/>
                <w:kern w:val="0"/>
                <w:lang w:val="es-ES_tradnl" w:eastAsia="es-CR"/>
                <w14:ligatures w14:val="none"/>
              </w:rPr>
            </w:pPr>
            <w:r w:rsidRPr="00F65C48">
              <w:rPr>
                <w:rFonts w:ascii="Calibri" w:eastAsia="Arial" w:hAnsi="Calibri" w:cs="Calibri"/>
                <w:b/>
                <w:bCs/>
                <w:i/>
                <w:iCs/>
                <w:kern w:val="0"/>
                <w:lang w:val="es-ES_tradnl" w:eastAsia="es-CR"/>
                <w14:ligatures w14:val="none"/>
              </w:rPr>
              <w:t>Foros temáticos</w:t>
            </w:r>
          </w:p>
          <w:p w14:paraId="08D866A6"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Arial" w:hAnsi="Calibri" w:cs="Calibri"/>
                <w:kern w:val="0"/>
                <w:lang w:val="es-ES_tradnl" w:eastAsia="es-CR"/>
                <w14:ligatures w14:val="none"/>
              </w:rPr>
            </w:pPr>
            <w:r w:rsidRPr="00F65C48">
              <w:rPr>
                <w:rFonts w:ascii="Calibri" w:eastAsia="Arial" w:hAnsi="Calibri" w:cs="Calibri"/>
                <w:kern w:val="0"/>
                <w:lang w:val="es-ES_tradnl" w:eastAsia="es-CR"/>
                <w14:ligatures w14:val="none"/>
              </w:rPr>
              <w:t>Se desarrollan en las sesiones 2, 4, 7, 9 y 11. Cada foro tiene un valor de 5%.</w:t>
            </w:r>
          </w:p>
        </w:tc>
        <w:tc>
          <w:tcPr>
            <w:tcW w:w="1306" w:type="dxa"/>
            <w:tcBorders>
              <w:top w:val="nil"/>
              <w:left w:val="single" w:sz="8" w:space="0" w:color="000000"/>
              <w:bottom w:val="single" w:sz="8" w:space="0" w:color="000000"/>
              <w:right w:val="single" w:sz="8" w:space="0" w:color="000000"/>
            </w:tcBorders>
            <w:tcMar>
              <w:left w:w="108" w:type="dxa"/>
              <w:right w:w="108" w:type="dxa"/>
            </w:tcMar>
            <w:vAlign w:val="center"/>
          </w:tcPr>
          <w:p w14:paraId="70E6AD9E" w14:textId="77777777" w:rsidR="00F65C48" w:rsidRPr="00F65C48" w:rsidRDefault="00F65C48" w:rsidP="00F65C48">
            <w:pPr>
              <w:widowControl w:val="0"/>
              <w:overflowPunct w:val="0"/>
              <w:autoSpaceDE w:val="0"/>
              <w:autoSpaceDN w:val="0"/>
              <w:adjustRightInd w:val="0"/>
              <w:spacing w:before="120" w:after="0" w:line="240" w:lineRule="auto"/>
              <w:jc w:val="center"/>
              <w:rPr>
                <w:rFonts w:ascii="Calibri" w:eastAsia="Arial" w:hAnsi="Calibri" w:cs="Calibri"/>
                <w:kern w:val="0"/>
                <w:lang w:val="es-ES_tradnl" w:eastAsia="es-CR"/>
                <w14:ligatures w14:val="none"/>
              </w:rPr>
            </w:pPr>
            <w:r w:rsidRPr="00F65C48">
              <w:rPr>
                <w:rFonts w:ascii="Calibri" w:eastAsia="Arial" w:hAnsi="Calibri" w:cs="Calibri"/>
                <w:kern w:val="0"/>
                <w:lang w:val="es-ES_tradnl" w:eastAsia="es-CR"/>
                <w14:ligatures w14:val="none"/>
              </w:rPr>
              <w:t>25%</w:t>
            </w:r>
          </w:p>
        </w:tc>
      </w:tr>
      <w:tr w:rsidR="00F65C48" w:rsidRPr="00F65C48" w14:paraId="2EC1A632" w14:textId="77777777" w:rsidTr="00F65C48">
        <w:trPr>
          <w:trHeight w:val="533"/>
          <w:jc w:val="center"/>
        </w:trPr>
        <w:tc>
          <w:tcPr>
            <w:tcW w:w="7965"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C0795A1"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Arial" w:hAnsi="Calibri" w:cs="Calibri"/>
                <w:b/>
                <w:bCs/>
                <w:i/>
                <w:iCs/>
                <w:kern w:val="0"/>
                <w:lang w:val="es-ES_tradnl" w:eastAsia="es-CR"/>
                <w14:ligatures w14:val="none"/>
              </w:rPr>
            </w:pPr>
            <w:r w:rsidRPr="00F65C48">
              <w:rPr>
                <w:rFonts w:ascii="Calibri" w:eastAsia="Arial" w:hAnsi="Calibri" w:cs="Calibri"/>
                <w:b/>
                <w:bCs/>
                <w:i/>
                <w:iCs/>
                <w:kern w:val="0"/>
                <w:lang w:val="es-ES_tradnl" w:eastAsia="es-CR"/>
                <w14:ligatures w14:val="none"/>
              </w:rPr>
              <w:t>Reseñas críticas de lecturas</w:t>
            </w:r>
          </w:p>
          <w:p w14:paraId="7A04248A"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Arial" w:hAnsi="Calibri" w:cs="Calibri"/>
                <w:kern w:val="0"/>
                <w:lang w:val="es-ES_tradnl" w:eastAsia="es-CR"/>
                <w14:ligatures w14:val="none"/>
              </w:rPr>
            </w:pPr>
            <w:r w:rsidRPr="00F65C48">
              <w:rPr>
                <w:rFonts w:ascii="Calibri" w:eastAsia="Arial" w:hAnsi="Calibri" w:cs="Calibri"/>
                <w:kern w:val="0"/>
                <w:lang w:val="es-ES_tradnl" w:eastAsia="es-CR"/>
                <w14:ligatures w14:val="none"/>
              </w:rPr>
              <w:t>Se elaboran en las sesiones 3 y 13. Cada reseña tiene un valor de 5%.</w:t>
            </w:r>
          </w:p>
        </w:tc>
        <w:tc>
          <w:tcPr>
            <w:tcW w:w="1306" w:type="dxa"/>
            <w:tcBorders>
              <w:top w:val="nil"/>
              <w:left w:val="single" w:sz="8" w:space="0" w:color="000000"/>
              <w:bottom w:val="single" w:sz="8" w:space="0" w:color="000000"/>
              <w:right w:val="single" w:sz="8" w:space="0" w:color="000000"/>
            </w:tcBorders>
            <w:tcMar>
              <w:left w:w="108" w:type="dxa"/>
              <w:right w:w="108" w:type="dxa"/>
            </w:tcMar>
            <w:vAlign w:val="center"/>
          </w:tcPr>
          <w:p w14:paraId="0BFAC76F" w14:textId="77777777" w:rsidR="00F65C48" w:rsidRPr="00F65C48" w:rsidRDefault="00F65C48" w:rsidP="00F65C48">
            <w:pPr>
              <w:widowControl w:val="0"/>
              <w:overflowPunct w:val="0"/>
              <w:autoSpaceDE w:val="0"/>
              <w:autoSpaceDN w:val="0"/>
              <w:adjustRightInd w:val="0"/>
              <w:spacing w:before="120" w:after="0" w:line="240" w:lineRule="auto"/>
              <w:jc w:val="center"/>
              <w:rPr>
                <w:rFonts w:ascii="Calibri" w:eastAsia="Arial" w:hAnsi="Calibri" w:cs="Calibri"/>
                <w:kern w:val="0"/>
                <w:lang w:val="es-ES_tradnl" w:eastAsia="es-CR"/>
                <w14:ligatures w14:val="none"/>
              </w:rPr>
            </w:pPr>
            <w:r w:rsidRPr="00F65C48">
              <w:rPr>
                <w:rFonts w:ascii="Calibri" w:eastAsia="Arial" w:hAnsi="Calibri" w:cs="Calibri"/>
                <w:kern w:val="0"/>
                <w:lang w:val="es-ES_tradnl" w:eastAsia="es-CR"/>
                <w14:ligatures w14:val="none"/>
              </w:rPr>
              <w:t>10%</w:t>
            </w:r>
          </w:p>
        </w:tc>
      </w:tr>
      <w:tr w:rsidR="00F65C48" w:rsidRPr="00F65C48" w14:paraId="13B95764" w14:textId="77777777" w:rsidTr="00F65C48">
        <w:trPr>
          <w:trHeight w:val="1273"/>
          <w:jc w:val="center"/>
        </w:trPr>
        <w:tc>
          <w:tcPr>
            <w:tcW w:w="7965"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611A0D5"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Arial" w:hAnsi="Calibri" w:cs="Calibri"/>
                <w:b/>
                <w:bCs/>
                <w:i/>
                <w:iCs/>
                <w:kern w:val="0"/>
                <w:lang w:val="es-ES_tradnl" w:eastAsia="es-CR"/>
                <w14:ligatures w14:val="none"/>
              </w:rPr>
            </w:pPr>
            <w:r w:rsidRPr="00F65C48">
              <w:rPr>
                <w:rFonts w:ascii="Calibri" w:eastAsia="Arial" w:hAnsi="Calibri" w:cs="Calibri"/>
                <w:b/>
                <w:bCs/>
                <w:i/>
                <w:iCs/>
                <w:kern w:val="0"/>
                <w:lang w:val="es-ES_tradnl" w:eastAsia="es-CR"/>
                <w14:ligatures w14:val="none"/>
              </w:rPr>
              <w:t>Ensayos parciales</w:t>
            </w:r>
          </w:p>
          <w:p w14:paraId="7D53EEF5"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Arial" w:hAnsi="Calibri" w:cs="Calibri"/>
                <w:kern w:val="0"/>
                <w:lang w:val="es-ES_tradnl" w:eastAsia="es-CR"/>
                <w14:ligatures w14:val="none"/>
              </w:rPr>
            </w:pPr>
            <w:r w:rsidRPr="00F65C48">
              <w:rPr>
                <w:rFonts w:ascii="Calibri" w:eastAsia="Arial" w:hAnsi="Calibri" w:cs="Calibri"/>
                <w:kern w:val="0"/>
                <w:lang w:val="es-ES_tradnl" w:eastAsia="es-CR"/>
                <w14:ligatures w14:val="none"/>
              </w:rPr>
              <w:t>Se elaboran dos ensayos, cada uno tiene un valor de 10% y se distribuyen de la siguiente forma:</w:t>
            </w:r>
          </w:p>
          <w:p w14:paraId="18031635"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kern w:val="0"/>
                <w:lang w:val="es-ES_tradnl" w:eastAsia="es-CR"/>
                <w14:ligatures w14:val="none"/>
              </w:rPr>
            </w:pPr>
            <w:r w:rsidRPr="00F65C48">
              <w:rPr>
                <w:rFonts w:ascii="Calibri" w:eastAsia="Arial" w:hAnsi="Calibri" w:cs="Calibri"/>
                <w:kern w:val="0"/>
                <w:lang w:val="es-ES_tradnl" w:eastAsia="es-CR"/>
                <w14:ligatures w14:val="none"/>
              </w:rPr>
              <w:t xml:space="preserve">- Ensayo </w:t>
            </w:r>
            <w:r w:rsidRPr="00F65C48">
              <w:rPr>
                <w:rFonts w:ascii="Calibri" w:eastAsia="Times New Roman" w:hAnsi="Calibri" w:cs="Calibri"/>
                <w:bCs/>
                <w:color w:val="000000"/>
                <w:kern w:val="0"/>
                <w:lang w:val="es-ES_tradnl" w:eastAsia="es-CR"/>
                <w14:ligatures w14:val="none"/>
              </w:rPr>
              <w:t>sobre</w:t>
            </w:r>
            <w:r w:rsidRPr="00F65C48">
              <w:rPr>
                <w:rFonts w:ascii="Calibri" w:eastAsia="Times New Roman" w:hAnsi="Calibri" w:cs="Calibri"/>
                <w:kern w:val="0"/>
                <w:lang w:val="es-ES_tradnl" w:eastAsia="es-CR"/>
                <w14:ligatures w14:val="none"/>
              </w:rPr>
              <w:t xml:space="preserve"> los modelos de análisis sociológico (sesiones 2 a la 5).</w:t>
            </w:r>
          </w:p>
          <w:p w14:paraId="4977A3A1"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Arial" w:hAnsi="Calibri" w:cs="Calibri"/>
                <w:kern w:val="0"/>
                <w:lang w:val="es-ES_tradnl" w:eastAsia="es-CR"/>
                <w14:ligatures w14:val="none"/>
              </w:rPr>
            </w:pPr>
            <w:r w:rsidRPr="00F65C48">
              <w:rPr>
                <w:rFonts w:ascii="Calibri" w:eastAsia="Times New Roman" w:hAnsi="Calibri" w:cs="Calibri"/>
                <w:kern w:val="0"/>
                <w:lang w:val="es-ES_tradnl" w:eastAsia="es-CR"/>
                <w14:ligatures w14:val="none"/>
              </w:rPr>
              <w:t>- Ensayo sobre las estructuras políticas del imperio romano y Palestina (sesiones 6 y 7).</w:t>
            </w:r>
          </w:p>
        </w:tc>
        <w:tc>
          <w:tcPr>
            <w:tcW w:w="1306" w:type="dxa"/>
            <w:tcBorders>
              <w:top w:val="nil"/>
              <w:left w:val="single" w:sz="8" w:space="0" w:color="000000"/>
              <w:bottom w:val="single" w:sz="8" w:space="0" w:color="000000"/>
              <w:right w:val="single" w:sz="8" w:space="0" w:color="000000"/>
            </w:tcBorders>
            <w:tcMar>
              <w:left w:w="108" w:type="dxa"/>
              <w:right w:w="108" w:type="dxa"/>
            </w:tcMar>
            <w:vAlign w:val="center"/>
          </w:tcPr>
          <w:p w14:paraId="0DCD300F" w14:textId="77777777" w:rsidR="00F65C48" w:rsidRPr="00F65C48" w:rsidRDefault="00F65C48" w:rsidP="00F65C48">
            <w:pPr>
              <w:widowControl w:val="0"/>
              <w:overflowPunct w:val="0"/>
              <w:autoSpaceDE w:val="0"/>
              <w:autoSpaceDN w:val="0"/>
              <w:adjustRightInd w:val="0"/>
              <w:spacing w:before="120" w:after="0" w:line="240" w:lineRule="auto"/>
              <w:jc w:val="center"/>
              <w:rPr>
                <w:rFonts w:ascii="Calibri" w:eastAsia="Arial" w:hAnsi="Calibri" w:cs="Calibri"/>
                <w:kern w:val="0"/>
                <w:lang w:val="es-ES_tradnl" w:eastAsia="es-CR"/>
                <w14:ligatures w14:val="none"/>
              </w:rPr>
            </w:pPr>
            <w:r w:rsidRPr="00F65C48">
              <w:rPr>
                <w:rFonts w:ascii="Calibri" w:eastAsia="Arial" w:hAnsi="Calibri" w:cs="Calibri"/>
                <w:kern w:val="0"/>
                <w:lang w:val="es-ES_tradnl" w:eastAsia="es-CR"/>
                <w14:ligatures w14:val="none"/>
              </w:rPr>
              <w:t>20%</w:t>
            </w:r>
          </w:p>
        </w:tc>
      </w:tr>
      <w:tr w:rsidR="00F65C48" w:rsidRPr="00F65C48" w14:paraId="60D9DE5C" w14:textId="77777777" w:rsidTr="00F65C48">
        <w:trPr>
          <w:trHeight w:val="749"/>
          <w:jc w:val="center"/>
        </w:trPr>
        <w:tc>
          <w:tcPr>
            <w:tcW w:w="7965"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85A43AF" w14:textId="77777777" w:rsidR="00F65C48" w:rsidRPr="00F65C48" w:rsidRDefault="00F65C48" w:rsidP="00F65C48">
            <w:pPr>
              <w:widowControl w:val="0"/>
              <w:tabs>
                <w:tab w:val="left" w:pos="1118"/>
              </w:tabs>
              <w:overflowPunct w:val="0"/>
              <w:autoSpaceDE w:val="0"/>
              <w:autoSpaceDN w:val="0"/>
              <w:adjustRightInd w:val="0"/>
              <w:spacing w:after="0" w:line="240" w:lineRule="auto"/>
              <w:jc w:val="both"/>
              <w:rPr>
                <w:rFonts w:ascii="Calibri" w:eastAsia="Arial" w:hAnsi="Calibri" w:cs="Calibri"/>
                <w:b/>
                <w:bCs/>
                <w:i/>
                <w:iCs/>
                <w:kern w:val="0"/>
                <w:lang w:val="es-ES_tradnl" w:eastAsia="es-CR"/>
                <w14:ligatures w14:val="none"/>
              </w:rPr>
            </w:pPr>
            <w:r w:rsidRPr="00F65C48">
              <w:rPr>
                <w:rFonts w:ascii="Calibri" w:eastAsia="Arial" w:hAnsi="Calibri" w:cs="Calibri"/>
                <w:b/>
                <w:bCs/>
                <w:i/>
                <w:iCs/>
                <w:kern w:val="0"/>
                <w:lang w:val="es-ES_tradnl" w:eastAsia="es-CR"/>
                <w14:ligatures w14:val="none"/>
              </w:rPr>
              <w:t>Presentación grupal</w:t>
            </w:r>
          </w:p>
          <w:p w14:paraId="49E37ECB" w14:textId="77777777" w:rsidR="00F65C48" w:rsidRPr="00F65C48" w:rsidRDefault="00F65C48" w:rsidP="00F65C48">
            <w:pPr>
              <w:widowControl w:val="0"/>
              <w:tabs>
                <w:tab w:val="left" w:pos="1118"/>
              </w:tabs>
              <w:overflowPunct w:val="0"/>
              <w:autoSpaceDE w:val="0"/>
              <w:autoSpaceDN w:val="0"/>
              <w:adjustRightInd w:val="0"/>
              <w:spacing w:after="0" w:line="240" w:lineRule="auto"/>
              <w:jc w:val="both"/>
              <w:rPr>
                <w:rFonts w:ascii="Calibri" w:eastAsia="Arial" w:hAnsi="Calibri" w:cs="Calibri"/>
                <w:kern w:val="0"/>
                <w:lang w:val="es-ES_tradnl" w:eastAsia="es-CR"/>
                <w14:ligatures w14:val="none"/>
              </w:rPr>
            </w:pPr>
            <w:r w:rsidRPr="00F65C48">
              <w:rPr>
                <w:rFonts w:ascii="Calibri" w:eastAsia="Arial" w:hAnsi="Calibri" w:cs="Calibri"/>
                <w:kern w:val="0"/>
                <w:lang w:val="es-ES_tradnl" w:eastAsia="es-CR"/>
                <w14:ligatures w14:val="none"/>
              </w:rPr>
              <w:t>Cada estudiante realizará una presentación en forma grupal en alguna de las siguientes sesiones: 6, 8, 10 o 12 (según asignación docente).</w:t>
            </w:r>
          </w:p>
        </w:tc>
        <w:tc>
          <w:tcPr>
            <w:tcW w:w="1306" w:type="dxa"/>
            <w:tcBorders>
              <w:top w:val="nil"/>
              <w:left w:val="single" w:sz="8" w:space="0" w:color="000000"/>
              <w:bottom w:val="single" w:sz="8" w:space="0" w:color="000000"/>
              <w:right w:val="single" w:sz="8" w:space="0" w:color="000000"/>
            </w:tcBorders>
            <w:tcMar>
              <w:left w:w="108" w:type="dxa"/>
              <w:right w:w="108" w:type="dxa"/>
            </w:tcMar>
            <w:vAlign w:val="center"/>
          </w:tcPr>
          <w:p w14:paraId="37841301" w14:textId="77777777" w:rsidR="00F65C48" w:rsidRPr="00F65C48" w:rsidRDefault="00F65C48" w:rsidP="00F65C48">
            <w:pPr>
              <w:widowControl w:val="0"/>
              <w:overflowPunct w:val="0"/>
              <w:autoSpaceDE w:val="0"/>
              <w:autoSpaceDN w:val="0"/>
              <w:adjustRightInd w:val="0"/>
              <w:spacing w:before="120" w:after="0" w:line="240" w:lineRule="auto"/>
              <w:jc w:val="center"/>
              <w:rPr>
                <w:rFonts w:ascii="Calibri" w:eastAsia="Arial" w:hAnsi="Calibri" w:cs="Calibri"/>
                <w:kern w:val="0"/>
                <w:lang w:val="es-ES_tradnl" w:eastAsia="es-CR"/>
                <w14:ligatures w14:val="none"/>
              </w:rPr>
            </w:pPr>
            <w:r w:rsidRPr="00F65C48">
              <w:rPr>
                <w:rFonts w:ascii="Calibri" w:eastAsia="Arial" w:hAnsi="Calibri" w:cs="Calibri"/>
                <w:color w:val="0070C0"/>
                <w:kern w:val="0"/>
                <w:lang w:val="es-ES_tradnl" w:eastAsia="es-CR"/>
                <w14:ligatures w14:val="none"/>
              </w:rPr>
              <w:t>15%</w:t>
            </w:r>
          </w:p>
        </w:tc>
      </w:tr>
      <w:tr w:rsidR="00F65C48" w:rsidRPr="00F65C48" w14:paraId="309CB6C3" w14:textId="77777777" w:rsidTr="00F65C48">
        <w:trPr>
          <w:trHeight w:val="749"/>
          <w:jc w:val="center"/>
        </w:trPr>
        <w:tc>
          <w:tcPr>
            <w:tcW w:w="7965"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213456D3" w14:textId="77777777" w:rsidR="00F65C48" w:rsidRPr="00F65C48" w:rsidRDefault="00F65C48" w:rsidP="00F65C48">
            <w:pPr>
              <w:widowControl w:val="0"/>
              <w:tabs>
                <w:tab w:val="left" w:pos="1118"/>
              </w:tabs>
              <w:overflowPunct w:val="0"/>
              <w:autoSpaceDE w:val="0"/>
              <w:autoSpaceDN w:val="0"/>
              <w:adjustRightInd w:val="0"/>
              <w:spacing w:after="0" w:line="240" w:lineRule="auto"/>
              <w:jc w:val="both"/>
              <w:rPr>
                <w:rFonts w:ascii="Calibri" w:eastAsia="Arial" w:hAnsi="Calibri" w:cs="Calibri"/>
                <w:b/>
                <w:bCs/>
                <w:i/>
                <w:iCs/>
                <w:kern w:val="0"/>
                <w:lang w:val="es-ES_tradnl" w:eastAsia="es-CR"/>
                <w14:ligatures w14:val="none"/>
              </w:rPr>
            </w:pPr>
            <w:r w:rsidRPr="00F65C48">
              <w:rPr>
                <w:rFonts w:ascii="Calibri" w:eastAsia="Arial" w:hAnsi="Calibri" w:cs="Calibri"/>
                <w:b/>
                <w:bCs/>
                <w:i/>
                <w:iCs/>
                <w:kern w:val="0"/>
                <w:lang w:val="es-ES_tradnl" w:eastAsia="es-CR"/>
                <w14:ligatures w14:val="none"/>
              </w:rPr>
              <w:t>Ensayo final</w:t>
            </w:r>
          </w:p>
          <w:p w14:paraId="6FF3A99A" w14:textId="77777777" w:rsidR="00F65C48" w:rsidRPr="00F65C48" w:rsidRDefault="00F65C48" w:rsidP="00F65C48">
            <w:pPr>
              <w:widowControl w:val="0"/>
              <w:tabs>
                <w:tab w:val="left" w:pos="1118"/>
              </w:tabs>
              <w:overflowPunct w:val="0"/>
              <w:autoSpaceDE w:val="0"/>
              <w:autoSpaceDN w:val="0"/>
              <w:adjustRightInd w:val="0"/>
              <w:spacing w:after="0" w:line="240" w:lineRule="auto"/>
              <w:jc w:val="both"/>
              <w:rPr>
                <w:rFonts w:ascii="Calibri" w:eastAsia="Arial" w:hAnsi="Calibri" w:cs="Calibri"/>
                <w:b/>
                <w:bCs/>
                <w:i/>
                <w:iCs/>
                <w:kern w:val="0"/>
                <w:lang w:val="es-ES_tradnl" w:eastAsia="es-CR"/>
                <w14:ligatures w14:val="none"/>
              </w:rPr>
            </w:pPr>
            <w:r w:rsidRPr="00F65C48">
              <w:rPr>
                <w:rFonts w:ascii="Calibri" w:eastAsia="Arial" w:hAnsi="Calibri" w:cs="Calibri"/>
                <w:kern w:val="0"/>
                <w:lang w:val="es-ES_tradnl" w:eastAsia="es-CR"/>
                <w14:ligatures w14:val="none"/>
              </w:rPr>
              <w:t>Se elabora desde la sesión 10 hasta la 15. En las sesiones 14 y 15 cada estudiante presentará un resumen oral en un encuentro sincrónico virtual (sin valor sumativo).</w:t>
            </w:r>
          </w:p>
        </w:tc>
        <w:tc>
          <w:tcPr>
            <w:tcW w:w="1306" w:type="dxa"/>
            <w:tcBorders>
              <w:top w:val="nil"/>
              <w:left w:val="single" w:sz="8" w:space="0" w:color="000000"/>
              <w:bottom w:val="single" w:sz="8" w:space="0" w:color="000000"/>
              <w:right w:val="single" w:sz="8" w:space="0" w:color="000000"/>
            </w:tcBorders>
            <w:tcMar>
              <w:left w:w="108" w:type="dxa"/>
              <w:right w:w="108" w:type="dxa"/>
            </w:tcMar>
            <w:vAlign w:val="center"/>
          </w:tcPr>
          <w:p w14:paraId="71BE67B0" w14:textId="77777777" w:rsidR="00F65C48" w:rsidRPr="00F65C48" w:rsidRDefault="00F65C48" w:rsidP="00F65C48">
            <w:pPr>
              <w:widowControl w:val="0"/>
              <w:overflowPunct w:val="0"/>
              <w:autoSpaceDE w:val="0"/>
              <w:autoSpaceDN w:val="0"/>
              <w:adjustRightInd w:val="0"/>
              <w:spacing w:before="120" w:after="0" w:line="240" w:lineRule="auto"/>
              <w:jc w:val="center"/>
              <w:rPr>
                <w:rFonts w:ascii="Calibri" w:eastAsia="Arial" w:hAnsi="Calibri" w:cs="Calibri"/>
                <w:kern w:val="0"/>
                <w:lang w:val="es-ES_tradnl" w:eastAsia="es-CR"/>
                <w14:ligatures w14:val="none"/>
              </w:rPr>
            </w:pPr>
            <w:r w:rsidRPr="00F65C48">
              <w:rPr>
                <w:rFonts w:ascii="Calibri" w:eastAsia="Arial" w:hAnsi="Calibri" w:cs="Calibri"/>
                <w:color w:val="0070C0"/>
                <w:kern w:val="0"/>
                <w:lang w:val="es-ES_tradnl" w:eastAsia="es-CR"/>
                <w14:ligatures w14:val="none"/>
              </w:rPr>
              <w:t>30%</w:t>
            </w:r>
          </w:p>
        </w:tc>
      </w:tr>
      <w:tr w:rsidR="00F65C48" w:rsidRPr="00F65C48" w14:paraId="53CE860A" w14:textId="77777777" w:rsidTr="00F65C48">
        <w:trPr>
          <w:trHeight w:val="220"/>
          <w:jc w:val="center"/>
        </w:trPr>
        <w:tc>
          <w:tcPr>
            <w:tcW w:w="7965" w:type="dxa"/>
            <w:tcBorders>
              <w:top w:val="single" w:sz="8" w:space="0" w:color="000000"/>
              <w:left w:val="single" w:sz="8" w:space="0" w:color="000000"/>
              <w:bottom w:val="single" w:sz="8" w:space="0" w:color="000000"/>
              <w:right w:val="single" w:sz="8" w:space="0" w:color="000000"/>
            </w:tcBorders>
            <w:tcMar>
              <w:left w:w="108" w:type="dxa"/>
              <w:right w:w="108" w:type="dxa"/>
            </w:tcMar>
            <w:vAlign w:val="bottom"/>
          </w:tcPr>
          <w:p w14:paraId="071C1901" w14:textId="77777777" w:rsidR="00F65C48" w:rsidRPr="00F65C48" w:rsidRDefault="00F65C48" w:rsidP="00F65C48">
            <w:pPr>
              <w:widowControl w:val="0"/>
              <w:tabs>
                <w:tab w:val="left" w:pos="1118"/>
              </w:tabs>
              <w:overflowPunct w:val="0"/>
              <w:autoSpaceDE w:val="0"/>
              <w:autoSpaceDN w:val="0"/>
              <w:adjustRightInd w:val="0"/>
              <w:spacing w:after="0" w:line="240" w:lineRule="auto"/>
              <w:rPr>
                <w:rFonts w:ascii="Calibri" w:eastAsia="Arial" w:hAnsi="Calibri" w:cs="Calibri"/>
                <w:b/>
                <w:bCs/>
                <w:kern w:val="0"/>
                <w:lang w:val="es-ES_tradnl" w:eastAsia="es-CR"/>
                <w14:ligatures w14:val="none"/>
              </w:rPr>
            </w:pPr>
            <w:r w:rsidRPr="00F65C48">
              <w:rPr>
                <w:rFonts w:ascii="Calibri" w:eastAsia="Arial" w:hAnsi="Calibri" w:cs="Calibri"/>
                <w:b/>
                <w:bCs/>
                <w:kern w:val="0"/>
                <w:lang w:val="es-ES_tradnl" w:eastAsia="es-CR"/>
                <w14:ligatures w14:val="none"/>
              </w:rPr>
              <w:t>Total</w:t>
            </w:r>
          </w:p>
        </w:tc>
        <w:tc>
          <w:tcPr>
            <w:tcW w:w="1306" w:type="dxa"/>
            <w:tcBorders>
              <w:top w:val="nil"/>
              <w:left w:val="single" w:sz="8" w:space="0" w:color="000000"/>
              <w:bottom w:val="single" w:sz="8" w:space="0" w:color="000000"/>
              <w:right w:val="single" w:sz="8" w:space="0" w:color="000000"/>
            </w:tcBorders>
            <w:tcMar>
              <w:left w:w="108" w:type="dxa"/>
              <w:right w:w="108" w:type="dxa"/>
            </w:tcMar>
            <w:vAlign w:val="center"/>
          </w:tcPr>
          <w:p w14:paraId="5BF7FDC0" w14:textId="77777777" w:rsidR="00F65C48" w:rsidRPr="00F65C48" w:rsidRDefault="00F65C48" w:rsidP="00F65C48">
            <w:pPr>
              <w:widowControl w:val="0"/>
              <w:overflowPunct w:val="0"/>
              <w:autoSpaceDE w:val="0"/>
              <w:autoSpaceDN w:val="0"/>
              <w:adjustRightInd w:val="0"/>
              <w:spacing w:before="120" w:after="0" w:line="240" w:lineRule="auto"/>
              <w:jc w:val="center"/>
              <w:rPr>
                <w:rFonts w:ascii="Calibri" w:eastAsia="Arial" w:hAnsi="Calibri" w:cs="Calibri"/>
                <w:b/>
                <w:bCs/>
                <w:kern w:val="0"/>
                <w:lang w:val="es-ES_tradnl" w:eastAsia="es-CR"/>
                <w14:ligatures w14:val="none"/>
              </w:rPr>
            </w:pPr>
            <w:r w:rsidRPr="00F65C48">
              <w:rPr>
                <w:rFonts w:ascii="Calibri" w:eastAsia="Arial" w:hAnsi="Calibri" w:cs="Calibri"/>
                <w:b/>
                <w:bCs/>
                <w:kern w:val="0"/>
                <w:lang w:val="es-ES_tradnl" w:eastAsia="es-CR"/>
                <w14:ligatures w14:val="none"/>
              </w:rPr>
              <w:t>100%</w:t>
            </w:r>
          </w:p>
        </w:tc>
      </w:tr>
    </w:tbl>
    <w:p w14:paraId="34F91EED" w14:textId="77777777" w:rsidR="00F65C48" w:rsidRPr="00F65C48" w:rsidRDefault="00F65C48" w:rsidP="00F65C48">
      <w:pPr>
        <w:autoSpaceDE w:val="0"/>
        <w:autoSpaceDN w:val="0"/>
        <w:adjustRightInd w:val="0"/>
        <w:spacing w:after="0" w:line="240" w:lineRule="auto"/>
        <w:jc w:val="both"/>
        <w:rPr>
          <w:rFonts w:ascii="Calibri" w:eastAsia="Calibri" w:hAnsi="Calibri" w:cs="Calibri"/>
          <w:bCs/>
          <w:color w:val="00B050"/>
          <w:kern w:val="0"/>
          <w14:ligatures w14:val="none"/>
        </w:rPr>
      </w:pPr>
    </w:p>
    <w:p w14:paraId="54243626" w14:textId="77777777" w:rsidR="00F65C48" w:rsidRPr="00F65C48" w:rsidRDefault="00F65C48" w:rsidP="00F65C48">
      <w:pPr>
        <w:autoSpaceDE w:val="0"/>
        <w:autoSpaceDN w:val="0"/>
        <w:adjustRightInd w:val="0"/>
        <w:spacing w:after="0" w:line="240" w:lineRule="auto"/>
        <w:jc w:val="both"/>
        <w:rPr>
          <w:rFonts w:ascii="Calibri" w:eastAsia="Calibri" w:hAnsi="Calibri" w:cs="Calibri"/>
          <w:bCs/>
          <w:color w:val="0070C0"/>
          <w:kern w:val="0"/>
          <w14:ligatures w14:val="none"/>
        </w:rPr>
      </w:pPr>
    </w:p>
    <w:p w14:paraId="0C3E37A9" w14:textId="77777777" w:rsidR="00F65C48" w:rsidRPr="00F65C48" w:rsidRDefault="00F65C48" w:rsidP="00F65C48">
      <w:pPr>
        <w:widowControl w:val="0"/>
        <w:overflowPunct w:val="0"/>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p>
    <w:p w14:paraId="49E9F86E"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_tradnl" w:eastAsia="es-CR"/>
          <w14:ligatures w14:val="none"/>
        </w:rPr>
      </w:pPr>
    </w:p>
    <w:p w14:paraId="2FEC69FB" w14:textId="77777777" w:rsidR="00F65C48" w:rsidRPr="00F65C48" w:rsidRDefault="00F65C48" w:rsidP="00F65C48">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BAA89BE" w14:textId="77777777" w:rsidR="00F65C48" w:rsidRPr="00F65C48" w:rsidRDefault="00F65C48" w:rsidP="00F65C48">
      <w:pPr>
        <w:rPr>
          <w:rFonts w:ascii="Calibri" w:eastAsia="Times New Roman" w:hAnsi="Calibri" w:cs="Calibri"/>
          <w:b/>
          <w:bCs/>
          <w:color w:val="000000"/>
          <w:kern w:val="0"/>
          <w:lang w:val="es-ES_tradnl" w:eastAsia="es-CR"/>
          <w14:ligatures w14:val="none"/>
        </w:rPr>
      </w:pPr>
    </w:p>
    <w:p w14:paraId="6F568E43" w14:textId="77777777" w:rsidR="00F65C48" w:rsidRPr="00F65C48" w:rsidRDefault="00F65C48" w:rsidP="00F65C48">
      <w:pPr>
        <w:rPr>
          <w:rFonts w:ascii="Calibri" w:eastAsia="Times New Roman" w:hAnsi="Calibri" w:cs="Calibri"/>
          <w:b/>
          <w:bCs/>
          <w:color w:val="000000"/>
          <w:kern w:val="0"/>
          <w:lang w:val="es-ES_tradnl" w:eastAsia="es-CR"/>
          <w14:ligatures w14:val="none"/>
        </w:rPr>
      </w:pPr>
    </w:p>
    <w:p w14:paraId="669C8651" w14:textId="77777777" w:rsidR="00F65C48" w:rsidRPr="00F65C48" w:rsidRDefault="00F65C48" w:rsidP="00F65C48">
      <w:pPr>
        <w:rPr>
          <w:rFonts w:ascii="Calibri" w:eastAsia="Times New Roman" w:hAnsi="Calibri" w:cs="Calibri"/>
          <w:b/>
          <w:bCs/>
          <w:color w:val="000000"/>
          <w:kern w:val="0"/>
          <w:lang w:val="es-ES_tradnl" w:eastAsia="es-CR"/>
          <w14:ligatures w14:val="none"/>
        </w:rPr>
      </w:pPr>
    </w:p>
    <w:p w14:paraId="1DD9B382" w14:textId="77777777" w:rsidR="00F65C48" w:rsidRPr="00F65C48" w:rsidRDefault="00F65C48" w:rsidP="00F65C48">
      <w:pPr>
        <w:rPr>
          <w:rFonts w:ascii="Calibri" w:eastAsia="Times New Roman" w:hAnsi="Calibri" w:cs="Calibri"/>
          <w:b/>
          <w:bCs/>
          <w:color w:val="000000"/>
          <w:kern w:val="0"/>
          <w:lang w:val="es-ES_tradnl" w:eastAsia="es-CR"/>
          <w14:ligatures w14:val="none"/>
        </w:rPr>
      </w:pPr>
    </w:p>
    <w:p w14:paraId="43C85326" w14:textId="77777777" w:rsidR="00F65C48" w:rsidRPr="00F65C48" w:rsidRDefault="00F65C48" w:rsidP="00F65C48">
      <w:pPr>
        <w:rPr>
          <w:rFonts w:ascii="Calibri" w:eastAsia="Times New Roman" w:hAnsi="Calibri" w:cs="Calibri"/>
          <w:b/>
          <w:bCs/>
          <w:color w:val="000000"/>
          <w:kern w:val="0"/>
          <w:lang w:val="es-ES_tradnl" w:eastAsia="es-CR"/>
          <w14:ligatures w14:val="none"/>
        </w:rPr>
      </w:pPr>
    </w:p>
    <w:p w14:paraId="772AB93C"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sectPr w:rsidR="00F65C48" w:rsidRPr="00F65C48" w:rsidSect="005C1895">
          <w:headerReference w:type="default" r:id="rId484"/>
          <w:pgSz w:w="12240" w:h="15840"/>
          <w:pgMar w:top="1417" w:right="1701" w:bottom="1417" w:left="1701" w:header="708" w:footer="708" w:gutter="0"/>
          <w:cols w:space="708"/>
          <w:docGrid w:linePitch="360"/>
        </w:sectPr>
      </w:pPr>
    </w:p>
    <w:p w14:paraId="3D112A3C"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
          <w:color w:val="000000"/>
          <w:kern w:val="0"/>
          <w:lang w:val="es-ES_tradnl" w:eastAsia="es-CR"/>
          <w14:ligatures w14:val="none"/>
        </w:rPr>
      </w:pPr>
      <w:r w:rsidRPr="00F65C48">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579840" behindDoc="0" locked="0" layoutInCell="1" allowOverlap="1" wp14:anchorId="46707358" wp14:editId="6305CCE9">
                <wp:simplePos x="0" y="0"/>
                <wp:positionH relativeFrom="margin">
                  <wp:align>center</wp:align>
                </wp:positionH>
                <wp:positionV relativeFrom="paragraph">
                  <wp:posOffset>-257810</wp:posOffset>
                </wp:positionV>
                <wp:extent cx="7879080" cy="409575"/>
                <wp:effectExtent l="0" t="0" r="26670" b="28575"/>
                <wp:wrapNone/>
                <wp:docPr id="3765828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9575"/>
                        </a:xfrm>
                        <a:prstGeom prst="rect">
                          <a:avLst/>
                        </a:prstGeom>
                        <a:solidFill>
                          <a:srgbClr val="FFFFFF"/>
                        </a:solidFill>
                        <a:ln w="9525">
                          <a:solidFill>
                            <a:srgbClr val="000000"/>
                          </a:solidFill>
                          <a:miter lim="800000"/>
                          <a:headEnd/>
                          <a:tailEnd/>
                        </a:ln>
                      </wps:spPr>
                      <wps:txbx>
                        <w:txbxContent>
                          <w:p w14:paraId="7DE9057E" w14:textId="77777777" w:rsidR="00F65C48" w:rsidRPr="00F65C48" w:rsidRDefault="00F65C48" w:rsidP="00F65C48">
                            <w:pPr>
                              <w:jc w:val="center"/>
                              <w:rPr>
                                <w:rFonts w:cs="Calibri"/>
                                <w:b/>
                                <w:szCs w:val="24"/>
                              </w:rPr>
                            </w:pPr>
                            <w:r w:rsidRPr="00F65C48">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707358" id="_x0000_s1230" type="#_x0000_t202" style="position:absolute;left:0;text-align:left;margin-left:0;margin-top:-20.3pt;width:620.4pt;height:32.25pt;z-index:2525798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">
                <v:textbox>
                  <w:txbxContent>
                    <w:p w14:paraId="7DE9057E" w14:textId="77777777" w:rsidR="00F65C48" w:rsidRPr="00F65C48" w:rsidRDefault="00F65C48" w:rsidP="00F65C48">
                      <w:pPr>
                        <w:jc w:val="center"/>
                        <w:rPr>
                          <w:rFonts w:cs="Calibri"/>
                          <w:b/>
                          <w:szCs w:val="24"/>
                        </w:rPr>
                      </w:pPr>
                      <w:r w:rsidRPr="00F65C48">
                        <w:rPr>
                          <w:rFonts w:cs="Calibri"/>
                          <w:b/>
                          <w:szCs w:val="24"/>
                        </w:rPr>
                        <w:t>RÚBRICA DE EVALUACIÓN – FORO TEMÁTICO</w:t>
                      </w:r>
                    </w:p>
                  </w:txbxContent>
                </v:textbox>
                <w10:wrap anchorx="margin"/>
              </v:shape>
            </w:pict>
          </mc:Fallback>
        </mc:AlternateContent>
      </w:r>
    </w:p>
    <w:p w14:paraId="568E07F4"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F65C48">
        <w:rPr>
          <w:rFonts w:ascii="Calibri" w:eastAsia="Times New Roman" w:hAnsi="Calibri" w:cs="Calibri"/>
          <w:bCs/>
          <w:color w:val="0070C0"/>
          <w:kern w:val="0"/>
          <w:lang w:val="es-ES_tradnl" w:eastAsia="es-CR"/>
          <w14:ligatures w14:val="none"/>
        </w:rPr>
        <w:t>En este curso utilizaremos los foros como espacios para debatir los modelos de análisis de la sociedad del Nuevo Testamento. Se desarrollan en las sesiones 2, 4, 7, 9 y 11. Cada foro tiene un valor de 5%.</w:t>
      </w:r>
    </w:p>
    <w:p w14:paraId="21D3F269"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5B0766A8"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
          <w:color w:val="000000"/>
          <w:kern w:val="0"/>
          <w:lang w:val="es-ES_tradnl" w:eastAsia="es-CR"/>
          <w14:ligatures w14:val="none"/>
        </w:rPr>
      </w:pPr>
      <w:r w:rsidRPr="00F65C48">
        <w:rPr>
          <w:rFonts w:ascii="Calibri" w:eastAsia="Times New Roman" w:hAnsi="Calibri" w:cs="Calibri"/>
          <w:b/>
          <w:noProof/>
          <w:color w:val="000000"/>
          <w:kern w:val="0"/>
          <w:lang w:val="es-ES_tradnl" w:eastAsia="es-CR"/>
          <w14:ligatures w14:val="none"/>
        </w:rPr>
        <w:drawing>
          <wp:anchor distT="0" distB="0" distL="114300" distR="114300" simplePos="0" relativeHeight="252580864" behindDoc="0" locked="0" layoutInCell="1" allowOverlap="1" wp14:anchorId="7092ED98" wp14:editId="4FB1D016">
            <wp:simplePos x="0" y="0"/>
            <wp:positionH relativeFrom="margin">
              <wp:align>center</wp:align>
            </wp:positionH>
            <wp:positionV relativeFrom="paragraph">
              <wp:posOffset>6985</wp:posOffset>
            </wp:positionV>
            <wp:extent cx="8020050" cy="5801170"/>
            <wp:effectExtent l="0" t="0" r="0" b="9525"/>
            <wp:wrapNone/>
            <wp:docPr id="162549440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494408" name="Imagen 1" descr="Tabla&#10;&#10;Descripción generada automáticamente"/>
                    <pic:cNvPicPr/>
                  </pic:nvPicPr>
                  <pic:blipFill>
                    <a:blip r:embed="rId485">
                      <a:extLst>
                        <a:ext uri="{28A0092B-C50C-407E-A947-70E740481C1C}">
                          <a14:useLocalDpi xmlns:a14="http://schemas.microsoft.com/office/drawing/2010/main" val="0"/>
                        </a:ext>
                      </a:extLst>
                    </a:blip>
                    <a:stretch>
                      <a:fillRect/>
                    </a:stretch>
                  </pic:blipFill>
                  <pic:spPr>
                    <a:xfrm>
                      <a:off x="0" y="0"/>
                      <a:ext cx="8020050" cy="5801170"/>
                    </a:xfrm>
                    <a:prstGeom prst="rect">
                      <a:avLst/>
                    </a:prstGeom>
                  </pic:spPr>
                </pic:pic>
              </a:graphicData>
            </a:graphic>
            <wp14:sizeRelH relativeFrom="margin">
              <wp14:pctWidth>0</wp14:pctWidth>
            </wp14:sizeRelH>
            <wp14:sizeRelV relativeFrom="margin">
              <wp14:pctHeight>0</wp14:pctHeight>
            </wp14:sizeRelV>
          </wp:anchor>
        </w:drawing>
      </w:r>
    </w:p>
    <w:p w14:paraId="45FA23EE"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r w:rsidRPr="00F65C48">
        <w:rPr>
          <w:rFonts w:ascii="Calibri" w:eastAsia="Times New Roman" w:hAnsi="Calibri" w:cs="Calibri"/>
          <w:b/>
          <w:color w:val="000000"/>
          <w:kern w:val="0"/>
          <w:lang w:val="es-ES_tradnl" w:eastAsia="es-CR"/>
          <w14:ligatures w14:val="none"/>
        </w:rPr>
        <w:br w:type="page"/>
      </w:r>
    </w:p>
    <w:p w14:paraId="284146B1"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r w:rsidRPr="00F65C48">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81888" behindDoc="0" locked="0" layoutInCell="1" allowOverlap="1" wp14:anchorId="7388BD2C" wp14:editId="5FCE3160">
                <wp:simplePos x="0" y="0"/>
                <wp:positionH relativeFrom="margin">
                  <wp:align>center</wp:align>
                </wp:positionH>
                <wp:positionV relativeFrom="paragraph">
                  <wp:posOffset>-185738</wp:posOffset>
                </wp:positionV>
                <wp:extent cx="6606540" cy="411480"/>
                <wp:effectExtent l="0" t="0" r="22860" b="26670"/>
                <wp:wrapNone/>
                <wp:docPr id="1038642612"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F5783A3" w14:textId="77777777" w:rsidR="00F65C48" w:rsidRPr="00F65C48" w:rsidRDefault="00F65C48" w:rsidP="00F65C48">
                            <w:pPr>
                              <w:jc w:val="center"/>
                              <w:rPr>
                                <w:rFonts w:cs="Calibri"/>
                              </w:rPr>
                            </w:pPr>
                            <w:r w:rsidRPr="00F65C48">
                              <w:rPr>
                                <w:rFonts w:cs="Calibri"/>
                                <w:b/>
                              </w:rPr>
                              <w:t>RÚBRICA DE EVALUACIÓN – RESEÑA CRÍTICA DE LECTURA</w:t>
                            </w:r>
                          </w:p>
                          <w:p w14:paraId="6B61EB8A" w14:textId="77777777" w:rsidR="00F65C48" w:rsidRPr="00F65C48" w:rsidRDefault="00F65C48" w:rsidP="00F65C4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88BD2C" id="_x0000_s1231" type="#_x0000_t202" style="position:absolute;margin-left:0;margin-top:-14.65pt;width:520.2pt;height:32.4pt;z-index:2525818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" fillcolor="window" strokeweight=".5pt">
                <v:textbox>
                  <w:txbxContent>
                    <w:p w14:paraId="4F5783A3" w14:textId="77777777" w:rsidR="00F65C48" w:rsidRPr="00F65C48" w:rsidRDefault="00F65C48" w:rsidP="00F65C48">
                      <w:pPr>
                        <w:jc w:val="center"/>
                        <w:rPr>
                          <w:rFonts w:cs="Calibri"/>
                        </w:rPr>
                      </w:pPr>
                      <w:r w:rsidRPr="00F65C48">
                        <w:rPr>
                          <w:rFonts w:cs="Calibri"/>
                          <w:b/>
                        </w:rPr>
                        <w:t>RÚBRICA DE EVALUACIÓN – RESEÑA CRÍTICA DE LECTURA</w:t>
                      </w:r>
                    </w:p>
                    <w:p w14:paraId="6B61EB8A" w14:textId="77777777" w:rsidR="00F65C48" w:rsidRPr="00F65C48" w:rsidRDefault="00F65C48" w:rsidP="00F65C48">
                      <w:pPr>
                        <w:jc w:val="center"/>
                        <w:rPr>
                          <w:rFonts w:cs="Calibri"/>
                        </w:rPr>
                      </w:pPr>
                    </w:p>
                  </w:txbxContent>
                </v:textbox>
                <w10:wrap anchorx="margin"/>
              </v:shape>
            </w:pict>
          </mc:Fallback>
        </mc:AlternateContent>
      </w:r>
    </w:p>
    <w:p w14:paraId="6B41B6FC"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5315D4B6"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F65C48">
        <w:rPr>
          <w:rFonts w:ascii="Calibri" w:eastAsia="Times New Roman" w:hAnsi="Calibri" w:cs="Calibri"/>
          <w:bCs/>
          <w:color w:val="0070C0"/>
          <w:kern w:val="0"/>
          <w:lang w:val="es-ES_tradnl" w:eastAsia="es-CR"/>
          <w14:ligatures w14:val="none"/>
        </w:rPr>
        <w:t>Las reseñas críticas permiten identificar los temas centrales de las lecturas, realizar una valoración crítica de estos y contextualizar sus aportes para la comprensión del Nuevo Testamento y su mundo social.  Se elaboran en las sesiones 3 y 13. Cada reseña tiene un valor de 5%.</w:t>
      </w:r>
    </w:p>
    <w:p w14:paraId="078E2B01"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74147384"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
          <w:color w:val="000000"/>
          <w:kern w:val="0"/>
          <w:lang w:val="es-ES_tradnl" w:eastAsia="es-CR"/>
          <w14:ligatures w14:val="none"/>
        </w:rPr>
      </w:pPr>
      <w:r w:rsidRPr="00F65C48">
        <w:rPr>
          <w:rFonts w:ascii="Calibri" w:eastAsia="Times New Roman" w:hAnsi="Calibri" w:cs="Calibri"/>
          <w:b/>
          <w:noProof/>
          <w:color w:val="000000"/>
          <w:kern w:val="0"/>
          <w:lang w:val="es-ES_tradnl" w:eastAsia="es-CR"/>
          <w14:ligatures w14:val="none"/>
        </w:rPr>
        <w:drawing>
          <wp:anchor distT="0" distB="0" distL="114300" distR="114300" simplePos="0" relativeHeight="252582912" behindDoc="0" locked="0" layoutInCell="1" allowOverlap="1" wp14:anchorId="04491B67" wp14:editId="03ACE4A3">
            <wp:simplePos x="0" y="0"/>
            <wp:positionH relativeFrom="margin">
              <wp:align>center</wp:align>
            </wp:positionH>
            <wp:positionV relativeFrom="paragraph">
              <wp:posOffset>118427</wp:posOffset>
            </wp:positionV>
            <wp:extent cx="8973312" cy="4815840"/>
            <wp:effectExtent l="0" t="0" r="0" b="3810"/>
            <wp:wrapNone/>
            <wp:docPr id="478779407"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79407" name="Imagen 2" descr="Tabla&#10;&#10;Descripción generada automáticamente"/>
                    <pic:cNvPicPr/>
                  </pic:nvPicPr>
                  <pic:blipFill>
                    <a:blip r:embed="rId486">
                      <a:extLst>
                        <a:ext uri="{28A0092B-C50C-407E-A947-70E740481C1C}">
                          <a14:useLocalDpi xmlns:a14="http://schemas.microsoft.com/office/drawing/2010/main" val="0"/>
                        </a:ext>
                      </a:extLst>
                    </a:blip>
                    <a:stretch>
                      <a:fillRect/>
                    </a:stretch>
                  </pic:blipFill>
                  <pic:spPr>
                    <a:xfrm>
                      <a:off x="0" y="0"/>
                      <a:ext cx="8973312" cy="4815840"/>
                    </a:xfrm>
                    <a:prstGeom prst="rect">
                      <a:avLst/>
                    </a:prstGeom>
                  </pic:spPr>
                </pic:pic>
              </a:graphicData>
            </a:graphic>
          </wp:anchor>
        </w:drawing>
      </w:r>
    </w:p>
    <w:p w14:paraId="4FA08AF5"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r w:rsidRPr="00F65C48">
        <w:rPr>
          <w:rFonts w:ascii="Calibri" w:eastAsia="Times New Roman" w:hAnsi="Calibri" w:cs="Calibri"/>
          <w:b/>
          <w:color w:val="000000"/>
          <w:kern w:val="0"/>
          <w:lang w:val="es-ES_tradnl" w:eastAsia="es-CR"/>
          <w14:ligatures w14:val="none"/>
        </w:rPr>
        <w:br w:type="page"/>
      </w:r>
    </w:p>
    <w:p w14:paraId="5CFFCA85"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r w:rsidRPr="00F65C48">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83936" behindDoc="0" locked="0" layoutInCell="1" allowOverlap="1" wp14:anchorId="1ACBE6C2" wp14:editId="1B605408">
                <wp:simplePos x="0" y="0"/>
                <wp:positionH relativeFrom="margin">
                  <wp:align>center</wp:align>
                </wp:positionH>
                <wp:positionV relativeFrom="paragraph">
                  <wp:posOffset>-204787</wp:posOffset>
                </wp:positionV>
                <wp:extent cx="6606540" cy="411480"/>
                <wp:effectExtent l="0" t="0" r="22860" b="26670"/>
                <wp:wrapNone/>
                <wp:docPr id="1551353785" name="Cuadro de texto 1551353785"/>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290B055" w14:textId="77777777" w:rsidR="00F65C48" w:rsidRPr="00F65C48" w:rsidRDefault="00F65C48" w:rsidP="00F65C48">
                            <w:pPr>
                              <w:jc w:val="center"/>
                              <w:rPr>
                                <w:rFonts w:cs="Calibri"/>
                              </w:rPr>
                            </w:pPr>
                            <w:r w:rsidRPr="00F65C48">
                              <w:rPr>
                                <w:rFonts w:cs="Calibri"/>
                                <w:b/>
                              </w:rPr>
                              <w:t>ESCALA DE EVALUACIÓN – ENSAYO SOBRE LOS MODELOS DE ANÁLISIS SOCIOLÓGICO</w:t>
                            </w:r>
                          </w:p>
                          <w:p w14:paraId="63C9A61C" w14:textId="77777777" w:rsidR="00F65C48" w:rsidRPr="00F65C48" w:rsidRDefault="00F65C48" w:rsidP="00F65C4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BE6C2" id="Cuadro de texto 1551353785" o:spid="_x0000_s1232" type="#_x0000_t202" style="position:absolute;left:0;text-align:left;margin-left:0;margin-top:-16.1pt;width:520.2pt;height:32.4pt;z-index:252583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" fillcolor="window" strokeweight=".5pt">
                <v:textbox>
                  <w:txbxContent>
                    <w:p w14:paraId="6290B055" w14:textId="77777777" w:rsidR="00F65C48" w:rsidRPr="00F65C48" w:rsidRDefault="00F65C48" w:rsidP="00F65C48">
                      <w:pPr>
                        <w:jc w:val="center"/>
                        <w:rPr>
                          <w:rFonts w:cs="Calibri"/>
                        </w:rPr>
                      </w:pPr>
                      <w:r w:rsidRPr="00F65C48">
                        <w:rPr>
                          <w:rFonts w:cs="Calibri"/>
                          <w:b/>
                        </w:rPr>
                        <w:t>ESCALA DE EVALUACIÓN – ENSAYO SOBRE LOS MODELOS DE ANÁLISIS SOCIOLÓGICO</w:t>
                      </w:r>
                    </w:p>
                    <w:p w14:paraId="63C9A61C" w14:textId="77777777" w:rsidR="00F65C48" w:rsidRPr="00F65C48" w:rsidRDefault="00F65C48" w:rsidP="00F65C48">
                      <w:pPr>
                        <w:jc w:val="center"/>
                        <w:rPr>
                          <w:rFonts w:cs="Calibri"/>
                        </w:rPr>
                      </w:pPr>
                    </w:p>
                  </w:txbxContent>
                </v:textbox>
                <w10:wrap anchorx="margin"/>
              </v:shape>
            </w:pict>
          </mc:Fallback>
        </mc:AlternateContent>
      </w:r>
    </w:p>
    <w:p w14:paraId="5C093146"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p>
    <w:p w14:paraId="67B425EA"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F65C48">
        <w:rPr>
          <w:rFonts w:ascii="Calibri" w:eastAsia="Times New Roman" w:hAnsi="Calibri" w:cs="Calibri"/>
          <w:bCs/>
          <w:color w:val="0070C0"/>
          <w:kern w:val="0"/>
          <w:lang w:val="es-ES_tradnl" w:eastAsia="es-CR"/>
          <w14:ligatures w14:val="none"/>
        </w:rPr>
        <w:t xml:space="preserve">Los ensayos son trabajos académicos personales en los que se desarrolla un tema con base en argumentos fundamentados y claramente organizados. En las sesiones 2 a la 5 se elabora un ensayo sobre los modelos de análisis sociológico. Tiene un valor de 10%. </w:t>
      </w:r>
    </w:p>
    <w:p w14:paraId="051F79E6"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239411A5"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F65C48">
        <w:rPr>
          <w:rFonts w:ascii="Calibri" w:eastAsia="Times New Roman" w:hAnsi="Calibri" w:cs="Calibri"/>
          <w:bCs/>
          <w:noProof/>
          <w:color w:val="000000"/>
          <w:kern w:val="0"/>
          <w:lang w:val="es-ES_tradnl" w:eastAsia="es-CR"/>
          <w14:ligatures w14:val="none"/>
        </w:rPr>
        <w:drawing>
          <wp:inline distT="0" distB="0" distL="0" distR="0" wp14:anchorId="5984692F" wp14:editId="47C40558">
            <wp:extent cx="8174736" cy="4309872"/>
            <wp:effectExtent l="0" t="0" r="0" b="0"/>
            <wp:docPr id="187448879"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8879" name="Imagen 3" descr="Tabla&#10;&#10;Descripción generada automáticamente"/>
                    <pic:cNvPicPr/>
                  </pic:nvPicPr>
                  <pic:blipFill>
                    <a:blip r:embed="rId487">
                      <a:extLst>
                        <a:ext uri="{28A0092B-C50C-407E-A947-70E740481C1C}">
                          <a14:useLocalDpi xmlns:a14="http://schemas.microsoft.com/office/drawing/2010/main" val="0"/>
                        </a:ext>
                      </a:extLst>
                    </a:blip>
                    <a:stretch>
                      <a:fillRect/>
                    </a:stretch>
                  </pic:blipFill>
                  <pic:spPr>
                    <a:xfrm>
                      <a:off x="0" y="0"/>
                      <a:ext cx="8174736" cy="4309872"/>
                    </a:xfrm>
                    <a:prstGeom prst="rect">
                      <a:avLst/>
                    </a:prstGeom>
                  </pic:spPr>
                </pic:pic>
              </a:graphicData>
            </a:graphic>
          </wp:inline>
        </w:drawing>
      </w:r>
    </w:p>
    <w:p w14:paraId="0275BD6A"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r w:rsidRPr="00F65C48">
        <w:rPr>
          <w:rFonts w:ascii="Calibri" w:eastAsia="Times New Roman" w:hAnsi="Calibri" w:cs="Calibri"/>
          <w:b/>
          <w:color w:val="000000"/>
          <w:kern w:val="0"/>
          <w:lang w:val="es-ES_tradnl" w:eastAsia="es-CR"/>
          <w14:ligatures w14:val="none"/>
        </w:rPr>
        <w:br w:type="page"/>
      </w:r>
    </w:p>
    <w:p w14:paraId="79F03025"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r w:rsidRPr="00F65C48">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584960" behindDoc="0" locked="0" layoutInCell="1" allowOverlap="1" wp14:anchorId="460DCF92" wp14:editId="1AE0DC46">
                <wp:simplePos x="0" y="0"/>
                <wp:positionH relativeFrom="margin">
                  <wp:align>center</wp:align>
                </wp:positionH>
                <wp:positionV relativeFrom="paragraph">
                  <wp:posOffset>-195898</wp:posOffset>
                </wp:positionV>
                <wp:extent cx="6606540" cy="411480"/>
                <wp:effectExtent l="0" t="0" r="22860" b="26670"/>
                <wp:wrapNone/>
                <wp:docPr id="707679499" name="Cuadro de texto 707679499"/>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00C7B89" w14:textId="77777777" w:rsidR="00F65C48" w:rsidRPr="00F65C48" w:rsidRDefault="00F65C48" w:rsidP="00F65C48">
                            <w:pPr>
                              <w:jc w:val="center"/>
                              <w:rPr>
                                <w:rFonts w:cs="Calibri"/>
                              </w:rPr>
                            </w:pPr>
                            <w:r w:rsidRPr="00F65C48">
                              <w:rPr>
                                <w:rFonts w:cs="Calibri"/>
                                <w:b/>
                              </w:rPr>
                              <w:t>ESCALA DE EVALUACIÓN – ENSAYO SOBRE LAS ESTRUCTURAS DEL IMPERIO ROMANO Y PALESTINA</w:t>
                            </w:r>
                          </w:p>
                          <w:p w14:paraId="49EBE227" w14:textId="77777777" w:rsidR="00F65C48" w:rsidRPr="00F65C48" w:rsidRDefault="00F65C48" w:rsidP="00F65C4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DCF92" id="Cuadro de texto 707679499" o:spid="_x0000_s1233" type="#_x0000_t202" style="position:absolute;left:0;text-align:left;margin-left:0;margin-top:-15.45pt;width:520.2pt;height:32.4pt;z-index:252584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" fillcolor="window" strokeweight=".5pt">
                <v:textbox>
                  <w:txbxContent>
                    <w:p w14:paraId="100C7B89" w14:textId="77777777" w:rsidR="00F65C48" w:rsidRPr="00F65C48" w:rsidRDefault="00F65C48" w:rsidP="00F65C48">
                      <w:pPr>
                        <w:jc w:val="center"/>
                        <w:rPr>
                          <w:rFonts w:cs="Calibri"/>
                        </w:rPr>
                      </w:pPr>
                      <w:r w:rsidRPr="00F65C48">
                        <w:rPr>
                          <w:rFonts w:cs="Calibri"/>
                          <w:b/>
                        </w:rPr>
                        <w:t>ESCALA DE EVALUACIÓN – ENSAYO SOBRE LAS ESTRUCTURAS DEL IMPERIO ROMANO Y PALESTINA</w:t>
                      </w:r>
                    </w:p>
                    <w:p w14:paraId="49EBE227" w14:textId="77777777" w:rsidR="00F65C48" w:rsidRPr="00F65C48" w:rsidRDefault="00F65C48" w:rsidP="00F65C48">
                      <w:pPr>
                        <w:jc w:val="center"/>
                        <w:rPr>
                          <w:rFonts w:cs="Calibri"/>
                        </w:rPr>
                      </w:pPr>
                    </w:p>
                  </w:txbxContent>
                </v:textbox>
                <w10:wrap anchorx="margin"/>
              </v:shape>
            </w:pict>
          </mc:Fallback>
        </mc:AlternateContent>
      </w:r>
    </w:p>
    <w:p w14:paraId="0E73F4D5"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Calibri"/>
          <w:bCs/>
          <w:color w:val="0070C0"/>
          <w:kern w:val="0"/>
          <w:lang w:val="es-ES_tradnl" w:eastAsia="es-CR"/>
          <w14:ligatures w14:val="none"/>
        </w:rPr>
      </w:pPr>
    </w:p>
    <w:p w14:paraId="11843D77"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
          <w:color w:val="000000"/>
          <w:kern w:val="0"/>
          <w:lang w:val="es-ES_tradnl" w:eastAsia="es-CR"/>
          <w14:ligatures w14:val="none"/>
        </w:rPr>
      </w:pPr>
      <w:r w:rsidRPr="00F65C48">
        <w:rPr>
          <w:rFonts w:ascii="Calibri" w:eastAsia="Times New Roman" w:hAnsi="Calibri" w:cs="Calibri"/>
          <w:bCs/>
          <w:color w:val="0070C0"/>
          <w:kern w:val="0"/>
          <w:lang w:val="es-ES_tradnl" w:eastAsia="es-CR"/>
          <w14:ligatures w14:val="none"/>
        </w:rPr>
        <w:t>Los ensayos son trabajos académicos personales en los que se desarrolla un tema con base en argumentos fundamentados y claramente organizados. En las sesiones 6 y 7 se elabora un ensayo sobre las estructuras del imperio romano y palestina. Tiene un valor de 10%.</w:t>
      </w:r>
    </w:p>
    <w:p w14:paraId="1936A68B"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p>
    <w:p w14:paraId="609FF1B2"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73081347"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r w:rsidRPr="00F65C48">
        <w:rPr>
          <w:rFonts w:ascii="Calibri" w:eastAsia="Times New Roman" w:hAnsi="Calibri" w:cs="Calibri"/>
          <w:b/>
          <w:noProof/>
          <w:color w:val="000000"/>
          <w:kern w:val="0"/>
          <w:lang w:val="es-ES_tradnl" w:eastAsia="es-CR"/>
          <w14:ligatures w14:val="none"/>
        </w:rPr>
        <w:drawing>
          <wp:anchor distT="0" distB="0" distL="114300" distR="114300" simplePos="0" relativeHeight="252585984" behindDoc="0" locked="0" layoutInCell="1" allowOverlap="1" wp14:anchorId="3F6F20CD" wp14:editId="254A3B3B">
            <wp:simplePos x="0" y="0"/>
            <wp:positionH relativeFrom="margin">
              <wp:align>center</wp:align>
            </wp:positionH>
            <wp:positionV relativeFrom="paragraph">
              <wp:posOffset>79375</wp:posOffset>
            </wp:positionV>
            <wp:extent cx="7942580" cy="4333875"/>
            <wp:effectExtent l="0" t="0" r="1270" b="9525"/>
            <wp:wrapNone/>
            <wp:docPr id="1445421986"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421986" name="Imagen 4" descr="Tabla&#10;&#10;Descripción generada automáticamente"/>
                    <pic:cNvPicPr/>
                  </pic:nvPicPr>
                  <pic:blipFill>
                    <a:blip r:embed="rId488">
                      <a:extLst>
                        <a:ext uri="{28A0092B-C50C-407E-A947-70E740481C1C}">
                          <a14:useLocalDpi xmlns:a14="http://schemas.microsoft.com/office/drawing/2010/main" val="0"/>
                        </a:ext>
                      </a:extLst>
                    </a:blip>
                    <a:stretch>
                      <a:fillRect/>
                    </a:stretch>
                  </pic:blipFill>
                  <pic:spPr>
                    <a:xfrm>
                      <a:off x="0" y="0"/>
                      <a:ext cx="7942580" cy="4333875"/>
                    </a:xfrm>
                    <a:prstGeom prst="rect">
                      <a:avLst/>
                    </a:prstGeom>
                  </pic:spPr>
                </pic:pic>
              </a:graphicData>
            </a:graphic>
          </wp:anchor>
        </w:drawing>
      </w:r>
    </w:p>
    <w:p w14:paraId="17D86DED"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64FDDC8F"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7A035461"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6CC905CC"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76F046FC"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7AE036B1"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069F1BF7"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2100895B"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2CA22B7F"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646B6CE5"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083D6B28"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37448877"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5B341A24"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78DBB9E8"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2077E987"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3346976B"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362BA044"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42B0139D"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77ED4FBD"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66190077"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6833CA57"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25E66823"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1335DC36"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144DC0C3"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r w:rsidRPr="00F65C48">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87008" behindDoc="0" locked="0" layoutInCell="1" allowOverlap="1" wp14:anchorId="2BCF0959" wp14:editId="40A656AD">
                <wp:simplePos x="0" y="0"/>
                <wp:positionH relativeFrom="margin">
                  <wp:align>center</wp:align>
                </wp:positionH>
                <wp:positionV relativeFrom="paragraph">
                  <wp:posOffset>-171450</wp:posOffset>
                </wp:positionV>
                <wp:extent cx="6606540" cy="411480"/>
                <wp:effectExtent l="0" t="0" r="22860" b="26670"/>
                <wp:wrapNone/>
                <wp:docPr id="1784605829" name="Cuadro de texto 1784605829"/>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64C4F27" w14:textId="77777777" w:rsidR="00F65C48" w:rsidRPr="00F65C48" w:rsidRDefault="00F65C48" w:rsidP="00F65C48">
                            <w:pPr>
                              <w:jc w:val="center"/>
                              <w:rPr>
                                <w:rFonts w:cs="Calibri"/>
                              </w:rPr>
                            </w:pPr>
                            <w:r w:rsidRPr="00F65C48">
                              <w:rPr>
                                <w:rFonts w:cs="Calibri"/>
                                <w:b/>
                              </w:rPr>
                              <w:t>ESCALA DE EVALUACIÓN – PRESENTACIÓN GRUPAL</w:t>
                            </w:r>
                          </w:p>
                          <w:p w14:paraId="38853102" w14:textId="77777777" w:rsidR="00F65C48" w:rsidRPr="00F65C48" w:rsidRDefault="00F65C48" w:rsidP="00F65C4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F0959" id="Cuadro de texto 1784605829" o:spid="_x0000_s1234" type="#_x0000_t202" style="position:absolute;margin-left:0;margin-top:-13.5pt;width:520.2pt;height:32.4pt;z-index:252587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" fillcolor="window" strokeweight=".5pt">
                <v:textbox>
                  <w:txbxContent>
                    <w:p w14:paraId="064C4F27" w14:textId="77777777" w:rsidR="00F65C48" w:rsidRPr="00F65C48" w:rsidRDefault="00F65C48" w:rsidP="00F65C48">
                      <w:pPr>
                        <w:jc w:val="center"/>
                        <w:rPr>
                          <w:rFonts w:cs="Calibri"/>
                        </w:rPr>
                      </w:pPr>
                      <w:r w:rsidRPr="00F65C48">
                        <w:rPr>
                          <w:rFonts w:cs="Calibri"/>
                          <w:b/>
                        </w:rPr>
                        <w:t>ESCALA DE EVALUACIÓN – PRESENTACIÓN GRUPAL</w:t>
                      </w:r>
                    </w:p>
                    <w:p w14:paraId="38853102" w14:textId="77777777" w:rsidR="00F65C48" w:rsidRPr="00F65C48" w:rsidRDefault="00F65C48" w:rsidP="00F65C48">
                      <w:pPr>
                        <w:jc w:val="center"/>
                        <w:rPr>
                          <w:rFonts w:cs="Calibri"/>
                        </w:rPr>
                      </w:pPr>
                    </w:p>
                  </w:txbxContent>
                </v:textbox>
                <w10:wrap anchorx="margin"/>
              </v:shape>
            </w:pict>
          </mc:Fallback>
        </mc:AlternateContent>
      </w:r>
    </w:p>
    <w:p w14:paraId="05E8B4B6"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rPr>
          <w:rFonts w:ascii="Calibri" w:eastAsia="Times New Roman" w:hAnsi="Calibri" w:cs="Calibri"/>
          <w:b/>
          <w:color w:val="000000"/>
          <w:kern w:val="0"/>
          <w:lang w:val="es-ES_tradnl" w:eastAsia="es-CR"/>
          <w14:ligatures w14:val="none"/>
        </w:rPr>
      </w:pPr>
    </w:p>
    <w:p w14:paraId="4B69629D"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F65C48">
        <w:rPr>
          <w:rFonts w:ascii="Calibri" w:eastAsia="Times New Roman" w:hAnsi="Calibri" w:cs="Calibri"/>
          <w:bCs/>
          <w:color w:val="0070C0"/>
          <w:kern w:val="0"/>
          <w:lang w:val="es-ES_tradnl" w:eastAsia="es-CR"/>
          <w14:ligatures w14:val="none"/>
        </w:rPr>
        <w:t>Cada grupo, designado por la persona docente, elaborará y realizará una presentación sobre el tema de la sesión asignada con base en las lecturas y ejemplos de textos bíblicos.  Cada estudiante realizará una presentación en forma grupal en alguna de las siguientes sesiones: 6, 8, 10 o 12 (según asignación docente). La presentación grupal tiene un valor de 15%.</w:t>
      </w:r>
    </w:p>
    <w:p w14:paraId="24F8F93A"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419BCD28"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F65C48">
        <w:rPr>
          <w:rFonts w:ascii="Calibri" w:eastAsia="Times New Roman" w:hAnsi="Calibri" w:cs="Calibri"/>
          <w:bCs/>
          <w:noProof/>
          <w:color w:val="000000"/>
          <w:kern w:val="0"/>
          <w:lang w:val="es-ES_tradnl" w:eastAsia="es-CR"/>
          <w14:ligatures w14:val="none"/>
        </w:rPr>
        <w:drawing>
          <wp:anchor distT="0" distB="0" distL="114300" distR="114300" simplePos="0" relativeHeight="252588032" behindDoc="0" locked="0" layoutInCell="1" allowOverlap="1" wp14:anchorId="4857FF4B" wp14:editId="72E9AEEB">
            <wp:simplePos x="0" y="0"/>
            <wp:positionH relativeFrom="margin">
              <wp:align>center</wp:align>
            </wp:positionH>
            <wp:positionV relativeFrom="paragraph">
              <wp:posOffset>17462</wp:posOffset>
            </wp:positionV>
            <wp:extent cx="8107680" cy="4181856"/>
            <wp:effectExtent l="0" t="0" r="7620" b="9525"/>
            <wp:wrapNone/>
            <wp:docPr id="269667312"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667312" name="Imagen 5" descr="Tabla&#10;&#10;Descripción generada automáticamente"/>
                    <pic:cNvPicPr/>
                  </pic:nvPicPr>
                  <pic:blipFill>
                    <a:blip r:embed="rId489">
                      <a:extLst>
                        <a:ext uri="{28A0092B-C50C-407E-A947-70E740481C1C}">
                          <a14:useLocalDpi xmlns:a14="http://schemas.microsoft.com/office/drawing/2010/main" val="0"/>
                        </a:ext>
                      </a:extLst>
                    </a:blip>
                    <a:stretch>
                      <a:fillRect/>
                    </a:stretch>
                  </pic:blipFill>
                  <pic:spPr>
                    <a:xfrm>
                      <a:off x="0" y="0"/>
                      <a:ext cx="8107680" cy="4181856"/>
                    </a:xfrm>
                    <a:prstGeom prst="rect">
                      <a:avLst/>
                    </a:prstGeom>
                  </pic:spPr>
                </pic:pic>
              </a:graphicData>
            </a:graphic>
          </wp:anchor>
        </w:drawing>
      </w:r>
    </w:p>
    <w:p w14:paraId="111A3D98"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36B99D54"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09D56055"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59DD54ED"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1B0FDCD8"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4A980EA7"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467701BF"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5E8AD77F"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0F7A1E8C"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5AF29A8E"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28200E2F"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70CCD752"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7D6D521B"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65F3D69C"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567D01CD"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14BAFB3A"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6444AD2B"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7320A2AE"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460DD031"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F65C48">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589056" behindDoc="0" locked="0" layoutInCell="1" allowOverlap="1" wp14:anchorId="09E862F0" wp14:editId="33284484">
                <wp:simplePos x="0" y="0"/>
                <wp:positionH relativeFrom="margin">
                  <wp:align>center</wp:align>
                </wp:positionH>
                <wp:positionV relativeFrom="paragraph">
                  <wp:posOffset>-161925</wp:posOffset>
                </wp:positionV>
                <wp:extent cx="6606540" cy="411480"/>
                <wp:effectExtent l="0" t="0" r="22860" b="26670"/>
                <wp:wrapNone/>
                <wp:docPr id="595077508" name="Cuadro de texto 59507750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5BE4553" w14:textId="77777777" w:rsidR="00F65C48" w:rsidRPr="00F65C48" w:rsidRDefault="00F65C48" w:rsidP="00F65C48">
                            <w:pPr>
                              <w:jc w:val="center"/>
                              <w:rPr>
                                <w:rFonts w:cs="Calibri"/>
                              </w:rPr>
                            </w:pPr>
                            <w:r w:rsidRPr="00F65C48">
                              <w:rPr>
                                <w:rFonts w:cs="Calibri"/>
                                <w:b/>
                              </w:rPr>
                              <w:t>ESCALA DE EVALUACIÓN – ENSAYO FINAL</w:t>
                            </w:r>
                          </w:p>
                          <w:p w14:paraId="0F7657EC" w14:textId="77777777" w:rsidR="00F65C48" w:rsidRPr="00F65C48" w:rsidRDefault="00F65C48" w:rsidP="00F65C48">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E862F0" id="Cuadro de texto 595077508" o:spid="_x0000_s1235" type="#_x0000_t202" style="position:absolute;left:0;text-align:left;margin-left:0;margin-top:-12.75pt;width:520.2pt;height:32.4pt;z-index:252589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" fillcolor="window" strokeweight=".5pt">
                <v:textbox>
                  <w:txbxContent>
                    <w:p w14:paraId="25BE4553" w14:textId="77777777" w:rsidR="00F65C48" w:rsidRPr="00F65C48" w:rsidRDefault="00F65C48" w:rsidP="00F65C48">
                      <w:pPr>
                        <w:jc w:val="center"/>
                        <w:rPr>
                          <w:rFonts w:cs="Calibri"/>
                        </w:rPr>
                      </w:pPr>
                      <w:r w:rsidRPr="00F65C48">
                        <w:rPr>
                          <w:rFonts w:cs="Calibri"/>
                          <w:b/>
                        </w:rPr>
                        <w:t>ESCALA DE EVALUACIÓN – ENSAYO FINAL</w:t>
                      </w:r>
                    </w:p>
                    <w:p w14:paraId="0F7657EC" w14:textId="77777777" w:rsidR="00F65C48" w:rsidRPr="00F65C48" w:rsidRDefault="00F65C48" w:rsidP="00F65C48">
                      <w:pPr>
                        <w:jc w:val="center"/>
                        <w:rPr>
                          <w:rFonts w:cs="Calibri"/>
                        </w:rPr>
                      </w:pPr>
                    </w:p>
                  </w:txbxContent>
                </v:textbox>
                <w10:wrap anchorx="margin"/>
              </v:shape>
            </w:pict>
          </mc:Fallback>
        </mc:AlternateContent>
      </w:r>
    </w:p>
    <w:p w14:paraId="1AF8BFB2"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53DEC59D"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70C0"/>
          <w:kern w:val="0"/>
          <w:lang w:val="es-ES_tradnl" w:eastAsia="es-CR"/>
          <w14:ligatures w14:val="none"/>
        </w:rPr>
      </w:pPr>
      <w:r w:rsidRPr="00F65C48">
        <w:rPr>
          <w:rFonts w:ascii="Calibri" w:eastAsia="Times New Roman" w:hAnsi="Calibri" w:cs="Calibri"/>
          <w:bCs/>
          <w:color w:val="0070C0"/>
          <w:kern w:val="0"/>
          <w:lang w:val="es-ES_tradnl" w:eastAsia="es-CR"/>
          <w14:ligatures w14:val="none"/>
        </w:rPr>
        <w:t>Con el ensayo final se buscará que la persona estudiante pueda realizar una síntesis valorativa de los contenidos del curso, de manera particular sobre los modelos para el análisis del mundo social del Nuevo Testamento y cómo aplicarlos a textos bíblicos específicos. Se elabora desde la sesión 10 hasta la 15 y tiene un valor de 30%.</w:t>
      </w:r>
    </w:p>
    <w:p w14:paraId="244FE97C"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p>
    <w:p w14:paraId="757D81FE"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pPr>
      <w:r w:rsidRPr="00F65C48">
        <w:rPr>
          <w:rFonts w:ascii="Calibri" w:eastAsia="Times New Roman" w:hAnsi="Calibri" w:cs="Calibri"/>
          <w:bCs/>
          <w:noProof/>
          <w:color w:val="000000"/>
          <w:kern w:val="0"/>
          <w:lang w:val="es-ES_tradnl" w:eastAsia="es-CR"/>
          <w14:ligatures w14:val="none"/>
        </w:rPr>
        <w:drawing>
          <wp:anchor distT="0" distB="0" distL="114300" distR="114300" simplePos="0" relativeHeight="252590080" behindDoc="0" locked="0" layoutInCell="1" allowOverlap="1" wp14:anchorId="2AD93FB1" wp14:editId="6B6D2491">
            <wp:simplePos x="0" y="0"/>
            <wp:positionH relativeFrom="margin">
              <wp:align>center</wp:align>
            </wp:positionH>
            <wp:positionV relativeFrom="paragraph">
              <wp:posOffset>77470</wp:posOffset>
            </wp:positionV>
            <wp:extent cx="8052816" cy="4352544"/>
            <wp:effectExtent l="0" t="0" r="5715" b="0"/>
            <wp:wrapNone/>
            <wp:docPr id="555665368"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665368" name="Imagen 6" descr="Tabla&#10;&#10;Descripción generada automáticamente"/>
                    <pic:cNvPicPr/>
                  </pic:nvPicPr>
                  <pic:blipFill>
                    <a:blip r:embed="rId490">
                      <a:extLst>
                        <a:ext uri="{28A0092B-C50C-407E-A947-70E740481C1C}">
                          <a14:useLocalDpi xmlns:a14="http://schemas.microsoft.com/office/drawing/2010/main" val="0"/>
                        </a:ext>
                      </a:extLst>
                    </a:blip>
                    <a:stretch>
                      <a:fillRect/>
                    </a:stretch>
                  </pic:blipFill>
                  <pic:spPr>
                    <a:xfrm>
                      <a:off x="0" y="0"/>
                      <a:ext cx="8052816" cy="4352544"/>
                    </a:xfrm>
                    <a:prstGeom prst="rect">
                      <a:avLst/>
                    </a:prstGeom>
                  </pic:spPr>
                </pic:pic>
              </a:graphicData>
            </a:graphic>
          </wp:anchor>
        </w:drawing>
      </w:r>
    </w:p>
    <w:p w14:paraId="6AF0DE43"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center"/>
        <w:rPr>
          <w:rFonts w:ascii="Calibri" w:eastAsia="Times New Roman" w:hAnsi="Calibri" w:cs="Calibri"/>
          <w:bCs/>
          <w:color w:val="000000"/>
          <w:kern w:val="0"/>
          <w:lang w:val="es-ES_tradnl" w:eastAsia="es-CR"/>
          <w14:ligatures w14:val="none"/>
        </w:rPr>
        <w:sectPr w:rsidR="00F65C48" w:rsidRPr="00F65C48" w:rsidSect="005C1895">
          <w:pgSz w:w="15840" w:h="12240" w:orient="landscape"/>
          <w:pgMar w:top="720" w:right="720" w:bottom="720" w:left="720" w:header="709" w:footer="709" w:gutter="0"/>
          <w:cols w:space="708"/>
          <w:docGrid w:linePitch="360"/>
        </w:sectPr>
      </w:pPr>
    </w:p>
    <w:p w14:paraId="358BAD3F"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Calibri"/>
          <w:b/>
          <w:color w:val="000000"/>
          <w:kern w:val="0"/>
          <w:lang w:val="es-ES_tradnl" w:eastAsia="es-CR"/>
          <w14:ligatures w14:val="none"/>
        </w:rPr>
      </w:pPr>
      <w:r w:rsidRPr="00F65C48">
        <w:rPr>
          <w:rFonts w:ascii="Calibri" w:eastAsia="Times New Roman" w:hAnsi="Calibri" w:cs="Calibri"/>
          <w:b/>
          <w:color w:val="000000"/>
          <w:kern w:val="0"/>
          <w:lang w:val="es-ES_tradnl" w:eastAsia="es-CR"/>
          <w14:ligatures w14:val="none"/>
        </w:rPr>
        <w:lastRenderedPageBreak/>
        <w:t>XI. Bibliografía obligatoria</w:t>
      </w:r>
    </w:p>
    <w:p w14:paraId="4A821BEF"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F65C48">
        <w:rPr>
          <w:rFonts w:ascii="Calibri" w:eastAsia="Times New Roman" w:hAnsi="Calibri" w:cs="Arial"/>
          <w:b/>
          <w:color w:val="000000"/>
          <w:kern w:val="0"/>
          <w:lang w:eastAsia="es-CR"/>
          <w14:ligatures w14:val="none"/>
        </w:rPr>
        <w:t>Nota:</w:t>
      </w:r>
      <w:r w:rsidRPr="00F65C48">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F65C48">
        <w:rPr>
          <w:rFonts w:ascii="Calibri" w:eastAsia="Times New Roman" w:hAnsi="Calibri" w:cs="Arial"/>
          <w:bCs/>
          <w:color w:val="000000"/>
          <w:kern w:val="0"/>
          <w:lang w:eastAsia="es-CR"/>
          <w14:ligatures w14:val="none"/>
        </w:rPr>
        <w:t>pdf</w:t>
      </w:r>
      <w:proofErr w:type="spellEnd"/>
      <w:r w:rsidRPr="00F65C48">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7C7675B0" w14:textId="77777777" w:rsidR="00F65C48" w:rsidRPr="00F65C48" w:rsidRDefault="00F65C48" w:rsidP="00F65C48">
      <w:pPr>
        <w:widowControl w:val="0"/>
        <w:overflowPunct w:val="0"/>
        <w:autoSpaceDE w:val="0"/>
        <w:autoSpaceDN w:val="0"/>
        <w:adjustRightInd w:val="0"/>
        <w:spacing w:before="120" w:after="0" w:line="276" w:lineRule="auto"/>
        <w:ind w:left="708" w:right="35" w:hanging="708"/>
        <w:jc w:val="both"/>
        <w:rPr>
          <w:rFonts w:ascii="Calibri" w:eastAsia="Times New Roman" w:hAnsi="Calibri" w:cs="Calibri"/>
          <w:kern w:val="0"/>
          <w:lang w:val="es-ES_tradnl" w:eastAsia="es-CR"/>
          <w14:ligatures w14:val="none"/>
        </w:rPr>
      </w:pPr>
      <w:r w:rsidRPr="00F65C48">
        <w:rPr>
          <w:rFonts w:ascii="Calibri" w:eastAsia="Times New Roman" w:hAnsi="Calibri" w:cs="Calibri"/>
          <w:kern w:val="0"/>
          <w:lang w:val="es-ES_tradnl" w:eastAsia="es-CR"/>
          <w14:ligatures w14:val="none"/>
        </w:rPr>
        <w:t xml:space="preserve">Aguirre, Rafael. “Exégesis contextual, ciencias sociales y dimensión teológica”. En </w:t>
      </w:r>
      <w:r w:rsidRPr="00F65C48">
        <w:rPr>
          <w:rFonts w:ascii="Calibri" w:eastAsia="Times New Roman" w:hAnsi="Calibri" w:cs="Calibri"/>
          <w:i/>
          <w:iCs/>
          <w:kern w:val="0"/>
          <w:lang w:val="es-ES_tradnl" w:eastAsia="es-CR"/>
          <w14:ligatures w14:val="none"/>
        </w:rPr>
        <w:t>El Nuevo Testamento en su contexto: propuestas de lectura</w:t>
      </w:r>
      <w:r w:rsidRPr="00F65C48">
        <w:rPr>
          <w:rFonts w:ascii="Calibri" w:eastAsia="Times New Roman" w:hAnsi="Calibri" w:cs="Calibri"/>
          <w:kern w:val="0"/>
          <w:lang w:val="es-ES_tradnl" w:eastAsia="es-CR"/>
          <w14:ligatures w14:val="none"/>
        </w:rPr>
        <w:t>, editado por Rafael Aguirre, 15-31. Estella: Verbo Divino, 2013. (</w:t>
      </w:r>
      <w:r w:rsidRPr="00F65C48">
        <w:rPr>
          <w:rFonts w:ascii="Calibri" w:eastAsia="Times New Roman" w:hAnsi="Calibri" w:cs="Calibri"/>
          <w:color w:val="0070C0"/>
          <w:kern w:val="0"/>
          <w:szCs w:val="18"/>
          <w:lang w:val="es-ES_tradnl" w:eastAsia="es-CR"/>
          <w14:ligatures w14:val="none"/>
        </w:rPr>
        <w:t>clásico,</w:t>
      </w:r>
      <w:r w:rsidRPr="00F65C48">
        <w:rPr>
          <w:rFonts w:ascii="Calibri" w:eastAsia="Times New Roman" w:hAnsi="Calibri" w:cs="Calibri"/>
          <w:kern w:val="0"/>
          <w:szCs w:val="18"/>
          <w:lang w:val="es-ES_tradnl" w:eastAsia="es-CR"/>
          <w14:ligatures w14:val="none"/>
        </w:rPr>
        <w:t xml:space="preserve"> </w:t>
      </w:r>
      <w:r w:rsidRPr="00F65C48">
        <w:rPr>
          <w:rFonts w:ascii="Calibri" w:eastAsia="Times New Roman" w:hAnsi="Calibri" w:cs="Calibri"/>
          <w:kern w:val="0"/>
          <w:lang w:val="es-ES_tradnl" w:eastAsia="es-CR"/>
          <w14:ligatures w14:val="none"/>
        </w:rPr>
        <w:t>última edición)</w:t>
      </w:r>
    </w:p>
    <w:p w14:paraId="678DE748" w14:textId="77777777" w:rsidR="00F65C48" w:rsidRPr="00F65C48" w:rsidRDefault="00F65C48" w:rsidP="00F65C48">
      <w:pPr>
        <w:widowControl w:val="0"/>
        <w:overflowPunct w:val="0"/>
        <w:autoSpaceDE w:val="0"/>
        <w:autoSpaceDN w:val="0"/>
        <w:adjustRightInd w:val="0"/>
        <w:spacing w:before="120" w:after="0" w:line="276" w:lineRule="auto"/>
        <w:ind w:left="708" w:right="35" w:hanging="708"/>
        <w:jc w:val="both"/>
        <w:rPr>
          <w:rFonts w:ascii="Calibri" w:eastAsia="Arial" w:hAnsi="Calibri" w:cs="Calibri"/>
          <w:kern w:val="0"/>
          <w:lang w:val="es-ES" w:eastAsia="es-CR"/>
          <w14:ligatures w14:val="none"/>
        </w:rPr>
      </w:pPr>
      <w:r w:rsidRPr="00F65C48">
        <w:rPr>
          <w:rFonts w:ascii="Calibri" w:eastAsia="Arial" w:hAnsi="Calibri" w:cs="Calibri"/>
          <w:kern w:val="0"/>
          <w:lang w:val="es-ES" w:eastAsia="es-CR"/>
          <w14:ligatures w14:val="none"/>
        </w:rPr>
        <w:t xml:space="preserve">Aguirre, Rafael, “Rito de pertenencia: comidas eucarísticas”. En </w:t>
      </w:r>
      <w:r w:rsidRPr="00F65C48">
        <w:rPr>
          <w:rFonts w:ascii="Calibri" w:eastAsia="Arial" w:hAnsi="Calibri" w:cs="Calibri"/>
          <w:i/>
          <w:iCs/>
          <w:kern w:val="0"/>
          <w:lang w:val="es-ES" w:eastAsia="es-CR"/>
          <w14:ligatures w14:val="none"/>
        </w:rPr>
        <w:t>Así vivían los primeros cristianos: evolución de las prácticas y las creencias en el cristianismo de los orígenes</w:t>
      </w:r>
      <w:r w:rsidRPr="00F65C48">
        <w:rPr>
          <w:rFonts w:ascii="Calibri" w:eastAsia="Arial" w:hAnsi="Calibri" w:cs="Calibri"/>
          <w:kern w:val="0"/>
          <w:lang w:val="es-ES" w:eastAsia="es-CR"/>
          <w14:ligatures w14:val="none"/>
        </w:rPr>
        <w:t xml:space="preserve">, editado por Rafael Aguirre, 157-209. Estella: Verbo Divino, 2018. </w:t>
      </w:r>
      <w:r w:rsidRPr="00F65C48">
        <w:rPr>
          <w:rFonts w:ascii="Calibri" w:eastAsia="Times New Roman" w:hAnsi="Calibri" w:cs="Calibri"/>
          <w:kern w:val="0"/>
          <w:lang w:val="es-ES_tradnl" w:eastAsia="es-CR"/>
          <w14:ligatures w14:val="none"/>
        </w:rPr>
        <w:t>(</w:t>
      </w:r>
      <w:r w:rsidRPr="00F65C48">
        <w:rPr>
          <w:rFonts w:ascii="Calibri" w:eastAsia="Times New Roman" w:hAnsi="Calibri" w:cs="Calibri"/>
          <w:color w:val="0070C0"/>
          <w:kern w:val="0"/>
          <w:szCs w:val="18"/>
          <w:lang w:val="es-ES_tradnl" w:eastAsia="es-CR"/>
          <w14:ligatures w14:val="none"/>
        </w:rPr>
        <w:t>clásico,</w:t>
      </w:r>
      <w:r w:rsidRPr="00F65C48">
        <w:rPr>
          <w:rFonts w:ascii="Calibri" w:eastAsia="Times New Roman" w:hAnsi="Calibri" w:cs="Calibri"/>
          <w:kern w:val="0"/>
          <w:szCs w:val="18"/>
          <w:lang w:val="es-ES_tradnl" w:eastAsia="es-CR"/>
          <w14:ligatures w14:val="none"/>
        </w:rPr>
        <w:t xml:space="preserve"> </w:t>
      </w:r>
      <w:r w:rsidRPr="00F65C48">
        <w:rPr>
          <w:rFonts w:ascii="Calibri" w:eastAsia="Times New Roman" w:hAnsi="Calibri" w:cs="Calibri"/>
          <w:kern w:val="0"/>
          <w:lang w:val="es-ES_tradnl" w:eastAsia="es-CR"/>
          <w14:ligatures w14:val="none"/>
        </w:rPr>
        <w:t>última edición)</w:t>
      </w:r>
    </w:p>
    <w:p w14:paraId="49EEA938" w14:textId="77777777" w:rsidR="00F65C48" w:rsidRPr="00F65C48" w:rsidRDefault="00F65C48" w:rsidP="00F65C48">
      <w:pPr>
        <w:widowControl w:val="0"/>
        <w:overflowPunct w:val="0"/>
        <w:autoSpaceDE w:val="0"/>
        <w:autoSpaceDN w:val="0"/>
        <w:adjustRightInd w:val="0"/>
        <w:spacing w:before="120" w:after="0" w:line="276" w:lineRule="auto"/>
        <w:ind w:left="709" w:right="34" w:hanging="709"/>
        <w:jc w:val="both"/>
        <w:rPr>
          <w:rFonts w:ascii="Calibri" w:eastAsia="Arial" w:hAnsi="Calibri" w:cs="Calibri"/>
          <w:kern w:val="0"/>
          <w:lang w:val="es-ES" w:eastAsia="es-CR"/>
          <w14:ligatures w14:val="none"/>
        </w:rPr>
      </w:pPr>
      <w:r w:rsidRPr="00F65C48">
        <w:rPr>
          <w:rFonts w:ascii="Calibri" w:eastAsia="Arial" w:hAnsi="Calibri" w:cs="Calibri"/>
          <w:kern w:val="0"/>
          <w:lang w:val="es-ES" w:eastAsia="es-CR"/>
          <w14:ligatures w14:val="none"/>
        </w:rPr>
        <w:t xml:space="preserve">Carter, Warren. </w:t>
      </w:r>
      <w:r w:rsidRPr="00F65C48">
        <w:rPr>
          <w:rFonts w:ascii="Calibri" w:eastAsia="Arial" w:hAnsi="Calibri" w:cs="Calibri"/>
          <w:i/>
          <w:iCs/>
          <w:kern w:val="0"/>
          <w:lang w:val="es-ES" w:eastAsia="es-CR"/>
          <w14:ligatures w14:val="none"/>
        </w:rPr>
        <w:t>El Imperio Romano y el Nuevo Testamento</w:t>
      </w:r>
      <w:r w:rsidRPr="00F65C48">
        <w:rPr>
          <w:rFonts w:ascii="Calibri" w:eastAsia="Arial" w:hAnsi="Calibri" w:cs="Calibri"/>
          <w:kern w:val="0"/>
          <w:lang w:val="es-ES" w:eastAsia="es-CR"/>
          <w14:ligatures w14:val="none"/>
        </w:rPr>
        <w:t xml:space="preserve">. Estella: Verbo Divino, 2011. </w:t>
      </w:r>
      <w:r w:rsidRPr="00F65C48">
        <w:rPr>
          <w:rFonts w:ascii="Calibri" w:eastAsia="Times New Roman" w:hAnsi="Calibri" w:cs="Calibri"/>
          <w:kern w:val="0"/>
          <w:lang w:val="es-ES_tradnl" w:eastAsia="es-CR"/>
          <w14:ligatures w14:val="none"/>
        </w:rPr>
        <w:t>(</w:t>
      </w:r>
      <w:r w:rsidRPr="00F65C48">
        <w:rPr>
          <w:rFonts w:ascii="Calibri" w:eastAsia="Times New Roman" w:hAnsi="Calibri" w:cs="Calibri"/>
          <w:color w:val="0070C0"/>
          <w:kern w:val="0"/>
          <w:szCs w:val="18"/>
          <w:lang w:val="es-ES_tradnl" w:eastAsia="es-CR"/>
          <w14:ligatures w14:val="none"/>
        </w:rPr>
        <w:t>clásico,</w:t>
      </w:r>
      <w:r w:rsidRPr="00F65C48">
        <w:rPr>
          <w:rFonts w:ascii="Calibri" w:eastAsia="Times New Roman" w:hAnsi="Calibri" w:cs="Calibri"/>
          <w:kern w:val="0"/>
          <w:szCs w:val="18"/>
          <w:lang w:val="es-ES_tradnl" w:eastAsia="es-CR"/>
          <w14:ligatures w14:val="none"/>
        </w:rPr>
        <w:t xml:space="preserve"> </w:t>
      </w:r>
      <w:r w:rsidRPr="00F65C48">
        <w:rPr>
          <w:rFonts w:ascii="Calibri" w:eastAsia="Times New Roman" w:hAnsi="Calibri" w:cs="Calibri"/>
          <w:kern w:val="0"/>
          <w:lang w:val="es-ES_tradnl" w:eastAsia="es-CR"/>
          <w14:ligatures w14:val="none"/>
        </w:rPr>
        <w:t>última edición)</w:t>
      </w:r>
    </w:p>
    <w:p w14:paraId="63DEB10B" w14:textId="77777777" w:rsidR="00F65C48" w:rsidRPr="00F65C48" w:rsidRDefault="00F65C48" w:rsidP="4C9C2619">
      <w:pPr>
        <w:widowControl w:val="0"/>
        <w:overflowPunct w:val="0"/>
        <w:autoSpaceDE w:val="0"/>
        <w:autoSpaceDN w:val="0"/>
        <w:adjustRightInd w:val="0"/>
        <w:spacing w:before="120" w:after="0" w:line="276" w:lineRule="auto"/>
        <w:ind w:left="708" w:hanging="708"/>
        <w:jc w:val="both"/>
        <w:rPr>
          <w:rFonts w:ascii="Calibri" w:eastAsia="Times New Roman" w:hAnsi="Calibri" w:cs="Calibri"/>
          <w:i/>
          <w:iCs/>
          <w:color w:val="000000"/>
          <w:kern w:val="0"/>
          <w:lang w:val="es-ES" w:eastAsia="es-CR"/>
          <w14:ligatures w14:val="none"/>
        </w:rPr>
      </w:pPr>
      <w:proofErr w:type="spellStart"/>
      <w:r w:rsidRPr="4C9C2619">
        <w:rPr>
          <w:rFonts w:ascii="Calibri" w:eastAsia="Times New Roman" w:hAnsi="Calibri" w:cs="Calibri"/>
          <w:color w:val="000000"/>
          <w:kern w:val="0"/>
          <w:lang w:val="es-ES" w:eastAsia="es-CR"/>
          <w14:ligatures w14:val="none"/>
        </w:rPr>
        <w:t>Horsley</w:t>
      </w:r>
      <w:proofErr w:type="spellEnd"/>
      <w:r w:rsidRPr="4C9C2619">
        <w:rPr>
          <w:rFonts w:ascii="Calibri" w:eastAsia="Times New Roman" w:hAnsi="Calibri" w:cs="Calibri"/>
          <w:color w:val="000000"/>
          <w:kern w:val="0"/>
          <w:lang w:val="es-ES" w:eastAsia="es-CR"/>
          <w14:ligatures w14:val="none"/>
        </w:rPr>
        <w:t xml:space="preserve">, R. </w:t>
      </w:r>
      <w:r w:rsidRPr="4C9C2619">
        <w:rPr>
          <w:rFonts w:ascii="Calibri" w:eastAsia="Times New Roman" w:hAnsi="Calibri" w:cs="Calibri"/>
          <w:i/>
          <w:iCs/>
          <w:color w:val="000000"/>
          <w:kern w:val="0"/>
          <w:lang w:val="es-ES" w:eastAsia="es-CR"/>
          <w14:ligatures w14:val="none"/>
        </w:rPr>
        <w:t>Jesús y el Imperio: el Reino de Dios y el nuevo desorden mundial.</w:t>
      </w:r>
      <w:r w:rsidRPr="4C9C2619">
        <w:rPr>
          <w:rFonts w:ascii="Calibri" w:eastAsia="Times New Roman" w:hAnsi="Calibri" w:cs="Calibri"/>
          <w:color w:val="000000"/>
          <w:kern w:val="0"/>
          <w:lang w:val="es-ES" w:eastAsia="es-CR"/>
          <w14:ligatures w14:val="none"/>
        </w:rPr>
        <w:t xml:space="preserve"> Estella: Verbo Divino, 2003. </w:t>
      </w:r>
      <w:r w:rsidRPr="4C9C2619">
        <w:rPr>
          <w:rFonts w:ascii="Calibri" w:eastAsia="Times New Roman" w:hAnsi="Calibri" w:cs="Calibri"/>
          <w:kern w:val="0"/>
          <w:lang w:val="es-ES" w:eastAsia="es-CR"/>
          <w14:ligatures w14:val="none"/>
        </w:rPr>
        <w:t>(</w:t>
      </w:r>
      <w:r w:rsidRPr="4C9C2619">
        <w:rPr>
          <w:rFonts w:ascii="Calibri" w:eastAsia="Times New Roman" w:hAnsi="Calibri" w:cs="Calibri"/>
          <w:color w:val="0070C0"/>
          <w:kern w:val="0"/>
          <w:lang w:val="es-ES" w:eastAsia="es-CR"/>
          <w14:ligatures w14:val="none"/>
        </w:rPr>
        <w:t>clásico,</w:t>
      </w:r>
      <w:r w:rsidRPr="4C9C2619">
        <w:rPr>
          <w:rFonts w:ascii="Calibri" w:eastAsia="Times New Roman" w:hAnsi="Calibri" w:cs="Calibri"/>
          <w:kern w:val="0"/>
          <w:lang w:val="es-ES" w:eastAsia="es-CR"/>
          <w14:ligatures w14:val="none"/>
        </w:rPr>
        <w:t xml:space="preserve"> última edición)</w:t>
      </w:r>
      <w:r w:rsidRPr="4C9C2619">
        <w:rPr>
          <w:rFonts w:ascii="Calibri" w:eastAsia="Times New Roman" w:hAnsi="Calibri" w:cs="Calibri"/>
          <w:i/>
          <w:iCs/>
          <w:color w:val="000000"/>
          <w:kern w:val="0"/>
          <w:lang w:val="es-ES" w:eastAsia="es-CR"/>
          <w14:ligatures w14:val="none"/>
        </w:rPr>
        <w:t xml:space="preserve"> </w:t>
      </w:r>
    </w:p>
    <w:p w14:paraId="713ADBD1" w14:textId="77777777" w:rsidR="00F65C48" w:rsidRPr="00F65C48" w:rsidRDefault="00F65C48" w:rsidP="00F65C48">
      <w:pPr>
        <w:widowControl w:val="0"/>
        <w:overflowPunct w:val="0"/>
        <w:autoSpaceDE w:val="0"/>
        <w:autoSpaceDN w:val="0"/>
        <w:adjustRightInd w:val="0"/>
        <w:spacing w:before="120" w:after="0" w:line="276" w:lineRule="auto"/>
        <w:ind w:left="708" w:hanging="708"/>
        <w:jc w:val="both"/>
        <w:rPr>
          <w:rFonts w:ascii="Calibri" w:eastAsia="Arial" w:hAnsi="Calibri" w:cs="Calibri"/>
          <w:kern w:val="0"/>
          <w:lang w:val="es-ES" w:eastAsia="es-CR"/>
          <w14:ligatures w14:val="none"/>
        </w:rPr>
      </w:pPr>
      <w:r w:rsidRPr="00F65C48">
        <w:rPr>
          <w:rFonts w:ascii="Calibri" w:eastAsia="Arial" w:hAnsi="Calibri" w:cs="Calibri"/>
          <w:kern w:val="0"/>
          <w:lang w:val="es-ES" w:eastAsia="es-CR"/>
          <w14:ligatures w14:val="none"/>
        </w:rPr>
        <w:t xml:space="preserve">Hurtado, Larry. </w:t>
      </w:r>
      <w:r w:rsidRPr="00F65C48">
        <w:rPr>
          <w:rFonts w:ascii="Calibri" w:eastAsia="Arial" w:hAnsi="Calibri" w:cs="Calibri"/>
          <w:i/>
          <w:iCs/>
          <w:kern w:val="0"/>
          <w:lang w:val="es-ES" w:eastAsia="es-CR"/>
          <w14:ligatures w14:val="none"/>
        </w:rPr>
        <w:t>Destructor de los dioses: el cristianismo en el mundo antiguo.</w:t>
      </w:r>
      <w:r w:rsidRPr="00F65C48">
        <w:rPr>
          <w:rFonts w:ascii="Calibri" w:eastAsia="Arial" w:hAnsi="Calibri" w:cs="Calibri"/>
          <w:kern w:val="0"/>
          <w:lang w:val="es-ES" w:eastAsia="es-CR"/>
          <w14:ligatures w14:val="none"/>
        </w:rPr>
        <w:t xml:space="preserve"> Salamanca: Sígueme, 2017. </w:t>
      </w:r>
      <w:r w:rsidRPr="00F65C48">
        <w:rPr>
          <w:rFonts w:ascii="Calibri" w:eastAsia="Times New Roman" w:hAnsi="Calibri" w:cs="Calibri"/>
          <w:kern w:val="0"/>
          <w:lang w:val="es-ES_tradnl" w:eastAsia="es-CR"/>
          <w14:ligatures w14:val="none"/>
        </w:rPr>
        <w:t>(</w:t>
      </w:r>
      <w:r w:rsidRPr="00F65C48">
        <w:rPr>
          <w:rFonts w:ascii="Calibri" w:eastAsia="Times New Roman" w:hAnsi="Calibri" w:cs="Calibri"/>
          <w:color w:val="0070C0"/>
          <w:kern w:val="0"/>
          <w:szCs w:val="18"/>
          <w:lang w:val="es-ES_tradnl" w:eastAsia="es-CR"/>
          <w14:ligatures w14:val="none"/>
        </w:rPr>
        <w:t>clásico,</w:t>
      </w:r>
      <w:r w:rsidRPr="00F65C48">
        <w:rPr>
          <w:rFonts w:ascii="Calibri" w:eastAsia="Times New Roman" w:hAnsi="Calibri" w:cs="Calibri"/>
          <w:kern w:val="0"/>
          <w:szCs w:val="18"/>
          <w:lang w:val="es-ES_tradnl" w:eastAsia="es-CR"/>
          <w14:ligatures w14:val="none"/>
        </w:rPr>
        <w:t xml:space="preserve"> </w:t>
      </w:r>
      <w:r w:rsidRPr="00F65C48">
        <w:rPr>
          <w:rFonts w:ascii="Calibri" w:eastAsia="Times New Roman" w:hAnsi="Calibri" w:cs="Calibri"/>
          <w:kern w:val="0"/>
          <w:lang w:val="es-ES_tradnl" w:eastAsia="es-CR"/>
          <w14:ligatures w14:val="none"/>
        </w:rPr>
        <w:t>última edición)</w:t>
      </w:r>
    </w:p>
    <w:p w14:paraId="7A0FE58C" w14:textId="77777777" w:rsidR="00F65C48" w:rsidRPr="00F65C48" w:rsidRDefault="00F65C48" w:rsidP="00F65C48">
      <w:pPr>
        <w:widowControl w:val="0"/>
        <w:overflowPunct w:val="0"/>
        <w:autoSpaceDE w:val="0"/>
        <w:autoSpaceDN w:val="0"/>
        <w:adjustRightInd w:val="0"/>
        <w:spacing w:before="120" w:after="0" w:line="276" w:lineRule="auto"/>
        <w:ind w:left="708" w:hanging="708"/>
        <w:jc w:val="both"/>
        <w:rPr>
          <w:rFonts w:ascii="Calibri" w:eastAsia="Arial" w:hAnsi="Calibri" w:cs="Calibri"/>
          <w:kern w:val="0"/>
          <w:lang w:val="es-ES" w:eastAsia="es-CR"/>
          <w14:ligatures w14:val="none"/>
        </w:rPr>
      </w:pPr>
      <w:proofErr w:type="spellStart"/>
      <w:r w:rsidRPr="00F65C48">
        <w:rPr>
          <w:rFonts w:ascii="Calibri" w:eastAsia="Arial" w:hAnsi="Calibri" w:cs="Calibri"/>
          <w:kern w:val="0"/>
          <w:lang w:val="es-ES" w:eastAsia="es-CR"/>
          <w14:ligatures w14:val="none"/>
        </w:rPr>
        <w:t>Kreider</w:t>
      </w:r>
      <w:proofErr w:type="spellEnd"/>
      <w:r w:rsidRPr="00F65C48">
        <w:rPr>
          <w:rFonts w:ascii="Calibri" w:eastAsia="Arial" w:hAnsi="Calibri" w:cs="Calibri"/>
          <w:kern w:val="0"/>
          <w:lang w:val="es-ES" w:eastAsia="es-CR"/>
          <w14:ligatures w14:val="none"/>
        </w:rPr>
        <w:t xml:space="preserve">, Alan. </w:t>
      </w:r>
      <w:r w:rsidRPr="00F65C48">
        <w:rPr>
          <w:rFonts w:ascii="Calibri" w:eastAsia="Arial" w:hAnsi="Calibri" w:cs="Calibri"/>
          <w:i/>
          <w:iCs/>
          <w:kern w:val="0"/>
          <w:lang w:val="es-ES" w:eastAsia="es-CR"/>
          <w14:ligatures w14:val="none"/>
        </w:rPr>
        <w:t>La paciencia</w:t>
      </w:r>
      <w:r w:rsidRPr="00F65C48">
        <w:rPr>
          <w:rFonts w:ascii="Calibri" w:eastAsia="Arial" w:hAnsi="Calibri" w:cs="Calibri"/>
          <w:kern w:val="0"/>
          <w:lang w:val="es-ES" w:eastAsia="es-CR"/>
          <w14:ligatures w14:val="none"/>
        </w:rPr>
        <w:t>: e</w:t>
      </w:r>
      <w:r w:rsidRPr="00F65C48">
        <w:rPr>
          <w:rFonts w:ascii="Calibri" w:eastAsia="Arial" w:hAnsi="Calibri" w:cs="Calibri"/>
          <w:i/>
          <w:iCs/>
          <w:kern w:val="0"/>
          <w:lang w:val="es-ES" w:eastAsia="es-CR"/>
          <w14:ligatures w14:val="none"/>
        </w:rPr>
        <w:t xml:space="preserve">l sorprendente fermento del cristianismo en el Imperio Romano. </w:t>
      </w:r>
      <w:r w:rsidRPr="00F65C48">
        <w:rPr>
          <w:rFonts w:ascii="Calibri" w:eastAsia="Arial" w:hAnsi="Calibri" w:cs="Calibri"/>
          <w:kern w:val="0"/>
          <w:lang w:val="es-ES" w:eastAsia="es-CR"/>
          <w14:ligatures w14:val="none"/>
        </w:rPr>
        <w:t xml:space="preserve">Salamanca: Sígueme, 2017. </w:t>
      </w:r>
      <w:r w:rsidRPr="00F65C48">
        <w:rPr>
          <w:rFonts w:ascii="Calibri" w:eastAsia="Times New Roman" w:hAnsi="Calibri" w:cs="Calibri"/>
          <w:kern w:val="0"/>
          <w:lang w:val="es-ES_tradnl" w:eastAsia="es-CR"/>
          <w14:ligatures w14:val="none"/>
        </w:rPr>
        <w:t>(</w:t>
      </w:r>
      <w:r w:rsidRPr="00F65C48">
        <w:rPr>
          <w:rFonts w:ascii="Calibri" w:eastAsia="Times New Roman" w:hAnsi="Calibri" w:cs="Calibri"/>
          <w:color w:val="0070C0"/>
          <w:kern w:val="0"/>
          <w:szCs w:val="18"/>
          <w:lang w:val="es-ES_tradnl" w:eastAsia="es-CR"/>
          <w14:ligatures w14:val="none"/>
        </w:rPr>
        <w:t>clásico,</w:t>
      </w:r>
      <w:r w:rsidRPr="00F65C48">
        <w:rPr>
          <w:rFonts w:ascii="Calibri" w:eastAsia="Times New Roman" w:hAnsi="Calibri" w:cs="Calibri"/>
          <w:kern w:val="0"/>
          <w:szCs w:val="18"/>
          <w:lang w:val="es-ES_tradnl" w:eastAsia="es-CR"/>
          <w14:ligatures w14:val="none"/>
        </w:rPr>
        <w:t xml:space="preserve"> </w:t>
      </w:r>
      <w:r w:rsidRPr="00F65C48">
        <w:rPr>
          <w:rFonts w:ascii="Calibri" w:eastAsia="Times New Roman" w:hAnsi="Calibri" w:cs="Calibri"/>
          <w:kern w:val="0"/>
          <w:lang w:val="es-ES_tradnl" w:eastAsia="es-CR"/>
          <w14:ligatures w14:val="none"/>
        </w:rPr>
        <w:t>última edición)</w:t>
      </w:r>
    </w:p>
    <w:p w14:paraId="4EE6192E" w14:textId="77777777" w:rsidR="00F65C48" w:rsidRPr="00F65C48" w:rsidRDefault="00F65C48" w:rsidP="00F65C48">
      <w:pPr>
        <w:widowControl w:val="0"/>
        <w:overflowPunct w:val="0"/>
        <w:autoSpaceDE w:val="0"/>
        <w:autoSpaceDN w:val="0"/>
        <w:adjustRightInd w:val="0"/>
        <w:spacing w:before="120" w:after="0" w:line="276" w:lineRule="auto"/>
        <w:ind w:left="708" w:right="35" w:hanging="708"/>
        <w:jc w:val="both"/>
        <w:rPr>
          <w:rFonts w:ascii="Calibri" w:eastAsia="Arial" w:hAnsi="Calibri" w:cs="Calibri"/>
          <w:kern w:val="0"/>
          <w:lang w:val="es-ES" w:eastAsia="es-CR"/>
          <w14:ligatures w14:val="none"/>
        </w:rPr>
      </w:pPr>
      <w:r w:rsidRPr="00F65C48">
        <w:rPr>
          <w:rFonts w:ascii="Calibri" w:eastAsia="Arial" w:hAnsi="Calibri" w:cs="Calibri"/>
          <w:kern w:val="0"/>
          <w:lang w:val="es-ES" w:eastAsia="es-CR"/>
          <w14:ligatures w14:val="none"/>
        </w:rPr>
        <w:t xml:space="preserve">Miquel, Esther. “Experiencias religiosas extraordinarias en los orígenes del cristianismo”. En </w:t>
      </w:r>
      <w:r w:rsidRPr="00F65C48">
        <w:rPr>
          <w:rFonts w:ascii="Calibri" w:eastAsia="Arial" w:hAnsi="Calibri" w:cs="Calibri"/>
          <w:i/>
          <w:iCs/>
          <w:kern w:val="0"/>
          <w:lang w:val="es-ES" w:eastAsia="es-CR"/>
          <w14:ligatures w14:val="none"/>
        </w:rPr>
        <w:t>Así vivían los primeros cristianos: evolución de las prácticas y las creencias en el cristianismo de los orígenes</w:t>
      </w:r>
      <w:r w:rsidRPr="00F65C48">
        <w:rPr>
          <w:rFonts w:ascii="Calibri" w:eastAsia="Arial" w:hAnsi="Calibri" w:cs="Calibri"/>
          <w:kern w:val="0"/>
          <w:lang w:val="es-ES" w:eastAsia="es-CR"/>
          <w14:ligatures w14:val="none"/>
        </w:rPr>
        <w:t xml:space="preserve">, editado por Rafael Aguirre, 19-64. Estella: Verbo Divino, 2018. </w:t>
      </w:r>
      <w:r w:rsidRPr="00F65C48">
        <w:rPr>
          <w:rFonts w:ascii="Calibri" w:eastAsia="Times New Roman" w:hAnsi="Calibri" w:cs="Calibri"/>
          <w:kern w:val="0"/>
          <w:lang w:val="es-ES_tradnl" w:eastAsia="es-CR"/>
          <w14:ligatures w14:val="none"/>
        </w:rPr>
        <w:t>(</w:t>
      </w:r>
      <w:r w:rsidRPr="00F65C48">
        <w:rPr>
          <w:rFonts w:ascii="Calibri" w:eastAsia="Times New Roman" w:hAnsi="Calibri" w:cs="Calibri"/>
          <w:color w:val="0070C0"/>
          <w:kern w:val="0"/>
          <w:szCs w:val="18"/>
          <w:lang w:val="es-ES_tradnl" w:eastAsia="es-CR"/>
          <w14:ligatures w14:val="none"/>
        </w:rPr>
        <w:t>clásico,</w:t>
      </w:r>
      <w:r w:rsidRPr="00F65C48">
        <w:rPr>
          <w:rFonts w:ascii="Calibri" w:eastAsia="Times New Roman" w:hAnsi="Calibri" w:cs="Calibri"/>
          <w:kern w:val="0"/>
          <w:szCs w:val="18"/>
          <w:lang w:val="es-ES_tradnl" w:eastAsia="es-CR"/>
          <w14:ligatures w14:val="none"/>
        </w:rPr>
        <w:t xml:space="preserve"> </w:t>
      </w:r>
      <w:r w:rsidRPr="00F65C48">
        <w:rPr>
          <w:rFonts w:ascii="Calibri" w:eastAsia="Times New Roman" w:hAnsi="Calibri" w:cs="Calibri"/>
          <w:kern w:val="0"/>
          <w:lang w:val="es-ES_tradnl" w:eastAsia="es-CR"/>
          <w14:ligatures w14:val="none"/>
        </w:rPr>
        <w:t>última edición)</w:t>
      </w:r>
    </w:p>
    <w:p w14:paraId="6C60D426" w14:textId="77777777" w:rsidR="00F65C48" w:rsidRPr="00F65C48" w:rsidRDefault="00F65C48" w:rsidP="00F65C48">
      <w:pPr>
        <w:widowControl w:val="0"/>
        <w:overflowPunct w:val="0"/>
        <w:autoSpaceDE w:val="0"/>
        <w:autoSpaceDN w:val="0"/>
        <w:adjustRightInd w:val="0"/>
        <w:spacing w:before="120" w:after="0" w:line="276" w:lineRule="auto"/>
        <w:ind w:left="708" w:hanging="708"/>
        <w:jc w:val="both"/>
        <w:rPr>
          <w:rFonts w:ascii="Calibri" w:eastAsia="Times New Roman" w:hAnsi="Calibri" w:cs="Calibri"/>
          <w:color w:val="000000"/>
          <w:kern w:val="0"/>
          <w:lang w:val="es-ES_tradnl" w:eastAsia="es-CR"/>
          <w14:ligatures w14:val="none"/>
        </w:rPr>
      </w:pPr>
      <w:r w:rsidRPr="00F65C48">
        <w:rPr>
          <w:rFonts w:ascii="Calibri" w:eastAsia="Times New Roman" w:hAnsi="Calibri" w:cs="Calibri"/>
          <w:color w:val="000000"/>
          <w:kern w:val="0"/>
          <w:lang w:val="es-ES_tradnl" w:eastAsia="es-CR"/>
          <w14:ligatures w14:val="none"/>
        </w:rPr>
        <w:t xml:space="preserve">Miquel, Esther. </w:t>
      </w:r>
      <w:r w:rsidRPr="00F65C48">
        <w:rPr>
          <w:rFonts w:ascii="Calibri" w:eastAsia="Times New Roman" w:hAnsi="Calibri" w:cs="Calibri"/>
          <w:i/>
          <w:iCs/>
          <w:color w:val="000000"/>
          <w:kern w:val="0"/>
          <w:lang w:val="es-ES_tradnl" w:eastAsia="es-CR"/>
          <w14:ligatures w14:val="none"/>
        </w:rPr>
        <w:t>El Nuevo Testamento desde las ciencias sociales</w:t>
      </w:r>
      <w:r w:rsidRPr="00F65C48">
        <w:rPr>
          <w:rFonts w:ascii="Calibri" w:eastAsia="Times New Roman" w:hAnsi="Calibri" w:cs="Calibri"/>
          <w:color w:val="000000"/>
          <w:kern w:val="0"/>
          <w:lang w:val="es-ES_tradnl" w:eastAsia="es-CR"/>
          <w14:ligatures w14:val="none"/>
        </w:rPr>
        <w:t xml:space="preserve">. Estella: Verbo Divino, 2011. </w:t>
      </w:r>
      <w:r w:rsidRPr="00F65C48">
        <w:rPr>
          <w:rFonts w:ascii="Calibri" w:eastAsia="Times New Roman" w:hAnsi="Calibri" w:cs="Calibri"/>
          <w:kern w:val="0"/>
          <w:lang w:val="es-ES_tradnl" w:eastAsia="es-CR"/>
          <w14:ligatures w14:val="none"/>
        </w:rPr>
        <w:t>(</w:t>
      </w:r>
      <w:r w:rsidRPr="00F65C48">
        <w:rPr>
          <w:rFonts w:ascii="Calibri" w:eastAsia="Times New Roman" w:hAnsi="Calibri" w:cs="Calibri"/>
          <w:color w:val="0070C0"/>
          <w:kern w:val="0"/>
          <w:szCs w:val="18"/>
          <w:lang w:val="es-ES_tradnl" w:eastAsia="es-CR"/>
          <w14:ligatures w14:val="none"/>
        </w:rPr>
        <w:t>clásico,</w:t>
      </w:r>
      <w:r w:rsidRPr="00F65C48">
        <w:rPr>
          <w:rFonts w:ascii="Calibri" w:eastAsia="Times New Roman" w:hAnsi="Calibri" w:cs="Calibri"/>
          <w:kern w:val="0"/>
          <w:szCs w:val="18"/>
          <w:lang w:val="es-ES_tradnl" w:eastAsia="es-CR"/>
          <w14:ligatures w14:val="none"/>
        </w:rPr>
        <w:t xml:space="preserve"> </w:t>
      </w:r>
      <w:r w:rsidRPr="00F65C48">
        <w:rPr>
          <w:rFonts w:ascii="Calibri" w:eastAsia="Times New Roman" w:hAnsi="Calibri" w:cs="Calibri"/>
          <w:kern w:val="0"/>
          <w:lang w:val="es-ES_tradnl" w:eastAsia="es-CR"/>
          <w14:ligatures w14:val="none"/>
        </w:rPr>
        <w:t>última edición)</w:t>
      </w:r>
    </w:p>
    <w:p w14:paraId="59B798DC" w14:textId="77777777" w:rsidR="00F65C48" w:rsidRPr="00F65C48" w:rsidRDefault="00F65C48" w:rsidP="4C9C2619">
      <w:pPr>
        <w:widowControl w:val="0"/>
        <w:overflowPunct w:val="0"/>
        <w:autoSpaceDE w:val="0"/>
        <w:autoSpaceDN w:val="0"/>
        <w:adjustRightInd w:val="0"/>
        <w:spacing w:before="120" w:after="0" w:line="276" w:lineRule="auto"/>
        <w:ind w:left="708" w:hanging="708"/>
        <w:jc w:val="both"/>
        <w:rPr>
          <w:rFonts w:ascii="Calibri" w:eastAsia="Times New Roman" w:hAnsi="Calibri" w:cs="Calibri"/>
          <w:color w:val="000000"/>
          <w:kern w:val="0"/>
          <w:lang w:val="es-ES" w:eastAsia="es-CR"/>
          <w14:ligatures w14:val="none"/>
        </w:rPr>
      </w:pPr>
      <w:proofErr w:type="spellStart"/>
      <w:r w:rsidRPr="4C9C2619">
        <w:rPr>
          <w:rFonts w:ascii="Calibri" w:eastAsia="Times New Roman" w:hAnsi="Calibri" w:cs="Calibri"/>
          <w:color w:val="000000"/>
          <w:kern w:val="0"/>
          <w:lang w:val="es-ES" w:eastAsia="es-CR"/>
          <w14:ligatures w14:val="none"/>
        </w:rPr>
        <w:t>Rohrbaugh</w:t>
      </w:r>
      <w:proofErr w:type="spellEnd"/>
      <w:r w:rsidRPr="4C9C2619">
        <w:rPr>
          <w:rFonts w:ascii="Calibri" w:eastAsia="Times New Roman" w:hAnsi="Calibri" w:cs="Calibri"/>
          <w:color w:val="000000"/>
          <w:kern w:val="0"/>
          <w:lang w:val="es-ES" w:eastAsia="es-CR"/>
          <w14:ligatures w14:val="none"/>
        </w:rPr>
        <w:t xml:space="preserve">, Richard. “Honor: valor esencial en el mundo bíblico”. En </w:t>
      </w:r>
      <w:r w:rsidRPr="4C9C2619">
        <w:rPr>
          <w:rFonts w:ascii="Calibri" w:eastAsia="Times New Roman" w:hAnsi="Calibri" w:cs="Calibri"/>
          <w:i/>
          <w:iCs/>
          <w:color w:val="000000"/>
          <w:kern w:val="0"/>
          <w:lang w:val="es-ES" w:eastAsia="es-CR"/>
          <w14:ligatures w14:val="none"/>
        </w:rPr>
        <w:t>Para entender el mundo social del Nuevo Testamento</w:t>
      </w:r>
      <w:r w:rsidRPr="4C9C2619">
        <w:rPr>
          <w:rFonts w:ascii="Calibri" w:eastAsia="Times New Roman" w:hAnsi="Calibri" w:cs="Calibri"/>
          <w:color w:val="000000"/>
          <w:kern w:val="0"/>
          <w:lang w:val="es-ES" w:eastAsia="es-CR"/>
          <w14:ligatures w14:val="none"/>
        </w:rPr>
        <w:t xml:space="preserve">, editado por Dietmar </w:t>
      </w:r>
      <w:proofErr w:type="spellStart"/>
      <w:r w:rsidRPr="4C9C2619">
        <w:rPr>
          <w:rFonts w:ascii="Calibri" w:eastAsia="Times New Roman" w:hAnsi="Calibri" w:cs="Calibri"/>
          <w:color w:val="000000"/>
          <w:kern w:val="0"/>
          <w:lang w:val="es-ES" w:eastAsia="es-CR"/>
          <w14:ligatures w14:val="none"/>
        </w:rPr>
        <w:t>Neufeld</w:t>
      </w:r>
      <w:proofErr w:type="spellEnd"/>
      <w:r w:rsidRPr="4C9C2619">
        <w:rPr>
          <w:rFonts w:ascii="Calibri" w:eastAsia="Times New Roman" w:hAnsi="Calibri" w:cs="Calibri"/>
          <w:color w:val="000000"/>
          <w:kern w:val="0"/>
          <w:lang w:val="es-ES" w:eastAsia="es-CR"/>
          <w14:ligatures w14:val="none"/>
        </w:rPr>
        <w:t xml:space="preserve"> y Richard E. </w:t>
      </w:r>
      <w:proofErr w:type="spellStart"/>
      <w:r w:rsidRPr="4C9C2619">
        <w:rPr>
          <w:rFonts w:ascii="Calibri" w:eastAsia="Times New Roman" w:hAnsi="Calibri" w:cs="Calibri"/>
          <w:color w:val="000000"/>
          <w:kern w:val="0"/>
          <w:lang w:val="es-ES" w:eastAsia="es-CR"/>
          <w14:ligatures w14:val="none"/>
        </w:rPr>
        <w:t>DeMaris</w:t>
      </w:r>
      <w:proofErr w:type="spellEnd"/>
      <w:r w:rsidRPr="4C9C2619">
        <w:rPr>
          <w:rFonts w:ascii="Calibri" w:eastAsia="Times New Roman" w:hAnsi="Calibri" w:cs="Calibri"/>
          <w:color w:val="000000"/>
          <w:kern w:val="0"/>
          <w:lang w:val="es-ES" w:eastAsia="es-CR"/>
          <w14:ligatures w14:val="none"/>
        </w:rPr>
        <w:t xml:space="preserve">, 167-188. Estella: Verbo Divino, 2014.  </w:t>
      </w:r>
      <w:r w:rsidRPr="4C9C2619">
        <w:rPr>
          <w:rFonts w:ascii="Calibri" w:eastAsia="Times New Roman" w:hAnsi="Calibri" w:cs="Calibri"/>
          <w:color w:val="0070C0"/>
          <w:kern w:val="0"/>
          <w:lang w:val="es-ES" w:eastAsia="es-CR"/>
          <w14:ligatures w14:val="none"/>
        </w:rPr>
        <w:t>(clásico, última edición)</w:t>
      </w:r>
    </w:p>
    <w:p w14:paraId="73700EDA" w14:textId="77777777" w:rsidR="00F65C48" w:rsidRPr="00F65C48" w:rsidRDefault="00F65C48" w:rsidP="00F65C48">
      <w:pPr>
        <w:widowControl w:val="0"/>
        <w:overflowPunct w:val="0"/>
        <w:autoSpaceDE w:val="0"/>
        <w:autoSpaceDN w:val="0"/>
        <w:adjustRightInd w:val="0"/>
        <w:spacing w:before="120" w:after="0" w:line="276" w:lineRule="auto"/>
        <w:ind w:left="708" w:hanging="708"/>
        <w:jc w:val="both"/>
        <w:rPr>
          <w:rFonts w:ascii="Calibri" w:eastAsia="Arial" w:hAnsi="Calibri" w:cs="Calibri"/>
          <w:kern w:val="0"/>
          <w:lang w:val="es-ES" w:eastAsia="es-CR"/>
          <w14:ligatures w14:val="none"/>
        </w:rPr>
      </w:pPr>
      <w:proofErr w:type="spellStart"/>
      <w:r w:rsidRPr="00F65C48">
        <w:rPr>
          <w:rFonts w:ascii="Calibri" w:eastAsia="Arial" w:hAnsi="Calibri" w:cs="Calibri"/>
          <w:kern w:val="0"/>
          <w:lang w:val="es-ES" w:eastAsia="es-CR"/>
          <w14:ligatures w14:val="none"/>
        </w:rPr>
        <w:t>Osiek</w:t>
      </w:r>
      <w:proofErr w:type="spellEnd"/>
      <w:r w:rsidRPr="00F65C48">
        <w:rPr>
          <w:rFonts w:ascii="Calibri" w:eastAsia="Arial" w:hAnsi="Calibri" w:cs="Calibri"/>
          <w:kern w:val="0"/>
          <w:lang w:val="es-ES" w:eastAsia="es-CR"/>
          <w14:ligatures w14:val="none"/>
        </w:rPr>
        <w:t xml:space="preserve">, Catherine y Jennifer </w:t>
      </w:r>
      <w:proofErr w:type="spellStart"/>
      <w:r w:rsidRPr="00F65C48">
        <w:rPr>
          <w:rFonts w:ascii="Calibri" w:eastAsia="Arial" w:hAnsi="Calibri" w:cs="Calibri"/>
          <w:kern w:val="0"/>
          <w:lang w:val="es-ES" w:eastAsia="es-CR"/>
          <w14:ligatures w14:val="none"/>
        </w:rPr>
        <w:t>Pouya</w:t>
      </w:r>
      <w:proofErr w:type="spellEnd"/>
      <w:r w:rsidRPr="00F65C48">
        <w:rPr>
          <w:rFonts w:ascii="Calibri" w:eastAsia="Arial" w:hAnsi="Calibri" w:cs="Calibri"/>
          <w:kern w:val="0"/>
          <w:lang w:val="es-ES" w:eastAsia="es-CR"/>
          <w14:ligatures w14:val="none"/>
        </w:rPr>
        <w:t xml:space="preserve">, “Los conceptos de género en el mundo imperial romano”. En </w:t>
      </w:r>
      <w:r w:rsidRPr="00F65C48">
        <w:rPr>
          <w:rFonts w:ascii="Calibri" w:eastAsia="Arial" w:hAnsi="Calibri" w:cs="Calibri"/>
          <w:i/>
          <w:iCs/>
          <w:kern w:val="0"/>
          <w:lang w:val="es-ES" w:eastAsia="es-CR"/>
          <w14:ligatures w14:val="none"/>
        </w:rPr>
        <w:t xml:space="preserve">Para entender el mundo social del Nuevo Testamento, </w:t>
      </w:r>
      <w:r w:rsidRPr="00F65C48">
        <w:rPr>
          <w:rFonts w:ascii="Calibri" w:eastAsia="Arial" w:hAnsi="Calibri" w:cs="Calibri"/>
          <w:kern w:val="0"/>
          <w:lang w:val="es-ES" w:eastAsia="es-CR"/>
          <w14:ligatures w14:val="none"/>
        </w:rPr>
        <w:t xml:space="preserve">editado por Dietmar </w:t>
      </w:r>
      <w:proofErr w:type="spellStart"/>
      <w:r w:rsidRPr="00F65C48">
        <w:rPr>
          <w:rFonts w:ascii="Calibri" w:eastAsia="Arial" w:hAnsi="Calibri" w:cs="Calibri"/>
          <w:kern w:val="0"/>
          <w:lang w:val="es-ES" w:eastAsia="es-CR"/>
          <w14:ligatures w14:val="none"/>
        </w:rPr>
        <w:t>Neufeld</w:t>
      </w:r>
      <w:proofErr w:type="spellEnd"/>
      <w:r w:rsidRPr="00F65C48">
        <w:rPr>
          <w:rFonts w:ascii="Calibri" w:eastAsia="Arial" w:hAnsi="Calibri" w:cs="Calibri"/>
          <w:kern w:val="0"/>
          <w:lang w:val="es-ES" w:eastAsia="es-CR"/>
          <w14:ligatures w14:val="none"/>
        </w:rPr>
        <w:t xml:space="preserve"> y Richard E. </w:t>
      </w:r>
      <w:proofErr w:type="spellStart"/>
      <w:r w:rsidRPr="00F65C48">
        <w:rPr>
          <w:rFonts w:ascii="Calibri" w:eastAsia="Arial" w:hAnsi="Calibri" w:cs="Calibri"/>
          <w:kern w:val="0"/>
          <w:lang w:val="es-ES" w:eastAsia="es-CR"/>
          <w14:ligatures w14:val="none"/>
        </w:rPr>
        <w:t>DeMaris</w:t>
      </w:r>
      <w:proofErr w:type="spellEnd"/>
      <w:r w:rsidRPr="00F65C48">
        <w:rPr>
          <w:rFonts w:ascii="Calibri" w:eastAsia="Arial" w:hAnsi="Calibri" w:cs="Calibri"/>
          <w:kern w:val="0"/>
          <w:lang w:val="es-ES" w:eastAsia="es-CR"/>
          <w14:ligatures w14:val="none"/>
        </w:rPr>
        <w:t>, 79-96</w:t>
      </w:r>
      <w:r w:rsidRPr="00F65C48">
        <w:rPr>
          <w:rFonts w:ascii="Calibri" w:eastAsia="Arial" w:hAnsi="Calibri" w:cs="Calibri"/>
          <w:i/>
          <w:iCs/>
          <w:kern w:val="0"/>
          <w:lang w:val="es-ES" w:eastAsia="es-CR"/>
          <w14:ligatures w14:val="none"/>
        </w:rPr>
        <w:t xml:space="preserve">. </w:t>
      </w:r>
      <w:r w:rsidRPr="00F65C48">
        <w:rPr>
          <w:rFonts w:ascii="Calibri" w:eastAsia="Arial" w:hAnsi="Calibri" w:cs="Calibri"/>
          <w:kern w:val="0"/>
          <w:lang w:val="es-ES" w:eastAsia="es-CR"/>
          <w14:ligatures w14:val="none"/>
        </w:rPr>
        <w:t xml:space="preserve">Estella: Verbo Divino, 2015. </w:t>
      </w:r>
      <w:r w:rsidRPr="00F65C48">
        <w:rPr>
          <w:rFonts w:ascii="Calibri" w:eastAsia="Times New Roman" w:hAnsi="Calibri" w:cs="Calibri"/>
          <w:kern w:val="0"/>
          <w:lang w:val="es-ES_tradnl" w:eastAsia="es-CR"/>
          <w14:ligatures w14:val="none"/>
        </w:rPr>
        <w:t>(</w:t>
      </w:r>
      <w:r w:rsidRPr="00F65C48">
        <w:rPr>
          <w:rFonts w:ascii="Calibri" w:eastAsia="Times New Roman" w:hAnsi="Calibri" w:cs="Calibri"/>
          <w:color w:val="0070C0"/>
          <w:kern w:val="0"/>
          <w:szCs w:val="18"/>
          <w:lang w:val="es-ES_tradnl" w:eastAsia="es-CR"/>
          <w14:ligatures w14:val="none"/>
        </w:rPr>
        <w:t>clásico,</w:t>
      </w:r>
      <w:r w:rsidRPr="00F65C48">
        <w:rPr>
          <w:rFonts w:ascii="Calibri" w:eastAsia="Times New Roman" w:hAnsi="Calibri" w:cs="Calibri"/>
          <w:kern w:val="0"/>
          <w:szCs w:val="18"/>
          <w:lang w:val="es-ES_tradnl" w:eastAsia="es-CR"/>
          <w14:ligatures w14:val="none"/>
        </w:rPr>
        <w:t xml:space="preserve"> </w:t>
      </w:r>
      <w:r w:rsidRPr="00F65C48">
        <w:rPr>
          <w:rFonts w:ascii="Calibri" w:eastAsia="Times New Roman" w:hAnsi="Calibri" w:cs="Calibri"/>
          <w:kern w:val="0"/>
          <w:lang w:val="es-ES_tradnl" w:eastAsia="es-CR"/>
          <w14:ligatures w14:val="none"/>
        </w:rPr>
        <w:t>última edición)</w:t>
      </w:r>
    </w:p>
    <w:p w14:paraId="2CF6C6B8" w14:textId="77777777" w:rsidR="00F65C48" w:rsidRPr="00F65C48" w:rsidRDefault="00F65C48" w:rsidP="00F65C48">
      <w:pPr>
        <w:widowControl w:val="0"/>
        <w:overflowPunct w:val="0"/>
        <w:autoSpaceDE w:val="0"/>
        <w:autoSpaceDN w:val="0"/>
        <w:adjustRightInd w:val="0"/>
        <w:spacing w:before="120" w:after="0" w:line="276" w:lineRule="auto"/>
        <w:ind w:left="708" w:hanging="708"/>
        <w:jc w:val="both"/>
        <w:rPr>
          <w:rFonts w:ascii="Calibri" w:eastAsia="Arial" w:hAnsi="Calibri" w:cs="Calibri"/>
          <w:kern w:val="0"/>
          <w:lang w:val="es-ES" w:eastAsia="es-CR"/>
          <w14:ligatures w14:val="none"/>
        </w:rPr>
      </w:pPr>
      <w:r w:rsidRPr="00F65C48">
        <w:rPr>
          <w:rFonts w:ascii="Calibri" w:eastAsia="Arial" w:hAnsi="Calibri" w:cs="Calibri"/>
          <w:kern w:val="0"/>
          <w:lang w:val="es-ES" w:eastAsia="es-CR"/>
          <w14:ligatures w14:val="none"/>
        </w:rPr>
        <w:t>Rivas, Fernando. “Análisis socioeconómico. Economía de lo necesario (</w:t>
      </w:r>
      <w:proofErr w:type="spellStart"/>
      <w:r w:rsidRPr="00F65C48">
        <w:rPr>
          <w:rFonts w:ascii="Calibri" w:eastAsia="Arial" w:hAnsi="Calibri" w:cs="Calibri"/>
          <w:kern w:val="0"/>
          <w:lang w:val="es-ES" w:eastAsia="es-CR"/>
          <w14:ligatures w14:val="none"/>
        </w:rPr>
        <w:t>Lc</w:t>
      </w:r>
      <w:proofErr w:type="spellEnd"/>
      <w:r w:rsidRPr="00F65C48">
        <w:rPr>
          <w:rFonts w:ascii="Calibri" w:eastAsia="Arial" w:hAnsi="Calibri" w:cs="Calibri"/>
          <w:kern w:val="0"/>
          <w:lang w:val="es-ES" w:eastAsia="es-CR"/>
          <w14:ligatures w14:val="none"/>
        </w:rPr>
        <w:t xml:space="preserve"> 12,22-34) frente a la economía de la satisfacción (</w:t>
      </w:r>
      <w:proofErr w:type="spellStart"/>
      <w:r w:rsidRPr="00F65C48">
        <w:rPr>
          <w:rFonts w:ascii="Calibri" w:eastAsia="Arial" w:hAnsi="Calibri" w:cs="Calibri"/>
          <w:kern w:val="0"/>
          <w:lang w:val="es-ES" w:eastAsia="es-CR"/>
          <w14:ligatures w14:val="none"/>
        </w:rPr>
        <w:t>Lc</w:t>
      </w:r>
      <w:proofErr w:type="spellEnd"/>
      <w:r w:rsidRPr="00F65C48">
        <w:rPr>
          <w:rFonts w:ascii="Calibri" w:eastAsia="Arial" w:hAnsi="Calibri" w:cs="Calibri"/>
          <w:kern w:val="0"/>
          <w:lang w:val="es-ES" w:eastAsia="es-CR"/>
          <w14:ligatures w14:val="none"/>
        </w:rPr>
        <w:t xml:space="preserve"> 16,19-31)”. En </w:t>
      </w:r>
      <w:r w:rsidRPr="00F65C48">
        <w:rPr>
          <w:rFonts w:ascii="Calibri" w:eastAsia="Arial" w:hAnsi="Calibri" w:cs="Calibri"/>
          <w:i/>
          <w:iCs/>
          <w:kern w:val="0"/>
          <w:lang w:val="es-ES" w:eastAsia="es-CR"/>
          <w14:ligatures w14:val="none"/>
        </w:rPr>
        <w:t>El Nuevo Testamento en su contexto</w:t>
      </w:r>
      <w:r w:rsidRPr="00F65C48">
        <w:rPr>
          <w:rFonts w:ascii="Calibri" w:eastAsia="Times New Roman" w:hAnsi="Calibri" w:cs="Calibri"/>
          <w:i/>
          <w:iCs/>
          <w:kern w:val="0"/>
          <w:lang w:val="es-ES_tradnl" w:eastAsia="es-CR"/>
          <w14:ligatures w14:val="none"/>
        </w:rPr>
        <w:t>: propuestas de lectura</w:t>
      </w:r>
      <w:r w:rsidRPr="00F65C48">
        <w:rPr>
          <w:rFonts w:ascii="Calibri" w:eastAsia="Arial" w:hAnsi="Calibri" w:cs="Calibri"/>
          <w:kern w:val="0"/>
          <w:lang w:val="es-ES" w:eastAsia="es-CR"/>
          <w14:ligatures w14:val="none"/>
        </w:rPr>
        <w:t xml:space="preserve">, editado por Rafael Aguirre, 115-137. Estella: Verbo Divino, 2013. </w:t>
      </w:r>
      <w:r w:rsidRPr="00F65C48">
        <w:rPr>
          <w:rFonts w:ascii="Calibri" w:eastAsia="Times New Roman" w:hAnsi="Calibri" w:cs="Calibri"/>
          <w:kern w:val="0"/>
          <w:lang w:val="es-ES_tradnl" w:eastAsia="es-CR"/>
          <w14:ligatures w14:val="none"/>
        </w:rPr>
        <w:t>(</w:t>
      </w:r>
      <w:r w:rsidRPr="00F65C48">
        <w:rPr>
          <w:rFonts w:ascii="Calibri" w:eastAsia="Times New Roman" w:hAnsi="Calibri" w:cs="Calibri"/>
          <w:color w:val="0070C0"/>
          <w:kern w:val="0"/>
          <w:szCs w:val="18"/>
          <w:lang w:val="es-ES_tradnl" w:eastAsia="es-CR"/>
          <w14:ligatures w14:val="none"/>
        </w:rPr>
        <w:t>clásico,</w:t>
      </w:r>
      <w:r w:rsidRPr="00F65C48">
        <w:rPr>
          <w:rFonts w:ascii="Calibri" w:eastAsia="Times New Roman" w:hAnsi="Calibri" w:cs="Calibri"/>
          <w:kern w:val="0"/>
          <w:szCs w:val="18"/>
          <w:lang w:val="es-ES_tradnl" w:eastAsia="es-CR"/>
          <w14:ligatures w14:val="none"/>
        </w:rPr>
        <w:t xml:space="preserve"> </w:t>
      </w:r>
      <w:r w:rsidRPr="00F65C48">
        <w:rPr>
          <w:rFonts w:ascii="Calibri" w:eastAsia="Times New Roman" w:hAnsi="Calibri" w:cs="Calibri"/>
          <w:kern w:val="0"/>
          <w:lang w:val="es-ES_tradnl" w:eastAsia="es-CR"/>
          <w14:ligatures w14:val="none"/>
        </w:rPr>
        <w:t>última edición)</w:t>
      </w:r>
    </w:p>
    <w:p w14:paraId="12324EB3" w14:textId="77777777" w:rsidR="00F65C48" w:rsidRPr="00F65C48" w:rsidRDefault="00F65C48" w:rsidP="4C9C2619">
      <w:pPr>
        <w:widowControl w:val="0"/>
        <w:overflowPunct w:val="0"/>
        <w:autoSpaceDE w:val="0"/>
        <w:autoSpaceDN w:val="0"/>
        <w:adjustRightInd w:val="0"/>
        <w:spacing w:before="120" w:after="0" w:line="276" w:lineRule="auto"/>
        <w:ind w:left="708" w:hanging="708"/>
        <w:jc w:val="both"/>
        <w:rPr>
          <w:rFonts w:ascii="Calibri" w:eastAsia="Times New Roman" w:hAnsi="Calibri" w:cs="Calibri"/>
          <w:color w:val="7030A0"/>
          <w:kern w:val="0"/>
          <w:lang w:val="es-ES" w:eastAsia="es-CR"/>
          <w14:ligatures w14:val="none"/>
        </w:rPr>
      </w:pPr>
      <w:proofErr w:type="spellStart"/>
      <w:r w:rsidRPr="4C9C2619">
        <w:rPr>
          <w:rFonts w:ascii="Calibri" w:eastAsia="Times New Roman" w:hAnsi="Calibri" w:cs="Calibri"/>
          <w:color w:val="000000"/>
          <w:kern w:val="0"/>
          <w:lang w:val="es-ES" w:eastAsia="es-CR"/>
          <w14:ligatures w14:val="none"/>
        </w:rPr>
        <w:t>Theissen</w:t>
      </w:r>
      <w:proofErr w:type="spellEnd"/>
      <w:r w:rsidRPr="4C9C2619">
        <w:rPr>
          <w:rFonts w:ascii="Calibri" w:eastAsia="Times New Roman" w:hAnsi="Calibri" w:cs="Calibri"/>
          <w:color w:val="000000"/>
          <w:kern w:val="0"/>
          <w:lang w:val="es-ES" w:eastAsia="es-CR"/>
          <w14:ligatures w14:val="none"/>
        </w:rPr>
        <w:t xml:space="preserve">, </w:t>
      </w:r>
      <w:proofErr w:type="spellStart"/>
      <w:r w:rsidRPr="4C9C2619">
        <w:rPr>
          <w:rFonts w:ascii="Calibri" w:eastAsia="Times New Roman" w:hAnsi="Calibri" w:cs="Calibri"/>
          <w:color w:val="000000"/>
          <w:kern w:val="0"/>
          <w:lang w:val="es-ES" w:eastAsia="es-CR"/>
          <w14:ligatures w14:val="none"/>
        </w:rPr>
        <w:t>Gerd</w:t>
      </w:r>
      <w:proofErr w:type="spellEnd"/>
      <w:r w:rsidRPr="4C9C2619">
        <w:rPr>
          <w:rFonts w:ascii="Calibri" w:eastAsia="Times New Roman" w:hAnsi="Calibri" w:cs="Calibri"/>
          <w:color w:val="000000"/>
          <w:kern w:val="0"/>
          <w:lang w:val="es-ES" w:eastAsia="es-CR"/>
          <w14:ligatures w14:val="none"/>
        </w:rPr>
        <w:t xml:space="preserve">. </w:t>
      </w:r>
      <w:r w:rsidRPr="4C9C2619">
        <w:rPr>
          <w:rFonts w:ascii="Calibri" w:eastAsia="Times New Roman" w:hAnsi="Calibri" w:cs="Calibri"/>
          <w:i/>
          <w:iCs/>
          <w:color w:val="000000"/>
          <w:kern w:val="0"/>
          <w:lang w:val="es-ES" w:eastAsia="es-CR"/>
          <w14:ligatures w14:val="none"/>
        </w:rPr>
        <w:t>Estudios de sociología del cristianismo primitivo</w:t>
      </w:r>
      <w:r w:rsidRPr="4C9C2619">
        <w:rPr>
          <w:rFonts w:ascii="Calibri" w:eastAsia="Times New Roman" w:hAnsi="Calibri" w:cs="Calibri"/>
          <w:color w:val="000000"/>
          <w:kern w:val="0"/>
          <w:lang w:val="es-ES" w:eastAsia="es-CR"/>
          <w14:ligatures w14:val="none"/>
        </w:rPr>
        <w:t xml:space="preserve">. Salamanca: Sígueme, 1985. (Clásico, </w:t>
      </w:r>
      <w:r w:rsidRPr="4C9C2619">
        <w:rPr>
          <w:rFonts w:ascii="Calibri" w:eastAsia="Times New Roman" w:hAnsi="Calibri" w:cs="Calibri"/>
          <w:color w:val="0070C0"/>
          <w:kern w:val="0"/>
          <w:lang w:val="es-ES" w:eastAsia="es-CR"/>
          <w14:ligatures w14:val="none"/>
        </w:rPr>
        <w:t>última edición</w:t>
      </w:r>
      <w:r w:rsidRPr="4C9C2619">
        <w:rPr>
          <w:rFonts w:ascii="Calibri" w:eastAsia="Times New Roman" w:hAnsi="Calibri" w:cs="Calibri"/>
          <w:color w:val="000000"/>
          <w:kern w:val="0"/>
          <w:lang w:val="es-ES" w:eastAsia="es-CR"/>
          <w14:ligatures w14:val="none"/>
        </w:rPr>
        <w:t>)</w:t>
      </w:r>
    </w:p>
    <w:p w14:paraId="2F01D1F1" w14:textId="77777777" w:rsidR="00F65C48" w:rsidRPr="00F65C48" w:rsidRDefault="00F65C48" w:rsidP="00F65C48">
      <w:pPr>
        <w:widowControl w:val="0"/>
        <w:overflowPunct w:val="0"/>
        <w:autoSpaceDE w:val="0"/>
        <w:autoSpaceDN w:val="0"/>
        <w:adjustRightInd w:val="0"/>
        <w:spacing w:before="120" w:after="0" w:line="276" w:lineRule="auto"/>
        <w:ind w:left="708" w:hanging="708"/>
        <w:jc w:val="both"/>
        <w:rPr>
          <w:rFonts w:ascii="Calibri" w:eastAsia="Times New Roman" w:hAnsi="Calibri" w:cs="Calibri"/>
          <w:kern w:val="0"/>
          <w:lang w:val="es-ES_tradnl" w:eastAsia="es-CR"/>
          <w14:ligatures w14:val="none"/>
        </w:rPr>
      </w:pPr>
      <w:r w:rsidRPr="00F65C48">
        <w:rPr>
          <w:rFonts w:ascii="Calibri" w:eastAsia="Arial" w:hAnsi="Calibri" w:cs="Calibri"/>
          <w:kern w:val="0"/>
          <w:lang w:val="es-ES" w:eastAsia="es-CR"/>
          <w14:ligatures w14:val="none"/>
        </w:rPr>
        <w:lastRenderedPageBreak/>
        <w:t xml:space="preserve">Williams, </w:t>
      </w:r>
      <w:proofErr w:type="spellStart"/>
      <w:r w:rsidRPr="00F65C48">
        <w:rPr>
          <w:rFonts w:ascii="Calibri" w:eastAsia="Arial" w:hAnsi="Calibri" w:cs="Calibri"/>
          <w:kern w:val="0"/>
          <w:lang w:val="es-ES" w:eastAsia="es-CR"/>
          <w14:ligatures w14:val="none"/>
        </w:rPr>
        <w:t>Ritva</w:t>
      </w:r>
      <w:proofErr w:type="spellEnd"/>
      <w:r w:rsidRPr="00F65C48">
        <w:rPr>
          <w:rFonts w:ascii="Calibri" w:eastAsia="Arial" w:hAnsi="Calibri" w:cs="Calibri"/>
          <w:kern w:val="0"/>
          <w:lang w:val="es-ES" w:eastAsia="es-CR"/>
          <w14:ligatures w14:val="none"/>
        </w:rPr>
        <w:t xml:space="preserve">. “Pureza, suciedad, anomalías y abominaciones”. En </w:t>
      </w:r>
      <w:r w:rsidRPr="00F65C48">
        <w:rPr>
          <w:rFonts w:ascii="Calibri" w:eastAsia="Arial" w:hAnsi="Calibri" w:cs="Calibri"/>
          <w:i/>
          <w:iCs/>
          <w:kern w:val="0"/>
          <w:lang w:val="es-ES" w:eastAsia="es-CR"/>
          <w14:ligatures w14:val="none"/>
        </w:rPr>
        <w:t>Para entender el mundo social del Nuevo Testamento</w:t>
      </w:r>
      <w:r w:rsidRPr="00F65C48">
        <w:rPr>
          <w:rFonts w:ascii="Calibri" w:eastAsia="Arial" w:hAnsi="Calibri" w:cs="Calibri"/>
          <w:kern w:val="0"/>
          <w:lang w:val="es-ES" w:eastAsia="es-CR"/>
          <w14:ligatures w14:val="none"/>
        </w:rPr>
        <w:t xml:space="preserve">, editado por Dietmar </w:t>
      </w:r>
      <w:proofErr w:type="spellStart"/>
      <w:r w:rsidRPr="00F65C48">
        <w:rPr>
          <w:rFonts w:ascii="Calibri" w:eastAsia="Arial" w:hAnsi="Calibri" w:cs="Calibri"/>
          <w:kern w:val="0"/>
          <w:lang w:val="es-ES" w:eastAsia="es-CR"/>
          <w14:ligatures w14:val="none"/>
        </w:rPr>
        <w:t>Neufeld</w:t>
      </w:r>
      <w:proofErr w:type="spellEnd"/>
      <w:r w:rsidRPr="00F65C48">
        <w:rPr>
          <w:rFonts w:ascii="Calibri" w:eastAsia="Arial" w:hAnsi="Calibri" w:cs="Calibri"/>
          <w:kern w:val="0"/>
          <w:lang w:val="es-ES" w:eastAsia="es-CR"/>
          <w14:ligatures w14:val="none"/>
        </w:rPr>
        <w:t xml:space="preserve"> y Richard E. </w:t>
      </w:r>
      <w:proofErr w:type="spellStart"/>
      <w:r w:rsidRPr="00F65C48">
        <w:rPr>
          <w:rFonts w:ascii="Calibri" w:eastAsia="Arial" w:hAnsi="Calibri" w:cs="Calibri"/>
          <w:kern w:val="0"/>
          <w:lang w:val="es-ES" w:eastAsia="es-CR"/>
          <w14:ligatures w14:val="none"/>
        </w:rPr>
        <w:t>DeMaris</w:t>
      </w:r>
      <w:proofErr w:type="spellEnd"/>
      <w:r w:rsidRPr="00F65C48">
        <w:rPr>
          <w:rFonts w:ascii="Calibri" w:eastAsia="Arial" w:hAnsi="Calibri" w:cs="Calibri"/>
          <w:kern w:val="0"/>
          <w:lang w:val="es-ES" w:eastAsia="es-CR"/>
          <w14:ligatures w14:val="none"/>
        </w:rPr>
        <w:t xml:space="preserve">, 297-313. Estella: Verbo Divino, 2014. </w:t>
      </w:r>
      <w:r w:rsidRPr="00F65C48">
        <w:rPr>
          <w:rFonts w:ascii="Calibri" w:eastAsia="Times New Roman" w:hAnsi="Calibri" w:cs="Calibri"/>
          <w:kern w:val="0"/>
          <w:lang w:val="es-ES_tradnl" w:eastAsia="es-CR"/>
          <w14:ligatures w14:val="none"/>
        </w:rPr>
        <w:t>(</w:t>
      </w:r>
      <w:r w:rsidRPr="00F65C48">
        <w:rPr>
          <w:rFonts w:ascii="Calibri" w:eastAsia="Times New Roman" w:hAnsi="Calibri" w:cs="Calibri"/>
          <w:color w:val="0070C0"/>
          <w:kern w:val="0"/>
          <w:lang w:val="es-ES_tradnl" w:eastAsia="es-CR"/>
          <w14:ligatures w14:val="none"/>
        </w:rPr>
        <w:t xml:space="preserve">clásico, </w:t>
      </w:r>
      <w:r w:rsidRPr="00F65C48">
        <w:rPr>
          <w:rFonts w:ascii="Calibri" w:eastAsia="Times New Roman" w:hAnsi="Calibri" w:cs="Calibri"/>
          <w:kern w:val="0"/>
          <w:lang w:val="es-ES_tradnl" w:eastAsia="es-CR"/>
          <w14:ligatures w14:val="none"/>
        </w:rPr>
        <w:t>última edición)</w:t>
      </w:r>
    </w:p>
    <w:p w14:paraId="73DFC4C4" w14:textId="77777777" w:rsidR="00F65C48" w:rsidRPr="00F65C48" w:rsidRDefault="00F65C48" w:rsidP="00F65C48">
      <w:pPr>
        <w:widowControl w:val="0"/>
        <w:overflowPunct w:val="0"/>
        <w:autoSpaceDE w:val="0"/>
        <w:autoSpaceDN w:val="0"/>
        <w:adjustRightInd w:val="0"/>
        <w:spacing w:before="120" w:after="0" w:line="276" w:lineRule="auto"/>
        <w:ind w:left="708" w:hanging="708"/>
        <w:jc w:val="both"/>
        <w:rPr>
          <w:rFonts w:ascii="Calibri" w:eastAsia="Times New Roman" w:hAnsi="Calibri" w:cs="Calibri"/>
          <w:color w:val="7030A0"/>
          <w:kern w:val="0"/>
          <w:lang w:val="es-ES_tradnl" w:eastAsia="es-CR"/>
          <w14:ligatures w14:val="none"/>
        </w:rPr>
      </w:pPr>
    </w:p>
    <w:p w14:paraId="6A8C9893"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Calibri"/>
          <w:b/>
          <w:color w:val="00B050"/>
          <w:kern w:val="0"/>
          <w:lang w:val="es-ES_tradnl" w:eastAsia="es-CR"/>
          <w14:ligatures w14:val="none"/>
        </w:rPr>
      </w:pPr>
      <w:r w:rsidRPr="00F65C48">
        <w:rPr>
          <w:rFonts w:ascii="Calibri" w:eastAsia="Times New Roman" w:hAnsi="Calibri" w:cs="Calibri"/>
          <w:b/>
          <w:color w:val="000000"/>
          <w:kern w:val="0"/>
          <w:lang w:val="es-ES_tradnl" w:eastAsia="es-CR"/>
          <w14:ligatures w14:val="none"/>
        </w:rPr>
        <w:t xml:space="preserve">XII. Bibliografía complementaria </w:t>
      </w:r>
      <w:r w:rsidRPr="00F65C48">
        <w:rPr>
          <w:rFonts w:ascii="Calibri" w:eastAsia="Times New Roman" w:hAnsi="Calibri" w:cs="Calibri"/>
          <w:b/>
          <w:color w:val="00B050"/>
          <w:kern w:val="0"/>
          <w:lang w:val="es-ES_tradnl" w:eastAsia="es-CR"/>
          <w14:ligatures w14:val="none"/>
        </w:rPr>
        <w:t xml:space="preserve"> </w:t>
      </w:r>
    </w:p>
    <w:p w14:paraId="2EC62588" w14:textId="77777777" w:rsidR="00F65C48" w:rsidRPr="00F65C48" w:rsidRDefault="00F65C48" w:rsidP="00F65C48">
      <w:pPr>
        <w:widowControl w:val="0"/>
        <w:tabs>
          <w:tab w:val="left" w:pos="7692"/>
        </w:tabs>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F65C48">
        <w:rPr>
          <w:rFonts w:ascii="Calibri" w:eastAsia="Times New Roman" w:hAnsi="Calibri" w:cs="Arial"/>
          <w:b/>
          <w:color w:val="000000"/>
          <w:kern w:val="0"/>
          <w:lang w:eastAsia="es-CR"/>
          <w14:ligatures w14:val="none"/>
        </w:rPr>
        <w:t>Nota:</w:t>
      </w:r>
      <w:r w:rsidRPr="00F65C48">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F65C48">
        <w:rPr>
          <w:rFonts w:ascii="Calibri" w:eastAsia="Times New Roman" w:hAnsi="Calibri" w:cs="Arial"/>
          <w:bCs/>
          <w:color w:val="000000"/>
          <w:kern w:val="0"/>
          <w:lang w:eastAsia="es-CR"/>
          <w14:ligatures w14:val="none"/>
        </w:rPr>
        <w:t>pdf</w:t>
      </w:r>
      <w:proofErr w:type="spellEnd"/>
      <w:r w:rsidRPr="00F65C48">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029A9BFD" w14:textId="77777777" w:rsidR="00F65C48" w:rsidRPr="00F65C48" w:rsidRDefault="00F65C48" w:rsidP="00F65C48">
      <w:pPr>
        <w:widowControl w:val="0"/>
        <w:overflowPunct w:val="0"/>
        <w:autoSpaceDE w:val="0"/>
        <w:autoSpaceDN w:val="0"/>
        <w:adjustRightInd w:val="0"/>
        <w:spacing w:before="120" w:after="0" w:line="276" w:lineRule="auto"/>
        <w:ind w:left="708" w:hanging="708"/>
        <w:jc w:val="both"/>
        <w:rPr>
          <w:rFonts w:ascii="Calibri" w:eastAsia="Calibri" w:hAnsi="Calibri" w:cs="Calibri"/>
          <w:kern w:val="0"/>
          <w:lang w:val="es-ES" w:eastAsia="es-CR"/>
          <w14:ligatures w14:val="none"/>
        </w:rPr>
      </w:pPr>
      <w:r w:rsidRPr="00F65C48">
        <w:rPr>
          <w:rFonts w:ascii="Calibri" w:eastAsia="Times New Roman" w:hAnsi="Calibri" w:cs="Calibri"/>
          <w:kern w:val="0"/>
          <w:lang w:val="es-ES" w:eastAsia="es-CR"/>
          <w14:ligatures w14:val="none"/>
        </w:rPr>
        <w:t xml:space="preserve">Álvarez </w:t>
      </w:r>
      <w:proofErr w:type="spellStart"/>
      <w:r w:rsidRPr="00F65C48">
        <w:rPr>
          <w:rFonts w:ascii="Calibri" w:eastAsia="Times New Roman" w:hAnsi="Calibri" w:cs="Calibri"/>
          <w:kern w:val="0"/>
          <w:lang w:val="es-ES" w:eastAsia="es-CR"/>
          <w14:ligatures w14:val="none"/>
        </w:rPr>
        <w:t>Ciniera</w:t>
      </w:r>
      <w:proofErr w:type="spellEnd"/>
      <w:r w:rsidRPr="00F65C48">
        <w:rPr>
          <w:rFonts w:ascii="Calibri" w:eastAsia="Times New Roman" w:hAnsi="Calibri" w:cs="Calibri"/>
          <w:kern w:val="0"/>
          <w:lang w:val="es-ES" w:eastAsia="es-CR"/>
          <w14:ligatures w14:val="none"/>
        </w:rPr>
        <w:t xml:space="preserve">, David. “La importancia del contexto histórico para la interpretación del Nuevo Testamento. El culto al emperador: Rom 1,3-4, una crítica velada”. En </w:t>
      </w:r>
      <w:r w:rsidRPr="00F65C48">
        <w:rPr>
          <w:rFonts w:ascii="Calibri" w:eastAsia="Times New Roman" w:hAnsi="Calibri" w:cs="Calibri"/>
          <w:i/>
          <w:iCs/>
          <w:kern w:val="0"/>
          <w:lang w:val="es-ES" w:eastAsia="es-CR"/>
          <w14:ligatures w14:val="none"/>
        </w:rPr>
        <w:t>El Nuevo Testamento en su contexto</w:t>
      </w:r>
      <w:r w:rsidRPr="00F65C48">
        <w:rPr>
          <w:rFonts w:ascii="Calibri" w:eastAsia="Times New Roman" w:hAnsi="Calibri" w:cs="Calibri"/>
          <w:kern w:val="0"/>
          <w:lang w:val="es-ES" w:eastAsia="es-CR"/>
          <w14:ligatures w14:val="none"/>
        </w:rPr>
        <w:t xml:space="preserve">, editado por Rafael Aguirre, 35-56. Estella: Verbo Divino, 2013. </w:t>
      </w:r>
      <w:r w:rsidRPr="00F65C48">
        <w:rPr>
          <w:rFonts w:ascii="Calibri" w:eastAsia="Times New Roman" w:hAnsi="Calibri" w:cs="Calibri"/>
          <w:kern w:val="0"/>
          <w:szCs w:val="18"/>
          <w:lang w:val="es-ES_tradnl" w:eastAsia="es-CR"/>
          <w14:ligatures w14:val="none"/>
        </w:rPr>
        <w:t>(</w:t>
      </w:r>
      <w:r w:rsidRPr="00F65C48">
        <w:rPr>
          <w:rFonts w:ascii="Calibri" w:eastAsia="Times New Roman" w:hAnsi="Calibri" w:cs="Calibri"/>
          <w:color w:val="0070C0"/>
          <w:kern w:val="0"/>
          <w:szCs w:val="18"/>
          <w:lang w:val="es-ES_tradnl" w:eastAsia="es-CR"/>
          <w14:ligatures w14:val="none"/>
        </w:rPr>
        <w:t>clásico,</w:t>
      </w:r>
      <w:r w:rsidRPr="00F65C48">
        <w:rPr>
          <w:rFonts w:ascii="Calibri" w:eastAsia="Times New Roman" w:hAnsi="Calibri" w:cs="Calibri"/>
          <w:kern w:val="0"/>
          <w:szCs w:val="18"/>
          <w:lang w:val="es-ES_tradnl" w:eastAsia="es-CR"/>
          <w14:ligatures w14:val="none"/>
        </w:rPr>
        <w:t xml:space="preserve"> última edición)</w:t>
      </w:r>
    </w:p>
    <w:p w14:paraId="005EFAA0" w14:textId="77777777" w:rsidR="00F65C48" w:rsidRPr="00F65C48" w:rsidRDefault="00F65C48" w:rsidP="00F65C48">
      <w:pPr>
        <w:widowControl w:val="0"/>
        <w:overflowPunct w:val="0"/>
        <w:autoSpaceDE w:val="0"/>
        <w:autoSpaceDN w:val="0"/>
        <w:adjustRightInd w:val="0"/>
        <w:spacing w:before="120" w:after="0" w:line="276" w:lineRule="auto"/>
        <w:ind w:left="708" w:hanging="708"/>
        <w:jc w:val="both"/>
        <w:rPr>
          <w:rFonts w:ascii="Calibri" w:eastAsia="Calibri" w:hAnsi="Calibri" w:cs="Calibri"/>
          <w:kern w:val="0"/>
          <w:lang w:val="es-ES" w:eastAsia="es-CR"/>
          <w14:ligatures w14:val="none"/>
        </w:rPr>
      </w:pPr>
      <w:proofErr w:type="spellStart"/>
      <w:r w:rsidRPr="00F65C48">
        <w:rPr>
          <w:rFonts w:ascii="Calibri" w:eastAsia="Calibri" w:hAnsi="Calibri" w:cs="Calibri"/>
          <w:kern w:val="0"/>
          <w:lang w:val="es-ES" w:eastAsia="es-CR"/>
          <w14:ligatures w14:val="none"/>
        </w:rPr>
        <w:t>Gloor</w:t>
      </w:r>
      <w:proofErr w:type="spellEnd"/>
      <w:r w:rsidRPr="00F65C48">
        <w:rPr>
          <w:rFonts w:ascii="Calibri" w:eastAsia="Calibri" w:hAnsi="Calibri" w:cs="Calibri"/>
          <w:kern w:val="0"/>
          <w:lang w:val="es-ES" w:eastAsia="es-CR"/>
          <w14:ligatures w14:val="none"/>
        </w:rPr>
        <w:t xml:space="preserve">, Daniel. “Los cultos mistéricos en tiempos del Nuevo Testamento”. </w:t>
      </w:r>
      <w:r w:rsidRPr="00F65C48">
        <w:rPr>
          <w:rFonts w:ascii="Calibri" w:eastAsia="Calibri" w:hAnsi="Calibri" w:cs="Calibri"/>
          <w:i/>
          <w:iCs/>
          <w:kern w:val="0"/>
          <w:lang w:val="es-ES" w:eastAsia="es-CR"/>
          <w14:ligatures w14:val="none"/>
        </w:rPr>
        <w:t>Aportes Bíblicos</w:t>
      </w:r>
      <w:r w:rsidRPr="00F65C48">
        <w:rPr>
          <w:rFonts w:ascii="Calibri" w:eastAsia="Calibri" w:hAnsi="Calibri" w:cs="Calibri"/>
          <w:kern w:val="0"/>
          <w:lang w:val="es-ES" w:eastAsia="es-CR"/>
          <w14:ligatures w14:val="none"/>
        </w:rPr>
        <w:t xml:space="preserve">, n.º 13 (2011): 5-88. </w:t>
      </w:r>
    </w:p>
    <w:p w14:paraId="2E7A4D2D" w14:textId="5F5AEB67" w:rsidR="000E483A" w:rsidRDefault="00F65C48" w:rsidP="00F65C48">
      <w:pPr>
        <w:ind w:left="709" w:hanging="709"/>
        <w:rPr>
          <w:sz w:val="24"/>
          <w:szCs w:val="24"/>
        </w:rPr>
      </w:pPr>
      <w:r w:rsidRPr="00F65C48">
        <w:rPr>
          <w:rFonts w:ascii="Calibri" w:eastAsia="Calibri" w:hAnsi="Calibri" w:cs="Calibri"/>
          <w:kern w:val="0"/>
          <w:lang w:val="es-ES_tradnl" w:eastAsia="es-CR"/>
          <w14:ligatures w14:val="none"/>
        </w:rPr>
        <w:t xml:space="preserve">Stewart, Eric. “Estratificación social y Patronato en sociedades mediterráneas de la antigüedad”. </w:t>
      </w:r>
      <w:r w:rsidRPr="00F65C48">
        <w:rPr>
          <w:rFonts w:ascii="Calibri" w:eastAsia="Times New Roman" w:hAnsi="Calibri" w:cs="Calibri"/>
          <w:color w:val="000000"/>
          <w:kern w:val="0"/>
          <w:lang w:val="es-ES_tradnl" w:eastAsia="es-CR"/>
          <w14:ligatures w14:val="none"/>
        </w:rPr>
        <w:t xml:space="preserve">En </w:t>
      </w:r>
      <w:r w:rsidRPr="00F65C48">
        <w:rPr>
          <w:rFonts w:ascii="Calibri" w:eastAsia="Times New Roman" w:hAnsi="Calibri" w:cs="Calibri"/>
          <w:i/>
          <w:iCs/>
          <w:color w:val="000000"/>
          <w:kern w:val="0"/>
          <w:lang w:val="es-ES_tradnl" w:eastAsia="es-CR"/>
          <w14:ligatures w14:val="none"/>
        </w:rPr>
        <w:t>Para entender el mundo social del Nuevo Testamento</w:t>
      </w:r>
      <w:r w:rsidRPr="00F65C48">
        <w:rPr>
          <w:rFonts w:ascii="Calibri" w:eastAsia="Times New Roman" w:hAnsi="Calibri" w:cs="Calibri"/>
          <w:color w:val="000000"/>
          <w:kern w:val="0"/>
          <w:lang w:val="es-ES_tradnl" w:eastAsia="es-CR"/>
          <w14:ligatures w14:val="none"/>
        </w:rPr>
        <w:t xml:space="preserve">, editado por Dietmar </w:t>
      </w:r>
      <w:proofErr w:type="spellStart"/>
      <w:r w:rsidRPr="00F65C48">
        <w:rPr>
          <w:rFonts w:ascii="Calibri" w:eastAsia="Times New Roman" w:hAnsi="Calibri" w:cs="Calibri"/>
          <w:color w:val="000000"/>
          <w:kern w:val="0"/>
          <w:lang w:val="es-ES_tradnl" w:eastAsia="es-CR"/>
          <w14:ligatures w14:val="none"/>
        </w:rPr>
        <w:t>Neufeld</w:t>
      </w:r>
      <w:proofErr w:type="spellEnd"/>
      <w:r w:rsidRPr="00F65C48">
        <w:rPr>
          <w:rFonts w:ascii="Calibri" w:eastAsia="Times New Roman" w:hAnsi="Calibri" w:cs="Calibri"/>
          <w:color w:val="000000"/>
          <w:kern w:val="0"/>
          <w:lang w:val="es-ES_tradnl" w:eastAsia="es-CR"/>
          <w14:ligatures w14:val="none"/>
        </w:rPr>
        <w:t xml:space="preserve"> y Richard E. </w:t>
      </w:r>
      <w:proofErr w:type="spellStart"/>
      <w:r w:rsidRPr="00F65C48">
        <w:rPr>
          <w:rFonts w:ascii="Calibri" w:eastAsia="Times New Roman" w:hAnsi="Calibri" w:cs="Calibri"/>
          <w:color w:val="000000"/>
          <w:kern w:val="0"/>
          <w:lang w:val="es-ES_tradnl" w:eastAsia="es-CR"/>
          <w14:ligatures w14:val="none"/>
        </w:rPr>
        <w:t>DeMaris</w:t>
      </w:r>
      <w:proofErr w:type="spellEnd"/>
      <w:r w:rsidRPr="00F65C48">
        <w:rPr>
          <w:rFonts w:ascii="Calibri" w:eastAsia="Times New Roman" w:hAnsi="Calibri" w:cs="Calibri"/>
          <w:color w:val="000000"/>
          <w:kern w:val="0"/>
          <w:lang w:val="es-ES_tradnl" w:eastAsia="es-CR"/>
          <w14:ligatures w14:val="none"/>
        </w:rPr>
        <w:t xml:space="preserve">, 229-242. Estella: Verbo Divino, 2014. </w:t>
      </w:r>
      <w:r w:rsidRPr="00F65C48">
        <w:rPr>
          <w:rFonts w:ascii="Calibri" w:eastAsia="Times New Roman" w:hAnsi="Calibri" w:cs="Calibri"/>
          <w:color w:val="0070C0"/>
          <w:kern w:val="0"/>
          <w:lang w:val="es-ES_tradnl" w:eastAsia="es-CR"/>
          <w14:ligatures w14:val="none"/>
        </w:rPr>
        <w:t>(clásico, últi</w:t>
      </w:r>
      <w:r>
        <w:rPr>
          <w:rFonts w:ascii="Calibri" w:eastAsia="Times New Roman" w:hAnsi="Calibri" w:cs="Calibri"/>
          <w:color w:val="0070C0"/>
          <w:kern w:val="0"/>
          <w:lang w:val="es-ES_tradnl" w:eastAsia="es-CR"/>
          <w14:ligatures w14:val="none"/>
        </w:rPr>
        <w:t>ma edición)</w:t>
      </w:r>
    </w:p>
    <w:p w14:paraId="6F45FD93" w14:textId="77777777" w:rsidR="000E483A" w:rsidRDefault="000E483A" w:rsidP="00DC6C24">
      <w:pPr>
        <w:rPr>
          <w:sz w:val="24"/>
          <w:szCs w:val="24"/>
        </w:rPr>
      </w:pPr>
    </w:p>
    <w:p w14:paraId="7209B114" w14:textId="268D2ADB" w:rsidR="00F65C48" w:rsidRDefault="00F65C48">
      <w:pPr>
        <w:rPr>
          <w:sz w:val="24"/>
          <w:szCs w:val="24"/>
        </w:rPr>
      </w:pPr>
      <w:r>
        <w:rPr>
          <w:sz w:val="24"/>
          <w:szCs w:val="24"/>
        </w:rPr>
        <w:br w:type="page"/>
      </w:r>
    </w:p>
    <w:p w14:paraId="5A34950C" w14:textId="77777777" w:rsidR="006D3F87" w:rsidRPr="006D3F87" w:rsidRDefault="006D3F87" w:rsidP="006D3F87">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6D3F87">
        <w:rPr>
          <w:rFonts w:ascii="Calibri" w:eastAsia="Times New Roman" w:hAnsi="Calibri" w:cs="Calibri"/>
          <w:noProof/>
          <w:color w:val="000000"/>
          <w:kern w:val="0"/>
          <w:lang w:val="en-US" w:bidi="he-IL"/>
          <w14:ligatures w14:val="none"/>
        </w:rPr>
        <w:lastRenderedPageBreak/>
        <w:drawing>
          <wp:inline distT="0" distB="0" distL="0" distR="0" wp14:anchorId="4A44AAF3" wp14:editId="4042C0AA">
            <wp:extent cx="2009775" cy="1548377"/>
            <wp:effectExtent l="0" t="0" r="0" b="0"/>
            <wp:docPr id="2012840411"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840411"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2E46D1C4" w14:textId="77777777" w:rsidR="006D3F87" w:rsidRPr="006D3F87" w:rsidRDefault="006D3F87" w:rsidP="006D3F87">
      <w:pPr>
        <w:keepNext/>
        <w:widowControl w:val="0"/>
        <w:overflowPunct w:val="0"/>
        <w:autoSpaceDE w:val="0"/>
        <w:autoSpaceDN w:val="0"/>
        <w:adjustRightInd w:val="0"/>
        <w:spacing w:after="0" w:line="240" w:lineRule="auto"/>
        <w:jc w:val="center"/>
        <w:outlineLvl w:val="0"/>
        <w:rPr>
          <w:rFonts w:ascii="Calibri" w:eastAsia="Times New Roman" w:hAnsi="Calibri" w:cs="Calibri"/>
          <w:b/>
          <w:spacing w:val="-2"/>
          <w:kern w:val="0"/>
          <w:sz w:val="24"/>
          <w:szCs w:val="24"/>
          <w:lang w:eastAsia="es-CR"/>
          <w14:ligatures w14:val="none"/>
        </w:rPr>
      </w:pPr>
      <w:r w:rsidRPr="006D3F87">
        <w:rPr>
          <w:rFonts w:ascii="Calibri" w:eastAsia="Times New Roman" w:hAnsi="Calibri" w:cs="Calibri"/>
          <w:b/>
          <w:spacing w:val="-2"/>
          <w:kern w:val="0"/>
          <w:sz w:val="24"/>
          <w:szCs w:val="24"/>
          <w:lang w:eastAsia="es-CR"/>
          <w14:ligatures w14:val="none"/>
        </w:rPr>
        <w:t>Universidad Bíblica Latinoamericana</w:t>
      </w:r>
    </w:p>
    <w:p w14:paraId="6DEA0EF6" w14:textId="77777777" w:rsidR="006D3F87" w:rsidRPr="006D3F87" w:rsidRDefault="006D3F87" w:rsidP="006D3F87">
      <w:pPr>
        <w:keepNext/>
        <w:widowControl w:val="0"/>
        <w:overflowPunct w:val="0"/>
        <w:autoSpaceDE w:val="0"/>
        <w:autoSpaceDN w:val="0"/>
        <w:adjustRightInd w:val="0"/>
        <w:spacing w:after="0" w:line="240" w:lineRule="auto"/>
        <w:jc w:val="center"/>
        <w:outlineLvl w:val="1"/>
        <w:rPr>
          <w:rFonts w:ascii="Calibri" w:eastAsia="Times New Roman" w:hAnsi="Calibri" w:cs="Calibri"/>
          <w:b/>
          <w:i/>
          <w:spacing w:val="-2"/>
          <w:kern w:val="28"/>
          <w:sz w:val="24"/>
          <w:szCs w:val="24"/>
          <w:lang w:eastAsia="es-CR"/>
          <w14:ligatures w14:val="none"/>
        </w:rPr>
      </w:pPr>
      <w:r w:rsidRPr="006D3F87">
        <w:rPr>
          <w:rFonts w:ascii="Calibri" w:eastAsia="Times New Roman" w:hAnsi="Calibri" w:cs="Calibri"/>
          <w:b/>
          <w:i/>
          <w:spacing w:val="-2"/>
          <w:kern w:val="28"/>
          <w:sz w:val="24"/>
          <w:szCs w:val="24"/>
          <w:lang w:eastAsia="es-CR"/>
          <w14:ligatures w14:val="none"/>
        </w:rPr>
        <w:t>Facultad de Teología</w:t>
      </w:r>
    </w:p>
    <w:p w14:paraId="474CED80" w14:textId="77777777" w:rsidR="006D3F87" w:rsidRPr="006D3F87" w:rsidRDefault="006D3F87" w:rsidP="006D3F87">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r w:rsidRPr="006D3F87">
        <w:rPr>
          <w:rFonts w:ascii="Calibri" w:eastAsia="Times New Roman" w:hAnsi="Calibri" w:cs="Calibri"/>
          <w:b/>
          <w:bCs/>
          <w:kern w:val="0"/>
          <w:sz w:val="24"/>
          <w:szCs w:val="24"/>
          <w:lang w:val="es-ES_tradnl" w:eastAsia="es-CR"/>
          <w14:ligatures w14:val="none"/>
        </w:rPr>
        <w:t>Bachillerato en Ciencias Bíblicas</w:t>
      </w:r>
    </w:p>
    <w:p w14:paraId="6D402455" w14:textId="77777777" w:rsidR="006D3F87" w:rsidRPr="006D3F87" w:rsidRDefault="006D3F87" w:rsidP="006D3F87">
      <w:pPr>
        <w:widowControl w:val="0"/>
        <w:overflowPunct w:val="0"/>
        <w:autoSpaceDE w:val="0"/>
        <w:autoSpaceDN w:val="0"/>
        <w:adjustRightInd w:val="0"/>
        <w:spacing w:after="0" w:line="240" w:lineRule="auto"/>
        <w:jc w:val="center"/>
        <w:rPr>
          <w:rFonts w:ascii="Calibri" w:eastAsia="Times New Roman" w:hAnsi="Calibri" w:cs="Calibri"/>
          <w:b/>
          <w:bCs/>
          <w:kern w:val="0"/>
          <w:sz w:val="24"/>
          <w:szCs w:val="24"/>
          <w:lang w:val="es-ES_tradnl" w:eastAsia="es-CR"/>
          <w14:ligatures w14:val="none"/>
        </w:rPr>
      </w:pPr>
    </w:p>
    <w:p w14:paraId="50BED31B" w14:textId="77777777" w:rsidR="006D3F87" w:rsidRPr="006D3F87" w:rsidRDefault="006D3F87" w:rsidP="006D3F87">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r w:rsidRPr="006D3F87">
        <w:rPr>
          <w:rFonts w:ascii="Calibri" w:eastAsia="Times New Roman" w:hAnsi="Calibri" w:cs="Calibri"/>
          <w:b/>
          <w:kern w:val="0"/>
          <w:sz w:val="24"/>
          <w:szCs w:val="24"/>
          <w:lang w:val="es-ES_tradnl" w:eastAsia="es-CR"/>
          <w14:ligatures w14:val="none"/>
        </w:rPr>
        <w:t>Sílabo</w:t>
      </w:r>
    </w:p>
    <w:p w14:paraId="43B580F5" w14:textId="77777777" w:rsidR="006D3F87" w:rsidRPr="006D3F87" w:rsidRDefault="006D3F87" w:rsidP="006D3F87">
      <w:pPr>
        <w:widowControl w:val="0"/>
        <w:overflowPunct w:val="0"/>
        <w:autoSpaceDE w:val="0"/>
        <w:autoSpaceDN w:val="0"/>
        <w:adjustRightInd w:val="0"/>
        <w:spacing w:after="0" w:line="240" w:lineRule="auto"/>
        <w:jc w:val="center"/>
        <w:rPr>
          <w:rFonts w:ascii="Calibri" w:eastAsia="Times New Roman" w:hAnsi="Calibri" w:cs="Calibri"/>
          <w:b/>
          <w:kern w:val="0"/>
          <w:sz w:val="24"/>
          <w:szCs w:val="24"/>
          <w:lang w:val="es-ES_tradnl" w:eastAsia="es-CR"/>
          <w14:ligatures w14:val="none"/>
        </w:rPr>
      </w:pPr>
      <w:bookmarkStart w:id="59" w:name="CB112"/>
      <w:r w:rsidRPr="006D3F87">
        <w:rPr>
          <w:rFonts w:ascii="Calibri" w:eastAsia="Times New Roman" w:hAnsi="Calibri" w:cs="Calibri"/>
          <w:b/>
          <w:kern w:val="0"/>
          <w:sz w:val="24"/>
          <w:szCs w:val="24"/>
          <w:lang w:val="es-ES_tradnl" w:eastAsia="es-CR"/>
          <w14:ligatures w14:val="none"/>
        </w:rPr>
        <w:t>Teología Bíblica</w:t>
      </w:r>
    </w:p>
    <w:bookmarkEnd w:id="59"/>
    <w:p w14:paraId="25212227" w14:textId="77777777" w:rsidR="006D3F87" w:rsidRPr="006D3F87" w:rsidRDefault="006D3F87" w:rsidP="006D3F87">
      <w:pPr>
        <w:widowControl w:val="0"/>
        <w:overflowPunct w:val="0"/>
        <w:autoSpaceDE w:val="0"/>
        <w:autoSpaceDN w:val="0"/>
        <w:adjustRightInd w:val="0"/>
        <w:spacing w:after="0" w:line="240" w:lineRule="auto"/>
        <w:rPr>
          <w:rFonts w:ascii="Calibri" w:eastAsia="Arial" w:hAnsi="Calibri" w:cs="Calibri"/>
          <w:color w:val="0070C0"/>
          <w:kern w:val="0"/>
          <w:lang w:val="es-ES_tradnl" w:eastAsia="es-CR"/>
          <w14:ligatures w14:val="none"/>
        </w:rPr>
      </w:pPr>
    </w:p>
    <w:p w14:paraId="03280245" w14:textId="77777777" w:rsidR="006D3F87" w:rsidRPr="006D3F87" w:rsidRDefault="006D3F87" w:rsidP="006D3F87">
      <w:pPr>
        <w:widowControl w:val="0"/>
        <w:overflowPunct w:val="0"/>
        <w:autoSpaceDE w:val="0"/>
        <w:autoSpaceDN w:val="0"/>
        <w:adjustRightInd w:val="0"/>
        <w:spacing w:after="0" w:line="240" w:lineRule="auto"/>
        <w:rPr>
          <w:rFonts w:ascii="Calibri" w:eastAsia="Arial" w:hAnsi="Calibri" w:cs="Calibri"/>
          <w:color w:val="0070C0"/>
          <w:kern w:val="0"/>
          <w:lang w:val="es-ES_tradnl" w:eastAsia="es-CR"/>
          <w14:ligatures w14:val="none"/>
        </w:rPr>
      </w:pPr>
    </w:p>
    <w:p w14:paraId="30EBCB36" w14:textId="77777777" w:rsidR="006D3F87" w:rsidRPr="006D3F87" w:rsidRDefault="006D3F87" w:rsidP="006D3F87">
      <w:pPr>
        <w:widowControl w:val="0"/>
        <w:overflowPunct w:val="0"/>
        <w:autoSpaceDE w:val="0"/>
        <w:autoSpaceDN w:val="0"/>
        <w:adjustRightInd w:val="0"/>
        <w:spacing w:after="0" w:line="240" w:lineRule="auto"/>
        <w:rPr>
          <w:rFonts w:ascii="Calibri" w:eastAsia="Arial" w:hAnsi="Calibri" w:cs="Calibri"/>
          <w:color w:val="0070C0"/>
          <w:kern w:val="0"/>
          <w:lang w:val="es-ES_tradnl" w:eastAsia="es-CR"/>
          <w14:ligatures w14:val="none"/>
        </w:rPr>
      </w:pPr>
    </w:p>
    <w:tbl>
      <w:tblPr>
        <w:tblStyle w:val="Tablaconcuadrcula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7145"/>
      </w:tblGrid>
      <w:tr w:rsidR="006D3F87" w:rsidRPr="006D3F87" w14:paraId="27E004A9" w14:textId="77777777" w:rsidTr="00104785">
        <w:tc>
          <w:tcPr>
            <w:tcW w:w="1667" w:type="dxa"/>
          </w:tcPr>
          <w:p w14:paraId="60DFAEA9" w14:textId="77777777" w:rsidR="006D3F87" w:rsidRPr="006D3F87" w:rsidRDefault="006D3F87" w:rsidP="006D3F87">
            <w:pPr>
              <w:widowControl w:val="0"/>
              <w:overflowPunct w:val="0"/>
              <w:autoSpaceDE w:val="0"/>
              <w:autoSpaceDN w:val="0"/>
              <w:adjustRightInd w:val="0"/>
              <w:rPr>
                <w:rFonts w:eastAsia="Times New Roman" w:cs="Calibri"/>
                <w:b/>
                <w:color w:val="000000"/>
                <w:lang w:eastAsia="es-CR"/>
              </w:rPr>
            </w:pPr>
            <w:r w:rsidRPr="006D3F87">
              <w:rPr>
                <w:rFonts w:eastAsia="Times New Roman" w:cs="Calibri"/>
                <w:b/>
                <w:color w:val="000000"/>
                <w:lang w:eastAsia="es-CR"/>
              </w:rPr>
              <w:t>Código</w:t>
            </w:r>
          </w:p>
        </w:tc>
        <w:tc>
          <w:tcPr>
            <w:tcW w:w="7161" w:type="dxa"/>
          </w:tcPr>
          <w:p w14:paraId="003C6449" w14:textId="77777777" w:rsidR="006D3F87" w:rsidRPr="006D3F87" w:rsidRDefault="006D3F87" w:rsidP="006D3F87">
            <w:pPr>
              <w:widowControl w:val="0"/>
              <w:overflowPunct w:val="0"/>
              <w:autoSpaceDE w:val="0"/>
              <w:autoSpaceDN w:val="0"/>
              <w:adjustRightInd w:val="0"/>
              <w:rPr>
                <w:rFonts w:eastAsia="Times New Roman" w:cs="Calibri"/>
                <w:color w:val="000000"/>
                <w:lang w:eastAsia="es-CR"/>
              </w:rPr>
            </w:pPr>
            <w:r w:rsidRPr="006D3F87">
              <w:rPr>
                <w:rFonts w:eastAsia="Times New Roman" w:cs="Calibri"/>
                <w:color w:val="000000"/>
                <w:lang w:eastAsia="es-CR"/>
              </w:rPr>
              <w:t>CB 112</w:t>
            </w:r>
          </w:p>
        </w:tc>
      </w:tr>
      <w:tr w:rsidR="006D3F87" w:rsidRPr="006D3F87" w14:paraId="22022505" w14:textId="77777777" w:rsidTr="00104785">
        <w:tc>
          <w:tcPr>
            <w:tcW w:w="1667" w:type="dxa"/>
          </w:tcPr>
          <w:p w14:paraId="581F8D74" w14:textId="77777777" w:rsidR="006D3F87" w:rsidRPr="006D3F87" w:rsidRDefault="006D3F87" w:rsidP="006D3F87">
            <w:pPr>
              <w:widowControl w:val="0"/>
              <w:overflowPunct w:val="0"/>
              <w:autoSpaceDE w:val="0"/>
              <w:autoSpaceDN w:val="0"/>
              <w:adjustRightInd w:val="0"/>
              <w:rPr>
                <w:rFonts w:eastAsia="Times New Roman" w:cs="Calibri"/>
                <w:b/>
                <w:color w:val="000000"/>
                <w:lang w:eastAsia="es-CR"/>
              </w:rPr>
            </w:pPr>
            <w:r w:rsidRPr="006D3F87">
              <w:rPr>
                <w:rFonts w:eastAsia="Times New Roman" w:cs="Calibri"/>
                <w:b/>
                <w:color w:val="000000"/>
                <w:lang w:eastAsia="es-CR"/>
              </w:rPr>
              <w:t>Créditos</w:t>
            </w:r>
          </w:p>
        </w:tc>
        <w:tc>
          <w:tcPr>
            <w:tcW w:w="7161" w:type="dxa"/>
          </w:tcPr>
          <w:p w14:paraId="4D827CFF" w14:textId="77777777" w:rsidR="006D3F87" w:rsidRPr="006D3F87" w:rsidRDefault="006D3F87" w:rsidP="006D3F87">
            <w:pPr>
              <w:widowControl w:val="0"/>
              <w:overflowPunct w:val="0"/>
              <w:autoSpaceDE w:val="0"/>
              <w:autoSpaceDN w:val="0"/>
              <w:adjustRightInd w:val="0"/>
              <w:rPr>
                <w:rFonts w:eastAsia="Times New Roman" w:cs="Calibri"/>
                <w:color w:val="000000"/>
                <w:lang w:eastAsia="es-CR"/>
              </w:rPr>
            </w:pPr>
            <w:r w:rsidRPr="006D3F87">
              <w:rPr>
                <w:rFonts w:eastAsia="Times New Roman" w:cs="Calibri"/>
                <w:color w:val="000000"/>
                <w:lang w:eastAsia="es-CR"/>
              </w:rPr>
              <w:t>4</w:t>
            </w:r>
          </w:p>
        </w:tc>
      </w:tr>
      <w:tr w:rsidR="006D3F87" w:rsidRPr="006D3F87" w14:paraId="4F00D119" w14:textId="77777777" w:rsidTr="00104785">
        <w:tc>
          <w:tcPr>
            <w:tcW w:w="1667" w:type="dxa"/>
          </w:tcPr>
          <w:p w14:paraId="4752F740" w14:textId="77777777" w:rsidR="006D3F87" w:rsidRPr="006D3F87" w:rsidRDefault="006D3F87" w:rsidP="006D3F87">
            <w:pPr>
              <w:widowControl w:val="0"/>
              <w:overflowPunct w:val="0"/>
              <w:autoSpaceDE w:val="0"/>
              <w:autoSpaceDN w:val="0"/>
              <w:adjustRightInd w:val="0"/>
              <w:rPr>
                <w:rFonts w:eastAsia="Times New Roman" w:cs="Calibri"/>
                <w:b/>
                <w:color w:val="000000"/>
                <w:lang w:eastAsia="es-CR"/>
              </w:rPr>
            </w:pPr>
            <w:r w:rsidRPr="006D3F87">
              <w:rPr>
                <w:rFonts w:eastAsia="Times New Roman" w:cs="Calibri"/>
                <w:b/>
                <w:color w:val="000000"/>
                <w:lang w:eastAsia="es-CR"/>
              </w:rPr>
              <w:t>Requisitos</w:t>
            </w:r>
          </w:p>
        </w:tc>
        <w:tc>
          <w:tcPr>
            <w:tcW w:w="7161" w:type="dxa"/>
          </w:tcPr>
          <w:p w14:paraId="54E42233" w14:textId="77777777" w:rsidR="006D3F87" w:rsidRPr="006D3F87" w:rsidRDefault="006D3F87" w:rsidP="006D3F87">
            <w:pPr>
              <w:widowControl w:val="0"/>
              <w:overflowPunct w:val="0"/>
              <w:autoSpaceDE w:val="0"/>
              <w:autoSpaceDN w:val="0"/>
              <w:adjustRightInd w:val="0"/>
              <w:rPr>
                <w:rFonts w:eastAsia="Times New Roman" w:cs="Calibri"/>
                <w:color w:val="000000"/>
                <w:lang w:eastAsia="es-CR"/>
              </w:rPr>
            </w:pPr>
            <w:r w:rsidRPr="006D3F87">
              <w:rPr>
                <w:rFonts w:eastAsia="Times New Roman" w:cs="Calibri"/>
                <w:color w:val="000000"/>
                <w:lang w:eastAsia="es-CR"/>
              </w:rPr>
              <w:t>CBX 104</w:t>
            </w:r>
          </w:p>
        </w:tc>
      </w:tr>
      <w:tr w:rsidR="006D3F87" w:rsidRPr="006D3F87" w14:paraId="07CA81C6" w14:textId="77777777" w:rsidTr="00104785">
        <w:tc>
          <w:tcPr>
            <w:tcW w:w="1667" w:type="dxa"/>
          </w:tcPr>
          <w:p w14:paraId="6D628C5D" w14:textId="77777777" w:rsidR="006D3F87" w:rsidRPr="006D3F87" w:rsidRDefault="006D3F87" w:rsidP="006D3F87">
            <w:pPr>
              <w:widowControl w:val="0"/>
              <w:overflowPunct w:val="0"/>
              <w:autoSpaceDE w:val="0"/>
              <w:autoSpaceDN w:val="0"/>
              <w:adjustRightInd w:val="0"/>
              <w:rPr>
                <w:rFonts w:eastAsia="Times New Roman" w:cs="Calibri"/>
                <w:b/>
                <w:color w:val="000000"/>
                <w:lang w:eastAsia="es-CR"/>
              </w:rPr>
            </w:pPr>
            <w:r w:rsidRPr="006D3F87">
              <w:rPr>
                <w:rFonts w:eastAsia="Times New Roman" w:cs="Calibri"/>
                <w:b/>
                <w:color w:val="000000"/>
                <w:lang w:eastAsia="es-CR"/>
              </w:rPr>
              <w:t>Modalidad</w:t>
            </w:r>
          </w:p>
        </w:tc>
        <w:tc>
          <w:tcPr>
            <w:tcW w:w="7161" w:type="dxa"/>
          </w:tcPr>
          <w:p w14:paraId="78AFB548" w14:textId="77777777" w:rsidR="006D3F87" w:rsidRPr="006D3F87" w:rsidRDefault="006D3F87" w:rsidP="006D3F87">
            <w:pPr>
              <w:widowControl w:val="0"/>
              <w:overflowPunct w:val="0"/>
              <w:autoSpaceDE w:val="0"/>
              <w:autoSpaceDN w:val="0"/>
              <w:adjustRightInd w:val="0"/>
              <w:rPr>
                <w:rFonts w:eastAsia="Times New Roman" w:cs="Calibri"/>
                <w:color w:val="000000"/>
                <w:lang w:eastAsia="es-CR"/>
              </w:rPr>
            </w:pPr>
            <w:r w:rsidRPr="006D3F87">
              <w:rPr>
                <w:rFonts w:eastAsia="Times New Roman" w:cs="Calibri"/>
                <w:color w:val="000000"/>
                <w:lang w:eastAsia="es-CR"/>
              </w:rPr>
              <w:t>Virtual</w:t>
            </w:r>
          </w:p>
        </w:tc>
      </w:tr>
      <w:tr w:rsidR="006D3F87" w:rsidRPr="006D3F87" w14:paraId="2EF4247C" w14:textId="77777777" w:rsidTr="00104785">
        <w:tc>
          <w:tcPr>
            <w:tcW w:w="1667" w:type="dxa"/>
          </w:tcPr>
          <w:p w14:paraId="7EE12AB8" w14:textId="77777777" w:rsidR="006D3F87" w:rsidRPr="006D3F87" w:rsidRDefault="006D3F87" w:rsidP="006D3F87">
            <w:pPr>
              <w:widowControl w:val="0"/>
              <w:overflowPunct w:val="0"/>
              <w:autoSpaceDE w:val="0"/>
              <w:autoSpaceDN w:val="0"/>
              <w:adjustRightInd w:val="0"/>
              <w:rPr>
                <w:rFonts w:eastAsia="Times New Roman" w:cs="Calibri"/>
                <w:b/>
                <w:color w:val="000000"/>
                <w:lang w:eastAsia="es-CR"/>
              </w:rPr>
            </w:pPr>
            <w:r w:rsidRPr="006D3F87">
              <w:rPr>
                <w:rFonts w:eastAsia="Times New Roman" w:cs="Calibri"/>
                <w:b/>
                <w:color w:val="000000"/>
                <w:lang w:eastAsia="es-CR"/>
              </w:rPr>
              <w:t>Naturaleza</w:t>
            </w:r>
          </w:p>
        </w:tc>
        <w:tc>
          <w:tcPr>
            <w:tcW w:w="7161" w:type="dxa"/>
          </w:tcPr>
          <w:p w14:paraId="1F30D1FA" w14:textId="77777777" w:rsidR="006D3F87" w:rsidRPr="006D3F87" w:rsidRDefault="006D3F87" w:rsidP="006D3F87">
            <w:pPr>
              <w:widowControl w:val="0"/>
              <w:overflowPunct w:val="0"/>
              <w:autoSpaceDE w:val="0"/>
              <w:autoSpaceDN w:val="0"/>
              <w:adjustRightInd w:val="0"/>
              <w:rPr>
                <w:rFonts w:eastAsia="Times New Roman" w:cs="Calibri"/>
                <w:color w:val="000000"/>
                <w:lang w:eastAsia="es-CR"/>
              </w:rPr>
            </w:pPr>
            <w:r w:rsidRPr="006D3F87">
              <w:rPr>
                <w:rFonts w:eastAsia="Times New Roman" w:cs="Calibri"/>
                <w:color w:val="000000"/>
                <w:lang w:eastAsia="es-CR"/>
              </w:rPr>
              <w:t>Teórico</w:t>
            </w:r>
          </w:p>
        </w:tc>
      </w:tr>
      <w:tr w:rsidR="006D3F87" w:rsidRPr="006D3F87" w14:paraId="7B4033C5" w14:textId="77777777" w:rsidTr="00104785">
        <w:tc>
          <w:tcPr>
            <w:tcW w:w="1667" w:type="dxa"/>
          </w:tcPr>
          <w:p w14:paraId="67287985" w14:textId="77777777" w:rsidR="006D3F87" w:rsidRPr="006D3F87" w:rsidRDefault="006D3F87" w:rsidP="006D3F87">
            <w:pPr>
              <w:widowControl w:val="0"/>
              <w:overflowPunct w:val="0"/>
              <w:autoSpaceDE w:val="0"/>
              <w:autoSpaceDN w:val="0"/>
              <w:adjustRightInd w:val="0"/>
              <w:rPr>
                <w:rFonts w:eastAsia="Times New Roman" w:cs="Calibri"/>
                <w:b/>
                <w:color w:val="000000"/>
                <w:lang w:eastAsia="es-CR"/>
              </w:rPr>
            </w:pPr>
            <w:r w:rsidRPr="006D3F87">
              <w:rPr>
                <w:rFonts w:eastAsia="Times New Roman" w:cs="Calibri"/>
                <w:b/>
                <w:color w:val="000000"/>
                <w:lang w:eastAsia="es-CR"/>
              </w:rPr>
              <w:t>Periodo</w:t>
            </w:r>
          </w:p>
        </w:tc>
        <w:tc>
          <w:tcPr>
            <w:tcW w:w="7161" w:type="dxa"/>
          </w:tcPr>
          <w:p w14:paraId="16CAC04E" w14:textId="77777777" w:rsidR="006D3F87" w:rsidRPr="006D3F87" w:rsidRDefault="006D3F87" w:rsidP="006D3F87">
            <w:pPr>
              <w:widowControl w:val="0"/>
              <w:overflowPunct w:val="0"/>
              <w:autoSpaceDE w:val="0"/>
              <w:autoSpaceDN w:val="0"/>
              <w:adjustRightInd w:val="0"/>
              <w:rPr>
                <w:rFonts w:eastAsia="Times New Roman" w:cs="Calibri"/>
                <w:color w:val="000000"/>
                <w:lang w:eastAsia="es-CR"/>
              </w:rPr>
            </w:pPr>
            <w:r w:rsidRPr="006D3F87">
              <w:rPr>
                <w:rFonts w:eastAsia="Times New Roman" w:cs="Calibri"/>
                <w:color w:val="000000"/>
                <w:lang w:eastAsia="es-CR"/>
              </w:rPr>
              <w:t>Cuatrimestral (15 semanas lectivas)</w:t>
            </w:r>
          </w:p>
        </w:tc>
      </w:tr>
      <w:tr w:rsidR="006D3F87" w:rsidRPr="006D3F87" w14:paraId="5D5A09B9" w14:textId="77777777" w:rsidTr="00104785">
        <w:tc>
          <w:tcPr>
            <w:tcW w:w="1667" w:type="dxa"/>
          </w:tcPr>
          <w:p w14:paraId="690EF8B0" w14:textId="77777777" w:rsidR="006D3F87" w:rsidRPr="006D3F87" w:rsidRDefault="006D3F87" w:rsidP="006D3F87">
            <w:pPr>
              <w:widowControl w:val="0"/>
              <w:overflowPunct w:val="0"/>
              <w:autoSpaceDE w:val="0"/>
              <w:autoSpaceDN w:val="0"/>
              <w:adjustRightInd w:val="0"/>
              <w:rPr>
                <w:rFonts w:eastAsia="Times New Roman" w:cs="Calibri"/>
                <w:b/>
                <w:color w:val="000000"/>
                <w:lang w:eastAsia="es-CR"/>
              </w:rPr>
            </w:pPr>
            <w:r w:rsidRPr="006D3F87">
              <w:rPr>
                <w:rFonts w:eastAsia="Times New Roman" w:cs="Calibri"/>
                <w:b/>
                <w:color w:val="000000"/>
                <w:lang w:eastAsia="es-CR"/>
              </w:rPr>
              <w:t>Nivel</w:t>
            </w:r>
          </w:p>
        </w:tc>
        <w:tc>
          <w:tcPr>
            <w:tcW w:w="7161" w:type="dxa"/>
          </w:tcPr>
          <w:p w14:paraId="7E6755F8" w14:textId="77777777" w:rsidR="006D3F87" w:rsidRPr="006D3F87" w:rsidRDefault="006D3F87" w:rsidP="006D3F87">
            <w:pPr>
              <w:widowControl w:val="0"/>
              <w:overflowPunct w:val="0"/>
              <w:autoSpaceDE w:val="0"/>
              <w:autoSpaceDN w:val="0"/>
              <w:adjustRightInd w:val="0"/>
              <w:rPr>
                <w:rFonts w:eastAsia="Times New Roman" w:cs="Calibri"/>
                <w:color w:val="000000"/>
                <w:lang w:eastAsia="es-CR"/>
              </w:rPr>
            </w:pPr>
            <w:r w:rsidRPr="006D3F87">
              <w:rPr>
                <w:rFonts w:eastAsia="Times New Roman" w:cs="Calibri"/>
                <w:color w:val="000000"/>
                <w:lang w:eastAsia="es-CR"/>
              </w:rPr>
              <w:t>VII Cuatrimestre</w:t>
            </w:r>
          </w:p>
        </w:tc>
      </w:tr>
      <w:tr w:rsidR="006D3F87" w:rsidRPr="006D3F87" w14:paraId="78B1139B" w14:textId="77777777" w:rsidTr="00104785">
        <w:tc>
          <w:tcPr>
            <w:tcW w:w="1667" w:type="dxa"/>
          </w:tcPr>
          <w:p w14:paraId="6233D725" w14:textId="77777777" w:rsidR="006D3F87" w:rsidRPr="006D3F87" w:rsidRDefault="006D3F87" w:rsidP="006D3F87">
            <w:pPr>
              <w:widowControl w:val="0"/>
              <w:overflowPunct w:val="0"/>
              <w:autoSpaceDE w:val="0"/>
              <w:autoSpaceDN w:val="0"/>
              <w:adjustRightInd w:val="0"/>
              <w:rPr>
                <w:rFonts w:eastAsia="Times New Roman" w:cs="Calibri"/>
                <w:b/>
                <w:color w:val="000000"/>
                <w:lang w:eastAsia="es-CR"/>
              </w:rPr>
            </w:pPr>
            <w:r w:rsidRPr="006D3F87">
              <w:rPr>
                <w:rFonts w:eastAsia="Times New Roman" w:cs="Calibri"/>
                <w:b/>
                <w:color w:val="000000"/>
                <w:lang w:eastAsia="es-CR"/>
              </w:rPr>
              <w:t>Horario</w:t>
            </w:r>
          </w:p>
        </w:tc>
        <w:tc>
          <w:tcPr>
            <w:tcW w:w="7161" w:type="dxa"/>
          </w:tcPr>
          <w:p w14:paraId="79D19794" w14:textId="77777777" w:rsidR="006D3F87" w:rsidRPr="006D3F87" w:rsidRDefault="006D3F87" w:rsidP="006D3F87">
            <w:pPr>
              <w:widowControl w:val="0"/>
              <w:overflowPunct w:val="0"/>
              <w:autoSpaceDE w:val="0"/>
              <w:autoSpaceDN w:val="0"/>
              <w:adjustRightInd w:val="0"/>
              <w:rPr>
                <w:rFonts w:eastAsia="Times New Roman" w:cs="Calibri"/>
                <w:color w:val="000000"/>
                <w:lang w:eastAsia="es-CR"/>
              </w:rPr>
            </w:pPr>
            <w:r w:rsidRPr="006D3F87">
              <w:rPr>
                <w:rFonts w:eastAsia="Times New Roman" w:cs="Calibri"/>
                <w:color w:val="000000"/>
                <w:lang w:eastAsia="es-CR"/>
              </w:rPr>
              <w:t>El curso requiere de 12 horas de trabajo semanal</w:t>
            </w:r>
          </w:p>
        </w:tc>
      </w:tr>
      <w:tr w:rsidR="006D3F87" w:rsidRPr="006D3F87" w14:paraId="47A9EEFF" w14:textId="77777777" w:rsidTr="00104785">
        <w:tc>
          <w:tcPr>
            <w:tcW w:w="1667" w:type="dxa"/>
          </w:tcPr>
          <w:p w14:paraId="3C4A117A" w14:textId="77777777" w:rsidR="006D3F87" w:rsidRPr="006D3F87" w:rsidRDefault="006D3F87" w:rsidP="006D3F87">
            <w:pPr>
              <w:widowControl w:val="0"/>
              <w:overflowPunct w:val="0"/>
              <w:autoSpaceDE w:val="0"/>
              <w:autoSpaceDN w:val="0"/>
              <w:adjustRightInd w:val="0"/>
              <w:rPr>
                <w:rFonts w:eastAsia="Times New Roman" w:cs="Calibri"/>
                <w:b/>
                <w:color w:val="000000"/>
                <w:lang w:eastAsia="es-CR"/>
              </w:rPr>
            </w:pPr>
            <w:r w:rsidRPr="006D3F87">
              <w:rPr>
                <w:rFonts w:eastAsia="Times New Roman" w:cs="Calibri"/>
                <w:b/>
                <w:color w:val="000000"/>
                <w:lang w:eastAsia="es-CR"/>
              </w:rPr>
              <w:t>Aula</w:t>
            </w:r>
          </w:p>
        </w:tc>
        <w:tc>
          <w:tcPr>
            <w:tcW w:w="7161" w:type="dxa"/>
          </w:tcPr>
          <w:p w14:paraId="008D4C04" w14:textId="77777777" w:rsidR="006D3F87" w:rsidRPr="006D3F87" w:rsidRDefault="006D3F87" w:rsidP="006D3F87">
            <w:pPr>
              <w:widowControl w:val="0"/>
              <w:overflowPunct w:val="0"/>
              <w:autoSpaceDE w:val="0"/>
              <w:autoSpaceDN w:val="0"/>
              <w:adjustRightInd w:val="0"/>
              <w:rPr>
                <w:rFonts w:eastAsia="Times New Roman" w:cs="Calibri"/>
                <w:color w:val="000000"/>
                <w:lang w:eastAsia="es-CR"/>
              </w:rPr>
            </w:pPr>
            <w:r w:rsidRPr="006D3F87">
              <w:rPr>
                <w:rFonts w:eastAsia="Times New Roman" w:cs="Calibri"/>
                <w:color w:val="000000"/>
                <w:lang w:eastAsia="es-CR"/>
              </w:rPr>
              <w:t>Plataforma virtual de la UBL</w:t>
            </w:r>
          </w:p>
        </w:tc>
      </w:tr>
      <w:tr w:rsidR="006D3F87" w:rsidRPr="006D3F87" w14:paraId="2B7FE4E3" w14:textId="77777777" w:rsidTr="00104785">
        <w:tc>
          <w:tcPr>
            <w:tcW w:w="1667" w:type="dxa"/>
          </w:tcPr>
          <w:p w14:paraId="5D4299A8" w14:textId="77777777" w:rsidR="006D3F87" w:rsidRPr="006D3F87" w:rsidRDefault="006D3F87" w:rsidP="006D3F87">
            <w:pPr>
              <w:widowControl w:val="0"/>
              <w:overflowPunct w:val="0"/>
              <w:autoSpaceDE w:val="0"/>
              <w:autoSpaceDN w:val="0"/>
              <w:adjustRightInd w:val="0"/>
              <w:rPr>
                <w:rFonts w:eastAsia="Times New Roman" w:cs="Calibri"/>
                <w:b/>
                <w:color w:val="000000"/>
                <w:lang w:eastAsia="es-CR"/>
              </w:rPr>
            </w:pPr>
            <w:r w:rsidRPr="006D3F87">
              <w:rPr>
                <w:rFonts w:eastAsia="Times New Roman" w:cs="Calibri"/>
                <w:b/>
                <w:color w:val="000000"/>
                <w:lang w:eastAsia="es-CR"/>
              </w:rPr>
              <w:t>Docente</w:t>
            </w:r>
          </w:p>
        </w:tc>
        <w:tc>
          <w:tcPr>
            <w:tcW w:w="7161" w:type="dxa"/>
          </w:tcPr>
          <w:p w14:paraId="5F0DB259" w14:textId="77777777" w:rsidR="006D3F87" w:rsidRPr="006D3F87" w:rsidRDefault="006D3F87" w:rsidP="006D3F87">
            <w:pPr>
              <w:widowControl w:val="0"/>
              <w:overflowPunct w:val="0"/>
              <w:autoSpaceDE w:val="0"/>
              <w:autoSpaceDN w:val="0"/>
              <w:adjustRightInd w:val="0"/>
              <w:rPr>
                <w:rFonts w:eastAsia="Times New Roman" w:cs="Calibri"/>
                <w:color w:val="000000"/>
                <w:lang w:eastAsia="es-CR"/>
              </w:rPr>
            </w:pPr>
          </w:p>
        </w:tc>
      </w:tr>
      <w:tr w:rsidR="006D3F87" w:rsidRPr="006D3F87" w14:paraId="43D56E63" w14:textId="77777777" w:rsidTr="00104785">
        <w:tc>
          <w:tcPr>
            <w:tcW w:w="1667" w:type="dxa"/>
            <w:vAlign w:val="center"/>
          </w:tcPr>
          <w:p w14:paraId="647CA929" w14:textId="77777777" w:rsidR="006D3F87" w:rsidRPr="006D3F87" w:rsidRDefault="006D3F87" w:rsidP="006D3F87">
            <w:pPr>
              <w:widowControl w:val="0"/>
              <w:overflowPunct w:val="0"/>
              <w:autoSpaceDE w:val="0"/>
              <w:autoSpaceDN w:val="0"/>
              <w:adjustRightInd w:val="0"/>
              <w:rPr>
                <w:rFonts w:eastAsia="Times New Roman" w:cs="Calibri"/>
                <w:color w:val="000000"/>
                <w:lang w:eastAsia="es-CR"/>
              </w:rPr>
            </w:pPr>
            <w:r w:rsidRPr="006D3F87">
              <w:rPr>
                <w:rFonts w:eastAsia="Times New Roman" w:cs="Calibri"/>
                <w:b/>
                <w:color w:val="000000"/>
                <w:lang w:eastAsia="es-CR"/>
              </w:rPr>
              <w:t>Instrucciones administrativas</w:t>
            </w:r>
          </w:p>
        </w:tc>
        <w:tc>
          <w:tcPr>
            <w:tcW w:w="7161" w:type="dxa"/>
          </w:tcPr>
          <w:p w14:paraId="1D727BCA" w14:textId="77777777" w:rsidR="006D3F87" w:rsidRPr="006D3F87" w:rsidRDefault="006D3F87" w:rsidP="006D3F87">
            <w:pPr>
              <w:widowControl w:val="0"/>
              <w:overflowPunct w:val="0"/>
              <w:autoSpaceDE w:val="0"/>
              <w:autoSpaceDN w:val="0"/>
              <w:adjustRightInd w:val="0"/>
              <w:jc w:val="both"/>
              <w:rPr>
                <w:rFonts w:eastAsia="Times New Roman" w:cs="Calibri"/>
                <w:lang w:eastAsia="es-CR"/>
              </w:rPr>
            </w:pPr>
            <w:r w:rsidRPr="006D3F87">
              <w:rPr>
                <w:rFonts w:eastAsia="Times New Roman" w:cs="Calibri"/>
                <w:color w:val="000000"/>
                <w:lang w:eastAsia="es-CR"/>
              </w:rPr>
              <w:t xml:space="preserve">El curso es virtual, por lo que se requiere de acceso a una computadora con conexión a Internet, además de destrezas básicas para el manejo de correo electrónico y la plataforma Moodle desde el rol de estudiante. </w:t>
            </w:r>
            <w:r w:rsidRPr="006D3F87">
              <w:rPr>
                <w:rFonts w:eastAsia="Times New Roman" w:cs="Calibri"/>
                <w:lang w:eastAsia="es-CR"/>
              </w:rPr>
              <w:t>La dirección de acceso a la plataforma es la siguiente:</w:t>
            </w:r>
          </w:p>
          <w:p w14:paraId="4C03AB74" w14:textId="77777777" w:rsidR="006D3F87" w:rsidRPr="006D3F87" w:rsidRDefault="00DD16F2" w:rsidP="006D3F87">
            <w:pPr>
              <w:widowControl w:val="0"/>
              <w:overflowPunct w:val="0"/>
              <w:autoSpaceDE w:val="0"/>
              <w:autoSpaceDN w:val="0"/>
              <w:adjustRightInd w:val="0"/>
              <w:jc w:val="both"/>
              <w:rPr>
                <w:rFonts w:eastAsia="Times New Roman" w:cs="Calibri"/>
                <w:color w:val="000000"/>
                <w:lang w:eastAsia="es-CR"/>
              </w:rPr>
            </w:pPr>
            <w:hyperlink r:id="rId491" w:history="1">
              <w:r w:rsidR="006D3F87" w:rsidRPr="006D3F87">
                <w:rPr>
                  <w:rFonts w:eastAsia="Times New Roman" w:cs="Calibri"/>
                  <w:color w:val="0563C1"/>
                  <w:u w:val="single"/>
                  <w:lang w:eastAsia="es-CR"/>
                </w:rPr>
                <w:t>https://campus.ubl.ac.cr/login/index.php</w:t>
              </w:r>
            </w:hyperlink>
          </w:p>
        </w:tc>
      </w:tr>
    </w:tbl>
    <w:p w14:paraId="6DF89F5C" w14:textId="77777777" w:rsidR="006D3F87" w:rsidRPr="006D3F87" w:rsidRDefault="006D3F87" w:rsidP="006D3F87">
      <w:pPr>
        <w:widowControl w:val="0"/>
        <w:overflowPunct w:val="0"/>
        <w:autoSpaceDE w:val="0"/>
        <w:autoSpaceDN w:val="0"/>
        <w:adjustRightInd w:val="0"/>
        <w:spacing w:after="0" w:line="240" w:lineRule="auto"/>
        <w:rPr>
          <w:rFonts w:ascii="Calibri" w:eastAsia="Times New Roman" w:hAnsi="Calibri" w:cs="Calibri"/>
          <w:color w:val="0070C0"/>
          <w:kern w:val="0"/>
          <w:lang w:eastAsia="es-CR"/>
          <w14:ligatures w14:val="none"/>
        </w:rPr>
      </w:pPr>
    </w:p>
    <w:p w14:paraId="76066CA0" w14:textId="77777777" w:rsidR="006D3F87" w:rsidRPr="006D3F87" w:rsidRDefault="006D3F87" w:rsidP="006D3F87">
      <w:pPr>
        <w:widowControl w:val="0"/>
        <w:overflowPunct w:val="0"/>
        <w:autoSpaceDE w:val="0"/>
        <w:autoSpaceDN w:val="0"/>
        <w:adjustRightInd w:val="0"/>
        <w:spacing w:after="0" w:line="240" w:lineRule="auto"/>
        <w:rPr>
          <w:rFonts w:ascii="Calibri" w:eastAsia="Times New Roman" w:hAnsi="Calibri" w:cs="Calibri"/>
          <w:color w:val="0070C0"/>
          <w:kern w:val="0"/>
          <w:lang w:eastAsia="es-CR"/>
          <w14:ligatures w14:val="none"/>
        </w:rPr>
      </w:pPr>
    </w:p>
    <w:p w14:paraId="6F823F04" w14:textId="77777777" w:rsidR="006D3F87" w:rsidRPr="006D3F87" w:rsidRDefault="006D3F87" w:rsidP="006D3F87">
      <w:pPr>
        <w:widowControl w:val="0"/>
        <w:overflowPunct w:val="0"/>
        <w:autoSpaceDE w:val="0"/>
        <w:autoSpaceDN w:val="0"/>
        <w:adjustRightInd w:val="0"/>
        <w:spacing w:after="0" w:line="240" w:lineRule="auto"/>
        <w:rPr>
          <w:rFonts w:ascii="Calibri" w:eastAsia="Times New Roman" w:hAnsi="Calibri" w:cs="Calibri"/>
          <w:color w:val="0070C0"/>
          <w:kern w:val="0"/>
          <w:lang w:eastAsia="es-CR"/>
          <w14:ligatures w14:val="none"/>
        </w:rPr>
      </w:pPr>
    </w:p>
    <w:p w14:paraId="72B87742"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kern w:val="0"/>
          <w:lang w:val="es-ES_tradnl" w:eastAsia="es-CR"/>
          <w14:ligatures w14:val="none"/>
        </w:rPr>
      </w:pPr>
      <w:r w:rsidRPr="006D3F87">
        <w:rPr>
          <w:rFonts w:ascii="Calibri" w:eastAsia="Times New Roman" w:hAnsi="Calibri" w:cs="Calibri"/>
          <w:b/>
          <w:kern w:val="0"/>
          <w:lang w:eastAsia="es-CR"/>
          <w14:ligatures w14:val="none"/>
        </w:rPr>
        <w:t xml:space="preserve">I. </w:t>
      </w:r>
      <w:r w:rsidRPr="006D3F87">
        <w:rPr>
          <w:rFonts w:ascii="Calibri" w:eastAsia="Times New Roman" w:hAnsi="Calibri" w:cs="Calibri"/>
          <w:b/>
          <w:bCs/>
          <w:kern w:val="0"/>
          <w:lang w:val="es-ES_tradnl" w:eastAsia="es-CR"/>
          <w14:ligatures w14:val="none"/>
        </w:rPr>
        <w:t xml:space="preserve">Descripción          </w:t>
      </w:r>
    </w:p>
    <w:p w14:paraId="29C41417"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6D3F87">
        <w:rPr>
          <w:rFonts w:ascii="Calibri" w:eastAsia="Times New Roman" w:hAnsi="Calibri" w:cs="Calibri"/>
          <w:kern w:val="0"/>
          <w:lang w:val="es-ES_tradnl" w:eastAsia="es-CR"/>
          <w14:ligatures w14:val="none"/>
        </w:rPr>
        <w:t>El curso presentará de manera panorámica el sentido, los contenidos, las dificultades y avances de la teología bíblica como disciplina. El o la profesora expondrá el contenido fundamental del curso, dejando suficiente espacio para preguntas y discusión. Al inicio del curso se darán a escoger a los estudiantes diferentes temas teológicos comunes en la teología bíblica. Los participantes del curso trabajarán individualmente y en grupo los temas bíblicos escogidos por ellos mismos.</w:t>
      </w:r>
    </w:p>
    <w:p w14:paraId="62438C99"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p>
    <w:p w14:paraId="5475A60B" w14:textId="77777777" w:rsidR="006D3F87" w:rsidRPr="006D3F87" w:rsidRDefault="006D3F87" w:rsidP="006D3F87">
      <w:pPr>
        <w:rPr>
          <w:rFonts w:ascii="Calibri" w:eastAsia="Times New Roman" w:hAnsi="Calibri" w:cs="Calibri"/>
          <w:b/>
          <w:kern w:val="0"/>
          <w:lang w:val="es-ES_tradnl" w:eastAsia="es-CR"/>
          <w14:ligatures w14:val="none"/>
        </w:rPr>
      </w:pPr>
      <w:r w:rsidRPr="006D3F87">
        <w:rPr>
          <w:rFonts w:ascii="Calibri" w:eastAsia="Times New Roman" w:hAnsi="Calibri" w:cs="Calibri"/>
          <w:b/>
          <w:kern w:val="0"/>
          <w:lang w:val="es-ES_tradnl" w:eastAsia="es-CR"/>
          <w14:ligatures w14:val="none"/>
        </w:rPr>
        <w:br w:type="page"/>
      </w:r>
    </w:p>
    <w:p w14:paraId="406FD361"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kern w:val="0"/>
          <w:lang w:val="es-ES_tradnl" w:eastAsia="es-CR"/>
          <w14:ligatures w14:val="none"/>
        </w:rPr>
      </w:pPr>
      <w:r w:rsidRPr="006D3F87">
        <w:rPr>
          <w:rFonts w:ascii="Calibri" w:eastAsia="Times New Roman" w:hAnsi="Calibri" w:cs="Calibri"/>
          <w:b/>
          <w:kern w:val="0"/>
          <w:lang w:val="es-ES_tradnl" w:eastAsia="es-CR"/>
          <w14:ligatures w14:val="none"/>
        </w:rPr>
        <w:lastRenderedPageBreak/>
        <w:t xml:space="preserve">II. </w:t>
      </w:r>
      <w:r w:rsidRPr="006D3F87">
        <w:rPr>
          <w:rFonts w:ascii="Calibri" w:eastAsia="Times New Roman" w:hAnsi="Calibri" w:cs="Calibri"/>
          <w:b/>
          <w:bCs/>
          <w:kern w:val="0"/>
          <w:lang w:val="es-ES_tradnl" w:eastAsia="es-CR"/>
          <w14:ligatures w14:val="none"/>
        </w:rPr>
        <w:t>Objetivo general</w:t>
      </w:r>
      <w:r w:rsidRPr="006D3F87">
        <w:rPr>
          <w:rFonts w:ascii="Calibri" w:eastAsia="Times New Roman" w:hAnsi="Calibri" w:cs="Calibri"/>
          <w:b/>
          <w:bCs/>
          <w:kern w:val="0"/>
          <w:lang w:val="es-ES_tradnl" w:eastAsia="es-CR"/>
          <w14:ligatures w14:val="none"/>
        </w:rPr>
        <w:tab/>
      </w:r>
    </w:p>
    <w:p w14:paraId="1D0D12D9" w14:textId="77777777" w:rsidR="006D3F87" w:rsidRPr="006D3F87" w:rsidRDefault="006D3F87" w:rsidP="006D3F87">
      <w:pPr>
        <w:widowControl w:val="0"/>
        <w:overflowPunct w:val="0"/>
        <w:autoSpaceDE w:val="0"/>
        <w:autoSpaceDN w:val="0"/>
        <w:adjustRightInd w:val="0"/>
        <w:spacing w:before="120" w:after="0" w:line="240" w:lineRule="auto"/>
        <w:rPr>
          <w:rFonts w:ascii="Calibri" w:eastAsia="Times New Roman" w:hAnsi="Calibri" w:cs="Calibri"/>
          <w:kern w:val="0"/>
          <w:lang w:val="es-ES_tradnl" w:eastAsia="es-CR"/>
          <w14:ligatures w14:val="none"/>
        </w:rPr>
      </w:pPr>
      <w:r w:rsidRPr="006D3F87">
        <w:rPr>
          <w:rFonts w:ascii="Calibri" w:eastAsia="Times New Roman" w:hAnsi="Calibri" w:cs="Calibri"/>
          <w:kern w:val="0"/>
          <w:lang w:val="es-ES_tradnl" w:eastAsia="es-CR"/>
          <w14:ligatures w14:val="none"/>
        </w:rPr>
        <w:t>Conocer los ejes temáticos fundamentales de la teología bíblica.</w:t>
      </w:r>
    </w:p>
    <w:p w14:paraId="1998C3CF"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i/>
          <w:iCs/>
          <w:kern w:val="0"/>
          <w:lang w:val="es-ES_tradnl" w:eastAsia="es-CR"/>
          <w14:ligatures w14:val="none"/>
        </w:rPr>
      </w:pPr>
    </w:p>
    <w:p w14:paraId="149C9FCA"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iCs/>
          <w:kern w:val="0"/>
          <w:lang w:val="es-ES_tradnl" w:eastAsia="es-CR"/>
          <w14:ligatures w14:val="none"/>
        </w:rPr>
      </w:pPr>
      <w:r w:rsidRPr="006D3F87">
        <w:rPr>
          <w:rFonts w:ascii="Calibri" w:eastAsia="Times New Roman" w:hAnsi="Calibri" w:cs="Calibri"/>
          <w:b/>
          <w:bCs/>
          <w:iCs/>
          <w:kern w:val="0"/>
          <w:lang w:val="es-ES_tradnl" w:eastAsia="es-CR"/>
          <w14:ligatures w14:val="none"/>
        </w:rPr>
        <w:t>III. Objetivos específicos</w:t>
      </w:r>
    </w:p>
    <w:p w14:paraId="57AAB5B7"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iCs/>
          <w:kern w:val="0"/>
          <w:lang w:val="es-ES_tradnl" w:eastAsia="es-CR"/>
          <w14:ligatures w14:val="none"/>
        </w:rPr>
      </w:pPr>
    </w:p>
    <w:p w14:paraId="4B0A0333"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iCs/>
          <w:kern w:val="0"/>
          <w:lang w:val="es-ES_tradnl" w:eastAsia="es-CR"/>
          <w14:ligatures w14:val="none"/>
        </w:rPr>
      </w:pPr>
      <w:r w:rsidRPr="006D3F87">
        <w:rPr>
          <w:rFonts w:ascii="Calibri" w:eastAsia="Times New Roman" w:hAnsi="Calibri" w:cs="Calibri"/>
          <w:iCs/>
          <w:kern w:val="0"/>
          <w:lang w:val="es-ES_tradnl" w:eastAsia="es-CR"/>
          <w14:ligatures w14:val="none"/>
        </w:rPr>
        <w:t xml:space="preserve">1. Reconocer los límites, problemas y aportes de la teología bíblica con relación a la teología sistemática. </w:t>
      </w:r>
    </w:p>
    <w:p w14:paraId="5A298D93"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iCs/>
          <w:kern w:val="0"/>
          <w:lang w:val="es-ES_tradnl" w:eastAsia="es-CR"/>
          <w14:ligatures w14:val="none"/>
        </w:rPr>
      </w:pPr>
    </w:p>
    <w:p w14:paraId="07291646"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iCs/>
          <w:kern w:val="0"/>
          <w:lang w:val="es-ES_tradnl" w:eastAsia="es-CR"/>
          <w14:ligatures w14:val="none"/>
        </w:rPr>
      </w:pPr>
      <w:r w:rsidRPr="006D3F87">
        <w:rPr>
          <w:rFonts w:ascii="Calibri" w:eastAsia="Times New Roman" w:hAnsi="Calibri" w:cs="Calibri"/>
          <w:iCs/>
          <w:kern w:val="0"/>
          <w:lang w:val="es-ES_tradnl" w:eastAsia="es-CR"/>
          <w14:ligatures w14:val="none"/>
        </w:rPr>
        <w:t xml:space="preserve">2. Distinguir la intención teológica de los distintos textos bíblicos. </w:t>
      </w:r>
    </w:p>
    <w:p w14:paraId="4E48350D"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iCs/>
          <w:kern w:val="0"/>
          <w:lang w:val="es-ES_tradnl" w:eastAsia="es-CR"/>
          <w14:ligatures w14:val="none"/>
        </w:rPr>
      </w:pPr>
    </w:p>
    <w:p w14:paraId="43280159"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iCs/>
          <w:kern w:val="0"/>
          <w:lang w:val="es-ES_tradnl" w:eastAsia="es-CR"/>
          <w14:ligatures w14:val="none"/>
        </w:rPr>
      </w:pPr>
      <w:r w:rsidRPr="006D3F87">
        <w:rPr>
          <w:rFonts w:ascii="Calibri" w:eastAsia="Times New Roman" w:hAnsi="Calibri" w:cs="Calibri"/>
          <w:iCs/>
          <w:kern w:val="0"/>
          <w:lang w:val="es-ES_tradnl" w:eastAsia="es-CR"/>
          <w14:ligatures w14:val="none"/>
        </w:rPr>
        <w:t xml:space="preserve">3. Estudiar, desde la perspectiva diacrónica y sincrónica, los temas bíblico-teológicos articulados a los ejes temáticos. </w:t>
      </w:r>
      <w:r w:rsidRPr="006D3F87">
        <w:rPr>
          <w:rFonts w:ascii="Calibri" w:eastAsia="Times New Roman" w:hAnsi="Calibri" w:cs="Calibri"/>
          <w:b/>
          <w:bCs/>
          <w:iCs/>
          <w:kern w:val="0"/>
          <w:lang w:val="es-ES_tradnl" w:eastAsia="es-CR"/>
          <w14:ligatures w14:val="none"/>
        </w:rPr>
        <w:tab/>
      </w:r>
    </w:p>
    <w:p w14:paraId="70C89410" w14:textId="77777777" w:rsidR="006D3F87" w:rsidRPr="006D3F87" w:rsidRDefault="006D3F87" w:rsidP="006D3F87">
      <w:pPr>
        <w:widowControl w:val="0"/>
        <w:overflowPunct w:val="0"/>
        <w:autoSpaceDE w:val="0"/>
        <w:autoSpaceDN w:val="0"/>
        <w:adjustRightInd w:val="0"/>
        <w:spacing w:after="0" w:line="240" w:lineRule="auto"/>
        <w:ind w:left="1080" w:hanging="360"/>
        <w:jc w:val="both"/>
        <w:rPr>
          <w:rFonts w:ascii="Calibri" w:eastAsia="Times New Roman" w:hAnsi="Calibri" w:cs="Calibri"/>
          <w:kern w:val="0"/>
          <w:lang w:val="es-ES_tradnl" w:eastAsia="es-CR"/>
          <w14:ligatures w14:val="none"/>
        </w:rPr>
      </w:pPr>
    </w:p>
    <w:p w14:paraId="59E516C2"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iCs/>
          <w:kern w:val="0"/>
          <w:lang w:val="es-ES_tradnl" w:eastAsia="es-CR"/>
          <w14:ligatures w14:val="none"/>
        </w:rPr>
      </w:pPr>
      <w:r w:rsidRPr="006D3F87">
        <w:rPr>
          <w:rFonts w:ascii="Calibri" w:eastAsia="Times New Roman" w:hAnsi="Calibri" w:cs="Calibri"/>
          <w:b/>
          <w:bCs/>
          <w:iCs/>
          <w:kern w:val="0"/>
          <w:lang w:val="es-ES_tradnl" w:eastAsia="es-CR"/>
          <w14:ligatures w14:val="none"/>
        </w:rPr>
        <w:t xml:space="preserve">IV. Contenidos      </w:t>
      </w:r>
    </w:p>
    <w:p w14:paraId="44A6EE83"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
          <w:bCs/>
          <w:color w:val="231F20"/>
          <w:kern w:val="0"/>
          <w:sz w:val="2"/>
          <w:szCs w:val="2"/>
          <w:lang w:val="es-ES_tradnl" w:eastAsia="es-CR"/>
          <w14:ligatures w14:val="none"/>
        </w:rPr>
      </w:pPr>
    </w:p>
    <w:p w14:paraId="5318EFDB"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
          <w:bCs/>
          <w:kern w:val="0"/>
          <w:lang w:val="es-ES_tradnl" w:eastAsia="es-CR"/>
          <w14:ligatures w14:val="none"/>
        </w:rPr>
      </w:pPr>
      <w:r w:rsidRPr="006D3F87">
        <w:rPr>
          <w:rFonts w:ascii="Calibri" w:eastAsia="Times New Roman" w:hAnsi="Calibri" w:cs="Calibri"/>
          <w:b/>
          <w:bCs/>
          <w:kern w:val="0"/>
          <w:lang w:val="es-ES_tradnl" w:eastAsia="es-CR"/>
          <w14:ligatures w14:val="none"/>
        </w:rPr>
        <w:t>Unidad 1: Prolegómenos para una teología bíblica</w:t>
      </w:r>
    </w:p>
    <w:p w14:paraId="7EB67D58" w14:textId="77777777" w:rsidR="006D3F87" w:rsidRPr="006D3F87" w:rsidRDefault="006D3F87" w:rsidP="006D3F87">
      <w:pPr>
        <w:widowControl w:val="0"/>
        <w:overflowPunct w:val="0"/>
        <w:autoSpaceDE w:val="0"/>
        <w:autoSpaceDN w:val="0"/>
        <w:adjustRightInd w:val="0"/>
        <w:spacing w:before="120" w:after="0" w:line="240" w:lineRule="auto"/>
        <w:ind w:left="1260" w:hanging="1260"/>
        <w:jc w:val="both"/>
        <w:rPr>
          <w:rFonts w:ascii="Calibri" w:eastAsia="Times New Roman" w:hAnsi="Calibri" w:cs="Calibri"/>
          <w:bCs/>
          <w:kern w:val="0"/>
          <w:lang w:val="es-ES_tradnl" w:eastAsia="es-CR"/>
          <w14:ligatures w14:val="none"/>
        </w:rPr>
      </w:pPr>
      <w:r w:rsidRPr="006D3F87">
        <w:rPr>
          <w:rFonts w:ascii="Calibri" w:eastAsia="Times New Roman" w:hAnsi="Calibri" w:cs="Calibri"/>
          <w:bCs/>
          <w:kern w:val="0"/>
          <w:lang w:val="es-ES_tradnl" w:eastAsia="es-CR"/>
          <w14:ligatures w14:val="none"/>
        </w:rPr>
        <w:t>1.1 Premisas epistemológicas: ¿es posible una “teología bíblica”?</w:t>
      </w:r>
    </w:p>
    <w:p w14:paraId="39F3A28A" w14:textId="77777777" w:rsidR="006D3F87" w:rsidRPr="006D3F87" w:rsidRDefault="006D3F87" w:rsidP="006D3F87">
      <w:pPr>
        <w:widowControl w:val="0"/>
        <w:overflowPunct w:val="0"/>
        <w:autoSpaceDE w:val="0"/>
        <w:autoSpaceDN w:val="0"/>
        <w:adjustRightInd w:val="0"/>
        <w:spacing w:before="120" w:after="0" w:line="240" w:lineRule="auto"/>
        <w:ind w:left="1260" w:hanging="1260"/>
        <w:jc w:val="both"/>
        <w:rPr>
          <w:rFonts w:ascii="Calibri" w:eastAsia="Times New Roman" w:hAnsi="Calibri" w:cs="Calibri"/>
          <w:bCs/>
          <w:kern w:val="0"/>
          <w:lang w:val="es-ES_tradnl" w:eastAsia="es-CR"/>
          <w14:ligatures w14:val="none"/>
        </w:rPr>
      </w:pPr>
      <w:r w:rsidRPr="006D3F87">
        <w:rPr>
          <w:rFonts w:ascii="Calibri" w:eastAsia="Times New Roman" w:hAnsi="Calibri" w:cs="Calibri"/>
          <w:bCs/>
          <w:kern w:val="0"/>
          <w:lang w:val="es-ES_tradnl" w:eastAsia="es-CR"/>
          <w14:ligatures w14:val="none"/>
        </w:rPr>
        <w:t>1.2 Grandes corrientes teológicas en la conformación del AT y el NT</w:t>
      </w:r>
    </w:p>
    <w:p w14:paraId="52AF4E7D"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
          <w:bCs/>
          <w:color w:val="00B0F0"/>
          <w:kern w:val="0"/>
          <w:lang w:val="es-ES_tradnl" w:eastAsia="es-CR"/>
          <w14:ligatures w14:val="none"/>
        </w:rPr>
      </w:pPr>
    </w:p>
    <w:p w14:paraId="2A6300C1" w14:textId="77777777" w:rsidR="006D3F87" w:rsidRPr="006D3F87" w:rsidRDefault="006D3F87" w:rsidP="006D3F87">
      <w:pPr>
        <w:widowControl w:val="0"/>
        <w:overflowPunct w:val="0"/>
        <w:autoSpaceDE w:val="0"/>
        <w:autoSpaceDN w:val="0"/>
        <w:adjustRightInd w:val="0"/>
        <w:spacing w:before="120" w:after="0" w:line="240" w:lineRule="auto"/>
        <w:ind w:left="1260" w:hanging="1260"/>
        <w:jc w:val="both"/>
        <w:rPr>
          <w:rFonts w:ascii="Calibri" w:eastAsia="Times New Roman" w:hAnsi="Calibri" w:cs="Calibri"/>
          <w:b/>
          <w:bCs/>
          <w:kern w:val="0"/>
          <w:lang w:val="es-ES_tradnl" w:eastAsia="es-CR"/>
          <w14:ligatures w14:val="none"/>
        </w:rPr>
      </w:pPr>
      <w:r w:rsidRPr="006D3F87">
        <w:rPr>
          <w:rFonts w:ascii="Calibri" w:eastAsia="Times New Roman" w:hAnsi="Calibri" w:cs="Calibri"/>
          <w:b/>
          <w:bCs/>
          <w:kern w:val="0"/>
          <w:lang w:val="es-ES_tradnl" w:eastAsia="es-CR"/>
          <w14:ligatures w14:val="none"/>
        </w:rPr>
        <w:t xml:space="preserve">Unidad 2: </w:t>
      </w:r>
      <w:r w:rsidRPr="006D3F87">
        <w:rPr>
          <w:rFonts w:ascii="Calibri" w:eastAsia="Times New Roman" w:hAnsi="Calibri" w:cs="Calibri"/>
          <w:b/>
          <w:kern w:val="0"/>
          <w:lang w:val="es-ES_tradnl" w:eastAsia="es-CR"/>
          <w14:ligatures w14:val="none"/>
        </w:rPr>
        <w:t>La creación como criterio para discernir al Dios de la vida y la esperanza</w:t>
      </w:r>
    </w:p>
    <w:p w14:paraId="3320C2CE"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6D3F87">
        <w:rPr>
          <w:rFonts w:ascii="Calibri" w:eastAsia="Times New Roman" w:hAnsi="Calibri" w:cs="Calibri"/>
          <w:bCs/>
          <w:kern w:val="0"/>
          <w:lang w:val="es-ES_tradnl" w:eastAsia="es-CR"/>
          <w14:ligatures w14:val="none"/>
        </w:rPr>
        <w:t>2.1 La creación en la teología del Antiguo Testamento</w:t>
      </w:r>
    </w:p>
    <w:p w14:paraId="0ADE38BF"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6D3F87">
        <w:rPr>
          <w:rFonts w:ascii="Calibri" w:eastAsia="Times New Roman" w:hAnsi="Calibri" w:cs="Calibri"/>
          <w:bCs/>
          <w:kern w:val="0"/>
          <w:lang w:val="es-ES_tradnl" w:eastAsia="es-CR"/>
          <w14:ligatures w14:val="none"/>
        </w:rPr>
        <w:t>2.2 La creación en la teología del Nuevo Testamento</w:t>
      </w:r>
    </w:p>
    <w:p w14:paraId="0A33BE0C"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p>
    <w:p w14:paraId="7E0E90D9" w14:textId="77777777" w:rsidR="006D3F87" w:rsidRPr="006D3F87" w:rsidRDefault="006D3F87" w:rsidP="006D3F87">
      <w:pPr>
        <w:widowControl w:val="0"/>
        <w:overflowPunct w:val="0"/>
        <w:autoSpaceDE w:val="0"/>
        <w:autoSpaceDN w:val="0"/>
        <w:adjustRightInd w:val="0"/>
        <w:spacing w:before="120" w:after="0" w:line="240" w:lineRule="auto"/>
        <w:ind w:left="1260" w:hanging="1260"/>
        <w:jc w:val="both"/>
        <w:rPr>
          <w:rFonts w:ascii="Calibri" w:eastAsia="Times New Roman" w:hAnsi="Calibri" w:cs="Calibri"/>
          <w:b/>
          <w:bCs/>
          <w:kern w:val="0"/>
          <w:lang w:val="es-ES_tradnl" w:eastAsia="es-CR"/>
          <w14:ligatures w14:val="none"/>
        </w:rPr>
      </w:pPr>
      <w:r w:rsidRPr="006D3F87">
        <w:rPr>
          <w:rFonts w:ascii="Calibri" w:eastAsia="Times New Roman" w:hAnsi="Calibri" w:cs="Calibri"/>
          <w:b/>
          <w:bCs/>
          <w:kern w:val="0"/>
          <w:lang w:val="es-ES_tradnl" w:eastAsia="es-CR"/>
          <w14:ligatures w14:val="none"/>
        </w:rPr>
        <w:t xml:space="preserve">Unidad 3: </w:t>
      </w:r>
      <w:r w:rsidRPr="006D3F87">
        <w:rPr>
          <w:rFonts w:ascii="Calibri" w:eastAsia="Times New Roman" w:hAnsi="Calibri" w:cs="Calibri"/>
          <w:b/>
          <w:kern w:val="0"/>
          <w:lang w:val="es-ES_tradnl" w:eastAsia="es-CR"/>
          <w14:ligatures w14:val="none"/>
        </w:rPr>
        <w:t>La liberación como criterio para discernir al Dios de la justicia y de la misericordia</w:t>
      </w:r>
    </w:p>
    <w:p w14:paraId="0FD7C168"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6D3F87">
        <w:rPr>
          <w:rFonts w:ascii="Calibri" w:eastAsia="Times New Roman" w:hAnsi="Calibri" w:cs="Calibri"/>
          <w:bCs/>
          <w:kern w:val="0"/>
          <w:lang w:val="es-ES_tradnl" w:eastAsia="es-CR"/>
          <w14:ligatures w14:val="none"/>
        </w:rPr>
        <w:t>3.1 La liberación en la teología del Antiguo Testamento</w:t>
      </w:r>
    </w:p>
    <w:p w14:paraId="63236DE6"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6D3F87">
        <w:rPr>
          <w:rFonts w:ascii="Calibri" w:eastAsia="Times New Roman" w:hAnsi="Calibri" w:cs="Calibri"/>
          <w:bCs/>
          <w:kern w:val="0"/>
          <w:lang w:val="es-ES_tradnl" w:eastAsia="es-CR"/>
          <w14:ligatures w14:val="none"/>
        </w:rPr>
        <w:t>3.2 La liberación en la teología del Nuevo Testamento</w:t>
      </w:r>
    </w:p>
    <w:p w14:paraId="613BF675"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
          <w:bCs/>
          <w:kern w:val="0"/>
          <w:lang w:val="es-ES_tradnl" w:eastAsia="es-CR"/>
          <w14:ligatures w14:val="none"/>
        </w:rPr>
      </w:pPr>
    </w:p>
    <w:p w14:paraId="546AC18A" w14:textId="77777777" w:rsidR="006D3F87" w:rsidRPr="006D3F87" w:rsidRDefault="006D3F87" w:rsidP="006D3F87">
      <w:pPr>
        <w:widowControl w:val="0"/>
        <w:overflowPunct w:val="0"/>
        <w:autoSpaceDE w:val="0"/>
        <w:autoSpaceDN w:val="0"/>
        <w:adjustRightInd w:val="0"/>
        <w:spacing w:before="120" w:after="0" w:line="240" w:lineRule="auto"/>
        <w:ind w:left="1260" w:hanging="1260"/>
        <w:jc w:val="both"/>
        <w:rPr>
          <w:rFonts w:ascii="Calibri" w:eastAsia="Times New Roman" w:hAnsi="Calibri" w:cs="Calibri"/>
          <w:b/>
          <w:bCs/>
          <w:kern w:val="0"/>
          <w:lang w:val="es-ES_tradnl" w:eastAsia="es-CR"/>
          <w14:ligatures w14:val="none"/>
        </w:rPr>
      </w:pPr>
      <w:r w:rsidRPr="006D3F87">
        <w:rPr>
          <w:rFonts w:ascii="Calibri" w:eastAsia="Times New Roman" w:hAnsi="Calibri" w:cs="Calibri"/>
          <w:b/>
          <w:bCs/>
          <w:kern w:val="0"/>
          <w:lang w:val="es-ES_tradnl" w:eastAsia="es-CR"/>
          <w14:ligatures w14:val="none"/>
        </w:rPr>
        <w:t xml:space="preserve">Unidad 4: </w:t>
      </w:r>
      <w:r w:rsidRPr="006D3F87">
        <w:rPr>
          <w:rFonts w:ascii="Calibri" w:eastAsia="Times New Roman" w:hAnsi="Calibri" w:cs="Calibri"/>
          <w:b/>
          <w:kern w:val="0"/>
          <w:lang w:val="es-ES_tradnl" w:eastAsia="es-CR"/>
          <w14:ligatures w14:val="none"/>
        </w:rPr>
        <w:t>La salvación como criterio para discernir al Dios de la solidaridad y la libertad</w:t>
      </w:r>
    </w:p>
    <w:p w14:paraId="1E8FBF93"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6D3F87">
        <w:rPr>
          <w:rFonts w:ascii="Calibri" w:eastAsia="Times New Roman" w:hAnsi="Calibri" w:cs="Calibri"/>
          <w:bCs/>
          <w:kern w:val="0"/>
          <w:lang w:val="es-ES_tradnl" w:eastAsia="es-CR"/>
          <w14:ligatures w14:val="none"/>
        </w:rPr>
        <w:t>4.1 La salvación en la teología del Antiguo Testamento</w:t>
      </w:r>
    </w:p>
    <w:p w14:paraId="0BB52839"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6D3F87">
        <w:rPr>
          <w:rFonts w:ascii="Calibri" w:eastAsia="Times New Roman" w:hAnsi="Calibri" w:cs="Calibri"/>
          <w:bCs/>
          <w:kern w:val="0"/>
          <w:lang w:val="es-ES_tradnl" w:eastAsia="es-CR"/>
          <w14:ligatures w14:val="none"/>
        </w:rPr>
        <w:t>4.2 La salvación en la teología del Nuevo Testamento</w:t>
      </w:r>
    </w:p>
    <w:p w14:paraId="3FD4C090"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p>
    <w:p w14:paraId="5FEC3472"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
          <w:kern w:val="0"/>
          <w:lang w:val="es-ES_tradnl" w:eastAsia="es-CR"/>
          <w14:ligatures w14:val="none"/>
        </w:rPr>
      </w:pPr>
      <w:r w:rsidRPr="006D3F87">
        <w:rPr>
          <w:rFonts w:ascii="Calibri" w:eastAsia="Times New Roman" w:hAnsi="Calibri" w:cs="Calibri"/>
          <w:b/>
          <w:kern w:val="0"/>
          <w:lang w:val="es-ES_tradnl" w:eastAsia="es-CR"/>
          <w14:ligatures w14:val="none"/>
        </w:rPr>
        <w:t>Unidad 5: Evaluación final</w:t>
      </w:r>
    </w:p>
    <w:p w14:paraId="03A4D4FB"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r w:rsidRPr="006D3F87">
        <w:rPr>
          <w:rFonts w:ascii="Calibri" w:eastAsia="Times New Roman" w:hAnsi="Calibri" w:cs="Calibri"/>
          <w:bCs/>
          <w:kern w:val="0"/>
          <w:lang w:val="es-ES_tradnl" w:eastAsia="es-CR"/>
          <w14:ligatures w14:val="none"/>
        </w:rPr>
        <w:t>5.1 Entrega y presentación del ensayo final</w:t>
      </w:r>
    </w:p>
    <w:p w14:paraId="658B534F"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kern w:val="0"/>
          <w:lang w:val="es-ES_tradnl" w:eastAsia="es-CR"/>
          <w14:ligatures w14:val="none"/>
        </w:rPr>
      </w:pPr>
    </w:p>
    <w:p w14:paraId="2D07EB65"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color w:val="000000"/>
          <w:kern w:val="0"/>
          <w:lang w:val="es-ES_tradnl" w:eastAsia="es-CR"/>
          <w14:ligatures w14:val="none"/>
        </w:rPr>
        <w:t xml:space="preserve">V. Metodología </w:t>
      </w:r>
    </w:p>
    <w:p w14:paraId="23DE5889"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23F74741" w14:textId="77777777" w:rsidR="006D3F87" w:rsidRPr="006D3F87" w:rsidRDefault="006D3F87" w:rsidP="006D3F87">
      <w:pPr>
        <w:autoSpaceDE w:val="0"/>
        <w:autoSpaceDN w:val="0"/>
        <w:adjustRightInd w:val="0"/>
        <w:spacing w:after="0" w:line="240" w:lineRule="auto"/>
        <w:jc w:val="both"/>
        <w:rPr>
          <w:rFonts w:ascii="Calibri" w:eastAsia="Times New Roman" w:hAnsi="Calibri" w:cs="Arial"/>
          <w:kern w:val="0"/>
          <w:lang w:val="es-ES" w:eastAsia="es-CR"/>
          <w14:ligatures w14:val="none"/>
        </w:rPr>
      </w:pPr>
      <w:r w:rsidRPr="006D3F87">
        <w:rPr>
          <w:rFonts w:ascii="Calibri" w:eastAsia="Times New Roman" w:hAnsi="Calibri" w:cs="Arial"/>
          <w:kern w:val="0"/>
          <w:lang w:val="es-ES" w:eastAsia="es-CR"/>
          <w14:ligatures w14:val="none"/>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w:t>
      </w:r>
      <w:r w:rsidRPr="006D3F87">
        <w:rPr>
          <w:rFonts w:ascii="Calibri" w:eastAsia="Times New Roman" w:hAnsi="Calibri" w:cs="Arial"/>
          <w:kern w:val="0"/>
          <w:lang w:val="es-ES" w:eastAsia="es-CR"/>
          <w14:ligatures w14:val="none"/>
        </w:rPr>
        <w:lastRenderedPageBreak/>
        <w:t>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60754707"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Cs/>
          <w:kern w:val="0"/>
          <w:lang w:val="es-ES_tradnl" w:eastAsia="es-CR"/>
          <w14:ligatures w14:val="none"/>
        </w:rPr>
      </w:pPr>
    </w:p>
    <w:p w14:paraId="0E32BD26"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Cs/>
          <w:kern w:val="0"/>
          <w:lang w:val="es-ES_tradnl" w:eastAsia="es-CR"/>
          <w14:ligatures w14:val="none"/>
        </w:rPr>
        <w:t>El curso es de naturaleza teórica dado que busca ofrecer insumos teóricos que permitan reflexionar sobre el quehacer de esta subdisciplina de las Ciencias Bíblicas con el fin de que las personas estudiantes sean capaces de reflexionar teológicamente, con sus herramientas y fundamentos, sobre temáticas propias de su quehacer y contexto. A través de lecturas individuales, aportes docentes y trabajo de análisis bíblico, cada estudiante entrará en contacto con las temáticas y discusiones fundamentales del estudio de la teología bíblica, empezando por la valoración crítica de la subdisciplina como tal. En los foros y encuentros sincrónicos se debatirán los ejes centrales epistemológicos y teóricos de la teología bíblica y su presencia en diferentes colecciones de la Biblia.</w:t>
      </w:r>
      <w:r w:rsidRPr="006D3F87">
        <w:rPr>
          <w:rFonts w:ascii="Times New Roman" w:eastAsia="Times New Roman" w:hAnsi="Times New Roman" w:cs="Times New Roman"/>
          <w:kern w:val="0"/>
          <w:sz w:val="24"/>
          <w:szCs w:val="20"/>
          <w:lang w:val="es-ES_tradnl" w:eastAsia="es-CR"/>
          <w14:ligatures w14:val="none"/>
        </w:rPr>
        <w:t xml:space="preserve"> </w:t>
      </w:r>
      <w:r w:rsidRPr="006D3F87">
        <w:rPr>
          <w:rFonts w:ascii="Calibri" w:eastAsia="Times New Roman" w:hAnsi="Calibri" w:cs="Calibri"/>
          <w:bCs/>
          <w:kern w:val="0"/>
          <w:lang w:val="es-ES_tradnl" w:eastAsia="es-CR"/>
          <w14:ligatures w14:val="none"/>
        </w:rPr>
        <w:t xml:space="preserve">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La apropiación y valoración crítica de los contenidos son la base para la construcción de propuestas bíblico-teológicas propias sobre temas significativos en el contexto actual. </w:t>
      </w:r>
    </w:p>
    <w:p w14:paraId="4B8F19F8"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4BE41DA7"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color w:val="000000"/>
          <w:kern w:val="0"/>
          <w:lang w:val="es-ES_tradnl" w:eastAsia="es-CR"/>
          <w14:ligatures w14:val="none"/>
        </w:rPr>
        <w:t xml:space="preserve">VI. Estrategias de aprendizaje </w:t>
      </w:r>
    </w:p>
    <w:p w14:paraId="0952725A"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3AF9A2A3"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kern w:val="0"/>
          <w:lang w:val="es-ES" w:eastAsia="es-ES"/>
          <w14:ligatures w14:val="none"/>
        </w:rPr>
        <w:t xml:space="preserve">De acuerdo con la metodología propuesta en el curso se utilizarán estrategias de aprendizaje que favorezcan la reflexión bíblico-teológica. Se incentivará el compartir desde los temas bíblico-teológicos comunes a la comunidad de fe, para lo cual el curso motiva a los y las estudiantes a construir una comprensión profunda y significativa, en el sentido de relacionar los temas del curso con sus propias experiencias y con su proyecto de vida futura, a partir de los temas de la teología bíblica. </w:t>
      </w:r>
    </w:p>
    <w:p w14:paraId="15E12D0C"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kern w:val="0"/>
          <w:sz w:val="2"/>
          <w:szCs w:val="2"/>
          <w:lang w:val="es-ES" w:eastAsia="es-ES"/>
          <w14:ligatures w14:val="none"/>
        </w:rPr>
      </w:pPr>
    </w:p>
    <w:p w14:paraId="7A89D310"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kern w:val="0"/>
          <w:lang w:val="es-ES" w:eastAsia="es-ES"/>
          <w14:ligatures w14:val="none"/>
        </w:rPr>
      </w:pPr>
      <w:r w:rsidRPr="006D3F87">
        <w:rPr>
          <w:rFonts w:ascii="Calibri" w:eastAsia="Times New Roman" w:hAnsi="Calibri" w:cs="Calibri"/>
          <w:kern w:val="0"/>
          <w:lang w:val="es-ES" w:eastAsia="es-ES"/>
          <w14:ligatures w14:val="none"/>
        </w:rPr>
        <w:t>Se utilizan las siguientes estrategias de aprendizaje:</w:t>
      </w:r>
    </w:p>
    <w:p w14:paraId="14730560"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1BA1F165" w14:textId="77777777" w:rsidR="006D3F87" w:rsidRPr="006D3F87" w:rsidRDefault="006D3F87" w:rsidP="006D3F87">
      <w:pPr>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6D3F87">
        <w:rPr>
          <w:rFonts w:ascii="Calibri" w:eastAsia="Times New Roman" w:hAnsi="Calibri" w:cs="Arial"/>
          <w:b/>
          <w:bCs/>
          <w:color w:val="000000"/>
          <w:kern w:val="0"/>
          <w:lang w:val="es-ES_tradnl" w:eastAsia="es-CR"/>
          <w14:ligatures w14:val="none"/>
        </w:rPr>
        <w:t xml:space="preserve">a) Encuentro sincrónico virtual: </w:t>
      </w:r>
      <w:r w:rsidRPr="006D3F87">
        <w:rPr>
          <w:rFonts w:ascii="Calibri" w:eastAsia="Times New Roman" w:hAnsi="Calibri" w:cs="Arial"/>
          <w:color w:val="000000"/>
          <w:kern w:val="0"/>
          <w:lang w:val="es-ES_tradnl" w:eastAsia="es-CR"/>
          <w14:ligatures w14:val="none"/>
        </w:rPr>
        <w:t xml:space="preserve">Los encuentros sincrónicos virtuales está programados como espacios de profundización, precisión y aclaración de los abordajes a la teología bíblica que se presentan en el curso, sus implicaciones y los presupuestos que les subyacen. En ellos se realizarán debates grupales, observaciones sobre textos bíblicos y propuestas interpretativas. En algunas sesiones se priorizará la profundización y el diálogo entre los y las estudiantes, mientras que en otras realizarán presentaciones grupales sobre los temas asignados. Finalmente, en las últimas dos sesiones cada persona estudiante presentará un resumen de su trabajo final (ensayo). Los encuentros sincrónicos tienen valor formativo. </w:t>
      </w:r>
    </w:p>
    <w:p w14:paraId="2EB6680A" w14:textId="77777777" w:rsidR="006D3F87" w:rsidRPr="006D3F87" w:rsidRDefault="006D3F87" w:rsidP="006D3F87">
      <w:pPr>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26C211E3" w14:textId="77777777" w:rsidR="006D3F87" w:rsidRPr="006D3F87" w:rsidRDefault="006D3F87" w:rsidP="006D3F87">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6D3F87">
        <w:rPr>
          <w:rFonts w:ascii="Calibri" w:eastAsia="Times New Roman" w:hAnsi="Calibri" w:cs="Arial"/>
          <w:b/>
          <w:bCs/>
          <w:color w:val="000000"/>
          <w:kern w:val="0"/>
          <w:lang w:val="es-ES_tradnl" w:eastAsia="es-CR"/>
          <w14:ligatures w14:val="none"/>
        </w:rPr>
        <w:t xml:space="preserve">b) Foro: </w:t>
      </w:r>
      <w:r w:rsidRPr="006D3F87">
        <w:rPr>
          <w:rFonts w:ascii="Calibri" w:eastAsia="Times New Roman" w:hAnsi="Calibri" w:cs="Arial"/>
          <w:color w:val="000000"/>
          <w:kern w:val="0"/>
          <w:lang w:val="es-ES_tradnl" w:eastAsia="es-CR"/>
          <w14:ligatures w14:val="none"/>
        </w:rPr>
        <w:t xml:space="preserve">Los foros permiten un diálogo sostenido en forma asincrónica, a lo largo de la sesión donde se utilizan, entre los y las estudiantes y con la persona docente. La herramienta permite hacer aportes propios con temas nuevos y comentar los aportes de otras personas de la clase. La discusión </w:t>
      </w:r>
      <w:r w:rsidRPr="006D3F87">
        <w:rPr>
          <w:rFonts w:ascii="Calibri" w:eastAsia="Times New Roman" w:hAnsi="Calibri" w:cs="Arial"/>
          <w:color w:val="000000"/>
          <w:kern w:val="0"/>
          <w:lang w:val="es-ES_tradnl" w:eastAsia="es-CR"/>
          <w14:ligatures w14:val="none"/>
        </w:rPr>
        <w:lastRenderedPageBreak/>
        <w:t>en los foros se realizará con base en las lecturas asignadas. La persona docente orientará dicha discusión, pero se priorizará el diálogo entre las personas estudiantes y su debate sobre los contenidos de las lecturas.</w:t>
      </w:r>
    </w:p>
    <w:p w14:paraId="7E350B86"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5408209E" w14:textId="77777777" w:rsidR="006D3F87" w:rsidRPr="006D3F87" w:rsidRDefault="006D3F87" w:rsidP="006D3F87">
      <w:pPr>
        <w:autoSpaceDE w:val="0"/>
        <w:autoSpaceDN w:val="0"/>
        <w:adjustRightInd w:val="0"/>
        <w:spacing w:after="0" w:line="240" w:lineRule="auto"/>
        <w:jc w:val="both"/>
        <w:rPr>
          <w:rFonts w:ascii="Calibri" w:eastAsia="Times New Roman" w:hAnsi="Calibri" w:cs="Arial"/>
          <w:b/>
          <w:bCs/>
          <w:color w:val="000000"/>
          <w:kern w:val="0"/>
          <w:lang w:val="es-ES" w:eastAsia="es-CR"/>
          <w14:ligatures w14:val="none"/>
        </w:rPr>
      </w:pPr>
      <w:r w:rsidRPr="006D3F87">
        <w:rPr>
          <w:rFonts w:ascii="Calibri" w:eastAsia="Times New Roman" w:hAnsi="Calibri" w:cs="Arial"/>
          <w:b/>
          <w:bCs/>
          <w:color w:val="000000"/>
          <w:kern w:val="0"/>
          <w:lang w:val="es-ES" w:eastAsia="es-CR"/>
          <w14:ligatures w14:val="none"/>
        </w:rPr>
        <w:t xml:space="preserve">c) Glosario: </w:t>
      </w:r>
      <w:r w:rsidRPr="006D3F87">
        <w:rPr>
          <w:rFonts w:ascii="Calibri" w:eastAsia="Times New Roman" w:hAnsi="Calibri" w:cs="Arial"/>
          <w:color w:val="000000"/>
          <w:kern w:val="0"/>
          <w:lang w:val="es-ES" w:eastAsia="es-CR"/>
          <w14:ligatures w14:val="none"/>
        </w:rPr>
        <w:t xml:space="preserve">La construcción de un glosario promueve la capacidad de identificar conceptos claves sobre el tema en cuestión, desarrollarlos de manera clara y sistemática y contribuir a la creación colectiva de un documento global. El glosario que los y las estudiantes crearán aborda la teología profética, rica en su diversidad, y la amplitud de los periodos históricos que abarca. Además de identificar conceptos claves, estos se ilustrarán con ejemplos de textos proféticos. Los y las estudiantes comentarán los conceptos de sus compañeros y compañeras de clase. </w:t>
      </w:r>
    </w:p>
    <w:p w14:paraId="56D840DD"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413D349A"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color w:val="000000"/>
          <w:kern w:val="0"/>
          <w:lang w:val="es-ES_tradnl" w:eastAsia="es-CR"/>
          <w14:ligatures w14:val="none"/>
        </w:rPr>
      </w:pPr>
      <w:r w:rsidRPr="006D3F87">
        <w:rPr>
          <w:rFonts w:ascii="Calibri" w:eastAsia="Times New Roman" w:hAnsi="Calibri" w:cs="Calibri"/>
          <w:b/>
          <w:color w:val="000000"/>
          <w:kern w:val="0"/>
          <w:lang w:val="es-ES_tradnl" w:eastAsia="es-CR"/>
          <w14:ligatures w14:val="none"/>
        </w:rPr>
        <w:t xml:space="preserve">d) Reseña crítica de lectura: </w:t>
      </w:r>
      <w:r w:rsidRPr="006D3F87">
        <w:rPr>
          <w:rFonts w:ascii="Calibri" w:eastAsia="Times New Roman" w:hAnsi="Calibri" w:cs="Calibri"/>
          <w:bCs/>
          <w:color w:val="000000"/>
          <w:kern w:val="0"/>
          <w:lang w:val="es-ES_tradnl" w:eastAsia="es-CR"/>
          <w14:ligatures w14:val="none"/>
        </w:rPr>
        <w:t xml:space="preserve">La identificación de los temas y argumentos claves de una lectura es el primer paso de una reseña crítica. El elemento crítico radica en la valoración que hace la persona estudiante de los aportes del autor o la autora y su contribución al tema en discusión. Esto lleva a una contextualización para su propio quehacer y contexto. Dicha actividad ejercita la capacidad de síntesis y de análisis crítico de la persona estudiante. Durante el curso las personas estudiantes realizarán una reseña crítica que integra los aportes de dos lecturas sobre la teología deuteronomista y otra sobre la teología paulina. Ambas perspectivas teológicas son claves en el ámbito de la teología bíblica. </w:t>
      </w:r>
    </w:p>
    <w:p w14:paraId="6417DB60"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0247CD24"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6D3F87">
        <w:rPr>
          <w:rFonts w:ascii="Calibri" w:eastAsia="Times New Roman" w:hAnsi="Calibri" w:cs="Calibri"/>
          <w:b/>
          <w:color w:val="000000"/>
          <w:kern w:val="0"/>
          <w:lang w:val="es-ES_tradnl" w:eastAsia="es-CR"/>
          <w14:ligatures w14:val="none"/>
        </w:rPr>
        <w:t xml:space="preserve">e) Tareas analíticas: </w:t>
      </w:r>
      <w:r w:rsidRPr="006D3F87">
        <w:rPr>
          <w:rFonts w:ascii="Calibri" w:eastAsia="Times New Roman" w:hAnsi="Calibri" w:cs="Calibri"/>
          <w:bCs/>
          <w:color w:val="000000"/>
          <w:kern w:val="0"/>
          <w:lang w:val="es-ES_tradnl" w:eastAsia="es-CR"/>
          <w14:ligatures w14:val="none"/>
        </w:rPr>
        <w:t xml:space="preserve">La capacidad de comparar y contrastar propuestas teológicas e identificar su presencia en textos bíblicos específicos es la función de las tareas analíticas que se realizan durante dos sesiones en el curso. En una de ellas los y las estudiantes realizarán un ejercicio comparativo a través de un cuadro sinóptico, mientras que en la otra analizarán la teología apocalíptica en un texto bíblico. Estas actividades requieren una comprensión clara de los insumos de las lecturas y de la naturaleza de las teologías implicadas. </w:t>
      </w:r>
    </w:p>
    <w:p w14:paraId="17959AB3"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615C767B"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6D3F87">
        <w:rPr>
          <w:rFonts w:ascii="Calibri" w:eastAsia="Times New Roman" w:hAnsi="Calibri" w:cs="Calibri"/>
          <w:b/>
          <w:color w:val="000000"/>
          <w:kern w:val="0"/>
          <w:lang w:val="es-ES_tradnl" w:eastAsia="es-CR"/>
          <w14:ligatures w14:val="none"/>
        </w:rPr>
        <w:t xml:space="preserve">f) Investigación grupal: </w:t>
      </w:r>
      <w:r w:rsidRPr="006D3F87">
        <w:rPr>
          <w:rFonts w:ascii="Calibri" w:eastAsia="Times New Roman" w:hAnsi="Calibri" w:cs="Calibri"/>
          <w:bCs/>
          <w:color w:val="000000"/>
          <w:kern w:val="0"/>
          <w:lang w:val="es-ES_tradnl" w:eastAsia="es-CR"/>
          <w14:ligatures w14:val="none"/>
        </w:rPr>
        <w:t xml:space="preserve">El desarrollo de una investigación grupal requiere no solo destrezas a nivel de investigación, sino también de trabajo colaborativo y organización. Como primer paso se asignarán los temas de investigación y se conformarán los grupos que trabajarán a lo largo del curso. Una vez realizada la investigación se presentarán los resultados. Con esta investigación los y las estudiantes indagarán y presentarán aportes desde la teología bíblica para abordar temas de crisis climática y justicia ambiental (teología de la creación), o bien sobre la justicia social en perspectiva de liberación (la liberación en el AT y NT), según el grupo donde le haya asignado la persona docente. </w:t>
      </w:r>
    </w:p>
    <w:p w14:paraId="333A3908"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5BAAB468" w14:textId="77777777" w:rsidR="006D3F87" w:rsidRPr="006D3F87" w:rsidRDefault="006D3F87" w:rsidP="006D3F87">
      <w:pPr>
        <w:autoSpaceDE w:val="0"/>
        <w:autoSpaceDN w:val="0"/>
        <w:adjustRightInd w:val="0"/>
        <w:spacing w:after="0" w:line="240" w:lineRule="auto"/>
        <w:jc w:val="both"/>
        <w:rPr>
          <w:rFonts w:ascii="Calibri" w:eastAsia="Calibri" w:hAnsi="Calibri" w:cs="Calibri"/>
          <w:kern w:val="0"/>
          <w:lang w:val="es-MX"/>
          <w14:ligatures w14:val="none"/>
        </w:rPr>
      </w:pPr>
      <w:r w:rsidRPr="006D3F87">
        <w:rPr>
          <w:rFonts w:ascii="Calibri" w:eastAsia="Times New Roman" w:hAnsi="Calibri" w:cs="Calibri"/>
          <w:b/>
          <w:color w:val="000000"/>
          <w:kern w:val="0"/>
          <w:lang w:val="es-ES_tradnl" w:eastAsia="es-CR"/>
          <w14:ligatures w14:val="none"/>
        </w:rPr>
        <w:t xml:space="preserve">g) Ensayo: </w:t>
      </w:r>
      <w:r w:rsidRPr="006D3F87">
        <w:rPr>
          <w:rFonts w:ascii="Calibri" w:eastAsia="Calibri" w:hAnsi="Calibri" w:cs="Calibri"/>
          <w:kern w:val="0"/>
          <w:lang w:val="es-ES_tradnl"/>
          <w14:ligatures w14:val="none"/>
        </w:rPr>
        <w:t>El ensayo es un</w:t>
      </w:r>
      <w:r w:rsidRPr="006D3F87">
        <w:rPr>
          <w:rFonts w:ascii="Calibri" w:eastAsia="Calibri" w:hAnsi="Calibri" w:cs="Calibri"/>
          <w:kern w:val="0"/>
          <w:lang w:val="es-MX"/>
          <w14:ligatures w14:val="none"/>
        </w:rPr>
        <w:t xml:space="preserve"> ejercicio académico, argumentativo y fundamentado que se realiza para el tratamiento personal de un tema con base en la investigación y reflexión. Contiene introducción, desarrollo y conclusión, así como las respectivas referencias bibliográficas (bajo el sistema Chicago-Deusto que usa la UBL). Esta estrategia la utilizaremos en dos momentos del curso. En primer lugar, durante una sesión deberá elaborar un ensayo sobre la salvación en la teología bíblica, para el cual deberá considerar las dimensiones de salvación que son propias de cada testamento. En segundo lugar, como trabajo final del curso, mediante el cual </w:t>
      </w:r>
      <w:r w:rsidRPr="006D3F87">
        <w:rPr>
          <w:rFonts w:ascii="Calibri" w:eastAsia="Times New Roman" w:hAnsi="Calibri" w:cs="Calibri"/>
          <w:bCs/>
          <w:color w:val="000000"/>
          <w:kern w:val="0"/>
          <w:lang w:val="es-ES_tradnl" w:eastAsia="es-CR"/>
          <w14:ligatures w14:val="none"/>
        </w:rPr>
        <w:t xml:space="preserve">deberá analizar un tema social, religioso, político o cultural de la actualidad, a partir de los insumos y métodos de una o más de las teologías bíblicas analizadas. La persona docente aportará una guía para elaborar dicho trabajo. Cada persona estudiante presentará un breve resumen de su ensayo en los últimos dos encuentros sincrónicos. </w:t>
      </w:r>
    </w:p>
    <w:p w14:paraId="3ED7E514"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p>
    <w:p w14:paraId="7B7C0E4C"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Cs/>
          <w:color w:val="000000"/>
          <w:kern w:val="0"/>
          <w:lang w:val="es-ES_tradnl" w:eastAsia="es-CR"/>
          <w14:ligatures w14:val="none"/>
        </w:rPr>
      </w:pPr>
      <w:r w:rsidRPr="006D3F87">
        <w:rPr>
          <w:rFonts w:ascii="Calibri" w:eastAsia="Times New Roman" w:hAnsi="Calibri" w:cs="Calibri"/>
          <w:bCs/>
          <w:color w:val="000000"/>
          <w:kern w:val="0"/>
          <w:lang w:val="es-ES_tradnl" w:eastAsia="es-CR"/>
          <w14:ligatures w14:val="none"/>
        </w:rPr>
        <w:lastRenderedPageBreak/>
        <w:t>Los y las estudiantes podrán comunicarse con la persona docente a través de la plataforma virtual, o bien el correo electrónico suministrado por esta, y recibirán una respuesta a las consultas realizadas en un tiempo máximo de 48 horas.</w:t>
      </w:r>
    </w:p>
    <w:p w14:paraId="613D783D"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0E3A951A"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color w:val="000000"/>
          <w:kern w:val="0"/>
          <w:lang w:val="es-ES_tradnl" w:eastAsia="es-CR"/>
          <w14:ligatures w14:val="none"/>
        </w:rPr>
        <w:t>VII. Recursos didácticos</w:t>
      </w:r>
    </w:p>
    <w:p w14:paraId="7876D138" w14:textId="77777777" w:rsidR="006D3F87" w:rsidRPr="006D3F87" w:rsidRDefault="006D3F87" w:rsidP="006D3F87">
      <w:pPr>
        <w:autoSpaceDE w:val="0"/>
        <w:autoSpaceDN w:val="0"/>
        <w:adjustRightInd w:val="0"/>
        <w:spacing w:after="0" w:line="240" w:lineRule="auto"/>
        <w:jc w:val="both"/>
        <w:rPr>
          <w:rFonts w:ascii="Calibri" w:eastAsia="Times New Roman" w:hAnsi="Calibri" w:cs="Calibri"/>
          <w:b/>
          <w:bCs/>
          <w:color w:val="000000"/>
          <w:kern w:val="0"/>
          <w:lang w:val="es-ES_tradnl" w:eastAsia="es-CR"/>
          <w14:ligatures w14:val="none"/>
        </w:rPr>
      </w:pPr>
    </w:p>
    <w:p w14:paraId="01455C31"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D3F87">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5CEE673E"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0FB8C24"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6D3F87">
        <w:rPr>
          <w:rFonts w:ascii="Calibri" w:eastAsia="Times New Roman" w:hAnsi="Calibri" w:cs="Arial"/>
          <w:color w:val="000000"/>
          <w:kern w:val="0"/>
          <w:lang w:val="es-ES" w:eastAsia="es-ES"/>
          <w14:ligatures w14:val="none"/>
        </w:rPr>
        <w:t xml:space="preserve">a) Lecturas semanales obligatorias que aportan contenidos claves para analizar las diversas teologías que atraviesan la Biblia. Dichos insumos son claves para abordar los contenidos temáticos del curso y para el desarrollo de las actividades individuales y grupales. Todos los materiales de lectura están disponibles en formato digital en la plataforma virtual.  </w:t>
      </w:r>
    </w:p>
    <w:p w14:paraId="0D3C257C"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776C8CF"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6D3F87">
        <w:rPr>
          <w:rFonts w:ascii="Calibri" w:eastAsia="Times New Roman" w:hAnsi="Calibri" w:cs="Arial"/>
          <w:color w:val="000000"/>
          <w:kern w:val="0"/>
          <w:lang w:val="es-ES" w:eastAsia="es-ES"/>
          <w14:ligatures w14:val="none"/>
        </w:rPr>
        <w:t>b) Lecturas complementarias en algunas de las sesiones que se asignan para su lectura con el fin de ampliar temas particulares de la teología bíblica y su aplicación a contextos de la actualidad. Realizar estas lecturas es opcional.</w:t>
      </w:r>
    </w:p>
    <w:p w14:paraId="030280F9"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21A86C8"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D3F87">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1EB17496"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8D26561"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D3F87">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glosario y mediante la herramienta Big Blue </w:t>
      </w:r>
      <w:proofErr w:type="spellStart"/>
      <w:r w:rsidRPr="006D3F87">
        <w:rPr>
          <w:rFonts w:ascii="Calibri" w:eastAsia="Times New Roman" w:hAnsi="Calibri" w:cs="Calibri"/>
          <w:color w:val="000000"/>
          <w:kern w:val="0"/>
          <w:lang w:val="es-ES" w:eastAsia="es-ES"/>
          <w14:ligatures w14:val="none"/>
        </w:rPr>
        <w:t>Button</w:t>
      </w:r>
      <w:proofErr w:type="spellEnd"/>
      <w:r w:rsidRPr="006D3F87">
        <w:rPr>
          <w:rFonts w:ascii="Calibri" w:eastAsia="Times New Roman" w:hAnsi="Calibri" w:cs="Calibri"/>
          <w:color w:val="000000"/>
          <w:kern w:val="0"/>
          <w:lang w:val="es-ES" w:eastAsia="es-ES"/>
          <w14:ligatures w14:val="none"/>
        </w:rPr>
        <w:t xml:space="preserve"> en la plataforma Moodle, así como para la elaboración de una reseña crítica de lectura y un ensayo.</w:t>
      </w:r>
    </w:p>
    <w:p w14:paraId="5A87E745"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AC02247"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D3F87">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6D3F87">
        <w:rPr>
          <w:rFonts w:ascii="Calibri" w:eastAsia="Times New Roman" w:hAnsi="Calibri" w:cs="Calibri"/>
          <w:color w:val="000000"/>
          <w:kern w:val="0"/>
          <w:lang w:val="es-ES" w:eastAsia="es-ES"/>
          <w14:ligatures w14:val="none"/>
        </w:rPr>
        <w:t>Strachan</w:t>
      </w:r>
      <w:proofErr w:type="spellEnd"/>
      <w:r w:rsidRPr="006D3F87">
        <w:rPr>
          <w:rFonts w:ascii="Calibri" w:eastAsia="Times New Roman" w:hAnsi="Calibri" w:cs="Calibri"/>
          <w:color w:val="000000"/>
          <w:kern w:val="0"/>
          <w:lang w:val="es-ES" w:eastAsia="es-ES"/>
          <w14:ligatures w14:val="none"/>
        </w:rPr>
        <w:t xml:space="preserve"> (</w:t>
      </w:r>
      <w:hyperlink r:id="rId492" w:history="1">
        <w:r w:rsidRPr="006D3F87">
          <w:rPr>
            <w:rFonts w:ascii="Calibri" w:eastAsia="Times New Roman" w:hAnsi="Calibri" w:cs="Calibri"/>
            <w:color w:val="0563C1"/>
            <w:kern w:val="0"/>
            <w:u w:val="single"/>
            <w:lang w:val="es-ES" w:eastAsia="es-ES"/>
            <w14:ligatures w14:val="none"/>
          </w:rPr>
          <w:t>https://www.ubl.ac.cr/biblioteca</w:t>
        </w:r>
      </w:hyperlink>
      <w:r w:rsidRPr="006D3F87">
        <w:rPr>
          <w:rFonts w:ascii="Calibri" w:eastAsia="Times New Roman" w:hAnsi="Calibri" w:cs="Calibri"/>
          <w:color w:val="000000"/>
          <w:kern w:val="0"/>
          <w:lang w:val="es-ES" w:eastAsia="es-ES"/>
          <w14:ligatures w14:val="none"/>
        </w:rPr>
        <w:t>), así como consultar el Portal de Revistas de la UBL (</w:t>
      </w:r>
      <w:hyperlink r:id="rId493" w:history="1">
        <w:r w:rsidRPr="006D3F87">
          <w:rPr>
            <w:rFonts w:ascii="Calibri" w:eastAsia="Times New Roman" w:hAnsi="Calibri" w:cs="Calibri"/>
            <w:color w:val="0563C1"/>
            <w:kern w:val="0"/>
            <w:u w:val="single"/>
            <w:lang w:val="es-ES" w:eastAsia="es-ES"/>
            <w14:ligatures w14:val="none"/>
          </w:rPr>
          <w:t>http://revistas.ubl.ac.cr/</w:t>
        </w:r>
      </w:hyperlink>
      <w:r w:rsidRPr="006D3F87">
        <w:rPr>
          <w:rFonts w:ascii="Calibri" w:eastAsia="Times New Roman" w:hAnsi="Calibri" w:cs="Calibri"/>
          <w:color w:val="000000"/>
          <w:kern w:val="0"/>
          <w:lang w:val="es-ES" w:eastAsia="es-ES"/>
          <w14:ligatures w14:val="none"/>
        </w:rPr>
        <w:t>). A través del correo de la biblioteca (</w:t>
      </w:r>
      <w:hyperlink r:id="rId494" w:history="1">
        <w:r w:rsidRPr="006D3F87">
          <w:rPr>
            <w:rFonts w:ascii="Calibri" w:eastAsia="Times New Roman" w:hAnsi="Calibri" w:cs="Calibri"/>
            <w:color w:val="0563C1"/>
            <w:kern w:val="0"/>
            <w:u w:val="single"/>
            <w:lang w:val="es-ES" w:eastAsia="es-ES"/>
            <w14:ligatures w14:val="none"/>
          </w:rPr>
          <w:t>biblioteca@ubl.ac.cr</w:t>
        </w:r>
      </w:hyperlink>
      <w:r w:rsidRPr="006D3F87">
        <w:rPr>
          <w:rFonts w:ascii="Calibri" w:eastAsia="Times New Roman" w:hAnsi="Calibri" w:cs="Calibri"/>
          <w:color w:val="000000"/>
          <w:kern w:val="0"/>
          <w:lang w:val="es-ES" w:eastAsia="es-ES"/>
          <w14:ligatures w14:val="none"/>
        </w:rPr>
        <w:t xml:space="preserve">) puede solicitar recursos que se encuentren en la colección física. </w:t>
      </w:r>
    </w:p>
    <w:p w14:paraId="27EFB9F6"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2BDE6BD"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6D3F87">
        <w:rPr>
          <w:rFonts w:ascii="Calibri" w:eastAsia="Times New Roman" w:hAnsi="Calibri" w:cs="Calibri"/>
          <w:color w:val="000000"/>
          <w:kern w:val="0"/>
          <w:lang w:val="es-ES" w:eastAsia="es-ES"/>
          <w14:ligatures w14:val="none"/>
        </w:rPr>
        <w:t>f)</w:t>
      </w:r>
      <w:r w:rsidRPr="006D3F87">
        <w:rPr>
          <w:rFonts w:ascii="Times New Roman" w:eastAsia="Times New Roman" w:hAnsi="Times New Roman" w:cs="Calibri"/>
          <w:bCs/>
          <w:kern w:val="0"/>
          <w:sz w:val="24"/>
          <w:szCs w:val="24"/>
          <w:lang w:val="es-ES_tradnl" w:eastAsia="es-CR"/>
          <w14:ligatures w14:val="none"/>
        </w:rPr>
        <w:t xml:space="preserve"> </w:t>
      </w:r>
      <w:r w:rsidRPr="006D3F87">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Bíblicas. Dicho espacio está disponible para todas las personas registradas en el campus virtual y se puede acceder a través del siguiente enlace: </w:t>
      </w:r>
      <w:hyperlink r:id="rId495" w:history="1">
        <w:r w:rsidRPr="006D3F87">
          <w:rPr>
            <w:rFonts w:ascii="Calibri" w:eastAsia="Times New Roman" w:hAnsi="Calibri" w:cs="Calibri"/>
            <w:bCs/>
            <w:color w:val="0563C1"/>
            <w:kern w:val="0"/>
            <w:u w:val="single"/>
            <w:lang w:val="es-ES_tradnl" w:eastAsia="es-CR"/>
            <w14:ligatures w14:val="none"/>
          </w:rPr>
          <w:t>https://campus.ubl.ac.cr/course/index.php?categoryid=186</w:t>
        </w:r>
      </w:hyperlink>
    </w:p>
    <w:p w14:paraId="3A49A85E"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36CCF178"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6D3F87">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6F5861D5"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CAE0F08"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2C837A0D"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4AEE1DE3"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2BFD6D26"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345122EC" w14:textId="77777777" w:rsidR="006D3F87" w:rsidRPr="006D3F87" w:rsidRDefault="006D3F87" w:rsidP="006D3F87">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p>
    <w:p w14:paraId="27B58297"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color w:val="000000"/>
          <w:kern w:val="0"/>
          <w14:ligatures w14:val="none"/>
        </w:rPr>
      </w:pPr>
      <w:r w:rsidRPr="006D3F87">
        <w:rPr>
          <w:rFonts w:ascii="Calibri" w:eastAsia="Times New Roman" w:hAnsi="Calibri" w:cs="Calibri"/>
          <w:b/>
          <w:color w:val="000000"/>
          <w:kern w:val="0"/>
          <w:lang w:val="es-ES_tradnl" w:eastAsia="es-CR"/>
          <w14:ligatures w14:val="none"/>
        </w:rPr>
        <w:lastRenderedPageBreak/>
        <w:t xml:space="preserve">VIII. </w:t>
      </w:r>
      <w:r w:rsidRPr="006D3F87">
        <w:rPr>
          <w:rFonts w:ascii="Calibri" w:eastAsia="Calibri" w:hAnsi="Calibri" w:cs="Calibri"/>
          <w:b/>
          <w:bCs/>
          <w:color w:val="000000"/>
          <w:kern w:val="0"/>
          <w14:ligatures w14:val="none"/>
        </w:rPr>
        <w:t xml:space="preserve">Cronograma de trabajo </w:t>
      </w:r>
    </w:p>
    <w:p w14:paraId="795F9FF0"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color w:val="000000"/>
          <w:kern w:val="0"/>
          <w14:ligatures w14:val="none"/>
        </w:rPr>
      </w:pPr>
    </w:p>
    <w:tbl>
      <w:tblPr>
        <w:tblStyle w:val="Tablaconcuadrcula6"/>
        <w:tblW w:w="10594" w:type="dxa"/>
        <w:jc w:val="center"/>
        <w:tblLayout w:type="fixed"/>
        <w:tblLook w:val="04A0" w:firstRow="1" w:lastRow="0" w:firstColumn="1" w:lastColumn="0" w:noHBand="0" w:noVBand="1"/>
      </w:tblPr>
      <w:tblGrid>
        <w:gridCol w:w="1144"/>
        <w:gridCol w:w="2395"/>
        <w:gridCol w:w="3402"/>
        <w:gridCol w:w="3653"/>
      </w:tblGrid>
      <w:tr w:rsidR="006D3F87" w:rsidRPr="006D3F87" w14:paraId="334AE0EA" w14:textId="77777777" w:rsidTr="00104785">
        <w:trPr>
          <w:trHeight w:val="447"/>
          <w:jc w:val="center"/>
        </w:trPr>
        <w:tc>
          <w:tcPr>
            <w:tcW w:w="1144" w:type="dxa"/>
            <w:vMerge w:val="restart"/>
            <w:vAlign w:val="center"/>
          </w:tcPr>
          <w:p w14:paraId="6487A628" w14:textId="77777777" w:rsidR="006D3F87" w:rsidRPr="006D3F87" w:rsidRDefault="006D3F87" w:rsidP="006D3F87">
            <w:pPr>
              <w:autoSpaceDE w:val="0"/>
              <w:autoSpaceDN w:val="0"/>
              <w:adjustRightInd w:val="0"/>
              <w:jc w:val="center"/>
              <w:rPr>
                <w:rFonts w:asciiTheme="minorHAnsi" w:hAnsiTheme="minorHAnsi" w:cstheme="minorHAnsi"/>
                <w:b/>
                <w:bCs/>
                <w:color w:val="000000"/>
                <w:sz w:val="24"/>
                <w:szCs w:val="24"/>
              </w:rPr>
            </w:pPr>
            <w:r w:rsidRPr="006D3F87">
              <w:rPr>
                <w:rFonts w:asciiTheme="minorHAnsi" w:hAnsiTheme="minorHAnsi" w:cstheme="minorHAnsi"/>
                <w:b/>
                <w:bCs/>
                <w:color w:val="000000"/>
                <w:sz w:val="24"/>
                <w:szCs w:val="24"/>
              </w:rPr>
              <w:t xml:space="preserve">Sesión </w:t>
            </w:r>
          </w:p>
          <w:p w14:paraId="42FE42FE" w14:textId="77777777" w:rsidR="006D3F87" w:rsidRPr="006D3F87" w:rsidRDefault="006D3F87" w:rsidP="006D3F87">
            <w:pPr>
              <w:autoSpaceDE w:val="0"/>
              <w:autoSpaceDN w:val="0"/>
              <w:adjustRightInd w:val="0"/>
              <w:jc w:val="center"/>
              <w:rPr>
                <w:rFonts w:asciiTheme="minorHAnsi" w:hAnsiTheme="minorHAnsi" w:cstheme="minorHAnsi"/>
                <w:b/>
                <w:bCs/>
                <w:color w:val="000000"/>
                <w:sz w:val="24"/>
                <w:szCs w:val="24"/>
              </w:rPr>
            </w:pPr>
            <w:r w:rsidRPr="006D3F87">
              <w:rPr>
                <w:rFonts w:asciiTheme="minorHAnsi" w:hAnsiTheme="minorHAnsi" w:cstheme="minorHAnsi"/>
                <w:b/>
                <w:bCs/>
                <w:color w:val="000000"/>
                <w:sz w:val="24"/>
                <w:szCs w:val="24"/>
              </w:rPr>
              <w:t>(semana)</w:t>
            </w:r>
          </w:p>
        </w:tc>
        <w:tc>
          <w:tcPr>
            <w:tcW w:w="2395" w:type="dxa"/>
            <w:vMerge w:val="restart"/>
            <w:vAlign w:val="center"/>
          </w:tcPr>
          <w:p w14:paraId="2F5CEAC8" w14:textId="77777777" w:rsidR="006D3F87" w:rsidRPr="006D3F87" w:rsidRDefault="006D3F87" w:rsidP="006D3F87">
            <w:pPr>
              <w:autoSpaceDE w:val="0"/>
              <w:autoSpaceDN w:val="0"/>
              <w:adjustRightInd w:val="0"/>
              <w:jc w:val="center"/>
              <w:rPr>
                <w:rFonts w:asciiTheme="minorHAnsi" w:hAnsiTheme="minorHAnsi" w:cstheme="minorHAnsi"/>
                <w:b/>
                <w:bCs/>
                <w:color w:val="000000"/>
                <w:sz w:val="24"/>
                <w:szCs w:val="24"/>
              </w:rPr>
            </w:pPr>
            <w:r w:rsidRPr="006D3F87">
              <w:rPr>
                <w:rFonts w:asciiTheme="minorHAnsi" w:hAnsiTheme="minorHAnsi" w:cstheme="minorHAnsi"/>
                <w:b/>
                <w:bCs/>
                <w:color w:val="000000"/>
                <w:sz w:val="24"/>
                <w:szCs w:val="24"/>
              </w:rPr>
              <w:t>Contenidos temáticos</w:t>
            </w:r>
          </w:p>
        </w:tc>
        <w:tc>
          <w:tcPr>
            <w:tcW w:w="7055" w:type="dxa"/>
            <w:gridSpan w:val="2"/>
            <w:vAlign w:val="center"/>
          </w:tcPr>
          <w:p w14:paraId="1AA7D2B3" w14:textId="77777777" w:rsidR="006D3F87" w:rsidRPr="006D3F87" w:rsidRDefault="006D3F87" w:rsidP="006D3F87">
            <w:pPr>
              <w:autoSpaceDE w:val="0"/>
              <w:autoSpaceDN w:val="0"/>
              <w:adjustRightInd w:val="0"/>
              <w:jc w:val="center"/>
              <w:rPr>
                <w:rFonts w:asciiTheme="minorHAnsi" w:hAnsiTheme="minorHAnsi" w:cstheme="minorHAnsi"/>
                <w:b/>
                <w:bCs/>
                <w:color w:val="000000"/>
                <w:sz w:val="24"/>
                <w:szCs w:val="24"/>
              </w:rPr>
            </w:pPr>
            <w:r w:rsidRPr="006D3F87">
              <w:rPr>
                <w:rFonts w:asciiTheme="minorHAnsi" w:hAnsiTheme="minorHAnsi" w:cstheme="minorHAnsi"/>
                <w:b/>
                <w:bCs/>
                <w:color w:val="000000"/>
                <w:sz w:val="24"/>
                <w:szCs w:val="24"/>
              </w:rPr>
              <w:t>Actividades de enseñanza-aprendizaje</w:t>
            </w:r>
          </w:p>
        </w:tc>
      </w:tr>
      <w:tr w:rsidR="006D3F87" w:rsidRPr="006D3F87" w14:paraId="32E6F4F2" w14:textId="77777777" w:rsidTr="00104785">
        <w:trPr>
          <w:trHeight w:val="411"/>
          <w:jc w:val="center"/>
        </w:trPr>
        <w:tc>
          <w:tcPr>
            <w:tcW w:w="1144" w:type="dxa"/>
            <w:vMerge/>
          </w:tcPr>
          <w:p w14:paraId="5AA33A36" w14:textId="77777777" w:rsidR="006D3F87" w:rsidRPr="006D3F87" w:rsidRDefault="006D3F87" w:rsidP="006D3F87">
            <w:pPr>
              <w:autoSpaceDE w:val="0"/>
              <w:autoSpaceDN w:val="0"/>
              <w:adjustRightInd w:val="0"/>
              <w:jc w:val="both"/>
              <w:rPr>
                <w:rFonts w:asciiTheme="minorHAnsi" w:hAnsiTheme="minorHAnsi" w:cstheme="minorHAnsi"/>
                <w:color w:val="000000"/>
              </w:rPr>
            </w:pPr>
          </w:p>
        </w:tc>
        <w:tc>
          <w:tcPr>
            <w:tcW w:w="2395" w:type="dxa"/>
            <w:vMerge/>
          </w:tcPr>
          <w:p w14:paraId="42FD1537" w14:textId="77777777" w:rsidR="006D3F87" w:rsidRPr="006D3F87" w:rsidRDefault="006D3F87" w:rsidP="006D3F87">
            <w:pPr>
              <w:autoSpaceDE w:val="0"/>
              <w:autoSpaceDN w:val="0"/>
              <w:adjustRightInd w:val="0"/>
              <w:jc w:val="both"/>
              <w:rPr>
                <w:rFonts w:asciiTheme="minorHAnsi" w:hAnsiTheme="minorHAnsi" w:cstheme="minorHAnsi"/>
                <w:color w:val="000000"/>
              </w:rPr>
            </w:pPr>
          </w:p>
        </w:tc>
        <w:tc>
          <w:tcPr>
            <w:tcW w:w="3402" w:type="dxa"/>
            <w:vAlign w:val="center"/>
          </w:tcPr>
          <w:p w14:paraId="0223B288" w14:textId="77777777" w:rsidR="006D3F87" w:rsidRPr="006D3F87" w:rsidRDefault="006D3F87" w:rsidP="006D3F87">
            <w:pPr>
              <w:autoSpaceDE w:val="0"/>
              <w:autoSpaceDN w:val="0"/>
              <w:adjustRightInd w:val="0"/>
              <w:jc w:val="center"/>
              <w:rPr>
                <w:rFonts w:asciiTheme="minorHAnsi" w:hAnsiTheme="minorHAnsi" w:cstheme="minorHAnsi"/>
                <w:b/>
                <w:bCs/>
                <w:color w:val="000000"/>
              </w:rPr>
            </w:pPr>
            <w:r w:rsidRPr="006D3F87">
              <w:rPr>
                <w:rFonts w:asciiTheme="minorHAnsi" w:hAnsiTheme="minorHAnsi" w:cstheme="minorHAnsi"/>
                <w:b/>
                <w:bCs/>
                <w:color w:val="000000"/>
                <w:sz w:val="24"/>
                <w:szCs w:val="24"/>
              </w:rPr>
              <w:t>Recursos didácticos</w:t>
            </w:r>
          </w:p>
        </w:tc>
        <w:tc>
          <w:tcPr>
            <w:tcW w:w="3653" w:type="dxa"/>
            <w:vAlign w:val="center"/>
          </w:tcPr>
          <w:p w14:paraId="2E84ACD3" w14:textId="77777777" w:rsidR="006D3F87" w:rsidRPr="006D3F87" w:rsidRDefault="006D3F87" w:rsidP="006D3F87">
            <w:pPr>
              <w:autoSpaceDE w:val="0"/>
              <w:autoSpaceDN w:val="0"/>
              <w:adjustRightInd w:val="0"/>
              <w:jc w:val="center"/>
              <w:rPr>
                <w:rFonts w:asciiTheme="minorHAnsi" w:hAnsiTheme="minorHAnsi" w:cstheme="minorHAnsi"/>
                <w:b/>
                <w:bCs/>
                <w:color w:val="000000"/>
                <w:sz w:val="24"/>
                <w:szCs w:val="24"/>
              </w:rPr>
            </w:pPr>
            <w:r w:rsidRPr="006D3F87">
              <w:rPr>
                <w:rFonts w:asciiTheme="minorHAnsi" w:hAnsiTheme="minorHAnsi" w:cstheme="minorHAnsi"/>
                <w:b/>
                <w:bCs/>
                <w:color w:val="000000"/>
                <w:sz w:val="24"/>
                <w:szCs w:val="24"/>
              </w:rPr>
              <w:t>Actividades de aprendizaje</w:t>
            </w:r>
          </w:p>
        </w:tc>
      </w:tr>
      <w:tr w:rsidR="006D3F87" w:rsidRPr="006D3F87" w14:paraId="1C7B00D3" w14:textId="77777777" w:rsidTr="00104785">
        <w:trPr>
          <w:jc w:val="center"/>
        </w:trPr>
        <w:tc>
          <w:tcPr>
            <w:tcW w:w="1144" w:type="dxa"/>
          </w:tcPr>
          <w:p w14:paraId="614FADAC" w14:textId="77777777" w:rsidR="006D3F87" w:rsidRPr="006D3F87" w:rsidRDefault="006D3F87" w:rsidP="006D3F87">
            <w:pPr>
              <w:autoSpaceDE w:val="0"/>
              <w:autoSpaceDN w:val="0"/>
              <w:adjustRightInd w:val="0"/>
              <w:jc w:val="center"/>
              <w:rPr>
                <w:rFonts w:asciiTheme="minorHAnsi" w:hAnsiTheme="minorHAnsi" w:cstheme="minorHAnsi"/>
                <w:color w:val="000000"/>
              </w:rPr>
            </w:pPr>
          </w:p>
          <w:p w14:paraId="48C67D72"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1</w:t>
            </w:r>
          </w:p>
        </w:tc>
        <w:tc>
          <w:tcPr>
            <w:tcW w:w="2395" w:type="dxa"/>
          </w:tcPr>
          <w:p w14:paraId="01C74FB7"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1: Prolegómenos para una teología bíblica</w:t>
            </w:r>
          </w:p>
          <w:p w14:paraId="5649D607"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69A4AD60"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1.1 Premisas epistemológicas: ¿es posible una “teología bíblica”?</w:t>
            </w:r>
          </w:p>
          <w:p w14:paraId="6D9C1CC1"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402" w:type="dxa"/>
          </w:tcPr>
          <w:p w14:paraId="19081300"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65CD9647" w14:textId="77777777" w:rsidR="006D3F87" w:rsidRPr="006D3F87" w:rsidRDefault="006D3F87" w:rsidP="006D3F87">
            <w:pPr>
              <w:autoSpaceDE w:val="0"/>
              <w:autoSpaceDN w:val="0"/>
              <w:adjustRightInd w:val="0"/>
              <w:rPr>
                <w:rFonts w:asciiTheme="minorHAnsi" w:hAnsiTheme="minorHAnsi" w:cstheme="minorHAnsi"/>
                <w:color w:val="0070C0"/>
              </w:rPr>
            </w:pPr>
          </w:p>
          <w:p w14:paraId="1B0B133D" w14:textId="77777777" w:rsidR="006D3F87" w:rsidRPr="006D3F87" w:rsidRDefault="006D3F87" w:rsidP="006D3F87">
            <w:pPr>
              <w:autoSpaceDE w:val="0"/>
              <w:autoSpaceDN w:val="0"/>
              <w:adjustRightInd w:val="0"/>
              <w:rPr>
                <w:rFonts w:asciiTheme="minorHAnsi" w:hAnsiTheme="minorHAnsi" w:cstheme="minorHAnsi"/>
                <w:color w:val="0563C1"/>
                <w:u w:val="single"/>
              </w:rPr>
            </w:pPr>
            <w:r w:rsidRPr="006D3F87">
              <w:rPr>
                <w:rFonts w:asciiTheme="minorHAnsi" w:hAnsiTheme="minorHAnsi" w:cstheme="minorHAnsi"/>
              </w:rPr>
              <w:t xml:space="preserve">Barrios Taos, Hernando, Luis Carlos Jaime Murillo y Miguel Camelo Velásquez. “De la teología bíblica a las teologías de la Biblia”. </w:t>
            </w:r>
            <w:r w:rsidRPr="006D3F87">
              <w:rPr>
                <w:rFonts w:asciiTheme="minorHAnsi" w:hAnsiTheme="minorHAnsi" w:cstheme="minorHAnsi"/>
                <w:i/>
                <w:iCs/>
              </w:rPr>
              <w:t>Cuestiones Teológicas</w:t>
            </w:r>
            <w:r w:rsidRPr="006D3F87">
              <w:rPr>
                <w:rFonts w:asciiTheme="minorHAnsi" w:hAnsiTheme="minorHAnsi" w:cstheme="minorHAnsi"/>
              </w:rPr>
              <w:t xml:space="preserve"> n. 87 (2010): 51 – 81. Acceso el 18 de octubre de 2022. </w:t>
            </w:r>
            <w:hyperlink r:id="rId496" w:history="1">
              <w:r w:rsidRPr="006D3F87">
                <w:rPr>
                  <w:rFonts w:asciiTheme="minorHAnsi" w:hAnsiTheme="minorHAnsi" w:cstheme="minorHAnsi"/>
                  <w:color w:val="0563C1"/>
                  <w:u w:val="single"/>
                </w:rPr>
                <w:t>https://revistas.upb.edu.co/index.php/cuestiones/article/view/5637</w:t>
              </w:r>
            </w:hyperlink>
          </w:p>
          <w:p w14:paraId="12EDBECA" w14:textId="77777777" w:rsidR="006D3F87" w:rsidRPr="006D3F87" w:rsidRDefault="006D3F87" w:rsidP="006D3F87">
            <w:pPr>
              <w:autoSpaceDE w:val="0"/>
              <w:autoSpaceDN w:val="0"/>
              <w:adjustRightInd w:val="0"/>
              <w:rPr>
                <w:rFonts w:asciiTheme="minorHAnsi" w:hAnsiTheme="minorHAnsi" w:cstheme="minorHAnsi"/>
                <w:color w:val="0563C1"/>
                <w:u w:val="single"/>
              </w:rPr>
            </w:pPr>
          </w:p>
          <w:p w14:paraId="45BD04A1" w14:textId="77777777" w:rsidR="006D3F87" w:rsidRPr="006D3F87" w:rsidRDefault="006D3F87" w:rsidP="006D3F87">
            <w:pPr>
              <w:autoSpaceDE w:val="0"/>
              <w:autoSpaceDN w:val="0"/>
              <w:adjustRightInd w:val="0"/>
              <w:rPr>
                <w:rFonts w:asciiTheme="minorHAnsi" w:hAnsiTheme="minorHAnsi" w:cstheme="minorHAnsi"/>
                <w:color w:val="0563C1"/>
                <w:u w:val="single"/>
              </w:rPr>
            </w:pPr>
            <w:proofErr w:type="spellStart"/>
            <w:r w:rsidRPr="006D3F87">
              <w:rPr>
                <w:rFonts w:asciiTheme="minorHAnsi" w:hAnsiTheme="minorHAnsi" w:cstheme="minorHAnsi"/>
              </w:rPr>
              <w:t>Krüger</w:t>
            </w:r>
            <w:proofErr w:type="spellEnd"/>
            <w:r w:rsidRPr="006D3F87">
              <w:rPr>
                <w:rFonts w:asciiTheme="minorHAnsi" w:hAnsiTheme="minorHAnsi" w:cstheme="minorHAnsi"/>
              </w:rPr>
              <w:t xml:space="preserve">, René. “Teología bíblica contextual en América Latina”, </w:t>
            </w:r>
            <w:r w:rsidRPr="006D3F87">
              <w:rPr>
                <w:rFonts w:asciiTheme="minorHAnsi" w:hAnsiTheme="minorHAnsi" w:cstheme="minorHAnsi"/>
                <w:i/>
                <w:iCs/>
              </w:rPr>
              <w:t xml:space="preserve">Acta </w:t>
            </w:r>
            <w:proofErr w:type="spellStart"/>
            <w:r w:rsidRPr="006D3F87">
              <w:rPr>
                <w:rFonts w:asciiTheme="minorHAnsi" w:hAnsiTheme="minorHAnsi" w:cstheme="minorHAnsi"/>
                <w:i/>
                <w:iCs/>
              </w:rPr>
              <w:t>Poetica</w:t>
            </w:r>
            <w:proofErr w:type="spellEnd"/>
            <w:r w:rsidRPr="006D3F87">
              <w:rPr>
                <w:rFonts w:asciiTheme="minorHAnsi" w:hAnsiTheme="minorHAnsi" w:cstheme="minorHAnsi"/>
              </w:rPr>
              <w:t xml:space="preserve">, vol.31, n.2 (2010): 185-207. Acceso el 18 de octubre de 2022. </w:t>
            </w:r>
            <w:hyperlink r:id="rId497" w:history="1">
              <w:r w:rsidRPr="006D3F87">
                <w:rPr>
                  <w:rFonts w:asciiTheme="minorHAnsi" w:hAnsiTheme="minorHAnsi" w:cstheme="minorHAnsi"/>
                  <w:color w:val="0563C1"/>
                  <w:u w:val="single"/>
                </w:rPr>
                <w:t>https://revistas-filologicas.unam.mx/acta-poetica/index.php/ap/article/view/351</w:t>
              </w:r>
            </w:hyperlink>
          </w:p>
          <w:p w14:paraId="7F6765A2" w14:textId="77777777" w:rsidR="006D3F87" w:rsidRPr="006D3F87" w:rsidRDefault="006D3F87" w:rsidP="006D3F87">
            <w:pPr>
              <w:autoSpaceDE w:val="0"/>
              <w:autoSpaceDN w:val="0"/>
              <w:adjustRightInd w:val="0"/>
              <w:rPr>
                <w:rFonts w:asciiTheme="minorHAnsi" w:hAnsiTheme="minorHAnsi" w:cstheme="minorHAnsi"/>
                <w:color w:val="0563C1"/>
                <w:u w:val="single"/>
              </w:rPr>
            </w:pPr>
          </w:p>
          <w:p w14:paraId="3CB2ED31"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Material complementario</w:t>
            </w:r>
          </w:p>
          <w:p w14:paraId="374235A9" w14:textId="77777777" w:rsidR="006D3F87" w:rsidRPr="006D3F87" w:rsidRDefault="006D3F87" w:rsidP="006D3F87">
            <w:pPr>
              <w:autoSpaceDE w:val="0"/>
              <w:autoSpaceDN w:val="0"/>
              <w:adjustRightInd w:val="0"/>
              <w:rPr>
                <w:rFonts w:asciiTheme="minorHAnsi" w:hAnsiTheme="minorHAnsi" w:cstheme="minorHAnsi"/>
                <w:b/>
                <w:bCs/>
                <w:color w:val="000000"/>
                <w:sz w:val="24"/>
                <w:szCs w:val="24"/>
              </w:rPr>
            </w:pPr>
          </w:p>
          <w:p w14:paraId="02116B77"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rPr>
              <w:t xml:space="preserve">Bonora, Antonio y Giuseppe </w:t>
            </w:r>
            <w:proofErr w:type="spellStart"/>
            <w:r w:rsidRPr="006D3F87">
              <w:rPr>
                <w:rFonts w:asciiTheme="minorHAnsi" w:hAnsiTheme="minorHAnsi" w:cstheme="minorHAnsi"/>
              </w:rPr>
              <w:t>Segalla</w:t>
            </w:r>
            <w:proofErr w:type="spellEnd"/>
            <w:r w:rsidRPr="006D3F87">
              <w:rPr>
                <w:rFonts w:asciiTheme="minorHAnsi" w:hAnsiTheme="minorHAnsi" w:cstheme="minorHAnsi"/>
              </w:rPr>
              <w:t xml:space="preserve">. “Teología Bíblica”. En </w:t>
            </w:r>
            <w:r w:rsidRPr="006D3F87">
              <w:rPr>
                <w:rFonts w:asciiTheme="minorHAnsi" w:hAnsiTheme="minorHAnsi" w:cstheme="minorHAnsi"/>
                <w:i/>
              </w:rPr>
              <w:t>Nuevo Diccionario de Teología Bíblica</w:t>
            </w:r>
            <w:r w:rsidRPr="006D3F87">
              <w:rPr>
                <w:rFonts w:asciiTheme="minorHAnsi" w:hAnsiTheme="minorHAnsi" w:cstheme="minorHAnsi"/>
              </w:rPr>
              <w:t xml:space="preserve">, editado por </w:t>
            </w:r>
            <w:proofErr w:type="spellStart"/>
            <w:r w:rsidRPr="006D3F87">
              <w:rPr>
                <w:rFonts w:asciiTheme="minorHAnsi" w:hAnsiTheme="minorHAnsi" w:cstheme="minorHAnsi"/>
              </w:rPr>
              <w:t>Ravasi</w:t>
            </w:r>
            <w:proofErr w:type="spellEnd"/>
            <w:r w:rsidRPr="006D3F87">
              <w:rPr>
                <w:rFonts w:asciiTheme="minorHAnsi" w:hAnsiTheme="minorHAnsi" w:cstheme="minorHAnsi"/>
              </w:rPr>
              <w:t xml:space="preserve">, G., P. Rossano y A. </w:t>
            </w:r>
            <w:proofErr w:type="spellStart"/>
            <w:r w:rsidRPr="006D3F87">
              <w:rPr>
                <w:rFonts w:asciiTheme="minorHAnsi" w:hAnsiTheme="minorHAnsi" w:cstheme="minorHAnsi"/>
              </w:rPr>
              <w:t>Girlanda</w:t>
            </w:r>
            <w:proofErr w:type="spellEnd"/>
            <w:r w:rsidRPr="006D3F87">
              <w:rPr>
                <w:rFonts w:asciiTheme="minorHAnsi" w:hAnsiTheme="minorHAnsi" w:cstheme="minorHAnsi"/>
              </w:rPr>
              <w:t xml:space="preserve">, 1819-1840.  Madrid: Paulinas, 1990. </w:t>
            </w:r>
            <w:r w:rsidRPr="006D3F87">
              <w:rPr>
                <w:rFonts w:asciiTheme="minorHAnsi" w:hAnsiTheme="minorHAnsi" w:cstheme="minorHAnsi"/>
                <w:color w:val="0070C0"/>
              </w:rPr>
              <w:t>(clásico, última edición 2001)</w:t>
            </w:r>
          </w:p>
          <w:p w14:paraId="71546A40" w14:textId="77777777" w:rsidR="006D3F87" w:rsidRPr="006D3F87" w:rsidRDefault="006D3F87" w:rsidP="006D3F87">
            <w:pPr>
              <w:autoSpaceDE w:val="0"/>
              <w:autoSpaceDN w:val="0"/>
              <w:adjustRightInd w:val="0"/>
              <w:rPr>
                <w:rFonts w:asciiTheme="minorHAnsi" w:hAnsiTheme="minorHAnsi" w:cstheme="minorHAnsi"/>
              </w:rPr>
            </w:pPr>
          </w:p>
          <w:p w14:paraId="4E7D1808"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 xml:space="preserve">Guía para la participación mediante la herramienta Big Blue </w:t>
            </w:r>
            <w:proofErr w:type="spellStart"/>
            <w:r w:rsidRPr="006D3F87">
              <w:rPr>
                <w:rFonts w:asciiTheme="minorHAnsi" w:hAnsiTheme="minorHAnsi" w:cstheme="minorHAnsi"/>
                <w:color w:val="0070C0"/>
              </w:rPr>
              <w:t>Button</w:t>
            </w:r>
            <w:proofErr w:type="spellEnd"/>
            <w:r w:rsidRPr="006D3F87">
              <w:rPr>
                <w:rFonts w:asciiTheme="minorHAnsi" w:hAnsiTheme="minorHAnsi" w:cstheme="minorHAnsi"/>
                <w:color w:val="0070C0"/>
              </w:rPr>
              <w:t xml:space="preserve"> en la plataforma Moodle</w:t>
            </w:r>
          </w:p>
          <w:p w14:paraId="300FC259" w14:textId="77777777" w:rsidR="006D3F87" w:rsidRPr="006D3F87" w:rsidRDefault="006D3F87" w:rsidP="006D3F87">
            <w:pPr>
              <w:autoSpaceDE w:val="0"/>
              <w:autoSpaceDN w:val="0"/>
              <w:adjustRightInd w:val="0"/>
              <w:rPr>
                <w:rFonts w:asciiTheme="minorHAnsi" w:hAnsiTheme="minorHAnsi" w:cstheme="minorHAnsi"/>
                <w:color w:val="000000"/>
                <w:sz w:val="24"/>
                <w:szCs w:val="24"/>
              </w:rPr>
            </w:pPr>
          </w:p>
        </w:tc>
        <w:tc>
          <w:tcPr>
            <w:tcW w:w="3653" w:type="dxa"/>
          </w:tcPr>
          <w:p w14:paraId="679FA932" w14:textId="77777777" w:rsidR="006D3F87" w:rsidRPr="006D3F87" w:rsidRDefault="006D3F87" w:rsidP="006D3F87">
            <w:pPr>
              <w:widowControl w:val="0"/>
              <w:numPr>
                <w:ilvl w:val="0"/>
                <w:numId w:val="287"/>
              </w:numPr>
              <w:overflowPunct w:val="0"/>
              <w:autoSpaceDE w:val="0"/>
              <w:autoSpaceDN w:val="0"/>
              <w:adjustRightInd w:val="0"/>
              <w:spacing w:before="120"/>
              <w:ind w:left="322"/>
              <w:rPr>
                <w:rFonts w:asciiTheme="minorHAnsi" w:hAnsiTheme="minorHAnsi" w:cstheme="minorHAnsi"/>
                <w:color w:val="000000"/>
              </w:rPr>
            </w:pPr>
            <w:r w:rsidRPr="006D3F87">
              <w:rPr>
                <w:rFonts w:asciiTheme="minorHAnsi" w:hAnsiTheme="minorHAnsi" w:cstheme="minorHAnsi"/>
                <w:color w:val="000000"/>
              </w:rPr>
              <w:t>Participación en el foro social CAFETERÍA.</w:t>
            </w:r>
          </w:p>
          <w:p w14:paraId="732ACD56" w14:textId="77777777" w:rsidR="006D3F87" w:rsidRPr="006D3F87" w:rsidRDefault="006D3F87" w:rsidP="006D3F87">
            <w:pPr>
              <w:widowControl w:val="0"/>
              <w:numPr>
                <w:ilvl w:val="0"/>
                <w:numId w:val="287"/>
              </w:numPr>
              <w:overflowPunct w:val="0"/>
              <w:autoSpaceDE w:val="0"/>
              <w:autoSpaceDN w:val="0"/>
              <w:adjustRightInd w:val="0"/>
              <w:spacing w:before="120"/>
              <w:ind w:left="322"/>
              <w:rPr>
                <w:rFonts w:asciiTheme="minorHAnsi" w:hAnsiTheme="minorHAnsi" w:cstheme="minorHAnsi"/>
                <w:color w:val="000000"/>
              </w:rPr>
            </w:pPr>
            <w:r w:rsidRPr="006D3F87">
              <w:rPr>
                <w:rFonts w:asciiTheme="minorHAnsi" w:hAnsiTheme="minorHAnsi" w:cstheme="minorHAnsi"/>
                <w:color w:val="000000"/>
              </w:rPr>
              <w:t>Participación en el foro de dudas.</w:t>
            </w:r>
          </w:p>
          <w:p w14:paraId="4C1444D7" w14:textId="77777777" w:rsidR="006D3F87" w:rsidRPr="006D3F87" w:rsidRDefault="006D3F87" w:rsidP="006D3F87">
            <w:pPr>
              <w:widowControl w:val="0"/>
              <w:numPr>
                <w:ilvl w:val="0"/>
                <w:numId w:val="287"/>
              </w:numPr>
              <w:overflowPunct w:val="0"/>
              <w:autoSpaceDE w:val="0"/>
              <w:autoSpaceDN w:val="0"/>
              <w:adjustRightInd w:val="0"/>
              <w:spacing w:before="120"/>
              <w:ind w:left="322"/>
              <w:rPr>
                <w:rFonts w:asciiTheme="minorHAnsi" w:hAnsiTheme="minorHAnsi" w:cstheme="minorHAnsi"/>
                <w:color w:val="000000"/>
              </w:rPr>
            </w:pPr>
            <w:r w:rsidRPr="006D3F87">
              <w:rPr>
                <w:rFonts w:asciiTheme="minorHAnsi" w:hAnsiTheme="minorHAnsi" w:cstheme="minorHAnsi"/>
                <w:color w:val="000000"/>
              </w:rPr>
              <w:t>Presentación de los temas del curso y exposición docente en un encuentro sincrónico virtual.</w:t>
            </w:r>
          </w:p>
          <w:p w14:paraId="40A1DBD3" w14:textId="77777777" w:rsidR="006D3F87" w:rsidRPr="006D3F87" w:rsidRDefault="006D3F87" w:rsidP="006D3F87">
            <w:pPr>
              <w:widowControl w:val="0"/>
              <w:numPr>
                <w:ilvl w:val="0"/>
                <w:numId w:val="287"/>
              </w:numPr>
              <w:overflowPunct w:val="0"/>
              <w:autoSpaceDE w:val="0"/>
              <w:autoSpaceDN w:val="0"/>
              <w:adjustRightInd w:val="0"/>
              <w:spacing w:before="120"/>
              <w:ind w:left="322"/>
              <w:rPr>
                <w:rFonts w:asciiTheme="minorHAnsi" w:hAnsiTheme="minorHAnsi" w:cstheme="minorHAnsi"/>
                <w:color w:val="000000"/>
              </w:rPr>
            </w:pPr>
            <w:r w:rsidRPr="006D3F87">
              <w:rPr>
                <w:rFonts w:asciiTheme="minorHAnsi" w:hAnsiTheme="minorHAnsi" w:cstheme="minorHAnsi"/>
                <w:color w:val="000000"/>
              </w:rPr>
              <w:t>Realizar las lecturas como preparación para la participación en el foro temático de la próxima sesión.</w:t>
            </w:r>
          </w:p>
        </w:tc>
      </w:tr>
      <w:tr w:rsidR="006D3F87" w:rsidRPr="006D3F87" w14:paraId="7CE3C783" w14:textId="77777777" w:rsidTr="00104785">
        <w:trPr>
          <w:jc w:val="center"/>
        </w:trPr>
        <w:tc>
          <w:tcPr>
            <w:tcW w:w="1144" w:type="dxa"/>
          </w:tcPr>
          <w:p w14:paraId="35DB69F5" w14:textId="77777777" w:rsidR="006D3F87" w:rsidRPr="006D3F87" w:rsidRDefault="006D3F87" w:rsidP="006D3F87">
            <w:pPr>
              <w:autoSpaceDE w:val="0"/>
              <w:autoSpaceDN w:val="0"/>
              <w:adjustRightInd w:val="0"/>
              <w:jc w:val="center"/>
              <w:rPr>
                <w:rFonts w:asciiTheme="minorHAnsi" w:hAnsiTheme="minorHAnsi" w:cstheme="minorHAnsi"/>
                <w:color w:val="000000"/>
              </w:rPr>
            </w:pPr>
          </w:p>
          <w:p w14:paraId="3D7CA489"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2</w:t>
            </w:r>
          </w:p>
        </w:tc>
        <w:tc>
          <w:tcPr>
            <w:tcW w:w="2395" w:type="dxa"/>
          </w:tcPr>
          <w:p w14:paraId="71C0EF03"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1: Prolegómenos para una teología bíblica</w:t>
            </w:r>
          </w:p>
          <w:p w14:paraId="119E3EBA"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7ED92A20"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 xml:space="preserve">1.1 Premisas epistemológicas: ¿es </w:t>
            </w:r>
            <w:r w:rsidRPr="006D3F87">
              <w:rPr>
                <w:rFonts w:asciiTheme="minorHAnsi" w:hAnsiTheme="minorHAnsi" w:cstheme="minorHAnsi"/>
                <w:color w:val="000000"/>
              </w:rPr>
              <w:lastRenderedPageBreak/>
              <w:t>posible una “teología bíblica”?</w:t>
            </w:r>
          </w:p>
          <w:p w14:paraId="6C32158B"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402" w:type="dxa"/>
          </w:tcPr>
          <w:p w14:paraId="58716284" w14:textId="77777777" w:rsidR="006D3F87" w:rsidRPr="006D3F87" w:rsidRDefault="006D3F87" w:rsidP="006D3F87">
            <w:pPr>
              <w:widowControl w:val="0"/>
              <w:tabs>
                <w:tab w:val="left" w:pos="771"/>
              </w:tabs>
              <w:overflowPunct w:val="0"/>
              <w:autoSpaceDE w:val="0"/>
              <w:autoSpaceDN w:val="0"/>
              <w:adjustRightInd w:val="0"/>
              <w:rPr>
                <w:rFonts w:asciiTheme="minorHAnsi" w:eastAsia="Times New Roman" w:hAnsiTheme="minorHAnsi" w:cstheme="minorHAnsi"/>
                <w:lang w:eastAsia="es-CR"/>
              </w:rPr>
            </w:pPr>
            <w:r w:rsidRPr="006D3F87">
              <w:rPr>
                <w:rFonts w:asciiTheme="minorHAnsi" w:eastAsia="Times New Roman" w:hAnsiTheme="minorHAnsi" w:cstheme="minorHAnsi"/>
                <w:color w:val="0070C0"/>
                <w:lang w:eastAsia="es-CR"/>
              </w:rPr>
              <w:lastRenderedPageBreak/>
              <w:t>Ruta de aprendizaje</w:t>
            </w:r>
          </w:p>
          <w:p w14:paraId="10DD46E2" w14:textId="77777777" w:rsidR="006D3F87" w:rsidRPr="006D3F87" w:rsidRDefault="006D3F87" w:rsidP="006D3F87">
            <w:pPr>
              <w:widowControl w:val="0"/>
              <w:tabs>
                <w:tab w:val="left" w:pos="771"/>
              </w:tabs>
              <w:overflowPunct w:val="0"/>
              <w:autoSpaceDE w:val="0"/>
              <w:autoSpaceDN w:val="0"/>
              <w:adjustRightInd w:val="0"/>
              <w:rPr>
                <w:rFonts w:asciiTheme="minorHAnsi" w:eastAsia="Times New Roman" w:hAnsiTheme="minorHAnsi" w:cstheme="minorHAnsi"/>
                <w:lang w:eastAsia="es-CR"/>
              </w:rPr>
            </w:pPr>
          </w:p>
          <w:p w14:paraId="13F51948"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rPr>
              <w:t xml:space="preserve">García López, </w:t>
            </w:r>
            <w:proofErr w:type="spellStart"/>
            <w:r w:rsidRPr="006D3F87">
              <w:rPr>
                <w:rFonts w:asciiTheme="minorHAnsi" w:hAnsiTheme="minorHAnsi" w:cstheme="minorHAnsi"/>
              </w:rPr>
              <w:t>Felix</w:t>
            </w:r>
            <w:proofErr w:type="spellEnd"/>
            <w:r w:rsidRPr="006D3F87">
              <w:rPr>
                <w:rFonts w:asciiTheme="minorHAnsi" w:hAnsiTheme="minorHAnsi" w:cstheme="minorHAnsi"/>
              </w:rPr>
              <w:t xml:space="preserve">. “Teologías del Antiguo Testamento y teologías bíblicas”. En </w:t>
            </w:r>
            <w:r w:rsidRPr="006D3F87">
              <w:rPr>
                <w:rFonts w:asciiTheme="minorHAnsi" w:hAnsiTheme="minorHAnsi" w:cstheme="minorHAnsi"/>
                <w:i/>
                <w:iCs/>
              </w:rPr>
              <w:t>Al encuentro de Dios en la Escritura: Estudios de Teología Bíblica</w:t>
            </w:r>
            <w:r w:rsidRPr="006D3F87">
              <w:rPr>
                <w:rFonts w:asciiTheme="minorHAnsi" w:hAnsiTheme="minorHAnsi" w:cstheme="minorHAnsi"/>
              </w:rPr>
              <w:t xml:space="preserve">, 21-38. Estella: </w:t>
            </w:r>
            <w:r w:rsidRPr="006D3F87">
              <w:rPr>
                <w:rFonts w:asciiTheme="minorHAnsi" w:hAnsiTheme="minorHAnsi" w:cstheme="minorHAnsi"/>
              </w:rPr>
              <w:lastRenderedPageBreak/>
              <w:t>Verbo Divino, 2018.</w:t>
            </w:r>
            <w:r w:rsidRPr="006D3F87">
              <w:rPr>
                <w:rFonts w:asciiTheme="minorHAnsi" w:hAnsiTheme="minorHAnsi" w:cstheme="minorHAnsi"/>
                <w:color w:val="0070C0"/>
              </w:rPr>
              <w:t xml:space="preserve"> (clásico, última edición)</w:t>
            </w:r>
          </w:p>
          <w:p w14:paraId="3CD79614" w14:textId="77777777" w:rsidR="006D3F87" w:rsidRPr="006D3F87" w:rsidRDefault="006D3F87" w:rsidP="006D3F87">
            <w:pPr>
              <w:widowControl w:val="0"/>
              <w:tabs>
                <w:tab w:val="left" w:pos="771"/>
              </w:tabs>
              <w:overflowPunct w:val="0"/>
              <w:autoSpaceDE w:val="0"/>
              <w:autoSpaceDN w:val="0"/>
              <w:adjustRightInd w:val="0"/>
              <w:rPr>
                <w:rFonts w:asciiTheme="minorHAnsi" w:eastAsia="Times New Roman" w:hAnsiTheme="minorHAnsi" w:cstheme="minorHAnsi"/>
                <w:lang w:eastAsia="es-CR"/>
              </w:rPr>
            </w:pPr>
          </w:p>
          <w:p w14:paraId="35A55C93" w14:textId="77777777" w:rsidR="006D3F87" w:rsidRPr="006D3F87" w:rsidRDefault="006D3F87" w:rsidP="006D3F87">
            <w:pPr>
              <w:widowControl w:val="0"/>
              <w:tabs>
                <w:tab w:val="left" w:pos="771"/>
              </w:tabs>
              <w:overflowPunct w:val="0"/>
              <w:autoSpaceDE w:val="0"/>
              <w:autoSpaceDN w:val="0"/>
              <w:adjustRightInd w:val="0"/>
              <w:rPr>
                <w:rFonts w:asciiTheme="minorHAnsi" w:eastAsia="Times New Roman" w:hAnsiTheme="minorHAnsi" w:cstheme="minorHAnsi"/>
                <w:szCs w:val="18"/>
                <w:lang w:val="es-ES_tradnl" w:eastAsia="es-CR"/>
              </w:rPr>
            </w:pPr>
          </w:p>
          <w:p w14:paraId="23DD4F0B"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rPr>
              <w:t xml:space="preserve">Vouga, </w:t>
            </w:r>
            <w:proofErr w:type="spellStart"/>
            <w:r w:rsidRPr="006D3F87">
              <w:rPr>
                <w:rFonts w:asciiTheme="minorHAnsi" w:hAnsiTheme="minorHAnsi" w:cstheme="minorHAnsi"/>
              </w:rPr>
              <w:t>Francois</w:t>
            </w:r>
            <w:proofErr w:type="spellEnd"/>
            <w:r w:rsidRPr="006D3F87">
              <w:rPr>
                <w:rFonts w:asciiTheme="minorHAnsi" w:hAnsiTheme="minorHAnsi" w:cstheme="minorHAnsi"/>
              </w:rPr>
              <w:t xml:space="preserve">. “Introducción”. En </w:t>
            </w:r>
            <w:r w:rsidRPr="006D3F87">
              <w:rPr>
                <w:rFonts w:asciiTheme="minorHAnsi" w:hAnsiTheme="minorHAnsi" w:cstheme="minorHAnsi"/>
                <w:i/>
                <w:iCs/>
              </w:rPr>
              <w:t>Una</w:t>
            </w:r>
            <w:r w:rsidRPr="006D3F87">
              <w:rPr>
                <w:rFonts w:asciiTheme="minorHAnsi" w:hAnsiTheme="minorHAnsi" w:cstheme="minorHAnsi"/>
              </w:rPr>
              <w:t xml:space="preserve"> t</w:t>
            </w:r>
            <w:r w:rsidRPr="006D3F87">
              <w:rPr>
                <w:rFonts w:asciiTheme="minorHAnsi" w:hAnsiTheme="minorHAnsi" w:cstheme="minorHAnsi"/>
                <w:i/>
                <w:iCs/>
              </w:rPr>
              <w:t>eología del Nuevo Testamento</w:t>
            </w:r>
            <w:r w:rsidRPr="006D3F87">
              <w:rPr>
                <w:rFonts w:asciiTheme="minorHAnsi" w:hAnsiTheme="minorHAnsi" w:cstheme="minorHAnsi"/>
              </w:rPr>
              <w:t xml:space="preserve">, 21-33. Estella: Verbo Divino, 2002. </w:t>
            </w:r>
            <w:r w:rsidRPr="006D3F87">
              <w:rPr>
                <w:rFonts w:asciiTheme="minorHAnsi" w:hAnsiTheme="minorHAnsi" w:cstheme="minorHAnsi"/>
                <w:color w:val="0070C0"/>
              </w:rPr>
              <w:t>(clásico, última edición)</w:t>
            </w:r>
          </w:p>
          <w:p w14:paraId="7C2E1217" w14:textId="77777777" w:rsidR="006D3F87" w:rsidRPr="006D3F87" w:rsidRDefault="006D3F87" w:rsidP="006D3F87">
            <w:pPr>
              <w:widowControl w:val="0"/>
              <w:tabs>
                <w:tab w:val="left" w:pos="771"/>
              </w:tabs>
              <w:overflowPunct w:val="0"/>
              <w:autoSpaceDE w:val="0"/>
              <w:autoSpaceDN w:val="0"/>
              <w:adjustRightInd w:val="0"/>
              <w:rPr>
                <w:rFonts w:asciiTheme="minorHAnsi" w:eastAsia="Times New Roman" w:hAnsiTheme="minorHAnsi" w:cstheme="minorHAnsi"/>
                <w:lang w:eastAsia="es-CR"/>
              </w:rPr>
            </w:pPr>
          </w:p>
          <w:p w14:paraId="0E78E5EF" w14:textId="77777777" w:rsidR="006D3F87" w:rsidRPr="006D3F87" w:rsidRDefault="006D3F87" w:rsidP="006D3F87">
            <w:pPr>
              <w:widowControl w:val="0"/>
              <w:tabs>
                <w:tab w:val="left" w:pos="771"/>
              </w:tabs>
              <w:overflowPunct w:val="0"/>
              <w:autoSpaceDE w:val="0"/>
              <w:autoSpaceDN w:val="0"/>
              <w:adjustRightInd w:val="0"/>
              <w:rPr>
                <w:rFonts w:asciiTheme="minorHAnsi" w:eastAsia="Times New Roman" w:hAnsiTheme="minorHAnsi" w:cstheme="minorHAnsi"/>
                <w:lang w:eastAsia="es-CR"/>
              </w:rPr>
            </w:pPr>
          </w:p>
          <w:p w14:paraId="4F19B2C0" w14:textId="77777777" w:rsidR="006D3F87" w:rsidRPr="006D3F87" w:rsidRDefault="006D3F87" w:rsidP="006D3F87">
            <w:pPr>
              <w:widowControl w:val="0"/>
              <w:tabs>
                <w:tab w:val="left" w:pos="771"/>
              </w:tabs>
              <w:overflowPunct w:val="0"/>
              <w:autoSpaceDE w:val="0"/>
              <w:autoSpaceDN w:val="0"/>
              <w:adjustRightInd w:val="0"/>
              <w:rPr>
                <w:rFonts w:asciiTheme="minorHAnsi" w:eastAsia="Times New Roman" w:hAnsiTheme="minorHAnsi" w:cstheme="minorHAnsi"/>
                <w:b/>
                <w:bCs/>
                <w:color w:val="0070C0"/>
                <w:lang w:eastAsia="es-CR"/>
              </w:rPr>
            </w:pPr>
            <w:r w:rsidRPr="006D3F87">
              <w:rPr>
                <w:rFonts w:asciiTheme="minorHAnsi" w:eastAsia="Times New Roman" w:hAnsiTheme="minorHAnsi" w:cstheme="minorHAnsi"/>
                <w:b/>
                <w:bCs/>
                <w:color w:val="0070C0"/>
                <w:lang w:eastAsia="es-CR"/>
              </w:rPr>
              <w:t>Material complementario</w:t>
            </w:r>
          </w:p>
          <w:p w14:paraId="27EB610B" w14:textId="77777777" w:rsidR="006D3F87" w:rsidRPr="006D3F87" w:rsidRDefault="006D3F87" w:rsidP="006D3F87">
            <w:pPr>
              <w:widowControl w:val="0"/>
              <w:tabs>
                <w:tab w:val="left" w:pos="771"/>
              </w:tabs>
              <w:overflowPunct w:val="0"/>
              <w:autoSpaceDE w:val="0"/>
              <w:autoSpaceDN w:val="0"/>
              <w:adjustRightInd w:val="0"/>
              <w:rPr>
                <w:rFonts w:asciiTheme="minorHAnsi" w:eastAsia="Times New Roman" w:hAnsiTheme="minorHAnsi" w:cstheme="minorHAnsi"/>
                <w:b/>
                <w:bCs/>
                <w:color w:val="0070C0"/>
                <w:lang w:eastAsia="es-CR"/>
              </w:rPr>
            </w:pPr>
          </w:p>
          <w:p w14:paraId="0BF6AF0D" w14:textId="77777777" w:rsidR="006D3F87" w:rsidRPr="006D3F87" w:rsidRDefault="006D3F87" w:rsidP="006D3F87">
            <w:pPr>
              <w:widowControl w:val="0"/>
              <w:tabs>
                <w:tab w:val="left" w:pos="771"/>
              </w:tabs>
              <w:overflowPunct w:val="0"/>
              <w:autoSpaceDE w:val="0"/>
              <w:autoSpaceDN w:val="0"/>
              <w:adjustRightInd w:val="0"/>
              <w:rPr>
                <w:rFonts w:asciiTheme="minorHAnsi" w:eastAsia="Times New Roman" w:hAnsiTheme="minorHAnsi" w:cstheme="minorHAnsi"/>
                <w:lang w:eastAsia="es-CR"/>
              </w:rPr>
            </w:pPr>
            <w:r w:rsidRPr="006D3F87">
              <w:rPr>
                <w:rFonts w:asciiTheme="minorHAnsi" w:eastAsia="Times New Roman" w:hAnsiTheme="minorHAnsi" w:cstheme="minorHAnsi"/>
                <w:color w:val="0070C0"/>
                <w:lang w:eastAsia="es-CR"/>
              </w:rPr>
              <w:t>Guía para la participación en un foro en la plataforma Moodle</w:t>
            </w:r>
          </w:p>
          <w:p w14:paraId="11A64737"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653" w:type="dxa"/>
          </w:tcPr>
          <w:p w14:paraId="3306B304" w14:textId="77777777" w:rsidR="006D3F87" w:rsidRPr="006D3F87" w:rsidRDefault="006D3F87" w:rsidP="006D3F87">
            <w:pPr>
              <w:widowControl w:val="0"/>
              <w:numPr>
                <w:ilvl w:val="0"/>
                <w:numId w:val="288"/>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lastRenderedPageBreak/>
              <w:t>Realizar las lecturas de la sesión.</w:t>
            </w:r>
          </w:p>
          <w:p w14:paraId="230E7679" w14:textId="77777777" w:rsidR="006D3F87" w:rsidRPr="006D3F87" w:rsidRDefault="006D3F87" w:rsidP="006D3F87">
            <w:pPr>
              <w:widowControl w:val="0"/>
              <w:numPr>
                <w:ilvl w:val="0"/>
                <w:numId w:val="288"/>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Participación en el foro temático: El quehacer de la teología bíblica.</w:t>
            </w:r>
          </w:p>
        </w:tc>
      </w:tr>
      <w:tr w:rsidR="006D3F87" w:rsidRPr="006D3F87" w14:paraId="4DED9B01" w14:textId="77777777" w:rsidTr="00104785">
        <w:trPr>
          <w:jc w:val="center"/>
        </w:trPr>
        <w:tc>
          <w:tcPr>
            <w:tcW w:w="1144" w:type="dxa"/>
          </w:tcPr>
          <w:p w14:paraId="4969D856" w14:textId="77777777" w:rsidR="006D3F87" w:rsidRPr="006D3F87" w:rsidRDefault="006D3F87" w:rsidP="006D3F87">
            <w:pPr>
              <w:autoSpaceDE w:val="0"/>
              <w:autoSpaceDN w:val="0"/>
              <w:adjustRightInd w:val="0"/>
              <w:jc w:val="center"/>
              <w:rPr>
                <w:rFonts w:asciiTheme="minorHAnsi" w:hAnsiTheme="minorHAnsi" w:cstheme="minorHAnsi"/>
                <w:color w:val="000000"/>
              </w:rPr>
            </w:pPr>
          </w:p>
          <w:p w14:paraId="7C9D3CDF"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3</w:t>
            </w:r>
          </w:p>
        </w:tc>
        <w:tc>
          <w:tcPr>
            <w:tcW w:w="2395" w:type="dxa"/>
          </w:tcPr>
          <w:p w14:paraId="37352ADA"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1: Prolegómenos para una teología bíblica</w:t>
            </w:r>
          </w:p>
          <w:p w14:paraId="0DB9C025"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2A0D01D7"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1.2 Grandes corrientes teológicas en la conformación del AT y el NT</w:t>
            </w:r>
          </w:p>
          <w:p w14:paraId="500C6A00" w14:textId="77777777" w:rsidR="006D3F87" w:rsidRPr="006D3F87" w:rsidRDefault="006D3F87" w:rsidP="006D3F87">
            <w:pPr>
              <w:autoSpaceDE w:val="0"/>
              <w:autoSpaceDN w:val="0"/>
              <w:adjustRightInd w:val="0"/>
              <w:jc w:val="both"/>
              <w:rPr>
                <w:rFonts w:asciiTheme="minorHAnsi" w:hAnsiTheme="minorHAnsi" w:cstheme="minorHAnsi"/>
                <w:color w:val="000000"/>
              </w:rPr>
            </w:pPr>
          </w:p>
        </w:tc>
        <w:tc>
          <w:tcPr>
            <w:tcW w:w="3402" w:type="dxa"/>
          </w:tcPr>
          <w:p w14:paraId="074B5420"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6FE70618" w14:textId="77777777" w:rsidR="006D3F87" w:rsidRPr="006D3F87" w:rsidRDefault="006D3F87" w:rsidP="006D3F87">
            <w:pPr>
              <w:autoSpaceDE w:val="0"/>
              <w:autoSpaceDN w:val="0"/>
              <w:adjustRightInd w:val="0"/>
              <w:rPr>
                <w:rFonts w:asciiTheme="minorHAnsi" w:hAnsiTheme="minorHAnsi" w:cstheme="minorHAnsi"/>
              </w:rPr>
            </w:pPr>
          </w:p>
          <w:p w14:paraId="0CE1C8F3" w14:textId="77777777" w:rsidR="006D3F87" w:rsidRPr="006D3F87" w:rsidRDefault="006D3F87" w:rsidP="006D3F87">
            <w:pPr>
              <w:autoSpaceDE w:val="0"/>
              <w:autoSpaceDN w:val="0"/>
              <w:adjustRightInd w:val="0"/>
              <w:rPr>
                <w:rFonts w:asciiTheme="minorHAnsi" w:hAnsiTheme="minorHAnsi" w:cstheme="minorHAnsi"/>
                <w:color w:val="0070C0"/>
              </w:rPr>
            </w:pPr>
            <w:proofErr w:type="spellStart"/>
            <w:r w:rsidRPr="006D3F87">
              <w:rPr>
                <w:rFonts w:asciiTheme="minorHAnsi" w:hAnsiTheme="minorHAnsi" w:cstheme="minorHAnsi"/>
              </w:rPr>
              <w:t>Römer</w:t>
            </w:r>
            <w:proofErr w:type="spellEnd"/>
            <w:r w:rsidRPr="006D3F87">
              <w:rPr>
                <w:rFonts w:asciiTheme="minorHAnsi" w:hAnsiTheme="minorHAnsi" w:cstheme="minorHAnsi"/>
              </w:rPr>
              <w:t xml:space="preserve">, Thomas. “Edición deuteronomista en el período asirio y propaganda real”. En </w:t>
            </w:r>
            <w:r w:rsidRPr="006D3F87">
              <w:rPr>
                <w:rFonts w:asciiTheme="minorHAnsi" w:hAnsiTheme="minorHAnsi" w:cstheme="minorHAnsi"/>
                <w:i/>
                <w:iCs/>
              </w:rPr>
              <w:t>La llamada historia deuteronomista: Una introducción sociológica, histórica y literaria</w:t>
            </w:r>
            <w:r w:rsidRPr="006D3F87">
              <w:rPr>
                <w:rFonts w:asciiTheme="minorHAnsi" w:hAnsiTheme="minorHAnsi" w:cstheme="minorHAnsi"/>
              </w:rPr>
              <w:t>, 63-96. Bogotá: San Pablo, 2014.</w:t>
            </w:r>
            <w:r w:rsidRPr="006D3F87">
              <w:rPr>
                <w:rFonts w:asciiTheme="minorHAnsi" w:hAnsiTheme="minorHAnsi" w:cstheme="minorHAnsi"/>
                <w:color w:val="0070C0"/>
              </w:rPr>
              <w:t xml:space="preserve"> (clásico, última edición)</w:t>
            </w:r>
          </w:p>
          <w:p w14:paraId="4CE6BA10" w14:textId="77777777" w:rsidR="006D3F87" w:rsidRPr="006D3F87" w:rsidRDefault="006D3F87" w:rsidP="006D3F87">
            <w:pPr>
              <w:autoSpaceDE w:val="0"/>
              <w:autoSpaceDN w:val="0"/>
              <w:adjustRightInd w:val="0"/>
              <w:rPr>
                <w:rFonts w:asciiTheme="minorHAnsi" w:hAnsiTheme="minorHAnsi" w:cstheme="minorHAnsi"/>
              </w:rPr>
            </w:pPr>
          </w:p>
          <w:p w14:paraId="4A7CE2F6" w14:textId="77777777" w:rsidR="006D3F87" w:rsidRPr="006D3F87" w:rsidRDefault="006D3F87" w:rsidP="006D3F87">
            <w:pPr>
              <w:autoSpaceDE w:val="0"/>
              <w:autoSpaceDN w:val="0"/>
              <w:adjustRightInd w:val="0"/>
              <w:rPr>
                <w:rFonts w:asciiTheme="minorHAnsi" w:hAnsiTheme="minorHAnsi" w:cstheme="minorHAnsi"/>
              </w:rPr>
            </w:pPr>
          </w:p>
          <w:p w14:paraId="341BC777" w14:textId="77777777" w:rsidR="006D3F87" w:rsidRPr="006D3F87" w:rsidRDefault="006D3F87" w:rsidP="006D3F87">
            <w:pPr>
              <w:autoSpaceDE w:val="0"/>
              <w:autoSpaceDN w:val="0"/>
              <w:adjustRightInd w:val="0"/>
              <w:rPr>
                <w:rFonts w:asciiTheme="minorHAnsi" w:hAnsiTheme="minorHAnsi" w:cstheme="minorHAnsi"/>
              </w:rPr>
            </w:pPr>
            <w:proofErr w:type="spellStart"/>
            <w:r w:rsidRPr="006D3F87">
              <w:rPr>
                <w:rFonts w:asciiTheme="minorHAnsi" w:hAnsiTheme="minorHAnsi" w:cstheme="minorHAnsi"/>
              </w:rPr>
              <w:t>Pikaza</w:t>
            </w:r>
            <w:proofErr w:type="spellEnd"/>
            <w:r w:rsidRPr="006D3F87">
              <w:rPr>
                <w:rFonts w:asciiTheme="minorHAnsi" w:hAnsiTheme="minorHAnsi" w:cstheme="minorHAnsi"/>
              </w:rPr>
              <w:t xml:space="preserve">, Xabier. “Profetas anteriores: La teología se hace historia”. En </w:t>
            </w:r>
            <w:r w:rsidRPr="006D3F87">
              <w:rPr>
                <w:rFonts w:asciiTheme="minorHAnsi" w:hAnsiTheme="minorHAnsi" w:cstheme="minorHAnsi"/>
                <w:i/>
                <w:iCs/>
              </w:rPr>
              <w:t>La Palabra se hizo carne:</w:t>
            </w:r>
            <w:r w:rsidRPr="006D3F87">
              <w:rPr>
                <w:rFonts w:asciiTheme="minorHAnsi" w:hAnsiTheme="minorHAnsi" w:cstheme="minorHAnsi"/>
              </w:rPr>
              <w:t xml:space="preserve"> </w:t>
            </w:r>
            <w:r w:rsidRPr="006D3F87">
              <w:rPr>
                <w:rFonts w:asciiTheme="minorHAnsi" w:hAnsiTheme="minorHAnsi" w:cstheme="minorHAnsi"/>
                <w:i/>
                <w:iCs/>
              </w:rPr>
              <w:t>Teología de la Biblia</w:t>
            </w:r>
            <w:r w:rsidRPr="006D3F87">
              <w:rPr>
                <w:rFonts w:asciiTheme="minorHAnsi" w:hAnsiTheme="minorHAnsi" w:cstheme="minorHAnsi"/>
              </w:rPr>
              <w:t>, 107-119. Estella: Verbo Divino, 2020.</w:t>
            </w:r>
          </w:p>
          <w:p w14:paraId="28C000BD" w14:textId="77777777" w:rsidR="006D3F87" w:rsidRPr="006D3F87" w:rsidRDefault="006D3F87" w:rsidP="006D3F87">
            <w:pPr>
              <w:autoSpaceDE w:val="0"/>
              <w:autoSpaceDN w:val="0"/>
              <w:adjustRightInd w:val="0"/>
              <w:rPr>
                <w:rFonts w:asciiTheme="minorHAnsi" w:hAnsiTheme="minorHAnsi" w:cstheme="minorHAnsi"/>
              </w:rPr>
            </w:pPr>
          </w:p>
          <w:p w14:paraId="68E92AB3" w14:textId="77777777" w:rsidR="006D3F87" w:rsidRPr="006D3F87" w:rsidRDefault="006D3F87" w:rsidP="006D3F87">
            <w:pPr>
              <w:autoSpaceDE w:val="0"/>
              <w:autoSpaceDN w:val="0"/>
              <w:adjustRightInd w:val="0"/>
              <w:rPr>
                <w:rFonts w:asciiTheme="minorHAnsi" w:hAnsiTheme="minorHAnsi" w:cstheme="minorHAnsi"/>
                <w:b/>
                <w:bCs/>
                <w:color w:val="0070C0"/>
              </w:rPr>
            </w:pPr>
            <w:r w:rsidRPr="006D3F87">
              <w:rPr>
                <w:rFonts w:asciiTheme="minorHAnsi" w:hAnsiTheme="minorHAnsi" w:cstheme="minorHAnsi"/>
                <w:b/>
                <w:bCs/>
                <w:color w:val="0070C0"/>
              </w:rPr>
              <w:t>Material complementario</w:t>
            </w:r>
          </w:p>
          <w:p w14:paraId="5417FF46" w14:textId="77777777" w:rsidR="006D3F87" w:rsidRPr="006D3F87" w:rsidRDefault="006D3F87" w:rsidP="006D3F87">
            <w:pPr>
              <w:autoSpaceDE w:val="0"/>
              <w:autoSpaceDN w:val="0"/>
              <w:adjustRightInd w:val="0"/>
              <w:rPr>
                <w:rFonts w:asciiTheme="minorHAnsi" w:hAnsiTheme="minorHAnsi" w:cstheme="minorHAnsi"/>
                <w:b/>
                <w:bCs/>
                <w:color w:val="0070C0"/>
              </w:rPr>
            </w:pPr>
          </w:p>
          <w:p w14:paraId="37A91000"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Guía para la elaboración de una reseña crítica de lectura</w:t>
            </w:r>
          </w:p>
          <w:p w14:paraId="6BD7953B" w14:textId="77777777" w:rsidR="006D3F87" w:rsidRPr="006D3F87" w:rsidRDefault="006D3F87" w:rsidP="006D3F87">
            <w:pPr>
              <w:autoSpaceDE w:val="0"/>
              <w:autoSpaceDN w:val="0"/>
              <w:adjustRightInd w:val="0"/>
              <w:rPr>
                <w:rFonts w:asciiTheme="minorHAnsi" w:hAnsiTheme="minorHAnsi" w:cstheme="minorHAnsi"/>
                <w:color w:val="0070C0"/>
              </w:rPr>
            </w:pPr>
          </w:p>
          <w:p w14:paraId="4884F257"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color w:val="0070C0"/>
              </w:rPr>
              <w:t xml:space="preserve">Guía para la participación mediante la herramienta Big Blue </w:t>
            </w:r>
            <w:proofErr w:type="spellStart"/>
            <w:r w:rsidRPr="006D3F87">
              <w:rPr>
                <w:rFonts w:asciiTheme="minorHAnsi" w:hAnsiTheme="minorHAnsi" w:cstheme="minorHAnsi"/>
                <w:color w:val="0070C0"/>
              </w:rPr>
              <w:t>Button</w:t>
            </w:r>
            <w:proofErr w:type="spellEnd"/>
            <w:r w:rsidRPr="006D3F87">
              <w:rPr>
                <w:rFonts w:asciiTheme="minorHAnsi" w:hAnsiTheme="minorHAnsi" w:cstheme="minorHAnsi"/>
                <w:color w:val="0070C0"/>
              </w:rPr>
              <w:t xml:space="preserve"> en la plataforma Moodle</w:t>
            </w:r>
          </w:p>
          <w:p w14:paraId="2F51E1D4"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653" w:type="dxa"/>
          </w:tcPr>
          <w:p w14:paraId="73513CE8" w14:textId="77777777" w:rsidR="006D3F87" w:rsidRPr="006D3F87" w:rsidRDefault="006D3F87" w:rsidP="006D3F87">
            <w:pPr>
              <w:widowControl w:val="0"/>
              <w:numPr>
                <w:ilvl w:val="0"/>
                <w:numId w:val="289"/>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Realizar las lecturas de la sesión.</w:t>
            </w:r>
          </w:p>
          <w:p w14:paraId="0E9A87A5" w14:textId="77777777" w:rsidR="006D3F87" w:rsidRPr="006D3F87" w:rsidRDefault="006D3F87" w:rsidP="006D3F87">
            <w:pPr>
              <w:widowControl w:val="0"/>
              <w:numPr>
                <w:ilvl w:val="0"/>
                <w:numId w:val="289"/>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Elaboración de una reseña crítica de las lecturas.</w:t>
            </w:r>
          </w:p>
          <w:p w14:paraId="5952860E" w14:textId="77777777" w:rsidR="006D3F87" w:rsidRPr="006D3F87" w:rsidRDefault="006D3F87" w:rsidP="006D3F87">
            <w:pPr>
              <w:widowControl w:val="0"/>
              <w:numPr>
                <w:ilvl w:val="0"/>
                <w:numId w:val="289"/>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Discusión de ejemplos e implicaciones de la teología deuteronomista en un encuentro sincrónico virtual. </w:t>
            </w:r>
          </w:p>
        </w:tc>
      </w:tr>
      <w:tr w:rsidR="006D3F87" w:rsidRPr="006D3F87" w14:paraId="0CFB4D58" w14:textId="77777777" w:rsidTr="00104785">
        <w:trPr>
          <w:jc w:val="center"/>
        </w:trPr>
        <w:tc>
          <w:tcPr>
            <w:tcW w:w="1144" w:type="dxa"/>
          </w:tcPr>
          <w:p w14:paraId="2F605FFD" w14:textId="77777777" w:rsidR="006D3F87" w:rsidRPr="006D3F87" w:rsidRDefault="006D3F87" w:rsidP="006D3F87">
            <w:pPr>
              <w:autoSpaceDE w:val="0"/>
              <w:autoSpaceDN w:val="0"/>
              <w:adjustRightInd w:val="0"/>
              <w:jc w:val="center"/>
              <w:rPr>
                <w:rFonts w:asciiTheme="minorHAnsi" w:hAnsiTheme="minorHAnsi" w:cstheme="minorHAnsi"/>
                <w:color w:val="000000"/>
              </w:rPr>
            </w:pPr>
          </w:p>
          <w:p w14:paraId="1F4F3299"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4</w:t>
            </w:r>
          </w:p>
        </w:tc>
        <w:tc>
          <w:tcPr>
            <w:tcW w:w="2395" w:type="dxa"/>
          </w:tcPr>
          <w:p w14:paraId="3C54C836"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1: Prolegómenos para una teología bíblica</w:t>
            </w:r>
          </w:p>
          <w:p w14:paraId="1B91950A"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3B0F56CE"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lastRenderedPageBreak/>
              <w:t>1.2 Grandes corrientes teológicas en la conformación del AT y el NT</w:t>
            </w:r>
          </w:p>
          <w:p w14:paraId="56820330" w14:textId="77777777" w:rsidR="006D3F87" w:rsidRPr="006D3F87" w:rsidRDefault="006D3F87" w:rsidP="006D3F87">
            <w:pPr>
              <w:autoSpaceDE w:val="0"/>
              <w:autoSpaceDN w:val="0"/>
              <w:adjustRightInd w:val="0"/>
              <w:jc w:val="both"/>
              <w:rPr>
                <w:rFonts w:asciiTheme="minorHAnsi" w:hAnsiTheme="minorHAnsi" w:cstheme="minorHAnsi"/>
                <w:color w:val="000000"/>
              </w:rPr>
            </w:pPr>
          </w:p>
        </w:tc>
        <w:tc>
          <w:tcPr>
            <w:tcW w:w="3402" w:type="dxa"/>
          </w:tcPr>
          <w:p w14:paraId="54C126EC"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lastRenderedPageBreak/>
              <w:t>Ruta de aprendizaje</w:t>
            </w:r>
          </w:p>
          <w:p w14:paraId="10FF0773" w14:textId="77777777" w:rsidR="006D3F87" w:rsidRPr="006D3F87" w:rsidRDefault="006D3F87" w:rsidP="006D3F87">
            <w:pPr>
              <w:autoSpaceDE w:val="0"/>
              <w:autoSpaceDN w:val="0"/>
              <w:adjustRightInd w:val="0"/>
              <w:rPr>
                <w:rFonts w:asciiTheme="minorHAnsi" w:hAnsiTheme="minorHAnsi" w:cstheme="minorHAnsi"/>
              </w:rPr>
            </w:pPr>
          </w:p>
          <w:p w14:paraId="22CD86D8" w14:textId="77777777" w:rsidR="006D3F87" w:rsidRPr="006D3F87" w:rsidRDefault="006D3F87" w:rsidP="006D3F87">
            <w:pPr>
              <w:autoSpaceDE w:val="0"/>
              <w:autoSpaceDN w:val="0"/>
              <w:adjustRightInd w:val="0"/>
              <w:rPr>
                <w:rFonts w:asciiTheme="minorHAnsi" w:hAnsiTheme="minorHAnsi" w:cstheme="minorHAnsi"/>
                <w:color w:val="0070C0"/>
              </w:rPr>
            </w:pPr>
            <w:proofErr w:type="spellStart"/>
            <w:r w:rsidRPr="006D3F87">
              <w:rPr>
                <w:rFonts w:asciiTheme="minorHAnsi" w:hAnsiTheme="minorHAnsi" w:cstheme="minorHAnsi"/>
              </w:rPr>
              <w:t>Bruggemann</w:t>
            </w:r>
            <w:proofErr w:type="spellEnd"/>
            <w:r w:rsidRPr="006D3F87">
              <w:rPr>
                <w:rFonts w:asciiTheme="minorHAnsi" w:hAnsiTheme="minorHAnsi" w:cstheme="minorHAnsi"/>
              </w:rPr>
              <w:t xml:space="preserve">, Walter. “El profeta como mediación”. En </w:t>
            </w:r>
            <w:r w:rsidRPr="006D3F87">
              <w:rPr>
                <w:rFonts w:asciiTheme="minorHAnsi" w:hAnsiTheme="minorHAnsi" w:cstheme="minorHAnsi"/>
                <w:i/>
              </w:rPr>
              <w:t xml:space="preserve">Teología del Antiguo Testamento: Un juicio a </w:t>
            </w:r>
            <w:r w:rsidRPr="006D3F87">
              <w:rPr>
                <w:rFonts w:asciiTheme="minorHAnsi" w:hAnsiTheme="minorHAnsi" w:cstheme="minorHAnsi"/>
                <w:i/>
              </w:rPr>
              <w:lastRenderedPageBreak/>
              <w:t>Yahvé</w:t>
            </w:r>
            <w:r w:rsidRPr="006D3F87">
              <w:rPr>
                <w:rFonts w:asciiTheme="minorHAnsi" w:hAnsiTheme="minorHAnsi" w:cstheme="minorHAnsi"/>
                <w:iCs/>
              </w:rPr>
              <w:t>, 653-681.</w:t>
            </w:r>
            <w:r w:rsidRPr="006D3F87">
              <w:rPr>
                <w:rFonts w:asciiTheme="minorHAnsi" w:hAnsiTheme="minorHAnsi" w:cstheme="minorHAnsi"/>
                <w:i/>
              </w:rPr>
              <w:t xml:space="preserve"> </w:t>
            </w:r>
            <w:r w:rsidRPr="006D3F87">
              <w:rPr>
                <w:rFonts w:asciiTheme="minorHAnsi" w:hAnsiTheme="minorHAnsi" w:cstheme="minorHAnsi"/>
              </w:rPr>
              <w:t xml:space="preserve">Salamanca: Ediciones Sígueme, 2007. </w:t>
            </w:r>
            <w:r w:rsidRPr="006D3F87">
              <w:rPr>
                <w:rFonts w:asciiTheme="minorHAnsi" w:hAnsiTheme="minorHAnsi" w:cstheme="minorHAnsi"/>
                <w:color w:val="0070C0"/>
              </w:rPr>
              <w:t>(clásico, última edición)</w:t>
            </w:r>
          </w:p>
          <w:p w14:paraId="41BACB8F" w14:textId="77777777" w:rsidR="006D3F87" w:rsidRPr="006D3F87" w:rsidRDefault="006D3F87" w:rsidP="006D3F87">
            <w:pPr>
              <w:autoSpaceDE w:val="0"/>
              <w:autoSpaceDN w:val="0"/>
              <w:adjustRightInd w:val="0"/>
              <w:rPr>
                <w:rFonts w:asciiTheme="minorHAnsi" w:hAnsiTheme="minorHAnsi" w:cstheme="minorHAnsi"/>
              </w:rPr>
            </w:pPr>
          </w:p>
          <w:p w14:paraId="3620048B" w14:textId="77777777" w:rsidR="006D3F87" w:rsidRPr="006D3F87" w:rsidRDefault="006D3F87" w:rsidP="006D3F87">
            <w:pPr>
              <w:autoSpaceDE w:val="0"/>
              <w:autoSpaceDN w:val="0"/>
              <w:adjustRightInd w:val="0"/>
              <w:rPr>
                <w:rFonts w:asciiTheme="minorHAnsi" w:hAnsiTheme="minorHAnsi" w:cstheme="minorHAnsi"/>
              </w:rPr>
            </w:pPr>
          </w:p>
          <w:p w14:paraId="055B08F0" w14:textId="77777777" w:rsidR="006D3F87" w:rsidRPr="006D3F87" w:rsidRDefault="006D3F87" w:rsidP="006D3F87">
            <w:pPr>
              <w:autoSpaceDE w:val="0"/>
              <w:autoSpaceDN w:val="0"/>
              <w:adjustRightInd w:val="0"/>
              <w:rPr>
                <w:rFonts w:asciiTheme="minorHAnsi" w:hAnsiTheme="minorHAnsi" w:cstheme="minorHAnsi"/>
                <w:b/>
                <w:bCs/>
                <w:color w:val="0070C0"/>
              </w:rPr>
            </w:pPr>
            <w:r w:rsidRPr="006D3F87">
              <w:rPr>
                <w:rFonts w:asciiTheme="minorHAnsi" w:hAnsiTheme="minorHAnsi" w:cstheme="minorHAnsi"/>
                <w:b/>
                <w:bCs/>
                <w:color w:val="0070C0"/>
              </w:rPr>
              <w:t>Material complementario</w:t>
            </w:r>
          </w:p>
          <w:p w14:paraId="10729AC2" w14:textId="77777777" w:rsidR="006D3F87" w:rsidRPr="006D3F87" w:rsidRDefault="006D3F87" w:rsidP="006D3F87">
            <w:pPr>
              <w:autoSpaceDE w:val="0"/>
              <w:autoSpaceDN w:val="0"/>
              <w:adjustRightInd w:val="0"/>
              <w:rPr>
                <w:rFonts w:asciiTheme="minorHAnsi" w:hAnsiTheme="minorHAnsi" w:cstheme="minorHAnsi"/>
                <w:b/>
                <w:bCs/>
                <w:color w:val="0070C0"/>
              </w:rPr>
            </w:pPr>
          </w:p>
          <w:p w14:paraId="17A7C777"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70C0"/>
              </w:rPr>
              <w:t>Guía para la participación en un glosario en la plataforma Moodle</w:t>
            </w:r>
          </w:p>
        </w:tc>
        <w:tc>
          <w:tcPr>
            <w:tcW w:w="3653" w:type="dxa"/>
          </w:tcPr>
          <w:p w14:paraId="1A9BE28B" w14:textId="77777777" w:rsidR="006D3F87" w:rsidRPr="006D3F87" w:rsidRDefault="006D3F87" w:rsidP="006D3F87">
            <w:pPr>
              <w:widowControl w:val="0"/>
              <w:numPr>
                <w:ilvl w:val="0"/>
                <w:numId w:val="290"/>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lastRenderedPageBreak/>
              <w:t>Realizar la lectura de la sesión.</w:t>
            </w:r>
          </w:p>
          <w:p w14:paraId="694EBED1" w14:textId="77777777" w:rsidR="006D3F87" w:rsidRPr="006D3F87" w:rsidRDefault="006D3F87" w:rsidP="006D3F87">
            <w:pPr>
              <w:widowControl w:val="0"/>
              <w:numPr>
                <w:ilvl w:val="0"/>
                <w:numId w:val="290"/>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Participación en la elaboración de un glosario sobre la teología profética. </w:t>
            </w:r>
          </w:p>
        </w:tc>
      </w:tr>
      <w:tr w:rsidR="006D3F87" w:rsidRPr="006D3F87" w14:paraId="6A402006" w14:textId="77777777" w:rsidTr="00104785">
        <w:trPr>
          <w:jc w:val="center"/>
        </w:trPr>
        <w:tc>
          <w:tcPr>
            <w:tcW w:w="1144" w:type="dxa"/>
          </w:tcPr>
          <w:p w14:paraId="1FD2CE49" w14:textId="77777777" w:rsidR="006D3F87" w:rsidRPr="006D3F87" w:rsidRDefault="006D3F87" w:rsidP="006D3F87">
            <w:pPr>
              <w:autoSpaceDE w:val="0"/>
              <w:autoSpaceDN w:val="0"/>
              <w:adjustRightInd w:val="0"/>
              <w:jc w:val="center"/>
              <w:rPr>
                <w:rFonts w:asciiTheme="minorHAnsi" w:hAnsiTheme="minorHAnsi" w:cstheme="minorHAnsi"/>
                <w:color w:val="000000"/>
              </w:rPr>
            </w:pPr>
          </w:p>
          <w:p w14:paraId="75408B87"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5</w:t>
            </w:r>
          </w:p>
        </w:tc>
        <w:tc>
          <w:tcPr>
            <w:tcW w:w="2395" w:type="dxa"/>
          </w:tcPr>
          <w:p w14:paraId="48359F0C"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1: Prolegómenos para una teología bíblica</w:t>
            </w:r>
          </w:p>
          <w:p w14:paraId="4C236381"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04AD2508"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1.2 Grandes corrientes teológicas en la conformación del AT y el NT</w:t>
            </w:r>
          </w:p>
          <w:p w14:paraId="01725D3B" w14:textId="77777777" w:rsidR="006D3F87" w:rsidRPr="006D3F87" w:rsidRDefault="006D3F87" w:rsidP="006D3F87">
            <w:pPr>
              <w:autoSpaceDE w:val="0"/>
              <w:autoSpaceDN w:val="0"/>
              <w:adjustRightInd w:val="0"/>
              <w:jc w:val="both"/>
              <w:rPr>
                <w:rFonts w:asciiTheme="minorHAnsi" w:hAnsiTheme="minorHAnsi" w:cstheme="minorHAnsi"/>
                <w:color w:val="000000"/>
              </w:rPr>
            </w:pPr>
          </w:p>
        </w:tc>
        <w:tc>
          <w:tcPr>
            <w:tcW w:w="3402" w:type="dxa"/>
          </w:tcPr>
          <w:p w14:paraId="1B6F5230"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18B0C64B" w14:textId="77777777" w:rsidR="006D3F87" w:rsidRPr="006D3F87" w:rsidRDefault="006D3F87" w:rsidP="006D3F87">
            <w:pPr>
              <w:autoSpaceDE w:val="0"/>
              <w:autoSpaceDN w:val="0"/>
              <w:adjustRightInd w:val="0"/>
              <w:rPr>
                <w:rFonts w:asciiTheme="minorHAnsi" w:hAnsiTheme="minorHAnsi" w:cstheme="minorHAnsi"/>
              </w:rPr>
            </w:pPr>
          </w:p>
          <w:p w14:paraId="50B3FBD5" w14:textId="77777777" w:rsidR="006D3F87" w:rsidRPr="006D3F87" w:rsidRDefault="006D3F87" w:rsidP="006D3F87">
            <w:pPr>
              <w:autoSpaceDE w:val="0"/>
              <w:autoSpaceDN w:val="0"/>
              <w:adjustRightInd w:val="0"/>
              <w:rPr>
                <w:rFonts w:asciiTheme="minorHAnsi" w:hAnsiTheme="minorHAnsi" w:cstheme="minorHAnsi"/>
                <w:color w:val="0070C0"/>
              </w:rPr>
            </w:pPr>
            <w:proofErr w:type="spellStart"/>
            <w:r w:rsidRPr="006D3F87">
              <w:rPr>
                <w:rFonts w:asciiTheme="minorHAnsi" w:hAnsiTheme="minorHAnsi" w:cstheme="minorHAnsi"/>
              </w:rPr>
              <w:t>Andiñach</w:t>
            </w:r>
            <w:proofErr w:type="spellEnd"/>
            <w:r w:rsidRPr="006D3F87">
              <w:rPr>
                <w:rFonts w:asciiTheme="minorHAnsi" w:hAnsiTheme="minorHAnsi" w:cstheme="minorHAnsi"/>
              </w:rPr>
              <w:t xml:space="preserve">, Pablo. “La sabiduría y la vida cotidiana en Proverbios”. En </w:t>
            </w:r>
            <w:r w:rsidRPr="006D3F87">
              <w:rPr>
                <w:rFonts w:asciiTheme="minorHAnsi" w:hAnsiTheme="minorHAnsi" w:cstheme="minorHAnsi"/>
                <w:i/>
                <w:iCs/>
              </w:rPr>
              <w:t>El Dios que está: Teología del Antiguo Testamento</w:t>
            </w:r>
            <w:r w:rsidRPr="006D3F87">
              <w:rPr>
                <w:rFonts w:asciiTheme="minorHAnsi" w:hAnsiTheme="minorHAnsi" w:cstheme="minorHAnsi"/>
              </w:rPr>
              <w:t>, 337-364. Estella: Verbo Divino, 2014.</w:t>
            </w:r>
            <w:r w:rsidRPr="006D3F87">
              <w:rPr>
                <w:rFonts w:asciiTheme="minorHAnsi" w:hAnsiTheme="minorHAnsi" w:cstheme="minorHAnsi"/>
                <w:color w:val="0070C0"/>
              </w:rPr>
              <w:t xml:space="preserve"> (clásico, última edición)</w:t>
            </w:r>
          </w:p>
          <w:p w14:paraId="23D0EEA3" w14:textId="77777777" w:rsidR="006D3F87" w:rsidRPr="006D3F87" w:rsidRDefault="006D3F87" w:rsidP="006D3F87">
            <w:pPr>
              <w:autoSpaceDE w:val="0"/>
              <w:autoSpaceDN w:val="0"/>
              <w:adjustRightInd w:val="0"/>
              <w:rPr>
                <w:rFonts w:asciiTheme="minorHAnsi" w:hAnsiTheme="minorHAnsi" w:cstheme="minorHAnsi"/>
              </w:rPr>
            </w:pPr>
          </w:p>
          <w:p w14:paraId="215FB3B1" w14:textId="77777777" w:rsidR="006D3F87" w:rsidRPr="006D3F87" w:rsidRDefault="006D3F87" w:rsidP="006D3F87">
            <w:pPr>
              <w:autoSpaceDE w:val="0"/>
              <w:autoSpaceDN w:val="0"/>
              <w:adjustRightInd w:val="0"/>
              <w:rPr>
                <w:rFonts w:asciiTheme="minorHAnsi" w:hAnsiTheme="minorHAnsi" w:cstheme="minorHAnsi"/>
              </w:rPr>
            </w:pPr>
          </w:p>
          <w:p w14:paraId="6F7D43EC"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rPr>
              <w:t xml:space="preserve">Baumann </w:t>
            </w:r>
            <w:proofErr w:type="spellStart"/>
            <w:r w:rsidRPr="006D3F87">
              <w:rPr>
                <w:rFonts w:asciiTheme="minorHAnsi" w:hAnsiTheme="minorHAnsi" w:cstheme="minorHAnsi"/>
              </w:rPr>
              <w:t>Philipps</w:t>
            </w:r>
            <w:proofErr w:type="spellEnd"/>
            <w:r w:rsidRPr="006D3F87">
              <w:rPr>
                <w:rFonts w:asciiTheme="minorHAnsi" w:hAnsiTheme="minorHAnsi" w:cstheme="minorHAnsi"/>
              </w:rPr>
              <w:t xml:space="preserve">, </w:t>
            </w:r>
            <w:proofErr w:type="spellStart"/>
            <w:r w:rsidRPr="006D3F87">
              <w:rPr>
                <w:rFonts w:asciiTheme="minorHAnsi" w:hAnsiTheme="minorHAnsi" w:cstheme="minorHAnsi"/>
              </w:rPr>
              <w:t>Gerlinde</w:t>
            </w:r>
            <w:proofErr w:type="spellEnd"/>
            <w:r w:rsidRPr="006D3F87">
              <w:rPr>
                <w:rFonts w:asciiTheme="minorHAnsi" w:hAnsiTheme="minorHAnsi" w:cstheme="minorHAnsi"/>
              </w:rPr>
              <w:t xml:space="preserve">. “La figura de la sabiduría: contextos, significados, teología”. En </w:t>
            </w:r>
            <w:r w:rsidRPr="006D3F87">
              <w:rPr>
                <w:rFonts w:asciiTheme="minorHAnsi" w:hAnsiTheme="minorHAnsi" w:cstheme="minorHAnsi"/>
                <w:i/>
                <w:iCs/>
              </w:rPr>
              <w:t>Los escritos y otros libros sapienciales</w:t>
            </w:r>
            <w:r w:rsidRPr="006D3F87">
              <w:rPr>
                <w:rFonts w:asciiTheme="minorHAnsi" w:hAnsiTheme="minorHAnsi" w:cstheme="minorHAnsi"/>
              </w:rPr>
              <w:t xml:space="preserve">, editado por Nuria Calduch-Benages y </w:t>
            </w:r>
            <w:proofErr w:type="spellStart"/>
            <w:r w:rsidRPr="006D3F87">
              <w:rPr>
                <w:rFonts w:asciiTheme="minorHAnsi" w:hAnsiTheme="minorHAnsi" w:cstheme="minorHAnsi"/>
              </w:rPr>
              <w:t>Christl</w:t>
            </w:r>
            <w:proofErr w:type="spellEnd"/>
            <w:r w:rsidRPr="006D3F87">
              <w:rPr>
                <w:rFonts w:asciiTheme="minorHAnsi" w:hAnsiTheme="minorHAnsi" w:cstheme="minorHAnsi"/>
              </w:rPr>
              <w:t xml:space="preserve"> Maier, 67-73. Estella: Verbo Divino, 2013. </w:t>
            </w:r>
            <w:r w:rsidRPr="006D3F87">
              <w:rPr>
                <w:rFonts w:asciiTheme="minorHAnsi" w:hAnsiTheme="minorHAnsi" w:cstheme="minorHAnsi"/>
                <w:color w:val="0070C0"/>
              </w:rPr>
              <w:t>(clásico, última edición)</w:t>
            </w:r>
          </w:p>
          <w:p w14:paraId="33A39E89" w14:textId="77777777" w:rsidR="006D3F87" w:rsidRPr="006D3F87" w:rsidRDefault="006D3F87" w:rsidP="006D3F87">
            <w:pPr>
              <w:autoSpaceDE w:val="0"/>
              <w:autoSpaceDN w:val="0"/>
              <w:adjustRightInd w:val="0"/>
              <w:rPr>
                <w:rFonts w:asciiTheme="minorHAnsi" w:hAnsiTheme="minorHAnsi" w:cstheme="minorHAnsi"/>
              </w:rPr>
            </w:pPr>
          </w:p>
          <w:p w14:paraId="2705B388" w14:textId="77777777" w:rsidR="006D3F87" w:rsidRPr="006D3F87" w:rsidRDefault="006D3F87" w:rsidP="006D3F87">
            <w:pPr>
              <w:autoSpaceDE w:val="0"/>
              <w:autoSpaceDN w:val="0"/>
              <w:adjustRightInd w:val="0"/>
              <w:rPr>
                <w:rFonts w:asciiTheme="minorHAnsi" w:hAnsiTheme="minorHAnsi" w:cstheme="minorHAnsi"/>
              </w:rPr>
            </w:pPr>
          </w:p>
          <w:p w14:paraId="20C52001" w14:textId="77777777" w:rsidR="006D3F87" w:rsidRPr="006D3F87" w:rsidRDefault="006D3F87" w:rsidP="006D3F87">
            <w:pPr>
              <w:autoSpaceDE w:val="0"/>
              <w:autoSpaceDN w:val="0"/>
              <w:adjustRightInd w:val="0"/>
              <w:rPr>
                <w:rFonts w:asciiTheme="minorHAnsi" w:hAnsiTheme="minorHAnsi" w:cstheme="minorHAnsi"/>
                <w:b/>
                <w:bCs/>
                <w:color w:val="0070C0"/>
              </w:rPr>
            </w:pPr>
            <w:r w:rsidRPr="006D3F87">
              <w:rPr>
                <w:rFonts w:asciiTheme="minorHAnsi" w:hAnsiTheme="minorHAnsi" w:cstheme="minorHAnsi"/>
                <w:b/>
                <w:bCs/>
                <w:color w:val="0070C0"/>
              </w:rPr>
              <w:t>Material complementario</w:t>
            </w:r>
          </w:p>
          <w:p w14:paraId="456997A9" w14:textId="77777777" w:rsidR="006D3F87" w:rsidRPr="006D3F87" w:rsidRDefault="006D3F87" w:rsidP="006D3F87">
            <w:pPr>
              <w:autoSpaceDE w:val="0"/>
              <w:autoSpaceDN w:val="0"/>
              <w:adjustRightInd w:val="0"/>
              <w:rPr>
                <w:rFonts w:asciiTheme="minorHAnsi" w:hAnsiTheme="minorHAnsi" w:cstheme="minorHAnsi"/>
                <w:b/>
                <w:bCs/>
                <w:color w:val="0070C0"/>
              </w:rPr>
            </w:pPr>
          </w:p>
          <w:p w14:paraId="7EEC0B4D"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Guía para la participación en un foro en la plataforma Moodle</w:t>
            </w:r>
          </w:p>
          <w:p w14:paraId="407A922B" w14:textId="77777777" w:rsidR="006D3F87" w:rsidRPr="006D3F87" w:rsidRDefault="006D3F87" w:rsidP="006D3F87">
            <w:pPr>
              <w:autoSpaceDE w:val="0"/>
              <w:autoSpaceDN w:val="0"/>
              <w:adjustRightInd w:val="0"/>
              <w:rPr>
                <w:rFonts w:asciiTheme="minorHAnsi" w:hAnsiTheme="minorHAnsi" w:cstheme="minorHAnsi"/>
                <w:color w:val="0070C0"/>
              </w:rPr>
            </w:pPr>
          </w:p>
          <w:p w14:paraId="39464593"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color w:val="0070C0"/>
              </w:rPr>
              <w:t xml:space="preserve">Guía para la participación mediante la herramienta Big Blue </w:t>
            </w:r>
            <w:proofErr w:type="spellStart"/>
            <w:r w:rsidRPr="006D3F87">
              <w:rPr>
                <w:rFonts w:asciiTheme="minorHAnsi" w:hAnsiTheme="minorHAnsi" w:cstheme="minorHAnsi"/>
                <w:color w:val="0070C0"/>
              </w:rPr>
              <w:t>Button</w:t>
            </w:r>
            <w:proofErr w:type="spellEnd"/>
            <w:r w:rsidRPr="006D3F87">
              <w:rPr>
                <w:rFonts w:asciiTheme="minorHAnsi" w:hAnsiTheme="minorHAnsi" w:cstheme="minorHAnsi"/>
                <w:color w:val="0070C0"/>
              </w:rPr>
              <w:t xml:space="preserve"> en la plataforma Moodle</w:t>
            </w:r>
          </w:p>
          <w:p w14:paraId="57E7FCF4"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653" w:type="dxa"/>
          </w:tcPr>
          <w:p w14:paraId="79E013B3" w14:textId="77777777" w:rsidR="006D3F87" w:rsidRPr="006D3F87" w:rsidRDefault="006D3F87" w:rsidP="006D3F87">
            <w:pPr>
              <w:widowControl w:val="0"/>
              <w:numPr>
                <w:ilvl w:val="0"/>
                <w:numId w:val="291"/>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Realizar las lecturas de la sesión.</w:t>
            </w:r>
          </w:p>
          <w:p w14:paraId="2460ABEC" w14:textId="77777777" w:rsidR="006D3F87" w:rsidRPr="006D3F87" w:rsidRDefault="006D3F87" w:rsidP="006D3F87">
            <w:pPr>
              <w:widowControl w:val="0"/>
              <w:numPr>
                <w:ilvl w:val="0"/>
                <w:numId w:val="291"/>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rPr>
              <w:t>Participación en el foro temático: La teología sapiencial.</w:t>
            </w:r>
          </w:p>
          <w:p w14:paraId="2BB033CF" w14:textId="77777777" w:rsidR="006D3F87" w:rsidRPr="006D3F87" w:rsidRDefault="006D3F87" w:rsidP="006D3F87">
            <w:pPr>
              <w:widowControl w:val="0"/>
              <w:numPr>
                <w:ilvl w:val="0"/>
                <w:numId w:val="291"/>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Exposición docente en un encuentro sincrónico virtual. </w:t>
            </w:r>
          </w:p>
          <w:p w14:paraId="21C05315" w14:textId="77777777" w:rsidR="006D3F87" w:rsidRPr="006D3F87" w:rsidRDefault="006D3F87" w:rsidP="006D3F87">
            <w:pPr>
              <w:widowControl w:val="0"/>
              <w:numPr>
                <w:ilvl w:val="0"/>
                <w:numId w:val="291"/>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Asignación de los temas para la investigación grupal.</w:t>
            </w:r>
          </w:p>
        </w:tc>
      </w:tr>
      <w:tr w:rsidR="006D3F87" w:rsidRPr="006D3F87" w14:paraId="05A8DA5C" w14:textId="77777777" w:rsidTr="00104785">
        <w:trPr>
          <w:jc w:val="center"/>
        </w:trPr>
        <w:tc>
          <w:tcPr>
            <w:tcW w:w="1144" w:type="dxa"/>
          </w:tcPr>
          <w:p w14:paraId="39196663" w14:textId="77777777" w:rsidR="006D3F87" w:rsidRPr="006D3F87" w:rsidRDefault="006D3F87" w:rsidP="006D3F87">
            <w:pPr>
              <w:autoSpaceDE w:val="0"/>
              <w:autoSpaceDN w:val="0"/>
              <w:adjustRightInd w:val="0"/>
              <w:jc w:val="center"/>
              <w:rPr>
                <w:rFonts w:asciiTheme="minorHAnsi" w:hAnsiTheme="minorHAnsi" w:cstheme="minorHAnsi"/>
                <w:color w:val="000000"/>
              </w:rPr>
            </w:pPr>
          </w:p>
          <w:p w14:paraId="1E79C67F"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6</w:t>
            </w:r>
          </w:p>
        </w:tc>
        <w:tc>
          <w:tcPr>
            <w:tcW w:w="2395" w:type="dxa"/>
          </w:tcPr>
          <w:p w14:paraId="40C0CA82"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1: Prolegómenos para una teología bíblica</w:t>
            </w:r>
          </w:p>
          <w:p w14:paraId="3F25A4EF"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22353826"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1.2 Grandes corrientes teológicas en la conformación del AT y el NT</w:t>
            </w:r>
          </w:p>
          <w:p w14:paraId="6EB7BCAE" w14:textId="77777777" w:rsidR="006D3F87" w:rsidRPr="006D3F87" w:rsidRDefault="006D3F87" w:rsidP="006D3F87">
            <w:pPr>
              <w:autoSpaceDE w:val="0"/>
              <w:autoSpaceDN w:val="0"/>
              <w:adjustRightInd w:val="0"/>
              <w:jc w:val="both"/>
              <w:rPr>
                <w:rFonts w:asciiTheme="minorHAnsi" w:hAnsiTheme="minorHAnsi" w:cstheme="minorHAnsi"/>
                <w:color w:val="000000"/>
              </w:rPr>
            </w:pPr>
          </w:p>
        </w:tc>
        <w:tc>
          <w:tcPr>
            <w:tcW w:w="3402" w:type="dxa"/>
          </w:tcPr>
          <w:p w14:paraId="19CE45DE"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195B036F" w14:textId="77777777" w:rsidR="006D3F87" w:rsidRPr="006D3F87" w:rsidRDefault="006D3F87" w:rsidP="006D3F87">
            <w:pPr>
              <w:autoSpaceDE w:val="0"/>
              <w:autoSpaceDN w:val="0"/>
              <w:adjustRightInd w:val="0"/>
              <w:rPr>
                <w:rFonts w:asciiTheme="minorHAnsi" w:hAnsiTheme="minorHAnsi" w:cstheme="minorHAnsi"/>
              </w:rPr>
            </w:pPr>
          </w:p>
          <w:p w14:paraId="539F6C20"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rPr>
              <w:t xml:space="preserve">Piñero, Antonio. “Resultados”. En </w:t>
            </w:r>
            <w:r w:rsidRPr="006D3F87">
              <w:rPr>
                <w:rFonts w:asciiTheme="minorHAnsi" w:hAnsiTheme="minorHAnsi" w:cstheme="minorHAnsi"/>
                <w:i/>
                <w:iCs/>
              </w:rPr>
              <w:t>Guía para entender a Pablo de Tarso: Una interpretación del pensamiento paulino</w:t>
            </w:r>
            <w:r w:rsidRPr="006D3F87">
              <w:rPr>
                <w:rFonts w:asciiTheme="minorHAnsi" w:hAnsiTheme="minorHAnsi" w:cstheme="minorHAnsi"/>
              </w:rPr>
              <w:t xml:space="preserve">, 527-558. Madrid: Trotta, 2018. </w:t>
            </w:r>
            <w:r w:rsidRPr="006D3F87">
              <w:rPr>
                <w:rFonts w:asciiTheme="minorHAnsi" w:hAnsiTheme="minorHAnsi" w:cstheme="minorHAnsi"/>
                <w:color w:val="0070C0"/>
              </w:rPr>
              <w:t>(clásico, última edición)</w:t>
            </w:r>
          </w:p>
          <w:p w14:paraId="2603E74F" w14:textId="77777777" w:rsidR="006D3F87" w:rsidRPr="006D3F87" w:rsidRDefault="006D3F87" w:rsidP="006D3F87">
            <w:pPr>
              <w:autoSpaceDE w:val="0"/>
              <w:autoSpaceDN w:val="0"/>
              <w:adjustRightInd w:val="0"/>
              <w:rPr>
                <w:rFonts w:asciiTheme="minorHAnsi" w:hAnsiTheme="minorHAnsi" w:cstheme="minorHAnsi"/>
              </w:rPr>
            </w:pPr>
          </w:p>
          <w:p w14:paraId="7ECD99D0" w14:textId="77777777" w:rsidR="006D3F87" w:rsidRPr="006D3F87" w:rsidRDefault="006D3F87" w:rsidP="006D3F87">
            <w:pPr>
              <w:autoSpaceDE w:val="0"/>
              <w:autoSpaceDN w:val="0"/>
              <w:adjustRightInd w:val="0"/>
              <w:rPr>
                <w:rFonts w:asciiTheme="minorHAnsi" w:hAnsiTheme="minorHAnsi" w:cstheme="minorHAnsi"/>
              </w:rPr>
            </w:pPr>
          </w:p>
          <w:p w14:paraId="3092B1C8" w14:textId="77777777" w:rsidR="006D3F87" w:rsidRPr="006D3F87" w:rsidRDefault="006D3F87" w:rsidP="006D3F87">
            <w:pPr>
              <w:autoSpaceDE w:val="0"/>
              <w:autoSpaceDN w:val="0"/>
              <w:adjustRightInd w:val="0"/>
              <w:rPr>
                <w:rFonts w:asciiTheme="minorHAnsi" w:hAnsiTheme="minorHAnsi" w:cstheme="minorHAnsi"/>
                <w:b/>
                <w:bCs/>
              </w:rPr>
            </w:pPr>
            <w:r w:rsidRPr="006D3F87">
              <w:rPr>
                <w:rFonts w:asciiTheme="minorHAnsi" w:hAnsiTheme="minorHAnsi" w:cstheme="minorHAnsi"/>
                <w:b/>
                <w:bCs/>
              </w:rPr>
              <w:lastRenderedPageBreak/>
              <w:t>Material complementario</w:t>
            </w:r>
          </w:p>
          <w:p w14:paraId="06BB0AD2" w14:textId="77777777" w:rsidR="006D3F87" w:rsidRPr="006D3F87" w:rsidRDefault="006D3F87" w:rsidP="006D3F87">
            <w:pPr>
              <w:autoSpaceDE w:val="0"/>
              <w:autoSpaceDN w:val="0"/>
              <w:adjustRightInd w:val="0"/>
              <w:rPr>
                <w:rFonts w:asciiTheme="minorHAnsi" w:hAnsiTheme="minorHAnsi" w:cstheme="minorHAnsi"/>
                <w:b/>
                <w:bCs/>
              </w:rPr>
            </w:pPr>
          </w:p>
          <w:p w14:paraId="509AC080"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rPr>
              <w:t xml:space="preserve">Belli, Filippo. “El uso de las escrituras de Israel en Rom 9-11”. </w:t>
            </w:r>
            <w:r w:rsidRPr="006D3F87">
              <w:rPr>
                <w:rFonts w:asciiTheme="minorHAnsi" w:hAnsiTheme="minorHAnsi" w:cstheme="minorHAnsi"/>
                <w:i/>
                <w:iCs/>
              </w:rPr>
              <w:t xml:space="preserve">Reseña Bíblica </w:t>
            </w:r>
            <w:r w:rsidRPr="006D3F87">
              <w:rPr>
                <w:rFonts w:asciiTheme="minorHAnsi" w:hAnsiTheme="minorHAnsi" w:cstheme="minorHAnsi"/>
              </w:rPr>
              <w:t>n.63 (2009): 15-24.</w:t>
            </w:r>
          </w:p>
          <w:p w14:paraId="5BD7E0C4"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rPr>
              <w:t xml:space="preserve">Carbajosa, Ignacio. “Pablo y las escrituras santas de Israel”. </w:t>
            </w:r>
            <w:r w:rsidRPr="006D3F87">
              <w:rPr>
                <w:rFonts w:asciiTheme="minorHAnsi" w:hAnsiTheme="minorHAnsi" w:cstheme="minorHAnsi"/>
                <w:i/>
                <w:iCs/>
              </w:rPr>
              <w:t xml:space="preserve">Reseña Bíblica </w:t>
            </w:r>
            <w:r w:rsidRPr="006D3F87">
              <w:rPr>
                <w:rFonts w:asciiTheme="minorHAnsi" w:hAnsiTheme="minorHAnsi" w:cstheme="minorHAnsi"/>
              </w:rPr>
              <w:t>n.63 (2009): 5-14.</w:t>
            </w:r>
          </w:p>
          <w:p w14:paraId="03D6991F" w14:textId="77777777" w:rsidR="006D3F87" w:rsidRPr="006D3F87" w:rsidRDefault="006D3F87" w:rsidP="006D3F87">
            <w:pPr>
              <w:autoSpaceDE w:val="0"/>
              <w:autoSpaceDN w:val="0"/>
              <w:adjustRightInd w:val="0"/>
              <w:rPr>
                <w:rFonts w:asciiTheme="minorHAnsi" w:hAnsiTheme="minorHAnsi" w:cstheme="minorHAnsi"/>
              </w:rPr>
            </w:pPr>
          </w:p>
          <w:p w14:paraId="5ABCEC8A"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rPr>
              <w:t xml:space="preserve">Carbajosa, Ignacio. “Pablo y las escrituras santas de Israel”. </w:t>
            </w:r>
            <w:r w:rsidRPr="006D3F87">
              <w:rPr>
                <w:rFonts w:asciiTheme="minorHAnsi" w:hAnsiTheme="minorHAnsi" w:cstheme="minorHAnsi"/>
                <w:i/>
                <w:iCs/>
              </w:rPr>
              <w:t xml:space="preserve">Reseña Bíblica </w:t>
            </w:r>
            <w:r w:rsidRPr="006D3F87">
              <w:rPr>
                <w:rFonts w:asciiTheme="minorHAnsi" w:hAnsiTheme="minorHAnsi" w:cstheme="minorHAnsi"/>
              </w:rPr>
              <w:t>n.63 (2009): 5-14.</w:t>
            </w:r>
          </w:p>
          <w:p w14:paraId="1CCB3F67" w14:textId="77777777" w:rsidR="006D3F87" w:rsidRPr="006D3F87" w:rsidRDefault="006D3F87" w:rsidP="006D3F87">
            <w:pPr>
              <w:autoSpaceDE w:val="0"/>
              <w:autoSpaceDN w:val="0"/>
              <w:adjustRightInd w:val="0"/>
              <w:rPr>
                <w:rFonts w:asciiTheme="minorHAnsi" w:hAnsiTheme="minorHAnsi" w:cstheme="minorHAnsi"/>
              </w:rPr>
            </w:pPr>
          </w:p>
          <w:p w14:paraId="3C4C2105"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rPr>
              <w:t xml:space="preserve">Díaz Rodelas, Juan Miguel. “La ley de Israel y el apóstol de los gentiles”. </w:t>
            </w:r>
            <w:r w:rsidRPr="006D3F87">
              <w:rPr>
                <w:rFonts w:asciiTheme="minorHAnsi" w:hAnsiTheme="minorHAnsi" w:cstheme="minorHAnsi"/>
                <w:i/>
                <w:iCs/>
              </w:rPr>
              <w:t xml:space="preserve">Reseña Bíblica </w:t>
            </w:r>
            <w:r w:rsidRPr="006D3F87">
              <w:rPr>
                <w:rFonts w:asciiTheme="minorHAnsi" w:hAnsiTheme="minorHAnsi" w:cstheme="minorHAnsi"/>
              </w:rPr>
              <w:t>n.63 (2009):25-34.</w:t>
            </w:r>
          </w:p>
          <w:p w14:paraId="4F9B850C" w14:textId="77777777" w:rsidR="006D3F87" w:rsidRPr="006D3F87" w:rsidRDefault="006D3F87" w:rsidP="006D3F87">
            <w:pPr>
              <w:autoSpaceDE w:val="0"/>
              <w:autoSpaceDN w:val="0"/>
              <w:adjustRightInd w:val="0"/>
              <w:rPr>
                <w:rFonts w:asciiTheme="minorHAnsi" w:hAnsiTheme="minorHAnsi" w:cstheme="minorHAnsi"/>
                <w:color w:val="000000"/>
              </w:rPr>
            </w:pPr>
          </w:p>
          <w:p w14:paraId="1C4BFB19"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Guía para la elaboración de una reseña crítica de lectura</w:t>
            </w:r>
          </w:p>
          <w:p w14:paraId="29ECAA7A" w14:textId="77777777" w:rsidR="006D3F87" w:rsidRPr="006D3F87" w:rsidRDefault="006D3F87" w:rsidP="006D3F87">
            <w:pPr>
              <w:autoSpaceDE w:val="0"/>
              <w:autoSpaceDN w:val="0"/>
              <w:adjustRightInd w:val="0"/>
              <w:rPr>
                <w:rFonts w:asciiTheme="minorHAnsi" w:hAnsiTheme="minorHAnsi" w:cstheme="minorHAnsi"/>
                <w:color w:val="0070C0"/>
              </w:rPr>
            </w:pPr>
          </w:p>
        </w:tc>
        <w:tc>
          <w:tcPr>
            <w:tcW w:w="3653" w:type="dxa"/>
          </w:tcPr>
          <w:p w14:paraId="7754CD3A" w14:textId="77777777" w:rsidR="006D3F87" w:rsidRPr="006D3F87" w:rsidRDefault="006D3F87" w:rsidP="006D3F87">
            <w:pPr>
              <w:widowControl w:val="0"/>
              <w:numPr>
                <w:ilvl w:val="0"/>
                <w:numId w:val="292"/>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lastRenderedPageBreak/>
              <w:t>Realizar la lectura de la sesión.</w:t>
            </w:r>
          </w:p>
          <w:p w14:paraId="0B523225" w14:textId="77777777" w:rsidR="006D3F87" w:rsidRPr="006D3F87" w:rsidRDefault="006D3F87" w:rsidP="006D3F87">
            <w:pPr>
              <w:widowControl w:val="0"/>
              <w:numPr>
                <w:ilvl w:val="0"/>
                <w:numId w:val="292"/>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Elaboración de una reseña crítica de la lectura. </w:t>
            </w:r>
          </w:p>
          <w:p w14:paraId="6B5A6385" w14:textId="77777777" w:rsidR="006D3F87" w:rsidRPr="006D3F87" w:rsidRDefault="006D3F87" w:rsidP="006D3F87">
            <w:pPr>
              <w:widowControl w:val="0"/>
              <w:numPr>
                <w:ilvl w:val="0"/>
                <w:numId w:val="292"/>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Continuar con el desarrollo de la investigación grupal. </w:t>
            </w:r>
          </w:p>
        </w:tc>
      </w:tr>
      <w:tr w:rsidR="006D3F87" w:rsidRPr="006D3F87" w14:paraId="48E23763" w14:textId="77777777" w:rsidTr="00104785">
        <w:trPr>
          <w:jc w:val="center"/>
        </w:trPr>
        <w:tc>
          <w:tcPr>
            <w:tcW w:w="1144" w:type="dxa"/>
          </w:tcPr>
          <w:p w14:paraId="39CDA469" w14:textId="77777777" w:rsidR="006D3F87" w:rsidRPr="006D3F87" w:rsidRDefault="006D3F87" w:rsidP="006D3F87">
            <w:pPr>
              <w:autoSpaceDE w:val="0"/>
              <w:autoSpaceDN w:val="0"/>
              <w:adjustRightInd w:val="0"/>
              <w:jc w:val="center"/>
              <w:rPr>
                <w:rFonts w:asciiTheme="minorHAnsi" w:hAnsiTheme="minorHAnsi" w:cstheme="minorHAnsi"/>
                <w:color w:val="000000"/>
              </w:rPr>
            </w:pPr>
          </w:p>
          <w:p w14:paraId="21291156"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7</w:t>
            </w:r>
          </w:p>
        </w:tc>
        <w:tc>
          <w:tcPr>
            <w:tcW w:w="2395" w:type="dxa"/>
          </w:tcPr>
          <w:p w14:paraId="3F8AC4C4"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1: Prolegómenos para una teología bíblica</w:t>
            </w:r>
          </w:p>
          <w:p w14:paraId="49AB79B4"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5268DAD0"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1.2 Grandes corrientes teológicas en la conformación del AT y el NT</w:t>
            </w:r>
          </w:p>
          <w:p w14:paraId="1B9F3109" w14:textId="77777777" w:rsidR="006D3F87" w:rsidRPr="006D3F87" w:rsidRDefault="006D3F87" w:rsidP="006D3F87">
            <w:pPr>
              <w:autoSpaceDE w:val="0"/>
              <w:autoSpaceDN w:val="0"/>
              <w:adjustRightInd w:val="0"/>
              <w:jc w:val="both"/>
              <w:rPr>
                <w:rFonts w:asciiTheme="minorHAnsi" w:hAnsiTheme="minorHAnsi" w:cstheme="minorHAnsi"/>
                <w:color w:val="000000"/>
              </w:rPr>
            </w:pPr>
          </w:p>
        </w:tc>
        <w:tc>
          <w:tcPr>
            <w:tcW w:w="3402" w:type="dxa"/>
          </w:tcPr>
          <w:p w14:paraId="4528E715"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4D35EF0A" w14:textId="77777777" w:rsidR="006D3F87" w:rsidRPr="006D3F87" w:rsidRDefault="006D3F87" w:rsidP="006D3F87">
            <w:pPr>
              <w:autoSpaceDE w:val="0"/>
              <w:autoSpaceDN w:val="0"/>
              <w:adjustRightInd w:val="0"/>
              <w:rPr>
                <w:rFonts w:asciiTheme="minorHAnsi" w:hAnsiTheme="minorHAnsi" w:cstheme="minorHAnsi"/>
              </w:rPr>
            </w:pPr>
          </w:p>
          <w:p w14:paraId="29202761" w14:textId="77777777" w:rsidR="006D3F87" w:rsidRPr="006D3F87" w:rsidRDefault="006D3F87" w:rsidP="006D3F87">
            <w:pPr>
              <w:autoSpaceDE w:val="0"/>
              <w:autoSpaceDN w:val="0"/>
              <w:adjustRightInd w:val="0"/>
              <w:rPr>
                <w:rFonts w:asciiTheme="minorHAnsi" w:hAnsiTheme="minorHAnsi" w:cstheme="minorHAnsi"/>
                <w:color w:val="0070C0"/>
              </w:rPr>
            </w:pPr>
            <w:proofErr w:type="spellStart"/>
            <w:r w:rsidRPr="006D3F87">
              <w:rPr>
                <w:rFonts w:asciiTheme="minorHAnsi" w:hAnsiTheme="minorHAnsi" w:cstheme="minorHAnsi"/>
              </w:rPr>
              <w:t>Childs</w:t>
            </w:r>
            <w:proofErr w:type="spellEnd"/>
            <w:r w:rsidRPr="006D3F87">
              <w:rPr>
                <w:rFonts w:asciiTheme="minorHAnsi" w:hAnsiTheme="minorHAnsi" w:cstheme="minorHAnsi"/>
              </w:rPr>
              <w:t xml:space="preserve">, </w:t>
            </w:r>
            <w:proofErr w:type="spellStart"/>
            <w:r w:rsidRPr="006D3F87">
              <w:rPr>
                <w:rFonts w:asciiTheme="minorHAnsi" w:hAnsiTheme="minorHAnsi" w:cstheme="minorHAnsi"/>
              </w:rPr>
              <w:t>Brevard</w:t>
            </w:r>
            <w:proofErr w:type="spellEnd"/>
            <w:r w:rsidRPr="006D3F87">
              <w:rPr>
                <w:rFonts w:asciiTheme="minorHAnsi" w:hAnsiTheme="minorHAnsi" w:cstheme="minorHAnsi"/>
              </w:rPr>
              <w:t xml:space="preserve">. “Los cuatro evangelios”. En </w:t>
            </w:r>
            <w:r w:rsidRPr="006D3F87">
              <w:rPr>
                <w:rFonts w:asciiTheme="minorHAnsi" w:hAnsiTheme="minorHAnsi" w:cstheme="minorHAnsi"/>
                <w:i/>
                <w:iCs/>
              </w:rPr>
              <w:t>Teología bíblica del Antiguo y del Nuevo Testamento: Reflexión teológica sobre la Biblia cristiana</w:t>
            </w:r>
            <w:r w:rsidRPr="006D3F87">
              <w:rPr>
                <w:rFonts w:asciiTheme="minorHAnsi" w:hAnsiTheme="minorHAnsi" w:cstheme="minorHAnsi"/>
              </w:rPr>
              <w:t xml:space="preserve">, 279-303. Salamanca: Ediciones Sígueme, 2011. </w:t>
            </w:r>
            <w:r w:rsidRPr="006D3F87">
              <w:rPr>
                <w:rFonts w:asciiTheme="minorHAnsi" w:hAnsiTheme="minorHAnsi" w:cstheme="minorHAnsi"/>
                <w:color w:val="0070C0"/>
              </w:rPr>
              <w:t>(clásico, última edición)</w:t>
            </w:r>
          </w:p>
          <w:p w14:paraId="5193786C"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653" w:type="dxa"/>
          </w:tcPr>
          <w:p w14:paraId="217FAC51" w14:textId="77777777" w:rsidR="006D3F87" w:rsidRPr="006D3F87" w:rsidRDefault="006D3F87" w:rsidP="006D3F87">
            <w:pPr>
              <w:widowControl w:val="0"/>
              <w:numPr>
                <w:ilvl w:val="0"/>
                <w:numId w:val="293"/>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Realizar la lectura de la sesión.</w:t>
            </w:r>
          </w:p>
          <w:p w14:paraId="3A02542D" w14:textId="77777777" w:rsidR="006D3F87" w:rsidRPr="006D3F87" w:rsidRDefault="006D3F87" w:rsidP="006D3F87">
            <w:pPr>
              <w:widowControl w:val="0"/>
              <w:numPr>
                <w:ilvl w:val="0"/>
                <w:numId w:val="293"/>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Elaboración de un cuadro sinóptico sobre las teologías de los evangelios (tarea analítica 1). </w:t>
            </w:r>
          </w:p>
          <w:p w14:paraId="06641765" w14:textId="77777777" w:rsidR="006D3F87" w:rsidRPr="006D3F87" w:rsidRDefault="006D3F87" w:rsidP="006D3F87">
            <w:pPr>
              <w:widowControl w:val="0"/>
              <w:numPr>
                <w:ilvl w:val="0"/>
                <w:numId w:val="293"/>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Continuar con el desarrollo de la investigación grupal. </w:t>
            </w:r>
          </w:p>
        </w:tc>
      </w:tr>
      <w:tr w:rsidR="006D3F87" w:rsidRPr="006D3F87" w14:paraId="61EA6751" w14:textId="77777777" w:rsidTr="00104785">
        <w:trPr>
          <w:jc w:val="center"/>
        </w:trPr>
        <w:tc>
          <w:tcPr>
            <w:tcW w:w="1144" w:type="dxa"/>
          </w:tcPr>
          <w:p w14:paraId="2973A590" w14:textId="77777777" w:rsidR="006D3F87" w:rsidRPr="006D3F87" w:rsidRDefault="006D3F87" w:rsidP="006D3F87">
            <w:pPr>
              <w:autoSpaceDE w:val="0"/>
              <w:autoSpaceDN w:val="0"/>
              <w:adjustRightInd w:val="0"/>
              <w:jc w:val="center"/>
              <w:rPr>
                <w:rFonts w:asciiTheme="minorHAnsi" w:hAnsiTheme="minorHAnsi" w:cstheme="minorHAnsi"/>
                <w:color w:val="000000"/>
              </w:rPr>
            </w:pPr>
          </w:p>
          <w:p w14:paraId="54A33B8F"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8</w:t>
            </w:r>
          </w:p>
        </w:tc>
        <w:tc>
          <w:tcPr>
            <w:tcW w:w="2395" w:type="dxa"/>
          </w:tcPr>
          <w:p w14:paraId="1530CA46"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1: Prolegómenos para una teología bíblica</w:t>
            </w:r>
          </w:p>
          <w:p w14:paraId="0BCC936F"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4240BF0C"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1.2 Grandes corrientes teológicas en la conformación del AT y el NT</w:t>
            </w:r>
          </w:p>
          <w:p w14:paraId="48EE1244"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402" w:type="dxa"/>
          </w:tcPr>
          <w:p w14:paraId="703F8B8C"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50D979B0" w14:textId="77777777" w:rsidR="006D3F87" w:rsidRPr="006D3F87" w:rsidRDefault="006D3F87" w:rsidP="006D3F87">
            <w:pPr>
              <w:autoSpaceDE w:val="0"/>
              <w:autoSpaceDN w:val="0"/>
              <w:adjustRightInd w:val="0"/>
              <w:rPr>
                <w:rFonts w:asciiTheme="minorHAnsi" w:hAnsiTheme="minorHAnsi" w:cstheme="minorHAnsi"/>
              </w:rPr>
            </w:pPr>
          </w:p>
          <w:p w14:paraId="421E2A48" w14:textId="77777777" w:rsidR="006D3F87" w:rsidRPr="006D3F87" w:rsidRDefault="006D3F87" w:rsidP="006D3F87">
            <w:pPr>
              <w:autoSpaceDE w:val="0"/>
              <w:autoSpaceDN w:val="0"/>
              <w:adjustRightInd w:val="0"/>
              <w:rPr>
                <w:rFonts w:asciiTheme="minorHAnsi" w:hAnsiTheme="minorHAnsi" w:cstheme="minorHAnsi"/>
                <w:color w:val="0070C0"/>
              </w:rPr>
            </w:pPr>
            <w:proofErr w:type="spellStart"/>
            <w:r w:rsidRPr="006D3F87">
              <w:rPr>
                <w:rFonts w:asciiTheme="minorHAnsi" w:hAnsiTheme="minorHAnsi" w:cstheme="minorHAnsi"/>
              </w:rPr>
              <w:t>Cuvilier</w:t>
            </w:r>
            <w:proofErr w:type="spellEnd"/>
            <w:r w:rsidRPr="006D3F87">
              <w:rPr>
                <w:rFonts w:asciiTheme="minorHAnsi" w:hAnsiTheme="minorHAnsi" w:cstheme="minorHAnsi"/>
              </w:rPr>
              <w:t xml:space="preserve">, Elian. “Introducción”. En </w:t>
            </w:r>
            <w:r w:rsidRPr="006D3F87">
              <w:rPr>
                <w:rFonts w:asciiTheme="minorHAnsi" w:hAnsiTheme="minorHAnsi" w:cstheme="minorHAnsi"/>
                <w:i/>
                <w:iCs/>
              </w:rPr>
              <w:t>Los apocalipsis del Nuevo Testamento</w:t>
            </w:r>
            <w:r w:rsidRPr="006D3F87">
              <w:rPr>
                <w:rFonts w:asciiTheme="minorHAnsi" w:hAnsiTheme="minorHAnsi" w:cstheme="minorHAnsi"/>
              </w:rPr>
              <w:t xml:space="preserve">, 5-27. Estella: Verbo Divino, 2002. </w:t>
            </w:r>
            <w:r w:rsidRPr="006D3F87">
              <w:rPr>
                <w:rFonts w:asciiTheme="minorHAnsi" w:hAnsiTheme="minorHAnsi" w:cstheme="minorHAnsi"/>
                <w:color w:val="0070C0"/>
              </w:rPr>
              <w:t>(clásico, última edición)</w:t>
            </w:r>
          </w:p>
          <w:p w14:paraId="1A48E1BA" w14:textId="77777777" w:rsidR="006D3F87" w:rsidRPr="006D3F87" w:rsidRDefault="006D3F87" w:rsidP="006D3F87">
            <w:pPr>
              <w:autoSpaceDE w:val="0"/>
              <w:autoSpaceDN w:val="0"/>
              <w:adjustRightInd w:val="0"/>
              <w:rPr>
                <w:rFonts w:asciiTheme="minorHAnsi" w:hAnsiTheme="minorHAnsi" w:cstheme="minorHAnsi"/>
              </w:rPr>
            </w:pPr>
          </w:p>
          <w:p w14:paraId="790860AD" w14:textId="77777777" w:rsidR="006D3F87" w:rsidRPr="006D3F87" w:rsidRDefault="006D3F87" w:rsidP="006D3F87">
            <w:pPr>
              <w:autoSpaceDE w:val="0"/>
              <w:autoSpaceDN w:val="0"/>
              <w:adjustRightInd w:val="0"/>
              <w:rPr>
                <w:rFonts w:asciiTheme="minorHAnsi" w:hAnsiTheme="minorHAnsi" w:cstheme="minorHAnsi"/>
                <w:b/>
                <w:bCs/>
              </w:rPr>
            </w:pPr>
            <w:r w:rsidRPr="006D3F87">
              <w:rPr>
                <w:rFonts w:asciiTheme="minorHAnsi" w:hAnsiTheme="minorHAnsi" w:cstheme="minorHAnsi"/>
                <w:b/>
                <w:bCs/>
              </w:rPr>
              <w:t>Material complementario</w:t>
            </w:r>
          </w:p>
          <w:p w14:paraId="5171D152" w14:textId="77777777" w:rsidR="006D3F87" w:rsidRPr="006D3F87" w:rsidRDefault="006D3F87" w:rsidP="006D3F87">
            <w:pPr>
              <w:autoSpaceDE w:val="0"/>
              <w:autoSpaceDN w:val="0"/>
              <w:adjustRightInd w:val="0"/>
              <w:rPr>
                <w:rFonts w:asciiTheme="minorHAnsi" w:hAnsiTheme="minorHAnsi" w:cstheme="minorHAnsi"/>
                <w:b/>
                <w:bCs/>
              </w:rPr>
            </w:pPr>
          </w:p>
          <w:p w14:paraId="16781607"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rPr>
              <w:t xml:space="preserve">Gaitán Briceño, Tarcisio H., y Catherine </w:t>
            </w:r>
            <w:proofErr w:type="spellStart"/>
            <w:r w:rsidRPr="006D3F87">
              <w:rPr>
                <w:rFonts w:asciiTheme="minorHAnsi" w:hAnsiTheme="minorHAnsi" w:cstheme="minorHAnsi"/>
              </w:rPr>
              <w:t>Jaillier</w:t>
            </w:r>
            <w:proofErr w:type="spellEnd"/>
            <w:r w:rsidRPr="006D3F87">
              <w:rPr>
                <w:rFonts w:asciiTheme="minorHAnsi" w:hAnsiTheme="minorHAnsi" w:cstheme="minorHAnsi"/>
              </w:rPr>
              <w:t xml:space="preserve"> Castrillón. “Apocalipsis: Fe y Resistencia”. </w:t>
            </w:r>
            <w:r w:rsidRPr="006D3F87">
              <w:rPr>
                <w:rFonts w:asciiTheme="minorHAnsi" w:hAnsiTheme="minorHAnsi" w:cstheme="minorHAnsi"/>
                <w:i/>
                <w:iCs/>
              </w:rPr>
              <w:t>Cuestiones Teológicas</w:t>
            </w:r>
            <w:r w:rsidRPr="006D3F87">
              <w:rPr>
                <w:rFonts w:asciiTheme="minorHAnsi" w:hAnsiTheme="minorHAnsi" w:cstheme="minorHAnsi"/>
              </w:rPr>
              <w:t xml:space="preserve"> n.95 (2014): 97-131. Acceso el 18 de octubre de 2022. </w:t>
            </w:r>
            <w:hyperlink r:id="rId498" w:history="1">
              <w:r w:rsidRPr="006D3F87">
                <w:rPr>
                  <w:rFonts w:asciiTheme="minorHAnsi" w:hAnsiTheme="minorHAnsi" w:cstheme="minorHAnsi"/>
                  <w:bCs/>
                  <w:color w:val="0563C1"/>
                  <w:u w:val="single"/>
                </w:rPr>
                <w:t>https://revistas.upb.edu.co/index.php/cuestiones/article/view/349</w:t>
              </w:r>
            </w:hyperlink>
          </w:p>
          <w:p w14:paraId="17F1B8DA"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653" w:type="dxa"/>
          </w:tcPr>
          <w:p w14:paraId="2F4D406A" w14:textId="77777777" w:rsidR="006D3F87" w:rsidRPr="006D3F87" w:rsidRDefault="006D3F87" w:rsidP="006D3F87">
            <w:pPr>
              <w:widowControl w:val="0"/>
              <w:numPr>
                <w:ilvl w:val="0"/>
                <w:numId w:val="294"/>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lastRenderedPageBreak/>
              <w:t>Realizar las lecturas de la sesión.</w:t>
            </w:r>
          </w:p>
          <w:p w14:paraId="41ACE558" w14:textId="77777777" w:rsidR="006D3F87" w:rsidRPr="006D3F87" w:rsidRDefault="006D3F87" w:rsidP="006D3F87">
            <w:pPr>
              <w:widowControl w:val="0"/>
              <w:numPr>
                <w:ilvl w:val="0"/>
                <w:numId w:val="294"/>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Elaboración de un análisis de un texto bíblico del libro de Apocalipsis (tarea analítica 2).</w:t>
            </w:r>
          </w:p>
          <w:p w14:paraId="20E73BB6" w14:textId="77777777" w:rsidR="006D3F87" w:rsidRPr="006D3F87" w:rsidRDefault="006D3F87" w:rsidP="006D3F87">
            <w:pPr>
              <w:widowControl w:val="0"/>
              <w:numPr>
                <w:ilvl w:val="0"/>
                <w:numId w:val="294"/>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Continuar con el desarrollo de la investigación grupal. </w:t>
            </w:r>
          </w:p>
        </w:tc>
      </w:tr>
      <w:tr w:rsidR="006D3F87" w:rsidRPr="006D3F87" w14:paraId="1209EF45" w14:textId="77777777" w:rsidTr="00104785">
        <w:trPr>
          <w:jc w:val="center"/>
        </w:trPr>
        <w:tc>
          <w:tcPr>
            <w:tcW w:w="1144" w:type="dxa"/>
          </w:tcPr>
          <w:p w14:paraId="788A8316" w14:textId="77777777" w:rsidR="006D3F87" w:rsidRPr="006D3F87" w:rsidRDefault="006D3F87" w:rsidP="006D3F87">
            <w:pPr>
              <w:autoSpaceDE w:val="0"/>
              <w:autoSpaceDN w:val="0"/>
              <w:adjustRightInd w:val="0"/>
              <w:jc w:val="center"/>
              <w:rPr>
                <w:rFonts w:asciiTheme="minorHAnsi" w:hAnsiTheme="minorHAnsi" w:cstheme="minorHAnsi"/>
                <w:color w:val="000000"/>
              </w:rPr>
            </w:pPr>
          </w:p>
          <w:p w14:paraId="74D3DC13"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9</w:t>
            </w:r>
          </w:p>
        </w:tc>
        <w:tc>
          <w:tcPr>
            <w:tcW w:w="2395" w:type="dxa"/>
          </w:tcPr>
          <w:p w14:paraId="7EAEB31E"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2: La creación como criterio para discernir al Dios de la vida y la esperanza</w:t>
            </w:r>
          </w:p>
          <w:p w14:paraId="0F1A8D99"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08B6D843"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2.1 La creación en la teología del Antiguo Testamento</w:t>
            </w:r>
          </w:p>
          <w:p w14:paraId="69934639"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402" w:type="dxa"/>
          </w:tcPr>
          <w:p w14:paraId="51F9E846"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7B50B106" w14:textId="77777777" w:rsidR="006D3F87" w:rsidRPr="006D3F87" w:rsidRDefault="006D3F87" w:rsidP="006D3F87">
            <w:pPr>
              <w:autoSpaceDE w:val="0"/>
              <w:autoSpaceDN w:val="0"/>
              <w:adjustRightInd w:val="0"/>
              <w:rPr>
                <w:rFonts w:asciiTheme="minorHAnsi" w:hAnsiTheme="minorHAnsi" w:cstheme="minorHAnsi"/>
              </w:rPr>
            </w:pPr>
          </w:p>
          <w:p w14:paraId="61A42D16" w14:textId="77777777" w:rsidR="006D3F87" w:rsidRPr="006D3F87" w:rsidRDefault="006D3F87" w:rsidP="006D3F87">
            <w:pPr>
              <w:autoSpaceDE w:val="0"/>
              <w:autoSpaceDN w:val="0"/>
              <w:adjustRightInd w:val="0"/>
              <w:rPr>
                <w:rFonts w:asciiTheme="minorHAnsi" w:hAnsiTheme="minorHAnsi" w:cstheme="minorHAnsi"/>
                <w:color w:val="0070C0"/>
              </w:rPr>
            </w:pPr>
            <w:proofErr w:type="spellStart"/>
            <w:r w:rsidRPr="006D3F87">
              <w:rPr>
                <w:rFonts w:asciiTheme="minorHAnsi" w:hAnsiTheme="minorHAnsi" w:cstheme="minorHAnsi"/>
              </w:rPr>
              <w:t>Childs</w:t>
            </w:r>
            <w:proofErr w:type="spellEnd"/>
            <w:r w:rsidRPr="006D3F87">
              <w:rPr>
                <w:rFonts w:asciiTheme="minorHAnsi" w:hAnsiTheme="minorHAnsi" w:cstheme="minorHAnsi"/>
              </w:rPr>
              <w:t xml:space="preserve">, </w:t>
            </w:r>
            <w:proofErr w:type="spellStart"/>
            <w:r w:rsidRPr="006D3F87">
              <w:rPr>
                <w:rFonts w:asciiTheme="minorHAnsi" w:hAnsiTheme="minorHAnsi" w:cstheme="minorHAnsi"/>
              </w:rPr>
              <w:t>Brevard</w:t>
            </w:r>
            <w:proofErr w:type="spellEnd"/>
            <w:r w:rsidRPr="006D3F87">
              <w:rPr>
                <w:rFonts w:asciiTheme="minorHAnsi" w:hAnsiTheme="minorHAnsi" w:cstheme="minorHAnsi"/>
              </w:rPr>
              <w:t xml:space="preserve">. “Dios, el creador”. En </w:t>
            </w:r>
            <w:r w:rsidRPr="006D3F87">
              <w:rPr>
                <w:rFonts w:asciiTheme="minorHAnsi" w:hAnsiTheme="minorHAnsi" w:cstheme="minorHAnsi"/>
                <w:i/>
                <w:iCs/>
              </w:rPr>
              <w:t>Teología bíblica del Antiguo y del Nuevo Testamento: Reflexión teológica sobre la Biblia cristiana</w:t>
            </w:r>
            <w:r w:rsidRPr="006D3F87">
              <w:rPr>
                <w:rFonts w:asciiTheme="minorHAnsi" w:hAnsiTheme="minorHAnsi" w:cstheme="minorHAnsi"/>
              </w:rPr>
              <w:t xml:space="preserve">, 397-424. Salamanca: Ediciones Sígueme, 2011. </w:t>
            </w:r>
            <w:r w:rsidRPr="006D3F87">
              <w:rPr>
                <w:rFonts w:asciiTheme="minorHAnsi" w:hAnsiTheme="minorHAnsi" w:cstheme="minorHAnsi"/>
                <w:color w:val="0070C0"/>
              </w:rPr>
              <w:t>(clásico, última edición)</w:t>
            </w:r>
          </w:p>
          <w:p w14:paraId="72629335" w14:textId="77777777" w:rsidR="006D3F87" w:rsidRPr="006D3F87" w:rsidRDefault="006D3F87" w:rsidP="006D3F87">
            <w:pPr>
              <w:autoSpaceDE w:val="0"/>
              <w:autoSpaceDN w:val="0"/>
              <w:adjustRightInd w:val="0"/>
              <w:rPr>
                <w:rFonts w:asciiTheme="minorHAnsi" w:hAnsiTheme="minorHAnsi" w:cstheme="minorHAnsi"/>
              </w:rPr>
            </w:pPr>
          </w:p>
          <w:p w14:paraId="4AB65FE0" w14:textId="77777777" w:rsidR="006D3F87" w:rsidRPr="006D3F87" w:rsidRDefault="006D3F87" w:rsidP="006D3F87">
            <w:pPr>
              <w:autoSpaceDE w:val="0"/>
              <w:autoSpaceDN w:val="0"/>
              <w:adjustRightInd w:val="0"/>
              <w:rPr>
                <w:rFonts w:asciiTheme="minorHAnsi" w:hAnsiTheme="minorHAnsi" w:cstheme="minorHAnsi"/>
                <w:color w:val="0070C0"/>
              </w:rPr>
            </w:pPr>
            <w:proofErr w:type="spellStart"/>
            <w:r w:rsidRPr="006D3F87">
              <w:rPr>
                <w:rFonts w:asciiTheme="minorHAnsi" w:hAnsiTheme="minorHAnsi" w:cstheme="minorHAnsi"/>
              </w:rPr>
              <w:t>Andiñach</w:t>
            </w:r>
            <w:proofErr w:type="spellEnd"/>
            <w:r w:rsidRPr="006D3F87">
              <w:rPr>
                <w:rFonts w:asciiTheme="minorHAnsi" w:hAnsiTheme="minorHAnsi" w:cstheme="minorHAnsi"/>
              </w:rPr>
              <w:t xml:space="preserve">, Pablo. “La creación de un cosmos”. En </w:t>
            </w:r>
            <w:r w:rsidRPr="006D3F87">
              <w:rPr>
                <w:rFonts w:asciiTheme="minorHAnsi" w:hAnsiTheme="minorHAnsi" w:cstheme="minorHAnsi"/>
                <w:i/>
                <w:iCs/>
              </w:rPr>
              <w:t>El Dios que está: Teología del Antiguo Testamento</w:t>
            </w:r>
            <w:r w:rsidRPr="006D3F87">
              <w:rPr>
                <w:rFonts w:asciiTheme="minorHAnsi" w:hAnsiTheme="minorHAnsi" w:cstheme="minorHAnsi"/>
              </w:rPr>
              <w:t xml:space="preserve">, 55-82. Estella: Verbo Divino, 2014. </w:t>
            </w:r>
            <w:r w:rsidRPr="006D3F87">
              <w:rPr>
                <w:rFonts w:asciiTheme="minorHAnsi" w:hAnsiTheme="minorHAnsi" w:cstheme="minorHAnsi"/>
                <w:color w:val="0070C0"/>
              </w:rPr>
              <w:t>(clásico, última edición)</w:t>
            </w:r>
          </w:p>
          <w:p w14:paraId="5188E586" w14:textId="77777777" w:rsidR="006D3F87" w:rsidRPr="006D3F87" w:rsidRDefault="006D3F87" w:rsidP="006D3F87">
            <w:pPr>
              <w:autoSpaceDE w:val="0"/>
              <w:autoSpaceDN w:val="0"/>
              <w:adjustRightInd w:val="0"/>
              <w:rPr>
                <w:rFonts w:asciiTheme="minorHAnsi" w:hAnsiTheme="minorHAnsi" w:cstheme="minorHAnsi"/>
              </w:rPr>
            </w:pPr>
          </w:p>
          <w:p w14:paraId="0BDA14A8" w14:textId="77777777" w:rsidR="006D3F87" w:rsidRPr="006D3F87" w:rsidRDefault="006D3F87" w:rsidP="006D3F87">
            <w:pPr>
              <w:autoSpaceDE w:val="0"/>
              <w:autoSpaceDN w:val="0"/>
              <w:adjustRightInd w:val="0"/>
              <w:rPr>
                <w:rFonts w:asciiTheme="minorHAnsi" w:hAnsiTheme="minorHAnsi" w:cstheme="minorHAnsi"/>
                <w:b/>
                <w:bCs/>
              </w:rPr>
            </w:pPr>
            <w:r w:rsidRPr="006D3F87">
              <w:rPr>
                <w:rFonts w:asciiTheme="minorHAnsi" w:hAnsiTheme="minorHAnsi" w:cstheme="minorHAnsi"/>
                <w:b/>
                <w:bCs/>
              </w:rPr>
              <w:t>Material complementario</w:t>
            </w:r>
          </w:p>
          <w:p w14:paraId="485735BE" w14:textId="77777777" w:rsidR="006D3F87" w:rsidRPr="006D3F87" w:rsidRDefault="006D3F87" w:rsidP="006D3F87">
            <w:pPr>
              <w:autoSpaceDE w:val="0"/>
              <w:autoSpaceDN w:val="0"/>
              <w:adjustRightInd w:val="0"/>
              <w:rPr>
                <w:rFonts w:asciiTheme="minorHAnsi" w:hAnsiTheme="minorHAnsi" w:cstheme="minorHAnsi"/>
              </w:rPr>
            </w:pPr>
          </w:p>
          <w:p w14:paraId="54B58327"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rPr>
              <w:t xml:space="preserve">Hoffmann, Martin. “El Medio Ambiente como problema teológico-espiritual” </w:t>
            </w:r>
            <w:r w:rsidRPr="006D3F87">
              <w:rPr>
                <w:rFonts w:asciiTheme="minorHAnsi" w:hAnsiTheme="minorHAnsi" w:cstheme="minorHAnsi"/>
                <w:i/>
                <w:iCs/>
              </w:rPr>
              <w:t>Vida y Pensamiento</w:t>
            </w:r>
            <w:r w:rsidRPr="006D3F87">
              <w:rPr>
                <w:rFonts w:asciiTheme="minorHAnsi" w:hAnsiTheme="minorHAnsi" w:cstheme="minorHAnsi"/>
              </w:rPr>
              <w:t xml:space="preserve"> vol.39, n.1 (2019): 135-159.</w:t>
            </w:r>
          </w:p>
          <w:p w14:paraId="527553CC" w14:textId="77777777" w:rsidR="006D3F87" w:rsidRPr="006D3F87" w:rsidRDefault="006D3F87" w:rsidP="006D3F87">
            <w:pPr>
              <w:autoSpaceDE w:val="0"/>
              <w:autoSpaceDN w:val="0"/>
              <w:adjustRightInd w:val="0"/>
              <w:rPr>
                <w:rFonts w:asciiTheme="minorHAnsi" w:hAnsiTheme="minorHAnsi" w:cstheme="minorHAnsi"/>
              </w:rPr>
            </w:pPr>
          </w:p>
          <w:p w14:paraId="7A1C90C6"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 xml:space="preserve">Guía para la participación mediante la herramienta Big Blue </w:t>
            </w:r>
            <w:proofErr w:type="spellStart"/>
            <w:r w:rsidRPr="006D3F87">
              <w:rPr>
                <w:rFonts w:asciiTheme="minorHAnsi" w:hAnsiTheme="minorHAnsi" w:cstheme="minorHAnsi"/>
                <w:color w:val="0070C0"/>
              </w:rPr>
              <w:t>Button</w:t>
            </w:r>
            <w:proofErr w:type="spellEnd"/>
            <w:r w:rsidRPr="006D3F87">
              <w:rPr>
                <w:rFonts w:asciiTheme="minorHAnsi" w:hAnsiTheme="minorHAnsi" w:cstheme="minorHAnsi"/>
                <w:color w:val="0070C0"/>
              </w:rPr>
              <w:t xml:space="preserve"> en la plataforma Moodle</w:t>
            </w:r>
          </w:p>
          <w:p w14:paraId="34EAE9B3" w14:textId="77777777" w:rsidR="006D3F87" w:rsidRPr="006D3F87" w:rsidRDefault="006D3F87" w:rsidP="006D3F87">
            <w:pPr>
              <w:autoSpaceDE w:val="0"/>
              <w:autoSpaceDN w:val="0"/>
              <w:adjustRightInd w:val="0"/>
              <w:rPr>
                <w:rFonts w:asciiTheme="minorHAnsi" w:hAnsiTheme="minorHAnsi" w:cstheme="minorHAnsi"/>
                <w:color w:val="0070C0"/>
              </w:rPr>
            </w:pPr>
          </w:p>
          <w:p w14:paraId="331455EA"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Guía para la elaboración de un ensayo</w:t>
            </w:r>
          </w:p>
          <w:p w14:paraId="2E30BC57"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653" w:type="dxa"/>
          </w:tcPr>
          <w:p w14:paraId="1EB61047" w14:textId="77777777" w:rsidR="006D3F87" w:rsidRPr="006D3F87" w:rsidRDefault="006D3F87" w:rsidP="006D3F87">
            <w:pPr>
              <w:widowControl w:val="0"/>
              <w:numPr>
                <w:ilvl w:val="0"/>
                <w:numId w:val="295"/>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Realizar las lecturas de la sesión.</w:t>
            </w:r>
          </w:p>
          <w:p w14:paraId="499B2FE3" w14:textId="77777777" w:rsidR="006D3F87" w:rsidRPr="006D3F87" w:rsidRDefault="006D3F87" w:rsidP="006D3F87">
            <w:pPr>
              <w:widowControl w:val="0"/>
              <w:numPr>
                <w:ilvl w:val="0"/>
                <w:numId w:val="295"/>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Exposición docente y discusión grupal en un encuentro sincrónico virtual. </w:t>
            </w:r>
          </w:p>
          <w:p w14:paraId="6188E4DD" w14:textId="77777777" w:rsidR="006D3F87" w:rsidRPr="006D3F87" w:rsidRDefault="006D3F87" w:rsidP="006D3F87">
            <w:pPr>
              <w:widowControl w:val="0"/>
              <w:numPr>
                <w:ilvl w:val="0"/>
                <w:numId w:val="295"/>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Continuar con el desarrollo de la investigación grupal. </w:t>
            </w:r>
          </w:p>
          <w:p w14:paraId="5BC0E479" w14:textId="77777777" w:rsidR="006D3F87" w:rsidRPr="006D3F87" w:rsidRDefault="006D3F87" w:rsidP="006D3F87">
            <w:pPr>
              <w:widowControl w:val="0"/>
              <w:numPr>
                <w:ilvl w:val="0"/>
                <w:numId w:val="295"/>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Elección del tema del ensayo final.</w:t>
            </w:r>
          </w:p>
        </w:tc>
      </w:tr>
      <w:tr w:rsidR="006D3F87" w:rsidRPr="006D3F87" w14:paraId="242F4279" w14:textId="77777777" w:rsidTr="00104785">
        <w:trPr>
          <w:jc w:val="center"/>
        </w:trPr>
        <w:tc>
          <w:tcPr>
            <w:tcW w:w="1144" w:type="dxa"/>
          </w:tcPr>
          <w:p w14:paraId="222CE077" w14:textId="77777777" w:rsidR="006D3F87" w:rsidRPr="006D3F87" w:rsidRDefault="006D3F87" w:rsidP="006D3F87">
            <w:pPr>
              <w:autoSpaceDE w:val="0"/>
              <w:autoSpaceDN w:val="0"/>
              <w:adjustRightInd w:val="0"/>
              <w:jc w:val="center"/>
              <w:rPr>
                <w:rFonts w:asciiTheme="minorHAnsi" w:hAnsiTheme="minorHAnsi" w:cstheme="minorHAnsi"/>
                <w:color w:val="000000"/>
              </w:rPr>
            </w:pPr>
          </w:p>
          <w:p w14:paraId="2EAC0A20"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10</w:t>
            </w:r>
          </w:p>
        </w:tc>
        <w:tc>
          <w:tcPr>
            <w:tcW w:w="2395" w:type="dxa"/>
          </w:tcPr>
          <w:p w14:paraId="190D3FC0"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2: La creación como criterio para discernir al Dios de la vida y la esperanza</w:t>
            </w:r>
          </w:p>
          <w:p w14:paraId="2C535F39"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1578E992"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2.2 La creación en la teología del Nuevo Testamento</w:t>
            </w:r>
          </w:p>
          <w:p w14:paraId="5AA5540A"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402" w:type="dxa"/>
          </w:tcPr>
          <w:p w14:paraId="1395E0D9"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77DF96CE" w14:textId="77777777" w:rsidR="006D3F87" w:rsidRPr="006D3F87" w:rsidRDefault="006D3F87" w:rsidP="006D3F87">
            <w:pPr>
              <w:autoSpaceDE w:val="0"/>
              <w:autoSpaceDN w:val="0"/>
              <w:adjustRightInd w:val="0"/>
              <w:rPr>
                <w:rFonts w:asciiTheme="minorHAnsi" w:hAnsiTheme="minorHAnsi" w:cstheme="minorHAnsi"/>
              </w:rPr>
            </w:pPr>
          </w:p>
          <w:p w14:paraId="57A962F5" w14:textId="77777777" w:rsidR="006D3F87" w:rsidRPr="006D3F87" w:rsidRDefault="006D3F87" w:rsidP="006D3F87">
            <w:pPr>
              <w:autoSpaceDE w:val="0"/>
              <w:autoSpaceDN w:val="0"/>
              <w:adjustRightInd w:val="0"/>
              <w:rPr>
                <w:rFonts w:asciiTheme="minorHAnsi" w:hAnsiTheme="minorHAnsi" w:cstheme="minorHAnsi"/>
                <w:color w:val="0563C1"/>
                <w:u w:val="single"/>
              </w:rPr>
            </w:pPr>
            <w:r w:rsidRPr="006D3F87">
              <w:rPr>
                <w:rFonts w:asciiTheme="minorHAnsi" w:hAnsiTheme="minorHAnsi" w:cstheme="minorHAnsi"/>
              </w:rPr>
              <w:t xml:space="preserve">Francisco. “Carta encíclica </w:t>
            </w:r>
            <w:proofErr w:type="spellStart"/>
            <w:r w:rsidRPr="006D3F87">
              <w:rPr>
                <w:rFonts w:asciiTheme="minorHAnsi" w:hAnsiTheme="minorHAnsi" w:cstheme="minorHAnsi"/>
              </w:rPr>
              <w:t>Laudato</w:t>
            </w:r>
            <w:proofErr w:type="spellEnd"/>
            <w:r w:rsidRPr="006D3F87">
              <w:rPr>
                <w:rFonts w:asciiTheme="minorHAnsi" w:hAnsiTheme="minorHAnsi" w:cstheme="minorHAnsi"/>
              </w:rPr>
              <w:t xml:space="preserve"> Sí: Sobre el cuidado de la casa común.” Vaticano, 2015. Acceso el 18 de octubre de 2022.  </w:t>
            </w:r>
            <w:hyperlink r:id="rId499">
              <w:r w:rsidRPr="006D3F87">
                <w:rPr>
                  <w:rFonts w:asciiTheme="minorHAnsi" w:hAnsiTheme="minorHAnsi" w:cstheme="minorHAnsi"/>
                  <w:color w:val="0563C1"/>
                  <w:u w:val="single"/>
                </w:rPr>
                <w:t>https://www.vatican.va/content/francesco/es/encyclicals/documents/papa-francesco_20150524_enciclica-laudato-si.html</w:t>
              </w:r>
            </w:hyperlink>
          </w:p>
          <w:p w14:paraId="1846303E" w14:textId="77777777" w:rsidR="006D3F87" w:rsidRPr="006D3F87" w:rsidRDefault="006D3F87" w:rsidP="006D3F87">
            <w:pPr>
              <w:autoSpaceDE w:val="0"/>
              <w:autoSpaceDN w:val="0"/>
              <w:adjustRightInd w:val="0"/>
              <w:rPr>
                <w:rFonts w:asciiTheme="minorHAnsi" w:hAnsiTheme="minorHAnsi" w:cstheme="minorHAnsi"/>
                <w:color w:val="0563C1"/>
                <w:u w:val="single"/>
              </w:rPr>
            </w:pPr>
          </w:p>
          <w:p w14:paraId="57B568D4"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rPr>
              <w:t xml:space="preserve">Van Andel, Arianne. “Sola Escritura, Sola Gracia, Sola Fe: Para una </w:t>
            </w:r>
            <w:r w:rsidRPr="006D3F87">
              <w:rPr>
                <w:rFonts w:asciiTheme="minorHAnsi" w:hAnsiTheme="minorHAnsi" w:cstheme="minorHAnsi"/>
              </w:rPr>
              <w:lastRenderedPageBreak/>
              <w:t xml:space="preserve">reforma ecológica”. </w:t>
            </w:r>
            <w:r w:rsidRPr="006D3F87">
              <w:rPr>
                <w:rFonts w:asciiTheme="minorHAnsi" w:hAnsiTheme="minorHAnsi" w:cstheme="minorHAnsi"/>
                <w:i/>
                <w:iCs/>
              </w:rPr>
              <w:t>Vida y Pensamiento</w:t>
            </w:r>
            <w:r w:rsidRPr="006D3F87">
              <w:rPr>
                <w:rFonts w:asciiTheme="minorHAnsi" w:hAnsiTheme="minorHAnsi" w:cstheme="minorHAnsi"/>
              </w:rPr>
              <w:t xml:space="preserve"> vol.39, n.1 (2017): 143-160.</w:t>
            </w:r>
          </w:p>
          <w:p w14:paraId="65837098" w14:textId="77777777" w:rsidR="006D3F87" w:rsidRPr="006D3F87" w:rsidRDefault="006D3F87" w:rsidP="006D3F87">
            <w:pPr>
              <w:autoSpaceDE w:val="0"/>
              <w:autoSpaceDN w:val="0"/>
              <w:adjustRightInd w:val="0"/>
              <w:rPr>
                <w:rFonts w:asciiTheme="minorHAnsi" w:hAnsiTheme="minorHAnsi" w:cstheme="minorHAnsi"/>
              </w:rPr>
            </w:pPr>
          </w:p>
          <w:p w14:paraId="7E83606A" w14:textId="77777777" w:rsidR="006D3F87" w:rsidRPr="006D3F87" w:rsidRDefault="006D3F87" w:rsidP="006D3F87">
            <w:pPr>
              <w:autoSpaceDE w:val="0"/>
              <w:autoSpaceDN w:val="0"/>
              <w:adjustRightInd w:val="0"/>
              <w:rPr>
                <w:rFonts w:asciiTheme="minorHAnsi" w:hAnsiTheme="minorHAnsi" w:cstheme="minorHAnsi"/>
                <w:b/>
                <w:bCs/>
              </w:rPr>
            </w:pPr>
            <w:r w:rsidRPr="006D3F87">
              <w:rPr>
                <w:rFonts w:asciiTheme="minorHAnsi" w:hAnsiTheme="minorHAnsi" w:cstheme="minorHAnsi"/>
                <w:b/>
                <w:bCs/>
              </w:rPr>
              <w:t>Material complementario</w:t>
            </w:r>
          </w:p>
          <w:p w14:paraId="1116C39D" w14:textId="77777777" w:rsidR="006D3F87" w:rsidRPr="006D3F87" w:rsidRDefault="006D3F87" w:rsidP="006D3F87">
            <w:pPr>
              <w:autoSpaceDE w:val="0"/>
              <w:autoSpaceDN w:val="0"/>
              <w:adjustRightInd w:val="0"/>
              <w:rPr>
                <w:rFonts w:asciiTheme="minorHAnsi" w:hAnsiTheme="minorHAnsi" w:cstheme="minorHAnsi"/>
                <w:b/>
                <w:bCs/>
              </w:rPr>
            </w:pPr>
          </w:p>
          <w:p w14:paraId="315B1050"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rPr>
              <w:t xml:space="preserve">Míguez, Néstor. “Las palabras que definen: Análisis del discurso ecológico”. </w:t>
            </w:r>
            <w:r w:rsidRPr="006D3F87">
              <w:rPr>
                <w:rFonts w:asciiTheme="minorHAnsi" w:hAnsiTheme="minorHAnsi" w:cstheme="minorHAnsi"/>
                <w:i/>
                <w:iCs/>
              </w:rPr>
              <w:t>RIBLA</w:t>
            </w:r>
            <w:r w:rsidRPr="006D3F87">
              <w:rPr>
                <w:rFonts w:asciiTheme="minorHAnsi" w:hAnsiTheme="minorHAnsi" w:cstheme="minorHAnsi"/>
              </w:rPr>
              <w:t xml:space="preserve"> n.80 (2019): 11-21.</w:t>
            </w:r>
          </w:p>
          <w:p w14:paraId="0D8DA256" w14:textId="77777777" w:rsidR="006D3F87" w:rsidRPr="006D3F87" w:rsidRDefault="006D3F87" w:rsidP="006D3F87">
            <w:pPr>
              <w:autoSpaceDE w:val="0"/>
              <w:autoSpaceDN w:val="0"/>
              <w:adjustRightInd w:val="0"/>
              <w:rPr>
                <w:rFonts w:asciiTheme="minorHAnsi" w:hAnsiTheme="minorHAnsi" w:cstheme="minorHAnsi"/>
              </w:rPr>
            </w:pPr>
          </w:p>
          <w:p w14:paraId="0D99657B"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 xml:space="preserve">Guía para la participación mediante la herramienta Big Blue </w:t>
            </w:r>
            <w:proofErr w:type="spellStart"/>
            <w:r w:rsidRPr="006D3F87">
              <w:rPr>
                <w:rFonts w:asciiTheme="minorHAnsi" w:hAnsiTheme="minorHAnsi" w:cstheme="minorHAnsi"/>
                <w:color w:val="0070C0"/>
              </w:rPr>
              <w:t>Button</w:t>
            </w:r>
            <w:proofErr w:type="spellEnd"/>
            <w:r w:rsidRPr="006D3F87">
              <w:rPr>
                <w:rFonts w:asciiTheme="minorHAnsi" w:hAnsiTheme="minorHAnsi" w:cstheme="minorHAnsi"/>
                <w:color w:val="0070C0"/>
              </w:rPr>
              <w:t xml:space="preserve"> en la plataforma Moodle</w:t>
            </w:r>
          </w:p>
          <w:p w14:paraId="50D6E7EA" w14:textId="77777777" w:rsidR="006D3F87" w:rsidRPr="006D3F87" w:rsidRDefault="006D3F87" w:rsidP="006D3F87">
            <w:pPr>
              <w:autoSpaceDE w:val="0"/>
              <w:autoSpaceDN w:val="0"/>
              <w:adjustRightInd w:val="0"/>
              <w:rPr>
                <w:rFonts w:asciiTheme="minorHAnsi" w:hAnsiTheme="minorHAnsi" w:cstheme="minorHAnsi"/>
                <w:color w:val="0070C0"/>
              </w:rPr>
            </w:pPr>
          </w:p>
          <w:p w14:paraId="5F8BD9BE" w14:textId="77777777" w:rsidR="006D3F87" w:rsidRPr="006D3F87" w:rsidRDefault="006D3F87" w:rsidP="006D3F87">
            <w:pPr>
              <w:autoSpaceDE w:val="0"/>
              <w:autoSpaceDN w:val="0"/>
              <w:adjustRightInd w:val="0"/>
              <w:rPr>
                <w:rFonts w:asciiTheme="minorHAnsi" w:hAnsiTheme="minorHAnsi" w:cstheme="minorHAnsi"/>
                <w:color w:val="0070C0"/>
              </w:rPr>
            </w:pPr>
          </w:p>
          <w:p w14:paraId="132D30C8" w14:textId="77777777" w:rsidR="006D3F87" w:rsidRPr="006D3F87" w:rsidRDefault="006D3F87" w:rsidP="006D3F87">
            <w:pPr>
              <w:autoSpaceDE w:val="0"/>
              <w:autoSpaceDN w:val="0"/>
              <w:adjustRightInd w:val="0"/>
              <w:rPr>
                <w:rFonts w:asciiTheme="minorHAnsi" w:hAnsiTheme="minorHAnsi" w:cstheme="minorHAnsi"/>
                <w:color w:val="0070C0"/>
              </w:rPr>
            </w:pPr>
          </w:p>
          <w:p w14:paraId="47B52B91"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653" w:type="dxa"/>
          </w:tcPr>
          <w:p w14:paraId="0C553B63" w14:textId="77777777" w:rsidR="006D3F87" w:rsidRPr="006D3F87" w:rsidRDefault="006D3F87" w:rsidP="006D3F87">
            <w:pPr>
              <w:widowControl w:val="0"/>
              <w:numPr>
                <w:ilvl w:val="0"/>
                <w:numId w:val="296"/>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lastRenderedPageBreak/>
              <w:t>Realizar las lecturas de la sesión.</w:t>
            </w:r>
          </w:p>
          <w:p w14:paraId="3CD3F30C" w14:textId="77777777" w:rsidR="006D3F87" w:rsidRPr="006D3F87" w:rsidRDefault="006D3F87" w:rsidP="006D3F87">
            <w:pPr>
              <w:widowControl w:val="0"/>
              <w:numPr>
                <w:ilvl w:val="0"/>
                <w:numId w:val="296"/>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Presentación de las investigaciones grupales sobre la teología de la creación en un encuentro sincrónico virtual. </w:t>
            </w:r>
          </w:p>
          <w:p w14:paraId="2A1FE209" w14:textId="77777777" w:rsidR="006D3F87" w:rsidRPr="006D3F87" w:rsidRDefault="006D3F87" w:rsidP="006D3F87">
            <w:pPr>
              <w:widowControl w:val="0"/>
              <w:numPr>
                <w:ilvl w:val="0"/>
                <w:numId w:val="296"/>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Continuar con la elaboración del ensayo final. </w:t>
            </w:r>
          </w:p>
        </w:tc>
      </w:tr>
      <w:tr w:rsidR="006D3F87" w:rsidRPr="006D3F87" w14:paraId="3EE7E611" w14:textId="77777777" w:rsidTr="00104785">
        <w:trPr>
          <w:jc w:val="center"/>
        </w:trPr>
        <w:tc>
          <w:tcPr>
            <w:tcW w:w="1144" w:type="dxa"/>
          </w:tcPr>
          <w:p w14:paraId="4415CF35"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11</w:t>
            </w:r>
          </w:p>
        </w:tc>
        <w:tc>
          <w:tcPr>
            <w:tcW w:w="2395" w:type="dxa"/>
          </w:tcPr>
          <w:p w14:paraId="13BB0763"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3: La liberación como criterio para discernir al Dios de la justicia y la misericordia</w:t>
            </w:r>
          </w:p>
          <w:p w14:paraId="0917205C"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57411029"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3.1 La liberación en la teología del Antiguo Testamento</w:t>
            </w:r>
          </w:p>
          <w:p w14:paraId="7615CB35"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402" w:type="dxa"/>
          </w:tcPr>
          <w:p w14:paraId="3D21BA0C"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51EB39B2" w14:textId="77777777" w:rsidR="006D3F87" w:rsidRPr="006D3F87" w:rsidRDefault="006D3F87" w:rsidP="006D3F87">
            <w:pPr>
              <w:autoSpaceDE w:val="0"/>
              <w:autoSpaceDN w:val="0"/>
              <w:adjustRightInd w:val="0"/>
              <w:rPr>
                <w:rFonts w:asciiTheme="minorHAnsi" w:hAnsiTheme="minorHAnsi" w:cstheme="minorHAnsi"/>
              </w:rPr>
            </w:pPr>
          </w:p>
          <w:p w14:paraId="48114B9D" w14:textId="77777777" w:rsidR="006D3F87" w:rsidRPr="006D3F87" w:rsidRDefault="006D3F87" w:rsidP="006D3F87">
            <w:pPr>
              <w:autoSpaceDE w:val="0"/>
              <w:autoSpaceDN w:val="0"/>
              <w:adjustRightInd w:val="0"/>
              <w:rPr>
                <w:rFonts w:asciiTheme="minorHAnsi" w:hAnsiTheme="minorHAnsi" w:cstheme="minorHAnsi"/>
                <w:color w:val="0070C0"/>
              </w:rPr>
            </w:pPr>
            <w:proofErr w:type="spellStart"/>
            <w:r w:rsidRPr="006D3F87">
              <w:rPr>
                <w:rFonts w:asciiTheme="minorHAnsi" w:hAnsiTheme="minorHAnsi" w:cstheme="minorHAnsi"/>
              </w:rPr>
              <w:t>Verkindere</w:t>
            </w:r>
            <w:proofErr w:type="spellEnd"/>
            <w:r w:rsidRPr="006D3F87">
              <w:rPr>
                <w:rFonts w:asciiTheme="minorHAnsi" w:hAnsiTheme="minorHAnsi" w:cstheme="minorHAnsi"/>
              </w:rPr>
              <w:t xml:space="preserve">, Gérard. “La justicia y la Biblia”. En </w:t>
            </w:r>
            <w:r w:rsidRPr="006D3F87">
              <w:rPr>
                <w:rFonts w:asciiTheme="minorHAnsi" w:hAnsiTheme="minorHAnsi" w:cstheme="minorHAnsi"/>
                <w:i/>
                <w:iCs/>
              </w:rPr>
              <w:t>La justicia en el Antiguo Testamento</w:t>
            </w:r>
            <w:r w:rsidRPr="006D3F87">
              <w:rPr>
                <w:rFonts w:asciiTheme="minorHAnsi" w:hAnsiTheme="minorHAnsi" w:cstheme="minorHAnsi"/>
              </w:rPr>
              <w:t xml:space="preserve">, 5-31. Estella: Verbo Divino, 2001. </w:t>
            </w:r>
            <w:r w:rsidRPr="006D3F87">
              <w:rPr>
                <w:rFonts w:asciiTheme="minorHAnsi" w:hAnsiTheme="minorHAnsi" w:cstheme="minorHAnsi"/>
                <w:color w:val="0070C0"/>
              </w:rPr>
              <w:t>(clásico, última edición)</w:t>
            </w:r>
          </w:p>
          <w:p w14:paraId="5A8E99BB" w14:textId="77777777" w:rsidR="006D3F87" w:rsidRPr="006D3F87" w:rsidRDefault="006D3F87" w:rsidP="006D3F87">
            <w:pPr>
              <w:autoSpaceDE w:val="0"/>
              <w:autoSpaceDN w:val="0"/>
              <w:adjustRightInd w:val="0"/>
              <w:rPr>
                <w:rFonts w:asciiTheme="minorHAnsi" w:hAnsiTheme="minorHAnsi" w:cstheme="minorHAnsi"/>
              </w:rPr>
            </w:pPr>
          </w:p>
          <w:p w14:paraId="2BAC70A7"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rPr>
              <w:t xml:space="preserve">Aguirre, Rafael y Francisco Javier Vitoria </w:t>
            </w:r>
            <w:proofErr w:type="spellStart"/>
            <w:r w:rsidRPr="006D3F87">
              <w:rPr>
                <w:rFonts w:asciiTheme="minorHAnsi" w:hAnsiTheme="minorHAnsi" w:cstheme="minorHAnsi"/>
              </w:rPr>
              <w:t>Cormenzana</w:t>
            </w:r>
            <w:proofErr w:type="spellEnd"/>
            <w:r w:rsidRPr="006D3F87">
              <w:rPr>
                <w:rFonts w:asciiTheme="minorHAnsi" w:hAnsiTheme="minorHAnsi" w:cstheme="minorHAnsi"/>
              </w:rPr>
              <w:t xml:space="preserve">. “Justicia”. En </w:t>
            </w:r>
            <w:proofErr w:type="spellStart"/>
            <w:r w:rsidRPr="006D3F87">
              <w:rPr>
                <w:rFonts w:asciiTheme="minorHAnsi" w:hAnsiTheme="minorHAnsi" w:cstheme="minorHAnsi"/>
                <w:i/>
                <w:iCs/>
              </w:rPr>
              <w:t>Mysterium</w:t>
            </w:r>
            <w:proofErr w:type="spellEnd"/>
            <w:r w:rsidRPr="006D3F87">
              <w:rPr>
                <w:rFonts w:asciiTheme="minorHAnsi" w:hAnsiTheme="minorHAnsi" w:cstheme="minorHAnsi"/>
                <w:i/>
                <w:iCs/>
              </w:rPr>
              <w:t xml:space="preserve"> </w:t>
            </w:r>
            <w:proofErr w:type="spellStart"/>
            <w:r w:rsidRPr="006D3F87">
              <w:rPr>
                <w:rFonts w:asciiTheme="minorHAnsi" w:hAnsiTheme="minorHAnsi" w:cstheme="minorHAnsi"/>
                <w:i/>
                <w:iCs/>
              </w:rPr>
              <w:t>Liberationis</w:t>
            </w:r>
            <w:proofErr w:type="spellEnd"/>
            <w:r w:rsidRPr="006D3F87">
              <w:rPr>
                <w:rFonts w:asciiTheme="minorHAnsi" w:hAnsiTheme="minorHAnsi" w:cstheme="minorHAnsi"/>
                <w:i/>
                <w:iCs/>
              </w:rPr>
              <w:t xml:space="preserve"> II, </w:t>
            </w:r>
            <w:r w:rsidRPr="006D3F87">
              <w:rPr>
                <w:rFonts w:asciiTheme="minorHAnsi" w:hAnsiTheme="minorHAnsi" w:cstheme="minorHAnsi"/>
              </w:rPr>
              <w:t>editado por Ignacio Ellacuría y Jon Sobrino,</w:t>
            </w:r>
            <w:r w:rsidRPr="006D3F87">
              <w:rPr>
                <w:rFonts w:asciiTheme="minorHAnsi" w:hAnsiTheme="minorHAnsi" w:cstheme="minorHAnsi"/>
                <w:i/>
                <w:iCs/>
              </w:rPr>
              <w:t xml:space="preserve"> </w:t>
            </w:r>
            <w:r w:rsidRPr="006D3F87">
              <w:rPr>
                <w:rFonts w:asciiTheme="minorHAnsi" w:hAnsiTheme="minorHAnsi" w:cstheme="minorHAnsi"/>
              </w:rPr>
              <w:t xml:space="preserve">539-551. San Salvador: UCA Editores, 1992. </w:t>
            </w:r>
            <w:r w:rsidRPr="006D3F87">
              <w:rPr>
                <w:rFonts w:asciiTheme="minorHAnsi" w:hAnsiTheme="minorHAnsi" w:cstheme="minorHAnsi"/>
                <w:color w:val="0070C0"/>
              </w:rPr>
              <w:t>(clásico, última edición)</w:t>
            </w:r>
          </w:p>
          <w:p w14:paraId="116A88B8" w14:textId="77777777" w:rsidR="006D3F87" w:rsidRPr="006D3F87" w:rsidRDefault="006D3F87" w:rsidP="006D3F87">
            <w:pPr>
              <w:autoSpaceDE w:val="0"/>
              <w:autoSpaceDN w:val="0"/>
              <w:adjustRightInd w:val="0"/>
              <w:rPr>
                <w:rFonts w:asciiTheme="minorHAnsi" w:hAnsiTheme="minorHAnsi" w:cstheme="minorHAnsi"/>
              </w:rPr>
            </w:pPr>
          </w:p>
          <w:p w14:paraId="3F0BAA59"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Material complementario</w:t>
            </w:r>
          </w:p>
          <w:p w14:paraId="3D92F851"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4A4D090D"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rPr>
              <w:t xml:space="preserve">Ramírez Kidd, José Enrique. “La experiencia de Dios desde la mujer: Rut”, “El extranjero en el Antiguo Testamento”, “Viudas y huérfanas en el Antiguo Testamento”. En </w:t>
            </w:r>
            <w:r w:rsidRPr="006D3F87">
              <w:rPr>
                <w:rFonts w:asciiTheme="minorHAnsi" w:hAnsiTheme="minorHAnsi" w:cstheme="minorHAnsi"/>
                <w:i/>
                <w:iCs/>
              </w:rPr>
              <w:t>El extranjero, la viuda y el huérfano en el Antiguo Testamento</w:t>
            </w:r>
            <w:r w:rsidRPr="006D3F87">
              <w:rPr>
                <w:rFonts w:asciiTheme="minorHAnsi" w:hAnsiTheme="minorHAnsi" w:cstheme="minorHAnsi"/>
              </w:rPr>
              <w:t xml:space="preserve">, 15-85. San José: SEBILA; Guatemala: CEDEPCA, 2002. </w:t>
            </w:r>
            <w:r w:rsidRPr="006D3F87">
              <w:rPr>
                <w:rFonts w:asciiTheme="minorHAnsi" w:hAnsiTheme="minorHAnsi" w:cstheme="minorHAnsi"/>
                <w:color w:val="0070C0"/>
              </w:rPr>
              <w:t>(clásico, última edición)</w:t>
            </w:r>
          </w:p>
          <w:p w14:paraId="08611875"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653" w:type="dxa"/>
          </w:tcPr>
          <w:p w14:paraId="0FF40717" w14:textId="77777777" w:rsidR="006D3F87" w:rsidRPr="006D3F87" w:rsidRDefault="006D3F87" w:rsidP="006D3F87">
            <w:pPr>
              <w:widowControl w:val="0"/>
              <w:numPr>
                <w:ilvl w:val="0"/>
                <w:numId w:val="297"/>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Realizar las lecturas de la sesión como preparación para la participación en el encuentro sincrónico virtual de la próxima sesión.</w:t>
            </w:r>
          </w:p>
          <w:p w14:paraId="1FC0B4E1" w14:textId="77777777" w:rsidR="006D3F87" w:rsidRPr="006D3F87" w:rsidRDefault="006D3F87" w:rsidP="006D3F87">
            <w:pPr>
              <w:widowControl w:val="0"/>
              <w:numPr>
                <w:ilvl w:val="0"/>
                <w:numId w:val="297"/>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Continuar con la elaboración del ensayo final.</w:t>
            </w:r>
          </w:p>
        </w:tc>
      </w:tr>
      <w:tr w:rsidR="006D3F87" w:rsidRPr="006D3F87" w14:paraId="2B353640" w14:textId="77777777" w:rsidTr="00104785">
        <w:trPr>
          <w:jc w:val="center"/>
        </w:trPr>
        <w:tc>
          <w:tcPr>
            <w:tcW w:w="1144" w:type="dxa"/>
          </w:tcPr>
          <w:p w14:paraId="6171FB35"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lastRenderedPageBreak/>
              <w:t>12</w:t>
            </w:r>
          </w:p>
        </w:tc>
        <w:tc>
          <w:tcPr>
            <w:tcW w:w="2395" w:type="dxa"/>
          </w:tcPr>
          <w:p w14:paraId="6CBF02B5"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3: La liberación como criterio para discernir al Dios de la justicia y la misericordia</w:t>
            </w:r>
          </w:p>
          <w:p w14:paraId="76D7CD84"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4FF43338"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3.2 La liberación en la teología del Nuevo Testamento</w:t>
            </w:r>
          </w:p>
          <w:p w14:paraId="665DC555"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402" w:type="dxa"/>
          </w:tcPr>
          <w:p w14:paraId="36682D7D"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55A5E58E" w14:textId="77777777" w:rsidR="006D3F87" w:rsidRPr="006D3F87" w:rsidRDefault="006D3F87" w:rsidP="006D3F87">
            <w:pPr>
              <w:autoSpaceDE w:val="0"/>
              <w:autoSpaceDN w:val="0"/>
              <w:adjustRightInd w:val="0"/>
              <w:rPr>
                <w:rFonts w:asciiTheme="minorHAnsi" w:hAnsiTheme="minorHAnsi" w:cstheme="minorHAnsi"/>
              </w:rPr>
            </w:pPr>
          </w:p>
          <w:p w14:paraId="58646DEC"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rPr>
              <w:t xml:space="preserve">Tamez, Elsa. “Justicia de Dios y misericordia infinita”. </w:t>
            </w:r>
            <w:r w:rsidRPr="006D3F87">
              <w:rPr>
                <w:rFonts w:asciiTheme="minorHAnsi" w:hAnsiTheme="minorHAnsi" w:cstheme="minorHAnsi"/>
                <w:i/>
                <w:iCs/>
              </w:rPr>
              <w:t>Vida y Pensamiento</w:t>
            </w:r>
            <w:r w:rsidRPr="006D3F87">
              <w:rPr>
                <w:rFonts w:asciiTheme="minorHAnsi" w:hAnsiTheme="minorHAnsi" w:cstheme="minorHAnsi"/>
              </w:rPr>
              <w:t xml:space="preserve"> vol.37, n.1 y 2 (2017): 273-290.</w:t>
            </w:r>
          </w:p>
          <w:p w14:paraId="1FD9E1CF" w14:textId="77777777" w:rsidR="006D3F87" w:rsidRPr="006D3F87" w:rsidRDefault="006D3F87" w:rsidP="006D3F87">
            <w:pPr>
              <w:autoSpaceDE w:val="0"/>
              <w:autoSpaceDN w:val="0"/>
              <w:adjustRightInd w:val="0"/>
              <w:rPr>
                <w:rFonts w:asciiTheme="minorHAnsi" w:hAnsiTheme="minorHAnsi" w:cstheme="minorHAnsi"/>
              </w:rPr>
            </w:pPr>
          </w:p>
          <w:p w14:paraId="04B88B55"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rPr>
              <w:t xml:space="preserve">Aguirre, Rafael y Francisco Javier Vitoria </w:t>
            </w:r>
            <w:proofErr w:type="spellStart"/>
            <w:r w:rsidRPr="006D3F87">
              <w:rPr>
                <w:rFonts w:asciiTheme="minorHAnsi" w:hAnsiTheme="minorHAnsi" w:cstheme="minorHAnsi"/>
              </w:rPr>
              <w:t>Cormenzana</w:t>
            </w:r>
            <w:proofErr w:type="spellEnd"/>
            <w:r w:rsidRPr="006D3F87">
              <w:rPr>
                <w:rFonts w:asciiTheme="minorHAnsi" w:hAnsiTheme="minorHAnsi" w:cstheme="minorHAnsi"/>
              </w:rPr>
              <w:t xml:space="preserve">. “Justicia”. En </w:t>
            </w:r>
            <w:proofErr w:type="spellStart"/>
            <w:r w:rsidRPr="006D3F87">
              <w:rPr>
                <w:rFonts w:asciiTheme="minorHAnsi" w:hAnsiTheme="minorHAnsi" w:cstheme="minorHAnsi"/>
                <w:i/>
                <w:iCs/>
              </w:rPr>
              <w:t>Mysterium</w:t>
            </w:r>
            <w:proofErr w:type="spellEnd"/>
            <w:r w:rsidRPr="006D3F87">
              <w:rPr>
                <w:rFonts w:asciiTheme="minorHAnsi" w:hAnsiTheme="minorHAnsi" w:cstheme="minorHAnsi"/>
                <w:i/>
                <w:iCs/>
              </w:rPr>
              <w:t xml:space="preserve"> </w:t>
            </w:r>
            <w:proofErr w:type="spellStart"/>
            <w:r w:rsidRPr="006D3F87">
              <w:rPr>
                <w:rFonts w:asciiTheme="minorHAnsi" w:hAnsiTheme="minorHAnsi" w:cstheme="minorHAnsi"/>
                <w:i/>
                <w:iCs/>
              </w:rPr>
              <w:t>Liberationis</w:t>
            </w:r>
            <w:proofErr w:type="spellEnd"/>
            <w:r w:rsidRPr="006D3F87">
              <w:rPr>
                <w:rFonts w:asciiTheme="minorHAnsi" w:hAnsiTheme="minorHAnsi" w:cstheme="minorHAnsi"/>
                <w:i/>
                <w:iCs/>
              </w:rPr>
              <w:t xml:space="preserve"> II, </w:t>
            </w:r>
            <w:r w:rsidRPr="006D3F87">
              <w:rPr>
                <w:rFonts w:asciiTheme="minorHAnsi" w:hAnsiTheme="minorHAnsi" w:cstheme="minorHAnsi"/>
              </w:rPr>
              <w:t>editado por Ignacio Ellacuría y Jon Sobrino,</w:t>
            </w:r>
            <w:r w:rsidRPr="006D3F87">
              <w:rPr>
                <w:rFonts w:asciiTheme="minorHAnsi" w:hAnsiTheme="minorHAnsi" w:cstheme="minorHAnsi"/>
                <w:i/>
                <w:iCs/>
              </w:rPr>
              <w:t xml:space="preserve"> </w:t>
            </w:r>
            <w:r w:rsidRPr="006D3F87">
              <w:rPr>
                <w:rFonts w:asciiTheme="minorHAnsi" w:hAnsiTheme="minorHAnsi" w:cstheme="minorHAnsi"/>
              </w:rPr>
              <w:t xml:space="preserve">551-577. San Salvador: UCA Editores, 1992. </w:t>
            </w:r>
            <w:r w:rsidRPr="006D3F87">
              <w:rPr>
                <w:rFonts w:asciiTheme="minorHAnsi" w:hAnsiTheme="minorHAnsi" w:cstheme="minorHAnsi"/>
                <w:color w:val="0070C0"/>
              </w:rPr>
              <w:t>(clásico, última edición)</w:t>
            </w:r>
          </w:p>
          <w:p w14:paraId="36C5FA25" w14:textId="77777777" w:rsidR="006D3F87" w:rsidRPr="006D3F87" w:rsidRDefault="006D3F87" w:rsidP="006D3F87">
            <w:pPr>
              <w:autoSpaceDE w:val="0"/>
              <w:autoSpaceDN w:val="0"/>
              <w:adjustRightInd w:val="0"/>
              <w:rPr>
                <w:rFonts w:asciiTheme="minorHAnsi" w:hAnsiTheme="minorHAnsi" w:cstheme="minorHAnsi"/>
              </w:rPr>
            </w:pPr>
          </w:p>
          <w:p w14:paraId="641A351B" w14:textId="77777777" w:rsidR="006D3F87" w:rsidRPr="006D3F87" w:rsidRDefault="006D3F87" w:rsidP="006D3F87">
            <w:pPr>
              <w:autoSpaceDE w:val="0"/>
              <w:autoSpaceDN w:val="0"/>
              <w:adjustRightInd w:val="0"/>
              <w:rPr>
                <w:rFonts w:asciiTheme="minorHAnsi" w:hAnsiTheme="minorHAnsi" w:cstheme="minorHAnsi"/>
                <w:b/>
                <w:bCs/>
                <w:color w:val="0070C0"/>
              </w:rPr>
            </w:pPr>
            <w:r w:rsidRPr="006D3F87">
              <w:rPr>
                <w:rFonts w:asciiTheme="minorHAnsi" w:hAnsiTheme="minorHAnsi" w:cstheme="minorHAnsi"/>
                <w:b/>
                <w:bCs/>
                <w:color w:val="0070C0"/>
              </w:rPr>
              <w:t>Material complementario</w:t>
            </w:r>
          </w:p>
          <w:p w14:paraId="5C743A94" w14:textId="77777777" w:rsidR="006D3F87" w:rsidRPr="006D3F87" w:rsidRDefault="006D3F87" w:rsidP="006D3F87">
            <w:pPr>
              <w:autoSpaceDE w:val="0"/>
              <w:autoSpaceDN w:val="0"/>
              <w:adjustRightInd w:val="0"/>
              <w:rPr>
                <w:rFonts w:asciiTheme="minorHAnsi" w:hAnsiTheme="minorHAnsi" w:cstheme="minorHAnsi"/>
                <w:b/>
                <w:bCs/>
                <w:color w:val="0070C0"/>
              </w:rPr>
            </w:pPr>
          </w:p>
          <w:p w14:paraId="71F81D93"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 xml:space="preserve">Guía para la participación mediante la herramienta Big Blue </w:t>
            </w:r>
            <w:proofErr w:type="spellStart"/>
            <w:r w:rsidRPr="006D3F87">
              <w:rPr>
                <w:rFonts w:asciiTheme="minorHAnsi" w:hAnsiTheme="minorHAnsi" w:cstheme="minorHAnsi"/>
                <w:color w:val="0070C0"/>
              </w:rPr>
              <w:t>Button</w:t>
            </w:r>
            <w:proofErr w:type="spellEnd"/>
            <w:r w:rsidRPr="006D3F87">
              <w:rPr>
                <w:rFonts w:asciiTheme="minorHAnsi" w:hAnsiTheme="minorHAnsi" w:cstheme="minorHAnsi"/>
                <w:color w:val="0070C0"/>
              </w:rPr>
              <w:t xml:space="preserve"> en la plataforma Moodle</w:t>
            </w:r>
          </w:p>
          <w:p w14:paraId="56937A20" w14:textId="77777777" w:rsidR="006D3F87" w:rsidRPr="006D3F87" w:rsidRDefault="006D3F87" w:rsidP="006D3F87">
            <w:pPr>
              <w:autoSpaceDE w:val="0"/>
              <w:autoSpaceDN w:val="0"/>
              <w:adjustRightInd w:val="0"/>
              <w:rPr>
                <w:rFonts w:asciiTheme="minorHAnsi" w:hAnsiTheme="minorHAnsi" w:cstheme="minorHAnsi"/>
              </w:rPr>
            </w:pPr>
          </w:p>
          <w:p w14:paraId="72C102DA"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653" w:type="dxa"/>
          </w:tcPr>
          <w:p w14:paraId="71974E3E" w14:textId="77777777" w:rsidR="006D3F87" w:rsidRPr="006D3F87" w:rsidRDefault="006D3F87" w:rsidP="006D3F87">
            <w:pPr>
              <w:widowControl w:val="0"/>
              <w:numPr>
                <w:ilvl w:val="0"/>
                <w:numId w:val="298"/>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Realizar las lecturas de la sesión.</w:t>
            </w:r>
          </w:p>
          <w:p w14:paraId="54A193D6" w14:textId="77777777" w:rsidR="006D3F87" w:rsidRPr="006D3F87" w:rsidRDefault="006D3F87" w:rsidP="006D3F87">
            <w:pPr>
              <w:widowControl w:val="0"/>
              <w:numPr>
                <w:ilvl w:val="0"/>
                <w:numId w:val="298"/>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Presentación de las investigaciones grupales sobre la liberación en la teología bíblica del Antiguo y Nuevo Testamento en un encuentro sincrónico virtual. </w:t>
            </w:r>
          </w:p>
          <w:p w14:paraId="55B1678F" w14:textId="77777777" w:rsidR="006D3F87" w:rsidRPr="006D3F87" w:rsidRDefault="006D3F87" w:rsidP="006D3F87">
            <w:pPr>
              <w:widowControl w:val="0"/>
              <w:numPr>
                <w:ilvl w:val="0"/>
                <w:numId w:val="298"/>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Continuar con la elaboración del ensayo final. </w:t>
            </w:r>
          </w:p>
          <w:p w14:paraId="11DECB98" w14:textId="77777777" w:rsidR="006D3F87" w:rsidRPr="006D3F87" w:rsidRDefault="006D3F87" w:rsidP="006D3F87">
            <w:pPr>
              <w:autoSpaceDE w:val="0"/>
              <w:autoSpaceDN w:val="0"/>
              <w:adjustRightInd w:val="0"/>
              <w:rPr>
                <w:rFonts w:asciiTheme="minorHAnsi" w:hAnsiTheme="minorHAnsi" w:cstheme="minorHAnsi"/>
                <w:color w:val="000000"/>
              </w:rPr>
            </w:pPr>
          </w:p>
        </w:tc>
      </w:tr>
      <w:tr w:rsidR="006D3F87" w:rsidRPr="006D3F87" w14:paraId="2B00CAE8" w14:textId="77777777" w:rsidTr="00104785">
        <w:trPr>
          <w:jc w:val="center"/>
        </w:trPr>
        <w:tc>
          <w:tcPr>
            <w:tcW w:w="1144" w:type="dxa"/>
          </w:tcPr>
          <w:p w14:paraId="336EF949"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13</w:t>
            </w:r>
          </w:p>
        </w:tc>
        <w:tc>
          <w:tcPr>
            <w:tcW w:w="2395" w:type="dxa"/>
          </w:tcPr>
          <w:p w14:paraId="435E3CA9"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4: La salvación como criterio para discernir al Dios de la solidaridad y la libertad</w:t>
            </w:r>
          </w:p>
          <w:p w14:paraId="114A02C1"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5F58540B"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4.1 La salvación en la Teología del Antiguo Testamento</w:t>
            </w:r>
          </w:p>
          <w:p w14:paraId="5A9D1119" w14:textId="77777777" w:rsidR="006D3F87" w:rsidRPr="006D3F87" w:rsidRDefault="006D3F87" w:rsidP="006D3F87">
            <w:pPr>
              <w:autoSpaceDE w:val="0"/>
              <w:autoSpaceDN w:val="0"/>
              <w:adjustRightInd w:val="0"/>
              <w:rPr>
                <w:rFonts w:asciiTheme="minorHAnsi" w:hAnsiTheme="minorHAnsi" w:cstheme="minorHAnsi"/>
                <w:color w:val="000000"/>
              </w:rPr>
            </w:pPr>
          </w:p>
          <w:p w14:paraId="56A5C386"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4.2 La salvación en la teología del Nuevo Testamento</w:t>
            </w:r>
          </w:p>
        </w:tc>
        <w:tc>
          <w:tcPr>
            <w:tcW w:w="3402" w:type="dxa"/>
          </w:tcPr>
          <w:p w14:paraId="304AC48C"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3F62F2AB" w14:textId="77777777" w:rsidR="006D3F87" w:rsidRPr="006D3F87" w:rsidRDefault="006D3F87" w:rsidP="006D3F87">
            <w:pPr>
              <w:autoSpaceDE w:val="0"/>
              <w:autoSpaceDN w:val="0"/>
              <w:adjustRightInd w:val="0"/>
              <w:rPr>
                <w:rFonts w:asciiTheme="minorHAnsi" w:hAnsiTheme="minorHAnsi" w:cstheme="minorHAnsi"/>
              </w:rPr>
            </w:pPr>
          </w:p>
          <w:p w14:paraId="520472B8"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rPr>
              <w:t xml:space="preserve">Gutiérrez, Gustavo. “Encuentro con Dios en la historia”. En </w:t>
            </w:r>
            <w:r w:rsidRPr="006D3F87">
              <w:rPr>
                <w:rFonts w:asciiTheme="minorHAnsi" w:hAnsiTheme="minorHAnsi" w:cstheme="minorHAnsi"/>
                <w:i/>
                <w:iCs/>
              </w:rPr>
              <w:t>Teología de la liberación: Perspectivas</w:t>
            </w:r>
            <w:r w:rsidRPr="006D3F87">
              <w:rPr>
                <w:rFonts w:asciiTheme="minorHAnsi" w:hAnsiTheme="minorHAnsi" w:cstheme="minorHAnsi"/>
              </w:rPr>
              <w:t>, 243-273.</w:t>
            </w:r>
            <w:r w:rsidRPr="006D3F87">
              <w:rPr>
                <w:rFonts w:asciiTheme="minorHAnsi" w:hAnsiTheme="minorHAnsi" w:cstheme="minorHAnsi"/>
                <w:i/>
                <w:iCs/>
              </w:rPr>
              <w:t xml:space="preserve"> </w:t>
            </w:r>
            <w:r w:rsidRPr="006D3F87">
              <w:rPr>
                <w:rFonts w:asciiTheme="minorHAnsi" w:hAnsiTheme="minorHAnsi" w:cstheme="minorHAnsi"/>
              </w:rPr>
              <w:t xml:space="preserve">Salamanca: Sígueme, 1975. </w:t>
            </w:r>
            <w:r w:rsidRPr="006D3F87">
              <w:rPr>
                <w:rFonts w:asciiTheme="minorHAnsi" w:hAnsiTheme="minorHAnsi" w:cstheme="minorHAnsi"/>
                <w:color w:val="0070C0"/>
              </w:rPr>
              <w:t>(clásico, última edición 2022)</w:t>
            </w:r>
          </w:p>
          <w:p w14:paraId="0FB1EC91" w14:textId="77777777" w:rsidR="006D3F87" w:rsidRPr="006D3F87" w:rsidRDefault="006D3F87" w:rsidP="006D3F87">
            <w:pPr>
              <w:autoSpaceDE w:val="0"/>
              <w:autoSpaceDN w:val="0"/>
              <w:adjustRightInd w:val="0"/>
              <w:rPr>
                <w:rFonts w:asciiTheme="minorHAnsi" w:hAnsiTheme="minorHAnsi" w:cstheme="minorHAnsi"/>
              </w:rPr>
            </w:pPr>
          </w:p>
          <w:p w14:paraId="37CD237C" w14:textId="77777777" w:rsidR="006D3F87" w:rsidRPr="006D3F87" w:rsidRDefault="006D3F87" w:rsidP="006D3F87">
            <w:pPr>
              <w:autoSpaceDE w:val="0"/>
              <w:autoSpaceDN w:val="0"/>
              <w:adjustRightInd w:val="0"/>
              <w:rPr>
                <w:rFonts w:asciiTheme="minorHAnsi" w:hAnsiTheme="minorHAnsi" w:cstheme="minorHAnsi"/>
              </w:rPr>
            </w:pPr>
          </w:p>
          <w:p w14:paraId="53D71759" w14:textId="77777777" w:rsidR="006D3F87" w:rsidRPr="006D3F87" w:rsidRDefault="006D3F87" w:rsidP="006D3F87">
            <w:pPr>
              <w:autoSpaceDE w:val="0"/>
              <w:autoSpaceDN w:val="0"/>
              <w:adjustRightInd w:val="0"/>
              <w:rPr>
                <w:rFonts w:asciiTheme="minorHAnsi" w:hAnsiTheme="minorHAnsi" w:cstheme="minorHAnsi"/>
                <w:color w:val="0070C0"/>
              </w:rPr>
            </w:pPr>
            <w:proofErr w:type="spellStart"/>
            <w:r w:rsidRPr="006D3F87">
              <w:rPr>
                <w:rFonts w:asciiTheme="minorHAnsi" w:hAnsiTheme="minorHAnsi" w:cstheme="minorHAnsi"/>
              </w:rPr>
              <w:t>Schelke</w:t>
            </w:r>
            <w:proofErr w:type="spellEnd"/>
            <w:r w:rsidRPr="006D3F87">
              <w:rPr>
                <w:rFonts w:asciiTheme="minorHAnsi" w:hAnsiTheme="minorHAnsi" w:cstheme="minorHAnsi"/>
              </w:rPr>
              <w:t xml:space="preserve">, K.H. “Salvar-Sanar / Salvador-Redentor”. </w:t>
            </w:r>
            <w:r w:rsidRPr="006D3F87">
              <w:rPr>
                <w:rFonts w:asciiTheme="minorHAnsi" w:hAnsiTheme="minorHAnsi" w:cstheme="minorHAnsi"/>
                <w:lang w:val="de-DE"/>
              </w:rPr>
              <w:t xml:space="preserve">En </w:t>
            </w:r>
            <w:r w:rsidRPr="006D3F87">
              <w:rPr>
                <w:rFonts w:asciiTheme="minorHAnsi" w:hAnsiTheme="minorHAnsi" w:cstheme="minorHAnsi"/>
                <w:i/>
                <w:iCs/>
              </w:rPr>
              <w:t>Diccionario exegético del Nuevo Testamento II</w:t>
            </w:r>
            <w:r w:rsidRPr="006D3F87">
              <w:rPr>
                <w:rFonts w:asciiTheme="minorHAnsi" w:hAnsiTheme="minorHAnsi" w:cstheme="minorHAnsi"/>
              </w:rPr>
              <w:t xml:space="preserve">, editado por </w:t>
            </w:r>
            <w:r w:rsidRPr="006D3F87">
              <w:rPr>
                <w:rFonts w:asciiTheme="minorHAnsi" w:hAnsiTheme="minorHAnsi" w:cstheme="minorHAnsi"/>
                <w:lang w:val="de-DE"/>
              </w:rPr>
              <w:t>Horst Balz y Gerhard Schneider,</w:t>
            </w:r>
            <w:r w:rsidRPr="006D3F87">
              <w:rPr>
                <w:rFonts w:asciiTheme="minorHAnsi" w:hAnsiTheme="minorHAnsi" w:cstheme="minorHAnsi"/>
              </w:rPr>
              <w:t xml:space="preserve"> 1635-1641 y 1655-1666. Salamanca: Sígueme, 1998. </w:t>
            </w:r>
            <w:r w:rsidRPr="006D3F87">
              <w:rPr>
                <w:rFonts w:asciiTheme="minorHAnsi" w:hAnsiTheme="minorHAnsi" w:cstheme="minorHAnsi"/>
                <w:color w:val="0070C0"/>
              </w:rPr>
              <w:t>(clásico, última edición)</w:t>
            </w:r>
          </w:p>
          <w:p w14:paraId="7DA7A039" w14:textId="77777777" w:rsidR="006D3F87" w:rsidRPr="006D3F87" w:rsidRDefault="006D3F87" w:rsidP="006D3F87">
            <w:pPr>
              <w:autoSpaceDE w:val="0"/>
              <w:autoSpaceDN w:val="0"/>
              <w:adjustRightInd w:val="0"/>
              <w:rPr>
                <w:rFonts w:asciiTheme="minorHAnsi" w:hAnsiTheme="minorHAnsi" w:cstheme="minorHAnsi"/>
              </w:rPr>
            </w:pPr>
          </w:p>
          <w:p w14:paraId="22BAA451" w14:textId="77777777" w:rsidR="006D3F87" w:rsidRPr="006D3F87" w:rsidRDefault="006D3F87" w:rsidP="006D3F87">
            <w:pPr>
              <w:autoSpaceDE w:val="0"/>
              <w:autoSpaceDN w:val="0"/>
              <w:adjustRightInd w:val="0"/>
              <w:rPr>
                <w:rFonts w:asciiTheme="minorHAnsi" w:hAnsiTheme="minorHAnsi" w:cstheme="minorHAnsi"/>
              </w:rPr>
            </w:pPr>
          </w:p>
          <w:p w14:paraId="6D3E89C5" w14:textId="77777777" w:rsidR="006D3F87" w:rsidRPr="006D3F87" w:rsidRDefault="006D3F87" w:rsidP="006D3F87">
            <w:pPr>
              <w:autoSpaceDE w:val="0"/>
              <w:autoSpaceDN w:val="0"/>
              <w:adjustRightInd w:val="0"/>
              <w:rPr>
                <w:rFonts w:asciiTheme="minorHAnsi" w:hAnsiTheme="minorHAnsi" w:cstheme="minorHAnsi"/>
                <w:b/>
                <w:bCs/>
                <w:color w:val="0070C0"/>
              </w:rPr>
            </w:pPr>
            <w:r w:rsidRPr="006D3F87">
              <w:rPr>
                <w:rFonts w:asciiTheme="minorHAnsi" w:hAnsiTheme="minorHAnsi" w:cstheme="minorHAnsi"/>
                <w:b/>
                <w:bCs/>
                <w:color w:val="0070C0"/>
              </w:rPr>
              <w:t>Material complementario</w:t>
            </w:r>
          </w:p>
          <w:p w14:paraId="13383C50" w14:textId="77777777" w:rsidR="006D3F87" w:rsidRPr="006D3F87" w:rsidRDefault="006D3F87" w:rsidP="006D3F87">
            <w:pPr>
              <w:autoSpaceDE w:val="0"/>
              <w:autoSpaceDN w:val="0"/>
              <w:adjustRightInd w:val="0"/>
              <w:rPr>
                <w:rFonts w:asciiTheme="minorHAnsi" w:hAnsiTheme="minorHAnsi" w:cstheme="minorHAnsi"/>
                <w:b/>
                <w:bCs/>
                <w:color w:val="0070C0"/>
              </w:rPr>
            </w:pPr>
          </w:p>
          <w:p w14:paraId="6F6E7258" w14:textId="77777777" w:rsidR="006D3F87" w:rsidRPr="006D3F87" w:rsidRDefault="006D3F87" w:rsidP="006D3F87">
            <w:pPr>
              <w:autoSpaceDE w:val="0"/>
              <w:autoSpaceDN w:val="0"/>
              <w:adjustRightInd w:val="0"/>
              <w:rPr>
                <w:rFonts w:asciiTheme="minorHAnsi" w:hAnsiTheme="minorHAnsi" w:cstheme="minorHAnsi"/>
              </w:rPr>
            </w:pPr>
            <w:r w:rsidRPr="006D3F87">
              <w:rPr>
                <w:rFonts w:asciiTheme="minorHAnsi" w:hAnsiTheme="minorHAnsi" w:cstheme="minorHAnsi"/>
                <w:color w:val="0070C0"/>
              </w:rPr>
              <w:t>Guía para la elaboración de un ensayo</w:t>
            </w:r>
          </w:p>
          <w:p w14:paraId="7B259D64" w14:textId="77777777" w:rsidR="006D3F87" w:rsidRPr="006D3F87" w:rsidRDefault="006D3F87" w:rsidP="006D3F87">
            <w:pPr>
              <w:autoSpaceDE w:val="0"/>
              <w:autoSpaceDN w:val="0"/>
              <w:adjustRightInd w:val="0"/>
              <w:rPr>
                <w:rFonts w:asciiTheme="minorHAnsi" w:hAnsiTheme="minorHAnsi" w:cstheme="minorHAnsi"/>
                <w:color w:val="000000"/>
              </w:rPr>
            </w:pPr>
          </w:p>
        </w:tc>
        <w:tc>
          <w:tcPr>
            <w:tcW w:w="3653" w:type="dxa"/>
          </w:tcPr>
          <w:p w14:paraId="6D13F63E" w14:textId="77777777" w:rsidR="006D3F87" w:rsidRPr="006D3F87" w:rsidRDefault="006D3F87" w:rsidP="006D3F87">
            <w:pPr>
              <w:widowControl w:val="0"/>
              <w:numPr>
                <w:ilvl w:val="0"/>
                <w:numId w:val="299"/>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Realizar las lecturas de la sesión.</w:t>
            </w:r>
          </w:p>
          <w:p w14:paraId="31DA9E89" w14:textId="77777777" w:rsidR="006D3F87" w:rsidRPr="006D3F87" w:rsidRDefault="006D3F87" w:rsidP="006D3F87">
            <w:pPr>
              <w:widowControl w:val="0"/>
              <w:numPr>
                <w:ilvl w:val="0"/>
                <w:numId w:val="299"/>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 xml:space="preserve">Elaboración de un ensayo sobre la salvación en la teología bíblica. </w:t>
            </w:r>
          </w:p>
        </w:tc>
      </w:tr>
      <w:tr w:rsidR="006D3F87" w:rsidRPr="006D3F87" w14:paraId="38F7A3CF" w14:textId="77777777" w:rsidTr="00104785">
        <w:trPr>
          <w:jc w:val="center"/>
        </w:trPr>
        <w:tc>
          <w:tcPr>
            <w:tcW w:w="1144" w:type="dxa"/>
          </w:tcPr>
          <w:p w14:paraId="5874F7A7"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t>14</w:t>
            </w:r>
          </w:p>
        </w:tc>
        <w:tc>
          <w:tcPr>
            <w:tcW w:w="2395" w:type="dxa"/>
          </w:tcPr>
          <w:p w14:paraId="1A4DA58D"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5: Evaluación final</w:t>
            </w:r>
          </w:p>
          <w:p w14:paraId="2FD4CA92"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116C0D4C"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lastRenderedPageBreak/>
              <w:t>5.1 Entrega y presentación del ensayo final</w:t>
            </w:r>
          </w:p>
          <w:p w14:paraId="7946D04F" w14:textId="77777777" w:rsidR="006D3F87" w:rsidRPr="006D3F87" w:rsidRDefault="006D3F87" w:rsidP="006D3F87">
            <w:pPr>
              <w:autoSpaceDE w:val="0"/>
              <w:autoSpaceDN w:val="0"/>
              <w:adjustRightInd w:val="0"/>
              <w:jc w:val="both"/>
              <w:rPr>
                <w:rFonts w:asciiTheme="minorHAnsi" w:hAnsiTheme="minorHAnsi" w:cstheme="minorHAnsi"/>
                <w:b/>
                <w:bCs/>
                <w:color w:val="000000"/>
              </w:rPr>
            </w:pPr>
          </w:p>
        </w:tc>
        <w:tc>
          <w:tcPr>
            <w:tcW w:w="3402" w:type="dxa"/>
          </w:tcPr>
          <w:p w14:paraId="2CB24D47"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lastRenderedPageBreak/>
              <w:t>Ruta de aprendizaje</w:t>
            </w:r>
          </w:p>
          <w:p w14:paraId="4F4B69E5" w14:textId="77777777" w:rsidR="006D3F87" w:rsidRPr="006D3F87" w:rsidRDefault="006D3F87" w:rsidP="006D3F87">
            <w:pPr>
              <w:autoSpaceDE w:val="0"/>
              <w:autoSpaceDN w:val="0"/>
              <w:adjustRightInd w:val="0"/>
              <w:rPr>
                <w:rFonts w:asciiTheme="minorHAnsi" w:hAnsiTheme="minorHAnsi" w:cstheme="minorHAnsi"/>
                <w:color w:val="0070C0"/>
              </w:rPr>
            </w:pPr>
          </w:p>
          <w:p w14:paraId="1B2A4C83" w14:textId="77777777" w:rsidR="006D3F87" w:rsidRPr="006D3F87" w:rsidRDefault="006D3F87" w:rsidP="006D3F87">
            <w:pPr>
              <w:autoSpaceDE w:val="0"/>
              <w:autoSpaceDN w:val="0"/>
              <w:adjustRightInd w:val="0"/>
              <w:rPr>
                <w:rFonts w:asciiTheme="minorHAnsi" w:hAnsiTheme="minorHAnsi" w:cstheme="minorHAnsi"/>
                <w:b/>
                <w:bCs/>
                <w:color w:val="0070C0"/>
              </w:rPr>
            </w:pPr>
            <w:r w:rsidRPr="006D3F87">
              <w:rPr>
                <w:rFonts w:asciiTheme="minorHAnsi" w:hAnsiTheme="minorHAnsi" w:cstheme="minorHAnsi"/>
                <w:b/>
                <w:bCs/>
                <w:color w:val="0070C0"/>
              </w:rPr>
              <w:t>Material complementario</w:t>
            </w:r>
          </w:p>
          <w:p w14:paraId="40C5FAA8" w14:textId="77777777" w:rsidR="006D3F87" w:rsidRPr="006D3F87" w:rsidRDefault="006D3F87" w:rsidP="006D3F87">
            <w:pPr>
              <w:autoSpaceDE w:val="0"/>
              <w:autoSpaceDN w:val="0"/>
              <w:adjustRightInd w:val="0"/>
              <w:rPr>
                <w:rFonts w:asciiTheme="minorHAnsi" w:hAnsiTheme="minorHAnsi" w:cstheme="minorHAnsi"/>
                <w:b/>
                <w:bCs/>
                <w:color w:val="0070C0"/>
              </w:rPr>
            </w:pPr>
          </w:p>
          <w:p w14:paraId="062DDA4C"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 xml:space="preserve">Guía para la participación mediante la herramienta Big Blue </w:t>
            </w:r>
            <w:proofErr w:type="spellStart"/>
            <w:r w:rsidRPr="006D3F87">
              <w:rPr>
                <w:rFonts w:asciiTheme="minorHAnsi" w:hAnsiTheme="minorHAnsi" w:cstheme="minorHAnsi"/>
                <w:color w:val="0070C0"/>
              </w:rPr>
              <w:t>Button</w:t>
            </w:r>
            <w:proofErr w:type="spellEnd"/>
            <w:r w:rsidRPr="006D3F87">
              <w:rPr>
                <w:rFonts w:asciiTheme="minorHAnsi" w:hAnsiTheme="minorHAnsi" w:cstheme="minorHAnsi"/>
                <w:color w:val="0070C0"/>
              </w:rPr>
              <w:t xml:space="preserve"> en la plataforma Moodle</w:t>
            </w:r>
          </w:p>
          <w:p w14:paraId="281C523A" w14:textId="77777777" w:rsidR="006D3F87" w:rsidRPr="006D3F87" w:rsidRDefault="006D3F87" w:rsidP="006D3F87">
            <w:pPr>
              <w:autoSpaceDE w:val="0"/>
              <w:autoSpaceDN w:val="0"/>
              <w:adjustRightInd w:val="0"/>
              <w:rPr>
                <w:rFonts w:asciiTheme="minorHAnsi" w:hAnsiTheme="minorHAnsi" w:cstheme="minorHAnsi"/>
                <w:b/>
                <w:bCs/>
                <w:color w:val="000000"/>
                <w:sz w:val="24"/>
                <w:szCs w:val="24"/>
              </w:rPr>
            </w:pPr>
          </w:p>
        </w:tc>
        <w:tc>
          <w:tcPr>
            <w:tcW w:w="3653" w:type="dxa"/>
          </w:tcPr>
          <w:p w14:paraId="618B52E2" w14:textId="77777777" w:rsidR="006D3F87" w:rsidRPr="006D3F87" w:rsidRDefault="006D3F87" w:rsidP="006D3F87">
            <w:pPr>
              <w:widowControl w:val="0"/>
              <w:numPr>
                <w:ilvl w:val="0"/>
                <w:numId w:val="300"/>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lastRenderedPageBreak/>
              <w:t xml:space="preserve">Presentación de un resumen oral de su ensayo final en un </w:t>
            </w:r>
            <w:r w:rsidRPr="006D3F87">
              <w:rPr>
                <w:rFonts w:asciiTheme="minorHAnsi" w:hAnsiTheme="minorHAnsi" w:cstheme="minorHAnsi"/>
                <w:color w:val="000000"/>
              </w:rPr>
              <w:lastRenderedPageBreak/>
              <w:t xml:space="preserve">encuentro sincrónico virtual (según asignación docente). </w:t>
            </w:r>
          </w:p>
        </w:tc>
      </w:tr>
      <w:tr w:rsidR="006D3F87" w:rsidRPr="006D3F87" w14:paraId="65DF978E" w14:textId="77777777" w:rsidTr="00104785">
        <w:trPr>
          <w:jc w:val="center"/>
        </w:trPr>
        <w:tc>
          <w:tcPr>
            <w:tcW w:w="1144" w:type="dxa"/>
          </w:tcPr>
          <w:p w14:paraId="0F5411C5" w14:textId="77777777" w:rsidR="006D3F87" w:rsidRPr="006D3F87" w:rsidRDefault="006D3F87" w:rsidP="006D3F87">
            <w:pPr>
              <w:autoSpaceDE w:val="0"/>
              <w:autoSpaceDN w:val="0"/>
              <w:adjustRightInd w:val="0"/>
              <w:jc w:val="center"/>
              <w:rPr>
                <w:rFonts w:asciiTheme="minorHAnsi" w:hAnsiTheme="minorHAnsi" w:cstheme="minorHAnsi"/>
                <w:color w:val="000000"/>
              </w:rPr>
            </w:pPr>
            <w:r w:rsidRPr="006D3F87">
              <w:rPr>
                <w:rFonts w:asciiTheme="minorHAnsi" w:hAnsiTheme="minorHAnsi" w:cstheme="minorHAnsi"/>
                <w:color w:val="000000"/>
              </w:rPr>
              <w:lastRenderedPageBreak/>
              <w:t>15</w:t>
            </w:r>
          </w:p>
        </w:tc>
        <w:tc>
          <w:tcPr>
            <w:tcW w:w="2395" w:type="dxa"/>
          </w:tcPr>
          <w:p w14:paraId="273A76AE" w14:textId="77777777" w:rsidR="006D3F87" w:rsidRPr="006D3F87" w:rsidRDefault="006D3F87" w:rsidP="006D3F87">
            <w:pPr>
              <w:autoSpaceDE w:val="0"/>
              <w:autoSpaceDN w:val="0"/>
              <w:adjustRightInd w:val="0"/>
              <w:rPr>
                <w:rFonts w:asciiTheme="minorHAnsi" w:hAnsiTheme="minorHAnsi" w:cstheme="minorHAnsi"/>
                <w:b/>
                <w:bCs/>
                <w:color w:val="000000"/>
              </w:rPr>
            </w:pPr>
            <w:r w:rsidRPr="006D3F87">
              <w:rPr>
                <w:rFonts w:asciiTheme="minorHAnsi" w:hAnsiTheme="minorHAnsi" w:cstheme="minorHAnsi"/>
                <w:b/>
                <w:bCs/>
                <w:color w:val="000000"/>
              </w:rPr>
              <w:t>Unidad 5: Evaluación final</w:t>
            </w:r>
          </w:p>
          <w:p w14:paraId="08E7A8F6" w14:textId="77777777" w:rsidR="006D3F87" w:rsidRPr="006D3F87" w:rsidRDefault="006D3F87" w:rsidP="006D3F87">
            <w:pPr>
              <w:autoSpaceDE w:val="0"/>
              <w:autoSpaceDN w:val="0"/>
              <w:adjustRightInd w:val="0"/>
              <w:rPr>
                <w:rFonts w:asciiTheme="minorHAnsi" w:hAnsiTheme="minorHAnsi" w:cstheme="minorHAnsi"/>
                <w:b/>
                <w:bCs/>
                <w:color w:val="000000"/>
              </w:rPr>
            </w:pPr>
          </w:p>
          <w:p w14:paraId="3A499E3D" w14:textId="77777777" w:rsidR="006D3F87" w:rsidRPr="006D3F87" w:rsidRDefault="006D3F87" w:rsidP="006D3F87">
            <w:pPr>
              <w:autoSpaceDE w:val="0"/>
              <w:autoSpaceDN w:val="0"/>
              <w:adjustRightInd w:val="0"/>
              <w:rPr>
                <w:rFonts w:asciiTheme="minorHAnsi" w:hAnsiTheme="minorHAnsi" w:cstheme="minorHAnsi"/>
                <w:color w:val="000000"/>
              </w:rPr>
            </w:pPr>
            <w:r w:rsidRPr="006D3F87">
              <w:rPr>
                <w:rFonts w:asciiTheme="minorHAnsi" w:hAnsiTheme="minorHAnsi" w:cstheme="minorHAnsi"/>
                <w:color w:val="000000"/>
              </w:rPr>
              <w:t>5.1 Entrega y presentación del ensayo final</w:t>
            </w:r>
          </w:p>
          <w:p w14:paraId="35485ED5" w14:textId="77777777" w:rsidR="006D3F87" w:rsidRPr="006D3F87" w:rsidRDefault="006D3F87" w:rsidP="006D3F87">
            <w:pPr>
              <w:autoSpaceDE w:val="0"/>
              <w:autoSpaceDN w:val="0"/>
              <w:adjustRightInd w:val="0"/>
              <w:jc w:val="both"/>
              <w:rPr>
                <w:rFonts w:asciiTheme="minorHAnsi" w:hAnsiTheme="minorHAnsi" w:cstheme="minorHAnsi"/>
                <w:color w:val="000000"/>
              </w:rPr>
            </w:pPr>
          </w:p>
        </w:tc>
        <w:tc>
          <w:tcPr>
            <w:tcW w:w="3402" w:type="dxa"/>
          </w:tcPr>
          <w:p w14:paraId="346ACE99"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Ruta de aprendizaje</w:t>
            </w:r>
          </w:p>
          <w:p w14:paraId="0084866C" w14:textId="77777777" w:rsidR="006D3F87" w:rsidRPr="006D3F87" w:rsidRDefault="006D3F87" w:rsidP="006D3F87">
            <w:pPr>
              <w:autoSpaceDE w:val="0"/>
              <w:autoSpaceDN w:val="0"/>
              <w:adjustRightInd w:val="0"/>
              <w:rPr>
                <w:rFonts w:asciiTheme="minorHAnsi" w:hAnsiTheme="minorHAnsi" w:cstheme="minorHAnsi"/>
                <w:color w:val="0070C0"/>
              </w:rPr>
            </w:pPr>
          </w:p>
          <w:p w14:paraId="7725919B" w14:textId="77777777" w:rsidR="006D3F87" w:rsidRPr="006D3F87" w:rsidRDefault="006D3F87" w:rsidP="006D3F87">
            <w:pPr>
              <w:autoSpaceDE w:val="0"/>
              <w:autoSpaceDN w:val="0"/>
              <w:adjustRightInd w:val="0"/>
              <w:rPr>
                <w:rFonts w:asciiTheme="minorHAnsi" w:hAnsiTheme="minorHAnsi" w:cstheme="minorHAnsi"/>
                <w:b/>
                <w:bCs/>
                <w:color w:val="0070C0"/>
              </w:rPr>
            </w:pPr>
            <w:r w:rsidRPr="006D3F87">
              <w:rPr>
                <w:rFonts w:asciiTheme="minorHAnsi" w:hAnsiTheme="minorHAnsi" w:cstheme="minorHAnsi"/>
                <w:b/>
                <w:bCs/>
                <w:color w:val="0070C0"/>
              </w:rPr>
              <w:t>Material complementario</w:t>
            </w:r>
          </w:p>
          <w:p w14:paraId="774FE63C" w14:textId="77777777" w:rsidR="006D3F87" w:rsidRPr="006D3F87" w:rsidRDefault="006D3F87" w:rsidP="006D3F87">
            <w:pPr>
              <w:autoSpaceDE w:val="0"/>
              <w:autoSpaceDN w:val="0"/>
              <w:adjustRightInd w:val="0"/>
              <w:rPr>
                <w:rFonts w:asciiTheme="minorHAnsi" w:hAnsiTheme="minorHAnsi" w:cstheme="minorHAnsi"/>
                <w:b/>
                <w:bCs/>
                <w:color w:val="0070C0"/>
              </w:rPr>
            </w:pPr>
          </w:p>
          <w:p w14:paraId="4F408C00"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Guía para la elaboración de un ensayo</w:t>
            </w:r>
          </w:p>
          <w:p w14:paraId="7A47ADBE" w14:textId="77777777" w:rsidR="006D3F87" w:rsidRPr="006D3F87" w:rsidRDefault="006D3F87" w:rsidP="006D3F87">
            <w:pPr>
              <w:autoSpaceDE w:val="0"/>
              <w:autoSpaceDN w:val="0"/>
              <w:adjustRightInd w:val="0"/>
              <w:rPr>
                <w:rFonts w:asciiTheme="minorHAnsi" w:hAnsiTheme="minorHAnsi" w:cstheme="minorHAnsi"/>
                <w:color w:val="0070C0"/>
              </w:rPr>
            </w:pPr>
          </w:p>
          <w:p w14:paraId="2AE158BF" w14:textId="77777777" w:rsidR="006D3F87" w:rsidRPr="006D3F87" w:rsidRDefault="006D3F87" w:rsidP="006D3F87">
            <w:pPr>
              <w:autoSpaceDE w:val="0"/>
              <w:autoSpaceDN w:val="0"/>
              <w:adjustRightInd w:val="0"/>
              <w:rPr>
                <w:rFonts w:asciiTheme="minorHAnsi" w:hAnsiTheme="minorHAnsi" w:cstheme="minorHAnsi"/>
                <w:color w:val="0070C0"/>
              </w:rPr>
            </w:pPr>
            <w:r w:rsidRPr="006D3F87">
              <w:rPr>
                <w:rFonts w:asciiTheme="minorHAnsi" w:hAnsiTheme="minorHAnsi" w:cstheme="minorHAnsi"/>
                <w:color w:val="0070C0"/>
              </w:rPr>
              <w:t xml:space="preserve">Guía para la participación mediante la herramienta Big Blue </w:t>
            </w:r>
            <w:proofErr w:type="spellStart"/>
            <w:r w:rsidRPr="006D3F87">
              <w:rPr>
                <w:rFonts w:asciiTheme="minorHAnsi" w:hAnsiTheme="minorHAnsi" w:cstheme="minorHAnsi"/>
                <w:color w:val="0070C0"/>
              </w:rPr>
              <w:t>Button</w:t>
            </w:r>
            <w:proofErr w:type="spellEnd"/>
            <w:r w:rsidRPr="006D3F87">
              <w:rPr>
                <w:rFonts w:asciiTheme="minorHAnsi" w:hAnsiTheme="minorHAnsi" w:cstheme="minorHAnsi"/>
                <w:color w:val="0070C0"/>
              </w:rPr>
              <w:t xml:space="preserve"> en la plataforma Moodle</w:t>
            </w:r>
          </w:p>
          <w:p w14:paraId="221661A5" w14:textId="77777777" w:rsidR="006D3F87" w:rsidRPr="006D3F87" w:rsidRDefault="006D3F87" w:rsidP="006D3F87">
            <w:pPr>
              <w:autoSpaceDE w:val="0"/>
              <w:autoSpaceDN w:val="0"/>
              <w:adjustRightInd w:val="0"/>
              <w:rPr>
                <w:rFonts w:asciiTheme="minorHAnsi" w:hAnsiTheme="minorHAnsi" w:cstheme="minorHAnsi"/>
                <w:color w:val="000000"/>
                <w:sz w:val="24"/>
                <w:szCs w:val="24"/>
              </w:rPr>
            </w:pPr>
          </w:p>
        </w:tc>
        <w:tc>
          <w:tcPr>
            <w:tcW w:w="3653" w:type="dxa"/>
          </w:tcPr>
          <w:p w14:paraId="4FACAAA4" w14:textId="77777777" w:rsidR="006D3F87" w:rsidRPr="006D3F87" w:rsidRDefault="006D3F87" w:rsidP="006D3F87">
            <w:pPr>
              <w:widowControl w:val="0"/>
              <w:numPr>
                <w:ilvl w:val="0"/>
                <w:numId w:val="300"/>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Entrega de su ensayo final.</w:t>
            </w:r>
          </w:p>
          <w:p w14:paraId="2E1B3C28" w14:textId="77777777" w:rsidR="006D3F87" w:rsidRPr="006D3F87" w:rsidRDefault="006D3F87" w:rsidP="006D3F87">
            <w:pPr>
              <w:widowControl w:val="0"/>
              <w:numPr>
                <w:ilvl w:val="0"/>
                <w:numId w:val="300"/>
              </w:numPr>
              <w:overflowPunct w:val="0"/>
              <w:autoSpaceDE w:val="0"/>
              <w:autoSpaceDN w:val="0"/>
              <w:adjustRightInd w:val="0"/>
              <w:spacing w:before="120"/>
              <w:ind w:left="312"/>
              <w:rPr>
                <w:rFonts w:asciiTheme="minorHAnsi" w:hAnsiTheme="minorHAnsi" w:cstheme="minorHAnsi"/>
                <w:color w:val="000000"/>
              </w:rPr>
            </w:pPr>
            <w:r w:rsidRPr="006D3F87">
              <w:rPr>
                <w:rFonts w:asciiTheme="minorHAnsi" w:hAnsiTheme="minorHAnsi" w:cstheme="minorHAnsi"/>
                <w:color w:val="000000"/>
              </w:rPr>
              <w:t>Presentación de un resumen oral de su ensayo final en un encuentro sincrónico virtual (según asignación docente).</w:t>
            </w:r>
          </w:p>
        </w:tc>
      </w:tr>
    </w:tbl>
    <w:p w14:paraId="4DC6184C"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color w:val="000000"/>
          <w:kern w:val="0"/>
          <w14:ligatures w14:val="none"/>
        </w:rPr>
      </w:pPr>
    </w:p>
    <w:p w14:paraId="439F0329"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464916C8"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7CFBDD28"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656033F3"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36B5EB30"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7C0C5837"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00A136A3"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43B9BA0C"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472325FE"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2A755917"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72E79CB2"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3A735499"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758135D7"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78FB6526"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5F64604F"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28CF9A21"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3F58BF40"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4AADDD3B"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0B0CF841"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0B9C8499"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0E9790CA"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679A597E"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276814E3"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5EF60155"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1E9E14EA"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3195123A"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3EE8FDE8"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0B618806"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37AC0062"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5C977DE6" w14:textId="77777777" w:rsidR="006D3F87" w:rsidRPr="006D3F87" w:rsidRDefault="006D3F87" w:rsidP="006D3F87">
      <w:pPr>
        <w:autoSpaceDE w:val="0"/>
        <w:autoSpaceDN w:val="0"/>
        <w:adjustRightInd w:val="0"/>
        <w:spacing w:after="0" w:line="240" w:lineRule="auto"/>
        <w:contextualSpacing/>
        <w:jc w:val="both"/>
        <w:rPr>
          <w:rFonts w:ascii="Calibri" w:eastAsia="Calibri" w:hAnsi="Calibri" w:cs="Calibri"/>
          <w:b/>
          <w:bCs/>
          <w:kern w:val="0"/>
          <w14:ligatures w14:val="none"/>
        </w:rPr>
      </w:pPr>
    </w:p>
    <w:p w14:paraId="3AC5D9A4"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color w:val="000000"/>
          <w:kern w:val="0"/>
          <w:lang w:val="es-ES_tradnl" w:eastAsia="es-CR"/>
          <w14:ligatures w14:val="none"/>
        </w:rPr>
        <w:lastRenderedPageBreak/>
        <w:t>IX. Distribución de tiempo semanal</w:t>
      </w:r>
    </w:p>
    <w:p w14:paraId="533B306F"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6D3F87">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20BDF395"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6"/>
        <w:tblW w:w="8784" w:type="dxa"/>
        <w:tblLook w:val="04A0" w:firstRow="1" w:lastRow="0" w:firstColumn="1" w:lastColumn="0" w:noHBand="0" w:noVBand="1"/>
      </w:tblPr>
      <w:tblGrid>
        <w:gridCol w:w="2122"/>
        <w:gridCol w:w="1417"/>
        <w:gridCol w:w="5245"/>
      </w:tblGrid>
      <w:tr w:rsidR="006D3F87" w:rsidRPr="006D3F87" w14:paraId="54B92F7F" w14:textId="77777777" w:rsidTr="00104785">
        <w:tc>
          <w:tcPr>
            <w:tcW w:w="2122" w:type="dxa"/>
            <w:vAlign w:val="center"/>
          </w:tcPr>
          <w:p w14:paraId="32366C21" w14:textId="77777777" w:rsidR="006D3F87" w:rsidRPr="006D3F87" w:rsidRDefault="006D3F87" w:rsidP="006D3F87">
            <w:pPr>
              <w:widowControl w:val="0"/>
              <w:overflowPunct w:val="0"/>
              <w:autoSpaceDE w:val="0"/>
              <w:autoSpaceDN w:val="0"/>
              <w:adjustRightInd w:val="0"/>
              <w:jc w:val="center"/>
              <w:rPr>
                <w:rFonts w:eastAsia="Times New Roman" w:cs="Calibri"/>
                <w:b/>
                <w:bCs/>
                <w:color w:val="000000"/>
                <w:lang w:val="es-ES_tradnl" w:eastAsia="es-CR"/>
              </w:rPr>
            </w:pPr>
            <w:r w:rsidRPr="006D3F87">
              <w:rPr>
                <w:rFonts w:eastAsia="Times New Roman" w:cs="Calibri"/>
                <w:b/>
                <w:bCs/>
                <w:color w:val="000000"/>
                <w:lang w:val="es-ES_tradnl" w:eastAsia="es-CR"/>
              </w:rPr>
              <w:t>Tipo de horas</w:t>
            </w:r>
          </w:p>
          <w:p w14:paraId="6CDEEF06" w14:textId="77777777" w:rsidR="006D3F87" w:rsidRPr="006D3F87" w:rsidRDefault="006D3F87" w:rsidP="006D3F87">
            <w:pPr>
              <w:widowControl w:val="0"/>
              <w:overflowPunct w:val="0"/>
              <w:autoSpaceDE w:val="0"/>
              <w:autoSpaceDN w:val="0"/>
              <w:adjustRightInd w:val="0"/>
              <w:jc w:val="center"/>
              <w:rPr>
                <w:rFonts w:eastAsia="Times New Roman" w:cs="Calibri"/>
                <w:b/>
                <w:bCs/>
                <w:color w:val="000000"/>
                <w:lang w:val="es-ES_tradnl" w:eastAsia="es-CR"/>
              </w:rPr>
            </w:pPr>
            <w:r w:rsidRPr="006D3F87">
              <w:rPr>
                <w:rFonts w:eastAsia="Times New Roman" w:cs="Calibri"/>
                <w:b/>
                <w:bCs/>
                <w:color w:val="000000"/>
                <w:lang w:val="es-ES_tradnl" w:eastAsia="es-CR"/>
              </w:rPr>
              <w:t>(categoría)</w:t>
            </w:r>
          </w:p>
        </w:tc>
        <w:tc>
          <w:tcPr>
            <w:tcW w:w="1417" w:type="dxa"/>
            <w:vAlign w:val="center"/>
          </w:tcPr>
          <w:p w14:paraId="3F84AC7F" w14:textId="77777777" w:rsidR="006D3F87" w:rsidRPr="006D3F87" w:rsidRDefault="006D3F87" w:rsidP="006D3F87">
            <w:pPr>
              <w:widowControl w:val="0"/>
              <w:overflowPunct w:val="0"/>
              <w:autoSpaceDE w:val="0"/>
              <w:autoSpaceDN w:val="0"/>
              <w:adjustRightInd w:val="0"/>
              <w:jc w:val="center"/>
              <w:rPr>
                <w:rFonts w:eastAsia="Times New Roman" w:cs="Calibri"/>
                <w:b/>
                <w:bCs/>
                <w:color w:val="000000"/>
                <w:lang w:val="es-ES_tradnl" w:eastAsia="es-CR"/>
              </w:rPr>
            </w:pPr>
            <w:r w:rsidRPr="006D3F87">
              <w:rPr>
                <w:rFonts w:eastAsia="Times New Roman" w:cs="Calibri"/>
                <w:b/>
                <w:bCs/>
                <w:color w:val="000000"/>
                <w:lang w:val="es-ES_tradnl" w:eastAsia="es-CR"/>
              </w:rPr>
              <w:t>Horas por semana</w:t>
            </w:r>
          </w:p>
        </w:tc>
        <w:tc>
          <w:tcPr>
            <w:tcW w:w="5245" w:type="dxa"/>
            <w:vAlign w:val="center"/>
          </w:tcPr>
          <w:p w14:paraId="5FDA4C97" w14:textId="77777777" w:rsidR="006D3F87" w:rsidRPr="006D3F87" w:rsidRDefault="006D3F87" w:rsidP="006D3F87">
            <w:pPr>
              <w:widowControl w:val="0"/>
              <w:overflowPunct w:val="0"/>
              <w:autoSpaceDE w:val="0"/>
              <w:autoSpaceDN w:val="0"/>
              <w:adjustRightInd w:val="0"/>
              <w:jc w:val="center"/>
              <w:rPr>
                <w:rFonts w:eastAsia="Times New Roman" w:cs="Calibri"/>
                <w:b/>
                <w:bCs/>
                <w:color w:val="000000"/>
                <w:lang w:val="es-ES_tradnl" w:eastAsia="es-CR"/>
              </w:rPr>
            </w:pPr>
            <w:r w:rsidRPr="006D3F87">
              <w:rPr>
                <w:rFonts w:eastAsia="Times New Roman" w:cs="Calibri"/>
                <w:b/>
                <w:bCs/>
                <w:color w:val="000000"/>
                <w:lang w:val="es-ES_tradnl" w:eastAsia="es-CR"/>
              </w:rPr>
              <w:t>Actividades relacionadas</w:t>
            </w:r>
          </w:p>
        </w:tc>
      </w:tr>
      <w:tr w:rsidR="006D3F87" w:rsidRPr="006D3F87" w14:paraId="749811B2" w14:textId="77777777" w:rsidTr="00104785">
        <w:tc>
          <w:tcPr>
            <w:tcW w:w="2122" w:type="dxa"/>
            <w:vAlign w:val="center"/>
          </w:tcPr>
          <w:p w14:paraId="5F5FF187" w14:textId="77777777" w:rsidR="006D3F87" w:rsidRPr="006D3F87" w:rsidRDefault="006D3F87" w:rsidP="006D3F87">
            <w:pPr>
              <w:widowControl w:val="0"/>
              <w:overflowPunct w:val="0"/>
              <w:autoSpaceDE w:val="0"/>
              <w:autoSpaceDN w:val="0"/>
              <w:adjustRightInd w:val="0"/>
              <w:jc w:val="center"/>
              <w:rPr>
                <w:rFonts w:eastAsia="Times New Roman" w:cs="Calibri"/>
                <w:bCs/>
                <w:color w:val="000000"/>
                <w:lang w:val="es-ES_tradnl" w:eastAsia="es-CR"/>
              </w:rPr>
            </w:pPr>
            <w:r w:rsidRPr="006D3F87">
              <w:rPr>
                <w:rFonts w:eastAsia="Times New Roman" w:cs="Calibri"/>
                <w:bCs/>
                <w:color w:val="000000"/>
                <w:lang w:val="es-ES_tradnl" w:eastAsia="es-CR"/>
              </w:rPr>
              <w:t>Horas de Estudio Individual (HEI)</w:t>
            </w:r>
          </w:p>
        </w:tc>
        <w:tc>
          <w:tcPr>
            <w:tcW w:w="1417" w:type="dxa"/>
            <w:vAlign w:val="center"/>
          </w:tcPr>
          <w:p w14:paraId="7EC1B270" w14:textId="77777777" w:rsidR="006D3F87" w:rsidRPr="006D3F87" w:rsidRDefault="006D3F87" w:rsidP="006D3F87">
            <w:pPr>
              <w:widowControl w:val="0"/>
              <w:overflowPunct w:val="0"/>
              <w:autoSpaceDE w:val="0"/>
              <w:autoSpaceDN w:val="0"/>
              <w:adjustRightInd w:val="0"/>
              <w:jc w:val="center"/>
              <w:rPr>
                <w:rFonts w:eastAsia="Times New Roman" w:cs="Calibri"/>
                <w:bCs/>
                <w:color w:val="000000"/>
                <w:lang w:val="es-ES_tradnl" w:eastAsia="es-CR"/>
              </w:rPr>
            </w:pPr>
            <w:r w:rsidRPr="006D3F87">
              <w:rPr>
                <w:rFonts w:eastAsia="Times New Roman" w:cs="Calibri"/>
                <w:bCs/>
                <w:color w:val="000000"/>
                <w:lang w:val="es-ES_tradnl" w:eastAsia="es-CR"/>
              </w:rPr>
              <w:t>4</w:t>
            </w:r>
          </w:p>
        </w:tc>
        <w:tc>
          <w:tcPr>
            <w:tcW w:w="5245" w:type="dxa"/>
          </w:tcPr>
          <w:p w14:paraId="67E77031" w14:textId="77777777" w:rsidR="006D3F87" w:rsidRPr="006D3F87" w:rsidRDefault="006D3F87" w:rsidP="006D3F87">
            <w:pPr>
              <w:widowControl w:val="0"/>
              <w:numPr>
                <w:ilvl w:val="0"/>
                <w:numId w:val="34"/>
              </w:numPr>
              <w:overflowPunct w:val="0"/>
              <w:autoSpaceDE w:val="0"/>
              <w:autoSpaceDN w:val="0"/>
              <w:adjustRightInd w:val="0"/>
              <w:spacing w:before="120"/>
              <w:jc w:val="both"/>
              <w:rPr>
                <w:rFonts w:cs="Calibri"/>
                <w:bCs/>
                <w:color w:val="000000"/>
              </w:rPr>
            </w:pPr>
            <w:r w:rsidRPr="006D3F87">
              <w:rPr>
                <w:rFonts w:cs="Calibri"/>
                <w:bCs/>
                <w:color w:val="000000"/>
              </w:rPr>
              <w:t>Lectura de los textos (materiales en formato digital).</w:t>
            </w:r>
          </w:p>
          <w:p w14:paraId="34C7EB3B" w14:textId="77777777" w:rsidR="006D3F87" w:rsidRPr="006D3F87" w:rsidRDefault="006D3F87" w:rsidP="006D3F87">
            <w:pPr>
              <w:widowControl w:val="0"/>
              <w:numPr>
                <w:ilvl w:val="0"/>
                <w:numId w:val="34"/>
              </w:numPr>
              <w:overflowPunct w:val="0"/>
              <w:autoSpaceDE w:val="0"/>
              <w:autoSpaceDN w:val="0"/>
              <w:adjustRightInd w:val="0"/>
              <w:spacing w:before="120"/>
              <w:jc w:val="both"/>
              <w:rPr>
                <w:rFonts w:cs="Calibri"/>
                <w:bCs/>
                <w:color w:val="000000"/>
              </w:rPr>
            </w:pPr>
            <w:r w:rsidRPr="006D3F87">
              <w:rPr>
                <w:rFonts w:cs="Calibri"/>
                <w:bCs/>
                <w:color w:val="000000"/>
              </w:rPr>
              <w:t>Análisis de lecturas e investigación por cuenta propia.</w:t>
            </w:r>
          </w:p>
        </w:tc>
      </w:tr>
      <w:tr w:rsidR="006D3F87" w:rsidRPr="006D3F87" w14:paraId="0AFF3599" w14:textId="77777777" w:rsidTr="00104785">
        <w:tc>
          <w:tcPr>
            <w:tcW w:w="2122" w:type="dxa"/>
            <w:vAlign w:val="center"/>
          </w:tcPr>
          <w:p w14:paraId="08EBBCA6" w14:textId="77777777" w:rsidR="006D3F87" w:rsidRPr="006D3F87" w:rsidRDefault="006D3F87" w:rsidP="006D3F87">
            <w:pPr>
              <w:widowControl w:val="0"/>
              <w:overflowPunct w:val="0"/>
              <w:autoSpaceDE w:val="0"/>
              <w:autoSpaceDN w:val="0"/>
              <w:adjustRightInd w:val="0"/>
              <w:jc w:val="center"/>
              <w:rPr>
                <w:rFonts w:eastAsia="Times New Roman" w:cs="Calibri"/>
                <w:bCs/>
                <w:color w:val="000000"/>
                <w:lang w:val="es-ES_tradnl" w:eastAsia="es-CR"/>
              </w:rPr>
            </w:pPr>
            <w:r w:rsidRPr="006D3F87">
              <w:rPr>
                <w:rFonts w:eastAsia="Times New Roman" w:cs="Calibri"/>
                <w:bCs/>
                <w:color w:val="000000"/>
                <w:lang w:val="es-ES_tradnl" w:eastAsia="es-CR"/>
              </w:rPr>
              <w:t>Horas de Trabajo Colaborativo (HTC)</w:t>
            </w:r>
          </w:p>
        </w:tc>
        <w:tc>
          <w:tcPr>
            <w:tcW w:w="1417" w:type="dxa"/>
            <w:vAlign w:val="center"/>
          </w:tcPr>
          <w:p w14:paraId="56B0DDD5" w14:textId="77777777" w:rsidR="006D3F87" w:rsidRPr="006D3F87" w:rsidRDefault="006D3F87" w:rsidP="006D3F87">
            <w:pPr>
              <w:widowControl w:val="0"/>
              <w:overflowPunct w:val="0"/>
              <w:autoSpaceDE w:val="0"/>
              <w:autoSpaceDN w:val="0"/>
              <w:adjustRightInd w:val="0"/>
              <w:jc w:val="center"/>
              <w:rPr>
                <w:rFonts w:eastAsia="Times New Roman" w:cs="Calibri"/>
                <w:bCs/>
                <w:color w:val="000000"/>
                <w:lang w:val="es-ES_tradnl" w:eastAsia="es-CR"/>
              </w:rPr>
            </w:pPr>
            <w:r w:rsidRPr="006D3F87">
              <w:rPr>
                <w:rFonts w:eastAsia="Times New Roman" w:cs="Calibri"/>
                <w:bCs/>
                <w:color w:val="000000"/>
                <w:lang w:val="es-ES_tradnl" w:eastAsia="es-CR"/>
              </w:rPr>
              <w:t>4</w:t>
            </w:r>
          </w:p>
        </w:tc>
        <w:tc>
          <w:tcPr>
            <w:tcW w:w="5245" w:type="dxa"/>
          </w:tcPr>
          <w:p w14:paraId="5A3B10B0" w14:textId="77777777" w:rsidR="006D3F87" w:rsidRPr="006D3F87" w:rsidRDefault="006D3F87" w:rsidP="006D3F87">
            <w:pPr>
              <w:widowControl w:val="0"/>
              <w:numPr>
                <w:ilvl w:val="0"/>
                <w:numId w:val="35"/>
              </w:numPr>
              <w:overflowPunct w:val="0"/>
              <w:autoSpaceDE w:val="0"/>
              <w:autoSpaceDN w:val="0"/>
              <w:adjustRightInd w:val="0"/>
              <w:spacing w:before="120"/>
              <w:jc w:val="both"/>
              <w:rPr>
                <w:rFonts w:cs="Calibri"/>
                <w:bCs/>
                <w:color w:val="000000"/>
              </w:rPr>
            </w:pPr>
            <w:r w:rsidRPr="006D3F87">
              <w:rPr>
                <w:rFonts w:cs="Calibri"/>
                <w:bCs/>
                <w:color w:val="000000"/>
              </w:rPr>
              <w:t>Participación en los foros (incluye aportes personales y réplicas a los y las demás estudiantes).</w:t>
            </w:r>
          </w:p>
          <w:p w14:paraId="26FC27C0" w14:textId="77777777" w:rsidR="006D3F87" w:rsidRPr="006D3F87" w:rsidRDefault="006D3F87" w:rsidP="006D3F87">
            <w:pPr>
              <w:widowControl w:val="0"/>
              <w:numPr>
                <w:ilvl w:val="0"/>
                <w:numId w:val="35"/>
              </w:numPr>
              <w:overflowPunct w:val="0"/>
              <w:autoSpaceDE w:val="0"/>
              <w:autoSpaceDN w:val="0"/>
              <w:adjustRightInd w:val="0"/>
              <w:spacing w:before="120"/>
              <w:jc w:val="both"/>
              <w:rPr>
                <w:rFonts w:cs="Calibri"/>
                <w:bCs/>
                <w:color w:val="000000"/>
              </w:rPr>
            </w:pPr>
            <w:r w:rsidRPr="006D3F87">
              <w:rPr>
                <w:rFonts w:cs="Calibri"/>
                <w:bCs/>
                <w:color w:val="000000"/>
              </w:rPr>
              <w:t>Participación en los encuentros sincrónicos virtuales.</w:t>
            </w:r>
          </w:p>
          <w:p w14:paraId="328DB53C" w14:textId="77777777" w:rsidR="006D3F87" w:rsidRPr="006D3F87" w:rsidRDefault="006D3F87" w:rsidP="006D3F87">
            <w:pPr>
              <w:widowControl w:val="0"/>
              <w:numPr>
                <w:ilvl w:val="0"/>
                <w:numId w:val="35"/>
              </w:numPr>
              <w:overflowPunct w:val="0"/>
              <w:autoSpaceDE w:val="0"/>
              <w:autoSpaceDN w:val="0"/>
              <w:adjustRightInd w:val="0"/>
              <w:spacing w:before="120"/>
              <w:jc w:val="both"/>
              <w:rPr>
                <w:rFonts w:cs="Calibri"/>
                <w:bCs/>
                <w:color w:val="000000"/>
              </w:rPr>
            </w:pPr>
            <w:r w:rsidRPr="006D3F87">
              <w:rPr>
                <w:rFonts w:cs="Calibri"/>
                <w:bCs/>
                <w:color w:val="000000"/>
              </w:rPr>
              <w:t>Desarrollo de la investigación grupal.</w:t>
            </w:r>
          </w:p>
          <w:p w14:paraId="016E9964" w14:textId="77777777" w:rsidR="006D3F87" w:rsidRPr="006D3F87" w:rsidRDefault="006D3F87" w:rsidP="006D3F87">
            <w:pPr>
              <w:widowControl w:val="0"/>
              <w:numPr>
                <w:ilvl w:val="0"/>
                <w:numId w:val="35"/>
              </w:numPr>
              <w:overflowPunct w:val="0"/>
              <w:autoSpaceDE w:val="0"/>
              <w:autoSpaceDN w:val="0"/>
              <w:adjustRightInd w:val="0"/>
              <w:spacing w:before="120"/>
              <w:jc w:val="both"/>
              <w:rPr>
                <w:rFonts w:cs="Calibri"/>
                <w:bCs/>
                <w:color w:val="000000"/>
              </w:rPr>
            </w:pPr>
            <w:r w:rsidRPr="006D3F87">
              <w:rPr>
                <w:rFonts w:cs="Calibri"/>
                <w:bCs/>
                <w:color w:val="000000"/>
              </w:rPr>
              <w:t>Participación en la elaboración de un glosario.</w:t>
            </w:r>
          </w:p>
        </w:tc>
      </w:tr>
      <w:tr w:rsidR="006D3F87" w:rsidRPr="006D3F87" w14:paraId="2F510C54" w14:textId="77777777" w:rsidTr="00104785">
        <w:tc>
          <w:tcPr>
            <w:tcW w:w="2122" w:type="dxa"/>
            <w:vAlign w:val="center"/>
          </w:tcPr>
          <w:p w14:paraId="7BB7DEC2" w14:textId="77777777" w:rsidR="006D3F87" w:rsidRPr="006D3F87" w:rsidRDefault="006D3F87" w:rsidP="006D3F87">
            <w:pPr>
              <w:widowControl w:val="0"/>
              <w:overflowPunct w:val="0"/>
              <w:autoSpaceDE w:val="0"/>
              <w:autoSpaceDN w:val="0"/>
              <w:adjustRightInd w:val="0"/>
              <w:jc w:val="center"/>
              <w:rPr>
                <w:rFonts w:eastAsia="Times New Roman" w:cs="Calibri"/>
                <w:bCs/>
                <w:color w:val="000000"/>
                <w:lang w:val="es-ES_tradnl" w:eastAsia="es-CR"/>
              </w:rPr>
            </w:pPr>
            <w:r w:rsidRPr="006D3F87">
              <w:rPr>
                <w:rFonts w:eastAsia="Times New Roman" w:cs="Calibri"/>
                <w:bCs/>
                <w:color w:val="000000"/>
                <w:lang w:val="es-ES_tradnl" w:eastAsia="es-CR"/>
              </w:rPr>
              <w:t>Horas de Producción Individual (HPI)</w:t>
            </w:r>
          </w:p>
        </w:tc>
        <w:tc>
          <w:tcPr>
            <w:tcW w:w="1417" w:type="dxa"/>
            <w:vAlign w:val="center"/>
          </w:tcPr>
          <w:p w14:paraId="57E9BC50" w14:textId="77777777" w:rsidR="006D3F87" w:rsidRPr="006D3F87" w:rsidRDefault="006D3F87" w:rsidP="006D3F87">
            <w:pPr>
              <w:widowControl w:val="0"/>
              <w:overflowPunct w:val="0"/>
              <w:autoSpaceDE w:val="0"/>
              <w:autoSpaceDN w:val="0"/>
              <w:adjustRightInd w:val="0"/>
              <w:jc w:val="center"/>
              <w:rPr>
                <w:rFonts w:eastAsia="Times New Roman" w:cs="Calibri"/>
                <w:bCs/>
                <w:color w:val="000000"/>
                <w:lang w:val="es-ES_tradnl" w:eastAsia="es-CR"/>
              </w:rPr>
            </w:pPr>
            <w:r w:rsidRPr="006D3F87">
              <w:rPr>
                <w:rFonts w:eastAsia="Times New Roman" w:cs="Calibri"/>
                <w:bCs/>
                <w:color w:val="000000"/>
                <w:lang w:val="es-ES_tradnl" w:eastAsia="es-CR"/>
              </w:rPr>
              <w:t>4</w:t>
            </w:r>
          </w:p>
        </w:tc>
        <w:tc>
          <w:tcPr>
            <w:tcW w:w="5245" w:type="dxa"/>
          </w:tcPr>
          <w:p w14:paraId="3CEA26A6" w14:textId="77777777" w:rsidR="006D3F87" w:rsidRPr="006D3F87" w:rsidRDefault="006D3F87" w:rsidP="006D3F87">
            <w:pPr>
              <w:widowControl w:val="0"/>
              <w:numPr>
                <w:ilvl w:val="0"/>
                <w:numId w:val="36"/>
              </w:numPr>
              <w:overflowPunct w:val="0"/>
              <w:autoSpaceDE w:val="0"/>
              <w:autoSpaceDN w:val="0"/>
              <w:adjustRightInd w:val="0"/>
              <w:spacing w:before="120"/>
              <w:jc w:val="both"/>
              <w:rPr>
                <w:rFonts w:cs="Calibri"/>
                <w:bCs/>
                <w:color w:val="000000"/>
              </w:rPr>
            </w:pPr>
            <w:r w:rsidRPr="006D3F87">
              <w:rPr>
                <w:rFonts w:cs="Calibri"/>
                <w:bCs/>
                <w:color w:val="000000"/>
              </w:rPr>
              <w:t>Elaboración de reseñas críticas de lecturas.</w:t>
            </w:r>
          </w:p>
          <w:p w14:paraId="7DD9831F" w14:textId="77777777" w:rsidR="006D3F87" w:rsidRPr="006D3F87" w:rsidRDefault="006D3F87" w:rsidP="006D3F87">
            <w:pPr>
              <w:widowControl w:val="0"/>
              <w:numPr>
                <w:ilvl w:val="0"/>
                <w:numId w:val="36"/>
              </w:numPr>
              <w:overflowPunct w:val="0"/>
              <w:autoSpaceDE w:val="0"/>
              <w:autoSpaceDN w:val="0"/>
              <w:adjustRightInd w:val="0"/>
              <w:spacing w:before="120"/>
              <w:jc w:val="both"/>
              <w:rPr>
                <w:rFonts w:cs="Calibri"/>
                <w:bCs/>
                <w:color w:val="000000"/>
              </w:rPr>
            </w:pPr>
            <w:r w:rsidRPr="006D3F87">
              <w:rPr>
                <w:rFonts w:cs="Calibri"/>
                <w:bCs/>
                <w:color w:val="000000"/>
              </w:rPr>
              <w:t>Elaboración de ensayos.</w:t>
            </w:r>
          </w:p>
          <w:p w14:paraId="1C882DC8" w14:textId="77777777" w:rsidR="006D3F87" w:rsidRPr="006D3F87" w:rsidRDefault="006D3F87" w:rsidP="006D3F87">
            <w:pPr>
              <w:widowControl w:val="0"/>
              <w:numPr>
                <w:ilvl w:val="0"/>
                <w:numId w:val="36"/>
              </w:numPr>
              <w:overflowPunct w:val="0"/>
              <w:autoSpaceDE w:val="0"/>
              <w:autoSpaceDN w:val="0"/>
              <w:adjustRightInd w:val="0"/>
              <w:spacing w:before="120"/>
              <w:jc w:val="both"/>
              <w:rPr>
                <w:rFonts w:cs="Calibri"/>
                <w:bCs/>
                <w:color w:val="000000"/>
              </w:rPr>
            </w:pPr>
            <w:r w:rsidRPr="006D3F87">
              <w:rPr>
                <w:rFonts w:cs="Calibri"/>
                <w:bCs/>
                <w:color w:val="000000"/>
              </w:rPr>
              <w:t>Elaboración de tareas analíticas.</w:t>
            </w:r>
          </w:p>
        </w:tc>
      </w:tr>
      <w:tr w:rsidR="006D3F87" w:rsidRPr="006D3F87" w14:paraId="3C1AF0E1" w14:textId="77777777" w:rsidTr="00104785">
        <w:tc>
          <w:tcPr>
            <w:tcW w:w="2122" w:type="dxa"/>
            <w:vAlign w:val="center"/>
          </w:tcPr>
          <w:p w14:paraId="5352AE9B" w14:textId="77777777" w:rsidR="006D3F87" w:rsidRPr="006D3F87" w:rsidRDefault="006D3F87" w:rsidP="006D3F87">
            <w:pPr>
              <w:widowControl w:val="0"/>
              <w:overflowPunct w:val="0"/>
              <w:autoSpaceDE w:val="0"/>
              <w:autoSpaceDN w:val="0"/>
              <w:adjustRightInd w:val="0"/>
              <w:jc w:val="center"/>
              <w:rPr>
                <w:rFonts w:eastAsia="Times New Roman" w:cs="Calibri"/>
                <w:b/>
                <w:bCs/>
                <w:color w:val="000000"/>
                <w:lang w:val="es-ES_tradnl" w:eastAsia="es-CR"/>
              </w:rPr>
            </w:pPr>
            <w:r w:rsidRPr="006D3F87">
              <w:rPr>
                <w:rFonts w:eastAsia="Times New Roman" w:cs="Calibri"/>
                <w:b/>
                <w:bCs/>
                <w:color w:val="000000"/>
                <w:lang w:val="es-ES_tradnl" w:eastAsia="es-CR"/>
              </w:rPr>
              <w:t>Total de horas (TH)</w:t>
            </w:r>
          </w:p>
        </w:tc>
        <w:tc>
          <w:tcPr>
            <w:tcW w:w="1417" w:type="dxa"/>
            <w:vAlign w:val="center"/>
          </w:tcPr>
          <w:p w14:paraId="26016413" w14:textId="77777777" w:rsidR="006D3F87" w:rsidRPr="006D3F87" w:rsidRDefault="006D3F87" w:rsidP="006D3F87">
            <w:pPr>
              <w:widowControl w:val="0"/>
              <w:overflowPunct w:val="0"/>
              <w:autoSpaceDE w:val="0"/>
              <w:autoSpaceDN w:val="0"/>
              <w:adjustRightInd w:val="0"/>
              <w:jc w:val="center"/>
              <w:rPr>
                <w:rFonts w:eastAsia="Times New Roman" w:cs="Calibri"/>
                <w:b/>
                <w:bCs/>
                <w:color w:val="000000"/>
                <w:lang w:val="es-ES_tradnl" w:eastAsia="es-CR"/>
              </w:rPr>
            </w:pPr>
            <w:r w:rsidRPr="006D3F87">
              <w:rPr>
                <w:rFonts w:eastAsia="Times New Roman" w:cs="Calibri"/>
                <w:b/>
                <w:bCs/>
                <w:color w:val="000000"/>
                <w:lang w:val="es-ES_tradnl" w:eastAsia="es-CR"/>
              </w:rPr>
              <w:t>12</w:t>
            </w:r>
          </w:p>
        </w:tc>
        <w:tc>
          <w:tcPr>
            <w:tcW w:w="5245" w:type="dxa"/>
            <w:vAlign w:val="center"/>
          </w:tcPr>
          <w:p w14:paraId="1E68F8BB" w14:textId="77777777" w:rsidR="006D3F87" w:rsidRPr="006D3F87" w:rsidRDefault="006D3F87" w:rsidP="006D3F87">
            <w:pPr>
              <w:widowControl w:val="0"/>
              <w:overflowPunct w:val="0"/>
              <w:autoSpaceDE w:val="0"/>
              <w:autoSpaceDN w:val="0"/>
              <w:adjustRightInd w:val="0"/>
              <w:jc w:val="center"/>
              <w:rPr>
                <w:rFonts w:eastAsia="Times New Roman" w:cs="Calibri"/>
                <w:b/>
                <w:bCs/>
                <w:color w:val="000000"/>
                <w:lang w:val="es-ES_tradnl" w:eastAsia="es-CR"/>
              </w:rPr>
            </w:pPr>
          </w:p>
        </w:tc>
      </w:tr>
    </w:tbl>
    <w:p w14:paraId="7097C47F"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95A3766"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6D3F87">
        <w:rPr>
          <w:rFonts w:ascii="Calibri" w:eastAsia="Times New Roman" w:hAnsi="Calibri" w:cs="Calibri"/>
          <w:bCs/>
          <w:color w:val="000000"/>
          <w:kern w:val="0"/>
          <w:lang w:val="es-ES_tradnl"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650BEFE3"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5FEBB46" w14:textId="77777777" w:rsidR="006D3F87" w:rsidRPr="006D3F87" w:rsidRDefault="006D3F87" w:rsidP="006D3F87">
      <w:pPr>
        <w:rPr>
          <w:rFonts w:ascii="Calibri" w:eastAsia="Times New Roman" w:hAnsi="Calibri" w:cs="Calibri"/>
          <w:b/>
          <w:bCs/>
          <w:color w:val="000000"/>
          <w:kern w:val="0"/>
          <w:lang w:val="es-ES_tradnl" w:eastAsia="es-CR"/>
          <w14:ligatures w14:val="none"/>
        </w:rPr>
      </w:pPr>
    </w:p>
    <w:p w14:paraId="68631DCE" w14:textId="77777777" w:rsidR="006D3F87" w:rsidRPr="006D3F87" w:rsidRDefault="006D3F87" w:rsidP="006D3F87">
      <w:pPr>
        <w:rPr>
          <w:rFonts w:ascii="Calibri" w:eastAsia="Times New Roman" w:hAnsi="Calibri" w:cs="Calibri"/>
          <w:b/>
          <w:bCs/>
          <w:color w:val="000000"/>
          <w:kern w:val="0"/>
          <w:lang w:val="es-ES_tradnl" w:eastAsia="es-CR"/>
          <w14:ligatures w14:val="none"/>
        </w:rPr>
      </w:pPr>
    </w:p>
    <w:p w14:paraId="3D7B5C93" w14:textId="77777777" w:rsidR="006D3F87" w:rsidRPr="006D3F87" w:rsidRDefault="006D3F87" w:rsidP="006D3F87">
      <w:pPr>
        <w:rPr>
          <w:rFonts w:ascii="Calibri" w:eastAsia="Times New Roman" w:hAnsi="Calibri" w:cs="Calibri"/>
          <w:b/>
          <w:bCs/>
          <w:color w:val="000000"/>
          <w:kern w:val="0"/>
          <w:lang w:val="es-ES_tradnl" w:eastAsia="es-CR"/>
          <w14:ligatures w14:val="none"/>
        </w:rPr>
      </w:pPr>
    </w:p>
    <w:p w14:paraId="409B4D18" w14:textId="77777777" w:rsidR="006D3F87" w:rsidRPr="006D3F87" w:rsidRDefault="006D3F87" w:rsidP="006D3F87">
      <w:pPr>
        <w:rPr>
          <w:rFonts w:ascii="Calibri" w:eastAsia="Times New Roman" w:hAnsi="Calibri" w:cs="Calibri"/>
          <w:b/>
          <w:bCs/>
          <w:color w:val="000000"/>
          <w:kern w:val="0"/>
          <w:lang w:val="es-ES_tradnl" w:eastAsia="es-CR"/>
          <w14:ligatures w14:val="none"/>
        </w:rPr>
      </w:pPr>
    </w:p>
    <w:p w14:paraId="20E95575" w14:textId="77777777" w:rsidR="006D3F87" w:rsidRPr="006D3F87" w:rsidRDefault="006D3F87" w:rsidP="006D3F87">
      <w:pPr>
        <w:rPr>
          <w:rFonts w:ascii="Calibri" w:eastAsia="Times New Roman" w:hAnsi="Calibri" w:cs="Calibri"/>
          <w:b/>
          <w:bCs/>
          <w:color w:val="000000"/>
          <w:kern w:val="0"/>
          <w:lang w:val="es-ES_tradnl" w:eastAsia="es-CR"/>
          <w14:ligatures w14:val="none"/>
        </w:rPr>
      </w:pPr>
    </w:p>
    <w:p w14:paraId="328024C6" w14:textId="77777777" w:rsidR="006D3F87" w:rsidRPr="006D3F87" w:rsidRDefault="006D3F87" w:rsidP="006D3F87">
      <w:pPr>
        <w:rPr>
          <w:rFonts w:ascii="Calibri" w:eastAsia="Times New Roman" w:hAnsi="Calibri" w:cs="Calibri"/>
          <w:b/>
          <w:bCs/>
          <w:color w:val="000000"/>
          <w:kern w:val="0"/>
          <w:lang w:val="es-ES_tradnl" w:eastAsia="es-CR"/>
          <w14:ligatures w14:val="none"/>
        </w:rPr>
      </w:pPr>
    </w:p>
    <w:p w14:paraId="790F8D67" w14:textId="77777777" w:rsidR="006D3F87" w:rsidRPr="006D3F87" w:rsidRDefault="006D3F87" w:rsidP="006D3F87">
      <w:pPr>
        <w:rPr>
          <w:rFonts w:ascii="Calibri" w:eastAsia="Times New Roman" w:hAnsi="Calibri" w:cs="Calibri"/>
          <w:b/>
          <w:bCs/>
          <w:color w:val="000000"/>
          <w:kern w:val="0"/>
          <w:lang w:val="es-ES_tradnl" w:eastAsia="es-CR"/>
          <w14:ligatures w14:val="none"/>
        </w:rPr>
      </w:pPr>
    </w:p>
    <w:p w14:paraId="64B0A193" w14:textId="77777777" w:rsidR="006D3F87" w:rsidRPr="006D3F87" w:rsidRDefault="006D3F87" w:rsidP="006D3F87">
      <w:pPr>
        <w:rPr>
          <w:rFonts w:ascii="Calibri" w:eastAsia="Times New Roman" w:hAnsi="Calibri" w:cs="Calibri"/>
          <w:b/>
          <w:bCs/>
          <w:color w:val="000000"/>
          <w:kern w:val="0"/>
          <w:lang w:val="es-ES_tradnl" w:eastAsia="es-CR"/>
          <w14:ligatures w14:val="none"/>
        </w:rPr>
      </w:pPr>
    </w:p>
    <w:p w14:paraId="3CCF52DD" w14:textId="77777777" w:rsidR="006D3F87" w:rsidRPr="006D3F87" w:rsidRDefault="006D3F87" w:rsidP="006D3F87">
      <w:pP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color w:val="000000"/>
          <w:kern w:val="0"/>
          <w:lang w:val="es-ES_tradnl" w:eastAsia="es-CR"/>
          <w14:ligatures w14:val="none"/>
        </w:rPr>
        <w:lastRenderedPageBreak/>
        <w:t>X. Evaluación</w:t>
      </w:r>
      <w:r w:rsidRPr="006D3F87">
        <w:rPr>
          <w:rFonts w:ascii="Calibri" w:eastAsia="Times New Roman" w:hAnsi="Calibri" w:cs="Calibri"/>
          <w:b/>
          <w:bCs/>
          <w:color w:val="000000"/>
          <w:kern w:val="0"/>
          <w:lang w:val="es-ES_tradnl" w:eastAsia="es-CR"/>
          <w14:ligatures w14:val="none"/>
        </w:rPr>
        <w:tab/>
      </w:r>
    </w:p>
    <w:p w14:paraId="78AAB588"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6D3F87">
        <w:rPr>
          <w:rFonts w:ascii="Calibri" w:eastAsia="Times New Roman" w:hAnsi="Calibri" w:cs="Calibri"/>
          <w:bCs/>
          <w:color w:val="000000"/>
          <w:kern w:val="0"/>
          <w:lang w:val="es-ES_tradnl" w:eastAsia="es-CR"/>
          <w14:ligatures w14:val="none"/>
        </w:rPr>
        <w:t>La participación en los foros, los encuentros sincrónicos virtuales, el glosario y el desarrollo de la investigación grupal, así como la elaboración de reseñas críticas de lecturas, tareas analíticas y ensayos contribuirá en la evaluación sobre aquellos aspectos que permitan mostrar el crecimiento de los y las estudiantes, la cual se realizará mediante rúbricas y escalas diseñadas para tales efectos. El curso se aprueba con una nota mínima de 7.00 (siete en escala decimal). Los porcentajes asignados a cada rubro de evaluación son los siguientes:</w:t>
      </w:r>
    </w:p>
    <w:p w14:paraId="48032D06"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6"/>
        <w:tblW w:w="0" w:type="auto"/>
        <w:tblLook w:val="04A0" w:firstRow="1" w:lastRow="0" w:firstColumn="1" w:lastColumn="0" w:noHBand="0" w:noVBand="1"/>
      </w:tblPr>
      <w:tblGrid>
        <w:gridCol w:w="7508"/>
        <w:gridCol w:w="1320"/>
      </w:tblGrid>
      <w:tr w:rsidR="006D3F87" w:rsidRPr="006D3F87" w14:paraId="6F7D23E6" w14:textId="77777777" w:rsidTr="00104785">
        <w:tc>
          <w:tcPr>
            <w:tcW w:w="8828" w:type="dxa"/>
            <w:gridSpan w:val="2"/>
            <w:vAlign w:val="center"/>
          </w:tcPr>
          <w:p w14:paraId="3CE31A85" w14:textId="77777777" w:rsidR="006D3F87" w:rsidRPr="006D3F87" w:rsidRDefault="006D3F87" w:rsidP="006D3F87">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6D3F87">
              <w:rPr>
                <w:rFonts w:asciiTheme="minorHAnsi" w:eastAsia="Times New Roman" w:hAnsiTheme="minorHAnsi" w:cstheme="minorHAnsi"/>
                <w:b/>
                <w:bCs/>
                <w:color w:val="000000"/>
                <w:lang w:val="es-ES_tradnl" w:eastAsia="es-CR"/>
              </w:rPr>
              <w:t>Síntesis cuantitativa de la evaluación</w:t>
            </w:r>
          </w:p>
        </w:tc>
      </w:tr>
      <w:tr w:rsidR="006D3F87" w:rsidRPr="006D3F87" w14:paraId="54807208" w14:textId="77777777" w:rsidTr="00104785">
        <w:tc>
          <w:tcPr>
            <w:tcW w:w="7508" w:type="dxa"/>
          </w:tcPr>
          <w:p w14:paraId="2ED7289D"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b/>
                <w:bCs/>
                <w:color w:val="000000"/>
                <w:lang w:val="es-ES_tradnl" w:eastAsia="es-CR"/>
              </w:rPr>
            </w:pPr>
            <w:r w:rsidRPr="006D3F87">
              <w:rPr>
                <w:rFonts w:asciiTheme="minorHAnsi" w:eastAsia="Times New Roman" w:hAnsiTheme="minorHAnsi" w:cstheme="minorHAnsi"/>
                <w:b/>
                <w:bCs/>
                <w:color w:val="000000"/>
                <w:lang w:val="es-ES_tradnl" w:eastAsia="es-CR"/>
              </w:rPr>
              <w:t>Rubros para evaluar</w:t>
            </w:r>
          </w:p>
        </w:tc>
        <w:tc>
          <w:tcPr>
            <w:tcW w:w="1320" w:type="dxa"/>
            <w:vAlign w:val="center"/>
          </w:tcPr>
          <w:p w14:paraId="0F3DE4D5" w14:textId="77777777" w:rsidR="006D3F87" w:rsidRPr="006D3F87" w:rsidRDefault="006D3F87" w:rsidP="006D3F87">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6D3F87">
              <w:rPr>
                <w:rFonts w:asciiTheme="minorHAnsi" w:eastAsia="Times New Roman" w:hAnsiTheme="minorHAnsi" w:cstheme="minorHAnsi"/>
                <w:b/>
                <w:bCs/>
                <w:color w:val="000000"/>
                <w:lang w:val="es-ES_tradnl" w:eastAsia="es-CR"/>
              </w:rPr>
              <w:t>Porcentaje total</w:t>
            </w:r>
          </w:p>
        </w:tc>
      </w:tr>
      <w:tr w:rsidR="006D3F87" w:rsidRPr="006D3F87" w14:paraId="535EEF6E" w14:textId="77777777" w:rsidTr="00104785">
        <w:tc>
          <w:tcPr>
            <w:tcW w:w="7508" w:type="dxa"/>
          </w:tcPr>
          <w:p w14:paraId="5EA36EA7"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b/>
                <w:bCs/>
                <w:i/>
                <w:iCs/>
                <w:color w:val="0070C0"/>
                <w:lang w:val="es-ES_tradnl" w:eastAsia="es-CR"/>
              </w:rPr>
            </w:pPr>
            <w:r w:rsidRPr="006D3F87">
              <w:rPr>
                <w:rFonts w:asciiTheme="minorHAnsi" w:eastAsia="Times New Roman" w:hAnsiTheme="minorHAnsi" w:cstheme="minorHAnsi"/>
                <w:b/>
                <w:bCs/>
                <w:i/>
                <w:iCs/>
                <w:color w:val="0070C0"/>
                <w:lang w:val="es-ES_tradnl" w:eastAsia="es-CR"/>
              </w:rPr>
              <w:t>Encuentros sincrónicos virtuales</w:t>
            </w:r>
          </w:p>
          <w:p w14:paraId="3ED8DD07"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color w:val="0070C0"/>
                <w:lang w:val="es-ES_tradnl" w:eastAsia="es-CR"/>
              </w:rPr>
            </w:pPr>
            <w:r w:rsidRPr="006D3F87">
              <w:rPr>
                <w:rFonts w:asciiTheme="minorHAnsi" w:eastAsia="Times New Roman" w:hAnsiTheme="minorHAnsi" w:cstheme="minorHAnsi"/>
                <w:color w:val="0070C0"/>
                <w:lang w:val="es-ES_tradnl" w:eastAsia="es-CR"/>
              </w:rPr>
              <w:t>Se llevan a cabo en las sesiones 1, 3, 5, 9, 10, 12, 14 y 15. Tienen un valor formativo y no sumativo.</w:t>
            </w:r>
          </w:p>
        </w:tc>
        <w:tc>
          <w:tcPr>
            <w:tcW w:w="1320" w:type="dxa"/>
            <w:vAlign w:val="center"/>
          </w:tcPr>
          <w:p w14:paraId="20A41FA6" w14:textId="77777777" w:rsidR="006D3F87" w:rsidRPr="006D3F87" w:rsidRDefault="006D3F87" w:rsidP="006D3F87">
            <w:pPr>
              <w:widowControl w:val="0"/>
              <w:overflowPunct w:val="0"/>
              <w:autoSpaceDE w:val="0"/>
              <w:autoSpaceDN w:val="0"/>
              <w:adjustRightInd w:val="0"/>
              <w:jc w:val="center"/>
              <w:rPr>
                <w:rFonts w:asciiTheme="minorHAnsi" w:eastAsia="Times New Roman" w:hAnsiTheme="minorHAnsi" w:cstheme="minorHAnsi"/>
                <w:color w:val="0070C0"/>
                <w:lang w:val="es-ES_tradnl" w:eastAsia="es-CR"/>
              </w:rPr>
            </w:pPr>
            <w:r w:rsidRPr="006D3F87">
              <w:rPr>
                <w:rFonts w:asciiTheme="minorHAnsi" w:eastAsia="Times New Roman" w:hAnsiTheme="minorHAnsi" w:cstheme="minorHAnsi"/>
                <w:color w:val="0070C0"/>
                <w:lang w:val="es-ES_tradnl" w:eastAsia="es-CR"/>
              </w:rPr>
              <w:t>̶</w:t>
            </w:r>
          </w:p>
        </w:tc>
      </w:tr>
      <w:tr w:rsidR="006D3F87" w:rsidRPr="006D3F87" w14:paraId="5AE6A81E" w14:textId="77777777" w:rsidTr="00104785">
        <w:tc>
          <w:tcPr>
            <w:tcW w:w="7508" w:type="dxa"/>
          </w:tcPr>
          <w:p w14:paraId="7C143DC7"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b/>
                <w:bCs/>
                <w:i/>
                <w:iCs/>
                <w:color w:val="000000"/>
                <w:lang w:val="es-ES_tradnl" w:eastAsia="es-CR"/>
              </w:rPr>
            </w:pPr>
            <w:r w:rsidRPr="006D3F87">
              <w:rPr>
                <w:rFonts w:asciiTheme="minorHAnsi" w:eastAsia="Times New Roman" w:hAnsiTheme="minorHAnsi" w:cstheme="minorHAnsi"/>
                <w:b/>
                <w:bCs/>
                <w:i/>
                <w:iCs/>
                <w:color w:val="000000"/>
                <w:lang w:val="es-ES_tradnl" w:eastAsia="es-CR"/>
              </w:rPr>
              <w:t>Foros temáticos</w:t>
            </w:r>
          </w:p>
          <w:p w14:paraId="2F92EDEF"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Se desarrollan en las sesiones 2 y 5. Cada foro tiene un valor de 5%.</w:t>
            </w:r>
          </w:p>
        </w:tc>
        <w:tc>
          <w:tcPr>
            <w:tcW w:w="1320" w:type="dxa"/>
            <w:vAlign w:val="center"/>
          </w:tcPr>
          <w:p w14:paraId="32BEC05E" w14:textId="77777777" w:rsidR="006D3F87" w:rsidRPr="006D3F87" w:rsidRDefault="006D3F87" w:rsidP="006D3F87">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10%</w:t>
            </w:r>
          </w:p>
        </w:tc>
      </w:tr>
      <w:tr w:rsidR="006D3F87" w:rsidRPr="006D3F87" w14:paraId="25A07182" w14:textId="77777777" w:rsidTr="00104785">
        <w:tc>
          <w:tcPr>
            <w:tcW w:w="7508" w:type="dxa"/>
          </w:tcPr>
          <w:p w14:paraId="5DCC7C29"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b/>
                <w:bCs/>
                <w:i/>
                <w:iCs/>
                <w:color w:val="000000"/>
                <w:lang w:val="es-ES_tradnl" w:eastAsia="es-CR"/>
              </w:rPr>
            </w:pPr>
            <w:r w:rsidRPr="006D3F87">
              <w:rPr>
                <w:rFonts w:asciiTheme="minorHAnsi" w:eastAsia="Times New Roman" w:hAnsiTheme="minorHAnsi" w:cstheme="minorHAnsi"/>
                <w:b/>
                <w:bCs/>
                <w:i/>
                <w:iCs/>
                <w:color w:val="000000"/>
                <w:lang w:val="es-ES_tradnl" w:eastAsia="es-CR"/>
              </w:rPr>
              <w:t>Glosario</w:t>
            </w:r>
          </w:p>
          <w:p w14:paraId="08C41501"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Se desarrolla en la sesión 4.</w:t>
            </w:r>
          </w:p>
        </w:tc>
        <w:tc>
          <w:tcPr>
            <w:tcW w:w="1320" w:type="dxa"/>
            <w:vAlign w:val="center"/>
          </w:tcPr>
          <w:p w14:paraId="65666E40" w14:textId="77777777" w:rsidR="006D3F87" w:rsidRPr="006D3F87" w:rsidRDefault="006D3F87" w:rsidP="006D3F87">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5%</w:t>
            </w:r>
          </w:p>
        </w:tc>
      </w:tr>
      <w:tr w:rsidR="006D3F87" w:rsidRPr="006D3F87" w14:paraId="1177A9C5" w14:textId="77777777" w:rsidTr="00104785">
        <w:tc>
          <w:tcPr>
            <w:tcW w:w="7508" w:type="dxa"/>
          </w:tcPr>
          <w:p w14:paraId="172F3D0E"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b/>
                <w:bCs/>
                <w:i/>
                <w:iCs/>
                <w:color w:val="000000"/>
                <w:lang w:val="es-ES_tradnl" w:eastAsia="es-CR"/>
              </w:rPr>
            </w:pPr>
            <w:r w:rsidRPr="006D3F87">
              <w:rPr>
                <w:rFonts w:asciiTheme="minorHAnsi" w:eastAsia="Times New Roman" w:hAnsiTheme="minorHAnsi" w:cstheme="minorHAnsi"/>
                <w:b/>
                <w:bCs/>
                <w:i/>
                <w:iCs/>
                <w:color w:val="000000"/>
                <w:lang w:val="es-ES_tradnl" w:eastAsia="es-CR"/>
              </w:rPr>
              <w:t>Reseñas críticas de lecturas</w:t>
            </w:r>
          </w:p>
          <w:p w14:paraId="0A45F7BD"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Se elaboran en las sesiones 3 y 6. Cada reseña tiene un valor de 5%.</w:t>
            </w:r>
          </w:p>
        </w:tc>
        <w:tc>
          <w:tcPr>
            <w:tcW w:w="1320" w:type="dxa"/>
            <w:vAlign w:val="center"/>
          </w:tcPr>
          <w:p w14:paraId="393DC33C" w14:textId="77777777" w:rsidR="006D3F87" w:rsidRPr="006D3F87" w:rsidRDefault="006D3F87" w:rsidP="006D3F87">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10%</w:t>
            </w:r>
          </w:p>
        </w:tc>
      </w:tr>
      <w:tr w:rsidR="006D3F87" w:rsidRPr="006D3F87" w14:paraId="4956C7C9" w14:textId="77777777" w:rsidTr="00104785">
        <w:tc>
          <w:tcPr>
            <w:tcW w:w="7508" w:type="dxa"/>
          </w:tcPr>
          <w:p w14:paraId="36B89D4B"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b/>
                <w:bCs/>
                <w:i/>
                <w:iCs/>
                <w:color w:val="000000"/>
                <w:lang w:val="es-ES_tradnl" w:eastAsia="es-CR"/>
              </w:rPr>
            </w:pPr>
            <w:r w:rsidRPr="006D3F87">
              <w:rPr>
                <w:rFonts w:asciiTheme="minorHAnsi" w:eastAsia="Times New Roman" w:hAnsiTheme="minorHAnsi" w:cstheme="minorHAnsi"/>
                <w:b/>
                <w:bCs/>
                <w:i/>
                <w:iCs/>
                <w:color w:val="000000"/>
                <w:lang w:val="es-ES_tradnl" w:eastAsia="es-CR"/>
              </w:rPr>
              <w:t>Ensayo sobre la salvación en la teología bíblica</w:t>
            </w:r>
          </w:p>
          <w:p w14:paraId="63771EF6"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Se elabora en la sesión 13.</w:t>
            </w:r>
          </w:p>
        </w:tc>
        <w:tc>
          <w:tcPr>
            <w:tcW w:w="1320" w:type="dxa"/>
            <w:vAlign w:val="center"/>
          </w:tcPr>
          <w:p w14:paraId="6BEB9F9A" w14:textId="77777777" w:rsidR="006D3F87" w:rsidRPr="006D3F87" w:rsidRDefault="006D3F87" w:rsidP="006D3F87">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10%</w:t>
            </w:r>
          </w:p>
        </w:tc>
      </w:tr>
      <w:tr w:rsidR="006D3F87" w:rsidRPr="006D3F87" w14:paraId="7DF6060B" w14:textId="77777777" w:rsidTr="00104785">
        <w:tc>
          <w:tcPr>
            <w:tcW w:w="7508" w:type="dxa"/>
          </w:tcPr>
          <w:p w14:paraId="213B5924"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b/>
                <w:bCs/>
                <w:i/>
                <w:iCs/>
                <w:color w:val="000000"/>
                <w:lang w:val="es-ES_tradnl" w:eastAsia="es-CR"/>
              </w:rPr>
            </w:pPr>
            <w:r w:rsidRPr="006D3F87">
              <w:rPr>
                <w:rFonts w:asciiTheme="minorHAnsi" w:eastAsia="Times New Roman" w:hAnsiTheme="minorHAnsi" w:cstheme="minorHAnsi"/>
                <w:b/>
                <w:bCs/>
                <w:i/>
                <w:iCs/>
                <w:color w:val="000000"/>
                <w:lang w:val="es-ES_tradnl" w:eastAsia="es-CR"/>
              </w:rPr>
              <w:t>Tareas analíticas</w:t>
            </w:r>
          </w:p>
          <w:p w14:paraId="7CD77BDD"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 xml:space="preserve">- Cuadro sinóptico: se elabora en la sesión 7 y tiene un valor de </w:t>
            </w:r>
            <w:r w:rsidRPr="006D3F87">
              <w:rPr>
                <w:rFonts w:asciiTheme="minorHAnsi" w:eastAsia="Times New Roman" w:hAnsiTheme="minorHAnsi" w:cstheme="minorHAnsi"/>
                <w:color w:val="0070C0"/>
                <w:lang w:val="es-ES_tradnl" w:eastAsia="es-CR"/>
              </w:rPr>
              <w:t>10%.</w:t>
            </w:r>
          </w:p>
          <w:p w14:paraId="71B7B98E"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 xml:space="preserve">- Análisis bíblico: se elabora en la sesión 8 y tiene un valor de </w:t>
            </w:r>
            <w:r w:rsidRPr="006D3F87">
              <w:rPr>
                <w:rFonts w:asciiTheme="minorHAnsi" w:eastAsia="Times New Roman" w:hAnsiTheme="minorHAnsi" w:cstheme="minorHAnsi"/>
                <w:color w:val="0070C0"/>
                <w:lang w:val="es-ES_tradnl" w:eastAsia="es-CR"/>
              </w:rPr>
              <w:t>10%.</w:t>
            </w:r>
          </w:p>
        </w:tc>
        <w:tc>
          <w:tcPr>
            <w:tcW w:w="1320" w:type="dxa"/>
            <w:vAlign w:val="center"/>
          </w:tcPr>
          <w:p w14:paraId="3056688F" w14:textId="77777777" w:rsidR="006D3F87" w:rsidRPr="006D3F87" w:rsidRDefault="006D3F87" w:rsidP="006D3F87">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70C0"/>
                <w:lang w:val="es-ES_tradnl" w:eastAsia="es-CR"/>
              </w:rPr>
              <w:t>20%</w:t>
            </w:r>
          </w:p>
        </w:tc>
      </w:tr>
      <w:tr w:rsidR="006D3F87" w:rsidRPr="006D3F87" w14:paraId="11171EE5" w14:textId="77777777" w:rsidTr="00104785">
        <w:tc>
          <w:tcPr>
            <w:tcW w:w="7508" w:type="dxa"/>
          </w:tcPr>
          <w:p w14:paraId="6252DADE" w14:textId="77777777" w:rsidR="006D3F87" w:rsidRPr="006D3F87" w:rsidRDefault="006D3F87" w:rsidP="006D3F87">
            <w:pPr>
              <w:widowControl w:val="0"/>
              <w:tabs>
                <w:tab w:val="left" w:pos="930"/>
              </w:tabs>
              <w:overflowPunct w:val="0"/>
              <w:autoSpaceDE w:val="0"/>
              <w:autoSpaceDN w:val="0"/>
              <w:adjustRightInd w:val="0"/>
              <w:jc w:val="both"/>
              <w:rPr>
                <w:rFonts w:asciiTheme="minorHAnsi" w:eastAsia="Times New Roman" w:hAnsiTheme="minorHAnsi" w:cstheme="minorHAnsi"/>
                <w:b/>
                <w:bCs/>
                <w:i/>
                <w:iCs/>
                <w:color w:val="000000"/>
                <w:lang w:val="es-ES_tradnl" w:eastAsia="es-CR"/>
              </w:rPr>
            </w:pPr>
            <w:r w:rsidRPr="006D3F87">
              <w:rPr>
                <w:rFonts w:asciiTheme="minorHAnsi" w:eastAsia="Times New Roman" w:hAnsiTheme="minorHAnsi" w:cstheme="minorHAnsi"/>
                <w:b/>
                <w:bCs/>
                <w:i/>
                <w:iCs/>
                <w:color w:val="000000"/>
                <w:lang w:val="es-ES_tradnl" w:eastAsia="es-CR"/>
              </w:rPr>
              <w:t>Investigación grupal</w:t>
            </w:r>
          </w:p>
          <w:p w14:paraId="1FA34EB1" w14:textId="77777777" w:rsidR="006D3F87" w:rsidRPr="006D3F87" w:rsidRDefault="006D3F87" w:rsidP="006D3F87">
            <w:pPr>
              <w:widowControl w:val="0"/>
              <w:tabs>
                <w:tab w:val="left" w:pos="930"/>
              </w:tabs>
              <w:overflowPunct w:val="0"/>
              <w:autoSpaceDE w:val="0"/>
              <w:autoSpaceDN w:val="0"/>
              <w:adjustRightInd w:val="0"/>
              <w:jc w:val="both"/>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Se desarrolla desde la sesión 5 hasta la 12. La evaluación docente tiene un valor de 10% y la evaluación de pares tiene un valor de 5%. Se presenta de la siguiente forma:</w:t>
            </w:r>
          </w:p>
          <w:p w14:paraId="570EA02F" w14:textId="77777777" w:rsidR="006D3F87" w:rsidRPr="006D3F87" w:rsidRDefault="006D3F87" w:rsidP="006D3F87">
            <w:pPr>
              <w:widowControl w:val="0"/>
              <w:tabs>
                <w:tab w:val="left" w:pos="930"/>
              </w:tabs>
              <w:overflowPunct w:val="0"/>
              <w:autoSpaceDE w:val="0"/>
              <w:autoSpaceDN w:val="0"/>
              <w:adjustRightInd w:val="0"/>
              <w:jc w:val="both"/>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 Sesión 10 (grupos sobre la teología de la creación).</w:t>
            </w:r>
          </w:p>
          <w:p w14:paraId="67241AA4" w14:textId="77777777" w:rsidR="006D3F87" w:rsidRPr="006D3F87" w:rsidRDefault="006D3F87" w:rsidP="006D3F87">
            <w:pPr>
              <w:widowControl w:val="0"/>
              <w:tabs>
                <w:tab w:val="left" w:pos="930"/>
              </w:tabs>
              <w:overflowPunct w:val="0"/>
              <w:autoSpaceDE w:val="0"/>
              <w:autoSpaceDN w:val="0"/>
              <w:adjustRightInd w:val="0"/>
              <w:jc w:val="both"/>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 Sesión 12 (grupos sobre la liberación en la teología bíblica del Antiguo y Nuevo Testamento).</w:t>
            </w:r>
          </w:p>
        </w:tc>
        <w:tc>
          <w:tcPr>
            <w:tcW w:w="1320" w:type="dxa"/>
            <w:vAlign w:val="center"/>
          </w:tcPr>
          <w:p w14:paraId="6F1EF12C" w14:textId="77777777" w:rsidR="006D3F87" w:rsidRPr="006D3F87" w:rsidRDefault="006D3F87" w:rsidP="006D3F87">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15%</w:t>
            </w:r>
          </w:p>
        </w:tc>
      </w:tr>
      <w:tr w:rsidR="006D3F87" w:rsidRPr="006D3F87" w14:paraId="78B5A017" w14:textId="77777777" w:rsidTr="00104785">
        <w:tc>
          <w:tcPr>
            <w:tcW w:w="7508" w:type="dxa"/>
          </w:tcPr>
          <w:p w14:paraId="3F08FF0C"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b/>
                <w:bCs/>
                <w:i/>
                <w:iCs/>
                <w:color w:val="000000"/>
                <w:lang w:val="es-ES_tradnl" w:eastAsia="es-CR"/>
              </w:rPr>
            </w:pPr>
            <w:r w:rsidRPr="006D3F87">
              <w:rPr>
                <w:rFonts w:asciiTheme="minorHAnsi" w:eastAsia="Times New Roman" w:hAnsiTheme="minorHAnsi" w:cstheme="minorHAnsi"/>
                <w:b/>
                <w:bCs/>
                <w:i/>
                <w:iCs/>
                <w:color w:val="000000"/>
                <w:lang w:val="es-ES_tradnl" w:eastAsia="es-CR"/>
              </w:rPr>
              <w:t>Ensayo final</w:t>
            </w:r>
          </w:p>
          <w:p w14:paraId="572D509D"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0000"/>
                <w:lang w:val="es-ES_tradnl" w:eastAsia="es-CR"/>
              </w:rPr>
              <w:t xml:space="preserve">Se elabora desde la sesión 9 hasta la 15. En las sesiones 14 y 15 se presenta un resumen oral (sin valor sumativo) en un encuentro sincrónico virtual según asignación docente. </w:t>
            </w:r>
          </w:p>
        </w:tc>
        <w:tc>
          <w:tcPr>
            <w:tcW w:w="1320" w:type="dxa"/>
            <w:vAlign w:val="center"/>
          </w:tcPr>
          <w:p w14:paraId="007A8E66" w14:textId="77777777" w:rsidR="006D3F87" w:rsidRPr="006D3F87" w:rsidRDefault="006D3F87" w:rsidP="006D3F87">
            <w:pPr>
              <w:widowControl w:val="0"/>
              <w:overflowPunct w:val="0"/>
              <w:autoSpaceDE w:val="0"/>
              <w:autoSpaceDN w:val="0"/>
              <w:adjustRightInd w:val="0"/>
              <w:jc w:val="center"/>
              <w:rPr>
                <w:rFonts w:asciiTheme="minorHAnsi" w:eastAsia="Times New Roman" w:hAnsiTheme="minorHAnsi" w:cstheme="minorHAnsi"/>
                <w:color w:val="000000"/>
                <w:lang w:val="es-ES_tradnl" w:eastAsia="es-CR"/>
              </w:rPr>
            </w:pPr>
            <w:r w:rsidRPr="006D3F87">
              <w:rPr>
                <w:rFonts w:asciiTheme="minorHAnsi" w:eastAsia="Times New Roman" w:hAnsiTheme="minorHAnsi" w:cstheme="minorHAnsi"/>
                <w:color w:val="0070C0"/>
                <w:lang w:val="es-ES_tradnl" w:eastAsia="es-CR"/>
              </w:rPr>
              <w:t>30%</w:t>
            </w:r>
          </w:p>
        </w:tc>
      </w:tr>
      <w:tr w:rsidR="006D3F87" w:rsidRPr="006D3F87" w14:paraId="08FD98FD" w14:textId="77777777" w:rsidTr="00104785">
        <w:tc>
          <w:tcPr>
            <w:tcW w:w="7508" w:type="dxa"/>
          </w:tcPr>
          <w:p w14:paraId="6ACB85AB" w14:textId="77777777" w:rsidR="006D3F87" w:rsidRPr="006D3F87" w:rsidRDefault="006D3F87" w:rsidP="006D3F87">
            <w:pPr>
              <w:widowControl w:val="0"/>
              <w:overflowPunct w:val="0"/>
              <w:autoSpaceDE w:val="0"/>
              <w:autoSpaceDN w:val="0"/>
              <w:adjustRightInd w:val="0"/>
              <w:jc w:val="both"/>
              <w:rPr>
                <w:rFonts w:asciiTheme="minorHAnsi" w:eastAsia="Times New Roman" w:hAnsiTheme="minorHAnsi" w:cstheme="minorHAnsi"/>
                <w:b/>
                <w:bCs/>
                <w:color w:val="000000"/>
                <w:lang w:val="es-ES_tradnl" w:eastAsia="es-CR"/>
              </w:rPr>
            </w:pPr>
            <w:r w:rsidRPr="006D3F87">
              <w:rPr>
                <w:rFonts w:asciiTheme="minorHAnsi" w:eastAsia="Times New Roman" w:hAnsiTheme="minorHAnsi" w:cstheme="minorHAnsi"/>
                <w:b/>
                <w:bCs/>
                <w:color w:val="000000"/>
                <w:lang w:val="es-ES_tradnl" w:eastAsia="es-CR"/>
              </w:rPr>
              <w:t>Total</w:t>
            </w:r>
          </w:p>
        </w:tc>
        <w:tc>
          <w:tcPr>
            <w:tcW w:w="1320" w:type="dxa"/>
            <w:vAlign w:val="center"/>
          </w:tcPr>
          <w:p w14:paraId="1CD3EB7B" w14:textId="77777777" w:rsidR="006D3F87" w:rsidRPr="006D3F87" w:rsidRDefault="006D3F87" w:rsidP="006D3F87">
            <w:pPr>
              <w:widowControl w:val="0"/>
              <w:overflowPunct w:val="0"/>
              <w:autoSpaceDE w:val="0"/>
              <w:autoSpaceDN w:val="0"/>
              <w:adjustRightInd w:val="0"/>
              <w:jc w:val="center"/>
              <w:rPr>
                <w:rFonts w:asciiTheme="minorHAnsi" w:eastAsia="Times New Roman" w:hAnsiTheme="minorHAnsi" w:cstheme="minorHAnsi"/>
                <w:b/>
                <w:bCs/>
                <w:color w:val="000000"/>
                <w:lang w:val="es-ES_tradnl" w:eastAsia="es-CR"/>
              </w:rPr>
            </w:pPr>
            <w:r w:rsidRPr="006D3F87">
              <w:rPr>
                <w:rFonts w:asciiTheme="minorHAnsi" w:eastAsia="Times New Roman" w:hAnsiTheme="minorHAnsi" w:cstheme="minorHAnsi"/>
                <w:b/>
                <w:bCs/>
                <w:color w:val="000000"/>
                <w:lang w:val="es-ES_tradnl" w:eastAsia="es-CR"/>
              </w:rPr>
              <w:t>100%</w:t>
            </w:r>
          </w:p>
        </w:tc>
      </w:tr>
    </w:tbl>
    <w:p w14:paraId="03E2EA72" w14:textId="77777777" w:rsidR="006D3F87" w:rsidRPr="006D3F87" w:rsidRDefault="006D3F87" w:rsidP="006D3F87">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p>
    <w:p w14:paraId="3348C44C" w14:textId="77777777" w:rsidR="006D3F87" w:rsidRPr="006D3F87" w:rsidRDefault="006D3F87" w:rsidP="006D3F87">
      <w:pPr>
        <w:widowControl w:val="0"/>
        <w:overflowPunct w:val="0"/>
        <w:autoSpaceDE w:val="0"/>
        <w:autoSpaceDN w:val="0"/>
        <w:adjustRightInd w:val="0"/>
        <w:spacing w:before="120" w:after="0" w:line="240" w:lineRule="auto"/>
        <w:rPr>
          <w:rFonts w:ascii="Calibri" w:eastAsia="Times New Roman" w:hAnsi="Calibri" w:cs="Calibri"/>
          <w:b/>
          <w:bCs/>
          <w:color w:val="000000"/>
          <w:kern w:val="0"/>
          <w:lang w:val="es-ES_tradnl" w:eastAsia="es-CR"/>
          <w14:ligatures w14:val="none"/>
        </w:rPr>
      </w:pPr>
    </w:p>
    <w:p w14:paraId="099F69E2" w14:textId="77777777" w:rsidR="006D3F87" w:rsidRPr="006D3F87" w:rsidRDefault="006D3F87" w:rsidP="006D3F87">
      <w:pPr>
        <w:widowControl w:val="0"/>
        <w:overflowPunct w:val="0"/>
        <w:autoSpaceDE w:val="0"/>
        <w:autoSpaceDN w:val="0"/>
        <w:adjustRightInd w:val="0"/>
        <w:spacing w:before="120" w:after="0" w:line="240" w:lineRule="auto"/>
        <w:jc w:val="center"/>
        <w:rPr>
          <w:rFonts w:ascii="Calibri" w:eastAsia="Times New Roman" w:hAnsi="Calibri" w:cs="Calibri"/>
          <w:b/>
          <w:bCs/>
          <w:color w:val="000000"/>
          <w:kern w:val="0"/>
          <w:lang w:val="es-ES_tradnl" w:eastAsia="es-CR"/>
          <w14:ligatures w14:val="none"/>
        </w:rPr>
      </w:pPr>
    </w:p>
    <w:p w14:paraId="43ADC783" w14:textId="77777777" w:rsidR="006D3F87" w:rsidRPr="006D3F87" w:rsidRDefault="006D3F87" w:rsidP="006D3F87">
      <w:pP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color w:val="000000"/>
          <w:kern w:val="0"/>
          <w:lang w:val="es-ES_tradnl" w:eastAsia="es-CR"/>
          <w14:ligatures w14:val="none"/>
        </w:rPr>
        <w:br w:type="page"/>
      </w:r>
    </w:p>
    <w:p w14:paraId="7CCBC035" w14:textId="77777777" w:rsidR="006D3F87" w:rsidRPr="006D3F87" w:rsidRDefault="006D3F87" w:rsidP="006D3F87">
      <w:pPr>
        <w:rPr>
          <w:rFonts w:ascii="Calibri" w:eastAsia="Times New Roman" w:hAnsi="Calibri" w:cs="Calibri"/>
          <w:b/>
          <w:bCs/>
          <w:color w:val="000000"/>
          <w:kern w:val="0"/>
          <w:lang w:val="es-ES_tradnl" w:eastAsia="es-CR"/>
          <w14:ligatures w14:val="none"/>
        </w:rPr>
        <w:sectPr w:rsidR="006D3F87" w:rsidRPr="006D3F87" w:rsidSect="006D3F87">
          <w:headerReference w:type="default" r:id="rId500"/>
          <w:pgSz w:w="12240" w:h="15840"/>
          <w:pgMar w:top="1417" w:right="1701" w:bottom="1417" w:left="1701" w:header="708" w:footer="708" w:gutter="0"/>
          <w:pgNumType w:start="431"/>
          <w:cols w:space="708"/>
          <w:docGrid w:linePitch="360"/>
        </w:sectPr>
      </w:pPr>
    </w:p>
    <w:p w14:paraId="2F99A65E"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814336" behindDoc="0" locked="0" layoutInCell="1" allowOverlap="1" wp14:anchorId="238E9DAB" wp14:editId="314365AA">
                <wp:simplePos x="0" y="0"/>
                <wp:positionH relativeFrom="margin">
                  <wp:align>center</wp:align>
                </wp:positionH>
                <wp:positionV relativeFrom="paragraph">
                  <wp:posOffset>-382905</wp:posOffset>
                </wp:positionV>
                <wp:extent cx="7879080" cy="400050"/>
                <wp:effectExtent l="0" t="0" r="26670" b="19050"/>
                <wp:wrapNone/>
                <wp:docPr id="13807447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0050"/>
                        </a:xfrm>
                        <a:prstGeom prst="rect">
                          <a:avLst/>
                        </a:prstGeom>
                        <a:solidFill>
                          <a:srgbClr val="FFFFFF"/>
                        </a:solidFill>
                        <a:ln w="9525">
                          <a:solidFill>
                            <a:srgbClr val="000000"/>
                          </a:solidFill>
                          <a:miter lim="800000"/>
                          <a:headEnd/>
                          <a:tailEnd/>
                        </a:ln>
                      </wps:spPr>
                      <wps:txbx>
                        <w:txbxContent>
                          <w:p w14:paraId="5947B3DB" w14:textId="77777777" w:rsidR="006D3F87" w:rsidRPr="006D3F87" w:rsidRDefault="006D3F87" w:rsidP="006D3F87">
                            <w:pPr>
                              <w:jc w:val="center"/>
                              <w:rPr>
                                <w:rFonts w:cs="Calibri"/>
                                <w:b/>
                                <w:szCs w:val="24"/>
                              </w:rPr>
                            </w:pPr>
                            <w:r w:rsidRPr="006D3F87">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E9DAB" id="_x0000_s1236" type="#_x0000_t202" style="position:absolute;left:0;text-align:left;margin-left:0;margin-top:-30.15pt;width:620.4pt;height:31.5pt;z-index:25281433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">
                <v:textbox>
                  <w:txbxContent>
                    <w:p w14:paraId="5947B3DB" w14:textId="77777777" w:rsidR="006D3F87" w:rsidRPr="006D3F87" w:rsidRDefault="006D3F87" w:rsidP="006D3F87">
                      <w:pPr>
                        <w:jc w:val="center"/>
                        <w:rPr>
                          <w:rFonts w:cs="Calibri"/>
                          <w:b/>
                          <w:szCs w:val="24"/>
                        </w:rPr>
                      </w:pPr>
                      <w:r w:rsidRPr="006D3F87">
                        <w:rPr>
                          <w:rFonts w:cs="Calibri"/>
                          <w:b/>
                          <w:szCs w:val="24"/>
                        </w:rPr>
                        <w:t>RÚBRICA DE EVALUACIÓN – FORO TEMÁTICO</w:t>
                      </w:r>
                    </w:p>
                  </w:txbxContent>
                </v:textbox>
                <w10:wrap anchorx="margin"/>
              </v:shape>
            </w:pict>
          </mc:Fallback>
        </mc:AlternateContent>
      </w:r>
    </w:p>
    <w:p w14:paraId="34903A64" w14:textId="77777777" w:rsidR="006D3F87" w:rsidRPr="006D3F87" w:rsidRDefault="006D3F87" w:rsidP="006D3F87">
      <w:pPr>
        <w:jc w:val="center"/>
        <w:rPr>
          <w:rFonts w:ascii="Calibri" w:eastAsia="Times New Roman" w:hAnsi="Calibri" w:cs="Calibri"/>
          <w:color w:val="0070C0"/>
          <w:kern w:val="0"/>
          <w:lang w:val="es-ES_tradnl" w:eastAsia="es-CR"/>
          <w14:ligatures w14:val="none"/>
        </w:rPr>
      </w:pPr>
      <w:r w:rsidRPr="006D3F87">
        <w:rPr>
          <w:rFonts w:ascii="Calibri" w:eastAsia="Times New Roman" w:hAnsi="Calibri" w:cs="Calibri"/>
          <w:color w:val="0070C0"/>
          <w:kern w:val="0"/>
          <w:lang w:val="es-ES_tradnl" w:eastAsia="es-CR"/>
          <w14:ligatures w14:val="none"/>
        </w:rPr>
        <w:t>Los foros permiten un diálogo sostenido en forma asincrónica, a lo largo de la sesión donde se utilizan, entre los y las estudiantes y con la persona docente.  Se desarrollan en las sesiones 2 y 5. Cada foro tiene un valor de 5%.</w:t>
      </w:r>
    </w:p>
    <w:p w14:paraId="1C1CEACB"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noProof/>
          <w:color w:val="000000"/>
          <w:kern w:val="0"/>
          <w:lang w:val="es-ES_tradnl" w:eastAsia="es-CR"/>
          <w14:ligatures w14:val="none"/>
        </w:rPr>
        <w:drawing>
          <wp:anchor distT="0" distB="0" distL="114300" distR="114300" simplePos="0" relativeHeight="252815360" behindDoc="0" locked="0" layoutInCell="1" allowOverlap="1" wp14:anchorId="019FFB9C" wp14:editId="718442C5">
            <wp:simplePos x="0" y="0"/>
            <wp:positionH relativeFrom="margin">
              <wp:align>center</wp:align>
            </wp:positionH>
            <wp:positionV relativeFrom="paragraph">
              <wp:posOffset>117792</wp:posOffset>
            </wp:positionV>
            <wp:extent cx="8024812" cy="5828577"/>
            <wp:effectExtent l="0" t="0" r="0" b="1270"/>
            <wp:wrapNone/>
            <wp:docPr id="31195256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952564" name="Imagen 1" descr="Tabla&#10;&#10;Descripción generada automáticamente"/>
                    <pic:cNvPicPr/>
                  </pic:nvPicPr>
                  <pic:blipFill>
                    <a:blip r:embed="rId501">
                      <a:extLst>
                        <a:ext uri="{28A0092B-C50C-407E-A947-70E740481C1C}">
                          <a14:useLocalDpi xmlns:a14="http://schemas.microsoft.com/office/drawing/2010/main" val="0"/>
                        </a:ext>
                      </a:extLst>
                    </a:blip>
                    <a:stretch>
                      <a:fillRect/>
                    </a:stretch>
                  </pic:blipFill>
                  <pic:spPr>
                    <a:xfrm>
                      <a:off x="0" y="0"/>
                      <a:ext cx="8024812" cy="5828577"/>
                    </a:xfrm>
                    <a:prstGeom prst="rect">
                      <a:avLst/>
                    </a:prstGeom>
                  </pic:spPr>
                </pic:pic>
              </a:graphicData>
            </a:graphic>
            <wp14:sizeRelH relativeFrom="margin">
              <wp14:pctWidth>0</wp14:pctWidth>
            </wp14:sizeRelH>
            <wp14:sizeRelV relativeFrom="margin">
              <wp14:pctHeight>0</wp14:pctHeight>
            </wp14:sizeRelV>
          </wp:anchor>
        </w:drawing>
      </w:r>
    </w:p>
    <w:p w14:paraId="1C6826C5" w14:textId="77777777" w:rsidR="006D3F87" w:rsidRPr="006D3F87" w:rsidRDefault="006D3F87" w:rsidP="006D3F87">
      <w:pP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color w:val="000000"/>
          <w:kern w:val="0"/>
          <w:lang w:val="es-ES_tradnl" w:eastAsia="es-CR"/>
          <w14:ligatures w14:val="none"/>
        </w:rPr>
        <w:br w:type="page"/>
      </w:r>
    </w:p>
    <w:p w14:paraId="62A40FCF"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r w:rsidRPr="006D3F87">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816384" behindDoc="0" locked="0" layoutInCell="1" allowOverlap="1" wp14:anchorId="7A027B1F" wp14:editId="4C3A4DDF">
                <wp:simplePos x="0" y="0"/>
                <wp:positionH relativeFrom="margin">
                  <wp:align>center</wp:align>
                </wp:positionH>
                <wp:positionV relativeFrom="paragraph">
                  <wp:posOffset>-429578</wp:posOffset>
                </wp:positionV>
                <wp:extent cx="6606540" cy="411480"/>
                <wp:effectExtent l="0" t="0" r="22860" b="26670"/>
                <wp:wrapNone/>
                <wp:docPr id="1392129091" name="Cuadro de texto 139212909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2ECBC701" w14:textId="77777777" w:rsidR="006D3F87" w:rsidRPr="006D3F87" w:rsidRDefault="006D3F87" w:rsidP="006D3F87">
                            <w:pPr>
                              <w:jc w:val="center"/>
                              <w:rPr>
                                <w:rFonts w:cs="Calibri"/>
                              </w:rPr>
                            </w:pPr>
                            <w:r w:rsidRPr="006D3F87">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27B1F" id="Cuadro de texto 1392129091" o:spid="_x0000_s1237" type="#_x0000_t202" style="position:absolute;left:0;text-align:left;margin-left:0;margin-top:-33.85pt;width:520.2pt;height:32.4pt;z-index:252816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" fillcolor="window" strokeweight=".5pt">
                <v:textbox>
                  <w:txbxContent>
                    <w:p w14:paraId="2ECBC701" w14:textId="77777777" w:rsidR="006D3F87" w:rsidRPr="006D3F87" w:rsidRDefault="006D3F87" w:rsidP="006D3F87">
                      <w:pPr>
                        <w:jc w:val="center"/>
                        <w:rPr>
                          <w:rFonts w:cs="Calibri"/>
                        </w:rPr>
                      </w:pPr>
                      <w:r w:rsidRPr="006D3F87">
                        <w:rPr>
                          <w:rFonts w:cs="Calibri"/>
                          <w:b/>
                        </w:rPr>
                        <w:t>RÚBRICA DE EVALUACIÓN – GLOSARIO</w:t>
                      </w:r>
                    </w:p>
                  </w:txbxContent>
                </v:textbox>
                <w10:wrap anchorx="margin"/>
              </v:shape>
            </w:pict>
          </mc:Fallback>
        </mc:AlternateContent>
      </w:r>
    </w:p>
    <w:p w14:paraId="4AFF5389" w14:textId="77777777" w:rsidR="006D3F87" w:rsidRPr="006D3F87" w:rsidRDefault="006D3F87" w:rsidP="006D3F87">
      <w:pPr>
        <w:jc w:val="center"/>
        <w:rPr>
          <w:rFonts w:ascii="Calibri" w:eastAsia="Times New Roman" w:hAnsi="Calibri" w:cs="Calibri"/>
          <w:color w:val="0070C0"/>
          <w:kern w:val="0"/>
          <w:lang w:val="es-ES_tradnl" w:eastAsia="es-CR"/>
          <w14:ligatures w14:val="none"/>
        </w:rPr>
      </w:pPr>
      <w:r w:rsidRPr="006D3F87">
        <w:rPr>
          <w:rFonts w:ascii="Calibri" w:eastAsia="Times New Roman" w:hAnsi="Calibri" w:cs="Calibri"/>
          <w:color w:val="0070C0"/>
          <w:kern w:val="0"/>
          <w:lang w:val="es-ES_tradnl" w:eastAsia="es-CR"/>
          <w14:ligatures w14:val="none"/>
        </w:rPr>
        <w:t>El glosario que los y las estudiantes crearán aborda la teología profética, rica en su diversidad, y la amplitud de los periodos históricos que abarca. La construcción de un glosario promueve la capacidad de identificar conceptos claves sobre el tema en cuestión. Se desarrolla en la sesión 4 y tiene un valor de 5%.</w:t>
      </w:r>
    </w:p>
    <w:p w14:paraId="403498B8"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r w:rsidRPr="006D3F87">
        <w:rPr>
          <w:rFonts w:ascii="Calibri" w:eastAsia="Times New Roman" w:hAnsi="Calibri" w:cs="Calibri"/>
          <w:noProof/>
          <w:color w:val="000000"/>
          <w:kern w:val="0"/>
          <w:lang w:val="es-ES_tradnl" w:eastAsia="es-CR"/>
          <w14:ligatures w14:val="none"/>
        </w:rPr>
        <w:drawing>
          <wp:anchor distT="0" distB="0" distL="114300" distR="114300" simplePos="0" relativeHeight="252817408" behindDoc="0" locked="0" layoutInCell="1" allowOverlap="1" wp14:anchorId="73CA365B" wp14:editId="2F9432CD">
            <wp:simplePos x="0" y="0"/>
            <wp:positionH relativeFrom="margin">
              <wp:align>center</wp:align>
            </wp:positionH>
            <wp:positionV relativeFrom="paragraph">
              <wp:posOffset>144462</wp:posOffset>
            </wp:positionV>
            <wp:extent cx="7668988" cy="5312151"/>
            <wp:effectExtent l="0" t="0" r="8255" b="3175"/>
            <wp:wrapNone/>
            <wp:docPr id="741373443"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73443" name="Imagen 2" descr="Tabla&#10;&#10;Descripción generada automáticamente"/>
                    <pic:cNvPicPr/>
                  </pic:nvPicPr>
                  <pic:blipFill>
                    <a:blip r:embed="rId502">
                      <a:extLst>
                        <a:ext uri="{28A0092B-C50C-407E-A947-70E740481C1C}">
                          <a14:useLocalDpi xmlns:a14="http://schemas.microsoft.com/office/drawing/2010/main" val="0"/>
                        </a:ext>
                      </a:extLst>
                    </a:blip>
                    <a:stretch>
                      <a:fillRect/>
                    </a:stretch>
                  </pic:blipFill>
                  <pic:spPr>
                    <a:xfrm>
                      <a:off x="0" y="0"/>
                      <a:ext cx="7668988" cy="5312151"/>
                    </a:xfrm>
                    <a:prstGeom prst="rect">
                      <a:avLst/>
                    </a:prstGeom>
                  </pic:spPr>
                </pic:pic>
              </a:graphicData>
            </a:graphic>
            <wp14:sizeRelH relativeFrom="margin">
              <wp14:pctWidth>0</wp14:pctWidth>
            </wp14:sizeRelH>
            <wp14:sizeRelV relativeFrom="margin">
              <wp14:pctHeight>0</wp14:pctHeight>
            </wp14:sizeRelV>
          </wp:anchor>
        </w:drawing>
      </w:r>
    </w:p>
    <w:p w14:paraId="3CD39E8A"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1D75E9DA"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4F99223E"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color w:val="000000"/>
          <w:kern w:val="0"/>
          <w:lang w:val="es-ES_tradnl" w:eastAsia="es-CR"/>
          <w14:ligatures w14:val="none"/>
        </w:rPr>
        <w:br w:type="page"/>
      </w:r>
    </w:p>
    <w:p w14:paraId="40C37A64" w14:textId="77777777" w:rsidR="006D3F87" w:rsidRPr="006D3F87" w:rsidRDefault="006D3F87" w:rsidP="006D3F87">
      <w:pPr>
        <w:rPr>
          <w:rFonts w:ascii="Calibri" w:eastAsia="Times New Roman" w:hAnsi="Calibri" w:cs="Calibri"/>
          <w:b/>
          <w:bCs/>
          <w:color w:val="000000"/>
          <w:kern w:val="0"/>
          <w:lang w:val="es-ES_tradnl" w:eastAsia="es-CR"/>
          <w14:ligatures w14:val="none"/>
        </w:rPr>
      </w:pPr>
      <w:r w:rsidRPr="006D3F8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18432" behindDoc="0" locked="0" layoutInCell="1" allowOverlap="1" wp14:anchorId="636DB21F" wp14:editId="02572C54">
                <wp:simplePos x="0" y="0"/>
                <wp:positionH relativeFrom="margin">
                  <wp:align>center</wp:align>
                </wp:positionH>
                <wp:positionV relativeFrom="paragraph">
                  <wp:posOffset>-382905</wp:posOffset>
                </wp:positionV>
                <wp:extent cx="6606540" cy="411480"/>
                <wp:effectExtent l="0" t="0" r="22860" b="26670"/>
                <wp:wrapNone/>
                <wp:docPr id="391017951" name="Cuadro de texto 39101795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A9E4129" w14:textId="77777777" w:rsidR="006D3F87" w:rsidRPr="006D3F87" w:rsidRDefault="006D3F87" w:rsidP="006D3F87">
                            <w:pPr>
                              <w:jc w:val="center"/>
                              <w:rPr>
                                <w:rFonts w:cs="Calibri"/>
                              </w:rPr>
                            </w:pPr>
                            <w:r w:rsidRPr="006D3F87">
                              <w:rPr>
                                <w:rFonts w:cs="Calibri"/>
                                <w:b/>
                              </w:rPr>
                              <w:t>RÚBRICA DE EVALUACIÓN – RESEÑA CRÍTICA DE LECTURA</w:t>
                            </w:r>
                          </w:p>
                          <w:p w14:paraId="0436ACE5" w14:textId="77777777" w:rsidR="006D3F87" w:rsidRPr="006D3F87" w:rsidRDefault="006D3F87" w:rsidP="006D3F8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6DB21F" id="Cuadro de texto 391017951" o:spid="_x0000_s1238" type="#_x0000_t202" style="position:absolute;margin-left:0;margin-top:-30.15pt;width:520.2pt;height:32.4pt;z-index:2528184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" fillcolor="window" strokeweight=".5pt">
                <v:textbox>
                  <w:txbxContent>
                    <w:p w14:paraId="5A9E4129" w14:textId="77777777" w:rsidR="006D3F87" w:rsidRPr="006D3F87" w:rsidRDefault="006D3F87" w:rsidP="006D3F87">
                      <w:pPr>
                        <w:jc w:val="center"/>
                        <w:rPr>
                          <w:rFonts w:cs="Calibri"/>
                        </w:rPr>
                      </w:pPr>
                      <w:r w:rsidRPr="006D3F87">
                        <w:rPr>
                          <w:rFonts w:cs="Calibri"/>
                          <w:b/>
                        </w:rPr>
                        <w:t>RÚBRICA DE EVALUACIÓN – RESEÑA CRÍTICA DE LECTURA</w:t>
                      </w:r>
                    </w:p>
                    <w:p w14:paraId="0436ACE5" w14:textId="77777777" w:rsidR="006D3F87" w:rsidRPr="006D3F87" w:rsidRDefault="006D3F87" w:rsidP="006D3F87">
                      <w:pPr>
                        <w:jc w:val="center"/>
                        <w:rPr>
                          <w:rFonts w:cs="Calibri"/>
                        </w:rPr>
                      </w:pPr>
                    </w:p>
                  </w:txbxContent>
                </v:textbox>
                <w10:wrap anchorx="margin"/>
              </v:shape>
            </w:pict>
          </mc:Fallback>
        </mc:AlternateContent>
      </w:r>
    </w:p>
    <w:p w14:paraId="263B2E50" w14:textId="77777777" w:rsidR="006D3F87" w:rsidRPr="006D3F87" w:rsidRDefault="006D3F87" w:rsidP="006D3F87">
      <w:pPr>
        <w:jc w:val="center"/>
        <w:rPr>
          <w:rFonts w:ascii="Calibri" w:eastAsia="Times New Roman" w:hAnsi="Calibri" w:cs="Calibri"/>
          <w:color w:val="0070C0"/>
          <w:kern w:val="0"/>
          <w:lang w:val="es-ES_tradnl" w:eastAsia="es-CR"/>
          <w14:ligatures w14:val="none"/>
        </w:rPr>
      </w:pPr>
      <w:r w:rsidRPr="006D3F87">
        <w:rPr>
          <w:rFonts w:ascii="Calibri" w:eastAsia="Times New Roman" w:hAnsi="Calibri" w:cs="Calibri"/>
          <w:bCs/>
          <w:color w:val="0070C0"/>
          <w:kern w:val="0"/>
          <w:lang w:val="es-ES_tradnl" w:eastAsia="es-CR"/>
          <w14:ligatures w14:val="none"/>
        </w:rPr>
        <w:t>Las personas estudiantes realizarán una reseña crítica que integra los aportes de dos lecturas sobre la teología deuteronomista y otra sobre la teología paulina. Ambas perspectivas teológicas son claves en el ámbito de la teología bíblica.</w:t>
      </w:r>
      <w:r w:rsidRPr="006D3F87">
        <w:rPr>
          <w:rFonts w:ascii="Calibri" w:eastAsia="Times New Roman" w:hAnsi="Calibri" w:cs="Calibri"/>
          <w:color w:val="0070C0"/>
          <w:kern w:val="0"/>
          <w:lang w:val="es-ES_tradnl" w:eastAsia="es-CR"/>
          <w14:ligatures w14:val="none"/>
        </w:rPr>
        <w:t xml:space="preserve"> Se elaboran en las sesiones 3 y 6. Cada reseña tiene un valor de 5%.</w:t>
      </w:r>
    </w:p>
    <w:p w14:paraId="476C80B0"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2891C0AC" w14:textId="77777777" w:rsidR="006D3F87" w:rsidRPr="006D3F87" w:rsidRDefault="006D3F87" w:rsidP="006D3F87">
      <w:pP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noProof/>
          <w:color w:val="000000"/>
          <w:kern w:val="0"/>
          <w:lang w:val="es-ES_tradnl" w:eastAsia="es-CR"/>
          <w14:ligatures w14:val="none"/>
        </w:rPr>
        <w:drawing>
          <wp:anchor distT="0" distB="0" distL="114300" distR="114300" simplePos="0" relativeHeight="252819456" behindDoc="0" locked="0" layoutInCell="1" allowOverlap="1" wp14:anchorId="654C368E" wp14:editId="37D5CD97">
            <wp:simplePos x="0" y="0"/>
            <wp:positionH relativeFrom="margin">
              <wp:align>center</wp:align>
            </wp:positionH>
            <wp:positionV relativeFrom="paragraph">
              <wp:posOffset>5080</wp:posOffset>
            </wp:positionV>
            <wp:extent cx="8991600" cy="4815840"/>
            <wp:effectExtent l="0" t="0" r="0" b="3810"/>
            <wp:wrapNone/>
            <wp:docPr id="196426353"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26353" name="Imagen 3" descr="Tabla&#10;&#10;Descripción generada automáticamente"/>
                    <pic:cNvPicPr/>
                  </pic:nvPicPr>
                  <pic:blipFill>
                    <a:blip r:embed="rId503">
                      <a:extLst>
                        <a:ext uri="{28A0092B-C50C-407E-A947-70E740481C1C}">
                          <a14:useLocalDpi xmlns:a14="http://schemas.microsoft.com/office/drawing/2010/main" val="0"/>
                        </a:ext>
                      </a:extLst>
                    </a:blip>
                    <a:stretch>
                      <a:fillRect/>
                    </a:stretch>
                  </pic:blipFill>
                  <pic:spPr>
                    <a:xfrm>
                      <a:off x="0" y="0"/>
                      <a:ext cx="8991600" cy="4815840"/>
                    </a:xfrm>
                    <a:prstGeom prst="rect">
                      <a:avLst/>
                    </a:prstGeom>
                  </pic:spPr>
                </pic:pic>
              </a:graphicData>
            </a:graphic>
          </wp:anchor>
        </w:drawing>
      </w:r>
      <w:r w:rsidRPr="006D3F87">
        <w:rPr>
          <w:rFonts w:ascii="Calibri" w:eastAsia="Times New Roman" w:hAnsi="Calibri" w:cs="Calibri"/>
          <w:b/>
          <w:bCs/>
          <w:color w:val="000000"/>
          <w:kern w:val="0"/>
          <w:lang w:val="es-ES_tradnl" w:eastAsia="es-CR"/>
          <w14:ligatures w14:val="none"/>
        </w:rPr>
        <w:br w:type="page"/>
      </w:r>
    </w:p>
    <w:p w14:paraId="7A994D10" w14:textId="77777777" w:rsidR="006D3F87" w:rsidRPr="006D3F87" w:rsidRDefault="006D3F87" w:rsidP="006D3F87">
      <w:pPr>
        <w:rPr>
          <w:rFonts w:ascii="Calibri" w:eastAsia="Times New Roman" w:hAnsi="Calibri" w:cs="Calibri"/>
          <w:b/>
          <w:bCs/>
          <w:color w:val="000000"/>
          <w:kern w:val="0"/>
          <w:lang w:val="es-ES_tradnl" w:eastAsia="es-CR"/>
          <w14:ligatures w14:val="none"/>
        </w:rPr>
      </w:pPr>
      <w:r w:rsidRPr="006D3F8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20480" behindDoc="0" locked="0" layoutInCell="1" allowOverlap="1" wp14:anchorId="203CE8D5" wp14:editId="5BBCF816">
                <wp:simplePos x="0" y="0"/>
                <wp:positionH relativeFrom="margin">
                  <wp:align>center</wp:align>
                </wp:positionH>
                <wp:positionV relativeFrom="paragraph">
                  <wp:posOffset>-413385</wp:posOffset>
                </wp:positionV>
                <wp:extent cx="6606540" cy="411480"/>
                <wp:effectExtent l="0" t="0" r="22860" b="26670"/>
                <wp:wrapNone/>
                <wp:docPr id="691673813" name="Cuadro de texto 691673813"/>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40938F5A" w14:textId="77777777" w:rsidR="006D3F87" w:rsidRPr="006D3F87" w:rsidRDefault="006D3F87" w:rsidP="006D3F87">
                            <w:pPr>
                              <w:jc w:val="center"/>
                              <w:rPr>
                                <w:rFonts w:cs="Calibri"/>
                              </w:rPr>
                            </w:pPr>
                            <w:r w:rsidRPr="006D3F87">
                              <w:rPr>
                                <w:rFonts w:cs="Calibri"/>
                                <w:b/>
                              </w:rPr>
                              <w:t>ESCALA DE EVALUACIÓN – ENSAYO SOBRE LA SALVACIÓN EN LA TEOLOGÍA BÍBLICA</w:t>
                            </w:r>
                          </w:p>
                          <w:p w14:paraId="77EF5871" w14:textId="77777777" w:rsidR="006D3F87" w:rsidRPr="006D3F87" w:rsidRDefault="006D3F87" w:rsidP="006D3F8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3CE8D5" id="Cuadro de texto 691673813" o:spid="_x0000_s1239" type="#_x0000_t202" style="position:absolute;margin-left:0;margin-top:-32.55pt;width:520.2pt;height:32.4pt;z-index:252820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" fillcolor="window" strokeweight=".5pt">
                <v:textbox>
                  <w:txbxContent>
                    <w:p w14:paraId="40938F5A" w14:textId="77777777" w:rsidR="006D3F87" w:rsidRPr="006D3F87" w:rsidRDefault="006D3F87" w:rsidP="006D3F87">
                      <w:pPr>
                        <w:jc w:val="center"/>
                        <w:rPr>
                          <w:rFonts w:cs="Calibri"/>
                        </w:rPr>
                      </w:pPr>
                      <w:r w:rsidRPr="006D3F87">
                        <w:rPr>
                          <w:rFonts w:cs="Calibri"/>
                          <w:b/>
                        </w:rPr>
                        <w:t>ESCALA DE EVALUACIÓN – ENSAYO SOBRE LA SALVACIÓN EN LA TEOLOGÍA BÍBLICA</w:t>
                      </w:r>
                    </w:p>
                    <w:p w14:paraId="77EF5871" w14:textId="77777777" w:rsidR="006D3F87" w:rsidRPr="006D3F87" w:rsidRDefault="006D3F87" w:rsidP="006D3F87">
                      <w:pPr>
                        <w:jc w:val="center"/>
                        <w:rPr>
                          <w:rFonts w:cs="Calibri"/>
                        </w:rPr>
                      </w:pPr>
                    </w:p>
                  </w:txbxContent>
                </v:textbox>
                <w10:wrap anchorx="margin"/>
              </v:shape>
            </w:pict>
          </mc:Fallback>
        </mc:AlternateContent>
      </w:r>
    </w:p>
    <w:p w14:paraId="662E630F" w14:textId="77777777" w:rsidR="006D3F87" w:rsidRPr="006D3F87" w:rsidRDefault="006D3F87" w:rsidP="006D3F87">
      <w:pPr>
        <w:jc w:val="center"/>
        <w:rPr>
          <w:rFonts w:ascii="Calibri" w:eastAsia="Times New Roman" w:hAnsi="Calibri" w:cs="Calibri"/>
          <w:color w:val="0070C0"/>
          <w:kern w:val="0"/>
          <w:lang w:val="es-ES_tradnl" w:eastAsia="es-CR"/>
          <w14:ligatures w14:val="none"/>
        </w:rPr>
      </w:pPr>
      <w:r w:rsidRPr="006D3F87">
        <w:rPr>
          <w:rFonts w:ascii="Calibri" w:eastAsia="Times New Roman" w:hAnsi="Calibri" w:cs="Calibri"/>
          <w:color w:val="0070C0"/>
          <w:kern w:val="0"/>
          <w:lang w:val="es-ES_tradnl" w:eastAsia="es-CR"/>
          <w14:ligatures w14:val="none"/>
        </w:rPr>
        <w:t>El ensayo es un ejercicio académico, argumentativo y fundamentado que se realiza para el tratamiento personal de un tema con base en la investigación y reflexión. Se elabora en la sesión 13 y tiene un valor de 10%.</w:t>
      </w:r>
    </w:p>
    <w:p w14:paraId="073C50FC"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noProof/>
          <w:color w:val="000000"/>
          <w:kern w:val="0"/>
          <w:lang w:val="es-ES_tradnl" w:eastAsia="es-CR"/>
          <w14:ligatures w14:val="none"/>
        </w:rPr>
        <w:drawing>
          <wp:anchor distT="0" distB="0" distL="114300" distR="114300" simplePos="0" relativeHeight="252821504" behindDoc="0" locked="0" layoutInCell="1" allowOverlap="1" wp14:anchorId="7B86537B" wp14:editId="6B3DA0AC">
            <wp:simplePos x="0" y="0"/>
            <wp:positionH relativeFrom="margin">
              <wp:align>center</wp:align>
            </wp:positionH>
            <wp:positionV relativeFrom="paragraph">
              <wp:posOffset>286385</wp:posOffset>
            </wp:positionV>
            <wp:extent cx="8101584" cy="3858768"/>
            <wp:effectExtent l="0" t="0" r="0" b="8890"/>
            <wp:wrapNone/>
            <wp:docPr id="947373975" name="Imagen 4"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73975" name="Imagen 4" descr="Interfaz de usuario gráfica, Tabla&#10;&#10;Descripción generada automáticamente"/>
                    <pic:cNvPicPr/>
                  </pic:nvPicPr>
                  <pic:blipFill>
                    <a:blip r:embed="rId504">
                      <a:extLst>
                        <a:ext uri="{28A0092B-C50C-407E-A947-70E740481C1C}">
                          <a14:useLocalDpi xmlns:a14="http://schemas.microsoft.com/office/drawing/2010/main" val="0"/>
                        </a:ext>
                      </a:extLst>
                    </a:blip>
                    <a:stretch>
                      <a:fillRect/>
                    </a:stretch>
                  </pic:blipFill>
                  <pic:spPr>
                    <a:xfrm>
                      <a:off x="0" y="0"/>
                      <a:ext cx="8101584" cy="3858768"/>
                    </a:xfrm>
                    <a:prstGeom prst="rect">
                      <a:avLst/>
                    </a:prstGeom>
                  </pic:spPr>
                </pic:pic>
              </a:graphicData>
            </a:graphic>
          </wp:anchor>
        </w:drawing>
      </w:r>
    </w:p>
    <w:p w14:paraId="2FFB8B85" w14:textId="77777777" w:rsidR="006D3F87" w:rsidRPr="006D3F87" w:rsidRDefault="006D3F87" w:rsidP="006D3F87">
      <w:pP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color w:val="000000"/>
          <w:kern w:val="0"/>
          <w:lang w:val="es-ES_tradnl" w:eastAsia="es-CR"/>
          <w14:ligatures w14:val="none"/>
        </w:rPr>
        <w:br w:type="page"/>
      </w:r>
    </w:p>
    <w:p w14:paraId="60243B17" w14:textId="77777777" w:rsidR="006D3F87" w:rsidRPr="006D3F87" w:rsidRDefault="006D3F87" w:rsidP="006D3F87">
      <w:pPr>
        <w:rPr>
          <w:rFonts w:ascii="Calibri" w:eastAsia="Times New Roman" w:hAnsi="Calibri" w:cs="Calibri"/>
          <w:b/>
          <w:bCs/>
          <w:color w:val="000000"/>
          <w:kern w:val="0"/>
          <w:lang w:val="es-ES_tradnl" w:eastAsia="es-CR"/>
          <w14:ligatures w14:val="none"/>
        </w:rPr>
      </w:pPr>
      <w:r w:rsidRPr="006D3F87">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822528" behindDoc="0" locked="0" layoutInCell="1" allowOverlap="1" wp14:anchorId="3649E497" wp14:editId="4BD3434E">
                <wp:simplePos x="0" y="0"/>
                <wp:positionH relativeFrom="margin">
                  <wp:align>center</wp:align>
                </wp:positionH>
                <wp:positionV relativeFrom="paragraph">
                  <wp:posOffset>-392430</wp:posOffset>
                </wp:positionV>
                <wp:extent cx="6697980" cy="452437"/>
                <wp:effectExtent l="0" t="0" r="26670" b="24130"/>
                <wp:wrapNone/>
                <wp:docPr id="1192621860" name="Rectángulo 1192621860"/>
                <wp:cNvGraphicFramePr/>
                <a:graphic xmlns:a="http://schemas.openxmlformats.org/drawingml/2006/main">
                  <a:graphicData uri="http://schemas.microsoft.com/office/word/2010/wordprocessingShape">
                    <wps:wsp>
                      <wps:cNvSpPr/>
                      <wps:spPr>
                        <a:xfrm>
                          <a:off x="0" y="0"/>
                          <a:ext cx="6697980" cy="452437"/>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420E4B5" w14:textId="77777777" w:rsidR="006D3F87" w:rsidRPr="006D3F87" w:rsidRDefault="006D3F87" w:rsidP="006D3F87">
                            <w:pPr>
                              <w:jc w:val="center"/>
                              <w:rPr>
                                <w:rFonts w:cs="Calibri"/>
                                <w:b/>
                              </w:rPr>
                            </w:pPr>
                            <w:r w:rsidRPr="006D3F87">
                              <w:rPr>
                                <w:rFonts w:cs="Calibri"/>
                                <w:b/>
                              </w:rPr>
                              <w:t>ESCALA DE EVALUACIÓN – CUADRO SINÓPTICO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49E497" id="Rectángulo 1192621860" o:spid="_x0000_s1240" style="position:absolute;margin-left:0;margin-top:-30.9pt;width:527.4pt;height:35.6pt;z-index:252822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" fillcolor="window" strokecolor="windowText" strokeweight=".25pt">
                <v:textbox>
                  <w:txbxContent>
                    <w:p w14:paraId="3420E4B5" w14:textId="77777777" w:rsidR="006D3F87" w:rsidRPr="006D3F87" w:rsidRDefault="006D3F87" w:rsidP="006D3F87">
                      <w:pPr>
                        <w:jc w:val="center"/>
                        <w:rPr>
                          <w:rFonts w:cs="Calibri"/>
                          <w:b/>
                        </w:rPr>
                      </w:pPr>
                      <w:r w:rsidRPr="006D3F87">
                        <w:rPr>
                          <w:rFonts w:cs="Calibri"/>
                          <w:b/>
                        </w:rPr>
                        <w:t>ESCALA DE EVALUACIÓN – CUADRO SINÓPTICO</w:t>
                      </w:r>
                    </w:p>
                  </w:txbxContent>
                </v:textbox>
                <w10:wrap anchorx="margin"/>
              </v:rect>
            </w:pict>
          </mc:Fallback>
        </mc:AlternateContent>
      </w:r>
    </w:p>
    <w:p w14:paraId="68FBD006" w14:textId="77777777" w:rsidR="006D3F87" w:rsidRPr="006D3F87" w:rsidRDefault="006D3F87" w:rsidP="006D3F87">
      <w:pPr>
        <w:jc w:val="center"/>
        <w:rPr>
          <w:rFonts w:ascii="Calibri" w:eastAsia="Times New Roman" w:hAnsi="Calibri" w:cs="Calibri"/>
          <w:color w:val="0070C0"/>
          <w:kern w:val="0"/>
          <w:lang w:val="es-ES_tradnl" w:eastAsia="es-CR"/>
          <w14:ligatures w14:val="none"/>
        </w:rPr>
      </w:pPr>
      <w:r w:rsidRPr="006D3F87">
        <w:rPr>
          <w:rFonts w:ascii="Calibri" w:eastAsia="Times New Roman" w:hAnsi="Calibri" w:cs="Calibri"/>
          <w:color w:val="0070C0"/>
          <w:kern w:val="0"/>
          <w:lang w:val="es-ES_tradnl" w:eastAsia="es-CR"/>
          <w14:ligatures w14:val="none"/>
        </w:rPr>
        <w:t>La capacidad de comparar y contrastar propuestas teológicas e identificar su presencia en textos bíblicos específicos es la función de las tareas analíticas que se realizan durante dos sesiones en el curso. El cuadro sinóptico se elabora en la sesión 7 y tiene un valor de 10%.</w:t>
      </w:r>
    </w:p>
    <w:p w14:paraId="1F685AE3"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01736EBD"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noProof/>
          <w:color w:val="000000"/>
          <w:kern w:val="0"/>
          <w:lang w:val="es-ES_tradnl" w:eastAsia="es-CR"/>
          <w14:ligatures w14:val="none"/>
        </w:rPr>
        <w:drawing>
          <wp:inline distT="0" distB="0" distL="0" distR="0" wp14:anchorId="02C9E7FF" wp14:editId="16D5E141">
            <wp:extent cx="8979408" cy="4504944"/>
            <wp:effectExtent l="0" t="0" r="0" b="0"/>
            <wp:docPr id="452354263"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54263" name="Imagen 5" descr="Tabla&#10;&#10;Descripción generada automáticamente"/>
                    <pic:cNvPicPr/>
                  </pic:nvPicPr>
                  <pic:blipFill>
                    <a:blip r:embed="rId505">
                      <a:extLst>
                        <a:ext uri="{28A0092B-C50C-407E-A947-70E740481C1C}">
                          <a14:useLocalDpi xmlns:a14="http://schemas.microsoft.com/office/drawing/2010/main" val="0"/>
                        </a:ext>
                      </a:extLst>
                    </a:blip>
                    <a:stretch>
                      <a:fillRect/>
                    </a:stretch>
                  </pic:blipFill>
                  <pic:spPr>
                    <a:xfrm>
                      <a:off x="0" y="0"/>
                      <a:ext cx="8979408" cy="4504944"/>
                    </a:xfrm>
                    <a:prstGeom prst="rect">
                      <a:avLst/>
                    </a:prstGeom>
                  </pic:spPr>
                </pic:pic>
              </a:graphicData>
            </a:graphic>
          </wp:inline>
        </w:drawing>
      </w:r>
    </w:p>
    <w:p w14:paraId="446C0BF2" w14:textId="77777777" w:rsidR="006D3F87" w:rsidRPr="006D3F87" w:rsidRDefault="006D3F87" w:rsidP="006D3F87">
      <w:pP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color w:val="000000"/>
          <w:kern w:val="0"/>
          <w:lang w:val="es-ES_tradnl" w:eastAsia="es-CR"/>
          <w14:ligatures w14:val="none"/>
        </w:rPr>
        <w:br w:type="page"/>
      </w:r>
    </w:p>
    <w:p w14:paraId="0013211B"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r w:rsidRPr="006D3F87">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23552" behindDoc="0" locked="0" layoutInCell="1" allowOverlap="1" wp14:anchorId="262F3643" wp14:editId="7C4162EE">
                <wp:simplePos x="0" y="0"/>
                <wp:positionH relativeFrom="margin">
                  <wp:align>center</wp:align>
                </wp:positionH>
                <wp:positionV relativeFrom="paragraph">
                  <wp:posOffset>-349568</wp:posOffset>
                </wp:positionV>
                <wp:extent cx="6606540" cy="411480"/>
                <wp:effectExtent l="0" t="0" r="22860" b="26670"/>
                <wp:wrapNone/>
                <wp:docPr id="8293794" name="Cuadro de texto 8293794"/>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CF2BEC1" w14:textId="77777777" w:rsidR="006D3F87" w:rsidRPr="006D3F87" w:rsidRDefault="006D3F87" w:rsidP="006D3F87">
                            <w:pPr>
                              <w:jc w:val="center"/>
                              <w:rPr>
                                <w:rFonts w:cs="Calibri"/>
                              </w:rPr>
                            </w:pPr>
                            <w:r w:rsidRPr="006D3F87">
                              <w:rPr>
                                <w:rFonts w:cs="Calibri"/>
                                <w:b/>
                              </w:rPr>
                              <w:t>ESCALA DE EVALUACIÓN – ANÁLISIS BÍBLICO</w:t>
                            </w:r>
                          </w:p>
                          <w:p w14:paraId="378CEB7F" w14:textId="77777777" w:rsidR="006D3F87" w:rsidRPr="006D3F87" w:rsidRDefault="006D3F87" w:rsidP="006D3F8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2F3643" id="Cuadro de texto 8293794" o:spid="_x0000_s1241" type="#_x0000_t202" style="position:absolute;left:0;text-align:left;margin-left:0;margin-top:-27.55pt;width:520.2pt;height:32.4pt;z-index:25282355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" fillcolor="window" strokeweight=".5pt">
                <v:textbox>
                  <w:txbxContent>
                    <w:p w14:paraId="6CF2BEC1" w14:textId="77777777" w:rsidR="006D3F87" w:rsidRPr="006D3F87" w:rsidRDefault="006D3F87" w:rsidP="006D3F87">
                      <w:pPr>
                        <w:jc w:val="center"/>
                        <w:rPr>
                          <w:rFonts w:cs="Calibri"/>
                        </w:rPr>
                      </w:pPr>
                      <w:r w:rsidRPr="006D3F87">
                        <w:rPr>
                          <w:rFonts w:cs="Calibri"/>
                          <w:b/>
                        </w:rPr>
                        <w:t>ESCALA DE EVALUACIÓN – ANÁLISIS BÍBLICO</w:t>
                      </w:r>
                    </w:p>
                    <w:p w14:paraId="378CEB7F" w14:textId="77777777" w:rsidR="006D3F87" w:rsidRPr="006D3F87" w:rsidRDefault="006D3F87" w:rsidP="006D3F87">
                      <w:pPr>
                        <w:jc w:val="center"/>
                        <w:rPr>
                          <w:rFonts w:cs="Calibri"/>
                        </w:rPr>
                      </w:pPr>
                    </w:p>
                  </w:txbxContent>
                </v:textbox>
                <w10:wrap anchorx="margin"/>
              </v:shape>
            </w:pict>
          </mc:Fallback>
        </mc:AlternateContent>
      </w:r>
    </w:p>
    <w:p w14:paraId="78E9ADBF" w14:textId="77777777" w:rsidR="006D3F87" w:rsidRPr="006D3F87" w:rsidRDefault="006D3F87" w:rsidP="006D3F87">
      <w:pPr>
        <w:jc w:val="center"/>
        <w:rPr>
          <w:rFonts w:ascii="Calibri" w:eastAsia="Times New Roman" w:hAnsi="Calibri" w:cs="Calibri"/>
          <w:color w:val="0070C0"/>
          <w:kern w:val="0"/>
          <w:lang w:val="es-ES_tradnl" w:eastAsia="es-CR"/>
          <w14:ligatures w14:val="none"/>
        </w:rPr>
      </w:pPr>
      <w:r w:rsidRPr="006D3F87">
        <w:rPr>
          <w:rFonts w:ascii="Calibri" w:eastAsia="Times New Roman" w:hAnsi="Calibri" w:cs="Calibri"/>
          <w:color w:val="0070C0"/>
          <w:kern w:val="0"/>
          <w:lang w:val="es-ES_tradnl" w:eastAsia="es-CR"/>
          <w14:ligatures w14:val="none"/>
        </w:rPr>
        <w:t>La capacidad de comparar y contrastar propuestas teológicas e identificar su presencia en textos bíblicos específicos es la función de las tareas analíticas que se realizan durante dos sesiones en el curso. El análisis bíblico se elabora en la sesión 8 y tiene un valor de 10%.</w:t>
      </w:r>
    </w:p>
    <w:p w14:paraId="37BB6748" w14:textId="0CD55F47" w:rsidR="006D3F87" w:rsidRPr="006D3F87" w:rsidRDefault="00860530" w:rsidP="006D3F87">
      <w:pPr>
        <w:jc w:val="center"/>
        <w:rPr>
          <w:rFonts w:ascii="Calibri" w:eastAsia="Times New Roman" w:hAnsi="Calibri" w:cs="Calibri"/>
          <w:color w:val="000000"/>
          <w:kern w:val="0"/>
          <w:lang w:val="es-ES_tradnl" w:eastAsia="es-CR"/>
          <w14:ligatures w14:val="none"/>
        </w:rPr>
      </w:pPr>
      <w:r w:rsidRPr="006D3F87">
        <w:rPr>
          <w:rFonts w:ascii="Calibri" w:eastAsia="Times New Roman" w:hAnsi="Calibri" w:cs="Calibri"/>
          <w:noProof/>
          <w:color w:val="000000"/>
          <w:kern w:val="0"/>
          <w:lang w:val="es-ES_tradnl" w:eastAsia="es-CR"/>
          <w14:ligatures w14:val="none"/>
        </w:rPr>
        <w:drawing>
          <wp:anchor distT="0" distB="0" distL="114300" distR="114300" simplePos="0" relativeHeight="252824576" behindDoc="0" locked="0" layoutInCell="1" allowOverlap="1" wp14:anchorId="737D464F" wp14:editId="761CE409">
            <wp:simplePos x="0" y="0"/>
            <wp:positionH relativeFrom="margin">
              <wp:posOffset>502747</wp:posOffset>
            </wp:positionH>
            <wp:positionV relativeFrom="paragraph">
              <wp:posOffset>183342</wp:posOffset>
            </wp:positionV>
            <wp:extent cx="8180832" cy="3797808"/>
            <wp:effectExtent l="0" t="0" r="0" b="0"/>
            <wp:wrapNone/>
            <wp:docPr id="1095857532"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857532" name="Imagen 6" descr="Tabla&#10;&#10;Descripción generada automáticamente"/>
                    <pic:cNvPicPr/>
                  </pic:nvPicPr>
                  <pic:blipFill>
                    <a:blip r:embed="rId506">
                      <a:extLst>
                        <a:ext uri="{28A0092B-C50C-407E-A947-70E740481C1C}">
                          <a14:useLocalDpi xmlns:a14="http://schemas.microsoft.com/office/drawing/2010/main" val="0"/>
                        </a:ext>
                      </a:extLst>
                    </a:blip>
                    <a:stretch>
                      <a:fillRect/>
                    </a:stretch>
                  </pic:blipFill>
                  <pic:spPr>
                    <a:xfrm>
                      <a:off x="0" y="0"/>
                      <a:ext cx="8180832" cy="3797808"/>
                    </a:xfrm>
                    <a:prstGeom prst="rect">
                      <a:avLst/>
                    </a:prstGeom>
                  </pic:spPr>
                </pic:pic>
              </a:graphicData>
            </a:graphic>
          </wp:anchor>
        </w:drawing>
      </w:r>
    </w:p>
    <w:p w14:paraId="2B761631" w14:textId="3432683B"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6C3E11E4"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24414B98"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77FDD21E"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5F72C92D"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519C9BFD"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00190E2F"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5C41C94F"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62D4CA4B"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18618A9F"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710FB466"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0288A791"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4F91188D"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0C67BFE1"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0338DF60"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37DE280A"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60B2CA05"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45FD101C"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185FEA66"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32B017EF"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p>
    <w:p w14:paraId="2892ED3D" w14:textId="77777777" w:rsidR="006D3F87" w:rsidRPr="006D3F87" w:rsidRDefault="006D3F87" w:rsidP="006D3F87">
      <w:pPr>
        <w:jc w:val="center"/>
        <w:rPr>
          <w:rFonts w:ascii="Calibri" w:eastAsia="Times New Roman" w:hAnsi="Calibri" w:cs="Calibri"/>
          <w:b/>
          <w:bCs/>
          <w:color w:val="000000"/>
          <w:kern w:val="0"/>
          <w:lang w:val="es-ES_tradnl" w:eastAsia="es-CR"/>
          <w14:ligatures w14:val="none"/>
        </w:rPr>
      </w:pPr>
      <w:r w:rsidRPr="006D3F8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825600" behindDoc="0" locked="0" layoutInCell="1" allowOverlap="1" wp14:anchorId="05C6F1E5" wp14:editId="3C3A9125">
                <wp:simplePos x="0" y="0"/>
                <wp:positionH relativeFrom="margin">
                  <wp:align>center</wp:align>
                </wp:positionH>
                <wp:positionV relativeFrom="paragraph">
                  <wp:posOffset>-329248</wp:posOffset>
                </wp:positionV>
                <wp:extent cx="6606540" cy="411480"/>
                <wp:effectExtent l="0" t="0" r="22860" b="26670"/>
                <wp:wrapNone/>
                <wp:docPr id="257462002" name="Cuadro de texto 257462002"/>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34334ADE" w14:textId="77777777" w:rsidR="006D3F87" w:rsidRPr="006D3F87" w:rsidRDefault="006D3F87" w:rsidP="006D3F87">
                            <w:pPr>
                              <w:jc w:val="center"/>
                              <w:rPr>
                                <w:rFonts w:cs="Calibri"/>
                              </w:rPr>
                            </w:pPr>
                            <w:r w:rsidRPr="006D3F87">
                              <w:rPr>
                                <w:rFonts w:cs="Calibri"/>
                                <w:b/>
                              </w:rPr>
                              <w:t>ESCALA DE EVALUACIÓN – INVESTIGACIÓN GRUPAL (DOCENTE)</w:t>
                            </w:r>
                          </w:p>
                          <w:p w14:paraId="2ECBF76C" w14:textId="77777777" w:rsidR="006D3F87" w:rsidRPr="006D3F87" w:rsidRDefault="006D3F87" w:rsidP="006D3F8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C6F1E5" id="Cuadro de texto 257462002" o:spid="_x0000_s1242" type="#_x0000_t202" style="position:absolute;left:0;text-align:left;margin-left:0;margin-top:-25.95pt;width:520.2pt;height:32.4pt;z-index:2528256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" fillcolor="window" strokeweight=".5pt">
                <v:textbox>
                  <w:txbxContent>
                    <w:p w14:paraId="34334ADE" w14:textId="77777777" w:rsidR="006D3F87" w:rsidRPr="006D3F87" w:rsidRDefault="006D3F87" w:rsidP="006D3F87">
                      <w:pPr>
                        <w:jc w:val="center"/>
                        <w:rPr>
                          <w:rFonts w:cs="Calibri"/>
                        </w:rPr>
                      </w:pPr>
                      <w:r w:rsidRPr="006D3F87">
                        <w:rPr>
                          <w:rFonts w:cs="Calibri"/>
                          <w:b/>
                        </w:rPr>
                        <w:t>ESCALA DE EVALUACIÓN – INVESTIGACIÓN GRUPAL (DOCENTE)</w:t>
                      </w:r>
                    </w:p>
                    <w:p w14:paraId="2ECBF76C" w14:textId="77777777" w:rsidR="006D3F87" w:rsidRPr="006D3F87" w:rsidRDefault="006D3F87" w:rsidP="006D3F87">
                      <w:pPr>
                        <w:jc w:val="center"/>
                        <w:rPr>
                          <w:rFonts w:cs="Calibri"/>
                        </w:rPr>
                      </w:pPr>
                    </w:p>
                  </w:txbxContent>
                </v:textbox>
                <w10:wrap anchorx="margin"/>
              </v:shape>
            </w:pict>
          </mc:Fallback>
        </mc:AlternateContent>
      </w:r>
    </w:p>
    <w:p w14:paraId="27A40697" w14:textId="77777777" w:rsidR="006D3F87" w:rsidRPr="006D3F87" w:rsidRDefault="006D3F87" w:rsidP="006D3F87">
      <w:pPr>
        <w:jc w:val="center"/>
        <w:rPr>
          <w:rFonts w:ascii="Calibri" w:eastAsia="Times New Roman" w:hAnsi="Calibri" w:cs="Calibri"/>
          <w:color w:val="0070C0"/>
          <w:kern w:val="0"/>
          <w:lang w:val="es-ES_tradnl" w:eastAsia="es-CR"/>
          <w14:ligatures w14:val="none"/>
        </w:rPr>
      </w:pPr>
      <w:r w:rsidRPr="006D3F87">
        <w:rPr>
          <w:rFonts w:ascii="Calibri" w:eastAsia="Times New Roman" w:hAnsi="Calibri" w:cs="Calibri"/>
          <w:color w:val="0070C0"/>
          <w:kern w:val="0"/>
          <w:lang w:val="es-ES_tradnl" w:eastAsia="es-CR"/>
          <w14:ligatures w14:val="none"/>
        </w:rPr>
        <w:t>El desarrollo de una investigación grupal requiere no solo destrezas a nivel de investigación, sino también de trabajo colaborativo y organización.  Se desarrolla desde la sesión 5 hasta la 12. La evaluación docente tiene un valor de 10% Se presenta de la siguiente forma: sesión 10 (grupos sobre la teología de la creación) y sesión 12 (grupos sobre la liberación en la teología bíblica del Antiguo y Nuevo Testamento).</w:t>
      </w:r>
    </w:p>
    <w:p w14:paraId="6D6905D1"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71111231"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r w:rsidRPr="006D3F87">
        <w:rPr>
          <w:rFonts w:ascii="Calibri" w:eastAsia="Times New Roman" w:hAnsi="Calibri" w:cs="Calibri"/>
          <w:noProof/>
          <w:color w:val="000000"/>
          <w:kern w:val="0"/>
          <w:lang w:val="es-ES_tradnl" w:eastAsia="es-CR"/>
          <w14:ligatures w14:val="none"/>
        </w:rPr>
        <w:drawing>
          <wp:inline distT="0" distB="0" distL="0" distR="0" wp14:anchorId="2DDEFFB3" wp14:editId="5F0445E6">
            <wp:extent cx="8010144" cy="3992880"/>
            <wp:effectExtent l="0" t="0" r="0" b="7620"/>
            <wp:docPr id="90332494" name="Imagen 7"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2494" name="Imagen 7" descr="Interfaz de usuario gráfica, Tabla&#10;&#10;Descripción generada automáticamente"/>
                    <pic:cNvPicPr/>
                  </pic:nvPicPr>
                  <pic:blipFill>
                    <a:blip r:embed="rId507">
                      <a:extLst>
                        <a:ext uri="{28A0092B-C50C-407E-A947-70E740481C1C}">
                          <a14:useLocalDpi xmlns:a14="http://schemas.microsoft.com/office/drawing/2010/main" val="0"/>
                        </a:ext>
                      </a:extLst>
                    </a:blip>
                    <a:stretch>
                      <a:fillRect/>
                    </a:stretch>
                  </pic:blipFill>
                  <pic:spPr>
                    <a:xfrm>
                      <a:off x="0" y="0"/>
                      <a:ext cx="8010144" cy="3992880"/>
                    </a:xfrm>
                    <a:prstGeom prst="rect">
                      <a:avLst/>
                    </a:prstGeom>
                  </pic:spPr>
                </pic:pic>
              </a:graphicData>
            </a:graphic>
          </wp:inline>
        </w:drawing>
      </w:r>
    </w:p>
    <w:p w14:paraId="36F3D7F7"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43B0E371"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74122F2E"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78A8DC56"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0119CD5A"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r w:rsidRPr="006D3F8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826624" behindDoc="0" locked="0" layoutInCell="1" allowOverlap="1" wp14:anchorId="41FA7A85" wp14:editId="413B24B8">
                <wp:simplePos x="0" y="0"/>
                <wp:positionH relativeFrom="margin">
                  <wp:align>center</wp:align>
                </wp:positionH>
                <wp:positionV relativeFrom="paragraph">
                  <wp:posOffset>-168275</wp:posOffset>
                </wp:positionV>
                <wp:extent cx="6606540" cy="411480"/>
                <wp:effectExtent l="0" t="0" r="22860" b="26670"/>
                <wp:wrapNone/>
                <wp:docPr id="1810819476" name="Cuadro de texto 1810819476"/>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61DFBCBB" w14:textId="77777777" w:rsidR="006D3F87" w:rsidRPr="006D3F87" w:rsidRDefault="006D3F87" w:rsidP="006D3F87">
                            <w:pPr>
                              <w:jc w:val="center"/>
                              <w:rPr>
                                <w:rFonts w:cs="Calibri"/>
                              </w:rPr>
                            </w:pPr>
                            <w:r w:rsidRPr="006D3F87">
                              <w:rPr>
                                <w:rFonts w:cs="Calibri"/>
                                <w:b/>
                              </w:rPr>
                              <w:t>ESCALA DE EVALUACIÓN DE PARES – INVESTIGACIÓN GRUPAL</w:t>
                            </w:r>
                          </w:p>
                          <w:p w14:paraId="5F582B3F" w14:textId="77777777" w:rsidR="006D3F87" w:rsidRPr="006D3F87" w:rsidRDefault="006D3F87" w:rsidP="006D3F8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FA7A85" id="Cuadro de texto 1810819476" o:spid="_x0000_s1243" type="#_x0000_t202" style="position:absolute;left:0;text-align:left;margin-left:0;margin-top:-13.25pt;width:520.2pt;height:32.4pt;z-index:2528266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" fillcolor="window" strokeweight=".5pt">
                <v:textbox>
                  <w:txbxContent>
                    <w:p w14:paraId="61DFBCBB" w14:textId="77777777" w:rsidR="006D3F87" w:rsidRPr="006D3F87" w:rsidRDefault="006D3F87" w:rsidP="006D3F87">
                      <w:pPr>
                        <w:jc w:val="center"/>
                        <w:rPr>
                          <w:rFonts w:cs="Calibri"/>
                        </w:rPr>
                      </w:pPr>
                      <w:r w:rsidRPr="006D3F87">
                        <w:rPr>
                          <w:rFonts w:cs="Calibri"/>
                          <w:b/>
                        </w:rPr>
                        <w:t>ESCALA DE EVALUACIÓN DE PARES – INVESTIGACIÓN GRUPAL</w:t>
                      </w:r>
                    </w:p>
                    <w:p w14:paraId="5F582B3F" w14:textId="77777777" w:rsidR="006D3F87" w:rsidRPr="006D3F87" w:rsidRDefault="006D3F87" w:rsidP="006D3F87">
                      <w:pPr>
                        <w:jc w:val="center"/>
                        <w:rPr>
                          <w:rFonts w:cs="Calibri"/>
                        </w:rPr>
                      </w:pPr>
                    </w:p>
                  </w:txbxContent>
                </v:textbox>
                <w10:wrap anchorx="margin"/>
              </v:shape>
            </w:pict>
          </mc:Fallback>
        </mc:AlternateContent>
      </w:r>
    </w:p>
    <w:p w14:paraId="55E79DC8"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319CE251" w14:textId="77777777" w:rsidR="006D3F87" w:rsidRPr="006D3F87" w:rsidRDefault="006D3F87" w:rsidP="006D3F87">
      <w:pPr>
        <w:jc w:val="center"/>
        <w:rPr>
          <w:rFonts w:ascii="Calibri" w:eastAsia="Times New Roman" w:hAnsi="Calibri" w:cs="Calibri"/>
          <w:color w:val="0070C0"/>
          <w:kern w:val="0"/>
          <w:lang w:val="es-ES_tradnl" w:eastAsia="es-CR"/>
          <w14:ligatures w14:val="none"/>
        </w:rPr>
      </w:pPr>
      <w:r w:rsidRPr="006D3F87">
        <w:rPr>
          <w:rFonts w:ascii="Calibri" w:eastAsia="Times New Roman" w:hAnsi="Calibri" w:cs="Calibri"/>
          <w:color w:val="0070C0"/>
          <w:kern w:val="0"/>
          <w:lang w:val="es-ES_tradnl" w:eastAsia="es-CR"/>
          <w14:ligatures w14:val="none"/>
        </w:rPr>
        <w:t>Esta es la escala de evaluación de pares que se utiliza para la investigación grupal que se desarrolla de la sesión 5 a la 12. Tiene un valor de 5%</w:t>
      </w:r>
    </w:p>
    <w:p w14:paraId="6AA30880"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0B8A16DB"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r w:rsidRPr="006D3F87">
        <w:rPr>
          <w:rFonts w:ascii="Calibri" w:eastAsia="Times New Roman" w:hAnsi="Calibri" w:cs="Calibri"/>
          <w:noProof/>
          <w:color w:val="000000"/>
          <w:kern w:val="0"/>
          <w:lang w:val="es-ES_tradnl" w:eastAsia="es-CR"/>
          <w14:ligatures w14:val="none"/>
        </w:rPr>
        <w:drawing>
          <wp:anchor distT="0" distB="0" distL="114300" distR="114300" simplePos="0" relativeHeight="252828672" behindDoc="0" locked="0" layoutInCell="1" allowOverlap="1" wp14:anchorId="14FC8FF9" wp14:editId="382BF0DD">
            <wp:simplePos x="0" y="0"/>
            <wp:positionH relativeFrom="margin">
              <wp:align>center</wp:align>
            </wp:positionH>
            <wp:positionV relativeFrom="paragraph">
              <wp:posOffset>51435</wp:posOffset>
            </wp:positionV>
            <wp:extent cx="8155940" cy="4132580"/>
            <wp:effectExtent l="0" t="0" r="0" b="1270"/>
            <wp:wrapNone/>
            <wp:docPr id="878298990"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298990" name="Imagen 8" descr="Tabla&#10;&#10;Descripción generada automáticamente"/>
                    <pic:cNvPicPr/>
                  </pic:nvPicPr>
                  <pic:blipFill>
                    <a:blip r:embed="rId508">
                      <a:extLst>
                        <a:ext uri="{28A0092B-C50C-407E-A947-70E740481C1C}">
                          <a14:useLocalDpi xmlns:a14="http://schemas.microsoft.com/office/drawing/2010/main" val="0"/>
                        </a:ext>
                      </a:extLst>
                    </a:blip>
                    <a:stretch>
                      <a:fillRect/>
                    </a:stretch>
                  </pic:blipFill>
                  <pic:spPr>
                    <a:xfrm>
                      <a:off x="0" y="0"/>
                      <a:ext cx="8155940" cy="4132580"/>
                    </a:xfrm>
                    <a:prstGeom prst="rect">
                      <a:avLst/>
                    </a:prstGeom>
                  </pic:spPr>
                </pic:pic>
              </a:graphicData>
            </a:graphic>
          </wp:anchor>
        </w:drawing>
      </w:r>
    </w:p>
    <w:p w14:paraId="4B9B88CE"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28DC17FC"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1E90ED86"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38F4F264"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2803AF76"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306F0022"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2D64F005"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1458B73A"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2A79E385"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211A28AE"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03975A01"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60649414"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0D91BA8E"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2AAE93A8"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0663651C"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2E2A84D1"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30360EC2"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24E0F13C"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64934C95"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r w:rsidRPr="006D3F87">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827648" behindDoc="0" locked="0" layoutInCell="1" allowOverlap="1" wp14:anchorId="08C42AFA" wp14:editId="68B16061">
                <wp:simplePos x="0" y="0"/>
                <wp:positionH relativeFrom="margin">
                  <wp:align>center</wp:align>
                </wp:positionH>
                <wp:positionV relativeFrom="paragraph">
                  <wp:posOffset>-321945</wp:posOffset>
                </wp:positionV>
                <wp:extent cx="6606540" cy="411480"/>
                <wp:effectExtent l="0" t="0" r="22860" b="26670"/>
                <wp:wrapNone/>
                <wp:docPr id="1683887657" name="Cuadro de texto 1683887657"/>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47FFD82" w14:textId="77777777" w:rsidR="006D3F87" w:rsidRPr="006D3F87" w:rsidRDefault="006D3F87" w:rsidP="006D3F87">
                            <w:pPr>
                              <w:jc w:val="center"/>
                              <w:rPr>
                                <w:rFonts w:cs="Calibri"/>
                              </w:rPr>
                            </w:pPr>
                            <w:r w:rsidRPr="006D3F87">
                              <w:rPr>
                                <w:rFonts w:cs="Calibri"/>
                                <w:b/>
                              </w:rPr>
                              <w:t>ESCALA DE EVALUACIÓN – ENSAYO FINAL</w:t>
                            </w:r>
                          </w:p>
                          <w:p w14:paraId="4D2D341A" w14:textId="77777777" w:rsidR="006D3F87" w:rsidRPr="006D3F87" w:rsidRDefault="006D3F87" w:rsidP="006D3F87">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C42AFA" id="Cuadro de texto 1683887657" o:spid="_x0000_s1244" type="#_x0000_t202" style="position:absolute;left:0;text-align:left;margin-left:0;margin-top:-25.35pt;width:520.2pt;height:32.4pt;z-index:2528276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" fillcolor="window" strokeweight=".5pt">
                <v:textbox>
                  <w:txbxContent>
                    <w:p w14:paraId="547FFD82" w14:textId="77777777" w:rsidR="006D3F87" w:rsidRPr="006D3F87" w:rsidRDefault="006D3F87" w:rsidP="006D3F87">
                      <w:pPr>
                        <w:jc w:val="center"/>
                        <w:rPr>
                          <w:rFonts w:cs="Calibri"/>
                        </w:rPr>
                      </w:pPr>
                      <w:r w:rsidRPr="006D3F87">
                        <w:rPr>
                          <w:rFonts w:cs="Calibri"/>
                          <w:b/>
                        </w:rPr>
                        <w:t>ESCALA DE EVALUACIÓN – ENSAYO FINAL</w:t>
                      </w:r>
                    </w:p>
                    <w:p w14:paraId="4D2D341A" w14:textId="77777777" w:rsidR="006D3F87" w:rsidRPr="006D3F87" w:rsidRDefault="006D3F87" w:rsidP="006D3F87">
                      <w:pPr>
                        <w:jc w:val="center"/>
                        <w:rPr>
                          <w:rFonts w:cs="Calibri"/>
                        </w:rPr>
                      </w:pPr>
                    </w:p>
                  </w:txbxContent>
                </v:textbox>
                <w10:wrap anchorx="margin"/>
              </v:shape>
            </w:pict>
          </mc:Fallback>
        </mc:AlternateContent>
      </w:r>
    </w:p>
    <w:p w14:paraId="01EDDC68" w14:textId="77777777" w:rsidR="006D3F87" w:rsidRPr="006D3F87" w:rsidRDefault="006D3F87" w:rsidP="006D3F87">
      <w:pPr>
        <w:jc w:val="center"/>
        <w:rPr>
          <w:rFonts w:ascii="Calibri" w:eastAsia="Times New Roman" w:hAnsi="Calibri" w:cs="Calibri"/>
          <w:color w:val="0070C0"/>
          <w:kern w:val="0"/>
          <w:lang w:val="es-ES_tradnl" w:eastAsia="es-CR"/>
          <w14:ligatures w14:val="none"/>
        </w:rPr>
      </w:pPr>
      <w:r w:rsidRPr="006D3F87">
        <w:rPr>
          <w:rFonts w:ascii="Calibri" w:eastAsia="Times New Roman" w:hAnsi="Calibri" w:cs="Calibri"/>
          <w:color w:val="0070C0"/>
          <w:kern w:val="0"/>
          <w:lang w:val="es-ES_tradnl" w:eastAsia="es-CR"/>
          <w14:ligatures w14:val="none"/>
        </w:rPr>
        <w:t>Como trabajo final del curso se elaborará un ensayo mediante el cual deberá analizar un tema social, religioso, político o cultural de la actualidad, a partir de los insumos y métodos de una o más de las teologías bíblicas analizadas. Se elabora desde la sesión 9 hasta la 15 y tiene un valor de 30%.</w:t>
      </w:r>
    </w:p>
    <w:p w14:paraId="1D2D20F4"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p>
    <w:p w14:paraId="6755F9B2"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pPr>
      <w:r w:rsidRPr="006D3F87">
        <w:rPr>
          <w:rFonts w:ascii="Calibri" w:eastAsia="Times New Roman" w:hAnsi="Calibri" w:cs="Calibri"/>
          <w:noProof/>
          <w:color w:val="000000"/>
          <w:kern w:val="0"/>
          <w:lang w:val="es-ES_tradnl" w:eastAsia="es-CR"/>
          <w14:ligatures w14:val="none"/>
        </w:rPr>
        <w:drawing>
          <wp:anchor distT="0" distB="0" distL="114300" distR="114300" simplePos="0" relativeHeight="252829696" behindDoc="0" locked="0" layoutInCell="1" allowOverlap="1" wp14:anchorId="77CB65D7" wp14:editId="510EEBEE">
            <wp:simplePos x="0" y="0"/>
            <wp:positionH relativeFrom="margin">
              <wp:align>center</wp:align>
            </wp:positionH>
            <wp:positionV relativeFrom="paragraph">
              <wp:posOffset>11430</wp:posOffset>
            </wp:positionV>
            <wp:extent cx="8089265" cy="3614420"/>
            <wp:effectExtent l="0" t="0" r="6985" b="5080"/>
            <wp:wrapNone/>
            <wp:docPr id="1578906851"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906851" name="Imagen 9" descr="Tabla&#10;&#10;Descripción generada automáticamente"/>
                    <pic:cNvPicPr/>
                  </pic:nvPicPr>
                  <pic:blipFill>
                    <a:blip r:embed="rId509">
                      <a:extLst>
                        <a:ext uri="{28A0092B-C50C-407E-A947-70E740481C1C}">
                          <a14:useLocalDpi xmlns:a14="http://schemas.microsoft.com/office/drawing/2010/main" val="0"/>
                        </a:ext>
                      </a:extLst>
                    </a:blip>
                    <a:stretch>
                      <a:fillRect/>
                    </a:stretch>
                  </pic:blipFill>
                  <pic:spPr>
                    <a:xfrm>
                      <a:off x="0" y="0"/>
                      <a:ext cx="8089265" cy="3614420"/>
                    </a:xfrm>
                    <a:prstGeom prst="rect">
                      <a:avLst/>
                    </a:prstGeom>
                  </pic:spPr>
                </pic:pic>
              </a:graphicData>
            </a:graphic>
          </wp:anchor>
        </w:drawing>
      </w:r>
    </w:p>
    <w:p w14:paraId="68591653" w14:textId="77777777" w:rsidR="006D3F87" w:rsidRPr="006D3F87" w:rsidRDefault="006D3F87" w:rsidP="006D3F87">
      <w:pPr>
        <w:jc w:val="center"/>
        <w:rPr>
          <w:rFonts w:ascii="Calibri" w:eastAsia="Times New Roman" w:hAnsi="Calibri" w:cs="Calibri"/>
          <w:color w:val="000000"/>
          <w:kern w:val="0"/>
          <w:lang w:val="es-ES_tradnl" w:eastAsia="es-CR"/>
          <w14:ligatures w14:val="none"/>
        </w:rPr>
        <w:sectPr w:rsidR="006D3F87" w:rsidRPr="006D3F87" w:rsidSect="006D3F87">
          <w:pgSz w:w="15840" w:h="12240" w:orient="landscape"/>
          <w:pgMar w:top="720" w:right="720" w:bottom="720" w:left="720" w:header="709" w:footer="709" w:gutter="0"/>
          <w:pgNumType w:start="431"/>
          <w:cols w:space="708"/>
          <w:docGrid w:linePitch="360"/>
        </w:sectPr>
      </w:pPr>
    </w:p>
    <w:p w14:paraId="3CBA673D" w14:textId="77777777" w:rsidR="006D3F87" w:rsidRPr="006D3F87" w:rsidRDefault="006D3F87" w:rsidP="006D3F87">
      <w:pPr>
        <w:rPr>
          <w:rFonts w:ascii="Calibri" w:eastAsia="Times New Roman" w:hAnsi="Calibri" w:cs="Calibri"/>
          <w:b/>
          <w:bCs/>
          <w:color w:val="000000"/>
          <w:kern w:val="0"/>
          <w:lang w:val="es-ES_tradnl" w:eastAsia="es-CR"/>
          <w14:ligatures w14:val="none"/>
        </w:rPr>
      </w:pPr>
      <w:r w:rsidRPr="006D3F87">
        <w:rPr>
          <w:rFonts w:ascii="Calibri" w:eastAsia="Times New Roman" w:hAnsi="Calibri" w:cs="Calibri"/>
          <w:b/>
          <w:bCs/>
          <w:color w:val="000000"/>
          <w:kern w:val="0"/>
          <w:lang w:val="es-ES_tradnl" w:eastAsia="es-CR"/>
          <w14:ligatures w14:val="none"/>
        </w:rPr>
        <w:lastRenderedPageBreak/>
        <w:t>XI. Bibliografía obligatoria</w:t>
      </w:r>
    </w:p>
    <w:p w14:paraId="56175704" w14:textId="77777777" w:rsidR="006D3F87" w:rsidRPr="006D3F87" w:rsidRDefault="006D3F87" w:rsidP="006D3F87">
      <w:pPr>
        <w:jc w:val="both"/>
        <w:rPr>
          <w:rFonts w:ascii="Calibri" w:eastAsia="Times New Roman" w:hAnsi="Calibri" w:cs="Arial"/>
          <w:bCs/>
          <w:color w:val="000000"/>
          <w:kern w:val="0"/>
          <w:lang w:eastAsia="es-CR"/>
          <w14:ligatures w14:val="none"/>
        </w:rPr>
      </w:pPr>
      <w:r w:rsidRPr="006D3F87">
        <w:rPr>
          <w:rFonts w:ascii="Calibri" w:eastAsia="Times New Roman" w:hAnsi="Calibri" w:cs="Arial"/>
          <w:b/>
          <w:color w:val="000000"/>
          <w:kern w:val="0"/>
          <w:lang w:eastAsia="es-CR"/>
          <w14:ligatures w14:val="none"/>
        </w:rPr>
        <w:t>Nota:</w:t>
      </w:r>
      <w:r w:rsidRPr="006D3F87">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6D3F87">
        <w:rPr>
          <w:rFonts w:ascii="Calibri" w:eastAsia="Times New Roman" w:hAnsi="Calibri" w:cs="Arial"/>
          <w:bCs/>
          <w:color w:val="000000"/>
          <w:kern w:val="0"/>
          <w:lang w:eastAsia="es-CR"/>
          <w14:ligatures w14:val="none"/>
        </w:rPr>
        <w:t>pdf</w:t>
      </w:r>
      <w:proofErr w:type="spellEnd"/>
      <w:r w:rsidRPr="006D3F87">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587215B5"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Aguirre, Rafael y Francisco Javier Vitoria </w:t>
      </w:r>
      <w:proofErr w:type="spellStart"/>
      <w:r w:rsidRPr="006D3F87">
        <w:rPr>
          <w:rFonts w:ascii="Calibri" w:eastAsia="Times New Roman" w:hAnsi="Calibri" w:cs="Calibri"/>
          <w:kern w:val="0"/>
          <w:szCs w:val="18"/>
          <w:lang w:val="es-ES_tradnl" w:eastAsia="es-CR"/>
          <w14:ligatures w14:val="none"/>
        </w:rPr>
        <w:t>Cormenzana</w:t>
      </w:r>
      <w:proofErr w:type="spellEnd"/>
      <w:r w:rsidRPr="006D3F87">
        <w:rPr>
          <w:rFonts w:ascii="Calibri" w:eastAsia="Times New Roman" w:hAnsi="Calibri" w:cs="Calibri"/>
          <w:kern w:val="0"/>
          <w:szCs w:val="18"/>
          <w:lang w:val="es-ES_tradnl" w:eastAsia="es-CR"/>
          <w14:ligatures w14:val="none"/>
        </w:rPr>
        <w:t xml:space="preserve">. “Justicia”. En </w:t>
      </w:r>
      <w:proofErr w:type="spellStart"/>
      <w:r w:rsidRPr="006D3F87">
        <w:rPr>
          <w:rFonts w:ascii="Calibri" w:eastAsia="Times New Roman" w:hAnsi="Calibri" w:cs="Calibri"/>
          <w:i/>
          <w:iCs/>
          <w:kern w:val="0"/>
          <w:szCs w:val="18"/>
          <w:lang w:val="es-ES_tradnl" w:eastAsia="es-CR"/>
          <w14:ligatures w14:val="none"/>
        </w:rPr>
        <w:t>Mysterium</w:t>
      </w:r>
      <w:proofErr w:type="spellEnd"/>
      <w:r w:rsidRPr="006D3F87">
        <w:rPr>
          <w:rFonts w:ascii="Calibri" w:eastAsia="Times New Roman" w:hAnsi="Calibri" w:cs="Calibri"/>
          <w:i/>
          <w:iCs/>
          <w:kern w:val="0"/>
          <w:szCs w:val="18"/>
          <w:lang w:val="es-ES_tradnl" w:eastAsia="es-CR"/>
          <w14:ligatures w14:val="none"/>
        </w:rPr>
        <w:t xml:space="preserve"> </w:t>
      </w:r>
      <w:proofErr w:type="spellStart"/>
      <w:r w:rsidRPr="006D3F87">
        <w:rPr>
          <w:rFonts w:ascii="Calibri" w:eastAsia="Times New Roman" w:hAnsi="Calibri" w:cs="Calibri"/>
          <w:i/>
          <w:iCs/>
          <w:kern w:val="0"/>
          <w:szCs w:val="18"/>
          <w:lang w:val="es-ES_tradnl" w:eastAsia="es-CR"/>
          <w14:ligatures w14:val="none"/>
        </w:rPr>
        <w:t>Liberationis</w:t>
      </w:r>
      <w:proofErr w:type="spellEnd"/>
      <w:r w:rsidRPr="006D3F87">
        <w:rPr>
          <w:rFonts w:ascii="Calibri" w:eastAsia="Times New Roman" w:hAnsi="Calibri" w:cs="Calibri"/>
          <w:i/>
          <w:iCs/>
          <w:kern w:val="0"/>
          <w:szCs w:val="18"/>
          <w:lang w:val="es-ES_tradnl" w:eastAsia="es-CR"/>
          <w14:ligatures w14:val="none"/>
        </w:rPr>
        <w:t xml:space="preserve"> II, </w:t>
      </w:r>
      <w:r w:rsidRPr="006D3F87">
        <w:rPr>
          <w:rFonts w:ascii="Calibri" w:eastAsia="Times New Roman" w:hAnsi="Calibri" w:cs="Calibri"/>
          <w:kern w:val="0"/>
          <w:szCs w:val="18"/>
          <w:lang w:val="es-ES_tradnl" w:eastAsia="es-CR"/>
          <w14:ligatures w14:val="none"/>
        </w:rPr>
        <w:t>editado por Ignacio Ellacuría y Jon Sobrino,</w:t>
      </w:r>
      <w:r w:rsidRPr="006D3F87">
        <w:rPr>
          <w:rFonts w:ascii="Calibri" w:eastAsia="Times New Roman" w:hAnsi="Calibri" w:cs="Calibri"/>
          <w:i/>
          <w:iCs/>
          <w:kern w:val="0"/>
          <w:szCs w:val="18"/>
          <w:lang w:val="es-ES_tradnl" w:eastAsia="es-CR"/>
          <w14:ligatures w14:val="none"/>
        </w:rPr>
        <w:t xml:space="preserve"> </w:t>
      </w:r>
      <w:r w:rsidRPr="006D3F87">
        <w:rPr>
          <w:rFonts w:ascii="Calibri" w:eastAsia="Times New Roman" w:hAnsi="Calibri" w:cs="Calibri"/>
          <w:kern w:val="0"/>
          <w:szCs w:val="18"/>
          <w:lang w:val="es-ES_tradnl" w:eastAsia="es-CR"/>
          <w14:ligatures w14:val="none"/>
        </w:rPr>
        <w:t xml:space="preserve">539-577. San Salvador: UCA Editores, 1992. (Clásico, </w:t>
      </w:r>
      <w:r w:rsidRPr="006D3F87">
        <w:rPr>
          <w:rFonts w:ascii="Calibri" w:eastAsia="Times New Roman" w:hAnsi="Calibri" w:cs="Calibri"/>
          <w:color w:val="0070C0"/>
          <w:kern w:val="0"/>
          <w:szCs w:val="18"/>
          <w:lang w:val="es-ES_tradnl" w:eastAsia="es-CR"/>
          <w14:ligatures w14:val="none"/>
        </w:rPr>
        <w:t>última edición</w:t>
      </w:r>
      <w:r w:rsidRPr="006D3F87">
        <w:rPr>
          <w:rFonts w:ascii="Calibri" w:eastAsia="Times New Roman" w:hAnsi="Calibri" w:cs="Calibri"/>
          <w:kern w:val="0"/>
          <w:szCs w:val="18"/>
          <w:lang w:val="es-ES_tradnl" w:eastAsia="es-CR"/>
          <w14:ligatures w14:val="none"/>
        </w:rPr>
        <w:t>)</w:t>
      </w:r>
    </w:p>
    <w:p w14:paraId="2BB7B81E"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proofErr w:type="spellStart"/>
      <w:r w:rsidRPr="006D3F87">
        <w:rPr>
          <w:rFonts w:ascii="Calibri" w:eastAsia="Times New Roman" w:hAnsi="Calibri" w:cs="Calibri"/>
          <w:kern w:val="0"/>
          <w:szCs w:val="18"/>
          <w:lang w:val="es-ES_tradnl" w:eastAsia="es-CR"/>
          <w14:ligatures w14:val="none"/>
        </w:rPr>
        <w:t>Andiñach</w:t>
      </w:r>
      <w:proofErr w:type="spellEnd"/>
      <w:r w:rsidRPr="006D3F87">
        <w:rPr>
          <w:rFonts w:ascii="Calibri" w:eastAsia="Times New Roman" w:hAnsi="Calibri" w:cs="Calibri"/>
          <w:kern w:val="0"/>
          <w:szCs w:val="18"/>
          <w:lang w:val="es-ES_tradnl" w:eastAsia="es-CR"/>
          <w14:ligatures w14:val="none"/>
        </w:rPr>
        <w:t xml:space="preserve">, Pablo. </w:t>
      </w:r>
      <w:r w:rsidRPr="006D3F87">
        <w:rPr>
          <w:rFonts w:ascii="Calibri" w:eastAsia="Times New Roman" w:hAnsi="Calibri" w:cs="Calibri"/>
          <w:i/>
          <w:iCs/>
          <w:kern w:val="0"/>
          <w:szCs w:val="18"/>
          <w:lang w:val="es-ES_tradnl" w:eastAsia="es-CR"/>
          <w14:ligatures w14:val="none"/>
        </w:rPr>
        <w:t>El Dios que está: Teología del Antiguo Testamento</w:t>
      </w:r>
      <w:r w:rsidRPr="006D3F87">
        <w:rPr>
          <w:rFonts w:ascii="Calibri" w:eastAsia="Times New Roman" w:hAnsi="Calibri" w:cs="Calibri"/>
          <w:kern w:val="0"/>
          <w:szCs w:val="18"/>
          <w:lang w:val="es-ES_tradnl" w:eastAsia="es-CR"/>
          <w14:ligatures w14:val="none"/>
        </w:rPr>
        <w:t>. Estella: Verbo Divino, 2014. (</w:t>
      </w:r>
      <w:r w:rsidRPr="006D3F87">
        <w:rPr>
          <w:rFonts w:ascii="Calibri" w:eastAsia="Times New Roman" w:hAnsi="Calibri" w:cs="Calibri"/>
          <w:color w:val="0070C0"/>
          <w:kern w:val="0"/>
          <w:szCs w:val="18"/>
          <w:lang w:val="es-ES_tradnl" w:eastAsia="es-CR"/>
          <w14:ligatures w14:val="none"/>
        </w:rPr>
        <w:t>clásico,</w:t>
      </w:r>
      <w:r w:rsidRPr="006D3F87">
        <w:rPr>
          <w:rFonts w:ascii="Calibri" w:eastAsia="Times New Roman" w:hAnsi="Calibri" w:cs="Calibri"/>
          <w:kern w:val="0"/>
          <w:szCs w:val="18"/>
          <w:lang w:val="es-ES_tradnl" w:eastAsia="es-CR"/>
          <w14:ligatures w14:val="none"/>
        </w:rPr>
        <w:t xml:space="preserve"> última edición)</w:t>
      </w:r>
    </w:p>
    <w:p w14:paraId="421F17F0"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Barrios Taos, Hernando, Luis Carlos Jaime Murillo y Miguel Camelo Velásquez. “De la teología bíblica a las teologías de la Biblia”. </w:t>
      </w:r>
      <w:r w:rsidRPr="006D3F87">
        <w:rPr>
          <w:rFonts w:ascii="Calibri" w:eastAsia="Times New Roman" w:hAnsi="Calibri" w:cs="Calibri"/>
          <w:i/>
          <w:iCs/>
          <w:kern w:val="0"/>
          <w:szCs w:val="18"/>
          <w:lang w:val="es-ES_tradnl" w:eastAsia="es-CR"/>
          <w14:ligatures w14:val="none"/>
        </w:rPr>
        <w:t>Cuestiones Teológicas</w:t>
      </w:r>
      <w:r w:rsidRPr="006D3F87">
        <w:rPr>
          <w:rFonts w:ascii="Calibri" w:eastAsia="Times New Roman" w:hAnsi="Calibri" w:cs="Calibri"/>
          <w:kern w:val="0"/>
          <w:szCs w:val="18"/>
          <w:lang w:val="es-ES_tradnl" w:eastAsia="es-CR"/>
          <w14:ligatures w14:val="none"/>
        </w:rPr>
        <w:t xml:space="preserve"> n. 87 (2010): 51-81. Acceso el 18 de octubre de 2022. </w:t>
      </w:r>
      <w:hyperlink r:id="rId510" w:history="1">
        <w:r w:rsidRPr="006D3F87">
          <w:rPr>
            <w:rFonts w:ascii="Calibri" w:eastAsia="Times New Roman" w:hAnsi="Calibri" w:cs="Calibri"/>
            <w:color w:val="0563C1"/>
            <w:kern w:val="0"/>
            <w:szCs w:val="18"/>
            <w:u w:val="single"/>
            <w:lang w:val="es-ES_tradnl" w:eastAsia="es-CR"/>
            <w14:ligatures w14:val="none"/>
          </w:rPr>
          <w:t>https://revistas.upb.edu.co/index.php/cuestiones/article/view/5637</w:t>
        </w:r>
      </w:hyperlink>
    </w:p>
    <w:p w14:paraId="3DE61F24"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Baumann </w:t>
      </w:r>
      <w:proofErr w:type="spellStart"/>
      <w:r w:rsidRPr="006D3F87">
        <w:rPr>
          <w:rFonts w:ascii="Calibri" w:eastAsia="Times New Roman" w:hAnsi="Calibri" w:cs="Calibri"/>
          <w:kern w:val="0"/>
          <w:szCs w:val="18"/>
          <w:lang w:val="es-ES_tradnl" w:eastAsia="es-CR"/>
          <w14:ligatures w14:val="none"/>
        </w:rPr>
        <w:t>Philipps</w:t>
      </w:r>
      <w:proofErr w:type="spellEnd"/>
      <w:r w:rsidRPr="006D3F87">
        <w:rPr>
          <w:rFonts w:ascii="Calibri" w:eastAsia="Times New Roman" w:hAnsi="Calibri" w:cs="Calibri"/>
          <w:kern w:val="0"/>
          <w:szCs w:val="18"/>
          <w:lang w:val="es-ES_tradnl" w:eastAsia="es-CR"/>
          <w14:ligatures w14:val="none"/>
        </w:rPr>
        <w:t xml:space="preserve">, </w:t>
      </w:r>
      <w:proofErr w:type="spellStart"/>
      <w:r w:rsidRPr="006D3F87">
        <w:rPr>
          <w:rFonts w:ascii="Calibri" w:eastAsia="Times New Roman" w:hAnsi="Calibri" w:cs="Calibri"/>
          <w:kern w:val="0"/>
          <w:szCs w:val="18"/>
          <w:lang w:val="es-ES_tradnl" w:eastAsia="es-CR"/>
          <w14:ligatures w14:val="none"/>
        </w:rPr>
        <w:t>Gerlinde</w:t>
      </w:r>
      <w:proofErr w:type="spellEnd"/>
      <w:r w:rsidRPr="006D3F87">
        <w:rPr>
          <w:rFonts w:ascii="Calibri" w:eastAsia="Times New Roman" w:hAnsi="Calibri" w:cs="Calibri"/>
          <w:kern w:val="0"/>
          <w:szCs w:val="18"/>
          <w:lang w:val="es-ES_tradnl" w:eastAsia="es-CR"/>
          <w14:ligatures w14:val="none"/>
        </w:rPr>
        <w:t xml:space="preserve">. “La figura de la sabiduría: contextos, significados, teología”. En </w:t>
      </w:r>
      <w:r w:rsidRPr="006D3F87">
        <w:rPr>
          <w:rFonts w:ascii="Calibri" w:eastAsia="Times New Roman" w:hAnsi="Calibri" w:cs="Calibri"/>
          <w:i/>
          <w:iCs/>
          <w:kern w:val="0"/>
          <w:szCs w:val="18"/>
          <w:lang w:val="es-ES_tradnl" w:eastAsia="es-CR"/>
          <w14:ligatures w14:val="none"/>
        </w:rPr>
        <w:t>Los escritos y otros libros sapienciales</w:t>
      </w:r>
      <w:r w:rsidRPr="006D3F87">
        <w:rPr>
          <w:rFonts w:ascii="Calibri" w:eastAsia="Times New Roman" w:hAnsi="Calibri" w:cs="Calibri"/>
          <w:kern w:val="0"/>
          <w:szCs w:val="18"/>
          <w:lang w:val="es-ES_tradnl" w:eastAsia="es-CR"/>
          <w14:ligatures w14:val="none"/>
        </w:rPr>
        <w:t xml:space="preserve">, editado por Nuria Calduch-Benages y </w:t>
      </w:r>
      <w:proofErr w:type="spellStart"/>
      <w:r w:rsidRPr="006D3F87">
        <w:rPr>
          <w:rFonts w:ascii="Calibri" w:eastAsia="Times New Roman" w:hAnsi="Calibri" w:cs="Calibri"/>
          <w:kern w:val="0"/>
          <w:szCs w:val="18"/>
          <w:lang w:val="es-ES_tradnl" w:eastAsia="es-CR"/>
          <w14:ligatures w14:val="none"/>
        </w:rPr>
        <w:t>Christl</w:t>
      </w:r>
      <w:proofErr w:type="spellEnd"/>
      <w:r w:rsidRPr="006D3F87">
        <w:rPr>
          <w:rFonts w:ascii="Calibri" w:eastAsia="Times New Roman" w:hAnsi="Calibri" w:cs="Calibri"/>
          <w:kern w:val="0"/>
          <w:szCs w:val="18"/>
          <w:lang w:val="es-ES_tradnl" w:eastAsia="es-CR"/>
          <w14:ligatures w14:val="none"/>
        </w:rPr>
        <w:t xml:space="preserve"> Maier, 67-73. Estella: Verbo Divino, 2013. (</w:t>
      </w:r>
      <w:r w:rsidRPr="006D3F87">
        <w:rPr>
          <w:rFonts w:ascii="Calibri" w:eastAsia="Times New Roman" w:hAnsi="Calibri" w:cs="Calibri"/>
          <w:color w:val="0070C0"/>
          <w:kern w:val="0"/>
          <w:szCs w:val="18"/>
          <w:lang w:val="es-ES_tradnl" w:eastAsia="es-CR"/>
          <w14:ligatures w14:val="none"/>
        </w:rPr>
        <w:t xml:space="preserve">clásico, </w:t>
      </w:r>
      <w:r w:rsidRPr="006D3F87">
        <w:rPr>
          <w:rFonts w:ascii="Calibri" w:eastAsia="Times New Roman" w:hAnsi="Calibri" w:cs="Calibri"/>
          <w:kern w:val="0"/>
          <w:szCs w:val="18"/>
          <w:lang w:val="es-ES_tradnl" w:eastAsia="es-CR"/>
          <w14:ligatures w14:val="none"/>
        </w:rPr>
        <w:t>última edición)</w:t>
      </w:r>
    </w:p>
    <w:p w14:paraId="40457076"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proofErr w:type="spellStart"/>
      <w:r w:rsidRPr="006D3F87">
        <w:rPr>
          <w:rFonts w:ascii="Calibri" w:eastAsia="Times New Roman" w:hAnsi="Calibri" w:cs="Calibri"/>
          <w:kern w:val="0"/>
          <w:szCs w:val="18"/>
          <w:lang w:val="es-ES" w:eastAsia="es-CR"/>
          <w14:ligatures w14:val="none"/>
        </w:rPr>
        <w:t>Bruggemann</w:t>
      </w:r>
      <w:proofErr w:type="spellEnd"/>
      <w:r w:rsidRPr="006D3F87">
        <w:rPr>
          <w:rFonts w:ascii="Calibri" w:eastAsia="Times New Roman" w:hAnsi="Calibri" w:cs="Calibri"/>
          <w:kern w:val="0"/>
          <w:szCs w:val="18"/>
          <w:lang w:val="es-ES" w:eastAsia="es-CR"/>
          <w14:ligatures w14:val="none"/>
        </w:rPr>
        <w:t xml:space="preserve">, Walter. </w:t>
      </w:r>
      <w:r w:rsidRPr="006D3F87">
        <w:rPr>
          <w:rFonts w:ascii="Calibri" w:eastAsia="Times New Roman" w:hAnsi="Calibri" w:cs="Calibri"/>
          <w:i/>
          <w:kern w:val="0"/>
          <w:szCs w:val="18"/>
          <w:lang w:val="es-ES" w:eastAsia="es-CR"/>
          <w14:ligatures w14:val="none"/>
        </w:rPr>
        <w:t xml:space="preserve">Teología del Antiguo Testamento: Un juicio a Yahvé. </w:t>
      </w:r>
      <w:r w:rsidRPr="006D3F87">
        <w:rPr>
          <w:rFonts w:ascii="Calibri" w:eastAsia="Times New Roman" w:hAnsi="Calibri" w:cs="Calibri"/>
          <w:kern w:val="0"/>
          <w:szCs w:val="18"/>
          <w:lang w:val="es-ES" w:eastAsia="es-CR"/>
          <w14:ligatures w14:val="none"/>
        </w:rPr>
        <w:t xml:space="preserve">Salamanca: Ediciones Sígueme, 2007. </w:t>
      </w:r>
      <w:r w:rsidRPr="006D3F87">
        <w:rPr>
          <w:rFonts w:ascii="Calibri" w:eastAsia="Times New Roman" w:hAnsi="Calibri" w:cs="Calibri"/>
          <w:kern w:val="0"/>
          <w:szCs w:val="18"/>
          <w:lang w:val="es-ES_tradnl" w:eastAsia="es-CR"/>
          <w14:ligatures w14:val="none"/>
        </w:rPr>
        <w:t>(</w:t>
      </w:r>
      <w:r w:rsidRPr="006D3F87">
        <w:rPr>
          <w:rFonts w:ascii="Calibri" w:eastAsia="Times New Roman" w:hAnsi="Calibri" w:cs="Calibri"/>
          <w:color w:val="0070C0"/>
          <w:kern w:val="0"/>
          <w:szCs w:val="18"/>
          <w:lang w:val="es-ES_tradnl" w:eastAsia="es-CR"/>
          <w14:ligatures w14:val="none"/>
        </w:rPr>
        <w:t xml:space="preserve">clásico, </w:t>
      </w:r>
      <w:r w:rsidRPr="006D3F87">
        <w:rPr>
          <w:rFonts w:ascii="Calibri" w:eastAsia="Times New Roman" w:hAnsi="Calibri" w:cs="Calibri"/>
          <w:kern w:val="0"/>
          <w:szCs w:val="18"/>
          <w:lang w:val="es-ES_tradnl" w:eastAsia="es-CR"/>
          <w14:ligatures w14:val="none"/>
        </w:rPr>
        <w:t>última edición)</w:t>
      </w:r>
    </w:p>
    <w:p w14:paraId="42F8242D"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proofErr w:type="spellStart"/>
      <w:r w:rsidRPr="006D3F87">
        <w:rPr>
          <w:rFonts w:ascii="Calibri" w:eastAsia="Times New Roman" w:hAnsi="Calibri" w:cs="Calibri"/>
          <w:kern w:val="0"/>
          <w:szCs w:val="18"/>
          <w:lang w:val="es-ES_tradnl" w:eastAsia="es-CR"/>
          <w14:ligatures w14:val="none"/>
        </w:rPr>
        <w:t>Cuvilier</w:t>
      </w:r>
      <w:proofErr w:type="spellEnd"/>
      <w:r w:rsidRPr="006D3F87">
        <w:rPr>
          <w:rFonts w:ascii="Calibri" w:eastAsia="Times New Roman" w:hAnsi="Calibri" w:cs="Calibri"/>
          <w:kern w:val="0"/>
          <w:szCs w:val="18"/>
          <w:lang w:val="es-ES_tradnl" w:eastAsia="es-CR"/>
          <w14:ligatures w14:val="none"/>
        </w:rPr>
        <w:t xml:space="preserve">, Elian. </w:t>
      </w:r>
      <w:r w:rsidRPr="006D3F87">
        <w:rPr>
          <w:rFonts w:ascii="Calibri" w:eastAsia="Times New Roman" w:hAnsi="Calibri" w:cs="Calibri"/>
          <w:i/>
          <w:iCs/>
          <w:kern w:val="0"/>
          <w:szCs w:val="18"/>
          <w:lang w:val="es-ES_tradnl" w:eastAsia="es-CR"/>
          <w14:ligatures w14:val="none"/>
        </w:rPr>
        <w:t>Los apocalipsis del Nuevo Testamento.</w:t>
      </w:r>
      <w:r w:rsidRPr="006D3F87">
        <w:rPr>
          <w:rFonts w:ascii="Calibri" w:eastAsia="Times New Roman" w:hAnsi="Calibri" w:cs="Calibri"/>
          <w:kern w:val="0"/>
          <w:szCs w:val="18"/>
          <w:lang w:val="es-ES_tradnl" w:eastAsia="es-CR"/>
          <w14:ligatures w14:val="none"/>
        </w:rPr>
        <w:t xml:space="preserve"> Estella: Verbo Divino, 2002. (</w:t>
      </w:r>
      <w:r w:rsidRPr="006D3F87">
        <w:rPr>
          <w:rFonts w:ascii="Calibri" w:eastAsia="Times New Roman" w:hAnsi="Calibri" w:cs="Calibri"/>
          <w:color w:val="0070C0"/>
          <w:kern w:val="0"/>
          <w:szCs w:val="18"/>
          <w:lang w:val="es-ES_tradnl" w:eastAsia="es-CR"/>
          <w14:ligatures w14:val="none"/>
        </w:rPr>
        <w:t xml:space="preserve">clásico, </w:t>
      </w:r>
      <w:r w:rsidRPr="006D3F87">
        <w:rPr>
          <w:rFonts w:ascii="Calibri" w:eastAsia="Times New Roman" w:hAnsi="Calibri" w:cs="Calibri"/>
          <w:kern w:val="0"/>
          <w:szCs w:val="18"/>
          <w:lang w:val="es-ES_tradnl" w:eastAsia="es-CR"/>
          <w14:ligatures w14:val="none"/>
        </w:rPr>
        <w:t>última edición)</w:t>
      </w:r>
    </w:p>
    <w:p w14:paraId="4490ACDC"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proofErr w:type="spellStart"/>
      <w:r w:rsidRPr="006D3F87">
        <w:rPr>
          <w:rFonts w:ascii="Calibri" w:eastAsia="Times New Roman" w:hAnsi="Calibri" w:cs="Calibri"/>
          <w:kern w:val="0"/>
          <w:szCs w:val="18"/>
          <w:lang w:val="es-ES" w:eastAsia="es-CR"/>
          <w14:ligatures w14:val="none"/>
        </w:rPr>
        <w:t>Childs</w:t>
      </w:r>
      <w:proofErr w:type="spellEnd"/>
      <w:r w:rsidRPr="006D3F87">
        <w:rPr>
          <w:rFonts w:ascii="Calibri" w:eastAsia="Times New Roman" w:hAnsi="Calibri" w:cs="Calibri"/>
          <w:kern w:val="0"/>
          <w:szCs w:val="18"/>
          <w:lang w:val="es-ES" w:eastAsia="es-CR"/>
          <w14:ligatures w14:val="none"/>
        </w:rPr>
        <w:t xml:space="preserve">, </w:t>
      </w:r>
      <w:proofErr w:type="spellStart"/>
      <w:r w:rsidRPr="006D3F87">
        <w:rPr>
          <w:rFonts w:ascii="Calibri" w:eastAsia="Times New Roman" w:hAnsi="Calibri" w:cs="Calibri"/>
          <w:kern w:val="0"/>
          <w:szCs w:val="18"/>
          <w:lang w:val="es-ES" w:eastAsia="es-CR"/>
          <w14:ligatures w14:val="none"/>
        </w:rPr>
        <w:t>Brevard</w:t>
      </w:r>
      <w:proofErr w:type="spellEnd"/>
      <w:r w:rsidRPr="006D3F87">
        <w:rPr>
          <w:rFonts w:ascii="Calibri" w:eastAsia="Times New Roman" w:hAnsi="Calibri" w:cs="Calibri"/>
          <w:kern w:val="0"/>
          <w:szCs w:val="18"/>
          <w:lang w:val="es-ES" w:eastAsia="es-CR"/>
          <w14:ligatures w14:val="none"/>
        </w:rPr>
        <w:t xml:space="preserve">. </w:t>
      </w:r>
      <w:r w:rsidRPr="006D3F87">
        <w:rPr>
          <w:rFonts w:ascii="Calibri" w:eastAsia="Times New Roman" w:hAnsi="Calibri" w:cs="Calibri"/>
          <w:i/>
          <w:iCs/>
          <w:kern w:val="0"/>
          <w:szCs w:val="18"/>
          <w:lang w:val="es-ES" w:eastAsia="es-CR"/>
          <w14:ligatures w14:val="none"/>
        </w:rPr>
        <w:t>Teología bíblica del Antiguo y del Nuevo Testamento: Reflexión teológica sobre la Biblia cristiana.</w:t>
      </w:r>
      <w:r w:rsidRPr="006D3F87">
        <w:rPr>
          <w:rFonts w:ascii="Calibri" w:eastAsia="Times New Roman" w:hAnsi="Calibri" w:cs="Calibri"/>
          <w:kern w:val="0"/>
          <w:szCs w:val="18"/>
          <w:lang w:val="es-ES" w:eastAsia="es-CR"/>
          <w14:ligatures w14:val="none"/>
        </w:rPr>
        <w:t xml:space="preserve"> Salamanca: Ediciones Sígueme, 2011. </w:t>
      </w:r>
      <w:r w:rsidRPr="006D3F87">
        <w:rPr>
          <w:rFonts w:ascii="Calibri" w:eastAsia="Times New Roman" w:hAnsi="Calibri" w:cs="Calibri"/>
          <w:kern w:val="0"/>
          <w:szCs w:val="18"/>
          <w:lang w:val="es-ES_tradnl" w:eastAsia="es-CR"/>
          <w14:ligatures w14:val="none"/>
        </w:rPr>
        <w:t>(</w:t>
      </w:r>
      <w:r w:rsidRPr="006D3F87">
        <w:rPr>
          <w:rFonts w:ascii="Calibri" w:eastAsia="Times New Roman" w:hAnsi="Calibri" w:cs="Calibri"/>
          <w:color w:val="0070C0"/>
          <w:kern w:val="0"/>
          <w:szCs w:val="18"/>
          <w:lang w:val="es-ES_tradnl" w:eastAsia="es-CR"/>
          <w14:ligatures w14:val="none"/>
        </w:rPr>
        <w:t xml:space="preserve">clásico, </w:t>
      </w:r>
      <w:r w:rsidRPr="006D3F87">
        <w:rPr>
          <w:rFonts w:ascii="Calibri" w:eastAsia="Times New Roman" w:hAnsi="Calibri" w:cs="Calibri"/>
          <w:kern w:val="0"/>
          <w:szCs w:val="18"/>
          <w:lang w:val="es-ES_tradnl" w:eastAsia="es-CR"/>
          <w14:ligatures w14:val="none"/>
        </w:rPr>
        <w:t>última edición)</w:t>
      </w:r>
    </w:p>
    <w:p w14:paraId="7D445DF1"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color w:val="0563C1"/>
          <w:kern w:val="0"/>
          <w:szCs w:val="18"/>
          <w:u w:val="single"/>
          <w:lang w:val="es-ES_tradnl" w:eastAsia="es-CR"/>
          <w14:ligatures w14:val="none"/>
        </w:rPr>
      </w:pPr>
      <w:r w:rsidRPr="006D3F87">
        <w:rPr>
          <w:rFonts w:ascii="Calibri" w:eastAsia="Times New Roman" w:hAnsi="Calibri" w:cs="Calibri"/>
          <w:kern w:val="0"/>
          <w:szCs w:val="18"/>
          <w:lang w:val="es-ES_tradnl" w:eastAsia="es-CR"/>
          <w14:ligatures w14:val="none"/>
        </w:rPr>
        <w:t xml:space="preserve">Francisco. “Carta encíclica </w:t>
      </w:r>
      <w:proofErr w:type="spellStart"/>
      <w:r w:rsidRPr="006D3F87">
        <w:rPr>
          <w:rFonts w:ascii="Calibri" w:eastAsia="Times New Roman" w:hAnsi="Calibri" w:cs="Calibri"/>
          <w:kern w:val="0"/>
          <w:szCs w:val="18"/>
          <w:lang w:val="es-ES_tradnl" w:eastAsia="es-CR"/>
          <w14:ligatures w14:val="none"/>
        </w:rPr>
        <w:t>Laudato</w:t>
      </w:r>
      <w:proofErr w:type="spellEnd"/>
      <w:r w:rsidRPr="006D3F87">
        <w:rPr>
          <w:rFonts w:ascii="Calibri" w:eastAsia="Times New Roman" w:hAnsi="Calibri" w:cs="Calibri"/>
          <w:kern w:val="0"/>
          <w:szCs w:val="18"/>
          <w:lang w:val="es-ES_tradnl" w:eastAsia="es-CR"/>
          <w14:ligatures w14:val="none"/>
        </w:rPr>
        <w:t xml:space="preserve"> Sí: Sobre el cuidado de la casa común.” Vaticano, 2015. Acceso el 18 de octubre de 2022.  </w:t>
      </w:r>
      <w:hyperlink r:id="rId511">
        <w:r w:rsidRPr="006D3F87">
          <w:rPr>
            <w:rFonts w:ascii="Calibri" w:eastAsia="Times New Roman" w:hAnsi="Calibri" w:cs="Calibri"/>
            <w:color w:val="0563C1"/>
            <w:kern w:val="0"/>
            <w:szCs w:val="18"/>
            <w:u w:val="single"/>
            <w:lang w:val="es-ES_tradnl" w:eastAsia="es-CR"/>
            <w14:ligatures w14:val="none"/>
          </w:rPr>
          <w:t>https://www.vatican.va/content/francesco/es/encyclicals/documents/papa-francesco_20150524_enciclica-laudato-si.html</w:t>
        </w:r>
      </w:hyperlink>
    </w:p>
    <w:p w14:paraId="42D4E794"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García López, Félix. </w:t>
      </w:r>
      <w:r w:rsidRPr="006D3F87">
        <w:rPr>
          <w:rFonts w:ascii="Calibri" w:eastAsia="Times New Roman" w:hAnsi="Calibri" w:cs="Calibri"/>
          <w:i/>
          <w:iCs/>
          <w:kern w:val="0"/>
          <w:szCs w:val="18"/>
          <w:lang w:val="es-ES_tradnl" w:eastAsia="es-CR"/>
          <w14:ligatures w14:val="none"/>
        </w:rPr>
        <w:t xml:space="preserve">Al encuentro de Dios en la Escritura: Estudios de Teología Bíblica. </w:t>
      </w:r>
      <w:r w:rsidRPr="006D3F87">
        <w:rPr>
          <w:rFonts w:ascii="Calibri" w:eastAsia="Times New Roman" w:hAnsi="Calibri" w:cs="Calibri"/>
          <w:kern w:val="0"/>
          <w:szCs w:val="18"/>
          <w:lang w:val="es-ES_tradnl" w:eastAsia="es-CR"/>
          <w14:ligatures w14:val="none"/>
        </w:rPr>
        <w:t>Estella: Verbo Divino, 2018. (</w:t>
      </w:r>
      <w:r w:rsidRPr="006D3F87">
        <w:rPr>
          <w:rFonts w:ascii="Calibri" w:eastAsia="Times New Roman" w:hAnsi="Calibri" w:cs="Calibri"/>
          <w:color w:val="0070C0"/>
          <w:kern w:val="0"/>
          <w:szCs w:val="18"/>
          <w:lang w:val="es-ES_tradnl" w:eastAsia="es-CR"/>
          <w14:ligatures w14:val="none"/>
        </w:rPr>
        <w:t xml:space="preserve">clásico, </w:t>
      </w:r>
      <w:r w:rsidRPr="006D3F87">
        <w:rPr>
          <w:rFonts w:ascii="Calibri" w:eastAsia="Times New Roman" w:hAnsi="Calibri" w:cs="Calibri"/>
          <w:kern w:val="0"/>
          <w:szCs w:val="18"/>
          <w:lang w:val="es-ES_tradnl" w:eastAsia="es-CR"/>
          <w14:ligatures w14:val="none"/>
        </w:rPr>
        <w:t>última edición)</w:t>
      </w:r>
    </w:p>
    <w:p w14:paraId="7CC4EA82"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Gutiérrez, Gustavo. </w:t>
      </w:r>
      <w:r w:rsidRPr="006D3F87">
        <w:rPr>
          <w:rFonts w:ascii="Calibri" w:eastAsia="Times New Roman" w:hAnsi="Calibri" w:cs="Calibri"/>
          <w:i/>
          <w:iCs/>
          <w:kern w:val="0"/>
          <w:szCs w:val="18"/>
          <w:lang w:val="es-ES_tradnl" w:eastAsia="es-CR"/>
          <w14:ligatures w14:val="none"/>
        </w:rPr>
        <w:t xml:space="preserve">Teología de la liberación: Perspectivas. </w:t>
      </w:r>
      <w:r w:rsidRPr="006D3F87">
        <w:rPr>
          <w:rFonts w:ascii="Calibri" w:eastAsia="Times New Roman" w:hAnsi="Calibri" w:cs="Calibri"/>
          <w:kern w:val="0"/>
          <w:szCs w:val="18"/>
          <w:lang w:val="es-ES_tradnl" w:eastAsia="es-CR"/>
          <w14:ligatures w14:val="none"/>
        </w:rPr>
        <w:t xml:space="preserve">Salamanca: Sígueme, 1975. (Clásico, </w:t>
      </w:r>
      <w:r w:rsidRPr="006D3F87">
        <w:rPr>
          <w:rFonts w:ascii="Calibri" w:eastAsia="Times New Roman" w:hAnsi="Calibri" w:cs="Calibri"/>
          <w:color w:val="0070C0"/>
          <w:kern w:val="0"/>
          <w:szCs w:val="18"/>
          <w:lang w:val="es-ES_tradnl" w:eastAsia="es-CR"/>
          <w14:ligatures w14:val="none"/>
        </w:rPr>
        <w:t>última reimpresión 2022</w:t>
      </w:r>
      <w:r w:rsidRPr="006D3F87">
        <w:rPr>
          <w:rFonts w:ascii="Calibri" w:eastAsia="Times New Roman" w:hAnsi="Calibri" w:cs="Calibri"/>
          <w:kern w:val="0"/>
          <w:szCs w:val="18"/>
          <w:lang w:val="es-ES_tradnl" w:eastAsia="es-CR"/>
          <w14:ligatures w14:val="none"/>
        </w:rPr>
        <w:t xml:space="preserve">)  </w:t>
      </w:r>
    </w:p>
    <w:p w14:paraId="296583F3"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proofErr w:type="spellStart"/>
      <w:r w:rsidRPr="006D3F87">
        <w:rPr>
          <w:rFonts w:ascii="Calibri" w:eastAsia="Times New Roman" w:hAnsi="Calibri" w:cs="Calibri"/>
          <w:kern w:val="0"/>
          <w:szCs w:val="18"/>
          <w:lang w:val="es-ES_tradnl" w:eastAsia="es-CR"/>
          <w14:ligatures w14:val="none"/>
        </w:rPr>
        <w:t>Krüger</w:t>
      </w:r>
      <w:proofErr w:type="spellEnd"/>
      <w:r w:rsidRPr="006D3F87">
        <w:rPr>
          <w:rFonts w:ascii="Calibri" w:eastAsia="Times New Roman" w:hAnsi="Calibri" w:cs="Calibri"/>
          <w:kern w:val="0"/>
          <w:szCs w:val="18"/>
          <w:lang w:val="es-ES_tradnl" w:eastAsia="es-CR"/>
          <w14:ligatures w14:val="none"/>
        </w:rPr>
        <w:t xml:space="preserve">, René. “Teología bíblica contextual en América Latina”, </w:t>
      </w:r>
      <w:r w:rsidRPr="006D3F87">
        <w:rPr>
          <w:rFonts w:ascii="Calibri" w:eastAsia="Times New Roman" w:hAnsi="Calibri" w:cs="Calibri"/>
          <w:i/>
          <w:iCs/>
          <w:kern w:val="0"/>
          <w:szCs w:val="18"/>
          <w:lang w:val="es-ES_tradnl" w:eastAsia="es-CR"/>
          <w14:ligatures w14:val="none"/>
        </w:rPr>
        <w:t xml:space="preserve">Acta </w:t>
      </w:r>
      <w:proofErr w:type="spellStart"/>
      <w:r w:rsidRPr="006D3F87">
        <w:rPr>
          <w:rFonts w:ascii="Calibri" w:eastAsia="Times New Roman" w:hAnsi="Calibri" w:cs="Calibri"/>
          <w:i/>
          <w:iCs/>
          <w:kern w:val="0"/>
          <w:szCs w:val="18"/>
          <w:lang w:val="es-ES_tradnl" w:eastAsia="es-CR"/>
          <w14:ligatures w14:val="none"/>
        </w:rPr>
        <w:t>Poetica</w:t>
      </w:r>
      <w:proofErr w:type="spellEnd"/>
      <w:r w:rsidRPr="006D3F87">
        <w:rPr>
          <w:rFonts w:ascii="Calibri" w:eastAsia="Times New Roman" w:hAnsi="Calibri" w:cs="Calibri"/>
          <w:kern w:val="0"/>
          <w:szCs w:val="18"/>
          <w:lang w:val="es-ES_tradnl" w:eastAsia="es-CR"/>
          <w14:ligatures w14:val="none"/>
        </w:rPr>
        <w:t xml:space="preserve">, vol.31, n.2 (2010): 185-207. Acceso el 18 de octubre de 2022. </w:t>
      </w:r>
      <w:hyperlink r:id="rId512" w:history="1">
        <w:r w:rsidRPr="006D3F87">
          <w:rPr>
            <w:rFonts w:ascii="Calibri" w:eastAsia="Times New Roman" w:hAnsi="Calibri" w:cs="Calibri"/>
            <w:color w:val="0563C1"/>
            <w:kern w:val="0"/>
            <w:szCs w:val="18"/>
            <w:u w:val="single"/>
            <w:lang w:val="es-ES_tradnl" w:eastAsia="es-CR"/>
            <w14:ligatures w14:val="none"/>
          </w:rPr>
          <w:t>https://revistas-filologicas.unam.mx/acta-poetica/index.php/ap/article/view/351</w:t>
        </w:r>
      </w:hyperlink>
    </w:p>
    <w:p w14:paraId="3683CB88"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proofErr w:type="spellStart"/>
      <w:r w:rsidRPr="006D3F87">
        <w:rPr>
          <w:rFonts w:ascii="Calibri" w:eastAsia="Times New Roman" w:hAnsi="Calibri" w:cs="Calibri"/>
          <w:kern w:val="0"/>
          <w:szCs w:val="18"/>
          <w:lang w:val="es-ES_tradnl" w:eastAsia="es-CR"/>
          <w14:ligatures w14:val="none"/>
        </w:rPr>
        <w:t>Pikaza</w:t>
      </w:r>
      <w:proofErr w:type="spellEnd"/>
      <w:r w:rsidRPr="006D3F87">
        <w:rPr>
          <w:rFonts w:ascii="Calibri" w:eastAsia="Times New Roman" w:hAnsi="Calibri" w:cs="Calibri"/>
          <w:kern w:val="0"/>
          <w:szCs w:val="18"/>
          <w:lang w:val="es-ES_tradnl" w:eastAsia="es-CR"/>
          <w14:ligatures w14:val="none"/>
        </w:rPr>
        <w:t xml:space="preserve">, Xabier. </w:t>
      </w:r>
      <w:r w:rsidRPr="006D3F87">
        <w:rPr>
          <w:rFonts w:ascii="Calibri" w:eastAsia="Times New Roman" w:hAnsi="Calibri" w:cs="Calibri"/>
          <w:i/>
          <w:iCs/>
          <w:kern w:val="0"/>
          <w:szCs w:val="18"/>
          <w:lang w:val="es-ES_tradnl" w:eastAsia="es-CR"/>
          <w14:ligatures w14:val="none"/>
        </w:rPr>
        <w:t>La Palabra se hizo carne:</w:t>
      </w:r>
      <w:r w:rsidRPr="006D3F87">
        <w:rPr>
          <w:rFonts w:ascii="Calibri" w:eastAsia="Times New Roman" w:hAnsi="Calibri" w:cs="Calibri"/>
          <w:kern w:val="0"/>
          <w:szCs w:val="18"/>
          <w:lang w:val="es-ES_tradnl" w:eastAsia="es-CR"/>
          <w14:ligatures w14:val="none"/>
        </w:rPr>
        <w:t xml:space="preserve"> </w:t>
      </w:r>
      <w:r w:rsidRPr="006D3F87">
        <w:rPr>
          <w:rFonts w:ascii="Calibri" w:eastAsia="Times New Roman" w:hAnsi="Calibri" w:cs="Calibri"/>
          <w:i/>
          <w:iCs/>
          <w:kern w:val="0"/>
          <w:szCs w:val="18"/>
          <w:lang w:val="es-ES_tradnl" w:eastAsia="es-CR"/>
          <w14:ligatures w14:val="none"/>
        </w:rPr>
        <w:t>Teología de la Biblia</w:t>
      </w:r>
      <w:r w:rsidRPr="006D3F87">
        <w:rPr>
          <w:rFonts w:ascii="Calibri" w:eastAsia="Times New Roman" w:hAnsi="Calibri" w:cs="Calibri"/>
          <w:kern w:val="0"/>
          <w:szCs w:val="18"/>
          <w:lang w:val="es-ES_tradnl" w:eastAsia="es-CR"/>
          <w14:ligatures w14:val="none"/>
        </w:rPr>
        <w:t>. Estella: Verbo Divino, 2020.</w:t>
      </w:r>
    </w:p>
    <w:p w14:paraId="7923FA78"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Piñero, Antonio.  </w:t>
      </w:r>
      <w:r w:rsidRPr="006D3F87">
        <w:rPr>
          <w:rFonts w:ascii="Calibri" w:eastAsia="Times New Roman" w:hAnsi="Calibri" w:cs="Calibri"/>
          <w:i/>
          <w:iCs/>
          <w:kern w:val="0"/>
          <w:szCs w:val="18"/>
          <w:lang w:val="es-ES_tradnl" w:eastAsia="es-CR"/>
          <w14:ligatures w14:val="none"/>
        </w:rPr>
        <w:t>Guía para entender a Pablo de Tarso: Una interpretación del pensamiento paulino</w:t>
      </w:r>
      <w:r w:rsidRPr="006D3F87">
        <w:rPr>
          <w:rFonts w:ascii="Calibri" w:eastAsia="Times New Roman" w:hAnsi="Calibri" w:cs="Calibri"/>
          <w:kern w:val="0"/>
          <w:szCs w:val="18"/>
          <w:lang w:val="es-ES_tradnl" w:eastAsia="es-CR"/>
          <w14:ligatures w14:val="none"/>
        </w:rPr>
        <w:t>. Madrid: Trotta, 2018. (</w:t>
      </w:r>
      <w:r w:rsidRPr="006D3F87">
        <w:rPr>
          <w:rFonts w:ascii="Calibri" w:eastAsia="Times New Roman" w:hAnsi="Calibri" w:cs="Calibri"/>
          <w:color w:val="0070C0"/>
          <w:kern w:val="0"/>
          <w:szCs w:val="18"/>
          <w:lang w:val="es-ES_tradnl" w:eastAsia="es-CR"/>
          <w14:ligatures w14:val="none"/>
        </w:rPr>
        <w:t>clásico,</w:t>
      </w:r>
      <w:r w:rsidRPr="006D3F87">
        <w:rPr>
          <w:rFonts w:ascii="Calibri" w:eastAsia="Times New Roman" w:hAnsi="Calibri" w:cs="Calibri"/>
          <w:kern w:val="0"/>
          <w:szCs w:val="18"/>
          <w:lang w:val="es-ES_tradnl" w:eastAsia="es-CR"/>
          <w14:ligatures w14:val="none"/>
        </w:rPr>
        <w:t xml:space="preserve"> última edición)</w:t>
      </w:r>
    </w:p>
    <w:p w14:paraId="744CB42B"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proofErr w:type="spellStart"/>
      <w:r w:rsidRPr="006D3F87">
        <w:rPr>
          <w:rFonts w:ascii="Calibri" w:eastAsia="Times New Roman" w:hAnsi="Calibri" w:cs="Calibri"/>
          <w:kern w:val="0"/>
          <w:szCs w:val="18"/>
          <w:lang w:val="es-ES_tradnl" w:eastAsia="es-CR"/>
          <w14:ligatures w14:val="none"/>
        </w:rPr>
        <w:t>Römer</w:t>
      </w:r>
      <w:proofErr w:type="spellEnd"/>
      <w:r w:rsidRPr="006D3F87">
        <w:rPr>
          <w:rFonts w:ascii="Calibri" w:eastAsia="Times New Roman" w:hAnsi="Calibri" w:cs="Calibri"/>
          <w:kern w:val="0"/>
          <w:szCs w:val="18"/>
          <w:lang w:val="es-ES_tradnl" w:eastAsia="es-CR"/>
          <w14:ligatures w14:val="none"/>
        </w:rPr>
        <w:t xml:space="preserve">, Thomas. </w:t>
      </w:r>
      <w:r w:rsidRPr="006D3F87">
        <w:rPr>
          <w:rFonts w:ascii="Calibri" w:eastAsia="Times New Roman" w:hAnsi="Calibri" w:cs="Calibri"/>
          <w:i/>
          <w:iCs/>
          <w:kern w:val="0"/>
          <w:szCs w:val="18"/>
          <w:lang w:val="es-ES_tradnl" w:eastAsia="es-CR"/>
          <w14:ligatures w14:val="none"/>
        </w:rPr>
        <w:t>La llamada historia deuteronomista: Una introducción sociológica, histórica y literaria</w:t>
      </w:r>
      <w:r w:rsidRPr="006D3F87">
        <w:rPr>
          <w:rFonts w:ascii="Calibri" w:eastAsia="Times New Roman" w:hAnsi="Calibri" w:cs="Calibri"/>
          <w:kern w:val="0"/>
          <w:szCs w:val="18"/>
          <w:lang w:val="es-ES_tradnl" w:eastAsia="es-CR"/>
          <w14:ligatures w14:val="none"/>
        </w:rPr>
        <w:t>. Bogotá: San Pablo, 2014. (</w:t>
      </w:r>
      <w:r w:rsidRPr="006D3F87">
        <w:rPr>
          <w:rFonts w:ascii="Calibri" w:eastAsia="Times New Roman" w:hAnsi="Calibri" w:cs="Calibri"/>
          <w:color w:val="0070C0"/>
          <w:kern w:val="0"/>
          <w:szCs w:val="18"/>
          <w:lang w:val="es-ES_tradnl" w:eastAsia="es-CR"/>
          <w14:ligatures w14:val="none"/>
        </w:rPr>
        <w:t xml:space="preserve">clásico, </w:t>
      </w:r>
      <w:r w:rsidRPr="006D3F87">
        <w:rPr>
          <w:rFonts w:ascii="Calibri" w:eastAsia="Times New Roman" w:hAnsi="Calibri" w:cs="Calibri"/>
          <w:kern w:val="0"/>
          <w:szCs w:val="18"/>
          <w:lang w:val="es-ES_tradnl" w:eastAsia="es-CR"/>
          <w14:ligatures w14:val="none"/>
        </w:rPr>
        <w:t>última edición)</w:t>
      </w:r>
    </w:p>
    <w:p w14:paraId="3DA8C916"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i/>
          <w:iCs/>
          <w:kern w:val="0"/>
          <w:szCs w:val="18"/>
          <w:lang w:val="es-ES" w:eastAsia="es-CR"/>
          <w14:ligatures w14:val="none"/>
        </w:rPr>
      </w:pPr>
      <w:proofErr w:type="spellStart"/>
      <w:r w:rsidRPr="006D3F87">
        <w:rPr>
          <w:rFonts w:ascii="Calibri" w:eastAsia="Times New Roman" w:hAnsi="Calibri" w:cs="Calibri"/>
          <w:kern w:val="0"/>
          <w:szCs w:val="18"/>
          <w:lang w:val="es-ES" w:eastAsia="es-CR"/>
          <w14:ligatures w14:val="none"/>
        </w:rPr>
        <w:t>Schelke</w:t>
      </w:r>
      <w:proofErr w:type="spellEnd"/>
      <w:r w:rsidRPr="006D3F87">
        <w:rPr>
          <w:rFonts w:ascii="Calibri" w:eastAsia="Times New Roman" w:hAnsi="Calibri" w:cs="Calibri"/>
          <w:kern w:val="0"/>
          <w:szCs w:val="18"/>
          <w:lang w:val="es-ES" w:eastAsia="es-CR"/>
          <w14:ligatures w14:val="none"/>
        </w:rPr>
        <w:t xml:space="preserve">, K.H. “Salvar-Sanar / Salvador-Redentor”. </w:t>
      </w:r>
      <w:r w:rsidRPr="006D3F87">
        <w:rPr>
          <w:rFonts w:ascii="Calibri" w:eastAsia="Times New Roman" w:hAnsi="Calibri" w:cs="Calibri"/>
          <w:kern w:val="0"/>
          <w:szCs w:val="18"/>
          <w:lang w:val="de-DE" w:eastAsia="es-CR"/>
          <w14:ligatures w14:val="none"/>
        </w:rPr>
        <w:t xml:space="preserve">En </w:t>
      </w:r>
      <w:r w:rsidRPr="006D3F87">
        <w:rPr>
          <w:rFonts w:ascii="Calibri" w:eastAsia="Times New Roman" w:hAnsi="Calibri" w:cs="Calibri"/>
          <w:i/>
          <w:iCs/>
          <w:kern w:val="0"/>
          <w:szCs w:val="18"/>
          <w:lang w:val="es-ES" w:eastAsia="es-CR"/>
          <w14:ligatures w14:val="none"/>
        </w:rPr>
        <w:t>Diccionario exegético del Nuevo Testamento II</w:t>
      </w:r>
      <w:r w:rsidRPr="006D3F87">
        <w:rPr>
          <w:rFonts w:ascii="Calibri" w:eastAsia="Times New Roman" w:hAnsi="Calibri" w:cs="Calibri"/>
          <w:kern w:val="0"/>
          <w:szCs w:val="18"/>
          <w:lang w:val="es-ES" w:eastAsia="es-CR"/>
          <w14:ligatures w14:val="none"/>
        </w:rPr>
        <w:t xml:space="preserve">, editado por </w:t>
      </w:r>
      <w:r w:rsidRPr="006D3F87">
        <w:rPr>
          <w:rFonts w:ascii="Calibri" w:eastAsia="Times New Roman" w:hAnsi="Calibri" w:cs="Calibri"/>
          <w:kern w:val="0"/>
          <w:szCs w:val="18"/>
          <w:lang w:val="de-DE" w:eastAsia="es-CR"/>
          <w14:ligatures w14:val="none"/>
        </w:rPr>
        <w:t>Horst Balz y Gerhard Schneider,</w:t>
      </w:r>
      <w:r w:rsidRPr="006D3F87">
        <w:rPr>
          <w:rFonts w:ascii="Calibri" w:eastAsia="Times New Roman" w:hAnsi="Calibri" w:cs="Calibri"/>
          <w:kern w:val="0"/>
          <w:szCs w:val="18"/>
          <w:lang w:val="es-ES" w:eastAsia="es-CR"/>
          <w14:ligatures w14:val="none"/>
        </w:rPr>
        <w:t xml:space="preserve"> 1635-1641 y 1655-1666. Salamanca: Sígueme, 1998. (</w:t>
      </w:r>
      <w:r w:rsidRPr="006D3F87">
        <w:rPr>
          <w:rFonts w:ascii="Calibri" w:eastAsia="Times New Roman" w:hAnsi="Calibri" w:cs="Calibri"/>
          <w:color w:val="0070C0"/>
          <w:kern w:val="0"/>
          <w:szCs w:val="18"/>
          <w:lang w:val="es-ES" w:eastAsia="es-CR"/>
          <w14:ligatures w14:val="none"/>
        </w:rPr>
        <w:t>Clásico,</w:t>
      </w:r>
      <w:r w:rsidRPr="006D3F87">
        <w:rPr>
          <w:rFonts w:ascii="Calibri" w:eastAsia="Times New Roman" w:hAnsi="Calibri" w:cs="Calibri"/>
          <w:color w:val="0070C0"/>
          <w:kern w:val="0"/>
          <w:szCs w:val="18"/>
          <w:lang w:val="es-ES_tradnl" w:eastAsia="es-CR"/>
          <w14:ligatures w14:val="none"/>
        </w:rPr>
        <w:t xml:space="preserve"> </w:t>
      </w:r>
      <w:r w:rsidRPr="006D3F87">
        <w:rPr>
          <w:rFonts w:ascii="Calibri" w:eastAsia="Times New Roman" w:hAnsi="Calibri" w:cs="Calibri"/>
          <w:kern w:val="0"/>
          <w:szCs w:val="18"/>
          <w:lang w:val="es-ES_tradnl" w:eastAsia="es-CR"/>
          <w14:ligatures w14:val="none"/>
        </w:rPr>
        <w:t>última edición)</w:t>
      </w:r>
    </w:p>
    <w:p w14:paraId="0F372763"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lastRenderedPageBreak/>
        <w:t xml:space="preserve">Tamez, Elsa. “Justicia de Dios y misericordia infinita”. </w:t>
      </w:r>
      <w:r w:rsidRPr="006D3F87">
        <w:rPr>
          <w:rFonts w:ascii="Calibri" w:eastAsia="Times New Roman" w:hAnsi="Calibri" w:cs="Calibri"/>
          <w:i/>
          <w:iCs/>
          <w:kern w:val="0"/>
          <w:szCs w:val="18"/>
          <w:lang w:val="es-ES_tradnl" w:eastAsia="es-CR"/>
          <w14:ligatures w14:val="none"/>
        </w:rPr>
        <w:t>Vida y Pensamiento</w:t>
      </w:r>
      <w:r w:rsidRPr="006D3F87">
        <w:rPr>
          <w:rFonts w:ascii="Calibri" w:eastAsia="Times New Roman" w:hAnsi="Calibri" w:cs="Calibri"/>
          <w:kern w:val="0"/>
          <w:szCs w:val="18"/>
          <w:lang w:val="es-ES_tradnl" w:eastAsia="es-CR"/>
          <w14:ligatures w14:val="none"/>
        </w:rPr>
        <w:t xml:space="preserve"> vol.37, n.1 y 2 (2017): 273-290. </w:t>
      </w:r>
    </w:p>
    <w:p w14:paraId="51EEC500"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Van Andel, Arianne. “Sola Escritura, Sola Gracia, Sola Fe: Para una reforma ecológica”. </w:t>
      </w:r>
      <w:r w:rsidRPr="006D3F87">
        <w:rPr>
          <w:rFonts w:ascii="Calibri" w:eastAsia="Times New Roman" w:hAnsi="Calibri" w:cs="Calibri"/>
          <w:i/>
          <w:iCs/>
          <w:kern w:val="0"/>
          <w:szCs w:val="18"/>
          <w:lang w:val="es-ES_tradnl" w:eastAsia="es-CR"/>
          <w14:ligatures w14:val="none"/>
        </w:rPr>
        <w:t>Vida y Pensamiento</w:t>
      </w:r>
      <w:r w:rsidRPr="006D3F87">
        <w:rPr>
          <w:rFonts w:ascii="Calibri" w:eastAsia="Times New Roman" w:hAnsi="Calibri" w:cs="Calibri"/>
          <w:kern w:val="0"/>
          <w:szCs w:val="18"/>
          <w:lang w:val="es-ES_tradnl" w:eastAsia="es-CR"/>
          <w14:ligatures w14:val="none"/>
        </w:rPr>
        <w:t xml:space="preserve"> vol.39, n.1 (2017): 143-160.</w:t>
      </w:r>
    </w:p>
    <w:p w14:paraId="50086824"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proofErr w:type="spellStart"/>
      <w:r w:rsidRPr="006D3F87">
        <w:rPr>
          <w:rFonts w:ascii="Calibri" w:eastAsia="Times New Roman" w:hAnsi="Calibri" w:cs="Calibri"/>
          <w:kern w:val="0"/>
          <w:szCs w:val="18"/>
          <w:lang w:val="es-ES_tradnl" w:eastAsia="es-CR"/>
          <w14:ligatures w14:val="none"/>
        </w:rPr>
        <w:t>Verkindere</w:t>
      </w:r>
      <w:proofErr w:type="spellEnd"/>
      <w:r w:rsidRPr="006D3F87">
        <w:rPr>
          <w:rFonts w:ascii="Calibri" w:eastAsia="Times New Roman" w:hAnsi="Calibri" w:cs="Calibri"/>
          <w:kern w:val="0"/>
          <w:szCs w:val="18"/>
          <w:lang w:val="es-ES_tradnl" w:eastAsia="es-CR"/>
          <w14:ligatures w14:val="none"/>
        </w:rPr>
        <w:t xml:space="preserve">, Gérard. </w:t>
      </w:r>
      <w:r w:rsidRPr="006D3F87">
        <w:rPr>
          <w:rFonts w:ascii="Calibri" w:eastAsia="Times New Roman" w:hAnsi="Calibri" w:cs="Calibri"/>
          <w:i/>
          <w:iCs/>
          <w:kern w:val="0"/>
          <w:szCs w:val="18"/>
          <w:lang w:val="es-ES_tradnl" w:eastAsia="es-CR"/>
          <w14:ligatures w14:val="none"/>
        </w:rPr>
        <w:t>La justicia en el Antiguo Testamento.</w:t>
      </w:r>
      <w:r w:rsidRPr="006D3F87">
        <w:rPr>
          <w:rFonts w:ascii="Calibri" w:eastAsia="Times New Roman" w:hAnsi="Calibri" w:cs="Calibri"/>
          <w:kern w:val="0"/>
          <w:szCs w:val="18"/>
          <w:lang w:val="es-ES_tradnl" w:eastAsia="es-CR"/>
          <w14:ligatures w14:val="none"/>
        </w:rPr>
        <w:t xml:space="preserve"> Estella: Verbo Divino, 2001. (</w:t>
      </w:r>
      <w:r w:rsidRPr="006D3F87">
        <w:rPr>
          <w:rFonts w:ascii="Calibri" w:eastAsia="Times New Roman" w:hAnsi="Calibri" w:cs="Calibri"/>
          <w:color w:val="0070C0"/>
          <w:kern w:val="0"/>
          <w:szCs w:val="18"/>
          <w:lang w:val="es-ES_tradnl" w:eastAsia="es-CR"/>
          <w14:ligatures w14:val="none"/>
        </w:rPr>
        <w:t xml:space="preserve">clásico, </w:t>
      </w:r>
      <w:r w:rsidRPr="006D3F87">
        <w:rPr>
          <w:rFonts w:ascii="Calibri" w:eastAsia="Times New Roman" w:hAnsi="Calibri" w:cs="Calibri"/>
          <w:kern w:val="0"/>
          <w:szCs w:val="18"/>
          <w:lang w:val="es-ES_tradnl" w:eastAsia="es-CR"/>
          <w14:ligatures w14:val="none"/>
        </w:rPr>
        <w:t>última edición)</w:t>
      </w:r>
    </w:p>
    <w:p w14:paraId="6D90106E"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Vouga, </w:t>
      </w:r>
      <w:proofErr w:type="spellStart"/>
      <w:r w:rsidRPr="006D3F87">
        <w:rPr>
          <w:rFonts w:ascii="Calibri" w:eastAsia="Times New Roman" w:hAnsi="Calibri" w:cs="Calibri"/>
          <w:kern w:val="0"/>
          <w:szCs w:val="18"/>
          <w:lang w:val="es-ES_tradnl" w:eastAsia="es-CR"/>
          <w14:ligatures w14:val="none"/>
        </w:rPr>
        <w:t>Francois</w:t>
      </w:r>
      <w:proofErr w:type="spellEnd"/>
      <w:r w:rsidRPr="006D3F87">
        <w:rPr>
          <w:rFonts w:ascii="Calibri" w:eastAsia="Times New Roman" w:hAnsi="Calibri" w:cs="Calibri"/>
          <w:kern w:val="0"/>
          <w:szCs w:val="18"/>
          <w:lang w:val="es-ES_tradnl" w:eastAsia="es-CR"/>
          <w14:ligatures w14:val="none"/>
        </w:rPr>
        <w:t xml:space="preserve">. </w:t>
      </w:r>
      <w:r w:rsidRPr="006D3F87">
        <w:rPr>
          <w:rFonts w:ascii="Calibri" w:eastAsia="Times New Roman" w:hAnsi="Calibri" w:cs="Calibri"/>
          <w:i/>
          <w:iCs/>
          <w:kern w:val="0"/>
          <w:szCs w:val="18"/>
          <w:lang w:val="es-ES_tradnl" w:eastAsia="es-CR"/>
          <w14:ligatures w14:val="none"/>
        </w:rPr>
        <w:t>Una</w:t>
      </w:r>
      <w:r w:rsidRPr="006D3F87">
        <w:rPr>
          <w:rFonts w:ascii="Calibri" w:eastAsia="Times New Roman" w:hAnsi="Calibri" w:cs="Calibri"/>
          <w:kern w:val="0"/>
          <w:szCs w:val="18"/>
          <w:lang w:val="es-ES_tradnl" w:eastAsia="es-CR"/>
          <w14:ligatures w14:val="none"/>
        </w:rPr>
        <w:t xml:space="preserve"> t</w:t>
      </w:r>
      <w:r w:rsidRPr="006D3F87">
        <w:rPr>
          <w:rFonts w:ascii="Calibri" w:eastAsia="Times New Roman" w:hAnsi="Calibri" w:cs="Calibri"/>
          <w:i/>
          <w:iCs/>
          <w:kern w:val="0"/>
          <w:szCs w:val="18"/>
          <w:lang w:val="es-ES_tradnl" w:eastAsia="es-CR"/>
          <w14:ligatures w14:val="none"/>
        </w:rPr>
        <w:t>eología del Nuevo Testamento</w:t>
      </w:r>
      <w:r w:rsidRPr="006D3F87">
        <w:rPr>
          <w:rFonts w:ascii="Calibri" w:eastAsia="Times New Roman" w:hAnsi="Calibri" w:cs="Calibri"/>
          <w:kern w:val="0"/>
          <w:szCs w:val="18"/>
          <w:lang w:val="es-ES_tradnl" w:eastAsia="es-CR"/>
          <w14:ligatures w14:val="none"/>
        </w:rPr>
        <w:t>. Estella: Verbo Divino, 2002. (</w:t>
      </w:r>
      <w:r w:rsidRPr="006D3F87">
        <w:rPr>
          <w:rFonts w:ascii="Calibri" w:eastAsia="Times New Roman" w:hAnsi="Calibri" w:cs="Calibri"/>
          <w:color w:val="0070C0"/>
          <w:kern w:val="0"/>
          <w:szCs w:val="18"/>
          <w:lang w:val="es-ES_tradnl" w:eastAsia="es-CR"/>
          <w14:ligatures w14:val="none"/>
        </w:rPr>
        <w:t xml:space="preserve">clásico, </w:t>
      </w:r>
      <w:r w:rsidRPr="006D3F87">
        <w:rPr>
          <w:rFonts w:ascii="Calibri" w:eastAsia="Times New Roman" w:hAnsi="Calibri" w:cs="Calibri"/>
          <w:kern w:val="0"/>
          <w:szCs w:val="18"/>
          <w:lang w:val="es-ES_tradnl" w:eastAsia="es-CR"/>
          <w14:ligatures w14:val="none"/>
        </w:rPr>
        <w:t>última edición)</w:t>
      </w:r>
    </w:p>
    <w:p w14:paraId="4AD3469E"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p>
    <w:p w14:paraId="26490294" w14:textId="77777777" w:rsidR="006D3F87" w:rsidRPr="006D3F87" w:rsidRDefault="006D3F87" w:rsidP="006D3F87">
      <w:pPr>
        <w:rPr>
          <w:rFonts w:ascii="Calibri" w:eastAsia="Times New Roman" w:hAnsi="Calibri" w:cs="Calibri"/>
          <w:b/>
          <w:bCs/>
          <w:kern w:val="0"/>
          <w:szCs w:val="18"/>
          <w:lang w:val="es-ES_tradnl" w:eastAsia="es-CR"/>
          <w14:ligatures w14:val="none"/>
        </w:rPr>
      </w:pPr>
      <w:r w:rsidRPr="006D3F87">
        <w:rPr>
          <w:rFonts w:ascii="Calibri" w:eastAsia="Times New Roman" w:hAnsi="Calibri" w:cs="Calibri"/>
          <w:b/>
          <w:bCs/>
          <w:kern w:val="0"/>
          <w:szCs w:val="18"/>
          <w:lang w:val="es-ES_tradnl" w:eastAsia="es-CR"/>
          <w14:ligatures w14:val="none"/>
        </w:rPr>
        <w:t>XII. Bibliografía complementaria</w:t>
      </w:r>
    </w:p>
    <w:p w14:paraId="59F49FD0" w14:textId="77777777" w:rsidR="006D3F87" w:rsidRPr="006D3F87" w:rsidRDefault="006D3F87" w:rsidP="006D3F87">
      <w:pPr>
        <w:jc w:val="both"/>
        <w:rPr>
          <w:rFonts w:ascii="Calibri" w:eastAsia="Times New Roman" w:hAnsi="Calibri" w:cs="Arial"/>
          <w:bCs/>
          <w:color w:val="000000"/>
          <w:kern w:val="0"/>
          <w:lang w:eastAsia="es-CR"/>
          <w14:ligatures w14:val="none"/>
        </w:rPr>
      </w:pPr>
      <w:r w:rsidRPr="006D3F87">
        <w:rPr>
          <w:rFonts w:ascii="Calibri" w:eastAsia="Times New Roman" w:hAnsi="Calibri" w:cs="Arial"/>
          <w:b/>
          <w:color w:val="000000"/>
          <w:kern w:val="0"/>
          <w:lang w:eastAsia="es-CR"/>
          <w14:ligatures w14:val="none"/>
        </w:rPr>
        <w:t>Nota:</w:t>
      </w:r>
      <w:r w:rsidRPr="006D3F87">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6D3F87">
        <w:rPr>
          <w:rFonts w:ascii="Calibri" w:eastAsia="Times New Roman" w:hAnsi="Calibri" w:cs="Arial"/>
          <w:bCs/>
          <w:color w:val="000000"/>
          <w:kern w:val="0"/>
          <w:lang w:eastAsia="es-CR"/>
          <w14:ligatures w14:val="none"/>
        </w:rPr>
        <w:t>pdf</w:t>
      </w:r>
      <w:proofErr w:type="spellEnd"/>
      <w:r w:rsidRPr="006D3F87">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18A3C34F"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Belli, Filippo. “El uso de las escrituras de Israel en Rom 9-11”. </w:t>
      </w:r>
      <w:r w:rsidRPr="006D3F87">
        <w:rPr>
          <w:rFonts w:ascii="Calibri" w:eastAsia="Times New Roman" w:hAnsi="Calibri" w:cs="Calibri"/>
          <w:i/>
          <w:iCs/>
          <w:kern w:val="0"/>
          <w:szCs w:val="18"/>
          <w:lang w:val="es-ES_tradnl" w:eastAsia="es-CR"/>
          <w14:ligatures w14:val="none"/>
        </w:rPr>
        <w:t xml:space="preserve">Reseña Bíblica </w:t>
      </w:r>
      <w:r w:rsidRPr="006D3F87">
        <w:rPr>
          <w:rFonts w:ascii="Calibri" w:eastAsia="Times New Roman" w:hAnsi="Calibri" w:cs="Calibri"/>
          <w:kern w:val="0"/>
          <w:szCs w:val="18"/>
          <w:lang w:val="es-ES_tradnl" w:eastAsia="es-CR"/>
          <w14:ligatures w14:val="none"/>
        </w:rPr>
        <w:t>n.63 (2009): 15-24.</w:t>
      </w:r>
    </w:p>
    <w:p w14:paraId="5D8871E2"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Bonora, Antonio y Giuseppe </w:t>
      </w:r>
      <w:proofErr w:type="spellStart"/>
      <w:r w:rsidRPr="006D3F87">
        <w:rPr>
          <w:rFonts w:ascii="Calibri" w:eastAsia="Times New Roman" w:hAnsi="Calibri" w:cs="Calibri"/>
          <w:kern w:val="0"/>
          <w:szCs w:val="18"/>
          <w:lang w:val="es-ES_tradnl" w:eastAsia="es-CR"/>
          <w14:ligatures w14:val="none"/>
        </w:rPr>
        <w:t>Segalla</w:t>
      </w:r>
      <w:proofErr w:type="spellEnd"/>
      <w:r w:rsidRPr="006D3F87">
        <w:rPr>
          <w:rFonts w:ascii="Calibri" w:eastAsia="Times New Roman" w:hAnsi="Calibri" w:cs="Calibri"/>
          <w:kern w:val="0"/>
          <w:szCs w:val="18"/>
          <w:lang w:val="es-ES_tradnl" w:eastAsia="es-CR"/>
          <w14:ligatures w14:val="none"/>
        </w:rPr>
        <w:t>. “</w:t>
      </w:r>
      <w:r w:rsidRPr="006D3F87">
        <w:rPr>
          <w:rFonts w:ascii="Calibri" w:eastAsia="Times New Roman" w:hAnsi="Calibri" w:cs="Calibri"/>
          <w:kern w:val="0"/>
          <w:szCs w:val="18"/>
          <w:lang w:val="es-ES" w:eastAsia="es-CR"/>
          <w14:ligatures w14:val="none"/>
        </w:rPr>
        <w:t>Teología Bíblica</w:t>
      </w:r>
      <w:r w:rsidRPr="006D3F87">
        <w:rPr>
          <w:rFonts w:ascii="Calibri" w:eastAsia="Times New Roman" w:hAnsi="Calibri" w:cs="Calibri"/>
          <w:kern w:val="0"/>
          <w:szCs w:val="18"/>
          <w:lang w:val="es-ES_tradnl" w:eastAsia="es-CR"/>
          <w14:ligatures w14:val="none"/>
        </w:rPr>
        <w:t>”. En</w:t>
      </w:r>
      <w:r w:rsidRPr="006D3F87">
        <w:rPr>
          <w:rFonts w:ascii="Calibri" w:eastAsia="Times New Roman" w:hAnsi="Calibri" w:cs="Calibri"/>
          <w:kern w:val="0"/>
          <w:szCs w:val="18"/>
          <w:lang w:val="es-ES" w:eastAsia="es-CR"/>
          <w14:ligatures w14:val="none"/>
        </w:rPr>
        <w:t xml:space="preserve"> </w:t>
      </w:r>
      <w:r w:rsidRPr="006D3F87">
        <w:rPr>
          <w:rFonts w:ascii="Calibri" w:eastAsia="Times New Roman" w:hAnsi="Calibri" w:cs="Calibri"/>
          <w:i/>
          <w:kern w:val="0"/>
          <w:szCs w:val="18"/>
          <w:lang w:val="es-ES" w:eastAsia="es-CR"/>
          <w14:ligatures w14:val="none"/>
        </w:rPr>
        <w:t>Nuevo Diccionario de Teología Bíblica</w:t>
      </w:r>
      <w:r w:rsidRPr="006D3F87">
        <w:rPr>
          <w:rFonts w:ascii="Calibri" w:eastAsia="Times New Roman" w:hAnsi="Calibri" w:cs="Calibri"/>
          <w:kern w:val="0"/>
          <w:szCs w:val="18"/>
          <w:lang w:val="es-ES" w:eastAsia="es-CR"/>
          <w14:ligatures w14:val="none"/>
        </w:rPr>
        <w:t xml:space="preserve">, editado por </w:t>
      </w:r>
      <w:proofErr w:type="spellStart"/>
      <w:r w:rsidRPr="006D3F87">
        <w:rPr>
          <w:rFonts w:ascii="Calibri" w:eastAsia="Times New Roman" w:hAnsi="Calibri" w:cs="Calibri"/>
          <w:kern w:val="0"/>
          <w:szCs w:val="18"/>
          <w:lang w:val="es-ES" w:eastAsia="es-CR"/>
          <w14:ligatures w14:val="none"/>
        </w:rPr>
        <w:t>Ravasi</w:t>
      </w:r>
      <w:proofErr w:type="spellEnd"/>
      <w:r w:rsidRPr="006D3F87">
        <w:rPr>
          <w:rFonts w:ascii="Calibri" w:eastAsia="Times New Roman" w:hAnsi="Calibri" w:cs="Calibri"/>
          <w:kern w:val="0"/>
          <w:szCs w:val="18"/>
          <w:lang w:val="es-ES" w:eastAsia="es-CR"/>
          <w14:ligatures w14:val="none"/>
        </w:rPr>
        <w:t xml:space="preserve">, G., P. Rossano y A. </w:t>
      </w:r>
      <w:proofErr w:type="spellStart"/>
      <w:r w:rsidRPr="006D3F87">
        <w:rPr>
          <w:rFonts w:ascii="Calibri" w:eastAsia="Times New Roman" w:hAnsi="Calibri" w:cs="Calibri"/>
          <w:kern w:val="0"/>
          <w:szCs w:val="18"/>
          <w:lang w:val="es-ES" w:eastAsia="es-CR"/>
          <w14:ligatures w14:val="none"/>
        </w:rPr>
        <w:t>Girlanda</w:t>
      </w:r>
      <w:proofErr w:type="spellEnd"/>
      <w:r w:rsidRPr="006D3F87">
        <w:rPr>
          <w:rFonts w:ascii="Calibri" w:eastAsia="Times New Roman" w:hAnsi="Calibri" w:cs="Calibri"/>
          <w:kern w:val="0"/>
          <w:szCs w:val="18"/>
          <w:lang w:val="es-ES" w:eastAsia="es-CR"/>
          <w14:ligatures w14:val="none"/>
        </w:rPr>
        <w:t xml:space="preserve">, </w:t>
      </w:r>
      <w:r w:rsidRPr="006D3F87">
        <w:rPr>
          <w:rFonts w:ascii="Calibri" w:eastAsia="Times New Roman" w:hAnsi="Calibri" w:cs="Calibri"/>
          <w:kern w:val="0"/>
          <w:szCs w:val="18"/>
          <w:lang w:val="es-ES_tradnl" w:eastAsia="es-CR"/>
          <w14:ligatures w14:val="none"/>
        </w:rPr>
        <w:t>1819-1840.</w:t>
      </w:r>
      <w:r w:rsidRPr="006D3F87">
        <w:rPr>
          <w:rFonts w:ascii="Calibri" w:eastAsia="Times New Roman" w:hAnsi="Calibri" w:cs="Calibri"/>
          <w:kern w:val="0"/>
          <w:szCs w:val="18"/>
          <w:lang w:val="es-ES" w:eastAsia="es-CR"/>
          <w14:ligatures w14:val="none"/>
        </w:rPr>
        <w:t xml:space="preserve">  Madrid: Paulinas, 1990</w:t>
      </w:r>
      <w:r w:rsidRPr="006D3F87">
        <w:rPr>
          <w:rFonts w:ascii="Calibri" w:eastAsia="Times New Roman" w:hAnsi="Calibri" w:cs="Calibri"/>
          <w:kern w:val="0"/>
          <w:szCs w:val="18"/>
          <w:lang w:val="es-ES_tradnl" w:eastAsia="es-CR"/>
          <w14:ligatures w14:val="none"/>
        </w:rPr>
        <w:t xml:space="preserve">. (última edición </w:t>
      </w:r>
      <w:r w:rsidRPr="006D3F87">
        <w:rPr>
          <w:rFonts w:ascii="Calibri" w:eastAsia="Times New Roman" w:hAnsi="Calibri" w:cs="Calibri"/>
          <w:color w:val="0070C0"/>
          <w:kern w:val="0"/>
          <w:szCs w:val="18"/>
          <w:lang w:val="es-ES_tradnl" w:eastAsia="es-CR"/>
          <w14:ligatures w14:val="none"/>
        </w:rPr>
        <w:t>2001</w:t>
      </w:r>
      <w:r w:rsidRPr="006D3F87">
        <w:rPr>
          <w:rFonts w:ascii="Calibri" w:eastAsia="Times New Roman" w:hAnsi="Calibri" w:cs="Calibri"/>
          <w:kern w:val="0"/>
          <w:szCs w:val="18"/>
          <w:lang w:val="es-ES_tradnl" w:eastAsia="es-CR"/>
          <w14:ligatures w14:val="none"/>
        </w:rPr>
        <w:t>)</w:t>
      </w:r>
    </w:p>
    <w:p w14:paraId="5685D02E"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Carbajosa, Ignacio. “Pablo y las escrituras santas de Israel”. </w:t>
      </w:r>
      <w:r w:rsidRPr="006D3F87">
        <w:rPr>
          <w:rFonts w:ascii="Calibri" w:eastAsia="Times New Roman" w:hAnsi="Calibri" w:cs="Calibri"/>
          <w:i/>
          <w:iCs/>
          <w:kern w:val="0"/>
          <w:szCs w:val="18"/>
          <w:lang w:val="es-ES_tradnl" w:eastAsia="es-CR"/>
          <w14:ligatures w14:val="none"/>
        </w:rPr>
        <w:t xml:space="preserve">Reseña Bíblica </w:t>
      </w:r>
      <w:r w:rsidRPr="006D3F87">
        <w:rPr>
          <w:rFonts w:ascii="Calibri" w:eastAsia="Times New Roman" w:hAnsi="Calibri" w:cs="Calibri"/>
          <w:kern w:val="0"/>
          <w:szCs w:val="18"/>
          <w:lang w:val="es-ES_tradnl" w:eastAsia="es-CR"/>
          <w14:ligatures w14:val="none"/>
        </w:rPr>
        <w:t>n.63 (2009): 5-14.</w:t>
      </w:r>
    </w:p>
    <w:p w14:paraId="66904FD2"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Díaz Rodelas, Juan Miguel. “La ley de Israel y el apóstol de los gentiles”. </w:t>
      </w:r>
      <w:r w:rsidRPr="006D3F87">
        <w:rPr>
          <w:rFonts w:ascii="Calibri" w:eastAsia="Times New Roman" w:hAnsi="Calibri" w:cs="Calibri"/>
          <w:i/>
          <w:iCs/>
          <w:kern w:val="0"/>
          <w:szCs w:val="18"/>
          <w:lang w:val="es-ES_tradnl" w:eastAsia="es-CR"/>
          <w14:ligatures w14:val="none"/>
        </w:rPr>
        <w:t xml:space="preserve">Reseña Bíblica </w:t>
      </w:r>
      <w:r w:rsidRPr="006D3F87">
        <w:rPr>
          <w:rFonts w:ascii="Calibri" w:eastAsia="Times New Roman" w:hAnsi="Calibri" w:cs="Calibri"/>
          <w:kern w:val="0"/>
          <w:szCs w:val="18"/>
          <w:lang w:val="es-ES_tradnl" w:eastAsia="es-CR"/>
          <w14:ligatures w14:val="none"/>
        </w:rPr>
        <w:t>n.63 (2009):25-34.</w:t>
      </w:r>
    </w:p>
    <w:p w14:paraId="495326B2"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 Gaitán Briceño, Tarcisio H., y Catherine </w:t>
      </w:r>
      <w:proofErr w:type="spellStart"/>
      <w:r w:rsidRPr="006D3F87">
        <w:rPr>
          <w:rFonts w:ascii="Calibri" w:eastAsia="Times New Roman" w:hAnsi="Calibri" w:cs="Calibri"/>
          <w:kern w:val="0"/>
          <w:szCs w:val="18"/>
          <w:lang w:val="es-ES_tradnl" w:eastAsia="es-CR"/>
          <w14:ligatures w14:val="none"/>
        </w:rPr>
        <w:t>Jaillier</w:t>
      </w:r>
      <w:proofErr w:type="spellEnd"/>
      <w:r w:rsidRPr="006D3F87">
        <w:rPr>
          <w:rFonts w:ascii="Calibri" w:eastAsia="Times New Roman" w:hAnsi="Calibri" w:cs="Calibri"/>
          <w:kern w:val="0"/>
          <w:szCs w:val="18"/>
          <w:lang w:val="es-ES_tradnl" w:eastAsia="es-CR"/>
          <w14:ligatures w14:val="none"/>
        </w:rPr>
        <w:t xml:space="preserve"> Castrillón. “Apocalipsis: Fe y Resistencia”. </w:t>
      </w:r>
      <w:r w:rsidRPr="006D3F87">
        <w:rPr>
          <w:rFonts w:ascii="Calibri" w:eastAsia="Times New Roman" w:hAnsi="Calibri" w:cs="Calibri"/>
          <w:i/>
          <w:iCs/>
          <w:kern w:val="0"/>
          <w:szCs w:val="18"/>
          <w:lang w:val="es-ES_tradnl" w:eastAsia="es-CR"/>
          <w14:ligatures w14:val="none"/>
        </w:rPr>
        <w:t>Cuestiones Teológicas</w:t>
      </w:r>
      <w:r w:rsidRPr="006D3F87">
        <w:rPr>
          <w:rFonts w:ascii="Calibri" w:eastAsia="Times New Roman" w:hAnsi="Calibri" w:cs="Calibri"/>
          <w:kern w:val="0"/>
          <w:szCs w:val="18"/>
          <w:lang w:val="es-ES_tradnl" w:eastAsia="es-CR"/>
          <w14:ligatures w14:val="none"/>
        </w:rPr>
        <w:t xml:space="preserve"> n.95 (2014): 97-131. Acceso el 18 de octubre de 2022. </w:t>
      </w:r>
      <w:hyperlink r:id="rId513" w:history="1">
        <w:r w:rsidRPr="006D3F87">
          <w:rPr>
            <w:rFonts w:ascii="Calibri" w:eastAsia="Times New Roman" w:hAnsi="Calibri" w:cs="Calibri"/>
            <w:bCs/>
            <w:color w:val="0563C1"/>
            <w:kern w:val="0"/>
            <w:szCs w:val="18"/>
            <w:u w:val="single"/>
            <w:lang w:val="es-ES_tradnl" w:eastAsia="es-CR"/>
            <w14:ligatures w14:val="none"/>
          </w:rPr>
          <w:t>https://revistas.upb.edu.co/index.php/cuestiones/article/view/349</w:t>
        </w:r>
      </w:hyperlink>
    </w:p>
    <w:p w14:paraId="16005ABA"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 Hoffmann, Martin. “El Medio Ambiente como problema teológico-espiritual” </w:t>
      </w:r>
      <w:r w:rsidRPr="006D3F87">
        <w:rPr>
          <w:rFonts w:ascii="Calibri" w:eastAsia="Times New Roman" w:hAnsi="Calibri" w:cs="Calibri"/>
          <w:i/>
          <w:iCs/>
          <w:kern w:val="0"/>
          <w:szCs w:val="18"/>
          <w:lang w:val="es-ES_tradnl" w:eastAsia="es-CR"/>
          <w14:ligatures w14:val="none"/>
        </w:rPr>
        <w:t>Vida y Pensamiento</w:t>
      </w:r>
      <w:r w:rsidRPr="006D3F87">
        <w:rPr>
          <w:rFonts w:ascii="Calibri" w:eastAsia="Times New Roman" w:hAnsi="Calibri" w:cs="Calibri"/>
          <w:kern w:val="0"/>
          <w:szCs w:val="18"/>
          <w:lang w:val="es-ES_tradnl" w:eastAsia="es-CR"/>
          <w14:ligatures w14:val="none"/>
        </w:rPr>
        <w:t xml:space="preserve"> vol.39, n.1 (2019): 135-159. </w:t>
      </w:r>
    </w:p>
    <w:p w14:paraId="26A53FCE"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Míguez, Néstor. “Las palabras que definen: Análisis del discurso ecológico”. </w:t>
      </w:r>
      <w:r w:rsidRPr="006D3F87">
        <w:rPr>
          <w:rFonts w:ascii="Calibri" w:eastAsia="Times New Roman" w:hAnsi="Calibri" w:cs="Calibri"/>
          <w:i/>
          <w:iCs/>
          <w:kern w:val="0"/>
          <w:szCs w:val="18"/>
          <w:lang w:val="es-ES_tradnl" w:eastAsia="es-CR"/>
          <w14:ligatures w14:val="none"/>
        </w:rPr>
        <w:t>RIBLA</w:t>
      </w:r>
      <w:r w:rsidRPr="006D3F87">
        <w:rPr>
          <w:rFonts w:ascii="Calibri" w:eastAsia="Times New Roman" w:hAnsi="Calibri" w:cs="Calibri"/>
          <w:kern w:val="0"/>
          <w:szCs w:val="18"/>
          <w:lang w:val="es-ES_tradnl" w:eastAsia="es-CR"/>
          <w14:ligatures w14:val="none"/>
        </w:rPr>
        <w:t xml:space="preserve"> n.80 (2019): 11-22. </w:t>
      </w:r>
    </w:p>
    <w:p w14:paraId="2C8D7816" w14:textId="77777777" w:rsidR="006D3F87" w:rsidRPr="006D3F87" w:rsidRDefault="006D3F87" w:rsidP="006D3F87">
      <w:pPr>
        <w:widowControl w:val="0"/>
        <w:overflowPunct w:val="0"/>
        <w:autoSpaceDE w:val="0"/>
        <w:autoSpaceDN w:val="0"/>
        <w:adjustRightInd w:val="0"/>
        <w:spacing w:before="120" w:after="0" w:line="240" w:lineRule="auto"/>
        <w:ind w:left="709" w:hanging="709"/>
        <w:jc w:val="both"/>
        <w:rPr>
          <w:rFonts w:ascii="Calibri" w:eastAsia="Times New Roman" w:hAnsi="Calibri" w:cs="Calibri"/>
          <w:kern w:val="0"/>
          <w:szCs w:val="18"/>
          <w:lang w:val="es-ES_tradnl" w:eastAsia="es-CR"/>
          <w14:ligatures w14:val="none"/>
        </w:rPr>
      </w:pPr>
      <w:r w:rsidRPr="006D3F87">
        <w:rPr>
          <w:rFonts w:ascii="Calibri" w:eastAsia="Times New Roman" w:hAnsi="Calibri" w:cs="Calibri"/>
          <w:kern w:val="0"/>
          <w:szCs w:val="18"/>
          <w:lang w:val="es-ES_tradnl" w:eastAsia="es-CR"/>
          <w14:ligatures w14:val="none"/>
        </w:rPr>
        <w:t xml:space="preserve">Ramírez Kidd, José Enrique. </w:t>
      </w:r>
      <w:r w:rsidRPr="006D3F87">
        <w:rPr>
          <w:rFonts w:ascii="Calibri" w:eastAsia="Times New Roman" w:hAnsi="Calibri" w:cs="Calibri"/>
          <w:i/>
          <w:iCs/>
          <w:kern w:val="0"/>
          <w:szCs w:val="18"/>
          <w:lang w:val="es-ES_tradnl" w:eastAsia="es-CR"/>
          <w14:ligatures w14:val="none"/>
        </w:rPr>
        <w:t>El extranjero, la viuda y el huérfano en el Antiguo Testamento</w:t>
      </w:r>
      <w:r w:rsidRPr="006D3F87">
        <w:rPr>
          <w:rFonts w:ascii="Calibri" w:eastAsia="Times New Roman" w:hAnsi="Calibri" w:cs="Calibri"/>
          <w:kern w:val="0"/>
          <w:szCs w:val="18"/>
          <w:lang w:val="es-ES_tradnl" w:eastAsia="es-CR"/>
          <w14:ligatures w14:val="none"/>
        </w:rPr>
        <w:t>. San José: SEBILA; Guatemala: CEDEPCA, 2002. (</w:t>
      </w:r>
      <w:r w:rsidRPr="006D3F87">
        <w:rPr>
          <w:rFonts w:ascii="Calibri" w:eastAsia="Times New Roman" w:hAnsi="Calibri" w:cs="Calibri"/>
          <w:color w:val="0070C0"/>
          <w:kern w:val="0"/>
          <w:szCs w:val="18"/>
          <w:lang w:val="es-ES_tradnl" w:eastAsia="es-CR"/>
          <w14:ligatures w14:val="none"/>
        </w:rPr>
        <w:t xml:space="preserve">clásico, </w:t>
      </w:r>
      <w:r w:rsidRPr="006D3F87">
        <w:rPr>
          <w:rFonts w:ascii="Calibri" w:eastAsia="Times New Roman" w:hAnsi="Calibri" w:cs="Calibri"/>
          <w:kern w:val="0"/>
          <w:szCs w:val="18"/>
          <w:lang w:val="es-ES_tradnl" w:eastAsia="es-CR"/>
          <w14:ligatures w14:val="none"/>
        </w:rPr>
        <w:t>última edición)</w:t>
      </w:r>
    </w:p>
    <w:p w14:paraId="0B8DDD55" w14:textId="77777777" w:rsidR="000E483A" w:rsidRDefault="000E483A" w:rsidP="00DC6C24">
      <w:pPr>
        <w:rPr>
          <w:sz w:val="24"/>
          <w:szCs w:val="24"/>
        </w:rPr>
      </w:pPr>
    </w:p>
    <w:p w14:paraId="6D8ED231" w14:textId="77777777" w:rsidR="000E483A" w:rsidRDefault="000E483A" w:rsidP="00DC6C24">
      <w:pPr>
        <w:rPr>
          <w:sz w:val="24"/>
          <w:szCs w:val="24"/>
        </w:rPr>
      </w:pPr>
    </w:p>
    <w:p w14:paraId="1771F75C" w14:textId="77777777" w:rsidR="000E483A" w:rsidRDefault="000E483A" w:rsidP="00DC6C24">
      <w:pPr>
        <w:rPr>
          <w:sz w:val="24"/>
          <w:szCs w:val="24"/>
        </w:rPr>
      </w:pPr>
    </w:p>
    <w:p w14:paraId="37AA5D1D" w14:textId="77777777" w:rsidR="000E483A" w:rsidRDefault="000E483A" w:rsidP="00DC6C24">
      <w:pPr>
        <w:rPr>
          <w:sz w:val="24"/>
          <w:szCs w:val="24"/>
        </w:rPr>
      </w:pPr>
    </w:p>
    <w:p w14:paraId="5CA83E3E" w14:textId="77777777" w:rsidR="000E483A" w:rsidRDefault="000E483A" w:rsidP="00DC6C24">
      <w:pPr>
        <w:rPr>
          <w:sz w:val="24"/>
          <w:szCs w:val="24"/>
        </w:rPr>
      </w:pPr>
    </w:p>
    <w:p w14:paraId="76B7FCC9" w14:textId="77777777" w:rsidR="000E483A" w:rsidRDefault="000E483A" w:rsidP="00DC6C24">
      <w:pPr>
        <w:rPr>
          <w:sz w:val="24"/>
          <w:szCs w:val="24"/>
        </w:rPr>
      </w:pPr>
    </w:p>
    <w:p w14:paraId="6F19E40B" w14:textId="77777777" w:rsidR="000E483A" w:rsidRDefault="000E483A" w:rsidP="00DC6C24">
      <w:pPr>
        <w:rPr>
          <w:sz w:val="24"/>
          <w:szCs w:val="24"/>
        </w:rPr>
      </w:pPr>
    </w:p>
    <w:p w14:paraId="2FFAA1C1" w14:textId="039F327C" w:rsidR="007601EC" w:rsidRPr="006B5A49" w:rsidRDefault="007601EC" w:rsidP="00CD4110">
      <w:pPr>
        <w:pStyle w:val="SPECIAL2"/>
      </w:pPr>
      <w:bookmarkStart w:id="60" w:name="_Toc166526885"/>
      <w:r w:rsidRPr="00CD4110">
        <w:lastRenderedPageBreak/>
        <w:t>VIII CUATRIMESTRE</w:t>
      </w:r>
      <w:bookmarkEnd w:id="60"/>
    </w:p>
    <w:p w14:paraId="3D1C3730" w14:textId="77777777" w:rsidR="007601EC" w:rsidRDefault="007601EC" w:rsidP="007601EC">
      <w:pPr>
        <w:jc w:val="center"/>
        <w:rPr>
          <w:b/>
          <w:bCs/>
          <w:sz w:val="32"/>
          <w:szCs w:val="32"/>
          <w:lang w:val="es-ES"/>
        </w:rPr>
      </w:pPr>
    </w:p>
    <w:p w14:paraId="7E7E109D" w14:textId="2927A919" w:rsidR="007601EC" w:rsidRPr="006B5A49" w:rsidRDefault="00DD16F2" w:rsidP="007601EC">
      <w:pPr>
        <w:rPr>
          <w:sz w:val="24"/>
          <w:szCs w:val="24"/>
        </w:rPr>
      </w:pPr>
      <w:hyperlink w:anchor="CB115" w:history="1">
        <w:r w:rsidR="007601EC" w:rsidRPr="000611BD">
          <w:rPr>
            <w:rStyle w:val="Hipervnculo"/>
            <w:sz w:val="24"/>
            <w:szCs w:val="24"/>
            <w:lang w:val="es-ES"/>
          </w:rPr>
          <w:t>C</w:t>
        </w:r>
        <w:r w:rsidR="00BF0A93" w:rsidRPr="000611BD">
          <w:rPr>
            <w:rStyle w:val="Hipervnculo"/>
            <w:sz w:val="24"/>
            <w:szCs w:val="24"/>
            <w:lang w:val="es-ES"/>
          </w:rPr>
          <w:t>B115 Seminario en Biblia I</w:t>
        </w:r>
      </w:hyperlink>
    </w:p>
    <w:p w14:paraId="4550519E" w14:textId="723F5566" w:rsidR="007601EC" w:rsidRPr="006B5A49" w:rsidRDefault="00DD16F2" w:rsidP="007601EC">
      <w:pPr>
        <w:rPr>
          <w:sz w:val="24"/>
          <w:szCs w:val="24"/>
        </w:rPr>
      </w:pPr>
      <w:hyperlink w:anchor="CB116" w:history="1">
        <w:r w:rsidR="007601EC" w:rsidRPr="000611BD">
          <w:rPr>
            <w:rStyle w:val="Hipervnculo"/>
            <w:sz w:val="24"/>
            <w:szCs w:val="24"/>
          </w:rPr>
          <w:t>C</w:t>
        </w:r>
        <w:r w:rsidR="00BF0A93" w:rsidRPr="000611BD">
          <w:rPr>
            <w:rStyle w:val="Hipervnculo"/>
            <w:sz w:val="24"/>
            <w:szCs w:val="24"/>
          </w:rPr>
          <w:t>B116 Seminario en Biblia II</w:t>
        </w:r>
      </w:hyperlink>
    </w:p>
    <w:p w14:paraId="0B330EF9" w14:textId="2893C2FE" w:rsidR="007601EC" w:rsidRDefault="00DD16F2" w:rsidP="007601EC">
      <w:pPr>
        <w:rPr>
          <w:sz w:val="24"/>
          <w:szCs w:val="24"/>
        </w:rPr>
      </w:pPr>
      <w:hyperlink w:anchor="CB117" w:history="1">
        <w:r w:rsidR="007601EC" w:rsidRPr="000611BD">
          <w:rPr>
            <w:rStyle w:val="Hipervnculo"/>
            <w:sz w:val="24"/>
            <w:szCs w:val="24"/>
          </w:rPr>
          <w:t>C</w:t>
        </w:r>
        <w:r w:rsidR="00BF0A93" w:rsidRPr="000611BD">
          <w:rPr>
            <w:rStyle w:val="Hipervnculo"/>
            <w:sz w:val="24"/>
            <w:szCs w:val="24"/>
          </w:rPr>
          <w:t>B117 Pastoral y Pedagogía Bíblica</w:t>
        </w:r>
      </w:hyperlink>
    </w:p>
    <w:p w14:paraId="2DD3C5AB" w14:textId="04DE50C6" w:rsidR="00BF0A93" w:rsidRDefault="00DD16F2" w:rsidP="007601EC">
      <w:pPr>
        <w:rPr>
          <w:sz w:val="24"/>
          <w:szCs w:val="24"/>
        </w:rPr>
      </w:pPr>
      <w:hyperlink w:anchor="CTX126" w:history="1">
        <w:r w:rsidR="00BF0A93" w:rsidRPr="000611BD">
          <w:rPr>
            <w:rStyle w:val="Hipervnculo"/>
            <w:sz w:val="24"/>
            <w:szCs w:val="24"/>
          </w:rPr>
          <w:t>CTX126 Teologías y Hermenéuticas Contextuales</w:t>
        </w:r>
      </w:hyperlink>
    </w:p>
    <w:p w14:paraId="49A34A05" w14:textId="77777777" w:rsidR="00433200" w:rsidRDefault="00433200" w:rsidP="007601EC">
      <w:pPr>
        <w:rPr>
          <w:sz w:val="24"/>
          <w:szCs w:val="24"/>
        </w:rPr>
      </w:pPr>
    </w:p>
    <w:p w14:paraId="42757663" w14:textId="2F4B8EC7" w:rsidR="00433200" w:rsidRDefault="00433200">
      <w:pPr>
        <w:rPr>
          <w:sz w:val="24"/>
          <w:szCs w:val="24"/>
        </w:rPr>
      </w:pPr>
      <w:r>
        <w:rPr>
          <w:sz w:val="24"/>
          <w:szCs w:val="24"/>
        </w:rPr>
        <w:br w:type="page"/>
      </w:r>
    </w:p>
    <w:p w14:paraId="22C7A926" w14:textId="77777777" w:rsidR="00D3167B" w:rsidRPr="00D3167B" w:rsidRDefault="00D3167B" w:rsidP="00D3167B">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r w:rsidRPr="00D3167B">
        <w:rPr>
          <w:rFonts w:ascii="Calibri" w:eastAsia="Times New Roman" w:hAnsi="Calibri" w:cs="Calibri"/>
          <w:noProof/>
          <w:color w:val="000000"/>
          <w:kern w:val="0"/>
          <w:sz w:val="24"/>
          <w:szCs w:val="24"/>
          <w:lang w:val="en-US" w:bidi="he-IL"/>
          <w14:ligatures w14:val="none"/>
        </w:rPr>
        <w:lastRenderedPageBreak/>
        <w:drawing>
          <wp:inline distT="0" distB="0" distL="0" distR="0" wp14:anchorId="778F27E5" wp14:editId="580F61C1">
            <wp:extent cx="2009775" cy="1548377"/>
            <wp:effectExtent l="0" t="0" r="0" b="0"/>
            <wp:docPr id="1162970250"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70250"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60B0CDCD" w14:textId="77777777" w:rsidR="00D3167B" w:rsidRPr="00D3167B" w:rsidRDefault="00D3167B" w:rsidP="00D3167B">
      <w:pPr>
        <w:keepNext/>
        <w:widowControl w:val="0"/>
        <w:overflowPunct w:val="0"/>
        <w:autoSpaceDE w:val="0"/>
        <w:autoSpaceDN w:val="0"/>
        <w:adjustRightInd w:val="0"/>
        <w:spacing w:after="0" w:line="276" w:lineRule="auto"/>
        <w:jc w:val="center"/>
        <w:outlineLvl w:val="0"/>
        <w:rPr>
          <w:rFonts w:ascii="Calibri" w:eastAsia="Times New Roman" w:hAnsi="Calibri" w:cs="Arial"/>
          <w:b/>
          <w:spacing w:val="-2"/>
          <w:kern w:val="0"/>
          <w:sz w:val="24"/>
          <w:szCs w:val="24"/>
          <w:lang w:val="en-US" w:eastAsia="es-CR"/>
          <w14:ligatures w14:val="none"/>
        </w:rPr>
      </w:pPr>
    </w:p>
    <w:p w14:paraId="79D417BF" w14:textId="77777777" w:rsidR="00D3167B" w:rsidRPr="00D3167B" w:rsidRDefault="00D3167B" w:rsidP="00D3167B">
      <w:pPr>
        <w:keepNext/>
        <w:widowControl w:val="0"/>
        <w:overflowPunct w:val="0"/>
        <w:autoSpaceDE w:val="0"/>
        <w:autoSpaceDN w:val="0"/>
        <w:adjustRightInd w:val="0"/>
        <w:spacing w:after="0" w:line="276" w:lineRule="auto"/>
        <w:jc w:val="center"/>
        <w:outlineLvl w:val="0"/>
        <w:rPr>
          <w:rFonts w:ascii="Calibri" w:eastAsia="Times New Roman" w:hAnsi="Calibri" w:cs="Arial"/>
          <w:b/>
          <w:spacing w:val="-2"/>
          <w:kern w:val="0"/>
          <w:sz w:val="24"/>
          <w:szCs w:val="24"/>
          <w:lang w:eastAsia="es-CR"/>
          <w14:ligatures w14:val="none"/>
        </w:rPr>
      </w:pPr>
      <w:r w:rsidRPr="00D3167B">
        <w:rPr>
          <w:rFonts w:ascii="Calibri" w:eastAsia="Times New Roman" w:hAnsi="Calibri" w:cs="Arial"/>
          <w:b/>
          <w:spacing w:val="-2"/>
          <w:kern w:val="0"/>
          <w:sz w:val="24"/>
          <w:szCs w:val="24"/>
          <w:lang w:eastAsia="es-CR"/>
          <w14:ligatures w14:val="none"/>
        </w:rPr>
        <w:t>Universidad Bíblica Latinoamericana</w:t>
      </w:r>
    </w:p>
    <w:p w14:paraId="589FF844" w14:textId="77777777" w:rsidR="00D3167B" w:rsidRPr="00D3167B" w:rsidRDefault="00D3167B" w:rsidP="00D3167B">
      <w:pPr>
        <w:keepNext/>
        <w:widowControl w:val="0"/>
        <w:overflowPunct w:val="0"/>
        <w:autoSpaceDE w:val="0"/>
        <w:autoSpaceDN w:val="0"/>
        <w:adjustRightInd w:val="0"/>
        <w:spacing w:after="0" w:line="276" w:lineRule="auto"/>
        <w:jc w:val="center"/>
        <w:outlineLvl w:val="1"/>
        <w:rPr>
          <w:rFonts w:ascii="Calibri" w:eastAsia="Times New Roman" w:hAnsi="Calibri" w:cs="Arial"/>
          <w:b/>
          <w:i/>
          <w:spacing w:val="-2"/>
          <w:kern w:val="28"/>
          <w:sz w:val="24"/>
          <w:szCs w:val="24"/>
          <w:lang w:eastAsia="es-CR"/>
          <w14:ligatures w14:val="none"/>
        </w:rPr>
      </w:pPr>
      <w:r w:rsidRPr="00D3167B">
        <w:rPr>
          <w:rFonts w:ascii="Calibri" w:eastAsia="Times New Roman" w:hAnsi="Calibri" w:cs="Arial"/>
          <w:b/>
          <w:i/>
          <w:spacing w:val="-2"/>
          <w:kern w:val="28"/>
          <w:sz w:val="24"/>
          <w:szCs w:val="24"/>
          <w:lang w:eastAsia="es-CR"/>
          <w14:ligatures w14:val="none"/>
        </w:rPr>
        <w:t>Facultad de Teología</w:t>
      </w:r>
    </w:p>
    <w:p w14:paraId="0C04288A" w14:textId="77777777" w:rsidR="00D3167B" w:rsidRPr="00D3167B" w:rsidRDefault="00D3167B" w:rsidP="00D3167B">
      <w:pPr>
        <w:widowControl w:val="0"/>
        <w:overflowPunct w:val="0"/>
        <w:autoSpaceDE w:val="0"/>
        <w:autoSpaceDN w:val="0"/>
        <w:adjustRightInd w:val="0"/>
        <w:spacing w:after="0" w:line="276" w:lineRule="auto"/>
        <w:jc w:val="center"/>
        <w:rPr>
          <w:rFonts w:ascii="Calibri" w:eastAsia="Times New Roman" w:hAnsi="Calibri" w:cs="Arial"/>
          <w:b/>
          <w:bCs/>
          <w:kern w:val="0"/>
          <w:sz w:val="24"/>
          <w:szCs w:val="24"/>
          <w:lang w:val="es-ES_tradnl" w:eastAsia="es-CR"/>
          <w14:ligatures w14:val="none"/>
        </w:rPr>
      </w:pPr>
      <w:r w:rsidRPr="00D3167B">
        <w:rPr>
          <w:rFonts w:ascii="Calibri" w:eastAsia="Times New Roman" w:hAnsi="Calibri" w:cs="Arial"/>
          <w:b/>
          <w:bCs/>
          <w:kern w:val="0"/>
          <w:sz w:val="24"/>
          <w:szCs w:val="20"/>
          <w:lang w:val="es-ES_tradnl" w:eastAsia="es-CR"/>
          <w14:ligatures w14:val="none"/>
        </w:rPr>
        <w:t xml:space="preserve">Bachillerato en </w:t>
      </w:r>
      <w:r w:rsidRPr="00D3167B">
        <w:rPr>
          <w:rFonts w:ascii="Calibri" w:eastAsia="Times New Roman" w:hAnsi="Calibri" w:cs="Arial"/>
          <w:b/>
          <w:bCs/>
          <w:kern w:val="0"/>
          <w:sz w:val="24"/>
          <w:szCs w:val="24"/>
          <w:lang w:val="es-ES_tradnl" w:eastAsia="es-CR"/>
          <w14:ligatures w14:val="none"/>
        </w:rPr>
        <w:t>Ciencias Bíblicas</w:t>
      </w:r>
    </w:p>
    <w:p w14:paraId="1693F5D3" w14:textId="77777777" w:rsidR="00D3167B" w:rsidRPr="00D3167B" w:rsidRDefault="00D3167B" w:rsidP="00D3167B">
      <w:pPr>
        <w:widowControl w:val="0"/>
        <w:overflowPunct w:val="0"/>
        <w:autoSpaceDE w:val="0"/>
        <w:autoSpaceDN w:val="0"/>
        <w:adjustRightInd w:val="0"/>
        <w:spacing w:after="0" w:line="276" w:lineRule="auto"/>
        <w:jc w:val="center"/>
        <w:rPr>
          <w:rFonts w:ascii="Calibri" w:eastAsia="Times New Roman" w:hAnsi="Calibri" w:cs="Arial"/>
          <w:b/>
          <w:kern w:val="0"/>
          <w:sz w:val="24"/>
          <w:szCs w:val="24"/>
          <w:lang w:val="es-ES_tradnl" w:eastAsia="es-CR"/>
          <w14:ligatures w14:val="none"/>
        </w:rPr>
      </w:pPr>
    </w:p>
    <w:p w14:paraId="454A6243" w14:textId="77777777" w:rsidR="00D3167B" w:rsidRPr="00D3167B" w:rsidRDefault="00D3167B" w:rsidP="00D3167B">
      <w:pPr>
        <w:widowControl w:val="0"/>
        <w:overflowPunct w:val="0"/>
        <w:autoSpaceDE w:val="0"/>
        <w:autoSpaceDN w:val="0"/>
        <w:adjustRightInd w:val="0"/>
        <w:spacing w:after="0" w:line="276" w:lineRule="auto"/>
        <w:jc w:val="center"/>
        <w:rPr>
          <w:rFonts w:ascii="Calibri" w:eastAsia="Times New Roman" w:hAnsi="Calibri" w:cs="Arial"/>
          <w:b/>
          <w:kern w:val="0"/>
          <w:sz w:val="24"/>
          <w:szCs w:val="24"/>
          <w:lang w:val="es-ES_tradnl" w:eastAsia="es-CR"/>
          <w14:ligatures w14:val="none"/>
        </w:rPr>
      </w:pPr>
      <w:r w:rsidRPr="00D3167B">
        <w:rPr>
          <w:rFonts w:ascii="Calibri" w:eastAsia="Times New Roman" w:hAnsi="Calibri" w:cs="Arial"/>
          <w:b/>
          <w:kern w:val="0"/>
          <w:sz w:val="24"/>
          <w:szCs w:val="24"/>
          <w:lang w:val="es-ES_tradnl" w:eastAsia="es-CR"/>
          <w14:ligatures w14:val="none"/>
        </w:rPr>
        <w:t>Sílabo</w:t>
      </w:r>
    </w:p>
    <w:p w14:paraId="51A89089" w14:textId="77777777" w:rsidR="00D3167B" w:rsidRPr="00D3167B" w:rsidRDefault="00D3167B" w:rsidP="00D3167B">
      <w:pPr>
        <w:keepNext/>
        <w:widowControl w:val="0"/>
        <w:overflowPunct w:val="0"/>
        <w:autoSpaceDE w:val="0"/>
        <w:autoSpaceDN w:val="0"/>
        <w:adjustRightInd w:val="0"/>
        <w:spacing w:after="0" w:line="276" w:lineRule="auto"/>
        <w:jc w:val="center"/>
        <w:outlineLvl w:val="0"/>
        <w:rPr>
          <w:rFonts w:ascii="Calibri" w:eastAsia="Times New Roman" w:hAnsi="Calibri" w:cs="Arial"/>
          <w:b/>
          <w:spacing w:val="-2"/>
          <w:kern w:val="0"/>
          <w:sz w:val="24"/>
          <w:szCs w:val="24"/>
          <w:lang w:val="es-ES_tradnl" w:eastAsia="es-CR"/>
          <w14:ligatures w14:val="none"/>
        </w:rPr>
      </w:pPr>
      <w:bookmarkStart w:id="61" w:name="CB115"/>
      <w:r w:rsidRPr="00D3167B">
        <w:rPr>
          <w:rFonts w:ascii="Calibri" w:eastAsia="Times New Roman" w:hAnsi="Calibri" w:cs="Arial"/>
          <w:b/>
          <w:spacing w:val="-2"/>
          <w:kern w:val="0"/>
          <w:sz w:val="24"/>
          <w:szCs w:val="24"/>
          <w:lang w:val="es-ES_tradnl" w:eastAsia="es-CR"/>
          <w14:ligatures w14:val="none"/>
        </w:rPr>
        <w:t>Seminario en Biblia I</w:t>
      </w:r>
    </w:p>
    <w:bookmarkEnd w:id="61"/>
    <w:p w14:paraId="4ABDBCB3" w14:textId="77777777" w:rsidR="00D3167B" w:rsidRPr="00D3167B" w:rsidRDefault="00D3167B" w:rsidP="00D3167B">
      <w:pPr>
        <w:widowControl w:val="0"/>
        <w:overflowPunct w:val="0"/>
        <w:autoSpaceDE w:val="0"/>
        <w:autoSpaceDN w:val="0"/>
        <w:adjustRightInd w:val="0"/>
        <w:spacing w:before="120" w:after="120" w:line="240" w:lineRule="auto"/>
        <w:jc w:val="center"/>
        <w:rPr>
          <w:rFonts w:ascii="Times New Roman" w:eastAsia="Times New Roman" w:hAnsi="Times New Roman" w:cs="Times New Roman"/>
          <w:kern w:val="0"/>
          <w:sz w:val="24"/>
          <w:szCs w:val="20"/>
          <w:lang w:val="es-ES_tradnl" w:eastAsia="es-CR"/>
          <w14:ligatures w14:val="none"/>
        </w:rPr>
      </w:pPr>
    </w:p>
    <w:tbl>
      <w:tblPr>
        <w:tblStyle w:val="Tablaconcuadrcula"/>
        <w:tblW w:w="0" w:type="auto"/>
        <w:tblLook w:val="04A0" w:firstRow="1" w:lastRow="0" w:firstColumn="1" w:lastColumn="0" w:noHBand="0" w:noVBand="1"/>
      </w:tblPr>
      <w:tblGrid>
        <w:gridCol w:w="1666"/>
        <w:gridCol w:w="7162"/>
      </w:tblGrid>
      <w:tr w:rsidR="00D3167B" w:rsidRPr="00D3167B" w14:paraId="1A55F1BC" w14:textId="77777777" w:rsidTr="00104785">
        <w:tc>
          <w:tcPr>
            <w:tcW w:w="1668" w:type="dxa"/>
          </w:tcPr>
          <w:p w14:paraId="6BFCEC33" w14:textId="77777777" w:rsidR="00D3167B" w:rsidRPr="00D3167B" w:rsidRDefault="00D3167B" w:rsidP="00D3167B">
            <w:pPr>
              <w:widowControl w:val="0"/>
              <w:overflowPunct w:val="0"/>
              <w:autoSpaceDE w:val="0"/>
              <w:autoSpaceDN w:val="0"/>
              <w:adjustRightInd w:val="0"/>
              <w:rPr>
                <w:rFonts w:ascii="Calibri" w:eastAsia="Times New Roman" w:hAnsi="Calibri" w:cs="Calibri"/>
                <w:b/>
                <w:color w:val="000000"/>
                <w:lang w:eastAsia="es-CR"/>
              </w:rPr>
            </w:pPr>
            <w:r w:rsidRPr="00D3167B">
              <w:rPr>
                <w:rFonts w:ascii="Calibri" w:eastAsia="Times New Roman" w:hAnsi="Calibri" w:cs="Calibri"/>
                <w:b/>
                <w:color w:val="000000"/>
                <w:lang w:eastAsia="es-CR"/>
              </w:rPr>
              <w:t>Código</w:t>
            </w:r>
          </w:p>
        </w:tc>
        <w:tc>
          <w:tcPr>
            <w:tcW w:w="7386" w:type="dxa"/>
          </w:tcPr>
          <w:p w14:paraId="60FE642D" w14:textId="77777777" w:rsidR="00D3167B" w:rsidRPr="00D3167B" w:rsidRDefault="00D3167B" w:rsidP="00D3167B">
            <w:pPr>
              <w:widowControl w:val="0"/>
              <w:overflowPunct w:val="0"/>
              <w:autoSpaceDE w:val="0"/>
              <w:autoSpaceDN w:val="0"/>
              <w:adjustRightInd w:val="0"/>
              <w:rPr>
                <w:rFonts w:ascii="Calibri" w:eastAsia="Times New Roman" w:hAnsi="Calibri" w:cs="Calibri"/>
                <w:color w:val="000000"/>
                <w:lang w:eastAsia="es-CR"/>
              </w:rPr>
            </w:pPr>
            <w:r w:rsidRPr="00D3167B">
              <w:rPr>
                <w:rFonts w:ascii="Calibri" w:eastAsia="Times New Roman" w:hAnsi="Calibri" w:cs="Calibri"/>
                <w:color w:val="000000"/>
                <w:lang w:eastAsia="es-CR"/>
              </w:rPr>
              <w:t>CB 115</w:t>
            </w:r>
          </w:p>
        </w:tc>
      </w:tr>
      <w:tr w:rsidR="00D3167B" w:rsidRPr="00D3167B" w14:paraId="59FF879E" w14:textId="77777777" w:rsidTr="00104785">
        <w:tc>
          <w:tcPr>
            <w:tcW w:w="1668" w:type="dxa"/>
          </w:tcPr>
          <w:p w14:paraId="6E277589" w14:textId="77777777" w:rsidR="00D3167B" w:rsidRPr="00D3167B" w:rsidRDefault="00D3167B" w:rsidP="00D3167B">
            <w:pPr>
              <w:widowControl w:val="0"/>
              <w:overflowPunct w:val="0"/>
              <w:autoSpaceDE w:val="0"/>
              <w:autoSpaceDN w:val="0"/>
              <w:adjustRightInd w:val="0"/>
              <w:rPr>
                <w:rFonts w:ascii="Calibri" w:eastAsia="Times New Roman" w:hAnsi="Calibri" w:cs="Calibri"/>
                <w:b/>
                <w:color w:val="000000"/>
                <w:lang w:eastAsia="es-CR"/>
              </w:rPr>
            </w:pPr>
            <w:r w:rsidRPr="00D3167B">
              <w:rPr>
                <w:rFonts w:ascii="Calibri" w:eastAsia="Times New Roman" w:hAnsi="Calibri" w:cs="Calibri"/>
                <w:b/>
                <w:color w:val="000000"/>
                <w:lang w:eastAsia="es-CR"/>
              </w:rPr>
              <w:t>Créditos</w:t>
            </w:r>
          </w:p>
        </w:tc>
        <w:tc>
          <w:tcPr>
            <w:tcW w:w="7386" w:type="dxa"/>
          </w:tcPr>
          <w:p w14:paraId="7AD50A78" w14:textId="77777777" w:rsidR="00D3167B" w:rsidRPr="00D3167B" w:rsidRDefault="00D3167B" w:rsidP="00D3167B">
            <w:pPr>
              <w:widowControl w:val="0"/>
              <w:overflowPunct w:val="0"/>
              <w:autoSpaceDE w:val="0"/>
              <w:autoSpaceDN w:val="0"/>
              <w:adjustRightInd w:val="0"/>
              <w:rPr>
                <w:rFonts w:ascii="Calibri" w:eastAsia="Times New Roman" w:hAnsi="Calibri" w:cs="Calibri"/>
                <w:color w:val="000000"/>
                <w:lang w:eastAsia="es-CR"/>
              </w:rPr>
            </w:pPr>
            <w:r w:rsidRPr="00D3167B">
              <w:rPr>
                <w:rFonts w:ascii="Calibri" w:eastAsia="Times New Roman" w:hAnsi="Calibri" w:cs="Calibri"/>
                <w:color w:val="000000"/>
                <w:lang w:eastAsia="es-CR"/>
              </w:rPr>
              <w:t>4</w:t>
            </w:r>
          </w:p>
        </w:tc>
      </w:tr>
      <w:tr w:rsidR="00D3167B" w:rsidRPr="00D3167B" w14:paraId="08A05E76" w14:textId="77777777" w:rsidTr="00104785">
        <w:tc>
          <w:tcPr>
            <w:tcW w:w="1668" w:type="dxa"/>
          </w:tcPr>
          <w:p w14:paraId="3B029323" w14:textId="77777777" w:rsidR="00D3167B" w:rsidRPr="00D3167B" w:rsidRDefault="00D3167B" w:rsidP="00D3167B">
            <w:pPr>
              <w:widowControl w:val="0"/>
              <w:overflowPunct w:val="0"/>
              <w:autoSpaceDE w:val="0"/>
              <w:autoSpaceDN w:val="0"/>
              <w:adjustRightInd w:val="0"/>
              <w:rPr>
                <w:rFonts w:ascii="Calibri" w:eastAsia="Times New Roman" w:hAnsi="Calibri" w:cs="Calibri"/>
                <w:b/>
                <w:color w:val="000000"/>
                <w:lang w:eastAsia="es-CR"/>
              </w:rPr>
            </w:pPr>
            <w:r w:rsidRPr="00D3167B">
              <w:rPr>
                <w:rFonts w:ascii="Calibri" w:eastAsia="Times New Roman" w:hAnsi="Calibri" w:cs="Calibri"/>
                <w:b/>
                <w:color w:val="000000"/>
                <w:lang w:eastAsia="es-CR"/>
              </w:rPr>
              <w:t>Requisitos</w:t>
            </w:r>
          </w:p>
        </w:tc>
        <w:tc>
          <w:tcPr>
            <w:tcW w:w="7386" w:type="dxa"/>
          </w:tcPr>
          <w:p w14:paraId="6CD37E47" w14:textId="77777777" w:rsidR="00D3167B" w:rsidRPr="00D3167B" w:rsidRDefault="00D3167B" w:rsidP="00D3167B">
            <w:pPr>
              <w:widowControl w:val="0"/>
              <w:overflowPunct w:val="0"/>
              <w:autoSpaceDE w:val="0"/>
              <w:autoSpaceDN w:val="0"/>
              <w:adjustRightInd w:val="0"/>
              <w:rPr>
                <w:rFonts w:ascii="Calibri" w:eastAsia="Times New Roman" w:hAnsi="Calibri" w:cs="Calibri"/>
                <w:color w:val="000000"/>
                <w:lang w:eastAsia="es-CR"/>
              </w:rPr>
            </w:pPr>
            <w:r w:rsidRPr="00D3167B">
              <w:rPr>
                <w:rFonts w:ascii="Calibri" w:eastAsia="Times New Roman" w:hAnsi="Calibri" w:cs="Calibri"/>
                <w:color w:val="000000"/>
                <w:lang w:eastAsia="es-CR"/>
              </w:rPr>
              <w:t>CBX 108 y CBX 113</w:t>
            </w:r>
          </w:p>
        </w:tc>
      </w:tr>
      <w:tr w:rsidR="00D3167B" w:rsidRPr="00D3167B" w14:paraId="17A9B03F" w14:textId="77777777" w:rsidTr="00104785">
        <w:tc>
          <w:tcPr>
            <w:tcW w:w="1668" w:type="dxa"/>
          </w:tcPr>
          <w:p w14:paraId="0B54814E" w14:textId="77777777" w:rsidR="00D3167B" w:rsidRPr="00D3167B" w:rsidRDefault="00D3167B" w:rsidP="00D3167B">
            <w:pPr>
              <w:widowControl w:val="0"/>
              <w:overflowPunct w:val="0"/>
              <w:autoSpaceDE w:val="0"/>
              <w:autoSpaceDN w:val="0"/>
              <w:adjustRightInd w:val="0"/>
              <w:rPr>
                <w:rFonts w:ascii="Calibri" w:eastAsia="Times New Roman" w:hAnsi="Calibri" w:cs="Calibri"/>
                <w:b/>
                <w:color w:val="000000"/>
                <w:lang w:eastAsia="es-CR"/>
              </w:rPr>
            </w:pPr>
            <w:r w:rsidRPr="00D3167B">
              <w:rPr>
                <w:rFonts w:ascii="Calibri" w:eastAsia="Times New Roman" w:hAnsi="Calibri" w:cs="Calibri"/>
                <w:b/>
                <w:color w:val="000000"/>
                <w:lang w:eastAsia="es-CR"/>
              </w:rPr>
              <w:t>Modalidad</w:t>
            </w:r>
          </w:p>
        </w:tc>
        <w:tc>
          <w:tcPr>
            <w:tcW w:w="7386" w:type="dxa"/>
          </w:tcPr>
          <w:p w14:paraId="43F135CC" w14:textId="77777777" w:rsidR="00D3167B" w:rsidRPr="00D3167B" w:rsidRDefault="00D3167B" w:rsidP="00D3167B">
            <w:pPr>
              <w:widowControl w:val="0"/>
              <w:overflowPunct w:val="0"/>
              <w:autoSpaceDE w:val="0"/>
              <w:autoSpaceDN w:val="0"/>
              <w:adjustRightInd w:val="0"/>
              <w:rPr>
                <w:rFonts w:ascii="Calibri" w:eastAsia="Times New Roman" w:hAnsi="Calibri" w:cs="Calibri"/>
                <w:color w:val="000000"/>
                <w:lang w:eastAsia="es-CR"/>
              </w:rPr>
            </w:pPr>
            <w:r w:rsidRPr="00D3167B">
              <w:rPr>
                <w:rFonts w:ascii="Calibri" w:eastAsia="Times New Roman" w:hAnsi="Calibri" w:cs="Calibri"/>
                <w:color w:val="000000"/>
                <w:lang w:eastAsia="es-CR"/>
              </w:rPr>
              <w:t>Virtual</w:t>
            </w:r>
          </w:p>
        </w:tc>
      </w:tr>
      <w:tr w:rsidR="00D3167B" w:rsidRPr="00D3167B" w14:paraId="5D023D44" w14:textId="77777777" w:rsidTr="00104785">
        <w:tc>
          <w:tcPr>
            <w:tcW w:w="1668" w:type="dxa"/>
          </w:tcPr>
          <w:p w14:paraId="63DB3242" w14:textId="77777777" w:rsidR="00D3167B" w:rsidRPr="00D3167B" w:rsidRDefault="00D3167B" w:rsidP="00D3167B">
            <w:pPr>
              <w:widowControl w:val="0"/>
              <w:overflowPunct w:val="0"/>
              <w:autoSpaceDE w:val="0"/>
              <w:autoSpaceDN w:val="0"/>
              <w:adjustRightInd w:val="0"/>
              <w:rPr>
                <w:rFonts w:ascii="Calibri" w:eastAsia="Times New Roman" w:hAnsi="Calibri" w:cs="Calibri"/>
                <w:b/>
                <w:color w:val="000000"/>
                <w:lang w:eastAsia="es-CR"/>
              </w:rPr>
            </w:pPr>
            <w:r w:rsidRPr="00D3167B">
              <w:rPr>
                <w:rFonts w:ascii="Calibri" w:eastAsia="Times New Roman" w:hAnsi="Calibri" w:cs="Calibri"/>
                <w:b/>
                <w:color w:val="000000"/>
                <w:lang w:eastAsia="es-CR"/>
              </w:rPr>
              <w:t>Naturaleza</w:t>
            </w:r>
          </w:p>
        </w:tc>
        <w:tc>
          <w:tcPr>
            <w:tcW w:w="7386" w:type="dxa"/>
          </w:tcPr>
          <w:p w14:paraId="6B23F1DB" w14:textId="77777777" w:rsidR="00D3167B" w:rsidRPr="00D3167B" w:rsidRDefault="00D3167B" w:rsidP="00D3167B">
            <w:pPr>
              <w:widowControl w:val="0"/>
              <w:overflowPunct w:val="0"/>
              <w:autoSpaceDE w:val="0"/>
              <w:autoSpaceDN w:val="0"/>
              <w:adjustRightInd w:val="0"/>
              <w:rPr>
                <w:rFonts w:ascii="Calibri" w:eastAsia="Times New Roman" w:hAnsi="Calibri" w:cs="Calibri"/>
                <w:color w:val="000000"/>
                <w:lang w:eastAsia="es-CR"/>
              </w:rPr>
            </w:pPr>
            <w:r w:rsidRPr="00D3167B">
              <w:rPr>
                <w:rFonts w:ascii="Calibri" w:eastAsia="Times New Roman" w:hAnsi="Calibri" w:cs="Calibri"/>
                <w:color w:val="000000"/>
                <w:lang w:eastAsia="es-CR"/>
              </w:rPr>
              <w:t>Teórico-práctico</w:t>
            </w:r>
          </w:p>
        </w:tc>
      </w:tr>
      <w:tr w:rsidR="00D3167B" w:rsidRPr="00D3167B" w14:paraId="7DBA62C5" w14:textId="77777777" w:rsidTr="00104785">
        <w:tc>
          <w:tcPr>
            <w:tcW w:w="1668" w:type="dxa"/>
          </w:tcPr>
          <w:p w14:paraId="39F54A52" w14:textId="77777777" w:rsidR="00D3167B" w:rsidRPr="00D3167B" w:rsidRDefault="00D3167B" w:rsidP="00D3167B">
            <w:pPr>
              <w:widowControl w:val="0"/>
              <w:overflowPunct w:val="0"/>
              <w:autoSpaceDE w:val="0"/>
              <w:autoSpaceDN w:val="0"/>
              <w:adjustRightInd w:val="0"/>
              <w:rPr>
                <w:rFonts w:ascii="Calibri" w:eastAsia="Times New Roman" w:hAnsi="Calibri" w:cs="Calibri"/>
                <w:b/>
                <w:color w:val="000000"/>
                <w:lang w:eastAsia="es-CR"/>
              </w:rPr>
            </w:pPr>
            <w:r w:rsidRPr="00D3167B">
              <w:rPr>
                <w:rFonts w:ascii="Calibri" w:eastAsia="Times New Roman" w:hAnsi="Calibri" w:cs="Calibri"/>
                <w:b/>
                <w:color w:val="000000"/>
                <w:lang w:eastAsia="es-CR"/>
              </w:rPr>
              <w:t>Periodo</w:t>
            </w:r>
          </w:p>
        </w:tc>
        <w:tc>
          <w:tcPr>
            <w:tcW w:w="7386" w:type="dxa"/>
          </w:tcPr>
          <w:p w14:paraId="123105DB" w14:textId="77777777" w:rsidR="00D3167B" w:rsidRPr="00D3167B" w:rsidRDefault="00D3167B" w:rsidP="00D3167B">
            <w:pPr>
              <w:widowControl w:val="0"/>
              <w:overflowPunct w:val="0"/>
              <w:autoSpaceDE w:val="0"/>
              <w:autoSpaceDN w:val="0"/>
              <w:adjustRightInd w:val="0"/>
              <w:rPr>
                <w:rFonts w:ascii="Calibri" w:eastAsia="Times New Roman" w:hAnsi="Calibri" w:cs="Calibri"/>
                <w:color w:val="000000"/>
                <w:lang w:eastAsia="es-CR"/>
              </w:rPr>
            </w:pPr>
            <w:r w:rsidRPr="00D3167B">
              <w:rPr>
                <w:rFonts w:ascii="Calibri" w:eastAsia="Times New Roman" w:hAnsi="Calibri" w:cs="Calibri"/>
                <w:color w:val="000000"/>
                <w:lang w:eastAsia="es-CR"/>
              </w:rPr>
              <w:t>Cuatrimestral (15 semanas lectivas)</w:t>
            </w:r>
          </w:p>
        </w:tc>
      </w:tr>
      <w:tr w:rsidR="00D3167B" w:rsidRPr="00D3167B" w14:paraId="64203452" w14:textId="77777777" w:rsidTr="00104785">
        <w:tc>
          <w:tcPr>
            <w:tcW w:w="1668" w:type="dxa"/>
          </w:tcPr>
          <w:p w14:paraId="726C12F4" w14:textId="77777777" w:rsidR="00D3167B" w:rsidRPr="00D3167B" w:rsidRDefault="00D3167B" w:rsidP="00D3167B">
            <w:pPr>
              <w:widowControl w:val="0"/>
              <w:overflowPunct w:val="0"/>
              <w:autoSpaceDE w:val="0"/>
              <w:autoSpaceDN w:val="0"/>
              <w:adjustRightInd w:val="0"/>
              <w:rPr>
                <w:rFonts w:ascii="Calibri" w:eastAsia="Times New Roman" w:hAnsi="Calibri" w:cs="Calibri"/>
                <w:b/>
                <w:color w:val="000000"/>
                <w:lang w:eastAsia="es-CR"/>
              </w:rPr>
            </w:pPr>
            <w:r w:rsidRPr="00D3167B">
              <w:rPr>
                <w:rFonts w:ascii="Calibri" w:eastAsia="Times New Roman" w:hAnsi="Calibri" w:cs="Calibri"/>
                <w:b/>
                <w:color w:val="000000"/>
                <w:lang w:eastAsia="es-CR"/>
              </w:rPr>
              <w:t>Nivel</w:t>
            </w:r>
          </w:p>
        </w:tc>
        <w:tc>
          <w:tcPr>
            <w:tcW w:w="7386" w:type="dxa"/>
          </w:tcPr>
          <w:p w14:paraId="3720105B" w14:textId="77777777" w:rsidR="00D3167B" w:rsidRPr="00D3167B" w:rsidRDefault="00D3167B" w:rsidP="00D3167B">
            <w:pPr>
              <w:widowControl w:val="0"/>
              <w:overflowPunct w:val="0"/>
              <w:autoSpaceDE w:val="0"/>
              <w:autoSpaceDN w:val="0"/>
              <w:adjustRightInd w:val="0"/>
              <w:rPr>
                <w:rFonts w:ascii="Calibri" w:eastAsia="Times New Roman" w:hAnsi="Calibri" w:cs="Calibri"/>
                <w:color w:val="000000"/>
                <w:lang w:eastAsia="es-CR"/>
              </w:rPr>
            </w:pPr>
            <w:r w:rsidRPr="00D3167B">
              <w:rPr>
                <w:rFonts w:ascii="Calibri" w:eastAsia="Times New Roman" w:hAnsi="Calibri" w:cs="Calibri"/>
                <w:color w:val="000000"/>
                <w:lang w:eastAsia="es-CR"/>
              </w:rPr>
              <w:t>VIII Cuatrimestre</w:t>
            </w:r>
          </w:p>
        </w:tc>
      </w:tr>
      <w:tr w:rsidR="00D3167B" w:rsidRPr="00D3167B" w14:paraId="76ADA995" w14:textId="77777777" w:rsidTr="00104785">
        <w:tc>
          <w:tcPr>
            <w:tcW w:w="1668" w:type="dxa"/>
          </w:tcPr>
          <w:p w14:paraId="42840FA5" w14:textId="77777777" w:rsidR="00D3167B" w:rsidRPr="00D3167B" w:rsidRDefault="00D3167B" w:rsidP="00D3167B">
            <w:pPr>
              <w:widowControl w:val="0"/>
              <w:overflowPunct w:val="0"/>
              <w:autoSpaceDE w:val="0"/>
              <w:autoSpaceDN w:val="0"/>
              <w:adjustRightInd w:val="0"/>
              <w:rPr>
                <w:rFonts w:ascii="Calibri" w:eastAsia="Times New Roman" w:hAnsi="Calibri" w:cs="Calibri"/>
                <w:b/>
                <w:color w:val="000000"/>
                <w:lang w:eastAsia="es-CR"/>
              </w:rPr>
            </w:pPr>
            <w:r w:rsidRPr="00D3167B">
              <w:rPr>
                <w:rFonts w:ascii="Calibri" w:eastAsia="Times New Roman" w:hAnsi="Calibri" w:cs="Calibri"/>
                <w:b/>
                <w:color w:val="000000"/>
                <w:lang w:eastAsia="es-CR"/>
              </w:rPr>
              <w:t>Horario</w:t>
            </w:r>
          </w:p>
        </w:tc>
        <w:tc>
          <w:tcPr>
            <w:tcW w:w="7386" w:type="dxa"/>
          </w:tcPr>
          <w:p w14:paraId="5F590F52" w14:textId="77777777" w:rsidR="00D3167B" w:rsidRPr="00D3167B" w:rsidRDefault="00D3167B" w:rsidP="00D3167B">
            <w:pPr>
              <w:widowControl w:val="0"/>
              <w:overflowPunct w:val="0"/>
              <w:autoSpaceDE w:val="0"/>
              <w:autoSpaceDN w:val="0"/>
              <w:adjustRightInd w:val="0"/>
              <w:rPr>
                <w:rFonts w:ascii="Calibri" w:eastAsia="Times New Roman" w:hAnsi="Calibri" w:cs="Calibri"/>
                <w:color w:val="000000"/>
                <w:lang w:eastAsia="es-CR"/>
              </w:rPr>
            </w:pPr>
            <w:r w:rsidRPr="00D3167B">
              <w:rPr>
                <w:rFonts w:ascii="Calibri" w:eastAsia="Times New Roman" w:hAnsi="Calibri" w:cs="Calibri"/>
                <w:color w:val="000000"/>
                <w:lang w:eastAsia="es-CR"/>
              </w:rPr>
              <w:t>El curso requiere de 12 horas de trabajo semanal</w:t>
            </w:r>
          </w:p>
        </w:tc>
      </w:tr>
      <w:tr w:rsidR="00D3167B" w:rsidRPr="00D3167B" w14:paraId="3A6017FE" w14:textId="77777777" w:rsidTr="00104785">
        <w:tc>
          <w:tcPr>
            <w:tcW w:w="1668" w:type="dxa"/>
          </w:tcPr>
          <w:p w14:paraId="7F4FAF70" w14:textId="77777777" w:rsidR="00D3167B" w:rsidRPr="00D3167B" w:rsidRDefault="00D3167B" w:rsidP="00D3167B">
            <w:pPr>
              <w:widowControl w:val="0"/>
              <w:overflowPunct w:val="0"/>
              <w:autoSpaceDE w:val="0"/>
              <w:autoSpaceDN w:val="0"/>
              <w:adjustRightInd w:val="0"/>
              <w:rPr>
                <w:rFonts w:ascii="Calibri" w:eastAsia="Times New Roman" w:hAnsi="Calibri" w:cs="Calibri"/>
                <w:b/>
                <w:color w:val="000000"/>
                <w:lang w:eastAsia="es-CR"/>
              </w:rPr>
            </w:pPr>
            <w:r w:rsidRPr="00D3167B">
              <w:rPr>
                <w:rFonts w:ascii="Calibri" w:eastAsia="Times New Roman" w:hAnsi="Calibri" w:cs="Calibri"/>
                <w:b/>
                <w:color w:val="000000"/>
                <w:lang w:eastAsia="es-CR"/>
              </w:rPr>
              <w:t>Aula</w:t>
            </w:r>
          </w:p>
        </w:tc>
        <w:tc>
          <w:tcPr>
            <w:tcW w:w="7386" w:type="dxa"/>
          </w:tcPr>
          <w:p w14:paraId="2F0A54B3" w14:textId="77777777" w:rsidR="00D3167B" w:rsidRPr="00D3167B" w:rsidRDefault="00D3167B" w:rsidP="00D3167B">
            <w:pPr>
              <w:widowControl w:val="0"/>
              <w:overflowPunct w:val="0"/>
              <w:autoSpaceDE w:val="0"/>
              <w:autoSpaceDN w:val="0"/>
              <w:adjustRightInd w:val="0"/>
              <w:rPr>
                <w:rFonts w:ascii="Calibri" w:eastAsia="Times New Roman" w:hAnsi="Calibri" w:cs="Calibri"/>
                <w:color w:val="000000"/>
                <w:lang w:eastAsia="es-CR"/>
              </w:rPr>
            </w:pPr>
            <w:r w:rsidRPr="00D3167B">
              <w:rPr>
                <w:rFonts w:ascii="Calibri" w:eastAsia="Times New Roman" w:hAnsi="Calibri" w:cs="Calibri"/>
                <w:color w:val="000000"/>
                <w:lang w:eastAsia="es-CR"/>
              </w:rPr>
              <w:t>Plataforma virtual de la UBL</w:t>
            </w:r>
          </w:p>
        </w:tc>
      </w:tr>
      <w:tr w:rsidR="00D3167B" w:rsidRPr="00D3167B" w14:paraId="083D9C9F" w14:textId="77777777" w:rsidTr="00104785">
        <w:tc>
          <w:tcPr>
            <w:tcW w:w="1668" w:type="dxa"/>
          </w:tcPr>
          <w:p w14:paraId="13853142" w14:textId="77777777" w:rsidR="00D3167B" w:rsidRPr="00D3167B" w:rsidRDefault="00D3167B" w:rsidP="00D3167B">
            <w:pPr>
              <w:widowControl w:val="0"/>
              <w:overflowPunct w:val="0"/>
              <w:autoSpaceDE w:val="0"/>
              <w:autoSpaceDN w:val="0"/>
              <w:adjustRightInd w:val="0"/>
              <w:rPr>
                <w:rFonts w:ascii="Calibri" w:eastAsia="Times New Roman" w:hAnsi="Calibri" w:cs="Calibri"/>
                <w:b/>
                <w:color w:val="000000"/>
                <w:lang w:eastAsia="es-CR"/>
              </w:rPr>
            </w:pPr>
            <w:r w:rsidRPr="00D3167B">
              <w:rPr>
                <w:rFonts w:ascii="Calibri" w:eastAsia="Times New Roman" w:hAnsi="Calibri" w:cs="Calibri"/>
                <w:b/>
                <w:color w:val="000000"/>
                <w:lang w:eastAsia="es-CR"/>
              </w:rPr>
              <w:t>Docente</w:t>
            </w:r>
          </w:p>
        </w:tc>
        <w:tc>
          <w:tcPr>
            <w:tcW w:w="7386" w:type="dxa"/>
          </w:tcPr>
          <w:p w14:paraId="77BF7D7A" w14:textId="77777777" w:rsidR="00D3167B" w:rsidRPr="00D3167B" w:rsidRDefault="00D3167B" w:rsidP="00D3167B">
            <w:pPr>
              <w:widowControl w:val="0"/>
              <w:overflowPunct w:val="0"/>
              <w:autoSpaceDE w:val="0"/>
              <w:autoSpaceDN w:val="0"/>
              <w:adjustRightInd w:val="0"/>
              <w:rPr>
                <w:rFonts w:ascii="Calibri" w:eastAsia="Times New Roman" w:hAnsi="Calibri" w:cs="Calibri"/>
                <w:color w:val="000000"/>
                <w:lang w:eastAsia="es-CR"/>
              </w:rPr>
            </w:pPr>
          </w:p>
        </w:tc>
      </w:tr>
      <w:tr w:rsidR="00D3167B" w:rsidRPr="00D3167B" w14:paraId="77946F25" w14:textId="77777777" w:rsidTr="00104785">
        <w:tc>
          <w:tcPr>
            <w:tcW w:w="1668" w:type="dxa"/>
            <w:vAlign w:val="center"/>
          </w:tcPr>
          <w:p w14:paraId="3EAE376F" w14:textId="77777777" w:rsidR="00D3167B" w:rsidRPr="00D3167B" w:rsidRDefault="00D3167B" w:rsidP="00D3167B">
            <w:pPr>
              <w:widowControl w:val="0"/>
              <w:overflowPunct w:val="0"/>
              <w:autoSpaceDE w:val="0"/>
              <w:autoSpaceDN w:val="0"/>
              <w:adjustRightInd w:val="0"/>
              <w:rPr>
                <w:rFonts w:ascii="Calibri" w:eastAsia="Times New Roman" w:hAnsi="Calibri" w:cs="Calibri"/>
                <w:color w:val="000000"/>
                <w:lang w:eastAsia="es-CR"/>
              </w:rPr>
            </w:pPr>
            <w:r w:rsidRPr="00D3167B">
              <w:rPr>
                <w:rFonts w:ascii="Calibri" w:eastAsia="Times New Roman" w:hAnsi="Calibri" w:cs="Calibri"/>
                <w:b/>
                <w:color w:val="000000"/>
                <w:lang w:eastAsia="es-CR"/>
              </w:rPr>
              <w:t>Instrucciones administrativas</w:t>
            </w:r>
          </w:p>
        </w:tc>
        <w:tc>
          <w:tcPr>
            <w:tcW w:w="7386" w:type="dxa"/>
          </w:tcPr>
          <w:p w14:paraId="3C917597" w14:textId="77777777" w:rsidR="00D3167B" w:rsidRPr="00D3167B" w:rsidRDefault="00D3167B" w:rsidP="00D3167B">
            <w:pPr>
              <w:widowControl w:val="0"/>
              <w:overflowPunct w:val="0"/>
              <w:autoSpaceDE w:val="0"/>
              <w:autoSpaceDN w:val="0"/>
              <w:adjustRightInd w:val="0"/>
              <w:jc w:val="both"/>
              <w:rPr>
                <w:rFonts w:ascii="Calibri" w:eastAsia="Times New Roman" w:hAnsi="Calibri" w:cs="Calibri"/>
                <w:lang w:eastAsia="es-CR"/>
              </w:rPr>
            </w:pPr>
            <w:r w:rsidRPr="00D3167B">
              <w:rPr>
                <w:rFonts w:ascii="Calibri" w:eastAsia="Times New Roman" w:hAnsi="Calibri" w:cs="Calibri"/>
                <w:color w:val="000000"/>
                <w:lang w:eastAsia="es-CR"/>
              </w:rPr>
              <w:t xml:space="preserve">El curso es virtual, por lo que se requiere de acceso a una computadora con conexión a Internet, además de destrezas básicas para el manejo de correo electrónico y la plataforma Moodle desde el rol de estudiante. Por su naturaleza teórico-práctica en este curso se debe invertir 2 horas semanales en trabajos prácticos. </w:t>
            </w:r>
            <w:r w:rsidRPr="00D3167B">
              <w:rPr>
                <w:rFonts w:ascii="Calibri" w:eastAsia="Times New Roman" w:hAnsi="Calibri" w:cs="Calibri"/>
                <w:lang w:eastAsia="es-CR"/>
              </w:rPr>
              <w:t>La dirección de acceso a la plataforma es la siguiente:</w:t>
            </w:r>
          </w:p>
          <w:p w14:paraId="3358FAA6" w14:textId="77777777" w:rsidR="00D3167B" w:rsidRPr="00D3167B" w:rsidRDefault="00DD16F2" w:rsidP="00D3167B">
            <w:pPr>
              <w:widowControl w:val="0"/>
              <w:overflowPunct w:val="0"/>
              <w:autoSpaceDE w:val="0"/>
              <w:autoSpaceDN w:val="0"/>
              <w:adjustRightInd w:val="0"/>
              <w:jc w:val="both"/>
              <w:rPr>
                <w:rFonts w:ascii="Calibri" w:eastAsia="Times New Roman" w:hAnsi="Calibri" w:cs="Calibri"/>
                <w:color w:val="000000"/>
                <w:lang w:eastAsia="es-CR"/>
              </w:rPr>
            </w:pPr>
            <w:hyperlink r:id="rId514" w:history="1">
              <w:r w:rsidR="00D3167B" w:rsidRPr="00D3167B">
                <w:rPr>
                  <w:rFonts w:ascii="Calibri" w:eastAsia="Times New Roman" w:hAnsi="Calibri" w:cs="Calibri"/>
                  <w:color w:val="0563C1"/>
                  <w:u w:val="single"/>
                  <w:lang w:eastAsia="es-CR"/>
                </w:rPr>
                <w:t>https://campus.ubl.ac.cr/login/index.php</w:t>
              </w:r>
            </w:hyperlink>
          </w:p>
        </w:tc>
      </w:tr>
    </w:tbl>
    <w:p w14:paraId="1478CB2A" w14:textId="77777777" w:rsidR="00D3167B" w:rsidRPr="00D3167B" w:rsidRDefault="00D3167B" w:rsidP="00D3167B">
      <w:pPr>
        <w:widowControl w:val="0"/>
        <w:overflowPunct w:val="0"/>
        <w:autoSpaceDE w:val="0"/>
        <w:autoSpaceDN w:val="0"/>
        <w:adjustRightInd w:val="0"/>
        <w:spacing w:before="120" w:after="0" w:line="240" w:lineRule="auto"/>
        <w:rPr>
          <w:rFonts w:ascii="Calibri" w:eastAsia="Times New Roman" w:hAnsi="Calibri" w:cs="Times New Roman"/>
          <w:color w:val="000000"/>
          <w:kern w:val="0"/>
          <w:lang w:val="es-ES_tradnl" w:eastAsia="es-CR"/>
          <w14:ligatures w14:val="none"/>
        </w:rPr>
      </w:pPr>
    </w:p>
    <w:p w14:paraId="7916D34F" w14:textId="77777777" w:rsidR="00D3167B" w:rsidRPr="00D3167B" w:rsidRDefault="00D3167B" w:rsidP="00D3167B">
      <w:pPr>
        <w:widowControl w:val="0"/>
        <w:overflowPunct w:val="0"/>
        <w:autoSpaceDE w:val="0"/>
        <w:autoSpaceDN w:val="0"/>
        <w:adjustRightInd w:val="0"/>
        <w:spacing w:before="120" w:after="0" w:line="240" w:lineRule="auto"/>
        <w:rPr>
          <w:rFonts w:ascii="Calibri" w:eastAsia="Times New Roman" w:hAnsi="Calibri" w:cs="Times New Roman"/>
          <w:color w:val="000000"/>
          <w:kern w:val="0"/>
          <w:lang w:val="es-ES_tradnl" w:eastAsia="es-CR"/>
          <w14:ligatures w14:val="none"/>
        </w:rPr>
      </w:pPr>
    </w:p>
    <w:p w14:paraId="7BB581B8"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color w:val="000000"/>
          <w:kern w:val="0"/>
          <w:lang w:val="es-ES_tradnl" w:eastAsia="es-CR"/>
          <w14:ligatures w14:val="none"/>
        </w:rPr>
        <w:t>I.</w:t>
      </w:r>
      <w:r w:rsidRPr="00D3167B">
        <w:rPr>
          <w:rFonts w:ascii="Calibri" w:eastAsia="Times New Roman" w:hAnsi="Calibri" w:cs="Arial"/>
          <w:color w:val="000000"/>
          <w:kern w:val="0"/>
          <w:lang w:val="es-ES_tradnl" w:eastAsia="es-CR"/>
          <w14:ligatures w14:val="none"/>
        </w:rPr>
        <w:t xml:space="preserve"> </w:t>
      </w:r>
      <w:r w:rsidRPr="00D3167B">
        <w:rPr>
          <w:rFonts w:ascii="Calibri" w:eastAsia="Times New Roman" w:hAnsi="Calibri" w:cs="Arial"/>
          <w:b/>
          <w:bCs/>
          <w:color w:val="000000"/>
          <w:kern w:val="0"/>
          <w:lang w:val="es-ES_tradnl" w:eastAsia="es-CR"/>
          <w14:ligatures w14:val="none"/>
        </w:rPr>
        <w:t>Descripción</w:t>
      </w:r>
    </w:p>
    <w:p w14:paraId="7D3E7224"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5FADCA7C"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color w:val="000000"/>
          <w:kern w:val="0"/>
          <w:lang w:val="es-ES_tradnl" w:eastAsia="es-CR"/>
          <w14:ligatures w14:val="none"/>
        </w:rPr>
        <w:t>El curso profundiza el estudio de un libro del Antiguo Testamento mostrando la tensión entre su unidad literaria y su proceso de composición y ubicándolo en su ambiente vital. Del mismo modo podrá estudiar sistemáticamente un tema teológico ya sea en el contexto total del Antiguo Testamento o dentro de un tipo de literatura particular, o bien en un libro específico señalando su desarrollo histórico en sus diferentes contextos.</w:t>
      </w:r>
    </w:p>
    <w:p w14:paraId="293DD72E"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p>
    <w:p w14:paraId="4474DB46"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color w:val="000000"/>
          <w:kern w:val="0"/>
          <w:lang w:val="es-ES_tradnl" w:eastAsia="es-CR"/>
          <w14:ligatures w14:val="none"/>
        </w:rPr>
        <w:lastRenderedPageBreak/>
        <w:t>II.</w:t>
      </w:r>
      <w:r w:rsidRPr="00D3167B">
        <w:rPr>
          <w:rFonts w:ascii="Calibri" w:eastAsia="Times New Roman" w:hAnsi="Calibri" w:cs="Arial"/>
          <w:color w:val="000000"/>
          <w:kern w:val="0"/>
          <w:lang w:val="es-ES_tradnl" w:eastAsia="es-CR"/>
          <w14:ligatures w14:val="none"/>
        </w:rPr>
        <w:t xml:space="preserve"> </w:t>
      </w:r>
      <w:r w:rsidRPr="00D3167B">
        <w:rPr>
          <w:rFonts w:ascii="Calibri" w:eastAsia="Times New Roman" w:hAnsi="Calibri" w:cs="Arial"/>
          <w:b/>
          <w:bCs/>
          <w:color w:val="000000"/>
          <w:kern w:val="0"/>
          <w:lang w:val="es-ES_tradnl" w:eastAsia="es-CR"/>
          <w14:ligatures w14:val="none"/>
        </w:rPr>
        <w:t>Objetivo general</w:t>
      </w:r>
    </w:p>
    <w:p w14:paraId="520CE4EB"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53B6F911"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color w:val="000000"/>
          <w:kern w:val="0"/>
          <w:lang w:val="es-ES_tradnl" w:eastAsia="es-CR"/>
          <w14:ligatures w14:val="none"/>
        </w:rPr>
        <w:t>Estudiar un libro del Antiguo Testamento situándolo históricamente en sus contextos vitales y analizando la tensión entre proceso de composición y unidad literaria en el caso de un libro particular o su evolución histórica en el caso de un tema.</w:t>
      </w:r>
    </w:p>
    <w:p w14:paraId="2D7DD805"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4FD4FF4C"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3167B">
        <w:rPr>
          <w:rFonts w:ascii="Calibri" w:eastAsia="Times New Roman" w:hAnsi="Calibri" w:cs="Arial"/>
          <w:b/>
          <w:bCs/>
          <w:iCs/>
          <w:color w:val="000000"/>
          <w:kern w:val="0"/>
          <w:lang w:val="es-ES_tradnl" w:eastAsia="es-CR"/>
          <w14:ligatures w14:val="none"/>
        </w:rPr>
        <w:t>III.</w:t>
      </w:r>
      <w:r w:rsidRPr="00D3167B">
        <w:rPr>
          <w:rFonts w:ascii="Calibri" w:eastAsia="Times New Roman" w:hAnsi="Calibri" w:cs="Arial"/>
          <w:bCs/>
          <w:iCs/>
          <w:color w:val="000000"/>
          <w:kern w:val="0"/>
          <w:lang w:val="es-ES_tradnl" w:eastAsia="es-CR"/>
          <w14:ligatures w14:val="none"/>
        </w:rPr>
        <w:t xml:space="preserve"> </w:t>
      </w:r>
      <w:r w:rsidRPr="00D3167B">
        <w:rPr>
          <w:rFonts w:ascii="Calibri" w:eastAsia="Times New Roman" w:hAnsi="Calibri" w:cs="Arial"/>
          <w:b/>
          <w:bCs/>
          <w:iCs/>
          <w:color w:val="000000"/>
          <w:kern w:val="0"/>
          <w:lang w:val="es-ES_tradnl" w:eastAsia="es-CR"/>
          <w14:ligatures w14:val="none"/>
        </w:rPr>
        <w:t>Objetivos específicos</w:t>
      </w:r>
      <w:r w:rsidRPr="00D3167B">
        <w:rPr>
          <w:rFonts w:ascii="Calibri" w:eastAsia="Times New Roman" w:hAnsi="Calibri" w:cs="Arial"/>
          <w:b/>
          <w:bCs/>
          <w:iCs/>
          <w:color w:val="000000"/>
          <w:kern w:val="0"/>
          <w:lang w:val="es-ES_tradnl" w:eastAsia="es-CR"/>
          <w14:ligatures w14:val="none"/>
        </w:rPr>
        <w:tab/>
      </w:r>
    </w:p>
    <w:p w14:paraId="3952EB63"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p>
    <w:p w14:paraId="3D1D1A91"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D3167B">
        <w:rPr>
          <w:rFonts w:ascii="Calibri" w:eastAsia="Times New Roman" w:hAnsi="Calibri" w:cs="Arial"/>
          <w:iCs/>
          <w:color w:val="000000"/>
          <w:kern w:val="0"/>
          <w:lang w:val="es-ES_tradnl" w:eastAsia="es-CR"/>
          <w14:ligatures w14:val="none"/>
        </w:rPr>
        <w:t>1.</w:t>
      </w:r>
      <w:r w:rsidRPr="00D3167B">
        <w:rPr>
          <w:rFonts w:ascii="Calibri" w:eastAsia="Times New Roman" w:hAnsi="Calibri" w:cs="Arial"/>
          <w:b/>
          <w:bCs/>
          <w:iCs/>
          <w:color w:val="000000"/>
          <w:kern w:val="0"/>
          <w:lang w:val="es-ES_tradnl" w:eastAsia="es-CR"/>
          <w14:ligatures w14:val="none"/>
        </w:rPr>
        <w:t xml:space="preserve"> </w:t>
      </w:r>
      <w:r w:rsidRPr="00D3167B">
        <w:rPr>
          <w:rFonts w:ascii="Calibri" w:eastAsia="Times New Roman" w:hAnsi="Calibri" w:cs="Arial"/>
          <w:color w:val="000000"/>
          <w:kern w:val="0"/>
          <w:lang w:val="es-ES_tradnl" w:eastAsia="es-CR"/>
          <w14:ligatures w14:val="none"/>
        </w:rPr>
        <w:t>Ejercitar un marco teórico que articule adecuadamente los conceptos de unidad literaria (versión canónica de los libros) y el proceso histórico de composición.</w:t>
      </w:r>
    </w:p>
    <w:p w14:paraId="20911235"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78743372"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D3167B">
        <w:rPr>
          <w:rFonts w:ascii="Calibri" w:eastAsia="Times New Roman" w:hAnsi="Calibri" w:cs="Arial"/>
          <w:color w:val="000000"/>
          <w:kern w:val="0"/>
          <w:lang w:val="es-ES_tradnl" w:eastAsia="es-CR"/>
          <w14:ligatures w14:val="none"/>
        </w:rPr>
        <w:t>2. Situar históricamente el libro o tema estudiado por medio de una reconstrucción sociohistórica de su contexto vital.</w:t>
      </w:r>
    </w:p>
    <w:p w14:paraId="1CE6A576"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57665BE2"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D3167B">
        <w:rPr>
          <w:rFonts w:ascii="Calibri" w:eastAsia="Times New Roman" w:hAnsi="Calibri" w:cs="Arial"/>
          <w:color w:val="000000"/>
          <w:kern w:val="0"/>
          <w:lang w:val="es-ES_tradnl" w:eastAsia="es-CR"/>
          <w14:ligatures w14:val="none"/>
        </w:rPr>
        <w:t>3. Describir los elementos teológicos fundamentales de un libro vinculándolos con la forma literaria con que estos son comunicados.</w:t>
      </w:r>
    </w:p>
    <w:p w14:paraId="0CDFD9E7"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02B71C82"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color w:val="000000"/>
          <w:kern w:val="0"/>
          <w:lang w:val="es-ES_tradnl" w:eastAsia="es-CR"/>
          <w14:ligatures w14:val="none"/>
        </w:rPr>
        <w:t>4. Explicar el proceso de relecturas que un tema teológico transita dentro de la dinámica social de los grupos humanos.</w:t>
      </w:r>
    </w:p>
    <w:p w14:paraId="45CD536F"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7106A99B"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bCs/>
          <w:color w:val="000000"/>
          <w:kern w:val="0"/>
          <w:lang w:val="es-ES_tradnl" w:eastAsia="es-CR"/>
          <w14:ligatures w14:val="none"/>
        </w:rPr>
        <w:t>IV. Contenidos temáticos</w:t>
      </w:r>
    </w:p>
    <w:p w14:paraId="27A59FD0"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17F0B5D2" w14:textId="77777777" w:rsidR="00D3167B" w:rsidRPr="00D3167B" w:rsidRDefault="00D3167B" w:rsidP="00D3167B">
      <w:pPr>
        <w:autoSpaceDE w:val="0"/>
        <w:autoSpaceDN w:val="0"/>
        <w:adjustRightInd w:val="0"/>
        <w:spacing w:after="0" w:line="240" w:lineRule="auto"/>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bCs/>
          <w:color w:val="000000"/>
          <w:kern w:val="0"/>
          <w:lang w:val="es-ES_tradnl" w:eastAsia="es-CR"/>
          <w14:ligatures w14:val="none"/>
        </w:rPr>
        <w:t xml:space="preserve">Unidad 1: </w:t>
      </w:r>
      <w:r w:rsidRPr="00D3167B">
        <w:rPr>
          <w:rFonts w:ascii="Calibri" w:eastAsia="Times New Roman" w:hAnsi="Calibri" w:cs="Arial"/>
          <w:b/>
          <w:color w:val="000000"/>
          <w:kern w:val="0"/>
          <w:lang w:val="es-ES_tradnl" w:eastAsia="es-CR"/>
          <w14:ligatures w14:val="none"/>
        </w:rPr>
        <w:t>Marco teórico desde donde se realizará el estudio del libro o tema del Antiguo Testamento seleccionado</w:t>
      </w:r>
    </w:p>
    <w:p w14:paraId="087C092B"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19785BDD"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Cs/>
          <w:color w:val="000000"/>
          <w:kern w:val="0"/>
          <w:lang w:val="es-ES_tradnl" w:eastAsia="es-CR"/>
          <w14:ligatures w14:val="none"/>
        </w:rPr>
        <w:t>1.1 P</w:t>
      </w:r>
      <w:r w:rsidRPr="00D3167B">
        <w:rPr>
          <w:rFonts w:ascii="Calibri" w:eastAsia="Times New Roman" w:hAnsi="Calibri" w:cs="Arial"/>
          <w:color w:val="000000"/>
          <w:kern w:val="0"/>
          <w:lang w:val="es-ES_tradnl" w:eastAsia="es-CR"/>
          <w14:ligatures w14:val="none"/>
        </w:rPr>
        <w:t>roblemáticas introductorias que afectan al libro del Antiguo Testamento seleccionado</w:t>
      </w:r>
    </w:p>
    <w:p w14:paraId="3968EB54"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sz w:val="12"/>
          <w:szCs w:val="12"/>
          <w:lang w:val="es-ES_tradnl" w:eastAsia="es-CR"/>
          <w14:ligatures w14:val="none"/>
        </w:rPr>
      </w:pPr>
    </w:p>
    <w:p w14:paraId="0918B848"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Cs/>
          <w:color w:val="000000"/>
          <w:kern w:val="0"/>
          <w:lang w:val="es-ES_tradnl" w:eastAsia="es-CR"/>
          <w14:ligatures w14:val="none"/>
        </w:rPr>
        <w:t xml:space="preserve">1.2 </w:t>
      </w:r>
      <w:r w:rsidRPr="00D3167B">
        <w:rPr>
          <w:rFonts w:ascii="Calibri" w:eastAsia="Times New Roman" w:hAnsi="Calibri" w:cs="Arial"/>
          <w:color w:val="000000"/>
          <w:kern w:val="0"/>
          <w:lang w:val="es-ES_tradnl" w:eastAsia="es-CR"/>
          <w14:ligatures w14:val="none"/>
        </w:rPr>
        <w:t>Perspectivas de las diferentes escuelas de pensamiento en relación con el libro del Antiguo Testamento seleccionado (estado de la cuestión)</w:t>
      </w:r>
    </w:p>
    <w:p w14:paraId="14624F91"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1A932400"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bCs/>
          <w:color w:val="000000"/>
          <w:kern w:val="0"/>
          <w:lang w:val="es-ES_tradnl" w:eastAsia="es-CR"/>
          <w14:ligatures w14:val="none"/>
        </w:rPr>
        <w:t xml:space="preserve">Unidad 2: Dimensión literaria </w:t>
      </w:r>
      <w:r w:rsidRPr="00D3167B">
        <w:rPr>
          <w:rFonts w:ascii="Calibri" w:eastAsia="Times New Roman" w:hAnsi="Calibri" w:cs="Arial"/>
          <w:b/>
          <w:color w:val="000000"/>
          <w:kern w:val="0"/>
          <w:lang w:val="es-ES_tradnl" w:eastAsia="es-CR"/>
          <w14:ligatures w14:val="none"/>
        </w:rPr>
        <w:t>del libro o tema del Antiguo Testamento seleccionado</w:t>
      </w:r>
    </w:p>
    <w:p w14:paraId="19D8E1EE"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30601757"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Cs/>
          <w:color w:val="000000"/>
          <w:kern w:val="0"/>
          <w:lang w:val="es-ES_tradnl" w:eastAsia="es-CR"/>
          <w14:ligatures w14:val="none"/>
        </w:rPr>
        <w:t xml:space="preserve">2.1 Aspectos exegéticos de la obra </w:t>
      </w:r>
      <w:r w:rsidRPr="00D3167B">
        <w:rPr>
          <w:rFonts w:ascii="Calibri" w:eastAsia="Times New Roman" w:hAnsi="Calibri" w:cs="Arial"/>
          <w:color w:val="000000"/>
          <w:kern w:val="0"/>
          <w:lang w:val="es-ES_tradnl" w:eastAsia="es-CR"/>
          <w14:ligatures w14:val="none"/>
        </w:rPr>
        <w:t>del Antiguo Testamento seleccionado</w:t>
      </w:r>
    </w:p>
    <w:p w14:paraId="716C4110"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sz w:val="12"/>
          <w:szCs w:val="12"/>
          <w:lang w:val="es-ES_tradnl" w:eastAsia="es-CR"/>
          <w14:ligatures w14:val="none"/>
        </w:rPr>
      </w:pPr>
    </w:p>
    <w:p w14:paraId="6109088F"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Cs/>
          <w:color w:val="000000"/>
          <w:kern w:val="0"/>
          <w:lang w:val="es-ES_tradnl" w:eastAsia="es-CR"/>
          <w14:ligatures w14:val="none"/>
        </w:rPr>
        <w:t xml:space="preserve">2.2 Aspectos literarios de la obra </w:t>
      </w:r>
      <w:r w:rsidRPr="00D3167B">
        <w:rPr>
          <w:rFonts w:ascii="Calibri" w:eastAsia="Times New Roman" w:hAnsi="Calibri" w:cs="Arial"/>
          <w:color w:val="000000"/>
          <w:kern w:val="0"/>
          <w:lang w:val="es-ES_tradnl" w:eastAsia="es-CR"/>
          <w14:ligatures w14:val="none"/>
        </w:rPr>
        <w:t>del Antiguo Testamento seleccionado</w:t>
      </w:r>
    </w:p>
    <w:p w14:paraId="329A38A2"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617B5ACB"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bCs/>
          <w:color w:val="000000"/>
          <w:kern w:val="0"/>
          <w:lang w:val="es-ES_tradnl" w:eastAsia="es-CR"/>
          <w14:ligatures w14:val="none"/>
        </w:rPr>
        <w:t xml:space="preserve">Unidad 3: Dimensión vital </w:t>
      </w:r>
      <w:r w:rsidRPr="00D3167B">
        <w:rPr>
          <w:rFonts w:ascii="Calibri" w:eastAsia="Times New Roman" w:hAnsi="Calibri" w:cs="Arial"/>
          <w:b/>
          <w:color w:val="000000"/>
          <w:kern w:val="0"/>
          <w:lang w:val="es-ES_tradnl" w:eastAsia="es-CR"/>
          <w14:ligatures w14:val="none"/>
        </w:rPr>
        <w:t>del libro o tema del Antiguo Testamento seleccionado</w:t>
      </w:r>
    </w:p>
    <w:p w14:paraId="54570393"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2930F279"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Cs/>
          <w:color w:val="000000"/>
          <w:kern w:val="0"/>
          <w:lang w:val="es-ES_tradnl" w:eastAsia="es-CR"/>
          <w14:ligatures w14:val="none"/>
        </w:rPr>
        <w:t xml:space="preserve">3.1 Aspectos teológicos de la obra </w:t>
      </w:r>
      <w:r w:rsidRPr="00D3167B">
        <w:rPr>
          <w:rFonts w:ascii="Calibri" w:eastAsia="Times New Roman" w:hAnsi="Calibri" w:cs="Arial"/>
          <w:color w:val="000000"/>
          <w:kern w:val="0"/>
          <w:lang w:val="es-ES_tradnl" w:eastAsia="es-CR"/>
          <w14:ligatures w14:val="none"/>
        </w:rPr>
        <w:t>del Antiguo Testamento seleccionado</w:t>
      </w:r>
    </w:p>
    <w:p w14:paraId="55D2DE27"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sz w:val="12"/>
          <w:szCs w:val="12"/>
          <w:lang w:val="es-ES_tradnl" w:eastAsia="es-CR"/>
          <w14:ligatures w14:val="none"/>
        </w:rPr>
      </w:pPr>
    </w:p>
    <w:p w14:paraId="15A161FA"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D3167B">
        <w:rPr>
          <w:rFonts w:ascii="Calibri" w:eastAsia="Times New Roman" w:hAnsi="Calibri" w:cs="Arial"/>
          <w:bCs/>
          <w:color w:val="000000"/>
          <w:kern w:val="0"/>
          <w:lang w:val="es-ES_tradnl" w:eastAsia="es-CR"/>
          <w14:ligatures w14:val="none"/>
        </w:rPr>
        <w:t xml:space="preserve">3.2 Aspectos pastorales de la obra </w:t>
      </w:r>
      <w:r w:rsidRPr="00D3167B">
        <w:rPr>
          <w:rFonts w:ascii="Calibri" w:eastAsia="Times New Roman" w:hAnsi="Calibri" w:cs="Arial"/>
          <w:color w:val="000000"/>
          <w:kern w:val="0"/>
          <w:lang w:val="es-ES_tradnl" w:eastAsia="es-CR"/>
          <w14:ligatures w14:val="none"/>
        </w:rPr>
        <w:t>del Antiguo Testamento seleccionado</w:t>
      </w:r>
    </w:p>
    <w:p w14:paraId="6B386532"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color w:val="000000"/>
          <w:kern w:val="0"/>
          <w:sz w:val="12"/>
          <w:szCs w:val="12"/>
          <w:lang w:val="es-ES_tradnl" w:eastAsia="es-CR"/>
          <w14:ligatures w14:val="none"/>
        </w:rPr>
      </w:pPr>
    </w:p>
    <w:p w14:paraId="6D8F23E6"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color w:val="000000"/>
          <w:kern w:val="0"/>
          <w:lang w:val="es-ES_tradnl" w:eastAsia="es-CR"/>
          <w14:ligatures w14:val="none"/>
        </w:rPr>
        <w:t>3.3 Cierre del proceso de investigación</w:t>
      </w:r>
    </w:p>
    <w:p w14:paraId="27612EC2"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p>
    <w:p w14:paraId="564B9A39" w14:textId="77777777" w:rsidR="00D3167B" w:rsidRPr="00D3167B" w:rsidRDefault="00D3167B" w:rsidP="00D3167B">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kern w:val="0"/>
          <w:lang w:val="es-ES_tradnl" w:eastAsia="es-CR"/>
          <w14:ligatures w14:val="none"/>
        </w:rPr>
        <w:t xml:space="preserve">V. Metodología </w:t>
      </w:r>
    </w:p>
    <w:p w14:paraId="2D685D11" w14:textId="77777777" w:rsidR="00D3167B" w:rsidRPr="00D3167B" w:rsidRDefault="00D3167B" w:rsidP="00D3167B">
      <w:pPr>
        <w:spacing w:after="0" w:line="240" w:lineRule="auto"/>
        <w:contextualSpacing/>
        <w:rPr>
          <w:rFonts w:ascii="Calibri" w:eastAsia="Calibri" w:hAnsi="Calibri" w:cs="Arial"/>
          <w:b/>
          <w:bCs/>
          <w:color w:val="000000"/>
          <w:kern w:val="0"/>
          <w14:ligatures w14:val="none"/>
        </w:rPr>
      </w:pPr>
    </w:p>
    <w:p w14:paraId="17C71F48" w14:textId="77777777" w:rsidR="00D3167B" w:rsidRPr="00D3167B" w:rsidRDefault="00D3167B" w:rsidP="00D3167B">
      <w:pPr>
        <w:spacing w:after="0" w:line="240" w:lineRule="auto"/>
        <w:contextualSpacing/>
        <w:jc w:val="both"/>
        <w:rPr>
          <w:rFonts w:ascii="Calibri" w:eastAsia="Calibri" w:hAnsi="Calibri" w:cs="Arial"/>
          <w:color w:val="000000"/>
          <w:kern w:val="0"/>
          <w14:ligatures w14:val="none"/>
        </w:rPr>
      </w:pPr>
      <w:r w:rsidRPr="00D3167B">
        <w:rPr>
          <w:rFonts w:ascii="Calibri" w:eastAsia="Calibri" w:hAnsi="Calibri" w:cs="Arial"/>
          <w:color w:val="000000"/>
          <w:kern w:val="0"/>
          <w14:ligatures w14:val="none"/>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w:t>
      </w:r>
      <w:r w:rsidRPr="00D3167B">
        <w:rPr>
          <w:rFonts w:ascii="Calibri" w:eastAsia="Calibri" w:hAnsi="Calibri" w:cs="Arial"/>
          <w:color w:val="000000"/>
          <w:kern w:val="0"/>
          <w14:ligatures w14:val="none"/>
        </w:rPr>
        <w:lastRenderedPageBreak/>
        <w:t>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4D07D948"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D3167B">
        <w:rPr>
          <w:rFonts w:ascii="Calibri" w:eastAsia="Times New Roman" w:hAnsi="Calibri" w:cs="Arial"/>
          <w:color w:val="000000"/>
          <w:kern w:val="0"/>
          <w:lang w:val="es-ES_tradnl" w:eastAsia="es-CR"/>
          <w14:ligatures w14:val="none"/>
        </w:rPr>
        <w:t>La metodología del curso es de seminario por lo que se ofrecerán insumos y orientación para que cada estudiante elabore su propio proceso de estudio, reflexión, y análisis del libro estudiado. Se elige el libro de Rut por sus dimensiones literarias, teológicas y pastorales de gran pertinencia para situaciones del contexto actual como es la situación migratoria, la marginalidad social, las relaciones de género y las relaciones comunitarias. Las lecturas aportan insumos metodológicos y teóricos para el estudio del texto, y las actividades individuales y colaborativas promueven la aplicación y profundización en cada una de las dimensiones del estudio del libro. Las presentaciones grupales fomentan el trabajo colaborativo para la profundización en la temática de la sesión asignada. El ejercicio desarrollado a lo largo del curso servirá de modelo para estudios similares que la persona estudiante realice en su quehacer pastoral, educativo u otro. La persona docente aportará orientación, retroalimentación, profundización y acompañamiento para el desarrollo de los trabajos a través de los encuentros sincrónicos virtuales, los foros y la retroalimentación a las tareas.</w:t>
      </w:r>
      <w:r w:rsidRPr="00D3167B">
        <w:rPr>
          <w:rFonts w:ascii="Times New Roman" w:eastAsia="Times New Roman" w:hAnsi="Times New Roman" w:cs="Times New Roman"/>
          <w:kern w:val="0"/>
          <w:sz w:val="24"/>
          <w:szCs w:val="20"/>
          <w:lang w:val="es-ES_tradnl" w:eastAsia="es-CR"/>
          <w14:ligatures w14:val="none"/>
        </w:rPr>
        <w:t xml:space="preserve"> </w:t>
      </w:r>
      <w:r w:rsidRPr="00D3167B">
        <w:rPr>
          <w:rFonts w:ascii="Calibri" w:eastAsia="Times New Roman" w:hAnsi="Calibri" w:cs="Arial"/>
          <w:color w:val="000000"/>
          <w:kern w:val="0"/>
          <w:lang w:val="es-ES_tradnl" w:eastAsia="es-CR"/>
          <w14:ligatures w14:val="none"/>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41278DFA"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257E7C19"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bCs/>
          <w:color w:val="000000"/>
          <w:kern w:val="0"/>
          <w:lang w:val="es-ES_tradnl" w:eastAsia="es-CR"/>
          <w14:ligatures w14:val="none"/>
        </w:rPr>
        <w:t>VI. Estrategias de aprendizaje</w:t>
      </w:r>
    </w:p>
    <w:p w14:paraId="006BA17B"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sz w:val="2"/>
          <w:szCs w:val="2"/>
          <w:lang w:val="es-ES_tradnl" w:eastAsia="es-CR"/>
          <w14:ligatures w14:val="none"/>
        </w:rPr>
      </w:pPr>
    </w:p>
    <w:p w14:paraId="3C1E895B"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D3167B">
        <w:rPr>
          <w:rFonts w:ascii="Calibri" w:eastAsia="Times New Roman" w:hAnsi="Calibri" w:cs="Arial"/>
          <w:color w:val="000000"/>
          <w:kern w:val="0"/>
          <w:lang w:val="es-ES_tradnl" w:eastAsia="es-CR"/>
          <w14:ligatures w14:val="none"/>
        </w:rPr>
        <w:t>Las estrategias de aprendizaje a desarrollar en el curso se orientan al estudio del libro de Rut con diversos acercamientos, metodologías y enfoques.</w:t>
      </w:r>
    </w:p>
    <w:p w14:paraId="7A883F33"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D3167B">
        <w:rPr>
          <w:rFonts w:ascii="Calibri" w:eastAsia="Times New Roman" w:hAnsi="Calibri" w:cs="Arial"/>
          <w:color w:val="000000"/>
          <w:kern w:val="0"/>
          <w:lang w:val="es-ES_tradnl" w:eastAsia="es-CR"/>
          <w14:ligatures w14:val="none"/>
        </w:rPr>
        <w:t>Se utilizan las siguientes estrategias de aprendizaje:</w:t>
      </w:r>
    </w:p>
    <w:p w14:paraId="57ED7658"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3167B">
        <w:rPr>
          <w:rFonts w:ascii="Calibri" w:eastAsia="Times New Roman" w:hAnsi="Calibri" w:cs="Arial"/>
          <w:b/>
          <w:bCs/>
          <w:color w:val="000000"/>
          <w:kern w:val="0"/>
          <w:lang w:val="es-ES" w:eastAsia="es-CR"/>
          <w14:ligatures w14:val="none"/>
        </w:rPr>
        <w:t xml:space="preserve">a) Encuentro sincrónico virtual: </w:t>
      </w:r>
      <w:r w:rsidRPr="00D3167B">
        <w:rPr>
          <w:rFonts w:ascii="Calibri" w:eastAsia="Times New Roman" w:hAnsi="Calibri" w:cs="Arial"/>
          <w:color w:val="000000"/>
          <w:kern w:val="0"/>
          <w:lang w:val="es-ES" w:eastAsia="es-CR"/>
          <w14:ligatures w14:val="none"/>
        </w:rPr>
        <w:t xml:space="preserve">Los encuentros sincrónicos virtuales son espacios en los que la persona docente aporta insumos de profundización y clarificación sobre el estudio del libro de Rut en sus distintas dimensiones que se realiza a lo largo del curso. Permite así el diálogo entre las personas estudiantes y con la persona docente, sobre los aspectos exegéticos, culturales, sociales y teológicos del libro. En este espacio sincrónico los y las estudiantes presenten su trabajo grupal, recibiendo retroalimentación docente y de sus compañeros y compañeras. Los encuentros virtuales sincrónicos tienen valor formativo. </w:t>
      </w:r>
    </w:p>
    <w:p w14:paraId="4BE200AF"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 w:eastAsia="es-CR"/>
          <w14:ligatures w14:val="none"/>
        </w:rPr>
      </w:pPr>
      <w:r w:rsidRPr="00D3167B">
        <w:rPr>
          <w:rFonts w:ascii="Calibri" w:eastAsia="Times New Roman" w:hAnsi="Calibri" w:cs="Arial"/>
          <w:b/>
          <w:bCs/>
          <w:color w:val="000000"/>
          <w:kern w:val="0"/>
          <w:lang w:val="es-ES" w:eastAsia="es-CR"/>
          <w14:ligatures w14:val="none"/>
        </w:rPr>
        <w:t xml:space="preserve">b) Foro: </w:t>
      </w:r>
      <w:r w:rsidRPr="00D3167B">
        <w:rPr>
          <w:rFonts w:ascii="Calibri" w:eastAsia="Times New Roman" w:hAnsi="Calibri" w:cs="Arial"/>
          <w:color w:val="000000"/>
          <w:kern w:val="0"/>
          <w:lang w:val="es-ES" w:eastAsia="es-CR"/>
          <w14:ligatures w14:val="none"/>
        </w:rPr>
        <w:t xml:space="preserve">En los foros temáticos las personas estudiantes realizarán aportes y desarrollarán insumos y reflexiones de manera colaborativa y asincrónica. Mediante estos se buscará la profundización y discusión sobre los temas de las lecturas. De manera particular se explorarán las dimensiones exegéticas y literarias, teológicas y pastorales del libro de Rut y la pertinencia de dichos acercamientos para el estudio de otros textos y su interpretación en los espacios de desarrollo de las personas estudiantes. </w:t>
      </w:r>
    </w:p>
    <w:p w14:paraId="384116F0"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3167B">
        <w:rPr>
          <w:rFonts w:ascii="Calibri" w:eastAsia="Times New Roman" w:hAnsi="Calibri" w:cs="Arial"/>
          <w:b/>
          <w:bCs/>
          <w:color w:val="000000"/>
          <w:kern w:val="0"/>
          <w:lang w:val="es-ES" w:eastAsia="es-CR"/>
          <w14:ligatures w14:val="none"/>
        </w:rPr>
        <w:t xml:space="preserve">c) Ensayo: </w:t>
      </w:r>
      <w:r w:rsidRPr="00D3167B">
        <w:rPr>
          <w:rFonts w:ascii="Calibri" w:eastAsia="Times New Roman" w:hAnsi="Calibri" w:cs="Arial"/>
          <w:color w:val="000000"/>
          <w:kern w:val="0"/>
          <w:lang w:val="es-ES" w:eastAsia="es-CR"/>
          <w14:ligatures w14:val="none"/>
        </w:rPr>
        <w:t xml:space="preserve">El ensayo es un escrito académico en el que la persona estudiante desarrollará un tema relativo al estudio del libro de Rut, según las indicaciones de la persona docente. Las lecturas de las sesiones y el trabajo realizado durante el curso serán fundamentales para desarrollar ideas y </w:t>
      </w:r>
      <w:r w:rsidRPr="00D3167B">
        <w:rPr>
          <w:rFonts w:ascii="Calibri" w:eastAsia="Times New Roman" w:hAnsi="Calibri" w:cs="Arial"/>
          <w:color w:val="000000"/>
          <w:kern w:val="0"/>
          <w:lang w:val="es-ES" w:eastAsia="es-CR"/>
          <w14:ligatures w14:val="none"/>
        </w:rPr>
        <w:lastRenderedPageBreak/>
        <w:t xml:space="preserve">argumentos propios sobre el tema en discusión y su pertinencia. Se elaborarán un total de dos ensayos. </w:t>
      </w:r>
    </w:p>
    <w:p w14:paraId="3419B51A"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bCs/>
          <w:color w:val="000000"/>
          <w:kern w:val="0"/>
          <w:lang w:val="es-ES_tradnl" w:eastAsia="es-CR"/>
          <w14:ligatures w14:val="none"/>
        </w:rPr>
        <w:t xml:space="preserve">d) Reseña crítica de lectura: </w:t>
      </w:r>
      <w:r w:rsidRPr="00D3167B">
        <w:rPr>
          <w:rFonts w:ascii="Calibri" w:eastAsia="Times New Roman" w:hAnsi="Calibri" w:cs="Calibri"/>
          <w:bCs/>
          <w:color w:val="000000"/>
          <w:kern w:val="0"/>
          <w:lang w:val="es-ES_tradnl" w:eastAsia="es-CR"/>
          <w14:ligatures w14:val="none"/>
        </w:rPr>
        <w:t xml:space="preserve">La identificación de los temas y argumentos claves de una lectura es el primer paso de una reseña crítica. El elemento crítico radica en la valoración que hace la persona estudiante de los aportes del autor o la autora y su contribución al tema en discusión. Esto lleva a una contextualización para su propio quehacer y contexto. Dicha actividad ejercita la capacidad de síntesis y de análisis crítico de la persona estudiante. Durante el curso las personas estudiantes realizarán dos reseñas críticas. La primera sobre los motivos teológicos </w:t>
      </w:r>
      <w:r w:rsidRPr="00D3167B">
        <w:rPr>
          <w:rFonts w:ascii="Calibri" w:eastAsia="Times New Roman" w:hAnsi="Calibri" w:cs="Calibri"/>
          <w:bCs/>
          <w:color w:val="000000"/>
          <w:kern w:val="0"/>
          <w:lang w:val="es-ES_tradnl" w:eastAsia="es-CR"/>
          <w14:ligatures w14:val="none"/>
        </w:rPr>
        <w:tab/>
        <w:t xml:space="preserve">que atraviesan el libro de Rut, mientras que la segunda será sobre las situaciones vitales en los textos narrativos. </w:t>
      </w:r>
    </w:p>
    <w:p w14:paraId="59457DF6"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bCs/>
          <w:color w:val="000000"/>
          <w:kern w:val="0"/>
          <w:lang w:val="es-ES_tradnl" w:eastAsia="es-CR"/>
          <w14:ligatures w14:val="none"/>
        </w:rPr>
        <w:t xml:space="preserve">e) Presentación grupal: </w:t>
      </w:r>
      <w:r w:rsidRPr="00D3167B">
        <w:rPr>
          <w:rFonts w:ascii="Calibri" w:eastAsia="Times New Roman" w:hAnsi="Calibri" w:cs="Arial"/>
          <w:color w:val="000000"/>
          <w:kern w:val="0"/>
          <w:lang w:val="es-ES_tradnl" w:eastAsia="es-CR"/>
          <w14:ligatures w14:val="none"/>
        </w:rPr>
        <w:t xml:space="preserve">Cada estudiante participará en un grupo en el cual se desarrollará una investigación para presentar en las sesiones asignadas en el cronograma. Los grupos harán uso de la bibliografía de la sesión, el libro de Rut y bibliografía adicional aprobada por la persona docente. Cada grupo tendrá 20 minutos para realizar su presentación en un encuentro sincrónico virtual y 10 minutos para la interacción con la clase. </w:t>
      </w:r>
    </w:p>
    <w:p w14:paraId="59FE2633"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3167B">
        <w:rPr>
          <w:rFonts w:ascii="Calibri" w:eastAsia="Times New Roman" w:hAnsi="Calibri" w:cs="Arial"/>
          <w:b/>
          <w:bCs/>
          <w:color w:val="000000"/>
          <w:kern w:val="0"/>
          <w:lang w:val="es-ES" w:eastAsia="es-CR"/>
          <w14:ligatures w14:val="none"/>
        </w:rPr>
        <w:t xml:space="preserve">f) Estudio de un capítulo del libro de Rut: </w:t>
      </w:r>
      <w:r w:rsidRPr="00D3167B">
        <w:rPr>
          <w:rFonts w:ascii="Calibri" w:eastAsia="Times New Roman" w:hAnsi="Calibri" w:cs="Arial"/>
          <w:color w:val="000000"/>
          <w:kern w:val="0"/>
          <w:lang w:val="es-ES" w:eastAsia="es-CR"/>
          <w14:ligatures w14:val="none"/>
        </w:rPr>
        <w:t>Con el fin de ejercitar las capacidades de análisis desarrolladas en el curso, cada estudiante realizará el estudio de un capítulo del libro de Rut (según su elección) con dos entregas parciales y la entrega final al cierre del curso. La primera entrega parcial comprenderá el estudio literario y exegético del capítulo y la segunda entrega el desarrollo de aspectos teológicos, vitales y pastorales. Cada estudiante recibirá retroalimentación para concluir su trabajo y hacer la entrega final.</w:t>
      </w:r>
    </w:p>
    <w:p w14:paraId="060C5895"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D3167B">
        <w:rPr>
          <w:rFonts w:ascii="Calibri" w:eastAsia="Times New Roman" w:hAnsi="Calibri" w:cs="Arial"/>
          <w:color w:val="000000"/>
          <w:kern w:val="0"/>
          <w:lang w:val="es-ES_tradnl"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22AF0EBE"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_tradnl" w:eastAsia="es-CR"/>
          <w14:ligatures w14:val="none"/>
        </w:rPr>
      </w:pPr>
    </w:p>
    <w:p w14:paraId="30D554DC"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bCs/>
          <w:color w:val="000000"/>
          <w:kern w:val="0"/>
          <w:lang w:val="es-ES_tradnl" w:eastAsia="es-CR"/>
          <w14:ligatures w14:val="none"/>
        </w:rPr>
        <w:t>VII. Recursos didácticos</w:t>
      </w:r>
    </w:p>
    <w:p w14:paraId="03253A7E"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6419A96"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3167B">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5DD449C7"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41F4D9B"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D3167B">
        <w:rPr>
          <w:rFonts w:ascii="Calibri" w:eastAsia="Times New Roman" w:hAnsi="Calibri" w:cs="Arial"/>
          <w:color w:val="000000"/>
          <w:kern w:val="0"/>
          <w:lang w:val="es-ES" w:eastAsia="es-ES"/>
          <w14:ligatures w14:val="none"/>
        </w:rPr>
        <w:t xml:space="preserve">a) Lecturas semanales obligatorias aportan insumos para analizar el libro de Ruth en diversas dimensiones. Las actividades individuales y grupales se alimentan de estas lecturas y de los aportes que comparte la persona docente.  Todos los materiales de lectura están disponibles en formato digital en la plataforma virtual.  </w:t>
      </w:r>
    </w:p>
    <w:p w14:paraId="2FF105E2"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C7B6905"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3167B">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3578CE51"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68FC9AC"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3167B">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0538B9EF"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C41AF68"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3167B">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y mediante la herramienta Big Blue </w:t>
      </w:r>
      <w:proofErr w:type="spellStart"/>
      <w:r w:rsidRPr="00D3167B">
        <w:rPr>
          <w:rFonts w:ascii="Calibri" w:eastAsia="Times New Roman" w:hAnsi="Calibri" w:cs="Calibri"/>
          <w:color w:val="000000"/>
          <w:kern w:val="0"/>
          <w:lang w:val="es-ES" w:eastAsia="es-ES"/>
          <w14:ligatures w14:val="none"/>
        </w:rPr>
        <w:t>Button</w:t>
      </w:r>
      <w:proofErr w:type="spellEnd"/>
      <w:r w:rsidRPr="00D3167B">
        <w:rPr>
          <w:rFonts w:ascii="Calibri" w:eastAsia="Times New Roman" w:hAnsi="Calibri" w:cs="Calibri"/>
          <w:color w:val="000000"/>
          <w:kern w:val="0"/>
          <w:lang w:val="es-ES" w:eastAsia="es-ES"/>
          <w14:ligatures w14:val="none"/>
        </w:rPr>
        <w:t xml:space="preserve"> en la plataforma Moodle, así como de una guía para la elaboración de un ensayo. </w:t>
      </w:r>
    </w:p>
    <w:p w14:paraId="2EF321B8"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06149EA"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3167B">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D3167B">
        <w:rPr>
          <w:rFonts w:ascii="Calibri" w:eastAsia="Times New Roman" w:hAnsi="Calibri" w:cs="Calibri"/>
          <w:color w:val="000000"/>
          <w:kern w:val="0"/>
          <w:lang w:val="es-ES" w:eastAsia="es-ES"/>
          <w14:ligatures w14:val="none"/>
        </w:rPr>
        <w:t>Strachan</w:t>
      </w:r>
      <w:proofErr w:type="spellEnd"/>
      <w:r w:rsidRPr="00D3167B">
        <w:rPr>
          <w:rFonts w:ascii="Calibri" w:eastAsia="Times New Roman" w:hAnsi="Calibri" w:cs="Calibri"/>
          <w:color w:val="000000"/>
          <w:kern w:val="0"/>
          <w:lang w:val="es-ES" w:eastAsia="es-ES"/>
          <w14:ligatures w14:val="none"/>
        </w:rPr>
        <w:t xml:space="preserve"> (</w:t>
      </w:r>
      <w:hyperlink r:id="rId515" w:history="1">
        <w:r w:rsidRPr="00D3167B">
          <w:rPr>
            <w:rFonts w:ascii="Calibri" w:eastAsia="Times New Roman" w:hAnsi="Calibri" w:cs="Calibri"/>
            <w:color w:val="0563C1"/>
            <w:kern w:val="0"/>
            <w:u w:val="single"/>
            <w:lang w:val="es-ES" w:eastAsia="es-ES"/>
            <w14:ligatures w14:val="none"/>
          </w:rPr>
          <w:t>https://www.ubl.ac.cr/biblioteca</w:t>
        </w:r>
      </w:hyperlink>
      <w:r w:rsidRPr="00D3167B">
        <w:rPr>
          <w:rFonts w:ascii="Calibri" w:eastAsia="Times New Roman" w:hAnsi="Calibri" w:cs="Calibri"/>
          <w:color w:val="000000"/>
          <w:kern w:val="0"/>
          <w:lang w:val="es-ES" w:eastAsia="es-ES"/>
          <w14:ligatures w14:val="none"/>
        </w:rPr>
        <w:t>), así como consultar el Portal de Revistas de la UBL (</w:t>
      </w:r>
      <w:hyperlink r:id="rId516" w:history="1">
        <w:r w:rsidRPr="00D3167B">
          <w:rPr>
            <w:rFonts w:ascii="Calibri" w:eastAsia="Times New Roman" w:hAnsi="Calibri" w:cs="Calibri"/>
            <w:color w:val="0563C1"/>
            <w:kern w:val="0"/>
            <w:u w:val="single"/>
            <w:lang w:val="es-ES" w:eastAsia="es-ES"/>
            <w14:ligatures w14:val="none"/>
          </w:rPr>
          <w:t>http://revistas.ubl.ac.cr/</w:t>
        </w:r>
      </w:hyperlink>
      <w:r w:rsidRPr="00D3167B">
        <w:rPr>
          <w:rFonts w:ascii="Calibri" w:eastAsia="Times New Roman" w:hAnsi="Calibri" w:cs="Calibri"/>
          <w:color w:val="000000"/>
          <w:kern w:val="0"/>
          <w:lang w:val="es-ES" w:eastAsia="es-ES"/>
          <w14:ligatures w14:val="none"/>
        </w:rPr>
        <w:t>). A través del correo de la biblioteca (</w:t>
      </w:r>
      <w:hyperlink r:id="rId517" w:history="1">
        <w:r w:rsidRPr="00D3167B">
          <w:rPr>
            <w:rFonts w:ascii="Calibri" w:eastAsia="Times New Roman" w:hAnsi="Calibri" w:cs="Calibri"/>
            <w:color w:val="0563C1"/>
            <w:kern w:val="0"/>
            <w:u w:val="single"/>
            <w:lang w:val="es-ES" w:eastAsia="es-ES"/>
            <w14:ligatures w14:val="none"/>
          </w:rPr>
          <w:t>biblioteca@ubl.ac.cr</w:t>
        </w:r>
      </w:hyperlink>
      <w:r w:rsidRPr="00D3167B">
        <w:rPr>
          <w:rFonts w:ascii="Calibri" w:eastAsia="Times New Roman" w:hAnsi="Calibri" w:cs="Calibri"/>
          <w:color w:val="000000"/>
          <w:kern w:val="0"/>
          <w:lang w:val="es-ES" w:eastAsia="es-ES"/>
          <w14:ligatures w14:val="none"/>
        </w:rPr>
        <w:t xml:space="preserve">) puede solicitar recursos que se encuentren en la colección física. </w:t>
      </w:r>
    </w:p>
    <w:p w14:paraId="6F5D6714"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6D4858A2"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D3167B">
        <w:rPr>
          <w:rFonts w:ascii="Calibri" w:eastAsia="Times New Roman" w:hAnsi="Calibri" w:cs="Calibri"/>
          <w:color w:val="000000"/>
          <w:kern w:val="0"/>
          <w:lang w:val="es-ES" w:eastAsia="es-ES"/>
          <w14:ligatures w14:val="none"/>
        </w:rPr>
        <w:t>f)</w:t>
      </w:r>
      <w:r w:rsidRPr="00D3167B">
        <w:rPr>
          <w:rFonts w:ascii="Times New Roman" w:eastAsia="Times New Roman" w:hAnsi="Times New Roman" w:cs="Calibri"/>
          <w:bCs/>
          <w:kern w:val="0"/>
          <w:sz w:val="24"/>
          <w:szCs w:val="24"/>
          <w:lang w:val="es-ES_tradnl" w:eastAsia="es-CR"/>
          <w14:ligatures w14:val="none"/>
        </w:rPr>
        <w:t xml:space="preserve"> </w:t>
      </w:r>
      <w:r w:rsidRPr="00D3167B">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Bíblicas. Dicho espacio está disponible para todas las personas registradas en el campus virtual y se puede acceder a través del siguiente enlace: </w:t>
      </w:r>
      <w:hyperlink r:id="rId518" w:history="1">
        <w:r w:rsidRPr="00D3167B">
          <w:rPr>
            <w:rFonts w:ascii="Calibri" w:eastAsia="Times New Roman" w:hAnsi="Calibri" w:cs="Calibri"/>
            <w:bCs/>
            <w:color w:val="0563C1"/>
            <w:kern w:val="0"/>
            <w:u w:val="single"/>
            <w:lang w:val="es-ES_tradnl" w:eastAsia="es-CR"/>
            <w14:ligatures w14:val="none"/>
          </w:rPr>
          <w:t>https://campus.ubl.ac.cr/course/index.php?categoryid=186</w:t>
        </w:r>
      </w:hyperlink>
    </w:p>
    <w:p w14:paraId="0B7D2E20"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5C5F2B0F"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D3167B">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4A03C972"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0E5402F1"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480199F0"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007B637C"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18A4309D"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6DE9C316"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3BEE1658"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37DC0D0E"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0FED98D2"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290C75C0"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5E0E08D6"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5B75DB86"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53737F17"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10DF8647"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6A2EFB00"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27602B75"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2F6FF608"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753E522A"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72E31D7A"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0DEEB3DB"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197686A4"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73181040"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7D345CCF"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B050"/>
          <w:kern w:val="0"/>
          <w:lang w:val="es-ES_tradnl" w:eastAsia="es-CR"/>
          <w14:ligatures w14:val="none"/>
        </w:rPr>
      </w:pPr>
    </w:p>
    <w:p w14:paraId="5CD97140"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r w:rsidRPr="00D3167B">
        <w:rPr>
          <w:rFonts w:ascii="Calibri" w:eastAsia="Times New Roman" w:hAnsi="Calibri" w:cs="Arial"/>
          <w:b/>
          <w:bCs/>
          <w:kern w:val="0"/>
          <w:lang w:val="es-ES_tradnl" w:eastAsia="es-CR"/>
          <w14:ligatures w14:val="none"/>
        </w:rPr>
        <w:lastRenderedPageBreak/>
        <w:t>VIII. Cronograma de actividades</w:t>
      </w:r>
    </w:p>
    <w:p w14:paraId="1CDA8E6D"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tbl>
      <w:tblPr>
        <w:tblStyle w:val="Tablaconcuadrcula"/>
        <w:tblW w:w="9634" w:type="dxa"/>
        <w:jc w:val="center"/>
        <w:tblLayout w:type="fixed"/>
        <w:tblLook w:val="04A0" w:firstRow="1" w:lastRow="0" w:firstColumn="1" w:lastColumn="0" w:noHBand="0" w:noVBand="1"/>
      </w:tblPr>
      <w:tblGrid>
        <w:gridCol w:w="1144"/>
        <w:gridCol w:w="2395"/>
        <w:gridCol w:w="2977"/>
        <w:gridCol w:w="3118"/>
      </w:tblGrid>
      <w:tr w:rsidR="00D3167B" w:rsidRPr="00D3167B" w14:paraId="39F28DE7" w14:textId="77777777" w:rsidTr="00104785">
        <w:trPr>
          <w:trHeight w:val="463"/>
          <w:jc w:val="center"/>
        </w:trPr>
        <w:tc>
          <w:tcPr>
            <w:tcW w:w="1144" w:type="dxa"/>
            <w:vMerge w:val="restart"/>
            <w:vAlign w:val="center"/>
          </w:tcPr>
          <w:p w14:paraId="0796ADD7"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b/>
                <w:bCs/>
                <w:sz w:val="24"/>
                <w:szCs w:val="24"/>
                <w:lang w:val="es-ES_tradnl" w:eastAsia="es-CR"/>
              </w:rPr>
            </w:pPr>
            <w:r w:rsidRPr="00D3167B">
              <w:rPr>
                <w:rFonts w:ascii="Calibri" w:eastAsia="Times New Roman" w:hAnsi="Calibri" w:cs="Arial"/>
                <w:b/>
                <w:bCs/>
                <w:sz w:val="24"/>
                <w:szCs w:val="24"/>
                <w:lang w:val="es-ES_tradnl" w:eastAsia="es-CR"/>
              </w:rPr>
              <w:t>Sesión</w:t>
            </w:r>
          </w:p>
          <w:p w14:paraId="3A97B419"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b/>
                <w:bCs/>
                <w:sz w:val="24"/>
                <w:szCs w:val="24"/>
                <w:lang w:val="es-ES_tradnl" w:eastAsia="es-CR"/>
              </w:rPr>
            </w:pPr>
            <w:r w:rsidRPr="00D3167B">
              <w:rPr>
                <w:rFonts w:ascii="Calibri" w:eastAsia="Times New Roman" w:hAnsi="Calibri" w:cs="Arial"/>
                <w:b/>
                <w:bCs/>
                <w:sz w:val="24"/>
                <w:szCs w:val="24"/>
                <w:lang w:val="es-ES_tradnl" w:eastAsia="es-CR"/>
              </w:rPr>
              <w:t>(semana)</w:t>
            </w:r>
          </w:p>
        </w:tc>
        <w:tc>
          <w:tcPr>
            <w:tcW w:w="2395" w:type="dxa"/>
            <w:vMerge w:val="restart"/>
            <w:vAlign w:val="center"/>
          </w:tcPr>
          <w:p w14:paraId="68E4F640"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b/>
                <w:bCs/>
                <w:sz w:val="24"/>
                <w:szCs w:val="24"/>
                <w:lang w:val="es-ES_tradnl" w:eastAsia="es-CR"/>
              </w:rPr>
            </w:pPr>
            <w:r w:rsidRPr="00D3167B">
              <w:rPr>
                <w:rFonts w:ascii="Calibri" w:eastAsia="Times New Roman" w:hAnsi="Calibri" w:cs="Arial"/>
                <w:b/>
                <w:bCs/>
                <w:sz w:val="24"/>
                <w:szCs w:val="24"/>
                <w:lang w:val="es-ES_tradnl" w:eastAsia="es-CR"/>
              </w:rPr>
              <w:t>Contenidos temáticos</w:t>
            </w:r>
          </w:p>
        </w:tc>
        <w:tc>
          <w:tcPr>
            <w:tcW w:w="6095" w:type="dxa"/>
            <w:gridSpan w:val="2"/>
            <w:vAlign w:val="center"/>
          </w:tcPr>
          <w:p w14:paraId="32C7E6EB"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b/>
                <w:bCs/>
                <w:sz w:val="24"/>
                <w:szCs w:val="24"/>
                <w:lang w:val="es-ES_tradnl" w:eastAsia="es-CR"/>
              </w:rPr>
            </w:pPr>
            <w:r w:rsidRPr="00D3167B">
              <w:rPr>
                <w:rFonts w:ascii="Calibri" w:eastAsia="Times New Roman" w:hAnsi="Calibri" w:cs="Arial"/>
                <w:b/>
                <w:bCs/>
                <w:sz w:val="24"/>
                <w:szCs w:val="24"/>
                <w:lang w:val="es-ES_tradnl" w:eastAsia="es-CR"/>
              </w:rPr>
              <w:t>Actividades de enseñanza-aprendizaje</w:t>
            </w:r>
          </w:p>
        </w:tc>
      </w:tr>
      <w:tr w:rsidR="00D3167B" w:rsidRPr="00D3167B" w14:paraId="4852A29C" w14:textId="77777777" w:rsidTr="00104785">
        <w:trPr>
          <w:trHeight w:val="413"/>
          <w:jc w:val="center"/>
        </w:trPr>
        <w:tc>
          <w:tcPr>
            <w:tcW w:w="1144" w:type="dxa"/>
            <w:vMerge/>
            <w:vAlign w:val="center"/>
          </w:tcPr>
          <w:p w14:paraId="293AAA2A"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b/>
                <w:bCs/>
                <w:lang w:val="es-ES_tradnl" w:eastAsia="es-CR"/>
              </w:rPr>
            </w:pPr>
          </w:p>
        </w:tc>
        <w:tc>
          <w:tcPr>
            <w:tcW w:w="2395" w:type="dxa"/>
            <w:vMerge/>
            <w:vAlign w:val="center"/>
          </w:tcPr>
          <w:p w14:paraId="4A9EDF87"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b/>
                <w:bCs/>
                <w:lang w:val="es-ES_tradnl" w:eastAsia="es-CR"/>
              </w:rPr>
            </w:pPr>
          </w:p>
        </w:tc>
        <w:tc>
          <w:tcPr>
            <w:tcW w:w="2977" w:type="dxa"/>
            <w:vAlign w:val="center"/>
          </w:tcPr>
          <w:p w14:paraId="4BF228D1"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b/>
                <w:bCs/>
                <w:sz w:val="24"/>
                <w:szCs w:val="24"/>
                <w:lang w:val="es-ES_tradnl" w:eastAsia="es-CR"/>
              </w:rPr>
            </w:pPr>
            <w:r w:rsidRPr="00D3167B">
              <w:rPr>
                <w:rFonts w:ascii="Calibri" w:eastAsia="Times New Roman" w:hAnsi="Calibri" w:cs="Arial"/>
                <w:b/>
                <w:bCs/>
                <w:sz w:val="24"/>
                <w:szCs w:val="24"/>
                <w:lang w:val="es-ES_tradnl" w:eastAsia="es-CR"/>
              </w:rPr>
              <w:t>Recursos didácticos</w:t>
            </w:r>
          </w:p>
        </w:tc>
        <w:tc>
          <w:tcPr>
            <w:tcW w:w="3118" w:type="dxa"/>
            <w:vAlign w:val="center"/>
          </w:tcPr>
          <w:p w14:paraId="2414AD8C"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b/>
                <w:bCs/>
                <w:sz w:val="24"/>
                <w:szCs w:val="24"/>
                <w:lang w:val="es-ES_tradnl" w:eastAsia="es-CR"/>
              </w:rPr>
            </w:pPr>
            <w:r w:rsidRPr="00D3167B">
              <w:rPr>
                <w:rFonts w:ascii="Calibri" w:eastAsia="Times New Roman" w:hAnsi="Calibri" w:cs="Arial"/>
                <w:b/>
                <w:bCs/>
                <w:sz w:val="24"/>
                <w:szCs w:val="24"/>
                <w:lang w:val="es-ES_tradnl" w:eastAsia="es-CR"/>
              </w:rPr>
              <w:t>Actividades de aprendizaje</w:t>
            </w:r>
          </w:p>
        </w:tc>
      </w:tr>
      <w:tr w:rsidR="00D3167B" w:rsidRPr="00D3167B" w14:paraId="7BA34D03" w14:textId="77777777" w:rsidTr="00104785">
        <w:trPr>
          <w:jc w:val="center"/>
        </w:trPr>
        <w:tc>
          <w:tcPr>
            <w:tcW w:w="1144" w:type="dxa"/>
          </w:tcPr>
          <w:p w14:paraId="253510D7"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7FD3DD98"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1</w:t>
            </w:r>
          </w:p>
        </w:tc>
        <w:tc>
          <w:tcPr>
            <w:tcW w:w="2395" w:type="dxa"/>
          </w:tcPr>
          <w:p w14:paraId="7DE91A15"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1: </w:t>
            </w:r>
            <w:r w:rsidRPr="00D3167B">
              <w:rPr>
                <w:rFonts w:ascii="Calibri" w:eastAsia="Times New Roman" w:hAnsi="Calibri" w:cs="Arial"/>
                <w:b/>
                <w:color w:val="000000"/>
                <w:lang w:val="es-ES_tradnl" w:eastAsia="es-CR"/>
              </w:rPr>
              <w:t>Marco teórico desde donde se realizará el estudio del libro o tema del Antiguo Testamento seleccionado</w:t>
            </w:r>
          </w:p>
          <w:p w14:paraId="729AA038"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310189A4" w14:textId="77777777" w:rsidR="00D3167B" w:rsidRPr="00D3167B" w:rsidRDefault="00D3167B" w:rsidP="00D3167B">
            <w:pPr>
              <w:autoSpaceDE w:val="0"/>
              <w:autoSpaceDN w:val="0"/>
              <w:adjustRightInd w:val="0"/>
              <w:rPr>
                <w:rFonts w:ascii="Calibri" w:eastAsia="Times New Roman" w:hAnsi="Calibri" w:cs="Arial"/>
                <w:b/>
                <w:bCs/>
                <w:color w:val="000000"/>
                <w:lang w:val="es-ES_tradnl" w:eastAsia="es-CR"/>
              </w:rPr>
            </w:pPr>
            <w:r w:rsidRPr="00D3167B">
              <w:rPr>
                <w:rFonts w:ascii="Calibri" w:eastAsia="Times New Roman" w:hAnsi="Calibri" w:cs="Arial"/>
                <w:bCs/>
                <w:color w:val="000000"/>
                <w:lang w:val="es-ES_tradnl" w:eastAsia="es-CR"/>
              </w:rPr>
              <w:t>1.1 P</w:t>
            </w:r>
            <w:r w:rsidRPr="00D3167B">
              <w:rPr>
                <w:rFonts w:ascii="Calibri" w:eastAsia="Times New Roman" w:hAnsi="Calibri" w:cs="Arial"/>
                <w:color w:val="000000"/>
                <w:lang w:val="es-ES_tradnl" w:eastAsia="es-CR"/>
              </w:rPr>
              <w:t>roblemáticas introductorias que afectan al libro del Antiguo Testamento seleccionado</w:t>
            </w:r>
          </w:p>
          <w:p w14:paraId="230A37D0"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5A0BFB3B"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t>Ruta de aprendizaje</w:t>
            </w:r>
          </w:p>
          <w:p w14:paraId="18B1EA04"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p>
          <w:p w14:paraId="7C6B5E49"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b/>
                <w:bCs/>
                <w:iCs/>
                <w:color w:val="0070C0"/>
                <w:lang w:eastAsia="es-CR"/>
              </w:rPr>
              <w:t>Material complementario</w:t>
            </w:r>
          </w:p>
          <w:p w14:paraId="3E0D179F"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p>
          <w:p w14:paraId="17500768"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lang w:eastAsia="es-CR"/>
              </w:rPr>
            </w:pPr>
            <w:r w:rsidRPr="00D3167B">
              <w:rPr>
                <w:rFonts w:ascii="Calibri" w:eastAsia="Times New Roman" w:hAnsi="Calibri" w:cs="Calibri"/>
                <w:iCs/>
                <w:color w:val="0070C0"/>
                <w:lang w:eastAsia="es-CR"/>
              </w:rPr>
              <w:t>Guía para la participación en un foro en la plataforma Moodle</w:t>
            </w:r>
          </w:p>
          <w:p w14:paraId="7438CFAF"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lang w:eastAsia="es-CR"/>
              </w:rPr>
            </w:pPr>
          </w:p>
          <w:p w14:paraId="4284618A"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color w:val="0563C1"/>
                <w:lang w:val="es-ES_tradnl" w:eastAsia="es-CR"/>
              </w:rPr>
              <w:t xml:space="preserve">Guía para la participación mediante la herramienta Big Blue </w:t>
            </w:r>
            <w:proofErr w:type="spellStart"/>
            <w:r w:rsidRPr="00D3167B">
              <w:rPr>
                <w:rFonts w:ascii="Calibri" w:eastAsia="Times New Roman" w:hAnsi="Calibri" w:cs="Calibri"/>
                <w:color w:val="0563C1"/>
                <w:lang w:val="es-ES_tradnl" w:eastAsia="es-CR"/>
              </w:rPr>
              <w:t>Button</w:t>
            </w:r>
            <w:proofErr w:type="spellEnd"/>
            <w:r w:rsidRPr="00D3167B">
              <w:rPr>
                <w:rFonts w:ascii="Calibri" w:eastAsia="Times New Roman" w:hAnsi="Calibri" w:cs="Calibri"/>
                <w:color w:val="0563C1"/>
                <w:lang w:val="es-ES_tradnl" w:eastAsia="es-CR"/>
              </w:rPr>
              <w:t xml:space="preserve"> en la plataforma Moodle</w:t>
            </w:r>
          </w:p>
        </w:tc>
        <w:tc>
          <w:tcPr>
            <w:tcW w:w="3118" w:type="dxa"/>
          </w:tcPr>
          <w:p w14:paraId="6B9EB370" w14:textId="77777777" w:rsidR="00D3167B" w:rsidRPr="00D3167B" w:rsidRDefault="00D3167B" w:rsidP="00D3167B">
            <w:pPr>
              <w:widowControl w:val="0"/>
              <w:numPr>
                <w:ilvl w:val="0"/>
                <w:numId w:val="301"/>
              </w:numPr>
              <w:overflowPunct w:val="0"/>
              <w:autoSpaceDE w:val="0"/>
              <w:autoSpaceDN w:val="0"/>
              <w:adjustRightInd w:val="0"/>
              <w:spacing w:before="120" w:after="200" w:line="276" w:lineRule="auto"/>
              <w:ind w:left="316"/>
              <w:contextualSpacing/>
              <w:rPr>
                <w:rFonts w:ascii="Calibri" w:eastAsia="Calibri" w:hAnsi="Calibri" w:cs="Arial"/>
              </w:rPr>
            </w:pPr>
            <w:r w:rsidRPr="00D3167B">
              <w:rPr>
                <w:rFonts w:ascii="Calibri" w:eastAsia="Calibri" w:hAnsi="Calibri" w:cs="Arial"/>
              </w:rPr>
              <w:t>Participación en el foro social CAFETERÍA.</w:t>
            </w:r>
          </w:p>
          <w:p w14:paraId="4256B464" w14:textId="77777777" w:rsidR="00D3167B" w:rsidRPr="00D3167B" w:rsidRDefault="00D3167B" w:rsidP="00D3167B">
            <w:pPr>
              <w:widowControl w:val="0"/>
              <w:numPr>
                <w:ilvl w:val="0"/>
                <w:numId w:val="301"/>
              </w:numPr>
              <w:overflowPunct w:val="0"/>
              <w:autoSpaceDE w:val="0"/>
              <w:autoSpaceDN w:val="0"/>
              <w:adjustRightInd w:val="0"/>
              <w:spacing w:before="120" w:after="200" w:line="276" w:lineRule="auto"/>
              <w:ind w:left="316"/>
              <w:contextualSpacing/>
              <w:rPr>
                <w:rFonts w:ascii="Calibri" w:eastAsia="Calibri" w:hAnsi="Calibri" w:cs="Arial"/>
              </w:rPr>
            </w:pPr>
            <w:r w:rsidRPr="00D3167B">
              <w:rPr>
                <w:rFonts w:ascii="Calibri" w:eastAsia="Calibri" w:hAnsi="Calibri" w:cs="Arial"/>
              </w:rPr>
              <w:t xml:space="preserve">Participación en el foro de dudas. </w:t>
            </w:r>
          </w:p>
          <w:p w14:paraId="13533EF7" w14:textId="77777777" w:rsidR="00D3167B" w:rsidRPr="00D3167B" w:rsidRDefault="00D3167B" w:rsidP="00D3167B">
            <w:pPr>
              <w:widowControl w:val="0"/>
              <w:numPr>
                <w:ilvl w:val="0"/>
                <w:numId w:val="301"/>
              </w:numPr>
              <w:overflowPunct w:val="0"/>
              <w:autoSpaceDE w:val="0"/>
              <w:autoSpaceDN w:val="0"/>
              <w:adjustRightInd w:val="0"/>
              <w:spacing w:before="120" w:after="200" w:line="276" w:lineRule="auto"/>
              <w:ind w:left="316"/>
              <w:contextualSpacing/>
              <w:rPr>
                <w:rFonts w:ascii="Calibri" w:eastAsia="Calibri" w:hAnsi="Calibri" w:cs="Arial"/>
              </w:rPr>
            </w:pPr>
            <w:r w:rsidRPr="00D3167B">
              <w:rPr>
                <w:rFonts w:ascii="Calibri" w:eastAsia="Calibri" w:hAnsi="Calibri" w:cs="Arial"/>
              </w:rPr>
              <w:t xml:space="preserve">Introducción a las temáticas del curso y al libro bíblico que se estudiará en un encuentro sincrónico virtual. </w:t>
            </w:r>
          </w:p>
        </w:tc>
      </w:tr>
      <w:tr w:rsidR="00D3167B" w:rsidRPr="00D3167B" w14:paraId="3BC3332B" w14:textId="77777777" w:rsidTr="00104785">
        <w:trPr>
          <w:jc w:val="center"/>
        </w:trPr>
        <w:tc>
          <w:tcPr>
            <w:tcW w:w="1144" w:type="dxa"/>
          </w:tcPr>
          <w:p w14:paraId="42CE70A3"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04C4037F"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2</w:t>
            </w:r>
          </w:p>
        </w:tc>
        <w:tc>
          <w:tcPr>
            <w:tcW w:w="2395" w:type="dxa"/>
          </w:tcPr>
          <w:p w14:paraId="6EC6D04A"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1: </w:t>
            </w:r>
            <w:r w:rsidRPr="00D3167B">
              <w:rPr>
                <w:rFonts w:ascii="Calibri" w:eastAsia="Times New Roman" w:hAnsi="Calibri" w:cs="Arial"/>
                <w:b/>
                <w:color w:val="000000"/>
                <w:lang w:val="es-ES_tradnl" w:eastAsia="es-CR"/>
              </w:rPr>
              <w:t>Marco teórico desde donde se realizará el estudio del libro o tema del Antiguo Testamento seleccionado</w:t>
            </w:r>
          </w:p>
          <w:p w14:paraId="5C3186B7"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730A009B" w14:textId="77777777" w:rsidR="00D3167B" w:rsidRPr="00D3167B" w:rsidRDefault="00D3167B" w:rsidP="00D3167B">
            <w:pPr>
              <w:autoSpaceDE w:val="0"/>
              <w:autoSpaceDN w:val="0"/>
              <w:adjustRightInd w:val="0"/>
              <w:rPr>
                <w:rFonts w:ascii="Calibri" w:eastAsia="Times New Roman" w:hAnsi="Calibri" w:cs="Arial"/>
                <w:b/>
                <w:bCs/>
                <w:color w:val="000000"/>
                <w:lang w:val="es-ES_tradnl" w:eastAsia="es-CR"/>
              </w:rPr>
            </w:pPr>
            <w:r w:rsidRPr="00D3167B">
              <w:rPr>
                <w:rFonts w:ascii="Calibri" w:eastAsia="Times New Roman" w:hAnsi="Calibri" w:cs="Arial"/>
                <w:bCs/>
                <w:color w:val="000000"/>
                <w:lang w:val="es-ES_tradnl" w:eastAsia="es-CR"/>
              </w:rPr>
              <w:t>1.1 P</w:t>
            </w:r>
            <w:r w:rsidRPr="00D3167B">
              <w:rPr>
                <w:rFonts w:ascii="Calibri" w:eastAsia="Times New Roman" w:hAnsi="Calibri" w:cs="Arial"/>
                <w:color w:val="000000"/>
                <w:lang w:val="es-ES_tradnl" w:eastAsia="es-CR"/>
              </w:rPr>
              <w:t>roblemáticas introductorias que afectan al libro del Antiguo Testamento seleccionado</w:t>
            </w:r>
          </w:p>
          <w:p w14:paraId="61C62A40"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0A4FC17B" w14:textId="77777777" w:rsidR="00D3167B" w:rsidRPr="00D3167B" w:rsidRDefault="00D3167B" w:rsidP="00D3167B">
            <w:pPr>
              <w:widowControl w:val="0"/>
              <w:overflowPunct w:val="0"/>
              <w:autoSpaceDE w:val="0"/>
              <w:autoSpaceDN w:val="0"/>
              <w:adjustRightInd w:val="0"/>
              <w:rPr>
                <w:rFonts w:ascii="Calibri" w:eastAsia="Times New Roman" w:hAnsi="Calibri" w:cs="Calibri"/>
                <w:iCs/>
                <w:lang w:eastAsia="es-CR"/>
              </w:rPr>
            </w:pPr>
            <w:r w:rsidRPr="00D3167B">
              <w:rPr>
                <w:rFonts w:ascii="Calibri" w:eastAsia="Times New Roman" w:hAnsi="Calibri" w:cs="Arial"/>
                <w:color w:val="0070C0"/>
                <w:lang w:val="es-ES_tradnl" w:eastAsia="es-CR"/>
              </w:rPr>
              <w:t>Ruta de aprendizaje</w:t>
            </w:r>
          </w:p>
          <w:p w14:paraId="30BE3233" w14:textId="77777777" w:rsidR="00D3167B" w:rsidRPr="00D3167B" w:rsidRDefault="00D3167B" w:rsidP="00D3167B">
            <w:pPr>
              <w:widowControl w:val="0"/>
              <w:overflowPunct w:val="0"/>
              <w:autoSpaceDE w:val="0"/>
              <w:autoSpaceDN w:val="0"/>
              <w:adjustRightInd w:val="0"/>
              <w:rPr>
                <w:rFonts w:ascii="Calibri" w:eastAsia="Times New Roman" w:hAnsi="Calibri" w:cs="Calibri"/>
                <w:iCs/>
                <w:lang w:eastAsia="es-CR"/>
              </w:rPr>
            </w:pPr>
          </w:p>
          <w:p w14:paraId="0B988FF1" w14:textId="77777777" w:rsidR="00D3167B" w:rsidRPr="00D3167B" w:rsidRDefault="00D3167B" w:rsidP="00D3167B">
            <w:pPr>
              <w:widowControl w:val="0"/>
              <w:overflowPunct w:val="0"/>
              <w:autoSpaceDE w:val="0"/>
              <w:autoSpaceDN w:val="0"/>
              <w:adjustRightInd w:val="0"/>
              <w:rPr>
                <w:rFonts w:ascii="Calibri" w:eastAsia="Times New Roman" w:hAnsi="Calibri" w:cs="Calibri"/>
                <w:shd w:val="clear" w:color="auto" w:fill="FFFFFF"/>
                <w:lang w:eastAsia="es-CR"/>
              </w:rPr>
            </w:pPr>
            <w:r w:rsidRPr="00D3167B">
              <w:rPr>
                <w:rFonts w:ascii="Calibri" w:eastAsia="Times New Roman" w:hAnsi="Calibri" w:cs="Calibri"/>
                <w:iCs/>
                <w:lang w:eastAsia="es-CR"/>
              </w:rPr>
              <w:t xml:space="preserve">“Rut”. En </w:t>
            </w:r>
            <w:r w:rsidRPr="00D3167B">
              <w:rPr>
                <w:rFonts w:ascii="Calibri" w:eastAsia="Times New Roman" w:hAnsi="Calibri" w:cs="Calibri"/>
                <w:i/>
                <w:iCs/>
                <w:shd w:val="clear" w:color="auto" w:fill="FFFFFF"/>
                <w:lang w:eastAsia="es-CR"/>
              </w:rPr>
              <w:t>Biblia de Jerusalén</w:t>
            </w:r>
            <w:r w:rsidRPr="00D3167B">
              <w:rPr>
                <w:rFonts w:ascii="Calibri" w:eastAsia="Times New Roman" w:hAnsi="Calibri" w:cs="Calibri"/>
                <w:shd w:val="clear" w:color="auto" w:fill="FFFFFF"/>
                <w:lang w:eastAsia="es-CR"/>
              </w:rPr>
              <w:t>, 361-366. Bilbao: Desclée de Brouwer, 1998.</w:t>
            </w:r>
          </w:p>
          <w:p w14:paraId="76D6D9FA" w14:textId="77777777" w:rsidR="00D3167B" w:rsidRPr="00D3167B" w:rsidRDefault="00D3167B" w:rsidP="00D3167B">
            <w:pPr>
              <w:widowControl w:val="0"/>
              <w:overflowPunct w:val="0"/>
              <w:autoSpaceDE w:val="0"/>
              <w:autoSpaceDN w:val="0"/>
              <w:adjustRightInd w:val="0"/>
              <w:rPr>
                <w:rFonts w:ascii="Calibri" w:eastAsia="Times New Roman" w:hAnsi="Calibri" w:cs="Calibri"/>
                <w:shd w:val="clear" w:color="auto" w:fill="FFFFFF"/>
                <w:lang w:val="es-ES_tradnl" w:eastAsia="es-CR"/>
              </w:rPr>
            </w:pPr>
          </w:p>
          <w:p w14:paraId="2B754C53" w14:textId="77777777" w:rsidR="00D3167B" w:rsidRPr="00D3167B" w:rsidRDefault="00D3167B" w:rsidP="00D3167B">
            <w:pPr>
              <w:widowControl w:val="0"/>
              <w:overflowPunct w:val="0"/>
              <w:autoSpaceDE w:val="0"/>
              <w:autoSpaceDN w:val="0"/>
              <w:adjustRightInd w:val="0"/>
              <w:rPr>
                <w:rFonts w:ascii="Calibri" w:eastAsia="Times New Roman" w:hAnsi="Calibri" w:cs="Calibri"/>
                <w:shd w:val="clear" w:color="auto" w:fill="FFFFFF"/>
                <w:lang w:eastAsia="es-CR"/>
              </w:rPr>
            </w:pPr>
            <w:proofErr w:type="spellStart"/>
            <w:r w:rsidRPr="00D3167B">
              <w:rPr>
                <w:rFonts w:ascii="Calibri" w:eastAsia="Times New Roman" w:hAnsi="Calibri" w:cs="Calibri"/>
                <w:shd w:val="clear" w:color="auto" w:fill="FFFFFF"/>
                <w:lang w:eastAsia="es-CR"/>
              </w:rPr>
              <w:t>Schökel</w:t>
            </w:r>
            <w:proofErr w:type="spellEnd"/>
            <w:r w:rsidRPr="00D3167B">
              <w:rPr>
                <w:rFonts w:ascii="Calibri" w:eastAsia="Times New Roman" w:hAnsi="Calibri" w:cs="Calibri"/>
                <w:shd w:val="clear" w:color="auto" w:fill="FFFFFF"/>
                <w:lang w:eastAsia="es-CR"/>
              </w:rPr>
              <w:t>, Luis Alonso</w:t>
            </w:r>
            <w:r w:rsidRPr="00D3167B">
              <w:rPr>
                <w:rFonts w:ascii="Calibri" w:eastAsia="Times New Roman" w:hAnsi="Calibri" w:cs="Calibri"/>
                <w:i/>
                <w:iCs/>
                <w:shd w:val="clear" w:color="auto" w:fill="FFFFFF"/>
                <w:lang w:eastAsia="es-CR"/>
              </w:rPr>
              <w:t xml:space="preserve">. </w:t>
            </w:r>
            <w:r w:rsidRPr="00D3167B">
              <w:rPr>
                <w:rFonts w:ascii="Calibri" w:eastAsia="Times New Roman" w:hAnsi="Calibri" w:cs="Calibri"/>
                <w:shd w:val="clear" w:color="auto" w:fill="FFFFFF"/>
                <w:lang w:eastAsia="es-CR"/>
              </w:rPr>
              <w:t>“Rut”. En</w:t>
            </w:r>
            <w:r w:rsidRPr="00D3167B">
              <w:rPr>
                <w:rFonts w:ascii="Calibri" w:eastAsia="Times New Roman" w:hAnsi="Calibri" w:cs="Calibri"/>
                <w:i/>
                <w:iCs/>
                <w:shd w:val="clear" w:color="auto" w:fill="FFFFFF"/>
                <w:lang w:eastAsia="es-CR"/>
              </w:rPr>
              <w:t xml:space="preserve"> Biblia del Peregrino</w:t>
            </w:r>
            <w:r w:rsidRPr="00D3167B">
              <w:rPr>
                <w:rFonts w:ascii="Calibri" w:eastAsia="Times New Roman" w:hAnsi="Calibri" w:cs="Calibri"/>
                <w:shd w:val="clear" w:color="auto" w:fill="FFFFFF"/>
                <w:lang w:eastAsia="es-CR"/>
              </w:rPr>
              <w:t xml:space="preserve">, 993-1005. Bilbao: Ega-Mensajero-Verbo Divino, 1998. </w:t>
            </w:r>
            <w:r w:rsidRPr="00D3167B">
              <w:rPr>
                <w:rFonts w:ascii="Calibri" w:eastAsia="Times New Roman" w:hAnsi="Calibri" w:cs="Calibri"/>
                <w:color w:val="0070C0"/>
                <w:szCs w:val="18"/>
                <w:lang w:val="es-ES_tradnl" w:eastAsia="es-CR"/>
              </w:rPr>
              <w:t>(clásico, última edición)</w:t>
            </w:r>
          </w:p>
          <w:p w14:paraId="4DFDD369" w14:textId="77777777" w:rsidR="00D3167B" w:rsidRPr="00D3167B" w:rsidRDefault="00D3167B" w:rsidP="00D3167B">
            <w:pPr>
              <w:widowControl w:val="0"/>
              <w:overflowPunct w:val="0"/>
              <w:autoSpaceDE w:val="0"/>
              <w:autoSpaceDN w:val="0"/>
              <w:adjustRightInd w:val="0"/>
              <w:rPr>
                <w:rFonts w:ascii="Calibri" w:eastAsia="Times New Roman" w:hAnsi="Calibri" w:cs="Calibri"/>
                <w:shd w:val="clear" w:color="auto" w:fill="FFFFFF"/>
                <w:lang w:val="es-ES_tradnl" w:eastAsia="es-CR"/>
              </w:rPr>
            </w:pPr>
          </w:p>
          <w:p w14:paraId="1DA43305"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lang w:val="es-ES" w:eastAsia="es-CR"/>
              </w:rPr>
            </w:pPr>
            <w:r w:rsidRPr="00D3167B">
              <w:rPr>
                <w:rFonts w:ascii="Calibri" w:eastAsia="Times New Roman" w:hAnsi="Calibri" w:cs="Calibri"/>
                <w:iCs/>
                <w:color w:val="000000"/>
                <w:lang w:eastAsia="es-CR"/>
              </w:rPr>
              <w:t xml:space="preserve">Sáenz </w:t>
            </w:r>
            <w:proofErr w:type="spellStart"/>
            <w:r w:rsidRPr="00D3167B">
              <w:rPr>
                <w:rFonts w:ascii="Calibri" w:eastAsia="Times New Roman" w:hAnsi="Calibri" w:cs="Calibri"/>
                <w:iCs/>
                <w:color w:val="000000"/>
                <w:lang w:eastAsia="es-CR"/>
              </w:rPr>
              <w:t>Badillos</w:t>
            </w:r>
            <w:proofErr w:type="spellEnd"/>
            <w:r w:rsidRPr="00D3167B">
              <w:rPr>
                <w:rFonts w:ascii="Calibri" w:eastAsia="Times New Roman" w:hAnsi="Calibri" w:cs="Calibri"/>
                <w:iCs/>
                <w:color w:val="000000"/>
                <w:lang w:eastAsia="es-CR"/>
              </w:rPr>
              <w:t xml:space="preserve">, Ángel y Judit </w:t>
            </w:r>
            <w:proofErr w:type="spellStart"/>
            <w:r w:rsidRPr="00D3167B">
              <w:rPr>
                <w:rFonts w:ascii="Calibri" w:eastAsia="Times New Roman" w:hAnsi="Calibri" w:cs="Calibri"/>
                <w:iCs/>
                <w:color w:val="000000"/>
                <w:lang w:eastAsia="es-CR"/>
              </w:rPr>
              <w:t>Targarona</w:t>
            </w:r>
            <w:proofErr w:type="spellEnd"/>
            <w:r w:rsidRPr="00D3167B">
              <w:rPr>
                <w:rFonts w:ascii="Calibri" w:eastAsia="Times New Roman" w:hAnsi="Calibri" w:cs="Calibri"/>
                <w:iCs/>
                <w:color w:val="000000"/>
                <w:lang w:eastAsia="es-CR"/>
              </w:rPr>
              <w:t xml:space="preserve">. “Rut”. En </w:t>
            </w:r>
            <w:r w:rsidRPr="00D3167B">
              <w:rPr>
                <w:rFonts w:ascii="Calibri" w:eastAsia="Times New Roman" w:hAnsi="Calibri" w:cs="Calibri"/>
                <w:i/>
                <w:color w:val="000000"/>
                <w:lang w:eastAsia="es-CR"/>
              </w:rPr>
              <w:t>Antiguo Testamento Interlineal. Hebreo-Español. Libros Históricos (I)</w:t>
            </w:r>
            <w:r w:rsidRPr="00D3167B">
              <w:rPr>
                <w:rFonts w:ascii="Calibri" w:eastAsia="Times New Roman" w:hAnsi="Calibri" w:cs="Calibri"/>
                <w:iCs/>
                <w:color w:val="000000"/>
                <w:lang w:eastAsia="es-CR"/>
              </w:rPr>
              <w:t xml:space="preserve">, 218-232. </w:t>
            </w:r>
            <w:r w:rsidRPr="00D3167B">
              <w:rPr>
                <w:rFonts w:ascii="Calibri" w:eastAsia="Times New Roman" w:hAnsi="Calibri" w:cs="Calibri"/>
                <w:iCs/>
                <w:color w:val="000000"/>
                <w:lang w:val="es-ES_tradnl" w:eastAsia="es-CR"/>
              </w:rPr>
              <w:t xml:space="preserve">Barcelona: CLIE, 1992. </w:t>
            </w:r>
            <w:r w:rsidRPr="00D3167B">
              <w:rPr>
                <w:rFonts w:ascii="Calibri" w:eastAsia="Times New Roman" w:hAnsi="Calibri" w:cs="Calibri"/>
                <w:iCs/>
                <w:color w:val="0070C0"/>
                <w:lang w:val="es-ES_tradnl" w:eastAsia="es-CR"/>
              </w:rPr>
              <w:t>(clásico, última edición)</w:t>
            </w:r>
          </w:p>
          <w:p w14:paraId="3F46126B"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p w14:paraId="7E3D7746"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b/>
                <w:bCs/>
                <w:iCs/>
                <w:color w:val="0070C0"/>
                <w:lang w:eastAsia="es-CR"/>
              </w:rPr>
              <w:t>Material complementario</w:t>
            </w:r>
          </w:p>
          <w:p w14:paraId="1715A18F"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p>
          <w:p w14:paraId="33E3986F"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lang w:eastAsia="es-CR"/>
              </w:rPr>
            </w:pPr>
            <w:r w:rsidRPr="00D3167B">
              <w:rPr>
                <w:rFonts w:ascii="Calibri" w:eastAsia="Times New Roman" w:hAnsi="Calibri" w:cs="Calibri"/>
                <w:iCs/>
                <w:color w:val="0070C0"/>
                <w:lang w:eastAsia="es-CR"/>
              </w:rPr>
              <w:t>Guía para la participación en un foro en la plataforma Moodle</w:t>
            </w:r>
          </w:p>
          <w:p w14:paraId="3D5B979E"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tc>
        <w:tc>
          <w:tcPr>
            <w:tcW w:w="3118" w:type="dxa"/>
          </w:tcPr>
          <w:p w14:paraId="7DD45233" w14:textId="77777777" w:rsidR="00D3167B" w:rsidRPr="00D3167B" w:rsidRDefault="00D3167B" w:rsidP="00D3167B">
            <w:pPr>
              <w:widowControl w:val="0"/>
              <w:numPr>
                <w:ilvl w:val="0"/>
                <w:numId w:val="302"/>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Realizar las lecturas de la sesión. </w:t>
            </w:r>
          </w:p>
          <w:p w14:paraId="55626B82" w14:textId="77777777" w:rsidR="00D3167B" w:rsidRPr="00D3167B" w:rsidRDefault="00D3167B" w:rsidP="00D3167B">
            <w:pPr>
              <w:widowControl w:val="0"/>
              <w:numPr>
                <w:ilvl w:val="0"/>
                <w:numId w:val="302"/>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Participación en el foro temático: Las traducciones bíblicas del libro de Rut. </w:t>
            </w:r>
          </w:p>
        </w:tc>
      </w:tr>
      <w:tr w:rsidR="00D3167B" w:rsidRPr="00D3167B" w14:paraId="355530CD" w14:textId="77777777" w:rsidTr="00104785">
        <w:trPr>
          <w:jc w:val="center"/>
        </w:trPr>
        <w:tc>
          <w:tcPr>
            <w:tcW w:w="1144" w:type="dxa"/>
          </w:tcPr>
          <w:p w14:paraId="4A8EC366"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Times New Roman" w:eastAsia="Times New Roman" w:hAnsi="Times New Roman" w:cs="Times New Roman"/>
                <w:sz w:val="24"/>
                <w:szCs w:val="20"/>
                <w:lang w:val="es-ES_tradnl" w:eastAsia="es-CR"/>
              </w:rPr>
              <w:br w:type="page"/>
            </w:r>
          </w:p>
          <w:p w14:paraId="61EB0488"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3</w:t>
            </w:r>
          </w:p>
        </w:tc>
        <w:tc>
          <w:tcPr>
            <w:tcW w:w="2395" w:type="dxa"/>
          </w:tcPr>
          <w:p w14:paraId="1019C581"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1: </w:t>
            </w:r>
            <w:r w:rsidRPr="00D3167B">
              <w:rPr>
                <w:rFonts w:ascii="Calibri" w:eastAsia="Times New Roman" w:hAnsi="Calibri" w:cs="Arial"/>
                <w:b/>
                <w:color w:val="000000"/>
                <w:lang w:val="es-ES_tradnl" w:eastAsia="es-CR"/>
              </w:rPr>
              <w:t xml:space="preserve">Marco teórico desde donde se realizará el estudio del </w:t>
            </w:r>
            <w:r w:rsidRPr="00D3167B">
              <w:rPr>
                <w:rFonts w:ascii="Calibri" w:eastAsia="Times New Roman" w:hAnsi="Calibri" w:cs="Arial"/>
                <w:b/>
                <w:color w:val="000000"/>
                <w:lang w:val="es-ES_tradnl" w:eastAsia="es-CR"/>
              </w:rPr>
              <w:lastRenderedPageBreak/>
              <w:t>libro o tema del Antiguo Testamento seleccionado</w:t>
            </w:r>
          </w:p>
          <w:p w14:paraId="47BA8F26"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5B1281DD" w14:textId="77777777" w:rsidR="00D3167B" w:rsidRPr="00D3167B" w:rsidRDefault="00D3167B" w:rsidP="00D3167B">
            <w:pPr>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bCs/>
                <w:color w:val="000000"/>
                <w:lang w:val="es-ES_tradnl" w:eastAsia="es-CR"/>
              </w:rPr>
              <w:t>1.1 P</w:t>
            </w:r>
            <w:r w:rsidRPr="00D3167B">
              <w:rPr>
                <w:rFonts w:ascii="Calibri" w:eastAsia="Times New Roman" w:hAnsi="Calibri" w:cs="Arial"/>
                <w:color w:val="000000"/>
                <w:lang w:val="es-ES_tradnl" w:eastAsia="es-CR"/>
              </w:rPr>
              <w:t>roblemáticas introductorias que afectan al libro del Antiguo Testamento seleccionado</w:t>
            </w:r>
          </w:p>
          <w:p w14:paraId="700CEC0D" w14:textId="77777777" w:rsidR="00D3167B" w:rsidRPr="00D3167B" w:rsidRDefault="00D3167B" w:rsidP="00D3167B">
            <w:pPr>
              <w:autoSpaceDE w:val="0"/>
              <w:autoSpaceDN w:val="0"/>
              <w:adjustRightInd w:val="0"/>
              <w:rPr>
                <w:rFonts w:ascii="Calibri" w:eastAsia="Times New Roman" w:hAnsi="Calibri" w:cs="Arial"/>
                <w:lang w:val="es-ES_tradnl" w:eastAsia="es-CR"/>
              </w:rPr>
            </w:pPr>
          </w:p>
        </w:tc>
        <w:tc>
          <w:tcPr>
            <w:tcW w:w="2977" w:type="dxa"/>
          </w:tcPr>
          <w:p w14:paraId="3AC896B9"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lastRenderedPageBreak/>
              <w:t>Ruta de aprendizaje</w:t>
            </w:r>
          </w:p>
          <w:p w14:paraId="3C4B158B"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p>
          <w:p w14:paraId="27864346" w14:textId="77777777" w:rsidR="00D3167B" w:rsidRPr="00D3167B" w:rsidRDefault="00D3167B" w:rsidP="00D3167B">
            <w:pPr>
              <w:widowControl w:val="0"/>
              <w:overflowPunct w:val="0"/>
              <w:autoSpaceDE w:val="0"/>
              <w:autoSpaceDN w:val="0"/>
              <w:adjustRightInd w:val="0"/>
              <w:rPr>
                <w:rFonts w:ascii="Calibri" w:eastAsia="Times New Roman" w:hAnsi="Calibri" w:cs="Calibri"/>
                <w:szCs w:val="18"/>
                <w:lang w:val="es-ES" w:eastAsia="es-CR"/>
              </w:rPr>
            </w:pPr>
            <w:r w:rsidRPr="00D3167B">
              <w:rPr>
                <w:rFonts w:ascii="Calibri" w:eastAsia="Times New Roman" w:hAnsi="Calibri" w:cs="Calibri"/>
                <w:iCs/>
                <w:szCs w:val="18"/>
                <w:lang w:eastAsia="es-CR"/>
              </w:rPr>
              <w:t>Navarro Puerto, Mercedes</w:t>
            </w:r>
            <w:r w:rsidRPr="00D3167B">
              <w:rPr>
                <w:rFonts w:ascii="Calibri" w:eastAsia="Times New Roman" w:hAnsi="Calibri" w:cs="Calibri"/>
                <w:szCs w:val="18"/>
                <w:lang w:val="es-ES" w:eastAsia="es-CR"/>
              </w:rPr>
              <w:t xml:space="preserve">. “El </w:t>
            </w:r>
            <w:r w:rsidRPr="00D3167B">
              <w:rPr>
                <w:rFonts w:ascii="Calibri" w:eastAsia="Times New Roman" w:hAnsi="Calibri" w:cs="Calibri"/>
                <w:szCs w:val="18"/>
                <w:lang w:val="es-ES" w:eastAsia="es-CR"/>
              </w:rPr>
              <w:lastRenderedPageBreak/>
              <w:t xml:space="preserve">libro de Rut”. En </w:t>
            </w:r>
            <w:r w:rsidRPr="00D3167B">
              <w:rPr>
                <w:rFonts w:ascii="Calibri" w:eastAsia="Times New Roman" w:hAnsi="Calibri" w:cs="Calibri"/>
                <w:i/>
                <w:iCs/>
                <w:szCs w:val="18"/>
                <w:lang w:val="es-ES" w:eastAsia="es-CR"/>
              </w:rPr>
              <w:t>Historia, narrativa, apocalíptica</w:t>
            </w:r>
            <w:r w:rsidRPr="00D3167B">
              <w:rPr>
                <w:rFonts w:ascii="Calibri" w:eastAsia="Times New Roman" w:hAnsi="Calibri" w:cs="Calibri"/>
                <w:szCs w:val="18"/>
                <w:lang w:val="es-ES" w:eastAsia="es-CR"/>
              </w:rPr>
              <w:t>, editado por Antonio González Lamadrid, et al., 381-401. Estella (Navarra): Verbo Divino, 2003.</w:t>
            </w:r>
            <w:r w:rsidRPr="00D3167B">
              <w:rPr>
                <w:rFonts w:ascii="Calibri" w:eastAsia="Times New Roman" w:hAnsi="Calibri" w:cs="Calibri"/>
                <w:iCs/>
                <w:color w:val="0070C0"/>
                <w:lang w:val="es-ES_tradnl" w:eastAsia="es-CR"/>
              </w:rPr>
              <w:t xml:space="preserve"> (clásico, última edición)</w:t>
            </w:r>
          </w:p>
          <w:p w14:paraId="64CF9CBC" w14:textId="77777777" w:rsidR="00D3167B" w:rsidRPr="00D3167B" w:rsidRDefault="00D3167B" w:rsidP="00D3167B">
            <w:pPr>
              <w:widowControl w:val="0"/>
              <w:overflowPunct w:val="0"/>
              <w:autoSpaceDE w:val="0"/>
              <w:autoSpaceDN w:val="0"/>
              <w:adjustRightInd w:val="0"/>
              <w:rPr>
                <w:rFonts w:ascii="Calibri" w:eastAsia="Times New Roman" w:hAnsi="Calibri" w:cs="Calibri"/>
                <w:szCs w:val="18"/>
                <w:lang w:val="es-ES" w:eastAsia="es-CR"/>
              </w:rPr>
            </w:pPr>
          </w:p>
          <w:p w14:paraId="0BBCBD01"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b/>
                <w:bCs/>
                <w:iCs/>
                <w:color w:val="0070C0"/>
                <w:lang w:eastAsia="es-CR"/>
              </w:rPr>
              <w:t>Material complementario</w:t>
            </w:r>
          </w:p>
          <w:p w14:paraId="62AB87A2"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p>
          <w:p w14:paraId="697F3B80"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lang w:eastAsia="es-CR"/>
              </w:rPr>
            </w:pPr>
            <w:r w:rsidRPr="00D3167B">
              <w:rPr>
                <w:rFonts w:ascii="Calibri" w:eastAsia="Times New Roman" w:hAnsi="Calibri" w:cs="Calibri"/>
                <w:iCs/>
                <w:color w:val="0070C0"/>
                <w:lang w:eastAsia="es-CR"/>
              </w:rPr>
              <w:t>Guía para la elaboración de una reseña crítica de lectura</w:t>
            </w:r>
          </w:p>
          <w:p w14:paraId="511A7BAF"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lang w:eastAsia="es-CR"/>
              </w:rPr>
            </w:pPr>
          </w:p>
          <w:p w14:paraId="0007CEC8"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 w:eastAsia="es-CR"/>
              </w:rPr>
            </w:pPr>
            <w:r w:rsidRPr="00D3167B">
              <w:rPr>
                <w:rFonts w:ascii="Calibri" w:eastAsia="Times New Roman" w:hAnsi="Calibri" w:cs="Calibri"/>
                <w:iCs/>
                <w:color w:val="0070C0"/>
                <w:lang w:eastAsia="es-CR"/>
              </w:rPr>
              <w:t xml:space="preserve">Guía para la participación mediante la herramienta Big Blue </w:t>
            </w:r>
            <w:proofErr w:type="spellStart"/>
            <w:r w:rsidRPr="00D3167B">
              <w:rPr>
                <w:rFonts w:ascii="Calibri" w:eastAsia="Times New Roman" w:hAnsi="Calibri" w:cs="Calibri"/>
                <w:iCs/>
                <w:color w:val="0070C0"/>
                <w:lang w:eastAsia="es-CR"/>
              </w:rPr>
              <w:t>Button</w:t>
            </w:r>
            <w:proofErr w:type="spellEnd"/>
            <w:r w:rsidRPr="00D3167B">
              <w:rPr>
                <w:rFonts w:ascii="Calibri" w:eastAsia="Times New Roman" w:hAnsi="Calibri" w:cs="Calibri"/>
                <w:iCs/>
                <w:color w:val="0070C0"/>
                <w:lang w:eastAsia="es-CR"/>
              </w:rPr>
              <w:t xml:space="preserve"> en la plataforma Moodle</w:t>
            </w:r>
          </w:p>
          <w:p w14:paraId="469478D7"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tc>
        <w:tc>
          <w:tcPr>
            <w:tcW w:w="3118" w:type="dxa"/>
          </w:tcPr>
          <w:p w14:paraId="48ECB410" w14:textId="77777777" w:rsidR="00D3167B" w:rsidRPr="00D3167B" w:rsidRDefault="00D3167B" w:rsidP="00D3167B">
            <w:pPr>
              <w:widowControl w:val="0"/>
              <w:numPr>
                <w:ilvl w:val="0"/>
                <w:numId w:val="303"/>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lastRenderedPageBreak/>
              <w:t>Realizar la lectura de la sesión.</w:t>
            </w:r>
          </w:p>
          <w:p w14:paraId="3BC496C4" w14:textId="77777777" w:rsidR="00D3167B" w:rsidRPr="00D3167B" w:rsidRDefault="00D3167B" w:rsidP="00D3167B">
            <w:pPr>
              <w:widowControl w:val="0"/>
              <w:numPr>
                <w:ilvl w:val="0"/>
                <w:numId w:val="303"/>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lastRenderedPageBreak/>
              <w:t xml:space="preserve">Elaboración de una reseña crítica de la lectura. </w:t>
            </w:r>
          </w:p>
          <w:p w14:paraId="7FD8A595" w14:textId="77777777" w:rsidR="00D3167B" w:rsidRPr="00D3167B" w:rsidRDefault="00D3167B" w:rsidP="00D3167B">
            <w:pPr>
              <w:widowControl w:val="0"/>
              <w:numPr>
                <w:ilvl w:val="0"/>
                <w:numId w:val="303"/>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Exposición docente y discusión grupal en un encuentro sincrónico virtual. </w:t>
            </w:r>
          </w:p>
        </w:tc>
      </w:tr>
      <w:tr w:rsidR="00D3167B" w:rsidRPr="00D3167B" w14:paraId="63E3FC06" w14:textId="77777777" w:rsidTr="00104785">
        <w:trPr>
          <w:jc w:val="center"/>
        </w:trPr>
        <w:tc>
          <w:tcPr>
            <w:tcW w:w="1144" w:type="dxa"/>
          </w:tcPr>
          <w:p w14:paraId="203E0310"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06084772"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4</w:t>
            </w:r>
          </w:p>
        </w:tc>
        <w:tc>
          <w:tcPr>
            <w:tcW w:w="2395" w:type="dxa"/>
          </w:tcPr>
          <w:p w14:paraId="06A99099"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1: </w:t>
            </w:r>
            <w:r w:rsidRPr="00D3167B">
              <w:rPr>
                <w:rFonts w:ascii="Calibri" w:eastAsia="Times New Roman" w:hAnsi="Calibri" w:cs="Arial"/>
                <w:b/>
                <w:color w:val="000000"/>
                <w:lang w:val="es-ES_tradnl" w:eastAsia="es-CR"/>
              </w:rPr>
              <w:t>Marco teórico desde donde se realizará el estudio del libro o tema del Antiguo Testamento seleccionado</w:t>
            </w:r>
          </w:p>
          <w:p w14:paraId="321CE931"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1A2ACBB4"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bCs/>
                <w:color w:val="000000"/>
                <w:lang w:val="es-ES_tradnl" w:eastAsia="es-CR"/>
              </w:rPr>
              <w:t xml:space="preserve">1.2 </w:t>
            </w:r>
            <w:r w:rsidRPr="00D3167B">
              <w:rPr>
                <w:rFonts w:ascii="Calibri" w:eastAsia="Times New Roman" w:hAnsi="Calibri" w:cs="Arial"/>
                <w:color w:val="000000"/>
                <w:lang w:val="es-ES_tradnl" w:eastAsia="es-CR"/>
              </w:rPr>
              <w:t>Perspectivas de las diferentes escuelas de pensamiento en relación con el libro del Antiguo Testamento seleccionado (estado de la cuestión)</w:t>
            </w:r>
          </w:p>
          <w:p w14:paraId="76D57621"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7621C39A"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0859CF47"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t>Ruta de aprendizaje</w:t>
            </w:r>
          </w:p>
          <w:p w14:paraId="787192A8"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38143C41"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roofErr w:type="spellStart"/>
            <w:r w:rsidRPr="00D3167B">
              <w:rPr>
                <w:rFonts w:ascii="Calibri" w:eastAsia="Times New Roman" w:hAnsi="Calibri" w:cs="Calibri"/>
                <w:iCs/>
                <w:color w:val="000000"/>
                <w:szCs w:val="18"/>
                <w:lang w:eastAsia="es-CR"/>
              </w:rPr>
              <w:t>Lanoir</w:t>
            </w:r>
            <w:proofErr w:type="spellEnd"/>
            <w:r w:rsidRPr="00D3167B">
              <w:rPr>
                <w:rFonts w:ascii="Calibri" w:eastAsia="Times New Roman" w:hAnsi="Calibri" w:cs="Calibri"/>
                <w:iCs/>
                <w:color w:val="000000"/>
                <w:szCs w:val="18"/>
                <w:lang w:eastAsia="es-CR"/>
              </w:rPr>
              <w:t xml:space="preserve">, Corinne. “Rut”.  En </w:t>
            </w:r>
            <w:r w:rsidRPr="00D3167B">
              <w:rPr>
                <w:rFonts w:ascii="Calibri" w:eastAsia="Times New Roman" w:hAnsi="Calibri" w:cs="Calibri"/>
                <w:i/>
                <w:color w:val="000000"/>
                <w:szCs w:val="18"/>
                <w:lang w:eastAsia="es-CR"/>
              </w:rPr>
              <w:t>Introducción al Antiguo Testamento</w:t>
            </w:r>
            <w:r w:rsidRPr="00D3167B">
              <w:rPr>
                <w:rFonts w:ascii="Calibri" w:eastAsia="Times New Roman" w:hAnsi="Calibri" w:cs="Calibri"/>
                <w:iCs/>
                <w:color w:val="000000"/>
                <w:szCs w:val="18"/>
                <w:lang w:eastAsia="es-CR"/>
              </w:rPr>
              <w:t xml:space="preserve">, editado por Thomas </w:t>
            </w:r>
            <w:proofErr w:type="spellStart"/>
            <w:r w:rsidRPr="00D3167B">
              <w:rPr>
                <w:rFonts w:ascii="Calibri" w:eastAsia="Times New Roman" w:hAnsi="Calibri" w:cs="Calibri"/>
                <w:iCs/>
                <w:color w:val="000000"/>
                <w:szCs w:val="18"/>
                <w:lang w:eastAsia="es-CR"/>
              </w:rPr>
              <w:t>Römer</w:t>
            </w:r>
            <w:proofErr w:type="spellEnd"/>
            <w:r w:rsidRPr="00D3167B">
              <w:rPr>
                <w:rFonts w:ascii="Calibri" w:eastAsia="Times New Roman" w:hAnsi="Calibri" w:cs="Calibri"/>
                <w:iCs/>
                <w:color w:val="000000"/>
                <w:szCs w:val="18"/>
                <w:lang w:eastAsia="es-CR"/>
              </w:rPr>
              <w:t xml:space="preserve">, Jean-Daniel Macchi y </w:t>
            </w:r>
            <w:proofErr w:type="spellStart"/>
            <w:r w:rsidRPr="00D3167B">
              <w:rPr>
                <w:rFonts w:ascii="Calibri" w:eastAsia="Times New Roman" w:hAnsi="Calibri" w:cs="Calibri"/>
                <w:iCs/>
                <w:color w:val="000000"/>
                <w:szCs w:val="18"/>
                <w:lang w:eastAsia="es-CR"/>
              </w:rPr>
              <w:t>Christophe</w:t>
            </w:r>
            <w:proofErr w:type="spellEnd"/>
            <w:r w:rsidRPr="00D3167B">
              <w:rPr>
                <w:rFonts w:ascii="Calibri" w:eastAsia="Times New Roman" w:hAnsi="Calibri" w:cs="Calibri"/>
                <w:iCs/>
                <w:color w:val="000000"/>
                <w:szCs w:val="18"/>
                <w:lang w:eastAsia="es-CR"/>
              </w:rPr>
              <w:t xml:space="preserve"> </w:t>
            </w:r>
            <w:proofErr w:type="spellStart"/>
            <w:r w:rsidRPr="00D3167B">
              <w:rPr>
                <w:rFonts w:ascii="Calibri" w:eastAsia="Times New Roman" w:hAnsi="Calibri" w:cs="Calibri"/>
                <w:iCs/>
                <w:color w:val="000000"/>
                <w:szCs w:val="18"/>
                <w:lang w:eastAsia="es-CR"/>
              </w:rPr>
              <w:t>Nihan</w:t>
            </w:r>
            <w:proofErr w:type="spellEnd"/>
            <w:r w:rsidRPr="00D3167B">
              <w:rPr>
                <w:rFonts w:ascii="Calibri" w:eastAsia="Times New Roman" w:hAnsi="Calibri" w:cs="Calibri"/>
                <w:iCs/>
                <w:color w:val="000000"/>
                <w:szCs w:val="18"/>
                <w:lang w:eastAsia="es-CR"/>
              </w:rPr>
              <w:t>, 523-529. Bilbao: Desclée de Brouwer, 2008.</w:t>
            </w:r>
            <w:r w:rsidRPr="00D3167B">
              <w:rPr>
                <w:rFonts w:ascii="Calibri" w:eastAsia="Times New Roman" w:hAnsi="Calibri" w:cs="Calibri"/>
                <w:iCs/>
                <w:color w:val="0070C0"/>
                <w:lang w:val="es-ES_tradnl" w:eastAsia="es-CR"/>
              </w:rPr>
              <w:t xml:space="preserve"> (clásico, última edición)</w:t>
            </w:r>
          </w:p>
          <w:p w14:paraId="7B5861F3"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val="es-ES_tradnl" w:eastAsia="es-CR"/>
              </w:rPr>
            </w:pPr>
          </w:p>
          <w:p w14:paraId="08B2AD67"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szCs w:val="18"/>
                <w:lang w:val="es-ES_tradnl" w:eastAsia="es-CR"/>
              </w:rPr>
            </w:pPr>
            <w:r w:rsidRPr="00D3167B">
              <w:rPr>
                <w:rFonts w:ascii="Calibri" w:eastAsia="Times New Roman" w:hAnsi="Calibri" w:cs="Calibri"/>
                <w:b/>
                <w:bCs/>
                <w:iCs/>
                <w:szCs w:val="18"/>
                <w:lang w:val="es-ES_tradnl" w:eastAsia="es-CR"/>
              </w:rPr>
              <w:t>Material complementario</w:t>
            </w:r>
          </w:p>
          <w:p w14:paraId="49B3014A"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szCs w:val="18"/>
                <w:lang w:val="es-ES_tradnl" w:eastAsia="es-CR"/>
              </w:rPr>
            </w:pPr>
          </w:p>
          <w:p w14:paraId="7345488D"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r w:rsidRPr="00D3167B">
              <w:rPr>
                <w:rFonts w:ascii="Calibri" w:eastAsia="Times New Roman" w:hAnsi="Calibri" w:cs="Calibri"/>
                <w:iCs/>
                <w:szCs w:val="18"/>
                <w:lang w:eastAsia="es-CR"/>
              </w:rPr>
              <w:t xml:space="preserve">Navarro Puerto, Mercedes. “Rut, un libro subversivo”. </w:t>
            </w:r>
            <w:r w:rsidRPr="00D3167B">
              <w:rPr>
                <w:rFonts w:ascii="Calibri" w:eastAsia="Times New Roman" w:hAnsi="Calibri" w:cs="Calibri"/>
                <w:i/>
                <w:szCs w:val="18"/>
                <w:lang w:eastAsia="es-CR"/>
              </w:rPr>
              <w:t>Reseña Bíblica</w:t>
            </w:r>
            <w:r w:rsidRPr="00D3167B">
              <w:rPr>
                <w:rFonts w:ascii="Calibri" w:eastAsia="Times New Roman" w:hAnsi="Calibri" w:cs="Calibri"/>
                <w:iCs/>
                <w:szCs w:val="18"/>
                <w:lang w:eastAsia="es-CR"/>
              </w:rPr>
              <w:t xml:space="preserve"> 71 (2011): 11-20.</w:t>
            </w:r>
          </w:p>
          <w:p w14:paraId="43FD2CCD"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p>
          <w:p w14:paraId="62AC9DBF"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szCs w:val="18"/>
                <w:lang w:eastAsia="es-CR"/>
              </w:rPr>
            </w:pPr>
            <w:r w:rsidRPr="00D3167B">
              <w:rPr>
                <w:rFonts w:ascii="Calibri" w:eastAsia="Times New Roman" w:hAnsi="Calibri" w:cs="Calibri"/>
                <w:iCs/>
                <w:color w:val="0070C0"/>
                <w:szCs w:val="18"/>
                <w:lang w:eastAsia="es-CR"/>
              </w:rPr>
              <w:t>Guía para la participación en un foro en la plataforma Moodle</w:t>
            </w:r>
          </w:p>
          <w:p w14:paraId="132C8A19"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tc>
        <w:tc>
          <w:tcPr>
            <w:tcW w:w="3118" w:type="dxa"/>
          </w:tcPr>
          <w:p w14:paraId="2EBA8F2A" w14:textId="77777777" w:rsidR="00D3167B" w:rsidRPr="00D3167B" w:rsidRDefault="00D3167B" w:rsidP="00D3167B">
            <w:pPr>
              <w:widowControl w:val="0"/>
              <w:numPr>
                <w:ilvl w:val="0"/>
                <w:numId w:val="304"/>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Realizar la lectura de la sesión.</w:t>
            </w:r>
          </w:p>
          <w:p w14:paraId="46130CEF" w14:textId="77777777" w:rsidR="00D3167B" w:rsidRPr="00D3167B" w:rsidRDefault="00D3167B" w:rsidP="00D3167B">
            <w:pPr>
              <w:widowControl w:val="0"/>
              <w:numPr>
                <w:ilvl w:val="0"/>
                <w:numId w:val="304"/>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Participación en el foro temático: El estado de la cuestión en las investigaciones sobre el libro de Rut.</w:t>
            </w:r>
          </w:p>
        </w:tc>
      </w:tr>
      <w:tr w:rsidR="00D3167B" w:rsidRPr="00D3167B" w14:paraId="062A078A" w14:textId="77777777" w:rsidTr="00104785">
        <w:trPr>
          <w:jc w:val="center"/>
        </w:trPr>
        <w:tc>
          <w:tcPr>
            <w:tcW w:w="1144" w:type="dxa"/>
          </w:tcPr>
          <w:p w14:paraId="3C484BCB"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3C908DE0"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5</w:t>
            </w:r>
          </w:p>
        </w:tc>
        <w:tc>
          <w:tcPr>
            <w:tcW w:w="2395" w:type="dxa"/>
          </w:tcPr>
          <w:p w14:paraId="109FB021"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1: </w:t>
            </w:r>
            <w:r w:rsidRPr="00D3167B">
              <w:rPr>
                <w:rFonts w:ascii="Calibri" w:eastAsia="Times New Roman" w:hAnsi="Calibri" w:cs="Arial"/>
                <w:b/>
                <w:color w:val="000000"/>
                <w:lang w:val="es-ES_tradnl" w:eastAsia="es-CR"/>
              </w:rPr>
              <w:t>Marco teórico desde donde se realizará el estudio del libro o tema del Antiguo Testamento seleccionado</w:t>
            </w:r>
          </w:p>
          <w:p w14:paraId="5934AF17"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552DDBAC"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bCs/>
                <w:color w:val="000000"/>
                <w:lang w:val="es-ES_tradnl" w:eastAsia="es-CR"/>
              </w:rPr>
              <w:t xml:space="preserve">1.2 </w:t>
            </w:r>
            <w:r w:rsidRPr="00D3167B">
              <w:rPr>
                <w:rFonts w:ascii="Calibri" w:eastAsia="Times New Roman" w:hAnsi="Calibri" w:cs="Arial"/>
                <w:color w:val="000000"/>
                <w:lang w:val="es-ES_tradnl" w:eastAsia="es-CR"/>
              </w:rPr>
              <w:t xml:space="preserve">Perspectivas de las </w:t>
            </w:r>
            <w:r w:rsidRPr="00D3167B">
              <w:rPr>
                <w:rFonts w:ascii="Calibri" w:eastAsia="Times New Roman" w:hAnsi="Calibri" w:cs="Arial"/>
                <w:color w:val="000000"/>
                <w:lang w:val="es-ES_tradnl" w:eastAsia="es-CR"/>
              </w:rPr>
              <w:lastRenderedPageBreak/>
              <w:t>diferentes escuelas de pensamiento en relación con el libro del Antiguo Testamento seleccionado (estado de la cuestión)</w:t>
            </w:r>
          </w:p>
          <w:p w14:paraId="5B5138EA"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56014445"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09A4EE0D"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lastRenderedPageBreak/>
              <w:t>Ruta de aprendizaje</w:t>
            </w:r>
          </w:p>
          <w:p w14:paraId="174D1A2E"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03F205B2"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r w:rsidRPr="00D3167B">
              <w:rPr>
                <w:rFonts w:ascii="Calibri" w:eastAsia="Times New Roman" w:hAnsi="Calibri" w:cs="Calibri"/>
                <w:iCs/>
                <w:color w:val="000000"/>
                <w:szCs w:val="18"/>
                <w:lang w:eastAsia="es-CR"/>
              </w:rPr>
              <w:t xml:space="preserve">Cook </w:t>
            </w:r>
            <w:proofErr w:type="spellStart"/>
            <w:r w:rsidRPr="00D3167B">
              <w:rPr>
                <w:rFonts w:ascii="Calibri" w:eastAsia="Times New Roman" w:hAnsi="Calibri" w:cs="Calibri"/>
                <w:iCs/>
                <w:color w:val="000000"/>
                <w:szCs w:val="18"/>
                <w:lang w:eastAsia="es-CR"/>
              </w:rPr>
              <w:t>Steike</w:t>
            </w:r>
            <w:proofErr w:type="spellEnd"/>
            <w:r w:rsidRPr="00D3167B">
              <w:rPr>
                <w:rFonts w:ascii="Calibri" w:eastAsia="Times New Roman" w:hAnsi="Calibri" w:cs="Calibri"/>
                <w:iCs/>
                <w:color w:val="000000"/>
                <w:szCs w:val="18"/>
                <w:lang w:eastAsia="es-CR"/>
              </w:rPr>
              <w:t xml:space="preserve">, Elisabeth. “La mujer extranjera y la infidelidad de Israel”. En </w:t>
            </w:r>
            <w:r w:rsidRPr="00D3167B">
              <w:rPr>
                <w:rFonts w:ascii="Calibri" w:eastAsia="Times New Roman" w:hAnsi="Calibri" w:cs="Calibri"/>
                <w:i/>
                <w:color w:val="000000"/>
                <w:szCs w:val="18"/>
                <w:lang w:eastAsia="es-CR"/>
              </w:rPr>
              <w:t>La mujer como extranjera en Israel</w:t>
            </w:r>
            <w:r w:rsidRPr="00D3167B">
              <w:rPr>
                <w:rFonts w:ascii="Calibri" w:eastAsia="Times New Roman" w:hAnsi="Calibri" w:cs="Calibri"/>
                <w:iCs/>
                <w:color w:val="000000"/>
                <w:szCs w:val="18"/>
                <w:lang w:eastAsia="es-CR"/>
              </w:rPr>
              <w:t xml:space="preserve">: un estudio exegético de Esdras 9-10, 153-189. San </w:t>
            </w:r>
            <w:r w:rsidRPr="00D3167B">
              <w:rPr>
                <w:rFonts w:ascii="Calibri" w:eastAsia="Times New Roman" w:hAnsi="Calibri" w:cs="Calibri"/>
                <w:iCs/>
                <w:color w:val="000000"/>
                <w:szCs w:val="18"/>
                <w:lang w:eastAsia="es-CR"/>
              </w:rPr>
              <w:lastRenderedPageBreak/>
              <w:t>José: SEBILA, 2011.</w:t>
            </w:r>
            <w:r w:rsidRPr="00D3167B">
              <w:rPr>
                <w:rFonts w:ascii="Calibri" w:eastAsia="Times New Roman" w:hAnsi="Calibri" w:cs="Calibri"/>
                <w:iCs/>
                <w:color w:val="0070C0"/>
                <w:lang w:val="es-ES_tradnl" w:eastAsia="es-CR"/>
              </w:rPr>
              <w:t xml:space="preserve"> (clásico, última edición)</w:t>
            </w:r>
          </w:p>
          <w:p w14:paraId="76D12CDE"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val="es-ES_tradnl" w:eastAsia="es-CR"/>
              </w:rPr>
            </w:pPr>
          </w:p>
          <w:p w14:paraId="51B32B1F"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r w:rsidRPr="00D3167B">
              <w:rPr>
                <w:rFonts w:ascii="Calibri" w:eastAsia="Times New Roman" w:hAnsi="Calibri" w:cs="Calibri"/>
                <w:iCs/>
                <w:szCs w:val="18"/>
                <w:lang w:eastAsia="es-CR"/>
              </w:rPr>
              <w:t xml:space="preserve">Seijas de los Ríos-Zarzosa, Guadalupe. “El libro de Rut según la interpretación rabínica”. </w:t>
            </w:r>
            <w:r w:rsidRPr="00D3167B">
              <w:rPr>
                <w:rFonts w:ascii="Calibri" w:eastAsia="Times New Roman" w:hAnsi="Calibri" w:cs="Calibri"/>
                <w:i/>
                <w:szCs w:val="18"/>
                <w:lang w:eastAsia="es-CR"/>
              </w:rPr>
              <w:t>Reseña Bíblica Libro de Rut</w:t>
            </w:r>
            <w:r w:rsidRPr="00D3167B">
              <w:rPr>
                <w:rFonts w:ascii="Calibri" w:eastAsia="Times New Roman" w:hAnsi="Calibri" w:cs="Calibri"/>
                <w:iCs/>
                <w:szCs w:val="18"/>
                <w:lang w:eastAsia="es-CR"/>
              </w:rPr>
              <w:t xml:space="preserve"> 71 (2011): 31-40.</w:t>
            </w:r>
          </w:p>
          <w:p w14:paraId="618A2272"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p>
          <w:p w14:paraId="0B58559F"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b/>
                <w:bCs/>
                <w:iCs/>
                <w:color w:val="0070C0"/>
                <w:lang w:eastAsia="es-CR"/>
              </w:rPr>
              <w:t>Material complementario</w:t>
            </w:r>
          </w:p>
          <w:p w14:paraId="56D95EF2"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p>
          <w:p w14:paraId="6C1C4DDE"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lang w:eastAsia="es-CR"/>
              </w:rPr>
            </w:pPr>
            <w:r w:rsidRPr="00D3167B">
              <w:rPr>
                <w:rFonts w:ascii="Calibri" w:eastAsia="Times New Roman" w:hAnsi="Calibri" w:cs="Calibri"/>
                <w:iCs/>
                <w:color w:val="0070C0"/>
                <w:lang w:eastAsia="es-CR"/>
              </w:rPr>
              <w:t>Guía para la elaboración de un ensayo</w:t>
            </w:r>
          </w:p>
          <w:p w14:paraId="14E42354"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lang w:eastAsia="es-CR"/>
              </w:rPr>
            </w:pPr>
          </w:p>
          <w:p w14:paraId="0F2C13BA"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lang w:eastAsia="es-CR"/>
              </w:rPr>
            </w:pPr>
            <w:r w:rsidRPr="00D3167B">
              <w:rPr>
                <w:rFonts w:ascii="Calibri" w:eastAsia="Times New Roman" w:hAnsi="Calibri" w:cs="Calibri"/>
                <w:iCs/>
                <w:color w:val="0070C0"/>
                <w:lang w:eastAsia="es-CR"/>
              </w:rPr>
              <w:t xml:space="preserve">Guía para la participación mediante la herramienta Big Blue </w:t>
            </w:r>
            <w:proofErr w:type="spellStart"/>
            <w:r w:rsidRPr="00D3167B">
              <w:rPr>
                <w:rFonts w:ascii="Calibri" w:eastAsia="Times New Roman" w:hAnsi="Calibri" w:cs="Calibri"/>
                <w:iCs/>
                <w:color w:val="0070C0"/>
                <w:lang w:eastAsia="es-CR"/>
              </w:rPr>
              <w:t>Button</w:t>
            </w:r>
            <w:proofErr w:type="spellEnd"/>
            <w:r w:rsidRPr="00D3167B">
              <w:rPr>
                <w:rFonts w:ascii="Calibri" w:eastAsia="Times New Roman" w:hAnsi="Calibri" w:cs="Calibri"/>
                <w:iCs/>
                <w:color w:val="0070C0"/>
                <w:lang w:eastAsia="es-CR"/>
              </w:rPr>
              <w:t xml:space="preserve"> en la plataforma Moodle</w:t>
            </w:r>
          </w:p>
          <w:p w14:paraId="28FD819E"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tc>
        <w:tc>
          <w:tcPr>
            <w:tcW w:w="3118" w:type="dxa"/>
          </w:tcPr>
          <w:p w14:paraId="206242F9" w14:textId="77777777" w:rsidR="00D3167B" w:rsidRPr="00D3167B" w:rsidRDefault="00D3167B" w:rsidP="00D3167B">
            <w:pPr>
              <w:widowControl w:val="0"/>
              <w:numPr>
                <w:ilvl w:val="0"/>
                <w:numId w:val="305"/>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lastRenderedPageBreak/>
              <w:t>Realizar las lecturas de la sesión.</w:t>
            </w:r>
          </w:p>
          <w:p w14:paraId="74B00340" w14:textId="77777777" w:rsidR="00D3167B" w:rsidRPr="00D3167B" w:rsidRDefault="00D3167B" w:rsidP="00D3167B">
            <w:pPr>
              <w:widowControl w:val="0"/>
              <w:numPr>
                <w:ilvl w:val="0"/>
                <w:numId w:val="305"/>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Elaboración de un ensayo comparativo sobre el abordaje de la figura de Rut. </w:t>
            </w:r>
          </w:p>
          <w:p w14:paraId="1F79A251" w14:textId="77777777" w:rsidR="00D3167B" w:rsidRPr="00D3167B" w:rsidRDefault="00D3167B" w:rsidP="00D3167B">
            <w:pPr>
              <w:widowControl w:val="0"/>
              <w:numPr>
                <w:ilvl w:val="0"/>
                <w:numId w:val="305"/>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Exposición docente y discusión grupal en un </w:t>
            </w:r>
            <w:r w:rsidRPr="00D3167B">
              <w:rPr>
                <w:rFonts w:ascii="Calibri" w:eastAsia="Calibri" w:hAnsi="Calibri" w:cs="Arial"/>
              </w:rPr>
              <w:lastRenderedPageBreak/>
              <w:t>encuentro sincrónico virtual.</w:t>
            </w:r>
          </w:p>
          <w:p w14:paraId="1854BED7" w14:textId="77777777" w:rsidR="00D3167B" w:rsidRPr="00D3167B" w:rsidRDefault="00D3167B" w:rsidP="00D3167B">
            <w:pPr>
              <w:widowControl w:val="0"/>
              <w:numPr>
                <w:ilvl w:val="0"/>
                <w:numId w:val="305"/>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Asignación de los temas para las presentaciones grupales de las sesiones 7, 9, 11 y 13.</w:t>
            </w:r>
          </w:p>
        </w:tc>
      </w:tr>
      <w:tr w:rsidR="00D3167B" w:rsidRPr="00D3167B" w14:paraId="045A7364" w14:textId="77777777" w:rsidTr="00104785">
        <w:trPr>
          <w:jc w:val="center"/>
        </w:trPr>
        <w:tc>
          <w:tcPr>
            <w:tcW w:w="1144" w:type="dxa"/>
          </w:tcPr>
          <w:p w14:paraId="156FECE9"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01E06DD5"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6</w:t>
            </w:r>
          </w:p>
        </w:tc>
        <w:tc>
          <w:tcPr>
            <w:tcW w:w="2395" w:type="dxa"/>
          </w:tcPr>
          <w:p w14:paraId="19E226EC"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2: Dimensión literaria </w:t>
            </w:r>
            <w:r w:rsidRPr="00D3167B">
              <w:rPr>
                <w:rFonts w:ascii="Calibri" w:eastAsia="Times New Roman" w:hAnsi="Calibri" w:cs="Arial"/>
                <w:b/>
                <w:color w:val="000000"/>
                <w:lang w:val="es-ES_tradnl" w:eastAsia="es-CR"/>
              </w:rPr>
              <w:t>del libro o tema del Antiguo Testamento seleccionado</w:t>
            </w:r>
          </w:p>
          <w:p w14:paraId="13FBFB77"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44EAB289"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bCs/>
                <w:color w:val="000000"/>
                <w:lang w:val="es-ES_tradnl" w:eastAsia="es-CR"/>
              </w:rPr>
              <w:t xml:space="preserve">2.1 Aspectos exegéticos de la obra </w:t>
            </w:r>
            <w:r w:rsidRPr="00D3167B">
              <w:rPr>
                <w:rFonts w:ascii="Calibri" w:eastAsia="Times New Roman" w:hAnsi="Calibri" w:cs="Arial"/>
                <w:color w:val="000000"/>
                <w:lang w:val="es-ES_tradnl" w:eastAsia="es-CR"/>
              </w:rPr>
              <w:t>del Antiguo Testamento seleccionado</w:t>
            </w:r>
          </w:p>
          <w:p w14:paraId="7AD01559"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1BCFE089"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t>Ruta de aprendizaje</w:t>
            </w:r>
          </w:p>
          <w:p w14:paraId="10E59C26"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53A41001"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r w:rsidRPr="00D3167B">
              <w:rPr>
                <w:rFonts w:ascii="Calibri" w:eastAsia="Times New Roman" w:hAnsi="Calibri" w:cs="Calibri"/>
                <w:iCs/>
                <w:color w:val="000000"/>
                <w:szCs w:val="18"/>
                <w:lang w:eastAsia="es-CR"/>
              </w:rPr>
              <w:t xml:space="preserve">Ramírez Kidd, José Enrique. “Ruth: Capítulo 1”. En </w:t>
            </w:r>
            <w:r w:rsidRPr="00D3167B">
              <w:rPr>
                <w:rFonts w:ascii="Calibri" w:eastAsia="Times New Roman" w:hAnsi="Calibri" w:cs="Calibri"/>
                <w:i/>
                <w:color w:val="000000"/>
                <w:szCs w:val="18"/>
                <w:lang w:eastAsia="es-CR"/>
              </w:rPr>
              <w:t>El libro de Ruth: ternura de Dios frente al dolor humano</w:t>
            </w:r>
            <w:r w:rsidRPr="00D3167B">
              <w:rPr>
                <w:rFonts w:ascii="Calibri" w:eastAsia="Times New Roman" w:hAnsi="Calibri" w:cs="Calibri"/>
                <w:iCs/>
                <w:color w:val="000000"/>
                <w:szCs w:val="18"/>
                <w:lang w:eastAsia="es-CR"/>
              </w:rPr>
              <w:t>, 15-68. San José: Universidad Bíblica Latinoamericana, 2004.</w:t>
            </w:r>
            <w:r w:rsidRPr="00D3167B">
              <w:rPr>
                <w:rFonts w:ascii="Calibri" w:eastAsia="Times New Roman" w:hAnsi="Calibri" w:cs="Calibri"/>
                <w:iCs/>
                <w:color w:val="0070C0"/>
                <w:lang w:val="es-ES_tradnl" w:eastAsia="es-CR"/>
              </w:rPr>
              <w:t xml:space="preserve"> (clásico, última edición)</w:t>
            </w:r>
          </w:p>
          <w:p w14:paraId="5806EB07"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val="es-ES_tradnl" w:eastAsia="es-CR"/>
              </w:rPr>
            </w:pPr>
          </w:p>
          <w:p w14:paraId="1C733E44"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lang w:val="es-ES_tradnl" w:eastAsia="es-CR"/>
              </w:rPr>
            </w:pPr>
            <w:r w:rsidRPr="00D3167B">
              <w:rPr>
                <w:rFonts w:ascii="Calibri" w:eastAsia="Times New Roman" w:hAnsi="Calibri" w:cs="Calibri"/>
                <w:b/>
                <w:bCs/>
                <w:lang w:val="es-ES_tradnl" w:eastAsia="es-CR"/>
              </w:rPr>
              <w:t>Material complementario</w:t>
            </w:r>
          </w:p>
          <w:p w14:paraId="0C287E90"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lang w:val="es-ES_tradnl" w:eastAsia="es-CR"/>
              </w:rPr>
            </w:pPr>
          </w:p>
          <w:p w14:paraId="088C1536"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r w:rsidRPr="00D3167B">
              <w:rPr>
                <w:rFonts w:ascii="Calibri" w:eastAsia="Times New Roman" w:hAnsi="Calibri" w:cs="Calibri"/>
                <w:iCs/>
                <w:color w:val="000000"/>
                <w:szCs w:val="18"/>
                <w:lang w:eastAsia="es-CR"/>
              </w:rPr>
              <w:t xml:space="preserve">Bar </w:t>
            </w:r>
            <w:proofErr w:type="spellStart"/>
            <w:r w:rsidRPr="00D3167B">
              <w:rPr>
                <w:rFonts w:ascii="Calibri" w:eastAsia="Times New Roman" w:hAnsi="Calibri" w:cs="Calibri"/>
                <w:iCs/>
                <w:color w:val="000000"/>
                <w:szCs w:val="18"/>
                <w:lang w:eastAsia="es-CR"/>
              </w:rPr>
              <w:t>Efrat</w:t>
            </w:r>
            <w:proofErr w:type="spellEnd"/>
            <w:r w:rsidRPr="00D3167B">
              <w:rPr>
                <w:rFonts w:ascii="Calibri" w:eastAsia="Times New Roman" w:hAnsi="Calibri" w:cs="Calibri"/>
                <w:iCs/>
                <w:color w:val="000000"/>
                <w:szCs w:val="18"/>
                <w:lang w:eastAsia="es-CR"/>
              </w:rPr>
              <w:t xml:space="preserve">, </w:t>
            </w:r>
            <w:proofErr w:type="spellStart"/>
            <w:r w:rsidRPr="00D3167B">
              <w:rPr>
                <w:rFonts w:ascii="Calibri" w:eastAsia="Times New Roman" w:hAnsi="Calibri" w:cs="Calibri"/>
                <w:iCs/>
                <w:color w:val="000000"/>
                <w:szCs w:val="18"/>
                <w:lang w:eastAsia="es-CR"/>
              </w:rPr>
              <w:t>Shimeon</w:t>
            </w:r>
            <w:proofErr w:type="spellEnd"/>
            <w:r w:rsidRPr="00D3167B">
              <w:rPr>
                <w:rFonts w:ascii="Calibri" w:eastAsia="Times New Roman" w:hAnsi="Calibri" w:cs="Calibri"/>
                <w:iCs/>
                <w:color w:val="000000"/>
                <w:szCs w:val="18"/>
                <w:lang w:eastAsia="es-CR"/>
              </w:rPr>
              <w:t xml:space="preserve">. “El narrador”. En </w:t>
            </w:r>
            <w:r w:rsidRPr="00D3167B">
              <w:rPr>
                <w:rFonts w:ascii="Calibri" w:eastAsia="Times New Roman" w:hAnsi="Calibri" w:cs="Calibri"/>
                <w:i/>
                <w:color w:val="000000"/>
                <w:szCs w:val="18"/>
                <w:lang w:eastAsia="es-CR"/>
              </w:rPr>
              <w:t>El arte de la narrativa en la Biblia</w:t>
            </w:r>
            <w:r w:rsidRPr="00D3167B">
              <w:rPr>
                <w:rFonts w:ascii="Calibri" w:eastAsia="Times New Roman" w:hAnsi="Calibri" w:cs="Calibri"/>
                <w:iCs/>
                <w:color w:val="000000"/>
                <w:szCs w:val="18"/>
                <w:lang w:eastAsia="es-CR"/>
              </w:rPr>
              <w:t>, 15-57. Madrid: Cristiandad, 2003.</w:t>
            </w:r>
            <w:r w:rsidRPr="00D3167B">
              <w:rPr>
                <w:rFonts w:ascii="Calibri" w:eastAsia="Times New Roman" w:hAnsi="Calibri" w:cs="Calibri"/>
                <w:iCs/>
                <w:color w:val="0070C0"/>
                <w:lang w:val="es-ES_tradnl" w:eastAsia="es-CR"/>
              </w:rPr>
              <w:t xml:space="preserve"> (clásico, última edición)</w:t>
            </w:r>
          </w:p>
          <w:p w14:paraId="01166341"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52EA75A6"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szCs w:val="18"/>
                <w:lang w:eastAsia="es-CR"/>
              </w:rPr>
            </w:pPr>
            <w:r w:rsidRPr="00D3167B">
              <w:rPr>
                <w:rFonts w:ascii="Calibri" w:eastAsia="Times New Roman" w:hAnsi="Calibri" w:cs="Calibri"/>
                <w:iCs/>
                <w:color w:val="0070C0"/>
                <w:szCs w:val="18"/>
                <w:lang w:eastAsia="es-CR"/>
              </w:rPr>
              <w:t>Guía para la participación en un foro en la plataforma Moodle</w:t>
            </w:r>
          </w:p>
          <w:p w14:paraId="07B054A0"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tc>
        <w:tc>
          <w:tcPr>
            <w:tcW w:w="3118" w:type="dxa"/>
          </w:tcPr>
          <w:p w14:paraId="12AB2B9C" w14:textId="77777777" w:rsidR="00D3167B" w:rsidRPr="00D3167B" w:rsidRDefault="00D3167B" w:rsidP="00D3167B">
            <w:pPr>
              <w:widowControl w:val="0"/>
              <w:numPr>
                <w:ilvl w:val="0"/>
                <w:numId w:val="306"/>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Realizar la lectura de la sesión.</w:t>
            </w:r>
          </w:p>
          <w:p w14:paraId="4BB4BCF6" w14:textId="77777777" w:rsidR="00D3167B" w:rsidRPr="00D3167B" w:rsidRDefault="00D3167B" w:rsidP="00D3167B">
            <w:pPr>
              <w:widowControl w:val="0"/>
              <w:numPr>
                <w:ilvl w:val="0"/>
                <w:numId w:val="306"/>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Participación en el foro temático: La dimensión literaria del libro de Rut.</w:t>
            </w:r>
          </w:p>
          <w:p w14:paraId="6FC21988" w14:textId="77777777" w:rsidR="00D3167B" w:rsidRPr="00D3167B" w:rsidRDefault="00D3167B" w:rsidP="00D3167B">
            <w:pPr>
              <w:widowControl w:val="0"/>
              <w:numPr>
                <w:ilvl w:val="0"/>
                <w:numId w:val="306"/>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Iniciar el estudio de un capítulo del libro de Rut, en particular, el estudio exegético. </w:t>
            </w:r>
          </w:p>
        </w:tc>
      </w:tr>
      <w:tr w:rsidR="00D3167B" w:rsidRPr="00D3167B" w14:paraId="15CA07FA" w14:textId="77777777" w:rsidTr="00104785">
        <w:trPr>
          <w:jc w:val="center"/>
        </w:trPr>
        <w:tc>
          <w:tcPr>
            <w:tcW w:w="1144" w:type="dxa"/>
          </w:tcPr>
          <w:p w14:paraId="1D0975E8"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0EFD1010"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7</w:t>
            </w:r>
          </w:p>
        </w:tc>
        <w:tc>
          <w:tcPr>
            <w:tcW w:w="2395" w:type="dxa"/>
          </w:tcPr>
          <w:p w14:paraId="1D5DF3EE"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2: Dimensión literaria </w:t>
            </w:r>
            <w:r w:rsidRPr="00D3167B">
              <w:rPr>
                <w:rFonts w:ascii="Calibri" w:eastAsia="Times New Roman" w:hAnsi="Calibri" w:cs="Arial"/>
                <w:b/>
                <w:color w:val="000000"/>
                <w:lang w:val="es-ES_tradnl" w:eastAsia="es-CR"/>
              </w:rPr>
              <w:t>del libro o tema del Antiguo Testamento seleccionado</w:t>
            </w:r>
          </w:p>
          <w:p w14:paraId="3863BB31" w14:textId="77777777" w:rsidR="00D3167B" w:rsidRPr="00D3167B" w:rsidRDefault="00D3167B" w:rsidP="00D3167B">
            <w:pPr>
              <w:widowControl w:val="0"/>
              <w:overflowPunct w:val="0"/>
              <w:autoSpaceDE w:val="0"/>
              <w:autoSpaceDN w:val="0"/>
              <w:adjustRightInd w:val="0"/>
              <w:rPr>
                <w:rFonts w:ascii="Calibri" w:eastAsia="Times New Roman" w:hAnsi="Calibri" w:cs="Arial"/>
                <w:bCs/>
                <w:color w:val="000000"/>
                <w:lang w:val="es-ES_tradnl" w:eastAsia="es-CR"/>
              </w:rPr>
            </w:pPr>
          </w:p>
          <w:p w14:paraId="65111673"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bCs/>
                <w:color w:val="000000"/>
                <w:lang w:val="es-ES_tradnl" w:eastAsia="es-CR"/>
              </w:rPr>
              <w:t xml:space="preserve">2.1 Aspectos exegéticos </w:t>
            </w:r>
            <w:r w:rsidRPr="00D3167B">
              <w:rPr>
                <w:rFonts w:ascii="Calibri" w:eastAsia="Times New Roman" w:hAnsi="Calibri" w:cs="Arial"/>
                <w:bCs/>
                <w:color w:val="000000"/>
                <w:lang w:val="es-ES_tradnl" w:eastAsia="es-CR"/>
              </w:rPr>
              <w:lastRenderedPageBreak/>
              <w:t xml:space="preserve">de la obra </w:t>
            </w:r>
            <w:r w:rsidRPr="00D3167B">
              <w:rPr>
                <w:rFonts w:ascii="Calibri" w:eastAsia="Times New Roman" w:hAnsi="Calibri" w:cs="Arial"/>
                <w:color w:val="000000"/>
                <w:lang w:val="es-ES_tradnl" w:eastAsia="es-CR"/>
              </w:rPr>
              <w:t>del Antiguo Testamento seleccionado</w:t>
            </w:r>
          </w:p>
          <w:p w14:paraId="5B9716D6"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p>
        </w:tc>
        <w:tc>
          <w:tcPr>
            <w:tcW w:w="2977" w:type="dxa"/>
          </w:tcPr>
          <w:p w14:paraId="4E540082"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lastRenderedPageBreak/>
              <w:t>Ruta de aprendizaje</w:t>
            </w:r>
          </w:p>
          <w:p w14:paraId="07A4633B"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487F8668"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r w:rsidRPr="00D3167B">
              <w:rPr>
                <w:rFonts w:ascii="Calibri" w:eastAsia="Times New Roman" w:hAnsi="Calibri" w:cs="Calibri"/>
                <w:iCs/>
                <w:color w:val="000000"/>
                <w:szCs w:val="18"/>
                <w:lang w:eastAsia="es-CR"/>
              </w:rPr>
              <w:t xml:space="preserve">Ramírez Kidd, José Enrique. “Ruth: Capítulo 2”. En </w:t>
            </w:r>
            <w:r w:rsidRPr="00D3167B">
              <w:rPr>
                <w:rFonts w:ascii="Calibri" w:eastAsia="Times New Roman" w:hAnsi="Calibri" w:cs="Calibri"/>
                <w:i/>
                <w:color w:val="000000"/>
                <w:szCs w:val="18"/>
                <w:lang w:eastAsia="es-CR"/>
              </w:rPr>
              <w:t>El libro de Ruth: ternura de Dios frente al dolor humano</w:t>
            </w:r>
            <w:r w:rsidRPr="00D3167B">
              <w:rPr>
                <w:rFonts w:ascii="Calibri" w:eastAsia="Times New Roman" w:hAnsi="Calibri" w:cs="Calibri"/>
                <w:iCs/>
                <w:color w:val="000000"/>
                <w:szCs w:val="18"/>
                <w:lang w:eastAsia="es-CR"/>
              </w:rPr>
              <w:t xml:space="preserve">, 91-131. San José: Universidad Bíblica </w:t>
            </w:r>
            <w:r w:rsidRPr="00D3167B">
              <w:rPr>
                <w:rFonts w:ascii="Calibri" w:eastAsia="Times New Roman" w:hAnsi="Calibri" w:cs="Calibri"/>
                <w:iCs/>
                <w:color w:val="000000"/>
                <w:szCs w:val="18"/>
                <w:lang w:eastAsia="es-CR"/>
              </w:rPr>
              <w:lastRenderedPageBreak/>
              <w:t>Latinoamericana, 2004.</w:t>
            </w:r>
            <w:r w:rsidRPr="00D3167B">
              <w:rPr>
                <w:rFonts w:ascii="Calibri" w:eastAsia="Times New Roman" w:hAnsi="Calibri" w:cs="Calibri"/>
                <w:iCs/>
                <w:color w:val="0070C0"/>
                <w:lang w:val="es-ES_tradnl" w:eastAsia="es-CR"/>
              </w:rPr>
              <w:t xml:space="preserve"> (clásico, última edición)</w:t>
            </w:r>
          </w:p>
          <w:p w14:paraId="5F54118E"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37326342"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b/>
                <w:bCs/>
                <w:iCs/>
                <w:color w:val="0070C0"/>
                <w:lang w:eastAsia="es-CR"/>
              </w:rPr>
              <w:t>Material complementario</w:t>
            </w:r>
          </w:p>
          <w:p w14:paraId="23169952" w14:textId="77777777" w:rsidR="00D3167B" w:rsidRPr="00D3167B" w:rsidRDefault="00D3167B" w:rsidP="00D3167B">
            <w:pPr>
              <w:widowControl w:val="0"/>
              <w:overflowPunct w:val="0"/>
              <w:autoSpaceDE w:val="0"/>
              <w:autoSpaceDN w:val="0"/>
              <w:adjustRightInd w:val="0"/>
              <w:rPr>
                <w:rFonts w:ascii="Times New Roman" w:eastAsia="Times New Roman" w:hAnsi="Times New Roman" w:cs="Times New Roman"/>
                <w:b/>
                <w:bCs/>
                <w:iCs/>
                <w:color w:val="0070C0"/>
                <w:sz w:val="24"/>
                <w:szCs w:val="20"/>
                <w:u w:val="single"/>
                <w:lang w:eastAsia="es-CR"/>
              </w:rPr>
            </w:pPr>
          </w:p>
          <w:p w14:paraId="35049710"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lang w:eastAsia="es-CR"/>
              </w:rPr>
            </w:pPr>
            <w:r w:rsidRPr="00D3167B">
              <w:rPr>
                <w:rFonts w:ascii="Calibri" w:eastAsia="Times New Roman" w:hAnsi="Calibri" w:cs="Calibri"/>
                <w:iCs/>
                <w:color w:val="0070C0"/>
                <w:lang w:eastAsia="es-CR"/>
              </w:rPr>
              <w:t xml:space="preserve">Guía para la participación mediante la herramienta Big Blue </w:t>
            </w:r>
            <w:proofErr w:type="spellStart"/>
            <w:r w:rsidRPr="00D3167B">
              <w:rPr>
                <w:rFonts w:ascii="Calibri" w:eastAsia="Times New Roman" w:hAnsi="Calibri" w:cs="Calibri"/>
                <w:iCs/>
                <w:color w:val="0070C0"/>
                <w:lang w:eastAsia="es-CR"/>
              </w:rPr>
              <w:t>Button</w:t>
            </w:r>
            <w:proofErr w:type="spellEnd"/>
            <w:r w:rsidRPr="00D3167B">
              <w:rPr>
                <w:rFonts w:ascii="Calibri" w:eastAsia="Times New Roman" w:hAnsi="Calibri" w:cs="Calibri"/>
                <w:iCs/>
                <w:color w:val="0070C0"/>
                <w:lang w:eastAsia="es-CR"/>
              </w:rPr>
              <w:t xml:space="preserve"> en la plataforma Moodle</w:t>
            </w:r>
          </w:p>
          <w:p w14:paraId="0C24041A"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tc>
        <w:tc>
          <w:tcPr>
            <w:tcW w:w="3118" w:type="dxa"/>
          </w:tcPr>
          <w:p w14:paraId="5CBE1144" w14:textId="77777777" w:rsidR="00D3167B" w:rsidRPr="00D3167B" w:rsidRDefault="00D3167B" w:rsidP="00D3167B">
            <w:pPr>
              <w:widowControl w:val="0"/>
              <w:numPr>
                <w:ilvl w:val="0"/>
                <w:numId w:val="307"/>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lastRenderedPageBreak/>
              <w:t>Realizar la lectura de la sesión.</w:t>
            </w:r>
          </w:p>
          <w:p w14:paraId="02A943E9" w14:textId="77777777" w:rsidR="00D3167B" w:rsidRPr="00D3167B" w:rsidRDefault="00D3167B" w:rsidP="00D3167B">
            <w:pPr>
              <w:widowControl w:val="0"/>
              <w:numPr>
                <w:ilvl w:val="0"/>
                <w:numId w:val="307"/>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Presentación grupal en un encuentro sincrónico virtual. </w:t>
            </w:r>
          </w:p>
          <w:p w14:paraId="329EEBD5" w14:textId="77777777" w:rsidR="00D3167B" w:rsidRPr="00D3167B" w:rsidRDefault="00D3167B" w:rsidP="00D3167B">
            <w:pPr>
              <w:widowControl w:val="0"/>
              <w:numPr>
                <w:ilvl w:val="0"/>
                <w:numId w:val="307"/>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Continuar con el estudio exegético de un capítulo del </w:t>
            </w:r>
            <w:r w:rsidRPr="00D3167B">
              <w:rPr>
                <w:rFonts w:ascii="Calibri" w:eastAsia="Calibri" w:hAnsi="Calibri" w:cs="Arial"/>
              </w:rPr>
              <w:lastRenderedPageBreak/>
              <w:t xml:space="preserve">libro de Rut. </w:t>
            </w:r>
          </w:p>
        </w:tc>
      </w:tr>
      <w:tr w:rsidR="00D3167B" w:rsidRPr="00D3167B" w14:paraId="55F65BFC" w14:textId="77777777" w:rsidTr="00104785">
        <w:trPr>
          <w:jc w:val="center"/>
        </w:trPr>
        <w:tc>
          <w:tcPr>
            <w:tcW w:w="1144" w:type="dxa"/>
          </w:tcPr>
          <w:p w14:paraId="02A0B1C7"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69D0DC5B"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8</w:t>
            </w:r>
          </w:p>
        </w:tc>
        <w:tc>
          <w:tcPr>
            <w:tcW w:w="2395" w:type="dxa"/>
          </w:tcPr>
          <w:p w14:paraId="0CA290B1"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2: Dimensión literaria </w:t>
            </w:r>
            <w:r w:rsidRPr="00D3167B">
              <w:rPr>
                <w:rFonts w:ascii="Calibri" w:eastAsia="Times New Roman" w:hAnsi="Calibri" w:cs="Arial"/>
                <w:b/>
                <w:color w:val="000000"/>
                <w:lang w:val="es-ES_tradnl" w:eastAsia="es-CR"/>
              </w:rPr>
              <w:t>del libro o tema del Antiguo Testamento seleccionado</w:t>
            </w:r>
          </w:p>
          <w:p w14:paraId="5395838E"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29E4D3B3"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bCs/>
                <w:color w:val="000000"/>
                <w:lang w:val="es-ES_tradnl" w:eastAsia="es-CR"/>
              </w:rPr>
              <w:t xml:space="preserve">2.2 Aspectos literarios de la obra </w:t>
            </w:r>
            <w:r w:rsidRPr="00D3167B">
              <w:rPr>
                <w:rFonts w:ascii="Calibri" w:eastAsia="Times New Roman" w:hAnsi="Calibri" w:cs="Arial"/>
                <w:color w:val="000000"/>
                <w:lang w:val="es-ES_tradnl" w:eastAsia="es-CR"/>
              </w:rPr>
              <w:t>del Antiguo Testamento seleccionado</w:t>
            </w:r>
          </w:p>
          <w:p w14:paraId="4A9A5032"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1D0363A9"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t>Ruta de aprendizaje</w:t>
            </w:r>
          </w:p>
          <w:p w14:paraId="2613078A"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4314F500"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r w:rsidRPr="00D3167B">
              <w:rPr>
                <w:rFonts w:ascii="Calibri" w:eastAsia="Times New Roman" w:hAnsi="Calibri" w:cs="Calibri"/>
                <w:iCs/>
                <w:color w:val="000000"/>
                <w:szCs w:val="18"/>
                <w:lang w:eastAsia="es-CR"/>
              </w:rPr>
              <w:t xml:space="preserve">Ramírez Kidd, José Enrique. “Ruth: Capítulo 3”. En </w:t>
            </w:r>
            <w:r w:rsidRPr="00D3167B">
              <w:rPr>
                <w:rFonts w:ascii="Calibri" w:eastAsia="Times New Roman" w:hAnsi="Calibri" w:cs="Calibri"/>
                <w:i/>
                <w:color w:val="000000"/>
                <w:szCs w:val="18"/>
                <w:lang w:eastAsia="es-CR"/>
              </w:rPr>
              <w:t>El libro de Ruth: ternura de Dios frente al dolor humano</w:t>
            </w:r>
            <w:r w:rsidRPr="00D3167B">
              <w:rPr>
                <w:rFonts w:ascii="Calibri" w:eastAsia="Times New Roman" w:hAnsi="Calibri" w:cs="Calibri"/>
                <w:iCs/>
                <w:color w:val="000000"/>
                <w:szCs w:val="18"/>
                <w:lang w:eastAsia="es-CR"/>
              </w:rPr>
              <w:t>, 145-179. San José: Universidad Bíblica Latinoamericana, 2004.</w:t>
            </w:r>
            <w:r w:rsidRPr="00D3167B">
              <w:rPr>
                <w:rFonts w:ascii="Calibri" w:eastAsia="Times New Roman" w:hAnsi="Calibri" w:cs="Calibri"/>
                <w:iCs/>
                <w:color w:val="0070C0"/>
                <w:lang w:val="es-ES_tradnl" w:eastAsia="es-CR"/>
              </w:rPr>
              <w:t xml:space="preserve"> (clásico, última edición)</w:t>
            </w:r>
          </w:p>
          <w:p w14:paraId="1607DFDD"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4723D31D"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b/>
                <w:bCs/>
                <w:iCs/>
                <w:color w:val="0070C0"/>
                <w:lang w:eastAsia="es-CR"/>
              </w:rPr>
              <w:t>Material complementario</w:t>
            </w:r>
          </w:p>
          <w:p w14:paraId="4466D15B"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p>
          <w:p w14:paraId="377A7763"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lang w:eastAsia="es-CR"/>
              </w:rPr>
            </w:pPr>
            <w:r w:rsidRPr="00D3167B">
              <w:rPr>
                <w:rFonts w:ascii="Calibri" w:eastAsia="Times New Roman" w:hAnsi="Calibri" w:cs="Calibri"/>
                <w:iCs/>
                <w:color w:val="0070C0"/>
                <w:lang w:eastAsia="es-CR"/>
              </w:rPr>
              <w:t>Guía para la participación en un foro en la plataforma Moodle</w:t>
            </w:r>
          </w:p>
          <w:p w14:paraId="7042D6F2"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tc>
        <w:tc>
          <w:tcPr>
            <w:tcW w:w="3118" w:type="dxa"/>
          </w:tcPr>
          <w:p w14:paraId="4F3CF4C7" w14:textId="77777777" w:rsidR="00D3167B" w:rsidRPr="00D3167B" w:rsidRDefault="00D3167B" w:rsidP="00D3167B">
            <w:pPr>
              <w:widowControl w:val="0"/>
              <w:numPr>
                <w:ilvl w:val="0"/>
                <w:numId w:val="308"/>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Realizar la lectura de la sesión.</w:t>
            </w:r>
          </w:p>
          <w:p w14:paraId="708761AA" w14:textId="77777777" w:rsidR="00D3167B" w:rsidRPr="00D3167B" w:rsidRDefault="00D3167B" w:rsidP="00D3167B">
            <w:pPr>
              <w:widowControl w:val="0"/>
              <w:numPr>
                <w:ilvl w:val="0"/>
                <w:numId w:val="308"/>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Participación en el foro temático: El manejo del tiempo y el espacio en el libro de Rut. </w:t>
            </w:r>
          </w:p>
          <w:p w14:paraId="14BA9BC4" w14:textId="77777777" w:rsidR="00D3167B" w:rsidRPr="00D3167B" w:rsidRDefault="00D3167B" w:rsidP="00D3167B">
            <w:pPr>
              <w:widowControl w:val="0"/>
              <w:numPr>
                <w:ilvl w:val="0"/>
                <w:numId w:val="308"/>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Continuar con el estudio exegético de un capítulo del libro de Rut.</w:t>
            </w:r>
          </w:p>
        </w:tc>
      </w:tr>
      <w:tr w:rsidR="00D3167B" w:rsidRPr="00D3167B" w14:paraId="3BDE67CF" w14:textId="77777777" w:rsidTr="00104785">
        <w:trPr>
          <w:jc w:val="center"/>
        </w:trPr>
        <w:tc>
          <w:tcPr>
            <w:tcW w:w="1144" w:type="dxa"/>
          </w:tcPr>
          <w:p w14:paraId="6733ABB6"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444F44CD"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9</w:t>
            </w:r>
          </w:p>
        </w:tc>
        <w:tc>
          <w:tcPr>
            <w:tcW w:w="2395" w:type="dxa"/>
          </w:tcPr>
          <w:p w14:paraId="300F4497"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2: Dimensión literaria </w:t>
            </w:r>
            <w:r w:rsidRPr="00D3167B">
              <w:rPr>
                <w:rFonts w:ascii="Calibri" w:eastAsia="Times New Roman" w:hAnsi="Calibri" w:cs="Arial"/>
                <w:b/>
                <w:color w:val="000000"/>
                <w:lang w:val="es-ES_tradnl" w:eastAsia="es-CR"/>
              </w:rPr>
              <w:t>del libro o tema del Antiguo Testamento seleccionado</w:t>
            </w:r>
          </w:p>
          <w:p w14:paraId="54C71FB5"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76184E33"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bCs/>
                <w:color w:val="000000"/>
                <w:lang w:val="es-ES_tradnl" w:eastAsia="es-CR"/>
              </w:rPr>
              <w:t xml:space="preserve">2.2 Aspectos literarios de la obra </w:t>
            </w:r>
            <w:r w:rsidRPr="00D3167B">
              <w:rPr>
                <w:rFonts w:ascii="Calibri" w:eastAsia="Times New Roman" w:hAnsi="Calibri" w:cs="Arial"/>
                <w:color w:val="000000"/>
                <w:lang w:val="es-ES_tradnl" w:eastAsia="es-CR"/>
              </w:rPr>
              <w:t>del Antiguo Testamento seleccionado</w:t>
            </w:r>
          </w:p>
          <w:p w14:paraId="1D7CE680"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5BA38C99"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t>Ruta de aprendizaje</w:t>
            </w:r>
          </w:p>
          <w:p w14:paraId="2C55AA17"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6D6B0C65"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r w:rsidRPr="00D3167B">
              <w:rPr>
                <w:rFonts w:ascii="Calibri" w:eastAsia="Times New Roman" w:hAnsi="Calibri" w:cs="Calibri"/>
                <w:iCs/>
                <w:color w:val="000000"/>
                <w:szCs w:val="18"/>
                <w:lang w:eastAsia="es-CR"/>
              </w:rPr>
              <w:t xml:space="preserve">Ramírez Kidd, José Enrique. “Ruth: Capítulo 4”. En </w:t>
            </w:r>
            <w:r w:rsidRPr="00D3167B">
              <w:rPr>
                <w:rFonts w:ascii="Calibri" w:eastAsia="Times New Roman" w:hAnsi="Calibri" w:cs="Calibri"/>
                <w:i/>
                <w:color w:val="000000"/>
                <w:szCs w:val="18"/>
                <w:lang w:eastAsia="es-CR"/>
              </w:rPr>
              <w:t>El libro de Ruth: ternura de Dios frente al dolor humano</w:t>
            </w:r>
            <w:r w:rsidRPr="00D3167B">
              <w:rPr>
                <w:rFonts w:ascii="Calibri" w:eastAsia="Times New Roman" w:hAnsi="Calibri" w:cs="Calibri"/>
                <w:iCs/>
                <w:color w:val="000000"/>
                <w:szCs w:val="18"/>
                <w:lang w:eastAsia="es-CR"/>
              </w:rPr>
              <w:t xml:space="preserve">, 201-233. San José: Universidad Bíblica Latinoamericana, 2004. </w:t>
            </w:r>
            <w:r w:rsidRPr="00D3167B">
              <w:rPr>
                <w:rFonts w:ascii="Calibri" w:eastAsia="Times New Roman" w:hAnsi="Calibri" w:cs="Calibri"/>
                <w:iCs/>
                <w:color w:val="0070C0"/>
                <w:lang w:val="es-ES_tradnl" w:eastAsia="es-CR"/>
              </w:rPr>
              <w:t>(clásico, última edición)</w:t>
            </w:r>
          </w:p>
          <w:p w14:paraId="3EC768F1"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0311AEE9"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b/>
                <w:bCs/>
                <w:iCs/>
                <w:color w:val="0070C0"/>
                <w:lang w:eastAsia="es-CR"/>
              </w:rPr>
              <w:t>Material complementario</w:t>
            </w:r>
          </w:p>
          <w:p w14:paraId="586FCD73"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p>
          <w:p w14:paraId="5429A672"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lang w:eastAsia="es-CR"/>
              </w:rPr>
            </w:pPr>
            <w:r w:rsidRPr="00D3167B">
              <w:rPr>
                <w:rFonts w:ascii="Calibri" w:eastAsia="Times New Roman" w:hAnsi="Calibri" w:cs="Calibri"/>
                <w:iCs/>
                <w:color w:val="0070C0"/>
                <w:lang w:eastAsia="es-CR"/>
              </w:rPr>
              <w:t xml:space="preserve">Guía para la participación mediante la herramienta Big Blue </w:t>
            </w:r>
            <w:proofErr w:type="spellStart"/>
            <w:r w:rsidRPr="00D3167B">
              <w:rPr>
                <w:rFonts w:ascii="Calibri" w:eastAsia="Times New Roman" w:hAnsi="Calibri" w:cs="Calibri"/>
                <w:iCs/>
                <w:color w:val="0070C0"/>
                <w:lang w:eastAsia="es-CR"/>
              </w:rPr>
              <w:t>Button</w:t>
            </w:r>
            <w:proofErr w:type="spellEnd"/>
            <w:r w:rsidRPr="00D3167B">
              <w:rPr>
                <w:rFonts w:ascii="Calibri" w:eastAsia="Times New Roman" w:hAnsi="Calibri" w:cs="Calibri"/>
                <w:iCs/>
                <w:color w:val="0070C0"/>
                <w:lang w:eastAsia="es-CR"/>
              </w:rPr>
              <w:t xml:space="preserve"> en la plataforma Moodle</w:t>
            </w:r>
          </w:p>
          <w:p w14:paraId="5CE342F2"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tc>
        <w:tc>
          <w:tcPr>
            <w:tcW w:w="3118" w:type="dxa"/>
          </w:tcPr>
          <w:p w14:paraId="158C2E76" w14:textId="77777777" w:rsidR="00D3167B" w:rsidRPr="00D3167B" w:rsidRDefault="00D3167B" w:rsidP="00D3167B">
            <w:pPr>
              <w:widowControl w:val="0"/>
              <w:numPr>
                <w:ilvl w:val="0"/>
                <w:numId w:val="309"/>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Realizar la lectura de la sesión.</w:t>
            </w:r>
          </w:p>
          <w:p w14:paraId="3DDF119A" w14:textId="77777777" w:rsidR="00D3167B" w:rsidRPr="00D3167B" w:rsidRDefault="00D3167B" w:rsidP="00D3167B">
            <w:pPr>
              <w:widowControl w:val="0"/>
              <w:numPr>
                <w:ilvl w:val="0"/>
                <w:numId w:val="309"/>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Presentación grupal en un encuentro sincrónico virtual.</w:t>
            </w:r>
          </w:p>
          <w:p w14:paraId="31B30548" w14:textId="77777777" w:rsidR="00D3167B" w:rsidRPr="00D3167B" w:rsidRDefault="00D3167B" w:rsidP="00D3167B">
            <w:pPr>
              <w:widowControl w:val="0"/>
              <w:numPr>
                <w:ilvl w:val="0"/>
                <w:numId w:val="309"/>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Entregar el primer avance del estudio de un capítulo del libro de Rut (estudio exegético). </w:t>
            </w:r>
          </w:p>
        </w:tc>
      </w:tr>
      <w:tr w:rsidR="00D3167B" w:rsidRPr="00D3167B" w14:paraId="3F9BFE77" w14:textId="77777777" w:rsidTr="00104785">
        <w:trPr>
          <w:jc w:val="center"/>
        </w:trPr>
        <w:tc>
          <w:tcPr>
            <w:tcW w:w="1144" w:type="dxa"/>
          </w:tcPr>
          <w:p w14:paraId="5E414312"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08B6DF56"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10</w:t>
            </w:r>
          </w:p>
        </w:tc>
        <w:tc>
          <w:tcPr>
            <w:tcW w:w="2395" w:type="dxa"/>
          </w:tcPr>
          <w:p w14:paraId="6AA298E4"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3: Dimensión vital </w:t>
            </w:r>
            <w:r w:rsidRPr="00D3167B">
              <w:rPr>
                <w:rFonts w:ascii="Calibri" w:eastAsia="Times New Roman" w:hAnsi="Calibri" w:cs="Arial"/>
                <w:b/>
                <w:color w:val="000000"/>
                <w:lang w:val="es-ES_tradnl" w:eastAsia="es-CR"/>
              </w:rPr>
              <w:t>del libro o tema del Antiguo Testamento seleccionado</w:t>
            </w:r>
          </w:p>
          <w:p w14:paraId="7AD05AEF"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263D898C"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bCs/>
                <w:color w:val="000000"/>
                <w:lang w:val="es-ES_tradnl" w:eastAsia="es-CR"/>
              </w:rPr>
              <w:t xml:space="preserve">3.1 Aspectos teológicos de la obra </w:t>
            </w:r>
            <w:r w:rsidRPr="00D3167B">
              <w:rPr>
                <w:rFonts w:ascii="Calibri" w:eastAsia="Times New Roman" w:hAnsi="Calibri" w:cs="Arial"/>
                <w:color w:val="000000"/>
                <w:lang w:val="es-ES_tradnl" w:eastAsia="es-CR"/>
              </w:rPr>
              <w:t>del Antiguo Testamento seleccionado</w:t>
            </w:r>
          </w:p>
          <w:p w14:paraId="21D28A1E"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2509549A"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lastRenderedPageBreak/>
              <w:t>Ruta de aprendizaje</w:t>
            </w:r>
          </w:p>
          <w:p w14:paraId="71FF5828"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p>
          <w:p w14:paraId="6BE5E9EB"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proofErr w:type="spellStart"/>
            <w:r w:rsidRPr="00D3167B">
              <w:rPr>
                <w:rFonts w:ascii="Calibri" w:eastAsia="Times New Roman" w:hAnsi="Calibri" w:cs="Calibri"/>
                <w:iCs/>
                <w:szCs w:val="18"/>
                <w:lang w:eastAsia="es-CR"/>
              </w:rPr>
              <w:t>Wénin</w:t>
            </w:r>
            <w:proofErr w:type="spellEnd"/>
            <w:r w:rsidRPr="00D3167B">
              <w:rPr>
                <w:rFonts w:ascii="Calibri" w:eastAsia="Times New Roman" w:hAnsi="Calibri" w:cs="Calibri"/>
                <w:iCs/>
                <w:szCs w:val="18"/>
                <w:lang w:eastAsia="es-CR"/>
              </w:rPr>
              <w:t xml:space="preserve">, André. “Rut: la alquimia del bien”. En </w:t>
            </w:r>
            <w:r w:rsidRPr="00D3167B">
              <w:rPr>
                <w:rFonts w:ascii="Calibri" w:eastAsia="Times New Roman" w:hAnsi="Calibri" w:cs="Calibri"/>
                <w:i/>
                <w:szCs w:val="18"/>
                <w:lang w:eastAsia="es-CR"/>
              </w:rPr>
              <w:t xml:space="preserve">El libro de Ruth: aproximación </w:t>
            </w:r>
            <w:r w:rsidRPr="00D3167B">
              <w:rPr>
                <w:rFonts w:ascii="Calibri" w:eastAsia="Times New Roman" w:hAnsi="Calibri" w:cs="Calibri"/>
                <w:i/>
                <w:szCs w:val="18"/>
                <w:lang w:eastAsia="es-CR"/>
              </w:rPr>
              <w:lastRenderedPageBreak/>
              <w:t>narrativa</w:t>
            </w:r>
            <w:r w:rsidRPr="00D3167B">
              <w:rPr>
                <w:rFonts w:ascii="Calibri" w:eastAsia="Times New Roman" w:hAnsi="Calibri" w:cs="Calibri"/>
                <w:iCs/>
                <w:szCs w:val="18"/>
                <w:lang w:eastAsia="es-CR"/>
              </w:rPr>
              <w:t xml:space="preserve">, 42-61. Estela (Navarra): Verbo Divino, 2000. </w:t>
            </w:r>
            <w:r w:rsidRPr="00D3167B">
              <w:rPr>
                <w:rFonts w:ascii="Calibri" w:eastAsia="Times New Roman" w:hAnsi="Calibri" w:cs="Calibri"/>
                <w:iCs/>
                <w:color w:val="0070C0"/>
                <w:lang w:val="es-ES_tradnl" w:eastAsia="es-CR"/>
              </w:rPr>
              <w:t>(clásico, última edición)</w:t>
            </w:r>
          </w:p>
          <w:p w14:paraId="6E4BD215"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val="es-ES_tradnl" w:eastAsia="es-CR"/>
              </w:rPr>
            </w:pPr>
          </w:p>
          <w:p w14:paraId="6DC75741"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szCs w:val="18"/>
                <w:lang w:val="es-ES_tradnl" w:eastAsia="es-CR"/>
              </w:rPr>
            </w:pPr>
            <w:r w:rsidRPr="00D3167B">
              <w:rPr>
                <w:rFonts w:ascii="Calibri" w:eastAsia="Times New Roman" w:hAnsi="Calibri" w:cs="Calibri"/>
                <w:b/>
                <w:bCs/>
                <w:iCs/>
                <w:szCs w:val="18"/>
                <w:lang w:val="es-ES_tradnl" w:eastAsia="es-CR"/>
              </w:rPr>
              <w:t>Material complementario</w:t>
            </w:r>
          </w:p>
          <w:p w14:paraId="136B3A8C"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szCs w:val="18"/>
                <w:lang w:val="es-ES_tradnl" w:eastAsia="es-CR"/>
              </w:rPr>
            </w:pPr>
          </w:p>
          <w:p w14:paraId="13B1CFEC"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r w:rsidRPr="00D3167B">
              <w:rPr>
                <w:rFonts w:ascii="Calibri" w:eastAsia="Times New Roman" w:hAnsi="Calibri" w:cs="Calibri"/>
                <w:iCs/>
                <w:color w:val="000000"/>
                <w:szCs w:val="18"/>
                <w:lang w:eastAsia="es-CR"/>
              </w:rPr>
              <w:t xml:space="preserve">Vílchez </w:t>
            </w:r>
            <w:proofErr w:type="spellStart"/>
            <w:r w:rsidRPr="00D3167B">
              <w:rPr>
                <w:rFonts w:ascii="Calibri" w:eastAsia="Times New Roman" w:hAnsi="Calibri" w:cs="Calibri"/>
                <w:iCs/>
                <w:color w:val="000000"/>
                <w:szCs w:val="18"/>
                <w:lang w:eastAsia="es-CR"/>
              </w:rPr>
              <w:t>Líndez</w:t>
            </w:r>
            <w:proofErr w:type="spellEnd"/>
            <w:r w:rsidRPr="00D3167B">
              <w:rPr>
                <w:rFonts w:ascii="Calibri" w:eastAsia="Times New Roman" w:hAnsi="Calibri" w:cs="Calibri"/>
                <w:iCs/>
                <w:color w:val="000000"/>
                <w:szCs w:val="18"/>
                <w:lang w:eastAsia="es-CR"/>
              </w:rPr>
              <w:t xml:space="preserve">, José. “Finalidad u objetivo del libro de Rut”. En </w:t>
            </w:r>
            <w:r w:rsidRPr="00D3167B">
              <w:rPr>
                <w:rFonts w:ascii="Calibri" w:eastAsia="Times New Roman" w:hAnsi="Calibri" w:cs="Calibri"/>
                <w:i/>
                <w:color w:val="000000"/>
                <w:szCs w:val="18"/>
                <w:lang w:eastAsia="es-CR"/>
              </w:rPr>
              <w:t>Rut y Ester</w:t>
            </w:r>
            <w:r w:rsidRPr="00D3167B">
              <w:rPr>
                <w:rFonts w:ascii="Calibri" w:eastAsia="Times New Roman" w:hAnsi="Calibri" w:cs="Calibri"/>
                <w:iCs/>
                <w:color w:val="000000"/>
                <w:szCs w:val="18"/>
                <w:lang w:eastAsia="es-CR"/>
              </w:rPr>
              <w:t>, 38-43</w:t>
            </w:r>
            <w:r w:rsidRPr="00D3167B">
              <w:rPr>
                <w:rFonts w:ascii="Calibri" w:eastAsia="Times New Roman" w:hAnsi="Calibri" w:cs="Calibri"/>
                <w:i/>
                <w:color w:val="000000"/>
                <w:szCs w:val="18"/>
                <w:lang w:eastAsia="es-CR"/>
              </w:rPr>
              <w:t>.</w:t>
            </w:r>
            <w:r w:rsidRPr="00D3167B">
              <w:rPr>
                <w:rFonts w:ascii="Calibri" w:eastAsia="Times New Roman" w:hAnsi="Calibri" w:cs="Calibri"/>
                <w:iCs/>
                <w:color w:val="000000"/>
                <w:szCs w:val="18"/>
                <w:lang w:eastAsia="es-CR"/>
              </w:rPr>
              <w:t xml:space="preserve"> Estella (Navarra): Verbo Divino, 1998.</w:t>
            </w:r>
            <w:r w:rsidRPr="00D3167B">
              <w:rPr>
                <w:rFonts w:ascii="Calibri" w:eastAsia="Times New Roman" w:hAnsi="Calibri" w:cs="Calibri"/>
                <w:iCs/>
                <w:color w:val="0070C0"/>
                <w:lang w:val="es-ES_tradnl" w:eastAsia="es-CR"/>
              </w:rPr>
              <w:t xml:space="preserve"> (clásico, última edición)</w:t>
            </w:r>
          </w:p>
          <w:p w14:paraId="27825A04"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4EC417A8"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r w:rsidRPr="00D3167B">
              <w:rPr>
                <w:rFonts w:ascii="Calibri" w:eastAsia="Times New Roman" w:hAnsi="Calibri" w:cs="Calibri"/>
                <w:iCs/>
                <w:color w:val="0070C0"/>
                <w:szCs w:val="18"/>
                <w:lang w:eastAsia="es-CR"/>
              </w:rPr>
              <w:t>Guía para la elaboración de una reseña crítica de lectura</w:t>
            </w:r>
          </w:p>
          <w:p w14:paraId="53CC5774"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tc>
        <w:tc>
          <w:tcPr>
            <w:tcW w:w="3118" w:type="dxa"/>
          </w:tcPr>
          <w:p w14:paraId="6143EBA8" w14:textId="77777777" w:rsidR="00D3167B" w:rsidRPr="00D3167B" w:rsidRDefault="00D3167B" w:rsidP="00D3167B">
            <w:pPr>
              <w:widowControl w:val="0"/>
              <w:numPr>
                <w:ilvl w:val="0"/>
                <w:numId w:val="310"/>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lastRenderedPageBreak/>
              <w:t>Realizar la lectura de la sesión.</w:t>
            </w:r>
          </w:p>
          <w:p w14:paraId="05B4892A" w14:textId="77777777" w:rsidR="00D3167B" w:rsidRPr="00D3167B" w:rsidRDefault="00D3167B" w:rsidP="00D3167B">
            <w:pPr>
              <w:widowControl w:val="0"/>
              <w:numPr>
                <w:ilvl w:val="0"/>
                <w:numId w:val="310"/>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Elaboración de una reseña crítica de la lectura. </w:t>
            </w:r>
          </w:p>
          <w:p w14:paraId="79FED0C5" w14:textId="77777777" w:rsidR="00D3167B" w:rsidRPr="00D3167B" w:rsidRDefault="00D3167B" w:rsidP="00D3167B">
            <w:pPr>
              <w:widowControl w:val="0"/>
              <w:numPr>
                <w:ilvl w:val="0"/>
                <w:numId w:val="310"/>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lastRenderedPageBreak/>
              <w:t>Iniciar el estudio de un capítulo del libro de Rut, en particular, el estudio de la dimensión vital, teológica y pastoral.</w:t>
            </w:r>
          </w:p>
        </w:tc>
      </w:tr>
      <w:tr w:rsidR="00D3167B" w:rsidRPr="00D3167B" w14:paraId="235F1751" w14:textId="77777777" w:rsidTr="00104785">
        <w:trPr>
          <w:jc w:val="center"/>
        </w:trPr>
        <w:tc>
          <w:tcPr>
            <w:tcW w:w="1144" w:type="dxa"/>
          </w:tcPr>
          <w:p w14:paraId="5E7E0075"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22E4718E"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11</w:t>
            </w:r>
          </w:p>
        </w:tc>
        <w:tc>
          <w:tcPr>
            <w:tcW w:w="2395" w:type="dxa"/>
          </w:tcPr>
          <w:p w14:paraId="30E52164"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3: Dimensión vital </w:t>
            </w:r>
            <w:r w:rsidRPr="00D3167B">
              <w:rPr>
                <w:rFonts w:ascii="Calibri" w:eastAsia="Times New Roman" w:hAnsi="Calibri" w:cs="Arial"/>
                <w:b/>
                <w:color w:val="000000"/>
                <w:lang w:val="es-ES_tradnl" w:eastAsia="es-CR"/>
              </w:rPr>
              <w:t>del libro o tema del Antiguo Testamento seleccionado</w:t>
            </w:r>
          </w:p>
          <w:p w14:paraId="613EB3C5"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3D83807B"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bCs/>
                <w:color w:val="000000"/>
                <w:lang w:val="es-ES_tradnl" w:eastAsia="es-CR"/>
              </w:rPr>
              <w:t xml:space="preserve">3.2 Aspectos pastorales de la obra </w:t>
            </w:r>
            <w:r w:rsidRPr="00D3167B">
              <w:rPr>
                <w:rFonts w:ascii="Calibri" w:eastAsia="Times New Roman" w:hAnsi="Calibri" w:cs="Arial"/>
                <w:color w:val="000000"/>
                <w:lang w:val="es-ES_tradnl" w:eastAsia="es-CR"/>
              </w:rPr>
              <w:t>del Antiguo Testamento seleccionado</w:t>
            </w:r>
          </w:p>
          <w:p w14:paraId="78E4C872"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7BEAAE7A"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t>Ruta de aprendizaje</w:t>
            </w:r>
          </w:p>
          <w:p w14:paraId="75348244"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7A7665F5"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r w:rsidRPr="00D3167B">
              <w:rPr>
                <w:rFonts w:ascii="Calibri" w:eastAsia="Times New Roman" w:hAnsi="Calibri" w:cs="Calibri"/>
                <w:iCs/>
                <w:color w:val="000000"/>
                <w:szCs w:val="18"/>
                <w:lang w:eastAsia="es-CR"/>
              </w:rPr>
              <w:t xml:space="preserve">Ramírez Kidd, José Enrique. “Momento pastoral: nuestro entorno”. En </w:t>
            </w:r>
            <w:r w:rsidRPr="00D3167B">
              <w:rPr>
                <w:rFonts w:ascii="Calibri" w:eastAsia="Times New Roman" w:hAnsi="Calibri" w:cs="Calibri"/>
                <w:i/>
                <w:color w:val="000000"/>
                <w:szCs w:val="18"/>
                <w:lang w:eastAsia="es-CR"/>
              </w:rPr>
              <w:t>El libro de Ruth: ternura de Dios frente al dolor humano</w:t>
            </w:r>
            <w:r w:rsidRPr="00D3167B">
              <w:rPr>
                <w:rFonts w:ascii="Calibri" w:eastAsia="Times New Roman" w:hAnsi="Calibri" w:cs="Calibri"/>
                <w:iCs/>
                <w:color w:val="000000"/>
                <w:szCs w:val="18"/>
                <w:lang w:eastAsia="es-CR"/>
              </w:rPr>
              <w:t>, 69-82. San José: Universidad Bíblica Latinoamericana, 2004.</w:t>
            </w:r>
            <w:r w:rsidRPr="00D3167B">
              <w:rPr>
                <w:rFonts w:ascii="Calibri" w:eastAsia="Times New Roman" w:hAnsi="Calibri" w:cs="Calibri"/>
                <w:iCs/>
                <w:color w:val="0070C0"/>
                <w:lang w:val="es-ES_tradnl" w:eastAsia="es-CR"/>
              </w:rPr>
              <w:t xml:space="preserve"> (clásico, última edición)</w:t>
            </w:r>
          </w:p>
          <w:p w14:paraId="2B326091"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val="es-ES_tradnl" w:eastAsia="es-CR"/>
              </w:rPr>
            </w:pPr>
          </w:p>
          <w:p w14:paraId="46AF5831"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r w:rsidRPr="00D3167B">
              <w:rPr>
                <w:rFonts w:ascii="Calibri" w:eastAsia="Times New Roman" w:hAnsi="Calibri" w:cs="Calibri"/>
                <w:iCs/>
                <w:color w:val="000000"/>
                <w:szCs w:val="18"/>
                <w:lang w:eastAsia="es-CR"/>
              </w:rPr>
              <w:t xml:space="preserve">Guevara Llaguno, Miren </w:t>
            </w:r>
            <w:proofErr w:type="spellStart"/>
            <w:r w:rsidRPr="00D3167B">
              <w:rPr>
                <w:rFonts w:ascii="Calibri" w:eastAsia="Times New Roman" w:hAnsi="Calibri" w:cs="Calibri"/>
                <w:iCs/>
                <w:color w:val="000000"/>
                <w:szCs w:val="18"/>
                <w:lang w:eastAsia="es-CR"/>
              </w:rPr>
              <w:t>Junkal</w:t>
            </w:r>
            <w:proofErr w:type="spellEnd"/>
            <w:r w:rsidRPr="00D3167B">
              <w:rPr>
                <w:rFonts w:ascii="Calibri" w:eastAsia="Times New Roman" w:hAnsi="Calibri" w:cs="Calibri"/>
                <w:iCs/>
                <w:color w:val="000000"/>
                <w:szCs w:val="18"/>
                <w:lang w:eastAsia="es-CR"/>
              </w:rPr>
              <w:t xml:space="preserve">. “Rut y Noemí reclaman su vida y su memoria”. En </w:t>
            </w:r>
            <w:r w:rsidRPr="00D3167B">
              <w:rPr>
                <w:rFonts w:ascii="Calibri" w:eastAsia="Times New Roman" w:hAnsi="Calibri" w:cs="Calibri"/>
                <w:i/>
                <w:color w:val="000000"/>
                <w:szCs w:val="18"/>
                <w:lang w:eastAsia="es-CR"/>
              </w:rPr>
              <w:t>Los escritos: y otros libros sapienciales</w:t>
            </w:r>
            <w:r w:rsidRPr="00D3167B">
              <w:rPr>
                <w:rFonts w:ascii="Calibri" w:eastAsia="Times New Roman" w:hAnsi="Calibri" w:cs="Calibri"/>
                <w:iCs/>
                <w:color w:val="000000"/>
                <w:szCs w:val="18"/>
                <w:lang w:eastAsia="es-CR"/>
              </w:rPr>
              <w:t xml:space="preserve">, editado por Nuria Calduch-Benages y </w:t>
            </w:r>
            <w:proofErr w:type="spellStart"/>
            <w:r w:rsidRPr="00D3167B">
              <w:rPr>
                <w:rFonts w:ascii="Calibri" w:eastAsia="Times New Roman" w:hAnsi="Calibri" w:cs="Calibri"/>
                <w:iCs/>
                <w:color w:val="000000"/>
                <w:szCs w:val="18"/>
                <w:lang w:eastAsia="es-CR"/>
              </w:rPr>
              <w:t>Christl</w:t>
            </w:r>
            <w:proofErr w:type="spellEnd"/>
            <w:r w:rsidRPr="00D3167B">
              <w:rPr>
                <w:rFonts w:ascii="Calibri" w:eastAsia="Times New Roman" w:hAnsi="Calibri" w:cs="Calibri"/>
                <w:iCs/>
                <w:color w:val="000000"/>
                <w:szCs w:val="18"/>
                <w:lang w:eastAsia="es-CR"/>
              </w:rPr>
              <w:t xml:space="preserve"> M. Maier, 247-263. Estella: Verbo </w:t>
            </w:r>
            <w:r w:rsidRPr="00D3167B">
              <w:rPr>
                <w:rFonts w:ascii="Calibri" w:eastAsia="Times New Roman" w:hAnsi="Calibri" w:cs="Calibri"/>
                <w:iCs/>
                <w:szCs w:val="18"/>
                <w:lang w:eastAsia="es-CR"/>
              </w:rPr>
              <w:t>Divino, 2013.</w:t>
            </w:r>
            <w:r w:rsidRPr="00D3167B">
              <w:rPr>
                <w:rFonts w:ascii="Calibri" w:eastAsia="Times New Roman" w:hAnsi="Calibri" w:cs="Calibri"/>
                <w:iCs/>
                <w:color w:val="0070C0"/>
                <w:lang w:val="es-ES_tradnl" w:eastAsia="es-CR"/>
              </w:rPr>
              <w:t xml:space="preserve"> (clásico, última edición)</w:t>
            </w:r>
          </w:p>
          <w:p w14:paraId="4FD72E82"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p>
          <w:p w14:paraId="0D2021D9"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b/>
                <w:bCs/>
                <w:iCs/>
                <w:color w:val="0070C0"/>
                <w:lang w:eastAsia="es-CR"/>
              </w:rPr>
              <w:t>Material complementario</w:t>
            </w:r>
          </w:p>
          <w:p w14:paraId="24BF3589"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p>
          <w:p w14:paraId="567588FB"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r w:rsidRPr="00D3167B">
              <w:rPr>
                <w:rFonts w:ascii="Calibri" w:eastAsia="Times New Roman" w:hAnsi="Calibri" w:cs="Calibri"/>
                <w:iCs/>
                <w:color w:val="0070C0"/>
                <w:lang w:eastAsia="es-CR"/>
              </w:rPr>
              <w:t xml:space="preserve">Guía para la participación mediante la herramienta Big Blue </w:t>
            </w:r>
            <w:proofErr w:type="spellStart"/>
            <w:r w:rsidRPr="00D3167B">
              <w:rPr>
                <w:rFonts w:ascii="Calibri" w:eastAsia="Times New Roman" w:hAnsi="Calibri" w:cs="Calibri"/>
                <w:iCs/>
                <w:color w:val="0070C0"/>
                <w:lang w:eastAsia="es-CR"/>
              </w:rPr>
              <w:t>Button</w:t>
            </w:r>
            <w:proofErr w:type="spellEnd"/>
            <w:r w:rsidRPr="00D3167B">
              <w:rPr>
                <w:rFonts w:ascii="Calibri" w:eastAsia="Times New Roman" w:hAnsi="Calibri" w:cs="Calibri"/>
                <w:iCs/>
                <w:color w:val="0070C0"/>
                <w:lang w:eastAsia="es-CR"/>
              </w:rPr>
              <w:t xml:space="preserve"> en la plataforma Moodle</w:t>
            </w:r>
          </w:p>
          <w:p w14:paraId="7614F892"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tc>
        <w:tc>
          <w:tcPr>
            <w:tcW w:w="3118" w:type="dxa"/>
          </w:tcPr>
          <w:p w14:paraId="1D90EEC1" w14:textId="77777777" w:rsidR="00D3167B" w:rsidRPr="00D3167B" w:rsidRDefault="00D3167B" w:rsidP="00D3167B">
            <w:pPr>
              <w:widowControl w:val="0"/>
              <w:numPr>
                <w:ilvl w:val="0"/>
                <w:numId w:val="311"/>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Realizar las lecturas de la sesión.</w:t>
            </w:r>
          </w:p>
          <w:p w14:paraId="5C242360" w14:textId="77777777" w:rsidR="00D3167B" w:rsidRPr="00D3167B" w:rsidRDefault="00D3167B" w:rsidP="00D3167B">
            <w:pPr>
              <w:widowControl w:val="0"/>
              <w:numPr>
                <w:ilvl w:val="0"/>
                <w:numId w:val="311"/>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Presentación grupal en un encuentro sincrónico virtual. </w:t>
            </w:r>
          </w:p>
          <w:p w14:paraId="716DFBBB" w14:textId="77777777" w:rsidR="00D3167B" w:rsidRPr="00D3167B" w:rsidRDefault="00D3167B" w:rsidP="00D3167B">
            <w:pPr>
              <w:widowControl w:val="0"/>
              <w:numPr>
                <w:ilvl w:val="0"/>
                <w:numId w:val="311"/>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Continuar con el estudio de la dimensión vital, teológica y pastoral de un capítulo del libro de Rut. </w:t>
            </w:r>
          </w:p>
        </w:tc>
      </w:tr>
      <w:tr w:rsidR="00D3167B" w:rsidRPr="00D3167B" w14:paraId="26E7A3AD" w14:textId="77777777" w:rsidTr="00104785">
        <w:trPr>
          <w:jc w:val="center"/>
        </w:trPr>
        <w:tc>
          <w:tcPr>
            <w:tcW w:w="1144" w:type="dxa"/>
          </w:tcPr>
          <w:p w14:paraId="120E44F0"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48775BBE"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12</w:t>
            </w:r>
          </w:p>
        </w:tc>
        <w:tc>
          <w:tcPr>
            <w:tcW w:w="2395" w:type="dxa"/>
          </w:tcPr>
          <w:p w14:paraId="2607567A"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3: Dimensión vital </w:t>
            </w:r>
            <w:r w:rsidRPr="00D3167B">
              <w:rPr>
                <w:rFonts w:ascii="Calibri" w:eastAsia="Times New Roman" w:hAnsi="Calibri" w:cs="Arial"/>
                <w:b/>
                <w:color w:val="000000"/>
                <w:lang w:val="es-ES_tradnl" w:eastAsia="es-CR"/>
              </w:rPr>
              <w:t>del libro o tema del Antiguo Testamento seleccionado</w:t>
            </w:r>
          </w:p>
          <w:p w14:paraId="028D409E"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7FF4AD02"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bCs/>
                <w:color w:val="000000"/>
                <w:lang w:val="es-ES_tradnl" w:eastAsia="es-CR"/>
              </w:rPr>
              <w:t xml:space="preserve">3.2 Aspectos pastorales de la obra </w:t>
            </w:r>
            <w:r w:rsidRPr="00D3167B">
              <w:rPr>
                <w:rFonts w:ascii="Calibri" w:eastAsia="Times New Roman" w:hAnsi="Calibri" w:cs="Arial"/>
                <w:color w:val="000000"/>
                <w:lang w:val="es-ES_tradnl" w:eastAsia="es-CR"/>
              </w:rPr>
              <w:t>del Antiguo Testamento seleccionado</w:t>
            </w:r>
          </w:p>
          <w:p w14:paraId="689E2E19"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175B561E"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lastRenderedPageBreak/>
              <w:t>Ruta de aprendizaje</w:t>
            </w:r>
          </w:p>
          <w:p w14:paraId="260378FE"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6E4575AC"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563C1"/>
                <w:szCs w:val="18"/>
                <w:u w:val="single"/>
                <w:lang w:eastAsia="es-CR"/>
              </w:rPr>
            </w:pPr>
            <w:proofErr w:type="spellStart"/>
            <w:r w:rsidRPr="00D3167B">
              <w:rPr>
                <w:rFonts w:ascii="Calibri" w:eastAsia="Times New Roman" w:hAnsi="Calibri" w:cs="Calibri"/>
                <w:iCs/>
                <w:color w:val="000000"/>
                <w:szCs w:val="18"/>
                <w:lang w:eastAsia="es-CR"/>
              </w:rPr>
              <w:t>Honig</w:t>
            </w:r>
            <w:proofErr w:type="spellEnd"/>
            <w:r w:rsidRPr="00D3167B">
              <w:rPr>
                <w:rFonts w:ascii="Calibri" w:eastAsia="Times New Roman" w:hAnsi="Calibri" w:cs="Calibri"/>
                <w:iCs/>
                <w:color w:val="000000"/>
                <w:szCs w:val="18"/>
                <w:lang w:eastAsia="es-CR"/>
              </w:rPr>
              <w:t xml:space="preserve">, Bonnie. “Rut, migrante ejemplar. El duelo y las políticas simbólicas de la </w:t>
            </w:r>
            <w:r w:rsidRPr="00D3167B">
              <w:rPr>
                <w:rFonts w:ascii="Calibri" w:eastAsia="Times New Roman" w:hAnsi="Calibri" w:cs="Calibri"/>
                <w:iCs/>
                <w:color w:val="000000"/>
                <w:szCs w:val="18"/>
                <w:lang w:eastAsia="es-CR"/>
              </w:rPr>
              <w:lastRenderedPageBreak/>
              <w:t xml:space="preserve">inmigración”. </w:t>
            </w:r>
            <w:r w:rsidRPr="00D3167B">
              <w:rPr>
                <w:rFonts w:ascii="Calibri" w:eastAsia="Times New Roman" w:hAnsi="Calibri" w:cs="Calibri"/>
                <w:i/>
                <w:color w:val="000000"/>
                <w:szCs w:val="18"/>
                <w:lang w:eastAsia="es-CR"/>
              </w:rPr>
              <w:t>Acta Poética</w:t>
            </w:r>
            <w:r w:rsidRPr="00D3167B">
              <w:rPr>
                <w:rFonts w:ascii="Calibri" w:eastAsia="Times New Roman" w:hAnsi="Calibri" w:cs="Calibri"/>
                <w:iCs/>
                <w:color w:val="000000"/>
                <w:szCs w:val="18"/>
                <w:lang w:eastAsia="es-CR"/>
              </w:rPr>
              <w:t xml:space="preserve"> </w:t>
            </w:r>
            <w:r w:rsidRPr="00D3167B">
              <w:rPr>
                <w:rFonts w:ascii="Calibri" w:eastAsia="Times New Roman" w:hAnsi="Calibri" w:cs="Calibri"/>
                <w:iCs/>
                <w:szCs w:val="18"/>
                <w:lang w:eastAsia="es-CR"/>
              </w:rPr>
              <w:t>1</w:t>
            </w:r>
            <w:r w:rsidRPr="00D3167B">
              <w:rPr>
                <w:rFonts w:ascii="Calibri" w:eastAsia="Times New Roman" w:hAnsi="Calibri" w:cs="Calibri"/>
                <w:iCs/>
                <w:color w:val="000000"/>
                <w:szCs w:val="18"/>
                <w:lang w:eastAsia="es-CR"/>
              </w:rPr>
              <w:t xml:space="preserve"> (2010): 61-99. Acceso el 1 de noviembre del 2022. </w:t>
            </w:r>
            <w:hyperlink r:id="rId519" w:history="1">
              <w:r w:rsidRPr="00D3167B">
                <w:rPr>
                  <w:rFonts w:ascii="Calibri" w:eastAsia="Times New Roman" w:hAnsi="Calibri" w:cs="Calibri"/>
                  <w:iCs/>
                  <w:color w:val="0563C1"/>
                  <w:szCs w:val="18"/>
                  <w:u w:val="single"/>
                  <w:lang w:eastAsia="es-CR"/>
                </w:rPr>
                <w:t>https://revistas-filologicas.unam.mx/acta-poetica/index.php/ap/article/view/339</w:t>
              </w:r>
            </w:hyperlink>
          </w:p>
          <w:p w14:paraId="79C039AC" w14:textId="77777777" w:rsidR="00D3167B" w:rsidRPr="00D3167B" w:rsidRDefault="00D3167B" w:rsidP="00D3167B">
            <w:pPr>
              <w:widowControl w:val="0"/>
              <w:overflowPunct w:val="0"/>
              <w:autoSpaceDE w:val="0"/>
              <w:autoSpaceDN w:val="0"/>
              <w:adjustRightInd w:val="0"/>
              <w:rPr>
                <w:rFonts w:ascii="Times New Roman" w:eastAsia="Times New Roman" w:hAnsi="Times New Roman" w:cs="Times New Roman"/>
                <w:iCs/>
                <w:color w:val="0563C1"/>
                <w:sz w:val="24"/>
                <w:szCs w:val="18"/>
                <w:u w:val="single"/>
                <w:lang w:eastAsia="es-CR"/>
              </w:rPr>
            </w:pPr>
          </w:p>
          <w:p w14:paraId="5E7174CB"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lang w:eastAsia="es-CR"/>
              </w:rPr>
            </w:pPr>
            <w:r w:rsidRPr="00D3167B">
              <w:rPr>
                <w:rFonts w:ascii="Calibri" w:eastAsia="Times New Roman" w:hAnsi="Calibri" w:cs="Calibri"/>
                <w:b/>
                <w:bCs/>
                <w:iCs/>
                <w:lang w:eastAsia="es-CR"/>
              </w:rPr>
              <w:t>Material complementario</w:t>
            </w:r>
          </w:p>
          <w:p w14:paraId="419A6C95"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lang w:eastAsia="es-CR"/>
              </w:rPr>
            </w:pPr>
          </w:p>
          <w:p w14:paraId="5C446BFD"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r w:rsidRPr="00D3167B">
              <w:rPr>
                <w:rFonts w:ascii="Calibri" w:eastAsia="Times New Roman" w:hAnsi="Calibri" w:cs="Calibri"/>
                <w:iCs/>
                <w:szCs w:val="18"/>
                <w:lang w:eastAsia="es-CR"/>
              </w:rPr>
              <w:t>Pérez, Moisés. “</w:t>
            </w:r>
            <w:proofErr w:type="spellStart"/>
            <w:r w:rsidRPr="00D3167B">
              <w:rPr>
                <w:rFonts w:ascii="Calibri" w:eastAsia="Times New Roman" w:hAnsi="Calibri" w:cs="Calibri"/>
                <w:iCs/>
                <w:szCs w:val="18"/>
                <w:lang w:eastAsia="es-CR"/>
              </w:rPr>
              <w:t>Lxs</w:t>
            </w:r>
            <w:proofErr w:type="spellEnd"/>
            <w:r w:rsidRPr="00D3167B">
              <w:rPr>
                <w:rFonts w:ascii="Calibri" w:eastAsia="Times New Roman" w:hAnsi="Calibri" w:cs="Calibri"/>
                <w:iCs/>
                <w:szCs w:val="18"/>
                <w:lang w:eastAsia="es-CR"/>
              </w:rPr>
              <w:t xml:space="preserve"> </w:t>
            </w:r>
            <w:proofErr w:type="spellStart"/>
            <w:r w:rsidRPr="00D3167B">
              <w:rPr>
                <w:rFonts w:ascii="Calibri" w:eastAsia="Times New Roman" w:hAnsi="Calibri" w:cs="Calibri"/>
                <w:iCs/>
                <w:szCs w:val="18"/>
                <w:lang w:eastAsia="es-CR"/>
              </w:rPr>
              <w:t>otrxs</w:t>
            </w:r>
            <w:proofErr w:type="spellEnd"/>
            <w:r w:rsidRPr="00D3167B">
              <w:rPr>
                <w:rFonts w:ascii="Calibri" w:eastAsia="Times New Roman" w:hAnsi="Calibri" w:cs="Calibri"/>
                <w:iCs/>
                <w:szCs w:val="18"/>
                <w:lang w:eastAsia="es-CR"/>
              </w:rPr>
              <w:t xml:space="preserve"> son familia: migración y refugio como desafíos para el quehacer</w:t>
            </w:r>
            <w:r w:rsidRPr="00D3167B">
              <w:rPr>
                <w:rFonts w:ascii="Calibri" w:eastAsia="Times New Roman" w:hAnsi="Calibri" w:cs="Calibri"/>
                <w:iCs/>
                <w:szCs w:val="18"/>
                <w:lang w:eastAsia="es-CR"/>
              </w:rPr>
              <w:br/>
              <w:t>teológico latinoamericano”. En T</w:t>
            </w:r>
            <w:r w:rsidRPr="00D3167B">
              <w:rPr>
                <w:rFonts w:ascii="Calibri" w:eastAsia="Times New Roman" w:hAnsi="Calibri" w:cs="Calibri"/>
                <w:i/>
                <w:szCs w:val="18"/>
                <w:lang w:eastAsia="es-CR"/>
              </w:rPr>
              <w:t>eología práctica latinoamericana y caribeña. Fundamentos teóricos</w:t>
            </w:r>
            <w:r w:rsidRPr="00D3167B">
              <w:rPr>
                <w:rFonts w:ascii="Calibri" w:eastAsia="Times New Roman" w:hAnsi="Calibri" w:cs="Calibri"/>
                <w:iCs/>
                <w:szCs w:val="18"/>
                <w:lang w:eastAsia="es-CR"/>
              </w:rPr>
              <w:t xml:space="preserve">, editado por </w:t>
            </w:r>
            <w:proofErr w:type="spellStart"/>
            <w:r w:rsidRPr="00D3167B">
              <w:rPr>
                <w:rFonts w:ascii="Calibri" w:eastAsia="Times New Roman" w:hAnsi="Calibri" w:cs="Calibri"/>
                <w:iCs/>
                <w:szCs w:val="18"/>
                <w:lang w:eastAsia="es-CR"/>
              </w:rPr>
              <w:t>Angel</w:t>
            </w:r>
            <w:proofErr w:type="spellEnd"/>
            <w:r w:rsidRPr="00D3167B">
              <w:rPr>
                <w:rFonts w:ascii="Calibri" w:eastAsia="Times New Roman" w:hAnsi="Calibri" w:cs="Calibri"/>
                <w:iCs/>
                <w:szCs w:val="18"/>
                <w:lang w:eastAsia="es-CR"/>
              </w:rPr>
              <w:t xml:space="preserve"> Román López-</w:t>
            </w:r>
            <w:proofErr w:type="spellStart"/>
            <w:r w:rsidRPr="00D3167B">
              <w:rPr>
                <w:rFonts w:ascii="Calibri" w:eastAsia="Times New Roman" w:hAnsi="Calibri" w:cs="Calibri"/>
                <w:iCs/>
                <w:szCs w:val="18"/>
                <w:lang w:eastAsia="es-CR"/>
              </w:rPr>
              <w:t>Dollinger</w:t>
            </w:r>
            <w:proofErr w:type="spellEnd"/>
            <w:r w:rsidRPr="00D3167B">
              <w:rPr>
                <w:rFonts w:ascii="Calibri" w:eastAsia="Times New Roman" w:hAnsi="Calibri" w:cs="Calibri"/>
                <w:iCs/>
                <w:szCs w:val="18"/>
                <w:lang w:eastAsia="es-CR"/>
              </w:rPr>
              <w:t>, 373-390. San José: SEBILA, 2022.</w:t>
            </w:r>
          </w:p>
          <w:p w14:paraId="47EFBD46" w14:textId="77777777" w:rsidR="00D3167B" w:rsidRPr="00D3167B" w:rsidRDefault="00D3167B" w:rsidP="00D3167B">
            <w:pPr>
              <w:widowControl w:val="0"/>
              <w:overflowPunct w:val="0"/>
              <w:autoSpaceDE w:val="0"/>
              <w:autoSpaceDN w:val="0"/>
              <w:adjustRightInd w:val="0"/>
              <w:rPr>
                <w:rFonts w:ascii="Calibri" w:eastAsia="Times New Roman" w:hAnsi="Calibri" w:cs="Calibri"/>
                <w:iCs/>
                <w:szCs w:val="18"/>
                <w:lang w:eastAsia="es-CR"/>
              </w:rPr>
            </w:pPr>
          </w:p>
          <w:p w14:paraId="533D03A4"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70C0"/>
                <w:szCs w:val="18"/>
                <w:lang w:eastAsia="es-CR"/>
              </w:rPr>
            </w:pPr>
            <w:r w:rsidRPr="00D3167B">
              <w:rPr>
                <w:rFonts w:ascii="Calibri" w:eastAsia="Times New Roman" w:hAnsi="Calibri" w:cs="Calibri"/>
                <w:iCs/>
                <w:color w:val="0070C0"/>
                <w:szCs w:val="18"/>
                <w:lang w:eastAsia="es-CR"/>
              </w:rPr>
              <w:t>Guía para la elaboración de un ensayo</w:t>
            </w:r>
          </w:p>
          <w:p w14:paraId="66C182EB"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lang w:val="es-ES_tradnl" w:eastAsia="es-CR"/>
              </w:rPr>
            </w:pPr>
          </w:p>
        </w:tc>
        <w:tc>
          <w:tcPr>
            <w:tcW w:w="3118" w:type="dxa"/>
          </w:tcPr>
          <w:p w14:paraId="28C85122" w14:textId="77777777" w:rsidR="00D3167B" w:rsidRPr="00D3167B" w:rsidRDefault="00D3167B" w:rsidP="00D3167B">
            <w:pPr>
              <w:widowControl w:val="0"/>
              <w:numPr>
                <w:ilvl w:val="0"/>
                <w:numId w:val="312"/>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lastRenderedPageBreak/>
              <w:t>Realizar la lectura de la sesión.</w:t>
            </w:r>
          </w:p>
          <w:p w14:paraId="27DD3E13" w14:textId="77777777" w:rsidR="00D3167B" w:rsidRPr="00D3167B" w:rsidRDefault="00D3167B" w:rsidP="00D3167B">
            <w:pPr>
              <w:widowControl w:val="0"/>
              <w:numPr>
                <w:ilvl w:val="0"/>
                <w:numId w:val="312"/>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Elaboración de un ensayo sobre uno de los temas </w:t>
            </w:r>
            <w:r w:rsidRPr="00D3167B">
              <w:rPr>
                <w:rFonts w:ascii="Calibri" w:eastAsia="Calibri" w:hAnsi="Calibri" w:cs="Arial"/>
              </w:rPr>
              <w:lastRenderedPageBreak/>
              <w:t>vitales del libro de Rut pertinente para la actualidad de su contexto.</w:t>
            </w:r>
          </w:p>
          <w:p w14:paraId="6DA325A2" w14:textId="77777777" w:rsidR="00D3167B" w:rsidRPr="00D3167B" w:rsidRDefault="00D3167B" w:rsidP="00D3167B">
            <w:pPr>
              <w:widowControl w:val="0"/>
              <w:numPr>
                <w:ilvl w:val="0"/>
                <w:numId w:val="312"/>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Continuar con el estudio de la dimensión vital, teológica y pastoral de un capítulo del libro de Rut.</w:t>
            </w:r>
          </w:p>
        </w:tc>
      </w:tr>
      <w:tr w:rsidR="00D3167B" w:rsidRPr="00D3167B" w14:paraId="32437292" w14:textId="77777777" w:rsidTr="00104785">
        <w:trPr>
          <w:jc w:val="center"/>
        </w:trPr>
        <w:tc>
          <w:tcPr>
            <w:tcW w:w="1144" w:type="dxa"/>
          </w:tcPr>
          <w:p w14:paraId="1F7EE603"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624AC379"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13</w:t>
            </w:r>
          </w:p>
        </w:tc>
        <w:tc>
          <w:tcPr>
            <w:tcW w:w="2395" w:type="dxa"/>
          </w:tcPr>
          <w:p w14:paraId="6939F69C"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3: Dimensión vital </w:t>
            </w:r>
            <w:r w:rsidRPr="00D3167B">
              <w:rPr>
                <w:rFonts w:ascii="Calibri" w:eastAsia="Times New Roman" w:hAnsi="Calibri" w:cs="Arial"/>
                <w:b/>
                <w:color w:val="000000"/>
                <w:lang w:val="es-ES_tradnl" w:eastAsia="es-CR"/>
              </w:rPr>
              <w:t>del libro o tema del Antiguo Testamento seleccionado</w:t>
            </w:r>
          </w:p>
          <w:p w14:paraId="6FB6AFF6"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4E8962C8"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bCs/>
                <w:color w:val="000000"/>
                <w:lang w:val="es-ES_tradnl" w:eastAsia="es-CR"/>
              </w:rPr>
              <w:t xml:space="preserve">3.2 Aspectos pastorales de la obra </w:t>
            </w:r>
            <w:r w:rsidRPr="00D3167B">
              <w:rPr>
                <w:rFonts w:ascii="Calibri" w:eastAsia="Times New Roman" w:hAnsi="Calibri" w:cs="Arial"/>
                <w:color w:val="000000"/>
                <w:lang w:val="es-ES_tradnl" w:eastAsia="es-CR"/>
              </w:rPr>
              <w:t>del Antiguo Testamento seleccionado</w:t>
            </w:r>
          </w:p>
          <w:p w14:paraId="079F7A96"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0C2E7D80"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t>Ruta de aprendizaje</w:t>
            </w:r>
          </w:p>
          <w:p w14:paraId="6E914308"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55C57833"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r w:rsidRPr="00D3167B">
              <w:rPr>
                <w:rFonts w:ascii="Calibri" w:eastAsia="Times New Roman" w:hAnsi="Calibri" w:cs="Calibri"/>
                <w:iCs/>
                <w:color w:val="000000"/>
                <w:szCs w:val="18"/>
                <w:lang w:eastAsia="es-CR"/>
              </w:rPr>
              <w:t xml:space="preserve">Ramírez Kidd, José Enrique. “Momento Pastoral: correspondencia”, “Momento Pastoral: nuestro entorno 1”, “Momento Pastoral: nuestro entorno”. En </w:t>
            </w:r>
            <w:r w:rsidRPr="00D3167B">
              <w:rPr>
                <w:rFonts w:ascii="Calibri" w:eastAsia="Times New Roman" w:hAnsi="Calibri" w:cs="Calibri"/>
                <w:i/>
                <w:color w:val="000000"/>
                <w:szCs w:val="18"/>
                <w:lang w:eastAsia="es-CR"/>
              </w:rPr>
              <w:t>El libro de Ruth: ternura de Dios frente al dolor humano</w:t>
            </w:r>
            <w:r w:rsidRPr="00D3167B">
              <w:rPr>
                <w:rFonts w:ascii="Calibri" w:eastAsia="Times New Roman" w:hAnsi="Calibri" w:cs="Calibri"/>
                <w:iCs/>
                <w:color w:val="000000"/>
                <w:szCs w:val="18"/>
                <w:lang w:eastAsia="es-CR"/>
              </w:rPr>
              <w:t>, 133-138, 181-192, 235-244. San José: Universidad Bíblica Latinoamericana, 2004.</w:t>
            </w:r>
            <w:r w:rsidRPr="00D3167B">
              <w:rPr>
                <w:rFonts w:ascii="Calibri" w:eastAsia="Times New Roman" w:hAnsi="Calibri" w:cs="Calibri"/>
                <w:iCs/>
                <w:color w:val="0070C0"/>
                <w:lang w:val="es-ES_tradnl" w:eastAsia="es-CR"/>
              </w:rPr>
              <w:t xml:space="preserve"> (clásico, última edición)</w:t>
            </w:r>
          </w:p>
          <w:p w14:paraId="13A124C1"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280BCCFE"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roofErr w:type="spellStart"/>
            <w:r w:rsidRPr="00D3167B">
              <w:rPr>
                <w:rFonts w:ascii="Calibri" w:eastAsia="Times New Roman" w:hAnsi="Calibri" w:cs="Calibri"/>
                <w:iCs/>
                <w:color w:val="000000"/>
                <w:szCs w:val="18"/>
                <w:lang w:eastAsia="es-CR"/>
              </w:rPr>
              <w:t>Wacker</w:t>
            </w:r>
            <w:proofErr w:type="spellEnd"/>
            <w:r w:rsidRPr="00D3167B">
              <w:rPr>
                <w:rFonts w:ascii="Calibri" w:eastAsia="Times New Roman" w:hAnsi="Calibri" w:cs="Calibri"/>
                <w:iCs/>
                <w:color w:val="000000"/>
                <w:szCs w:val="18"/>
                <w:lang w:eastAsia="es-CR"/>
              </w:rPr>
              <w:t>, Marie-</w:t>
            </w:r>
            <w:proofErr w:type="spellStart"/>
            <w:r w:rsidRPr="00D3167B">
              <w:rPr>
                <w:rFonts w:ascii="Calibri" w:eastAsia="Times New Roman" w:hAnsi="Calibri" w:cs="Calibri"/>
                <w:iCs/>
                <w:color w:val="000000"/>
                <w:szCs w:val="18"/>
                <w:lang w:eastAsia="es-CR"/>
              </w:rPr>
              <w:t>Theres</w:t>
            </w:r>
            <w:proofErr w:type="spellEnd"/>
            <w:r w:rsidRPr="00D3167B">
              <w:rPr>
                <w:rFonts w:ascii="Calibri" w:eastAsia="Times New Roman" w:hAnsi="Calibri" w:cs="Calibri"/>
                <w:iCs/>
                <w:color w:val="000000"/>
                <w:szCs w:val="18"/>
                <w:lang w:eastAsia="es-CR"/>
              </w:rPr>
              <w:t xml:space="preserve">. “Torá para mujeres, relaciones desconcertantes y una deidad alada. Investigación de género en el Antiguo Testamento, tomando como ejemplo el libro de Rut”. </w:t>
            </w:r>
            <w:proofErr w:type="spellStart"/>
            <w:r w:rsidRPr="00D3167B">
              <w:rPr>
                <w:rFonts w:ascii="Calibri" w:eastAsia="Times New Roman" w:hAnsi="Calibri" w:cs="Calibri"/>
                <w:i/>
                <w:color w:val="000000"/>
                <w:szCs w:val="18"/>
                <w:lang w:eastAsia="es-CR"/>
              </w:rPr>
              <w:t>Concilum</w:t>
            </w:r>
            <w:proofErr w:type="spellEnd"/>
            <w:r w:rsidRPr="00D3167B">
              <w:rPr>
                <w:rFonts w:ascii="Calibri" w:eastAsia="Times New Roman" w:hAnsi="Calibri" w:cs="Calibri"/>
                <w:i/>
                <w:color w:val="000000"/>
                <w:szCs w:val="18"/>
                <w:lang w:eastAsia="es-CR"/>
              </w:rPr>
              <w:t xml:space="preserve">: Revista Internacional de </w:t>
            </w:r>
            <w:r w:rsidRPr="00D3167B">
              <w:rPr>
                <w:rFonts w:ascii="Calibri" w:eastAsia="Times New Roman" w:hAnsi="Calibri" w:cs="Calibri"/>
                <w:i/>
                <w:color w:val="000000"/>
                <w:szCs w:val="18"/>
                <w:lang w:eastAsia="es-CR"/>
              </w:rPr>
              <w:lastRenderedPageBreak/>
              <w:t>Teología</w:t>
            </w:r>
            <w:r w:rsidRPr="00D3167B">
              <w:rPr>
                <w:rFonts w:ascii="Calibri" w:eastAsia="Times New Roman" w:hAnsi="Calibri" w:cs="Calibri"/>
                <w:iCs/>
                <w:color w:val="000000"/>
                <w:szCs w:val="18"/>
                <w:lang w:eastAsia="es-CR"/>
              </w:rPr>
              <w:t xml:space="preserve"> 347 (2012):  79-89. </w:t>
            </w:r>
          </w:p>
          <w:p w14:paraId="67C3EDAF"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p>
          <w:p w14:paraId="6282425E"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b/>
                <w:bCs/>
                <w:iCs/>
                <w:color w:val="0070C0"/>
                <w:lang w:eastAsia="es-CR"/>
              </w:rPr>
              <w:t>Material complementario</w:t>
            </w:r>
          </w:p>
          <w:p w14:paraId="3A38EA4A"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p>
          <w:p w14:paraId="3480E011" w14:textId="77777777" w:rsidR="00D3167B" w:rsidRPr="00D3167B" w:rsidRDefault="00D3167B" w:rsidP="00D3167B">
            <w:pPr>
              <w:widowControl w:val="0"/>
              <w:overflowPunct w:val="0"/>
              <w:autoSpaceDE w:val="0"/>
              <w:autoSpaceDN w:val="0"/>
              <w:adjustRightInd w:val="0"/>
              <w:rPr>
                <w:rFonts w:ascii="Calibri" w:eastAsia="Times New Roman" w:hAnsi="Calibri" w:cs="Calibri"/>
                <w:iCs/>
                <w:color w:val="000000"/>
                <w:szCs w:val="18"/>
                <w:lang w:eastAsia="es-CR"/>
              </w:rPr>
            </w:pPr>
            <w:r w:rsidRPr="00D3167B">
              <w:rPr>
                <w:rFonts w:ascii="Calibri" w:eastAsia="Times New Roman" w:hAnsi="Calibri" w:cs="Calibri"/>
                <w:iCs/>
                <w:color w:val="0070C0"/>
                <w:lang w:eastAsia="es-CR"/>
              </w:rPr>
              <w:t xml:space="preserve">Guía para la participación mediante la herramienta Big Blue </w:t>
            </w:r>
            <w:proofErr w:type="spellStart"/>
            <w:r w:rsidRPr="00D3167B">
              <w:rPr>
                <w:rFonts w:ascii="Calibri" w:eastAsia="Times New Roman" w:hAnsi="Calibri" w:cs="Calibri"/>
                <w:iCs/>
                <w:color w:val="0070C0"/>
                <w:lang w:eastAsia="es-CR"/>
              </w:rPr>
              <w:t>Button</w:t>
            </w:r>
            <w:proofErr w:type="spellEnd"/>
            <w:r w:rsidRPr="00D3167B">
              <w:rPr>
                <w:rFonts w:ascii="Calibri" w:eastAsia="Times New Roman" w:hAnsi="Calibri" w:cs="Calibri"/>
                <w:iCs/>
                <w:color w:val="0070C0"/>
                <w:lang w:eastAsia="es-CR"/>
              </w:rPr>
              <w:t xml:space="preserve"> en la plataforma Moodle</w:t>
            </w:r>
          </w:p>
          <w:p w14:paraId="4F20B515" w14:textId="77777777" w:rsidR="00D3167B" w:rsidRPr="00D3167B" w:rsidRDefault="00D3167B" w:rsidP="00D3167B">
            <w:pPr>
              <w:widowControl w:val="0"/>
              <w:overflowPunct w:val="0"/>
              <w:autoSpaceDE w:val="0"/>
              <w:autoSpaceDN w:val="0"/>
              <w:adjustRightInd w:val="0"/>
              <w:rPr>
                <w:rFonts w:ascii="Calibri" w:eastAsia="Times New Roman" w:hAnsi="Calibri" w:cs="Calibri"/>
                <w:lang w:val="es-ES_tradnl" w:eastAsia="es-CR"/>
              </w:rPr>
            </w:pPr>
          </w:p>
        </w:tc>
        <w:tc>
          <w:tcPr>
            <w:tcW w:w="3118" w:type="dxa"/>
          </w:tcPr>
          <w:p w14:paraId="34CFB65B" w14:textId="77777777" w:rsidR="00D3167B" w:rsidRPr="00D3167B" w:rsidRDefault="00D3167B" w:rsidP="00D3167B">
            <w:pPr>
              <w:widowControl w:val="0"/>
              <w:numPr>
                <w:ilvl w:val="0"/>
                <w:numId w:val="313"/>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lastRenderedPageBreak/>
              <w:t>Realizar las lecturas de la sesión.</w:t>
            </w:r>
          </w:p>
          <w:p w14:paraId="1F937EBA" w14:textId="77777777" w:rsidR="00D3167B" w:rsidRPr="00D3167B" w:rsidRDefault="00D3167B" w:rsidP="00D3167B">
            <w:pPr>
              <w:widowControl w:val="0"/>
              <w:numPr>
                <w:ilvl w:val="0"/>
                <w:numId w:val="313"/>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 xml:space="preserve">Presentación grupal en un encuentro sincrónico virtual. </w:t>
            </w:r>
          </w:p>
          <w:p w14:paraId="78716BDA" w14:textId="77777777" w:rsidR="00D3167B" w:rsidRPr="00D3167B" w:rsidRDefault="00D3167B" w:rsidP="00D3167B">
            <w:pPr>
              <w:widowControl w:val="0"/>
              <w:numPr>
                <w:ilvl w:val="0"/>
                <w:numId w:val="313"/>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Entregar el segundo avance del estudio de un capítulo del libro de Rut (estudio de la dimensión vital, teológica y pastoral).</w:t>
            </w:r>
          </w:p>
        </w:tc>
      </w:tr>
      <w:tr w:rsidR="00D3167B" w:rsidRPr="00D3167B" w14:paraId="3DB1B4A6" w14:textId="77777777" w:rsidTr="00104785">
        <w:trPr>
          <w:jc w:val="center"/>
        </w:trPr>
        <w:tc>
          <w:tcPr>
            <w:tcW w:w="1144" w:type="dxa"/>
          </w:tcPr>
          <w:p w14:paraId="608F25ED"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6EAEDB99"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14</w:t>
            </w:r>
          </w:p>
        </w:tc>
        <w:tc>
          <w:tcPr>
            <w:tcW w:w="2395" w:type="dxa"/>
          </w:tcPr>
          <w:p w14:paraId="452B6901"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3: Dimensión vital </w:t>
            </w:r>
            <w:r w:rsidRPr="00D3167B">
              <w:rPr>
                <w:rFonts w:ascii="Calibri" w:eastAsia="Times New Roman" w:hAnsi="Calibri" w:cs="Arial"/>
                <w:b/>
                <w:color w:val="000000"/>
                <w:lang w:val="es-ES_tradnl" w:eastAsia="es-CR"/>
              </w:rPr>
              <w:t>del libro o tema del Antiguo Testamento seleccionado</w:t>
            </w:r>
          </w:p>
          <w:p w14:paraId="2D681EE9"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0E76986E"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color w:val="000000"/>
                <w:lang w:val="es-ES_tradnl" w:eastAsia="es-CR"/>
              </w:rPr>
              <w:t>3.3 Cierre del proceso de investigación</w:t>
            </w:r>
          </w:p>
          <w:p w14:paraId="76C267E2"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1B184496"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t>Ruta de aprendizaje</w:t>
            </w:r>
          </w:p>
          <w:p w14:paraId="0D0BEF29"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p>
          <w:p w14:paraId="1DE2A202"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b/>
                <w:bCs/>
                <w:iCs/>
                <w:color w:val="0070C0"/>
                <w:lang w:eastAsia="es-CR"/>
              </w:rPr>
              <w:t>Material complementario</w:t>
            </w:r>
          </w:p>
          <w:p w14:paraId="1A6DDD5A"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p>
          <w:p w14:paraId="03D18923" w14:textId="77777777" w:rsidR="00D3167B" w:rsidRPr="00D3167B" w:rsidRDefault="00D3167B" w:rsidP="00D3167B">
            <w:pPr>
              <w:widowControl w:val="0"/>
              <w:overflowPunct w:val="0"/>
              <w:autoSpaceDE w:val="0"/>
              <w:autoSpaceDN w:val="0"/>
              <w:adjustRightInd w:val="0"/>
              <w:rPr>
                <w:rFonts w:ascii="Calibri" w:eastAsia="Times New Roman" w:hAnsi="Calibri" w:cs="Calibri"/>
                <w:b/>
                <w:bCs/>
                <w:iCs/>
                <w:color w:val="0070C0"/>
                <w:lang w:eastAsia="es-CR"/>
              </w:rPr>
            </w:pPr>
            <w:r w:rsidRPr="00D3167B">
              <w:rPr>
                <w:rFonts w:ascii="Calibri" w:eastAsia="Times New Roman" w:hAnsi="Calibri" w:cs="Calibri"/>
                <w:color w:val="0563C1"/>
                <w:lang w:val="es-ES_tradnl" w:eastAsia="es-CR"/>
              </w:rPr>
              <w:t>Guía para la participación en un foro en la plataforma Moodle</w:t>
            </w:r>
          </w:p>
        </w:tc>
        <w:tc>
          <w:tcPr>
            <w:tcW w:w="3118" w:type="dxa"/>
          </w:tcPr>
          <w:p w14:paraId="1886A31D" w14:textId="77777777" w:rsidR="00D3167B" w:rsidRPr="00D3167B" w:rsidRDefault="00D3167B" w:rsidP="00D3167B">
            <w:pPr>
              <w:widowControl w:val="0"/>
              <w:numPr>
                <w:ilvl w:val="0"/>
                <w:numId w:val="314"/>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Participación en el foro temático: Los métodos que aportan al estudio exegético/literario, teológico y pastoral de un texto bíblico.</w:t>
            </w:r>
          </w:p>
          <w:p w14:paraId="002C4723" w14:textId="77777777" w:rsidR="00D3167B" w:rsidRPr="00D3167B" w:rsidRDefault="00D3167B" w:rsidP="00D3167B">
            <w:pPr>
              <w:widowControl w:val="0"/>
              <w:numPr>
                <w:ilvl w:val="0"/>
                <w:numId w:val="314"/>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Realizar las correcciones, a partir de las observaciones de la persona docente, a su estudio de un capítulo del libro de Rut.</w:t>
            </w:r>
          </w:p>
        </w:tc>
      </w:tr>
      <w:tr w:rsidR="00D3167B" w:rsidRPr="00D3167B" w14:paraId="6B338132" w14:textId="77777777" w:rsidTr="00104785">
        <w:trPr>
          <w:jc w:val="center"/>
        </w:trPr>
        <w:tc>
          <w:tcPr>
            <w:tcW w:w="1144" w:type="dxa"/>
          </w:tcPr>
          <w:p w14:paraId="656C2137"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p>
          <w:p w14:paraId="00432C34" w14:textId="77777777" w:rsidR="00D3167B" w:rsidRPr="00D3167B" w:rsidRDefault="00D3167B" w:rsidP="00D3167B">
            <w:pPr>
              <w:widowControl w:val="0"/>
              <w:overflowPunct w:val="0"/>
              <w:autoSpaceDE w:val="0"/>
              <w:autoSpaceDN w:val="0"/>
              <w:adjustRightInd w:val="0"/>
              <w:jc w:val="center"/>
              <w:rPr>
                <w:rFonts w:ascii="Calibri" w:eastAsia="Times New Roman" w:hAnsi="Calibri" w:cs="Arial"/>
                <w:lang w:val="es-ES_tradnl" w:eastAsia="es-CR"/>
              </w:rPr>
            </w:pPr>
            <w:r w:rsidRPr="00D3167B">
              <w:rPr>
                <w:rFonts w:ascii="Calibri" w:eastAsia="Times New Roman" w:hAnsi="Calibri" w:cs="Arial"/>
                <w:lang w:val="es-ES_tradnl" w:eastAsia="es-CR"/>
              </w:rPr>
              <w:t>15</w:t>
            </w:r>
          </w:p>
        </w:tc>
        <w:tc>
          <w:tcPr>
            <w:tcW w:w="2395" w:type="dxa"/>
          </w:tcPr>
          <w:p w14:paraId="2C03659D" w14:textId="77777777" w:rsidR="00D3167B" w:rsidRPr="00D3167B" w:rsidRDefault="00D3167B" w:rsidP="00D3167B">
            <w:pPr>
              <w:widowControl w:val="0"/>
              <w:overflowPunct w:val="0"/>
              <w:autoSpaceDE w:val="0"/>
              <w:autoSpaceDN w:val="0"/>
              <w:adjustRightInd w:val="0"/>
              <w:rPr>
                <w:rFonts w:ascii="Calibri" w:eastAsia="Times New Roman" w:hAnsi="Calibri" w:cs="Arial"/>
                <w:b/>
                <w:color w:val="000000"/>
                <w:lang w:val="es-ES_tradnl" w:eastAsia="es-CR"/>
              </w:rPr>
            </w:pPr>
            <w:r w:rsidRPr="00D3167B">
              <w:rPr>
                <w:rFonts w:ascii="Calibri" w:eastAsia="Times New Roman" w:hAnsi="Calibri" w:cs="Arial"/>
                <w:b/>
                <w:bCs/>
                <w:color w:val="000000"/>
                <w:lang w:val="es-ES_tradnl" w:eastAsia="es-CR"/>
              </w:rPr>
              <w:t xml:space="preserve">Unidad 3: Dimensión vital </w:t>
            </w:r>
            <w:r w:rsidRPr="00D3167B">
              <w:rPr>
                <w:rFonts w:ascii="Calibri" w:eastAsia="Times New Roman" w:hAnsi="Calibri" w:cs="Arial"/>
                <w:b/>
                <w:color w:val="000000"/>
                <w:lang w:val="es-ES_tradnl" w:eastAsia="es-CR"/>
              </w:rPr>
              <w:t>del libro o tema del Antiguo Testamento seleccionado</w:t>
            </w:r>
          </w:p>
          <w:p w14:paraId="195DFDA6"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p w14:paraId="45D8815A"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0000"/>
                <w:lang w:val="es-ES_tradnl" w:eastAsia="es-CR"/>
              </w:rPr>
            </w:pPr>
            <w:r w:rsidRPr="00D3167B">
              <w:rPr>
                <w:rFonts w:ascii="Calibri" w:eastAsia="Times New Roman" w:hAnsi="Calibri" w:cs="Arial"/>
                <w:color w:val="000000"/>
                <w:lang w:val="es-ES_tradnl" w:eastAsia="es-CR"/>
              </w:rPr>
              <w:t>3.3 Cierre del proceso de investigación</w:t>
            </w:r>
          </w:p>
          <w:p w14:paraId="1DE72E71"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2977" w:type="dxa"/>
          </w:tcPr>
          <w:p w14:paraId="48ED693C"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r w:rsidRPr="00D3167B">
              <w:rPr>
                <w:rFonts w:ascii="Calibri" w:eastAsia="Times New Roman" w:hAnsi="Calibri" w:cs="Arial"/>
                <w:color w:val="0070C0"/>
                <w:lang w:val="es-ES_tradnl" w:eastAsia="es-CR"/>
              </w:rPr>
              <w:t>Ruta de aprendizaje</w:t>
            </w:r>
          </w:p>
          <w:p w14:paraId="56EB07E0" w14:textId="77777777" w:rsidR="00D3167B" w:rsidRPr="00D3167B" w:rsidRDefault="00D3167B" w:rsidP="00D3167B">
            <w:pPr>
              <w:widowControl w:val="0"/>
              <w:overflowPunct w:val="0"/>
              <w:autoSpaceDE w:val="0"/>
              <w:autoSpaceDN w:val="0"/>
              <w:adjustRightInd w:val="0"/>
              <w:rPr>
                <w:rFonts w:ascii="Calibri" w:eastAsia="Times New Roman" w:hAnsi="Calibri" w:cs="Arial"/>
                <w:color w:val="0070C0"/>
                <w:lang w:val="es-ES_tradnl" w:eastAsia="es-CR"/>
              </w:rPr>
            </w:pPr>
          </w:p>
          <w:p w14:paraId="1199F77E" w14:textId="77777777" w:rsidR="00D3167B" w:rsidRPr="00D3167B" w:rsidRDefault="00D3167B" w:rsidP="00D3167B">
            <w:pPr>
              <w:widowControl w:val="0"/>
              <w:overflowPunct w:val="0"/>
              <w:autoSpaceDE w:val="0"/>
              <w:autoSpaceDN w:val="0"/>
              <w:adjustRightInd w:val="0"/>
              <w:rPr>
                <w:rFonts w:ascii="Calibri" w:eastAsia="Times New Roman" w:hAnsi="Calibri" w:cs="Arial"/>
                <w:lang w:val="es-ES_tradnl" w:eastAsia="es-CR"/>
              </w:rPr>
            </w:pPr>
          </w:p>
        </w:tc>
        <w:tc>
          <w:tcPr>
            <w:tcW w:w="3118" w:type="dxa"/>
          </w:tcPr>
          <w:p w14:paraId="5AB84B74" w14:textId="77777777" w:rsidR="00D3167B" w:rsidRPr="00D3167B" w:rsidRDefault="00D3167B" w:rsidP="00D3167B">
            <w:pPr>
              <w:widowControl w:val="0"/>
              <w:numPr>
                <w:ilvl w:val="0"/>
                <w:numId w:val="315"/>
              </w:numPr>
              <w:overflowPunct w:val="0"/>
              <w:autoSpaceDE w:val="0"/>
              <w:autoSpaceDN w:val="0"/>
              <w:adjustRightInd w:val="0"/>
              <w:spacing w:before="120" w:after="200" w:line="276" w:lineRule="auto"/>
              <w:ind w:left="315"/>
              <w:contextualSpacing/>
              <w:rPr>
                <w:rFonts w:ascii="Calibri" w:eastAsia="Calibri" w:hAnsi="Calibri" w:cs="Arial"/>
              </w:rPr>
            </w:pPr>
            <w:r w:rsidRPr="00D3167B">
              <w:rPr>
                <w:rFonts w:ascii="Calibri" w:eastAsia="Calibri" w:hAnsi="Calibri" w:cs="Arial"/>
              </w:rPr>
              <w:t>Entregar la versión final del estudio de un capítulo del libro de Rut.</w:t>
            </w:r>
          </w:p>
        </w:tc>
      </w:tr>
    </w:tbl>
    <w:p w14:paraId="31F0561F"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kern w:val="0"/>
          <w:lang w:val="es-ES_tradnl" w:eastAsia="es-CR"/>
          <w14:ligatures w14:val="none"/>
        </w:rPr>
      </w:pPr>
    </w:p>
    <w:p w14:paraId="6C24BFF2" w14:textId="77777777" w:rsidR="00D3167B" w:rsidRPr="00D3167B" w:rsidRDefault="00D3167B" w:rsidP="00D3167B">
      <w:pPr>
        <w:spacing w:after="0" w:line="240" w:lineRule="auto"/>
        <w:contextualSpacing/>
        <w:rPr>
          <w:rFonts w:ascii="Calibri" w:eastAsia="Calibri" w:hAnsi="Calibri" w:cs="Arial"/>
          <w:b/>
          <w:color w:val="000000"/>
          <w:kern w:val="0"/>
          <w14:ligatures w14:val="none"/>
        </w:rPr>
      </w:pPr>
    </w:p>
    <w:p w14:paraId="58E49B34"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5522F022"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3167B">
        <w:rPr>
          <w:rFonts w:ascii="Calibri" w:eastAsia="Times New Roman" w:hAnsi="Calibri" w:cs="Calibri"/>
          <w:b/>
          <w:bCs/>
          <w:color w:val="000000"/>
          <w:kern w:val="0"/>
          <w:lang w:val="es-ES_tradnl" w:eastAsia="es-CR"/>
          <w14:ligatures w14:val="none"/>
        </w:rPr>
        <w:br w:type="page"/>
      </w:r>
      <w:r w:rsidRPr="00D3167B">
        <w:rPr>
          <w:rFonts w:ascii="Calibri" w:eastAsia="Times New Roman" w:hAnsi="Calibri" w:cs="Calibri"/>
          <w:b/>
          <w:bCs/>
          <w:color w:val="000000"/>
          <w:kern w:val="0"/>
          <w:lang w:val="es-ES_tradnl" w:eastAsia="es-CR"/>
          <w14:ligatures w14:val="none"/>
        </w:rPr>
        <w:lastRenderedPageBreak/>
        <w:t>IX. Distribución de tiempo semanal</w:t>
      </w:r>
    </w:p>
    <w:p w14:paraId="386324D0"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3167B">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4E881EF2"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9031" w:type="dxa"/>
        <w:jc w:val="center"/>
        <w:tblLook w:val="04A0" w:firstRow="1" w:lastRow="0" w:firstColumn="1" w:lastColumn="0" w:noHBand="0" w:noVBand="1"/>
      </w:tblPr>
      <w:tblGrid>
        <w:gridCol w:w="2181"/>
        <w:gridCol w:w="1457"/>
        <w:gridCol w:w="5393"/>
      </w:tblGrid>
      <w:tr w:rsidR="00D3167B" w:rsidRPr="00D3167B" w14:paraId="5C94746F" w14:textId="77777777" w:rsidTr="00104785">
        <w:trPr>
          <w:trHeight w:val="538"/>
          <w:jc w:val="center"/>
        </w:trPr>
        <w:tc>
          <w:tcPr>
            <w:tcW w:w="2181" w:type="dxa"/>
            <w:vAlign w:val="center"/>
          </w:tcPr>
          <w:p w14:paraId="57180C85"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3167B">
              <w:rPr>
                <w:rFonts w:ascii="Calibri" w:eastAsia="Times New Roman" w:hAnsi="Calibri" w:cs="Calibri"/>
                <w:b/>
                <w:bCs/>
                <w:color w:val="000000"/>
                <w:lang w:val="es-ES_tradnl" w:eastAsia="es-CR"/>
              </w:rPr>
              <w:t>Tipo de horas</w:t>
            </w:r>
          </w:p>
          <w:p w14:paraId="50A525A7"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3167B">
              <w:rPr>
                <w:rFonts w:ascii="Calibri" w:eastAsia="Times New Roman" w:hAnsi="Calibri" w:cs="Calibri"/>
                <w:b/>
                <w:bCs/>
                <w:color w:val="000000"/>
                <w:lang w:val="es-ES_tradnl" w:eastAsia="es-CR"/>
              </w:rPr>
              <w:t>(categoría)</w:t>
            </w:r>
          </w:p>
        </w:tc>
        <w:tc>
          <w:tcPr>
            <w:tcW w:w="1457" w:type="dxa"/>
            <w:vAlign w:val="center"/>
          </w:tcPr>
          <w:p w14:paraId="6AA2619D"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3167B">
              <w:rPr>
                <w:rFonts w:ascii="Calibri" w:eastAsia="Times New Roman" w:hAnsi="Calibri" w:cs="Calibri"/>
                <w:b/>
                <w:bCs/>
                <w:color w:val="000000"/>
                <w:lang w:val="es-ES_tradnl" w:eastAsia="es-CR"/>
              </w:rPr>
              <w:t>Horas por semana</w:t>
            </w:r>
          </w:p>
        </w:tc>
        <w:tc>
          <w:tcPr>
            <w:tcW w:w="5393" w:type="dxa"/>
            <w:vAlign w:val="center"/>
          </w:tcPr>
          <w:p w14:paraId="7287BE17"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3167B">
              <w:rPr>
                <w:rFonts w:ascii="Calibri" w:eastAsia="Times New Roman" w:hAnsi="Calibri" w:cs="Calibri"/>
                <w:b/>
                <w:bCs/>
                <w:color w:val="000000"/>
                <w:lang w:val="es-ES_tradnl" w:eastAsia="es-CR"/>
              </w:rPr>
              <w:t>Actividades relacionadas</w:t>
            </w:r>
          </w:p>
        </w:tc>
      </w:tr>
      <w:tr w:rsidR="00D3167B" w:rsidRPr="00D3167B" w14:paraId="4D923589" w14:textId="77777777" w:rsidTr="00104785">
        <w:trPr>
          <w:trHeight w:val="607"/>
          <w:jc w:val="center"/>
        </w:trPr>
        <w:tc>
          <w:tcPr>
            <w:tcW w:w="2181" w:type="dxa"/>
            <w:vAlign w:val="center"/>
          </w:tcPr>
          <w:p w14:paraId="4643BEBC"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3167B">
              <w:rPr>
                <w:rFonts w:ascii="Calibri" w:eastAsia="Times New Roman" w:hAnsi="Calibri" w:cs="Calibri"/>
                <w:bCs/>
                <w:color w:val="000000"/>
                <w:lang w:val="es-ES_tradnl" w:eastAsia="es-CR"/>
              </w:rPr>
              <w:t>Horas de Estudio Individual (HEI)</w:t>
            </w:r>
          </w:p>
        </w:tc>
        <w:tc>
          <w:tcPr>
            <w:tcW w:w="1457" w:type="dxa"/>
            <w:vAlign w:val="center"/>
          </w:tcPr>
          <w:p w14:paraId="2FF9082A"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3167B">
              <w:rPr>
                <w:rFonts w:ascii="Calibri" w:eastAsia="Times New Roman" w:hAnsi="Calibri" w:cs="Calibri"/>
                <w:bCs/>
                <w:color w:val="000000"/>
                <w:lang w:val="es-ES_tradnl" w:eastAsia="es-CR"/>
              </w:rPr>
              <w:t>3</w:t>
            </w:r>
          </w:p>
        </w:tc>
        <w:tc>
          <w:tcPr>
            <w:tcW w:w="5393" w:type="dxa"/>
          </w:tcPr>
          <w:p w14:paraId="7FBB133D" w14:textId="77777777" w:rsidR="00D3167B" w:rsidRPr="00D3167B" w:rsidRDefault="00D3167B" w:rsidP="00D3167B">
            <w:pPr>
              <w:widowControl w:val="0"/>
              <w:numPr>
                <w:ilvl w:val="0"/>
                <w:numId w:val="34"/>
              </w:numPr>
              <w:overflowPunct w:val="0"/>
              <w:autoSpaceDE w:val="0"/>
              <w:autoSpaceDN w:val="0"/>
              <w:adjustRightInd w:val="0"/>
              <w:spacing w:before="120"/>
              <w:contextualSpacing/>
              <w:rPr>
                <w:rFonts w:ascii="Calibri" w:eastAsia="Calibri" w:hAnsi="Calibri" w:cs="Calibri"/>
                <w:bCs/>
                <w:color w:val="000000"/>
              </w:rPr>
            </w:pPr>
            <w:r w:rsidRPr="00D3167B">
              <w:rPr>
                <w:rFonts w:ascii="Calibri" w:eastAsia="Calibri" w:hAnsi="Calibri" w:cs="Calibri"/>
                <w:bCs/>
                <w:color w:val="000000"/>
              </w:rPr>
              <w:t>Lectura de los textos (materiales en formato digital).</w:t>
            </w:r>
          </w:p>
          <w:p w14:paraId="46DDFF26" w14:textId="77777777" w:rsidR="00D3167B" w:rsidRPr="00D3167B" w:rsidRDefault="00D3167B" w:rsidP="00D3167B">
            <w:pPr>
              <w:widowControl w:val="0"/>
              <w:numPr>
                <w:ilvl w:val="0"/>
                <w:numId w:val="34"/>
              </w:numPr>
              <w:overflowPunct w:val="0"/>
              <w:autoSpaceDE w:val="0"/>
              <w:autoSpaceDN w:val="0"/>
              <w:adjustRightInd w:val="0"/>
              <w:spacing w:before="120"/>
              <w:contextualSpacing/>
              <w:rPr>
                <w:rFonts w:ascii="Calibri" w:eastAsia="Calibri" w:hAnsi="Calibri" w:cs="Calibri"/>
                <w:bCs/>
                <w:color w:val="000000"/>
              </w:rPr>
            </w:pPr>
            <w:r w:rsidRPr="00D3167B">
              <w:rPr>
                <w:rFonts w:ascii="Calibri" w:eastAsia="Calibri" w:hAnsi="Calibri" w:cs="Calibri"/>
                <w:bCs/>
                <w:color w:val="000000"/>
              </w:rPr>
              <w:t>Análisis de lecturas e investigación por cuenta propia.</w:t>
            </w:r>
          </w:p>
        </w:tc>
      </w:tr>
      <w:tr w:rsidR="00D3167B" w:rsidRPr="00D3167B" w14:paraId="7B7A04C5" w14:textId="77777777" w:rsidTr="00104785">
        <w:trPr>
          <w:trHeight w:val="560"/>
          <w:jc w:val="center"/>
        </w:trPr>
        <w:tc>
          <w:tcPr>
            <w:tcW w:w="2181" w:type="dxa"/>
            <w:vAlign w:val="center"/>
          </w:tcPr>
          <w:p w14:paraId="7D1CB5B6"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3167B">
              <w:rPr>
                <w:rFonts w:ascii="Calibri" w:eastAsia="Times New Roman" w:hAnsi="Calibri" w:cs="Calibri"/>
                <w:bCs/>
                <w:color w:val="000000"/>
                <w:lang w:val="es-ES_tradnl" w:eastAsia="es-CR"/>
              </w:rPr>
              <w:t>Horas de Trabajo Colaborativo (HTC)</w:t>
            </w:r>
          </w:p>
        </w:tc>
        <w:tc>
          <w:tcPr>
            <w:tcW w:w="1457" w:type="dxa"/>
            <w:vAlign w:val="center"/>
          </w:tcPr>
          <w:p w14:paraId="51740B5D"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3167B">
              <w:rPr>
                <w:rFonts w:ascii="Calibri" w:eastAsia="Times New Roman" w:hAnsi="Calibri" w:cs="Calibri"/>
                <w:bCs/>
                <w:color w:val="000000"/>
                <w:lang w:val="es-ES_tradnl" w:eastAsia="es-CR"/>
              </w:rPr>
              <w:t>3</w:t>
            </w:r>
          </w:p>
        </w:tc>
        <w:tc>
          <w:tcPr>
            <w:tcW w:w="5393" w:type="dxa"/>
          </w:tcPr>
          <w:p w14:paraId="6BE4DF8D" w14:textId="77777777" w:rsidR="00D3167B" w:rsidRPr="00D3167B" w:rsidRDefault="00D3167B" w:rsidP="00D3167B">
            <w:pPr>
              <w:widowControl w:val="0"/>
              <w:numPr>
                <w:ilvl w:val="0"/>
                <w:numId w:val="35"/>
              </w:numPr>
              <w:overflowPunct w:val="0"/>
              <w:autoSpaceDE w:val="0"/>
              <w:autoSpaceDN w:val="0"/>
              <w:adjustRightInd w:val="0"/>
              <w:spacing w:before="120"/>
              <w:contextualSpacing/>
              <w:rPr>
                <w:rFonts w:ascii="Calibri" w:eastAsia="Calibri" w:hAnsi="Calibri" w:cs="Calibri"/>
                <w:bCs/>
                <w:color w:val="000000"/>
              </w:rPr>
            </w:pPr>
            <w:r w:rsidRPr="00D3167B">
              <w:rPr>
                <w:rFonts w:ascii="Calibri" w:eastAsia="Calibri" w:hAnsi="Calibri" w:cs="Calibri"/>
                <w:bCs/>
                <w:color w:val="000000"/>
              </w:rPr>
              <w:t>Participación en los foros temáticos (incluye aportes personales y réplicas a los y las demás estudiantes).</w:t>
            </w:r>
          </w:p>
          <w:p w14:paraId="46610C39" w14:textId="77777777" w:rsidR="00D3167B" w:rsidRPr="00D3167B" w:rsidRDefault="00D3167B" w:rsidP="00D3167B">
            <w:pPr>
              <w:widowControl w:val="0"/>
              <w:numPr>
                <w:ilvl w:val="0"/>
                <w:numId w:val="35"/>
              </w:numPr>
              <w:overflowPunct w:val="0"/>
              <w:autoSpaceDE w:val="0"/>
              <w:autoSpaceDN w:val="0"/>
              <w:adjustRightInd w:val="0"/>
              <w:spacing w:before="120"/>
              <w:contextualSpacing/>
              <w:rPr>
                <w:rFonts w:ascii="Calibri" w:eastAsia="Calibri" w:hAnsi="Calibri" w:cs="Calibri"/>
                <w:bCs/>
                <w:color w:val="000000"/>
              </w:rPr>
            </w:pPr>
            <w:r w:rsidRPr="00D3167B">
              <w:rPr>
                <w:rFonts w:ascii="Calibri" w:eastAsia="Calibri" w:hAnsi="Calibri" w:cs="Calibri"/>
                <w:bCs/>
                <w:color w:val="000000"/>
              </w:rPr>
              <w:t>Participación en los encuentros sincrónicos virtuales.</w:t>
            </w:r>
          </w:p>
          <w:p w14:paraId="141EC50B" w14:textId="77777777" w:rsidR="00D3167B" w:rsidRPr="00D3167B" w:rsidRDefault="00D3167B" w:rsidP="00D3167B">
            <w:pPr>
              <w:widowControl w:val="0"/>
              <w:numPr>
                <w:ilvl w:val="0"/>
                <w:numId w:val="35"/>
              </w:numPr>
              <w:overflowPunct w:val="0"/>
              <w:autoSpaceDE w:val="0"/>
              <w:autoSpaceDN w:val="0"/>
              <w:adjustRightInd w:val="0"/>
              <w:spacing w:before="120"/>
              <w:contextualSpacing/>
              <w:rPr>
                <w:rFonts w:ascii="Calibri" w:eastAsia="Calibri" w:hAnsi="Calibri" w:cs="Calibri"/>
                <w:bCs/>
                <w:color w:val="000000"/>
              </w:rPr>
            </w:pPr>
            <w:r w:rsidRPr="00D3167B">
              <w:rPr>
                <w:rFonts w:ascii="Calibri" w:eastAsia="Calibri" w:hAnsi="Calibri" w:cs="Calibri"/>
                <w:bCs/>
                <w:color w:val="000000"/>
              </w:rPr>
              <w:t>Elaboración de una presentación grupal.</w:t>
            </w:r>
          </w:p>
        </w:tc>
      </w:tr>
      <w:tr w:rsidR="00D3167B" w:rsidRPr="00D3167B" w14:paraId="4E316B84" w14:textId="77777777" w:rsidTr="00104785">
        <w:trPr>
          <w:trHeight w:val="546"/>
          <w:jc w:val="center"/>
        </w:trPr>
        <w:tc>
          <w:tcPr>
            <w:tcW w:w="2181" w:type="dxa"/>
            <w:vAlign w:val="center"/>
          </w:tcPr>
          <w:p w14:paraId="1315E83D"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3167B">
              <w:rPr>
                <w:rFonts w:ascii="Calibri" w:eastAsia="Times New Roman" w:hAnsi="Calibri" w:cs="Calibri"/>
                <w:bCs/>
                <w:color w:val="000000"/>
                <w:lang w:val="es-ES_tradnl" w:eastAsia="es-CR"/>
              </w:rPr>
              <w:t>Horas de Producción Individual (HPI)</w:t>
            </w:r>
          </w:p>
        </w:tc>
        <w:tc>
          <w:tcPr>
            <w:tcW w:w="1457" w:type="dxa"/>
            <w:vAlign w:val="center"/>
          </w:tcPr>
          <w:p w14:paraId="4A7B2A93"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3167B">
              <w:rPr>
                <w:rFonts w:ascii="Calibri" w:eastAsia="Times New Roman" w:hAnsi="Calibri" w:cs="Calibri"/>
                <w:bCs/>
                <w:color w:val="000000"/>
                <w:lang w:val="es-ES_tradnl" w:eastAsia="es-CR"/>
              </w:rPr>
              <w:t>4</w:t>
            </w:r>
          </w:p>
        </w:tc>
        <w:tc>
          <w:tcPr>
            <w:tcW w:w="5393" w:type="dxa"/>
          </w:tcPr>
          <w:p w14:paraId="721D2F01" w14:textId="77777777" w:rsidR="00D3167B" w:rsidRPr="00D3167B" w:rsidRDefault="00D3167B" w:rsidP="00D3167B">
            <w:pPr>
              <w:widowControl w:val="0"/>
              <w:numPr>
                <w:ilvl w:val="0"/>
                <w:numId w:val="36"/>
              </w:numPr>
              <w:overflowPunct w:val="0"/>
              <w:autoSpaceDE w:val="0"/>
              <w:autoSpaceDN w:val="0"/>
              <w:adjustRightInd w:val="0"/>
              <w:spacing w:before="120"/>
              <w:contextualSpacing/>
              <w:rPr>
                <w:rFonts w:ascii="Calibri" w:eastAsia="Calibri" w:hAnsi="Calibri" w:cs="Calibri"/>
                <w:bCs/>
                <w:color w:val="000000"/>
              </w:rPr>
            </w:pPr>
            <w:r w:rsidRPr="00D3167B">
              <w:rPr>
                <w:rFonts w:ascii="Calibri" w:eastAsia="Calibri" w:hAnsi="Calibri" w:cs="Calibri"/>
                <w:bCs/>
                <w:color w:val="000000"/>
              </w:rPr>
              <w:t>Elaboración de reseñas críticas de lecturas.</w:t>
            </w:r>
          </w:p>
          <w:p w14:paraId="64A11EE4" w14:textId="77777777" w:rsidR="00D3167B" w:rsidRPr="00D3167B" w:rsidRDefault="00D3167B" w:rsidP="00D3167B">
            <w:pPr>
              <w:widowControl w:val="0"/>
              <w:numPr>
                <w:ilvl w:val="0"/>
                <w:numId w:val="36"/>
              </w:numPr>
              <w:overflowPunct w:val="0"/>
              <w:autoSpaceDE w:val="0"/>
              <w:autoSpaceDN w:val="0"/>
              <w:adjustRightInd w:val="0"/>
              <w:spacing w:before="120"/>
              <w:contextualSpacing/>
              <w:rPr>
                <w:rFonts w:ascii="Calibri" w:eastAsia="Calibri" w:hAnsi="Calibri" w:cs="Calibri"/>
                <w:bCs/>
                <w:color w:val="000000"/>
              </w:rPr>
            </w:pPr>
            <w:r w:rsidRPr="00D3167B">
              <w:rPr>
                <w:rFonts w:ascii="Calibri" w:eastAsia="Calibri" w:hAnsi="Calibri" w:cs="Calibri"/>
                <w:bCs/>
                <w:color w:val="000000"/>
              </w:rPr>
              <w:t xml:space="preserve">Elaboración de ensayos. </w:t>
            </w:r>
          </w:p>
          <w:p w14:paraId="142AEF77" w14:textId="77777777" w:rsidR="00D3167B" w:rsidRPr="00D3167B" w:rsidRDefault="00D3167B" w:rsidP="00D3167B">
            <w:pPr>
              <w:widowControl w:val="0"/>
              <w:numPr>
                <w:ilvl w:val="0"/>
                <w:numId w:val="36"/>
              </w:numPr>
              <w:overflowPunct w:val="0"/>
              <w:autoSpaceDE w:val="0"/>
              <w:autoSpaceDN w:val="0"/>
              <w:adjustRightInd w:val="0"/>
              <w:spacing w:before="120"/>
              <w:contextualSpacing/>
              <w:rPr>
                <w:rFonts w:ascii="Calibri" w:eastAsia="Calibri" w:hAnsi="Calibri" w:cs="Calibri"/>
                <w:bCs/>
                <w:color w:val="000000"/>
              </w:rPr>
            </w:pPr>
            <w:r w:rsidRPr="00D3167B">
              <w:rPr>
                <w:rFonts w:ascii="Calibri" w:eastAsia="Calibri" w:hAnsi="Calibri" w:cs="Calibri"/>
                <w:bCs/>
                <w:color w:val="000000"/>
              </w:rPr>
              <w:t>Estudio de un capítulo del libro de Rut (trabajo final).</w:t>
            </w:r>
          </w:p>
        </w:tc>
      </w:tr>
      <w:tr w:rsidR="00D3167B" w:rsidRPr="00D3167B" w14:paraId="12378354" w14:textId="77777777" w:rsidTr="00104785">
        <w:trPr>
          <w:trHeight w:val="861"/>
          <w:jc w:val="center"/>
        </w:trPr>
        <w:tc>
          <w:tcPr>
            <w:tcW w:w="2181" w:type="dxa"/>
            <w:vAlign w:val="center"/>
          </w:tcPr>
          <w:p w14:paraId="58F68523"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3167B">
              <w:rPr>
                <w:rFonts w:ascii="Calibri" w:eastAsia="Times New Roman" w:hAnsi="Calibri" w:cs="Calibri"/>
                <w:bCs/>
                <w:color w:val="000000"/>
                <w:lang w:val="es-ES_tradnl" w:eastAsia="es-CR"/>
              </w:rPr>
              <w:t>Horas de Práctica (HP)</w:t>
            </w:r>
          </w:p>
        </w:tc>
        <w:tc>
          <w:tcPr>
            <w:tcW w:w="1457" w:type="dxa"/>
            <w:vAlign w:val="center"/>
          </w:tcPr>
          <w:p w14:paraId="045E75EC"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3167B">
              <w:rPr>
                <w:rFonts w:ascii="Calibri" w:eastAsia="Times New Roman" w:hAnsi="Calibri" w:cs="Calibri"/>
                <w:bCs/>
                <w:color w:val="000000"/>
                <w:lang w:val="es-ES_tradnl" w:eastAsia="es-CR"/>
              </w:rPr>
              <w:t>2</w:t>
            </w:r>
          </w:p>
        </w:tc>
        <w:tc>
          <w:tcPr>
            <w:tcW w:w="5393" w:type="dxa"/>
          </w:tcPr>
          <w:p w14:paraId="36DE88EB" w14:textId="77777777" w:rsidR="00D3167B" w:rsidRPr="00D3167B" w:rsidRDefault="00D3167B" w:rsidP="00D3167B">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D3167B">
              <w:rPr>
                <w:rFonts w:ascii="Calibri" w:eastAsia="Calibri" w:hAnsi="Calibri" w:cs="Calibri"/>
                <w:bCs/>
                <w:color w:val="000000"/>
              </w:rPr>
              <w:t>Por su naturaleza, en este curso la práctica consiste en ejercicios de interpretación bíblica que se realizan como parte de las tareas y del trabajo final.</w:t>
            </w:r>
          </w:p>
        </w:tc>
      </w:tr>
      <w:tr w:rsidR="00D3167B" w:rsidRPr="00D3167B" w14:paraId="21F4909A" w14:textId="77777777" w:rsidTr="00104785">
        <w:trPr>
          <w:trHeight w:val="276"/>
          <w:jc w:val="center"/>
        </w:trPr>
        <w:tc>
          <w:tcPr>
            <w:tcW w:w="2181" w:type="dxa"/>
            <w:vAlign w:val="center"/>
          </w:tcPr>
          <w:p w14:paraId="76B5ECD4"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3167B">
              <w:rPr>
                <w:rFonts w:ascii="Calibri" w:eastAsia="Times New Roman" w:hAnsi="Calibri" w:cs="Calibri"/>
                <w:b/>
                <w:bCs/>
                <w:color w:val="000000"/>
                <w:lang w:val="es-ES_tradnl" w:eastAsia="es-CR"/>
              </w:rPr>
              <w:t>Total de horas (TH)</w:t>
            </w:r>
          </w:p>
        </w:tc>
        <w:tc>
          <w:tcPr>
            <w:tcW w:w="1457" w:type="dxa"/>
            <w:vAlign w:val="center"/>
          </w:tcPr>
          <w:p w14:paraId="3C4B6D83"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3167B">
              <w:rPr>
                <w:rFonts w:ascii="Calibri" w:eastAsia="Times New Roman" w:hAnsi="Calibri" w:cs="Calibri"/>
                <w:b/>
                <w:bCs/>
                <w:color w:val="000000"/>
                <w:lang w:val="es-ES_tradnl" w:eastAsia="es-CR"/>
              </w:rPr>
              <w:t>12</w:t>
            </w:r>
          </w:p>
        </w:tc>
        <w:tc>
          <w:tcPr>
            <w:tcW w:w="5393" w:type="dxa"/>
            <w:vAlign w:val="center"/>
          </w:tcPr>
          <w:p w14:paraId="34B51508" w14:textId="77777777" w:rsidR="00D3167B" w:rsidRPr="00D3167B" w:rsidRDefault="00D3167B" w:rsidP="00D3167B">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3E5C1C5E"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6EB9135E"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3167B">
        <w:rPr>
          <w:rFonts w:ascii="Calibri" w:eastAsia="Times New Roman" w:hAnsi="Calibri" w:cs="Calibri"/>
          <w:bCs/>
          <w:color w:val="000000"/>
          <w:kern w:val="0"/>
          <w:lang w:val="es-ES_tradnl"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4D28F974" w14:textId="77777777" w:rsidR="00D3167B" w:rsidRPr="00D3167B" w:rsidRDefault="00D3167B" w:rsidP="00D3167B">
      <w:pPr>
        <w:rPr>
          <w:rFonts w:ascii="Calibri" w:eastAsia="Times New Roman" w:hAnsi="Calibri" w:cs="Calibri"/>
          <w:bCs/>
          <w:color w:val="000000"/>
          <w:kern w:val="0"/>
          <w:lang w:val="es-ES_tradnl" w:eastAsia="es-CR"/>
          <w14:ligatures w14:val="none"/>
        </w:rPr>
      </w:pPr>
    </w:p>
    <w:p w14:paraId="37F6BE2B"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0FEA4819"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29DC9DB5" w14:textId="77777777" w:rsidR="00D3167B" w:rsidRPr="00D3167B" w:rsidRDefault="00D3167B" w:rsidP="00D3167B">
      <w:pPr>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bCs/>
          <w:color w:val="000000"/>
          <w:kern w:val="0"/>
          <w:lang w:val="es-ES_tradnl" w:eastAsia="es-CR"/>
          <w14:ligatures w14:val="none"/>
        </w:rPr>
        <w:br w:type="page"/>
      </w:r>
    </w:p>
    <w:p w14:paraId="0F9AEC31"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D3167B">
        <w:rPr>
          <w:rFonts w:ascii="Calibri" w:eastAsia="Times New Roman" w:hAnsi="Calibri" w:cs="Arial"/>
          <w:b/>
          <w:bCs/>
          <w:kern w:val="0"/>
          <w:lang w:val="es-ES_tradnl" w:eastAsia="es-CR"/>
          <w14:ligatures w14:val="none"/>
        </w:rPr>
        <w:lastRenderedPageBreak/>
        <w:t>X. Evaluación</w:t>
      </w:r>
      <w:r w:rsidRPr="00D3167B">
        <w:rPr>
          <w:rFonts w:ascii="Calibri" w:eastAsia="Times New Roman" w:hAnsi="Calibri" w:cs="Arial"/>
          <w:b/>
          <w:bCs/>
          <w:color w:val="000000"/>
          <w:kern w:val="0"/>
          <w:lang w:val="es-ES_tradnl" w:eastAsia="es-CR"/>
          <w14:ligatures w14:val="none"/>
        </w:rPr>
        <w:tab/>
      </w:r>
    </w:p>
    <w:p w14:paraId="4563D98F"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229E20E9" w14:textId="77777777" w:rsidR="00D3167B" w:rsidRPr="00D3167B" w:rsidRDefault="00D3167B" w:rsidP="00D3167B">
      <w:pPr>
        <w:widowControl w:val="0"/>
        <w:overflowPunct w:val="0"/>
        <w:autoSpaceDE w:val="0"/>
        <w:autoSpaceDN w:val="0"/>
        <w:adjustRightInd w:val="0"/>
        <w:spacing w:after="0" w:line="240" w:lineRule="auto"/>
        <w:jc w:val="both"/>
        <w:rPr>
          <w:rFonts w:ascii="Calibri" w:eastAsia="Times New Roman" w:hAnsi="Calibri" w:cs="Arial"/>
          <w:color w:val="000000"/>
          <w:kern w:val="0"/>
          <w14:ligatures w14:val="none"/>
        </w:rPr>
      </w:pPr>
      <w:r w:rsidRPr="00D3167B">
        <w:rPr>
          <w:rFonts w:ascii="Calibri" w:eastAsia="Times New Roman" w:hAnsi="Calibri" w:cs="Arial"/>
          <w:color w:val="000000"/>
          <w:kern w:val="0"/>
          <w14:ligatures w14:val="none"/>
        </w:rPr>
        <w:t>Se realizará la evaluación utilizando las rúbricas y escalas elaboradas para ello. Con ellas se hará un seguimiento de los procesos de aprendizaje desarrollados a través del curso, que muestren la capacidad para formular un marco teórico del objeto de investigación en el campo de las Ciencias Bíblicas, específicamente de un eje temático o libro del Antiguo Testamento. El curso se aprueba con una nota mínima de 7.00 (siete en escala decimal). Los porcentajes asignados a cada elemento del curso son los siguientes:</w:t>
      </w:r>
    </w:p>
    <w:tbl>
      <w:tblPr>
        <w:tblpPr w:leftFromText="141" w:rightFromText="141" w:vertAnchor="text" w:horzAnchor="page" w:tblpX="1667" w:tblpY="324"/>
        <w:tblW w:w="9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905"/>
        <w:gridCol w:w="1203"/>
      </w:tblGrid>
      <w:tr w:rsidR="00D3167B" w:rsidRPr="00D3167B" w14:paraId="5D110976" w14:textId="77777777" w:rsidTr="00104785">
        <w:tc>
          <w:tcPr>
            <w:tcW w:w="9108" w:type="dxa"/>
            <w:gridSpan w:val="2"/>
          </w:tcPr>
          <w:p w14:paraId="27615BF2" w14:textId="77777777" w:rsidR="00D3167B" w:rsidRPr="00D3167B" w:rsidRDefault="00D3167B" w:rsidP="00D3167B">
            <w:pPr>
              <w:autoSpaceDE w:val="0"/>
              <w:autoSpaceDN w:val="0"/>
              <w:adjustRightInd w:val="0"/>
              <w:spacing w:after="0" w:line="240" w:lineRule="auto"/>
              <w:contextualSpacing/>
              <w:jc w:val="center"/>
              <w:rPr>
                <w:rFonts w:ascii="Calibri" w:eastAsia="Calibri" w:hAnsi="Calibri" w:cs="Arial"/>
                <w:b/>
                <w:color w:val="00B050"/>
                <w:kern w:val="0"/>
                <w14:ligatures w14:val="none"/>
              </w:rPr>
            </w:pPr>
            <w:r w:rsidRPr="00D3167B">
              <w:rPr>
                <w:rFonts w:ascii="Calibri" w:eastAsia="Calibri" w:hAnsi="Calibri" w:cs="Arial"/>
                <w:b/>
                <w:kern w:val="0"/>
                <w14:ligatures w14:val="none"/>
              </w:rPr>
              <w:t>Síntesis cuantitativa de la evaluación</w:t>
            </w:r>
          </w:p>
        </w:tc>
      </w:tr>
      <w:tr w:rsidR="00D3167B" w:rsidRPr="00D3167B" w14:paraId="70255404" w14:textId="77777777" w:rsidTr="00104785">
        <w:tc>
          <w:tcPr>
            <w:tcW w:w="7905" w:type="dxa"/>
          </w:tcPr>
          <w:p w14:paraId="71A4D6B2"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b/>
                <w:color w:val="000000"/>
                <w:kern w:val="0"/>
                <w14:ligatures w14:val="none"/>
              </w:rPr>
            </w:pPr>
            <w:r w:rsidRPr="00D3167B">
              <w:rPr>
                <w:rFonts w:ascii="Calibri" w:eastAsia="Calibri" w:hAnsi="Calibri" w:cs="Arial"/>
                <w:b/>
                <w:color w:val="000000"/>
                <w:kern w:val="0"/>
                <w14:ligatures w14:val="none"/>
              </w:rPr>
              <w:t>Rubros para evaluar</w:t>
            </w:r>
          </w:p>
        </w:tc>
        <w:tc>
          <w:tcPr>
            <w:tcW w:w="1203" w:type="dxa"/>
          </w:tcPr>
          <w:p w14:paraId="5BCD5AE8"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jc w:val="center"/>
              <w:rPr>
                <w:rFonts w:ascii="Calibri" w:eastAsia="Calibri" w:hAnsi="Calibri" w:cs="Arial"/>
                <w:b/>
                <w:color w:val="000000"/>
                <w:kern w:val="0"/>
                <w14:ligatures w14:val="none"/>
              </w:rPr>
            </w:pPr>
            <w:r w:rsidRPr="00D3167B">
              <w:rPr>
                <w:rFonts w:ascii="Calibri" w:eastAsia="Calibri" w:hAnsi="Calibri" w:cs="Arial"/>
                <w:b/>
                <w:color w:val="000000"/>
                <w:kern w:val="0"/>
                <w14:ligatures w14:val="none"/>
              </w:rPr>
              <w:t>Porcentaje total</w:t>
            </w:r>
          </w:p>
        </w:tc>
      </w:tr>
      <w:tr w:rsidR="00D3167B" w:rsidRPr="00D3167B" w14:paraId="629FC3F9" w14:textId="77777777" w:rsidTr="00104785">
        <w:tc>
          <w:tcPr>
            <w:tcW w:w="7905" w:type="dxa"/>
          </w:tcPr>
          <w:p w14:paraId="63150035"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b/>
                <w:i/>
                <w:color w:val="0070C0"/>
                <w:kern w:val="0"/>
                <w14:ligatures w14:val="none"/>
              </w:rPr>
            </w:pPr>
            <w:r w:rsidRPr="00D3167B">
              <w:rPr>
                <w:rFonts w:ascii="Calibri" w:eastAsia="Calibri" w:hAnsi="Calibri" w:cs="Arial"/>
                <w:b/>
                <w:i/>
                <w:color w:val="0070C0"/>
                <w:kern w:val="0"/>
                <w14:ligatures w14:val="none"/>
              </w:rPr>
              <w:t>Encuentros sincrónicos virtuales</w:t>
            </w:r>
          </w:p>
          <w:p w14:paraId="37B5DAAE"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Arial"/>
                <w:b/>
                <w:i/>
                <w:color w:val="0070C0"/>
                <w:kern w:val="0"/>
                <w14:ligatures w14:val="none"/>
              </w:rPr>
            </w:pPr>
            <w:r w:rsidRPr="00D3167B">
              <w:rPr>
                <w:rFonts w:ascii="Calibri" w:eastAsia="Calibri" w:hAnsi="Calibri" w:cs="Arial"/>
                <w:bCs/>
                <w:iCs/>
                <w:color w:val="0070C0"/>
                <w:kern w:val="0"/>
                <w14:ligatures w14:val="none"/>
              </w:rPr>
              <w:t>Se llevan a cabo en las sesiones 1, 3, 5, 7, 9, 11 y 13. Tienen un valor formativo y no sumativo.</w:t>
            </w:r>
          </w:p>
        </w:tc>
        <w:tc>
          <w:tcPr>
            <w:tcW w:w="1203" w:type="dxa"/>
            <w:vAlign w:val="center"/>
          </w:tcPr>
          <w:p w14:paraId="56930E7D"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Calibri" w:hAnsi="Calibri" w:cs="Arial"/>
                <w:color w:val="0070C0"/>
                <w:kern w:val="0"/>
                <w14:ligatures w14:val="none"/>
              </w:rPr>
            </w:pPr>
            <w:r w:rsidRPr="00D3167B">
              <w:rPr>
                <w:rFonts w:ascii="Calibri" w:eastAsia="Times New Roman" w:hAnsi="Calibri" w:cs="Calibri"/>
                <w:color w:val="0070C0"/>
                <w:kern w:val="0"/>
                <w:lang w:val="es-ES_tradnl" w:eastAsia="es-CR"/>
                <w14:ligatures w14:val="none"/>
              </w:rPr>
              <w:t>̶</w:t>
            </w:r>
          </w:p>
        </w:tc>
      </w:tr>
      <w:tr w:rsidR="00D3167B" w:rsidRPr="00D3167B" w14:paraId="75EB7DB7" w14:textId="77777777" w:rsidTr="00104785">
        <w:tc>
          <w:tcPr>
            <w:tcW w:w="7905" w:type="dxa"/>
          </w:tcPr>
          <w:p w14:paraId="262E1D3F"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b/>
                <w:i/>
                <w:color w:val="000000"/>
                <w:kern w:val="0"/>
                <w14:ligatures w14:val="none"/>
              </w:rPr>
            </w:pPr>
            <w:r w:rsidRPr="00D3167B">
              <w:rPr>
                <w:rFonts w:ascii="Calibri" w:eastAsia="Calibri" w:hAnsi="Calibri" w:cs="Arial"/>
                <w:b/>
                <w:i/>
                <w:color w:val="000000"/>
                <w:kern w:val="0"/>
                <w14:ligatures w14:val="none"/>
              </w:rPr>
              <w:t>Foros temáticos</w:t>
            </w:r>
          </w:p>
          <w:p w14:paraId="5224C20B"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b/>
                <w:i/>
                <w:color w:val="000000"/>
                <w:kern w:val="0"/>
                <w14:ligatures w14:val="none"/>
              </w:rPr>
            </w:pPr>
            <w:r w:rsidRPr="00D3167B">
              <w:rPr>
                <w:rFonts w:ascii="Calibri" w:eastAsia="Calibri" w:hAnsi="Calibri" w:cs="Arial"/>
                <w:bCs/>
                <w:iCs/>
                <w:color w:val="000000"/>
                <w:kern w:val="0"/>
                <w14:ligatures w14:val="none"/>
              </w:rPr>
              <w:t xml:space="preserve">Se desarrollan en las sesiones 2, 4, 6, 8 y 14. Cada foro tiene un valor de </w:t>
            </w:r>
            <w:r w:rsidRPr="00D3167B">
              <w:rPr>
                <w:rFonts w:ascii="Calibri" w:eastAsia="Calibri" w:hAnsi="Calibri" w:cs="Arial"/>
                <w:bCs/>
                <w:iCs/>
                <w:color w:val="0070C0"/>
                <w:kern w:val="0"/>
                <w14:ligatures w14:val="none"/>
              </w:rPr>
              <w:t>5%</w:t>
            </w:r>
            <w:r w:rsidRPr="00D3167B">
              <w:rPr>
                <w:rFonts w:ascii="Calibri" w:eastAsia="Calibri" w:hAnsi="Calibri" w:cs="Arial"/>
                <w:bCs/>
                <w:iCs/>
                <w:color w:val="000000"/>
                <w:kern w:val="0"/>
                <w14:ligatures w14:val="none"/>
              </w:rPr>
              <w:t>.</w:t>
            </w:r>
          </w:p>
        </w:tc>
        <w:tc>
          <w:tcPr>
            <w:tcW w:w="1203" w:type="dxa"/>
            <w:vAlign w:val="center"/>
          </w:tcPr>
          <w:p w14:paraId="6734F6C3"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Calibri" w:hAnsi="Calibri" w:cs="Arial"/>
                <w:kern w:val="0"/>
                <w14:ligatures w14:val="none"/>
              </w:rPr>
            </w:pPr>
            <w:r w:rsidRPr="00D3167B">
              <w:rPr>
                <w:rFonts w:ascii="Calibri" w:eastAsia="Calibri" w:hAnsi="Calibri" w:cs="Arial"/>
                <w:color w:val="0070C0"/>
                <w:kern w:val="0"/>
                <w14:ligatures w14:val="none"/>
              </w:rPr>
              <w:t>25%</w:t>
            </w:r>
          </w:p>
        </w:tc>
      </w:tr>
      <w:tr w:rsidR="00D3167B" w:rsidRPr="00D3167B" w14:paraId="5DF3B0F5" w14:textId="77777777" w:rsidTr="00104785">
        <w:tc>
          <w:tcPr>
            <w:tcW w:w="7905" w:type="dxa"/>
          </w:tcPr>
          <w:p w14:paraId="6642BE61"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Times New Roman"/>
                <w:color w:val="FF0000"/>
                <w:kern w:val="0"/>
                <w14:ligatures w14:val="none"/>
              </w:rPr>
            </w:pPr>
            <w:r w:rsidRPr="00D3167B">
              <w:rPr>
                <w:rFonts w:ascii="Calibri" w:eastAsia="Calibri" w:hAnsi="Calibri" w:cs="Arial"/>
                <w:b/>
                <w:i/>
                <w:kern w:val="0"/>
                <w14:ligatures w14:val="none"/>
              </w:rPr>
              <w:t>Reseñas críticas de lecturas</w:t>
            </w:r>
          </w:p>
          <w:p w14:paraId="298E7478"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Times New Roman"/>
                <w:color w:val="FF0000"/>
                <w:kern w:val="0"/>
                <w14:ligatures w14:val="none"/>
              </w:rPr>
            </w:pPr>
            <w:r w:rsidRPr="00D3167B">
              <w:rPr>
                <w:rFonts w:ascii="Calibri" w:eastAsia="Calibri" w:hAnsi="Calibri" w:cs="Arial"/>
                <w:bCs/>
                <w:iCs/>
                <w:kern w:val="0"/>
                <w14:ligatures w14:val="none"/>
              </w:rPr>
              <w:t>Se elaboran en las sesiones 3 y 10. Cada reseña tiene un valor de 5%.</w:t>
            </w:r>
            <w:r w:rsidRPr="00D3167B">
              <w:rPr>
                <w:rFonts w:ascii="Calibri" w:eastAsia="Calibri" w:hAnsi="Calibri" w:cs="Times New Roman"/>
                <w:kern w:val="0"/>
                <w14:ligatures w14:val="none"/>
              </w:rPr>
              <w:t xml:space="preserve"> </w:t>
            </w:r>
          </w:p>
        </w:tc>
        <w:tc>
          <w:tcPr>
            <w:tcW w:w="1203" w:type="dxa"/>
            <w:vAlign w:val="center"/>
          </w:tcPr>
          <w:p w14:paraId="5916E247"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Calibri" w:hAnsi="Calibri" w:cs="Arial"/>
                <w:kern w:val="0"/>
                <w14:ligatures w14:val="none"/>
              </w:rPr>
            </w:pPr>
            <w:r w:rsidRPr="00D3167B">
              <w:rPr>
                <w:rFonts w:ascii="Calibri" w:eastAsia="Calibri" w:hAnsi="Calibri" w:cs="Arial"/>
                <w:kern w:val="0"/>
                <w14:ligatures w14:val="none"/>
              </w:rPr>
              <w:t>10%</w:t>
            </w:r>
          </w:p>
        </w:tc>
      </w:tr>
      <w:tr w:rsidR="00D3167B" w:rsidRPr="00D3167B" w14:paraId="24602B46" w14:textId="77777777" w:rsidTr="00104785">
        <w:tc>
          <w:tcPr>
            <w:tcW w:w="7905" w:type="dxa"/>
          </w:tcPr>
          <w:p w14:paraId="68D887CF"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b/>
                <w:i/>
                <w:color w:val="000000"/>
                <w:kern w:val="0"/>
                <w14:ligatures w14:val="none"/>
              </w:rPr>
            </w:pPr>
            <w:r w:rsidRPr="00D3167B">
              <w:rPr>
                <w:rFonts w:ascii="Calibri" w:eastAsia="Calibri" w:hAnsi="Calibri" w:cs="Arial"/>
                <w:b/>
                <w:i/>
                <w:color w:val="000000"/>
                <w:kern w:val="0"/>
                <w14:ligatures w14:val="none"/>
              </w:rPr>
              <w:t>Ensayos</w:t>
            </w:r>
          </w:p>
          <w:p w14:paraId="55DF041D"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i/>
                <w:color w:val="000000"/>
                <w:kern w:val="0"/>
                <w14:ligatures w14:val="none"/>
              </w:rPr>
            </w:pPr>
            <w:r w:rsidRPr="00D3167B">
              <w:rPr>
                <w:rFonts w:ascii="Calibri" w:eastAsia="Calibri" w:hAnsi="Calibri" w:cs="Arial"/>
                <w:color w:val="000000"/>
                <w:kern w:val="0"/>
                <w14:ligatures w14:val="none"/>
              </w:rPr>
              <w:t>Se realizan dos ensayos, los cuales tienen un valor de 10% cada uno y se distribuyen de la siguiente forma:</w:t>
            </w:r>
          </w:p>
          <w:p w14:paraId="67ADA64C"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i/>
                <w:color w:val="000000"/>
                <w:kern w:val="0"/>
                <w14:ligatures w14:val="none"/>
              </w:rPr>
            </w:pPr>
            <w:r w:rsidRPr="00D3167B">
              <w:rPr>
                <w:rFonts w:ascii="Calibri" w:eastAsia="Calibri" w:hAnsi="Calibri" w:cs="Arial"/>
                <w:color w:val="000000"/>
                <w:kern w:val="0"/>
                <w14:ligatures w14:val="none"/>
              </w:rPr>
              <w:t xml:space="preserve">-  </w:t>
            </w:r>
            <w:r w:rsidRPr="00D3167B">
              <w:rPr>
                <w:rFonts w:ascii="Calibri" w:eastAsia="Calibri" w:hAnsi="Calibri" w:cs="Arial"/>
                <w:kern w:val="0"/>
                <w14:ligatures w14:val="none"/>
              </w:rPr>
              <w:t>Ensayo comparativo sobre el abordaje de la figura de Rut (sesión 5).</w:t>
            </w:r>
          </w:p>
          <w:p w14:paraId="0BD1A2AE"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Arial"/>
                <w:i/>
                <w:color w:val="000000"/>
                <w:kern w:val="0"/>
                <w14:ligatures w14:val="none"/>
              </w:rPr>
            </w:pPr>
            <w:r w:rsidRPr="00D3167B">
              <w:rPr>
                <w:rFonts w:ascii="Calibri" w:eastAsia="Calibri" w:hAnsi="Calibri" w:cs="Arial"/>
                <w:kern w:val="0"/>
                <w14:ligatures w14:val="none"/>
              </w:rPr>
              <w:t>-  Ensayo sobre uno de los temas vitales del libro de Rut pertinente para la actualidad de su contexto (sesión 12).</w:t>
            </w:r>
          </w:p>
        </w:tc>
        <w:tc>
          <w:tcPr>
            <w:tcW w:w="1203" w:type="dxa"/>
            <w:vAlign w:val="center"/>
          </w:tcPr>
          <w:p w14:paraId="045AA45D"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Calibri" w:hAnsi="Calibri" w:cs="Arial"/>
                <w:kern w:val="0"/>
                <w14:ligatures w14:val="none"/>
              </w:rPr>
            </w:pPr>
            <w:r w:rsidRPr="00D3167B">
              <w:rPr>
                <w:rFonts w:ascii="Calibri" w:eastAsia="Calibri" w:hAnsi="Calibri" w:cs="Arial"/>
                <w:kern w:val="0"/>
                <w14:ligatures w14:val="none"/>
              </w:rPr>
              <w:t>20%</w:t>
            </w:r>
          </w:p>
        </w:tc>
      </w:tr>
      <w:tr w:rsidR="00D3167B" w:rsidRPr="00D3167B" w14:paraId="3676C65C" w14:textId="77777777" w:rsidTr="00104785">
        <w:tc>
          <w:tcPr>
            <w:tcW w:w="7905" w:type="dxa"/>
          </w:tcPr>
          <w:p w14:paraId="1868EBB5"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b/>
                <w:i/>
                <w:color w:val="000000"/>
                <w:kern w:val="0"/>
                <w14:ligatures w14:val="none"/>
              </w:rPr>
            </w:pPr>
            <w:r w:rsidRPr="00D3167B">
              <w:rPr>
                <w:rFonts w:ascii="Calibri" w:eastAsia="Calibri" w:hAnsi="Calibri" w:cs="Arial"/>
                <w:b/>
                <w:i/>
                <w:color w:val="000000"/>
                <w:kern w:val="0"/>
                <w14:ligatures w14:val="none"/>
              </w:rPr>
              <w:t xml:space="preserve">Presentación grupal </w:t>
            </w:r>
          </w:p>
          <w:p w14:paraId="0C2738FA"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Arial"/>
                <w:b/>
                <w:i/>
                <w:color w:val="000000"/>
                <w:kern w:val="0"/>
                <w14:ligatures w14:val="none"/>
              </w:rPr>
            </w:pPr>
            <w:r w:rsidRPr="00D3167B">
              <w:rPr>
                <w:rFonts w:ascii="Calibri" w:eastAsia="Calibri" w:hAnsi="Calibri" w:cs="Arial"/>
                <w:bCs/>
                <w:iCs/>
                <w:color w:val="000000"/>
                <w:kern w:val="0"/>
                <w14:ligatures w14:val="none"/>
              </w:rPr>
              <w:t xml:space="preserve">Cada estudiante realizará una presentación en forma grupal en alguna de las siguientes sesiones: 7, 9, 11 y 13 (según asignación docente). </w:t>
            </w:r>
          </w:p>
        </w:tc>
        <w:tc>
          <w:tcPr>
            <w:tcW w:w="1203" w:type="dxa"/>
            <w:vAlign w:val="center"/>
          </w:tcPr>
          <w:p w14:paraId="57C18777"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Calibri" w:hAnsi="Calibri" w:cs="Arial"/>
                <w:kern w:val="0"/>
                <w14:ligatures w14:val="none"/>
              </w:rPr>
            </w:pPr>
            <w:r w:rsidRPr="00D3167B">
              <w:rPr>
                <w:rFonts w:ascii="Calibri" w:eastAsia="Calibri" w:hAnsi="Calibri" w:cs="Arial"/>
                <w:color w:val="0070C0"/>
                <w:kern w:val="0"/>
                <w14:ligatures w14:val="none"/>
              </w:rPr>
              <w:t>15%</w:t>
            </w:r>
          </w:p>
        </w:tc>
      </w:tr>
      <w:tr w:rsidR="00D3167B" w:rsidRPr="00D3167B" w14:paraId="646A3029" w14:textId="77777777" w:rsidTr="00104785">
        <w:trPr>
          <w:trHeight w:val="1647"/>
        </w:trPr>
        <w:tc>
          <w:tcPr>
            <w:tcW w:w="7905" w:type="dxa"/>
          </w:tcPr>
          <w:p w14:paraId="05A48101"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i/>
                <w:iCs/>
                <w:color w:val="000000"/>
                <w:kern w:val="0"/>
                <w14:ligatures w14:val="none"/>
              </w:rPr>
            </w:pPr>
            <w:r w:rsidRPr="00D3167B">
              <w:rPr>
                <w:rFonts w:ascii="Calibri" w:eastAsia="Calibri" w:hAnsi="Calibri" w:cs="Arial"/>
                <w:b/>
                <w:bCs/>
                <w:i/>
                <w:iCs/>
                <w:color w:val="000000"/>
                <w:kern w:val="0"/>
                <w14:ligatures w14:val="none"/>
              </w:rPr>
              <w:t>Estudio de un capítulo del libro de Rut</w:t>
            </w:r>
          </w:p>
          <w:p w14:paraId="12F5C514" w14:textId="77777777" w:rsidR="00D3167B" w:rsidRPr="00D3167B" w:rsidRDefault="00D3167B" w:rsidP="00D3167B">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i/>
                <w:iCs/>
                <w:color w:val="000000"/>
                <w:kern w:val="0"/>
                <w14:ligatures w14:val="none"/>
              </w:rPr>
            </w:pPr>
            <w:r w:rsidRPr="00D3167B">
              <w:rPr>
                <w:rFonts w:ascii="Calibri" w:eastAsia="Calibri" w:hAnsi="Calibri" w:cs="Arial"/>
                <w:color w:val="000000"/>
                <w:kern w:val="0"/>
                <w14:ligatures w14:val="none"/>
              </w:rPr>
              <w:t>Se lleva a cabo desde la sesión 6 hasta la 15 de la siguiente forma:</w:t>
            </w:r>
          </w:p>
          <w:p w14:paraId="79964F34" w14:textId="77777777" w:rsidR="00D3167B" w:rsidRPr="00D3167B" w:rsidRDefault="00D3167B" w:rsidP="00D3167B">
            <w:pPr>
              <w:autoSpaceDE w:val="0"/>
              <w:autoSpaceDN w:val="0"/>
              <w:adjustRightInd w:val="0"/>
              <w:spacing w:after="0" w:line="240" w:lineRule="auto"/>
              <w:contextualSpacing/>
              <w:jc w:val="both"/>
              <w:rPr>
                <w:rFonts w:ascii="Calibri" w:eastAsia="Calibri" w:hAnsi="Calibri" w:cs="Arial"/>
                <w:color w:val="000000"/>
                <w:kern w:val="0"/>
                <w14:ligatures w14:val="none"/>
              </w:rPr>
            </w:pPr>
            <w:r w:rsidRPr="00D3167B">
              <w:rPr>
                <w:rFonts w:ascii="Calibri" w:eastAsia="Calibri" w:hAnsi="Calibri" w:cs="Arial"/>
                <w:color w:val="000000"/>
                <w:kern w:val="0"/>
                <w14:ligatures w14:val="none"/>
              </w:rPr>
              <w:t>- Primer avance (estudio exegético): se entrega en la sesión 9 y tiene un valor de 5%.</w:t>
            </w:r>
          </w:p>
          <w:p w14:paraId="16696DE9" w14:textId="77777777" w:rsidR="00D3167B" w:rsidRPr="00D3167B" w:rsidRDefault="00D3167B" w:rsidP="00D3167B">
            <w:pPr>
              <w:autoSpaceDE w:val="0"/>
              <w:autoSpaceDN w:val="0"/>
              <w:adjustRightInd w:val="0"/>
              <w:spacing w:after="0" w:line="240" w:lineRule="auto"/>
              <w:contextualSpacing/>
              <w:jc w:val="both"/>
              <w:rPr>
                <w:rFonts w:ascii="Calibri" w:eastAsia="Calibri" w:hAnsi="Calibri" w:cs="Arial"/>
                <w:color w:val="000000"/>
                <w:kern w:val="0"/>
                <w14:ligatures w14:val="none"/>
              </w:rPr>
            </w:pPr>
            <w:r w:rsidRPr="00D3167B">
              <w:rPr>
                <w:rFonts w:ascii="Calibri" w:eastAsia="Calibri" w:hAnsi="Calibri" w:cs="Arial"/>
                <w:color w:val="000000"/>
                <w:kern w:val="0"/>
                <w14:ligatures w14:val="none"/>
              </w:rPr>
              <w:t>- Segundo avance (estudio</w:t>
            </w:r>
            <w:r w:rsidRPr="00D3167B">
              <w:rPr>
                <w:rFonts w:ascii="Calibri" w:eastAsia="Calibri" w:hAnsi="Calibri" w:cs="Arial"/>
                <w:kern w:val="0"/>
                <w14:ligatures w14:val="none"/>
              </w:rPr>
              <w:t xml:space="preserve"> de la dimensión vital, teológica y pastoral</w:t>
            </w:r>
            <w:r w:rsidRPr="00D3167B">
              <w:rPr>
                <w:rFonts w:ascii="Calibri" w:eastAsia="Calibri" w:hAnsi="Calibri" w:cs="Arial"/>
                <w:color w:val="000000"/>
                <w:kern w:val="0"/>
                <w14:ligatures w14:val="none"/>
              </w:rPr>
              <w:t>): se entrega en la sesión 13 y tiene un valor de 5%.</w:t>
            </w:r>
          </w:p>
          <w:p w14:paraId="65AA4C66" w14:textId="77777777" w:rsidR="00D3167B" w:rsidRPr="00D3167B" w:rsidRDefault="00D3167B" w:rsidP="00D3167B">
            <w:pPr>
              <w:autoSpaceDE w:val="0"/>
              <w:autoSpaceDN w:val="0"/>
              <w:adjustRightInd w:val="0"/>
              <w:spacing w:after="0" w:line="240" w:lineRule="auto"/>
              <w:contextualSpacing/>
              <w:jc w:val="both"/>
              <w:rPr>
                <w:rFonts w:ascii="Calibri" w:eastAsia="Calibri" w:hAnsi="Calibri" w:cs="Arial"/>
                <w:i/>
                <w:iCs/>
                <w:color w:val="000000"/>
                <w:kern w:val="0"/>
                <w14:ligatures w14:val="none"/>
              </w:rPr>
            </w:pPr>
            <w:r w:rsidRPr="00D3167B">
              <w:rPr>
                <w:rFonts w:ascii="Calibri" w:eastAsia="Calibri" w:hAnsi="Calibri" w:cs="Arial"/>
                <w:color w:val="000000"/>
                <w:kern w:val="0"/>
                <w14:ligatures w14:val="none"/>
              </w:rPr>
              <w:t xml:space="preserve">- Versión final: se entrega en la sesión 15 y tiene un valor de </w:t>
            </w:r>
            <w:r w:rsidRPr="00D3167B">
              <w:rPr>
                <w:rFonts w:ascii="Calibri" w:eastAsia="Calibri" w:hAnsi="Calibri" w:cs="Arial"/>
                <w:color w:val="0070C0"/>
                <w:kern w:val="0"/>
                <w14:ligatures w14:val="none"/>
              </w:rPr>
              <w:t xml:space="preserve">20%. </w:t>
            </w:r>
          </w:p>
        </w:tc>
        <w:tc>
          <w:tcPr>
            <w:tcW w:w="1203" w:type="dxa"/>
            <w:vAlign w:val="center"/>
          </w:tcPr>
          <w:p w14:paraId="5141CD34"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Calibri" w:hAnsi="Calibri" w:cs="Arial"/>
                <w:kern w:val="0"/>
                <w14:ligatures w14:val="none"/>
              </w:rPr>
            </w:pPr>
            <w:r w:rsidRPr="00D3167B">
              <w:rPr>
                <w:rFonts w:ascii="Calibri" w:eastAsia="Calibri" w:hAnsi="Calibri" w:cs="Arial"/>
                <w:color w:val="0070C0"/>
                <w:kern w:val="0"/>
                <w14:ligatures w14:val="none"/>
              </w:rPr>
              <w:t>30%</w:t>
            </w:r>
          </w:p>
        </w:tc>
      </w:tr>
      <w:tr w:rsidR="00D3167B" w:rsidRPr="00D3167B" w14:paraId="23EFFA23" w14:textId="77777777" w:rsidTr="00104785">
        <w:tc>
          <w:tcPr>
            <w:tcW w:w="7905" w:type="dxa"/>
            <w:vAlign w:val="center"/>
          </w:tcPr>
          <w:p w14:paraId="58C680CA" w14:textId="77777777" w:rsidR="00D3167B" w:rsidRPr="00D3167B" w:rsidRDefault="00D3167B" w:rsidP="00D3167B">
            <w:pPr>
              <w:widowControl w:val="0"/>
              <w:overflowPunct w:val="0"/>
              <w:autoSpaceDE w:val="0"/>
              <w:autoSpaceDN w:val="0"/>
              <w:adjustRightInd w:val="0"/>
              <w:spacing w:before="120" w:after="0" w:line="240" w:lineRule="auto"/>
              <w:rPr>
                <w:rFonts w:ascii="Calibri" w:eastAsia="Times New Roman" w:hAnsi="Calibri" w:cs="Arial"/>
                <w:b/>
                <w:iCs/>
                <w:color w:val="000000"/>
                <w:kern w:val="0"/>
                <w:szCs w:val="18"/>
                <w:lang w:val="es-ES_tradnl" w:eastAsia="es-CR"/>
                <w14:ligatures w14:val="none"/>
              </w:rPr>
            </w:pPr>
            <w:r w:rsidRPr="00D3167B">
              <w:rPr>
                <w:rFonts w:ascii="Calibri" w:eastAsia="Times New Roman" w:hAnsi="Calibri" w:cs="Arial"/>
                <w:b/>
                <w:iCs/>
                <w:color w:val="000000"/>
                <w:kern w:val="0"/>
                <w:szCs w:val="18"/>
                <w:lang w:val="es-ES_tradnl" w:eastAsia="es-CR"/>
                <w14:ligatures w14:val="none"/>
              </w:rPr>
              <w:t>Total</w:t>
            </w:r>
          </w:p>
        </w:tc>
        <w:tc>
          <w:tcPr>
            <w:tcW w:w="1203" w:type="dxa"/>
            <w:vAlign w:val="center"/>
          </w:tcPr>
          <w:p w14:paraId="5247B4CD" w14:textId="77777777" w:rsidR="00D3167B" w:rsidRPr="00D3167B" w:rsidRDefault="00D3167B" w:rsidP="00D3167B">
            <w:pPr>
              <w:autoSpaceDE w:val="0"/>
              <w:autoSpaceDN w:val="0"/>
              <w:adjustRightInd w:val="0"/>
              <w:spacing w:after="0" w:line="240" w:lineRule="auto"/>
              <w:contextualSpacing/>
              <w:jc w:val="center"/>
              <w:rPr>
                <w:rFonts w:ascii="Calibri" w:eastAsia="Calibri" w:hAnsi="Calibri" w:cs="Arial"/>
                <w:iCs/>
                <w:color w:val="000000"/>
                <w:kern w:val="0"/>
                <w14:ligatures w14:val="none"/>
              </w:rPr>
            </w:pPr>
            <w:r w:rsidRPr="00D3167B">
              <w:rPr>
                <w:rFonts w:ascii="Calibri" w:eastAsia="Calibri" w:hAnsi="Calibri" w:cs="Arial"/>
                <w:b/>
                <w:iCs/>
                <w:color w:val="000000"/>
                <w:kern w:val="0"/>
                <w14:ligatures w14:val="none"/>
              </w:rPr>
              <w:t>100%</w:t>
            </w:r>
          </w:p>
        </w:tc>
      </w:tr>
    </w:tbl>
    <w:p w14:paraId="485BC623" w14:textId="77777777" w:rsidR="00D3167B" w:rsidRPr="00D3167B" w:rsidRDefault="00D3167B" w:rsidP="00D3167B">
      <w:pPr>
        <w:rPr>
          <w:rFonts w:ascii="Calibri" w:eastAsia="Times New Roman" w:hAnsi="Calibri" w:cs="Times New Roman"/>
          <w:color w:val="000000"/>
          <w:kern w:val="0"/>
          <w:lang w:eastAsia="es-CR"/>
          <w14:ligatures w14:val="none"/>
        </w:rPr>
      </w:pPr>
    </w:p>
    <w:p w14:paraId="03CD1A1D"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color w:val="000000"/>
          <w:kern w:val="0"/>
          <w:lang w:eastAsia="es-CR"/>
          <w14:ligatures w14:val="none"/>
        </w:rPr>
      </w:pPr>
    </w:p>
    <w:p w14:paraId="6E6F8580"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eastAsia="es-CR"/>
          <w14:ligatures w14:val="none"/>
        </w:rPr>
      </w:pPr>
    </w:p>
    <w:p w14:paraId="47617DD4"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eastAsia="es-CR"/>
          <w14:ligatures w14:val="none"/>
        </w:rPr>
      </w:pPr>
    </w:p>
    <w:p w14:paraId="02251173"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eastAsia="es-CR"/>
          <w14:ligatures w14:val="none"/>
        </w:rPr>
      </w:pPr>
    </w:p>
    <w:p w14:paraId="631B1DAD"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eastAsia="es-CR"/>
          <w14:ligatures w14:val="none"/>
        </w:rPr>
        <w:sectPr w:rsidR="00D3167B" w:rsidRPr="00D3167B" w:rsidSect="00D3167B">
          <w:headerReference w:type="default" r:id="rId520"/>
          <w:pgSz w:w="12240" w:h="15840"/>
          <w:pgMar w:top="1417" w:right="1701" w:bottom="1417" w:left="1701" w:header="708" w:footer="708" w:gutter="0"/>
          <w:pgNumType w:start="445"/>
          <w:cols w:space="708"/>
          <w:docGrid w:linePitch="360"/>
        </w:sectPr>
      </w:pPr>
    </w:p>
    <w:p w14:paraId="224E58D5"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color w:val="000000"/>
          <w:kern w:val="0"/>
          <w:lang w:eastAsia="es-CR"/>
          <w14:ligatures w14:val="none"/>
        </w:rPr>
      </w:pPr>
      <w:r w:rsidRPr="00D3167B">
        <w:rPr>
          <w:rFonts w:ascii="Calibri" w:eastAsia="Times New Roman" w:hAnsi="Calibri" w:cs="Calibri"/>
          <w:noProof/>
          <w:kern w:val="0"/>
          <w:sz w:val="20"/>
          <w:szCs w:val="20"/>
          <w:lang w:val="es-ES_tradnl" w:eastAsia="es-CR"/>
          <w14:ligatures w14:val="none"/>
        </w:rPr>
        <w:lastRenderedPageBreak/>
        <mc:AlternateContent>
          <mc:Choice Requires="wps">
            <w:drawing>
              <wp:anchor distT="45720" distB="45720" distL="114300" distR="114300" simplePos="0" relativeHeight="252860416" behindDoc="0" locked="0" layoutInCell="1" allowOverlap="1" wp14:anchorId="2735BB07" wp14:editId="5354BD54">
                <wp:simplePos x="0" y="0"/>
                <wp:positionH relativeFrom="margin">
                  <wp:align>center</wp:align>
                </wp:positionH>
                <wp:positionV relativeFrom="paragraph">
                  <wp:posOffset>-406717</wp:posOffset>
                </wp:positionV>
                <wp:extent cx="7879080" cy="400050"/>
                <wp:effectExtent l="0" t="0" r="26670" b="19050"/>
                <wp:wrapNone/>
                <wp:docPr id="16756545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0050"/>
                        </a:xfrm>
                        <a:prstGeom prst="rect">
                          <a:avLst/>
                        </a:prstGeom>
                        <a:solidFill>
                          <a:srgbClr val="FFFFFF"/>
                        </a:solidFill>
                        <a:ln w="9525">
                          <a:solidFill>
                            <a:srgbClr val="000000"/>
                          </a:solidFill>
                          <a:miter lim="800000"/>
                          <a:headEnd/>
                          <a:tailEnd/>
                        </a:ln>
                      </wps:spPr>
                      <wps:txbx>
                        <w:txbxContent>
                          <w:p w14:paraId="267ADB2A" w14:textId="77777777" w:rsidR="00D3167B" w:rsidRPr="00D3167B" w:rsidRDefault="00D3167B" w:rsidP="00D3167B">
                            <w:pPr>
                              <w:jc w:val="center"/>
                              <w:rPr>
                                <w:rFonts w:cs="Calibri"/>
                                <w:b/>
                                <w:szCs w:val="24"/>
                              </w:rPr>
                            </w:pPr>
                            <w:r w:rsidRPr="00D3167B">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35BB07" id="_x0000_s1245" type="#_x0000_t202" style="position:absolute;left:0;text-align:left;margin-left:0;margin-top:-32pt;width:620.4pt;height:31.5pt;z-index:25286041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">
                <v:textbox>
                  <w:txbxContent>
                    <w:p w14:paraId="267ADB2A" w14:textId="77777777" w:rsidR="00D3167B" w:rsidRPr="00D3167B" w:rsidRDefault="00D3167B" w:rsidP="00D3167B">
                      <w:pPr>
                        <w:jc w:val="center"/>
                        <w:rPr>
                          <w:rFonts w:cs="Calibri"/>
                          <w:b/>
                          <w:szCs w:val="24"/>
                        </w:rPr>
                      </w:pPr>
                      <w:r w:rsidRPr="00D3167B">
                        <w:rPr>
                          <w:rFonts w:cs="Calibri"/>
                          <w:b/>
                          <w:szCs w:val="24"/>
                        </w:rPr>
                        <w:t>RÚBRICA DE EVALUACIÓN – FORO TEMÁTICO</w:t>
                      </w:r>
                    </w:p>
                  </w:txbxContent>
                </v:textbox>
                <w10:wrap anchorx="margin"/>
              </v:shape>
            </w:pict>
          </mc:Fallback>
        </mc:AlternateContent>
      </w:r>
    </w:p>
    <w:p w14:paraId="32B2ABD6"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70C0"/>
          <w:kern w:val="0"/>
          <w:lang w:eastAsia="es-CR"/>
          <w14:ligatures w14:val="none"/>
        </w:rPr>
      </w:pPr>
      <w:r w:rsidRPr="00D3167B">
        <w:rPr>
          <w:rFonts w:ascii="Calibri" w:eastAsia="Times New Roman" w:hAnsi="Calibri" w:cs="Times New Roman"/>
          <w:color w:val="0070C0"/>
          <w:kern w:val="0"/>
          <w:lang w:eastAsia="es-CR"/>
          <w14:ligatures w14:val="none"/>
        </w:rPr>
        <w:t>En los foros temáticos las personas estudiantes realizarán aportes y desarrollarán insumos y reflexiones de manera colaborativa y asincrónica.  Se desarrollan en las sesiones 2, 4, 6, 8 y 14. Cada foro tiene un valor de 5%.</w:t>
      </w:r>
    </w:p>
    <w:p w14:paraId="0B76FD06"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r w:rsidRPr="00D3167B">
        <w:rPr>
          <w:rFonts w:ascii="Calibri" w:eastAsia="Times New Roman" w:hAnsi="Calibri" w:cs="Times New Roman"/>
          <w:noProof/>
          <w:color w:val="000000"/>
          <w:kern w:val="0"/>
          <w:lang w:eastAsia="es-CR"/>
          <w14:ligatures w14:val="none"/>
        </w:rPr>
        <w:drawing>
          <wp:anchor distT="0" distB="0" distL="114300" distR="114300" simplePos="0" relativeHeight="252861440" behindDoc="0" locked="0" layoutInCell="1" allowOverlap="1" wp14:anchorId="74F02BC9" wp14:editId="3CCCA9EB">
            <wp:simplePos x="0" y="0"/>
            <wp:positionH relativeFrom="margin">
              <wp:align>center</wp:align>
            </wp:positionH>
            <wp:positionV relativeFrom="paragraph">
              <wp:posOffset>180340</wp:posOffset>
            </wp:positionV>
            <wp:extent cx="7977187" cy="5785122"/>
            <wp:effectExtent l="0" t="0" r="5080" b="6350"/>
            <wp:wrapNone/>
            <wp:docPr id="17113227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32271" name="Imagen 1" descr="Tabla&#10;&#10;Descripción generada automáticamente"/>
                    <pic:cNvPicPr/>
                  </pic:nvPicPr>
                  <pic:blipFill>
                    <a:blip r:embed="rId521">
                      <a:extLst>
                        <a:ext uri="{28A0092B-C50C-407E-A947-70E740481C1C}">
                          <a14:useLocalDpi xmlns:a14="http://schemas.microsoft.com/office/drawing/2010/main" val="0"/>
                        </a:ext>
                      </a:extLst>
                    </a:blip>
                    <a:stretch>
                      <a:fillRect/>
                    </a:stretch>
                  </pic:blipFill>
                  <pic:spPr>
                    <a:xfrm>
                      <a:off x="0" y="0"/>
                      <a:ext cx="7977187" cy="5785122"/>
                    </a:xfrm>
                    <a:prstGeom prst="rect">
                      <a:avLst/>
                    </a:prstGeom>
                  </pic:spPr>
                </pic:pic>
              </a:graphicData>
            </a:graphic>
            <wp14:sizeRelH relativeFrom="margin">
              <wp14:pctWidth>0</wp14:pctWidth>
            </wp14:sizeRelH>
            <wp14:sizeRelV relativeFrom="margin">
              <wp14:pctHeight>0</wp14:pctHeight>
            </wp14:sizeRelV>
          </wp:anchor>
        </w:drawing>
      </w:r>
    </w:p>
    <w:p w14:paraId="6ED57F35"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0F7DFEA8"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eastAsia="es-CR"/>
          <w14:ligatures w14:val="none"/>
        </w:rPr>
      </w:pPr>
      <w:r w:rsidRPr="00D3167B">
        <w:rPr>
          <w:rFonts w:ascii="Calibri" w:eastAsia="Times New Roman" w:hAnsi="Calibri" w:cs="Times New Roman"/>
          <w:b/>
          <w:bCs/>
          <w:color w:val="000000"/>
          <w:kern w:val="0"/>
          <w:lang w:eastAsia="es-CR"/>
          <w14:ligatures w14:val="none"/>
        </w:rPr>
        <w:br w:type="page"/>
      </w:r>
    </w:p>
    <w:p w14:paraId="6F9F23CF"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val="es-ES_tradnl" w:eastAsia="es-CR"/>
          <w14:ligatures w14:val="none"/>
        </w:rPr>
      </w:pPr>
      <w:r w:rsidRPr="00D3167B">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62464" behindDoc="0" locked="0" layoutInCell="1" allowOverlap="1" wp14:anchorId="129F656E" wp14:editId="0802E443">
                <wp:simplePos x="0" y="0"/>
                <wp:positionH relativeFrom="margin">
                  <wp:align>center</wp:align>
                </wp:positionH>
                <wp:positionV relativeFrom="paragraph">
                  <wp:posOffset>-168593</wp:posOffset>
                </wp:positionV>
                <wp:extent cx="6606540" cy="411480"/>
                <wp:effectExtent l="0" t="0" r="22860" b="26670"/>
                <wp:wrapNone/>
                <wp:docPr id="1923764518" name="Cuadro de texto 192376451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2368E55" w14:textId="77777777" w:rsidR="00D3167B" w:rsidRPr="00D3167B" w:rsidRDefault="00D3167B" w:rsidP="00D3167B">
                            <w:pPr>
                              <w:jc w:val="center"/>
                              <w:rPr>
                                <w:rFonts w:cs="Calibri"/>
                              </w:rPr>
                            </w:pPr>
                            <w:r w:rsidRPr="00D3167B">
                              <w:rPr>
                                <w:rFonts w:cs="Calibri"/>
                                <w:b/>
                              </w:rPr>
                              <w:t>RÚBRICA DE EVALUACIÓN – RESEÑA CRÍTICA DE LECTURA</w:t>
                            </w:r>
                          </w:p>
                          <w:p w14:paraId="11FF35F0" w14:textId="77777777" w:rsidR="00D3167B" w:rsidRPr="00D3167B" w:rsidRDefault="00D3167B" w:rsidP="00D3167B">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9F656E" id="Cuadro de texto 1923764518" o:spid="_x0000_s1246" type="#_x0000_t202" style="position:absolute;left:0;text-align:left;margin-left:0;margin-top:-13.3pt;width:520.2pt;height:32.4pt;z-index:2528624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" fillcolor="window" strokeweight=".5pt">
                <v:textbox>
                  <w:txbxContent>
                    <w:p w14:paraId="52368E55" w14:textId="77777777" w:rsidR="00D3167B" w:rsidRPr="00D3167B" w:rsidRDefault="00D3167B" w:rsidP="00D3167B">
                      <w:pPr>
                        <w:jc w:val="center"/>
                        <w:rPr>
                          <w:rFonts w:cs="Calibri"/>
                        </w:rPr>
                      </w:pPr>
                      <w:r w:rsidRPr="00D3167B">
                        <w:rPr>
                          <w:rFonts w:cs="Calibri"/>
                          <w:b/>
                        </w:rPr>
                        <w:t>RÚBRICA DE EVALUACIÓN – RESEÑA CRÍTICA DE LECTURA</w:t>
                      </w:r>
                    </w:p>
                    <w:p w14:paraId="11FF35F0" w14:textId="77777777" w:rsidR="00D3167B" w:rsidRPr="00D3167B" w:rsidRDefault="00D3167B" w:rsidP="00D3167B">
                      <w:pPr>
                        <w:jc w:val="center"/>
                        <w:rPr>
                          <w:rFonts w:cs="Calibri"/>
                        </w:rPr>
                      </w:pPr>
                    </w:p>
                  </w:txbxContent>
                </v:textbox>
                <w10:wrap anchorx="margin"/>
              </v:shape>
            </w:pict>
          </mc:Fallback>
        </mc:AlternateContent>
      </w:r>
    </w:p>
    <w:p w14:paraId="472D9F8E"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val="es-ES_tradnl" w:eastAsia="es-CR"/>
          <w14:ligatures w14:val="none"/>
        </w:rPr>
      </w:pPr>
    </w:p>
    <w:p w14:paraId="3C4EDF08"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70C0"/>
          <w:kern w:val="0"/>
          <w:lang w:eastAsia="es-CR"/>
          <w14:ligatures w14:val="none"/>
        </w:rPr>
      </w:pPr>
      <w:r w:rsidRPr="00D3167B">
        <w:rPr>
          <w:rFonts w:ascii="Calibri" w:eastAsia="Times New Roman" w:hAnsi="Calibri" w:cs="Times New Roman"/>
          <w:color w:val="0070C0"/>
          <w:kern w:val="0"/>
          <w:lang w:eastAsia="es-CR"/>
          <w14:ligatures w14:val="none"/>
        </w:rPr>
        <w:t>Durante el curso las personas estudiantes realizarán dos reseñas críticas. La primera sobre los motivos teológicos que atraviesan el libro de Rut, mientras que la segunda será sobre las situaciones vitales en los textos narrativos. Cada reseña tiene un valor de 5% y se elaboran en las sesiones 3 y 10.</w:t>
      </w:r>
    </w:p>
    <w:p w14:paraId="38CF0495"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78EF9753"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b/>
          <w:bCs/>
          <w:color w:val="000000"/>
          <w:kern w:val="0"/>
          <w:lang w:eastAsia="es-CR"/>
          <w14:ligatures w14:val="none"/>
        </w:rPr>
      </w:pPr>
      <w:r w:rsidRPr="00D3167B">
        <w:rPr>
          <w:rFonts w:ascii="Calibri" w:eastAsia="Times New Roman" w:hAnsi="Calibri" w:cs="Times New Roman"/>
          <w:b/>
          <w:bCs/>
          <w:noProof/>
          <w:color w:val="000000"/>
          <w:kern w:val="0"/>
          <w:lang w:eastAsia="es-CR"/>
          <w14:ligatures w14:val="none"/>
        </w:rPr>
        <w:drawing>
          <wp:anchor distT="0" distB="0" distL="114300" distR="114300" simplePos="0" relativeHeight="252863488" behindDoc="0" locked="0" layoutInCell="1" allowOverlap="1" wp14:anchorId="71FB93C3" wp14:editId="5B608D3C">
            <wp:simplePos x="0" y="0"/>
            <wp:positionH relativeFrom="column">
              <wp:posOffset>76200</wp:posOffset>
            </wp:positionH>
            <wp:positionV relativeFrom="paragraph">
              <wp:posOffset>74295</wp:posOffset>
            </wp:positionV>
            <wp:extent cx="8985504" cy="4821936"/>
            <wp:effectExtent l="0" t="0" r="6350" b="0"/>
            <wp:wrapNone/>
            <wp:docPr id="2064209519"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209519" name="Imagen 2" descr="Tabla&#10;&#10;Descripción generada automáticamente"/>
                    <pic:cNvPicPr/>
                  </pic:nvPicPr>
                  <pic:blipFill>
                    <a:blip r:embed="rId522">
                      <a:extLst>
                        <a:ext uri="{28A0092B-C50C-407E-A947-70E740481C1C}">
                          <a14:useLocalDpi xmlns:a14="http://schemas.microsoft.com/office/drawing/2010/main" val="0"/>
                        </a:ext>
                      </a:extLst>
                    </a:blip>
                    <a:stretch>
                      <a:fillRect/>
                    </a:stretch>
                  </pic:blipFill>
                  <pic:spPr>
                    <a:xfrm>
                      <a:off x="0" y="0"/>
                      <a:ext cx="8985504" cy="4821936"/>
                    </a:xfrm>
                    <a:prstGeom prst="rect">
                      <a:avLst/>
                    </a:prstGeom>
                  </pic:spPr>
                </pic:pic>
              </a:graphicData>
            </a:graphic>
          </wp:anchor>
        </w:drawing>
      </w:r>
    </w:p>
    <w:p w14:paraId="1A8D4B22"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eastAsia="es-CR"/>
          <w14:ligatures w14:val="none"/>
        </w:rPr>
      </w:pPr>
      <w:r w:rsidRPr="00D3167B">
        <w:rPr>
          <w:rFonts w:ascii="Calibri" w:eastAsia="Times New Roman" w:hAnsi="Calibri" w:cs="Times New Roman"/>
          <w:b/>
          <w:bCs/>
          <w:color w:val="000000"/>
          <w:kern w:val="0"/>
          <w:lang w:eastAsia="es-CR"/>
          <w14:ligatures w14:val="none"/>
        </w:rPr>
        <w:br w:type="page"/>
      </w:r>
    </w:p>
    <w:p w14:paraId="3988141E" w14:textId="77777777" w:rsidR="00D3167B" w:rsidRPr="00D3167B" w:rsidRDefault="00D3167B" w:rsidP="00D3167B">
      <w:pPr>
        <w:widowControl w:val="0"/>
        <w:overflowPunct w:val="0"/>
        <w:autoSpaceDE w:val="0"/>
        <w:autoSpaceDN w:val="0"/>
        <w:adjustRightInd w:val="0"/>
        <w:spacing w:before="120" w:after="0" w:line="240" w:lineRule="auto"/>
        <w:rPr>
          <w:rFonts w:ascii="Calibri" w:eastAsia="Times New Roman" w:hAnsi="Calibri" w:cs="Times New Roman"/>
          <w:b/>
          <w:bCs/>
          <w:color w:val="000000"/>
          <w:kern w:val="0"/>
          <w:lang w:val="es-ES_tradnl" w:eastAsia="es-CR"/>
          <w14:ligatures w14:val="none"/>
        </w:rPr>
      </w:pPr>
      <w:r w:rsidRPr="00D3167B">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64512" behindDoc="0" locked="0" layoutInCell="1" allowOverlap="1" wp14:anchorId="22171822" wp14:editId="6B0581F4">
                <wp:simplePos x="0" y="0"/>
                <wp:positionH relativeFrom="margin">
                  <wp:align>center</wp:align>
                </wp:positionH>
                <wp:positionV relativeFrom="paragraph">
                  <wp:posOffset>-297180</wp:posOffset>
                </wp:positionV>
                <wp:extent cx="6606540" cy="414337"/>
                <wp:effectExtent l="0" t="0" r="22860" b="24130"/>
                <wp:wrapNone/>
                <wp:docPr id="1201560943" name="Cuadro de texto 1201560943"/>
                <wp:cNvGraphicFramePr/>
                <a:graphic xmlns:a="http://schemas.openxmlformats.org/drawingml/2006/main">
                  <a:graphicData uri="http://schemas.microsoft.com/office/word/2010/wordprocessingShape">
                    <wps:wsp>
                      <wps:cNvSpPr txBox="1"/>
                      <wps:spPr>
                        <a:xfrm>
                          <a:off x="0" y="0"/>
                          <a:ext cx="6606540" cy="414337"/>
                        </a:xfrm>
                        <a:prstGeom prst="rect">
                          <a:avLst/>
                        </a:prstGeom>
                        <a:solidFill>
                          <a:sysClr val="window" lastClr="FFFFFF"/>
                        </a:solidFill>
                        <a:ln w="6350">
                          <a:solidFill>
                            <a:prstClr val="black"/>
                          </a:solidFill>
                        </a:ln>
                      </wps:spPr>
                      <wps:txbx>
                        <w:txbxContent>
                          <w:p w14:paraId="06C4F09D" w14:textId="77777777" w:rsidR="00D3167B" w:rsidRPr="00D3167B" w:rsidRDefault="00D3167B" w:rsidP="00D3167B">
                            <w:pPr>
                              <w:jc w:val="center"/>
                              <w:rPr>
                                <w:rFonts w:cs="Calibri"/>
                              </w:rPr>
                            </w:pPr>
                            <w:r w:rsidRPr="00D3167B">
                              <w:rPr>
                                <w:rFonts w:cs="Calibri"/>
                                <w:b/>
                              </w:rPr>
                              <w:t xml:space="preserve">ESCALA DE EVALUACIÓN – ENSAYO </w:t>
                            </w:r>
                          </w:p>
                          <w:p w14:paraId="4C4F61E5" w14:textId="77777777" w:rsidR="00D3167B" w:rsidRPr="00D3167B" w:rsidRDefault="00D3167B" w:rsidP="00D3167B">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71822" id="Cuadro de texto 1201560943" o:spid="_x0000_s1247" type="#_x0000_t202" style="position:absolute;margin-left:0;margin-top:-23.4pt;width:520.2pt;height:32.6pt;z-index:252864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" fillcolor="window" strokeweight=".5pt">
                <v:textbox>
                  <w:txbxContent>
                    <w:p w14:paraId="06C4F09D" w14:textId="77777777" w:rsidR="00D3167B" w:rsidRPr="00D3167B" w:rsidRDefault="00D3167B" w:rsidP="00D3167B">
                      <w:pPr>
                        <w:jc w:val="center"/>
                        <w:rPr>
                          <w:rFonts w:cs="Calibri"/>
                        </w:rPr>
                      </w:pPr>
                      <w:r w:rsidRPr="00D3167B">
                        <w:rPr>
                          <w:rFonts w:cs="Calibri"/>
                          <w:b/>
                        </w:rPr>
                        <w:t xml:space="preserve">ESCALA DE EVALUACIÓN – ENSAYO </w:t>
                      </w:r>
                    </w:p>
                    <w:p w14:paraId="4C4F61E5" w14:textId="77777777" w:rsidR="00D3167B" w:rsidRPr="00D3167B" w:rsidRDefault="00D3167B" w:rsidP="00D3167B">
                      <w:pPr>
                        <w:jc w:val="center"/>
                        <w:rPr>
                          <w:rFonts w:cs="Calibri"/>
                        </w:rPr>
                      </w:pPr>
                    </w:p>
                  </w:txbxContent>
                </v:textbox>
                <w10:wrap anchorx="margin"/>
              </v:shape>
            </w:pict>
          </mc:Fallback>
        </mc:AlternateContent>
      </w:r>
    </w:p>
    <w:p w14:paraId="3478A8A7"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70C0"/>
          <w:kern w:val="0"/>
          <w:lang w:eastAsia="es-CR"/>
          <w14:ligatures w14:val="none"/>
        </w:rPr>
      </w:pPr>
      <w:r w:rsidRPr="00D3167B">
        <w:rPr>
          <w:rFonts w:ascii="Calibri" w:eastAsia="Times New Roman" w:hAnsi="Calibri" w:cs="Times New Roman"/>
          <w:color w:val="0070C0"/>
          <w:kern w:val="0"/>
          <w:lang w:eastAsia="es-CR"/>
          <w14:ligatures w14:val="none"/>
        </w:rPr>
        <w:t>El ensayo es un escrito académico en el que la persona estudiante desarrollará un tema relativo al estudio del libro de Rut, según las indicaciones de la persona docente. Se elaboran dos ensayos, los cuales tienen un valor de 10% cada uno y se distribuyen de la siguiente forma:</w:t>
      </w:r>
      <w:r w:rsidRPr="00D3167B">
        <w:rPr>
          <w:rFonts w:ascii="Calibri" w:eastAsia="Times New Roman" w:hAnsi="Calibri" w:cs="Times New Roman"/>
          <w:b/>
          <w:bCs/>
          <w:color w:val="0070C0"/>
          <w:kern w:val="0"/>
          <w:lang w:eastAsia="es-CR"/>
          <w14:ligatures w14:val="none"/>
        </w:rPr>
        <w:t xml:space="preserve"> </w:t>
      </w:r>
      <w:r w:rsidRPr="00D3167B">
        <w:rPr>
          <w:rFonts w:ascii="Calibri" w:eastAsia="Times New Roman" w:hAnsi="Calibri" w:cs="Times New Roman"/>
          <w:color w:val="0070C0"/>
          <w:kern w:val="0"/>
          <w:lang w:eastAsia="es-CR"/>
          <w14:ligatures w14:val="none"/>
        </w:rPr>
        <w:t>ensayo comparativo sobre el abordaje de la figura de Rut (sesión 5) y ensayo sobre uno de los temas vitales del libro de Rut pertinente para la actualidad de su contexto (sesión 12).</w:t>
      </w:r>
    </w:p>
    <w:p w14:paraId="13EADBC6"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33FDEAE3"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r w:rsidRPr="00D3167B">
        <w:rPr>
          <w:rFonts w:ascii="Calibri" w:eastAsia="Times New Roman" w:hAnsi="Calibri" w:cs="Times New Roman"/>
          <w:noProof/>
          <w:color w:val="000000"/>
          <w:kern w:val="0"/>
          <w:lang w:eastAsia="es-CR"/>
          <w14:ligatures w14:val="none"/>
        </w:rPr>
        <w:drawing>
          <wp:inline distT="0" distB="0" distL="0" distR="0" wp14:anchorId="4D5750EC" wp14:editId="29C83B23">
            <wp:extent cx="8095488" cy="4596384"/>
            <wp:effectExtent l="0" t="0" r="1270" b="0"/>
            <wp:docPr id="1486800735"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00735" name="Imagen 3" descr="Tabla&#10;&#10;Descripción generada automáticamente"/>
                    <pic:cNvPicPr/>
                  </pic:nvPicPr>
                  <pic:blipFill>
                    <a:blip r:embed="rId523">
                      <a:extLst>
                        <a:ext uri="{28A0092B-C50C-407E-A947-70E740481C1C}">
                          <a14:useLocalDpi xmlns:a14="http://schemas.microsoft.com/office/drawing/2010/main" val="0"/>
                        </a:ext>
                      </a:extLst>
                    </a:blip>
                    <a:stretch>
                      <a:fillRect/>
                    </a:stretch>
                  </pic:blipFill>
                  <pic:spPr>
                    <a:xfrm>
                      <a:off x="0" y="0"/>
                      <a:ext cx="8095488" cy="4596384"/>
                    </a:xfrm>
                    <a:prstGeom prst="rect">
                      <a:avLst/>
                    </a:prstGeom>
                  </pic:spPr>
                </pic:pic>
              </a:graphicData>
            </a:graphic>
          </wp:inline>
        </w:drawing>
      </w:r>
    </w:p>
    <w:p w14:paraId="2F28C388"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eastAsia="es-CR"/>
          <w14:ligatures w14:val="none"/>
        </w:rPr>
      </w:pPr>
      <w:r w:rsidRPr="00D3167B">
        <w:rPr>
          <w:rFonts w:ascii="Calibri" w:eastAsia="Times New Roman" w:hAnsi="Calibri" w:cs="Times New Roman"/>
          <w:b/>
          <w:bCs/>
          <w:color w:val="000000"/>
          <w:kern w:val="0"/>
          <w:lang w:eastAsia="es-CR"/>
          <w14:ligatures w14:val="none"/>
        </w:rPr>
        <w:br w:type="page"/>
      </w:r>
    </w:p>
    <w:p w14:paraId="49E213AB"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val="es-ES_tradnl" w:eastAsia="es-CR"/>
          <w14:ligatures w14:val="none"/>
        </w:rPr>
      </w:pPr>
      <w:r w:rsidRPr="00D3167B">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65536" behindDoc="0" locked="0" layoutInCell="1" allowOverlap="1" wp14:anchorId="0191798C" wp14:editId="44F09C71">
                <wp:simplePos x="0" y="0"/>
                <wp:positionH relativeFrom="margin">
                  <wp:align>center</wp:align>
                </wp:positionH>
                <wp:positionV relativeFrom="paragraph">
                  <wp:posOffset>-168910</wp:posOffset>
                </wp:positionV>
                <wp:extent cx="6606540" cy="411480"/>
                <wp:effectExtent l="0" t="0" r="22860" b="26670"/>
                <wp:wrapNone/>
                <wp:docPr id="322148920" name="Cuadro de texto 322148920"/>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1C6B6423" w14:textId="77777777" w:rsidR="00D3167B" w:rsidRPr="00D3167B" w:rsidRDefault="00D3167B" w:rsidP="00D3167B">
                            <w:pPr>
                              <w:jc w:val="center"/>
                              <w:rPr>
                                <w:rFonts w:cs="Calibri"/>
                              </w:rPr>
                            </w:pPr>
                            <w:r w:rsidRPr="00D3167B">
                              <w:rPr>
                                <w:rFonts w:cs="Calibri"/>
                                <w:b/>
                              </w:rPr>
                              <w:t>ESCALA DE EVALUACIÓN – PRESENTACIÓN GRUPAL</w:t>
                            </w:r>
                          </w:p>
                          <w:p w14:paraId="5EED534D" w14:textId="77777777" w:rsidR="00D3167B" w:rsidRPr="00D3167B" w:rsidRDefault="00D3167B" w:rsidP="00D3167B">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1798C" id="Cuadro de texto 322148920" o:spid="_x0000_s1248" type="#_x0000_t202" style="position:absolute;left:0;text-align:left;margin-left:0;margin-top:-13.3pt;width:520.2pt;height:32.4pt;z-index:252865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" fillcolor="window" strokeweight=".5pt">
                <v:textbox>
                  <w:txbxContent>
                    <w:p w14:paraId="1C6B6423" w14:textId="77777777" w:rsidR="00D3167B" w:rsidRPr="00D3167B" w:rsidRDefault="00D3167B" w:rsidP="00D3167B">
                      <w:pPr>
                        <w:jc w:val="center"/>
                        <w:rPr>
                          <w:rFonts w:cs="Calibri"/>
                        </w:rPr>
                      </w:pPr>
                      <w:r w:rsidRPr="00D3167B">
                        <w:rPr>
                          <w:rFonts w:cs="Calibri"/>
                          <w:b/>
                        </w:rPr>
                        <w:t>ESCALA DE EVALUACIÓN – PRESENTACIÓN GRUPAL</w:t>
                      </w:r>
                    </w:p>
                    <w:p w14:paraId="5EED534D" w14:textId="77777777" w:rsidR="00D3167B" w:rsidRPr="00D3167B" w:rsidRDefault="00D3167B" w:rsidP="00D3167B">
                      <w:pPr>
                        <w:jc w:val="center"/>
                        <w:rPr>
                          <w:rFonts w:cs="Calibri"/>
                        </w:rPr>
                      </w:pPr>
                    </w:p>
                  </w:txbxContent>
                </v:textbox>
                <w10:wrap anchorx="margin"/>
              </v:shape>
            </w:pict>
          </mc:Fallback>
        </mc:AlternateContent>
      </w:r>
    </w:p>
    <w:p w14:paraId="01196A1B"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val="es-ES_tradnl" w:eastAsia="es-CR"/>
          <w14:ligatures w14:val="none"/>
        </w:rPr>
      </w:pPr>
    </w:p>
    <w:p w14:paraId="47083F43"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70C0"/>
          <w:kern w:val="0"/>
          <w:lang w:eastAsia="es-CR"/>
          <w14:ligatures w14:val="none"/>
        </w:rPr>
      </w:pPr>
      <w:r w:rsidRPr="00D3167B">
        <w:rPr>
          <w:rFonts w:ascii="Calibri" w:eastAsia="Times New Roman" w:hAnsi="Calibri" w:cs="Times New Roman"/>
          <w:color w:val="0070C0"/>
          <w:kern w:val="0"/>
          <w:lang w:eastAsia="es-CR"/>
          <w14:ligatures w14:val="none"/>
        </w:rPr>
        <w:t>Cada estudiante participará en un grupo en el cual se desarrollará una investigación para presentar en las sesiones asignadas en el cronograma. Cada estudiante realizará una presentación en forma grupal en alguna de las siguientes sesiones: 7, 9, 11 y 13 (según asignación docente). La presentación grupal tiene un valor de 15%.</w:t>
      </w:r>
    </w:p>
    <w:p w14:paraId="226FC2B0"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348C949B"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r w:rsidRPr="00D3167B">
        <w:rPr>
          <w:rFonts w:ascii="Calibri" w:eastAsia="Times New Roman" w:hAnsi="Calibri" w:cs="Times New Roman"/>
          <w:b/>
          <w:bCs/>
          <w:noProof/>
          <w:color w:val="000000"/>
          <w:kern w:val="0"/>
          <w:lang w:eastAsia="es-CR"/>
          <w14:ligatures w14:val="none"/>
        </w:rPr>
        <w:drawing>
          <wp:anchor distT="0" distB="0" distL="114300" distR="114300" simplePos="0" relativeHeight="252866560" behindDoc="0" locked="0" layoutInCell="1" allowOverlap="1" wp14:anchorId="5DAE77D0" wp14:editId="093746ED">
            <wp:simplePos x="0" y="0"/>
            <wp:positionH relativeFrom="margin">
              <wp:align>center</wp:align>
            </wp:positionH>
            <wp:positionV relativeFrom="paragraph">
              <wp:posOffset>80962</wp:posOffset>
            </wp:positionV>
            <wp:extent cx="8101330" cy="4315460"/>
            <wp:effectExtent l="0" t="0" r="0" b="8890"/>
            <wp:wrapNone/>
            <wp:docPr id="475630099" name="Imagen 4"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30099" name="Imagen 4" descr="Interfaz de usuario gráfica, Aplicación, Tabla&#10;&#10;Descripción generada automáticamente"/>
                    <pic:cNvPicPr/>
                  </pic:nvPicPr>
                  <pic:blipFill>
                    <a:blip r:embed="rId524">
                      <a:extLst>
                        <a:ext uri="{28A0092B-C50C-407E-A947-70E740481C1C}">
                          <a14:useLocalDpi xmlns:a14="http://schemas.microsoft.com/office/drawing/2010/main" val="0"/>
                        </a:ext>
                      </a:extLst>
                    </a:blip>
                    <a:stretch>
                      <a:fillRect/>
                    </a:stretch>
                  </pic:blipFill>
                  <pic:spPr>
                    <a:xfrm>
                      <a:off x="0" y="0"/>
                      <a:ext cx="8101330" cy="4315460"/>
                    </a:xfrm>
                    <a:prstGeom prst="rect">
                      <a:avLst/>
                    </a:prstGeom>
                  </pic:spPr>
                </pic:pic>
              </a:graphicData>
            </a:graphic>
          </wp:anchor>
        </w:drawing>
      </w:r>
    </w:p>
    <w:p w14:paraId="102DE0C5"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4B148C9B"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6E62E222"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628A2BA9"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69B9CF3A"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184FE64C"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4C42BF9C"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37BDA0E2"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00D1D672"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0D1C8CD0"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1B52C049"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50A782C1"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454FFA38"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283F1F3F"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189E72C1"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11A518CD"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05B53D47"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14FC873D"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36DCFCB6"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56D7ABE1"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2AE9C7CF"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65A30758"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r w:rsidRPr="00D3167B">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867584" behindDoc="0" locked="0" layoutInCell="1" allowOverlap="1" wp14:anchorId="28A895D7" wp14:editId="6689253B">
                <wp:simplePos x="0" y="0"/>
                <wp:positionH relativeFrom="margin">
                  <wp:align>center</wp:align>
                </wp:positionH>
                <wp:positionV relativeFrom="paragraph">
                  <wp:posOffset>-363855</wp:posOffset>
                </wp:positionV>
                <wp:extent cx="6606540" cy="411480"/>
                <wp:effectExtent l="0" t="0" r="22860" b="26670"/>
                <wp:wrapNone/>
                <wp:docPr id="1610640866" name="Cuadro de texto 1610640866"/>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51A1A0D7" w14:textId="77777777" w:rsidR="00D3167B" w:rsidRPr="00D3167B" w:rsidRDefault="00D3167B" w:rsidP="00D3167B">
                            <w:pPr>
                              <w:jc w:val="center"/>
                              <w:rPr>
                                <w:rFonts w:cs="Calibri"/>
                              </w:rPr>
                            </w:pPr>
                            <w:r w:rsidRPr="00D3167B">
                              <w:rPr>
                                <w:rFonts w:cs="Calibri"/>
                                <w:b/>
                              </w:rPr>
                              <w:t>ESCALA DE EVALUACIÓN – AVANCES DEL ESTUDIO DE UN CAPÍTULO DEL LIBRO DE RUT</w:t>
                            </w:r>
                          </w:p>
                          <w:p w14:paraId="40A43936" w14:textId="77777777" w:rsidR="00D3167B" w:rsidRPr="00D3167B" w:rsidRDefault="00D3167B" w:rsidP="00D3167B">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895D7" id="Cuadro de texto 1610640866" o:spid="_x0000_s1249" type="#_x0000_t202" style="position:absolute;left:0;text-align:left;margin-left:0;margin-top:-28.65pt;width:520.2pt;height:32.4pt;z-index:252867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" fillcolor="window" strokeweight=".5pt">
                <v:textbox>
                  <w:txbxContent>
                    <w:p w14:paraId="51A1A0D7" w14:textId="77777777" w:rsidR="00D3167B" w:rsidRPr="00D3167B" w:rsidRDefault="00D3167B" w:rsidP="00D3167B">
                      <w:pPr>
                        <w:jc w:val="center"/>
                        <w:rPr>
                          <w:rFonts w:cs="Calibri"/>
                        </w:rPr>
                      </w:pPr>
                      <w:r w:rsidRPr="00D3167B">
                        <w:rPr>
                          <w:rFonts w:cs="Calibri"/>
                          <w:b/>
                        </w:rPr>
                        <w:t>ESCALA DE EVALUACIÓN – AVANCES DEL ESTUDIO DE UN CAPÍTULO DEL LIBRO DE RUT</w:t>
                      </w:r>
                    </w:p>
                    <w:p w14:paraId="40A43936" w14:textId="77777777" w:rsidR="00D3167B" w:rsidRPr="00D3167B" w:rsidRDefault="00D3167B" w:rsidP="00D3167B">
                      <w:pPr>
                        <w:jc w:val="center"/>
                        <w:rPr>
                          <w:rFonts w:cs="Calibri"/>
                        </w:rPr>
                      </w:pPr>
                    </w:p>
                  </w:txbxContent>
                </v:textbox>
                <w10:wrap anchorx="margin"/>
              </v:shape>
            </w:pict>
          </mc:Fallback>
        </mc:AlternateContent>
      </w:r>
    </w:p>
    <w:p w14:paraId="3A5DAF2F"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70C0"/>
          <w:kern w:val="0"/>
          <w:lang w:eastAsia="es-CR"/>
          <w14:ligatures w14:val="none"/>
        </w:rPr>
      </w:pPr>
      <w:r w:rsidRPr="00D3167B">
        <w:rPr>
          <w:rFonts w:ascii="Calibri" w:eastAsia="Times New Roman" w:hAnsi="Calibri" w:cs="Times New Roman"/>
          <w:color w:val="0070C0"/>
          <w:kern w:val="0"/>
          <w:lang w:eastAsia="es-CR"/>
          <w14:ligatures w14:val="none"/>
        </w:rPr>
        <w:t>Con el fin de ejercitar las capacidades de análisis desarrolladas en el curso, cada estudiante realizará el estudio de un capítulo del libro de Rut (según su elección) con dos entregas parciales y la entrega final al cierre del curso.  Se lleva a cabo desde la sesión 6 hasta la 15 de la siguiente forma: Primer avance (estudio exegético): se entrega en la sesión 9 y tiene un valor de 5%. Segundo avance (estudio de la dimensión vital, teológica y pastoral): se entrega en la sesión 13 y tiene un valor de 5%. Versión final: se entrega en la sesión 15 y tiene un valor de 20%.</w:t>
      </w:r>
    </w:p>
    <w:p w14:paraId="37166D59"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726DCFE9"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79CE2304"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r w:rsidRPr="00D3167B">
        <w:rPr>
          <w:rFonts w:ascii="Calibri" w:eastAsia="Times New Roman" w:hAnsi="Calibri" w:cs="Times New Roman"/>
          <w:noProof/>
          <w:color w:val="000000"/>
          <w:kern w:val="0"/>
          <w:lang w:eastAsia="es-CR"/>
          <w14:ligatures w14:val="none"/>
        </w:rPr>
        <w:drawing>
          <wp:anchor distT="0" distB="0" distL="114300" distR="114300" simplePos="0" relativeHeight="252868608" behindDoc="0" locked="0" layoutInCell="1" allowOverlap="1" wp14:anchorId="36663741" wp14:editId="0A6284E5">
            <wp:simplePos x="0" y="0"/>
            <wp:positionH relativeFrom="margin">
              <wp:align>center</wp:align>
            </wp:positionH>
            <wp:positionV relativeFrom="paragraph">
              <wp:posOffset>80962</wp:posOffset>
            </wp:positionV>
            <wp:extent cx="7955280" cy="3755136"/>
            <wp:effectExtent l="0" t="0" r="7620" b="0"/>
            <wp:wrapNone/>
            <wp:docPr id="415065279" name="Imagen 5" descr="Interfaz de usuario gráfica, Aplicación,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65279" name="Imagen 5" descr="Interfaz de usuario gráfica, Aplicación, Tabla&#10;&#10;Descripción generada automáticamente"/>
                    <pic:cNvPicPr/>
                  </pic:nvPicPr>
                  <pic:blipFill>
                    <a:blip r:embed="rId525">
                      <a:extLst>
                        <a:ext uri="{28A0092B-C50C-407E-A947-70E740481C1C}">
                          <a14:useLocalDpi xmlns:a14="http://schemas.microsoft.com/office/drawing/2010/main" val="0"/>
                        </a:ext>
                      </a:extLst>
                    </a:blip>
                    <a:stretch>
                      <a:fillRect/>
                    </a:stretch>
                  </pic:blipFill>
                  <pic:spPr>
                    <a:xfrm>
                      <a:off x="0" y="0"/>
                      <a:ext cx="7955280" cy="3755136"/>
                    </a:xfrm>
                    <a:prstGeom prst="rect">
                      <a:avLst/>
                    </a:prstGeom>
                  </pic:spPr>
                </pic:pic>
              </a:graphicData>
            </a:graphic>
          </wp:anchor>
        </w:drawing>
      </w:r>
    </w:p>
    <w:p w14:paraId="74223694"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5F94BBC8"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67F4D6C6"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36E05215"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56B9B589"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2D7634AB"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2ACF4D2E"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6DD09501"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75F14983"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449E140F"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7F746BD2"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30595877"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6EA3ACC3"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1827A563"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440073D9"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60691E1A"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3BB4B638"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1EBF55F7"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2D51B37B"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325F4BDA"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p>
    <w:p w14:paraId="0CEDBFB1"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0000"/>
          <w:kern w:val="0"/>
          <w:lang w:eastAsia="es-CR"/>
          <w14:ligatures w14:val="none"/>
        </w:rPr>
      </w:pPr>
      <w:r w:rsidRPr="00D3167B">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869632" behindDoc="0" locked="0" layoutInCell="1" allowOverlap="1" wp14:anchorId="0090F53A" wp14:editId="541C4FBE">
                <wp:simplePos x="0" y="0"/>
                <wp:positionH relativeFrom="margin">
                  <wp:align>center</wp:align>
                </wp:positionH>
                <wp:positionV relativeFrom="paragraph">
                  <wp:posOffset>-262890</wp:posOffset>
                </wp:positionV>
                <wp:extent cx="6606540" cy="411480"/>
                <wp:effectExtent l="0" t="0" r="22860" b="26670"/>
                <wp:wrapNone/>
                <wp:docPr id="240052586" name="Cuadro de texto 240052586"/>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7733B60A" w14:textId="77777777" w:rsidR="00D3167B" w:rsidRPr="00D3167B" w:rsidRDefault="00D3167B" w:rsidP="00D3167B">
                            <w:pPr>
                              <w:jc w:val="center"/>
                              <w:rPr>
                                <w:rFonts w:cs="Calibri"/>
                              </w:rPr>
                            </w:pPr>
                            <w:r w:rsidRPr="00D3167B">
                              <w:rPr>
                                <w:rFonts w:cs="Calibri"/>
                                <w:b/>
                              </w:rPr>
                              <w:t>ESCALA DE EVALUACIÓN – VERSIÓN FINAL DEL ESTUDIO DE UN CAPÍTULO DEL LIBRO DE RUT</w:t>
                            </w:r>
                          </w:p>
                          <w:p w14:paraId="15DB8D47" w14:textId="77777777" w:rsidR="00D3167B" w:rsidRPr="00D3167B" w:rsidRDefault="00D3167B" w:rsidP="00D3167B">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0F53A" id="Cuadro de texto 240052586" o:spid="_x0000_s1250" type="#_x0000_t202" style="position:absolute;left:0;text-align:left;margin-left:0;margin-top:-20.7pt;width:520.2pt;height:32.4pt;z-index:2528696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" fillcolor="window" strokeweight=".5pt">
                <v:textbox>
                  <w:txbxContent>
                    <w:p w14:paraId="7733B60A" w14:textId="77777777" w:rsidR="00D3167B" w:rsidRPr="00D3167B" w:rsidRDefault="00D3167B" w:rsidP="00D3167B">
                      <w:pPr>
                        <w:jc w:val="center"/>
                        <w:rPr>
                          <w:rFonts w:cs="Calibri"/>
                        </w:rPr>
                      </w:pPr>
                      <w:r w:rsidRPr="00D3167B">
                        <w:rPr>
                          <w:rFonts w:cs="Calibri"/>
                          <w:b/>
                        </w:rPr>
                        <w:t>ESCALA DE EVALUACIÓN – VERSIÓN FINAL DEL ESTUDIO DE UN CAPÍTULO DEL LIBRO DE RUT</w:t>
                      </w:r>
                    </w:p>
                    <w:p w14:paraId="15DB8D47" w14:textId="77777777" w:rsidR="00D3167B" w:rsidRPr="00D3167B" w:rsidRDefault="00D3167B" w:rsidP="00D3167B">
                      <w:pPr>
                        <w:jc w:val="center"/>
                        <w:rPr>
                          <w:rFonts w:cs="Calibri"/>
                        </w:rPr>
                      </w:pPr>
                    </w:p>
                  </w:txbxContent>
                </v:textbox>
                <w10:wrap anchorx="margin"/>
              </v:shape>
            </w:pict>
          </mc:Fallback>
        </mc:AlternateContent>
      </w:r>
    </w:p>
    <w:p w14:paraId="17DFA672"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color w:val="0070C0"/>
          <w:kern w:val="0"/>
          <w:lang w:eastAsia="es-CR"/>
          <w14:ligatures w14:val="none"/>
        </w:rPr>
      </w:pPr>
    </w:p>
    <w:p w14:paraId="7A011F47"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b/>
          <w:bCs/>
          <w:color w:val="000000"/>
          <w:kern w:val="0"/>
          <w:lang w:eastAsia="es-CR"/>
          <w14:ligatures w14:val="none"/>
        </w:rPr>
      </w:pPr>
      <w:r w:rsidRPr="00D3167B">
        <w:rPr>
          <w:rFonts w:ascii="Calibri" w:eastAsia="Times New Roman" w:hAnsi="Calibri" w:cs="Times New Roman"/>
          <w:color w:val="0070C0"/>
          <w:kern w:val="0"/>
          <w:lang w:eastAsia="es-CR"/>
          <w14:ligatures w14:val="none"/>
        </w:rPr>
        <w:t>Con el fin de ejercitar las capacidades de análisis desarrolladas en el curso, cada estudiante realizará el estudio de un capítulo del libro de Rut (según su elección) con dos entregas parciales y la entrega final al cierre del curso.  Se lleva a cabo desde la sesión 6 hasta la 15 de la siguiente forma: Primer avance (estudio exegético): se entrega en la sesión 9 y tiene un valor de 5%. Segundo avance (estudio de la dimensión vital, teológica y pastoral): se entrega en la sesión 13 y tiene un valor de 5%. Versión final: se entrega en la sesión 15 y tiene un valor de 20%.</w:t>
      </w:r>
    </w:p>
    <w:p w14:paraId="1819EC05" w14:textId="77777777" w:rsidR="00D3167B" w:rsidRPr="00D3167B" w:rsidRDefault="00D3167B" w:rsidP="00D3167B">
      <w:pPr>
        <w:widowControl w:val="0"/>
        <w:overflowPunct w:val="0"/>
        <w:autoSpaceDE w:val="0"/>
        <w:autoSpaceDN w:val="0"/>
        <w:adjustRightInd w:val="0"/>
        <w:spacing w:before="120" w:after="0" w:line="240" w:lineRule="auto"/>
        <w:jc w:val="center"/>
        <w:rPr>
          <w:rFonts w:ascii="Calibri" w:eastAsia="Times New Roman" w:hAnsi="Calibri" w:cs="Times New Roman"/>
          <w:b/>
          <w:bCs/>
          <w:color w:val="000000"/>
          <w:kern w:val="0"/>
          <w:lang w:eastAsia="es-CR"/>
          <w14:ligatures w14:val="none"/>
        </w:rPr>
        <w:sectPr w:rsidR="00D3167B" w:rsidRPr="00D3167B" w:rsidSect="00D3167B">
          <w:pgSz w:w="15840" w:h="12240" w:orient="landscape"/>
          <w:pgMar w:top="720" w:right="720" w:bottom="720" w:left="720" w:header="709" w:footer="709" w:gutter="0"/>
          <w:pgNumType w:start="445"/>
          <w:cols w:space="708"/>
          <w:docGrid w:linePitch="360"/>
        </w:sectPr>
      </w:pPr>
      <w:r w:rsidRPr="00D3167B">
        <w:rPr>
          <w:rFonts w:ascii="Calibri" w:eastAsia="Times New Roman" w:hAnsi="Calibri" w:cs="Times New Roman"/>
          <w:b/>
          <w:bCs/>
          <w:noProof/>
          <w:color w:val="000000"/>
          <w:kern w:val="0"/>
          <w:lang w:eastAsia="es-CR"/>
          <w14:ligatures w14:val="none"/>
        </w:rPr>
        <w:drawing>
          <wp:anchor distT="0" distB="0" distL="114300" distR="114300" simplePos="0" relativeHeight="252870656" behindDoc="0" locked="0" layoutInCell="1" allowOverlap="1" wp14:anchorId="5D2C032A" wp14:editId="7C825113">
            <wp:simplePos x="0" y="0"/>
            <wp:positionH relativeFrom="margin">
              <wp:align>center</wp:align>
            </wp:positionH>
            <wp:positionV relativeFrom="paragraph">
              <wp:posOffset>295275</wp:posOffset>
            </wp:positionV>
            <wp:extent cx="8040624" cy="3797808"/>
            <wp:effectExtent l="0" t="0" r="0" b="0"/>
            <wp:wrapNone/>
            <wp:docPr id="1663974680" name="Imagen 6" descr="Tabl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974680" name="Imagen 6" descr="Tabla, Escala de tiempo&#10;&#10;Descripción generada automáticamente"/>
                    <pic:cNvPicPr/>
                  </pic:nvPicPr>
                  <pic:blipFill>
                    <a:blip r:embed="rId526">
                      <a:extLst>
                        <a:ext uri="{28A0092B-C50C-407E-A947-70E740481C1C}">
                          <a14:useLocalDpi xmlns:a14="http://schemas.microsoft.com/office/drawing/2010/main" val="0"/>
                        </a:ext>
                      </a:extLst>
                    </a:blip>
                    <a:stretch>
                      <a:fillRect/>
                    </a:stretch>
                  </pic:blipFill>
                  <pic:spPr>
                    <a:xfrm>
                      <a:off x="0" y="0"/>
                      <a:ext cx="8040624" cy="3797808"/>
                    </a:xfrm>
                    <a:prstGeom prst="rect">
                      <a:avLst/>
                    </a:prstGeom>
                  </pic:spPr>
                </pic:pic>
              </a:graphicData>
            </a:graphic>
          </wp:anchor>
        </w:drawing>
      </w:r>
    </w:p>
    <w:p w14:paraId="35802DCB"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Times New Roman"/>
          <w:b/>
          <w:bCs/>
          <w:color w:val="000000"/>
          <w:kern w:val="0"/>
          <w:lang w:eastAsia="es-CR"/>
          <w14:ligatures w14:val="none"/>
        </w:rPr>
      </w:pPr>
      <w:r w:rsidRPr="00D3167B">
        <w:rPr>
          <w:rFonts w:ascii="Calibri" w:eastAsia="Times New Roman" w:hAnsi="Calibri" w:cs="Times New Roman"/>
          <w:b/>
          <w:bCs/>
          <w:color w:val="000000"/>
          <w:kern w:val="0"/>
          <w:lang w:eastAsia="es-CR"/>
          <w14:ligatures w14:val="none"/>
        </w:rPr>
        <w:lastRenderedPageBreak/>
        <w:t>XI. Bibliografía obligatoria</w:t>
      </w:r>
    </w:p>
    <w:p w14:paraId="1169A482"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D3167B">
        <w:rPr>
          <w:rFonts w:ascii="Calibri" w:eastAsia="Times New Roman" w:hAnsi="Calibri" w:cs="Arial"/>
          <w:b/>
          <w:color w:val="000000"/>
          <w:kern w:val="0"/>
          <w:lang w:eastAsia="es-CR"/>
          <w14:ligatures w14:val="none"/>
        </w:rPr>
        <w:t>Nota:</w:t>
      </w:r>
      <w:r w:rsidRPr="00D3167B">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D3167B">
        <w:rPr>
          <w:rFonts w:ascii="Calibri" w:eastAsia="Times New Roman" w:hAnsi="Calibri" w:cs="Arial"/>
          <w:bCs/>
          <w:color w:val="000000"/>
          <w:kern w:val="0"/>
          <w:lang w:eastAsia="es-CR"/>
          <w14:ligatures w14:val="none"/>
        </w:rPr>
        <w:t>pdf</w:t>
      </w:r>
      <w:proofErr w:type="spellEnd"/>
      <w:r w:rsidRPr="00D3167B">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1CD8C7F3" w14:textId="77777777" w:rsidR="00D3167B" w:rsidRPr="00D3167B" w:rsidRDefault="00D3167B" w:rsidP="00D3167B">
      <w:pPr>
        <w:widowControl w:val="0"/>
        <w:overflowPunct w:val="0"/>
        <w:autoSpaceDE w:val="0"/>
        <w:autoSpaceDN w:val="0"/>
        <w:adjustRightInd w:val="0"/>
        <w:spacing w:before="240" w:after="0" w:line="240" w:lineRule="auto"/>
        <w:jc w:val="both"/>
        <w:rPr>
          <w:rFonts w:ascii="Calibri" w:eastAsia="Times New Roman" w:hAnsi="Calibri" w:cs="Calibri"/>
          <w:kern w:val="0"/>
          <w:szCs w:val="18"/>
          <w:shd w:val="clear" w:color="auto" w:fill="FFFFFF"/>
          <w:lang w:eastAsia="es-CR"/>
          <w14:ligatures w14:val="none"/>
        </w:rPr>
      </w:pPr>
      <w:r w:rsidRPr="00D3167B">
        <w:rPr>
          <w:rFonts w:ascii="Calibri" w:eastAsia="Times New Roman" w:hAnsi="Calibri" w:cs="Calibri"/>
          <w:i/>
          <w:iCs/>
          <w:kern w:val="0"/>
          <w:szCs w:val="18"/>
          <w:shd w:val="clear" w:color="auto" w:fill="FFFFFF"/>
          <w:lang w:val="es-ES_tradnl" w:eastAsia="es-CR"/>
          <w14:ligatures w14:val="none"/>
        </w:rPr>
        <w:t>Biblia de Jerusalén</w:t>
      </w:r>
      <w:r w:rsidRPr="00D3167B">
        <w:rPr>
          <w:rFonts w:ascii="Calibri" w:eastAsia="Times New Roman" w:hAnsi="Calibri" w:cs="Calibri"/>
          <w:kern w:val="0"/>
          <w:szCs w:val="18"/>
          <w:shd w:val="clear" w:color="auto" w:fill="FFFFFF"/>
          <w:lang w:val="es-ES_tradnl" w:eastAsia="es-CR"/>
          <w14:ligatures w14:val="none"/>
        </w:rPr>
        <w:t xml:space="preserve">. </w:t>
      </w:r>
      <w:r w:rsidRPr="00D3167B">
        <w:rPr>
          <w:rFonts w:ascii="Calibri" w:eastAsia="Times New Roman" w:hAnsi="Calibri" w:cs="Calibri"/>
          <w:kern w:val="0"/>
          <w:szCs w:val="18"/>
          <w:shd w:val="clear" w:color="auto" w:fill="FFFFFF"/>
          <w:lang w:eastAsia="es-CR"/>
          <w14:ligatures w14:val="none"/>
        </w:rPr>
        <w:t>Bilbao: Desclée de Brouwer, 1998.</w:t>
      </w:r>
    </w:p>
    <w:p w14:paraId="437B7C03" w14:textId="77777777" w:rsidR="00D3167B" w:rsidRPr="00D3167B" w:rsidRDefault="00D3167B" w:rsidP="00D3167B">
      <w:pPr>
        <w:widowControl w:val="0"/>
        <w:overflowPunct w:val="0"/>
        <w:autoSpaceDE w:val="0"/>
        <w:autoSpaceDN w:val="0"/>
        <w:adjustRightInd w:val="0"/>
        <w:spacing w:before="240" w:after="120" w:line="240" w:lineRule="auto"/>
        <w:ind w:left="720" w:hanging="720"/>
        <w:jc w:val="both"/>
        <w:rPr>
          <w:rFonts w:ascii="Calibri" w:eastAsia="Times New Roman" w:hAnsi="Calibri" w:cs="Calibri"/>
          <w:color w:val="000000"/>
          <w:kern w:val="0"/>
          <w:szCs w:val="18"/>
          <w:lang w:val="es-ES" w:eastAsia="es-CR"/>
          <w14:ligatures w14:val="none"/>
        </w:rPr>
      </w:pPr>
      <w:r w:rsidRPr="00D3167B">
        <w:rPr>
          <w:rFonts w:ascii="Calibri" w:eastAsia="Times New Roman" w:hAnsi="Calibri" w:cs="Calibri"/>
          <w:color w:val="000000"/>
          <w:kern w:val="0"/>
          <w:szCs w:val="18"/>
          <w:lang w:eastAsia="es-CR"/>
          <w14:ligatures w14:val="none"/>
        </w:rPr>
        <w:t xml:space="preserve">Cook </w:t>
      </w:r>
      <w:proofErr w:type="spellStart"/>
      <w:r w:rsidRPr="00D3167B">
        <w:rPr>
          <w:rFonts w:ascii="Calibri" w:eastAsia="Times New Roman" w:hAnsi="Calibri" w:cs="Calibri"/>
          <w:color w:val="000000"/>
          <w:kern w:val="0"/>
          <w:szCs w:val="18"/>
          <w:lang w:eastAsia="es-CR"/>
          <w14:ligatures w14:val="none"/>
        </w:rPr>
        <w:t>Steike</w:t>
      </w:r>
      <w:proofErr w:type="spellEnd"/>
      <w:r w:rsidRPr="00D3167B">
        <w:rPr>
          <w:rFonts w:ascii="Calibri" w:eastAsia="Times New Roman" w:hAnsi="Calibri" w:cs="Calibri"/>
          <w:color w:val="000000"/>
          <w:kern w:val="0"/>
          <w:szCs w:val="18"/>
          <w:lang w:eastAsia="es-CR"/>
          <w14:ligatures w14:val="none"/>
        </w:rPr>
        <w:t xml:space="preserve">, Elisabeth. </w:t>
      </w:r>
      <w:r w:rsidRPr="00D3167B">
        <w:rPr>
          <w:rFonts w:ascii="Calibri" w:eastAsia="Times New Roman" w:hAnsi="Calibri" w:cs="Calibri"/>
          <w:i/>
          <w:iCs/>
          <w:color w:val="000000"/>
          <w:kern w:val="0"/>
          <w:szCs w:val="18"/>
          <w:lang w:val="es-ES" w:eastAsia="es-CR"/>
          <w14:ligatures w14:val="none"/>
        </w:rPr>
        <w:t>La mujer como extranjera en Israel: un estudio exegético de Esdras 9-10</w:t>
      </w:r>
      <w:r w:rsidRPr="00D3167B">
        <w:rPr>
          <w:rFonts w:ascii="Calibri" w:eastAsia="Times New Roman" w:hAnsi="Calibri" w:cs="Calibri"/>
          <w:color w:val="000000"/>
          <w:kern w:val="0"/>
          <w:szCs w:val="18"/>
          <w:lang w:val="es-ES" w:eastAsia="es-CR"/>
          <w14:ligatures w14:val="none"/>
        </w:rPr>
        <w:t>. San José: SEBILA, 2011. (</w:t>
      </w:r>
      <w:r w:rsidRPr="00D3167B">
        <w:rPr>
          <w:rFonts w:ascii="Calibri" w:eastAsia="Times New Roman" w:hAnsi="Calibri" w:cs="Calibri"/>
          <w:color w:val="0070C0"/>
          <w:kern w:val="0"/>
          <w:szCs w:val="18"/>
          <w:lang w:val="es-ES" w:eastAsia="es-CR"/>
          <w14:ligatures w14:val="none"/>
        </w:rPr>
        <w:t xml:space="preserve">clásico, </w:t>
      </w:r>
      <w:r w:rsidRPr="00D3167B">
        <w:rPr>
          <w:rFonts w:ascii="Calibri" w:eastAsia="Times New Roman" w:hAnsi="Calibri" w:cs="Calibri"/>
          <w:color w:val="000000"/>
          <w:kern w:val="0"/>
          <w:szCs w:val="18"/>
          <w:lang w:val="es-ES" w:eastAsia="es-CR"/>
          <w14:ligatures w14:val="none"/>
        </w:rPr>
        <w:t>última edición)</w:t>
      </w:r>
    </w:p>
    <w:p w14:paraId="7351448C" w14:textId="77777777" w:rsidR="00D3167B" w:rsidRPr="00D3167B" w:rsidRDefault="00D3167B" w:rsidP="00D3167B">
      <w:pPr>
        <w:widowControl w:val="0"/>
        <w:overflowPunct w:val="0"/>
        <w:autoSpaceDE w:val="0"/>
        <w:autoSpaceDN w:val="0"/>
        <w:adjustRightInd w:val="0"/>
        <w:spacing w:before="120" w:after="120" w:line="240" w:lineRule="auto"/>
        <w:ind w:left="720" w:hanging="720"/>
        <w:jc w:val="both"/>
        <w:rPr>
          <w:rFonts w:ascii="Calibri" w:eastAsia="Times New Roman" w:hAnsi="Calibri" w:cs="Calibri"/>
          <w:kern w:val="0"/>
          <w:szCs w:val="18"/>
          <w:lang w:val="es-ES" w:eastAsia="es-CR"/>
          <w14:ligatures w14:val="none"/>
        </w:rPr>
      </w:pPr>
      <w:r w:rsidRPr="00D3167B">
        <w:rPr>
          <w:rFonts w:ascii="Calibri" w:eastAsia="Times New Roman" w:hAnsi="Calibri" w:cs="Calibri"/>
          <w:iCs/>
          <w:kern w:val="0"/>
          <w:szCs w:val="18"/>
          <w:lang w:val="es-ES_tradnl" w:eastAsia="es-CR"/>
          <w14:ligatures w14:val="none"/>
        </w:rPr>
        <w:t xml:space="preserve">Navarro Puerto, Mercedes. “El libro de Rut”. En </w:t>
      </w:r>
      <w:r w:rsidRPr="00D3167B">
        <w:rPr>
          <w:rFonts w:ascii="Calibri" w:eastAsia="Times New Roman" w:hAnsi="Calibri" w:cs="Calibri"/>
          <w:i/>
          <w:kern w:val="0"/>
          <w:szCs w:val="18"/>
          <w:lang w:val="es-ES_tradnl" w:eastAsia="es-CR"/>
          <w14:ligatures w14:val="none"/>
        </w:rPr>
        <w:t>Historia, narrativa, apocalíptica</w:t>
      </w:r>
      <w:r w:rsidRPr="00D3167B">
        <w:rPr>
          <w:rFonts w:ascii="Calibri" w:eastAsia="Times New Roman" w:hAnsi="Calibri" w:cs="Calibri"/>
          <w:iCs/>
          <w:kern w:val="0"/>
          <w:szCs w:val="18"/>
          <w:lang w:val="es-ES_tradnl" w:eastAsia="es-CR"/>
          <w14:ligatures w14:val="none"/>
        </w:rPr>
        <w:t xml:space="preserve">, editado por Antonio González Lamadrid, et al., 381-401. Estella (Navarra): Verbo Divino, 2003. </w:t>
      </w:r>
      <w:r w:rsidRPr="00D3167B">
        <w:rPr>
          <w:rFonts w:ascii="Calibri" w:eastAsia="Times New Roman" w:hAnsi="Calibri" w:cs="Calibri"/>
          <w:color w:val="000000"/>
          <w:kern w:val="0"/>
          <w:szCs w:val="18"/>
          <w:lang w:val="es-ES" w:eastAsia="es-CR"/>
          <w14:ligatures w14:val="none"/>
        </w:rPr>
        <w:t>(</w:t>
      </w:r>
      <w:r w:rsidRPr="00D3167B">
        <w:rPr>
          <w:rFonts w:ascii="Calibri" w:eastAsia="Times New Roman" w:hAnsi="Calibri" w:cs="Calibri"/>
          <w:color w:val="0070C0"/>
          <w:kern w:val="0"/>
          <w:szCs w:val="18"/>
          <w:lang w:val="es-ES" w:eastAsia="es-CR"/>
          <w14:ligatures w14:val="none"/>
        </w:rPr>
        <w:t xml:space="preserve">clásico, </w:t>
      </w:r>
      <w:r w:rsidRPr="00D3167B">
        <w:rPr>
          <w:rFonts w:ascii="Calibri" w:eastAsia="Times New Roman" w:hAnsi="Calibri" w:cs="Calibri"/>
          <w:color w:val="000000"/>
          <w:kern w:val="0"/>
          <w:szCs w:val="18"/>
          <w:lang w:val="es-ES" w:eastAsia="es-CR"/>
          <w14:ligatures w14:val="none"/>
        </w:rPr>
        <w:t>última edición)</w:t>
      </w:r>
    </w:p>
    <w:p w14:paraId="0FBF9750" w14:textId="77777777" w:rsidR="00D3167B" w:rsidRPr="00D3167B" w:rsidRDefault="00D3167B" w:rsidP="00D3167B">
      <w:pPr>
        <w:widowControl w:val="0"/>
        <w:overflowPunct w:val="0"/>
        <w:autoSpaceDE w:val="0"/>
        <w:autoSpaceDN w:val="0"/>
        <w:adjustRightInd w:val="0"/>
        <w:spacing w:before="240" w:after="0" w:line="240" w:lineRule="auto"/>
        <w:ind w:left="720" w:hanging="720"/>
        <w:jc w:val="both"/>
        <w:rPr>
          <w:rFonts w:ascii="Calibri" w:eastAsia="Times New Roman" w:hAnsi="Calibri" w:cs="Calibri"/>
          <w:iCs/>
          <w:kern w:val="0"/>
          <w:szCs w:val="18"/>
          <w:lang w:val="es-ES_tradnl" w:eastAsia="es-CR"/>
          <w14:ligatures w14:val="none"/>
        </w:rPr>
      </w:pPr>
      <w:r w:rsidRPr="00D3167B">
        <w:rPr>
          <w:rFonts w:ascii="Calibri" w:eastAsia="Times New Roman" w:hAnsi="Calibri" w:cs="Calibri"/>
          <w:iCs/>
          <w:color w:val="000000"/>
          <w:kern w:val="0"/>
          <w:szCs w:val="18"/>
          <w:lang w:val="es-ES_tradnl" w:eastAsia="es-CR"/>
          <w14:ligatures w14:val="none"/>
        </w:rPr>
        <w:t xml:space="preserve">Guevara Llaguno, Miren </w:t>
      </w:r>
      <w:proofErr w:type="spellStart"/>
      <w:r w:rsidRPr="00D3167B">
        <w:rPr>
          <w:rFonts w:ascii="Calibri" w:eastAsia="Times New Roman" w:hAnsi="Calibri" w:cs="Calibri"/>
          <w:iCs/>
          <w:color w:val="000000"/>
          <w:kern w:val="0"/>
          <w:szCs w:val="18"/>
          <w:lang w:val="es-ES_tradnl" w:eastAsia="es-CR"/>
          <w14:ligatures w14:val="none"/>
        </w:rPr>
        <w:t>Junkal</w:t>
      </w:r>
      <w:proofErr w:type="spellEnd"/>
      <w:r w:rsidRPr="00D3167B">
        <w:rPr>
          <w:rFonts w:ascii="Calibri" w:eastAsia="Times New Roman" w:hAnsi="Calibri" w:cs="Calibri"/>
          <w:iCs/>
          <w:color w:val="000000"/>
          <w:kern w:val="0"/>
          <w:szCs w:val="18"/>
          <w:lang w:val="es-ES_tradnl" w:eastAsia="es-CR"/>
          <w14:ligatures w14:val="none"/>
        </w:rPr>
        <w:t xml:space="preserve">. “Rut y Noemí reclaman su vida y su memoria”. En </w:t>
      </w:r>
      <w:r w:rsidRPr="00D3167B">
        <w:rPr>
          <w:rFonts w:ascii="Calibri" w:eastAsia="Times New Roman" w:hAnsi="Calibri" w:cs="Calibri"/>
          <w:i/>
          <w:color w:val="000000"/>
          <w:kern w:val="0"/>
          <w:szCs w:val="18"/>
          <w:lang w:val="es-ES_tradnl" w:eastAsia="es-CR"/>
          <w14:ligatures w14:val="none"/>
        </w:rPr>
        <w:t>Los escritos: y otros libros sapienciales</w:t>
      </w:r>
      <w:r w:rsidRPr="00D3167B">
        <w:rPr>
          <w:rFonts w:ascii="Calibri" w:eastAsia="Times New Roman" w:hAnsi="Calibri" w:cs="Calibri"/>
          <w:iCs/>
          <w:color w:val="000000"/>
          <w:kern w:val="0"/>
          <w:szCs w:val="18"/>
          <w:lang w:val="es-ES_tradnl" w:eastAsia="es-CR"/>
          <w14:ligatures w14:val="none"/>
        </w:rPr>
        <w:t xml:space="preserve">, editado por Nuria Calduch-Benages y </w:t>
      </w:r>
      <w:proofErr w:type="spellStart"/>
      <w:r w:rsidRPr="00D3167B">
        <w:rPr>
          <w:rFonts w:ascii="Calibri" w:eastAsia="Times New Roman" w:hAnsi="Calibri" w:cs="Calibri"/>
          <w:iCs/>
          <w:color w:val="000000"/>
          <w:kern w:val="0"/>
          <w:szCs w:val="18"/>
          <w:lang w:val="es-ES_tradnl" w:eastAsia="es-CR"/>
          <w14:ligatures w14:val="none"/>
        </w:rPr>
        <w:t>Christl</w:t>
      </w:r>
      <w:proofErr w:type="spellEnd"/>
      <w:r w:rsidRPr="00D3167B">
        <w:rPr>
          <w:rFonts w:ascii="Calibri" w:eastAsia="Times New Roman" w:hAnsi="Calibri" w:cs="Calibri"/>
          <w:iCs/>
          <w:color w:val="000000"/>
          <w:kern w:val="0"/>
          <w:szCs w:val="18"/>
          <w:lang w:val="es-ES_tradnl" w:eastAsia="es-CR"/>
          <w14:ligatures w14:val="none"/>
        </w:rPr>
        <w:t xml:space="preserve"> M. Maier, 247-263. Estella: Verbo </w:t>
      </w:r>
      <w:r w:rsidRPr="00D3167B">
        <w:rPr>
          <w:rFonts w:ascii="Calibri" w:eastAsia="Times New Roman" w:hAnsi="Calibri" w:cs="Calibri"/>
          <w:iCs/>
          <w:kern w:val="0"/>
          <w:szCs w:val="18"/>
          <w:lang w:val="es-ES_tradnl" w:eastAsia="es-CR"/>
          <w14:ligatures w14:val="none"/>
        </w:rPr>
        <w:t xml:space="preserve">Divino, 2013. </w:t>
      </w:r>
      <w:r w:rsidRPr="00D3167B">
        <w:rPr>
          <w:rFonts w:ascii="Calibri" w:eastAsia="Times New Roman" w:hAnsi="Calibri" w:cs="Calibri"/>
          <w:color w:val="000000"/>
          <w:kern w:val="0"/>
          <w:szCs w:val="18"/>
          <w:lang w:val="es-ES" w:eastAsia="es-CR"/>
          <w14:ligatures w14:val="none"/>
        </w:rPr>
        <w:t>(</w:t>
      </w:r>
      <w:r w:rsidRPr="00D3167B">
        <w:rPr>
          <w:rFonts w:ascii="Calibri" w:eastAsia="Times New Roman" w:hAnsi="Calibri" w:cs="Calibri"/>
          <w:color w:val="0070C0"/>
          <w:kern w:val="0"/>
          <w:szCs w:val="18"/>
          <w:lang w:val="es-ES" w:eastAsia="es-CR"/>
          <w14:ligatures w14:val="none"/>
        </w:rPr>
        <w:t>clásico, últi</w:t>
      </w:r>
      <w:r w:rsidRPr="00D3167B">
        <w:rPr>
          <w:rFonts w:ascii="Calibri" w:eastAsia="Times New Roman" w:hAnsi="Calibri" w:cs="Calibri"/>
          <w:color w:val="000000"/>
          <w:kern w:val="0"/>
          <w:szCs w:val="18"/>
          <w:lang w:val="es-ES" w:eastAsia="es-CR"/>
          <w14:ligatures w14:val="none"/>
        </w:rPr>
        <w:t>ma edición)</w:t>
      </w:r>
    </w:p>
    <w:p w14:paraId="441C93A1" w14:textId="77777777" w:rsidR="00D3167B" w:rsidRPr="00D3167B" w:rsidRDefault="00D3167B" w:rsidP="00D3167B">
      <w:pPr>
        <w:widowControl w:val="0"/>
        <w:overflowPunct w:val="0"/>
        <w:autoSpaceDE w:val="0"/>
        <w:autoSpaceDN w:val="0"/>
        <w:adjustRightInd w:val="0"/>
        <w:spacing w:before="240" w:after="0" w:line="240" w:lineRule="auto"/>
        <w:ind w:left="720" w:hanging="720"/>
        <w:jc w:val="both"/>
        <w:rPr>
          <w:rFonts w:ascii="Calibri" w:eastAsia="Times New Roman" w:hAnsi="Calibri" w:cs="Calibri"/>
          <w:iCs/>
          <w:color w:val="000000"/>
          <w:kern w:val="0"/>
          <w:szCs w:val="18"/>
          <w:lang w:val="es-ES_tradnl" w:eastAsia="es-CR"/>
          <w14:ligatures w14:val="none"/>
        </w:rPr>
      </w:pPr>
      <w:proofErr w:type="spellStart"/>
      <w:r w:rsidRPr="00D3167B">
        <w:rPr>
          <w:rFonts w:ascii="Calibri" w:eastAsia="Times New Roman" w:hAnsi="Calibri" w:cs="Calibri"/>
          <w:iCs/>
          <w:color w:val="000000"/>
          <w:kern w:val="0"/>
          <w:szCs w:val="18"/>
          <w:lang w:val="es-ES_tradnl" w:eastAsia="es-CR"/>
          <w14:ligatures w14:val="none"/>
        </w:rPr>
        <w:t>Honig</w:t>
      </w:r>
      <w:proofErr w:type="spellEnd"/>
      <w:r w:rsidRPr="00D3167B">
        <w:rPr>
          <w:rFonts w:ascii="Calibri" w:eastAsia="Times New Roman" w:hAnsi="Calibri" w:cs="Calibri"/>
          <w:iCs/>
          <w:color w:val="000000"/>
          <w:kern w:val="0"/>
          <w:szCs w:val="18"/>
          <w:lang w:val="es-ES_tradnl" w:eastAsia="es-CR"/>
          <w14:ligatures w14:val="none"/>
        </w:rPr>
        <w:t xml:space="preserve">, Bonnie. “Rut, migrante ejemplar. El duelo y las políticas simbólicas de la inmigración”. </w:t>
      </w:r>
      <w:r w:rsidRPr="00D3167B">
        <w:rPr>
          <w:rFonts w:ascii="Calibri" w:eastAsia="Times New Roman" w:hAnsi="Calibri" w:cs="Calibri"/>
          <w:i/>
          <w:color w:val="000000"/>
          <w:kern w:val="0"/>
          <w:szCs w:val="18"/>
          <w:lang w:val="es-ES_tradnl" w:eastAsia="es-CR"/>
          <w14:ligatures w14:val="none"/>
        </w:rPr>
        <w:t>Acta Poética</w:t>
      </w:r>
      <w:r w:rsidRPr="00D3167B">
        <w:rPr>
          <w:rFonts w:ascii="Calibri" w:eastAsia="Times New Roman" w:hAnsi="Calibri" w:cs="Calibri"/>
          <w:iCs/>
          <w:color w:val="000000"/>
          <w:kern w:val="0"/>
          <w:szCs w:val="18"/>
          <w:lang w:val="es-ES_tradnl" w:eastAsia="es-CR"/>
          <w14:ligatures w14:val="none"/>
        </w:rPr>
        <w:t xml:space="preserve"> </w:t>
      </w:r>
      <w:r w:rsidRPr="00D3167B">
        <w:rPr>
          <w:rFonts w:ascii="Calibri" w:eastAsia="Times New Roman" w:hAnsi="Calibri" w:cs="Calibri"/>
          <w:iCs/>
          <w:kern w:val="0"/>
          <w:szCs w:val="18"/>
          <w:lang w:val="es-ES_tradnl" w:eastAsia="es-CR"/>
          <w14:ligatures w14:val="none"/>
        </w:rPr>
        <w:t>1</w:t>
      </w:r>
      <w:r w:rsidRPr="00D3167B">
        <w:rPr>
          <w:rFonts w:ascii="Calibri" w:eastAsia="Times New Roman" w:hAnsi="Calibri" w:cs="Calibri"/>
          <w:iCs/>
          <w:color w:val="000000"/>
          <w:kern w:val="0"/>
          <w:szCs w:val="18"/>
          <w:lang w:val="es-ES_tradnl" w:eastAsia="es-CR"/>
          <w14:ligatures w14:val="none"/>
        </w:rPr>
        <w:t xml:space="preserve"> (2010): 61-99. Acceso el 1 de noviembre del 2022. </w:t>
      </w:r>
      <w:hyperlink r:id="rId527" w:history="1">
        <w:r w:rsidRPr="00D3167B">
          <w:rPr>
            <w:rFonts w:ascii="Calibri" w:eastAsia="Times New Roman" w:hAnsi="Calibri" w:cs="Calibri"/>
            <w:iCs/>
            <w:color w:val="0563C1"/>
            <w:kern w:val="0"/>
            <w:szCs w:val="18"/>
            <w:u w:val="single"/>
            <w:lang w:val="es-ES_tradnl" w:eastAsia="es-CR"/>
            <w14:ligatures w14:val="none"/>
          </w:rPr>
          <w:t>https://revistas-filologicas.unam.mx/acta-poetica/index.php/ap/article/view/339</w:t>
        </w:r>
      </w:hyperlink>
      <w:r w:rsidRPr="00D3167B">
        <w:rPr>
          <w:rFonts w:ascii="Calibri" w:eastAsia="Times New Roman" w:hAnsi="Calibri" w:cs="Calibri"/>
          <w:iCs/>
          <w:color w:val="000000"/>
          <w:kern w:val="0"/>
          <w:szCs w:val="18"/>
          <w:lang w:val="es-ES_tradnl" w:eastAsia="es-CR"/>
          <w14:ligatures w14:val="none"/>
        </w:rPr>
        <w:t xml:space="preserve"> </w:t>
      </w:r>
    </w:p>
    <w:p w14:paraId="175870D7" w14:textId="77777777" w:rsidR="00D3167B" w:rsidRPr="00D3167B" w:rsidRDefault="00D3167B" w:rsidP="00D3167B">
      <w:pPr>
        <w:widowControl w:val="0"/>
        <w:overflowPunct w:val="0"/>
        <w:autoSpaceDE w:val="0"/>
        <w:autoSpaceDN w:val="0"/>
        <w:adjustRightInd w:val="0"/>
        <w:spacing w:before="240" w:after="0" w:line="240" w:lineRule="auto"/>
        <w:ind w:left="720" w:hanging="720"/>
        <w:jc w:val="both"/>
        <w:rPr>
          <w:rFonts w:ascii="Calibri" w:eastAsia="Times New Roman" w:hAnsi="Calibri" w:cs="Calibri"/>
          <w:iCs/>
          <w:color w:val="000000"/>
          <w:kern w:val="0"/>
          <w:szCs w:val="18"/>
          <w:lang w:val="es-ES_tradnl" w:eastAsia="es-CR"/>
          <w14:ligatures w14:val="none"/>
        </w:rPr>
      </w:pPr>
      <w:proofErr w:type="spellStart"/>
      <w:r w:rsidRPr="00D3167B">
        <w:rPr>
          <w:rFonts w:ascii="Calibri" w:eastAsia="Times New Roman" w:hAnsi="Calibri" w:cs="Calibri"/>
          <w:iCs/>
          <w:kern w:val="0"/>
          <w:szCs w:val="18"/>
          <w:lang w:val="es-ES_tradnl" w:eastAsia="es-CR"/>
          <w14:ligatures w14:val="none"/>
        </w:rPr>
        <w:t>Lanoir</w:t>
      </w:r>
      <w:proofErr w:type="spellEnd"/>
      <w:r w:rsidRPr="00D3167B">
        <w:rPr>
          <w:rFonts w:ascii="Calibri" w:eastAsia="Times New Roman" w:hAnsi="Calibri" w:cs="Calibri"/>
          <w:iCs/>
          <w:kern w:val="0"/>
          <w:szCs w:val="18"/>
          <w:lang w:val="es-ES_tradnl" w:eastAsia="es-CR"/>
          <w14:ligatures w14:val="none"/>
        </w:rPr>
        <w:t xml:space="preserve">, Corinne. “Rut”.  En </w:t>
      </w:r>
      <w:r w:rsidRPr="00D3167B">
        <w:rPr>
          <w:rFonts w:ascii="Calibri" w:eastAsia="Times New Roman" w:hAnsi="Calibri" w:cs="Calibri"/>
          <w:i/>
          <w:kern w:val="0"/>
          <w:szCs w:val="18"/>
          <w:lang w:val="es-ES_tradnl" w:eastAsia="es-CR"/>
          <w14:ligatures w14:val="none"/>
        </w:rPr>
        <w:t>Introducción al Antiguo Testamento</w:t>
      </w:r>
      <w:r w:rsidRPr="00D3167B">
        <w:rPr>
          <w:rFonts w:ascii="Calibri" w:eastAsia="Times New Roman" w:hAnsi="Calibri" w:cs="Calibri"/>
          <w:iCs/>
          <w:kern w:val="0"/>
          <w:szCs w:val="18"/>
          <w:lang w:val="es-ES_tradnl" w:eastAsia="es-CR"/>
          <w14:ligatures w14:val="none"/>
        </w:rPr>
        <w:t xml:space="preserve">, editado por Thomas </w:t>
      </w:r>
      <w:proofErr w:type="spellStart"/>
      <w:r w:rsidRPr="00D3167B">
        <w:rPr>
          <w:rFonts w:ascii="Calibri" w:eastAsia="Times New Roman" w:hAnsi="Calibri" w:cs="Calibri"/>
          <w:iCs/>
          <w:kern w:val="0"/>
          <w:szCs w:val="18"/>
          <w:lang w:val="es-ES_tradnl" w:eastAsia="es-CR"/>
          <w14:ligatures w14:val="none"/>
        </w:rPr>
        <w:t>Römer</w:t>
      </w:r>
      <w:proofErr w:type="spellEnd"/>
      <w:r w:rsidRPr="00D3167B">
        <w:rPr>
          <w:rFonts w:ascii="Calibri" w:eastAsia="Times New Roman" w:hAnsi="Calibri" w:cs="Calibri"/>
          <w:iCs/>
          <w:kern w:val="0"/>
          <w:szCs w:val="18"/>
          <w:lang w:val="es-ES_tradnl" w:eastAsia="es-CR"/>
          <w14:ligatures w14:val="none"/>
        </w:rPr>
        <w:t xml:space="preserve">, Jean-Daniel Macchi y </w:t>
      </w:r>
      <w:proofErr w:type="spellStart"/>
      <w:r w:rsidRPr="00D3167B">
        <w:rPr>
          <w:rFonts w:ascii="Calibri" w:eastAsia="Times New Roman" w:hAnsi="Calibri" w:cs="Calibri"/>
          <w:iCs/>
          <w:kern w:val="0"/>
          <w:szCs w:val="18"/>
          <w:lang w:val="es-ES_tradnl" w:eastAsia="es-CR"/>
          <w14:ligatures w14:val="none"/>
        </w:rPr>
        <w:t>Christophe</w:t>
      </w:r>
      <w:proofErr w:type="spellEnd"/>
      <w:r w:rsidRPr="00D3167B">
        <w:rPr>
          <w:rFonts w:ascii="Calibri" w:eastAsia="Times New Roman" w:hAnsi="Calibri" w:cs="Calibri"/>
          <w:iCs/>
          <w:kern w:val="0"/>
          <w:szCs w:val="18"/>
          <w:lang w:val="es-ES_tradnl" w:eastAsia="es-CR"/>
          <w14:ligatures w14:val="none"/>
        </w:rPr>
        <w:t xml:space="preserve"> </w:t>
      </w:r>
      <w:proofErr w:type="spellStart"/>
      <w:r w:rsidRPr="00D3167B">
        <w:rPr>
          <w:rFonts w:ascii="Calibri" w:eastAsia="Times New Roman" w:hAnsi="Calibri" w:cs="Calibri"/>
          <w:iCs/>
          <w:kern w:val="0"/>
          <w:szCs w:val="18"/>
          <w:lang w:val="es-ES_tradnl" w:eastAsia="es-CR"/>
          <w14:ligatures w14:val="none"/>
        </w:rPr>
        <w:t>Nihan</w:t>
      </w:r>
      <w:proofErr w:type="spellEnd"/>
      <w:r w:rsidRPr="00D3167B">
        <w:rPr>
          <w:rFonts w:ascii="Calibri" w:eastAsia="Times New Roman" w:hAnsi="Calibri" w:cs="Calibri"/>
          <w:iCs/>
          <w:kern w:val="0"/>
          <w:szCs w:val="18"/>
          <w:lang w:val="es-ES_tradnl" w:eastAsia="es-CR"/>
          <w14:ligatures w14:val="none"/>
        </w:rPr>
        <w:t xml:space="preserve">, 523-528. Bilbao: Desclée de Brouwer, 2008. </w:t>
      </w:r>
      <w:r w:rsidRPr="00D3167B">
        <w:rPr>
          <w:rFonts w:ascii="Calibri" w:eastAsia="Times New Roman" w:hAnsi="Calibri" w:cs="Calibri"/>
          <w:color w:val="000000"/>
          <w:kern w:val="0"/>
          <w:szCs w:val="18"/>
          <w:lang w:val="es-ES" w:eastAsia="es-CR"/>
          <w14:ligatures w14:val="none"/>
        </w:rPr>
        <w:t>(</w:t>
      </w:r>
      <w:r w:rsidRPr="00D3167B">
        <w:rPr>
          <w:rFonts w:ascii="Calibri" w:eastAsia="Times New Roman" w:hAnsi="Calibri" w:cs="Calibri"/>
          <w:color w:val="0070C0"/>
          <w:kern w:val="0"/>
          <w:szCs w:val="18"/>
          <w:lang w:val="es-ES" w:eastAsia="es-CR"/>
          <w14:ligatures w14:val="none"/>
        </w:rPr>
        <w:t xml:space="preserve">clásico, </w:t>
      </w:r>
      <w:r w:rsidRPr="00D3167B">
        <w:rPr>
          <w:rFonts w:ascii="Calibri" w:eastAsia="Times New Roman" w:hAnsi="Calibri" w:cs="Calibri"/>
          <w:color w:val="000000"/>
          <w:kern w:val="0"/>
          <w:szCs w:val="18"/>
          <w:lang w:val="es-ES" w:eastAsia="es-CR"/>
          <w14:ligatures w14:val="none"/>
        </w:rPr>
        <w:t>última edición)</w:t>
      </w:r>
    </w:p>
    <w:p w14:paraId="36EDAA6B" w14:textId="77777777" w:rsidR="00D3167B" w:rsidRPr="00D3167B" w:rsidRDefault="00D3167B" w:rsidP="00D3167B">
      <w:pPr>
        <w:widowControl w:val="0"/>
        <w:overflowPunct w:val="0"/>
        <w:autoSpaceDE w:val="0"/>
        <w:autoSpaceDN w:val="0"/>
        <w:adjustRightInd w:val="0"/>
        <w:spacing w:before="240" w:after="0" w:line="240" w:lineRule="auto"/>
        <w:ind w:left="720" w:hanging="720"/>
        <w:jc w:val="both"/>
        <w:rPr>
          <w:rFonts w:ascii="Calibri" w:eastAsia="Times New Roman" w:hAnsi="Calibri" w:cs="Calibri"/>
          <w:iCs/>
          <w:color w:val="000000"/>
          <w:kern w:val="0"/>
          <w:szCs w:val="18"/>
          <w:lang w:val="es-ES_tradnl" w:eastAsia="es-CR"/>
          <w14:ligatures w14:val="none"/>
        </w:rPr>
      </w:pPr>
      <w:r w:rsidRPr="00D3167B">
        <w:rPr>
          <w:rFonts w:ascii="Calibri" w:eastAsia="Times New Roman" w:hAnsi="Calibri" w:cs="Calibri"/>
          <w:kern w:val="0"/>
          <w:szCs w:val="18"/>
          <w:lang w:val="es-ES" w:eastAsia="es-CR"/>
          <w14:ligatures w14:val="none"/>
        </w:rPr>
        <w:t xml:space="preserve">Ramírez Kidd, José Enrique. </w:t>
      </w:r>
      <w:r w:rsidRPr="00D3167B">
        <w:rPr>
          <w:rFonts w:ascii="Calibri" w:eastAsia="Times New Roman" w:hAnsi="Calibri" w:cs="Calibri"/>
          <w:i/>
          <w:kern w:val="0"/>
          <w:szCs w:val="18"/>
          <w:lang w:val="es-ES" w:eastAsia="es-CR"/>
          <w14:ligatures w14:val="none"/>
        </w:rPr>
        <w:t>El libro de Ruth: Ternura de Dios frente al dolor humano</w:t>
      </w:r>
      <w:r w:rsidRPr="00D3167B">
        <w:rPr>
          <w:rFonts w:ascii="Calibri" w:eastAsia="Times New Roman" w:hAnsi="Calibri" w:cs="Calibri"/>
          <w:kern w:val="0"/>
          <w:szCs w:val="18"/>
          <w:lang w:val="es-ES" w:eastAsia="es-CR"/>
          <w14:ligatures w14:val="none"/>
        </w:rPr>
        <w:t xml:space="preserve">. San José: Universidad Bíblica Latinoamericana, 2004. </w:t>
      </w:r>
      <w:r w:rsidRPr="00D3167B">
        <w:rPr>
          <w:rFonts w:ascii="Calibri" w:eastAsia="Times New Roman" w:hAnsi="Calibri" w:cs="Calibri"/>
          <w:color w:val="000000"/>
          <w:kern w:val="0"/>
          <w:szCs w:val="18"/>
          <w:lang w:val="es-ES" w:eastAsia="es-CR"/>
          <w14:ligatures w14:val="none"/>
        </w:rPr>
        <w:t>(</w:t>
      </w:r>
      <w:r w:rsidRPr="00D3167B">
        <w:rPr>
          <w:rFonts w:ascii="Calibri" w:eastAsia="Times New Roman" w:hAnsi="Calibri" w:cs="Calibri"/>
          <w:color w:val="0070C0"/>
          <w:kern w:val="0"/>
          <w:szCs w:val="18"/>
          <w:lang w:val="es-ES" w:eastAsia="es-CR"/>
          <w14:ligatures w14:val="none"/>
        </w:rPr>
        <w:t xml:space="preserve">clásico, </w:t>
      </w:r>
      <w:r w:rsidRPr="00D3167B">
        <w:rPr>
          <w:rFonts w:ascii="Calibri" w:eastAsia="Times New Roman" w:hAnsi="Calibri" w:cs="Calibri"/>
          <w:color w:val="000000"/>
          <w:kern w:val="0"/>
          <w:szCs w:val="18"/>
          <w:lang w:val="es-ES" w:eastAsia="es-CR"/>
          <w14:ligatures w14:val="none"/>
        </w:rPr>
        <w:t>última edición)</w:t>
      </w:r>
    </w:p>
    <w:p w14:paraId="56AF9B31" w14:textId="77777777" w:rsidR="00D3167B" w:rsidRPr="00D3167B" w:rsidRDefault="00D3167B" w:rsidP="00D3167B">
      <w:pPr>
        <w:widowControl w:val="0"/>
        <w:overflowPunct w:val="0"/>
        <w:autoSpaceDE w:val="0"/>
        <w:autoSpaceDN w:val="0"/>
        <w:adjustRightInd w:val="0"/>
        <w:spacing w:before="240" w:after="0" w:line="240" w:lineRule="auto"/>
        <w:ind w:left="720" w:hanging="720"/>
        <w:jc w:val="both"/>
        <w:rPr>
          <w:rFonts w:ascii="Calibri" w:eastAsia="Times New Roman" w:hAnsi="Calibri" w:cs="Calibri"/>
          <w:iCs/>
          <w:color w:val="000000"/>
          <w:kern w:val="0"/>
          <w:szCs w:val="18"/>
          <w:lang w:val="es-ES_tradnl" w:eastAsia="es-CR"/>
          <w14:ligatures w14:val="none"/>
        </w:rPr>
      </w:pPr>
      <w:r w:rsidRPr="00D3167B">
        <w:rPr>
          <w:rFonts w:ascii="Calibri" w:eastAsia="Times New Roman" w:hAnsi="Calibri" w:cs="Calibri"/>
          <w:iCs/>
          <w:kern w:val="0"/>
          <w:szCs w:val="18"/>
          <w:lang w:val="es-ES_tradnl" w:eastAsia="es-CR"/>
          <w14:ligatures w14:val="none"/>
        </w:rPr>
        <w:t xml:space="preserve">Sáenz </w:t>
      </w:r>
      <w:proofErr w:type="spellStart"/>
      <w:r w:rsidRPr="00D3167B">
        <w:rPr>
          <w:rFonts w:ascii="Calibri" w:eastAsia="Times New Roman" w:hAnsi="Calibri" w:cs="Calibri"/>
          <w:iCs/>
          <w:kern w:val="0"/>
          <w:szCs w:val="18"/>
          <w:lang w:val="es-ES_tradnl" w:eastAsia="es-CR"/>
          <w14:ligatures w14:val="none"/>
        </w:rPr>
        <w:t>Badillos</w:t>
      </w:r>
      <w:proofErr w:type="spellEnd"/>
      <w:r w:rsidRPr="00D3167B">
        <w:rPr>
          <w:rFonts w:ascii="Calibri" w:eastAsia="Times New Roman" w:hAnsi="Calibri" w:cs="Calibri"/>
          <w:iCs/>
          <w:kern w:val="0"/>
          <w:szCs w:val="18"/>
          <w:lang w:val="es-ES_tradnl" w:eastAsia="es-CR"/>
          <w14:ligatures w14:val="none"/>
        </w:rPr>
        <w:t xml:space="preserve">, Ángel y Judit </w:t>
      </w:r>
      <w:proofErr w:type="spellStart"/>
      <w:r w:rsidRPr="00D3167B">
        <w:rPr>
          <w:rFonts w:ascii="Calibri" w:eastAsia="Times New Roman" w:hAnsi="Calibri" w:cs="Calibri"/>
          <w:iCs/>
          <w:kern w:val="0"/>
          <w:szCs w:val="18"/>
          <w:lang w:val="es-ES_tradnl" w:eastAsia="es-CR"/>
          <w14:ligatures w14:val="none"/>
        </w:rPr>
        <w:t>Targarona</w:t>
      </w:r>
      <w:proofErr w:type="spellEnd"/>
      <w:r w:rsidRPr="00D3167B">
        <w:rPr>
          <w:rFonts w:ascii="Calibri" w:eastAsia="Times New Roman" w:hAnsi="Calibri" w:cs="Calibri"/>
          <w:iCs/>
          <w:kern w:val="0"/>
          <w:szCs w:val="18"/>
          <w:lang w:val="es-ES_tradnl" w:eastAsia="es-CR"/>
          <w14:ligatures w14:val="none"/>
        </w:rPr>
        <w:t xml:space="preserve">. </w:t>
      </w:r>
      <w:r w:rsidRPr="00D3167B">
        <w:rPr>
          <w:rFonts w:ascii="Calibri" w:eastAsia="Times New Roman" w:hAnsi="Calibri" w:cs="Calibri"/>
          <w:i/>
          <w:kern w:val="0"/>
          <w:szCs w:val="18"/>
          <w:lang w:val="es-ES_tradnl" w:eastAsia="es-CR"/>
          <w14:ligatures w14:val="none"/>
        </w:rPr>
        <w:t>Antiguo Testamento Interlineal. Hebreo-Español. Libros Históricos (I)</w:t>
      </w:r>
      <w:r w:rsidRPr="00D3167B">
        <w:rPr>
          <w:rFonts w:ascii="Calibri" w:eastAsia="Times New Roman" w:hAnsi="Calibri" w:cs="Calibri"/>
          <w:iCs/>
          <w:kern w:val="0"/>
          <w:szCs w:val="18"/>
          <w:lang w:val="es-ES_tradnl" w:eastAsia="es-CR"/>
          <w14:ligatures w14:val="none"/>
        </w:rPr>
        <w:t xml:space="preserve">. Barcelona: CLIE, 1992. </w:t>
      </w:r>
      <w:r w:rsidRPr="00D3167B">
        <w:rPr>
          <w:rFonts w:ascii="Calibri" w:eastAsia="Times New Roman" w:hAnsi="Calibri" w:cs="Calibri"/>
          <w:color w:val="000000"/>
          <w:kern w:val="0"/>
          <w:szCs w:val="18"/>
          <w:lang w:val="es-ES" w:eastAsia="es-CR"/>
          <w14:ligatures w14:val="none"/>
        </w:rPr>
        <w:t>(</w:t>
      </w:r>
      <w:r w:rsidRPr="00D3167B">
        <w:rPr>
          <w:rFonts w:ascii="Calibri" w:eastAsia="Times New Roman" w:hAnsi="Calibri" w:cs="Calibri"/>
          <w:color w:val="0070C0"/>
          <w:kern w:val="0"/>
          <w:szCs w:val="18"/>
          <w:lang w:val="es-ES" w:eastAsia="es-CR"/>
          <w14:ligatures w14:val="none"/>
        </w:rPr>
        <w:t xml:space="preserve">clásico, </w:t>
      </w:r>
      <w:r w:rsidRPr="00D3167B">
        <w:rPr>
          <w:rFonts w:ascii="Calibri" w:eastAsia="Times New Roman" w:hAnsi="Calibri" w:cs="Calibri"/>
          <w:color w:val="000000"/>
          <w:kern w:val="0"/>
          <w:szCs w:val="18"/>
          <w:lang w:val="es-ES" w:eastAsia="es-CR"/>
          <w14:ligatures w14:val="none"/>
        </w:rPr>
        <w:t>última edición)</w:t>
      </w:r>
      <w:r w:rsidRPr="00D3167B">
        <w:rPr>
          <w:rFonts w:ascii="Calibri" w:eastAsia="Times New Roman" w:hAnsi="Calibri" w:cs="Calibri"/>
          <w:iCs/>
          <w:kern w:val="0"/>
          <w:szCs w:val="18"/>
          <w:lang w:val="es-ES_tradnl" w:eastAsia="es-CR"/>
          <w14:ligatures w14:val="none"/>
        </w:rPr>
        <w:t xml:space="preserve"> </w:t>
      </w:r>
    </w:p>
    <w:p w14:paraId="29E19C37" w14:textId="77777777" w:rsidR="00D3167B" w:rsidRPr="00D3167B" w:rsidRDefault="00D3167B" w:rsidP="00D3167B">
      <w:pPr>
        <w:widowControl w:val="0"/>
        <w:overflowPunct w:val="0"/>
        <w:autoSpaceDE w:val="0"/>
        <w:autoSpaceDN w:val="0"/>
        <w:adjustRightInd w:val="0"/>
        <w:spacing w:before="240" w:after="0" w:line="240" w:lineRule="auto"/>
        <w:ind w:left="720" w:hanging="720"/>
        <w:jc w:val="both"/>
        <w:rPr>
          <w:rFonts w:ascii="Calibri" w:eastAsia="Times New Roman" w:hAnsi="Calibri" w:cs="Calibri"/>
          <w:iCs/>
          <w:color w:val="000000"/>
          <w:kern w:val="0"/>
          <w:szCs w:val="18"/>
          <w:lang w:val="es-ES_tradnl" w:eastAsia="es-CR"/>
          <w14:ligatures w14:val="none"/>
        </w:rPr>
      </w:pPr>
      <w:proofErr w:type="spellStart"/>
      <w:r w:rsidRPr="00D3167B">
        <w:rPr>
          <w:rFonts w:ascii="Calibri" w:eastAsia="Times New Roman" w:hAnsi="Calibri" w:cs="Calibri"/>
          <w:kern w:val="0"/>
          <w:shd w:val="clear" w:color="auto" w:fill="FFFFFF"/>
          <w:lang w:val="es-ES_tradnl" w:eastAsia="es-CR"/>
          <w14:ligatures w14:val="none"/>
        </w:rPr>
        <w:t>Schökel</w:t>
      </w:r>
      <w:proofErr w:type="spellEnd"/>
      <w:r w:rsidRPr="00D3167B">
        <w:rPr>
          <w:rFonts w:ascii="Calibri" w:eastAsia="Times New Roman" w:hAnsi="Calibri" w:cs="Calibri"/>
          <w:kern w:val="0"/>
          <w:shd w:val="clear" w:color="auto" w:fill="FFFFFF"/>
          <w:lang w:val="es-ES_tradnl" w:eastAsia="es-CR"/>
          <w14:ligatures w14:val="none"/>
        </w:rPr>
        <w:t>, Luis Alonso</w:t>
      </w:r>
      <w:r w:rsidRPr="00D3167B">
        <w:rPr>
          <w:rFonts w:ascii="Calibri" w:eastAsia="Times New Roman" w:hAnsi="Calibri" w:cs="Calibri"/>
          <w:i/>
          <w:iCs/>
          <w:kern w:val="0"/>
          <w:shd w:val="clear" w:color="auto" w:fill="FFFFFF"/>
          <w:lang w:val="es-ES_tradnl" w:eastAsia="es-CR"/>
          <w14:ligatures w14:val="none"/>
        </w:rPr>
        <w:t>. Biblia del Peregrino</w:t>
      </w:r>
      <w:r w:rsidRPr="00D3167B">
        <w:rPr>
          <w:rFonts w:ascii="Calibri" w:eastAsia="Times New Roman" w:hAnsi="Calibri" w:cs="Calibri"/>
          <w:kern w:val="0"/>
          <w:shd w:val="clear" w:color="auto" w:fill="FFFFFF"/>
          <w:lang w:val="es-ES_tradnl" w:eastAsia="es-CR"/>
          <w14:ligatures w14:val="none"/>
        </w:rPr>
        <w:t xml:space="preserve">. Bilbao: Ega-Mensajero-Verbo Divino, 1998. </w:t>
      </w:r>
      <w:r w:rsidRPr="00D3167B">
        <w:rPr>
          <w:rFonts w:ascii="Calibri" w:eastAsia="Times New Roman" w:hAnsi="Calibri" w:cs="Calibri"/>
          <w:color w:val="000000"/>
          <w:kern w:val="0"/>
          <w:szCs w:val="18"/>
          <w:lang w:val="es-ES" w:eastAsia="es-CR"/>
          <w14:ligatures w14:val="none"/>
        </w:rPr>
        <w:t>(</w:t>
      </w:r>
      <w:r w:rsidRPr="00D3167B">
        <w:rPr>
          <w:rFonts w:ascii="Calibri" w:eastAsia="Times New Roman" w:hAnsi="Calibri" w:cs="Calibri"/>
          <w:color w:val="0070C0"/>
          <w:kern w:val="0"/>
          <w:szCs w:val="18"/>
          <w:lang w:val="es-ES" w:eastAsia="es-CR"/>
          <w14:ligatures w14:val="none"/>
        </w:rPr>
        <w:t xml:space="preserve">clásico, </w:t>
      </w:r>
      <w:r w:rsidRPr="00D3167B">
        <w:rPr>
          <w:rFonts w:ascii="Calibri" w:eastAsia="Times New Roman" w:hAnsi="Calibri" w:cs="Calibri"/>
          <w:color w:val="000000"/>
          <w:kern w:val="0"/>
          <w:szCs w:val="18"/>
          <w:lang w:val="es-ES" w:eastAsia="es-CR"/>
          <w14:ligatures w14:val="none"/>
        </w:rPr>
        <w:t>última edición)</w:t>
      </w:r>
      <w:r w:rsidRPr="00D3167B">
        <w:rPr>
          <w:rFonts w:ascii="Calibri" w:eastAsia="Times New Roman" w:hAnsi="Calibri" w:cs="Calibri"/>
          <w:kern w:val="0"/>
          <w:shd w:val="clear" w:color="auto" w:fill="FFFFFF"/>
          <w:lang w:val="es-ES_tradnl" w:eastAsia="es-CR"/>
          <w14:ligatures w14:val="none"/>
        </w:rPr>
        <w:t xml:space="preserve"> </w:t>
      </w:r>
    </w:p>
    <w:p w14:paraId="4F32B5A8" w14:textId="77777777" w:rsidR="00D3167B" w:rsidRPr="00D3167B" w:rsidRDefault="00D3167B" w:rsidP="00D3167B">
      <w:pPr>
        <w:widowControl w:val="0"/>
        <w:overflowPunct w:val="0"/>
        <w:autoSpaceDE w:val="0"/>
        <w:autoSpaceDN w:val="0"/>
        <w:adjustRightInd w:val="0"/>
        <w:spacing w:before="240" w:after="0" w:line="240" w:lineRule="auto"/>
        <w:ind w:left="720" w:hanging="720"/>
        <w:jc w:val="both"/>
        <w:rPr>
          <w:rFonts w:ascii="Calibri" w:eastAsia="Times New Roman" w:hAnsi="Calibri" w:cs="Calibri"/>
          <w:iCs/>
          <w:color w:val="000000"/>
          <w:kern w:val="0"/>
          <w:szCs w:val="18"/>
          <w:lang w:val="es-ES_tradnl" w:eastAsia="es-CR"/>
          <w14:ligatures w14:val="none"/>
        </w:rPr>
      </w:pPr>
      <w:r w:rsidRPr="00D3167B">
        <w:rPr>
          <w:rFonts w:ascii="Calibri" w:eastAsia="Times New Roman" w:hAnsi="Calibri" w:cs="Calibri"/>
          <w:iCs/>
          <w:kern w:val="0"/>
          <w:szCs w:val="18"/>
          <w:lang w:val="es-ES_tradnl" w:eastAsia="es-CR"/>
          <w14:ligatures w14:val="none"/>
        </w:rPr>
        <w:t xml:space="preserve">Seijas de los Ríos-Zarzosa, Guadalupe. “El libro de Rut según la interpretación rabínica”. </w:t>
      </w:r>
      <w:r w:rsidRPr="00D3167B">
        <w:rPr>
          <w:rFonts w:ascii="Calibri" w:eastAsia="Times New Roman" w:hAnsi="Calibri" w:cs="Calibri"/>
          <w:i/>
          <w:kern w:val="0"/>
          <w:szCs w:val="18"/>
          <w:lang w:val="es-ES_tradnl" w:eastAsia="es-CR"/>
          <w14:ligatures w14:val="none"/>
        </w:rPr>
        <w:t>Reseña Bíblica Libro de Rut</w:t>
      </w:r>
      <w:r w:rsidRPr="00D3167B">
        <w:rPr>
          <w:rFonts w:ascii="Calibri" w:eastAsia="Times New Roman" w:hAnsi="Calibri" w:cs="Calibri"/>
          <w:iCs/>
          <w:kern w:val="0"/>
          <w:szCs w:val="18"/>
          <w:lang w:val="es-ES_tradnl" w:eastAsia="es-CR"/>
          <w14:ligatures w14:val="none"/>
        </w:rPr>
        <w:t xml:space="preserve"> 71 (2011): 31-40. </w:t>
      </w:r>
    </w:p>
    <w:p w14:paraId="676FD967" w14:textId="77777777" w:rsidR="00D3167B" w:rsidRPr="00D3167B" w:rsidRDefault="00D3167B" w:rsidP="00D3167B">
      <w:pPr>
        <w:widowControl w:val="0"/>
        <w:overflowPunct w:val="0"/>
        <w:autoSpaceDE w:val="0"/>
        <w:autoSpaceDN w:val="0"/>
        <w:adjustRightInd w:val="0"/>
        <w:spacing w:before="240" w:after="0" w:line="240" w:lineRule="auto"/>
        <w:ind w:left="720" w:hanging="720"/>
        <w:jc w:val="both"/>
        <w:rPr>
          <w:rFonts w:ascii="Calibri" w:eastAsia="Times New Roman" w:hAnsi="Calibri" w:cs="Calibri"/>
          <w:iCs/>
          <w:color w:val="000000"/>
          <w:kern w:val="0"/>
          <w:szCs w:val="18"/>
          <w:lang w:val="es-ES_tradnl" w:eastAsia="es-CR"/>
          <w14:ligatures w14:val="none"/>
        </w:rPr>
      </w:pPr>
      <w:proofErr w:type="spellStart"/>
      <w:r w:rsidRPr="00D3167B">
        <w:rPr>
          <w:rFonts w:ascii="Calibri" w:eastAsia="Times New Roman" w:hAnsi="Calibri" w:cs="Calibri"/>
          <w:iCs/>
          <w:color w:val="000000"/>
          <w:kern w:val="0"/>
          <w:szCs w:val="18"/>
          <w:lang w:val="es-ES_tradnl" w:eastAsia="es-CR"/>
          <w14:ligatures w14:val="none"/>
        </w:rPr>
        <w:t>Wacker</w:t>
      </w:r>
      <w:proofErr w:type="spellEnd"/>
      <w:r w:rsidRPr="00D3167B">
        <w:rPr>
          <w:rFonts w:ascii="Calibri" w:eastAsia="Times New Roman" w:hAnsi="Calibri" w:cs="Calibri"/>
          <w:iCs/>
          <w:color w:val="000000"/>
          <w:kern w:val="0"/>
          <w:szCs w:val="18"/>
          <w:lang w:val="es-ES_tradnl" w:eastAsia="es-CR"/>
          <w14:ligatures w14:val="none"/>
        </w:rPr>
        <w:t>, Marie-</w:t>
      </w:r>
      <w:proofErr w:type="spellStart"/>
      <w:r w:rsidRPr="00D3167B">
        <w:rPr>
          <w:rFonts w:ascii="Calibri" w:eastAsia="Times New Roman" w:hAnsi="Calibri" w:cs="Calibri"/>
          <w:iCs/>
          <w:color w:val="000000"/>
          <w:kern w:val="0"/>
          <w:szCs w:val="18"/>
          <w:lang w:val="es-ES_tradnl" w:eastAsia="es-CR"/>
          <w14:ligatures w14:val="none"/>
        </w:rPr>
        <w:t>Theres</w:t>
      </w:r>
      <w:proofErr w:type="spellEnd"/>
      <w:r w:rsidRPr="00D3167B">
        <w:rPr>
          <w:rFonts w:ascii="Calibri" w:eastAsia="Times New Roman" w:hAnsi="Calibri" w:cs="Calibri"/>
          <w:iCs/>
          <w:color w:val="000000"/>
          <w:kern w:val="0"/>
          <w:szCs w:val="18"/>
          <w:lang w:val="es-ES_tradnl" w:eastAsia="es-CR"/>
          <w14:ligatures w14:val="none"/>
        </w:rPr>
        <w:t xml:space="preserve">. “Torá para mujeres, relaciones desconcertantes y una deidad alada. Investigación de género en el Antiguo Testamento, tomando como ejemplo el libro de Rut”. </w:t>
      </w:r>
      <w:proofErr w:type="spellStart"/>
      <w:r w:rsidRPr="00D3167B">
        <w:rPr>
          <w:rFonts w:ascii="Calibri" w:eastAsia="Times New Roman" w:hAnsi="Calibri" w:cs="Calibri"/>
          <w:i/>
          <w:color w:val="000000"/>
          <w:kern w:val="0"/>
          <w:szCs w:val="18"/>
          <w:lang w:val="es-ES_tradnl" w:eastAsia="es-CR"/>
          <w14:ligatures w14:val="none"/>
        </w:rPr>
        <w:t>Concilum</w:t>
      </w:r>
      <w:proofErr w:type="spellEnd"/>
      <w:r w:rsidRPr="00D3167B">
        <w:rPr>
          <w:rFonts w:ascii="Calibri" w:eastAsia="Times New Roman" w:hAnsi="Calibri" w:cs="Calibri"/>
          <w:i/>
          <w:color w:val="000000"/>
          <w:kern w:val="0"/>
          <w:szCs w:val="18"/>
          <w:lang w:val="es-ES_tradnl" w:eastAsia="es-CR"/>
          <w14:ligatures w14:val="none"/>
        </w:rPr>
        <w:t>: Revista Internacional de Teología</w:t>
      </w:r>
      <w:r w:rsidRPr="00D3167B">
        <w:rPr>
          <w:rFonts w:ascii="Calibri" w:eastAsia="Times New Roman" w:hAnsi="Calibri" w:cs="Calibri"/>
          <w:iCs/>
          <w:color w:val="000000"/>
          <w:kern w:val="0"/>
          <w:szCs w:val="18"/>
          <w:lang w:val="es-ES_tradnl" w:eastAsia="es-CR"/>
          <w14:ligatures w14:val="none"/>
        </w:rPr>
        <w:t xml:space="preserve"> 347 (2012):  79-89.</w:t>
      </w:r>
    </w:p>
    <w:p w14:paraId="48F4296C" w14:textId="77777777" w:rsidR="00D3167B" w:rsidRPr="00D3167B" w:rsidRDefault="00D3167B" w:rsidP="00D3167B">
      <w:pPr>
        <w:widowControl w:val="0"/>
        <w:overflowPunct w:val="0"/>
        <w:autoSpaceDE w:val="0"/>
        <w:autoSpaceDN w:val="0"/>
        <w:adjustRightInd w:val="0"/>
        <w:spacing w:before="240" w:after="0" w:line="240" w:lineRule="auto"/>
        <w:ind w:left="720" w:hanging="720"/>
        <w:jc w:val="both"/>
        <w:rPr>
          <w:rFonts w:ascii="Calibri" w:eastAsia="Times New Roman" w:hAnsi="Calibri" w:cs="Calibri"/>
          <w:color w:val="000000"/>
          <w:kern w:val="0"/>
          <w:szCs w:val="18"/>
          <w:lang w:val="es-ES" w:eastAsia="es-CR"/>
          <w14:ligatures w14:val="none"/>
        </w:rPr>
      </w:pPr>
      <w:proofErr w:type="spellStart"/>
      <w:r w:rsidRPr="00D3167B">
        <w:rPr>
          <w:rFonts w:ascii="Calibri" w:eastAsia="Times New Roman" w:hAnsi="Calibri" w:cs="Calibri"/>
          <w:iCs/>
          <w:kern w:val="0"/>
          <w:szCs w:val="18"/>
          <w:lang w:val="es-ES_tradnl" w:eastAsia="es-CR"/>
          <w14:ligatures w14:val="none"/>
        </w:rPr>
        <w:t>Wénin</w:t>
      </w:r>
      <w:proofErr w:type="spellEnd"/>
      <w:r w:rsidRPr="00D3167B">
        <w:rPr>
          <w:rFonts w:ascii="Calibri" w:eastAsia="Times New Roman" w:hAnsi="Calibri" w:cs="Calibri"/>
          <w:iCs/>
          <w:kern w:val="0"/>
          <w:szCs w:val="18"/>
          <w:lang w:val="es-ES_tradnl" w:eastAsia="es-CR"/>
          <w14:ligatures w14:val="none"/>
        </w:rPr>
        <w:t xml:space="preserve">, André. </w:t>
      </w:r>
      <w:r w:rsidRPr="00D3167B">
        <w:rPr>
          <w:rFonts w:ascii="Calibri" w:eastAsia="Times New Roman" w:hAnsi="Calibri" w:cs="Calibri"/>
          <w:i/>
          <w:kern w:val="0"/>
          <w:szCs w:val="18"/>
          <w:lang w:val="es-ES_tradnl" w:eastAsia="es-CR"/>
          <w14:ligatures w14:val="none"/>
        </w:rPr>
        <w:t>El libro de Ruth: aproximación narrativa</w:t>
      </w:r>
      <w:r w:rsidRPr="00D3167B">
        <w:rPr>
          <w:rFonts w:ascii="Calibri" w:eastAsia="Times New Roman" w:hAnsi="Calibri" w:cs="Calibri"/>
          <w:iCs/>
          <w:kern w:val="0"/>
          <w:szCs w:val="18"/>
          <w:lang w:val="es-ES_tradnl" w:eastAsia="es-CR"/>
          <w14:ligatures w14:val="none"/>
        </w:rPr>
        <w:t xml:space="preserve">. Estela (Navarra): Verbo Divino, 2000. </w:t>
      </w:r>
      <w:r w:rsidRPr="00D3167B">
        <w:rPr>
          <w:rFonts w:ascii="Calibri" w:eastAsia="Times New Roman" w:hAnsi="Calibri" w:cs="Calibri"/>
          <w:color w:val="000000"/>
          <w:kern w:val="0"/>
          <w:szCs w:val="18"/>
          <w:lang w:val="es-ES" w:eastAsia="es-CR"/>
          <w14:ligatures w14:val="none"/>
        </w:rPr>
        <w:t>(</w:t>
      </w:r>
      <w:r w:rsidRPr="00D3167B">
        <w:rPr>
          <w:rFonts w:ascii="Calibri" w:eastAsia="Times New Roman" w:hAnsi="Calibri" w:cs="Calibri"/>
          <w:color w:val="0070C0"/>
          <w:kern w:val="0"/>
          <w:szCs w:val="18"/>
          <w:lang w:val="es-ES" w:eastAsia="es-CR"/>
          <w14:ligatures w14:val="none"/>
        </w:rPr>
        <w:t xml:space="preserve">clásico, </w:t>
      </w:r>
      <w:r w:rsidRPr="00D3167B">
        <w:rPr>
          <w:rFonts w:ascii="Calibri" w:eastAsia="Times New Roman" w:hAnsi="Calibri" w:cs="Calibri"/>
          <w:color w:val="000000"/>
          <w:kern w:val="0"/>
          <w:szCs w:val="18"/>
          <w:lang w:val="es-ES" w:eastAsia="es-CR"/>
          <w14:ligatures w14:val="none"/>
        </w:rPr>
        <w:t>última edición)</w:t>
      </w:r>
    </w:p>
    <w:p w14:paraId="59E5E861" w14:textId="77777777" w:rsidR="00D3167B" w:rsidRPr="00D3167B" w:rsidRDefault="00D3167B" w:rsidP="00D3167B">
      <w:pPr>
        <w:widowControl w:val="0"/>
        <w:overflowPunct w:val="0"/>
        <w:autoSpaceDE w:val="0"/>
        <w:autoSpaceDN w:val="0"/>
        <w:adjustRightInd w:val="0"/>
        <w:spacing w:before="240" w:after="0" w:line="240" w:lineRule="auto"/>
        <w:ind w:left="720" w:hanging="720"/>
        <w:jc w:val="both"/>
        <w:rPr>
          <w:rFonts w:ascii="Calibri" w:eastAsia="Times New Roman" w:hAnsi="Calibri" w:cs="Calibri"/>
          <w:iCs/>
          <w:color w:val="000000"/>
          <w:kern w:val="0"/>
          <w:szCs w:val="18"/>
          <w:lang w:val="es-ES_tradnl" w:eastAsia="es-CR"/>
          <w14:ligatures w14:val="none"/>
        </w:rPr>
      </w:pPr>
    </w:p>
    <w:p w14:paraId="6410AA67" w14:textId="77777777" w:rsidR="00D3167B" w:rsidRPr="00D3167B" w:rsidRDefault="00D3167B" w:rsidP="00D3167B">
      <w:pPr>
        <w:widowControl w:val="0"/>
        <w:overflowPunct w:val="0"/>
        <w:autoSpaceDE w:val="0"/>
        <w:autoSpaceDN w:val="0"/>
        <w:adjustRightInd w:val="0"/>
        <w:spacing w:before="240" w:after="0" w:line="240" w:lineRule="auto"/>
        <w:ind w:left="720" w:hanging="720"/>
        <w:jc w:val="both"/>
        <w:rPr>
          <w:rFonts w:ascii="Calibri" w:eastAsia="Times New Roman" w:hAnsi="Calibri" w:cs="Calibri"/>
          <w:iCs/>
          <w:color w:val="000000"/>
          <w:kern w:val="0"/>
          <w:szCs w:val="18"/>
          <w:lang w:val="es-ES_tradnl" w:eastAsia="es-CR"/>
          <w14:ligatures w14:val="none"/>
        </w:rPr>
      </w:pPr>
    </w:p>
    <w:p w14:paraId="6E661119"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Calibri"/>
          <w:b/>
          <w:bCs/>
          <w:iCs/>
          <w:kern w:val="0"/>
          <w:szCs w:val="18"/>
          <w:lang w:eastAsia="es-CR"/>
          <w14:ligatures w14:val="none"/>
        </w:rPr>
      </w:pPr>
    </w:p>
    <w:p w14:paraId="5CAAEA8F"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Calibri"/>
          <w:b/>
          <w:bCs/>
          <w:iCs/>
          <w:kern w:val="0"/>
          <w:szCs w:val="18"/>
          <w:lang w:eastAsia="es-CR"/>
          <w14:ligatures w14:val="none"/>
        </w:rPr>
      </w:pPr>
      <w:r w:rsidRPr="00D3167B">
        <w:rPr>
          <w:rFonts w:ascii="Calibri" w:eastAsia="Times New Roman" w:hAnsi="Calibri" w:cs="Calibri"/>
          <w:b/>
          <w:bCs/>
          <w:iCs/>
          <w:kern w:val="0"/>
          <w:szCs w:val="18"/>
          <w:lang w:eastAsia="es-CR"/>
          <w14:ligatures w14:val="none"/>
        </w:rPr>
        <w:lastRenderedPageBreak/>
        <w:t>XII. Bibliografía complementaria</w:t>
      </w:r>
    </w:p>
    <w:p w14:paraId="23F5612B"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eastAsia="es-CR"/>
          <w14:ligatures w14:val="none"/>
        </w:rPr>
      </w:pPr>
      <w:r w:rsidRPr="00D3167B">
        <w:rPr>
          <w:rFonts w:ascii="Calibri" w:eastAsia="Times New Roman" w:hAnsi="Calibri" w:cs="Arial"/>
          <w:b/>
          <w:color w:val="000000"/>
          <w:kern w:val="0"/>
          <w:lang w:eastAsia="es-CR"/>
          <w14:ligatures w14:val="none"/>
        </w:rPr>
        <w:t>Nota:</w:t>
      </w:r>
      <w:r w:rsidRPr="00D3167B">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D3167B">
        <w:rPr>
          <w:rFonts w:ascii="Calibri" w:eastAsia="Times New Roman" w:hAnsi="Calibri" w:cs="Arial"/>
          <w:bCs/>
          <w:color w:val="000000"/>
          <w:kern w:val="0"/>
          <w:lang w:eastAsia="es-CR"/>
          <w14:ligatures w14:val="none"/>
        </w:rPr>
        <w:t>pdf</w:t>
      </w:r>
      <w:proofErr w:type="spellEnd"/>
      <w:r w:rsidRPr="00D3167B">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179D73B5" w14:textId="77777777" w:rsidR="00D3167B" w:rsidRPr="00D3167B" w:rsidRDefault="00D3167B" w:rsidP="00D3167B">
      <w:pPr>
        <w:widowControl w:val="0"/>
        <w:overflowPunct w:val="0"/>
        <w:autoSpaceDE w:val="0"/>
        <w:autoSpaceDN w:val="0"/>
        <w:adjustRightInd w:val="0"/>
        <w:spacing w:before="120" w:after="120" w:line="240" w:lineRule="auto"/>
        <w:ind w:left="720" w:hanging="720"/>
        <w:jc w:val="both"/>
        <w:rPr>
          <w:rFonts w:ascii="Calibri" w:eastAsia="Times New Roman" w:hAnsi="Calibri" w:cs="Calibri"/>
          <w:kern w:val="0"/>
          <w:szCs w:val="18"/>
          <w:lang w:val="es-ES_tradnl" w:eastAsia="es-CR"/>
          <w14:ligatures w14:val="none"/>
        </w:rPr>
      </w:pPr>
      <w:r w:rsidRPr="00D3167B">
        <w:rPr>
          <w:rFonts w:ascii="Calibri" w:eastAsia="Times New Roman" w:hAnsi="Calibri" w:cs="Calibri"/>
          <w:kern w:val="0"/>
          <w:szCs w:val="18"/>
          <w:lang w:val="es-ES_tradnl" w:eastAsia="es-CR"/>
          <w14:ligatures w14:val="none"/>
        </w:rPr>
        <w:t xml:space="preserve">Bar </w:t>
      </w:r>
      <w:proofErr w:type="spellStart"/>
      <w:r w:rsidRPr="00D3167B">
        <w:rPr>
          <w:rFonts w:ascii="Calibri" w:eastAsia="Times New Roman" w:hAnsi="Calibri" w:cs="Calibri"/>
          <w:kern w:val="0"/>
          <w:szCs w:val="18"/>
          <w:lang w:val="es-ES_tradnl" w:eastAsia="es-CR"/>
          <w14:ligatures w14:val="none"/>
        </w:rPr>
        <w:t>Efrat</w:t>
      </w:r>
      <w:proofErr w:type="spellEnd"/>
      <w:r w:rsidRPr="00D3167B">
        <w:rPr>
          <w:rFonts w:ascii="Calibri" w:eastAsia="Times New Roman" w:hAnsi="Calibri" w:cs="Calibri"/>
          <w:kern w:val="0"/>
          <w:szCs w:val="18"/>
          <w:lang w:val="es-ES_tradnl" w:eastAsia="es-CR"/>
          <w14:ligatures w14:val="none"/>
        </w:rPr>
        <w:t xml:space="preserve">, </w:t>
      </w:r>
      <w:proofErr w:type="spellStart"/>
      <w:r w:rsidRPr="00D3167B">
        <w:rPr>
          <w:rFonts w:ascii="Calibri" w:eastAsia="Times New Roman" w:hAnsi="Calibri" w:cs="Calibri"/>
          <w:kern w:val="0"/>
          <w:szCs w:val="18"/>
          <w:lang w:val="es-ES_tradnl" w:eastAsia="es-CR"/>
          <w14:ligatures w14:val="none"/>
        </w:rPr>
        <w:t>Shimon</w:t>
      </w:r>
      <w:proofErr w:type="spellEnd"/>
      <w:r w:rsidRPr="00D3167B">
        <w:rPr>
          <w:rFonts w:ascii="Calibri" w:eastAsia="Times New Roman" w:hAnsi="Calibri" w:cs="Calibri"/>
          <w:kern w:val="0"/>
          <w:szCs w:val="18"/>
          <w:lang w:val="es-ES_tradnl" w:eastAsia="es-CR"/>
          <w14:ligatures w14:val="none"/>
        </w:rPr>
        <w:t xml:space="preserve">. </w:t>
      </w:r>
      <w:r w:rsidRPr="00D3167B">
        <w:rPr>
          <w:rFonts w:ascii="Calibri" w:eastAsia="Times New Roman" w:hAnsi="Calibri" w:cs="Calibri"/>
          <w:i/>
          <w:kern w:val="0"/>
          <w:szCs w:val="18"/>
          <w:lang w:val="es-ES" w:eastAsia="es-CR"/>
          <w14:ligatures w14:val="none"/>
        </w:rPr>
        <w:t>El arte de la narrativa en la Biblia</w:t>
      </w:r>
      <w:r w:rsidRPr="00D3167B">
        <w:rPr>
          <w:rFonts w:ascii="Calibri" w:eastAsia="Times New Roman" w:hAnsi="Calibri" w:cs="Calibri"/>
          <w:kern w:val="0"/>
          <w:szCs w:val="18"/>
          <w:lang w:val="es-ES" w:eastAsia="es-CR"/>
          <w14:ligatures w14:val="none"/>
        </w:rPr>
        <w:t xml:space="preserve">. </w:t>
      </w:r>
      <w:r w:rsidRPr="00D3167B">
        <w:rPr>
          <w:rFonts w:ascii="Calibri" w:eastAsia="Times New Roman" w:hAnsi="Calibri" w:cs="Calibri"/>
          <w:kern w:val="0"/>
          <w:szCs w:val="18"/>
          <w:lang w:val="es-ES_tradnl" w:eastAsia="es-CR"/>
          <w14:ligatures w14:val="none"/>
        </w:rPr>
        <w:t xml:space="preserve">Madrid: Cristiandad, 2003. </w:t>
      </w:r>
      <w:r w:rsidRPr="00D3167B">
        <w:rPr>
          <w:rFonts w:ascii="Calibri" w:eastAsia="Times New Roman" w:hAnsi="Calibri" w:cs="Calibri"/>
          <w:color w:val="000000"/>
          <w:kern w:val="0"/>
          <w:szCs w:val="18"/>
          <w:lang w:val="es-ES" w:eastAsia="es-CR"/>
          <w14:ligatures w14:val="none"/>
        </w:rPr>
        <w:t>(</w:t>
      </w:r>
      <w:r w:rsidRPr="00D3167B">
        <w:rPr>
          <w:rFonts w:ascii="Calibri" w:eastAsia="Times New Roman" w:hAnsi="Calibri" w:cs="Calibri"/>
          <w:color w:val="0070C0"/>
          <w:kern w:val="0"/>
          <w:szCs w:val="18"/>
          <w:lang w:val="es-ES" w:eastAsia="es-CR"/>
          <w14:ligatures w14:val="none"/>
        </w:rPr>
        <w:t xml:space="preserve">clásico, </w:t>
      </w:r>
      <w:r w:rsidRPr="00D3167B">
        <w:rPr>
          <w:rFonts w:ascii="Calibri" w:eastAsia="Times New Roman" w:hAnsi="Calibri" w:cs="Calibri"/>
          <w:color w:val="000000"/>
          <w:kern w:val="0"/>
          <w:szCs w:val="18"/>
          <w:lang w:val="es-ES" w:eastAsia="es-CR"/>
          <w14:ligatures w14:val="none"/>
        </w:rPr>
        <w:t>última edición)</w:t>
      </w:r>
    </w:p>
    <w:p w14:paraId="0E6CAC5E" w14:textId="77777777" w:rsidR="00D3167B" w:rsidRPr="00D3167B" w:rsidRDefault="00D3167B" w:rsidP="00D3167B">
      <w:pPr>
        <w:widowControl w:val="0"/>
        <w:overflowPunct w:val="0"/>
        <w:autoSpaceDE w:val="0"/>
        <w:autoSpaceDN w:val="0"/>
        <w:adjustRightInd w:val="0"/>
        <w:spacing w:before="120" w:after="0" w:line="240" w:lineRule="auto"/>
        <w:jc w:val="both"/>
        <w:rPr>
          <w:rFonts w:ascii="Calibri" w:eastAsia="Times New Roman" w:hAnsi="Calibri" w:cs="Calibri"/>
          <w:i/>
          <w:kern w:val="0"/>
          <w:szCs w:val="18"/>
          <w:lang w:val="es-ES_tradnl" w:eastAsia="es-CR"/>
          <w14:ligatures w14:val="none"/>
        </w:rPr>
      </w:pPr>
      <w:r w:rsidRPr="00D3167B">
        <w:rPr>
          <w:rFonts w:ascii="Calibri" w:eastAsia="Times New Roman" w:hAnsi="Calibri" w:cs="Calibri"/>
          <w:iCs/>
          <w:kern w:val="0"/>
          <w:szCs w:val="18"/>
          <w:lang w:val="es-ES_tradnl" w:eastAsia="es-CR"/>
          <w14:ligatures w14:val="none"/>
        </w:rPr>
        <w:t xml:space="preserve">Navarro Puerto, Mercedes. “Rut, un libro subversivo”. </w:t>
      </w:r>
      <w:r w:rsidRPr="00D3167B">
        <w:rPr>
          <w:rFonts w:ascii="Calibri" w:eastAsia="Times New Roman" w:hAnsi="Calibri" w:cs="Calibri"/>
          <w:i/>
          <w:kern w:val="0"/>
          <w:szCs w:val="18"/>
          <w:lang w:val="es-ES_tradnl" w:eastAsia="es-CR"/>
          <w14:ligatures w14:val="none"/>
        </w:rPr>
        <w:t>Reseña Bíblica</w:t>
      </w:r>
      <w:r w:rsidRPr="00D3167B">
        <w:rPr>
          <w:rFonts w:ascii="Calibri" w:eastAsia="Times New Roman" w:hAnsi="Calibri" w:cs="Calibri"/>
          <w:iCs/>
          <w:kern w:val="0"/>
          <w:szCs w:val="18"/>
          <w:lang w:val="es-ES_tradnl" w:eastAsia="es-CR"/>
          <w14:ligatures w14:val="none"/>
        </w:rPr>
        <w:t xml:space="preserve"> 71 (2011): 11-20. </w:t>
      </w:r>
    </w:p>
    <w:p w14:paraId="7A1D3BCE" w14:textId="77777777" w:rsidR="00D3167B" w:rsidRPr="00D3167B" w:rsidRDefault="00D3167B" w:rsidP="00D3167B">
      <w:pPr>
        <w:widowControl w:val="0"/>
        <w:overflowPunct w:val="0"/>
        <w:autoSpaceDE w:val="0"/>
        <w:autoSpaceDN w:val="0"/>
        <w:adjustRightInd w:val="0"/>
        <w:spacing w:before="120" w:after="0" w:line="240" w:lineRule="auto"/>
        <w:ind w:left="720" w:hanging="720"/>
        <w:jc w:val="both"/>
        <w:rPr>
          <w:rFonts w:ascii="Calibri" w:eastAsia="Times New Roman" w:hAnsi="Calibri" w:cs="Calibri"/>
          <w:iCs/>
          <w:kern w:val="0"/>
          <w:szCs w:val="18"/>
          <w:lang w:val="es-ES_tradnl" w:eastAsia="es-CR"/>
          <w14:ligatures w14:val="none"/>
        </w:rPr>
      </w:pPr>
      <w:r w:rsidRPr="00D3167B">
        <w:rPr>
          <w:rFonts w:ascii="Calibri" w:eastAsia="Times New Roman" w:hAnsi="Calibri" w:cs="Calibri"/>
          <w:iCs/>
          <w:kern w:val="0"/>
          <w:szCs w:val="18"/>
          <w:lang w:val="es-ES_tradnl" w:eastAsia="es-CR"/>
          <w14:ligatures w14:val="none"/>
        </w:rPr>
        <w:t>Pérez, Moisés. “</w:t>
      </w:r>
      <w:proofErr w:type="spellStart"/>
      <w:r w:rsidRPr="00D3167B">
        <w:rPr>
          <w:rFonts w:ascii="Calibri" w:eastAsia="Times New Roman" w:hAnsi="Calibri" w:cs="Calibri"/>
          <w:iCs/>
          <w:kern w:val="0"/>
          <w:szCs w:val="18"/>
          <w:lang w:val="es-ES_tradnl" w:eastAsia="es-CR"/>
          <w14:ligatures w14:val="none"/>
        </w:rPr>
        <w:t>Lxs</w:t>
      </w:r>
      <w:proofErr w:type="spellEnd"/>
      <w:r w:rsidRPr="00D3167B">
        <w:rPr>
          <w:rFonts w:ascii="Calibri" w:eastAsia="Times New Roman" w:hAnsi="Calibri" w:cs="Calibri"/>
          <w:iCs/>
          <w:kern w:val="0"/>
          <w:szCs w:val="18"/>
          <w:lang w:val="es-ES_tradnl" w:eastAsia="es-CR"/>
          <w14:ligatures w14:val="none"/>
        </w:rPr>
        <w:t xml:space="preserve"> </w:t>
      </w:r>
      <w:proofErr w:type="spellStart"/>
      <w:r w:rsidRPr="00D3167B">
        <w:rPr>
          <w:rFonts w:ascii="Calibri" w:eastAsia="Times New Roman" w:hAnsi="Calibri" w:cs="Calibri"/>
          <w:iCs/>
          <w:kern w:val="0"/>
          <w:szCs w:val="18"/>
          <w:lang w:val="es-ES_tradnl" w:eastAsia="es-CR"/>
          <w14:ligatures w14:val="none"/>
        </w:rPr>
        <w:t>otrxs</w:t>
      </w:r>
      <w:proofErr w:type="spellEnd"/>
      <w:r w:rsidRPr="00D3167B">
        <w:rPr>
          <w:rFonts w:ascii="Calibri" w:eastAsia="Times New Roman" w:hAnsi="Calibri" w:cs="Calibri"/>
          <w:iCs/>
          <w:kern w:val="0"/>
          <w:szCs w:val="18"/>
          <w:lang w:val="es-ES_tradnl" w:eastAsia="es-CR"/>
          <w14:ligatures w14:val="none"/>
        </w:rPr>
        <w:t xml:space="preserve"> son familia: migración y refugio como desafíos para el quehacer</w:t>
      </w:r>
      <w:r w:rsidRPr="00D3167B">
        <w:rPr>
          <w:rFonts w:ascii="Calibri" w:eastAsia="Times New Roman" w:hAnsi="Calibri" w:cs="Calibri"/>
          <w:iCs/>
          <w:kern w:val="0"/>
          <w:szCs w:val="18"/>
          <w:lang w:val="es-ES_tradnl" w:eastAsia="es-CR"/>
          <w14:ligatures w14:val="none"/>
        </w:rPr>
        <w:br/>
        <w:t>teológico latinoamericano”. En T</w:t>
      </w:r>
      <w:r w:rsidRPr="00D3167B">
        <w:rPr>
          <w:rFonts w:ascii="Calibri" w:eastAsia="Times New Roman" w:hAnsi="Calibri" w:cs="Calibri"/>
          <w:i/>
          <w:kern w:val="0"/>
          <w:szCs w:val="18"/>
          <w:lang w:val="es-ES_tradnl" w:eastAsia="es-CR"/>
          <w14:ligatures w14:val="none"/>
        </w:rPr>
        <w:t>eología práctica latinoamericana y caribeña. Fundamentos teóricos</w:t>
      </w:r>
      <w:r w:rsidRPr="00D3167B">
        <w:rPr>
          <w:rFonts w:ascii="Calibri" w:eastAsia="Times New Roman" w:hAnsi="Calibri" w:cs="Calibri"/>
          <w:iCs/>
          <w:kern w:val="0"/>
          <w:szCs w:val="18"/>
          <w:lang w:val="es-ES_tradnl" w:eastAsia="es-CR"/>
          <w14:ligatures w14:val="none"/>
        </w:rPr>
        <w:t xml:space="preserve">, editado por </w:t>
      </w:r>
      <w:proofErr w:type="spellStart"/>
      <w:r w:rsidRPr="00D3167B">
        <w:rPr>
          <w:rFonts w:ascii="Calibri" w:eastAsia="Times New Roman" w:hAnsi="Calibri" w:cs="Calibri"/>
          <w:iCs/>
          <w:kern w:val="0"/>
          <w:szCs w:val="18"/>
          <w:lang w:val="es-ES_tradnl" w:eastAsia="es-CR"/>
          <w14:ligatures w14:val="none"/>
        </w:rPr>
        <w:t>Angel</w:t>
      </w:r>
      <w:proofErr w:type="spellEnd"/>
      <w:r w:rsidRPr="00D3167B">
        <w:rPr>
          <w:rFonts w:ascii="Calibri" w:eastAsia="Times New Roman" w:hAnsi="Calibri" w:cs="Calibri"/>
          <w:iCs/>
          <w:kern w:val="0"/>
          <w:szCs w:val="18"/>
          <w:lang w:val="es-ES_tradnl" w:eastAsia="es-CR"/>
          <w14:ligatures w14:val="none"/>
        </w:rPr>
        <w:t xml:space="preserve"> Román López-</w:t>
      </w:r>
      <w:proofErr w:type="spellStart"/>
      <w:r w:rsidRPr="00D3167B">
        <w:rPr>
          <w:rFonts w:ascii="Calibri" w:eastAsia="Times New Roman" w:hAnsi="Calibri" w:cs="Calibri"/>
          <w:iCs/>
          <w:kern w:val="0"/>
          <w:szCs w:val="18"/>
          <w:lang w:val="es-ES_tradnl" w:eastAsia="es-CR"/>
          <w14:ligatures w14:val="none"/>
        </w:rPr>
        <w:t>Dollinger</w:t>
      </w:r>
      <w:proofErr w:type="spellEnd"/>
      <w:r w:rsidRPr="00D3167B">
        <w:rPr>
          <w:rFonts w:ascii="Calibri" w:eastAsia="Times New Roman" w:hAnsi="Calibri" w:cs="Calibri"/>
          <w:iCs/>
          <w:kern w:val="0"/>
          <w:szCs w:val="18"/>
          <w:lang w:val="es-ES_tradnl" w:eastAsia="es-CR"/>
          <w14:ligatures w14:val="none"/>
        </w:rPr>
        <w:t>, 373-390. San José: SEBILA, 2022.</w:t>
      </w:r>
    </w:p>
    <w:p w14:paraId="4E8C4DBD" w14:textId="77777777" w:rsidR="00D3167B" w:rsidRPr="00D3167B" w:rsidRDefault="00D3167B" w:rsidP="00D3167B">
      <w:pPr>
        <w:widowControl w:val="0"/>
        <w:overflowPunct w:val="0"/>
        <w:autoSpaceDE w:val="0"/>
        <w:autoSpaceDN w:val="0"/>
        <w:adjustRightInd w:val="0"/>
        <w:spacing w:before="120" w:after="0" w:line="240" w:lineRule="auto"/>
        <w:ind w:left="720" w:hanging="720"/>
        <w:jc w:val="both"/>
        <w:rPr>
          <w:rFonts w:ascii="Calibri" w:eastAsia="Times New Roman" w:hAnsi="Calibri" w:cs="Calibri"/>
          <w:iCs/>
          <w:kern w:val="0"/>
          <w:szCs w:val="18"/>
          <w:lang w:val="es-ES_tradnl" w:eastAsia="es-CR"/>
          <w14:ligatures w14:val="none"/>
        </w:rPr>
      </w:pPr>
      <w:r w:rsidRPr="00D3167B">
        <w:rPr>
          <w:rFonts w:ascii="Calibri" w:eastAsia="Times New Roman" w:hAnsi="Calibri" w:cs="Calibri"/>
          <w:iCs/>
          <w:color w:val="000000"/>
          <w:kern w:val="0"/>
          <w:szCs w:val="18"/>
          <w:lang w:val="es-ES_tradnl" w:eastAsia="es-CR"/>
          <w14:ligatures w14:val="none"/>
        </w:rPr>
        <w:t xml:space="preserve">Vílchez </w:t>
      </w:r>
      <w:proofErr w:type="spellStart"/>
      <w:r w:rsidRPr="00D3167B">
        <w:rPr>
          <w:rFonts w:ascii="Calibri" w:eastAsia="Times New Roman" w:hAnsi="Calibri" w:cs="Calibri"/>
          <w:iCs/>
          <w:color w:val="000000"/>
          <w:kern w:val="0"/>
          <w:szCs w:val="18"/>
          <w:lang w:val="es-ES_tradnl" w:eastAsia="es-CR"/>
          <w14:ligatures w14:val="none"/>
        </w:rPr>
        <w:t>Líndez</w:t>
      </w:r>
      <w:proofErr w:type="spellEnd"/>
      <w:r w:rsidRPr="00D3167B">
        <w:rPr>
          <w:rFonts w:ascii="Calibri" w:eastAsia="Times New Roman" w:hAnsi="Calibri" w:cs="Calibri"/>
          <w:iCs/>
          <w:color w:val="000000"/>
          <w:kern w:val="0"/>
          <w:szCs w:val="18"/>
          <w:lang w:val="es-ES_tradnl" w:eastAsia="es-CR"/>
          <w14:ligatures w14:val="none"/>
        </w:rPr>
        <w:t xml:space="preserve">, José. </w:t>
      </w:r>
      <w:r w:rsidRPr="00D3167B">
        <w:rPr>
          <w:rFonts w:ascii="Calibri" w:eastAsia="Times New Roman" w:hAnsi="Calibri" w:cs="Calibri"/>
          <w:i/>
          <w:color w:val="000000"/>
          <w:kern w:val="0"/>
          <w:szCs w:val="18"/>
          <w:lang w:val="es-ES_tradnl" w:eastAsia="es-CR"/>
          <w14:ligatures w14:val="none"/>
        </w:rPr>
        <w:t>Rut y Ester.</w:t>
      </w:r>
      <w:r w:rsidRPr="00D3167B">
        <w:rPr>
          <w:rFonts w:ascii="Calibri" w:eastAsia="Times New Roman" w:hAnsi="Calibri" w:cs="Calibri"/>
          <w:iCs/>
          <w:color w:val="000000"/>
          <w:kern w:val="0"/>
          <w:szCs w:val="18"/>
          <w:lang w:val="es-ES_tradnl" w:eastAsia="es-CR"/>
          <w14:ligatures w14:val="none"/>
        </w:rPr>
        <w:t xml:space="preserve"> Estella (Navarra): Verbo Divino, 1998. </w:t>
      </w:r>
      <w:r w:rsidRPr="00D3167B">
        <w:rPr>
          <w:rFonts w:ascii="Calibri" w:eastAsia="Times New Roman" w:hAnsi="Calibri" w:cs="Calibri"/>
          <w:color w:val="000000"/>
          <w:kern w:val="0"/>
          <w:szCs w:val="18"/>
          <w:lang w:val="es-ES" w:eastAsia="es-CR"/>
          <w14:ligatures w14:val="none"/>
        </w:rPr>
        <w:t>(</w:t>
      </w:r>
      <w:r w:rsidRPr="00D3167B">
        <w:rPr>
          <w:rFonts w:ascii="Calibri" w:eastAsia="Times New Roman" w:hAnsi="Calibri" w:cs="Calibri"/>
          <w:color w:val="0070C0"/>
          <w:kern w:val="0"/>
          <w:szCs w:val="18"/>
          <w:lang w:val="es-ES" w:eastAsia="es-CR"/>
          <w14:ligatures w14:val="none"/>
        </w:rPr>
        <w:t xml:space="preserve">clásico, </w:t>
      </w:r>
      <w:r w:rsidRPr="00D3167B">
        <w:rPr>
          <w:rFonts w:ascii="Calibri" w:eastAsia="Times New Roman" w:hAnsi="Calibri" w:cs="Calibri"/>
          <w:color w:val="000000"/>
          <w:kern w:val="0"/>
          <w:szCs w:val="18"/>
          <w:lang w:val="es-ES" w:eastAsia="es-CR"/>
          <w14:ligatures w14:val="none"/>
        </w:rPr>
        <w:t>última edición)</w:t>
      </w:r>
    </w:p>
    <w:p w14:paraId="6EAB9A67" w14:textId="77777777" w:rsidR="0012056E" w:rsidRDefault="0012056E" w:rsidP="007601EC">
      <w:pPr>
        <w:rPr>
          <w:sz w:val="24"/>
          <w:szCs w:val="24"/>
        </w:rPr>
      </w:pPr>
    </w:p>
    <w:p w14:paraId="255E067C" w14:textId="77777777" w:rsidR="003315CC" w:rsidRDefault="003315CC" w:rsidP="007601EC">
      <w:pPr>
        <w:rPr>
          <w:sz w:val="24"/>
          <w:szCs w:val="24"/>
        </w:rPr>
      </w:pPr>
    </w:p>
    <w:p w14:paraId="584603A2" w14:textId="083EBEBC" w:rsidR="0017401B" w:rsidRDefault="0017401B">
      <w:pPr>
        <w:rPr>
          <w:sz w:val="24"/>
          <w:szCs w:val="24"/>
        </w:rPr>
      </w:pPr>
      <w:r>
        <w:rPr>
          <w:sz w:val="24"/>
          <w:szCs w:val="24"/>
        </w:rPr>
        <w:br w:type="page"/>
      </w:r>
    </w:p>
    <w:p w14:paraId="478D4E9A" w14:textId="77777777" w:rsidR="00D56BF9" w:rsidRPr="00D56BF9" w:rsidRDefault="00D56BF9" w:rsidP="00D56BF9">
      <w:pPr>
        <w:widowControl w:val="0"/>
        <w:overflowPunct w:val="0"/>
        <w:autoSpaceDE w:val="0"/>
        <w:autoSpaceDN w:val="0"/>
        <w:adjustRightInd w:val="0"/>
        <w:spacing w:before="120" w:after="0" w:line="240" w:lineRule="auto"/>
        <w:jc w:val="center"/>
        <w:rPr>
          <w:rFonts w:ascii="Arial" w:eastAsia="Times New Roman" w:hAnsi="Arial" w:cs="Arial"/>
          <w:kern w:val="0"/>
          <w:sz w:val="24"/>
          <w:szCs w:val="24"/>
          <w:lang w:val="es-ES_tradnl" w:eastAsia="es-CR"/>
          <w14:ligatures w14:val="none"/>
        </w:rPr>
      </w:pPr>
      <w:r w:rsidRPr="00D56BF9">
        <w:rPr>
          <w:rFonts w:ascii="Calibri" w:eastAsia="Times New Roman" w:hAnsi="Calibri" w:cs="Calibri"/>
          <w:noProof/>
          <w:color w:val="000000"/>
          <w:kern w:val="0"/>
          <w:sz w:val="24"/>
          <w:szCs w:val="24"/>
          <w:lang w:eastAsia="es-CR"/>
          <w14:ligatures w14:val="none"/>
        </w:rPr>
        <w:lastRenderedPageBreak/>
        <w:drawing>
          <wp:inline distT="0" distB="0" distL="0" distR="0" wp14:anchorId="735BB9C2" wp14:editId="051F0893">
            <wp:extent cx="2009775" cy="1548377"/>
            <wp:effectExtent l="0" t="0" r="0" b="0"/>
            <wp:docPr id="619570335"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70335"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130D431D" w14:textId="77777777" w:rsidR="00D56BF9" w:rsidRPr="00D56BF9" w:rsidRDefault="00D56BF9" w:rsidP="00D56BF9">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val="en-US" w:eastAsia="es-CR"/>
          <w14:ligatures w14:val="none"/>
        </w:rPr>
      </w:pPr>
    </w:p>
    <w:p w14:paraId="7ED468DA" w14:textId="77777777" w:rsidR="00D56BF9" w:rsidRPr="00D56BF9" w:rsidRDefault="00D56BF9" w:rsidP="00D56BF9">
      <w:pPr>
        <w:keepNext/>
        <w:widowControl w:val="0"/>
        <w:overflowPunct w:val="0"/>
        <w:autoSpaceDE w:val="0"/>
        <w:autoSpaceDN w:val="0"/>
        <w:adjustRightInd w:val="0"/>
        <w:spacing w:after="0" w:line="240" w:lineRule="auto"/>
        <w:jc w:val="center"/>
        <w:outlineLvl w:val="0"/>
        <w:rPr>
          <w:rFonts w:ascii="Calibri" w:eastAsia="Times New Roman" w:hAnsi="Calibri" w:cs="Arial"/>
          <w:b/>
          <w:spacing w:val="-2"/>
          <w:kern w:val="0"/>
          <w:sz w:val="24"/>
          <w:szCs w:val="24"/>
          <w:lang w:eastAsia="es-CR"/>
          <w14:ligatures w14:val="none"/>
        </w:rPr>
      </w:pPr>
      <w:r w:rsidRPr="00D56BF9">
        <w:rPr>
          <w:rFonts w:ascii="Calibri" w:eastAsia="Times New Roman" w:hAnsi="Calibri" w:cs="Arial"/>
          <w:b/>
          <w:spacing w:val="-2"/>
          <w:kern w:val="0"/>
          <w:sz w:val="24"/>
          <w:szCs w:val="24"/>
          <w:lang w:eastAsia="es-CR"/>
          <w14:ligatures w14:val="none"/>
        </w:rPr>
        <w:t>Universidad Bíblica Latinoamericana</w:t>
      </w:r>
    </w:p>
    <w:p w14:paraId="35C771AD" w14:textId="77777777" w:rsidR="00D56BF9" w:rsidRPr="00D56BF9" w:rsidRDefault="00D56BF9" w:rsidP="00D56BF9">
      <w:pPr>
        <w:keepNext/>
        <w:widowControl w:val="0"/>
        <w:overflowPunct w:val="0"/>
        <w:autoSpaceDE w:val="0"/>
        <w:autoSpaceDN w:val="0"/>
        <w:adjustRightInd w:val="0"/>
        <w:spacing w:after="0" w:line="240" w:lineRule="auto"/>
        <w:jc w:val="center"/>
        <w:outlineLvl w:val="1"/>
        <w:rPr>
          <w:rFonts w:ascii="Calibri" w:eastAsia="Times New Roman" w:hAnsi="Calibri" w:cs="Arial"/>
          <w:b/>
          <w:i/>
          <w:spacing w:val="-2"/>
          <w:kern w:val="28"/>
          <w:sz w:val="24"/>
          <w:szCs w:val="24"/>
          <w:lang w:eastAsia="es-CR"/>
          <w14:ligatures w14:val="none"/>
        </w:rPr>
      </w:pPr>
      <w:r w:rsidRPr="00D56BF9">
        <w:rPr>
          <w:rFonts w:ascii="Calibri" w:eastAsia="Times New Roman" w:hAnsi="Calibri" w:cs="Arial"/>
          <w:b/>
          <w:i/>
          <w:spacing w:val="-2"/>
          <w:kern w:val="28"/>
          <w:sz w:val="24"/>
          <w:szCs w:val="24"/>
          <w:lang w:eastAsia="es-CR"/>
          <w14:ligatures w14:val="none"/>
        </w:rPr>
        <w:t>Facultad de Teología</w:t>
      </w:r>
    </w:p>
    <w:p w14:paraId="3F60C4B4" w14:textId="77777777" w:rsidR="00D56BF9" w:rsidRPr="00D56BF9" w:rsidRDefault="00D56BF9" w:rsidP="00D56BF9">
      <w:pPr>
        <w:widowControl w:val="0"/>
        <w:overflowPunct w:val="0"/>
        <w:autoSpaceDE w:val="0"/>
        <w:autoSpaceDN w:val="0"/>
        <w:adjustRightInd w:val="0"/>
        <w:spacing w:after="0" w:line="240" w:lineRule="auto"/>
        <w:jc w:val="center"/>
        <w:rPr>
          <w:rFonts w:ascii="Calibri" w:eastAsia="Times New Roman" w:hAnsi="Calibri" w:cs="Arial"/>
          <w:b/>
          <w:bCs/>
          <w:kern w:val="0"/>
          <w:sz w:val="24"/>
          <w:szCs w:val="24"/>
          <w:lang w:val="es-ES_tradnl" w:eastAsia="es-CR"/>
          <w14:ligatures w14:val="none"/>
        </w:rPr>
      </w:pPr>
      <w:r w:rsidRPr="00D56BF9">
        <w:rPr>
          <w:rFonts w:ascii="Calibri" w:eastAsia="Times New Roman" w:hAnsi="Calibri" w:cs="Arial"/>
          <w:b/>
          <w:bCs/>
          <w:kern w:val="0"/>
          <w:sz w:val="24"/>
          <w:szCs w:val="24"/>
          <w:lang w:val="es-ES_tradnl" w:eastAsia="es-CR"/>
          <w14:ligatures w14:val="none"/>
        </w:rPr>
        <w:t>Bachillerato en Ciencias Bíblicas</w:t>
      </w:r>
    </w:p>
    <w:p w14:paraId="7E66F279" w14:textId="77777777" w:rsidR="00D56BF9" w:rsidRPr="00D56BF9" w:rsidRDefault="00D56BF9" w:rsidP="00D56BF9">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p>
    <w:p w14:paraId="4E70F7EE" w14:textId="77777777" w:rsidR="00D56BF9" w:rsidRPr="00D56BF9" w:rsidRDefault="00D56BF9" w:rsidP="00D56BF9">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D56BF9">
        <w:rPr>
          <w:rFonts w:ascii="Calibri" w:eastAsia="Times New Roman" w:hAnsi="Calibri" w:cs="Arial"/>
          <w:b/>
          <w:kern w:val="0"/>
          <w:sz w:val="24"/>
          <w:szCs w:val="24"/>
          <w:lang w:val="es-ES_tradnl" w:eastAsia="es-CR"/>
          <w14:ligatures w14:val="none"/>
        </w:rPr>
        <w:t>Sílabo</w:t>
      </w:r>
    </w:p>
    <w:p w14:paraId="5EE4358F" w14:textId="77777777" w:rsidR="00D56BF9" w:rsidRPr="00D56BF9" w:rsidRDefault="00D56BF9" w:rsidP="00D56BF9">
      <w:pPr>
        <w:keepNext/>
        <w:widowControl w:val="0"/>
        <w:overflowPunct w:val="0"/>
        <w:autoSpaceDE w:val="0"/>
        <w:autoSpaceDN w:val="0"/>
        <w:adjustRightInd w:val="0"/>
        <w:spacing w:after="0" w:line="240" w:lineRule="auto"/>
        <w:jc w:val="center"/>
        <w:outlineLvl w:val="0"/>
        <w:rPr>
          <w:rFonts w:ascii="Calibri" w:eastAsia="Times New Roman" w:hAnsi="Calibri" w:cs="Arial"/>
          <w:b/>
          <w:color w:val="FF0000"/>
          <w:spacing w:val="-2"/>
          <w:kern w:val="0"/>
          <w:sz w:val="24"/>
          <w:szCs w:val="24"/>
          <w:lang w:val="es-ES_tradnl" w:eastAsia="es-CR"/>
          <w14:ligatures w14:val="none"/>
        </w:rPr>
      </w:pPr>
      <w:bookmarkStart w:id="62" w:name="CB116"/>
      <w:r w:rsidRPr="00D56BF9">
        <w:rPr>
          <w:rFonts w:ascii="Calibri" w:eastAsia="Times New Roman" w:hAnsi="Calibri" w:cs="Arial"/>
          <w:b/>
          <w:spacing w:val="-2"/>
          <w:kern w:val="0"/>
          <w:sz w:val="24"/>
          <w:szCs w:val="24"/>
          <w:lang w:val="es-ES_tradnl" w:eastAsia="es-CR"/>
          <w14:ligatures w14:val="none"/>
        </w:rPr>
        <w:t>Seminario en Biblia II</w:t>
      </w:r>
      <w:bookmarkEnd w:id="62"/>
    </w:p>
    <w:p w14:paraId="73E78F74" w14:textId="77777777" w:rsidR="00D56BF9" w:rsidRPr="00D56BF9" w:rsidRDefault="00D56BF9" w:rsidP="00D56BF9">
      <w:pPr>
        <w:widowControl w:val="0"/>
        <w:overflowPunct w:val="0"/>
        <w:autoSpaceDE w:val="0"/>
        <w:autoSpaceDN w:val="0"/>
        <w:adjustRightInd w:val="0"/>
        <w:spacing w:after="0" w:line="240" w:lineRule="auto"/>
        <w:rPr>
          <w:rFonts w:ascii="Calibri" w:eastAsia="Arial" w:hAnsi="Calibri" w:cs="Arial"/>
          <w:color w:val="0070C0"/>
          <w:kern w:val="0"/>
          <w:sz w:val="24"/>
          <w:szCs w:val="20"/>
          <w:lang w:val="es-ES_tradnl" w:eastAsia="es-CR"/>
          <w14:ligatures w14:val="none"/>
        </w:rPr>
      </w:pPr>
    </w:p>
    <w:p w14:paraId="1577538C" w14:textId="77777777" w:rsidR="00D56BF9" w:rsidRPr="00D56BF9" w:rsidRDefault="00D56BF9" w:rsidP="00D56BF9">
      <w:pPr>
        <w:widowControl w:val="0"/>
        <w:overflowPunct w:val="0"/>
        <w:autoSpaceDE w:val="0"/>
        <w:autoSpaceDN w:val="0"/>
        <w:adjustRightInd w:val="0"/>
        <w:spacing w:after="0" w:line="240" w:lineRule="auto"/>
        <w:rPr>
          <w:rFonts w:ascii="Calibri" w:eastAsia="Arial" w:hAnsi="Calibri" w:cs="Arial"/>
          <w:color w:val="0070C0"/>
          <w:kern w:val="0"/>
          <w:sz w:val="24"/>
          <w:szCs w:val="20"/>
          <w:lang w:val="es-ES_tradnl" w:eastAsia="es-CR"/>
          <w14:ligatures w14:val="none"/>
        </w:rPr>
      </w:pPr>
    </w:p>
    <w:tbl>
      <w:tblPr>
        <w:tblStyle w:val="Tablaconcuadrcula"/>
        <w:tblW w:w="0" w:type="auto"/>
        <w:tblLook w:val="04A0" w:firstRow="1" w:lastRow="0" w:firstColumn="1" w:lastColumn="0" w:noHBand="0" w:noVBand="1"/>
      </w:tblPr>
      <w:tblGrid>
        <w:gridCol w:w="1666"/>
        <w:gridCol w:w="7162"/>
      </w:tblGrid>
      <w:tr w:rsidR="00D56BF9" w:rsidRPr="00D56BF9" w14:paraId="12D58B59" w14:textId="77777777" w:rsidTr="00104785">
        <w:tc>
          <w:tcPr>
            <w:tcW w:w="1668" w:type="dxa"/>
          </w:tcPr>
          <w:p w14:paraId="1DCCE5D2" w14:textId="77777777" w:rsidR="00D56BF9" w:rsidRPr="00D56BF9" w:rsidRDefault="00D56BF9" w:rsidP="00D56BF9">
            <w:pPr>
              <w:widowControl w:val="0"/>
              <w:overflowPunct w:val="0"/>
              <w:autoSpaceDE w:val="0"/>
              <w:autoSpaceDN w:val="0"/>
              <w:adjustRightInd w:val="0"/>
              <w:rPr>
                <w:rFonts w:ascii="Calibri" w:eastAsia="Times New Roman" w:hAnsi="Calibri" w:cs="Calibri"/>
                <w:b/>
                <w:color w:val="000000"/>
                <w:lang w:eastAsia="es-CR"/>
              </w:rPr>
            </w:pPr>
            <w:r w:rsidRPr="00D56BF9">
              <w:rPr>
                <w:rFonts w:ascii="Calibri" w:eastAsia="Times New Roman" w:hAnsi="Calibri" w:cs="Calibri"/>
                <w:b/>
                <w:color w:val="000000"/>
                <w:lang w:eastAsia="es-CR"/>
              </w:rPr>
              <w:t>Código</w:t>
            </w:r>
          </w:p>
        </w:tc>
        <w:tc>
          <w:tcPr>
            <w:tcW w:w="7386" w:type="dxa"/>
          </w:tcPr>
          <w:p w14:paraId="58997976"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eastAsia="es-CR"/>
              </w:rPr>
            </w:pPr>
            <w:r w:rsidRPr="00D56BF9">
              <w:rPr>
                <w:rFonts w:ascii="Calibri" w:eastAsia="Times New Roman" w:hAnsi="Calibri" w:cs="Calibri"/>
                <w:color w:val="000000"/>
                <w:lang w:eastAsia="es-CR"/>
              </w:rPr>
              <w:t>CB 116</w:t>
            </w:r>
          </w:p>
        </w:tc>
      </w:tr>
      <w:tr w:rsidR="00D56BF9" w:rsidRPr="00D56BF9" w14:paraId="6EFE1D09" w14:textId="77777777" w:rsidTr="00104785">
        <w:tc>
          <w:tcPr>
            <w:tcW w:w="1668" w:type="dxa"/>
          </w:tcPr>
          <w:p w14:paraId="254F82E4" w14:textId="77777777" w:rsidR="00D56BF9" w:rsidRPr="00D56BF9" w:rsidRDefault="00D56BF9" w:rsidP="00D56BF9">
            <w:pPr>
              <w:widowControl w:val="0"/>
              <w:overflowPunct w:val="0"/>
              <w:autoSpaceDE w:val="0"/>
              <w:autoSpaceDN w:val="0"/>
              <w:adjustRightInd w:val="0"/>
              <w:rPr>
                <w:rFonts w:ascii="Calibri" w:eastAsia="Times New Roman" w:hAnsi="Calibri" w:cs="Calibri"/>
                <w:b/>
                <w:color w:val="000000"/>
                <w:lang w:eastAsia="es-CR"/>
              </w:rPr>
            </w:pPr>
            <w:r w:rsidRPr="00D56BF9">
              <w:rPr>
                <w:rFonts w:ascii="Calibri" w:eastAsia="Times New Roman" w:hAnsi="Calibri" w:cs="Calibri"/>
                <w:b/>
                <w:color w:val="000000"/>
                <w:lang w:eastAsia="es-CR"/>
              </w:rPr>
              <w:t>Créditos</w:t>
            </w:r>
          </w:p>
        </w:tc>
        <w:tc>
          <w:tcPr>
            <w:tcW w:w="7386" w:type="dxa"/>
          </w:tcPr>
          <w:p w14:paraId="765D2916"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eastAsia="es-CR"/>
              </w:rPr>
            </w:pPr>
            <w:r w:rsidRPr="00D56BF9">
              <w:rPr>
                <w:rFonts w:ascii="Calibri" w:eastAsia="Times New Roman" w:hAnsi="Calibri" w:cs="Calibri"/>
                <w:color w:val="000000"/>
                <w:lang w:eastAsia="es-CR"/>
              </w:rPr>
              <w:t>4</w:t>
            </w:r>
          </w:p>
        </w:tc>
      </w:tr>
      <w:tr w:rsidR="00D56BF9" w:rsidRPr="00D56BF9" w14:paraId="6128AEAF" w14:textId="77777777" w:rsidTr="00104785">
        <w:tc>
          <w:tcPr>
            <w:tcW w:w="1668" w:type="dxa"/>
          </w:tcPr>
          <w:p w14:paraId="25ACDFC7" w14:textId="77777777" w:rsidR="00D56BF9" w:rsidRPr="00D56BF9" w:rsidRDefault="00D56BF9" w:rsidP="00D56BF9">
            <w:pPr>
              <w:widowControl w:val="0"/>
              <w:overflowPunct w:val="0"/>
              <w:autoSpaceDE w:val="0"/>
              <w:autoSpaceDN w:val="0"/>
              <w:adjustRightInd w:val="0"/>
              <w:rPr>
                <w:rFonts w:ascii="Calibri" w:eastAsia="Times New Roman" w:hAnsi="Calibri" w:cs="Calibri"/>
                <w:b/>
                <w:color w:val="000000"/>
                <w:lang w:eastAsia="es-CR"/>
              </w:rPr>
            </w:pPr>
            <w:r w:rsidRPr="00D56BF9">
              <w:rPr>
                <w:rFonts w:ascii="Calibri" w:eastAsia="Times New Roman" w:hAnsi="Calibri" w:cs="Calibri"/>
                <w:b/>
                <w:color w:val="000000"/>
                <w:lang w:eastAsia="es-CR"/>
              </w:rPr>
              <w:t>Requisitos</w:t>
            </w:r>
          </w:p>
        </w:tc>
        <w:tc>
          <w:tcPr>
            <w:tcW w:w="7386" w:type="dxa"/>
          </w:tcPr>
          <w:p w14:paraId="7411925B"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eastAsia="es-CR"/>
              </w:rPr>
            </w:pPr>
            <w:r w:rsidRPr="00D56BF9">
              <w:rPr>
                <w:rFonts w:ascii="Calibri" w:eastAsia="Times New Roman" w:hAnsi="Calibri" w:cs="Calibri"/>
                <w:color w:val="000000"/>
                <w:lang w:eastAsia="es-CR"/>
              </w:rPr>
              <w:t>CBX 110 y CBX 113</w:t>
            </w:r>
          </w:p>
        </w:tc>
      </w:tr>
      <w:tr w:rsidR="00D56BF9" w:rsidRPr="00D56BF9" w14:paraId="10C4BDB2" w14:textId="77777777" w:rsidTr="00104785">
        <w:tc>
          <w:tcPr>
            <w:tcW w:w="1668" w:type="dxa"/>
          </w:tcPr>
          <w:p w14:paraId="70C252B4" w14:textId="77777777" w:rsidR="00D56BF9" w:rsidRPr="00D56BF9" w:rsidRDefault="00D56BF9" w:rsidP="00D56BF9">
            <w:pPr>
              <w:widowControl w:val="0"/>
              <w:overflowPunct w:val="0"/>
              <w:autoSpaceDE w:val="0"/>
              <w:autoSpaceDN w:val="0"/>
              <w:adjustRightInd w:val="0"/>
              <w:rPr>
                <w:rFonts w:ascii="Calibri" w:eastAsia="Times New Roman" w:hAnsi="Calibri" w:cs="Calibri"/>
                <w:b/>
                <w:color w:val="000000"/>
                <w:lang w:eastAsia="es-CR"/>
              </w:rPr>
            </w:pPr>
            <w:r w:rsidRPr="00D56BF9">
              <w:rPr>
                <w:rFonts w:ascii="Calibri" w:eastAsia="Times New Roman" w:hAnsi="Calibri" w:cs="Calibri"/>
                <w:b/>
                <w:color w:val="000000"/>
                <w:lang w:eastAsia="es-CR"/>
              </w:rPr>
              <w:t>Modalidad</w:t>
            </w:r>
          </w:p>
        </w:tc>
        <w:tc>
          <w:tcPr>
            <w:tcW w:w="7386" w:type="dxa"/>
          </w:tcPr>
          <w:p w14:paraId="69EBA924"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eastAsia="es-CR"/>
              </w:rPr>
            </w:pPr>
            <w:r w:rsidRPr="00D56BF9">
              <w:rPr>
                <w:rFonts w:ascii="Calibri" w:eastAsia="Times New Roman" w:hAnsi="Calibri" w:cs="Calibri"/>
                <w:color w:val="000000"/>
                <w:lang w:eastAsia="es-CR"/>
              </w:rPr>
              <w:t>Virtual</w:t>
            </w:r>
          </w:p>
        </w:tc>
      </w:tr>
      <w:tr w:rsidR="00D56BF9" w:rsidRPr="00D56BF9" w14:paraId="5750CCF1" w14:textId="77777777" w:rsidTr="00104785">
        <w:tc>
          <w:tcPr>
            <w:tcW w:w="1668" w:type="dxa"/>
          </w:tcPr>
          <w:p w14:paraId="66AE138E" w14:textId="77777777" w:rsidR="00D56BF9" w:rsidRPr="00D56BF9" w:rsidRDefault="00D56BF9" w:rsidP="00D56BF9">
            <w:pPr>
              <w:widowControl w:val="0"/>
              <w:overflowPunct w:val="0"/>
              <w:autoSpaceDE w:val="0"/>
              <w:autoSpaceDN w:val="0"/>
              <w:adjustRightInd w:val="0"/>
              <w:rPr>
                <w:rFonts w:ascii="Calibri" w:eastAsia="Times New Roman" w:hAnsi="Calibri" w:cs="Calibri"/>
                <w:b/>
                <w:color w:val="000000"/>
                <w:lang w:eastAsia="es-CR"/>
              </w:rPr>
            </w:pPr>
            <w:r w:rsidRPr="00D56BF9">
              <w:rPr>
                <w:rFonts w:ascii="Calibri" w:eastAsia="Times New Roman" w:hAnsi="Calibri" w:cs="Calibri"/>
                <w:b/>
                <w:color w:val="000000"/>
                <w:lang w:eastAsia="es-CR"/>
              </w:rPr>
              <w:t>Naturaleza</w:t>
            </w:r>
          </w:p>
        </w:tc>
        <w:tc>
          <w:tcPr>
            <w:tcW w:w="7386" w:type="dxa"/>
          </w:tcPr>
          <w:p w14:paraId="3F3109C6"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eastAsia="es-CR"/>
              </w:rPr>
            </w:pPr>
            <w:r w:rsidRPr="00D56BF9">
              <w:rPr>
                <w:rFonts w:ascii="Calibri" w:eastAsia="Times New Roman" w:hAnsi="Calibri" w:cs="Calibri"/>
                <w:color w:val="000000"/>
                <w:lang w:eastAsia="es-CR"/>
              </w:rPr>
              <w:t>Teórico-práctico</w:t>
            </w:r>
          </w:p>
        </w:tc>
      </w:tr>
      <w:tr w:rsidR="00D56BF9" w:rsidRPr="00D56BF9" w14:paraId="652F2F53" w14:textId="77777777" w:rsidTr="00104785">
        <w:tc>
          <w:tcPr>
            <w:tcW w:w="1668" w:type="dxa"/>
          </w:tcPr>
          <w:p w14:paraId="51D3157D" w14:textId="77777777" w:rsidR="00D56BF9" w:rsidRPr="00D56BF9" w:rsidRDefault="00D56BF9" w:rsidP="00D56BF9">
            <w:pPr>
              <w:widowControl w:val="0"/>
              <w:overflowPunct w:val="0"/>
              <w:autoSpaceDE w:val="0"/>
              <w:autoSpaceDN w:val="0"/>
              <w:adjustRightInd w:val="0"/>
              <w:rPr>
                <w:rFonts w:ascii="Calibri" w:eastAsia="Times New Roman" w:hAnsi="Calibri" w:cs="Calibri"/>
                <w:b/>
                <w:color w:val="000000"/>
                <w:lang w:eastAsia="es-CR"/>
              </w:rPr>
            </w:pPr>
            <w:r w:rsidRPr="00D56BF9">
              <w:rPr>
                <w:rFonts w:ascii="Calibri" w:eastAsia="Times New Roman" w:hAnsi="Calibri" w:cs="Calibri"/>
                <w:b/>
                <w:color w:val="000000"/>
                <w:lang w:eastAsia="es-CR"/>
              </w:rPr>
              <w:t>Periodo</w:t>
            </w:r>
          </w:p>
        </w:tc>
        <w:tc>
          <w:tcPr>
            <w:tcW w:w="7386" w:type="dxa"/>
          </w:tcPr>
          <w:p w14:paraId="29EC3161"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eastAsia="es-CR"/>
              </w:rPr>
            </w:pPr>
            <w:r w:rsidRPr="00D56BF9">
              <w:rPr>
                <w:rFonts w:ascii="Calibri" w:eastAsia="Times New Roman" w:hAnsi="Calibri" w:cs="Calibri"/>
                <w:color w:val="000000"/>
                <w:lang w:eastAsia="es-CR"/>
              </w:rPr>
              <w:t>Cuatrimestral (15 semanas lectivas)</w:t>
            </w:r>
          </w:p>
        </w:tc>
      </w:tr>
      <w:tr w:rsidR="00D56BF9" w:rsidRPr="00D56BF9" w14:paraId="1D29A9F7" w14:textId="77777777" w:rsidTr="00104785">
        <w:tc>
          <w:tcPr>
            <w:tcW w:w="1668" w:type="dxa"/>
          </w:tcPr>
          <w:p w14:paraId="5E37823B" w14:textId="77777777" w:rsidR="00D56BF9" w:rsidRPr="00D56BF9" w:rsidRDefault="00D56BF9" w:rsidP="00D56BF9">
            <w:pPr>
              <w:widowControl w:val="0"/>
              <w:overflowPunct w:val="0"/>
              <w:autoSpaceDE w:val="0"/>
              <w:autoSpaceDN w:val="0"/>
              <w:adjustRightInd w:val="0"/>
              <w:rPr>
                <w:rFonts w:ascii="Calibri" w:eastAsia="Times New Roman" w:hAnsi="Calibri" w:cs="Calibri"/>
                <w:b/>
                <w:color w:val="000000"/>
                <w:lang w:eastAsia="es-CR"/>
              </w:rPr>
            </w:pPr>
            <w:r w:rsidRPr="00D56BF9">
              <w:rPr>
                <w:rFonts w:ascii="Calibri" w:eastAsia="Times New Roman" w:hAnsi="Calibri" w:cs="Calibri"/>
                <w:b/>
                <w:color w:val="000000"/>
                <w:lang w:eastAsia="es-CR"/>
              </w:rPr>
              <w:t>Nivel</w:t>
            </w:r>
          </w:p>
        </w:tc>
        <w:tc>
          <w:tcPr>
            <w:tcW w:w="7386" w:type="dxa"/>
          </w:tcPr>
          <w:p w14:paraId="128BEDAC"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eastAsia="es-CR"/>
              </w:rPr>
            </w:pPr>
            <w:r w:rsidRPr="00D56BF9">
              <w:rPr>
                <w:rFonts w:ascii="Calibri" w:eastAsia="Times New Roman" w:hAnsi="Calibri" w:cs="Calibri"/>
                <w:color w:val="000000"/>
                <w:lang w:eastAsia="es-CR"/>
              </w:rPr>
              <w:t>VIII Cuatrimestre</w:t>
            </w:r>
          </w:p>
        </w:tc>
      </w:tr>
      <w:tr w:rsidR="00D56BF9" w:rsidRPr="00D56BF9" w14:paraId="001378A9" w14:textId="77777777" w:rsidTr="00104785">
        <w:tc>
          <w:tcPr>
            <w:tcW w:w="1668" w:type="dxa"/>
          </w:tcPr>
          <w:p w14:paraId="626A3156" w14:textId="77777777" w:rsidR="00D56BF9" w:rsidRPr="00D56BF9" w:rsidRDefault="00D56BF9" w:rsidP="00D56BF9">
            <w:pPr>
              <w:widowControl w:val="0"/>
              <w:overflowPunct w:val="0"/>
              <w:autoSpaceDE w:val="0"/>
              <w:autoSpaceDN w:val="0"/>
              <w:adjustRightInd w:val="0"/>
              <w:rPr>
                <w:rFonts w:ascii="Calibri" w:eastAsia="Times New Roman" w:hAnsi="Calibri" w:cs="Calibri"/>
                <w:b/>
                <w:color w:val="000000"/>
                <w:lang w:eastAsia="es-CR"/>
              </w:rPr>
            </w:pPr>
            <w:r w:rsidRPr="00D56BF9">
              <w:rPr>
                <w:rFonts w:ascii="Calibri" w:eastAsia="Times New Roman" w:hAnsi="Calibri" w:cs="Calibri"/>
                <w:b/>
                <w:color w:val="000000"/>
                <w:lang w:eastAsia="es-CR"/>
              </w:rPr>
              <w:t>Horario</w:t>
            </w:r>
          </w:p>
        </w:tc>
        <w:tc>
          <w:tcPr>
            <w:tcW w:w="7386" w:type="dxa"/>
          </w:tcPr>
          <w:p w14:paraId="1EF38A75"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eastAsia="es-CR"/>
              </w:rPr>
            </w:pPr>
            <w:r w:rsidRPr="00D56BF9">
              <w:rPr>
                <w:rFonts w:ascii="Calibri" w:eastAsia="Times New Roman" w:hAnsi="Calibri" w:cs="Calibri"/>
                <w:color w:val="000000"/>
                <w:lang w:eastAsia="es-CR"/>
              </w:rPr>
              <w:t>El curso requiere de 12 horas de trabajo semanal</w:t>
            </w:r>
          </w:p>
        </w:tc>
      </w:tr>
      <w:tr w:rsidR="00D56BF9" w:rsidRPr="00D56BF9" w14:paraId="47FABF58" w14:textId="77777777" w:rsidTr="00104785">
        <w:tc>
          <w:tcPr>
            <w:tcW w:w="1668" w:type="dxa"/>
          </w:tcPr>
          <w:p w14:paraId="060889D2" w14:textId="77777777" w:rsidR="00D56BF9" w:rsidRPr="00D56BF9" w:rsidRDefault="00D56BF9" w:rsidP="00D56BF9">
            <w:pPr>
              <w:widowControl w:val="0"/>
              <w:overflowPunct w:val="0"/>
              <w:autoSpaceDE w:val="0"/>
              <w:autoSpaceDN w:val="0"/>
              <w:adjustRightInd w:val="0"/>
              <w:rPr>
                <w:rFonts w:ascii="Calibri" w:eastAsia="Times New Roman" w:hAnsi="Calibri" w:cs="Calibri"/>
                <w:b/>
                <w:color w:val="000000"/>
                <w:lang w:eastAsia="es-CR"/>
              </w:rPr>
            </w:pPr>
            <w:r w:rsidRPr="00D56BF9">
              <w:rPr>
                <w:rFonts w:ascii="Calibri" w:eastAsia="Times New Roman" w:hAnsi="Calibri" w:cs="Calibri"/>
                <w:b/>
                <w:color w:val="000000"/>
                <w:lang w:eastAsia="es-CR"/>
              </w:rPr>
              <w:t>Aula</w:t>
            </w:r>
          </w:p>
        </w:tc>
        <w:tc>
          <w:tcPr>
            <w:tcW w:w="7386" w:type="dxa"/>
          </w:tcPr>
          <w:p w14:paraId="109BE707"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eastAsia="es-CR"/>
              </w:rPr>
            </w:pPr>
            <w:r w:rsidRPr="00D56BF9">
              <w:rPr>
                <w:rFonts w:ascii="Calibri" w:eastAsia="Times New Roman" w:hAnsi="Calibri" w:cs="Calibri"/>
                <w:color w:val="000000"/>
                <w:lang w:eastAsia="es-CR"/>
              </w:rPr>
              <w:t>Plataforma virtual de la UBL</w:t>
            </w:r>
          </w:p>
        </w:tc>
      </w:tr>
      <w:tr w:rsidR="00D56BF9" w:rsidRPr="00D56BF9" w14:paraId="6368BDE1" w14:textId="77777777" w:rsidTr="00104785">
        <w:tc>
          <w:tcPr>
            <w:tcW w:w="1668" w:type="dxa"/>
          </w:tcPr>
          <w:p w14:paraId="798B6568" w14:textId="77777777" w:rsidR="00D56BF9" w:rsidRPr="00D56BF9" w:rsidRDefault="00D56BF9" w:rsidP="00D56BF9">
            <w:pPr>
              <w:widowControl w:val="0"/>
              <w:overflowPunct w:val="0"/>
              <w:autoSpaceDE w:val="0"/>
              <w:autoSpaceDN w:val="0"/>
              <w:adjustRightInd w:val="0"/>
              <w:rPr>
                <w:rFonts w:ascii="Calibri" w:eastAsia="Times New Roman" w:hAnsi="Calibri" w:cs="Calibri"/>
                <w:b/>
                <w:color w:val="000000"/>
                <w:lang w:eastAsia="es-CR"/>
              </w:rPr>
            </w:pPr>
            <w:r w:rsidRPr="00D56BF9">
              <w:rPr>
                <w:rFonts w:ascii="Calibri" w:eastAsia="Times New Roman" w:hAnsi="Calibri" w:cs="Calibri"/>
                <w:b/>
                <w:color w:val="000000"/>
                <w:lang w:eastAsia="es-CR"/>
              </w:rPr>
              <w:t>Docente</w:t>
            </w:r>
          </w:p>
        </w:tc>
        <w:tc>
          <w:tcPr>
            <w:tcW w:w="7386" w:type="dxa"/>
          </w:tcPr>
          <w:p w14:paraId="73BE379F"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eastAsia="es-CR"/>
              </w:rPr>
            </w:pPr>
          </w:p>
        </w:tc>
      </w:tr>
      <w:tr w:rsidR="00D56BF9" w:rsidRPr="00D56BF9" w14:paraId="1297276D" w14:textId="77777777" w:rsidTr="00104785">
        <w:tc>
          <w:tcPr>
            <w:tcW w:w="1668" w:type="dxa"/>
            <w:vAlign w:val="center"/>
          </w:tcPr>
          <w:p w14:paraId="444948F7"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eastAsia="es-CR"/>
              </w:rPr>
            </w:pPr>
            <w:r w:rsidRPr="00D56BF9">
              <w:rPr>
                <w:rFonts w:ascii="Calibri" w:eastAsia="Times New Roman" w:hAnsi="Calibri" w:cs="Calibri"/>
                <w:b/>
                <w:color w:val="000000"/>
                <w:lang w:eastAsia="es-CR"/>
              </w:rPr>
              <w:t>Instrucciones administrativas</w:t>
            </w:r>
          </w:p>
        </w:tc>
        <w:tc>
          <w:tcPr>
            <w:tcW w:w="7386" w:type="dxa"/>
          </w:tcPr>
          <w:p w14:paraId="4A80F89B" w14:textId="77777777" w:rsidR="00D56BF9" w:rsidRPr="00D56BF9" w:rsidRDefault="00D56BF9" w:rsidP="00D56BF9">
            <w:pPr>
              <w:widowControl w:val="0"/>
              <w:overflowPunct w:val="0"/>
              <w:autoSpaceDE w:val="0"/>
              <w:autoSpaceDN w:val="0"/>
              <w:adjustRightInd w:val="0"/>
              <w:jc w:val="both"/>
              <w:rPr>
                <w:rFonts w:ascii="Calibri" w:eastAsia="Times New Roman" w:hAnsi="Calibri" w:cs="Calibri"/>
                <w:lang w:eastAsia="es-CR"/>
              </w:rPr>
            </w:pPr>
            <w:r w:rsidRPr="00D56BF9">
              <w:rPr>
                <w:rFonts w:ascii="Calibri" w:eastAsia="Times New Roman" w:hAnsi="Calibri" w:cs="Calibri"/>
                <w:color w:val="000000"/>
                <w:lang w:eastAsia="es-CR"/>
              </w:rPr>
              <w:t>El curso es virtual, por lo que se requiere de acceso a una computadora con conexión a Internet, además de destrezas básicas para el manejo de correo electrónico y la plataforma Moodle desde el rol de estudiante. Por su naturaleza teórico-práctica en este curso se debe invertir 2 horas semanales en trabajos prácticos.</w:t>
            </w:r>
            <w:r w:rsidRPr="00D56BF9">
              <w:rPr>
                <w:rFonts w:ascii="Calibri" w:eastAsia="Times New Roman" w:hAnsi="Calibri" w:cs="Calibri"/>
                <w:lang w:eastAsia="es-CR"/>
              </w:rPr>
              <w:t xml:space="preserve"> La dirección de acceso a la plataforma es la siguiente:</w:t>
            </w:r>
          </w:p>
          <w:p w14:paraId="50CE3A15" w14:textId="77777777" w:rsidR="00D56BF9" w:rsidRPr="00D56BF9" w:rsidRDefault="00DD16F2" w:rsidP="00D56BF9">
            <w:pPr>
              <w:widowControl w:val="0"/>
              <w:overflowPunct w:val="0"/>
              <w:autoSpaceDE w:val="0"/>
              <w:autoSpaceDN w:val="0"/>
              <w:adjustRightInd w:val="0"/>
              <w:jc w:val="both"/>
              <w:rPr>
                <w:rFonts w:ascii="Calibri" w:eastAsia="Times New Roman" w:hAnsi="Calibri" w:cs="Calibri"/>
                <w:color w:val="000000"/>
                <w:lang w:eastAsia="es-CR"/>
              </w:rPr>
            </w:pPr>
            <w:hyperlink r:id="rId528" w:history="1">
              <w:r w:rsidR="00D56BF9" w:rsidRPr="00D56BF9">
                <w:rPr>
                  <w:rFonts w:ascii="Calibri" w:eastAsia="Times New Roman" w:hAnsi="Calibri" w:cs="Calibri"/>
                  <w:color w:val="0563C1"/>
                  <w:u w:val="single"/>
                  <w:lang w:eastAsia="es-CR"/>
                </w:rPr>
                <w:t>https://campus.ubl.ac.cr/login/index.php</w:t>
              </w:r>
            </w:hyperlink>
          </w:p>
        </w:tc>
      </w:tr>
    </w:tbl>
    <w:p w14:paraId="4BD0345F" w14:textId="77777777" w:rsidR="00D56BF9" w:rsidRPr="00D56BF9" w:rsidRDefault="00D56BF9" w:rsidP="00D56BF9">
      <w:pPr>
        <w:widowControl w:val="0"/>
        <w:overflowPunct w:val="0"/>
        <w:autoSpaceDE w:val="0"/>
        <w:autoSpaceDN w:val="0"/>
        <w:adjustRightInd w:val="0"/>
        <w:spacing w:after="0" w:line="240" w:lineRule="auto"/>
        <w:rPr>
          <w:rFonts w:ascii="Calibri" w:eastAsia="Arial" w:hAnsi="Calibri" w:cs="Arial"/>
          <w:color w:val="000000"/>
          <w:kern w:val="0"/>
          <w:lang w:val="es-ES_tradnl" w:eastAsia="es-CR"/>
          <w14:ligatures w14:val="none"/>
        </w:rPr>
      </w:pPr>
    </w:p>
    <w:p w14:paraId="0D760E0F" w14:textId="77777777" w:rsidR="00D56BF9" w:rsidRPr="00D56BF9" w:rsidRDefault="00D56BF9" w:rsidP="00D56BF9">
      <w:pPr>
        <w:widowControl w:val="0"/>
        <w:overflowPunct w:val="0"/>
        <w:autoSpaceDE w:val="0"/>
        <w:autoSpaceDN w:val="0"/>
        <w:adjustRightInd w:val="0"/>
        <w:spacing w:after="0" w:line="240" w:lineRule="auto"/>
        <w:rPr>
          <w:rFonts w:ascii="Calibri" w:eastAsia="Times New Roman" w:hAnsi="Calibri" w:cs="Times New Roman"/>
          <w:color w:val="000000"/>
          <w:kern w:val="0"/>
          <w:lang w:val="es-ES_tradnl" w:eastAsia="es-CR"/>
          <w14:ligatures w14:val="none"/>
        </w:rPr>
      </w:pPr>
    </w:p>
    <w:p w14:paraId="05061E5C"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56BF9">
        <w:rPr>
          <w:rFonts w:ascii="Calibri" w:eastAsia="Times New Roman" w:hAnsi="Calibri" w:cs="Arial"/>
          <w:b/>
          <w:bCs/>
          <w:color w:val="000000"/>
          <w:kern w:val="0"/>
          <w:lang w:val="es-ES_tradnl" w:eastAsia="es-CR"/>
          <w14:ligatures w14:val="none"/>
        </w:rPr>
        <w:t>I.</w:t>
      </w:r>
      <w:r w:rsidRPr="00D56BF9">
        <w:rPr>
          <w:rFonts w:ascii="Calibri" w:eastAsia="Times New Roman" w:hAnsi="Calibri" w:cs="Arial"/>
          <w:color w:val="000000"/>
          <w:kern w:val="0"/>
          <w:lang w:val="es-ES_tradnl" w:eastAsia="es-CR"/>
          <w14:ligatures w14:val="none"/>
        </w:rPr>
        <w:t xml:space="preserve"> </w:t>
      </w:r>
      <w:r w:rsidRPr="00D56BF9">
        <w:rPr>
          <w:rFonts w:ascii="Calibri" w:eastAsia="Times New Roman" w:hAnsi="Calibri" w:cs="Arial"/>
          <w:b/>
          <w:bCs/>
          <w:color w:val="000000"/>
          <w:kern w:val="0"/>
          <w:lang w:val="es-ES_tradnl" w:eastAsia="es-CR"/>
          <w14:ligatures w14:val="none"/>
        </w:rPr>
        <w:t xml:space="preserve">Descripción          </w:t>
      </w:r>
    </w:p>
    <w:p w14:paraId="56C758C8"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D56BF9">
        <w:rPr>
          <w:rFonts w:ascii="Calibri" w:eastAsia="Times New Roman" w:hAnsi="Calibri" w:cs="Arial"/>
          <w:color w:val="000000"/>
          <w:kern w:val="0"/>
          <w:lang w:val="es-ES_tradnl" w:eastAsia="es-CR"/>
          <w14:ligatures w14:val="none"/>
        </w:rPr>
        <w:t>El curso profundiza el estudio de un libro del Nuevo Testamento mostrando la tensión entre su unidad literaria y su proceso de composición y ubicándolo en su ambiente vital. Del mismo modo podrá estudiar sistemáticamente un tema teológico ya sea en el contexto total del Antiguo Testamento o dentro de un tipo de literatura particular o bien en un libro específico señalando su desarrollo histórico en sus diferentes contextos.</w:t>
      </w:r>
    </w:p>
    <w:p w14:paraId="38A5D4B0"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4CDD2A38" w14:textId="77777777" w:rsidR="00D56BF9" w:rsidRPr="00D56BF9" w:rsidRDefault="00D56BF9" w:rsidP="00D56BF9">
      <w:pPr>
        <w:rPr>
          <w:rFonts w:ascii="Calibri" w:eastAsia="Times New Roman" w:hAnsi="Calibri" w:cs="Arial"/>
          <w:b/>
          <w:color w:val="000000"/>
          <w:kern w:val="0"/>
          <w:lang w:val="es-ES_tradnl" w:eastAsia="es-CR"/>
          <w14:ligatures w14:val="none"/>
        </w:rPr>
      </w:pPr>
      <w:r w:rsidRPr="00D56BF9">
        <w:rPr>
          <w:rFonts w:ascii="Calibri" w:eastAsia="Times New Roman" w:hAnsi="Calibri" w:cs="Arial"/>
          <w:b/>
          <w:color w:val="000000"/>
          <w:kern w:val="0"/>
          <w:lang w:val="es-ES_tradnl" w:eastAsia="es-CR"/>
          <w14:ligatures w14:val="none"/>
        </w:rPr>
        <w:br w:type="page"/>
      </w:r>
    </w:p>
    <w:p w14:paraId="5BA98EB8"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color w:val="000000"/>
          <w:kern w:val="0"/>
          <w:lang w:val="es-ES_tradnl" w:eastAsia="es-CR"/>
          <w14:ligatures w14:val="none"/>
        </w:rPr>
      </w:pPr>
      <w:r w:rsidRPr="00D56BF9">
        <w:rPr>
          <w:rFonts w:ascii="Calibri" w:eastAsia="Times New Roman" w:hAnsi="Calibri" w:cs="Arial"/>
          <w:b/>
          <w:color w:val="000000"/>
          <w:kern w:val="0"/>
          <w:lang w:val="es-ES_tradnl" w:eastAsia="es-CR"/>
          <w14:ligatures w14:val="none"/>
        </w:rPr>
        <w:lastRenderedPageBreak/>
        <w:t>II.</w:t>
      </w:r>
      <w:r w:rsidRPr="00D56BF9">
        <w:rPr>
          <w:rFonts w:ascii="Calibri" w:eastAsia="Times New Roman" w:hAnsi="Calibri" w:cs="Arial"/>
          <w:color w:val="000000"/>
          <w:kern w:val="0"/>
          <w:lang w:val="es-ES_tradnl" w:eastAsia="es-CR"/>
          <w14:ligatures w14:val="none"/>
        </w:rPr>
        <w:t xml:space="preserve"> </w:t>
      </w:r>
      <w:r w:rsidRPr="00D56BF9">
        <w:rPr>
          <w:rFonts w:ascii="Calibri" w:eastAsia="Times New Roman" w:hAnsi="Calibri" w:cs="Arial"/>
          <w:b/>
          <w:bCs/>
          <w:color w:val="000000"/>
          <w:kern w:val="0"/>
          <w:lang w:val="es-ES_tradnl" w:eastAsia="es-CR"/>
          <w14:ligatures w14:val="none"/>
        </w:rPr>
        <w:t>Objetivo general</w:t>
      </w:r>
      <w:r w:rsidRPr="00D56BF9">
        <w:rPr>
          <w:rFonts w:ascii="Calibri" w:eastAsia="Times New Roman" w:hAnsi="Calibri" w:cs="Arial"/>
          <w:b/>
          <w:bCs/>
          <w:color w:val="000000"/>
          <w:kern w:val="0"/>
          <w:lang w:val="es-ES_tradnl" w:eastAsia="es-CR"/>
          <w14:ligatures w14:val="none"/>
        </w:rPr>
        <w:tab/>
      </w:r>
    </w:p>
    <w:p w14:paraId="12D503A9"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D56BF9">
        <w:rPr>
          <w:rFonts w:ascii="Calibri" w:eastAsia="Times New Roman" w:hAnsi="Calibri" w:cs="Arial"/>
          <w:color w:val="000000"/>
          <w:kern w:val="0"/>
          <w:lang w:val="es-ES_tradnl" w:eastAsia="es-CR"/>
          <w14:ligatures w14:val="none"/>
        </w:rPr>
        <w:t>Analizar un libro o un tema teológico del Nuevo Testamento situándolos históricamente en sus contextos vitales y analizando la tensión entre proceso de composición y unidad literaria en el caso de un libro particular o su evolución histórica en el caso de un tema.</w:t>
      </w:r>
    </w:p>
    <w:p w14:paraId="10FA2391"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color w:val="000000"/>
          <w:kern w:val="0"/>
          <w:lang w:val="es-ES_tradnl" w:eastAsia="es-CR"/>
          <w14:ligatures w14:val="none"/>
        </w:rPr>
      </w:pPr>
    </w:p>
    <w:p w14:paraId="67333BDA"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b/>
          <w:color w:val="000000"/>
          <w:kern w:val="0"/>
          <w:lang w:val="es-ES_tradnl" w:eastAsia="es-CR"/>
          <w14:ligatures w14:val="none"/>
        </w:rPr>
        <w:t>III.</w:t>
      </w:r>
      <w:r w:rsidRPr="00D56BF9">
        <w:rPr>
          <w:rFonts w:ascii="Calibri" w:eastAsia="Times New Roman" w:hAnsi="Calibri" w:cs="Arial"/>
          <w:color w:val="000000"/>
          <w:kern w:val="0"/>
          <w:lang w:val="es-ES_tradnl" w:eastAsia="es-CR"/>
          <w14:ligatures w14:val="none"/>
        </w:rPr>
        <w:t xml:space="preserve"> </w:t>
      </w:r>
      <w:r w:rsidRPr="00D56BF9">
        <w:rPr>
          <w:rFonts w:ascii="Calibri" w:eastAsia="Times New Roman" w:hAnsi="Calibri" w:cs="Arial"/>
          <w:b/>
          <w:bCs/>
          <w:iCs/>
          <w:color w:val="000000"/>
          <w:kern w:val="0"/>
          <w:lang w:val="es-ES_tradnl" w:eastAsia="es-CR"/>
          <w14:ligatures w14:val="none"/>
        </w:rPr>
        <w:t>Objetivos específicos</w:t>
      </w:r>
      <w:r w:rsidRPr="00D56BF9">
        <w:rPr>
          <w:rFonts w:ascii="Calibri" w:eastAsia="Times New Roman" w:hAnsi="Calibri" w:cs="Arial"/>
          <w:b/>
          <w:bCs/>
          <w:iCs/>
          <w:color w:val="000000"/>
          <w:kern w:val="0"/>
          <w:lang w:val="es-ES_tradnl" w:eastAsia="es-CR"/>
          <w14:ligatures w14:val="none"/>
        </w:rPr>
        <w:tab/>
      </w:r>
    </w:p>
    <w:p w14:paraId="338C13A8"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p>
    <w:p w14:paraId="1FDAD85E"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D56BF9">
        <w:rPr>
          <w:rFonts w:ascii="Calibri" w:eastAsia="Times New Roman" w:hAnsi="Calibri" w:cs="Arial"/>
          <w:iCs/>
          <w:color w:val="000000"/>
          <w:kern w:val="0"/>
          <w:lang w:val="es-ES_tradnl" w:eastAsia="es-CR"/>
          <w14:ligatures w14:val="none"/>
        </w:rPr>
        <w:t>1.</w:t>
      </w:r>
      <w:r w:rsidRPr="00D56BF9">
        <w:rPr>
          <w:rFonts w:ascii="Calibri" w:eastAsia="Times New Roman" w:hAnsi="Calibri" w:cs="Arial"/>
          <w:b/>
          <w:bCs/>
          <w:iCs/>
          <w:color w:val="000000"/>
          <w:kern w:val="0"/>
          <w:lang w:val="es-ES_tradnl" w:eastAsia="es-CR"/>
          <w14:ligatures w14:val="none"/>
        </w:rPr>
        <w:t xml:space="preserve"> </w:t>
      </w:r>
      <w:r w:rsidRPr="00D56BF9">
        <w:rPr>
          <w:rFonts w:ascii="Calibri" w:eastAsia="Times New Roman" w:hAnsi="Calibri" w:cs="Arial"/>
          <w:color w:val="000000"/>
          <w:kern w:val="0"/>
          <w:lang w:val="es-ES_tradnl" w:eastAsia="es-CR"/>
          <w14:ligatures w14:val="none"/>
        </w:rPr>
        <w:t>Formular un marco teórico que articule adecuadamente los conceptos de unidad literaria (versión canónica de los libros) y el proceso histórico de composición.</w:t>
      </w:r>
    </w:p>
    <w:p w14:paraId="29AB5ACD"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2DC73D58"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D56BF9">
        <w:rPr>
          <w:rFonts w:ascii="Calibri" w:eastAsia="Times New Roman" w:hAnsi="Calibri" w:cs="Arial"/>
          <w:color w:val="000000"/>
          <w:kern w:val="0"/>
          <w:lang w:val="es-ES_tradnl" w:eastAsia="es-CR"/>
          <w14:ligatures w14:val="none"/>
        </w:rPr>
        <w:t>2. Situar históricamente el libro o tema estudiado por medio de una reconstrucción sociohistórica de su contexto vital.</w:t>
      </w:r>
    </w:p>
    <w:p w14:paraId="4F892EC3"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5CD3C7DA"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D56BF9">
        <w:rPr>
          <w:rFonts w:ascii="Calibri" w:eastAsia="Times New Roman" w:hAnsi="Calibri" w:cs="Arial"/>
          <w:color w:val="000000"/>
          <w:kern w:val="0"/>
          <w:lang w:val="es-ES_tradnl" w:eastAsia="es-CR"/>
          <w14:ligatures w14:val="none"/>
        </w:rPr>
        <w:t>3. Describir los elementos teológicos fundamentales de un libro vinculándolos con la forma literaria con que estos son comunicados.</w:t>
      </w:r>
    </w:p>
    <w:p w14:paraId="43A6EE4E"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p>
    <w:p w14:paraId="761106B1"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color w:val="000000"/>
          <w:kern w:val="0"/>
          <w:lang w:val="es-ES_tradnl" w:eastAsia="es-CR"/>
          <w14:ligatures w14:val="none"/>
        </w:rPr>
        <w:t>4. Explicar el proceso de relecturas que un tema teológico transita dentro de la dinámica social de los grupos humanos.</w:t>
      </w:r>
    </w:p>
    <w:p w14:paraId="063AA4C6"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p>
    <w:p w14:paraId="12CFE5C6"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b/>
          <w:bCs/>
          <w:color w:val="000000"/>
          <w:kern w:val="0"/>
          <w:lang w:val="es-ES_tradnl" w:eastAsia="es-CR"/>
          <w14:ligatures w14:val="none"/>
        </w:rPr>
        <w:t xml:space="preserve">IV. </w:t>
      </w:r>
      <w:r w:rsidRPr="00D56BF9">
        <w:rPr>
          <w:rFonts w:ascii="Calibri" w:eastAsia="Times New Roman" w:hAnsi="Calibri" w:cs="Arial"/>
          <w:b/>
          <w:bCs/>
          <w:iCs/>
          <w:color w:val="000000"/>
          <w:kern w:val="0"/>
          <w:lang w:val="es-ES_tradnl" w:eastAsia="es-CR"/>
          <w14:ligatures w14:val="none"/>
        </w:rPr>
        <w:t>Contenidos</w:t>
      </w:r>
    </w:p>
    <w:p w14:paraId="4CAE85FD"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p>
    <w:p w14:paraId="5E57296E" w14:textId="77777777" w:rsidR="00D56BF9" w:rsidRPr="00D56BF9" w:rsidRDefault="00D56BF9" w:rsidP="00D56BF9">
      <w:pPr>
        <w:autoSpaceDE w:val="0"/>
        <w:autoSpaceDN w:val="0"/>
        <w:adjustRightInd w:val="0"/>
        <w:spacing w:after="0" w:line="240" w:lineRule="auto"/>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b/>
          <w:bCs/>
          <w:color w:val="000000"/>
          <w:kern w:val="0"/>
          <w:lang w:val="es-ES_tradnl" w:eastAsia="es-CR"/>
          <w14:ligatures w14:val="none"/>
        </w:rPr>
        <w:t xml:space="preserve">Unidad 1: </w:t>
      </w:r>
      <w:r w:rsidRPr="00D56BF9">
        <w:rPr>
          <w:rFonts w:ascii="Calibri" w:eastAsia="Times New Roman" w:hAnsi="Calibri" w:cs="Arial"/>
          <w:b/>
          <w:color w:val="000000"/>
          <w:kern w:val="0"/>
          <w:lang w:val="es-ES_tradnl" w:eastAsia="es-CR"/>
          <w14:ligatures w14:val="none"/>
        </w:rPr>
        <w:t>Marco teórico desde donde se realizará el estudio del libro o tema del Nuevo Testamento seleccionado</w:t>
      </w:r>
    </w:p>
    <w:p w14:paraId="50DD37BA" w14:textId="77777777" w:rsidR="00D56BF9" w:rsidRPr="00D56BF9" w:rsidRDefault="00D56BF9" w:rsidP="00D56BF9">
      <w:pPr>
        <w:autoSpaceDE w:val="0"/>
        <w:autoSpaceDN w:val="0"/>
        <w:adjustRightInd w:val="0"/>
        <w:spacing w:after="0" w:line="240" w:lineRule="auto"/>
        <w:rPr>
          <w:rFonts w:ascii="Calibri" w:eastAsia="Times New Roman" w:hAnsi="Calibri" w:cs="Arial"/>
          <w:b/>
          <w:bCs/>
          <w:iCs/>
          <w:color w:val="000000"/>
          <w:kern w:val="0"/>
          <w:lang w:val="es-ES_tradnl" w:eastAsia="es-CR"/>
          <w14:ligatures w14:val="none"/>
        </w:rPr>
      </w:pPr>
    </w:p>
    <w:p w14:paraId="51AFC172"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bCs/>
          <w:color w:val="000000"/>
          <w:kern w:val="0"/>
          <w:lang w:val="es-ES_tradnl" w:eastAsia="es-CR"/>
          <w14:ligatures w14:val="none"/>
        </w:rPr>
        <w:t>1.1 P</w:t>
      </w:r>
      <w:r w:rsidRPr="00D56BF9">
        <w:rPr>
          <w:rFonts w:ascii="Calibri" w:eastAsia="Times New Roman" w:hAnsi="Calibri" w:cs="Arial"/>
          <w:color w:val="000000"/>
          <w:kern w:val="0"/>
          <w:lang w:val="es-ES_tradnl" w:eastAsia="es-CR"/>
          <w14:ligatures w14:val="none"/>
        </w:rPr>
        <w:t>roblemáticas introductorias que afectan al libro o tema teológico del Nuevo Testamento seleccionado</w:t>
      </w:r>
    </w:p>
    <w:p w14:paraId="5E9D1B50"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sz w:val="12"/>
          <w:szCs w:val="12"/>
          <w:lang w:val="es-ES_tradnl" w:eastAsia="es-CR"/>
          <w14:ligatures w14:val="none"/>
        </w:rPr>
      </w:pPr>
    </w:p>
    <w:p w14:paraId="4C2DB14A"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bCs/>
          <w:color w:val="000000"/>
          <w:kern w:val="0"/>
          <w:lang w:val="es-ES_tradnl" w:eastAsia="es-CR"/>
          <w14:ligatures w14:val="none"/>
        </w:rPr>
        <w:t>1.2 Perspectivas de las diferentes escuelas de pensamiento en relación con el libro o tema teológico del Nuevo Testamento seleccionado (estado de la cuestión)</w:t>
      </w:r>
    </w:p>
    <w:p w14:paraId="0FF74CEF"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p>
    <w:p w14:paraId="1D4F39A1"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b/>
          <w:bCs/>
          <w:color w:val="000000"/>
          <w:kern w:val="0"/>
          <w:lang w:val="es-ES_tradnl" w:eastAsia="es-CR"/>
          <w14:ligatures w14:val="none"/>
        </w:rPr>
        <w:t xml:space="preserve">Unidad 2: Dimensión literaria </w:t>
      </w:r>
      <w:r w:rsidRPr="00D56BF9">
        <w:rPr>
          <w:rFonts w:ascii="Calibri" w:eastAsia="Times New Roman" w:hAnsi="Calibri" w:cs="Arial"/>
          <w:b/>
          <w:color w:val="000000"/>
          <w:kern w:val="0"/>
          <w:lang w:val="es-ES_tradnl" w:eastAsia="es-CR"/>
          <w14:ligatures w14:val="none"/>
        </w:rPr>
        <w:t>del libro o tema del Nuevo Testamento seleccionado</w:t>
      </w:r>
    </w:p>
    <w:p w14:paraId="03628FF0"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p>
    <w:p w14:paraId="7738915F"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color w:val="000000"/>
          <w:kern w:val="0"/>
          <w:lang w:val="es-ES_tradnl" w:eastAsia="es-CR"/>
          <w14:ligatures w14:val="none"/>
        </w:rPr>
      </w:pPr>
      <w:r w:rsidRPr="00D56BF9">
        <w:rPr>
          <w:rFonts w:ascii="Calibri" w:eastAsia="Times New Roman" w:hAnsi="Calibri" w:cs="Arial"/>
          <w:bCs/>
          <w:color w:val="000000"/>
          <w:kern w:val="0"/>
          <w:lang w:val="es-ES_tradnl" w:eastAsia="es-CR"/>
          <w14:ligatures w14:val="none"/>
        </w:rPr>
        <w:t xml:space="preserve">2.1 Aspectos exegéticos de la obra/tema </w:t>
      </w:r>
      <w:r w:rsidRPr="00D56BF9">
        <w:rPr>
          <w:rFonts w:ascii="Calibri" w:eastAsia="Times New Roman" w:hAnsi="Calibri" w:cs="Arial"/>
          <w:color w:val="000000"/>
          <w:kern w:val="0"/>
          <w:lang w:val="es-ES_tradnl" w:eastAsia="es-CR"/>
          <w14:ligatures w14:val="none"/>
        </w:rPr>
        <w:t>del Nuevo Testamento seleccionado</w:t>
      </w:r>
    </w:p>
    <w:p w14:paraId="502DE9A3"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color w:val="000000"/>
          <w:kern w:val="0"/>
          <w:sz w:val="12"/>
          <w:szCs w:val="12"/>
          <w:lang w:val="es-ES_tradnl" w:eastAsia="es-CR"/>
          <w14:ligatures w14:val="none"/>
        </w:rPr>
      </w:pPr>
    </w:p>
    <w:p w14:paraId="0C69036F"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bCs/>
          <w:color w:val="000000"/>
          <w:kern w:val="0"/>
          <w:lang w:val="es-ES_tradnl" w:eastAsia="es-CR"/>
          <w14:ligatures w14:val="none"/>
        </w:rPr>
        <w:t xml:space="preserve">2.2 Aspectos literarios de la obra/tema </w:t>
      </w:r>
      <w:r w:rsidRPr="00D56BF9">
        <w:rPr>
          <w:rFonts w:ascii="Calibri" w:eastAsia="Times New Roman" w:hAnsi="Calibri" w:cs="Arial"/>
          <w:color w:val="000000"/>
          <w:kern w:val="0"/>
          <w:lang w:val="es-ES_tradnl" w:eastAsia="es-CR"/>
          <w14:ligatures w14:val="none"/>
        </w:rPr>
        <w:t>del Nuevo Testamento seleccionado</w:t>
      </w:r>
    </w:p>
    <w:p w14:paraId="33B57E69"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p>
    <w:p w14:paraId="54BF47C1"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b/>
          <w:bCs/>
          <w:color w:val="000000"/>
          <w:kern w:val="0"/>
          <w:lang w:val="es-ES_tradnl" w:eastAsia="es-CR"/>
          <w14:ligatures w14:val="none"/>
        </w:rPr>
        <w:t xml:space="preserve">Unidad 3: Dimensión vital </w:t>
      </w:r>
      <w:r w:rsidRPr="00D56BF9">
        <w:rPr>
          <w:rFonts w:ascii="Calibri" w:eastAsia="Times New Roman" w:hAnsi="Calibri" w:cs="Arial"/>
          <w:b/>
          <w:color w:val="000000"/>
          <w:kern w:val="0"/>
          <w:lang w:val="es-ES_tradnl" w:eastAsia="es-CR"/>
          <w14:ligatures w14:val="none"/>
        </w:rPr>
        <w:t>del libro o tema del Nuevo Testamento seleccionado</w:t>
      </w:r>
    </w:p>
    <w:p w14:paraId="49308723"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p>
    <w:p w14:paraId="65BD2341"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bCs/>
          <w:color w:val="000000"/>
          <w:kern w:val="0"/>
          <w:lang w:val="es-ES_tradnl" w:eastAsia="es-CR"/>
          <w14:ligatures w14:val="none"/>
        </w:rPr>
        <w:t xml:space="preserve">3.1 Aspectos teológicos de la obra/tema </w:t>
      </w:r>
      <w:r w:rsidRPr="00D56BF9">
        <w:rPr>
          <w:rFonts w:ascii="Calibri" w:eastAsia="Times New Roman" w:hAnsi="Calibri" w:cs="Arial"/>
          <w:color w:val="000000"/>
          <w:kern w:val="0"/>
          <w:lang w:val="es-ES_tradnl" w:eastAsia="es-CR"/>
          <w14:ligatures w14:val="none"/>
        </w:rPr>
        <w:t>del Nuevo Testamento seleccionado</w:t>
      </w:r>
    </w:p>
    <w:p w14:paraId="23FE50C7"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sz w:val="12"/>
          <w:szCs w:val="12"/>
          <w:lang w:val="es-ES_tradnl" w:eastAsia="es-CR"/>
          <w14:ligatures w14:val="none"/>
        </w:rPr>
      </w:pPr>
    </w:p>
    <w:p w14:paraId="6E6DA5CD"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bCs/>
          <w:color w:val="000000"/>
          <w:kern w:val="0"/>
          <w:lang w:val="es-ES_tradnl" w:eastAsia="es-CR"/>
          <w14:ligatures w14:val="none"/>
        </w:rPr>
        <w:t>3.2 Aspectos pastorales de la obra/tema del Nuevo Testamento seleccionado</w:t>
      </w:r>
    </w:p>
    <w:p w14:paraId="7F7E9C8F"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sz w:val="12"/>
          <w:szCs w:val="12"/>
          <w:lang w:val="es-ES_tradnl" w:eastAsia="es-CR"/>
          <w14:ligatures w14:val="none"/>
        </w:rPr>
      </w:pPr>
    </w:p>
    <w:p w14:paraId="37491A27"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
          <w:bCs/>
          <w:iCs/>
          <w:color w:val="000000"/>
          <w:kern w:val="0"/>
          <w:lang w:val="es-ES_tradnl" w:eastAsia="es-CR"/>
          <w14:ligatures w14:val="none"/>
        </w:rPr>
      </w:pPr>
      <w:r w:rsidRPr="00D56BF9">
        <w:rPr>
          <w:rFonts w:ascii="Calibri" w:eastAsia="Times New Roman" w:hAnsi="Calibri" w:cs="Arial"/>
          <w:bCs/>
          <w:kern w:val="0"/>
          <w:lang w:val="es-ES_tradnl" w:eastAsia="es-CR"/>
          <w14:ligatures w14:val="none"/>
        </w:rPr>
        <w:t>3.3 Cierre del proceso de investigación</w:t>
      </w:r>
    </w:p>
    <w:p w14:paraId="0A7D1BEB" w14:textId="77777777" w:rsidR="00D56BF9" w:rsidRPr="00D56BF9" w:rsidRDefault="00D56BF9" w:rsidP="00D56BF9">
      <w:pPr>
        <w:rPr>
          <w:rFonts w:ascii="Calibri" w:eastAsia="Times New Roman" w:hAnsi="Calibri" w:cs="Arial"/>
          <w:b/>
          <w:bCs/>
          <w:color w:val="000000"/>
          <w:kern w:val="0"/>
          <w:lang w:val="es-ES_tradnl" w:eastAsia="es-CR"/>
          <w14:ligatures w14:val="none"/>
        </w:rPr>
      </w:pPr>
    </w:p>
    <w:p w14:paraId="7CA4C05D" w14:textId="77777777" w:rsidR="00D56BF9" w:rsidRPr="00D56BF9" w:rsidRDefault="00D56BF9" w:rsidP="00D56BF9">
      <w:pPr>
        <w:rPr>
          <w:rFonts w:ascii="Calibri" w:eastAsia="Times New Roman" w:hAnsi="Calibri" w:cs="Arial"/>
          <w:b/>
          <w:bCs/>
          <w:kern w:val="0"/>
          <w:lang w:val="es-ES_tradnl" w:eastAsia="es-CR"/>
          <w14:ligatures w14:val="none"/>
        </w:rPr>
      </w:pPr>
      <w:r w:rsidRPr="00D56BF9">
        <w:rPr>
          <w:rFonts w:ascii="Calibri" w:eastAsia="Times New Roman" w:hAnsi="Calibri" w:cs="Arial"/>
          <w:b/>
          <w:bCs/>
          <w:kern w:val="0"/>
          <w:lang w:val="es-ES_tradnl" w:eastAsia="es-CR"/>
          <w14:ligatures w14:val="none"/>
        </w:rPr>
        <w:t xml:space="preserve">V. Metodología </w:t>
      </w:r>
    </w:p>
    <w:p w14:paraId="5774A040"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D56BF9">
        <w:rPr>
          <w:rFonts w:ascii="Calibri" w:eastAsia="Times New Roman" w:hAnsi="Calibri" w:cs="Arial"/>
          <w:kern w:val="0"/>
          <w:lang w:val="es-ES" w:eastAsia="es-CR"/>
          <w14:ligatures w14:val="none"/>
        </w:rPr>
        <w:t xml:space="preserve">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w:t>
      </w:r>
      <w:r w:rsidRPr="00D56BF9">
        <w:rPr>
          <w:rFonts w:ascii="Calibri" w:eastAsia="Times New Roman" w:hAnsi="Calibri" w:cs="Arial"/>
          <w:kern w:val="0"/>
          <w:lang w:val="es-ES" w:eastAsia="es-CR"/>
          <w14:ligatures w14:val="none"/>
        </w:rPr>
        <w:lastRenderedPageBreak/>
        <w:t>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3034A9D1"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kern w:val="0"/>
          <w:lang w:val="es-ES" w:eastAsia="es-CR"/>
          <w14:ligatures w14:val="none"/>
        </w:rPr>
      </w:pPr>
      <w:r w:rsidRPr="00D56BF9">
        <w:rPr>
          <w:rFonts w:ascii="Calibri" w:eastAsia="Times New Roman" w:hAnsi="Calibri" w:cs="Arial"/>
          <w:kern w:val="0"/>
          <w:lang w:val="es-ES" w:eastAsia="es-CR"/>
          <w14:ligatures w14:val="none"/>
        </w:rPr>
        <w:t>La metodología del curso es de seminario, con énfasis en la investigación por parte de la y el estudiante, sobre nuevos aportes teóricos interdisciplinarios del Nuevo Testamento. Este aprendizaje coadyuvará a ampliar y profundizar los conocimientos adquiridos previamente y contribuirá a que las temáticas actuales adquieran sentido en sus propios contextos. El trabajo individual de los y las estudiantes se basará en las lecturas digitales que se han asignado, identificando las tesis principales, realizando trabajo de sistematización, un análisis crítico de dichas tesis y la producción de tareas de distintas características, con el fin de entrenar las habilidades de comprensión y elaboración de pensamiento. Estos ejercicios pretenden ayudar en la construcción de habilidades para la investigación, especialmente en lo concerniente a análisis bibliográfico y producción escrita. A su vez, se realizarán trabajos de índole colaborativo</w:t>
      </w:r>
      <w:r w:rsidRPr="00D56BF9">
        <w:rPr>
          <w:rFonts w:ascii="Times New Roman" w:eastAsia="Times New Roman" w:hAnsi="Times New Roman" w:cs="Times New Roman"/>
          <w:kern w:val="0"/>
          <w:sz w:val="24"/>
          <w:szCs w:val="20"/>
          <w:lang w:val="es-ES" w:eastAsia="es-CR"/>
          <w14:ligatures w14:val="none"/>
        </w:rPr>
        <w:t xml:space="preserve"> </w:t>
      </w:r>
      <w:r w:rsidRPr="00D56BF9">
        <w:rPr>
          <w:rFonts w:ascii="Calibri" w:eastAsia="Times New Roman" w:hAnsi="Calibri" w:cs="Arial"/>
          <w:kern w:val="0"/>
          <w:lang w:val="es-ES" w:eastAsia="es-CR"/>
          <w14:ligatures w14:val="none"/>
        </w:rPr>
        <w:t>a partir de los cuáles se buscará fomentar la construcción colectiva de conocimiento, el debate crítico y el diálogo de saberes con las personas compañeras y la persona docente. El curso planteará también la posibilidad de encuentros sincrónicos virtuales donde se buscará el intercambio de saberes y la construcción de conocimiento colectivo.</w:t>
      </w:r>
      <w:r w:rsidRPr="00D56BF9">
        <w:rPr>
          <w:rFonts w:ascii="Times New Roman" w:eastAsia="Times New Roman" w:hAnsi="Times New Roman" w:cs="Times New Roman"/>
          <w:kern w:val="0"/>
          <w:sz w:val="24"/>
          <w:szCs w:val="20"/>
          <w:lang w:val="es-ES" w:eastAsia="es-CR"/>
          <w14:ligatures w14:val="none"/>
        </w:rPr>
        <w:t xml:space="preserve"> </w:t>
      </w:r>
      <w:r w:rsidRPr="00D56BF9">
        <w:rPr>
          <w:rFonts w:ascii="Calibri" w:eastAsia="Times New Roman" w:hAnsi="Calibri" w:cs="Arial"/>
          <w:kern w:val="0"/>
          <w:lang w:val="es-ES" w:eastAsia="es-CR"/>
          <w14:ligatures w14:val="none"/>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w:t>
      </w:r>
    </w:p>
    <w:p w14:paraId="6F638659"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kern w:val="0"/>
          <w:sz w:val="2"/>
          <w:szCs w:val="2"/>
          <w:lang w:val="es-ES_tradnl" w:eastAsia="es-CR"/>
          <w14:ligatures w14:val="none"/>
        </w:rPr>
      </w:pPr>
    </w:p>
    <w:p w14:paraId="5825F2DA"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b/>
          <w:kern w:val="0"/>
          <w:lang w:val="es-ES_tradnl" w:eastAsia="es-CR"/>
          <w14:ligatures w14:val="none"/>
        </w:rPr>
      </w:pPr>
      <w:r w:rsidRPr="00D56BF9">
        <w:rPr>
          <w:rFonts w:ascii="Calibri" w:eastAsia="Times New Roman" w:hAnsi="Calibri" w:cs="Arial"/>
          <w:b/>
          <w:color w:val="000000"/>
          <w:kern w:val="0"/>
          <w:lang w:val="es-ES_tradnl" w:eastAsia="es-CR"/>
          <w14:ligatures w14:val="none"/>
        </w:rPr>
        <w:t>VI. Estrategias de aprendizaje</w:t>
      </w:r>
    </w:p>
    <w:p w14:paraId="42E26C0A"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D56BF9">
        <w:rPr>
          <w:rFonts w:ascii="Calibri" w:eastAsia="Times New Roman" w:hAnsi="Calibri" w:cs="Arial"/>
          <w:bCs/>
          <w:color w:val="000000"/>
          <w:kern w:val="0"/>
          <w:lang w:val="es-ES_tradnl" w:eastAsia="es-CR"/>
          <w14:ligatures w14:val="none"/>
        </w:rPr>
        <w:t xml:space="preserve">Las actividades de aprendizaje del curso están orientadas al estudio del evangelio de Marcos desde diferentes dimensiones: histórica, literaria y teológica. </w:t>
      </w:r>
    </w:p>
    <w:p w14:paraId="0357831E"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D56BF9">
        <w:rPr>
          <w:rFonts w:ascii="Calibri" w:eastAsia="Times New Roman" w:hAnsi="Calibri" w:cs="Arial"/>
          <w:bCs/>
          <w:color w:val="000000"/>
          <w:kern w:val="0"/>
          <w:lang w:val="es-ES_tradnl" w:eastAsia="es-CR"/>
          <w14:ligatures w14:val="none"/>
        </w:rPr>
        <w:t>Se utilizan las siguientes estrategias de aprendizaje:</w:t>
      </w:r>
    </w:p>
    <w:p w14:paraId="4F4DD450"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56BF9">
        <w:rPr>
          <w:rFonts w:ascii="Calibri" w:eastAsia="Times New Roman" w:hAnsi="Calibri" w:cs="Arial"/>
          <w:b/>
          <w:bCs/>
          <w:color w:val="000000"/>
          <w:kern w:val="0"/>
          <w:lang w:val="es-ES" w:eastAsia="es-CR"/>
          <w14:ligatures w14:val="none"/>
        </w:rPr>
        <w:t>a) Encuentro sincrónico virtual:</w:t>
      </w:r>
      <w:r w:rsidRPr="00D56BF9">
        <w:rPr>
          <w:rFonts w:ascii="Calibri" w:eastAsia="Times New Roman" w:hAnsi="Calibri" w:cs="Arial"/>
          <w:color w:val="000000"/>
          <w:kern w:val="0"/>
          <w:lang w:val="es-ES" w:eastAsia="es-CR"/>
          <w14:ligatures w14:val="none"/>
        </w:rPr>
        <w:t xml:space="preserve"> Los encuentros sincrónicos virtuales se realizan durante el curso para que la persona docente pueda aportar insumos de profundización y clarificación sobre el estudio del evangelio de Marcos. Asimismo, los estudiantes pueden intercambiar sus aportes y reflexiones sobre las temáticas abordadas.  En este espacio cada estudiante presentará su trabajo de investigación, recibiendo retroalimentación docente y de sus compañeros y compañeras. Los encuentros sincrónicos virtuales tienen valor formativo. </w:t>
      </w:r>
    </w:p>
    <w:p w14:paraId="77D6E6AA"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56BF9">
        <w:rPr>
          <w:rFonts w:ascii="Calibri" w:eastAsia="Times New Roman" w:hAnsi="Calibri" w:cs="Arial"/>
          <w:b/>
          <w:color w:val="000000"/>
          <w:kern w:val="0"/>
          <w:lang w:val="es-ES_tradnl" w:eastAsia="es-CR"/>
          <w14:ligatures w14:val="none"/>
        </w:rPr>
        <w:t>b) Reseña crítica de lectura:</w:t>
      </w:r>
      <w:r w:rsidRPr="00D56BF9">
        <w:rPr>
          <w:rFonts w:ascii="Calibri" w:eastAsia="Times New Roman" w:hAnsi="Calibri" w:cs="Arial"/>
          <w:bCs/>
          <w:color w:val="000000"/>
          <w:kern w:val="0"/>
          <w:lang w:val="es-ES_tradnl" w:eastAsia="es-CR"/>
          <w14:ligatures w14:val="none"/>
        </w:rPr>
        <w:t xml:space="preserve"> </w:t>
      </w:r>
      <w:r w:rsidRPr="00D56BF9">
        <w:rPr>
          <w:rFonts w:ascii="Calibri" w:eastAsia="Times New Roman" w:hAnsi="Calibri" w:cs="Calibri"/>
          <w:bCs/>
          <w:color w:val="000000"/>
          <w:kern w:val="0"/>
          <w:lang w:val="es-ES_tradnl" w:eastAsia="es-CR"/>
          <w14:ligatures w14:val="none"/>
        </w:rPr>
        <w:t xml:space="preserve">La identificación de los temas y argumentos claves de una lectura es el primer paso de una reseña crítica. El elemento crítico radica en la valoración que hace la persona estudiante de los aportes del autor o la autora y su contribución al tema en discusión. Esto lleva a una contextualización para su propio quehacer y contexto. Dicha actividad ejercita la capacidad de síntesis y de análisis crítico de la persona estudiante. Durante el curso las personas estudiantes realizarán tres reseñas críticas. La primera sobre el origen del cristianismo, la segunda sobre las características literarias del evangelio de Marcos y, finalmente, la tercera sobre las realidades sociohistóricas del evangelio de Marcos.  </w:t>
      </w:r>
    </w:p>
    <w:p w14:paraId="0A5BED4A"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3AAE828"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D56BF9">
        <w:rPr>
          <w:rFonts w:ascii="Calibri" w:eastAsia="Times New Roman" w:hAnsi="Calibri" w:cs="Arial"/>
          <w:b/>
          <w:color w:val="000000"/>
          <w:kern w:val="0"/>
          <w:lang w:val="es-ES_tradnl" w:eastAsia="es-CR"/>
          <w14:ligatures w14:val="none"/>
        </w:rPr>
        <w:t>c) Foro:</w:t>
      </w:r>
      <w:r w:rsidRPr="00D56BF9">
        <w:rPr>
          <w:rFonts w:ascii="Calibri" w:eastAsia="Times New Roman" w:hAnsi="Calibri" w:cs="Arial"/>
          <w:bCs/>
          <w:color w:val="000000"/>
          <w:kern w:val="0"/>
          <w:lang w:val="es-ES_tradnl" w:eastAsia="es-CR"/>
          <w14:ligatures w14:val="none"/>
        </w:rPr>
        <w:t xml:space="preserve"> </w:t>
      </w:r>
      <w:r w:rsidRPr="00D56BF9">
        <w:rPr>
          <w:rFonts w:ascii="Calibri" w:eastAsia="Times New Roman" w:hAnsi="Calibri" w:cs="Arial"/>
          <w:color w:val="000000"/>
          <w:kern w:val="0"/>
          <w:lang w:val="es-ES_tradnl" w:eastAsia="es-CR"/>
          <w14:ligatures w14:val="none"/>
        </w:rPr>
        <w:t>En los foros temáticos las personas estudiantes realizarán aportes y desarrollarán insumos y reflexiones de manera colaborativa y asincrónica. Mediante estos se buscará la profundización y discusión sobre los temas de las lecturas. De manera particular se explorarán las dimensiones histórica, literaria y teológica del evangelio de Marcos. A partir de preguntas generadores referentes a las lecturas de las sesiones donde se desarrollan, se invitará a la discusión de las tesis centrales de los autores, así como a las reacciones críticas que estas generan.</w:t>
      </w:r>
    </w:p>
    <w:p w14:paraId="4E9909D1"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56BF9">
        <w:rPr>
          <w:rFonts w:ascii="Calibri" w:eastAsia="Times New Roman" w:hAnsi="Calibri" w:cs="Arial"/>
          <w:b/>
          <w:bCs/>
          <w:color w:val="000000"/>
          <w:kern w:val="0"/>
          <w:lang w:val="es-ES" w:eastAsia="es-CR"/>
          <w14:ligatures w14:val="none"/>
        </w:rPr>
        <w:t xml:space="preserve">d) Glosario: </w:t>
      </w:r>
      <w:r w:rsidRPr="00D56BF9">
        <w:rPr>
          <w:rFonts w:ascii="Calibri" w:eastAsia="Times New Roman" w:hAnsi="Calibri" w:cs="Arial"/>
          <w:color w:val="000000"/>
          <w:kern w:val="0"/>
          <w:lang w:val="es-ES" w:eastAsia="es-CR"/>
          <w14:ligatures w14:val="none"/>
        </w:rPr>
        <w:t xml:space="preserve">El glosario es una herramienta virtual mediante la cual los y las estudiantes elaborarán una lista de términos que resumen la materia tratada en una lectura como si se tratase de un diccionario, colocando dichas definiciones en la plataforma en una construcción colectiva con sus compañeros y compañeras.  </w:t>
      </w:r>
    </w:p>
    <w:p w14:paraId="601A751C"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56BF9">
        <w:rPr>
          <w:rFonts w:ascii="Calibri" w:eastAsia="Times New Roman" w:hAnsi="Calibri" w:cs="Arial"/>
          <w:b/>
          <w:bCs/>
          <w:color w:val="000000"/>
          <w:kern w:val="0"/>
          <w:lang w:val="es-ES" w:eastAsia="es-CR"/>
          <w14:ligatures w14:val="none"/>
        </w:rPr>
        <w:t>e) Ensayo:</w:t>
      </w:r>
      <w:r w:rsidRPr="00D56BF9">
        <w:rPr>
          <w:rFonts w:ascii="Calibri" w:eastAsia="Times New Roman" w:hAnsi="Calibri" w:cs="Arial"/>
          <w:color w:val="000000"/>
          <w:kern w:val="0"/>
          <w:lang w:val="es-ES" w:eastAsia="es-CR"/>
          <w14:ligatures w14:val="none"/>
        </w:rPr>
        <w:t xml:space="preserve"> El ensayo es un escrito académico en el que la persona estudiante desarrollará, en una de las sesiones, el tema del evangelio de Marcos a partir de la noción de herejía, y en otra sesión, el tema de las ideas teológicas relacionadas a la comunidad </w:t>
      </w:r>
      <w:proofErr w:type="spellStart"/>
      <w:r w:rsidRPr="00D56BF9">
        <w:rPr>
          <w:rFonts w:ascii="Calibri" w:eastAsia="Times New Roman" w:hAnsi="Calibri" w:cs="Arial"/>
          <w:color w:val="000000"/>
          <w:kern w:val="0"/>
          <w:lang w:val="es-ES" w:eastAsia="es-CR"/>
          <w14:ligatures w14:val="none"/>
        </w:rPr>
        <w:t>marcana</w:t>
      </w:r>
      <w:proofErr w:type="spellEnd"/>
      <w:r w:rsidRPr="00D56BF9">
        <w:rPr>
          <w:rFonts w:ascii="Calibri" w:eastAsia="Times New Roman" w:hAnsi="Calibri" w:cs="Arial"/>
          <w:color w:val="000000"/>
          <w:kern w:val="0"/>
          <w:lang w:val="es-ES" w:eastAsia="es-CR"/>
          <w14:ligatures w14:val="none"/>
        </w:rPr>
        <w:t>. Las lecturas de las sesiones y el trabajo realizado durante el curso serán fundamentales para desarrollar ideas y argumentos propios sobre el tema en discusión y su pertinencia.</w:t>
      </w:r>
    </w:p>
    <w:p w14:paraId="720B995F"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bCs/>
          <w:color w:val="000000"/>
          <w:kern w:val="0"/>
          <w:lang w:val="es-ES_tradnl" w:eastAsia="es-CR"/>
          <w14:ligatures w14:val="none"/>
        </w:rPr>
      </w:pPr>
      <w:r w:rsidRPr="00D56BF9">
        <w:rPr>
          <w:rFonts w:ascii="Calibri" w:eastAsia="Times New Roman" w:hAnsi="Calibri" w:cs="Arial"/>
          <w:b/>
          <w:color w:val="000000"/>
          <w:kern w:val="0"/>
          <w:lang w:val="es-ES_tradnl" w:eastAsia="es-CR"/>
          <w14:ligatures w14:val="none"/>
        </w:rPr>
        <w:t xml:space="preserve">f) Mapa conceptual: </w:t>
      </w:r>
      <w:r w:rsidRPr="00D56BF9">
        <w:rPr>
          <w:rFonts w:ascii="Calibri" w:eastAsia="Times New Roman" w:hAnsi="Calibri" w:cs="Arial"/>
          <w:bCs/>
          <w:color w:val="000000"/>
          <w:kern w:val="0"/>
          <w:lang w:val="es-ES_tradnl" w:eastAsia="es-CR"/>
          <w14:ligatures w14:val="none"/>
        </w:rPr>
        <w:t>El mapa conceptual es un ejercicio de síntesis a partir del cual se identifican las ideas centrales y secundarias del aporte bibliográfico, así como las ilustraciones utilizadas para ejemplificar los temas estudiados. Mediante esta estrategia se busca promover la capacidad de síntesis y comprensión de las personas estudiantes, así como la habilidad de identificar las ideas centrales de textos críticos. En este curso realizarán un mapa conceptual sobre las condiciones históricas y culturales del evangelio de Marcos.</w:t>
      </w:r>
    </w:p>
    <w:p w14:paraId="4207C86C"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_tradnl" w:eastAsia="es-CR"/>
          <w14:ligatures w14:val="none"/>
        </w:rPr>
      </w:pPr>
      <w:r w:rsidRPr="00D56BF9">
        <w:rPr>
          <w:rFonts w:ascii="Calibri" w:eastAsia="Times New Roman" w:hAnsi="Calibri" w:cs="Arial"/>
          <w:b/>
          <w:color w:val="000000"/>
          <w:kern w:val="0"/>
          <w:lang w:val="es-ES_tradnl" w:eastAsia="es-CR"/>
          <w14:ligatures w14:val="none"/>
        </w:rPr>
        <w:t>g) Trabajo de investigación:</w:t>
      </w:r>
      <w:r w:rsidRPr="00D56BF9">
        <w:rPr>
          <w:rFonts w:ascii="Calibri" w:eastAsia="Times New Roman" w:hAnsi="Calibri" w:cs="Arial"/>
          <w:bCs/>
          <w:color w:val="000000"/>
          <w:kern w:val="0"/>
          <w:lang w:val="es-ES_tradnl" w:eastAsia="es-CR"/>
          <w14:ligatures w14:val="none"/>
        </w:rPr>
        <w:t xml:space="preserve"> El trabajo final de investigación estará dedicado a la discusión hermenéutica y exegética en torno al libro de Marcos. La persona estudiante elegirá una de las dimensiones de investigación del evangelio (histórica, literaria o teológica) para desarrollarla a profundidad y entregar un trabajo final al cierre del curso. La investigación debe incluir los siguientes componentes: a) Introducción al tema y su importancia, b) Antecedentes de investigación sobre el tema elegido, c) Desarrollo del tema elegido a partir de un nuevo insumo y perspectiva, d) Principales aportes exegéticos, teológicos y pastorales del estudio realizado dentro del campo de la exégesis y su comunidad particular.</w:t>
      </w:r>
    </w:p>
    <w:p w14:paraId="3FA0BB44"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color w:val="000000"/>
          <w:kern w:val="0"/>
          <w:lang w:val="es-ES" w:eastAsia="es-CR"/>
          <w14:ligatures w14:val="none"/>
        </w:rPr>
      </w:pPr>
      <w:r w:rsidRPr="00D56BF9">
        <w:rPr>
          <w:rFonts w:ascii="Calibri" w:eastAsia="Times New Roman" w:hAnsi="Calibri" w:cs="Arial"/>
          <w:color w:val="000000"/>
          <w:kern w:val="0"/>
          <w:lang w:val="es-ES" w:eastAsia="es-CR"/>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143CE5FD"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color w:val="000000"/>
          <w:kern w:val="0"/>
          <w:sz w:val="2"/>
          <w:szCs w:val="2"/>
          <w:lang w:val="es-ES" w:eastAsia="es-CR"/>
          <w14:ligatures w14:val="none"/>
        </w:rPr>
      </w:pPr>
    </w:p>
    <w:p w14:paraId="7F4FDCEB"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r w:rsidRPr="00D56BF9">
        <w:rPr>
          <w:rFonts w:ascii="Calibri" w:eastAsia="Times New Roman" w:hAnsi="Calibri" w:cs="Arial"/>
          <w:b/>
          <w:bCs/>
          <w:color w:val="000000"/>
          <w:kern w:val="0"/>
          <w:lang w:val="es-ES_tradnl" w:eastAsia="es-CR"/>
          <w14:ligatures w14:val="none"/>
        </w:rPr>
        <w:t>VII. Recursos didácticos</w:t>
      </w:r>
    </w:p>
    <w:p w14:paraId="35DB248C"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315EE65"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56BF9">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6B6762DE"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848D81B"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D56BF9">
        <w:rPr>
          <w:rFonts w:ascii="Calibri" w:eastAsia="Times New Roman" w:hAnsi="Calibri" w:cs="Arial"/>
          <w:color w:val="000000"/>
          <w:kern w:val="0"/>
          <w:lang w:val="es-ES" w:eastAsia="es-ES"/>
          <w14:ligatures w14:val="none"/>
        </w:rPr>
        <w:t xml:space="preserve">a) Lecturas semanales obligatorias que aportan insumos teóricos básicos para realizar las actividades y los ejercicios individuales y grupales sobre el Evangelio de Marcos. Todos los materiales de lectura están disponibles en formato digital en la plataforma virtual.  </w:t>
      </w:r>
    </w:p>
    <w:p w14:paraId="1D976E95"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57A1DD3"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56BF9">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48D6FD5F"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AC2F78E"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56BF9">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249FFED2"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8FF780F"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56BF9">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glosario y mediante la herramienta Big Blue </w:t>
      </w:r>
      <w:proofErr w:type="spellStart"/>
      <w:r w:rsidRPr="00D56BF9">
        <w:rPr>
          <w:rFonts w:ascii="Calibri" w:eastAsia="Times New Roman" w:hAnsi="Calibri" w:cs="Calibri"/>
          <w:color w:val="000000"/>
          <w:kern w:val="0"/>
          <w:lang w:val="es-ES" w:eastAsia="es-ES"/>
          <w14:ligatures w14:val="none"/>
        </w:rPr>
        <w:t>Button</w:t>
      </w:r>
      <w:proofErr w:type="spellEnd"/>
      <w:r w:rsidRPr="00D56BF9">
        <w:rPr>
          <w:rFonts w:ascii="Calibri" w:eastAsia="Times New Roman" w:hAnsi="Calibri" w:cs="Calibri"/>
          <w:color w:val="000000"/>
          <w:kern w:val="0"/>
          <w:lang w:val="es-ES" w:eastAsia="es-ES"/>
          <w14:ligatures w14:val="none"/>
        </w:rPr>
        <w:t xml:space="preserve"> en la plataforma Moodle, así como para la elaboración de un ensayo, un mapa conceptual y una reseña crítica de lectura. </w:t>
      </w:r>
    </w:p>
    <w:p w14:paraId="6BADB302"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1B95296"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D56BF9">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D56BF9">
        <w:rPr>
          <w:rFonts w:ascii="Calibri" w:eastAsia="Times New Roman" w:hAnsi="Calibri" w:cs="Calibri"/>
          <w:color w:val="000000"/>
          <w:kern w:val="0"/>
          <w:lang w:val="es-ES" w:eastAsia="es-ES"/>
          <w14:ligatures w14:val="none"/>
        </w:rPr>
        <w:t>Strachan</w:t>
      </w:r>
      <w:proofErr w:type="spellEnd"/>
      <w:r w:rsidRPr="00D56BF9">
        <w:rPr>
          <w:rFonts w:ascii="Calibri" w:eastAsia="Times New Roman" w:hAnsi="Calibri" w:cs="Calibri"/>
          <w:color w:val="000000"/>
          <w:kern w:val="0"/>
          <w:lang w:val="es-ES" w:eastAsia="es-ES"/>
          <w14:ligatures w14:val="none"/>
        </w:rPr>
        <w:t xml:space="preserve"> (</w:t>
      </w:r>
      <w:hyperlink r:id="rId529" w:history="1">
        <w:r w:rsidRPr="00D56BF9">
          <w:rPr>
            <w:rFonts w:ascii="Calibri" w:eastAsia="Times New Roman" w:hAnsi="Calibri" w:cs="Calibri"/>
            <w:color w:val="0563C1"/>
            <w:kern w:val="0"/>
            <w:u w:val="single"/>
            <w:lang w:val="es-ES" w:eastAsia="es-ES"/>
            <w14:ligatures w14:val="none"/>
          </w:rPr>
          <w:t>https://www.ubl.ac.cr/biblioteca</w:t>
        </w:r>
      </w:hyperlink>
      <w:r w:rsidRPr="00D56BF9">
        <w:rPr>
          <w:rFonts w:ascii="Calibri" w:eastAsia="Times New Roman" w:hAnsi="Calibri" w:cs="Calibri"/>
          <w:color w:val="000000"/>
          <w:kern w:val="0"/>
          <w:lang w:val="es-ES" w:eastAsia="es-ES"/>
          <w14:ligatures w14:val="none"/>
        </w:rPr>
        <w:t>), así como consultar el Portal de Revistas de la UBL (</w:t>
      </w:r>
      <w:hyperlink r:id="rId530" w:history="1">
        <w:r w:rsidRPr="00D56BF9">
          <w:rPr>
            <w:rFonts w:ascii="Calibri" w:eastAsia="Times New Roman" w:hAnsi="Calibri" w:cs="Calibri"/>
            <w:color w:val="0563C1"/>
            <w:kern w:val="0"/>
            <w:u w:val="single"/>
            <w:lang w:val="es-ES" w:eastAsia="es-ES"/>
            <w14:ligatures w14:val="none"/>
          </w:rPr>
          <w:t>http://revistas.ubl.ac.cr/</w:t>
        </w:r>
      </w:hyperlink>
      <w:r w:rsidRPr="00D56BF9">
        <w:rPr>
          <w:rFonts w:ascii="Calibri" w:eastAsia="Times New Roman" w:hAnsi="Calibri" w:cs="Calibri"/>
          <w:color w:val="000000"/>
          <w:kern w:val="0"/>
          <w:lang w:val="es-ES" w:eastAsia="es-ES"/>
          <w14:ligatures w14:val="none"/>
        </w:rPr>
        <w:t>). A través del correo de la biblioteca (</w:t>
      </w:r>
      <w:hyperlink r:id="rId531" w:history="1">
        <w:r w:rsidRPr="00D56BF9">
          <w:rPr>
            <w:rFonts w:ascii="Calibri" w:eastAsia="Times New Roman" w:hAnsi="Calibri" w:cs="Calibri"/>
            <w:color w:val="0563C1"/>
            <w:kern w:val="0"/>
            <w:u w:val="single"/>
            <w:lang w:val="es-ES" w:eastAsia="es-ES"/>
            <w14:ligatures w14:val="none"/>
          </w:rPr>
          <w:t>biblioteca@ubl.ac.cr</w:t>
        </w:r>
      </w:hyperlink>
      <w:r w:rsidRPr="00D56BF9">
        <w:rPr>
          <w:rFonts w:ascii="Calibri" w:eastAsia="Times New Roman" w:hAnsi="Calibri" w:cs="Calibri"/>
          <w:color w:val="000000"/>
          <w:kern w:val="0"/>
          <w:lang w:val="es-ES" w:eastAsia="es-ES"/>
          <w14:ligatures w14:val="none"/>
        </w:rPr>
        <w:t xml:space="preserve">) puede solicitar recursos que se encuentren en la colección física. </w:t>
      </w:r>
    </w:p>
    <w:p w14:paraId="3DA1E589"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6EF9696"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D56BF9">
        <w:rPr>
          <w:rFonts w:ascii="Calibri" w:eastAsia="Times New Roman" w:hAnsi="Calibri" w:cs="Calibri"/>
          <w:color w:val="000000"/>
          <w:kern w:val="0"/>
          <w:lang w:val="es-ES" w:eastAsia="es-ES"/>
          <w14:ligatures w14:val="none"/>
        </w:rPr>
        <w:t>f)</w:t>
      </w:r>
      <w:r w:rsidRPr="00D56BF9">
        <w:rPr>
          <w:rFonts w:ascii="Times New Roman" w:eastAsia="Times New Roman" w:hAnsi="Times New Roman" w:cs="Calibri"/>
          <w:bCs/>
          <w:kern w:val="0"/>
          <w:sz w:val="24"/>
          <w:szCs w:val="24"/>
          <w:lang w:val="es-ES_tradnl" w:eastAsia="es-CR"/>
          <w14:ligatures w14:val="none"/>
        </w:rPr>
        <w:t xml:space="preserve"> </w:t>
      </w:r>
      <w:r w:rsidRPr="00D56BF9">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Bíblicas. Dicho espacio está disponible para todas las personas registradas en el campus virtual y se puede acceder a través del siguiente enlace: </w:t>
      </w:r>
      <w:hyperlink r:id="rId532" w:history="1">
        <w:r w:rsidRPr="00D56BF9">
          <w:rPr>
            <w:rFonts w:ascii="Calibri" w:eastAsia="Times New Roman" w:hAnsi="Calibri" w:cs="Calibri"/>
            <w:bCs/>
            <w:color w:val="0563C1"/>
            <w:kern w:val="0"/>
            <w:u w:val="single"/>
            <w:lang w:val="es-ES_tradnl" w:eastAsia="es-CR"/>
            <w14:ligatures w14:val="none"/>
          </w:rPr>
          <w:t>https://campus.ubl.ac.cr/course/index.php?categoryid=186</w:t>
        </w:r>
      </w:hyperlink>
    </w:p>
    <w:p w14:paraId="3070AC7E"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6D9639DC"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D56BF9">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37368FD4" w14:textId="77777777" w:rsidR="00D56BF9" w:rsidRPr="00D56BF9" w:rsidRDefault="00D56BF9" w:rsidP="00D56BF9">
      <w:pPr>
        <w:rPr>
          <w:rFonts w:ascii="Calibri" w:eastAsia="Times New Roman" w:hAnsi="Calibri" w:cs="Arial"/>
          <w:b/>
          <w:bCs/>
          <w:color w:val="000000"/>
          <w:kern w:val="0"/>
          <w:lang w:val="es-ES_tradnl" w:eastAsia="es-CR"/>
          <w14:ligatures w14:val="none"/>
        </w:rPr>
      </w:pPr>
      <w:r w:rsidRPr="00D56BF9">
        <w:rPr>
          <w:rFonts w:ascii="Calibri" w:eastAsia="Times New Roman" w:hAnsi="Calibri" w:cs="Arial"/>
          <w:b/>
          <w:bCs/>
          <w:color w:val="000000"/>
          <w:kern w:val="0"/>
          <w:lang w:val="es-ES_tradnl" w:eastAsia="es-CR"/>
          <w14:ligatures w14:val="none"/>
        </w:rPr>
        <w:br w:type="page"/>
      </w:r>
    </w:p>
    <w:p w14:paraId="433888DD" w14:textId="77777777" w:rsidR="00D56BF9" w:rsidRPr="00D56BF9" w:rsidRDefault="00D56BF9" w:rsidP="00D56BF9">
      <w:pPr>
        <w:widowControl w:val="0"/>
        <w:overflowPunct w:val="0"/>
        <w:autoSpaceDE w:val="0"/>
        <w:autoSpaceDN w:val="0"/>
        <w:adjustRightInd w:val="0"/>
        <w:spacing w:before="120" w:after="0" w:line="240" w:lineRule="auto"/>
        <w:rPr>
          <w:rFonts w:ascii="Calibri" w:eastAsia="Times New Roman" w:hAnsi="Calibri" w:cs="Arial"/>
          <w:b/>
          <w:bCs/>
          <w:kern w:val="0"/>
          <w:lang w:val="es-ES_tradnl" w:eastAsia="es-CR"/>
          <w14:ligatures w14:val="none"/>
        </w:rPr>
      </w:pPr>
      <w:r w:rsidRPr="00D56BF9">
        <w:rPr>
          <w:rFonts w:ascii="Calibri" w:eastAsia="Times New Roman" w:hAnsi="Calibri" w:cs="Arial"/>
          <w:b/>
          <w:bCs/>
          <w:kern w:val="0"/>
          <w:lang w:val="es-ES_tradnl" w:eastAsia="es-CR"/>
          <w14:ligatures w14:val="none"/>
        </w:rPr>
        <w:lastRenderedPageBreak/>
        <w:t xml:space="preserve">VIII. Cronograma de trabajo </w:t>
      </w:r>
    </w:p>
    <w:p w14:paraId="6AE75FBF" w14:textId="77777777" w:rsidR="00D56BF9" w:rsidRPr="00D56BF9" w:rsidRDefault="00D56BF9" w:rsidP="00D56BF9">
      <w:pPr>
        <w:widowControl w:val="0"/>
        <w:overflowPunct w:val="0"/>
        <w:autoSpaceDE w:val="0"/>
        <w:autoSpaceDN w:val="0"/>
        <w:adjustRightInd w:val="0"/>
        <w:spacing w:before="120" w:after="0" w:line="240" w:lineRule="auto"/>
        <w:rPr>
          <w:rFonts w:ascii="Calibri" w:eastAsia="Times New Roman" w:hAnsi="Calibri" w:cs="Arial"/>
          <w:b/>
          <w:bCs/>
          <w:kern w:val="0"/>
          <w:lang w:val="es-ES_tradnl" w:eastAsia="es-CR"/>
          <w14:ligatures w14:val="none"/>
        </w:rPr>
      </w:pPr>
    </w:p>
    <w:tbl>
      <w:tblPr>
        <w:tblStyle w:val="Tablaconcuadrcula"/>
        <w:tblW w:w="9493" w:type="dxa"/>
        <w:tblLook w:val="04A0" w:firstRow="1" w:lastRow="0" w:firstColumn="1" w:lastColumn="0" w:noHBand="0" w:noVBand="1"/>
      </w:tblPr>
      <w:tblGrid>
        <w:gridCol w:w="1144"/>
        <w:gridCol w:w="2395"/>
        <w:gridCol w:w="2835"/>
        <w:gridCol w:w="3119"/>
      </w:tblGrid>
      <w:tr w:rsidR="00D56BF9" w:rsidRPr="00D56BF9" w14:paraId="4F34744D" w14:textId="77777777" w:rsidTr="00104785">
        <w:trPr>
          <w:trHeight w:val="463"/>
        </w:trPr>
        <w:tc>
          <w:tcPr>
            <w:tcW w:w="1144" w:type="dxa"/>
            <w:vMerge w:val="restart"/>
            <w:vAlign w:val="center"/>
          </w:tcPr>
          <w:p w14:paraId="49511DF1"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b/>
                <w:bCs/>
                <w:color w:val="000000"/>
                <w:sz w:val="24"/>
                <w:szCs w:val="24"/>
                <w:lang w:val="es-ES_tradnl" w:eastAsia="es-CR"/>
              </w:rPr>
            </w:pPr>
            <w:r w:rsidRPr="00D56BF9">
              <w:rPr>
                <w:rFonts w:ascii="Calibri" w:eastAsia="Times New Roman" w:hAnsi="Calibri" w:cs="Arial"/>
                <w:b/>
                <w:bCs/>
                <w:color w:val="000000"/>
                <w:sz w:val="24"/>
                <w:szCs w:val="24"/>
                <w:lang w:val="es-ES_tradnl" w:eastAsia="es-CR"/>
              </w:rPr>
              <w:t>Sesión</w:t>
            </w:r>
          </w:p>
          <w:p w14:paraId="47F6949F"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b/>
                <w:bCs/>
                <w:color w:val="000000"/>
                <w:sz w:val="24"/>
                <w:szCs w:val="24"/>
                <w:lang w:val="es-ES_tradnl" w:eastAsia="es-CR"/>
              </w:rPr>
            </w:pPr>
            <w:r w:rsidRPr="00D56BF9">
              <w:rPr>
                <w:rFonts w:ascii="Calibri" w:eastAsia="Times New Roman" w:hAnsi="Calibri" w:cs="Arial"/>
                <w:b/>
                <w:bCs/>
                <w:color w:val="000000"/>
                <w:sz w:val="24"/>
                <w:szCs w:val="24"/>
                <w:lang w:val="es-ES_tradnl" w:eastAsia="es-CR"/>
              </w:rPr>
              <w:t>(semana)</w:t>
            </w:r>
          </w:p>
        </w:tc>
        <w:tc>
          <w:tcPr>
            <w:tcW w:w="2395" w:type="dxa"/>
            <w:vMerge w:val="restart"/>
            <w:vAlign w:val="center"/>
          </w:tcPr>
          <w:p w14:paraId="59B06B15"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b/>
                <w:bCs/>
                <w:color w:val="000000"/>
                <w:sz w:val="24"/>
                <w:szCs w:val="24"/>
                <w:lang w:val="es-ES_tradnl" w:eastAsia="es-CR"/>
              </w:rPr>
            </w:pPr>
            <w:r w:rsidRPr="00D56BF9">
              <w:rPr>
                <w:rFonts w:ascii="Calibri" w:eastAsia="Times New Roman" w:hAnsi="Calibri" w:cs="Arial"/>
                <w:b/>
                <w:bCs/>
                <w:color w:val="000000"/>
                <w:sz w:val="24"/>
                <w:szCs w:val="24"/>
                <w:lang w:val="es-ES_tradnl" w:eastAsia="es-CR"/>
              </w:rPr>
              <w:t>Contenidos temáticos</w:t>
            </w:r>
          </w:p>
        </w:tc>
        <w:tc>
          <w:tcPr>
            <w:tcW w:w="5954" w:type="dxa"/>
            <w:gridSpan w:val="2"/>
            <w:vAlign w:val="center"/>
          </w:tcPr>
          <w:p w14:paraId="6008DDDE"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b/>
                <w:bCs/>
                <w:color w:val="000000"/>
                <w:sz w:val="24"/>
                <w:szCs w:val="24"/>
                <w:lang w:val="es-ES_tradnl" w:eastAsia="es-CR"/>
              </w:rPr>
            </w:pPr>
            <w:r w:rsidRPr="00D56BF9">
              <w:rPr>
                <w:rFonts w:ascii="Calibri" w:eastAsia="Times New Roman" w:hAnsi="Calibri" w:cs="Arial"/>
                <w:b/>
                <w:bCs/>
                <w:color w:val="000000"/>
                <w:sz w:val="24"/>
                <w:szCs w:val="24"/>
                <w:lang w:val="es-ES_tradnl" w:eastAsia="es-CR"/>
              </w:rPr>
              <w:t>Actividades de enseñanza-aprendizaje</w:t>
            </w:r>
          </w:p>
        </w:tc>
      </w:tr>
      <w:tr w:rsidR="00D56BF9" w:rsidRPr="00D56BF9" w14:paraId="1D2440BB" w14:textId="77777777" w:rsidTr="00104785">
        <w:trPr>
          <w:trHeight w:val="413"/>
        </w:trPr>
        <w:tc>
          <w:tcPr>
            <w:tcW w:w="1144" w:type="dxa"/>
            <w:vMerge/>
            <w:vAlign w:val="center"/>
          </w:tcPr>
          <w:p w14:paraId="2A5E81F8"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b/>
                <w:bCs/>
                <w:color w:val="000000"/>
                <w:sz w:val="24"/>
                <w:szCs w:val="24"/>
                <w:lang w:val="es-ES_tradnl" w:eastAsia="es-CR"/>
              </w:rPr>
            </w:pPr>
          </w:p>
        </w:tc>
        <w:tc>
          <w:tcPr>
            <w:tcW w:w="2395" w:type="dxa"/>
            <w:vMerge/>
            <w:vAlign w:val="center"/>
          </w:tcPr>
          <w:p w14:paraId="06ACD253"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b/>
                <w:bCs/>
                <w:color w:val="000000"/>
                <w:sz w:val="24"/>
                <w:szCs w:val="24"/>
                <w:lang w:val="es-ES_tradnl" w:eastAsia="es-CR"/>
              </w:rPr>
            </w:pPr>
          </w:p>
        </w:tc>
        <w:tc>
          <w:tcPr>
            <w:tcW w:w="2835" w:type="dxa"/>
            <w:vAlign w:val="center"/>
          </w:tcPr>
          <w:p w14:paraId="2F0D7BB7"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b/>
                <w:bCs/>
                <w:color w:val="000000"/>
                <w:sz w:val="24"/>
                <w:szCs w:val="24"/>
                <w:lang w:val="es-ES_tradnl" w:eastAsia="es-CR"/>
              </w:rPr>
            </w:pPr>
            <w:r w:rsidRPr="00D56BF9">
              <w:rPr>
                <w:rFonts w:ascii="Calibri" w:eastAsia="Times New Roman" w:hAnsi="Calibri" w:cs="Arial"/>
                <w:b/>
                <w:bCs/>
                <w:color w:val="000000"/>
                <w:sz w:val="24"/>
                <w:szCs w:val="24"/>
                <w:lang w:val="es-ES_tradnl" w:eastAsia="es-CR"/>
              </w:rPr>
              <w:t>Recursos didácticos</w:t>
            </w:r>
          </w:p>
        </w:tc>
        <w:tc>
          <w:tcPr>
            <w:tcW w:w="3119" w:type="dxa"/>
            <w:vAlign w:val="center"/>
          </w:tcPr>
          <w:p w14:paraId="334FF2D9"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b/>
                <w:bCs/>
                <w:color w:val="000000"/>
                <w:sz w:val="24"/>
                <w:szCs w:val="24"/>
                <w:lang w:val="es-ES_tradnl" w:eastAsia="es-CR"/>
              </w:rPr>
            </w:pPr>
            <w:r w:rsidRPr="00D56BF9">
              <w:rPr>
                <w:rFonts w:ascii="Calibri" w:eastAsia="Times New Roman" w:hAnsi="Calibri" w:cs="Arial"/>
                <w:b/>
                <w:bCs/>
                <w:color w:val="000000"/>
                <w:sz w:val="24"/>
                <w:szCs w:val="24"/>
                <w:lang w:val="es-ES_tradnl" w:eastAsia="es-CR"/>
              </w:rPr>
              <w:t>Actividades de aprendizaje</w:t>
            </w:r>
          </w:p>
        </w:tc>
      </w:tr>
      <w:tr w:rsidR="00D56BF9" w:rsidRPr="00D56BF9" w14:paraId="3FAEB7CB" w14:textId="77777777" w:rsidTr="00104785">
        <w:tc>
          <w:tcPr>
            <w:tcW w:w="1144" w:type="dxa"/>
          </w:tcPr>
          <w:p w14:paraId="12D40DDE"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6C24BF82"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1</w:t>
            </w:r>
          </w:p>
        </w:tc>
        <w:tc>
          <w:tcPr>
            <w:tcW w:w="2395" w:type="dxa"/>
          </w:tcPr>
          <w:p w14:paraId="58D3D177"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1: </w:t>
            </w:r>
            <w:r w:rsidRPr="00D56BF9">
              <w:rPr>
                <w:rFonts w:ascii="Calibri" w:eastAsia="Times New Roman" w:hAnsi="Calibri" w:cs="Arial"/>
                <w:b/>
                <w:color w:val="000000"/>
                <w:lang w:val="es-ES_tradnl" w:eastAsia="es-CR"/>
              </w:rPr>
              <w:t>Marco teórico desde donde se realizará el estudio del libro o tema del Nuevo Testamento seleccionado</w:t>
            </w:r>
          </w:p>
          <w:p w14:paraId="5117AA28"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13E797E7"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r w:rsidRPr="00D56BF9">
              <w:rPr>
                <w:rFonts w:ascii="Calibri" w:eastAsia="Times New Roman" w:hAnsi="Calibri" w:cs="Arial"/>
                <w:bCs/>
                <w:color w:val="000000"/>
                <w:lang w:val="es-ES_tradnl" w:eastAsia="es-CR"/>
              </w:rPr>
              <w:t>1.1 P</w:t>
            </w:r>
            <w:r w:rsidRPr="00D56BF9">
              <w:rPr>
                <w:rFonts w:ascii="Calibri" w:eastAsia="Times New Roman" w:hAnsi="Calibri" w:cs="Arial"/>
                <w:color w:val="000000"/>
                <w:lang w:val="es-ES_tradnl" w:eastAsia="es-CR"/>
              </w:rPr>
              <w:t>roblemáticas introductorias que afectan al libro o tema teológico del Nuevo Testamento seleccionado</w:t>
            </w:r>
          </w:p>
          <w:p w14:paraId="36BB2474"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44723E12"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6DC420C3"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szCs w:val="18"/>
                <w:lang w:val="es-ES_tradnl" w:eastAsia="es-CR"/>
              </w:rPr>
            </w:pPr>
          </w:p>
          <w:p w14:paraId="1829CC15"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szCs w:val="18"/>
                <w:lang w:val="es-ES_tradnl" w:eastAsia="es-CR"/>
              </w:rPr>
            </w:pPr>
            <w:r w:rsidRPr="00D56BF9">
              <w:rPr>
                <w:rFonts w:ascii="Calibri" w:eastAsia="Times New Roman" w:hAnsi="Calibri" w:cs="Calibri"/>
                <w:color w:val="000000"/>
                <w:szCs w:val="18"/>
                <w:lang w:val="es-ES_tradnl" w:eastAsia="es-CR"/>
              </w:rPr>
              <w:t xml:space="preserve">Zúñiga, Hanzel. </w:t>
            </w:r>
            <w:r w:rsidRPr="00D56BF9">
              <w:rPr>
                <w:rFonts w:ascii="Calibri" w:eastAsia="Times New Roman" w:hAnsi="Calibri" w:cs="Calibri"/>
                <w:i/>
                <w:iCs/>
                <w:color w:val="000000"/>
                <w:szCs w:val="18"/>
                <w:lang w:val="es-ES_tradnl" w:eastAsia="es-CR"/>
              </w:rPr>
              <w:t>El hecho sinóptico</w:t>
            </w:r>
            <w:r w:rsidRPr="00D56BF9">
              <w:rPr>
                <w:rFonts w:ascii="Calibri" w:eastAsia="Times New Roman" w:hAnsi="Calibri" w:cs="Calibri"/>
                <w:color w:val="000000"/>
                <w:szCs w:val="18"/>
                <w:lang w:val="es-ES_tradnl" w:eastAsia="es-CR"/>
              </w:rPr>
              <w:t>. Manuscrito inédito.</w:t>
            </w:r>
          </w:p>
          <w:p w14:paraId="16870332"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color w:val="000000"/>
                <w:sz w:val="24"/>
                <w:szCs w:val="18"/>
                <w:lang w:val="es-ES_tradnl" w:eastAsia="es-CR"/>
              </w:rPr>
            </w:pPr>
          </w:p>
          <w:p w14:paraId="5492462B"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r w:rsidRPr="00D56BF9">
              <w:rPr>
                <w:rFonts w:ascii="Calibri" w:eastAsia="Times New Roman" w:hAnsi="Calibri" w:cs="Calibri"/>
                <w:b/>
                <w:bCs/>
                <w:color w:val="0070C0"/>
                <w:lang w:val="es-ES_tradnl" w:eastAsia="es-CR"/>
              </w:rPr>
              <w:t>Material complementario</w:t>
            </w:r>
          </w:p>
          <w:p w14:paraId="0A9AB185"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20"/>
                <w:lang w:val="es-ES_tradnl" w:eastAsia="es-CR"/>
              </w:rPr>
            </w:pPr>
          </w:p>
          <w:p w14:paraId="6B99033F"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Guía para la participación en un foro en la plataforma Moodle</w:t>
            </w:r>
          </w:p>
          <w:p w14:paraId="681E701C"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p>
          <w:p w14:paraId="72BFD57C"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 xml:space="preserve">Guía para la participación mediante la herramienta Big Blue </w:t>
            </w:r>
            <w:proofErr w:type="spellStart"/>
            <w:r w:rsidRPr="00D56BF9">
              <w:rPr>
                <w:rFonts w:ascii="Calibri" w:eastAsia="Times New Roman" w:hAnsi="Calibri" w:cs="Calibri"/>
                <w:color w:val="0070C0"/>
                <w:lang w:val="es-ES_tradnl" w:eastAsia="es-CR"/>
              </w:rPr>
              <w:t>Button</w:t>
            </w:r>
            <w:proofErr w:type="spellEnd"/>
            <w:r w:rsidRPr="00D56BF9">
              <w:rPr>
                <w:rFonts w:ascii="Calibri" w:eastAsia="Times New Roman" w:hAnsi="Calibri" w:cs="Calibri"/>
                <w:color w:val="0070C0"/>
                <w:lang w:val="es-ES_tradnl" w:eastAsia="es-CR"/>
              </w:rPr>
              <w:t xml:space="preserve"> en la plataforma Moodle</w:t>
            </w:r>
          </w:p>
          <w:p w14:paraId="446DE4CA"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tc>
        <w:tc>
          <w:tcPr>
            <w:tcW w:w="3119" w:type="dxa"/>
          </w:tcPr>
          <w:p w14:paraId="46EF0534" w14:textId="77777777" w:rsidR="00D56BF9" w:rsidRPr="00D56BF9" w:rsidRDefault="00D56BF9" w:rsidP="00D56BF9">
            <w:pPr>
              <w:widowControl w:val="0"/>
              <w:numPr>
                <w:ilvl w:val="0"/>
                <w:numId w:val="316"/>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Participación en el foro social CAFETERÍA.</w:t>
            </w:r>
          </w:p>
          <w:p w14:paraId="5AA78457" w14:textId="77777777" w:rsidR="00D56BF9" w:rsidRPr="00D56BF9" w:rsidRDefault="00D56BF9" w:rsidP="00D56BF9">
            <w:pPr>
              <w:widowControl w:val="0"/>
              <w:numPr>
                <w:ilvl w:val="0"/>
                <w:numId w:val="316"/>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Participación en el foro de dudas.</w:t>
            </w:r>
          </w:p>
          <w:p w14:paraId="678CDF63" w14:textId="77777777" w:rsidR="00D56BF9" w:rsidRPr="00D56BF9" w:rsidRDefault="00D56BF9" w:rsidP="00D56BF9">
            <w:pPr>
              <w:widowControl w:val="0"/>
              <w:numPr>
                <w:ilvl w:val="0"/>
                <w:numId w:val="316"/>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Realizar la lectura de la sesión.</w:t>
            </w:r>
          </w:p>
          <w:p w14:paraId="2262B461" w14:textId="77777777" w:rsidR="00D56BF9" w:rsidRPr="00D56BF9" w:rsidRDefault="00D56BF9" w:rsidP="00D56BF9">
            <w:pPr>
              <w:widowControl w:val="0"/>
              <w:numPr>
                <w:ilvl w:val="0"/>
                <w:numId w:val="316"/>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Introducción a las temáticas del curso y exposición docente en un encuentro sincrónico virtual. </w:t>
            </w:r>
          </w:p>
        </w:tc>
      </w:tr>
      <w:tr w:rsidR="00D56BF9" w:rsidRPr="00D56BF9" w14:paraId="328EFAFE" w14:textId="77777777" w:rsidTr="00104785">
        <w:tc>
          <w:tcPr>
            <w:tcW w:w="1144" w:type="dxa"/>
          </w:tcPr>
          <w:p w14:paraId="2CCDB652"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6AD83DE1"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2</w:t>
            </w:r>
          </w:p>
        </w:tc>
        <w:tc>
          <w:tcPr>
            <w:tcW w:w="2395" w:type="dxa"/>
          </w:tcPr>
          <w:p w14:paraId="04CAD5A1"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1: </w:t>
            </w:r>
            <w:r w:rsidRPr="00D56BF9">
              <w:rPr>
                <w:rFonts w:ascii="Calibri" w:eastAsia="Times New Roman" w:hAnsi="Calibri" w:cs="Arial"/>
                <w:b/>
                <w:color w:val="000000"/>
                <w:lang w:val="es-ES_tradnl" w:eastAsia="es-CR"/>
              </w:rPr>
              <w:t>Marco teórico desde donde se realizará el estudio del libro o tema del Nuevo Testamento seleccionado</w:t>
            </w:r>
          </w:p>
          <w:p w14:paraId="747242BF"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5E77A19B"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r w:rsidRPr="00D56BF9">
              <w:rPr>
                <w:rFonts w:ascii="Calibri" w:eastAsia="Times New Roman" w:hAnsi="Calibri" w:cs="Arial"/>
                <w:bCs/>
                <w:color w:val="000000"/>
                <w:lang w:val="es-ES_tradnl" w:eastAsia="es-CR"/>
              </w:rPr>
              <w:t>1.1 P</w:t>
            </w:r>
            <w:r w:rsidRPr="00D56BF9">
              <w:rPr>
                <w:rFonts w:ascii="Calibri" w:eastAsia="Times New Roman" w:hAnsi="Calibri" w:cs="Arial"/>
                <w:color w:val="000000"/>
                <w:lang w:val="es-ES_tradnl" w:eastAsia="es-CR"/>
              </w:rPr>
              <w:t>roblemáticas introductorias que afectan al libro o tema teológico del Nuevo Testamento seleccionado</w:t>
            </w:r>
          </w:p>
          <w:p w14:paraId="2E7F99D7"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703DA179"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07688D08" w14:textId="77777777" w:rsidR="00D56BF9" w:rsidRPr="00D56BF9" w:rsidRDefault="00D56BF9" w:rsidP="00D56BF9">
            <w:pPr>
              <w:widowControl w:val="0"/>
              <w:overflowPunct w:val="0"/>
              <w:autoSpaceDE w:val="0"/>
              <w:autoSpaceDN w:val="0"/>
              <w:adjustRightInd w:val="0"/>
              <w:rPr>
                <w:rFonts w:ascii="Calibri" w:eastAsia="Times New Roman" w:hAnsi="Calibri" w:cs="Calibri"/>
                <w:lang w:val="es-ES_tradnl" w:eastAsia="es-CR"/>
              </w:rPr>
            </w:pPr>
          </w:p>
          <w:p w14:paraId="50F718F0" w14:textId="77777777" w:rsidR="00D56BF9" w:rsidRPr="00D56BF9" w:rsidRDefault="00D56BF9" w:rsidP="00D56BF9">
            <w:pPr>
              <w:widowControl w:val="0"/>
              <w:overflowPunct w:val="0"/>
              <w:autoSpaceDE w:val="0"/>
              <w:autoSpaceDN w:val="0"/>
              <w:adjustRightInd w:val="0"/>
              <w:rPr>
                <w:rFonts w:ascii="Calibri" w:eastAsia="Times New Roman" w:hAnsi="Calibri" w:cs="Calibri"/>
                <w:lang w:val="es-ES_tradnl" w:eastAsia="es-CR"/>
              </w:rPr>
            </w:pPr>
            <w:r w:rsidRPr="00D56BF9">
              <w:rPr>
                <w:rFonts w:ascii="Calibri" w:eastAsia="Times New Roman" w:hAnsi="Calibri" w:cs="Calibri"/>
                <w:lang w:val="es-ES_tradnl" w:eastAsia="es-CR"/>
              </w:rPr>
              <w:t xml:space="preserve">Bernabé, Carmen. “El reino de Dios y su propuesta desde la marginalidad creativa”. En </w:t>
            </w:r>
            <w:r w:rsidRPr="00D56BF9">
              <w:rPr>
                <w:rFonts w:ascii="Calibri" w:eastAsia="Times New Roman" w:hAnsi="Calibri" w:cs="Calibri"/>
                <w:i/>
                <w:iCs/>
                <w:lang w:val="es-ES_tradnl" w:eastAsia="es-CR"/>
              </w:rPr>
              <w:t>De Jerusalén a Roma: la marginalidad del cristianismo de los orígenes</w:t>
            </w:r>
            <w:r w:rsidRPr="00D56BF9">
              <w:rPr>
                <w:rFonts w:ascii="Calibri" w:eastAsia="Times New Roman" w:hAnsi="Calibri" w:cs="Calibri"/>
                <w:lang w:val="es-ES_tradnl" w:eastAsia="es-CR"/>
              </w:rPr>
              <w:t>, editado por Rafael Aguirre, 19-45. Estella (Navarra): Verbo Divino, 2021.</w:t>
            </w:r>
          </w:p>
          <w:p w14:paraId="32848F66"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szCs w:val="18"/>
                <w:lang w:val="es-ES_tradnl" w:eastAsia="es-CR"/>
              </w:rPr>
            </w:pPr>
          </w:p>
          <w:p w14:paraId="227DF839"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0000"/>
                <w:szCs w:val="18"/>
                <w:lang w:val="es-ES_tradnl" w:eastAsia="es-CR"/>
              </w:rPr>
            </w:pPr>
            <w:r w:rsidRPr="00D56BF9">
              <w:rPr>
                <w:rFonts w:ascii="Calibri" w:eastAsia="Times New Roman" w:hAnsi="Calibri" w:cs="Calibri"/>
                <w:b/>
                <w:bCs/>
                <w:color w:val="000000"/>
                <w:szCs w:val="18"/>
                <w:lang w:val="es-ES_tradnl" w:eastAsia="es-CR"/>
              </w:rPr>
              <w:t>Material complementario</w:t>
            </w:r>
          </w:p>
          <w:p w14:paraId="55A87713"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0000"/>
                <w:lang w:val="es-ES_tradnl" w:eastAsia="es-CR"/>
              </w:rPr>
            </w:pPr>
          </w:p>
          <w:p w14:paraId="3AED01F9"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 w:eastAsia="es-CR"/>
              </w:rPr>
            </w:pPr>
            <w:r w:rsidRPr="00D56BF9">
              <w:rPr>
                <w:rFonts w:ascii="Calibri" w:eastAsia="Times New Roman" w:hAnsi="Calibri" w:cs="Calibri"/>
                <w:szCs w:val="18"/>
                <w:lang w:val="es-ES" w:eastAsia="es-CR"/>
              </w:rPr>
              <w:t xml:space="preserve">Londoño, Juan Esteban. “Evangelio de Marcos”. En </w:t>
            </w:r>
            <w:r w:rsidRPr="00D56BF9">
              <w:rPr>
                <w:rFonts w:ascii="Calibri" w:eastAsia="Times New Roman" w:hAnsi="Calibri" w:cs="Calibri"/>
                <w:i/>
                <w:iCs/>
                <w:szCs w:val="18"/>
                <w:lang w:val="es-ES" w:eastAsia="es-CR"/>
              </w:rPr>
              <w:t>Para comprender el Nuevo Testamento</w:t>
            </w:r>
            <w:r w:rsidRPr="00D56BF9">
              <w:rPr>
                <w:rFonts w:ascii="Calibri" w:eastAsia="Times New Roman" w:hAnsi="Calibri" w:cs="Calibri"/>
                <w:szCs w:val="18"/>
                <w:lang w:val="es-ES" w:eastAsia="es-CR"/>
              </w:rPr>
              <w:t xml:space="preserve">, 66-76. San José: SEBILA, 2013. </w:t>
            </w:r>
            <w:r w:rsidRPr="00D56BF9">
              <w:rPr>
                <w:rFonts w:ascii="Calibri" w:eastAsia="Times New Roman" w:hAnsi="Calibri" w:cs="Calibri"/>
                <w:color w:val="0070C0"/>
                <w:szCs w:val="18"/>
                <w:lang w:val="es-ES" w:eastAsia="es-CR"/>
              </w:rPr>
              <w:t>(clásico, última edición)</w:t>
            </w:r>
          </w:p>
          <w:p w14:paraId="317180C7"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18"/>
                <w:lang w:val="es-ES" w:eastAsia="es-CR"/>
              </w:rPr>
            </w:pPr>
          </w:p>
          <w:p w14:paraId="6A662B88"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 w:eastAsia="es-CR"/>
              </w:rPr>
            </w:pPr>
            <w:r w:rsidRPr="00D56BF9">
              <w:rPr>
                <w:rFonts w:ascii="Calibri" w:eastAsia="Times New Roman" w:hAnsi="Calibri" w:cs="Calibri"/>
                <w:color w:val="0070C0"/>
                <w:lang w:val="es-ES" w:eastAsia="es-CR"/>
              </w:rPr>
              <w:t>Guía para la elaboración de una reseña crítica de lectura</w:t>
            </w:r>
          </w:p>
          <w:p w14:paraId="6CA0E70E"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 w:eastAsia="es-CR"/>
              </w:rPr>
            </w:pPr>
          </w:p>
          <w:p w14:paraId="73CCFE71"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tc>
        <w:tc>
          <w:tcPr>
            <w:tcW w:w="3119" w:type="dxa"/>
          </w:tcPr>
          <w:p w14:paraId="1A4A26B8" w14:textId="77777777" w:rsidR="00D56BF9" w:rsidRPr="00D56BF9" w:rsidRDefault="00D56BF9" w:rsidP="00D56BF9">
            <w:pPr>
              <w:widowControl w:val="0"/>
              <w:numPr>
                <w:ilvl w:val="0"/>
                <w:numId w:val="317"/>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Realizar la lectura de la sesión. </w:t>
            </w:r>
          </w:p>
          <w:p w14:paraId="29BC2973" w14:textId="77777777" w:rsidR="00D56BF9" w:rsidRPr="00D56BF9" w:rsidRDefault="00D56BF9" w:rsidP="00D56BF9">
            <w:pPr>
              <w:widowControl w:val="0"/>
              <w:numPr>
                <w:ilvl w:val="0"/>
                <w:numId w:val="317"/>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Elaboración de una reseña crítica de la lectura.</w:t>
            </w:r>
          </w:p>
        </w:tc>
      </w:tr>
      <w:tr w:rsidR="00D56BF9" w:rsidRPr="00D56BF9" w14:paraId="0263425D" w14:textId="77777777" w:rsidTr="00104785">
        <w:tc>
          <w:tcPr>
            <w:tcW w:w="1144" w:type="dxa"/>
          </w:tcPr>
          <w:p w14:paraId="323FB06D"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50600A62"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3</w:t>
            </w:r>
          </w:p>
        </w:tc>
        <w:tc>
          <w:tcPr>
            <w:tcW w:w="2395" w:type="dxa"/>
          </w:tcPr>
          <w:p w14:paraId="0F7B21B4"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1: </w:t>
            </w:r>
            <w:r w:rsidRPr="00D56BF9">
              <w:rPr>
                <w:rFonts w:ascii="Calibri" w:eastAsia="Times New Roman" w:hAnsi="Calibri" w:cs="Arial"/>
                <w:b/>
                <w:color w:val="000000"/>
                <w:lang w:val="es-ES_tradnl" w:eastAsia="es-CR"/>
              </w:rPr>
              <w:t>Marco teórico desde donde se realizará el estudio del libro o tema del Nuevo Testamento seleccionado</w:t>
            </w:r>
          </w:p>
          <w:p w14:paraId="01C8B08A"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0B294FD0"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r w:rsidRPr="00D56BF9">
              <w:rPr>
                <w:rFonts w:ascii="Calibri" w:eastAsia="Times New Roman" w:hAnsi="Calibri" w:cs="Arial"/>
                <w:bCs/>
                <w:color w:val="000000"/>
                <w:lang w:val="es-ES_tradnl" w:eastAsia="es-CR"/>
              </w:rPr>
              <w:t>1.1 P</w:t>
            </w:r>
            <w:r w:rsidRPr="00D56BF9">
              <w:rPr>
                <w:rFonts w:ascii="Calibri" w:eastAsia="Times New Roman" w:hAnsi="Calibri" w:cs="Arial"/>
                <w:color w:val="000000"/>
                <w:lang w:val="es-ES_tradnl" w:eastAsia="es-CR"/>
              </w:rPr>
              <w:t>roblemáticas introductorias que afectan al libro o tema teológico del Nuevo Testamento seleccionado</w:t>
            </w:r>
          </w:p>
          <w:p w14:paraId="4AE7A273"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334FF5FA"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1D9C4B11" w14:textId="77777777" w:rsidR="00D56BF9" w:rsidRPr="00D56BF9" w:rsidRDefault="00D56BF9" w:rsidP="00D56BF9">
            <w:pPr>
              <w:widowControl w:val="0"/>
              <w:overflowPunct w:val="0"/>
              <w:autoSpaceDE w:val="0"/>
              <w:autoSpaceDN w:val="0"/>
              <w:adjustRightInd w:val="0"/>
              <w:rPr>
                <w:rFonts w:ascii="Calibri" w:eastAsia="Times New Roman" w:hAnsi="Calibri" w:cs="Calibri"/>
                <w:lang w:val="es-ES_tradnl" w:eastAsia="es-CR"/>
              </w:rPr>
            </w:pPr>
          </w:p>
          <w:p w14:paraId="0FF89D73" w14:textId="77777777" w:rsidR="00D56BF9" w:rsidRPr="00D56BF9" w:rsidRDefault="00D56BF9" w:rsidP="00D56BF9">
            <w:pPr>
              <w:widowControl w:val="0"/>
              <w:overflowPunct w:val="0"/>
              <w:autoSpaceDE w:val="0"/>
              <w:autoSpaceDN w:val="0"/>
              <w:adjustRightInd w:val="0"/>
              <w:rPr>
                <w:rFonts w:ascii="Calibri" w:eastAsia="Times New Roman" w:hAnsi="Calibri" w:cs="Calibri"/>
                <w:lang w:val="es-ES_tradnl" w:eastAsia="es-CR"/>
              </w:rPr>
            </w:pPr>
            <w:r w:rsidRPr="00D56BF9">
              <w:rPr>
                <w:rFonts w:ascii="Calibri" w:eastAsia="Times New Roman" w:hAnsi="Calibri" w:cs="Calibri"/>
                <w:lang w:val="es-ES_tradnl" w:eastAsia="es-CR"/>
              </w:rPr>
              <w:t xml:space="preserve">Piñero, Antonio. “Introducción”. En </w:t>
            </w:r>
            <w:r w:rsidRPr="00D56BF9">
              <w:rPr>
                <w:rFonts w:ascii="Calibri" w:eastAsia="Times New Roman" w:hAnsi="Calibri" w:cs="Calibri"/>
                <w:i/>
                <w:iCs/>
                <w:lang w:val="es-ES_tradnl" w:eastAsia="es-CR"/>
              </w:rPr>
              <w:t>Los libros del Nuevo Testamento: traducción y comentario</w:t>
            </w:r>
            <w:r w:rsidRPr="00D56BF9">
              <w:rPr>
                <w:rFonts w:ascii="Calibri" w:eastAsia="Times New Roman" w:hAnsi="Calibri" w:cs="Calibri"/>
                <w:lang w:val="es-ES_tradnl" w:eastAsia="es-CR"/>
              </w:rPr>
              <w:t>, 369-395. Madrid: Trotta, 2021.</w:t>
            </w:r>
          </w:p>
          <w:p w14:paraId="4FBD0930" w14:textId="77777777" w:rsidR="00D56BF9" w:rsidRPr="00D56BF9" w:rsidRDefault="00D56BF9" w:rsidP="00D56BF9">
            <w:pPr>
              <w:widowControl w:val="0"/>
              <w:overflowPunct w:val="0"/>
              <w:autoSpaceDE w:val="0"/>
              <w:autoSpaceDN w:val="0"/>
              <w:adjustRightInd w:val="0"/>
              <w:rPr>
                <w:rFonts w:ascii="Calibri" w:eastAsia="Times New Roman" w:hAnsi="Calibri" w:cs="Calibri"/>
                <w:lang w:val="es-ES_tradnl" w:eastAsia="es-CR"/>
              </w:rPr>
            </w:pPr>
          </w:p>
          <w:p w14:paraId="22164A0F"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r w:rsidRPr="00D56BF9">
              <w:rPr>
                <w:rFonts w:ascii="Calibri" w:eastAsia="Times New Roman" w:hAnsi="Calibri" w:cs="Calibri"/>
                <w:b/>
                <w:bCs/>
                <w:color w:val="0070C0"/>
                <w:lang w:val="es-ES_tradnl" w:eastAsia="es-CR"/>
              </w:rPr>
              <w:t>Material complementario</w:t>
            </w:r>
          </w:p>
          <w:p w14:paraId="4C23F033"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p>
          <w:p w14:paraId="19C2AAB3"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Guía para la participación en un foro en la plataforma Moodle</w:t>
            </w:r>
          </w:p>
          <w:p w14:paraId="5C1B4428"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p>
        </w:tc>
        <w:tc>
          <w:tcPr>
            <w:tcW w:w="3119" w:type="dxa"/>
          </w:tcPr>
          <w:p w14:paraId="1D12960A" w14:textId="77777777" w:rsidR="00D56BF9" w:rsidRPr="00D56BF9" w:rsidRDefault="00D56BF9" w:rsidP="00D56BF9">
            <w:pPr>
              <w:widowControl w:val="0"/>
              <w:numPr>
                <w:ilvl w:val="0"/>
                <w:numId w:val="318"/>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Realizar la lectura de la sesión. </w:t>
            </w:r>
          </w:p>
          <w:p w14:paraId="6D12B980" w14:textId="77777777" w:rsidR="00D56BF9" w:rsidRPr="00D56BF9" w:rsidRDefault="00D56BF9" w:rsidP="00D56BF9">
            <w:pPr>
              <w:widowControl w:val="0"/>
              <w:numPr>
                <w:ilvl w:val="0"/>
                <w:numId w:val="318"/>
              </w:numPr>
              <w:tabs>
                <w:tab w:val="left" w:pos="712"/>
              </w:tabs>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Participación en el foro temático: Problemáticas en la investigación del evangelio de Marcos. </w:t>
            </w:r>
          </w:p>
        </w:tc>
      </w:tr>
      <w:tr w:rsidR="00D56BF9" w:rsidRPr="00D56BF9" w14:paraId="266758A6" w14:textId="77777777" w:rsidTr="00104785">
        <w:tc>
          <w:tcPr>
            <w:tcW w:w="1144" w:type="dxa"/>
          </w:tcPr>
          <w:p w14:paraId="34F59BC3"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4D65679A"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4</w:t>
            </w:r>
          </w:p>
        </w:tc>
        <w:tc>
          <w:tcPr>
            <w:tcW w:w="2395" w:type="dxa"/>
          </w:tcPr>
          <w:p w14:paraId="46444EAB"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1: </w:t>
            </w:r>
            <w:r w:rsidRPr="00D56BF9">
              <w:rPr>
                <w:rFonts w:ascii="Calibri" w:eastAsia="Times New Roman" w:hAnsi="Calibri" w:cs="Arial"/>
                <w:b/>
                <w:color w:val="000000"/>
                <w:lang w:val="es-ES_tradnl" w:eastAsia="es-CR"/>
              </w:rPr>
              <w:t>Marco teórico desde donde se realizará el estudio del libro o tema del Nuevo Testamento seleccionado</w:t>
            </w:r>
          </w:p>
          <w:p w14:paraId="458ADA26"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7ADFD073" w14:textId="77777777" w:rsidR="00D56BF9" w:rsidRPr="00D56BF9" w:rsidRDefault="00D56BF9" w:rsidP="00D56BF9">
            <w:pPr>
              <w:widowControl w:val="0"/>
              <w:overflowPunct w:val="0"/>
              <w:autoSpaceDE w:val="0"/>
              <w:autoSpaceDN w:val="0"/>
              <w:adjustRightInd w:val="0"/>
              <w:rPr>
                <w:rFonts w:ascii="Calibri" w:eastAsia="Times New Roman" w:hAnsi="Calibri" w:cs="Arial"/>
                <w:bCs/>
                <w:color w:val="000000"/>
                <w:lang w:val="es-ES_tradnl" w:eastAsia="es-CR"/>
              </w:rPr>
            </w:pPr>
            <w:r w:rsidRPr="00D56BF9">
              <w:rPr>
                <w:rFonts w:ascii="Calibri" w:eastAsia="Times New Roman" w:hAnsi="Calibri" w:cs="Arial"/>
                <w:bCs/>
                <w:color w:val="000000"/>
                <w:lang w:val="es-ES_tradnl" w:eastAsia="es-CR"/>
              </w:rPr>
              <w:t>1.2 Perspectivas de las diferentes escuelas de pensamiento en relación con el libro o tema teológico del Nuevo Testamento seleccionado (estado de la cuestión)</w:t>
            </w:r>
          </w:p>
          <w:p w14:paraId="774CB426"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54A8170E"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4F895AAA"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 w:eastAsia="es-CR"/>
              </w:rPr>
            </w:pPr>
          </w:p>
          <w:p w14:paraId="6367F8C8"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 w:eastAsia="es-CR"/>
              </w:rPr>
            </w:pPr>
            <w:r w:rsidRPr="00D56BF9">
              <w:rPr>
                <w:rFonts w:ascii="Calibri" w:eastAsia="Times New Roman" w:hAnsi="Calibri" w:cs="Calibri"/>
                <w:szCs w:val="18"/>
                <w:lang w:val="es-ES" w:eastAsia="es-CR"/>
              </w:rPr>
              <w:t>Carter, Warren</w:t>
            </w:r>
            <w:r w:rsidRPr="00D56BF9">
              <w:rPr>
                <w:rFonts w:ascii="Calibri" w:eastAsia="Times New Roman" w:hAnsi="Calibri" w:cs="Calibri"/>
                <w:i/>
                <w:iCs/>
                <w:szCs w:val="18"/>
                <w:lang w:val="es-ES" w:eastAsia="es-CR"/>
              </w:rPr>
              <w:t>.</w:t>
            </w:r>
            <w:r w:rsidRPr="00D56BF9">
              <w:rPr>
                <w:rFonts w:ascii="Calibri" w:eastAsia="Times New Roman" w:hAnsi="Calibri" w:cs="Calibri"/>
                <w:szCs w:val="18"/>
                <w:lang w:val="es-ES_tradnl" w:eastAsia="es-CR"/>
              </w:rPr>
              <w:t xml:space="preserve"> “</w:t>
            </w:r>
            <w:r w:rsidRPr="00D56BF9">
              <w:rPr>
                <w:rFonts w:ascii="Calibri" w:eastAsia="Calibri" w:hAnsi="Calibri" w:cs="Calibri"/>
                <w:szCs w:val="18"/>
                <w:lang w:val="es-ES" w:eastAsia="es-CR"/>
              </w:rPr>
              <w:t xml:space="preserve">La teología imperial: un choque entre afirmaciones teológicas y sociales”. En </w:t>
            </w:r>
            <w:r w:rsidRPr="00D56BF9">
              <w:rPr>
                <w:rFonts w:ascii="Calibri" w:eastAsia="Times New Roman" w:hAnsi="Calibri" w:cs="Calibri"/>
                <w:i/>
                <w:iCs/>
                <w:szCs w:val="18"/>
                <w:lang w:val="es-ES" w:eastAsia="es-CR"/>
              </w:rPr>
              <w:t>El imperio romano y el Nuevo Testamento: guía básica</w:t>
            </w:r>
            <w:r w:rsidRPr="00D56BF9">
              <w:rPr>
                <w:rFonts w:ascii="Calibri" w:eastAsia="Times New Roman" w:hAnsi="Calibri" w:cs="Calibri"/>
                <w:szCs w:val="18"/>
                <w:lang w:val="es-ES" w:eastAsia="es-CR"/>
              </w:rPr>
              <w:t xml:space="preserve">, 125-148. Estella (Navarra): Verbo Divino, 2011. </w:t>
            </w:r>
            <w:r w:rsidRPr="00D56BF9">
              <w:rPr>
                <w:rFonts w:ascii="Calibri" w:eastAsia="Times New Roman" w:hAnsi="Calibri" w:cs="Calibri"/>
                <w:color w:val="0070C0"/>
                <w:szCs w:val="18"/>
                <w:lang w:val="es-ES" w:eastAsia="es-CR"/>
              </w:rPr>
              <w:t>(clásico, última edición)</w:t>
            </w:r>
          </w:p>
          <w:p w14:paraId="26C0065F"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18"/>
                <w:lang w:val="es-ES" w:eastAsia="es-CR"/>
              </w:rPr>
            </w:pPr>
          </w:p>
          <w:p w14:paraId="2FC12BB3"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r w:rsidRPr="00D56BF9">
              <w:rPr>
                <w:rFonts w:ascii="Calibri" w:eastAsia="Times New Roman" w:hAnsi="Calibri" w:cs="Calibri"/>
                <w:b/>
                <w:bCs/>
                <w:color w:val="0070C0"/>
                <w:lang w:val="es-ES_tradnl" w:eastAsia="es-CR"/>
              </w:rPr>
              <w:t>Material complementario</w:t>
            </w:r>
          </w:p>
          <w:p w14:paraId="20B64CEB"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szCs w:val="18"/>
                <w:lang w:val="es-ES_tradnl" w:eastAsia="es-CR"/>
              </w:rPr>
            </w:pPr>
          </w:p>
          <w:p w14:paraId="0CB19383"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szCs w:val="18"/>
                <w:lang w:val="es-ES_tradnl" w:eastAsia="es-CR"/>
              </w:rPr>
            </w:pPr>
            <w:r w:rsidRPr="00D56BF9">
              <w:rPr>
                <w:rFonts w:ascii="Calibri" w:eastAsia="Times New Roman" w:hAnsi="Calibri" w:cs="Calibri"/>
                <w:color w:val="0070C0"/>
                <w:szCs w:val="18"/>
                <w:lang w:val="es-ES_tradnl" w:eastAsia="es-CR"/>
              </w:rPr>
              <w:t>Guía para la participación en un glosario en la plataforma Moodle</w:t>
            </w:r>
          </w:p>
          <w:p w14:paraId="1374CEA7"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szCs w:val="18"/>
                <w:lang w:val="es-ES_tradnl" w:eastAsia="es-CR"/>
              </w:rPr>
            </w:pPr>
          </w:p>
          <w:p w14:paraId="032889C7"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szCs w:val="18"/>
                <w:lang w:val="es-ES" w:eastAsia="es-CR"/>
              </w:rPr>
            </w:pPr>
            <w:r w:rsidRPr="00D56BF9">
              <w:rPr>
                <w:rFonts w:ascii="Calibri" w:eastAsia="Times New Roman" w:hAnsi="Calibri" w:cs="Calibri"/>
                <w:color w:val="0070C0"/>
                <w:lang w:val="es-ES_tradnl" w:eastAsia="es-CR"/>
              </w:rPr>
              <w:t xml:space="preserve">Guía para la participación mediante la herramienta Big Blue </w:t>
            </w:r>
            <w:proofErr w:type="spellStart"/>
            <w:r w:rsidRPr="00D56BF9">
              <w:rPr>
                <w:rFonts w:ascii="Calibri" w:eastAsia="Times New Roman" w:hAnsi="Calibri" w:cs="Calibri"/>
                <w:color w:val="0070C0"/>
                <w:lang w:val="es-ES_tradnl" w:eastAsia="es-CR"/>
              </w:rPr>
              <w:t>Button</w:t>
            </w:r>
            <w:proofErr w:type="spellEnd"/>
            <w:r w:rsidRPr="00D56BF9">
              <w:rPr>
                <w:rFonts w:ascii="Calibri" w:eastAsia="Times New Roman" w:hAnsi="Calibri" w:cs="Calibri"/>
                <w:color w:val="0070C0"/>
                <w:lang w:val="es-ES_tradnl" w:eastAsia="es-CR"/>
              </w:rPr>
              <w:t xml:space="preserve"> en la plataforma Moodle</w:t>
            </w:r>
          </w:p>
          <w:p w14:paraId="453A581B"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tc>
        <w:tc>
          <w:tcPr>
            <w:tcW w:w="3119" w:type="dxa"/>
          </w:tcPr>
          <w:p w14:paraId="6A52E238" w14:textId="77777777" w:rsidR="00D56BF9" w:rsidRPr="00D56BF9" w:rsidRDefault="00D56BF9" w:rsidP="00D56BF9">
            <w:pPr>
              <w:widowControl w:val="0"/>
              <w:numPr>
                <w:ilvl w:val="0"/>
                <w:numId w:val="319"/>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Realizar la lectura de la sesión.</w:t>
            </w:r>
          </w:p>
          <w:p w14:paraId="08BD6A18" w14:textId="77777777" w:rsidR="00D56BF9" w:rsidRPr="00D56BF9" w:rsidRDefault="00D56BF9" w:rsidP="00D56BF9">
            <w:pPr>
              <w:widowControl w:val="0"/>
              <w:numPr>
                <w:ilvl w:val="0"/>
                <w:numId w:val="319"/>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Participación en la elaboración de un glosario.</w:t>
            </w:r>
          </w:p>
          <w:p w14:paraId="659BD5D6" w14:textId="77777777" w:rsidR="00D56BF9" w:rsidRPr="00D56BF9" w:rsidRDefault="00D56BF9" w:rsidP="00D56BF9">
            <w:pPr>
              <w:widowControl w:val="0"/>
              <w:numPr>
                <w:ilvl w:val="0"/>
                <w:numId w:val="319"/>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Exposición docente en un encuentro sincrónico virtual. </w:t>
            </w:r>
          </w:p>
        </w:tc>
      </w:tr>
      <w:tr w:rsidR="00D56BF9" w:rsidRPr="00D56BF9" w14:paraId="474107F7" w14:textId="77777777" w:rsidTr="00104785">
        <w:tc>
          <w:tcPr>
            <w:tcW w:w="1144" w:type="dxa"/>
          </w:tcPr>
          <w:p w14:paraId="65C08CFA"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26ED4743"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5</w:t>
            </w:r>
          </w:p>
        </w:tc>
        <w:tc>
          <w:tcPr>
            <w:tcW w:w="2395" w:type="dxa"/>
          </w:tcPr>
          <w:p w14:paraId="77D39327"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1: </w:t>
            </w:r>
            <w:r w:rsidRPr="00D56BF9">
              <w:rPr>
                <w:rFonts w:ascii="Calibri" w:eastAsia="Times New Roman" w:hAnsi="Calibri" w:cs="Arial"/>
                <w:b/>
                <w:color w:val="000000"/>
                <w:lang w:val="es-ES_tradnl" w:eastAsia="es-CR"/>
              </w:rPr>
              <w:t>Marco teórico desde donde se realizará el estudio del libro o tema del Nuevo Testamento seleccionado</w:t>
            </w:r>
          </w:p>
          <w:p w14:paraId="0AC139C1"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31D15AE2" w14:textId="77777777" w:rsidR="00D56BF9" w:rsidRPr="00D56BF9" w:rsidRDefault="00D56BF9" w:rsidP="00D56BF9">
            <w:pPr>
              <w:widowControl w:val="0"/>
              <w:overflowPunct w:val="0"/>
              <w:autoSpaceDE w:val="0"/>
              <w:autoSpaceDN w:val="0"/>
              <w:adjustRightInd w:val="0"/>
              <w:rPr>
                <w:rFonts w:ascii="Calibri" w:eastAsia="Times New Roman" w:hAnsi="Calibri" w:cs="Arial"/>
                <w:bCs/>
                <w:color w:val="000000"/>
                <w:lang w:val="es-ES_tradnl" w:eastAsia="es-CR"/>
              </w:rPr>
            </w:pPr>
            <w:r w:rsidRPr="00D56BF9">
              <w:rPr>
                <w:rFonts w:ascii="Calibri" w:eastAsia="Times New Roman" w:hAnsi="Calibri" w:cs="Arial"/>
                <w:bCs/>
                <w:color w:val="000000"/>
                <w:lang w:val="es-ES_tradnl" w:eastAsia="es-CR"/>
              </w:rPr>
              <w:t xml:space="preserve">1.2 Perspectivas de las diferentes escuelas de pensamiento en </w:t>
            </w:r>
            <w:r w:rsidRPr="00D56BF9">
              <w:rPr>
                <w:rFonts w:ascii="Calibri" w:eastAsia="Times New Roman" w:hAnsi="Calibri" w:cs="Arial"/>
                <w:bCs/>
                <w:color w:val="000000"/>
                <w:lang w:val="es-ES_tradnl" w:eastAsia="es-CR"/>
              </w:rPr>
              <w:lastRenderedPageBreak/>
              <w:t>relación con el libro o tema teológico del Nuevo Testamento seleccionado (estado de la cuestión)</w:t>
            </w:r>
          </w:p>
          <w:p w14:paraId="47986BAA"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3D673140"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lastRenderedPageBreak/>
              <w:t>Ruta de aprendizaje</w:t>
            </w:r>
          </w:p>
          <w:p w14:paraId="3AD92B95"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20"/>
                <w:lang w:val="es-ES_tradnl" w:eastAsia="es-CR"/>
              </w:rPr>
            </w:pPr>
          </w:p>
          <w:p w14:paraId="3869C9F9"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3119" w:type="dxa"/>
          </w:tcPr>
          <w:p w14:paraId="4D761CF0" w14:textId="77777777" w:rsidR="00D56BF9" w:rsidRPr="00D56BF9" w:rsidRDefault="00D56BF9" w:rsidP="00D56BF9">
            <w:pPr>
              <w:widowControl w:val="0"/>
              <w:numPr>
                <w:ilvl w:val="0"/>
                <w:numId w:val="320"/>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Entregar el tema, los objetivos y una bibliografía preliminar para su trabajo de investigación por medio del foro habilitado para ello.</w:t>
            </w:r>
          </w:p>
        </w:tc>
      </w:tr>
      <w:tr w:rsidR="00D56BF9" w:rsidRPr="00D56BF9" w14:paraId="1FD13F7E" w14:textId="77777777" w:rsidTr="00104785">
        <w:tc>
          <w:tcPr>
            <w:tcW w:w="1144" w:type="dxa"/>
          </w:tcPr>
          <w:p w14:paraId="24DB7456"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120AC669"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6</w:t>
            </w:r>
          </w:p>
        </w:tc>
        <w:tc>
          <w:tcPr>
            <w:tcW w:w="2395" w:type="dxa"/>
          </w:tcPr>
          <w:p w14:paraId="426A6257"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2: Dimensión literaria </w:t>
            </w:r>
            <w:r w:rsidRPr="00D56BF9">
              <w:rPr>
                <w:rFonts w:ascii="Calibri" w:eastAsia="Times New Roman" w:hAnsi="Calibri" w:cs="Arial"/>
                <w:b/>
                <w:color w:val="000000"/>
                <w:lang w:val="es-ES_tradnl" w:eastAsia="es-CR"/>
              </w:rPr>
              <w:t>del libro o tema del Nuevo Testamento seleccionado</w:t>
            </w:r>
          </w:p>
          <w:p w14:paraId="064B864A"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1A6B80D4"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r w:rsidRPr="00D56BF9">
              <w:rPr>
                <w:rFonts w:ascii="Calibri" w:eastAsia="Times New Roman" w:hAnsi="Calibri" w:cs="Arial"/>
                <w:bCs/>
                <w:color w:val="000000"/>
                <w:lang w:val="es-ES_tradnl" w:eastAsia="es-CR"/>
              </w:rPr>
              <w:t xml:space="preserve">2.1 Aspectos exegéticos de la obra/tema </w:t>
            </w:r>
            <w:r w:rsidRPr="00D56BF9">
              <w:rPr>
                <w:rFonts w:ascii="Calibri" w:eastAsia="Times New Roman" w:hAnsi="Calibri" w:cs="Arial"/>
                <w:color w:val="000000"/>
                <w:lang w:val="es-ES_tradnl" w:eastAsia="es-CR"/>
              </w:rPr>
              <w:t>del Nuevo Testamento seleccionado</w:t>
            </w:r>
          </w:p>
          <w:p w14:paraId="293A047B"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31CAB6C1"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48D1DC4F" w14:textId="77777777" w:rsidR="00D56BF9" w:rsidRPr="00D56BF9" w:rsidRDefault="00D56BF9" w:rsidP="00D56BF9">
            <w:pPr>
              <w:widowControl w:val="0"/>
              <w:overflowPunct w:val="0"/>
              <w:autoSpaceDE w:val="0"/>
              <w:autoSpaceDN w:val="0"/>
              <w:adjustRightInd w:val="0"/>
              <w:rPr>
                <w:rFonts w:ascii="Calibri" w:eastAsia="Times New Roman" w:hAnsi="Calibri" w:cs="Calibri"/>
                <w:lang w:val="es-ES_tradnl" w:eastAsia="es-CR"/>
              </w:rPr>
            </w:pPr>
          </w:p>
          <w:p w14:paraId="35FDA681" w14:textId="77777777" w:rsidR="00D56BF9" w:rsidRPr="00D56BF9" w:rsidRDefault="00D56BF9" w:rsidP="00D56BF9">
            <w:pPr>
              <w:widowControl w:val="0"/>
              <w:overflowPunct w:val="0"/>
              <w:autoSpaceDE w:val="0"/>
              <w:autoSpaceDN w:val="0"/>
              <w:adjustRightInd w:val="0"/>
              <w:rPr>
                <w:rFonts w:ascii="Calibri" w:eastAsia="Times New Roman" w:hAnsi="Calibri" w:cs="Calibri"/>
                <w:lang w:val="es-ES_tradnl" w:eastAsia="es-CR"/>
              </w:rPr>
            </w:pPr>
            <w:r w:rsidRPr="00D56BF9">
              <w:rPr>
                <w:rFonts w:ascii="Calibri" w:eastAsia="Times New Roman" w:hAnsi="Calibri" w:cs="Calibri"/>
                <w:lang w:val="es-ES_tradnl" w:eastAsia="es-CR"/>
              </w:rPr>
              <w:t xml:space="preserve">Bermejo Rubio, Fernando. “Causas de la crucifixión o la dimensión </w:t>
            </w:r>
            <w:proofErr w:type="spellStart"/>
            <w:r w:rsidRPr="00D56BF9">
              <w:rPr>
                <w:rFonts w:ascii="Calibri" w:eastAsia="Times New Roman" w:hAnsi="Calibri" w:cs="Calibri"/>
                <w:lang w:val="es-ES_tradnl" w:eastAsia="es-CR"/>
              </w:rPr>
              <w:t>antirromana</w:t>
            </w:r>
            <w:proofErr w:type="spellEnd"/>
            <w:r w:rsidRPr="00D56BF9">
              <w:rPr>
                <w:rFonts w:ascii="Calibri" w:eastAsia="Times New Roman" w:hAnsi="Calibri" w:cs="Calibri"/>
                <w:lang w:val="es-ES_tradnl" w:eastAsia="es-CR"/>
              </w:rPr>
              <w:t xml:space="preserve"> de la historia”. En </w:t>
            </w:r>
            <w:r w:rsidRPr="00D56BF9">
              <w:rPr>
                <w:rFonts w:ascii="Calibri" w:eastAsia="Times New Roman" w:hAnsi="Calibri" w:cs="Calibri"/>
                <w:i/>
                <w:iCs/>
                <w:lang w:val="es-ES_tradnl" w:eastAsia="es-CR"/>
              </w:rPr>
              <w:t>La invención de Jesús de Nazaret: Historia, ficción, historiografía</w:t>
            </w:r>
            <w:r w:rsidRPr="00D56BF9">
              <w:rPr>
                <w:rFonts w:ascii="Calibri" w:eastAsia="Times New Roman" w:hAnsi="Calibri" w:cs="Calibri"/>
                <w:lang w:val="es-ES_tradnl" w:eastAsia="es-CR"/>
              </w:rPr>
              <w:t xml:space="preserve">, 169-225. Madrid: Siglo XXI, 2019. </w:t>
            </w:r>
            <w:r w:rsidRPr="00D56BF9">
              <w:rPr>
                <w:rFonts w:ascii="Calibri" w:eastAsia="Times New Roman" w:hAnsi="Calibri" w:cs="Calibri"/>
                <w:color w:val="0070C0"/>
                <w:szCs w:val="18"/>
                <w:lang w:val="es-ES_tradnl" w:eastAsia="es-CR"/>
              </w:rPr>
              <w:t>(clásico, última edición)</w:t>
            </w:r>
          </w:p>
          <w:p w14:paraId="5EE97A9A"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20"/>
                <w:lang w:val="es-ES_tradnl" w:eastAsia="es-CR"/>
              </w:rPr>
            </w:pPr>
          </w:p>
          <w:p w14:paraId="3E115AAF"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r w:rsidRPr="00D56BF9">
              <w:rPr>
                <w:rFonts w:ascii="Calibri" w:eastAsia="Times New Roman" w:hAnsi="Calibri" w:cs="Calibri"/>
                <w:b/>
                <w:bCs/>
                <w:color w:val="0070C0"/>
                <w:lang w:val="es-ES_tradnl" w:eastAsia="es-CR"/>
              </w:rPr>
              <w:t>Material complementario</w:t>
            </w:r>
          </w:p>
          <w:p w14:paraId="3AD0C544"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p>
          <w:p w14:paraId="762C856F"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Guía para la elaboración de un ensayo</w:t>
            </w:r>
          </w:p>
          <w:p w14:paraId="2507FB52"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tc>
        <w:tc>
          <w:tcPr>
            <w:tcW w:w="3119" w:type="dxa"/>
          </w:tcPr>
          <w:p w14:paraId="3E414657" w14:textId="77777777" w:rsidR="00D56BF9" w:rsidRPr="00D56BF9" w:rsidRDefault="00D56BF9" w:rsidP="00D56BF9">
            <w:pPr>
              <w:widowControl w:val="0"/>
              <w:numPr>
                <w:ilvl w:val="0"/>
                <w:numId w:val="320"/>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Realizar la lectura de la sesión.</w:t>
            </w:r>
          </w:p>
          <w:p w14:paraId="6934515E" w14:textId="77777777" w:rsidR="00D56BF9" w:rsidRPr="00D56BF9" w:rsidRDefault="00D56BF9" w:rsidP="00D56BF9">
            <w:pPr>
              <w:widowControl w:val="0"/>
              <w:numPr>
                <w:ilvl w:val="0"/>
                <w:numId w:val="320"/>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Elaboración de un ensayo sobre el evangelio de Marcos a partir de la noción de herejía. </w:t>
            </w:r>
          </w:p>
          <w:p w14:paraId="17227438" w14:textId="77777777" w:rsidR="00D56BF9" w:rsidRPr="00D56BF9" w:rsidRDefault="00D56BF9" w:rsidP="00D56BF9">
            <w:pPr>
              <w:widowControl w:val="0"/>
              <w:numPr>
                <w:ilvl w:val="0"/>
                <w:numId w:val="320"/>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Continuar con la elaboración de su trabajo de investigación.</w:t>
            </w:r>
          </w:p>
        </w:tc>
      </w:tr>
      <w:tr w:rsidR="00D56BF9" w:rsidRPr="00D56BF9" w14:paraId="7DC5FD60" w14:textId="77777777" w:rsidTr="00104785">
        <w:tc>
          <w:tcPr>
            <w:tcW w:w="1144" w:type="dxa"/>
          </w:tcPr>
          <w:p w14:paraId="397D92A0"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216ED367"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7</w:t>
            </w:r>
          </w:p>
        </w:tc>
        <w:tc>
          <w:tcPr>
            <w:tcW w:w="2395" w:type="dxa"/>
          </w:tcPr>
          <w:p w14:paraId="33B0D0A3"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2: Dimensión literaria </w:t>
            </w:r>
            <w:r w:rsidRPr="00D56BF9">
              <w:rPr>
                <w:rFonts w:ascii="Calibri" w:eastAsia="Times New Roman" w:hAnsi="Calibri" w:cs="Arial"/>
                <w:b/>
                <w:color w:val="000000"/>
                <w:lang w:val="es-ES_tradnl" w:eastAsia="es-CR"/>
              </w:rPr>
              <w:t>del libro o tema del Nuevo Testamento seleccionado</w:t>
            </w:r>
          </w:p>
          <w:p w14:paraId="2140DC3A"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504D5CD5"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r w:rsidRPr="00D56BF9">
              <w:rPr>
                <w:rFonts w:ascii="Calibri" w:eastAsia="Times New Roman" w:hAnsi="Calibri" w:cs="Arial"/>
                <w:bCs/>
                <w:color w:val="000000"/>
                <w:lang w:val="es-ES_tradnl" w:eastAsia="es-CR"/>
              </w:rPr>
              <w:t xml:space="preserve">2.1 Aspectos exegéticos de la obra/tema </w:t>
            </w:r>
            <w:r w:rsidRPr="00D56BF9">
              <w:rPr>
                <w:rFonts w:ascii="Calibri" w:eastAsia="Times New Roman" w:hAnsi="Calibri" w:cs="Arial"/>
                <w:color w:val="000000"/>
                <w:lang w:val="es-ES_tradnl" w:eastAsia="es-CR"/>
              </w:rPr>
              <w:t>del Nuevo Testamento seleccionado</w:t>
            </w:r>
          </w:p>
          <w:p w14:paraId="42EF4752"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708FFCDD"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5EE48F96"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p>
          <w:p w14:paraId="01655D84"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proofErr w:type="spellStart"/>
            <w:r w:rsidRPr="00D56BF9">
              <w:rPr>
                <w:rFonts w:ascii="Calibri" w:eastAsia="Times New Roman" w:hAnsi="Calibri" w:cs="Calibri"/>
                <w:szCs w:val="18"/>
                <w:lang w:val="es-ES_tradnl" w:eastAsia="es-CR"/>
              </w:rPr>
              <w:t>Baslez</w:t>
            </w:r>
            <w:proofErr w:type="spellEnd"/>
            <w:r w:rsidRPr="00D56BF9">
              <w:rPr>
                <w:rFonts w:ascii="Calibri" w:eastAsia="Times New Roman" w:hAnsi="Calibri" w:cs="Calibri"/>
                <w:szCs w:val="18"/>
                <w:lang w:val="es-ES_tradnl" w:eastAsia="es-CR"/>
              </w:rPr>
              <w:t>, Marie-Françoise</w:t>
            </w:r>
            <w:r w:rsidRPr="00D56BF9">
              <w:rPr>
                <w:rFonts w:ascii="Calibri" w:eastAsia="Times New Roman" w:hAnsi="Calibri" w:cs="Calibri"/>
                <w:i/>
                <w:iCs/>
                <w:szCs w:val="18"/>
                <w:lang w:val="es-ES_tradnl" w:eastAsia="es-CR"/>
              </w:rPr>
              <w:t xml:space="preserve">. </w:t>
            </w:r>
            <w:r w:rsidRPr="00D56BF9">
              <w:rPr>
                <w:rFonts w:ascii="Calibri" w:eastAsia="Times New Roman" w:hAnsi="Calibri" w:cs="Calibri"/>
                <w:szCs w:val="18"/>
                <w:lang w:val="es-ES_tradnl" w:eastAsia="es-CR"/>
              </w:rPr>
              <w:t xml:space="preserve">“Modos de escribir y géneros históricos”. En </w:t>
            </w:r>
            <w:r w:rsidRPr="00D56BF9">
              <w:rPr>
                <w:rFonts w:ascii="Calibri" w:eastAsia="Times New Roman" w:hAnsi="Calibri" w:cs="Calibri"/>
                <w:i/>
                <w:iCs/>
                <w:szCs w:val="18"/>
                <w:lang w:val="es-ES_tradnl" w:eastAsia="es-CR"/>
              </w:rPr>
              <w:t>Cómo se escribe la historia en la época del Nuevo Testamento</w:t>
            </w:r>
            <w:r w:rsidRPr="00D56BF9">
              <w:rPr>
                <w:rFonts w:ascii="Calibri" w:eastAsia="Times New Roman" w:hAnsi="Calibri" w:cs="Calibri"/>
                <w:szCs w:val="18"/>
                <w:lang w:val="es-ES_tradnl" w:eastAsia="es-CR"/>
              </w:rPr>
              <w:t>, 47-67</w:t>
            </w:r>
            <w:r w:rsidRPr="00D56BF9">
              <w:rPr>
                <w:rFonts w:ascii="Calibri" w:eastAsia="Times New Roman" w:hAnsi="Calibri" w:cs="Calibri"/>
                <w:i/>
                <w:iCs/>
                <w:szCs w:val="18"/>
                <w:lang w:val="es-ES_tradnl" w:eastAsia="es-CR"/>
              </w:rPr>
              <w:t xml:space="preserve">. </w:t>
            </w:r>
            <w:r w:rsidRPr="00D56BF9">
              <w:rPr>
                <w:rFonts w:ascii="Calibri" w:eastAsia="Times New Roman" w:hAnsi="Calibri" w:cs="Calibri"/>
                <w:szCs w:val="18"/>
                <w:lang w:val="es-ES_tradnl" w:eastAsia="es-CR"/>
              </w:rPr>
              <w:t>Estella: Verbo Divino, 2009.</w:t>
            </w:r>
            <w:r w:rsidRPr="00D56BF9">
              <w:rPr>
                <w:rFonts w:ascii="Calibri" w:eastAsia="Times New Roman" w:hAnsi="Calibri" w:cs="Calibri"/>
                <w:color w:val="0070C0"/>
                <w:szCs w:val="18"/>
                <w:lang w:val="es-ES" w:eastAsia="es-CR"/>
              </w:rPr>
              <w:t xml:space="preserve"> (clásico, última edición)</w:t>
            </w:r>
          </w:p>
          <w:p w14:paraId="28C13346"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18"/>
                <w:lang w:val="es-ES_tradnl" w:eastAsia="es-CR"/>
              </w:rPr>
            </w:pPr>
          </w:p>
          <w:p w14:paraId="16D8BF41"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r w:rsidRPr="00D56BF9">
              <w:rPr>
                <w:rFonts w:ascii="Calibri" w:eastAsia="Times New Roman" w:hAnsi="Calibri" w:cs="Calibri"/>
                <w:b/>
                <w:bCs/>
                <w:color w:val="0070C0"/>
                <w:lang w:val="es-ES_tradnl" w:eastAsia="es-CR"/>
              </w:rPr>
              <w:t>Material complementario</w:t>
            </w:r>
          </w:p>
          <w:p w14:paraId="142DCFC9"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0000"/>
                <w:lang w:val="es-ES_tradnl" w:eastAsia="es-CR"/>
              </w:rPr>
            </w:pPr>
          </w:p>
          <w:p w14:paraId="3C88FF77"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Guía para la participación en un foro en la plataforma Moodle</w:t>
            </w:r>
          </w:p>
          <w:p w14:paraId="6EBD4537"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p>
        </w:tc>
        <w:tc>
          <w:tcPr>
            <w:tcW w:w="3119" w:type="dxa"/>
          </w:tcPr>
          <w:p w14:paraId="6E15545A" w14:textId="77777777" w:rsidR="00D56BF9" w:rsidRPr="00D56BF9" w:rsidRDefault="00D56BF9" w:rsidP="00D56BF9">
            <w:pPr>
              <w:widowControl w:val="0"/>
              <w:numPr>
                <w:ilvl w:val="0"/>
                <w:numId w:val="321"/>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Realizar la lectura de la sesión.</w:t>
            </w:r>
          </w:p>
          <w:p w14:paraId="4351E6D3" w14:textId="77777777" w:rsidR="00D56BF9" w:rsidRPr="00D56BF9" w:rsidRDefault="00D56BF9" w:rsidP="00D56BF9">
            <w:pPr>
              <w:widowControl w:val="0"/>
              <w:numPr>
                <w:ilvl w:val="0"/>
                <w:numId w:val="321"/>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Participación en el foro temático: Los modos y géneros de escritura relacionados con el evangelio de Marcos. </w:t>
            </w:r>
          </w:p>
          <w:p w14:paraId="3810F64F" w14:textId="77777777" w:rsidR="00D56BF9" w:rsidRPr="00D56BF9" w:rsidRDefault="00D56BF9" w:rsidP="00D56BF9">
            <w:pPr>
              <w:widowControl w:val="0"/>
              <w:numPr>
                <w:ilvl w:val="0"/>
                <w:numId w:val="321"/>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Continuar con la elaboración de su trabajo de investigación.</w:t>
            </w:r>
          </w:p>
        </w:tc>
      </w:tr>
      <w:tr w:rsidR="00D56BF9" w:rsidRPr="00D56BF9" w14:paraId="211CC4FA" w14:textId="77777777" w:rsidTr="00104785">
        <w:tc>
          <w:tcPr>
            <w:tcW w:w="1144" w:type="dxa"/>
          </w:tcPr>
          <w:p w14:paraId="2F96536C"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350B2057"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8</w:t>
            </w:r>
          </w:p>
        </w:tc>
        <w:tc>
          <w:tcPr>
            <w:tcW w:w="2395" w:type="dxa"/>
          </w:tcPr>
          <w:p w14:paraId="06E475BD"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2: Dimensión literaria </w:t>
            </w:r>
            <w:r w:rsidRPr="00D56BF9">
              <w:rPr>
                <w:rFonts w:ascii="Calibri" w:eastAsia="Times New Roman" w:hAnsi="Calibri" w:cs="Arial"/>
                <w:b/>
                <w:color w:val="000000"/>
                <w:lang w:val="es-ES_tradnl" w:eastAsia="es-CR"/>
              </w:rPr>
              <w:t>del libro o tema del Nuevo Testamento seleccionado</w:t>
            </w:r>
          </w:p>
          <w:p w14:paraId="058575C2" w14:textId="77777777" w:rsidR="00D56BF9" w:rsidRPr="00D56BF9" w:rsidRDefault="00D56BF9" w:rsidP="00D56BF9">
            <w:pPr>
              <w:widowControl w:val="0"/>
              <w:overflowPunct w:val="0"/>
              <w:autoSpaceDE w:val="0"/>
              <w:autoSpaceDN w:val="0"/>
              <w:adjustRightInd w:val="0"/>
              <w:rPr>
                <w:rFonts w:ascii="Calibri" w:eastAsia="Times New Roman" w:hAnsi="Calibri" w:cs="Arial"/>
                <w:bCs/>
                <w:color w:val="000000"/>
                <w:lang w:val="es-ES_tradnl" w:eastAsia="es-CR"/>
              </w:rPr>
            </w:pPr>
          </w:p>
          <w:p w14:paraId="6C033963"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r w:rsidRPr="00D56BF9">
              <w:rPr>
                <w:rFonts w:ascii="Calibri" w:eastAsia="Times New Roman" w:hAnsi="Calibri" w:cs="Arial"/>
                <w:bCs/>
                <w:color w:val="000000"/>
                <w:lang w:val="es-ES_tradnl" w:eastAsia="es-CR"/>
              </w:rPr>
              <w:t xml:space="preserve">2.2 Aspectos literarios de la obra/tema </w:t>
            </w:r>
            <w:r w:rsidRPr="00D56BF9">
              <w:rPr>
                <w:rFonts w:ascii="Calibri" w:eastAsia="Times New Roman" w:hAnsi="Calibri" w:cs="Arial"/>
                <w:color w:val="000000"/>
                <w:lang w:val="es-ES_tradnl" w:eastAsia="es-CR"/>
              </w:rPr>
              <w:t xml:space="preserve">del Nuevo Testamento </w:t>
            </w:r>
            <w:r w:rsidRPr="00D56BF9">
              <w:rPr>
                <w:rFonts w:ascii="Calibri" w:eastAsia="Times New Roman" w:hAnsi="Calibri" w:cs="Arial"/>
                <w:color w:val="000000"/>
                <w:lang w:val="es-ES_tradnl" w:eastAsia="es-CR"/>
              </w:rPr>
              <w:lastRenderedPageBreak/>
              <w:t>seleccionado</w:t>
            </w:r>
          </w:p>
          <w:p w14:paraId="52BD87B8"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4C0C8851"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lastRenderedPageBreak/>
              <w:t>Ruta de aprendizaje</w:t>
            </w:r>
          </w:p>
          <w:p w14:paraId="17D6698A"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p>
          <w:p w14:paraId="179B8C02"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r w:rsidRPr="00D56BF9">
              <w:rPr>
                <w:rFonts w:ascii="Calibri" w:eastAsia="Times New Roman" w:hAnsi="Calibri" w:cs="Calibri"/>
                <w:szCs w:val="18"/>
                <w:lang w:val="es-ES_tradnl" w:eastAsia="es-CR"/>
              </w:rPr>
              <w:t xml:space="preserve">Schmid, Josef. “El precursor del Mesías”. En </w:t>
            </w:r>
            <w:r w:rsidRPr="00D56BF9">
              <w:rPr>
                <w:rFonts w:ascii="Calibri" w:eastAsia="Times New Roman" w:hAnsi="Calibri" w:cs="Calibri"/>
                <w:i/>
                <w:iCs/>
                <w:szCs w:val="18"/>
                <w:lang w:val="es-ES_tradnl" w:eastAsia="es-CR"/>
              </w:rPr>
              <w:t>El Evangelio según San Marcos</w:t>
            </w:r>
            <w:r w:rsidRPr="00D56BF9">
              <w:rPr>
                <w:rFonts w:ascii="Calibri" w:eastAsia="Times New Roman" w:hAnsi="Calibri" w:cs="Calibri"/>
                <w:szCs w:val="18"/>
                <w:lang w:val="es-ES_tradnl" w:eastAsia="es-CR"/>
              </w:rPr>
              <w:t>, 25-109. Barcelona: Herder, 1967.</w:t>
            </w:r>
            <w:r w:rsidRPr="00D56BF9">
              <w:rPr>
                <w:rFonts w:ascii="Calibri" w:eastAsia="Times New Roman" w:hAnsi="Calibri" w:cs="Calibri"/>
                <w:color w:val="0070C0"/>
                <w:szCs w:val="18"/>
                <w:lang w:val="es-ES" w:eastAsia="es-CR"/>
              </w:rPr>
              <w:t xml:space="preserve"> (clásico, última edición 1981)</w:t>
            </w:r>
          </w:p>
          <w:p w14:paraId="4556D708"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18"/>
                <w:lang w:val="es-ES_tradnl" w:eastAsia="es-CR"/>
              </w:rPr>
            </w:pPr>
          </w:p>
          <w:p w14:paraId="2F84317D"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r w:rsidRPr="00D56BF9">
              <w:rPr>
                <w:rFonts w:ascii="Calibri" w:eastAsia="Times New Roman" w:hAnsi="Calibri" w:cs="Calibri"/>
                <w:b/>
                <w:bCs/>
                <w:color w:val="0070C0"/>
                <w:lang w:val="es-ES_tradnl" w:eastAsia="es-CR"/>
              </w:rPr>
              <w:t>Material complementario</w:t>
            </w:r>
          </w:p>
          <w:p w14:paraId="7D6B4B3E"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0000"/>
                <w:lang w:val="es-ES_tradnl" w:eastAsia="es-CR"/>
              </w:rPr>
            </w:pPr>
          </w:p>
          <w:p w14:paraId="18328AA1"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Guía para la elaboración de una reseña crítica de lectura</w:t>
            </w:r>
          </w:p>
          <w:p w14:paraId="65FCF4C3"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p w14:paraId="3446D879"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 xml:space="preserve">Guía para la participación mediante la herramienta Big Blue </w:t>
            </w:r>
            <w:proofErr w:type="spellStart"/>
            <w:r w:rsidRPr="00D56BF9">
              <w:rPr>
                <w:rFonts w:ascii="Calibri" w:eastAsia="Times New Roman" w:hAnsi="Calibri" w:cs="Calibri"/>
                <w:color w:val="0070C0"/>
                <w:lang w:val="es-ES_tradnl" w:eastAsia="es-CR"/>
              </w:rPr>
              <w:t>Button</w:t>
            </w:r>
            <w:proofErr w:type="spellEnd"/>
            <w:r w:rsidRPr="00D56BF9">
              <w:rPr>
                <w:rFonts w:ascii="Calibri" w:eastAsia="Times New Roman" w:hAnsi="Calibri" w:cs="Calibri"/>
                <w:color w:val="0070C0"/>
                <w:lang w:val="es-ES_tradnl" w:eastAsia="es-CR"/>
              </w:rPr>
              <w:t xml:space="preserve"> en la plataforma Moodle</w:t>
            </w:r>
          </w:p>
          <w:p w14:paraId="1CEB688F"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tc>
        <w:tc>
          <w:tcPr>
            <w:tcW w:w="3119" w:type="dxa"/>
          </w:tcPr>
          <w:p w14:paraId="0E16FE2F" w14:textId="77777777" w:rsidR="00D56BF9" w:rsidRPr="00D56BF9" w:rsidRDefault="00D56BF9" w:rsidP="00D56BF9">
            <w:pPr>
              <w:widowControl w:val="0"/>
              <w:numPr>
                <w:ilvl w:val="0"/>
                <w:numId w:val="322"/>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lastRenderedPageBreak/>
              <w:t xml:space="preserve">Realizar la lectura de la sesión. </w:t>
            </w:r>
          </w:p>
          <w:p w14:paraId="23220873" w14:textId="77777777" w:rsidR="00D56BF9" w:rsidRPr="00D56BF9" w:rsidRDefault="00D56BF9" w:rsidP="00D56BF9">
            <w:pPr>
              <w:widowControl w:val="0"/>
              <w:numPr>
                <w:ilvl w:val="0"/>
                <w:numId w:val="322"/>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Elaboración de una reseña crítica de la lectura.</w:t>
            </w:r>
          </w:p>
          <w:p w14:paraId="6BAAE02B" w14:textId="77777777" w:rsidR="00D56BF9" w:rsidRPr="00D56BF9" w:rsidRDefault="00D56BF9" w:rsidP="00D56BF9">
            <w:pPr>
              <w:widowControl w:val="0"/>
              <w:numPr>
                <w:ilvl w:val="0"/>
                <w:numId w:val="322"/>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Exposición docente en un encuentro sincrónico virtual.</w:t>
            </w:r>
          </w:p>
          <w:p w14:paraId="1566BAE6" w14:textId="77777777" w:rsidR="00D56BF9" w:rsidRPr="00D56BF9" w:rsidRDefault="00D56BF9" w:rsidP="00D56BF9">
            <w:pPr>
              <w:widowControl w:val="0"/>
              <w:numPr>
                <w:ilvl w:val="0"/>
                <w:numId w:val="322"/>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Continuar con la elaboración </w:t>
            </w:r>
            <w:r w:rsidRPr="00D56BF9">
              <w:rPr>
                <w:rFonts w:ascii="Calibri" w:eastAsia="Calibri" w:hAnsi="Calibri" w:cs="Arial"/>
                <w:color w:val="000000"/>
              </w:rPr>
              <w:lastRenderedPageBreak/>
              <w:t>de su trabajo de investigación.</w:t>
            </w:r>
          </w:p>
        </w:tc>
      </w:tr>
      <w:tr w:rsidR="00D56BF9" w:rsidRPr="00D56BF9" w14:paraId="2D3C294B" w14:textId="77777777" w:rsidTr="00104785">
        <w:tc>
          <w:tcPr>
            <w:tcW w:w="1144" w:type="dxa"/>
          </w:tcPr>
          <w:p w14:paraId="67BD5FDE"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6713B890"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9</w:t>
            </w:r>
          </w:p>
        </w:tc>
        <w:tc>
          <w:tcPr>
            <w:tcW w:w="2395" w:type="dxa"/>
          </w:tcPr>
          <w:p w14:paraId="7A9C623F"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2: Dimensión literaria </w:t>
            </w:r>
            <w:r w:rsidRPr="00D56BF9">
              <w:rPr>
                <w:rFonts w:ascii="Calibri" w:eastAsia="Times New Roman" w:hAnsi="Calibri" w:cs="Arial"/>
                <w:b/>
                <w:color w:val="000000"/>
                <w:lang w:val="es-ES_tradnl" w:eastAsia="es-CR"/>
              </w:rPr>
              <w:t>del libro o tema del Nuevo Testamento seleccionado</w:t>
            </w:r>
          </w:p>
          <w:p w14:paraId="5C720757"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1D908992"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r w:rsidRPr="00D56BF9">
              <w:rPr>
                <w:rFonts w:ascii="Calibri" w:eastAsia="Times New Roman" w:hAnsi="Calibri" w:cs="Arial"/>
                <w:bCs/>
                <w:color w:val="000000"/>
                <w:lang w:val="es-ES_tradnl" w:eastAsia="es-CR"/>
              </w:rPr>
              <w:t xml:space="preserve">2.2 Aspectos literarios de la obra/tema </w:t>
            </w:r>
            <w:r w:rsidRPr="00D56BF9">
              <w:rPr>
                <w:rFonts w:ascii="Calibri" w:eastAsia="Times New Roman" w:hAnsi="Calibri" w:cs="Arial"/>
                <w:color w:val="000000"/>
                <w:lang w:val="es-ES_tradnl" w:eastAsia="es-CR"/>
              </w:rPr>
              <w:t>del Nuevo Testamento seleccionado</w:t>
            </w:r>
          </w:p>
          <w:p w14:paraId="4CFA6E45"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3E652ACD"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4A27DD3A"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20"/>
                <w:lang w:val="es-ES_tradnl" w:eastAsia="es-CR"/>
              </w:rPr>
            </w:pPr>
          </w:p>
          <w:p w14:paraId="765EE357"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3119" w:type="dxa"/>
          </w:tcPr>
          <w:p w14:paraId="314488AD" w14:textId="77777777" w:rsidR="00D56BF9" w:rsidRPr="00D56BF9" w:rsidRDefault="00D56BF9" w:rsidP="00D56BF9">
            <w:pPr>
              <w:widowControl w:val="0"/>
              <w:numPr>
                <w:ilvl w:val="0"/>
                <w:numId w:val="323"/>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Entregar un primer avance de su trabajo de investigación. </w:t>
            </w:r>
          </w:p>
        </w:tc>
      </w:tr>
      <w:tr w:rsidR="00D56BF9" w:rsidRPr="00D56BF9" w14:paraId="24C80F53" w14:textId="77777777" w:rsidTr="00104785">
        <w:tc>
          <w:tcPr>
            <w:tcW w:w="1144" w:type="dxa"/>
          </w:tcPr>
          <w:p w14:paraId="7808F0EB"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0A0F5CF0"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10</w:t>
            </w:r>
          </w:p>
        </w:tc>
        <w:tc>
          <w:tcPr>
            <w:tcW w:w="2395" w:type="dxa"/>
          </w:tcPr>
          <w:p w14:paraId="0A6D1684"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3: Dimensión vital </w:t>
            </w:r>
            <w:r w:rsidRPr="00D56BF9">
              <w:rPr>
                <w:rFonts w:ascii="Calibri" w:eastAsia="Times New Roman" w:hAnsi="Calibri" w:cs="Arial"/>
                <w:b/>
                <w:color w:val="000000"/>
                <w:lang w:val="es-ES_tradnl" w:eastAsia="es-CR"/>
              </w:rPr>
              <w:t>del libro o tema del Nuevo Testamento seleccionado</w:t>
            </w:r>
          </w:p>
          <w:p w14:paraId="160589B1"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6D800691"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r w:rsidRPr="00D56BF9">
              <w:rPr>
                <w:rFonts w:ascii="Calibri" w:eastAsia="Times New Roman" w:hAnsi="Calibri" w:cs="Arial"/>
                <w:bCs/>
                <w:color w:val="000000"/>
                <w:lang w:val="es-ES_tradnl" w:eastAsia="es-CR"/>
              </w:rPr>
              <w:t xml:space="preserve">3.1 Aspectos teológicos de la obra/tema </w:t>
            </w:r>
            <w:r w:rsidRPr="00D56BF9">
              <w:rPr>
                <w:rFonts w:ascii="Calibri" w:eastAsia="Times New Roman" w:hAnsi="Calibri" w:cs="Arial"/>
                <w:color w:val="000000"/>
                <w:lang w:val="es-ES_tradnl" w:eastAsia="es-CR"/>
              </w:rPr>
              <w:t>del Nuevo Testamento seleccionado</w:t>
            </w:r>
          </w:p>
          <w:p w14:paraId="6388DC83"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148086E7"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21C40251"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7799B251"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p>
          <w:p w14:paraId="5E5AC5E9"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proofErr w:type="spellStart"/>
            <w:r w:rsidRPr="00D56BF9">
              <w:rPr>
                <w:rFonts w:ascii="Calibri" w:eastAsia="Times New Roman" w:hAnsi="Calibri" w:cs="Calibri"/>
                <w:szCs w:val="18"/>
                <w:lang w:val="es-ES_tradnl" w:eastAsia="es-CR"/>
              </w:rPr>
              <w:t>Gnilka</w:t>
            </w:r>
            <w:proofErr w:type="spellEnd"/>
            <w:r w:rsidRPr="00D56BF9">
              <w:rPr>
                <w:rFonts w:ascii="Calibri" w:eastAsia="Times New Roman" w:hAnsi="Calibri" w:cs="Calibri"/>
                <w:szCs w:val="18"/>
                <w:lang w:val="es-ES_tradnl" w:eastAsia="es-CR"/>
              </w:rPr>
              <w:t xml:space="preserve">, Joachim. “Doctrina y milagros de Jesús”. En </w:t>
            </w:r>
            <w:r w:rsidRPr="00D56BF9">
              <w:rPr>
                <w:rFonts w:ascii="Calibri" w:eastAsia="Times New Roman" w:hAnsi="Calibri" w:cs="Calibri"/>
                <w:i/>
                <w:iCs/>
                <w:szCs w:val="18"/>
                <w:lang w:val="es-ES_tradnl" w:eastAsia="es-CR"/>
              </w:rPr>
              <w:t>El evangelio según San Marcos I</w:t>
            </w:r>
            <w:r w:rsidRPr="00D56BF9">
              <w:rPr>
                <w:rFonts w:ascii="Calibri" w:eastAsia="Times New Roman" w:hAnsi="Calibri" w:cs="Calibri"/>
                <w:szCs w:val="18"/>
                <w:lang w:val="es-ES_tradnl" w:eastAsia="es-CR"/>
              </w:rPr>
              <w:t>, 159-206</w:t>
            </w:r>
            <w:r w:rsidRPr="00D56BF9">
              <w:rPr>
                <w:rFonts w:ascii="Calibri" w:eastAsia="Times New Roman" w:hAnsi="Calibri" w:cs="Calibri"/>
                <w:i/>
                <w:iCs/>
                <w:szCs w:val="18"/>
                <w:lang w:val="es-ES_tradnl" w:eastAsia="es-CR"/>
              </w:rPr>
              <w:t>.</w:t>
            </w:r>
            <w:r w:rsidRPr="00D56BF9">
              <w:rPr>
                <w:rFonts w:ascii="Calibri" w:eastAsia="Times New Roman" w:hAnsi="Calibri" w:cs="Calibri"/>
                <w:szCs w:val="18"/>
                <w:lang w:val="es-ES_tradnl" w:eastAsia="es-CR"/>
              </w:rPr>
              <w:t xml:space="preserve"> Salamanca: Sígueme, 1999.</w:t>
            </w:r>
            <w:r w:rsidRPr="00D56BF9">
              <w:rPr>
                <w:rFonts w:ascii="Calibri" w:eastAsia="Times New Roman" w:hAnsi="Calibri" w:cs="Calibri"/>
                <w:color w:val="0070C0"/>
                <w:szCs w:val="18"/>
                <w:lang w:val="es-ES" w:eastAsia="es-CR"/>
              </w:rPr>
              <w:t xml:space="preserve"> (clásico, última edición)</w:t>
            </w:r>
          </w:p>
          <w:p w14:paraId="5B67587B"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18"/>
                <w:lang w:val="es-ES_tradnl" w:eastAsia="es-CR"/>
              </w:rPr>
            </w:pPr>
          </w:p>
          <w:p w14:paraId="26BA428C"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r w:rsidRPr="00D56BF9">
              <w:rPr>
                <w:rFonts w:ascii="Calibri" w:eastAsia="Times New Roman" w:hAnsi="Calibri" w:cs="Calibri"/>
                <w:b/>
                <w:bCs/>
                <w:color w:val="0070C0"/>
                <w:lang w:val="es-ES_tradnl" w:eastAsia="es-CR"/>
              </w:rPr>
              <w:t>Material complementario</w:t>
            </w:r>
          </w:p>
          <w:p w14:paraId="5297C2DC"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0000"/>
                <w:lang w:val="es-ES_tradnl" w:eastAsia="es-CR"/>
              </w:rPr>
            </w:pPr>
          </w:p>
          <w:p w14:paraId="231B4F22"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Guía para la elaboración de un ensayo</w:t>
            </w:r>
          </w:p>
          <w:p w14:paraId="69B7A3B1"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tc>
        <w:tc>
          <w:tcPr>
            <w:tcW w:w="3119" w:type="dxa"/>
          </w:tcPr>
          <w:p w14:paraId="450F9D0F" w14:textId="77777777" w:rsidR="00D56BF9" w:rsidRPr="00D56BF9" w:rsidRDefault="00D56BF9" w:rsidP="00D56BF9">
            <w:pPr>
              <w:widowControl w:val="0"/>
              <w:numPr>
                <w:ilvl w:val="0"/>
                <w:numId w:val="323"/>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Realizar la lectura de la sesión.</w:t>
            </w:r>
          </w:p>
          <w:p w14:paraId="0309278A" w14:textId="77777777" w:rsidR="00D56BF9" w:rsidRPr="00D56BF9" w:rsidRDefault="00D56BF9" w:rsidP="00D56BF9">
            <w:pPr>
              <w:widowControl w:val="0"/>
              <w:numPr>
                <w:ilvl w:val="0"/>
                <w:numId w:val="323"/>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Elaboración de un ensayo sobre las ideas teológicas relacionadas a la comunidad </w:t>
            </w:r>
            <w:proofErr w:type="spellStart"/>
            <w:r w:rsidRPr="00D56BF9">
              <w:rPr>
                <w:rFonts w:ascii="Calibri" w:eastAsia="Calibri" w:hAnsi="Calibri" w:cs="Arial"/>
                <w:color w:val="000000"/>
              </w:rPr>
              <w:t>marcana</w:t>
            </w:r>
            <w:proofErr w:type="spellEnd"/>
            <w:r w:rsidRPr="00D56BF9">
              <w:rPr>
                <w:rFonts w:ascii="Calibri" w:eastAsia="Calibri" w:hAnsi="Calibri" w:cs="Arial"/>
                <w:color w:val="000000"/>
              </w:rPr>
              <w:t>.</w:t>
            </w:r>
          </w:p>
          <w:p w14:paraId="113E7981" w14:textId="77777777" w:rsidR="00D56BF9" w:rsidRPr="00D56BF9" w:rsidRDefault="00D56BF9" w:rsidP="00D56BF9">
            <w:pPr>
              <w:widowControl w:val="0"/>
              <w:numPr>
                <w:ilvl w:val="0"/>
                <w:numId w:val="323"/>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Continuar con la elaboración de su trabajo de investigación.</w:t>
            </w:r>
          </w:p>
        </w:tc>
      </w:tr>
      <w:tr w:rsidR="00D56BF9" w:rsidRPr="00D56BF9" w14:paraId="16BCB820" w14:textId="77777777" w:rsidTr="00104785">
        <w:tc>
          <w:tcPr>
            <w:tcW w:w="1144" w:type="dxa"/>
          </w:tcPr>
          <w:p w14:paraId="2A00BC3E"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79426F3C"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11</w:t>
            </w:r>
          </w:p>
        </w:tc>
        <w:tc>
          <w:tcPr>
            <w:tcW w:w="2395" w:type="dxa"/>
          </w:tcPr>
          <w:p w14:paraId="04B25367"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3: Dimensión vital </w:t>
            </w:r>
            <w:r w:rsidRPr="00D56BF9">
              <w:rPr>
                <w:rFonts w:ascii="Calibri" w:eastAsia="Times New Roman" w:hAnsi="Calibri" w:cs="Arial"/>
                <w:b/>
                <w:color w:val="000000"/>
                <w:lang w:val="es-ES_tradnl" w:eastAsia="es-CR"/>
              </w:rPr>
              <w:t>del libro o tema del Nuevo Testamento seleccionado</w:t>
            </w:r>
          </w:p>
          <w:p w14:paraId="48363A9C"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6373423E"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r w:rsidRPr="00D56BF9">
              <w:rPr>
                <w:rFonts w:ascii="Calibri" w:eastAsia="Times New Roman" w:hAnsi="Calibri" w:cs="Arial"/>
                <w:bCs/>
                <w:color w:val="000000"/>
                <w:lang w:val="es-ES_tradnl" w:eastAsia="es-CR"/>
              </w:rPr>
              <w:t xml:space="preserve">3.1 Aspectos teológicos de la obra/tema </w:t>
            </w:r>
            <w:r w:rsidRPr="00D56BF9">
              <w:rPr>
                <w:rFonts w:ascii="Calibri" w:eastAsia="Times New Roman" w:hAnsi="Calibri" w:cs="Arial"/>
                <w:color w:val="000000"/>
                <w:lang w:val="es-ES_tradnl" w:eastAsia="es-CR"/>
              </w:rPr>
              <w:t>del Nuevo Testamento seleccionado</w:t>
            </w:r>
          </w:p>
          <w:p w14:paraId="57C140FA"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2BE6ABB6"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4B562661"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p>
          <w:p w14:paraId="430B3918"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proofErr w:type="spellStart"/>
            <w:r w:rsidRPr="00D56BF9">
              <w:rPr>
                <w:rFonts w:ascii="Calibri" w:eastAsia="Times New Roman" w:hAnsi="Calibri" w:cs="Calibri"/>
                <w:szCs w:val="18"/>
                <w:lang w:val="es-ES_tradnl" w:eastAsia="es-CR"/>
              </w:rPr>
              <w:t>Gnilka</w:t>
            </w:r>
            <w:proofErr w:type="spellEnd"/>
            <w:r w:rsidRPr="00D56BF9">
              <w:rPr>
                <w:rFonts w:ascii="Calibri" w:eastAsia="Times New Roman" w:hAnsi="Calibri" w:cs="Calibri"/>
                <w:szCs w:val="18"/>
                <w:lang w:val="es-ES_tradnl" w:eastAsia="es-CR"/>
              </w:rPr>
              <w:t xml:space="preserve">, Joachim. “De la revelación de lo oculto y del regalo de Dios (4,21-25)”. En </w:t>
            </w:r>
            <w:r w:rsidRPr="00D56BF9">
              <w:rPr>
                <w:rFonts w:ascii="Calibri" w:eastAsia="Times New Roman" w:hAnsi="Calibri" w:cs="Calibri"/>
                <w:i/>
                <w:iCs/>
                <w:szCs w:val="18"/>
                <w:lang w:val="es-ES_tradnl" w:eastAsia="es-CR"/>
              </w:rPr>
              <w:t>El evangelio según San Marcos I</w:t>
            </w:r>
            <w:r w:rsidRPr="00D56BF9">
              <w:rPr>
                <w:rFonts w:ascii="Calibri" w:eastAsia="Times New Roman" w:hAnsi="Calibri" w:cs="Calibri"/>
                <w:szCs w:val="18"/>
                <w:lang w:val="es-ES_tradnl" w:eastAsia="es-CR"/>
              </w:rPr>
              <w:t>, 206-273</w:t>
            </w:r>
            <w:r w:rsidRPr="00D56BF9">
              <w:rPr>
                <w:rFonts w:ascii="Calibri" w:eastAsia="Times New Roman" w:hAnsi="Calibri" w:cs="Calibri"/>
                <w:i/>
                <w:iCs/>
                <w:szCs w:val="18"/>
                <w:lang w:val="es-ES_tradnl" w:eastAsia="es-CR"/>
              </w:rPr>
              <w:t>.</w:t>
            </w:r>
            <w:r w:rsidRPr="00D56BF9">
              <w:rPr>
                <w:rFonts w:ascii="Calibri" w:eastAsia="Times New Roman" w:hAnsi="Calibri" w:cs="Calibri"/>
                <w:szCs w:val="18"/>
                <w:lang w:val="es-ES_tradnl" w:eastAsia="es-CR"/>
              </w:rPr>
              <w:t xml:space="preserve"> Salamanca: Sígueme, 1999.</w:t>
            </w:r>
            <w:r w:rsidRPr="00D56BF9">
              <w:rPr>
                <w:rFonts w:ascii="Calibri" w:eastAsia="Times New Roman" w:hAnsi="Calibri" w:cs="Calibri"/>
                <w:color w:val="0070C0"/>
                <w:szCs w:val="18"/>
                <w:lang w:val="es-ES" w:eastAsia="es-CR"/>
              </w:rPr>
              <w:t xml:space="preserve"> (clásico, última edición)</w:t>
            </w:r>
          </w:p>
          <w:p w14:paraId="209A301A"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18"/>
                <w:lang w:val="es-ES_tradnl" w:eastAsia="es-CR"/>
              </w:rPr>
            </w:pPr>
          </w:p>
          <w:p w14:paraId="56341BE0"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r w:rsidRPr="00D56BF9">
              <w:rPr>
                <w:rFonts w:ascii="Calibri" w:eastAsia="Times New Roman" w:hAnsi="Calibri" w:cs="Calibri"/>
                <w:b/>
                <w:bCs/>
                <w:color w:val="0070C0"/>
                <w:lang w:val="es-ES_tradnl" w:eastAsia="es-CR"/>
              </w:rPr>
              <w:t>Material complementario</w:t>
            </w:r>
          </w:p>
          <w:p w14:paraId="281E56B0"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0000"/>
                <w:lang w:val="es-ES_tradnl" w:eastAsia="es-CR"/>
              </w:rPr>
            </w:pPr>
          </w:p>
          <w:p w14:paraId="2EF07083"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 xml:space="preserve">Guía para la participación en un foro en la plataforma </w:t>
            </w:r>
            <w:r w:rsidRPr="00D56BF9">
              <w:rPr>
                <w:rFonts w:ascii="Calibri" w:eastAsia="Times New Roman" w:hAnsi="Calibri" w:cs="Calibri"/>
                <w:color w:val="0070C0"/>
                <w:lang w:val="es-ES_tradnl" w:eastAsia="es-CR"/>
              </w:rPr>
              <w:lastRenderedPageBreak/>
              <w:t>Moodle</w:t>
            </w:r>
          </w:p>
          <w:p w14:paraId="59190B82"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p w14:paraId="30DB63BA"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p w14:paraId="6B8DA6D1"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tc>
        <w:tc>
          <w:tcPr>
            <w:tcW w:w="3119" w:type="dxa"/>
          </w:tcPr>
          <w:p w14:paraId="34458E5F" w14:textId="77777777" w:rsidR="00D56BF9" w:rsidRPr="00D56BF9" w:rsidRDefault="00D56BF9" w:rsidP="00D56BF9">
            <w:pPr>
              <w:widowControl w:val="0"/>
              <w:numPr>
                <w:ilvl w:val="0"/>
                <w:numId w:val="324"/>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lastRenderedPageBreak/>
              <w:t>Realizar la lectura de la sesión.</w:t>
            </w:r>
          </w:p>
          <w:p w14:paraId="6B73A275" w14:textId="77777777" w:rsidR="00D56BF9" w:rsidRPr="00D56BF9" w:rsidRDefault="00D56BF9" w:rsidP="00D56BF9">
            <w:pPr>
              <w:widowControl w:val="0"/>
              <w:numPr>
                <w:ilvl w:val="0"/>
                <w:numId w:val="324"/>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Participación en el foro temático: La comunidad </w:t>
            </w:r>
            <w:proofErr w:type="spellStart"/>
            <w:r w:rsidRPr="00D56BF9">
              <w:rPr>
                <w:rFonts w:ascii="Calibri" w:eastAsia="Calibri" w:hAnsi="Calibri" w:cs="Arial"/>
                <w:color w:val="000000"/>
              </w:rPr>
              <w:t>marcana</w:t>
            </w:r>
            <w:proofErr w:type="spellEnd"/>
            <w:r w:rsidRPr="00D56BF9">
              <w:rPr>
                <w:rFonts w:ascii="Calibri" w:eastAsia="Calibri" w:hAnsi="Calibri" w:cs="Arial"/>
                <w:color w:val="000000"/>
              </w:rPr>
              <w:t>.</w:t>
            </w:r>
          </w:p>
          <w:p w14:paraId="4E2C5B70" w14:textId="77777777" w:rsidR="00D56BF9" w:rsidRPr="00D56BF9" w:rsidRDefault="00D56BF9" w:rsidP="00D56BF9">
            <w:pPr>
              <w:widowControl w:val="0"/>
              <w:numPr>
                <w:ilvl w:val="0"/>
                <w:numId w:val="324"/>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Continuar con la elaboración de su trabajo de investigación.</w:t>
            </w:r>
          </w:p>
        </w:tc>
      </w:tr>
      <w:tr w:rsidR="00D56BF9" w:rsidRPr="00D56BF9" w14:paraId="6C4C56E8" w14:textId="77777777" w:rsidTr="00104785">
        <w:tc>
          <w:tcPr>
            <w:tcW w:w="1144" w:type="dxa"/>
          </w:tcPr>
          <w:p w14:paraId="60F04E55"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7DFA013F"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12</w:t>
            </w:r>
          </w:p>
        </w:tc>
        <w:tc>
          <w:tcPr>
            <w:tcW w:w="2395" w:type="dxa"/>
          </w:tcPr>
          <w:p w14:paraId="7B0EBD14"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3: Dimensión vital </w:t>
            </w:r>
            <w:r w:rsidRPr="00D56BF9">
              <w:rPr>
                <w:rFonts w:ascii="Calibri" w:eastAsia="Times New Roman" w:hAnsi="Calibri" w:cs="Arial"/>
                <w:b/>
                <w:color w:val="000000"/>
                <w:lang w:val="es-ES_tradnl" w:eastAsia="es-CR"/>
              </w:rPr>
              <w:t>del libro o tema del Nuevo Testamento seleccionado</w:t>
            </w:r>
          </w:p>
          <w:p w14:paraId="7F789761"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505472D3" w14:textId="77777777" w:rsidR="00D56BF9" w:rsidRPr="00D56BF9" w:rsidRDefault="00D56BF9" w:rsidP="00D56BF9">
            <w:pPr>
              <w:widowControl w:val="0"/>
              <w:overflowPunct w:val="0"/>
              <w:autoSpaceDE w:val="0"/>
              <w:autoSpaceDN w:val="0"/>
              <w:adjustRightInd w:val="0"/>
              <w:rPr>
                <w:rFonts w:ascii="Calibri" w:eastAsia="Times New Roman" w:hAnsi="Calibri" w:cs="Arial"/>
                <w:bCs/>
                <w:color w:val="000000"/>
                <w:lang w:val="es-ES_tradnl" w:eastAsia="es-CR"/>
              </w:rPr>
            </w:pPr>
            <w:r w:rsidRPr="00D56BF9">
              <w:rPr>
                <w:rFonts w:ascii="Calibri" w:eastAsia="Times New Roman" w:hAnsi="Calibri" w:cs="Arial"/>
                <w:bCs/>
                <w:color w:val="000000"/>
                <w:lang w:val="es-ES_tradnl" w:eastAsia="es-CR"/>
              </w:rPr>
              <w:t>3.2 Aspectos pastorales de la obra/tema del Nuevo Testamento seleccionado</w:t>
            </w:r>
          </w:p>
          <w:p w14:paraId="52C5FBF7"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1060217A"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52F10AA1"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p>
          <w:p w14:paraId="04319D01"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r w:rsidRPr="00D56BF9">
              <w:rPr>
                <w:rFonts w:ascii="Calibri" w:eastAsia="Times New Roman" w:hAnsi="Calibri" w:cs="Calibri"/>
                <w:szCs w:val="18"/>
                <w:lang w:val="es-ES_tradnl" w:eastAsia="es-CR"/>
              </w:rPr>
              <w:t>Aranda Garrido, Pedro</w:t>
            </w:r>
            <w:r w:rsidRPr="00D56BF9">
              <w:rPr>
                <w:rFonts w:ascii="Calibri" w:eastAsia="Times New Roman" w:hAnsi="Calibri" w:cs="Calibri"/>
                <w:i/>
                <w:iCs/>
                <w:szCs w:val="18"/>
                <w:lang w:val="es-ES_tradnl" w:eastAsia="es-CR"/>
              </w:rPr>
              <w:t xml:space="preserve">. </w:t>
            </w:r>
            <w:r w:rsidRPr="00D56BF9">
              <w:rPr>
                <w:rFonts w:ascii="Calibri" w:eastAsia="Times New Roman" w:hAnsi="Calibri" w:cs="Calibri"/>
                <w:szCs w:val="18"/>
                <w:lang w:val="es-ES_tradnl" w:eastAsia="es-CR"/>
              </w:rPr>
              <w:t xml:space="preserve">“La casa, espacio de la memoria”. En </w:t>
            </w:r>
            <w:r w:rsidRPr="00D56BF9">
              <w:rPr>
                <w:rFonts w:ascii="Calibri" w:eastAsia="Times New Roman" w:hAnsi="Calibri" w:cs="Calibri"/>
                <w:i/>
                <w:iCs/>
                <w:szCs w:val="18"/>
                <w:lang w:val="es-ES_tradnl" w:eastAsia="es-CR"/>
              </w:rPr>
              <w:t>La casa, espacio de memoria e identidad en el Evangelio según Marcos</w:t>
            </w:r>
            <w:r w:rsidRPr="00D56BF9">
              <w:rPr>
                <w:rFonts w:ascii="Calibri" w:eastAsia="Times New Roman" w:hAnsi="Calibri" w:cs="Calibri"/>
                <w:szCs w:val="18"/>
                <w:lang w:val="es-ES_tradnl" w:eastAsia="es-CR"/>
              </w:rPr>
              <w:t>, 85-159</w:t>
            </w:r>
            <w:r w:rsidRPr="00D56BF9">
              <w:rPr>
                <w:rFonts w:ascii="Calibri" w:eastAsia="Times New Roman" w:hAnsi="Calibri" w:cs="Calibri"/>
                <w:i/>
                <w:iCs/>
                <w:szCs w:val="18"/>
                <w:lang w:val="es-ES_tradnl" w:eastAsia="es-CR"/>
              </w:rPr>
              <w:t>.</w:t>
            </w:r>
            <w:r w:rsidRPr="00D56BF9">
              <w:rPr>
                <w:rFonts w:ascii="Calibri" w:eastAsia="Times New Roman" w:hAnsi="Calibri" w:cs="Calibri"/>
                <w:szCs w:val="18"/>
                <w:lang w:val="es-ES_tradnl" w:eastAsia="es-CR"/>
              </w:rPr>
              <w:t xml:space="preserve"> Estella (Navarra): Verbo Divino, 2012.</w:t>
            </w:r>
            <w:r w:rsidRPr="00D56BF9">
              <w:rPr>
                <w:rFonts w:ascii="Calibri" w:eastAsia="Times New Roman" w:hAnsi="Calibri" w:cs="Calibri"/>
                <w:color w:val="0070C0"/>
                <w:szCs w:val="18"/>
                <w:lang w:val="es-ES" w:eastAsia="es-CR"/>
              </w:rPr>
              <w:t xml:space="preserve"> (clásico, última edición)</w:t>
            </w:r>
          </w:p>
          <w:p w14:paraId="7E60F305"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18"/>
                <w:lang w:val="es-ES_tradnl" w:eastAsia="es-CR"/>
              </w:rPr>
            </w:pPr>
          </w:p>
          <w:p w14:paraId="685807D7"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r w:rsidRPr="00D56BF9">
              <w:rPr>
                <w:rFonts w:ascii="Calibri" w:eastAsia="Times New Roman" w:hAnsi="Calibri" w:cs="Calibri"/>
                <w:b/>
                <w:bCs/>
                <w:color w:val="0070C0"/>
                <w:lang w:val="es-ES_tradnl" w:eastAsia="es-CR"/>
              </w:rPr>
              <w:t>Material complementario</w:t>
            </w:r>
          </w:p>
          <w:p w14:paraId="1431BB38"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0000"/>
                <w:lang w:val="es-ES_tradnl" w:eastAsia="es-CR"/>
              </w:rPr>
            </w:pPr>
          </w:p>
          <w:p w14:paraId="52E80D56"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Guía para la elaboración de un mapa conceptual</w:t>
            </w:r>
          </w:p>
          <w:p w14:paraId="2B548CB6"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p w14:paraId="65A6EE3E"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 xml:space="preserve">Guía para la participación mediante la herramienta Big Blue </w:t>
            </w:r>
            <w:proofErr w:type="spellStart"/>
            <w:r w:rsidRPr="00D56BF9">
              <w:rPr>
                <w:rFonts w:ascii="Calibri" w:eastAsia="Times New Roman" w:hAnsi="Calibri" w:cs="Calibri"/>
                <w:color w:val="0070C0"/>
                <w:lang w:val="es-ES_tradnl" w:eastAsia="es-CR"/>
              </w:rPr>
              <w:t>Button</w:t>
            </w:r>
            <w:proofErr w:type="spellEnd"/>
            <w:r w:rsidRPr="00D56BF9">
              <w:rPr>
                <w:rFonts w:ascii="Calibri" w:eastAsia="Times New Roman" w:hAnsi="Calibri" w:cs="Calibri"/>
                <w:color w:val="0070C0"/>
                <w:lang w:val="es-ES_tradnl" w:eastAsia="es-CR"/>
              </w:rPr>
              <w:t xml:space="preserve"> en la plataforma Moodle</w:t>
            </w:r>
          </w:p>
          <w:p w14:paraId="500EAF57"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tc>
        <w:tc>
          <w:tcPr>
            <w:tcW w:w="3119" w:type="dxa"/>
          </w:tcPr>
          <w:p w14:paraId="5E698F3F" w14:textId="77777777" w:rsidR="00D56BF9" w:rsidRPr="00D56BF9" w:rsidRDefault="00D56BF9" w:rsidP="00D56BF9">
            <w:pPr>
              <w:widowControl w:val="0"/>
              <w:numPr>
                <w:ilvl w:val="0"/>
                <w:numId w:val="325"/>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Realizar la lectura de la sesión.</w:t>
            </w:r>
          </w:p>
          <w:p w14:paraId="12A93A48" w14:textId="77777777" w:rsidR="00D56BF9" w:rsidRPr="00D56BF9" w:rsidRDefault="00D56BF9" w:rsidP="00D56BF9">
            <w:pPr>
              <w:widowControl w:val="0"/>
              <w:numPr>
                <w:ilvl w:val="0"/>
                <w:numId w:val="325"/>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Elaboración de un mapa conceptual. </w:t>
            </w:r>
          </w:p>
          <w:p w14:paraId="012DA032" w14:textId="77777777" w:rsidR="00D56BF9" w:rsidRPr="00D56BF9" w:rsidRDefault="00D56BF9" w:rsidP="00D56BF9">
            <w:pPr>
              <w:widowControl w:val="0"/>
              <w:numPr>
                <w:ilvl w:val="0"/>
                <w:numId w:val="325"/>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Exposición docente en un encuentro sincrónico virtual.</w:t>
            </w:r>
          </w:p>
          <w:p w14:paraId="4E674EF1" w14:textId="77777777" w:rsidR="00D56BF9" w:rsidRPr="00D56BF9" w:rsidRDefault="00D56BF9" w:rsidP="00D56BF9">
            <w:pPr>
              <w:widowControl w:val="0"/>
              <w:numPr>
                <w:ilvl w:val="0"/>
                <w:numId w:val="325"/>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Continuar con la elaboración de su trabajo de investigación.</w:t>
            </w:r>
          </w:p>
        </w:tc>
      </w:tr>
      <w:tr w:rsidR="00D56BF9" w:rsidRPr="00D56BF9" w14:paraId="5C5A4821" w14:textId="77777777" w:rsidTr="00104785">
        <w:tc>
          <w:tcPr>
            <w:tcW w:w="1144" w:type="dxa"/>
          </w:tcPr>
          <w:p w14:paraId="47AEE20A"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1B2278DF"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13</w:t>
            </w:r>
          </w:p>
        </w:tc>
        <w:tc>
          <w:tcPr>
            <w:tcW w:w="2395" w:type="dxa"/>
          </w:tcPr>
          <w:p w14:paraId="1483B152"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3: Dimensión vital </w:t>
            </w:r>
            <w:r w:rsidRPr="00D56BF9">
              <w:rPr>
                <w:rFonts w:ascii="Calibri" w:eastAsia="Times New Roman" w:hAnsi="Calibri" w:cs="Arial"/>
                <w:b/>
                <w:color w:val="000000"/>
                <w:lang w:val="es-ES_tradnl" w:eastAsia="es-CR"/>
              </w:rPr>
              <w:t>del libro o tema del Nuevo Testamento seleccionado</w:t>
            </w:r>
          </w:p>
          <w:p w14:paraId="1B365402"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0E419391" w14:textId="77777777" w:rsidR="00D56BF9" w:rsidRPr="00D56BF9" w:rsidRDefault="00D56BF9" w:rsidP="00D56BF9">
            <w:pPr>
              <w:widowControl w:val="0"/>
              <w:overflowPunct w:val="0"/>
              <w:autoSpaceDE w:val="0"/>
              <w:autoSpaceDN w:val="0"/>
              <w:adjustRightInd w:val="0"/>
              <w:rPr>
                <w:rFonts w:ascii="Calibri" w:eastAsia="Times New Roman" w:hAnsi="Calibri" w:cs="Arial"/>
                <w:bCs/>
                <w:color w:val="000000"/>
                <w:lang w:val="es-ES_tradnl" w:eastAsia="es-CR"/>
              </w:rPr>
            </w:pPr>
            <w:r w:rsidRPr="00D56BF9">
              <w:rPr>
                <w:rFonts w:ascii="Calibri" w:eastAsia="Times New Roman" w:hAnsi="Calibri" w:cs="Arial"/>
                <w:bCs/>
                <w:color w:val="000000"/>
                <w:lang w:val="es-ES_tradnl" w:eastAsia="es-CR"/>
              </w:rPr>
              <w:t>3.2 Aspectos pastorales de la obra/tema del Nuevo Testamento seleccionado</w:t>
            </w:r>
          </w:p>
          <w:p w14:paraId="04C6D60E"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5B0E8949"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57B5AA2F"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p>
          <w:p w14:paraId="6F4E9FCB"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_tradnl" w:eastAsia="es-CR"/>
              </w:rPr>
            </w:pPr>
            <w:proofErr w:type="spellStart"/>
            <w:r w:rsidRPr="00D56BF9">
              <w:rPr>
                <w:rFonts w:ascii="Calibri" w:eastAsia="Times New Roman" w:hAnsi="Calibri" w:cs="Calibri"/>
                <w:szCs w:val="18"/>
                <w:lang w:val="es-ES_tradnl" w:eastAsia="es-CR"/>
              </w:rPr>
              <w:t>Pikaza</w:t>
            </w:r>
            <w:proofErr w:type="spellEnd"/>
            <w:r w:rsidRPr="00D56BF9">
              <w:rPr>
                <w:rFonts w:ascii="Calibri" w:eastAsia="Times New Roman" w:hAnsi="Calibri" w:cs="Calibri"/>
                <w:szCs w:val="18"/>
                <w:lang w:val="es-ES_tradnl" w:eastAsia="es-CR"/>
              </w:rPr>
              <w:t xml:space="preserve"> Ibarrondo, Xabier. “Meta pascual, nuevo comienzo (16,1-8) y apéndice canónico (16,9-20)”. En </w:t>
            </w:r>
            <w:r w:rsidRPr="00D56BF9">
              <w:rPr>
                <w:rFonts w:ascii="Calibri" w:eastAsia="Times New Roman" w:hAnsi="Calibri" w:cs="Calibri"/>
                <w:i/>
                <w:iCs/>
                <w:szCs w:val="18"/>
                <w:lang w:val="es-ES_tradnl" w:eastAsia="es-CR"/>
              </w:rPr>
              <w:t>Para vivir el evangelio: lectura de Marcos</w:t>
            </w:r>
            <w:r w:rsidRPr="00D56BF9">
              <w:rPr>
                <w:rFonts w:ascii="Calibri" w:eastAsia="Times New Roman" w:hAnsi="Calibri" w:cs="Calibri"/>
                <w:szCs w:val="18"/>
                <w:lang w:val="es-ES_tradnl" w:eastAsia="es-CR"/>
              </w:rPr>
              <w:t>, 221-237</w:t>
            </w:r>
            <w:r w:rsidRPr="00D56BF9">
              <w:rPr>
                <w:rFonts w:ascii="Calibri" w:eastAsia="Times New Roman" w:hAnsi="Calibri" w:cs="Calibri"/>
                <w:i/>
                <w:iCs/>
                <w:szCs w:val="18"/>
                <w:lang w:val="es-ES_tradnl" w:eastAsia="es-CR"/>
              </w:rPr>
              <w:t xml:space="preserve">. </w:t>
            </w:r>
            <w:r w:rsidRPr="00D56BF9">
              <w:rPr>
                <w:rFonts w:ascii="Calibri" w:eastAsia="Times New Roman" w:hAnsi="Calibri" w:cs="Calibri"/>
                <w:szCs w:val="18"/>
                <w:lang w:val="es-ES_tradnl" w:eastAsia="es-CR"/>
              </w:rPr>
              <w:t>Estella (Navarra): Verbo Divino, 2003.</w:t>
            </w:r>
            <w:r w:rsidRPr="00D56BF9">
              <w:rPr>
                <w:rFonts w:ascii="Calibri" w:eastAsia="Times New Roman" w:hAnsi="Calibri" w:cs="Calibri"/>
                <w:color w:val="0070C0"/>
                <w:szCs w:val="18"/>
                <w:lang w:val="es-ES" w:eastAsia="es-CR"/>
              </w:rPr>
              <w:t xml:space="preserve"> (clásico, última edición)</w:t>
            </w:r>
          </w:p>
          <w:p w14:paraId="36551CF7" w14:textId="77777777" w:rsidR="00D56BF9" w:rsidRPr="00D56BF9" w:rsidRDefault="00D56BF9" w:rsidP="00D56BF9">
            <w:pPr>
              <w:widowControl w:val="0"/>
              <w:overflowPunct w:val="0"/>
              <w:autoSpaceDE w:val="0"/>
              <w:autoSpaceDN w:val="0"/>
              <w:adjustRightInd w:val="0"/>
              <w:rPr>
                <w:rFonts w:ascii="Calibri" w:eastAsia="Times New Roman" w:hAnsi="Calibri" w:cs="Calibri"/>
                <w:lang w:val="es-ES_tradnl" w:eastAsia="es-CR"/>
              </w:rPr>
            </w:pPr>
          </w:p>
          <w:p w14:paraId="7A45110F"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lang w:val="es-ES_tradnl" w:eastAsia="es-CR"/>
              </w:rPr>
            </w:pPr>
            <w:r w:rsidRPr="00D56BF9">
              <w:rPr>
                <w:rFonts w:ascii="Calibri" w:eastAsia="Times New Roman" w:hAnsi="Calibri" w:cs="Calibri"/>
                <w:b/>
                <w:bCs/>
                <w:lang w:val="es-ES_tradnl" w:eastAsia="es-CR"/>
              </w:rPr>
              <w:t>Material complementario</w:t>
            </w:r>
          </w:p>
          <w:p w14:paraId="46AC6AC7"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lang w:val="es-ES_tradnl" w:eastAsia="es-CR"/>
              </w:rPr>
            </w:pPr>
          </w:p>
          <w:p w14:paraId="5F8937B9"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 w:eastAsia="es-CR"/>
              </w:rPr>
            </w:pPr>
            <w:proofErr w:type="spellStart"/>
            <w:r w:rsidRPr="00D56BF9">
              <w:rPr>
                <w:rFonts w:ascii="Calibri" w:eastAsia="Times New Roman" w:hAnsi="Calibri" w:cs="Calibri"/>
                <w:szCs w:val="18"/>
                <w:lang w:val="es-ES" w:eastAsia="es-CR"/>
              </w:rPr>
              <w:t>Pikaza</w:t>
            </w:r>
            <w:proofErr w:type="spellEnd"/>
            <w:r w:rsidRPr="00D56BF9">
              <w:rPr>
                <w:rFonts w:ascii="Calibri" w:eastAsia="Times New Roman" w:hAnsi="Calibri" w:cs="Calibri"/>
                <w:szCs w:val="18"/>
                <w:lang w:val="es-ES" w:eastAsia="es-CR"/>
              </w:rPr>
              <w:t xml:space="preserve"> Ibarrondo, Xabier. “Introducción: El evangelio de Marcos”. En </w:t>
            </w:r>
            <w:r w:rsidRPr="00D56BF9">
              <w:rPr>
                <w:rFonts w:ascii="Calibri" w:eastAsia="Times New Roman" w:hAnsi="Calibri" w:cs="Calibri"/>
                <w:i/>
                <w:iCs/>
                <w:szCs w:val="18"/>
                <w:lang w:val="es-ES" w:eastAsia="es-CR"/>
              </w:rPr>
              <w:t>El Evangelio de Marcos: lectura de Marcos</w:t>
            </w:r>
            <w:r w:rsidRPr="00D56BF9">
              <w:rPr>
                <w:rFonts w:ascii="Calibri" w:eastAsia="Times New Roman" w:hAnsi="Calibri" w:cs="Calibri"/>
                <w:szCs w:val="18"/>
                <w:lang w:val="es-ES" w:eastAsia="es-CR"/>
              </w:rPr>
              <w:t>, 35-67</w:t>
            </w:r>
            <w:r w:rsidRPr="00D56BF9">
              <w:rPr>
                <w:rFonts w:ascii="Calibri" w:eastAsia="Times New Roman" w:hAnsi="Calibri" w:cs="Calibri"/>
                <w:i/>
                <w:iCs/>
                <w:szCs w:val="18"/>
                <w:lang w:val="es-ES" w:eastAsia="es-CR"/>
              </w:rPr>
              <w:t>.</w:t>
            </w:r>
            <w:r w:rsidRPr="00D56BF9">
              <w:rPr>
                <w:rFonts w:ascii="Calibri" w:eastAsia="Times New Roman" w:hAnsi="Calibri" w:cs="Calibri"/>
                <w:szCs w:val="18"/>
                <w:lang w:val="es-ES" w:eastAsia="es-CR"/>
              </w:rPr>
              <w:t xml:space="preserve"> Estella (Navarra): Verbo Divino, 2012.</w:t>
            </w:r>
            <w:r w:rsidRPr="00D56BF9">
              <w:rPr>
                <w:rFonts w:ascii="Calibri" w:eastAsia="Times New Roman" w:hAnsi="Calibri" w:cs="Calibri"/>
                <w:color w:val="0070C0"/>
                <w:szCs w:val="18"/>
                <w:lang w:val="es-ES" w:eastAsia="es-CR"/>
              </w:rPr>
              <w:t xml:space="preserve"> (clásico, última </w:t>
            </w:r>
            <w:r w:rsidRPr="00D56BF9">
              <w:rPr>
                <w:rFonts w:ascii="Calibri" w:eastAsia="Times New Roman" w:hAnsi="Calibri" w:cs="Calibri"/>
                <w:color w:val="0070C0"/>
                <w:szCs w:val="18"/>
                <w:lang w:val="es-ES" w:eastAsia="es-CR"/>
              </w:rPr>
              <w:lastRenderedPageBreak/>
              <w:t>edición)</w:t>
            </w:r>
          </w:p>
          <w:p w14:paraId="2E2B8F79" w14:textId="77777777" w:rsidR="00D56BF9" w:rsidRPr="00D56BF9" w:rsidRDefault="00D56BF9" w:rsidP="00D56BF9">
            <w:pPr>
              <w:widowControl w:val="0"/>
              <w:overflowPunct w:val="0"/>
              <w:autoSpaceDE w:val="0"/>
              <w:autoSpaceDN w:val="0"/>
              <w:adjustRightInd w:val="0"/>
              <w:rPr>
                <w:rFonts w:ascii="Calibri" w:eastAsia="Times New Roman" w:hAnsi="Calibri" w:cs="Calibri"/>
                <w:szCs w:val="18"/>
                <w:lang w:val="es-ES" w:eastAsia="es-CR"/>
              </w:rPr>
            </w:pPr>
          </w:p>
          <w:p w14:paraId="582BD193"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r w:rsidRPr="00D56BF9">
              <w:rPr>
                <w:rFonts w:ascii="Calibri" w:eastAsia="Times New Roman" w:hAnsi="Calibri" w:cs="Calibri"/>
                <w:color w:val="0070C0"/>
                <w:szCs w:val="18"/>
                <w:lang w:val="es-ES" w:eastAsia="es-CR"/>
              </w:rPr>
              <w:t>Guía para la elaboración de una reseña crítica de lectura</w:t>
            </w:r>
          </w:p>
          <w:p w14:paraId="2413CC38"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p w14:paraId="268E55B0"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p w14:paraId="3D7A1682"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0000"/>
                <w:lang w:val="es-ES_tradnl" w:eastAsia="es-CR"/>
              </w:rPr>
            </w:pPr>
          </w:p>
        </w:tc>
        <w:tc>
          <w:tcPr>
            <w:tcW w:w="3119" w:type="dxa"/>
          </w:tcPr>
          <w:p w14:paraId="0FBE3D57" w14:textId="77777777" w:rsidR="00D56BF9" w:rsidRPr="00D56BF9" w:rsidRDefault="00D56BF9" w:rsidP="00D56BF9">
            <w:pPr>
              <w:widowControl w:val="0"/>
              <w:numPr>
                <w:ilvl w:val="0"/>
                <w:numId w:val="326"/>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lastRenderedPageBreak/>
              <w:t>Realizar la lectura de la sesión.</w:t>
            </w:r>
          </w:p>
          <w:p w14:paraId="1043EA5B" w14:textId="77777777" w:rsidR="00D56BF9" w:rsidRPr="00D56BF9" w:rsidRDefault="00D56BF9" w:rsidP="00D56BF9">
            <w:pPr>
              <w:widowControl w:val="0"/>
              <w:numPr>
                <w:ilvl w:val="0"/>
                <w:numId w:val="326"/>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Elaboración de una reseña crítica de la lectura. </w:t>
            </w:r>
          </w:p>
          <w:p w14:paraId="18825DEF" w14:textId="77777777" w:rsidR="00D56BF9" w:rsidRPr="00D56BF9" w:rsidRDefault="00D56BF9" w:rsidP="00D56BF9">
            <w:pPr>
              <w:widowControl w:val="0"/>
              <w:numPr>
                <w:ilvl w:val="0"/>
                <w:numId w:val="326"/>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Entregar un segundo avance de su trabajo de investigación.</w:t>
            </w:r>
          </w:p>
        </w:tc>
      </w:tr>
      <w:tr w:rsidR="00D56BF9" w:rsidRPr="00D56BF9" w14:paraId="24DD3C51" w14:textId="77777777" w:rsidTr="00104785">
        <w:tc>
          <w:tcPr>
            <w:tcW w:w="1144" w:type="dxa"/>
          </w:tcPr>
          <w:p w14:paraId="0E8DFD92"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78458CDF"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14</w:t>
            </w:r>
          </w:p>
        </w:tc>
        <w:tc>
          <w:tcPr>
            <w:tcW w:w="2395" w:type="dxa"/>
          </w:tcPr>
          <w:p w14:paraId="1F3A481E"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3: Dimensión vital </w:t>
            </w:r>
            <w:r w:rsidRPr="00D56BF9">
              <w:rPr>
                <w:rFonts w:ascii="Calibri" w:eastAsia="Times New Roman" w:hAnsi="Calibri" w:cs="Arial"/>
                <w:b/>
                <w:color w:val="000000"/>
                <w:lang w:val="es-ES_tradnl" w:eastAsia="es-CR"/>
              </w:rPr>
              <w:t>del libro o tema del Nuevo Testamento seleccionado</w:t>
            </w:r>
          </w:p>
          <w:p w14:paraId="19ED592E"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4182E89E" w14:textId="77777777" w:rsidR="00D56BF9" w:rsidRPr="00D56BF9" w:rsidRDefault="00D56BF9" w:rsidP="00D56BF9">
            <w:pPr>
              <w:widowControl w:val="0"/>
              <w:overflowPunct w:val="0"/>
              <w:autoSpaceDE w:val="0"/>
              <w:autoSpaceDN w:val="0"/>
              <w:adjustRightInd w:val="0"/>
              <w:rPr>
                <w:rFonts w:ascii="Calibri" w:eastAsia="Times New Roman" w:hAnsi="Calibri" w:cs="Arial"/>
                <w:bCs/>
                <w:lang w:val="es-ES_tradnl" w:eastAsia="es-CR"/>
              </w:rPr>
            </w:pPr>
            <w:r w:rsidRPr="00D56BF9">
              <w:rPr>
                <w:rFonts w:ascii="Calibri" w:eastAsia="Times New Roman" w:hAnsi="Calibri" w:cs="Arial"/>
                <w:bCs/>
                <w:lang w:val="es-ES_tradnl" w:eastAsia="es-CR"/>
              </w:rPr>
              <w:t>3.3 Cierre del proceso de investigación</w:t>
            </w:r>
          </w:p>
          <w:p w14:paraId="5622C3FF"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0EC5FC3C"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5C6A412B"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20"/>
                <w:lang w:val="es-ES_tradnl" w:eastAsia="es-CR"/>
              </w:rPr>
            </w:pPr>
          </w:p>
          <w:p w14:paraId="7352F160"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r w:rsidRPr="00D56BF9">
              <w:rPr>
                <w:rFonts w:ascii="Calibri" w:eastAsia="Times New Roman" w:hAnsi="Calibri" w:cs="Calibri"/>
                <w:b/>
                <w:bCs/>
                <w:color w:val="0070C0"/>
                <w:lang w:val="es-ES_tradnl" w:eastAsia="es-CR"/>
              </w:rPr>
              <w:t>Material complementario</w:t>
            </w:r>
          </w:p>
          <w:p w14:paraId="5002D926" w14:textId="77777777" w:rsidR="00D56BF9" w:rsidRPr="00D56BF9" w:rsidRDefault="00D56BF9" w:rsidP="00D56BF9">
            <w:pPr>
              <w:widowControl w:val="0"/>
              <w:overflowPunct w:val="0"/>
              <w:autoSpaceDE w:val="0"/>
              <w:autoSpaceDN w:val="0"/>
              <w:adjustRightInd w:val="0"/>
              <w:rPr>
                <w:rFonts w:ascii="Calibri" w:eastAsia="Times New Roman" w:hAnsi="Calibri" w:cs="Arial"/>
                <w:b/>
                <w:bCs/>
                <w:color w:val="000000"/>
                <w:lang w:val="es-ES_tradnl" w:eastAsia="es-CR"/>
              </w:rPr>
            </w:pPr>
          </w:p>
          <w:p w14:paraId="18516897"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r w:rsidRPr="00D56BF9">
              <w:rPr>
                <w:rFonts w:ascii="Calibri" w:eastAsia="Times New Roman" w:hAnsi="Calibri" w:cs="Calibri"/>
                <w:color w:val="0070C0"/>
                <w:lang w:val="es-ES_tradnl" w:eastAsia="es-CR"/>
              </w:rPr>
              <w:t xml:space="preserve">Guía para la participación mediante la herramienta Big Blue </w:t>
            </w:r>
            <w:proofErr w:type="spellStart"/>
            <w:r w:rsidRPr="00D56BF9">
              <w:rPr>
                <w:rFonts w:ascii="Calibri" w:eastAsia="Times New Roman" w:hAnsi="Calibri" w:cs="Calibri"/>
                <w:color w:val="0070C0"/>
                <w:lang w:val="es-ES_tradnl" w:eastAsia="es-CR"/>
              </w:rPr>
              <w:t>Button</w:t>
            </w:r>
            <w:proofErr w:type="spellEnd"/>
            <w:r w:rsidRPr="00D56BF9">
              <w:rPr>
                <w:rFonts w:ascii="Calibri" w:eastAsia="Times New Roman" w:hAnsi="Calibri" w:cs="Calibri"/>
                <w:color w:val="0070C0"/>
                <w:lang w:val="es-ES_tradnl" w:eastAsia="es-CR"/>
              </w:rPr>
              <w:t xml:space="preserve"> en la plataforma Moodle</w:t>
            </w:r>
          </w:p>
        </w:tc>
        <w:tc>
          <w:tcPr>
            <w:tcW w:w="3119" w:type="dxa"/>
          </w:tcPr>
          <w:p w14:paraId="06261DE9" w14:textId="77777777" w:rsidR="00D56BF9" w:rsidRPr="00D56BF9" w:rsidRDefault="00D56BF9" w:rsidP="00D56BF9">
            <w:pPr>
              <w:widowControl w:val="0"/>
              <w:numPr>
                <w:ilvl w:val="0"/>
                <w:numId w:val="327"/>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Trabajar en las observaciones realizadas por la persona docente a su trabajo de investigación.</w:t>
            </w:r>
          </w:p>
          <w:p w14:paraId="7F5617D5" w14:textId="77777777" w:rsidR="00D56BF9" w:rsidRPr="00D56BF9" w:rsidRDefault="00D56BF9" w:rsidP="00D56BF9">
            <w:pPr>
              <w:widowControl w:val="0"/>
              <w:numPr>
                <w:ilvl w:val="0"/>
                <w:numId w:val="327"/>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 xml:space="preserve">Presentación oral del trabajo de investigación en un encuentro sincrónico virtual (según asignación docente). </w:t>
            </w:r>
          </w:p>
        </w:tc>
      </w:tr>
      <w:tr w:rsidR="00D56BF9" w:rsidRPr="00D56BF9" w14:paraId="2973372B" w14:textId="77777777" w:rsidTr="00104785">
        <w:tc>
          <w:tcPr>
            <w:tcW w:w="1144" w:type="dxa"/>
          </w:tcPr>
          <w:p w14:paraId="565FC5AB"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p>
          <w:p w14:paraId="332F0D95"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15</w:t>
            </w:r>
          </w:p>
        </w:tc>
        <w:tc>
          <w:tcPr>
            <w:tcW w:w="2395" w:type="dxa"/>
          </w:tcPr>
          <w:p w14:paraId="2F28EC84" w14:textId="77777777" w:rsidR="00D56BF9" w:rsidRPr="00D56BF9" w:rsidRDefault="00D56BF9" w:rsidP="00D56BF9">
            <w:pPr>
              <w:widowControl w:val="0"/>
              <w:overflowPunct w:val="0"/>
              <w:autoSpaceDE w:val="0"/>
              <w:autoSpaceDN w:val="0"/>
              <w:adjustRightInd w:val="0"/>
              <w:rPr>
                <w:rFonts w:ascii="Calibri" w:eastAsia="Times New Roman" w:hAnsi="Calibri" w:cs="Arial"/>
                <w:b/>
                <w:color w:val="000000"/>
                <w:lang w:val="es-ES_tradnl" w:eastAsia="es-CR"/>
              </w:rPr>
            </w:pPr>
            <w:r w:rsidRPr="00D56BF9">
              <w:rPr>
                <w:rFonts w:ascii="Calibri" w:eastAsia="Times New Roman" w:hAnsi="Calibri" w:cs="Arial"/>
                <w:b/>
                <w:bCs/>
                <w:color w:val="000000"/>
                <w:lang w:val="es-ES_tradnl" w:eastAsia="es-CR"/>
              </w:rPr>
              <w:t xml:space="preserve">Unidad 3: Dimensión vital </w:t>
            </w:r>
            <w:r w:rsidRPr="00D56BF9">
              <w:rPr>
                <w:rFonts w:ascii="Calibri" w:eastAsia="Times New Roman" w:hAnsi="Calibri" w:cs="Arial"/>
                <w:b/>
                <w:color w:val="000000"/>
                <w:lang w:val="es-ES_tradnl" w:eastAsia="es-CR"/>
              </w:rPr>
              <w:t>del libro o tema del Nuevo Testamento seleccionado</w:t>
            </w:r>
          </w:p>
          <w:p w14:paraId="50064032"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1AD99981" w14:textId="77777777" w:rsidR="00D56BF9" w:rsidRPr="00D56BF9" w:rsidRDefault="00D56BF9" w:rsidP="00D56BF9">
            <w:pPr>
              <w:widowControl w:val="0"/>
              <w:overflowPunct w:val="0"/>
              <w:autoSpaceDE w:val="0"/>
              <w:autoSpaceDN w:val="0"/>
              <w:adjustRightInd w:val="0"/>
              <w:rPr>
                <w:rFonts w:ascii="Calibri" w:eastAsia="Times New Roman" w:hAnsi="Calibri" w:cs="Arial"/>
                <w:bCs/>
                <w:lang w:val="es-ES_tradnl" w:eastAsia="es-CR"/>
              </w:rPr>
            </w:pPr>
            <w:r w:rsidRPr="00D56BF9">
              <w:rPr>
                <w:rFonts w:ascii="Calibri" w:eastAsia="Times New Roman" w:hAnsi="Calibri" w:cs="Arial"/>
                <w:bCs/>
                <w:lang w:val="es-ES_tradnl" w:eastAsia="es-CR"/>
              </w:rPr>
              <w:t>3.3 Cierre del proceso de investigación</w:t>
            </w:r>
          </w:p>
          <w:p w14:paraId="28E2AD73"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p w14:paraId="1B24E87A"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p>
        </w:tc>
        <w:tc>
          <w:tcPr>
            <w:tcW w:w="2835" w:type="dxa"/>
          </w:tcPr>
          <w:p w14:paraId="71F73FAC" w14:textId="77777777" w:rsidR="00D56BF9" w:rsidRPr="00D56BF9" w:rsidRDefault="00D56BF9" w:rsidP="00D56BF9">
            <w:pPr>
              <w:widowControl w:val="0"/>
              <w:overflowPunct w:val="0"/>
              <w:autoSpaceDE w:val="0"/>
              <w:autoSpaceDN w:val="0"/>
              <w:adjustRightInd w:val="0"/>
              <w:rPr>
                <w:rFonts w:ascii="Calibri" w:eastAsia="Times New Roman" w:hAnsi="Calibri" w:cs="Calibri"/>
                <w:color w:val="0070C0"/>
                <w:lang w:val="es-ES_tradnl" w:eastAsia="es-CR"/>
              </w:rPr>
            </w:pPr>
            <w:r w:rsidRPr="00D56BF9">
              <w:rPr>
                <w:rFonts w:ascii="Calibri" w:eastAsia="Times New Roman" w:hAnsi="Calibri" w:cs="Calibri"/>
                <w:color w:val="0070C0"/>
                <w:lang w:val="es-ES_tradnl" w:eastAsia="es-CR"/>
              </w:rPr>
              <w:t>Ruta de aprendizaje</w:t>
            </w:r>
          </w:p>
          <w:p w14:paraId="3552A1E5" w14:textId="77777777" w:rsidR="00D56BF9" w:rsidRPr="00D56BF9" w:rsidRDefault="00D56BF9" w:rsidP="00D56BF9">
            <w:pPr>
              <w:widowControl w:val="0"/>
              <w:overflowPunct w:val="0"/>
              <w:autoSpaceDE w:val="0"/>
              <w:autoSpaceDN w:val="0"/>
              <w:adjustRightInd w:val="0"/>
              <w:rPr>
                <w:rFonts w:ascii="Times New Roman" w:eastAsia="Times New Roman" w:hAnsi="Times New Roman" w:cs="Times New Roman"/>
                <w:sz w:val="24"/>
                <w:szCs w:val="20"/>
                <w:lang w:val="es-ES_tradnl" w:eastAsia="es-CR"/>
              </w:rPr>
            </w:pPr>
          </w:p>
          <w:p w14:paraId="3E19A422" w14:textId="77777777" w:rsidR="00D56BF9" w:rsidRPr="00D56BF9" w:rsidRDefault="00D56BF9" w:rsidP="00D56BF9">
            <w:pPr>
              <w:widowControl w:val="0"/>
              <w:overflowPunct w:val="0"/>
              <w:autoSpaceDE w:val="0"/>
              <w:autoSpaceDN w:val="0"/>
              <w:adjustRightInd w:val="0"/>
              <w:rPr>
                <w:rFonts w:ascii="Calibri" w:eastAsia="Times New Roman" w:hAnsi="Calibri" w:cs="Calibri"/>
                <w:b/>
                <w:bCs/>
                <w:color w:val="0070C0"/>
                <w:lang w:val="es-ES_tradnl" w:eastAsia="es-CR"/>
              </w:rPr>
            </w:pPr>
            <w:r w:rsidRPr="00D56BF9">
              <w:rPr>
                <w:rFonts w:ascii="Calibri" w:eastAsia="Times New Roman" w:hAnsi="Calibri" w:cs="Calibri"/>
                <w:b/>
                <w:bCs/>
                <w:color w:val="0070C0"/>
                <w:lang w:val="es-ES_tradnl" w:eastAsia="es-CR"/>
              </w:rPr>
              <w:t>Material complementario</w:t>
            </w:r>
          </w:p>
          <w:p w14:paraId="78BA934D" w14:textId="77777777" w:rsidR="00D56BF9" w:rsidRPr="00D56BF9" w:rsidRDefault="00D56BF9" w:rsidP="00D56BF9">
            <w:pPr>
              <w:widowControl w:val="0"/>
              <w:overflowPunct w:val="0"/>
              <w:autoSpaceDE w:val="0"/>
              <w:autoSpaceDN w:val="0"/>
              <w:adjustRightInd w:val="0"/>
              <w:rPr>
                <w:rFonts w:ascii="Calibri" w:eastAsia="Times New Roman" w:hAnsi="Calibri" w:cs="Arial"/>
                <w:b/>
                <w:bCs/>
                <w:color w:val="000000"/>
                <w:lang w:val="es-ES_tradnl" w:eastAsia="es-CR"/>
              </w:rPr>
            </w:pPr>
          </w:p>
          <w:p w14:paraId="28B1E0D8" w14:textId="77777777" w:rsidR="00D56BF9" w:rsidRPr="00D56BF9" w:rsidRDefault="00D56BF9" w:rsidP="00D56BF9">
            <w:pPr>
              <w:widowControl w:val="0"/>
              <w:overflowPunct w:val="0"/>
              <w:autoSpaceDE w:val="0"/>
              <w:autoSpaceDN w:val="0"/>
              <w:adjustRightInd w:val="0"/>
              <w:rPr>
                <w:rFonts w:ascii="Calibri" w:eastAsia="Times New Roman" w:hAnsi="Calibri" w:cs="Arial"/>
                <w:color w:val="000000"/>
                <w:lang w:val="es-ES_tradnl" w:eastAsia="es-CR"/>
              </w:rPr>
            </w:pPr>
            <w:r w:rsidRPr="00D56BF9">
              <w:rPr>
                <w:rFonts w:ascii="Calibri" w:eastAsia="Times New Roman" w:hAnsi="Calibri" w:cs="Calibri"/>
                <w:color w:val="0070C0"/>
                <w:lang w:val="es-ES_tradnl" w:eastAsia="es-CR"/>
              </w:rPr>
              <w:t xml:space="preserve">Guía para la participación mediante la herramienta Big Blue </w:t>
            </w:r>
            <w:proofErr w:type="spellStart"/>
            <w:r w:rsidRPr="00D56BF9">
              <w:rPr>
                <w:rFonts w:ascii="Calibri" w:eastAsia="Times New Roman" w:hAnsi="Calibri" w:cs="Calibri"/>
                <w:color w:val="0070C0"/>
                <w:lang w:val="es-ES_tradnl" w:eastAsia="es-CR"/>
              </w:rPr>
              <w:t>Button</w:t>
            </w:r>
            <w:proofErr w:type="spellEnd"/>
            <w:r w:rsidRPr="00D56BF9">
              <w:rPr>
                <w:rFonts w:ascii="Calibri" w:eastAsia="Times New Roman" w:hAnsi="Calibri" w:cs="Calibri"/>
                <w:color w:val="0070C0"/>
                <w:lang w:val="es-ES_tradnl" w:eastAsia="es-CR"/>
              </w:rPr>
              <w:t xml:space="preserve"> en la plataforma Moodle</w:t>
            </w:r>
          </w:p>
        </w:tc>
        <w:tc>
          <w:tcPr>
            <w:tcW w:w="3119" w:type="dxa"/>
          </w:tcPr>
          <w:p w14:paraId="4B0B794A" w14:textId="77777777" w:rsidR="00D56BF9" w:rsidRPr="00D56BF9" w:rsidRDefault="00D56BF9" w:rsidP="00D56BF9">
            <w:pPr>
              <w:widowControl w:val="0"/>
              <w:numPr>
                <w:ilvl w:val="0"/>
                <w:numId w:val="328"/>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Entregar la versión final de su trabajo de investigación.</w:t>
            </w:r>
          </w:p>
          <w:p w14:paraId="1238D5EA" w14:textId="77777777" w:rsidR="00D56BF9" w:rsidRPr="00D56BF9" w:rsidRDefault="00D56BF9" w:rsidP="00D56BF9">
            <w:pPr>
              <w:widowControl w:val="0"/>
              <w:numPr>
                <w:ilvl w:val="0"/>
                <w:numId w:val="328"/>
              </w:numPr>
              <w:overflowPunct w:val="0"/>
              <w:autoSpaceDE w:val="0"/>
              <w:autoSpaceDN w:val="0"/>
              <w:adjustRightInd w:val="0"/>
              <w:spacing w:before="120" w:after="200" w:line="276" w:lineRule="auto"/>
              <w:ind w:left="316"/>
              <w:contextualSpacing/>
              <w:rPr>
                <w:rFonts w:ascii="Calibri" w:eastAsia="Calibri" w:hAnsi="Calibri" w:cs="Arial"/>
                <w:color w:val="000000"/>
              </w:rPr>
            </w:pPr>
            <w:r w:rsidRPr="00D56BF9">
              <w:rPr>
                <w:rFonts w:ascii="Calibri" w:eastAsia="Calibri" w:hAnsi="Calibri" w:cs="Arial"/>
                <w:color w:val="000000"/>
              </w:rPr>
              <w:t>Presentación oral del trabajo de investigación en un encuentro sincrónico virtual (según asignación docente).</w:t>
            </w:r>
          </w:p>
        </w:tc>
      </w:tr>
    </w:tbl>
    <w:p w14:paraId="44183933" w14:textId="77777777" w:rsidR="00D56BF9" w:rsidRPr="00D56BF9" w:rsidRDefault="00D56BF9" w:rsidP="00D56BF9">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p>
    <w:p w14:paraId="7057256D" w14:textId="77777777" w:rsidR="00D56BF9" w:rsidRPr="00D56BF9" w:rsidRDefault="00D56BF9" w:rsidP="00D56BF9">
      <w:pPr>
        <w:spacing w:after="0" w:line="240" w:lineRule="auto"/>
        <w:contextualSpacing/>
        <w:rPr>
          <w:rFonts w:ascii="Arial" w:eastAsia="Calibri" w:hAnsi="Arial" w:cs="Arial"/>
          <w:b/>
          <w:kern w:val="0"/>
          <w:sz w:val="24"/>
          <w:szCs w:val="24"/>
          <w14:ligatures w14:val="none"/>
        </w:rPr>
      </w:pPr>
    </w:p>
    <w:p w14:paraId="5A43C6E0" w14:textId="77777777" w:rsidR="00D56BF9" w:rsidRPr="00D56BF9" w:rsidRDefault="00D56BF9" w:rsidP="00D56BF9">
      <w:pPr>
        <w:widowControl w:val="0"/>
        <w:overflowPunct w:val="0"/>
        <w:autoSpaceDE w:val="0"/>
        <w:autoSpaceDN w:val="0"/>
        <w:adjustRightInd w:val="0"/>
        <w:spacing w:before="120" w:after="0" w:line="240" w:lineRule="auto"/>
        <w:rPr>
          <w:rFonts w:ascii="Times New Roman" w:eastAsia="Times New Roman" w:hAnsi="Times New Roman" w:cs="Times New Roman"/>
          <w:kern w:val="0"/>
          <w:sz w:val="24"/>
          <w:szCs w:val="20"/>
          <w:lang w:val="es-ES_tradnl" w:eastAsia="es-CR"/>
          <w14:ligatures w14:val="none"/>
        </w:rPr>
      </w:pPr>
    </w:p>
    <w:p w14:paraId="75315803" w14:textId="77777777" w:rsidR="00D56BF9" w:rsidRPr="00D56BF9" w:rsidRDefault="00D56BF9" w:rsidP="00D56BF9">
      <w:pPr>
        <w:widowControl w:val="0"/>
        <w:overflowPunct w:val="0"/>
        <w:autoSpaceDE w:val="0"/>
        <w:autoSpaceDN w:val="0"/>
        <w:adjustRightInd w:val="0"/>
        <w:spacing w:after="0" w:line="240" w:lineRule="auto"/>
        <w:jc w:val="both"/>
        <w:rPr>
          <w:rFonts w:ascii="Arial" w:eastAsia="Times New Roman" w:hAnsi="Arial" w:cs="Arial"/>
          <w:b/>
          <w:kern w:val="0"/>
          <w:sz w:val="24"/>
          <w:szCs w:val="24"/>
          <w14:ligatures w14:val="none"/>
        </w:rPr>
      </w:pPr>
    </w:p>
    <w:p w14:paraId="010A66BA" w14:textId="77777777" w:rsidR="00D56BF9" w:rsidRPr="00D56BF9" w:rsidRDefault="00D56BF9" w:rsidP="00D56BF9">
      <w:pPr>
        <w:widowControl w:val="0"/>
        <w:overflowPunct w:val="0"/>
        <w:autoSpaceDE w:val="0"/>
        <w:autoSpaceDN w:val="0"/>
        <w:adjustRightInd w:val="0"/>
        <w:spacing w:after="0" w:line="240" w:lineRule="auto"/>
        <w:jc w:val="both"/>
        <w:rPr>
          <w:rFonts w:ascii="Arial" w:eastAsia="Times New Roman" w:hAnsi="Arial" w:cs="Arial"/>
          <w:b/>
          <w:color w:val="0070C0"/>
          <w:kern w:val="0"/>
          <w:sz w:val="24"/>
          <w:szCs w:val="24"/>
          <w14:ligatures w14:val="none"/>
        </w:rPr>
      </w:pPr>
    </w:p>
    <w:p w14:paraId="071395F6" w14:textId="77777777" w:rsidR="00D56BF9" w:rsidRPr="00D56BF9" w:rsidRDefault="00D56BF9" w:rsidP="00D56BF9">
      <w:pPr>
        <w:rPr>
          <w:rFonts w:ascii="Calibri" w:eastAsia="Times New Roman" w:hAnsi="Calibri" w:cs="Calibri"/>
          <w:b/>
          <w:bCs/>
          <w:color w:val="000000"/>
          <w:kern w:val="0"/>
          <w:lang w:val="es-ES_tradnl" w:eastAsia="es-CR"/>
          <w14:ligatures w14:val="none"/>
        </w:rPr>
      </w:pPr>
      <w:r w:rsidRPr="00D56BF9">
        <w:rPr>
          <w:rFonts w:ascii="Calibri" w:eastAsia="Times New Roman" w:hAnsi="Calibri" w:cs="Calibri"/>
          <w:b/>
          <w:bCs/>
          <w:color w:val="000000"/>
          <w:kern w:val="0"/>
          <w:lang w:val="es-ES_tradnl" w:eastAsia="es-CR"/>
          <w14:ligatures w14:val="none"/>
        </w:rPr>
        <w:br w:type="page"/>
      </w:r>
    </w:p>
    <w:p w14:paraId="156CAE2D"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D56BF9">
        <w:rPr>
          <w:rFonts w:ascii="Calibri" w:eastAsia="Times New Roman" w:hAnsi="Calibri" w:cs="Calibri"/>
          <w:b/>
          <w:bCs/>
          <w:color w:val="000000"/>
          <w:kern w:val="0"/>
          <w:lang w:val="es-ES_tradnl" w:eastAsia="es-CR"/>
          <w14:ligatures w14:val="none"/>
        </w:rPr>
        <w:lastRenderedPageBreak/>
        <w:t>IX. Distribución de tiempo semanal</w:t>
      </w:r>
    </w:p>
    <w:p w14:paraId="0562AEFC"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56BF9">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35DF9EF9"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9061" w:type="dxa"/>
        <w:jc w:val="center"/>
        <w:tblLook w:val="04A0" w:firstRow="1" w:lastRow="0" w:firstColumn="1" w:lastColumn="0" w:noHBand="0" w:noVBand="1"/>
      </w:tblPr>
      <w:tblGrid>
        <w:gridCol w:w="2189"/>
        <w:gridCol w:w="1461"/>
        <w:gridCol w:w="5411"/>
      </w:tblGrid>
      <w:tr w:rsidR="00D56BF9" w:rsidRPr="00D56BF9" w14:paraId="5B53B2B4" w14:textId="77777777" w:rsidTr="00104785">
        <w:trPr>
          <w:trHeight w:val="547"/>
          <w:jc w:val="center"/>
        </w:trPr>
        <w:tc>
          <w:tcPr>
            <w:tcW w:w="2189" w:type="dxa"/>
            <w:vAlign w:val="center"/>
          </w:tcPr>
          <w:p w14:paraId="5EE29919"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56BF9">
              <w:rPr>
                <w:rFonts w:ascii="Calibri" w:eastAsia="Times New Roman" w:hAnsi="Calibri" w:cs="Calibri"/>
                <w:b/>
                <w:bCs/>
                <w:color w:val="000000"/>
                <w:lang w:val="es-ES_tradnl" w:eastAsia="es-CR"/>
              </w:rPr>
              <w:t>Tipo de horas</w:t>
            </w:r>
          </w:p>
          <w:p w14:paraId="36184620"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56BF9">
              <w:rPr>
                <w:rFonts w:ascii="Calibri" w:eastAsia="Times New Roman" w:hAnsi="Calibri" w:cs="Calibri"/>
                <w:b/>
                <w:bCs/>
                <w:color w:val="000000"/>
                <w:lang w:val="es-ES_tradnl" w:eastAsia="es-CR"/>
              </w:rPr>
              <w:t>(categoría)</w:t>
            </w:r>
          </w:p>
        </w:tc>
        <w:tc>
          <w:tcPr>
            <w:tcW w:w="1461" w:type="dxa"/>
            <w:vAlign w:val="center"/>
          </w:tcPr>
          <w:p w14:paraId="5C46FEA2"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56BF9">
              <w:rPr>
                <w:rFonts w:ascii="Calibri" w:eastAsia="Times New Roman" w:hAnsi="Calibri" w:cs="Calibri"/>
                <w:b/>
                <w:bCs/>
                <w:color w:val="000000"/>
                <w:lang w:val="es-ES_tradnl" w:eastAsia="es-CR"/>
              </w:rPr>
              <w:t>Horas por semana</w:t>
            </w:r>
          </w:p>
        </w:tc>
        <w:tc>
          <w:tcPr>
            <w:tcW w:w="5411" w:type="dxa"/>
            <w:vAlign w:val="center"/>
          </w:tcPr>
          <w:p w14:paraId="2AA371DB"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56BF9">
              <w:rPr>
                <w:rFonts w:ascii="Calibri" w:eastAsia="Times New Roman" w:hAnsi="Calibri" w:cs="Calibri"/>
                <w:b/>
                <w:bCs/>
                <w:color w:val="000000"/>
                <w:lang w:val="es-ES_tradnl" w:eastAsia="es-CR"/>
              </w:rPr>
              <w:t>Actividades relacionadas</w:t>
            </w:r>
          </w:p>
        </w:tc>
      </w:tr>
      <w:tr w:rsidR="00D56BF9" w:rsidRPr="00D56BF9" w14:paraId="2240B68C" w14:textId="77777777" w:rsidTr="00104785">
        <w:trPr>
          <w:trHeight w:val="735"/>
          <w:jc w:val="center"/>
        </w:trPr>
        <w:tc>
          <w:tcPr>
            <w:tcW w:w="2189" w:type="dxa"/>
            <w:vAlign w:val="center"/>
          </w:tcPr>
          <w:p w14:paraId="34FB7C8E"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56BF9">
              <w:rPr>
                <w:rFonts w:ascii="Calibri" w:eastAsia="Times New Roman" w:hAnsi="Calibri" w:cs="Calibri"/>
                <w:bCs/>
                <w:color w:val="000000"/>
                <w:lang w:val="es-ES_tradnl" w:eastAsia="es-CR"/>
              </w:rPr>
              <w:t>Horas de Estudio Individual (HEI)</w:t>
            </w:r>
          </w:p>
        </w:tc>
        <w:tc>
          <w:tcPr>
            <w:tcW w:w="1461" w:type="dxa"/>
            <w:vAlign w:val="center"/>
          </w:tcPr>
          <w:p w14:paraId="2EE63345"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56BF9">
              <w:rPr>
                <w:rFonts w:ascii="Calibri" w:eastAsia="Times New Roman" w:hAnsi="Calibri" w:cs="Calibri"/>
                <w:bCs/>
                <w:color w:val="000000"/>
                <w:lang w:val="es-ES_tradnl" w:eastAsia="es-CR"/>
              </w:rPr>
              <w:t>3</w:t>
            </w:r>
          </w:p>
        </w:tc>
        <w:tc>
          <w:tcPr>
            <w:tcW w:w="5411" w:type="dxa"/>
            <w:vAlign w:val="center"/>
          </w:tcPr>
          <w:p w14:paraId="5049B62E" w14:textId="77777777" w:rsidR="00D56BF9" w:rsidRPr="00D56BF9" w:rsidRDefault="00D56BF9" w:rsidP="00D56BF9">
            <w:pPr>
              <w:widowControl w:val="0"/>
              <w:numPr>
                <w:ilvl w:val="0"/>
                <w:numId w:val="34"/>
              </w:numPr>
              <w:overflowPunct w:val="0"/>
              <w:autoSpaceDE w:val="0"/>
              <w:autoSpaceDN w:val="0"/>
              <w:adjustRightInd w:val="0"/>
              <w:spacing w:before="120"/>
              <w:contextualSpacing/>
              <w:rPr>
                <w:rFonts w:ascii="Calibri" w:eastAsia="Calibri" w:hAnsi="Calibri" w:cs="Calibri"/>
                <w:bCs/>
                <w:color w:val="000000"/>
              </w:rPr>
            </w:pPr>
            <w:r w:rsidRPr="00D56BF9">
              <w:rPr>
                <w:rFonts w:ascii="Calibri" w:eastAsia="Calibri" w:hAnsi="Calibri" w:cs="Calibri"/>
                <w:bCs/>
                <w:color w:val="000000"/>
              </w:rPr>
              <w:t>Lectura de los textos (materiales en formato digital).</w:t>
            </w:r>
          </w:p>
          <w:p w14:paraId="36DEF3EE" w14:textId="77777777" w:rsidR="00D56BF9" w:rsidRPr="00D56BF9" w:rsidRDefault="00D56BF9" w:rsidP="00D56BF9">
            <w:pPr>
              <w:widowControl w:val="0"/>
              <w:numPr>
                <w:ilvl w:val="0"/>
                <w:numId w:val="34"/>
              </w:numPr>
              <w:overflowPunct w:val="0"/>
              <w:autoSpaceDE w:val="0"/>
              <w:autoSpaceDN w:val="0"/>
              <w:adjustRightInd w:val="0"/>
              <w:spacing w:before="120"/>
              <w:contextualSpacing/>
              <w:rPr>
                <w:rFonts w:ascii="Calibri" w:eastAsia="Calibri" w:hAnsi="Calibri" w:cs="Calibri"/>
                <w:bCs/>
                <w:color w:val="000000"/>
              </w:rPr>
            </w:pPr>
            <w:r w:rsidRPr="00D56BF9">
              <w:rPr>
                <w:rFonts w:ascii="Calibri" w:eastAsia="Calibri" w:hAnsi="Calibri" w:cs="Calibri"/>
                <w:bCs/>
                <w:color w:val="000000"/>
              </w:rPr>
              <w:t>Análisis de lecturas e investigación por cuenta propia.</w:t>
            </w:r>
          </w:p>
        </w:tc>
      </w:tr>
      <w:tr w:rsidR="00D56BF9" w:rsidRPr="00D56BF9" w14:paraId="6528F1DF" w14:textId="77777777" w:rsidTr="00104785">
        <w:trPr>
          <w:trHeight w:val="1115"/>
          <w:jc w:val="center"/>
        </w:trPr>
        <w:tc>
          <w:tcPr>
            <w:tcW w:w="2189" w:type="dxa"/>
            <w:vAlign w:val="center"/>
          </w:tcPr>
          <w:p w14:paraId="27A7DE78"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56BF9">
              <w:rPr>
                <w:rFonts w:ascii="Calibri" w:eastAsia="Times New Roman" w:hAnsi="Calibri" w:cs="Calibri"/>
                <w:bCs/>
                <w:color w:val="000000"/>
                <w:lang w:val="es-ES_tradnl" w:eastAsia="es-CR"/>
              </w:rPr>
              <w:t>Horas de Trabajo Colaborativo (HTC)</w:t>
            </w:r>
          </w:p>
        </w:tc>
        <w:tc>
          <w:tcPr>
            <w:tcW w:w="1461" w:type="dxa"/>
            <w:vAlign w:val="center"/>
          </w:tcPr>
          <w:p w14:paraId="6E0E719D"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56BF9">
              <w:rPr>
                <w:rFonts w:ascii="Calibri" w:eastAsia="Times New Roman" w:hAnsi="Calibri" w:cs="Calibri"/>
                <w:bCs/>
                <w:color w:val="000000"/>
                <w:lang w:val="es-ES_tradnl" w:eastAsia="es-CR"/>
              </w:rPr>
              <w:t>3</w:t>
            </w:r>
          </w:p>
        </w:tc>
        <w:tc>
          <w:tcPr>
            <w:tcW w:w="5411" w:type="dxa"/>
            <w:vAlign w:val="center"/>
          </w:tcPr>
          <w:p w14:paraId="3B2993F0" w14:textId="77777777" w:rsidR="00D56BF9" w:rsidRPr="00D56BF9" w:rsidRDefault="00D56BF9" w:rsidP="00D56BF9">
            <w:pPr>
              <w:widowControl w:val="0"/>
              <w:numPr>
                <w:ilvl w:val="0"/>
                <w:numId w:val="35"/>
              </w:numPr>
              <w:overflowPunct w:val="0"/>
              <w:autoSpaceDE w:val="0"/>
              <w:autoSpaceDN w:val="0"/>
              <w:adjustRightInd w:val="0"/>
              <w:spacing w:before="120"/>
              <w:contextualSpacing/>
              <w:rPr>
                <w:rFonts w:ascii="Calibri" w:eastAsia="Calibri" w:hAnsi="Calibri" w:cs="Calibri"/>
                <w:bCs/>
                <w:color w:val="000000"/>
              </w:rPr>
            </w:pPr>
            <w:r w:rsidRPr="00D56BF9">
              <w:rPr>
                <w:rFonts w:ascii="Calibri" w:eastAsia="Calibri" w:hAnsi="Calibri" w:cs="Calibri"/>
                <w:bCs/>
                <w:color w:val="000000"/>
              </w:rPr>
              <w:t>Participación en los foros temáticos (incluye aportes personales y réplicas a los y las demás estudiantes).</w:t>
            </w:r>
          </w:p>
          <w:p w14:paraId="451D3A6D" w14:textId="77777777" w:rsidR="00D56BF9" w:rsidRPr="00D56BF9" w:rsidRDefault="00D56BF9" w:rsidP="00D56BF9">
            <w:pPr>
              <w:widowControl w:val="0"/>
              <w:numPr>
                <w:ilvl w:val="0"/>
                <w:numId w:val="35"/>
              </w:numPr>
              <w:overflowPunct w:val="0"/>
              <w:autoSpaceDE w:val="0"/>
              <w:autoSpaceDN w:val="0"/>
              <w:adjustRightInd w:val="0"/>
              <w:spacing w:before="120"/>
              <w:contextualSpacing/>
              <w:rPr>
                <w:rFonts w:ascii="Calibri" w:eastAsia="Calibri" w:hAnsi="Calibri" w:cs="Calibri"/>
                <w:bCs/>
                <w:color w:val="000000"/>
              </w:rPr>
            </w:pPr>
            <w:r w:rsidRPr="00D56BF9">
              <w:rPr>
                <w:rFonts w:ascii="Calibri" w:eastAsia="Calibri" w:hAnsi="Calibri" w:cs="Calibri"/>
                <w:bCs/>
                <w:color w:val="000000"/>
              </w:rPr>
              <w:t>Participación en los encuentros sincrónicos virtuales.</w:t>
            </w:r>
          </w:p>
          <w:p w14:paraId="0D573214" w14:textId="77777777" w:rsidR="00D56BF9" w:rsidRPr="00D56BF9" w:rsidRDefault="00D56BF9" w:rsidP="00D56BF9">
            <w:pPr>
              <w:widowControl w:val="0"/>
              <w:numPr>
                <w:ilvl w:val="0"/>
                <w:numId w:val="35"/>
              </w:numPr>
              <w:overflowPunct w:val="0"/>
              <w:autoSpaceDE w:val="0"/>
              <w:autoSpaceDN w:val="0"/>
              <w:adjustRightInd w:val="0"/>
              <w:spacing w:before="120"/>
              <w:contextualSpacing/>
              <w:rPr>
                <w:rFonts w:ascii="Calibri" w:eastAsia="Calibri" w:hAnsi="Calibri" w:cs="Calibri"/>
                <w:bCs/>
                <w:color w:val="000000"/>
              </w:rPr>
            </w:pPr>
            <w:r w:rsidRPr="00D56BF9">
              <w:rPr>
                <w:rFonts w:ascii="Calibri" w:eastAsia="Calibri" w:hAnsi="Calibri" w:cs="Calibri"/>
                <w:bCs/>
                <w:color w:val="000000"/>
              </w:rPr>
              <w:t>Participación en la elaboración de un glosario.</w:t>
            </w:r>
          </w:p>
        </w:tc>
      </w:tr>
      <w:tr w:rsidR="00D56BF9" w:rsidRPr="00D56BF9" w14:paraId="454E3EAD" w14:textId="77777777" w:rsidTr="00104785">
        <w:trPr>
          <w:trHeight w:val="1125"/>
          <w:jc w:val="center"/>
        </w:trPr>
        <w:tc>
          <w:tcPr>
            <w:tcW w:w="2189" w:type="dxa"/>
            <w:vAlign w:val="center"/>
          </w:tcPr>
          <w:p w14:paraId="6ED3D239"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56BF9">
              <w:rPr>
                <w:rFonts w:ascii="Calibri" w:eastAsia="Times New Roman" w:hAnsi="Calibri" w:cs="Calibri"/>
                <w:bCs/>
                <w:color w:val="000000"/>
                <w:lang w:val="es-ES_tradnl" w:eastAsia="es-CR"/>
              </w:rPr>
              <w:t>Horas de Producción Individual (HPI)</w:t>
            </w:r>
          </w:p>
        </w:tc>
        <w:tc>
          <w:tcPr>
            <w:tcW w:w="1461" w:type="dxa"/>
            <w:vAlign w:val="center"/>
          </w:tcPr>
          <w:p w14:paraId="4F34C938"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color w:val="000000"/>
                <w:lang w:val="es-ES_tradnl" w:eastAsia="es-CR"/>
              </w:rPr>
              <w:t>4</w:t>
            </w:r>
          </w:p>
        </w:tc>
        <w:tc>
          <w:tcPr>
            <w:tcW w:w="5411" w:type="dxa"/>
            <w:vAlign w:val="center"/>
          </w:tcPr>
          <w:p w14:paraId="37185491" w14:textId="77777777" w:rsidR="00D56BF9" w:rsidRPr="00D56BF9" w:rsidRDefault="00D56BF9" w:rsidP="00D56BF9">
            <w:pPr>
              <w:widowControl w:val="0"/>
              <w:numPr>
                <w:ilvl w:val="0"/>
                <w:numId w:val="36"/>
              </w:numPr>
              <w:overflowPunct w:val="0"/>
              <w:autoSpaceDE w:val="0"/>
              <w:autoSpaceDN w:val="0"/>
              <w:adjustRightInd w:val="0"/>
              <w:spacing w:before="120"/>
              <w:contextualSpacing/>
              <w:rPr>
                <w:rFonts w:ascii="Calibri" w:eastAsia="Calibri" w:hAnsi="Calibri" w:cs="Calibri"/>
                <w:bCs/>
                <w:color w:val="000000"/>
              </w:rPr>
            </w:pPr>
            <w:r w:rsidRPr="00D56BF9">
              <w:rPr>
                <w:rFonts w:ascii="Calibri" w:eastAsia="Calibri" w:hAnsi="Calibri" w:cs="Calibri"/>
                <w:bCs/>
                <w:color w:val="000000"/>
              </w:rPr>
              <w:t>Elaboración de reseñas críticas de lecturas.</w:t>
            </w:r>
          </w:p>
          <w:p w14:paraId="3B7115BE" w14:textId="77777777" w:rsidR="00D56BF9" w:rsidRPr="00D56BF9" w:rsidRDefault="00D56BF9" w:rsidP="00D56BF9">
            <w:pPr>
              <w:widowControl w:val="0"/>
              <w:numPr>
                <w:ilvl w:val="0"/>
                <w:numId w:val="36"/>
              </w:numPr>
              <w:overflowPunct w:val="0"/>
              <w:autoSpaceDE w:val="0"/>
              <w:autoSpaceDN w:val="0"/>
              <w:adjustRightInd w:val="0"/>
              <w:spacing w:before="120"/>
              <w:contextualSpacing/>
              <w:rPr>
                <w:rFonts w:ascii="Calibri" w:eastAsia="Calibri" w:hAnsi="Calibri" w:cs="Calibri"/>
                <w:bCs/>
                <w:color w:val="000000"/>
              </w:rPr>
            </w:pPr>
            <w:r w:rsidRPr="00D56BF9">
              <w:rPr>
                <w:rFonts w:ascii="Calibri" w:eastAsia="Calibri" w:hAnsi="Calibri" w:cs="Calibri"/>
                <w:bCs/>
                <w:color w:val="000000"/>
              </w:rPr>
              <w:t xml:space="preserve">Elaboración de ensayos. </w:t>
            </w:r>
          </w:p>
          <w:p w14:paraId="7C5BF668" w14:textId="77777777" w:rsidR="00D56BF9" w:rsidRPr="00D56BF9" w:rsidRDefault="00D56BF9" w:rsidP="00D56BF9">
            <w:pPr>
              <w:widowControl w:val="0"/>
              <w:numPr>
                <w:ilvl w:val="0"/>
                <w:numId w:val="36"/>
              </w:numPr>
              <w:overflowPunct w:val="0"/>
              <w:autoSpaceDE w:val="0"/>
              <w:autoSpaceDN w:val="0"/>
              <w:adjustRightInd w:val="0"/>
              <w:spacing w:before="120"/>
              <w:contextualSpacing/>
              <w:rPr>
                <w:rFonts w:ascii="Calibri" w:eastAsia="Calibri" w:hAnsi="Calibri" w:cs="Calibri"/>
                <w:bCs/>
                <w:color w:val="000000"/>
              </w:rPr>
            </w:pPr>
            <w:r w:rsidRPr="00D56BF9">
              <w:rPr>
                <w:rFonts w:ascii="Calibri" w:eastAsia="Calibri" w:hAnsi="Calibri" w:cs="Calibri"/>
                <w:bCs/>
                <w:color w:val="000000"/>
              </w:rPr>
              <w:t>Elaboración de un mapa conceptual.</w:t>
            </w:r>
          </w:p>
          <w:p w14:paraId="6F08F28F" w14:textId="77777777" w:rsidR="00D56BF9" w:rsidRPr="00D56BF9" w:rsidRDefault="00D56BF9" w:rsidP="00D56BF9">
            <w:pPr>
              <w:widowControl w:val="0"/>
              <w:numPr>
                <w:ilvl w:val="0"/>
                <w:numId w:val="36"/>
              </w:numPr>
              <w:overflowPunct w:val="0"/>
              <w:autoSpaceDE w:val="0"/>
              <w:autoSpaceDN w:val="0"/>
              <w:adjustRightInd w:val="0"/>
              <w:spacing w:before="120"/>
              <w:contextualSpacing/>
              <w:rPr>
                <w:rFonts w:ascii="Calibri" w:eastAsia="Calibri" w:hAnsi="Calibri" w:cs="Calibri"/>
                <w:bCs/>
                <w:color w:val="000000"/>
              </w:rPr>
            </w:pPr>
            <w:r w:rsidRPr="00D56BF9">
              <w:rPr>
                <w:rFonts w:ascii="Calibri" w:eastAsia="Calibri" w:hAnsi="Calibri" w:cs="Calibri"/>
                <w:bCs/>
                <w:color w:val="000000"/>
              </w:rPr>
              <w:t>Realización de un trabajo de investigación.</w:t>
            </w:r>
          </w:p>
        </w:tc>
      </w:tr>
      <w:tr w:rsidR="00D56BF9" w:rsidRPr="00D56BF9" w14:paraId="30D03E48" w14:textId="77777777" w:rsidTr="00104785">
        <w:trPr>
          <w:trHeight w:val="851"/>
          <w:jc w:val="center"/>
        </w:trPr>
        <w:tc>
          <w:tcPr>
            <w:tcW w:w="2189" w:type="dxa"/>
            <w:vAlign w:val="center"/>
          </w:tcPr>
          <w:p w14:paraId="65C74DE2" w14:textId="77777777" w:rsidR="00D56BF9" w:rsidRPr="00D56BF9" w:rsidRDefault="00D56BF9" w:rsidP="00D56BF9">
            <w:pPr>
              <w:widowControl w:val="0"/>
              <w:overflowPunct w:val="0"/>
              <w:autoSpaceDE w:val="0"/>
              <w:autoSpaceDN w:val="0"/>
              <w:adjustRightInd w:val="0"/>
              <w:jc w:val="center"/>
              <w:rPr>
                <w:rFonts w:ascii="Calibri" w:eastAsia="Times New Roman" w:hAnsi="Calibri" w:cs="Arial"/>
                <w:color w:val="000000"/>
                <w:lang w:val="es-ES_tradnl" w:eastAsia="es-CR"/>
              </w:rPr>
            </w:pPr>
            <w:r w:rsidRPr="00D56BF9">
              <w:rPr>
                <w:rFonts w:ascii="Calibri" w:eastAsia="Times New Roman" w:hAnsi="Calibri" w:cs="Arial"/>
                <w:lang w:val="es-ES_tradnl" w:eastAsia="es-CR"/>
              </w:rPr>
              <w:t>Horas de Práctica (HP)</w:t>
            </w:r>
          </w:p>
        </w:tc>
        <w:tc>
          <w:tcPr>
            <w:tcW w:w="1461" w:type="dxa"/>
            <w:vAlign w:val="center"/>
          </w:tcPr>
          <w:p w14:paraId="2A03CB8B"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D56BF9">
              <w:rPr>
                <w:rFonts w:ascii="Calibri" w:eastAsia="Times New Roman" w:hAnsi="Calibri" w:cs="Calibri"/>
                <w:bCs/>
                <w:color w:val="000000"/>
                <w:lang w:val="es-ES_tradnl" w:eastAsia="es-CR"/>
              </w:rPr>
              <w:t>2</w:t>
            </w:r>
          </w:p>
        </w:tc>
        <w:tc>
          <w:tcPr>
            <w:tcW w:w="5411" w:type="dxa"/>
            <w:vAlign w:val="center"/>
          </w:tcPr>
          <w:p w14:paraId="6EA4514F" w14:textId="77777777" w:rsidR="00D56BF9" w:rsidRPr="00D56BF9" w:rsidRDefault="00D56BF9" w:rsidP="00D56BF9">
            <w:pPr>
              <w:widowControl w:val="0"/>
              <w:numPr>
                <w:ilvl w:val="0"/>
                <w:numId w:val="36"/>
              </w:numPr>
              <w:overflowPunct w:val="0"/>
              <w:autoSpaceDE w:val="0"/>
              <w:autoSpaceDN w:val="0"/>
              <w:adjustRightInd w:val="0"/>
              <w:spacing w:before="120"/>
              <w:contextualSpacing/>
              <w:jc w:val="both"/>
              <w:rPr>
                <w:rFonts w:ascii="Calibri" w:eastAsia="Calibri" w:hAnsi="Calibri" w:cs="Arial"/>
                <w:color w:val="000000"/>
              </w:rPr>
            </w:pPr>
            <w:r w:rsidRPr="00D56BF9">
              <w:rPr>
                <w:rFonts w:ascii="Calibri" w:eastAsia="Calibri" w:hAnsi="Calibri" w:cs="Arial"/>
              </w:rPr>
              <w:t>Por su naturaleza, en este curso la práctica consiste en ejercicios de interpretación bíblica que se realizan como parte de las tareas y del trabajo de investigación.</w:t>
            </w:r>
          </w:p>
        </w:tc>
      </w:tr>
      <w:tr w:rsidR="00D56BF9" w:rsidRPr="00D56BF9" w14:paraId="6CEE969C" w14:textId="77777777" w:rsidTr="00104785">
        <w:trPr>
          <w:trHeight w:val="281"/>
          <w:jc w:val="center"/>
        </w:trPr>
        <w:tc>
          <w:tcPr>
            <w:tcW w:w="2189" w:type="dxa"/>
            <w:vAlign w:val="center"/>
          </w:tcPr>
          <w:p w14:paraId="3FF2304A"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56BF9">
              <w:rPr>
                <w:rFonts w:ascii="Calibri" w:eastAsia="Times New Roman" w:hAnsi="Calibri" w:cs="Calibri"/>
                <w:b/>
                <w:bCs/>
                <w:color w:val="000000"/>
                <w:lang w:val="es-ES_tradnl" w:eastAsia="es-CR"/>
              </w:rPr>
              <w:t>Total de horas (TH)</w:t>
            </w:r>
          </w:p>
        </w:tc>
        <w:tc>
          <w:tcPr>
            <w:tcW w:w="1461" w:type="dxa"/>
            <w:vAlign w:val="center"/>
          </w:tcPr>
          <w:p w14:paraId="49336272"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D56BF9">
              <w:rPr>
                <w:rFonts w:ascii="Calibri" w:eastAsia="Times New Roman" w:hAnsi="Calibri" w:cs="Calibri"/>
                <w:b/>
                <w:bCs/>
                <w:color w:val="000000"/>
                <w:lang w:val="es-ES_tradnl" w:eastAsia="es-CR"/>
              </w:rPr>
              <w:t>12</w:t>
            </w:r>
          </w:p>
        </w:tc>
        <w:tc>
          <w:tcPr>
            <w:tcW w:w="5411" w:type="dxa"/>
            <w:vAlign w:val="center"/>
          </w:tcPr>
          <w:p w14:paraId="535487E7" w14:textId="77777777" w:rsidR="00D56BF9" w:rsidRPr="00D56BF9" w:rsidRDefault="00D56BF9" w:rsidP="00D56BF9">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1814DBE1"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3440E4B"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D56BF9">
        <w:rPr>
          <w:rFonts w:ascii="Calibri" w:eastAsia="Times New Roman" w:hAnsi="Calibri" w:cs="Calibri"/>
          <w:bCs/>
          <w:color w:val="000000"/>
          <w:kern w:val="0"/>
          <w:lang w:val="es-ES_tradnl"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14E53EFF"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39AE77E8" w14:textId="77777777" w:rsidR="00D56BF9" w:rsidRPr="00D56BF9" w:rsidRDefault="00D56BF9" w:rsidP="00D56BF9">
      <w:pPr>
        <w:widowControl w:val="0"/>
        <w:overflowPunct w:val="0"/>
        <w:autoSpaceDE w:val="0"/>
        <w:autoSpaceDN w:val="0"/>
        <w:adjustRightInd w:val="0"/>
        <w:spacing w:before="120" w:after="0" w:line="240" w:lineRule="auto"/>
        <w:jc w:val="both"/>
        <w:rPr>
          <w:rFonts w:ascii="Calibri" w:eastAsia="Times New Roman" w:hAnsi="Calibri" w:cs="Arial"/>
          <w:b/>
          <w:bCs/>
          <w:color w:val="000000"/>
          <w:kern w:val="0"/>
          <w:lang w:val="es-ES_tradnl" w:eastAsia="es-CR"/>
          <w14:ligatures w14:val="none"/>
        </w:rPr>
      </w:pPr>
    </w:p>
    <w:p w14:paraId="753ACCC1" w14:textId="77777777" w:rsidR="00D56BF9" w:rsidRPr="00D56BF9" w:rsidRDefault="00D56BF9" w:rsidP="00D56BF9">
      <w:pPr>
        <w:rPr>
          <w:rFonts w:ascii="Calibri" w:eastAsia="Times New Roman" w:hAnsi="Calibri" w:cs="Arial"/>
          <w:b/>
          <w:color w:val="000000"/>
          <w:kern w:val="0"/>
          <w14:ligatures w14:val="none"/>
        </w:rPr>
      </w:pPr>
      <w:r w:rsidRPr="00D56BF9">
        <w:rPr>
          <w:rFonts w:ascii="Calibri" w:eastAsia="Times New Roman" w:hAnsi="Calibri" w:cs="Arial"/>
          <w:b/>
          <w:color w:val="000000"/>
          <w:kern w:val="0"/>
          <w14:ligatures w14:val="none"/>
        </w:rPr>
        <w:br w:type="page"/>
      </w:r>
    </w:p>
    <w:p w14:paraId="6BCE0145"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Arial"/>
          <w:b/>
          <w:kern w:val="0"/>
          <w14:ligatures w14:val="none"/>
        </w:rPr>
      </w:pPr>
      <w:r w:rsidRPr="00D56BF9">
        <w:rPr>
          <w:rFonts w:ascii="Calibri" w:eastAsia="Times New Roman" w:hAnsi="Calibri" w:cs="Arial"/>
          <w:b/>
          <w:kern w:val="0"/>
          <w14:ligatures w14:val="none"/>
        </w:rPr>
        <w:lastRenderedPageBreak/>
        <w:t>X. Evaluación</w:t>
      </w:r>
    </w:p>
    <w:p w14:paraId="5913A954"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Arial"/>
          <w:b/>
          <w:color w:val="000000"/>
          <w:kern w:val="0"/>
          <w14:ligatures w14:val="none"/>
        </w:rPr>
      </w:pPr>
    </w:p>
    <w:p w14:paraId="6253DFB1"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Arial"/>
          <w:color w:val="000000"/>
          <w:kern w:val="0"/>
          <w14:ligatures w14:val="none"/>
        </w:rPr>
      </w:pPr>
      <w:r w:rsidRPr="00D56BF9">
        <w:rPr>
          <w:rFonts w:ascii="Calibri" w:eastAsia="Times New Roman" w:hAnsi="Calibri" w:cs="Arial"/>
          <w:color w:val="000000"/>
          <w:kern w:val="0"/>
          <w14:ligatures w14:val="none"/>
        </w:rPr>
        <w:t>Se aplicará la evaluación formativa para este curso por medio del uso de rúbricas y escalas de evaluación.  Con ellas se hará un seguimiento de los procesos de aprendizaje desarrollados a través de la investigación, que muestren la capacidad para formular un marco teórico del objeto de investigación en el campo de las Ciencias Bíblicas, específicamente del evangelio de Marcos en diálogo con el mundo contemporáneo. El curso se aprueba con una nota mínima de 7.00 (siete en escala decimal). La siguiente es la distribución de porcentajes según las actividades evaluadas para la nota final:</w:t>
      </w:r>
    </w:p>
    <w:tbl>
      <w:tblPr>
        <w:tblpPr w:leftFromText="141" w:rightFromText="141" w:vertAnchor="text" w:horzAnchor="page" w:tblpX="1667" w:tblpY="324"/>
        <w:tblW w:w="9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905"/>
        <w:gridCol w:w="1203"/>
      </w:tblGrid>
      <w:tr w:rsidR="00D56BF9" w:rsidRPr="00D56BF9" w14:paraId="5605553C" w14:textId="77777777" w:rsidTr="00104785">
        <w:tc>
          <w:tcPr>
            <w:tcW w:w="9108" w:type="dxa"/>
            <w:gridSpan w:val="2"/>
          </w:tcPr>
          <w:p w14:paraId="46B983E2" w14:textId="77777777" w:rsidR="00D56BF9" w:rsidRPr="00D56BF9" w:rsidRDefault="00D56BF9" w:rsidP="00D56BF9">
            <w:pPr>
              <w:autoSpaceDE w:val="0"/>
              <w:autoSpaceDN w:val="0"/>
              <w:adjustRightInd w:val="0"/>
              <w:spacing w:after="0" w:line="240" w:lineRule="auto"/>
              <w:contextualSpacing/>
              <w:jc w:val="center"/>
              <w:rPr>
                <w:rFonts w:ascii="Calibri" w:eastAsia="Calibri" w:hAnsi="Calibri" w:cs="Arial"/>
                <w:b/>
                <w:color w:val="000000"/>
                <w:kern w:val="0"/>
                <w14:ligatures w14:val="none"/>
              </w:rPr>
            </w:pPr>
            <w:r w:rsidRPr="00D56BF9">
              <w:rPr>
                <w:rFonts w:ascii="Calibri" w:eastAsia="Calibri" w:hAnsi="Calibri" w:cs="Arial"/>
                <w:b/>
                <w:color w:val="000000"/>
                <w:kern w:val="0"/>
                <w14:ligatures w14:val="none"/>
              </w:rPr>
              <w:t>Síntesis cuantitativa de la evaluación</w:t>
            </w:r>
          </w:p>
        </w:tc>
      </w:tr>
      <w:tr w:rsidR="00D56BF9" w:rsidRPr="00D56BF9" w14:paraId="18D36373" w14:textId="77777777" w:rsidTr="00104785">
        <w:tc>
          <w:tcPr>
            <w:tcW w:w="7905" w:type="dxa"/>
          </w:tcPr>
          <w:p w14:paraId="25A3BA5C" w14:textId="77777777" w:rsidR="00D56BF9" w:rsidRPr="00D56BF9" w:rsidRDefault="00D56BF9" w:rsidP="00D56BF9">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b/>
                <w:color w:val="000000"/>
                <w:kern w:val="0"/>
                <w14:ligatures w14:val="none"/>
              </w:rPr>
            </w:pPr>
            <w:r w:rsidRPr="00D56BF9">
              <w:rPr>
                <w:rFonts w:ascii="Calibri" w:eastAsia="Calibri" w:hAnsi="Calibri" w:cs="Arial"/>
                <w:b/>
                <w:color w:val="000000"/>
                <w:kern w:val="0"/>
                <w14:ligatures w14:val="none"/>
              </w:rPr>
              <w:t>Rubros para evaluar</w:t>
            </w:r>
          </w:p>
        </w:tc>
        <w:tc>
          <w:tcPr>
            <w:tcW w:w="1203" w:type="dxa"/>
          </w:tcPr>
          <w:p w14:paraId="153133EA" w14:textId="77777777" w:rsidR="00D56BF9" w:rsidRPr="00D56BF9" w:rsidRDefault="00D56BF9" w:rsidP="00D56BF9">
            <w:pPr>
              <w:widowControl w:val="0"/>
              <w:numPr>
                <w:ilvl w:val="0"/>
                <w:numId w:val="5"/>
              </w:numPr>
              <w:overflowPunct w:val="0"/>
              <w:autoSpaceDE w:val="0"/>
              <w:autoSpaceDN w:val="0"/>
              <w:adjustRightInd w:val="0"/>
              <w:spacing w:before="120" w:after="0" w:line="240" w:lineRule="auto"/>
              <w:ind w:left="0"/>
              <w:contextualSpacing/>
              <w:jc w:val="center"/>
              <w:rPr>
                <w:rFonts w:ascii="Calibri" w:eastAsia="Calibri" w:hAnsi="Calibri" w:cs="Arial"/>
                <w:b/>
                <w:color w:val="000000"/>
                <w:kern w:val="0"/>
                <w14:ligatures w14:val="none"/>
              </w:rPr>
            </w:pPr>
            <w:r w:rsidRPr="00D56BF9">
              <w:rPr>
                <w:rFonts w:ascii="Calibri" w:eastAsia="Calibri" w:hAnsi="Calibri" w:cs="Arial"/>
                <w:b/>
                <w:color w:val="000000"/>
                <w:kern w:val="0"/>
                <w14:ligatures w14:val="none"/>
              </w:rPr>
              <w:t>Porcentaje</w:t>
            </w:r>
          </w:p>
          <w:p w14:paraId="1BA15F58" w14:textId="77777777" w:rsidR="00D56BF9" w:rsidRPr="00D56BF9" w:rsidRDefault="00D56BF9" w:rsidP="00D56BF9">
            <w:pPr>
              <w:autoSpaceDE w:val="0"/>
              <w:autoSpaceDN w:val="0"/>
              <w:adjustRightInd w:val="0"/>
              <w:spacing w:after="0" w:line="240" w:lineRule="auto"/>
              <w:contextualSpacing/>
              <w:jc w:val="center"/>
              <w:rPr>
                <w:rFonts w:ascii="Calibri" w:eastAsia="Calibri" w:hAnsi="Calibri" w:cs="Arial"/>
                <w:b/>
                <w:color w:val="000000"/>
                <w:kern w:val="0"/>
                <w14:ligatures w14:val="none"/>
              </w:rPr>
            </w:pPr>
            <w:r w:rsidRPr="00D56BF9">
              <w:rPr>
                <w:rFonts w:ascii="Calibri" w:eastAsia="Calibri" w:hAnsi="Calibri" w:cs="Arial"/>
                <w:b/>
                <w:color w:val="000000"/>
                <w:kern w:val="0"/>
                <w14:ligatures w14:val="none"/>
              </w:rPr>
              <w:t>total</w:t>
            </w:r>
          </w:p>
        </w:tc>
      </w:tr>
      <w:tr w:rsidR="00D56BF9" w:rsidRPr="00D56BF9" w14:paraId="21413479" w14:textId="77777777" w:rsidTr="00104785">
        <w:tc>
          <w:tcPr>
            <w:tcW w:w="7905" w:type="dxa"/>
          </w:tcPr>
          <w:p w14:paraId="009AFA43" w14:textId="77777777" w:rsidR="00D56BF9" w:rsidRPr="00D56BF9" w:rsidRDefault="00D56BF9" w:rsidP="00D56BF9">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color w:val="0070C0"/>
                <w:kern w:val="0"/>
                <w14:ligatures w14:val="none"/>
              </w:rPr>
            </w:pPr>
            <w:r w:rsidRPr="00D56BF9">
              <w:rPr>
                <w:rFonts w:ascii="Calibri" w:eastAsia="Calibri" w:hAnsi="Calibri" w:cs="Arial"/>
                <w:b/>
                <w:bCs/>
                <w:i/>
                <w:iCs/>
                <w:color w:val="0070C0"/>
                <w:kern w:val="0"/>
                <w14:ligatures w14:val="none"/>
              </w:rPr>
              <w:t>Encuentros sincrónicos virtuales</w:t>
            </w:r>
          </w:p>
          <w:p w14:paraId="547F9AC1" w14:textId="77777777" w:rsidR="00D56BF9" w:rsidRPr="00D56BF9" w:rsidRDefault="00D56BF9" w:rsidP="00D56BF9">
            <w:pPr>
              <w:widowControl w:val="0"/>
              <w:numPr>
                <w:ilvl w:val="0"/>
                <w:numId w:val="5"/>
              </w:numPr>
              <w:overflowPunct w:val="0"/>
              <w:autoSpaceDE w:val="0"/>
              <w:autoSpaceDN w:val="0"/>
              <w:adjustRightInd w:val="0"/>
              <w:spacing w:before="120" w:after="0" w:line="240" w:lineRule="auto"/>
              <w:ind w:left="0"/>
              <w:contextualSpacing/>
              <w:jc w:val="both"/>
              <w:rPr>
                <w:rFonts w:ascii="Calibri" w:eastAsia="Calibri" w:hAnsi="Calibri" w:cs="Arial"/>
                <w:color w:val="0070C0"/>
                <w:kern w:val="0"/>
                <w14:ligatures w14:val="none"/>
              </w:rPr>
            </w:pPr>
            <w:r w:rsidRPr="00D56BF9">
              <w:rPr>
                <w:rFonts w:ascii="Calibri" w:eastAsia="Calibri" w:hAnsi="Calibri" w:cs="Arial"/>
                <w:color w:val="0070C0"/>
                <w:kern w:val="0"/>
                <w14:ligatures w14:val="none"/>
              </w:rPr>
              <w:t>Se llevan a cabo en las sesiones 1, 4, 8, 12, 14 y 15. Tienen un valor formativo y no sumativo.</w:t>
            </w:r>
          </w:p>
        </w:tc>
        <w:tc>
          <w:tcPr>
            <w:tcW w:w="1203" w:type="dxa"/>
            <w:vAlign w:val="center"/>
          </w:tcPr>
          <w:p w14:paraId="3E60C3B8" w14:textId="77777777" w:rsidR="00D56BF9" w:rsidRPr="00D56BF9" w:rsidRDefault="00D56BF9" w:rsidP="00D56BF9">
            <w:pPr>
              <w:widowControl w:val="0"/>
              <w:overflowPunct w:val="0"/>
              <w:autoSpaceDE w:val="0"/>
              <w:autoSpaceDN w:val="0"/>
              <w:adjustRightInd w:val="0"/>
              <w:spacing w:before="120" w:after="0" w:line="240" w:lineRule="auto"/>
              <w:jc w:val="center"/>
              <w:rPr>
                <w:rFonts w:ascii="Calibri" w:eastAsia="Calibri" w:hAnsi="Calibri" w:cs="Arial"/>
                <w:color w:val="0070C0"/>
                <w:kern w:val="0"/>
                <w14:ligatures w14:val="none"/>
              </w:rPr>
            </w:pPr>
            <w:r w:rsidRPr="00D56BF9">
              <w:rPr>
                <w:rFonts w:ascii="Calibri" w:eastAsia="Times New Roman" w:hAnsi="Calibri" w:cs="Calibri"/>
                <w:color w:val="0070C0"/>
                <w:kern w:val="0"/>
                <w:lang w:val="es-ES_tradnl" w:eastAsia="es-CR"/>
                <w14:ligatures w14:val="none"/>
              </w:rPr>
              <w:t>̶</w:t>
            </w:r>
          </w:p>
        </w:tc>
      </w:tr>
      <w:tr w:rsidR="00D56BF9" w:rsidRPr="00D56BF9" w14:paraId="7CAD31A9" w14:textId="77777777" w:rsidTr="00104785">
        <w:tc>
          <w:tcPr>
            <w:tcW w:w="7905" w:type="dxa"/>
          </w:tcPr>
          <w:p w14:paraId="5D86DC7F" w14:textId="77777777" w:rsidR="00D56BF9" w:rsidRPr="00D56BF9" w:rsidRDefault="00D56BF9" w:rsidP="00D56BF9">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i/>
                <w:color w:val="000000"/>
                <w:kern w:val="0"/>
                <w14:ligatures w14:val="none"/>
              </w:rPr>
            </w:pPr>
            <w:r w:rsidRPr="00D56BF9">
              <w:rPr>
                <w:rFonts w:ascii="Calibri" w:eastAsia="Calibri" w:hAnsi="Calibri" w:cs="Arial"/>
                <w:b/>
                <w:bCs/>
                <w:i/>
                <w:color w:val="000000"/>
                <w:kern w:val="0"/>
                <w14:ligatures w14:val="none"/>
              </w:rPr>
              <w:t>Reseñas críticas de lecturas</w:t>
            </w:r>
          </w:p>
          <w:p w14:paraId="19C5EC79" w14:textId="77777777" w:rsidR="00D56BF9" w:rsidRPr="00D56BF9" w:rsidRDefault="00D56BF9" w:rsidP="00D56BF9">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i/>
                <w:color w:val="000000"/>
                <w:kern w:val="0"/>
                <w14:ligatures w14:val="none"/>
              </w:rPr>
            </w:pPr>
            <w:r w:rsidRPr="00D56BF9">
              <w:rPr>
                <w:rFonts w:ascii="Calibri" w:eastAsia="Calibri" w:hAnsi="Calibri" w:cs="Arial"/>
                <w:iCs/>
                <w:color w:val="000000"/>
                <w:kern w:val="0"/>
                <w14:ligatures w14:val="none"/>
              </w:rPr>
              <w:t>Se elaboran en las sesiones 2, 8 y 13. Cada reseña tiene un valor de 5%.</w:t>
            </w:r>
          </w:p>
        </w:tc>
        <w:tc>
          <w:tcPr>
            <w:tcW w:w="1203" w:type="dxa"/>
            <w:vAlign w:val="center"/>
          </w:tcPr>
          <w:p w14:paraId="590DACDB" w14:textId="77777777" w:rsidR="00D56BF9" w:rsidRPr="00D56BF9" w:rsidRDefault="00D56BF9" w:rsidP="00D56BF9">
            <w:pPr>
              <w:widowControl w:val="0"/>
              <w:overflowPunct w:val="0"/>
              <w:autoSpaceDE w:val="0"/>
              <w:autoSpaceDN w:val="0"/>
              <w:adjustRightInd w:val="0"/>
              <w:spacing w:before="120" w:after="0" w:line="240" w:lineRule="auto"/>
              <w:jc w:val="center"/>
              <w:rPr>
                <w:rFonts w:ascii="Calibri" w:eastAsia="Calibri" w:hAnsi="Calibri" w:cs="Arial"/>
                <w:color w:val="000000"/>
                <w:kern w:val="0"/>
                <w14:ligatures w14:val="none"/>
              </w:rPr>
            </w:pPr>
            <w:r w:rsidRPr="00D56BF9">
              <w:rPr>
                <w:rFonts w:ascii="Calibri" w:eastAsia="Calibri" w:hAnsi="Calibri" w:cs="Arial"/>
                <w:color w:val="000000"/>
                <w:kern w:val="0"/>
                <w14:ligatures w14:val="none"/>
              </w:rPr>
              <w:t>15%</w:t>
            </w:r>
          </w:p>
        </w:tc>
      </w:tr>
      <w:tr w:rsidR="00D56BF9" w:rsidRPr="00D56BF9" w14:paraId="3EA52E91" w14:textId="77777777" w:rsidTr="00104785">
        <w:tc>
          <w:tcPr>
            <w:tcW w:w="7905" w:type="dxa"/>
          </w:tcPr>
          <w:p w14:paraId="1B571403" w14:textId="77777777" w:rsidR="00D56BF9" w:rsidRPr="00D56BF9" w:rsidRDefault="00D56BF9" w:rsidP="00D56BF9">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i/>
                <w:color w:val="000000"/>
                <w:kern w:val="0"/>
                <w14:ligatures w14:val="none"/>
              </w:rPr>
            </w:pPr>
            <w:r w:rsidRPr="00D56BF9">
              <w:rPr>
                <w:rFonts w:ascii="Calibri" w:eastAsia="Calibri" w:hAnsi="Calibri" w:cs="Arial"/>
                <w:b/>
                <w:bCs/>
                <w:i/>
                <w:color w:val="000000"/>
                <w:kern w:val="0"/>
                <w14:ligatures w14:val="none"/>
              </w:rPr>
              <w:t>Foros temáticos</w:t>
            </w:r>
          </w:p>
          <w:p w14:paraId="76A7750D" w14:textId="77777777" w:rsidR="00D56BF9" w:rsidRPr="00D56BF9" w:rsidRDefault="00D56BF9" w:rsidP="00D56BF9">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i/>
                <w:color w:val="000000"/>
                <w:kern w:val="0"/>
                <w14:ligatures w14:val="none"/>
              </w:rPr>
            </w:pPr>
            <w:r w:rsidRPr="00D56BF9">
              <w:rPr>
                <w:rFonts w:ascii="Calibri" w:eastAsia="Calibri" w:hAnsi="Calibri" w:cs="Arial"/>
                <w:iCs/>
                <w:color w:val="000000"/>
                <w:kern w:val="0"/>
                <w14:ligatures w14:val="none"/>
              </w:rPr>
              <w:t>Se desarrollan en las sesiones 3, 7 y 11. Cada foro tiene un valor de 5%.</w:t>
            </w:r>
          </w:p>
        </w:tc>
        <w:tc>
          <w:tcPr>
            <w:tcW w:w="1203" w:type="dxa"/>
            <w:vAlign w:val="center"/>
          </w:tcPr>
          <w:p w14:paraId="11427C3F" w14:textId="77777777" w:rsidR="00D56BF9" w:rsidRPr="00D56BF9" w:rsidRDefault="00D56BF9" w:rsidP="00D56BF9">
            <w:pPr>
              <w:widowControl w:val="0"/>
              <w:overflowPunct w:val="0"/>
              <w:autoSpaceDE w:val="0"/>
              <w:autoSpaceDN w:val="0"/>
              <w:adjustRightInd w:val="0"/>
              <w:spacing w:before="120" w:after="0" w:line="240" w:lineRule="auto"/>
              <w:jc w:val="center"/>
              <w:rPr>
                <w:rFonts w:ascii="Calibri" w:eastAsia="Calibri" w:hAnsi="Calibri" w:cs="Arial"/>
                <w:color w:val="000000"/>
                <w:kern w:val="0"/>
                <w14:ligatures w14:val="none"/>
              </w:rPr>
            </w:pPr>
            <w:r w:rsidRPr="00D56BF9">
              <w:rPr>
                <w:rFonts w:ascii="Calibri" w:eastAsia="Calibri" w:hAnsi="Calibri" w:cs="Arial"/>
                <w:color w:val="000000"/>
                <w:kern w:val="0"/>
                <w14:ligatures w14:val="none"/>
              </w:rPr>
              <w:t>15%</w:t>
            </w:r>
          </w:p>
        </w:tc>
      </w:tr>
      <w:tr w:rsidR="00D56BF9" w:rsidRPr="00D56BF9" w14:paraId="0EB204C5" w14:textId="77777777" w:rsidTr="00104785">
        <w:tc>
          <w:tcPr>
            <w:tcW w:w="7905" w:type="dxa"/>
          </w:tcPr>
          <w:p w14:paraId="61F8348F" w14:textId="77777777" w:rsidR="00D56BF9" w:rsidRPr="00D56BF9" w:rsidRDefault="00D56BF9" w:rsidP="00D56BF9">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i/>
                <w:iCs/>
                <w:color w:val="000000"/>
                <w:kern w:val="0"/>
                <w14:ligatures w14:val="none"/>
              </w:rPr>
            </w:pPr>
            <w:r w:rsidRPr="00D56BF9">
              <w:rPr>
                <w:rFonts w:ascii="Calibri" w:eastAsia="Calibri" w:hAnsi="Calibri" w:cs="Arial"/>
                <w:b/>
                <w:bCs/>
                <w:i/>
                <w:iCs/>
                <w:color w:val="000000"/>
                <w:kern w:val="0"/>
                <w14:ligatures w14:val="none"/>
              </w:rPr>
              <w:t>Glosario</w:t>
            </w:r>
          </w:p>
          <w:p w14:paraId="0A054185" w14:textId="77777777" w:rsidR="00D56BF9" w:rsidRPr="00D56BF9" w:rsidRDefault="00D56BF9" w:rsidP="00D56BF9">
            <w:pPr>
              <w:autoSpaceDE w:val="0"/>
              <w:autoSpaceDN w:val="0"/>
              <w:adjustRightInd w:val="0"/>
              <w:spacing w:after="0" w:line="240" w:lineRule="auto"/>
              <w:contextualSpacing/>
              <w:rPr>
                <w:rFonts w:ascii="Calibri" w:eastAsia="Calibri" w:hAnsi="Calibri" w:cs="Arial"/>
                <w:color w:val="000000"/>
                <w:kern w:val="0"/>
                <w14:ligatures w14:val="none"/>
              </w:rPr>
            </w:pPr>
            <w:r w:rsidRPr="00D56BF9">
              <w:rPr>
                <w:rFonts w:ascii="Calibri" w:eastAsia="Calibri" w:hAnsi="Calibri" w:cs="Arial"/>
                <w:color w:val="000000"/>
                <w:kern w:val="0"/>
                <w14:ligatures w14:val="none"/>
              </w:rPr>
              <w:t xml:space="preserve">Se desarrolla en la sesión 4. </w:t>
            </w:r>
          </w:p>
        </w:tc>
        <w:tc>
          <w:tcPr>
            <w:tcW w:w="1203" w:type="dxa"/>
            <w:vAlign w:val="center"/>
          </w:tcPr>
          <w:p w14:paraId="06AF508E" w14:textId="77777777" w:rsidR="00D56BF9" w:rsidRPr="00D56BF9" w:rsidRDefault="00D56BF9" w:rsidP="00D56BF9">
            <w:pPr>
              <w:widowControl w:val="0"/>
              <w:overflowPunct w:val="0"/>
              <w:autoSpaceDE w:val="0"/>
              <w:autoSpaceDN w:val="0"/>
              <w:adjustRightInd w:val="0"/>
              <w:spacing w:before="120" w:after="0" w:line="240" w:lineRule="auto"/>
              <w:jc w:val="center"/>
              <w:rPr>
                <w:rFonts w:ascii="Calibri" w:eastAsia="Calibri" w:hAnsi="Calibri" w:cs="Arial"/>
                <w:color w:val="000000"/>
                <w:kern w:val="0"/>
                <w14:ligatures w14:val="none"/>
              </w:rPr>
            </w:pPr>
            <w:r w:rsidRPr="00D56BF9">
              <w:rPr>
                <w:rFonts w:ascii="Calibri" w:eastAsia="Calibri" w:hAnsi="Calibri" w:cs="Arial"/>
                <w:color w:val="000000"/>
                <w:kern w:val="0"/>
                <w14:ligatures w14:val="none"/>
              </w:rPr>
              <w:t>5%</w:t>
            </w:r>
          </w:p>
        </w:tc>
      </w:tr>
      <w:tr w:rsidR="00D56BF9" w:rsidRPr="00D56BF9" w14:paraId="60B41B5F" w14:textId="77777777" w:rsidTr="00104785">
        <w:tc>
          <w:tcPr>
            <w:tcW w:w="7905" w:type="dxa"/>
          </w:tcPr>
          <w:p w14:paraId="5E6DC159" w14:textId="77777777" w:rsidR="00D56BF9" w:rsidRPr="00D56BF9" w:rsidRDefault="00D56BF9" w:rsidP="00D56BF9">
            <w:pPr>
              <w:autoSpaceDE w:val="0"/>
              <w:autoSpaceDN w:val="0"/>
              <w:adjustRightInd w:val="0"/>
              <w:spacing w:after="0" w:line="240" w:lineRule="auto"/>
              <w:contextualSpacing/>
              <w:rPr>
                <w:rFonts w:ascii="Calibri" w:eastAsia="Calibri" w:hAnsi="Calibri" w:cs="Arial"/>
                <w:b/>
                <w:i/>
                <w:color w:val="000000"/>
                <w:kern w:val="0"/>
                <w14:ligatures w14:val="none"/>
              </w:rPr>
            </w:pPr>
            <w:r w:rsidRPr="00D56BF9">
              <w:rPr>
                <w:rFonts w:ascii="Calibri" w:eastAsia="Calibri" w:hAnsi="Calibri" w:cs="Arial"/>
                <w:b/>
                <w:i/>
                <w:color w:val="000000"/>
                <w:kern w:val="0"/>
                <w14:ligatures w14:val="none"/>
              </w:rPr>
              <w:t>Ensayos</w:t>
            </w:r>
          </w:p>
          <w:p w14:paraId="339F4D9F" w14:textId="77777777" w:rsidR="00D56BF9" w:rsidRPr="00D56BF9" w:rsidRDefault="00D56BF9" w:rsidP="00D56BF9">
            <w:pPr>
              <w:autoSpaceDE w:val="0"/>
              <w:autoSpaceDN w:val="0"/>
              <w:adjustRightInd w:val="0"/>
              <w:spacing w:after="0" w:line="240" w:lineRule="auto"/>
              <w:contextualSpacing/>
              <w:rPr>
                <w:rFonts w:ascii="Calibri" w:eastAsia="Calibri" w:hAnsi="Calibri" w:cs="Arial"/>
                <w:b/>
                <w:i/>
                <w:color w:val="000000"/>
                <w:kern w:val="0"/>
                <w14:ligatures w14:val="none"/>
              </w:rPr>
            </w:pPr>
            <w:r w:rsidRPr="00D56BF9">
              <w:rPr>
                <w:rFonts w:ascii="Calibri" w:eastAsia="Calibri" w:hAnsi="Calibri" w:cs="Arial"/>
                <w:bCs/>
                <w:iCs/>
                <w:color w:val="000000"/>
                <w:kern w:val="0"/>
                <w14:ligatures w14:val="none"/>
              </w:rPr>
              <w:t xml:space="preserve">Se elaboran dos ensayos, los cuales tiene un valor de </w:t>
            </w:r>
            <w:r w:rsidRPr="00D56BF9">
              <w:rPr>
                <w:rFonts w:ascii="Calibri" w:eastAsia="Calibri" w:hAnsi="Calibri" w:cs="Arial"/>
                <w:bCs/>
                <w:iCs/>
                <w:color w:val="0070C0"/>
                <w:kern w:val="0"/>
                <w14:ligatures w14:val="none"/>
              </w:rPr>
              <w:t xml:space="preserve">12,5% </w:t>
            </w:r>
            <w:r w:rsidRPr="00D56BF9">
              <w:rPr>
                <w:rFonts w:ascii="Calibri" w:eastAsia="Calibri" w:hAnsi="Calibri" w:cs="Arial"/>
                <w:bCs/>
                <w:iCs/>
                <w:color w:val="000000"/>
                <w:kern w:val="0"/>
                <w14:ligatures w14:val="none"/>
              </w:rPr>
              <w:t>cada uno y se distribuyen de la siguiente forma:</w:t>
            </w:r>
          </w:p>
          <w:p w14:paraId="0171A1E2" w14:textId="77777777" w:rsidR="00D56BF9" w:rsidRPr="00D56BF9" w:rsidRDefault="00D56BF9" w:rsidP="00D56BF9">
            <w:pPr>
              <w:autoSpaceDE w:val="0"/>
              <w:autoSpaceDN w:val="0"/>
              <w:adjustRightInd w:val="0"/>
              <w:spacing w:after="0" w:line="240" w:lineRule="auto"/>
              <w:contextualSpacing/>
              <w:rPr>
                <w:rFonts w:ascii="Calibri" w:eastAsia="Calibri" w:hAnsi="Calibri" w:cs="Arial"/>
                <w:color w:val="000000"/>
                <w:kern w:val="0"/>
                <w14:ligatures w14:val="none"/>
              </w:rPr>
            </w:pPr>
            <w:r w:rsidRPr="00D56BF9">
              <w:rPr>
                <w:rFonts w:ascii="Calibri" w:eastAsia="Calibri" w:hAnsi="Calibri" w:cs="Arial"/>
                <w:bCs/>
                <w:iCs/>
                <w:color w:val="000000"/>
                <w:kern w:val="0"/>
                <w14:ligatures w14:val="none"/>
              </w:rPr>
              <w:t xml:space="preserve">- Ensayo sobre </w:t>
            </w:r>
            <w:r w:rsidRPr="00D56BF9">
              <w:rPr>
                <w:rFonts w:ascii="Calibri" w:eastAsia="Calibri" w:hAnsi="Calibri" w:cs="Arial"/>
                <w:color w:val="000000"/>
                <w:kern w:val="0"/>
                <w14:ligatures w14:val="none"/>
              </w:rPr>
              <w:t>el evangelio de Marcos a partir de la noción de herejía (sesión 6).</w:t>
            </w:r>
          </w:p>
          <w:p w14:paraId="7F5C1BC3" w14:textId="77777777" w:rsidR="00D56BF9" w:rsidRPr="00D56BF9" w:rsidRDefault="00D56BF9" w:rsidP="00D56BF9">
            <w:pPr>
              <w:autoSpaceDE w:val="0"/>
              <w:autoSpaceDN w:val="0"/>
              <w:adjustRightInd w:val="0"/>
              <w:spacing w:after="0" w:line="240" w:lineRule="auto"/>
              <w:contextualSpacing/>
              <w:rPr>
                <w:rFonts w:ascii="Calibri" w:eastAsia="Calibri" w:hAnsi="Calibri" w:cs="Arial"/>
                <w:b/>
                <w:i/>
                <w:color w:val="000000"/>
                <w:kern w:val="0"/>
                <w14:ligatures w14:val="none"/>
              </w:rPr>
            </w:pPr>
            <w:r w:rsidRPr="00D56BF9">
              <w:rPr>
                <w:rFonts w:ascii="Calibri" w:eastAsia="Calibri" w:hAnsi="Calibri" w:cs="Arial"/>
                <w:color w:val="000000"/>
                <w:kern w:val="0"/>
                <w14:ligatures w14:val="none"/>
              </w:rPr>
              <w:t xml:space="preserve">- Ensayo sobre las ideas teológicas relacionadas a la comunidad </w:t>
            </w:r>
            <w:proofErr w:type="spellStart"/>
            <w:r w:rsidRPr="00D56BF9">
              <w:rPr>
                <w:rFonts w:ascii="Calibri" w:eastAsia="Calibri" w:hAnsi="Calibri" w:cs="Arial"/>
                <w:color w:val="000000"/>
                <w:kern w:val="0"/>
                <w14:ligatures w14:val="none"/>
              </w:rPr>
              <w:t>marcana</w:t>
            </w:r>
            <w:proofErr w:type="spellEnd"/>
            <w:r w:rsidRPr="00D56BF9">
              <w:rPr>
                <w:rFonts w:ascii="Calibri" w:eastAsia="Calibri" w:hAnsi="Calibri" w:cs="Arial"/>
                <w:color w:val="000000"/>
                <w:kern w:val="0"/>
                <w14:ligatures w14:val="none"/>
              </w:rPr>
              <w:t xml:space="preserve"> (sesión 10).</w:t>
            </w:r>
          </w:p>
        </w:tc>
        <w:tc>
          <w:tcPr>
            <w:tcW w:w="1203" w:type="dxa"/>
            <w:vAlign w:val="center"/>
          </w:tcPr>
          <w:p w14:paraId="0BA1FEAE" w14:textId="77777777" w:rsidR="00D56BF9" w:rsidRPr="00D56BF9" w:rsidRDefault="00D56BF9" w:rsidP="00D56BF9">
            <w:pPr>
              <w:widowControl w:val="0"/>
              <w:overflowPunct w:val="0"/>
              <w:autoSpaceDE w:val="0"/>
              <w:autoSpaceDN w:val="0"/>
              <w:adjustRightInd w:val="0"/>
              <w:spacing w:before="120" w:after="0" w:line="240" w:lineRule="auto"/>
              <w:jc w:val="center"/>
              <w:rPr>
                <w:rFonts w:ascii="Calibri" w:eastAsia="Calibri" w:hAnsi="Calibri" w:cs="Arial"/>
                <w:color w:val="000000"/>
                <w:kern w:val="0"/>
                <w14:ligatures w14:val="none"/>
              </w:rPr>
            </w:pPr>
            <w:r w:rsidRPr="00D56BF9">
              <w:rPr>
                <w:rFonts w:ascii="Calibri" w:eastAsia="Calibri" w:hAnsi="Calibri" w:cs="Arial"/>
                <w:color w:val="0070C0"/>
                <w:kern w:val="0"/>
                <w14:ligatures w14:val="none"/>
              </w:rPr>
              <w:t>25%</w:t>
            </w:r>
          </w:p>
        </w:tc>
      </w:tr>
      <w:tr w:rsidR="00D56BF9" w:rsidRPr="00D56BF9" w14:paraId="05953E95" w14:textId="77777777" w:rsidTr="00104785">
        <w:tc>
          <w:tcPr>
            <w:tcW w:w="7905" w:type="dxa"/>
          </w:tcPr>
          <w:p w14:paraId="788AF442" w14:textId="77777777" w:rsidR="00D56BF9" w:rsidRPr="00D56BF9" w:rsidRDefault="00D56BF9" w:rsidP="00D56BF9">
            <w:pPr>
              <w:widowControl w:val="0"/>
              <w:overflowPunct w:val="0"/>
              <w:autoSpaceDE w:val="0"/>
              <w:autoSpaceDN w:val="0"/>
              <w:adjustRightInd w:val="0"/>
              <w:spacing w:after="0" w:line="240" w:lineRule="auto"/>
              <w:rPr>
                <w:rFonts w:ascii="Calibri" w:eastAsia="Times New Roman" w:hAnsi="Calibri" w:cs="Arial"/>
                <w:b/>
                <w:i/>
                <w:color w:val="000000"/>
                <w:kern w:val="0"/>
                <w:szCs w:val="18"/>
                <w:lang w:val="es-ES_tradnl" w:eastAsia="es-CR"/>
                <w14:ligatures w14:val="none"/>
              </w:rPr>
            </w:pPr>
            <w:r w:rsidRPr="00D56BF9">
              <w:rPr>
                <w:rFonts w:ascii="Calibri" w:eastAsia="Times New Roman" w:hAnsi="Calibri" w:cs="Arial"/>
                <w:b/>
                <w:i/>
                <w:color w:val="000000"/>
                <w:kern w:val="0"/>
                <w:szCs w:val="18"/>
                <w:lang w:val="es-ES_tradnl" w:eastAsia="es-CR"/>
                <w14:ligatures w14:val="none"/>
              </w:rPr>
              <w:t>Mapa conceptual</w:t>
            </w:r>
          </w:p>
          <w:p w14:paraId="05C985A3" w14:textId="77777777" w:rsidR="00D56BF9" w:rsidRPr="00D56BF9" w:rsidRDefault="00D56BF9" w:rsidP="00D56BF9">
            <w:pPr>
              <w:widowControl w:val="0"/>
              <w:overflowPunct w:val="0"/>
              <w:autoSpaceDE w:val="0"/>
              <w:autoSpaceDN w:val="0"/>
              <w:adjustRightInd w:val="0"/>
              <w:spacing w:after="0" w:line="240" w:lineRule="auto"/>
              <w:rPr>
                <w:rFonts w:ascii="Calibri" w:eastAsia="Times New Roman" w:hAnsi="Calibri" w:cs="Arial"/>
                <w:bCs/>
                <w:iCs/>
                <w:color w:val="000000"/>
                <w:kern w:val="0"/>
                <w:szCs w:val="18"/>
                <w:lang w:val="es-ES_tradnl" w:eastAsia="es-CR"/>
                <w14:ligatures w14:val="none"/>
              </w:rPr>
            </w:pPr>
            <w:r w:rsidRPr="00D56BF9">
              <w:rPr>
                <w:rFonts w:ascii="Calibri" w:eastAsia="Times New Roman" w:hAnsi="Calibri" w:cs="Arial"/>
                <w:bCs/>
                <w:iCs/>
                <w:color w:val="000000"/>
                <w:kern w:val="0"/>
                <w:szCs w:val="18"/>
                <w:lang w:val="es-ES_tradnl" w:eastAsia="es-CR"/>
                <w14:ligatures w14:val="none"/>
              </w:rPr>
              <w:t>Se elabora en la sesión 12.</w:t>
            </w:r>
          </w:p>
        </w:tc>
        <w:tc>
          <w:tcPr>
            <w:tcW w:w="1203" w:type="dxa"/>
            <w:vAlign w:val="center"/>
          </w:tcPr>
          <w:p w14:paraId="1F1862DB" w14:textId="77777777" w:rsidR="00D56BF9" w:rsidRPr="00D56BF9" w:rsidRDefault="00D56BF9" w:rsidP="00D56BF9">
            <w:pPr>
              <w:widowControl w:val="0"/>
              <w:overflowPunct w:val="0"/>
              <w:autoSpaceDE w:val="0"/>
              <w:autoSpaceDN w:val="0"/>
              <w:adjustRightInd w:val="0"/>
              <w:spacing w:after="0" w:line="240" w:lineRule="auto"/>
              <w:jc w:val="center"/>
              <w:rPr>
                <w:rFonts w:ascii="Calibri" w:eastAsia="Calibri" w:hAnsi="Calibri" w:cs="Arial"/>
                <w:color w:val="000000"/>
                <w:kern w:val="0"/>
                <w14:ligatures w14:val="none"/>
              </w:rPr>
            </w:pPr>
            <w:r w:rsidRPr="00D56BF9">
              <w:rPr>
                <w:rFonts w:ascii="Calibri" w:eastAsia="Calibri" w:hAnsi="Calibri" w:cs="Arial"/>
                <w:color w:val="000000"/>
                <w:kern w:val="0"/>
                <w14:ligatures w14:val="none"/>
              </w:rPr>
              <w:t>5%</w:t>
            </w:r>
          </w:p>
        </w:tc>
      </w:tr>
      <w:tr w:rsidR="00D56BF9" w:rsidRPr="00D56BF9" w14:paraId="3EA2C504" w14:textId="77777777" w:rsidTr="00104785">
        <w:tc>
          <w:tcPr>
            <w:tcW w:w="7905" w:type="dxa"/>
          </w:tcPr>
          <w:p w14:paraId="498E977F" w14:textId="77777777" w:rsidR="00D56BF9" w:rsidRPr="00D56BF9" w:rsidRDefault="00D56BF9" w:rsidP="00D56BF9">
            <w:pPr>
              <w:widowControl w:val="0"/>
              <w:overflowPunct w:val="0"/>
              <w:autoSpaceDE w:val="0"/>
              <w:autoSpaceDN w:val="0"/>
              <w:adjustRightInd w:val="0"/>
              <w:spacing w:after="0" w:line="240" w:lineRule="auto"/>
              <w:rPr>
                <w:rFonts w:ascii="Calibri" w:eastAsia="Times New Roman" w:hAnsi="Calibri" w:cs="Arial"/>
                <w:b/>
                <w:i/>
                <w:color w:val="000000"/>
                <w:kern w:val="0"/>
                <w:szCs w:val="18"/>
                <w:lang w:val="es-ES_tradnl" w:eastAsia="es-CR"/>
                <w14:ligatures w14:val="none"/>
              </w:rPr>
            </w:pPr>
            <w:r w:rsidRPr="00D56BF9">
              <w:rPr>
                <w:rFonts w:ascii="Calibri" w:eastAsia="Times New Roman" w:hAnsi="Calibri" w:cs="Arial"/>
                <w:b/>
                <w:i/>
                <w:color w:val="000000"/>
                <w:kern w:val="0"/>
                <w:szCs w:val="18"/>
                <w:lang w:val="es-ES_tradnl" w:eastAsia="es-CR"/>
                <w14:ligatures w14:val="none"/>
              </w:rPr>
              <w:t>Trabajo de investigación</w:t>
            </w:r>
          </w:p>
          <w:p w14:paraId="7E56B3E8" w14:textId="77777777" w:rsidR="00D56BF9" w:rsidRPr="00D56BF9" w:rsidRDefault="00D56BF9" w:rsidP="00D56BF9">
            <w:pPr>
              <w:widowControl w:val="0"/>
              <w:overflowPunct w:val="0"/>
              <w:autoSpaceDE w:val="0"/>
              <w:autoSpaceDN w:val="0"/>
              <w:adjustRightInd w:val="0"/>
              <w:spacing w:after="0" w:line="240" w:lineRule="auto"/>
              <w:rPr>
                <w:rFonts w:ascii="Calibri" w:eastAsia="Times New Roman" w:hAnsi="Calibri" w:cs="Arial"/>
                <w:bCs/>
                <w:iCs/>
                <w:color w:val="000000"/>
                <w:kern w:val="0"/>
                <w:szCs w:val="18"/>
                <w:lang w:val="es-ES_tradnl" w:eastAsia="es-CR"/>
                <w14:ligatures w14:val="none"/>
              </w:rPr>
            </w:pPr>
            <w:r w:rsidRPr="00D56BF9">
              <w:rPr>
                <w:rFonts w:ascii="Calibri" w:eastAsia="Times New Roman" w:hAnsi="Calibri" w:cs="Arial"/>
                <w:bCs/>
                <w:iCs/>
                <w:color w:val="000000"/>
                <w:kern w:val="0"/>
                <w:szCs w:val="18"/>
                <w:lang w:val="es-ES_tradnl" w:eastAsia="es-CR"/>
                <w14:ligatures w14:val="none"/>
              </w:rPr>
              <w:t>Se desarrolla desde la sesión 5 hasta la 15 de la siguiente forma:</w:t>
            </w:r>
          </w:p>
          <w:p w14:paraId="5F40C424" w14:textId="77777777" w:rsidR="00D56BF9" w:rsidRPr="00D56BF9" w:rsidRDefault="00D56BF9" w:rsidP="00D56BF9">
            <w:pPr>
              <w:widowControl w:val="0"/>
              <w:overflowPunct w:val="0"/>
              <w:autoSpaceDE w:val="0"/>
              <w:autoSpaceDN w:val="0"/>
              <w:adjustRightInd w:val="0"/>
              <w:spacing w:after="0" w:line="240" w:lineRule="auto"/>
              <w:rPr>
                <w:rFonts w:ascii="Calibri" w:eastAsia="Times New Roman" w:hAnsi="Calibri" w:cs="Arial"/>
                <w:bCs/>
                <w:iCs/>
                <w:color w:val="000000"/>
                <w:kern w:val="0"/>
                <w:szCs w:val="18"/>
                <w:lang w:val="es-ES_tradnl" w:eastAsia="es-CR"/>
                <w14:ligatures w14:val="none"/>
              </w:rPr>
            </w:pPr>
            <w:r w:rsidRPr="00D56BF9">
              <w:rPr>
                <w:rFonts w:ascii="Calibri" w:eastAsia="Times New Roman" w:hAnsi="Calibri" w:cs="Arial"/>
                <w:bCs/>
                <w:iCs/>
                <w:color w:val="000000"/>
                <w:kern w:val="0"/>
                <w:szCs w:val="18"/>
                <w:lang w:val="es-ES_tradnl" w:eastAsia="es-CR"/>
                <w14:ligatures w14:val="none"/>
              </w:rPr>
              <w:t>- Tema, objetivos y bibliografía preliminar (sesión 5).</w:t>
            </w:r>
          </w:p>
          <w:p w14:paraId="52B17277" w14:textId="77777777" w:rsidR="00D56BF9" w:rsidRPr="00D56BF9" w:rsidRDefault="00D56BF9" w:rsidP="00D56BF9">
            <w:pPr>
              <w:widowControl w:val="0"/>
              <w:overflowPunct w:val="0"/>
              <w:autoSpaceDE w:val="0"/>
              <w:autoSpaceDN w:val="0"/>
              <w:adjustRightInd w:val="0"/>
              <w:spacing w:after="0" w:line="240" w:lineRule="auto"/>
              <w:rPr>
                <w:rFonts w:ascii="Calibri" w:eastAsia="Times New Roman" w:hAnsi="Calibri" w:cs="Arial"/>
                <w:bCs/>
                <w:iCs/>
                <w:color w:val="000000"/>
                <w:kern w:val="0"/>
                <w:szCs w:val="18"/>
                <w:lang w:val="es-ES_tradnl" w:eastAsia="es-CR"/>
                <w14:ligatures w14:val="none"/>
              </w:rPr>
            </w:pPr>
            <w:r w:rsidRPr="00D56BF9">
              <w:rPr>
                <w:rFonts w:ascii="Calibri" w:eastAsia="Times New Roman" w:hAnsi="Calibri" w:cs="Arial"/>
                <w:bCs/>
                <w:iCs/>
                <w:color w:val="000000"/>
                <w:kern w:val="0"/>
                <w:szCs w:val="18"/>
                <w:lang w:val="es-ES_tradnl" w:eastAsia="es-CR"/>
                <w14:ligatures w14:val="none"/>
              </w:rPr>
              <w:t>- Primer avance (sesión 9).</w:t>
            </w:r>
          </w:p>
          <w:p w14:paraId="7C8133D1" w14:textId="77777777" w:rsidR="00D56BF9" w:rsidRPr="00D56BF9" w:rsidRDefault="00D56BF9" w:rsidP="00D56BF9">
            <w:pPr>
              <w:widowControl w:val="0"/>
              <w:overflowPunct w:val="0"/>
              <w:autoSpaceDE w:val="0"/>
              <w:autoSpaceDN w:val="0"/>
              <w:adjustRightInd w:val="0"/>
              <w:spacing w:after="0" w:line="240" w:lineRule="auto"/>
              <w:rPr>
                <w:rFonts w:ascii="Calibri" w:eastAsia="Times New Roman" w:hAnsi="Calibri" w:cs="Arial"/>
                <w:bCs/>
                <w:iCs/>
                <w:color w:val="000000"/>
                <w:kern w:val="0"/>
                <w:szCs w:val="18"/>
                <w:lang w:val="es-ES_tradnl" w:eastAsia="es-CR"/>
                <w14:ligatures w14:val="none"/>
              </w:rPr>
            </w:pPr>
            <w:r w:rsidRPr="00D56BF9">
              <w:rPr>
                <w:rFonts w:ascii="Calibri" w:eastAsia="Times New Roman" w:hAnsi="Calibri" w:cs="Arial"/>
                <w:bCs/>
                <w:iCs/>
                <w:color w:val="000000"/>
                <w:kern w:val="0"/>
                <w:szCs w:val="18"/>
                <w:lang w:val="es-ES_tradnl" w:eastAsia="es-CR"/>
                <w14:ligatures w14:val="none"/>
              </w:rPr>
              <w:t>- Segundo avance (sesión 13).</w:t>
            </w:r>
          </w:p>
          <w:p w14:paraId="03ADCB0C" w14:textId="77777777" w:rsidR="00D56BF9" w:rsidRPr="00D56BF9" w:rsidRDefault="00D56BF9" w:rsidP="00D56BF9">
            <w:pPr>
              <w:widowControl w:val="0"/>
              <w:overflowPunct w:val="0"/>
              <w:autoSpaceDE w:val="0"/>
              <w:autoSpaceDN w:val="0"/>
              <w:adjustRightInd w:val="0"/>
              <w:spacing w:after="0" w:line="240" w:lineRule="auto"/>
              <w:rPr>
                <w:rFonts w:ascii="Calibri" w:eastAsia="Times New Roman" w:hAnsi="Calibri" w:cs="Arial"/>
                <w:bCs/>
                <w:iCs/>
                <w:color w:val="000000"/>
                <w:kern w:val="0"/>
                <w:szCs w:val="18"/>
                <w:lang w:val="es-ES_tradnl" w:eastAsia="es-CR"/>
                <w14:ligatures w14:val="none"/>
              </w:rPr>
            </w:pPr>
            <w:r w:rsidRPr="00D56BF9">
              <w:rPr>
                <w:rFonts w:ascii="Calibri" w:eastAsia="Times New Roman" w:hAnsi="Calibri" w:cs="Arial"/>
                <w:bCs/>
                <w:iCs/>
                <w:color w:val="000000"/>
                <w:kern w:val="0"/>
                <w:szCs w:val="18"/>
                <w:lang w:val="es-ES_tradnl" w:eastAsia="es-CR"/>
                <w14:ligatures w14:val="none"/>
              </w:rPr>
              <w:t>- Versión final (sesión 15).</w:t>
            </w:r>
          </w:p>
          <w:p w14:paraId="3D53310C" w14:textId="77777777" w:rsidR="00D56BF9" w:rsidRPr="00D56BF9" w:rsidRDefault="00D56BF9" w:rsidP="00D56BF9">
            <w:pPr>
              <w:widowControl w:val="0"/>
              <w:overflowPunct w:val="0"/>
              <w:autoSpaceDE w:val="0"/>
              <w:autoSpaceDN w:val="0"/>
              <w:adjustRightInd w:val="0"/>
              <w:spacing w:after="0" w:line="240" w:lineRule="auto"/>
              <w:rPr>
                <w:rFonts w:ascii="Calibri" w:eastAsia="Times New Roman" w:hAnsi="Calibri" w:cs="Arial"/>
                <w:bCs/>
                <w:iCs/>
                <w:color w:val="000000"/>
                <w:kern w:val="0"/>
                <w:szCs w:val="18"/>
                <w:lang w:val="es-ES_tradnl" w:eastAsia="es-CR"/>
                <w14:ligatures w14:val="none"/>
              </w:rPr>
            </w:pPr>
            <w:r w:rsidRPr="00D56BF9">
              <w:rPr>
                <w:rFonts w:ascii="Calibri" w:eastAsia="Times New Roman" w:hAnsi="Calibri" w:cs="Arial"/>
                <w:bCs/>
                <w:iCs/>
                <w:color w:val="000000"/>
                <w:kern w:val="0"/>
                <w:szCs w:val="18"/>
                <w:lang w:val="es-ES_tradnl" w:eastAsia="es-CR"/>
                <w14:ligatures w14:val="none"/>
              </w:rPr>
              <w:t>- Presentación oral en las sesiones 14 y 15 según asignación docente.</w:t>
            </w:r>
          </w:p>
        </w:tc>
        <w:tc>
          <w:tcPr>
            <w:tcW w:w="1203" w:type="dxa"/>
            <w:vAlign w:val="center"/>
          </w:tcPr>
          <w:p w14:paraId="3B8D8136" w14:textId="77777777" w:rsidR="00D56BF9" w:rsidRPr="00D56BF9" w:rsidRDefault="00D56BF9" w:rsidP="00D56BF9">
            <w:pPr>
              <w:widowControl w:val="0"/>
              <w:overflowPunct w:val="0"/>
              <w:autoSpaceDE w:val="0"/>
              <w:autoSpaceDN w:val="0"/>
              <w:adjustRightInd w:val="0"/>
              <w:spacing w:after="0" w:line="240" w:lineRule="auto"/>
              <w:jc w:val="center"/>
              <w:rPr>
                <w:rFonts w:ascii="Calibri" w:eastAsia="Calibri" w:hAnsi="Calibri" w:cs="Arial"/>
                <w:color w:val="000000"/>
                <w:kern w:val="0"/>
                <w14:ligatures w14:val="none"/>
              </w:rPr>
            </w:pPr>
            <w:r w:rsidRPr="00D56BF9">
              <w:rPr>
                <w:rFonts w:ascii="Calibri" w:eastAsia="Calibri" w:hAnsi="Calibri" w:cs="Arial"/>
                <w:color w:val="0070C0"/>
                <w:kern w:val="0"/>
                <w14:ligatures w14:val="none"/>
              </w:rPr>
              <w:t>35%</w:t>
            </w:r>
          </w:p>
        </w:tc>
      </w:tr>
      <w:tr w:rsidR="00D56BF9" w:rsidRPr="00D56BF9" w14:paraId="47863256" w14:textId="77777777" w:rsidTr="00104785">
        <w:tc>
          <w:tcPr>
            <w:tcW w:w="7905" w:type="dxa"/>
          </w:tcPr>
          <w:p w14:paraId="056D007A" w14:textId="77777777" w:rsidR="00D56BF9" w:rsidRPr="00D56BF9" w:rsidRDefault="00D56BF9" w:rsidP="00D56BF9">
            <w:pPr>
              <w:widowControl w:val="0"/>
              <w:numPr>
                <w:ilvl w:val="0"/>
                <w:numId w:val="5"/>
              </w:numPr>
              <w:overflowPunct w:val="0"/>
              <w:autoSpaceDE w:val="0"/>
              <w:autoSpaceDN w:val="0"/>
              <w:adjustRightInd w:val="0"/>
              <w:spacing w:before="120" w:after="0" w:line="240" w:lineRule="auto"/>
              <w:ind w:left="0"/>
              <w:contextualSpacing/>
              <w:rPr>
                <w:rFonts w:ascii="Calibri" w:eastAsia="Calibri" w:hAnsi="Calibri" w:cs="Arial"/>
                <w:b/>
                <w:i/>
                <w:color w:val="000000"/>
                <w:kern w:val="0"/>
                <w14:ligatures w14:val="none"/>
              </w:rPr>
            </w:pPr>
            <w:r w:rsidRPr="00D56BF9">
              <w:rPr>
                <w:rFonts w:ascii="Calibri" w:eastAsia="Calibri" w:hAnsi="Calibri" w:cs="Arial"/>
                <w:b/>
                <w:iCs/>
                <w:color w:val="000000"/>
                <w:kern w:val="0"/>
                <w14:ligatures w14:val="none"/>
              </w:rPr>
              <w:t>Total</w:t>
            </w:r>
          </w:p>
        </w:tc>
        <w:tc>
          <w:tcPr>
            <w:tcW w:w="1203" w:type="dxa"/>
          </w:tcPr>
          <w:p w14:paraId="41B7E984" w14:textId="77777777" w:rsidR="00D56BF9" w:rsidRPr="00D56BF9" w:rsidRDefault="00D56BF9" w:rsidP="00D56BF9">
            <w:pPr>
              <w:autoSpaceDE w:val="0"/>
              <w:autoSpaceDN w:val="0"/>
              <w:adjustRightInd w:val="0"/>
              <w:spacing w:after="0" w:line="240" w:lineRule="auto"/>
              <w:contextualSpacing/>
              <w:jc w:val="center"/>
              <w:rPr>
                <w:rFonts w:ascii="Calibri" w:eastAsia="Calibri" w:hAnsi="Calibri" w:cs="Arial"/>
                <w:iCs/>
                <w:color w:val="000000"/>
                <w:kern w:val="0"/>
                <w14:ligatures w14:val="none"/>
              </w:rPr>
            </w:pPr>
            <w:r w:rsidRPr="00D56BF9">
              <w:rPr>
                <w:rFonts w:ascii="Calibri" w:eastAsia="Calibri" w:hAnsi="Calibri" w:cs="Arial"/>
                <w:b/>
                <w:iCs/>
                <w:color w:val="000000"/>
                <w:kern w:val="0"/>
                <w14:ligatures w14:val="none"/>
              </w:rPr>
              <w:t>100%</w:t>
            </w:r>
          </w:p>
        </w:tc>
      </w:tr>
    </w:tbl>
    <w:p w14:paraId="0245EEBA" w14:textId="77777777" w:rsidR="00D56BF9" w:rsidRPr="00D56BF9" w:rsidRDefault="00D56BF9" w:rsidP="00D56BF9">
      <w:pPr>
        <w:widowControl w:val="0"/>
        <w:overflowPunct w:val="0"/>
        <w:autoSpaceDE w:val="0"/>
        <w:autoSpaceDN w:val="0"/>
        <w:adjustRightInd w:val="0"/>
        <w:spacing w:after="0" w:line="240" w:lineRule="auto"/>
        <w:jc w:val="both"/>
        <w:rPr>
          <w:rFonts w:ascii="Calibri" w:eastAsia="Times New Roman" w:hAnsi="Calibri" w:cs="Arial"/>
          <w:color w:val="000000"/>
          <w:kern w:val="0"/>
          <w14:ligatures w14:val="none"/>
        </w:rPr>
      </w:pPr>
    </w:p>
    <w:p w14:paraId="4FE4151C" w14:textId="77777777" w:rsidR="00D56BF9" w:rsidRPr="00D56BF9" w:rsidRDefault="00D56BF9" w:rsidP="00D56BF9">
      <w:pPr>
        <w:autoSpaceDE w:val="0"/>
        <w:autoSpaceDN w:val="0"/>
        <w:adjustRightInd w:val="0"/>
        <w:spacing w:after="0" w:line="240" w:lineRule="auto"/>
        <w:jc w:val="both"/>
        <w:rPr>
          <w:rFonts w:ascii="Calibri" w:eastAsia="Calibri" w:hAnsi="Calibri" w:cs="Arial"/>
          <w:bCs/>
          <w:color w:val="0070C0"/>
          <w:kern w:val="0"/>
          <w14:ligatures w14:val="none"/>
        </w:rPr>
      </w:pPr>
    </w:p>
    <w:p w14:paraId="7C0AAE35" w14:textId="77777777" w:rsidR="00D56BF9" w:rsidRPr="00D56BF9" w:rsidRDefault="00D56BF9" w:rsidP="00D56BF9">
      <w:pPr>
        <w:autoSpaceDE w:val="0"/>
        <w:autoSpaceDN w:val="0"/>
        <w:adjustRightInd w:val="0"/>
        <w:spacing w:after="0" w:line="240" w:lineRule="auto"/>
        <w:jc w:val="both"/>
        <w:rPr>
          <w:rFonts w:ascii="Calibri" w:eastAsia="Calibri" w:hAnsi="Calibri" w:cs="Arial"/>
          <w:bCs/>
          <w:color w:val="0070C0"/>
          <w:kern w:val="0"/>
          <w14:ligatures w14:val="none"/>
        </w:rPr>
      </w:pPr>
    </w:p>
    <w:p w14:paraId="40CA32B2" w14:textId="77777777" w:rsidR="00D56BF9" w:rsidRPr="00D56BF9" w:rsidRDefault="00D56BF9" w:rsidP="00D56BF9">
      <w:pPr>
        <w:autoSpaceDE w:val="0"/>
        <w:autoSpaceDN w:val="0"/>
        <w:adjustRightInd w:val="0"/>
        <w:spacing w:after="0" w:line="240" w:lineRule="auto"/>
        <w:jc w:val="both"/>
        <w:rPr>
          <w:rFonts w:ascii="Calibri" w:eastAsia="Calibri" w:hAnsi="Calibri" w:cs="Arial"/>
          <w:bCs/>
          <w:color w:val="0070C0"/>
          <w:kern w:val="0"/>
          <w14:ligatures w14:val="none"/>
        </w:rPr>
      </w:pPr>
    </w:p>
    <w:p w14:paraId="2807B1DB" w14:textId="77777777" w:rsidR="00D56BF9" w:rsidRPr="00D56BF9" w:rsidRDefault="00D56BF9" w:rsidP="00D56BF9">
      <w:pPr>
        <w:autoSpaceDE w:val="0"/>
        <w:autoSpaceDN w:val="0"/>
        <w:adjustRightInd w:val="0"/>
        <w:spacing w:after="0" w:line="240" w:lineRule="auto"/>
        <w:jc w:val="both"/>
        <w:rPr>
          <w:rFonts w:ascii="Calibri" w:eastAsia="Calibri" w:hAnsi="Calibri" w:cs="Arial"/>
          <w:bCs/>
          <w:color w:val="0070C0"/>
          <w:kern w:val="0"/>
          <w14:ligatures w14:val="none"/>
        </w:rPr>
      </w:pPr>
    </w:p>
    <w:p w14:paraId="4A3ED435" w14:textId="77777777" w:rsidR="00D56BF9" w:rsidRPr="00D56BF9" w:rsidRDefault="00D56BF9" w:rsidP="00D56BF9">
      <w:pPr>
        <w:autoSpaceDE w:val="0"/>
        <w:autoSpaceDN w:val="0"/>
        <w:adjustRightInd w:val="0"/>
        <w:spacing w:after="0" w:line="240" w:lineRule="auto"/>
        <w:jc w:val="both"/>
        <w:rPr>
          <w:rFonts w:ascii="Calibri" w:eastAsia="Calibri" w:hAnsi="Calibri" w:cs="Arial"/>
          <w:bCs/>
          <w:color w:val="0070C0"/>
          <w:kern w:val="0"/>
          <w14:ligatures w14:val="none"/>
        </w:rPr>
      </w:pPr>
    </w:p>
    <w:p w14:paraId="675FD130" w14:textId="77777777" w:rsidR="00D56BF9" w:rsidRPr="00D56BF9" w:rsidRDefault="00D56BF9" w:rsidP="00D56BF9">
      <w:pPr>
        <w:autoSpaceDE w:val="0"/>
        <w:autoSpaceDN w:val="0"/>
        <w:adjustRightInd w:val="0"/>
        <w:spacing w:after="0" w:line="240" w:lineRule="auto"/>
        <w:jc w:val="both"/>
        <w:rPr>
          <w:rFonts w:ascii="Calibri" w:eastAsia="Calibri" w:hAnsi="Calibri" w:cs="Arial"/>
          <w:bCs/>
          <w:color w:val="0070C0"/>
          <w:kern w:val="0"/>
          <w14:ligatures w14:val="none"/>
        </w:rPr>
      </w:pPr>
    </w:p>
    <w:p w14:paraId="61E919C5" w14:textId="77777777" w:rsidR="00D56BF9" w:rsidRPr="00D56BF9" w:rsidRDefault="00D56BF9" w:rsidP="00D56BF9">
      <w:pPr>
        <w:autoSpaceDE w:val="0"/>
        <w:autoSpaceDN w:val="0"/>
        <w:adjustRightInd w:val="0"/>
        <w:spacing w:after="0" w:line="240" w:lineRule="auto"/>
        <w:jc w:val="both"/>
        <w:rPr>
          <w:rFonts w:ascii="Calibri" w:eastAsia="Calibri" w:hAnsi="Calibri" w:cs="Arial"/>
          <w:bCs/>
          <w:color w:val="0070C0"/>
          <w:kern w:val="0"/>
          <w14:ligatures w14:val="none"/>
        </w:rPr>
      </w:pPr>
    </w:p>
    <w:p w14:paraId="468E73A8" w14:textId="77777777" w:rsidR="00D56BF9" w:rsidRPr="00D56BF9" w:rsidRDefault="00D56BF9" w:rsidP="00D56BF9">
      <w:pPr>
        <w:autoSpaceDE w:val="0"/>
        <w:autoSpaceDN w:val="0"/>
        <w:adjustRightInd w:val="0"/>
        <w:spacing w:after="0" w:line="240" w:lineRule="auto"/>
        <w:jc w:val="both"/>
        <w:rPr>
          <w:rFonts w:ascii="Calibri" w:eastAsia="Calibri" w:hAnsi="Calibri" w:cs="Arial"/>
          <w:bCs/>
          <w:color w:val="0070C0"/>
          <w:kern w:val="0"/>
          <w14:ligatures w14:val="none"/>
        </w:rPr>
      </w:pPr>
    </w:p>
    <w:p w14:paraId="61F7CCBF" w14:textId="77777777" w:rsidR="00D56BF9" w:rsidRPr="00D56BF9" w:rsidRDefault="00D56BF9" w:rsidP="00D56BF9">
      <w:pPr>
        <w:autoSpaceDE w:val="0"/>
        <w:autoSpaceDN w:val="0"/>
        <w:adjustRightInd w:val="0"/>
        <w:spacing w:after="0" w:line="240" w:lineRule="auto"/>
        <w:jc w:val="both"/>
        <w:rPr>
          <w:rFonts w:ascii="Calibri" w:eastAsia="Calibri" w:hAnsi="Calibri" w:cs="Arial"/>
          <w:bCs/>
          <w:color w:val="0070C0"/>
          <w:kern w:val="0"/>
          <w14:ligatures w14:val="none"/>
        </w:rPr>
      </w:pPr>
    </w:p>
    <w:p w14:paraId="7A76979F"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14:ligatures w14:val="none"/>
        </w:rPr>
        <w:sectPr w:rsidR="00D56BF9" w:rsidRPr="00D56BF9" w:rsidSect="00D56BF9">
          <w:headerReference w:type="default" r:id="rId533"/>
          <w:pgSz w:w="12240" w:h="15840"/>
          <w:pgMar w:top="1417" w:right="1701" w:bottom="1417" w:left="1701" w:header="708" w:footer="708" w:gutter="0"/>
          <w:cols w:space="708"/>
          <w:docGrid w:linePitch="360"/>
        </w:sectPr>
      </w:pPr>
    </w:p>
    <w:p w14:paraId="32A39F9B"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lang w:val="es-ES_tradnl"/>
          <w14:ligatures w14:val="none"/>
        </w:rPr>
      </w:pPr>
      <w:r w:rsidRPr="00D56BF9">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47104" behindDoc="0" locked="0" layoutInCell="1" allowOverlap="1" wp14:anchorId="05848046" wp14:editId="4739C104">
                <wp:simplePos x="0" y="0"/>
                <wp:positionH relativeFrom="margin">
                  <wp:align>center</wp:align>
                </wp:positionH>
                <wp:positionV relativeFrom="paragraph">
                  <wp:posOffset>-166688</wp:posOffset>
                </wp:positionV>
                <wp:extent cx="6606540" cy="411480"/>
                <wp:effectExtent l="0" t="0" r="22860" b="26670"/>
                <wp:wrapNone/>
                <wp:docPr id="491209930" name="Cuadro de texto 491209930"/>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7ED847CB" w14:textId="77777777" w:rsidR="00D56BF9" w:rsidRPr="00D56BF9" w:rsidRDefault="00D56BF9" w:rsidP="00D56BF9">
                            <w:pPr>
                              <w:jc w:val="center"/>
                              <w:rPr>
                                <w:rFonts w:cs="Calibri"/>
                              </w:rPr>
                            </w:pPr>
                            <w:r w:rsidRPr="00D56BF9">
                              <w:rPr>
                                <w:rFonts w:cs="Calibri"/>
                                <w:b/>
                              </w:rPr>
                              <w:t>RÚBRICA DE EVALUACIÓN – RESEÑA CRÍTICA DE LECTURA</w:t>
                            </w:r>
                          </w:p>
                          <w:p w14:paraId="4A4744BC" w14:textId="77777777" w:rsidR="00D56BF9" w:rsidRPr="00D56BF9" w:rsidRDefault="00D56BF9" w:rsidP="00D56BF9">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848046" id="Cuadro de texto 491209930" o:spid="_x0000_s1251" type="#_x0000_t202" style="position:absolute;left:0;text-align:left;margin-left:0;margin-top:-13.15pt;width:520.2pt;height:32.4pt;z-index:2528471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" fillcolor="window" strokeweight=".5pt">
                <v:textbox>
                  <w:txbxContent>
                    <w:p w14:paraId="7ED847CB" w14:textId="77777777" w:rsidR="00D56BF9" w:rsidRPr="00D56BF9" w:rsidRDefault="00D56BF9" w:rsidP="00D56BF9">
                      <w:pPr>
                        <w:jc w:val="center"/>
                        <w:rPr>
                          <w:rFonts w:cs="Calibri"/>
                        </w:rPr>
                      </w:pPr>
                      <w:r w:rsidRPr="00D56BF9">
                        <w:rPr>
                          <w:rFonts w:cs="Calibri"/>
                          <w:b/>
                        </w:rPr>
                        <w:t>RÚBRICA DE EVALUACIÓN – RESEÑA CRÍTICA DE LECTURA</w:t>
                      </w:r>
                    </w:p>
                    <w:p w14:paraId="4A4744BC" w14:textId="77777777" w:rsidR="00D56BF9" w:rsidRPr="00D56BF9" w:rsidRDefault="00D56BF9" w:rsidP="00D56BF9">
                      <w:pPr>
                        <w:jc w:val="center"/>
                        <w:rPr>
                          <w:rFonts w:cs="Calibri"/>
                        </w:rPr>
                      </w:pPr>
                    </w:p>
                  </w:txbxContent>
                </v:textbox>
                <w10:wrap anchorx="margin"/>
              </v:shape>
            </w:pict>
          </mc:Fallback>
        </mc:AlternateContent>
      </w:r>
    </w:p>
    <w:p w14:paraId="4A2EC610"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lang w:val="es-ES_tradnl"/>
          <w14:ligatures w14:val="none"/>
        </w:rPr>
      </w:pPr>
    </w:p>
    <w:p w14:paraId="7F713BF6"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color w:val="0070C0"/>
          <w:kern w:val="0"/>
          <w14:ligatures w14:val="none"/>
        </w:rPr>
      </w:pPr>
    </w:p>
    <w:p w14:paraId="361638A4"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color w:val="0070C0"/>
          <w:kern w:val="0"/>
          <w14:ligatures w14:val="none"/>
        </w:rPr>
      </w:pPr>
      <w:r w:rsidRPr="00D56BF9">
        <w:rPr>
          <w:rFonts w:ascii="Calibri" w:eastAsia="Calibri" w:hAnsi="Calibri" w:cs="Arial"/>
          <w:bCs/>
          <w:color w:val="0070C0"/>
          <w:kern w:val="0"/>
          <w14:ligatures w14:val="none"/>
        </w:rPr>
        <w:t>La identificación de los temas y argumentos claves de una lectura es el primer paso de una reseña crítica. El elemento crítico radica en la valoración que hace la persona estudiante de los aportes del autor o la autora y su contribución al tema en discusión. Se elaboran en las sesiones 2, 8 y 13. Cada reseña tiene un valor de 5%.</w:t>
      </w:r>
    </w:p>
    <w:p w14:paraId="0D87B131"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29A54E76" w14:textId="77777777" w:rsidR="00D56BF9" w:rsidRPr="00D56BF9" w:rsidRDefault="00D56BF9" w:rsidP="00D56BF9">
      <w:pPr>
        <w:autoSpaceDE w:val="0"/>
        <w:autoSpaceDN w:val="0"/>
        <w:adjustRightInd w:val="0"/>
        <w:spacing w:after="0" w:line="240" w:lineRule="auto"/>
        <w:jc w:val="center"/>
        <w:rPr>
          <w:rFonts w:ascii="Calibri" w:eastAsia="Calibri" w:hAnsi="Calibri" w:cs="Arial"/>
          <w:b/>
          <w:kern w:val="0"/>
          <w14:ligatures w14:val="none"/>
        </w:rPr>
      </w:pPr>
    </w:p>
    <w:p w14:paraId="45BFDE68"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14:ligatures w14:val="none"/>
        </w:rPr>
      </w:pPr>
      <w:r w:rsidRPr="00D56BF9">
        <w:rPr>
          <w:rFonts w:ascii="Calibri" w:eastAsia="Calibri" w:hAnsi="Calibri" w:cs="Arial"/>
          <w:b/>
          <w:noProof/>
          <w:kern w:val="0"/>
          <w14:ligatures w14:val="none"/>
        </w:rPr>
        <w:drawing>
          <wp:anchor distT="0" distB="0" distL="114300" distR="114300" simplePos="0" relativeHeight="252848128" behindDoc="0" locked="0" layoutInCell="1" allowOverlap="1" wp14:anchorId="0DAE8A27" wp14:editId="1298994A">
            <wp:simplePos x="0" y="0"/>
            <wp:positionH relativeFrom="margin">
              <wp:align>center</wp:align>
            </wp:positionH>
            <wp:positionV relativeFrom="paragraph">
              <wp:posOffset>952</wp:posOffset>
            </wp:positionV>
            <wp:extent cx="8991600" cy="4828032"/>
            <wp:effectExtent l="0" t="0" r="0" b="0"/>
            <wp:wrapNone/>
            <wp:docPr id="152646344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463442" name="Imagen 1" descr="Tabla&#10;&#10;Descripción generada automáticamente"/>
                    <pic:cNvPicPr/>
                  </pic:nvPicPr>
                  <pic:blipFill>
                    <a:blip r:embed="rId534">
                      <a:extLst>
                        <a:ext uri="{28A0092B-C50C-407E-A947-70E740481C1C}">
                          <a14:useLocalDpi xmlns:a14="http://schemas.microsoft.com/office/drawing/2010/main" val="0"/>
                        </a:ext>
                      </a:extLst>
                    </a:blip>
                    <a:stretch>
                      <a:fillRect/>
                    </a:stretch>
                  </pic:blipFill>
                  <pic:spPr>
                    <a:xfrm>
                      <a:off x="0" y="0"/>
                      <a:ext cx="8991600" cy="4828032"/>
                    </a:xfrm>
                    <a:prstGeom prst="rect">
                      <a:avLst/>
                    </a:prstGeom>
                  </pic:spPr>
                </pic:pic>
              </a:graphicData>
            </a:graphic>
          </wp:anchor>
        </w:drawing>
      </w:r>
      <w:r w:rsidRPr="00D56BF9">
        <w:rPr>
          <w:rFonts w:ascii="Calibri" w:eastAsia="Calibri" w:hAnsi="Calibri" w:cs="Arial"/>
          <w:b/>
          <w:kern w:val="0"/>
          <w14:ligatures w14:val="none"/>
        </w:rPr>
        <w:br w:type="page"/>
      </w:r>
    </w:p>
    <w:p w14:paraId="6CC417F1"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lang w:val="es-ES_tradnl"/>
          <w14:ligatures w14:val="none"/>
        </w:rPr>
      </w:pPr>
      <w:r w:rsidRPr="00D56BF9">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849152" behindDoc="0" locked="0" layoutInCell="1" allowOverlap="1" wp14:anchorId="40D24BBA" wp14:editId="5EAFF483">
                <wp:simplePos x="0" y="0"/>
                <wp:positionH relativeFrom="margin">
                  <wp:align>center</wp:align>
                </wp:positionH>
                <wp:positionV relativeFrom="paragraph">
                  <wp:posOffset>-224473</wp:posOffset>
                </wp:positionV>
                <wp:extent cx="7879080" cy="409575"/>
                <wp:effectExtent l="0" t="0" r="26670" b="28575"/>
                <wp:wrapNone/>
                <wp:docPr id="7227914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9575"/>
                        </a:xfrm>
                        <a:prstGeom prst="rect">
                          <a:avLst/>
                        </a:prstGeom>
                        <a:solidFill>
                          <a:srgbClr val="FFFFFF"/>
                        </a:solidFill>
                        <a:ln w="9525">
                          <a:solidFill>
                            <a:srgbClr val="000000"/>
                          </a:solidFill>
                          <a:miter lim="800000"/>
                          <a:headEnd/>
                          <a:tailEnd/>
                        </a:ln>
                      </wps:spPr>
                      <wps:txbx>
                        <w:txbxContent>
                          <w:p w14:paraId="2B24C23B" w14:textId="77777777" w:rsidR="00D56BF9" w:rsidRPr="00D56BF9" w:rsidRDefault="00D56BF9" w:rsidP="00D56BF9">
                            <w:pPr>
                              <w:jc w:val="center"/>
                              <w:rPr>
                                <w:rFonts w:cs="Calibri"/>
                                <w:b/>
                                <w:szCs w:val="24"/>
                              </w:rPr>
                            </w:pPr>
                            <w:r w:rsidRPr="00D56BF9">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24BBA" id="_x0000_s1252" type="#_x0000_t202" style="position:absolute;left:0;text-align:left;margin-left:0;margin-top:-17.7pt;width:620.4pt;height:32.25pt;z-index:2528491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">
                <v:textbox>
                  <w:txbxContent>
                    <w:p w14:paraId="2B24C23B" w14:textId="77777777" w:rsidR="00D56BF9" w:rsidRPr="00D56BF9" w:rsidRDefault="00D56BF9" w:rsidP="00D56BF9">
                      <w:pPr>
                        <w:jc w:val="center"/>
                        <w:rPr>
                          <w:rFonts w:cs="Calibri"/>
                          <w:b/>
                          <w:szCs w:val="24"/>
                        </w:rPr>
                      </w:pPr>
                      <w:r w:rsidRPr="00D56BF9">
                        <w:rPr>
                          <w:rFonts w:cs="Calibri"/>
                          <w:b/>
                          <w:szCs w:val="24"/>
                        </w:rPr>
                        <w:t>RÚBRICA DE EVALUACIÓN – FORO TEMÁTICO</w:t>
                      </w:r>
                    </w:p>
                  </w:txbxContent>
                </v:textbox>
                <w10:wrap anchorx="margin"/>
              </v:shape>
            </w:pict>
          </mc:Fallback>
        </mc:AlternateContent>
      </w:r>
    </w:p>
    <w:p w14:paraId="39D7626D"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lang w:val="es-ES_tradnl"/>
          <w14:ligatures w14:val="none"/>
        </w:rPr>
      </w:pPr>
    </w:p>
    <w:p w14:paraId="16E7BC67"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color w:val="0070C0"/>
          <w:kern w:val="0"/>
          <w14:ligatures w14:val="none"/>
        </w:rPr>
      </w:pPr>
      <w:r w:rsidRPr="00D56BF9">
        <w:rPr>
          <w:rFonts w:ascii="Calibri" w:eastAsia="Calibri" w:hAnsi="Calibri" w:cs="Arial"/>
          <w:bCs/>
          <w:color w:val="0070C0"/>
          <w:kern w:val="0"/>
          <w14:ligatures w14:val="none"/>
        </w:rPr>
        <w:t>En los foros temáticos las personas estudiantes realizarán aportes y desarrollarán insumos y reflexiones de manera colaborativa y asincrónica. Se desarrollan en las sesiones 3, 7 y 11. Cada foro tiene un valor de 5%.</w:t>
      </w:r>
    </w:p>
    <w:p w14:paraId="533375DC"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83D6CD5" w14:textId="77777777" w:rsidR="00D56BF9" w:rsidRPr="00D56BF9" w:rsidRDefault="00D56BF9" w:rsidP="00D56BF9">
      <w:pPr>
        <w:autoSpaceDE w:val="0"/>
        <w:autoSpaceDN w:val="0"/>
        <w:adjustRightInd w:val="0"/>
        <w:spacing w:after="0" w:line="240" w:lineRule="auto"/>
        <w:jc w:val="center"/>
        <w:rPr>
          <w:rFonts w:ascii="Calibri" w:eastAsia="Calibri" w:hAnsi="Calibri" w:cs="Arial"/>
          <w:b/>
          <w:kern w:val="0"/>
          <w14:ligatures w14:val="none"/>
        </w:rPr>
      </w:pPr>
      <w:r w:rsidRPr="00D56BF9">
        <w:rPr>
          <w:rFonts w:ascii="Calibri" w:eastAsia="Calibri" w:hAnsi="Calibri" w:cs="Arial"/>
          <w:b/>
          <w:noProof/>
          <w:kern w:val="0"/>
          <w14:ligatures w14:val="none"/>
        </w:rPr>
        <w:drawing>
          <wp:anchor distT="0" distB="0" distL="114300" distR="114300" simplePos="0" relativeHeight="252850176" behindDoc="0" locked="0" layoutInCell="1" allowOverlap="1" wp14:anchorId="1F442C8B" wp14:editId="033D73F8">
            <wp:simplePos x="0" y="0"/>
            <wp:positionH relativeFrom="margin">
              <wp:align>center</wp:align>
            </wp:positionH>
            <wp:positionV relativeFrom="paragraph">
              <wp:posOffset>78422</wp:posOffset>
            </wp:positionV>
            <wp:extent cx="8034337" cy="5811504"/>
            <wp:effectExtent l="0" t="0" r="5080" b="0"/>
            <wp:wrapNone/>
            <wp:docPr id="1388852649"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852649" name="Imagen 2" descr="Tabla&#10;&#10;Descripción generada automáticamente"/>
                    <pic:cNvPicPr/>
                  </pic:nvPicPr>
                  <pic:blipFill>
                    <a:blip r:embed="rId535">
                      <a:extLst>
                        <a:ext uri="{28A0092B-C50C-407E-A947-70E740481C1C}">
                          <a14:useLocalDpi xmlns:a14="http://schemas.microsoft.com/office/drawing/2010/main" val="0"/>
                        </a:ext>
                      </a:extLst>
                    </a:blip>
                    <a:stretch>
                      <a:fillRect/>
                    </a:stretch>
                  </pic:blipFill>
                  <pic:spPr>
                    <a:xfrm>
                      <a:off x="0" y="0"/>
                      <a:ext cx="8034337" cy="5811504"/>
                    </a:xfrm>
                    <a:prstGeom prst="rect">
                      <a:avLst/>
                    </a:prstGeom>
                  </pic:spPr>
                </pic:pic>
              </a:graphicData>
            </a:graphic>
            <wp14:sizeRelH relativeFrom="margin">
              <wp14:pctWidth>0</wp14:pctWidth>
            </wp14:sizeRelH>
            <wp14:sizeRelV relativeFrom="margin">
              <wp14:pctHeight>0</wp14:pctHeight>
            </wp14:sizeRelV>
          </wp:anchor>
        </w:drawing>
      </w:r>
    </w:p>
    <w:p w14:paraId="67852781"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14:ligatures w14:val="none"/>
        </w:rPr>
      </w:pPr>
      <w:r w:rsidRPr="00D56BF9">
        <w:rPr>
          <w:rFonts w:ascii="Calibri" w:eastAsia="Calibri" w:hAnsi="Calibri" w:cs="Arial"/>
          <w:b/>
          <w:kern w:val="0"/>
          <w14:ligatures w14:val="none"/>
        </w:rPr>
        <w:br w:type="page"/>
      </w:r>
    </w:p>
    <w:p w14:paraId="7A497114"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14:ligatures w14:val="none"/>
        </w:rPr>
      </w:pPr>
      <w:r w:rsidRPr="00D56BF9">
        <w:rPr>
          <w:rFonts w:ascii="Times New Roman" w:eastAsia="Times New Roman" w:hAnsi="Times New Roman" w:cs="Times New Roman"/>
          <w:b/>
          <w:noProof/>
          <w:kern w:val="0"/>
          <w:sz w:val="24"/>
          <w:szCs w:val="20"/>
          <w:lang w:eastAsia="es-CR"/>
          <w14:ligatures w14:val="none"/>
        </w:rPr>
        <w:lastRenderedPageBreak/>
        <mc:AlternateContent>
          <mc:Choice Requires="wps">
            <w:drawing>
              <wp:anchor distT="0" distB="0" distL="114300" distR="114300" simplePos="0" relativeHeight="252851200" behindDoc="0" locked="0" layoutInCell="1" allowOverlap="1" wp14:anchorId="28B9D31C" wp14:editId="7BE49C3B">
                <wp:simplePos x="0" y="0"/>
                <wp:positionH relativeFrom="margin">
                  <wp:align>center</wp:align>
                </wp:positionH>
                <wp:positionV relativeFrom="paragraph">
                  <wp:posOffset>-119062</wp:posOffset>
                </wp:positionV>
                <wp:extent cx="6606540" cy="411480"/>
                <wp:effectExtent l="0" t="0" r="22860" b="26670"/>
                <wp:wrapNone/>
                <wp:docPr id="749527488" name="Cuadro de texto 749527488"/>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3C3C146C" w14:textId="77777777" w:rsidR="00D56BF9" w:rsidRPr="00D56BF9" w:rsidRDefault="00D56BF9" w:rsidP="00D56BF9">
                            <w:pPr>
                              <w:jc w:val="center"/>
                              <w:rPr>
                                <w:rFonts w:cs="Calibri"/>
                              </w:rPr>
                            </w:pPr>
                            <w:r w:rsidRPr="00D56BF9">
                              <w:rPr>
                                <w:rFonts w:cs="Calibri"/>
                                <w:b/>
                              </w:rPr>
                              <w:t>RÚBRICA DE EVALUACIÓN – 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9D31C" id="Cuadro de texto 749527488" o:spid="_x0000_s1253" type="#_x0000_t202" style="position:absolute;left:0;text-align:left;margin-left:0;margin-top:-9.35pt;width:520.2pt;height:32.4pt;z-index:252851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" fillcolor="window" strokeweight=".5pt">
                <v:textbox>
                  <w:txbxContent>
                    <w:p w14:paraId="3C3C146C" w14:textId="77777777" w:rsidR="00D56BF9" w:rsidRPr="00D56BF9" w:rsidRDefault="00D56BF9" w:rsidP="00D56BF9">
                      <w:pPr>
                        <w:jc w:val="center"/>
                        <w:rPr>
                          <w:rFonts w:cs="Calibri"/>
                        </w:rPr>
                      </w:pPr>
                      <w:r w:rsidRPr="00D56BF9">
                        <w:rPr>
                          <w:rFonts w:cs="Calibri"/>
                          <w:b/>
                        </w:rPr>
                        <w:t>RÚBRICA DE EVALUACIÓN – GLOSARIO</w:t>
                      </w:r>
                    </w:p>
                  </w:txbxContent>
                </v:textbox>
                <w10:wrap anchorx="margin"/>
              </v:shape>
            </w:pict>
          </mc:Fallback>
        </mc:AlternateContent>
      </w:r>
    </w:p>
    <w:p w14:paraId="6E83F7B6"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14:ligatures w14:val="none"/>
        </w:rPr>
      </w:pPr>
    </w:p>
    <w:p w14:paraId="57C2ED3D"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6C141B31"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color w:val="0070C0"/>
          <w:kern w:val="0"/>
          <w14:ligatures w14:val="none"/>
        </w:rPr>
      </w:pPr>
      <w:r w:rsidRPr="00D56BF9">
        <w:rPr>
          <w:rFonts w:ascii="Calibri" w:eastAsia="Calibri" w:hAnsi="Calibri" w:cs="Arial"/>
          <w:bCs/>
          <w:color w:val="0070C0"/>
          <w:kern w:val="0"/>
          <w14:ligatures w14:val="none"/>
        </w:rPr>
        <w:t>El glosario es una herramienta virtual mediante la cual los y las estudiantes elaborarán una lista de términos que resumen la materia tratada en una lectura como si se tratase de un diccionario. Se desarrolla en la sesión 4 y tiene un valor de 5%.</w:t>
      </w:r>
    </w:p>
    <w:p w14:paraId="5A64256E"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EFCC5E6"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240F9B2" w14:textId="77777777" w:rsidR="00D56BF9" w:rsidRPr="00D56BF9" w:rsidRDefault="00D56BF9" w:rsidP="00D56BF9">
      <w:pPr>
        <w:autoSpaceDE w:val="0"/>
        <w:autoSpaceDN w:val="0"/>
        <w:adjustRightInd w:val="0"/>
        <w:spacing w:after="0" w:line="240" w:lineRule="auto"/>
        <w:jc w:val="center"/>
        <w:rPr>
          <w:rFonts w:ascii="Calibri" w:eastAsia="Calibri" w:hAnsi="Calibri" w:cs="Arial"/>
          <w:b/>
          <w:kern w:val="0"/>
          <w14:ligatures w14:val="none"/>
        </w:rPr>
      </w:pPr>
      <w:r w:rsidRPr="00D56BF9">
        <w:rPr>
          <w:rFonts w:ascii="Calibri" w:eastAsia="Calibri" w:hAnsi="Calibri" w:cs="Arial"/>
          <w:b/>
          <w:noProof/>
          <w:kern w:val="0"/>
          <w14:ligatures w14:val="none"/>
        </w:rPr>
        <w:drawing>
          <wp:anchor distT="0" distB="0" distL="114300" distR="114300" simplePos="0" relativeHeight="252852224" behindDoc="0" locked="0" layoutInCell="1" allowOverlap="1" wp14:anchorId="0C4A7315" wp14:editId="1F2D929F">
            <wp:simplePos x="0" y="0"/>
            <wp:positionH relativeFrom="column">
              <wp:posOffset>161925</wp:posOffset>
            </wp:positionH>
            <wp:positionV relativeFrom="paragraph">
              <wp:posOffset>1588</wp:posOffset>
            </wp:positionV>
            <wp:extent cx="8820912" cy="5413248"/>
            <wp:effectExtent l="0" t="0" r="0" b="0"/>
            <wp:wrapNone/>
            <wp:docPr id="1937887520"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887520" name="Imagen 3" descr="Tabla&#10;&#10;Descripción generada automáticamente"/>
                    <pic:cNvPicPr/>
                  </pic:nvPicPr>
                  <pic:blipFill>
                    <a:blip r:embed="rId536">
                      <a:extLst>
                        <a:ext uri="{28A0092B-C50C-407E-A947-70E740481C1C}">
                          <a14:useLocalDpi xmlns:a14="http://schemas.microsoft.com/office/drawing/2010/main" val="0"/>
                        </a:ext>
                      </a:extLst>
                    </a:blip>
                    <a:stretch>
                      <a:fillRect/>
                    </a:stretch>
                  </pic:blipFill>
                  <pic:spPr>
                    <a:xfrm>
                      <a:off x="0" y="0"/>
                      <a:ext cx="8820912" cy="5413248"/>
                    </a:xfrm>
                    <a:prstGeom prst="rect">
                      <a:avLst/>
                    </a:prstGeom>
                  </pic:spPr>
                </pic:pic>
              </a:graphicData>
            </a:graphic>
          </wp:anchor>
        </w:drawing>
      </w:r>
    </w:p>
    <w:p w14:paraId="21B80625"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14:ligatures w14:val="none"/>
        </w:rPr>
      </w:pPr>
      <w:r w:rsidRPr="00D56BF9">
        <w:rPr>
          <w:rFonts w:ascii="Calibri" w:eastAsia="Calibri" w:hAnsi="Calibri" w:cs="Arial"/>
          <w:b/>
          <w:kern w:val="0"/>
          <w14:ligatures w14:val="none"/>
        </w:rPr>
        <w:br w:type="page"/>
      </w:r>
    </w:p>
    <w:p w14:paraId="2BD0832C"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14:ligatures w14:val="none"/>
        </w:rPr>
      </w:pPr>
      <w:r w:rsidRPr="00D56BF9">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53248" behindDoc="0" locked="0" layoutInCell="1" allowOverlap="1" wp14:anchorId="325E94C3" wp14:editId="717DBCC0">
                <wp:simplePos x="0" y="0"/>
                <wp:positionH relativeFrom="margin">
                  <wp:align>center</wp:align>
                </wp:positionH>
                <wp:positionV relativeFrom="paragraph">
                  <wp:posOffset>-177800</wp:posOffset>
                </wp:positionV>
                <wp:extent cx="6606540" cy="414337"/>
                <wp:effectExtent l="0" t="0" r="22860" b="24130"/>
                <wp:wrapNone/>
                <wp:docPr id="1284950779" name="Cuadro de texto 1284950779"/>
                <wp:cNvGraphicFramePr/>
                <a:graphic xmlns:a="http://schemas.openxmlformats.org/drawingml/2006/main">
                  <a:graphicData uri="http://schemas.microsoft.com/office/word/2010/wordprocessingShape">
                    <wps:wsp>
                      <wps:cNvSpPr txBox="1"/>
                      <wps:spPr>
                        <a:xfrm>
                          <a:off x="0" y="0"/>
                          <a:ext cx="6606540" cy="414337"/>
                        </a:xfrm>
                        <a:prstGeom prst="rect">
                          <a:avLst/>
                        </a:prstGeom>
                        <a:solidFill>
                          <a:sysClr val="window" lastClr="FFFFFF"/>
                        </a:solidFill>
                        <a:ln w="6350">
                          <a:solidFill>
                            <a:prstClr val="black"/>
                          </a:solidFill>
                        </a:ln>
                      </wps:spPr>
                      <wps:txbx>
                        <w:txbxContent>
                          <w:p w14:paraId="67E8358B" w14:textId="77777777" w:rsidR="00D56BF9" w:rsidRPr="00D56BF9" w:rsidRDefault="00D56BF9" w:rsidP="00D56BF9">
                            <w:pPr>
                              <w:jc w:val="center"/>
                              <w:rPr>
                                <w:rFonts w:cs="Calibri"/>
                              </w:rPr>
                            </w:pPr>
                            <w:r w:rsidRPr="00D56BF9">
                              <w:rPr>
                                <w:rFonts w:cs="Calibri"/>
                                <w:b/>
                              </w:rPr>
                              <w:t xml:space="preserve">ESCALA DE EVALUACIÓN – ENSAYO </w:t>
                            </w:r>
                          </w:p>
                          <w:p w14:paraId="525B0C2F" w14:textId="77777777" w:rsidR="00D56BF9" w:rsidRPr="00D56BF9" w:rsidRDefault="00D56BF9" w:rsidP="00D56BF9">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E94C3" id="Cuadro de texto 1284950779" o:spid="_x0000_s1254" type="#_x0000_t202" style="position:absolute;left:0;text-align:left;margin-left:0;margin-top:-14pt;width:520.2pt;height:32.6pt;z-index:2528532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" fillcolor="window" strokeweight=".5pt">
                <v:textbox>
                  <w:txbxContent>
                    <w:p w14:paraId="67E8358B" w14:textId="77777777" w:rsidR="00D56BF9" w:rsidRPr="00D56BF9" w:rsidRDefault="00D56BF9" w:rsidP="00D56BF9">
                      <w:pPr>
                        <w:jc w:val="center"/>
                        <w:rPr>
                          <w:rFonts w:cs="Calibri"/>
                        </w:rPr>
                      </w:pPr>
                      <w:r w:rsidRPr="00D56BF9">
                        <w:rPr>
                          <w:rFonts w:cs="Calibri"/>
                          <w:b/>
                        </w:rPr>
                        <w:t xml:space="preserve">ESCALA DE EVALUACIÓN – ENSAYO </w:t>
                      </w:r>
                    </w:p>
                    <w:p w14:paraId="525B0C2F" w14:textId="77777777" w:rsidR="00D56BF9" w:rsidRPr="00D56BF9" w:rsidRDefault="00D56BF9" w:rsidP="00D56BF9">
                      <w:pPr>
                        <w:jc w:val="center"/>
                        <w:rPr>
                          <w:rFonts w:cs="Calibri"/>
                        </w:rPr>
                      </w:pPr>
                    </w:p>
                  </w:txbxContent>
                </v:textbox>
                <w10:wrap anchorx="margin"/>
              </v:shape>
            </w:pict>
          </mc:Fallback>
        </mc:AlternateContent>
      </w:r>
    </w:p>
    <w:p w14:paraId="7944FEA1"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14:ligatures w14:val="none"/>
        </w:rPr>
      </w:pPr>
    </w:p>
    <w:p w14:paraId="66E969E9"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14:ligatures w14:val="none"/>
        </w:rPr>
      </w:pPr>
    </w:p>
    <w:p w14:paraId="23910090" w14:textId="77777777" w:rsidR="00D56BF9" w:rsidRPr="00D56BF9" w:rsidRDefault="00D56BF9" w:rsidP="00D56BF9">
      <w:pPr>
        <w:autoSpaceDE w:val="0"/>
        <w:autoSpaceDN w:val="0"/>
        <w:adjustRightInd w:val="0"/>
        <w:spacing w:after="0" w:line="240" w:lineRule="auto"/>
        <w:jc w:val="center"/>
        <w:rPr>
          <w:rFonts w:ascii="Calibri" w:eastAsia="Calibri" w:hAnsi="Calibri" w:cs="Arial"/>
          <w:b/>
          <w:color w:val="0070C0"/>
          <w:kern w:val="0"/>
          <w14:ligatures w14:val="none"/>
        </w:rPr>
      </w:pPr>
      <w:r w:rsidRPr="00D56BF9">
        <w:rPr>
          <w:rFonts w:ascii="Calibri" w:eastAsia="Calibri" w:hAnsi="Calibri" w:cs="Arial"/>
          <w:bCs/>
          <w:color w:val="0070C0"/>
          <w:kern w:val="0"/>
          <w14:ligatures w14:val="none"/>
        </w:rPr>
        <w:t xml:space="preserve">El ensayo es un escrito académico en el que la persona estudiante desarrollará, en una de las sesiones, el tema del evangelio de Marcos a partir de la noción de herejía, y en otra sesión, el tema de las ideas teológicas relacionadas a la comunidad </w:t>
      </w:r>
      <w:proofErr w:type="spellStart"/>
      <w:r w:rsidRPr="00D56BF9">
        <w:rPr>
          <w:rFonts w:ascii="Calibri" w:eastAsia="Calibri" w:hAnsi="Calibri" w:cs="Arial"/>
          <w:bCs/>
          <w:color w:val="0070C0"/>
          <w:kern w:val="0"/>
          <w14:ligatures w14:val="none"/>
        </w:rPr>
        <w:t>marcana</w:t>
      </w:r>
      <w:proofErr w:type="spellEnd"/>
      <w:r w:rsidRPr="00D56BF9">
        <w:rPr>
          <w:rFonts w:ascii="Calibri" w:eastAsia="Calibri" w:hAnsi="Calibri" w:cs="Arial"/>
          <w:bCs/>
          <w:color w:val="0070C0"/>
          <w:kern w:val="0"/>
          <w14:ligatures w14:val="none"/>
        </w:rPr>
        <w:t xml:space="preserve">. Cada ensayo tiene un valor de 12.5% y se distribuyen de la siguiente forma: ensayo sobre el evangelio de Marcos a partir de la noción de herejía (sesión 6) y ensayo sobre las ideas teológicas relacionadas a la comunidad </w:t>
      </w:r>
      <w:proofErr w:type="spellStart"/>
      <w:r w:rsidRPr="00D56BF9">
        <w:rPr>
          <w:rFonts w:ascii="Calibri" w:eastAsia="Calibri" w:hAnsi="Calibri" w:cs="Arial"/>
          <w:bCs/>
          <w:color w:val="0070C0"/>
          <w:kern w:val="0"/>
          <w14:ligatures w14:val="none"/>
        </w:rPr>
        <w:t>marcana</w:t>
      </w:r>
      <w:proofErr w:type="spellEnd"/>
      <w:r w:rsidRPr="00D56BF9">
        <w:rPr>
          <w:rFonts w:ascii="Calibri" w:eastAsia="Calibri" w:hAnsi="Calibri" w:cs="Arial"/>
          <w:bCs/>
          <w:color w:val="0070C0"/>
          <w:kern w:val="0"/>
          <w14:ligatures w14:val="none"/>
        </w:rPr>
        <w:t xml:space="preserve"> (sesión 10).</w:t>
      </w:r>
    </w:p>
    <w:p w14:paraId="0CCF63E4"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0B37D190"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76F2979"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E96EE94"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r w:rsidRPr="00D56BF9">
        <w:rPr>
          <w:rFonts w:ascii="Calibri" w:eastAsia="Calibri" w:hAnsi="Calibri" w:cs="Arial"/>
          <w:bCs/>
          <w:noProof/>
          <w:kern w:val="0"/>
          <w14:ligatures w14:val="none"/>
        </w:rPr>
        <w:drawing>
          <wp:anchor distT="0" distB="0" distL="114300" distR="114300" simplePos="0" relativeHeight="252854272" behindDoc="0" locked="0" layoutInCell="1" allowOverlap="1" wp14:anchorId="7FBF0FA0" wp14:editId="5FC77352">
            <wp:simplePos x="0" y="0"/>
            <wp:positionH relativeFrom="margin">
              <wp:align>center</wp:align>
            </wp:positionH>
            <wp:positionV relativeFrom="paragraph">
              <wp:posOffset>6033</wp:posOffset>
            </wp:positionV>
            <wp:extent cx="8229600" cy="4620768"/>
            <wp:effectExtent l="0" t="0" r="0" b="8890"/>
            <wp:wrapNone/>
            <wp:docPr id="963854229"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854229" name="Imagen 4" descr="Tabla&#10;&#10;Descripción generada automáticamente"/>
                    <pic:cNvPicPr/>
                  </pic:nvPicPr>
                  <pic:blipFill>
                    <a:blip r:embed="rId537">
                      <a:extLst>
                        <a:ext uri="{28A0092B-C50C-407E-A947-70E740481C1C}">
                          <a14:useLocalDpi xmlns:a14="http://schemas.microsoft.com/office/drawing/2010/main" val="0"/>
                        </a:ext>
                      </a:extLst>
                    </a:blip>
                    <a:stretch>
                      <a:fillRect/>
                    </a:stretch>
                  </pic:blipFill>
                  <pic:spPr>
                    <a:xfrm>
                      <a:off x="0" y="0"/>
                      <a:ext cx="8229600" cy="4620768"/>
                    </a:xfrm>
                    <a:prstGeom prst="rect">
                      <a:avLst/>
                    </a:prstGeom>
                  </pic:spPr>
                </pic:pic>
              </a:graphicData>
            </a:graphic>
          </wp:anchor>
        </w:drawing>
      </w:r>
    </w:p>
    <w:p w14:paraId="7F4BAC0F"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1514A4E0"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405EEBB"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02A44F1C"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47B8A1C"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26E4311"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1B0FCD80"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84B77AC"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123AE8F7"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907F949"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1F35025"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2E566133"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2DBBF7D"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034DEFB6"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FF1CFAA"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AB88F97"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56974BC"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69B04B2D"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2B40F95B"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6AAE322"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14D88FB5"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30DCC13"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35ACD04"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D7803AB"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6031A291"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6B3680A5"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24F23055"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A34E00D"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984553F"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4C73BE9"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r w:rsidRPr="00D56BF9">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855296" behindDoc="0" locked="0" layoutInCell="1" allowOverlap="1" wp14:anchorId="019FF6EC" wp14:editId="70D05EF3">
                <wp:simplePos x="0" y="0"/>
                <wp:positionH relativeFrom="margin">
                  <wp:align>center</wp:align>
                </wp:positionH>
                <wp:positionV relativeFrom="paragraph">
                  <wp:posOffset>0</wp:posOffset>
                </wp:positionV>
                <wp:extent cx="6606540" cy="411480"/>
                <wp:effectExtent l="0" t="0" r="22860" b="26670"/>
                <wp:wrapNone/>
                <wp:docPr id="908579031" name="Cuadro de texto 90857903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09EF3621" w14:textId="77777777" w:rsidR="00D56BF9" w:rsidRPr="00D56BF9" w:rsidRDefault="00D56BF9" w:rsidP="00D56BF9">
                            <w:pPr>
                              <w:jc w:val="center"/>
                              <w:rPr>
                                <w:rFonts w:cs="Calibri"/>
                              </w:rPr>
                            </w:pPr>
                            <w:r w:rsidRPr="00D56BF9">
                              <w:rPr>
                                <w:rFonts w:cs="Calibri"/>
                                <w:b/>
                              </w:rPr>
                              <w:t>RÚBRICA DE EVALUACIÓN – MAPA CONCEPTUAL</w:t>
                            </w:r>
                          </w:p>
                          <w:p w14:paraId="38FC354E" w14:textId="77777777" w:rsidR="00D56BF9" w:rsidRPr="00D56BF9" w:rsidRDefault="00D56BF9" w:rsidP="00D56BF9">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FF6EC" id="Cuadro de texto 908579031" o:spid="_x0000_s1255" type="#_x0000_t202" style="position:absolute;left:0;text-align:left;margin-left:0;margin-top:0;width:520.2pt;height:32.4pt;z-index:252855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" fillcolor="window" strokeweight=".5pt">
                <v:textbox>
                  <w:txbxContent>
                    <w:p w14:paraId="09EF3621" w14:textId="77777777" w:rsidR="00D56BF9" w:rsidRPr="00D56BF9" w:rsidRDefault="00D56BF9" w:rsidP="00D56BF9">
                      <w:pPr>
                        <w:jc w:val="center"/>
                        <w:rPr>
                          <w:rFonts w:cs="Calibri"/>
                        </w:rPr>
                      </w:pPr>
                      <w:r w:rsidRPr="00D56BF9">
                        <w:rPr>
                          <w:rFonts w:cs="Calibri"/>
                          <w:b/>
                        </w:rPr>
                        <w:t>RÚBRICA DE EVALUACIÓN – MAPA CONCEPTUAL</w:t>
                      </w:r>
                    </w:p>
                    <w:p w14:paraId="38FC354E" w14:textId="77777777" w:rsidR="00D56BF9" w:rsidRPr="00D56BF9" w:rsidRDefault="00D56BF9" w:rsidP="00D56BF9">
                      <w:pPr>
                        <w:jc w:val="center"/>
                        <w:rPr>
                          <w:rFonts w:cs="Calibri"/>
                        </w:rPr>
                      </w:pPr>
                    </w:p>
                  </w:txbxContent>
                </v:textbox>
                <w10:wrap anchorx="margin"/>
              </v:shape>
            </w:pict>
          </mc:Fallback>
        </mc:AlternateContent>
      </w:r>
    </w:p>
    <w:p w14:paraId="2A52344F"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2EAD8C4C"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2EC1208"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57C8F41"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color w:val="0070C0"/>
          <w:kern w:val="0"/>
          <w14:ligatures w14:val="none"/>
        </w:rPr>
      </w:pPr>
      <w:r w:rsidRPr="00D56BF9">
        <w:rPr>
          <w:rFonts w:ascii="Calibri" w:eastAsia="Calibri" w:hAnsi="Calibri" w:cs="Arial"/>
          <w:bCs/>
          <w:color w:val="0070C0"/>
          <w:kern w:val="0"/>
          <w14:ligatures w14:val="none"/>
        </w:rPr>
        <w:t>El mapa conceptual es un ejercicio de síntesis a partir del cual se identifican las ideas centrales y secundarias del aporte bibliográfico, así como las ilustraciones utilizadas para ejemplificar los temas estudiados. Se elabora en la sesión 12 y tiene un valor de 5%.</w:t>
      </w:r>
    </w:p>
    <w:p w14:paraId="56907BFD"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FF18EC5"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0FF110D"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r w:rsidRPr="00D56BF9">
        <w:rPr>
          <w:rFonts w:ascii="Calibri" w:eastAsia="Calibri" w:hAnsi="Calibri" w:cs="Arial"/>
          <w:bCs/>
          <w:noProof/>
          <w:kern w:val="0"/>
          <w14:ligatures w14:val="none"/>
        </w:rPr>
        <w:drawing>
          <wp:anchor distT="0" distB="0" distL="114300" distR="114300" simplePos="0" relativeHeight="252856320" behindDoc="0" locked="0" layoutInCell="1" allowOverlap="1" wp14:anchorId="04D7785C" wp14:editId="5931059C">
            <wp:simplePos x="0" y="0"/>
            <wp:positionH relativeFrom="margin">
              <wp:align>right</wp:align>
            </wp:positionH>
            <wp:positionV relativeFrom="paragraph">
              <wp:posOffset>26987</wp:posOffset>
            </wp:positionV>
            <wp:extent cx="9144000" cy="4466590"/>
            <wp:effectExtent l="0" t="0" r="0" b="0"/>
            <wp:wrapNone/>
            <wp:docPr id="1189026193"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026193" name="Imagen 5" descr="Tabla&#10;&#10;Descripción generada automáticamente"/>
                    <pic:cNvPicPr/>
                  </pic:nvPicPr>
                  <pic:blipFill>
                    <a:blip r:embed="rId538">
                      <a:extLst>
                        <a:ext uri="{28A0092B-C50C-407E-A947-70E740481C1C}">
                          <a14:useLocalDpi xmlns:a14="http://schemas.microsoft.com/office/drawing/2010/main" val="0"/>
                        </a:ext>
                      </a:extLst>
                    </a:blip>
                    <a:stretch>
                      <a:fillRect/>
                    </a:stretch>
                  </pic:blipFill>
                  <pic:spPr>
                    <a:xfrm>
                      <a:off x="0" y="0"/>
                      <a:ext cx="9144000" cy="4466590"/>
                    </a:xfrm>
                    <a:prstGeom prst="rect">
                      <a:avLst/>
                    </a:prstGeom>
                  </pic:spPr>
                </pic:pic>
              </a:graphicData>
            </a:graphic>
          </wp:anchor>
        </w:drawing>
      </w:r>
    </w:p>
    <w:p w14:paraId="043E18BC"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D47A542"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209BC153"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125459A8"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90046F7"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2AAF4FC4"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2293EA79"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1F96D663"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8AB50CE"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F47DB8E"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62BEC601"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BBEF206"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757ABF7"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96D101F"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68107CF4"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B969B0B"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3BC6DF3F"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76F3D17"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618786F3"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27511230"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6C338337"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0F3DD5A3"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2397D0B"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027EFCFF"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5CBC68A0"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3069F7D"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0215553"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9D345F7"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92FF576"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FE89CD0"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29D4B573"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6041C71B"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r w:rsidRPr="00D56BF9">
        <w:rPr>
          <w:rFonts w:ascii="Times New Roman" w:eastAsia="Times New Roman" w:hAnsi="Times New Roman" w:cs="Times New Roman"/>
          <w:noProof/>
          <w:kern w:val="0"/>
          <w:sz w:val="24"/>
          <w:szCs w:val="20"/>
          <w:lang w:val="es-ES_tradnl" w:eastAsia="es-CR"/>
          <w14:ligatures w14:val="none"/>
        </w:rPr>
        <mc:AlternateContent>
          <mc:Choice Requires="wps">
            <w:drawing>
              <wp:anchor distT="0" distB="0" distL="114300" distR="114300" simplePos="0" relativeHeight="252857344" behindDoc="0" locked="0" layoutInCell="1" allowOverlap="1" wp14:anchorId="48B1279C" wp14:editId="4F4961C4">
                <wp:simplePos x="0" y="0"/>
                <wp:positionH relativeFrom="margin">
                  <wp:align>center</wp:align>
                </wp:positionH>
                <wp:positionV relativeFrom="paragraph">
                  <wp:posOffset>-66675</wp:posOffset>
                </wp:positionV>
                <wp:extent cx="6606540" cy="414337"/>
                <wp:effectExtent l="0" t="0" r="22860" b="24130"/>
                <wp:wrapNone/>
                <wp:docPr id="245141021" name="Cuadro de texto 245141021"/>
                <wp:cNvGraphicFramePr/>
                <a:graphic xmlns:a="http://schemas.openxmlformats.org/drawingml/2006/main">
                  <a:graphicData uri="http://schemas.microsoft.com/office/word/2010/wordprocessingShape">
                    <wps:wsp>
                      <wps:cNvSpPr txBox="1"/>
                      <wps:spPr>
                        <a:xfrm>
                          <a:off x="0" y="0"/>
                          <a:ext cx="6606540" cy="414337"/>
                        </a:xfrm>
                        <a:prstGeom prst="rect">
                          <a:avLst/>
                        </a:prstGeom>
                        <a:solidFill>
                          <a:sysClr val="window" lastClr="FFFFFF"/>
                        </a:solidFill>
                        <a:ln w="6350">
                          <a:solidFill>
                            <a:prstClr val="black"/>
                          </a:solidFill>
                        </a:ln>
                      </wps:spPr>
                      <wps:txbx>
                        <w:txbxContent>
                          <w:p w14:paraId="3E95B658" w14:textId="77777777" w:rsidR="00D56BF9" w:rsidRPr="00D56BF9" w:rsidRDefault="00D56BF9" w:rsidP="00D56BF9">
                            <w:pPr>
                              <w:jc w:val="center"/>
                              <w:rPr>
                                <w:rFonts w:cs="Calibri"/>
                              </w:rPr>
                            </w:pPr>
                            <w:r w:rsidRPr="00D56BF9">
                              <w:rPr>
                                <w:rFonts w:cs="Calibri"/>
                                <w:b/>
                              </w:rPr>
                              <w:t>ESCALA DE EVALUACIÓN – TRABAJO DE INVESTIGACIÓN</w:t>
                            </w:r>
                          </w:p>
                          <w:p w14:paraId="108132FA" w14:textId="77777777" w:rsidR="00D56BF9" w:rsidRPr="00D56BF9" w:rsidRDefault="00D56BF9" w:rsidP="00D56BF9">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1279C" id="Cuadro de texto 245141021" o:spid="_x0000_s1256" type="#_x0000_t202" style="position:absolute;left:0;text-align:left;margin-left:0;margin-top:-5.25pt;width:520.2pt;height:32.6pt;z-index:252857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" fillcolor="window" strokeweight=".5pt">
                <v:textbox>
                  <w:txbxContent>
                    <w:p w14:paraId="3E95B658" w14:textId="77777777" w:rsidR="00D56BF9" w:rsidRPr="00D56BF9" w:rsidRDefault="00D56BF9" w:rsidP="00D56BF9">
                      <w:pPr>
                        <w:jc w:val="center"/>
                        <w:rPr>
                          <w:rFonts w:cs="Calibri"/>
                        </w:rPr>
                      </w:pPr>
                      <w:r w:rsidRPr="00D56BF9">
                        <w:rPr>
                          <w:rFonts w:cs="Calibri"/>
                          <w:b/>
                        </w:rPr>
                        <w:t>ESCALA DE EVALUACIÓN – TRABAJO DE INVESTIGACIÓN</w:t>
                      </w:r>
                    </w:p>
                    <w:p w14:paraId="108132FA" w14:textId="77777777" w:rsidR="00D56BF9" w:rsidRPr="00D56BF9" w:rsidRDefault="00D56BF9" w:rsidP="00D56BF9">
                      <w:pPr>
                        <w:jc w:val="center"/>
                        <w:rPr>
                          <w:rFonts w:cs="Calibri"/>
                        </w:rPr>
                      </w:pPr>
                    </w:p>
                  </w:txbxContent>
                </v:textbox>
                <w10:wrap anchorx="margin"/>
              </v:shape>
            </w:pict>
          </mc:Fallback>
        </mc:AlternateContent>
      </w:r>
    </w:p>
    <w:p w14:paraId="568037D7"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0FEB1591"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8A702B7"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4A1FF24F"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color w:val="0070C0"/>
          <w:kern w:val="0"/>
          <w14:ligatures w14:val="none"/>
        </w:rPr>
      </w:pPr>
      <w:r w:rsidRPr="00D56BF9">
        <w:rPr>
          <w:rFonts w:ascii="Calibri" w:eastAsia="Calibri" w:hAnsi="Calibri" w:cs="Arial"/>
          <w:bCs/>
          <w:color w:val="0070C0"/>
          <w:kern w:val="0"/>
          <w14:ligatures w14:val="none"/>
        </w:rPr>
        <w:t>El trabajo final de investigación estará dedicado a la discusión hermenéutica y exegética en torno al libro de Marcos. Tiene un valor de 35% y se desarrolla desde la sesión 5 hasta la 15 de la siguiente forma: Tema, objetivos y bibliografía preliminar (sesión 5), primer avance (sesión 9), segundo avance (sesión 13), versión final (sesión 15), presentación oral en las sesiones 14 y 15 según asignación docente.</w:t>
      </w:r>
    </w:p>
    <w:p w14:paraId="469F93A5"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2EFFDB3"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7BE4B748"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pPr>
    </w:p>
    <w:p w14:paraId="10583DB8" w14:textId="77777777" w:rsidR="00D56BF9" w:rsidRPr="00D56BF9" w:rsidRDefault="00D56BF9" w:rsidP="00D56BF9">
      <w:pPr>
        <w:autoSpaceDE w:val="0"/>
        <w:autoSpaceDN w:val="0"/>
        <w:adjustRightInd w:val="0"/>
        <w:spacing w:after="0" w:line="240" w:lineRule="auto"/>
        <w:jc w:val="center"/>
        <w:rPr>
          <w:rFonts w:ascii="Calibri" w:eastAsia="Calibri" w:hAnsi="Calibri" w:cs="Arial"/>
          <w:bCs/>
          <w:kern w:val="0"/>
          <w14:ligatures w14:val="none"/>
        </w:rPr>
        <w:sectPr w:rsidR="00D56BF9" w:rsidRPr="00D56BF9" w:rsidSect="00D56BF9">
          <w:pgSz w:w="15840" w:h="12240" w:orient="landscape"/>
          <w:pgMar w:top="720" w:right="720" w:bottom="720" w:left="720" w:header="709" w:footer="709" w:gutter="0"/>
          <w:cols w:space="708"/>
          <w:docGrid w:linePitch="360"/>
        </w:sectPr>
      </w:pPr>
      <w:r w:rsidRPr="00D56BF9">
        <w:rPr>
          <w:rFonts w:ascii="Calibri" w:eastAsia="Calibri" w:hAnsi="Calibri" w:cs="Arial"/>
          <w:bCs/>
          <w:noProof/>
          <w:kern w:val="0"/>
          <w14:ligatures w14:val="none"/>
        </w:rPr>
        <w:drawing>
          <wp:anchor distT="0" distB="0" distL="114300" distR="114300" simplePos="0" relativeHeight="252858368" behindDoc="0" locked="0" layoutInCell="1" allowOverlap="1" wp14:anchorId="4D386ABA" wp14:editId="08634933">
            <wp:simplePos x="0" y="0"/>
            <wp:positionH relativeFrom="column">
              <wp:posOffset>523875</wp:posOffset>
            </wp:positionH>
            <wp:positionV relativeFrom="paragraph">
              <wp:posOffset>-635</wp:posOffset>
            </wp:positionV>
            <wp:extent cx="8095488" cy="4200144"/>
            <wp:effectExtent l="0" t="0" r="1270" b="0"/>
            <wp:wrapNone/>
            <wp:docPr id="1162914371"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14371" name="Imagen 6" descr="Tabla&#10;&#10;Descripción generada automáticamente"/>
                    <pic:cNvPicPr/>
                  </pic:nvPicPr>
                  <pic:blipFill>
                    <a:blip r:embed="rId539">
                      <a:extLst>
                        <a:ext uri="{28A0092B-C50C-407E-A947-70E740481C1C}">
                          <a14:useLocalDpi xmlns:a14="http://schemas.microsoft.com/office/drawing/2010/main" val="0"/>
                        </a:ext>
                      </a:extLst>
                    </a:blip>
                    <a:stretch>
                      <a:fillRect/>
                    </a:stretch>
                  </pic:blipFill>
                  <pic:spPr>
                    <a:xfrm>
                      <a:off x="0" y="0"/>
                      <a:ext cx="8095488" cy="4200144"/>
                    </a:xfrm>
                    <a:prstGeom prst="rect">
                      <a:avLst/>
                    </a:prstGeom>
                  </pic:spPr>
                </pic:pic>
              </a:graphicData>
            </a:graphic>
          </wp:anchor>
        </w:drawing>
      </w:r>
    </w:p>
    <w:p w14:paraId="2444795D"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14:ligatures w14:val="none"/>
        </w:rPr>
      </w:pPr>
      <w:r w:rsidRPr="00D56BF9">
        <w:rPr>
          <w:rFonts w:ascii="Calibri" w:eastAsia="Calibri" w:hAnsi="Calibri" w:cs="Arial"/>
          <w:b/>
          <w:kern w:val="0"/>
          <w14:ligatures w14:val="none"/>
        </w:rPr>
        <w:lastRenderedPageBreak/>
        <w:t>XI. Bibliografía obligatoria</w:t>
      </w:r>
    </w:p>
    <w:p w14:paraId="71F09D21" w14:textId="77777777" w:rsidR="00D56BF9" w:rsidRPr="00D56BF9" w:rsidRDefault="00D56BF9" w:rsidP="00D56BF9">
      <w:pPr>
        <w:autoSpaceDE w:val="0"/>
        <w:autoSpaceDN w:val="0"/>
        <w:adjustRightInd w:val="0"/>
        <w:spacing w:after="0" w:line="240" w:lineRule="auto"/>
        <w:jc w:val="both"/>
        <w:rPr>
          <w:rFonts w:ascii="Calibri" w:eastAsia="Calibri" w:hAnsi="Calibri" w:cs="Arial"/>
          <w:b/>
          <w:kern w:val="0"/>
          <w14:ligatures w14:val="none"/>
        </w:rPr>
      </w:pPr>
    </w:p>
    <w:p w14:paraId="36C8EB9B"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D56BF9">
        <w:rPr>
          <w:rFonts w:ascii="Calibri" w:eastAsia="Times New Roman" w:hAnsi="Calibri" w:cs="Arial"/>
          <w:b/>
          <w:color w:val="000000"/>
          <w:kern w:val="0"/>
          <w:lang w:eastAsia="es-CR"/>
          <w14:ligatures w14:val="none"/>
        </w:rPr>
        <w:t>Nota:</w:t>
      </w:r>
      <w:r w:rsidRPr="00D56BF9">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D56BF9">
        <w:rPr>
          <w:rFonts w:ascii="Calibri" w:eastAsia="Times New Roman" w:hAnsi="Calibri" w:cs="Arial"/>
          <w:bCs/>
          <w:color w:val="000000"/>
          <w:kern w:val="0"/>
          <w:lang w:eastAsia="es-CR"/>
          <w14:ligatures w14:val="none"/>
        </w:rPr>
        <w:t>pdf</w:t>
      </w:r>
      <w:proofErr w:type="spellEnd"/>
      <w:r w:rsidRPr="00D56BF9">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55037372" w14:textId="77777777" w:rsidR="00D56BF9" w:rsidRPr="00D56BF9" w:rsidRDefault="00D56BF9" w:rsidP="00D56BF9">
      <w:pPr>
        <w:autoSpaceDE w:val="0"/>
        <w:autoSpaceDN w:val="0"/>
        <w:adjustRightInd w:val="0"/>
        <w:spacing w:after="0" w:line="240" w:lineRule="auto"/>
        <w:jc w:val="both"/>
        <w:rPr>
          <w:rFonts w:ascii="Calibri" w:eastAsia="Calibri" w:hAnsi="Calibri" w:cs="Arial"/>
          <w:bCs/>
          <w:kern w:val="0"/>
          <w:sz w:val="10"/>
          <w:szCs w:val="10"/>
          <w14:ligatures w14:val="none"/>
        </w:rPr>
      </w:pPr>
    </w:p>
    <w:p w14:paraId="0070C9F7" w14:textId="77777777" w:rsidR="00D56BF9" w:rsidRPr="00D56BF9" w:rsidRDefault="00D56BF9" w:rsidP="00D56BF9">
      <w:pPr>
        <w:widowControl w:val="0"/>
        <w:tabs>
          <w:tab w:val="left" w:pos="6450"/>
        </w:tabs>
        <w:overflowPunct w:val="0"/>
        <w:autoSpaceDE w:val="0"/>
        <w:autoSpaceDN w:val="0"/>
        <w:adjustRightInd w:val="0"/>
        <w:spacing w:before="120" w:after="0" w:line="240" w:lineRule="auto"/>
        <w:ind w:left="539" w:right="45" w:hanging="539"/>
        <w:jc w:val="both"/>
        <w:rPr>
          <w:rFonts w:ascii="Calibri" w:eastAsia="Times New Roman" w:hAnsi="Calibri" w:cs="Calibri"/>
          <w:kern w:val="0"/>
          <w:lang w:val="es-ES_tradnl" w:eastAsia="es-CR"/>
          <w14:ligatures w14:val="none"/>
        </w:rPr>
      </w:pPr>
      <w:r w:rsidRPr="00D56BF9">
        <w:rPr>
          <w:rFonts w:ascii="Calibri" w:eastAsia="Times New Roman" w:hAnsi="Calibri" w:cs="Calibri"/>
          <w:kern w:val="0"/>
          <w:lang w:val="es-ES_tradnl" w:eastAsia="es-CR"/>
          <w14:ligatures w14:val="none"/>
        </w:rPr>
        <w:t>Aranda Garrido, Pedro</w:t>
      </w:r>
      <w:r w:rsidRPr="00D56BF9">
        <w:rPr>
          <w:rFonts w:ascii="Calibri" w:eastAsia="Times New Roman" w:hAnsi="Calibri" w:cs="Calibri"/>
          <w:i/>
          <w:iCs/>
          <w:kern w:val="0"/>
          <w:lang w:val="es-ES_tradnl" w:eastAsia="es-CR"/>
          <w14:ligatures w14:val="none"/>
        </w:rPr>
        <w:t>. La casa, espacio de memoria e identidad en el Evangelio según Marcos.</w:t>
      </w:r>
      <w:r w:rsidRPr="00D56BF9">
        <w:rPr>
          <w:rFonts w:ascii="Calibri" w:eastAsia="Times New Roman" w:hAnsi="Calibri" w:cs="Calibri"/>
          <w:kern w:val="0"/>
          <w:lang w:val="es-ES_tradnl" w:eastAsia="es-CR"/>
          <w14:ligatures w14:val="none"/>
        </w:rPr>
        <w:t xml:space="preserve"> Estella (Navarra): Verbo Divino, 2012. (</w:t>
      </w:r>
      <w:r w:rsidRPr="00D56BF9">
        <w:rPr>
          <w:rFonts w:ascii="Calibri" w:eastAsia="Times New Roman" w:hAnsi="Calibri" w:cs="Calibri"/>
          <w:color w:val="0070C0"/>
          <w:kern w:val="0"/>
          <w:lang w:val="es-ES_tradnl" w:eastAsia="es-CR"/>
          <w14:ligatures w14:val="none"/>
        </w:rPr>
        <w:t>clásico,</w:t>
      </w:r>
      <w:r w:rsidRPr="00D56BF9">
        <w:rPr>
          <w:rFonts w:ascii="Calibri" w:eastAsia="Times New Roman" w:hAnsi="Calibri" w:cs="Calibri"/>
          <w:kern w:val="0"/>
          <w:lang w:val="es-ES_tradnl" w:eastAsia="es-CR"/>
          <w14:ligatures w14:val="none"/>
        </w:rPr>
        <w:t xml:space="preserve"> última edición)</w:t>
      </w:r>
    </w:p>
    <w:p w14:paraId="0200AB47" w14:textId="77777777" w:rsidR="00D56BF9" w:rsidRPr="00D56BF9" w:rsidRDefault="00D56BF9" w:rsidP="00D56BF9">
      <w:pPr>
        <w:widowControl w:val="0"/>
        <w:overflowPunct w:val="0"/>
        <w:autoSpaceDE w:val="0"/>
        <w:autoSpaceDN w:val="0"/>
        <w:adjustRightInd w:val="0"/>
        <w:spacing w:before="120" w:after="0" w:line="240" w:lineRule="auto"/>
        <w:ind w:left="539" w:right="45" w:hanging="539"/>
        <w:jc w:val="both"/>
        <w:rPr>
          <w:rFonts w:ascii="Calibri" w:eastAsia="Times New Roman" w:hAnsi="Calibri" w:cs="Calibri"/>
          <w:kern w:val="0"/>
          <w:lang w:val="es-ES_tradnl" w:eastAsia="es-CR"/>
          <w14:ligatures w14:val="none"/>
        </w:rPr>
      </w:pPr>
      <w:proofErr w:type="spellStart"/>
      <w:r w:rsidRPr="00D56BF9">
        <w:rPr>
          <w:rFonts w:ascii="Calibri" w:eastAsia="Times New Roman" w:hAnsi="Calibri" w:cs="Calibri"/>
          <w:kern w:val="0"/>
          <w:lang w:val="es-ES_tradnl" w:eastAsia="es-CR"/>
          <w14:ligatures w14:val="none"/>
        </w:rPr>
        <w:t>Baslez</w:t>
      </w:r>
      <w:proofErr w:type="spellEnd"/>
      <w:r w:rsidRPr="00D56BF9">
        <w:rPr>
          <w:rFonts w:ascii="Calibri" w:eastAsia="Times New Roman" w:hAnsi="Calibri" w:cs="Calibri"/>
          <w:kern w:val="0"/>
          <w:lang w:val="es-ES_tradnl" w:eastAsia="es-CR"/>
          <w14:ligatures w14:val="none"/>
        </w:rPr>
        <w:t>, Marie-Françoise</w:t>
      </w:r>
      <w:r w:rsidRPr="00D56BF9">
        <w:rPr>
          <w:rFonts w:ascii="Calibri" w:eastAsia="Times New Roman" w:hAnsi="Calibri" w:cs="Calibri"/>
          <w:i/>
          <w:iCs/>
          <w:kern w:val="0"/>
          <w:lang w:val="es-ES_tradnl" w:eastAsia="es-CR"/>
          <w14:ligatures w14:val="none"/>
        </w:rPr>
        <w:t xml:space="preserve">. Cómo se escribe la historia en la época del Nuevo Testamento. </w:t>
      </w:r>
      <w:r w:rsidRPr="00D56BF9">
        <w:rPr>
          <w:rFonts w:ascii="Calibri" w:eastAsia="Times New Roman" w:hAnsi="Calibri" w:cs="Calibri"/>
          <w:kern w:val="0"/>
          <w:lang w:val="es-ES_tradnl" w:eastAsia="es-CR"/>
          <w14:ligatures w14:val="none"/>
        </w:rPr>
        <w:t>Estella: Verbo Divino, 2009. (</w:t>
      </w:r>
      <w:r w:rsidRPr="00D56BF9">
        <w:rPr>
          <w:rFonts w:ascii="Calibri" w:eastAsia="Times New Roman" w:hAnsi="Calibri" w:cs="Calibri"/>
          <w:color w:val="0070C0"/>
          <w:kern w:val="0"/>
          <w:lang w:val="es-ES_tradnl" w:eastAsia="es-CR"/>
          <w14:ligatures w14:val="none"/>
        </w:rPr>
        <w:t xml:space="preserve">clásico, </w:t>
      </w:r>
      <w:r w:rsidRPr="00D56BF9">
        <w:rPr>
          <w:rFonts w:ascii="Calibri" w:eastAsia="Times New Roman" w:hAnsi="Calibri" w:cs="Calibri"/>
          <w:kern w:val="0"/>
          <w:lang w:val="es-ES_tradnl" w:eastAsia="es-CR"/>
          <w14:ligatures w14:val="none"/>
        </w:rPr>
        <w:t>última edición)</w:t>
      </w:r>
    </w:p>
    <w:p w14:paraId="6EB76C27" w14:textId="77777777" w:rsidR="00D56BF9" w:rsidRPr="00D56BF9" w:rsidRDefault="00D56BF9" w:rsidP="00D56BF9">
      <w:pPr>
        <w:widowControl w:val="0"/>
        <w:overflowPunct w:val="0"/>
        <w:autoSpaceDE w:val="0"/>
        <w:autoSpaceDN w:val="0"/>
        <w:adjustRightInd w:val="0"/>
        <w:spacing w:before="120" w:after="0" w:line="240" w:lineRule="auto"/>
        <w:ind w:left="539" w:right="45" w:hanging="539"/>
        <w:jc w:val="both"/>
        <w:rPr>
          <w:rFonts w:ascii="Calibri" w:eastAsia="Times New Roman" w:hAnsi="Calibri" w:cs="Calibri"/>
          <w:kern w:val="0"/>
          <w:lang w:val="es-ES_tradnl" w:eastAsia="es-CR"/>
          <w14:ligatures w14:val="none"/>
        </w:rPr>
      </w:pPr>
      <w:r w:rsidRPr="00D56BF9">
        <w:rPr>
          <w:rFonts w:ascii="Calibri" w:eastAsia="Times New Roman" w:hAnsi="Calibri" w:cs="Calibri"/>
          <w:kern w:val="0"/>
          <w:lang w:val="es-ES_tradnl" w:eastAsia="es-CR"/>
          <w14:ligatures w14:val="none"/>
        </w:rPr>
        <w:t xml:space="preserve">Bernabé, Carmen. “El reino de Dios y su propuesta desde la marginalidad creativa”. En </w:t>
      </w:r>
      <w:r w:rsidRPr="00D56BF9">
        <w:rPr>
          <w:rFonts w:ascii="Calibri" w:eastAsia="Times New Roman" w:hAnsi="Calibri" w:cs="Calibri"/>
          <w:i/>
          <w:iCs/>
          <w:kern w:val="0"/>
          <w:lang w:val="es-ES_tradnl" w:eastAsia="es-CR"/>
          <w14:ligatures w14:val="none"/>
        </w:rPr>
        <w:t>De Jerusalén a Roma: la marginalidad del cristianismo de los orígenes</w:t>
      </w:r>
      <w:r w:rsidRPr="00D56BF9">
        <w:rPr>
          <w:rFonts w:ascii="Calibri" w:eastAsia="Times New Roman" w:hAnsi="Calibri" w:cs="Calibri"/>
          <w:kern w:val="0"/>
          <w:lang w:val="es-ES_tradnl" w:eastAsia="es-CR"/>
          <w14:ligatures w14:val="none"/>
        </w:rPr>
        <w:t xml:space="preserve">, editado por Rafael Aguirre, 19-45. Estella (Navarra): Verbo Divino, 2021. </w:t>
      </w:r>
    </w:p>
    <w:p w14:paraId="0DBD03B3" w14:textId="77777777" w:rsidR="00D56BF9" w:rsidRPr="00D56BF9" w:rsidRDefault="00D56BF9" w:rsidP="00D56BF9">
      <w:pPr>
        <w:widowControl w:val="0"/>
        <w:overflowPunct w:val="0"/>
        <w:autoSpaceDE w:val="0"/>
        <w:autoSpaceDN w:val="0"/>
        <w:adjustRightInd w:val="0"/>
        <w:spacing w:before="120" w:after="0" w:line="240" w:lineRule="auto"/>
        <w:ind w:left="539" w:right="45" w:hanging="539"/>
        <w:jc w:val="both"/>
        <w:rPr>
          <w:rFonts w:ascii="Calibri" w:eastAsia="Times New Roman" w:hAnsi="Calibri" w:cs="Calibri"/>
          <w:kern w:val="0"/>
          <w:lang w:val="es-ES_tradnl" w:eastAsia="es-CR"/>
          <w14:ligatures w14:val="none"/>
        </w:rPr>
      </w:pPr>
      <w:r w:rsidRPr="00D56BF9">
        <w:rPr>
          <w:rFonts w:ascii="Calibri" w:eastAsia="Times New Roman" w:hAnsi="Calibri" w:cs="Calibri"/>
          <w:kern w:val="0"/>
          <w:lang w:val="es-ES_tradnl" w:eastAsia="es-CR"/>
          <w14:ligatures w14:val="none"/>
        </w:rPr>
        <w:t xml:space="preserve">Bermejo Rubio, Fernando. </w:t>
      </w:r>
      <w:r w:rsidRPr="00D56BF9">
        <w:rPr>
          <w:rFonts w:ascii="Calibri" w:eastAsia="Times New Roman" w:hAnsi="Calibri" w:cs="Calibri"/>
          <w:i/>
          <w:iCs/>
          <w:kern w:val="0"/>
          <w:lang w:val="es-ES_tradnl" w:eastAsia="es-CR"/>
          <w14:ligatures w14:val="none"/>
        </w:rPr>
        <w:t>La invención de Jesús de Nazaret: Historia, ficción, historiografía</w:t>
      </w:r>
      <w:r w:rsidRPr="00D56BF9">
        <w:rPr>
          <w:rFonts w:ascii="Calibri" w:eastAsia="Times New Roman" w:hAnsi="Calibri" w:cs="Calibri"/>
          <w:kern w:val="0"/>
          <w:lang w:val="es-ES_tradnl" w:eastAsia="es-CR"/>
          <w14:ligatures w14:val="none"/>
        </w:rPr>
        <w:t xml:space="preserve">. Madrid: Siglo XXI, 2019. </w:t>
      </w:r>
    </w:p>
    <w:p w14:paraId="2743A7FF" w14:textId="77777777" w:rsidR="00D56BF9" w:rsidRPr="00D56BF9" w:rsidRDefault="00D56BF9" w:rsidP="00D56BF9">
      <w:pPr>
        <w:widowControl w:val="0"/>
        <w:overflowPunct w:val="0"/>
        <w:autoSpaceDE w:val="0"/>
        <w:autoSpaceDN w:val="0"/>
        <w:adjustRightInd w:val="0"/>
        <w:spacing w:before="120" w:after="0" w:line="240" w:lineRule="auto"/>
        <w:ind w:left="539" w:right="45" w:hanging="539"/>
        <w:jc w:val="both"/>
        <w:rPr>
          <w:rFonts w:ascii="Calibri" w:eastAsia="Times New Roman" w:hAnsi="Calibri" w:cs="Calibri"/>
          <w:kern w:val="0"/>
          <w:lang w:val="es-ES_tradnl" w:eastAsia="es-CR"/>
          <w14:ligatures w14:val="none"/>
        </w:rPr>
      </w:pPr>
      <w:r w:rsidRPr="00D56BF9">
        <w:rPr>
          <w:rFonts w:ascii="Calibri" w:eastAsia="Times New Roman" w:hAnsi="Calibri" w:cs="Calibri"/>
          <w:kern w:val="0"/>
          <w:lang w:val="es-ES" w:eastAsia="es-CR"/>
          <w14:ligatures w14:val="none"/>
        </w:rPr>
        <w:t>Carter, Warren</w:t>
      </w:r>
      <w:r w:rsidRPr="00D56BF9">
        <w:rPr>
          <w:rFonts w:ascii="Calibri" w:eastAsia="Times New Roman" w:hAnsi="Calibri" w:cs="Calibri"/>
          <w:i/>
          <w:iCs/>
          <w:kern w:val="0"/>
          <w:lang w:val="es-ES" w:eastAsia="es-CR"/>
          <w14:ligatures w14:val="none"/>
        </w:rPr>
        <w:t>. El imperio romano y el Nuevo Testamento: guía básica</w:t>
      </w:r>
      <w:r w:rsidRPr="00D56BF9">
        <w:rPr>
          <w:rFonts w:ascii="Calibri" w:eastAsia="Times New Roman" w:hAnsi="Calibri" w:cs="Calibri"/>
          <w:kern w:val="0"/>
          <w:lang w:val="es-ES" w:eastAsia="es-CR"/>
          <w14:ligatures w14:val="none"/>
        </w:rPr>
        <w:t xml:space="preserve">. Estella (Navarra): Verbo Divino, 2011. </w:t>
      </w:r>
      <w:r w:rsidRPr="00D56BF9">
        <w:rPr>
          <w:rFonts w:ascii="Calibri" w:eastAsia="Times New Roman" w:hAnsi="Calibri" w:cs="Calibri"/>
          <w:kern w:val="0"/>
          <w:lang w:val="es-ES_tradnl" w:eastAsia="es-CR"/>
          <w14:ligatures w14:val="none"/>
        </w:rPr>
        <w:t>(</w:t>
      </w:r>
      <w:r w:rsidRPr="00D56BF9">
        <w:rPr>
          <w:rFonts w:ascii="Calibri" w:eastAsia="Times New Roman" w:hAnsi="Calibri" w:cs="Calibri"/>
          <w:color w:val="0070C0"/>
          <w:kern w:val="0"/>
          <w:lang w:val="es-ES_tradnl" w:eastAsia="es-CR"/>
          <w14:ligatures w14:val="none"/>
        </w:rPr>
        <w:t xml:space="preserve">clásico, </w:t>
      </w:r>
      <w:r w:rsidRPr="00D56BF9">
        <w:rPr>
          <w:rFonts w:ascii="Calibri" w:eastAsia="Times New Roman" w:hAnsi="Calibri" w:cs="Calibri"/>
          <w:kern w:val="0"/>
          <w:lang w:val="es-ES_tradnl" w:eastAsia="es-CR"/>
          <w14:ligatures w14:val="none"/>
        </w:rPr>
        <w:t>última edición)</w:t>
      </w:r>
    </w:p>
    <w:p w14:paraId="69909D6D" w14:textId="77777777" w:rsidR="00D56BF9" w:rsidRPr="00D56BF9" w:rsidRDefault="00D56BF9" w:rsidP="00D56BF9">
      <w:pPr>
        <w:widowControl w:val="0"/>
        <w:tabs>
          <w:tab w:val="left" w:pos="6450"/>
        </w:tabs>
        <w:overflowPunct w:val="0"/>
        <w:autoSpaceDE w:val="0"/>
        <w:autoSpaceDN w:val="0"/>
        <w:adjustRightInd w:val="0"/>
        <w:spacing w:before="120" w:after="0" w:line="240" w:lineRule="auto"/>
        <w:ind w:left="539" w:right="45" w:hanging="539"/>
        <w:jc w:val="both"/>
        <w:rPr>
          <w:rFonts w:ascii="Calibri" w:eastAsia="Times New Roman" w:hAnsi="Calibri" w:cs="Calibri"/>
          <w:color w:val="000000"/>
          <w:kern w:val="0"/>
          <w:lang w:val="es-ES_tradnl" w:eastAsia="es-CR"/>
          <w14:ligatures w14:val="none"/>
        </w:rPr>
      </w:pPr>
      <w:proofErr w:type="spellStart"/>
      <w:r w:rsidRPr="00D56BF9">
        <w:rPr>
          <w:rFonts w:ascii="Calibri" w:eastAsia="Times New Roman" w:hAnsi="Calibri" w:cs="Calibri"/>
          <w:kern w:val="0"/>
          <w:lang w:val="es-ES_tradnl" w:eastAsia="es-CR"/>
          <w14:ligatures w14:val="none"/>
        </w:rPr>
        <w:t>Gnilka</w:t>
      </w:r>
      <w:proofErr w:type="spellEnd"/>
      <w:r w:rsidRPr="00D56BF9">
        <w:rPr>
          <w:rFonts w:ascii="Calibri" w:eastAsia="Times New Roman" w:hAnsi="Calibri" w:cs="Calibri"/>
          <w:kern w:val="0"/>
          <w:lang w:val="es-ES_tradnl" w:eastAsia="es-CR"/>
          <w14:ligatures w14:val="none"/>
        </w:rPr>
        <w:t xml:space="preserve">, Joachim. </w:t>
      </w:r>
      <w:r w:rsidRPr="00D56BF9">
        <w:rPr>
          <w:rFonts w:ascii="Calibri" w:eastAsia="Times New Roman" w:hAnsi="Calibri" w:cs="Calibri"/>
          <w:i/>
          <w:iCs/>
          <w:kern w:val="0"/>
          <w:lang w:val="es-ES_tradnl" w:eastAsia="es-CR"/>
          <w14:ligatures w14:val="none"/>
        </w:rPr>
        <w:t>El evangelio según San Marcos I.</w:t>
      </w:r>
      <w:r w:rsidRPr="00D56BF9">
        <w:rPr>
          <w:rFonts w:ascii="Calibri" w:eastAsia="Times New Roman" w:hAnsi="Calibri" w:cs="Calibri"/>
          <w:kern w:val="0"/>
          <w:lang w:val="es-ES_tradnl" w:eastAsia="es-CR"/>
          <w14:ligatures w14:val="none"/>
        </w:rPr>
        <w:t xml:space="preserve"> Salamanca: Sígueme, 1999. (Clásico, </w:t>
      </w:r>
      <w:r w:rsidRPr="00D56BF9">
        <w:rPr>
          <w:rFonts w:ascii="Calibri" w:eastAsia="Times New Roman" w:hAnsi="Calibri" w:cs="Calibri"/>
          <w:color w:val="0070C0"/>
          <w:kern w:val="0"/>
          <w:lang w:val="es-ES_tradnl" w:eastAsia="es-CR"/>
          <w14:ligatures w14:val="none"/>
        </w:rPr>
        <w:t>última edición</w:t>
      </w:r>
      <w:r w:rsidRPr="00D56BF9">
        <w:rPr>
          <w:rFonts w:ascii="Calibri" w:eastAsia="Times New Roman" w:hAnsi="Calibri" w:cs="Calibri"/>
          <w:kern w:val="0"/>
          <w:lang w:val="es-ES_tradnl" w:eastAsia="es-CR"/>
          <w14:ligatures w14:val="none"/>
        </w:rPr>
        <w:t>)</w:t>
      </w:r>
    </w:p>
    <w:p w14:paraId="6BF45CD9" w14:textId="77777777" w:rsidR="00D56BF9" w:rsidRPr="00D56BF9" w:rsidRDefault="00D56BF9" w:rsidP="00D56BF9">
      <w:pPr>
        <w:widowControl w:val="0"/>
        <w:overflowPunct w:val="0"/>
        <w:autoSpaceDE w:val="0"/>
        <w:autoSpaceDN w:val="0"/>
        <w:adjustRightInd w:val="0"/>
        <w:spacing w:before="120" w:after="0" w:line="240" w:lineRule="auto"/>
        <w:ind w:left="539" w:right="45" w:hanging="539"/>
        <w:jc w:val="both"/>
        <w:rPr>
          <w:rFonts w:ascii="Calibri" w:eastAsia="Times New Roman" w:hAnsi="Calibri" w:cs="Calibri"/>
          <w:kern w:val="0"/>
          <w:lang w:val="es-ES_tradnl" w:eastAsia="es-CR"/>
          <w14:ligatures w14:val="none"/>
        </w:rPr>
      </w:pPr>
      <w:proofErr w:type="spellStart"/>
      <w:r w:rsidRPr="00D56BF9">
        <w:rPr>
          <w:rFonts w:ascii="Calibri" w:eastAsia="Times New Roman" w:hAnsi="Calibri" w:cs="Calibri"/>
          <w:kern w:val="0"/>
          <w:lang w:val="es-ES_tradnl" w:eastAsia="es-CR"/>
          <w14:ligatures w14:val="none"/>
        </w:rPr>
        <w:t>Pikaza</w:t>
      </w:r>
      <w:proofErr w:type="spellEnd"/>
      <w:r w:rsidRPr="00D56BF9">
        <w:rPr>
          <w:rFonts w:ascii="Calibri" w:eastAsia="Times New Roman" w:hAnsi="Calibri" w:cs="Calibri"/>
          <w:kern w:val="0"/>
          <w:lang w:val="es-ES_tradnl" w:eastAsia="es-CR"/>
          <w14:ligatures w14:val="none"/>
        </w:rPr>
        <w:t xml:space="preserve"> Ibarrondo, Xabier. </w:t>
      </w:r>
      <w:r w:rsidRPr="00D56BF9">
        <w:rPr>
          <w:rFonts w:ascii="Calibri" w:eastAsia="Times New Roman" w:hAnsi="Calibri" w:cs="Calibri"/>
          <w:i/>
          <w:iCs/>
          <w:kern w:val="0"/>
          <w:lang w:val="es-ES_tradnl" w:eastAsia="es-CR"/>
          <w14:ligatures w14:val="none"/>
        </w:rPr>
        <w:t xml:space="preserve">Para vivir el evangelio: lectura de Marcos. </w:t>
      </w:r>
      <w:r w:rsidRPr="00D56BF9">
        <w:rPr>
          <w:rFonts w:ascii="Calibri" w:eastAsia="Times New Roman" w:hAnsi="Calibri" w:cs="Calibri"/>
          <w:kern w:val="0"/>
          <w:lang w:val="es-ES_tradnl" w:eastAsia="es-CR"/>
          <w14:ligatures w14:val="none"/>
        </w:rPr>
        <w:t>Estella (Navarra): Verbo Divino, 2003. (</w:t>
      </w:r>
      <w:r w:rsidRPr="00D56BF9">
        <w:rPr>
          <w:rFonts w:ascii="Calibri" w:eastAsia="Times New Roman" w:hAnsi="Calibri" w:cs="Calibri"/>
          <w:color w:val="0070C0"/>
          <w:kern w:val="0"/>
          <w:lang w:val="es-ES_tradnl" w:eastAsia="es-CR"/>
          <w14:ligatures w14:val="none"/>
        </w:rPr>
        <w:t xml:space="preserve">clásico, </w:t>
      </w:r>
      <w:r w:rsidRPr="00D56BF9">
        <w:rPr>
          <w:rFonts w:ascii="Calibri" w:eastAsia="Times New Roman" w:hAnsi="Calibri" w:cs="Calibri"/>
          <w:kern w:val="0"/>
          <w:lang w:val="es-ES_tradnl" w:eastAsia="es-CR"/>
          <w14:ligatures w14:val="none"/>
        </w:rPr>
        <w:t>última edición)</w:t>
      </w:r>
    </w:p>
    <w:p w14:paraId="189AF382" w14:textId="77777777" w:rsidR="00D56BF9" w:rsidRPr="00D56BF9" w:rsidRDefault="00D56BF9" w:rsidP="00D56BF9">
      <w:pPr>
        <w:widowControl w:val="0"/>
        <w:overflowPunct w:val="0"/>
        <w:autoSpaceDE w:val="0"/>
        <w:autoSpaceDN w:val="0"/>
        <w:adjustRightInd w:val="0"/>
        <w:spacing w:before="120" w:after="0" w:line="240" w:lineRule="auto"/>
        <w:ind w:left="539" w:right="45" w:hanging="539"/>
        <w:jc w:val="both"/>
        <w:rPr>
          <w:rFonts w:ascii="Calibri" w:eastAsia="Times New Roman" w:hAnsi="Calibri" w:cs="Calibri"/>
          <w:kern w:val="0"/>
          <w:lang w:val="es-ES_tradnl" w:eastAsia="es-CR"/>
          <w14:ligatures w14:val="none"/>
        </w:rPr>
      </w:pPr>
      <w:r w:rsidRPr="00D56BF9">
        <w:rPr>
          <w:rFonts w:ascii="Calibri" w:eastAsia="Times New Roman" w:hAnsi="Calibri" w:cs="Calibri"/>
          <w:kern w:val="0"/>
          <w:lang w:val="es-ES_tradnl" w:eastAsia="es-CR"/>
          <w14:ligatures w14:val="none"/>
        </w:rPr>
        <w:t xml:space="preserve">Piñero, Antonio. </w:t>
      </w:r>
      <w:r w:rsidRPr="00D56BF9">
        <w:rPr>
          <w:rFonts w:ascii="Calibri" w:eastAsia="Times New Roman" w:hAnsi="Calibri" w:cs="Calibri"/>
          <w:i/>
          <w:iCs/>
          <w:kern w:val="0"/>
          <w:lang w:val="es-ES_tradnl" w:eastAsia="es-CR"/>
          <w14:ligatures w14:val="none"/>
        </w:rPr>
        <w:t>Los libros del Nuevo Testamento: traducción y comentario</w:t>
      </w:r>
      <w:r w:rsidRPr="00D56BF9">
        <w:rPr>
          <w:rFonts w:ascii="Calibri" w:eastAsia="Times New Roman" w:hAnsi="Calibri" w:cs="Calibri"/>
          <w:kern w:val="0"/>
          <w:lang w:val="es-ES_tradnl" w:eastAsia="es-CR"/>
          <w14:ligatures w14:val="none"/>
        </w:rPr>
        <w:t xml:space="preserve">. Madrid: Trotta, 2021.  </w:t>
      </w:r>
    </w:p>
    <w:p w14:paraId="0B7C93AD" w14:textId="77777777" w:rsidR="00D56BF9" w:rsidRPr="00D56BF9" w:rsidRDefault="00D56BF9" w:rsidP="00D56BF9">
      <w:pPr>
        <w:widowControl w:val="0"/>
        <w:overflowPunct w:val="0"/>
        <w:autoSpaceDE w:val="0"/>
        <w:autoSpaceDN w:val="0"/>
        <w:adjustRightInd w:val="0"/>
        <w:spacing w:before="120" w:after="0" w:line="240" w:lineRule="auto"/>
        <w:ind w:left="539" w:right="45" w:hanging="539"/>
        <w:jc w:val="both"/>
        <w:rPr>
          <w:rFonts w:ascii="Calibri" w:eastAsia="Times New Roman" w:hAnsi="Calibri" w:cs="Calibri"/>
          <w:kern w:val="0"/>
          <w:lang w:val="es-ES_tradnl" w:eastAsia="es-CR"/>
          <w14:ligatures w14:val="none"/>
        </w:rPr>
      </w:pPr>
      <w:r w:rsidRPr="00D56BF9">
        <w:rPr>
          <w:rFonts w:ascii="Calibri" w:eastAsia="Times New Roman" w:hAnsi="Calibri" w:cs="Calibri"/>
          <w:kern w:val="0"/>
          <w:lang w:val="es-ES_tradnl" w:eastAsia="es-CR"/>
          <w14:ligatures w14:val="none"/>
        </w:rPr>
        <w:t xml:space="preserve">Schmid, Josef. </w:t>
      </w:r>
      <w:r w:rsidRPr="00D56BF9">
        <w:rPr>
          <w:rFonts w:ascii="Calibri" w:eastAsia="Times New Roman" w:hAnsi="Calibri" w:cs="Calibri"/>
          <w:i/>
          <w:iCs/>
          <w:kern w:val="0"/>
          <w:lang w:val="es-ES_tradnl" w:eastAsia="es-CR"/>
          <w14:ligatures w14:val="none"/>
        </w:rPr>
        <w:t>El Evangelio según San Marcos</w:t>
      </w:r>
      <w:r w:rsidRPr="00D56BF9">
        <w:rPr>
          <w:rFonts w:ascii="Calibri" w:eastAsia="Times New Roman" w:hAnsi="Calibri" w:cs="Calibri"/>
          <w:kern w:val="0"/>
          <w:lang w:val="es-ES_tradnl" w:eastAsia="es-CR"/>
          <w14:ligatures w14:val="none"/>
        </w:rPr>
        <w:t xml:space="preserve">. Barcelona: Herder, 1967. (Clásico, </w:t>
      </w:r>
      <w:r w:rsidRPr="00D56BF9">
        <w:rPr>
          <w:rFonts w:ascii="Calibri" w:eastAsia="Times New Roman" w:hAnsi="Calibri" w:cs="Calibri"/>
          <w:color w:val="0070C0"/>
          <w:kern w:val="0"/>
          <w:lang w:val="es-ES_tradnl" w:eastAsia="es-CR"/>
          <w14:ligatures w14:val="none"/>
        </w:rPr>
        <w:t>última impresión 1981</w:t>
      </w:r>
      <w:r w:rsidRPr="00D56BF9">
        <w:rPr>
          <w:rFonts w:ascii="Calibri" w:eastAsia="Times New Roman" w:hAnsi="Calibri" w:cs="Calibri"/>
          <w:kern w:val="0"/>
          <w:lang w:val="es-ES_tradnl" w:eastAsia="es-CR"/>
          <w14:ligatures w14:val="none"/>
        </w:rPr>
        <w:t>)</w:t>
      </w:r>
    </w:p>
    <w:p w14:paraId="453A1855" w14:textId="77777777" w:rsidR="00D56BF9" w:rsidRPr="00D56BF9" w:rsidRDefault="00D56BF9" w:rsidP="00D56BF9">
      <w:pPr>
        <w:widowControl w:val="0"/>
        <w:overflowPunct w:val="0"/>
        <w:autoSpaceDE w:val="0"/>
        <w:autoSpaceDN w:val="0"/>
        <w:adjustRightInd w:val="0"/>
        <w:spacing w:before="120" w:after="0" w:line="240" w:lineRule="auto"/>
        <w:ind w:left="539" w:right="45" w:hanging="539"/>
        <w:jc w:val="both"/>
        <w:rPr>
          <w:rFonts w:ascii="Calibri" w:eastAsia="Times New Roman" w:hAnsi="Calibri" w:cs="Calibri"/>
          <w:color w:val="000000"/>
          <w:kern w:val="0"/>
          <w:lang w:val="es-ES_tradnl" w:eastAsia="es-CR"/>
          <w14:ligatures w14:val="none"/>
        </w:rPr>
      </w:pPr>
      <w:r w:rsidRPr="00D56BF9">
        <w:rPr>
          <w:rFonts w:ascii="Calibri" w:eastAsia="Times New Roman" w:hAnsi="Calibri" w:cs="Calibri"/>
          <w:color w:val="000000"/>
          <w:kern w:val="0"/>
          <w:lang w:val="es-ES_tradnl" w:eastAsia="es-CR"/>
          <w14:ligatures w14:val="none"/>
        </w:rPr>
        <w:t xml:space="preserve">Zúñiga, Hanzel. </w:t>
      </w:r>
      <w:r w:rsidRPr="00D56BF9">
        <w:rPr>
          <w:rFonts w:ascii="Calibri" w:eastAsia="Times New Roman" w:hAnsi="Calibri" w:cs="Calibri"/>
          <w:i/>
          <w:iCs/>
          <w:color w:val="000000"/>
          <w:kern w:val="0"/>
          <w:lang w:val="es-ES_tradnl" w:eastAsia="es-CR"/>
          <w14:ligatures w14:val="none"/>
        </w:rPr>
        <w:t>El hecho sinóptico</w:t>
      </w:r>
      <w:r w:rsidRPr="00D56BF9">
        <w:rPr>
          <w:rFonts w:ascii="Calibri" w:eastAsia="Times New Roman" w:hAnsi="Calibri" w:cs="Calibri"/>
          <w:color w:val="000000"/>
          <w:kern w:val="0"/>
          <w:lang w:val="es-ES_tradnl" w:eastAsia="es-CR"/>
          <w14:ligatures w14:val="none"/>
        </w:rPr>
        <w:t>. Manuscrito inédito.</w:t>
      </w:r>
    </w:p>
    <w:p w14:paraId="60C44F77" w14:textId="77777777" w:rsidR="00D56BF9" w:rsidRPr="00D56BF9" w:rsidRDefault="00D56BF9" w:rsidP="00D56BF9">
      <w:pPr>
        <w:widowControl w:val="0"/>
        <w:overflowPunct w:val="0"/>
        <w:autoSpaceDE w:val="0"/>
        <w:autoSpaceDN w:val="0"/>
        <w:adjustRightInd w:val="0"/>
        <w:spacing w:before="120" w:after="0" w:line="240" w:lineRule="auto"/>
        <w:ind w:left="539" w:right="45" w:hanging="539"/>
        <w:jc w:val="both"/>
        <w:rPr>
          <w:rFonts w:ascii="Calibri" w:eastAsia="Times New Roman" w:hAnsi="Calibri" w:cs="Calibri"/>
          <w:kern w:val="0"/>
          <w:lang w:val="es-ES_tradnl" w:eastAsia="es-CR"/>
          <w14:ligatures w14:val="none"/>
        </w:rPr>
      </w:pPr>
    </w:p>
    <w:p w14:paraId="66297938" w14:textId="77777777" w:rsidR="00D56BF9" w:rsidRPr="00D56BF9" w:rsidRDefault="00D56BF9" w:rsidP="00D56BF9">
      <w:pPr>
        <w:autoSpaceDE w:val="0"/>
        <w:autoSpaceDN w:val="0"/>
        <w:adjustRightInd w:val="0"/>
        <w:spacing w:after="0" w:line="240" w:lineRule="auto"/>
        <w:jc w:val="both"/>
        <w:rPr>
          <w:rFonts w:ascii="Calibri" w:eastAsia="Times New Roman" w:hAnsi="Calibri" w:cs="Calibri"/>
          <w:b/>
          <w:bCs/>
          <w:color w:val="000000"/>
          <w:kern w:val="0"/>
          <w:szCs w:val="18"/>
          <w:lang w:val="es-ES_tradnl" w:eastAsia="es-CR"/>
          <w14:ligatures w14:val="none"/>
        </w:rPr>
      </w:pPr>
      <w:r w:rsidRPr="00D56BF9">
        <w:rPr>
          <w:rFonts w:ascii="Calibri" w:eastAsia="Times New Roman" w:hAnsi="Calibri" w:cs="Calibri"/>
          <w:b/>
          <w:bCs/>
          <w:color w:val="000000"/>
          <w:kern w:val="0"/>
          <w:szCs w:val="18"/>
          <w:lang w:val="es-ES_tradnl" w:eastAsia="es-CR"/>
          <w14:ligatures w14:val="none"/>
        </w:rPr>
        <w:t>XII. Bibliografía complementaria</w:t>
      </w:r>
    </w:p>
    <w:p w14:paraId="601C563F" w14:textId="77777777" w:rsidR="00D56BF9" w:rsidRPr="00D56BF9" w:rsidRDefault="00D56BF9" w:rsidP="00D56BF9">
      <w:pPr>
        <w:autoSpaceDE w:val="0"/>
        <w:autoSpaceDN w:val="0"/>
        <w:adjustRightInd w:val="0"/>
        <w:spacing w:after="0" w:line="240" w:lineRule="auto"/>
        <w:jc w:val="both"/>
        <w:rPr>
          <w:rFonts w:ascii="Calibri" w:eastAsia="Times New Roman" w:hAnsi="Calibri" w:cs="Calibri"/>
          <w:b/>
          <w:bCs/>
          <w:color w:val="000000"/>
          <w:kern w:val="0"/>
          <w:szCs w:val="18"/>
          <w:lang w:val="es-ES_tradnl" w:eastAsia="es-CR"/>
          <w14:ligatures w14:val="none"/>
        </w:rPr>
      </w:pPr>
    </w:p>
    <w:p w14:paraId="3A25A739" w14:textId="77777777" w:rsidR="00D56BF9" w:rsidRPr="00D56BF9" w:rsidRDefault="00D56BF9" w:rsidP="00D56BF9">
      <w:pPr>
        <w:autoSpaceDE w:val="0"/>
        <w:autoSpaceDN w:val="0"/>
        <w:adjustRightInd w:val="0"/>
        <w:spacing w:after="0" w:line="240" w:lineRule="auto"/>
        <w:jc w:val="both"/>
        <w:rPr>
          <w:rFonts w:ascii="Calibri" w:eastAsia="Times New Roman" w:hAnsi="Calibri" w:cs="Arial"/>
          <w:bCs/>
          <w:color w:val="000000"/>
          <w:kern w:val="0"/>
          <w:lang w:eastAsia="es-CR"/>
          <w14:ligatures w14:val="none"/>
        </w:rPr>
      </w:pPr>
      <w:r w:rsidRPr="00D56BF9">
        <w:rPr>
          <w:rFonts w:ascii="Calibri" w:eastAsia="Times New Roman" w:hAnsi="Calibri" w:cs="Arial"/>
          <w:b/>
          <w:color w:val="000000"/>
          <w:kern w:val="0"/>
          <w:lang w:eastAsia="es-CR"/>
          <w14:ligatures w14:val="none"/>
        </w:rPr>
        <w:t>Nota:</w:t>
      </w:r>
      <w:r w:rsidRPr="00D56BF9">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D56BF9">
        <w:rPr>
          <w:rFonts w:ascii="Calibri" w:eastAsia="Times New Roman" w:hAnsi="Calibri" w:cs="Arial"/>
          <w:bCs/>
          <w:color w:val="000000"/>
          <w:kern w:val="0"/>
          <w:lang w:eastAsia="es-CR"/>
          <w14:ligatures w14:val="none"/>
        </w:rPr>
        <w:t>pdf</w:t>
      </w:r>
      <w:proofErr w:type="spellEnd"/>
      <w:r w:rsidRPr="00D56BF9">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518D049B" w14:textId="77777777" w:rsidR="00D56BF9" w:rsidRPr="00D56BF9" w:rsidRDefault="00D56BF9" w:rsidP="00D56BF9">
      <w:pPr>
        <w:widowControl w:val="0"/>
        <w:tabs>
          <w:tab w:val="left" w:pos="6450"/>
        </w:tabs>
        <w:overflowPunct w:val="0"/>
        <w:autoSpaceDE w:val="0"/>
        <w:autoSpaceDN w:val="0"/>
        <w:adjustRightInd w:val="0"/>
        <w:spacing w:before="120" w:after="0" w:line="240" w:lineRule="auto"/>
        <w:ind w:left="539" w:right="45" w:hanging="539"/>
        <w:jc w:val="both"/>
        <w:rPr>
          <w:rFonts w:ascii="Calibri" w:eastAsia="Times New Roman" w:hAnsi="Calibri" w:cs="Calibri"/>
          <w:kern w:val="0"/>
          <w:lang w:val="es-ES" w:eastAsia="es-CR"/>
          <w14:ligatures w14:val="none"/>
        </w:rPr>
      </w:pPr>
      <w:r w:rsidRPr="00D56BF9">
        <w:rPr>
          <w:rFonts w:ascii="Calibri" w:eastAsia="Times New Roman" w:hAnsi="Calibri" w:cs="Calibri"/>
          <w:kern w:val="0"/>
          <w:lang w:val="es-ES" w:eastAsia="es-CR"/>
          <w14:ligatures w14:val="none"/>
        </w:rPr>
        <w:t xml:space="preserve">Londoño, Juan Esteban. </w:t>
      </w:r>
      <w:r w:rsidRPr="00D56BF9">
        <w:rPr>
          <w:rFonts w:ascii="Calibri" w:eastAsia="Times New Roman" w:hAnsi="Calibri" w:cs="Calibri"/>
          <w:i/>
          <w:iCs/>
          <w:kern w:val="0"/>
          <w:lang w:val="es-ES" w:eastAsia="es-CR"/>
          <w14:ligatures w14:val="none"/>
        </w:rPr>
        <w:t>Para comprender el Nuevo Testamento</w:t>
      </w:r>
      <w:r w:rsidRPr="00D56BF9">
        <w:rPr>
          <w:rFonts w:ascii="Calibri" w:eastAsia="Times New Roman" w:hAnsi="Calibri" w:cs="Calibri"/>
          <w:kern w:val="0"/>
          <w:lang w:val="es-ES" w:eastAsia="es-CR"/>
          <w14:ligatures w14:val="none"/>
        </w:rPr>
        <w:t xml:space="preserve">. San José: SEBILA, 2013. </w:t>
      </w:r>
      <w:r w:rsidRPr="00D56BF9">
        <w:rPr>
          <w:rFonts w:ascii="Calibri" w:eastAsia="Times New Roman" w:hAnsi="Calibri" w:cs="Calibri"/>
          <w:kern w:val="0"/>
          <w:lang w:val="es-ES_tradnl" w:eastAsia="es-CR"/>
          <w14:ligatures w14:val="none"/>
        </w:rPr>
        <w:t>(</w:t>
      </w:r>
      <w:r w:rsidRPr="00D56BF9">
        <w:rPr>
          <w:rFonts w:ascii="Calibri" w:eastAsia="Times New Roman" w:hAnsi="Calibri" w:cs="Calibri"/>
          <w:color w:val="0070C0"/>
          <w:kern w:val="0"/>
          <w:lang w:val="es-ES_tradnl" w:eastAsia="es-CR"/>
          <w14:ligatures w14:val="none"/>
        </w:rPr>
        <w:t xml:space="preserve">clásico, </w:t>
      </w:r>
      <w:r w:rsidRPr="00D56BF9">
        <w:rPr>
          <w:rFonts w:ascii="Calibri" w:eastAsia="Times New Roman" w:hAnsi="Calibri" w:cs="Calibri"/>
          <w:kern w:val="0"/>
          <w:lang w:val="es-ES_tradnl" w:eastAsia="es-CR"/>
          <w14:ligatures w14:val="none"/>
        </w:rPr>
        <w:t>última edición)</w:t>
      </w:r>
    </w:p>
    <w:p w14:paraId="6A27E612" w14:textId="29F6926A" w:rsidR="003315CC" w:rsidRDefault="00D56BF9" w:rsidP="00D56BF9">
      <w:pPr>
        <w:rPr>
          <w:sz w:val="24"/>
          <w:szCs w:val="24"/>
        </w:rPr>
      </w:pPr>
      <w:proofErr w:type="spellStart"/>
      <w:r w:rsidRPr="00D56BF9">
        <w:rPr>
          <w:rFonts w:ascii="Calibri" w:eastAsia="Times New Roman" w:hAnsi="Calibri" w:cs="Calibri"/>
          <w:kern w:val="0"/>
          <w:lang w:val="es-ES" w:eastAsia="es-CR"/>
          <w14:ligatures w14:val="none"/>
        </w:rPr>
        <w:t>Pikaza</w:t>
      </w:r>
      <w:proofErr w:type="spellEnd"/>
      <w:r w:rsidRPr="00D56BF9">
        <w:rPr>
          <w:rFonts w:ascii="Calibri" w:eastAsia="Times New Roman" w:hAnsi="Calibri" w:cs="Calibri"/>
          <w:kern w:val="0"/>
          <w:lang w:val="es-ES" w:eastAsia="es-CR"/>
          <w14:ligatures w14:val="none"/>
        </w:rPr>
        <w:t xml:space="preserve"> Ibarrondo, Xabier. El Evangelio de Marcos: lectura de Marcos. Estella (Navarra): Verbo Divino, 2012. </w:t>
      </w:r>
      <w:r w:rsidRPr="00D56BF9">
        <w:rPr>
          <w:rFonts w:ascii="Calibri" w:eastAsia="Times New Roman" w:hAnsi="Calibri" w:cs="Calibri"/>
          <w:kern w:val="0"/>
          <w:lang w:val="es-ES_tradnl" w:eastAsia="es-CR"/>
          <w14:ligatures w14:val="none"/>
        </w:rPr>
        <w:t>(</w:t>
      </w:r>
      <w:r w:rsidRPr="00D56BF9">
        <w:rPr>
          <w:rFonts w:ascii="Calibri" w:eastAsia="Times New Roman" w:hAnsi="Calibri" w:cs="Calibri"/>
          <w:color w:val="0070C0"/>
          <w:kern w:val="0"/>
          <w:lang w:val="es-ES_tradnl" w:eastAsia="es-CR"/>
          <w14:ligatures w14:val="none"/>
        </w:rPr>
        <w:t xml:space="preserve">clásico, </w:t>
      </w:r>
      <w:r w:rsidRPr="00D56BF9">
        <w:rPr>
          <w:rFonts w:ascii="Calibri" w:eastAsia="Times New Roman" w:hAnsi="Calibri" w:cs="Calibri"/>
          <w:kern w:val="0"/>
          <w:lang w:val="es-ES_tradnl" w:eastAsia="es-CR"/>
          <w14:ligatures w14:val="none"/>
        </w:rPr>
        <w:t>última edición)</w:t>
      </w:r>
    </w:p>
    <w:p w14:paraId="357C7F85" w14:textId="77777777" w:rsidR="003315CC" w:rsidRDefault="003315CC" w:rsidP="007601EC">
      <w:pPr>
        <w:rPr>
          <w:sz w:val="24"/>
          <w:szCs w:val="24"/>
        </w:rPr>
      </w:pPr>
    </w:p>
    <w:p w14:paraId="79C73663" w14:textId="51E9C8D5" w:rsidR="00775B0A" w:rsidRDefault="00775B0A">
      <w:pPr>
        <w:rPr>
          <w:sz w:val="24"/>
          <w:szCs w:val="24"/>
        </w:rPr>
      </w:pPr>
      <w:r>
        <w:rPr>
          <w:sz w:val="24"/>
          <w:szCs w:val="24"/>
        </w:rPr>
        <w:br w:type="page"/>
      </w:r>
    </w:p>
    <w:p w14:paraId="400E9F7C"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b/>
          <w:kern w:val="0"/>
          <w:sz w:val="24"/>
          <w:szCs w:val="24"/>
          <w:lang w:val="es-ES_tradnl" w:eastAsia="es-CR"/>
          <w14:ligatures w14:val="none"/>
        </w:rPr>
      </w:pPr>
      <w:r w:rsidRPr="00AD7196">
        <w:rPr>
          <w:rFonts w:ascii="Calibri" w:eastAsia="Times New Roman" w:hAnsi="Calibri" w:cs="Calibri"/>
          <w:noProof/>
          <w:color w:val="000000"/>
          <w:kern w:val="0"/>
          <w:sz w:val="24"/>
          <w:szCs w:val="24"/>
          <w:lang w:val="en-US" w:bidi="he-IL"/>
          <w14:ligatures w14:val="none"/>
        </w:rPr>
        <w:lastRenderedPageBreak/>
        <w:drawing>
          <wp:inline distT="0" distB="0" distL="0" distR="0" wp14:anchorId="7D5ABFBC" wp14:editId="22E91609">
            <wp:extent cx="2009775" cy="1548377"/>
            <wp:effectExtent l="0" t="0" r="0" b="0"/>
            <wp:docPr id="1857069848" name="0 Imagen"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069848" name="0 Imagen" descr="Logotipo&#10;&#10;Descripción generada automá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0C093470" w14:textId="77777777" w:rsidR="00AD7196" w:rsidRPr="00AD7196" w:rsidRDefault="00AD7196" w:rsidP="00AD7196">
      <w:pPr>
        <w:widowControl w:val="0"/>
        <w:tabs>
          <w:tab w:val="center" w:pos="4320"/>
          <w:tab w:val="right" w:pos="8640"/>
        </w:tabs>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AD7196">
        <w:rPr>
          <w:rFonts w:ascii="Calibri" w:eastAsia="Times New Roman" w:hAnsi="Calibri" w:cs="Arial"/>
          <w:b/>
          <w:kern w:val="0"/>
          <w:sz w:val="24"/>
          <w:szCs w:val="24"/>
          <w:lang w:val="es-ES_tradnl" w:eastAsia="es-CR"/>
          <w14:ligatures w14:val="none"/>
        </w:rPr>
        <w:t>Universidad Bíblica Latinoamericana</w:t>
      </w:r>
    </w:p>
    <w:p w14:paraId="582D5EBD" w14:textId="77777777" w:rsidR="00AD7196" w:rsidRPr="00AD7196" w:rsidRDefault="00AD7196" w:rsidP="00AD7196">
      <w:pPr>
        <w:widowControl w:val="0"/>
        <w:overflowPunct w:val="0"/>
        <w:autoSpaceDE w:val="0"/>
        <w:autoSpaceDN w:val="0"/>
        <w:adjustRightInd w:val="0"/>
        <w:spacing w:after="0" w:line="240" w:lineRule="auto"/>
        <w:jc w:val="center"/>
        <w:rPr>
          <w:rFonts w:ascii="Calibri" w:eastAsia="Times New Roman" w:hAnsi="Calibri" w:cs="Arial"/>
          <w:b/>
          <w:i/>
          <w:kern w:val="0"/>
          <w:sz w:val="24"/>
          <w:szCs w:val="24"/>
          <w:lang w:val="es-ES_tradnl" w:eastAsia="es-CR"/>
          <w14:ligatures w14:val="none"/>
        </w:rPr>
      </w:pPr>
      <w:r w:rsidRPr="00AD7196">
        <w:rPr>
          <w:rFonts w:ascii="Calibri" w:eastAsia="Times New Roman" w:hAnsi="Calibri" w:cs="Arial"/>
          <w:b/>
          <w:i/>
          <w:kern w:val="0"/>
          <w:sz w:val="24"/>
          <w:szCs w:val="24"/>
          <w:lang w:val="es-ES_tradnl" w:eastAsia="es-CR"/>
          <w14:ligatures w14:val="none"/>
        </w:rPr>
        <w:t>Facultad de Teología</w:t>
      </w:r>
    </w:p>
    <w:p w14:paraId="5F985F63" w14:textId="77777777" w:rsidR="00AD7196" w:rsidRPr="00AD7196" w:rsidRDefault="00AD7196" w:rsidP="00AD7196">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AD7196">
        <w:rPr>
          <w:rFonts w:ascii="Calibri" w:eastAsia="Times New Roman" w:hAnsi="Calibri" w:cs="Arial"/>
          <w:b/>
          <w:bCs/>
          <w:kern w:val="0"/>
          <w:sz w:val="24"/>
          <w:szCs w:val="20"/>
          <w:lang w:val="es-ES_tradnl" w:eastAsia="es-CR"/>
          <w14:ligatures w14:val="none"/>
        </w:rPr>
        <w:t xml:space="preserve">Bachillerato en </w:t>
      </w:r>
      <w:r w:rsidRPr="00AD7196">
        <w:rPr>
          <w:rFonts w:ascii="Calibri" w:eastAsia="Times New Roman" w:hAnsi="Calibri" w:cs="Arial"/>
          <w:b/>
          <w:kern w:val="0"/>
          <w:sz w:val="24"/>
          <w:szCs w:val="24"/>
          <w:lang w:val="es-ES_tradnl" w:eastAsia="es-CR"/>
          <w14:ligatures w14:val="none"/>
        </w:rPr>
        <w:t>Ciencias Bíblicas</w:t>
      </w:r>
    </w:p>
    <w:p w14:paraId="739033ED" w14:textId="77777777" w:rsidR="00AD7196" w:rsidRPr="00AD7196" w:rsidRDefault="00AD7196" w:rsidP="00AD7196">
      <w:pPr>
        <w:widowControl w:val="0"/>
        <w:overflowPunct w:val="0"/>
        <w:autoSpaceDE w:val="0"/>
        <w:autoSpaceDN w:val="0"/>
        <w:adjustRightInd w:val="0"/>
        <w:spacing w:after="0" w:line="276" w:lineRule="auto"/>
        <w:jc w:val="center"/>
        <w:rPr>
          <w:rFonts w:ascii="Calibri" w:eastAsia="Times New Roman" w:hAnsi="Calibri" w:cs="Arial"/>
          <w:b/>
          <w:kern w:val="0"/>
          <w:sz w:val="24"/>
          <w:szCs w:val="24"/>
          <w:lang w:val="es-ES_tradnl" w:eastAsia="es-CR"/>
          <w14:ligatures w14:val="none"/>
        </w:rPr>
      </w:pPr>
    </w:p>
    <w:p w14:paraId="7E24F890" w14:textId="77777777" w:rsidR="00AD7196" w:rsidRPr="00AD7196" w:rsidRDefault="00AD7196" w:rsidP="00AD7196">
      <w:pPr>
        <w:widowControl w:val="0"/>
        <w:overflowPunct w:val="0"/>
        <w:autoSpaceDE w:val="0"/>
        <w:autoSpaceDN w:val="0"/>
        <w:adjustRightInd w:val="0"/>
        <w:spacing w:after="0" w:line="240" w:lineRule="auto"/>
        <w:jc w:val="center"/>
        <w:rPr>
          <w:rFonts w:ascii="Calibri" w:eastAsia="Times New Roman" w:hAnsi="Calibri" w:cs="Arial"/>
          <w:b/>
          <w:kern w:val="0"/>
          <w:sz w:val="24"/>
          <w:szCs w:val="24"/>
          <w:lang w:val="es-ES_tradnl" w:eastAsia="es-CR"/>
          <w14:ligatures w14:val="none"/>
        </w:rPr>
      </w:pPr>
      <w:r w:rsidRPr="00AD7196">
        <w:rPr>
          <w:rFonts w:ascii="Calibri" w:eastAsia="Times New Roman" w:hAnsi="Calibri" w:cs="Arial"/>
          <w:b/>
          <w:kern w:val="0"/>
          <w:sz w:val="24"/>
          <w:szCs w:val="24"/>
          <w:lang w:val="es-ES_tradnl" w:eastAsia="es-CR"/>
          <w14:ligatures w14:val="none"/>
        </w:rPr>
        <w:t>Sílabo</w:t>
      </w:r>
    </w:p>
    <w:p w14:paraId="6B60BB0C" w14:textId="77777777" w:rsidR="00AD7196" w:rsidRPr="00AD7196" w:rsidRDefault="00AD7196" w:rsidP="00AD7196">
      <w:pPr>
        <w:tabs>
          <w:tab w:val="center" w:pos="4702"/>
        </w:tabs>
        <w:spacing w:after="0" w:line="240" w:lineRule="auto"/>
        <w:jc w:val="center"/>
        <w:rPr>
          <w:rFonts w:ascii="Calibri" w:eastAsia="Arial Unicode MS" w:hAnsi="Calibri" w:cs="Arial"/>
          <w:b/>
          <w:color w:val="000000"/>
          <w:kern w:val="0"/>
          <w:sz w:val="24"/>
          <w:szCs w:val="24"/>
          <w14:ligatures w14:val="none"/>
        </w:rPr>
      </w:pPr>
      <w:bookmarkStart w:id="63" w:name="CB117"/>
      <w:r w:rsidRPr="00AD7196">
        <w:rPr>
          <w:rFonts w:ascii="Calibri" w:eastAsia="Arial Unicode MS" w:hAnsi="Calibri" w:cs="Arial"/>
          <w:b/>
          <w:color w:val="000000"/>
          <w:kern w:val="0"/>
          <w:sz w:val="24"/>
          <w:szCs w:val="24"/>
          <w14:ligatures w14:val="none"/>
        </w:rPr>
        <w:t>Pastoral y Pedagogía Bíblica</w:t>
      </w:r>
      <w:bookmarkEnd w:id="63"/>
    </w:p>
    <w:p w14:paraId="78F4BC9C" w14:textId="77777777" w:rsidR="00AD7196" w:rsidRPr="00AD7196" w:rsidRDefault="00AD7196" w:rsidP="00AD7196">
      <w:pPr>
        <w:tabs>
          <w:tab w:val="center" w:pos="4702"/>
        </w:tabs>
        <w:spacing w:after="0" w:line="240" w:lineRule="auto"/>
        <w:rPr>
          <w:rFonts w:ascii="Calibri" w:eastAsia="Arial Unicode MS" w:hAnsi="Calibri" w:cs="Arial"/>
          <w:b/>
          <w:color w:val="000000"/>
          <w:kern w:val="0"/>
          <w:sz w:val="24"/>
          <w:szCs w:val="24"/>
          <w:lang w:val="es-ES_tradnl"/>
          <w14:ligatures w14:val="none"/>
        </w:rPr>
      </w:pPr>
    </w:p>
    <w:p w14:paraId="5FF4933F" w14:textId="77777777" w:rsidR="00AD7196" w:rsidRPr="00AD7196" w:rsidRDefault="00AD7196" w:rsidP="00AD7196">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tbl>
      <w:tblPr>
        <w:tblStyle w:val="Tablaconcuadrcula"/>
        <w:tblW w:w="0" w:type="auto"/>
        <w:tblLook w:val="04A0" w:firstRow="1" w:lastRow="0" w:firstColumn="1" w:lastColumn="0" w:noHBand="0" w:noVBand="1"/>
      </w:tblPr>
      <w:tblGrid>
        <w:gridCol w:w="1666"/>
        <w:gridCol w:w="7162"/>
      </w:tblGrid>
      <w:tr w:rsidR="00AD7196" w:rsidRPr="00AD7196" w14:paraId="5FF6E085" w14:textId="77777777" w:rsidTr="00104785">
        <w:tc>
          <w:tcPr>
            <w:tcW w:w="1668" w:type="dxa"/>
          </w:tcPr>
          <w:p w14:paraId="44C1CB5A" w14:textId="77777777" w:rsidR="00AD7196" w:rsidRPr="00AD7196" w:rsidRDefault="00AD7196" w:rsidP="00AD7196">
            <w:pPr>
              <w:rPr>
                <w:rFonts w:ascii="Calibri" w:hAnsi="Calibri" w:cs="Calibri"/>
                <w:b/>
                <w:color w:val="000000"/>
              </w:rPr>
            </w:pPr>
            <w:r w:rsidRPr="00AD7196">
              <w:rPr>
                <w:rFonts w:ascii="Calibri" w:hAnsi="Calibri" w:cs="Calibri"/>
                <w:b/>
                <w:color w:val="000000"/>
              </w:rPr>
              <w:t>Código</w:t>
            </w:r>
          </w:p>
        </w:tc>
        <w:tc>
          <w:tcPr>
            <w:tcW w:w="7386" w:type="dxa"/>
          </w:tcPr>
          <w:p w14:paraId="59A31203" w14:textId="77777777" w:rsidR="00AD7196" w:rsidRPr="00AD7196" w:rsidRDefault="00AD7196" w:rsidP="00AD7196">
            <w:pPr>
              <w:rPr>
                <w:rFonts w:ascii="Calibri" w:hAnsi="Calibri" w:cs="Calibri"/>
                <w:color w:val="000000"/>
              </w:rPr>
            </w:pPr>
            <w:r w:rsidRPr="00AD7196">
              <w:rPr>
                <w:rFonts w:ascii="Calibri" w:hAnsi="Calibri" w:cs="Calibri"/>
                <w:color w:val="000000"/>
              </w:rPr>
              <w:t>CB 117</w:t>
            </w:r>
          </w:p>
        </w:tc>
      </w:tr>
      <w:tr w:rsidR="00AD7196" w:rsidRPr="00AD7196" w14:paraId="023B7835" w14:textId="77777777" w:rsidTr="00104785">
        <w:tc>
          <w:tcPr>
            <w:tcW w:w="1668" w:type="dxa"/>
          </w:tcPr>
          <w:p w14:paraId="1D102995" w14:textId="77777777" w:rsidR="00AD7196" w:rsidRPr="00AD7196" w:rsidRDefault="00AD7196" w:rsidP="00AD7196">
            <w:pPr>
              <w:rPr>
                <w:rFonts w:ascii="Calibri" w:hAnsi="Calibri" w:cs="Calibri"/>
                <w:b/>
                <w:color w:val="000000"/>
              </w:rPr>
            </w:pPr>
            <w:r w:rsidRPr="00AD7196">
              <w:rPr>
                <w:rFonts w:ascii="Calibri" w:hAnsi="Calibri" w:cs="Calibri"/>
                <w:b/>
                <w:color w:val="000000"/>
              </w:rPr>
              <w:t>Créditos</w:t>
            </w:r>
          </w:p>
        </w:tc>
        <w:tc>
          <w:tcPr>
            <w:tcW w:w="7386" w:type="dxa"/>
          </w:tcPr>
          <w:p w14:paraId="1017F5C0" w14:textId="77777777" w:rsidR="00AD7196" w:rsidRPr="00AD7196" w:rsidRDefault="00AD7196" w:rsidP="00AD7196">
            <w:pPr>
              <w:rPr>
                <w:rFonts w:ascii="Calibri" w:hAnsi="Calibri" w:cs="Calibri"/>
                <w:color w:val="000000"/>
              </w:rPr>
            </w:pPr>
            <w:r w:rsidRPr="00AD7196">
              <w:rPr>
                <w:rFonts w:ascii="Calibri" w:hAnsi="Calibri" w:cs="Calibri"/>
                <w:color w:val="000000"/>
              </w:rPr>
              <w:t>4</w:t>
            </w:r>
          </w:p>
        </w:tc>
      </w:tr>
      <w:tr w:rsidR="00AD7196" w:rsidRPr="00AD7196" w14:paraId="75959042" w14:textId="77777777" w:rsidTr="00104785">
        <w:tc>
          <w:tcPr>
            <w:tcW w:w="1668" w:type="dxa"/>
          </w:tcPr>
          <w:p w14:paraId="3E7F383C" w14:textId="77777777" w:rsidR="00AD7196" w:rsidRPr="00AD7196" w:rsidRDefault="00AD7196" w:rsidP="00AD7196">
            <w:pPr>
              <w:rPr>
                <w:rFonts w:ascii="Calibri" w:hAnsi="Calibri" w:cs="Calibri"/>
                <w:b/>
                <w:color w:val="000000"/>
              </w:rPr>
            </w:pPr>
            <w:r w:rsidRPr="00AD7196">
              <w:rPr>
                <w:rFonts w:ascii="Calibri" w:hAnsi="Calibri" w:cs="Calibri"/>
                <w:b/>
                <w:color w:val="000000"/>
              </w:rPr>
              <w:t>Requisitos</w:t>
            </w:r>
          </w:p>
        </w:tc>
        <w:tc>
          <w:tcPr>
            <w:tcW w:w="7386" w:type="dxa"/>
          </w:tcPr>
          <w:p w14:paraId="319D2B5E" w14:textId="77777777" w:rsidR="00AD7196" w:rsidRPr="00AD7196" w:rsidRDefault="00AD7196" w:rsidP="00AD7196">
            <w:pPr>
              <w:rPr>
                <w:rFonts w:ascii="Calibri" w:hAnsi="Calibri" w:cs="Calibri"/>
                <w:color w:val="000000"/>
              </w:rPr>
            </w:pPr>
            <w:r w:rsidRPr="00AD7196">
              <w:rPr>
                <w:rFonts w:ascii="Calibri" w:hAnsi="Calibri" w:cs="Calibri"/>
                <w:color w:val="000000"/>
              </w:rPr>
              <w:t>CTX 121 y CB 105</w:t>
            </w:r>
          </w:p>
        </w:tc>
      </w:tr>
      <w:tr w:rsidR="00AD7196" w:rsidRPr="00AD7196" w14:paraId="6869E1DB" w14:textId="77777777" w:rsidTr="00104785">
        <w:tc>
          <w:tcPr>
            <w:tcW w:w="1668" w:type="dxa"/>
          </w:tcPr>
          <w:p w14:paraId="05CC2F63" w14:textId="77777777" w:rsidR="00AD7196" w:rsidRPr="00AD7196" w:rsidRDefault="00AD7196" w:rsidP="00AD7196">
            <w:pPr>
              <w:rPr>
                <w:rFonts w:ascii="Calibri" w:hAnsi="Calibri" w:cs="Calibri"/>
                <w:b/>
                <w:color w:val="000000"/>
              </w:rPr>
            </w:pPr>
            <w:r w:rsidRPr="00AD7196">
              <w:rPr>
                <w:rFonts w:ascii="Calibri" w:hAnsi="Calibri" w:cs="Calibri"/>
                <w:b/>
                <w:color w:val="000000"/>
              </w:rPr>
              <w:t>Modalidad</w:t>
            </w:r>
          </w:p>
        </w:tc>
        <w:tc>
          <w:tcPr>
            <w:tcW w:w="7386" w:type="dxa"/>
          </w:tcPr>
          <w:p w14:paraId="0542A2BD" w14:textId="77777777" w:rsidR="00AD7196" w:rsidRPr="00AD7196" w:rsidRDefault="00AD7196" w:rsidP="00AD7196">
            <w:pPr>
              <w:rPr>
                <w:rFonts w:ascii="Calibri" w:hAnsi="Calibri" w:cs="Calibri"/>
                <w:color w:val="000000"/>
              </w:rPr>
            </w:pPr>
            <w:r w:rsidRPr="00AD7196">
              <w:rPr>
                <w:rFonts w:ascii="Calibri" w:hAnsi="Calibri" w:cs="Calibri"/>
                <w:color w:val="000000"/>
              </w:rPr>
              <w:t>Virtual</w:t>
            </w:r>
          </w:p>
        </w:tc>
      </w:tr>
      <w:tr w:rsidR="00AD7196" w:rsidRPr="00AD7196" w14:paraId="440E28F3" w14:textId="77777777" w:rsidTr="00104785">
        <w:tc>
          <w:tcPr>
            <w:tcW w:w="1668" w:type="dxa"/>
          </w:tcPr>
          <w:p w14:paraId="410A8D6A" w14:textId="77777777" w:rsidR="00AD7196" w:rsidRPr="00AD7196" w:rsidRDefault="00AD7196" w:rsidP="00AD7196">
            <w:pPr>
              <w:rPr>
                <w:rFonts w:ascii="Calibri" w:hAnsi="Calibri" w:cs="Calibri"/>
                <w:b/>
                <w:color w:val="000000"/>
              </w:rPr>
            </w:pPr>
            <w:r w:rsidRPr="00AD7196">
              <w:rPr>
                <w:rFonts w:ascii="Calibri" w:hAnsi="Calibri" w:cs="Calibri"/>
                <w:b/>
                <w:color w:val="000000"/>
              </w:rPr>
              <w:t>Naturaleza</w:t>
            </w:r>
          </w:p>
        </w:tc>
        <w:tc>
          <w:tcPr>
            <w:tcW w:w="7386" w:type="dxa"/>
          </w:tcPr>
          <w:p w14:paraId="4CDFE2D7" w14:textId="77777777" w:rsidR="00AD7196" w:rsidRPr="00AD7196" w:rsidRDefault="00AD7196" w:rsidP="00AD7196">
            <w:pPr>
              <w:rPr>
                <w:rFonts w:ascii="Calibri" w:hAnsi="Calibri" w:cs="Calibri"/>
                <w:color w:val="000000"/>
              </w:rPr>
            </w:pPr>
            <w:r w:rsidRPr="00AD7196">
              <w:rPr>
                <w:rFonts w:ascii="Calibri" w:hAnsi="Calibri" w:cs="Calibri"/>
                <w:color w:val="000000"/>
              </w:rPr>
              <w:t>Teórico-práctico</w:t>
            </w:r>
          </w:p>
        </w:tc>
      </w:tr>
      <w:tr w:rsidR="00AD7196" w:rsidRPr="00AD7196" w14:paraId="49529F4A" w14:textId="77777777" w:rsidTr="00104785">
        <w:tc>
          <w:tcPr>
            <w:tcW w:w="1668" w:type="dxa"/>
          </w:tcPr>
          <w:p w14:paraId="6E45B9C2" w14:textId="77777777" w:rsidR="00AD7196" w:rsidRPr="00AD7196" w:rsidRDefault="00AD7196" w:rsidP="00AD7196">
            <w:pPr>
              <w:rPr>
                <w:rFonts w:ascii="Calibri" w:hAnsi="Calibri" w:cs="Calibri"/>
                <w:b/>
                <w:color w:val="000000"/>
              </w:rPr>
            </w:pPr>
            <w:r w:rsidRPr="00AD7196">
              <w:rPr>
                <w:rFonts w:ascii="Calibri" w:hAnsi="Calibri" w:cs="Calibri"/>
                <w:b/>
                <w:color w:val="000000"/>
              </w:rPr>
              <w:t>Periodo</w:t>
            </w:r>
          </w:p>
        </w:tc>
        <w:tc>
          <w:tcPr>
            <w:tcW w:w="7386" w:type="dxa"/>
          </w:tcPr>
          <w:p w14:paraId="03F42C42" w14:textId="77777777" w:rsidR="00AD7196" w:rsidRPr="00AD7196" w:rsidRDefault="00AD7196" w:rsidP="00AD7196">
            <w:pPr>
              <w:rPr>
                <w:rFonts w:ascii="Calibri" w:hAnsi="Calibri" w:cs="Calibri"/>
                <w:color w:val="000000"/>
              </w:rPr>
            </w:pPr>
            <w:r w:rsidRPr="00AD7196">
              <w:rPr>
                <w:rFonts w:ascii="Calibri" w:hAnsi="Calibri" w:cs="Calibri"/>
                <w:color w:val="000000"/>
              </w:rPr>
              <w:t>Cuatrimestral (15 semanas lectivas)</w:t>
            </w:r>
          </w:p>
        </w:tc>
      </w:tr>
      <w:tr w:rsidR="00AD7196" w:rsidRPr="00AD7196" w14:paraId="49B23CE8" w14:textId="77777777" w:rsidTr="00104785">
        <w:tc>
          <w:tcPr>
            <w:tcW w:w="1668" w:type="dxa"/>
          </w:tcPr>
          <w:p w14:paraId="01B5C662" w14:textId="77777777" w:rsidR="00AD7196" w:rsidRPr="00AD7196" w:rsidRDefault="00AD7196" w:rsidP="00AD7196">
            <w:pPr>
              <w:rPr>
                <w:rFonts w:ascii="Calibri" w:hAnsi="Calibri" w:cs="Calibri"/>
                <w:b/>
                <w:color w:val="000000"/>
              </w:rPr>
            </w:pPr>
            <w:r w:rsidRPr="00AD7196">
              <w:rPr>
                <w:rFonts w:ascii="Calibri" w:hAnsi="Calibri" w:cs="Calibri"/>
                <w:b/>
                <w:color w:val="000000"/>
              </w:rPr>
              <w:t>Nivel</w:t>
            </w:r>
          </w:p>
        </w:tc>
        <w:tc>
          <w:tcPr>
            <w:tcW w:w="7386" w:type="dxa"/>
          </w:tcPr>
          <w:p w14:paraId="358851AD" w14:textId="77777777" w:rsidR="00AD7196" w:rsidRPr="00AD7196" w:rsidRDefault="00AD7196" w:rsidP="00AD7196">
            <w:pPr>
              <w:rPr>
                <w:rFonts w:ascii="Calibri" w:hAnsi="Calibri" w:cs="Calibri"/>
                <w:color w:val="000000"/>
              </w:rPr>
            </w:pPr>
            <w:r w:rsidRPr="00AD7196">
              <w:rPr>
                <w:rFonts w:ascii="Calibri" w:hAnsi="Calibri" w:cs="Calibri"/>
                <w:color w:val="000000"/>
              </w:rPr>
              <w:t>VIII Cuatrimestre</w:t>
            </w:r>
          </w:p>
        </w:tc>
      </w:tr>
      <w:tr w:rsidR="00AD7196" w:rsidRPr="00AD7196" w14:paraId="2D35436A" w14:textId="77777777" w:rsidTr="00104785">
        <w:tc>
          <w:tcPr>
            <w:tcW w:w="1668" w:type="dxa"/>
          </w:tcPr>
          <w:p w14:paraId="55D75FB4" w14:textId="77777777" w:rsidR="00AD7196" w:rsidRPr="00AD7196" w:rsidRDefault="00AD7196" w:rsidP="00AD7196">
            <w:pPr>
              <w:rPr>
                <w:rFonts w:ascii="Calibri" w:hAnsi="Calibri" w:cs="Calibri"/>
                <w:b/>
                <w:color w:val="000000"/>
              </w:rPr>
            </w:pPr>
            <w:r w:rsidRPr="00AD7196">
              <w:rPr>
                <w:rFonts w:ascii="Calibri" w:hAnsi="Calibri" w:cs="Calibri"/>
                <w:b/>
                <w:color w:val="000000"/>
              </w:rPr>
              <w:t>Horario</w:t>
            </w:r>
          </w:p>
        </w:tc>
        <w:tc>
          <w:tcPr>
            <w:tcW w:w="7386" w:type="dxa"/>
          </w:tcPr>
          <w:p w14:paraId="427F6AE9" w14:textId="77777777" w:rsidR="00AD7196" w:rsidRPr="00AD7196" w:rsidRDefault="00AD7196" w:rsidP="00AD7196">
            <w:pPr>
              <w:rPr>
                <w:rFonts w:ascii="Calibri" w:hAnsi="Calibri" w:cs="Calibri"/>
                <w:color w:val="000000"/>
              </w:rPr>
            </w:pPr>
            <w:r w:rsidRPr="00AD7196">
              <w:rPr>
                <w:rFonts w:ascii="Calibri" w:hAnsi="Calibri" w:cs="Calibri"/>
                <w:color w:val="000000"/>
              </w:rPr>
              <w:t>El curso requiere de 12 horas de trabajo semanal</w:t>
            </w:r>
          </w:p>
        </w:tc>
      </w:tr>
      <w:tr w:rsidR="00AD7196" w:rsidRPr="00AD7196" w14:paraId="3843A3B6" w14:textId="77777777" w:rsidTr="00104785">
        <w:tc>
          <w:tcPr>
            <w:tcW w:w="1668" w:type="dxa"/>
          </w:tcPr>
          <w:p w14:paraId="6F67FA05" w14:textId="77777777" w:rsidR="00AD7196" w:rsidRPr="00AD7196" w:rsidRDefault="00AD7196" w:rsidP="00AD7196">
            <w:pPr>
              <w:rPr>
                <w:rFonts w:ascii="Calibri" w:hAnsi="Calibri" w:cs="Calibri"/>
                <w:b/>
                <w:color w:val="000000"/>
              </w:rPr>
            </w:pPr>
            <w:r w:rsidRPr="00AD7196">
              <w:rPr>
                <w:rFonts w:ascii="Calibri" w:hAnsi="Calibri" w:cs="Calibri"/>
                <w:b/>
                <w:color w:val="000000"/>
              </w:rPr>
              <w:t>Aula</w:t>
            </w:r>
          </w:p>
        </w:tc>
        <w:tc>
          <w:tcPr>
            <w:tcW w:w="7386" w:type="dxa"/>
          </w:tcPr>
          <w:p w14:paraId="02EF7AB8" w14:textId="77777777" w:rsidR="00AD7196" w:rsidRPr="00AD7196" w:rsidRDefault="00AD7196" w:rsidP="00AD7196">
            <w:pPr>
              <w:rPr>
                <w:rFonts w:ascii="Calibri" w:hAnsi="Calibri" w:cs="Calibri"/>
                <w:color w:val="000000"/>
              </w:rPr>
            </w:pPr>
            <w:r w:rsidRPr="00AD7196">
              <w:rPr>
                <w:rFonts w:ascii="Calibri" w:hAnsi="Calibri" w:cs="Calibri"/>
                <w:color w:val="000000"/>
              </w:rPr>
              <w:t>Plataforma virtual de la UBL</w:t>
            </w:r>
          </w:p>
        </w:tc>
      </w:tr>
      <w:tr w:rsidR="00AD7196" w:rsidRPr="00AD7196" w14:paraId="1AD75C52" w14:textId="77777777" w:rsidTr="00104785">
        <w:tc>
          <w:tcPr>
            <w:tcW w:w="1668" w:type="dxa"/>
          </w:tcPr>
          <w:p w14:paraId="15EC3FCF" w14:textId="77777777" w:rsidR="00AD7196" w:rsidRPr="00AD7196" w:rsidRDefault="00AD7196" w:rsidP="00AD7196">
            <w:pPr>
              <w:rPr>
                <w:rFonts w:ascii="Calibri" w:hAnsi="Calibri" w:cs="Calibri"/>
                <w:b/>
                <w:color w:val="000000"/>
              </w:rPr>
            </w:pPr>
            <w:r w:rsidRPr="00AD7196">
              <w:rPr>
                <w:rFonts w:ascii="Calibri" w:hAnsi="Calibri" w:cs="Calibri"/>
                <w:b/>
                <w:color w:val="000000"/>
              </w:rPr>
              <w:t>Docente</w:t>
            </w:r>
          </w:p>
        </w:tc>
        <w:tc>
          <w:tcPr>
            <w:tcW w:w="7386" w:type="dxa"/>
          </w:tcPr>
          <w:p w14:paraId="2358A5A4" w14:textId="77777777" w:rsidR="00AD7196" w:rsidRPr="00AD7196" w:rsidRDefault="00AD7196" w:rsidP="00AD7196">
            <w:pPr>
              <w:rPr>
                <w:rFonts w:ascii="Calibri" w:hAnsi="Calibri" w:cs="Calibri"/>
                <w:color w:val="000000"/>
              </w:rPr>
            </w:pPr>
          </w:p>
        </w:tc>
      </w:tr>
      <w:tr w:rsidR="00AD7196" w:rsidRPr="00AD7196" w14:paraId="026DE2BA" w14:textId="77777777" w:rsidTr="00104785">
        <w:tc>
          <w:tcPr>
            <w:tcW w:w="1668" w:type="dxa"/>
          </w:tcPr>
          <w:p w14:paraId="52FD842A" w14:textId="77777777" w:rsidR="00AD7196" w:rsidRPr="00AD7196" w:rsidRDefault="00AD7196" w:rsidP="00AD7196">
            <w:pPr>
              <w:rPr>
                <w:rFonts w:ascii="Calibri" w:hAnsi="Calibri" w:cs="Calibri"/>
                <w:color w:val="000000"/>
              </w:rPr>
            </w:pPr>
            <w:r w:rsidRPr="00AD7196">
              <w:rPr>
                <w:rFonts w:ascii="Calibri" w:hAnsi="Calibri" w:cs="Calibri"/>
                <w:b/>
                <w:color w:val="000000"/>
              </w:rPr>
              <w:t>Instrucciones administrativas</w:t>
            </w:r>
          </w:p>
        </w:tc>
        <w:tc>
          <w:tcPr>
            <w:tcW w:w="7386" w:type="dxa"/>
          </w:tcPr>
          <w:p w14:paraId="62C418F2" w14:textId="77777777" w:rsidR="00AD7196" w:rsidRPr="00AD7196" w:rsidRDefault="00AD7196" w:rsidP="00AD7196">
            <w:pPr>
              <w:jc w:val="both"/>
              <w:rPr>
                <w:rFonts w:ascii="Calibri" w:hAnsi="Calibri" w:cs="Calibri"/>
              </w:rPr>
            </w:pPr>
            <w:r w:rsidRPr="00AD7196">
              <w:rPr>
                <w:rFonts w:ascii="Calibri" w:hAnsi="Calibri" w:cs="Calibri"/>
                <w:color w:val="000000"/>
              </w:rPr>
              <w:t xml:space="preserve">El curso es virtual, por lo que se requiere de acceso a una computadora con conexión a Internet, además de destrezas básicas para el manejo de correo electrónico y la plataforma Moodle desde el rol de estudiante.  Por su naturaleza teórico-práctica en este curso se debe invertir 2 horas semanales en trabajos prácticos. </w:t>
            </w:r>
            <w:r w:rsidRPr="00AD7196">
              <w:rPr>
                <w:rFonts w:ascii="Calibri" w:hAnsi="Calibri" w:cs="Calibri"/>
              </w:rPr>
              <w:t>La dirección de acceso a la plataforma es la siguiente:</w:t>
            </w:r>
          </w:p>
          <w:p w14:paraId="17FDE604" w14:textId="77777777" w:rsidR="00AD7196" w:rsidRPr="00AD7196" w:rsidRDefault="00DD16F2" w:rsidP="00AD7196">
            <w:pPr>
              <w:jc w:val="both"/>
              <w:rPr>
                <w:rFonts w:ascii="Calibri" w:hAnsi="Calibri" w:cs="Calibri"/>
                <w:color w:val="000000"/>
              </w:rPr>
            </w:pPr>
            <w:hyperlink r:id="rId540" w:history="1">
              <w:r w:rsidR="00AD7196" w:rsidRPr="00AD7196">
                <w:rPr>
                  <w:rFonts w:ascii="Calibri" w:hAnsi="Calibri" w:cs="Calibri"/>
                  <w:color w:val="0563C1"/>
                  <w:u w:val="single"/>
                </w:rPr>
                <w:t>https://campus.ubl.ac.cr/login/index.php</w:t>
              </w:r>
            </w:hyperlink>
            <w:r w:rsidR="00AD7196" w:rsidRPr="00AD7196">
              <w:rPr>
                <w:rFonts w:ascii="Calibri" w:hAnsi="Calibri" w:cs="Calibri"/>
                <w:color w:val="000000"/>
              </w:rPr>
              <w:t xml:space="preserve">  </w:t>
            </w:r>
          </w:p>
        </w:tc>
      </w:tr>
    </w:tbl>
    <w:p w14:paraId="4C9FA0AF" w14:textId="77777777" w:rsidR="00AD7196" w:rsidRPr="00AD7196" w:rsidRDefault="00AD7196" w:rsidP="00AD7196">
      <w:pPr>
        <w:widowControl w:val="0"/>
        <w:overflowPunct w:val="0"/>
        <w:autoSpaceDE w:val="0"/>
        <w:autoSpaceDN w:val="0"/>
        <w:adjustRightInd w:val="0"/>
        <w:spacing w:after="0" w:line="240" w:lineRule="auto"/>
        <w:rPr>
          <w:rFonts w:ascii="Arial" w:eastAsia="Arial" w:hAnsi="Arial" w:cs="Arial"/>
          <w:color w:val="0070C0"/>
          <w:kern w:val="0"/>
          <w:sz w:val="24"/>
          <w:szCs w:val="20"/>
          <w:lang w:val="es-ES_tradnl" w:eastAsia="es-CR"/>
          <w14:ligatures w14:val="none"/>
        </w:rPr>
      </w:pPr>
    </w:p>
    <w:p w14:paraId="22E42C60" w14:textId="77777777" w:rsidR="00AD7196" w:rsidRPr="00AD7196" w:rsidRDefault="00AD7196" w:rsidP="00AD7196">
      <w:pPr>
        <w:spacing w:after="0" w:line="240" w:lineRule="auto"/>
        <w:rPr>
          <w:rFonts w:ascii="Calibri" w:eastAsia="Arial Unicode MS" w:hAnsi="Calibri" w:cs="Arial"/>
          <w:color w:val="000000"/>
          <w:kern w:val="0"/>
          <w14:ligatures w14:val="none"/>
        </w:rPr>
      </w:pPr>
    </w:p>
    <w:p w14:paraId="26871E57" w14:textId="77777777" w:rsidR="00AD7196" w:rsidRPr="00AD7196" w:rsidRDefault="00AD7196" w:rsidP="00AD7196">
      <w:pPr>
        <w:spacing w:after="100" w:afterAutospacing="1" w:line="240" w:lineRule="auto"/>
        <w:rPr>
          <w:rFonts w:ascii="Calibri" w:eastAsia="Arial Unicode MS" w:hAnsi="Calibri" w:cs="Arial"/>
          <w:b/>
          <w:color w:val="000000"/>
          <w:kern w:val="0"/>
          <w14:ligatures w14:val="none"/>
        </w:rPr>
      </w:pPr>
      <w:r w:rsidRPr="00AD7196">
        <w:rPr>
          <w:rFonts w:ascii="Calibri" w:eastAsia="Arial Unicode MS" w:hAnsi="Calibri" w:cs="Arial"/>
          <w:b/>
          <w:color w:val="000000"/>
          <w:kern w:val="0"/>
          <w14:ligatures w14:val="none"/>
        </w:rPr>
        <w:t xml:space="preserve">I. Descripción </w:t>
      </w:r>
    </w:p>
    <w:p w14:paraId="28A3C3AD"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color w:val="000000"/>
          <w:kern w:val="0"/>
          <w:lang w:val="es-ES_tradnl" w:eastAsia="es-CR"/>
          <w14:ligatures w14:val="none"/>
        </w:rPr>
      </w:pPr>
      <w:r w:rsidRPr="00AD7196">
        <w:rPr>
          <w:rFonts w:ascii="Calibri" w:eastAsia="Times New Roman" w:hAnsi="Calibri" w:cs="Arial"/>
          <w:color w:val="000000"/>
          <w:kern w:val="0"/>
          <w:lang w:val="es-ES_tradnl" w:eastAsia="es-CR"/>
          <w14:ligatures w14:val="none"/>
        </w:rPr>
        <w:t xml:space="preserve">Los estudios de la Biblia en la UBL no solo aspiran a una producción intelectual que busque la investigación académica. Buscan ser relevantes en medio de los problemas fundamentales planteados por la sociedad contemporánea, en la que convergen caóticamente crisis económica, desvalorización de la persona humana, tecnologías de avanzada y graves problemas de sobrevivencia y exclusión, entre otros. Estos estudios buscan también ser comunicados y comunicables de una forma amigable, accesible, plástica y en donde junto a la palabra, estén presentes otras dimensiones fundamentales del ser humano, como la afectiva, la lúdica, la artística, y no solo la lógico-racional. Por todo lo anterior, la tarea fundamental de este curso es la de </w:t>
      </w:r>
      <w:r w:rsidRPr="00AD7196">
        <w:rPr>
          <w:rFonts w:ascii="Calibri" w:eastAsia="Times New Roman" w:hAnsi="Calibri" w:cs="Arial"/>
          <w:color w:val="000000"/>
          <w:kern w:val="0"/>
          <w:lang w:val="es-ES_tradnl" w:eastAsia="es-CR"/>
          <w14:ligatures w14:val="none"/>
        </w:rPr>
        <w:lastRenderedPageBreak/>
        <w:t xml:space="preserve">correlación.  Correlación de modalidades de conocimiento, correlación de disciplinas, correlaciones de dimensiones de la realidad, analizadas e integradas desde el punto de la Biblia. </w:t>
      </w:r>
    </w:p>
    <w:p w14:paraId="2D96960C" w14:textId="77777777" w:rsidR="00AD7196" w:rsidRPr="00AD7196" w:rsidRDefault="00AD7196" w:rsidP="00AD7196">
      <w:pPr>
        <w:widowControl w:val="0"/>
        <w:overflowPunct w:val="0"/>
        <w:autoSpaceDE w:val="0"/>
        <w:autoSpaceDN w:val="0"/>
        <w:adjustRightInd w:val="0"/>
        <w:spacing w:before="120" w:after="100" w:afterAutospacing="1" w:line="240" w:lineRule="auto"/>
        <w:jc w:val="both"/>
        <w:rPr>
          <w:rFonts w:ascii="Calibri" w:eastAsia="Times New Roman" w:hAnsi="Calibri" w:cs="Arial"/>
          <w:color w:val="000000"/>
          <w:kern w:val="0"/>
          <w:lang w:val="es-ES" w:eastAsia="es-CR"/>
          <w14:ligatures w14:val="none"/>
        </w:rPr>
      </w:pPr>
      <w:r w:rsidRPr="00AD7196">
        <w:rPr>
          <w:rFonts w:ascii="Calibri" w:eastAsia="Times New Roman" w:hAnsi="Calibri" w:cs="Arial"/>
          <w:color w:val="000000"/>
          <w:kern w:val="0"/>
          <w:lang w:val="es-ES" w:eastAsia="es-CR"/>
          <w14:ligatures w14:val="none"/>
        </w:rPr>
        <w:t>Durante toda su formación profesional, los y las estudiantes de Ciencias Bíblicas de la UBL se verán estimulados a diseñar productos exegético-hermenéuticos que sean relevantes a los problemas fundamentales del ser humano actual, expresados y comunicados en clave pastoral y pedagógica. Este curso busca brindarles una profundización teórica-práctica al respecto, así como motivarles a la producción bíblica con mediación pedagógica y pastoral.</w:t>
      </w:r>
    </w:p>
    <w:p w14:paraId="050707CE" w14:textId="77777777" w:rsidR="00AD7196" w:rsidRPr="00AD7196" w:rsidRDefault="00AD7196" w:rsidP="00AD7196">
      <w:pPr>
        <w:widowControl w:val="0"/>
        <w:overflowPunct w:val="0"/>
        <w:autoSpaceDE w:val="0"/>
        <w:autoSpaceDN w:val="0"/>
        <w:adjustRightInd w:val="0"/>
        <w:spacing w:before="120" w:after="100" w:afterAutospacing="1" w:line="240" w:lineRule="auto"/>
        <w:jc w:val="both"/>
        <w:rPr>
          <w:rFonts w:ascii="Calibri" w:eastAsia="Times New Roman" w:hAnsi="Calibri" w:cs="Arial"/>
          <w:color w:val="000000"/>
          <w:kern w:val="0"/>
          <w:lang w:val="es-ES_tradnl" w:eastAsia="es-CR"/>
          <w14:ligatures w14:val="none"/>
        </w:rPr>
      </w:pPr>
      <w:r w:rsidRPr="00AD7196">
        <w:rPr>
          <w:rFonts w:ascii="Calibri" w:eastAsia="Calibri" w:hAnsi="Calibri" w:cs="Arial"/>
          <w:b/>
          <w:color w:val="000000"/>
          <w:kern w:val="0"/>
          <w14:ligatures w14:val="none"/>
        </w:rPr>
        <w:t>II. Objetivo general</w:t>
      </w:r>
    </w:p>
    <w:p w14:paraId="79C31B36"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14:ligatures w14:val="none"/>
        </w:rPr>
      </w:pPr>
      <w:r w:rsidRPr="00AD7196">
        <w:rPr>
          <w:rFonts w:ascii="Calibri" w:eastAsia="Times New Roman" w:hAnsi="Calibri" w:cs="Arial"/>
          <w:color w:val="000000"/>
          <w:kern w:val="0"/>
          <w:lang w:val="es-ES" w:eastAsia="es-CR"/>
          <w14:ligatures w14:val="none"/>
        </w:rPr>
        <w:t>Analizar la relación entre los problemas sociales y humanos contemporáneos y la hermenéutica de textos bíblicos, así como su comunicación a través de productos pedagógicos y pastorales pertinentes.</w:t>
      </w:r>
    </w:p>
    <w:p w14:paraId="4CF7DB5B"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14:ligatures w14:val="none"/>
        </w:rPr>
      </w:pPr>
    </w:p>
    <w:p w14:paraId="5BA70BE5"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14:ligatures w14:val="none"/>
        </w:rPr>
      </w:pPr>
      <w:r w:rsidRPr="00AD7196">
        <w:rPr>
          <w:rFonts w:ascii="Calibri" w:eastAsia="Calibri" w:hAnsi="Calibri" w:cs="Arial"/>
          <w:b/>
          <w:color w:val="000000"/>
          <w:kern w:val="0"/>
          <w14:ligatures w14:val="none"/>
        </w:rPr>
        <w:t>III. Objetivos específicos</w:t>
      </w:r>
    </w:p>
    <w:p w14:paraId="3280483A"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14:ligatures w14:val="none"/>
        </w:rPr>
      </w:pPr>
    </w:p>
    <w:p w14:paraId="7E5FB275"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r w:rsidRPr="00AD7196">
        <w:rPr>
          <w:rFonts w:ascii="Calibri" w:eastAsia="Calibri" w:hAnsi="Calibri" w:cs="Arial"/>
          <w:color w:val="000000"/>
          <w:kern w:val="0"/>
          <w14:ligatures w14:val="none"/>
        </w:rPr>
        <w:t>1. Comprender</w:t>
      </w:r>
      <w:r w:rsidRPr="00AD7196">
        <w:rPr>
          <w:rFonts w:ascii="Calibri" w:eastAsia="Calibri" w:hAnsi="Calibri" w:cs="Arial"/>
          <w:color w:val="000000"/>
          <w:kern w:val="0"/>
          <w:lang w:val="es-ES"/>
          <w14:ligatures w14:val="none"/>
        </w:rPr>
        <w:t xml:space="preserve"> las diversas conexiones naturales entre los contenidos bíblicos y el mundo del arte, la literatura, para que se tome en cuenta en la comunicación de las dimensiones afectivas y simbólicas a la hora de diseñar productos pedagógicos y pastorales.</w:t>
      </w:r>
    </w:p>
    <w:p w14:paraId="384E2718"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p>
    <w:p w14:paraId="293E8F79"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r w:rsidRPr="00AD7196">
        <w:rPr>
          <w:rFonts w:ascii="Calibri" w:eastAsia="Calibri" w:hAnsi="Calibri" w:cs="Arial"/>
          <w:bCs/>
          <w:color w:val="000000"/>
          <w:kern w:val="0"/>
          <w:lang w:val="es-ES"/>
          <w14:ligatures w14:val="none"/>
        </w:rPr>
        <w:t>2.</w:t>
      </w:r>
      <w:r w:rsidRPr="00AD7196">
        <w:rPr>
          <w:rFonts w:ascii="Calibri" w:eastAsia="Calibri" w:hAnsi="Calibri" w:cs="Arial"/>
          <w:b/>
          <w:color w:val="000000"/>
          <w:kern w:val="0"/>
          <w:lang w:val="es-ES"/>
          <w14:ligatures w14:val="none"/>
        </w:rPr>
        <w:t xml:space="preserve"> </w:t>
      </w:r>
      <w:r w:rsidRPr="00AD7196">
        <w:rPr>
          <w:rFonts w:ascii="Calibri" w:eastAsia="Calibri" w:hAnsi="Calibri" w:cs="Arial"/>
          <w:color w:val="000000"/>
          <w:kern w:val="0"/>
          <w:lang w:val="es-ES"/>
          <w14:ligatures w14:val="none"/>
        </w:rPr>
        <w:t>Identificar las numerosas fuentes (bibliográficas y mediáticas) de recursos/materiales disponibles para que los y las estudiantes cuenten con una actualización bíblica seria, profunda, pertinente.</w:t>
      </w:r>
    </w:p>
    <w:p w14:paraId="6012E0EF"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p>
    <w:p w14:paraId="4F4C11B5"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r w:rsidRPr="00AD7196">
        <w:rPr>
          <w:rFonts w:ascii="Calibri" w:eastAsia="Calibri" w:hAnsi="Calibri" w:cs="Arial"/>
          <w:bCs/>
          <w:color w:val="000000"/>
          <w:kern w:val="0"/>
          <w:lang w:val="es-ES"/>
          <w14:ligatures w14:val="none"/>
        </w:rPr>
        <w:t>3</w:t>
      </w:r>
      <w:r w:rsidRPr="00AD7196">
        <w:rPr>
          <w:rFonts w:ascii="Calibri" w:eastAsia="Calibri" w:hAnsi="Calibri" w:cs="Arial"/>
          <w:color w:val="000000"/>
          <w:kern w:val="0"/>
          <w:lang w:val="es-ES"/>
          <w14:ligatures w14:val="none"/>
        </w:rPr>
        <w:t xml:space="preserve">. Analizar las técnicas de elaboración, producción y edición de materiales didácticos (impresos y mediáticos) para que los y las estudiantes cuenten con modelos de </w:t>
      </w:r>
      <w:proofErr w:type="gramStart"/>
      <w:r w:rsidRPr="00AD7196">
        <w:rPr>
          <w:rFonts w:ascii="Calibri" w:eastAsia="Calibri" w:hAnsi="Calibri" w:cs="Arial"/>
          <w:color w:val="000000"/>
          <w:kern w:val="0"/>
          <w:lang w:val="es-ES"/>
          <w14:ligatures w14:val="none"/>
        </w:rPr>
        <w:t>los mismos</w:t>
      </w:r>
      <w:proofErr w:type="gramEnd"/>
      <w:r w:rsidRPr="00AD7196">
        <w:rPr>
          <w:rFonts w:ascii="Calibri" w:eastAsia="Calibri" w:hAnsi="Calibri" w:cs="Arial"/>
          <w:color w:val="000000"/>
          <w:kern w:val="0"/>
          <w:lang w:val="es-ES"/>
          <w14:ligatures w14:val="none"/>
        </w:rPr>
        <w:t xml:space="preserve">. </w:t>
      </w:r>
    </w:p>
    <w:p w14:paraId="34502146"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p>
    <w:p w14:paraId="01195014"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color w:val="000000"/>
          <w:kern w:val="0"/>
          <w:lang w:val="es-ES"/>
          <w14:ligatures w14:val="none"/>
        </w:rPr>
      </w:pPr>
      <w:r w:rsidRPr="00AD7196">
        <w:rPr>
          <w:rFonts w:ascii="Calibri" w:eastAsia="Calibri" w:hAnsi="Calibri" w:cs="Arial"/>
          <w:bCs/>
          <w:color w:val="000000"/>
          <w:kern w:val="0"/>
          <w:lang w:val="es-ES"/>
          <w14:ligatures w14:val="none"/>
        </w:rPr>
        <w:t>4.</w:t>
      </w:r>
      <w:r w:rsidRPr="00AD7196">
        <w:rPr>
          <w:rFonts w:ascii="Calibri" w:eastAsia="Calibri" w:hAnsi="Calibri" w:cs="Arial"/>
          <w:b/>
          <w:color w:val="000000"/>
          <w:kern w:val="0"/>
          <w:lang w:val="es-ES"/>
          <w14:ligatures w14:val="none"/>
        </w:rPr>
        <w:t xml:space="preserve"> </w:t>
      </w:r>
      <w:r w:rsidRPr="00AD7196">
        <w:rPr>
          <w:rFonts w:ascii="Calibri" w:eastAsia="Calibri" w:hAnsi="Calibri" w:cs="Arial"/>
          <w:color w:val="000000"/>
          <w:kern w:val="0"/>
          <w:lang w:val="es-ES"/>
          <w14:ligatures w14:val="none"/>
        </w:rPr>
        <w:t>Valorar el peso fundamental de la dimensión simbólico/afectiva en la comunicación de los contenidos de la labor exegética para que sea tomado en cuenta por los y las estudiantes en el diseño de productos.</w:t>
      </w:r>
    </w:p>
    <w:p w14:paraId="4321B3FB"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color w:val="000000"/>
          <w:kern w:val="0"/>
          <w:lang w:val="es-ES"/>
          <w14:ligatures w14:val="none"/>
        </w:rPr>
      </w:pPr>
    </w:p>
    <w:p w14:paraId="7F027E2C"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r w:rsidRPr="00AD7196">
        <w:rPr>
          <w:rFonts w:ascii="Calibri" w:eastAsia="Calibri" w:hAnsi="Calibri" w:cs="Arial"/>
          <w:color w:val="000000"/>
          <w:kern w:val="0"/>
          <w:lang w:val="es-ES"/>
          <w14:ligatures w14:val="none"/>
        </w:rPr>
        <w:t>5. Desarrollar capacidades para la traducción de los resultados de la tarea exegética a contenidos pastorales y pedagógicos con el fin de ponerlas en práctica en el diseño de los productos pedagógicos-pastorales.</w:t>
      </w:r>
    </w:p>
    <w:p w14:paraId="1DAF490F"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p>
    <w:p w14:paraId="68928DA7"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r w:rsidRPr="00AD7196">
        <w:rPr>
          <w:rFonts w:ascii="Calibri" w:eastAsia="Arial Unicode MS" w:hAnsi="Calibri" w:cs="Arial"/>
          <w:b/>
          <w:color w:val="000000"/>
          <w:kern w:val="0"/>
          <w14:ligatures w14:val="none"/>
        </w:rPr>
        <w:t xml:space="preserve">IV. Contenidos </w:t>
      </w:r>
    </w:p>
    <w:p w14:paraId="59512B44"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p>
    <w:p w14:paraId="19F5A340"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r w:rsidRPr="00AD7196">
        <w:rPr>
          <w:rFonts w:ascii="Calibri" w:eastAsia="Times New Roman" w:hAnsi="Calibri" w:cs="Arial"/>
          <w:b/>
          <w:bCs/>
          <w:color w:val="000000"/>
          <w:kern w:val="0"/>
          <w:lang w:val="es-ES_tradnl" w:eastAsia="es-CR"/>
          <w14:ligatures w14:val="none"/>
        </w:rPr>
        <w:t xml:space="preserve">Unidad 1: </w:t>
      </w:r>
      <w:r w:rsidRPr="00AD7196">
        <w:rPr>
          <w:rFonts w:ascii="Calibri" w:eastAsia="Times New Roman" w:hAnsi="Calibri" w:cs="Arial"/>
          <w:b/>
          <w:color w:val="000000"/>
          <w:kern w:val="0"/>
          <w:lang w:val="es-ES" w:eastAsia="es-CR"/>
          <w14:ligatures w14:val="none"/>
        </w:rPr>
        <w:t>Aspectos introductorios</w:t>
      </w:r>
    </w:p>
    <w:p w14:paraId="7F849607"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p>
    <w:p w14:paraId="1C7C8B33"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r w:rsidRPr="00AD7196">
        <w:rPr>
          <w:rFonts w:ascii="Calibri" w:eastAsia="Times New Roman" w:hAnsi="Calibri" w:cs="Arial"/>
          <w:color w:val="000000"/>
          <w:kern w:val="0"/>
          <w:lang w:val="es-ES" w:eastAsia="es-CR"/>
          <w14:ligatures w14:val="none"/>
        </w:rPr>
        <w:t>1.1</w:t>
      </w:r>
      <w:r w:rsidRPr="00AD7196">
        <w:rPr>
          <w:rFonts w:ascii="Calibri" w:eastAsia="Times New Roman" w:hAnsi="Calibri" w:cs="Arial"/>
          <w:b/>
          <w:color w:val="000000"/>
          <w:kern w:val="0"/>
          <w:lang w:val="es-ES" w:eastAsia="es-CR"/>
          <w14:ligatures w14:val="none"/>
        </w:rPr>
        <w:t xml:space="preserve"> </w:t>
      </w:r>
      <w:r w:rsidRPr="00AD7196">
        <w:rPr>
          <w:rFonts w:ascii="Calibri" w:eastAsia="Times New Roman" w:hAnsi="Calibri" w:cs="Arial"/>
          <w:color w:val="000000"/>
          <w:kern w:val="0"/>
          <w:lang w:val="es-ES" w:eastAsia="es-CR"/>
          <w14:ligatures w14:val="none"/>
        </w:rPr>
        <w:t>Introducción: Biblia y pedagogía</w:t>
      </w:r>
    </w:p>
    <w:p w14:paraId="70F4D25B"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sz w:val="12"/>
          <w:szCs w:val="12"/>
          <w:lang w:val="es-ES"/>
          <w14:ligatures w14:val="none"/>
        </w:rPr>
      </w:pPr>
    </w:p>
    <w:p w14:paraId="7B36DB0D"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r w:rsidRPr="00AD7196">
        <w:rPr>
          <w:rFonts w:ascii="Calibri" w:eastAsia="SimSun" w:hAnsi="Calibri" w:cs="Arial"/>
          <w:color w:val="000000"/>
          <w:kern w:val="0"/>
          <w:lang w:val="es-ES_tradnl" w:eastAsia="es-CR"/>
          <w14:ligatures w14:val="none"/>
        </w:rPr>
        <w:t>1.2 Función de la imagen en la conformación del conocimiento humano</w:t>
      </w:r>
    </w:p>
    <w:p w14:paraId="027E7471"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sz w:val="12"/>
          <w:szCs w:val="12"/>
          <w:lang w:val="es-ES"/>
          <w14:ligatures w14:val="none"/>
        </w:rPr>
      </w:pPr>
    </w:p>
    <w:p w14:paraId="4845CA1F"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r w:rsidRPr="00AD7196">
        <w:rPr>
          <w:rFonts w:ascii="Calibri" w:eastAsia="SimSun" w:hAnsi="Calibri" w:cs="Arial"/>
          <w:color w:val="000000"/>
          <w:kern w:val="0"/>
          <w:lang w:val="es-ES_tradnl" w:eastAsia="es-CR"/>
          <w14:ligatures w14:val="none"/>
        </w:rPr>
        <w:t>1.3 Función de la afectividad en la conformación del conocimiento humano</w:t>
      </w:r>
    </w:p>
    <w:p w14:paraId="3867F483"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p>
    <w:p w14:paraId="071C09A1"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p>
    <w:p w14:paraId="59AA1644"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p>
    <w:p w14:paraId="6D25120E"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p>
    <w:p w14:paraId="42329DBE"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r w:rsidRPr="00AD7196">
        <w:rPr>
          <w:rFonts w:ascii="Calibri" w:eastAsia="Times New Roman" w:hAnsi="Calibri" w:cs="Arial"/>
          <w:b/>
          <w:bCs/>
          <w:color w:val="000000"/>
          <w:kern w:val="0"/>
          <w:lang w:val="es-ES_tradnl" w:eastAsia="es-CR"/>
          <w14:ligatures w14:val="none"/>
        </w:rPr>
        <w:lastRenderedPageBreak/>
        <w:t xml:space="preserve">Unidad 2: </w:t>
      </w:r>
      <w:r w:rsidRPr="00AD7196">
        <w:rPr>
          <w:rFonts w:ascii="Calibri" w:eastAsia="Times New Roman" w:hAnsi="Calibri" w:cs="Arial"/>
          <w:b/>
          <w:color w:val="000000"/>
          <w:kern w:val="0"/>
          <w:lang w:val="es-ES" w:eastAsia="es-CR"/>
          <w14:ligatures w14:val="none"/>
        </w:rPr>
        <w:t>Pedagogía bíblica y Arte</w:t>
      </w:r>
    </w:p>
    <w:p w14:paraId="2ADA6934"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p>
    <w:p w14:paraId="1802A7F1"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r w:rsidRPr="00AD7196">
        <w:rPr>
          <w:rFonts w:ascii="Calibri" w:eastAsia="Times New Roman" w:hAnsi="Calibri" w:cs="Arial"/>
          <w:bCs/>
          <w:color w:val="000000"/>
          <w:kern w:val="0"/>
          <w:lang w:val="es-ES_tradnl" w:eastAsia="es-CR"/>
          <w14:ligatures w14:val="none"/>
        </w:rPr>
        <w:t xml:space="preserve">2.1 </w:t>
      </w:r>
      <w:r w:rsidRPr="00AD7196">
        <w:rPr>
          <w:rFonts w:ascii="Calibri" w:eastAsia="Times New Roman" w:hAnsi="Calibri" w:cs="Arial"/>
          <w:color w:val="000000"/>
          <w:kern w:val="0"/>
          <w:lang w:val="es-ES" w:eastAsia="es-CR"/>
          <w14:ligatures w14:val="none"/>
        </w:rPr>
        <w:t>Pedagogía bíblica y pintura</w:t>
      </w:r>
    </w:p>
    <w:p w14:paraId="38F176EF"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sz w:val="12"/>
          <w:szCs w:val="12"/>
          <w:lang w:val="es-ES"/>
          <w14:ligatures w14:val="none"/>
        </w:rPr>
      </w:pPr>
    </w:p>
    <w:p w14:paraId="226C7303" w14:textId="77777777" w:rsidR="00AD7196" w:rsidRPr="00AD7196" w:rsidRDefault="00AD7196" w:rsidP="00AD7196">
      <w:pPr>
        <w:widowControl w:val="0"/>
        <w:spacing w:before="120" w:after="100" w:afterAutospacing="1" w:line="240" w:lineRule="auto"/>
        <w:contextualSpacing/>
        <w:jc w:val="both"/>
        <w:rPr>
          <w:rFonts w:ascii="Calibri" w:eastAsia="Times New Roman" w:hAnsi="Calibri" w:cs="Arial"/>
          <w:color w:val="000000"/>
          <w:kern w:val="0"/>
          <w:lang w:val="es-ES" w:eastAsia="es-CR"/>
          <w14:ligatures w14:val="none"/>
        </w:rPr>
      </w:pPr>
      <w:r w:rsidRPr="00AD7196">
        <w:rPr>
          <w:rFonts w:ascii="Calibri" w:eastAsia="Times New Roman" w:hAnsi="Calibri" w:cs="Arial"/>
          <w:bCs/>
          <w:color w:val="000000"/>
          <w:kern w:val="0"/>
          <w:lang w:val="es-ES_tradnl" w:eastAsia="es-CR"/>
          <w14:ligatures w14:val="none"/>
        </w:rPr>
        <w:t xml:space="preserve">2.2 </w:t>
      </w:r>
      <w:r w:rsidRPr="00AD7196">
        <w:rPr>
          <w:rFonts w:ascii="Calibri" w:eastAsia="Times New Roman" w:hAnsi="Calibri" w:cs="Arial"/>
          <w:color w:val="000000"/>
          <w:kern w:val="0"/>
          <w:lang w:val="es-ES" w:eastAsia="es-CR"/>
          <w14:ligatures w14:val="none"/>
        </w:rPr>
        <w:t>Pedagogía bíblica y cine</w:t>
      </w:r>
    </w:p>
    <w:p w14:paraId="3584F8CE" w14:textId="77777777" w:rsidR="00AD7196" w:rsidRPr="00AD7196" w:rsidRDefault="00AD7196" w:rsidP="00AD7196">
      <w:pPr>
        <w:widowControl w:val="0"/>
        <w:spacing w:before="120" w:after="100" w:afterAutospacing="1" w:line="276" w:lineRule="auto"/>
        <w:contextualSpacing/>
        <w:jc w:val="both"/>
        <w:rPr>
          <w:rFonts w:ascii="Calibri" w:eastAsia="Times New Roman" w:hAnsi="Calibri" w:cs="Arial"/>
          <w:color w:val="000000"/>
          <w:kern w:val="0"/>
          <w:lang w:val="es-ES" w:eastAsia="es-CR"/>
          <w14:ligatures w14:val="none"/>
        </w:rPr>
      </w:pPr>
    </w:p>
    <w:p w14:paraId="4949D1F3"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r w:rsidRPr="00AD7196">
        <w:rPr>
          <w:rFonts w:ascii="Calibri" w:eastAsia="Times New Roman" w:hAnsi="Calibri" w:cs="Arial"/>
          <w:b/>
          <w:bCs/>
          <w:color w:val="000000"/>
          <w:kern w:val="0"/>
          <w:lang w:val="es-ES_tradnl" w:eastAsia="es-CR"/>
          <w14:ligatures w14:val="none"/>
        </w:rPr>
        <w:t>Unidad 3: Pedagogía bíblica y Literatura</w:t>
      </w:r>
    </w:p>
    <w:p w14:paraId="30082C52"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color w:val="000000"/>
          <w:kern w:val="0"/>
          <w:lang w:val="es-ES"/>
          <w14:ligatures w14:val="none"/>
        </w:rPr>
      </w:pPr>
    </w:p>
    <w:p w14:paraId="449925D9"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lang w:val="es-ES"/>
          <w14:ligatures w14:val="none"/>
        </w:rPr>
      </w:pPr>
      <w:r w:rsidRPr="00AD7196">
        <w:rPr>
          <w:rFonts w:ascii="Calibri" w:eastAsia="Times New Roman" w:hAnsi="Calibri" w:cs="Arial"/>
          <w:color w:val="000000"/>
          <w:kern w:val="0"/>
          <w:lang w:val="es-ES" w:eastAsia="es-CR"/>
          <w14:ligatures w14:val="none"/>
        </w:rPr>
        <w:t>3.1 Pedagogía bíblica y narración corta en la tradición cristiana: literatura clásica; autores latinoamericanos</w:t>
      </w:r>
    </w:p>
    <w:p w14:paraId="424DCA6D"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sz w:val="12"/>
          <w:szCs w:val="12"/>
          <w:lang w:val="es-ES"/>
          <w14:ligatures w14:val="none"/>
        </w:rPr>
      </w:pPr>
    </w:p>
    <w:p w14:paraId="3D5B9436"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lang w:val="es-ES"/>
          <w14:ligatures w14:val="none"/>
        </w:rPr>
      </w:pPr>
      <w:r w:rsidRPr="00AD7196">
        <w:rPr>
          <w:rFonts w:ascii="Calibri" w:eastAsia="Times New Roman" w:hAnsi="Calibri" w:cs="Arial"/>
          <w:color w:val="000000"/>
          <w:kern w:val="0"/>
          <w:lang w:val="es-ES_tradnl" w:eastAsia="es-CR"/>
          <w14:ligatures w14:val="none"/>
        </w:rPr>
        <w:t xml:space="preserve">3.2 </w:t>
      </w:r>
      <w:r w:rsidRPr="00AD7196">
        <w:rPr>
          <w:rFonts w:ascii="Calibri" w:eastAsia="Times New Roman" w:hAnsi="Calibri" w:cs="Arial"/>
          <w:color w:val="000000"/>
          <w:kern w:val="0"/>
          <w:lang w:val="es-ES" w:eastAsia="es-CR"/>
          <w14:ligatures w14:val="none"/>
        </w:rPr>
        <w:t>Exégesis bíblica y poesía</w:t>
      </w:r>
    </w:p>
    <w:p w14:paraId="7D51A292" w14:textId="77777777" w:rsidR="00AD7196" w:rsidRPr="00AD7196" w:rsidRDefault="00AD7196" w:rsidP="00AD7196">
      <w:pPr>
        <w:widowControl w:val="0"/>
        <w:spacing w:before="120" w:after="100" w:afterAutospacing="1" w:line="276" w:lineRule="auto"/>
        <w:contextualSpacing/>
        <w:rPr>
          <w:rFonts w:ascii="Calibri" w:eastAsia="Calibri" w:hAnsi="Calibri" w:cs="Arial"/>
          <w:b/>
          <w:color w:val="000000"/>
          <w:kern w:val="0"/>
          <w:lang w:val="es-ES"/>
          <w14:ligatures w14:val="none"/>
        </w:rPr>
      </w:pPr>
    </w:p>
    <w:p w14:paraId="3FD6BBC4" w14:textId="77777777" w:rsidR="00AD7196" w:rsidRPr="00AD7196" w:rsidRDefault="00AD7196" w:rsidP="00AD7196">
      <w:pPr>
        <w:widowControl w:val="0"/>
        <w:spacing w:before="120" w:after="100" w:afterAutospacing="1" w:line="276" w:lineRule="auto"/>
        <w:contextualSpacing/>
        <w:rPr>
          <w:rFonts w:ascii="Calibri" w:eastAsia="Calibri" w:hAnsi="Calibri" w:cs="Arial"/>
          <w:b/>
          <w:color w:val="000000"/>
          <w:kern w:val="0"/>
          <w:lang w:val="es-ES"/>
          <w14:ligatures w14:val="none"/>
        </w:rPr>
      </w:pPr>
      <w:r w:rsidRPr="00AD7196">
        <w:rPr>
          <w:rFonts w:ascii="Calibri" w:eastAsia="Times New Roman" w:hAnsi="Calibri" w:cs="Arial"/>
          <w:b/>
          <w:bCs/>
          <w:color w:val="000000"/>
          <w:kern w:val="0"/>
          <w:lang w:val="es-ES_tradnl" w:eastAsia="es-CR"/>
          <w14:ligatures w14:val="none"/>
        </w:rPr>
        <w:t>Unidad 4: Pedagogía bíblica y espiritualidad</w:t>
      </w:r>
    </w:p>
    <w:p w14:paraId="2BEE2A71" w14:textId="77777777" w:rsidR="00AD7196" w:rsidRPr="00AD7196" w:rsidRDefault="00AD7196" w:rsidP="00AD7196">
      <w:pPr>
        <w:widowControl w:val="0"/>
        <w:spacing w:before="120" w:after="100" w:afterAutospacing="1" w:line="276" w:lineRule="auto"/>
        <w:contextualSpacing/>
        <w:rPr>
          <w:rFonts w:ascii="Calibri" w:eastAsia="Calibri" w:hAnsi="Calibri" w:cs="Arial"/>
          <w:b/>
          <w:color w:val="000000"/>
          <w:kern w:val="0"/>
          <w:lang w:val="es-ES"/>
          <w14:ligatures w14:val="none"/>
        </w:rPr>
      </w:pPr>
    </w:p>
    <w:p w14:paraId="6ADEFB87"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lang w:val="es-ES"/>
          <w14:ligatures w14:val="none"/>
        </w:rPr>
      </w:pPr>
      <w:r w:rsidRPr="00AD7196">
        <w:rPr>
          <w:rFonts w:ascii="Calibri" w:eastAsia="Times New Roman" w:hAnsi="Calibri" w:cs="Arial"/>
          <w:bCs/>
          <w:color w:val="000000"/>
          <w:kern w:val="0"/>
          <w:lang w:val="es-ES_tradnl" w:eastAsia="es-CR"/>
          <w14:ligatures w14:val="none"/>
        </w:rPr>
        <w:t xml:space="preserve">4.1 </w:t>
      </w:r>
      <w:r w:rsidRPr="00AD7196">
        <w:rPr>
          <w:rFonts w:ascii="Calibri" w:eastAsia="Times New Roman" w:hAnsi="Calibri" w:cs="Arial"/>
          <w:color w:val="000000"/>
          <w:kern w:val="0"/>
          <w:lang w:val="es-ES" w:eastAsia="es-CR"/>
          <w14:ligatures w14:val="none"/>
        </w:rPr>
        <w:t>El símbolo en la teología bíblica: matrices simbólicas de la Escritura</w:t>
      </w:r>
    </w:p>
    <w:p w14:paraId="07645904"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sz w:val="12"/>
          <w:szCs w:val="12"/>
          <w:lang w:val="es-ES"/>
          <w14:ligatures w14:val="none"/>
        </w:rPr>
      </w:pPr>
    </w:p>
    <w:p w14:paraId="2FB7A261" w14:textId="77777777" w:rsidR="00AD7196" w:rsidRPr="00AD7196" w:rsidRDefault="00AD7196" w:rsidP="00AD7196">
      <w:pPr>
        <w:widowControl w:val="0"/>
        <w:spacing w:before="120" w:after="100" w:afterAutospacing="1" w:line="240" w:lineRule="auto"/>
        <w:contextualSpacing/>
        <w:rPr>
          <w:rFonts w:ascii="Calibri" w:eastAsia="Times New Roman" w:hAnsi="Calibri" w:cs="Arial"/>
          <w:color w:val="000000"/>
          <w:kern w:val="0"/>
          <w:lang w:val="es-ES" w:eastAsia="es-CR"/>
          <w14:ligatures w14:val="none"/>
        </w:rPr>
      </w:pPr>
      <w:r w:rsidRPr="00AD7196">
        <w:rPr>
          <w:rFonts w:ascii="Calibri" w:eastAsia="Times New Roman" w:hAnsi="Calibri" w:cs="Arial"/>
          <w:bCs/>
          <w:color w:val="000000"/>
          <w:kern w:val="0"/>
          <w:lang w:val="es-ES_tradnl" w:eastAsia="es-CR"/>
          <w14:ligatures w14:val="none"/>
        </w:rPr>
        <w:t xml:space="preserve">4.2 </w:t>
      </w:r>
      <w:r w:rsidRPr="00AD7196">
        <w:rPr>
          <w:rFonts w:ascii="Calibri" w:eastAsia="Times New Roman" w:hAnsi="Calibri" w:cs="Arial"/>
          <w:color w:val="000000"/>
          <w:kern w:val="0"/>
          <w:lang w:val="es-ES" w:eastAsia="es-CR"/>
          <w14:ligatures w14:val="none"/>
        </w:rPr>
        <w:t>El lenguaje del cuerpo</w:t>
      </w:r>
    </w:p>
    <w:p w14:paraId="32DD385C" w14:textId="77777777" w:rsidR="00AD7196" w:rsidRPr="00AD7196" w:rsidRDefault="00AD7196" w:rsidP="00AD7196">
      <w:pPr>
        <w:widowControl w:val="0"/>
        <w:spacing w:before="120" w:after="100" w:afterAutospacing="1" w:line="240" w:lineRule="auto"/>
        <w:contextualSpacing/>
        <w:rPr>
          <w:rFonts w:ascii="Calibri" w:eastAsia="Times New Roman" w:hAnsi="Calibri" w:cs="Arial"/>
          <w:color w:val="000000"/>
          <w:kern w:val="0"/>
          <w:sz w:val="12"/>
          <w:szCs w:val="12"/>
          <w:lang w:val="es-ES" w:eastAsia="es-CR"/>
          <w14:ligatures w14:val="none"/>
        </w:rPr>
      </w:pPr>
    </w:p>
    <w:p w14:paraId="6BC7E215"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lang w:val="es-ES"/>
          <w14:ligatures w14:val="none"/>
        </w:rPr>
      </w:pPr>
      <w:r w:rsidRPr="00AD7196">
        <w:rPr>
          <w:rFonts w:ascii="Calibri" w:eastAsia="Times New Roman" w:hAnsi="Calibri" w:cs="Arial"/>
          <w:bCs/>
          <w:color w:val="000000"/>
          <w:kern w:val="0"/>
          <w:lang w:val="es-ES_tradnl" w:eastAsia="es-CR"/>
          <w14:ligatures w14:val="none"/>
        </w:rPr>
        <w:t xml:space="preserve">4.3 </w:t>
      </w:r>
      <w:r w:rsidRPr="00AD7196">
        <w:rPr>
          <w:rFonts w:ascii="Calibri" w:eastAsia="Times New Roman" w:hAnsi="Calibri" w:cs="Arial"/>
          <w:color w:val="000000"/>
          <w:kern w:val="0"/>
          <w:lang w:val="es-ES" w:eastAsia="es-CR"/>
          <w14:ligatures w14:val="none"/>
        </w:rPr>
        <w:t>Lo cósmico como símbolo</w:t>
      </w:r>
    </w:p>
    <w:p w14:paraId="6E393676"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sz w:val="12"/>
          <w:szCs w:val="12"/>
          <w:lang w:val="es-ES"/>
          <w14:ligatures w14:val="none"/>
        </w:rPr>
      </w:pPr>
    </w:p>
    <w:p w14:paraId="23EB505E"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lang w:val="es-ES"/>
          <w14:ligatures w14:val="none"/>
        </w:rPr>
      </w:pPr>
      <w:r w:rsidRPr="00AD7196">
        <w:rPr>
          <w:rFonts w:ascii="Calibri" w:eastAsia="Times New Roman" w:hAnsi="Calibri" w:cs="Arial"/>
          <w:bCs/>
          <w:color w:val="000000"/>
          <w:kern w:val="0"/>
          <w:lang w:val="es-ES_tradnl" w:eastAsia="es-CR"/>
          <w14:ligatures w14:val="none"/>
        </w:rPr>
        <w:t xml:space="preserve">4.4 </w:t>
      </w:r>
      <w:r w:rsidRPr="00AD7196">
        <w:rPr>
          <w:rFonts w:ascii="Calibri" w:eastAsia="Times New Roman" w:hAnsi="Calibri" w:cs="Arial"/>
          <w:color w:val="000000"/>
          <w:kern w:val="0"/>
          <w:lang w:val="es-ES" w:eastAsia="es-CR"/>
          <w14:ligatures w14:val="none"/>
        </w:rPr>
        <w:t>Pedagogía bíblica y liturgia: gestos y símbolos</w:t>
      </w:r>
    </w:p>
    <w:p w14:paraId="1576F799" w14:textId="77777777" w:rsidR="00AD7196" w:rsidRPr="00AD7196" w:rsidRDefault="00AD7196" w:rsidP="00AD7196">
      <w:pPr>
        <w:widowControl w:val="0"/>
        <w:spacing w:before="120" w:after="100" w:afterAutospacing="1" w:line="276" w:lineRule="auto"/>
        <w:contextualSpacing/>
        <w:rPr>
          <w:rFonts w:ascii="Calibri" w:eastAsia="Calibri" w:hAnsi="Calibri" w:cs="Arial"/>
          <w:b/>
          <w:color w:val="000000"/>
          <w:kern w:val="0"/>
          <w:lang w:val="es-ES"/>
          <w14:ligatures w14:val="none"/>
        </w:rPr>
      </w:pPr>
    </w:p>
    <w:p w14:paraId="10056D12" w14:textId="77777777" w:rsidR="00AD7196" w:rsidRPr="00AD7196" w:rsidRDefault="00AD7196" w:rsidP="00AD7196">
      <w:pPr>
        <w:widowControl w:val="0"/>
        <w:spacing w:before="120" w:after="100" w:afterAutospacing="1" w:line="276" w:lineRule="auto"/>
        <w:contextualSpacing/>
        <w:rPr>
          <w:rFonts w:ascii="Calibri" w:eastAsia="Calibri" w:hAnsi="Calibri" w:cs="Arial"/>
          <w:b/>
          <w:color w:val="000000"/>
          <w:kern w:val="0"/>
          <w:lang w:val="es-ES"/>
          <w14:ligatures w14:val="none"/>
        </w:rPr>
      </w:pPr>
      <w:r w:rsidRPr="00AD7196">
        <w:rPr>
          <w:rFonts w:ascii="Calibri" w:eastAsia="Times New Roman" w:hAnsi="Calibri" w:cs="Arial"/>
          <w:b/>
          <w:bCs/>
          <w:color w:val="000000"/>
          <w:kern w:val="0"/>
          <w:lang w:val="es-ES_tradnl" w:eastAsia="es-CR"/>
          <w14:ligatures w14:val="none"/>
        </w:rPr>
        <w:t>Unidad 5: Pedagogía bíblica y recursos mediáticos</w:t>
      </w:r>
    </w:p>
    <w:p w14:paraId="3B35FFC4" w14:textId="77777777" w:rsidR="00AD7196" w:rsidRPr="00AD7196" w:rsidRDefault="00AD7196" w:rsidP="00AD7196">
      <w:pPr>
        <w:widowControl w:val="0"/>
        <w:spacing w:before="120" w:after="100" w:afterAutospacing="1" w:line="276" w:lineRule="auto"/>
        <w:contextualSpacing/>
        <w:rPr>
          <w:rFonts w:ascii="Calibri" w:eastAsia="Calibri" w:hAnsi="Calibri" w:cs="Arial"/>
          <w:b/>
          <w:color w:val="000000"/>
          <w:kern w:val="0"/>
          <w:lang w:val="es-ES"/>
          <w14:ligatures w14:val="none"/>
        </w:rPr>
      </w:pPr>
    </w:p>
    <w:p w14:paraId="21A1CCD5"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lang w:val="es-ES"/>
          <w14:ligatures w14:val="none"/>
        </w:rPr>
      </w:pPr>
      <w:r w:rsidRPr="00AD7196">
        <w:rPr>
          <w:rFonts w:ascii="Calibri" w:eastAsia="Times New Roman" w:hAnsi="Calibri" w:cs="Arial"/>
          <w:bCs/>
          <w:color w:val="000000"/>
          <w:kern w:val="0"/>
          <w:lang w:val="es-ES_tradnl" w:eastAsia="es-CR"/>
          <w14:ligatures w14:val="none"/>
        </w:rPr>
        <w:t xml:space="preserve">5.1 </w:t>
      </w:r>
      <w:r w:rsidRPr="00AD7196">
        <w:rPr>
          <w:rFonts w:ascii="Calibri" w:eastAsia="Times New Roman" w:hAnsi="Calibri" w:cs="Arial"/>
          <w:color w:val="000000"/>
          <w:kern w:val="0"/>
          <w:lang w:val="es-ES" w:eastAsia="es-CR"/>
          <w14:ligatures w14:val="none"/>
        </w:rPr>
        <w:t>La imagen en la cultura y pedagogía contemporáneas</w:t>
      </w:r>
    </w:p>
    <w:p w14:paraId="573BDDEC"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sz w:val="12"/>
          <w:szCs w:val="12"/>
          <w:lang w:val="es-ES"/>
          <w14:ligatures w14:val="none"/>
        </w:rPr>
      </w:pPr>
    </w:p>
    <w:p w14:paraId="2EBD78B5"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lang w:val="es-ES"/>
          <w14:ligatures w14:val="none"/>
        </w:rPr>
      </w:pPr>
      <w:r w:rsidRPr="00AD7196">
        <w:rPr>
          <w:rFonts w:ascii="Calibri" w:eastAsia="Calibri" w:hAnsi="Calibri" w:cs="Arial"/>
          <w:bCs/>
          <w:color w:val="000000"/>
          <w:kern w:val="0"/>
          <w:lang w:val="es-ES"/>
          <w14:ligatures w14:val="none"/>
        </w:rPr>
        <w:t>5.2</w:t>
      </w:r>
      <w:r w:rsidRPr="00AD7196">
        <w:rPr>
          <w:rFonts w:ascii="Calibri" w:eastAsia="Calibri" w:hAnsi="Calibri" w:cs="Arial"/>
          <w:b/>
          <w:color w:val="000000"/>
          <w:kern w:val="0"/>
          <w:lang w:val="es-ES"/>
          <w14:ligatures w14:val="none"/>
        </w:rPr>
        <w:t xml:space="preserve"> </w:t>
      </w:r>
      <w:r w:rsidRPr="00AD7196">
        <w:rPr>
          <w:rFonts w:ascii="Calibri" w:eastAsia="Times New Roman" w:hAnsi="Calibri" w:cs="Arial"/>
          <w:color w:val="000000"/>
          <w:kern w:val="0"/>
          <w:lang w:val="es-ES" w:eastAsia="es-CR"/>
          <w14:ligatures w14:val="none"/>
        </w:rPr>
        <w:t>Los blogs de pastoralistas y teologías específicas</w:t>
      </w:r>
    </w:p>
    <w:p w14:paraId="35CC86A8"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sz w:val="12"/>
          <w:szCs w:val="12"/>
          <w:lang w:val="es-ES"/>
          <w14:ligatures w14:val="none"/>
        </w:rPr>
      </w:pPr>
    </w:p>
    <w:p w14:paraId="025698C7" w14:textId="77777777" w:rsidR="00AD7196" w:rsidRPr="00AD7196" w:rsidRDefault="00AD7196" w:rsidP="00AD7196">
      <w:pPr>
        <w:widowControl w:val="0"/>
        <w:spacing w:before="120" w:after="100" w:afterAutospacing="1" w:line="240" w:lineRule="auto"/>
        <w:contextualSpacing/>
        <w:rPr>
          <w:rFonts w:ascii="Calibri" w:eastAsia="Calibri" w:hAnsi="Calibri" w:cs="Arial"/>
          <w:b/>
          <w:color w:val="000000"/>
          <w:kern w:val="0"/>
          <w:lang w:val="es-ES"/>
          <w14:ligatures w14:val="none"/>
        </w:rPr>
      </w:pPr>
      <w:r w:rsidRPr="00AD7196">
        <w:rPr>
          <w:rFonts w:ascii="Calibri" w:eastAsia="Calibri" w:hAnsi="Calibri" w:cs="Arial"/>
          <w:bCs/>
          <w:color w:val="000000"/>
          <w:kern w:val="0"/>
          <w:lang w:val="es-ES"/>
          <w14:ligatures w14:val="none"/>
        </w:rPr>
        <w:t>5.3</w:t>
      </w:r>
      <w:r w:rsidRPr="00AD7196">
        <w:rPr>
          <w:rFonts w:ascii="Calibri" w:eastAsia="Calibri" w:hAnsi="Calibri" w:cs="Arial"/>
          <w:b/>
          <w:color w:val="000000"/>
          <w:kern w:val="0"/>
          <w:lang w:val="es-ES"/>
          <w14:ligatures w14:val="none"/>
        </w:rPr>
        <w:t xml:space="preserve"> </w:t>
      </w:r>
      <w:r w:rsidRPr="00AD7196">
        <w:rPr>
          <w:rFonts w:ascii="Calibri" w:eastAsia="Times New Roman" w:hAnsi="Calibri" w:cs="Arial"/>
          <w:kern w:val="0"/>
          <w:lang w:val="es-ES" w:eastAsia="es-CR"/>
          <w14:ligatures w14:val="none"/>
        </w:rPr>
        <w:t>Productos pedagógicos</w:t>
      </w:r>
    </w:p>
    <w:p w14:paraId="4F2FB12E" w14:textId="77777777" w:rsidR="00AD7196" w:rsidRPr="00AD7196" w:rsidRDefault="00AD7196" w:rsidP="00AD7196">
      <w:pPr>
        <w:widowControl w:val="0"/>
        <w:spacing w:before="120" w:after="100" w:afterAutospacing="1" w:line="276" w:lineRule="auto"/>
        <w:contextualSpacing/>
        <w:rPr>
          <w:rFonts w:ascii="Calibri" w:eastAsia="Calibri" w:hAnsi="Calibri" w:cs="Arial"/>
          <w:b/>
          <w:color w:val="000000"/>
          <w:kern w:val="0"/>
          <w:lang w:val="es-ES"/>
          <w14:ligatures w14:val="none"/>
        </w:rPr>
      </w:pPr>
    </w:p>
    <w:p w14:paraId="73AD15F7" w14:textId="77777777" w:rsidR="00AD7196" w:rsidRPr="00AD7196" w:rsidRDefault="00AD7196" w:rsidP="00AD7196">
      <w:pPr>
        <w:widowControl w:val="0"/>
        <w:spacing w:before="120" w:after="100" w:afterAutospacing="1" w:line="276" w:lineRule="auto"/>
        <w:contextualSpacing/>
        <w:rPr>
          <w:rFonts w:ascii="Calibri" w:eastAsia="Calibri" w:hAnsi="Calibri" w:cs="Arial"/>
          <w:b/>
          <w:color w:val="000000"/>
          <w:kern w:val="0"/>
          <w:lang w:val="es-ES"/>
          <w14:ligatures w14:val="none"/>
        </w:rPr>
      </w:pPr>
      <w:r w:rsidRPr="00AD7196">
        <w:rPr>
          <w:rFonts w:ascii="Calibri" w:eastAsia="Arial Unicode MS" w:hAnsi="Calibri" w:cs="Arial"/>
          <w:b/>
          <w:kern w:val="0"/>
          <w14:ligatures w14:val="none"/>
        </w:rPr>
        <w:t xml:space="preserve">V. Metodología </w:t>
      </w:r>
    </w:p>
    <w:p w14:paraId="523096EC"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Cs/>
          <w:color w:val="000000"/>
          <w:kern w:val="0"/>
          <w:lang w:val="es-ES"/>
          <w14:ligatures w14:val="none"/>
        </w:rPr>
      </w:pPr>
    </w:p>
    <w:p w14:paraId="2D1AAEAE"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Cs/>
          <w:color w:val="000000"/>
          <w:kern w:val="0"/>
          <w:lang w:val="es-ES"/>
          <w14:ligatures w14:val="none"/>
        </w:rPr>
      </w:pPr>
      <w:r w:rsidRPr="00AD7196">
        <w:rPr>
          <w:rFonts w:ascii="Calibri" w:eastAsia="Calibri" w:hAnsi="Calibri" w:cs="Arial"/>
          <w:bCs/>
          <w:color w:val="000000"/>
          <w:kern w:val="0"/>
          <w:lang w:val="es-ES"/>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73AC25F8"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Cs/>
          <w:color w:val="000000"/>
          <w:kern w:val="0"/>
          <w:lang w:val="es-ES"/>
          <w14:ligatures w14:val="none"/>
        </w:rPr>
      </w:pPr>
    </w:p>
    <w:p w14:paraId="2E39965A" w14:textId="77777777" w:rsidR="00AD7196" w:rsidRPr="00AD7196" w:rsidRDefault="00AD7196" w:rsidP="00AD7196">
      <w:pPr>
        <w:widowControl w:val="0"/>
        <w:spacing w:before="120" w:after="100" w:afterAutospacing="1" w:line="240" w:lineRule="auto"/>
        <w:contextualSpacing/>
        <w:jc w:val="both"/>
        <w:rPr>
          <w:rFonts w:ascii="Calibri" w:eastAsia="Arial Unicode MS" w:hAnsi="Calibri" w:cs="Arial"/>
          <w:color w:val="000000"/>
          <w:kern w:val="0"/>
          <w14:ligatures w14:val="none"/>
        </w:rPr>
      </w:pPr>
      <w:r w:rsidRPr="00AD7196">
        <w:rPr>
          <w:rFonts w:ascii="Calibri" w:eastAsia="Arial Unicode MS" w:hAnsi="Calibri" w:cs="Arial"/>
          <w:color w:val="000000"/>
          <w:kern w:val="0"/>
          <w14:ligatures w14:val="none"/>
        </w:rPr>
        <w:t xml:space="preserve">El curso combina los insumos teóricos con ejercicios pedagógicos que hacen uso de elementos visuales, mediáticos, literarios e insumos sobre la corporeidad, espiritualidad entre otros temas que promueven un abordaje pedagógico y pastoral de los textos bíblicos para la implementación en grupos de iglesias, clases, comunidades u otros espacios. Metodológicamente se buscará un aprendizaje significativo por medio de actividades virtuales que conducen a la explicación y síntesis </w:t>
      </w:r>
      <w:r w:rsidRPr="00AD7196">
        <w:rPr>
          <w:rFonts w:ascii="Calibri" w:eastAsia="Arial Unicode MS" w:hAnsi="Calibri" w:cs="Arial"/>
          <w:color w:val="000000"/>
          <w:kern w:val="0"/>
          <w14:ligatures w14:val="none"/>
        </w:rPr>
        <w:lastRenderedPageBreak/>
        <w:t>de los contenidos, tanto a nivel individual como grupal y al diseño de productos pastorales y pedagógicos. Las lecturas individuales, los trabajos colaborativos en los encuentros sincrónicos virtuales (para el análisis de textos bíblicos y su impacto en la cultura), el producto pedagógico final donde se aplican elementos pedagógicos aprendidos, así como el aporte docente, buscan desarrollar competencias y destrezas para</w:t>
      </w:r>
      <w:r w:rsidRPr="00AD7196">
        <w:rPr>
          <w:rFonts w:ascii="Calibri" w:eastAsia="Arial Unicode MS" w:hAnsi="Calibri" w:cs="Arial"/>
          <w:color w:val="000000"/>
          <w:kern w:val="0"/>
          <w:lang w:val="es-ES"/>
          <w14:ligatures w14:val="none"/>
        </w:rPr>
        <w:t xml:space="preserve"> la correlación entre la labor exegética y la literatura, el arte, los recursos mediáticos actuales y la espiritualidad</w:t>
      </w:r>
      <w:r w:rsidRPr="00AD7196">
        <w:rPr>
          <w:rFonts w:ascii="Calibri" w:eastAsia="Arial Unicode MS" w:hAnsi="Calibri" w:cs="Arial"/>
          <w:color w:val="000000"/>
          <w:kern w:val="0"/>
          <w14:ligatures w14:val="none"/>
        </w:rPr>
        <w:t xml:space="preserve"> a partir de los insumos teóricos.</w:t>
      </w:r>
      <w:r w:rsidRPr="00AD7196">
        <w:rPr>
          <w:rFonts w:ascii="Times New Roman" w:eastAsia="Times New Roman" w:hAnsi="Times New Roman" w:cs="Times New Roman"/>
          <w:kern w:val="0"/>
          <w:sz w:val="24"/>
          <w:szCs w:val="20"/>
          <w:lang w:val="es-ES_tradnl" w:eastAsia="es-CR"/>
          <w14:ligatures w14:val="none"/>
        </w:rPr>
        <w:t xml:space="preserve"> </w:t>
      </w:r>
      <w:r w:rsidRPr="00AD7196">
        <w:rPr>
          <w:rFonts w:ascii="Calibri" w:eastAsia="Arial Unicode MS" w:hAnsi="Calibri" w:cs="Arial"/>
          <w:color w:val="000000"/>
          <w:kern w:val="0"/>
          <w14:ligatures w14:val="none"/>
        </w:rPr>
        <w:t>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Se presuponen conocimientos fundamentales de las Ciencias Bíblicas, los métodos de estudio bíblico y la educación cristiana, cursos realizados en la carrera, para el desarrollo de las actividades del curso.</w:t>
      </w:r>
    </w:p>
    <w:p w14:paraId="7249CCE4" w14:textId="77777777" w:rsidR="00AD7196" w:rsidRPr="00AD7196" w:rsidRDefault="00AD7196" w:rsidP="00AD7196">
      <w:pPr>
        <w:widowControl w:val="0"/>
        <w:spacing w:before="120" w:after="100" w:afterAutospacing="1" w:line="276" w:lineRule="auto"/>
        <w:contextualSpacing/>
        <w:jc w:val="both"/>
        <w:rPr>
          <w:rFonts w:ascii="Calibri" w:eastAsia="Arial Unicode MS" w:hAnsi="Calibri" w:cs="Arial"/>
          <w:color w:val="000000"/>
          <w:kern w:val="0"/>
          <w14:ligatures w14:val="none"/>
        </w:rPr>
      </w:pPr>
    </w:p>
    <w:p w14:paraId="14462AA3" w14:textId="77777777" w:rsidR="00AD7196" w:rsidRPr="00AD7196" w:rsidRDefault="00AD7196" w:rsidP="00AD7196">
      <w:pPr>
        <w:widowControl w:val="0"/>
        <w:spacing w:before="120" w:after="100" w:afterAutospacing="1" w:line="276" w:lineRule="auto"/>
        <w:contextualSpacing/>
        <w:jc w:val="both"/>
        <w:rPr>
          <w:rFonts w:ascii="Calibri" w:eastAsia="Arial Unicode MS" w:hAnsi="Calibri" w:cs="Arial"/>
          <w:b/>
          <w:color w:val="000000"/>
          <w:kern w:val="0"/>
          <w14:ligatures w14:val="none"/>
        </w:rPr>
      </w:pPr>
      <w:r w:rsidRPr="00AD7196">
        <w:rPr>
          <w:rFonts w:ascii="Calibri" w:eastAsia="Arial Unicode MS" w:hAnsi="Calibri" w:cs="Arial"/>
          <w:b/>
          <w:color w:val="000000"/>
          <w:kern w:val="0"/>
          <w14:ligatures w14:val="none"/>
        </w:rPr>
        <w:t>VI. Estrategias de aprendizaje</w:t>
      </w:r>
    </w:p>
    <w:p w14:paraId="62DE6097" w14:textId="77777777" w:rsidR="00AD7196" w:rsidRPr="00AD7196" w:rsidRDefault="00AD7196" w:rsidP="00AD7196">
      <w:pPr>
        <w:widowControl w:val="0"/>
        <w:spacing w:before="120" w:after="100" w:afterAutospacing="1" w:line="276" w:lineRule="auto"/>
        <w:contextualSpacing/>
        <w:jc w:val="both"/>
        <w:rPr>
          <w:rFonts w:ascii="Calibri" w:eastAsia="Arial Unicode MS" w:hAnsi="Calibri" w:cs="Arial"/>
          <w:b/>
          <w:color w:val="000000"/>
          <w:kern w:val="0"/>
          <w14:ligatures w14:val="none"/>
        </w:rPr>
      </w:pPr>
    </w:p>
    <w:p w14:paraId="082C7599" w14:textId="77777777" w:rsidR="00AD7196" w:rsidRPr="00AD7196" w:rsidRDefault="00AD7196" w:rsidP="00AD7196">
      <w:pPr>
        <w:widowControl w:val="0"/>
        <w:spacing w:before="120" w:after="100" w:afterAutospacing="1" w:line="240" w:lineRule="auto"/>
        <w:contextualSpacing/>
        <w:jc w:val="both"/>
        <w:rPr>
          <w:rFonts w:ascii="Calibri" w:eastAsia="Arial Unicode MS" w:hAnsi="Calibri" w:cs="Arial"/>
          <w:color w:val="000000"/>
          <w:kern w:val="0"/>
          <w:lang w:val="es-ES" w:eastAsia="es-ES"/>
          <w14:ligatures w14:val="none"/>
        </w:rPr>
      </w:pPr>
      <w:r w:rsidRPr="00AD7196">
        <w:rPr>
          <w:rFonts w:ascii="Calibri" w:eastAsia="Arial Unicode MS" w:hAnsi="Calibri" w:cs="Arial"/>
          <w:color w:val="000000"/>
          <w:kern w:val="0"/>
          <w:lang w:val="es-ES" w:eastAsia="es-ES"/>
          <w14:ligatures w14:val="none"/>
        </w:rPr>
        <w:t>Las estrategias de aprendizaje combinan el acopio de insumos teóricos y la discusión sobre estos en la plataforma virtual, con el desarrollo de ejercicios pedagógicos para la enseñanza de la Biblia.</w:t>
      </w:r>
    </w:p>
    <w:p w14:paraId="2CA821E9" w14:textId="77777777" w:rsidR="00AD7196" w:rsidRPr="00AD7196" w:rsidRDefault="00AD7196" w:rsidP="00AD7196">
      <w:pPr>
        <w:widowControl w:val="0"/>
        <w:spacing w:before="120" w:after="100" w:afterAutospacing="1" w:line="240" w:lineRule="auto"/>
        <w:contextualSpacing/>
        <w:jc w:val="both"/>
        <w:rPr>
          <w:rFonts w:ascii="Calibri" w:eastAsia="Arial Unicode MS" w:hAnsi="Calibri" w:cs="Arial"/>
          <w:color w:val="000000"/>
          <w:kern w:val="0"/>
          <w:lang w:val="es-ES" w:eastAsia="es-ES"/>
          <w14:ligatures w14:val="none"/>
        </w:rPr>
      </w:pPr>
    </w:p>
    <w:p w14:paraId="4929AB61"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r w:rsidRPr="00AD7196">
        <w:rPr>
          <w:rFonts w:ascii="Calibri" w:eastAsia="Arial Unicode MS" w:hAnsi="Calibri" w:cs="Arial"/>
          <w:color w:val="000000"/>
          <w:kern w:val="0"/>
          <w:lang w:val="es-ES" w:eastAsia="es-ES"/>
          <w14:ligatures w14:val="none"/>
        </w:rPr>
        <w:t>Se utilizan las siguientes estrategias de aprendizaje:</w:t>
      </w:r>
    </w:p>
    <w:p w14:paraId="5EA089DE"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color w:val="000000"/>
          <w:kern w:val="0"/>
          <w:lang w:val="es-ES"/>
          <w14:ligatures w14:val="none"/>
        </w:rPr>
      </w:pPr>
    </w:p>
    <w:p w14:paraId="4FD5FD7D"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bCs/>
          <w:color w:val="000000"/>
          <w:kern w:val="0"/>
          <w:lang w:val="es-ES"/>
          <w14:ligatures w14:val="none"/>
        </w:rPr>
      </w:pPr>
      <w:r w:rsidRPr="00AD7196">
        <w:rPr>
          <w:rFonts w:ascii="Calibri" w:eastAsia="Arial Unicode MS" w:hAnsi="Calibri" w:cs="Arial"/>
          <w:b/>
          <w:bCs/>
          <w:color w:val="000000"/>
          <w:kern w:val="0"/>
          <w:lang w:val="es-ES" w:eastAsia="es-ES"/>
          <w14:ligatures w14:val="none"/>
        </w:rPr>
        <w:t>a) Encuentro sincrónico virtual:</w:t>
      </w:r>
      <w:r w:rsidRPr="00AD7196">
        <w:rPr>
          <w:rFonts w:ascii="Calibri" w:eastAsia="Calibri" w:hAnsi="Calibri" w:cs="Arial"/>
          <w:b/>
          <w:bCs/>
          <w:color w:val="000000"/>
          <w:kern w:val="0"/>
          <w:lang w:val="es-ES"/>
          <w14:ligatures w14:val="none"/>
        </w:rPr>
        <w:t xml:space="preserve"> </w:t>
      </w:r>
      <w:r w:rsidRPr="00AD7196">
        <w:rPr>
          <w:rFonts w:ascii="Calibri" w:eastAsia="Arial Unicode MS" w:hAnsi="Calibri" w:cs="Arial"/>
          <w:color w:val="000000"/>
          <w:kern w:val="0"/>
          <w:lang w:val="es-ES" w:eastAsia="es-ES"/>
          <w14:ligatures w14:val="none"/>
        </w:rPr>
        <w:t>En los encuentros sincrónicos virtuales se profundizarán las temáticas de la sesión mediante presentaciones docentes con ejemplos de los elementos pedagógicos analizados y la discusión de estos. En la última sesión cada estudiante presentará su producto pedagógico final. Los encuentros sincrónicos virtuales tienen valor formativo.</w:t>
      </w:r>
    </w:p>
    <w:p w14:paraId="5F6A7734"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bCs/>
          <w:color w:val="000000"/>
          <w:kern w:val="0"/>
          <w:lang w:val="es-ES"/>
          <w14:ligatures w14:val="none"/>
        </w:rPr>
      </w:pPr>
    </w:p>
    <w:p w14:paraId="126BFB15" w14:textId="77777777" w:rsidR="00AD7196" w:rsidRPr="00AD7196" w:rsidRDefault="00AD7196" w:rsidP="00AD7196">
      <w:pPr>
        <w:widowControl w:val="0"/>
        <w:spacing w:before="120" w:after="100" w:afterAutospacing="1" w:line="240" w:lineRule="auto"/>
        <w:contextualSpacing/>
        <w:jc w:val="both"/>
        <w:rPr>
          <w:rFonts w:ascii="Calibri" w:eastAsia="Arial Unicode MS" w:hAnsi="Calibri" w:cs="Arial"/>
          <w:color w:val="000000"/>
          <w:kern w:val="0"/>
          <w:lang w:val="es-ES" w:eastAsia="es-ES"/>
          <w14:ligatures w14:val="none"/>
        </w:rPr>
      </w:pPr>
      <w:r w:rsidRPr="00AD7196">
        <w:rPr>
          <w:rFonts w:ascii="Calibri" w:eastAsia="Arial Unicode MS" w:hAnsi="Calibri" w:cs="Arial"/>
          <w:b/>
          <w:bCs/>
          <w:color w:val="000000"/>
          <w:kern w:val="0"/>
          <w:lang w:val="es-ES" w:eastAsia="es-ES"/>
          <w14:ligatures w14:val="none"/>
        </w:rPr>
        <w:t>b) Foro:</w:t>
      </w:r>
      <w:r w:rsidRPr="00AD7196">
        <w:rPr>
          <w:rFonts w:ascii="Calibri" w:eastAsia="Calibri" w:hAnsi="Calibri" w:cs="Arial"/>
          <w:b/>
          <w:bCs/>
          <w:color w:val="000000"/>
          <w:kern w:val="0"/>
          <w:lang w:val="es-ES"/>
          <w14:ligatures w14:val="none"/>
        </w:rPr>
        <w:t xml:space="preserve"> </w:t>
      </w:r>
      <w:r w:rsidRPr="00AD7196">
        <w:rPr>
          <w:rFonts w:ascii="Calibri" w:eastAsia="Arial Unicode MS" w:hAnsi="Calibri" w:cs="Arial"/>
          <w:color w:val="000000"/>
          <w:kern w:val="0"/>
          <w:lang w:val="es-ES" w:eastAsia="es-ES"/>
          <w14:ligatures w14:val="none"/>
        </w:rPr>
        <w:t>En los foros temáticos se realizará un trabajo colaborativo de diálogo sobre los insumos de la sesión como también análisis de insumos para la pedagogía bíblica. Se realizarán varios durante el curso para ahondar en temas como: la afectividad, la Biblia en la literatura, la valoración de las matrices simbólicas de un texto bíblico y su dimensión pedagógica, la espiritualidad y el uso de recursos mediáticos como los blogs teológicos en la web.</w:t>
      </w:r>
    </w:p>
    <w:p w14:paraId="538C0B67" w14:textId="77777777" w:rsidR="00AD7196" w:rsidRPr="00AD7196" w:rsidRDefault="00AD7196" w:rsidP="00AD7196">
      <w:pPr>
        <w:widowControl w:val="0"/>
        <w:spacing w:before="120" w:after="100" w:afterAutospacing="1" w:line="240" w:lineRule="auto"/>
        <w:contextualSpacing/>
        <w:jc w:val="both"/>
        <w:rPr>
          <w:rFonts w:ascii="Calibri" w:eastAsia="Arial Unicode MS" w:hAnsi="Calibri" w:cs="Arial"/>
          <w:color w:val="000000"/>
          <w:kern w:val="0"/>
          <w:lang w:val="es-ES" w:eastAsia="es-ES"/>
          <w14:ligatures w14:val="none"/>
        </w:rPr>
      </w:pPr>
    </w:p>
    <w:p w14:paraId="3E9E3FCA" w14:textId="77777777" w:rsidR="00AD7196" w:rsidRPr="00AD7196" w:rsidRDefault="00AD7196" w:rsidP="00AD7196">
      <w:pPr>
        <w:widowControl w:val="0"/>
        <w:spacing w:before="120" w:after="100" w:afterAutospacing="1" w:line="240" w:lineRule="auto"/>
        <w:contextualSpacing/>
        <w:jc w:val="both"/>
        <w:rPr>
          <w:rFonts w:ascii="Calibri" w:eastAsia="Arial Unicode MS" w:hAnsi="Calibri" w:cs="Arial"/>
          <w:color w:val="000000"/>
          <w:kern w:val="0"/>
          <w:lang w:val="es-ES" w:eastAsia="es-ES"/>
          <w14:ligatures w14:val="none"/>
        </w:rPr>
      </w:pPr>
      <w:r w:rsidRPr="00AD7196">
        <w:rPr>
          <w:rFonts w:ascii="Calibri" w:eastAsia="Arial Unicode MS" w:hAnsi="Calibri" w:cs="Arial"/>
          <w:b/>
          <w:bCs/>
          <w:color w:val="000000"/>
          <w:kern w:val="0"/>
          <w:lang w:val="es-ES" w:eastAsia="es-ES"/>
          <w14:ligatures w14:val="none"/>
        </w:rPr>
        <w:t>c) Reseña crítica de lectura:</w:t>
      </w:r>
      <w:r w:rsidRPr="00AD7196">
        <w:rPr>
          <w:rFonts w:ascii="Calibri" w:eastAsia="Calibri" w:hAnsi="Calibri" w:cs="Arial"/>
          <w:b/>
          <w:bCs/>
          <w:color w:val="000000"/>
          <w:kern w:val="0"/>
          <w:lang w:val="es-ES"/>
          <w14:ligatures w14:val="none"/>
        </w:rPr>
        <w:t xml:space="preserve"> </w:t>
      </w:r>
      <w:r w:rsidRPr="00AD7196">
        <w:rPr>
          <w:rFonts w:ascii="Calibri" w:eastAsia="Arial Unicode MS" w:hAnsi="Calibri" w:cs="Arial"/>
          <w:color w:val="000000"/>
          <w:kern w:val="0"/>
          <w:lang w:val="es-ES" w:eastAsia="es-ES"/>
          <w14:ligatures w14:val="none"/>
        </w:rPr>
        <w:t>Se elaborará una reseña crítica de lectura sobre el sistema educativo rabínico. La reseña incluirá un resumen de los puntos centrales de la lectura, una valoración de estos en el marco de la temática del curso y una contextualización.</w:t>
      </w:r>
    </w:p>
    <w:p w14:paraId="58020C43" w14:textId="77777777" w:rsidR="00AD7196" w:rsidRPr="00AD7196" w:rsidRDefault="00AD7196" w:rsidP="00AD7196">
      <w:pPr>
        <w:widowControl w:val="0"/>
        <w:spacing w:before="120" w:after="100" w:afterAutospacing="1" w:line="240" w:lineRule="auto"/>
        <w:contextualSpacing/>
        <w:jc w:val="both"/>
        <w:rPr>
          <w:rFonts w:ascii="Calibri" w:eastAsia="Arial Unicode MS" w:hAnsi="Calibri" w:cs="Arial"/>
          <w:color w:val="000000"/>
          <w:kern w:val="0"/>
          <w:lang w:val="es-ES" w:eastAsia="es-ES"/>
          <w14:ligatures w14:val="none"/>
        </w:rPr>
      </w:pPr>
    </w:p>
    <w:p w14:paraId="619D450C"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bCs/>
          <w:color w:val="000000"/>
          <w:kern w:val="0"/>
          <w:lang w:val="es-ES"/>
          <w14:ligatures w14:val="none"/>
        </w:rPr>
      </w:pPr>
      <w:r w:rsidRPr="00AD7196">
        <w:rPr>
          <w:rFonts w:ascii="Calibri" w:eastAsia="Arial Unicode MS" w:hAnsi="Calibri" w:cs="Arial"/>
          <w:b/>
          <w:bCs/>
          <w:color w:val="000000"/>
          <w:kern w:val="0"/>
          <w:lang w:val="es-ES" w:eastAsia="es-ES"/>
          <w14:ligatures w14:val="none"/>
        </w:rPr>
        <w:t xml:space="preserve">d) Ejercicio de reflexión bíblica: </w:t>
      </w:r>
      <w:r w:rsidRPr="00AD7196">
        <w:rPr>
          <w:rFonts w:ascii="Calibri" w:eastAsia="Arial Unicode MS" w:hAnsi="Calibri" w:cs="Arial"/>
          <w:color w:val="000000"/>
          <w:kern w:val="0"/>
          <w:lang w:val="es-ES" w:eastAsia="es-ES"/>
          <w14:ligatures w14:val="none"/>
        </w:rPr>
        <w:t>Se realizarán tres ejercicios pedagógicos de reflexión bíblica que aborden un texto bíblico desde la temática indicada en la sesión. Estos tendrán como fin explorar las posibilidades pedagógicas que aporta el eje temático/pedagógico para el trabajo bíblico-pastoral. Los ejercicios pueden presentarse en forma escrita, mediante video, blog u otro formato que aporte a la comunicación del tema.</w:t>
      </w:r>
    </w:p>
    <w:p w14:paraId="696ECDF9"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b/>
          <w:bCs/>
          <w:color w:val="000000"/>
          <w:kern w:val="0"/>
          <w:lang w:val="es-ES"/>
          <w14:ligatures w14:val="none"/>
        </w:rPr>
      </w:pPr>
    </w:p>
    <w:p w14:paraId="5AE0C9E2" w14:textId="77777777" w:rsidR="00AD7196" w:rsidRPr="00AD7196" w:rsidRDefault="00AD7196" w:rsidP="00AD7196">
      <w:pPr>
        <w:widowControl w:val="0"/>
        <w:spacing w:before="120" w:after="100" w:afterAutospacing="1" w:line="240" w:lineRule="auto"/>
        <w:contextualSpacing/>
        <w:jc w:val="both"/>
        <w:rPr>
          <w:rFonts w:ascii="Calibri" w:eastAsia="Arial Unicode MS" w:hAnsi="Calibri" w:cs="Arial"/>
          <w:color w:val="000000"/>
          <w:kern w:val="0"/>
          <w:lang w:val="es-ES" w:eastAsia="es-ES"/>
          <w14:ligatures w14:val="none"/>
        </w:rPr>
      </w:pPr>
      <w:r w:rsidRPr="00AD7196">
        <w:rPr>
          <w:rFonts w:ascii="Calibri" w:eastAsia="Arial Unicode MS" w:hAnsi="Calibri" w:cs="Arial"/>
          <w:b/>
          <w:bCs/>
          <w:color w:val="000000"/>
          <w:kern w:val="0"/>
          <w:lang w:val="es-ES" w:eastAsia="es-ES"/>
          <w14:ligatures w14:val="none"/>
        </w:rPr>
        <w:t>e) Mural:</w:t>
      </w:r>
      <w:r w:rsidRPr="00AD7196">
        <w:rPr>
          <w:rFonts w:ascii="Calibri" w:eastAsia="Calibri" w:hAnsi="Calibri" w:cs="Arial"/>
          <w:b/>
          <w:bCs/>
          <w:color w:val="000000"/>
          <w:kern w:val="0"/>
          <w:lang w:val="es-ES"/>
          <w14:ligatures w14:val="none"/>
        </w:rPr>
        <w:t xml:space="preserve"> </w:t>
      </w:r>
      <w:r w:rsidRPr="00AD7196">
        <w:rPr>
          <w:rFonts w:ascii="Calibri" w:eastAsia="Calibri" w:hAnsi="Calibri" w:cs="Arial"/>
          <w:color w:val="000000"/>
          <w:kern w:val="0"/>
          <w:lang w:val="es-ES"/>
          <w14:ligatures w14:val="none"/>
        </w:rPr>
        <w:t>Durante dos sesiones</w:t>
      </w:r>
      <w:r w:rsidRPr="00AD7196">
        <w:rPr>
          <w:rFonts w:ascii="Calibri" w:eastAsia="Arial Unicode MS" w:hAnsi="Calibri" w:cs="Arial"/>
          <w:color w:val="000000"/>
          <w:kern w:val="0"/>
          <w:lang w:val="es-ES" w:eastAsia="es-ES"/>
          <w14:ligatures w14:val="none"/>
        </w:rPr>
        <w:t xml:space="preserve"> se trabajará en grupos en la creación de murales que representen en forma visual una reflexión y valoración del tema de cada sesión y su ilustración mediante imágenes y videos. Cada aporte visual se acompañará de comentarios explicativos y valorativos. Este trabajo se realizará a través de la herramienta del wiki en la plataforma virtual.</w:t>
      </w:r>
    </w:p>
    <w:p w14:paraId="7CADC9AD" w14:textId="77777777" w:rsidR="00AD7196" w:rsidRPr="00AD7196" w:rsidRDefault="00AD7196" w:rsidP="00AD7196">
      <w:pPr>
        <w:widowControl w:val="0"/>
        <w:spacing w:before="120" w:after="100" w:afterAutospacing="1" w:line="240" w:lineRule="auto"/>
        <w:contextualSpacing/>
        <w:jc w:val="both"/>
        <w:rPr>
          <w:rFonts w:ascii="Calibri" w:eastAsia="Arial Unicode MS" w:hAnsi="Calibri" w:cs="Arial"/>
          <w:color w:val="000000"/>
          <w:kern w:val="0"/>
          <w:lang w:val="es-ES" w:eastAsia="es-ES"/>
          <w14:ligatures w14:val="none"/>
        </w:rPr>
      </w:pPr>
      <w:r w:rsidRPr="00AD7196">
        <w:rPr>
          <w:rFonts w:ascii="Calibri" w:eastAsia="Arial Unicode MS" w:hAnsi="Calibri" w:cs="Arial"/>
          <w:b/>
          <w:bCs/>
          <w:color w:val="000000"/>
          <w:kern w:val="0"/>
          <w:lang w:val="es-ES" w:eastAsia="es-ES"/>
          <w14:ligatures w14:val="none"/>
        </w:rPr>
        <w:lastRenderedPageBreak/>
        <w:t xml:space="preserve">f) Producto pedagógico final: </w:t>
      </w:r>
      <w:r w:rsidRPr="00AD7196">
        <w:rPr>
          <w:rFonts w:ascii="Calibri" w:eastAsia="Arial Unicode MS" w:hAnsi="Calibri" w:cs="Arial"/>
          <w:color w:val="000000"/>
          <w:kern w:val="0"/>
          <w:lang w:val="es-ES" w:eastAsia="es-ES"/>
          <w14:ligatures w14:val="none"/>
        </w:rPr>
        <w:t>Como trabajo final del curso los y las estudiantes desarrollarán un planteamiento completo de una sesión de trabajo pedagógico/pastoral a modo de un “estudio bíblico” con un grupo social, eclesial o escolar (dependiendo del contexto de la persona estudiante) donde aplique los criterios aprendidos en el curso desde los insumos del arte, la literatura, la música a un texto o libro bíblico de su elección, explicitando los momentos de la planificación y las actividades a realizar con el grupo, incluyendo el material pedagógico.</w:t>
      </w:r>
    </w:p>
    <w:p w14:paraId="321EE53D" w14:textId="77777777" w:rsidR="00AD7196" w:rsidRPr="00AD7196" w:rsidRDefault="00AD7196" w:rsidP="00AD7196">
      <w:pPr>
        <w:widowControl w:val="0"/>
        <w:spacing w:before="120" w:after="100" w:afterAutospacing="1" w:line="240" w:lineRule="auto"/>
        <w:contextualSpacing/>
        <w:jc w:val="both"/>
        <w:rPr>
          <w:rFonts w:ascii="Calibri" w:eastAsia="Arial Unicode MS" w:hAnsi="Calibri" w:cs="Arial"/>
          <w:color w:val="000000"/>
          <w:kern w:val="0"/>
          <w:lang w:val="es-ES" w:eastAsia="es-ES"/>
          <w14:ligatures w14:val="none"/>
        </w:rPr>
      </w:pPr>
    </w:p>
    <w:p w14:paraId="664D2482" w14:textId="77777777" w:rsidR="00AD7196" w:rsidRPr="00AD7196" w:rsidRDefault="00AD7196" w:rsidP="00AD7196">
      <w:pPr>
        <w:widowControl w:val="0"/>
        <w:spacing w:before="120" w:after="100" w:afterAutospacing="1" w:line="240" w:lineRule="auto"/>
        <w:contextualSpacing/>
        <w:jc w:val="both"/>
        <w:rPr>
          <w:rFonts w:ascii="Calibri" w:eastAsia="Calibri" w:hAnsi="Calibri" w:cs="Arial"/>
          <w:color w:val="000000"/>
          <w:kern w:val="0"/>
          <w:lang w:val="es-ES"/>
          <w14:ligatures w14:val="none"/>
        </w:rPr>
      </w:pPr>
      <w:r w:rsidRPr="00AD7196">
        <w:rPr>
          <w:rFonts w:ascii="Calibri" w:eastAsia="Calibri" w:hAnsi="Calibri" w:cs="Arial"/>
          <w:color w:val="000000"/>
          <w:kern w:val="0"/>
          <w:lang w:val="es-ES"/>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387E76C7"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669F8B2E" w14:textId="77777777" w:rsidR="00AD7196" w:rsidRPr="00AD7196" w:rsidRDefault="00AD7196" w:rsidP="00AD7196">
      <w:pPr>
        <w:widowControl w:val="0"/>
        <w:spacing w:before="120" w:after="100" w:afterAutospacing="1" w:line="276" w:lineRule="auto"/>
        <w:contextualSpacing/>
        <w:jc w:val="both"/>
        <w:rPr>
          <w:rFonts w:ascii="Calibri" w:eastAsia="Arial Unicode MS" w:hAnsi="Calibri" w:cs="Arial"/>
          <w:b/>
          <w:color w:val="000000"/>
          <w:kern w:val="0"/>
          <w14:ligatures w14:val="none"/>
        </w:rPr>
      </w:pPr>
      <w:r w:rsidRPr="00AD7196">
        <w:rPr>
          <w:rFonts w:ascii="Calibri" w:eastAsia="Arial Unicode MS" w:hAnsi="Calibri" w:cs="Arial"/>
          <w:b/>
          <w:color w:val="000000"/>
          <w:kern w:val="0"/>
          <w14:ligatures w14:val="none"/>
        </w:rPr>
        <w:t>VII. Recursos didácticos</w:t>
      </w:r>
    </w:p>
    <w:p w14:paraId="11AB4A37" w14:textId="77777777" w:rsidR="00AD7196" w:rsidRPr="00AD7196" w:rsidRDefault="00AD7196" w:rsidP="00AD7196">
      <w:pPr>
        <w:widowControl w:val="0"/>
        <w:spacing w:before="120" w:after="100" w:afterAutospacing="1" w:line="276" w:lineRule="auto"/>
        <w:contextualSpacing/>
        <w:jc w:val="both"/>
        <w:rPr>
          <w:rFonts w:ascii="Calibri" w:eastAsia="Arial Unicode MS" w:hAnsi="Calibri" w:cs="Arial"/>
          <w:b/>
          <w:color w:val="000000"/>
          <w:kern w:val="0"/>
          <w14:ligatures w14:val="none"/>
        </w:rPr>
      </w:pPr>
    </w:p>
    <w:p w14:paraId="734AE609"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AD7196">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1B67E11B"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B3389C5"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Arial"/>
          <w:color w:val="000000"/>
          <w:kern w:val="0"/>
          <w:lang w:val="es-ES" w:eastAsia="es-ES"/>
          <w14:ligatures w14:val="none"/>
        </w:rPr>
      </w:pPr>
      <w:r w:rsidRPr="00AD7196">
        <w:rPr>
          <w:rFonts w:ascii="Calibri" w:eastAsia="Times New Roman" w:hAnsi="Calibri" w:cs="Arial"/>
          <w:color w:val="000000"/>
          <w:kern w:val="0"/>
          <w:lang w:val="es-ES" w:eastAsia="es-ES"/>
          <w14:ligatures w14:val="none"/>
        </w:rPr>
        <w:t xml:space="preserve">a) Lecturas semanales obligatorias que presentan insumos teóricos y prácticos y se asignan como aportes para las actividades individuales y grupales. Todos los materiales de lectura están disponibles en formato digital en la plataforma virtual.  </w:t>
      </w:r>
    </w:p>
    <w:p w14:paraId="033936EB"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4FC7BA9"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AD7196">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2520D545"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7A27E7F"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AD7196">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2FDBC473"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D0C426D"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AD7196">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un wiki y mediante la herramienta Big Blue </w:t>
      </w:r>
      <w:proofErr w:type="spellStart"/>
      <w:r w:rsidRPr="00AD7196">
        <w:rPr>
          <w:rFonts w:ascii="Calibri" w:eastAsia="Times New Roman" w:hAnsi="Calibri" w:cs="Calibri"/>
          <w:color w:val="000000"/>
          <w:kern w:val="0"/>
          <w:lang w:val="es-ES" w:eastAsia="es-ES"/>
          <w14:ligatures w14:val="none"/>
        </w:rPr>
        <w:t>Button</w:t>
      </w:r>
      <w:proofErr w:type="spellEnd"/>
      <w:r w:rsidRPr="00AD7196">
        <w:rPr>
          <w:rFonts w:ascii="Calibri" w:eastAsia="Times New Roman" w:hAnsi="Calibri" w:cs="Calibri"/>
          <w:color w:val="000000"/>
          <w:kern w:val="0"/>
          <w:lang w:val="es-ES" w:eastAsia="es-ES"/>
          <w14:ligatures w14:val="none"/>
        </w:rPr>
        <w:t xml:space="preserve"> en la plataforma Moodle, así como para la elaboración de una reseña crítica de lectura.</w:t>
      </w:r>
    </w:p>
    <w:p w14:paraId="7A5D107B"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5F4E4A6C"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AD7196">
        <w:rPr>
          <w:rFonts w:ascii="Calibri" w:eastAsia="Times New Roman" w:hAnsi="Calibri" w:cs="Calibri"/>
          <w:color w:val="000000"/>
          <w:kern w:val="0"/>
          <w:lang w:val="es-ES" w:eastAsia="es-ES"/>
          <w14:ligatures w14:val="none"/>
        </w:rPr>
        <w:t xml:space="preserve">e) También puede disponer de las bases de datos, revistas en línea, repositorios y buscadores especializados a los cuales puede acceder mediante la Biblioteca Enrique </w:t>
      </w:r>
      <w:proofErr w:type="spellStart"/>
      <w:r w:rsidRPr="00AD7196">
        <w:rPr>
          <w:rFonts w:ascii="Calibri" w:eastAsia="Times New Roman" w:hAnsi="Calibri" w:cs="Calibri"/>
          <w:color w:val="000000"/>
          <w:kern w:val="0"/>
          <w:lang w:val="es-ES" w:eastAsia="es-ES"/>
          <w14:ligatures w14:val="none"/>
        </w:rPr>
        <w:t>Strachan</w:t>
      </w:r>
      <w:proofErr w:type="spellEnd"/>
      <w:r w:rsidRPr="00AD7196">
        <w:rPr>
          <w:rFonts w:ascii="Calibri" w:eastAsia="Times New Roman" w:hAnsi="Calibri" w:cs="Calibri"/>
          <w:color w:val="000000"/>
          <w:kern w:val="0"/>
          <w:lang w:val="es-ES" w:eastAsia="es-ES"/>
          <w14:ligatures w14:val="none"/>
        </w:rPr>
        <w:t xml:space="preserve"> (</w:t>
      </w:r>
      <w:hyperlink r:id="rId541" w:history="1">
        <w:r w:rsidRPr="00AD7196">
          <w:rPr>
            <w:rFonts w:ascii="Calibri" w:eastAsia="Times New Roman" w:hAnsi="Calibri" w:cs="Calibri"/>
            <w:color w:val="0563C1"/>
            <w:kern w:val="0"/>
            <w:u w:val="single"/>
            <w:lang w:val="es-ES" w:eastAsia="es-ES"/>
            <w14:ligatures w14:val="none"/>
          </w:rPr>
          <w:t>https://www.ubl.ac.cr/biblioteca</w:t>
        </w:r>
      </w:hyperlink>
      <w:r w:rsidRPr="00AD7196">
        <w:rPr>
          <w:rFonts w:ascii="Calibri" w:eastAsia="Times New Roman" w:hAnsi="Calibri" w:cs="Calibri"/>
          <w:color w:val="000000"/>
          <w:kern w:val="0"/>
          <w:lang w:val="es-ES" w:eastAsia="es-ES"/>
          <w14:ligatures w14:val="none"/>
        </w:rPr>
        <w:t>), así como consultar el Portal de Revistas de la UBL (</w:t>
      </w:r>
      <w:hyperlink r:id="rId542" w:history="1">
        <w:r w:rsidRPr="00AD7196">
          <w:rPr>
            <w:rFonts w:ascii="Calibri" w:eastAsia="Times New Roman" w:hAnsi="Calibri" w:cs="Calibri"/>
            <w:color w:val="0563C1"/>
            <w:kern w:val="0"/>
            <w:u w:val="single"/>
            <w:lang w:val="es-ES" w:eastAsia="es-ES"/>
            <w14:ligatures w14:val="none"/>
          </w:rPr>
          <w:t>http://revistas.ubl.ac.cr/</w:t>
        </w:r>
      </w:hyperlink>
      <w:r w:rsidRPr="00AD7196">
        <w:rPr>
          <w:rFonts w:ascii="Calibri" w:eastAsia="Times New Roman" w:hAnsi="Calibri" w:cs="Calibri"/>
          <w:color w:val="000000"/>
          <w:kern w:val="0"/>
          <w:lang w:val="es-ES" w:eastAsia="es-ES"/>
          <w14:ligatures w14:val="none"/>
        </w:rPr>
        <w:t>). A través del correo de la biblioteca (</w:t>
      </w:r>
      <w:hyperlink r:id="rId543" w:history="1">
        <w:r w:rsidRPr="00AD7196">
          <w:rPr>
            <w:rFonts w:ascii="Calibri" w:eastAsia="Times New Roman" w:hAnsi="Calibri" w:cs="Calibri"/>
            <w:color w:val="0563C1"/>
            <w:kern w:val="0"/>
            <w:u w:val="single"/>
            <w:lang w:val="es-ES" w:eastAsia="es-ES"/>
            <w14:ligatures w14:val="none"/>
          </w:rPr>
          <w:t>biblioteca@ubl.ac.cr</w:t>
        </w:r>
      </w:hyperlink>
      <w:r w:rsidRPr="00AD7196">
        <w:rPr>
          <w:rFonts w:ascii="Calibri" w:eastAsia="Times New Roman" w:hAnsi="Calibri" w:cs="Calibri"/>
          <w:color w:val="000000"/>
          <w:kern w:val="0"/>
          <w:lang w:val="es-ES" w:eastAsia="es-ES"/>
          <w14:ligatures w14:val="none"/>
        </w:rPr>
        <w:t xml:space="preserve">) puede solicitar recursos que se encuentren en la colección física. </w:t>
      </w:r>
    </w:p>
    <w:p w14:paraId="598A084B"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1F6D1724"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r w:rsidRPr="00AD7196">
        <w:rPr>
          <w:rFonts w:ascii="Calibri" w:eastAsia="Times New Roman" w:hAnsi="Calibri" w:cs="Calibri"/>
          <w:color w:val="000000"/>
          <w:kern w:val="0"/>
          <w:lang w:val="es-ES" w:eastAsia="es-ES"/>
          <w14:ligatures w14:val="none"/>
        </w:rPr>
        <w:t>f)</w:t>
      </w:r>
      <w:r w:rsidRPr="00AD7196">
        <w:rPr>
          <w:rFonts w:ascii="Times New Roman" w:eastAsia="Times New Roman" w:hAnsi="Times New Roman" w:cs="Calibri"/>
          <w:bCs/>
          <w:kern w:val="0"/>
          <w:sz w:val="24"/>
          <w:szCs w:val="24"/>
          <w:lang w:val="es-ES_tradnl" w:eastAsia="es-CR"/>
          <w14:ligatures w14:val="none"/>
        </w:rPr>
        <w:t xml:space="preserve"> </w:t>
      </w:r>
      <w:r w:rsidRPr="00AD7196">
        <w:rPr>
          <w:rFonts w:ascii="Calibri" w:eastAsia="Times New Roman" w:hAnsi="Calibri" w:cs="Calibri"/>
          <w:bCs/>
          <w:kern w:val="0"/>
          <w:lang w:val="es-ES_tradnl" w:eastAsia="es-CR"/>
          <w14:ligatures w14:val="none"/>
        </w:rPr>
        <w:t xml:space="preserve">La Biblioteca Digital de la UBL cuenta con recursos de acceso abierto para la investigación, organizados por temas y disponibles a través de un buscador, además de todos los materiales bibliográficos asignados en los cursos de la carrera de bachillerato en Ciencias Bíblicas. Dicho espacio está disponible para todas las personas registradas en el campus virtual y se puede acceder a través del siguiente enlace: </w:t>
      </w:r>
      <w:hyperlink r:id="rId544" w:history="1">
        <w:r w:rsidRPr="00AD7196">
          <w:rPr>
            <w:rFonts w:ascii="Calibri" w:eastAsia="Times New Roman" w:hAnsi="Calibri" w:cs="Calibri"/>
            <w:bCs/>
            <w:color w:val="0563C1"/>
            <w:kern w:val="0"/>
            <w:u w:val="single"/>
            <w:lang w:val="es-ES_tradnl" w:eastAsia="es-CR"/>
            <w14:ligatures w14:val="none"/>
          </w:rPr>
          <w:t>https://campus.ubl.ac.cr/course/index.php?categoryid=186</w:t>
        </w:r>
      </w:hyperlink>
    </w:p>
    <w:p w14:paraId="371D7727"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_tradnl" w:eastAsia="es-ES"/>
          <w14:ligatures w14:val="none"/>
        </w:rPr>
      </w:pPr>
    </w:p>
    <w:p w14:paraId="0070DA0E" w14:textId="77777777" w:rsidR="00AD7196" w:rsidRPr="00AD7196" w:rsidRDefault="00AD7196" w:rsidP="00AD7196">
      <w:pPr>
        <w:widowControl w:val="0"/>
        <w:spacing w:before="120" w:after="100" w:afterAutospacing="1" w:line="276" w:lineRule="auto"/>
        <w:contextualSpacing/>
        <w:jc w:val="both"/>
        <w:rPr>
          <w:rFonts w:ascii="Calibri" w:eastAsia="Times New Roman" w:hAnsi="Calibri" w:cs="Calibri"/>
          <w:color w:val="000000"/>
          <w:kern w:val="0"/>
          <w:lang w:val="es-ES" w:eastAsia="es-ES"/>
          <w14:ligatures w14:val="none"/>
        </w:rPr>
      </w:pPr>
      <w:r w:rsidRPr="00AD7196">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0469F81F"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bCs/>
          <w:color w:val="000000"/>
          <w:kern w:val="0"/>
          <w:lang w:val="es-ES"/>
          <w14:ligatures w14:val="none"/>
        </w:rPr>
      </w:pPr>
      <w:r w:rsidRPr="00AD7196">
        <w:rPr>
          <w:rFonts w:ascii="Calibri" w:eastAsia="Times New Roman" w:hAnsi="Calibri" w:cs="Calibri"/>
          <w:b/>
          <w:bCs/>
          <w:color w:val="000000"/>
          <w:kern w:val="0"/>
          <w:lang w:val="es-ES" w:eastAsia="es-ES"/>
          <w14:ligatures w14:val="none"/>
        </w:rPr>
        <w:lastRenderedPageBreak/>
        <w:t>VIII. Cronograma de trabajo</w:t>
      </w:r>
    </w:p>
    <w:p w14:paraId="7060771B"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b/>
          <w:bCs/>
          <w:color w:val="000000"/>
          <w:kern w:val="0"/>
          <w:lang w:val="es-ES"/>
          <w14:ligatures w14:val="none"/>
        </w:rPr>
      </w:pPr>
    </w:p>
    <w:tbl>
      <w:tblPr>
        <w:tblStyle w:val="Tablaconcuadrcula"/>
        <w:tblW w:w="9918" w:type="dxa"/>
        <w:jc w:val="center"/>
        <w:tblLayout w:type="fixed"/>
        <w:tblLook w:val="04A0" w:firstRow="1" w:lastRow="0" w:firstColumn="1" w:lastColumn="0" w:noHBand="0" w:noVBand="1"/>
      </w:tblPr>
      <w:tblGrid>
        <w:gridCol w:w="1144"/>
        <w:gridCol w:w="2395"/>
        <w:gridCol w:w="3119"/>
        <w:gridCol w:w="3260"/>
      </w:tblGrid>
      <w:tr w:rsidR="00AD7196" w:rsidRPr="00AD7196" w14:paraId="363495F9" w14:textId="77777777" w:rsidTr="00104785">
        <w:trPr>
          <w:trHeight w:val="363"/>
          <w:jc w:val="center"/>
        </w:trPr>
        <w:tc>
          <w:tcPr>
            <w:tcW w:w="1144" w:type="dxa"/>
            <w:vMerge w:val="restart"/>
            <w:vAlign w:val="center"/>
          </w:tcPr>
          <w:p w14:paraId="3FC634D6" w14:textId="77777777" w:rsidR="00AD7196" w:rsidRPr="00AD7196" w:rsidRDefault="00AD7196" w:rsidP="00AD7196">
            <w:pPr>
              <w:spacing w:after="100" w:afterAutospacing="1" w:line="276" w:lineRule="auto"/>
              <w:contextualSpacing/>
              <w:jc w:val="center"/>
              <w:rPr>
                <w:rFonts w:ascii="Calibri" w:hAnsi="Calibri" w:cs="Arial"/>
                <w:b/>
                <w:bCs/>
                <w:color w:val="000000"/>
                <w:szCs w:val="24"/>
                <w:lang w:val="es-ES"/>
              </w:rPr>
            </w:pPr>
            <w:r w:rsidRPr="00AD7196">
              <w:rPr>
                <w:rFonts w:ascii="Calibri" w:hAnsi="Calibri" w:cs="Arial"/>
                <w:b/>
                <w:bCs/>
                <w:color w:val="000000"/>
                <w:szCs w:val="24"/>
                <w:lang w:val="es-ES"/>
              </w:rPr>
              <w:t>Sesión</w:t>
            </w:r>
          </w:p>
          <w:p w14:paraId="31E5D13B" w14:textId="77777777" w:rsidR="00AD7196" w:rsidRPr="00AD7196" w:rsidRDefault="00AD7196" w:rsidP="00AD7196">
            <w:pPr>
              <w:spacing w:after="100" w:afterAutospacing="1" w:line="276" w:lineRule="auto"/>
              <w:contextualSpacing/>
              <w:jc w:val="center"/>
              <w:rPr>
                <w:rFonts w:ascii="Calibri" w:hAnsi="Calibri" w:cs="Arial"/>
                <w:b/>
                <w:bCs/>
                <w:color w:val="000000"/>
                <w:szCs w:val="24"/>
                <w:lang w:val="es-ES"/>
              </w:rPr>
            </w:pPr>
            <w:r w:rsidRPr="00AD7196">
              <w:rPr>
                <w:rFonts w:ascii="Calibri" w:hAnsi="Calibri" w:cs="Arial"/>
                <w:b/>
                <w:bCs/>
                <w:color w:val="000000"/>
                <w:szCs w:val="24"/>
                <w:lang w:val="es-ES"/>
              </w:rPr>
              <w:t>(semana)</w:t>
            </w:r>
          </w:p>
        </w:tc>
        <w:tc>
          <w:tcPr>
            <w:tcW w:w="2395" w:type="dxa"/>
            <w:vMerge w:val="restart"/>
            <w:vAlign w:val="center"/>
          </w:tcPr>
          <w:p w14:paraId="589895F4" w14:textId="77777777" w:rsidR="00AD7196" w:rsidRPr="00AD7196" w:rsidRDefault="00AD7196" w:rsidP="00AD7196">
            <w:pPr>
              <w:spacing w:after="100" w:afterAutospacing="1" w:line="276" w:lineRule="auto"/>
              <w:contextualSpacing/>
              <w:jc w:val="center"/>
              <w:rPr>
                <w:rFonts w:ascii="Calibri" w:hAnsi="Calibri" w:cs="Arial"/>
                <w:b/>
                <w:bCs/>
                <w:color w:val="000000"/>
                <w:szCs w:val="24"/>
                <w:lang w:val="es-ES"/>
              </w:rPr>
            </w:pPr>
            <w:r w:rsidRPr="00AD7196">
              <w:rPr>
                <w:rFonts w:ascii="Calibri" w:hAnsi="Calibri" w:cs="Arial"/>
                <w:b/>
                <w:bCs/>
                <w:color w:val="000000"/>
                <w:szCs w:val="24"/>
                <w:lang w:val="es-ES"/>
              </w:rPr>
              <w:t>Contenidos temáticos</w:t>
            </w:r>
          </w:p>
        </w:tc>
        <w:tc>
          <w:tcPr>
            <w:tcW w:w="6379" w:type="dxa"/>
            <w:gridSpan w:val="2"/>
            <w:vAlign w:val="center"/>
          </w:tcPr>
          <w:p w14:paraId="70BDA374" w14:textId="77777777" w:rsidR="00AD7196" w:rsidRPr="00AD7196" w:rsidRDefault="00AD7196" w:rsidP="00AD7196">
            <w:pPr>
              <w:spacing w:after="100" w:afterAutospacing="1" w:line="276" w:lineRule="auto"/>
              <w:contextualSpacing/>
              <w:jc w:val="center"/>
              <w:rPr>
                <w:rFonts w:ascii="Calibri" w:hAnsi="Calibri" w:cs="Arial"/>
                <w:b/>
                <w:bCs/>
                <w:color w:val="000000"/>
                <w:szCs w:val="24"/>
                <w:lang w:val="es-ES"/>
              </w:rPr>
            </w:pPr>
            <w:r w:rsidRPr="00AD7196">
              <w:rPr>
                <w:rFonts w:ascii="Calibri" w:hAnsi="Calibri" w:cs="Arial"/>
                <w:b/>
                <w:bCs/>
                <w:color w:val="000000"/>
                <w:szCs w:val="24"/>
                <w:lang w:val="es-ES"/>
              </w:rPr>
              <w:t>Actividades de enseñanza-aprendizaje</w:t>
            </w:r>
          </w:p>
        </w:tc>
      </w:tr>
      <w:tr w:rsidR="00AD7196" w:rsidRPr="00AD7196" w14:paraId="11C5574C" w14:textId="77777777" w:rsidTr="00104785">
        <w:trPr>
          <w:trHeight w:val="411"/>
          <w:jc w:val="center"/>
        </w:trPr>
        <w:tc>
          <w:tcPr>
            <w:tcW w:w="1144" w:type="dxa"/>
            <w:vMerge/>
            <w:vAlign w:val="center"/>
          </w:tcPr>
          <w:p w14:paraId="1A6A3C9D" w14:textId="77777777" w:rsidR="00AD7196" w:rsidRPr="00AD7196" w:rsidRDefault="00AD7196" w:rsidP="00AD7196">
            <w:pPr>
              <w:spacing w:after="100" w:afterAutospacing="1" w:line="276" w:lineRule="auto"/>
              <w:contextualSpacing/>
              <w:jc w:val="center"/>
              <w:rPr>
                <w:rFonts w:ascii="Calibri" w:hAnsi="Calibri" w:cs="Arial"/>
                <w:b/>
                <w:bCs/>
                <w:color w:val="000000"/>
                <w:szCs w:val="24"/>
                <w:lang w:val="es-ES"/>
              </w:rPr>
            </w:pPr>
          </w:p>
        </w:tc>
        <w:tc>
          <w:tcPr>
            <w:tcW w:w="2395" w:type="dxa"/>
            <w:vMerge/>
            <w:vAlign w:val="center"/>
          </w:tcPr>
          <w:p w14:paraId="78A40DA0" w14:textId="77777777" w:rsidR="00AD7196" w:rsidRPr="00AD7196" w:rsidRDefault="00AD7196" w:rsidP="00AD7196">
            <w:pPr>
              <w:spacing w:after="100" w:afterAutospacing="1" w:line="276" w:lineRule="auto"/>
              <w:contextualSpacing/>
              <w:jc w:val="center"/>
              <w:rPr>
                <w:rFonts w:ascii="Calibri" w:hAnsi="Calibri" w:cs="Arial"/>
                <w:b/>
                <w:bCs/>
                <w:color w:val="000000"/>
                <w:szCs w:val="24"/>
                <w:lang w:val="es-ES"/>
              </w:rPr>
            </w:pPr>
          </w:p>
        </w:tc>
        <w:tc>
          <w:tcPr>
            <w:tcW w:w="3119" w:type="dxa"/>
            <w:vAlign w:val="center"/>
          </w:tcPr>
          <w:p w14:paraId="48ABB4FA" w14:textId="77777777" w:rsidR="00AD7196" w:rsidRPr="00AD7196" w:rsidRDefault="00AD7196" w:rsidP="00AD7196">
            <w:pPr>
              <w:spacing w:after="100" w:afterAutospacing="1" w:line="276" w:lineRule="auto"/>
              <w:contextualSpacing/>
              <w:jc w:val="center"/>
              <w:rPr>
                <w:rFonts w:ascii="Calibri" w:hAnsi="Calibri" w:cs="Arial"/>
                <w:b/>
                <w:bCs/>
                <w:color w:val="000000"/>
                <w:szCs w:val="24"/>
                <w:lang w:val="es-ES"/>
              </w:rPr>
            </w:pPr>
            <w:r w:rsidRPr="00AD7196">
              <w:rPr>
                <w:rFonts w:ascii="Calibri" w:hAnsi="Calibri" w:cs="Arial"/>
                <w:b/>
                <w:bCs/>
                <w:color w:val="000000"/>
                <w:szCs w:val="24"/>
                <w:lang w:val="es-ES"/>
              </w:rPr>
              <w:t>Recursos didácticos</w:t>
            </w:r>
          </w:p>
        </w:tc>
        <w:tc>
          <w:tcPr>
            <w:tcW w:w="3260" w:type="dxa"/>
            <w:vAlign w:val="center"/>
          </w:tcPr>
          <w:p w14:paraId="7E4AAC6A" w14:textId="77777777" w:rsidR="00AD7196" w:rsidRPr="00AD7196" w:rsidRDefault="00AD7196" w:rsidP="00AD7196">
            <w:pPr>
              <w:spacing w:after="100" w:afterAutospacing="1" w:line="276" w:lineRule="auto"/>
              <w:contextualSpacing/>
              <w:jc w:val="center"/>
              <w:rPr>
                <w:rFonts w:ascii="Calibri" w:hAnsi="Calibri" w:cs="Arial"/>
                <w:b/>
                <w:bCs/>
                <w:color w:val="000000"/>
                <w:szCs w:val="24"/>
                <w:lang w:val="es-ES"/>
              </w:rPr>
            </w:pPr>
            <w:r w:rsidRPr="00AD7196">
              <w:rPr>
                <w:rFonts w:ascii="Calibri" w:hAnsi="Calibri" w:cs="Arial"/>
                <w:b/>
                <w:bCs/>
                <w:color w:val="000000"/>
                <w:szCs w:val="24"/>
                <w:lang w:val="es-ES"/>
              </w:rPr>
              <w:t>Actividades de aprendizaje</w:t>
            </w:r>
          </w:p>
        </w:tc>
      </w:tr>
      <w:tr w:rsidR="00AD7196" w:rsidRPr="00AD7196" w14:paraId="15D6FD89" w14:textId="77777777" w:rsidTr="00104785">
        <w:trPr>
          <w:jc w:val="center"/>
        </w:trPr>
        <w:tc>
          <w:tcPr>
            <w:tcW w:w="1144" w:type="dxa"/>
          </w:tcPr>
          <w:p w14:paraId="5AB2AA97"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1347549A"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1</w:t>
            </w:r>
          </w:p>
        </w:tc>
        <w:tc>
          <w:tcPr>
            <w:tcW w:w="2395" w:type="dxa"/>
          </w:tcPr>
          <w:p w14:paraId="32854115" w14:textId="77777777" w:rsidR="00AD7196" w:rsidRPr="00AD7196" w:rsidRDefault="00AD7196" w:rsidP="00AD7196">
            <w:pPr>
              <w:spacing w:after="100" w:afterAutospacing="1"/>
              <w:contextualSpacing/>
              <w:rPr>
                <w:rFonts w:ascii="Calibri" w:hAnsi="Calibri" w:cs="Arial"/>
                <w:b/>
                <w:color w:val="000000"/>
                <w:lang w:val="es-ES"/>
              </w:rPr>
            </w:pPr>
            <w:r w:rsidRPr="00AD7196">
              <w:rPr>
                <w:rFonts w:ascii="Calibri" w:hAnsi="Calibri" w:cs="Arial"/>
                <w:b/>
                <w:bCs/>
                <w:color w:val="000000"/>
              </w:rPr>
              <w:t xml:space="preserve">Unidad 1: </w:t>
            </w:r>
            <w:r w:rsidRPr="00AD7196">
              <w:rPr>
                <w:rFonts w:ascii="Calibri" w:hAnsi="Calibri" w:cs="Arial"/>
                <w:b/>
                <w:color w:val="000000"/>
                <w:lang w:val="es-ES"/>
              </w:rPr>
              <w:t>Aspectos introductorios</w:t>
            </w:r>
          </w:p>
          <w:p w14:paraId="3D1E91C1" w14:textId="77777777" w:rsidR="00AD7196" w:rsidRPr="00AD7196" w:rsidRDefault="00AD7196" w:rsidP="00AD7196">
            <w:pPr>
              <w:spacing w:after="100" w:afterAutospacing="1"/>
              <w:contextualSpacing/>
              <w:rPr>
                <w:rFonts w:ascii="Calibri" w:hAnsi="Calibri" w:cs="Arial"/>
                <w:color w:val="000000"/>
                <w:lang w:val="es-ES"/>
              </w:rPr>
            </w:pPr>
          </w:p>
          <w:p w14:paraId="58CA6BC2" w14:textId="77777777" w:rsidR="00AD7196" w:rsidRPr="00AD7196" w:rsidRDefault="00AD7196" w:rsidP="00AD7196">
            <w:pPr>
              <w:spacing w:after="100" w:afterAutospacing="1"/>
              <w:contextualSpacing/>
              <w:rPr>
                <w:rFonts w:ascii="Calibri" w:hAnsi="Calibri" w:cs="Arial"/>
                <w:b/>
                <w:color w:val="000000"/>
                <w:lang w:val="es-ES"/>
              </w:rPr>
            </w:pPr>
            <w:r w:rsidRPr="00AD7196">
              <w:rPr>
                <w:rFonts w:ascii="Calibri" w:hAnsi="Calibri" w:cs="Arial"/>
                <w:color w:val="000000"/>
                <w:lang w:val="es-ES"/>
              </w:rPr>
              <w:t>1.1</w:t>
            </w:r>
            <w:r w:rsidRPr="00AD7196">
              <w:rPr>
                <w:rFonts w:ascii="Calibri" w:hAnsi="Calibri" w:cs="Arial"/>
                <w:b/>
                <w:color w:val="000000"/>
                <w:lang w:val="es-ES"/>
              </w:rPr>
              <w:t xml:space="preserve"> </w:t>
            </w:r>
            <w:r w:rsidRPr="00AD7196">
              <w:rPr>
                <w:rFonts w:ascii="Calibri" w:hAnsi="Calibri" w:cs="Arial"/>
                <w:color w:val="000000"/>
                <w:lang w:val="es-ES"/>
              </w:rPr>
              <w:t>Introducción: Biblia y pedagogía</w:t>
            </w:r>
          </w:p>
          <w:p w14:paraId="6894D8BA" w14:textId="77777777" w:rsidR="00AD7196" w:rsidRPr="00AD7196" w:rsidRDefault="00AD7196" w:rsidP="00AD7196">
            <w:pPr>
              <w:spacing w:after="100" w:afterAutospacing="1" w:line="276" w:lineRule="auto"/>
              <w:contextualSpacing/>
              <w:rPr>
                <w:rFonts w:ascii="Calibri" w:hAnsi="Calibri" w:cs="Arial"/>
                <w:color w:val="000000"/>
                <w:lang w:val="es-ES"/>
              </w:rPr>
            </w:pPr>
          </w:p>
        </w:tc>
        <w:tc>
          <w:tcPr>
            <w:tcW w:w="3119" w:type="dxa"/>
          </w:tcPr>
          <w:p w14:paraId="314B3CF3"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2E6E06E7" w14:textId="77777777" w:rsidR="00AD7196" w:rsidRPr="00AD7196" w:rsidRDefault="00AD7196" w:rsidP="00AD7196">
            <w:pPr>
              <w:spacing w:after="100" w:afterAutospacing="1" w:line="276" w:lineRule="auto"/>
              <w:contextualSpacing/>
              <w:rPr>
                <w:rFonts w:ascii="Calibri" w:hAnsi="Calibri" w:cs="Arial"/>
                <w:color w:val="0070C0"/>
                <w:lang w:val="es-ES"/>
              </w:rPr>
            </w:pPr>
          </w:p>
          <w:p w14:paraId="4E0B907A"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2CB279E1"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55FA733F" w14:textId="77777777" w:rsidR="00AD7196" w:rsidRPr="00AD7196" w:rsidRDefault="00AD7196" w:rsidP="00AD7196">
            <w:pPr>
              <w:spacing w:after="100" w:afterAutospacing="1" w:line="276" w:lineRule="auto"/>
              <w:contextualSpacing/>
              <w:rPr>
                <w:rFonts w:ascii="Calibri" w:hAnsi="Calibri" w:cs="Calibri"/>
                <w:color w:val="0070C0"/>
                <w:lang w:val="es-ES"/>
              </w:rPr>
            </w:pPr>
            <w:r w:rsidRPr="00AD7196">
              <w:rPr>
                <w:rFonts w:ascii="Calibri" w:hAnsi="Calibri" w:cs="Calibri"/>
                <w:color w:val="0070C0"/>
                <w:lang w:val="es-ES"/>
              </w:rPr>
              <w:t>Guía para la participación en un foro en la plataforma Moodle</w:t>
            </w:r>
          </w:p>
          <w:p w14:paraId="04240ECF" w14:textId="77777777" w:rsidR="00AD7196" w:rsidRPr="00AD7196" w:rsidRDefault="00AD7196" w:rsidP="00AD7196">
            <w:pPr>
              <w:spacing w:after="100" w:afterAutospacing="1" w:line="276" w:lineRule="auto"/>
              <w:contextualSpacing/>
              <w:rPr>
                <w:rFonts w:ascii="Calibri" w:hAnsi="Calibri" w:cs="Calibri"/>
                <w:color w:val="0070C0"/>
                <w:lang w:val="es-ES"/>
              </w:rPr>
            </w:pPr>
          </w:p>
          <w:p w14:paraId="7658C348" w14:textId="77777777" w:rsidR="00AD7196" w:rsidRPr="00AD7196" w:rsidRDefault="00AD7196" w:rsidP="00AD7196">
            <w:pPr>
              <w:spacing w:after="100" w:afterAutospacing="1" w:line="276" w:lineRule="auto"/>
              <w:contextualSpacing/>
              <w:rPr>
                <w:rFonts w:ascii="Calibri" w:hAnsi="Calibri" w:cs="Calibri"/>
                <w:color w:val="0070C0"/>
                <w:lang w:val="es-ES"/>
              </w:rPr>
            </w:pPr>
            <w:r w:rsidRPr="00AD7196">
              <w:rPr>
                <w:rFonts w:ascii="Calibri" w:hAnsi="Calibri" w:cs="Calibri"/>
                <w:color w:val="0070C0"/>
                <w:lang w:val="es-ES"/>
              </w:rPr>
              <w:t xml:space="preserve">Guía para la participación mediante la herramienta Big Blue </w:t>
            </w:r>
            <w:proofErr w:type="spellStart"/>
            <w:r w:rsidRPr="00AD7196">
              <w:rPr>
                <w:rFonts w:ascii="Calibri" w:hAnsi="Calibri" w:cs="Calibri"/>
                <w:color w:val="0070C0"/>
                <w:lang w:val="es-ES"/>
              </w:rPr>
              <w:t>Button</w:t>
            </w:r>
            <w:proofErr w:type="spellEnd"/>
            <w:r w:rsidRPr="00AD7196">
              <w:rPr>
                <w:rFonts w:ascii="Calibri" w:hAnsi="Calibri" w:cs="Calibri"/>
                <w:color w:val="0070C0"/>
                <w:lang w:val="es-ES"/>
              </w:rPr>
              <w:t xml:space="preserve"> en la plataforma Moodle</w:t>
            </w:r>
          </w:p>
          <w:p w14:paraId="4648A82D" w14:textId="77777777" w:rsidR="00AD7196" w:rsidRPr="00AD7196" w:rsidRDefault="00AD7196" w:rsidP="00AD7196">
            <w:pPr>
              <w:spacing w:after="100" w:afterAutospacing="1" w:line="276" w:lineRule="auto"/>
              <w:contextualSpacing/>
              <w:rPr>
                <w:rFonts w:ascii="Calibri" w:hAnsi="Calibri" w:cs="Arial"/>
                <w:color w:val="0070C0"/>
                <w:lang w:val="es-ES"/>
              </w:rPr>
            </w:pPr>
          </w:p>
        </w:tc>
        <w:tc>
          <w:tcPr>
            <w:tcW w:w="3260" w:type="dxa"/>
          </w:tcPr>
          <w:p w14:paraId="6C68AC79" w14:textId="77777777" w:rsidR="00AD7196" w:rsidRPr="00AD7196" w:rsidRDefault="00AD7196" w:rsidP="00AD7196">
            <w:pPr>
              <w:numPr>
                <w:ilvl w:val="0"/>
                <w:numId w:val="329"/>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Participación en el foro social CAFETERÍA.</w:t>
            </w:r>
          </w:p>
          <w:p w14:paraId="06AD8DE7" w14:textId="77777777" w:rsidR="00AD7196" w:rsidRPr="00AD7196" w:rsidRDefault="00AD7196" w:rsidP="00AD7196">
            <w:pPr>
              <w:numPr>
                <w:ilvl w:val="0"/>
                <w:numId w:val="329"/>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 xml:space="preserve">Participación en el foro de dudas. </w:t>
            </w:r>
          </w:p>
          <w:p w14:paraId="4B2998C8" w14:textId="77777777" w:rsidR="00AD7196" w:rsidRPr="00AD7196" w:rsidRDefault="00AD7196" w:rsidP="00AD7196">
            <w:pPr>
              <w:numPr>
                <w:ilvl w:val="0"/>
                <w:numId w:val="329"/>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Introducción a las temáticas del curso y exposición docente en un encuentro sincrónico virtual.</w:t>
            </w:r>
          </w:p>
        </w:tc>
      </w:tr>
      <w:tr w:rsidR="00AD7196" w:rsidRPr="00AD7196" w14:paraId="383F65D5" w14:textId="77777777" w:rsidTr="00104785">
        <w:trPr>
          <w:jc w:val="center"/>
        </w:trPr>
        <w:tc>
          <w:tcPr>
            <w:tcW w:w="1144" w:type="dxa"/>
          </w:tcPr>
          <w:p w14:paraId="73C9322E"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0896FE82"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2</w:t>
            </w:r>
          </w:p>
        </w:tc>
        <w:tc>
          <w:tcPr>
            <w:tcW w:w="2395" w:type="dxa"/>
          </w:tcPr>
          <w:p w14:paraId="23AE7501" w14:textId="77777777" w:rsidR="00AD7196" w:rsidRPr="00AD7196" w:rsidRDefault="00AD7196" w:rsidP="00AD7196">
            <w:pPr>
              <w:spacing w:after="100" w:afterAutospacing="1"/>
              <w:contextualSpacing/>
              <w:rPr>
                <w:rFonts w:ascii="Calibri" w:hAnsi="Calibri" w:cs="Arial"/>
                <w:b/>
                <w:color w:val="000000"/>
                <w:lang w:val="es-ES"/>
              </w:rPr>
            </w:pPr>
            <w:r w:rsidRPr="00AD7196">
              <w:rPr>
                <w:rFonts w:ascii="Calibri" w:hAnsi="Calibri" w:cs="Arial"/>
                <w:b/>
                <w:bCs/>
                <w:color w:val="000000"/>
              </w:rPr>
              <w:t xml:space="preserve">Unidad 1: </w:t>
            </w:r>
            <w:r w:rsidRPr="00AD7196">
              <w:rPr>
                <w:rFonts w:ascii="Calibri" w:hAnsi="Calibri" w:cs="Arial"/>
                <w:b/>
                <w:color w:val="000000"/>
                <w:lang w:val="es-ES"/>
              </w:rPr>
              <w:t>Aspectos introductorios</w:t>
            </w:r>
          </w:p>
          <w:p w14:paraId="76CB6E8B" w14:textId="77777777" w:rsidR="00AD7196" w:rsidRPr="00AD7196" w:rsidRDefault="00AD7196" w:rsidP="00AD7196">
            <w:pPr>
              <w:spacing w:after="100" w:afterAutospacing="1"/>
              <w:contextualSpacing/>
              <w:rPr>
                <w:rFonts w:ascii="Calibri" w:hAnsi="Calibri" w:cs="Arial"/>
                <w:color w:val="000000"/>
                <w:lang w:val="es-ES"/>
              </w:rPr>
            </w:pPr>
          </w:p>
          <w:p w14:paraId="755CB9C3" w14:textId="77777777" w:rsidR="00AD7196" w:rsidRPr="00AD7196" w:rsidRDefault="00AD7196" w:rsidP="00AD7196">
            <w:pPr>
              <w:spacing w:after="100" w:afterAutospacing="1"/>
              <w:contextualSpacing/>
              <w:rPr>
                <w:rFonts w:ascii="Calibri" w:hAnsi="Calibri" w:cs="Arial"/>
                <w:b/>
                <w:color w:val="000000"/>
                <w:lang w:val="es-ES"/>
              </w:rPr>
            </w:pPr>
            <w:r w:rsidRPr="00AD7196">
              <w:rPr>
                <w:rFonts w:ascii="Calibri" w:hAnsi="Calibri" w:cs="Arial"/>
                <w:color w:val="000000"/>
                <w:lang w:val="es-ES"/>
              </w:rPr>
              <w:t>1.1</w:t>
            </w:r>
            <w:r w:rsidRPr="00AD7196">
              <w:rPr>
                <w:rFonts w:ascii="Calibri" w:hAnsi="Calibri" w:cs="Arial"/>
                <w:b/>
                <w:color w:val="000000"/>
                <w:lang w:val="es-ES"/>
              </w:rPr>
              <w:t xml:space="preserve"> </w:t>
            </w:r>
            <w:r w:rsidRPr="00AD7196">
              <w:rPr>
                <w:rFonts w:ascii="Calibri" w:hAnsi="Calibri" w:cs="Arial"/>
                <w:color w:val="000000"/>
                <w:lang w:val="es-ES"/>
              </w:rPr>
              <w:t>Introducción: Biblia y pedagogía</w:t>
            </w:r>
          </w:p>
          <w:p w14:paraId="014F6402" w14:textId="77777777" w:rsidR="00AD7196" w:rsidRPr="00AD7196" w:rsidRDefault="00AD7196" w:rsidP="00AD7196">
            <w:pPr>
              <w:spacing w:after="100" w:afterAutospacing="1" w:line="276" w:lineRule="auto"/>
              <w:contextualSpacing/>
              <w:rPr>
                <w:rFonts w:ascii="Calibri" w:hAnsi="Calibri" w:cs="Arial"/>
                <w:color w:val="000000"/>
                <w:lang w:val="es-ES"/>
              </w:rPr>
            </w:pPr>
          </w:p>
        </w:tc>
        <w:tc>
          <w:tcPr>
            <w:tcW w:w="3119" w:type="dxa"/>
          </w:tcPr>
          <w:p w14:paraId="5DBC3F12"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19CC8509" w14:textId="77777777" w:rsidR="00AD7196" w:rsidRPr="00AD7196" w:rsidRDefault="00AD7196" w:rsidP="00AD7196">
            <w:pPr>
              <w:spacing w:after="100" w:afterAutospacing="1" w:line="276" w:lineRule="auto"/>
              <w:contextualSpacing/>
              <w:rPr>
                <w:rFonts w:ascii="Calibri" w:hAnsi="Calibri" w:cs="Calibri"/>
                <w:szCs w:val="18"/>
              </w:rPr>
            </w:pPr>
          </w:p>
          <w:p w14:paraId="561873FF" w14:textId="77777777" w:rsidR="00AD7196" w:rsidRPr="00AD7196" w:rsidRDefault="00AD7196" w:rsidP="00AD7196">
            <w:pPr>
              <w:spacing w:after="100" w:afterAutospacing="1" w:line="276" w:lineRule="auto"/>
              <w:contextualSpacing/>
              <w:rPr>
                <w:rFonts w:ascii="Calibri" w:hAnsi="Calibri" w:cs="Calibri"/>
                <w:szCs w:val="18"/>
                <w:lang w:val="es-ES"/>
              </w:rPr>
            </w:pPr>
            <w:proofErr w:type="spellStart"/>
            <w:r w:rsidRPr="00AD7196">
              <w:rPr>
                <w:rFonts w:ascii="Calibri" w:hAnsi="Calibri" w:cs="Calibri"/>
                <w:szCs w:val="18"/>
              </w:rPr>
              <w:t>Strack</w:t>
            </w:r>
            <w:proofErr w:type="spellEnd"/>
            <w:r w:rsidRPr="00AD7196">
              <w:rPr>
                <w:rFonts w:ascii="Calibri" w:hAnsi="Calibri" w:cs="Calibri"/>
                <w:szCs w:val="18"/>
              </w:rPr>
              <w:t xml:space="preserve">, Hermann y Günter </w:t>
            </w:r>
            <w:proofErr w:type="spellStart"/>
            <w:r w:rsidRPr="00AD7196">
              <w:rPr>
                <w:rFonts w:ascii="Calibri" w:hAnsi="Calibri" w:cs="Calibri"/>
                <w:szCs w:val="18"/>
              </w:rPr>
              <w:t>Stemberger</w:t>
            </w:r>
            <w:proofErr w:type="spellEnd"/>
            <w:r w:rsidRPr="00AD7196">
              <w:rPr>
                <w:rFonts w:ascii="Calibri" w:hAnsi="Calibri" w:cs="Calibri"/>
                <w:szCs w:val="18"/>
              </w:rPr>
              <w:t xml:space="preserve">. “El sistema educativo rabínico”. En </w:t>
            </w:r>
            <w:r w:rsidRPr="00AD7196">
              <w:rPr>
                <w:rFonts w:ascii="Calibri" w:hAnsi="Calibri" w:cs="Calibri"/>
                <w:i/>
                <w:iCs/>
                <w:szCs w:val="18"/>
                <w:lang w:val="es-ES"/>
              </w:rPr>
              <w:t xml:space="preserve">Introducción a la literatura talmúdica y </w:t>
            </w:r>
            <w:proofErr w:type="spellStart"/>
            <w:r w:rsidRPr="00AD7196">
              <w:rPr>
                <w:rFonts w:ascii="Calibri" w:hAnsi="Calibri" w:cs="Calibri"/>
                <w:i/>
                <w:iCs/>
                <w:szCs w:val="18"/>
                <w:lang w:val="es-ES"/>
              </w:rPr>
              <w:t>midrásica</w:t>
            </w:r>
            <w:proofErr w:type="spellEnd"/>
            <w:r w:rsidRPr="00AD7196">
              <w:rPr>
                <w:rFonts w:ascii="Calibri" w:hAnsi="Calibri" w:cs="Calibri"/>
                <w:szCs w:val="18"/>
                <w:lang w:val="es-ES"/>
              </w:rPr>
              <w:t xml:space="preserve">, 38-46. Estella: Verbo Divino, 1996. </w:t>
            </w:r>
            <w:r w:rsidRPr="00AD7196">
              <w:rPr>
                <w:rFonts w:ascii="Calibri" w:hAnsi="Calibri" w:cs="Calibri"/>
                <w:color w:val="0070C0"/>
                <w:szCs w:val="18"/>
                <w:lang w:val="es-ES"/>
              </w:rPr>
              <w:t>(clásico, última edición)</w:t>
            </w:r>
          </w:p>
          <w:p w14:paraId="0326F3A7" w14:textId="77777777" w:rsidR="00AD7196" w:rsidRPr="00AD7196" w:rsidRDefault="00AD7196" w:rsidP="00AD7196">
            <w:pPr>
              <w:spacing w:after="100" w:afterAutospacing="1" w:line="276" w:lineRule="auto"/>
              <w:contextualSpacing/>
              <w:rPr>
                <w:rFonts w:ascii="Calibri" w:hAnsi="Calibri" w:cs="Calibri"/>
                <w:szCs w:val="18"/>
                <w:lang w:val="es-ES"/>
              </w:rPr>
            </w:pPr>
          </w:p>
          <w:p w14:paraId="085E045F"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19DA548F"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67EAA437" w14:textId="77777777" w:rsidR="00AD7196" w:rsidRPr="00AD7196" w:rsidRDefault="00AD7196" w:rsidP="00AD7196">
            <w:pPr>
              <w:spacing w:after="100" w:afterAutospacing="1" w:line="276" w:lineRule="auto"/>
              <w:contextualSpacing/>
              <w:rPr>
                <w:rFonts w:ascii="Calibri" w:hAnsi="Calibri" w:cs="Calibri"/>
                <w:szCs w:val="18"/>
                <w:lang w:val="es-ES"/>
              </w:rPr>
            </w:pPr>
            <w:r w:rsidRPr="00AD7196">
              <w:rPr>
                <w:rFonts w:ascii="Calibri" w:hAnsi="Calibri" w:cs="Calibri"/>
                <w:color w:val="0070C0"/>
                <w:lang w:val="es-ES"/>
              </w:rPr>
              <w:t>Guía para la elaboración de una reseña crítica de lectura</w:t>
            </w:r>
          </w:p>
          <w:p w14:paraId="2FAABE5E"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4455D8FE" w14:textId="77777777" w:rsidR="00AD7196" w:rsidRPr="00AD7196" w:rsidRDefault="00AD7196" w:rsidP="00AD7196">
            <w:pPr>
              <w:numPr>
                <w:ilvl w:val="0"/>
                <w:numId w:val="330"/>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Realizar la lectura de la sesión.</w:t>
            </w:r>
          </w:p>
          <w:p w14:paraId="2C724EA2" w14:textId="77777777" w:rsidR="00AD7196" w:rsidRPr="00AD7196" w:rsidRDefault="00AD7196" w:rsidP="00AD7196">
            <w:pPr>
              <w:numPr>
                <w:ilvl w:val="0"/>
                <w:numId w:val="330"/>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Elaboración de una reseña crítica de la lectura.</w:t>
            </w:r>
          </w:p>
        </w:tc>
      </w:tr>
      <w:tr w:rsidR="00AD7196" w:rsidRPr="00AD7196" w14:paraId="300FA51D" w14:textId="77777777" w:rsidTr="00104785">
        <w:trPr>
          <w:jc w:val="center"/>
        </w:trPr>
        <w:tc>
          <w:tcPr>
            <w:tcW w:w="1144" w:type="dxa"/>
          </w:tcPr>
          <w:p w14:paraId="73327311"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71755972"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3</w:t>
            </w:r>
          </w:p>
        </w:tc>
        <w:tc>
          <w:tcPr>
            <w:tcW w:w="2395" w:type="dxa"/>
          </w:tcPr>
          <w:p w14:paraId="3DF5576F" w14:textId="77777777" w:rsidR="00AD7196" w:rsidRPr="00AD7196" w:rsidRDefault="00AD7196" w:rsidP="00AD7196">
            <w:pPr>
              <w:spacing w:after="100" w:afterAutospacing="1"/>
              <w:contextualSpacing/>
              <w:rPr>
                <w:rFonts w:ascii="Calibri" w:hAnsi="Calibri" w:cs="Arial"/>
                <w:b/>
                <w:color w:val="000000"/>
                <w:lang w:val="es-ES"/>
              </w:rPr>
            </w:pPr>
            <w:r w:rsidRPr="00AD7196">
              <w:rPr>
                <w:rFonts w:ascii="Calibri" w:hAnsi="Calibri" w:cs="Arial"/>
                <w:b/>
                <w:bCs/>
                <w:color w:val="000000"/>
              </w:rPr>
              <w:t xml:space="preserve">Unidad 1: </w:t>
            </w:r>
            <w:r w:rsidRPr="00AD7196">
              <w:rPr>
                <w:rFonts w:ascii="Calibri" w:hAnsi="Calibri" w:cs="Arial"/>
                <w:b/>
                <w:color w:val="000000"/>
                <w:lang w:val="es-ES"/>
              </w:rPr>
              <w:t>Aspectos introductorios</w:t>
            </w:r>
          </w:p>
          <w:p w14:paraId="08282242" w14:textId="77777777" w:rsidR="00AD7196" w:rsidRPr="00AD7196" w:rsidRDefault="00AD7196" w:rsidP="00AD7196">
            <w:pPr>
              <w:spacing w:after="100" w:afterAutospacing="1"/>
              <w:contextualSpacing/>
              <w:rPr>
                <w:rFonts w:ascii="Calibri" w:hAnsi="Calibri" w:cs="Arial"/>
                <w:color w:val="000000"/>
              </w:rPr>
            </w:pPr>
          </w:p>
          <w:p w14:paraId="06B6E4CB" w14:textId="77777777" w:rsidR="00AD7196" w:rsidRPr="00AD7196" w:rsidRDefault="00AD7196" w:rsidP="00AD7196">
            <w:pPr>
              <w:spacing w:after="100" w:afterAutospacing="1"/>
              <w:contextualSpacing/>
              <w:rPr>
                <w:rFonts w:ascii="Calibri" w:hAnsi="Calibri" w:cs="Arial"/>
                <w:b/>
                <w:color w:val="000000"/>
                <w:lang w:val="es-ES"/>
              </w:rPr>
            </w:pPr>
            <w:r w:rsidRPr="00AD7196">
              <w:rPr>
                <w:rFonts w:ascii="Calibri" w:hAnsi="Calibri" w:cs="Arial"/>
                <w:color w:val="000000"/>
              </w:rPr>
              <w:t>1.2 Función de la imagen en la conformación del conocimiento humano</w:t>
            </w:r>
          </w:p>
          <w:p w14:paraId="3173F6AB" w14:textId="77777777" w:rsidR="00AD7196" w:rsidRPr="00AD7196" w:rsidRDefault="00AD7196" w:rsidP="00AD7196">
            <w:pPr>
              <w:spacing w:after="100" w:afterAutospacing="1" w:line="276" w:lineRule="auto"/>
              <w:contextualSpacing/>
              <w:rPr>
                <w:rFonts w:ascii="Calibri" w:hAnsi="Calibri" w:cs="Arial"/>
                <w:color w:val="000000"/>
                <w:lang w:val="es-ES"/>
              </w:rPr>
            </w:pPr>
          </w:p>
        </w:tc>
        <w:tc>
          <w:tcPr>
            <w:tcW w:w="3119" w:type="dxa"/>
          </w:tcPr>
          <w:p w14:paraId="48CADD6E"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299DA09A" w14:textId="77777777" w:rsidR="00AD7196" w:rsidRPr="00AD7196" w:rsidRDefault="00AD7196" w:rsidP="00AD7196">
            <w:pPr>
              <w:spacing w:after="100" w:afterAutospacing="1" w:line="276" w:lineRule="auto"/>
              <w:contextualSpacing/>
              <w:rPr>
                <w:rFonts w:ascii="Calibri" w:hAnsi="Calibri" w:cs="Calibri"/>
                <w:szCs w:val="18"/>
              </w:rPr>
            </w:pPr>
          </w:p>
          <w:p w14:paraId="1F26ED0B" w14:textId="77777777" w:rsidR="00AD7196" w:rsidRPr="00AD7196" w:rsidRDefault="00AD7196" w:rsidP="00AD7196">
            <w:pPr>
              <w:spacing w:after="100" w:afterAutospacing="1" w:line="276" w:lineRule="auto"/>
              <w:contextualSpacing/>
              <w:rPr>
                <w:rFonts w:ascii="Calibri" w:hAnsi="Calibri" w:cs="Calibri"/>
                <w:szCs w:val="18"/>
              </w:rPr>
            </w:pPr>
            <w:proofErr w:type="spellStart"/>
            <w:r w:rsidRPr="00AD7196">
              <w:rPr>
                <w:rFonts w:ascii="Calibri" w:hAnsi="Calibri" w:cs="Calibri"/>
                <w:szCs w:val="18"/>
              </w:rPr>
              <w:t>Casalis</w:t>
            </w:r>
            <w:proofErr w:type="spellEnd"/>
            <w:r w:rsidRPr="00AD7196">
              <w:rPr>
                <w:rFonts w:ascii="Calibri" w:hAnsi="Calibri" w:cs="Calibri"/>
                <w:szCs w:val="18"/>
              </w:rPr>
              <w:t xml:space="preserve">, George. “Jesús: ni vencido, ni monarca celestial”. En </w:t>
            </w:r>
            <w:r w:rsidRPr="00AD7196">
              <w:rPr>
                <w:rFonts w:ascii="Calibri" w:hAnsi="Calibri" w:cs="Calibri"/>
                <w:i/>
                <w:iCs/>
                <w:szCs w:val="18"/>
              </w:rPr>
              <w:t>Jesús: ni vencido, ni monarca celestial:</w:t>
            </w:r>
            <w:r w:rsidRPr="00AD7196">
              <w:rPr>
                <w:rFonts w:ascii="Calibri" w:hAnsi="Calibri" w:cs="Calibri"/>
                <w:szCs w:val="18"/>
              </w:rPr>
              <w:t xml:space="preserve"> </w:t>
            </w:r>
            <w:r w:rsidRPr="00AD7196">
              <w:rPr>
                <w:rFonts w:ascii="Calibri" w:hAnsi="Calibri" w:cs="Calibri"/>
                <w:i/>
                <w:iCs/>
                <w:szCs w:val="18"/>
              </w:rPr>
              <w:t>imágenes de Jesucristo en América Latina</w:t>
            </w:r>
            <w:r w:rsidRPr="00AD7196">
              <w:rPr>
                <w:rFonts w:ascii="Calibri" w:hAnsi="Calibri" w:cs="Calibri"/>
                <w:szCs w:val="18"/>
              </w:rPr>
              <w:t xml:space="preserve">, editado por José Míguez Bonino, 119-125. Buenos Aires: Tierra Nueva, 1977. </w:t>
            </w:r>
            <w:r w:rsidRPr="00AD7196">
              <w:rPr>
                <w:rFonts w:ascii="Calibri" w:hAnsi="Calibri" w:cs="Calibri"/>
                <w:color w:val="0070C0"/>
                <w:szCs w:val="18"/>
                <w:lang w:val="es-ES"/>
              </w:rPr>
              <w:t>(clásico, última edición)</w:t>
            </w:r>
          </w:p>
          <w:p w14:paraId="33608235"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18700279" w14:textId="77777777" w:rsidR="00AD7196" w:rsidRPr="00AD7196" w:rsidRDefault="00AD7196" w:rsidP="00AD7196">
            <w:pPr>
              <w:spacing w:after="100" w:afterAutospacing="1" w:line="276" w:lineRule="auto"/>
              <w:contextualSpacing/>
              <w:rPr>
                <w:color w:val="0563C1"/>
                <w:u w:val="single"/>
              </w:rPr>
            </w:pPr>
            <w:r w:rsidRPr="00AD7196">
              <w:rPr>
                <w:rFonts w:ascii="Calibri" w:hAnsi="Calibri" w:cs="Calibri"/>
                <w:szCs w:val="18"/>
                <w:lang w:val="es-ES"/>
              </w:rPr>
              <w:t xml:space="preserve">Castillo </w:t>
            </w:r>
            <w:proofErr w:type="spellStart"/>
            <w:r w:rsidRPr="00AD7196">
              <w:rPr>
                <w:rFonts w:ascii="Calibri" w:hAnsi="Calibri" w:cs="Calibri"/>
                <w:szCs w:val="18"/>
                <w:lang w:val="es-ES"/>
              </w:rPr>
              <w:t>Compte</w:t>
            </w:r>
            <w:proofErr w:type="spellEnd"/>
            <w:r w:rsidRPr="00AD7196">
              <w:rPr>
                <w:rFonts w:ascii="Calibri" w:hAnsi="Calibri" w:cs="Calibri"/>
                <w:szCs w:val="18"/>
                <w:lang w:val="es-ES"/>
              </w:rPr>
              <w:t xml:space="preserve">, Laura. “Arte mariano en Latinoamérica: la iconografía religiosa como mecanismo de control y sello de identidad durante la conquista”. </w:t>
            </w:r>
            <w:r w:rsidRPr="00AD7196">
              <w:rPr>
                <w:rFonts w:ascii="Calibri" w:hAnsi="Calibri" w:cs="Calibri"/>
                <w:i/>
                <w:iCs/>
                <w:szCs w:val="18"/>
                <w:lang w:val="es-ES"/>
              </w:rPr>
              <w:t xml:space="preserve">Cuadernos del Centro de Estudios en Diseño y Comunicación </w:t>
            </w:r>
            <w:r w:rsidRPr="00AD7196">
              <w:rPr>
                <w:rFonts w:ascii="Calibri" w:hAnsi="Calibri" w:cs="Calibri"/>
                <w:szCs w:val="18"/>
                <w:lang w:val="es-ES"/>
              </w:rPr>
              <w:t xml:space="preserve">n. 92 (2020): 79-97. </w:t>
            </w:r>
            <w:hyperlink r:id="rId545" w:history="1">
              <w:r w:rsidRPr="00AD7196">
                <w:rPr>
                  <w:rFonts w:ascii="Calibri" w:hAnsi="Calibri" w:cs="Calibri"/>
                  <w:color w:val="0563C1"/>
                  <w:szCs w:val="18"/>
                  <w:u w:val="single"/>
                  <w:lang w:val="es-ES"/>
                </w:rPr>
                <w:t>http://dx.doi.org/10.18682 /cdc.vi92.3877</w:t>
              </w:r>
            </w:hyperlink>
          </w:p>
          <w:p w14:paraId="1C1B9FEB" w14:textId="77777777" w:rsidR="00AD7196" w:rsidRPr="00AD7196" w:rsidRDefault="00AD7196" w:rsidP="00AD7196">
            <w:pPr>
              <w:spacing w:after="100" w:afterAutospacing="1" w:line="276" w:lineRule="auto"/>
              <w:contextualSpacing/>
              <w:rPr>
                <w:color w:val="0563C1"/>
                <w:u w:val="single"/>
              </w:rPr>
            </w:pPr>
          </w:p>
          <w:p w14:paraId="6AD2CA8B"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33B11DF9"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2CD7AD74" w14:textId="77777777" w:rsidR="00AD7196" w:rsidRPr="00AD7196" w:rsidRDefault="00AD7196" w:rsidP="00AD7196">
            <w:pPr>
              <w:spacing w:after="100" w:afterAutospacing="1" w:line="276" w:lineRule="auto"/>
              <w:contextualSpacing/>
              <w:rPr>
                <w:color w:val="0563C1"/>
                <w:u w:val="single"/>
              </w:rPr>
            </w:pPr>
            <w:r w:rsidRPr="00AD7196">
              <w:rPr>
                <w:rFonts w:ascii="Calibri" w:hAnsi="Calibri" w:cs="Calibri"/>
                <w:color w:val="0070C0"/>
                <w:lang w:val="es-ES"/>
              </w:rPr>
              <w:t>Guía para la participación en un wiki en la plataforma Moodle</w:t>
            </w:r>
          </w:p>
          <w:p w14:paraId="6926065E"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72CF2C12" w14:textId="77777777" w:rsidR="00AD7196" w:rsidRPr="00AD7196" w:rsidRDefault="00AD7196" w:rsidP="00AD7196">
            <w:pPr>
              <w:numPr>
                <w:ilvl w:val="0"/>
                <w:numId w:val="331"/>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lastRenderedPageBreak/>
              <w:t>Realizar las lecturas de la sesión.</w:t>
            </w:r>
          </w:p>
          <w:p w14:paraId="10DAAC46" w14:textId="77777777" w:rsidR="00AD7196" w:rsidRPr="00AD7196" w:rsidRDefault="00AD7196" w:rsidP="00AD7196">
            <w:pPr>
              <w:numPr>
                <w:ilvl w:val="0"/>
                <w:numId w:val="331"/>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 xml:space="preserve">Participación en la elaboración de un mural grupal digital (wiki) sobre la imagen y el conocimiento humano. </w:t>
            </w:r>
          </w:p>
        </w:tc>
      </w:tr>
      <w:tr w:rsidR="00AD7196" w:rsidRPr="00AD7196" w14:paraId="578CB095" w14:textId="77777777" w:rsidTr="00104785">
        <w:trPr>
          <w:jc w:val="center"/>
        </w:trPr>
        <w:tc>
          <w:tcPr>
            <w:tcW w:w="1144" w:type="dxa"/>
          </w:tcPr>
          <w:p w14:paraId="633E1F67"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61479266"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4</w:t>
            </w:r>
          </w:p>
        </w:tc>
        <w:tc>
          <w:tcPr>
            <w:tcW w:w="2395" w:type="dxa"/>
          </w:tcPr>
          <w:p w14:paraId="11C8470C" w14:textId="77777777" w:rsidR="00AD7196" w:rsidRPr="00AD7196" w:rsidRDefault="00AD7196" w:rsidP="00AD7196">
            <w:pPr>
              <w:spacing w:after="100" w:afterAutospacing="1"/>
              <w:contextualSpacing/>
              <w:rPr>
                <w:rFonts w:ascii="Calibri" w:hAnsi="Calibri" w:cs="Arial"/>
                <w:b/>
                <w:color w:val="000000"/>
                <w:lang w:val="es-ES"/>
              </w:rPr>
            </w:pPr>
            <w:r w:rsidRPr="00AD7196">
              <w:rPr>
                <w:rFonts w:ascii="Calibri" w:hAnsi="Calibri" w:cs="Arial"/>
                <w:b/>
                <w:bCs/>
                <w:color w:val="000000"/>
              </w:rPr>
              <w:t xml:space="preserve">Unidad 1: </w:t>
            </w:r>
            <w:r w:rsidRPr="00AD7196">
              <w:rPr>
                <w:rFonts w:ascii="Calibri" w:hAnsi="Calibri" w:cs="Arial"/>
                <w:b/>
                <w:color w:val="000000"/>
                <w:lang w:val="es-ES"/>
              </w:rPr>
              <w:t>Aspectos introductorios</w:t>
            </w:r>
          </w:p>
          <w:p w14:paraId="4B5A51BA" w14:textId="77777777" w:rsidR="00AD7196" w:rsidRPr="00AD7196" w:rsidRDefault="00AD7196" w:rsidP="00AD7196">
            <w:pPr>
              <w:spacing w:after="100" w:afterAutospacing="1"/>
              <w:contextualSpacing/>
              <w:rPr>
                <w:rFonts w:ascii="Calibri" w:hAnsi="Calibri" w:cs="Arial"/>
                <w:b/>
                <w:color w:val="000000"/>
                <w:lang w:val="es-ES"/>
              </w:rPr>
            </w:pPr>
          </w:p>
          <w:p w14:paraId="62FE3984" w14:textId="77777777" w:rsidR="00AD7196" w:rsidRPr="00AD7196" w:rsidRDefault="00AD7196" w:rsidP="00AD7196">
            <w:pPr>
              <w:spacing w:after="100" w:afterAutospacing="1"/>
              <w:contextualSpacing/>
              <w:rPr>
                <w:rFonts w:ascii="Calibri" w:hAnsi="Calibri" w:cs="Arial"/>
                <w:b/>
                <w:color w:val="000000"/>
                <w:lang w:val="es-ES"/>
              </w:rPr>
            </w:pPr>
            <w:r w:rsidRPr="00AD7196">
              <w:rPr>
                <w:rFonts w:ascii="Calibri" w:hAnsi="Calibri" w:cs="Arial"/>
                <w:color w:val="000000"/>
              </w:rPr>
              <w:t>1.3 Función de la afectividad en la conformación del conocimiento humano</w:t>
            </w:r>
          </w:p>
          <w:p w14:paraId="4DF15AD6" w14:textId="77777777" w:rsidR="00AD7196" w:rsidRPr="00AD7196" w:rsidRDefault="00AD7196" w:rsidP="00AD7196">
            <w:pPr>
              <w:spacing w:after="100" w:afterAutospacing="1" w:line="276" w:lineRule="auto"/>
              <w:contextualSpacing/>
              <w:rPr>
                <w:rFonts w:ascii="Calibri" w:hAnsi="Calibri" w:cs="Arial"/>
                <w:color w:val="000000"/>
                <w:lang w:val="es-ES"/>
              </w:rPr>
            </w:pPr>
          </w:p>
        </w:tc>
        <w:tc>
          <w:tcPr>
            <w:tcW w:w="3119" w:type="dxa"/>
          </w:tcPr>
          <w:p w14:paraId="3F36B46F"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30B4E75C" w14:textId="77777777" w:rsidR="00AD7196" w:rsidRPr="00AD7196" w:rsidRDefault="00AD7196" w:rsidP="00AD7196">
            <w:pPr>
              <w:spacing w:after="100" w:afterAutospacing="1" w:line="276" w:lineRule="auto"/>
              <w:contextualSpacing/>
              <w:rPr>
                <w:rFonts w:ascii="Calibri" w:hAnsi="Calibri" w:cs="Calibri"/>
                <w:szCs w:val="18"/>
                <w:lang w:val="es-ES"/>
              </w:rPr>
            </w:pPr>
          </w:p>
          <w:p w14:paraId="271C7084" w14:textId="77777777" w:rsidR="00AD7196" w:rsidRPr="00AD7196" w:rsidRDefault="00AD7196" w:rsidP="00AD7196">
            <w:pPr>
              <w:spacing w:after="100" w:afterAutospacing="1" w:line="276" w:lineRule="auto"/>
              <w:contextualSpacing/>
              <w:rPr>
                <w:rFonts w:ascii="Calibri" w:hAnsi="Calibri" w:cs="Calibri"/>
                <w:szCs w:val="18"/>
                <w:lang w:val="es-ES"/>
              </w:rPr>
            </w:pPr>
            <w:r w:rsidRPr="00AD7196">
              <w:rPr>
                <w:rFonts w:ascii="Calibri" w:hAnsi="Calibri" w:cs="Calibri"/>
                <w:szCs w:val="18"/>
                <w:lang w:val="es-ES"/>
              </w:rPr>
              <w:t>Rivas, Fernando. “Una casa-familia abierta al mundo: la familia, el espacio cívico, el Imperio y el mundo de la cultura”. En L</w:t>
            </w:r>
            <w:r w:rsidRPr="00AD7196">
              <w:rPr>
                <w:rFonts w:ascii="Calibri" w:hAnsi="Calibri" w:cs="Calibri"/>
                <w:i/>
                <w:iCs/>
                <w:szCs w:val="18"/>
                <w:lang w:val="es-ES"/>
              </w:rPr>
              <w:t>a vida cotidiana de los primeros cristianos</w:t>
            </w:r>
            <w:r w:rsidRPr="00AD7196">
              <w:rPr>
                <w:rFonts w:ascii="Calibri" w:hAnsi="Calibri" w:cs="Calibri"/>
                <w:szCs w:val="18"/>
                <w:lang w:val="es-ES"/>
              </w:rPr>
              <w:t xml:space="preserve">, 147-165. Estella: Verbo Divino, 2015. </w:t>
            </w:r>
            <w:r w:rsidRPr="00AD7196">
              <w:rPr>
                <w:rFonts w:ascii="Calibri" w:hAnsi="Calibri" w:cs="Calibri"/>
                <w:color w:val="0070C0"/>
                <w:szCs w:val="18"/>
                <w:lang w:val="es-ES"/>
              </w:rPr>
              <w:t>(clásico, última edición)</w:t>
            </w:r>
          </w:p>
          <w:p w14:paraId="0915455C" w14:textId="77777777" w:rsidR="00AD7196" w:rsidRPr="00AD7196" w:rsidRDefault="00AD7196" w:rsidP="00AD7196">
            <w:pPr>
              <w:spacing w:after="100" w:afterAutospacing="1" w:line="276" w:lineRule="auto"/>
              <w:contextualSpacing/>
              <w:rPr>
                <w:rFonts w:ascii="Calibri" w:hAnsi="Calibri" w:cs="Calibri"/>
                <w:szCs w:val="18"/>
                <w:lang w:val="es-ES"/>
              </w:rPr>
            </w:pPr>
          </w:p>
          <w:p w14:paraId="10127FE4"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30C0FA69"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76536AE7" w14:textId="77777777" w:rsidR="00AD7196" w:rsidRPr="00AD7196" w:rsidRDefault="00AD7196" w:rsidP="00AD7196">
            <w:pPr>
              <w:spacing w:after="100" w:afterAutospacing="1" w:line="276" w:lineRule="auto"/>
              <w:contextualSpacing/>
              <w:rPr>
                <w:rFonts w:ascii="Calibri" w:hAnsi="Calibri" w:cs="Calibri"/>
                <w:szCs w:val="18"/>
                <w:lang w:val="es-ES"/>
              </w:rPr>
            </w:pPr>
            <w:r w:rsidRPr="00AD7196">
              <w:rPr>
                <w:rFonts w:ascii="Calibri" w:hAnsi="Calibri" w:cs="Calibri"/>
                <w:color w:val="0070C0"/>
                <w:lang w:val="es-ES"/>
              </w:rPr>
              <w:t>Guía para la participación en un foro en la plataforma Moodle</w:t>
            </w:r>
          </w:p>
          <w:p w14:paraId="79391B2C"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1ED45F8C" w14:textId="77777777" w:rsidR="00AD7196" w:rsidRPr="00AD7196" w:rsidRDefault="00AD7196" w:rsidP="00AD7196">
            <w:pPr>
              <w:numPr>
                <w:ilvl w:val="0"/>
                <w:numId w:val="332"/>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Realizar la lectura de la sesión.</w:t>
            </w:r>
          </w:p>
          <w:p w14:paraId="54623B60" w14:textId="77777777" w:rsidR="00AD7196" w:rsidRPr="00AD7196" w:rsidRDefault="00AD7196" w:rsidP="00AD7196">
            <w:pPr>
              <w:numPr>
                <w:ilvl w:val="0"/>
                <w:numId w:val="332"/>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Participación en el foro temático: La afectividad en los diversos ámbitos sociales del tiempo del Nuevo Testamento.</w:t>
            </w:r>
          </w:p>
        </w:tc>
      </w:tr>
      <w:tr w:rsidR="00AD7196" w:rsidRPr="00AD7196" w14:paraId="2F62B0BD" w14:textId="77777777" w:rsidTr="00104785">
        <w:trPr>
          <w:jc w:val="center"/>
        </w:trPr>
        <w:tc>
          <w:tcPr>
            <w:tcW w:w="1144" w:type="dxa"/>
          </w:tcPr>
          <w:p w14:paraId="4B5F34BF"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1E775D74"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5</w:t>
            </w:r>
          </w:p>
        </w:tc>
        <w:tc>
          <w:tcPr>
            <w:tcW w:w="2395" w:type="dxa"/>
          </w:tcPr>
          <w:p w14:paraId="6448EB5A" w14:textId="77777777" w:rsidR="00AD7196" w:rsidRPr="00AD7196" w:rsidRDefault="00AD7196" w:rsidP="00AD7196">
            <w:pPr>
              <w:spacing w:after="100" w:afterAutospacing="1"/>
              <w:contextualSpacing/>
              <w:rPr>
                <w:rFonts w:ascii="Calibri" w:hAnsi="Calibri" w:cs="Arial"/>
                <w:b/>
                <w:color w:val="000000"/>
                <w:lang w:val="es-ES"/>
              </w:rPr>
            </w:pPr>
            <w:r w:rsidRPr="00AD7196">
              <w:rPr>
                <w:rFonts w:ascii="Calibri" w:hAnsi="Calibri" w:cs="Arial"/>
                <w:b/>
                <w:bCs/>
                <w:color w:val="000000"/>
              </w:rPr>
              <w:t xml:space="preserve">Unidad 2: </w:t>
            </w:r>
            <w:r w:rsidRPr="00AD7196">
              <w:rPr>
                <w:rFonts w:ascii="Calibri" w:hAnsi="Calibri" w:cs="Arial"/>
                <w:b/>
                <w:color w:val="000000"/>
                <w:lang w:val="es-ES"/>
              </w:rPr>
              <w:t>Pedagogía bíblica y Arte</w:t>
            </w:r>
          </w:p>
          <w:p w14:paraId="5C79CF15" w14:textId="77777777" w:rsidR="00AD7196" w:rsidRPr="00AD7196" w:rsidRDefault="00AD7196" w:rsidP="00AD7196">
            <w:pPr>
              <w:spacing w:after="100" w:afterAutospacing="1"/>
              <w:contextualSpacing/>
              <w:rPr>
                <w:rFonts w:ascii="Calibri" w:hAnsi="Calibri" w:cs="Arial"/>
                <w:color w:val="000000"/>
                <w:lang w:val="es-ES"/>
              </w:rPr>
            </w:pPr>
          </w:p>
          <w:p w14:paraId="480A4E57" w14:textId="77777777" w:rsidR="00AD7196" w:rsidRPr="00AD7196" w:rsidRDefault="00AD7196" w:rsidP="00AD7196">
            <w:pPr>
              <w:spacing w:after="100" w:afterAutospacing="1"/>
              <w:contextualSpacing/>
              <w:rPr>
                <w:rFonts w:ascii="Calibri" w:hAnsi="Calibri" w:cs="Arial"/>
                <w:color w:val="000000"/>
                <w:lang w:val="es-ES"/>
              </w:rPr>
            </w:pPr>
            <w:r w:rsidRPr="00AD7196">
              <w:rPr>
                <w:rFonts w:ascii="Calibri" w:hAnsi="Calibri" w:cs="Arial"/>
                <w:bCs/>
                <w:color w:val="000000"/>
              </w:rPr>
              <w:t xml:space="preserve">2.1 </w:t>
            </w:r>
            <w:r w:rsidRPr="00AD7196">
              <w:rPr>
                <w:rFonts w:ascii="Calibri" w:hAnsi="Calibri" w:cs="Arial"/>
                <w:color w:val="000000"/>
                <w:lang w:val="es-ES"/>
              </w:rPr>
              <w:t>Pedagogía bíblica y pintura</w:t>
            </w:r>
          </w:p>
          <w:p w14:paraId="4E6C4728" w14:textId="77777777" w:rsidR="00AD7196" w:rsidRPr="00AD7196" w:rsidRDefault="00AD7196" w:rsidP="00AD7196">
            <w:pPr>
              <w:spacing w:after="100" w:afterAutospacing="1"/>
              <w:contextualSpacing/>
              <w:rPr>
                <w:rFonts w:ascii="Calibri" w:hAnsi="Calibri" w:cs="Arial"/>
                <w:color w:val="000000"/>
                <w:lang w:val="es-ES"/>
              </w:rPr>
            </w:pPr>
          </w:p>
        </w:tc>
        <w:tc>
          <w:tcPr>
            <w:tcW w:w="3119" w:type="dxa"/>
          </w:tcPr>
          <w:p w14:paraId="2AF2A46C"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399A8360" w14:textId="77777777" w:rsidR="00AD7196" w:rsidRPr="00AD7196" w:rsidRDefault="00AD7196" w:rsidP="00AD7196">
            <w:pPr>
              <w:spacing w:after="100" w:afterAutospacing="1" w:line="276" w:lineRule="auto"/>
              <w:contextualSpacing/>
              <w:rPr>
                <w:rFonts w:ascii="Calibri" w:hAnsi="Calibri" w:cs="Calibri"/>
                <w:szCs w:val="18"/>
              </w:rPr>
            </w:pPr>
          </w:p>
          <w:p w14:paraId="77AEBFEE" w14:textId="77777777" w:rsidR="00AD7196" w:rsidRPr="00AD7196" w:rsidRDefault="00AD7196" w:rsidP="00AD7196">
            <w:pPr>
              <w:spacing w:after="100" w:afterAutospacing="1" w:line="276" w:lineRule="auto"/>
              <w:contextualSpacing/>
              <w:rPr>
                <w:rFonts w:ascii="Calibri" w:hAnsi="Calibri" w:cs="Calibri"/>
                <w:szCs w:val="18"/>
              </w:rPr>
            </w:pPr>
            <w:r w:rsidRPr="00AD7196">
              <w:rPr>
                <w:rFonts w:ascii="Calibri" w:hAnsi="Calibri" w:cs="Calibri"/>
                <w:szCs w:val="18"/>
              </w:rPr>
              <w:t xml:space="preserve">Jasper, David. “La Biblia en el arte y en la literatura: fuente de inspiración para poetas y pintores. María Magdalena”. </w:t>
            </w:r>
            <w:r w:rsidRPr="00AD7196">
              <w:rPr>
                <w:rFonts w:ascii="Calibri" w:hAnsi="Calibri" w:cs="Calibri"/>
                <w:i/>
                <w:szCs w:val="18"/>
              </w:rPr>
              <w:t xml:space="preserve">Revista Internacional de </w:t>
            </w:r>
            <w:r w:rsidRPr="00AD7196">
              <w:rPr>
                <w:rFonts w:ascii="Calibri" w:hAnsi="Calibri" w:cs="Calibri"/>
                <w:i/>
                <w:szCs w:val="18"/>
              </w:rPr>
              <w:lastRenderedPageBreak/>
              <w:t xml:space="preserve">Teología Concilium </w:t>
            </w:r>
            <w:r w:rsidRPr="00AD7196">
              <w:rPr>
                <w:rFonts w:ascii="Calibri" w:hAnsi="Calibri" w:cs="Calibri"/>
                <w:iCs/>
                <w:szCs w:val="18"/>
              </w:rPr>
              <w:t xml:space="preserve">n. </w:t>
            </w:r>
            <w:r w:rsidRPr="00AD7196">
              <w:rPr>
                <w:rFonts w:ascii="Calibri" w:hAnsi="Calibri" w:cs="Calibri"/>
                <w:szCs w:val="18"/>
              </w:rPr>
              <w:t>257 (1995):</w:t>
            </w:r>
            <w:r w:rsidRPr="00AD7196">
              <w:rPr>
                <w:rFonts w:ascii="Calibri" w:hAnsi="Calibri" w:cs="Calibri"/>
                <w:i/>
                <w:szCs w:val="18"/>
              </w:rPr>
              <w:t xml:space="preserve"> </w:t>
            </w:r>
            <w:r w:rsidRPr="00AD7196">
              <w:rPr>
                <w:rFonts w:ascii="Calibri" w:hAnsi="Calibri" w:cs="Calibri"/>
                <w:szCs w:val="18"/>
              </w:rPr>
              <w:t>67-83.</w:t>
            </w:r>
          </w:p>
          <w:p w14:paraId="0606074C" w14:textId="77777777" w:rsidR="00AD7196" w:rsidRPr="00AD7196" w:rsidRDefault="00AD7196" w:rsidP="00AD7196">
            <w:pPr>
              <w:spacing w:after="100" w:afterAutospacing="1" w:line="276" w:lineRule="auto"/>
              <w:contextualSpacing/>
              <w:rPr>
                <w:rFonts w:ascii="Calibri" w:hAnsi="Calibri" w:cs="Calibri"/>
                <w:szCs w:val="18"/>
              </w:rPr>
            </w:pPr>
          </w:p>
          <w:p w14:paraId="3052AF93"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6F266062"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2E4C8278" w14:textId="77777777" w:rsidR="00AD7196" w:rsidRPr="00AD7196" w:rsidRDefault="00AD7196" w:rsidP="00AD7196">
            <w:pPr>
              <w:spacing w:after="100" w:afterAutospacing="1" w:line="276" w:lineRule="auto"/>
              <w:contextualSpacing/>
              <w:rPr>
                <w:rFonts w:ascii="Calibri" w:hAnsi="Calibri" w:cs="Calibri"/>
                <w:szCs w:val="18"/>
              </w:rPr>
            </w:pPr>
            <w:r w:rsidRPr="00AD7196">
              <w:rPr>
                <w:rFonts w:ascii="Calibri" w:hAnsi="Calibri" w:cs="Calibri"/>
                <w:color w:val="0070C0"/>
                <w:lang w:val="es-ES"/>
              </w:rPr>
              <w:t>Guía para la participación en un wiki en la plataforma Moodle</w:t>
            </w:r>
          </w:p>
          <w:p w14:paraId="4835FA9A"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59DBCAF3" w14:textId="77777777" w:rsidR="00AD7196" w:rsidRPr="00AD7196" w:rsidRDefault="00AD7196" w:rsidP="00AD7196">
            <w:pPr>
              <w:numPr>
                <w:ilvl w:val="0"/>
                <w:numId w:val="333"/>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lastRenderedPageBreak/>
              <w:t>Realizar la lectura de la sesión.</w:t>
            </w:r>
          </w:p>
          <w:p w14:paraId="6005A06C" w14:textId="77777777" w:rsidR="00AD7196" w:rsidRPr="00AD7196" w:rsidRDefault="00AD7196" w:rsidP="00AD7196">
            <w:pPr>
              <w:numPr>
                <w:ilvl w:val="0"/>
                <w:numId w:val="333"/>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 xml:space="preserve">Participación en la elaboración de un mural grupal digital (wiki) sobre la Biblia en el arte. </w:t>
            </w:r>
          </w:p>
          <w:p w14:paraId="52E82866" w14:textId="77777777" w:rsidR="00AD7196" w:rsidRPr="00AD7196" w:rsidRDefault="00AD7196" w:rsidP="00AD7196">
            <w:pPr>
              <w:numPr>
                <w:ilvl w:val="0"/>
                <w:numId w:val="333"/>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 xml:space="preserve">Asignación de clips de video para analizar en el encuentro </w:t>
            </w:r>
            <w:r w:rsidRPr="00AD7196">
              <w:rPr>
                <w:rFonts w:ascii="Calibri" w:hAnsi="Calibri" w:cs="Arial"/>
                <w:color w:val="000000"/>
                <w:lang w:val="es-ES"/>
              </w:rPr>
              <w:lastRenderedPageBreak/>
              <w:t>sincrónico virtual de la próxima sesión.</w:t>
            </w:r>
          </w:p>
        </w:tc>
      </w:tr>
      <w:tr w:rsidR="00AD7196" w:rsidRPr="00AD7196" w14:paraId="29B5724E" w14:textId="77777777" w:rsidTr="00104785">
        <w:trPr>
          <w:jc w:val="center"/>
        </w:trPr>
        <w:tc>
          <w:tcPr>
            <w:tcW w:w="1144" w:type="dxa"/>
          </w:tcPr>
          <w:p w14:paraId="78231AC6"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75C70F25"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6</w:t>
            </w:r>
          </w:p>
        </w:tc>
        <w:tc>
          <w:tcPr>
            <w:tcW w:w="2395" w:type="dxa"/>
          </w:tcPr>
          <w:p w14:paraId="709CE9F6" w14:textId="77777777" w:rsidR="00AD7196" w:rsidRPr="00AD7196" w:rsidRDefault="00AD7196" w:rsidP="00AD7196">
            <w:pPr>
              <w:spacing w:after="100" w:afterAutospacing="1"/>
              <w:contextualSpacing/>
              <w:rPr>
                <w:rFonts w:ascii="Calibri" w:hAnsi="Calibri" w:cs="Arial"/>
                <w:b/>
                <w:color w:val="000000"/>
                <w:lang w:val="es-ES"/>
              </w:rPr>
            </w:pPr>
            <w:r w:rsidRPr="00AD7196">
              <w:rPr>
                <w:rFonts w:ascii="Calibri" w:hAnsi="Calibri" w:cs="Arial"/>
                <w:b/>
                <w:bCs/>
                <w:color w:val="000000"/>
              </w:rPr>
              <w:t xml:space="preserve">Unidad 2: </w:t>
            </w:r>
            <w:r w:rsidRPr="00AD7196">
              <w:rPr>
                <w:rFonts w:ascii="Calibri" w:hAnsi="Calibri" w:cs="Arial"/>
                <w:b/>
                <w:color w:val="000000"/>
                <w:lang w:val="es-ES"/>
              </w:rPr>
              <w:t>Pedagogía bíblica y Arte</w:t>
            </w:r>
          </w:p>
          <w:p w14:paraId="4EC87562" w14:textId="77777777" w:rsidR="00AD7196" w:rsidRPr="00AD7196" w:rsidRDefault="00AD7196" w:rsidP="00AD7196">
            <w:pPr>
              <w:spacing w:after="100" w:afterAutospacing="1"/>
              <w:contextualSpacing/>
              <w:rPr>
                <w:rFonts w:ascii="Calibri" w:hAnsi="Calibri" w:cs="Arial"/>
                <w:color w:val="000000"/>
                <w:lang w:val="es-ES"/>
              </w:rPr>
            </w:pPr>
          </w:p>
          <w:p w14:paraId="7B4C038B" w14:textId="77777777" w:rsidR="00AD7196" w:rsidRPr="00AD7196" w:rsidRDefault="00AD7196" w:rsidP="00AD7196">
            <w:pPr>
              <w:spacing w:after="100" w:afterAutospacing="1"/>
              <w:contextualSpacing/>
              <w:rPr>
                <w:rFonts w:ascii="Calibri" w:hAnsi="Calibri" w:cs="Arial"/>
                <w:color w:val="000000"/>
                <w:lang w:val="es-ES"/>
              </w:rPr>
            </w:pPr>
            <w:r w:rsidRPr="00AD7196">
              <w:rPr>
                <w:rFonts w:ascii="Calibri" w:hAnsi="Calibri" w:cs="Arial"/>
                <w:bCs/>
                <w:color w:val="000000"/>
              </w:rPr>
              <w:t xml:space="preserve">2.2 </w:t>
            </w:r>
            <w:r w:rsidRPr="00AD7196">
              <w:rPr>
                <w:rFonts w:ascii="Calibri" w:hAnsi="Calibri" w:cs="Arial"/>
                <w:color w:val="000000"/>
                <w:lang w:val="es-ES"/>
              </w:rPr>
              <w:t>Pedagogía bíblica y cine</w:t>
            </w:r>
          </w:p>
          <w:p w14:paraId="2E30EE9F" w14:textId="77777777" w:rsidR="00AD7196" w:rsidRPr="00AD7196" w:rsidRDefault="00AD7196" w:rsidP="00AD7196">
            <w:pPr>
              <w:spacing w:after="100" w:afterAutospacing="1"/>
              <w:contextualSpacing/>
              <w:rPr>
                <w:rFonts w:ascii="Calibri" w:hAnsi="Calibri" w:cs="Arial"/>
                <w:color w:val="000000"/>
                <w:lang w:val="es-ES"/>
              </w:rPr>
            </w:pPr>
          </w:p>
        </w:tc>
        <w:tc>
          <w:tcPr>
            <w:tcW w:w="3119" w:type="dxa"/>
          </w:tcPr>
          <w:p w14:paraId="263F1ECF"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5E8DA4E4" w14:textId="77777777" w:rsidR="00AD7196" w:rsidRPr="00AD7196" w:rsidRDefault="00AD7196" w:rsidP="00AD7196">
            <w:pPr>
              <w:spacing w:after="100" w:afterAutospacing="1" w:line="276" w:lineRule="auto"/>
              <w:contextualSpacing/>
              <w:rPr>
                <w:rFonts w:ascii="Calibri" w:hAnsi="Calibri" w:cs="Calibri"/>
                <w:szCs w:val="18"/>
              </w:rPr>
            </w:pPr>
          </w:p>
          <w:p w14:paraId="7AFBB9C8" w14:textId="77777777" w:rsidR="00AD7196" w:rsidRPr="00AD7196" w:rsidRDefault="00AD7196" w:rsidP="00AD7196">
            <w:pPr>
              <w:spacing w:after="100" w:afterAutospacing="1" w:line="276" w:lineRule="auto"/>
              <w:contextualSpacing/>
              <w:rPr>
                <w:rFonts w:ascii="Calibri" w:hAnsi="Calibri" w:cs="Calibri"/>
                <w:szCs w:val="18"/>
              </w:rPr>
            </w:pPr>
            <w:r w:rsidRPr="00AD7196">
              <w:rPr>
                <w:rFonts w:ascii="Calibri" w:hAnsi="Calibri" w:cs="Calibri"/>
                <w:szCs w:val="18"/>
              </w:rPr>
              <w:t>Rodríguez Fernández, Lidia. “A vueltas con María Magdalena. Su figura en el cine, la música y la literatura”. Reseña Bíblica n. 107 (2020): 44-53.</w:t>
            </w:r>
          </w:p>
          <w:p w14:paraId="261330A2" w14:textId="77777777" w:rsidR="00AD7196" w:rsidRPr="00AD7196" w:rsidRDefault="00AD7196" w:rsidP="00AD7196">
            <w:pPr>
              <w:spacing w:after="100" w:afterAutospacing="1" w:line="276" w:lineRule="auto"/>
              <w:contextualSpacing/>
              <w:rPr>
                <w:rFonts w:ascii="Calibri" w:hAnsi="Calibri" w:cs="Calibri"/>
                <w:color w:val="000000"/>
                <w:lang w:val="es-ES"/>
              </w:rPr>
            </w:pPr>
          </w:p>
          <w:p w14:paraId="493D7DCF"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57104890"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26BC9867" w14:textId="77777777" w:rsidR="00AD7196" w:rsidRPr="00AD7196" w:rsidRDefault="00AD7196" w:rsidP="00AD7196">
            <w:pPr>
              <w:spacing w:after="100" w:afterAutospacing="1" w:line="276" w:lineRule="auto"/>
              <w:contextualSpacing/>
              <w:rPr>
                <w:rFonts w:ascii="Calibri" w:hAnsi="Calibri" w:cs="Calibri"/>
                <w:color w:val="0070C0"/>
                <w:lang w:val="es-ES"/>
              </w:rPr>
            </w:pPr>
            <w:r w:rsidRPr="00AD7196">
              <w:rPr>
                <w:rFonts w:ascii="Calibri" w:hAnsi="Calibri" w:cs="Calibri"/>
                <w:color w:val="0070C0"/>
                <w:lang w:val="es-ES"/>
              </w:rPr>
              <w:t xml:space="preserve">Guía para la participación mediante la herramienta Big Blue </w:t>
            </w:r>
            <w:proofErr w:type="spellStart"/>
            <w:r w:rsidRPr="00AD7196">
              <w:rPr>
                <w:rFonts w:ascii="Calibri" w:hAnsi="Calibri" w:cs="Calibri"/>
                <w:color w:val="0070C0"/>
                <w:lang w:val="es-ES"/>
              </w:rPr>
              <w:t>Button</w:t>
            </w:r>
            <w:proofErr w:type="spellEnd"/>
            <w:r w:rsidRPr="00AD7196">
              <w:rPr>
                <w:rFonts w:ascii="Calibri" w:hAnsi="Calibri" w:cs="Calibri"/>
                <w:color w:val="0070C0"/>
                <w:lang w:val="es-ES"/>
              </w:rPr>
              <w:t xml:space="preserve"> en la plataforma Moodle</w:t>
            </w:r>
          </w:p>
          <w:p w14:paraId="2C2F63F6"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311AA537" w14:textId="77777777" w:rsidR="00AD7196" w:rsidRPr="00AD7196" w:rsidRDefault="00AD7196" w:rsidP="00AD7196">
            <w:pPr>
              <w:numPr>
                <w:ilvl w:val="0"/>
                <w:numId w:val="334"/>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Realizar la lectura de la sesión.</w:t>
            </w:r>
          </w:p>
          <w:p w14:paraId="66410871" w14:textId="77777777" w:rsidR="00AD7196" w:rsidRPr="00AD7196" w:rsidRDefault="00AD7196" w:rsidP="00AD7196">
            <w:pPr>
              <w:numPr>
                <w:ilvl w:val="0"/>
                <w:numId w:val="334"/>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Exposición docente sobre Biblia y cine y análisis de clips de video en un encuentro sincrónico virtual.</w:t>
            </w:r>
          </w:p>
          <w:p w14:paraId="67EDD29B" w14:textId="77777777" w:rsidR="00AD7196" w:rsidRPr="00AD7196" w:rsidRDefault="00AD7196" w:rsidP="00AD7196">
            <w:pPr>
              <w:numPr>
                <w:ilvl w:val="0"/>
                <w:numId w:val="334"/>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 xml:space="preserve">Iniciar la realización de un ejercicio de reflexión bíblica sobre el arte y la pedagogía bíblica. </w:t>
            </w:r>
          </w:p>
        </w:tc>
      </w:tr>
      <w:tr w:rsidR="00AD7196" w:rsidRPr="00AD7196" w14:paraId="6B8A6359" w14:textId="77777777" w:rsidTr="00104785">
        <w:trPr>
          <w:jc w:val="center"/>
        </w:trPr>
        <w:tc>
          <w:tcPr>
            <w:tcW w:w="1144" w:type="dxa"/>
          </w:tcPr>
          <w:p w14:paraId="30EEE6B0"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5814CB4C"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7</w:t>
            </w:r>
          </w:p>
        </w:tc>
        <w:tc>
          <w:tcPr>
            <w:tcW w:w="2395" w:type="dxa"/>
          </w:tcPr>
          <w:p w14:paraId="30C808E3" w14:textId="77777777" w:rsidR="00AD7196" w:rsidRPr="00AD7196" w:rsidRDefault="00AD7196" w:rsidP="00AD7196">
            <w:pPr>
              <w:spacing w:after="100" w:afterAutospacing="1"/>
              <w:contextualSpacing/>
              <w:rPr>
                <w:rFonts w:ascii="Calibri" w:hAnsi="Calibri" w:cs="Arial"/>
                <w:b/>
                <w:bCs/>
                <w:color w:val="000000"/>
              </w:rPr>
            </w:pPr>
            <w:r w:rsidRPr="00AD7196">
              <w:rPr>
                <w:rFonts w:ascii="Calibri" w:hAnsi="Calibri" w:cs="Arial"/>
                <w:b/>
                <w:bCs/>
                <w:color w:val="000000"/>
              </w:rPr>
              <w:t>Unidad 3: Pedagogía bíblica y Literatura</w:t>
            </w:r>
          </w:p>
          <w:p w14:paraId="0509C3FC" w14:textId="77777777" w:rsidR="00AD7196" w:rsidRPr="00AD7196" w:rsidRDefault="00AD7196" w:rsidP="00AD7196">
            <w:pPr>
              <w:spacing w:after="100" w:afterAutospacing="1"/>
              <w:contextualSpacing/>
              <w:rPr>
                <w:rFonts w:ascii="Calibri" w:hAnsi="Calibri" w:cs="Arial"/>
                <w:bCs/>
                <w:color w:val="000000"/>
              </w:rPr>
            </w:pPr>
          </w:p>
          <w:p w14:paraId="62B05404" w14:textId="77777777" w:rsidR="00AD7196" w:rsidRPr="00AD7196" w:rsidRDefault="00AD7196" w:rsidP="00AD7196">
            <w:pPr>
              <w:spacing w:after="100" w:afterAutospacing="1"/>
              <w:contextualSpacing/>
              <w:rPr>
                <w:rFonts w:ascii="Calibri" w:hAnsi="Calibri" w:cs="Arial"/>
                <w:color w:val="000000"/>
                <w:lang w:val="es-ES"/>
              </w:rPr>
            </w:pPr>
            <w:r w:rsidRPr="00AD7196">
              <w:rPr>
                <w:rFonts w:ascii="Calibri" w:hAnsi="Calibri" w:cs="Arial"/>
                <w:color w:val="000000"/>
                <w:lang w:val="es-ES"/>
              </w:rPr>
              <w:t>3.1 Pedagogía bíblica y narración corta en la tradición cristiana: literatura clásica; autores latinoamericanos</w:t>
            </w:r>
          </w:p>
          <w:p w14:paraId="21940382" w14:textId="77777777" w:rsidR="00AD7196" w:rsidRPr="00AD7196" w:rsidRDefault="00AD7196" w:rsidP="00AD7196">
            <w:pPr>
              <w:spacing w:after="100" w:afterAutospacing="1"/>
              <w:contextualSpacing/>
              <w:rPr>
                <w:rFonts w:ascii="Calibri" w:hAnsi="Calibri" w:cs="Arial"/>
                <w:color w:val="000000"/>
                <w:lang w:val="es-ES"/>
              </w:rPr>
            </w:pPr>
          </w:p>
        </w:tc>
        <w:tc>
          <w:tcPr>
            <w:tcW w:w="3119" w:type="dxa"/>
          </w:tcPr>
          <w:p w14:paraId="465754D6"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1F5E81F1"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07ABB91F" w14:textId="77777777" w:rsidR="00AD7196" w:rsidRPr="00AD7196" w:rsidRDefault="00AD7196" w:rsidP="00AD7196">
            <w:pPr>
              <w:spacing w:after="100" w:afterAutospacing="1" w:line="276" w:lineRule="auto"/>
              <w:contextualSpacing/>
              <w:rPr>
                <w:rFonts w:ascii="Calibri" w:hAnsi="Calibri" w:cs="Calibri"/>
                <w:szCs w:val="18"/>
              </w:rPr>
            </w:pPr>
            <w:proofErr w:type="spellStart"/>
            <w:r w:rsidRPr="00AD7196">
              <w:rPr>
                <w:rFonts w:ascii="Calibri" w:hAnsi="Calibri" w:cs="Calibri"/>
                <w:color w:val="000000"/>
                <w:szCs w:val="18"/>
              </w:rPr>
              <w:t>Avenatti</w:t>
            </w:r>
            <w:proofErr w:type="spellEnd"/>
            <w:r w:rsidRPr="00AD7196">
              <w:rPr>
                <w:rFonts w:ascii="Calibri" w:hAnsi="Calibri" w:cs="Calibri"/>
                <w:color w:val="000000"/>
                <w:szCs w:val="18"/>
              </w:rPr>
              <w:t xml:space="preserve"> de </w:t>
            </w:r>
            <w:proofErr w:type="spellStart"/>
            <w:r w:rsidRPr="00AD7196">
              <w:rPr>
                <w:rFonts w:ascii="Calibri" w:hAnsi="Calibri" w:cs="Calibri"/>
                <w:color w:val="000000"/>
                <w:szCs w:val="18"/>
              </w:rPr>
              <w:t>Palumbo</w:t>
            </w:r>
            <w:proofErr w:type="spellEnd"/>
            <w:r w:rsidRPr="00AD7196">
              <w:rPr>
                <w:rFonts w:ascii="Calibri" w:hAnsi="Calibri" w:cs="Calibri"/>
                <w:color w:val="000000"/>
                <w:szCs w:val="18"/>
              </w:rPr>
              <w:t xml:space="preserve">, Cecilia. “Lenguaje teológico y literatura: La fe que dialoga con la literatura”. </w:t>
            </w:r>
            <w:r w:rsidRPr="00AD7196">
              <w:rPr>
                <w:rFonts w:ascii="Calibri" w:hAnsi="Calibri" w:cs="Calibri"/>
                <w:i/>
                <w:iCs/>
                <w:color w:val="000000"/>
                <w:szCs w:val="18"/>
              </w:rPr>
              <w:t>En Lenguajes de Dios para el siglo XXI</w:t>
            </w:r>
            <w:r w:rsidRPr="00AD7196">
              <w:rPr>
                <w:rFonts w:ascii="Calibri" w:hAnsi="Calibri" w:cs="Calibri"/>
                <w:color w:val="000000"/>
                <w:szCs w:val="18"/>
              </w:rPr>
              <w:t xml:space="preserve">, 554-558. </w:t>
            </w:r>
            <w:r w:rsidRPr="00AD7196">
              <w:rPr>
                <w:rFonts w:ascii="Calibri" w:hAnsi="Calibri" w:cs="Calibri"/>
                <w:szCs w:val="18"/>
              </w:rPr>
              <w:t xml:space="preserve">Madrid: Editorial Educa, 2007. </w:t>
            </w:r>
            <w:r w:rsidRPr="00AD7196">
              <w:rPr>
                <w:rFonts w:ascii="Calibri" w:hAnsi="Calibri" w:cs="Calibri"/>
                <w:color w:val="0070C0"/>
                <w:szCs w:val="18"/>
                <w:lang w:val="es-ES"/>
              </w:rPr>
              <w:t>(clásico, última edición)</w:t>
            </w:r>
          </w:p>
          <w:p w14:paraId="61E98113"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56099330" w14:textId="77777777" w:rsidR="00AD7196" w:rsidRPr="00AD7196" w:rsidRDefault="00AD7196" w:rsidP="00AD7196">
            <w:pPr>
              <w:spacing w:after="100" w:afterAutospacing="1" w:line="276" w:lineRule="auto"/>
              <w:contextualSpacing/>
              <w:rPr>
                <w:rFonts w:ascii="Calibri" w:hAnsi="Calibri" w:cs="Calibri"/>
                <w:szCs w:val="18"/>
              </w:rPr>
            </w:pPr>
            <w:r w:rsidRPr="00AD7196">
              <w:rPr>
                <w:rFonts w:ascii="Calibri" w:hAnsi="Calibri" w:cs="Calibri"/>
                <w:szCs w:val="18"/>
              </w:rPr>
              <w:t xml:space="preserve">Londoño, Juan Esteban. “Literatura apocalíptica y literatura fantástica”. </w:t>
            </w:r>
            <w:r w:rsidRPr="00AD7196">
              <w:rPr>
                <w:rFonts w:ascii="Calibri" w:hAnsi="Calibri" w:cs="Calibri"/>
                <w:i/>
                <w:szCs w:val="18"/>
              </w:rPr>
              <w:t xml:space="preserve">Vida y Pensamiento </w:t>
            </w:r>
            <w:r w:rsidRPr="00AD7196">
              <w:rPr>
                <w:rFonts w:ascii="Calibri" w:hAnsi="Calibri" w:cs="Calibri"/>
                <w:iCs/>
                <w:szCs w:val="18"/>
              </w:rPr>
              <w:t xml:space="preserve">n. </w:t>
            </w:r>
            <w:r w:rsidRPr="00AD7196">
              <w:rPr>
                <w:rFonts w:ascii="Calibri" w:hAnsi="Calibri" w:cs="Calibri"/>
                <w:szCs w:val="18"/>
              </w:rPr>
              <w:t>2 (2009):</w:t>
            </w:r>
            <w:r w:rsidRPr="00AD7196">
              <w:rPr>
                <w:rFonts w:ascii="Calibri" w:hAnsi="Calibri" w:cs="Calibri"/>
                <w:i/>
                <w:szCs w:val="18"/>
              </w:rPr>
              <w:t xml:space="preserve"> </w:t>
            </w:r>
            <w:r w:rsidRPr="00AD7196">
              <w:rPr>
                <w:rFonts w:ascii="Calibri" w:hAnsi="Calibri" w:cs="Calibri"/>
                <w:szCs w:val="18"/>
              </w:rPr>
              <w:t>95-121.</w:t>
            </w:r>
          </w:p>
          <w:p w14:paraId="486077BF"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37DEB606" w14:textId="77777777" w:rsidR="00AD7196" w:rsidRPr="00AD7196" w:rsidRDefault="00AD7196" w:rsidP="00AD7196">
            <w:pPr>
              <w:spacing w:after="100" w:afterAutospacing="1" w:line="276" w:lineRule="auto"/>
              <w:contextualSpacing/>
              <w:rPr>
                <w:rFonts w:ascii="Calibri" w:hAnsi="Calibri" w:cs="Calibri"/>
                <w:color w:val="0563C1"/>
                <w:szCs w:val="18"/>
                <w:u w:val="single"/>
              </w:rPr>
            </w:pPr>
            <w:r w:rsidRPr="00AD7196">
              <w:rPr>
                <w:rFonts w:ascii="Calibri" w:hAnsi="Calibri" w:cs="Calibri"/>
                <w:szCs w:val="18"/>
              </w:rPr>
              <w:t xml:space="preserve">Ramírez-Kidd, José Enrique. “Caín (Génesis 4, 1-16): su </w:t>
            </w:r>
            <w:r w:rsidRPr="00AD7196">
              <w:rPr>
                <w:rFonts w:ascii="Calibri" w:hAnsi="Calibri" w:cs="Calibri"/>
                <w:szCs w:val="18"/>
              </w:rPr>
              <w:lastRenderedPageBreak/>
              <w:t>presencia en la literatura”. </w:t>
            </w:r>
            <w:r w:rsidRPr="00AD7196">
              <w:rPr>
                <w:rFonts w:ascii="Calibri" w:hAnsi="Calibri" w:cs="Calibri"/>
                <w:i/>
                <w:iCs/>
                <w:szCs w:val="18"/>
              </w:rPr>
              <w:t>Revista Bíblica</w:t>
            </w:r>
            <w:r w:rsidRPr="00AD7196">
              <w:rPr>
                <w:rFonts w:ascii="Calibri" w:hAnsi="Calibri" w:cs="Calibri"/>
                <w:szCs w:val="18"/>
              </w:rPr>
              <w:t xml:space="preserve"> vol. 77 (2016): 29-52. </w:t>
            </w:r>
            <w:r w:rsidRPr="00AD7196">
              <w:rPr>
                <w:rFonts w:ascii="Calibri" w:hAnsi="Calibri" w:cs="Calibri"/>
                <w:szCs w:val="18"/>
                <w:lang w:val="es-ES"/>
              </w:rPr>
              <w:t>Acceso el 21 de noviembre de 2022.</w:t>
            </w:r>
            <w:r w:rsidRPr="00AD7196">
              <w:rPr>
                <w:rFonts w:ascii="Calibri" w:hAnsi="Calibri" w:cs="Calibri"/>
                <w:sz w:val="16"/>
                <w:szCs w:val="16"/>
                <w:shd w:val="clear" w:color="auto" w:fill="FFFFFF"/>
              </w:rPr>
              <w:t xml:space="preserve"> </w:t>
            </w:r>
            <w:hyperlink r:id="rId546" w:history="1">
              <w:r w:rsidRPr="00AD7196">
                <w:rPr>
                  <w:rFonts w:ascii="Calibri" w:hAnsi="Calibri" w:cs="Calibri"/>
                  <w:color w:val="0563C1"/>
                  <w:szCs w:val="18"/>
                  <w:u w:val="single"/>
                </w:rPr>
                <w:t>https://doi.org/10.47182/rb.77.n-201646</w:t>
              </w:r>
            </w:hyperlink>
          </w:p>
          <w:p w14:paraId="75F9E3A3" w14:textId="77777777" w:rsidR="00AD7196" w:rsidRPr="00AD7196" w:rsidRDefault="00AD7196" w:rsidP="00AD7196">
            <w:pPr>
              <w:spacing w:after="100" w:afterAutospacing="1" w:line="276" w:lineRule="auto"/>
              <w:contextualSpacing/>
              <w:rPr>
                <w:rFonts w:ascii="Calibri" w:hAnsi="Calibri" w:cs="Calibri"/>
                <w:color w:val="000000"/>
                <w:szCs w:val="18"/>
                <w:lang w:val="es-ES"/>
              </w:rPr>
            </w:pPr>
          </w:p>
          <w:p w14:paraId="0E9ECDCB" w14:textId="77777777" w:rsidR="00AD7196" w:rsidRPr="00AD7196" w:rsidRDefault="00AD7196" w:rsidP="00AD7196">
            <w:pPr>
              <w:spacing w:after="100" w:afterAutospacing="1" w:line="276" w:lineRule="auto"/>
              <w:contextualSpacing/>
              <w:rPr>
                <w:rFonts w:ascii="Calibri" w:hAnsi="Calibri" w:cs="Calibri"/>
                <w:b/>
                <w:bCs/>
                <w:color w:val="000000"/>
                <w:szCs w:val="18"/>
                <w:lang w:val="es-ES"/>
              </w:rPr>
            </w:pPr>
            <w:r w:rsidRPr="00AD7196">
              <w:rPr>
                <w:rFonts w:ascii="Calibri" w:hAnsi="Calibri" w:cs="Calibri"/>
                <w:b/>
                <w:bCs/>
                <w:color w:val="000000"/>
                <w:szCs w:val="18"/>
                <w:lang w:val="es-ES"/>
              </w:rPr>
              <w:t>Material complementario</w:t>
            </w:r>
          </w:p>
          <w:p w14:paraId="7D4995AC" w14:textId="77777777" w:rsidR="00AD7196" w:rsidRPr="00AD7196" w:rsidRDefault="00AD7196" w:rsidP="00AD7196">
            <w:pPr>
              <w:spacing w:after="100" w:afterAutospacing="1" w:line="276" w:lineRule="auto"/>
              <w:contextualSpacing/>
              <w:rPr>
                <w:rFonts w:ascii="Calibri" w:hAnsi="Calibri" w:cs="Calibri"/>
                <w:b/>
                <w:bCs/>
                <w:color w:val="000000"/>
                <w:szCs w:val="18"/>
                <w:lang w:val="es-ES"/>
              </w:rPr>
            </w:pPr>
          </w:p>
          <w:p w14:paraId="0AFFD8C8" w14:textId="77777777" w:rsidR="00AD7196" w:rsidRPr="00AD7196" w:rsidRDefault="00AD7196" w:rsidP="00AD7196">
            <w:pPr>
              <w:spacing w:after="100" w:afterAutospacing="1" w:line="276" w:lineRule="auto"/>
              <w:contextualSpacing/>
              <w:rPr>
                <w:rFonts w:ascii="Calibri" w:hAnsi="Calibri" w:cs="Calibri"/>
                <w:color w:val="0563C1"/>
                <w:u w:val="single"/>
              </w:rPr>
            </w:pPr>
            <w:r w:rsidRPr="00AD7196">
              <w:rPr>
                <w:rFonts w:ascii="Calibri" w:hAnsi="Calibri" w:cs="Calibri"/>
              </w:rPr>
              <w:t>Pérez-</w:t>
            </w:r>
            <w:proofErr w:type="spellStart"/>
            <w:r w:rsidRPr="00AD7196">
              <w:rPr>
                <w:rFonts w:ascii="Calibri" w:hAnsi="Calibri" w:cs="Calibri"/>
              </w:rPr>
              <w:t>Jijena</w:t>
            </w:r>
            <w:proofErr w:type="spellEnd"/>
            <w:r w:rsidRPr="00AD7196">
              <w:rPr>
                <w:rFonts w:ascii="Calibri" w:hAnsi="Calibri" w:cs="Calibri"/>
              </w:rPr>
              <w:t xml:space="preserve">, Angela.  “La literatura en la inteligencia de la fe. Teología en diálogo con literatura”. </w:t>
            </w:r>
            <w:r w:rsidRPr="00AD7196">
              <w:rPr>
                <w:rFonts w:ascii="Calibri" w:hAnsi="Calibri" w:cs="Calibri"/>
                <w:i/>
                <w:iCs/>
              </w:rPr>
              <w:t>Teología y Vida</w:t>
            </w:r>
            <w:r w:rsidRPr="00AD7196">
              <w:rPr>
                <w:rFonts w:ascii="Calibri" w:hAnsi="Calibri" w:cs="Calibri"/>
              </w:rPr>
              <w:t xml:space="preserve"> n. 1 (2021): 85-105. Acceso el 21 de noviembre de 2022. </w:t>
            </w:r>
            <w:hyperlink r:id="rId547" w:history="1">
              <w:r w:rsidRPr="00AD7196">
                <w:rPr>
                  <w:rFonts w:ascii="Calibri" w:hAnsi="Calibri" w:cs="Calibri"/>
                  <w:color w:val="0563C1"/>
                  <w:u w:val="single"/>
                </w:rPr>
                <w:t>http://dx.doi.org/10.4067/S0049-34492021000100085</w:t>
              </w:r>
            </w:hyperlink>
          </w:p>
          <w:p w14:paraId="142C1659" w14:textId="77777777" w:rsidR="00AD7196" w:rsidRPr="00AD7196" w:rsidRDefault="00AD7196" w:rsidP="00AD7196">
            <w:pPr>
              <w:spacing w:after="100" w:afterAutospacing="1" w:line="276" w:lineRule="auto"/>
              <w:contextualSpacing/>
              <w:rPr>
                <w:rFonts w:ascii="Calibri" w:hAnsi="Calibri" w:cs="Calibri"/>
                <w:color w:val="0563C1"/>
                <w:u w:val="single"/>
              </w:rPr>
            </w:pPr>
          </w:p>
          <w:p w14:paraId="7A6215D1" w14:textId="77777777" w:rsidR="00AD7196" w:rsidRPr="00AD7196" w:rsidRDefault="00AD7196" w:rsidP="00AD7196">
            <w:pPr>
              <w:spacing w:after="100" w:afterAutospacing="1" w:line="276" w:lineRule="auto"/>
              <w:contextualSpacing/>
              <w:rPr>
                <w:rFonts w:ascii="Calibri" w:hAnsi="Calibri" w:cs="Calibri"/>
                <w:color w:val="0563C1"/>
              </w:rPr>
            </w:pPr>
            <w:r w:rsidRPr="00AD7196">
              <w:rPr>
                <w:rFonts w:ascii="Calibri" w:hAnsi="Calibri" w:cs="Calibri"/>
                <w:color w:val="0563C1"/>
              </w:rPr>
              <w:t>Guía para la participación en un foro en la plataforma Moodle</w:t>
            </w:r>
          </w:p>
          <w:p w14:paraId="1FEBE9B0"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3870DB08" w14:textId="77777777" w:rsidR="00AD7196" w:rsidRPr="00AD7196" w:rsidRDefault="00AD7196" w:rsidP="00AD7196">
            <w:pPr>
              <w:numPr>
                <w:ilvl w:val="0"/>
                <w:numId w:val="335"/>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lastRenderedPageBreak/>
              <w:t>Realizar las lecturas de la sesión.</w:t>
            </w:r>
          </w:p>
          <w:p w14:paraId="5C8F906E" w14:textId="77777777" w:rsidR="00AD7196" w:rsidRPr="00AD7196" w:rsidRDefault="00AD7196" w:rsidP="00AD7196">
            <w:pPr>
              <w:numPr>
                <w:ilvl w:val="0"/>
                <w:numId w:val="335"/>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Participación en el foro temático: La presencia de la Biblia en la literatura.</w:t>
            </w:r>
          </w:p>
          <w:p w14:paraId="0AA4B397" w14:textId="77777777" w:rsidR="00AD7196" w:rsidRPr="00AD7196" w:rsidRDefault="00AD7196" w:rsidP="00AD7196">
            <w:pPr>
              <w:numPr>
                <w:ilvl w:val="0"/>
                <w:numId w:val="335"/>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Continuar con la realización de un ejercicio de reflexión bíblica sobre el arte y la pedagogía bíblica.</w:t>
            </w:r>
          </w:p>
        </w:tc>
      </w:tr>
      <w:tr w:rsidR="00AD7196" w:rsidRPr="00AD7196" w14:paraId="6872C5F9" w14:textId="77777777" w:rsidTr="00104785">
        <w:trPr>
          <w:jc w:val="center"/>
        </w:trPr>
        <w:tc>
          <w:tcPr>
            <w:tcW w:w="1144" w:type="dxa"/>
          </w:tcPr>
          <w:p w14:paraId="37122FB7"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4FBD45FD"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8</w:t>
            </w:r>
          </w:p>
        </w:tc>
        <w:tc>
          <w:tcPr>
            <w:tcW w:w="2395" w:type="dxa"/>
          </w:tcPr>
          <w:p w14:paraId="2B32D1D4" w14:textId="77777777" w:rsidR="00AD7196" w:rsidRPr="00AD7196" w:rsidRDefault="00AD7196" w:rsidP="00AD7196">
            <w:pPr>
              <w:spacing w:after="100" w:afterAutospacing="1"/>
              <w:contextualSpacing/>
              <w:rPr>
                <w:rFonts w:ascii="Calibri" w:hAnsi="Calibri" w:cs="Arial"/>
                <w:b/>
                <w:bCs/>
                <w:color w:val="000000"/>
              </w:rPr>
            </w:pPr>
            <w:r w:rsidRPr="00AD7196">
              <w:rPr>
                <w:rFonts w:ascii="Calibri" w:hAnsi="Calibri" w:cs="Arial"/>
                <w:b/>
                <w:bCs/>
                <w:color w:val="000000"/>
              </w:rPr>
              <w:t>Unidad 3: Pedagogía bíblica y Literatura</w:t>
            </w:r>
          </w:p>
          <w:p w14:paraId="57A88077" w14:textId="77777777" w:rsidR="00AD7196" w:rsidRPr="00AD7196" w:rsidRDefault="00AD7196" w:rsidP="00AD7196">
            <w:pPr>
              <w:spacing w:after="100" w:afterAutospacing="1"/>
              <w:contextualSpacing/>
              <w:rPr>
                <w:rFonts w:ascii="Calibri" w:hAnsi="Calibri" w:cs="Arial"/>
                <w:bCs/>
                <w:color w:val="000000"/>
              </w:rPr>
            </w:pPr>
          </w:p>
          <w:p w14:paraId="765535E3" w14:textId="77777777" w:rsidR="00AD7196" w:rsidRPr="00AD7196" w:rsidRDefault="00AD7196" w:rsidP="00AD7196">
            <w:pPr>
              <w:spacing w:after="100" w:afterAutospacing="1"/>
              <w:contextualSpacing/>
              <w:rPr>
                <w:rFonts w:ascii="Calibri" w:hAnsi="Calibri" w:cs="Arial"/>
                <w:color w:val="000000"/>
                <w:lang w:val="es-ES"/>
              </w:rPr>
            </w:pPr>
            <w:r w:rsidRPr="00AD7196">
              <w:rPr>
                <w:rFonts w:ascii="Calibri" w:hAnsi="Calibri" w:cs="Arial"/>
                <w:color w:val="000000"/>
              </w:rPr>
              <w:t xml:space="preserve">3.2 </w:t>
            </w:r>
            <w:r w:rsidRPr="00AD7196">
              <w:rPr>
                <w:rFonts w:ascii="Calibri" w:hAnsi="Calibri" w:cs="Arial"/>
                <w:color w:val="000000"/>
                <w:lang w:val="es-ES"/>
              </w:rPr>
              <w:t>Exégesis bíblica y poesía</w:t>
            </w:r>
          </w:p>
          <w:p w14:paraId="3E012B71" w14:textId="77777777" w:rsidR="00AD7196" w:rsidRPr="00AD7196" w:rsidRDefault="00AD7196" w:rsidP="00AD7196">
            <w:pPr>
              <w:spacing w:after="100" w:afterAutospacing="1"/>
              <w:contextualSpacing/>
              <w:rPr>
                <w:rFonts w:ascii="Calibri" w:hAnsi="Calibri" w:cs="Arial"/>
                <w:color w:val="000000"/>
                <w:lang w:val="es-ES"/>
              </w:rPr>
            </w:pPr>
          </w:p>
        </w:tc>
        <w:tc>
          <w:tcPr>
            <w:tcW w:w="3119" w:type="dxa"/>
          </w:tcPr>
          <w:p w14:paraId="4DEC7022"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02969947"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6682F2DC" w14:textId="77777777" w:rsidR="00AD7196" w:rsidRPr="00AD7196" w:rsidRDefault="00AD7196" w:rsidP="00AD7196">
            <w:pPr>
              <w:spacing w:after="100" w:afterAutospacing="1" w:line="276" w:lineRule="auto"/>
              <w:contextualSpacing/>
              <w:rPr>
                <w:rFonts w:ascii="Calibri" w:hAnsi="Calibri" w:cs="Calibri"/>
                <w:szCs w:val="18"/>
              </w:rPr>
            </w:pPr>
            <w:proofErr w:type="spellStart"/>
            <w:r w:rsidRPr="00AD7196">
              <w:rPr>
                <w:rFonts w:ascii="Calibri" w:hAnsi="Calibri" w:cs="Calibri"/>
                <w:color w:val="000000"/>
                <w:szCs w:val="18"/>
              </w:rPr>
              <w:t>Rösener</w:t>
            </w:r>
            <w:proofErr w:type="spellEnd"/>
            <w:r w:rsidRPr="00AD7196">
              <w:rPr>
                <w:rFonts w:ascii="Calibri" w:hAnsi="Calibri" w:cs="Calibri"/>
                <w:szCs w:val="18"/>
              </w:rPr>
              <w:t xml:space="preserve">, </w:t>
            </w:r>
            <w:proofErr w:type="spellStart"/>
            <w:r w:rsidRPr="00AD7196">
              <w:rPr>
                <w:rFonts w:ascii="Calibri" w:hAnsi="Calibri" w:cs="Calibri"/>
                <w:szCs w:val="18"/>
              </w:rPr>
              <w:t>Christiane</w:t>
            </w:r>
            <w:proofErr w:type="spellEnd"/>
            <w:r w:rsidRPr="00AD7196">
              <w:rPr>
                <w:rFonts w:ascii="Calibri" w:hAnsi="Calibri" w:cs="Calibri"/>
                <w:szCs w:val="18"/>
              </w:rPr>
              <w:t xml:space="preserve">. “Hijas de la misma madre: religión y poesía. Un motivo, un ejemplo y dos argumentos en favor del uso de los poemas en la enseñanza religiosa”. </w:t>
            </w:r>
            <w:r w:rsidRPr="00AD7196">
              <w:rPr>
                <w:rFonts w:ascii="Calibri" w:hAnsi="Calibri" w:cs="Calibri"/>
                <w:i/>
                <w:szCs w:val="18"/>
              </w:rPr>
              <w:t xml:space="preserve">Vida y Pensamiento </w:t>
            </w:r>
            <w:r w:rsidRPr="00AD7196">
              <w:rPr>
                <w:rFonts w:ascii="Calibri" w:hAnsi="Calibri" w:cs="Calibri"/>
                <w:iCs/>
                <w:szCs w:val="18"/>
              </w:rPr>
              <w:t>n</w:t>
            </w:r>
            <w:r w:rsidRPr="00AD7196">
              <w:rPr>
                <w:rFonts w:ascii="Calibri" w:hAnsi="Calibri" w:cs="Calibri"/>
                <w:szCs w:val="18"/>
              </w:rPr>
              <w:t>. 2 (2009): 71-91.</w:t>
            </w:r>
          </w:p>
          <w:p w14:paraId="48ABD95C" w14:textId="77777777" w:rsidR="00AD7196" w:rsidRPr="00AD7196" w:rsidRDefault="00AD7196" w:rsidP="00AD7196">
            <w:pPr>
              <w:spacing w:after="100" w:afterAutospacing="1" w:line="276" w:lineRule="auto"/>
              <w:contextualSpacing/>
              <w:rPr>
                <w:rFonts w:ascii="Calibri" w:hAnsi="Calibri" w:cs="Calibri"/>
                <w:szCs w:val="18"/>
              </w:rPr>
            </w:pPr>
          </w:p>
          <w:p w14:paraId="03BE7D6F" w14:textId="77777777" w:rsidR="00AD7196" w:rsidRPr="00AD7196" w:rsidRDefault="00AD7196" w:rsidP="00AD7196">
            <w:pPr>
              <w:spacing w:after="100" w:afterAutospacing="1" w:line="276" w:lineRule="auto"/>
              <w:contextualSpacing/>
              <w:rPr>
                <w:rFonts w:ascii="Calibri" w:hAnsi="Calibri" w:cs="Calibri"/>
                <w:szCs w:val="18"/>
              </w:rPr>
            </w:pPr>
            <w:proofErr w:type="spellStart"/>
            <w:r w:rsidRPr="00AD7196">
              <w:rPr>
                <w:rFonts w:ascii="Calibri" w:hAnsi="Calibri" w:cs="Calibri"/>
                <w:szCs w:val="18"/>
              </w:rPr>
              <w:t>Scannone</w:t>
            </w:r>
            <w:proofErr w:type="spellEnd"/>
            <w:r w:rsidRPr="00AD7196">
              <w:rPr>
                <w:rFonts w:ascii="Calibri" w:hAnsi="Calibri" w:cs="Calibri"/>
                <w:szCs w:val="18"/>
              </w:rPr>
              <w:t xml:space="preserve">, Juan Carlos. “Poesía popular y teología: el aporte de “Martín Fierro” a una teología de la liberación”. </w:t>
            </w:r>
            <w:r w:rsidRPr="00AD7196">
              <w:rPr>
                <w:rFonts w:ascii="Calibri" w:hAnsi="Calibri" w:cs="Calibri"/>
                <w:i/>
                <w:iCs/>
                <w:szCs w:val="18"/>
              </w:rPr>
              <w:t xml:space="preserve">Revista Internacional de Teología Concilium </w:t>
            </w:r>
            <w:r w:rsidRPr="00AD7196">
              <w:rPr>
                <w:rFonts w:ascii="Calibri" w:hAnsi="Calibri" w:cs="Calibri"/>
                <w:szCs w:val="18"/>
              </w:rPr>
              <w:t>n. 115 (1976): 264-275.</w:t>
            </w:r>
          </w:p>
          <w:p w14:paraId="3DDECB17" w14:textId="77777777" w:rsidR="00AD7196" w:rsidRPr="00AD7196" w:rsidRDefault="00AD7196" w:rsidP="00AD7196">
            <w:pPr>
              <w:spacing w:after="100" w:afterAutospacing="1" w:line="276" w:lineRule="auto"/>
              <w:contextualSpacing/>
              <w:rPr>
                <w:rFonts w:ascii="Calibri" w:hAnsi="Calibri" w:cs="Calibri"/>
                <w:szCs w:val="18"/>
              </w:rPr>
            </w:pPr>
          </w:p>
          <w:p w14:paraId="2721FAF0"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5DA48AE6"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0C717EDC" w14:textId="77777777" w:rsidR="00AD7196" w:rsidRPr="00AD7196" w:rsidRDefault="00AD7196" w:rsidP="00AD7196">
            <w:pPr>
              <w:spacing w:after="100" w:afterAutospacing="1" w:line="276" w:lineRule="auto"/>
              <w:contextualSpacing/>
              <w:rPr>
                <w:rFonts w:ascii="Calibri" w:hAnsi="Calibri" w:cs="Calibri"/>
                <w:szCs w:val="18"/>
              </w:rPr>
            </w:pPr>
            <w:r w:rsidRPr="00AD7196">
              <w:rPr>
                <w:rFonts w:ascii="Calibri" w:hAnsi="Calibri" w:cs="Calibri"/>
                <w:color w:val="0070C0"/>
                <w:lang w:val="es-ES"/>
              </w:rPr>
              <w:lastRenderedPageBreak/>
              <w:t xml:space="preserve">Guía para la participación mediante la herramienta Big Blue </w:t>
            </w:r>
            <w:proofErr w:type="spellStart"/>
            <w:r w:rsidRPr="00AD7196">
              <w:rPr>
                <w:rFonts w:ascii="Calibri" w:hAnsi="Calibri" w:cs="Calibri"/>
                <w:color w:val="0070C0"/>
                <w:lang w:val="es-ES"/>
              </w:rPr>
              <w:t>Button</w:t>
            </w:r>
            <w:proofErr w:type="spellEnd"/>
            <w:r w:rsidRPr="00AD7196">
              <w:rPr>
                <w:rFonts w:ascii="Calibri" w:hAnsi="Calibri" w:cs="Calibri"/>
                <w:color w:val="0070C0"/>
                <w:lang w:val="es-ES"/>
              </w:rPr>
              <w:t xml:space="preserve"> en la plataforma Moodle</w:t>
            </w:r>
          </w:p>
          <w:p w14:paraId="791C8793"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568A0172" w14:textId="77777777" w:rsidR="00AD7196" w:rsidRPr="00AD7196" w:rsidRDefault="00AD7196" w:rsidP="00AD7196">
            <w:pPr>
              <w:numPr>
                <w:ilvl w:val="0"/>
                <w:numId w:val="336"/>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lastRenderedPageBreak/>
              <w:t>Realizar las lecturas de la sesión.</w:t>
            </w:r>
          </w:p>
          <w:p w14:paraId="076653C0" w14:textId="77777777" w:rsidR="00AD7196" w:rsidRPr="00AD7196" w:rsidRDefault="00AD7196" w:rsidP="00AD7196">
            <w:pPr>
              <w:numPr>
                <w:ilvl w:val="0"/>
                <w:numId w:val="336"/>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Exposición docente en un encuentro sincrónico virtual.</w:t>
            </w:r>
          </w:p>
          <w:p w14:paraId="7BA79E59" w14:textId="77777777" w:rsidR="00AD7196" w:rsidRPr="00AD7196" w:rsidRDefault="00AD7196" w:rsidP="00AD7196">
            <w:pPr>
              <w:numPr>
                <w:ilvl w:val="0"/>
                <w:numId w:val="336"/>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Finalizar la realización de un ejercicio de reflexión bíblica sobre el arte y la pedagogía bíblica.</w:t>
            </w:r>
          </w:p>
        </w:tc>
      </w:tr>
      <w:tr w:rsidR="00AD7196" w:rsidRPr="00AD7196" w14:paraId="6B1E38B3" w14:textId="77777777" w:rsidTr="00104785">
        <w:trPr>
          <w:jc w:val="center"/>
        </w:trPr>
        <w:tc>
          <w:tcPr>
            <w:tcW w:w="1144" w:type="dxa"/>
          </w:tcPr>
          <w:p w14:paraId="1621D539"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br w:type="page"/>
            </w:r>
          </w:p>
          <w:p w14:paraId="2AFDB789"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9</w:t>
            </w:r>
          </w:p>
        </w:tc>
        <w:tc>
          <w:tcPr>
            <w:tcW w:w="2395" w:type="dxa"/>
          </w:tcPr>
          <w:p w14:paraId="6276D5B7" w14:textId="77777777" w:rsidR="00AD7196" w:rsidRPr="00AD7196" w:rsidRDefault="00AD7196" w:rsidP="00AD7196">
            <w:pPr>
              <w:spacing w:after="100" w:afterAutospacing="1"/>
              <w:contextualSpacing/>
              <w:rPr>
                <w:rFonts w:ascii="Calibri" w:hAnsi="Calibri" w:cs="Arial"/>
                <w:b/>
                <w:bCs/>
                <w:color w:val="000000"/>
              </w:rPr>
            </w:pPr>
            <w:r w:rsidRPr="00AD7196">
              <w:rPr>
                <w:rFonts w:ascii="Calibri" w:hAnsi="Calibri" w:cs="Arial"/>
                <w:b/>
                <w:bCs/>
                <w:color w:val="000000"/>
              </w:rPr>
              <w:t>Unidad 4: Pedagogía bíblica y espiritualidad</w:t>
            </w:r>
          </w:p>
          <w:p w14:paraId="03F1AA3F" w14:textId="77777777" w:rsidR="00AD7196" w:rsidRPr="00AD7196" w:rsidRDefault="00AD7196" w:rsidP="00AD7196">
            <w:pPr>
              <w:spacing w:after="100" w:afterAutospacing="1" w:line="276" w:lineRule="auto"/>
              <w:contextualSpacing/>
              <w:rPr>
                <w:rFonts w:ascii="Calibri" w:hAnsi="Calibri" w:cs="Arial"/>
                <w:color w:val="000000"/>
                <w:lang w:val="es-ES"/>
              </w:rPr>
            </w:pPr>
          </w:p>
          <w:p w14:paraId="691CE16A" w14:textId="77777777" w:rsidR="00AD7196" w:rsidRPr="00AD7196" w:rsidRDefault="00AD7196" w:rsidP="00AD7196">
            <w:pPr>
              <w:spacing w:after="100" w:afterAutospacing="1"/>
              <w:contextualSpacing/>
              <w:rPr>
                <w:rFonts w:ascii="Calibri" w:hAnsi="Calibri" w:cs="Arial"/>
                <w:color w:val="000000"/>
                <w:lang w:val="es-ES"/>
              </w:rPr>
            </w:pPr>
            <w:r w:rsidRPr="00AD7196">
              <w:rPr>
                <w:rFonts w:ascii="Calibri" w:hAnsi="Calibri" w:cs="Arial"/>
                <w:bCs/>
                <w:color w:val="000000"/>
              </w:rPr>
              <w:t xml:space="preserve">4.1 </w:t>
            </w:r>
            <w:r w:rsidRPr="00AD7196">
              <w:rPr>
                <w:rFonts w:ascii="Calibri" w:hAnsi="Calibri" w:cs="Arial"/>
                <w:color w:val="000000"/>
                <w:lang w:val="es-ES"/>
              </w:rPr>
              <w:t>El símbolo en la teología bíblica: matrices simbólicas de la Escritura</w:t>
            </w:r>
          </w:p>
          <w:p w14:paraId="140097FF" w14:textId="77777777" w:rsidR="00AD7196" w:rsidRPr="00AD7196" w:rsidRDefault="00AD7196" w:rsidP="00AD7196">
            <w:pPr>
              <w:spacing w:after="100" w:afterAutospacing="1"/>
              <w:contextualSpacing/>
              <w:rPr>
                <w:rFonts w:ascii="Calibri" w:hAnsi="Calibri" w:cs="Arial"/>
                <w:color w:val="000000"/>
                <w:lang w:val="es-ES"/>
              </w:rPr>
            </w:pPr>
          </w:p>
        </w:tc>
        <w:tc>
          <w:tcPr>
            <w:tcW w:w="3119" w:type="dxa"/>
          </w:tcPr>
          <w:p w14:paraId="75D3C81B"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58B0B608"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0E44456C" w14:textId="77777777" w:rsidR="00AD7196" w:rsidRPr="00AD7196" w:rsidRDefault="00AD7196" w:rsidP="00AD7196">
            <w:pPr>
              <w:spacing w:after="100" w:afterAutospacing="1" w:line="276" w:lineRule="auto"/>
              <w:contextualSpacing/>
              <w:rPr>
                <w:rFonts w:ascii="Calibri" w:hAnsi="Calibri" w:cs="Calibri"/>
                <w:color w:val="000000"/>
                <w:szCs w:val="18"/>
              </w:rPr>
            </w:pPr>
            <w:r w:rsidRPr="00AD7196">
              <w:rPr>
                <w:rFonts w:ascii="Calibri" w:hAnsi="Calibri" w:cs="Calibri"/>
                <w:color w:val="000000"/>
                <w:szCs w:val="18"/>
              </w:rPr>
              <w:t xml:space="preserve">Bernard, A. y Rémi </w:t>
            </w:r>
            <w:proofErr w:type="spellStart"/>
            <w:r w:rsidRPr="00AD7196">
              <w:rPr>
                <w:rFonts w:ascii="Calibri" w:hAnsi="Calibri" w:cs="Calibri"/>
                <w:color w:val="000000"/>
                <w:szCs w:val="18"/>
              </w:rPr>
              <w:t>Lack</w:t>
            </w:r>
            <w:proofErr w:type="spellEnd"/>
            <w:r w:rsidRPr="00AD7196">
              <w:rPr>
                <w:rFonts w:ascii="Calibri" w:hAnsi="Calibri" w:cs="Calibri"/>
                <w:color w:val="000000"/>
                <w:szCs w:val="18"/>
              </w:rPr>
              <w:t xml:space="preserve">. “Símbolos Espirituales”. En </w:t>
            </w:r>
            <w:r w:rsidRPr="00AD7196">
              <w:rPr>
                <w:rFonts w:ascii="Calibri" w:hAnsi="Calibri" w:cs="Calibri"/>
                <w:i/>
                <w:iCs/>
                <w:color w:val="000000"/>
                <w:szCs w:val="18"/>
              </w:rPr>
              <w:t>Nuevo Diccionario de Espiritualidad</w:t>
            </w:r>
            <w:r w:rsidRPr="00AD7196">
              <w:rPr>
                <w:rFonts w:ascii="Calibri" w:hAnsi="Calibri" w:cs="Calibri"/>
                <w:color w:val="000000"/>
                <w:szCs w:val="18"/>
              </w:rPr>
              <w:t xml:space="preserve">, editado por Stefano de </w:t>
            </w:r>
            <w:proofErr w:type="spellStart"/>
            <w:r w:rsidRPr="00AD7196">
              <w:rPr>
                <w:rFonts w:ascii="Calibri" w:hAnsi="Calibri" w:cs="Calibri"/>
                <w:color w:val="000000"/>
                <w:szCs w:val="18"/>
              </w:rPr>
              <w:t>Fiores</w:t>
            </w:r>
            <w:proofErr w:type="spellEnd"/>
            <w:r w:rsidRPr="00AD7196">
              <w:rPr>
                <w:rFonts w:ascii="Calibri" w:hAnsi="Calibri" w:cs="Calibri"/>
                <w:color w:val="000000"/>
                <w:szCs w:val="18"/>
              </w:rPr>
              <w:t xml:space="preserve"> y </w:t>
            </w:r>
            <w:proofErr w:type="spellStart"/>
            <w:r w:rsidRPr="00AD7196">
              <w:rPr>
                <w:rFonts w:ascii="Calibri" w:hAnsi="Calibri" w:cs="Calibri"/>
                <w:color w:val="000000"/>
                <w:szCs w:val="18"/>
              </w:rPr>
              <w:t>Tullo</w:t>
            </w:r>
            <w:proofErr w:type="spellEnd"/>
            <w:r w:rsidRPr="00AD7196">
              <w:rPr>
                <w:rFonts w:ascii="Calibri" w:hAnsi="Calibri" w:cs="Calibri"/>
                <w:color w:val="000000"/>
                <w:szCs w:val="18"/>
              </w:rPr>
              <w:t xml:space="preserve"> </w:t>
            </w:r>
            <w:proofErr w:type="spellStart"/>
            <w:r w:rsidRPr="00AD7196">
              <w:rPr>
                <w:rFonts w:ascii="Calibri" w:hAnsi="Calibri" w:cs="Calibri"/>
                <w:color w:val="000000"/>
                <w:szCs w:val="18"/>
              </w:rPr>
              <w:t>Goffi</w:t>
            </w:r>
            <w:proofErr w:type="spellEnd"/>
            <w:r w:rsidRPr="00AD7196">
              <w:rPr>
                <w:rFonts w:ascii="Calibri" w:hAnsi="Calibri" w:cs="Calibri"/>
                <w:color w:val="000000"/>
                <w:szCs w:val="18"/>
              </w:rPr>
              <w:t xml:space="preserve">, 1304-1316. Madrid: Ediciones Paulinas, 1991. </w:t>
            </w:r>
            <w:r w:rsidRPr="00AD7196">
              <w:rPr>
                <w:rFonts w:ascii="Calibri" w:hAnsi="Calibri" w:cs="Calibri"/>
                <w:color w:val="0070C0"/>
                <w:szCs w:val="18"/>
                <w:lang w:val="es-ES"/>
              </w:rPr>
              <w:t>(clásico, última edición)</w:t>
            </w:r>
          </w:p>
          <w:p w14:paraId="6C280504"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565560EA" w14:textId="77777777" w:rsidR="00AD7196" w:rsidRPr="00AD7196" w:rsidRDefault="00AD7196" w:rsidP="00AD7196">
            <w:pPr>
              <w:spacing w:after="100" w:afterAutospacing="1" w:line="276" w:lineRule="auto"/>
              <w:contextualSpacing/>
              <w:rPr>
                <w:rFonts w:ascii="Calibri" w:hAnsi="Calibri" w:cs="Calibri"/>
                <w:szCs w:val="18"/>
                <w:lang w:val="es-ES"/>
              </w:rPr>
            </w:pPr>
            <w:r w:rsidRPr="00AD7196">
              <w:rPr>
                <w:rFonts w:ascii="Calibri" w:hAnsi="Calibri" w:cs="Calibri"/>
                <w:szCs w:val="18"/>
                <w:lang w:val="es-ES"/>
              </w:rPr>
              <w:t xml:space="preserve">Ramírez-Kidd, José Enrique. “El éxodo: acontecimiento y constelación simbólica.  En </w:t>
            </w:r>
            <w:r w:rsidRPr="00AD7196">
              <w:rPr>
                <w:rFonts w:ascii="Calibri" w:hAnsi="Calibri" w:cs="Calibri"/>
                <w:i/>
                <w:iCs/>
                <w:szCs w:val="18"/>
                <w:lang w:val="es-ES"/>
              </w:rPr>
              <w:t xml:space="preserve">Para comprender el Antiguo Testamento, </w:t>
            </w:r>
            <w:r w:rsidRPr="00AD7196">
              <w:rPr>
                <w:rFonts w:ascii="Calibri" w:hAnsi="Calibri" w:cs="Calibri"/>
                <w:szCs w:val="18"/>
                <w:lang w:val="es-ES"/>
              </w:rPr>
              <w:t xml:space="preserve">83-84. San José: SEBILA, 2019. </w:t>
            </w:r>
            <w:r w:rsidRPr="00AD7196">
              <w:rPr>
                <w:rFonts w:ascii="Calibri" w:hAnsi="Calibri" w:cs="Calibri"/>
                <w:color w:val="0070C0"/>
                <w:szCs w:val="18"/>
              </w:rPr>
              <w:t>(clásico, última edición)</w:t>
            </w:r>
          </w:p>
          <w:p w14:paraId="2473D198" w14:textId="77777777" w:rsidR="00AD7196" w:rsidRPr="00AD7196" w:rsidRDefault="00AD7196" w:rsidP="00AD7196">
            <w:pPr>
              <w:spacing w:after="100" w:afterAutospacing="1" w:line="276" w:lineRule="auto"/>
              <w:contextualSpacing/>
              <w:rPr>
                <w:rFonts w:ascii="Calibri" w:hAnsi="Calibri" w:cs="Calibri"/>
                <w:szCs w:val="18"/>
                <w:lang w:val="es-ES"/>
              </w:rPr>
            </w:pPr>
          </w:p>
          <w:p w14:paraId="0A3C6CDE"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4B294069"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0898EC17" w14:textId="77777777" w:rsidR="00AD7196" w:rsidRPr="00AD7196" w:rsidRDefault="00AD7196" w:rsidP="00AD7196">
            <w:pPr>
              <w:spacing w:after="100" w:afterAutospacing="1" w:line="276" w:lineRule="auto"/>
              <w:contextualSpacing/>
              <w:rPr>
                <w:rFonts w:ascii="Calibri" w:hAnsi="Calibri" w:cs="Calibri"/>
                <w:szCs w:val="18"/>
                <w:lang w:val="es-ES"/>
              </w:rPr>
            </w:pPr>
            <w:r w:rsidRPr="00AD7196">
              <w:rPr>
                <w:rFonts w:ascii="Calibri" w:hAnsi="Calibri" w:cs="Calibri"/>
                <w:color w:val="0070C0"/>
                <w:lang w:val="es-ES"/>
              </w:rPr>
              <w:t>Guía para la participación en un foro en la plataforma Moodle</w:t>
            </w:r>
          </w:p>
          <w:p w14:paraId="6DA5F011"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11F7A17B" w14:textId="77777777" w:rsidR="00AD7196" w:rsidRPr="00AD7196" w:rsidRDefault="00AD7196" w:rsidP="00AD7196">
            <w:pPr>
              <w:numPr>
                <w:ilvl w:val="0"/>
                <w:numId w:val="337"/>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Realizar las lecturas de la sesión.</w:t>
            </w:r>
          </w:p>
          <w:p w14:paraId="63FAB556" w14:textId="77777777" w:rsidR="00AD7196" w:rsidRPr="00AD7196" w:rsidRDefault="00AD7196" w:rsidP="00AD7196">
            <w:pPr>
              <w:numPr>
                <w:ilvl w:val="0"/>
                <w:numId w:val="337"/>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Participación en el foro temático: Las matrices simbólicas en un texto bíblico.</w:t>
            </w:r>
          </w:p>
          <w:p w14:paraId="240B934A" w14:textId="77777777" w:rsidR="00AD7196" w:rsidRPr="00AD7196" w:rsidRDefault="00AD7196" w:rsidP="00AD7196">
            <w:pPr>
              <w:numPr>
                <w:ilvl w:val="0"/>
                <w:numId w:val="337"/>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Iniciar la elaboración del producto pedagógico final.</w:t>
            </w:r>
          </w:p>
        </w:tc>
      </w:tr>
      <w:tr w:rsidR="00AD7196" w:rsidRPr="00AD7196" w14:paraId="547BCFC8" w14:textId="77777777" w:rsidTr="00104785">
        <w:trPr>
          <w:jc w:val="center"/>
        </w:trPr>
        <w:tc>
          <w:tcPr>
            <w:tcW w:w="1144" w:type="dxa"/>
          </w:tcPr>
          <w:p w14:paraId="01721B6D"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1192C365"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10</w:t>
            </w:r>
          </w:p>
        </w:tc>
        <w:tc>
          <w:tcPr>
            <w:tcW w:w="2395" w:type="dxa"/>
          </w:tcPr>
          <w:p w14:paraId="465EC645" w14:textId="77777777" w:rsidR="00AD7196" w:rsidRPr="00AD7196" w:rsidRDefault="00AD7196" w:rsidP="00AD7196">
            <w:pPr>
              <w:spacing w:after="100" w:afterAutospacing="1" w:line="276" w:lineRule="auto"/>
              <w:contextualSpacing/>
              <w:rPr>
                <w:rFonts w:ascii="Calibri" w:hAnsi="Calibri" w:cs="Arial"/>
                <w:b/>
                <w:bCs/>
                <w:color w:val="000000"/>
              </w:rPr>
            </w:pPr>
            <w:r w:rsidRPr="00AD7196">
              <w:rPr>
                <w:rFonts w:ascii="Calibri" w:hAnsi="Calibri" w:cs="Arial"/>
                <w:b/>
                <w:bCs/>
                <w:color w:val="000000"/>
              </w:rPr>
              <w:t>Unidad 4: Pedagogía bíblica y espiritualidad</w:t>
            </w:r>
          </w:p>
          <w:p w14:paraId="3CE91C79" w14:textId="77777777" w:rsidR="00AD7196" w:rsidRPr="00AD7196" w:rsidRDefault="00AD7196" w:rsidP="00AD7196">
            <w:pPr>
              <w:spacing w:after="100" w:afterAutospacing="1" w:line="276" w:lineRule="auto"/>
              <w:contextualSpacing/>
              <w:rPr>
                <w:rFonts w:ascii="Calibri" w:hAnsi="Calibri" w:cs="Arial"/>
                <w:color w:val="000000"/>
                <w:lang w:val="es-ES"/>
              </w:rPr>
            </w:pPr>
          </w:p>
          <w:p w14:paraId="55F61031" w14:textId="77777777" w:rsidR="00AD7196" w:rsidRPr="00AD7196" w:rsidRDefault="00AD7196" w:rsidP="00AD7196">
            <w:pPr>
              <w:spacing w:after="100" w:afterAutospacing="1"/>
              <w:contextualSpacing/>
              <w:rPr>
                <w:rFonts w:ascii="Calibri" w:hAnsi="Calibri" w:cs="Arial"/>
                <w:color w:val="000000"/>
                <w:lang w:val="es-ES"/>
              </w:rPr>
            </w:pPr>
            <w:r w:rsidRPr="00AD7196">
              <w:rPr>
                <w:rFonts w:ascii="Calibri" w:hAnsi="Calibri" w:cs="Arial"/>
                <w:bCs/>
                <w:color w:val="000000"/>
              </w:rPr>
              <w:t xml:space="preserve">4.2 </w:t>
            </w:r>
            <w:r w:rsidRPr="00AD7196">
              <w:rPr>
                <w:rFonts w:ascii="Calibri" w:hAnsi="Calibri" w:cs="Arial"/>
                <w:color w:val="000000"/>
                <w:lang w:val="es-ES"/>
              </w:rPr>
              <w:t>El lenguaje del cuerpo</w:t>
            </w:r>
          </w:p>
          <w:p w14:paraId="5BD81784" w14:textId="77777777" w:rsidR="00AD7196" w:rsidRPr="00AD7196" w:rsidRDefault="00AD7196" w:rsidP="00AD7196">
            <w:pPr>
              <w:spacing w:after="100" w:afterAutospacing="1"/>
              <w:contextualSpacing/>
              <w:rPr>
                <w:rFonts w:ascii="Calibri" w:hAnsi="Calibri" w:cs="Arial"/>
                <w:color w:val="000000"/>
                <w:lang w:val="es-ES"/>
              </w:rPr>
            </w:pPr>
          </w:p>
        </w:tc>
        <w:tc>
          <w:tcPr>
            <w:tcW w:w="3119" w:type="dxa"/>
          </w:tcPr>
          <w:p w14:paraId="0C0B1C7E"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2150B2B7"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2FE4DF03" w14:textId="77777777" w:rsidR="00AD7196" w:rsidRPr="00AD7196" w:rsidRDefault="00AD7196" w:rsidP="00AD7196">
            <w:pPr>
              <w:spacing w:after="100" w:afterAutospacing="1" w:line="276" w:lineRule="auto"/>
              <w:contextualSpacing/>
              <w:rPr>
                <w:rFonts w:ascii="Calibri" w:hAnsi="Calibri" w:cs="Calibri"/>
                <w:color w:val="000000"/>
                <w:szCs w:val="18"/>
              </w:rPr>
            </w:pPr>
            <w:proofErr w:type="spellStart"/>
            <w:r w:rsidRPr="00AD7196">
              <w:rPr>
                <w:rFonts w:ascii="Calibri" w:hAnsi="Calibri" w:cs="Calibri"/>
                <w:color w:val="000000"/>
                <w:szCs w:val="18"/>
              </w:rPr>
              <w:t>Spinsanti</w:t>
            </w:r>
            <w:proofErr w:type="spellEnd"/>
            <w:r w:rsidRPr="00AD7196">
              <w:rPr>
                <w:rFonts w:ascii="Calibri" w:hAnsi="Calibri" w:cs="Calibri"/>
                <w:color w:val="000000"/>
                <w:szCs w:val="18"/>
              </w:rPr>
              <w:t xml:space="preserve">, Sandro. “Cuerpo”. En </w:t>
            </w:r>
            <w:r w:rsidRPr="00AD7196">
              <w:rPr>
                <w:rFonts w:ascii="Calibri" w:hAnsi="Calibri" w:cs="Calibri"/>
                <w:i/>
                <w:iCs/>
                <w:color w:val="000000"/>
                <w:szCs w:val="18"/>
              </w:rPr>
              <w:t>Nuevo Diccionario de Espiritualidad</w:t>
            </w:r>
            <w:r w:rsidRPr="00AD7196">
              <w:rPr>
                <w:rFonts w:ascii="Calibri" w:hAnsi="Calibri" w:cs="Calibri"/>
                <w:color w:val="000000"/>
                <w:szCs w:val="18"/>
              </w:rPr>
              <w:t xml:space="preserve">, editado por Stefano de </w:t>
            </w:r>
            <w:proofErr w:type="spellStart"/>
            <w:r w:rsidRPr="00AD7196">
              <w:rPr>
                <w:rFonts w:ascii="Calibri" w:hAnsi="Calibri" w:cs="Calibri"/>
                <w:color w:val="000000"/>
                <w:szCs w:val="18"/>
              </w:rPr>
              <w:t>Fiores</w:t>
            </w:r>
            <w:proofErr w:type="spellEnd"/>
            <w:r w:rsidRPr="00AD7196">
              <w:rPr>
                <w:rFonts w:ascii="Calibri" w:hAnsi="Calibri" w:cs="Calibri"/>
                <w:color w:val="000000"/>
                <w:szCs w:val="18"/>
              </w:rPr>
              <w:t xml:space="preserve"> y </w:t>
            </w:r>
            <w:proofErr w:type="spellStart"/>
            <w:r w:rsidRPr="00AD7196">
              <w:rPr>
                <w:rFonts w:ascii="Calibri" w:hAnsi="Calibri" w:cs="Calibri"/>
                <w:color w:val="000000"/>
                <w:szCs w:val="18"/>
              </w:rPr>
              <w:t>Tullo</w:t>
            </w:r>
            <w:proofErr w:type="spellEnd"/>
            <w:r w:rsidRPr="00AD7196">
              <w:rPr>
                <w:rFonts w:ascii="Calibri" w:hAnsi="Calibri" w:cs="Calibri"/>
                <w:color w:val="000000"/>
                <w:szCs w:val="18"/>
              </w:rPr>
              <w:t xml:space="preserve"> </w:t>
            </w:r>
            <w:proofErr w:type="spellStart"/>
            <w:r w:rsidRPr="00AD7196">
              <w:rPr>
                <w:rFonts w:ascii="Calibri" w:hAnsi="Calibri" w:cs="Calibri"/>
                <w:color w:val="000000"/>
                <w:szCs w:val="18"/>
              </w:rPr>
              <w:t>Goffi</w:t>
            </w:r>
            <w:proofErr w:type="spellEnd"/>
            <w:r w:rsidRPr="00AD7196">
              <w:rPr>
                <w:rFonts w:ascii="Calibri" w:hAnsi="Calibri" w:cs="Calibri"/>
                <w:color w:val="000000"/>
                <w:szCs w:val="18"/>
              </w:rPr>
              <w:t>, 318-335. Madrid: Ediciones Paulinas, 1991.</w:t>
            </w:r>
            <w:r w:rsidRPr="00AD7196">
              <w:rPr>
                <w:rFonts w:ascii="Calibri" w:hAnsi="Calibri" w:cs="Calibri"/>
                <w:color w:val="0070C0"/>
                <w:szCs w:val="18"/>
                <w:lang w:val="es-ES"/>
              </w:rPr>
              <w:t xml:space="preserve"> (clásico, última edición)</w:t>
            </w:r>
          </w:p>
          <w:p w14:paraId="7A4C4955"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5BA63A83" w14:textId="77777777" w:rsidR="00AD7196" w:rsidRPr="00AD7196" w:rsidRDefault="00AD7196" w:rsidP="00AD7196">
            <w:pPr>
              <w:spacing w:after="100" w:afterAutospacing="1" w:line="276" w:lineRule="auto"/>
              <w:contextualSpacing/>
              <w:rPr>
                <w:rFonts w:ascii="Calibri" w:hAnsi="Calibri" w:cs="Calibri"/>
                <w:color w:val="000000"/>
                <w:szCs w:val="18"/>
              </w:rPr>
            </w:pPr>
            <w:proofErr w:type="spellStart"/>
            <w:r w:rsidRPr="00AD7196">
              <w:rPr>
                <w:rFonts w:ascii="Calibri" w:hAnsi="Calibri" w:cs="Calibri"/>
                <w:color w:val="000000"/>
                <w:szCs w:val="18"/>
              </w:rPr>
              <w:t>Cavedo</w:t>
            </w:r>
            <w:proofErr w:type="spellEnd"/>
            <w:r w:rsidRPr="00AD7196">
              <w:rPr>
                <w:rFonts w:ascii="Calibri" w:hAnsi="Calibri" w:cs="Calibri"/>
                <w:color w:val="000000"/>
                <w:szCs w:val="18"/>
              </w:rPr>
              <w:t xml:space="preserve">, Romeo. “Corporeidad”. En </w:t>
            </w:r>
            <w:r w:rsidRPr="00AD7196">
              <w:rPr>
                <w:rFonts w:ascii="Calibri" w:hAnsi="Calibri" w:cs="Calibri"/>
                <w:i/>
                <w:iCs/>
                <w:color w:val="000000"/>
                <w:szCs w:val="18"/>
              </w:rPr>
              <w:t xml:space="preserve">Nuevo Diccionario de </w:t>
            </w:r>
            <w:r w:rsidRPr="00AD7196">
              <w:rPr>
                <w:rFonts w:ascii="Calibri" w:hAnsi="Calibri" w:cs="Calibri"/>
                <w:i/>
                <w:iCs/>
                <w:color w:val="000000"/>
                <w:szCs w:val="18"/>
              </w:rPr>
              <w:lastRenderedPageBreak/>
              <w:t>Teología Bíblica</w:t>
            </w:r>
            <w:r w:rsidRPr="00AD7196">
              <w:rPr>
                <w:rFonts w:ascii="Calibri" w:hAnsi="Calibri" w:cs="Calibri"/>
                <w:color w:val="000000"/>
                <w:szCs w:val="18"/>
              </w:rPr>
              <w:t xml:space="preserve">, editado por Pietro Rossano, Gianfranco </w:t>
            </w:r>
            <w:proofErr w:type="spellStart"/>
            <w:r w:rsidRPr="00AD7196">
              <w:rPr>
                <w:rFonts w:ascii="Calibri" w:hAnsi="Calibri" w:cs="Calibri"/>
                <w:color w:val="000000"/>
                <w:szCs w:val="18"/>
              </w:rPr>
              <w:t>Ravasi</w:t>
            </w:r>
            <w:proofErr w:type="spellEnd"/>
            <w:r w:rsidRPr="00AD7196">
              <w:rPr>
                <w:rFonts w:ascii="Calibri" w:hAnsi="Calibri" w:cs="Calibri"/>
                <w:color w:val="000000"/>
                <w:szCs w:val="18"/>
              </w:rPr>
              <w:t xml:space="preserve"> y Antonio </w:t>
            </w:r>
            <w:proofErr w:type="spellStart"/>
            <w:r w:rsidRPr="00AD7196">
              <w:rPr>
                <w:rFonts w:ascii="Calibri" w:hAnsi="Calibri" w:cs="Calibri"/>
                <w:color w:val="000000"/>
                <w:szCs w:val="18"/>
              </w:rPr>
              <w:t>Girlanda</w:t>
            </w:r>
            <w:proofErr w:type="spellEnd"/>
            <w:r w:rsidRPr="00AD7196">
              <w:rPr>
                <w:rFonts w:ascii="Calibri" w:hAnsi="Calibri" w:cs="Calibri"/>
                <w:color w:val="000000"/>
                <w:szCs w:val="18"/>
              </w:rPr>
              <w:t xml:space="preserve">, 335-351. Madrid: Ediciones Paulinas, 1990. </w:t>
            </w:r>
            <w:r w:rsidRPr="00AD7196">
              <w:rPr>
                <w:rFonts w:ascii="Calibri" w:hAnsi="Calibri" w:cs="Calibri"/>
                <w:color w:val="0070C0"/>
                <w:szCs w:val="18"/>
                <w:lang w:val="es-ES"/>
              </w:rPr>
              <w:t>(clásico, última edición)</w:t>
            </w:r>
          </w:p>
          <w:p w14:paraId="131F9E84"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3F10E926"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06CD1D51"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05EA5CFC" w14:textId="77777777" w:rsidR="00AD7196" w:rsidRPr="00AD7196" w:rsidRDefault="00AD7196" w:rsidP="00AD7196">
            <w:pPr>
              <w:spacing w:after="100" w:afterAutospacing="1" w:line="276" w:lineRule="auto"/>
              <w:contextualSpacing/>
              <w:rPr>
                <w:rFonts w:ascii="Calibri" w:hAnsi="Calibri" w:cs="Calibri"/>
                <w:color w:val="000000"/>
                <w:szCs w:val="18"/>
              </w:rPr>
            </w:pPr>
            <w:r w:rsidRPr="00AD7196">
              <w:rPr>
                <w:rFonts w:ascii="Calibri" w:hAnsi="Calibri" w:cs="Calibri"/>
                <w:color w:val="0070C0"/>
                <w:lang w:val="es-ES"/>
              </w:rPr>
              <w:t xml:space="preserve">Guía para la participación mediante la herramienta Big Blue </w:t>
            </w:r>
            <w:proofErr w:type="spellStart"/>
            <w:r w:rsidRPr="00AD7196">
              <w:rPr>
                <w:rFonts w:ascii="Calibri" w:hAnsi="Calibri" w:cs="Calibri"/>
                <w:color w:val="0070C0"/>
                <w:lang w:val="es-ES"/>
              </w:rPr>
              <w:t>Button</w:t>
            </w:r>
            <w:proofErr w:type="spellEnd"/>
            <w:r w:rsidRPr="00AD7196">
              <w:rPr>
                <w:rFonts w:ascii="Calibri" w:hAnsi="Calibri" w:cs="Calibri"/>
                <w:color w:val="0070C0"/>
                <w:lang w:val="es-ES"/>
              </w:rPr>
              <w:t xml:space="preserve"> en la plataforma Moodle</w:t>
            </w:r>
          </w:p>
          <w:p w14:paraId="0AFDD7A3"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47464282" w14:textId="77777777" w:rsidR="00AD7196" w:rsidRPr="00AD7196" w:rsidRDefault="00AD7196" w:rsidP="00AD7196">
            <w:pPr>
              <w:numPr>
                <w:ilvl w:val="0"/>
                <w:numId w:val="338"/>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lastRenderedPageBreak/>
              <w:t>Realizar las lecturas de la sesión.</w:t>
            </w:r>
          </w:p>
          <w:p w14:paraId="6D725B34" w14:textId="77777777" w:rsidR="00AD7196" w:rsidRPr="00AD7196" w:rsidRDefault="00AD7196" w:rsidP="00AD7196">
            <w:pPr>
              <w:numPr>
                <w:ilvl w:val="0"/>
                <w:numId w:val="338"/>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Exposición docente en un encuentro sincrónico virtual.</w:t>
            </w:r>
          </w:p>
          <w:p w14:paraId="5721BBE5" w14:textId="77777777" w:rsidR="00AD7196" w:rsidRPr="00AD7196" w:rsidRDefault="00AD7196" w:rsidP="00AD7196">
            <w:pPr>
              <w:numPr>
                <w:ilvl w:val="0"/>
                <w:numId w:val="338"/>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Realización de un ejercicio de reflexión bíblica desde el eje de la corporeidad.</w:t>
            </w:r>
          </w:p>
          <w:p w14:paraId="44323082" w14:textId="77777777" w:rsidR="00AD7196" w:rsidRPr="00AD7196" w:rsidRDefault="00AD7196" w:rsidP="00AD7196">
            <w:pPr>
              <w:numPr>
                <w:ilvl w:val="0"/>
                <w:numId w:val="338"/>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Continuar con la elaboración del producto pedagógico final.</w:t>
            </w:r>
          </w:p>
        </w:tc>
      </w:tr>
      <w:tr w:rsidR="00AD7196" w:rsidRPr="00AD7196" w14:paraId="0CA0CD98" w14:textId="77777777" w:rsidTr="00104785">
        <w:trPr>
          <w:jc w:val="center"/>
        </w:trPr>
        <w:tc>
          <w:tcPr>
            <w:tcW w:w="1144" w:type="dxa"/>
          </w:tcPr>
          <w:p w14:paraId="2CDEFC5B"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br w:type="page"/>
            </w:r>
          </w:p>
          <w:p w14:paraId="0183FA97"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11</w:t>
            </w:r>
          </w:p>
        </w:tc>
        <w:tc>
          <w:tcPr>
            <w:tcW w:w="2395" w:type="dxa"/>
          </w:tcPr>
          <w:p w14:paraId="3F3129EE" w14:textId="77777777" w:rsidR="00AD7196" w:rsidRPr="00AD7196" w:rsidRDefault="00AD7196" w:rsidP="00AD7196">
            <w:pPr>
              <w:spacing w:after="100" w:afterAutospacing="1" w:line="276" w:lineRule="auto"/>
              <w:contextualSpacing/>
              <w:rPr>
                <w:rFonts w:ascii="Calibri" w:hAnsi="Calibri" w:cs="Arial"/>
                <w:b/>
                <w:bCs/>
                <w:color w:val="000000"/>
              </w:rPr>
            </w:pPr>
            <w:r w:rsidRPr="00AD7196">
              <w:rPr>
                <w:rFonts w:ascii="Calibri" w:hAnsi="Calibri" w:cs="Arial"/>
                <w:b/>
                <w:bCs/>
                <w:color w:val="000000"/>
              </w:rPr>
              <w:t>Unidad 4: Pedagogía bíblica y espiritualidad</w:t>
            </w:r>
          </w:p>
          <w:p w14:paraId="5C225658" w14:textId="77777777" w:rsidR="00AD7196" w:rsidRPr="00AD7196" w:rsidRDefault="00AD7196" w:rsidP="00AD7196">
            <w:pPr>
              <w:spacing w:after="100" w:afterAutospacing="1" w:line="276" w:lineRule="auto"/>
              <w:contextualSpacing/>
              <w:rPr>
                <w:rFonts w:ascii="Calibri" w:hAnsi="Calibri" w:cs="Arial"/>
                <w:color w:val="000000"/>
                <w:lang w:val="es-ES"/>
              </w:rPr>
            </w:pPr>
          </w:p>
          <w:p w14:paraId="2C574CD4" w14:textId="77777777" w:rsidR="00AD7196" w:rsidRPr="00AD7196" w:rsidRDefault="00AD7196" w:rsidP="00AD7196">
            <w:pPr>
              <w:spacing w:after="100" w:afterAutospacing="1"/>
              <w:contextualSpacing/>
              <w:rPr>
                <w:rFonts w:ascii="Calibri" w:hAnsi="Calibri" w:cs="Arial"/>
                <w:color w:val="000000"/>
                <w:lang w:val="es-ES"/>
              </w:rPr>
            </w:pPr>
            <w:r w:rsidRPr="00AD7196">
              <w:rPr>
                <w:rFonts w:ascii="Calibri" w:hAnsi="Calibri" w:cs="Arial"/>
                <w:bCs/>
                <w:color w:val="000000"/>
              </w:rPr>
              <w:t xml:space="preserve">4.3 </w:t>
            </w:r>
            <w:r w:rsidRPr="00AD7196">
              <w:rPr>
                <w:rFonts w:ascii="Calibri" w:hAnsi="Calibri" w:cs="Arial"/>
                <w:color w:val="000000"/>
                <w:lang w:val="es-ES"/>
              </w:rPr>
              <w:t>Lo cósmico como símbolo</w:t>
            </w:r>
          </w:p>
          <w:p w14:paraId="2C2B3935" w14:textId="77777777" w:rsidR="00AD7196" w:rsidRPr="00AD7196" w:rsidRDefault="00AD7196" w:rsidP="00AD7196">
            <w:pPr>
              <w:spacing w:after="100" w:afterAutospacing="1"/>
              <w:contextualSpacing/>
              <w:rPr>
                <w:rFonts w:ascii="Calibri" w:hAnsi="Calibri" w:cs="Arial"/>
                <w:color w:val="000000"/>
                <w:lang w:val="es-ES"/>
              </w:rPr>
            </w:pPr>
          </w:p>
        </w:tc>
        <w:tc>
          <w:tcPr>
            <w:tcW w:w="3119" w:type="dxa"/>
          </w:tcPr>
          <w:p w14:paraId="113E7814"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2491583B"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76F2956A" w14:textId="77777777" w:rsidR="00AD7196" w:rsidRPr="00AD7196" w:rsidRDefault="00AD7196" w:rsidP="00AD7196">
            <w:pPr>
              <w:spacing w:after="100" w:afterAutospacing="1" w:line="276" w:lineRule="auto"/>
              <w:contextualSpacing/>
              <w:rPr>
                <w:rFonts w:ascii="Calibri" w:hAnsi="Calibri" w:cs="Calibri"/>
                <w:color w:val="000000"/>
                <w:szCs w:val="18"/>
              </w:rPr>
            </w:pPr>
            <w:r w:rsidRPr="00AD7196">
              <w:rPr>
                <w:rFonts w:ascii="Calibri" w:hAnsi="Calibri" w:cs="Calibri"/>
                <w:color w:val="000000"/>
                <w:szCs w:val="18"/>
              </w:rPr>
              <w:t xml:space="preserve">Bonora, Antonio. “Cosmos”. En </w:t>
            </w:r>
            <w:r w:rsidRPr="00AD7196">
              <w:rPr>
                <w:rFonts w:ascii="Calibri" w:hAnsi="Calibri" w:cs="Calibri"/>
                <w:i/>
                <w:iCs/>
                <w:color w:val="000000"/>
                <w:szCs w:val="18"/>
              </w:rPr>
              <w:t>Nuevo Diccionario de Teología Bíblica</w:t>
            </w:r>
            <w:r w:rsidRPr="00AD7196">
              <w:rPr>
                <w:rFonts w:ascii="Calibri" w:hAnsi="Calibri" w:cs="Calibri"/>
                <w:color w:val="000000"/>
                <w:szCs w:val="18"/>
              </w:rPr>
              <w:t xml:space="preserve">, editado por Pietro Rossano, Gianfranco </w:t>
            </w:r>
            <w:proofErr w:type="spellStart"/>
            <w:r w:rsidRPr="00AD7196">
              <w:rPr>
                <w:rFonts w:ascii="Calibri" w:hAnsi="Calibri" w:cs="Calibri"/>
                <w:color w:val="000000"/>
                <w:szCs w:val="18"/>
              </w:rPr>
              <w:t>Ravasi</w:t>
            </w:r>
            <w:proofErr w:type="spellEnd"/>
            <w:r w:rsidRPr="00AD7196">
              <w:rPr>
                <w:rFonts w:ascii="Calibri" w:hAnsi="Calibri" w:cs="Calibri"/>
                <w:color w:val="000000"/>
                <w:szCs w:val="18"/>
              </w:rPr>
              <w:t xml:space="preserve"> y Antonio </w:t>
            </w:r>
            <w:proofErr w:type="spellStart"/>
            <w:r w:rsidRPr="00AD7196">
              <w:rPr>
                <w:rFonts w:ascii="Calibri" w:hAnsi="Calibri" w:cs="Calibri"/>
                <w:color w:val="000000"/>
                <w:szCs w:val="18"/>
              </w:rPr>
              <w:t>Girlanda</w:t>
            </w:r>
            <w:proofErr w:type="spellEnd"/>
            <w:r w:rsidRPr="00AD7196">
              <w:rPr>
                <w:rFonts w:ascii="Calibri" w:hAnsi="Calibri" w:cs="Calibri"/>
                <w:color w:val="000000"/>
                <w:szCs w:val="18"/>
              </w:rPr>
              <w:t>, 351-372. Madrid: Ediciones Paulinas 1990.</w:t>
            </w:r>
            <w:r w:rsidRPr="00AD7196">
              <w:rPr>
                <w:rFonts w:ascii="Calibri" w:hAnsi="Calibri" w:cs="Calibri"/>
                <w:color w:val="0070C0"/>
                <w:szCs w:val="18"/>
                <w:lang w:val="es-ES"/>
              </w:rPr>
              <w:t xml:space="preserve"> (clásico, última edición)</w:t>
            </w:r>
          </w:p>
          <w:p w14:paraId="535AF65F"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63AA85E2"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1FDF141B"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4C1323F4" w14:textId="77777777" w:rsidR="00AD7196" w:rsidRPr="00AD7196" w:rsidRDefault="00AD7196" w:rsidP="00AD7196">
            <w:pPr>
              <w:spacing w:after="100" w:afterAutospacing="1" w:line="276" w:lineRule="auto"/>
              <w:contextualSpacing/>
              <w:rPr>
                <w:rFonts w:ascii="Calibri" w:hAnsi="Calibri" w:cs="Calibri"/>
                <w:color w:val="000000"/>
                <w:lang w:val="es-ES"/>
              </w:rPr>
            </w:pPr>
            <w:r w:rsidRPr="00AD7196">
              <w:rPr>
                <w:rFonts w:ascii="Calibri" w:hAnsi="Calibri" w:cs="Calibri"/>
                <w:color w:val="0070C0"/>
                <w:lang w:val="es-ES"/>
              </w:rPr>
              <w:t>Guía para la participación en un foro en la plataforma Moodle</w:t>
            </w:r>
          </w:p>
          <w:p w14:paraId="155720CF"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4A925E85" w14:textId="77777777" w:rsidR="00AD7196" w:rsidRPr="00AD7196" w:rsidRDefault="00AD7196" w:rsidP="00AD7196">
            <w:pPr>
              <w:numPr>
                <w:ilvl w:val="0"/>
                <w:numId w:val="339"/>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Realizar la lectura de la sesión.</w:t>
            </w:r>
          </w:p>
          <w:p w14:paraId="6C40EC6E" w14:textId="77777777" w:rsidR="00AD7196" w:rsidRPr="00AD7196" w:rsidRDefault="00AD7196" w:rsidP="00AD7196">
            <w:pPr>
              <w:numPr>
                <w:ilvl w:val="0"/>
                <w:numId w:val="339"/>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Participación en el foro temático: Lo cósmico como símbolo.</w:t>
            </w:r>
          </w:p>
          <w:p w14:paraId="11BB292E" w14:textId="77777777" w:rsidR="00AD7196" w:rsidRPr="00AD7196" w:rsidRDefault="00AD7196" w:rsidP="00AD7196">
            <w:pPr>
              <w:numPr>
                <w:ilvl w:val="0"/>
                <w:numId w:val="339"/>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Entregar el plan de la sesión del producto pedagógico final.</w:t>
            </w:r>
          </w:p>
          <w:p w14:paraId="54278EDE" w14:textId="77777777" w:rsidR="00AD7196" w:rsidRPr="00AD7196" w:rsidRDefault="00AD7196" w:rsidP="00AD7196">
            <w:pPr>
              <w:spacing w:after="100" w:afterAutospacing="1" w:line="276" w:lineRule="auto"/>
              <w:ind w:left="314"/>
              <w:contextualSpacing/>
              <w:rPr>
                <w:rFonts w:ascii="Calibri" w:hAnsi="Calibri" w:cs="Arial"/>
                <w:color w:val="000000"/>
                <w:lang w:val="es-ES"/>
              </w:rPr>
            </w:pPr>
          </w:p>
        </w:tc>
      </w:tr>
      <w:tr w:rsidR="00AD7196" w:rsidRPr="00AD7196" w14:paraId="6BC2F3DC" w14:textId="77777777" w:rsidTr="00104785">
        <w:trPr>
          <w:jc w:val="center"/>
        </w:trPr>
        <w:tc>
          <w:tcPr>
            <w:tcW w:w="1144" w:type="dxa"/>
          </w:tcPr>
          <w:p w14:paraId="0FFBE5C3"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4DAA1D64"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12</w:t>
            </w:r>
          </w:p>
        </w:tc>
        <w:tc>
          <w:tcPr>
            <w:tcW w:w="2395" w:type="dxa"/>
          </w:tcPr>
          <w:p w14:paraId="12365DF9" w14:textId="77777777" w:rsidR="00AD7196" w:rsidRPr="00AD7196" w:rsidRDefault="00AD7196" w:rsidP="00AD7196">
            <w:pPr>
              <w:spacing w:after="100" w:afterAutospacing="1" w:line="276" w:lineRule="auto"/>
              <w:contextualSpacing/>
              <w:rPr>
                <w:rFonts w:ascii="Calibri" w:hAnsi="Calibri" w:cs="Arial"/>
                <w:b/>
                <w:bCs/>
                <w:color w:val="000000"/>
              </w:rPr>
            </w:pPr>
            <w:r w:rsidRPr="00AD7196">
              <w:rPr>
                <w:rFonts w:ascii="Calibri" w:hAnsi="Calibri" w:cs="Arial"/>
                <w:b/>
                <w:bCs/>
                <w:color w:val="000000"/>
              </w:rPr>
              <w:t>Unidad 4: Pedagogía bíblica y espiritualidad</w:t>
            </w:r>
          </w:p>
          <w:p w14:paraId="4ABFC85D" w14:textId="77777777" w:rsidR="00AD7196" w:rsidRPr="00AD7196" w:rsidRDefault="00AD7196" w:rsidP="00AD7196">
            <w:pPr>
              <w:spacing w:after="100" w:afterAutospacing="1" w:line="276" w:lineRule="auto"/>
              <w:contextualSpacing/>
              <w:rPr>
                <w:rFonts w:ascii="Calibri" w:hAnsi="Calibri" w:cs="Arial"/>
                <w:color w:val="000000"/>
                <w:lang w:val="es-ES"/>
              </w:rPr>
            </w:pPr>
          </w:p>
          <w:p w14:paraId="3A766663" w14:textId="77777777" w:rsidR="00AD7196" w:rsidRPr="00AD7196" w:rsidRDefault="00AD7196" w:rsidP="00AD7196">
            <w:pPr>
              <w:spacing w:after="100" w:afterAutospacing="1"/>
              <w:contextualSpacing/>
              <w:rPr>
                <w:rFonts w:ascii="Calibri" w:hAnsi="Calibri" w:cs="Arial"/>
                <w:color w:val="000000"/>
                <w:lang w:val="es-ES"/>
              </w:rPr>
            </w:pPr>
            <w:r w:rsidRPr="00AD7196">
              <w:rPr>
                <w:rFonts w:ascii="Calibri" w:hAnsi="Calibri" w:cs="Arial"/>
                <w:bCs/>
                <w:color w:val="000000"/>
              </w:rPr>
              <w:t xml:space="preserve">4.4 </w:t>
            </w:r>
            <w:r w:rsidRPr="00AD7196">
              <w:rPr>
                <w:rFonts w:ascii="Calibri" w:hAnsi="Calibri" w:cs="Arial"/>
                <w:color w:val="000000"/>
                <w:lang w:val="es-ES"/>
              </w:rPr>
              <w:t>Pedagogía bíblica y liturgia: gestos y símbolos</w:t>
            </w:r>
          </w:p>
          <w:p w14:paraId="6B42AC32" w14:textId="77777777" w:rsidR="00AD7196" w:rsidRPr="00AD7196" w:rsidRDefault="00AD7196" w:rsidP="00AD7196">
            <w:pPr>
              <w:spacing w:after="100" w:afterAutospacing="1"/>
              <w:contextualSpacing/>
              <w:rPr>
                <w:rFonts w:ascii="Calibri" w:hAnsi="Calibri" w:cs="Arial"/>
                <w:color w:val="000000"/>
                <w:lang w:val="es-ES"/>
              </w:rPr>
            </w:pPr>
          </w:p>
        </w:tc>
        <w:tc>
          <w:tcPr>
            <w:tcW w:w="3119" w:type="dxa"/>
          </w:tcPr>
          <w:p w14:paraId="77D4D7E5"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3B6B7563"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248320EC" w14:textId="77777777" w:rsidR="00AD7196" w:rsidRPr="00AD7196" w:rsidRDefault="00AD7196" w:rsidP="00AD7196">
            <w:pPr>
              <w:spacing w:after="100" w:afterAutospacing="1" w:line="276" w:lineRule="auto"/>
              <w:contextualSpacing/>
              <w:rPr>
                <w:rFonts w:ascii="Calibri" w:hAnsi="Calibri" w:cs="Calibri"/>
                <w:color w:val="000000"/>
                <w:szCs w:val="18"/>
              </w:rPr>
            </w:pPr>
            <w:proofErr w:type="spellStart"/>
            <w:r w:rsidRPr="00AD7196">
              <w:rPr>
                <w:rFonts w:ascii="Calibri" w:hAnsi="Calibri" w:cs="Calibri"/>
                <w:color w:val="000000"/>
                <w:szCs w:val="18"/>
              </w:rPr>
              <w:t>Cibien</w:t>
            </w:r>
            <w:proofErr w:type="spellEnd"/>
            <w:r w:rsidRPr="00AD7196">
              <w:rPr>
                <w:rFonts w:ascii="Calibri" w:hAnsi="Calibri" w:cs="Calibri"/>
                <w:color w:val="000000"/>
                <w:szCs w:val="18"/>
              </w:rPr>
              <w:t xml:space="preserve">, Carlo. “Gestos”. En </w:t>
            </w:r>
            <w:r w:rsidRPr="00AD7196">
              <w:rPr>
                <w:rFonts w:ascii="Calibri" w:hAnsi="Calibri" w:cs="Calibri"/>
                <w:i/>
                <w:iCs/>
                <w:color w:val="000000"/>
                <w:szCs w:val="18"/>
              </w:rPr>
              <w:t>Nuevo Diccionario de Liturgia</w:t>
            </w:r>
            <w:r w:rsidRPr="00AD7196">
              <w:rPr>
                <w:rFonts w:ascii="Calibri" w:hAnsi="Calibri" w:cs="Calibri"/>
                <w:color w:val="000000"/>
                <w:szCs w:val="18"/>
              </w:rPr>
              <w:t xml:space="preserve">, editado por </w:t>
            </w:r>
            <w:proofErr w:type="spellStart"/>
            <w:r w:rsidRPr="00AD7196">
              <w:rPr>
                <w:rFonts w:ascii="Calibri" w:hAnsi="Calibri" w:cs="Calibri"/>
                <w:color w:val="000000"/>
                <w:szCs w:val="18"/>
              </w:rPr>
              <w:t>Domenico</w:t>
            </w:r>
            <w:proofErr w:type="spellEnd"/>
            <w:r w:rsidRPr="00AD7196">
              <w:rPr>
                <w:rFonts w:ascii="Calibri" w:hAnsi="Calibri" w:cs="Calibri"/>
                <w:color w:val="000000"/>
                <w:szCs w:val="18"/>
              </w:rPr>
              <w:t xml:space="preserve"> </w:t>
            </w:r>
            <w:proofErr w:type="spellStart"/>
            <w:r w:rsidRPr="00AD7196">
              <w:rPr>
                <w:rFonts w:ascii="Calibri" w:hAnsi="Calibri" w:cs="Calibri"/>
                <w:color w:val="000000"/>
                <w:szCs w:val="18"/>
              </w:rPr>
              <w:t>Sartore</w:t>
            </w:r>
            <w:proofErr w:type="spellEnd"/>
            <w:r w:rsidRPr="00AD7196">
              <w:rPr>
                <w:rFonts w:ascii="Calibri" w:hAnsi="Calibri" w:cs="Calibri"/>
                <w:color w:val="000000"/>
                <w:szCs w:val="18"/>
              </w:rPr>
              <w:t xml:space="preserve"> y Achille M. </w:t>
            </w:r>
            <w:proofErr w:type="spellStart"/>
            <w:r w:rsidRPr="00AD7196">
              <w:rPr>
                <w:rFonts w:ascii="Calibri" w:hAnsi="Calibri" w:cs="Calibri"/>
                <w:color w:val="000000"/>
                <w:szCs w:val="18"/>
              </w:rPr>
              <w:t>Triacca</w:t>
            </w:r>
            <w:proofErr w:type="spellEnd"/>
            <w:r w:rsidRPr="00AD7196">
              <w:rPr>
                <w:rFonts w:ascii="Calibri" w:hAnsi="Calibri" w:cs="Calibri"/>
                <w:color w:val="000000"/>
                <w:szCs w:val="18"/>
              </w:rPr>
              <w:t>, 913-929</w:t>
            </w:r>
            <w:r w:rsidRPr="00AD7196">
              <w:rPr>
                <w:rFonts w:ascii="Calibri" w:hAnsi="Calibri" w:cs="Calibri"/>
                <w:color w:val="000000"/>
                <w:szCs w:val="18"/>
                <w:lang w:val="fr-FR"/>
              </w:rPr>
              <w:t xml:space="preserve">. </w:t>
            </w:r>
            <w:r w:rsidRPr="00AD7196">
              <w:rPr>
                <w:rFonts w:ascii="Calibri" w:hAnsi="Calibri" w:cs="Calibri"/>
                <w:color w:val="000000"/>
                <w:szCs w:val="18"/>
              </w:rPr>
              <w:t>Madrid:</w:t>
            </w:r>
            <w:r w:rsidRPr="00AD7196">
              <w:rPr>
                <w:rFonts w:ascii="Calibri" w:hAnsi="Calibri" w:cs="Calibri"/>
                <w:color w:val="000000"/>
                <w:szCs w:val="18"/>
                <w:lang w:val="fr-FR"/>
              </w:rPr>
              <w:t xml:space="preserve"> </w:t>
            </w:r>
            <w:proofErr w:type="spellStart"/>
            <w:r w:rsidRPr="00AD7196">
              <w:rPr>
                <w:rFonts w:ascii="Calibri" w:hAnsi="Calibri" w:cs="Calibri"/>
                <w:color w:val="000000"/>
                <w:szCs w:val="18"/>
                <w:lang w:val="fr-FR"/>
              </w:rPr>
              <w:t>Ediciones</w:t>
            </w:r>
            <w:proofErr w:type="spellEnd"/>
            <w:r w:rsidRPr="00AD7196">
              <w:rPr>
                <w:rFonts w:ascii="Calibri" w:hAnsi="Calibri" w:cs="Calibri"/>
                <w:color w:val="000000"/>
                <w:szCs w:val="18"/>
                <w:lang w:val="fr-FR"/>
              </w:rPr>
              <w:t xml:space="preserve"> </w:t>
            </w:r>
            <w:proofErr w:type="spellStart"/>
            <w:r w:rsidRPr="00AD7196">
              <w:rPr>
                <w:rFonts w:ascii="Calibri" w:hAnsi="Calibri" w:cs="Calibri"/>
                <w:color w:val="000000"/>
                <w:szCs w:val="18"/>
                <w:lang w:val="fr-FR"/>
              </w:rPr>
              <w:t>Paulinas</w:t>
            </w:r>
            <w:proofErr w:type="spellEnd"/>
            <w:r w:rsidRPr="00AD7196">
              <w:rPr>
                <w:rFonts w:ascii="Calibri" w:hAnsi="Calibri" w:cs="Calibri"/>
                <w:color w:val="000000"/>
                <w:szCs w:val="18"/>
              </w:rPr>
              <w:t>, 2002.</w:t>
            </w:r>
            <w:r w:rsidRPr="00AD7196">
              <w:rPr>
                <w:rFonts w:ascii="Calibri" w:hAnsi="Calibri" w:cs="Calibri"/>
                <w:color w:val="0070C0"/>
                <w:szCs w:val="18"/>
                <w:lang w:val="es-ES"/>
              </w:rPr>
              <w:t xml:space="preserve"> (clásico, última edición)</w:t>
            </w:r>
          </w:p>
          <w:p w14:paraId="5592BBED" w14:textId="77777777" w:rsidR="00AD7196" w:rsidRPr="00AD7196" w:rsidRDefault="00AD7196" w:rsidP="00AD7196">
            <w:pPr>
              <w:spacing w:after="100" w:afterAutospacing="1" w:line="276" w:lineRule="auto"/>
              <w:contextualSpacing/>
              <w:rPr>
                <w:rFonts w:ascii="Calibri" w:hAnsi="Calibri" w:cs="Calibri"/>
                <w:color w:val="000000"/>
                <w:szCs w:val="18"/>
              </w:rPr>
            </w:pPr>
          </w:p>
          <w:p w14:paraId="794043CB"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3175B4A3"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0B9FAEA7" w14:textId="77777777" w:rsidR="00AD7196" w:rsidRPr="00AD7196" w:rsidRDefault="00AD7196" w:rsidP="00AD7196">
            <w:pPr>
              <w:spacing w:after="100" w:afterAutospacing="1" w:line="276" w:lineRule="auto"/>
              <w:contextualSpacing/>
              <w:rPr>
                <w:rFonts w:ascii="Calibri" w:hAnsi="Calibri" w:cs="Calibri"/>
                <w:color w:val="000000"/>
                <w:szCs w:val="18"/>
              </w:rPr>
            </w:pPr>
            <w:r w:rsidRPr="00AD7196">
              <w:rPr>
                <w:rFonts w:ascii="Calibri" w:hAnsi="Calibri" w:cs="Calibri"/>
                <w:color w:val="0070C0"/>
                <w:lang w:val="es-ES"/>
              </w:rPr>
              <w:t xml:space="preserve">Guía para la participación mediante la herramienta Big </w:t>
            </w:r>
            <w:r w:rsidRPr="00AD7196">
              <w:rPr>
                <w:rFonts w:ascii="Calibri" w:hAnsi="Calibri" w:cs="Calibri"/>
                <w:color w:val="0070C0"/>
                <w:lang w:val="es-ES"/>
              </w:rPr>
              <w:lastRenderedPageBreak/>
              <w:t xml:space="preserve">Blue </w:t>
            </w:r>
            <w:proofErr w:type="spellStart"/>
            <w:r w:rsidRPr="00AD7196">
              <w:rPr>
                <w:rFonts w:ascii="Calibri" w:hAnsi="Calibri" w:cs="Calibri"/>
                <w:color w:val="0070C0"/>
                <w:lang w:val="es-ES"/>
              </w:rPr>
              <w:t>Button</w:t>
            </w:r>
            <w:proofErr w:type="spellEnd"/>
            <w:r w:rsidRPr="00AD7196">
              <w:rPr>
                <w:rFonts w:ascii="Calibri" w:hAnsi="Calibri" w:cs="Calibri"/>
                <w:color w:val="0070C0"/>
                <w:lang w:val="es-ES"/>
              </w:rPr>
              <w:t xml:space="preserve"> en la plataforma Moodle</w:t>
            </w:r>
          </w:p>
          <w:p w14:paraId="07FC038E"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6A210B9E" w14:textId="77777777" w:rsidR="00AD7196" w:rsidRPr="00AD7196" w:rsidRDefault="00AD7196" w:rsidP="00AD7196">
            <w:pPr>
              <w:numPr>
                <w:ilvl w:val="0"/>
                <w:numId w:val="340"/>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lastRenderedPageBreak/>
              <w:t>Realizar las lecturas de la sesión.</w:t>
            </w:r>
          </w:p>
          <w:p w14:paraId="10C78C9C" w14:textId="77777777" w:rsidR="00AD7196" w:rsidRPr="00AD7196" w:rsidRDefault="00AD7196" w:rsidP="00AD7196">
            <w:pPr>
              <w:numPr>
                <w:ilvl w:val="0"/>
                <w:numId w:val="340"/>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Exposición docente en un encuentro sincrónico virtual.</w:t>
            </w:r>
          </w:p>
          <w:p w14:paraId="5269F8D7" w14:textId="77777777" w:rsidR="00AD7196" w:rsidRPr="00AD7196" w:rsidRDefault="00AD7196" w:rsidP="00AD7196">
            <w:pPr>
              <w:numPr>
                <w:ilvl w:val="0"/>
                <w:numId w:val="340"/>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Realización de un ejercicio de reflexión bíblica desde el eje de la espiritualidad.</w:t>
            </w:r>
          </w:p>
          <w:p w14:paraId="467C247A" w14:textId="77777777" w:rsidR="00AD7196" w:rsidRPr="00AD7196" w:rsidRDefault="00AD7196" w:rsidP="00AD7196">
            <w:pPr>
              <w:numPr>
                <w:ilvl w:val="0"/>
                <w:numId w:val="340"/>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Continuar con la elaboración del producto pedagógico final.</w:t>
            </w:r>
          </w:p>
          <w:p w14:paraId="23902407" w14:textId="77777777" w:rsidR="00AD7196" w:rsidRPr="00AD7196" w:rsidRDefault="00AD7196" w:rsidP="00AD7196">
            <w:pPr>
              <w:spacing w:after="100" w:afterAutospacing="1" w:line="276" w:lineRule="auto"/>
              <w:ind w:left="-46"/>
              <w:rPr>
                <w:rFonts w:ascii="Calibri" w:hAnsi="Calibri" w:cs="Arial"/>
                <w:color w:val="000000"/>
                <w:lang w:val="es-ES"/>
              </w:rPr>
            </w:pPr>
          </w:p>
        </w:tc>
      </w:tr>
      <w:tr w:rsidR="00AD7196" w:rsidRPr="00AD7196" w14:paraId="0ED6828C" w14:textId="77777777" w:rsidTr="00104785">
        <w:trPr>
          <w:jc w:val="center"/>
        </w:trPr>
        <w:tc>
          <w:tcPr>
            <w:tcW w:w="1144" w:type="dxa"/>
          </w:tcPr>
          <w:p w14:paraId="31123E87"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23F58169"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13</w:t>
            </w:r>
          </w:p>
        </w:tc>
        <w:tc>
          <w:tcPr>
            <w:tcW w:w="2395" w:type="dxa"/>
          </w:tcPr>
          <w:p w14:paraId="1C724DBF" w14:textId="77777777" w:rsidR="00AD7196" w:rsidRPr="00AD7196" w:rsidRDefault="00AD7196" w:rsidP="00AD7196">
            <w:pPr>
              <w:spacing w:after="100" w:afterAutospacing="1"/>
              <w:contextualSpacing/>
              <w:rPr>
                <w:rFonts w:ascii="Calibri" w:hAnsi="Calibri" w:cs="Arial"/>
                <w:b/>
                <w:bCs/>
                <w:color w:val="000000"/>
              </w:rPr>
            </w:pPr>
            <w:r w:rsidRPr="00AD7196">
              <w:rPr>
                <w:rFonts w:ascii="Calibri" w:hAnsi="Calibri" w:cs="Arial"/>
                <w:b/>
                <w:bCs/>
                <w:color w:val="000000"/>
              </w:rPr>
              <w:t>Unidad 5: Pedagogía bíblica y recursos mediáticos</w:t>
            </w:r>
          </w:p>
          <w:p w14:paraId="681D5F7E" w14:textId="77777777" w:rsidR="00AD7196" w:rsidRPr="00AD7196" w:rsidRDefault="00AD7196" w:rsidP="00AD7196">
            <w:pPr>
              <w:spacing w:after="100" w:afterAutospacing="1"/>
              <w:contextualSpacing/>
              <w:rPr>
                <w:rFonts w:ascii="Calibri" w:hAnsi="Calibri" w:cs="Arial"/>
                <w:color w:val="000000"/>
                <w:lang w:val="es-ES"/>
              </w:rPr>
            </w:pPr>
          </w:p>
          <w:p w14:paraId="49E54D13" w14:textId="77777777" w:rsidR="00AD7196" w:rsidRPr="00AD7196" w:rsidRDefault="00AD7196" w:rsidP="00AD7196">
            <w:pPr>
              <w:spacing w:after="100" w:afterAutospacing="1"/>
              <w:contextualSpacing/>
              <w:rPr>
                <w:rFonts w:ascii="Calibri" w:hAnsi="Calibri" w:cs="Arial"/>
                <w:color w:val="000000"/>
                <w:lang w:val="es-ES"/>
              </w:rPr>
            </w:pPr>
            <w:r w:rsidRPr="00AD7196">
              <w:rPr>
                <w:rFonts w:ascii="Calibri" w:hAnsi="Calibri" w:cs="Arial"/>
                <w:bCs/>
                <w:color w:val="000000"/>
              </w:rPr>
              <w:t xml:space="preserve">5.1 </w:t>
            </w:r>
            <w:r w:rsidRPr="00AD7196">
              <w:rPr>
                <w:rFonts w:ascii="Calibri" w:hAnsi="Calibri" w:cs="Arial"/>
                <w:color w:val="000000"/>
                <w:lang w:val="es-ES"/>
              </w:rPr>
              <w:t>La imagen en la cultura y pedagogía contemporáneas</w:t>
            </w:r>
          </w:p>
          <w:p w14:paraId="7CCAA5BE" w14:textId="77777777" w:rsidR="00AD7196" w:rsidRPr="00AD7196" w:rsidRDefault="00AD7196" w:rsidP="00AD7196">
            <w:pPr>
              <w:spacing w:after="100" w:afterAutospacing="1"/>
              <w:contextualSpacing/>
              <w:rPr>
                <w:rFonts w:ascii="Calibri" w:hAnsi="Calibri" w:cs="Arial"/>
                <w:color w:val="000000"/>
                <w:lang w:val="es-ES"/>
              </w:rPr>
            </w:pPr>
          </w:p>
        </w:tc>
        <w:tc>
          <w:tcPr>
            <w:tcW w:w="3119" w:type="dxa"/>
          </w:tcPr>
          <w:p w14:paraId="0545740C"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548193F3" w14:textId="77777777" w:rsidR="00AD7196" w:rsidRPr="00AD7196" w:rsidRDefault="00AD7196" w:rsidP="00AD7196">
            <w:pPr>
              <w:spacing w:after="100" w:afterAutospacing="1" w:line="276" w:lineRule="auto"/>
              <w:contextualSpacing/>
              <w:rPr>
                <w:rFonts w:ascii="Calibri" w:hAnsi="Calibri" w:cs="Calibri"/>
                <w:szCs w:val="18"/>
                <w:lang w:val="es-ES"/>
              </w:rPr>
            </w:pPr>
          </w:p>
          <w:p w14:paraId="0A15B5D6" w14:textId="77777777" w:rsidR="00AD7196" w:rsidRPr="00AD7196" w:rsidRDefault="00AD7196" w:rsidP="00AD7196">
            <w:pPr>
              <w:spacing w:after="100" w:afterAutospacing="1" w:line="276" w:lineRule="auto"/>
              <w:contextualSpacing/>
              <w:rPr>
                <w:rFonts w:ascii="Calibri" w:hAnsi="Calibri" w:cs="Calibri"/>
                <w:color w:val="0563C1"/>
                <w:szCs w:val="18"/>
                <w:u w:val="single"/>
                <w:lang w:val="es-ES"/>
              </w:rPr>
            </w:pPr>
            <w:r w:rsidRPr="00AD7196">
              <w:rPr>
                <w:rFonts w:ascii="Calibri" w:hAnsi="Calibri" w:cs="Calibri"/>
                <w:szCs w:val="18"/>
                <w:lang w:val="es-ES"/>
              </w:rPr>
              <w:t xml:space="preserve">Arciniega Cáceres, </w:t>
            </w:r>
            <w:proofErr w:type="spellStart"/>
            <w:r w:rsidRPr="00AD7196">
              <w:rPr>
                <w:rFonts w:ascii="Calibri" w:hAnsi="Calibri" w:cs="Calibri"/>
                <w:szCs w:val="18"/>
                <w:lang w:val="es-ES"/>
              </w:rPr>
              <w:t>Mittzy</w:t>
            </w:r>
            <w:proofErr w:type="spellEnd"/>
            <w:r w:rsidRPr="00AD7196">
              <w:rPr>
                <w:rFonts w:ascii="Calibri" w:hAnsi="Calibri" w:cs="Calibri"/>
                <w:szCs w:val="18"/>
                <w:lang w:val="es-ES"/>
              </w:rPr>
              <w:t xml:space="preserve"> y Mónica Figueras-</w:t>
            </w:r>
            <w:proofErr w:type="spellStart"/>
            <w:r w:rsidRPr="00AD7196">
              <w:rPr>
                <w:rFonts w:ascii="Calibri" w:hAnsi="Calibri" w:cs="Calibri"/>
                <w:szCs w:val="18"/>
                <w:lang w:val="es-ES"/>
              </w:rPr>
              <w:t>Maz</w:t>
            </w:r>
            <w:proofErr w:type="spellEnd"/>
            <w:r w:rsidRPr="00AD7196">
              <w:rPr>
                <w:rFonts w:ascii="Calibri" w:hAnsi="Calibri" w:cs="Calibri"/>
                <w:szCs w:val="18"/>
                <w:lang w:val="es-ES"/>
              </w:rPr>
              <w:t xml:space="preserve">. “La educación mediática y el uso de los recursos tecnológicos en el aula en el contexto iberoamericano”. </w:t>
            </w:r>
            <w:proofErr w:type="spellStart"/>
            <w:r w:rsidRPr="00AD7196">
              <w:rPr>
                <w:rFonts w:ascii="Calibri" w:hAnsi="Calibri" w:cs="Calibri"/>
                <w:i/>
                <w:iCs/>
                <w:szCs w:val="18"/>
                <w:lang w:val="es-ES"/>
              </w:rPr>
              <w:t>Contratexto</w:t>
            </w:r>
            <w:proofErr w:type="spellEnd"/>
            <w:r w:rsidRPr="00AD7196">
              <w:rPr>
                <w:rFonts w:ascii="Calibri" w:hAnsi="Calibri" w:cs="Calibri"/>
                <w:i/>
                <w:iCs/>
                <w:szCs w:val="18"/>
                <w:lang w:val="es-ES"/>
              </w:rPr>
              <w:t xml:space="preserve"> </w:t>
            </w:r>
            <w:r w:rsidRPr="00AD7196">
              <w:rPr>
                <w:rFonts w:ascii="Calibri" w:hAnsi="Calibri" w:cs="Calibri"/>
                <w:szCs w:val="18"/>
                <w:lang w:val="es-ES"/>
              </w:rPr>
              <w:t>n.</w:t>
            </w:r>
            <w:r w:rsidRPr="00AD7196">
              <w:rPr>
                <w:rFonts w:ascii="Calibri" w:hAnsi="Calibri" w:cs="Calibri"/>
                <w:i/>
                <w:iCs/>
                <w:szCs w:val="18"/>
                <w:lang w:val="es-ES"/>
              </w:rPr>
              <w:t xml:space="preserve"> </w:t>
            </w:r>
            <w:r w:rsidRPr="00AD7196">
              <w:rPr>
                <w:rFonts w:ascii="Calibri" w:hAnsi="Calibri" w:cs="Calibri"/>
                <w:szCs w:val="18"/>
                <w:lang w:val="es-ES"/>
              </w:rPr>
              <w:t xml:space="preserve">32 (2019): 19-39. </w:t>
            </w:r>
            <w:hyperlink r:id="rId548" w:history="1">
              <w:r w:rsidRPr="00AD7196">
                <w:rPr>
                  <w:rFonts w:ascii="Calibri" w:hAnsi="Calibri" w:cs="Calibri"/>
                  <w:color w:val="0563C1"/>
                  <w:szCs w:val="18"/>
                  <w:u w:val="single"/>
                  <w:lang w:val="es-ES"/>
                </w:rPr>
                <w:t>https://doi.org/10.26439/contratexto2019.n032.4604</w:t>
              </w:r>
            </w:hyperlink>
          </w:p>
          <w:p w14:paraId="7DED7D13" w14:textId="77777777" w:rsidR="00AD7196" w:rsidRPr="00AD7196" w:rsidRDefault="00AD7196" w:rsidP="00AD7196">
            <w:pPr>
              <w:spacing w:after="100" w:afterAutospacing="1" w:line="276" w:lineRule="auto"/>
              <w:contextualSpacing/>
              <w:rPr>
                <w:color w:val="0563C1"/>
                <w:szCs w:val="18"/>
                <w:u w:val="single"/>
              </w:rPr>
            </w:pPr>
          </w:p>
          <w:p w14:paraId="1AE433CC" w14:textId="77777777" w:rsidR="00AD7196" w:rsidRPr="00AD7196" w:rsidRDefault="00AD7196" w:rsidP="00AD7196">
            <w:pPr>
              <w:spacing w:after="100" w:afterAutospacing="1" w:line="276" w:lineRule="auto"/>
              <w:contextualSpacing/>
              <w:rPr>
                <w:rFonts w:ascii="Calibri" w:hAnsi="Calibri" w:cs="Calibri"/>
                <w:color w:val="0563C1"/>
                <w:u w:val="single"/>
              </w:rPr>
            </w:pPr>
            <w:r w:rsidRPr="00AD7196">
              <w:rPr>
                <w:rFonts w:ascii="Calibri" w:hAnsi="Calibri" w:cs="Calibri"/>
                <w:lang w:val="es-ES"/>
              </w:rPr>
              <w:t xml:space="preserve">Guzmán </w:t>
            </w:r>
            <w:proofErr w:type="spellStart"/>
            <w:r w:rsidRPr="00AD7196">
              <w:rPr>
                <w:rFonts w:ascii="Calibri" w:hAnsi="Calibri" w:cs="Calibri"/>
                <w:lang w:val="es-ES"/>
              </w:rPr>
              <w:t>Games</w:t>
            </w:r>
            <w:proofErr w:type="spellEnd"/>
            <w:r w:rsidRPr="00AD7196">
              <w:rPr>
                <w:rFonts w:ascii="Calibri" w:hAnsi="Calibri" w:cs="Calibri"/>
                <w:lang w:val="es-ES"/>
              </w:rPr>
              <w:t>, Francisco Javier. “</w:t>
            </w:r>
            <w:r w:rsidRPr="00AD7196">
              <w:rPr>
                <w:rFonts w:ascii="Calibri" w:hAnsi="Calibri" w:cs="Calibri"/>
              </w:rPr>
              <w:t xml:space="preserve">Freire en la era digital: opresión y liberación de pueblos indígenas mediante las TIC”. </w:t>
            </w:r>
            <w:r w:rsidRPr="00AD7196">
              <w:rPr>
                <w:rFonts w:ascii="Calibri" w:hAnsi="Calibri" w:cs="Calibri"/>
                <w:i/>
                <w:iCs/>
              </w:rPr>
              <w:t>Innovación educativa</w:t>
            </w:r>
            <w:r w:rsidRPr="00AD7196">
              <w:rPr>
                <w:rFonts w:ascii="Calibri" w:hAnsi="Calibri" w:cs="Calibri"/>
              </w:rPr>
              <w:t xml:space="preserve"> n. 75 (2017): 9-27. </w:t>
            </w:r>
            <w:hyperlink r:id="rId549" w:history="1">
              <w:r w:rsidRPr="00AD7196">
                <w:rPr>
                  <w:rFonts w:ascii="Calibri" w:hAnsi="Calibri" w:cs="Calibri"/>
                  <w:color w:val="0563C1"/>
                  <w:u w:val="single"/>
                </w:rPr>
                <w:t>https://www.scielo.org.mx/scielo.php?script=sci_arttext&amp;pid=S1665-26732017000300009</w:t>
              </w:r>
            </w:hyperlink>
          </w:p>
          <w:p w14:paraId="3FA3D02F" w14:textId="77777777" w:rsidR="00AD7196" w:rsidRPr="00AD7196" w:rsidRDefault="00AD7196" w:rsidP="00AD7196">
            <w:pPr>
              <w:spacing w:after="100" w:afterAutospacing="1" w:line="276" w:lineRule="auto"/>
              <w:contextualSpacing/>
              <w:rPr>
                <w:rFonts w:ascii="Calibri" w:hAnsi="Calibri" w:cs="Calibri"/>
                <w:color w:val="000000"/>
                <w:lang w:val="es-ES"/>
              </w:rPr>
            </w:pPr>
          </w:p>
          <w:p w14:paraId="0A7661F6" w14:textId="77777777" w:rsidR="00AD7196" w:rsidRPr="00AD7196" w:rsidRDefault="00AD7196" w:rsidP="00AD7196">
            <w:pPr>
              <w:spacing w:after="100" w:afterAutospacing="1" w:line="276" w:lineRule="auto"/>
              <w:contextualSpacing/>
              <w:rPr>
                <w:rFonts w:ascii="Calibri" w:hAnsi="Calibri" w:cs="Calibri"/>
                <w:b/>
                <w:bCs/>
                <w:color w:val="000000"/>
                <w:lang w:val="es-ES"/>
              </w:rPr>
            </w:pPr>
            <w:r w:rsidRPr="00AD7196">
              <w:rPr>
                <w:rFonts w:ascii="Calibri" w:hAnsi="Calibri" w:cs="Calibri"/>
                <w:b/>
                <w:bCs/>
                <w:color w:val="000000"/>
                <w:lang w:val="es-ES"/>
              </w:rPr>
              <w:t>Material complementario</w:t>
            </w:r>
          </w:p>
          <w:p w14:paraId="7A98C765" w14:textId="77777777" w:rsidR="00AD7196" w:rsidRPr="00AD7196" w:rsidRDefault="00AD7196" w:rsidP="00AD7196">
            <w:pPr>
              <w:spacing w:after="100" w:afterAutospacing="1" w:line="276" w:lineRule="auto"/>
              <w:contextualSpacing/>
              <w:rPr>
                <w:rFonts w:ascii="Calibri" w:hAnsi="Calibri" w:cs="Calibri"/>
                <w:b/>
                <w:bCs/>
                <w:color w:val="000000"/>
                <w:lang w:val="es-ES"/>
              </w:rPr>
            </w:pPr>
          </w:p>
          <w:p w14:paraId="52267443" w14:textId="77777777" w:rsidR="00AD7196" w:rsidRPr="00AD7196" w:rsidRDefault="00AD7196" w:rsidP="00AD7196">
            <w:pPr>
              <w:spacing w:after="100" w:afterAutospacing="1" w:line="276" w:lineRule="auto"/>
              <w:contextualSpacing/>
              <w:rPr>
                <w:rFonts w:ascii="Calibri" w:hAnsi="Calibri" w:cs="Calibri"/>
                <w:szCs w:val="18"/>
              </w:rPr>
            </w:pPr>
            <w:r w:rsidRPr="00AD7196">
              <w:rPr>
                <w:rFonts w:ascii="Calibri" w:hAnsi="Calibri" w:cs="Calibri"/>
                <w:szCs w:val="18"/>
              </w:rPr>
              <w:t xml:space="preserve">Freire, Paulo. “Capítulo III”. En </w:t>
            </w:r>
            <w:r w:rsidRPr="00AD7196">
              <w:rPr>
                <w:rFonts w:ascii="Calibri" w:hAnsi="Calibri" w:cs="Calibri"/>
                <w:i/>
                <w:iCs/>
                <w:szCs w:val="18"/>
              </w:rPr>
              <w:t>Pedagogía del oprimido</w:t>
            </w:r>
            <w:r w:rsidRPr="00AD7196">
              <w:rPr>
                <w:rFonts w:ascii="Calibri" w:hAnsi="Calibri" w:cs="Calibri"/>
                <w:szCs w:val="18"/>
              </w:rPr>
              <w:t xml:space="preserve">, 105-158. México, D.F.: Siglo Veintiuno, 1980. </w:t>
            </w:r>
            <w:r w:rsidRPr="00AD7196">
              <w:rPr>
                <w:rFonts w:ascii="Calibri" w:hAnsi="Calibri" w:cs="Calibri"/>
                <w:color w:val="0070C0"/>
                <w:szCs w:val="18"/>
                <w:lang w:val="es-ES"/>
              </w:rPr>
              <w:t>(clásico, última edición 2022)</w:t>
            </w:r>
          </w:p>
          <w:p w14:paraId="284710DF" w14:textId="77777777" w:rsidR="00AD7196" w:rsidRPr="00AD7196" w:rsidRDefault="00AD7196" w:rsidP="00AD7196">
            <w:pPr>
              <w:spacing w:after="100" w:afterAutospacing="1" w:line="276" w:lineRule="auto"/>
              <w:contextualSpacing/>
              <w:rPr>
                <w:rFonts w:ascii="Calibri" w:hAnsi="Calibri" w:cs="Calibri"/>
                <w:szCs w:val="18"/>
              </w:rPr>
            </w:pPr>
          </w:p>
          <w:p w14:paraId="495F0F61" w14:textId="77777777" w:rsidR="00AD7196" w:rsidRPr="00AD7196" w:rsidRDefault="00AD7196" w:rsidP="00AD7196">
            <w:pPr>
              <w:spacing w:after="100" w:afterAutospacing="1" w:line="276" w:lineRule="auto"/>
              <w:contextualSpacing/>
              <w:rPr>
                <w:rFonts w:ascii="Calibri" w:hAnsi="Calibri" w:cs="Calibri"/>
                <w:szCs w:val="18"/>
              </w:rPr>
            </w:pPr>
            <w:r w:rsidRPr="00AD7196">
              <w:rPr>
                <w:rFonts w:ascii="Calibri" w:hAnsi="Calibri" w:cs="Calibri"/>
                <w:color w:val="0070C0"/>
                <w:lang w:val="es-ES"/>
              </w:rPr>
              <w:t xml:space="preserve">Guía para la participación mediante la herramienta Big Blue </w:t>
            </w:r>
            <w:proofErr w:type="spellStart"/>
            <w:r w:rsidRPr="00AD7196">
              <w:rPr>
                <w:rFonts w:ascii="Calibri" w:hAnsi="Calibri" w:cs="Calibri"/>
                <w:color w:val="0070C0"/>
                <w:lang w:val="es-ES"/>
              </w:rPr>
              <w:t>Button</w:t>
            </w:r>
            <w:proofErr w:type="spellEnd"/>
            <w:r w:rsidRPr="00AD7196">
              <w:rPr>
                <w:rFonts w:ascii="Calibri" w:hAnsi="Calibri" w:cs="Calibri"/>
                <w:color w:val="0070C0"/>
                <w:lang w:val="es-ES"/>
              </w:rPr>
              <w:t xml:space="preserve"> en la plataforma Moodle</w:t>
            </w:r>
          </w:p>
          <w:p w14:paraId="5EDDEA4E" w14:textId="77777777" w:rsidR="00AD7196" w:rsidRPr="00AD7196" w:rsidRDefault="00AD7196" w:rsidP="00AD7196">
            <w:pPr>
              <w:spacing w:after="100" w:afterAutospacing="1" w:line="276" w:lineRule="auto"/>
              <w:contextualSpacing/>
              <w:rPr>
                <w:rFonts w:ascii="Calibri" w:hAnsi="Calibri" w:cs="Calibri"/>
                <w:color w:val="000000"/>
                <w:lang w:val="es-ES"/>
              </w:rPr>
            </w:pPr>
          </w:p>
        </w:tc>
        <w:tc>
          <w:tcPr>
            <w:tcW w:w="3260" w:type="dxa"/>
          </w:tcPr>
          <w:p w14:paraId="0272AC06" w14:textId="77777777" w:rsidR="00AD7196" w:rsidRPr="00AD7196" w:rsidRDefault="00AD7196" w:rsidP="00AD7196">
            <w:pPr>
              <w:numPr>
                <w:ilvl w:val="0"/>
                <w:numId w:val="341"/>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Realizar las lecturas de la sesión.</w:t>
            </w:r>
          </w:p>
          <w:p w14:paraId="043E150F" w14:textId="77777777" w:rsidR="00AD7196" w:rsidRPr="00AD7196" w:rsidRDefault="00AD7196" w:rsidP="00AD7196">
            <w:pPr>
              <w:numPr>
                <w:ilvl w:val="0"/>
                <w:numId w:val="341"/>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Exposición docente y discusión grupal sobre planeamiento didáctico y el uso de recursos mediáticos en la web en un encuentro sincrónico virtual.</w:t>
            </w:r>
          </w:p>
          <w:p w14:paraId="5CBAA0BD" w14:textId="77777777" w:rsidR="00AD7196" w:rsidRPr="00AD7196" w:rsidRDefault="00AD7196" w:rsidP="00AD7196">
            <w:pPr>
              <w:numPr>
                <w:ilvl w:val="0"/>
                <w:numId w:val="341"/>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Entregar el informe de aplicación del producto pedagógico final.</w:t>
            </w:r>
          </w:p>
          <w:p w14:paraId="7EB55DA5" w14:textId="77777777" w:rsidR="00AD7196" w:rsidRPr="00AD7196" w:rsidRDefault="00AD7196" w:rsidP="00AD7196">
            <w:pPr>
              <w:spacing w:after="100" w:afterAutospacing="1" w:line="276" w:lineRule="auto"/>
              <w:rPr>
                <w:rFonts w:ascii="Calibri" w:hAnsi="Calibri" w:cs="Arial"/>
                <w:color w:val="000000"/>
                <w:lang w:val="es-ES"/>
              </w:rPr>
            </w:pPr>
          </w:p>
        </w:tc>
      </w:tr>
      <w:tr w:rsidR="00AD7196" w:rsidRPr="00AD7196" w14:paraId="21D4156D" w14:textId="77777777" w:rsidTr="00104785">
        <w:trPr>
          <w:jc w:val="center"/>
        </w:trPr>
        <w:tc>
          <w:tcPr>
            <w:tcW w:w="1144" w:type="dxa"/>
          </w:tcPr>
          <w:p w14:paraId="565AF539"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7A7E66AB"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14</w:t>
            </w:r>
          </w:p>
        </w:tc>
        <w:tc>
          <w:tcPr>
            <w:tcW w:w="2395" w:type="dxa"/>
          </w:tcPr>
          <w:p w14:paraId="5E359B97" w14:textId="77777777" w:rsidR="00AD7196" w:rsidRPr="00AD7196" w:rsidRDefault="00AD7196" w:rsidP="00AD7196">
            <w:pPr>
              <w:spacing w:after="100" w:afterAutospacing="1" w:line="276" w:lineRule="auto"/>
              <w:contextualSpacing/>
              <w:rPr>
                <w:rFonts w:ascii="Calibri" w:hAnsi="Calibri" w:cs="Arial"/>
                <w:b/>
                <w:bCs/>
                <w:color w:val="000000"/>
              </w:rPr>
            </w:pPr>
            <w:r w:rsidRPr="00AD7196">
              <w:rPr>
                <w:rFonts w:ascii="Calibri" w:hAnsi="Calibri" w:cs="Arial"/>
                <w:b/>
                <w:bCs/>
                <w:color w:val="000000"/>
              </w:rPr>
              <w:t>Unidad 5: Pedagogía bíblica y recursos mediáticos</w:t>
            </w:r>
          </w:p>
          <w:p w14:paraId="499ED83B" w14:textId="77777777" w:rsidR="00AD7196" w:rsidRPr="00AD7196" w:rsidRDefault="00AD7196" w:rsidP="00AD7196">
            <w:pPr>
              <w:spacing w:after="100" w:afterAutospacing="1" w:line="276" w:lineRule="auto"/>
              <w:contextualSpacing/>
              <w:rPr>
                <w:rFonts w:ascii="Calibri" w:hAnsi="Calibri" w:cs="Arial"/>
                <w:color w:val="000000"/>
                <w:lang w:val="es-ES"/>
              </w:rPr>
            </w:pPr>
          </w:p>
          <w:p w14:paraId="6DDA2A3F" w14:textId="77777777" w:rsidR="00AD7196" w:rsidRPr="00AD7196" w:rsidRDefault="00AD7196" w:rsidP="00AD7196">
            <w:pPr>
              <w:spacing w:after="100" w:afterAutospacing="1"/>
              <w:contextualSpacing/>
              <w:rPr>
                <w:rFonts w:ascii="Calibri" w:hAnsi="Calibri" w:cs="Arial"/>
                <w:color w:val="000000"/>
                <w:lang w:val="es-ES"/>
              </w:rPr>
            </w:pPr>
            <w:r w:rsidRPr="00AD7196">
              <w:rPr>
                <w:rFonts w:ascii="Calibri" w:hAnsi="Calibri" w:cs="Arial"/>
                <w:bCs/>
                <w:color w:val="000000"/>
                <w:lang w:val="es-ES"/>
              </w:rPr>
              <w:t>5.2</w:t>
            </w:r>
            <w:r w:rsidRPr="00AD7196">
              <w:rPr>
                <w:rFonts w:ascii="Calibri" w:hAnsi="Calibri" w:cs="Arial"/>
                <w:b/>
                <w:color w:val="000000"/>
                <w:lang w:val="es-ES"/>
              </w:rPr>
              <w:t xml:space="preserve"> </w:t>
            </w:r>
            <w:r w:rsidRPr="00AD7196">
              <w:rPr>
                <w:rFonts w:ascii="Calibri" w:hAnsi="Calibri" w:cs="Arial"/>
                <w:color w:val="000000"/>
                <w:lang w:val="es-ES"/>
              </w:rPr>
              <w:t>Los blogs de pastoralistas y teologías específicas</w:t>
            </w:r>
          </w:p>
          <w:p w14:paraId="6593926B" w14:textId="77777777" w:rsidR="00AD7196" w:rsidRPr="00AD7196" w:rsidRDefault="00AD7196" w:rsidP="00AD7196">
            <w:pPr>
              <w:spacing w:after="100" w:afterAutospacing="1" w:line="276" w:lineRule="auto"/>
              <w:contextualSpacing/>
              <w:rPr>
                <w:rFonts w:ascii="Calibri" w:hAnsi="Calibri" w:cs="Arial"/>
                <w:color w:val="000000"/>
                <w:lang w:val="es-ES"/>
              </w:rPr>
            </w:pPr>
          </w:p>
        </w:tc>
        <w:tc>
          <w:tcPr>
            <w:tcW w:w="3119" w:type="dxa"/>
          </w:tcPr>
          <w:p w14:paraId="6965037C"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lastRenderedPageBreak/>
              <w:t>Ruta de aprendizaje</w:t>
            </w:r>
          </w:p>
          <w:p w14:paraId="6343AC79" w14:textId="77777777" w:rsidR="00AD7196" w:rsidRPr="00AD7196" w:rsidRDefault="00AD7196" w:rsidP="00AD7196">
            <w:pPr>
              <w:spacing w:after="100" w:afterAutospacing="1" w:line="276" w:lineRule="auto"/>
              <w:contextualSpacing/>
              <w:rPr>
                <w:rFonts w:ascii="Calibri" w:hAnsi="Calibri" w:cs="Arial"/>
                <w:color w:val="0070C0"/>
                <w:lang w:val="es-ES"/>
              </w:rPr>
            </w:pPr>
          </w:p>
          <w:p w14:paraId="363C8489"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4AB548CC"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27B68976" w14:textId="77777777" w:rsidR="00AD7196" w:rsidRPr="00AD7196" w:rsidRDefault="00AD7196" w:rsidP="00AD7196">
            <w:pPr>
              <w:spacing w:after="100" w:afterAutospacing="1" w:line="276" w:lineRule="auto"/>
              <w:contextualSpacing/>
              <w:rPr>
                <w:rFonts w:ascii="Calibri" w:hAnsi="Calibri" w:cs="Arial"/>
                <w:color w:val="000000"/>
                <w:lang w:val="es-ES"/>
              </w:rPr>
            </w:pPr>
            <w:r w:rsidRPr="00AD7196">
              <w:rPr>
                <w:rFonts w:ascii="Calibri" w:hAnsi="Calibri" w:cs="Calibri"/>
                <w:color w:val="0070C0"/>
                <w:lang w:val="es-ES"/>
              </w:rPr>
              <w:t>Guía para la participación en un foro en la plataforma Moodle</w:t>
            </w:r>
          </w:p>
        </w:tc>
        <w:tc>
          <w:tcPr>
            <w:tcW w:w="3260" w:type="dxa"/>
          </w:tcPr>
          <w:p w14:paraId="20C4350F" w14:textId="77777777" w:rsidR="00AD7196" w:rsidRPr="00AD7196" w:rsidRDefault="00AD7196" w:rsidP="00AD7196">
            <w:pPr>
              <w:numPr>
                <w:ilvl w:val="0"/>
                <w:numId w:val="342"/>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lastRenderedPageBreak/>
              <w:t>Participación en el foro temático: Blogs bíblico-teológicos y pastorales.</w:t>
            </w:r>
          </w:p>
          <w:p w14:paraId="223434FA" w14:textId="77777777" w:rsidR="00AD7196" w:rsidRPr="00AD7196" w:rsidRDefault="00AD7196" w:rsidP="00AD7196">
            <w:pPr>
              <w:numPr>
                <w:ilvl w:val="0"/>
                <w:numId w:val="342"/>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lastRenderedPageBreak/>
              <w:t>Continuar con la elaboración del producto pedagógico final.</w:t>
            </w:r>
          </w:p>
          <w:p w14:paraId="47E11AF5" w14:textId="77777777" w:rsidR="00AD7196" w:rsidRPr="00AD7196" w:rsidRDefault="00AD7196" w:rsidP="00AD7196">
            <w:pPr>
              <w:spacing w:after="100" w:afterAutospacing="1" w:line="276" w:lineRule="auto"/>
              <w:ind w:left="720"/>
              <w:contextualSpacing/>
              <w:rPr>
                <w:rFonts w:ascii="Calibri" w:hAnsi="Calibri" w:cs="Arial"/>
                <w:color w:val="000000"/>
                <w:lang w:val="es-ES"/>
              </w:rPr>
            </w:pPr>
          </w:p>
        </w:tc>
      </w:tr>
      <w:tr w:rsidR="00AD7196" w:rsidRPr="00AD7196" w14:paraId="6CE1410B" w14:textId="77777777" w:rsidTr="00104785">
        <w:trPr>
          <w:jc w:val="center"/>
        </w:trPr>
        <w:tc>
          <w:tcPr>
            <w:tcW w:w="1144" w:type="dxa"/>
          </w:tcPr>
          <w:p w14:paraId="6046CA11"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p>
          <w:p w14:paraId="16C2D55B" w14:textId="77777777" w:rsidR="00AD7196" w:rsidRPr="00AD7196" w:rsidRDefault="00AD7196" w:rsidP="00AD7196">
            <w:pPr>
              <w:spacing w:after="100" w:afterAutospacing="1" w:line="276" w:lineRule="auto"/>
              <w:contextualSpacing/>
              <w:jc w:val="center"/>
              <w:rPr>
                <w:rFonts w:ascii="Calibri" w:hAnsi="Calibri" w:cs="Arial"/>
                <w:color w:val="000000"/>
                <w:lang w:val="es-ES"/>
              </w:rPr>
            </w:pPr>
            <w:r w:rsidRPr="00AD7196">
              <w:rPr>
                <w:rFonts w:ascii="Calibri" w:hAnsi="Calibri" w:cs="Arial"/>
                <w:color w:val="000000"/>
                <w:lang w:val="es-ES"/>
              </w:rPr>
              <w:t>15</w:t>
            </w:r>
          </w:p>
        </w:tc>
        <w:tc>
          <w:tcPr>
            <w:tcW w:w="2395" w:type="dxa"/>
          </w:tcPr>
          <w:p w14:paraId="4B7FBC1B" w14:textId="77777777" w:rsidR="00AD7196" w:rsidRPr="00AD7196" w:rsidRDefault="00AD7196" w:rsidP="00AD7196">
            <w:pPr>
              <w:spacing w:after="100" w:afterAutospacing="1" w:line="276" w:lineRule="auto"/>
              <w:contextualSpacing/>
              <w:rPr>
                <w:rFonts w:ascii="Calibri" w:hAnsi="Calibri" w:cs="Arial"/>
                <w:b/>
                <w:bCs/>
                <w:color w:val="000000"/>
              </w:rPr>
            </w:pPr>
            <w:r w:rsidRPr="00AD7196">
              <w:rPr>
                <w:rFonts w:ascii="Calibri" w:hAnsi="Calibri" w:cs="Arial"/>
                <w:b/>
                <w:bCs/>
                <w:color w:val="000000"/>
              </w:rPr>
              <w:t>Unidad 5: Pedagogía bíblica y recursos mediáticos</w:t>
            </w:r>
          </w:p>
          <w:p w14:paraId="7E602C8D" w14:textId="77777777" w:rsidR="00AD7196" w:rsidRPr="00AD7196" w:rsidRDefault="00AD7196" w:rsidP="00AD7196">
            <w:pPr>
              <w:spacing w:after="100" w:afterAutospacing="1" w:line="276" w:lineRule="auto"/>
              <w:contextualSpacing/>
              <w:rPr>
                <w:rFonts w:ascii="Calibri" w:hAnsi="Calibri" w:cs="Arial"/>
                <w:color w:val="000000"/>
                <w:lang w:val="es-ES"/>
              </w:rPr>
            </w:pPr>
          </w:p>
          <w:p w14:paraId="4A9A07C5" w14:textId="77777777" w:rsidR="00AD7196" w:rsidRPr="00AD7196" w:rsidRDefault="00AD7196" w:rsidP="00AD7196">
            <w:pPr>
              <w:spacing w:after="100" w:afterAutospacing="1"/>
              <w:contextualSpacing/>
              <w:rPr>
                <w:rFonts w:ascii="Calibri" w:hAnsi="Calibri" w:cs="Arial"/>
                <w:lang w:val="es-ES"/>
              </w:rPr>
            </w:pPr>
            <w:r w:rsidRPr="00AD7196">
              <w:rPr>
                <w:rFonts w:ascii="Calibri" w:hAnsi="Calibri" w:cs="Arial"/>
                <w:bCs/>
                <w:color w:val="000000"/>
                <w:lang w:val="es-ES"/>
              </w:rPr>
              <w:t>5.3</w:t>
            </w:r>
            <w:r w:rsidRPr="00AD7196">
              <w:rPr>
                <w:rFonts w:ascii="Calibri" w:hAnsi="Calibri" w:cs="Arial"/>
                <w:b/>
                <w:color w:val="000000"/>
                <w:lang w:val="es-ES"/>
              </w:rPr>
              <w:t xml:space="preserve"> </w:t>
            </w:r>
            <w:r w:rsidRPr="00AD7196">
              <w:rPr>
                <w:rFonts w:ascii="Calibri" w:hAnsi="Calibri" w:cs="Arial"/>
                <w:lang w:val="es-ES"/>
              </w:rPr>
              <w:t>Productos pedagógicos</w:t>
            </w:r>
          </w:p>
          <w:p w14:paraId="1228F5CC" w14:textId="77777777" w:rsidR="00AD7196" w:rsidRPr="00AD7196" w:rsidRDefault="00AD7196" w:rsidP="00AD7196">
            <w:pPr>
              <w:spacing w:after="100" w:afterAutospacing="1" w:line="276" w:lineRule="auto"/>
              <w:contextualSpacing/>
              <w:rPr>
                <w:rFonts w:ascii="Calibri" w:hAnsi="Calibri" w:cs="Arial"/>
                <w:color w:val="000000"/>
                <w:lang w:val="es-ES"/>
              </w:rPr>
            </w:pPr>
          </w:p>
        </w:tc>
        <w:tc>
          <w:tcPr>
            <w:tcW w:w="3119" w:type="dxa"/>
          </w:tcPr>
          <w:p w14:paraId="486A55CC" w14:textId="77777777" w:rsidR="00AD7196" w:rsidRPr="00AD7196" w:rsidRDefault="00AD7196" w:rsidP="00AD7196">
            <w:pPr>
              <w:spacing w:after="100" w:afterAutospacing="1" w:line="276" w:lineRule="auto"/>
              <w:contextualSpacing/>
              <w:rPr>
                <w:rFonts w:ascii="Calibri" w:hAnsi="Calibri" w:cs="Arial"/>
                <w:color w:val="0070C0"/>
                <w:lang w:val="es-ES"/>
              </w:rPr>
            </w:pPr>
            <w:r w:rsidRPr="00AD7196">
              <w:rPr>
                <w:rFonts w:ascii="Calibri" w:hAnsi="Calibri" w:cs="Arial"/>
                <w:color w:val="0070C0"/>
                <w:lang w:val="es-ES"/>
              </w:rPr>
              <w:t>Ruta de aprendizaje</w:t>
            </w:r>
          </w:p>
          <w:p w14:paraId="326A3FE9" w14:textId="77777777" w:rsidR="00AD7196" w:rsidRPr="00AD7196" w:rsidRDefault="00AD7196" w:rsidP="00AD7196">
            <w:pPr>
              <w:spacing w:after="100" w:afterAutospacing="1" w:line="276" w:lineRule="auto"/>
              <w:contextualSpacing/>
              <w:rPr>
                <w:rFonts w:ascii="Calibri" w:hAnsi="Calibri" w:cs="Arial"/>
                <w:color w:val="0070C0"/>
                <w:lang w:val="es-ES"/>
              </w:rPr>
            </w:pPr>
          </w:p>
          <w:p w14:paraId="3122AE74" w14:textId="77777777" w:rsidR="00AD7196" w:rsidRPr="00AD7196" w:rsidRDefault="00AD7196" w:rsidP="00AD7196">
            <w:pPr>
              <w:spacing w:after="100" w:afterAutospacing="1" w:line="276" w:lineRule="auto"/>
              <w:contextualSpacing/>
              <w:rPr>
                <w:rFonts w:ascii="Calibri" w:hAnsi="Calibri" w:cs="Calibri"/>
                <w:b/>
                <w:bCs/>
                <w:color w:val="0070C0"/>
                <w:lang w:val="es-ES"/>
              </w:rPr>
            </w:pPr>
            <w:r w:rsidRPr="00AD7196">
              <w:rPr>
                <w:rFonts w:ascii="Calibri" w:hAnsi="Calibri" w:cs="Calibri"/>
                <w:b/>
                <w:bCs/>
                <w:color w:val="0070C0"/>
                <w:lang w:val="es-ES"/>
              </w:rPr>
              <w:t>Material complementario</w:t>
            </w:r>
          </w:p>
          <w:p w14:paraId="1A8B65B2" w14:textId="77777777" w:rsidR="00AD7196" w:rsidRPr="00AD7196" w:rsidRDefault="00AD7196" w:rsidP="00AD7196">
            <w:pPr>
              <w:spacing w:after="100" w:afterAutospacing="1" w:line="276" w:lineRule="auto"/>
              <w:contextualSpacing/>
              <w:rPr>
                <w:rFonts w:ascii="Calibri" w:hAnsi="Calibri" w:cs="Calibri"/>
                <w:b/>
                <w:bCs/>
                <w:color w:val="0070C0"/>
                <w:lang w:val="es-ES"/>
              </w:rPr>
            </w:pPr>
          </w:p>
          <w:p w14:paraId="70C91110" w14:textId="77777777" w:rsidR="00AD7196" w:rsidRPr="00AD7196" w:rsidRDefault="00AD7196" w:rsidP="00AD7196">
            <w:pPr>
              <w:spacing w:after="100" w:afterAutospacing="1" w:line="276" w:lineRule="auto"/>
              <w:contextualSpacing/>
              <w:rPr>
                <w:rFonts w:ascii="Calibri" w:hAnsi="Calibri" w:cs="Arial"/>
                <w:color w:val="000000"/>
                <w:lang w:val="es-ES"/>
              </w:rPr>
            </w:pPr>
            <w:r w:rsidRPr="00AD7196">
              <w:rPr>
                <w:rFonts w:ascii="Calibri" w:hAnsi="Calibri" w:cs="Calibri"/>
                <w:color w:val="0070C0"/>
                <w:lang w:val="es-ES"/>
              </w:rPr>
              <w:t xml:space="preserve">Guía para la participación mediante la herramienta Big Blue </w:t>
            </w:r>
            <w:proofErr w:type="spellStart"/>
            <w:r w:rsidRPr="00AD7196">
              <w:rPr>
                <w:rFonts w:ascii="Calibri" w:hAnsi="Calibri" w:cs="Calibri"/>
                <w:color w:val="0070C0"/>
                <w:lang w:val="es-ES"/>
              </w:rPr>
              <w:t>Button</w:t>
            </w:r>
            <w:proofErr w:type="spellEnd"/>
            <w:r w:rsidRPr="00AD7196">
              <w:rPr>
                <w:rFonts w:ascii="Calibri" w:hAnsi="Calibri" w:cs="Calibri"/>
                <w:color w:val="0070C0"/>
                <w:lang w:val="es-ES"/>
              </w:rPr>
              <w:t xml:space="preserve"> en la plataforma Moodle</w:t>
            </w:r>
          </w:p>
        </w:tc>
        <w:tc>
          <w:tcPr>
            <w:tcW w:w="3260" w:type="dxa"/>
          </w:tcPr>
          <w:p w14:paraId="6CA083E0" w14:textId="77777777" w:rsidR="00AD7196" w:rsidRPr="00AD7196" w:rsidRDefault="00AD7196" w:rsidP="00AD7196">
            <w:pPr>
              <w:numPr>
                <w:ilvl w:val="0"/>
                <w:numId w:val="342"/>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 xml:space="preserve">Entregar la versión final del producto pedagógico final. </w:t>
            </w:r>
          </w:p>
          <w:p w14:paraId="64F02C52" w14:textId="77777777" w:rsidR="00AD7196" w:rsidRPr="00AD7196" w:rsidRDefault="00AD7196" w:rsidP="00AD7196">
            <w:pPr>
              <w:numPr>
                <w:ilvl w:val="0"/>
                <w:numId w:val="342"/>
              </w:numPr>
              <w:spacing w:after="100" w:afterAutospacing="1" w:line="276" w:lineRule="auto"/>
              <w:ind w:left="314"/>
              <w:contextualSpacing/>
              <w:rPr>
                <w:rFonts w:ascii="Calibri" w:hAnsi="Calibri" w:cs="Arial"/>
                <w:color w:val="000000"/>
                <w:lang w:val="es-ES"/>
              </w:rPr>
            </w:pPr>
            <w:r w:rsidRPr="00AD7196">
              <w:rPr>
                <w:rFonts w:ascii="Calibri" w:hAnsi="Calibri" w:cs="Arial"/>
                <w:color w:val="000000"/>
                <w:lang w:val="es-ES"/>
              </w:rPr>
              <w:t>Exposición del producto pedagógico final en un encuentro sincrónico virtual.</w:t>
            </w:r>
          </w:p>
        </w:tc>
      </w:tr>
    </w:tbl>
    <w:p w14:paraId="18893B7C"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63BBBA85"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33EF5C2E"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00B01EB7"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7F970953"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604DB3DB"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1FF9C3EF"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4BDE6677"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2E0DB760"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5F40B70A"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50BADA51"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2B562D8B"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241DF85A"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2CCD59C8"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5CFA1343"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00C1E7BB"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29E3A41C"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1D1BA256"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482F8C41"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632474FD"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08A8E821"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52DDE1C6"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252B5414"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0A45535E"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209BF74C"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1A6AD04A"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0EC56AC5"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469DD0C5"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2F5F012A" w14:textId="77777777" w:rsidR="00AD7196" w:rsidRPr="00AD7196" w:rsidRDefault="00AD7196" w:rsidP="00AD7196">
      <w:pPr>
        <w:widowControl w:val="0"/>
        <w:spacing w:before="120" w:after="100" w:afterAutospacing="1" w:line="276" w:lineRule="auto"/>
        <w:contextualSpacing/>
        <w:jc w:val="both"/>
        <w:rPr>
          <w:rFonts w:ascii="Calibri" w:eastAsia="Calibri" w:hAnsi="Calibri" w:cs="Arial"/>
          <w:color w:val="000000"/>
          <w:kern w:val="0"/>
          <w:lang w:val="es-ES"/>
          <w14:ligatures w14:val="none"/>
        </w:rPr>
      </w:pPr>
    </w:p>
    <w:p w14:paraId="176BE91D"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AD7196">
        <w:rPr>
          <w:rFonts w:ascii="Calibri" w:eastAsia="Times New Roman" w:hAnsi="Calibri" w:cs="Calibri"/>
          <w:b/>
          <w:bCs/>
          <w:color w:val="000000"/>
          <w:kern w:val="0"/>
          <w:lang w:val="es-ES_tradnl" w:eastAsia="es-CR"/>
          <w14:ligatures w14:val="none"/>
        </w:rPr>
        <w:lastRenderedPageBreak/>
        <w:t>IX. Distribución de tiempo semanal</w:t>
      </w:r>
    </w:p>
    <w:p w14:paraId="21DACE03"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AD7196">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los estudiantes deben realizar para promover el diálogo con los contenidos y la asimilación de los temas a través de lecturas críticas, análisis, tareas, informes, discusiones en foros o trabajos colaborativos.  Debe considerarse que, al tener este curso asignados 4 créditos, se debe invertir 12 horas de trabajo por semana. La distribución de tiempos es la siguiente:</w:t>
      </w:r>
    </w:p>
    <w:p w14:paraId="621E16B7"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B050"/>
          <w:kern w:val="0"/>
          <w:lang w:val="es-ES_tradnl" w:eastAsia="es-CR"/>
          <w14:ligatures w14:val="none"/>
        </w:rPr>
      </w:pPr>
    </w:p>
    <w:tbl>
      <w:tblPr>
        <w:tblStyle w:val="Tablaconcuadrcula"/>
        <w:tblW w:w="9106" w:type="dxa"/>
        <w:jc w:val="center"/>
        <w:tblLook w:val="04A0" w:firstRow="1" w:lastRow="0" w:firstColumn="1" w:lastColumn="0" w:noHBand="0" w:noVBand="1"/>
      </w:tblPr>
      <w:tblGrid>
        <w:gridCol w:w="2200"/>
        <w:gridCol w:w="1469"/>
        <w:gridCol w:w="5437"/>
      </w:tblGrid>
      <w:tr w:rsidR="00AD7196" w:rsidRPr="00AD7196" w14:paraId="67907997" w14:textId="77777777" w:rsidTr="00104785">
        <w:trPr>
          <w:trHeight w:val="550"/>
          <w:jc w:val="center"/>
        </w:trPr>
        <w:tc>
          <w:tcPr>
            <w:tcW w:w="2200" w:type="dxa"/>
            <w:vAlign w:val="center"/>
          </w:tcPr>
          <w:p w14:paraId="375A4B37" w14:textId="77777777" w:rsidR="00AD7196" w:rsidRPr="00AD7196" w:rsidRDefault="00AD7196" w:rsidP="00AD7196">
            <w:pPr>
              <w:jc w:val="center"/>
              <w:rPr>
                <w:rFonts w:ascii="Calibri" w:hAnsi="Calibri" w:cs="Calibri"/>
                <w:b/>
                <w:bCs/>
                <w:color w:val="000000"/>
              </w:rPr>
            </w:pPr>
            <w:r w:rsidRPr="00AD7196">
              <w:rPr>
                <w:rFonts w:ascii="Calibri" w:hAnsi="Calibri" w:cs="Calibri"/>
                <w:b/>
                <w:bCs/>
                <w:color w:val="000000"/>
              </w:rPr>
              <w:t>Tipo de horas</w:t>
            </w:r>
          </w:p>
          <w:p w14:paraId="1E044391" w14:textId="77777777" w:rsidR="00AD7196" w:rsidRPr="00AD7196" w:rsidRDefault="00AD7196" w:rsidP="00AD7196">
            <w:pPr>
              <w:jc w:val="center"/>
              <w:rPr>
                <w:rFonts w:ascii="Calibri" w:hAnsi="Calibri" w:cs="Calibri"/>
                <w:b/>
                <w:bCs/>
                <w:color w:val="000000"/>
              </w:rPr>
            </w:pPr>
            <w:r w:rsidRPr="00AD7196">
              <w:rPr>
                <w:rFonts w:ascii="Calibri" w:hAnsi="Calibri" w:cs="Calibri"/>
                <w:b/>
                <w:bCs/>
                <w:color w:val="000000"/>
              </w:rPr>
              <w:t>(categoría)</w:t>
            </w:r>
          </w:p>
        </w:tc>
        <w:tc>
          <w:tcPr>
            <w:tcW w:w="1469" w:type="dxa"/>
            <w:vAlign w:val="center"/>
          </w:tcPr>
          <w:p w14:paraId="24A0C933" w14:textId="77777777" w:rsidR="00AD7196" w:rsidRPr="00AD7196" w:rsidRDefault="00AD7196" w:rsidP="00AD7196">
            <w:pPr>
              <w:jc w:val="center"/>
              <w:rPr>
                <w:rFonts w:ascii="Calibri" w:hAnsi="Calibri" w:cs="Calibri"/>
                <w:b/>
                <w:bCs/>
                <w:color w:val="000000"/>
              </w:rPr>
            </w:pPr>
            <w:r w:rsidRPr="00AD7196">
              <w:rPr>
                <w:rFonts w:ascii="Calibri" w:hAnsi="Calibri" w:cs="Calibri"/>
                <w:b/>
                <w:bCs/>
                <w:color w:val="000000"/>
              </w:rPr>
              <w:t>Horas por semana</w:t>
            </w:r>
          </w:p>
        </w:tc>
        <w:tc>
          <w:tcPr>
            <w:tcW w:w="5437" w:type="dxa"/>
            <w:vAlign w:val="center"/>
          </w:tcPr>
          <w:p w14:paraId="475373DB" w14:textId="77777777" w:rsidR="00AD7196" w:rsidRPr="00AD7196" w:rsidRDefault="00AD7196" w:rsidP="00AD7196">
            <w:pPr>
              <w:jc w:val="center"/>
              <w:rPr>
                <w:rFonts w:ascii="Calibri" w:hAnsi="Calibri" w:cs="Calibri"/>
                <w:b/>
                <w:bCs/>
                <w:color w:val="000000"/>
              </w:rPr>
            </w:pPr>
            <w:r w:rsidRPr="00AD7196">
              <w:rPr>
                <w:rFonts w:ascii="Calibri" w:hAnsi="Calibri" w:cs="Calibri"/>
                <w:b/>
                <w:bCs/>
                <w:color w:val="000000"/>
              </w:rPr>
              <w:t>Actividades relacionadas</w:t>
            </w:r>
          </w:p>
        </w:tc>
      </w:tr>
      <w:tr w:rsidR="00AD7196" w:rsidRPr="00AD7196" w14:paraId="1FC5DC74" w14:textId="77777777" w:rsidTr="00104785">
        <w:trPr>
          <w:trHeight w:val="721"/>
          <w:jc w:val="center"/>
        </w:trPr>
        <w:tc>
          <w:tcPr>
            <w:tcW w:w="2200" w:type="dxa"/>
            <w:vAlign w:val="center"/>
          </w:tcPr>
          <w:p w14:paraId="2C957850" w14:textId="77777777" w:rsidR="00AD7196" w:rsidRPr="00AD7196" w:rsidRDefault="00AD7196" w:rsidP="00AD7196">
            <w:pPr>
              <w:jc w:val="center"/>
              <w:rPr>
                <w:rFonts w:ascii="Calibri" w:hAnsi="Calibri" w:cs="Calibri"/>
                <w:bCs/>
                <w:color w:val="000000"/>
              </w:rPr>
            </w:pPr>
            <w:r w:rsidRPr="00AD7196">
              <w:rPr>
                <w:rFonts w:ascii="Calibri" w:hAnsi="Calibri" w:cs="Calibri"/>
                <w:bCs/>
                <w:color w:val="000000"/>
              </w:rPr>
              <w:t>Horas de Estudio Individual (HEI)</w:t>
            </w:r>
          </w:p>
        </w:tc>
        <w:tc>
          <w:tcPr>
            <w:tcW w:w="1469" w:type="dxa"/>
            <w:vAlign w:val="center"/>
          </w:tcPr>
          <w:p w14:paraId="7D356276" w14:textId="77777777" w:rsidR="00AD7196" w:rsidRPr="00AD7196" w:rsidRDefault="00AD7196" w:rsidP="00AD7196">
            <w:pPr>
              <w:jc w:val="center"/>
              <w:rPr>
                <w:rFonts w:ascii="Calibri" w:hAnsi="Calibri" w:cs="Calibri"/>
                <w:bCs/>
                <w:color w:val="000000"/>
              </w:rPr>
            </w:pPr>
            <w:r w:rsidRPr="00AD7196">
              <w:rPr>
                <w:rFonts w:ascii="Calibri" w:hAnsi="Calibri" w:cs="Calibri"/>
                <w:bCs/>
                <w:color w:val="000000"/>
              </w:rPr>
              <w:t>4</w:t>
            </w:r>
          </w:p>
        </w:tc>
        <w:tc>
          <w:tcPr>
            <w:tcW w:w="5437" w:type="dxa"/>
          </w:tcPr>
          <w:p w14:paraId="040F3B10" w14:textId="77777777" w:rsidR="00AD7196" w:rsidRPr="00AD7196" w:rsidRDefault="00AD7196" w:rsidP="00AD7196">
            <w:pPr>
              <w:numPr>
                <w:ilvl w:val="0"/>
                <w:numId w:val="34"/>
              </w:numPr>
              <w:contextualSpacing/>
              <w:rPr>
                <w:rFonts w:ascii="Calibri" w:hAnsi="Calibri" w:cs="Calibri"/>
                <w:bCs/>
                <w:color w:val="000000"/>
              </w:rPr>
            </w:pPr>
            <w:r w:rsidRPr="00AD7196">
              <w:rPr>
                <w:rFonts w:ascii="Calibri" w:hAnsi="Calibri" w:cs="Calibri"/>
                <w:bCs/>
                <w:color w:val="000000"/>
              </w:rPr>
              <w:t>Lectura de los textos (materiales en formato digital).</w:t>
            </w:r>
          </w:p>
          <w:p w14:paraId="57598165" w14:textId="77777777" w:rsidR="00AD7196" w:rsidRPr="00AD7196" w:rsidRDefault="00AD7196" w:rsidP="00AD7196">
            <w:pPr>
              <w:numPr>
                <w:ilvl w:val="0"/>
                <w:numId w:val="34"/>
              </w:numPr>
              <w:contextualSpacing/>
              <w:rPr>
                <w:rFonts w:ascii="Calibri" w:hAnsi="Calibri" w:cs="Calibri"/>
                <w:bCs/>
                <w:color w:val="000000"/>
              </w:rPr>
            </w:pPr>
            <w:r w:rsidRPr="00AD7196">
              <w:rPr>
                <w:rFonts w:ascii="Calibri" w:hAnsi="Calibri" w:cs="Calibri"/>
                <w:bCs/>
                <w:color w:val="000000"/>
              </w:rPr>
              <w:t>Análisis de lecturas e investigación por cuenta propia.</w:t>
            </w:r>
          </w:p>
        </w:tc>
      </w:tr>
      <w:tr w:rsidR="00AD7196" w:rsidRPr="00AD7196" w14:paraId="2AB50C8D" w14:textId="77777777" w:rsidTr="00104785">
        <w:trPr>
          <w:trHeight w:val="1132"/>
          <w:jc w:val="center"/>
        </w:trPr>
        <w:tc>
          <w:tcPr>
            <w:tcW w:w="2200" w:type="dxa"/>
            <w:vAlign w:val="center"/>
          </w:tcPr>
          <w:p w14:paraId="04A7230A" w14:textId="77777777" w:rsidR="00AD7196" w:rsidRPr="00AD7196" w:rsidRDefault="00AD7196" w:rsidP="00AD7196">
            <w:pPr>
              <w:jc w:val="center"/>
              <w:rPr>
                <w:rFonts w:ascii="Calibri" w:hAnsi="Calibri" w:cs="Calibri"/>
                <w:bCs/>
                <w:color w:val="000000"/>
              </w:rPr>
            </w:pPr>
            <w:r w:rsidRPr="00AD7196">
              <w:rPr>
                <w:rFonts w:ascii="Calibri" w:hAnsi="Calibri" w:cs="Calibri"/>
                <w:bCs/>
                <w:color w:val="000000"/>
              </w:rPr>
              <w:t>Horas de Trabajo Colaborativo (HTC)</w:t>
            </w:r>
          </w:p>
        </w:tc>
        <w:tc>
          <w:tcPr>
            <w:tcW w:w="1469" w:type="dxa"/>
            <w:vAlign w:val="center"/>
          </w:tcPr>
          <w:p w14:paraId="1AF7E265" w14:textId="77777777" w:rsidR="00AD7196" w:rsidRPr="00AD7196" w:rsidRDefault="00AD7196" w:rsidP="00AD7196">
            <w:pPr>
              <w:jc w:val="center"/>
              <w:rPr>
                <w:rFonts w:ascii="Calibri" w:hAnsi="Calibri" w:cs="Calibri"/>
                <w:bCs/>
                <w:color w:val="000000"/>
              </w:rPr>
            </w:pPr>
            <w:r w:rsidRPr="00AD7196">
              <w:rPr>
                <w:rFonts w:ascii="Calibri" w:hAnsi="Calibri" w:cs="Calibri"/>
                <w:bCs/>
                <w:color w:val="000000"/>
              </w:rPr>
              <w:t>3</w:t>
            </w:r>
          </w:p>
        </w:tc>
        <w:tc>
          <w:tcPr>
            <w:tcW w:w="5437" w:type="dxa"/>
          </w:tcPr>
          <w:p w14:paraId="32B4F32A" w14:textId="77777777" w:rsidR="00AD7196" w:rsidRPr="00AD7196" w:rsidRDefault="00AD7196" w:rsidP="00AD7196">
            <w:pPr>
              <w:numPr>
                <w:ilvl w:val="0"/>
                <w:numId w:val="35"/>
              </w:numPr>
              <w:contextualSpacing/>
              <w:rPr>
                <w:rFonts w:ascii="Calibri" w:hAnsi="Calibri" w:cs="Calibri"/>
                <w:bCs/>
                <w:color w:val="000000"/>
              </w:rPr>
            </w:pPr>
            <w:r w:rsidRPr="00AD7196">
              <w:rPr>
                <w:rFonts w:ascii="Calibri" w:hAnsi="Calibri" w:cs="Calibri"/>
                <w:bCs/>
                <w:color w:val="000000"/>
              </w:rPr>
              <w:t>Participación en los foros temáticos (incluye aportes personales y réplicas a los y las demás estudiantes).</w:t>
            </w:r>
          </w:p>
          <w:p w14:paraId="62E16E1E" w14:textId="77777777" w:rsidR="00AD7196" w:rsidRPr="00AD7196" w:rsidRDefault="00AD7196" w:rsidP="00AD7196">
            <w:pPr>
              <w:numPr>
                <w:ilvl w:val="0"/>
                <w:numId w:val="35"/>
              </w:numPr>
              <w:contextualSpacing/>
              <w:rPr>
                <w:rFonts w:ascii="Calibri" w:hAnsi="Calibri" w:cs="Calibri"/>
                <w:bCs/>
                <w:color w:val="000000"/>
              </w:rPr>
            </w:pPr>
            <w:r w:rsidRPr="00AD7196">
              <w:rPr>
                <w:rFonts w:ascii="Calibri" w:hAnsi="Calibri" w:cs="Calibri"/>
                <w:bCs/>
                <w:color w:val="000000"/>
              </w:rPr>
              <w:t>Participación en los encuentros sincrónicos virtuales.</w:t>
            </w:r>
          </w:p>
          <w:p w14:paraId="7D4A6942" w14:textId="77777777" w:rsidR="00AD7196" w:rsidRPr="00AD7196" w:rsidRDefault="00AD7196" w:rsidP="00AD7196">
            <w:pPr>
              <w:numPr>
                <w:ilvl w:val="0"/>
                <w:numId w:val="35"/>
              </w:numPr>
              <w:contextualSpacing/>
              <w:rPr>
                <w:rFonts w:ascii="Calibri" w:hAnsi="Calibri" w:cs="Calibri"/>
                <w:bCs/>
                <w:color w:val="000000"/>
              </w:rPr>
            </w:pPr>
            <w:r w:rsidRPr="00AD7196">
              <w:rPr>
                <w:rFonts w:ascii="Calibri" w:hAnsi="Calibri" w:cs="Calibri"/>
                <w:bCs/>
                <w:color w:val="000000"/>
              </w:rPr>
              <w:t>Participación en la elaboración de un mural (wiki).</w:t>
            </w:r>
          </w:p>
        </w:tc>
      </w:tr>
      <w:tr w:rsidR="00AD7196" w:rsidRPr="00AD7196" w14:paraId="051AB519" w14:textId="77777777" w:rsidTr="00104785">
        <w:trPr>
          <w:trHeight w:val="849"/>
          <w:jc w:val="center"/>
        </w:trPr>
        <w:tc>
          <w:tcPr>
            <w:tcW w:w="2200" w:type="dxa"/>
            <w:vAlign w:val="center"/>
          </w:tcPr>
          <w:p w14:paraId="7EAF558F" w14:textId="77777777" w:rsidR="00AD7196" w:rsidRPr="00AD7196" w:rsidRDefault="00AD7196" w:rsidP="00AD7196">
            <w:pPr>
              <w:jc w:val="center"/>
              <w:rPr>
                <w:rFonts w:ascii="Calibri" w:hAnsi="Calibri" w:cs="Calibri"/>
                <w:bCs/>
                <w:color w:val="000000"/>
              </w:rPr>
            </w:pPr>
            <w:r w:rsidRPr="00AD7196">
              <w:rPr>
                <w:rFonts w:ascii="Calibri" w:hAnsi="Calibri" w:cs="Calibri"/>
                <w:bCs/>
                <w:color w:val="000000"/>
              </w:rPr>
              <w:t>Horas de Producción Individual (HPI)</w:t>
            </w:r>
          </w:p>
        </w:tc>
        <w:tc>
          <w:tcPr>
            <w:tcW w:w="1469" w:type="dxa"/>
            <w:vAlign w:val="center"/>
          </w:tcPr>
          <w:p w14:paraId="27725513" w14:textId="77777777" w:rsidR="00AD7196" w:rsidRPr="00AD7196" w:rsidRDefault="00AD7196" w:rsidP="00AD7196">
            <w:pPr>
              <w:jc w:val="center"/>
              <w:rPr>
                <w:rFonts w:ascii="Calibri" w:hAnsi="Calibri" w:cs="Calibri"/>
                <w:bCs/>
                <w:color w:val="000000"/>
              </w:rPr>
            </w:pPr>
            <w:r w:rsidRPr="00AD7196">
              <w:rPr>
                <w:rFonts w:ascii="Calibri" w:hAnsi="Calibri" w:cs="Calibri"/>
                <w:bCs/>
                <w:color w:val="000000"/>
              </w:rPr>
              <w:t>3</w:t>
            </w:r>
          </w:p>
        </w:tc>
        <w:tc>
          <w:tcPr>
            <w:tcW w:w="5437" w:type="dxa"/>
          </w:tcPr>
          <w:p w14:paraId="683672C5" w14:textId="77777777" w:rsidR="00AD7196" w:rsidRPr="00AD7196" w:rsidRDefault="00AD7196" w:rsidP="00AD7196">
            <w:pPr>
              <w:numPr>
                <w:ilvl w:val="0"/>
                <w:numId w:val="36"/>
              </w:numPr>
              <w:contextualSpacing/>
              <w:rPr>
                <w:rFonts w:ascii="Calibri" w:hAnsi="Calibri" w:cs="Calibri"/>
                <w:bCs/>
                <w:color w:val="000000"/>
              </w:rPr>
            </w:pPr>
            <w:r w:rsidRPr="00AD7196">
              <w:rPr>
                <w:rFonts w:ascii="Calibri" w:hAnsi="Calibri" w:cs="Calibri"/>
                <w:bCs/>
                <w:color w:val="000000"/>
              </w:rPr>
              <w:t>Elaboración de una reseña crítica de lectura.</w:t>
            </w:r>
          </w:p>
          <w:p w14:paraId="0BDDEA9A" w14:textId="77777777" w:rsidR="00AD7196" w:rsidRPr="00AD7196" w:rsidRDefault="00AD7196" w:rsidP="00AD7196">
            <w:pPr>
              <w:numPr>
                <w:ilvl w:val="0"/>
                <w:numId w:val="36"/>
              </w:numPr>
              <w:contextualSpacing/>
              <w:rPr>
                <w:rFonts w:ascii="Calibri" w:hAnsi="Calibri" w:cs="Calibri"/>
                <w:bCs/>
                <w:color w:val="000000"/>
              </w:rPr>
            </w:pPr>
            <w:r w:rsidRPr="00AD7196">
              <w:rPr>
                <w:rFonts w:ascii="Calibri" w:hAnsi="Calibri" w:cs="Calibri"/>
                <w:bCs/>
                <w:color w:val="000000"/>
              </w:rPr>
              <w:t>Realización de ejercicios de reflexión bíblica.</w:t>
            </w:r>
          </w:p>
          <w:p w14:paraId="5B7DD329" w14:textId="77777777" w:rsidR="00AD7196" w:rsidRPr="00AD7196" w:rsidRDefault="00AD7196" w:rsidP="00AD7196">
            <w:pPr>
              <w:numPr>
                <w:ilvl w:val="0"/>
                <w:numId w:val="36"/>
              </w:numPr>
              <w:contextualSpacing/>
              <w:rPr>
                <w:rFonts w:ascii="Calibri" w:hAnsi="Calibri" w:cs="Calibri"/>
                <w:bCs/>
                <w:color w:val="000000"/>
              </w:rPr>
            </w:pPr>
            <w:r w:rsidRPr="00AD7196">
              <w:rPr>
                <w:rFonts w:ascii="Calibri" w:hAnsi="Calibri" w:cs="Calibri"/>
                <w:bCs/>
                <w:color w:val="000000"/>
              </w:rPr>
              <w:t>Elaboración de un producto pedagógico final.</w:t>
            </w:r>
          </w:p>
        </w:tc>
      </w:tr>
      <w:tr w:rsidR="00AD7196" w:rsidRPr="00AD7196" w14:paraId="08167792" w14:textId="77777777" w:rsidTr="00104785">
        <w:trPr>
          <w:trHeight w:val="559"/>
          <w:jc w:val="center"/>
        </w:trPr>
        <w:tc>
          <w:tcPr>
            <w:tcW w:w="2200" w:type="dxa"/>
            <w:vAlign w:val="center"/>
          </w:tcPr>
          <w:p w14:paraId="6CA23474" w14:textId="77777777" w:rsidR="00AD7196" w:rsidRPr="00AD7196" w:rsidRDefault="00AD7196" w:rsidP="00AD7196">
            <w:pPr>
              <w:jc w:val="center"/>
              <w:rPr>
                <w:rFonts w:ascii="Calibri" w:hAnsi="Calibri" w:cs="Calibri"/>
                <w:bCs/>
                <w:color w:val="000000"/>
              </w:rPr>
            </w:pPr>
            <w:r w:rsidRPr="00AD7196">
              <w:rPr>
                <w:rFonts w:ascii="Calibri" w:hAnsi="Calibri" w:cs="Calibri"/>
                <w:bCs/>
                <w:color w:val="000000"/>
              </w:rPr>
              <w:t>Horas de Práctica (HP)</w:t>
            </w:r>
          </w:p>
        </w:tc>
        <w:tc>
          <w:tcPr>
            <w:tcW w:w="1469" w:type="dxa"/>
            <w:vAlign w:val="center"/>
          </w:tcPr>
          <w:p w14:paraId="25C34512" w14:textId="77777777" w:rsidR="00AD7196" w:rsidRPr="00AD7196" w:rsidRDefault="00AD7196" w:rsidP="00AD7196">
            <w:pPr>
              <w:jc w:val="center"/>
              <w:rPr>
                <w:rFonts w:ascii="Calibri" w:hAnsi="Calibri" w:cs="Calibri"/>
                <w:bCs/>
                <w:color w:val="000000"/>
              </w:rPr>
            </w:pPr>
            <w:r w:rsidRPr="00AD7196">
              <w:rPr>
                <w:rFonts w:ascii="Calibri" w:hAnsi="Calibri" w:cs="Calibri"/>
                <w:bCs/>
                <w:color w:val="000000"/>
              </w:rPr>
              <w:t>2</w:t>
            </w:r>
          </w:p>
        </w:tc>
        <w:tc>
          <w:tcPr>
            <w:tcW w:w="5437" w:type="dxa"/>
          </w:tcPr>
          <w:p w14:paraId="4F3D91FD" w14:textId="77777777" w:rsidR="00AD7196" w:rsidRPr="00AD7196" w:rsidRDefault="00AD7196" w:rsidP="00AD7196">
            <w:pPr>
              <w:numPr>
                <w:ilvl w:val="0"/>
                <w:numId w:val="36"/>
              </w:numPr>
              <w:contextualSpacing/>
              <w:rPr>
                <w:rFonts w:ascii="Calibri" w:hAnsi="Calibri" w:cs="Calibri"/>
                <w:bCs/>
                <w:color w:val="000000"/>
              </w:rPr>
            </w:pPr>
            <w:r w:rsidRPr="00AD7196">
              <w:rPr>
                <w:rFonts w:ascii="Calibri" w:hAnsi="Calibri" w:cs="Calibri"/>
                <w:bCs/>
                <w:color w:val="000000"/>
              </w:rPr>
              <w:t>Por su naturaleza, en este curso la práctica consiste en ejercicios de reflexión bíblica y pedagógicos.</w:t>
            </w:r>
          </w:p>
        </w:tc>
      </w:tr>
      <w:tr w:rsidR="00AD7196" w:rsidRPr="00AD7196" w14:paraId="15302A08" w14:textId="77777777" w:rsidTr="00104785">
        <w:trPr>
          <w:trHeight w:val="283"/>
          <w:jc w:val="center"/>
        </w:trPr>
        <w:tc>
          <w:tcPr>
            <w:tcW w:w="2200" w:type="dxa"/>
            <w:vAlign w:val="center"/>
          </w:tcPr>
          <w:p w14:paraId="60F5DBA7" w14:textId="77777777" w:rsidR="00AD7196" w:rsidRPr="00AD7196" w:rsidRDefault="00AD7196" w:rsidP="00AD7196">
            <w:pPr>
              <w:jc w:val="center"/>
              <w:rPr>
                <w:rFonts w:ascii="Calibri" w:hAnsi="Calibri" w:cs="Calibri"/>
                <w:b/>
                <w:bCs/>
                <w:color w:val="000000"/>
              </w:rPr>
            </w:pPr>
            <w:r w:rsidRPr="00AD7196">
              <w:rPr>
                <w:rFonts w:ascii="Calibri" w:hAnsi="Calibri" w:cs="Calibri"/>
                <w:b/>
                <w:bCs/>
                <w:color w:val="000000"/>
              </w:rPr>
              <w:t>Total de horas (TH)</w:t>
            </w:r>
          </w:p>
        </w:tc>
        <w:tc>
          <w:tcPr>
            <w:tcW w:w="1469" w:type="dxa"/>
            <w:vAlign w:val="center"/>
          </w:tcPr>
          <w:p w14:paraId="52F877AC" w14:textId="77777777" w:rsidR="00AD7196" w:rsidRPr="00AD7196" w:rsidRDefault="00AD7196" w:rsidP="00AD7196">
            <w:pPr>
              <w:jc w:val="center"/>
              <w:rPr>
                <w:rFonts w:ascii="Calibri" w:hAnsi="Calibri" w:cs="Calibri"/>
                <w:b/>
                <w:bCs/>
                <w:color w:val="000000"/>
              </w:rPr>
            </w:pPr>
            <w:r w:rsidRPr="00AD7196">
              <w:rPr>
                <w:rFonts w:ascii="Calibri" w:hAnsi="Calibri" w:cs="Calibri"/>
                <w:b/>
                <w:bCs/>
                <w:color w:val="000000"/>
              </w:rPr>
              <w:t>12</w:t>
            </w:r>
          </w:p>
        </w:tc>
        <w:tc>
          <w:tcPr>
            <w:tcW w:w="5437" w:type="dxa"/>
            <w:vAlign w:val="center"/>
          </w:tcPr>
          <w:p w14:paraId="2113F1CE" w14:textId="77777777" w:rsidR="00AD7196" w:rsidRPr="00AD7196" w:rsidRDefault="00AD7196" w:rsidP="00AD7196">
            <w:pPr>
              <w:jc w:val="center"/>
              <w:rPr>
                <w:rFonts w:ascii="Calibri" w:hAnsi="Calibri" w:cs="Calibri"/>
                <w:b/>
                <w:bCs/>
                <w:color w:val="000000"/>
              </w:rPr>
            </w:pPr>
          </w:p>
        </w:tc>
      </w:tr>
    </w:tbl>
    <w:p w14:paraId="73C91F3D"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5C0590E"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AD7196">
        <w:rPr>
          <w:rFonts w:ascii="Calibri" w:eastAsia="Times New Roman" w:hAnsi="Calibri" w:cs="Calibri"/>
          <w:bCs/>
          <w:color w:val="000000"/>
          <w:kern w:val="0"/>
          <w:lang w:val="es-ES_tradnl"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3F252529"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F0F5CC8"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B6711B0"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1C1E6D26"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564E06F9"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A6E52D4"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456C56B9"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6847CA86"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5317649"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75938ECE"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38DA6F32"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2EE89C78" w14:textId="77777777" w:rsidR="00AD7196" w:rsidRPr="00AD7196" w:rsidRDefault="00AD7196" w:rsidP="00AD7196">
      <w:pPr>
        <w:spacing w:after="100" w:afterAutospacing="1" w:line="240" w:lineRule="auto"/>
        <w:rPr>
          <w:rFonts w:ascii="Calibri" w:eastAsia="Arial Unicode MS" w:hAnsi="Calibri" w:cs="Arial"/>
          <w:b/>
          <w:bCs/>
          <w:kern w:val="0"/>
          <w14:ligatures w14:val="none"/>
        </w:rPr>
      </w:pPr>
      <w:r w:rsidRPr="00AD7196">
        <w:rPr>
          <w:rFonts w:ascii="Calibri" w:eastAsia="Arial Unicode MS" w:hAnsi="Calibri" w:cs="Arial"/>
          <w:b/>
          <w:bCs/>
          <w:kern w:val="0"/>
          <w14:ligatures w14:val="none"/>
        </w:rPr>
        <w:lastRenderedPageBreak/>
        <w:t>X. Evaluación</w:t>
      </w:r>
    </w:p>
    <w:p w14:paraId="2CC77020" w14:textId="77777777" w:rsidR="00AD7196" w:rsidRPr="00AD7196" w:rsidRDefault="00AD7196" w:rsidP="00AD7196">
      <w:pPr>
        <w:spacing w:after="100" w:afterAutospacing="1" w:line="240" w:lineRule="auto"/>
        <w:jc w:val="both"/>
        <w:rPr>
          <w:rFonts w:ascii="Calibri" w:eastAsia="Times New Roman" w:hAnsi="Calibri" w:cs="Arial"/>
          <w:color w:val="000000"/>
          <w:kern w:val="0"/>
          <w:lang w:val="es-ES_tradnl" w:eastAsia="es-CR"/>
          <w14:ligatures w14:val="none"/>
        </w:rPr>
      </w:pPr>
      <w:r w:rsidRPr="00AD7196">
        <w:rPr>
          <w:rFonts w:ascii="Calibri" w:eastAsia="Times New Roman" w:hAnsi="Calibri" w:cs="Arial"/>
          <w:color w:val="000000"/>
          <w:kern w:val="0"/>
          <w:lang w:val="es-ES_tradnl" w:eastAsia="es-CR"/>
          <w14:ligatures w14:val="none"/>
        </w:rPr>
        <w:t>La evaluación se realizará con base en las discusiones grupales virtuales y las reacciones y reflexiones frente al material que se introduce en este curso. Se analizarán los procesos de aprendizaje y su desarrollo durante el curso, las experiencias de aprendizaje, la interacción grupal y la capacidad de construir sobre lo trabajado en cada sesión. La retroalimentación de la persona docente será fundamental para orientar el desarrollo de las capacidades cognitivas de los y las estudiantes. La evaluación sumativa se realiza con base en todas las actividades de aprendizaje realizadas en el curso. El curso se aprueba con una nota mínima de 7.00 (siete en escala decimal). La distribución de porcentajes es la siguiente:</w:t>
      </w:r>
    </w:p>
    <w:tbl>
      <w:tblPr>
        <w:tblW w:w="9114" w:type="dxa"/>
        <w:tblInd w:w="90" w:type="dxa"/>
        <w:tblLayout w:type="fixed"/>
        <w:tblLook w:val="04A0" w:firstRow="1" w:lastRow="0" w:firstColumn="1" w:lastColumn="0" w:noHBand="0" w:noVBand="1"/>
      </w:tblPr>
      <w:tblGrid>
        <w:gridCol w:w="7830"/>
        <w:gridCol w:w="1284"/>
      </w:tblGrid>
      <w:tr w:rsidR="00AD7196" w:rsidRPr="00AD7196" w14:paraId="044F9349" w14:textId="77777777" w:rsidTr="00AD7196">
        <w:tc>
          <w:tcPr>
            <w:tcW w:w="9114" w:type="dxa"/>
            <w:gridSpan w:val="2"/>
            <w:tcBorders>
              <w:top w:val="single" w:sz="8" w:space="0" w:color="000000"/>
              <w:left w:val="single" w:sz="8" w:space="0" w:color="000000"/>
              <w:bottom w:val="single" w:sz="8" w:space="0" w:color="000000"/>
              <w:right w:val="single" w:sz="8" w:space="0" w:color="000000"/>
            </w:tcBorders>
            <w:tcMar>
              <w:left w:w="108" w:type="dxa"/>
              <w:right w:w="108" w:type="dxa"/>
            </w:tcMar>
          </w:tcPr>
          <w:p w14:paraId="7A254EDE" w14:textId="77777777" w:rsidR="00AD7196" w:rsidRPr="00AD7196" w:rsidRDefault="00AD7196" w:rsidP="00AD7196">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AD7196">
              <w:rPr>
                <w:rFonts w:ascii="Calibri" w:eastAsia="Arial" w:hAnsi="Calibri" w:cs="Calibri"/>
                <w:b/>
                <w:bCs/>
                <w:kern w:val="0"/>
                <w:lang w:val="es-ES_tradnl" w:eastAsia="es-CR"/>
                <w14:ligatures w14:val="none"/>
              </w:rPr>
              <w:t>Síntesis cuantitativa de la evaluación</w:t>
            </w:r>
          </w:p>
        </w:tc>
      </w:tr>
      <w:tr w:rsidR="00AD7196" w:rsidRPr="00AD7196" w14:paraId="05D4C150" w14:textId="77777777" w:rsidTr="00AD7196">
        <w:tc>
          <w:tcPr>
            <w:tcW w:w="783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7BD21C13" w14:textId="77777777" w:rsidR="00AD7196" w:rsidRPr="00AD7196" w:rsidRDefault="00AD7196" w:rsidP="00AD7196">
            <w:pPr>
              <w:widowControl w:val="0"/>
              <w:overflowPunct w:val="0"/>
              <w:autoSpaceDE w:val="0"/>
              <w:autoSpaceDN w:val="0"/>
              <w:adjustRightInd w:val="0"/>
              <w:spacing w:before="120" w:after="0" w:line="240" w:lineRule="auto"/>
              <w:jc w:val="both"/>
              <w:rPr>
                <w:rFonts w:ascii="Calibri" w:eastAsia="Times New Roman" w:hAnsi="Calibri" w:cs="Calibri"/>
                <w:kern w:val="0"/>
                <w:lang w:val="es-ES_tradnl" w:eastAsia="es-CR"/>
                <w14:ligatures w14:val="none"/>
              </w:rPr>
            </w:pPr>
            <w:r w:rsidRPr="00AD7196">
              <w:rPr>
                <w:rFonts w:ascii="Calibri" w:eastAsia="Arial" w:hAnsi="Calibri" w:cs="Calibri"/>
                <w:b/>
                <w:bCs/>
                <w:kern w:val="0"/>
                <w:lang w:val="es-ES_tradnl" w:eastAsia="es-CR"/>
                <w14:ligatures w14:val="none"/>
              </w:rPr>
              <w:t>Rubros para evaluar</w:t>
            </w:r>
          </w:p>
        </w:tc>
        <w:tc>
          <w:tcPr>
            <w:tcW w:w="1284" w:type="dxa"/>
            <w:tcBorders>
              <w:top w:val="nil"/>
              <w:left w:val="single" w:sz="8" w:space="0" w:color="000000"/>
              <w:bottom w:val="single" w:sz="8" w:space="0" w:color="000000"/>
              <w:right w:val="single" w:sz="8" w:space="0" w:color="000000"/>
            </w:tcBorders>
            <w:tcMar>
              <w:left w:w="108" w:type="dxa"/>
              <w:right w:w="108" w:type="dxa"/>
            </w:tcMar>
            <w:vAlign w:val="center"/>
          </w:tcPr>
          <w:p w14:paraId="468C0CD2" w14:textId="77777777" w:rsidR="00AD7196" w:rsidRPr="00AD7196" w:rsidRDefault="00AD7196" w:rsidP="00AD7196">
            <w:pPr>
              <w:widowControl w:val="0"/>
              <w:overflowPunct w:val="0"/>
              <w:autoSpaceDE w:val="0"/>
              <w:autoSpaceDN w:val="0"/>
              <w:adjustRightInd w:val="0"/>
              <w:spacing w:before="120" w:after="0" w:line="240" w:lineRule="auto"/>
              <w:jc w:val="center"/>
              <w:rPr>
                <w:rFonts w:ascii="Calibri" w:eastAsia="Times New Roman" w:hAnsi="Calibri" w:cs="Calibri"/>
                <w:kern w:val="0"/>
                <w:lang w:val="es-ES_tradnl" w:eastAsia="es-CR"/>
                <w14:ligatures w14:val="none"/>
              </w:rPr>
            </w:pPr>
            <w:r w:rsidRPr="00AD7196">
              <w:rPr>
                <w:rFonts w:ascii="Calibri" w:eastAsia="Arial" w:hAnsi="Calibri" w:cs="Calibri"/>
                <w:b/>
                <w:bCs/>
                <w:kern w:val="0"/>
                <w:lang w:val="es-ES_tradnl" w:eastAsia="es-CR"/>
                <w14:ligatures w14:val="none"/>
              </w:rPr>
              <w:t>Porcentaje total</w:t>
            </w:r>
          </w:p>
        </w:tc>
      </w:tr>
      <w:tr w:rsidR="00AD7196" w:rsidRPr="00AD7196" w14:paraId="027D1D1B" w14:textId="77777777" w:rsidTr="00AD7196">
        <w:tc>
          <w:tcPr>
            <w:tcW w:w="783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E08D88D"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Arial" w:hAnsi="Calibri" w:cs="Calibri"/>
                <w:b/>
                <w:bCs/>
                <w:i/>
                <w:iCs/>
                <w:color w:val="0070C0"/>
                <w:kern w:val="0"/>
                <w:lang w:val="es-ES_tradnl" w:eastAsia="es-CR"/>
                <w14:ligatures w14:val="none"/>
              </w:rPr>
            </w:pPr>
            <w:r w:rsidRPr="00AD7196">
              <w:rPr>
                <w:rFonts w:ascii="Calibri" w:eastAsia="Arial" w:hAnsi="Calibri" w:cs="Calibri"/>
                <w:b/>
                <w:bCs/>
                <w:i/>
                <w:iCs/>
                <w:color w:val="0070C0"/>
                <w:kern w:val="0"/>
                <w:lang w:val="es-ES_tradnl" w:eastAsia="es-CR"/>
                <w14:ligatures w14:val="none"/>
              </w:rPr>
              <w:t>Encuentros sincrónicos virtuales</w:t>
            </w:r>
          </w:p>
          <w:p w14:paraId="446885CB"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Arial" w:hAnsi="Calibri" w:cs="Calibri"/>
                <w:color w:val="0070C0"/>
                <w:kern w:val="0"/>
                <w:lang w:val="es-ES_tradnl" w:eastAsia="es-CR"/>
                <w14:ligatures w14:val="none"/>
              </w:rPr>
            </w:pPr>
            <w:r w:rsidRPr="00AD7196">
              <w:rPr>
                <w:rFonts w:ascii="Calibri" w:eastAsia="Arial" w:hAnsi="Calibri" w:cs="Calibri"/>
                <w:color w:val="0070C0"/>
                <w:kern w:val="0"/>
                <w:lang w:val="es-ES_tradnl" w:eastAsia="es-CR"/>
                <w14:ligatures w14:val="none"/>
              </w:rPr>
              <w:t>Se llevan a cabo en las sesiones 1, 6, 8, 10, 12, 13 y 15. Tienen un valor formativo y no sumativo.</w:t>
            </w:r>
          </w:p>
        </w:tc>
        <w:tc>
          <w:tcPr>
            <w:tcW w:w="1284" w:type="dxa"/>
            <w:tcBorders>
              <w:top w:val="nil"/>
              <w:left w:val="single" w:sz="8" w:space="0" w:color="000000"/>
              <w:bottom w:val="single" w:sz="8" w:space="0" w:color="000000"/>
              <w:right w:val="single" w:sz="8" w:space="0" w:color="000000"/>
            </w:tcBorders>
            <w:tcMar>
              <w:left w:w="108" w:type="dxa"/>
              <w:right w:w="108" w:type="dxa"/>
            </w:tcMar>
            <w:vAlign w:val="center"/>
          </w:tcPr>
          <w:p w14:paraId="78E19E26" w14:textId="77777777" w:rsidR="00AD7196" w:rsidRPr="00AD7196" w:rsidRDefault="00AD7196" w:rsidP="00AD7196">
            <w:pPr>
              <w:widowControl w:val="0"/>
              <w:overflowPunct w:val="0"/>
              <w:autoSpaceDE w:val="0"/>
              <w:autoSpaceDN w:val="0"/>
              <w:adjustRightInd w:val="0"/>
              <w:spacing w:after="0" w:line="240" w:lineRule="auto"/>
              <w:jc w:val="center"/>
              <w:rPr>
                <w:rFonts w:ascii="Calibri" w:eastAsia="Arial" w:hAnsi="Calibri" w:cs="Calibri"/>
                <w:color w:val="0070C0"/>
                <w:kern w:val="0"/>
                <w:lang w:val="es-ES_tradnl" w:eastAsia="es-CR"/>
                <w14:ligatures w14:val="none"/>
              </w:rPr>
            </w:pPr>
            <w:r w:rsidRPr="00AD7196">
              <w:rPr>
                <w:rFonts w:ascii="Calibri" w:eastAsia="Times New Roman" w:hAnsi="Calibri" w:cs="Calibri"/>
                <w:color w:val="0070C0"/>
                <w:kern w:val="0"/>
                <w:lang w:val="es-ES_tradnl" w:eastAsia="es-CR"/>
                <w14:ligatures w14:val="none"/>
              </w:rPr>
              <w:t>̶</w:t>
            </w:r>
          </w:p>
        </w:tc>
      </w:tr>
      <w:tr w:rsidR="00AD7196" w:rsidRPr="00AD7196" w14:paraId="77D5B3EB" w14:textId="77777777" w:rsidTr="00AD7196">
        <w:tc>
          <w:tcPr>
            <w:tcW w:w="783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4D24DAF" w14:textId="77777777" w:rsidR="00AD7196" w:rsidRPr="00AD7196" w:rsidRDefault="00AD7196" w:rsidP="00AD7196">
            <w:pPr>
              <w:widowControl w:val="0"/>
              <w:overflowPunct w:val="0"/>
              <w:autoSpaceDE w:val="0"/>
              <w:autoSpaceDN w:val="0"/>
              <w:adjustRightInd w:val="0"/>
              <w:spacing w:after="0" w:line="240" w:lineRule="auto"/>
              <w:rPr>
                <w:rFonts w:ascii="Calibri" w:eastAsia="Arial" w:hAnsi="Calibri" w:cs="Calibri"/>
                <w:b/>
                <w:bCs/>
                <w:i/>
                <w:iCs/>
                <w:kern w:val="0"/>
                <w:lang w:val="es-ES_tradnl" w:eastAsia="es-CR"/>
                <w14:ligatures w14:val="none"/>
              </w:rPr>
            </w:pPr>
            <w:r w:rsidRPr="00AD7196">
              <w:rPr>
                <w:rFonts w:ascii="Calibri" w:eastAsia="Arial" w:hAnsi="Calibri" w:cs="Calibri"/>
                <w:b/>
                <w:bCs/>
                <w:i/>
                <w:iCs/>
                <w:kern w:val="0"/>
                <w:lang w:val="es-ES_tradnl" w:eastAsia="es-CR"/>
                <w14:ligatures w14:val="none"/>
              </w:rPr>
              <w:t>Foros temáticos</w:t>
            </w:r>
          </w:p>
          <w:p w14:paraId="62FAE0E1" w14:textId="77777777" w:rsidR="00AD7196" w:rsidRPr="00AD7196" w:rsidRDefault="00AD7196" w:rsidP="00AD7196">
            <w:pPr>
              <w:widowControl w:val="0"/>
              <w:overflowPunct w:val="0"/>
              <w:autoSpaceDE w:val="0"/>
              <w:autoSpaceDN w:val="0"/>
              <w:adjustRightInd w:val="0"/>
              <w:spacing w:after="0" w:line="240" w:lineRule="auto"/>
              <w:rPr>
                <w:rFonts w:ascii="Calibri" w:eastAsia="Arial" w:hAnsi="Calibri" w:cs="Calibri"/>
                <w:kern w:val="0"/>
                <w:lang w:val="es-ES_tradnl" w:eastAsia="es-CR"/>
                <w14:ligatures w14:val="none"/>
              </w:rPr>
            </w:pPr>
            <w:r w:rsidRPr="00AD7196">
              <w:rPr>
                <w:rFonts w:ascii="Calibri" w:eastAsia="Arial" w:hAnsi="Calibri" w:cs="Calibri"/>
                <w:kern w:val="0"/>
                <w:lang w:val="es-ES_tradnl" w:eastAsia="es-CR"/>
                <w14:ligatures w14:val="none"/>
              </w:rPr>
              <w:t>Se desarrollan en las sesiones 4, 7, 9, 11 y 14. Cada foro tiene un valor de 5%.</w:t>
            </w:r>
          </w:p>
        </w:tc>
        <w:tc>
          <w:tcPr>
            <w:tcW w:w="1284"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4D921252" w14:textId="77777777" w:rsidR="00AD7196" w:rsidRPr="00AD7196" w:rsidRDefault="00AD7196" w:rsidP="00AD7196">
            <w:pPr>
              <w:widowControl w:val="0"/>
              <w:overflowPunct w:val="0"/>
              <w:autoSpaceDE w:val="0"/>
              <w:autoSpaceDN w:val="0"/>
              <w:adjustRightInd w:val="0"/>
              <w:spacing w:after="0" w:line="240" w:lineRule="auto"/>
              <w:jc w:val="center"/>
              <w:rPr>
                <w:rFonts w:ascii="Calibri" w:eastAsia="Arial" w:hAnsi="Calibri" w:cs="Calibri"/>
                <w:kern w:val="0"/>
                <w:lang w:val="es-ES_tradnl" w:eastAsia="es-CR"/>
                <w14:ligatures w14:val="none"/>
              </w:rPr>
            </w:pPr>
            <w:r w:rsidRPr="00AD7196">
              <w:rPr>
                <w:rFonts w:ascii="Calibri" w:eastAsia="Arial" w:hAnsi="Calibri" w:cs="Calibri"/>
                <w:kern w:val="0"/>
                <w:lang w:val="es-ES_tradnl" w:eastAsia="es-CR"/>
                <w14:ligatures w14:val="none"/>
              </w:rPr>
              <w:t>25%</w:t>
            </w:r>
          </w:p>
        </w:tc>
      </w:tr>
      <w:tr w:rsidR="00AD7196" w:rsidRPr="00AD7196" w14:paraId="149654EB" w14:textId="77777777" w:rsidTr="00AD7196">
        <w:tc>
          <w:tcPr>
            <w:tcW w:w="783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5C64404C" w14:textId="77777777" w:rsidR="00AD7196" w:rsidRPr="00AD7196" w:rsidRDefault="00AD7196" w:rsidP="00AD7196">
            <w:pPr>
              <w:widowControl w:val="0"/>
              <w:overflowPunct w:val="0"/>
              <w:autoSpaceDE w:val="0"/>
              <w:autoSpaceDN w:val="0"/>
              <w:adjustRightInd w:val="0"/>
              <w:spacing w:after="0" w:line="240" w:lineRule="auto"/>
              <w:rPr>
                <w:rFonts w:ascii="Calibri" w:eastAsia="Times New Roman" w:hAnsi="Calibri" w:cs="Calibri"/>
                <w:b/>
                <w:bCs/>
                <w:i/>
                <w:iCs/>
                <w:kern w:val="0"/>
                <w:lang w:val="es-ES_tradnl" w:eastAsia="es-CR"/>
                <w14:ligatures w14:val="none"/>
              </w:rPr>
            </w:pPr>
            <w:r w:rsidRPr="00AD7196">
              <w:rPr>
                <w:rFonts w:ascii="Calibri" w:eastAsia="Times New Roman" w:hAnsi="Calibri" w:cs="Calibri"/>
                <w:b/>
                <w:bCs/>
                <w:i/>
                <w:iCs/>
                <w:kern w:val="0"/>
                <w:lang w:val="es-ES_tradnl" w:eastAsia="es-CR"/>
                <w14:ligatures w14:val="none"/>
              </w:rPr>
              <w:t>Reseña crítica de lectura</w:t>
            </w:r>
          </w:p>
          <w:p w14:paraId="0D037C41" w14:textId="77777777" w:rsidR="00AD7196" w:rsidRPr="00AD7196" w:rsidRDefault="00AD7196" w:rsidP="00AD7196">
            <w:pPr>
              <w:widowControl w:val="0"/>
              <w:overflowPunct w:val="0"/>
              <w:autoSpaceDE w:val="0"/>
              <w:autoSpaceDN w:val="0"/>
              <w:adjustRightInd w:val="0"/>
              <w:spacing w:after="0" w:line="240" w:lineRule="auto"/>
              <w:rPr>
                <w:rFonts w:ascii="Calibri" w:eastAsia="Times New Roman" w:hAnsi="Calibri" w:cs="Calibri"/>
                <w:kern w:val="0"/>
                <w:lang w:val="es-ES_tradnl" w:eastAsia="es-CR"/>
                <w14:ligatures w14:val="none"/>
              </w:rPr>
            </w:pPr>
            <w:r w:rsidRPr="00AD7196">
              <w:rPr>
                <w:rFonts w:ascii="Calibri" w:eastAsia="Times New Roman" w:hAnsi="Calibri" w:cs="Calibri"/>
                <w:kern w:val="0"/>
                <w:lang w:val="es-ES_tradnl" w:eastAsia="es-CR"/>
                <w14:ligatures w14:val="none"/>
              </w:rPr>
              <w:t>Se elabora en la sesión 2.</w:t>
            </w:r>
          </w:p>
        </w:tc>
        <w:tc>
          <w:tcPr>
            <w:tcW w:w="1284"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59C27884" w14:textId="77777777" w:rsidR="00AD7196" w:rsidRPr="00AD7196" w:rsidRDefault="00AD7196" w:rsidP="00AD7196">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AD7196">
              <w:rPr>
                <w:rFonts w:ascii="Calibri" w:eastAsia="Times New Roman" w:hAnsi="Calibri" w:cs="Calibri"/>
                <w:kern w:val="0"/>
                <w:lang w:val="es-ES_tradnl" w:eastAsia="es-CR"/>
                <w14:ligatures w14:val="none"/>
              </w:rPr>
              <w:t>5%</w:t>
            </w:r>
          </w:p>
        </w:tc>
      </w:tr>
      <w:tr w:rsidR="00AD7196" w:rsidRPr="00AD7196" w14:paraId="795BB6B3" w14:textId="77777777" w:rsidTr="00AD7196">
        <w:tc>
          <w:tcPr>
            <w:tcW w:w="783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644839A" w14:textId="77777777" w:rsidR="00AD7196" w:rsidRPr="00AD7196" w:rsidRDefault="00AD7196" w:rsidP="00AD7196">
            <w:pPr>
              <w:widowControl w:val="0"/>
              <w:overflowPunct w:val="0"/>
              <w:autoSpaceDE w:val="0"/>
              <w:autoSpaceDN w:val="0"/>
              <w:adjustRightInd w:val="0"/>
              <w:spacing w:after="0" w:line="240" w:lineRule="auto"/>
              <w:rPr>
                <w:rFonts w:ascii="Calibri" w:eastAsia="Arial" w:hAnsi="Calibri" w:cs="Calibri"/>
                <w:b/>
                <w:bCs/>
                <w:i/>
                <w:iCs/>
                <w:kern w:val="0"/>
                <w:lang w:val="es-ES_tradnl" w:eastAsia="es-CR"/>
                <w14:ligatures w14:val="none"/>
              </w:rPr>
            </w:pPr>
            <w:r w:rsidRPr="00AD7196">
              <w:rPr>
                <w:rFonts w:ascii="Calibri" w:eastAsia="Arial" w:hAnsi="Calibri" w:cs="Calibri"/>
                <w:b/>
                <w:bCs/>
                <w:i/>
                <w:iCs/>
                <w:kern w:val="0"/>
                <w:lang w:val="es-ES_tradnl" w:eastAsia="es-CR"/>
                <w14:ligatures w14:val="none"/>
              </w:rPr>
              <w:t>Ejercicios de reflexión bíblica</w:t>
            </w:r>
          </w:p>
          <w:p w14:paraId="6D7988AE" w14:textId="77777777" w:rsidR="00AD7196" w:rsidRPr="00AD7196" w:rsidRDefault="00AD7196" w:rsidP="00AD7196">
            <w:pPr>
              <w:widowControl w:val="0"/>
              <w:overflowPunct w:val="0"/>
              <w:autoSpaceDE w:val="0"/>
              <w:autoSpaceDN w:val="0"/>
              <w:adjustRightInd w:val="0"/>
              <w:spacing w:after="0" w:line="240" w:lineRule="auto"/>
              <w:rPr>
                <w:rFonts w:ascii="Calibri" w:eastAsia="Arial" w:hAnsi="Calibri" w:cs="Calibri"/>
                <w:kern w:val="0"/>
                <w:lang w:val="es-ES_tradnl" w:eastAsia="es-CR"/>
                <w14:ligatures w14:val="none"/>
              </w:rPr>
            </w:pPr>
            <w:r w:rsidRPr="00AD7196">
              <w:rPr>
                <w:rFonts w:ascii="Calibri" w:eastAsia="Arial" w:hAnsi="Calibri" w:cs="Calibri"/>
                <w:kern w:val="0"/>
                <w:lang w:val="es-ES_tradnl" w:eastAsia="es-CR"/>
                <w14:ligatures w14:val="none"/>
              </w:rPr>
              <w:t xml:space="preserve">Cada ejercicio tiene un valor de </w:t>
            </w:r>
            <w:r w:rsidRPr="00AD7196">
              <w:rPr>
                <w:rFonts w:ascii="Calibri" w:eastAsia="Arial" w:hAnsi="Calibri" w:cs="Calibri"/>
                <w:color w:val="0070C0"/>
                <w:kern w:val="0"/>
                <w:lang w:val="es-ES_tradnl" w:eastAsia="es-CR"/>
                <w14:ligatures w14:val="none"/>
              </w:rPr>
              <w:t>10%</w:t>
            </w:r>
            <w:r w:rsidRPr="00AD7196">
              <w:rPr>
                <w:rFonts w:ascii="Calibri" w:eastAsia="Arial" w:hAnsi="Calibri" w:cs="Calibri"/>
                <w:kern w:val="0"/>
                <w:lang w:val="es-ES_tradnl" w:eastAsia="es-CR"/>
                <w14:ligatures w14:val="none"/>
              </w:rPr>
              <w:t xml:space="preserve"> y se distribuyen de la siguiente forma:</w:t>
            </w:r>
          </w:p>
          <w:p w14:paraId="6A7D5DF7" w14:textId="77777777" w:rsidR="00AD7196" w:rsidRPr="00AD7196" w:rsidRDefault="00AD7196" w:rsidP="00AD7196">
            <w:pPr>
              <w:widowControl w:val="0"/>
              <w:overflowPunct w:val="0"/>
              <w:autoSpaceDE w:val="0"/>
              <w:autoSpaceDN w:val="0"/>
              <w:adjustRightInd w:val="0"/>
              <w:spacing w:after="0" w:line="240" w:lineRule="auto"/>
              <w:rPr>
                <w:rFonts w:ascii="Calibri" w:eastAsia="Calibri" w:hAnsi="Calibri" w:cs="Arial"/>
                <w:color w:val="000000"/>
                <w:kern w:val="0"/>
                <w:lang w:val="es-ES"/>
                <w14:ligatures w14:val="none"/>
              </w:rPr>
            </w:pPr>
            <w:r w:rsidRPr="00AD7196">
              <w:rPr>
                <w:rFonts w:ascii="Calibri" w:eastAsia="Arial" w:hAnsi="Calibri" w:cs="Calibri"/>
                <w:kern w:val="0"/>
                <w:lang w:val="es-ES_tradnl" w:eastAsia="es-CR"/>
                <w14:ligatures w14:val="none"/>
              </w:rPr>
              <w:t>- Ejercicio</w:t>
            </w:r>
            <w:r w:rsidRPr="00AD7196">
              <w:rPr>
                <w:rFonts w:ascii="Calibri" w:eastAsia="Calibri" w:hAnsi="Calibri" w:cs="Arial"/>
                <w:color w:val="000000"/>
                <w:kern w:val="0"/>
                <w:lang w:val="es-ES"/>
                <w14:ligatures w14:val="none"/>
              </w:rPr>
              <w:t xml:space="preserve"> de reflexión bíblica sobre el arte y la pedagogía bíblica (sesión 6 a la 8).</w:t>
            </w:r>
          </w:p>
          <w:p w14:paraId="668AB627" w14:textId="77777777" w:rsidR="00AD7196" w:rsidRPr="00AD7196" w:rsidRDefault="00AD7196" w:rsidP="00AD7196">
            <w:pPr>
              <w:widowControl w:val="0"/>
              <w:overflowPunct w:val="0"/>
              <w:autoSpaceDE w:val="0"/>
              <w:autoSpaceDN w:val="0"/>
              <w:adjustRightInd w:val="0"/>
              <w:spacing w:after="0" w:line="240" w:lineRule="auto"/>
              <w:rPr>
                <w:rFonts w:ascii="Calibri" w:eastAsia="Calibri" w:hAnsi="Calibri" w:cs="Arial"/>
                <w:color w:val="000000"/>
                <w:kern w:val="0"/>
                <w:lang w:val="es-ES"/>
                <w14:ligatures w14:val="none"/>
              </w:rPr>
            </w:pPr>
            <w:r w:rsidRPr="00AD7196">
              <w:rPr>
                <w:rFonts w:ascii="Calibri" w:eastAsia="Calibri" w:hAnsi="Calibri" w:cs="Arial"/>
                <w:color w:val="000000"/>
                <w:kern w:val="0"/>
                <w:lang w:val="es-ES"/>
                <w14:ligatures w14:val="none"/>
              </w:rPr>
              <w:t>- Ejercicio de reflexión bíblica desde el eje de la corporeidad (sesión 10).</w:t>
            </w:r>
          </w:p>
          <w:p w14:paraId="727AE5CF" w14:textId="77777777" w:rsidR="00AD7196" w:rsidRPr="00AD7196" w:rsidRDefault="00AD7196" w:rsidP="00AD7196">
            <w:pPr>
              <w:widowControl w:val="0"/>
              <w:overflowPunct w:val="0"/>
              <w:autoSpaceDE w:val="0"/>
              <w:autoSpaceDN w:val="0"/>
              <w:adjustRightInd w:val="0"/>
              <w:spacing w:after="0" w:line="240" w:lineRule="auto"/>
              <w:rPr>
                <w:rFonts w:ascii="Calibri" w:eastAsia="Arial" w:hAnsi="Calibri" w:cs="Calibri"/>
                <w:kern w:val="0"/>
                <w:lang w:val="es-ES_tradnl" w:eastAsia="es-CR"/>
                <w14:ligatures w14:val="none"/>
              </w:rPr>
            </w:pPr>
            <w:r w:rsidRPr="00AD7196">
              <w:rPr>
                <w:rFonts w:ascii="Calibri" w:eastAsia="Calibri" w:hAnsi="Calibri" w:cs="Arial"/>
                <w:color w:val="000000"/>
                <w:kern w:val="0"/>
                <w:lang w:val="es-ES"/>
                <w14:ligatures w14:val="none"/>
              </w:rPr>
              <w:t>- Ejercicio de reflexión bíblica desde el eje de la espiritualidad (sesión 12).</w:t>
            </w:r>
          </w:p>
        </w:tc>
        <w:tc>
          <w:tcPr>
            <w:tcW w:w="1284"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6FCF28C3" w14:textId="77777777" w:rsidR="00AD7196" w:rsidRPr="00AD7196" w:rsidRDefault="00AD7196" w:rsidP="00AD7196">
            <w:pPr>
              <w:widowControl w:val="0"/>
              <w:overflowPunct w:val="0"/>
              <w:autoSpaceDE w:val="0"/>
              <w:autoSpaceDN w:val="0"/>
              <w:adjustRightInd w:val="0"/>
              <w:spacing w:after="0" w:line="240" w:lineRule="auto"/>
              <w:jc w:val="center"/>
              <w:rPr>
                <w:rFonts w:ascii="Calibri" w:eastAsia="Times New Roman" w:hAnsi="Calibri" w:cs="Calibri"/>
                <w:kern w:val="0"/>
                <w:lang w:val="es-ES_tradnl" w:eastAsia="es-CR"/>
                <w14:ligatures w14:val="none"/>
              </w:rPr>
            </w:pPr>
            <w:r w:rsidRPr="00AD7196">
              <w:rPr>
                <w:rFonts w:ascii="Calibri" w:eastAsia="Times New Roman" w:hAnsi="Calibri" w:cs="Calibri"/>
                <w:color w:val="0070C0"/>
                <w:kern w:val="0"/>
                <w:lang w:val="es-ES_tradnl" w:eastAsia="es-CR"/>
                <w14:ligatures w14:val="none"/>
              </w:rPr>
              <w:t>30%</w:t>
            </w:r>
          </w:p>
        </w:tc>
      </w:tr>
      <w:tr w:rsidR="00AD7196" w:rsidRPr="00AD7196" w14:paraId="2CA6F6DA" w14:textId="77777777" w:rsidTr="00AD7196">
        <w:tc>
          <w:tcPr>
            <w:tcW w:w="783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4E7CE697" w14:textId="77777777" w:rsidR="00AD7196" w:rsidRPr="00AD7196" w:rsidRDefault="00AD7196" w:rsidP="00AD7196">
            <w:pPr>
              <w:widowControl w:val="0"/>
              <w:overflowPunct w:val="0"/>
              <w:autoSpaceDE w:val="0"/>
              <w:autoSpaceDN w:val="0"/>
              <w:adjustRightInd w:val="0"/>
              <w:spacing w:after="0" w:line="240" w:lineRule="auto"/>
              <w:rPr>
                <w:rFonts w:ascii="Calibri" w:eastAsia="Arial" w:hAnsi="Calibri" w:cs="Calibri"/>
                <w:b/>
                <w:bCs/>
                <w:i/>
                <w:iCs/>
                <w:kern w:val="0"/>
                <w:lang w:val="es-ES_tradnl" w:eastAsia="es-CR"/>
                <w14:ligatures w14:val="none"/>
              </w:rPr>
            </w:pPr>
            <w:r w:rsidRPr="00AD7196">
              <w:rPr>
                <w:rFonts w:ascii="Calibri" w:eastAsia="Arial" w:hAnsi="Calibri" w:cs="Calibri"/>
                <w:b/>
                <w:bCs/>
                <w:i/>
                <w:iCs/>
                <w:kern w:val="0"/>
                <w:lang w:val="es-ES_tradnl" w:eastAsia="es-CR"/>
                <w14:ligatures w14:val="none"/>
              </w:rPr>
              <w:t>Murales (wiki)</w:t>
            </w:r>
          </w:p>
          <w:p w14:paraId="28A7088C" w14:textId="77777777" w:rsidR="00AD7196" w:rsidRPr="00AD7196" w:rsidRDefault="00AD7196" w:rsidP="00AD7196">
            <w:pPr>
              <w:widowControl w:val="0"/>
              <w:overflowPunct w:val="0"/>
              <w:autoSpaceDE w:val="0"/>
              <w:autoSpaceDN w:val="0"/>
              <w:adjustRightInd w:val="0"/>
              <w:spacing w:after="0" w:line="240" w:lineRule="auto"/>
              <w:rPr>
                <w:rFonts w:ascii="Calibri" w:eastAsia="Arial" w:hAnsi="Calibri" w:cs="Calibri"/>
                <w:kern w:val="0"/>
                <w:lang w:val="es-ES_tradnl" w:eastAsia="es-CR"/>
                <w14:ligatures w14:val="none"/>
              </w:rPr>
            </w:pPr>
            <w:r w:rsidRPr="00AD7196">
              <w:rPr>
                <w:rFonts w:ascii="Calibri" w:eastAsia="Arial" w:hAnsi="Calibri" w:cs="Calibri"/>
                <w:kern w:val="0"/>
                <w:lang w:val="es-ES_tradnl" w:eastAsia="es-CR"/>
                <w14:ligatures w14:val="none"/>
              </w:rPr>
              <w:t>Se desarrollan en las sesiones 3 y 5. Cada mural tiene un valor de 5%.</w:t>
            </w:r>
          </w:p>
        </w:tc>
        <w:tc>
          <w:tcPr>
            <w:tcW w:w="1284"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2AFFA699" w14:textId="77777777" w:rsidR="00AD7196" w:rsidRPr="00AD7196" w:rsidRDefault="00AD7196" w:rsidP="00AD7196">
            <w:pPr>
              <w:widowControl w:val="0"/>
              <w:overflowPunct w:val="0"/>
              <w:autoSpaceDE w:val="0"/>
              <w:autoSpaceDN w:val="0"/>
              <w:adjustRightInd w:val="0"/>
              <w:spacing w:after="0" w:line="240" w:lineRule="auto"/>
              <w:jc w:val="center"/>
              <w:rPr>
                <w:rFonts w:ascii="Calibri" w:eastAsia="Arial" w:hAnsi="Calibri" w:cs="Calibri"/>
                <w:kern w:val="0"/>
                <w:lang w:val="es-ES_tradnl" w:eastAsia="es-CR"/>
                <w14:ligatures w14:val="none"/>
              </w:rPr>
            </w:pPr>
            <w:r w:rsidRPr="00AD7196">
              <w:rPr>
                <w:rFonts w:ascii="Calibri" w:eastAsia="Arial" w:hAnsi="Calibri" w:cs="Calibri"/>
                <w:kern w:val="0"/>
                <w:lang w:val="es-ES_tradnl" w:eastAsia="es-CR"/>
                <w14:ligatures w14:val="none"/>
              </w:rPr>
              <w:t>10%</w:t>
            </w:r>
          </w:p>
        </w:tc>
      </w:tr>
      <w:tr w:rsidR="00AD7196" w:rsidRPr="00AD7196" w14:paraId="14E9EFB1" w14:textId="77777777" w:rsidTr="00AD7196">
        <w:tc>
          <w:tcPr>
            <w:tcW w:w="783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1C58D6AC"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Arial" w:hAnsi="Calibri" w:cs="Calibri"/>
                <w:b/>
                <w:bCs/>
                <w:i/>
                <w:iCs/>
                <w:kern w:val="0"/>
                <w:lang w:val="es-ES_tradnl" w:eastAsia="es-CR"/>
                <w14:ligatures w14:val="none"/>
              </w:rPr>
            </w:pPr>
            <w:r w:rsidRPr="00AD7196">
              <w:rPr>
                <w:rFonts w:ascii="Calibri" w:eastAsia="Arial" w:hAnsi="Calibri" w:cs="Calibri"/>
                <w:b/>
                <w:bCs/>
                <w:i/>
                <w:iCs/>
                <w:kern w:val="0"/>
                <w:lang w:val="es-ES_tradnl" w:eastAsia="es-CR"/>
                <w14:ligatures w14:val="none"/>
              </w:rPr>
              <w:t>Producto pedagógico final</w:t>
            </w:r>
          </w:p>
          <w:p w14:paraId="17305748"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Arial" w:hAnsi="Calibri" w:cs="Calibri"/>
                <w:kern w:val="0"/>
                <w:lang w:val="es-ES_tradnl" w:eastAsia="es-CR"/>
                <w14:ligatures w14:val="none"/>
              </w:rPr>
            </w:pPr>
            <w:r w:rsidRPr="00AD7196">
              <w:rPr>
                <w:rFonts w:ascii="Calibri" w:eastAsia="Arial" w:hAnsi="Calibri" w:cs="Calibri"/>
                <w:kern w:val="0"/>
                <w:lang w:val="es-ES_tradnl" w:eastAsia="es-CR"/>
                <w14:ligatures w14:val="none"/>
              </w:rPr>
              <w:t>Se inicia en la sesión 9 y se entrega en la sesión 15, distribuyéndose de la siguiente forma:</w:t>
            </w:r>
          </w:p>
          <w:p w14:paraId="349133FB"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Arial" w:hAnsi="Calibri" w:cs="Calibri"/>
                <w:kern w:val="0"/>
                <w:lang w:val="es-ES_tradnl" w:eastAsia="es-CR"/>
                <w14:ligatures w14:val="none"/>
              </w:rPr>
            </w:pPr>
            <w:r w:rsidRPr="00AD7196">
              <w:rPr>
                <w:rFonts w:ascii="Calibri" w:eastAsia="Arial" w:hAnsi="Calibri" w:cs="Calibri"/>
                <w:kern w:val="0"/>
                <w:lang w:val="es-ES_tradnl" w:eastAsia="es-CR"/>
                <w14:ligatures w14:val="none"/>
              </w:rPr>
              <w:t>- Plan de la sesión (sesión 11). Tiene un valor de 5%.</w:t>
            </w:r>
          </w:p>
          <w:p w14:paraId="41840152"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Arial" w:hAnsi="Calibri" w:cs="Calibri"/>
                <w:kern w:val="0"/>
                <w:lang w:val="es-ES_tradnl" w:eastAsia="es-CR"/>
                <w14:ligatures w14:val="none"/>
              </w:rPr>
            </w:pPr>
            <w:r w:rsidRPr="00AD7196">
              <w:rPr>
                <w:rFonts w:ascii="Calibri" w:eastAsia="Arial" w:hAnsi="Calibri" w:cs="Calibri"/>
                <w:kern w:val="0"/>
                <w:lang w:val="es-ES_tradnl" w:eastAsia="es-CR"/>
                <w14:ligatures w14:val="none"/>
              </w:rPr>
              <w:t>- Informe de aplicación (sesión 13). Tiene un valor de 5%.</w:t>
            </w:r>
          </w:p>
          <w:p w14:paraId="0033782A"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Arial" w:hAnsi="Calibri" w:cs="Calibri"/>
                <w:kern w:val="0"/>
                <w:lang w:val="es-ES_tradnl" w:eastAsia="es-CR"/>
                <w14:ligatures w14:val="none"/>
              </w:rPr>
            </w:pPr>
            <w:r w:rsidRPr="00AD7196">
              <w:rPr>
                <w:rFonts w:ascii="Calibri" w:eastAsia="Arial" w:hAnsi="Calibri" w:cs="Calibri"/>
                <w:kern w:val="0"/>
                <w:lang w:val="es-ES_tradnl" w:eastAsia="es-CR"/>
                <w14:ligatures w14:val="none"/>
              </w:rPr>
              <w:t xml:space="preserve">- Versión final del producto pedagógico final (sesión 15). Tiene un valor de </w:t>
            </w:r>
            <w:r w:rsidRPr="00AD7196">
              <w:rPr>
                <w:rFonts w:ascii="Calibri" w:eastAsia="Arial" w:hAnsi="Calibri" w:cs="Calibri"/>
                <w:color w:val="0070C0"/>
                <w:kern w:val="0"/>
                <w:lang w:val="es-ES_tradnl" w:eastAsia="es-CR"/>
                <w14:ligatures w14:val="none"/>
              </w:rPr>
              <w:t>20%.</w:t>
            </w:r>
          </w:p>
          <w:p w14:paraId="5195A0C6"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Arial" w:hAnsi="Calibri" w:cs="Calibri"/>
                <w:kern w:val="0"/>
                <w:lang w:val="es-ES_tradnl" w:eastAsia="es-CR"/>
                <w14:ligatures w14:val="none"/>
              </w:rPr>
            </w:pPr>
          </w:p>
          <w:p w14:paraId="7445AAA3"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Arial" w:hAnsi="Calibri" w:cs="Calibri"/>
                <w:kern w:val="0"/>
                <w:lang w:val="es-ES_tradnl" w:eastAsia="es-CR"/>
                <w14:ligatures w14:val="none"/>
              </w:rPr>
            </w:pPr>
            <w:r w:rsidRPr="00AD7196">
              <w:rPr>
                <w:rFonts w:ascii="Calibri" w:eastAsia="Arial" w:hAnsi="Calibri" w:cs="Calibri"/>
                <w:kern w:val="0"/>
                <w:lang w:val="es-ES_tradnl" w:eastAsia="es-CR"/>
                <w14:ligatures w14:val="none"/>
              </w:rPr>
              <w:t>En la sesión 15 se realiza una presentación del trabajo en un encuentro sincrónico virtual (sin valor sumativo).</w:t>
            </w:r>
          </w:p>
        </w:tc>
        <w:tc>
          <w:tcPr>
            <w:tcW w:w="1284"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2FB02E38" w14:textId="77777777" w:rsidR="00AD7196" w:rsidRPr="00AD7196" w:rsidRDefault="00AD7196" w:rsidP="00AD7196">
            <w:pPr>
              <w:widowControl w:val="0"/>
              <w:overflowPunct w:val="0"/>
              <w:autoSpaceDE w:val="0"/>
              <w:autoSpaceDN w:val="0"/>
              <w:adjustRightInd w:val="0"/>
              <w:spacing w:after="0" w:line="240" w:lineRule="auto"/>
              <w:jc w:val="center"/>
              <w:rPr>
                <w:rFonts w:ascii="Calibri" w:eastAsia="Arial" w:hAnsi="Calibri" w:cs="Calibri"/>
                <w:kern w:val="0"/>
                <w:lang w:val="es-ES_tradnl" w:eastAsia="es-CR"/>
                <w14:ligatures w14:val="none"/>
              </w:rPr>
            </w:pPr>
            <w:r w:rsidRPr="00AD7196">
              <w:rPr>
                <w:rFonts w:ascii="Calibri" w:eastAsia="Arial" w:hAnsi="Calibri" w:cs="Calibri"/>
                <w:color w:val="0070C0"/>
                <w:kern w:val="0"/>
                <w:lang w:val="es-ES_tradnl" w:eastAsia="es-CR"/>
                <w14:ligatures w14:val="none"/>
              </w:rPr>
              <w:t>30%</w:t>
            </w:r>
          </w:p>
        </w:tc>
      </w:tr>
      <w:tr w:rsidR="00AD7196" w:rsidRPr="00AD7196" w14:paraId="365DEC6E" w14:textId="77777777" w:rsidTr="00AD7196">
        <w:tc>
          <w:tcPr>
            <w:tcW w:w="7830" w:type="dxa"/>
            <w:tcBorders>
              <w:top w:val="single" w:sz="8" w:space="0" w:color="000000"/>
              <w:left w:val="single" w:sz="8" w:space="0" w:color="000000"/>
              <w:bottom w:val="single" w:sz="8" w:space="0" w:color="000000"/>
              <w:right w:val="single" w:sz="8" w:space="0" w:color="000000"/>
            </w:tcBorders>
            <w:tcMar>
              <w:left w:w="108" w:type="dxa"/>
              <w:right w:w="108" w:type="dxa"/>
            </w:tcMar>
          </w:tcPr>
          <w:p w14:paraId="6D9D0881" w14:textId="77777777" w:rsidR="00AD7196" w:rsidRPr="00AD7196" w:rsidRDefault="00AD7196" w:rsidP="00AD7196">
            <w:pPr>
              <w:widowControl w:val="0"/>
              <w:overflowPunct w:val="0"/>
              <w:autoSpaceDE w:val="0"/>
              <w:autoSpaceDN w:val="0"/>
              <w:adjustRightInd w:val="0"/>
              <w:spacing w:after="0" w:line="240" w:lineRule="auto"/>
              <w:jc w:val="both"/>
              <w:rPr>
                <w:rFonts w:ascii="Calibri" w:eastAsia="Arial" w:hAnsi="Calibri" w:cs="Calibri"/>
                <w:b/>
                <w:bCs/>
                <w:kern w:val="0"/>
                <w:lang w:val="es-ES_tradnl" w:eastAsia="es-CR"/>
                <w14:ligatures w14:val="none"/>
              </w:rPr>
            </w:pPr>
            <w:r w:rsidRPr="00AD7196">
              <w:rPr>
                <w:rFonts w:ascii="Calibri" w:eastAsia="Arial" w:hAnsi="Calibri" w:cs="Calibri"/>
                <w:b/>
                <w:bCs/>
                <w:kern w:val="0"/>
                <w:lang w:val="es-ES_tradnl" w:eastAsia="es-CR"/>
                <w14:ligatures w14:val="none"/>
              </w:rPr>
              <w:t>Total</w:t>
            </w:r>
          </w:p>
        </w:tc>
        <w:tc>
          <w:tcPr>
            <w:tcW w:w="1284" w:type="dxa"/>
            <w:tcBorders>
              <w:top w:val="single" w:sz="8" w:space="0" w:color="000000"/>
              <w:left w:val="single" w:sz="8" w:space="0" w:color="000000"/>
              <w:bottom w:val="single" w:sz="8" w:space="0" w:color="000000"/>
              <w:right w:val="single" w:sz="8" w:space="0" w:color="000000"/>
            </w:tcBorders>
            <w:tcMar>
              <w:left w:w="108" w:type="dxa"/>
              <w:right w:w="108" w:type="dxa"/>
            </w:tcMar>
            <w:vAlign w:val="center"/>
          </w:tcPr>
          <w:p w14:paraId="3C5C2756" w14:textId="77777777" w:rsidR="00AD7196" w:rsidRPr="00AD7196" w:rsidRDefault="00AD7196" w:rsidP="00AD7196">
            <w:pPr>
              <w:widowControl w:val="0"/>
              <w:overflowPunct w:val="0"/>
              <w:autoSpaceDE w:val="0"/>
              <w:autoSpaceDN w:val="0"/>
              <w:adjustRightInd w:val="0"/>
              <w:spacing w:after="0" w:line="240" w:lineRule="auto"/>
              <w:jc w:val="center"/>
              <w:rPr>
                <w:rFonts w:ascii="Calibri" w:eastAsia="Arial" w:hAnsi="Calibri" w:cs="Calibri"/>
                <w:b/>
                <w:bCs/>
                <w:kern w:val="0"/>
                <w:lang w:val="es-ES_tradnl" w:eastAsia="es-CR"/>
                <w14:ligatures w14:val="none"/>
              </w:rPr>
            </w:pPr>
            <w:r w:rsidRPr="00AD7196">
              <w:rPr>
                <w:rFonts w:ascii="Calibri" w:eastAsia="Arial" w:hAnsi="Calibri" w:cs="Calibri"/>
                <w:b/>
                <w:bCs/>
                <w:kern w:val="0"/>
                <w:lang w:val="es-ES_tradnl" w:eastAsia="es-CR"/>
                <w14:ligatures w14:val="none"/>
              </w:rPr>
              <w:t>100%</w:t>
            </w:r>
          </w:p>
        </w:tc>
      </w:tr>
    </w:tbl>
    <w:p w14:paraId="4C43F7CD"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color w:val="000000"/>
          <w:kern w:val="0"/>
          <w:lang w:val="es-ES_tradnl" w:eastAsia="es-CR"/>
          <w14:ligatures w14:val="none"/>
        </w:rPr>
      </w:pPr>
    </w:p>
    <w:p w14:paraId="66864405"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color w:val="000000"/>
          <w:kern w:val="0"/>
          <w:lang w:val="es-ES_tradnl" w:eastAsia="es-CR"/>
          <w14:ligatures w14:val="none"/>
        </w:rPr>
      </w:pPr>
    </w:p>
    <w:p w14:paraId="47EC57C5"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color w:val="000000"/>
          <w:kern w:val="0"/>
          <w:lang w:val="es-ES_tradnl" w:eastAsia="es-CR"/>
          <w14:ligatures w14:val="none"/>
        </w:rPr>
      </w:pPr>
    </w:p>
    <w:p w14:paraId="50F0063E"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color w:val="000000"/>
          <w:kern w:val="0"/>
          <w:lang w:val="es-ES_tradnl" w:eastAsia="es-CR"/>
          <w14:ligatures w14:val="none"/>
        </w:rPr>
      </w:pPr>
    </w:p>
    <w:p w14:paraId="232C6506"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
          <w:bCs/>
          <w:color w:val="000000"/>
          <w:kern w:val="0"/>
          <w:lang w:val="es-ES_tradnl" w:eastAsia="es-CR"/>
          <w14:ligatures w14:val="none"/>
        </w:rPr>
        <w:sectPr w:rsidR="00AD7196" w:rsidRPr="00AD7196" w:rsidSect="00AD7196">
          <w:headerReference w:type="default" r:id="rId550"/>
          <w:pgSz w:w="12240" w:h="15840"/>
          <w:pgMar w:top="1417" w:right="1701" w:bottom="1417" w:left="1701" w:header="708" w:footer="708" w:gutter="0"/>
          <w:pgNumType w:start="478"/>
          <w:cols w:space="708"/>
          <w:docGrid w:linePitch="360"/>
        </w:sectPr>
      </w:pPr>
    </w:p>
    <w:p w14:paraId="792C4B40"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b/>
          <w:bCs/>
          <w:color w:val="000000"/>
          <w:kern w:val="0"/>
          <w:lang w:val="es-ES_tradnl" w:eastAsia="es-CR"/>
          <w14:ligatures w14:val="none"/>
        </w:rPr>
      </w:pPr>
      <w:r w:rsidRPr="00AD7196">
        <w:rPr>
          <w:rFonts w:ascii="Calibri" w:eastAsia="Times New Roman" w:hAnsi="Calibri" w:cs="Calibri"/>
          <w:bCs/>
          <w:noProof/>
          <w:kern w:val="0"/>
          <w:sz w:val="20"/>
          <w:szCs w:val="20"/>
          <w:lang w:val="es-ES_tradnl" w:eastAsia="es-CR"/>
          <w14:ligatures w14:val="none"/>
        </w:rPr>
        <w:lastRenderedPageBreak/>
        <mc:AlternateContent>
          <mc:Choice Requires="wps">
            <w:drawing>
              <wp:anchor distT="45720" distB="45720" distL="114300" distR="114300" simplePos="0" relativeHeight="252831744" behindDoc="0" locked="0" layoutInCell="1" allowOverlap="1" wp14:anchorId="7EC0D732" wp14:editId="470C9AA4">
                <wp:simplePos x="0" y="0"/>
                <wp:positionH relativeFrom="margin">
                  <wp:align>center</wp:align>
                </wp:positionH>
                <wp:positionV relativeFrom="paragraph">
                  <wp:posOffset>-292418</wp:posOffset>
                </wp:positionV>
                <wp:extent cx="7879080" cy="404812"/>
                <wp:effectExtent l="0" t="0" r="26670" b="14605"/>
                <wp:wrapNone/>
                <wp:docPr id="4418281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4812"/>
                        </a:xfrm>
                        <a:prstGeom prst="rect">
                          <a:avLst/>
                        </a:prstGeom>
                        <a:solidFill>
                          <a:srgbClr val="FFFFFF"/>
                        </a:solidFill>
                        <a:ln w="9525">
                          <a:solidFill>
                            <a:srgbClr val="000000"/>
                          </a:solidFill>
                          <a:miter lim="800000"/>
                          <a:headEnd/>
                          <a:tailEnd/>
                        </a:ln>
                      </wps:spPr>
                      <wps:txbx>
                        <w:txbxContent>
                          <w:p w14:paraId="24786FD2" w14:textId="77777777" w:rsidR="00AD7196" w:rsidRPr="00AD7196" w:rsidRDefault="00AD7196" w:rsidP="00AD7196">
                            <w:pPr>
                              <w:jc w:val="center"/>
                              <w:rPr>
                                <w:rFonts w:cs="Calibri"/>
                                <w:b/>
                                <w:szCs w:val="24"/>
                              </w:rPr>
                            </w:pPr>
                            <w:r w:rsidRPr="00AD7196">
                              <w:rPr>
                                <w:rFonts w:cs="Calibri"/>
                                <w:b/>
                                <w:szCs w:val="24"/>
                              </w:rPr>
                              <w:t>RÚBRICA DE EVALUACIÓN – FORO TEMÁTICO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0D732" id="_x0000_s1257" type="#_x0000_t202" style="position:absolute;left:0;text-align:left;margin-left:0;margin-top:-23.05pt;width:620.4pt;height:31.85pt;z-index:2528317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">
                <v:textbox>
                  <w:txbxContent>
                    <w:p w14:paraId="24786FD2" w14:textId="77777777" w:rsidR="00AD7196" w:rsidRPr="00AD7196" w:rsidRDefault="00AD7196" w:rsidP="00AD7196">
                      <w:pPr>
                        <w:jc w:val="center"/>
                        <w:rPr>
                          <w:rFonts w:cs="Calibri"/>
                          <w:b/>
                          <w:szCs w:val="24"/>
                        </w:rPr>
                      </w:pPr>
                      <w:r w:rsidRPr="00AD7196">
                        <w:rPr>
                          <w:rFonts w:cs="Calibri"/>
                          <w:b/>
                          <w:szCs w:val="24"/>
                        </w:rPr>
                        <w:t>RÚBRICA DE EVALUACIÓN – FORO TEMÁTICO</w:t>
                      </w:r>
                    </w:p>
                  </w:txbxContent>
                </v:textbox>
                <w10:wrap anchorx="margin"/>
              </v:shape>
            </w:pict>
          </mc:Fallback>
        </mc:AlternateContent>
      </w:r>
    </w:p>
    <w:p w14:paraId="334FDFAB"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70C0"/>
          <w:kern w:val="0"/>
          <w:lang w:val="es-ES_tradnl" w:eastAsia="es-CR"/>
          <w14:ligatures w14:val="none"/>
        </w:rPr>
      </w:pPr>
      <w:r w:rsidRPr="00AD7196">
        <w:rPr>
          <w:rFonts w:ascii="Calibri" w:eastAsia="Times New Roman" w:hAnsi="Calibri" w:cs="Arial"/>
          <w:color w:val="0070C0"/>
          <w:kern w:val="0"/>
          <w:lang w:val="es-ES_tradnl" w:eastAsia="es-CR"/>
          <w14:ligatures w14:val="none"/>
        </w:rPr>
        <w:t>En los foros temáticos se realizará un trabajo colaborativo de diálogo sobre los insumos de la sesión como también análisis de insumos para la pedagogía bíblica. Se desarrollan en las sesiones 4, 7, 9, 11 y 14. Cada foro tiene un valor de 5%.</w:t>
      </w:r>
    </w:p>
    <w:p w14:paraId="1A44820F"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b/>
          <w:bCs/>
          <w:color w:val="000000"/>
          <w:kern w:val="0"/>
          <w:lang w:val="es-ES_tradnl" w:eastAsia="es-CR"/>
          <w14:ligatures w14:val="none"/>
        </w:rPr>
      </w:pPr>
      <w:r w:rsidRPr="00AD7196">
        <w:rPr>
          <w:rFonts w:ascii="Calibri" w:eastAsia="Times New Roman" w:hAnsi="Calibri" w:cs="Arial"/>
          <w:b/>
          <w:bCs/>
          <w:noProof/>
          <w:color w:val="000000"/>
          <w:kern w:val="0"/>
          <w:lang w:val="es-ES_tradnl" w:eastAsia="es-CR"/>
          <w14:ligatures w14:val="none"/>
        </w:rPr>
        <w:drawing>
          <wp:anchor distT="0" distB="0" distL="114300" distR="114300" simplePos="0" relativeHeight="252832768" behindDoc="0" locked="0" layoutInCell="1" allowOverlap="1" wp14:anchorId="49955A9F" wp14:editId="01C265D3">
            <wp:simplePos x="0" y="0"/>
            <wp:positionH relativeFrom="margin">
              <wp:align>center</wp:align>
            </wp:positionH>
            <wp:positionV relativeFrom="paragraph">
              <wp:posOffset>39052</wp:posOffset>
            </wp:positionV>
            <wp:extent cx="7924800" cy="5750983"/>
            <wp:effectExtent l="0" t="0" r="0" b="2540"/>
            <wp:wrapNone/>
            <wp:docPr id="43532138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21384" name="Imagen 1" descr="Tabla&#10;&#10;Descripción generada automáticamente"/>
                    <pic:cNvPicPr/>
                  </pic:nvPicPr>
                  <pic:blipFill>
                    <a:blip r:embed="rId394">
                      <a:extLst>
                        <a:ext uri="{28A0092B-C50C-407E-A947-70E740481C1C}">
                          <a14:useLocalDpi xmlns:a14="http://schemas.microsoft.com/office/drawing/2010/main" val="0"/>
                        </a:ext>
                      </a:extLst>
                    </a:blip>
                    <a:stretch>
                      <a:fillRect/>
                    </a:stretch>
                  </pic:blipFill>
                  <pic:spPr>
                    <a:xfrm>
                      <a:off x="0" y="0"/>
                      <a:ext cx="7924800" cy="5750983"/>
                    </a:xfrm>
                    <a:prstGeom prst="rect">
                      <a:avLst/>
                    </a:prstGeom>
                  </pic:spPr>
                </pic:pic>
              </a:graphicData>
            </a:graphic>
            <wp14:sizeRelH relativeFrom="margin">
              <wp14:pctWidth>0</wp14:pctWidth>
            </wp14:sizeRelH>
            <wp14:sizeRelV relativeFrom="margin">
              <wp14:pctHeight>0</wp14:pctHeight>
            </wp14:sizeRelV>
          </wp:anchor>
        </w:drawing>
      </w:r>
    </w:p>
    <w:p w14:paraId="513E323F"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
          <w:bCs/>
          <w:color w:val="000000"/>
          <w:kern w:val="0"/>
          <w:lang w:val="es-ES_tradnl" w:eastAsia="es-CR"/>
          <w14:ligatures w14:val="none"/>
        </w:rPr>
      </w:pPr>
      <w:r w:rsidRPr="00AD7196">
        <w:rPr>
          <w:rFonts w:ascii="Calibri" w:eastAsia="Times New Roman" w:hAnsi="Calibri" w:cs="Arial"/>
          <w:b/>
          <w:bCs/>
          <w:color w:val="000000"/>
          <w:kern w:val="0"/>
          <w:lang w:val="es-ES_tradnl" w:eastAsia="es-CR"/>
          <w14:ligatures w14:val="none"/>
        </w:rPr>
        <w:br w:type="page"/>
      </w:r>
    </w:p>
    <w:p w14:paraId="5A1A6896"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
          <w:bCs/>
          <w:color w:val="000000"/>
          <w:kern w:val="0"/>
          <w:lang w:val="es-ES_tradnl" w:eastAsia="es-CR"/>
          <w14:ligatures w14:val="none"/>
        </w:rPr>
      </w:pPr>
      <w:r w:rsidRPr="00AD7196">
        <w:rPr>
          <w:rFonts w:ascii="Times New Roman" w:eastAsia="Times New Roman" w:hAnsi="Times New Roman" w:cs="Times New Roman"/>
          <w:noProof/>
          <w:kern w:val="0"/>
          <w:sz w:val="24"/>
          <w:szCs w:val="20"/>
          <w:lang w:val="es-ES_tradnl" w:eastAsia="es-CR"/>
          <w14:ligatures w14:val="none"/>
        </w:rPr>
        <w:lastRenderedPageBreak/>
        <mc:AlternateContent>
          <mc:Choice Requires="wps">
            <w:drawing>
              <wp:anchor distT="0" distB="0" distL="114300" distR="114300" simplePos="0" relativeHeight="252833792" behindDoc="0" locked="0" layoutInCell="1" allowOverlap="1" wp14:anchorId="19C8FDE3" wp14:editId="4EC0A3B7">
                <wp:simplePos x="0" y="0"/>
                <wp:positionH relativeFrom="margin">
                  <wp:align>center</wp:align>
                </wp:positionH>
                <wp:positionV relativeFrom="paragraph">
                  <wp:posOffset>-325438</wp:posOffset>
                </wp:positionV>
                <wp:extent cx="6606540" cy="411480"/>
                <wp:effectExtent l="0" t="0" r="22860" b="26670"/>
                <wp:wrapNone/>
                <wp:docPr id="326422034" name="Cuadro de texto 326422034"/>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ysClr val="window" lastClr="FFFFFF"/>
                        </a:solidFill>
                        <a:ln w="6350">
                          <a:solidFill>
                            <a:prstClr val="black"/>
                          </a:solidFill>
                        </a:ln>
                      </wps:spPr>
                      <wps:txbx>
                        <w:txbxContent>
                          <w:p w14:paraId="3B6680B7" w14:textId="77777777" w:rsidR="00AD7196" w:rsidRPr="00AD7196" w:rsidRDefault="00AD7196" w:rsidP="00AD7196">
                            <w:pPr>
                              <w:jc w:val="center"/>
                              <w:rPr>
                                <w:rFonts w:cs="Calibri"/>
                              </w:rPr>
                            </w:pPr>
                            <w:r w:rsidRPr="00AD7196">
                              <w:rPr>
                                <w:rFonts w:cs="Calibri"/>
                                <w:b/>
                              </w:rPr>
                              <w:t>RÚBRICA DE EVALUACIÓN – RESEÑA CRÍTICA DE LECTURA</w:t>
                            </w:r>
                          </w:p>
                          <w:p w14:paraId="6664B383" w14:textId="77777777" w:rsidR="00AD7196" w:rsidRPr="00AD7196" w:rsidRDefault="00AD7196" w:rsidP="00AD7196">
                            <w:pPr>
                              <w:jc w:val="center"/>
                              <w:rPr>
                                <w:rFonts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C8FDE3" id="Cuadro de texto 326422034" o:spid="_x0000_s1258" type="#_x0000_t202" style="position:absolute;left:0;text-align:left;margin-left:0;margin-top:-25.65pt;width:520.2pt;height:32.4pt;z-index:2528337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" fillcolor="window" strokeweight=".5pt">
                <v:textbox>
                  <w:txbxContent>
                    <w:p w14:paraId="3B6680B7" w14:textId="77777777" w:rsidR="00AD7196" w:rsidRPr="00AD7196" w:rsidRDefault="00AD7196" w:rsidP="00AD7196">
                      <w:pPr>
                        <w:jc w:val="center"/>
                        <w:rPr>
                          <w:rFonts w:cs="Calibri"/>
                        </w:rPr>
                      </w:pPr>
                      <w:r w:rsidRPr="00AD7196">
                        <w:rPr>
                          <w:rFonts w:cs="Calibri"/>
                          <w:b/>
                        </w:rPr>
                        <w:t>RÚBRICA DE EVALUACIÓN – RESEÑA CRÍTICA DE LECTURA</w:t>
                      </w:r>
                    </w:p>
                    <w:p w14:paraId="6664B383" w14:textId="77777777" w:rsidR="00AD7196" w:rsidRPr="00AD7196" w:rsidRDefault="00AD7196" w:rsidP="00AD7196">
                      <w:pPr>
                        <w:jc w:val="center"/>
                        <w:rPr>
                          <w:rFonts w:cs="Calibri"/>
                        </w:rPr>
                      </w:pPr>
                    </w:p>
                  </w:txbxContent>
                </v:textbox>
                <w10:wrap anchorx="margin"/>
              </v:shape>
            </w:pict>
          </mc:Fallback>
        </mc:AlternateContent>
      </w:r>
    </w:p>
    <w:p w14:paraId="422B2A31"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70C0"/>
          <w:kern w:val="0"/>
          <w:lang w:val="es-ES_tradnl" w:eastAsia="es-CR"/>
          <w14:ligatures w14:val="none"/>
        </w:rPr>
      </w:pPr>
      <w:r w:rsidRPr="00AD7196">
        <w:rPr>
          <w:rFonts w:ascii="Calibri" w:eastAsia="Arial Unicode MS" w:hAnsi="Calibri" w:cs="Arial"/>
          <w:color w:val="0070C0"/>
          <w:kern w:val="0"/>
          <w:lang w:val="es-ES" w:eastAsia="es-ES"/>
          <w14:ligatures w14:val="none"/>
        </w:rPr>
        <w:t>Se elaborará una reseña crítica de lectura sobre el sistema educativo rabínico. La reseña incluirá un resumen de los puntos centrales de la lectura, una valoración de estos en el marco de la temática del curso y una contextualización.</w:t>
      </w:r>
      <w:r w:rsidRPr="00AD7196">
        <w:rPr>
          <w:rFonts w:ascii="Calibri" w:eastAsia="Times New Roman" w:hAnsi="Calibri" w:cs="Arial"/>
          <w:color w:val="0070C0"/>
          <w:kern w:val="0"/>
          <w:lang w:val="es-ES_tradnl" w:eastAsia="es-CR"/>
          <w14:ligatures w14:val="none"/>
        </w:rPr>
        <w:t xml:space="preserve"> Se elabora en la sesión 2 y tiene un valor de 5%.</w:t>
      </w:r>
    </w:p>
    <w:p w14:paraId="0CFE82A1"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b/>
          <w:bCs/>
          <w:color w:val="000000"/>
          <w:kern w:val="0"/>
          <w:lang w:val="es-ES_tradnl" w:eastAsia="es-CR"/>
          <w14:ligatures w14:val="none"/>
        </w:rPr>
      </w:pPr>
      <w:r w:rsidRPr="00AD7196">
        <w:rPr>
          <w:rFonts w:ascii="Calibri" w:eastAsia="Times New Roman" w:hAnsi="Calibri" w:cs="Arial"/>
          <w:b/>
          <w:bCs/>
          <w:noProof/>
          <w:color w:val="000000"/>
          <w:kern w:val="0"/>
          <w:lang w:val="es-ES_tradnl" w:eastAsia="es-CR"/>
          <w14:ligatures w14:val="none"/>
        </w:rPr>
        <w:drawing>
          <wp:anchor distT="0" distB="0" distL="114300" distR="114300" simplePos="0" relativeHeight="252834816" behindDoc="0" locked="0" layoutInCell="1" allowOverlap="1" wp14:anchorId="4F558171" wp14:editId="1E539D5A">
            <wp:simplePos x="0" y="0"/>
            <wp:positionH relativeFrom="margin">
              <wp:align>center</wp:align>
            </wp:positionH>
            <wp:positionV relativeFrom="paragraph">
              <wp:posOffset>226060</wp:posOffset>
            </wp:positionV>
            <wp:extent cx="8961120" cy="4834128"/>
            <wp:effectExtent l="0" t="0" r="0" b="5080"/>
            <wp:wrapNone/>
            <wp:docPr id="743963539"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63539" name="Imagen 2" descr="Tabla&#10;&#10;Descripción generada automáticamente"/>
                    <pic:cNvPicPr/>
                  </pic:nvPicPr>
                  <pic:blipFill>
                    <a:blip r:embed="rId551">
                      <a:extLst>
                        <a:ext uri="{28A0092B-C50C-407E-A947-70E740481C1C}">
                          <a14:useLocalDpi xmlns:a14="http://schemas.microsoft.com/office/drawing/2010/main" val="0"/>
                        </a:ext>
                      </a:extLst>
                    </a:blip>
                    <a:stretch>
                      <a:fillRect/>
                    </a:stretch>
                  </pic:blipFill>
                  <pic:spPr>
                    <a:xfrm>
                      <a:off x="0" y="0"/>
                      <a:ext cx="8961120" cy="4834128"/>
                    </a:xfrm>
                    <a:prstGeom prst="rect">
                      <a:avLst/>
                    </a:prstGeom>
                  </pic:spPr>
                </pic:pic>
              </a:graphicData>
            </a:graphic>
          </wp:anchor>
        </w:drawing>
      </w:r>
    </w:p>
    <w:p w14:paraId="1AE61263"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
          <w:bCs/>
          <w:color w:val="000000"/>
          <w:kern w:val="0"/>
          <w:lang w:val="es-ES_tradnl" w:eastAsia="es-CR"/>
          <w14:ligatures w14:val="none"/>
        </w:rPr>
      </w:pPr>
      <w:r w:rsidRPr="00AD7196">
        <w:rPr>
          <w:rFonts w:ascii="Calibri" w:eastAsia="Times New Roman" w:hAnsi="Calibri" w:cs="Arial"/>
          <w:b/>
          <w:bCs/>
          <w:color w:val="000000"/>
          <w:kern w:val="0"/>
          <w:lang w:val="es-ES_tradnl" w:eastAsia="es-CR"/>
          <w14:ligatures w14:val="none"/>
        </w:rPr>
        <w:br w:type="page"/>
      </w:r>
    </w:p>
    <w:p w14:paraId="075C26C7"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
          <w:bCs/>
          <w:color w:val="000000"/>
          <w:kern w:val="0"/>
          <w:lang w:val="es-ES_tradnl" w:eastAsia="es-CR"/>
          <w14:ligatures w14:val="none"/>
        </w:rPr>
      </w:pPr>
      <w:r w:rsidRPr="00AD7196">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835840" behindDoc="0" locked="0" layoutInCell="1" allowOverlap="1" wp14:anchorId="08C83C3F" wp14:editId="04BBF95C">
                <wp:simplePos x="0" y="0"/>
                <wp:positionH relativeFrom="margin">
                  <wp:align>center</wp:align>
                </wp:positionH>
                <wp:positionV relativeFrom="paragraph">
                  <wp:posOffset>-300990</wp:posOffset>
                </wp:positionV>
                <wp:extent cx="7917180" cy="442913"/>
                <wp:effectExtent l="0" t="0" r="26670" b="14605"/>
                <wp:wrapNone/>
                <wp:docPr id="1288938084" name="Rectángulo 1"/>
                <wp:cNvGraphicFramePr/>
                <a:graphic xmlns:a="http://schemas.openxmlformats.org/drawingml/2006/main">
                  <a:graphicData uri="http://schemas.microsoft.com/office/word/2010/wordprocessingShape">
                    <wps:wsp>
                      <wps:cNvSpPr/>
                      <wps:spPr>
                        <a:xfrm>
                          <a:off x="0" y="0"/>
                          <a:ext cx="7917180" cy="442913"/>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04789EC" w14:textId="77777777" w:rsidR="00AD7196" w:rsidRPr="00AD7196" w:rsidRDefault="00AD7196" w:rsidP="00AD7196">
                            <w:pPr>
                              <w:jc w:val="center"/>
                              <w:rPr>
                                <w:rFonts w:cs="Calibri"/>
                              </w:rPr>
                            </w:pPr>
                            <w:r w:rsidRPr="00AD7196">
                              <w:rPr>
                                <w:rFonts w:cs="Calibri"/>
                                <w:b/>
                              </w:rPr>
                              <w:t>ESCALA DE EVALUACIÓN – EJERCICIOS DE REFLEXIÓN BÍBLICA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83C3F" id="_x0000_s1259" style="position:absolute;left:0;text-align:left;margin-left:0;margin-top:-23.7pt;width:623.4pt;height:34.9pt;z-index:252835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" fillcolor="window" strokecolor="windowText" strokeweight=".25pt">
                <v:textbox>
                  <w:txbxContent>
                    <w:p w14:paraId="404789EC" w14:textId="77777777" w:rsidR="00AD7196" w:rsidRPr="00AD7196" w:rsidRDefault="00AD7196" w:rsidP="00AD7196">
                      <w:pPr>
                        <w:jc w:val="center"/>
                        <w:rPr>
                          <w:rFonts w:cs="Calibri"/>
                        </w:rPr>
                      </w:pPr>
                      <w:r w:rsidRPr="00AD7196">
                        <w:rPr>
                          <w:rFonts w:cs="Calibri"/>
                          <w:b/>
                        </w:rPr>
                        <w:t>ESCALA DE EVALUACIÓN – EJERCICIOS DE REFLEXIÓN BÍBLICA</w:t>
                      </w:r>
                    </w:p>
                  </w:txbxContent>
                </v:textbox>
                <w10:wrap anchorx="margin"/>
              </v:rect>
            </w:pict>
          </mc:Fallback>
        </mc:AlternateContent>
      </w:r>
    </w:p>
    <w:p w14:paraId="7548465B"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70C0"/>
          <w:kern w:val="0"/>
          <w:lang w:val="es-ES_tradnl" w:eastAsia="es-CR"/>
          <w14:ligatures w14:val="none"/>
        </w:rPr>
      </w:pPr>
      <w:r w:rsidRPr="00AD7196">
        <w:rPr>
          <w:rFonts w:ascii="Calibri" w:eastAsia="Times New Roman" w:hAnsi="Calibri" w:cs="Arial"/>
          <w:color w:val="0070C0"/>
          <w:kern w:val="0"/>
          <w:lang w:val="es-ES_tradnl" w:eastAsia="es-CR"/>
          <w14:ligatures w14:val="none"/>
        </w:rPr>
        <w:t>Se realizarán tres ejercicios pedagógicos de reflexión bíblica que aborden un texto bíblico desde la temática indicada en la sesión. Cada ejercicio tiene un valor de 10% y se distribuyen de la siguiente forma:</w:t>
      </w:r>
      <w:r w:rsidRPr="00AD7196">
        <w:rPr>
          <w:rFonts w:ascii="Calibri" w:eastAsia="Times New Roman" w:hAnsi="Calibri" w:cs="Arial"/>
          <w:b/>
          <w:bCs/>
          <w:color w:val="0070C0"/>
          <w:kern w:val="0"/>
          <w:lang w:val="es-ES_tradnl" w:eastAsia="es-CR"/>
          <w14:ligatures w14:val="none"/>
        </w:rPr>
        <w:t xml:space="preserve"> </w:t>
      </w:r>
      <w:r w:rsidRPr="00AD7196">
        <w:rPr>
          <w:rFonts w:ascii="Calibri" w:eastAsia="Times New Roman" w:hAnsi="Calibri" w:cs="Arial"/>
          <w:color w:val="0070C0"/>
          <w:kern w:val="0"/>
          <w:lang w:val="es-ES_tradnl" w:eastAsia="es-CR"/>
          <w14:ligatures w14:val="none"/>
        </w:rPr>
        <w:t>ejercicio de reflexión bíblica sobre el arte y la pedagogía bíblica (sesión 6 a la 8),</w:t>
      </w:r>
      <w:r w:rsidRPr="00AD7196">
        <w:rPr>
          <w:rFonts w:ascii="Calibri" w:eastAsia="Times New Roman" w:hAnsi="Calibri" w:cs="Arial"/>
          <w:b/>
          <w:bCs/>
          <w:color w:val="0070C0"/>
          <w:kern w:val="0"/>
          <w:lang w:val="es-ES_tradnl" w:eastAsia="es-CR"/>
          <w14:ligatures w14:val="none"/>
        </w:rPr>
        <w:t xml:space="preserve"> </w:t>
      </w:r>
      <w:r w:rsidRPr="00AD7196">
        <w:rPr>
          <w:rFonts w:ascii="Calibri" w:eastAsia="Times New Roman" w:hAnsi="Calibri" w:cs="Arial"/>
          <w:color w:val="0070C0"/>
          <w:kern w:val="0"/>
          <w:lang w:val="es-ES_tradnl" w:eastAsia="es-CR"/>
          <w14:ligatures w14:val="none"/>
        </w:rPr>
        <w:t>ejercicio de reflexión bíblica desde el eje de la corporeidad (sesión 10) y ejercicio de reflexión bíblica desde el eje de la espiritualidad (sesión 12).</w:t>
      </w:r>
    </w:p>
    <w:p w14:paraId="70BFF563"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b/>
          <w:bCs/>
          <w:color w:val="000000"/>
          <w:kern w:val="0"/>
          <w:lang w:val="es-ES_tradnl" w:eastAsia="es-CR"/>
          <w14:ligatures w14:val="none"/>
        </w:rPr>
      </w:pPr>
    </w:p>
    <w:p w14:paraId="0F35B933"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
          <w:bCs/>
          <w:color w:val="000000"/>
          <w:kern w:val="0"/>
          <w:lang w:val="es-ES_tradnl" w:eastAsia="es-CR"/>
          <w14:ligatures w14:val="none"/>
        </w:rPr>
      </w:pPr>
      <w:r w:rsidRPr="00AD7196">
        <w:rPr>
          <w:rFonts w:ascii="Calibri" w:eastAsia="Times New Roman" w:hAnsi="Calibri" w:cs="Arial"/>
          <w:b/>
          <w:bCs/>
          <w:noProof/>
          <w:color w:val="000000"/>
          <w:kern w:val="0"/>
          <w:lang w:val="es-ES_tradnl" w:eastAsia="es-CR"/>
          <w14:ligatures w14:val="none"/>
        </w:rPr>
        <w:drawing>
          <wp:anchor distT="0" distB="0" distL="114300" distR="114300" simplePos="0" relativeHeight="252836864" behindDoc="0" locked="0" layoutInCell="1" allowOverlap="1" wp14:anchorId="3A59E1F0" wp14:editId="253D91C6">
            <wp:simplePos x="0" y="0"/>
            <wp:positionH relativeFrom="margin">
              <wp:align>center</wp:align>
            </wp:positionH>
            <wp:positionV relativeFrom="paragraph">
              <wp:posOffset>3175</wp:posOffset>
            </wp:positionV>
            <wp:extent cx="8040624" cy="4090416"/>
            <wp:effectExtent l="0" t="0" r="0" b="5715"/>
            <wp:wrapNone/>
            <wp:docPr id="837427626"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427626" name="Imagen 3" descr="Tabla&#10;&#10;Descripción generada automáticamente"/>
                    <pic:cNvPicPr/>
                  </pic:nvPicPr>
                  <pic:blipFill>
                    <a:blip r:embed="rId552">
                      <a:extLst>
                        <a:ext uri="{28A0092B-C50C-407E-A947-70E740481C1C}">
                          <a14:useLocalDpi xmlns:a14="http://schemas.microsoft.com/office/drawing/2010/main" val="0"/>
                        </a:ext>
                      </a:extLst>
                    </a:blip>
                    <a:stretch>
                      <a:fillRect/>
                    </a:stretch>
                  </pic:blipFill>
                  <pic:spPr>
                    <a:xfrm>
                      <a:off x="0" y="0"/>
                      <a:ext cx="8040624" cy="4090416"/>
                    </a:xfrm>
                    <a:prstGeom prst="rect">
                      <a:avLst/>
                    </a:prstGeom>
                  </pic:spPr>
                </pic:pic>
              </a:graphicData>
            </a:graphic>
          </wp:anchor>
        </w:drawing>
      </w:r>
      <w:r w:rsidRPr="00AD7196">
        <w:rPr>
          <w:rFonts w:ascii="Calibri" w:eastAsia="Times New Roman" w:hAnsi="Calibri" w:cs="Arial"/>
          <w:b/>
          <w:bCs/>
          <w:color w:val="000000"/>
          <w:kern w:val="0"/>
          <w:lang w:val="es-ES_tradnl" w:eastAsia="es-CR"/>
          <w14:ligatures w14:val="none"/>
        </w:rPr>
        <w:br w:type="page"/>
      </w:r>
    </w:p>
    <w:p w14:paraId="1B0E921A"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
          <w:bCs/>
          <w:color w:val="000000"/>
          <w:kern w:val="0"/>
          <w:lang w:val="es-ES_tradnl" w:eastAsia="es-CR"/>
          <w14:ligatures w14:val="none"/>
        </w:rPr>
      </w:pPr>
      <w:r w:rsidRPr="00AD7196">
        <w:rPr>
          <w:rFonts w:ascii="Times New Roman" w:eastAsia="Times New Roman" w:hAnsi="Times New Roman" w:cs="Times New Roman"/>
          <w:b/>
          <w:noProof/>
          <w:kern w:val="0"/>
          <w:sz w:val="24"/>
          <w:szCs w:val="20"/>
          <w:lang w:val="es-ES_tradnl" w:eastAsia="es-CR"/>
          <w14:ligatures w14:val="none"/>
        </w:rPr>
        <w:lastRenderedPageBreak/>
        <mc:AlternateContent>
          <mc:Choice Requires="wps">
            <w:drawing>
              <wp:anchor distT="0" distB="0" distL="114300" distR="114300" simplePos="0" relativeHeight="252837888" behindDoc="0" locked="0" layoutInCell="1" allowOverlap="1" wp14:anchorId="460E2DC0" wp14:editId="28FDE9E8">
                <wp:simplePos x="0" y="0"/>
                <wp:positionH relativeFrom="margin">
                  <wp:align>center</wp:align>
                </wp:positionH>
                <wp:positionV relativeFrom="paragraph">
                  <wp:posOffset>-348297</wp:posOffset>
                </wp:positionV>
                <wp:extent cx="7917180" cy="461963"/>
                <wp:effectExtent l="0" t="0" r="26670" b="14605"/>
                <wp:wrapNone/>
                <wp:docPr id="1841694221" name="Rectángulo 1"/>
                <wp:cNvGraphicFramePr/>
                <a:graphic xmlns:a="http://schemas.openxmlformats.org/drawingml/2006/main">
                  <a:graphicData uri="http://schemas.microsoft.com/office/word/2010/wordprocessingShape">
                    <wps:wsp>
                      <wps:cNvSpPr/>
                      <wps:spPr>
                        <a:xfrm>
                          <a:off x="0" y="0"/>
                          <a:ext cx="7917180" cy="461963"/>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1382FAB4" w14:textId="77777777" w:rsidR="00AD7196" w:rsidRPr="00AD7196" w:rsidRDefault="00AD7196" w:rsidP="00AD7196">
                            <w:pPr>
                              <w:jc w:val="center"/>
                              <w:rPr>
                                <w:rFonts w:cs="Calibri"/>
                              </w:rPr>
                            </w:pPr>
                            <w:r w:rsidRPr="00AD7196">
                              <w:rPr>
                                <w:rFonts w:cs="Calibri"/>
                                <w:b/>
                              </w:rPr>
                              <w:t>ESCALA DE EVALUACIÓN – MURAL (WIKI)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E2DC0" id="_x0000_s1260" style="position:absolute;left:0;text-align:left;margin-left:0;margin-top:-27.4pt;width:623.4pt;height:36.4pt;z-index:252837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" fillcolor="window" strokecolor="windowText" strokeweight=".25pt">
                <v:textbox>
                  <w:txbxContent>
                    <w:p w14:paraId="1382FAB4" w14:textId="77777777" w:rsidR="00AD7196" w:rsidRPr="00AD7196" w:rsidRDefault="00AD7196" w:rsidP="00AD7196">
                      <w:pPr>
                        <w:jc w:val="center"/>
                        <w:rPr>
                          <w:rFonts w:cs="Calibri"/>
                        </w:rPr>
                      </w:pPr>
                      <w:r w:rsidRPr="00AD7196">
                        <w:rPr>
                          <w:rFonts w:cs="Calibri"/>
                          <w:b/>
                        </w:rPr>
                        <w:t>ESCALA DE EVALUACIÓN – MURAL (WIKI)</w:t>
                      </w:r>
                    </w:p>
                  </w:txbxContent>
                </v:textbox>
                <w10:wrap anchorx="margin"/>
              </v:rect>
            </w:pict>
          </mc:Fallback>
        </mc:AlternateContent>
      </w:r>
    </w:p>
    <w:p w14:paraId="1907A83E"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70C0"/>
          <w:kern w:val="0"/>
          <w:lang w:val="es-ES_tradnl" w:eastAsia="es-CR"/>
          <w14:ligatures w14:val="none"/>
        </w:rPr>
      </w:pPr>
      <w:r w:rsidRPr="00AD7196">
        <w:rPr>
          <w:rFonts w:ascii="Calibri" w:eastAsia="Times New Roman" w:hAnsi="Calibri" w:cs="Arial"/>
          <w:color w:val="0070C0"/>
          <w:kern w:val="0"/>
          <w:lang w:val="es-ES_tradnl" w:eastAsia="es-CR"/>
          <w14:ligatures w14:val="none"/>
        </w:rPr>
        <w:t>Durante dos sesiones se trabajará en grupos en la creación de murales que representen en forma visual una reflexión y valoración del tema de cada sesión y su ilustración mediante imágenes y videos. Se desarrollan en las sesiones 3 y 5. Cada mural tiene un valor de 5%.</w:t>
      </w:r>
    </w:p>
    <w:p w14:paraId="55CE2039"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5FB71268"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r w:rsidRPr="00AD7196">
        <w:rPr>
          <w:rFonts w:ascii="Calibri" w:eastAsia="Times New Roman" w:hAnsi="Calibri" w:cs="Arial"/>
          <w:b/>
          <w:bCs/>
          <w:noProof/>
          <w:color w:val="000000"/>
          <w:kern w:val="0"/>
          <w:lang w:val="es-ES_tradnl" w:eastAsia="es-CR"/>
          <w14:ligatures w14:val="none"/>
        </w:rPr>
        <w:drawing>
          <wp:anchor distT="0" distB="0" distL="114300" distR="114300" simplePos="0" relativeHeight="252838912" behindDoc="0" locked="0" layoutInCell="1" allowOverlap="1" wp14:anchorId="300323E0" wp14:editId="038423DE">
            <wp:simplePos x="0" y="0"/>
            <wp:positionH relativeFrom="margin">
              <wp:align>center</wp:align>
            </wp:positionH>
            <wp:positionV relativeFrom="paragraph">
              <wp:posOffset>7620</wp:posOffset>
            </wp:positionV>
            <wp:extent cx="8052435" cy="4108450"/>
            <wp:effectExtent l="0" t="0" r="5715" b="6350"/>
            <wp:wrapNone/>
            <wp:docPr id="858126000"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126000" name="Imagen 4" descr="Tabla&#10;&#10;Descripción generada automáticamente"/>
                    <pic:cNvPicPr/>
                  </pic:nvPicPr>
                  <pic:blipFill>
                    <a:blip r:embed="rId553">
                      <a:extLst>
                        <a:ext uri="{28A0092B-C50C-407E-A947-70E740481C1C}">
                          <a14:useLocalDpi xmlns:a14="http://schemas.microsoft.com/office/drawing/2010/main" val="0"/>
                        </a:ext>
                      </a:extLst>
                    </a:blip>
                    <a:stretch>
                      <a:fillRect/>
                    </a:stretch>
                  </pic:blipFill>
                  <pic:spPr>
                    <a:xfrm>
                      <a:off x="0" y="0"/>
                      <a:ext cx="8052435" cy="4108450"/>
                    </a:xfrm>
                    <a:prstGeom prst="rect">
                      <a:avLst/>
                    </a:prstGeom>
                  </pic:spPr>
                </pic:pic>
              </a:graphicData>
            </a:graphic>
          </wp:anchor>
        </w:drawing>
      </w:r>
    </w:p>
    <w:p w14:paraId="0D4A089C"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6C390091"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61D7A7D8"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294EFC56"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5633342D"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05658063"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21FB07DF"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3669A870"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0E6FB3E5"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6E551E8C"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5281D034"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591D31BB"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5009C0C7"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21357713"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1B25D325"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1521F19C"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r w:rsidRPr="00AD7196">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839936" behindDoc="0" locked="0" layoutInCell="1" allowOverlap="1" wp14:anchorId="7F60A6CE" wp14:editId="39EC1EA7">
                <wp:simplePos x="0" y="0"/>
                <wp:positionH relativeFrom="margin">
                  <wp:align>center</wp:align>
                </wp:positionH>
                <wp:positionV relativeFrom="paragraph">
                  <wp:posOffset>-358140</wp:posOffset>
                </wp:positionV>
                <wp:extent cx="7917180" cy="447675"/>
                <wp:effectExtent l="0" t="0" r="26670" b="28575"/>
                <wp:wrapNone/>
                <wp:docPr id="1239090867" name="Rectángulo 1"/>
                <wp:cNvGraphicFramePr/>
                <a:graphic xmlns:a="http://schemas.openxmlformats.org/drawingml/2006/main">
                  <a:graphicData uri="http://schemas.microsoft.com/office/word/2010/wordprocessingShape">
                    <wps:wsp>
                      <wps:cNvSpPr/>
                      <wps:spPr>
                        <a:xfrm>
                          <a:off x="0" y="0"/>
                          <a:ext cx="7917180" cy="44767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2D8884F" w14:textId="77777777" w:rsidR="00AD7196" w:rsidRPr="00AD7196" w:rsidRDefault="00AD7196" w:rsidP="00AD7196">
                            <w:pPr>
                              <w:jc w:val="center"/>
                              <w:rPr>
                                <w:rFonts w:cs="Calibri"/>
                              </w:rPr>
                            </w:pPr>
                            <w:r w:rsidRPr="00AD7196">
                              <w:rPr>
                                <w:rFonts w:cs="Calibri"/>
                                <w:b/>
                              </w:rPr>
                              <w:t>ESCALA DE EVALUACIÓN – PRODUCTO PEDAGÓGICO FINAL (PLAN DE LA SESIÓN)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0A6CE" id="_x0000_s1261" style="position:absolute;left:0;text-align:left;margin-left:0;margin-top:-28.2pt;width:623.4pt;height:35.25pt;z-index:252839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" fillcolor="window" strokecolor="windowText" strokeweight=".25pt">
                <v:textbox>
                  <w:txbxContent>
                    <w:p w14:paraId="22D8884F" w14:textId="77777777" w:rsidR="00AD7196" w:rsidRPr="00AD7196" w:rsidRDefault="00AD7196" w:rsidP="00AD7196">
                      <w:pPr>
                        <w:jc w:val="center"/>
                        <w:rPr>
                          <w:rFonts w:cs="Calibri"/>
                        </w:rPr>
                      </w:pPr>
                      <w:r w:rsidRPr="00AD7196">
                        <w:rPr>
                          <w:rFonts w:cs="Calibri"/>
                          <w:b/>
                        </w:rPr>
                        <w:t>ESCALA DE EVALUACIÓN – PRODUCTO PEDAGÓGICO FINAL (PLAN DE LA SESIÓN)</w:t>
                      </w:r>
                    </w:p>
                  </w:txbxContent>
                </v:textbox>
                <w10:wrap anchorx="margin"/>
              </v:rect>
            </w:pict>
          </mc:Fallback>
        </mc:AlternateContent>
      </w:r>
    </w:p>
    <w:p w14:paraId="523EA5DE"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70C0"/>
          <w:kern w:val="0"/>
          <w:lang w:val="es-ES_tradnl" w:eastAsia="es-CR"/>
          <w14:ligatures w14:val="none"/>
        </w:rPr>
      </w:pPr>
      <w:r w:rsidRPr="00AD7196">
        <w:rPr>
          <w:rFonts w:ascii="Calibri" w:eastAsia="Times New Roman" w:hAnsi="Calibri" w:cs="Arial"/>
          <w:color w:val="0070C0"/>
          <w:kern w:val="0"/>
          <w:lang w:val="es-ES_tradnl" w:eastAsia="es-CR"/>
          <w14:ligatures w14:val="none"/>
        </w:rPr>
        <w:t>Como trabajo final del curso los y las estudiantes desarrollarán un planteamiento completo de una sesión de trabajo pedagógico/pastoral a modo de un “estudio bíblico” con un grupo social, eclesial o escolar (dependiendo del contexto de la persona estudiante). Se inicia en la sesión 9 y se entrega en la sesión 15, distribuyéndose de la siguiente forma: Plan de la sesión (sesión 11). Tiene un valor de 5%. Informe de aplicación (sesión 13). Tiene un valor de 5%. Versión final del producto pedagógico final (sesión 15). Tiene un valor de 20%.</w:t>
      </w:r>
    </w:p>
    <w:p w14:paraId="486E1854"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42A830D2"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r w:rsidRPr="00AD7196">
        <w:rPr>
          <w:rFonts w:ascii="Calibri" w:eastAsia="Times New Roman" w:hAnsi="Calibri" w:cs="Arial"/>
          <w:noProof/>
          <w:color w:val="000000"/>
          <w:kern w:val="0"/>
          <w:lang w:val="es-ES_tradnl" w:eastAsia="es-CR"/>
          <w14:ligatures w14:val="none"/>
        </w:rPr>
        <w:drawing>
          <wp:anchor distT="0" distB="0" distL="114300" distR="114300" simplePos="0" relativeHeight="252840960" behindDoc="0" locked="0" layoutInCell="1" allowOverlap="1" wp14:anchorId="3260C336" wp14:editId="452DC097">
            <wp:simplePos x="0" y="0"/>
            <wp:positionH relativeFrom="margin">
              <wp:align>center</wp:align>
            </wp:positionH>
            <wp:positionV relativeFrom="paragraph">
              <wp:posOffset>43180</wp:posOffset>
            </wp:positionV>
            <wp:extent cx="8052435" cy="3547745"/>
            <wp:effectExtent l="0" t="0" r="5715" b="0"/>
            <wp:wrapNone/>
            <wp:docPr id="1893465096"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465096" name="Imagen 5" descr="Tabla&#10;&#10;Descripción generada automáticamente"/>
                    <pic:cNvPicPr/>
                  </pic:nvPicPr>
                  <pic:blipFill>
                    <a:blip r:embed="rId554">
                      <a:extLst>
                        <a:ext uri="{28A0092B-C50C-407E-A947-70E740481C1C}">
                          <a14:useLocalDpi xmlns:a14="http://schemas.microsoft.com/office/drawing/2010/main" val="0"/>
                        </a:ext>
                      </a:extLst>
                    </a:blip>
                    <a:stretch>
                      <a:fillRect/>
                    </a:stretch>
                  </pic:blipFill>
                  <pic:spPr>
                    <a:xfrm>
                      <a:off x="0" y="0"/>
                      <a:ext cx="8052435" cy="3547745"/>
                    </a:xfrm>
                    <a:prstGeom prst="rect">
                      <a:avLst/>
                    </a:prstGeom>
                  </pic:spPr>
                </pic:pic>
              </a:graphicData>
            </a:graphic>
          </wp:anchor>
        </w:drawing>
      </w:r>
    </w:p>
    <w:p w14:paraId="4965CE1E"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61A128F7"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7EAD8449"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61B8EEB0"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0EA9ADAF"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1E78BA97"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189AE62F"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097D5CD0"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295E52D5"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229C82DB"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6954DE5A"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77E317E1"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5E18163C"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5D19F39B"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47A36C28"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r w:rsidRPr="00AD7196">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841984" behindDoc="0" locked="0" layoutInCell="1" allowOverlap="1" wp14:anchorId="07422FC2" wp14:editId="112EE338">
                <wp:simplePos x="0" y="0"/>
                <wp:positionH relativeFrom="margin">
                  <wp:align>center</wp:align>
                </wp:positionH>
                <wp:positionV relativeFrom="paragraph">
                  <wp:posOffset>-239395</wp:posOffset>
                </wp:positionV>
                <wp:extent cx="7917180" cy="419100"/>
                <wp:effectExtent l="0" t="0" r="26670" b="19050"/>
                <wp:wrapNone/>
                <wp:docPr id="2092869134" name="Rectángulo 1"/>
                <wp:cNvGraphicFramePr/>
                <a:graphic xmlns:a="http://schemas.openxmlformats.org/drawingml/2006/main">
                  <a:graphicData uri="http://schemas.microsoft.com/office/word/2010/wordprocessingShape">
                    <wps:wsp>
                      <wps:cNvSpPr/>
                      <wps:spPr>
                        <a:xfrm>
                          <a:off x="0" y="0"/>
                          <a:ext cx="7917180" cy="41910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7F20C06" w14:textId="77777777" w:rsidR="00AD7196" w:rsidRPr="00AD7196" w:rsidRDefault="00AD7196" w:rsidP="00AD7196">
                            <w:pPr>
                              <w:jc w:val="center"/>
                              <w:rPr>
                                <w:rFonts w:cs="Calibri"/>
                              </w:rPr>
                            </w:pPr>
                            <w:r w:rsidRPr="00AD7196">
                              <w:rPr>
                                <w:rFonts w:cs="Calibri"/>
                                <w:b/>
                              </w:rPr>
                              <w:t>ESCALA DE EVALUACIÓN – PRODUCTO PEDAGÓGICO FINAL (INFORME DE APLICACIÓN)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22FC2" id="_x0000_s1262" style="position:absolute;left:0;text-align:left;margin-left:0;margin-top:-18.85pt;width:623.4pt;height:33pt;z-index:252841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" fillcolor="window" strokecolor="windowText" strokeweight=".25pt">
                <v:textbox>
                  <w:txbxContent>
                    <w:p w14:paraId="67F20C06" w14:textId="77777777" w:rsidR="00AD7196" w:rsidRPr="00AD7196" w:rsidRDefault="00AD7196" w:rsidP="00AD7196">
                      <w:pPr>
                        <w:jc w:val="center"/>
                        <w:rPr>
                          <w:rFonts w:cs="Calibri"/>
                        </w:rPr>
                      </w:pPr>
                      <w:r w:rsidRPr="00AD7196">
                        <w:rPr>
                          <w:rFonts w:cs="Calibri"/>
                          <w:b/>
                        </w:rPr>
                        <w:t>ESCALA DE EVALUACIÓN – PRODUCTO PEDAGÓGICO FINAL (INFORME DE APLICACIÓN)</w:t>
                      </w:r>
                    </w:p>
                  </w:txbxContent>
                </v:textbox>
                <w10:wrap anchorx="margin"/>
              </v:rect>
            </w:pict>
          </mc:Fallback>
        </mc:AlternateContent>
      </w:r>
    </w:p>
    <w:p w14:paraId="6379151E"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r w:rsidRPr="00AD7196">
        <w:rPr>
          <w:rFonts w:ascii="Calibri" w:eastAsia="Times New Roman" w:hAnsi="Calibri" w:cs="Arial"/>
          <w:color w:val="0070C0"/>
          <w:kern w:val="0"/>
          <w:lang w:val="es-ES_tradnl" w:eastAsia="es-CR"/>
          <w14:ligatures w14:val="none"/>
        </w:rPr>
        <w:t>Como trabajo final del curso los y las estudiantes desarrollarán un planteamiento completo de una sesión de trabajo pedagógico/pastoral a modo de un “estudio bíblico” con un grupo social, eclesial o escolar (dependiendo del contexto de la persona estudiante). Se inicia en la sesión 9 y se entrega en la sesión 15, distribuyéndose de la siguiente forma: Plan de la sesión (sesión 11). Tiene un valor de 5%. Informe de aplicación (sesión 13). Tiene un valor de 5%. Versión final del producto pedagógico final (sesión 15). Tiene un valor de 20%.</w:t>
      </w:r>
    </w:p>
    <w:p w14:paraId="372C10E4"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r w:rsidRPr="00AD7196">
        <w:rPr>
          <w:rFonts w:ascii="Calibri" w:eastAsia="Times New Roman" w:hAnsi="Calibri" w:cs="Arial"/>
          <w:noProof/>
          <w:color w:val="000000"/>
          <w:kern w:val="0"/>
          <w:lang w:val="es-ES_tradnl" w:eastAsia="es-CR"/>
          <w14:ligatures w14:val="none"/>
        </w:rPr>
        <w:drawing>
          <wp:anchor distT="0" distB="0" distL="114300" distR="114300" simplePos="0" relativeHeight="252843008" behindDoc="0" locked="0" layoutInCell="1" allowOverlap="1" wp14:anchorId="4ECFA898" wp14:editId="0F83B37A">
            <wp:simplePos x="0" y="0"/>
            <wp:positionH relativeFrom="margin">
              <wp:align>center</wp:align>
            </wp:positionH>
            <wp:positionV relativeFrom="paragraph">
              <wp:posOffset>90170</wp:posOffset>
            </wp:positionV>
            <wp:extent cx="8040624" cy="3176016"/>
            <wp:effectExtent l="0" t="0" r="0" b="5715"/>
            <wp:wrapNone/>
            <wp:docPr id="515742478" name="Imagen 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742478" name="Imagen 6" descr="Tabla&#10;&#10;Descripción generada automáticamente"/>
                    <pic:cNvPicPr/>
                  </pic:nvPicPr>
                  <pic:blipFill>
                    <a:blip r:embed="rId555">
                      <a:extLst>
                        <a:ext uri="{28A0092B-C50C-407E-A947-70E740481C1C}">
                          <a14:useLocalDpi xmlns:a14="http://schemas.microsoft.com/office/drawing/2010/main" val="0"/>
                        </a:ext>
                      </a:extLst>
                    </a:blip>
                    <a:stretch>
                      <a:fillRect/>
                    </a:stretch>
                  </pic:blipFill>
                  <pic:spPr>
                    <a:xfrm>
                      <a:off x="0" y="0"/>
                      <a:ext cx="8040624" cy="3176016"/>
                    </a:xfrm>
                    <a:prstGeom prst="rect">
                      <a:avLst/>
                    </a:prstGeom>
                  </pic:spPr>
                </pic:pic>
              </a:graphicData>
            </a:graphic>
          </wp:anchor>
        </w:drawing>
      </w:r>
    </w:p>
    <w:p w14:paraId="3090D15F"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3EBCFB7C"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730892F2"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2AFA3205"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5B5DB711"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3544EB6E"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3008B626"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5940ABD1"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210C4CDD"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6FED8F40"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079D89B5"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41B8972E"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618CA2EA"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6B52D7BA"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642AE9E9"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5D5C8CD9"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p>
    <w:p w14:paraId="42944EAD"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color w:val="000000"/>
          <w:kern w:val="0"/>
          <w:lang w:val="es-ES_tradnl" w:eastAsia="es-CR"/>
          <w14:ligatures w14:val="none"/>
        </w:rPr>
      </w:pPr>
      <w:r w:rsidRPr="00AD7196">
        <w:rPr>
          <w:rFonts w:ascii="Times New Roman" w:eastAsia="Times New Roman" w:hAnsi="Times New Roman" w:cs="Times New Roman"/>
          <w:b/>
          <w:noProof/>
          <w:kern w:val="0"/>
          <w:sz w:val="24"/>
          <w:szCs w:val="20"/>
          <w:lang w:val="es-ES_tradnl" w:eastAsia="es-CR"/>
          <w14:ligatures w14:val="none"/>
        </w:rPr>
        <mc:AlternateContent>
          <mc:Choice Requires="wps">
            <w:drawing>
              <wp:anchor distT="0" distB="0" distL="114300" distR="114300" simplePos="0" relativeHeight="252844032" behindDoc="0" locked="0" layoutInCell="1" allowOverlap="1" wp14:anchorId="4A890425" wp14:editId="0570DB75">
                <wp:simplePos x="0" y="0"/>
                <wp:positionH relativeFrom="margin">
                  <wp:align>center</wp:align>
                </wp:positionH>
                <wp:positionV relativeFrom="paragraph">
                  <wp:posOffset>-263525</wp:posOffset>
                </wp:positionV>
                <wp:extent cx="7917180" cy="438150"/>
                <wp:effectExtent l="0" t="0" r="26670" b="19050"/>
                <wp:wrapNone/>
                <wp:docPr id="985388782" name="Rectángulo 1"/>
                <wp:cNvGraphicFramePr/>
                <a:graphic xmlns:a="http://schemas.openxmlformats.org/drawingml/2006/main">
                  <a:graphicData uri="http://schemas.microsoft.com/office/word/2010/wordprocessingShape">
                    <wps:wsp>
                      <wps:cNvSpPr/>
                      <wps:spPr>
                        <a:xfrm>
                          <a:off x="0" y="0"/>
                          <a:ext cx="7917180" cy="43815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4BC42D67" w14:textId="77777777" w:rsidR="00AD7196" w:rsidRPr="00AD7196" w:rsidRDefault="00AD7196" w:rsidP="00AD7196">
                            <w:pPr>
                              <w:jc w:val="center"/>
                              <w:rPr>
                                <w:rFonts w:cs="Calibri"/>
                              </w:rPr>
                            </w:pPr>
                            <w:r w:rsidRPr="00AD7196">
                              <w:rPr>
                                <w:rFonts w:cs="Calibri"/>
                                <w:b/>
                              </w:rPr>
                              <w:t>ESCALA DE EVALUACIÓN – PRODUCTO PEDAGÓGICO FINAL (VERSIÓN FINAL)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890425" id="_x0000_s1263" style="position:absolute;left:0;text-align:left;margin-left:0;margin-top:-20.75pt;width:623.4pt;height:34.5pt;z-index:252844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" fillcolor="window" strokecolor="windowText" strokeweight=".25pt">
                <v:textbox>
                  <w:txbxContent>
                    <w:p w14:paraId="4BC42D67" w14:textId="77777777" w:rsidR="00AD7196" w:rsidRPr="00AD7196" w:rsidRDefault="00AD7196" w:rsidP="00AD7196">
                      <w:pPr>
                        <w:jc w:val="center"/>
                        <w:rPr>
                          <w:rFonts w:cs="Calibri"/>
                        </w:rPr>
                      </w:pPr>
                      <w:r w:rsidRPr="00AD7196">
                        <w:rPr>
                          <w:rFonts w:cs="Calibri"/>
                          <w:b/>
                        </w:rPr>
                        <w:t>ESCALA DE EVALUACIÓN – PRODUCTO PEDAGÓGICO FINAL (VERSIÓN FINAL)</w:t>
                      </w:r>
                    </w:p>
                  </w:txbxContent>
                </v:textbox>
                <w10:wrap anchorx="margin"/>
              </v:rect>
            </w:pict>
          </mc:Fallback>
        </mc:AlternateContent>
      </w:r>
    </w:p>
    <w:p w14:paraId="4E9B27A0" w14:textId="77777777" w:rsidR="00AD7196" w:rsidRPr="00AD7196" w:rsidRDefault="00AD7196" w:rsidP="00AD7196">
      <w:pPr>
        <w:widowControl w:val="0"/>
        <w:overflowPunct w:val="0"/>
        <w:autoSpaceDE w:val="0"/>
        <w:autoSpaceDN w:val="0"/>
        <w:adjustRightInd w:val="0"/>
        <w:spacing w:after="100" w:afterAutospacing="1" w:line="240" w:lineRule="auto"/>
        <w:jc w:val="center"/>
        <w:rPr>
          <w:rFonts w:ascii="Calibri" w:eastAsia="Times New Roman" w:hAnsi="Calibri" w:cs="Arial"/>
          <w:b/>
          <w:bCs/>
          <w:color w:val="000000"/>
          <w:kern w:val="0"/>
          <w:lang w:val="es-ES_tradnl" w:eastAsia="es-CR"/>
          <w14:ligatures w14:val="none"/>
        </w:rPr>
      </w:pPr>
      <w:r w:rsidRPr="00AD7196">
        <w:rPr>
          <w:rFonts w:ascii="Calibri" w:eastAsia="Times New Roman" w:hAnsi="Calibri" w:cs="Arial"/>
          <w:color w:val="0070C0"/>
          <w:kern w:val="0"/>
          <w:lang w:val="es-ES_tradnl" w:eastAsia="es-CR"/>
          <w14:ligatures w14:val="none"/>
        </w:rPr>
        <w:t>Como trabajo final del curso los y las estudiantes desarrollarán un planteamiento completo de una sesión de trabajo pedagógico/pastoral a modo de un “estudio bíblico” con un grupo social, eclesial o escolar (dependiendo del contexto de la persona estudiante). Se inicia en la sesión 9 y se entrega en la sesión 15, distribuyéndose de la siguiente forma: Plan de la sesión (sesión 11). Tiene un valor de 5%. Informe de aplicación (sesión 13). Tiene un valor de 5%. Versión final del producto pedagógico final (sesión 15). Tiene un valor de 20%.</w:t>
      </w:r>
    </w:p>
    <w:p w14:paraId="314C0ABB"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
          <w:bCs/>
          <w:color w:val="000000"/>
          <w:kern w:val="0"/>
          <w:lang w:val="es-ES_tradnl" w:eastAsia="es-CR"/>
          <w14:ligatures w14:val="none"/>
        </w:rPr>
      </w:pPr>
      <w:r w:rsidRPr="00AD7196">
        <w:rPr>
          <w:rFonts w:ascii="Calibri" w:eastAsia="Times New Roman" w:hAnsi="Calibri" w:cs="Arial"/>
          <w:b/>
          <w:bCs/>
          <w:noProof/>
          <w:color w:val="000000"/>
          <w:kern w:val="0"/>
          <w:lang w:val="es-ES_tradnl" w:eastAsia="es-CR"/>
          <w14:ligatures w14:val="none"/>
        </w:rPr>
        <w:drawing>
          <wp:anchor distT="0" distB="0" distL="114300" distR="114300" simplePos="0" relativeHeight="252845056" behindDoc="0" locked="0" layoutInCell="1" allowOverlap="1" wp14:anchorId="559FCD14" wp14:editId="6E8B4D3B">
            <wp:simplePos x="0" y="0"/>
            <wp:positionH relativeFrom="margin">
              <wp:align>center</wp:align>
            </wp:positionH>
            <wp:positionV relativeFrom="paragraph">
              <wp:posOffset>85090</wp:posOffset>
            </wp:positionV>
            <wp:extent cx="8052816" cy="3883152"/>
            <wp:effectExtent l="0" t="0" r="5715" b="3175"/>
            <wp:wrapNone/>
            <wp:docPr id="933769614"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769614" name="Imagen 7" descr="Tabla&#10;&#10;Descripción generada automáticamente"/>
                    <pic:cNvPicPr/>
                  </pic:nvPicPr>
                  <pic:blipFill>
                    <a:blip r:embed="rId556">
                      <a:extLst>
                        <a:ext uri="{28A0092B-C50C-407E-A947-70E740481C1C}">
                          <a14:useLocalDpi xmlns:a14="http://schemas.microsoft.com/office/drawing/2010/main" val="0"/>
                        </a:ext>
                      </a:extLst>
                    </a:blip>
                    <a:stretch>
                      <a:fillRect/>
                    </a:stretch>
                  </pic:blipFill>
                  <pic:spPr>
                    <a:xfrm>
                      <a:off x="0" y="0"/>
                      <a:ext cx="8052816" cy="3883152"/>
                    </a:xfrm>
                    <a:prstGeom prst="rect">
                      <a:avLst/>
                    </a:prstGeom>
                  </pic:spPr>
                </pic:pic>
              </a:graphicData>
            </a:graphic>
          </wp:anchor>
        </w:drawing>
      </w:r>
      <w:r w:rsidRPr="00AD7196">
        <w:rPr>
          <w:rFonts w:ascii="Calibri" w:eastAsia="Times New Roman" w:hAnsi="Calibri" w:cs="Arial"/>
          <w:b/>
          <w:bCs/>
          <w:color w:val="000000"/>
          <w:kern w:val="0"/>
          <w:lang w:val="es-ES_tradnl" w:eastAsia="es-CR"/>
          <w14:ligatures w14:val="none"/>
        </w:rPr>
        <w:br w:type="page"/>
      </w:r>
    </w:p>
    <w:p w14:paraId="4D446719"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
          <w:bCs/>
          <w:color w:val="000000"/>
          <w:kern w:val="0"/>
          <w:lang w:val="es-ES_tradnl" w:eastAsia="es-CR"/>
          <w14:ligatures w14:val="none"/>
        </w:rPr>
        <w:sectPr w:rsidR="00AD7196" w:rsidRPr="00AD7196" w:rsidSect="00AD7196">
          <w:pgSz w:w="15840" w:h="12240" w:orient="landscape"/>
          <w:pgMar w:top="720" w:right="720" w:bottom="720" w:left="720" w:header="709" w:footer="709" w:gutter="0"/>
          <w:pgNumType w:start="478"/>
          <w:cols w:space="708"/>
          <w:docGrid w:linePitch="360"/>
        </w:sectPr>
      </w:pPr>
    </w:p>
    <w:p w14:paraId="543408A4"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
          <w:bCs/>
          <w:color w:val="000000"/>
          <w:kern w:val="0"/>
          <w:lang w:val="es-ES_tradnl" w:eastAsia="es-CR"/>
          <w14:ligatures w14:val="none"/>
        </w:rPr>
      </w:pPr>
      <w:r w:rsidRPr="00AD7196">
        <w:rPr>
          <w:rFonts w:ascii="Calibri" w:eastAsia="Times New Roman" w:hAnsi="Calibri" w:cs="Arial"/>
          <w:b/>
          <w:bCs/>
          <w:color w:val="000000"/>
          <w:kern w:val="0"/>
          <w:lang w:val="es-ES_tradnl" w:eastAsia="es-CR"/>
          <w14:ligatures w14:val="none"/>
        </w:rPr>
        <w:lastRenderedPageBreak/>
        <w:t>XI. Bibliografía obligatoria</w:t>
      </w:r>
    </w:p>
    <w:p w14:paraId="6B3C5E42"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Cs/>
          <w:color w:val="000000"/>
          <w:kern w:val="0"/>
          <w:lang w:eastAsia="es-CR"/>
          <w14:ligatures w14:val="none"/>
        </w:rPr>
      </w:pPr>
      <w:r w:rsidRPr="00AD7196">
        <w:rPr>
          <w:rFonts w:ascii="Calibri" w:eastAsia="Times New Roman" w:hAnsi="Calibri" w:cs="Arial"/>
          <w:b/>
          <w:color w:val="000000"/>
          <w:kern w:val="0"/>
          <w:lang w:eastAsia="es-CR"/>
          <w14:ligatures w14:val="none"/>
        </w:rPr>
        <w:t>Nota:</w:t>
      </w:r>
      <w:r w:rsidRPr="00AD7196">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AD7196">
        <w:rPr>
          <w:rFonts w:ascii="Calibri" w:eastAsia="Times New Roman" w:hAnsi="Calibri" w:cs="Arial"/>
          <w:bCs/>
          <w:color w:val="000000"/>
          <w:kern w:val="0"/>
          <w:lang w:eastAsia="es-CR"/>
          <w14:ligatures w14:val="none"/>
        </w:rPr>
        <w:t>pdf</w:t>
      </w:r>
      <w:proofErr w:type="spellEnd"/>
      <w:r w:rsidRPr="00AD7196">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05F8EC49"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r w:rsidRPr="00AD7196">
        <w:rPr>
          <w:rFonts w:ascii="Calibri" w:eastAsia="Calibri" w:hAnsi="Calibri" w:cs="Calibri"/>
          <w:kern w:val="0"/>
          <w:szCs w:val="18"/>
          <w:lang w:val="es-ES" w:eastAsia="es-CR"/>
          <w14:ligatures w14:val="none"/>
        </w:rPr>
        <w:t xml:space="preserve">Arciniega Cáceres, </w:t>
      </w:r>
      <w:proofErr w:type="spellStart"/>
      <w:r w:rsidRPr="00AD7196">
        <w:rPr>
          <w:rFonts w:ascii="Calibri" w:eastAsia="Calibri" w:hAnsi="Calibri" w:cs="Calibri"/>
          <w:kern w:val="0"/>
          <w:szCs w:val="18"/>
          <w:lang w:val="es-ES" w:eastAsia="es-CR"/>
          <w14:ligatures w14:val="none"/>
        </w:rPr>
        <w:t>Mittzy</w:t>
      </w:r>
      <w:proofErr w:type="spellEnd"/>
      <w:r w:rsidRPr="00AD7196">
        <w:rPr>
          <w:rFonts w:ascii="Calibri" w:eastAsia="Calibri" w:hAnsi="Calibri" w:cs="Calibri"/>
          <w:kern w:val="0"/>
          <w:szCs w:val="18"/>
          <w:lang w:val="es-ES" w:eastAsia="es-CR"/>
          <w14:ligatures w14:val="none"/>
        </w:rPr>
        <w:t xml:space="preserve"> y Mónica Figueras-</w:t>
      </w:r>
      <w:proofErr w:type="spellStart"/>
      <w:r w:rsidRPr="00AD7196">
        <w:rPr>
          <w:rFonts w:ascii="Calibri" w:eastAsia="Calibri" w:hAnsi="Calibri" w:cs="Calibri"/>
          <w:kern w:val="0"/>
          <w:szCs w:val="18"/>
          <w:lang w:val="es-ES" w:eastAsia="es-CR"/>
          <w14:ligatures w14:val="none"/>
        </w:rPr>
        <w:t>Maz</w:t>
      </w:r>
      <w:proofErr w:type="spellEnd"/>
      <w:r w:rsidRPr="00AD7196">
        <w:rPr>
          <w:rFonts w:ascii="Calibri" w:eastAsia="Calibri" w:hAnsi="Calibri" w:cs="Calibri"/>
          <w:kern w:val="0"/>
          <w:szCs w:val="18"/>
          <w:lang w:val="es-ES" w:eastAsia="es-CR"/>
          <w14:ligatures w14:val="none"/>
        </w:rPr>
        <w:t xml:space="preserve">. “La educación mediática y el uso de los recursos tecnológicos en el aula en el contexto iberoamericano”. </w:t>
      </w:r>
      <w:proofErr w:type="spellStart"/>
      <w:r w:rsidRPr="00AD7196">
        <w:rPr>
          <w:rFonts w:ascii="Calibri" w:eastAsia="Calibri" w:hAnsi="Calibri" w:cs="Calibri"/>
          <w:i/>
          <w:iCs/>
          <w:kern w:val="0"/>
          <w:szCs w:val="18"/>
          <w:lang w:val="es-ES" w:eastAsia="es-CR"/>
          <w14:ligatures w14:val="none"/>
        </w:rPr>
        <w:t>Contratexto</w:t>
      </w:r>
      <w:proofErr w:type="spellEnd"/>
      <w:r w:rsidRPr="00AD7196">
        <w:rPr>
          <w:rFonts w:ascii="Calibri" w:eastAsia="Calibri" w:hAnsi="Calibri" w:cs="Calibri"/>
          <w:i/>
          <w:iCs/>
          <w:kern w:val="0"/>
          <w:szCs w:val="18"/>
          <w:lang w:val="es-ES" w:eastAsia="es-CR"/>
          <w14:ligatures w14:val="none"/>
        </w:rPr>
        <w:t xml:space="preserve"> </w:t>
      </w:r>
      <w:r w:rsidRPr="00AD7196">
        <w:rPr>
          <w:rFonts w:ascii="Calibri" w:eastAsia="Calibri" w:hAnsi="Calibri" w:cs="Calibri"/>
          <w:kern w:val="0"/>
          <w:szCs w:val="18"/>
          <w:lang w:val="es-ES" w:eastAsia="es-CR"/>
          <w14:ligatures w14:val="none"/>
        </w:rPr>
        <w:t>n.</w:t>
      </w:r>
      <w:r w:rsidRPr="00AD7196">
        <w:rPr>
          <w:rFonts w:ascii="Calibri" w:eastAsia="Calibri" w:hAnsi="Calibri" w:cs="Calibri"/>
          <w:i/>
          <w:iCs/>
          <w:kern w:val="0"/>
          <w:szCs w:val="18"/>
          <w:lang w:val="es-ES" w:eastAsia="es-CR"/>
          <w14:ligatures w14:val="none"/>
        </w:rPr>
        <w:t xml:space="preserve"> </w:t>
      </w:r>
      <w:r w:rsidRPr="00AD7196">
        <w:rPr>
          <w:rFonts w:ascii="Calibri" w:eastAsia="Calibri" w:hAnsi="Calibri" w:cs="Calibri"/>
          <w:kern w:val="0"/>
          <w:szCs w:val="18"/>
          <w:lang w:val="es-ES" w:eastAsia="es-CR"/>
          <w14:ligatures w14:val="none"/>
        </w:rPr>
        <w:t xml:space="preserve">32 (2019): 19-39. Acceso el 21 de noviembre de 2022. </w:t>
      </w:r>
      <w:hyperlink r:id="rId557" w:history="1">
        <w:r w:rsidRPr="00AD7196">
          <w:rPr>
            <w:rFonts w:ascii="Calibri" w:eastAsia="Calibri" w:hAnsi="Calibri" w:cs="Calibri"/>
            <w:color w:val="0563C1"/>
            <w:kern w:val="0"/>
            <w:szCs w:val="18"/>
            <w:u w:val="single"/>
            <w:lang w:val="es-ES" w:eastAsia="es-CR"/>
            <w14:ligatures w14:val="none"/>
          </w:rPr>
          <w:t>https://doi.org/10.26439/contratexto2019.n032.4604</w:t>
        </w:r>
      </w:hyperlink>
    </w:p>
    <w:p w14:paraId="398D6BFC" w14:textId="77777777" w:rsidR="00AD7196" w:rsidRPr="00AD7196" w:rsidRDefault="00AD7196" w:rsidP="00AD7196">
      <w:pPr>
        <w:widowControl w:val="0"/>
        <w:overflowPunct w:val="0"/>
        <w:autoSpaceDE w:val="0"/>
        <w:autoSpaceDN w:val="0"/>
        <w:adjustRightInd w:val="0"/>
        <w:spacing w:before="120" w:after="0" w:line="240" w:lineRule="auto"/>
        <w:contextualSpacing/>
        <w:jc w:val="both"/>
        <w:rPr>
          <w:rFonts w:ascii="Calibri" w:eastAsia="Calibri" w:hAnsi="Calibri" w:cs="Calibri"/>
          <w:kern w:val="0"/>
          <w:szCs w:val="18"/>
          <w:lang w:val="es-ES" w:eastAsia="es-CR"/>
          <w14:ligatures w14:val="none"/>
        </w:rPr>
      </w:pPr>
    </w:p>
    <w:p w14:paraId="0174769F"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roofErr w:type="spellStart"/>
      <w:r w:rsidRPr="00AD7196">
        <w:rPr>
          <w:rFonts w:ascii="Calibri" w:eastAsia="Times New Roman" w:hAnsi="Calibri" w:cs="Calibri"/>
          <w:kern w:val="0"/>
          <w:szCs w:val="18"/>
          <w:lang w:val="es-ES_tradnl" w:eastAsia="es-CR"/>
          <w14:ligatures w14:val="none"/>
        </w:rPr>
        <w:t>Avenatti</w:t>
      </w:r>
      <w:proofErr w:type="spellEnd"/>
      <w:r w:rsidRPr="00AD7196">
        <w:rPr>
          <w:rFonts w:ascii="Calibri" w:eastAsia="Times New Roman" w:hAnsi="Calibri" w:cs="Calibri"/>
          <w:kern w:val="0"/>
          <w:szCs w:val="18"/>
          <w:lang w:val="es-ES_tradnl" w:eastAsia="es-CR"/>
          <w14:ligatures w14:val="none"/>
        </w:rPr>
        <w:t xml:space="preserve"> de </w:t>
      </w:r>
      <w:proofErr w:type="spellStart"/>
      <w:r w:rsidRPr="00AD7196">
        <w:rPr>
          <w:rFonts w:ascii="Calibri" w:eastAsia="Times New Roman" w:hAnsi="Calibri" w:cs="Calibri"/>
          <w:kern w:val="0"/>
          <w:szCs w:val="18"/>
          <w:lang w:val="es-ES_tradnl" w:eastAsia="es-CR"/>
          <w14:ligatures w14:val="none"/>
        </w:rPr>
        <w:t>Palumbo</w:t>
      </w:r>
      <w:proofErr w:type="spellEnd"/>
      <w:r w:rsidRPr="00AD7196">
        <w:rPr>
          <w:rFonts w:ascii="Calibri" w:eastAsia="Times New Roman" w:hAnsi="Calibri" w:cs="Calibri"/>
          <w:kern w:val="0"/>
          <w:szCs w:val="18"/>
          <w:lang w:val="es-ES_tradnl" w:eastAsia="es-CR"/>
          <w14:ligatures w14:val="none"/>
        </w:rPr>
        <w:t xml:space="preserve">, Cecilia. </w:t>
      </w:r>
      <w:r w:rsidRPr="00AD7196">
        <w:rPr>
          <w:rFonts w:ascii="Calibri" w:eastAsia="Times New Roman" w:hAnsi="Calibri" w:cs="Calibri"/>
          <w:i/>
          <w:iCs/>
          <w:kern w:val="0"/>
          <w:szCs w:val="18"/>
          <w:lang w:val="es-ES_tradnl" w:eastAsia="es-CR"/>
          <w14:ligatures w14:val="none"/>
        </w:rPr>
        <w:t xml:space="preserve">Lenguajes de Dios para el siglo XXI: estética, teatro y literatura como imaginarios teológicos. </w:t>
      </w:r>
      <w:r w:rsidRPr="00AD7196">
        <w:rPr>
          <w:rFonts w:ascii="Calibri" w:eastAsia="Times New Roman" w:hAnsi="Calibri" w:cs="Calibri"/>
          <w:kern w:val="0"/>
          <w:szCs w:val="18"/>
          <w:lang w:val="es-ES_tradnl" w:eastAsia="es-CR"/>
          <w14:ligatures w14:val="none"/>
        </w:rPr>
        <w:t xml:space="preserve">Buenos Ares: Ediciones </w:t>
      </w:r>
      <w:proofErr w:type="spellStart"/>
      <w:r w:rsidRPr="00AD7196">
        <w:rPr>
          <w:rFonts w:ascii="Calibri" w:eastAsia="Times New Roman" w:hAnsi="Calibri" w:cs="Calibri"/>
          <w:kern w:val="0"/>
          <w:szCs w:val="18"/>
          <w:lang w:val="es-ES_tradnl" w:eastAsia="es-CR"/>
          <w14:ligatures w14:val="none"/>
        </w:rPr>
        <w:t>Subiaco</w:t>
      </w:r>
      <w:proofErr w:type="spellEnd"/>
      <w:r w:rsidRPr="00AD7196">
        <w:rPr>
          <w:rFonts w:ascii="Calibri" w:eastAsia="Times New Roman" w:hAnsi="Calibri" w:cs="Calibri"/>
          <w:kern w:val="0"/>
          <w:szCs w:val="18"/>
          <w:lang w:val="es-ES_tradnl" w:eastAsia="es-CR"/>
          <w14:ligatures w14:val="none"/>
        </w:rPr>
        <w:t>, 2007. (</w:t>
      </w:r>
      <w:r w:rsidRPr="00AD7196">
        <w:rPr>
          <w:rFonts w:ascii="Calibri" w:eastAsia="Times New Roman" w:hAnsi="Calibri" w:cs="Calibri"/>
          <w:color w:val="0070C0"/>
          <w:kern w:val="0"/>
          <w:szCs w:val="18"/>
          <w:lang w:val="es-ES_tradnl" w:eastAsia="es-CR"/>
          <w14:ligatures w14:val="none"/>
        </w:rPr>
        <w:t xml:space="preserve">clásico, </w:t>
      </w:r>
      <w:r w:rsidRPr="00AD7196">
        <w:rPr>
          <w:rFonts w:ascii="Calibri" w:eastAsia="Times New Roman" w:hAnsi="Calibri" w:cs="Calibri"/>
          <w:kern w:val="0"/>
          <w:szCs w:val="18"/>
          <w:lang w:val="es-ES_tradnl" w:eastAsia="es-CR"/>
          <w14:ligatures w14:val="none"/>
        </w:rPr>
        <w:t xml:space="preserve">última edición) </w:t>
      </w:r>
    </w:p>
    <w:p w14:paraId="6BF75D98"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0BCE7407"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r w:rsidRPr="00AD7196">
        <w:rPr>
          <w:rFonts w:ascii="Calibri" w:eastAsia="Times New Roman" w:hAnsi="Calibri" w:cs="Calibri"/>
          <w:color w:val="000000"/>
          <w:kern w:val="0"/>
          <w:szCs w:val="18"/>
          <w:lang w:val="es-ES_tradnl" w:eastAsia="es-CR"/>
          <w14:ligatures w14:val="none"/>
        </w:rPr>
        <w:t xml:space="preserve">Bernard, A. y Rémi </w:t>
      </w:r>
      <w:proofErr w:type="spellStart"/>
      <w:r w:rsidRPr="00AD7196">
        <w:rPr>
          <w:rFonts w:ascii="Calibri" w:eastAsia="Times New Roman" w:hAnsi="Calibri" w:cs="Calibri"/>
          <w:color w:val="000000"/>
          <w:kern w:val="0"/>
          <w:szCs w:val="18"/>
          <w:lang w:val="es-ES_tradnl" w:eastAsia="es-CR"/>
          <w14:ligatures w14:val="none"/>
        </w:rPr>
        <w:t>Lack</w:t>
      </w:r>
      <w:proofErr w:type="spellEnd"/>
      <w:r w:rsidRPr="00AD7196">
        <w:rPr>
          <w:rFonts w:ascii="Calibri" w:eastAsia="Times New Roman" w:hAnsi="Calibri" w:cs="Calibri"/>
          <w:color w:val="000000"/>
          <w:kern w:val="0"/>
          <w:szCs w:val="18"/>
          <w:lang w:val="es-ES_tradnl" w:eastAsia="es-CR"/>
          <w14:ligatures w14:val="none"/>
        </w:rPr>
        <w:t xml:space="preserve">. “Símbolos Espirituales”. En </w:t>
      </w:r>
      <w:r w:rsidRPr="00AD7196">
        <w:rPr>
          <w:rFonts w:ascii="Calibri" w:eastAsia="Times New Roman" w:hAnsi="Calibri" w:cs="Calibri"/>
          <w:i/>
          <w:iCs/>
          <w:color w:val="000000"/>
          <w:kern w:val="0"/>
          <w:szCs w:val="18"/>
          <w:lang w:val="es-ES_tradnl" w:eastAsia="es-CR"/>
          <w14:ligatures w14:val="none"/>
        </w:rPr>
        <w:t>Nuevo Diccionario de Espiritualidad</w:t>
      </w:r>
      <w:r w:rsidRPr="00AD7196">
        <w:rPr>
          <w:rFonts w:ascii="Calibri" w:eastAsia="Times New Roman" w:hAnsi="Calibri" w:cs="Calibri"/>
          <w:color w:val="000000"/>
          <w:kern w:val="0"/>
          <w:szCs w:val="18"/>
          <w:lang w:val="es-ES_tradnl" w:eastAsia="es-CR"/>
          <w14:ligatures w14:val="none"/>
        </w:rPr>
        <w:t xml:space="preserve">, editado por Stefano de </w:t>
      </w:r>
      <w:proofErr w:type="spellStart"/>
      <w:r w:rsidRPr="00AD7196">
        <w:rPr>
          <w:rFonts w:ascii="Calibri" w:eastAsia="Times New Roman" w:hAnsi="Calibri" w:cs="Calibri"/>
          <w:color w:val="000000"/>
          <w:kern w:val="0"/>
          <w:szCs w:val="18"/>
          <w:lang w:val="es-ES_tradnl" w:eastAsia="es-CR"/>
          <w14:ligatures w14:val="none"/>
        </w:rPr>
        <w:t>Fiores</w:t>
      </w:r>
      <w:proofErr w:type="spellEnd"/>
      <w:r w:rsidRPr="00AD7196">
        <w:rPr>
          <w:rFonts w:ascii="Calibri" w:eastAsia="Times New Roman" w:hAnsi="Calibri" w:cs="Calibri"/>
          <w:color w:val="000000"/>
          <w:kern w:val="0"/>
          <w:szCs w:val="18"/>
          <w:lang w:val="es-ES_tradnl" w:eastAsia="es-CR"/>
          <w14:ligatures w14:val="none"/>
        </w:rPr>
        <w:t xml:space="preserve"> y </w:t>
      </w:r>
      <w:proofErr w:type="spellStart"/>
      <w:r w:rsidRPr="00AD7196">
        <w:rPr>
          <w:rFonts w:ascii="Calibri" w:eastAsia="Times New Roman" w:hAnsi="Calibri" w:cs="Calibri"/>
          <w:color w:val="000000"/>
          <w:kern w:val="0"/>
          <w:szCs w:val="18"/>
          <w:lang w:val="es-ES_tradnl" w:eastAsia="es-CR"/>
          <w14:ligatures w14:val="none"/>
        </w:rPr>
        <w:t>Tullo</w:t>
      </w:r>
      <w:proofErr w:type="spellEnd"/>
      <w:r w:rsidRPr="00AD7196">
        <w:rPr>
          <w:rFonts w:ascii="Calibri" w:eastAsia="Times New Roman" w:hAnsi="Calibri" w:cs="Calibri"/>
          <w:color w:val="000000"/>
          <w:kern w:val="0"/>
          <w:szCs w:val="18"/>
          <w:lang w:val="es-ES_tradnl" w:eastAsia="es-CR"/>
          <w14:ligatures w14:val="none"/>
        </w:rPr>
        <w:t xml:space="preserve"> </w:t>
      </w:r>
      <w:proofErr w:type="spellStart"/>
      <w:r w:rsidRPr="00AD7196">
        <w:rPr>
          <w:rFonts w:ascii="Calibri" w:eastAsia="Times New Roman" w:hAnsi="Calibri" w:cs="Calibri"/>
          <w:color w:val="000000"/>
          <w:kern w:val="0"/>
          <w:szCs w:val="18"/>
          <w:lang w:val="es-ES_tradnl" w:eastAsia="es-CR"/>
          <w14:ligatures w14:val="none"/>
        </w:rPr>
        <w:t>Goffi</w:t>
      </w:r>
      <w:proofErr w:type="spellEnd"/>
      <w:r w:rsidRPr="00AD7196">
        <w:rPr>
          <w:rFonts w:ascii="Calibri" w:eastAsia="Times New Roman" w:hAnsi="Calibri" w:cs="Calibri"/>
          <w:color w:val="000000"/>
          <w:kern w:val="0"/>
          <w:szCs w:val="18"/>
          <w:lang w:val="es-ES_tradnl" w:eastAsia="es-CR"/>
          <w14:ligatures w14:val="none"/>
        </w:rPr>
        <w:t xml:space="preserve">, 1304-1316. Madrid: Ediciones Paulinas, 1991. </w:t>
      </w:r>
      <w:r w:rsidRPr="00AD7196">
        <w:rPr>
          <w:rFonts w:ascii="Calibri" w:eastAsia="Times New Roman" w:hAnsi="Calibri" w:cs="Calibri"/>
          <w:kern w:val="0"/>
          <w:szCs w:val="18"/>
          <w:lang w:val="es-ES_tradnl" w:eastAsia="es-CR"/>
          <w14:ligatures w14:val="none"/>
        </w:rPr>
        <w:t>(</w:t>
      </w:r>
      <w:r w:rsidRPr="00AD7196">
        <w:rPr>
          <w:rFonts w:ascii="Calibri" w:eastAsia="Times New Roman" w:hAnsi="Calibri" w:cs="Calibri"/>
          <w:color w:val="0070C0"/>
          <w:kern w:val="0"/>
          <w:szCs w:val="18"/>
          <w:lang w:val="es-ES_tradnl" w:eastAsia="es-CR"/>
          <w14:ligatures w14:val="none"/>
        </w:rPr>
        <w:t xml:space="preserve">clásico, </w:t>
      </w:r>
      <w:r w:rsidRPr="00AD7196">
        <w:rPr>
          <w:rFonts w:ascii="Calibri" w:eastAsia="Times New Roman" w:hAnsi="Calibri" w:cs="Calibri"/>
          <w:kern w:val="0"/>
          <w:szCs w:val="18"/>
          <w:lang w:val="es-ES_tradnl" w:eastAsia="es-CR"/>
          <w14:ligatures w14:val="none"/>
        </w:rPr>
        <w:t>última edición)</w:t>
      </w:r>
      <w:r w:rsidRPr="00AD7196">
        <w:rPr>
          <w:rFonts w:ascii="Calibri" w:eastAsia="Times New Roman" w:hAnsi="Calibri" w:cs="Calibri"/>
          <w:color w:val="000000"/>
          <w:kern w:val="0"/>
          <w:szCs w:val="18"/>
          <w:lang w:val="es-ES_tradnl" w:eastAsia="es-CR"/>
          <w14:ligatures w14:val="none"/>
        </w:rPr>
        <w:t xml:space="preserve"> </w:t>
      </w:r>
    </w:p>
    <w:p w14:paraId="0A45ED77"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37B39532"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r w:rsidRPr="00AD7196">
        <w:rPr>
          <w:rFonts w:ascii="Calibri" w:eastAsia="Times New Roman" w:hAnsi="Calibri" w:cs="Calibri"/>
          <w:color w:val="000000"/>
          <w:kern w:val="0"/>
          <w:szCs w:val="18"/>
          <w:lang w:val="es-ES_tradnl" w:eastAsia="es-CR"/>
          <w14:ligatures w14:val="none"/>
        </w:rPr>
        <w:t xml:space="preserve">Bonora, Antonio. “Cosmos”. En </w:t>
      </w:r>
      <w:r w:rsidRPr="00AD7196">
        <w:rPr>
          <w:rFonts w:ascii="Calibri" w:eastAsia="Times New Roman" w:hAnsi="Calibri" w:cs="Calibri"/>
          <w:i/>
          <w:iCs/>
          <w:color w:val="000000"/>
          <w:kern w:val="0"/>
          <w:szCs w:val="18"/>
          <w:lang w:val="es-ES_tradnl" w:eastAsia="es-CR"/>
          <w14:ligatures w14:val="none"/>
        </w:rPr>
        <w:t>Nuevo Diccionario de Teología Bíblica</w:t>
      </w:r>
      <w:r w:rsidRPr="00AD7196">
        <w:rPr>
          <w:rFonts w:ascii="Calibri" w:eastAsia="Times New Roman" w:hAnsi="Calibri" w:cs="Calibri"/>
          <w:color w:val="000000"/>
          <w:kern w:val="0"/>
          <w:szCs w:val="18"/>
          <w:lang w:val="es-ES_tradnl" w:eastAsia="es-CR"/>
          <w14:ligatures w14:val="none"/>
        </w:rPr>
        <w:t xml:space="preserve">, editado por Pietro Rossano, Gianfranco </w:t>
      </w:r>
      <w:proofErr w:type="spellStart"/>
      <w:r w:rsidRPr="00AD7196">
        <w:rPr>
          <w:rFonts w:ascii="Calibri" w:eastAsia="Times New Roman" w:hAnsi="Calibri" w:cs="Calibri"/>
          <w:color w:val="000000"/>
          <w:kern w:val="0"/>
          <w:szCs w:val="18"/>
          <w:lang w:val="es-ES_tradnl" w:eastAsia="es-CR"/>
          <w14:ligatures w14:val="none"/>
        </w:rPr>
        <w:t>Ravasi</w:t>
      </w:r>
      <w:proofErr w:type="spellEnd"/>
      <w:r w:rsidRPr="00AD7196">
        <w:rPr>
          <w:rFonts w:ascii="Calibri" w:eastAsia="Times New Roman" w:hAnsi="Calibri" w:cs="Calibri"/>
          <w:color w:val="000000"/>
          <w:kern w:val="0"/>
          <w:szCs w:val="18"/>
          <w:lang w:val="es-ES_tradnl" w:eastAsia="es-CR"/>
          <w14:ligatures w14:val="none"/>
        </w:rPr>
        <w:t xml:space="preserve"> y Antonio </w:t>
      </w:r>
      <w:proofErr w:type="spellStart"/>
      <w:r w:rsidRPr="00AD7196">
        <w:rPr>
          <w:rFonts w:ascii="Calibri" w:eastAsia="Times New Roman" w:hAnsi="Calibri" w:cs="Calibri"/>
          <w:color w:val="000000"/>
          <w:kern w:val="0"/>
          <w:szCs w:val="18"/>
          <w:lang w:val="es-ES_tradnl" w:eastAsia="es-CR"/>
          <w14:ligatures w14:val="none"/>
        </w:rPr>
        <w:t>Girlanda</w:t>
      </w:r>
      <w:proofErr w:type="spellEnd"/>
      <w:r w:rsidRPr="00AD7196">
        <w:rPr>
          <w:rFonts w:ascii="Calibri" w:eastAsia="Times New Roman" w:hAnsi="Calibri" w:cs="Calibri"/>
          <w:color w:val="000000"/>
          <w:kern w:val="0"/>
          <w:szCs w:val="18"/>
          <w:lang w:val="es-ES_tradnl" w:eastAsia="es-CR"/>
          <w14:ligatures w14:val="none"/>
        </w:rPr>
        <w:t xml:space="preserve">, 351-372. Madrid: Ediciones Paulinas 1990. </w:t>
      </w:r>
      <w:r w:rsidRPr="00AD7196">
        <w:rPr>
          <w:rFonts w:ascii="Calibri" w:eastAsia="Times New Roman" w:hAnsi="Calibri" w:cs="Calibri"/>
          <w:kern w:val="0"/>
          <w:szCs w:val="18"/>
          <w:lang w:val="es-ES_tradnl" w:eastAsia="es-CR"/>
          <w14:ligatures w14:val="none"/>
        </w:rPr>
        <w:t>(</w:t>
      </w:r>
      <w:r w:rsidRPr="00AD7196">
        <w:rPr>
          <w:rFonts w:ascii="Calibri" w:eastAsia="Times New Roman" w:hAnsi="Calibri" w:cs="Calibri"/>
          <w:color w:val="0070C0"/>
          <w:kern w:val="0"/>
          <w:szCs w:val="18"/>
          <w:lang w:val="es-ES_tradnl" w:eastAsia="es-CR"/>
          <w14:ligatures w14:val="none"/>
        </w:rPr>
        <w:t xml:space="preserve">clásico, </w:t>
      </w:r>
      <w:r w:rsidRPr="00AD7196">
        <w:rPr>
          <w:rFonts w:ascii="Calibri" w:eastAsia="Times New Roman" w:hAnsi="Calibri" w:cs="Calibri"/>
          <w:kern w:val="0"/>
          <w:szCs w:val="18"/>
          <w:lang w:val="es-ES_tradnl" w:eastAsia="es-CR"/>
          <w14:ligatures w14:val="none"/>
        </w:rPr>
        <w:t>última edición)</w:t>
      </w:r>
    </w:p>
    <w:p w14:paraId="7F6F6405"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6F5D113E"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roofErr w:type="spellStart"/>
      <w:r w:rsidRPr="00AD7196">
        <w:rPr>
          <w:rFonts w:ascii="Calibri" w:eastAsia="Times New Roman" w:hAnsi="Calibri" w:cs="Calibri"/>
          <w:kern w:val="0"/>
          <w:szCs w:val="18"/>
          <w:lang w:val="es-ES_tradnl" w:eastAsia="es-CR"/>
          <w14:ligatures w14:val="none"/>
        </w:rPr>
        <w:t>Casalis</w:t>
      </w:r>
      <w:proofErr w:type="spellEnd"/>
      <w:r w:rsidRPr="00AD7196">
        <w:rPr>
          <w:rFonts w:ascii="Calibri" w:eastAsia="Times New Roman" w:hAnsi="Calibri" w:cs="Calibri"/>
          <w:kern w:val="0"/>
          <w:szCs w:val="18"/>
          <w:lang w:val="es-ES_tradnl" w:eastAsia="es-CR"/>
          <w14:ligatures w14:val="none"/>
        </w:rPr>
        <w:t xml:space="preserve">, George. “Jesús: ni vencido, ni monarca celestial”. En </w:t>
      </w:r>
      <w:r w:rsidRPr="00AD7196">
        <w:rPr>
          <w:rFonts w:ascii="Calibri" w:eastAsia="Times New Roman" w:hAnsi="Calibri" w:cs="Calibri"/>
          <w:i/>
          <w:iCs/>
          <w:kern w:val="0"/>
          <w:szCs w:val="18"/>
          <w:lang w:val="es-ES_tradnl" w:eastAsia="es-CR"/>
          <w14:ligatures w14:val="none"/>
        </w:rPr>
        <w:t>Jesús: ni vencido, ni monarca celestial:</w:t>
      </w:r>
      <w:r w:rsidRPr="00AD7196">
        <w:rPr>
          <w:rFonts w:ascii="Calibri" w:eastAsia="Times New Roman" w:hAnsi="Calibri" w:cs="Calibri"/>
          <w:kern w:val="0"/>
          <w:szCs w:val="18"/>
          <w:lang w:val="es-ES_tradnl" w:eastAsia="es-CR"/>
          <w14:ligatures w14:val="none"/>
        </w:rPr>
        <w:t xml:space="preserve"> </w:t>
      </w:r>
      <w:r w:rsidRPr="00AD7196">
        <w:rPr>
          <w:rFonts w:ascii="Calibri" w:eastAsia="Times New Roman" w:hAnsi="Calibri" w:cs="Calibri"/>
          <w:i/>
          <w:iCs/>
          <w:kern w:val="0"/>
          <w:szCs w:val="18"/>
          <w:lang w:val="es-ES_tradnl" w:eastAsia="es-CR"/>
          <w14:ligatures w14:val="none"/>
        </w:rPr>
        <w:t>imágenes de Jesucristo en América Latina</w:t>
      </w:r>
      <w:r w:rsidRPr="00AD7196">
        <w:rPr>
          <w:rFonts w:ascii="Calibri" w:eastAsia="Times New Roman" w:hAnsi="Calibri" w:cs="Calibri"/>
          <w:kern w:val="0"/>
          <w:szCs w:val="18"/>
          <w:lang w:val="es-ES_tradnl" w:eastAsia="es-CR"/>
          <w14:ligatures w14:val="none"/>
        </w:rPr>
        <w:t xml:space="preserve">, editado por José Míguez Bonino, 119-125. Buenos Aires: Tierra Nueva, 1977. (Clásico, </w:t>
      </w:r>
      <w:r w:rsidRPr="00AD7196">
        <w:rPr>
          <w:rFonts w:ascii="Calibri" w:eastAsia="Times New Roman" w:hAnsi="Calibri" w:cs="Calibri"/>
          <w:color w:val="0070C0"/>
          <w:kern w:val="0"/>
          <w:szCs w:val="18"/>
          <w:lang w:val="es-ES_tradnl" w:eastAsia="es-CR"/>
          <w14:ligatures w14:val="none"/>
        </w:rPr>
        <w:t>última edición</w:t>
      </w:r>
      <w:r w:rsidRPr="00AD7196">
        <w:rPr>
          <w:rFonts w:ascii="Calibri" w:eastAsia="Times New Roman" w:hAnsi="Calibri" w:cs="Calibri"/>
          <w:kern w:val="0"/>
          <w:szCs w:val="18"/>
          <w:lang w:val="es-ES_tradnl" w:eastAsia="es-CR"/>
          <w14:ligatures w14:val="none"/>
        </w:rPr>
        <w:t>)</w:t>
      </w:r>
    </w:p>
    <w:p w14:paraId="606B7A6C"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164467AA"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r w:rsidRPr="00AD7196">
        <w:rPr>
          <w:rFonts w:ascii="Calibri" w:eastAsia="Calibri" w:hAnsi="Calibri" w:cs="Calibri"/>
          <w:kern w:val="0"/>
          <w:szCs w:val="18"/>
          <w:lang w:val="es-ES" w:eastAsia="es-CR"/>
          <w14:ligatures w14:val="none"/>
        </w:rPr>
        <w:t xml:space="preserve">Castillo, </w:t>
      </w:r>
      <w:proofErr w:type="spellStart"/>
      <w:r w:rsidRPr="00AD7196">
        <w:rPr>
          <w:rFonts w:ascii="Calibri" w:eastAsia="Calibri" w:hAnsi="Calibri" w:cs="Calibri"/>
          <w:kern w:val="0"/>
          <w:szCs w:val="18"/>
          <w:lang w:val="es-ES" w:eastAsia="es-CR"/>
          <w14:ligatures w14:val="none"/>
        </w:rPr>
        <w:t>Compte</w:t>
      </w:r>
      <w:proofErr w:type="spellEnd"/>
      <w:r w:rsidRPr="00AD7196">
        <w:rPr>
          <w:rFonts w:ascii="Calibri" w:eastAsia="Calibri" w:hAnsi="Calibri" w:cs="Calibri"/>
          <w:kern w:val="0"/>
          <w:szCs w:val="18"/>
          <w:lang w:val="es-ES" w:eastAsia="es-CR"/>
          <w14:ligatures w14:val="none"/>
        </w:rPr>
        <w:t xml:space="preserve">, Laura. “Arte mariano en Latinoamérica: la iconografía religiosa como mecanismo de control y sello de identidad durante la conquista”. </w:t>
      </w:r>
      <w:r w:rsidRPr="00AD7196">
        <w:rPr>
          <w:rFonts w:ascii="Calibri" w:eastAsia="Calibri" w:hAnsi="Calibri" w:cs="Calibri"/>
          <w:i/>
          <w:iCs/>
          <w:kern w:val="0"/>
          <w:szCs w:val="18"/>
          <w:lang w:val="es-ES" w:eastAsia="es-CR"/>
          <w14:ligatures w14:val="none"/>
        </w:rPr>
        <w:t xml:space="preserve">Cuadernos del Centro de Estudios en Diseño y Comunicación </w:t>
      </w:r>
      <w:r w:rsidRPr="00AD7196">
        <w:rPr>
          <w:rFonts w:ascii="Calibri" w:eastAsia="Calibri" w:hAnsi="Calibri" w:cs="Calibri"/>
          <w:kern w:val="0"/>
          <w:szCs w:val="18"/>
          <w:lang w:val="es-ES" w:eastAsia="es-CR"/>
          <w14:ligatures w14:val="none"/>
        </w:rPr>
        <w:t xml:space="preserve">n. 92 (2020): 79-97. Acceso el 21 de noviembre de 2022. </w:t>
      </w:r>
      <w:hyperlink r:id="rId558" w:history="1">
        <w:r w:rsidRPr="00AD7196">
          <w:rPr>
            <w:rFonts w:ascii="Calibri" w:eastAsia="Calibri" w:hAnsi="Calibri" w:cs="Calibri"/>
            <w:color w:val="0563C1"/>
            <w:kern w:val="0"/>
            <w:szCs w:val="18"/>
            <w:u w:val="single"/>
            <w:lang w:val="es-ES" w:eastAsia="es-CR"/>
            <w14:ligatures w14:val="none"/>
          </w:rPr>
          <w:t>http://dx.doi.org/10.18682/cdc.vi92.3877</w:t>
        </w:r>
      </w:hyperlink>
      <w:r w:rsidRPr="00AD7196">
        <w:rPr>
          <w:rFonts w:ascii="Calibri" w:eastAsia="Calibri" w:hAnsi="Calibri" w:cs="Calibri"/>
          <w:kern w:val="0"/>
          <w:szCs w:val="18"/>
          <w:lang w:val="es-ES" w:eastAsia="es-CR"/>
          <w14:ligatures w14:val="none"/>
        </w:rPr>
        <w:t xml:space="preserve">  </w:t>
      </w:r>
    </w:p>
    <w:p w14:paraId="5949A3D9"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791F936C"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roofErr w:type="spellStart"/>
      <w:r w:rsidRPr="00AD7196">
        <w:rPr>
          <w:rFonts w:ascii="Calibri" w:eastAsia="Times New Roman" w:hAnsi="Calibri" w:cs="Calibri"/>
          <w:color w:val="000000"/>
          <w:kern w:val="0"/>
          <w:szCs w:val="18"/>
          <w:lang w:val="es-ES_tradnl" w:eastAsia="es-CR"/>
          <w14:ligatures w14:val="none"/>
        </w:rPr>
        <w:t>Cavedo</w:t>
      </w:r>
      <w:proofErr w:type="spellEnd"/>
      <w:r w:rsidRPr="00AD7196">
        <w:rPr>
          <w:rFonts w:ascii="Calibri" w:eastAsia="Times New Roman" w:hAnsi="Calibri" w:cs="Calibri"/>
          <w:color w:val="000000"/>
          <w:kern w:val="0"/>
          <w:szCs w:val="18"/>
          <w:lang w:val="es-ES_tradnl" w:eastAsia="es-CR"/>
          <w14:ligatures w14:val="none"/>
        </w:rPr>
        <w:t xml:space="preserve">, Romeo. “Corporeidad”. En </w:t>
      </w:r>
      <w:r w:rsidRPr="00AD7196">
        <w:rPr>
          <w:rFonts w:ascii="Calibri" w:eastAsia="Times New Roman" w:hAnsi="Calibri" w:cs="Calibri"/>
          <w:i/>
          <w:iCs/>
          <w:color w:val="000000"/>
          <w:kern w:val="0"/>
          <w:szCs w:val="18"/>
          <w:lang w:val="es-ES_tradnl" w:eastAsia="es-CR"/>
          <w14:ligatures w14:val="none"/>
        </w:rPr>
        <w:t>Nuevo Diccionario de Teología Bíblica</w:t>
      </w:r>
      <w:r w:rsidRPr="00AD7196">
        <w:rPr>
          <w:rFonts w:ascii="Calibri" w:eastAsia="Times New Roman" w:hAnsi="Calibri" w:cs="Calibri"/>
          <w:color w:val="000000"/>
          <w:kern w:val="0"/>
          <w:szCs w:val="18"/>
          <w:lang w:val="es-ES_tradnl" w:eastAsia="es-CR"/>
          <w14:ligatures w14:val="none"/>
        </w:rPr>
        <w:t xml:space="preserve">, editado por Pietro Rossano, Gianfranco </w:t>
      </w:r>
      <w:proofErr w:type="spellStart"/>
      <w:r w:rsidRPr="00AD7196">
        <w:rPr>
          <w:rFonts w:ascii="Calibri" w:eastAsia="Times New Roman" w:hAnsi="Calibri" w:cs="Calibri"/>
          <w:color w:val="000000"/>
          <w:kern w:val="0"/>
          <w:szCs w:val="18"/>
          <w:lang w:val="es-ES_tradnl" w:eastAsia="es-CR"/>
          <w14:ligatures w14:val="none"/>
        </w:rPr>
        <w:t>Ravasi</w:t>
      </w:r>
      <w:proofErr w:type="spellEnd"/>
      <w:r w:rsidRPr="00AD7196">
        <w:rPr>
          <w:rFonts w:ascii="Calibri" w:eastAsia="Times New Roman" w:hAnsi="Calibri" w:cs="Calibri"/>
          <w:color w:val="000000"/>
          <w:kern w:val="0"/>
          <w:szCs w:val="18"/>
          <w:lang w:val="es-ES_tradnl" w:eastAsia="es-CR"/>
          <w14:ligatures w14:val="none"/>
        </w:rPr>
        <w:t xml:space="preserve"> y Antonio </w:t>
      </w:r>
      <w:proofErr w:type="spellStart"/>
      <w:r w:rsidRPr="00AD7196">
        <w:rPr>
          <w:rFonts w:ascii="Calibri" w:eastAsia="Times New Roman" w:hAnsi="Calibri" w:cs="Calibri"/>
          <w:color w:val="000000"/>
          <w:kern w:val="0"/>
          <w:szCs w:val="18"/>
          <w:lang w:val="es-ES_tradnl" w:eastAsia="es-CR"/>
          <w14:ligatures w14:val="none"/>
        </w:rPr>
        <w:t>Girlanda</w:t>
      </w:r>
      <w:proofErr w:type="spellEnd"/>
      <w:r w:rsidRPr="00AD7196">
        <w:rPr>
          <w:rFonts w:ascii="Calibri" w:eastAsia="Times New Roman" w:hAnsi="Calibri" w:cs="Calibri"/>
          <w:color w:val="000000"/>
          <w:kern w:val="0"/>
          <w:szCs w:val="18"/>
          <w:lang w:val="es-ES_tradnl" w:eastAsia="es-CR"/>
          <w14:ligatures w14:val="none"/>
        </w:rPr>
        <w:t xml:space="preserve">, 335-351. Madrid: Ediciones Paulinas, 1990. </w:t>
      </w:r>
      <w:r w:rsidRPr="00AD7196">
        <w:rPr>
          <w:rFonts w:ascii="Calibri" w:eastAsia="Times New Roman" w:hAnsi="Calibri" w:cs="Calibri"/>
          <w:kern w:val="0"/>
          <w:szCs w:val="18"/>
          <w:lang w:val="es-ES_tradnl" w:eastAsia="es-CR"/>
          <w14:ligatures w14:val="none"/>
        </w:rPr>
        <w:t>(</w:t>
      </w:r>
      <w:r w:rsidRPr="00AD7196">
        <w:rPr>
          <w:rFonts w:ascii="Calibri" w:eastAsia="Times New Roman" w:hAnsi="Calibri" w:cs="Calibri"/>
          <w:color w:val="0070C0"/>
          <w:kern w:val="0"/>
          <w:szCs w:val="18"/>
          <w:lang w:val="es-ES_tradnl" w:eastAsia="es-CR"/>
          <w14:ligatures w14:val="none"/>
        </w:rPr>
        <w:t xml:space="preserve">clásico, </w:t>
      </w:r>
      <w:r w:rsidRPr="00AD7196">
        <w:rPr>
          <w:rFonts w:ascii="Calibri" w:eastAsia="Times New Roman" w:hAnsi="Calibri" w:cs="Calibri"/>
          <w:kern w:val="0"/>
          <w:szCs w:val="18"/>
          <w:lang w:val="es-ES_tradnl" w:eastAsia="es-CR"/>
          <w14:ligatures w14:val="none"/>
        </w:rPr>
        <w:t>última edición)</w:t>
      </w:r>
    </w:p>
    <w:p w14:paraId="4B677D09"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5C34A433"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roofErr w:type="spellStart"/>
      <w:r w:rsidRPr="00AD7196">
        <w:rPr>
          <w:rFonts w:ascii="Calibri" w:eastAsia="Times New Roman" w:hAnsi="Calibri" w:cs="Calibri"/>
          <w:color w:val="000000"/>
          <w:kern w:val="0"/>
          <w:szCs w:val="18"/>
          <w:lang w:val="es-ES_tradnl" w:eastAsia="es-CR"/>
          <w14:ligatures w14:val="none"/>
        </w:rPr>
        <w:t>Cibien</w:t>
      </w:r>
      <w:proofErr w:type="spellEnd"/>
      <w:r w:rsidRPr="00AD7196">
        <w:rPr>
          <w:rFonts w:ascii="Calibri" w:eastAsia="Times New Roman" w:hAnsi="Calibri" w:cs="Calibri"/>
          <w:color w:val="000000"/>
          <w:kern w:val="0"/>
          <w:szCs w:val="18"/>
          <w:lang w:val="es-ES_tradnl" w:eastAsia="es-CR"/>
          <w14:ligatures w14:val="none"/>
        </w:rPr>
        <w:t xml:space="preserve">, Carlo. “Gestos”. En </w:t>
      </w:r>
      <w:r w:rsidRPr="00AD7196">
        <w:rPr>
          <w:rFonts w:ascii="Calibri" w:eastAsia="Times New Roman" w:hAnsi="Calibri" w:cs="Calibri"/>
          <w:i/>
          <w:iCs/>
          <w:color w:val="000000"/>
          <w:kern w:val="0"/>
          <w:szCs w:val="18"/>
          <w:lang w:val="es-ES_tradnl" w:eastAsia="es-CR"/>
          <w14:ligatures w14:val="none"/>
        </w:rPr>
        <w:t>Nuevo Diccionario de Liturgia</w:t>
      </w:r>
      <w:r w:rsidRPr="00AD7196">
        <w:rPr>
          <w:rFonts w:ascii="Calibri" w:eastAsia="Times New Roman" w:hAnsi="Calibri" w:cs="Calibri"/>
          <w:color w:val="000000"/>
          <w:kern w:val="0"/>
          <w:szCs w:val="18"/>
          <w:lang w:val="es-ES_tradnl" w:eastAsia="es-CR"/>
          <w14:ligatures w14:val="none"/>
        </w:rPr>
        <w:t xml:space="preserve">, editado por </w:t>
      </w:r>
      <w:proofErr w:type="spellStart"/>
      <w:r w:rsidRPr="00AD7196">
        <w:rPr>
          <w:rFonts w:ascii="Calibri" w:eastAsia="Times New Roman" w:hAnsi="Calibri" w:cs="Calibri"/>
          <w:color w:val="000000"/>
          <w:kern w:val="0"/>
          <w:szCs w:val="18"/>
          <w:lang w:val="es-ES_tradnl" w:eastAsia="es-CR"/>
          <w14:ligatures w14:val="none"/>
        </w:rPr>
        <w:t>Domenico</w:t>
      </w:r>
      <w:proofErr w:type="spellEnd"/>
      <w:r w:rsidRPr="00AD7196">
        <w:rPr>
          <w:rFonts w:ascii="Calibri" w:eastAsia="Times New Roman" w:hAnsi="Calibri" w:cs="Calibri"/>
          <w:color w:val="000000"/>
          <w:kern w:val="0"/>
          <w:szCs w:val="18"/>
          <w:lang w:val="es-ES_tradnl" w:eastAsia="es-CR"/>
          <w14:ligatures w14:val="none"/>
        </w:rPr>
        <w:t xml:space="preserve"> </w:t>
      </w:r>
      <w:proofErr w:type="spellStart"/>
      <w:r w:rsidRPr="00AD7196">
        <w:rPr>
          <w:rFonts w:ascii="Calibri" w:eastAsia="Times New Roman" w:hAnsi="Calibri" w:cs="Calibri"/>
          <w:color w:val="000000"/>
          <w:kern w:val="0"/>
          <w:szCs w:val="18"/>
          <w:lang w:val="es-ES_tradnl" w:eastAsia="es-CR"/>
          <w14:ligatures w14:val="none"/>
        </w:rPr>
        <w:t>Sartore</w:t>
      </w:r>
      <w:proofErr w:type="spellEnd"/>
      <w:r w:rsidRPr="00AD7196">
        <w:rPr>
          <w:rFonts w:ascii="Calibri" w:eastAsia="Times New Roman" w:hAnsi="Calibri" w:cs="Calibri"/>
          <w:color w:val="000000"/>
          <w:kern w:val="0"/>
          <w:szCs w:val="18"/>
          <w:lang w:val="es-ES_tradnl" w:eastAsia="es-CR"/>
          <w14:ligatures w14:val="none"/>
        </w:rPr>
        <w:t xml:space="preserve"> y Achille M. </w:t>
      </w:r>
      <w:proofErr w:type="spellStart"/>
      <w:r w:rsidRPr="00AD7196">
        <w:rPr>
          <w:rFonts w:ascii="Calibri" w:eastAsia="Times New Roman" w:hAnsi="Calibri" w:cs="Calibri"/>
          <w:color w:val="000000"/>
          <w:kern w:val="0"/>
          <w:szCs w:val="18"/>
          <w:lang w:val="es-ES_tradnl" w:eastAsia="es-CR"/>
          <w14:ligatures w14:val="none"/>
        </w:rPr>
        <w:t>Triacca</w:t>
      </w:r>
      <w:proofErr w:type="spellEnd"/>
      <w:r w:rsidRPr="00AD7196">
        <w:rPr>
          <w:rFonts w:ascii="Calibri" w:eastAsia="Times New Roman" w:hAnsi="Calibri" w:cs="Calibri"/>
          <w:color w:val="000000"/>
          <w:kern w:val="0"/>
          <w:szCs w:val="18"/>
          <w:lang w:val="es-ES_tradnl" w:eastAsia="es-CR"/>
          <w14:ligatures w14:val="none"/>
        </w:rPr>
        <w:t>, 913-929</w:t>
      </w:r>
      <w:r w:rsidRPr="00AD7196">
        <w:rPr>
          <w:rFonts w:ascii="Calibri" w:eastAsia="Times New Roman" w:hAnsi="Calibri" w:cs="Calibri"/>
          <w:color w:val="000000"/>
          <w:kern w:val="0"/>
          <w:szCs w:val="18"/>
          <w:lang w:val="fr-FR" w:eastAsia="es-CR"/>
          <w14:ligatures w14:val="none"/>
        </w:rPr>
        <w:t xml:space="preserve">. </w:t>
      </w:r>
      <w:r w:rsidRPr="00AD7196">
        <w:rPr>
          <w:rFonts w:ascii="Calibri" w:eastAsia="Times New Roman" w:hAnsi="Calibri" w:cs="Calibri"/>
          <w:color w:val="000000"/>
          <w:kern w:val="0"/>
          <w:szCs w:val="18"/>
          <w:lang w:val="es-ES_tradnl" w:eastAsia="es-CR"/>
          <w14:ligatures w14:val="none"/>
        </w:rPr>
        <w:t>Madrid:</w:t>
      </w:r>
      <w:r w:rsidRPr="00AD7196">
        <w:rPr>
          <w:rFonts w:ascii="Calibri" w:eastAsia="Times New Roman" w:hAnsi="Calibri" w:cs="Calibri"/>
          <w:color w:val="000000"/>
          <w:kern w:val="0"/>
          <w:szCs w:val="18"/>
          <w:lang w:val="fr-FR" w:eastAsia="es-CR"/>
          <w14:ligatures w14:val="none"/>
        </w:rPr>
        <w:t xml:space="preserve"> </w:t>
      </w:r>
      <w:proofErr w:type="spellStart"/>
      <w:r w:rsidRPr="00AD7196">
        <w:rPr>
          <w:rFonts w:ascii="Calibri" w:eastAsia="Times New Roman" w:hAnsi="Calibri" w:cs="Calibri"/>
          <w:color w:val="000000"/>
          <w:kern w:val="0"/>
          <w:szCs w:val="18"/>
          <w:lang w:val="fr-FR" w:eastAsia="es-CR"/>
          <w14:ligatures w14:val="none"/>
        </w:rPr>
        <w:t>Ediciones</w:t>
      </w:r>
      <w:proofErr w:type="spellEnd"/>
      <w:r w:rsidRPr="00AD7196">
        <w:rPr>
          <w:rFonts w:ascii="Calibri" w:eastAsia="Times New Roman" w:hAnsi="Calibri" w:cs="Calibri"/>
          <w:color w:val="000000"/>
          <w:kern w:val="0"/>
          <w:szCs w:val="18"/>
          <w:lang w:val="fr-FR" w:eastAsia="es-CR"/>
          <w14:ligatures w14:val="none"/>
        </w:rPr>
        <w:t xml:space="preserve"> </w:t>
      </w:r>
      <w:proofErr w:type="spellStart"/>
      <w:r w:rsidRPr="00AD7196">
        <w:rPr>
          <w:rFonts w:ascii="Calibri" w:eastAsia="Times New Roman" w:hAnsi="Calibri" w:cs="Calibri"/>
          <w:color w:val="000000"/>
          <w:kern w:val="0"/>
          <w:szCs w:val="18"/>
          <w:lang w:val="fr-FR" w:eastAsia="es-CR"/>
          <w14:ligatures w14:val="none"/>
        </w:rPr>
        <w:t>Paulinas</w:t>
      </w:r>
      <w:proofErr w:type="spellEnd"/>
      <w:r w:rsidRPr="00AD7196">
        <w:rPr>
          <w:rFonts w:ascii="Calibri" w:eastAsia="Times New Roman" w:hAnsi="Calibri" w:cs="Calibri"/>
          <w:color w:val="000000"/>
          <w:kern w:val="0"/>
          <w:szCs w:val="18"/>
          <w:lang w:val="es-ES_tradnl" w:eastAsia="es-CR"/>
          <w14:ligatures w14:val="none"/>
        </w:rPr>
        <w:t xml:space="preserve">, 2002. </w:t>
      </w:r>
      <w:r w:rsidRPr="00AD7196">
        <w:rPr>
          <w:rFonts w:ascii="Calibri" w:eastAsia="Times New Roman" w:hAnsi="Calibri" w:cs="Calibri"/>
          <w:kern w:val="0"/>
          <w:szCs w:val="18"/>
          <w:lang w:val="es-ES_tradnl" w:eastAsia="es-CR"/>
          <w14:ligatures w14:val="none"/>
        </w:rPr>
        <w:t>(</w:t>
      </w:r>
      <w:r w:rsidRPr="00AD7196">
        <w:rPr>
          <w:rFonts w:ascii="Calibri" w:eastAsia="Times New Roman" w:hAnsi="Calibri" w:cs="Calibri"/>
          <w:color w:val="0070C0"/>
          <w:kern w:val="0"/>
          <w:szCs w:val="18"/>
          <w:lang w:val="es-ES_tradnl" w:eastAsia="es-CR"/>
          <w14:ligatures w14:val="none"/>
        </w:rPr>
        <w:t xml:space="preserve">clásico, </w:t>
      </w:r>
      <w:r w:rsidRPr="00AD7196">
        <w:rPr>
          <w:rFonts w:ascii="Calibri" w:eastAsia="Times New Roman" w:hAnsi="Calibri" w:cs="Calibri"/>
          <w:kern w:val="0"/>
          <w:szCs w:val="18"/>
          <w:lang w:val="es-ES_tradnl" w:eastAsia="es-CR"/>
          <w14:ligatures w14:val="none"/>
        </w:rPr>
        <w:t>última edición)</w:t>
      </w:r>
    </w:p>
    <w:p w14:paraId="6A8C21E0"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1CFC770D"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r w:rsidRPr="00AD7196">
        <w:rPr>
          <w:rFonts w:ascii="Calibri" w:eastAsia="Calibri" w:hAnsi="Calibri" w:cs="Calibri"/>
          <w:kern w:val="0"/>
          <w:szCs w:val="18"/>
          <w:lang w:val="es-ES" w:eastAsia="es-CR"/>
          <w14:ligatures w14:val="none"/>
        </w:rPr>
        <w:t xml:space="preserve">Guzmán </w:t>
      </w:r>
      <w:proofErr w:type="spellStart"/>
      <w:r w:rsidRPr="00AD7196">
        <w:rPr>
          <w:rFonts w:ascii="Calibri" w:eastAsia="Calibri" w:hAnsi="Calibri" w:cs="Calibri"/>
          <w:kern w:val="0"/>
          <w:szCs w:val="18"/>
          <w:lang w:val="es-ES" w:eastAsia="es-CR"/>
          <w14:ligatures w14:val="none"/>
        </w:rPr>
        <w:t>Games</w:t>
      </w:r>
      <w:proofErr w:type="spellEnd"/>
      <w:r w:rsidRPr="00AD7196">
        <w:rPr>
          <w:rFonts w:ascii="Calibri" w:eastAsia="Calibri" w:hAnsi="Calibri" w:cs="Calibri"/>
          <w:kern w:val="0"/>
          <w:szCs w:val="18"/>
          <w:lang w:val="es-ES" w:eastAsia="es-CR"/>
          <w14:ligatures w14:val="none"/>
        </w:rPr>
        <w:t>, Francisco Javier. “</w:t>
      </w:r>
      <w:r w:rsidRPr="00AD7196">
        <w:rPr>
          <w:rFonts w:ascii="Calibri" w:eastAsia="Times New Roman" w:hAnsi="Calibri" w:cs="Calibri"/>
          <w:kern w:val="0"/>
          <w:szCs w:val="18"/>
          <w:lang w:val="es-ES_tradnl" w:eastAsia="es-CR"/>
          <w14:ligatures w14:val="none"/>
        </w:rPr>
        <w:t xml:space="preserve">Freire en la era digital: opresión y liberación de pueblos indígenas mediante las TIC”. </w:t>
      </w:r>
      <w:r w:rsidRPr="00AD7196">
        <w:rPr>
          <w:rFonts w:ascii="Calibri" w:eastAsia="Times New Roman" w:hAnsi="Calibri" w:cs="Calibri"/>
          <w:kern w:val="0"/>
          <w:szCs w:val="18"/>
          <w:lang w:val="es-ES_tradnl" w:eastAsia="es-CR"/>
          <w14:ligatures w14:val="none"/>
        </w:rPr>
        <w:tab/>
      </w:r>
      <w:r w:rsidRPr="00AD7196">
        <w:rPr>
          <w:rFonts w:ascii="Calibri" w:eastAsia="Times New Roman" w:hAnsi="Calibri" w:cs="Calibri"/>
          <w:i/>
          <w:iCs/>
          <w:kern w:val="0"/>
          <w:szCs w:val="18"/>
          <w:lang w:val="es-ES_tradnl" w:eastAsia="es-CR"/>
          <w14:ligatures w14:val="none"/>
        </w:rPr>
        <w:t>Innovación educativa</w:t>
      </w:r>
      <w:r w:rsidRPr="00AD7196">
        <w:rPr>
          <w:rFonts w:ascii="Calibri" w:eastAsia="Times New Roman" w:hAnsi="Calibri" w:cs="Calibri"/>
          <w:kern w:val="0"/>
          <w:szCs w:val="18"/>
          <w:lang w:val="es-ES_tradnl" w:eastAsia="es-CR"/>
          <w14:ligatures w14:val="none"/>
        </w:rPr>
        <w:t xml:space="preserve"> n. 75 (2017): 9-27. </w:t>
      </w:r>
      <w:r w:rsidRPr="00AD7196">
        <w:rPr>
          <w:rFonts w:ascii="Calibri" w:eastAsia="Calibri" w:hAnsi="Calibri" w:cs="Calibri"/>
          <w:kern w:val="0"/>
          <w:szCs w:val="18"/>
          <w:lang w:val="es-ES" w:eastAsia="es-CR"/>
          <w14:ligatures w14:val="none"/>
        </w:rPr>
        <w:t xml:space="preserve">Acceso el 21 de noviembre de 2022. </w:t>
      </w:r>
      <w:hyperlink r:id="rId559" w:history="1">
        <w:r w:rsidRPr="00AD7196">
          <w:rPr>
            <w:rFonts w:ascii="Calibri" w:eastAsia="Times New Roman" w:hAnsi="Calibri" w:cs="Calibri"/>
            <w:color w:val="0563C1"/>
            <w:kern w:val="0"/>
            <w:szCs w:val="18"/>
            <w:u w:val="single"/>
            <w:lang w:val="es-ES_tradnl" w:eastAsia="es-CR"/>
            <w14:ligatures w14:val="none"/>
          </w:rPr>
          <w:t>https://www.scielo.org.mx/scielo.php?script=sci_arttext&amp;pid=S1665-26732017000300009</w:t>
        </w:r>
      </w:hyperlink>
      <w:r w:rsidRPr="00AD7196">
        <w:rPr>
          <w:rFonts w:ascii="Calibri" w:eastAsia="Times New Roman" w:hAnsi="Calibri" w:cs="Calibri"/>
          <w:kern w:val="0"/>
          <w:szCs w:val="18"/>
          <w:lang w:val="es-ES_tradnl" w:eastAsia="es-CR"/>
          <w14:ligatures w14:val="none"/>
        </w:rPr>
        <w:t xml:space="preserve"> </w:t>
      </w:r>
    </w:p>
    <w:p w14:paraId="1C6FFE0C"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0F71E169"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r w:rsidRPr="00AD7196">
        <w:rPr>
          <w:rFonts w:ascii="Calibri" w:eastAsia="Times New Roman" w:hAnsi="Calibri" w:cs="Calibri"/>
          <w:kern w:val="0"/>
          <w:szCs w:val="18"/>
          <w:lang w:val="es-ES_tradnl" w:eastAsia="es-CR"/>
          <w14:ligatures w14:val="none"/>
        </w:rPr>
        <w:t xml:space="preserve">Jasper, David. “La Biblia en el arte y en la literatura: fuente de inspiración para poetas y pintores. María Magdalena”. </w:t>
      </w:r>
      <w:r w:rsidRPr="00AD7196">
        <w:rPr>
          <w:rFonts w:ascii="Calibri" w:eastAsia="Times New Roman" w:hAnsi="Calibri" w:cs="Calibri"/>
          <w:i/>
          <w:kern w:val="0"/>
          <w:szCs w:val="18"/>
          <w:lang w:val="es-ES_tradnl" w:eastAsia="es-CR"/>
          <w14:ligatures w14:val="none"/>
        </w:rPr>
        <w:t xml:space="preserve">Revista Internacional de Teología Concilium </w:t>
      </w:r>
      <w:r w:rsidRPr="00AD7196">
        <w:rPr>
          <w:rFonts w:ascii="Calibri" w:eastAsia="Times New Roman" w:hAnsi="Calibri" w:cs="Calibri"/>
          <w:iCs/>
          <w:kern w:val="0"/>
          <w:szCs w:val="18"/>
          <w:lang w:val="es-ES_tradnl" w:eastAsia="es-CR"/>
          <w14:ligatures w14:val="none"/>
        </w:rPr>
        <w:t xml:space="preserve">n. </w:t>
      </w:r>
      <w:r w:rsidRPr="00AD7196">
        <w:rPr>
          <w:rFonts w:ascii="Calibri" w:eastAsia="Times New Roman" w:hAnsi="Calibri" w:cs="Calibri"/>
          <w:kern w:val="0"/>
          <w:szCs w:val="18"/>
          <w:lang w:val="es-ES_tradnl" w:eastAsia="es-CR"/>
          <w14:ligatures w14:val="none"/>
        </w:rPr>
        <w:t>257 (1995):</w:t>
      </w:r>
      <w:r w:rsidRPr="00AD7196">
        <w:rPr>
          <w:rFonts w:ascii="Calibri" w:eastAsia="Times New Roman" w:hAnsi="Calibri" w:cs="Calibri"/>
          <w:i/>
          <w:kern w:val="0"/>
          <w:szCs w:val="18"/>
          <w:lang w:val="es-ES_tradnl" w:eastAsia="es-CR"/>
          <w14:ligatures w14:val="none"/>
        </w:rPr>
        <w:t xml:space="preserve"> </w:t>
      </w:r>
      <w:r w:rsidRPr="00AD7196">
        <w:rPr>
          <w:rFonts w:ascii="Calibri" w:eastAsia="Times New Roman" w:hAnsi="Calibri" w:cs="Calibri"/>
          <w:kern w:val="0"/>
          <w:szCs w:val="18"/>
          <w:lang w:val="es-ES_tradnl" w:eastAsia="es-CR"/>
          <w14:ligatures w14:val="none"/>
        </w:rPr>
        <w:t>67-83.</w:t>
      </w:r>
    </w:p>
    <w:p w14:paraId="1EE144D3"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431A17A9"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r w:rsidRPr="00AD7196">
        <w:rPr>
          <w:rFonts w:ascii="Calibri" w:eastAsia="Times New Roman" w:hAnsi="Calibri" w:cs="Calibri"/>
          <w:kern w:val="0"/>
          <w:szCs w:val="18"/>
          <w:lang w:val="es-ES_tradnl" w:eastAsia="es-CR"/>
          <w14:ligatures w14:val="none"/>
        </w:rPr>
        <w:t xml:space="preserve">Londoño, Juan Esteban. “Literatura apocalíptica y literatura fantástica”. </w:t>
      </w:r>
      <w:r w:rsidRPr="00AD7196">
        <w:rPr>
          <w:rFonts w:ascii="Calibri" w:eastAsia="Times New Roman" w:hAnsi="Calibri" w:cs="Calibri"/>
          <w:i/>
          <w:kern w:val="0"/>
          <w:szCs w:val="18"/>
          <w:lang w:val="es-ES_tradnl" w:eastAsia="es-CR"/>
          <w14:ligatures w14:val="none"/>
        </w:rPr>
        <w:t xml:space="preserve">Vida y Pensamiento </w:t>
      </w:r>
      <w:r w:rsidRPr="00AD7196">
        <w:rPr>
          <w:rFonts w:ascii="Calibri" w:eastAsia="Times New Roman" w:hAnsi="Calibri" w:cs="Calibri"/>
          <w:iCs/>
          <w:kern w:val="0"/>
          <w:szCs w:val="18"/>
          <w:lang w:val="es-ES_tradnl" w:eastAsia="es-CR"/>
          <w14:ligatures w14:val="none"/>
        </w:rPr>
        <w:t xml:space="preserve">n. </w:t>
      </w:r>
      <w:r w:rsidRPr="00AD7196">
        <w:rPr>
          <w:rFonts w:ascii="Calibri" w:eastAsia="Times New Roman" w:hAnsi="Calibri" w:cs="Calibri"/>
          <w:kern w:val="0"/>
          <w:szCs w:val="18"/>
          <w:lang w:val="es-ES_tradnl" w:eastAsia="es-CR"/>
          <w14:ligatures w14:val="none"/>
        </w:rPr>
        <w:t>2 (2009):</w:t>
      </w:r>
      <w:r w:rsidRPr="00AD7196">
        <w:rPr>
          <w:rFonts w:ascii="Calibri" w:eastAsia="Times New Roman" w:hAnsi="Calibri" w:cs="Calibri"/>
          <w:i/>
          <w:kern w:val="0"/>
          <w:szCs w:val="18"/>
          <w:lang w:val="es-ES_tradnl" w:eastAsia="es-CR"/>
          <w14:ligatures w14:val="none"/>
        </w:rPr>
        <w:t xml:space="preserve"> </w:t>
      </w:r>
      <w:r w:rsidRPr="00AD7196">
        <w:rPr>
          <w:rFonts w:ascii="Calibri" w:eastAsia="Times New Roman" w:hAnsi="Calibri" w:cs="Calibri"/>
          <w:kern w:val="0"/>
          <w:szCs w:val="18"/>
          <w:lang w:val="es-ES_tradnl" w:eastAsia="es-CR"/>
          <w14:ligatures w14:val="none"/>
        </w:rPr>
        <w:t>95-121.</w:t>
      </w:r>
    </w:p>
    <w:p w14:paraId="5B0A9366"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3FC58433"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r w:rsidRPr="00AD7196">
        <w:rPr>
          <w:rFonts w:ascii="Calibri" w:eastAsia="Times New Roman" w:hAnsi="Calibri" w:cs="Calibri"/>
          <w:kern w:val="0"/>
          <w:szCs w:val="18"/>
          <w:lang w:val="es-ES_tradnl" w:eastAsia="es-CR"/>
          <w14:ligatures w14:val="none"/>
        </w:rPr>
        <w:lastRenderedPageBreak/>
        <w:t>Ramírez-Kidd, José Enrique. “Caín (Génesis 4, 1-16): su presencia en la literatura”. </w:t>
      </w:r>
      <w:r w:rsidRPr="00AD7196">
        <w:rPr>
          <w:rFonts w:ascii="Calibri" w:eastAsia="Times New Roman" w:hAnsi="Calibri" w:cs="Calibri"/>
          <w:i/>
          <w:iCs/>
          <w:kern w:val="0"/>
          <w:szCs w:val="18"/>
          <w:lang w:val="es-ES_tradnl" w:eastAsia="es-CR"/>
          <w14:ligatures w14:val="none"/>
        </w:rPr>
        <w:t>Revista Bíblica</w:t>
      </w:r>
      <w:r w:rsidRPr="00AD7196">
        <w:rPr>
          <w:rFonts w:ascii="Calibri" w:eastAsia="Times New Roman" w:hAnsi="Calibri" w:cs="Calibri"/>
          <w:kern w:val="0"/>
          <w:szCs w:val="18"/>
          <w:lang w:val="es-ES_tradnl" w:eastAsia="es-CR"/>
          <w14:ligatures w14:val="none"/>
        </w:rPr>
        <w:t xml:space="preserve"> vol. 77 (2016): 29-52. </w:t>
      </w:r>
      <w:r w:rsidRPr="00AD7196">
        <w:rPr>
          <w:rFonts w:ascii="Calibri" w:eastAsia="Calibri" w:hAnsi="Calibri" w:cs="Calibri"/>
          <w:kern w:val="0"/>
          <w:szCs w:val="18"/>
          <w:lang w:val="es-ES" w:eastAsia="es-CR"/>
          <w14:ligatures w14:val="none"/>
        </w:rPr>
        <w:t>Acceso el 21 de noviembre de 2022.</w:t>
      </w:r>
      <w:r w:rsidRPr="00AD7196">
        <w:rPr>
          <w:rFonts w:ascii="Calibri" w:eastAsia="Times New Roman" w:hAnsi="Calibri" w:cs="Calibri"/>
          <w:kern w:val="0"/>
          <w:sz w:val="16"/>
          <w:szCs w:val="16"/>
          <w:shd w:val="clear" w:color="auto" w:fill="FFFFFF"/>
          <w:lang w:val="es-ES_tradnl" w:eastAsia="es-CR"/>
          <w14:ligatures w14:val="none"/>
        </w:rPr>
        <w:t xml:space="preserve"> </w:t>
      </w:r>
      <w:hyperlink r:id="rId560" w:history="1">
        <w:r w:rsidRPr="00AD7196">
          <w:rPr>
            <w:rFonts w:ascii="Calibri" w:eastAsia="Times New Roman" w:hAnsi="Calibri" w:cs="Calibri"/>
            <w:color w:val="0563C1"/>
            <w:kern w:val="0"/>
            <w:szCs w:val="18"/>
            <w:u w:val="single"/>
            <w:lang w:val="es-ES_tradnl" w:eastAsia="es-CR"/>
            <w14:ligatures w14:val="none"/>
          </w:rPr>
          <w:t>https://doi.org/10.47182/rb.77.n-201646</w:t>
        </w:r>
      </w:hyperlink>
      <w:r w:rsidRPr="00AD7196">
        <w:rPr>
          <w:rFonts w:ascii="Calibri" w:eastAsia="Times New Roman" w:hAnsi="Calibri" w:cs="Calibri"/>
          <w:kern w:val="0"/>
          <w:szCs w:val="18"/>
          <w:lang w:val="es-ES_tradnl" w:eastAsia="es-CR"/>
          <w14:ligatures w14:val="none"/>
        </w:rPr>
        <w:t xml:space="preserve"> </w:t>
      </w:r>
    </w:p>
    <w:p w14:paraId="176D71B2"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5CAF72FC"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r w:rsidRPr="00AD7196">
        <w:rPr>
          <w:rFonts w:ascii="Calibri" w:eastAsia="Calibri" w:hAnsi="Calibri" w:cs="Calibri"/>
          <w:kern w:val="0"/>
          <w:szCs w:val="18"/>
          <w:lang w:val="es-ES" w:eastAsia="es-CR"/>
          <w14:ligatures w14:val="none"/>
        </w:rPr>
        <w:t xml:space="preserve">Ramírez-Kidd, José Enrique. </w:t>
      </w:r>
      <w:r w:rsidRPr="00AD7196">
        <w:rPr>
          <w:rFonts w:ascii="Calibri" w:eastAsia="Calibri" w:hAnsi="Calibri" w:cs="Calibri"/>
          <w:i/>
          <w:iCs/>
          <w:kern w:val="0"/>
          <w:szCs w:val="18"/>
          <w:lang w:val="es-ES" w:eastAsia="es-CR"/>
          <w14:ligatures w14:val="none"/>
        </w:rPr>
        <w:t>Para comprender el Antiguo Testamento</w:t>
      </w:r>
      <w:r w:rsidRPr="00AD7196">
        <w:rPr>
          <w:rFonts w:ascii="Calibri" w:eastAsia="Calibri" w:hAnsi="Calibri" w:cs="Calibri"/>
          <w:kern w:val="0"/>
          <w:szCs w:val="18"/>
          <w:lang w:val="es-ES" w:eastAsia="es-CR"/>
          <w14:ligatures w14:val="none"/>
        </w:rPr>
        <w:t>. San José: SEBILA, 2019.</w:t>
      </w:r>
    </w:p>
    <w:p w14:paraId="51DB05A9"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5A75159C"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r w:rsidRPr="00AD7196">
        <w:rPr>
          <w:rFonts w:ascii="Calibri" w:eastAsia="Calibri" w:hAnsi="Calibri" w:cs="Calibri"/>
          <w:kern w:val="0"/>
          <w:szCs w:val="18"/>
          <w:lang w:val="es-ES" w:eastAsia="es-CR"/>
          <w14:ligatures w14:val="none"/>
        </w:rPr>
        <w:t xml:space="preserve">Rivas, Fernando. </w:t>
      </w:r>
      <w:r w:rsidRPr="00AD7196">
        <w:rPr>
          <w:rFonts w:ascii="Calibri" w:eastAsia="Calibri" w:hAnsi="Calibri" w:cs="Calibri"/>
          <w:i/>
          <w:iCs/>
          <w:kern w:val="0"/>
          <w:szCs w:val="18"/>
          <w:lang w:val="es-ES" w:eastAsia="es-CR"/>
          <w14:ligatures w14:val="none"/>
        </w:rPr>
        <w:t>La vida cotidiana de los primeros cristianos</w:t>
      </w:r>
      <w:r w:rsidRPr="00AD7196">
        <w:rPr>
          <w:rFonts w:ascii="Calibri" w:eastAsia="Calibri" w:hAnsi="Calibri" w:cs="Calibri"/>
          <w:kern w:val="0"/>
          <w:szCs w:val="18"/>
          <w:lang w:val="es-ES" w:eastAsia="es-CR"/>
          <w14:ligatures w14:val="none"/>
        </w:rPr>
        <w:t xml:space="preserve">. Estella: Verbo Divino, 2015. </w:t>
      </w:r>
      <w:r w:rsidRPr="00AD7196">
        <w:rPr>
          <w:rFonts w:ascii="Calibri" w:eastAsia="Times New Roman" w:hAnsi="Calibri" w:cs="Calibri"/>
          <w:kern w:val="0"/>
          <w:szCs w:val="18"/>
          <w:lang w:val="es-ES_tradnl" w:eastAsia="es-CR"/>
          <w14:ligatures w14:val="none"/>
        </w:rPr>
        <w:t>(</w:t>
      </w:r>
      <w:r w:rsidRPr="00AD7196">
        <w:rPr>
          <w:rFonts w:ascii="Calibri" w:eastAsia="Times New Roman" w:hAnsi="Calibri" w:cs="Calibri"/>
          <w:color w:val="0070C0"/>
          <w:kern w:val="0"/>
          <w:szCs w:val="18"/>
          <w:lang w:val="es-ES_tradnl" w:eastAsia="es-CR"/>
          <w14:ligatures w14:val="none"/>
        </w:rPr>
        <w:t xml:space="preserve">clásico, </w:t>
      </w:r>
      <w:r w:rsidRPr="00AD7196">
        <w:rPr>
          <w:rFonts w:ascii="Calibri" w:eastAsia="Times New Roman" w:hAnsi="Calibri" w:cs="Calibri"/>
          <w:kern w:val="0"/>
          <w:szCs w:val="18"/>
          <w:lang w:val="es-ES_tradnl" w:eastAsia="es-CR"/>
          <w14:ligatures w14:val="none"/>
        </w:rPr>
        <w:t>última edición)</w:t>
      </w:r>
    </w:p>
    <w:p w14:paraId="58CAED1E"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7BF783DE"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roofErr w:type="spellStart"/>
      <w:r w:rsidRPr="00AD7196">
        <w:rPr>
          <w:rFonts w:ascii="Calibri" w:eastAsia="Times New Roman" w:hAnsi="Calibri" w:cs="Calibri"/>
          <w:color w:val="000000"/>
          <w:kern w:val="0"/>
          <w:szCs w:val="18"/>
          <w:lang w:val="es-ES_tradnl" w:eastAsia="es-CR"/>
          <w14:ligatures w14:val="none"/>
        </w:rPr>
        <w:t>Rösener</w:t>
      </w:r>
      <w:proofErr w:type="spellEnd"/>
      <w:r w:rsidRPr="00AD7196">
        <w:rPr>
          <w:rFonts w:ascii="Calibri" w:eastAsia="Times New Roman" w:hAnsi="Calibri" w:cs="Calibri"/>
          <w:kern w:val="0"/>
          <w:szCs w:val="18"/>
          <w:lang w:val="es-ES_tradnl" w:eastAsia="es-CR"/>
          <w14:ligatures w14:val="none"/>
        </w:rPr>
        <w:t xml:space="preserve">, </w:t>
      </w:r>
      <w:proofErr w:type="spellStart"/>
      <w:r w:rsidRPr="00AD7196">
        <w:rPr>
          <w:rFonts w:ascii="Calibri" w:eastAsia="Times New Roman" w:hAnsi="Calibri" w:cs="Calibri"/>
          <w:kern w:val="0"/>
          <w:szCs w:val="18"/>
          <w:lang w:val="es-ES_tradnl" w:eastAsia="es-CR"/>
          <w14:ligatures w14:val="none"/>
        </w:rPr>
        <w:t>Christiane</w:t>
      </w:r>
      <w:proofErr w:type="spellEnd"/>
      <w:r w:rsidRPr="00AD7196">
        <w:rPr>
          <w:rFonts w:ascii="Calibri" w:eastAsia="Times New Roman" w:hAnsi="Calibri" w:cs="Calibri"/>
          <w:kern w:val="0"/>
          <w:szCs w:val="18"/>
          <w:lang w:val="es-ES_tradnl" w:eastAsia="es-CR"/>
          <w14:ligatures w14:val="none"/>
        </w:rPr>
        <w:t xml:space="preserve">. “Hijas de la misma madre: religión y poesía. Un motivo, un ejemplo y dos argumentos en favor del uso de los poemas en la enseñanza religiosa”. </w:t>
      </w:r>
      <w:r w:rsidRPr="00AD7196">
        <w:rPr>
          <w:rFonts w:ascii="Calibri" w:eastAsia="Times New Roman" w:hAnsi="Calibri" w:cs="Calibri"/>
          <w:i/>
          <w:kern w:val="0"/>
          <w:szCs w:val="18"/>
          <w:lang w:val="es-ES_tradnl" w:eastAsia="es-CR"/>
          <w14:ligatures w14:val="none"/>
        </w:rPr>
        <w:t xml:space="preserve">Vida y Pensamiento </w:t>
      </w:r>
      <w:r w:rsidRPr="00AD7196">
        <w:rPr>
          <w:rFonts w:ascii="Calibri" w:eastAsia="Times New Roman" w:hAnsi="Calibri" w:cs="Calibri"/>
          <w:iCs/>
          <w:kern w:val="0"/>
          <w:szCs w:val="18"/>
          <w:lang w:val="es-ES_tradnl" w:eastAsia="es-CR"/>
          <w14:ligatures w14:val="none"/>
        </w:rPr>
        <w:t>n</w:t>
      </w:r>
      <w:r w:rsidRPr="00AD7196">
        <w:rPr>
          <w:rFonts w:ascii="Calibri" w:eastAsia="Times New Roman" w:hAnsi="Calibri" w:cs="Calibri"/>
          <w:kern w:val="0"/>
          <w:szCs w:val="18"/>
          <w:lang w:val="es-ES_tradnl" w:eastAsia="es-CR"/>
          <w14:ligatures w14:val="none"/>
        </w:rPr>
        <w:t>. 2 (2009): 71-91.</w:t>
      </w:r>
    </w:p>
    <w:p w14:paraId="618AD209"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Times New Roman" w:hAnsi="Calibri" w:cs="Calibri"/>
          <w:kern w:val="0"/>
          <w:szCs w:val="18"/>
          <w:lang w:val="es-ES_tradnl" w:eastAsia="es-CR"/>
          <w14:ligatures w14:val="none"/>
        </w:rPr>
      </w:pPr>
    </w:p>
    <w:p w14:paraId="25A87CD0"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roofErr w:type="spellStart"/>
      <w:r w:rsidRPr="00AD7196">
        <w:rPr>
          <w:rFonts w:ascii="Calibri" w:eastAsia="Times New Roman" w:hAnsi="Calibri" w:cs="Calibri"/>
          <w:kern w:val="0"/>
          <w:szCs w:val="18"/>
          <w:lang w:val="es-ES_tradnl" w:eastAsia="es-CR"/>
          <w14:ligatures w14:val="none"/>
        </w:rPr>
        <w:t>Scannone</w:t>
      </w:r>
      <w:proofErr w:type="spellEnd"/>
      <w:r w:rsidRPr="00AD7196">
        <w:rPr>
          <w:rFonts w:ascii="Calibri" w:eastAsia="Times New Roman" w:hAnsi="Calibri" w:cs="Calibri"/>
          <w:kern w:val="0"/>
          <w:szCs w:val="18"/>
          <w:lang w:val="es-ES_tradnl" w:eastAsia="es-CR"/>
          <w14:ligatures w14:val="none"/>
        </w:rPr>
        <w:t xml:space="preserve">, Juan Carlos. “Poesía popular y teología: el aporte de “Martín Fierro” a una teología de la liberación”. </w:t>
      </w:r>
      <w:r w:rsidRPr="00AD7196">
        <w:rPr>
          <w:rFonts w:ascii="Calibri" w:eastAsia="Times New Roman" w:hAnsi="Calibri" w:cs="Calibri"/>
          <w:i/>
          <w:iCs/>
          <w:kern w:val="0"/>
          <w:szCs w:val="18"/>
          <w:lang w:val="es-ES_tradnl" w:eastAsia="es-CR"/>
          <w14:ligatures w14:val="none"/>
        </w:rPr>
        <w:t xml:space="preserve">Revista Internacional de Teología Concilium </w:t>
      </w:r>
      <w:r w:rsidRPr="00AD7196">
        <w:rPr>
          <w:rFonts w:ascii="Calibri" w:eastAsia="Times New Roman" w:hAnsi="Calibri" w:cs="Calibri"/>
          <w:kern w:val="0"/>
          <w:szCs w:val="18"/>
          <w:lang w:val="es-ES_tradnl" w:eastAsia="es-CR"/>
          <w14:ligatures w14:val="none"/>
        </w:rPr>
        <w:t>n. 115 (1976): 264-275.</w:t>
      </w:r>
    </w:p>
    <w:p w14:paraId="4BC8ED5C"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7646CC4B"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roofErr w:type="spellStart"/>
      <w:r w:rsidRPr="00AD7196">
        <w:rPr>
          <w:rFonts w:ascii="Calibri" w:eastAsia="Times New Roman" w:hAnsi="Calibri" w:cs="Calibri"/>
          <w:color w:val="000000"/>
          <w:kern w:val="0"/>
          <w:szCs w:val="18"/>
          <w:lang w:val="es-ES_tradnl" w:eastAsia="es-CR"/>
          <w14:ligatures w14:val="none"/>
        </w:rPr>
        <w:t>Spinsanti</w:t>
      </w:r>
      <w:proofErr w:type="spellEnd"/>
      <w:r w:rsidRPr="00AD7196">
        <w:rPr>
          <w:rFonts w:ascii="Calibri" w:eastAsia="Times New Roman" w:hAnsi="Calibri" w:cs="Calibri"/>
          <w:color w:val="000000"/>
          <w:kern w:val="0"/>
          <w:szCs w:val="18"/>
          <w:lang w:val="es-ES_tradnl" w:eastAsia="es-CR"/>
          <w14:ligatures w14:val="none"/>
        </w:rPr>
        <w:t xml:space="preserve">, Sandro. “Cuerpo”. En </w:t>
      </w:r>
      <w:r w:rsidRPr="00AD7196">
        <w:rPr>
          <w:rFonts w:ascii="Calibri" w:eastAsia="Times New Roman" w:hAnsi="Calibri" w:cs="Calibri"/>
          <w:i/>
          <w:iCs/>
          <w:color w:val="000000"/>
          <w:kern w:val="0"/>
          <w:szCs w:val="18"/>
          <w:lang w:val="es-ES_tradnl" w:eastAsia="es-CR"/>
          <w14:ligatures w14:val="none"/>
        </w:rPr>
        <w:t>Nuevo Diccionario de Espiritualidad</w:t>
      </w:r>
      <w:r w:rsidRPr="00AD7196">
        <w:rPr>
          <w:rFonts w:ascii="Calibri" w:eastAsia="Times New Roman" w:hAnsi="Calibri" w:cs="Calibri"/>
          <w:color w:val="000000"/>
          <w:kern w:val="0"/>
          <w:szCs w:val="18"/>
          <w:lang w:val="es-ES_tradnl" w:eastAsia="es-CR"/>
          <w14:ligatures w14:val="none"/>
        </w:rPr>
        <w:t xml:space="preserve">, editado por Stefano de </w:t>
      </w:r>
      <w:proofErr w:type="spellStart"/>
      <w:r w:rsidRPr="00AD7196">
        <w:rPr>
          <w:rFonts w:ascii="Calibri" w:eastAsia="Times New Roman" w:hAnsi="Calibri" w:cs="Calibri"/>
          <w:color w:val="000000"/>
          <w:kern w:val="0"/>
          <w:szCs w:val="18"/>
          <w:lang w:val="es-ES_tradnl" w:eastAsia="es-CR"/>
          <w14:ligatures w14:val="none"/>
        </w:rPr>
        <w:t>Fiores</w:t>
      </w:r>
      <w:proofErr w:type="spellEnd"/>
      <w:r w:rsidRPr="00AD7196">
        <w:rPr>
          <w:rFonts w:ascii="Calibri" w:eastAsia="Times New Roman" w:hAnsi="Calibri" w:cs="Calibri"/>
          <w:color w:val="000000"/>
          <w:kern w:val="0"/>
          <w:szCs w:val="18"/>
          <w:lang w:val="es-ES_tradnl" w:eastAsia="es-CR"/>
          <w14:ligatures w14:val="none"/>
        </w:rPr>
        <w:t xml:space="preserve"> y </w:t>
      </w:r>
      <w:proofErr w:type="spellStart"/>
      <w:r w:rsidRPr="00AD7196">
        <w:rPr>
          <w:rFonts w:ascii="Calibri" w:eastAsia="Times New Roman" w:hAnsi="Calibri" w:cs="Calibri"/>
          <w:color w:val="000000"/>
          <w:kern w:val="0"/>
          <w:szCs w:val="18"/>
          <w:lang w:val="es-ES_tradnl" w:eastAsia="es-CR"/>
          <w14:ligatures w14:val="none"/>
        </w:rPr>
        <w:t>Tullo</w:t>
      </w:r>
      <w:proofErr w:type="spellEnd"/>
      <w:r w:rsidRPr="00AD7196">
        <w:rPr>
          <w:rFonts w:ascii="Calibri" w:eastAsia="Times New Roman" w:hAnsi="Calibri" w:cs="Calibri"/>
          <w:color w:val="000000"/>
          <w:kern w:val="0"/>
          <w:szCs w:val="18"/>
          <w:lang w:val="es-ES_tradnl" w:eastAsia="es-CR"/>
          <w14:ligatures w14:val="none"/>
        </w:rPr>
        <w:t xml:space="preserve"> </w:t>
      </w:r>
      <w:proofErr w:type="spellStart"/>
      <w:r w:rsidRPr="00AD7196">
        <w:rPr>
          <w:rFonts w:ascii="Calibri" w:eastAsia="Times New Roman" w:hAnsi="Calibri" w:cs="Calibri"/>
          <w:color w:val="000000"/>
          <w:kern w:val="0"/>
          <w:szCs w:val="18"/>
          <w:lang w:val="es-ES_tradnl" w:eastAsia="es-CR"/>
          <w14:ligatures w14:val="none"/>
        </w:rPr>
        <w:t>Goffi</w:t>
      </w:r>
      <w:proofErr w:type="spellEnd"/>
      <w:r w:rsidRPr="00AD7196">
        <w:rPr>
          <w:rFonts w:ascii="Calibri" w:eastAsia="Times New Roman" w:hAnsi="Calibri" w:cs="Calibri"/>
          <w:color w:val="000000"/>
          <w:kern w:val="0"/>
          <w:szCs w:val="18"/>
          <w:lang w:val="es-ES_tradnl" w:eastAsia="es-CR"/>
          <w14:ligatures w14:val="none"/>
        </w:rPr>
        <w:t xml:space="preserve">, 318-335. Madrid: Ediciones Paulinas, 1991. </w:t>
      </w:r>
      <w:r w:rsidRPr="00AD7196">
        <w:rPr>
          <w:rFonts w:ascii="Calibri" w:eastAsia="Times New Roman" w:hAnsi="Calibri" w:cs="Calibri"/>
          <w:kern w:val="0"/>
          <w:szCs w:val="18"/>
          <w:lang w:val="es-ES_tradnl" w:eastAsia="es-CR"/>
          <w14:ligatures w14:val="none"/>
        </w:rPr>
        <w:t>(</w:t>
      </w:r>
      <w:r w:rsidRPr="00AD7196">
        <w:rPr>
          <w:rFonts w:ascii="Calibri" w:eastAsia="Times New Roman" w:hAnsi="Calibri" w:cs="Calibri"/>
          <w:color w:val="0070C0"/>
          <w:kern w:val="0"/>
          <w:szCs w:val="18"/>
          <w:lang w:val="es-ES_tradnl" w:eastAsia="es-CR"/>
          <w14:ligatures w14:val="none"/>
        </w:rPr>
        <w:t xml:space="preserve">clásico, </w:t>
      </w:r>
      <w:r w:rsidRPr="00AD7196">
        <w:rPr>
          <w:rFonts w:ascii="Calibri" w:eastAsia="Times New Roman" w:hAnsi="Calibri" w:cs="Calibri"/>
          <w:kern w:val="0"/>
          <w:szCs w:val="18"/>
          <w:lang w:val="es-ES_tradnl" w:eastAsia="es-CR"/>
          <w14:ligatures w14:val="none"/>
        </w:rPr>
        <w:t>última edición)</w:t>
      </w:r>
    </w:p>
    <w:p w14:paraId="15184C57"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eastAsia="es-CR"/>
          <w14:ligatures w14:val="none"/>
        </w:rPr>
      </w:pPr>
    </w:p>
    <w:p w14:paraId="60355914"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Times New Roman" w:hAnsi="Calibri" w:cs="Calibri"/>
          <w:kern w:val="0"/>
          <w:szCs w:val="18"/>
          <w:lang w:val="es-ES_tradnl" w:eastAsia="es-CR"/>
          <w14:ligatures w14:val="none"/>
        </w:rPr>
      </w:pPr>
      <w:proofErr w:type="spellStart"/>
      <w:r w:rsidRPr="00AD7196">
        <w:rPr>
          <w:rFonts w:ascii="Calibri" w:eastAsia="Calibri" w:hAnsi="Calibri" w:cs="Calibri"/>
          <w:kern w:val="0"/>
          <w:szCs w:val="18"/>
          <w:lang w:eastAsia="es-CR"/>
          <w14:ligatures w14:val="none"/>
        </w:rPr>
        <w:t>Strack</w:t>
      </w:r>
      <w:proofErr w:type="spellEnd"/>
      <w:r w:rsidRPr="00AD7196">
        <w:rPr>
          <w:rFonts w:ascii="Calibri" w:eastAsia="Calibri" w:hAnsi="Calibri" w:cs="Calibri"/>
          <w:kern w:val="0"/>
          <w:szCs w:val="18"/>
          <w:lang w:eastAsia="es-CR"/>
          <w14:ligatures w14:val="none"/>
        </w:rPr>
        <w:t xml:space="preserve">, Hermann y Günter </w:t>
      </w:r>
      <w:proofErr w:type="spellStart"/>
      <w:r w:rsidRPr="00AD7196">
        <w:rPr>
          <w:rFonts w:ascii="Calibri" w:eastAsia="Calibri" w:hAnsi="Calibri" w:cs="Calibri"/>
          <w:kern w:val="0"/>
          <w:szCs w:val="18"/>
          <w:lang w:eastAsia="es-CR"/>
          <w14:ligatures w14:val="none"/>
        </w:rPr>
        <w:t>Stemberger</w:t>
      </w:r>
      <w:proofErr w:type="spellEnd"/>
      <w:r w:rsidRPr="00AD7196">
        <w:rPr>
          <w:rFonts w:ascii="Calibri" w:eastAsia="Calibri" w:hAnsi="Calibri" w:cs="Calibri"/>
          <w:kern w:val="0"/>
          <w:szCs w:val="18"/>
          <w:lang w:eastAsia="es-CR"/>
          <w14:ligatures w14:val="none"/>
        </w:rPr>
        <w:t xml:space="preserve">. </w:t>
      </w:r>
      <w:r w:rsidRPr="00AD7196">
        <w:rPr>
          <w:rFonts w:ascii="Calibri" w:eastAsia="Calibri" w:hAnsi="Calibri" w:cs="Calibri"/>
          <w:i/>
          <w:iCs/>
          <w:kern w:val="0"/>
          <w:szCs w:val="18"/>
          <w:lang w:val="es-ES" w:eastAsia="es-CR"/>
          <w14:ligatures w14:val="none"/>
        </w:rPr>
        <w:t xml:space="preserve">Introducción a la literatura talmúdica y </w:t>
      </w:r>
      <w:proofErr w:type="spellStart"/>
      <w:r w:rsidRPr="00AD7196">
        <w:rPr>
          <w:rFonts w:ascii="Calibri" w:eastAsia="Calibri" w:hAnsi="Calibri" w:cs="Calibri"/>
          <w:i/>
          <w:iCs/>
          <w:kern w:val="0"/>
          <w:szCs w:val="18"/>
          <w:lang w:val="es-ES" w:eastAsia="es-CR"/>
          <w14:ligatures w14:val="none"/>
        </w:rPr>
        <w:t>midrásica</w:t>
      </w:r>
      <w:proofErr w:type="spellEnd"/>
      <w:r w:rsidRPr="00AD7196">
        <w:rPr>
          <w:rFonts w:ascii="Calibri" w:eastAsia="Calibri" w:hAnsi="Calibri" w:cs="Calibri"/>
          <w:kern w:val="0"/>
          <w:szCs w:val="18"/>
          <w:lang w:val="es-ES" w:eastAsia="es-CR"/>
          <w14:ligatures w14:val="none"/>
        </w:rPr>
        <w:t xml:space="preserve">. Estella: Verbo Divino, 1996. </w:t>
      </w:r>
      <w:r w:rsidRPr="00AD7196">
        <w:rPr>
          <w:rFonts w:ascii="Calibri" w:eastAsia="Times New Roman" w:hAnsi="Calibri" w:cs="Calibri"/>
          <w:kern w:val="0"/>
          <w:szCs w:val="18"/>
          <w:lang w:val="es-ES_tradnl" w:eastAsia="es-CR"/>
          <w14:ligatures w14:val="none"/>
        </w:rPr>
        <w:t>(</w:t>
      </w:r>
      <w:r w:rsidRPr="00AD7196">
        <w:rPr>
          <w:rFonts w:ascii="Calibri" w:eastAsia="Times New Roman" w:hAnsi="Calibri" w:cs="Calibri"/>
          <w:color w:val="0070C0"/>
          <w:kern w:val="0"/>
          <w:szCs w:val="18"/>
          <w:lang w:val="es-ES_tradnl" w:eastAsia="es-CR"/>
          <w14:ligatures w14:val="none"/>
        </w:rPr>
        <w:t xml:space="preserve">clásico, </w:t>
      </w:r>
      <w:r w:rsidRPr="00AD7196">
        <w:rPr>
          <w:rFonts w:ascii="Calibri" w:eastAsia="Times New Roman" w:hAnsi="Calibri" w:cs="Calibri"/>
          <w:kern w:val="0"/>
          <w:szCs w:val="18"/>
          <w:lang w:val="es-ES_tradnl" w:eastAsia="es-CR"/>
          <w14:ligatures w14:val="none"/>
        </w:rPr>
        <w:t>última edición)</w:t>
      </w:r>
    </w:p>
    <w:p w14:paraId="79A74C4C" w14:textId="77777777" w:rsidR="00AD7196" w:rsidRPr="00AD7196" w:rsidRDefault="00AD7196" w:rsidP="00AD7196">
      <w:pPr>
        <w:widowControl w:val="0"/>
        <w:overflowPunct w:val="0"/>
        <w:autoSpaceDE w:val="0"/>
        <w:autoSpaceDN w:val="0"/>
        <w:adjustRightInd w:val="0"/>
        <w:spacing w:before="120" w:after="0" w:line="240" w:lineRule="auto"/>
        <w:ind w:left="708" w:hanging="709"/>
        <w:contextualSpacing/>
        <w:jc w:val="both"/>
        <w:rPr>
          <w:rFonts w:ascii="Calibri" w:eastAsia="Calibri" w:hAnsi="Calibri" w:cs="Calibri"/>
          <w:kern w:val="0"/>
          <w:szCs w:val="18"/>
          <w:lang w:val="es-ES" w:eastAsia="es-CR"/>
          <w14:ligatures w14:val="none"/>
        </w:rPr>
      </w:pPr>
    </w:p>
    <w:p w14:paraId="2226FF5D"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Calibri" w:hAnsi="Calibri" w:cs="Calibri"/>
          <w:b/>
          <w:bCs/>
          <w:kern w:val="0"/>
          <w:szCs w:val="18"/>
          <w:lang w:val="es-ES" w:eastAsia="es-CR"/>
          <w14:ligatures w14:val="none"/>
        </w:rPr>
      </w:pPr>
      <w:r w:rsidRPr="00AD7196">
        <w:rPr>
          <w:rFonts w:ascii="Calibri" w:eastAsia="Calibri" w:hAnsi="Calibri" w:cs="Calibri"/>
          <w:b/>
          <w:bCs/>
          <w:kern w:val="0"/>
          <w:szCs w:val="18"/>
          <w:lang w:val="es-ES" w:eastAsia="es-CR"/>
          <w14:ligatures w14:val="none"/>
        </w:rPr>
        <w:t>XII. Bibliografía complementaria</w:t>
      </w:r>
    </w:p>
    <w:p w14:paraId="4D1F6116" w14:textId="77777777" w:rsidR="00AD7196" w:rsidRPr="00AD7196" w:rsidRDefault="00AD7196" w:rsidP="00AD7196">
      <w:pPr>
        <w:widowControl w:val="0"/>
        <w:overflowPunct w:val="0"/>
        <w:autoSpaceDE w:val="0"/>
        <w:autoSpaceDN w:val="0"/>
        <w:adjustRightInd w:val="0"/>
        <w:spacing w:after="100" w:afterAutospacing="1" w:line="240" w:lineRule="auto"/>
        <w:jc w:val="both"/>
        <w:rPr>
          <w:rFonts w:ascii="Calibri" w:eastAsia="Times New Roman" w:hAnsi="Calibri" w:cs="Arial"/>
          <w:bCs/>
          <w:color w:val="000000"/>
          <w:kern w:val="0"/>
          <w:lang w:eastAsia="es-CR"/>
          <w14:ligatures w14:val="none"/>
        </w:rPr>
      </w:pPr>
      <w:r w:rsidRPr="00AD7196">
        <w:rPr>
          <w:rFonts w:ascii="Calibri" w:eastAsia="Times New Roman" w:hAnsi="Calibri" w:cs="Arial"/>
          <w:b/>
          <w:color w:val="000000"/>
          <w:kern w:val="0"/>
          <w:lang w:eastAsia="es-CR"/>
          <w14:ligatures w14:val="none"/>
        </w:rPr>
        <w:t>Nota:</w:t>
      </w:r>
      <w:r w:rsidRPr="00AD7196">
        <w:rPr>
          <w:rFonts w:ascii="Calibri" w:eastAsia="Times New Roman" w:hAnsi="Calibri" w:cs="Arial"/>
          <w:bCs/>
          <w:color w:val="000000"/>
          <w:kern w:val="0"/>
          <w:lang w:eastAsia="es-CR"/>
          <w14:ligatures w14:val="none"/>
        </w:rPr>
        <w:t xml:space="preserve"> Los materiales que no cuentan con enlace de acceso son digitalizaciones en formato </w:t>
      </w:r>
      <w:proofErr w:type="spellStart"/>
      <w:r w:rsidRPr="00AD7196">
        <w:rPr>
          <w:rFonts w:ascii="Calibri" w:eastAsia="Times New Roman" w:hAnsi="Calibri" w:cs="Arial"/>
          <w:bCs/>
          <w:color w:val="000000"/>
          <w:kern w:val="0"/>
          <w:lang w:eastAsia="es-CR"/>
          <w14:ligatures w14:val="none"/>
        </w:rPr>
        <w:t>pdf</w:t>
      </w:r>
      <w:proofErr w:type="spellEnd"/>
      <w:r w:rsidRPr="00AD7196">
        <w:rPr>
          <w:rFonts w:ascii="Calibri" w:eastAsia="Times New Roman" w:hAnsi="Calibri" w:cs="Arial"/>
          <w:bCs/>
          <w:color w:val="000000"/>
          <w:kern w:val="0"/>
          <w:lang w:eastAsia="es-CR"/>
          <w14:ligatures w14:val="none"/>
        </w:rPr>
        <w:t xml:space="preserve"> de bibliografía física disponible en la Biblioteca de la UBL, los cuales se encuentran disponibles en el aula virtual.</w:t>
      </w:r>
    </w:p>
    <w:p w14:paraId="47DC5BB6" w14:textId="77777777" w:rsidR="00AD7196" w:rsidRPr="00AD7196" w:rsidRDefault="00AD7196" w:rsidP="00AD7196">
      <w:pPr>
        <w:widowControl w:val="0"/>
        <w:overflowPunct w:val="0"/>
        <w:autoSpaceDE w:val="0"/>
        <w:autoSpaceDN w:val="0"/>
        <w:adjustRightInd w:val="0"/>
        <w:spacing w:before="120" w:after="100" w:afterAutospacing="1" w:line="240" w:lineRule="auto"/>
        <w:contextualSpacing/>
        <w:jc w:val="both"/>
        <w:rPr>
          <w:rFonts w:ascii="Calibri" w:eastAsia="Calibri" w:hAnsi="Calibri" w:cs="Calibri"/>
          <w:kern w:val="0"/>
          <w:lang w:val="es-ES_tradnl" w:eastAsia="es-CR"/>
          <w14:ligatures w14:val="none"/>
        </w:rPr>
      </w:pPr>
      <w:r w:rsidRPr="00AD7196">
        <w:rPr>
          <w:rFonts w:ascii="Calibri" w:eastAsia="Calibri" w:hAnsi="Calibri" w:cs="Calibri"/>
          <w:kern w:val="0"/>
          <w:lang w:val="es-ES_tradnl" w:eastAsia="es-CR"/>
          <w14:ligatures w14:val="none"/>
        </w:rPr>
        <w:t xml:space="preserve">Freire, Paulo. </w:t>
      </w:r>
      <w:r w:rsidRPr="00AD7196">
        <w:rPr>
          <w:rFonts w:ascii="Calibri" w:eastAsia="Calibri" w:hAnsi="Calibri" w:cs="Calibri"/>
          <w:i/>
          <w:iCs/>
          <w:kern w:val="0"/>
          <w:lang w:val="es-ES_tradnl" w:eastAsia="es-CR"/>
          <w14:ligatures w14:val="none"/>
        </w:rPr>
        <w:t>Pedagogía del oprimido</w:t>
      </w:r>
      <w:r w:rsidRPr="00AD7196">
        <w:rPr>
          <w:rFonts w:ascii="Calibri" w:eastAsia="Calibri" w:hAnsi="Calibri" w:cs="Calibri"/>
          <w:kern w:val="0"/>
          <w:lang w:val="es-ES_tradnl" w:eastAsia="es-CR"/>
          <w14:ligatures w14:val="none"/>
        </w:rPr>
        <w:t xml:space="preserve">, México, D.F.: Siglo Veintiuno, 1980. (Clásico, </w:t>
      </w:r>
      <w:r w:rsidRPr="00AD7196">
        <w:rPr>
          <w:rFonts w:ascii="Calibri" w:eastAsia="Calibri" w:hAnsi="Calibri" w:cs="Calibri"/>
          <w:color w:val="0070C0"/>
          <w:kern w:val="0"/>
          <w:lang w:val="es-ES_tradnl" w:eastAsia="es-CR"/>
          <w14:ligatures w14:val="none"/>
        </w:rPr>
        <w:t>última edición 2022</w:t>
      </w:r>
      <w:r w:rsidRPr="00AD7196">
        <w:rPr>
          <w:rFonts w:ascii="Calibri" w:eastAsia="Calibri" w:hAnsi="Calibri" w:cs="Calibri"/>
          <w:kern w:val="0"/>
          <w:lang w:val="es-ES_tradnl" w:eastAsia="es-CR"/>
          <w14:ligatures w14:val="none"/>
        </w:rPr>
        <w:t xml:space="preserve">) </w:t>
      </w:r>
    </w:p>
    <w:p w14:paraId="6BB74356" w14:textId="77777777" w:rsidR="00AD7196" w:rsidRPr="00AD7196" w:rsidRDefault="00AD7196" w:rsidP="00AD7196">
      <w:pPr>
        <w:widowControl w:val="0"/>
        <w:overflowPunct w:val="0"/>
        <w:autoSpaceDE w:val="0"/>
        <w:autoSpaceDN w:val="0"/>
        <w:adjustRightInd w:val="0"/>
        <w:spacing w:before="120" w:after="100" w:afterAutospacing="1" w:line="240" w:lineRule="auto"/>
        <w:contextualSpacing/>
        <w:jc w:val="both"/>
        <w:rPr>
          <w:rFonts w:ascii="Calibri" w:eastAsia="Calibri" w:hAnsi="Calibri" w:cs="Calibri"/>
          <w:kern w:val="0"/>
          <w:lang w:val="es-ES_tradnl" w:eastAsia="es-CR"/>
          <w14:ligatures w14:val="none"/>
        </w:rPr>
      </w:pPr>
    </w:p>
    <w:p w14:paraId="709F1B7F" w14:textId="77777777" w:rsidR="00AD7196" w:rsidRPr="00AD7196" w:rsidRDefault="00AD7196" w:rsidP="00AD7196">
      <w:pPr>
        <w:widowControl w:val="0"/>
        <w:overflowPunct w:val="0"/>
        <w:autoSpaceDE w:val="0"/>
        <w:autoSpaceDN w:val="0"/>
        <w:adjustRightInd w:val="0"/>
        <w:spacing w:before="120" w:after="100" w:afterAutospacing="1" w:line="240" w:lineRule="auto"/>
        <w:ind w:left="709" w:hanging="709"/>
        <w:contextualSpacing/>
        <w:jc w:val="both"/>
        <w:rPr>
          <w:rFonts w:ascii="Calibri" w:eastAsia="Calibri" w:hAnsi="Calibri" w:cs="Calibri"/>
          <w:kern w:val="0"/>
          <w:lang w:val="es-ES_tradnl" w:eastAsia="es-CR"/>
          <w14:ligatures w14:val="none"/>
        </w:rPr>
      </w:pPr>
      <w:r w:rsidRPr="00AD7196">
        <w:rPr>
          <w:rFonts w:ascii="Calibri" w:eastAsia="Calibri" w:hAnsi="Calibri" w:cs="Calibri"/>
          <w:kern w:val="0"/>
          <w:lang w:val="es-ES_tradnl" w:eastAsia="es-CR"/>
          <w14:ligatures w14:val="none"/>
        </w:rPr>
        <w:t>Pérez-</w:t>
      </w:r>
      <w:proofErr w:type="spellStart"/>
      <w:r w:rsidRPr="00AD7196">
        <w:rPr>
          <w:rFonts w:ascii="Calibri" w:eastAsia="Calibri" w:hAnsi="Calibri" w:cs="Calibri"/>
          <w:kern w:val="0"/>
          <w:lang w:val="es-ES_tradnl" w:eastAsia="es-CR"/>
          <w14:ligatures w14:val="none"/>
        </w:rPr>
        <w:t>Jijena</w:t>
      </w:r>
      <w:proofErr w:type="spellEnd"/>
      <w:r w:rsidRPr="00AD7196">
        <w:rPr>
          <w:rFonts w:ascii="Calibri" w:eastAsia="Calibri" w:hAnsi="Calibri" w:cs="Calibri"/>
          <w:kern w:val="0"/>
          <w:lang w:val="es-ES_tradnl" w:eastAsia="es-CR"/>
          <w14:ligatures w14:val="none"/>
        </w:rPr>
        <w:t xml:space="preserve">, Angela.  “La literatura en la inteligencia de la fe. Teología en diálogo con literatura”. Teología y Vida n. 1 (2021): 85-105. Acceso el 21 de noviembre de 2022. </w:t>
      </w:r>
      <w:hyperlink r:id="rId561" w:history="1">
        <w:r w:rsidRPr="00AD7196">
          <w:rPr>
            <w:rFonts w:ascii="Calibri" w:eastAsia="Times New Roman" w:hAnsi="Calibri" w:cs="Calibri"/>
            <w:color w:val="0563C1"/>
            <w:kern w:val="0"/>
            <w:u w:val="single"/>
            <w:lang w:val="es-ES_tradnl" w:eastAsia="es-CR"/>
            <w14:ligatures w14:val="none"/>
          </w:rPr>
          <w:t>http://dx.doi.org/10.4067/S0049-34492021000100085</w:t>
        </w:r>
      </w:hyperlink>
      <w:r w:rsidRPr="00AD7196">
        <w:rPr>
          <w:rFonts w:ascii="Calibri" w:eastAsia="Times New Roman" w:hAnsi="Calibri" w:cs="Calibri"/>
          <w:b/>
          <w:bCs/>
          <w:color w:val="800000"/>
          <w:kern w:val="0"/>
          <w:lang w:val="es-ES_tradnl" w:eastAsia="es-CR"/>
          <w14:ligatures w14:val="none"/>
        </w:rPr>
        <w:t xml:space="preserve">   </w:t>
      </w:r>
    </w:p>
    <w:p w14:paraId="22EECEA6" w14:textId="77777777" w:rsidR="00AD7196" w:rsidRPr="00AD7196" w:rsidRDefault="00AD7196" w:rsidP="00AD7196">
      <w:pPr>
        <w:widowControl w:val="0"/>
        <w:overflowPunct w:val="0"/>
        <w:autoSpaceDE w:val="0"/>
        <w:autoSpaceDN w:val="0"/>
        <w:adjustRightInd w:val="0"/>
        <w:spacing w:before="120" w:after="100" w:afterAutospacing="1" w:line="240" w:lineRule="auto"/>
        <w:ind w:left="709" w:hanging="709"/>
        <w:contextualSpacing/>
        <w:jc w:val="both"/>
        <w:rPr>
          <w:rFonts w:ascii="Calibri" w:eastAsia="Calibri" w:hAnsi="Calibri" w:cs="Calibri"/>
          <w:kern w:val="0"/>
          <w:lang w:val="es-ES_tradnl" w:eastAsia="es-CR"/>
          <w14:ligatures w14:val="none"/>
        </w:rPr>
      </w:pPr>
    </w:p>
    <w:p w14:paraId="3E7A855B" w14:textId="77777777" w:rsidR="00AD7196" w:rsidRPr="00AD7196" w:rsidRDefault="00AD7196" w:rsidP="00AD7196">
      <w:pPr>
        <w:widowControl w:val="0"/>
        <w:overflowPunct w:val="0"/>
        <w:autoSpaceDE w:val="0"/>
        <w:autoSpaceDN w:val="0"/>
        <w:adjustRightInd w:val="0"/>
        <w:spacing w:before="120" w:after="100" w:afterAutospacing="1" w:line="240" w:lineRule="auto"/>
        <w:ind w:left="709" w:hanging="709"/>
        <w:contextualSpacing/>
        <w:jc w:val="both"/>
        <w:rPr>
          <w:rFonts w:ascii="Calibri" w:eastAsia="Calibri" w:hAnsi="Calibri" w:cs="Calibri"/>
          <w:kern w:val="0"/>
          <w:lang w:val="es-ES_tradnl" w:eastAsia="es-CR"/>
          <w14:ligatures w14:val="none"/>
        </w:rPr>
      </w:pPr>
      <w:r w:rsidRPr="00AD7196">
        <w:rPr>
          <w:rFonts w:ascii="Calibri" w:eastAsia="Calibri" w:hAnsi="Calibri" w:cs="Calibri"/>
          <w:kern w:val="0"/>
          <w:lang w:val="es-ES_tradnl" w:eastAsia="es-CR"/>
          <w14:ligatures w14:val="none"/>
        </w:rPr>
        <w:t xml:space="preserve">Rodríguez Fernández, Lidia. “A vueltas con María Magdalena. Su figura en el cine, la música y la literatura”. </w:t>
      </w:r>
      <w:r w:rsidRPr="00AD7196">
        <w:rPr>
          <w:rFonts w:ascii="Calibri" w:eastAsia="Calibri" w:hAnsi="Calibri" w:cs="Calibri"/>
          <w:i/>
          <w:iCs/>
          <w:kern w:val="0"/>
          <w:lang w:val="es-ES_tradnl" w:eastAsia="es-CR"/>
          <w14:ligatures w14:val="none"/>
        </w:rPr>
        <w:t>Reseña Bíblica</w:t>
      </w:r>
      <w:r w:rsidRPr="00AD7196">
        <w:rPr>
          <w:rFonts w:ascii="Calibri" w:eastAsia="Calibri" w:hAnsi="Calibri" w:cs="Calibri"/>
          <w:kern w:val="0"/>
          <w:lang w:val="es-ES_tradnl" w:eastAsia="es-CR"/>
          <w14:ligatures w14:val="none"/>
        </w:rPr>
        <w:t xml:space="preserve"> n. 107 (2020): 44-53.</w:t>
      </w:r>
    </w:p>
    <w:p w14:paraId="10CA758A" w14:textId="77777777" w:rsidR="003315CC" w:rsidRDefault="003315CC" w:rsidP="007601EC">
      <w:pPr>
        <w:rPr>
          <w:sz w:val="24"/>
          <w:szCs w:val="24"/>
        </w:rPr>
      </w:pPr>
    </w:p>
    <w:p w14:paraId="0D922619" w14:textId="77777777" w:rsidR="003315CC" w:rsidRDefault="003315CC" w:rsidP="007601EC">
      <w:pPr>
        <w:rPr>
          <w:sz w:val="24"/>
          <w:szCs w:val="24"/>
        </w:rPr>
      </w:pPr>
    </w:p>
    <w:p w14:paraId="47BEAC2A" w14:textId="77777777" w:rsidR="003315CC" w:rsidRDefault="003315CC" w:rsidP="007601EC">
      <w:pPr>
        <w:rPr>
          <w:sz w:val="24"/>
          <w:szCs w:val="24"/>
        </w:rPr>
      </w:pPr>
    </w:p>
    <w:p w14:paraId="388CD2BA" w14:textId="77777777" w:rsidR="003315CC" w:rsidRDefault="003315CC" w:rsidP="007601EC">
      <w:pPr>
        <w:rPr>
          <w:sz w:val="24"/>
          <w:szCs w:val="24"/>
        </w:rPr>
      </w:pPr>
    </w:p>
    <w:p w14:paraId="0D524357" w14:textId="77777777" w:rsidR="003315CC" w:rsidRDefault="003315CC" w:rsidP="007601EC">
      <w:pPr>
        <w:rPr>
          <w:sz w:val="24"/>
          <w:szCs w:val="24"/>
        </w:rPr>
      </w:pPr>
    </w:p>
    <w:p w14:paraId="757964CC" w14:textId="11C08199" w:rsidR="005F63D7" w:rsidRDefault="005F63D7">
      <w:pPr>
        <w:rPr>
          <w:sz w:val="24"/>
          <w:szCs w:val="24"/>
        </w:rPr>
      </w:pPr>
      <w:r>
        <w:rPr>
          <w:sz w:val="24"/>
          <w:szCs w:val="24"/>
        </w:rPr>
        <w:br w:type="page"/>
      </w:r>
    </w:p>
    <w:p w14:paraId="08B1C541" w14:textId="77777777" w:rsidR="00F128A3" w:rsidRPr="00F128A3" w:rsidRDefault="00F128A3" w:rsidP="00F128A3">
      <w:pPr>
        <w:spacing w:after="200" w:line="276" w:lineRule="auto"/>
        <w:jc w:val="center"/>
        <w:rPr>
          <w:rFonts w:ascii="Arial" w:eastAsia="Calibri" w:hAnsi="Arial" w:cs="Arial"/>
          <w:kern w:val="0"/>
          <w:sz w:val="24"/>
          <w:szCs w:val="24"/>
          <w14:ligatures w14:val="none"/>
        </w:rPr>
      </w:pPr>
      <w:r w:rsidRPr="00F128A3">
        <w:rPr>
          <w:rFonts w:ascii="Arial" w:eastAsia="Times New Roman" w:hAnsi="Arial" w:cs="Arial"/>
          <w:noProof/>
          <w:kern w:val="0"/>
          <w:sz w:val="24"/>
          <w:szCs w:val="24"/>
          <w:lang w:eastAsia="es-CR"/>
          <w14:ligatures w14:val="none"/>
        </w:rPr>
        <w:lastRenderedPageBreak/>
        <w:drawing>
          <wp:inline distT="0" distB="0" distL="0" distR="0" wp14:anchorId="4837DEA1" wp14:editId="2264A713">
            <wp:extent cx="2009775" cy="1548377"/>
            <wp:effectExtent l="0" t="0" r="0" b="0"/>
            <wp:docPr id="652188247" name="0 Imagen" descr="A logo for a religious organiz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88247" name="0 Imagen" descr="A logo for a religious organiz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010457" cy="1548903"/>
                    </a:xfrm>
                    <a:prstGeom prst="rect">
                      <a:avLst/>
                    </a:prstGeom>
                  </pic:spPr>
                </pic:pic>
              </a:graphicData>
            </a:graphic>
          </wp:inline>
        </w:drawing>
      </w:r>
    </w:p>
    <w:p w14:paraId="26E9125A" w14:textId="77777777" w:rsidR="00F128A3" w:rsidRPr="00F128A3" w:rsidRDefault="00F128A3" w:rsidP="00F128A3">
      <w:pPr>
        <w:keepNext/>
        <w:spacing w:after="0" w:line="240" w:lineRule="auto"/>
        <w:jc w:val="center"/>
        <w:outlineLvl w:val="0"/>
        <w:rPr>
          <w:rFonts w:ascii="Calibri" w:eastAsia="Times New Roman" w:hAnsi="Calibri" w:cs="Arial"/>
          <w:b/>
          <w:kern w:val="0"/>
          <w:sz w:val="24"/>
          <w:szCs w:val="24"/>
          <w:lang w:val="x-none" w:eastAsia="x-none"/>
          <w14:ligatures w14:val="none"/>
        </w:rPr>
      </w:pPr>
      <w:r w:rsidRPr="00F128A3">
        <w:rPr>
          <w:rFonts w:ascii="Calibri" w:eastAsia="Times New Roman" w:hAnsi="Calibri" w:cs="Arial"/>
          <w:b/>
          <w:kern w:val="0"/>
          <w:sz w:val="24"/>
          <w:szCs w:val="24"/>
          <w:lang w:val="x-none" w:eastAsia="x-none"/>
          <w14:ligatures w14:val="none"/>
        </w:rPr>
        <w:t>Universidad Bíblica Latinoamericana</w:t>
      </w:r>
    </w:p>
    <w:p w14:paraId="5671C1F6" w14:textId="77777777" w:rsidR="00F128A3" w:rsidRPr="00F128A3" w:rsidRDefault="00F128A3" w:rsidP="00F128A3">
      <w:pPr>
        <w:keepNext/>
        <w:spacing w:after="0" w:line="240" w:lineRule="auto"/>
        <w:jc w:val="center"/>
        <w:outlineLvl w:val="0"/>
        <w:rPr>
          <w:rFonts w:ascii="Calibri" w:eastAsia="Times New Roman" w:hAnsi="Calibri" w:cs="Arial"/>
          <w:b/>
          <w:i/>
          <w:kern w:val="0"/>
          <w:sz w:val="24"/>
          <w:szCs w:val="24"/>
          <w:lang w:val="x-none" w:eastAsia="x-none"/>
          <w14:ligatures w14:val="none"/>
        </w:rPr>
      </w:pPr>
      <w:r w:rsidRPr="00F128A3">
        <w:rPr>
          <w:rFonts w:ascii="Calibri" w:eastAsia="Times New Roman" w:hAnsi="Calibri" w:cs="Arial"/>
          <w:b/>
          <w:i/>
          <w:kern w:val="0"/>
          <w:sz w:val="24"/>
          <w:szCs w:val="24"/>
          <w:lang w:val="x-none" w:eastAsia="x-none"/>
          <w14:ligatures w14:val="none"/>
        </w:rPr>
        <w:t>Facultad de Teología</w:t>
      </w:r>
    </w:p>
    <w:p w14:paraId="652AEE34" w14:textId="77777777" w:rsidR="00F128A3" w:rsidRPr="00F128A3" w:rsidRDefault="00F128A3" w:rsidP="00F128A3">
      <w:pPr>
        <w:keepNext/>
        <w:spacing w:after="0" w:line="240" w:lineRule="auto"/>
        <w:jc w:val="center"/>
        <w:outlineLvl w:val="0"/>
        <w:rPr>
          <w:rFonts w:ascii="Calibri" w:eastAsia="Times New Roman" w:hAnsi="Calibri" w:cs="Arial"/>
          <w:b/>
          <w:kern w:val="0"/>
          <w:sz w:val="24"/>
          <w:szCs w:val="24"/>
          <w:lang w:val="x-none" w:eastAsia="x-none"/>
          <w14:ligatures w14:val="none"/>
        </w:rPr>
      </w:pPr>
      <w:r w:rsidRPr="00F128A3">
        <w:rPr>
          <w:rFonts w:ascii="Calibri" w:eastAsia="Times New Roman" w:hAnsi="Calibri" w:cs="Arial"/>
          <w:b/>
          <w:kern w:val="0"/>
          <w:sz w:val="24"/>
          <w:szCs w:val="24"/>
          <w:lang w:eastAsia="x-none"/>
          <w14:ligatures w14:val="none"/>
        </w:rPr>
        <w:t xml:space="preserve">Bachillerato en </w:t>
      </w:r>
      <w:r w:rsidRPr="00F128A3">
        <w:rPr>
          <w:rFonts w:ascii="Calibri" w:eastAsia="Times New Roman" w:hAnsi="Calibri" w:cs="Arial"/>
          <w:b/>
          <w:kern w:val="0"/>
          <w:sz w:val="24"/>
          <w:szCs w:val="24"/>
          <w:lang w:val="x-none" w:eastAsia="x-none"/>
          <w14:ligatures w14:val="none"/>
        </w:rPr>
        <w:t>Ciencias Bíblicas</w:t>
      </w:r>
    </w:p>
    <w:p w14:paraId="3B013A0D" w14:textId="77777777" w:rsidR="00F128A3" w:rsidRPr="00F128A3" w:rsidRDefault="00F128A3" w:rsidP="00F128A3">
      <w:pPr>
        <w:keepNext/>
        <w:spacing w:after="0" w:line="240" w:lineRule="auto"/>
        <w:jc w:val="center"/>
        <w:outlineLvl w:val="0"/>
        <w:rPr>
          <w:rFonts w:ascii="Calibri" w:eastAsia="Times New Roman" w:hAnsi="Calibri" w:cs="Arial"/>
          <w:b/>
          <w:kern w:val="0"/>
          <w:sz w:val="24"/>
          <w:szCs w:val="24"/>
          <w:lang w:val="x-none" w:eastAsia="x-none"/>
          <w14:ligatures w14:val="none"/>
        </w:rPr>
      </w:pPr>
    </w:p>
    <w:p w14:paraId="391CD38C" w14:textId="77777777" w:rsidR="00F128A3" w:rsidRPr="00F128A3" w:rsidRDefault="00F128A3" w:rsidP="00F128A3">
      <w:pPr>
        <w:keepNext/>
        <w:spacing w:after="0" w:line="240" w:lineRule="auto"/>
        <w:jc w:val="center"/>
        <w:outlineLvl w:val="0"/>
        <w:rPr>
          <w:rFonts w:ascii="Calibri" w:eastAsia="Times New Roman" w:hAnsi="Calibri" w:cs="Arial"/>
          <w:b/>
          <w:kern w:val="0"/>
          <w:sz w:val="24"/>
          <w:szCs w:val="24"/>
          <w:lang w:val="x-none" w:eastAsia="x-none"/>
          <w14:ligatures w14:val="none"/>
        </w:rPr>
      </w:pPr>
      <w:r w:rsidRPr="00F128A3">
        <w:rPr>
          <w:rFonts w:ascii="Calibri" w:eastAsia="Times New Roman" w:hAnsi="Calibri" w:cs="Arial"/>
          <w:b/>
          <w:kern w:val="0"/>
          <w:sz w:val="24"/>
          <w:szCs w:val="24"/>
          <w:lang w:val="x-none" w:eastAsia="x-none"/>
          <w14:ligatures w14:val="none"/>
        </w:rPr>
        <w:t>Sílabo</w:t>
      </w:r>
    </w:p>
    <w:p w14:paraId="21EC7EFF" w14:textId="77777777" w:rsidR="00F128A3" w:rsidRPr="00F128A3" w:rsidRDefault="00F128A3" w:rsidP="00F128A3">
      <w:pPr>
        <w:keepNext/>
        <w:spacing w:after="0" w:line="240" w:lineRule="auto"/>
        <w:jc w:val="center"/>
        <w:outlineLvl w:val="0"/>
        <w:rPr>
          <w:rFonts w:ascii="Calibri" w:eastAsia="Times New Roman" w:hAnsi="Calibri" w:cs="Arial"/>
          <w:b/>
          <w:kern w:val="0"/>
          <w:sz w:val="24"/>
          <w:szCs w:val="24"/>
          <w:lang w:eastAsia="x-none"/>
          <w14:ligatures w14:val="none"/>
        </w:rPr>
      </w:pPr>
      <w:bookmarkStart w:id="64" w:name="CTX126"/>
      <w:r w:rsidRPr="00F128A3">
        <w:rPr>
          <w:rFonts w:ascii="Calibri" w:eastAsia="Times New Roman" w:hAnsi="Calibri" w:cs="Arial"/>
          <w:b/>
          <w:kern w:val="0"/>
          <w:sz w:val="24"/>
          <w:szCs w:val="24"/>
          <w:lang w:val="x-none" w:eastAsia="x-none"/>
          <w14:ligatures w14:val="none"/>
        </w:rPr>
        <w:t xml:space="preserve">Teologías </w:t>
      </w:r>
      <w:r w:rsidRPr="00F128A3">
        <w:rPr>
          <w:rFonts w:ascii="Calibri" w:eastAsia="Times New Roman" w:hAnsi="Calibri" w:cs="Arial"/>
          <w:b/>
          <w:kern w:val="0"/>
          <w:sz w:val="24"/>
          <w:szCs w:val="24"/>
          <w:lang w:eastAsia="x-none"/>
          <w14:ligatures w14:val="none"/>
        </w:rPr>
        <w:t>y Hermenéuticas Contextuales</w:t>
      </w:r>
    </w:p>
    <w:bookmarkEnd w:id="64"/>
    <w:p w14:paraId="08D0CE03" w14:textId="77777777" w:rsidR="00F128A3" w:rsidRPr="00F128A3" w:rsidRDefault="00F128A3" w:rsidP="00F128A3">
      <w:pPr>
        <w:spacing w:after="200" w:line="276" w:lineRule="auto"/>
        <w:rPr>
          <w:rFonts w:ascii="Arial" w:eastAsia="Calibri" w:hAnsi="Arial" w:cs="Arial"/>
          <w:kern w:val="0"/>
          <w:sz w:val="24"/>
          <w:szCs w:val="24"/>
          <w14:ligatures w14:val="none"/>
        </w:rPr>
      </w:pPr>
    </w:p>
    <w:tbl>
      <w:tblPr>
        <w:tblStyle w:val="Tablaconcuadrcula"/>
        <w:tblW w:w="0" w:type="auto"/>
        <w:tblLook w:val="04A0" w:firstRow="1" w:lastRow="0" w:firstColumn="1" w:lastColumn="0" w:noHBand="0" w:noVBand="1"/>
      </w:tblPr>
      <w:tblGrid>
        <w:gridCol w:w="1667"/>
        <w:gridCol w:w="7161"/>
      </w:tblGrid>
      <w:tr w:rsidR="00F128A3" w:rsidRPr="00F128A3" w14:paraId="33AF5512" w14:textId="77777777" w:rsidTr="00CE7124">
        <w:tc>
          <w:tcPr>
            <w:tcW w:w="1667" w:type="dxa"/>
          </w:tcPr>
          <w:p w14:paraId="4D7C069B"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Código</w:t>
            </w:r>
          </w:p>
        </w:tc>
        <w:tc>
          <w:tcPr>
            <w:tcW w:w="7161" w:type="dxa"/>
          </w:tcPr>
          <w:p w14:paraId="2A164705"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CTX 126</w:t>
            </w:r>
          </w:p>
        </w:tc>
      </w:tr>
      <w:tr w:rsidR="00F128A3" w:rsidRPr="00F128A3" w14:paraId="07B448B6" w14:textId="77777777" w:rsidTr="00CE7124">
        <w:tc>
          <w:tcPr>
            <w:tcW w:w="1667" w:type="dxa"/>
          </w:tcPr>
          <w:p w14:paraId="685F6D9A"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Créditos</w:t>
            </w:r>
          </w:p>
        </w:tc>
        <w:tc>
          <w:tcPr>
            <w:tcW w:w="7161" w:type="dxa"/>
          </w:tcPr>
          <w:p w14:paraId="2FFC9386"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4</w:t>
            </w:r>
          </w:p>
        </w:tc>
      </w:tr>
      <w:tr w:rsidR="00F128A3" w:rsidRPr="00F128A3" w14:paraId="64283C86" w14:textId="77777777" w:rsidTr="00CE7124">
        <w:tc>
          <w:tcPr>
            <w:tcW w:w="1667" w:type="dxa"/>
          </w:tcPr>
          <w:p w14:paraId="2A56171B"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Requisitos</w:t>
            </w:r>
          </w:p>
        </w:tc>
        <w:tc>
          <w:tcPr>
            <w:tcW w:w="7161" w:type="dxa"/>
          </w:tcPr>
          <w:p w14:paraId="43C127FF"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CTX 106 y CBX 113</w:t>
            </w:r>
          </w:p>
        </w:tc>
      </w:tr>
      <w:tr w:rsidR="00F128A3" w:rsidRPr="00F128A3" w14:paraId="252817E6" w14:textId="77777777" w:rsidTr="00CE7124">
        <w:tc>
          <w:tcPr>
            <w:tcW w:w="1667" w:type="dxa"/>
          </w:tcPr>
          <w:p w14:paraId="76A6C72E"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Modalidad</w:t>
            </w:r>
          </w:p>
        </w:tc>
        <w:tc>
          <w:tcPr>
            <w:tcW w:w="7161" w:type="dxa"/>
          </w:tcPr>
          <w:p w14:paraId="77341C21"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Virtual</w:t>
            </w:r>
          </w:p>
        </w:tc>
      </w:tr>
      <w:tr w:rsidR="00F128A3" w:rsidRPr="00F128A3" w14:paraId="6F2B336A" w14:textId="77777777" w:rsidTr="00CE7124">
        <w:tc>
          <w:tcPr>
            <w:tcW w:w="1667" w:type="dxa"/>
          </w:tcPr>
          <w:p w14:paraId="0E299A6A"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Naturaleza</w:t>
            </w:r>
          </w:p>
        </w:tc>
        <w:tc>
          <w:tcPr>
            <w:tcW w:w="7161" w:type="dxa"/>
          </w:tcPr>
          <w:p w14:paraId="6D158F66"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Teórico-práctico</w:t>
            </w:r>
          </w:p>
        </w:tc>
      </w:tr>
      <w:tr w:rsidR="00F128A3" w:rsidRPr="00F128A3" w14:paraId="749B4AB9" w14:textId="77777777" w:rsidTr="00CE7124">
        <w:tc>
          <w:tcPr>
            <w:tcW w:w="1667" w:type="dxa"/>
          </w:tcPr>
          <w:p w14:paraId="676050FB"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Periodo</w:t>
            </w:r>
          </w:p>
        </w:tc>
        <w:tc>
          <w:tcPr>
            <w:tcW w:w="7161" w:type="dxa"/>
          </w:tcPr>
          <w:p w14:paraId="750FA78A"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Cuatrimestral (15 semanas lectivas)</w:t>
            </w:r>
          </w:p>
        </w:tc>
      </w:tr>
      <w:tr w:rsidR="00F128A3" w:rsidRPr="00F128A3" w14:paraId="21C4F29D" w14:textId="77777777" w:rsidTr="00CE7124">
        <w:tc>
          <w:tcPr>
            <w:tcW w:w="1667" w:type="dxa"/>
          </w:tcPr>
          <w:p w14:paraId="048E8323"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Nivel</w:t>
            </w:r>
          </w:p>
        </w:tc>
        <w:tc>
          <w:tcPr>
            <w:tcW w:w="7161" w:type="dxa"/>
          </w:tcPr>
          <w:p w14:paraId="6A4986CA"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VIII Cuatrimestre</w:t>
            </w:r>
          </w:p>
        </w:tc>
      </w:tr>
      <w:tr w:rsidR="00F128A3" w:rsidRPr="00F128A3" w14:paraId="7F151AE4" w14:textId="77777777" w:rsidTr="00CE7124">
        <w:tc>
          <w:tcPr>
            <w:tcW w:w="1667" w:type="dxa"/>
          </w:tcPr>
          <w:p w14:paraId="1B9C34D9"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Horario</w:t>
            </w:r>
          </w:p>
        </w:tc>
        <w:tc>
          <w:tcPr>
            <w:tcW w:w="7161" w:type="dxa"/>
          </w:tcPr>
          <w:p w14:paraId="52A42B11"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El curso requiere de 12 horas de trabajo semanal</w:t>
            </w:r>
          </w:p>
        </w:tc>
      </w:tr>
      <w:tr w:rsidR="00F128A3" w:rsidRPr="00F128A3" w14:paraId="52DEAFA0" w14:textId="77777777" w:rsidTr="00CE7124">
        <w:tc>
          <w:tcPr>
            <w:tcW w:w="1667" w:type="dxa"/>
          </w:tcPr>
          <w:p w14:paraId="67B5965C"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Aula</w:t>
            </w:r>
          </w:p>
        </w:tc>
        <w:tc>
          <w:tcPr>
            <w:tcW w:w="7161" w:type="dxa"/>
          </w:tcPr>
          <w:p w14:paraId="3C56393D"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lang w:eastAsia="es-CR"/>
              </w:rPr>
              <w:t>Plataforma virtual de la UBL</w:t>
            </w:r>
          </w:p>
        </w:tc>
      </w:tr>
      <w:tr w:rsidR="00F128A3" w:rsidRPr="00F128A3" w14:paraId="64F4A179" w14:textId="77777777" w:rsidTr="00CE7124">
        <w:tc>
          <w:tcPr>
            <w:tcW w:w="1667" w:type="dxa"/>
          </w:tcPr>
          <w:p w14:paraId="44047E7E" w14:textId="77777777" w:rsidR="00F128A3" w:rsidRPr="00F128A3" w:rsidRDefault="00F128A3" w:rsidP="00F128A3">
            <w:pPr>
              <w:widowControl w:val="0"/>
              <w:overflowPunct w:val="0"/>
              <w:autoSpaceDE w:val="0"/>
              <w:autoSpaceDN w:val="0"/>
              <w:adjustRightInd w:val="0"/>
              <w:rPr>
                <w:rFonts w:ascii="Calibri" w:eastAsia="Times New Roman" w:hAnsi="Calibri" w:cs="Calibri"/>
                <w:b/>
                <w:lang w:eastAsia="es-CR"/>
              </w:rPr>
            </w:pPr>
            <w:r w:rsidRPr="00F128A3">
              <w:rPr>
                <w:rFonts w:ascii="Calibri" w:eastAsia="Times New Roman" w:hAnsi="Calibri" w:cs="Calibri"/>
                <w:b/>
                <w:lang w:eastAsia="es-CR"/>
              </w:rPr>
              <w:t>Docente</w:t>
            </w:r>
          </w:p>
        </w:tc>
        <w:tc>
          <w:tcPr>
            <w:tcW w:w="7161" w:type="dxa"/>
          </w:tcPr>
          <w:p w14:paraId="7B757ACA"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p>
        </w:tc>
      </w:tr>
      <w:tr w:rsidR="00F128A3" w:rsidRPr="00F128A3" w14:paraId="30FCC712" w14:textId="77777777" w:rsidTr="00CE7124">
        <w:tc>
          <w:tcPr>
            <w:tcW w:w="1667" w:type="dxa"/>
          </w:tcPr>
          <w:p w14:paraId="17E3962C" w14:textId="77777777" w:rsidR="00F128A3" w:rsidRPr="00F128A3" w:rsidRDefault="00F128A3" w:rsidP="00F128A3">
            <w:pPr>
              <w:widowControl w:val="0"/>
              <w:overflowPunct w:val="0"/>
              <w:autoSpaceDE w:val="0"/>
              <w:autoSpaceDN w:val="0"/>
              <w:adjustRightInd w:val="0"/>
              <w:rPr>
                <w:rFonts w:ascii="Calibri" w:eastAsia="Times New Roman" w:hAnsi="Calibri" w:cs="Calibri"/>
                <w:lang w:eastAsia="es-CR"/>
              </w:rPr>
            </w:pPr>
            <w:r w:rsidRPr="00F128A3">
              <w:rPr>
                <w:rFonts w:ascii="Calibri" w:eastAsia="Times New Roman" w:hAnsi="Calibri" w:cs="Calibri"/>
                <w:b/>
                <w:lang w:eastAsia="es-CR"/>
              </w:rPr>
              <w:t>Instrucciones administrativas</w:t>
            </w:r>
          </w:p>
        </w:tc>
        <w:tc>
          <w:tcPr>
            <w:tcW w:w="7161" w:type="dxa"/>
          </w:tcPr>
          <w:p w14:paraId="1104C917" w14:textId="77777777" w:rsidR="00F128A3" w:rsidRPr="00F128A3" w:rsidRDefault="00F128A3" w:rsidP="00F128A3">
            <w:pPr>
              <w:widowControl w:val="0"/>
              <w:overflowPunct w:val="0"/>
              <w:autoSpaceDE w:val="0"/>
              <w:autoSpaceDN w:val="0"/>
              <w:adjustRightInd w:val="0"/>
              <w:jc w:val="both"/>
              <w:rPr>
                <w:rFonts w:ascii="Calibri" w:eastAsia="Times New Roman" w:hAnsi="Calibri" w:cs="Calibri"/>
                <w:lang w:eastAsia="es-CR"/>
              </w:rPr>
            </w:pPr>
            <w:r w:rsidRPr="00F128A3">
              <w:rPr>
                <w:rFonts w:ascii="Calibri" w:eastAsia="Times New Roman" w:hAnsi="Calibri" w:cs="Calibri"/>
                <w:lang w:eastAsia="es-CR"/>
              </w:rPr>
              <w:t>El curso es virtual, por lo que se requiere de acceso a una computadora con conexión a Internet, además de destrezas básicas para el manejo de correo electrónico y la plataforma Moodle desde el rol de estudiante. Por su naturaleza teórico-práctica este curso requiere de 2 horas semanales de práctica. La dirección de acceso a la plataforma es la siguiente:</w:t>
            </w:r>
          </w:p>
          <w:p w14:paraId="7FA3262F" w14:textId="77777777" w:rsidR="00F128A3" w:rsidRPr="00F128A3" w:rsidRDefault="00DD16F2" w:rsidP="00F128A3">
            <w:pPr>
              <w:widowControl w:val="0"/>
              <w:overflowPunct w:val="0"/>
              <w:autoSpaceDE w:val="0"/>
              <w:autoSpaceDN w:val="0"/>
              <w:adjustRightInd w:val="0"/>
              <w:jc w:val="both"/>
              <w:rPr>
                <w:rFonts w:ascii="Calibri" w:eastAsia="Times New Roman" w:hAnsi="Calibri" w:cs="Calibri"/>
                <w:lang w:eastAsia="es-CR"/>
              </w:rPr>
            </w:pPr>
            <w:hyperlink r:id="rId562" w:history="1">
              <w:r w:rsidR="00F128A3" w:rsidRPr="00F128A3">
                <w:rPr>
                  <w:rFonts w:ascii="Calibri" w:eastAsia="Times New Roman" w:hAnsi="Calibri" w:cs="Calibri"/>
                  <w:color w:val="0563C1"/>
                  <w:u w:val="single"/>
                  <w:lang w:eastAsia="es-CR"/>
                </w:rPr>
                <w:t>https://campus.ubl.ac.cr/login/index.php</w:t>
              </w:r>
            </w:hyperlink>
          </w:p>
        </w:tc>
      </w:tr>
    </w:tbl>
    <w:p w14:paraId="6C6DC9E3"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70C0"/>
          <w:kern w:val="0"/>
          <w14:ligatures w14:val="none"/>
        </w:rPr>
      </w:pPr>
    </w:p>
    <w:p w14:paraId="4AE70D30"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70C0"/>
          <w:kern w:val="0"/>
          <w14:ligatures w14:val="none"/>
        </w:rPr>
      </w:pPr>
    </w:p>
    <w:p w14:paraId="1CF1D0DE" w14:textId="77777777" w:rsidR="00F128A3" w:rsidRPr="00F128A3" w:rsidRDefault="00F128A3" w:rsidP="00F128A3">
      <w:pPr>
        <w:widowControl w:val="0"/>
        <w:overflowPunct w:val="0"/>
        <w:autoSpaceDE w:val="0"/>
        <w:autoSpaceDN w:val="0"/>
        <w:adjustRightInd w:val="0"/>
        <w:spacing w:before="120" w:after="0" w:line="240" w:lineRule="auto"/>
        <w:rPr>
          <w:rFonts w:ascii="Calibri" w:eastAsia="Times New Roman" w:hAnsi="Calibri" w:cs="Arial"/>
          <w:b/>
          <w:bCs/>
          <w:color w:val="000000"/>
          <w:kern w:val="0"/>
          <w:lang w:val="es-ES_tradnl" w:eastAsia="es-CR"/>
          <w14:ligatures w14:val="none"/>
        </w:rPr>
      </w:pPr>
      <w:r w:rsidRPr="00F128A3">
        <w:rPr>
          <w:rFonts w:ascii="Calibri" w:eastAsia="Times New Roman" w:hAnsi="Calibri" w:cs="Arial"/>
          <w:b/>
          <w:bCs/>
          <w:color w:val="000000"/>
          <w:kern w:val="0"/>
          <w:lang w:val="es-ES_tradnl" w:eastAsia="es-CR"/>
          <w14:ligatures w14:val="none"/>
        </w:rPr>
        <w:t xml:space="preserve">I. Descripción </w:t>
      </w:r>
    </w:p>
    <w:p w14:paraId="03E693BE"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0000"/>
          <w:kern w:val="0"/>
          <w14:ligatures w14:val="none"/>
        </w:rPr>
      </w:pPr>
    </w:p>
    <w:p w14:paraId="3FBE9140"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kern w:val="0"/>
          <w14:ligatures w14:val="none"/>
        </w:rPr>
        <w:t xml:space="preserve">La propuesta de este curso se diseña a partir de la pluralidad de teologías que se originan desde los diversos contextos socio-culturales latinoamericanos y caribeños. Estas teologías surgen de lecturas hermenéuticas y relecturas bíblicas que se hacen desde cada contexto particular, requiriendo una reflexión teológica que revise críticamente de forma constante la teología tradicional. Según </w:t>
      </w:r>
      <w:proofErr w:type="spellStart"/>
      <w:r w:rsidRPr="00F128A3">
        <w:rPr>
          <w:rFonts w:ascii="Calibri" w:eastAsia="Calibri" w:hAnsi="Calibri" w:cs="Arial"/>
          <w:kern w:val="0"/>
          <w14:ligatures w14:val="none"/>
        </w:rPr>
        <w:t>Kortner</w:t>
      </w:r>
      <w:proofErr w:type="spellEnd"/>
      <w:r w:rsidRPr="00F128A3">
        <w:rPr>
          <w:rFonts w:ascii="Calibri" w:eastAsia="Calibri" w:hAnsi="Calibri" w:cs="Arial"/>
          <w:kern w:val="0"/>
          <w14:ligatures w14:val="none"/>
        </w:rPr>
        <w:t xml:space="preserve">, “la pregunta por el contexto de la teología es tan antigua como el mismo cristianismo, que se ha </w:t>
      </w:r>
      <w:proofErr w:type="spellStart"/>
      <w:r w:rsidRPr="00F128A3">
        <w:rPr>
          <w:rFonts w:ascii="Calibri" w:eastAsia="Calibri" w:hAnsi="Calibri" w:cs="Arial"/>
          <w:kern w:val="0"/>
          <w14:ligatures w14:val="none"/>
        </w:rPr>
        <w:t>inculturado</w:t>
      </w:r>
      <w:proofErr w:type="spellEnd"/>
      <w:r w:rsidRPr="00F128A3">
        <w:rPr>
          <w:rFonts w:ascii="Calibri" w:eastAsia="Calibri" w:hAnsi="Calibri" w:cs="Arial"/>
          <w:kern w:val="0"/>
          <w14:ligatures w14:val="none"/>
        </w:rPr>
        <w:t xml:space="preserve"> en diversas </w:t>
      </w:r>
      <w:r w:rsidRPr="00F128A3">
        <w:rPr>
          <w:rFonts w:ascii="Calibri" w:eastAsia="Calibri" w:hAnsi="Calibri" w:cs="Arial"/>
          <w:color w:val="000000"/>
          <w:kern w:val="0"/>
          <w14:ligatures w14:val="none"/>
        </w:rPr>
        <w:t>culturas y contextos socioeconómicos desde el principio de su historia y misión” (</w:t>
      </w:r>
      <w:proofErr w:type="spellStart"/>
      <w:r w:rsidRPr="00F128A3">
        <w:rPr>
          <w:rFonts w:ascii="Calibri" w:eastAsia="Calibri" w:hAnsi="Calibri" w:cs="Arial"/>
          <w:color w:val="000000"/>
          <w:kern w:val="0"/>
          <w14:ligatures w14:val="none"/>
        </w:rPr>
        <w:t>Kortner</w:t>
      </w:r>
      <w:proofErr w:type="spellEnd"/>
      <w:r w:rsidRPr="00F128A3">
        <w:rPr>
          <w:rFonts w:ascii="Calibri" w:eastAsia="Calibri" w:hAnsi="Calibri" w:cs="Arial"/>
          <w:color w:val="000000"/>
          <w:kern w:val="0"/>
          <w14:ligatures w14:val="none"/>
        </w:rPr>
        <w:t xml:space="preserve"> 2009, 47-48).</w:t>
      </w:r>
    </w:p>
    <w:p w14:paraId="0CD72B0E"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kern w:val="0"/>
          <w14:ligatures w14:val="none"/>
        </w:rPr>
        <w:lastRenderedPageBreak/>
        <w:t xml:space="preserve">Pero, el siglo XX, puntualmente, ha sido marcado por el surgimiento de hermenéuticas y teologías tales como la Teología de la Liberación en América Latina, la Teología de la Liberación Africana, la Teología de la Liberación Negra en los EUA, la Teología de la Liberación en Asia, la Teología Min-Jung en Corea del Sur y la Teología </w:t>
      </w:r>
      <w:proofErr w:type="spellStart"/>
      <w:r w:rsidRPr="00F128A3">
        <w:rPr>
          <w:rFonts w:ascii="Calibri" w:eastAsia="Calibri" w:hAnsi="Calibri" w:cs="Arial"/>
          <w:kern w:val="0"/>
          <w14:ligatures w14:val="none"/>
        </w:rPr>
        <w:t>Dalit</w:t>
      </w:r>
      <w:proofErr w:type="spellEnd"/>
      <w:r w:rsidRPr="00F128A3">
        <w:rPr>
          <w:rFonts w:ascii="Calibri" w:eastAsia="Calibri" w:hAnsi="Calibri" w:cs="Arial"/>
          <w:kern w:val="0"/>
          <w14:ligatures w14:val="none"/>
        </w:rPr>
        <w:t xml:space="preserve"> en India. Concomitantes a estas teologías también hay que mencionar las teologías feministas, ecológicas, </w:t>
      </w:r>
      <w:r w:rsidRPr="00F128A3">
        <w:rPr>
          <w:rFonts w:ascii="Calibri" w:eastAsia="Calibri" w:hAnsi="Calibri" w:cs="Arial"/>
          <w:i/>
          <w:kern w:val="0"/>
          <w14:ligatures w14:val="none"/>
        </w:rPr>
        <w:t>queer</w:t>
      </w:r>
      <w:r w:rsidRPr="00F128A3">
        <w:rPr>
          <w:rFonts w:ascii="Calibri" w:eastAsia="Calibri" w:hAnsi="Calibri" w:cs="Arial"/>
          <w:kern w:val="0"/>
          <w14:ligatures w14:val="none"/>
        </w:rPr>
        <w:t xml:space="preserve"> y tantas otras; todas con un fuerte contenido de liberación. </w:t>
      </w:r>
    </w:p>
    <w:p w14:paraId="359B73A8"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kern w:val="0"/>
          <w14:ligatures w14:val="none"/>
        </w:rPr>
        <w:t>Todas estas teologías valoran conceptos como la pluralidad y la alteridad. Son, por lo tanto, un campo vastísimo para ser explorado en los estudios e investigaciones, con una mirada amplia para lo que ha empezado en el siglo XX, pero que todavía sigue influenciando el pensamiento teológico del siglo XXI. Este curso, por lo tanto, apunta hacia una visión curiosa y amplía de las diversas hermenéuticas y teologías contextuales en sus sentidos y significados.</w:t>
      </w:r>
    </w:p>
    <w:p w14:paraId="27B0B705"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kern w:val="0"/>
          <w:shd w:val="clear" w:color="auto" w:fill="FFFFFF"/>
          <w14:ligatures w14:val="none"/>
        </w:rPr>
        <w:t>El nuevo conocimiento del cual se apropien los y las estudiantes por medio de la reflexión crítica que promueve este curso y la carrera en sí, es de capital importancia en su formación profesional. El curso apunta a generar</w:t>
      </w:r>
      <w:r w:rsidRPr="00F128A3">
        <w:rPr>
          <w:rFonts w:ascii="Calibri" w:eastAsia="Calibri" w:hAnsi="Calibri" w:cs="Arial"/>
          <w:kern w:val="0"/>
          <w14:ligatures w14:val="none"/>
        </w:rPr>
        <w:t xml:space="preserve"> nuevas posibilidades para la justificación reflexiva de la fe cristiana y la concepción de una praxis comprometida con las realidades de los pueblos.</w:t>
      </w:r>
    </w:p>
    <w:p w14:paraId="4169FD21" w14:textId="67BFC246"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kern w:val="0"/>
          <w14:ligatures w14:val="none"/>
        </w:rPr>
        <w:t xml:space="preserve">En esta perspectiva este curso resulta fundamental en la formación profesional del o la estudiante de </w:t>
      </w:r>
      <w:r w:rsidR="0028546D">
        <w:rPr>
          <w:rFonts w:ascii="Calibri" w:eastAsia="Calibri" w:hAnsi="Calibri" w:cs="Arial"/>
          <w:kern w:val="0"/>
          <w14:ligatures w14:val="none"/>
        </w:rPr>
        <w:t>Ciencias Bíblicas</w:t>
      </w:r>
      <w:r w:rsidRPr="00F128A3">
        <w:rPr>
          <w:rFonts w:ascii="Calibri" w:eastAsia="Calibri" w:hAnsi="Calibri" w:cs="Arial"/>
          <w:kern w:val="0"/>
          <w14:ligatures w14:val="none"/>
        </w:rPr>
        <w:t xml:space="preserve">, en tanto le brindará insumos de análisis de las diversas teologías contextuales que surgen en el S. XX como base para reflexionar sobre la línea teológica de la cerrera y de la universidad. </w:t>
      </w:r>
    </w:p>
    <w:p w14:paraId="1A20AB50" w14:textId="77777777" w:rsidR="00F128A3" w:rsidRPr="00F128A3" w:rsidRDefault="00F128A3" w:rsidP="00F128A3">
      <w:pPr>
        <w:spacing w:after="200" w:line="276" w:lineRule="auto"/>
        <w:jc w:val="both"/>
        <w:rPr>
          <w:rFonts w:ascii="Calibri" w:eastAsia="Calibri" w:hAnsi="Calibri" w:cs="Arial"/>
          <w:kern w:val="0"/>
          <w:lang w:val="es-ES_tradnl"/>
          <w14:ligatures w14:val="none"/>
        </w:rPr>
      </w:pPr>
      <w:r w:rsidRPr="00F128A3">
        <w:rPr>
          <w:rFonts w:ascii="Calibri" w:eastAsia="Times New Roman" w:hAnsi="Calibri" w:cs="Arial"/>
          <w:b/>
          <w:bCs/>
          <w:color w:val="000000"/>
          <w:kern w:val="0"/>
          <w:lang w:val="es-ES_tradnl" w:eastAsia="es-CR"/>
          <w14:ligatures w14:val="none"/>
        </w:rPr>
        <w:t>II. Objetivo general</w:t>
      </w:r>
    </w:p>
    <w:p w14:paraId="7258EB1C"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bCs/>
          <w:color w:val="000000"/>
          <w:kern w:val="0"/>
          <w:lang w:val="es-ES"/>
          <w14:ligatures w14:val="none"/>
        </w:rPr>
        <w:t>Analizar las diversas teologías contextuales que surgieron en el siglo XX, así como los procesos de lectura hermenéutica de la Biblia, procurando comprender sus aportes y desafíos con una mirada hacia el siglo XXI.</w:t>
      </w:r>
    </w:p>
    <w:p w14:paraId="58408336" w14:textId="77777777" w:rsidR="00F128A3" w:rsidRPr="00F128A3" w:rsidRDefault="00F128A3" w:rsidP="00F128A3">
      <w:pPr>
        <w:spacing w:after="200" w:line="276" w:lineRule="auto"/>
        <w:jc w:val="both"/>
        <w:rPr>
          <w:rFonts w:ascii="Calibri" w:eastAsia="Calibri" w:hAnsi="Calibri" w:cs="Arial"/>
          <w:kern w:val="0"/>
          <w14:ligatures w14:val="none"/>
        </w:rPr>
      </w:pPr>
      <w:r w:rsidRPr="00F128A3">
        <w:rPr>
          <w:rFonts w:ascii="Calibri" w:eastAsia="Calibri" w:hAnsi="Calibri" w:cs="Arial"/>
          <w:b/>
          <w:bCs/>
          <w:iCs/>
          <w:color w:val="000000"/>
          <w:kern w:val="0"/>
          <w14:ligatures w14:val="none"/>
        </w:rPr>
        <w:t>III. Objetivos específicos</w:t>
      </w:r>
    </w:p>
    <w:p w14:paraId="3DF69A24" w14:textId="77777777" w:rsidR="00F128A3" w:rsidRPr="00F128A3" w:rsidRDefault="00F128A3" w:rsidP="00F128A3">
      <w:pPr>
        <w:widowControl w:val="0"/>
        <w:numPr>
          <w:ilvl w:val="0"/>
          <w:numId w:val="178"/>
        </w:numPr>
        <w:overflowPunct w:val="0"/>
        <w:autoSpaceDE w:val="0"/>
        <w:autoSpaceDN w:val="0"/>
        <w:adjustRightInd w:val="0"/>
        <w:spacing w:before="120" w:after="200" w:line="276" w:lineRule="auto"/>
        <w:ind w:left="426"/>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Distinguir los orígenes y los contenidos de las teologías contextuales partiendo de la relectura bíblica y la teología de la liberación, para que los y las estudiantes puedan contrastar los puntos de encuentro y las distancias con otras teologías contextuales de otros continentes.</w:t>
      </w:r>
    </w:p>
    <w:p w14:paraId="388423A8" w14:textId="77777777" w:rsidR="00F128A3" w:rsidRPr="00F128A3" w:rsidRDefault="00F128A3" w:rsidP="00F128A3">
      <w:pPr>
        <w:widowControl w:val="0"/>
        <w:numPr>
          <w:ilvl w:val="0"/>
          <w:numId w:val="178"/>
        </w:numPr>
        <w:overflowPunct w:val="0"/>
        <w:autoSpaceDE w:val="0"/>
        <w:autoSpaceDN w:val="0"/>
        <w:adjustRightInd w:val="0"/>
        <w:spacing w:before="120" w:after="200" w:line="276" w:lineRule="auto"/>
        <w:ind w:left="426"/>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Examinar los métodos de las teologías contextuales que utilizan la hermenéutica de la sospecha, así como los métodos de análisis bíblico que permiten cuestionar el texto, con el fin de que los y las estudiantes puedan apropiarse de pautas metodológicas para su propia reflexión teológica. </w:t>
      </w:r>
    </w:p>
    <w:p w14:paraId="4058AFEF" w14:textId="77777777" w:rsidR="00F128A3" w:rsidRPr="00F128A3" w:rsidRDefault="00F128A3" w:rsidP="00F128A3">
      <w:pPr>
        <w:widowControl w:val="0"/>
        <w:numPr>
          <w:ilvl w:val="0"/>
          <w:numId w:val="178"/>
        </w:numPr>
        <w:overflowPunct w:val="0"/>
        <w:autoSpaceDE w:val="0"/>
        <w:autoSpaceDN w:val="0"/>
        <w:adjustRightInd w:val="0"/>
        <w:spacing w:before="120" w:after="200" w:line="276" w:lineRule="auto"/>
        <w:ind w:left="426"/>
        <w:contextualSpacing/>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Estudiar las relaciones de poder en las construcciones teóricas teológicas según el método deconstructivista, con el propósito de que los y las estudiantes puedan ser críticos frente a dichas relaciones en la construcción de su propio discurso teológico. </w:t>
      </w:r>
    </w:p>
    <w:p w14:paraId="25623DBD" w14:textId="77777777" w:rsidR="00F128A3" w:rsidRPr="00F128A3" w:rsidRDefault="00F128A3" w:rsidP="00F128A3">
      <w:pPr>
        <w:spacing w:after="200" w:line="276" w:lineRule="auto"/>
        <w:ind w:left="426"/>
        <w:contextualSpacing/>
        <w:jc w:val="both"/>
        <w:rPr>
          <w:rFonts w:ascii="Calibri" w:eastAsia="Calibri" w:hAnsi="Calibri" w:cs="Arial"/>
          <w:color w:val="000000"/>
          <w:kern w:val="0"/>
          <w14:ligatures w14:val="none"/>
        </w:rPr>
      </w:pPr>
    </w:p>
    <w:p w14:paraId="44E7544D" w14:textId="77777777" w:rsidR="00F128A3" w:rsidRPr="00F128A3" w:rsidRDefault="00F128A3" w:rsidP="00F128A3">
      <w:pPr>
        <w:widowControl w:val="0"/>
        <w:numPr>
          <w:ilvl w:val="0"/>
          <w:numId w:val="178"/>
        </w:numPr>
        <w:overflowPunct w:val="0"/>
        <w:autoSpaceDE w:val="0"/>
        <w:autoSpaceDN w:val="0"/>
        <w:adjustRightInd w:val="0"/>
        <w:spacing w:before="120" w:after="200" w:line="276" w:lineRule="auto"/>
        <w:ind w:left="426"/>
        <w:contextualSpacing/>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Considerar las contribuciones y los desafíos de las diversas lecturas hermenéuticas y teológicas, </w:t>
      </w:r>
      <w:r w:rsidRPr="00F128A3">
        <w:rPr>
          <w:rFonts w:ascii="Calibri" w:eastAsia="Calibri" w:hAnsi="Calibri" w:cs="Arial"/>
          <w:color w:val="000000"/>
          <w:kern w:val="0"/>
          <w14:ligatures w14:val="none"/>
        </w:rPr>
        <w:lastRenderedPageBreak/>
        <w:t xml:space="preserve">para que los y las estudiantes las tomen en cuenta en la construcción del discurso teológico y realicen así nuevas propuestas pertinentes frente a los desafíos actuales en la región.  </w:t>
      </w:r>
    </w:p>
    <w:p w14:paraId="7999E33D" w14:textId="77777777" w:rsidR="00F128A3" w:rsidRPr="00F128A3" w:rsidRDefault="00F128A3" w:rsidP="00F128A3">
      <w:pPr>
        <w:autoSpaceDE w:val="0"/>
        <w:autoSpaceDN w:val="0"/>
        <w:adjustRightInd w:val="0"/>
        <w:spacing w:after="0" w:line="240" w:lineRule="auto"/>
        <w:rPr>
          <w:rFonts w:ascii="Arial" w:eastAsia="Calibri" w:hAnsi="Arial" w:cs="Arial"/>
          <w:b/>
          <w:bCs/>
          <w:color w:val="000000"/>
          <w:kern w:val="0"/>
          <w:sz w:val="24"/>
          <w:szCs w:val="24"/>
          <w14:ligatures w14:val="none"/>
        </w:rPr>
      </w:pPr>
    </w:p>
    <w:p w14:paraId="1FAF9020" w14:textId="77777777" w:rsidR="00F128A3" w:rsidRPr="00F128A3" w:rsidRDefault="00F128A3" w:rsidP="00F128A3">
      <w:pPr>
        <w:spacing w:after="200" w:line="276" w:lineRule="auto"/>
        <w:contextualSpacing/>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IV. Contenidos temáticos</w:t>
      </w:r>
    </w:p>
    <w:p w14:paraId="2D38E3EF"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0000"/>
          <w:kern w:val="0"/>
          <w14:ligatures w14:val="none"/>
        </w:rPr>
      </w:pPr>
    </w:p>
    <w:p w14:paraId="7A8D0629"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Unidad 1: Conceptos generales</w:t>
      </w:r>
    </w:p>
    <w:p w14:paraId="0F3257E5"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0000"/>
          <w:kern w:val="0"/>
          <w14:ligatures w14:val="none"/>
        </w:rPr>
      </w:pPr>
    </w:p>
    <w:p w14:paraId="1962AF8E"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1.1. Teologías contextuales y relectura bíblica: concepto general</w:t>
      </w:r>
    </w:p>
    <w:p w14:paraId="79F5995F"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1.2. Los sujetos: El otro y la otredad</w:t>
      </w:r>
    </w:p>
    <w:p w14:paraId="5E09D9F4"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3AFB5D01"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2: La dimensión contextual contemporánea en América Latina</w:t>
      </w:r>
    </w:p>
    <w:p w14:paraId="582BB066"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1F1B2C5F"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2.1. Las dimensiones de lo geopolítico en el siglo XX</w:t>
      </w:r>
    </w:p>
    <w:p w14:paraId="708200E4"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2.2. Teología de la Liberación y hermenéutica latinoamericana</w:t>
      </w:r>
    </w:p>
    <w:p w14:paraId="46691680"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48910717"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3: Otros contextos intercontinentales</w:t>
      </w:r>
    </w:p>
    <w:p w14:paraId="7EC9C7FB"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1E09E517"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3.1. Teología de la Liberación y hermenéutica africana</w:t>
      </w:r>
    </w:p>
    <w:p w14:paraId="7CA67566"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3.2. Teología de la Liberación negra y hermenéutica en los EEUU</w:t>
      </w:r>
    </w:p>
    <w:p w14:paraId="18F2C64A"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34ADBEA7"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4: El feminismo como clave interpretativa</w:t>
      </w:r>
    </w:p>
    <w:p w14:paraId="0877E83C"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7B14F7EC"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4.1. Teologías feministas </w:t>
      </w:r>
    </w:p>
    <w:p w14:paraId="6E78066D"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4.2. Hermenéuticas feministas</w:t>
      </w:r>
    </w:p>
    <w:p w14:paraId="0D9B80CE"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21A92665"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5: Contextos asiáticos e indianos</w:t>
      </w:r>
    </w:p>
    <w:p w14:paraId="7132B613"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417FD862"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5.1. Teología de la Liberación y hermenéutica en Asia</w:t>
      </w:r>
    </w:p>
    <w:p w14:paraId="609D0D94"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5.2. Teología de la Liberación y hermenéutica en India</w:t>
      </w:r>
    </w:p>
    <w:p w14:paraId="041EC8C7"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2C091DE3"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6: Nuevos contextos teológicos</w:t>
      </w:r>
    </w:p>
    <w:p w14:paraId="74CC4BA7"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5C7F3CBA"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6.1. Teología de la Liberación y hermenéutica en Corea del Sur</w:t>
      </w:r>
    </w:p>
    <w:p w14:paraId="18499D8A"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6.2. Teología y hermenéutica latina</w:t>
      </w:r>
    </w:p>
    <w:p w14:paraId="5B2D752C"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79F5021B"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 xml:space="preserve">Unidad 7: Diversidad teológica en la </w:t>
      </w:r>
      <w:proofErr w:type="spellStart"/>
      <w:r w:rsidRPr="00F128A3">
        <w:rPr>
          <w:rFonts w:ascii="Calibri" w:eastAsia="Calibri" w:hAnsi="Calibri" w:cs="Arial"/>
          <w:b/>
          <w:color w:val="000000"/>
          <w:kern w:val="0"/>
          <w:lang w:val="es-ES"/>
          <w14:ligatures w14:val="none"/>
        </w:rPr>
        <w:t>pos-modernidad</w:t>
      </w:r>
      <w:proofErr w:type="spellEnd"/>
    </w:p>
    <w:p w14:paraId="475EBFF1"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18F65D64"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7.1. Teología ecológica</w:t>
      </w:r>
    </w:p>
    <w:p w14:paraId="3E697AD4"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7.2. Teología india</w:t>
      </w:r>
    </w:p>
    <w:p w14:paraId="6F99E503"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7.3. Teología queer</w:t>
      </w:r>
    </w:p>
    <w:p w14:paraId="7DF3A7A9"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p>
    <w:p w14:paraId="0773FD1A"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r w:rsidRPr="00F128A3">
        <w:rPr>
          <w:rFonts w:ascii="Calibri" w:eastAsia="Calibri" w:hAnsi="Calibri" w:cs="Arial"/>
          <w:b/>
          <w:color w:val="000000"/>
          <w:kern w:val="0"/>
          <w:lang w:val="es-ES"/>
          <w14:ligatures w14:val="none"/>
        </w:rPr>
        <w:t>Unidad 8: La construcción del conocimiento teológico</w:t>
      </w:r>
    </w:p>
    <w:p w14:paraId="07C187EB" w14:textId="77777777" w:rsidR="00F128A3" w:rsidRPr="00F128A3" w:rsidRDefault="00F128A3" w:rsidP="00F128A3">
      <w:pPr>
        <w:autoSpaceDE w:val="0"/>
        <w:autoSpaceDN w:val="0"/>
        <w:adjustRightInd w:val="0"/>
        <w:spacing w:after="0" w:line="240" w:lineRule="auto"/>
        <w:rPr>
          <w:rFonts w:ascii="Calibri" w:eastAsia="Calibri" w:hAnsi="Calibri" w:cs="Arial"/>
          <w:b/>
          <w:color w:val="000000"/>
          <w:kern w:val="0"/>
          <w:lang w:val="es-ES"/>
          <w14:ligatures w14:val="none"/>
        </w:rPr>
      </w:pPr>
    </w:p>
    <w:p w14:paraId="26880210" w14:textId="77777777" w:rsidR="00F128A3" w:rsidRPr="00F128A3" w:rsidRDefault="00F128A3" w:rsidP="00F128A3">
      <w:pPr>
        <w:autoSpaceDE w:val="0"/>
        <w:autoSpaceDN w:val="0"/>
        <w:adjustRightInd w:val="0"/>
        <w:spacing w:after="0" w:line="240" w:lineRule="auto"/>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8.1. Desafíos para las teologías contextuales y las hermenéuticas de liberación en el siglo XXI</w:t>
      </w:r>
    </w:p>
    <w:p w14:paraId="4AC3E26C" w14:textId="77777777" w:rsidR="00F128A3" w:rsidRPr="00F128A3" w:rsidRDefault="00F128A3" w:rsidP="00F128A3">
      <w:pPr>
        <w:spacing w:after="200" w:line="276" w:lineRule="auto"/>
        <w:contextualSpacing/>
        <w:rPr>
          <w:rFonts w:ascii="Calibri" w:eastAsia="Calibri" w:hAnsi="Calibri" w:cs="Arial"/>
          <w:b/>
          <w:bCs/>
          <w:color w:val="000000"/>
          <w:kern w:val="0"/>
          <w14:ligatures w14:val="none"/>
        </w:rPr>
      </w:pPr>
    </w:p>
    <w:p w14:paraId="57D2356E" w14:textId="77777777" w:rsidR="00F128A3" w:rsidRPr="00F128A3" w:rsidRDefault="00F128A3" w:rsidP="00F128A3">
      <w:pPr>
        <w:spacing w:after="200" w:line="276" w:lineRule="auto"/>
        <w:contextualSpacing/>
        <w:rPr>
          <w:rFonts w:ascii="Calibri" w:eastAsia="Calibri" w:hAnsi="Calibri" w:cs="Arial"/>
          <w:b/>
          <w:bCs/>
          <w:color w:val="000000"/>
          <w:kern w:val="0"/>
          <w14:ligatures w14:val="none"/>
        </w:rPr>
      </w:pPr>
    </w:p>
    <w:p w14:paraId="3658A1E4" w14:textId="77777777" w:rsidR="00F128A3" w:rsidRPr="00F128A3" w:rsidRDefault="00F128A3" w:rsidP="00F128A3">
      <w:pPr>
        <w:spacing w:after="200" w:line="276" w:lineRule="auto"/>
        <w:contextualSpacing/>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V. Metodología</w:t>
      </w:r>
    </w:p>
    <w:p w14:paraId="01477502" w14:textId="77777777" w:rsidR="00F128A3" w:rsidRPr="00F128A3" w:rsidRDefault="00F128A3" w:rsidP="00F128A3">
      <w:pPr>
        <w:autoSpaceDE w:val="0"/>
        <w:autoSpaceDN w:val="0"/>
        <w:adjustRightInd w:val="0"/>
        <w:spacing w:after="0" w:line="240" w:lineRule="auto"/>
        <w:contextualSpacing/>
        <w:rPr>
          <w:rFonts w:ascii="Calibri" w:eastAsia="Calibri" w:hAnsi="Calibri" w:cs="Arial"/>
          <w:b/>
          <w:bCs/>
          <w:color w:val="000000"/>
          <w:kern w:val="0"/>
          <w14:ligatures w14:val="none"/>
        </w:rPr>
      </w:pPr>
    </w:p>
    <w:p w14:paraId="2D6084A7" w14:textId="77777777" w:rsidR="00F128A3" w:rsidRPr="00F128A3" w:rsidRDefault="00F128A3" w:rsidP="00F128A3">
      <w:pPr>
        <w:spacing w:after="0" w:line="276" w:lineRule="auto"/>
        <w:jc w:val="both"/>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La metodología desarrollada en el aula virtual coloca a la persona estudiante como el eje central del proceso de enseñanza y aprendizaje, para lo cual la persona docente como responsable del curso dirige, evacúa dudas y permite que se dé un ambiente democrático en el aprendizaje y que, por medio de las estrategias empleadas se contribuya a la construcción del conocimiento. El entorno virtual utilizado por la UBL se caracteriza por facilitar la interacción, el acceso a recursos diversos, la producción de contenidos y el establecimiento de redes como parte del proceso de enseñanza y aprendizaje. Por sus características este entorno, y la metodología empleada en el curso, permiten que la persona estudiante avance de acuerdo con su disponibilidad de tiempo y con la posibilidad de desarrollar sus actividades desde cualquier lugar, sin embargo, deberá cumplir con las actividades programadas en las fechas establecidas.</w:t>
      </w:r>
    </w:p>
    <w:p w14:paraId="6ACDB39D" w14:textId="77777777" w:rsidR="00F128A3" w:rsidRPr="00F128A3" w:rsidRDefault="00F128A3" w:rsidP="00F128A3">
      <w:pPr>
        <w:spacing w:after="0" w:line="276" w:lineRule="auto"/>
        <w:jc w:val="both"/>
        <w:rPr>
          <w:rFonts w:ascii="Calibri" w:eastAsia="Calibri" w:hAnsi="Calibri" w:cs="Arial"/>
          <w:color w:val="000000"/>
          <w:kern w:val="0"/>
          <w:lang w:val="es-ES"/>
          <w14:ligatures w14:val="none"/>
        </w:rPr>
      </w:pPr>
    </w:p>
    <w:p w14:paraId="7070752C" w14:textId="77777777" w:rsidR="00F128A3" w:rsidRPr="00F128A3" w:rsidRDefault="00F128A3" w:rsidP="00F128A3">
      <w:pPr>
        <w:spacing w:after="0" w:line="276" w:lineRule="auto"/>
        <w:jc w:val="both"/>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El curso es de carácter teórico-práctico con un enfoque sistémico, asociado al pensamiento complejo, al aprendizaje relacional, significativo, colaborativo, autónomo, activo, situado y flexible mediante la interacción de los sujetos involucrados en la propuesta del curso. Se busca un proceso de aprendizaje basado en el desarrollo de los procesos pedagógicos que prevén: contexto, experiencia, reflexión, acción y evaluación. La persona docente trabajará para el desarrollo de competencias disciplinares e interdisciplinares en los campos de la teología, la hermenéutica, la pedagogía y las ciencias humanas para el abordaje de la teología y de la experiencia religiosa. Se busca promover el pensamiento reflexivo, estratégico, sistémico y holístico contemplando la diversidad de las teologías contextuales y las hermenéuticas de liberación, apuntando hacia el análisis y la síntesis.  Se tomará en cuenta:</w:t>
      </w:r>
    </w:p>
    <w:p w14:paraId="254C0735" w14:textId="77777777" w:rsidR="00F128A3" w:rsidRPr="00F128A3" w:rsidRDefault="00F128A3" w:rsidP="00F128A3">
      <w:pPr>
        <w:spacing w:after="0" w:line="276" w:lineRule="auto"/>
        <w:jc w:val="both"/>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 </w:t>
      </w:r>
    </w:p>
    <w:p w14:paraId="70BD3738" w14:textId="77777777" w:rsidR="00F128A3" w:rsidRPr="00F128A3" w:rsidRDefault="00F128A3" w:rsidP="00F128A3">
      <w:pPr>
        <w:widowControl w:val="0"/>
        <w:numPr>
          <w:ilvl w:val="0"/>
          <w:numId w:val="177"/>
        </w:numPr>
        <w:overflowPunct w:val="0"/>
        <w:autoSpaceDE w:val="0"/>
        <w:autoSpaceDN w:val="0"/>
        <w:adjustRightInd w:val="0"/>
        <w:spacing w:before="120" w:after="200" w:line="276" w:lineRule="auto"/>
        <w:jc w:val="both"/>
        <w:rPr>
          <w:rFonts w:ascii="Calibri" w:eastAsia="Calibri" w:hAnsi="Calibri" w:cs="Arial"/>
          <w:color w:val="000000"/>
          <w:kern w:val="0"/>
          <w:lang w:val="es-ES"/>
          <w14:ligatures w14:val="none"/>
        </w:rPr>
      </w:pPr>
      <w:r w:rsidRPr="00F128A3">
        <w:rPr>
          <w:rFonts w:ascii="Calibri" w:eastAsia="Calibri" w:hAnsi="Calibri" w:cs="Arial"/>
          <w:b/>
          <w:color w:val="000000"/>
          <w:kern w:val="0"/>
          <w:lang w:val="es-ES"/>
          <w14:ligatures w14:val="none"/>
        </w:rPr>
        <w:t>Aprendizaje en el aula virtual:</w:t>
      </w:r>
      <w:r w:rsidRPr="00F128A3">
        <w:rPr>
          <w:rFonts w:ascii="Calibri" w:eastAsia="Calibri" w:hAnsi="Calibri" w:cs="Arial"/>
          <w:color w:val="000000"/>
          <w:kern w:val="0"/>
          <w:lang w:val="es-ES"/>
          <w14:ligatures w14:val="none"/>
        </w:rPr>
        <w:t xml:space="preserve"> será facilitado por el-la docente con el material digitalizado.</w:t>
      </w:r>
    </w:p>
    <w:p w14:paraId="25FC5DAD" w14:textId="77777777" w:rsidR="00F128A3" w:rsidRPr="00F128A3" w:rsidRDefault="00F128A3" w:rsidP="00F128A3">
      <w:pPr>
        <w:widowControl w:val="0"/>
        <w:numPr>
          <w:ilvl w:val="0"/>
          <w:numId w:val="177"/>
        </w:numPr>
        <w:overflowPunct w:val="0"/>
        <w:autoSpaceDE w:val="0"/>
        <w:autoSpaceDN w:val="0"/>
        <w:adjustRightInd w:val="0"/>
        <w:spacing w:before="120" w:after="200" w:line="276" w:lineRule="auto"/>
        <w:jc w:val="both"/>
        <w:rPr>
          <w:rFonts w:ascii="Calibri" w:eastAsia="Calibri" w:hAnsi="Calibri" w:cs="Arial"/>
          <w:color w:val="000000"/>
          <w:kern w:val="0"/>
          <w:lang w:val="es-ES"/>
          <w14:ligatures w14:val="none"/>
        </w:rPr>
      </w:pPr>
      <w:r w:rsidRPr="00F128A3">
        <w:rPr>
          <w:rFonts w:ascii="Calibri" w:eastAsia="Calibri" w:hAnsi="Calibri" w:cs="Arial"/>
          <w:b/>
          <w:color w:val="000000"/>
          <w:kern w:val="0"/>
          <w:lang w:val="es-ES"/>
          <w14:ligatures w14:val="none"/>
        </w:rPr>
        <w:t>Auto aprendizaje</w:t>
      </w:r>
      <w:r w:rsidRPr="00F128A3">
        <w:rPr>
          <w:rFonts w:ascii="Calibri" w:eastAsia="Calibri" w:hAnsi="Calibri" w:cs="Arial"/>
          <w:color w:val="000000"/>
          <w:kern w:val="0"/>
          <w:lang w:val="es-ES"/>
          <w14:ligatures w14:val="none"/>
        </w:rPr>
        <w:t xml:space="preserve">: el/la estudiante desarrollará de forma personal actividades que le ayuden a comprender de mejor manera los temas presentados en el curso, esto será por medio de las lecturas asignadas y la preparación de trabajos escritos. </w:t>
      </w:r>
    </w:p>
    <w:p w14:paraId="5DA272EA" w14:textId="77777777" w:rsidR="00F128A3" w:rsidRPr="00F128A3" w:rsidRDefault="00F128A3" w:rsidP="00F128A3">
      <w:pPr>
        <w:widowControl w:val="0"/>
        <w:numPr>
          <w:ilvl w:val="0"/>
          <w:numId w:val="177"/>
        </w:numPr>
        <w:overflowPunct w:val="0"/>
        <w:autoSpaceDE w:val="0"/>
        <w:autoSpaceDN w:val="0"/>
        <w:adjustRightInd w:val="0"/>
        <w:spacing w:before="120" w:after="200" w:line="276" w:lineRule="auto"/>
        <w:jc w:val="both"/>
        <w:rPr>
          <w:rFonts w:ascii="Calibri" w:eastAsia="Calibri" w:hAnsi="Calibri" w:cs="Arial"/>
          <w:color w:val="000000"/>
          <w:kern w:val="0"/>
          <w:lang w:val="es-ES"/>
          <w14:ligatures w14:val="none"/>
        </w:rPr>
      </w:pPr>
      <w:r w:rsidRPr="00F128A3">
        <w:rPr>
          <w:rFonts w:ascii="Calibri" w:eastAsia="Calibri" w:hAnsi="Calibri" w:cs="Arial"/>
          <w:b/>
          <w:color w:val="000000"/>
          <w:kern w:val="0"/>
          <w:lang w:val="es-ES"/>
          <w14:ligatures w14:val="none"/>
        </w:rPr>
        <w:t>Aprendizaje colaborativo</w:t>
      </w:r>
      <w:r w:rsidRPr="00F128A3">
        <w:rPr>
          <w:rFonts w:ascii="Calibri" w:eastAsia="Calibri" w:hAnsi="Calibri" w:cs="Arial"/>
          <w:color w:val="000000"/>
          <w:kern w:val="0"/>
          <w:lang w:val="es-ES"/>
          <w14:ligatures w14:val="none"/>
        </w:rPr>
        <w:t>: se busca un aprendizaje compartido entre todos y todas, por esto es muy importante lograr una dinámica interna de trabajo de los y las estudiantes para las actividades virtuales del curso, la cual es guiada por el/la docente</w:t>
      </w:r>
      <w:r w:rsidRPr="00F128A3">
        <w:rPr>
          <w:rFonts w:ascii="Calibri" w:eastAsia="Calibri" w:hAnsi="Calibri" w:cs="Times New Roman"/>
          <w:color w:val="000000"/>
          <w:kern w:val="0"/>
          <w14:ligatures w14:val="none"/>
        </w:rPr>
        <w:t>.</w:t>
      </w:r>
    </w:p>
    <w:p w14:paraId="3C1F5645" w14:textId="77777777" w:rsidR="00F128A3" w:rsidRPr="00F128A3" w:rsidRDefault="00F128A3" w:rsidP="00F128A3">
      <w:pPr>
        <w:spacing w:after="200" w:line="276" w:lineRule="auto"/>
        <w:jc w:val="both"/>
        <w:rPr>
          <w:rFonts w:ascii="Calibri" w:eastAsia="Calibri" w:hAnsi="Calibri" w:cs="Arial"/>
          <w:bCs/>
          <w:color w:val="000000"/>
          <w:kern w:val="0"/>
          <w:lang w:val="es-ES"/>
          <w14:ligatures w14:val="none"/>
        </w:rPr>
      </w:pPr>
      <w:r w:rsidRPr="00F128A3">
        <w:rPr>
          <w:rFonts w:ascii="Calibri" w:eastAsia="Calibri" w:hAnsi="Calibri" w:cs="Arial"/>
          <w:bCs/>
          <w:color w:val="000000"/>
          <w:kern w:val="0"/>
          <w:lang w:val="es-ES"/>
          <w14:ligatures w14:val="none"/>
        </w:rPr>
        <w:t>En esta perspectiva el-la estudiante desarrollarán de forma personal actividades que le ayuden a comprender de mejor manera los temas presentados en el curso, esto será por medio de las lecturas digitales asignadas y la preparación de trabajos escritos. A nivel de trabajo grupal se busca un aprendizaje compartido entre todos y todas, por esto es muy importante lograr una dinámica interna de trabajo de los/las estudiantes para las actividades en la plataforma virtual del curso, la cual es guiada por el-la docente.</w:t>
      </w:r>
    </w:p>
    <w:p w14:paraId="193D780D" w14:textId="77777777" w:rsidR="00F128A3" w:rsidRPr="00F128A3" w:rsidRDefault="00F128A3" w:rsidP="00F128A3">
      <w:pPr>
        <w:spacing w:after="200" w:line="276" w:lineRule="auto"/>
        <w:jc w:val="both"/>
        <w:rPr>
          <w:rFonts w:ascii="Calibri" w:eastAsia="Calibri" w:hAnsi="Calibri" w:cs="Arial"/>
          <w:bCs/>
          <w:color w:val="000000"/>
          <w:kern w:val="0"/>
          <w:lang w:val="es-ES"/>
          <w14:ligatures w14:val="none"/>
        </w:rPr>
      </w:pPr>
      <w:r w:rsidRPr="00F128A3">
        <w:rPr>
          <w:rFonts w:ascii="Calibri" w:eastAsia="Calibri" w:hAnsi="Calibri" w:cs="Arial"/>
          <w:bCs/>
          <w:color w:val="000000"/>
          <w:kern w:val="0"/>
          <w:lang w:val="es-ES"/>
          <w14:ligatures w14:val="none"/>
        </w:rPr>
        <w:t xml:space="preserve">El/la docente trabajará para el desarrollo de competencias disciplinares e interdisciplinares en los campos de la teología, hermenéutica, la pedagogía y las ciencias humanas para el abordaje de la teología y de la experiencia religiosa. El rol del/la docente es el de facilitar y orientar los </w:t>
      </w:r>
      <w:r w:rsidRPr="00F128A3">
        <w:rPr>
          <w:rFonts w:ascii="Calibri" w:eastAsia="Calibri" w:hAnsi="Calibri" w:cs="Arial"/>
          <w:bCs/>
          <w:color w:val="000000"/>
          <w:kern w:val="0"/>
          <w:lang w:val="es-ES"/>
          <w14:ligatures w14:val="none"/>
        </w:rPr>
        <w:lastRenderedPageBreak/>
        <w:t xml:space="preserve">aprendizajes, como parte de ello compartirá aportes docentes por medio de los encuentros sincrónicos virtuales. Las sesiones sincrónicas se grabarán para que los y las estudiantes que justifiquen debidamente su ausencia, sea por motivos tecnológicos, ancho de banda, laborales, de salud u otros pueden tener acceso a ella. Esta flexibilidad es parte esencial del modelo educativo de la Universidad y busca evitar la exclusión por situaciones de inequidad social, condición climática, demandas laborales o ministeriales, entre otras. A la vez, se asegura de que todas las personas estudiantes tengan acceso a los recursos de aprendizaje que se ofrecen en el curso. El/la estudiante deben ser responsables de su propio proceso de aprendizaje, apropiándose de los nuevos conocimientos que genere el curso. </w:t>
      </w:r>
    </w:p>
    <w:p w14:paraId="66333C2C" w14:textId="77777777" w:rsidR="00F128A3" w:rsidRPr="00F128A3" w:rsidRDefault="00F128A3" w:rsidP="00F128A3">
      <w:pPr>
        <w:spacing w:after="200" w:line="276" w:lineRule="auto"/>
        <w:contextualSpacing/>
        <w:rPr>
          <w:rFonts w:ascii="Calibri" w:eastAsia="Calibri" w:hAnsi="Calibri" w:cs="Arial"/>
          <w:bCs/>
          <w:color w:val="000000"/>
          <w:kern w:val="0"/>
          <w14:ligatures w14:val="none"/>
        </w:rPr>
      </w:pPr>
      <w:r w:rsidRPr="00F128A3">
        <w:rPr>
          <w:rFonts w:ascii="Calibri" w:eastAsia="Calibri" w:hAnsi="Calibri" w:cs="Arial"/>
          <w:b/>
          <w:bCs/>
          <w:color w:val="000000"/>
          <w:kern w:val="0"/>
          <w14:ligatures w14:val="none"/>
        </w:rPr>
        <w:t>VI. Estrategias de aprendizaje</w:t>
      </w:r>
    </w:p>
    <w:p w14:paraId="56985FB1" w14:textId="77777777" w:rsidR="00F128A3" w:rsidRPr="00F128A3" w:rsidRDefault="00F128A3" w:rsidP="00F128A3">
      <w:pPr>
        <w:autoSpaceDE w:val="0"/>
        <w:autoSpaceDN w:val="0"/>
        <w:adjustRightInd w:val="0"/>
        <w:spacing w:after="0" w:line="240" w:lineRule="auto"/>
        <w:contextualSpacing/>
        <w:rPr>
          <w:rFonts w:ascii="Calibri" w:eastAsia="Calibri" w:hAnsi="Calibri" w:cs="Arial"/>
          <w:color w:val="000000"/>
          <w:kern w:val="0"/>
          <w14:ligatures w14:val="none"/>
        </w:rPr>
      </w:pPr>
    </w:p>
    <w:p w14:paraId="2E9BDEDF"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En el marco del aprendizaje que busca este curso las personas estudiantes analizarán las diversas teologías contextuales que surgieron en el siglo XX, así como los procesos de lectura hermenéutica de la Biblia, procurando comprender sus aportes y desafíos con una mirada hacia el siglo XXI.</w:t>
      </w:r>
    </w:p>
    <w:p w14:paraId="2CC1D51F" w14:textId="77777777" w:rsidR="00F128A3" w:rsidRPr="00F128A3" w:rsidRDefault="00F128A3" w:rsidP="00F128A3">
      <w:pPr>
        <w:autoSpaceDE w:val="0"/>
        <w:autoSpaceDN w:val="0"/>
        <w:adjustRightInd w:val="0"/>
        <w:spacing w:after="0" w:line="240" w:lineRule="auto"/>
        <w:contextualSpacing/>
        <w:rPr>
          <w:rFonts w:ascii="Calibri" w:eastAsia="Calibri" w:hAnsi="Calibri" w:cs="Arial"/>
          <w:color w:val="000000"/>
          <w:kern w:val="0"/>
          <w14:ligatures w14:val="none"/>
        </w:rPr>
      </w:pPr>
    </w:p>
    <w:p w14:paraId="2319E460" w14:textId="77777777" w:rsidR="00F128A3" w:rsidRPr="00F128A3" w:rsidRDefault="00F128A3" w:rsidP="00F128A3">
      <w:pPr>
        <w:spacing w:after="200" w:line="276" w:lineRule="auto"/>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Se utilizan las siguientes estrategias de aprendizaje:</w:t>
      </w:r>
    </w:p>
    <w:p w14:paraId="335AEFBF" w14:textId="77777777" w:rsidR="00F128A3" w:rsidRPr="00F128A3" w:rsidRDefault="00F128A3" w:rsidP="00F128A3">
      <w:pPr>
        <w:spacing w:after="200" w:line="276" w:lineRule="auto"/>
        <w:jc w:val="both"/>
        <w:rPr>
          <w:rFonts w:ascii="Calibri" w:eastAsia="Times New Roman" w:hAnsi="Calibri" w:cs="Calibri"/>
          <w:bCs/>
          <w:color w:val="000000"/>
          <w:kern w:val="0"/>
          <w:lang w:val="es-ES_tradnl" w:eastAsia="es-CR"/>
          <w14:ligatures w14:val="none"/>
        </w:rPr>
      </w:pPr>
      <w:r w:rsidRPr="00F128A3">
        <w:rPr>
          <w:rFonts w:ascii="Calibri" w:eastAsia="Times New Roman" w:hAnsi="Calibri" w:cs="Calibri"/>
          <w:b/>
          <w:color w:val="000000"/>
          <w:kern w:val="0"/>
          <w:lang w:val="es-ES_tradnl" w:eastAsia="es-CR"/>
          <w14:ligatures w14:val="none"/>
        </w:rPr>
        <w:t xml:space="preserve">a) Foro: </w:t>
      </w:r>
      <w:r w:rsidRPr="00F128A3">
        <w:rPr>
          <w:rFonts w:ascii="Calibri" w:eastAsia="Calibri" w:hAnsi="Calibri" w:cs="Calibri"/>
          <w:bCs/>
          <w:kern w:val="0"/>
          <w14:ligatures w14:val="none"/>
        </w:rPr>
        <w:t xml:space="preserve">Un foro es una herramienta virtual asincrónica que constituye un escenario virtual de debate sobre un tema particular, que permite el intercambio de los aportes propios y la réplica a los aportes de otras personas compañeras. En este curso se desarrollan en varias de las sesiones, donde se aprovecharán para </w:t>
      </w:r>
      <w:r w:rsidRPr="00F128A3">
        <w:rPr>
          <w:rFonts w:ascii="Calibri" w:eastAsia="Calibri" w:hAnsi="Calibri" w:cs="Calibri"/>
          <w:bCs/>
          <w:iCs/>
          <w:kern w:val="0"/>
          <w:lang w:val="es-ES"/>
          <w14:ligatures w14:val="none"/>
        </w:rPr>
        <w:t xml:space="preserve">debatir temas diversos tales como: teología para tiempos de crisis, el otro y la otredad, la hermenéutica africana, la hermenéutica de textos bíblicos, el feminismo como clave hermenéutica, la hermenéutica en Asia, la hermenéutica ecológica y la hermenéutica campesina. </w:t>
      </w:r>
    </w:p>
    <w:p w14:paraId="42AC470E" w14:textId="77777777" w:rsidR="00F128A3" w:rsidRPr="00F128A3" w:rsidRDefault="00F128A3" w:rsidP="00F128A3">
      <w:pPr>
        <w:spacing w:after="200" w:line="276" w:lineRule="auto"/>
        <w:jc w:val="both"/>
        <w:rPr>
          <w:rFonts w:ascii="Calibri" w:eastAsia="Calibri" w:hAnsi="Calibri" w:cs="Calibri"/>
          <w:bCs/>
          <w:kern w:val="0"/>
          <w14:ligatures w14:val="none"/>
        </w:rPr>
      </w:pPr>
      <w:r w:rsidRPr="00F128A3">
        <w:rPr>
          <w:rFonts w:ascii="Calibri" w:eastAsia="Times New Roman" w:hAnsi="Calibri" w:cs="Calibri"/>
          <w:b/>
          <w:color w:val="000000"/>
          <w:kern w:val="0"/>
          <w:lang w:val="es-ES_tradnl" w:eastAsia="es-CR"/>
          <w14:ligatures w14:val="none"/>
        </w:rPr>
        <w:t xml:space="preserve">b) Diario reflexivo: </w:t>
      </w:r>
      <w:r w:rsidRPr="00F128A3">
        <w:rPr>
          <w:rFonts w:ascii="Calibri" w:eastAsia="Calibri" w:hAnsi="Calibri" w:cs="Calibri"/>
          <w:bCs/>
          <w:kern w:val="0"/>
          <w14:ligatures w14:val="none"/>
        </w:rPr>
        <w:t xml:space="preserve">La estrategia del diario reflexivo tiene entre sus bondades la organización autónoma y la internalización del conocimiento significativo de una forma creativa, innovadora, gráfica, ilustrativa y crítica a la vez. Mediante esta profundizaremos reflexivamente sobre las teologías y hermenéuticas feministas, la teología de la liberación y hermenéutica en Asia, la teología ecológica y, finalmente, la teología india. </w:t>
      </w:r>
    </w:p>
    <w:p w14:paraId="662EC7AA" w14:textId="77777777" w:rsidR="00F128A3" w:rsidRPr="00F128A3" w:rsidRDefault="00F128A3" w:rsidP="00F128A3">
      <w:pPr>
        <w:spacing w:after="200" w:line="276" w:lineRule="auto"/>
        <w:jc w:val="both"/>
        <w:rPr>
          <w:rFonts w:ascii="Calibri" w:eastAsia="Calibri" w:hAnsi="Calibri" w:cs="Times New Roman"/>
          <w:kern w:val="0"/>
          <w:lang w:val="es-MX"/>
          <w14:ligatures w14:val="none"/>
        </w:rPr>
      </w:pPr>
      <w:r w:rsidRPr="00F128A3">
        <w:rPr>
          <w:rFonts w:ascii="Calibri" w:eastAsia="Times New Roman" w:hAnsi="Calibri" w:cs="Calibri"/>
          <w:b/>
          <w:bCs/>
          <w:color w:val="000000"/>
          <w:kern w:val="0"/>
          <w:lang w:eastAsia="es-CR"/>
          <w14:ligatures w14:val="none"/>
        </w:rPr>
        <w:t xml:space="preserve">c) Reseña crítica de lectura: </w:t>
      </w:r>
      <w:r w:rsidRPr="00F128A3">
        <w:rPr>
          <w:rFonts w:ascii="Calibri" w:eastAsia="Calibri" w:hAnsi="Calibri" w:cs="Times New Roman"/>
          <w:kern w:val="0"/>
          <w:lang w:val="es-MX"/>
          <w14:ligatures w14:val="none"/>
        </w:rPr>
        <w:t>La elaboración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En este curso utilizaremos esta estrategia para abordar los siguientes tópicos</w:t>
      </w:r>
      <w:r w:rsidRPr="00F128A3">
        <w:rPr>
          <w:rFonts w:ascii="Calibri" w:eastAsia="Calibri" w:hAnsi="Calibri" w:cs="Times New Roman"/>
          <w:bCs/>
          <w:iCs/>
          <w:kern w:val="0"/>
          <w14:ligatures w14:val="none"/>
        </w:rPr>
        <w:t xml:space="preserve"> tales: género, religión y poder; teologías cristianas africanas, teología asiática contemporánea y la teoría queer y la teología de la liberación, lo que permitirá a las personas estudiantes conocer nuevas claves hermenéuticas y teológicas contextuales.</w:t>
      </w:r>
    </w:p>
    <w:p w14:paraId="2BAEADF5" w14:textId="77777777" w:rsidR="00F128A3" w:rsidRPr="00F128A3" w:rsidRDefault="00F128A3" w:rsidP="00F128A3">
      <w:pPr>
        <w:spacing w:after="200" w:line="276" w:lineRule="auto"/>
        <w:jc w:val="both"/>
        <w:rPr>
          <w:rFonts w:ascii="Calibri" w:eastAsia="Calibri" w:hAnsi="Calibri" w:cs="Calibri"/>
          <w:bCs/>
          <w:kern w:val="0"/>
          <w14:ligatures w14:val="none"/>
        </w:rPr>
      </w:pPr>
      <w:r w:rsidRPr="00F128A3">
        <w:rPr>
          <w:rFonts w:ascii="Calibri" w:eastAsia="Times New Roman" w:hAnsi="Calibri" w:cs="Calibri"/>
          <w:b/>
          <w:kern w:val="0"/>
          <w:lang w:val="es-ES_tradnl" w:eastAsia="es-CR"/>
          <w14:ligatures w14:val="none"/>
        </w:rPr>
        <w:t xml:space="preserve">d) Encuentro sincrónico virtual: </w:t>
      </w:r>
      <w:r w:rsidRPr="00F128A3">
        <w:rPr>
          <w:rFonts w:ascii="Calibri" w:eastAsia="Calibri" w:hAnsi="Calibri" w:cs="Calibri"/>
          <w:bCs/>
          <w:kern w:val="0"/>
          <w14:ligatures w14:val="none"/>
        </w:rPr>
        <w:t xml:space="preserve">Los encuentros sincrónicos virtuales son espacios de sincronía remota en una plataforma virtual. Esta estrategia se utilizará para la presentación de insumos temáticos y el desarrollo de ejercicios grupales </w:t>
      </w:r>
      <w:r w:rsidRPr="00F128A3">
        <w:rPr>
          <w:rFonts w:ascii="Calibri" w:eastAsia="Calibri" w:hAnsi="Calibri" w:cs="Arial"/>
          <w:kern w:val="0"/>
          <w14:ligatures w14:val="none"/>
        </w:rPr>
        <w:t xml:space="preserve">sobre tópicos tales como: conceptos generales, la dimensión contextual de América Latina y el Caribe, otros contextos intercontinentales, el feminismo como clave hermenéutica, contextos asiáticos y de la India, nuevos contextos teológicos, </w:t>
      </w:r>
      <w:r w:rsidRPr="00F128A3">
        <w:rPr>
          <w:rFonts w:ascii="Calibri" w:eastAsia="Calibri" w:hAnsi="Calibri" w:cs="Arial"/>
          <w:kern w:val="0"/>
          <w14:ligatures w14:val="none"/>
        </w:rPr>
        <w:lastRenderedPageBreak/>
        <w:t xml:space="preserve">la diversidad teológica de la postmodernidad y la construcción del conocimiento teológico, entre varios temas claves del curso. </w:t>
      </w:r>
      <w:r w:rsidRPr="00F128A3">
        <w:rPr>
          <w:rFonts w:ascii="Calibri" w:eastAsia="Calibri" w:hAnsi="Calibri" w:cs="Calibri"/>
          <w:bCs/>
          <w:kern w:val="0"/>
          <w14:ligatures w14:val="none"/>
        </w:rPr>
        <w:t>Los encuentros t</w:t>
      </w:r>
      <w:r w:rsidRPr="00F128A3">
        <w:rPr>
          <w:rFonts w:ascii="Calibri" w:eastAsia="Calibri" w:hAnsi="Calibri" w:cs="Arial"/>
          <w:kern w:val="0"/>
          <w14:ligatures w14:val="none"/>
        </w:rPr>
        <w:t xml:space="preserve">ienen un carácter formativo y de encuentro con la persona docente, no sumativo en cuanto a la evaluación. Se grabarán y estarán disponibles en el aula virtual. Tienen un valor formativo. </w:t>
      </w:r>
    </w:p>
    <w:p w14:paraId="67546ABD" w14:textId="77777777" w:rsidR="00F128A3" w:rsidRPr="00F128A3" w:rsidRDefault="00F128A3" w:rsidP="00F128A3">
      <w:pPr>
        <w:spacing w:after="200" w:line="276" w:lineRule="auto"/>
        <w:jc w:val="both"/>
        <w:rPr>
          <w:rFonts w:ascii="Calibri" w:eastAsia="Times New Roman" w:hAnsi="Calibri" w:cs="Calibri"/>
          <w:bCs/>
          <w:color w:val="000000"/>
          <w:kern w:val="0"/>
          <w:lang w:eastAsia="es-CR"/>
          <w14:ligatures w14:val="none"/>
        </w:rPr>
      </w:pPr>
      <w:r w:rsidRPr="00F128A3">
        <w:rPr>
          <w:rFonts w:ascii="Calibri" w:eastAsia="Times New Roman" w:hAnsi="Calibri" w:cs="Arial"/>
          <w:b/>
          <w:color w:val="000000"/>
          <w:kern w:val="0"/>
          <w:lang w:val="es-ES_tradnl" w:eastAsia="es-CR"/>
          <w14:ligatures w14:val="none"/>
        </w:rPr>
        <w:t xml:space="preserve">e) Mapa conceptual: </w:t>
      </w:r>
      <w:r w:rsidRPr="00F128A3">
        <w:rPr>
          <w:rFonts w:ascii="Calibri" w:eastAsia="Calibri" w:hAnsi="Calibri" w:cs="Calibri"/>
          <w:kern w:val="0"/>
          <w14:ligatures w14:val="none"/>
        </w:rPr>
        <w:t>Con el propósito de lograr un aprendizaje significativo la representación y organización del conocimiento mediante la herramienta del mapa conceptual es de suma importancia. En este curso</w:t>
      </w:r>
      <w:r w:rsidRPr="00F128A3">
        <w:rPr>
          <w:rFonts w:ascii="Calibri" w:eastAsia="Calibri" w:hAnsi="Calibri" w:cs="Arial"/>
          <w:bCs/>
          <w:kern w:val="0"/>
          <w14:ligatures w14:val="none"/>
        </w:rPr>
        <w:t xml:space="preserve"> se utiliza </w:t>
      </w:r>
      <w:r w:rsidRPr="00F128A3">
        <w:rPr>
          <w:rFonts w:ascii="Calibri" w:eastAsia="Calibri" w:hAnsi="Calibri" w:cs="Calibri"/>
          <w:bCs/>
          <w:kern w:val="0"/>
          <w14:ligatures w14:val="none"/>
        </w:rPr>
        <w:t>con la finalidad de apropiarse de conceptos referentes a la centralidad del reino de Dios en el anuncio de Jesús y las raíces afroasiáticas en el mundo bíblico.</w:t>
      </w:r>
    </w:p>
    <w:p w14:paraId="2C8FD397"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Calibri"/>
          <w:kern w:val="0"/>
          <w:shd w:val="clear" w:color="auto" w:fill="FFFFFF"/>
          <w14:ligatures w14:val="none"/>
        </w:rPr>
      </w:pPr>
      <w:r w:rsidRPr="00F128A3">
        <w:rPr>
          <w:rFonts w:ascii="Calibri" w:eastAsia="Times New Roman" w:hAnsi="Calibri" w:cs="Arial"/>
          <w:b/>
          <w:bCs/>
          <w:color w:val="000000"/>
          <w:kern w:val="0"/>
          <w:lang w:eastAsia="es-CR"/>
          <w14:ligatures w14:val="none"/>
        </w:rPr>
        <w:t xml:space="preserve">f) </w:t>
      </w:r>
      <w:r w:rsidRPr="00F128A3">
        <w:rPr>
          <w:rFonts w:ascii="Calibri" w:eastAsia="Times New Roman" w:hAnsi="Calibri" w:cs="Arial"/>
          <w:b/>
          <w:bCs/>
          <w:color w:val="000000"/>
          <w:kern w:val="0"/>
          <w:lang w:val="es-ES_tradnl" w:eastAsia="es-CR"/>
          <w14:ligatures w14:val="none"/>
        </w:rPr>
        <w:t xml:space="preserve">Ensayo crítico: </w:t>
      </w:r>
      <w:r w:rsidRPr="00F128A3">
        <w:rPr>
          <w:rFonts w:ascii="Calibri" w:eastAsia="Calibri" w:hAnsi="Calibri" w:cs="Calibri"/>
          <w:kern w:val="0"/>
          <w:shd w:val="clear" w:color="auto" w:fill="FFFFFF"/>
          <w14:ligatures w14:val="none"/>
        </w:rPr>
        <w:t xml:space="preserve">Un ensayo crítico es un escrito argumentativo preparado por los y las estudiantes. El adjetivo crítico tiene por finalidad resaltar que la redacción se caracteriza especialmente por presentar el punto de vista de la persona estudiante acerca del tema desarrollado. Tal crítica no debe ser aleatoria, pues debe estar basada en las lecturas ofrecidas en las lecturas del curso y a la vez en la investigación personal de otras bibliografías afines. Aprovecharemos esta estrategia como trabajo final del curso, en el cual los y las estudiantes producirán el escrito en torno a la siguiente pregunta: ¿Cuáles son los aportes y desafíos que surgen a partir de las teologías y hermenéuticas contextuales estudiadas para un quehacer bíblico-teológico liberador en el siglo XII en el contexto propio? </w:t>
      </w:r>
    </w:p>
    <w:p w14:paraId="24B51628"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Los y las estudiantes podrán comunicarse con la persona docente a través de la plataforma virtual, o bien el correo electrónico suministrado por esta, y recibirán una respuesta a las consultas realizadas en un tiempo máximo de 48 horas.</w:t>
      </w:r>
    </w:p>
    <w:p w14:paraId="521FCF40"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Calibri"/>
          <w:kern w:val="0"/>
          <w:sz w:val="2"/>
          <w:szCs w:val="2"/>
          <w:shd w:val="clear" w:color="auto" w:fill="FFFFFF"/>
          <w14:ligatures w14:val="none"/>
        </w:rPr>
      </w:pPr>
    </w:p>
    <w:p w14:paraId="295EB879"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 xml:space="preserve">VII. Recursos didácticos </w:t>
      </w:r>
    </w:p>
    <w:p w14:paraId="31D7B4DA"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Calibri"/>
          <w:kern w:val="0"/>
          <w:sz w:val="2"/>
          <w:szCs w:val="2"/>
          <w:shd w:val="clear" w:color="auto" w:fill="FFFFFF"/>
          <w14:ligatures w14:val="none"/>
        </w:rPr>
      </w:pPr>
    </w:p>
    <w:p w14:paraId="3B41E032"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Calibri" w:hAnsi="Calibri" w:cs="Calibri"/>
          <w:kern w:val="0"/>
          <w:shd w:val="clear" w:color="auto" w:fill="FFFFFF"/>
          <w14:ligatures w14:val="none"/>
        </w:rPr>
      </w:pPr>
      <w:r w:rsidRPr="00F128A3">
        <w:rPr>
          <w:rFonts w:ascii="Calibri" w:eastAsia="Times New Roman" w:hAnsi="Calibri" w:cs="Calibri"/>
          <w:color w:val="000000"/>
          <w:kern w:val="0"/>
          <w:lang w:val="es-ES" w:eastAsia="es-ES"/>
          <w14:ligatures w14:val="none"/>
        </w:rPr>
        <w:t>Para lograr los objetivos del curso, desarrollar los contenidos y la metodología propuesta se hará uso de los siguientes recursos didácticos:</w:t>
      </w:r>
    </w:p>
    <w:p w14:paraId="69429F33"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3BE25AD8"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128A3">
        <w:rPr>
          <w:rFonts w:ascii="Calibri" w:eastAsia="Times New Roman" w:hAnsi="Calibri" w:cs="Calibri"/>
          <w:color w:val="000000"/>
          <w:kern w:val="0"/>
          <w:lang w:val="es-ES" w:eastAsia="es-ES"/>
          <w14:ligatures w14:val="none"/>
        </w:rPr>
        <w:t xml:space="preserve">a) Lecturas semanales obligatorias que se asignan como insumo para las actividades individuales y grupales. Todos los materiales de lectura están disponibles en formato digital en la plataforma virtual.  </w:t>
      </w:r>
    </w:p>
    <w:p w14:paraId="75C3D8D9"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7562E880"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128A3">
        <w:rPr>
          <w:rFonts w:ascii="Calibri" w:eastAsia="Times New Roman" w:hAnsi="Calibri" w:cs="Calibri"/>
          <w:color w:val="000000"/>
          <w:kern w:val="0"/>
          <w:lang w:val="es-ES" w:eastAsia="es-ES"/>
          <w14:ligatures w14:val="none"/>
        </w:rPr>
        <w:t>b) Lecturas complementarias en algunas de las sesiones que se asignan para su lectura con el fin de ampliar las temáticas. Realizar estas lecturas es opcional.</w:t>
      </w:r>
    </w:p>
    <w:p w14:paraId="6E7E7773"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04B967D9"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128A3">
        <w:rPr>
          <w:rFonts w:ascii="Calibri" w:eastAsia="Times New Roman" w:hAnsi="Calibri" w:cs="Calibri"/>
          <w:color w:val="000000"/>
          <w:kern w:val="0"/>
          <w:lang w:val="es-ES" w:eastAsia="es-ES"/>
          <w14:ligatures w14:val="none"/>
        </w:rPr>
        <w:t>c) En cada una de las sesiones en la plataforma virtual encontrará una ruta de aprendizaje con información tal como: los contenidos que estudiará, el material obligatorio y/o complementario, instrucciones detalladas para la elaboración/participación en la actividad asignada y la evaluación de esta.</w:t>
      </w:r>
    </w:p>
    <w:p w14:paraId="57D1A70E"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210298E8"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128A3">
        <w:rPr>
          <w:rFonts w:ascii="Calibri" w:eastAsia="Times New Roman" w:hAnsi="Calibri" w:cs="Calibri"/>
          <w:color w:val="000000"/>
          <w:kern w:val="0"/>
          <w:lang w:val="es-ES" w:eastAsia="es-ES"/>
          <w14:ligatures w14:val="none"/>
        </w:rPr>
        <w:t xml:space="preserve">d) En la plataforma virtual también dispondrá de guías generales que se encuentran en el material complementario de la sesión correspondiente para la participación en un foro y mediante la herramienta Big Blue </w:t>
      </w:r>
      <w:proofErr w:type="spellStart"/>
      <w:r w:rsidRPr="00F128A3">
        <w:rPr>
          <w:rFonts w:ascii="Calibri" w:eastAsia="Times New Roman" w:hAnsi="Calibri" w:cs="Calibri"/>
          <w:color w:val="000000"/>
          <w:kern w:val="0"/>
          <w:lang w:val="es-ES" w:eastAsia="es-ES"/>
          <w14:ligatures w14:val="none"/>
        </w:rPr>
        <w:t>Button</w:t>
      </w:r>
      <w:proofErr w:type="spellEnd"/>
      <w:r w:rsidRPr="00F128A3">
        <w:rPr>
          <w:rFonts w:ascii="Calibri" w:eastAsia="Times New Roman" w:hAnsi="Calibri" w:cs="Calibri"/>
          <w:color w:val="000000"/>
          <w:kern w:val="0"/>
          <w:lang w:val="es-ES" w:eastAsia="es-ES"/>
          <w14:ligatures w14:val="none"/>
        </w:rPr>
        <w:t xml:space="preserve"> en la plataforma Moodle; para la elaboración de un diario reflexivo, de un mapa conceptual y de una reseña crítica de lectura; así como de una guía para elaborar el ensayo crítico final que se encuentran en la sección de actividades de la sesión correspondiente.</w:t>
      </w:r>
    </w:p>
    <w:p w14:paraId="7BB0C76E"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p>
    <w:p w14:paraId="47DFCE48"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F128A3">
        <w:rPr>
          <w:rFonts w:ascii="Calibri" w:eastAsia="Times New Roman" w:hAnsi="Calibri" w:cs="Calibri"/>
          <w:color w:val="000000"/>
          <w:kern w:val="0"/>
          <w:lang w:val="es-ES" w:eastAsia="es-ES"/>
          <w14:ligatures w14:val="none"/>
        </w:rPr>
        <w:t xml:space="preserve">e) También puede disponer de las bases de datos, revistas en línea, repositorios y buscadores </w:t>
      </w:r>
      <w:r w:rsidRPr="00F128A3">
        <w:rPr>
          <w:rFonts w:ascii="Calibri" w:eastAsia="Times New Roman" w:hAnsi="Calibri" w:cs="Calibri"/>
          <w:color w:val="000000"/>
          <w:kern w:val="0"/>
          <w:lang w:val="es-ES" w:eastAsia="es-ES"/>
          <w14:ligatures w14:val="none"/>
        </w:rPr>
        <w:lastRenderedPageBreak/>
        <w:t xml:space="preserve">especializados a los cuales puede acceder mediante la Biblioteca Enrique </w:t>
      </w:r>
      <w:proofErr w:type="spellStart"/>
      <w:r w:rsidRPr="00F128A3">
        <w:rPr>
          <w:rFonts w:ascii="Calibri" w:eastAsia="Times New Roman" w:hAnsi="Calibri" w:cs="Calibri"/>
          <w:color w:val="000000"/>
          <w:kern w:val="0"/>
          <w:lang w:val="es-ES" w:eastAsia="es-ES"/>
          <w14:ligatures w14:val="none"/>
        </w:rPr>
        <w:t>Strachan</w:t>
      </w:r>
      <w:proofErr w:type="spellEnd"/>
      <w:r w:rsidRPr="00F128A3">
        <w:rPr>
          <w:rFonts w:ascii="Calibri" w:eastAsia="Times New Roman" w:hAnsi="Calibri" w:cs="Calibri"/>
          <w:color w:val="000000"/>
          <w:kern w:val="0"/>
          <w:lang w:val="es-ES" w:eastAsia="es-ES"/>
          <w14:ligatures w14:val="none"/>
        </w:rPr>
        <w:t xml:space="preserve"> (</w:t>
      </w:r>
      <w:hyperlink r:id="rId563" w:history="1">
        <w:r w:rsidRPr="00F128A3">
          <w:rPr>
            <w:rFonts w:ascii="Calibri" w:eastAsia="Times New Roman" w:hAnsi="Calibri" w:cs="Calibri"/>
            <w:color w:val="0563C1"/>
            <w:kern w:val="0"/>
            <w:u w:val="single"/>
            <w:lang w:val="es-ES" w:eastAsia="es-ES"/>
            <w14:ligatures w14:val="none"/>
          </w:rPr>
          <w:t>https://www.ubl.ac.cr/biblioteca</w:t>
        </w:r>
      </w:hyperlink>
      <w:r w:rsidRPr="00F128A3">
        <w:rPr>
          <w:rFonts w:ascii="Calibri" w:eastAsia="Times New Roman" w:hAnsi="Calibri" w:cs="Calibri"/>
          <w:color w:val="000000"/>
          <w:kern w:val="0"/>
          <w:lang w:val="es-ES" w:eastAsia="es-ES"/>
          <w14:ligatures w14:val="none"/>
        </w:rPr>
        <w:t>), así como consultar el Portal de Revistas de la UBL (</w:t>
      </w:r>
      <w:hyperlink r:id="rId564" w:history="1">
        <w:r w:rsidRPr="00F128A3">
          <w:rPr>
            <w:rFonts w:ascii="Calibri" w:eastAsia="Times New Roman" w:hAnsi="Calibri" w:cs="Calibri"/>
            <w:color w:val="0563C1"/>
            <w:kern w:val="0"/>
            <w:u w:val="single"/>
            <w:lang w:val="es-ES" w:eastAsia="es-ES"/>
            <w14:ligatures w14:val="none"/>
          </w:rPr>
          <w:t>http://revistas.ubl.ac.cr/</w:t>
        </w:r>
      </w:hyperlink>
      <w:r w:rsidRPr="00F128A3">
        <w:rPr>
          <w:rFonts w:ascii="Calibri" w:eastAsia="Times New Roman" w:hAnsi="Calibri" w:cs="Calibri"/>
          <w:color w:val="000000"/>
          <w:kern w:val="0"/>
          <w:lang w:val="es-ES" w:eastAsia="es-ES"/>
          <w14:ligatures w14:val="none"/>
        </w:rPr>
        <w:t xml:space="preserve">). </w:t>
      </w:r>
      <w:r w:rsidRPr="00F128A3">
        <w:rPr>
          <w:rFonts w:ascii="Calibri" w:eastAsia="Times New Roman" w:hAnsi="Calibri" w:cs="Calibri"/>
          <w:color w:val="000000"/>
          <w:kern w:val="0"/>
          <w:szCs w:val="18"/>
          <w:lang w:val="es-ES" w:eastAsia="es-ES"/>
          <w14:ligatures w14:val="none"/>
        </w:rPr>
        <w:t>A través del correo de la biblioteca (</w:t>
      </w:r>
      <w:hyperlink r:id="rId565" w:history="1">
        <w:r w:rsidRPr="00F128A3">
          <w:rPr>
            <w:rFonts w:ascii="Calibri" w:eastAsia="Times New Roman" w:hAnsi="Calibri" w:cs="Calibri"/>
            <w:color w:val="0563C1"/>
            <w:kern w:val="0"/>
            <w:szCs w:val="18"/>
            <w:u w:val="single"/>
            <w:lang w:val="es-ES" w:eastAsia="es-ES"/>
            <w14:ligatures w14:val="none"/>
          </w:rPr>
          <w:t>biblioteca@ubl.ac.cr</w:t>
        </w:r>
      </w:hyperlink>
      <w:r w:rsidRPr="00F128A3">
        <w:rPr>
          <w:rFonts w:ascii="Calibri" w:eastAsia="Times New Roman" w:hAnsi="Calibri" w:cs="Calibri"/>
          <w:color w:val="000000"/>
          <w:kern w:val="0"/>
          <w:szCs w:val="18"/>
          <w:lang w:val="es-ES" w:eastAsia="es-ES"/>
          <w14:ligatures w14:val="none"/>
        </w:rPr>
        <w:t>) puede solicitar recursos que se encuentren en la colección física.</w:t>
      </w:r>
      <w:r w:rsidRPr="00F128A3">
        <w:rPr>
          <w:rFonts w:ascii="Calibri" w:eastAsia="Times New Roman" w:hAnsi="Calibri" w:cs="Calibri"/>
          <w:color w:val="000000"/>
          <w:kern w:val="0"/>
          <w:sz w:val="20"/>
          <w:szCs w:val="20"/>
          <w:lang w:val="es-ES" w:eastAsia="es-ES"/>
          <w14:ligatures w14:val="none"/>
        </w:rPr>
        <w:t xml:space="preserve"> </w:t>
      </w:r>
    </w:p>
    <w:p w14:paraId="6FF97BCA"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510EFA34" w14:textId="1C7811D5"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lang w:val="es-ES" w:eastAsia="es-ES"/>
          <w14:ligatures w14:val="none"/>
        </w:rPr>
      </w:pPr>
      <w:r w:rsidRPr="00F128A3">
        <w:rPr>
          <w:rFonts w:ascii="Calibri" w:eastAsia="Times New Roman" w:hAnsi="Calibri" w:cs="Calibri"/>
          <w:color w:val="000000"/>
          <w:kern w:val="0"/>
          <w:lang w:val="es-ES" w:eastAsia="es-ES"/>
          <w14:ligatures w14:val="none"/>
        </w:rPr>
        <w:t>f)</w:t>
      </w:r>
      <w:r w:rsidRPr="00F128A3">
        <w:rPr>
          <w:rFonts w:ascii="Calibri" w:eastAsia="Times New Roman" w:hAnsi="Calibri" w:cs="Calibri"/>
          <w:bCs/>
          <w:kern w:val="0"/>
          <w:lang w:val="es-ES_tradnl" w:eastAsia="es-CR"/>
          <w14:ligatures w14:val="none"/>
        </w:rPr>
        <w:t xml:space="preserve"> 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Times New Roman" w:hAnsi="Calibri" w:cs="Calibri"/>
          <w:bCs/>
          <w:kern w:val="0"/>
          <w:lang w:val="es-ES_tradnl" w:eastAsia="es-CR"/>
          <w14:ligatures w14:val="none"/>
        </w:rPr>
        <w:t>Bachillerato en Ciencias Bíblicas</w:t>
      </w:r>
      <w:r w:rsidRPr="00F128A3">
        <w:rPr>
          <w:rFonts w:ascii="Calibri" w:eastAsia="Times New Roman" w:hAnsi="Calibri" w:cs="Calibri"/>
          <w:bCs/>
          <w:kern w:val="0"/>
          <w:lang w:val="es-ES_tradnl" w:eastAsia="es-CR"/>
          <w14:ligatures w14:val="none"/>
        </w:rPr>
        <w:t xml:space="preserve">. Dicho espacio está disponible para todas las personas registradas en el campus virtual y se puede acceder a través del siguiente enlace: </w:t>
      </w:r>
      <w:hyperlink r:id="rId566" w:history="1">
        <w:r w:rsidRPr="00F128A3">
          <w:rPr>
            <w:rFonts w:ascii="Calibri" w:eastAsia="Times New Roman" w:hAnsi="Calibri" w:cs="Calibri"/>
            <w:bCs/>
            <w:color w:val="0563C1"/>
            <w:kern w:val="0"/>
            <w:u w:val="single"/>
            <w:lang w:val="es-ES_tradnl" w:eastAsia="es-CR"/>
            <w14:ligatures w14:val="none"/>
          </w:rPr>
          <w:t>https://campus.ubl.ac.cr/course/index.php?categoryid=186</w:t>
        </w:r>
      </w:hyperlink>
    </w:p>
    <w:p w14:paraId="46A1869D"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p>
    <w:p w14:paraId="3DB61A30" w14:textId="77777777" w:rsidR="00F128A3" w:rsidRPr="00F128A3" w:rsidRDefault="00F128A3" w:rsidP="00F128A3">
      <w:pPr>
        <w:widowControl w:val="0"/>
        <w:overflowPunct w:val="0"/>
        <w:autoSpaceDE w:val="0"/>
        <w:autoSpaceDN w:val="0"/>
        <w:adjustRightInd w:val="0"/>
        <w:spacing w:after="0" w:line="240" w:lineRule="auto"/>
        <w:jc w:val="both"/>
        <w:rPr>
          <w:rFonts w:ascii="Calibri" w:eastAsia="Times New Roman" w:hAnsi="Calibri" w:cs="Calibri"/>
          <w:color w:val="000000"/>
          <w:kern w:val="0"/>
          <w:sz w:val="20"/>
          <w:szCs w:val="20"/>
          <w:lang w:val="es-ES" w:eastAsia="es-ES"/>
          <w14:ligatures w14:val="none"/>
        </w:rPr>
      </w:pPr>
      <w:r w:rsidRPr="00F128A3">
        <w:rPr>
          <w:rFonts w:ascii="Calibri" w:eastAsia="Times New Roman"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0E178586"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lang w:val="es-ES"/>
          <w14:ligatures w14:val="none"/>
        </w:rPr>
      </w:pPr>
    </w:p>
    <w:p w14:paraId="376A103D"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14:ligatures w14:val="none"/>
        </w:rPr>
      </w:pPr>
    </w:p>
    <w:p w14:paraId="7AFDD497"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14:ligatures w14:val="none"/>
        </w:rPr>
      </w:pPr>
    </w:p>
    <w:p w14:paraId="76D19C4A"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14:ligatures w14:val="none"/>
        </w:rPr>
      </w:pPr>
    </w:p>
    <w:p w14:paraId="6265B166"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72539342"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0B4538D3"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79A1B537"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4BB1F285"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04B1B5C2"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309673FF"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16ECD109"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161C001E"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4B3D3B11"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070FCF8D"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0499F592"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216E8F00"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2970A5E1"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61986906" w14:textId="77777777" w:rsidR="00F128A3" w:rsidRDefault="00F128A3" w:rsidP="00F128A3">
      <w:pPr>
        <w:spacing w:after="200" w:line="276" w:lineRule="auto"/>
        <w:rPr>
          <w:rFonts w:ascii="Calibri" w:eastAsia="Calibri" w:hAnsi="Calibri" w:cs="Arial"/>
          <w:b/>
          <w:bCs/>
          <w:color w:val="000000"/>
          <w:kern w:val="0"/>
          <w14:ligatures w14:val="none"/>
        </w:rPr>
      </w:pPr>
    </w:p>
    <w:p w14:paraId="1808614F" w14:textId="77777777" w:rsidR="0050473C" w:rsidRPr="00F128A3" w:rsidRDefault="0050473C" w:rsidP="00F128A3">
      <w:pPr>
        <w:spacing w:after="200" w:line="276" w:lineRule="auto"/>
        <w:rPr>
          <w:rFonts w:ascii="Calibri" w:eastAsia="Calibri" w:hAnsi="Calibri" w:cs="Arial"/>
          <w:b/>
          <w:bCs/>
          <w:color w:val="000000"/>
          <w:kern w:val="0"/>
          <w14:ligatures w14:val="none"/>
        </w:rPr>
      </w:pPr>
    </w:p>
    <w:p w14:paraId="2F02058A"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7B9B4A5C" w14:textId="77777777" w:rsidR="00F128A3" w:rsidRPr="00F128A3" w:rsidRDefault="00F128A3" w:rsidP="00F128A3">
      <w:pPr>
        <w:spacing w:after="200" w:line="276" w:lineRule="auto"/>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lastRenderedPageBreak/>
        <w:t>VIII. Cronograma de trabajo</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2410"/>
        <w:gridCol w:w="2835"/>
        <w:gridCol w:w="3260"/>
      </w:tblGrid>
      <w:tr w:rsidR="00F128A3" w:rsidRPr="00F128A3" w14:paraId="712988F8" w14:textId="77777777" w:rsidTr="4C9C2619">
        <w:trPr>
          <w:trHeight w:val="475"/>
          <w:jc w:val="center"/>
        </w:trPr>
        <w:tc>
          <w:tcPr>
            <w:tcW w:w="1271" w:type="dxa"/>
            <w:vMerge w:val="restart"/>
            <w:vAlign w:val="center"/>
            <w:hideMark/>
          </w:tcPr>
          <w:p w14:paraId="0F80935A" w14:textId="77777777" w:rsidR="00F128A3" w:rsidRPr="00F128A3" w:rsidRDefault="00F128A3" w:rsidP="00F128A3">
            <w:pPr>
              <w:spacing w:after="0" w:line="240" w:lineRule="auto"/>
              <w:jc w:val="center"/>
              <w:rPr>
                <w:rFonts w:ascii="Calibri" w:eastAsia="Calibri" w:hAnsi="Calibri" w:cs="Arial"/>
                <w:b/>
                <w:color w:val="000000"/>
                <w:kern w:val="0"/>
                <w:sz w:val="24"/>
                <w:szCs w:val="24"/>
                <w14:ligatures w14:val="none"/>
              </w:rPr>
            </w:pPr>
            <w:r w:rsidRPr="00F128A3">
              <w:rPr>
                <w:rFonts w:ascii="Calibri" w:eastAsia="Calibri" w:hAnsi="Calibri" w:cs="Arial"/>
                <w:b/>
                <w:color w:val="000000"/>
                <w:kern w:val="0"/>
                <w:sz w:val="24"/>
                <w:szCs w:val="24"/>
                <w14:ligatures w14:val="none"/>
              </w:rPr>
              <w:t>Sesión</w:t>
            </w:r>
          </w:p>
          <w:p w14:paraId="52A194C6" w14:textId="77777777" w:rsidR="00F128A3" w:rsidRPr="00F128A3" w:rsidRDefault="00F128A3" w:rsidP="00F128A3">
            <w:pPr>
              <w:spacing w:after="0" w:line="240" w:lineRule="auto"/>
              <w:jc w:val="center"/>
              <w:rPr>
                <w:rFonts w:ascii="Calibri" w:eastAsia="Calibri" w:hAnsi="Calibri" w:cs="Arial"/>
                <w:b/>
                <w:color w:val="000000"/>
                <w:kern w:val="0"/>
                <w:sz w:val="24"/>
                <w:szCs w:val="24"/>
                <w14:ligatures w14:val="none"/>
              </w:rPr>
            </w:pPr>
            <w:r w:rsidRPr="00F128A3">
              <w:rPr>
                <w:rFonts w:ascii="Calibri" w:eastAsia="Calibri" w:hAnsi="Calibri" w:cs="Arial"/>
                <w:b/>
                <w:color w:val="000000"/>
                <w:kern w:val="0"/>
                <w:sz w:val="24"/>
                <w:szCs w:val="24"/>
                <w14:ligatures w14:val="none"/>
              </w:rPr>
              <w:t>(semana)</w:t>
            </w:r>
          </w:p>
        </w:tc>
        <w:tc>
          <w:tcPr>
            <w:tcW w:w="2410" w:type="dxa"/>
            <w:vMerge w:val="restart"/>
            <w:vAlign w:val="center"/>
            <w:hideMark/>
          </w:tcPr>
          <w:p w14:paraId="1BD548CC" w14:textId="77777777" w:rsidR="00F128A3" w:rsidRPr="00F128A3" w:rsidRDefault="00F128A3" w:rsidP="00F128A3">
            <w:pPr>
              <w:spacing w:after="0" w:line="240" w:lineRule="auto"/>
              <w:jc w:val="center"/>
              <w:rPr>
                <w:rFonts w:ascii="Calibri" w:eastAsia="Calibri" w:hAnsi="Calibri" w:cs="Arial"/>
                <w:b/>
                <w:kern w:val="0"/>
                <w:sz w:val="24"/>
                <w:szCs w:val="24"/>
                <w14:ligatures w14:val="none"/>
              </w:rPr>
            </w:pPr>
            <w:r w:rsidRPr="00F128A3">
              <w:rPr>
                <w:rFonts w:ascii="Calibri" w:eastAsia="Calibri" w:hAnsi="Calibri" w:cs="Arial"/>
                <w:b/>
                <w:kern w:val="0"/>
                <w:sz w:val="24"/>
                <w:szCs w:val="24"/>
                <w14:ligatures w14:val="none"/>
              </w:rPr>
              <w:t>Contenidos temáticos</w:t>
            </w:r>
          </w:p>
        </w:tc>
        <w:tc>
          <w:tcPr>
            <w:tcW w:w="6095" w:type="dxa"/>
            <w:gridSpan w:val="2"/>
            <w:vAlign w:val="center"/>
          </w:tcPr>
          <w:p w14:paraId="60567DEB" w14:textId="77777777" w:rsidR="00F128A3" w:rsidRPr="00F128A3" w:rsidRDefault="00F128A3" w:rsidP="00F128A3">
            <w:pPr>
              <w:spacing w:after="0" w:line="240" w:lineRule="auto"/>
              <w:jc w:val="center"/>
              <w:rPr>
                <w:rFonts w:ascii="Calibri" w:eastAsia="Calibri" w:hAnsi="Calibri" w:cs="Arial"/>
                <w:b/>
                <w:color w:val="000000"/>
                <w:kern w:val="0"/>
                <w:sz w:val="24"/>
                <w:szCs w:val="24"/>
                <w14:ligatures w14:val="none"/>
              </w:rPr>
            </w:pPr>
            <w:r w:rsidRPr="00F128A3">
              <w:rPr>
                <w:rFonts w:ascii="Calibri" w:eastAsia="Calibri" w:hAnsi="Calibri" w:cs="Arial"/>
                <w:b/>
                <w:color w:val="000000"/>
                <w:kern w:val="0"/>
                <w:sz w:val="24"/>
                <w:szCs w:val="24"/>
                <w14:ligatures w14:val="none"/>
              </w:rPr>
              <w:t>Actividades de enseñanza-aprendizaje</w:t>
            </w:r>
          </w:p>
        </w:tc>
      </w:tr>
      <w:tr w:rsidR="00F128A3" w:rsidRPr="00F128A3" w14:paraId="17338DC5" w14:textId="77777777" w:rsidTr="4C9C2619">
        <w:trPr>
          <w:trHeight w:val="411"/>
          <w:jc w:val="center"/>
        </w:trPr>
        <w:tc>
          <w:tcPr>
            <w:tcW w:w="1271" w:type="dxa"/>
            <w:vMerge/>
          </w:tcPr>
          <w:p w14:paraId="617881CF" w14:textId="77777777" w:rsidR="00F128A3" w:rsidRPr="00F128A3" w:rsidRDefault="00F128A3" w:rsidP="00F128A3">
            <w:pPr>
              <w:spacing w:after="0" w:line="240" w:lineRule="auto"/>
              <w:jc w:val="center"/>
              <w:rPr>
                <w:rFonts w:ascii="Calibri" w:eastAsia="Calibri" w:hAnsi="Calibri" w:cs="Arial"/>
                <w:b/>
                <w:color w:val="000000"/>
                <w:kern w:val="0"/>
                <w14:ligatures w14:val="none"/>
              </w:rPr>
            </w:pPr>
          </w:p>
        </w:tc>
        <w:tc>
          <w:tcPr>
            <w:tcW w:w="2410" w:type="dxa"/>
            <w:vMerge/>
            <w:vAlign w:val="center"/>
          </w:tcPr>
          <w:p w14:paraId="6718DBCE" w14:textId="77777777" w:rsidR="00F128A3" w:rsidRPr="00F128A3" w:rsidRDefault="00F128A3" w:rsidP="00F128A3">
            <w:pPr>
              <w:spacing w:after="0" w:line="240" w:lineRule="auto"/>
              <w:jc w:val="center"/>
              <w:rPr>
                <w:rFonts w:ascii="Calibri" w:eastAsia="Calibri" w:hAnsi="Calibri" w:cs="Arial"/>
                <w:b/>
                <w:kern w:val="0"/>
                <w14:ligatures w14:val="none"/>
              </w:rPr>
            </w:pPr>
          </w:p>
        </w:tc>
        <w:tc>
          <w:tcPr>
            <w:tcW w:w="2835" w:type="dxa"/>
            <w:vAlign w:val="center"/>
          </w:tcPr>
          <w:p w14:paraId="3FB56679" w14:textId="77777777" w:rsidR="00F128A3" w:rsidRPr="00F128A3" w:rsidRDefault="00F128A3" w:rsidP="00F128A3">
            <w:pPr>
              <w:spacing w:after="0" w:line="240" w:lineRule="auto"/>
              <w:jc w:val="center"/>
              <w:rPr>
                <w:rFonts w:ascii="Calibri" w:eastAsia="Calibri" w:hAnsi="Calibri" w:cs="Arial"/>
                <w:b/>
                <w:color w:val="000000"/>
                <w:kern w:val="0"/>
                <w:sz w:val="24"/>
                <w:szCs w:val="24"/>
                <w14:ligatures w14:val="none"/>
              </w:rPr>
            </w:pPr>
            <w:r w:rsidRPr="00F128A3">
              <w:rPr>
                <w:rFonts w:ascii="Calibri" w:eastAsia="Calibri" w:hAnsi="Calibri" w:cs="Arial"/>
                <w:b/>
                <w:color w:val="000000"/>
                <w:kern w:val="0"/>
                <w:sz w:val="24"/>
                <w:szCs w:val="24"/>
                <w14:ligatures w14:val="none"/>
              </w:rPr>
              <w:t>Recursos didácticos</w:t>
            </w:r>
          </w:p>
        </w:tc>
        <w:tc>
          <w:tcPr>
            <w:tcW w:w="3260" w:type="dxa"/>
            <w:vAlign w:val="center"/>
          </w:tcPr>
          <w:p w14:paraId="2D28F45E" w14:textId="77777777" w:rsidR="00F128A3" w:rsidRPr="00F128A3" w:rsidRDefault="00F128A3" w:rsidP="00F128A3">
            <w:pPr>
              <w:spacing w:after="0" w:line="240" w:lineRule="auto"/>
              <w:jc w:val="center"/>
              <w:rPr>
                <w:rFonts w:ascii="Calibri" w:eastAsia="Calibri" w:hAnsi="Calibri" w:cs="Arial"/>
                <w:b/>
                <w:color w:val="000000"/>
                <w:kern w:val="0"/>
                <w:sz w:val="24"/>
                <w:szCs w:val="24"/>
                <w14:ligatures w14:val="none"/>
              </w:rPr>
            </w:pPr>
            <w:r w:rsidRPr="00F128A3">
              <w:rPr>
                <w:rFonts w:ascii="Calibri" w:eastAsia="Calibri" w:hAnsi="Calibri" w:cs="Arial"/>
                <w:b/>
                <w:color w:val="000000"/>
                <w:kern w:val="0"/>
                <w:sz w:val="24"/>
                <w:szCs w:val="24"/>
                <w14:ligatures w14:val="none"/>
              </w:rPr>
              <w:t>Actividades de aprendizaje</w:t>
            </w:r>
          </w:p>
        </w:tc>
      </w:tr>
      <w:tr w:rsidR="00F128A3" w:rsidRPr="00F128A3" w14:paraId="20E7A836" w14:textId="77777777" w:rsidTr="4C9C2619">
        <w:trPr>
          <w:jc w:val="center"/>
        </w:trPr>
        <w:tc>
          <w:tcPr>
            <w:tcW w:w="1271" w:type="dxa"/>
            <w:hideMark/>
          </w:tcPr>
          <w:p w14:paraId="2FD28D51"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3B843298"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w:t>
            </w:r>
          </w:p>
          <w:p w14:paraId="5995C6B6"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61F5179F"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1: Conceptos generales</w:t>
            </w:r>
          </w:p>
          <w:p w14:paraId="129810FF"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1.1 Teologías contextuales y relectura bíblica: concepto general</w:t>
            </w:r>
          </w:p>
        </w:tc>
        <w:tc>
          <w:tcPr>
            <w:tcW w:w="2835" w:type="dxa"/>
          </w:tcPr>
          <w:p w14:paraId="6ED0BF21"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5941538A" w14:textId="77777777" w:rsidR="00F128A3" w:rsidRPr="00F128A3" w:rsidRDefault="00F128A3" w:rsidP="00F128A3">
            <w:pPr>
              <w:spacing w:after="200" w:line="240" w:lineRule="auto"/>
              <w:contextualSpacing/>
              <w:rPr>
                <w:rFonts w:ascii="Calibri" w:eastAsia="Calibri" w:hAnsi="Calibri" w:cs="Calibri"/>
                <w:kern w:val="0"/>
                <w:lang w:val="es-ES"/>
                <w14:ligatures w14:val="none"/>
              </w:rPr>
            </w:pPr>
          </w:p>
          <w:p w14:paraId="3A2ECD65"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proofErr w:type="spellStart"/>
            <w:r w:rsidRPr="00F128A3">
              <w:rPr>
                <w:rFonts w:ascii="Calibri" w:eastAsia="Calibri" w:hAnsi="Calibri" w:cs="Calibri"/>
                <w:kern w:val="0"/>
                <w:lang w:val="es-ES"/>
                <w14:ligatures w14:val="none"/>
              </w:rPr>
              <w:t>Balasundaram</w:t>
            </w:r>
            <w:proofErr w:type="spellEnd"/>
            <w:r w:rsidRPr="00F128A3">
              <w:rPr>
                <w:rFonts w:ascii="Calibri" w:eastAsia="Calibri" w:hAnsi="Calibri" w:cs="Calibri"/>
                <w:kern w:val="0"/>
                <w:lang w:val="es-ES"/>
                <w14:ligatures w14:val="none"/>
              </w:rPr>
              <w:t xml:space="preserve">, </w:t>
            </w:r>
            <w:proofErr w:type="spellStart"/>
            <w:r w:rsidRPr="00F128A3">
              <w:rPr>
                <w:rFonts w:ascii="Calibri" w:eastAsia="Calibri" w:hAnsi="Calibri" w:cs="Calibri"/>
                <w:kern w:val="0"/>
                <w:lang w:val="es-ES"/>
                <w14:ligatures w14:val="none"/>
              </w:rPr>
              <w:t>Franklyn</w:t>
            </w:r>
            <w:proofErr w:type="spellEnd"/>
            <w:r w:rsidRPr="00F128A3">
              <w:rPr>
                <w:rFonts w:ascii="Calibri" w:eastAsia="Calibri" w:hAnsi="Calibri" w:cs="Calibri"/>
                <w:kern w:val="0"/>
                <w:lang w:val="es-ES"/>
                <w14:ligatures w14:val="none"/>
              </w:rPr>
              <w:t xml:space="preserve"> J.  “La teología del obispo Julio Xavier Labayen, O.C.D.”. En </w:t>
            </w:r>
            <w:r w:rsidRPr="00F128A3">
              <w:rPr>
                <w:rFonts w:ascii="Calibri" w:eastAsia="Calibri" w:hAnsi="Calibri" w:cs="Calibri"/>
                <w:i/>
                <w:kern w:val="0"/>
                <w:lang w:val="es-ES"/>
                <w14:ligatures w14:val="none"/>
              </w:rPr>
              <w:t xml:space="preserve">Teología cristiana asiática contemporánea, </w:t>
            </w:r>
            <w:r w:rsidRPr="00F128A3">
              <w:rPr>
                <w:rFonts w:ascii="Calibri" w:eastAsia="Calibri" w:hAnsi="Calibri" w:cs="Calibri"/>
                <w:kern w:val="0"/>
                <w:lang w:val="es-ES"/>
                <w14:ligatures w14:val="none"/>
              </w:rPr>
              <w:t xml:space="preserve">121-142. Estella: Editorial Verbo Divino, 1999. </w:t>
            </w:r>
            <w:r w:rsidRPr="00F128A3">
              <w:rPr>
                <w:rFonts w:ascii="Calibri" w:eastAsia="Calibri" w:hAnsi="Calibri" w:cs="Calibri"/>
                <w:color w:val="0070C0"/>
                <w:kern w:val="0"/>
                <w:lang w:val="es-ES"/>
                <w14:ligatures w14:val="none"/>
              </w:rPr>
              <w:t>(clásico, última edición)</w:t>
            </w:r>
          </w:p>
          <w:p w14:paraId="308A63A0" w14:textId="77777777" w:rsidR="00F128A3" w:rsidRPr="00F128A3" w:rsidRDefault="00F128A3" w:rsidP="00F128A3">
            <w:pPr>
              <w:spacing w:after="200" w:line="240" w:lineRule="auto"/>
              <w:contextualSpacing/>
              <w:rPr>
                <w:rFonts w:ascii="Calibri" w:eastAsia="Calibri" w:hAnsi="Calibri" w:cs="Calibri"/>
                <w:kern w:val="0"/>
                <w:lang w:val="es-ES"/>
                <w14:ligatures w14:val="none"/>
              </w:rPr>
            </w:pPr>
          </w:p>
          <w:p w14:paraId="481CB2FD"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Mana, </w:t>
            </w:r>
            <w:proofErr w:type="spellStart"/>
            <w:r w:rsidRPr="00F128A3">
              <w:rPr>
                <w:rFonts w:ascii="Calibri" w:eastAsia="Calibri" w:hAnsi="Calibri" w:cs="Calibri"/>
                <w:kern w:val="0"/>
                <w:lang w:val="es-ES"/>
                <w14:ligatures w14:val="none"/>
              </w:rPr>
              <w:t>Kä</w:t>
            </w:r>
            <w:proofErr w:type="spellEnd"/>
            <w:r w:rsidRPr="00F128A3">
              <w:rPr>
                <w:rFonts w:ascii="Calibri" w:eastAsia="Calibri" w:hAnsi="Calibri" w:cs="Calibri"/>
                <w:kern w:val="0"/>
                <w:lang w:val="es-ES"/>
                <w14:ligatures w14:val="none"/>
              </w:rPr>
              <w:t xml:space="preserve">. “Las Iglesias africanas frente a las actuales mutaciones del Continente”. En </w:t>
            </w:r>
            <w:r w:rsidRPr="00F128A3">
              <w:rPr>
                <w:rFonts w:ascii="Calibri" w:eastAsia="Calibri" w:hAnsi="Calibri" w:cs="Calibri"/>
                <w:i/>
                <w:kern w:val="0"/>
                <w:lang w:val="es-ES"/>
                <w14:ligatures w14:val="none"/>
              </w:rPr>
              <w:t xml:space="preserve">Teología africana para tiempos de crisis: cristianismo y reconstrucción de África. </w:t>
            </w:r>
            <w:r w:rsidRPr="00F128A3">
              <w:rPr>
                <w:rFonts w:ascii="Calibri" w:eastAsia="Calibri" w:hAnsi="Calibri" w:cs="Calibri"/>
                <w:kern w:val="0"/>
                <w:lang w:val="es-ES"/>
                <w14:ligatures w14:val="none"/>
              </w:rPr>
              <w:t xml:space="preserve">Traducción de Miguel Montes, 97-122. Estella: Verbo Divino, 2000. </w:t>
            </w:r>
            <w:r w:rsidRPr="00F128A3">
              <w:rPr>
                <w:rFonts w:ascii="Calibri" w:eastAsia="Calibri" w:hAnsi="Calibri" w:cs="Calibri"/>
                <w:color w:val="0070C0"/>
                <w:kern w:val="0"/>
                <w:lang w:val="es-ES"/>
                <w14:ligatures w14:val="none"/>
              </w:rPr>
              <w:t>(clásico, última edición)</w:t>
            </w:r>
          </w:p>
          <w:p w14:paraId="100B60CA" w14:textId="77777777" w:rsidR="00F128A3" w:rsidRPr="00F128A3" w:rsidRDefault="00F128A3" w:rsidP="00F128A3">
            <w:pPr>
              <w:spacing w:after="200" w:line="240" w:lineRule="auto"/>
              <w:contextualSpacing/>
              <w:rPr>
                <w:rFonts w:ascii="Calibri" w:eastAsia="Calibri" w:hAnsi="Calibri" w:cs="Arial"/>
                <w:color w:val="000000"/>
                <w:kern w:val="0"/>
                <w:lang w:eastAsia="es-ES"/>
                <w14:ligatures w14:val="none"/>
              </w:rPr>
            </w:pPr>
          </w:p>
          <w:p w14:paraId="1F8CE6CC" w14:textId="77777777" w:rsidR="00F128A3" w:rsidRPr="00F128A3" w:rsidRDefault="00F128A3" w:rsidP="00F128A3">
            <w:pPr>
              <w:spacing w:after="200" w:line="240" w:lineRule="auto"/>
              <w:contextualSpacing/>
              <w:rPr>
                <w:rFonts w:ascii="Calibri" w:eastAsia="Calibri" w:hAnsi="Calibri" w:cs="Arial"/>
                <w:b/>
                <w:color w:val="000000"/>
                <w:kern w:val="0"/>
                <w:lang w:val="es-ES" w:eastAsia="es-ES"/>
                <w14:ligatures w14:val="none"/>
              </w:rPr>
            </w:pPr>
          </w:p>
          <w:p w14:paraId="7B7EE989" w14:textId="77777777" w:rsidR="00F128A3" w:rsidRPr="00F128A3" w:rsidRDefault="00F128A3" w:rsidP="00F128A3">
            <w:pPr>
              <w:spacing w:after="200" w:line="240" w:lineRule="auto"/>
              <w:contextualSpacing/>
              <w:rPr>
                <w:rFonts w:ascii="Calibri" w:eastAsia="Calibri" w:hAnsi="Calibri" w:cs="Arial"/>
                <w:b/>
                <w:color w:val="000000"/>
                <w:kern w:val="0"/>
                <w:lang w:val="es-ES" w:eastAsia="es-ES"/>
                <w14:ligatures w14:val="none"/>
              </w:rPr>
            </w:pPr>
            <w:r w:rsidRPr="00F128A3">
              <w:rPr>
                <w:rFonts w:ascii="Calibri" w:eastAsia="Calibri" w:hAnsi="Calibri" w:cs="Arial"/>
                <w:b/>
                <w:color w:val="000000"/>
                <w:kern w:val="0"/>
                <w:lang w:val="es-ES" w:eastAsia="es-ES"/>
                <w14:ligatures w14:val="none"/>
              </w:rPr>
              <w:t>Material complementario</w:t>
            </w:r>
          </w:p>
          <w:p w14:paraId="4ED22D45" w14:textId="77777777" w:rsidR="00F128A3" w:rsidRPr="00F128A3" w:rsidRDefault="00F128A3" w:rsidP="00F128A3">
            <w:pPr>
              <w:spacing w:after="200" w:line="240" w:lineRule="auto"/>
              <w:contextualSpacing/>
              <w:rPr>
                <w:rFonts w:ascii="Calibri" w:eastAsia="Calibri" w:hAnsi="Calibri" w:cs="Arial"/>
                <w:b/>
                <w:color w:val="000000"/>
                <w:kern w:val="0"/>
                <w:lang w:val="es-ES" w:eastAsia="es-ES"/>
                <w14:ligatures w14:val="none"/>
              </w:rPr>
            </w:pPr>
          </w:p>
          <w:p w14:paraId="701F9DAF" w14:textId="77777777" w:rsidR="00F128A3" w:rsidRPr="00F128A3" w:rsidRDefault="00F128A3" w:rsidP="00F128A3">
            <w:pPr>
              <w:spacing w:after="200" w:line="240" w:lineRule="auto"/>
              <w:contextualSpacing/>
              <w:rPr>
                <w:rFonts w:ascii="Calibri" w:eastAsia="Calibri" w:hAnsi="Calibri" w:cs="Calibri"/>
                <w:color w:val="0563C1"/>
                <w:kern w:val="0"/>
                <w:u w:val="single"/>
                <w:lang w:val="es-419" w:eastAsia="es-CR"/>
                <w14:ligatures w14:val="none"/>
              </w:rPr>
            </w:pPr>
            <w:r w:rsidRPr="00F128A3">
              <w:rPr>
                <w:rFonts w:ascii="Calibri" w:eastAsia="Calibri" w:hAnsi="Calibri" w:cs="Calibri"/>
                <w:kern w:val="0"/>
                <w:lang w:val="pt-BR" w:eastAsia="es-CR"/>
                <w14:ligatures w14:val="none"/>
              </w:rPr>
              <w:t xml:space="preserve">Costadoat, Jorge. “La </w:t>
            </w:r>
            <w:r w:rsidRPr="00F128A3">
              <w:rPr>
                <w:rFonts w:ascii="Calibri" w:eastAsia="Calibri" w:hAnsi="Calibri" w:cs="Calibri"/>
                <w:kern w:val="0"/>
                <w:lang w:val="es-419" w:eastAsia="es-CR"/>
                <w14:ligatures w14:val="none"/>
              </w:rPr>
              <w:t>hermenéutica</w:t>
            </w:r>
            <w:r w:rsidRPr="00F128A3">
              <w:rPr>
                <w:rFonts w:ascii="Calibri" w:eastAsia="Calibri" w:hAnsi="Calibri" w:cs="Calibri"/>
                <w:kern w:val="0"/>
                <w:lang w:val="pt-BR" w:eastAsia="es-CR"/>
                <w14:ligatures w14:val="none"/>
              </w:rPr>
              <w:t xml:space="preserve"> </w:t>
            </w:r>
            <w:r w:rsidRPr="00F128A3">
              <w:rPr>
                <w:rFonts w:ascii="Calibri" w:eastAsia="Calibri" w:hAnsi="Calibri" w:cs="Calibri"/>
                <w:kern w:val="0"/>
                <w:lang w:val="es-419" w:eastAsia="es-CR"/>
                <w14:ligatures w14:val="none"/>
              </w:rPr>
              <w:t xml:space="preserve">en las teologías contextuales de la liberación”. </w:t>
            </w:r>
            <w:r w:rsidRPr="00F128A3">
              <w:rPr>
                <w:rFonts w:ascii="Calibri" w:eastAsia="Calibri" w:hAnsi="Calibri" w:cs="Calibri"/>
                <w:i/>
                <w:kern w:val="0"/>
                <w:lang w:val="es-419" w:eastAsia="es-CR"/>
                <w14:ligatures w14:val="none"/>
              </w:rPr>
              <w:t xml:space="preserve">Teología y Vida </w:t>
            </w:r>
            <w:r w:rsidRPr="00F128A3">
              <w:rPr>
                <w:rFonts w:ascii="Calibri" w:eastAsia="Calibri" w:hAnsi="Calibri" w:cs="Calibri"/>
                <w:kern w:val="0"/>
                <w:lang w:val="es-419" w:eastAsia="es-CR"/>
                <w14:ligatures w14:val="none"/>
              </w:rPr>
              <w:t>46, n. 1-2 (2005): 56-74. Acceso el 18 de diciembre de 2020.</w:t>
            </w:r>
            <w:r w:rsidRPr="00F128A3">
              <w:rPr>
                <w:rFonts w:ascii="Times New Roman" w:eastAsia="Calibri" w:hAnsi="Times New Roman" w:cs="Calibri"/>
                <w:color w:val="00B050"/>
                <w:kern w:val="0"/>
                <w:lang w:val="es-419" w:eastAsia="es-CR"/>
                <w14:ligatures w14:val="none"/>
              </w:rPr>
              <w:t xml:space="preserve"> </w:t>
            </w:r>
            <w:hyperlink r:id="rId567" w:history="1">
              <w:r w:rsidRPr="00F128A3">
                <w:rPr>
                  <w:rFonts w:ascii="Calibri" w:eastAsia="Calibri" w:hAnsi="Calibri" w:cs="Calibri"/>
                  <w:color w:val="0563C1"/>
                  <w:kern w:val="0"/>
                  <w:u w:val="single"/>
                  <w:lang w:val="es-419" w:eastAsia="es-CR"/>
                  <w14:ligatures w14:val="none"/>
                </w:rPr>
                <w:t>http://dx.doi.org/10.4067/S0049-34492005000100003</w:t>
              </w:r>
            </w:hyperlink>
          </w:p>
          <w:p w14:paraId="07F138D1" w14:textId="77777777" w:rsidR="00F128A3" w:rsidRPr="00F128A3" w:rsidRDefault="00F128A3" w:rsidP="00F128A3">
            <w:pPr>
              <w:spacing w:after="200" w:line="240" w:lineRule="auto"/>
              <w:contextualSpacing/>
              <w:rPr>
                <w:rFonts w:ascii="Calibri" w:eastAsia="Calibri" w:hAnsi="Calibri" w:cs="Arial"/>
                <w:color w:val="000000"/>
                <w:kern w:val="0"/>
                <w:lang w:val="es-ES" w:eastAsia="es-ES"/>
                <w14:ligatures w14:val="none"/>
              </w:rPr>
            </w:pPr>
          </w:p>
          <w:p w14:paraId="4C1D4F51" w14:textId="77777777" w:rsidR="00F128A3" w:rsidRPr="00F128A3" w:rsidRDefault="00F128A3" w:rsidP="00F128A3">
            <w:pPr>
              <w:spacing w:after="200" w:line="240" w:lineRule="auto"/>
              <w:contextualSpacing/>
              <w:rPr>
                <w:rFonts w:ascii="Calibri" w:eastAsia="Calibri" w:hAnsi="Calibri" w:cs="Arial"/>
                <w:color w:val="0070C0"/>
                <w:kern w:val="0"/>
                <w:lang w:val="es-ES" w:eastAsia="es-ES"/>
                <w14:ligatures w14:val="none"/>
              </w:rPr>
            </w:pPr>
            <w:r w:rsidRPr="00F128A3">
              <w:rPr>
                <w:rFonts w:ascii="Calibri" w:eastAsia="Calibri" w:hAnsi="Calibri" w:cs="Arial"/>
                <w:color w:val="0070C0"/>
                <w:kern w:val="0"/>
                <w:lang w:val="es-ES" w:eastAsia="es-ES"/>
                <w14:ligatures w14:val="none"/>
              </w:rPr>
              <w:t xml:space="preserve">Guía para la participación mediante la herramienta Big Blue </w:t>
            </w:r>
            <w:proofErr w:type="spellStart"/>
            <w:r w:rsidRPr="00F128A3">
              <w:rPr>
                <w:rFonts w:ascii="Calibri" w:eastAsia="Calibri" w:hAnsi="Calibri" w:cs="Arial"/>
                <w:color w:val="0070C0"/>
                <w:kern w:val="0"/>
                <w:lang w:val="es-ES" w:eastAsia="es-ES"/>
                <w14:ligatures w14:val="none"/>
              </w:rPr>
              <w:t>Button</w:t>
            </w:r>
            <w:proofErr w:type="spellEnd"/>
            <w:r w:rsidRPr="00F128A3">
              <w:rPr>
                <w:rFonts w:ascii="Calibri" w:eastAsia="Calibri" w:hAnsi="Calibri" w:cs="Arial"/>
                <w:color w:val="0070C0"/>
                <w:kern w:val="0"/>
                <w:lang w:val="es-ES" w:eastAsia="es-ES"/>
                <w14:ligatures w14:val="none"/>
              </w:rPr>
              <w:t xml:space="preserve"> en la plataforma Moodle</w:t>
            </w:r>
          </w:p>
          <w:p w14:paraId="1B78A268" w14:textId="77777777" w:rsidR="00F128A3" w:rsidRPr="00F128A3" w:rsidRDefault="00F128A3" w:rsidP="00F128A3">
            <w:pPr>
              <w:spacing w:after="200" w:line="240" w:lineRule="auto"/>
              <w:contextualSpacing/>
              <w:rPr>
                <w:rFonts w:ascii="Calibri" w:eastAsia="Calibri" w:hAnsi="Calibri" w:cs="Arial"/>
                <w:color w:val="0070C0"/>
                <w:kern w:val="0"/>
                <w:lang w:val="es-ES" w:eastAsia="es-ES"/>
                <w14:ligatures w14:val="none"/>
              </w:rPr>
            </w:pPr>
          </w:p>
          <w:p w14:paraId="7DFB2A4C" w14:textId="77777777" w:rsidR="00F128A3" w:rsidRPr="00F128A3" w:rsidRDefault="00F128A3" w:rsidP="00F128A3">
            <w:pPr>
              <w:spacing w:after="200" w:line="240" w:lineRule="auto"/>
              <w:contextualSpacing/>
              <w:rPr>
                <w:rFonts w:ascii="Calibri" w:eastAsia="Calibri" w:hAnsi="Calibri" w:cs="Arial"/>
                <w:color w:val="0070C0"/>
                <w:kern w:val="0"/>
                <w:lang w:val="es-ES" w:eastAsia="es-ES"/>
                <w14:ligatures w14:val="none"/>
              </w:rPr>
            </w:pPr>
            <w:r w:rsidRPr="00F128A3">
              <w:rPr>
                <w:rFonts w:ascii="Calibri" w:eastAsia="Calibri" w:hAnsi="Calibri" w:cs="Arial"/>
                <w:color w:val="0070C0"/>
                <w:kern w:val="0"/>
                <w:lang w:val="es-ES" w:eastAsia="es-ES"/>
                <w14:ligatures w14:val="none"/>
              </w:rPr>
              <w:lastRenderedPageBreak/>
              <w:t>Guía para la participación en un foro en la plataforma Moodle</w:t>
            </w:r>
          </w:p>
        </w:tc>
        <w:tc>
          <w:tcPr>
            <w:tcW w:w="3260" w:type="dxa"/>
          </w:tcPr>
          <w:p w14:paraId="2792A07E" w14:textId="77777777" w:rsidR="00F128A3" w:rsidRPr="00F128A3" w:rsidRDefault="00F128A3" w:rsidP="00F128A3">
            <w:pPr>
              <w:widowControl w:val="0"/>
              <w:numPr>
                <w:ilvl w:val="0"/>
                <w:numId w:val="17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lastRenderedPageBreak/>
              <w:t xml:space="preserve">Participación en el foro social CAFETERÍA. </w:t>
            </w:r>
          </w:p>
          <w:p w14:paraId="3F23D76B" w14:textId="77777777" w:rsidR="00F128A3" w:rsidRPr="00F128A3" w:rsidRDefault="00F128A3" w:rsidP="00F128A3">
            <w:pPr>
              <w:widowControl w:val="0"/>
              <w:numPr>
                <w:ilvl w:val="0"/>
                <w:numId w:val="17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Participación en el foro de dudas.</w:t>
            </w:r>
          </w:p>
          <w:p w14:paraId="5D0BEEF3" w14:textId="77777777" w:rsidR="00F128A3" w:rsidRPr="00F128A3" w:rsidRDefault="00F128A3" w:rsidP="00F128A3">
            <w:pPr>
              <w:widowControl w:val="0"/>
              <w:numPr>
                <w:ilvl w:val="0"/>
                <w:numId w:val="17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Presentación del sílabo y aporte docente: Hermenéuticas de liberación en un encuentro sincrónico virtual (formativo). </w:t>
            </w:r>
          </w:p>
          <w:p w14:paraId="2DDABA45" w14:textId="77777777" w:rsidR="00F128A3" w:rsidRPr="00F128A3" w:rsidRDefault="00F128A3" w:rsidP="00F128A3">
            <w:pPr>
              <w:widowControl w:val="0"/>
              <w:numPr>
                <w:ilvl w:val="0"/>
                <w:numId w:val="17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Participación en el foro temático grupal: Debate orientado con lectura de textos. </w:t>
            </w:r>
          </w:p>
          <w:p w14:paraId="3B28A250" w14:textId="77777777" w:rsidR="00F128A3" w:rsidRPr="00F128A3" w:rsidRDefault="00F128A3" w:rsidP="00F128A3">
            <w:pPr>
              <w:spacing w:after="200" w:line="276" w:lineRule="auto"/>
              <w:ind w:left="377"/>
              <w:contextualSpacing/>
              <w:rPr>
                <w:rFonts w:ascii="Calibri" w:eastAsia="Calibri" w:hAnsi="Calibri" w:cs="Arial"/>
                <w:color w:val="000000"/>
                <w:kern w:val="0"/>
                <w:lang w:val="es-ES" w:eastAsia="es-ES"/>
                <w14:ligatures w14:val="none"/>
              </w:rPr>
            </w:pPr>
          </w:p>
        </w:tc>
      </w:tr>
      <w:tr w:rsidR="00F128A3" w:rsidRPr="00F128A3" w14:paraId="0D1339EB" w14:textId="77777777" w:rsidTr="4C9C2619">
        <w:trPr>
          <w:jc w:val="center"/>
        </w:trPr>
        <w:tc>
          <w:tcPr>
            <w:tcW w:w="1271" w:type="dxa"/>
            <w:hideMark/>
          </w:tcPr>
          <w:p w14:paraId="722CEE97"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40CA01E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2</w:t>
            </w:r>
          </w:p>
          <w:p w14:paraId="20B8D0AB"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6D29F55A"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1: Conceptos generales</w:t>
            </w:r>
          </w:p>
          <w:p w14:paraId="7DB6779A"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1.2 Los sujetos: El otro y la otredad</w:t>
            </w:r>
          </w:p>
        </w:tc>
        <w:tc>
          <w:tcPr>
            <w:tcW w:w="2835" w:type="dxa"/>
          </w:tcPr>
          <w:p w14:paraId="5C173D2A"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02925598" w14:textId="77777777" w:rsidR="00F128A3" w:rsidRPr="00F128A3" w:rsidRDefault="00F128A3" w:rsidP="00F128A3">
            <w:pPr>
              <w:spacing w:after="0" w:line="240" w:lineRule="auto"/>
              <w:rPr>
                <w:rFonts w:ascii="Calibri" w:eastAsia="Calibri" w:hAnsi="Calibri" w:cs="Calibri"/>
                <w:kern w:val="0"/>
                <w:lang w:val="es-ES"/>
                <w14:ligatures w14:val="none"/>
              </w:rPr>
            </w:pPr>
          </w:p>
          <w:p w14:paraId="42EA59D2"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proofErr w:type="spellStart"/>
            <w:r w:rsidRPr="00F128A3">
              <w:rPr>
                <w:rFonts w:ascii="Calibri" w:eastAsia="Calibri" w:hAnsi="Calibri" w:cs="Calibri"/>
                <w:kern w:val="0"/>
                <w:lang w:val="es-ES"/>
                <w14:ligatures w14:val="none"/>
              </w:rPr>
              <w:t>Schüssler</w:t>
            </w:r>
            <w:proofErr w:type="spellEnd"/>
            <w:r w:rsidRPr="00F128A3">
              <w:rPr>
                <w:rFonts w:ascii="Calibri" w:eastAsia="Calibri" w:hAnsi="Calibri" w:cs="Calibri"/>
                <w:kern w:val="0"/>
                <w:lang w:val="es-ES"/>
                <w14:ligatures w14:val="none"/>
              </w:rPr>
              <w:t xml:space="preserve"> </w:t>
            </w:r>
            <w:proofErr w:type="spellStart"/>
            <w:r w:rsidRPr="00F128A3">
              <w:rPr>
                <w:rFonts w:ascii="Calibri" w:eastAsia="Calibri" w:hAnsi="Calibri" w:cs="Calibri"/>
                <w:kern w:val="0"/>
                <w:lang w:val="es-ES"/>
                <w14:ligatures w14:val="none"/>
              </w:rPr>
              <w:t>Fiorenza</w:t>
            </w:r>
            <w:proofErr w:type="spellEnd"/>
            <w:r w:rsidRPr="00F128A3">
              <w:rPr>
                <w:rFonts w:ascii="Calibri" w:eastAsia="Calibri" w:hAnsi="Calibri" w:cs="Calibri"/>
                <w:kern w:val="0"/>
                <w:lang w:val="es-ES"/>
                <w14:ligatures w14:val="none"/>
              </w:rPr>
              <w:t xml:space="preserve">, Elizabeth. “Género, Religión y Poder </w:t>
            </w:r>
            <w:proofErr w:type="spellStart"/>
            <w:r w:rsidRPr="00F128A3">
              <w:rPr>
                <w:rFonts w:ascii="Calibri" w:eastAsia="Calibri" w:hAnsi="Calibri" w:cs="Calibri"/>
                <w:kern w:val="0"/>
                <w:lang w:val="es-ES"/>
                <w14:ligatures w14:val="none"/>
              </w:rPr>
              <w:t>Kyriarcal</w:t>
            </w:r>
            <w:proofErr w:type="spellEnd"/>
            <w:r w:rsidRPr="00F128A3">
              <w:rPr>
                <w:rFonts w:ascii="Calibri" w:eastAsia="Calibri" w:hAnsi="Calibri" w:cs="Calibri"/>
                <w:kern w:val="0"/>
                <w:lang w:val="es-ES"/>
                <w14:ligatures w14:val="none"/>
              </w:rPr>
              <w:t xml:space="preserve">”. En </w:t>
            </w:r>
            <w:r w:rsidRPr="00F128A3">
              <w:rPr>
                <w:rFonts w:ascii="Calibri" w:eastAsia="Calibri" w:hAnsi="Calibri" w:cs="Calibri"/>
                <w:i/>
                <w:kern w:val="0"/>
                <w:lang w:val="es-ES"/>
                <w14:ligatures w14:val="none"/>
              </w:rPr>
              <w:t xml:space="preserve">Poder, Diversidad y Religión, </w:t>
            </w:r>
            <w:r w:rsidRPr="00F128A3">
              <w:rPr>
                <w:rFonts w:ascii="Calibri" w:eastAsia="Calibri" w:hAnsi="Calibri" w:cs="Calibri"/>
                <w:kern w:val="0"/>
                <w:lang w:val="es-ES"/>
                <w14:ligatures w14:val="none"/>
              </w:rPr>
              <w:t>35-74.</w:t>
            </w:r>
            <w:r w:rsidRPr="00F128A3">
              <w:rPr>
                <w:rFonts w:ascii="Calibri" w:eastAsia="Calibri" w:hAnsi="Calibri" w:cs="Calibri"/>
                <w:i/>
                <w:kern w:val="0"/>
                <w:lang w:val="es-ES"/>
                <w14:ligatures w14:val="none"/>
              </w:rPr>
              <w:t xml:space="preserve"> </w:t>
            </w:r>
            <w:r w:rsidRPr="00F128A3">
              <w:rPr>
                <w:rFonts w:ascii="Calibri" w:eastAsia="Calibri" w:hAnsi="Calibri" w:cs="Calibri"/>
                <w:kern w:val="0"/>
                <w:lang w:val="es-ES"/>
                <w14:ligatures w14:val="none"/>
              </w:rPr>
              <w:t xml:space="preserve">San José: SEBILA, 2012.  </w:t>
            </w:r>
            <w:r w:rsidRPr="00F128A3">
              <w:rPr>
                <w:rFonts w:ascii="Calibri" w:eastAsia="Calibri" w:hAnsi="Calibri" w:cs="Calibri"/>
                <w:color w:val="0070C0"/>
                <w:kern w:val="0"/>
                <w:lang w:val="es-ES"/>
                <w14:ligatures w14:val="none"/>
              </w:rPr>
              <w:t>(clásico, última edición)</w:t>
            </w:r>
          </w:p>
          <w:p w14:paraId="3384B093" w14:textId="77777777" w:rsidR="00F128A3" w:rsidRPr="00F128A3" w:rsidRDefault="00F128A3" w:rsidP="00F128A3">
            <w:pPr>
              <w:spacing w:after="0" w:line="240" w:lineRule="auto"/>
              <w:rPr>
                <w:rFonts w:ascii="Calibri" w:eastAsia="Calibri" w:hAnsi="Calibri" w:cs="Calibri"/>
                <w:kern w:val="0"/>
                <w:lang w:val="es-ES"/>
                <w14:ligatures w14:val="none"/>
              </w:rPr>
            </w:pPr>
          </w:p>
          <w:p w14:paraId="0476B55F" w14:textId="77777777" w:rsidR="00F128A3" w:rsidRPr="00F128A3" w:rsidRDefault="00F128A3" w:rsidP="00F128A3">
            <w:pPr>
              <w:spacing w:after="0" w:line="240" w:lineRule="auto"/>
              <w:rPr>
                <w:rFonts w:ascii="Calibri" w:eastAsia="Calibri" w:hAnsi="Calibri" w:cs="Calibri"/>
                <w:kern w:val="0"/>
                <w:lang w:val="es-ES"/>
                <w14:ligatures w14:val="none"/>
              </w:rPr>
            </w:pPr>
          </w:p>
          <w:p w14:paraId="5918B94E"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2489BD3B"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532D3662"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una reseña crítica de lectura</w:t>
            </w:r>
          </w:p>
          <w:p w14:paraId="088C1F0D"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028FFA36"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 xml:space="preserve">Guía para la participación mediante la herramienta Big Blue </w:t>
            </w:r>
            <w:proofErr w:type="spellStart"/>
            <w:r w:rsidRPr="00F128A3">
              <w:rPr>
                <w:rFonts w:ascii="Calibri" w:eastAsia="Calibri" w:hAnsi="Calibri" w:cs="Calibri"/>
                <w:bCs/>
                <w:color w:val="0070C0"/>
                <w:kern w:val="0"/>
                <w:lang w:val="es-ES"/>
                <w14:ligatures w14:val="none"/>
              </w:rPr>
              <w:t>Button</w:t>
            </w:r>
            <w:proofErr w:type="spellEnd"/>
            <w:r w:rsidRPr="00F128A3">
              <w:rPr>
                <w:rFonts w:ascii="Calibri" w:eastAsia="Calibri" w:hAnsi="Calibri" w:cs="Calibri"/>
                <w:bCs/>
                <w:color w:val="0070C0"/>
                <w:kern w:val="0"/>
                <w:lang w:val="es-ES"/>
                <w14:ligatures w14:val="none"/>
              </w:rPr>
              <w:t xml:space="preserve"> en la plataforma Moodle</w:t>
            </w:r>
          </w:p>
          <w:p w14:paraId="687E9DD7"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5C7A3219"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p w14:paraId="56E0D6A0" w14:textId="77777777" w:rsidR="00F128A3" w:rsidRPr="00F128A3" w:rsidRDefault="00F128A3" w:rsidP="00F128A3">
            <w:pPr>
              <w:spacing w:after="0" w:line="240" w:lineRule="auto"/>
              <w:rPr>
                <w:rFonts w:ascii="Calibri" w:eastAsia="Calibri" w:hAnsi="Calibri" w:cs="Arial"/>
                <w:kern w:val="0"/>
                <w:lang w:val="es-ES" w:eastAsia="es-ES"/>
                <w14:ligatures w14:val="none"/>
              </w:rPr>
            </w:pPr>
          </w:p>
        </w:tc>
        <w:tc>
          <w:tcPr>
            <w:tcW w:w="3260" w:type="dxa"/>
          </w:tcPr>
          <w:p w14:paraId="0A96A766" w14:textId="77777777" w:rsidR="00F128A3" w:rsidRPr="00F128A3" w:rsidRDefault="00F128A3" w:rsidP="00F128A3">
            <w:pPr>
              <w:widowControl w:val="0"/>
              <w:numPr>
                <w:ilvl w:val="0"/>
                <w:numId w:val="18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Realizar la lectura de la sesión.</w:t>
            </w:r>
          </w:p>
          <w:p w14:paraId="50A09D6A" w14:textId="77777777" w:rsidR="00F128A3" w:rsidRPr="00F128A3" w:rsidRDefault="00F128A3" w:rsidP="00F128A3">
            <w:pPr>
              <w:widowControl w:val="0"/>
              <w:numPr>
                <w:ilvl w:val="0"/>
                <w:numId w:val="18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Elaboración de una reseña crítica de la lectura.</w:t>
            </w:r>
          </w:p>
          <w:p w14:paraId="3CC3CF8A" w14:textId="77777777" w:rsidR="00F128A3" w:rsidRPr="00F128A3" w:rsidRDefault="00F128A3" w:rsidP="00F128A3">
            <w:pPr>
              <w:widowControl w:val="0"/>
              <w:numPr>
                <w:ilvl w:val="0"/>
                <w:numId w:val="18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Inicie la elaboración del ensayo.</w:t>
            </w:r>
          </w:p>
          <w:p w14:paraId="3EFDA76A" w14:textId="77777777" w:rsidR="00F128A3" w:rsidRPr="00F128A3" w:rsidRDefault="00F128A3" w:rsidP="00F128A3">
            <w:pPr>
              <w:widowControl w:val="0"/>
              <w:numPr>
                <w:ilvl w:val="0"/>
                <w:numId w:val="18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Aporte docente: Los sujetos en las teologías contextuales en un encuentro sincrónico virtual (formativo).</w:t>
            </w:r>
          </w:p>
          <w:p w14:paraId="240C75E3" w14:textId="77777777" w:rsidR="00F128A3" w:rsidRPr="00F128A3" w:rsidRDefault="00F128A3" w:rsidP="00F128A3">
            <w:pPr>
              <w:widowControl w:val="0"/>
              <w:numPr>
                <w:ilvl w:val="0"/>
                <w:numId w:val="18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Participar en el foro temático grupal: El otro y la otredad.</w:t>
            </w:r>
          </w:p>
        </w:tc>
      </w:tr>
      <w:tr w:rsidR="00F128A3" w:rsidRPr="00F128A3" w14:paraId="235F4CAD" w14:textId="77777777" w:rsidTr="4C9C2619">
        <w:trPr>
          <w:jc w:val="center"/>
        </w:trPr>
        <w:tc>
          <w:tcPr>
            <w:tcW w:w="1271" w:type="dxa"/>
            <w:hideMark/>
          </w:tcPr>
          <w:p w14:paraId="35A1A58B"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15588FA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3</w:t>
            </w:r>
          </w:p>
          <w:p w14:paraId="018CB2F3"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0DB9B241"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2: La dimensión contextual contemporánea en América Latina</w:t>
            </w:r>
          </w:p>
          <w:p w14:paraId="27F80DE8"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2.1 Las dimensiones de lo geopolítico en el siglo XX</w:t>
            </w:r>
          </w:p>
          <w:p w14:paraId="723A354A"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2.2 Teología de la Liberación y hermenéutica latinoamericana</w:t>
            </w:r>
          </w:p>
        </w:tc>
        <w:tc>
          <w:tcPr>
            <w:tcW w:w="2835" w:type="dxa"/>
          </w:tcPr>
          <w:p w14:paraId="3E1B3C53"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color w:val="0070C0"/>
                <w:kern w:val="0"/>
                <w:lang w:val="es-ES"/>
                <w14:ligatures w14:val="none"/>
              </w:rPr>
              <w:t>Ruta de aprendizaje</w:t>
            </w:r>
          </w:p>
          <w:p w14:paraId="35E615B1" w14:textId="77777777" w:rsidR="00F128A3" w:rsidRPr="00F128A3" w:rsidRDefault="00F128A3" w:rsidP="00F128A3">
            <w:pPr>
              <w:spacing w:after="0" w:line="240" w:lineRule="auto"/>
              <w:rPr>
                <w:rFonts w:ascii="Calibri" w:eastAsia="Calibri" w:hAnsi="Calibri" w:cs="Calibri"/>
                <w:kern w:val="0"/>
                <w:lang w:val="es-ES"/>
                <w14:ligatures w14:val="none"/>
              </w:rPr>
            </w:pPr>
          </w:p>
          <w:p w14:paraId="56DB0376"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Sobrino, Jon. “La centralidad del Reino de Dios anunciado por Jesús”. En </w:t>
            </w:r>
            <w:r w:rsidRPr="00F128A3">
              <w:rPr>
                <w:rFonts w:ascii="Calibri" w:eastAsia="Calibri" w:hAnsi="Calibri" w:cs="Calibri"/>
                <w:i/>
                <w:kern w:val="0"/>
                <w:lang w:val="es-ES"/>
                <w14:ligatures w14:val="none"/>
              </w:rPr>
              <w:t xml:space="preserve">Fuera de los pobres no hay salvación. Pequeños ensayos utópico-proféticos, </w:t>
            </w:r>
            <w:r w:rsidRPr="00F128A3">
              <w:rPr>
                <w:rFonts w:ascii="Calibri" w:eastAsia="Calibri" w:hAnsi="Calibri" w:cs="Calibri"/>
                <w:kern w:val="0"/>
                <w:lang w:val="es-ES"/>
                <w14:ligatures w14:val="none"/>
              </w:rPr>
              <w:t>107-128.</w:t>
            </w:r>
            <w:r w:rsidRPr="00F128A3">
              <w:rPr>
                <w:rFonts w:ascii="Calibri" w:eastAsia="Calibri" w:hAnsi="Calibri" w:cs="Calibri"/>
                <w:i/>
                <w:kern w:val="0"/>
                <w:lang w:val="es-ES"/>
                <w14:ligatures w14:val="none"/>
              </w:rPr>
              <w:t xml:space="preserve"> </w:t>
            </w:r>
            <w:r w:rsidRPr="00F128A3">
              <w:rPr>
                <w:rFonts w:ascii="Calibri" w:eastAsia="Calibri" w:hAnsi="Calibri" w:cs="Calibri"/>
                <w:kern w:val="0"/>
                <w:lang w:val="es-ES"/>
                <w14:ligatures w14:val="none"/>
              </w:rPr>
              <w:t xml:space="preserve">Madrid: Trotta, 2007.   </w:t>
            </w:r>
            <w:r w:rsidRPr="00F128A3">
              <w:rPr>
                <w:rFonts w:ascii="Calibri" w:eastAsia="Calibri" w:hAnsi="Calibri" w:cs="Calibri"/>
                <w:color w:val="0070C0"/>
                <w:kern w:val="0"/>
                <w:lang w:val="es-ES"/>
                <w14:ligatures w14:val="none"/>
              </w:rPr>
              <w:t>(clásico, última edición)</w:t>
            </w:r>
          </w:p>
          <w:p w14:paraId="2B20AFBE" w14:textId="77777777" w:rsidR="00F128A3" w:rsidRPr="00F128A3" w:rsidRDefault="00F128A3" w:rsidP="00F128A3">
            <w:pPr>
              <w:spacing w:after="0" w:line="240" w:lineRule="auto"/>
              <w:rPr>
                <w:rFonts w:ascii="Calibri" w:eastAsia="Calibri" w:hAnsi="Calibri" w:cs="Calibri"/>
                <w:kern w:val="0"/>
                <w:lang w:val="es-ES"/>
                <w14:ligatures w14:val="none"/>
              </w:rPr>
            </w:pPr>
          </w:p>
          <w:p w14:paraId="2002D8C1"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Miranda Hernández, Miguel Ángel. “Los pobres: alteridad excluida reveladora del Dios del reino”. En </w:t>
            </w:r>
            <w:r w:rsidRPr="00F128A3">
              <w:rPr>
                <w:rFonts w:ascii="Calibri" w:eastAsia="Calibri" w:hAnsi="Calibri" w:cs="Calibri"/>
                <w:i/>
                <w:kern w:val="0"/>
                <w:lang w:val="es-ES"/>
                <w14:ligatures w14:val="none"/>
              </w:rPr>
              <w:t xml:space="preserve">Los pobres en los escritos de Gustavo Gutiérrez: Alteridad excluida reveladora de Dios, </w:t>
            </w:r>
            <w:r w:rsidRPr="00F128A3">
              <w:rPr>
                <w:rFonts w:ascii="Calibri" w:eastAsia="Calibri" w:hAnsi="Calibri" w:cs="Calibri"/>
                <w:kern w:val="0"/>
                <w:lang w:val="es-ES"/>
                <w14:ligatures w14:val="none"/>
              </w:rPr>
              <w:t>99-160.</w:t>
            </w:r>
            <w:r w:rsidRPr="00F128A3">
              <w:rPr>
                <w:rFonts w:ascii="Calibri" w:eastAsia="Calibri" w:hAnsi="Calibri" w:cs="Calibri"/>
                <w:i/>
                <w:kern w:val="0"/>
                <w:lang w:val="es-ES"/>
                <w14:ligatures w14:val="none"/>
              </w:rPr>
              <w:t xml:space="preserve"> </w:t>
            </w:r>
            <w:r w:rsidRPr="00F128A3">
              <w:rPr>
                <w:rFonts w:ascii="Calibri" w:eastAsia="Calibri" w:hAnsi="Calibri" w:cs="Calibri"/>
                <w:kern w:val="0"/>
                <w:lang w:val="es-ES"/>
                <w14:ligatures w14:val="none"/>
              </w:rPr>
              <w:t xml:space="preserve">Cochabamba: Verbo Divino, 2005. </w:t>
            </w:r>
            <w:r w:rsidRPr="00F128A3">
              <w:rPr>
                <w:rFonts w:ascii="Calibri" w:eastAsia="Calibri" w:hAnsi="Calibri" w:cs="Calibri"/>
                <w:color w:val="0070C0"/>
                <w:kern w:val="0"/>
                <w:lang w:val="es-ES"/>
                <w14:ligatures w14:val="none"/>
              </w:rPr>
              <w:t>(clásico, última edición)</w:t>
            </w:r>
          </w:p>
          <w:p w14:paraId="28421797" w14:textId="77777777" w:rsidR="00F128A3" w:rsidRPr="00F128A3" w:rsidRDefault="00F128A3" w:rsidP="00F128A3">
            <w:pPr>
              <w:spacing w:after="0" w:line="240" w:lineRule="auto"/>
              <w:rPr>
                <w:rFonts w:ascii="Calibri" w:eastAsia="Calibri" w:hAnsi="Calibri" w:cs="Calibri"/>
                <w:kern w:val="0"/>
                <w:lang w:val="es-ES"/>
                <w14:ligatures w14:val="none"/>
              </w:rPr>
            </w:pPr>
          </w:p>
          <w:p w14:paraId="0A8FCD88" w14:textId="77777777" w:rsidR="00F128A3" w:rsidRPr="00F128A3" w:rsidRDefault="00F128A3" w:rsidP="00F128A3">
            <w:pPr>
              <w:spacing w:after="0" w:line="240" w:lineRule="auto"/>
              <w:rPr>
                <w:rFonts w:ascii="Calibri" w:eastAsia="Calibri" w:hAnsi="Calibri" w:cs="Calibri"/>
                <w:b/>
                <w:kern w:val="0"/>
                <w:lang w:val="es-ES"/>
                <w14:ligatures w14:val="none"/>
              </w:rPr>
            </w:pPr>
            <w:r w:rsidRPr="00F128A3">
              <w:rPr>
                <w:rFonts w:ascii="Calibri" w:eastAsia="Calibri" w:hAnsi="Calibri" w:cs="Calibri"/>
                <w:b/>
                <w:kern w:val="0"/>
                <w:lang w:val="es-ES"/>
                <w14:ligatures w14:val="none"/>
              </w:rPr>
              <w:t>Material complementario</w:t>
            </w:r>
          </w:p>
          <w:p w14:paraId="49CC8D6F"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475AA98D" w14:textId="77777777" w:rsidR="00F128A3" w:rsidRPr="00F128A3" w:rsidRDefault="00F128A3" w:rsidP="00F128A3">
            <w:pPr>
              <w:spacing w:after="0" w:line="240" w:lineRule="auto"/>
              <w:rPr>
                <w:rFonts w:ascii="Calibri" w:eastAsia="Calibri" w:hAnsi="Calibri" w:cs="Calibri"/>
                <w:kern w:val="0"/>
                <w:lang w:val="es-ES"/>
                <w14:ligatures w14:val="none"/>
              </w:rPr>
            </w:pPr>
            <w:proofErr w:type="spellStart"/>
            <w:r w:rsidRPr="00F128A3">
              <w:rPr>
                <w:rFonts w:ascii="Calibri" w:eastAsia="Calibri" w:hAnsi="Calibri" w:cs="Calibri"/>
                <w:kern w:val="0"/>
                <w:lang w:val="es-ES"/>
                <w14:ligatures w14:val="none"/>
              </w:rPr>
              <w:t>Krüger</w:t>
            </w:r>
            <w:proofErr w:type="spellEnd"/>
            <w:r w:rsidRPr="00F128A3">
              <w:rPr>
                <w:rFonts w:ascii="Calibri" w:eastAsia="Calibri" w:hAnsi="Calibri" w:cs="Calibri"/>
                <w:kern w:val="0"/>
                <w:lang w:val="es-ES"/>
                <w14:ligatures w14:val="none"/>
              </w:rPr>
              <w:t xml:space="preserve">, René. “Teología bíblica contextual en América Latina”. </w:t>
            </w:r>
            <w:r w:rsidRPr="00F128A3">
              <w:rPr>
                <w:rFonts w:ascii="Calibri" w:eastAsia="Calibri" w:hAnsi="Calibri" w:cs="Calibri"/>
                <w:i/>
                <w:kern w:val="0"/>
                <w:lang w:val="es-ES"/>
                <w14:ligatures w14:val="none"/>
              </w:rPr>
              <w:t xml:space="preserve">Acta </w:t>
            </w:r>
            <w:proofErr w:type="spellStart"/>
            <w:r w:rsidRPr="00F128A3">
              <w:rPr>
                <w:rFonts w:ascii="Calibri" w:eastAsia="Calibri" w:hAnsi="Calibri" w:cs="Calibri"/>
                <w:i/>
                <w:kern w:val="0"/>
                <w:lang w:val="es-ES"/>
                <w14:ligatures w14:val="none"/>
              </w:rPr>
              <w:t>Poetica</w:t>
            </w:r>
            <w:proofErr w:type="spellEnd"/>
            <w:r w:rsidRPr="00F128A3">
              <w:rPr>
                <w:rFonts w:ascii="Calibri" w:eastAsia="Calibri" w:hAnsi="Calibri" w:cs="Calibri"/>
                <w:kern w:val="0"/>
                <w:lang w:val="es-ES"/>
                <w14:ligatures w14:val="none"/>
              </w:rPr>
              <w:t xml:space="preserve"> 31, n. 2 (2010): 185-207. Acceso el 18 de diciembre de 2020. </w:t>
            </w:r>
            <w:hyperlink r:id="rId568" w:history="1">
              <w:r w:rsidRPr="00F128A3">
                <w:rPr>
                  <w:rFonts w:ascii="Calibri" w:eastAsia="Calibri" w:hAnsi="Calibri" w:cs="Calibri"/>
                  <w:color w:val="0563C1"/>
                  <w:kern w:val="0"/>
                  <w:u w:val="single"/>
                  <w:lang w:val="es-ES"/>
                  <w14:ligatures w14:val="none"/>
                </w:rPr>
                <w:t>http://www.scielo.org.mx/pdf/ap/v31n2/v31n2a8.pdf</w:t>
              </w:r>
            </w:hyperlink>
            <w:r w:rsidRPr="00F128A3">
              <w:rPr>
                <w:rFonts w:ascii="Calibri" w:eastAsia="Calibri" w:hAnsi="Calibri" w:cs="Calibri"/>
                <w:kern w:val="0"/>
                <w:lang w:val="es-ES"/>
                <w14:ligatures w14:val="none"/>
              </w:rPr>
              <w:t xml:space="preserve"> </w:t>
            </w:r>
          </w:p>
          <w:p w14:paraId="7C2751F9" w14:textId="77777777" w:rsidR="00F128A3" w:rsidRPr="00F128A3" w:rsidRDefault="00F128A3" w:rsidP="00F128A3">
            <w:pPr>
              <w:spacing w:after="0" w:line="240" w:lineRule="auto"/>
              <w:rPr>
                <w:rFonts w:ascii="Calibri" w:eastAsia="Calibri" w:hAnsi="Calibri" w:cs="Calibri"/>
                <w:kern w:val="0"/>
                <w:lang w:val="es-ES"/>
                <w14:ligatures w14:val="none"/>
              </w:rPr>
            </w:pPr>
          </w:p>
          <w:p w14:paraId="0B80AFCD"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Guía para la elaboración de un mapa conceptual</w:t>
            </w:r>
          </w:p>
          <w:p w14:paraId="62E50624"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p>
          <w:p w14:paraId="0729758A"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 xml:space="preserve">Guía para la participación mediante la herramienta Big Blue </w:t>
            </w:r>
            <w:proofErr w:type="spellStart"/>
            <w:r w:rsidRPr="00F128A3">
              <w:rPr>
                <w:rFonts w:ascii="Calibri" w:eastAsia="Calibri" w:hAnsi="Calibri" w:cs="Calibri"/>
                <w:color w:val="0070C0"/>
                <w:kern w:val="0"/>
                <w:lang w:val="es-ES"/>
                <w14:ligatures w14:val="none"/>
              </w:rPr>
              <w:t>Button</w:t>
            </w:r>
            <w:proofErr w:type="spellEnd"/>
            <w:r w:rsidRPr="00F128A3">
              <w:rPr>
                <w:rFonts w:ascii="Calibri" w:eastAsia="Calibri" w:hAnsi="Calibri" w:cs="Calibri"/>
                <w:color w:val="0070C0"/>
                <w:kern w:val="0"/>
                <w:lang w:val="es-ES"/>
                <w14:ligatures w14:val="none"/>
              </w:rPr>
              <w:t xml:space="preserve"> en la plataforma Moodle</w:t>
            </w:r>
          </w:p>
          <w:p w14:paraId="5C8ED62B"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p>
        </w:tc>
        <w:tc>
          <w:tcPr>
            <w:tcW w:w="3260" w:type="dxa"/>
          </w:tcPr>
          <w:p w14:paraId="6EBB21CF" w14:textId="77777777" w:rsidR="00F128A3" w:rsidRPr="00F128A3" w:rsidRDefault="00F128A3" w:rsidP="00F128A3">
            <w:pPr>
              <w:widowControl w:val="0"/>
              <w:numPr>
                <w:ilvl w:val="0"/>
                <w:numId w:val="181"/>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lastRenderedPageBreak/>
              <w:t>Realizar las lecturas de la sesión.</w:t>
            </w:r>
          </w:p>
          <w:p w14:paraId="1C0CFB83" w14:textId="77777777" w:rsidR="00F128A3" w:rsidRPr="00F128A3" w:rsidRDefault="00F128A3" w:rsidP="00F128A3">
            <w:pPr>
              <w:widowControl w:val="0"/>
              <w:numPr>
                <w:ilvl w:val="0"/>
                <w:numId w:val="181"/>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Elaboración de un mapa conceptual.</w:t>
            </w:r>
          </w:p>
          <w:p w14:paraId="39198710" w14:textId="77777777" w:rsidR="00F128A3" w:rsidRPr="00F128A3" w:rsidRDefault="00F128A3" w:rsidP="00F128A3">
            <w:pPr>
              <w:widowControl w:val="0"/>
              <w:numPr>
                <w:ilvl w:val="0"/>
                <w:numId w:val="181"/>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 xml:space="preserve">Aporte docente: La geopolítica y la teología y hermenéutica latinoamericana, seguido de un debate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lang w:val="es-ES" w:eastAsia="es-ES"/>
                <w14:ligatures w14:val="none"/>
              </w:rPr>
              <w:t>.</w:t>
            </w:r>
          </w:p>
        </w:tc>
      </w:tr>
      <w:tr w:rsidR="00F128A3" w:rsidRPr="00F128A3" w14:paraId="518DD596" w14:textId="77777777" w:rsidTr="4C9C2619">
        <w:trPr>
          <w:jc w:val="center"/>
        </w:trPr>
        <w:tc>
          <w:tcPr>
            <w:tcW w:w="1271" w:type="dxa"/>
            <w:hideMark/>
          </w:tcPr>
          <w:p w14:paraId="1A0D56DA"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0CC9A00C"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4</w:t>
            </w:r>
          </w:p>
          <w:p w14:paraId="2E0D9E57"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5B802900"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3: Otros contextos intercontinentales</w:t>
            </w:r>
          </w:p>
          <w:p w14:paraId="5EB1C415"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3.1 Teología de la Liberación y hermenéutica africana</w:t>
            </w:r>
          </w:p>
          <w:p w14:paraId="64BC46B9"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25F21308"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52D0DBFE" w14:textId="77777777" w:rsidR="00F128A3" w:rsidRPr="00F128A3" w:rsidRDefault="00F128A3" w:rsidP="00F128A3">
            <w:pPr>
              <w:spacing w:after="200" w:line="240" w:lineRule="auto"/>
              <w:contextualSpacing/>
              <w:rPr>
                <w:rFonts w:ascii="Calibri" w:eastAsia="Calibri" w:hAnsi="Calibri" w:cs="Calibri"/>
                <w:kern w:val="0"/>
                <w:lang w:val="es-ES"/>
                <w14:ligatures w14:val="none"/>
              </w:rPr>
            </w:pPr>
          </w:p>
          <w:p w14:paraId="3194810E"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Mana, </w:t>
            </w:r>
            <w:proofErr w:type="spellStart"/>
            <w:r w:rsidRPr="00F128A3">
              <w:rPr>
                <w:rFonts w:ascii="Calibri" w:eastAsia="Calibri" w:hAnsi="Calibri" w:cs="Calibri"/>
                <w:kern w:val="0"/>
                <w:lang w:val="es-ES"/>
                <w14:ligatures w14:val="none"/>
              </w:rPr>
              <w:t>Kä</w:t>
            </w:r>
            <w:proofErr w:type="spellEnd"/>
            <w:r w:rsidRPr="00F128A3">
              <w:rPr>
                <w:rFonts w:ascii="Calibri" w:eastAsia="Calibri" w:hAnsi="Calibri" w:cs="Calibri"/>
                <w:kern w:val="0"/>
                <w:lang w:val="es-ES"/>
                <w14:ligatures w14:val="none"/>
              </w:rPr>
              <w:t xml:space="preserve">. “Teologías cristianas africanas”. En </w:t>
            </w:r>
            <w:r w:rsidRPr="00F128A3">
              <w:rPr>
                <w:rFonts w:ascii="Calibri" w:eastAsia="Calibri" w:hAnsi="Calibri" w:cs="Calibri"/>
                <w:i/>
                <w:kern w:val="0"/>
                <w:lang w:val="es-ES"/>
                <w14:ligatures w14:val="none"/>
              </w:rPr>
              <w:t xml:space="preserve">Teología africana para tiempos de crisis: cristianismo y reconstrucción de África. </w:t>
            </w:r>
            <w:r w:rsidRPr="00F128A3">
              <w:rPr>
                <w:rFonts w:ascii="Calibri" w:eastAsia="Calibri" w:hAnsi="Calibri" w:cs="Calibri"/>
                <w:kern w:val="0"/>
                <w:lang w:val="es-ES"/>
                <w14:ligatures w14:val="none"/>
              </w:rPr>
              <w:t xml:space="preserve">Traducción de Miguel Montes, 19-62. Estella: Verbo Divino, 2000. </w:t>
            </w:r>
            <w:r w:rsidRPr="00F128A3">
              <w:rPr>
                <w:rFonts w:ascii="Calibri" w:eastAsia="Calibri" w:hAnsi="Calibri" w:cs="Calibri"/>
                <w:color w:val="0070C0"/>
                <w:kern w:val="0"/>
                <w:lang w:val="es-ES"/>
                <w14:ligatures w14:val="none"/>
              </w:rPr>
              <w:t>(clásico, última edición)</w:t>
            </w:r>
          </w:p>
          <w:p w14:paraId="2927D180" w14:textId="77777777" w:rsidR="00F128A3" w:rsidRPr="00F128A3" w:rsidRDefault="00F128A3" w:rsidP="00F128A3">
            <w:pPr>
              <w:spacing w:after="200" w:line="240" w:lineRule="auto"/>
              <w:contextualSpacing/>
              <w:rPr>
                <w:rFonts w:ascii="Calibri" w:eastAsia="Calibri" w:hAnsi="Calibri" w:cs="Calibri"/>
                <w:kern w:val="0"/>
                <w:lang w:val="es-ES"/>
                <w14:ligatures w14:val="none"/>
              </w:rPr>
            </w:pPr>
          </w:p>
          <w:p w14:paraId="779CE60D" w14:textId="77777777" w:rsidR="00F128A3" w:rsidRPr="00F128A3" w:rsidRDefault="00F128A3" w:rsidP="00F128A3">
            <w:pPr>
              <w:spacing w:after="200" w:line="240" w:lineRule="auto"/>
              <w:contextualSpacing/>
              <w:rPr>
                <w:rFonts w:ascii="Calibri" w:eastAsia="Calibri" w:hAnsi="Calibri" w:cs="Arial"/>
                <w:color w:val="000000"/>
                <w:kern w:val="0"/>
                <w:lang w:eastAsia="es-ES"/>
                <w14:ligatures w14:val="none"/>
              </w:rPr>
            </w:pPr>
            <w:r w:rsidRPr="00F128A3">
              <w:rPr>
                <w:rFonts w:ascii="Calibri" w:eastAsia="Calibri" w:hAnsi="Calibri" w:cs="Calibri"/>
                <w:b/>
                <w:color w:val="0070C0"/>
                <w:kern w:val="0"/>
                <w:lang w:val="es-ES"/>
                <w14:ligatures w14:val="none"/>
              </w:rPr>
              <w:t>Material complementario</w:t>
            </w:r>
          </w:p>
          <w:p w14:paraId="593276A9" w14:textId="77777777" w:rsidR="00F128A3" w:rsidRPr="00F128A3" w:rsidRDefault="00F128A3" w:rsidP="00F128A3">
            <w:pPr>
              <w:spacing w:after="200" w:line="240" w:lineRule="auto"/>
              <w:contextualSpacing/>
              <w:rPr>
                <w:rFonts w:ascii="Calibri" w:eastAsia="Calibri" w:hAnsi="Calibri" w:cs="Arial"/>
                <w:color w:val="FF0000"/>
                <w:kern w:val="0"/>
                <w:lang w:eastAsia="es-ES"/>
                <w14:ligatures w14:val="none"/>
              </w:rPr>
            </w:pPr>
          </w:p>
          <w:p w14:paraId="7FFF07A2" w14:textId="77777777" w:rsidR="00F128A3" w:rsidRPr="00F128A3" w:rsidRDefault="00F128A3" w:rsidP="00F128A3">
            <w:pPr>
              <w:spacing w:after="200" w:line="240" w:lineRule="auto"/>
              <w:contextualSpacing/>
              <w:rPr>
                <w:rFonts w:ascii="Calibri" w:eastAsia="Calibri" w:hAnsi="Calibri" w:cs="Arial"/>
                <w:color w:val="0070C0"/>
                <w:kern w:val="0"/>
                <w:lang w:eastAsia="es-ES"/>
                <w14:ligatures w14:val="none"/>
              </w:rPr>
            </w:pPr>
            <w:r w:rsidRPr="00F128A3">
              <w:rPr>
                <w:rFonts w:ascii="Calibri" w:eastAsia="Calibri" w:hAnsi="Calibri" w:cs="Arial"/>
                <w:color w:val="0070C0"/>
                <w:kern w:val="0"/>
                <w:lang w:eastAsia="es-ES"/>
                <w14:ligatures w14:val="none"/>
              </w:rPr>
              <w:t>Guía para la elaboración de una reseña crítica de lectura</w:t>
            </w:r>
          </w:p>
          <w:p w14:paraId="75D4D4AC" w14:textId="77777777" w:rsidR="00F128A3" w:rsidRPr="00F128A3" w:rsidRDefault="00F128A3" w:rsidP="00F128A3">
            <w:pPr>
              <w:spacing w:after="200" w:line="240" w:lineRule="auto"/>
              <w:contextualSpacing/>
              <w:rPr>
                <w:rFonts w:ascii="Calibri" w:eastAsia="Calibri" w:hAnsi="Calibri" w:cs="Arial"/>
                <w:color w:val="0070C0"/>
                <w:kern w:val="0"/>
                <w:lang w:eastAsia="es-ES"/>
                <w14:ligatures w14:val="none"/>
              </w:rPr>
            </w:pPr>
          </w:p>
          <w:p w14:paraId="00EFD063" w14:textId="77777777" w:rsidR="00F128A3" w:rsidRPr="00F128A3" w:rsidRDefault="00F128A3" w:rsidP="00F128A3">
            <w:pPr>
              <w:spacing w:after="200" w:line="240" w:lineRule="auto"/>
              <w:contextualSpacing/>
              <w:rPr>
                <w:rFonts w:ascii="Calibri" w:eastAsia="Calibri" w:hAnsi="Calibri" w:cs="Arial"/>
                <w:color w:val="0070C0"/>
                <w:kern w:val="0"/>
                <w:lang w:eastAsia="es-ES"/>
                <w14:ligatures w14:val="none"/>
              </w:rPr>
            </w:pPr>
            <w:r w:rsidRPr="00F128A3">
              <w:rPr>
                <w:rFonts w:ascii="Calibri" w:eastAsia="Calibri" w:hAnsi="Calibri" w:cs="Arial"/>
                <w:color w:val="0070C0"/>
                <w:kern w:val="0"/>
                <w:lang w:eastAsia="es-ES"/>
                <w14:ligatures w14:val="none"/>
              </w:rPr>
              <w:t xml:space="preserve">Guía para la participación mediante la herramienta Big Blue </w:t>
            </w:r>
            <w:proofErr w:type="spellStart"/>
            <w:r w:rsidRPr="00F128A3">
              <w:rPr>
                <w:rFonts w:ascii="Calibri" w:eastAsia="Calibri" w:hAnsi="Calibri" w:cs="Arial"/>
                <w:color w:val="0070C0"/>
                <w:kern w:val="0"/>
                <w:lang w:eastAsia="es-ES"/>
                <w14:ligatures w14:val="none"/>
              </w:rPr>
              <w:t>Button</w:t>
            </w:r>
            <w:proofErr w:type="spellEnd"/>
            <w:r w:rsidRPr="00F128A3">
              <w:rPr>
                <w:rFonts w:ascii="Calibri" w:eastAsia="Calibri" w:hAnsi="Calibri" w:cs="Arial"/>
                <w:color w:val="0070C0"/>
                <w:kern w:val="0"/>
                <w:lang w:eastAsia="es-ES"/>
                <w14:ligatures w14:val="none"/>
              </w:rPr>
              <w:t xml:space="preserve"> en la plataforma Moodle</w:t>
            </w:r>
          </w:p>
          <w:p w14:paraId="0B1A09DC" w14:textId="77777777" w:rsidR="00F128A3" w:rsidRPr="00F128A3" w:rsidRDefault="00F128A3" w:rsidP="00F128A3">
            <w:pPr>
              <w:spacing w:after="200" w:line="240" w:lineRule="auto"/>
              <w:contextualSpacing/>
              <w:rPr>
                <w:rFonts w:ascii="Calibri" w:eastAsia="Calibri" w:hAnsi="Calibri" w:cs="Arial"/>
                <w:color w:val="0070C0"/>
                <w:kern w:val="0"/>
                <w:lang w:eastAsia="es-ES"/>
                <w14:ligatures w14:val="none"/>
              </w:rPr>
            </w:pPr>
          </w:p>
          <w:p w14:paraId="00F8F0A1" w14:textId="77777777" w:rsidR="00F128A3" w:rsidRPr="00F128A3" w:rsidRDefault="00F128A3" w:rsidP="00F128A3">
            <w:pPr>
              <w:spacing w:after="200" w:line="240" w:lineRule="auto"/>
              <w:contextualSpacing/>
              <w:rPr>
                <w:rFonts w:ascii="Calibri" w:eastAsia="Calibri" w:hAnsi="Calibri" w:cs="Arial"/>
                <w:color w:val="0070C0"/>
                <w:kern w:val="0"/>
                <w:lang w:eastAsia="es-ES"/>
                <w14:ligatures w14:val="none"/>
              </w:rPr>
            </w:pPr>
            <w:r w:rsidRPr="00F128A3">
              <w:rPr>
                <w:rFonts w:ascii="Calibri" w:eastAsia="Calibri" w:hAnsi="Calibri" w:cs="Arial"/>
                <w:color w:val="0070C0"/>
                <w:kern w:val="0"/>
                <w:lang w:eastAsia="es-ES"/>
                <w14:ligatures w14:val="none"/>
              </w:rPr>
              <w:t>Guía para la participación en un foro en la plataforma Moodle</w:t>
            </w:r>
          </w:p>
        </w:tc>
        <w:tc>
          <w:tcPr>
            <w:tcW w:w="3260" w:type="dxa"/>
          </w:tcPr>
          <w:p w14:paraId="6933F5D6" w14:textId="77777777" w:rsidR="00F128A3" w:rsidRPr="00F128A3" w:rsidRDefault="00F128A3" w:rsidP="00F128A3">
            <w:pPr>
              <w:widowControl w:val="0"/>
              <w:numPr>
                <w:ilvl w:val="0"/>
                <w:numId w:val="182"/>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Realizar la lectura de la sesión.</w:t>
            </w:r>
          </w:p>
          <w:p w14:paraId="096B14C9" w14:textId="77777777" w:rsidR="00F128A3" w:rsidRPr="00F128A3" w:rsidRDefault="00F128A3" w:rsidP="00F128A3">
            <w:pPr>
              <w:widowControl w:val="0"/>
              <w:numPr>
                <w:ilvl w:val="0"/>
                <w:numId w:val="182"/>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Elaboración de una reseña crítica de la lectura.</w:t>
            </w:r>
          </w:p>
          <w:p w14:paraId="6C0917EB" w14:textId="77777777" w:rsidR="00F128A3" w:rsidRPr="00F128A3" w:rsidRDefault="00F128A3" w:rsidP="00F128A3">
            <w:pPr>
              <w:widowControl w:val="0"/>
              <w:numPr>
                <w:ilvl w:val="0"/>
                <w:numId w:val="182"/>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Aporte docente: Teología de la liberación africana en un encuentro sincrónico virtual (formativo).</w:t>
            </w:r>
          </w:p>
          <w:p w14:paraId="33E7755A" w14:textId="77777777" w:rsidR="00F128A3" w:rsidRPr="00F128A3" w:rsidRDefault="00F128A3" w:rsidP="00F128A3">
            <w:pPr>
              <w:widowControl w:val="0"/>
              <w:numPr>
                <w:ilvl w:val="0"/>
                <w:numId w:val="182"/>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Participación en el foro temático grupal: Trabajo orientado con texto bíblico, donde se realizará un debate. </w:t>
            </w:r>
          </w:p>
        </w:tc>
      </w:tr>
      <w:tr w:rsidR="00F128A3" w:rsidRPr="00F128A3" w14:paraId="48D46118" w14:textId="77777777" w:rsidTr="4C9C2619">
        <w:trPr>
          <w:jc w:val="center"/>
        </w:trPr>
        <w:tc>
          <w:tcPr>
            <w:tcW w:w="1271" w:type="dxa"/>
            <w:hideMark/>
          </w:tcPr>
          <w:p w14:paraId="4947B7C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5F632B48"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5</w:t>
            </w:r>
          </w:p>
          <w:p w14:paraId="7A805400"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282384F4"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3: Otros contextos intercontinentales</w:t>
            </w:r>
          </w:p>
          <w:p w14:paraId="75B04F57"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lang w:val="es-ES"/>
                <w14:ligatures w14:val="none"/>
              </w:rPr>
              <w:t>3.1 Teología de la Liberación y hermenéutica africana</w:t>
            </w:r>
          </w:p>
          <w:p w14:paraId="07E0C07C" w14:textId="77777777" w:rsidR="00F128A3" w:rsidRPr="00F128A3" w:rsidRDefault="00F128A3" w:rsidP="00F128A3">
            <w:pPr>
              <w:spacing w:after="200" w:line="240" w:lineRule="auto"/>
              <w:rPr>
                <w:rFonts w:ascii="Calibri" w:eastAsia="Calibri" w:hAnsi="Calibri" w:cs="Arial"/>
                <w:kern w:val="0"/>
                <w14:ligatures w14:val="none"/>
              </w:rPr>
            </w:pPr>
          </w:p>
          <w:p w14:paraId="5444FC88"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7598E30A"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054AFD95" w14:textId="77777777" w:rsidR="00F128A3" w:rsidRPr="00F128A3" w:rsidRDefault="00F128A3" w:rsidP="00F128A3">
            <w:pPr>
              <w:spacing w:after="0" w:line="240" w:lineRule="auto"/>
              <w:rPr>
                <w:rFonts w:ascii="Calibri" w:eastAsia="Calibri" w:hAnsi="Calibri" w:cs="Calibri"/>
                <w:kern w:val="0"/>
                <w:lang w:val="es-ES"/>
                <w14:ligatures w14:val="none"/>
              </w:rPr>
            </w:pPr>
          </w:p>
          <w:p w14:paraId="28EEF5DA"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Mena López, Maricel. “Raíces afro-asiáticas en el mundo bíblico. Desafíos para la exégesis y hermenéutica latinoamericana”. </w:t>
            </w:r>
            <w:r w:rsidRPr="00F128A3">
              <w:rPr>
                <w:rFonts w:ascii="Calibri" w:eastAsia="Calibri" w:hAnsi="Calibri" w:cs="Calibri"/>
                <w:i/>
                <w:kern w:val="0"/>
                <w:lang w:val="es-ES"/>
                <w14:ligatures w14:val="none"/>
              </w:rPr>
              <w:t xml:space="preserve">RIBLA 54 </w:t>
            </w:r>
            <w:r w:rsidRPr="00F128A3">
              <w:rPr>
                <w:rFonts w:ascii="Calibri" w:eastAsia="Calibri" w:hAnsi="Calibri" w:cs="Calibri"/>
                <w:kern w:val="0"/>
                <w:lang w:val="es-ES"/>
                <w14:ligatures w14:val="none"/>
              </w:rPr>
              <w:t>(2006): pp. 17-33.</w:t>
            </w:r>
          </w:p>
          <w:p w14:paraId="725A72ED" w14:textId="77777777" w:rsidR="00F128A3" w:rsidRPr="00F128A3" w:rsidRDefault="00F128A3" w:rsidP="00F128A3">
            <w:pPr>
              <w:spacing w:after="0" w:line="240" w:lineRule="auto"/>
              <w:rPr>
                <w:rFonts w:ascii="Calibri" w:eastAsia="Calibri" w:hAnsi="Calibri" w:cs="Calibri"/>
                <w:kern w:val="0"/>
                <w:lang w:val="es-ES"/>
                <w14:ligatures w14:val="none"/>
              </w:rPr>
            </w:pPr>
          </w:p>
          <w:p w14:paraId="12F7D9EC"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496FF4E5"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 mapa conceptual</w:t>
            </w:r>
          </w:p>
          <w:p w14:paraId="6712DDF0"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59D93DD7"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 xml:space="preserve">Guía para la participación mediante la herramienta Big Blue </w:t>
            </w:r>
            <w:proofErr w:type="spellStart"/>
            <w:r w:rsidRPr="00F128A3">
              <w:rPr>
                <w:rFonts w:ascii="Calibri" w:eastAsia="Calibri" w:hAnsi="Calibri" w:cs="Calibri"/>
                <w:bCs/>
                <w:color w:val="0070C0"/>
                <w:kern w:val="0"/>
                <w:lang w:val="es-ES"/>
                <w14:ligatures w14:val="none"/>
              </w:rPr>
              <w:t>Button</w:t>
            </w:r>
            <w:proofErr w:type="spellEnd"/>
            <w:r w:rsidRPr="00F128A3">
              <w:rPr>
                <w:rFonts w:ascii="Calibri" w:eastAsia="Calibri" w:hAnsi="Calibri" w:cs="Calibri"/>
                <w:bCs/>
                <w:color w:val="0070C0"/>
                <w:kern w:val="0"/>
                <w:lang w:val="es-ES"/>
                <w14:ligatures w14:val="none"/>
              </w:rPr>
              <w:t xml:space="preserve"> en la plataforma Moodle</w:t>
            </w:r>
          </w:p>
          <w:p w14:paraId="7E265265"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1F33DF1C" w14:textId="77777777" w:rsidR="00F128A3" w:rsidRPr="00F128A3" w:rsidRDefault="00F128A3" w:rsidP="00F128A3">
            <w:pPr>
              <w:spacing w:after="0" w:line="240" w:lineRule="auto"/>
              <w:rPr>
                <w:rFonts w:ascii="Calibri" w:eastAsia="Calibri" w:hAnsi="Calibri" w:cs="Calibri"/>
                <w:bCs/>
                <w:kern w:val="0"/>
                <w:lang w:val="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p w14:paraId="2402F6BC" w14:textId="77777777" w:rsidR="00F128A3" w:rsidRPr="00F128A3" w:rsidRDefault="00F128A3" w:rsidP="00F128A3">
            <w:pPr>
              <w:spacing w:after="0" w:line="240" w:lineRule="auto"/>
              <w:rPr>
                <w:rFonts w:ascii="Calibri" w:eastAsia="Calibri" w:hAnsi="Calibri" w:cs="Calibri"/>
                <w:bCs/>
                <w:kern w:val="0"/>
                <w:lang w:val="es-ES"/>
                <w14:ligatures w14:val="none"/>
              </w:rPr>
            </w:pPr>
          </w:p>
        </w:tc>
        <w:tc>
          <w:tcPr>
            <w:tcW w:w="3260" w:type="dxa"/>
          </w:tcPr>
          <w:p w14:paraId="20C061AA" w14:textId="77777777" w:rsidR="00F128A3" w:rsidRPr="00F128A3" w:rsidRDefault="00F128A3" w:rsidP="00F128A3">
            <w:pPr>
              <w:widowControl w:val="0"/>
              <w:numPr>
                <w:ilvl w:val="0"/>
                <w:numId w:val="183"/>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Realizar la lectura de la sesión.</w:t>
            </w:r>
          </w:p>
          <w:p w14:paraId="0F6F88A8" w14:textId="77777777" w:rsidR="00F128A3" w:rsidRPr="00F128A3" w:rsidRDefault="00F128A3" w:rsidP="00F128A3">
            <w:pPr>
              <w:widowControl w:val="0"/>
              <w:numPr>
                <w:ilvl w:val="0"/>
                <w:numId w:val="183"/>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Elaboración de un mapa conceptual. </w:t>
            </w:r>
          </w:p>
          <w:p w14:paraId="44DA5CF6" w14:textId="77777777" w:rsidR="00F128A3" w:rsidRPr="00F128A3" w:rsidRDefault="00F128A3" w:rsidP="00F128A3">
            <w:pPr>
              <w:widowControl w:val="0"/>
              <w:numPr>
                <w:ilvl w:val="0"/>
                <w:numId w:val="183"/>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Aporte docente: Hermenéutica de liberación africana en un encuentro sincrónico virtual (formativo).</w:t>
            </w:r>
          </w:p>
          <w:p w14:paraId="082D3199" w14:textId="77777777" w:rsidR="00F128A3" w:rsidRPr="00F128A3" w:rsidRDefault="00F128A3" w:rsidP="00F128A3">
            <w:pPr>
              <w:widowControl w:val="0"/>
              <w:numPr>
                <w:ilvl w:val="0"/>
                <w:numId w:val="183"/>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Participación en el foro temático</w:t>
            </w:r>
            <w:r w:rsidRPr="00F128A3">
              <w:rPr>
                <w:rFonts w:ascii="Calibri" w:eastAsia="Calibri" w:hAnsi="Calibri" w:cs="Arial"/>
                <w:color w:val="000000"/>
                <w:kern w:val="0"/>
                <w:lang w:eastAsia="es-ES"/>
                <w14:ligatures w14:val="none"/>
              </w:rPr>
              <w:t xml:space="preserve"> grupal: Trabajo orientado con texto bíblico.</w:t>
            </w:r>
          </w:p>
        </w:tc>
      </w:tr>
      <w:tr w:rsidR="00F128A3" w:rsidRPr="00F128A3" w14:paraId="092237F2" w14:textId="77777777" w:rsidTr="4C9C2619">
        <w:trPr>
          <w:jc w:val="center"/>
        </w:trPr>
        <w:tc>
          <w:tcPr>
            <w:tcW w:w="1271" w:type="dxa"/>
            <w:hideMark/>
          </w:tcPr>
          <w:p w14:paraId="169DBD7F"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3C7B7A91"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6</w:t>
            </w:r>
          </w:p>
          <w:p w14:paraId="6819E6D0"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tc>
        <w:tc>
          <w:tcPr>
            <w:tcW w:w="2410" w:type="dxa"/>
          </w:tcPr>
          <w:p w14:paraId="44B8A71C"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3: Otros contextos intercontinentales</w:t>
            </w:r>
          </w:p>
          <w:p w14:paraId="7AEFA613"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3.2 Teología de la Liberación y hermenéutica negra en los EEUU</w:t>
            </w:r>
          </w:p>
          <w:p w14:paraId="56C31CFD"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163BF9F1"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15F058D6" w14:textId="77777777" w:rsidR="00F128A3" w:rsidRPr="00F128A3" w:rsidRDefault="00F128A3" w:rsidP="00F128A3">
            <w:pPr>
              <w:spacing w:after="0" w:line="240" w:lineRule="auto"/>
              <w:rPr>
                <w:rFonts w:ascii="Calibri" w:eastAsia="Calibri" w:hAnsi="Calibri" w:cs="Calibri"/>
                <w:kern w:val="0"/>
                <w:lang w:val="es-ES"/>
                <w14:ligatures w14:val="none"/>
              </w:rPr>
            </w:pPr>
          </w:p>
          <w:p w14:paraId="408CCBC1" w14:textId="77777777" w:rsidR="00F128A3" w:rsidRPr="00F128A3" w:rsidRDefault="00F128A3" w:rsidP="00F128A3">
            <w:pPr>
              <w:spacing w:after="0" w:line="240" w:lineRule="auto"/>
              <w:rPr>
                <w:rFonts w:ascii="Calibri" w:eastAsia="Calibri" w:hAnsi="Calibri" w:cs="Calibri"/>
                <w:kern w:val="0"/>
                <w:lang w:val="es-ES"/>
                <w14:ligatures w14:val="none"/>
              </w:rPr>
            </w:pPr>
            <w:proofErr w:type="spellStart"/>
            <w:r w:rsidRPr="00F128A3">
              <w:rPr>
                <w:rFonts w:ascii="Calibri" w:eastAsia="Calibri" w:hAnsi="Calibri" w:cs="Calibri"/>
                <w:kern w:val="0"/>
                <w:lang w:val="es-ES"/>
                <w14:ligatures w14:val="none"/>
              </w:rPr>
              <w:t>Cone</w:t>
            </w:r>
            <w:proofErr w:type="spellEnd"/>
            <w:r w:rsidRPr="00F128A3">
              <w:rPr>
                <w:rFonts w:ascii="Calibri" w:eastAsia="Calibri" w:hAnsi="Calibri" w:cs="Calibri"/>
                <w:kern w:val="0"/>
                <w:lang w:val="es-ES"/>
                <w14:ligatures w14:val="none"/>
              </w:rPr>
              <w:t xml:space="preserve">, James. “Teología negra”. </w:t>
            </w:r>
            <w:r w:rsidRPr="00F128A3">
              <w:rPr>
                <w:rFonts w:ascii="Calibri" w:eastAsia="Calibri" w:hAnsi="Calibri" w:cs="Calibri"/>
                <w:i/>
                <w:kern w:val="0"/>
                <w:lang w:val="es-ES"/>
                <w14:ligatures w14:val="none"/>
              </w:rPr>
              <w:t xml:space="preserve">Selecciones de teología </w:t>
            </w:r>
            <w:r w:rsidRPr="00F128A3">
              <w:rPr>
                <w:rFonts w:ascii="Calibri" w:eastAsia="Calibri" w:hAnsi="Calibri" w:cs="Calibri"/>
                <w:kern w:val="0"/>
                <w:lang w:val="es-ES"/>
                <w14:ligatures w14:val="none"/>
              </w:rPr>
              <w:t>14, (1975): pp. 251-256.</w:t>
            </w:r>
          </w:p>
          <w:p w14:paraId="747185EC" w14:textId="77777777" w:rsidR="00F128A3" w:rsidRPr="00F128A3" w:rsidRDefault="00F128A3" w:rsidP="00F128A3">
            <w:pPr>
              <w:spacing w:after="0" w:line="240" w:lineRule="auto"/>
              <w:rPr>
                <w:rFonts w:ascii="Calibri" w:eastAsia="Calibri" w:hAnsi="Calibri" w:cs="Calibri"/>
                <w:kern w:val="0"/>
                <w:lang w:val="es-ES"/>
                <w14:ligatures w14:val="none"/>
              </w:rPr>
            </w:pPr>
          </w:p>
          <w:p w14:paraId="422BB4A2" w14:textId="77777777" w:rsidR="00F128A3" w:rsidRPr="00F128A3" w:rsidRDefault="00F128A3" w:rsidP="00F128A3">
            <w:pPr>
              <w:spacing w:after="0" w:line="240" w:lineRule="auto"/>
              <w:rPr>
                <w:rFonts w:ascii="Calibri" w:eastAsia="Calibri" w:hAnsi="Calibri" w:cs="Calibri"/>
                <w:b/>
                <w:kern w:val="0"/>
                <w:lang w:val="es-ES"/>
                <w14:ligatures w14:val="none"/>
              </w:rPr>
            </w:pPr>
            <w:r w:rsidRPr="00F128A3">
              <w:rPr>
                <w:rFonts w:ascii="Calibri" w:eastAsia="Calibri" w:hAnsi="Calibri" w:cs="Calibri"/>
                <w:b/>
                <w:kern w:val="0"/>
                <w:lang w:val="es-ES"/>
                <w14:ligatures w14:val="none"/>
              </w:rPr>
              <w:t>Material complementario</w:t>
            </w:r>
          </w:p>
          <w:p w14:paraId="21BD751C"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7C4266DE"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proofErr w:type="spellStart"/>
            <w:r w:rsidRPr="00F128A3">
              <w:rPr>
                <w:rFonts w:ascii="Calibri" w:eastAsia="Calibri" w:hAnsi="Calibri" w:cs="Calibri"/>
                <w:kern w:val="0"/>
                <w:lang w:val="es-419" w:eastAsia="es-CR"/>
                <w14:ligatures w14:val="none"/>
              </w:rPr>
              <w:t>Cone</w:t>
            </w:r>
            <w:proofErr w:type="spellEnd"/>
            <w:r w:rsidRPr="00F128A3">
              <w:rPr>
                <w:rFonts w:ascii="Calibri" w:eastAsia="Calibri" w:hAnsi="Calibri" w:cs="Calibri"/>
                <w:kern w:val="0"/>
                <w:lang w:val="es-419" w:eastAsia="es-CR"/>
                <w14:ligatures w14:val="none"/>
              </w:rPr>
              <w:t xml:space="preserve">, James. “Fuentes y norma de la teología negra”. En </w:t>
            </w:r>
            <w:r w:rsidRPr="00F128A3">
              <w:rPr>
                <w:rFonts w:ascii="Calibri" w:eastAsia="Calibri" w:hAnsi="Calibri" w:cs="Calibri"/>
                <w:i/>
                <w:kern w:val="0"/>
                <w:lang w:val="es-419" w:eastAsia="es-CR"/>
                <w14:ligatures w14:val="none"/>
              </w:rPr>
              <w:t>Teología negra de la liberación</w:t>
            </w:r>
            <w:r w:rsidRPr="00F128A3">
              <w:rPr>
                <w:rFonts w:ascii="Calibri" w:eastAsia="Calibri" w:hAnsi="Calibri" w:cs="Calibri"/>
                <w:kern w:val="0"/>
                <w:lang w:val="es-419" w:eastAsia="es-CR"/>
                <w14:ligatures w14:val="none"/>
              </w:rPr>
              <w:t>, 37-57.</w:t>
            </w:r>
            <w:r w:rsidRPr="00F128A3">
              <w:rPr>
                <w:rFonts w:ascii="Calibri" w:eastAsia="Calibri" w:hAnsi="Calibri" w:cs="Calibri"/>
                <w:i/>
                <w:kern w:val="0"/>
                <w:lang w:val="es-419" w:eastAsia="es-CR"/>
                <w14:ligatures w14:val="none"/>
              </w:rPr>
              <w:t xml:space="preserve"> </w:t>
            </w:r>
            <w:r w:rsidRPr="00F128A3">
              <w:rPr>
                <w:rFonts w:ascii="Calibri" w:eastAsia="Calibri" w:hAnsi="Calibri" w:cs="Calibri"/>
                <w:kern w:val="0"/>
                <w:lang w:val="es-419" w:eastAsia="es-CR"/>
                <w14:ligatures w14:val="none"/>
              </w:rPr>
              <w:t xml:space="preserve">Buenos Aires: Ediciones Carlos </w:t>
            </w:r>
            <w:proofErr w:type="spellStart"/>
            <w:r w:rsidRPr="00F128A3">
              <w:rPr>
                <w:rFonts w:ascii="Calibri" w:eastAsia="Calibri" w:hAnsi="Calibri" w:cs="Calibri"/>
                <w:kern w:val="0"/>
                <w:lang w:val="es-419" w:eastAsia="es-CR"/>
                <w14:ligatures w14:val="none"/>
              </w:rPr>
              <w:t>Lohlé</w:t>
            </w:r>
            <w:proofErr w:type="spellEnd"/>
            <w:r w:rsidRPr="00F128A3">
              <w:rPr>
                <w:rFonts w:ascii="Calibri" w:eastAsia="Calibri" w:hAnsi="Calibri" w:cs="Calibri"/>
                <w:kern w:val="0"/>
                <w:lang w:val="es-419" w:eastAsia="es-CR"/>
                <w14:ligatures w14:val="none"/>
              </w:rPr>
              <w:t xml:space="preserve">, 1973. </w:t>
            </w:r>
            <w:r w:rsidRPr="00F128A3">
              <w:rPr>
                <w:rFonts w:ascii="Calibri" w:eastAsia="Calibri" w:hAnsi="Calibri" w:cs="Calibri"/>
                <w:color w:val="0070C0"/>
                <w:kern w:val="0"/>
                <w:lang w:val="es-ES"/>
                <w14:ligatures w14:val="none"/>
              </w:rPr>
              <w:t>(clásico, última edición)</w:t>
            </w:r>
          </w:p>
          <w:p w14:paraId="1A715F97" w14:textId="77777777" w:rsidR="00F128A3" w:rsidRPr="00F128A3" w:rsidRDefault="00F128A3" w:rsidP="00F128A3">
            <w:pPr>
              <w:spacing w:after="0" w:line="240" w:lineRule="auto"/>
              <w:rPr>
                <w:rFonts w:ascii="Calibri" w:eastAsia="Calibri" w:hAnsi="Calibri" w:cs="Calibri"/>
                <w:kern w:val="0"/>
                <w:lang w:val="es-419"/>
                <w14:ligatures w14:val="none"/>
              </w:rPr>
            </w:pPr>
          </w:p>
          <w:p w14:paraId="0A6CF0F6" w14:textId="77777777" w:rsidR="00F128A3" w:rsidRPr="00F128A3" w:rsidRDefault="00F128A3" w:rsidP="00F128A3">
            <w:pPr>
              <w:spacing w:after="0" w:line="240" w:lineRule="auto"/>
              <w:rPr>
                <w:rFonts w:ascii="Calibri" w:eastAsia="Calibri" w:hAnsi="Calibri" w:cs="Calibri"/>
                <w:color w:val="0070C0"/>
                <w:kern w:val="0"/>
                <w:lang w:val="es-419"/>
                <w14:ligatures w14:val="none"/>
              </w:rPr>
            </w:pPr>
            <w:r w:rsidRPr="00F128A3">
              <w:rPr>
                <w:rFonts w:ascii="Calibri" w:eastAsia="Calibri" w:hAnsi="Calibri" w:cs="Calibri"/>
                <w:color w:val="0070C0"/>
                <w:kern w:val="0"/>
                <w:lang w:val="es-419"/>
                <w14:ligatures w14:val="none"/>
              </w:rPr>
              <w:t xml:space="preserve">Guía para la participación mediante la herramienta Big Blue </w:t>
            </w:r>
            <w:proofErr w:type="spellStart"/>
            <w:r w:rsidRPr="00F128A3">
              <w:rPr>
                <w:rFonts w:ascii="Calibri" w:eastAsia="Calibri" w:hAnsi="Calibri" w:cs="Calibri"/>
                <w:color w:val="0070C0"/>
                <w:kern w:val="0"/>
                <w:lang w:val="es-419"/>
                <w14:ligatures w14:val="none"/>
              </w:rPr>
              <w:t>Button</w:t>
            </w:r>
            <w:proofErr w:type="spellEnd"/>
            <w:r w:rsidRPr="00F128A3">
              <w:rPr>
                <w:rFonts w:ascii="Calibri" w:eastAsia="Calibri" w:hAnsi="Calibri" w:cs="Calibri"/>
                <w:color w:val="0070C0"/>
                <w:kern w:val="0"/>
                <w:lang w:val="es-419"/>
                <w14:ligatures w14:val="none"/>
              </w:rPr>
              <w:t xml:space="preserve"> en la plataforma Moodle</w:t>
            </w:r>
          </w:p>
          <w:p w14:paraId="1064BD53" w14:textId="77777777" w:rsidR="00F128A3" w:rsidRPr="00F128A3" w:rsidRDefault="00F128A3" w:rsidP="00F128A3">
            <w:pPr>
              <w:spacing w:after="0" w:line="240" w:lineRule="auto"/>
              <w:rPr>
                <w:rFonts w:ascii="Calibri" w:eastAsia="Calibri" w:hAnsi="Calibri" w:cs="Calibri"/>
                <w:color w:val="0070C0"/>
                <w:kern w:val="0"/>
                <w:lang w:val="es-419"/>
                <w14:ligatures w14:val="none"/>
              </w:rPr>
            </w:pPr>
          </w:p>
          <w:p w14:paraId="03BFD639" w14:textId="77777777" w:rsidR="00F128A3" w:rsidRPr="00F128A3" w:rsidRDefault="00F128A3" w:rsidP="00F128A3">
            <w:pPr>
              <w:spacing w:after="0" w:line="240" w:lineRule="auto"/>
              <w:rPr>
                <w:rFonts w:ascii="Calibri" w:eastAsia="Calibri" w:hAnsi="Calibri" w:cs="Calibri"/>
                <w:color w:val="0070C0"/>
                <w:kern w:val="0"/>
                <w:lang w:val="es-419"/>
                <w14:ligatures w14:val="none"/>
              </w:rPr>
            </w:pPr>
            <w:r w:rsidRPr="00F128A3">
              <w:rPr>
                <w:rFonts w:ascii="Calibri" w:eastAsia="Calibri" w:hAnsi="Calibri" w:cs="Calibri"/>
                <w:color w:val="0070C0"/>
                <w:kern w:val="0"/>
                <w:lang w:val="es-419"/>
                <w14:ligatures w14:val="none"/>
              </w:rPr>
              <w:t>Guía para la participación en un foro en la plataforma Moodle</w:t>
            </w:r>
          </w:p>
          <w:p w14:paraId="7189FD9B" w14:textId="77777777" w:rsidR="00F128A3" w:rsidRPr="00F128A3" w:rsidRDefault="00F128A3" w:rsidP="00F128A3">
            <w:pPr>
              <w:spacing w:after="0" w:line="240" w:lineRule="auto"/>
              <w:rPr>
                <w:rFonts w:ascii="Calibri" w:eastAsia="Calibri" w:hAnsi="Calibri" w:cs="Calibri"/>
                <w:color w:val="0070C0"/>
                <w:kern w:val="0"/>
                <w:lang w:val="es-419"/>
                <w14:ligatures w14:val="none"/>
              </w:rPr>
            </w:pPr>
          </w:p>
        </w:tc>
        <w:tc>
          <w:tcPr>
            <w:tcW w:w="3260" w:type="dxa"/>
          </w:tcPr>
          <w:p w14:paraId="55D3064A" w14:textId="77777777" w:rsidR="00F128A3" w:rsidRPr="00F128A3" w:rsidRDefault="00F128A3" w:rsidP="00F128A3">
            <w:pPr>
              <w:widowControl w:val="0"/>
              <w:numPr>
                <w:ilvl w:val="0"/>
                <w:numId w:val="184"/>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Realizar la lectura de la sesión.</w:t>
            </w:r>
          </w:p>
          <w:p w14:paraId="1BA51CC7" w14:textId="77777777" w:rsidR="00F128A3" w:rsidRPr="00F128A3" w:rsidRDefault="00F128A3" w:rsidP="00F128A3">
            <w:pPr>
              <w:widowControl w:val="0"/>
              <w:numPr>
                <w:ilvl w:val="0"/>
                <w:numId w:val="184"/>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Entrega del primer avance del ensayo.</w:t>
            </w:r>
          </w:p>
          <w:p w14:paraId="284DB43E" w14:textId="77777777" w:rsidR="00F128A3" w:rsidRPr="00F128A3" w:rsidRDefault="00F128A3" w:rsidP="00F128A3">
            <w:pPr>
              <w:widowControl w:val="0"/>
              <w:numPr>
                <w:ilvl w:val="0"/>
                <w:numId w:val="184"/>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 xml:space="preserve">Aporte docente: Teología y hermenéutica negra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lang w:val="es-ES" w:eastAsia="es-ES"/>
                <w14:ligatures w14:val="none"/>
              </w:rPr>
              <w:t xml:space="preserve">. </w:t>
            </w:r>
          </w:p>
          <w:p w14:paraId="48087FF8" w14:textId="77777777" w:rsidR="00F128A3" w:rsidRPr="00F128A3" w:rsidRDefault="00F128A3" w:rsidP="00F128A3">
            <w:pPr>
              <w:widowControl w:val="0"/>
              <w:numPr>
                <w:ilvl w:val="0"/>
                <w:numId w:val="184"/>
              </w:numPr>
              <w:overflowPunct w:val="0"/>
              <w:autoSpaceDE w:val="0"/>
              <w:autoSpaceDN w:val="0"/>
              <w:adjustRightInd w:val="0"/>
              <w:spacing w:before="120" w:after="200" w:line="276" w:lineRule="auto"/>
              <w:ind w:left="377"/>
              <w:contextualSpacing/>
              <w:rPr>
                <w:rFonts w:ascii="Calibri" w:eastAsia="Calibri" w:hAnsi="Calibri" w:cs="Arial"/>
                <w:kern w:val="0"/>
                <w:lang w:val="es-ES" w:eastAsia="es-ES"/>
                <w14:ligatures w14:val="none"/>
              </w:rPr>
            </w:pPr>
            <w:r w:rsidRPr="00F128A3">
              <w:rPr>
                <w:rFonts w:ascii="Calibri" w:eastAsia="Calibri" w:hAnsi="Calibri" w:cs="Arial"/>
                <w:kern w:val="0"/>
                <w:lang w:val="es-ES" w:eastAsia="es-ES"/>
                <w14:ligatures w14:val="none"/>
              </w:rPr>
              <w:t>Participación en el foro temático grupal: Trabajo con estudio bíblico.</w:t>
            </w:r>
          </w:p>
        </w:tc>
      </w:tr>
      <w:tr w:rsidR="00F128A3" w:rsidRPr="00F128A3" w14:paraId="33EC853F" w14:textId="77777777" w:rsidTr="4C9C2619">
        <w:trPr>
          <w:jc w:val="center"/>
        </w:trPr>
        <w:tc>
          <w:tcPr>
            <w:tcW w:w="1271" w:type="dxa"/>
            <w:hideMark/>
          </w:tcPr>
          <w:p w14:paraId="00C8F325"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382476B5"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7</w:t>
            </w:r>
          </w:p>
          <w:p w14:paraId="69EAD44C"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70DF450B"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4: El feminismo como clave interpretativa</w:t>
            </w:r>
          </w:p>
          <w:p w14:paraId="4068A43E"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4.1 Teologías feministas</w:t>
            </w:r>
          </w:p>
          <w:p w14:paraId="0971B212" w14:textId="77777777" w:rsidR="00F128A3" w:rsidRPr="00F128A3" w:rsidRDefault="00F128A3" w:rsidP="00F128A3">
            <w:pPr>
              <w:spacing w:after="200" w:line="240" w:lineRule="auto"/>
              <w:rPr>
                <w:rFonts w:ascii="Calibri" w:eastAsia="Calibri" w:hAnsi="Calibri" w:cs="Arial"/>
                <w:b/>
                <w:strike/>
                <w:kern w:val="0"/>
                <w14:ligatures w14:val="none"/>
              </w:rPr>
            </w:pPr>
          </w:p>
        </w:tc>
        <w:tc>
          <w:tcPr>
            <w:tcW w:w="2835" w:type="dxa"/>
          </w:tcPr>
          <w:p w14:paraId="69C92451"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64833813" w14:textId="77777777" w:rsidR="00F128A3" w:rsidRPr="00F128A3" w:rsidRDefault="00F128A3" w:rsidP="00F128A3">
            <w:pPr>
              <w:spacing w:after="0" w:line="240" w:lineRule="auto"/>
              <w:rPr>
                <w:rFonts w:ascii="Calibri" w:eastAsia="Calibri" w:hAnsi="Calibri" w:cs="Calibri"/>
                <w:kern w:val="0"/>
                <w:lang w:val="es-ES"/>
                <w14:ligatures w14:val="none"/>
              </w:rPr>
            </w:pPr>
          </w:p>
          <w:p w14:paraId="190B2C63"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Aquino, María Pilar. “Teología feminista intercultural”. En </w:t>
            </w:r>
            <w:r w:rsidRPr="00F128A3">
              <w:rPr>
                <w:rFonts w:ascii="Calibri" w:eastAsia="Calibri" w:hAnsi="Calibri" w:cs="Calibri"/>
                <w:i/>
                <w:kern w:val="0"/>
                <w:lang w:val="es-ES"/>
                <w14:ligatures w14:val="none"/>
              </w:rPr>
              <w:t>Teología feminista intercultural: exploraciones latinas para un mundo justo</w:t>
            </w:r>
            <w:r w:rsidRPr="00F128A3">
              <w:rPr>
                <w:rFonts w:ascii="Calibri" w:eastAsia="Calibri" w:hAnsi="Calibri" w:cs="Calibri"/>
                <w:kern w:val="0"/>
                <w:lang w:val="es-ES"/>
                <w14:ligatures w14:val="none"/>
              </w:rPr>
              <w:t xml:space="preserve">, editado por María Pilar Aquino, María José Rosado Nunes y Clara Luz Ajo, 43-66. México: DABAR, 2008. </w:t>
            </w:r>
            <w:r w:rsidRPr="00F128A3">
              <w:rPr>
                <w:rFonts w:ascii="Calibri" w:eastAsia="Calibri" w:hAnsi="Calibri" w:cs="Calibri"/>
                <w:color w:val="0070C0"/>
                <w:kern w:val="0"/>
                <w:lang w:val="es-ES"/>
                <w14:ligatures w14:val="none"/>
              </w:rPr>
              <w:t>(clásico, última edición)</w:t>
            </w:r>
          </w:p>
          <w:p w14:paraId="5CB292A0" w14:textId="77777777" w:rsidR="00F128A3" w:rsidRPr="00F128A3" w:rsidRDefault="00F128A3" w:rsidP="00F128A3">
            <w:pPr>
              <w:spacing w:after="0" w:line="240" w:lineRule="auto"/>
              <w:rPr>
                <w:rFonts w:ascii="Calibri" w:eastAsia="Calibri" w:hAnsi="Calibri" w:cs="Calibri"/>
                <w:kern w:val="0"/>
                <w:lang w:val="es-ES"/>
                <w14:ligatures w14:val="none"/>
              </w:rPr>
            </w:pPr>
          </w:p>
          <w:p w14:paraId="49AFFAF6" w14:textId="77777777" w:rsidR="00F128A3" w:rsidRPr="00F128A3" w:rsidRDefault="00F128A3" w:rsidP="00F128A3">
            <w:pPr>
              <w:spacing w:after="0" w:line="240" w:lineRule="auto"/>
              <w:rPr>
                <w:rFonts w:ascii="Calibri" w:eastAsia="Calibri" w:hAnsi="Calibri" w:cs="Calibri"/>
                <w:kern w:val="0"/>
                <w:lang w:val="es-ES"/>
                <w14:ligatures w14:val="none"/>
              </w:rPr>
            </w:pPr>
          </w:p>
          <w:p w14:paraId="7F3B8C5A"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
                <w14:ligatures w14:val="none"/>
              </w:rPr>
              <w:t xml:space="preserve">Rosado-Nunes, María José. “Nuevos paradigmas en el pensamiento teológico feminista. El anhelo por un mundo justo”. En </w:t>
            </w:r>
            <w:r w:rsidRPr="00F128A3">
              <w:rPr>
                <w:rFonts w:ascii="Calibri" w:eastAsia="Calibri" w:hAnsi="Calibri" w:cs="Calibri"/>
                <w:i/>
                <w:kern w:val="0"/>
                <w:lang w:val="es-ES"/>
                <w14:ligatures w14:val="none"/>
              </w:rPr>
              <w:t>Teología feminista intercultural: exploraciones latinas para un mundo justo</w:t>
            </w:r>
            <w:r w:rsidRPr="00F128A3">
              <w:rPr>
                <w:rFonts w:ascii="Calibri" w:eastAsia="Calibri" w:hAnsi="Calibri" w:cs="Calibri"/>
                <w:kern w:val="0"/>
                <w:lang w:val="es-ES"/>
                <w14:ligatures w14:val="none"/>
              </w:rPr>
              <w:t xml:space="preserve">, editado por María Pilar Aquino, María José Rosado Nunes y Clara Luz Ajo, 33-41. México: DABAR, 2008. </w:t>
            </w:r>
            <w:r w:rsidRPr="00F128A3">
              <w:rPr>
                <w:rFonts w:ascii="Calibri" w:eastAsia="Calibri" w:hAnsi="Calibri" w:cs="Calibri"/>
                <w:color w:val="0070C0"/>
                <w:kern w:val="0"/>
                <w:lang w:val="es-ES"/>
                <w14:ligatures w14:val="none"/>
              </w:rPr>
              <w:t>(clásico, última edición)</w:t>
            </w:r>
          </w:p>
          <w:p w14:paraId="2A84427F" w14:textId="77777777" w:rsidR="00F128A3" w:rsidRPr="00F128A3" w:rsidRDefault="00F128A3" w:rsidP="00F128A3">
            <w:pPr>
              <w:spacing w:after="0" w:line="240" w:lineRule="auto"/>
              <w:rPr>
                <w:rFonts w:ascii="Calibri" w:eastAsia="Calibri" w:hAnsi="Calibri" w:cs="Calibri"/>
                <w:kern w:val="0"/>
                <w:lang w:val="es-ES"/>
                <w14:ligatures w14:val="none"/>
              </w:rPr>
            </w:pPr>
          </w:p>
          <w:p w14:paraId="2EF7C7E5" w14:textId="77777777" w:rsidR="00F128A3" w:rsidRPr="00F128A3" w:rsidRDefault="00F128A3" w:rsidP="00F128A3">
            <w:pPr>
              <w:spacing w:after="0" w:line="240" w:lineRule="auto"/>
              <w:rPr>
                <w:rFonts w:ascii="Calibri" w:eastAsia="Calibri" w:hAnsi="Calibri" w:cs="Calibri"/>
                <w:kern w:val="0"/>
                <w:lang w:val="es-ES"/>
                <w14:ligatures w14:val="none"/>
              </w:rPr>
            </w:pPr>
          </w:p>
          <w:p w14:paraId="72BC7A26" w14:textId="77777777" w:rsidR="00F128A3" w:rsidRPr="00F128A3" w:rsidRDefault="00F128A3" w:rsidP="00F128A3">
            <w:pPr>
              <w:spacing w:after="0" w:line="240" w:lineRule="auto"/>
              <w:rPr>
                <w:rFonts w:ascii="Calibri" w:eastAsia="Calibri" w:hAnsi="Calibri" w:cs="Calibri"/>
                <w:b/>
                <w:kern w:val="0"/>
                <w:lang w:val="es-ES"/>
                <w14:ligatures w14:val="none"/>
              </w:rPr>
            </w:pPr>
            <w:r w:rsidRPr="00F128A3">
              <w:rPr>
                <w:rFonts w:ascii="Calibri" w:eastAsia="Calibri" w:hAnsi="Calibri" w:cs="Calibri"/>
                <w:b/>
                <w:kern w:val="0"/>
                <w:lang w:val="es-ES"/>
                <w14:ligatures w14:val="none"/>
              </w:rPr>
              <w:t>Material complementario</w:t>
            </w:r>
          </w:p>
          <w:p w14:paraId="43A6FB77"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7809E137" w14:textId="77777777" w:rsidR="00F128A3" w:rsidRPr="00F128A3" w:rsidRDefault="00F128A3" w:rsidP="00F128A3">
            <w:pPr>
              <w:spacing w:after="0" w:line="240" w:lineRule="auto"/>
              <w:rPr>
                <w:rFonts w:ascii="Calibri" w:eastAsia="Calibri" w:hAnsi="Calibri" w:cs="Calibri"/>
                <w:color w:val="0563C1"/>
                <w:kern w:val="0"/>
                <w:u w:val="single"/>
                <w:lang w:val="es-419" w:eastAsia="es-CR"/>
                <w14:ligatures w14:val="none"/>
              </w:rPr>
            </w:pPr>
            <w:r w:rsidRPr="00F128A3">
              <w:rPr>
                <w:rFonts w:ascii="Calibri" w:eastAsia="Calibri" w:hAnsi="Calibri" w:cs="Calibri"/>
                <w:kern w:val="0"/>
                <w:lang w:val="es-419" w:eastAsia="es-CR"/>
                <w14:ligatures w14:val="none"/>
              </w:rPr>
              <w:t xml:space="preserve">Román-López </w:t>
            </w:r>
            <w:proofErr w:type="spellStart"/>
            <w:r w:rsidRPr="00F128A3">
              <w:rPr>
                <w:rFonts w:ascii="Calibri" w:eastAsia="Calibri" w:hAnsi="Calibri" w:cs="Calibri"/>
                <w:kern w:val="0"/>
                <w:lang w:val="es-419" w:eastAsia="es-CR"/>
                <w14:ligatures w14:val="none"/>
              </w:rPr>
              <w:t>Dollinger</w:t>
            </w:r>
            <w:proofErr w:type="spellEnd"/>
            <w:r w:rsidRPr="00F128A3">
              <w:rPr>
                <w:rFonts w:ascii="Calibri" w:eastAsia="Calibri" w:hAnsi="Calibri" w:cs="Calibri"/>
                <w:kern w:val="0"/>
                <w:lang w:val="es-419" w:eastAsia="es-CR"/>
                <w14:ligatures w14:val="none"/>
              </w:rPr>
              <w:t xml:space="preserve">, Ángel Eduardo. “Perspectiva de género e ideología: Lecturas contextuales bíblicas en clave de género”. </w:t>
            </w:r>
            <w:r w:rsidRPr="00F128A3">
              <w:rPr>
                <w:rFonts w:ascii="Calibri" w:eastAsia="Calibri" w:hAnsi="Calibri" w:cs="Calibri"/>
                <w:i/>
                <w:kern w:val="0"/>
                <w:lang w:val="es-419" w:eastAsia="es-CR"/>
                <w14:ligatures w14:val="none"/>
              </w:rPr>
              <w:t xml:space="preserve">Vida y Pensamiento </w:t>
            </w:r>
            <w:r w:rsidRPr="00F128A3">
              <w:rPr>
                <w:rFonts w:ascii="Calibri" w:eastAsia="Calibri" w:hAnsi="Calibri" w:cs="Calibri"/>
                <w:kern w:val="0"/>
                <w:lang w:val="es-419" w:eastAsia="es-CR"/>
                <w14:ligatures w14:val="none"/>
              </w:rPr>
              <w:t>38, n. 1 (2018): 109-132. Acceso el 18 de diciembre de 2020.</w:t>
            </w:r>
            <w:r w:rsidRPr="00F128A3">
              <w:rPr>
                <w:rFonts w:ascii="Calibri" w:eastAsia="Calibri" w:hAnsi="Calibri" w:cs="Calibri"/>
                <w:color w:val="00B050"/>
                <w:kern w:val="0"/>
                <w:lang w:val="es-419" w:eastAsia="es-CR"/>
                <w14:ligatures w14:val="none"/>
              </w:rPr>
              <w:t xml:space="preserve"> </w:t>
            </w:r>
            <w:hyperlink r:id="rId569" w:history="1">
              <w:r w:rsidRPr="00F128A3">
                <w:rPr>
                  <w:rFonts w:ascii="Calibri" w:eastAsia="Calibri" w:hAnsi="Calibri" w:cs="Calibri"/>
                  <w:color w:val="0563C1"/>
                  <w:kern w:val="0"/>
                  <w:u w:val="single"/>
                  <w:lang w:val="es-419" w:eastAsia="es-CR"/>
                  <w14:ligatures w14:val="none"/>
                </w:rPr>
                <w:t>http://revistas.ubl.ac.cr/index.php/vyp/article/view/49</w:t>
              </w:r>
            </w:hyperlink>
          </w:p>
          <w:p w14:paraId="2E11E4C8" w14:textId="77777777" w:rsidR="00F128A3" w:rsidRPr="00F128A3" w:rsidRDefault="00F128A3" w:rsidP="00F128A3">
            <w:pPr>
              <w:spacing w:after="0" w:line="240" w:lineRule="auto"/>
              <w:rPr>
                <w:rFonts w:ascii="Times New Roman" w:eastAsia="Calibri" w:hAnsi="Times New Roman" w:cs="Times New Roman"/>
                <w:color w:val="0563C1"/>
                <w:kern w:val="0"/>
                <w:sz w:val="24"/>
                <w:szCs w:val="20"/>
                <w:u w:val="single"/>
                <w:lang w:val="es-419" w:eastAsia="es-CR"/>
                <w14:ligatures w14:val="none"/>
              </w:rPr>
            </w:pPr>
          </w:p>
          <w:p w14:paraId="7F829269" w14:textId="77777777" w:rsidR="00F128A3" w:rsidRPr="00F128A3" w:rsidRDefault="00F128A3" w:rsidP="00F128A3">
            <w:pPr>
              <w:spacing w:after="0" w:line="240" w:lineRule="auto"/>
              <w:rPr>
                <w:rFonts w:ascii="Calibri" w:eastAsia="Calibri" w:hAnsi="Calibri" w:cs="Calibri"/>
                <w:color w:val="0563C1"/>
                <w:kern w:val="0"/>
                <w:u w:val="single"/>
                <w:lang w:val="es-419" w:eastAsia="es-CR"/>
                <w14:ligatures w14:val="none"/>
              </w:rPr>
            </w:pPr>
            <w:r w:rsidRPr="00F128A3">
              <w:rPr>
                <w:rFonts w:ascii="Calibri" w:eastAsia="Calibri" w:hAnsi="Calibri" w:cs="Calibri"/>
                <w:color w:val="0563C1"/>
                <w:kern w:val="0"/>
                <w:u w:val="single"/>
                <w:lang w:val="es-419" w:eastAsia="es-CR"/>
                <w14:ligatures w14:val="none"/>
              </w:rPr>
              <w:t>Guía para la elaboración de un diario reflexivo</w:t>
            </w:r>
          </w:p>
          <w:p w14:paraId="4F37CA78" w14:textId="77777777" w:rsidR="00F128A3" w:rsidRPr="00F128A3" w:rsidRDefault="00F128A3" w:rsidP="00F128A3">
            <w:pPr>
              <w:spacing w:after="0" w:line="240" w:lineRule="auto"/>
              <w:rPr>
                <w:rFonts w:ascii="Calibri" w:eastAsia="Calibri" w:hAnsi="Calibri" w:cs="Calibri"/>
                <w:color w:val="0563C1"/>
                <w:kern w:val="0"/>
                <w:u w:val="single"/>
                <w:lang w:val="es-419" w:eastAsia="es-CR"/>
                <w14:ligatures w14:val="none"/>
              </w:rPr>
            </w:pPr>
          </w:p>
          <w:p w14:paraId="2A5F2F0B"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color w:val="0563C1"/>
                <w:kern w:val="0"/>
                <w:u w:val="single"/>
                <w:lang w:val="es-419" w:eastAsia="es-CR"/>
                <w14:ligatures w14:val="none"/>
              </w:rPr>
              <w:t xml:space="preserve">Guía para la participación mediante la herramienta Big </w:t>
            </w:r>
            <w:r w:rsidRPr="00F128A3">
              <w:rPr>
                <w:rFonts w:ascii="Calibri" w:eastAsia="Calibri" w:hAnsi="Calibri" w:cs="Calibri"/>
                <w:color w:val="0563C1"/>
                <w:kern w:val="0"/>
                <w:u w:val="single"/>
                <w:lang w:val="es-419" w:eastAsia="es-CR"/>
                <w14:ligatures w14:val="none"/>
              </w:rPr>
              <w:lastRenderedPageBreak/>
              <w:t xml:space="preserve">Blue </w:t>
            </w:r>
            <w:proofErr w:type="spellStart"/>
            <w:r w:rsidRPr="00F128A3">
              <w:rPr>
                <w:rFonts w:ascii="Calibri" w:eastAsia="Calibri" w:hAnsi="Calibri" w:cs="Calibri"/>
                <w:color w:val="0563C1"/>
                <w:kern w:val="0"/>
                <w:u w:val="single"/>
                <w:lang w:val="es-419" w:eastAsia="es-CR"/>
                <w14:ligatures w14:val="none"/>
              </w:rPr>
              <w:t>Button</w:t>
            </w:r>
            <w:proofErr w:type="spellEnd"/>
            <w:r w:rsidRPr="00F128A3">
              <w:rPr>
                <w:rFonts w:ascii="Calibri" w:eastAsia="Calibri" w:hAnsi="Calibri" w:cs="Calibri"/>
                <w:color w:val="0563C1"/>
                <w:kern w:val="0"/>
                <w:u w:val="single"/>
                <w:lang w:val="es-419" w:eastAsia="es-CR"/>
                <w14:ligatures w14:val="none"/>
              </w:rPr>
              <w:t xml:space="preserve"> en la plataforma Moodle</w:t>
            </w:r>
          </w:p>
          <w:p w14:paraId="209C7D7C" w14:textId="77777777" w:rsidR="00F128A3" w:rsidRPr="00F128A3" w:rsidRDefault="00F128A3" w:rsidP="00F128A3">
            <w:pPr>
              <w:spacing w:after="0" w:line="240" w:lineRule="auto"/>
              <w:rPr>
                <w:rFonts w:ascii="Calibri" w:eastAsia="Calibri" w:hAnsi="Calibri" w:cs="Calibri"/>
                <w:kern w:val="0"/>
                <w:lang w:val="es-ES"/>
                <w14:ligatures w14:val="none"/>
              </w:rPr>
            </w:pPr>
          </w:p>
        </w:tc>
        <w:tc>
          <w:tcPr>
            <w:tcW w:w="3260" w:type="dxa"/>
          </w:tcPr>
          <w:p w14:paraId="2E86B246" w14:textId="77777777" w:rsidR="00F128A3" w:rsidRPr="00F128A3" w:rsidRDefault="00F128A3" w:rsidP="00F128A3">
            <w:pPr>
              <w:widowControl w:val="0"/>
              <w:numPr>
                <w:ilvl w:val="0"/>
                <w:numId w:val="185"/>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lastRenderedPageBreak/>
              <w:t>Realizar las lecturas de la sesión.</w:t>
            </w:r>
          </w:p>
          <w:p w14:paraId="0071F210" w14:textId="77777777" w:rsidR="00F128A3" w:rsidRPr="00F128A3" w:rsidRDefault="00F128A3" w:rsidP="00F128A3">
            <w:pPr>
              <w:widowControl w:val="0"/>
              <w:numPr>
                <w:ilvl w:val="0"/>
                <w:numId w:val="185"/>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Inicie la elaboración de un diario reflexivo.</w:t>
            </w:r>
          </w:p>
          <w:p w14:paraId="2E5FFFFE" w14:textId="77777777" w:rsidR="00F128A3" w:rsidRPr="00F128A3" w:rsidRDefault="00F128A3" w:rsidP="00F128A3">
            <w:pPr>
              <w:widowControl w:val="0"/>
              <w:numPr>
                <w:ilvl w:val="0"/>
                <w:numId w:val="185"/>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Aporte docente: El feminismo en clave interpretativa, seguido de un debate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14:ligatures w14:val="none"/>
              </w:rPr>
              <w:t xml:space="preserve">. </w:t>
            </w:r>
          </w:p>
        </w:tc>
      </w:tr>
      <w:tr w:rsidR="00F128A3" w:rsidRPr="00F128A3" w14:paraId="0D7ABDC5" w14:textId="77777777" w:rsidTr="4C9C2619">
        <w:trPr>
          <w:jc w:val="center"/>
        </w:trPr>
        <w:tc>
          <w:tcPr>
            <w:tcW w:w="1271" w:type="dxa"/>
            <w:hideMark/>
          </w:tcPr>
          <w:p w14:paraId="13C09C4A"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5F388F45"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8</w:t>
            </w:r>
          </w:p>
          <w:p w14:paraId="17DD3E18"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1DA3EFCB"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4: El feminismo como clave interpretativa</w:t>
            </w:r>
          </w:p>
          <w:p w14:paraId="353306C1" w14:textId="77777777" w:rsidR="00F128A3" w:rsidRPr="00F128A3" w:rsidRDefault="00F128A3" w:rsidP="00F128A3">
            <w:pPr>
              <w:spacing w:after="200" w:line="240" w:lineRule="auto"/>
              <w:rPr>
                <w:rFonts w:ascii="Calibri" w:eastAsia="Times New Roman" w:hAnsi="Calibri" w:cs="Calibri"/>
                <w:kern w:val="0"/>
                <w:lang w:eastAsia="es-CR"/>
                <w14:ligatures w14:val="none"/>
              </w:rPr>
            </w:pPr>
            <w:r w:rsidRPr="00F128A3">
              <w:rPr>
                <w:rFonts w:ascii="Calibri" w:eastAsia="Times New Roman" w:hAnsi="Calibri" w:cs="Calibri"/>
                <w:kern w:val="0"/>
                <w:lang w:eastAsia="es-CR"/>
                <w14:ligatures w14:val="none"/>
              </w:rPr>
              <w:t>4.1 Hermenéuticas feministas</w:t>
            </w:r>
          </w:p>
          <w:p w14:paraId="0196E2F3" w14:textId="77777777" w:rsidR="00F128A3" w:rsidRPr="00F128A3" w:rsidRDefault="00F128A3" w:rsidP="00F128A3">
            <w:pPr>
              <w:spacing w:after="200" w:line="240" w:lineRule="auto"/>
              <w:rPr>
                <w:rFonts w:ascii="Calibri" w:eastAsia="Calibri" w:hAnsi="Calibri" w:cs="Calibri"/>
                <w:kern w:val="0"/>
                <w14:ligatures w14:val="none"/>
              </w:rPr>
            </w:pPr>
          </w:p>
        </w:tc>
        <w:tc>
          <w:tcPr>
            <w:tcW w:w="2835" w:type="dxa"/>
          </w:tcPr>
          <w:p w14:paraId="148D26AC" w14:textId="77777777" w:rsidR="00F128A3" w:rsidRPr="00F128A3" w:rsidRDefault="00F128A3" w:rsidP="00F128A3">
            <w:pPr>
              <w:spacing w:after="200" w:line="240" w:lineRule="auto"/>
              <w:ind w:left="-31"/>
              <w:contextualSpacing/>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06115647" w14:textId="77777777" w:rsidR="00F128A3" w:rsidRPr="00F128A3" w:rsidRDefault="00F128A3" w:rsidP="00F128A3">
            <w:pPr>
              <w:spacing w:after="200" w:line="240" w:lineRule="auto"/>
              <w:ind w:left="-31"/>
              <w:contextualSpacing/>
              <w:rPr>
                <w:rFonts w:ascii="Calibri" w:eastAsia="Times New Roman" w:hAnsi="Calibri" w:cs="Arial"/>
                <w:kern w:val="0"/>
                <w:lang w:val="es-ES_tradnl" w:eastAsia="es-CR"/>
                <w14:ligatures w14:val="none"/>
              </w:rPr>
            </w:pPr>
          </w:p>
          <w:p w14:paraId="62278CD6" w14:textId="77777777" w:rsidR="00F128A3" w:rsidRPr="00F128A3" w:rsidRDefault="00F128A3" w:rsidP="00F128A3">
            <w:pPr>
              <w:spacing w:after="200" w:line="240" w:lineRule="auto"/>
              <w:ind w:left="-31"/>
              <w:contextualSpacing/>
              <w:rPr>
                <w:rFonts w:ascii="Calibri" w:eastAsia="Times New Roman" w:hAnsi="Calibri" w:cs="Arial"/>
                <w:kern w:val="0"/>
                <w:lang w:val="es-ES_tradnl" w:eastAsia="es-CR"/>
                <w14:ligatures w14:val="none"/>
              </w:rPr>
            </w:pPr>
            <w:r w:rsidRPr="00F128A3">
              <w:rPr>
                <w:rFonts w:ascii="Calibri" w:eastAsia="Times New Roman" w:hAnsi="Calibri" w:cs="Arial"/>
                <w:kern w:val="0"/>
                <w:lang w:val="es-ES_tradnl" w:eastAsia="es-CR"/>
                <w14:ligatures w14:val="none"/>
              </w:rPr>
              <w:t xml:space="preserve">Tamez, Elsa. “Pautas   hermenéuticas para comprender Gálatas 3, 28 y I Co 14, 34”. </w:t>
            </w:r>
            <w:r w:rsidRPr="00F128A3">
              <w:rPr>
                <w:rFonts w:ascii="Calibri" w:eastAsia="Times New Roman" w:hAnsi="Calibri" w:cs="Arial"/>
                <w:i/>
                <w:kern w:val="0"/>
                <w:lang w:val="es-ES_tradnl" w:eastAsia="es-CR"/>
                <w14:ligatures w14:val="none"/>
              </w:rPr>
              <w:t>RIBLA</w:t>
            </w:r>
            <w:r w:rsidRPr="00F128A3">
              <w:rPr>
                <w:rFonts w:ascii="Calibri" w:eastAsia="Times New Roman" w:hAnsi="Calibri" w:cs="Arial"/>
                <w:kern w:val="0"/>
                <w:lang w:val="es-ES_tradnl" w:eastAsia="es-CR"/>
                <w14:ligatures w14:val="none"/>
              </w:rPr>
              <w:t xml:space="preserve"> 15, (1993): pp. 9-18. </w:t>
            </w:r>
          </w:p>
          <w:p w14:paraId="2252E84A" w14:textId="77777777" w:rsidR="00F128A3" w:rsidRPr="00F128A3" w:rsidRDefault="00F128A3" w:rsidP="00F128A3">
            <w:pPr>
              <w:spacing w:after="0" w:line="240" w:lineRule="auto"/>
              <w:rPr>
                <w:rFonts w:ascii="Calibri" w:eastAsia="Times New Roman" w:hAnsi="Calibri" w:cs="Arial"/>
                <w:color w:val="FF0000"/>
                <w:kern w:val="0"/>
                <w:lang w:val="es-ES_tradnl" w:eastAsia="es-CR"/>
                <w14:ligatures w14:val="none"/>
              </w:rPr>
            </w:pPr>
          </w:p>
          <w:p w14:paraId="61A62850" w14:textId="77777777" w:rsidR="00F128A3" w:rsidRPr="00F128A3" w:rsidRDefault="00F128A3" w:rsidP="00F128A3">
            <w:pPr>
              <w:spacing w:after="0" w:line="240" w:lineRule="auto"/>
              <w:rPr>
                <w:rFonts w:ascii="Calibri" w:eastAsia="Times New Roman" w:hAnsi="Calibri" w:cs="Arial"/>
                <w:kern w:val="0"/>
                <w:lang w:val="es-ES_tradnl" w:eastAsia="es-CR"/>
                <w14:ligatures w14:val="none"/>
              </w:rPr>
            </w:pPr>
            <w:r w:rsidRPr="00F128A3">
              <w:rPr>
                <w:rFonts w:ascii="Calibri" w:eastAsia="Times New Roman" w:hAnsi="Calibri" w:cs="Arial"/>
                <w:kern w:val="0"/>
                <w:lang w:val="es-ES_tradnl" w:eastAsia="es-CR"/>
                <w14:ligatures w14:val="none"/>
              </w:rPr>
              <w:t xml:space="preserve">Cardoso Pereira, Nancy. “El cuerpo bajo sospecha: Violencia sexista en el libro de los Números”. </w:t>
            </w:r>
            <w:r w:rsidRPr="00F128A3">
              <w:rPr>
                <w:rFonts w:ascii="Calibri" w:eastAsia="Times New Roman" w:hAnsi="Calibri" w:cs="Arial"/>
                <w:i/>
                <w:kern w:val="0"/>
                <w:lang w:val="es-ES_tradnl" w:eastAsia="es-CR"/>
                <w14:ligatures w14:val="none"/>
              </w:rPr>
              <w:t xml:space="preserve">RIBLA </w:t>
            </w:r>
            <w:r w:rsidRPr="00F128A3">
              <w:rPr>
                <w:rFonts w:ascii="Calibri" w:eastAsia="Times New Roman" w:hAnsi="Calibri" w:cs="Arial"/>
                <w:kern w:val="0"/>
                <w:lang w:val="es-ES_tradnl" w:eastAsia="es-CR"/>
                <w14:ligatures w14:val="none"/>
              </w:rPr>
              <w:t>41 (2002/1): pp. 7-16.</w:t>
            </w:r>
          </w:p>
          <w:p w14:paraId="3E655F34" w14:textId="77777777" w:rsidR="00F128A3" w:rsidRPr="00F128A3" w:rsidRDefault="00F128A3" w:rsidP="00F128A3">
            <w:pPr>
              <w:spacing w:after="0" w:line="240" w:lineRule="auto"/>
              <w:rPr>
                <w:rFonts w:ascii="Calibri" w:eastAsia="Times New Roman" w:hAnsi="Calibri" w:cs="Arial"/>
                <w:kern w:val="0"/>
                <w:lang w:val="es-ES_tradnl" w:eastAsia="es-CR"/>
                <w14:ligatures w14:val="none"/>
              </w:rPr>
            </w:pPr>
          </w:p>
          <w:p w14:paraId="52021512"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34EF42CF"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59E2CEEC"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 diario reflexivo</w:t>
            </w:r>
          </w:p>
          <w:p w14:paraId="6D2917C3"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5C81807C"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 xml:space="preserve">Guía para la participación mediante la herramienta Big Blue </w:t>
            </w:r>
            <w:proofErr w:type="spellStart"/>
            <w:r w:rsidRPr="00F128A3">
              <w:rPr>
                <w:rFonts w:ascii="Calibri" w:eastAsia="Calibri" w:hAnsi="Calibri" w:cs="Calibri"/>
                <w:bCs/>
                <w:color w:val="0070C0"/>
                <w:kern w:val="0"/>
                <w:lang w:val="es-ES"/>
                <w14:ligatures w14:val="none"/>
              </w:rPr>
              <w:t>Button</w:t>
            </w:r>
            <w:proofErr w:type="spellEnd"/>
            <w:r w:rsidRPr="00F128A3">
              <w:rPr>
                <w:rFonts w:ascii="Calibri" w:eastAsia="Calibri" w:hAnsi="Calibri" w:cs="Calibri"/>
                <w:bCs/>
                <w:color w:val="0070C0"/>
                <w:kern w:val="0"/>
                <w:lang w:val="es-ES"/>
                <w14:ligatures w14:val="none"/>
              </w:rPr>
              <w:t xml:space="preserve"> en la plataforma Moodle</w:t>
            </w:r>
          </w:p>
          <w:p w14:paraId="6F2AFD92"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5F4EB2CA"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p w14:paraId="692DC6D2" w14:textId="77777777" w:rsidR="00F128A3" w:rsidRPr="00F128A3" w:rsidRDefault="00F128A3" w:rsidP="00F128A3">
            <w:pPr>
              <w:spacing w:after="0" w:line="240" w:lineRule="auto"/>
              <w:rPr>
                <w:rFonts w:ascii="Calibri" w:eastAsia="Calibri" w:hAnsi="Calibri" w:cs="Calibri"/>
                <w:kern w:val="0"/>
                <w:lang w:val="es-ES"/>
                <w14:ligatures w14:val="none"/>
              </w:rPr>
            </w:pPr>
          </w:p>
        </w:tc>
        <w:tc>
          <w:tcPr>
            <w:tcW w:w="3260" w:type="dxa"/>
          </w:tcPr>
          <w:p w14:paraId="1C316585" w14:textId="77777777" w:rsidR="00F128A3" w:rsidRPr="00F128A3" w:rsidRDefault="00F128A3" w:rsidP="00F128A3">
            <w:pPr>
              <w:widowControl w:val="0"/>
              <w:numPr>
                <w:ilvl w:val="0"/>
                <w:numId w:val="186"/>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Realizar las lecturas de la sesión.</w:t>
            </w:r>
          </w:p>
          <w:p w14:paraId="2E106321" w14:textId="77777777" w:rsidR="00F128A3" w:rsidRPr="00F128A3" w:rsidRDefault="00F128A3" w:rsidP="00F128A3">
            <w:pPr>
              <w:widowControl w:val="0"/>
              <w:numPr>
                <w:ilvl w:val="0"/>
                <w:numId w:val="186"/>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Avance del diario reflexivo. </w:t>
            </w:r>
          </w:p>
          <w:p w14:paraId="45B7AB3A" w14:textId="77777777" w:rsidR="00F128A3" w:rsidRPr="00F128A3" w:rsidRDefault="00F128A3" w:rsidP="00F128A3">
            <w:pPr>
              <w:widowControl w:val="0"/>
              <w:numPr>
                <w:ilvl w:val="0"/>
                <w:numId w:val="186"/>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Aporte docente: Hermenéutica feminista latinoamericana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color w:val="000000"/>
                <w:kern w:val="0"/>
                <w:lang w:val="es-ES"/>
                <w14:ligatures w14:val="none"/>
              </w:rPr>
              <w:t xml:space="preserve">. </w:t>
            </w:r>
          </w:p>
          <w:p w14:paraId="3230996D" w14:textId="77777777" w:rsidR="00F128A3" w:rsidRPr="00F128A3" w:rsidRDefault="00F128A3" w:rsidP="00F128A3">
            <w:pPr>
              <w:widowControl w:val="0"/>
              <w:numPr>
                <w:ilvl w:val="0"/>
                <w:numId w:val="186"/>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Participación en el foro temático grupal: Trabajo orientado con texto bíblico.</w:t>
            </w:r>
          </w:p>
        </w:tc>
      </w:tr>
      <w:tr w:rsidR="00F128A3" w:rsidRPr="00F128A3" w14:paraId="0C3F2ABC" w14:textId="77777777" w:rsidTr="4C9C2619">
        <w:trPr>
          <w:jc w:val="center"/>
        </w:trPr>
        <w:tc>
          <w:tcPr>
            <w:tcW w:w="1271" w:type="dxa"/>
            <w:hideMark/>
          </w:tcPr>
          <w:p w14:paraId="38CEF9DF"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7754A88A"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9</w:t>
            </w:r>
          </w:p>
          <w:p w14:paraId="05D2AFBF"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7EACDE5E"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5: Contextos asiáticos e indianos</w:t>
            </w:r>
          </w:p>
          <w:p w14:paraId="48DBADE4"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5.1 Teología de la Liberación y hermenéutica en Asia</w:t>
            </w:r>
          </w:p>
          <w:p w14:paraId="2EAAD37A"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6A7FCC61"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43D09601" w14:textId="77777777" w:rsidR="00F128A3" w:rsidRPr="00F128A3" w:rsidRDefault="00F128A3" w:rsidP="00F128A3">
            <w:pPr>
              <w:spacing w:after="0" w:line="240" w:lineRule="auto"/>
              <w:rPr>
                <w:rFonts w:ascii="Calibri" w:eastAsia="Calibri" w:hAnsi="Calibri" w:cs="Calibri"/>
                <w:kern w:val="0"/>
                <w:lang w:val="es-ES"/>
                <w14:ligatures w14:val="none"/>
              </w:rPr>
            </w:pPr>
          </w:p>
          <w:p w14:paraId="34178C5D" w14:textId="77777777" w:rsidR="00F128A3" w:rsidRPr="00F128A3" w:rsidRDefault="00F128A3" w:rsidP="00F128A3">
            <w:pPr>
              <w:spacing w:after="0" w:line="240" w:lineRule="auto"/>
              <w:rPr>
                <w:rFonts w:ascii="Calibri" w:eastAsia="Calibri" w:hAnsi="Calibri" w:cs="Calibri"/>
                <w:kern w:val="0"/>
                <w:lang w:val="es-ES"/>
                <w14:ligatures w14:val="none"/>
              </w:rPr>
            </w:pPr>
            <w:proofErr w:type="spellStart"/>
            <w:r w:rsidRPr="00F128A3">
              <w:rPr>
                <w:rFonts w:ascii="Calibri" w:eastAsia="Calibri" w:hAnsi="Calibri" w:cs="Calibri"/>
                <w:kern w:val="0"/>
                <w:lang w:val="es-ES"/>
                <w14:ligatures w14:val="none"/>
              </w:rPr>
              <w:t>Phan</w:t>
            </w:r>
            <w:proofErr w:type="spellEnd"/>
            <w:r w:rsidRPr="00F128A3">
              <w:rPr>
                <w:rFonts w:ascii="Calibri" w:eastAsia="Calibri" w:hAnsi="Calibri" w:cs="Calibri"/>
                <w:kern w:val="0"/>
                <w:lang w:val="es-ES"/>
                <w14:ligatures w14:val="none"/>
              </w:rPr>
              <w:t xml:space="preserve"> C., Peter. “Los teólogos y el magisterio episcopal. Ministerio que es aprendizaje: una perspectiva asiática”. </w:t>
            </w:r>
            <w:r w:rsidRPr="00F128A3">
              <w:rPr>
                <w:rFonts w:ascii="Calibri" w:eastAsia="Calibri" w:hAnsi="Calibri" w:cs="Calibri"/>
                <w:i/>
                <w:kern w:val="0"/>
                <w:lang w:val="es-ES"/>
                <w14:ligatures w14:val="none"/>
              </w:rPr>
              <w:t xml:space="preserve">Concilium 345 </w:t>
            </w:r>
            <w:r w:rsidRPr="00F128A3">
              <w:rPr>
                <w:rFonts w:ascii="Calibri" w:eastAsia="Calibri" w:hAnsi="Calibri" w:cs="Calibri"/>
                <w:kern w:val="0"/>
                <w:lang w:val="es-ES"/>
                <w14:ligatures w14:val="none"/>
              </w:rPr>
              <w:t>(2012): pp. 91-106.</w:t>
            </w:r>
          </w:p>
          <w:p w14:paraId="0670AA20"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2B3B350A" w14:textId="77777777" w:rsidR="00F128A3" w:rsidRPr="00F128A3" w:rsidRDefault="00F128A3" w:rsidP="00F128A3">
            <w:pPr>
              <w:spacing w:after="0" w:line="240" w:lineRule="auto"/>
              <w:rPr>
                <w:rFonts w:ascii="Calibri" w:eastAsia="Calibri" w:hAnsi="Calibri" w:cs="Calibri"/>
                <w:b/>
                <w:kern w:val="0"/>
                <w:lang w:val="es-ES"/>
                <w14:ligatures w14:val="none"/>
              </w:rPr>
            </w:pPr>
            <w:r w:rsidRPr="00F128A3">
              <w:rPr>
                <w:rFonts w:ascii="Calibri" w:eastAsia="Calibri" w:hAnsi="Calibri" w:cs="Calibri"/>
                <w:b/>
                <w:kern w:val="0"/>
                <w:lang w:val="es-ES"/>
                <w14:ligatures w14:val="none"/>
              </w:rPr>
              <w:t>Material complementario</w:t>
            </w:r>
          </w:p>
          <w:p w14:paraId="196E88F1"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408843E4"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r w:rsidRPr="00F128A3">
              <w:rPr>
                <w:rFonts w:ascii="Calibri" w:eastAsia="Calibri" w:hAnsi="Calibri" w:cs="Calibri"/>
                <w:kern w:val="0"/>
                <w:lang w:val="es-ES_tradnl" w:eastAsia="es-CR"/>
                <w14:ligatures w14:val="none"/>
              </w:rPr>
              <w:t xml:space="preserve">Tamayo Acosta, Juan José. “Teologías de la liberación”. En </w:t>
            </w:r>
            <w:r w:rsidRPr="00F128A3">
              <w:rPr>
                <w:rFonts w:ascii="Calibri" w:eastAsia="Calibri" w:hAnsi="Calibri" w:cs="Calibri"/>
                <w:i/>
                <w:kern w:val="0"/>
                <w:lang w:val="es-ES_tradnl" w:eastAsia="es-CR"/>
                <w14:ligatures w14:val="none"/>
              </w:rPr>
              <w:t>Teologías del sur: El giro descolonizador</w:t>
            </w:r>
            <w:r w:rsidRPr="00F128A3">
              <w:rPr>
                <w:rFonts w:ascii="Calibri" w:eastAsia="Calibri" w:hAnsi="Calibri" w:cs="Calibri"/>
                <w:kern w:val="0"/>
                <w:lang w:val="es-ES_tradnl" w:eastAsia="es-CR"/>
                <w14:ligatures w14:val="none"/>
              </w:rPr>
              <w:t>, 128-151.</w:t>
            </w:r>
            <w:r w:rsidRPr="00F128A3">
              <w:rPr>
                <w:rFonts w:ascii="Calibri" w:eastAsia="Calibri" w:hAnsi="Calibri" w:cs="Calibri"/>
                <w:i/>
                <w:kern w:val="0"/>
                <w:lang w:val="es-ES_tradnl" w:eastAsia="es-CR"/>
                <w14:ligatures w14:val="none"/>
              </w:rPr>
              <w:t xml:space="preserve"> </w:t>
            </w:r>
            <w:r w:rsidRPr="00F128A3">
              <w:rPr>
                <w:rFonts w:ascii="Calibri" w:eastAsia="Calibri" w:hAnsi="Calibri" w:cs="Calibri"/>
                <w:kern w:val="0"/>
                <w:lang w:val="es-ES_tradnl" w:eastAsia="es-CR"/>
                <w14:ligatures w14:val="none"/>
              </w:rPr>
              <w:t xml:space="preserve">Madrid: Editorial Trotta, </w:t>
            </w:r>
            <w:r w:rsidRPr="00F128A3">
              <w:rPr>
                <w:rFonts w:ascii="Calibri" w:eastAsia="Calibri" w:hAnsi="Calibri" w:cs="Calibri"/>
                <w:kern w:val="0"/>
                <w:lang w:val="es-ES_tradnl" w:eastAsia="es-CR"/>
                <w14:ligatures w14:val="none"/>
              </w:rPr>
              <w:lastRenderedPageBreak/>
              <w:t xml:space="preserve">2017. </w:t>
            </w:r>
            <w:r w:rsidRPr="00F128A3">
              <w:rPr>
                <w:rFonts w:ascii="Calibri" w:eastAsia="Calibri" w:hAnsi="Calibri" w:cs="Calibri"/>
                <w:color w:val="0070C0"/>
                <w:kern w:val="0"/>
                <w:lang w:val="es-ES"/>
                <w14:ligatures w14:val="none"/>
              </w:rPr>
              <w:t>(clásico, última edición)</w:t>
            </w:r>
          </w:p>
          <w:p w14:paraId="46A16076" w14:textId="77777777" w:rsidR="00F128A3" w:rsidRPr="00F128A3" w:rsidRDefault="00F128A3" w:rsidP="00F128A3">
            <w:pPr>
              <w:spacing w:after="0" w:line="240" w:lineRule="auto"/>
              <w:rPr>
                <w:rFonts w:ascii="Calibri" w:eastAsia="Calibri" w:hAnsi="Calibri" w:cs="Calibri"/>
                <w:kern w:val="0"/>
                <w:lang w:val="es-ES_tradnl" w:eastAsia="es-CR"/>
                <w14:ligatures w14:val="none"/>
              </w:rPr>
            </w:pPr>
          </w:p>
          <w:p w14:paraId="37FE7884" w14:textId="77777777" w:rsidR="00F128A3" w:rsidRPr="00F128A3" w:rsidRDefault="00F128A3" w:rsidP="00F128A3">
            <w:pPr>
              <w:spacing w:after="0" w:line="240" w:lineRule="auto"/>
              <w:rPr>
                <w:rFonts w:ascii="Calibri" w:eastAsia="Calibri" w:hAnsi="Calibri" w:cs="Calibri"/>
                <w:color w:val="0070C0"/>
                <w:kern w:val="0"/>
                <w:lang w:val="es-ES_tradnl" w:eastAsia="es-CR"/>
                <w14:ligatures w14:val="none"/>
              </w:rPr>
            </w:pPr>
            <w:r w:rsidRPr="00F128A3">
              <w:rPr>
                <w:rFonts w:ascii="Calibri" w:eastAsia="Calibri" w:hAnsi="Calibri" w:cs="Calibri"/>
                <w:color w:val="0070C0"/>
                <w:kern w:val="0"/>
                <w:lang w:val="es-ES_tradnl" w:eastAsia="es-CR"/>
                <w14:ligatures w14:val="none"/>
              </w:rPr>
              <w:t>Guía para la elaboración de un diario reflexivo</w:t>
            </w:r>
          </w:p>
          <w:p w14:paraId="38623E24" w14:textId="77777777" w:rsidR="00F128A3" w:rsidRPr="00F128A3" w:rsidRDefault="00F128A3" w:rsidP="00F128A3">
            <w:pPr>
              <w:spacing w:after="0" w:line="240" w:lineRule="auto"/>
              <w:rPr>
                <w:rFonts w:ascii="Calibri" w:eastAsia="Calibri" w:hAnsi="Calibri" w:cs="Calibri"/>
                <w:color w:val="0070C0"/>
                <w:kern w:val="0"/>
                <w:lang w:val="es-ES_tradnl" w:eastAsia="es-CR"/>
                <w14:ligatures w14:val="none"/>
              </w:rPr>
            </w:pPr>
          </w:p>
          <w:p w14:paraId="2BF6AAEB" w14:textId="77777777" w:rsidR="00F128A3" w:rsidRPr="00F128A3" w:rsidRDefault="00F128A3" w:rsidP="4C9C2619">
            <w:pPr>
              <w:spacing w:after="0" w:line="240" w:lineRule="auto"/>
              <w:rPr>
                <w:rFonts w:ascii="Calibri" w:eastAsia="Calibri" w:hAnsi="Calibri" w:cs="Calibri"/>
                <w:color w:val="0070C0"/>
                <w:kern w:val="0"/>
                <w:lang w:val="es-ES" w:eastAsia="es-CR"/>
                <w14:ligatures w14:val="none"/>
              </w:rPr>
            </w:pPr>
            <w:r w:rsidRPr="4C9C2619">
              <w:rPr>
                <w:rFonts w:ascii="Calibri" w:eastAsia="Calibri" w:hAnsi="Calibri" w:cs="Calibri"/>
                <w:color w:val="0070C0"/>
                <w:kern w:val="0"/>
                <w:lang w:val="es-ES" w:eastAsia="es-CR"/>
                <w14:ligatures w14:val="none"/>
              </w:rPr>
              <w:t xml:space="preserve">Guía para la participación mediante la herramienta Big Blue </w:t>
            </w:r>
            <w:proofErr w:type="spellStart"/>
            <w:r w:rsidRPr="4C9C2619">
              <w:rPr>
                <w:rFonts w:ascii="Calibri" w:eastAsia="Calibri" w:hAnsi="Calibri" w:cs="Calibri"/>
                <w:color w:val="0070C0"/>
                <w:kern w:val="0"/>
                <w:lang w:val="es-ES" w:eastAsia="es-CR"/>
                <w14:ligatures w14:val="none"/>
              </w:rPr>
              <w:t>Button</w:t>
            </w:r>
            <w:proofErr w:type="spellEnd"/>
            <w:r w:rsidRPr="4C9C2619">
              <w:rPr>
                <w:rFonts w:ascii="Calibri" w:eastAsia="Calibri" w:hAnsi="Calibri" w:cs="Calibri"/>
                <w:color w:val="0070C0"/>
                <w:kern w:val="0"/>
                <w:lang w:val="es-ES" w:eastAsia="es-CR"/>
                <w14:ligatures w14:val="none"/>
              </w:rPr>
              <w:t xml:space="preserve"> en la plataforma Moodle</w:t>
            </w:r>
          </w:p>
          <w:p w14:paraId="3107C9EC" w14:textId="77777777" w:rsidR="00F128A3" w:rsidRPr="00F128A3" w:rsidRDefault="00F128A3" w:rsidP="00F128A3">
            <w:pPr>
              <w:spacing w:after="0" w:line="240" w:lineRule="auto"/>
              <w:rPr>
                <w:rFonts w:ascii="Calibri" w:eastAsia="Calibri" w:hAnsi="Calibri" w:cs="Calibri"/>
                <w:color w:val="0070C0"/>
                <w:kern w:val="0"/>
                <w:lang w:val="es-ES_tradnl" w:eastAsia="es-CR"/>
                <w14:ligatures w14:val="none"/>
              </w:rPr>
            </w:pPr>
          </w:p>
          <w:p w14:paraId="12DA2054" w14:textId="77777777" w:rsidR="00F128A3" w:rsidRPr="00F128A3" w:rsidRDefault="00F128A3" w:rsidP="00F128A3">
            <w:pPr>
              <w:spacing w:after="0" w:line="240" w:lineRule="auto"/>
              <w:rPr>
                <w:rFonts w:ascii="Calibri" w:eastAsia="Calibri" w:hAnsi="Calibri" w:cs="Calibri"/>
                <w:color w:val="0070C0"/>
                <w:kern w:val="0"/>
                <w:lang w:val="es-ES_tradnl" w:eastAsia="es-CR"/>
                <w14:ligatures w14:val="none"/>
              </w:rPr>
            </w:pPr>
            <w:r w:rsidRPr="00F128A3">
              <w:rPr>
                <w:rFonts w:ascii="Calibri" w:eastAsia="Calibri" w:hAnsi="Calibri" w:cs="Calibri"/>
                <w:color w:val="0070C0"/>
                <w:kern w:val="0"/>
                <w:lang w:val="es-ES_tradnl" w:eastAsia="es-CR"/>
                <w14:ligatures w14:val="none"/>
              </w:rPr>
              <w:t>Guía para la participación en un foro en la plataforma Moodle</w:t>
            </w:r>
          </w:p>
          <w:p w14:paraId="5516F5D4"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p>
        </w:tc>
        <w:tc>
          <w:tcPr>
            <w:tcW w:w="3260" w:type="dxa"/>
          </w:tcPr>
          <w:p w14:paraId="6CE1B282" w14:textId="77777777" w:rsidR="00F128A3" w:rsidRPr="00F128A3" w:rsidRDefault="00F128A3" w:rsidP="00F128A3">
            <w:pPr>
              <w:widowControl w:val="0"/>
              <w:numPr>
                <w:ilvl w:val="0"/>
                <w:numId w:val="187"/>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lastRenderedPageBreak/>
              <w:t>Realizar la lectura de la sesión.</w:t>
            </w:r>
          </w:p>
          <w:p w14:paraId="298A2608" w14:textId="77777777" w:rsidR="00F128A3" w:rsidRPr="00F128A3" w:rsidRDefault="00F128A3" w:rsidP="00F128A3">
            <w:pPr>
              <w:widowControl w:val="0"/>
              <w:numPr>
                <w:ilvl w:val="0"/>
                <w:numId w:val="187"/>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Avance del diario reflexivo. </w:t>
            </w:r>
          </w:p>
          <w:p w14:paraId="33E1BDAD" w14:textId="77777777" w:rsidR="00F128A3" w:rsidRPr="00F128A3" w:rsidRDefault="00F128A3" w:rsidP="00F128A3">
            <w:pPr>
              <w:widowControl w:val="0"/>
              <w:numPr>
                <w:ilvl w:val="0"/>
                <w:numId w:val="187"/>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Aporte docente: Teología y hermenéutica de la liberación asiática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14:ligatures w14:val="none"/>
              </w:rPr>
              <w:t xml:space="preserve">. </w:t>
            </w:r>
          </w:p>
          <w:p w14:paraId="7636553C" w14:textId="77777777" w:rsidR="00F128A3" w:rsidRPr="00F128A3" w:rsidRDefault="00F128A3" w:rsidP="00F128A3">
            <w:pPr>
              <w:widowControl w:val="0"/>
              <w:numPr>
                <w:ilvl w:val="0"/>
                <w:numId w:val="187"/>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Participación en el foro temático grupal: Trabajo orientado con lectura.</w:t>
            </w:r>
          </w:p>
          <w:p w14:paraId="1D70D244" w14:textId="77777777" w:rsidR="00F128A3" w:rsidRPr="00F128A3" w:rsidRDefault="00F128A3" w:rsidP="00F128A3">
            <w:pPr>
              <w:spacing w:after="200" w:line="276" w:lineRule="auto"/>
              <w:ind w:left="377"/>
              <w:contextualSpacing/>
              <w:rPr>
                <w:rFonts w:ascii="Calibri" w:eastAsia="Calibri" w:hAnsi="Calibri" w:cs="Arial"/>
                <w:kern w:val="0"/>
                <w14:ligatures w14:val="none"/>
              </w:rPr>
            </w:pPr>
          </w:p>
        </w:tc>
      </w:tr>
      <w:tr w:rsidR="00F128A3" w:rsidRPr="00F128A3" w14:paraId="15ED7366" w14:textId="77777777" w:rsidTr="4C9C2619">
        <w:trPr>
          <w:jc w:val="center"/>
        </w:trPr>
        <w:tc>
          <w:tcPr>
            <w:tcW w:w="1271" w:type="dxa"/>
            <w:hideMark/>
          </w:tcPr>
          <w:p w14:paraId="6E573254"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2232BE06"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10</w:t>
            </w:r>
          </w:p>
          <w:p w14:paraId="0FB0A940"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0759B127"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5: Contextos asiáticos e indianos</w:t>
            </w:r>
          </w:p>
          <w:p w14:paraId="16EDE1CA"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5.2 Teología de la Liberación y hermenéutica en India</w:t>
            </w:r>
          </w:p>
        </w:tc>
        <w:tc>
          <w:tcPr>
            <w:tcW w:w="2835" w:type="dxa"/>
          </w:tcPr>
          <w:p w14:paraId="3EFBB3D6"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592EEE16" w14:textId="77777777" w:rsidR="00F128A3" w:rsidRPr="00F128A3" w:rsidRDefault="00F128A3" w:rsidP="00F128A3">
            <w:pPr>
              <w:spacing w:after="0" w:line="240" w:lineRule="auto"/>
              <w:rPr>
                <w:rFonts w:ascii="Calibri" w:eastAsia="Calibri" w:hAnsi="Calibri" w:cs="Calibri"/>
                <w:kern w:val="0"/>
                <w:lang w:val="es-ES"/>
                <w14:ligatures w14:val="none"/>
              </w:rPr>
            </w:pPr>
          </w:p>
          <w:p w14:paraId="7870978F" w14:textId="77777777" w:rsidR="00F128A3" w:rsidRPr="00F128A3" w:rsidRDefault="00F128A3" w:rsidP="00F128A3">
            <w:pPr>
              <w:spacing w:after="0" w:line="240" w:lineRule="auto"/>
              <w:rPr>
                <w:rFonts w:ascii="Calibri" w:eastAsia="Calibri" w:hAnsi="Calibri" w:cs="Calibri"/>
                <w:kern w:val="0"/>
                <w:lang w:val="es-ES"/>
                <w14:ligatures w14:val="none"/>
              </w:rPr>
            </w:pPr>
            <w:proofErr w:type="spellStart"/>
            <w:r w:rsidRPr="00F128A3">
              <w:rPr>
                <w:rFonts w:ascii="Calibri" w:eastAsia="Calibri" w:hAnsi="Calibri" w:cs="Calibri"/>
                <w:kern w:val="0"/>
                <w:lang w:val="es-ES"/>
                <w14:ligatures w14:val="none"/>
              </w:rPr>
              <w:t>Vasantha</w:t>
            </w:r>
            <w:proofErr w:type="spellEnd"/>
            <w:r w:rsidRPr="00F128A3">
              <w:rPr>
                <w:rFonts w:ascii="Calibri" w:eastAsia="Calibri" w:hAnsi="Calibri" w:cs="Calibri"/>
                <w:kern w:val="0"/>
                <w:lang w:val="es-ES"/>
                <w14:ligatures w14:val="none"/>
              </w:rPr>
              <w:t xml:space="preserve"> Rao, </w:t>
            </w:r>
            <w:proofErr w:type="spellStart"/>
            <w:r w:rsidRPr="00F128A3">
              <w:rPr>
                <w:rFonts w:ascii="Calibri" w:eastAsia="Calibri" w:hAnsi="Calibri" w:cs="Calibri"/>
                <w:kern w:val="0"/>
                <w:lang w:val="es-ES"/>
                <w14:ligatures w14:val="none"/>
              </w:rPr>
              <w:t>Chilkuri</w:t>
            </w:r>
            <w:proofErr w:type="spellEnd"/>
            <w:r w:rsidRPr="00F128A3">
              <w:rPr>
                <w:rFonts w:ascii="Calibri" w:eastAsia="Calibri" w:hAnsi="Calibri" w:cs="Calibri"/>
                <w:kern w:val="0"/>
                <w:lang w:val="es-ES"/>
                <w14:ligatures w14:val="none"/>
              </w:rPr>
              <w:t xml:space="preserve">. “Relectura de la Biblia por los cristianos </w:t>
            </w:r>
            <w:proofErr w:type="spellStart"/>
            <w:r w:rsidRPr="00F128A3">
              <w:rPr>
                <w:rFonts w:ascii="Calibri" w:eastAsia="Calibri" w:hAnsi="Calibri" w:cs="Calibri"/>
                <w:kern w:val="0"/>
                <w:lang w:val="es-ES"/>
                <w14:ligatures w14:val="none"/>
              </w:rPr>
              <w:t>dalit</w:t>
            </w:r>
            <w:proofErr w:type="spellEnd"/>
            <w:r w:rsidRPr="00F128A3">
              <w:rPr>
                <w:rFonts w:ascii="Calibri" w:eastAsia="Calibri" w:hAnsi="Calibri" w:cs="Calibri"/>
                <w:kern w:val="0"/>
                <w:lang w:val="es-ES"/>
                <w14:ligatures w14:val="none"/>
              </w:rPr>
              <w:t xml:space="preserve"> en el contexto de la India”. </w:t>
            </w:r>
            <w:r w:rsidRPr="00F128A3">
              <w:rPr>
                <w:rFonts w:ascii="Calibri" w:eastAsia="Calibri" w:hAnsi="Calibri" w:cs="Calibri"/>
                <w:i/>
                <w:kern w:val="0"/>
                <w:lang w:val="es-ES"/>
                <w14:ligatures w14:val="none"/>
              </w:rPr>
              <w:t>Vida y Pensamiento 31</w:t>
            </w:r>
            <w:r w:rsidRPr="00F128A3">
              <w:rPr>
                <w:rFonts w:ascii="Calibri" w:eastAsia="Calibri" w:hAnsi="Calibri" w:cs="Calibri"/>
                <w:kern w:val="0"/>
                <w:lang w:val="es-ES"/>
                <w14:ligatures w14:val="none"/>
              </w:rPr>
              <w:t xml:space="preserve">, n.2 (2011): pp. 111-124. </w:t>
            </w:r>
          </w:p>
          <w:p w14:paraId="1273336D" w14:textId="77777777" w:rsidR="00F128A3" w:rsidRPr="00F128A3" w:rsidRDefault="00F128A3" w:rsidP="00F128A3">
            <w:pPr>
              <w:spacing w:after="0" w:line="240" w:lineRule="auto"/>
              <w:rPr>
                <w:rFonts w:ascii="Calibri" w:eastAsia="Calibri" w:hAnsi="Calibri" w:cs="Calibri"/>
                <w:kern w:val="0"/>
                <w:lang w:val="es-ES"/>
                <w14:ligatures w14:val="none"/>
              </w:rPr>
            </w:pPr>
          </w:p>
          <w:p w14:paraId="6888946B"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5AB2B312"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148CB074" w14:textId="77777777" w:rsidR="00F128A3" w:rsidRPr="00F128A3" w:rsidRDefault="00F128A3" w:rsidP="00F128A3">
            <w:pPr>
              <w:spacing w:after="0" w:line="240" w:lineRule="auto"/>
              <w:rPr>
                <w:rFonts w:ascii="Calibri" w:eastAsia="Calibri" w:hAnsi="Calibri" w:cs="Calibri"/>
                <w:bCs/>
                <w:kern w:val="0"/>
                <w:lang w:val="es-ES"/>
                <w14:ligatures w14:val="none"/>
              </w:rPr>
            </w:pPr>
            <w:r w:rsidRPr="00F128A3">
              <w:rPr>
                <w:rFonts w:ascii="Calibri" w:eastAsia="Calibri" w:hAnsi="Calibri" w:cs="Calibri"/>
                <w:bCs/>
                <w:color w:val="0070C0"/>
                <w:kern w:val="0"/>
                <w:lang w:val="es-ES"/>
                <w14:ligatures w14:val="none"/>
              </w:rPr>
              <w:t xml:space="preserve">Guía para la participación mediante la herramienta Big Blue </w:t>
            </w:r>
            <w:proofErr w:type="spellStart"/>
            <w:r w:rsidRPr="00F128A3">
              <w:rPr>
                <w:rFonts w:ascii="Calibri" w:eastAsia="Calibri" w:hAnsi="Calibri" w:cs="Calibri"/>
                <w:bCs/>
                <w:color w:val="0070C0"/>
                <w:kern w:val="0"/>
                <w:lang w:val="es-ES"/>
                <w14:ligatures w14:val="none"/>
              </w:rPr>
              <w:t>Button</w:t>
            </w:r>
            <w:proofErr w:type="spellEnd"/>
            <w:r w:rsidRPr="00F128A3">
              <w:rPr>
                <w:rFonts w:ascii="Calibri" w:eastAsia="Calibri" w:hAnsi="Calibri" w:cs="Calibri"/>
                <w:bCs/>
                <w:color w:val="0070C0"/>
                <w:kern w:val="0"/>
                <w:lang w:val="es-ES"/>
                <w14:ligatures w14:val="none"/>
              </w:rPr>
              <w:t xml:space="preserve"> en la plataforma Moodle</w:t>
            </w:r>
          </w:p>
          <w:p w14:paraId="745A0FBB"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  </w:t>
            </w:r>
          </w:p>
        </w:tc>
        <w:tc>
          <w:tcPr>
            <w:tcW w:w="3260" w:type="dxa"/>
          </w:tcPr>
          <w:p w14:paraId="3E1A5E9D" w14:textId="77777777" w:rsidR="00F128A3" w:rsidRPr="00F128A3" w:rsidRDefault="00F128A3" w:rsidP="00F128A3">
            <w:pPr>
              <w:widowControl w:val="0"/>
              <w:numPr>
                <w:ilvl w:val="0"/>
                <w:numId w:val="188"/>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Realizar la lectura de la sesión.</w:t>
            </w:r>
          </w:p>
          <w:p w14:paraId="14AC733F" w14:textId="77777777" w:rsidR="00F128A3" w:rsidRPr="00F128A3" w:rsidRDefault="00F128A3" w:rsidP="00F128A3">
            <w:pPr>
              <w:widowControl w:val="0"/>
              <w:numPr>
                <w:ilvl w:val="0"/>
                <w:numId w:val="188"/>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 xml:space="preserve">Entrega del segundo avance del ensayo. </w:t>
            </w:r>
          </w:p>
          <w:p w14:paraId="36CDF2EE" w14:textId="77777777" w:rsidR="00F128A3" w:rsidRPr="00F128A3" w:rsidRDefault="00F128A3" w:rsidP="00F128A3">
            <w:pPr>
              <w:widowControl w:val="0"/>
              <w:numPr>
                <w:ilvl w:val="0"/>
                <w:numId w:val="188"/>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 xml:space="preserve">Aporte docente: Teología y hermenéutica de liberación en India, seguido de un debate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lang w:val="es-ES"/>
                <w14:ligatures w14:val="none"/>
              </w:rPr>
              <w:t xml:space="preserve">. </w:t>
            </w:r>
          </w:p>
        </w:tc>
      </w:tr>
      <w:tr w:rsidR="00F128A3" w:rsidRPr="00F128A3" w14:paraId="07172E21" w14:textId="77777777" w:rsidTr="4C9C2619">
        <w:trPr>
          <w:jc w:val="center"/>
        </w:trPr>
        <w:tc>
          <w:tcPr>
            <w:tcW w:w="1271" w:type="dxa"/>
            <w:hideMark/>
          </w:tcPr>
          <w:p w14:paraId="5170C8D9"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6ED620E5"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11</w:t>
            </w:r>
          </w:p>
          <w:p w14:paraId="27B8D8E5"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79658BA6"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6: Nuevos contextos teológicos</w:t>
            </w:r>
          </w:p>
          <w:p w14:paraId="47AB63ED"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6.1 Teología de la Liberación y hermenéutica en Corea del Sur</w:t>
            </w:r>
          </w:p>
          <w:p w14:paraId="1525686C"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6.2 Teología y hermenéutica latina</w:t>
            </w:r>
          </w:p>
          <w:p w14:paraId="5723AB3C"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0E6CF8E3"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0594D903" w14:textId="77777777" w:rsidR="00F128A3" w:rsidRPr="00F128A3" w:rsidRDefault="00F128A3" w:rsidP="00F128A3">
            <w:pPr>
              <w:spacing w:after="0" w:line="240" w:lineRule="auto"/>
              <w:rPr>
                <w:rFonts w:ascii="Calibri" w:eastAsia="Calibri" w:hAnsi="Calibri" w:cs="Calibri"/>
                <w:kern w:val="0"/>
                <w:lang w:val="es-ES"/>
                <w14:ligatures w14:val="none"/>
              </w:rPr>
            </w:pPr>
          </w:p>
          <w:p w14:paraId="3A55F293" w14:textId="77777777" w:rsidR="00F128A3" w:rsidRPr="00F128A3" w:rsidRDefault="00F128A3" w:rsidP="00F128A3">
            <w:pPr>
              <w:spacing w:after="200" w:line="240" w:lineRule="auto"/>
              <w:contextualSpacing/>
              <w:rPr>
                <w:rFonts w:ascii="Calibri" w:eastAsia="Calibri" w:hAnsi="Calibri" w:cs="Calibri"/>
                <w:color w:val="0070C0"/>
                <w:kern w:val="0"/>
                <w:lang w:val="es-ES"/>
                <w14:ligatures w14:val="none"/>
              </w:rPr>
            </w:pPr>
            <w:proofErr w:type="spellStart"/>
            <w:r w:rsidRPr="00F128A3">
              <w:rPr>
                <w:rFonts w:ascii="Calibri" w:eastAsia="Calibri" w:hAnsi="Calibri" w:cs="Calibri"/>
                <w:kern w:val="0"/>
                <w:lang w:val="es-ES"/>
                <w14:ligatures w14:val="none"/>
              </w:rPr>
              <w:t>Balasundaram</w:t>
            </w:r>
            <w:proofErr w:type="spellEnd"/>
            <w:r w:rsidRPr="00F128A3">
              <w:rPr>
                <w:rFonts w:ascii="Calibri" w:eastAsia="Calibri" w:hAnsi="Calibri" w:cs="Calibri"/>
                <w:kern w:val="0"/>
                <w:lang w:val="es-ES"/>
                <w14:ligatures w14:val="none"/>
              </w:rPr>
              <w:t xml:space="preserve">, </w:t>
            </w:r>
            <w:proofErr w:type="spellStart"/>
            <w:r w:rsidRPr="00F128A3">
              <w:rPr>
                <w:rFonts w:ascii="Calibri" w:eastAsia="Calibri" w:hAnsi="Calibri" w:cs="Calibri"/>
                <w:kern w:val="0"/>
                <w:lang w:val="es-ES"/>
                <w14:ligatures w14:val="none"/>
              </w:rPr>
              <w:t>Franklyn</w:t>
            </w:r>
            <w:proofErr w:type="spellEnd"/>
            <w:r w:rsidRPr="00F128A3">
              <w:rPr>
                <w:rFonts w:ascii="Calibri" w:eastAsia="Calibri" w:hAnsi="Calibri" w:cs="Calibri"/>
                <w:kern w:val="0"/>
                <w:lang w:val="es-ES"/>
                <w14:ligatures w14:val="none"/>
              </w:rPr>
              <w:t xml:space="preserve"> J.  “La teología de </w:t>
            </w:r>
            <w:proofErr w:type="spellStart"/>
            <w:r w:rsidRPr="00F128A3">
              <w:rPr>
                <w:rFonts w:ascii="Calibri" w:eastAsia="Calibri" w:hAnsi="Calibri" w:cs="Calibri"/>
                <w:kern w:val="0"/>
                <w:lang w:val="es-ES"/>
                <w14:ligatures w14:val="none"/>
              </w:rPr>
              <w:t>Ahn</w:t>
            </w:r>
            <w:proofErr w:type="spellEnd"/>
            <w:r w:rsidRPr="00F128A3">
              <w:rPr>
                <w:rFonts w:ascii="Calibri" w:eastAsia="Calibri" w:hAnsi="Calibri" w:cs="Calibri"/>
                <w:kern w:val="0"/>
                <w:lang w:val="es-ES"/>
                <w14:ligatures w14:val="none"/>
              </w:rPr>
              <w:t xml:space="preserve"> </w:t>
            </w:r>
            <w:proofErr w:type="spellStart"/>
            <w:r w:rsidRPr="00F128A3">
              <w:rPr>
                <w:rFonts w:ascii="Calibri" w:eastAsia="Calibri" w:hAnsi="Calibri" w:cs="Calibri"/>
                <w:kern w:val="0"/>
                <w:lang w:val="es-ES"/>
                <w14:ligatures w14:val="none"/>
              </w:rPr>
              <w:t>Byung</w:t>
            </w:r>
            <w:proofErr w:type="spellEnd"/>
            <w:r w:rsidRPr="00F128A3">
              <w:rPr>
                <w:rFonts w:ascii="Calibri" w:eastAsia="Calibri" w:hAnsi="Calibri" w:cs="Calibri"/>
                <w:kern w:val="0"/>
                <w:lang w:val="es-ES"/>
                <w14:ligatures w14:val="none"/>
              </w:rPr>
              <w:t xml:space="preserve">-Mu”. En </w:t>
            </w:r>
            <w:r w:rsidRPr="00F128A3">
              <w:rPr>
                <w:rFonts w:ascii="Calibri" w:eastAsia="Calibri" w:hAnsi="Calibri" w:cs="Calibri"/>
                <w:i/>
                <w:kern w:val="0"/>
                <w:lang w:val="es-ES"/>
                <w14:ligatures w14:val="none"/>
              </w:rPr>
              <w:t xml:space="preserve">Teología cristiana asiática contemporánea, </w:t>
            </w:r>
            <w:r w:rsidRPr="00F128A3">
              <w:rPr>
                <w:rFonts w:ascii="Calibri" w:eastAsia="Calibri" w:hAnsi="Calibri" w:cs="Calibri"/>
                <w:kern w:val="0"/>
                <w:lang w:val="es-ES"/>
                <w14:ligatures w14:val="none"/>
              </w:rPr>
              <w:t>91-120. Estella: Editorial Verbo Divino, 1999.</w:t>
            </w:r>
            <w:r w:rsidRPr="00F128A3">
              <w:rPr>
                <w:rFonts w:ascii="Calibri" w:eastAsia="Calibri" w:hAnsi="Calibri" w:cs="Calibri"/>
                <w:color w:val="0070C0"/>
                <w:kern w:val="0"/>
                <w:lang w:val="es-ES"/>
                <w14:ligatures w14:val="none"/>
              </w:rPr>
              <w:t xml:space="preserve"> (clásico, última edición)</w:t>
            </w:r>
          </w:p>
          <w:p w14:paraId="0E47CADF" w14:textId="77777777" w:rsidR="00F128A3" w:rsidRPr="00F128A3" w:rsidRDefault="00F128A3" w:rsidP="00F128A3">
            <w:pPr>
              <w:spacing w:after="0" w:line="240" w:lineRule="auto"/>
              <w:rPr>
                <w:rFonts w:ascii="Calibri" w:eastAsia="Calibri" w:hAnsi="Calibri" w:cs="Calibri"/>
                <w:kern w:val="0"/>
                <w:lang w:val="es-ES"/>
                <w14:ligatures w14:val="none"/>
              </w:rPr>
            </w:pPr>
          </w:p>
          <w:p w14:paraId="733E7BD7"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3F21D51A"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0FF912CD"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una reseña crítica de lectura</w:t>
            </w:r>
          </w:p>
          <w:p w14:paraId="6152F978"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473956DF"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 xml:space="preserve">Guía para la participación mediante la herramienta Big </w:t>
            </w:r>
            <w:r w:rsidRPr="00F128A3">
              <w:rPr>
                <w:rFonts w:ascii="Calibri" w:eastAsia="Calibri" w:hAnsi="Calibri" w:cs="Calibri"/>
                <w:bCs/>
                <w:color w:val="0070C0"/>
                <w:kern w:val="0"/>
                <w:lang w:val="es-ES"/>
                <w14:ligatures w14:val="none"/>
              </w:rPr>
              <w:lastRenderedPageBreak/>
              <w:t xml:space="preserve">Blue </w:t>
            </w:r>
            <w:proofErr w:type="spellStart"/>
            <w:r w:rsidRPr="00F128A3">
              <w:rPr>
                <w:rFonts w:ascii="Calibri" w:eastAsia="Calibri" w:hAnsi="Calibri" w:cs="Calibri"/>
                <w:bCs/>
                <w:color w:val="0070C0"/>
                <w:kern w:val="0"/>
                <w:lang w:val="es-ES"/>
                <w14:ligatures w14:val="none"/>
              </w:rPr>
              <w:t>Button</w:t>
            </w:r>
            <w:proofErr w:type="spellEnd"/>
            <w:r w:rsidRPr="00F128A3">
              <w:rPr>
                <w:rFonts w:ascii="Calibri" w:eastAsia="Calibri" w:hAnsi="Calibri" w:cs="Calibri"/>
                <w:bCs/>
                <w:color w:val="0070C0"/>
                <w:kern w:val="0"/>
                <w:lang w:val="es-ES"/>
                <w14:ligatures w14:val="none"/>
              </w:rPr>
              <w:t xml:space="preserve"> en la plataforma Moodle</w:t>
            </w:r>
          </w:p>
          <w:p w14:paraId="7DC68086" w14:textId="77777777" w:rsidR="00F128A3" w:rsidRPr="00F128A3" w:rsidRDefault="00F128A3" w:rsidP="00F128A3">
            <w:pPr>
              <w:spacing w:after="0" w:line="240" w:lineRule="auto"/>
              <w:rPr>
                <w:rFonts w:ascii="Calibri" w:eastAsia="Calibri" w:hAnsi="Calibri" w:cs="Arial"/>
                <w:bCs/>
                <w:color w:val="000000"/>
                <w:kern w:val="0"/>
                <w:lang w:val="es-ES" w:eastAsia="es-ES"/>
                <w14:ligatures w14:val="none"/>
              </w:rPr>
            </w:pPr>
          </w:p>
        </w:tc>
        <w:tc>
          <w:tcPr>
            <w:tcW w:w="3260" w:type="dxa"/>
          </w:tcPr>
          <w:p w14:paraId="433D9AE0" w14:textId="77777777" w:rsidR="00F128A3" w:rsidRPr="00F128A3" w:rsidRDefault="00F128A3" w:rsidP="00F128A3">
            <w:pPr>
              <w:widowControl w:val="0"/>
              <w:numPr>
                <w:ilvl w:val="0"/>
                <w:numId w:val="18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lastRenderedPageBreak/>
              <w:t>Realizar la lectura de la sesión.</w:t>
            </w:r>
          </w:p>
          <w:p w14:paraId="2D6B6981" w14:textId="77777777" w:rsidR="00F128A3" w:rsidRPr="00F128A3" w:rsidRDefault="00F128A3" w:rsidP="00F128A3">
            <w:pPr>
              <w:widowControl w:val="0"/>
              <w:numPr>
                <w:ilvl w:val="0"/>
                <w:numId w:val="18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Elaboración de una reseña crítica de la lectura. </w:t>
            </w:r>
          </w:p>
          <w:p w14:paraId="0CBB4372" w14:textId="77777777" w:rsidR="00F128A3" w:rsidRPr="00F128A3" w:rsidRDefault="00F128A3" w:rsidP="00F128A3">
            <w:pPr>
              <w:widowControl w:val="0"/>
              <w:numPr>
                <w:ilvl w:val="0"/>
                <w:numId w:val="189"/>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eastAsia="es-ES"/>
                <w14:ligatures w14:val="none"/>
              </w:rPr>
            </w:pPr>
            <w:r w:rsidRPr="00F128A3">
              <w:rPr>
                <w:rFonts w:ascii="Calibri" w:eastAsia="Calibri" w:hAnsi="Calibri" w:cs="Arial"/>
                <w:color w:val="000000"/>
                <w:kern w:val="0"/>
                <w:lang w:val="es-ES" w:eastAsia="es-ES"/>
                <w14:ligatures w14:val="none"/>
              </w:rPr>
              <w:t xml:space="preserve">Aporte docente: Teología y hermenéutica </w:t>
            </w:r>
            <w:proofErr w:type="spellStart"/>
            <w:r w:rsidRPr="00F128A3">
              <w:rPr>
                <w:rFonts w:ascii="Calibri" w:eastAsia="Calibri" w:hAnsi="Calibri" w:cs="Arial"/>
                <w:color w:val="000000"/>
                <w:kern w:val="0"/>
                <w:lang w:val="es-ES" w:eastAsia="es-ES"/>
                <w14:ligatures w14:val="none"/>
              </w:rPr>
              <w:t>Minjung</w:t>
            </w:r>
            <w:proofErr w:type="spellEnd"/>
            <w:r w:rsidRPr="00F128A3">
              <w:rPr>
                <w:rFonts w:ascii="Calibri" w:eastAsia="Calibri" w:hAnsi="Calibri" w:cs="Arial"/>
                <w:color w:val="000000"/>
                <w:kern w:val="0"/>
                <w:lang w:val="es-ES" w:eastAsia="es-ES"/>
                <w14:ligatures w14:val="none"/>
              </w:rPr>
              <w:t>, seguido de un debate en un encuentro sincrónico virtual (formativo).</w:t>
            </w:r>
          </w:p>
        </w:tc>
      </w:tr>
      <w:tr w:rsidR="00F128A3" w:rsidRPr="00F128A3" w14:paraId="23763D47" w14:textId="77777777" w:rsidTr="4C9C2619">
        <w:trPr>
          <w:jc w:val="center"/>
        </w:trPr>
        <w:tc>
          <w:tcPr>
            <w:tcW w:w="1271" w:type="dxa"/>
          </w:tcPr>
          <w:p w14:paraId="1F5166E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10E6821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12</w:t>
            </w:r>
          </w:p>
          <w:p w14:paraId="761A8193"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71E9EBF2"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 xml:space="preserve">Unidad 7: Diversidad teológica en la </w:t>
            </w:r>
            <w:proofErr w:type="spellStart"/>
            <w:r w:rsidRPr="00F128A3">
              <w:rPr>
                <w:rFonts w:ascii="Calibri" w:eastAsia="Calibri" w:hAnsi="Calibri" w:cs="Arial"/>
                <w:b/>
                <w:bCs/>
                <w:kern w:val="0"/>
                <w14:ligatures w14:val="none"/>
              </w:rPr>
              <w:t>pos-modernidad</w:t>
            </w:r>
            <w:proofErr w:type="spellEnd"/>
          </w:p>
          <w:p w14:paraId="360D9362" w14:textId="77777777" w:rsidR="00F128A3" w:rsidRPr="00F128A3" w:rsidRDefault="00F128A3" w:rsidP="00F128A3">
            <w:pPr>
              <w:spacing w:after="200" w:line="240" w:lineRule="auto"/>
              <w:rPr>
                <w:rFonts w:ascii="Calibri" w:eastAsia="Calibri" w:hAnsi="Calibri" w:cs="Arial"/>
                <w:b/>
                <w:kern w:val="0"/>
                <w14:ligatures w14:val="none"/>
              </w:rPr>
            </w:pPr>
            <w:r w:rsidRPr="00F128A3">
              <w:rPr>
                <w:rFonts w:ascii="Calibri" w:eastAsia="Calibri" w:hAnsi="Calibri" w:cs="Arial"/>
                <w:kern w:val="0"/>
                <w14:ligatures w14:val="none"/>
              </w:rPr>
              <w:t>7.1 Teología ecológica</w:t>
            </w:r>
          </w:p>
        </w:tc>
        <w:tc>
          <w:tcPr>
            <w:tcW w:w="2835" w:type="dxa"/>
          </w:tcPr>
          <w:p w14:paraId="41DBE2CE"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2B98C843" w14:textId="77777777" w:rsidR="00F128A3" w:rsidRPr="00F128A3" w:rsidRDefault="00F128A3" w:rsidP="00F128A3">
            <w:pPr>
              <w:spacing w:after="0" w:line="240" w:lineRule="auto"/>
              <w:rPr>
                <w:rFonts w:ascii="Calibri" w:eastAsia="Calibri" w:hAnsi="Calibri" w:cs="Calibri"/>
                <w:kern w:val="0"/>
                <w:lang w:val="es-ES"/>
                <w14:ligatures w14:val="none"/>
              </w:rPr>
            </w:pPr>
          </w:p>
          <w:p w14:paraId="1F477A80"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Castillo, David. “¡Ya no sube el cortador contra nosotros! Interpretar la Biblia con conciencia ecológica”. </w:t>
            </w:r>
            <w:r w:rsidRPr="00F128A3">
              <w:rPr>
                <w:rFonts w:ascii="Calibri" w:eastAsia="Calibri" w:hAnsi="Calibri" w:cs="Calibri"/>
                <w:i/>
                <w:kern w:val="0"/>
                <w:lang w:val="es-ES"/>
                <w14:ligatures w14:val="none"/>
              </w:rPr>
              <w:t>RIBLA</w:t>
            </w:r>
            <w:r w:rsidRPr="00F128A3">
              <w:rPr>
                <w:rFonts w:ascii="Calibri" w:eastAsia="Calibri" w:hAnsi="Calibri" w:cs="Calibri"/>
                <w:kern w:val="0"/>
                <w:lang w:val="es-ES"/>
                <w14:ligatures w14:val="none"/>
              </w:rPr>
              <w:t xml:space="preserve"> 80, (2019/2): pp. 39-58.</w:t>
            </w:r>
          </w:p>
          <w:p w14:paraId="143330E8" w14:textId="77777777" w:rsidR="00F128A3" w:rsidRPr="00F128A3" w:rsidRDefault="00F128A3" w:rsidP="00F128A3">
            <w:pPr>
              <w:spacing w:after="0" w:line="240" w:lineRule="auto"/>
              <w:rPr>
                <w:rFonts w:ascii="Calibri" w:eastAsia="Calibri" w:hAnsi="Calibri" w:cs="Calibri"/>
                <w:kern w:val="0"/>
                <w:lang w:val="es-ES"/>
                <w14:ligatures w14:val="none"/>
              </w:rPr>
            </w:pPr>
          </w:p>
          <w:p w14:paraId="0AE7F4CC"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7FA6F8A4"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439DB72B"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 diario reflexivo</w:t>
            </w:r>
          </w:p>
          <w:p w14:paraId="1488D5C0"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607CD428"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 xml:space="preserve">Guía para la participación mediante la herramienta Big Blue </w:t>
            </w:r>
            <w:proofErr w:type="spellStart"/>
            <w:r w:rsidRPr="00F128A3">
              <w:rPr>
                <w:rFonts w:ascii="Calibri" w:eastAsia="Calibri" w:hAnsi="Calibri" w:cs="Calibri"/>
                <w:bCs/>
                <w:color w:val="0070C0"/>
                <w:kern w:val="0"/>
                <w:lang w:val="es-ES"/>
                <w14:ligatures w14:val="none"/>
              </w:rPr>
              <w:t>Button</w:t>
            </w:r>
            <w:proofErr w:type="spellEnd"/>
            <w:r w:rsidRPr="00F128A3">
              <w:rPr>
                <w:rFonts w:ascii="Calibri" w:eastAsia="Calibri" w:hAnsi="Calibri" w:cs="Calibri"/>
                <w:bCs/>
                <w:color w:val="0070C0"/>
                <w:kern w:val="0"/>
                <w:lang w:val="es-ES"/>
                <w14:ligatures w14:val="none"/>
              </w:rPr>
              <w:t xml:space="preserve"> en la plataforma Moodle</w:t>
            </w:r>
          </w:p>
          <w:p w14:paraId="2FE3DF38"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53F73545" w14:textId="77777777" w:rsidR="00F128A3" w:rsidRPr="00F128A3" w:rsidRDefault="00F128A3" w:rsidP="00F128A3">
            <w:pPr>
              <w:spacing w:after="0" w:line="240" w:lineRule="auto"/>
              <w:rPr>
                <w:rFonts w:ascii="Calibri" w:eastAsia="Calibri" w:hAnsi="Calibri" w:cs="Calibri"/>
                <w:bCs/>
                <w:kern w:val="0"/>
                <w:lang w:val="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p w14:paraId="4DC36E4F" w14:textId="77777777" w:rsidR="00F128A3" w:rsidRPr="00F128A3" w:rsidRDefault="00F128A3" w:rsidP="00F128A3">
            <w:pPr>
              <w:spacing w:after="0" w:line="240" w:lineRule="auto"/>
              <w:rPr>
                <w:rFonts w:ascii="Calibri" w:eastAsia="Calibri" w:hAnsi="Calibri" w:cs="Calibri"/>
                <w:bCs/>
                <w:kern w:val="0"/>
                <w:lang w:val="es-ES"/>
                <w14:ligatures w14:val="none"/>
              </w:rPr>
            </w:pPr>
          </w:p>
        </w:tc>
        <w:tc>
          <w:tcPr>
            <w:tcW w:w="3260" w:type="dxa"/>
          </w:tcPr>
          <w:p w14:paraId="5D6BA929" w14:textId="77777777" w:rsidR="00F128A3" w:rsidRPr="00F128A3" w:rsidRDefault="00F128A3" w:rsidP="00F128A3">
            <w:pPr>
              <w:widowControl w:val="0"/>
              <w:numPr>
                <w:ilvl w:val="0"/>
                <w:numId w:val="19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Realizar la lectura de la sesión.</w:t>
            </w:r>
          </w:p>
          <w:p w14:paraId="06456948" w14:textId="77777777" w:rsidR="00F128A3" w:rsidRPr="00F128A3" w:rsidRDefault="00F128A3" w:rsidP="00F128A3">
            <w:pPr>
              <w:widowControl w:val="0"/>
              <w:numPr>
                <w:ilvl w:val="0"/>
                <w:numId w:val="19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Avance del diario reflexivo. </w:t>
            </w:r>
          </w:p>
          <w:p w14:paraId="2FE4AB66" w14:textId="77777777" w:rsidR="00F128A3" w:rsidRPr="00F128A3" w:rsidRDefault="00F128A3" w:rsidP="00F128A3">
            <w:pPr>
              <w:widowControl w:val="0"/>
              <w:numPr>
                <w:ilvl w:val="0"/>
                <w:numId w:val="19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 xml:space="preserve">Aporte docente: Teología y hermenéutica ecológica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color w:val="000000"/>
                <w:kern w:val="0"/>
                <w:lang w:val="es-ES"/>
                <w14:ligatures w14:val="none"/>
              </w:rPr>
              <w:t xml:space="preserve">. </w:t>
            </w:r>
          </w:p>
          <w:p w14:paraId="72904364" w14:textId="77777777" w:rsidR="00F128A3" w:rsidRPr="00F128A3" w:rsidRDefault="00F128A3" w:rsidP="00F128A3">
            <w:pPr>
              <w:widowControl w:val="0"/>
              <w:numPr>
                <w:ilvl w:val="0"/>
                <w:numId w:val="190"/>
              </w:numPr>
              <w:overflowPunct w:val="0"/>
              <w:autoSpaceDE w:val="0"/>
              <w:autoSpaceDN w:val="0"/>
              <w:adjustRightInd w:val="0"/>
              <w:spacing w:before="120" w:after="200" w:line="276" w:lineRule="auto"/>
              <w:ind w:left="377"/>
              <w:contextualSpacing/>
              <w:rPr>
                <w:rFonts w:ascii="Calibri" w:eastAsia="Calibri" w:hAnsi="Calibri" w:cs="Arial"/>
                <w:color w:val="000000"/>
                <w:kern w:val="0"/>
                <w:lang w:val="es-ES"/>
                <w14:ligatures w14:val="none"/>
              </w:rPr>
            </w:pPr>
            <w:r w:rsidRPr="00F128A3">
              <w:rPr>
                <w:rFonts w:ascii="Calibri" w:eastAsia="Calibri" w:hAnsi="Calibri" w:cs="Arial"/>
                <w:color w:val="000000"/>
                <w:kern w:val="0"/>
                <w:lang w:val="es-ES"/>
                <w14:ligatures w14:val="none"/>
              </w:rPr>
              <w:t>Participación en el foro temático grupal: Trabajo orientado con lectura de texto, donde se realizará un debate.</w:t>
            </w:r>
          </w:p>
        </w:tc>
      </w:tr>
      <w:tr w:rsidR="00F128A3" w:rsidRPr="00F128A3" w14:paraId="64040AAE" w14:textId="77777777" w:rsidTr="4C9C2619">
        <w:trPr>
          <w:jc w:val="center"/>
        </w:trPr>
        <w:tc>
          <w:tcPr>
            <w:tcW w:w="1271" w:type="dxa"/>
            <w:hideMark/>
          </w:tcPr>
          <w:p w14:paraId="0A19A0A4"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143470DF"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13</w:t>
            </w:r>
          </w:p>
          <w:p w14:paraId="3ADAE4D1" w14:textId="77777777" w:rsidR="00F128A3" w:rsidRPr="00F128A3" w:rsidRDefault="00F128A3" w:rsidP="00F128A3">
            <w:pPr>
              <w:spacing w:after="200" w:line="240" w:lineRule="auto"/>
              <w:rPr>
                <w:rFonts w:ascii="Calibri" w:eastAsia="Calibri" w:hAnsi="Calibri" w:cs="Arial"/>
                <w:color w:val="FF0000"/>
                <w:kern w:val="0"/>
                <w14:ligatures w14:val="none"/>
              </w:rPr>
            </w:pPr>
          </w:p>
        </w:tc>
        <w:tc>
          <w:tcPr>
            <w:tcW w:w="2410" w:type="dxa"/>
            <w:hideMark/>
          </w:tcPr>
          <w:p w14:paraId="7A88FC8A"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 xml:space="preserve">Unidad 7: Diversidad teológica en la </w:t>
            </w:r>
            <w:proofErr w:type="spellStart"/>
            <w:r w:rsidRPr="00F128A3">
              <w:rPr>
                <w:rFonts w:ascii="Calibri" w:eastAsia="Calibri" w:hAnsi="Calibri" w:cs="Arial"/>
                <w:b/>
                <w:bCs/>
                <w:kern w:val="0"/>
                <w14:ligatures w14:val="none"/>
              </w:rPr>
              <w:t>pos-modernidad</w:t>
            </w:r>
            <w:proofErr w:type="spellEnd"/>
          </w:p>
          <w:p w14:paraId="744D396F"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7.2 Teología india</w:t>
            </w:r>
          </w:p>
          <w:p w14:paraId="51A1488A" w14:textId="77777777" w:rsidR="00F128A3" w:rsidRPr="00F128A3" w:rsidRDefault="00F128A3" w:rsidP="00F128A3">
            <w:pPr>
              <w:spacing w:after="200" w:line="240" w:lineRule="auto"/>
              <w:rPr>
                <w:rFonts w:ascii="Calibri" w:eastAsia="Calibri" w:hAnsi="Calibri" w:cs="Arial"/>
                <w:strike/>
                <w:kern w:val="0"/>
                <w14:ligatures w14:val="none"/>
              </w:rPr>
            </w:pPr>
          </w:p>
        </w:tc>
        <w:tc>
          <w:tcPr>
            <w:tcW w:w="2835" w:type="dxa"/>
          </w:tcPr>
          <w:p w14:paraId="3368C1A8"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54DA169B" w14:textId="77777777" w:rsidR="00F128A3" w:rsidRPr="00F128A3" w:rsidRDefault="00F128A3" w:rsidP="00F128A3">
            <w:pPr>
              <w:spacing w:after="0" w:line="240" w:lineRule="auto"/>
              <w:rPr>
                <w:rFonts w:ascii="Calibri" w:eastAsia="Calibri" w:hAnsi="Calibri" w:cs="Calibri"/>
                <w:kern w:val="0"/>
                <w:lang w:val="es-ES"/>
                <w14:ligatures w14:val="none"/>
              </w:rPr>
            </w:pPr>
          </w:p>
          <w:p w14:paraId="4DA22A93"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Chipana Quispe, Sofía. “La Biblia en los procesos andinos de </w:t>
            </w:r>
            <w:proofErr w:type="spellStart"/>
            <w:r w:rsidRPr="00F128A3">
              <w:rPr>
                <w:rFonts w:ascii="Calibri" w:eastAsia="Calibri" w:hAnsi="Calibri" w:cs="Calibri"/>
                <w:kern w:val="0"/>
                <w:lang w:val="es-ES"/>
                <w14:ligatures w14:val="none"/>
              </w:rPr>
              <w:t>descolonialización</w:t>
            </w:r>
            <w:proofErr w:type="spellEnd"/>
            <w:r w:rsidRPr="00F128A3">
              <w:rPr>
                <w:rFonts w:ascii="Calibri" w:eastAsia="Calibri" w:hAnsi="Calibri" w:cs="Calibri"/>
                <w:kern w:val="0"/>
                <w:lang w:val="es-ES"/>
                <w14:ligatures w14:val="none"/>
              </w:rPr>
              <w:t xml:space="preserve"> e interculturalidad”. </w:t>
            </w:r>
            <w:r w:rsidRPr="00F128A3">
              <w:rPr>
                <w:rFonts w:ascii="Calibri" w:eastAsia="Calibri" w:hAnsi="Calibri" w:cs="Calibri"/>
                <w:i/>
                <w:kern w:val="0"/>
                <w:lang w:val="es-ES"/>
                <w14:ligatures w14:val="none"/>
              </w:rPr>
              <w:t xml:space="preserve">Concilium </w:t>
            </w:r>
            <w:r w:rsidRPr="00F128A3">
              <w:rPr>
                <w:rFonts w:ascii="Calibri" w:eastAsia="Calibri" w:hAnsi="Calibri" w:cs="Calibri"/>
                <w:kern w:val="0"/>
                <w:lang w:val="es-ES"/>
                <w14:ligatures w14:val="none"/>
              </w:rPr>
              <w:t>382, (2019): pp. 521-533.</w:t>
            </w:r>
          </w:p>
          <w:p w14:paraId="61482351" w14:textId="77777777" w:rsidR="00F128A3" w:rsidRPr="00F128A3" w:rsidRDefault="00F128A3" w:rsidP="00F128A3">
            <w:pPr>
              <w:spacing w:after="0" w:line="240" w:lineRule="auto"/>
              <w:rPr>
                <w:rFonts w:ascii="Calibri" w:eastAsia="Calibri" w:hAnsi="Calibri" w:cs="Calibri"/>
                <w:kern w:val="0"/>
                <w:lang w:val="es-ES"/>
                <w14:ligatures w14:val="none"/>
              </w:rPr>
            </w:pPr>
          </w:p>
          <w:p w14:paraId="277FB311"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69056871" w14:textId="77777777" w:rsidR="00F128A3" w:rsidRPr="00F128A3" w:rsidRDefault="00F128A3" w:rsidP="00F128A3">
            <w:pPr>
              <w:spacing w:after="0" w:line="240" w:lineRule="auto"/>
              <w:rPr>
                <w:rFonts w:ascii="Calibri" w:eastAsia="Calibri" w:hAnsi="Calibri" w:cs="Calibri"/>
                <w:b/>
                <w:color w:val="0070C0"/>
                <w:kern w:val="0"/>
                <w:lang w:val="es-ES"/>
                <w14:ligatures w14:val="none"/>
              </w:rPr>
            </w:pPr>
          </w:p>
          <w:p w14:paraId="0F84AC04"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Guía para la elaboración de un diario reflexivo</w:t>
            </w:r>
          </w:p>
          <w:p w14:paraId="6FC7DDAE"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6190604F"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 xml:space="preserve">Guía para la participación mediante la herramienta Big Blue </w:t>
            </w:r>
            <w:proofErr w:type="spellStart"/>
            <w:r w:rsidRPr="00F128A3">
              <w:rPr>
                <w:rFonts w:ascii="Calibri" w:eastAsia="Calibri" w:hAnsi="Calibri" w:cs="Calibri"/>
                <w:bCs/>
                <w:color w:val="0070C0"/>
                <w:kern w:val="0"/>
                <w:lang w:val="es-ES"/>
                <w14:ligatures w14:val="none"/>
              </w:rPr>
              <w:t>Button</w:t>
            </w:r>
            <w:proofErr w:type="spellEnd"/>
            <w:r w:rsidRPr="00F128A3">
              <w:rPr>
                <w:rFonts w:ascii="Calibri" w:eastAsia="Calibri" w:hAnsi="Calibri" w:cs="Calibri"/>
                <w:bCs/>
                <w:color w:val="0070C0"/>
                <w:kern w:val="0"/>
                <w:lang w:val="es-ES"/>
                <w14:ligatures w14:val="none"/>
              </w:rPr>
              <w:t xml:space="preserve"> en la plataforma Moodle</w:t>
            </w:r>
          </w:p>
          <w:p w14:paraId="7ACB9987" w14:textId="77777777" w:rsidR="00F128A3" w:rsidRPr="00F128A3" w:rsidRDefault="00F128A3" w:rsidP="00F128A3">
            <w:pPr>
              <w:spacing w:after="0" w:line="240" w:lineRule="auto"/>
              <w:rPr>
                <w:rFonts w:ascii="Calibri" w:eastAsia="Calibri" w:hAnsi="Calibri" w:cs="Calibri"/>
                <w:bCs/>
                <w:color w:val="0070C0"/>
                <w:kern w:val="0"/>
                <w:lang w:val="es-ES"/>
                <w14:ligatures w14:val="none"/>
              </w:rPr>
            </w:pPr>
          </w:p>
          <w:p w14:paraId="6FCDC048" w14:textId="77777777" w:rsidR="00F128A3" w:rsidRPr="00F128A3" w:rsidRDefault="00F128A3" w:rsidP="00F128A3">
            <w:pPr>
              <w:spacing w:after="0" w:line="240" w:lineRule="auto"/>
              <w:rPr>
                <w:rFonts w:ascii="Calibri" w:eastAsia="Calibri" w:hAnsi="Calibri" w:cs="Calibri"/>
                <w:bCs/>
                <w:kern w:val="0"/>
                <w:lang w:val="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p w14:paraId="43568E41" w14:textId="77777777" w:rsidR="00F128A3" w:rsidRPr="00F128A3" w:rsidRDefault="00F128A3" w:rsidP="00F128A3">
            <w:pPr>
              <w:spacing w:after="0" w:line="240" w:lineRule="auto"/>
              <w:rPr>
                <w:rFonts w:ascii="Calibri" w:eastAsia="Calibri" w:hAnsi="Calibri" w:cs="Calibri"/>
                <w:bCs/>
                <w:kern w:val="0"/>
                <w:lang w:val="es-ES"/>
                <w14:ligatures w14:val="none"/>
              </w:rPr>
            </w:pPr>
          </w:p>
        </w:tc>
        <w:tc>
          <w:tcPr>
            <w:tcW w:w="3260" w:type="dxa"/>
          </w:tcPr>
          <w:p w14:paraId="6A9C3671" w14:textId="77777777" w:rsidR="00F128A3" w:rsidRPr="00F128A3" w:rsidRDefault="00F128A3" w:rsidP="00F128A3">
            <w:pPr>
              <w:widowControl w:val="0"/>
              <w:numPr>
                <w:ilvl w:val="0"/>
                <w:numId w:val="191"/>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Realizar la lectura de la sesión.</w:t>
            </w:r>
          </w:p>
          <w:p w14:paraId="05E17D4C" w14:textId="77777777" w:rsidR="00F128A3" w:rsidRPr="00F128A3" w:rsidRDefault="00F128A3" w:rsidP="00F128A3">
            <w:pPr>
              <w:widowControl w:val="0"/>
              <w:numPr>
                <w:ilvl w:val="0"/>
                <w:numId w:val="191"/>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Entrega del diario reflexivo. </w:t>
            </w:r>
          </w:p>
          <w:p w14:paraId="369083D5" w14:textId="77777777" w:rsidR="00F128A3" w:rsidRPr="00F128A3" w:rsidRDefault="00F128A3" w:rsidP="00F128A3">
            <w:pPr>
              <w:widowControl w:val="0"/>
              <w:numPr>
                <w:ilvl w:val="0"/>
                <w:numId w:val="191"/>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Aporte docente: Hermenéutica campesina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14:ligatures w14:val="none"/>
              </w:rPr>
              <w:t xml:space="preserve">. </w:t>
            </w:r>
          </w:p>
          <w:p w14:paraId="611E5732" w14:textId="77777777" w:rsidR="00F128A3" w:rsidRPr="00F128A3" w:rsidRDefault="00F128A3" w:rsidP="00F128A3">
            <w:pPr>
              <w:widowControl w:val="0"/>
              <w:numPr>
                <w:ilvl w:val="0"/>
                <w:numId w:val="191"/>
              </w:numPr>
              <w:overflowPunct w:val="0"/>
              <w:autoSpaceDE w:val="0"/>
              <w:autoSpaceDN w:val="0"/>
              <w:adjustRightInd w:val="0"/>
              <w:spacing w:before="120" w:after="200" w:line="276" w:lineRule="auto"/>
              <w:ind w:left="377"/>
              <w:contextualSpacing/>
              <w:rPr>
                <w:rFonts w:ascii="Calibri" w:eastAsia="Calibri" w:hAnsi="Calibri" w:cs="Arial"/>
                <w:kern w:val="0"/>
                <w14:ligatures w14:val="none"/>
              </w:rPr>
            </w:pPr>
            <w:r w:rsidRPr="00F128A3">
              <w:rPr>
                <w:rFonts w:ascii="Calibri" w:eastAsia="Calibri" w:hAnsi="Calibri" w:cs="Arial"/>
                <w:kern w:val="0"/>
                <w14:ligatures w14:val="none"/>
              </w:rPr>
              <w:t xml:space="preserve">Participación en el foro temático grupal: Trabajo orientado con texto bíblico. </w:t>
            </w:r>
          </w:p>
        </w:tc>
      </w:tr>
      <w:tr w:rsidR="00F128A3" w:rsidRPr="00F128A3" w14:paraId="41275DF0" w14:textId="77777777" w:rsidTr="4C9C2619">
        <w:trPr>
          <w:jc w:val="center"/>
        </w:trPr>
        <w:tc>
          <w:tcPr>
            <w:tcW w:w="1271" w:type="dxa"/>
            <w:hideMark/>
          </w:tcPr>
          <w:p w14:paraId="0A1A962C"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38FFCB1C"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14</w:t>
            </w:r>
          </w:p>
          <w:p w14:paraId="481FC2B2"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hideMark/>
          </w:tcPr>
          <w:p w14:paraId="057CF21F"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 xml:space="preserve">Unidad 7: Diversidad teológica en la </w:t>
            </w:r>
            <w:proofErr w:type="spellStart"/>
            <w:r w:rsidRPr="00F128A3">
              <w:rPr>
                <w:rFonts w:ascii="Calibri" w:eastAsia="Calibri" w:hAnsi="Calibri" w:cs="Arial"/>
                <w:b/>
                <w:bCs/>
                <w:kern w:val="0"/>
                <w14:ligatures w14:val="none"/>
              </w:rPr>
              <w:t>pos-modernidad</w:t>
            </w:r>
            <w:proofErr w:type="spellEnd"/>
          </w:p>
          <w:p w14:paraId="25613F5E"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7.3 Teología queer</w:t>
            </w:r>
          </w:p>
          <w:p w14:paraId="1EC8C427" w14:textId="77777777" w:rsidR="00F128A3" w:rsidRPr="00F128A3" w:rsidRDefault="00F128A3" w:rsidP="00F128A3">
            <w:pPr>
              <w:spacing w:after="200" w:line="240" w:lineRule="auto"/>
              <w:rPr>
                <w:rFonts w:ascii="Calibri" w:eastAsia="Calibri" w:hAnsi="Calibri" w:cs="Arial"/>
                <w:b/>
                <w:strike/>
                <w:kern w:val="0"/>
                <w14:ligatures w14:val="none"/>
              </w:rPr>
            </w:pPr>
          </w:p>
        </w:tc>
        <w:tc>
          <w:tcPr>
            <w:tcW w:w="2835" w:type="dxa"/>
          </w:tcPr>
          <w:p w14:paraId="1719DF31" w14:textId="77777777" w:rsidR="00F128A3" w:rsidRPr="00F128A3" w:rsidRDefault="00F128A3" w:rsidP="00F128A3">
            <w:pPr>
              <w:spacing w:after="0" w:line="240" w:lineRule="auto"/>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5694182A" w14:textId="77777777" w:rsidR="00F128A3" w:rsidRPr="00F128A3" w:rsidRDefault="00F128A3" w:rsidP="00F128A3">
            <w:pPr>
              <w:spacing w:after="0" w:line="240" w:lineRule="auto"/>
              <w:rPr>
                <w:rFonts w:ascii="Calibri" w:eastAsia="Calibri" w:hAnsi="Calibri" w:cs="Calibri"/>
                <w:kern w:val="0"/>
                <w:lang w:val="es-ES"/>
                <w14:ligatures w14:val="none"/>
              </w:rPr>
            </w:pPr>
          </w:p>
          <w:p w14:paraId="0A6FFA66" w14:textId="77777777" w:rsidR="00F128A3" w:rsidRPr="00F128A3" w:rsidRDefault="00F128A3" w:rsidP="00F128A3">
            <w:pPr>
              <w:spacing w:after="0" w:line="240" w:lineRule="auto"/>
              <w:rPr>
                <w:rFonts w:ascii="Calibri" w:eastAsia="Calibri" w:hAnsi="Calibri" w:cs="Calibri"/>
                <w:kern w:val="0"/>
                <w:lang w:val="es-ES"/>
                <w14:ligatures w14:val="none"/>
              </w:rPr>
            </w:pPr>
            <w:r w:rsidRPr="00F128A3">
              <w:rPr>
                <w:rFonts w:ascii="Calibri" w:eastAsia="Calibri" w:hAnsi="Calibri" w:cs="Calibri"/>
                <w:kern w:val="0"/>
                <w:lang w:val="es-ES"/>
                <w14:ligatures w14:val="none"/>
              </w:rPr>
              <w:t xml:space="preserve">Althaus-Reid, Marcella María. “La teoría queer y la teología de la liberación. La irrupción del sujeto sexual en la teología”. </w:t>
            </w:r>
            <w:r w:rsidRPr="00F128A3">
              <w:rPr>
                <w:rFonts w:ascii="Calibri" w:eastAsia="Calibri" w:hAnsi="Calibri" w:cs="Calibri"/>
                <w:i/>
                <w:kern w:val="0"/>
                <w:lang w:val="es-ES"/>
                <w14:ligatures w14:val="none"/>
              </w:rPr>
              <w:t>Concilium 324</w:t>
            </w:r>
            <w:r w:rsidRPr="00F128A3">
              <w:rPr>
                <w:rFonts w:ascii="Calibri" w:eastAsia="Calibri" w:hAnsi="Calibri" w:cs="Calibri"/>
                <w:kern w:val="0"/>
                <w:lang w:val="es-ES"/>
                <w14:ligatures w14:val="none"/>
              </w:rPr>
              <w:t xml:space="preserve"> (2008): pp. 109-124. </w:t>
            </w:r>
          </w:p>
          <w:p w14:paraId="04E5C731" w14:textId="77777777" w:rsidR="00F128A3" w:rsidRPr="00F128A3" w:rsidRDefault="00F128A3" w:rsidP="00F128A3">
            <w:pPr>
              <w:spacing w:after="0" w:line="240" w:lineRule="auto"/>
              <w:rPr>
                <w:rFonts w:ascii="Calibri" w:eastAsia="Calibri" w:hAnsi="Calibri" w:cs="Calibri"/>
                <w:kern w:val="0"/>
                <w:lang w:val="es-ES"/>
                <w14:ligatures w14:val="none"/>
              </w:rPr>
            </w:pPr>
          </w:p>
          <w:p w14:paraId="7E1755C0" w14:textId="77777777" w:rsidR="00F128A3" w:rsidRPr="00F128A3" w:rsidRDefault="00F128A3" w:rsidP="00F128A3">
            <w:pPr>
              <w:spacing w:after="0" w:line="240" w:lineRule="auto"/>
              <w:rPr>
                <w:rFonts w:ascii="Calibri" w:eastAsia="Calibri" w:hAnsi="Calibri" w:cs="Calibri"/>
                <w:b/>
                <w:kern w:val="0"/>
                <w:lang w:val="es-ES"/>
                <w14:ligatures w14:val="none"/>
              </w:rPr>
            </w:pPr>
            <w:r w:rsidRPr="00F128A3">
              <w:rPr>
                <w:rFonts w:ascii="Calibri" w:eastAsia="Calibri" w:hAnsi="Calibri" w:cs="Calibri"/>
                <w:b/>
                <w:kern w:val="0"/>
                <w:lang w:val="es-ES"/>
                <w14:ligatures w14:val="none"/>
              </w:rPr>
              <w:t>Material complementario</w:t>
            </w:r>
          </w:p>
          <w:p w14:paraId="6041945E" w14:textId="77777777" w:rsidR="00F128A3" w:rsidRPr="00F128A3" w:rsidRDefault="00F128A3" w:rsidP="00F128A3">
            <w:pPr>
              <w:spacing w:after="0" w:line="240" w:lineRule="auto"/>
              <w:rPr>
                <w:rFonts w:ascii="Calibri" w:eastAsia="Calibri" w:hAnsi="Calibri" w:cs="Calibri"/>
                <w:b/>
                <w:kern w:val="0"/>
                <w:lang w:val="es-ES"/>
                <w14:ligatures w14:val="none"/>
              </w:rPr>
            </w:pPr>
          </w:p>
          <w:p w14:paraId="4EE5D076" w14:textId="77777777" w:rsidR="00F128A3" w:rsidRPr="00F128A3" w:rsidRDefault="00F128A3" w:rsidP="00F128A3">
            <w:pPr>
              <w:spacing w:after="0" w:line="240" w:lineRule="auto"/>
              <w:rPr>
                <w:rFonts w:ascii="Calibri" w:eastAsia="Calibri" w:hAnsi="Calibri" w:cs="Calibri"/>
                <w:kern w:val="0"/>
                <w:lang w:val="pt-BR" w:eastAsia="es-CR"/>
                <w14:ligatures w14:val="none"/>
              </w:rPr>
            </w:pPr>
            <w:r w:rsidRPr="00F128A3">
              <w:rPr>
                <w:rFonts w:ascii="Calibri" w:eastAsia="Calibri" w:hAnsi="Calibri" w:cs="Calibri"/>
                <w:kern w:val="0"/>
                <w:lang w:val="pt-BR" w:eastAsia="es-CR"/>
                <w14:ligatures w14:val="none"/>
              </w:rPr>
              <w:t xml:space="preserve">Boehler, Genilma. “La visibilización de los sujetos invisibles: el método queer para la Teología”. </w:t>
            </w:r>
            <w:r w:rsidRPr="00F128A3">
              <w:rPr>
                <w:rFonts w:ascii="Calibri" w:eastAsia="Calibri" w:hAnsi="Calibri" w:cs="Calibri"/>
                <w:i/>
                <w:kern w:val="0"/>
                <w:lang w:val="pt-BR" w:eastAsia="es-CR"/>
                <w14:ligatures w14:val="none"/>
              </w:rPr>
              <w:t>Revista Pasos</w:t>
            </w:r>
            <w:r w:rsidRPr="00F128A3">
              <w:rPr>
                <w:rFonts w:ascii="Calibri" w:eastAsia="Calibri" w:hAnsi="Calibri" w:cs="Calibri"/>
                <w:kern w:val="0"/>
                <w:lang w:val="pt-BR" w:eastAsia="es-CR"/>
                <w14:ligatures w14:val="none"/>
              </w:rPr>
              <w:t xml:space="preserve">, n.155 (2012): 2-9. Acceso el 18 de diciembre de 2020. </w:t>
            </w:r>
            <w:hyperlink r:id="rId570" w:history="1">
              <w:r w:rsidRPr="00F128A3">
                <w:rPr>
                  <w:rFonts w:ascii="Calibri" w:eastAsia="Calibri" w:hAnsi="Calibri" w:cs="Calibri"/>
                  <w:color w:val="0563C1"/>
                  <w:kern w:val="0"/>
                  <w:u w:val="single"/>
                  <w:lang w:val="pt-BR" w:eastAsia="es-CR"/>
                  <w14:ligatures w14:val="none"/>
                </w:rPr>
                <w:t>https://irp.cdn-website.com/5be65b2b/files/uploaded/00155-Pasos.pdf</w:t>
              </w:r>
            </w:hyperlink>
            <w:r w:rsidRPr="00F128A3">
              <w:rPr>
                <w:rFonts w:ascii="Calibri" w:eastAsia="Calibri" w:hAnsi="Calibri" w:cs="Calibri"/>
                <w:kern w:val="0"/>
                <w:lang w:val="pt-BR" w:eastAsia="es-CR"/>
                <w14:ligatures w14:val="none"/>
              </w:rPr>
              <w:t xml:space="preserve"> </w:t>
            </w:r>
          </w:p>
          <w:p w14:paraId="617B1170" w14:textId="77777777" w:rsidR="00F128A3" w:rsidRPr="00F128A3" w:rsidRDefault="00F128A3" w:rsidP="00F128A3">
            <w:pPr>
              <w:spacing w:after="0" w:line="240" w:lineRule="auto"/>
              <w:rPr>
                <w:rFonts w:ascii="Calibri" w:eastAsia="Calibri" w:hAnsi="Calibri" w:cs="Calibri"/>
                <w:kern w:val="0"/>
                <w:lang w:val="pt-BR" w:eastAsia="es-CR"/>
                <w14:ligatures w14:val="none"/>
              </w:rPr>
            </w:pPr>
          </w:p>
          <w:p w14:paraId="4958D5F8" w14:textId="77777777" w:rsidR="00F128A3" w:rsidRPr="00F128A3" w:rsidRDefault="00F128A3" w:rsidP="00F128A3">
            <w:pPr>
              <w:spacing w:after="0" w:line="240" w:lineRule="auto"/>
              <w:rPr>
                <w:rFonts w:ascii="Calibri" w:eastAsia="Calibri" w:hAnsi="Calibri" w:cs="Calibri"/>
                <w:color w:val="0070C0"/>
                <w:kern w:val="0"/>
                <w:lang w:val="es-419" w:eastAsia="es-CR"/>
                <w14:ligatures w14:val="none"/>
              </w:rPr>
            </w:pPr>
            <w:r w:rsidRPr="00F128A3">
              <w:rPr>
                <w:rFonts w:ascii="Calibri" w:eastAsia="Calibri" w:hAnsi="Calibri" w:cs="Calibri"/>
                <w:color w:val="0070C0"/>
                <w:kern w:val="0"/>
                <w:lang w:val="es-419" w:eastAsia="es-CR"/>
                <w14:ligatures w14:val="none"/>
              </w:rPr>
              <w:t>Guía para la elaboración de una reseña crítica de lectura</w:t>
            </w:r>
          </w:p>
          <w:p w14:paraId="70157497" w14:textId="77777777" w:rsidR="00F128A3" w:rsidRPr="00F128A3" w:rsidRDefault="00F128A3" w:rsidP="00F128A3">
            <w:pPr>
              <w:spacing w:after="0" w:line="240" w:lineRule="auto"/>
              <w:rPr>
                <w:rFonts w:ascii="Calibri" w:eastAsia="Calibri" w:hAnsi="Calibri" w:cs="Calibri"/>
                <w:color w:val="0070C0"/>
                <w:kern w:val="0"/>
                <w:lang w:val="es-419" w:eastAsia="es-CR"/>
                <w14:ligatures w14:val="none"/>
              </w:rPr>
            </w:pPr>
          </w:p>
          <w:p w14:paraId="0226BB79" w14:textId="77777777" w:rsidR="00F128A3" w:rsidRPr="00F128A3" w:rsidRDefault="00F128A3" w:rsidP="00F128A3">
            <w:pPr>
              <w:spacing w:after="0" w:line="240" w:lineRule="auto"/>
              <w:rPr>
                <w:rFonts w:ascii="Calibri" w:eastAsia="Calibri" w:hAnsi="Calibri" w:cs="Calibri"/>
                <w:color w:val="0070C0"/>
                <w:kern w:val="0"/>
                <w:lang w:val="es-419" w:eastAsia="es-CR"/>
                <w14:ligatures w14:val="none"/>
              </w:rPr>
            </w:pPr>
            <w:r w:rsidRPr="00F128A3">
              <w:rPr>
                <w:rFonts w:ascii="Calibri" w:eastAsia="Calibri" w:hAnsi="Calibri" w:cs="Calibri"/>
                <w:color w:val="0070C0"/>
                <w:kern w:val="0"/>
                <w:lang w:val="es-419" w:eastAsia="es-CR"/>
                <w14:ligatures w14:val="none"/>
              </w:rPr>
              <w:t xml:space="preserve">Guía para la participación mediante la herramienta Big Blue </w:t>
            </w:r>
            <w:proofErr w:type="spellStart"/>
            <w:r w:rsidRPr="00F128A3">
              <w:rPr>
                <w:rFonts w:ascii="Calibri" w:eastAsia="Calibri" w:hAnsi="Calibri" w:cs="Calibri"/>
                <w:color w:val="0070C0"/>
                <w:kern w:val="0"/>
                <w:lang w:val="es-419" w:eastAsia="es-CR"/>
                <w14:ligatures w14:val="none"/>
              </w:rPr>
              <w:t>Button</w:t>
            </w:r>
            <w:proofErr w:type="spellEnd"/>
            <w:r w:rsidRPr="00F128A3">
              <w:rPr>
                <w:rFonts w:ascii="Calibri" w:eastAsia="Calibri" w:hAnsi="Calibri" w:cs="Calibri"/>
                <w:color w:val="0070C0"/>
                <w:kern w:val="0"/>
                <w:lang w:val="es-419" w:eastAsia="es-CR"/>
                <w14:ligatures w14:val="none"/>
              </w:rPr>
              <w:t xml:space="preserve"> en la plataforma Moodle</w:t>
            </w:r>
          </w:p>
          <w:p w14:paraId="22F2B2C0" w14:textId="77777777" w:rsidR="00F128A3" w:rsidRPr="00F128A3" w:rsidRDefault="00F128A3" w:rsidP="00F128A3">
            <w:pPr>
              <w:spacing w:after="0" w:line="240" w:lineRule="auto"/>
              <w:rPr>
                <w:rFonts w:ascii="Calibri" w:eastAsia="Calibri" w:hAnsi="Calibri" w:cs="Calibri"/>
                <w:color w:val="0070C0"/>
                <w:kern w:val="0"/>
                <w:lang w:val="es-419" w:eastAsia="es-CR"/>
                <w14:ligatures w14:val="none"/>
              </w:rPr>
            </w:pPr>
          </w:p>
          <w:p w14:paraId="53C04685" w14:textId="77777777" w:rsidR="00F128A3" w:rsidRPr="00F128A3" w:rsidRDefault="00F128A3" w:rsidP="00F128A3">
            <w:pPr>
              <w:spacing w:after="0" w:line="240" w:lineRule="auto"/>
              <w:rPr>
                <w:rFonts w:ascii="Times New Roman" w:eastAsia="Calibri" w:hAnsi="Times New Roman" w:cs="Times New Roman"/>
                <w:color w:val="0070C0"/>
                <w:kern w:val="0"/>
                <w:sz w:val="24"/>
                <w:szCs w:val="20"/>
                <w:lang w:val="es-419"/>
                <w14:ligatures w14:val="none"/>
              </w:rPr>
            </w:pPr>
            <w:r w:rsidRPr="00F128A3">
              <w:rPr>
                <w:rFonts w:ascii="Calibri" w:eastAsia="Calibri" w:hAnsi="Calibri" w:cs="Calibri"/>
                <w:color w:val="0070C0"/>
                <w:kern w:val="0"/>
                <w:lang w:val="es-419" w:eastAsia="es-CR"/>
                <w14:ligatures w14:val="none"/>
              </w:rPr>
              <w:t>Guía para la participación en un foro em la plataforma Moodle</w:t>
            </w:r>
          </w:p>
          <w:p w14:paraId="125E33D6" w14:textId="77777777" w:rsidR="00F128A3" w:rsidRPr="00F128A3" w:rsidRDefault="00F128A3" w:rsidP="00F128A3">
            <w:pPr>
              <w:spacing w:after="0" w:line="240" w:lineRule="auto"/>
              <w:rPr>
                <w:rFonts w:ascii="Calibri" w:eastAsia="Calibri" w:hAnsi="Calibri" w:cs="Calibri"/>
                <w:kern w:val="0"/>
                <w:lang w:val="pt-BR"/>
                <w14:ligatures w14:val="none"/>
              </w:rPr>
            </w:pPr>
          </w:p>
        </w:tc>
        <w:tc>
          <w:tcPr>
            <w:tcW w:w="3260" w:type="dxa"/>
          </w:tcPr>
          <w:p w14:paraId="42F75236" w14:textId="77777777" w:rsidR="00F128A3" w:rsidRPr="00F128A3" w:rsidRDefault="00F128A3" w:rsidP="00F128A3">
            <w:pPr>
              <w:widowControl w:val="0"/>
              <w:numPr>
                <w:ilvl w:val="0"/>
                <w:numId w:val="192"/>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Realizar la lectura de la sesión.</w:t>
            </w:r>
          </w:p>
          <w:p w14:paraId="2519C7AC" w14:textId="77777777" w:rsidR="00F128A3" w:rsidRPr="00F128A3" w:rsidRDefault="00F128A3" w:rsidP="00F128A3">
            <w:pPr>
              <w:widowControl w:val="0"/>
              <w:numPr>
                <w:ilvl w:val="0"/>
                <w:numId w:val="192"/>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 xml:space="preserve">Elaboración de una reseña crítica de la lectura. </w:t>
            </w:r>
          </w:p>
          <w:p w14:paraId="690DD418" w14:textId="77777777" w:rsidR="00F128A3" w:rsidRPr="00F128A3" w:rsidRDefault="00F128A3" w:rsidP="00F128A3">
            <w:pPr>
              <w:widowControl w:val="0"/>
              <w:numPr>
                <w:ilvl w:val="0"/>
                <w:numId w:val="192"/>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 xml:space="preserve">Aporte docente: Teología y hermenéutica queer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kern w:val="0"/>
                <w:lang w:val="es-ES"/>
                <w14:ligatures w14:val="none"/>
              </w:rPr>
              <w:t xml:space="preserve">. </w:t>
            </w:r>
          </w:p>
          <w:p w14:paraId="528E88EA" w14:textId="77777777" w:rsidR="00F128A3" w:rsidRPr="00F128A3" w:rsidRDefault="00F128A3" w:rsidP="00F128A3">
            <w:pPr>
              <w:widowControl w:val="0"/>
              <w:numPr>
                <w:ilvl w:val="0"/>
                <w:numId w:val="192"/>
              </w:numPr>
              <w:overflowPunct w:val="0"/>
              <w:autoSpaceDE w:val="0"/>
              <w:autoSpaceDN w:val="0"/>
              <w:adjustRightInd w:val="0"/>
              <w:spacing w:before="120" w:after="200" w:line="276" w:lineRule="auto"/>
              <w:ind w:left="377"/>
              <w:contextualSpacing/>
              <w:rPr>
                <w:rFonts w:ascii="Calibri" w:eastAsia="Calibri" w:hAnsi="Calibri" w:cs="Arial"/>
                <w:kern w:val="0"/>
                <w:lang w:val="es-ES"/>
                <w14:ligatures w14:val="none"/>
              </w:rPr>
            </w:pPr>
            <w:r w:rsidRPr="00F128A3">
              <w:rPr>
                <w:rFonts w:ascii="Calibri" w:eastAsia="Calibri" w:hAnsi="Calibri" w:cs="Arial"/>
                <w:kern w:val="0"/>
                <w:lang w:val="es-ES"/>
                <w14:ligatures w14:val="none"/>
              </w:rPr>
              <w:t>Participación en el foro temático grupal: Trabajo orientado con texto, donde se realizará un debate.</w:t>
            </w:r>
          </w:p>
        </w:tc>
      </w:tr>
      <w:tr w:rsidR="00F128A3" w:rsidRPr="00F128A3" w14:paraId="7D1EDAC9" w14:textId="77777777" w:rsidTr="4C9C2619">
        <w:trPr>
          <w:jc w:val="center"/>
        </w:trPr>
        <w:tc>
          <w:tcPr>
            <w:tcW w:w="1271" w:type="dxa"/>
            <w:hideMark/>
          </w:tcPr>
          <w:p w14:paraId="1E4B8D5E"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p>
          <w:p w14:paraId="537B0612" w14:textId="77777777" w:rsidR="00F128A3" w:rsidRPr="00F128A3" w:rsidRDefault="00F128A3" w:rsidP="00F128A3">
            <w:pPr>
              <w:spacing w:after="200" w:line="240" w:lineRule="auto"/>
              <w:jc w:val="center"/>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15</w:t>
            </w:r>
          </w:p>
          <w:p w14:paraId="31A4BFD9" w14:textId="77777777" w:rsidR="00F128A3" w:rsidRPr="00F128A3" w:rsidRDefault="00F128A3" w:rsidP="00F128A3">
            <w:pPr>
              <w:spacing w:after="200" w:line="240" w:lineRule="auto"/>
              <w:jc w:val="center"/>
              <w:rPr>
                <w:rFonts w:ascii="Calibri" w:eastAsia="Calibri" w:hAnsi="Calibri" w:cs="Arial"/>
                <w:color w:val="FF0000"/>
                <w:kern w:val="0"/>
                <w14:ligatures w14:val="none"/>
              </w:rPr>
            </w:pPr>
          </w:p>
        </w:tc>
        <w:tc>
          <w:tcPr>
            <w:tcW w:w="2410" w:type="dxa"/>
          </w:tcPr>
          <w:p w14:paraId="1860C379" w14:textId="77777777" w:rsidR="00F128A3" w:rsidRPr="00F128A3" w:rsidRDefault="00F128A3" w:rsidP="00F128A3">
            <w:pPr>
              <w:spacing w:after="200" w:line="240" w:lineRule="auto"/>
              <w:rPr>
                <w:rFonts w:ascii="Calibri" w:eastAsia="Calibri" w:hAnsi="Calibri" w:cs="Arial"/>
                <w:b/>
                <w:bCs/>
                <w:kern w:val="0"/>
                <w14:ligatures w14:val="none"/>
              </w:rPr>
            </w:pPr>
            <w:r w:rsidRPr="00F128A3">
              <w:rPr>
                <w:rFonts w:ascii="Calibri" w:eastAsia="Calibri" w:hAnsi="Calibri" w:cs="Arial"/>
                <w:b/>
                <w:bCs/>
                <w:kern w:val="0"/>
                <w14:ligatures w14:val="none"/>
              </w:rPr>
              <w:t>Unidad 8: La construcción del conocimiento teológico</w:t>
            </w:r>
          </w:p>
          <w:p w14:paraId="5337B20D" w14:textId="77777777" w:rsidR="00F128A3" w:rsidRPr="00F128A3" w:rsidRDefault="00F128A3" w:rsidP="00F128A3">
            <w:pPr>
              <w:spacing w:after="200" w:line="240" w:lineRule="auto"/>
              <w:rPr>
                <w:rFonts w:ascii="Calibri" w:eastAsia="Calibri" w:hAnsi="Calibri" w:cs="Arial"/>
                <w:kern w:val="0"/>
                <w14:ligatures w14:val="none"/>
              </w:rPr>
            </w:pPr>
            <w:r w:rsidRPr="00F128A3">
              <w:rPr>
                <w:rFonts w:ascii="Calibri" w:eastAsia="Calibri" w:hAnsi="Calibri" w:cs="Arial"/>
                <w:kern w:val="0"/>
                <w14:ligatures w14:val="none"/>
              </w:rPr>
              <w:t>8.1 Desafíos para las teologías contextuales y las hermenéuticas de liberación en el siglo XXI</w:t>
            </w:r>
          </w:p>
          <w:p w14:paraId="1AB6864D" w14:textId="77777777" w:rsidR="00F128A3" w:rsidRPr="00F128A3" w:rsidRDefault="00F128A3" w:rsidP="00F128A3">
            <w:pPr>
              <w:spacing w:after="200" w:line="240" w:lineRule="auto"/>
              <w:rPr>
                <w:rFonts w:ascii="Calibri" w:eastAsia="Calibri" w:hAnsi="Calibri" w:cs="Arial"/>
                <w:kern w:val="0"/>
                <w14:ligatures w14:val="none"/>
              </w:rPr>
            </w:pPr>
          </w:p>
        </w:tc>
        <w:tc>
          <w:tcPr>
            <w:tcW w:w="2835" w:type="dxa"/>
          </w:tcPr>
          <w:p w14:paraId="674AE8D3" w14:textId="77777777" w:rsidR="00F128A3" w:rsidRPr="00F128A3" w:rsidRDefault="00F128A3" w:rsidP="00F128A3">
            <w:pPr>
              <w:spacing w:after="200" w:line="240" w:lineRule="auto"/>
              <w:ind w:left="-31"/>
              <w:contextualSpacing/>
              <w:rPr>
                <w:rFonts w:ascii="Calibri" w:eastAsia="Calibri" w:hAnsi="Calibri" w:cs="Calibri"/>
                <w:color w:val="0070C0"/>
                <w:kern w:val="0"/>
                <w:lang w:val="es-ES"/>
                <w14:ligatures w14:val="none"/>
              </w:rPr>
            </w:pPr>
            <w:r w:rsidRPr="00F128A3">
              <w:rPr>
                <w:rFonts w:ascii="Calibri" w:eastAsia="Calibri" w:hAnsi="Calibri" w:cs="Calibri"/>
                <w:color w:val="0070C0"/>
                <w:kern w:val="0"/>
                <w:lang w:val="es-ES"/>
                <w14:ligatures w14:val="none"/>
              </w:rPr>
              <w:t>Ruta de aprendizaje</w:t>
            </w:r>
          </w:p>
          <w:p w14:paraId="3FD2D0FA" w14:textId="77777777" w:rsidR="00F128A3" w:rsidRPr="00F128A3" w:rsidRDefault="00F128A3" w:rsidP="00F128A3">
            <w:pPr>
              <w:spacing w:after="200" w:line="240" w:lineRule="auto"/>
              <w:ind w:left="-31"/>
              <w:contextualSpacing/>
              <w:rPr>
                <w:rFonts w:ascii="Calibri" w:eastAsia="Calibri" w:hAnsi="Calibri" w:cs="Calibri"/>
                <w:color w:val="0070C0"/>
                <w:kern w:val="0"/>
                <w:lang w:val="es-ES"/>
                <w14:ligatures w14:val="none"/>
              </w:rPr>
            </w:pPr>
          </w:p>
          <w:p w14:paraId="15A7D6FF" w14:textId="77777777" w:rsidR="00F128A3" w:rsidRPr="00F128A3" w:rsidRDefault="00F128A3" w:rsidP="00F128A3">
            <w:pPr>
              <w:spacing w:after="200" w:line="240" w:lineRule="auto"/>
              <w:ind w:left="-31"/>
              <w:contextualSpacing/>
              <w:rPr>
                <w:rFonts w:ascii="Calibri" w:eastAsia="Calibri" w:hAnsi="Calibri" w:cs="Calibri"/>
                <w:b/>
                <w:color w:val="0070C0"/>
                <w:kern w:val="0"/>
                <w:lang w:val="es-ES"/>
                <w14:ligatures w14:val="none"/>
              </w:rPr>
            </w:pPr>
            <w:r w:rsidRPr="00F128A3">
              <w:rPr>
                <w:rFonts w:ascii="Calibri" w:eastAsia="Calibri" w:hAnsi="Calibri" w:cs="Calibri"/>
                <w:b/>
                <w:color w:val="0070C0"/>
                <w:kern w:val="0"/>
                <w:lang w:val="es-ES"/>
                <w14:ligatures w14:val="none"/>
              </w:rPr>
              <w:t>Material complementario</w:t>
            </w:r>
          </w:p>
          <w:p w14:paraId="62EFB5BF" w14:textId="77777777" w:rsidR="00F128A3" w:rsidRPr="00F128A3" w:rsidRDefault="00F128A3" w:rsidP="00F128A3">
            <w:pPr>
              <w:spacing w:after="200" w:line="240" w:lineRule="auto"/>
              <w:ind w:left="-31"/>
              <w:contextualSpacing/>
              <w:rPr>
                <w:rFonts w:ascii="Calibri" w:eastAsia="Calibri" w:hAnsi="Calibri" w:cs="Calibri"/>
                <w:b/>
                <w:color w:val="0070C0"/>
                <w:kern w:val="0"/>
                <w:lang w:val="es-ES"/>
                <w14:ligatures w14:val="none"/>
              </w:rPr>
            </w:pPr>
          </w:p>
          <w:p w14:paraId="211C5AAC" w14:textId="77777777" w:rsidR="00F128A3" w:rsidRPr="00F128A3" w:rsidRDefault="00F128A3" w:rsidP="00F128A3">
            <w:pPr>
              <w:spacing w:after="200" w:line="240" w:lineRule="auto"/>
              <w:ind w:left="-31"/>
              <w:contextualSpacing/>
              <w:rPr>
                <w:rFonts w:ascii="Calibri" w:eastAsia="Calibri" w:hAnsi="Calibri" w:cs="Calibri"/>
                <w:bCs/>
                <w:color w:val="0070C0"/>
                <w:kern w:val="0"/>
                <w:lang w:val="es-ES"/>
                <w14:ligatures w14:val="none"/>
              </w:rPr>
            </w:pPr>
            <w:r w:rsidRPr="00F128A3">
              <w:rPr>
                <w:rFonts w:ascii="Calibri" w:eastAsia="Calibri" w:hAnsi="Calibri" w:cs="Calibri"/>
                <w:bCs/>
                <w:color w:val="0070C0"/>
                <w:kern w:val="0"/>
                <w:lang w:val="es-ES"/>
                <w14:ligatures w14:val="none"/>
              </w:rPr>
              <w:t xml:space="preserve">Guía para la participación mediante la herramienta Big Blue </w:t>
            </w:r>
            <w:proofErr w:type="spellStart"/>
            <w:r w:rsidRPr="00F128A3">
              <w:rPr>
                <w:rFonts w:ascii="Calibri" w:eastAsia="Calibri" w:hAnsi="Calibri" w:cs="Calibri"/>
                <w:bCs/>
                <w:color w:val="0070C0"/>
                <w:kern w:val="0"/>
                <w:lang w:val="es-ES"/>
                <w14:ligatures w14:val="none"/>
              </w:rPr>
              <w:t>Button</w:t>
            </w:r>
            <w:proofErr w:type="spellEnd"/>
            <w:r w:rsidRPr="00F128A3">
              <w:rPr>
                <w:rFonts w:ascii="Calibri" w:eastAsia="Calibri" w:hAnsi="Calibri" w:cs="Calibri"/>
                <w:bCs/>
                <w:color w:val="0070C0"/>
                <w:kern w:val="0"/>
                <w:lang w:val="es-ES"/>
                <w14:ligatures w14:val="none"/>
              </w:rPr>
              <w:t xml:space="preserve"> en la plataforma Moodle</w:t>
            </w:r>
          </w:p>
          <w:p w14:paraId="57CF3CBE" w14:textId="77777777" w:rsidR="00F128A3" w:rsidRPr="00F128A3" w:rsidRDefault="00F128A3" w:rsidP="00F128A3">
            <w:pPr>
              <w:spacing w:after="200" w:line="240" w:lineRule="auto"/>
              <w:ind w:left="-31"/>
              <w:contextualSpacing/>
              <w:rPr>
                <w:rFonts w:ascii="Calibri" w:eastAsia="Calibri" w:hAnsi="Calibri" w:cs="Calibri"/>
                <w:bCs/>
                <w:color w:val="0070C0"/>
                <w:kern w:val="0"/>
                <w:lang w:val="es-ES"/>
                <w14:ligatures w14:val="none"/>
              </w:rPr>
            </w:pPr>
          </w:p>
          <w:p w14:paraId="445A3112" w14:textId="77777777" w:rsidR="00F128A3" w:rsidRPr="00F128A3" w:rsidRDefault="00F128A3" w:rsidP="00F128A3">
            <w:pPr>
              <w:spacing w:after="200" w:line="240" w:lineRule="auto"/>
              <w:ind w:left="-31"/>
              <w:contextualSpacing/>
              <w:rPr>
                <w:rFonts w:ascii="Calibri" w:eastAsia="Calibri" w:hAnsi="Calibri" w:cs="Arial"/>
                <w:bCs/>
                <w:color w:val="000000"/>
                <w:kern w:val="0"/>
                <w:lang w:val="es-ES" w:eastAsia="es-ES"/>
                <w14:ligatures w14:val="none"/>
              </w:rPr>
            </w:pPr>
            <w:r w:rsidRPr="00F128A3">
              <w:rPr>
                <w:rFonts w:ascii="Calibri" w:eastAsia="Calibri" w:hAnsi="Calibri" w:cs="Calibri"/>
                <w:bCs/>
                <w:color w:val="0070C0"/>
                <w:kern w:val="0"/>
                <w:lang w:val="es-ES"/>
                <w14:ligatures w14:val="none"/>
              </w:rPr>
              <w:t>Guía para la participación en un foro en la plataforma Moodle</w:t>
            </w:r>
          </w:p>
        </w:tc>
        <w:tc>
          <w:tcPr>
            <w:tcW w:w="3260" w:type="dxa"/>
            <w:hideMark/>
          </w:tcPr>
          <w:p w14:paraId="53195688" w14:textId="77777777" w:rsidR="00F128A3" w:rsidRPr="00F128A3" w:rsidRDefault="00F128A3" w:rsidP="00F128A3">
            <w:pPr>
              <w:widowControl w:val="0"/>
              <w:numPr>
                <w:ilvl w:val="0"/>
                <w:numId w:val="193"/>
              </w:numPr>
              <w:overflowPunct w:val="0"/>
              <w:autoSpaceDE w:val="0"/>
              <w:autoSpaceDN w:val="0"/>
              <w:adjustRightInd w:val="0"/>
              <w:spacing w:before="120" w:after="200" w:line="276" w:lineRule="auto"/>
              <w:ind w:left="377"/>
              <w:contextualSpacing/>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Realizar la tercera entrega del ensayo. </w:t>
            </w:r>
          </w:p>
          <w:p w14:paraId="0E1974D4" w14:textId="77777777" w:rsidR="00F128A3" w:rsidRPr="00F128A3" w:rsidRDefault="00F128A3" w:rsidP="00F128A3">
            <w:pPr>
              <w:widowControl w:val="0"/>
              <w:numPr>
                <w:ilvl w:val="0"/>
                <w:numId w:val="193"/>
              </w:numPr>
              <w:overflowPunct w:val="0"/>
              <w:autoSpaceDE w:val="0"/>
              <w:autoSpaceDN w:val="0"/>
              <w:adjustRightInd w:val="0"/>
              <w:spacing w:before="120" w:after="200" w:line="276" w:lineRule="auto"/>
              <w:ind w:left="377"/>
              <w:contextualSpacing/>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Participación en la presentación de las conclusiones finales del ensayo crítico en un encuentro sincrónico virtual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color w:val="000000"/>
                <w:kern w:val="0"/>
                <w14:ligatures w14:val="none"/>
              </w:rPr>
              <w:t xml:space="preserve">. </w:t>
            </w:r>
          </w:p>
          <w:p w14:paraId="01A39F31" w14:textId="77777777" w:rsidR="00F128A3" w:rsidRPr="00F128A3" w:rsidRDefault="00F128A3" w:rsidP="00F128A3">
            <w:pPr>
              <w:widowControl w:val="0"/>
              <w:numPr>
                <w:ilvl w:val="0"/>
                <w:numId w:val="193"/>
              </w:numPr>
              <w:overflowPunct w:val="0"/>
              <w:autoSpaceDE w:val="0"/>
              <w:autoSpaceDN w:val="0"/>
              <w:adjustRightInd w:val="0"/>
              <w:spacing w:before="120" w:after="200" w:line="276" w:lineRule="auto"/>
              <w:ind w:left="377"/>
              <w:contextualSpacing/>
              <w:rPr>
                <w:rFonts w:ascii="Calibri" w:eastAsia="Calibri" w:hAnsi="Calibri" w:cs="Arial"/>
                <w:color w:val="000000"/>
                <w:kern w:val="0"/>
                <w14:ligatures w14:val="none"/>
              </w:rPr>
            </w:pPr>
            <w:r w:rsidRPr="00F128A3">
              <w:rPr>
                <w:rFonts w:ascii="Calibri" w:eastAsia="Calibri" w:hAnsi="Calibri" w:cs="Arial"/>
                <w:color w:val="000000"/>
                <w:kern w:val="0"/>
                <w14:ligatures w14:val="none"/>
              </w:rPr>
              <w:t xml:space="preserve">Participación en el foro: Evaluación del curso </w:t>
            </w:r>
            <w:r w:rsidRPr="00F128A3">
              <w:rPr>
                <w:rFonts w:ascii="Calibri" w:eastAsia="Calibri" w:hAnsi="Calibri" w:cs="Arial"/>
                <w:color w:val="000000"/>
                <w:kern w:val="0"/>
                <w:lang w:val="es-ES" w:eastAsia="es-ES"/>
                <w14:ligatures w14:val="none"/>
              </w:rPr>
              <w:t>(formativo)</w:t>
            </w:r>
            <w:r w:rsidRPr="00F128A3">
              <w:rPr>
                <w:rFonts w:ascii="Calibri" w:eastAsia="Calibri" w:hAnsi="Calibri" w:cs="Arial"/>
                <w:color w:val="000000"/>
                <w:kern w:val="0"/>
                <w14:ligatures w14:val="none"/>
              </w:rPr>
              <w:t xml:space="preserve">. </w:t>
            </w:r>
          </w:p>
        </w:tc>
      </w:tr>
    </w:tbl>
    <w:p w14:paraId="23BC55DF" w14:textId="77777777" w:rsidR="00F128A3" w:rsidRPr="00F128A3" w:rsidRDefault="00F128A3" w:rsidP="00F128A3">
      <w:pPr>
        <w:spacing w:after="200" w:line="276" w:lineRule="auto"/>
        <w:rPr>
          <w:rFonts w:ascii="Calibri" w:eastAsia="Calibri" w:hAnsi="Calibri" w:cs="Arial"/>
          <w:color w:val="000000"/>
          <w:kern w:val="0"/>
          <w14:ligatures w14:val="none"/>
        </w:rPr>
      </w:pPr>
    </w:p>
    <w:p w14:paraId="0B370CFA"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Times New Roman" w:hAnsi="Calibri" w:cs="Calibri"/>
          <w:b/>
          <w:bCs/>
          <w:color w:val="000000"/>
          <w:kern w:val="0"/>
          <w:lang w:val="es-ES_tradnl" w:eastAsia="es-CR"/>
          <w14:ligatures w14:val="none"/>
        </w:rPr>
      </w:pPr>
      <w:r w:rsidRPr="00F128A3">
        <w:rPr>
          <w:rFonts w:ascii="Calibri" w:eastAsia="Times New Roman" w:hAnsi="Calibri" w:cs="Calibri"/>
          <w:b/>
          <w:bCs/>
          <w:color w:val="000000"/>
          <w:kern w:val="0"/>
          <w:lang w:val="es-ES_tradnl" w:eastAsia="es-CR"/>
          <w14:ligatures w14:val="none"/>
        </w:rPr>
        <w:lastRenderedPageBreak/>
        <w:t>IX. Distribución de tiempo semanal</w:t>
      </w:r>
    </w:p>
    <w:p w14:paraId="59F998CD"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r w:rsidRPr="00F128A3">
        <w:rPr>
          <w:rFonts w:ascii="Calibri" w:eastAsia="Times New Roman" w:hAnsi="Calibri" w:cs="Calibri"/>
          <w:bCs/>
          <w:color w:val="000000"/>
          <w:kern w:val="0"/>
          <w:lang w:val="es-ES_tradnl" w:eastAsia="es-CR"/>
          <w14:ligatures w14:val="none"/>
        </w:rPr>
        <w:t>Al ser este un curso impartido en la modalidad virtual no se requiere la asistencia a clases presenciales. Por ello, cada semana se asignan actividades que las personas estudiantes deben realizar para promover el diálogo con los contenidos y la asimilación de los temas a través de lecturas críticas, análisis, tareas, reseñas, discusiones en foros o trabajos colaborativos. Debe considerarse que, al tener este curso asignados 4 créditos, se debe invertir 12 horas de trabajo por semana. La distribución de tiempos es la siguiente:</w:t>
      </w:r>
    </w:p>
    <w:p w14:paraId="5767E356"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tbl>
      <w:tblPr>
        <w:tblStyle w:val="Tablaconcuadrcula"/>
        <w:tblW w:w="8784" w:type="dxa"/>
        <w:tblLook w:val="04A0" w:firstRow="1" w:lastRow="0" w:firstColumn="1" w:lastColumn="0" w:noHBand="0" w:noVBand="1"/>
      </w:tblPr>
      <w:tblGrid>
        <w:gridCol w:w="2122"/>
        <w:gridCol w:w="1417"/>
        <w:gridCol w:w="5245"/>
      </w:tblGrid>
      <w:tr w:rsidR="00F128A3" w:rsidRPr="00F128A3" w14:paraId="48D60BA2" w14:textId="77777777" w:rsidTr="4C9C2619">
        <w:tc>
          <w:tcPr>
            <w:tcW w:w="2122" w:type="dxa"/>
          </w:tcPr>
          <w:p w14:paraId="4789458A"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128A3">
              <w:rPr>
                <w:rFonts w:ascii="Calibri" w:eastAsia="Times New Roman" w:hAnsi="Calibri" w:cs="Calibri"/>
                <w:b/>
                <w:bCs/>
                <w:color w:val="000000"/>
                <w:lang w:val="es-ES_tradnl" w:eastAsia="es-CR"/>
              </w:rPr>
              <w:t>Tipo de horas</w:t>
            </w:r>
          </w:p>
          <w:p w14:paraId="783D9D2A"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128A3">
              <w:rPr>
                <w:rFonts w:ascii="Calibri" w:eastAsia="Times New Roman" w:hAnsi="Calibri" w:cs="Calibri"/>
                <w:b/>
                <w:bCs/>
                <w:color w:val="000000"/>
                <w:lang w:val="es-ES_tradnl" w:eastAsia="es-CR"/>
              </w:rPr>
              <w:t>(categoría)</w:t>
            </w:r>
          </w:p>
        </w:tc>
        <w:tc>
          <w:tcPr>
            <w:tcW w:w="1417" w:type="dxa"/>
          </w:tcPr>
          <w:p w14:paraId="6EC352E2"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128A3">
              <w:rPr>
                <w:rFonts w:ascii="Calibri" w:eastAsia="Times New Roman" w:hAnsi="Calibri" w:cs="Calibri"/>
                <w:b/>
                <w:bCs/>
                <w:color w:val="000000"/>
                <w:lang w:val="es-ES_tradnl" w:eastAsia="es-CR"/>
              </w:rPr>
              <w:t>Horas por semana</w:t>
            </w:r>
          </w:p>
        </w:tc>
        <w:tc>
          <w:tcPr>
            <w:tcW w:w="5245" w:type="dxa"/>
            <w:vAlign w:val="center"/>
          </w:tcPr>
          <w:p w14:paraId="564FA767"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128A3">
              <w:rPr>
                <w:rFonts w:ascii="Calibri" w:eastAsia="Times New Roman" w:hAnsi="Calibri" w:cs="Calibri"/>
                <w:b/>
                <w:bCs/>
                <w:color w:val="000000"/>
                <w:lang w:val="es-ES_tradnl" w:eastAsia="es-CR"/>
              </w:rPr>
              <w:t>Actividades relacionadas</w:t>
            </w:r>
          </w:p>
        </w:tc>
      </w:tr>
      <w:tr w:rsidR="00F128A3" w:rsidRPr="00F128A3" w14:paraId="6E4D18EA" w14:textId="77777777" w:rsidTr="4C9C2619">
        <w:trPr>
          <w:trHeight w:val="1174"/>
        </w:trPr>
        <w:tc>
          <w:tcPr>
            <w:tcW w:w="2122" w:type="dxa"/>
            <w:vAlign w:val="center"/>
          </w:tcPr>
          <w:p w14:paraId="5689314C"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Horas de Estudio Individual (HEI)</w:t>
            </w:r>
          </w:p>
        </w:tc>
        <w:tc>
          <w:tcPr>
            <w:tcW w:w="1417" w:type="dxa"/>
            <w:vAlign w:val="center"/>
          </w:tcPr>
          <w:p w14:paraId="68351C94"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3</w:t>
            </w:r>
          </w:p>
        </w:tc>
        <w:tc>
          <w:tcPr>
            <w:tcW w:w="5245" w:type="dxa"/>
          </w:tcPr>
          <w:p w14:paraId="58965027" w14:textId="77777777" w:rsidR="00F128A3" w:rsidRPr="00F128A3" w:rsidRDefault="00F128A3" w:rsidP="00F128A3">
            <w:pPr>
              <w:widowControl w:val="0"/>
              <w:numPr>
                <w:ilvl w:val="0"/>
                <w:numId w:val="34"/>
              </w:numPr>
              <w:overflowPunct w:val="0"/>
              <w:autoSpaceDE w:val="0"/>
              <w:autoSpaceDN w:val="0"/>
              <w:adjustRightInd w:val="0"/>
              <w:spacing w:before="120"/>
              <w:contextualSpacing/>
              <w:rPr>
                <w:rFonts w:ascii="Calibri" w:eastAsia="Calibri" w:hAnsi="Calibri" w:cs="Calibri"/>
                <w:bCs/>
                <w:color w:val="000000"/>
              </w:rPr>
            </w:pPr>
            <w:r w:rsidRPr="00F128A3">
              <w:rPr>
                <w:rFonts w:ascii="Calibri" w:eastAsia="Calibri" w:hAnsi="Calibri" w:cs="Calibri"/>
                <w:bCs/>
                <w:color w:val="000000"/>
              </w:rPr>
              <w:t>Lectura de los textos (materiales en formato digital).</w:t>
            </w:r>
          </w:p>
          <w:p w14:paraId="198DC1B6" w14:textId="77777777" w:rsidR="00F128A3" w:rsidRPr="00F128A3" w:rsidRDefault="00F128A3" w:rsidP="00F128A3">
            <w:pPr>
              <w:widowControl w:val="0"/>
              <w:numPr>
                <w:ilvl w:val="0"/>
                <w:numId w:val="34"/>
              </w:numPr>
              <w:overflowPunct w:val="0"/>
              <w:autoSpaceDE w:val="0"/>
              <w:autoSpaceDN w:val="0"/>
              <w:adjustRightInd w:val="0"/>
              <w:spacing w:before="120"/>
              <w:contextualSpacing/>
              <w:rPr>
                <w:rFonts w:ascii="Calibri" w:eastAsia="Calibri" w:hAnsi="Calibri" w:cs="Calibri"/>
                <w:bCs/>
                <w:color w:val="000000"/>
              </w:rPr>
            </w:pPr>
            <w:r w:rsidRPr="00F128A3">
              <w:rPr>
                <w:rFonts w:ascii="Calibri" w:eastAsia="Calibri" w:hAnsi="Calibri" w:cs="Calibri"/>
                <w:bCs/>
                <w:color w:val="000000"/>
              </w:rPr>
              <w:t>Análisis de lecturas e investigación por cuenta propia.</w:t>
            </w:r>
          </w:p>
        </w:tc>
      </w:tr>
      <w:tr w:rsidR="00F128A3" w:rsidRPr="00F128A3" w14:paraId="524FEA06" w14:textId="77777777" w:rsidTr="4C9C2619">
        <w:trPr>
          <w:trHeight w:val="979"/>
        </w:trPr>
        <w:tc>
          <w:tcPr>
            <w:tcW w:w="2122" w:type="dxa"/>
            <w:vAlign w:val="center"/>
          </w:tcPr>
          <w:p w14:paraId="1EC1B2E2"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Horas de Trabajo Colaborativo (HTC)</w:t>
            </w:r>
          </w:p>
        </w:tc>
        <w:tc>
          <w:tcPr>
            <w:tcW w:w="1417" w:type="dxa"/>
            <w:vAlign w:val="center"/>
          </w:tcPr>
          <w:p w14:paraId="07F854E8"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4</w:t>
            </w:r>
          </w:p>
        </w:tc>
        <w:tc>
          <w:tcPr>
            <w:tcW w:w="5245" w:type="dxa"/>
          </w:tcPr>
          <w:p w14:paraId="5CDE02B9" w14:textId="77777777" w:rsidR="00F128A3" w:rsidRPr="00F128A3" w:rsidRDefault="00F128A3" w:rsidP="00F128A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Participación en los foros temáticos (incluye aportes personales y réplicas a los demás estudiantes)</w:t>
            </w:r>
          </w:p>
          <w:p w14:paraId="4C1B671F" w14:textId="77777777" w:rsidR="00F128A3" w:rsidRPr="00F128A3" w:rsidRDefault="00F128A3" w:rsidP="00F128A3">
            <w:pPr>
              <w:widowControl w:val="0"/>
              <w:numPr>
                <w:ilvl w:val="0"/>
                <w:numId w:val="35"/>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Participación en los encuentros sincrónicos virtuales.</w:t>
            </w:r>
          </w:p>
        </w:tc>
      </w:tr>
      <w:tr w:rsidR="00F128A3" w:rsidRPr="00F128A3" w14:paraId="2FACBA9E" w14:textId="77777777" w:rsidTr="4C9C2619">
        <w:trPr>
          <w:trHeight w:val="1261"/>
        </w:trPr>
        <w:tc>
          <w:tcPr>
            <w:tcW w:w="2122" w:type="dxa"/>
            <w:vAlign w:val="center"/>
          </w:tcPr>
          <w:p w14:paraId="5ED1D93F"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Horas de Producción Individual (HPI)</w:t>
            </w:r>
          </w:p>
        </w:tc>
        <w:tc>
          <w:tcPr>
            <w:tcW w:w="1417" w:type="dxa"/>
            <w:vAlign w:val="center"/>
          </w:tcPr>
          <w:p w14:paraId="33882366"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3</w:t>
            </w:r>
          </w:p>
        </w:tc>
        <w:tc>
          <w:tcPr>
            <w:tcW w:w="5245" w:type="dxa"/>
          </w:tcPr>
          <w:p w14:paraId="08C2CDE9" w14:textId="77777777" w:rsidR="00F128A3" w:rsidRPr="00F128A3" w:rsidRDefault="00F128A3" w:rsidP="00F128A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 xml:space="preserve">Elaboración de un diario reflexivo. </w:t>
            </w:r>
          </w:p>
          <w:p w14:paraId="34620C8E" w14:textId="77777777" w:rsidR="00F128A3" w:rsidRPr="00F128A3" w:rsidRDefault="00F128A3" w:rsidP="00F128A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 xml:space="preserve">Elaboración de reseñas críticas de lecturas. </w:t>
            </w:r>
          </w:p>
          <w:p w14:paraId="3088842B" w14:textId="77777777" w:rsidR="00F128A3" w:rsidRPr="00F128A3" w:rsidRDefault="00F128A3" w:rsidP="00F128A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 xml:space="preserve">Elaboración de mapas conceptuales. </w:t>
            </w:r>
          </w:p>
          <w:p w14:paraId="004344A2" w14:textId="77777777" w:rsidR="00F128A3" w:rsidRPr="00F128A3" w:rsidRDefault="00F128A3" w:rsidP="00F128A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Elaboración de un ensayo crítico final.</w:t>
            </w:r>
          </w:p>
        </w:tc>
      </w:tr>
      <w:tr w:rsidR="00F128A3" w:rsidRPr="00F128A3" w14:paraId="4ECBD0CC" w14:textId="77777777" w:rsidTr="4C9C2619">
        <w:tc>
          <w:tcPr>
            <w:tcW w:w="2122" w:type="dxa"/>
            <w:vAlign w:val="center"/>
          </w:tcPr>
          <w:p w14:paraId="108008FC"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Horas de Práctica (HP)</w:t>
            </w:r>
          </w:p>
        </w:tc>
        <w:tc>
          <w:tcPr>
            <w:tcW w:w="1417" w:type="dxa"/>
            <w:vAlign w:val="center"/>
          </w:tcPr>
          <w:p w14:paraId="1AE55549"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Cs/>
                <w:color w:val="000000"/>
                <w:lang w:val="es-ES_tradnl" w:eastAsia="es-CR"/>
              </w:rPr>
            </w:pPr>
            <w:r w:rsidRPr="00F128A3">
              <w:rPr>
                <w:rFonts w:ascii="Calibri" w:eastAsia="Times New Roman" w:hAnsi="Calibri" w:cs="Calibri"/>
                <w:bCs/>
                <w:color w:val="000000"/>
                <w:lang w:val="es-ES_tradnl" w:eastAsia="es-CR"/>
              </w:rPr>
              <w:t>2</w:t>
            </w:r>
          </w:p>
        </w:tc>
        <w:tc>
          <w:tcPr>
            <w:tcW w:w="5245" w:type="dxa"/>
          </w:tcPr>
          <w:p w14:paraId="6B058BA9" w14:textId="77777777" w:rsidR="00F128A3" w:rsidRPr="00F128A3" w:rsidRDefault="00F128A3" w:rsidP="00F128A3">
            <w:pPr>
              <w:widowControl w:val="0"/>
              <w:numPr>
                <w:ilvl w:val="0"/>
                <w:numId w:val="36"/>
              </w:numPr>
              <w:overflowPunct w:val="0"/>
              <w:autoSpaceDE w:val="0"/>
              <w:autoSpaceDN w:val="0"/>
              <w:adjustRightInd w:val="0"/>
              <w:spacing w:before="120"/>
              <w:contextualSpacing/>
              <w:jc w:val="both"/>
              <w:rPr>
                <w:rFonts w:ascii="Calibri" w:eastAsia="Calibri" w:hAnsi="Calibri" w:cs="Calibri"/>
                <w:bCs/>
                <w:color w:val="000000"/>
              </w:rPr>
            </w:pPr>
            <w:r w:rsidRPr="00F128A3">
              <w:rPr>
                <w:rFonts w:ascii="Calibri" w:eastAsia="Calibri" w:hAnsi="Calibri" w:cs="Calibri"/>
                <w:bCs/>
                <w:color w:val="000000"/>
              </w:rPr>
              <w:t>Por la naturaleza de su objeto de estudio el trabajo práctico de este curso consiste en ejercicios interpretativos y analíticos contemplados en las tareas grupales (foros temáticos) y el diario reflexivo.</w:t>
            </w:r>
          </w:p>
        </w:tc>
      </w:tr>
      <w:tr w:rsidR="00F128A3" w:rsidRPr="00F128A3" w14:paraId="5254ABC5" w14:textId="77777777" w:rsidTr="4C9C2619">
        <w:tc>
          <w:tcPr>
            <w:tcW w:w="2122" w:type="dxa"/>
            <w:vAlign w:val="center"/>
          </w:tcPr>
          <w:p w14:paraId="7C160C6E" w14:textId="77777777" w:rsidR="00F128A3" w:rsidRPr="00F128A3" w:rsidRDefault="4C9C2619" w:rsidP="4C9C2619">
            <w:pPr>
              <w:widowControl w:val="0"/>
              <w:overflowPunct w:val="0"/>
              <w:autoSpaceDE w:val="0"/>
              <w:autoSpaceDN w:val="0"/>
              <w:adjustRightInd w:val="0"/>
              <w:jc w:val="center"/>
              <w:rPr>
                <w:rFonts w:ascii="Calibri" w:eastAsia="Times New Roman" w:hAnsi="Calibri" w:cs="Calibri"/>
                <w:b/>
                <w:bCs/>
                <w:color w:val="000000"/>
                <w:lang w:val="es-ES" w:eastAsia="es-CR"/>
              </w:rPr>
            </w:pPr>
            <w:r w:rsidRPr="4C9C2619">
              <w:rPr>
                <w:rFonts w:ascii="Calibri" w:eastAsia="Times New Roman" w:hAnsi="Calibri" w:cs="Calibri"/>
                <w:b/>
                <w:bCs/>
                <w:color w:val="000000" w:themeColor="text1"/>
                <w:lang w:val="es-ES" w:eastAsia="es-CR"/>
              </w:rPr>
              <w:t>Total de horas (TH)</w:t>
            </w:r>
          </w:p>
        </w:tc>
        <w:tc>
          <w:tcPr>
            <w:tcW w:w="1417" w:type="dxa"/>
          </w:tcPr>
          <w:p w14:paraId="74E7CE7F"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r w:rsidRPr="00F128A3">
              <w:rPr>
                <w:rFonts w:ascii="Calibri" w:eastAsia="Times New Roman" w:hAnsi="Calibri" w:cs="Calibri"/>
                <w:b/>
                <w:bCs/>
                <w:color w:val="000000"/>
                <w:lang w:val="es-ES_tradnl" w:eastAsia="es-CR"/>
              </w:rPr>
              <w:t>12</w:t>
            </w:r>
          </w:p>
        </w:tc>
        <w:tc>
          <w:tcPr>
            <w:tcW w:w="5245" w:type="dxa"/>
          </w:tcPr>
          <w:p w14:paraId="7BE9C5C2" w14:textId="77777777" w:rsidR="00F128A3" w:rsidRPr="00F128A3" w:rsidRDefault="00F128A3" w:rsidP="00F128A3">
            <w:pPr>
              <w:widowControl w:val="0"/>
              <w:overflowPunct w:val="0"/>
              <w:autoSpaceDE w:val="0"/>
              <w:autoSpaceDN w:val="0"/>
              <w:adjustRightInd w:val="0"/>
              <w:jc w:val="center"/>
              <w:rPr>
                <w:rFonts w:ascii="Calibri" w:eastAsia="Times New Roman" w:hAnsi="Calibri" w:cs="Calibri"/>
                <w:b/>
                <w:bCs/>
                <w:color w:val="000000"/>
                <w:lang w:val="es-ES_tradnl" w:eastAsia="es-CR"/>
              </w:rPr>
            </w:pPr>
          </w:p>
        </w:tc>
      </w:tr>
    </w:tbl>
    <w:p w14:paraId="154E8DFE" w14:textId="77777777" w:rsidR="00F128A3" w:rsidRPr="00F128A3" w:rsidRDefault="00F128A3" w:rsidP="00F128A3">
      <w:pPr>
        <w:widowControl w:val="0"/>
        <w:overflowPunct w:val="0"/>
        <w:autoSpaceDE w:val="0"/>
        <w:autoSpaceDN w:val="0"/>
        <w:adjustRightInd w:val="0"/>
        <w:spacing w:before="120" w:after="0" w:line="240" w:lineRule="auto"/>
        <w:jc w:val="both"/>
        <w:rPr>
          <w:rFonts w:ascii="Calibri" w:eastAsia="Times New Roman" w:hAnsi="Calibri" w:cs="Calibri"/>
          <w:bCs/>
          <w:color w:val="000000"/>
          <w:kern w:val="0"/>
          <w:lang w:val="es-ES_tradnl" w:eastAsia="es-CR"/>
          <w14:ligatures w14:val="none"/>
        </w:rPr>
      </w:pPr>
    </w:p>
    <w:p w14:paraId="01AA128F" w14:textId="77777777" w:rsidR="00F128A3" w:rsidRPr="00F128A3" w:rsidRDefault="00F128A3" w:rsidP="4C9C2619">
      <w:pPr>
        <w:widowControl w:val="0"/>
        <w:overflowPunct w:val="0"/>
        <w:autoSpaceDE w:val="0"/>
        <w:autoSpaceDN w:val="0"/>
        <w:adjustRightInd w:val="0"/>
        <w:spacing w:before="120" w:after="0" w:line="240" w:lineRule="auto"/>
        <w:jc w:val="both"/>
        <w:rPr>
          <w:rFonts w:ascii="Calibri" w:eastAsia="Times New Roman" w:hAnsi="Calibri" w:cs="Calibri"/>
          <w:color w:val="000000"/>
          <w:kern w:val="0"/>
          <w:lang w:val="es-ES" w:eastAsia="es-CR"/>
          <w14:ligatures w14:val="none"/>
        </w:rPr>
      </w:pPr>
      <w:r w:rsidRPr="4C9C2619">
        <w:rPr>
          <w:rFonts w:ascii="Calibri" w:eastAsia="Times New Roman" w:hAnsi="Calibri" w:cs="Calibri"/>
          <w:color w:val="000000"/>
          <w:kern w:val="0"/>
          <w:lang w:val="es-ES" w:eastAsia="es-CR"/>
          <w14:ligatures w14:val="none"/>
        </w:rPr>
        <w:t>Las horas de trabajo en cada categoría corresponden a un promedio estimado semanal.  Dependiendo de la programación estipulada en el cronograma, se podrá requerir un mayor o menor tiempo de dedicación a cada tipo de actividad durante una semana específica.  Sin embargo, el curso está diseñado de forma que el total de horas semanales nunca sobrepase las 12 horas. La distribución de tiempos por tipo de horas (categoría) es congruente, en todos sus extremos, con lo que establece el plan de estudios de la modalidad virtual.</w:t>
      </w:r>
    </w:p>
    <w:p w14:paraId="74969DC9"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51301DCF"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3DF461E5"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635C63E8"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6A71B3B0"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2707632C" w14:textId="77777777" w:rsidR="00F128A3" w:rsidRPr="00F128A3" w:rsidRDefault="00F128A3" w:rsidP="00F128A3">
      <w:pPr>
        <w:spacing w:after="200" w:line="276" w:lineRule="auto"/>
        <w:rPr>
          <w:rFonts w:ascii="Calibri" w:eastAsia="Calibri" w:hAnsi="Calibri" w:cs="Arial"/>
          <w:b/>
          <w:bCs/>
          <w:color w:val="000000"/>
          <w:kern w:val="0"/>
          <w14:ligatures w14:val="none"/>
        </w:rPr>
      </w:pPr>
    </w:p>
    <w:p w14:paraId="6174489A" w14:textId="77777777" w:rsidR="00F128A3" w:rsidRPr="00F128A3" w:rsidRDefault="00F128A3" w:rsidP="00F128A3">
      <w:pPr>
        <w:spacing w:after="200" w:line="276" w:lineRule="auto"/>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lastRenderedPageBreak/>
        <w:t>X. Evaluación</w:t>
      </w:r>
    </w:p>
    <w:p w14:paraId="45122FEF"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La evaluación se realizará con base en las entregas de las tareas individuales, en las discusiones grupales en la plataforma virtual (foros temáticos) y en las reacciones y reflexiones frente al material digital que se introduce en este curso. Se analizarán los procesos de aprendizaje, la interacción grupal y la capacidad de construir sobre lo trabajado en cada sesión. La retroalimentación del/la docente será fundamental para orientar el desarrollo de las capacidades cognitivas de los y las estudiantes. La evaluación sumativa se realizará por medio de la sumatoria de todas las actividades de aprendizaje realizadas en el curso (a excepción de los encuentros sincrónicos virtuales). Se espera puntualidad con la entrega de las tareas asignadas. La nota mínima de aprobación del curso es 7.00 (en escala decimal). Los porcentajes asignados a cada elemento del curso son los siguientes:</w:t>
      </w:r>
    </w:p>
    <w:tbl>
      <w:tblPr>
        <w:tblpPr w:leftFromText="141" w:rightFromText="141" w:vertAnchor="text" w:horzAnchor="page" w:tblpX="1667" w:tblpY="324"/>
        <w:tblW w:w="89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97"/>
        <w:gridCol w:w="1386"/>
      </w:tblGrid>
      <w:tr w:rsidR="00F128A3" w:rsidRPr="00F128A3" w14:paraId="6F126887" w14:textId="77777777" w:rsidTr="00CE7124">
        <w:tc>
          <w:tcPr>
            <w:tcW w:w="8983" w:type="dxa"/>
            <w:gridSpan w:val="2"/>
          </w:tcPr>
          <w:p w14:paraId="65C5C48E" w14:textId="77777777" w:rsidR="00F128A3" w:rsidRPr="00F128A3" w:rsidRDefault="00F128A3" w:rsidP="00F128A3">
            <w:pPr>
              <w:autoSpaceDE w:val="0"/>
              <w:autoSpaceDN w:val="0"/>
              <w:adjustRightInd w:val="0"/>
              <w:spacing w:after="0" w:line="240" w:lineRule="auto"/>
              <w:jc w:val="center"/>
              <w:rPr>
                <w:rFonts w:ascii="Calibri" w:eastAsia="Calibri" w:hAnsi="Calibri" w:cs="Arial"/>
                <w:b/>
                <w:bCs/>
                <w:color w:val="000000"/>
                <w:kern w:val="0"/>
                <w14:ligatures w14:val="none"/>
              </w:rPr>
            </w:pPr>
            <w:r w:rsidRPr="00F128A3">
              <w:rPr>
                <w:rFonts w:ascii="Calibri" w:eastAsia="Calibri" w:hAnsi="Calibri" w:cs="Arial"/>
                <w:b/>
                <w:color w:val="000000"/>
                <w:kern w:val="0"/>
                <w14:ligatures w14:val="none"/>
              </w:rPr>
              <w:t>Síntesis cuantitativa de la evaluación</w:t>
            </w:r>
          </w:p>
        </w:tc>
      </w:tr>
      <w:tr w:rsidR="00F128A3" w:rsidRPr="00F128A3" w14:paraId="2223D24F" w14:textId="77777777" w:rsidTr="00CE7124">
        <w:tc>
          <w:tcPr>
            <w:tcW w:w="7597" w:type="dxa"/>
            <w:vAlign w:val="center"/>
          </w:tcPr>
          <w:p w14:paraId="3041074B" w14:textId="77777777" w:rsidR="00F128A3" w:rsidRPr="00F128A3" w:rsidRDefault="00F128A3" w:rsidP="00F128A3">
            <w:pPr>
              <w:autoSpaceDE w:val="0"/>
              <w:autoSpaceDN w:val="0"/>
              <w:adjustRightInd w:val="0"/>
              <w:spacing w:after="0" w:line="240" w:lineRule="auto"/>
              <w:rPr>
                <w:rFonts w:ascii="Calibri" w:eastAsia="Calibri" w:hAnsi="Calibri" w:cs="Arial"/>
                <w:b/>
                <w:bCs/>
                <w:color w:val="000000"/>
                <w:kern w:val="0"/>
                <w14:ligatures w14:val="none"/>
              </w:rPr>
            </w:pPr>
            <w:r w:rsidRPr="00F128A3">
              <w:rPr>
                <w:rFonts w:ascii="Calibri" w:eastAsia="Calibri" w:hAnsi="Calibri" w:cs="Arial"/>
                <w:b/>
                <w:color w:val="000000"/>
                <w:kern w:val="0"/>
                <w14:ligatures w14:val="none"/>
              </w:rPr>
              <w:t>Rubros para evaluar</w:t>
            </w:r>
          </w:p>
        </w:tc>
        <w:tc>
          <w:tcPr>
            <w:tcW w:w="1386" w:type="dxa"/>
          </w:tcPr>
          <w:p w14:paraId="49C192A6" w14:textId="77777777" w:rsidR="00F128A3" w:rsidRPr="00F128A3" w:rsidRDefault="00F128A3" w:rsidP="00F128A3">
            <w:pPr>
              <w:autoSpaceDE w:val="0"/>
              <w:autoSpaceDN w:val="0"/>
              <w:adjustRightInd w:val="0"/>
              <w:spacing w:after="0" w:line="240" w:lineRule="auto"/>
              <w:jc w:val="center"/>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Porcentaje total</w:t>
            </w:r>
          </w:p>
        </w:tc>
      </w:tr>
      <w:tr w:rsidR="00F128A3" w:rsidRPr="00F128A3" w14:paraId="575154A5" w14:textId="77777777" w:rsidTr="00CE7124">
        <w:tc>
          <w:tcPr>
            <w:tcW w:w="7597" w:type="dxa"/>
            <w:vAlign w:val="center"/>
          </w:tcPr>
          <w:p w14:paraId="5347D8AB" w14:textId="77777777" w:rsidR="00F128A3" w:rsidRPr="00F128A3" w:rsidRDefault="00F128A3" w:rsidP="00F128A3">
            <w:pPr>
              <w:autoSpaceDE w:val="0"/>
              <w:autoSpaceDN w:val="0"/>
              <w:adjustRightInd w:val="0"/>
              <w:spacing w:after="0" w:line="240" w:lineRule="auto"/>
              <w:rPr>
                <w:rFonts w:ascii="Calibri" w:eastAsia="Calibri" w:hAnsi="Calibri" w:cs="Arial"/>
                <w:b/>
                <w:i/>
                <w:iCs/>
                <w:kern w:val="0"/>
                <w14:ligatures w14:val="none"/>
              </w:rPr>
            </w:pPr>
            <w:r w:rsidRPr="00F128A3">
              <w:rPr>
                <w:rFonts w:ascii="Calibri" w:eastAsia="Calibri" w:hAnsi="Calibri" w:cs="Arial"/>
                <w:b/>
                <w:i/>
                <w:iCs/>
                <w:kern w:val="0"/>
                <w14:ligatures w14:val="none"/>
              </w:rPr>
              <w:t>Encuentros sincrónicos virtuales</w:t>
            </w:r>
          </w:p>
          <w:p w14:paraId="06500C44" w14:textId="77777777" w:rsidR="00F128A3" w:rsidRPr="00F128A3" w:rsidRDefault="00F128A3" w:rsidP="00F128A3">
            <w:pPr>
              <w:autoSpaceDE w:val="0"/>
              <w:autoSpaceDN w:val="0"/>
              <w:adjustRightInd w:val="0"/>
              <w:spacing w:after="0" w:line="240" w:lineRule="auto"/>
              <w:jc w:val="both"/>
              <w:rPr>
                <w:rFonts w:ascii="Calibri" w:eastAsia="Calibri" w:hAnsi="Calibri" w:cs="Arial"/>
                <w:bCs/>
                <w:kern w:val="0"/>
                <w14:ligatures w14:val="none"/>
              </w:rPr>
            </w:pPr>
            <w:r w:rsidRPr="00F128A3">
              <w:rPr>
                <w:rFonts w:ascii="Calibri" w:eastAsia="Calibri" w:hAnsi="Calibri" w:cs="Arial"/>
                <w:bCs/>
                <w:kern w:val="0"/>
                <w14:ligatures w14:val="none"/>
              </w:rPr>
              <w:t>Se llevan a cabo desde la sesión 1 hasta la 14. Tienen un valor formativo y no sumativo.</w:t>
            </w:r>
          </w:p>
        </w:tc>
        <w:tc>
          <w:tcPr>
            <w:tcW w:w="1386" w:type="dxa"/>
            <w:vAlign w:val="center"/>
          </w:tcPr>
          <w:p w14:paraId="47F32EA5" w14:textId="77777777" w:rsidR="00F128A3" w:rsidRPr="00F128A3" w:rsidRDefault="00F128A3" w:rsidP="00F128A3">
            <w:pPr>
              <w:autoSpaceDE w:val="0"/>
              <w:autoSpaceDN w:val="0"/>
              <w:adjustRightInd w:val="0"/>
              <w:spacing w:after="0" w:line="240" w:lineRule="auto"/>
              <w:jc w:val="center"/>
              <w:rPr>
                <w:rFonts w:ascii="Calibri" w:eastAsia="Calibri" w:hAnsi="Calibri" w:cs="Arial"/>
                <w:color w:val="000000"/>
                <w:kern w:val="0"/>
                <w14:ligatures w14:val="none"/>
              </w:rPr>
            </w:pPr>
            <w:r w:rsidRPr="00F128A3">
              <w:rPr>
                <w:rFonts w:ascii="Calibri" w:eastAsia="Calibri" w:hAnsi="Calibri" w:cs="Calibri"/>
                <w:color w:val="000000"/>
                <w:kern w:val="0"/>
                <w14:ligatures w14:val="none"/>
              </w:rPr>
              <w:t>̶</w:t>
            </w:r>
          </w:p>
        </w:tc>
      </w:tr>
      <w:tr w:rsidR="00F128A3" w:rsidRPr="00F128A3" w14:paraId="3C7AFF7C" w14:textId="77777777" w:rsidTr="00CE7124">
        <w:trPr>
          <w:trHeight w:val="478"/>
        </w:trPr>
        <w:tc>
          <w:tcPr>
            <w:tcW w:w="7597" w:type="dxa"/>
          </w:tcPr>
          <w:p w14:paraId="66291C93" w14:textId="77777777" w:rsidR="00F128A3" w:rsidRPr="00F128A3" w:rsidRDefault="00F128A3" w:rsidP="00F128A3">
            <w:pPr>
              <w:autoSpaceDE w:val="0"/>
              <w:autoSpaceDN w:val="0"/>
              <w:adjustRightInd w:val="0"/>
              <w:spacing w:after="0" w:line="240" w:lineRule="auto"/>
              <w:contextualSpacing/>
              <w:rPr>
                <w:rFonts w:ascii="Calibri" w:eastAsia="Calibri" w:hAnsi="Calibri" w:cs="Arial"/>
                <w:b/>
                <w:bCs/>
                <w:i/>
                <w:color w:val="000000"/>
                <w:kern w:val="0"/>
                <w14:ligatures w14:val="none"/>
              </w:rPr>
            </w:pPr>
            <w:r w:rsidRPr="00F128A3">
              <w:rPr>
                <w:rFonts w:ascii="Calibri" w:eastAsia="Calibri" w:hAnsi="Calibri" w:cs="Arial"/>
                <w:b/>
                <w:bCs/>
                <w:i/>
                <w:color w:val="000000"/>
                <w:kern w:val="0"/>
                <w14:ligatures w14:val="none"/>
              </w:rPr>
              <w:t>Reseñas críticas de lectura</w:t>
            </w:r>
          </w:p>
          <w:p w14:paraId="523A1D0D"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F128A3">
              <w:rPr>
                <w:rFonts w:ascii="Calibri" w:eastAsia="Times New Roman" w:hAnsi="Calibri" w:cs="Arial"/>
                <w:bCs/>
                <w:iCs/>
                <w:color w:val="000000"/>
                <w:kern w:val="0"/>
                <w:lang w:eastAsia="es-CR"/>
                <w14:ligatures w14:val="none"/>
              </w:rPr>
              <w:t>Se elaboran en las sesiones 2, 4, 11 y 14. Cada reseña tiene un valor de 3,75%.</w:t>
            </w:r>
          </w:p>
        </w:tc>
        <w:tc>
          <w:tcPr>
            <w:tcW w:w="1386" w:type="dxa"/>
            <w:vAlign w:val="center"/>
          </w:tcPr>
          <w:p w14:paraId="1A7959E9" w14:textId="77777777" w:rsidR="00F128A3" w:rsidRPr="00F128A3" w:rsidRDefault="00F128A3" w:rsidP="00F128A3">
            <w:pPr>
              <w:autoSpaceDE w:val="0"/>
              <w:autoSpaceDN w:val="0"/>
              <w:adjustRightInd w:val="0"/>
              <w:spacing w:after="0" w:line="240" w:lineRule="auto"/>
              <w:jc w:val="center"/>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15%</w:t>
            </w:r>
          </w:p>
        </w:tc>
      </w:tr>
      <w:tr w:rsidR="00F128A3" w:rsidRPr="00F128A3" w14:paraId="199113E5" w14:textId="77777777" w:rsidTr="00CE7124">
        <w:tc>
          <w:tcPr>
            <w:tcW w:w="7597" w:type="dxa"/>
          </w:tcPr>
          <w:p w14:paraId="55A80898" w14:textId="77777777" w:rsidR="00F128A3" w:rsidRPr="00F128A3" w:rsidRDefault="00F128A3" w:rsidP="00F128A3">
            <w:pPr>
              <w:autoSpaceDE w:val="0"/>
              <w:autoSpaceDN w:val="0"/>
              <w:adjustRightInd w:val="0"/>
              <w:spacing w:after="0" w:line="240" w:lineRule="auto"/>
              <w:rPr>
                <w:rFonts w:ascii="Calibri" w:eastAsia="Calibri" w:hAnsi="Calibri" w:cs="Arial"/>
                <w:b/>
                <w:i/>
                <w:iCs/>
                <w:color w:val="000000"/>
                <w:kern w:val="0"/>
                <w14:ligatures w14:val="none"/>
              </w:rPr>
            </w:pPr>
            <w:r w:rsidRPr="00F128A3">
              <w:rPr>
                <w:rFonts w:ascii="Calibri" w:eastAsia="Calibri" w:hAnsi="Calibri" w:cs="Arial"/>
                <w:b/>
                <w:i/>
                <w:iCs/>
                <w:color w:val="000000"/>
                <w:kern w:val="0"/>
                <w14:ligatures w14:val="none"/>
              </w:rPr>
              <w:t>Diario reflexivo</w:t>
            </w:r>
          </w:p>
          <w:p w14:paraId="2A5E932D" w14:textId="77777777" w:rsidR="00F128A3" w:rsidRPr="00F128A3" w:rsidRDefault="00F128A3" w:rsidP="00F128A3">
            <w:pPr>
              <w:autoSpaceDE w:val="0"/>
              <w:autoSpaceDN w:val="0"/>
              <w:adjustRightInd w:val="0"/>
              <w:spacing w:after="0" w:line="240" w:lineRule="auto"/>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Se elabora en las sesiones 7, 8, 9, 12 y 13.</w:t>
            </w:r>
          </w:p>
        </w:tc>
        <w:tc>
          <w:tcPr>
            <w:tcW w:w="1386" w:type="dxa"/>
            <w:vAlign w:val="center"/>
          </w:tcPr>
          <w:p w14:paraId="0940E4AA" w14:textId="77777777" w:rsidR="00F128A3" w:rsidRPr="00F128A3" w:rsidRDefault="00F128A3" w:rsidP="00F128A3">
            <w:pPr>
              <w:autoSpaceDE w:val="0"/>
              <w:autoSpaceDN w:val="0"/>
              <w:adjustRightInd w:val="0"/>
              <w:spacing w:after="0" w:line="240" w:lineRule="auto"/>
              <w:jc w:val="center"/>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25%</w:t>
            </w:r>
          </w:p>
        </w:tc>
      </w:tr>
      <w:tr w:rsidR="00F128A3" w:rsidRPr="00F128A3" w14:paraId="2F2CAF4E" w14:textId="77777777" w:rsidTr="00CE7124">
        <w:tc>
          <w:tcPr>
            <w:tcW w:w="7597" w:type="dxa"/>
          </w:tcPr>
          <w:p w14:paraId="6DB4EC44" w14:textId="77777777" w:rsidR="00F128A3" w:rsidRPr="00F128A3" w:rsidRDefault="00F128A3" w:rsidP="00F128A3">
            <w:pPr>
              <w:autoSpaceDE w:val="0"/>
              <w:autoSpaceDN w:val="0"/>
              <w:adjustRightInd w:val="0"/>
              <w:spacing w:after="0" w:line="240" w:lineRule="auto"/>
              <w:rPr>
                <w:rFonts w:ascii="Calibri" w:eastAsia="Calibri" w:hAnsi="Calibri" w:cs="Arial"/>
                <w:b/>
                <w:i/>
                <w:iCs/>
                <w:color w:val="000000"/>
                <w:kern w:val="0"/>
                <w14:ligatures w14:val="none"/>
              </w:rPr>
            </w:pPr>
            <w:r w:rsidRPr="00F128A3">
              <w:rPr>
                <w:rFonts w:ascii="Calibri" w:eastAsia="Calibri" w:hAnsi="Calibri" w:cs="Arial"/>
                <w:b/>
                <w:i/>
                <w:iCs/>
                <w:color w:val="000000"/>
                <w:kern w:val="0"/>
                <w14:ligatures w14:val="none"/>
              </w:rPr>
              <w:t>Mapa conceptual</w:t>
            </w:r>
          </w:p>
          <w:p w14:paraId="50D8CFC2" w14:textId="77777777" w:rsidR="00F128A3" w:rsidRPr="00F128A3" w:rsidRDefault="00F128A3" w:rsidP="00F128A3">
            <w:pPr>
              <w:autoSpaceDE w:val="0"/>
              <w:autoSpaceDN w:val="0"/>
              <w:adjustRightInd w:val="0"/>
              <w:spacing w:after="0" w:line="240" w:lineRule="auto"/>
              <w:jc w:val="both"/>
              <w:rPr>
                <w:rFonts w:ascii="Calibri" w:eastAsia="Calibri" w:hAnsi="Calibri" w:cs="Arial"/>
                <w:b/>
                <w:i/>
                <w:iCs/>
                <w:color w:val="000000"/>
                <w:kern w:val="0"/>
                <w14:ligatures w14:val="none"/>
              </w:rPr>
            </w:pPr>
            <w:r w:rsidRPr="00F128A3">
              <w:rPr>
                <w:rFonts w:ascii="Calibri" w:eastAsia="Calibri" w:hAnsi="Calibri" w:cs="Arial"/>
                <w:bCs/>
                <w:color w:val="000000"/>
                <w:kern w:val="0"/>
                <w14:ligatures w14:val="none"/>
              </w:rPr>
              <w:t>Se elaboran en las sesiones 3 y 5. Cada mapa tiene un valor de 5%.</w:t>
            </w:r>
          </w:p>
        </w:tc>
        <w:tc>
          <w:tcPr>
            <w:tcW w:w="1386" w:type="dxa"/>
            <w:vAlign w:val="center"/>
          </w:tcPr>
          <w:p w14:paraId="28A7246A" w14:textId="77777777" w:rsidR="00F128A3" w:rsidRPr="00F128A3" w:rsidRDefault="00F128A3" w:rsidP="00F128A3">
            <w:pPr>
              <w:autoSpaceDE w:val="0"/>
              <w:autoSpaceDN w:val="0"/>
              <w:adjustRightInd w:val="0"/>
              <w:spacing w:after="0" w:line="240" w:lineRule="auto"/>
              <w:jc w:val="center"/>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10%</w:t>
            </w:r>
          </w:p>
        </w:tc>
      </w:tr>
      <w:tr w:rsidR="00F128A3" w:rsidRPr="00F128A3" w14:paraId="504B34A1" w14:textId="77777777" w:rsidTr="00CE7124">
        <w:tc>
          <w:tcPr>
            <w:tcW w:w="7597" w:type="dxa"/>
          </w:tcPr>
          <w:p w14:paraId="604E1109"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
                <w:i/>
                <w:iCs/>
                <w:color w:val="000000"/>
                <w:kern w:val="0"/>
                <w14:ligatures w14:val="none"/>
              </w:rPr>
            </w:pPr>
            <w:r w:rsidRPr="00F128A3">
              <w:rPr>
                <w:rFonts w:ascii="Calibri" w:eastAsia="Calibri" w:hAnsi="Calibri" w:cs="Arial"/>
                <w:b/>
                <w:i/>
                <w:iCs/>
                <w:color w:val="000000"/>
                <w:kern w:val="0"/>
                <w14:ligatures w14:val="none"/>
              </w:rPr>
              <w:t>Trabajos grupales</w:t>
            </w:r>
          </w:p>
          <w:p w14:paraId="2DF06DF9" w14:textId="77777777" w:rsidR="00F128A3" w:rsidRPr="00F128A3" w:rsidRDefault="00F128A3" w:rsidP="00F128A3">
            <w:pPr>
              <w:autoSpaceDE w:val="0"/>
              <w:autoSpaceDN w:val="0"/>
              <w:adjustRightInd w:val="0"/>
              <w:spacing w:after="0" w:line="240" w:lineRule="auto"/>
              <w:contextualSpacing/>
              <w:jc w:val="both"/>
              <w:rPr>
                <w:rFonts w:ascii="Calibri" w:eastAsia="Times New Roman" w:hAnsi="Calibri" w:cs="Calibri"/>
                <w:iCs/>
                <w:color w:val="000000"/>
                <w:kern w:val="0"/>
                <w:lang w:val="es-ES" w:eastAsia="es-CR"/>
                <w14:ligatures w14:val="none"/>
              </w:rPr>
            </w:pPr>
            <w:r w:rsidRPr="00F128A3">
              <w:rPr>
                <w:rFonts w:ascii="Calibri" w:eastAsia="Calibri" w:hAnsi="Calibri" w:cs="Arial"/>
                <w:bCs/>
                <w:color w:val="000000"/>
                <w:kern w:val="0"/>
                <w14:ligatures w14:val="none"/>
              </w:rPr>
              <w:t>Los trabajos grupales en el aula virtual</w:t>
            </w:r>
            <w:r w:rsidRPr="00F128A3">
              <w:rPr>
                <w:rFonts w:ascii="Calibri" w:eastAsia="Times New Roman" w:hAnsi="Calibri" w:cs="Calibri"/>
                <w:iCs/>
                <w:color w:val="000000"/>
                <w:kern w:val="0"/>
                <w:lang w:val="es-ES" w:eastAsia="es-CR"/>
                <w14:ligatures w14:val="none"/>
              </w:rPr>
              <w:t xml:space="preserve"> comprenden los foros temáticos de las sesiones 1, 2, 4, 5, 6, 8, 9, 12, 13 y 14, los cuales tienen un valor de 2% cada uno. </w:t>
            </w:r>
          </w:p>
        </w:tc>
        <w:tc>
          <w:tcPr>
            <w:tcW w:w="1386" w:type="dxa"/>
            <w:vAlign w:val="center"/>
          </w:tcPr>
          <w:p w14:paraId="7BB7ABEA" w14:textId="77777777" w:rsidR="00F128A3" w:rsidRPr="00F128A3" w:rsidRDefault="00F128A3" w:rsidP="00F128A3">
            <w:pPr>
              <w:autoSpaceDE w:val="0"/>
              <w:autoSpaceDN w:val="0"/>
              <w:adjustRightInd w:val="0"/>
              <w:spacing w:after="0" w:line="240" w:lineRule="auto"/>
              <w:jc w:val="center"/>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20%</w:t>
            </w:r>
          </w:p>
        </w:tc>
      </w:tr>
      <w:tr w:rsidR="00F128A3" w:rsidRPr="00F128A3" w14:paraId="3503D559" w14:textId="77777777" w:rsidTr="00CE7124">
        <w:tc>
          <w:tcPr>
            <w:tcW w:w="7597" w:type="dxa"/>
          </w:tcPr>
          <w:p w14:paraId="702EF1CE"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
                <w:i/>
                <w:iCs/>
                <w:color w:val="000000"/>
                <w:kern w:val="0"/>
                <w14:ligatures w14:val="none"/>
              </w:rPr>
            </w:pPr>
            <w:r w:rsidRPr="00F128A3">
              <w:rPr>
                <w:rFonts w:ascii="Calibri" w:eastAsia="Calibri" w:hAnsi="Calibri" w:cs="Arial"/>
                <w:b/>
                <w:i/>
                <w:iCs/>
                <w:color w:val="000000"/>
                <w:kern w:val="0"/>
                <w14:ligatures w14:val="none"/>
              </w:rPr>
              <w:t>Ensayo crítico final</w:t>
            </w:r>
          </w:p>
          <w:p w14:paraId="53FF6C90"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Se elabora desde la sesión 2 hasta la 15 de la siguiente forma:</w:t>
            </w:r>
          </w:p>
          <w:p w14:paraId="08F4AC8E"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 Primer avance (sesión 6).</w:t>
            </w:r>
          </w:p>
          <w:p w14:paraId="2D8C67B4"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 Segundo avance (sesión 10).</w:t>
            </w:r>
          </w:p>
          <w:p w14:paraId="7E732CFE" w14:textId="77777777" w:rsidR="00F128A3" w:rsidRPr="00F128A3" w:rsidRDefault="00F128A3" w:rsidP="00F128A3">
            <w:pPr>
              <w:autoSpaceDE w:val="0"/>
              <w:autoSpaceDN w:val="0"/>
              <w:adjustRightInd w:val="0"/>
              <w:spacing w:after="0" w:line="240" w:lineRule="auto"/>
              <w:contextualSpacing/>
              <w:jc w:val="both"/>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 Tercer y último avance (sesión 15).</w:t>
            </w:r>
          </w:p>
        </w:tc>
        <w:tc>
          <w:tcPr>
            <w:tcW w:w="1386" w:type="dxa"/>
            <w:vAlign w:val="center"/>
          </w:tcPr>
          <w:p w14:paraId="23920CDA" w14:textId="77777777" w:rsidR="00F128A3" w:rsidRPr="00F128A3" w:rsidRDefault="00F128A3" w:rsidP="00F128A3">
            <w:pPr>
              <w:autoSpaceDE w:val="0"/>
              <w:autoSpaceDN w:val="0"/>
              <w:adjustRightInd w:val="0"/>
              <w:spacing w:after="0" w:line="240" w:lineRule="auto"/>
              <w:jc w:val="center"/>
              <w:rPr>
                <w:rFonts w:ascii="Calibri" w:eastAsia="Calibri" w:hAnsi="Calibri" w:cs="Arial"/>
                <w:bCs/>
                <w:color w:val="000000"/>
                <w:kern w:val="0"/>
                <w14:ligatures w14:val="none"/>
              </w:rPr>
            </w:pPr>
            <w:r w:rsidRPr="00F128A3">
              <w:rPr>
                <w:rFonts w:ascii="Calibri" w:eastAsia="Calibri" w:hAnsi="Calibri" w:cs="Arial"/>
                <w:bCs/>
                <w:color w:val="000000"/>
                <w:kern w:val="0"/>
                <w14:ligatures w14:val="none"/>
              </w:rPr>
              <w:t>30%</w:t>
            </w:r>
          </w:p>
        </w:tc>
      </w:tr>
      <w:tr w:rsidR="00F128A3" w:rsidRPr="00F128A3" w14:paraId="4AF9C938" w14:textId="77777777" w:rsidTr="00CE7124">
        <w:tc>
          <w:tcPr>
            <w:tcW w:w="7597" w:type="dxa"/>
          </w:tcPr>
          <w:p w14:paraId="6F1C7C1D" w14:textId="77777777" w:rsidR="00F128A3" w:rsidRPr="00F128A3" w:rsidRDefault="00F128A3" w:rsidP="00F128A3">
            <w:pPr>
              <w:autoSpaceDE w:val="0"/>
              <w:autoSpaceDN w:val="0"/>
              <w:adjustRightInd w:val="0"/>
              <w:spacing w:after="0" w:line="240" w:lineRule="auto"/>
              <w:contextualSpacing/>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Total</w:t>
            </w:r>
          </w:p>
        </w:tc>
        <w:tc>
          <w:tcPr>
            <w:tcW w:w="1386" w:type="dxa"/>
          </w:tcPr>
          <w:p w14:paraId="32D25AFF" w14:textId="77777777" w:rsidR="00F128A3" w:rsidRPr="00F128A3" w:rsidRDefault="00F128A3" w:rsidP="00F128A3">
            <w:pPr>
              <w:autoSpaceDE w:val="0"/>
              <w:autoSpaceDN w:val="0"/>
              <w:adjustRightInd w:val="0"/>
              <w:spacing w:after="0" w:line="240" w:lineRule="auto"/>
              <w:jc w:val="center"/>
              <w:rPr>
                <w:rFonts w:ascii="Calibri" w:eastAsia="Calibri" w:hAnsi="Calibri" w:cs="Arial"/>
                <w:b/>
                <w:bCs/>
                <w:color w:val="000000"/>
                <w:kern w:val="0"/>
                <w14:ligatures w14:val="none"/>
              </w:rPr>
            </w:pPr>
            <w:r w:rsidRPr="00F128A3">
              <w:rPr>
                <w:rFonts w:ascii="Calibri" w:eastAsia="Calibri" w:hAnsi="Calibri" w:cs="Arial"/>
                <w:b/>
                <w:bCs/>
                <w:color w:val="000000"/>
                <w:kern w:val="0"/>
                <w14:ligatures w14:val="none"/>
              </w:rPr>
              <w:t>100%</w:t>
            </w:r>
          </w:p>
        </w:tc>
      </w:tr>
    </w:tbl>
    <w:p w14:paraId="6BA9485A" w14:textId="77777777" w:rsidR="00F128A3" w:rsidRPr="00F128A3" w:rsidRDefault="00F128A3" w:rsidP="00F128A3">
      <w:pPr>
        <w:autoSpaceDE w:val="0"/>
        <w:autoSpaceDN w:val="0"/>
        <w:adjustRightInd w:val="0"/>
        <w:spacing w:after="0" w:line="240" w:lineRule="auto"/>
        <w:rPr>
          <w:rFonts w:ascii="Calibri" w:eastAsia="Calibri" w:hAnsi="Calibri" w:cs="Arial"/>
          <w:bCs/>
          <w:color w:val="000000"/>
          <w:kern w:val="0"/>
          <w14:ligatures w14:val="none"/>
        </w:rPr>
      </w:pPr>
    </w:p>
    <w:p w14:paraId="58498AD2" w14:textId="77777777" w:rsidR="00F128A3" w:rsidRPr="00F128A3" w:rsidRDefault="00F128A3" w:rsidP="00F128A3">
      <w:pPr>
        <w:jc w:val="center"/>
        <w:rPr>
          <w:rFonts w:ascii="Calibri" w:eastAsia="Calibri" w:hAnsi="Calibri" w:cs="Arial"/>
          <w:b/>
          <w:bCs/>
          <w:color w:val="000000"/>
          <w:kern w:val="0"/>
          <w14:ligatures w14:val="none"/>
        </w:rPr>
      </w:pPr>
    </w:p>
    <w:p w14:paraId="185F8A4F" w14:textId="77777777" w:rsidR="00F128A3" w:rsidRPr="00F128A3" w:rsidRDefault="00F128A3" w:rsidP="00F128A3">
      <w:pPr>
        <w:jc w:val="center"/>
        <w:rPr>
          <w:rFonts w:ascii="Calibri" w:eastAsia="Calibri" w:hAnsi="Calibri" w:cs="Arial"/>
          <w:b/>
          <w:bCs/>
          <w:color w:val="000000"/>
          <w:kern w:val="0"/>
          <w14:ligatures w14:val="none"/>
        </w:rPr>
      </w:pPr>
    </w:p>
    <w:p w14:paraId="2449C162" w14:textId="77777777" w:rsidR="00F128A3" w:rsidRPr="00F128A3" w:rsidRDefault="00F128A3" w:rsidP="00F128A3">
      <w:pPr>
        <w:jc w:val="center"/>
        <w:rPr>
          <w:rFonts w:ascii="Calibri" w:eastAsia="Calibri" w:hAnsi="Calibri" w:cs="Arial"/>
          <w:b/>
          <w:bCs/>
          <w:color w:val="000000"/>
          <w:kern w:val="0"/>
          <w14:ligatures w14:val="none"/>
        </w:rPr>
      </w:pPr>
    </w:p>
    <w:p w14:paraId="3C8C876C" w14:textId="77777777" w:rsidR="00F128A3" w:rsidRPr="00F128A3" w:rsidRDefault="00F128A3" w:rsidP="00F128A3">
      <w:pPr>
        <w:jc w:val="center"/>
        <w:rPr>
          <w:rFonts w:ascii="Calibri" w:eastAsia="Calibri" w:hAnsi="Calibri" w:cs="Arial"/>
          <w:b/>
          <w:bCs/>
          <w:color w:val="000000"/>
          <w:kern w:val="0"/>
          <w14:ligatures w14:val="none"/>
        </w:rPr>
      </w:pPr>
    </w:p>
    <w:p w14:paraId="76340443" w14:textId="77777777" w:rsidR="00F128A3" w:rsidRPr="00F128A3" w:rsidRDefault="00F128A3" w:rsidP="00F128A3">
      <w:pPr>
        <w:jc w:val="center"/>
        <w:rPr>
          <w:rFonts w:ascii="Calibri" w:eastAsia="Calibri" w:hAnsi="Calibri" w:cs="Arial"/>
          <w:b/>
          <w:bCs/>
          <w:color w:val="000000"/>
          <w:kern w:val="0"/>
          <w14:ligatures w14:val="none"/>
        </w:rPr>
      </w:pPr>
    </w:p>
    <w:p w14:paraId="449469DD" w14:textId="77777777" w:rsidR="00F128A3" w:rsidRPr="00F128A3" w:rsidRDefault="00F128A3" w:rsidP="00F128A3">
      <w:pPr>
        <w:jc w:val="center"/>
        <w:rPr>
          <w:rFonts w:ascii="Calibri" w:eastAsia="Calibri" w:hAnsi="Calibri" w:cs="Arial"/>
          <w:b/>
          <w:bCs/>
          <w:color w:val="000000"/>
          <w:kern w:val="0"/>
          <w14:ligatures w14:val="none"/>
        </w:rPr>
      </w:pPr>
    </w:p>
    <w:p w14:paraId="0CAE0FF1" w14:textId="77777777" w:rsidR="00F128A3" w:rsidRPr="00F128A3" w:rsidRDefault="00F128A3" w:rsidP="00F128A3">
      <w:pPr>
        <w:jc w:val="center"/>
        <w:rPr>
          <w:rFonts w:ascii="Calibri" w:eastAsia="Calibri" w:hAnsi="Calibri" w:cs="Arial"/>
          <w:b/>
          <w:bCs/>
          <w:color w:val="000000"/>
          <w:kern w:val="0"/>
          <w14:ligatures w14:val="none"/>
        </w:rPr>
      </w:pPr>
    </w:p>
    <w:p w14:paraId="5A762729" w14:textId="77777777" w:rsidR="00DD0F63" w:rsidRDefault="00DD0F63" w:rsidP="00DD0F63">
      <w:pPr>
        <w:jc w:val="center"/>
        <w:rPr>
          <w:rFonts w:eastAsia="Calibri" w:cs="Arial"/>
          <w:b/>
          <w:bCs/>
          <w:color w:val="000000" w:themeColor="text1"/>
        </w:rPr>
      </w:pPr>
    </w:p>
    <w:p w14:paraId="01C93008" w14:textId="77777777" w:rsidR="00DD0F63" w:rsidRDefault="00DD0F63" w:rsidP="00DD0F63">
      <w:pPr>
        <w:spacing w:after="200" w:line="276" w:lineRule="auto"/>
        <w:rPr>
          <w:rFonts w:eastAsia="Calibri" w:cstheme="minorHAnsi"/>
          <w:b/>
          <w:bCs/>
        </w:rPr>
        <w:sectPr w:rsidR="00DD0F63" w:rsidSect="00DD0F63">
          <w:pgSz w:w="12240" w:h="15840"/>
          <w:pgMar w:top="1417" w:right="1701" w:bottom="1417" w:left="1701" w:header="708" w:footer="708" w:gutter="0"/>
          <w:cols w:space="708"/>
          <w:docGrid w:linePitch="360"/>
        </w:sectPr>
      </w:pPr>
    </w:p>
    <w:p w14:paraId="1E44581C" w14:textId="77777777" w:rsidR="00DD0F63" w:rsidRDefault="00DD0F63" w:rsidP="00DD0F63">
      <w:pPr>
        <w:spacing w:after="200" w:line="276" w:lineRule="auto"/>
        <w:rPr>
          <w:rFonts w:eastAsia="Calibri" w:cstheme="minorHAnsi"/>
          <w:b/>
          <w:bCs/>
        </w:rPr>
      </w:pPr>
      <w:r>
        <w:rPr>
          <w:noProof/>
        </w:rPr>
        <w:lastRenderedPageBreak/>
        <mc:AlternateContent>
          <mc:Choice Requires="wps">
            <w:drawing>
              <wp:anchor distT="0" distB="0" distL="114300" distR="114300" simplePos="0" relativeHeight="252891136" behindDoc="0" locked="0" layoutInCell="1" allowOverlap="1" wp14:anchorId="03D898D4" wp14:editId="276BB789">
                <wp:simplePos x="0" y="0"/>
                <wp:positionH relativeFrom="margin">
                  <wp:align>center</wp:align>
                </wp:positionH>
                <wp:positionV relativeFrom="paragraph">
                  <wp:posOffset>-52070</wp:posOffset>
                </wp:positionV>
                <wp:extent cx="6606540" cy="411480"/>
                <wp:effectExtent l="0" t="0" r="22860" b="26670"/>
                <wp:wrapNone/>
                <wp:docPr id="569173492" name="Cuadro de texto 569173492"/>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37FCCA75" w14:textId="77777777" w:rsidR="00DD0F63" w:rsidRPr="00C25376" w:rsidRDefault="00DD0F63" w:rsidP="00DD0F63">
                            <w:pPr>
                              <w:jc w:val="center"/>
                              <w:rPr>
                                <w:rFonts w:cstheme="minorHAnsi"/>
                              </w:rPr>
                            </w:pPr>
                            <w:r>
                              <w:rPr>
                                <w:rFonts w:cstheme="minorHAnsi"/>
                                <w:b/>
                              </w:rPr>
                              <w:t>RÚBRICA DE EVALUACIÓN – RESEÑA CRÍTICA DE LECTURA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3D898D4" id="Cuadro de texto 569173492" o:spid="_x0000_s1264" type="#_x0000_t202" style="position:absolute;margin-left:0;margin-top:-4.1pt;width:520.2pt;height:32.4pt;z-index:2528911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" fillcolor="white [3201]" strokeweight=".5pt">
                <v:textbox>
                  <w:txbxContent>
                    <w:p w14:paraId="37FCCA75" w14:textId="77777777" w:rsidR="00DD0F63" w:rsidRPr="00C25376" w:rsidRDefault="00DD0F63" w:rsidP="00DD0F63">
                      <w:pPr>
                        <w:jc w:val="center"/>
                        <w:rPr>
                          <w:rFonts w:cstheme="minorHAnsi"/>
                        </w:rPr>
                      </w:pPr>
                      <w:r>
                        <w:rPr>
                          <w:rFonts w:cstheme="minorHAnsi"/>
                          <w:b/>
                        </w:rPr>
                        <w:t>RÚBRICA DE EVALUACIÓN – RESEÑA CRÍTICA DE LECTURA</w:t>
                      </w:r>
                    </w:p>
                  </w:txbxContent>
                </v:textbox>
                <w10:wrap anchorx="margin"/>
              </v:shape>
            </w:pict>
          </mc:Fallback>
        </mc:AlternateContent>
      </w:r>
    </w:p>
    <w:p w14:paraId="3EF4DC4D" w14:textId="77777777" w:rsidR="00DD0F63" w:rsidRDefault="00DD0F63" w:rsidP="00DD0F63">
      <w:pPr>
        <w:spacing w:after="200" w:line="276" w:lineRule="auto"/>
        <w:rPr>
          <w:rFonts w:eastAsia="Calibri" w:cstheme="minorHAnsi"/>
          <w:b/>
          <w:bCs/>
        </w:rPr>
      </w:pPr>
    </w:p>
    <w:p w14:paraId="52B4544E" w14:textId="77777777" w:rsidR="00DD0F63" w:rsidRPr="005D4672" w:rsidRDefault="00DD0F63" w:rsidP="00DD0F63">
      <w:pPr>
        <w:spacing w:after="200" w:line="276" w:lineRule="auto"/>
        <w:jc w:val="center"/>
        <w:rPr>
          <w:rFonts w:eastAsia="Calibri" w:cstheme="minorHAnsi"/>
          <w:color w:val="0070C0"/>
        </w:rPr>
      </w:pPr>
      <w:r w:rsidRPr="005D4672">
        <w:rPr>
          <w:rFonts w:eastAsia="Calibri" w:cstheme="minorHAnsi"/>
          <w:color w:val="0070C0"/>
        </w:rPr>
        <w:t>La elaboración de una reseña crítica de lectura permite exponer, en primera instancia, las ideas de una persona autora, en segundo lugar, hacer un análisis crítico de estas retomando lo más significativo y, en tercer lugar, contextualizar dichas ideas para la realidad latinoamericana y caribeña. Se elaboran en las sesiones 2, 4, 11 y 14. Cada reseña tiene un valor de 3,75%.</w:t>
      </w:r>
    </w:p>
    <w:p w14:paraId="6B132879" w14:textId="77777777" w:rsidR="00DD0F63" w:rsidRDefault="00DD0F63" w:rsidP="00DD0F63">
      <w:pPr>
        <w:spacing w:after="200" w:line="276" w:lineRule="auto"/>
        <w:jc w:val="center"/>
        <w:rPr>
          <w:rFonts w:eastAsia="Calibri" w:cstheme="minorHAnsi"/>
        </w:rPr>
      </w:pPr>
    </w:p>
    <w:p w14:paraId="590498A0" w14:textId="77777777" w:rsidR="00DD0F63" w:rsidRPr="00061959" w:rsidRDefault="00DD0F63" w:rsidP="00DD0F63">
      <w:pPr>
        <w:spacing w:after="200" w:line="276" w:lineRule="auto"/>
        <w:jc w:val="center"/>
        <w:rPr>
          <w:rFonts w:eastAsia="Calibri" w:cstheme="minorHAnsi"/>
          <w:b/>
          <w:bCs/>
        </w:rPr>
      </w:pPr>
      <w:r>
        <w:rPr>
          <w:rFonts w:eastAsia="Calibri" w:cstheme="minorHAnsi"/>
          <w:b/>
          <w:bCs/>
          <w:noProof/>
        </w:rPr>
        <w:drawing>
          <wp:anchor distT="0" distB="0" distL="114300" distR="114300" simplePos="0" relativeHeight="252892160" behindDoc="0" locked="0" layoutInCell="1" allowOverlap="1" wp14:anchorId="6A6CD749" wp14:editId="6C8C0786">
            <wp:simplePos x="0" y="0"/>
            <wp:positionH relativeFrom="column">
              <wp:posOffset>90488</wp:posOffset>
            </wp:positionH>
            <wp:positionV relativeFrom="paragraph">
              <wp:posOffset>1270</wp:posOffset>
            </wp:positionV>
            <wp:extent cx="8961120" cy="4645152"/>
            <wp:effectExtent l="0" t="0" r="0" b="3175"/>
            <wp:wrapNone/>
            <wp:docPr id="140180162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517284" name="Imagen 1" descr="Tabla&#10;&#10;Descripción generada automáticamente"/>
                    <pic:cNvPicPr/>
                  </pic:nvPicPr>
                  <pic:blipFill>
                    <a:blip r:embed="rId571">
                      <a:extLst>
                        <a:ext uri="{28A0092B-C50C-407E-A947-70E740481C1C}">
                          <a14:useLocalDpi xmlns:a14="http://schemas.microsoft.com/office/drawing/2010/main" val="0"/>
                        </a:ext>
                      </a:extLst>
                    </a:blip>
                    <a:stretch>
                      <a:fillRect/>
                    </a:stretch>
                  </pic:blipFill>
                  <pic:spPr>
                    <a:xfrm>
                      <a:off x="0" y="0"/>
                      <a:ext cx="8961120" cy="4645152"/>
                    </a:xfrm>
                    <a:prstGeom prst="rect">
                      <a:avLst/>
                    </a:prstGeom>
                  </pic:spPr>
                </pic:pic>
              </a:graphicData>
            </a:graphic>
          </wp:anchor>
        </w:drawing>
      </w:r>
    </w:p>
    <w:p w14:paraId="206016E8" w14:textId="77777777" w:rsidR="00DD0F63" w:rsidRDefault="00DD0F63" w:rsidP="00DD0F63">
      <w:pPr>
        <w:spacing w:after="200" w:line="276" w:lineRule="auto"/>
        <w:rPr>
          <w:rFonts w:eastAsia="Calibri" w:cstheme="minorHAnsi"/>
          <w:b/>
          <w:bCs/>
        </w:rPr>
      </w:pPr>
      <w:r>
        <w:rPr>
          <w:rFonts w:eastAsia="Calibri" w:cstheme="minorHAnsi"/>
          <w:b/>
          <w:bCs/>
        </w:rPr>
        <w:br w:type="page"/>
      </w:r>
    </w:p>
    <w:p w14:paraId="215B8186" w14:textId="77777777" w:rsidR="00DD0F63" w:rsidRDefault="00DD0F63" w:rsidP="00DD0F63">
      <w:pPr>
        <w:spacing w:after="200" w:line="276" w:lineRule="auto"/>
        <w:rPr>
          <w:rFonts w:eastAsia="Calibri" w:cstheme="minorHAnsi"/>
          <w:b/>
          <w:bCs/>
        </w:rPr>
      </w:pPr>
      <w:r>
        <w:rPr>
          <w:noProof/>
        </w:rPr>
        <w:lastRenderedPageBreak/>
        <mc:AlternateContent>
          <mc:Choice Requires="wps">
            <w:drawing>
              <wp:anchor distT="0" distB="0" distL="114300" distR="114300" simplePos="0" relativeHeight="252893184" behindDoc="0" locked="0" layoutInCell="1" allowOverlap="1" wp14:anchorId="5309911F" wp14:editId="31112C67">
                <wp:simplePos x="0" y="0"/>
                <wp:positionH relativeFrom="margin">
                  <wp:align>center</wp:align>
                </wp:positionH>
                <wp:positionV relativeFrom="paragraph">
                  <wp:posOffset>-52070</wp:posOffset>
                </wp:positionV>
                <wp:extent cx="6606540" cy="411480"/>
                <wp:effectExtent l="0" t="0" r="22860" b="26670"/>
                <wp:wrapNone/>
                <wp:docPr id="533900534"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4315C39C" w14:textId="77777777" w:rsidR="00DD0F63" w:rsidRDefault="00DD0F63" w:rsidP="00DD0F63">
                            <w:pPr>
                              <w:jc w:val="center"/>
                              <w:rPr>
                                <w:rFonts w:cstheme="minorHAnsi"/>
                              </w:rPr>
                            </w:pPr>
                            <w:r>
                              <w:rPr>
                                <w:rFonts w:cstheme="minorHAnsi"/>
                                <w:b/>
                              </w:rPr>
                              <w:t>RÚBRICA DE EVALUACIÓN – DIARIO REFLEXIVO</w:t>
                            </w:r>
                          </w:p>
                          <w:p w14:paraId="34FE01ED" w14:textId="77777777" w:rsidR="00DD0F63" w:rsidRPr="00C25376" w:rsidRDefault="00DD0F63" w:rsidP="00DD0F63">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09911F" id="_x0000_s1265" type="#_x0000_t202" style="position:absolute;margin-left:0;margin-top:-4.1pt;width:520.2pt;height:32.4pt;z-index:2528931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" fillcolor="white [3201]" strokeweight=".5pt">
                <v:textbox>
                  <w:txbxContent>
                    <w:p w14:paraId="4315C39C" w14:textId="77777777" w:rsidR="00DD0F63" w:rsidRDefault="00DD0F63" w:rsidP="00DD0F63">
                      <w:pPr>
                        <w:jc w:val="center"/>
                        <w:rPr>
                          <w:rFonts w:cstheme="minorHAnsi"/>
                        </w:rPr>
                      </w:pPr>
                      <w:r>
                        <w:rPr>
                          <w:rFonts w:cstheme="minorHAnsi"/>
                          <w:b/>
                        </w:rPr>
                        <w:t>RÚBRICA DE EVALUACIÓN – DIARIO REFLEXIVO</w:t>
                      </w:r>
                    </w:p>
                    <w:p w14:paraId="34FE01ED" w14:textId="77777777" w:rsidR="00DD0F63" w:rsidRPr="00C25376" w:rsidRDefault="00DD0F63" w:rsidP="00DD0F63">
                      <w:pPr>
                        <w:jc w:val="center"/>
                        <w:rPr>
                          <w:rFonts w:cstheme="minorHAnsi"/>
                        </w:rPr>
                      </w:pPr>
                    </w:p>
                  </w:txbxContent>
                </v:textbox>
                <w10:wrap anchorx="margin"/>
              </v:shape>
            </w:pict>
          </mc:Fallback>
        </mc:AlternateContent>
      </w:r>
    </w:p>
    <w:p w14:paraId="4E84B0D8" w14:textId="77777777" w:rsidR="00DD0F63" w:rsidRDefault="00DD0F63" w:rsidP="00DD0F63">
      <w:pPr>
        <w:spacing w:after="200" w:line="276" w:lineRule="auto"/>
        <w:rPr>
          <w:rFonts w:eastAsia="Calibri" w:cstheme="minorHAnsi"/>
          <w:b/>
          <w:bCs/>
        </w:rPr>
      </w:pPr>
    </w:p>
    <w:p w14:paraId="53812D07" w14:textId="77777777" w:rsidR="00DD0F63" w:rsidRPr="005D4672" w:rsidRDefault="00DD0F63" w:rsidP="00DD0F63">
      <w:pPr>
        <w:spacing w:after="200" w:line="276" w:lineRule="auto"/>
        <w:jc w:val="center"/>
        <w:rPr>
          <w:rFonts w:eastAsia="Calibri" w:cstheme="minorHAnsi"/>
          <w:color w:val="0070C0"/>
        </w:rPr>
      </w:pPr>
      <w:r w:rsidRPr="005D4672">
        <w:rPr>
          <w:rFonts w:eastAsia="Calibri" w:cstheme="minorHAnsi"/>
          <w:color w:val="0070C0"/>
        </w:rPr>
        <w:t>La estrategia del diario reflexivo tiene entre sus bondades la organización autónoma y la internalización del conocimiento significativo de una forma creativa, innovadora, gráfica, ilustrativa y crítica a la vez. Se elabora en las sesiones 7, 8, 9, 12 y 13. Tiene un valor total de 25%.</w:t>
      </w:r>
    </w:p>
    <w:p w14:paraId="1DA9483A" w14:textId="77777777" w:rsidR="00DD0F63" w:rsidRDefault="00DD0F63" w:rsidP="00DD0F63">
      <w:pPr>
        <w:spacing w:after="200" w:line="276" w:lineRule="auto"/>
        <w:jc w:val="center"/>
        <w:rPr>
          <w:rFonts w:eastAsia="Calibri" w:cstheme="minorHAnsi"/>
        </w:rPr>
      </w:pPr>
      <w:r>
        <w:rPr>
          <w:rFonts w:eastAsia="Calibri" w:cstheme="minorHAnsi"/>
          <w:b/>
          <w:bCs/>
          <w:noProof/>
        </w:rPr>
        <w:drawing>
          <wp:anchor distT="0" distB="0" distL="114300" distR="114300" simplePos="0" relativeHeight="252894208" behindDoc="0" locked="0" layoutInCell="1" allowOverlap="1" wp14:anchorId="7AE13299" wp14:editId="2C5F06DA">
            <wp:simplePos x="0" y="0"/>
            <wp:positionH relativeFrom="margin">
              <wp:align>center</wp:align>
            </wp:positionH>
            <wp:positionV relativeFrom="paragraph">
              <wp:posOffset>91123</wp:posOffset>
            </wp:positionV>
            <wp:extent cx="8384447" cy="5184668"/>
            <wp:effectExtent l="0" t="0" r="0" b="0"/>
            <wp:wrapNone/>
            <wp:docPr id="343952061" name="Imagen 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95453" name="Imagen 2" descr="Tabla&#10;&#10;Descripción generada automáticamente"/>
                    <pic:cNvPicPr/>
                  </pic:nvPicPr>
                  <pic:blipFill>
                    <a:blip r:embed="rId572">
                      <a:extLst>
                        <a:ext uri="{28A0092B-C50C-407E-A947-70E740481C1C}">
                          <a14:useLocalDpi xmlns:a14="http://schemas.microsoft.com/office/drawing/2010/main" val="0"/>
                        </a:ext>
                      </a:extLst>
                    </a:blip>
                    <a:stretch>
                      <a:fillRect/>
                    </a:stretch>
                  </pic:blipFill>
                  <pic:spPr>
                    <a:xfrm>
                      <a:off x="0" y="0"/>
                      <a:ext cx="8384447" cy="5184668"/>
                    </a:xfrm>
                    <a:prstGeom prst="rect">
                      <a:avLst/>
                    </a:prstGeom>
                  </pic:spPr>
                </pic:pic>
              </a:graphicData>
            </a:graphic>
            <wp14:sizeRelH relativeFrom="margin">
              <wp14:pctWidth>0</wp14:pctWidth>
            </wp14:sizeRelH>
            <wp14:sizeRelV relativeFrom="margin">
              <wp14:pctHeight>0</wp14:pctHeight>
            </wp14:sizeRelV>
          </wp:anchor>
        </w:drawing>
      </w:r>
    </w:p>
    <w:p w14:paraId="02449504" w14:textId="77777777" w:rsidR="00DD0F63" w:rsidRPr="00057D2E" w:rsidRDefault="00DD0F63" w:rsidP="00DD0F63">
      <w:pPr>
        <w:spacing w:after="200" w:line="276" w:lineRule="auto"/>
        <w:jc w:val="center"/>
        <w:rPr>
          <w:rFonts w:eastAsia="Calibri" w:cstheme="minorHAnsi"/>
          <w:b/>
          <w:bCs/>
        </w:rPr>
      </w:pPr>
    </w:p>
    <w:p w14:paraId="1C1579EB" w14:textId="77777777" w:rsidR="00DD0F63" w:rsidRDefault="00DD0F63" w:rsidP="00DD0F63">
      <w:pPr>
        <w:spacing w:after="200" w:line="276" w:lineRule="auto"/>
        <w:rPr>
          <w:rFonts w:eastAsia="Calibri" w:cstheme="minorHAnsi"/>
          <w:b/>
          <w:bCs/>
        </w:rPr>
      </w:pPr>
      <w:r>
        <w:rPr>
          <w:rFonts w:eastAsia="Calibri" w:cstheme="minorHAnsi"/>
          <w:b/>
          <w:bCs/>
        </w:rPr>
        <w:br w:type="page"/>
      </w:r>
    </w:p>
    <w:p w14:paraId="7EF30071" w14:textId="77777777" w:rsidR="00DD0F63" w:rsidRDefault="00DD0F63" w:rsidP="00DD0F63">
      <w:pPr>
        <w:spacing w:after="200" w:line="276" w:lineRule="auto"/>
        <w:rPr>
          <w:rFonts w:eastAsia="Calibri" w:cstheme="minorHAnsi"/>
          <w:b/>
          <w:bCs/>
        </w:rPr>
      </w:pPr>
      <w:r w:rsidRPr="00B85E9C">
        <w:rPr>
          <w:noProof/>
        </w:rPr>
        <w:lastRenderedPageBreak/>
        <mc:AlternateContent>
          <mc:Choice Requires="wps">
            <w:drawing>
              <wp:anchor distT="0" distB="0" distL="114300" distR="114300" simplePos="0" relativeHeight="252895232" behindDoc="0" locked="0" layoutInCell="1" allowOverlap="1" wp14:anchorId="5496A8FE" wp14:editId="32DE0346">
                <wp:simplePos x="0" y="0"/>
                <wp:positionH relativeFrom="margin">
                  <wp:align>center</wp:align>
                </wp:positionH>
                <wp:positionV relativeFrom="paragraph">
                  <wp:posOffset>-23813</wp:posOffset>
                </wp:positionV>
                <wp:extent cx="6606540" cy="411480"/>
                <wp:effectExtent l="0" t="0" r="22860" b="26670"/>
                <wp:wrapNone/>
                <wp:docPr id="331584187"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0AC4FA7A" w14:textId="77777777" w:rsidR="00DD0F63" w:rsidRPr="00C25376" w:rsidRDefault="00DD0F63" w:rsidP="00DD0F63">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MAPA CONCEPTUAL</w:t>
                            </w:r>
                          </w:p>
                          <w:p w14:paraId="41C9C0FC" w14:textId="77777777" w:rsidR="00DD0F63" w:rsidRPr="00C25376" w:rsidRDefault="00DD0F63" w:rsidP="00DD0F63">
                            <w:pPr>
                              <w:jc w:val="cente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6A8FE" id="_x0000_s1266" type="#_x0000_t202" style="position:absolute;margin-left:0;margin-top:-1.9pt;width:520.2pt;height:32.4pt;z-index:252895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" fillcolor="white [3201]" strokeweight=".5pt">
                <v:textbox>
                  <w:txbxContent>
                    <w:p w14:paraId="0AC4FA7A" w14:textId="77777777" w:rsidR="00DD0F63" w:rsidRPr="00C25376" w:rsidRDefault="00DD0F63" w:rsidP="00DD0F63">
                      <w:pPr>
                        <w:jc w:val="center"/>
                        <w:rPr>
                          <w:rFonts w:cstheme="minorHAnsi"/>
                        </w:rPr>
                      </w:pPr>
                      <w:r w:rsidRPr="00C25376">
                        <w:rPr>
                          <w:rFonts w:cstheme="minorHAnsi"/>
                          <w:b/>
                        </w:rPr>
                        <w:t>RÚBRICA DE EVALUACIÓN</w:t>
                      </w:r>
                      <w:r>
                        <w:rPr>
                          <w:rFonts w:cstheme="minorHAnsi"/>
                          <w:b/>
                        </w:rPr>
                        <w:t xml:space="preserve"> –</w:t>
                      </w:r>
                      <w:r w:rsidRPr="005A4E3D">
                        <w:rPr>
                          <w:rFonts w:cstheme="minorHAnsi"/>
                          <w:b/>
                        </w:rPr>
                        <w:t xml:space="preserve"> </w:t>
                      </w:r>
                      <w:r>
                        <w:rPr>
                          <w:rFonts w:cstheme="minorHAnsi"/>
                          <w:b/>
                        </w:rPr>
                        <w:t>MAPA CONCEPTUAL</w:t>
                      </w:r>
                    </w:p>
                    <w:p w14:paraId="41C9C0FC" w14:textId="77777777" w:rsidR="00DD0F63" w:rsidRPr="00C25376" w:rsidRDefault="00DD0F63" w:rsidP="00DD0F63">
                      <w:pPr>
                        <w:jc w:val="center"/>
                        <w:rPr>
                          <w:rFonts w:cstheme="minorHAnsi"/>
                        </w:rPr>
                      </w:pPr>
                    </w:p>
                  </w:txbxContent>
                </v:textbox>
                <w10:wrap anchorx="margin"/>
              </v:shape>
            </w:pict>
          </mc:Fallback>
        </mc:AlternateContent>
      </w:r>
    </w:p>
    <w:p w14:paraId="4B64D840" w14:textId="77777777" w:rsidR="00DD0F63" w:rsidRDefault="00DD0F63" w:rsidP="00DD0F63">
      <w:pPr>
        <w:spacing w:after="200" w:line="276" w:lineRule="auto"/>
        <w:rPr>
          <w:rFonts w:eastAsia="Calibri" w:cstheme="minorHAnsi"/>
          <w:b/>
          <w:bCs/>
        </w:rPr>
      </w:pPr>
    </w:p>
    <w:p w14:paraId="76C8E9FC" w14:textId="77777777" w:rsidR="00DD0F63" w:rsidRPr="005D4672" w:rsidRDefault="00DD0F63" w:rsidP="00DD0F63">
      <w:pPr>
        <w:spacing w:after="200" w:line="276" w:lineRule="auto"/>
        <w:jc w:val="center"/>
        <w:rPr>
          <w:rFonts w:eastAsia="Calibri" w:cstheme="minorHAnsi"/>
          <w:color w:val="0070C0"/>
        </w:rPr>
      </w:pPr>
      <w:r w:rsidRPr="005D4672">
        <w:rPr>
          <w:rFonts w:eastAsia="Calibri" w:cstheme="minorHAnsi"/>
          <w:color w:val="0070C0"/>
        </w:rPr>
        <w:t>Con el propósito de lograr un aprendizaje significativo, la representación y organización del conocimiento mediante la herramienta del mapa conceptual es de suma importancia. Se elaboran en las sesiones 3 y 5. Cada mapa tiene un valor de 5%.</w:t>
      </w:r>
    </w:p>
    <w:p w14:paraId="14C5677A" w14:textId="77777777" w:rsidR="00DD0F63" w:rsidRDefault="00DD0F63" w:rsidP="00DD0F63">
      <w:pPr>
        <w:spacing w:after="200" w:line="276" w:lineRule="auto"/>
        <w:jc w:val="center"/>
        <w:rPr>
          <w:rFonts w:eastAsia="Calibri" w:cstheme="minorHAnsi"/>
        </w:rPr>
      </w:pPr>
      <w:r>
        <w:rPr>
          <w:rFonts w:eastAsia="Calibri" w:cstheme="minorHAnsi"/>
          <w:b/>
          <w:bCs/>
          <w:noProof/>
        </w:rPr>
        <w:drawing>
          <wp:anchor distT="0" distB="0" distL="114300" distR="114300" simplePos="0" relativeHeight="252896256" behindDoc="0" locked="0" layoutInCell="1" allowOverlap="1" wp14:anchorId="0A305698" wp14:editId="7B76C79A">
            <wp:simplePos x="0" y="0"/>
            <wp:positionH relativeFrom="margin">
              <wp:align>center</wp:align>
            </wp:positionH>
            <wp:positionV relativeFrom="paragraph">
              <wp:posOffset>186373</wp:posOffset>
            </wp:positionV>
            <wp:extent cx="8767762" cy="5340912"/>
            <wp:effectExtent l="0" t="0" r="0" b="0"/>
            <wp:wrapNone/>
            <wp:docPr id="1836467728"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33673" name="Imagen 3" descr="Tabla&#10;&#10;Descripción generada automáticamente"/>
                    <pic:cNvPicPr/>
                  </pic:nvPicPr>
                  <pic:blipFill>
                    <a:blip r:embed="rId573">
                      <a:extLst>
                        <a:ext uri="{28A0092B-C50C-407E-A947-70E740481C1C}">
                          <a14:useLocalDpi xmlns:a14="http://schemas.microsoft.com/office/drawing/2010/main" val="0"/>
                        </a:ext>
                      </a:extLst>
                    </a:blip>
                    <a:stretch>
                      <a:fillRect/>
                    </a:stretch>
                  </pic:blipFill>
                  <pic:spPr>
                    <a:xfrm>
                      <a:off x="0" y="0"/>
                      <a:ext cx="8767762" cy="5340912"/>
                    </a:xfrm>
                    <a:prstGeom prst="rect">
                      <a:avLst/>
                    </a:prstGeom>
                  </pic:spPr>
                </pic:pic>
              </a:graphicData>
            </a:graphic>
            <wp14:sizeRelH relativeFrom="margin">
              <wp14:pctWidth>0</wp14:pctWidth>
            </wp14:sizeRelH>
            <wp14:sizeRelV relativeFrom="margin">
              <wp14:pctHeight>0</wp14:pctHeight>
            </wp14:sizeRelV>
          </wp:anchor>
        </w:drawing>
      </w:r>
    </w:p>
    <w:p w14:paraId="741F81C4" w14:textId="77777777" w:rsidR="00DD0F63" w:rsidRDefault="00DD0F63" w:rsidP="00DD0F63">
      <w:pPr>
        <w:spacing w:after="200" w:line="276" w:lineRule="auto"/>
        <w:jc w:val="center"/>
        <w:rPr>
          <w:rFonts w:eastAsia="Calibri" w:cstheme="minorHAnsi"/>
        </w:rPr>
      </w:pPr>
    </w:p>
    <w:p w14:paraId="77C24339" w14:textId="77777777" w:rsidR="00DD0F63" w:rsidRDefault="00DD0F63" w:rsidP="00DD0F63">
      <w:pPr>
        <w:spacing w:after="200" w:line="276" w:lineRule="auto"/>
        <w:jc w:val="center"/>
        <w:rPr>
          <w:rFonts w:eastAsia="Calibri" w:cstheme="minorHAnsi"/>
        </w:rPr>
      </w:pPr>
    </w:p>
    <w:p w14:paraId="7299C7D5" w14:textId="77777777" w:rsidR="00DD0F63" w:rsidRDefault="00DD0F63" w:rsidP="00DD0F63">
      <w:pPr>
        <w:spacing w:after="200" w:line="276" w:lineRule="auto"/>
        <w:jc w:val="center"/>
        <w:rPr>
          <w:rFonts w:eastAsia="Calibri" w:cstheme="minorHAnsi"/>
        </w:rPr>
      </w:pPr>
    </w:p>
    <w:p w14:paraId="10942666" w14:textId="77777777" w:rsidR="00DD0F63" w:rsidRDefault="00DD0F63" w:rsidP="00DD0F63">
      <w:pPr>
        <w:spacing w:after="200" w:line="276" w:lineRule="auto"/>
        <w:jc w:val="center"/>
        <w:rPr>
          <w:rFonts w:eastAsia="Calibri" w:cstheme="minorHAnsi"/>
        </w:rPr>
      </w:pPr>
    </w:p>
    <w:p w14:paraId="1E91DFD0" w14:textId="77777777" w:rsidR="00DD0F63" w:rsidRDefault="00DD0F63" w:rsidP="00DD0F63">
      <w:pPr>
        <w:spacing w:after="200" w:line="276" w:lineRule="auto"/>
        <w:jc w:val="center"/>
        <w:rPr>
          <w:rFonts w:eastAsia="Calibri" w:cstheme="minorHAnsi"/>
        </w:rPr>
      </w:pPr>
    </w:p>
    <w:p w14:paraId="5D43F059" w14:textId="77777777" w:rsidR="00DD0F63" w:rsidRDefault="00DD0F63" w:rsidP="00DD0F63">
      <w:pPr>
        <w:spacing w:after="200" w:line="276" w:lineRule="auto"/>
        <w:jc w:val="center"/>
        <w:rPr>
          <w:rFonts w:eastAsia="Calibri" w:cstheme="minorHAnsi"/>
        </w:rPr>
      </w:pPr>
    </w:p>
    <w:p w14:paraId="1268729B" w14:textId="77777777" w:rsidR="00DD0F63" w:rsidRDefault="00DD0F63" w:rsidP="00DD0F63">
      <w:pPr>
        <w:spacing w:after="200" w:line="276" w:lineRule="auto"/>
        <w:jc w:val="center"/>
        <w:rPr>
          <w:rFonts w:eastAsia="Calibri" w:cstheme="minorHAnsi"/>
        </w:rPr>
      </w:pPr>
    </w:p>
    <w:p w14:paraId="4C0169D7" w14:textId="77777777" w:rsidR="00DD0F63" w:rsidRDefault="00DD0F63" w:rsidP="00DD0F63">
      <w:pPr>
        <w:spacing w:after="200" w:line="276" w:lineRule="auto"/>
        <w:jc w:val="center"/>
        <w:rPr>
          <w:rFonts w:eastAsia="Calibri" w:cstheme="minorHAnsi"/>
        </w:rPr>
      </w:pPr>
    </w:p>
    <w:p w14:paraId="6D464C85" w14:textId="77777777" w:rsidR="00DD0F63" w:rsidRDefault="00DD0F63" w:rsidP="00DD0F63">
      <w:pPr>
        <w:spacing w:after="200" w:line="276" w:lineRule="auto"/>
        <w:jc w:val="center"/>
        <w:rPr>
          <w:rFonts w:eastAsia="Calibri" w:cstheme="minorHAnsi"/>
        </w:rPr>
      </w:pPr>
    </w:p>
    <w:p w14:paraId="3CF28E57" w14:textId="77777777" w:rsidR="00DD0F63" w:rsidRDefault="00DD0F63" w:rsidP="00DD0F63">
      <w:pPr>
        <w:spacing w:after="200" w:line="276" w:lineRule="auto"/>
        <w:jc w:val="center"/>
        <w:rPr>
          <w:rFonts w:eastAsia="Calibri" w:cstheme="minorHAnsi"/>
        </w:rPr>
      </w:pPr>
    </w:p>
    <w:p w14:paraId="404B7B8B" w14:textId="77777777" w:rsidR="00DD0F63" w:rsidRDefault="00DD0F63" w:rsidP="00DD0F63">
      <w:pPr>
        <w:spacing w:after="200" w:line="276" w:lineRule="auto"/>
        <w:jc w:val="center"/>
        <w:rPr>
          <w:rFonts w:eastAsia="Calibri" w:cstheme="minorHAnsi"/>
        </w:rPr>
      </w:pPr>
    </w:p>
    <w:p w14:paraId="2ACF5877" w14:textId="77777777" w:rsidR="00DD0F63" w:rsidRDefault="00DD0F63" w:rsidP="00DD0F63">
      <w:pPr>
        <w:spacing w:after="200" w:line="276" w:lineRule="auto"/>
        <w:jc w:val="center"/>
        <w:rPr>
          <w:rFonts w:eastAsia="Calibri" w:cstheme="minorHAnsi"/>
        </w:rPr>
      </w:pPr>
    </w:p>
    <w:p w14:paraId="6F81A651" w14:textId="77777777" w:rsidR="00DD0F63" w:rsidRDefault="00DD0F63" w:rsidP="00DD0F63">
      <w:pPr>
        <w:spacing w:after="200" w:line="276" w:lineRule="auto"/>
        <w:jc w:val="center"/>
        <w:rPr>
          <w:rFonts w:eastAsia="Calibri" w:cstheme="minorHAnsi"/>
        </w:rPr>
      </w:pPr>
    </w:p>
    <w:p w14:paraId="5BD67081" w14:textId="77777777" w:rsidR="00DD0F63" w:rsidRDefault="00DD0F63" w:rsidP="00DD0F63">
      <w:pPr>
        <w:spacing w:after="200" w:line="276" w:lineRule="auto"/>
        <w:jc w:val="center"/>
        <w:rPr>
          <w:rFonts w:eastAsia="Calibri" w:cstheme="minorHAnsi"/>
        </w:rPr>
      </w:pPr>
    </w:p>
    <w:p w14:paraId="4CA6E119" w14:textId="77777777" w:rsidR="00DD0F63" w:rsidRDefault="00DD0F63" w:rsidP="00DD0F63">
      <w:pPr>
        <w:spacing w:after="200" w:line="276" w:lineRule="auto"/>
        <w:jc w:val="center"/>
        <w:rPr>
          <w:rFonts w:eastAsia="Calibri" w:cstheme="minorHAnsi"/>
        </w:rPr>
      </w:pPr>
    </w:p>
    <w:p w14:paraId="39166CED" w14:textId="77777777" w:rsidR="00DD0F63" w:rsidRDefault="00DD0F63" w:rsidP="00DD0F63">
      <w:pPr>
        <w:spacing w:after="200" w:line="276" w:lineRule="auto"/>
        <w:jc w:val="center"/>
        <w:rPr>
          <w:rFonts w:eastAsia="Calibri" w:cstheme="minorHAnsi"/>
        </w:rPr>
      </w:pPr>
    </w:p>
    <w:p w14:paraId="2C5D88B4" w14:textId="77777777" w:rsidR="00DD0F63" w:rsidRDefault="00DD0F63" w:rsidP="00DD0F63">
      <w:pPr>
        <w:spacing w:after="200" w:line="276" w:lineRule="auto"/>
        <w:jc w:val="center"/>
        <w:rPr>
          <w:rFonts w:eastAsia="Calibri" w:cstheme="minorHAnsi"/>
        </w:rPr>
      </w:pPr>
    </w:p>
    <w:p w14:paraId="1B523B9B" w14:textId="77777777" w:rsidR="00DD0F63" w:rsidRDefault="00DD0F63" w:rsidP="00DD0F63">
      <w:pPr>
        <w:spacing w:after="200" w:line="276" w:lineRule="auto"/>
        <w:jc w:val="center"/>
        <w:rPr>
          <w:rFonts w:eastAsia="Calibri" w:cstheme="minorHAnsi"/>
        </w:rPr>
      </w:pPr>
      <w:r>
        <w:rPr>
          <w:rFonts w:eastAsia="Calibri" w:cstheme="minorHAnsi"/>
          <w:noProof/>
        </w:rPr>
        <w:drawing>
          <wp:anchor distT="0" distB="0" distL="114300" distR="114300" simplePos="0" relativeHeight="252901376" behindDoc="0" locked="0" layoutInCell="1" allowOverlap="1" wp14:anchorId="16D45C9A" wp14:editId="6BF14AF2">
            <wp:simplePos x="0" y="0"/>
            <wp:positionH relativeFrom="column">
              <wp:posOffset>223838</wp:posOffset>
            </wp:positionH>
            <wp:positionV relativeFrom="paragraph">
              <wp:posOffset>67520</wp:posOffset>
            </wp:positionV>
            <wp:extent cx="8720137" cy="2249595"/>
            <wp:effectExtent l="0" t="0" r="5080" b="0"/>
            <wp:wrapNone/>
            <wp:docPr id="1851045528" name="Imagen 1"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45528" name="Imagen 1" descr="Calendario&#10;&#10;Descripción generada automáticamente"/>
                    <pic:cNvPicPr/>
                  </pic:nvPicPr>
                  <pic:blipFill>
                    <a:blip r:embed="rId574">
                      <a:extLst>
                        <a:ext uri="{28A0092B-C50C-407E-A947-70E740481C1C}">
                          <a14:useLocalDpi xmlns:a14="http://schemas.microsoft.com/office/drawing/2010/main" val="0"/>
                        </a:ext>
                      </a:extLst>
                    </a:blip>
                    <a:stretch>
                      <a:fillRect/>
                    </a:stretch>
                  </pic:blipFill>
                  <pic:spPr>
                    <a:xfrm>
                      <a:off x="0" y="0"/>
                      <a:ext cx="8750180" cy="2257345"/>
                    </a:xfrm>
                    <a:prstGeom prst="rect">
                      <a:avLst/>
                    </a:prstGeom>
                  </pic:spPr>
                </pic:pic>
              </a:graphicData>
            </a:graphic>
            <wp14:sizeRelH relativeFrom="margin">
              <wp14:pctWidth>0</wp14:pctWidth>
            </wp14:sizeRelH>
            <wp14:sizeRelV relativeFrom="margin">
              <wp14:pctHeight>0</wp14:pctHeight>
            </wp14:sizeRelV>
          </wp:anchor>
        </w:drawing>
      </w:r>
    </w:p>
    <w:p w14:paraId="3CC57776" w14:textId="77777777" w:rsidR="00DD0F63" w:rsidRDefault="00DD0F63" w:rsidP="00DD0F63">
      <w:pPr>
        <w:spacing w:after="200" w:line="276" w:lineRule="auto"/>
        <w:jc w:val="center"/>
        <w:rPr>
          <w:rFonts w:eastAsia="Calibri" w:cstheme="minorHAnsi"/>
        </w:rPr>
      </w:pPr>
    </w:p>
    <w:p w14:paraId="7E84AEA6" w14:textId="77777777" w:rsidR="00DD0F63" w:rsidRDefault="00DD0F63" w:rsidP="00DD0F63">
      <w:pPr>
        <w:spacing w:after="200" w:line="276" w:lineRule="auto"/>
        <w:jc w:val="center"/>
        <w:rPr>
          <w:rFonts w:eastAsia="Calibri" w:cstheme="minorHAnsi"/>
        </w:rPr>
      </w:pPr>
    </w:p>
    <w:p w14:paraId="432D0CC4" w14:textId="77777777" w:rsidR="00DD0F63" w:rsidRDefault="00DD0F63" w:rsidP="00DD0F63">
      <w:pPr>
        <w:spacing w:after="200" w:line="276" w:lineRule="auto"/>
        <w:jc w:val="center"/>
        <w:rPr>
          <w:rFonts w:eastAsia="Calibri" w:cstheme="minorHAnsi"/>
        </w:rPr>
      </w:pPr>
    </w:p>
    <w:p w14:paraId="324F9BC9" w14:textId="77777777" w:rsidR="00DD0F63" w:rsidRDefault="00DD0F63" w:rsidP="00DD0F63">
      <w:pPr>
        <w:spacing w:after="200" w:line="276" w:lineRule="auto"/>
        <w:jc w:val="center"/>
        <w:rPr>
          <w:rFonts w:eastAsia="Calibri" w:cstheme="minorHAnsi"/>
        </w:rPr>
      </w:pPr>
    </w:p>
    <w:p w14:paraId="33184D08" w14:textId="77777777" w:rsidR="00DD0F63" w:rsidRDefault="00DD0F63" w:rsidP="00DD0F63">
      <w:pPr>
        <w:spacing w:after="200" w:line="276" w:lineRule="auto"/>
        <w:jc w:val="center"/>
        <w:rPr>
          <w:rFonts w:eastAsia="Calibri" w:cstheme="minorHAnsi"/>
        </w:rPr>
      </w:pPr>
    </w:p>
    <w:p w14:paraId="464FEBAC" w14:textId="77777777" w:rsidR="00DD0F63" w:rsidRDefault="00DD0F63" w:rsidP="00DD0F63">
      <w:pPr>
        <w:spacing w:after="200" w:line="276" w:lineRule="auto"/>
        <w:jc w:val="center"/>
        <w:rPr>
          <w:rFonts w:eastAsia="Calibri" w:cstheme="minorHAnsi"/>
        </w:rPr>
      </w:pPr>
    </w:p>
    <w:p w14:paraId="0310EF11" w14:textId="77777777" w:rsidR="00DD0F63" w:rsidRDefault="00DD0F63" w:rsidP="00DD0F63">
      <w:pPr>
        <w:spacing w:after="200" w:line="276" w:lineRule="auto"/>
        <w:jc w:val="center"/>
        <w:rPr>
          <w:rFonts w:eastAsia="Calibri" w:cstheme="minorHAnsi"/>
        </w:rPr>
      </w:pPr>
    </w:p>
    <w:p w14:paraId="3BB020E3" w14:textId="77777777" w:rsidR="00DD0F63" w:rsidRDefault="00DD0F63" w:rsidP="00DD0F63">
      <w:pPr>
        <w:spacing w:after="200" w:line="276" w:lineRule="auto"/>
        <w:jc w:val="center"/>
        <w:rPr>
          <w:rFonts w:eastAsia="Calibri" w:cstheme="minorHAnsi"/>
        </w:rPr>
      </w:pPr>
    </w:p>
    <w:p w14:paraId="6EEA89C5" w14:textId="77777777" w:rsidR="00DD0F63" w:rsidRDefault="00DD0F63" w:rsidP="00DD0F63">
      <w:pPr>
        <w:spacing w:after="200" w:line="276" w:lineRule="auto"/>
        <w:jc w:val="center"/>
        <w:rPr>
          <w:rFonts w:eastAsia="Calibri" w:cstheme="minorHAnsi"/>
        </w:rPr>
      </w:pPr>
    </w:p>
    <w:p w14:paraId="36B42B3A" w14:textId="77777777" w:rsidR="00DD0F63" w:rsidRDefault="00DD0F63" w:rsidP="00DD0F63">
      <w:pPr>
        <w:spacing w:after="200" w:line="276" w:lineRule="auto"/>
        <w:jc w:val="center"/>
        <w:rPr>
          <w:rFonts w:eastAsia="Calibri" w:cstheme="minorHAnsi"/>
        </w:rPr>
      </w:pPr>
    </w:p>
    <w:p w14:paraId="38EB0FD6" w14:textId="77777777" w:rsidR="00DD0F63" w:rsidRDefault="00DD0F63" w:rsidP="00DD0F63">
      <w:pPr>
        <w:spacing w:after="200" w:line="276" w:lineRule="auto"/>
        <w:jc w:val="center"/>
        <w:rPr>
          <w:rFonts w:eastAsia="Calibri" w:cstheme="minorHAnsi"/>
        </w:rPr>
      </w:pPr>
    </w:p>
    <w:p w14:paraId="2CCB4E53" w14:textId="77777777" w:rsidR="00DD0F63" w:rsidRDefault="00DD0F63" w:rsidP="00DD0F63">
      <w:pPr>
        <w:spacing w:after="200" w:line="276" w:lineRule="auto"/>
        <w:jc w:val="center"/>
        <w:rPr>
          <w:rFonts w:eastAsia="Calibri" w:cstheme="minorHAnsi"/>
        </w:rPr>
      </w:pPr>
    </w:p>
    <w:p w14:paraId="0E8887DE" w14:textId="77777777" w:rsidR="00DD0F63" w:rsidRDefault="00DD0F63" w:rsidP="00DD0F63">
      <w:pPr>
        <w:spacing w:after="200" w:line="276" w:lineRule="auto"/>
        <w:jc w:val="center"/>
        <w:rPr>
          <w:rFonts w:eastAsia="Calibri" w:cstheme="minorHAnsi"/>
        </w:rPr>
      </w:pPr>
    </w:p>
    <w:p w14:paraId="26D10E97" w14:textId="77777777" w:rsidR="00DD0F63" w:rsidRDefault="00DD0F63" w:rsidP="00DD0F63">
      <w:pPr>
        <w:spacing w:after="200" w:line="276" w:lineRule="auto"/>
        <w:jc w:val="center"/>
        <w:rPr>
          <w:rFonts w:eastAsia="Calibri" w:cstheme="minorHAnsi"/>
        </w:rPr>
      </w:pPr>
    </w:p>
    <w:p w14:paraId="3D298083" w14:textId="77777777" w:rsidR="00DD0F63" w:rsidRDefault="00DD0F63" w:rsidP="00DD0F63">
      <w:pPr>
        <w:spacing w:after="200" w:line="276" w:lineRule="auto"/>
        <w:jc w:val="center"/>
        <w:rPr>
          <w:rFonts w:eastAsia="Calibri" w:cstheme="minorHAnsi"/>
        </w:rPr>
      </w:pPr>
    </w:p>
    <w:p w14:paraId="7C33EA44" w14:textId="77777777" w:rsidR="00DD0F63" w:rsidRDefault="00DD0F63" w:rsidP="00DD0F63">
      <w:pPr>
        <w:spacing w:after="200" w:line="276" w:lineRule="auto"/>
        <w:jc w:val="center"/>
        <w:rPr>
          <w:rFonts w:eastAsia="Calibri" w:cstheme="minorHAnsi"/>
        </w:rPr>
      </w:pPr>
    </w:p>
    <w:p w14:paraId="6EAF3A3F" w14:textId="77777777" w:rsidR="00DD0F63" w:rsidRDefault="00DD0F63" w:rsidP="00DD0F63">
      <w:pPr>
        <w:spacing w:after="200" w:line="276" w:lineRule="auto"/>
        <w:jc w:val="center"/>
        <w:rPr>
          <w:rFonts w:eastAsia="Calibri" w:cstheme="minorHAnsi"/>
        </w:rPr>
      </w:pPr>
    </w:p>
    <w:p w14:paraId="535A735A" w14:textId="77777777" w:rsidR="00DD0F63" w:rsidRDefault="00DD0F63" w:rsidP="00DD0F63">
      <w:pPr>
        <w:spacing w:after="200" w:line="276" w:lineRule="auto"/>
        <w:jc w:val="center"/>
        <w:rPr>
          <w:rFonts w:eastAsia="Calibri" w:cstheme="minorHAnsi"/>
        </w:rPr>
      </w:pPr>
    </w:p>
    <w:p w14:paraId="50083643" w14:textId="777797D9" w:rsidR="00DD0F63" w:rsidRDefault="00225FA6" w:rsidP="00DD0F63">
      <w:pPr>
        <w:spacing w:after="200" w:line="276" w:lineRule="auto"/>
        <w:jc w:val="center"/>
        <w:rPr>
          <w:rFonts w:eastAsia="Calibri" w:cstheme="minorHAnsi"/>
        </w:rPr>
      </w:pPr>
      <w:r w:rsidRPr="00D06599">
        <w:rPr>
          <w:rFonts w:cstheme="minorHAnsi"/>
          <w:bCs/>
          <w:noProof/>
          <w:sz w:val="20"/>
        </w:rPr>
        <w:lastRenderedPageBreak/>
        <mc:AlternateContent>
          <mc:Choice Requires="wps">
            <w:drawing>
              <wp:anchor distT="45720" distB="45720" distL="114300" distR="114300" simplePos="0" relativeHeight="252897280" behindDoc="0" locked="0" layoutInCell="1" allowOverlap="1" wp14:anchorId="22D51F4D" wp14:editId="42095B77">
                <wp:simplePos x="0" y="0"/>
                <wp:positionH relativeFrom="margin">
                  <wp:align>center</wp:align>
                </wp:positionH>
                <wp:positionV relativeFrom="paragraph">
                  <wp:posOffset>6235</wp:posOffset>
                </wp:positionV>
                <wp:extent cx="7879080" cy="404813"/>
                <wp:effectExtent l="0" t="0" r="26670" b="14605"/>
                <wp:wrapNone/>
                <wp:docPr id="3635279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79080" cy="404813"/>
                        </a:xfrm>
                        <a:prstGeom prst="rect">
                          <a:avLst/>
                        </a:prstGeom>
                        <a:solidFill>
                          <a:srgbClr val="FFFFFF"/>
                        </a:solidFill>
                        <a:ln w="9525">
                          <a:solidFill>
                            <a:srgbClr val="000000"/>
                          </a:solidFill>
                          <a:miter lim="800000"/>
                          <a:headEnd/>
                          <a:tailEnd/>
                        </a:ln>
                      </wps:spPr>
                      <wps:txbx>
                        <w:txbxContent>
                          <w:p w14:paraId="586202BE" w14:textId="77777777" w:rsidR="00DD0F63" w:rsidRPr="002A747D" w:rsidRDefault="00DD0F63" w:rsidP="00DD0F63">
                            <w:pPr>
                              <w:jc w:val="center"/>
                              <w:rPr>
                                <w:rFonts w:cstheme="minorHAnsi"/>
                                <w:b/>
                                <w:szCs w:val="24"/>
                              </w:rPr>
                            </w:pPr>
                            <w:r w:rsidRPr="002A747D">
                              <w:rPr>
                                <w:rFonts w:cstheme="minorHAnsi"/>
                                <w:b/>
                                <w:szCs w:val="24"/>
                              </w:rPr>
                              <w:t>RÚBRICA DE EVALUACIÓN – FORO TEMÁTICO (</w:t>
                            </w:r>
                            <w:r>
                              <w:rPr>
                                <w:rFonts w:cstheme="minorHAnsi"/>
                                <w:b/>
                                <w:szCs w:val="24"/>
                              </w:rPr>
                              <w:t>TRABAJOS GRUPALES</w:t>
                            </w:r>
                            <w:r w:rsidRPr="002A747D">
                              <w:rPr>
                                <w:rFonts w:cstheme="minorHAnsi"/>
                                <w:b/>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D51F4D" id="_x0000_s1267" type="#_x0000_t202" style="position:absolute;left:0;text-align:left;margin-left:0;margin-top:.5pt;width:620.4pt;height:31.9pt;z-index:25289728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">
                <v:textbox>
                  <w:txbxContent>
                    <w:p w14:paraId="586202BE" w14:textId="77777777" w:rsidR="00DD0F63" w:rsidRPr="002A747D" w:rsidRDefault="00DD0F63" w:rsidP="00DD0F63">
                      <w:pPr>
                        <w:jc w:val="center"/>
                        <w:rPr>
                          <w:rFonts w:cstheme="minorHAnsi"/>
                          <w:b/>
                          <w:szCs w:val="24"/>
                        </w:rPr>
                      </w:pPr>
                      <w:r w:rsidRPr="002A747D">
                        <w:rPr>
                          <w:rFonts w:cstheme="minorHAnsi"/>
                          <w:b/>
                          <w:szCs w:val="24"/>
                        </w:rPr>
                        <w:t>RÚBRICA DE EVALUACIÓN – FORO TEMÁTICO (</w:t>
                      </w:r>
                      <w:r>
                        <w:rPr>
                          <w:rFonts w:cstheme="minorHAnsi"/>
                          <w:b/>
                          <w:szCs w:val="24"/>
                        </w:rPr>
                        <w:t>TRABAJOS GRUPALES</w:t>
                      </w:r>
                      <w:r w:rsidRPr="002A747D">
                        <w:rPr>
                          <w:rFonts w:cstheme="minorHAnsi"/>
                          <w:b/>
                          <w:szCs w:val="24"/>
                        </w:rPr>
                        <w:t>)</w:t>
                      </w:r>
                    </w:p>
                  </w:txbxContent>
                </v:textbox>
                <w10:wrap anchorx="margin"/>
              </v:shape>
            </w:pict>
          </mc:Fallback>
        </mc:AlternateContent>
      </w:r>
    </w:p>
    <w:p w14:paraId="31E1E014" w14:textId="77777777" w:rsidR="00225FA6" w:rsidRDefault="00225FA6" w:rsidP="00DD0F63">
      <w:pPr>
        <w:spacing w:after="200" w:line="276" w:lineRule="auto"/>
        <w:jc w:val="center"/>
        <w:rPr>
          <w:rFonts w:eastAsia="Calibri" w:cstheme="minorHAnsi"/>
          <w:color w:val="0070C0"/>
        </w:rPr>
      </w:pPr>
    </w:p>
    <w:p w14:paraId="13CC2A51" w14:textId="67B86ADE" w:rsidR="00DD0F63" w:rsidRPr="005D4672" w:rsidRDefault="00225FA6" w:rsidP="00DD0F63">
      <w:pPr>
        <w:spacing w:after="200" w:line="276" w:lineRule="auto"/>
        <w:jc w:val="center"/>
        <w:rPr>
          <w:rFonts w:eastAsia="Calibri" w:cstheme="minorHAnsi"/>
          <w:color w:val="0070C0"/>
        </w:rPr>
      </w:pPr>
      <w:r>
        <w:rPr>
          <w:rFonts w:eastAsia="Calibri" w:cstheme="minorHAnsi"/>
          <w:noProof/>
        </w:rPr>
        <w:drawing>
          <wp:anchor distT="0" distB="0" distL="114300" distR="114300" simplePos="0" relativeHeight="252898304" behindDoc="0" locked="0" layoutInCell="1" allowOverlap="1" wp14:anchorId="5FADFC60" wp14:editId="28E8A270">
            <wp:simplePos x="0" y="0"/>
            <wp:positionH relativeFrom="margin">
              <wp:align>center</wp:align>
            </wp:positionH>
            <wp:positionV relativeFrom="paragraph">
              <wp:posOffset>644005</wp:posOffset>
            </wp:positionV>
            <wp:extent cx="7819455" cy="5683224"/>
            <wp:effectExtent l="0" t="0" r="0" b="0"/>
            <wp:wrapNone/>
            <wp:docPr id="537659684" name="Imagen 4"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72691" name="Imagen 4" descr="Tabla, Calendario&#10;&#10;Descripción generada automáticamente"/>
                    <pic:cNvPicPr/>
                  </pic:nvPicPr>
                  <pic:blipFill>
                    <a:blip r:embed="rId575">
                      <a:extLst>
                        <a:ext uri="{28A0092B-C50C-407E-A947-70E740481C1C}">
                          <a14:useLocalDpi xmlns:a14="http://schemas.microsoft.com/office/drawing/2010/main" val="0"/>
                        </a:ext>
                      </a:extLst>
                    </a:blip>
                    <a:stretch>
                      <a:fillRect/>
                    </a:stretch>
                  </pic:blipFill>
                  <pic:spPr>
                    <a:xfrm>
                      <a:off x="0" y="0"/>
                      <a:ext cx="7819455" cy="5683224"/>
                    </a:xfrm>
                    <a:prstGeom prst="rect">
                      <a:avLst/>
                    </a:prstGeom>
                  </pic:spPr>
                </pic:pic>
              </a:graphicData>
            </a:graphic>
            <wp14:sizeRelH relativeFrom="margin">
              <wp14:pctWidth>0</wp14:pctWidth>
            </wp14:sizeRelH>
            <wp14:sizeRelV relativeFrom="margin">
              <wp14:pctHeight>0</wp14:pctHeight>
            </wp14:sizeRelV>
          </wp:anchor>
        </w:drawing>
      </w:r>
      <w:r w:rsidR="00DD0F63" w:rsidRPr="005D4672">
        <w:rPr>
          <w:rFonts w:eastAsia="Calibri" w:cstheme="minorHAnsi"/>
          <w:color w:val="0070C0"/>
        </w:rPr>
        <w:t>Un foro es una herramienta virtual asincrónica que constituye un escenario virtual de debate sobre un tema particular, que permite el intercambio de los aportes propios y la réplica a los aportes de otras personas compañeras. Los trabajos grupales en el aula virtual comprenden los foros temáticos de las sesiones 1, 2, 4, 5, 6, 8, 9, 12, 13 y 14, los cuales tienen un valor de 2% cada uno.</w:t>
      </w:r>
    </w:p>
    <w:p w14:paraId="1A8027F7" w14:textId="43A9E4B9" w:rsidR="00DD0F63" w:rsidRDefault="00DD0F63" w:rsidP="00DD0F63">
      <w:pPr>
        <w:spacing w:after="200" w:line="276" w:lineRule="auto"/>
        <w:jc w:val="center"/>
        <w:rPr>
          <w:rFonts w:eastAsia="Calibri" w:cstheme="minorHAnsi"/>
        </w:rPr>
      </w:pPr>
    </w:p>
    <w:p w14:paraId="4189ED98" w14:textId="77777777" w:rsidR="00DD0F63" w:rsidRDefault="00DD0F63" w:rsidP="00DD0F63">
      <w:pPr>
        <w:spacing w:after="200" w:line="276" w:lineRule="auto"/>
        <w:jc w:val="center"/>
        <w:rPr>
          <w:rFonts w:eastAsia="Calibri" w:cstheme="minorHAnsi"/>
        </w:rPr>
      </w:pPr>
    </w:p>
    <w:p w14:paraId="636CC944" w14:textId="77777777" w:rsidR="00DD0F63" w:rsidRDefault="00DD0F63" w:rsidP="00DD0F63">
      <w:pPr>
        <w:spacing w:after="200" w:line="276" w:lineRule="auto"/>
        <w:jc w:val="center"/>
        <w:rPr>
          <w:rFonts w:eastAsia="Calibri" w:cstheme="minorHAnsi"/>
        </w:rPr>
      </w:pPr>
    </w:p>
    <w:p w14:paraId="5F7228DE" w14:textId="77777777" w:rsidR="00DD0F63" w:rsidRDefault="00DD0F63" w:rsidP="00DD0F63">
      <w:pPr>
        <w:spacing w:after="200" w:line="276" w:lineRule="auto"/>
        <w:jc w:val="center"/>
        <w:rPr>
          <w:rFonts w:eastAsia="Calibri" w:cstheme="minorHAnsi"/>
        </w:rPr>
      </w:pPr>
    </w:p>
    <w:p w14:paraId="3996AD75" w14:textId="77777777" w:rsidR="00DD0F63" w:rsidRDefault="00DD0F63" w:rsidP="00DD0F63">
      <w:pPr>
        <w:spacing w:after="200" w:line="276" w:lineRule="auto"/>
        <w:jc w:val="center"/>
        <w:rPr>
          <w:rFonts w:eastAsia="Calibri" w:cstheme="minorHAnsi"/>
        </w:rPr>
      </w:pPr>
    </w:p>
    <w:p w14:paraId="64892F0E" w14:textId="77777777" w:rsidR="00DD0F63" w:rsidRDefault="00DD0F63" w:rsidP="00DD0F63">
      <w:pPr>
        <w:spacing w:after="200" w:line="276" w:lineRule="auto"/>
        <w:jc w:val="center"/>
        <w:rPr>
          <w:rFonts w:eastAsia="Calibri" w:cstheme="minorHAnsi"/>
        </w:rPr>
      </w:pPr>
    </w:p>
    <w:p w14:paraId="7DDF05D9" w14:textId="77777777" w:rsidR="00DD0F63" w:rsidRDefault="00DD0F63" w:rsidP="00DD0F63">
      <w:pPr>
        <w:spacing w:after="200" w:line="276" w:lineRule="auto"/>
        <w:jc w:val="center"/>
        <w:rPr>
          <w:rFonts w:eastAsia="Calibri" w:cstheme="minorHAnsi"/>
        </w:rPr>
      </w:pPr>
    </w:p>
    <w:p w14:paraId="6FF046E5" w14:textId="77777777" w:rsidR="00DD0F63" w:rsidRDefault="00DD0F63" w:rsidP="00DD0F63">
      <w:pPr>
        <w:spacing w:after="200" w:line="276" w:lineRule="auto"/>
        <w:jc w:val="center"/>
        <w:rPr>
          <w:rFonts w:eastAsia="Calibri" w:cstheme="minorHAnsi"/>
        </w:rPr>
      </w:pPr>
    </w:p>
    <w:p w14:paraId="6FDCC323" w14:textId="77777777" w:rsidR="00DD0F63" w:rsidRDefault="00DD0F63" w:rsidP="00DD0F63">
      <w:pPr>
        <w:spacing w:after="200" w:line="276" w:lineRule="auto"/>
        <w:jc w:val="center"/>
        <w:rPr>
          <w:rFonts w:eastAsia="Calibri" w:cstheme="minorHAnsi"/>
        </w:rPr>
      </w:pPr>
    </w:p>
    <w:p w14:paraId="033710FA" w14:textId="77777777" w:rsidR="00DD0F63" w:rsidRDefault="00DD0F63" w:rsidP="00DD0F63">
      <w:pPr>
        <w:spacing w:after="200" w:line="276" w:lineRule="auto"/>
        <w:jc w:val="center"/>
        <w:rPr>
          <w:rFonts w:eastAsia="Calibri" w:cstheme="minorHAnsi"/>
        </w:rPr>
      </w:pPr>
    </w:p>
    <w:p w14:paraId="7292F2A7" w14:textId="77777777" w:rsidR="00DD0F63" w:rsidRDefault="00DD0F63" w:rsidP="00DD0F63">
      <w:pPr>
        <w:spacing w:after="200" w:line="276" w:lineRule="auto"/>
        <w:jc w:val="center"/>
        <w:rPr>
          <w:rFonts w:eastAsia="Calibri" w:cstheme="minorHAnsi"/>
        </w:rPr>
      </w:pPr>
    </w:p>
    <w:p w14:paraId="0A73D47A" w14:textId="77777777" w:rsidR="00DD0F63" w:rsidRDefault="00DD0F63" w:rsidP="00DD0F63">
      <w:pPr>
        <w:spacing w:after="200" w:line="276" w:lineRule="auto"/>
        <w:jc w:val="center"/>
        <w:rPr>
          <w:rFonts w:eastAsia="Calibri" w:cstheme="minorHAnsi"/>
        </w:rPr>
      </w:pPr>
    </w:p>
    <w:p w14:paraId="18AB14C7" w14:textId="77777777" w:rsidR="00DD0F63" w:rsidRDefault="00DD0F63" w:rsidP="00DD0F63">
      <w:pPr>
        <w:spacing w:after="200" w:line="276" w:lineRule="auto"/>
        <w:jc w:val="center"/>
        <w:rPr>
          <w:rFonts w:eastAsia="Calibri" w:cstheme="minorHAnsi"/>
        </w:rPr>
      </w:pPr>
    </w:p>
    <w:p w14:paraId="7648E291" w14:textId="77777777" w:rsidR="00DD0F63" w:rsidRDefault="00DD0F63" w:rsidP="00DD0F63">
      <w:pPr>
        <w:spacing w:after="200" w:line="276" w:lineRule="auto"/>
        <w:jc w:val="center"/>
        <w:rPr>
          <w:rFonts w:eastAsia="Calibri" w:cstheme="minorHAnsi"/>
        </w:rPr>
      </w:pPr>
    </w:p>
    <w:p w14:paraId="6528D16E" w14:textId="77777777" w:rsidR="00DD0F63" w:rsidRDefault="00DD0F63" w:rsidP="00DD0F63">
      <w:pPr>
        <w:spacing w:after="200" w:line="276" w:lineRule="auto"/>
        <w:jc w:val="center"/>
        <w:rPr>
          <w:rFonts w:eastAsia="Calibri" w:cstheme="minorHAnsi"/>
        </w:rPr>
      </w:pPr>
    </w:p>
    <w:p w14:paraId="69F7536F" w14:textId="77777777" w:rsidR="00DD0F63" w:rsidRDefault="00DD0F63" w:rsidP="00DD0F63">
      <w:pPr>
        <w:spacing w:after="200" w:line="276" w:lineRule="auto"/>
        <w:jc w:val="center"/>
        <w:rPr>
          <w:rFonts w:eastAsia="Calibri" w:cstheme="minorHAnsi"/>
        </w:rPr>
      </w:pPr>
    </w:p>
    <w:p w14:paraId="5048A76F" w14:textId="6F7F42CB" w:rsidR="00DD0F63" w:rsidRDefault="00225FA6" w:rsidP="00DD0F63">
      <w:pPr>
        <w:spacing w:after="200" w:line="276" w:lineRule="auto"/>
        <w:jc w:val="center"/>
        <w:rPr>
          <w:rFonts w:eastAsia="Calibri" w:cstheme="minorHAnsi"/>
        </w:rPr>
      </w:pPr>
      <w:r>
        <w:rPr>
          <w:noProof/>
        </w:rPr>
        <w:lastRenderedPageBreak/>
        <mc:AlternateContent>
          <mc:Choice Requires="wps">
            <w:drawing>
              <wp:anchor distT="0" distB="0" distL="114300" distR="114300" simplePos="0" relativeHeight="252899328" behindDoc="0" locked="0" layoutInCell="1" allowOverlap="1" wp14:anchorId="1A41F09D" wp14:editId="00326ABF">
                <wp:simplePos x="0" y="0"/>
                <wp:positionH relativeFrom="margin">
                  <wp:align>center</wp:align>
                </wp:positionH>
                <wp:positionV relativeFrom="paragraph">
                  <wp:posOffset>39197</wp:posOffset>
                </wp:positionV>
                <wp:extent cx="6606540" cy="411480"/>
                <wp:effectExtent l="0" t="0" r="22860" b="26670"/>
                <wp:wrapNone/>
                <wp:docPr id="1398350371" name="Cuadro de texto 1"/>
                <wp:cNvGraphicFramePr/>
                <a:graphic xmlns:a="http://schemas.openxmlformats.org/drawingml/2006/main">
                  <a:graphicData uri="http://schemas.microsoft.com/office/word/2010/wordprocessingShape">
                    <wps:wsp>
                      <wps:cNvSpPr txBox="1"/>
                      <wps:spPr>
                        <a:xfrm>
                          <a:off x="0" y="0"/>
                          <a:ext cx="6606540" cy="411480"/>
                        </a:xfrm>
                        <a:prstGeom prst="rect">
                          <a:avLst/>
                        </a:prstGeom>
                        <a:solidFill>
                          <a:schemeClr val="lt1"/>
                        </a:solidFill>
                        <a:ln w="6350">
                          <a:solidFill>
                            <a:prstClr val="black"/>
                          </a:solidFill>
                        </a:ln>
                      </wps:spPr>
                      <wps:txbx>
                        <w:txbxContent>
                          <w:p w14:paraId="59F849E3" w14:textId="77777777" w:rsidR="00DD0F63" w:rsidRPr="00C25376" w:rsidRDefault="00DD0F63" w:rsidP="00DD0F63">
                            <w:pPr>
                              <w:jc w:val="center"/>
                              <w:rPr>
                                <w:rFonts w:cstheme="minorHAnsi"/>
                              </w:rPr>
                            </w:pPr>
                            <w:r w:rsidRPr="00C25376">
                              <w:rPr>
                                <w:rFonts w:cstheme="minorHAnsi"/>
                                <w:b/>
                              </w:rPr>
                              <w:t>RÚBRICA DE EVALUACIÓN</w:t>
                            </w:r>
                            <w:r>
                              <w:rPr>
                                <w:rFonts w:cstheme="minorHAnsi"/>
                                <w:b/>
                              </w:rPr>
                              <w:t xml:space="preserve"> – ENSAYO CRÍTICO FINAL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41F09D" id="_x0000_s1268" type="#_x0000_t202" style="position:absolute;left:0;text-align:left;margin-left:0;margin-top:3.1pt;width:520.2pt;height:32.4pt;z-index:2528993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" fillcolor="white [3201]" strokeweight=".5pt">
                <v:textbox>
                  <w:txbxContent>
                    <w:p w14:paraId="59F849E3" w14:textId="77777777" w:rsidR="00DD0F63" w:rsidRPr="00C25376" w:rsidRDefault="00DD0F63" w:rsidP="00DD0F63">
                      <w:pPr>
                        <w:jc w:val="center"/>
                        <w:rPr>
                          <w:rFonts w:cstheme="minorHAnsi"/>
                        </w:rPr>
                      </w:pPr>
                      <w:r w:rsidRPr="00C25376">
                        <w:rPr>
                          <w:rFonts w:cstheme="minorHAnsi"/>
                          <w:b/>
                        </w:rPr>
                        <w:t>RÚBRICA DE EVALUACIÓN</w:t>
                      </w:r>
                      <w:r>
                        <w:rPr>
                          <w:rFonts w:cstheme="minorHAnsi"/>
                          <w:b/>
                        </w:rPr>
                        <w:t xml:space="preserve"> – ENSAYO CRÍTICO FINAL</w:t>
                      </w:r>
                    </w:p>
                  </w:txbxContent>
                </v:textbox>
                <w10:wrap anchorx="margin"/>
              </v:shape>
            </w:pict>
          </mc:Fallback>
        </mc:AlternateContent>
      </w:r>
    </w:p>
    <w:p w14:paraId="0E4C2C90" w14:textId="07C6C4F9" w:rsidR="00DD0F63" w:rsidRDefault="00DD0F63" w:rsidP="00DD0F63">
      <w:pPr>
        <w:spacing w:after="200" w:line="276" w:lineRule="auto"/>
        <w:jc w:val="center"/>
        <w:rPr>
          <w:rFonts w:eastAsia="Calibri" w:cstheme="minorHAnsi"/>
        </w:rPr>
      </w:pPr>
    </w:p>
    <w:p w14:paraId="56AD16FA" w14:textId="77777777" w:rsidR="00DD0F63" w:rsidRPr="005D4672" w:rsidRDefault="00DD0F63" w:rsidP="00DD0F63">
      <w:pPr>
        <w:spacing w:after="200" w:line="276" w:lineRule="auto"/>
        <w:jc w:val="center"/>
        <w:rPr>
          <w:rFonts w:eastAsia="Calibri" w:cstheme="minorHAnsi"/>
          <w:color w:val="0070C0"/>
        </w:rPr>
      </w:pPr>
      <w:r w:rsidRPr="005D4672">
        <w:rPr>
          <w:rFonts w:eastAsia="Calibri" w:cstheme="minorHAnsi"/>
          <w:color w:val="0070C0"/>
        </w:rPr>
        <w:t>Un ensayo crítico es un escrito argumentativo preparado por los y las estudiantes. El adjetivo crítico tiene por finalidad resaltar que la redacción se caracteriza especialmente por presentar el punto de vista de la persona estudiante acerca del tema desarrollado. Se elabora desde la sesión 2 hasta la 15 de la siguiente forma: primer avance (sesión 6), segundo avance (sesión 10), tercer y último avance (sesión 15).</w:t>
      </w:r>
    </w:p>
    <w:p w14:paraId="49575E05" w14:textId="77777777" w:rsidR="00DD0F63" w:rsidRDefault="00DD0F63" w:rsidP="00DD0F63">
      <w:pPr>
        <w:spacing w:after="200" w:line="276" w:lineRule="auto"/>
        <w:jc w:val="center"/>
        <w:rPr>
          <w:rFonts w:eastAsia="Calibri" w:cstheme="minorHAnsi"/>
        </w:rPr>
      </w:pPr>
      <w:r>
        <w:rPr>
          <w:rFonts w:eastAsia="Calibri" w:cstheme="minorHAnsi"/>
          <w:noProof/>
        </w:rPr>
        <w:drawing>
          <wp:anchor distT="0" distB="0" distL="114300" distR="114300" simplePos="0" relativeHeight="252900352" behindDoc="0" locked="0" layoutInCell="1" allowOverlap="1" wp14:anchorId="36D1D31F" wp14:editId="2A9D1804">
            <wp:simplePos x="0" y="0"/>
            <wp:positionH relativeFrom="margin">
              <wp:align>center</wp:align>
            </wp:positionH>
            <wp:positionV relativeFrom="paragraph">
              <wp:posOffset>82232</wp:posOffset>
            </wp:positionV>
            <wp:extent cx="8253412" cy="5306829"/>
            <wp:effectExtent l="0" t="0" r="0" b="8255"/>
            <wp:wrapNone/>
            <wp:docPr id="1282964859"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369873" name="Imagen 5" descr="Tabla&#10;&#10;Descripción generada automáticamente"/>
                    <pic:cNvPicPr/>
                  </pic:nvPicPr>
                  <pic:blipFill>
                    <a:blip r:embed="rId576">
                      <a:extLst>
                        <a:ext uri="{28A0092B-C50C-407E-A947-70E740481C1C}">
                          <a14:useLocalDpi xmlns:a14="http://schemas.microsoft.com/office/drawing/2010/main" val="0"/>
                        </a:ext>
                      </a:extLst>
                    </a:blip>
                    <a:stretch>
                      <a:fillRect/>
                    </a:stretch>
                  </pic:blipFill>
                  <pic:spPr>
                    <a:xfrm>
                      <a:off x="0" y="0"/>
                      <a:ext cx="8253412" cy="5306829"/>
                    </a:xfrm>
                    <a:prstGeom prst="rect">
                      <a:avLst/>
                    </a:prstGeom>
                  </pic:spPr>
                </pic:pic>
              </a:graphicData>
            </a:graphic>
            <wp14:sizeRelH relativeFrom="margin">
              <wp14:pctWidth>0</wp14:pctWidth>
            </wp14:sizeRelH>
            <wp14:sizeRelV relativeFrom="margin">
              <wp14:pctHeight>0</wp14:pctHeight>
            </wp14:sizeRelV>
          </wp:anchor>
        </w:drawing>
      </w:r>
    </w:p>
    <w:p w14:paraId="37BEC08E" w14:textId="77777777" w:rsidR="00DD0F63" w:rsidRDefault="00DD0F63" w:rsidP="00DD0F63">
      <w:pPr>
        <w:spacing w:after="200" w:line="276" w:lineRule="auto"/>
        <w:jc w:val="center"/>
        <w:rPr>
          <w:rFonts w:eastAsia="Calibri" w:cstheme="minorHAnsi"/>
        </w:rPr>
      </w:pPr>
    </w:p>
    <w:p w14:paraId="2BEDE027" w14:textId="77777777" w:rsidR="00DD0F63" w:rsidRDefault="00DD0F63" w:rsidP="00DD0F63">
      <w:pPr>
        <w:spacing w:after="200" w:line="276" w:lineRule="auto"/>
        <w:jc w:val="center"/>
        <w:rPr>
          <w:rFonts w:eastAsia="Calibri" w:cstheme="minorHAnsi"/>
        </w:rPr>
      </w:pPr>
    </w:p>
    <w:p w14:paraId="5FBD0677" w14:textId="77777777" w:rsidR="00DD0F63" w:rsidRDefault="00DD0F63" w:rsidP="00DD0F63">
      <w:pPr>
        <w:spacing w:after="200" w:line="276" w:lineRule="auto"/>
        <w:jc w:val="center"/>
        <w:rPr>
          <w:rFonts w:eastAsia="Calibri" w:cstheme="minorHAnsi"/>
        </w:rPr>
      </w:pPr>
    </w:p>
    <w:p w14:paraId="71ADFC50" w14:textId="77777777" w:rsidR="00DD0F63" w:rsidRDefault="00DD0F63" w:rsidP="00DD0F63">
      <w:pPr>
        <w:spacing w:after="200" w:line="276" w:lineRule="auto"/>
        <w:jc w:val="center"/>
        <w:rPr>
          <w:rFonts w:eastAsia="Calibri" w:cstheme="minorHAnsi"/>
        </w:rPr>
      </w:pPr>
    </w:p>
    <w:p w14:paraId="3AB57748" w14:textId="77777777" w:rsidR="00DD0F63" w:rsidRDefault="00DD0F63" w:rsidP="00DD0F63">
      <w:pPr>
        <w:spacing w:after="200" w:line="276" w:lineRule="auto"/>
        <w:jc w:val="center"/>
        <w:rPr>
          <w:rFonts w:eastAsia="Calibri" w:cstheme="minorHAnsi"/>
        </w:rPr>
      </w:pPr>
    </w:p>
    <w:p w14:paraId="5EADE67D" w14:textId="77777777" w:rsidR="00DD0F63" w:rsidRDefault="00DD0F63" w:rsidP="00DD0F63">
      <w:pPr>
        <w:spacing w:after="200" w:line="276" w:lineRule="auto"/>
        <w:jc w:val="center"/>
        <w:rPr>
          <w:rFonts w:eastAsia="Calibri" w:cstheme="minorHAnsi"/>
        </w:rPr>
      </w:pPr>
    </w:p>
    <w:p w14:paraId="50702160" w14:textId="77777777" w:rsidR="00DD0F63" w:rsidRDefault="00DD0F63" w:rsidP="00DD0F63">
      <w:pPr>
        <w:spacing w:after="200" w:line="276" w:lineRule="auto"/>
        <w:jc w:val="center"/>
        <w:rPr>
          <w:rFonts w:eastAsia="Calibri" w:cstheme="minorHAnsi"/>
        </w:rPr>
      </w:pPr>
    </w:p>
    <w:p w14:paraId="78BD4327" w14:textId="77777777" w:rsidR="00DD0F63" w:rsidRDefault="00DD0F63" w:rsidP="00DD0F63">
      <w:pPr>
        <w:spacing w:after="200" w:line="276" w:lineRule="auto"/>
        <w:jc w:val="center"/>
        <w:rPr>
          <w:rFonts w:eastAsia="Calibri" w:cstheme="minorHAnsi"/>
        </w:rPr>
      </w:pPr>
    </w:p>
    <w:p w14:paraId="0FC622DC" w14:textId="77777777" w:rsidR="00DD0F63" w:rsidRDefault="00DD0F63" w:rsidP="00DD0F63">
      <w:pPr>
        <w:spacing w:after="200" w:line="276" w:lineRule="auto"/>
        <w:jc w:val="center"/>
        <w:rPr>
          <w:rFonts w:eastAsia="Calibri" w:cstheme="minorHAnsi"/>
        </w:rPr>
      </w:pPr>
    </w:p>
    <w:p w14:paraId="3F3416C8" w14:textId="77777777" w:rsidR="00DD0F63" w:rsidRDefault="00DD0F63" w:rsidP="00DD0F63">
      <w:pPr>
        <w:spacing w:after="200" w:line="276" w:lineRule="auto"/>
        <w:jc w:val="center"/>
        <w:rPr>
          <w:rFonts w:eastAsia="Calibri" w:cstheme="minorHAnsi"/>
        </w:rPr>
      </w:pPr>
    </w:p>
    <w:p w14:paraId="4C5ACDB9" w14:textId="77777777" w:rsidR="00DD0F63" w:rsidRDefault="00DD0F63" w:rsidP="00DD0F63">
      <w:pPr>
        <w:spacing w:after="200" w:line="276" w:lineRule="auto"/>
        <w:jc w:val="center"/>
        <w:rPr>
          <w:rFonts w:eastAsia="Calibri" w:cstheme="minorHAnsi"/>
        </w:rPr>
      </w:pPr>
    </w:p>
    <w:p w14:paraId="52930E98" w14:textId="77777777" w:rsidR="00DD0F63" w:rsidRDefault="00DD0F63" w:rsidP="00DD0F63">
      <w:pPr>
        <w:spacing w:after="200" w:line="276" w:lineRule="auto"/>
        <w:jc w:val="center"/>
        <w:rPr>
          <w:rFonts w:eastAsia="Calibri" w:cstheme="minorHAnsi"/>
        </w:rPr>
      </w:pPr>
    </w:p>
    <w:p w14:paraId="6EA3B5A2" w14:textId="77777777" w:rsidR="00DD0F63" w:rsidRDefault="00DD0F63" w:rsidP="00DD0F63">
      <w:pPr>
        <w:spacing w:after="200" w:line="276" w:lineRule="auto"/>
        <w:jc w:val="center"/>
        <w:rPr>
          <w:rFonts w:eastAsia="Calibri" w:cstheme="minorHAnsi"/>
        </w:rPr>
      </w:pPr>
    </w:p>
    <w:p w14:paraId="197BEE95" w14:textId="77777777" w:rsidR="00DD0F63" w:rsidRDefault="00DD0F63" w:rsidP="00DD0F63">
      <w:pPr>
        <w:spacing w:after="200" w:line="276" w:lineRule="auto"/>
        <w:jc w:val="center"/>
        <w:rPr>
          <w:rFonts w:eastAsia="Calibri" w:cstheme="minorHAnsi"/>
        </w:rPr>
      </w:pPr>
    </w:p>
    <w:p w14:paraId="427C7ECE" w14:textId="77777777" w:rsidR="00DD0F63" w:rsidRDefault="00DD0F63" w:rsidP="00DD0F63">
      <w:pPr>
        <w:spacing w:after="200" w:line="276" w:lineRule="auto"/>
        <w:jc w:val="center"/>
        <w:rPr>
          <w:rFonts w:eastAsia="Calibri" w:cstheme="minorHAnsi"/>
        </w:rPr>
      </w:pPr>
    </w:p>
    <w:p w14:paraId="3D1972E9" w14:textId="77777777" w:rsidR="00DD0F63" w:rsidRDefault="00DD0F63" w:rsidP="00DD0F63">
      <w:pPr>
        <w:spacing w:after="200" w:line="276" w:lineRule="auto"/>
        <w:jc w:val="center"/>
        <w:rPr>
          <w:rFonts w:eastAsia="Calibri" w:cstheme="minorHAnsi"/>
        </w:rPr>
      </w:pPr>
    </w:p>
    <w:p w14:paraId="145A38D4" w14:textId="77777777" w:rsidR="00DD0F63" w:rsidRDefault="00DD0F63" w:rsidP="00DD0F63">
      <w:pPr>
        <w:spacing w:after="200" w:line="276" w:lineRule="auto"/>
        <w:jc w:val="center"/>
        <w:rPr>
          <w:rFonts w:eastAsia="Calibri" w:cstheme="minorHAnsi"/>
        </w:rPr>
      </w:pPr>
      <w:r>
        <w:rPr>
          <w:rFonts w:eastAsia="Calibri" w:cstheme="minorHAnsi"/>
          <w:noProof/>
        </w:rPr>
        <w:drawing>
          <wp:inline distT="0" distB="0" distL="0" distR="0" wp14:anchorId="67AF1D6E" wp14:editId="4408E5D8">
            <wp:extent cx="8234362" cy="4018826"/>
            <wp:effectExtent l="0" t="0" r="0" b="1270"/>
            <wp:docPr id="385848349" name="Imagen 6" descr="Tabla,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395716" name="Imagen 6" descr="Tabla, Calendario&#10;&#10;Descripción generada automáticamente"/>
                    <pic:cNvPicPr/>
                  </pic:nvPicPr>
                  <pic:blipFill>
                    <a:blip r:embed="rId577">
                      <a:extLst>
                        <a:ext uri="{28A0092B-C50C-407E-A947-70E740481C1C}">
                          <a14:useLocalDpi xmlns:a14="http://schemas.microsoft.com/office/drawing/2010/main" val="0"/>
                        </a:ext>
                      </a:extLst>
                    </a:blip>
                    <a:stretch>
                      <a:fillRect/>
                    </a:stretch>
                  </pic:blipFill>
                  <pic:spPr>
                    <a:xfrm>
                      <a:off x="0" y="0"/>
                      <a:ext cx="8256285" cy="4029525"/>
                    </a:xfrm>
                    <a:prstGeom prst="rect">
                      <a:avLst/>
                    </a:prstGeom>
                  </pic:spPr>
                </pic:pic>
              </a:graphicData>
            </a:graphic>
          </wp:inline>
        </w:drawing>
      </w:r>
    </w:p>
    <w:p w14:paraId="6442CADF" w14:textId="77777777" w:rsidR="00DD0F63" w:rsidRDefault="00DD0F63" w:rsidP="00DD0F63">
      <w:pPr>
        <w:spacing w:after="200" w:line="276" w:lineRule="auto"/>
        <w:jc w:val="center"/>
        <w:rPr>
          <w:rFonts w:eastAsia="Calibri" w:cstheme="minorHAnsi"/>
        </w:rPr>
      </w:pPr>
    </w:p>
    <w:p w14:paraId="716DAD24" w14:textId="77777777" w:rsidR="00DD0F63" w:rsidRDefault="00DD0F63" w:rsidP="00DD0F63">
      <w:pPr>
        <w:spacing w:after="200" w:line="276" w:lineRule="auto"/>
        <w:jc w:val="center"/>
        <w:rPr>
          <w:rFonts w:eastAsia="Calibri" w:cstheme="minorHAnsi"/>
        </w:rPr>
      </w:pPr>
    </w:p>
    <w:p w14:paraId="17984002" w14:textId="77777777" w:rsidR="00DD0F63" w:rsidRDefault="00DD0F63" w:rsidP="00DD0F63">
      <w:pPr>
        <w:spacing w:after="200" w:line="276" w:lineRule="auto"/>
        <w:jc w:val="center"/>
        <w:rPr>
          <w:rFonts w:eastAsia="Calibri" w:cstheme="minorHAnsi"/>
        </w:rPr>
      </w:pPr>
    </w:p>
    <w:p w14:paraId="46DC3F01" w14:textId="77777777" w:rsidR="00DD0F63" w:rsidRDefault="00DD0F63" w:rsidP="00DD0F63">
      <w:pPr>
        <w:spacing w:after="200" w:line="276" w:lineRule="auto"/>
        <w:jc w:val="center"/>
        <w:rPr>
          <w:rFonts w:eastAsia="Calibri" w:cstheme="minorHAnsi"/>
        </w:rPr>
      </w:pPr>
    </w:p>
    <w:p w14:paraId="0A69DEA3" w14:textId="77777777" w:rsidR="00DD0F63" w:rsidRDefault="00DD0F63" w:rsidP="00DD0F63">
      <w:pPr>
        <w:spacing w:after="200" w:line="276" w:lineRule="auto"/>
        <w:jc w:val="center"/>
        <w:rPr>
          <w:rFonts w:eastAsia="Calibri" w:cstheme="minorHAnsi"/>
        </w:rPr>
      </w:pPr>
    </w:p>
    <w:p w14:paraId="2E6C2F40" w14:textId="77777777" w:rsidR="00DD0F63" w:rsidRDefault="00DD0F63" w:rsidP="00DD0F63">
      <w:pPr>
        <w:spacing w:after="200" w:line="276" w:lineRule="auto"/>
        <w:rPr>
          <w:rFonts w:eastAsia="Calibri" w:cstheme="minorHAnsi"/>
          <w:b/>
          <w:bCs/>
        </w:rPr>
        <w:sectPr w:rsidR="00DD0F63" w:rsidSect="00DD0F63">
          <w:pgSz w:w="15840" w:h="12240" w:orient="landscape"/>
          <w:pgMar w:top="720" w:right="720" w:bottom="720" w:left="720" w:header="709" w:footer="709" w:gutter="0"/>
          <w:cols w:space="708"/>
          <w:docGrid w:linePitch="360"/>
        </w:sectPr>
      </w:pPr>
      <w:r>
        <w:rPr>
          <w:rFonts w:eastAsia="Calibri" w:cstheme="minorHAnsi"/>
          <w:b/>
          <w:bCs/>
        </w:rPr>
        <w:br w:type="page"/>
      </w:r>
    </w:p>
    <w:p w14:paraId="075D66B9" w14:textId="77777777" w:rsidR="00DD0F63" w:rsidRDefault="00DD0F63" w:rsidP="00DD0F63">
      <w:pPr>
        <w:spacing w:after="200" w:line="276" w:lineRule="auto"/>
        <w:rPr>
          <w:rFonts w:eastAsia="Calibri" w:cstheme="minorHAnsi"/>
          <w:b/>
          <w:bCs/>
        </w:rPr>
      </w:pPr>
      <w:r w:rsidRPr="003D4CD5">
        <w:rPr>
          <w:rFonts w:eastAsia="Calibri" w:cstheme="minorHAnsi"/>
          <w:b/>
          <w:bCs/>
        </w:rPr>
        <w:lastRenderedPageBreak/>
        <w:t>XI. Bibliografía</w:t>
      </w:r>
      <w:r>
        <w:rPr>
          <w:rFonts w:eastAsia="Calibri" w:cstheme="minorHAnsi"/>
          <w:b/>
          <w:bCs/>
        </w:rPr>
        <w:t xml:space="preserve"> obligatoria</w:t>
      </w:r>
    </w:p>
    <w:p w14:paraId="253A6ABA" w14:textId="77777777" w:rsidR="00DD0F63" w:rsidRDefault="00DD0F63" w:rsidP="00DD0F63">
      <w:pPr>
        <w:spacing w:after="200" w:line="276" w:lineRule="auto"/>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4D1D18CB"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Althaus-Reid, Marcella María. “La teoría queer y la teología de la liberación. La irrupción del sujeto sexual en la teología”. </w:t>
      </w:r>
      <w:r w:rsidRPr="00BC2DB5">
        <w:rPr>
          <w:rFonts w:eastAsia="Calibri" w:cstheme="minorHAnsi"/>
          <w:i/>
          <w:lang w:val="es-ES"/>
        </w:rPr>
        <w:t>Concilium 324</w:t>
      </w:r>
      <w:r w:rsidRPr="00BC2DB5">
        <w:rPr>
          <w:rFonts w:eastAsia="Calibri" w:cstheme="minorHAnsi"/>
          <w:lang w:val="es-ES"/>
        </w:rPr>
        <w:t xml:space="preserve"> (2008): pp. 109-124. </w:t>
      </w:r>
    </w:p>
    <w:p w14:paraId="704CF890" w14:textId="77777777" w:rsidR="00DD0F63" w:rsidRPr="00BC2DB5" w:rsidRDefault="00DD0F63" w:rsidP="00DD0F63">
      <w:pPr>
        <w:ind w:left="709" w:hanging="709"/>
        <w:jc w:val="both"/>
        <w:rPr>
          <w:rFonts w:eastAsia="Calibri" w:cstheme="minorHAnsi"/>
        </w:rPr>
      </w:pPr>
      <w:r w:rsidRPr="00BC2DB5">
        <w:rPr>
          <w:rFonts w:eastAsia="Calibri" w:cstheme="minorHAnsi"/>
          <w:lang w:val="es-ES"/>
        </w:rPr>
        <w:t xml:space="preserve">Aquino, María Pilar. “Teología feminista intercultural”. En </w:t>
      </w:r>
      <w:r w:rsidRPr="00BC2DB5">
        <w:rPr>
          <w:rFonts w:eastAsia="Calibri" w:cstheme="minorHAnsi"/>
          <w:i/>
          <w:lang w:val="es-ES"/>
        </w:rPr>
        <w:t>Teología feminista intercultural: exploraciones latinas para un mundo justo</w:t>
      </w:r>
      <w:r w:rsidRPr="00BC2DB5">
        <w:rPr>
          <w:rFonts w:eastAsia="Calibri" w:cstheme="minorHAnsi"/>
          <w:lang w:val="es-ES"/>
        </w:rPr>
        <w:t>, editado por María Pilar Aquino, María José Rosado Nunes y Clara Luz Ajo, 43-66. México: DABAR, 2008. (</w:t>
      </w:r>
      <w:r w:rsidRPr="00E6051E">
        <w:rPr>
          <w:rFonts w:eastAsia="Calibri" w:cstheme="minorHAnsi"/>
          <w:color w:val="0070C0"/>
          <w:lang w:val="es-ES"/>
        </w:rPr>
        <w:t xml:space="preserve">clásico, </w:t>
      </w:r>
      <w:r w:rsidRPr="00BC2DB5">
        <w:rPr>
          <w:rFonts w:eastAsia="Calibri" w:cstheme="minorHAnsi"/>
        </w:rPr>
        <w:t>última edición)</w:t>
      </w:r>
    </w:p>
    <w:p w14:paraId="53E89DD4" w14:textId="77777777" w:rsidR="00DD0F63" w:rsidRPr="00BC2DB5" w:rsidRDefault="00DD0F63" w:rsidP="00DD0F63">
      <w:pPr>
        <w:ind w:left="709" w:hanging="709"/>
        <w:jc w:val="both"/>
        <w:rPr>
          <w:rFonts w:eastAsia="Calibri" w:cstheme="minorHAnsi"/>
          <w:lang w:val="es-ES"/>
        </w:rPr>
      </w:pPr>
      <w:proofErr w:type="spellStart"/>
      <w:r w:rsidRPr="00BC2DB5">
        <w:rPr>
          <w:rFonts w:eastAsia="Calibri" w:cstheme="minorHAnsi"/>
          <w:lang w:val="es-ES"/>
        </w:rPr>
        <w:t>Balasundaram</w:t>
      </w:r>
      <w:proofErr w:type="spellEnd"/>
      <w:r w:rsidRPr="00BC2DB5">
        <w:rPr>
          <w:rFonts w:eastAsia="Calibri" w:cstheme="minorHAnsi"/>
          <w:lang w:val="es-ES"/>
        </w:rPr>
        <w:t xml:space="preserve">, </w:t>
      </w:r>
      <w:proofErr w:type="spellStart"/>
      <w:r w:rsidRPr="00BC2DB5">
        <w:rPr>
          <w:rFonts w:eastAsia="Calibri" w:cstheme="minorHAnsi"/>
          <w:lang w:val="es-ES"/>
        </w:rPr>
        <w:t>Franklyn</w:t>
      </w:r>
      <w:proofErr w:type="spellEnd"/>
      <w:r w:rsidRPr="00BC2DB5">
        <w:rPr>
          <w:rFonts w:eastAsia="Calibri" w:cstheme="minorHAnsi"/>
          <w:lang w:val="es-ES"/>
        </w:rPr>
        <w:t xml:space="preserve"> J. </w:t>
      </w:r>
      <w:r w:rsidRPr="00BC2DB5">
        <w:rPr>
          <w:rFonts w:eastAsia="Calibri" w:cstheme="minorHAnsi"/>
          <w:i/>
          <w:lang w:val="es-ES"/>
        </w:rPr>
        <w:t>Teología cristiana asiática contemporánea.</w:t>
      </w:r>
      <w:r w:rsidRPr="00BC2DB5">
        <w:rPr>
          <w:rFonts w:eastAsia="Calibri" w:cstheme="minorHAnsi"/>
          <w:lang w:val="es-ES"/>
        </w:rPr>
        <w:t xml:space="preserve"> Estella: Editorial Verbo Divino, 1999. (</w:t>
      </w:r>
      <w:r w:rsidRPr="00E6051E">
        <w:rPr>
          <w:rFonts w:eastAsia="Calibri" w:cstheme="minorHAnsi"/>
          <w:color w:val="0070C0"/>
          <w:lang w:val="es-ES"/>
        </w:rPr>
        <w:t xml:space="preserve">clásico, </w:t>
      </w:r>
      <w:r w:rsidRPr="00BC2DB5">
        <w:rPr>
          <w:rFonts w:eastAsia="Calibri" w:cstheme="minorHAnsi"/>
        </w:rPr>
        <w:t>última edición)</w:t>
      </w:r>
    </w:p>
    <w:p w14:paraId="1DFBAF0D" w14:textId="77777777" w:rsidR="00DD0F63" w:rsidRPr="00BC2DB5" w:rsidRDefault="00DD0F63" w:rsidP="00DD0F63">
      <w:pPr>
        <w:ind w:left="709" w:hanging="709"/>
        <w:jc w:val="both"/>
        <w:rPr>
          <w:rFonts w:eastAsia="Calibri" w:cstheme="minorHAnsi"/>
          <w:lang w:val="es-ES"/>
        </w:rPr>
      </w:pPr>
      <w:r w:rsidRPr="00BC2DB5">
        <w:rPr>
          <w:rFonts w:cstheme="minorHAnsi"/>
        </w:rPr>
        <w:t xml:space="preserve">Cardoso Pereira, Nancy. “El cuerpo bajo sospecha: Violencia sexista en el libro de los Números”. </w:t>
      </w:r>
      <w:r w:rsidRPr="00BC2DB5">
        <w:rPr>
          <w:rFonts w:cstheme="minorHAnsi"/>
          <w:i/>
        </w:rPr>
        <w:t xml:space="preserve">RIBLA </w:t>
      </w:r>
      <w:r w:rsidRPr="00BC2DB5">
        <w:rPr>
          <w:rFonts w:cstheme="minorHAnsi"/>
        </w:rPr>
        <w:t>41, (2002/1): pp. 7-16.</w:t>
      </w:r>
    </w:p>
    <w:p w14:paraId="5B7741D0"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Castillo, David. “¡Ya no sube el cortador contra nosotros! Interpretar la Biblia con conciencia ecológica”. </w:t>
      </w:r>
      <w:r w:rsidRPr="00BC2DB5">
        <w:rPr>
          <w:rFonts w:eastAsia="Calibri" w:cstheme="minorHAnsi"/>
          <w:i/>
          <w:lang w:val="es-ES"/>
        </w:rPr>
        <w:t>RIBLA</w:t>
      </w:r>
      <w:r w:rsidRPr="00BC2DB5">
        <w:rPr>
          <w:rFonts w:eastAsia="Calibri" w:cstheme="minorHAnsi"/>
          <w:lang w:val="es-ES"/>
        </w:rPr>
        <w:t xml:space="preserve"> 80, (2019/2): pp. 39-58. </w:t>
      </w:r>
    </w:p>
    <w:p w14:paraId="0924BC55"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Chipana Quispe, Sofía. “La Biblia en los procesos andinos de </w:t>
      </w:r>
      <w:proofErr w:type="spellStart"/>
      <w:r w:rsidRPr="00BC2DB5">
        <w:rPr>
          <w:rFonts w:eastAsia="Calibri" w:cstheme="minorHAnsi"/>
          <w:lang w:val="es-ES"/>
        </w:rPr>
        <w:t>descolonialización</w:t>
      </w:r>
      <w:proofErr w:type="spellEnd"/>
      <w:r w:rsidRPr="00BC2DB5">
        <w:rPr>
          <w:rFonts w:eastAsia="Calibri" w:cstheme="minorHAnsi"/>
          <w:lang w:val="es-ES"/>
        </w:rPr>
        <w:t xml:space="preserve"> e interculturalidad”. </w:t>
      </w:r>
      <w:r w:rsidRPr="00BC2DB5">
        <w:rPr>
          <w:rFonts w:eastAsia="Calibri" w:cstheme="minorHAnsi"/>
          <w:i/>
          <w:lang w:val="es-ES"/>
        </w:rPr>
        <w:t xml:space="preserve">Concilium </w:t>
      </w:r>
      <w:r w:rsidRPr="00BC2DB5">
        <w:rPr>
          <w:rFonts w:eastAsia="Calibri" w:cstheme="minorHAnsi"/>
          <w:lang w:val="es-ES"/>
        </w:rPr>
        <w:t xml:space="preserve">382, (2019): pp. 521-533. </w:t>
      </w:r>
    </w:p>
    <w:p w14:paraId="6159AE57" w14:textId="77777777" w:rsidR="00DD0F63" w:rsidRPr="00BC2DB5" w:rsidRDefault="00DD0F63" w:rsidP="00DD0F63">
      <w:pPr>
        <w:ind w:left="709" w:hanging="709"/>
        <w:jc w:val="both"/>
        <w:rPr>
          <w:rFonts w:eastAsia="Calibri" w:cstheme="minorHAnsi"/>
          <w:lang w:val="es-ES"/>
        </w:rPr>
      </w:pPr>
      <w:proofErr w:type="spellStart"/>
      <w:r w:rsidRPr="00BC2DB5">
        <w:rPr>
          <w:rFonts w:eastAsia="Calibri" w:cstheme="minorHAnsi"/>
          <w:lang w:val="es-ES"/>
        </w:rPr>
        <w:t>Cone</w:t>
      </w:r>
      <w:proofErr w:type="spellEnd"/>
      <w:r w:rsidRPr="00BC2DB5">
        <w:rPr>
          <w:rFonts w:eastAsia="Calibri" w:cstheme="minorHAnsi"/>
          <w:lang w:val="es-ES"/>
        </w:rPr>
        <w:t xml:space="preserve">, James. “Teología negra”. </w:t>
      </w:r>
      <w:r w:rsidRPr="00BC2DB5">
        <w:rPr>
          <w:rFonts w:eastAsia="Calibri" w:cstheme="minorHAnsi"/>
          <w:i/>
          <w:lang w:val="es-ES"/>
        </w:rPr>
        <w:t xml:space="preserve">Selecciones de teología </w:t>
      </w:r>
      <w:r w:rsidRPr="00BC2DB5">
        <w:rPr>
          <w:rFonts w:eastAsia="Calibri" w:cstheme="minorHAnsi"/>
          <w:lang w:val="es-ES"/>
        </w:rPr>
        <w:t>14, (1975): pp. 251-256.</w:t>
      </w:r>
    </w:p>
    <w:p w14:paraId="488238EA"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Mana, </w:t>
      </w:r>
      <w:proofErr w:type="spellStart"/>
      <w:r w:rsidRPr="00BC2DB5">
        <w:rPr>
          <w:rFonts w:eastAsia="Calibri" w:cstheme="minorHAnsi"/>
          <w:lang w:val="es-ES"/>
        </w:rPr>
        <w:t>Kä</w:t>
      </w:r>
      <w:proofErr w:type="spellEnd"/>
      <w:r w:rsidRPr="00BC2DB5">
        <w:rPr>
          <w:rFonts w:eastAsia="Calibri" w:cstheme="minorHAnsi"/>
          <w:lang w:val="es-ES"/>
        </w:rPr>
        <w:t xml:space="preserve">. </w:t>
      </w:r>
      <w:r w:rsidRPr="00BC2DB5">
        <w:rPr>
          <w:rFonts w:eastAsia="Calibri" w:cstheme="minorHAnsi"/>
          <w:i/>
          <w:lang w:val="es-ES"/>
        </w:rPr>
        <w:t xml:space="preserve">Teología africana para tiempos de crisis: cristianismo y reconstrucción de África. </w:t>
      </w:r>
      <w:r w:rsidRPr="00BC2DB5">
        <w:rPr>
          <w:rFonts w:eastAsia="Calibri" w:cstheme="minorHAnsi"/>
          <w:lang w:val="es-ES"/>
        </w:rPr>
        <w:t>Traducción de Miguel Montes. Estella: Verbo Divino, 2000. (</w:t>
      </w:r>
      <w:r w:rsidRPr="00E6051E">
        <w:rPr>
          <w:rFonts w:eastAsia="Calibri" w:cstheme="minorHAnsi"/>
          <w:color w:val="0070C0"/>
          <w:lang w:val="es-ES"/>
        </w:rPr>
        <w:t xml:space="preserve">clásico, </w:t>
      </w:r>
      <w:r w:rsidRPr="00BC2DB5">
        <w:rPr>
          <w:rFonts w:eastAsia="Calibri" w:cstheme="minorHAnsi"/>
        </w:rPr>
        <w:t>última edición)</w:t>
      </w:r>
    </w:p>
    <w:p w14:paraId="46CE45C5"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Mena López, Maricel. “Raíces afro-asiáticas en el mundo bíblico. Desafíos para la exégesis y hermenéutica latinoamericana”. </w:t>
      </w:r>
      <w:r w:rsidRPr="00BC2DB5">
        <w:rPr>
          <w:rFonts w:eastAsia="Calibri" w:cstheme="minorHAnsi"/>
          <w:i/>
          <w:lang w:val="es-ES"/>
        </w:rPr>
        <w:t xml:space="preserve">RIBLA 54 </w:t>
      </w:r>
      <w:r w:rsidRPr="00BC2DB5">
        <w:rPr>
          <w:rFonts w:eastAsia="Calibri" w:cstheme="minorHAnsi"/>
          <w:lang w:val="es-ES"/>
        </w:rPr>
        <w:t xml:space="preserve">(2006): pp. 17-33. </w:t>
      </w:r>
    </w:p>
    <w:p w14:paraId="72576B75"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Miranda Hernández, Miguel Ángel. </w:t>
      </w:r>
      <w:r w:rsidRPr="00BC2DB5">
        <w:rPr>
          <w:rFonts w:eastAsia="Calibri" w:cstheme="minorHAnsi"/>
          <w:i/>
          <w:lang w:val="es-ES"/>
        </w:rPr>
        <w:t xml:space="preserve">Los pobres en los escritos de Gustavo Gutiérrez: Alteridad excluida reveladora de Dios. </w:t>
      </w:r>
      <w:r w:rsidRPr="00BC2DB5">
        <w:rPr>
          <w:rFonts w:eastAsia="Calibri" w:cstheme="minorHAnsi"/>
          <w:lang w:val="es-ES"/>
        </w:rPr>
        <w:t>Cochabamba: Verbo Divino, 2005. (</w:t>
      </w:r>
      <w:r w:rsidRPr="00E6051E">
        <w:rPr>
          <w:rFonts w:eastAsia="Calibri" w:cstheme="minorHAnsi"/>
          <w:color w:val="0070C0"/>
          <w:lang w:val="es-ES"/>
        </w:rPr>
        <w:t xml:space="preserve">clásico, </w:t>
      </w:r>
      <w:r w:rsidRPr="00BC2DB5">
        <w:rPr>
          <w:rFonts w:eastAsia="Calibri" w:cstheme="minorHAnsi"/>
        </w:rPr>
        <w:t>última edición)</w:t>
      </w:r>
      <w:r w:rsidRPr="00BC2DB5">
        <w:rPr>
          <w:rFonts w:eastAsia="Calibri" w:cstheme="minorHAnsi"/>
          <w:lang w:val="es-ES"/>
        </w:rPr>
        <w:t xml:space="preserve"> </w:t>
      </w:r>
    </w:p>
    <w:p w14:paraId="1EC25FFE" w14:textId="77777777" w:rsidR="00DD0F63" w:rsidRPr="00BC2DB5" w:rsidRDefault="00DD0F63" w:rsidP="00DD0F63">
      <w:pPr>
        <w:ind w:left="709" w:hanging="709"/>
        <w:jc w:val="both"/>
        <w:rPr>
          <w:rFonts w:eastAsia="Calibri" w:cstheme="minorHAnsi"/>
          <w:lang w:val="es-ES"/>
        </w:rPr>
      </w:pPr>
      <w:proofErr w:type="spellStart"/>
      <w:r w:rsidRPr="00BC2DB5">
        <w:rPr>
          <w:rFonts w:eastAsia="Calibri" w:cstheme="minorHAnsi"/>
          <w:lang w:val="es-ES"/>
        </w:rPr>
        <w:t>Phan</w:t>
      </w:r>
      <w:proofErr w:type="spellEnd"/>
      <w:r w:rsidRPr="00BC2DB5">
        <w:rPr>
          <w:rFonts w:eastAsia="Calibri" w:cstheme="minorHAnsi"/>
          <w:lang w:val="es-ES"/>
        </w:rPr>
        <w:t xml:space="preserve"> C., Peter. “Los teólogos y el magisterio episcopal. Ministerio que es aprendizaje: una perspectiva asiática”. </w:t>
      </w:r>
      <w:r w:rsidRPr="00BC2DB5">
        <w:rPr>
          <w:rFonts w:eastAsia="Calibri" w:cstheme="minorHAnsi"/>
          <w:i/>
          <w:lang w:val="es-ES"/>
        </w:rPr>
        <w:t xml:space="preserve">Concilium 345 </w:t>
      </w:r>
      <w:r w:rsidRPr="00BC2DB5">
        <w:rPr>
          <w:rFonts w:eastAsia="Calibri" w:cstheme="minorHAnsi"/>
          <w:lang w:val="es-ES"/>
        </w:rPr>
        <w:t>(2012): pp. 91-106.</w:t>
      </w:r>
    </w:p>
    <w:p w14:paraId="21E949C0" w14:textId="77777777" w:rsidR="00DD0F63" w:rsidRPr="00BC2DB5" w:rsidRDefault="00DD0F63" w:rsidP="00DD0F63">
      <w:pPr>
        <w:ind w:left="709" w:hanging="709"/>
        <w:jc w:val="both"/>
        <w:rPr>
          <w:rFonts w:eastAsia="Calibri" w:cstheme="minorHAnsi"/>
          <w:lang w:val="es-ES"/>
        </w:rPr>
      </w:pPr>
      <w:r w:rsidRPr="00BC2DB5">
        <w:rPr>
          <w:rFonts w:eastAsia="Calibri" w:cstheme="minorHAnsi"/>
          <w:lang w:val="es-ES"/>
        </w:rPr>
        <w:t xml:space="preserve">Rosado-Nunes, María José. “Nuevos paradigmas en el pensamiento teológico feminista. El anhelo por un mundo justo”. En </w:t>
      </w:r>
      <w:r w:rsidRPr="00BC2DB5">
        <w:rPr>
          <w:rFonts w:eastAsia="Calibri" w:cstheme="minorHAnsi"/>
          <w:i/>
          <w:lang w:val="es-ES"/>
        </w:rPr>
        <w:t>Teología feminista intercultural: exploraciones latinas para un mundo justo</w:t>
      </w:r>
      <w:r w:rsidRPr="00BC2DB5">
        <w:rPr>
          <w:rFonts w:eastAsia="Calibri" w:cstheme="minorHAnsi"/>
          <w:lang w:val="es-ES"/>
        </w:rPr>
        <w:t>, editado por María Pilar Aquino, María José Rosado Nunes y Clara Luz Ajo, 33-41. México: DABAR, 2008. (</w:t>
      </w:r>
      <w:r w:rsidRPr="00E6051E">
        <w:rPr>
          <w:rFonts w:eastAsia="Calibri" w:cstheme="minorHAnsi"/>
          <w:color w:val="0070C0"/>
          <w:lang w:val="es-ES"/>
        </w:rPr>
        <w:t xml:space="preserve">clásico, </w:t>
      </w:r>
      <w:r w:rsidRPr="00BC2DB5">
        <w:rPr>
          <w:rFonts w:eastAsia="Calibri" w:cstheme="minorHAnsi"/>
        </w:rPr>
        <w:t>última edición)</w:t>
      </w:r>
    </w:p>
    <w:p w14:paraId="0DBF0041" w14:textId="77777777" w:rsidR="00DD0F63" w:rsidRPr="00BC2DB5" w:rsidRDefault="00DD0F63" w:rsidP="00DD0F63">
      <w:pPr>
        <w:ind w:left="709" w:hanging="709"/>
        <w:jc w:val="both"/>
        <w:rPr>
          <w:rFonts w:eastAsia="Calibri" w:cstheme="minorHAnsi"/>
          <w:lang w:val="es-ES"/>
        </w:rPr>
      </w:pPr>
      <w:proofErr w:type="spellStart"/>
      <w:r w:rsidRPr="00BC2DB5">
        <w:rPr>
          <w:rFonts w:eastAsia="Calibri" w:cstheme="minorHAnsi"/>
          <w:lang w:val="es-ES"/>
        </w:rPr>
        <w:t>Shüssler</w:t>
      </w:r>
      <w:proofErr w:type="spellEnd"/>
      <w:r w:rsidRPr="00BC2DB5">
        <w:rPr>
          <w:rFonts w:eastAsia="Calibri" w:cstheme="minorHAnsi"/>
          <w:lang w:val="es-ES"/>
        </w:rPr>
        <w:t xml:space="preserve"> </w:t>
      </w:r>
      <w:proofErr w:type="spellStart"/>
      <w:r w:rsidRPr="00BC2DB5">
        <w:rPr>
          <w:rFonts w:eastAsia="Calibri" w:cstheme="minorHAnsi"/>
          <w:lang w:val="es-ES"/>
        </w:rPr>
        <w:t>Fiorenza</w:t>
      </w:r>
      <w:proofErr w:type="spellEnd"/>
      <w:r w:rsidRPr="00BC2DB5">
        <w:rPr>
          <w:rFonts w:eastAsia="Calibri" w:cstheme="minorHAnsi"/>
          <w:lang w:val="es-ES"/>
        </w:rPr>
        <w:t xml:space="preserve">, Elizabeth. </w:t>
      </w:r>
      <w:r w:rsidRPr="00BC2DB5">
        <w:rPr>
          <w:rFonts w:eastAsia="Calibri" w:cstheme="minorHAnsi"/>
          <w:i/>
          <w:lang w:val="es-ES"/>
        </w:rPr>
        <w:t xml:space="preserve">Poder, Diversidad y Religión. </w:t>
      </w:r>
      <w:r w:rsidRPr="00BC2DB5">
        <w:rPr>
          <w:rFonts w:eastAsia="Calibri" w:cstheme="minorHAnsi"/>
          <w:lang w:val="es-ES"/>
        </w:rPr>
        <w:t>San José: SEBILA, 2012. (</w:t>
      </w:r>
      <w:r w:rsidRPr="00E6051E">
        <w:rPr>
          <w:rFonts w:eastAsia="Calibri" w:cstheme="minorHAnsi"/>
          <w:color w:val="0070C0"/>
          <w:lang w:val="es-ES"/>
        </w:rPr>
        <w:t xml:space="preserve">clásico, </w:t>
      </w:r>
      <w:r w:rsidRPr="00BC2DB5">
        <w:rPr>
          <w:rFonts w:eastAsia="Calibri" w:cstheme="minorHAnsi"/>
        </w:rPr>
        <w:t>última edición)</w:t>
      </w:r>
      <w:r w:rsidRPr="00BC2DB5">
        <w:rPr>
          <w:rFonts w:eastAsia="Calibri" w:cstheme="minorHAnsi"/>
          <w:lang w:val="es-ES"/>
        </w:rPr>
        <w:t xml:space="preserve"> </w:t>
      </w:r>
    </w:p>
    <w:p w14:paraId="7379653F" w14:textId="77777777" w:rsidR="00DD0F63" w:rsidRDefault="00DD0F63" w:rsidP="00DD0F63">
      <w:pPr>
        <w:ind w:left="709" w:hanging="709"/>
        <w:jc w:val="both"/>
        <w:rPr>
          <w:rFonts w:eastAsia="Calibri" w:cstheme="minorHAnsi"/>
          <w:lang w:val="es-ES"/>
        </w:rPr>
      </w:pPr>
      <w:r w:rsidRPr="00BC2DB5">
        <w:rPr>
          <w:rFonts w:eastAsia="Calibri" w:cstheme="minorHAnsi"/>
          <w:lang w:val="es-ES"/>
        </w:rPr>
        <w:t xml:space="preserve">Sobrino, Jon. </w:t>
      </w:r>
      <w:r w:rsidRPr="00BC2DB5">
        <w:rPr>
          <w:rFonts w:eastAsia="Calibri" w:cstheme="minorHAnsi"/>
          <w:i/>
          <w:lang w:val="es-ES"/>
        </w:rPr>
        <w:t xml:space="preserve">Fuera de los pobres no hay salvación. Pequeños ensayos utópico-proféticos. </w:t>
      </w:r>
      <w:r w:rsidRPr="00BC2DB5">
        <w:rPr>
          <w:rFonts w:eastAsia="Calibri" w:cstheme="minorHAnsi"/>
          <w:lang w:val="es-ES"/>
        </w:rPr>
        <w:t>Madrid: Trotta, 2007. (</w:t>
      </w:r>
      <w:r w:rsidRPr="00E6051E">
        <w:rPr>
          <w:rFonts w:eastAsia="Calibri" w:cstheme="minorHAnsi"/>
          <w:color w:val="0070C0"/>
          <w:lang w:val="es-ES"/>
        </w:rPr>
        <w:t xml:space="preserve">clásico, </w:t>
      </w:r>
      <w:r w:rsidRPr="00BC2DB5">
        <w:rPr>
          <w:rFonts w:eastAsia="Calibri" w:cstheme="minorHAnsi"/>
        </w:rPr>
        <w:t>última edición)</w:t>
      </w:r>
      <w:r w:rsidRPr="00BC2DB5">
        <w:rPr>
          <w:rFonts w:eastAsia="Calibri" w:cstheme="minorHAnsi"/>
          <w:lang w:val="es-ES"/>
        </w:rPr>
        <w:t xml:space="preserve">  </w:t>
      </w:r>
    </w:p>
    <w:p w14:paraId="132E2577" w14:textId="77777777" w:rsidR="00DD0F63" w:rsidRDefault="00DD0F63" w:rsidP="00DD0F63">
      <w:pPr>
        <w:ind w:left="709" w:hanging="709"/>
        <w:jc w:val="both"/>
        <w:rPr>
          <w:rFonts w:eastAsia="Calibri" w:cstheme="minorHAnsi"/>
          <w:lang w:val="es-ES"/>
        </w:rPr>
      </w:pPr>
      <w:r w:rsidRPr="00BC2DB5">
        <w:rPr>
          <w:rFonts w:cstheme="minorHAnsi"/>
        </w:rPr>
        <w:t xml:space="preserve">Tamez, Elsa. “Pautas hermenéuticas para comprender Gálatas 3, 28 y I Co 14, 34”. </w:t>
      </w:r>
      <w:r w:rsidRPr="00BC2DB5">
        <w:rPr>
          <w:rFonts w:cstheme="minorHAnsi"/>
          <w:i/>
        </w:rPr>
        <w:t>RIBLA</w:t>
      </w:r>
      <w:r w:rsidRPr="00BC2DB5">
        <w:rPr>
          <w:rFonts w:cstheme="minorHAnsi"/>
        </w:rPr>
        <w:t xml:space="preserve"> 15, (1993): pp. 9-18. </w:t>
      </w:r>
    </w:p>
    <w:p w14:paraId="6C5FF835" w14:textId="77777777" w:rsidR="00DD0F63" w:rsidRPr="00A95C32" w:rsidRDefault="00DD0F63" w:rsidP="00DD0F63">
      <w:pPr>
        <w:ind w:left="709" w:hanging="709"/>
        <w:jc w:val="both"/>
        <w:rPr>
          <w:rFonts w:eastAsia="Calibri" w:cstheme="minorHAnsi"/>
          <w:lang w:val="es-ES"/>
        </w:rPr>
      </w:pPr>
      <w:proofErr w:type="spellStart"/>
      <w:r w:rsidRPr="00BC2DB5">
        <w:rPr>
          <w:rFonts w:eastAsia="Calibri" w:cstheme="minorHAnsi"/>
          <w:lang w:val="es-ES"/>
        </w:rPr>
        <w:lastRenderedPageBreak/>
        <w:t>Vasantha</w:t>
      </w:r>
      <w:proofErr w:type="spellEnd"/>
      <w:r w:rsidRPr="00BC2DB5">
        <w:rPr>
          <w:rFonts w:eastAsia="Calibri" w:cstheme="minorHAnsi"/>
          <w:lang w:val="es-ES"/>
        </w:rPr>
        <w:t xml:space="preserve"> Rao, </w:t>
      </w:r>
      <w:proofErr w:type="spellStart"/>
      <w:r w:rsidRPr="00BC2DB5">
        <w:rPr>
          <w:rFonts w:eastAsia="Calibri" w:cstheme="minorHAnsi"/>
          <w:lang w:val="es-ES"/>
        </w:rPr>
        <w:t>Chilkuri</w:t>
      </w:r>
      <w:proofErr w:type="spellEnd"/>
      <w:r w:rsidRPr="00BC2DB5">
        <w:rPr>
          <w:rFonts w:eastAsia="Calibri" w:cstheme="minorHAnsi"/>
          <w:lang w:val="es-ES"/>
        </w:rPr>
        <w:t xml:space="preserve">. “Relectura de la Biblia por los cristianos </w:t>
      </w:r>
      <w:proofErr w:type="spellStart"/>
      <w:r w:rsidRPr="00BC2DB5">
        <w:rPr>
          <w:rFonts w:eastAsia="Calibri" w:cstheme="minorHAnsi"/>
          <w:lang w:val="es-ES"/>
        </w:rPr>
        <w:t>dalit</w:t>
      </w:r>
      <w:proofErr w:type="spellEnd"/>
      <w:r w:rsidRPr="00BC2DB5">
        <w:rPr>
          <w:rFonts w:eastAsia="Calibri" w:cstheme="minorHAnsi"/>
          <w:lang w:val="es-ES"/>
        </w:rPr>
        <w:t xml:space="preserve"> en el contexto de la India”. </w:t>
      </w:r>
      <w:r w:rsidRPr="00BC2DB5">
        <w:rPr>
          <w:rFonts w:eastAsia="Calibri" w:cstheme="minorHAnsi"/>
          <w:i/>
          <w:lang w:val="es-ES"/>
        </w:rPr>
        <w:t>Vida y Pensamiento 31</w:t>
      </w:r>
      <w:r w:rsidRPr="00BC2DB5">
        <w:rPr>
          <w:rFonts w:eastAsia="Calibri" w:cstheme="minorHAnsi"/>
          <w:lang w:val="es-ES"/>
        </w:rPr>
        <w:t>, n.2 (2011): pp. 111-124.</w:t>
      </w:r>
    </w:p>
    <w:p w14:paraId="38C1E903" w14:textId="77777777" w:rsidR="00DD0F63" w:rsidRDefault="00DD0F63" w:rsidP="00DD0F63">
      <w:pPr>
        <w:spacing w:after="200" w:line="276" w:lineRule="auto"/>
        <w:rPr>
          <w:rFonts w:eastAsia="Calibri" w:cstheme="minorHAnsi"/>
          <w:b/>
          <w:bCs/>
        </w:rPr>
      </w:pPr>
    </w:p>
    <w:p w14:paraId="0214F754" w14:textId="77777777" w:rsidR="00DD0F63" w:rsidRDefault="00DD0F63" w:rsidP="00DD0F63">
      <w:pPr>
        <w:spacing w:after="200" w:line="276" w:lineRule="auto"/>
        <w:rPr>
          <w:rFonts w:eastAsia="Calibri" w:cstheme="minorHAnsi"/>
          <w:b/>
          <w:bCs/>
        </w:rPr>
      </w:pPr>
      <w:r w:rsidRPr="003D4CD5">
        <w:rPr>
          <w:rFonts w:eastAsia="Calibri" w:cstheme="minorHAnsi"/>
          <w:b/>
          <w:bCs/>
        </w:rPr>
        <w:t>XI</w:t>
      </w:r>
      <w:r>
        <w:rPr>
          <w:rFonts w:eastAsia="Calibri" w:cstheme="minorHAnsi"/>
          <w:b/>
          <w:bCs/>
        </w:rPr>
        <w:t>I</w:t>
      </w:r>
      <w:r w:rsidRPr="003D4CD5">
        <w:rPr>
          <w:rFonts w:eastAsia="Calibri" w:cstheme="minorHAnsi"/>
          <w:b/>
          <w:bCs/>
        </w:rPr>
        <w:t>. Bibliografía</w:t>
      </w:r>
      <w:r>
        <w:rPr>
          <w:rFonts w:eastAsia="Calibri" w:cstheme="minorHAnsi"/>
          <w:b/>
          <w:bCs/>
        </w:rPr>
        <w:t xml:space="preserve"> complementaria</w:t>
      </w:r>
    </w:p>
    <w:p w14:paraId="7960FFD1" w14:textId="77777777" w:rsidR="00DD0F63" w:rsidRDefault="00DD0F63" w:rsidP="00DD0F63">
      <w:pPr>
        <w:spacing w:after="200" w:line="276" w:lineRule="auto"/>
        <w:jc w:val="both"/>
        <w:rPr>
          <w:rFonts w:cs="Arial"/>
          <w:bCs/>
          <w:color w:val="000000" w:themeColor="text1"/>
        </w:rPr>
      </w:pPr>
      <w:r w:rsidRPr="001F0E04">
        <w:rPr>
          <w:rFonts w:cs="Arial"/>
          <w:b/>
          <w:color w:val="000000" w:themeColor="text1"/>
        </w:rPr>
        <w:t>Nota:</w:t>
      </w:r>
      <w:r w:rsidRPr="001F0E04">
        <w:rPr>
          <w:rFonts w:cs="Arial"/>
          <w:bCs/>
          <w:color w:val="000000" w:themeColor="text1"/>
        </w:rPr>
        <w:t xml:space="preserve"> Los materiales que no cuentan con enlace de acceso son digitalizaciones en formato </w:t>
      </w:r>
      <w:proofErr w:type="spellStart"/>
      <w:r w:rsidRPr="001F0E04">
        <w:rPr>
          <w:rFonts w:cs="Arial"/>
          <w:bCs/>
          <w:color w:val="000000" w:themeColor="text1"/>
        </w:rPr>
        <w:t>pdf</w:t>
      </w:r>
      <w:proofErr w:type="spellEnd"/>
      <w:r w:rsidRPr="001F0E04">
        <w:rPr>
          <w:rFonts w:cs="Arial"/>
          <w:bCs/>
          <w:color w:val="000000" w:themeColor="text1"/>
        </w:rPr>
        <w:t xml:space="preserve"> de bibliografía física disponible en la Biblioteca de la UBL, los cuales se encuentran disponibles en </w:t>
      </w:r>
      <w:r>
        <w:rPr>
          <w:rFonts w:cs="Arial"/>
          <w:bCs/>
          <w:color w:val="000000" w:themeColor="text1"/>
        </w:rPr>
        <w:t>el</w:t>
      </w:r>
      <w:r w:rsidRPr="001F0E04">
        <w:rPr>
          <w:rFonts w:cs="Arial"/>
          <w:bCs/>
          <w:color w:val="000000" w:themeColor="text1"/>
        </w:rPr>
        <w:t xml:space="preserve"> aula virtual.</w:t>
      </w:r>
    </w:p>
    <w:p w14:paraId="1942FEE0" w14:textId="77777777" w:rsidR="00DD0F63" w:rsidRPr="002806C1" w:rsidRDefault="00DD0F63" w:rsidP="00DD0F63">
      <w:pPr>
        <w:ind w:left="720" w:hanging="720"/>
        <w:jc w:val="both"/>
        <w:rPr>
          <w:rFonts w:eastAsia="Calibri" w:cstheme="minorHAnsi"/>
          <w:lang w:val="pt-BR"/>
        </w:rPr>
      </w:pPr>
      <w:r w:rsidRPr="002806C1">
        <w:rPr>
          <w:rFonts w:eastAsia="Calibri" w:cstheme="minorHAnsi"/>
          <w:lang w:val="pt-BR"/>
        </w:rPr>
        <w:t xml:space="preserve">Boehler, Genilma. “La visibilización de los sujetos invisibles: el método queer para la Teología”. </w:t>
      </w:r>
      <w:r w:rsidRPr="002806C1">
        <w:rPr>
          <w:rFonts w:eastAsia="Calibri" w:cstheme="minorHAnsi"/>
          <w:i/>
          <w:lang w:val="pt-BR"/>
        </w:rPr>
        <w:t>Revista Pasos</w:t>
      </w:r>
      <w:r w:rsidRPr="002806C1">
        <w:rPr>
          <w:rFonts w:eastAsia="Calibri" w:cstheme="minorHAnsi"/>
          <w:lang w:val="pt-BR"/>
        </w:rPr>
        <w:t xml:space="preserve">, n.155 (2012): 2-9. Acceso el 18 de diciembre de 2020. </w:t>
      </w:r>
      <w:hyperlink r:id="rId578" w:history="1">
        <w:r w:rsidRPr="002806C1">
          <w:rPr>
            <w:rStyle w:val="Hipervnculo"/>
            <w:rFonts w:eastAsia="Calibri" w:cstheme="minorHAnsi"/>
            <w:lang w:val="pt-BR"/>
          </w:rPr>
          <w:t>https://irp.cdn-website.com/5be65b2b/files/uploaded/00155-Pasos.pdf</w:t>
        </w:r>
      </w:hyperlink>
      <w:r w:rsidRPr="002806C1">
        <w:rPr>
          <w:rFonts w:eastAsia="Calibri" w:cstheme="minorHAnsi"/>
          <w:lang w:val="pt-BR"/>
        </w:rPr>
        <w:t xml:space="preserve">    </w:t>
      </w:r>
    </w:p>
    <w:p w14:paraId="3A388ADA" w14:textId="77777777" w:rsidR="00DD0F63" w:rsidRPr="002806C1" w:rsidRDefault="00DD0F63" w:rsidP="00DD0F63">
      <w:pPr>
        <w:ind w:left="720" w:hanging="720"/>
        <w:jc w:val="both"/>
        <w:rPr>
          <w:rFonts w:eastAsia="Calibri" w:cstheme="minorHAnsi"/>
          <w:b/>
          <w:lang w:val="pt-BR"/>
        </w:rPr>
      </w:pPr>
      <w:r w:rsidRPr="002806C1">
        <w:rPr>
          <w:rFonts w:eastAsia="Calibri" w:cstheme="minorHAnsi"/>
          <w:lang w:val="pt-BR"/>
        </w:rPr>
        <w:t xml:space="preserve">Cone, James. </w:t>
      </w:r>
      <w:r w:rsidRPr="002806C1">
        <w:rPr>
          <w:rFonts w:eastAsia="Calibri" w:cstheme="minorHAnsi"/>
          <w:i/>
          <w:lang w:val="pt-BR"/>
        </w:rPr>
        <w:t xml:space="preserve">Teología negra de la liberación. </w:t>
      </w:r>
      <w:r w:rsidRPr="002806C1">
        <w:rPr>
          <w:rFonts w:eastAsia="Calibri" w:cstheme="minorHAnsi"/>
          <w:lang w:val="pt-BR"/>
        </w:rPr>
        <w:t>Buenos Aires: Ediciones Carlos Lohlé, 1973. (clásico</w:t>
      </w:r>
      <w:r>
        <w:rPr>
          <w:rFonts w:eastAsia="Calibri" w:cstheme="minorHAnsi"/>
          <w:lang w:val="pt-BR"/>
        </w:rPr>
        <w:t xml:space="preserve">, </w:t>
      </w:r>
      <w:r w:rsidRPr="00E43658">
        <w:rPr>
          <w:rFonts w:eastAsia="Calibri" w:cstheme="minorHAnsi"/>
          <w:color w:val="0070C0"/>
          <w:lang w:val="pt-BR"/>
        </w:rPr>
        <w:t>última edición</w:t>
      </w:r>
      <w:r w:rsidRPr="002806C1">
        <w:rPr>
          <w:rFonts w:eastAsia="Calibri" w:cstheme="minorHAnsi"/>
          <w:lang w:val="pt-BR"/>
        </w:rPr>
        <w:t>)</w:t>
      </w:r>
    </w:p>
    <w:p w14:paraId="26339EDE" w14:textId="77777777" w:rsidR="00DD0F63" w:rsidRPr="002806C1" w:rsidRDefault="00DD0F63" w:rsidP="00DD0F63">
      <w:pPr>
        <w:ind w:left="720" w:hanging="720"/>
        <w:jc w:val="both"/>
        <w:rPr>
          <w:rFonts w:eastAsia="Calibri" w:cstheme="minorHAnsi"/>
          <w:b/>
          <w:color w:val="FF0000"/>
          <w:lang w:val="es-419"/>
        </w:rPr>
      </w:pPr>
      <w:r w:rsidRPr="002806C1">
        <w:rPr>
          <w:rFonts w:eastAsia="Calibri" w:cstheme="minorHAnsi"/>
          <w:lang w:val="pt-BR"/>
        </w:rPr>
        <w:t xml:space="preserve">Costadoat, Jorge. “La </w:t>
      </w:r>
      <w:r w:rsidRPr="002806C1">
        <w:rPr>
          <w:rFonts w:eastAsia="Calibri" w:cstheme="minorHAnsi"/>
          <w:lang w:val="es-419"/>
        </w:rPr>
        <w:t>hermenéutica</w:t>
      </w:r>
      <w:r w:rsidRPr="002806C1">
        <w:rPr>
          <w:rFonts w:eastAsia="Calibri" w:cstheme="minorHAnsi"/>
          <w:lang w:val="pt-BR"/>
        </w:rPr>
        <w:t xml:space="preserve"> </w:t>
      </w:r>
      <w:r w:rsidRPr="002806C1">
        <w:rPr>
          <w:rFonts w:eastAsia="Calibri" w:cstheme="minorHAnsi"/>
          <w:lang w:val="es-419"/>
        </w:rPr>
        <w:t xml:space="preserve">en las teologías contextuales de la liberación”. </w:t>
      </w:r>
      <w:r w:rsidRPr="002806C1">
        <w:rPr>
          <w:rFonts w:eastAsia="Calibri" w:cstheme="minorHAnsi"/>
          <w:i/>
          <w:lang w:val="es-419"/>
        </w:rPr>
        <w:t xml:space="preserve">Teología y Vida </w:t>
      </w:r>
      <w:r w:rsidRPr="002806C1">
        <w:rPr>
          <w:rFonts w:eastAsia="Calibri" w:cstheme="minorHAnsi"/>
          <w:lang w:val="es-419"/>
        </w:rPr>
        <w:t>46, n. 1-2 (2005): 56-74. Acceso el 18 de diciembre de 2020.</w:t>
      </w:r>
      <w:r w:rsidRPr="002806C1">
        <w:rPr>
          <w:rFonts w:eastAsia="Calibri" w:cstheme="minorHAnsi"/>
          <w:color w:val="00B050"/>
          <w:lang w:val="es-419"/>
        </w:rPr>
        <w:t xml:space="preserve"> </w:t>
      </w:r>
      <w:hyperlink r:id="rId579" w:history="1">
        <w:r w:rsidRPr="002806C1">
          <w:rPr>
            <w:rStyle w:val="Hipervnculo"/>
            <w:rFonts w:eastAsia="Calibri" w:cstheme="minorHAnsi"/>
            <w:lang w:val="es-419"/>
          </w:rPr>
          <w:t>http://dx.doi.org/10.4067/S0049-34492005000100003</w:t>
        </w:r>
      </w:hyperlink>
      <w:r w:rsidRPr="002806C1">
        <w:rPr>
          <w:rFonts w:eastAsia="Calibri" w:cstheme="minorHAnsi"/>
          <w:color w:val="00B050"/>
          <w:lang w:val="es-419"/>
        </w:rPr>
        <w:t xml:space="preserve"> </w:t>
      </w:r>
    </w:p>
    <w:p w14:paraId="2562840A" w14:textId="77777777" w:rsidR="00DD0F63" w:rsidRPr="002806C1" w:rsidRDefault="00DD0F63" w:rsidP="00DD0F63">
      <w:pPr>
        <w:ind w:left="720" w:hanging="720"/>
        <w:jc w:val="both"/>
        <w:rPr>
          <w:rFonts w:eastAsia="Calibri" w:cstheme="minorHAnsi"/>
          <w:b/>
          <w:color w:val="FF0000"/>
          <w:lang w:val="es-419"/>
        </w:rPr>
      </w:pPr>
      <w:r w:rsidRPr="002806C1">
        <w:rPr>
          <w:rFonts w:eastAsia="Calibri" w:cstheme="minorHAnsi"/>
          <w:lang w:val="pt-BR"/>
        </w:rPr>
        <w:t xml:space="preserve">Krüger, René. “Teología bíblica contextual </w:t>
      </w:r>
      <w:r w:rsidRPr="002806C1">
        <w:rPr>
          <w:rFonts w:eastAsia="Calibri" w:cstheme="minorHAnsi"/>
          <w:lang w:val="es-419"/>
        </w:rPr>
        <w:t xml:space="preserve">en América Latina”. </w:t>
      </w:r>
      <w:r w:rsidRPr="002806C1">
        <w:rPr>
          <w:rFonts w:eastAsia="Calibri" w:cstheme="minorHAnsi"/>
          <w:i/>
          <w:lang w:val="es-419"/>
        </w:rPr>
        <w:t xml:space="preserve">Acta </w:t>
      </w:r>
      <w:proofErr w:type="spellStart"/>
      <w:r w:rsidRPr="002806C1">
        <w:rPr>
          <w:rFonts w:eastAsia="Calibri" w:cstheme="minorHAnsi"/>
          <w:i/>
          <w:lang w:val="es-419"/>
        </w:rPr>
        <w:t>Poetica</w:t>
      </w:r>
      <w:proofErr w:type="spellEnd"/>
      <w:r w:rsidRPr="002806C1">
        <w:rPr>
          <w:rFonts w:eastAsia="Calibri" w:cstheme="minorHAnsi"/>
          <w:i/>
          <w:lang w:val="es-419"/>
        </w:rPr>
        <w:t xml:space="preserve"> </w:t>
      </w:r>
      <w:r w:rsidRPr="002806C1">
        <w:rPr>
          <w:rFonts w:eastAsia="Calibri" w:cstheme="minorHAnsi"/>
          <w:lang w:val="es-419"/>
        </w:rPr>
        <w:t xml:space="preserve">31, n. 2 (2010): 185-207. Acceso el 18 de diciembre de 2020. </w:t>
      </w:r>
      <w:hyperlink r:id="rId580" w:history="1">
        <w:r w:rsidRPr="002806C1">
          <w:rPr>
            <w:rStyle w:val="Hipervnculo"/>
            <w:rFonts w:eastAsia="Calibri" w:cstheme="minorHAnsi"/>
            <w:lang w:val="es-419"/>
          </w:rPr>
          <w:t>http://www.scielo.org.mx/pdf/ap/v31n2/v31n2a8.pdf</w:t>
        </w:r>
      </w:hyperlink>
      <w:r w:rsidRPr="002806C1">
        <w:rPr>
          <w:rFonts w:eastAsia="Calibri" w:cstheme="minorHAnsi"/>
          <w:color w:val="00B050"/>
          <w:lang w:val="es-419"/>
        </w:rPr>
        <w:t xml:space="preserve"> </w:t>
      </w:r>
    </w:p>
    <w:p w14:paraId="4F7041DB" w14:textId="77777777" w:rsidR="00DD0F63" w:rsidRDefault="00DD0F63" w:rsidP="00DD0F63">
      <w:pPr>
        <w:ind w:left="720" w:hanging="720"/>
        <w:jc w:val="both"/>
        <w:rPr>
          <w:rFonts w:eastAsia="Calibri" w:cstheme="minorHAnsi"/>
          <w:b/>
          <w:color w:val="FF0000"/>
          <w:lang w:val="es-419"/>
        </w:rPr>
      </w:pPr>
      <w:r w:rsidRPr="002806C1">
        <w:rPr>
          <w:rFonts w:eastAsia="Calibri" w:cstheme="minorHAnsi"/>
          <w:lang w:val="pt-BR"/>
        </w:rPr>
        <w:t xml:space="preserve">Román-López Dollinger, Ángel Eduardo. “Perspectiva de género e ideologia: </w:t>
      </w:r>
      <w:r w:rsidRPr="002806C1">
        <w:rPr>
          <w:rFonts w:eastAsia="Calibri" w:cstheme="minorHAnsi"/>
          <w:lang w:val="es-419"/>
        </w:rPr>
        <w:t>Lecturas contextuales</w:t>
      </w:r>
      <w:r w:rsidRPr="002806C1">
        <w:rPr>
          <w:rFonts w:eastAsia="Calibri" w:cstheme="minorHAnsi"/>
          <w:lang w:val="pt-BR"/>
        </w:rPr>
        <w:t xml:space="preserve"> bíblicas </w:t>
      </w:r>
      <w:r w:rsidRPr="002806C1">
        <w:rPr>
          <w:rFonts w:eastAsia="Calibri" w:cstheme="minorHAnsi"/>
          <w:lang w:val="es-419"/>
        </w:rPr>
        <w:t xml:space="preserve">en clave de género”. </w:t>
      </w:r>
      <w:r w:rsidRPr="002806C1">
        <w:rPr>
          <w:rFonts w:eastAsia="Calibri" w:cstheme="minorHAnsi"/>
          <w:i/>
          <w:lang w:val="es-419"/>
        </w:rPr>
        <w:t xml:space="preserve">Vida y Pensamiento </w:t>
      </w:r>
      <w:r w:rsidRPr="002806C1">
        <w:rPr>
          <w:rFonts w:eastAsia="Calibri" w:cstheme="minorHAnsi"/>
          <w:lang w:val="es-419"/>
        </w:rPr>
        <w:t>38, n. 1 (2018): 109-132. Acceso el 18 de diciembre de 2020.</w:t>
      </w:r>
      <w:r w:rsidRPr="002806C1">
        <w:rPr>
          <w:rFonts w:eastAsia="Calibri" w:cstheme="minorHAnsi"/>
          <w:color w:val="00B050"/>
          <w:lang w:val="es-419"/>
        </w:rPr>
        <w:t xml:space="preserve"> </w:t>
      </w:r>
      <w:hyperlink r:id="rId581" w:history="1">
        <w:r w:rsidRPr="002806C1">
          <w:rPr>
            <w:rStyle w:val="Hipervnculo"/>
            <w:rFonts w:eastAsia="Calibri" w:cstheme="minorHAnsi"/>
            <w:lang w:val="es-419"/>
          </w:rPr>
          <w:t>http://revistas.ubl.ac.cr/index.php/vyp/article/view/49</w:t>
        </w:r>
      </w:hyperlink>
      <w:r w:rsidRPr="002806C1">
        <w:rPr>
          <w:rFonts w:eastAsia="Calibri" w:cstheme="minorHAnsi"/>
          <w:color w:val="00B050"/>
          <w:lang w:val="es-419"/>
        </w:rPr>
        <w:t xml:space="preserve"> </w:t>
      </w:r>
    </w:p>
    <w:p w14:paraId="209B60AD" w14:textId="77777777" w:rsidR="00DD0F63" w:rsidRPr="00B23E7D" w:rsidRDefault="00DD0F63" w:rsidP="00DD0F63">
      <w:pPr>
        <w:ind w:left="720" w:hanging="720"/>
        <w:jc w:val="both"/>
        <w:rPr>
          <w:rFonts w:eastAsia="Calibri" w:cstheme="minorHAnsi"/>
          <w:b/>
          <w:color w:val="FF0000"/>
          <w:lang w:val="es-419"/>
        </w:rPr>
      </w:pPr>
      <w:r w:rsidRPr="002806C1">
        <w:rPr>
          <w:rFonts w:eastAsia="Calibri" w:cstheme="minorHAnsi"/>
        </w:rPr>
        <w:t xml:space="preserve">Tamayo Acosta, Juan José. </w:t>
      </w:r>
      <w:r w:rsidRPr="002806C1">
        <w:rPr>
          <w:rFonts w:eastAsia="Calibri" w:cstheme="minorHAnsi"/>
          <w:i/>
        </w:rPr>
        <w:t xml:space="preserve">Teologías del sur: El giro descolonizador. </w:t>
      </w:r>
      <w:r w:rsidRPr="002806C1">
        <w:rPr>
          <w:rFonts w:eastAsia="Calibri" w:cstheme="minorHAnsi"/>
        </w:rPr>
        <w:t xml:space="preserve">Madrid: Editorial Trotta, 2017. </w:t>
      </w:r>
      <w:r w:rsidRPr="002806C1">
        <w:rPr>
          <w:rFonts w:eastAsia="Calibri" w:cstheme="minorHAnsi"/>
          <w:lang w:val="es-ES"/>
        </w:rPr>
        <w:t>(</w:t>
      </w:r>
      <w:r w:rsidRPr="00E43658">
        <w:rPr>
          <w:rFonts w:eastAsia="Calibri" w:cstheme="minorHAnsi"/>
          <w:color w:val="0070C0"/>
          <w:lang w:val="es-ES"/>
        </w:rPr>
        <w:t xml:space="preserve">clásico, </w:t>
      </w:r>
      <w:r w:rsidRPr="002806C1">
        <w:rPr>
          <w:rFonts w:eastAsia="Calibri" w:cstheme="minorHAnsi"/>
        </w:rPr>
        <w:t>última edición)</w:t>
      </w:r>
    </w:p>
    <w:p w14:paraId="4A91DC0F" w14:textId="77777777" w:rsidR="003315CC" w:rsidRDefault="003315CC" w:rsidP="007601EC">
      <w:pPr>
        <w:rPr>
          <w:sz w:val="24"/>
          <w:szCs w:val="24"/>
        </w:rPr>
      </w:pPr>
    </w:p>
    <w:p w14:paraId="0B72AE1F" w14:textId="77777777" w:rsidR="003315CC" w:rsidRDefault="003315CC" w:rsidP="007601EC">
      <w:pPr>
        <w:rPr>
          <w:sz w:val="24"/>
          <w:szCs w:val="24"/>
        </w:rPr>
      </w:pPr>
    </w:p>
    <w:p w14:paraId="7D6B55CD" w14:textId="77777777" w:rsidR="003315CC" w:rsidRDefault="003315CC" w:rsidP="007601EC">
      <w:pPr>
        <w:rPr>
          <w:sz w:val="24"/>
          <w:szCs w:val="24"/>
        </w:rPr>
      </w:pPr>
    </w:p>
    <w:p w14:paraId="1AAFA464" w14:textId="77777777" w:rsidR="003315CC" w:rsidRDefault="003315CC" w:rsidP="007601EC">
      <w:pPr>
        <w:rPr>
          <w:sz w:val="24"/>
          <w:szCs w:val="24"/>
        </w:rPr>
      </w:pPr>
    </w:p>
    <w:p w14:paraId="0E9A0BB5" w14:textId="77777777" w:rsidR="003315CC" w:rsidRDefault="003315CC" w:rsidP="007601EC">
      <w:pPr>
        <w:rPr>
          <w:sz w:val="24"/>
          <w:szCs w:val="24"/>
        </w:rPr>
      </w:pPr>
    </w:p>
    <w:p w14:paraId="4752DA38" w14:textId="77777777" w:rsidR="003315CC" w:rsidRDefault="003315CC" w:rsidP="007601EC">
      <w:pPr>
        <w:rPr>
          <w:sz w:val="24"/>
          <w:szCs w:val="24"/>
        </w:rPr>
      </w:pPr>
    </w:p>
    <w:p w14:paraId="69663399" w14:textId="77777777" w:rsidR="003315CC" w:rsidRDefault="003315CC" w:rsidP="007601EC">
      <w:pPr>
        <w:rPr>
          <w:sz w:val="24"/>
          <w:szCs w:val="24"/>
        </w:rPr>
      </w:pPr>
    </w:p>
    <w:p w14:paraId="0C7689C6" w14:textId="67358263" w:rsidR="00F128A3" w:rsidRDefault="00F128A3">
      <w:pPr>
        <w:rPr>
          <w:sz w:val="24"/>
          <w:szCs w:val="24"/>
        </w:rPr>
      </w:pPr>
      <w:r>
        <w:rPr>
          <w:sz w:val="24"/>
          <w:szCs w:val="24"/>
        </w:rPr>
        <w:br w:type="page"/>
      </w:r>
    </w:p>
    <w:p w14:paraId="56456A25" w14:textId="16BC93D7" w:rsidR="003A1863" w:rsidRPr="006B5A49" w:rsidRDefault="003A1863" w:rsidP="00CD4110">
      <w:pPr>
        <w:pStyle w:val="SPECIAL2"/>
      </w:pPr>
      <w:bookmarkStart w:id="65" w:name="_Toc166526886"/>
      <w:r w:rsidRPr="00CD4110">
        <w:lastRenderedPageBreak/>
        <w:t>IX CUATRIMESTRE</w:t>
      </w:r>
      <w:bookmarkEnd w:id="65"/>
    </w:p>
    <w:p w14:paraId="4005E93B" w14:textId="77777777" w:rsidR="003A1863" w:rsidRDefault="003A1863" w:rsidP="003A1863">
      <w:pPr>
        <w:jc w:val="center"/>
        <w:rPr>
          <w:b/>
          <w:bCs/>
          <w:sz w:val="32"/>
          <w:szCs w:val="32"/>
          <w:lang w:val="es-ES"/>
        </w:rPr>
      </w:pPr>
    </w:p>
    <w:p w14:paraId="3E89F813" w14:textId="7307A450" w:rsidR="003A1863" w:rsidRDefault="00DD16F2" w:rsidP="003A1863">
      <w:pPr>
        <w:rPr>
          <w:sz w:val="24"/>
          <w:szCs w:val="24"/>
          <w:lang w:val="es-ES"/>
        </w:rPr>
      </w:pPr>
      <w:hyperlink w:anchor="CBT" w:history="1">
        <w:r w:rsidR="003A1863" w:rsidRPr="000611BD">
          <w:rPr>
            <w:rStyle w:val="Hipervnculo"/>
            <w:sz w:val="24"/>
            <w:szCs w:val="24"/>
            <w:lang w:val="es-ES"/>
          </w:rPr>
          <w:t>C</w:t>
        </w:r>
        <w:r w:rsidR="000C1477" w:rsidRPr="000611BD">
          <w:rPr>
            <w:rStyle w:val="Hipervnculo"/>
            <w:sz w:val="24"/>
            <w:szCs w:val="24"/>
            <w:lang w:val="es-ES"/>
          </w:rPr>
          <w:t>B</w:t>
        </w:r>
        <w:r w:rsidR="003A1863" w:rsidRPr="000611BD">
          <w:rPr>
            <w:rStyle w:val="Hipervnculo"/>
            <w:sz w:val="24"/>
            <w:szCs w:val="24"/>
            <w:lang w:val="es-ES"/>
          </w:rPr>
          <w:t xml:space="preserve">-T </w:t>
        </w:r>
        <w:r w:rsidR="00930BC9" w:rsidRPr="000611BD">
          <w:rPr>
            <w:rStyle w:val="Hipervnculo"/>
            <w:sz w:val="24"/>
            <w:szCs w:val="24"/>
            <w:lang w:val="es-ES"/>
          </w:rPr>
          <w:t>Tesina</w:t>
        </w:r>
      </w:hyperlink>
      <w:r w:rsidR="00930BC9">
        <w:rPr>
          <w:sz w:val="24"/>
          <w:szCs w:val="24"/>
          <w:lang w:val="es-ES"/>
        </w:rPr>
        <w:t xml:space="preserve"> o</w:t>
      </w:r>
    </w:p>
    <w:p w14:paraId="67E3F08C" w14:textId="68D2D671" w:rsidR="00F128A3" w:rsidRDefault="00DD16F2" w:rsidP="003A1863">
      <w:pPr>
        <w:rPr>
          <w:sz w:val="24"/>
          <w:szCs w:val="24"/>
          <w:lang w:val="es-ES"/>
        </w:rPr>
      </w:pPr>
      <w:hyperlink w:anchor="CBSG" w:history="1">
        <w:r w:rsidR="00930BC9" w:rsidRPr="000611BD">
          <w:rPr>
            <w:rStyle w:val="Hipervnculo"/>
            <w:sz w:val="24"/>
            <w:szCs w:val="24"/>
            <w:lang w:val="es-ES"/>
          </w:rPr>
          <w:t>C</w:t>
        </w:r>
        <w:r w:rsidR="000C1477" w:rsidRPr="000611BD">
          <w:rPr>
            <w:rStyle w:val="Hipervnculo"/>
            <w:sz w:val="24"/>
            <w:szCs w:val="24"/>
            <w:lang w:val="es-ES"/>
          </w:rPr>
          <w:t>B</w:t>
        </w:r>
        <w:r w:rsidR="00930BC9" w:rsidRPr="000611BD">
          <w:rPr>
            <w:rStyle w:val="Hipervnculo"/>
            <w:sz w:val="24"/>
            <w:szCs w:val="24"/>
            <w:lang w:val="es-ES"/>
          </w:rPr>
          <w:t>-SG Seminario de Graduación</w:t>
        </w:r>
      </w:hyperlink>
    </w:p>
    <w:p w14:paraId="738A80AB" w14:textId="77777777" w:rsidR="00F128A3" w:rsidRDefault="00F128A3">
      <w:pPr>
        <w:rPr>
          <w:sz w:val="24"/>
          <w:szCs w:val="24"/>
          <w:lang w:val="es-ES"/>
        </w:rPr>
      </w:pPr>
      <w:r>
        <w:rPr>
          <w:sz w:val="24"/>
          <w:szCs w:val="24"/>
          <w:lang w:val="es-ES"/>
        </w:rPr>
        <w:br w:type="page"/>
      </w:r>
    </w:p>
    <w:p w14:paraId="307737BC" w14:textId="77777777" w:rsidR="00C84F4D" w:rsidRPr="00C84F4D" w:rsidRDefault="00C84F4D" w:rsidP="00C84F4D">
      <w:pPr>
        <w:spacing w:after="172"/>
        <w:ind w:left="464"/>
        <w:jc w:val="center"/>
        <w:rPr>
          <w:rFonts w:ascii="Calibri" w:eastAsia="Calibri" w:hAnsi="Calibri" w:cs="Calibri"/>
          <w:color w:val="000000"/>
          <w:kern w:val="0"/>
          <w:lang w:eastAsia="es-CR"/>
          <w14:ligatures w14:val="none"/>
        </w:rPr>
      </w:pPr>
      <w:r w:rsidRPr="00C84F4D">
        <w:rPr>
          <w:rFonts w:ascii="Calibri" w:eastAsia="Calibri" w:hAnsi="Calibri" w:cs="Calibri"/>
          <w:noProof/>
          <w:color w:val="000000"/>
          <w:kern w:val="0"/>
          <w:lang w:eastAsia="es-CR"/>
          <w14:ligatures w14:val="none"/>
        </w:rPr>
        <w:lastRenderedPageBreak/>
        <w:drawing>
          <wp:inline distT="0" distB="0" distL="0" distR="0" wp14:anchorId="48560348" wp14:editId="26C8B3A7">
            <wp:extent cx="2008632" cy="1548384"/>
            <wp:effectExtent l="0" t="0" r="0" b="0"/>
            <wp:docPr id="20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82"/>
                    <a:srcRect/>
                    <a:stretch>
                      <a:fillRect/>
                    </a:stretch>
                  </pic:blipFill>
                  <pic:spPr>
                    <a:xfrm>
                      <a:off x="0" y="0"/>
                      <a:ext cx="2008632" cy="1548384"/>
                    </a:xfrm>
                    <a:prstGeom prst="rect">
                      <a:avLst/>
                    </a:prstGeom>
                    <a:ln/>
                  </pic:spPr>
                </pic:pic>
              </a:graphicData>
            </a:graphic>
          </wp:inline>
        </w:drawing>
      </w:r>
      <w:r w:rsidRPr="00C84F4D">
        <w:rPr>
          <w:rFonts w:ascii="Calibri" w:eastAsia="Arial" w:hAnsi="Calibri" w:cs="Calibri"/>
          <w:color w:val="0070C0"/>
          <w:kern w:val="0"/>
          <w:lang w:eastAsia="es-CR"/>
          <w14:ligatures w14:val="none"/>
        </w:rPr>
        <w:t xml:space="preserve"> </w:t>
      </w:r>
    </w:p>
    <w:p w14:paraId="68A1E1D0" w14:textId="77777777" w:rsidR="00C84F4D" w:rsidRPr="00C84F4D" w:rsidRDefault="00C84F4D" w:rsidP="00C84F4D">
      <w:pPr>
        <w:spacing w:after="0"/>
        <w:ind w:left="372" w:right="6" w:firstLine="365"/>
        <w:jc w:val="center"/>
        <w:rPr>
          <w:rFonts w:ascii="Calibri" w:eastAsia="Calibri" w:hAnsi="Calibri" w:cs="Calibri"/>
          <w:color w:val="000000"/>
          <w:kern w:val="0"/>
          <w:sz w:val="24"/>
          <w:szCs w:val="24"/>
          <w:lang w:eastAsia="es-CR"/>
          <w14:ligatures w14:val="none"/>
        </w:rPr>
      </w:pPr>
      <w:r w:rsidRPr="00C84F4D">
        <w:rPr>
          <w:rFonts w:ascii="Calibri" w:eastAsia="Calibri" w:hAnsi="Calibri" w:cs="Calibri"/>
          <w:b/>
          <w:color w:val="000000"/>
          <w:kern w:val="0"/>
          <w:sz w:val="24"/>
          <w:szCs w:val="24"/>
          <w:lang w:eastAsia="es-CR"/>
          <w14:ligatures w14:val="none"/>
        </w:rPr>
        <w:t xml:space="preserve">Universidad Bíblica Latinoamericana </w:t>
      </w:r>
    </w:p>
    <w:p w14:paraId="2560E372" w14:textId="77777777" w:rsidR="00C84F4D" w:rsidRPr="00C84F4D" w:rsidRDefault="00C84F4D" w:rsidP="00C84F4D">
      <w:pPr>
        <w:spacing w:after="0"/>
        <w:ind w:left="358"/>
        <w:jc w:val="center"/>
        <w:rPr>
          <w:rFonts w:ascii="Calibri" w:eastAsia="Calibri" w:hAnsi="Calibri" w:cs="Calibri"/>
          <w:color w:val="000000"/>
          <w:kern w:val="0"/>
          <w:sz w:val="24"/>
          <w:szCs w:val="24"/>
          <w:lang w:eastAsia="es-CR"/>
          <w14:ligatures w14:val="none"/>
        </w:rPr>
      </w:pPr>
      <w:r w:rsidRPr="00C84F4D">
        <w:rPr>
          <w:rFonts w:ascii="Calibri" w:eastAsia="Calibri" w:hAnsi="Calibri" w:cs="Calibri"/>
          <w:b/>
          <w:i/>
          <w:color w:val="000000"/>
          <w:kern w:val="0"/>
          <w:sz w:val="24"/>
          <w:szCs w:val="24"/>
          <w:lang w:eastAsia="es-CR"/>
          <w14:ligatures w14:val="none"/>
        </w:rPr>
        <w:t xml:space="preserve">Facultad de Teología </w:t>
      </w:r>
    </w:p>
    <w:p w14:paraId="1102620F" w14:textId="77777777" w:rsidR="00C84F4D" w:rsidRPr="00C84F4D" w:rsidRDefault="00C84F4D" w:rsidP="00C84F4D">
      <w:pPr>
        <w:spacing w:after="0"/>
        <w:ind w:left="372" w:right="5" w:firstLine="365"/>
        <w:jc w:val="center"/>
        <w:rPr>
          <w:rFonts w:ascii="Calibri" w:eastAsia="Calibri" w:hAnsi="Calibri" w:cs="Calibri"/>
          <w:color w:val="000000"/>
          <w:kern w:val="0"/>
          <w:sz w:val="24"/>
          <w:szCs w:val="24"/>
          <w:lang w:eastAsia="es-CR"/>
          <w14:ligatures w14:val="none"/>
        </w:rPr>
      </w:pPr>
      <w:r w:rsidRPr="00C84F4D">
        <w:rPr>
          <w:rFonts w:ascii="Calibri" w:eastAsia="Calibri" w:hAnsi="Calibri" w:cs="Calibri"/>
          <w:b/>
          <w:color w:val="000000"/>
          <w:kern w:val="0"/>
          <w:sz w:val="24"/>
          <w:szCs w:val="24"/>
          <w:lang w:eastAsia="es-CR"/>
          <w14:ligatures w14:val="none"/>
        </w:rPr>
        <w:t>Bachillerato en Ciencias Bíblicas</w:t>
      </w:r>
    </w:p>
    <w:p w14:paraId="2378A488" w14:textId="77777777" w:rsidR="00C84F4D" w:rsidRPr="00C84F4D" w:rsidRDefault="00C84F4D" w:rsidP="00C84F4D">
      <w:pPr>
        <w:spacing w:after="0"/>
        <w:ind w:left="414"/>
        <w:jc w:val="center"/>
        <w:rPr>
          <w:rFonts w:ascii="Calibri" w:eastAsia="Calibri" w:hAnsi="Calibri" w:cs="Calibri"/>
          <w:color w:val="000000"/>
          <w:kern w:val="0"/>
          <w:sz w:val="24"/>
          <w:szCs w:val="24"/>
          <w:lang w:eastAsia="es-CR"/>
          <w14:ligatures w14:val="none"/>
        </w:rPr>
      </w:pPr>
    </w:p>
    <w:p w14:paraId="664CA908" w14:textId="77777777" w:rsidR="00C84F4D" w:rsidRPr="00C84F4D" w:rsidRDefault="00C84F4D" w:rsidP="00C84F4D">
      <w:pPr>
        <w:spacing w:after="0"/>
        <w:ind w:left="372" w:right="3" w:firstLine="365"/>
        <w:jc w:val="center"/>
        <w:rPr>
          <w:rFonts w:ascii="Calibri" w:eastAsia="Calibri" w:hAnsi="Calibri" w:cs="Calibri"/>
          <w:color w:val="000000"/>
          <w:kern w:val="0"/>
          <w:sz w:val="24"/>
          <w:szCs w:val="24"/>
          <w:lang w:eastAsia="es-CR"/>
          <w14:ligatures w14:val="none"/>
        </w:rPr>
      </w:pPr>
      <w:r w:rsidRPr="00C84F4D">
        <w:rPr>
          <w:rFonts w:ascii="Calibri" w:eastAsia="Calibri" w:hAnsi="Calibri" w:cs="Calibri"/>
          <w:b/>
          <w:color w:val="000000"/>
          <w:kern w:val="0"/>
          <w:sz w:val="24"/>
          <w:szCs w:val="24"/>
          <w:lang w:eastAsia="es-CR"/>
          <w14:ligatures w14:val="none"/>
        </w:rPr>
        <w:t xml:space="preserve">Sílabo </w:t>
      </w:r>
    </w:p>
    <w:p w14:paraId="25FD7784" w14:textId="77777777" w:rsidR="00C84F4D" w:rsidRPr="00C84F4D" w:rsidRDefault="00C84F4D" w:rsidP="00C84F4D">
      <w:pPr>
        <w:spacing w:after="0"/>
        <w:ind w:left="372" w:firstLine="365"/>
        <w:jc w:val="center"/>
        <w:rPr>
          <w:rFonts w:ascii="Calibri" w:eastAsia="Calibri" w:hAnsi="Calibri" w:cs="Calibri"/>
          <w:color w:val="000000"/>
          <w:kern w:val="0"/>
          <w:sz w:val="24"/>
          <w:szCs w:val="24"/>
          <w:lang w:eastAsia="es-CR"/>
          <w14:ligatures w14:val="none"/>
        </w:rPr>
      </w:pPr>
      <w:bookmarkStart w:id="66" w:name="CBT"/>
      <w:r w:rsidRPr="00C84F4D">
        <w:rPr>
          <w:rFonts w:ascii="Calibri" w:eastAsia="Calibri" w:hAnsi="Calibri" w:cs="Calibri"/>
          <w:b/>
          <w:color w:val="000000"/>
          <w:kern w:val="0"/>
          <w:sz w:val="24"/>
          <w:szCs w:val="24"/>
          <w:lang w:eastAsia="es-CR"/>
          <w14:ligatures w14:val="none"/>
        </w:rPr>
        <w:t>Tesina</w:t>
      </w:r>
    </w:p>
    <w:bookmarkEnd w:id="66"/>
    <w:p w14:paraId="07DED41B" w14:textId="77777777" w:rsidR="00C84F4D" w:rsidRPr="00C84F4D" w:rsidRDefault="00C84F4D" w:rsidP="00C84F4D">
      <w:pPr>
        <w:spacing w:after="0"/>
        <w:ind w:left="365"/>
        <w:rPr>
          <w:rFonts w:ascii="Calibri" w:eastAsia="Calibri" w:hAnsi="Calibri" w:cs="Calibri"/>
          <w:color w:val="000000"/>
          <w:kern w:val="0"/>
          <w:lang w:eastAsia="es-CR"/>
          <w14:ligatures w14:val="none"/>
        </w:rPr>
      </w:pPr>
    </w:p>
    <w:p w14:paraId="0A7BB86C" w14:textId="77777777" w:rsidR="00C84F4D" w:rsidRPr="00C84F4D" w:rsidRDefault="00C84F4D" w:rsidP="00C84F4D">
      <w:pPr>
        <w:spacing w:after="0"/>
        <w:ind w:left="365"/>
        <w:rPr>
          <w:rFonts w:ascii="Calibri" w:eastAsia="Calibri" w:hAnsi="Calibri" w:cs="Calibri"/>
          <w:color w:val="000000"/>
          <w:kern w:val="0"/>
          <w:lang w:eastAsia="es-CR"/>
          <w14:ligatures w14:val="none"/>
        </w:rPr>
      </w:pPr>
      <w:r w:rsidRPr="00C84F4D">
        <w:rPr>
          <w:rFonts w:ascii="Calibri" w:eastAsia="Arial" w:hAnsi="Calibri" w:cs="Calibri"/>
          <w:b/>
          <w:color w:val="000000"/>
          <w:kern w:val="0"/>
          <w:lang w:eastAsia="es-CR"/>
          <w14:ligatures w14:val="none"/>
        </w:rPr>
        <w:t xml:space="preserve"> </w:t>
      </w:r>
    </w:p>
    <w:tbl>
      <w:tblPr>
        <w:tblpPr w:leftFromText="141" w:rightFromText="141" w:vertAnchor="text" w:tblpXSpec="center" w:tblpY="1"/>
        <w:tblOverlap w:val="never"/>
        <w:tblW w:w="9196" w:type="dxa"/>
        <w:tblLayout w:type="fixed"/>
        <w:tblLook w:val="0400" w:firstRow="0" w:lastRow="0" w:firstColumn="0" w:lastColumn="0" w:noHBand="0" w:noVBand="1"/>
      </w:tblPr>
      <w:tblGrid>
        <w:gridCol w:w="1737"/>
        <w:gridCol w:w="7459"/>
      </w:tblGrid>
      <w:tr w:rsidR="00C84F4D" w:rsidRPr="00C84F4D" w14:paraId="3E1AA6A0"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475ECBF2"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Código </w:t>
            </w:r>
          </w:p>
        </w:tc>
        <w:tc>
          <w:tcPr>
            <w:tcW w:w="7459" w:type="dxa"/>
            <w:tcBorders>
              <w:top w:val="single" w:sz="4" w:space="0" w:color="000000"/>
              <w:left w:val="single" w:sz="4" w:space="0" w:color="000000"/>
              <w:bottom w:val="single" w:sz="4" w:space="0" w:color="000000"/>
              <w:right w:val="single" w:sz="4" w:space="0" w:color="000000"/>
            </w:tcBorders>
          </w:tcPr>
          <w:p w14:paraId="1AC2CC0C"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CB-T</w:t>
            </w:r>
          </w:p>
        </w:tc>
      </w:tr>
      <w:tr w:rsidR="00C84F4D" w:rsidRPr="00C84F4D" w14:paraId="2AC093FB"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1F771FCB"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Créditos </w:t>
            </w:r>
          </w:p>
        </w:tc>
        <w:tc>
          <w:tcPr>
            <w:tcW w:w="7459" w:type="dxa"/>
            <w:tcBorders>
              <w:top w:val="single" w:sz="4" w:space="0" w:color="000000"/>
              <w:left w:val="single" w:sz="4" w:space="0" w:color="000000"/>
              <w:bottom w:val="single" w:sz="4" w:space="0" w:color="000000"/>
              <w:right w:val="single" w:sz="4" w:space="0" w:color="000000"/>
            </w:tcBorders>
          </w:tcPr>
          <w:p w14:paraId="380B7627"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No tiene créditos asignados ya que es un requisito de graduación.</w:t>
            </w:r>
          </w:p>
        </w:tc>
      </w:tr>
      <w:tr w:rsidR="00C84F4D" w:rsidRPr="00C84F4D" w14:paraId="14E43664"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38F9C78B"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Requisitos </w:t>
            </w:r>
          </w:p>
        </w:tc>
        <w:tc>
          <w:tcPr>
            <w:tcW w:w="7459" w:type="dxa"/>
            <w:tcBorders>
              <w:top w:val="single" w:sz="4" w:space="0" w:color="000000"/>
              <w:left w:val="single" w:sz="4" w:space="0" w:color="000000"/>
              <w:bottom w:val="single" w:sz="4" w:space="0" w:color="000000"/>
              <w:right w:val="single" w:sz="4" w:space="0" w:color="000000"/>
            </w:tcBorders>
          </w:tcPr>
          <w:p w14:paraId="616904A6"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Haber aprobado todos los cursos hasta el VIII Cuatrimestre.</w:t>
            </w:r>
          </w:p>
        </w:tc>
      </w:tr>
      <w:tr w:rsidR="00C84F4D" w:rsidRPr="00C84F4D" w14:paraId="31F880A1" w14:textId="77777777" w:rsidTr="00CE7124">
        <w:trPr>
          <w:trHeight w:val="285"/>
        </w:trPr>
        <w:tc>
          <w:tcPr>
            <w:tcW w:w="1737" w:type="dxa"/>
            <w:tcBorders>
              <w:top w:val="single" w:sz="4" w:space="0" w:color="000000"/>
              <w:left w:val="single" w:sz="4" w:space="0" w:color="000000"/>
              <w:bottom w:val="single" w:sz="4" w:space="0" w:color="000000"/>
              <w:right w:val="single" w:sz="4" w:space="0" w:color="000000"/>
            </w:tcBorders>
          </w:tcPr>
          <w:p w14:paraId="120744E4"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Modalidad </w:t>
            </w:r>
          </w:p>
        </w:tc>
        <w:tc>
          <w:tcPr>
            <w:tcW w:w="7459" w:type="dxa"/>
            <w:tcBorders>
              <w:top w:val="single" w:sz="4" w:space="0" w:color="000000"/>
              <w:left w:val="single" w:sz="4" w:space="0" w:color="000000"/>
              <w:bottom w:val="single" w:sz="4" w:space="0" w:color="000000"/>
              <w:right w:val="single" w:sz="4" w:space="0" w:color="000000"/>
            </w:tcBorders>
          </w:tcPr>
          <w:p w14:paraId="3BEA98E6"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Virtual</w:t>
            </w:r>
          </w:p>
        </w:tc>
      </w:tr>
      <w:tr w:rsidR="00C84F4D" w:rsidRPr="00C84F4D" w14:paraId="73BD2AD9"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256B687F"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Naturaleza </w:t>
            </w:r>
          </w:p>
        </w:tc>
        <w:tc>
          <w:tcPr>
            <w:tcW w:w="7459" w:type="dxa"/>
            <w:tcBorders>
              <w:top w:val="single" w:sz="4" w:space="0" w:color="000000"/>
              <w:left w:val="single" w:sz="4" w:space="0" w:color="000000"/>
              <w:bottom w:val="single" w:sz="4" w:space="0" w:color="000000"/>
              <w:right w:val="single" w:sz="4" w:space="0" w:color="000000"/>
            </w:tcBorders>
          </w:tcPr>
          <w:p w14:paraId="249498F8"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Tutoría individual</w:t>
            </w:r>
          </w:p>
        </w:tc>
      </w:tr>
      <w:tr w:rsidR="00C84F4D" w:rsidRPr="00C84F4D" w14:paraId="19BD70C8"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3B21AEFC"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Periodo </w:t>
            </w:r>
          </w:p>
        </w:tc>
        <w:tc>
          <w:tcPr>
            <w:tcW w:w="7459" w:type="dxa"/>
            <w:tcBorders>
              <w:top w:val="single" w:sz="4" w:space="0" w:color="000000"/>
              <w:left w:val="single" w:sz="4" w:space="0" w:color="000000"/>
              <w:bottom w:val="single" w:sz="4" w:space="0" w:color="000000"/>
              <w:right w:val="single" w:sz="4" w:space="0" w:color="000000"/>
            </w:tcBorders>
          </w:tcPr>
          <w:p w14:paraId="1642BF9C"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Cuatrimestral (15 semanas lectivas)</w:t>
            </w:r>
          </w:p>
        </w:tc>
      </w:tr>
      <w:tr w:rsidR="00C84F4D" w:rsidRPr="00C84F4D" w14:paraId="3FF19E1C"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139C6979" w14:textId="77777777" w:rsidR="00C84F4D" w:rsidRPr="00C84F4D" w:rsidRDefault="00C84F4D" w:rsidP="00C84F4D">
            <w:pPr>
              <w:spacing w:after="3"/>
              <w:ind w:left="2"/>
              <w:rPr>
                <w:rFonts w:ascii="Calibri" w:eastAsia="Calibri" w:hAnsi="Calibri" w:cs="Calibri"/>
                <w:b/>
                <w:color w:val="000000"/>
                <w:lang w:eastAsia="es-CR"/>
              </w:rPr>
            </w:pPr>
            <w:r w:rsidRPr="00C84F4D">
              <w:rPr>
                <w:rFonts w:ascii="Calibri" w:eastAsia="Calibri" w:hAnsi="Calibri" w:cs="Calibri"/>
                <w:b/>
                <w:color w:val="000000"/>
                <w:lang w:eastAsia="es-CR"/>
              </w:rPr>
              <w:t>Nivel</w:t>
            </w:r>
          </w:p>
        </w:tc>
        <w:tc>
          <w:tcPr>
            <w:tcW w:w="7459" w:type="dxa"/>
            <w:tcBorders>
              <w:top w:val="single" w:sz="4" w:space="0" w:color="000000"/>
              <w:left w:val="single" w:sz="4" w:space="0" w:color="000000"/>
              <w:bottom w:val="single" w:sz="4" w:space="0" w:color="000000"/>
              <w:right w:val="single" w:sz="4" w:space="0" w:color="000000"/>
            </w:tcBorders>
          </w:tcPr>
          <w:p w14:paraId="7286FF00"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IX Cuatrimestre</w:t>
            </w:r>
          </w:p>
        </w:tc>
      </w:tr>
      <w:tr w:rsidR="00C84F4D" w:rsidRPr="00C84F4D" w14:paraId="5F4327B7" w14:textId="77777777" w:rsidTr="00CE7124">
        <w:trPr>
          <w:trHeight w:val="283"/>
        </w:trPr>
        <w:tc>
          <w:tcPr>
            <w:tcW w:w="1737" w:type="dxa"/>
            <w:tcBorders>
              <w:top w:val="single" w:sz="4" w:space="0" w:color="000000"/>
              <w:left w:val="single" w:sz="4" w:space="0" w:color="000000"/>
              <w:bottom w:val="single" w:sz="4" w:space="0" w:color="000000"/>
              <w:right w:val="single" w:sz="4" w:space="0" w:color="000000"/>
            </w:tcBorders>
          </w:tcPr>
          <w:p w14:paraId="334B5C6F"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Horario </w:t>
            </w:r>
          </w:p>
        </w:tc>
        <w:tc>
          <w:tcPr>
            <w:tcW w:w="7459" w:type="dxa"/>
            <w:tcBorders>
              <w:top w:val="single" w:sz="4" w:space="0" w:color="000000"/>
              <w:left w:val="single" w:sz="4" w:space="0" w:color="000000"/>
              <w:bottom w:val="single" w:sz="4" w:space="0" w:color="000000"/>
              <w:right w:val="single" w:sz="4" w:space="0" w:color="000000"/>
            </w:tcBorders>
          </w:tcPr>
          <w:p w14:paraId="6D25D401"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La tutoría requiere de 12 horas de trabajo semanal.</w:t>
            </w:r>
          </w:p>
        </w:tc>
      </w:tr>
      <w:tr w:rsidR="00C84F4D" w:rsidRPr="00C84F4D" w14:paraId="7E33DA9D"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2E579357"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Aula </w:t>
            </w:r>
          </w:p>
        </w:tc>
        <w:tc>
          <w:tcPr>
            <w:tcW w:w="7459" w:type="dxa"/>
            <w:tcBorders>
              <w:top w:val="single" w:sz="4" w:space="0" w:color="000000"/>
              <w:left w:val="single" w:sz="4" w:space="0" w:color="000000"/>
              <w:bottom w:val="single" w:sz="4" w:space="0" w:color="000000"/>
              <w:right w:val="single" w:sz="4" w:space="0" w:color="000000"/>
            </w:tcBorders>
          </w:tcPr>
          <w:p w14:paraId="70BC2DBF" w14:textId="77777777"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 xml:space="preserve">Plataforma virtual de la UBL </w:t>
            </w:r>
          </w:p>
        </w:tc>
      </w:tr>
      <w:tr w:rsidR="00C84F4D" w:rsidRPr="00C84F4D" w14:paraId="26E80735" w14:textId="77777777" w:rsidTr="00CE7124">
        <w:trPr>
          <w:trHeight w:val="282"/>
        </w:trPr>
        <w:tc>
          <w:tcPr>
            <w:tcW w:w="1737" w:type="dxa"/>
            <w:tcBorders>
              <w:top w:val="single" w:sz="4" w:space="0" w:color="000000"/>
              <w:left w:val="single" w:sz="4" w:space="0" w:color="000000"/>
              <w:bottom w:val="single" w:sz="4" w:space="0" w:color="000000"/>
              <w:right w:val="single" w:sz="4" w:space="0" w:color="000000"/>
            </w:tcBorders>
          </w:tcPr>
          <w:p w14:paraId="2656BE56"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 xml:space="preserve">Docente </w:t>
            </w:r>
          </w:p>
        </w:tc>
        <w:tc>
          <w:tcPr>
            <w:tcW w:w="7459" w:type="dxa"/>
            <w:tcBorders>
              <w:top w:val="single" w:sz="4" w:space="0" w:color="000000"/>
              <w:left w:val="single" w:sz="4" w:space="0" w:color="000000"/>
              <w:bottom w:val="single" w:sz="4" w:space="0" w:color="000000"/>
              <w:right w:val="single" w:sz="4" w:space="0" w:color="000000"/>
            </w:tcBorders>
          </w:tcPr>
          <w:p w14:paraId="68D0A21C" w14:textId="0A8CAF5E" w:rsidR="00C84F4D" w:rsidRPr="00C84F4D" w:rsidRDefault="00C84F4D" w:rsidP="00C84F4D">
            <w:pPr>
              <w:spacing w:after="3"/>
              <w:rPr>
                <w:rFonts w:ascii="Calibri" w:eastAsia="Calibri" w:hAnsi="Calibri" w:cs="Calibri"/>
                <w:color w:val="000000"/>
                <w:lang w:eastAsia="es-CR"/>
              </w:rPr>
            </w:pPr>
            <w:r w:rsidRPr="00C84F4D">
              <w:rPr>
                <w:rFonts w:ascii="Calibri" w:eastAsia="Calibri" w:hAnsi="Calibri" w:cs="Calibri"/>
                <w:color w:val="000000"/>
                <w:lang w:eastAsia="es-CR"/>
              </w:rPr>
              <w:t xml:space="preserve">Asignado por la Dirección de la </w:t>
            </w:r>
            <w:r w:rsidR="00B53287">
              <w:rPr>
                <w:rFonts w:ascii="Calibri" w:eastAsia="Calibri" w:hAnsi="Calibri" w:cs="Calibri"/>
                <w:color w:val="000000"/>
                <w:lang w:eastAsia="es-CR"/>
              </w:rPr>
              <w:t>Escuela de Ciencias Bíblicas</w:t>
            </w:r>
            <w:r w:rsidRPr="00C84F4D">
              <w:rPr>
                <w:rFonts w:ascii="Calibri" w:eastAsia="Calibri" w:hAnsi="Calibri" w:cs="Calibri"/>
                <w:color w:val="000000"/>
                <w:lang w:eastAsia="es-CR"/>
              </w:rPr>
              <w:t xml:space="preserve">. </w:t>
            </w:r>
          </w:p>
        </w:tc>
      </w:tr>
      <w:tr w:rsidR="00C84F4D" w:rsidRPr="00C84F4D" w14:paraId="3366FC9D" w14:textId="77777777" w:rsidTr="00CE7124">
        <w:trPr>
          <w:trHeight w:val="829"/>
        </w:trPr>
        <w:tc>
          <w:tcPr>
            <w:tcW w:w="1737" w:type="dxa"/>
            <w:tcBorders>
              <w:top w:val="single" w:sz="4" w:space="0" w:color="000000"/>
              <w:left w:val="single" w:sz="4" w:space="0" w:color="000000"/>
              <w:bottom w:val="single" w:sz="4" w:space="0" w:color="000000"/>
              <w:right w:val="single" w:sz="4" w:space="0" w:color="000000"/>
            </w:tcBorders>
            <w:vAlign w:val="center"/>
          </w:tcPr>
          <w:p w14:paraId="2E693979" w14:textId="77777777" w:rsidR="00C84F4D" w:rsidRPr="00C84F4D" w:rsidRDefault="00C84F4D" w:rsidP="00C84F4D">
            <w:pPr>
              <w:spacing w:after="3"/>
              <w:ind w:left="2"/>
              <w:rPr>
                <w:rFonts w:ascii="Calibri" w:eastAsia="Calibri" w:hAnsi="Calibri" w:cs="Calibri"/>
                <w:color w:val="000000"/>
                <w:lang w:eastAsia="es-CR"/>
              </w:rPr>
            </w:pPr>
            <w:r w:rsidRPr="00C84F4D">
              <w:rPr>
                <w:rFonts w:ascii="Calibri" w:eastAsia="Calibri" w:hAnsi="Calibri" w:cs="Calibri"/>
                <w:b/>
                <w:color w:val="000000"/>
                <w:lang w:eastAsia="es-CR"/>
              </w:rPr>
              <w:t>Instrucciones administrativas</w:t>
            </w:r>
            <w:r w:rsidRPr="00C84F4D">
              <w:rPr>
                <w:rFonts w:ascii="Calibri" w:eastAsia="Calibri" w:hAnsi="Calibri" w:cs="Calibri"/>
                <w:color w:val="000000"/>
                <w:lang w:eastAsia="es-CR"/>
              </w:rPr>
              <w:t xml:space="preserve"> </w:t>
            </w:r>
          </w:p>
        </w:tc>
        <w:tc>
          <w:tcPr>
            <w:tcW w:w="7459" w:type="dxa"/>
            <w:tcBorders>
              <w:top w:val="single" w:sz="4" w:space="0" w:color="000000"/>
              <w:left w:val="single" w:sz="4" w:space="0" w:color="000000"/>
              <w:bottom w:val="single" w:sz="4" w:space="0" w:color="000000"/>
              <w:right w:val="single" w:sz="4" w:space="0" w:color="000000"/>
            </w:tcBorders>
          </w:tcPr>
          <w:p w14:paraId="15CE99CC" w14:textId="4C5AEC2C" w:rsidR="00C84F4D" w:rsidRPr="00C84F4D" w:rsidRDefault="00C84F4D" w:rsidP="00C84F4D">
            <w:pPr>
              <w:spacing w:after="3" w:line="248" w:lineRule="auto"/>
              <w:ind w:right="3"/>
              <w:jc w:val="both"/>
              <w:rPr>
                <w:rFonts w:ascii="Calibri" w:eastAsia="Calibri" w:hAnsi="Calibri" w:cs="Calibri"/>
                <w:color w:val="000000"/>
                <w:lang w:eastAsia="es-CR"/>
              </w:rPr>
            </w:pPr>
            <w:r w:rsidRPr="00C84F4D">
              <w:rPr>
                <w:rFonts w:ascii="Calibri" w:eastAsia="Calibri" w:hAnsi="Calibri" w:cs="Calibri"/>
                <w:color w:val="000000"/>
                <w:lang w:eastAsia="es-CR"/>
              </w:rPr>
              <w:t xml:space="preserve">La tutoría del Trabajo Final de Graduación modalidad tesina, para el </w:t>
            </w:r>
            <w:r w:rsidR="00B53287">
              <w:rPr>
                <w:rFonts w:ascii="Calibri" w:eastAsia="Calibri" w:hAnsi="Calibri" w:cs="Calibri"/>
                <w:color w:val="000000"/>
                <w:lang w:eastAsia="es-CR"/>
              </w:rPr>
              <w:t>Bachillerato en Ciencias Bíblicas</w:t>
            </w:r>
            <w:r w:rsidRPr="00C84F4D">
              <w:rPr>
                <w:rFonts w:ascii="Calibri" w:eastAsia="Calibri" w:hAnsi="Calibri" w:cs="Calibri"/>
                <w:color w:val="000000"/>
                <w:lang w:eastAsia="es-CR"/>
              </w:rPr>
              <w:t>, se realiza en forma virtual mediante la plataforma Moodle y sesiones sincrónicas virtuales. Requiere de acceso a una computadora con conexión a Internet, cámara y micrófono. Se compartirá el acceso a la herramienta sincrónica en el aula virtual. La dirección de acceso a la plataforma es la siguiente:</w:t>
            </w:r>
          </w:p>
          <w:p w14:paraId="31EEDB7C" w14:textId="77777777" w:rsidR="00C84F4D" w:rsidRPr="00C84F4D" w:rsidRDefault="00DD16F2" w:rsidP="00C84F4D">
            <w:pPr>
              <w:spacing w:after="3"/>
              <w:ind w:right="49"/>
              <w:jc w:val="both"/>
              <w:rPr>
                <w:rFonts w:ascii="Calibri" w:eastAsia="Calibri" w:hAnsi="Calibri" w:cs="Calibri"/>
                <w:color w:val="000000"/>
                <w:lang w:eastAsia="es-CR"/>
              </w:rPr>
            </w:pPr>
            <w:hyperlink r:id="rId583" w:history="1">
              <w:r w:rsidR="00C84F4D" w:rsidRPr="00C84F4D">
                <w:rPr>
                  <w:rFonts w:ascii="Calibri" w:eastAsia="Calibri" w:hAnsi="Calibri" w:cs="Calibri"/>
                  <w:color w:val="0563C1"/>
                  <w:u w:val="single"/>
                  <w:lang w:eastAsia="es-CR"/>
                </w:rPr>
                <w:t>https://campus.ubl.ac.cr/login/index.php</w:t>
              </w:r>
            </w:hyperlink>
          </w:p>
        </w:tc>
      </w:tr>
    </w:tbl>
    <w:p w14:paraId="10F5E157" w14:textId="77777777" w:rsidR="00C84F4D" w:rsidRPr="00C84F4D" w:rsidRDefault="00C84F4D" w:rsidP="00C84F4D">
      <w:pPr>
        <w:spacing w:after="0"/>
        <w:rPr>
          <w:rFonts w:ascii="Calibri" w:eastAsia="Arial" w:hAnsi="Calibri" w:cs="Calibri"/>
          <w:b/>
          <w:color w:val="0070C0"/>
          <w:kern w:val="0"/>
          <w:lang w:eastAsia="es-CR"/>
          <w14:ligatures w14:val="none"/>
        </w:rPr>
      </w:pPr>
    </w:p>
    <w:p w14:paraId="43D272F7" w14:textId="77777777" w:rsidR="00C84F4D" w:rsidRPr="00C84F4D" w:rsidRDefault="00C84F4D" w:rsidP="00C84F4D">
      <w:pPr>
        <w:spacing w:after="0"/>
        <w:rPr>
          <w:rFonts w:ascii="Calibri" w:eastAsia="Calibri" w:hAnsi="Calibri" w:cs="Calibri"/>
          <w:b/>
          <w:kern w:val="0"/>
          <w:lang w:eastAsia="es-CR"/>
          <w14:ligatures w14:val="none"/>
        </w:rPr>
      </w:pPr>
      <w:r w:rsidRPr="00C84F4D">
        <w:rPr>
          <w:rFonts w:ascii="Calibri" w:eastAsia="Arial" w:hAnsi="Calibri" w:cs="Calibri"/>
          <w:b/>
          <w:kern w:val="0"/>
          <w:lang w:eastAsia="es-CR"/>
          <w14:ligatures w14:val="none"/>
        </w:rPr>
        <w:t xml:space="preserve">I. </w:t>
      </w:r>
      <w:r w:rsidRPr="00C84F4D">
        <w:rPr>
          <w:rFonts w:ascii="Calibri" w:eastAsia="Calibri" w:hAnsi="Calibri" w:cs="Calibri"/>
          <w:b/>
          <w:kern w:val="0"/>
          <w:lang w:eastAsia="es-CR"/>
          <w14:ligatures w14:val="none"/>
        </w:rPr>
        <w:t xml:space="preserve">Descripción </w:t>
      </w:r>
    </w:p>
    <w:p w14:paraId="7B913595" w14:textId="77777777" w:rsidR="00C84F4D" w:rsidRPr="00C84F4D" w:rsidRDefault="00C84F4D" w:rsidP="00C84F4D">
      <w:pPr>
        <w:spacing w:after="0"/>
        <w:rPr>
          <w:rFonts w:ascii="Calibri" w:eastAsia="Calibri" w:hAnsi="Calibri" w:cs="Calibri"/>
          <w:b/>
          <w:kern w:val="0"/>
          <w:lang w:eastAsia="es-CR"/>
          <w14:ligatures w14:val="none"/>
        </w:rPr>
      </w:pPr>
    </w:p>
    <w:p w14:paraId="0CC19CC1" w14:textId="77777777"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La tesina es una monografía que plasma el producto de una investigación teórica o empírica que evidencia la integración de conocimientos y habilidades adquiridas durante la carrera. El tema elegido, junto con la metodología de investigación y análisis empleadas, deberá evidencias correspondencia con el perfil profesional de la carrera. La tesina se desarrolla por medio de una investigación individual acompañada por una persona docente.</w:t>
      </w:r>
    </w:p>
    <w:p w14:paraId="7AA742E5" w14:textId="25FC252D"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 xml:space="preserve">El presente sílabo obedece a la tutoría que ejerce la persona docente guía nombrada por la Dirección de la </w:t>
      </w:r>
      <w:r w:rsidR="00B53287">
        <w:rPr>
          <w:rFonts w:ascii="Calibri" w:eastAsia="Calibri" w:hAnsi="Calibri" w:cs="Calibri"/>
          <w:bCs/>
          <w:kern w:val="0"/>
          <w:lang w:eastAsia="es-CR"/>
          <w14:ligatures w14:val="none"/>
        </w:rPr>
        <w:t>Escuela de Ciencias Bíblicas</w:t>
      </w:r>
      <w:r w:rsidRPr="00C84F4D">
        <w:rPr>
          <w:rFonts w:ascii="Calibri" w:eastAsia="Calibri" w:hAnsi="Calibri" w:cs="Calibri"/>
          <w:bCs/>
          <w:kern w:val="0"/>
          <w:lang w:eastAsia="es-CR"/>
          <w14:ligatures w14:val="none"/>
        </w:rPr>
        <w:t xml:space="preserve">, con el o la estudiante, para la realización de dicha investigación. Como </w:t>
      </w:r>
      <w:r w:rsidRPr="00C84F4D">
        <w:rPr>
          <w:rFonts w:ascii="Calibri" w:eastAsia="Calibri" w:hAnsi="Calibri" w:cs="Calibri"/>
          <w:bCs/>
          <w:kern w:val="0"/>
          <w:lang w:eastAsia="es-CR"/>
          <w14:ligatures w14:val="none"/>
        </w:rPr>
        <w:lastRenderedPageBreak/>
        <w:t xml:space="preserve">modalidad cumple con el Trabajo Final de Graduación (TFG) que constituye el final del proceso educativo del grado de </w:t>
      </w:r>
      <w:r w:rsidR="00B53287">
        <w:rPr>
          <w:rFonts w:ascii="Calibri" w:eastAsia="Calibri" w:hAnsi="Calibri" w:cs="Calibri"/>
          <w:bCs/>
          <w:kern w:val="0"/>
          <w:lang w:eastAsia="es-CR"/>
          <w14:ligatures w14:val="none"/>
        </w:rPr>
        <w:t>Bachillerato en Ciencias Bíblicas</w:t>
      </w:r>
      <w:r w:rsidRPr="00C84F4D">
        <w:rPr>
          <w:rFonts w:ascii="Calibri" w:eastAsia="Calibri" w:hAnsi="Calibri" w:cs="Calibri"/>
          <w:bCs/>
          <w:kern w:val="0"/>
          <w:lang w:eastAsia="es-CR"/>
          <w14:ligatures w14:val="none"/>
        </w:rPr>
        <w:t xml:space="preserve"> que brinda la UBL.</w:t>
      </w:r>
    </w:p>
    <w:p w14:paraId="7DBE4087" w14:textId="77777777" w:rsidR="00C84F4D" w:rsidRPr="00C84F4D" w:rsidRDefault="00C84F4D" w:rsidP="00C84F4D">
      <w:pPr>
        <w:spacing w:after="0"/>
        <w:jc w:val="both"/>
        <w:rPr>
          <w:rFonts w:ascii="Calibri" w:eastAsia="Calibri" w:hAnsi="Calibri" w:cs="Calibri"/>
          <w:bCs/>
          <w:kern w:val="0"/>
          <w:lang w:eastAsia="es-CR"/>
          <w14:ligatures w14:val="none"/>
        </w:rPr>
      </w:pPr>
    </w:p>
    <w:p w14:paraId="06BE6645" w14:textId="067E344B"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 xml:space="preserve">La elaboración de la tesina es el corolario del aprendizaje del programa de bachillerato porque permite aplicar el conocimiento adquirido durante la carrera en un tema de investigación en el área teológica, bíblica y pastoral. La tesina desarrolla un tema de investigación dentro del ámbito de la disciplina de las </w:t>
      </w:r>
      <w:r w:rsidR="0028546D">
        <w:rPr>
          <w:rFonts w:ascii="Calibri" w:eastAsia="Calibri" w:hAnsi="Calibri" w:cs="Calibri"/>
          <w:bCs/>
          <w:kern w:val="0"/>
          <w:lang w:eastAsia="es-CR"/>
          <w14:ligatures w14:val="none"/>
        </w:rPr>
        <w:t>Ciencias Bíblicas</w:t>
      </w:r>
      <w:r w:rsidRPr="00C84F4D">
        <w:rPr>
          <w:rFonts w:ascii="Calibri" w:eastAsia="Calibri" w:hAnsi="Calibri" w:cs="Calibri"/>
          <w:bCs/>
          <w:kern w:val="0"/>
          <w:lang w:eastAsia="es-CR"/>
          <w14:ligatures w14:val="none"/>
        </w:rPr>
        <w:t xml:space="preserve"> como producto integrador del proceso de estudio. Es decir, tiene la función de integrar las áreas disciplinarias de la carrera mediante una investigación bibliográfica y de reflejar un desarrollo propio del objeto de estudio. La tesina debe reflejar el manejo adecuado de los contenidos teóricos abordados en el </w:t>
      </w:r>
      <w:r w:rsidR="00B53287">
        <w:rPr>
          <w:rFonts w:ascii="Calibri" w:eastAsia="Calibri" w:hAnsi="Calibri" w:cs="Calibri"/>
          <w:bCs/>
          <w:kern w:val="0"/>
          <w:lang w:eastAsia="es-CR"/>
          <w14:ligatures w14:val="none"/>
        </w:rPr>
        <w:t>Bachillerato en Ciencias Bíblicas</w:t>
      </w:r>
      <w:r w:rsidRPr="00C84F4D">
        <w:rPr>
          <w:rFonts w:ascii="Calibri" w:eastAsia="Calibri" w:hAnsi="Calibri" w:cs="Calibri"/>
          <w:bCs/>
          <w:kern w:val="0"/>
          <w:lang w:eastAsia="es-CR"/>
          <w14:ligatures w14:val="none"/>
        </w:rPr>
        <w:t xml:space="preserve">, demostrar las destrezas y herramientas metodológicas estudiadas y aportar una contextualización de estas. </w:t>
      </w:r>
    </w:p>
    <w:p w14:paraId="516615D8" w14:textId="77777777" w:rsidR="00C84F4D" w:rsidRPr="00C84F4D" w:rsidRDefault="00C84F4D" w:rsidP="00C84F4D">
      <w:pPr>
        <w:spacing w:after="0"/>
        <w:jc w:val="both"/>
        <w:rPr>
          <w:rFonts w:ascii="Calibri" w:eastAsia="Calibri" w:hAnsi="Calibri" w:cs="Calibri"/>
          <w:bCs/>
          <w:kern w:val="0"/>
          <w:lang w:eastAsia="es-CR"/>
          <w14:ligatures w14:val="none"/>
        </w:rPr>
      </w:pPr>
    </w:p>
    <w:p w14:paraId="5460E2D3" w14:textId="77777777" w:rsidR="00C84F4D" w:rsidRPr="00C84F4D" w:rsidRDefault="00C84F4D" w:rsidP="00C84F4D">
      <w:pPr>
        <w:spacing w:after="0"/>
        <w:jc w:val="both"/>
        <w:rPr>
          <w:rFonts w:ascii="Calibri" w:eastAsia="Calibri" w:hAnsi="Calibri" w:cs="Calibri"/>
          <w:b/>
          <w:kern w:val="0"/>
          <w:lang w:eastAsia="es-CR"/>
          <w14:ligatures w14:val="none"/>
        </w:rPr>
      </w:pPr>
      <w:r w:rsidRPr="00C84F4D">
        <w:rPr>
          <w:rFonts w:ascii="Calibri" w:eastAsia="Calibri" w:hAnsi="Calibri" w:cs="Calibri"/>
          <w:b/>
          <w:kern w:val="0"/>
          <w:lang w:eastAsia="es-CR"/>
          <w14:ligatures w14:val="none"/>
        </w:rPr>
        <w:t>II. Objetivos generales</w:t>
      </w:r>
    </w:p>
    <w:p w14:paraId="23EA8CF3" w14:textId="77777777" w:rsidR="00C84F4D" w:rsidRPr="00C84F4D" w:rsidRDefault="00C84F4D" w:rsidP="00C84F4D">
      <w:pPr>
        <w:spacing w:after="0"/>
        <w:jc w:val="both"/>
        <w:rPr>
          <w:rFonts w:ascii="Calibri" w:eastAsia="Calibri" w:hAnsi="Calibri" w:cs="Calibri"/>
          <w:b/>
          <w:kern w:val="0"/>
          <w:lang w:eastAsia="es-CR"/>
          <w14:ligatures w14:val="none"/>
        </w:rPr>
      </w:pPr>
    </w:p>
    <w:p w14:paraId="782E0703" w14:textId="77777777"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 xml:space="preserve">Elaborar una investigación bibliográfica de 15 000 a 20 000 palabras (sin contar páginas introductorias, bibliografía, notas al pie o índice) que profundice un tema del área de estudio, utilizando los conocimientos teóricos y metodológicos adquiridos en el programa de bachillerato. </w:t>
      </w:r>
    </w:p>
    <w:p w14:paraId="18CFFBE6" w14:textId="77777777" w:rsidR="00C84F4D" w:rsidRPr="00C84F4D" w:rsidRDefault="00C84F4D" w:rsidP="00C84F4D">
      <w:pPr>
        <w:spacing w:after="0"/>
        <w:jc w:val="both"/>
        <w:rPr>
          <w:rFonts w:ascii="Calibri" w:eastAsia="Calibri" w:hAnsi="Calibri" w:cs="Calibri"/>
          <w:bCs/>
          <w:kern w:val="0"/>
          <w:lang w:eastAsia="es-CR"/>
          <w14:ligatures w14:val="none"/>
        </w:rPr>
      </w:pPr>
    </w:p>
    <w:p w14:paraId="7DFF5921" w14:textId="76DB1EFC"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 xml:space="preserve">Producir un Trabajo Final de Graduación con el uso de métodos y técnicas de investigación bibliográfica, con el fin de demostrar que el o la estudiante ha alcanzado los objetivos plasmados para la carrera de </w:t>
      </w:r>
      <w:r w:rsidR="00B53287">
        <w:rPr>
          <w:rFonts w:ascii="Calibri" w:eastAsia="Calibri" w:hAnsi="Calibri" w:cs="Calibri"/>
          <w:bCs/>
          <w:kern w:val="0"/>
          <w:lang w:eastAsia="es-CR"/>
          <w14:ligatures w14:val="none"/>
        </w:rPr>
        <w:t>Bachillerato en Ciencias Bíblicas</w:t>
      </w:r>
      <w:r w:rsidRPr="00C84F4D">
        <w:rPr>
          <w:rFonts w:ascii="Calibri" w:eastAsia="Calibri" w:hAnsi="Calibri" w:cs="Calibri"/>
          <w:bCs/>
          <w:kern w:val="0"/>
          <w:lang w:eastAsia="es-CR"/>
          <w14:ligatures w14:val="none"/>
        </w:rPr>
        <w:t xml:space="preserve"> a nivel de comprensión, análisis y evaluación del objeto de estudio.</w:t>
      </w:r>
    </w:p>
    <w:p w14:paraId="480B3821" w14:textId="77777777" w:rsidR="00C84F4D" w:rsidRPr="00C84F4D" w:rsidRDefault="00C84F4D" w:rsidP="00C84F4D">
      <w:pPr>
        <w:spacing w:after="0"/>
        <w:jc w:val="both"/>
        <w:rPr>
          <w:rFonts w:ascii="Calibri" w:eastAsia="Calibri" w:hAnsi="Calibri" w:cs="Calibri"/>
          <w:bCs/>
          <w:kern w:val="0"/>
          <w:lang w:eastAsia="es-CR"/>
          <w14:ligatures w14:val="none"/>
        </w:rPr>
      </w:pPr>
    </w:p>
    <w:p w14:paraId="71752E9D" w14:textId="77777777" w:rsidR="00C84F4D" w:rsidRPr="00C84F4D" w:rsidRDefault="00C84F4D" w:rsidP="00C84F4D">
      <w:pPr>
        <w:spacing w:after="0"/>
        <w:jc w:val="both"/>
        <w:rPr>
          <w:rFonts w:ascii="Calibri" w:eastAsia="Calibri" w:hAnsi="Calibri" w:cs="Calibri"/>
          <w:b/>
          <w:kern w:val="0"/>
          <w:lang w:eastAsia="es-CR"/>
          <w14:ligatures w14:val="none"/>
        </w:rPr>
      </w:pPr>
      <w:r w:rsidRPr="00C84F4D">
        <w:rPr>
          <w:rFonts w:ascii="Calibri" w:eastAsia="Calibri" w:hAnsi="Calibri" w:cs="Calibri"/>
          <w:b/>
          <w:kern w:val="0"/>
          <w:lang w:eastAsia="es-CR"/>
          <w14:ligatures w14:val="none"/>
        </w:rPr>
        <w:t>III. Objetivos específicos</w:t>
      </w:r>
    </w:p>
    <w:p w14:paraId="378A3B11" w14:textId="77777777" w:rsidR="00C84F4D" w:rsidRPr="00C84F4D" w:rsidRDefault="00C84F4D" w:rsidP="00C84F4D">
      <w:pPr>
        <w:spacing w:after="0"/>
        <w:jc w:val="both"/>
        <w:rPr>
          <w:rFonts w:ascii="Calibri" w:eastAsia="Calibri" w:hAnsi="Calibri" w:cs="Calibri"/>
          <w:b/>
          <w:kern w:val="0"/>
          <w:lang w:eastAsia="es-CR"/>
          <w14:ligatures w14:val="none"/>
        </w:rPr>
      </w:pPr>
    </w:p>
    <w:p w14:paraId="4D08C2BB" w14:textId="11ADC07D" w:rsidR="00C84F4D" w:rsidRPr="00C84F4D" w:rsidRDefault="00C84F4D" w:rsidP="00C84F4D">
      <w:pPr>
        <w:spacing w:after="0"/>
        <w:jc w:val="both"/>
        <w:rPr>
          <w:rFonts w:ascii="Calibri" w:eastAsia="Calibri" w:hAnsi="Calibri" w:cs="Calibri"/>
          <w:bCs/>
          <w:kern w:val="0"/>
          <w:lang w:eastAsia="es-CR"/>
          <w14:ligatures w14:val="none"/>
        </w:rPr>
      </w:pPr>
      <w:r w:rsidRPr="00C84F4D">
        <w:rPr>
          <w:rFonts w:ascii="Calibri" w:eastAsia="Calibri" w:hAnsi="Calibri" w:cs="Calibri"/>
          <w:bCs/>
          <w:kern w:val="0"/>
          <w:lang w:eastAsia="es-CR"/>
          <w14:ligatures w14:val="none"/>
        </w:rPr>
        <w:t xml:space="preserve">1. Investigar un tema propio de la disciplina de las </w:t>
      </w:r>
      <w:r w:rsidR="0028546D">
        <w:rPr>
          <w:rFonts w:ascii="Calibri" w:eastAsia="Calibri" w:hAnsi="Calibri" w:cs="Calibri"/>
          <w:bCs/>
          <w:kern w:val="0"/>
          <w:lang w:eastAsia="es-CR"/>
          <w14:ligatures w14:val="none"/>
        </w:rPr>
        <w:t>Ciencias Bíblicas</w:t>
      </w:r>
      <w:r w:rsidRPr="00C84F4D">
        <w:rPr>
          <w:rFonts w:ascii="Calibri" w:eastAsia="Calibri" w:hAnsi="Calibri" w:cs="Calibri"/>
          <w:bCs/>
          <w:kern w:val="0"/>
          <w:lang w:eastAsia="es-CR"/>
          <w14:ligatures w14:val="none"/>
        </w:rPr>
        <w:t xml:space="preserve"> pertinente al perfil de egreso de la carrera de </w:t>
      </w:r>
      <w:r w:rsidR="00B53287">
        <w:rPr>
          <w:rFonts w:ascii="Calibri" w:eastAsia="Calibri" w:hAnsi="Calibri" w:cs="Calibri"/>
          <w:bCs/>
          <w:kern w:val="0"/>
          <w:lang w:eastAsia="es-CR"/>
          <w14:ligatures w14:val="none"/>
        </w:rPr>
        <w:t>Bachillerato en Ciencias Bíblicas</w:t>
      </w:r>
      <w:r w:rsidRPr="00C84F4D">
        <w:rPr>
          <w:rFonts w:ascii="Calibri" w:eastAsia="Calibri" w:hAnsi="Calibri" w:cs="Calibri"/>
          <w:bCs/>
          <w:kern w:val="0"/>
          <w:lang w:eastAsia="es-CR"/>
          <w14:ligatures w14:val="none"/>
        </w:rPr>
        <w:t xml:space="preserve">.  </w:t>
      </w:r>
    </w:p>
    <w:p w14:paraId="64236BAE" w14:textId="77777777" w:rsidR="00C84F4D" w:rsidRPr="00C84F4D" w:rsidRDefault="00C84F4D" w:rsidP="00C84F4D">
      <w:pPr>
        <w:spacing w:after="0"/>
        <w:jc w:val="both"/>
        <w:rPr>
          <w:rFonts w:ascii="Calibri" w:eastAsia="Calibri" w:hAnsi="Calibri" w:cs="Calibri"/>
          <w:bCs/>
          <w:kern w:val="0"/>
          <w:lang w:eastAsia="es-CR"/>
          <w14:ligatures w14:val="none"/>
        </w:rPr>
      </w:pPr>
    </w:p>
    <w:p w14:paraId="3DE6D3B1"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bCs/>
          <w:kern w:val="0"/>
          <w:lang w:eastAsia="es-CR"/>
          <w14:ligatures w14:val="none"/>
        </w:rPr>
        <w:t xml:space="preserve">2. Sustentar teóricamente la investigación de un nivel concordante con el grado de bachillerato. </w:t>
      </w:r>
      <w:r w:rsidRPr="00C84F4D">
        <w:rPr>
          <w:rFonts w:ascii="Calibri" w:eastAsia="Calibri" w:hAnsi="Calibri" w:cs="Calibri"/>
          <w:color w:val="000000"/>
          <w:kern w:val="0"/>
          <w:lang w:eastAsia="es-CR"/>
          <w14:ligatures w14:val="none"/>
        </w:rPr>
        <w:t xml:space="preserve"> </w:t>
      </w:r>
    </w:p>
    <w:p w14:paraId="5B541334"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43718CEE"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3. Desarrollar el trabajo de investigación acogiendo las recomendaciones teóricas y metodológicas de la persona docente guía. </w:t>
      </w:r>
    </w:p>
    <w:p w14:paraId="76385489"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6A0FEFF2"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4. Utilizar de manera adecuada las fuentes primarias y secundarias necesarias para el desarrollo del objeto de estudio. </w:t>
      </w:r>
    </w:p>
    <w:p w14:paraId="00751193"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262FF524" w14:textId="07D31F4F"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5. Analizar el objeto de estudio desde las áreas disciplinarias de las </w:t>
      </w:r>
      <w:r w:rsidR="0028546D">
        <w:rPr>
          <w:rFonts w:ascii="Calibri" w:eastAsia="Calibri" w:hAnsi="Calibri" w:cs="Calibri"/>
          <w:color w:val="000000"/>
          <w:kern w:val="0"/>
          <w:lang w:eastAsia="es-CR"/>
          <w14:ligatures w14:val="none"/>
        </w:rPr>
        <w:t>Ciencias Bíblicas</w:t>
      </w:r>
      <w:r w:rsidRPr="00C84F4D">
        <w:rPr>
          <w:rFonts w:ascii="Calibri" w:eastAsia="Calibri" w:hAnsi="Calibri" w:cs="Calibri"/>
          <w:color w:val="000000"/>
          <w:kern w:val="0"/>
          <w:lang w:eastAsia="es-CR"/>
          <w14:ligatures w14:val="none"/>
        </w:rPr>
        <w:t xml:space="preserve"> con el fin de dar contenido a cada tema y subtema de su investigación.</w:t>
      </w:r>
    </w:p>
    <w:p w14:paraId="18DC3D86"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5430FBAF"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p>
    <w:p w14:paraId="76343B08"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p>
    <w:p w14:paraId="4CC98AF5"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p>
    <w:p w14:paraId="6AE4A5F4"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p>
    <w:p w14:paraId="60BF7062"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IV. Contenidos: Desarrollo del proceso de la tesina</w:t>
      </w:r>
    </w:p>
    <w:p w14:paraId="2B474B6D"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692556AF"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lastRenderedPageBreak/>
        <w:t>Unidad 1: Elaboración del diseño de la tesina</w:t>
      </w:r>
    </w:p>
    <w:p w14:paraId="587B595B"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0F1FD379"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1.1 Orientación sobre la pertinencia y validez del tema seleccionado</w:t>
      </w:r>
    </w:p>
    <w:p w14:paraId="53009383"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1.2 Sometimiento y revisión del diseño de tesina</w:t>
      </w:r>
    </w:p>
    <w:p w14:paraId="5827D82A"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1.3 Aprobación del diseño</w:t>
      </w:r>
    </w:p>
    <w:p w14:paraId="0B9C995B" w14:textId="77777777" w:rsidR="00C84F4D" w:rsidRPr="00C84F4D" w:rsidRDefault="00C84F4D" w:rsidP="00C84F4D">
      <w:pPr>
        <w:spacing w:after="0"/>
        <w:rPr>
          <w:rFonts w:ascii="Calibri" w:eastAsia="Calibri" w:hAnsi="Calibri" w:cs="Calibri"/>
          <w:color w:val="000000"/>
          <w:kern w:val="0"/>
          <w:lang w:eastAsia="es-CR"/>
          <w14:ligatures w14:val="none"/>
        </w:rPr>
      </w:pPr>
    </w:p>
    <w:p w14:paraId="11B3E039"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Unidad 2: Revisión de la literatura disponible</w:t>
      </w:r>
    </w:p>
    <w:p w14:paraId="3CADABF8"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6DAB2AF3"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2.1 Consulta de fuentes primarias, secundarias y terciarias</w:t>
      </w:r>
    </w:p>
    <w:p w14:paraId="5A9B8EA8"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2.2 Revisión de la literatura disponible</w:t>
      </w:r>
    </w:p>
    <w:p w14:paraId="1CBCAFE8"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2.3 Asesoramiento sobre recursos teóricos</w:t>
      </w:r>
    </w:p>
    <w:p w14:paraId="0DB507D7" w14:textId="77777777" w:rsidR="00C84F4D" w:rsidRPr="00C84F4D" w:rsidRDefault="00C84F4D" w:rsidP="00C84F4D">
      <w:pPr>
        <w:spacing w:after="0"/>
        <w:rPr>
          <w:rFonts w:ascii="Calibri" w:eastAsia="Calibri" w:hAnsi="Calibri" w:cs="Calibri"/>
          <w:color w:val="000000"/>
          <w:kern w:val="0"/>
          <w:lang w:eastAsia="es-CR"/>
          <w14:ligatures w14:val="none"/>
        </w:rPr>
      </w:pPr>
    </w:p>
    <w:p w14:paraId="74FA6B30" w14:textId="77777777" w:rsidR="00C84F4D" w:rsidRPr="00C84F4D" w:rsidRDefault="00C84F4D" w:rsidP="00C84F4D">
      <w:pPr>
        <w:spacing w:after="0"/>
        <w:rPr>
          <w:rFonts w:ascii="Calibri" w:eastAsia="Calibri" w:hAnsi="Calibri" w:cs="Calibri"/>
          <w:color w:val="000000"/>
          <w:kern w:val="0"/>
          <w:lang w:eastAsia="es-CR"/>
          <w14:ligatures w14:val="none"/>
        </w:rPr>
      </w:pPr>
    </w:p>
    <w:p w14:paraId="45EF1775"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Unidad 3: Acopio teórico o recolección de datos</w:t>
      </w:r>
    </w:p>
    <w:p w14:paraId="0063C9A3"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0F3B156F"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3.1 Lectura y recolección de la información</w:t>
      </w:r>
    </w:p>
    <w:p w14:paraId="68B20509"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3.2 Organización de la documentación según subtemas</w:t>
      </w:r>
    </w:p>
    <w:p w14:paraId="10781DF1" w14:textId="77777777" w:rsidR="00C84F4D" w:rsidRPr="00C84F4D" w:rsidRDefault="00C84F4D" w:rsidP="00C84F4D">
      <w:pPr>
        <w:spacing w:after="0"/>
        <w:rPr>
          <w:rFonts w:ascii="Calibri" w:eastAsia="Calibri" w:hAnsi="Calibri" w:cs="Calibri"/>
          <w:color w:val="000000"/>
          <w:kern w:val="0"/>
          <w:lang w:eastAsia="es-CR"/>
          <w14:ligatures w14:val="none"/>
        </w:rPr>
      </w:pPr>
    </w:p>
    <w:p w14:paraId="6B217346"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Unidad 4: Redacción de la tesina</w:t>
      </w:r>
    </w:p>
    <w:p w14:paraId="7D5044A1"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0B65CC9A"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4.1 Redacción de los borradores de cada capítulo de la tesina</w:t>
      </w:r>
    </w:p>
    <w:p w14:paraId="5B66EA03"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4.2 Asesoramiento docente en encuentros programados</w:t>
      </w:r>
    </w:p>
    <w:p w14:paraId="162C6C87"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4.3 Corrección de borradores hasta quedar aprobados</w:t>
      </w:r>
    </w:p>
    <w:p w14:paraId="414C3F0D" w14:textId="77777777" w:rsidR="00C84F4D" w:rsidRPr="00C84F4D" w:rsidRDefault="00C84F4D" w:rsidP="00C84F4D">
      <w:pPr>
        <w:spacing w:after="0"/>
        <w:rPr>
          <w:rFonts w:ascii="Calibri" w:eastAsia="Calibri" w:hAnsi="Calibri" w:cs="Calibri"/>
          <w:color w:val="000000"/>
          <w:kern w:val="0"/>
          <w:lang w:eastAsia="es-CR"/>
          <w14:ligatures w14:val="none"/>
        </w:rPr>
      </w:pPr>
    </w:p>
    <w:p w14:paraId="251B9E8E"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Unidad 5: Tramitación final de la tesina</w:t>
      </w:r>
    </w:p>
    <w:p w14:paraId="2F9E7658"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6D2ECFC1"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5.1 Revisión de estilo del texto final de la tesina</w:t>
      </w:r>
    </w:p>
    <w:p w14:paraId="37E50B63"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5.2 Presentación encuadernada de la copia final de la tesina</w:t>
      </w:r>
    </w:p>
    <w:p w14:paraId="68F29A92"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5.3 Calificación de la tesina por parte de la persona docente guía</w:t>
      </w:r>
    </w:p>
    <w:p w14:paraId="3E20C96D"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5.4 Calificación de la persona lectora</w:t>
      </w:r>
    </w:p>
    <w:p w14:paraId="0ADC3424"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5.5 Entrega de copias empastadas a la Biblioteca</w:t>
      </w:r>
    </w:p>
    <w:p w14:paraId="3CC8FEE1"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p>
    <w:p w14:paraId="05E6C141"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p>
    <w:p w14:paraId="009080FB"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V. Metodología</w:t>
      </w:r>
    </w:p>
    <w:p w14:paraId="42B0D0A9" w14:textId="77777777" w:rsidR="00C84F4D" w:rsidRPr="00C84F4D" w:rsidRDefault="00C84F4D" w:rsidP="00C84F4D">
      <w:pPr>
        <w:spacing w:after="0"/>
        <w:rPr>
          <w:rFonts w:ascii="Calibri" w:eastAsia="Calibri" w:hAnsi="Calibri" w:cs="Calibri"/>
          <w:color w:val="000000"/>
          <w:kern w:val="0"/>
          <w:lang w:eastAsia="es-CR"/>
          <w14:ligatures w14:val="none"/>
        </w:rPr>
      </w:pPr>
    </w:p>
    <w:p w14:paraId="1441B512" w14:textId="6C4927EC"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El proceso de la tesina es orientado y supervisado por una persona docente asignada según el tema y área de la investigación. La tesina es una de las modalidades del Trabajo Final de Graduación. Es requisito de graduación sin créditos académicos. Consiste en un proceso tutorial personalizado a partir del tema planteado por la o el estudiante y aprobado por la Dirección de la </w:t>
      </w:r>
      <w:r w:rsidR="00B53287">
        <w:rPr>
          <w:rFonts w:ascii="Calibri" w:eastAsia="Calibri" w:hAnsi="Calibri" w:cs="Calibri"/>
          <w:color w:val="000000"/>
          <w:kern w:val="0"/>
          <w:lang w:eastAsia="es-CR"/>
          <w14:ligatures w14:val="none"/>
        </w:rPr>
        <w:t>Escuela de Ciencias Bíblicas</w:t>
      </w:r>
      <w:r w:rsidRPr="00C84F4D">
        <w:rPr>
          <w:rFonts w:ascii="Calibri" w:eastAsia="Calibri" w:hAnsi="Calibri" w:cs="Calibri"/>
          <w:color w:val="000000"/>
          <w:kern w:val="0"/>
          <w:lang w:eastAsia="es-CR"/>
          <w14:ligatures w14:val="none"/>
        </w:rPr>
        <w:t xml:space="preserve">. Los conocimientos metodológicos para elaborar la tesina fueron introducidos en el curso CTX105 Metodología de la Investigación y desarrollados durante la carrera. El tiempo para la elaboración de la tesina en un cuatrimestre está estimado en un cuatrimestre, con una inversión aproximada de 12 horas semanales. La persona estudiante podrá solicitar una extensión de tiempo cuando existan razones justificadas. </w:t>
      </w:r>
    </w:p>
    <w:p w14:paraId="37CC3208"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2FA8231E"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La metodología en un proceso de guía de tesina está fundamentada en la interlocución teórica y sistemática entre la persona estudiante y la persona docente. Es un proceso en el cual el o la estudiante tiene el rol protagónico y el docente un rol de orientación y retroalimentación. En el proceso de investigación se sigue el método constructivista, a través del cual el conocimiento sobre el tema de estudio va tomando una forma estructurada en capítulos, que a la vez están articulados entre sí. La investigación propiamente es de carácter bibliográfico y documental para sustentar teóricamente la propuesta temática de la tesina. </w:t>
      </w:r>
    </w:p>
    <w:p w14:paraId="6057F0F1"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28C32C7D" w14:textId="4A5A8E93"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Durante el período de la tesina (un cuatrimestre) la persona estudiante recibe la guía y orientación de la persona docente asignada con el fin de que concluya un borrador final de su tesina de </w:t>
      </w:r>
      <w:r w:rsidR="00B53287">
        <w:rPr>
          <w:rFonts w:ascii="Calibri" w:eastAsia="Calibri" w:hAnsi="Calibri" w:cs="Calibri"/>
          <w:color w:val="000000"/>
          <w:kern w:val="0"/>
          <w:lang w:eastAsia="es-CR"/>
          <w14:ligatures w14:val="none"/>
        </w:rPr>
        <w:t>Bachillerato en Ciencias Bíblicas</w:t>
      </w:r>
      <w:r w:rsidRPr="00C84F4D">
        <w:rPr>
          <w:rFonts w:ascii="Calibri" w:eastAsia="Calibri" w:hAnsi="Calibri" w:cs="Calibri"/>
          <w:color w:val="000000"/>
          <w:kern w:val="0"/>
          <w:lang w:eastAsia="es-CR"/>
          <w14:ligatures w14:val="none"/>
        </w:rPr>
        <w:t xml:space="preserve">. La asesoría se realizará por medio de la plataforma virtual, en donde docente y estudiante podrán interactuar sobre el tema de investigación seleccionado, su pertinencia, vialidad, diseño y realización siguiendo los contenidos planteados para esta tutoría. Se utiliza, además, la herramienta de encuentros sincrónicos de la universidad para este proceso de tutoría. El trabajo inicia con la revisión del diseño de investigación. En la tutoría se revisarán aspectos teóricos y habilidades de la persona estudiante en las destrezas de la investigación bibliográfica. El rol de la persona docente será facilitar y orientar el aprendizaje. Se espera una participación activa por parte de la persona estudiante que refleje su compromiso de diálogo y realización del trabajo de acuerdo con los contenidos de la tutoría, de su propio tema de investigación y el desarrollo paulatino de su tesina. Ambos, estudiante y docente, llevarán un récord del avance, de las interacciones establecidas y de los documentos revisados. </w:t>
      </w:r>
    </w:p>
    <w:p w14:paraId="628E7034"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D736EF5"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VI. Estrategias de aprendizaje</w:t>
      </w:r>
    </w:p>
    <w:p w14:paraId="20746E58"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p>
    <w:p w14:paraId="2DB9E86E" w14:textId="466CD7BB"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La tesina es una modalidad para cumplir el Trabajo Final de Graduación (TFG), y por ello se pretende que su elaboración se constituya en una experiencia significativa para la persona estudiante. Cada estudiante trabajará el tema aprobado por la Dirección de la </w:t>
      </w:r>
      <w:r w:rsidR="00B53287">
        <w:rPr>
          <w:rFonts w:ascii="Calibri" w:eastAsia="Calibri" w:hAnsi="Calibri" w:cs="Calibri"/>
          <w:color w:val="000000"/>
          <w:kern w:val="0"/>
          <w:lang w:eastAsia="es-CR"/>
          <w14:ligatures w14:val="none"/>
        </w:rPr>
        <w:t>Escuela de Ciencias Bíblicas</w:t>
      </w:r>
      <w:r w:rsidRPr="00C84F4D">
        <w:rPr>
          <w:rFonts w:ascii="Calibri" w:eastAsia="Calibri" w:hAnsi="Calibri" w:cs="Calibri"/>
          <w:color w:val="000000"/>
          <w:kern w:val="0"/>
          <w:lang w:eastAsia="es-CR"/>
          <w14:ligatures w14:val="none"/>
        </w:rPr>
        <w:t xml:space="preserve"> con el acompañamiento y guía de una persona docente. Dicho tema debe guardar relación con la disciplina en la que va a titularse. </w:t>
      </w:r>
      <w:bookmarkStart w:id="67" w:name="_heading=h.gjdgxs" w:colFirst="0" w:colLast="0"/>
      <w:bookmarkEnd w:id="67"/>
      <w:r w:rsidRPr="00C84F4D">
        <w:rPr>
          <w:rFonts w:ascii="Calibri" w:eastAsia="Calibri" w:hAnsi="Calibri" w:cs="Calibri"/>
          <w:color w:val="000000"/>
          <w:kern w:val="0"/>
          <w:lang w:eastAsia="es-CR"/>
          <w14:ligatures w14:val="none"/>
        </w:rPr>
        <w:t>La tutoría de tesina tiene un fuerte componente de autonomía y por lo tanto de trabajo de investigación independiente por parte de la persona estudiante. Esto supone, además, una participación activa de su parte, ya que deberá consensuar el tema, cronograma de trabajo y la actividad general de la tesina con su profesor/a guía. El diseño y redacción de la tesina es, por lo tanto, una experiencia que se vivirá intensamente desde lo cognitivo, lo afectivo y lo actitudinal, con un alto grado de involucramiento del estudiante a lo largo del proceso.</w:t>
      </w:r>
    </w:p>
    <w:p w14:paraId="5016A238"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F5A2B84"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Las estrategias de aprendizaje consisten en la entrega de los avances indicados en el cronograma que incluyen la investigación para el diseño de la tesina, lo cual requiere la identificación del problema de estudio, su conceptualización y la justificación de su pertinencia, un estado de la cuestión, un cronograma y la bibliografía inicial. Seguidamente, se hace una selección de la bibliografía, la lectura e investigación con base en la bibliografía (u otras fuentes) aprobada por la persona guía, la organización y sistematización de los datos, la redacción y finalmente la entrega de cada capítulo de la tesina. </w:t>
      </w:r>
    </w:p>
    <w:p w14:paraId="11443362"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073F492"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VII. Recursos didácticos</w:t>
      </w:r>
    </w:p>
    <w:p w14:paraId="7B7A40D4"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1C160346"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lastRenderedPageBreak/>
        <w:t>Para lograr los objetivos de la tesina, desarrollar los contenidos y la metodología propuesta se hará uso de los siguientes recursos didácticos:</w:t>
      </w:r>
    </w:p>
    <w:p w14:paraId="138855FF"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7057C8A3"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a) La guía experimentada de una persona docente, quien a través del diálogo y la retroalimentación podrá esclarecer el tema seleccionado y asesorar en el enfoque teórico y metodológico. </w:t>
      </w:r>
    </w:p>
    <w:p w14:paraId="72B90D79"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4046C954"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b) Lecturas de naturaleza metodológica para el proceso de investigación que se encuentran asignadas en el cronograma y dispuestas de forma digital en la plataforma virtual en la que se desarrollará el acompañamiento de la tesina. </w:t>
      </w:r>
    </w:p>
    <w:p w14:paraId="76A6646B"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686752F5"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c) Un aula virtual dentro de la plataforma virtual dedicada para el desarrollo de la tesina y abierta únicamente a la persona estudiante y a la persona docente.</w:t>
      </w:r>
    </w:p>
    <w:p w14:paraId="5EE66508"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47BED08D" w14:textId="77777777" w:rsidR="00C84F4D" w:rsidRPr="00C84F4D" w:rsidRDefault="00C84F4D" w:rsidP="00C84F4D">
      <w:pPr>
        <w:spacing w:after="3" w:line="248" w:lineRule="auto"/>
        <w:jc w:val="both"/>
        <w:rPr>
          <w:rFonts w:ascii="Calibri" w:eastAsia="Calibri" w:hAnsi="Calibri" w:cs="Calibri"/>
          <w:color w:val="000000"/>
          <w:kern w:val="0"/>
          <w:lang w:val="es-ES" w:eastAsia="es-ES"/>
          <w14:ligatures w14:val="none"/>
        </w:rPr>
      </w:pPr>
      <w:r w:rsidRPr="00C84F4D">
        <w:rPr>
          <w:rFonts w:ascii="Calibri" w:eastAsia="Calibri" w:hAnsi="Calibri" w:cs="Calibri"/>
          <w:color w:val="000000"/>
          <w:kern w:val="0"/>
          <w:lang w:eastAsia="es-CR"/>
          <w14:ligatures w14:val="none"/>
        </w:rPr>
        <w:t>d) P</w:t>
      </w:r>
      <w:r w:rsidRPr="00C84F4D">
        <w:rPr>
          <w:rFonts w:ascii="Calibri" w:eastAsia="Calibri" w:hAnsi="Calibri" w:cs="Calibri"/>
          <w:color w:val="000000"/>
          <w:kern w:val="0"/>
          <w:lang w:eastAsia="es-ES"/>
          <w14:ligatures w14:val="none"/>
        </w:rPr>
        <w:t>uede</w:t>
      </w:r>
      <w:r w:rsidRPr="00C84F4D">
        <w:rPr>
          <w:rFonts w:ascii="Calibri" w:eastAsia="Calibri" w:hAnsi="Calibri" w:cs="Calibri"/>
          <w:color w:val="000000"/>
          <w:kern w:val="0"/>
          <w:lang w:val="es-ES" w:eastAsia="es-ES"/>
          <w14:ligatures w14:val="none"/>
        </w:rPr>
        <w:t xml:space="preserve"> disponer de las bases de datos, revistas en línea, repositorios y buscadores especializados a los cuales puede acceder mediante la Biblioteca Enrique </w:t>
      </w:r>
      <w:proofErr w:type="spellStart"/>
      <w:r w:rsidRPr="00C84F4D">
        <w:rPr>
          <w:rFonts w:ascii="Calibri" w:eastAsia="Calibri" w:hAnsi="Calibri" w:cs="Calibri"/>
          <w:color w:val="000000"/>
          <w:kern w:val="0"/>
          <w:lang w:val="es-ES" w:eastAsia="es-ES"/>
          <w14:ligatures w14:val="none"/>
        </w:rPr>
        <w:t>Strachan</w:t>
      </w:r>
      <w:proofErr w:type="spellEnd"/>
      <w:r w:rsidRPr="00C84F4D">
        <w:rPr>
          <w:rFonts w:ascii="Calibri" w:eastAsia="Calibri" w:hAnsi="Calibri" w:cs="Calibri"/>
          <w:color w:val="000000"/>
          <w:kern w:val="0"/>
          <w:lang w:val="es-ES" w:eastAsia="es-ES"/>
          <w14:ligatures w14:val="none"/>
        </w:rPr>
        <w:t xml:space="preserve"> (</w:t>
      </w:r>
      <w:hyperlink r:id="rId584" w:history="1">
        <w:r w:rsidRPr="00C84F4D">
          <w:rPr>
            <w:rFonts w:ascii="Calibri" w:eastAsia="Calibri" w:hAnsi="Calibri" w:cs="Calibri"/>
            <w:color w:val="0563C1"/>
            <w:kern w:val="0"/>
            <w:u w:val="single"/>
            <w:lang w:val="es-ES" w:eastAsia="es-ES"/>
            <w14:ligatures w14:val="none"/>
          </w:rPr>
          <w:t>https://www.ubl.ac.cr/biblioteca</w:t>
        </w:r>
      </w:hyperlink>
      <w:r w:rsidRPr="00C84F4D">
        <w:rPr>
          <w:rFonts w:ascii="Calibri" w:eastAsia="Calibri" w:hAnsi="Calibri" w:cs="Calibri"/>
          <w:color w:val="000000"/>
          <w:kern w:val="0"/>
          <w:lang w:val="es-ES" w:eastAsia="es-ES"/>
          <w14:ligatures w14:val="none"/>
        </w:rPr>
        <w:t>), así como consultar el Portal de Revistas de la UBL (</w:t>
      </w:r>
      <w:hyperlink r:id="rId585" w:history="1">
        <w:r w:rsidRPr="00C84F4D">
          <w:rPr>
            <w:rFonts w:ascii="Calibri" w:eastAsia="Calibri" w:hAnsi="Calibri" w:cs="Calibri"/>
            <w:color w:val="0563C1"/>
            <w:kern w:val="0"/>
            <w:u w:val="single"/>
            <w:lang w:val="es-ES" w:eastAsia="es-ES"/>
            <w14:ligatures w14:val="none"/>
          </w:rPr>
          <w:t>http://revistas.ubl.ac.cr/</w:t>
        </w:r>
      </w:hyperlink>
      <w:r w:rsidRPr="00C84F4D">
        <w:rPr>
          <w:rFonts w:ascii="Calibri" w:eastAsia="Calibri" w:hAnsi="Calibri" w:cs="Calibri"/>
          <w:color w:val="000000"/>
          <w:kern w:val="0"/>
          <w:lang w:val="es-ES" w:eastAsia="es-ES"/>
          <w14:ligatures w14:val="none"/>
        </w:rPr>
        <w:t>). A través del correo de la biblioteca (</w:t>
      </w:r>
      <w:hyperlink r:id="rId586" w:history="1">
        <w:r w:rsidRPr="00C84F4D">
          <w:rPr>
            <w:rFonts w:ascii="Calibri" w:eastAsia="Calibri" w:hAnsi="Calibri" w:cs="Calibri"/>
            <w:color w:val="0563C1"/>
            <w:kern w:val="0"/>
            <w:u w:val="single"/>
            <w:lang w:val="es-ES" w:eastAsia="es-ES"/>
            <w14:ligatures w14:val="none"/>
          </w:rPr>
          <w:t>biblioteca@ubl.ac.cr</w:t>
        </w:r>
      </w:hyperlink>
      <w:r w:rsidRPr="00C84F4D">
        <w:rPr>
          <w:rFonts w:ascii="Calibri" w:eastAsia="Calibri" w:hAnsi="Calibri" w:cs="Calibri"/>
          <w:color w:val="000000"/>
          <w:kern w:val="0"/>
          <w:lang w:val="es-ES" w:eastAsia="es-ES"/>
          <w14:ligatures w14:val="none"/>
        </w:rPr>
        <w:t>) puede solicitar el escaneo de recursos que se encuentren en la colección física para la investigación de su tema de tesina.</w:t>
      </w:r>
    </w:p>
    <w:p w14:paraId="7E539998" w14:textId="77777777" w:rsidR="00C84F4D" w:rsidRPr="00C84F4D" w:rsidRDefault="00C84F4D" w:rsidP="00C84F4D">
      <w:pPr>
        <w:spacing w:after="3" w:line="248" w:lineRule="auto"/>
        <w:jc w:val="both"/>
        <w:rPr>
          <w:rFonts w:ascii="Calibri" w:eastAsia="Calibri" w:hAnsi="Calibri" w:cs="Calibri"/>
          <w:color w:val="000000"/>
          <w:kern w:val="0"/>
          <w:lang w:val="es-ES" w:eastAsia="es-ES"/>
          <w14:ligatures w14:val="none"/>
        </w:rPr>
      </w:pPr>
    </w:p>
    <w:p w14:paraId="68385D65" w14:textId="51FD785C" w:rsidR="00C84F4D" w:rsidRPr="00C84F4D" w:rsidRDefault="00C84F4D" w:rsidP="00C84F4D">
      <w:pPr>
        <w:spacing w:after="3" w:line="248" w:lineRule="auto"/>
        <w:jc w:val="both"/>
        <w:rPr>
          <w:rFonts w:ascii="Calibri" w:eastAsia="Calibri" w:hAnsi="Calibri" w:cs="Calibri"/>
          <w:color w:val="0563C1"/>
          <w:kern w:val="0"/>
          <w:u w:val="single"/>
          <w:lang w:eastAsia="es-CR"/>
          <w14:ligatures w14:val="none"/>
        </w:rPr>
      </w:pPr>
      <w:r w:rsidRPr="00C84F4D">
        <w:rPr>
          <w:rFonts w:ascii="Calibri" w:eastAsia="Calibri" w:hAnsi="Calibri" w:cs="Calibri"/>
          <w:color w:val="000000"/>
          <w:kern w:val="0"/>
          <w:lang w:val="es-ES" w:eastAsia="es-ES"/>
          <w14:ligatures w14:val="none"/>
        </w:rPr>
        <w:t xml:space="preserve">e) 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Calibri" w:hAnsi="Calibri" w:cs="Calibri"/>
          <w:color w:val="000000"/>
          <w:kern w:val="0"/>
          <w:lang w:val="es-ES" w:eastAsia="es-ES"/>
          <w14:ligatures w14:val="none"/>
        </w:rPr>
        <w:t>Bachillerato en Ciencias Bíblicas</w:t>
      </w:r>
      <w:r w:rsidRPr="00C84F4D">
        <w:rPr>
          <w:rFonts w:ascii="Calibri" w:eastAsia="Calibri" w:hAnsi="Calibri" w:cs="Calibri"/>
          <w:color w:val="000000"/>
          <w:kern w:val="0"/>
          <w:lang w:val="es-ES" w:eastAsia="es-ES"/>
          <w14:ligatures w14:val="none"/>
        </w:rPr>
        <w:t xml:space="preserve">. Dicho espacio está disponible para todas las personas registradas en el campus virtual y se puede acceder a través del siguiente enlace: </w:t>
      </w:r>
      <w:hyperlink r:id="rId587" w:history="1">
        <w:r w:rsidRPr="00C84F4D">
          <w:rPr>
            <w:rFonts w:ascii="Calibri" w:eastAsia="Calibri" w:hAnsi="Calibri" w:cs="Calibri"/>
            <w:color w:val="0563C1"/>
            <w:kern w:val="0"/>
            <w:u w:val="single"/>
            <w:lang w:eastAsia="es-CR"/>
            <w14:ligatures w14:val="none"/>
          </w:rPr>
          <w:t>https://campus.ubl.ac.cr/course/index.php?categoryid=186</w:t>
        </w:r>
      </w:hyperlink>
    </w:p>
    <w:p w14:paraId="5563CB39"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70783A3F"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f) La herramienta de videoconferencia integrada en el aula virtual para los encuentros sincrónicos con la persona docente. </w:t>
      </w:r>
    </w:p>
    <w:p w14:paraId="4F5F7C58"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1D3226BE"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28051AA5" w14:textId="77777777" w:rsidR="00C84F4D" w:rsidRPr="00C84F4D" w:rsidRDefault="00C84F4D" w:rsidP="00C84F4D">
      <w:pPr>
        <w:spacing w:after="0"/>
        <w:rPr>
          <w:rFonts w:ascii="Calibri" w:eastAsia="Calibri" w:hAnsi="Calibri" w:cs="Calibri"/>
          <w:color w:val="000000"/>
          <w:kern w:val="0"/>
          <w:lang w:eastAsia="es-CR"/>
          <w14:ligatures w14:val="none"/>
        </w:rPr>
      </w:pPr>
    </w:p>
    <w:p w14:paraId="66DBFAB0" w14:textId="77777777" w:rsidR="00C84F4D" w:rsidRPr="00C84F4D" w:rsidRDefault="00C84F4D" w:rsidP="00C84F4D">
      <w:pPr>
        <w:spacing w:after="0"/>
        <w:rPr>
          <w:rFonts w:ascii="Calibri" w:eastAsia="Calibri" w:hAnsi="Calibri" w:cs="Calibri"/>
          <w:color w:val="000000"/>
          <w:kern w:val="0"/>
          <w:lang w:eastAsia="es-CR"/>
          <w14:ligatures w14:val="none"/>
        </w:rPr>
      </w:pPr>
    </w:p>
    <w:p w14:paraId="202D2E78" w14:textId="77777777" w:rsidR="00C84F4D" w:rsidRPr="00C84F4D" w:rsidRDefault="00C84F4D" w:rsidP="00C84F4D">
      <w:pPr>
        <w:spacing w:after="0"/>
        <w:rPr>
          <w:rFonts w:ascii="Calibri" w:eastAsia="Calibri" w:hAnsi="Calibri" w:cs="Calibri"/>
          <w:color w:val="000000"/>
          <w:kern w:val="0"/>
          <w:lang w:eastAsia="es-CR"/>
          <w14:ligatures w14:val="none"/>
        </w:rPr>
      </w:pPr>
    </w:p>
    <w:p w14:paraId="005C8717" w14:textId="77777777" w:rsidR="00C84F4D" w:rsidRPr="00C84F4D" w:rsidRDefault="00C84F4D" w:rsidP="00C84F4D">
      <w:pPr>
        <w:spacing w:after="0"/>
        <w:rPr>
          <w:rFonts w:ascii="Calibri" w:eastAsia="Calibri" w:hAnsi="Calibri" w:cs="Calibri"/>
          <w:color w:val="000000"/>
          <w:kern w:val="0"/>
          <w:lang w:eastAsia="es-CR"/>
          <w14:ligatures w14:val="none"/>
        </w:rPr>
      </w:pPr>
    </w:p>
    <w:p w14:paraId="78B73A7E" w14:textId="77777777" w:rsidR="00C84F4D" w:rsidRDefault="00C84F4D" w:rsidP="00C84F4D">
      <w:pPr>
        <w:spacing w:after="0"/>
        <w:rPr>
          <w:rFonts w:ascii="Calibri" w:eastAsia="Calibri" w:hAnsi="Calibri" w:cs="Calibri"/>
          <w:color w:val="000000"/>
          <w:kern w:val="0"/>
          <w:lang w:eastAsia="es-CR"/>
          <w14:ligatures w14:val="none"/>
        </w:rPr>
      </w:pPr>
    </w:p>
    <w:p w14:paraId="39D45EA7" w14:textId="77777777" w:rsidR="00D46FEB" w:rsidRDefault="00D46FEB" w:rsidP="00C84F4D">
      <w:pPr>
        <w:spacing w:after="0"/>
        <w:rPr>
          <w:rFonts w:ascii="Calibri" w:eastAsia="Calibri" w:hAnsi="Calibri" w:cs="Calibri"/>
          <w:color w:val="000000"/>
          <w:kern w:val="0"/>
          <w:lang w:eastAsia="es-CR"/>
          <w14:ligatures w14:val="none"/>
        </w:rPr>
      </w:pPr>
    </w:p>
    <w:p w14:paraId="69EA7F09" w14:textId="77777777" w:rsidR="00D46FEB" w:rsidRPr="00C84F4D" w:rsidRDefault="00D46FEB" w:rsidP="00C84F4D">
      <w:pPr>
        <w:spacing w:after="0"/>
        <w:rPr>
          <w:rFonts w:ascii="Calibri" w:eastAsia="Calibri" w:hAnsi="Calibri" w:cs="Calibri"/>
          <w:color w:val="000000"/>
          <w:kern w:val="0"/>
          <w:lang w:eastAsia="es-CR"/>
          <w14:ligatures w14:val="none"/>
        </w:rPr>
      </w:pPr>
    </w:p>
    <w:p w14:paraId="284BFC5F" w14:textId="77777777" w:rsidR="00C84F4D" w:rsidRPr="00C84F4D" w:rsidRDefault="00C84F4D" w:rsidP="00C84F4D">
      <w:pPr>
        <w:spacing w:after="0"/>
        <w:rPr>
          <w:rFonts w:ascii="Calibri" w:eastAsia="Calibri" w:hAnsi="Calibri" w:cs="Calibri"/>
          <w:color w:val="000000"/>
          <w:kern w:val="0"/>
          <w:lang w:eastAsia="es-CR"/>
          <w14:ligatures w14:val="none"/>
        </w:rPr>
      </w:pPr>
    </w:p>
    <w:p w14:paraId="061D8F79" w14:textId="77777777" w:rsidR="00C84F4D" w:rsidRPr="00C84F4D" w:rsidRDefault="00C84F4D" w:rsidP="00C84F4D">
      <w:pPr>
        <w:spacing w:after="0"/>
        <w:rPr>
          <w:rFonts w:ascii="Calibri" w:eastAsia="Calibri" w:hAnsi="Calibri" w:cs="Calibri"/>
          <w:color w:val="000000"/>
          <w:kern w:val="0"/>
          <w:lang w:eastAsia="es-CR"/>
          <w14:ligatures w14:val="none"/>
        </w:rPr>
      </w:pPr>
    </w:p>
    <w:p w14:paraId="3715C8F5" w14:textId="77777777" w:rsidR="00C84F4D" w:rsidRPr="00C84F4D" w:rsidRDefault="00C84F4D" w:rsidP="00C84F4D">
      <w:pPr>
        <w:spacing w:after="0"/>
        <w:rPr>
          <w:rFonts w:ascii="Calibri" w:eastAsia="Calibri" w:hAnsi="Calibri" w:cs="Calibri"/>
          <w:color w:val="000000"/>
          <w:kern w:val="0"/>
          <w:lang w:eastAsia="es-CR"/>
          <w14:ligatures w14:val="none"/>
        </w:rPr>
      </w:pPr>
    </w:p>
    <w:p w14:paraId="59CB3B17" w14:textId="77777777" w:rsidR="00C84F4D" w:rsidRPr="00C84F4D" w:rsidRDefault="00C84F4D" w:rsidP="00C84F4D">
      <w:pPr>
        <w:spacing w:after="0"/>
        <w:rPr>
          <w:rFonts w:ascii="Calibri" w:eastAsia="Calibri" w:hAnsi="Calibri" w:cs="Calibri"/>
          <w:color w:val="000000"/>
          <w:kern w:val="0"/>
          <w:lang w:eastAsia="es-CR"/>
          <w14:ligatures w14:val="none"/>
        </w:rPr>
      </w:pPr>
    </w:p>
    <w:p w14:paraId="64A6C442" w14:textId="77777777" w:rsidR="00C84F4D" w:rsidRPr="00C84F4D" w:rsidRDefault="00C84F4D" w:rsidP="00C84F4D">
      <w:pPr>
        <w:spacing w:after="0"/>
        <w:rPr>
          <w:rFonts w:ascii="Calibri" w:eastAsia="Calibri" w:hAnsi="Calibri" w:cs="Calibri"/>
          <w:color w:val="000000"/>
          <w:kern w:val="0"/>
          <w:lang w:eastAsia="es-CR"/>
          <w14:ligatures w14:val="none"/>
        </w:rPr>
      </w:pPr>
    </w:p>
    <w:p w14:paraId="6CC40F2F" w14:textId="77777777" w:rsidR="00C84F4D" w:rsidRPr="00C84F4D" w:rsidRDefault="00C84F4D" w:rsidP="00C84F4D">
      <w:pPr>
        <w:spacing w:after="0"/>
        <w:rPr>
          <w:rFonts w:ascii="Calibri" w:eastAsia="Calibri" w:hAnsi="Calibri" w:cs="Calibri"/>
          <w:color w:val="000000"/>
          <w:kern w:val="0"/>
          <w:lang w:eastAsia="es-CR"/>
          <w14:ligatures w14:val="none"/>
        </w:rPr>
      </w:pPr>
    </w:p>
    <w:p w14:paraId="38877DE7" w14:textId="77777777" w:rsidR="00C84F4D" w:rsidRPr="00C84F4D" w:rsidRDefault="00C84F4D" w:rsidP="00C84F4D">
      <w:pPr>
        <w:spacing w:after="0"/>
        <w:rPr>
          <w:rFonts w:ascii="Calibri" w:eastAsia="Calibri" w:hAnsi="Calibri" w:cs="Calibri"/>
          <w:color w:val="000000"/>
          <w:kern w:val="0"/>
          <w:lang w:eastAsia="es-CR"/>
          <w14:ligatures w14:val="none"/>
        </w:rPr>
      </w:pPr>
    </w:p>
    <w:p w14:paraId="40F5DC43" w14:textId="77777777" w:rsidR="00C84F4D" w:rsidRPr="00C84F4D" w:rsidRDefault="00C84F4D" w:rsidP="00C84F4D">
      <w:pPr>
        <w:spacing w:after="0"/>
        <w:rPr>
          <w:rFonts w:ascii="Calibri" w:eastAsia="Calibri" w:hAnsi="Calibri" w:cs="Calibri"/>
          <w:color w:val="000000"/>
          <w:kern w:val="0"/>
          <w:lang w:eastAsia="es-CR"/>
          <w14:ligatures w14:val="none"/>
        </w:rPr>
      </w:pPr>
    </w:p>
    <w:p w14:paraId="330FCBE9"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lastRenderedPageBreak/>
        <w:t>VIII. Cronograma de trabajo</w:t>
      </w:r>
    </w:p>
    <w:p w14:paraId="000E6DC2" w14:textId="77777777" w:rsidR="00C84F4D" w:rsidRPr="00C84F4D" w:rsidRDefault="00C84F4D" w:rsidP="00C84F4D">
      <w:pPr>
        <w:spacing w:after="0"/>
        <w:rPr>
          <w:rFonts w:ascii="Calibri" w:eastAsia="Calibri" w:hAnsi="Calibri" w:cs="Calibri"/>
          <w:b/>
          <w:bCs/>
          <w:color w:val="000000"/>
          <w:kern w:val="0"/>
          <w:lang w:eastAsia="es-CR"/>
          <w14:ligatures w14:val="none"/>
        </w:rPr>
      </w:pPr>
    </w:p>
    <w:p w14:paraId="44956339"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El siguiente cronograma responde a la organización/estructura del acompañamiento dado por parte de la persona docente guía para la elaboración de su tesina. En este se contemplan reuniones quincenales (como mínimo) con la persona docente (por medio de una videoconferencia sincrónica), la presentación y aprobación del diseño de la tesina, la presentación de avances semanales, la entrega de borradores de cada capítulo y la finalización y presentación para revisión de la persona docente y el/la lector/a asignado/a. Los recursos didácticos allí colocados son de índole metodológica y tienen la función de acompañar el proceso de elaboración de su tesina en los diferentes momentos.</w:t>
      </w:r>
    </w:p>
    <w:p w14:paraId="320C60F2"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tbl>
      <w:tblPr>
        <w:tblStyle w:val="TableGrid12"/>
        <w:tblW w:w="10627" w:type="dxa"/>
        <w:jc w:val="center"/>
        <w:tblLayout w:type="fixed"/>
        <w:tblLook w:val="04A0" w:firstRow="1" w:lastRow="0" w:firstColumn="1" w:lastColumn="0" w:noHBand="0" w:noVBand="1"/>
      </w:tblPr>
      <w:tblGrid>
        <w:gridCol w:w="1144"/>
        <w:gridCol w:w="2395"/>
        <w:gridCol w:w="3260"/>
        <w:gridCol w:w="3828"/>
      </w:tblGrid>
      <w:tr w:rsidR="00C84F4D" w:rsidRPr="00C84F4D" w14:paraId="1E4B740A" w14:textId="77777777" w:rsidTr="00CE7124">
        <w:trPr>
          <w:trHeight w:val="359"/>
          <w:jc w:val="center"/>
        </w:trPr>
        <w:tc>
          <w:tcPr>
            <w:tcW w:w="1144" w:type="dxa"/>
            <w:vMerge w:val="restart"/>
            <w:vAlign w:val="center"/>
          </w:tcPr>
          <w:p w14:paraId="1FEFDFDC" w14:textId="77777777" w:rsidR="00C84F4D" w:rsidRPr="00C84F4D" w:rsidRDefault="00C84F4D" w:rsidP="00C84F4D">
            <w:pPr>
              <w:spacing w:after="3"/>
              <w:jc w:val="center"/>
              <w:rPr>
                <w:b/>
                <w:bCs/>
                <w:color w:val="000000"/>
                <w:sz w:val="24"/>
                <w:szCs w:val="24"/>
              </w:rPr>
            </w:pPr>
            <w:r w:rsidRPr="00C84F4D">
              <w:rPr>
                <w:b/>
                <w:bCs/>
                <w:color w:val="000000"/>
                <w:sz w:val="24"/>
                <w:szCs w:val="24"/>
              </w:rPr>
              <w:t>Sesión</w:t>
            </w:r>
          </w:p>
          <w:p w14:paraId="506BBA63" w14:textId="77777777" w:rsidR="00C84F4D" w:rsidRPr="00C84F4D" w:rsidRDefault="00C84F4D" w:rsidP="00C84F4D">
            <w:pPr>
              <w:spacing w:after="3"/>
              <w:jc w:val="center"/>
              <w:rPr>
                <w:b/>
                <w:bCs/>
                <w:color w:val="000000"/>
                <w:sz w:val="24"/>
                <w:szCs w:val="24"/>
              </w:rPr>
            </w:pPr>
            <w:r w:rsidRPr="00C84F4D">
              <w:rPr>
                <w:b/>
                <w:bCs/>
                <w:color w:val="000000"/>
                <w:sz w:val="24"/>
                <w:szCs w:val="24"/>
              </w:rPr>
              <w:t>(semana)</w:t>
            </w:r>
          </w:p>
        </w:tc>
        <w:tc>
          <w:tcPr>
            <w:tcW w:w="2395" w:type="dxa"/>
            <w:vMerge w:val="restart"/>
            <w:vAlign w:val="center"/>
          </w:tcPr>
          <w:p w14:paraId="4FDA3C09" w14:textId="77777777" w:rsidR="00C84F4D" w:rsidRPr="00C84F4D" w:rsidRDefault="00C84F4D" w:rsidP="00C84F4D">
            <w:pPr>
              <w:spacing w:after="3"/>
              <w:jc w:val="center"/>
              <w:rPr>
                <w:b/>
                <w:bCs/>
                <w:color w:val="000000"/>
                <w:sz w:val="24"/>
                <w:szCs w:val="24"/>
              </w:rPr>
            </w:pPr>
            <w:r w:rsidRPr="00C84F4D">
              <w:rPr>
                <w:b/>
                <w:bCs/>
                <w:color w:val="000000"/>
                <w:sz w:val="24"/>
                <w:szCs w:val="24"/>
              </w:rPr>
              <w:t>Contenidos temáticos</w:t>
            </w:r>
          </w:p>
        </w:tc>
        <w:tc>
          <w:tcPr>
            <w:tcW w:w="7088" w:type="dxa"/>
            <w:gridSpan w:val="2"/>
            <w:vAlign w:val="center"/>
          </w:tcPr>
          <w:p w14:paraId="023DF778" w14:textId="77777777" w:rsidR="00C84F4D" w:rsidRPr="00C84F4D" w:rsidRDefault="00C84F4D" w:rsidP="00C84F4D">
            <w:pPr>
              <w:spacing w:after="3"/>
              <w:jc w:val="center"/>
              <w:rPr>
                <w:b/>
                <w:bCs/>
                <w:color w:val="000000"/>
                <w:sz w:val="24"/>
                <w:szCs w:val="24"/>
              </w:rPr>
            </w:pPr>
            <w:r w:rsidRPr="00C84F4D">
              <w:rPr>
                <w:b/>
                <w:bCs/>
                <w:color w:val="000000"/>
                <w:sz w:val="24"/>
                <w:szCs w:val="24"/>
              </w:rPr>
              <w:t>Actividades de enseñanza-aprendizaje</w:t>
            </w:r>
          </w:p>
        </w:tc>
      </w:tr>
      <w:tr w:rsidR="00C84F4D" w:rsidRPr="00C84F4D" w14:paraId="06F3507A" w14:textId="77777777" w:rsidTr="00CE7124">
        <w:trPr>
          <w:trHeight w:val="423"/>
          <w:jc w:val="center"/>
        </w:trPr>
        <w:tc>
          <w:tcPr>
            <w:tcW w:w="1144" w:type="dxa"/>
            <w:vMerge/>
          </w:tcPr>
          <w:p w14:paraId="4FAF5503" w14:textId="77777777" w:rsidR="00C84F4D" w:rsidRPr="00C84F4D" w:rsidRDefault="00C84F4D" w:rsidP="00C84F4D">
            <w:pPr>
              <w:spacing w:after="3"/>
              <w:rPr>
                <w:color w:val="000000"/>
              </w:rPr>
            </w:pPr>
          </w:p>
        </w:tc>
        <w:tc>
          <w:tcPr>
            <w:tcW w:w="2395" w:type="dxa"/>
            <w:vMerge/>
          </w:tcPr>
          <w:p w14:paraId="145D3979" w14:textId="77777777" w:rsidR="00C84F4D" w:rsidRPr="00C84F4D" w:rsidRDefault="00C84F4D" w:rsidP="00C84F4D">
            <w:pPr>
              <w:spacing w:after="3"/>
              <w:rPr>
                <w:color w:val="000000"/>
              </w:rPr>
            </w:pPr>
          </w:p>
        </w:tc>
        <w:tc>
          <w:tcPr>
            <w:tcW w:w="3260" w:type="dxa"/>
            <w:vAlign w:val="center"/>
          </w:tcPr>
          <w:p w14:paraId="57728137" w14:textId="77777777" w:rsidR="00C84F4D" w:rsidRPr="00C84F4D" w:rsidRDefault="00C84F4D" w:rsidP="00C84F4D">
            <w:pPr>
              <w:spacing w:after="3"/>
              <w:jc w:val="center"/>
              <w:rPr>
                <w:b/>
                <w:bCs/>
                <w:color w:val="000000"/>
                <w:sz w:val="24"/>
                <w:szCs w:val="24"/>
              </w:rPr>
            </w:pPr>
            <w:r w:rsidRPr="00C84F4D">
              <w:rPr>
                <w:b/>
                <w:bCs/>
                <w:color w:val="000000"/>
                <w:sz w:val="24"/>
                <w:szCs w:val="24"/>
              </w:rPr>
              <w:t>Recursos didácticos</w:t>
            </w:r>
          </w:p>
        </w:tc>
        <w:tc>
          <w:tcPr>
            <w:tcW w:w="3828" w:type="dxa"/>
            <w:vAlign w:val="center"/>
          </w:tcPr>
          <w:p w14:paraId="5ED405E7" w14:textId="77777777" w:rsidR="00C84F4D" w:rsidRPr="00C84F4D" w:rsidRDefault="00C84F4D" w:rsidP="00C84F4D">
            <w:pPr>
              <w:spacing w:after="3"/>
              <w:jc w:val="center"/>
              <w:rPr>
                <w:b/>
                <w:bCs/>
                <w:color w:val="000000"/>
                <w:sz w:val="24"/>
                <w:szCs w:val="24"/>
              </w:rPr>
            </w:pPr>
            <w:r w:rsidRPr="00C84F4D">
              <w:rPr>
                <w:b/>
                <w:bCs/>
                <w:color w:val="000000"/>
                <w:sz w:val="24"/>
                <w:szCs w:val="24"/>
              </w:rPr>
              <w:t>Actividades de aprendizaje</w:t>
            </w:r>
          </w:p>
        </w:tc>
      </w:tr>
      <w:tr w:rsidR="00C84F4D" w:rsidRPr="00C84F4D" w14:paraId="49F2A5F1" w14:textId="77777777" w:rsidTr="00CE7124">
        <w:trPr>
          <w:trHeight w:val="1976"/>
          <w:jc w:val="center"/>
        </w:trPr>
        <w:tc>
          <w:tcPr>
            <w:tcW w:w="1144" w:type="dxa"/>
          </w:tcPr>
          <w:p w14:paraId="3F631ED4" w14:textId="77777777" w:rsidR="00C84F4D" w:rsidRPr="00C84F4D" w:rsidRDefault="00C84F4D" w:rsidP="00C84F4D">
            <w:pPr>
              <w:spacing w:after="3"/>
              <w:jc w:val="center"/>
              <w:rPr>
                <w:color w:val="000000"/>
              </w:rPr>
            </w:pPr>
          </w:p>
          <w:p w14:paraId="58A281EE" w14:textId="77777777" w:rsidR="00C84F4D" w:rsidRPr="00C84F4D" w:rsidRDefault="00C84F4D" w:rsidP="00C84F4D">
            <w:pPr>
              <w:spacing w:after="3"/>
              <w:jc w:val="center"/>
              <w:rPr>
                <w:color w:val="000000"/>
              </w:rPr>
            </w:pPr>
            <w:r w:rsidRPr="00C84F4D">
              <w:rPr>
                <w:color w:val="000000"/>
              </w:rPr>
              <w:t>1</w:t>
            </w:r>
          </w:p>
        </w:tc>
        <w:tc>
          <w:tcPr>
            <w:tcW w:w="2395" w:type="dxa"/>
            <w:vMerge w:val="restart"/>
          </w:tcPr>
          <w:p w14:paraId="6D5F7C46" w14:textId="77777777" w:rsidR="00C84F4D" w:rsidRPr="00C84F4D" w:rsidRDefault="00C84F4D" w:rsidP="00C84F4D">
            <w:pPr>
              <w:spacing w:after="3"/>
              <w:rPr>
                <w:b/>
                <w:bCs/>
                <w:color w:val="000000"/>
              </w:rPr>
            </w:pPr>
            <w:r w:rsidRPr="00C84F4D">
              <w:rPr>
                <w:b/>
                <w:bCs/>
                <w:color w:val="000000"/>
              </w:rPr>
              <w:t>Unidad 1: Elaboración del diseño de la tesina</w:t>
            </w:r>
          </w:p>
          <w:p w14:paraId="032F6A17" w14:textId="77777777" w:rsidR="00C84F4D" w:rsidRPr="00C84F4D" w:rsidRDefault="00C84F4D" w:rsidP="00C84F4D">
            <w:pPr>
              <w:spacing w:after="3"/>
              <w:rPr>
                <w:b/>
                <w:bCs/>
                <w:color w:val="000000"/>
              </w:rPr>
            </w:pPr>
          </w:p>
          <w:p w14:paraId="4D05B41E" w14:textId="77777777" w:rsidR="00C84F4D" w:rsidRPr="00C84F4D" w:rsidRDefault="00C84F4D" w:rsidP="00C84F4D">
            <w:pPr>
              <w:spacing w:after="3"/>
              <w:rPr>
                <w:color w:val="000000"/>
              </w:rPr>
            </w:pPr>
            <w:r w:rsidRPr="00C84F4D">
              <w:rPr>
                <w:color w:val="000000"/>
              </w:rPr>
              <w:t>1.1 Orientación sobre la pertinencia y validez del tema seleccionado</w:t>
            </w:r>
          </w:p>
          <w:p w14:paraId="6EDBD2D7" w14:textId="77777777" w:rsidR="00C84F4D" w:rsidRPr="00C84F4D" w:rsidRDefault="00C84F4D" w:rsidP="00C84F4D">
            <w:pPr>
              <w:spacing w:after="3"/>
              <w:rPr>
                <w:color w:val="000000"/>
              </w:rPr>
            </w:pPr>
          </w:p>
          <w:p w14:paraId="02348130" w14:textId="77777777" w:rsidR="00C84F4D" w:rsidRPr="00C84F4D" w:rsidRDefault="00C84F4D" w:rsidP="00C84F4D">
            <w:pPr>
              <w:spacing w:after="3"/>
              <w:rPr>
                <w:color w:val="000000"/>
              </w:rPr>
            </w:pPr>
            <w:r w:rsidRPr="00C84F4D">
              <w:rPr>
                <w:color w:val="000000"/>
              </w:rPr>
              <w:t>1.2 Sometimiento y revisión del diseño de tesina</w:t>
            </w:r>
          </w:p>
          <w:p w14:paraId="334CC450" w14:textId="77777777" w:rsidR="00C84F4D" w:rsidRPr="00C84F4D" w:rsidRDefault="00C84F4D" w:rsidP="00C84F4D">
            <w:pPr>
              <w:spacing w:after="3"/>
              <w:rPr>
                <w:color w:val="000000"/>
              </w:rPr>
            </w:pPr>
          </w:p>
          <w:p w14:paraId="2313FB8C" w14:textId="77777777" w:rsidR="00C84F4D" w:rsidRPr="00C84F4D" w:rsidRDefault="00C84F4D" w:rsidP="00C84F4D">
            <w:pPr>
              <w:spacing w:after="3"/>
              <w:rPr>
                <w:color w:val="000000"/>
              </w:rPr>
            </w:pPr>
            <w:r w:rsidRPr="00C84F4D">
              <w:rPr>
                <w:color w:val="000000"/>
              </w:rPr>
              <w:t>1.3 Aprobación del diseño</w:t>
            </w:r>
          </w:p>
          <w:p w14:paraId="50A5E31B" w14:textId="77777777" w:rsidR="00C84F4D" w:rsidRPr="00C84F4D" w:rsidRDefault="00C84F4D" w:rsidP="00C84F4D">
            <w:pPr>
              <w:spacing w:after="3"/>
              <w:rPr>
                <w:color w:val="000000"/>
              </w:rPr>
            </w:pPr>
          </w:p>
        </w:tc>
        <w:tc>
          <w:tcPr>
            <w:tcW w:w="3260" w:type="dxa"/>
            <w:vMerge w:val="restart"/>
          </w:tcPr>
          <w:p w14:paraId="070653F6" w14:textId="77777777" w:rsidR="00C84F4D" w:rsidRPr="00C84F4D" w:rsidRDefault="00C84F4D" w:rsidP="00C84F4D">
            <w:pPr>
              <w:spacing w:after="3"/>
              <w:rPr>
                <w:rFonts w:eastAsia="Arial"/>
                <w:color w:val="000000"/>
              </w:rPr>
            </w:pPr>
            <w:r w:rsidRPr="00C84F4D">
              <w:rPr>
                <w:rFonts w:eastAsia="Arial"/>
                <w:color w:val="000000"/>
              </w:rPr>
              <w:t xml:space="preserve">May, Janet. “Capítulo V. Elementos del diseño de la tesina o la tesis”. En </w:t>
            </w:r>
            <w:r w:rsidRPr="00C84F4D">
              <w:rPr>
                <w:rFonts w:eastAsia="Arial"/>
                <w:i/>
                <w:color w:val="000000"/>
              </w:rPr>
              <w:t>Guía para la presentación de trabajos académicos</w:t>
            </w:r>
            <w:r w:rsidRPr="00C84F4D">
              <w:rPr>
                <w:rFonts w:eastAsia="Arial"/>
                <w:iCs/>
                <w:color w:val="000000"/>
              </w:rPr>
              <w:t>, 70-89.</w:t>
            </w:r>
            <w:r w:rsidRPr="00C84F4D">
              <w:rPr>
                <w:rFonts w:eastAsia="Arial"/>
                <w:color w:val="000000"/>
              </w:rPr>
              <w:t xml:space="preserve"> San José, Costa Rica: Universidad Bíblica Latinoamericana, 2003. </w:t>
            </w:r>
            <w:r w:rsidRPr="00C84F4D">
              <w:rPr>
                <w:rFonts w:eastAsia="Arial"/>
                <w:color w:val="0070C0"/>
              </w:rPr>
              <w:t>(clásico, última edición)</w:t>
            </w:r>
          </w:p>
          <w:p w14:paraId="18CFACFB" w14:textId="77777777" w:rsidR="00C84F4D" w:rsidRPr="00C84F4D" w:rsidRDefault="00C84F4D" w:rsidP="00C84F4D">
            <w:pPr>
              <w:spacing w:after="3"/>
              <w:rPr>
                <w:color w:val="000000"/>
              </w:rPr>
            </w:pPr>
          </w:p>
          <w:p w14:paraId="722BDDE4" w14:textId="77777777" w:rsidR="00C84F4D" w:rsidRPr="00C84F4D" w:rsidRDefault="00C84F4D" w:rsidP="00C84F4D">
            <w:pPr>
              <w:spacing w:after="3"/>
              <w:rPr>
                <w:rFonts w:eastAsia="Arial"/>
                <w:color w:val="000000"/>
              </w:rPr>
            </w:pPr>
            <w:r w:rsidRPr="00C84F4D">
              <w:rPr>
                <w:rFonts w:eastAsia="Arial"/>
                <w:color w:val="000000"/>
              </w:rPr>
              <w:t xml:space="preserve">Ulate Soto, Ileana y </w:t>
            </w:r>
            <w:proofErr w:type="spellStart"/>
            <w:r w:rsidRPr="00C84F4D">
              <w:rPr>
                <w:rFonts w:eastAsia="Arial"/>
                <w:color w:val="000000"/>
              </w:rPr>
              <w:t>Elizarda</w:t>
            </w:r>
            <w:proofErr w:type="spellEnd"/>
            <w:r w:rsidRPr="00C84F4D">
              <w:rPr>
                <w:rFonts w:eastAsia="Arial"/>
                <w:color w:val="000000"/>
              </w:rPr>
              <w:t xml:space="preserve"> Vargas </w:t>
            </w:r>
            <w:proofErr w:type="spellStart"/>
            <w:r w:rsidRPr="00C84F4D">
              <w:rPr>
                <w:rFonts w:eastAsia="Arial"/>
                <w:color w:val="000000"/>
              </w:rPr>
              <w:t>Morúa</w:t>
            </w:r>
            <w:proofErr w:type="spellEnd"/>
            <w:r w:rsidRPr="00C84F4D">
              <w:rPr>
                <w:rFonts w:eastAsia="Arial"/>
                <w:color w:val="000000"/>
              </w:rPr>
              <w:t xml:space="preserve">. “Capítulo II. El anteproyecto de investigación”. En </w:t>
            </w:r>
            <w:r w:rsidRPr="00C84F4D">
              <w:rPr>
                <w:rFonts w:eastAsia="Arial"/>
                <w:i/>
                <w:color w:val="000000"/>
              </w:rPr>
              <w:t>Metodología para elaborar una tesis</w:t>
            </w:r>
            <w:r w:rsidRPr="00C84F4D">
              <w:rPr>
                <w:rFonts w:eastAsia="Arial"/>
                <w:iCs/>
                <w:color w:val="000000"/>
              </w:rPr>
              <w:t>, 19-31 y 33-52.</w:t>
            </w:r>
            <w:r w:rsidRPr="00C84F4D">
              <w:rPr>
                <w:rFonts w:eastAsia="Arial"/>
                <w:i/>
                <w:color w:val="000000"/>
              </w:rPr>
              <w:t xml:space="preserve"> </w:t>
            </w:r>
            <w:r w:rsidRPr="00C84F4D">
              <w:rPr>
                <w:rFonts w:eastAsia="Arial"/>
                <w:color w:val="000000"/>
              </w:rPr>
              <w:t xml:space="preserve">San José, Costa Rica: EUNED, 2019. </w:t>
            </w:r>
            <w:r w:rsidRPr="00C84F4D">
              <w:rPr>
                <w:rFonts w:eastAsia="Arial"/>
                <w:color w:val="0070C0"/>
              </w:rPr>
              <w:t>(clásico, última edición)</w:t>
            </w:r>
          </w:p>
          <w:p w14:paraId="17EC6353" w14:textId="77777777" w:rsidR="00C84F4D" w:rsidRPr="00C84F4D" w:rsidRDefault="00C84F4D" w:rsidP="00C84F4D">
            <w:pPr>
              <w:spacing w:after="3"/>
              <w:rPr>
                <w:color w:val="000000"/>
              </w:rPr>
            </w:pPr>
          </w:p>
        </w:tc>
        <w:tc>
          <w:tcPr>
            <w:tcW w:w="3828" w:type="dxa"/>
            <w:vMerge w:val="restart"/>
          </w:tcPr>
          <w:p w14:paraId="62AB256A" w14:textId="77777777" w:rsidR="00C84F4D" w:rsidRPr="00C84F4D" w:rsidRDefault="00C84F4D" w:rsidP="00C84F4D">
            <w:pPr>
              <w:numPr>
                <w:ilvl w:val="0"/>
                <w:numId w:val="194"/>
              </w:numPr>
              <w:spacing w:line="248" w:lineRule="auto"/>
              <w:ind w:left="316"/>
              <w:contextualSpacing/>
              <w:rPr>
                <w:color w:val="000000"/>
              </w:rPr>
            </w:pPr>
            <w:r w:rsidRPr="00C84F4D">
              <w:rPr>
                <w:color w:val="000000"/>
              </w:rPr>
              <w:t xml:space="preserve">Participación en el encuentro sincrónico virtual con la persona docente. </w:t>
            </w:r>
          </w:p>
          <w:p w14:paraId="5AC75189" w14:textId="77777777" w:rsidR="00C84F4D" w:rsidRPr="00C84F4D" w:rsidRDefault="00C84F4D" w:rsidP="00C84F4D">
            <w:pPr>
              <w:numPr>
                <w:ilvl w:val="0"/>
                <w:numId w:val="194"/>
              </w:numPr>
              <w:spacing w:line="248" w:lineRule="auto"/>
              <w:ind w:left="316"/>
              <w:contextualSpacing/>
              <w:rPr>
                <w:color w:val="000000"/>
              </w:rPr>
            </w:pPr>
            <w:r w:rsidRPr="00C84F4D">
              <w:rPr>
                <w:color w:val="000000"/>
              </w:rPr>
              <w:t>Revisión de la Guía para el Trabajo Final de Graduación.</w:t>
            </w:r>
          </w:p>
          <w:p w14:paraId="2B8FE28B" w14:textId="1B94D55A" w:rsidR="00C84F4D" w:rsidRPr="00C84F4D" w:rsidRDefault="00C84F4D" w:rsidP="00C84F4D">
            <w:pPr>
              <w:numPr>
                <w:ilvl w:val="0"/>
                <w:numId w:val="194"/>
              </w:numPr>
              <w:spacing w:line="248" w:lineRule="auto"/>
              <w:ind w:left="316"/>
              <w:contextualSpacing/>
              <w:rPr>
                <w:color w:val="000000"/>
              </w:rPr>
            </w:pPr>
            <w:r w:rsidRPr="00C84F4D">
              <w:rPr>
                <w:color w:val="000000"/>
              </w:rPr>
              <w:t xml:space="preserve">Entrega del diseño de la tesina para aprobación de la Dirección de la </w:t>
            </w:r>
            <w:r w:rsidR="00B53287">
              <w:rPr>
                <w:color w:val="000000"/>
              </w:rPr>
              <w:t>Escuela de Ciencias Bíblicas</w:t>
            </w:r>
            <w:r w:rsidRPr="00C84F4D">
              <w:rPr>
                <w:color w:val="000000"/>
              </w:rPr>
              <w:t xml:space="preserve">. </w:t>
            </w:r>
          </w:p>
        </w:tc>
      </w:tr>
      <w:tr w:rsidR="00C84F4D" w:rsidRPr="00C84F4D" w14:paraId="1C609228" w14:textId="77777777" w:rsidTr="00CE7124">
        <w:trPr>
          <w:jc w:val="center"/>
        </w:trPr>
        <w:tc>
          <w:tcPr>
            <w:tcW w:w="1144" w:type="dxa"/>
          </w:tcPr>
          <w:p w14:paraId="7CD4F845" w14:textId="77777777" w:rsidR="00C84F4D" w:rsidRPr="00C84F4D" w:rsidRDefault="00C84F4D" w:rsidP="00C84F4D">
            <w:pPr>
              <w:spacing w:after="3"/>
              <w:jc w:val="center"/>
              <w:rPr>
                <w:color w:val="000000"/>
              </w:rPr>
            </w:pPr>
          </w:p>
          <w:p w14:paraId="11457A96" w14:textId="77777777" w:rsidR="00C84F4D" w:rsidRPr="00C84F4D" w:rsidRDefault="00C84F4D" w:rsidP="00C84F4D">
            <w:pPr>
              <w:spacing w:after="3"/>
              <w:jc w:val="center"/>
              <w:rPr>
                <w:color w:val="000000"/>
              </w:rPr>
            </w:pPr>
            <w:r w:rsidRPr="00C84F4D">
              <w:rPr>
                <w:color w:val="000000"/>
              </w:rPr>
              <w:t>2</w:t>
            </w:r>
          </w:p>
        </w:tc>
        <w:tc>
          <w:tcPr>
            <w:tcW w:w="2395" w:type="dxa"/>
            <w:vMerge/>
          </w:tcPr>
          <w:p w14:paraId="317C885C" w14:textId="77777777" w:rsidR="00C84F4D" w:rsidRPr="00C84F4D" w:rsidRDefault="00C84F4D" w:rsidP="00C84F4D">
            <w:pPr>
              <w:spacing w:after="3"/>
              <w:rPr>
                <w:color w:val="000000"/>
              </w:rPr>
            </w:pPr>
          </w:p>
        </w:tc>
        <w:tc>
          <w:tcPr>
            <w:tcW w:w="3260" w:type="dxa"/>
            <w:vMerge/>
          </w:tcPr>
          <w:p w14:paraId="11881049" w14:textId="77777777" w:rsidR="00C84F4D" w:rsidRPr="00C84F4D" w:rsidRDefault="00C84F4D" w:rsidP="00C84F4D">
            <w:pPr>
              <w:spacing w:after="3"/>
              <w:rPr>
                <w:color w:val="000000"/>
              </w:rPr>
            </w:pPr>
          </w:p>
        </w:tc>
        <w:tc>
          <w:tcPr>
            <w:tcW w:w="3828" w:type="dxa"/>
            <w:vMerge/>
          </w:tcPr>
          <w:p w14:paraId="2BE57259" w14:textId="77777777" w:rsidR="00C84F4D" w:rsidRPr="00C84F4D" w:rsidRDefault="00C84F4D" w:rsidP="00C84F4D">
            <w:pPr>
              <w:spacing w:after="3"/>
              <w:rPr>
                <w:color w:val="000000"/>
              </w:rPr>
            </w:pPr>
          </w:p>
        </w:tc>
      </w:tr>
      <w:tr w:rsidR="00C84F4D" w:rsidRPr="00C84F4D" w14:paraId="700A7574" w14:textId="77777777" w:rsidTr="00CE7124">
        <w:trPr>
          <w:trHeight w:val="2142"/>
          <w:jc w:val="center"/>
        </w:trPr>
        <w:tc>
          <w:tcPr>
            <w:tcW w:w="1144" w:type="dxa"/>
          </w:tcPr>
          <w:p w14:paraId="3FD3C97F" w14:textId="77777777" w:rsidR="00C84F4D" w:rsidRPr="00C84F4D" w:rsidRDefault="00C84F4D" w:rsidP="00C84F4D">
            <w:pPr>
              <w:spacing w:after="3"/>
              <w:jc w:val="center"/>
              <w:rPr>
                <w:color w:val="000000"/>
              </w:rPr>
            </w:pPr>
          </w:p>
          <w:p w14:paraId="3AE5D31F" w14:textId="77777777" w:rsidR="00C84F4D" w:rsidRPr="00C84F4D" w:rsidRDefault="00C84F4D" w:rsidP="00C84F4D">
            <w:pPr>
              <w:spacing w:after="3"/>
              <w:jc w:val="center"/>
              <w:rPr>
                <w:color w:val="000000"/>
              </w:rPr>
            </w:pPr>
            <w:r w:rsidRPr="00C84F4D">
              <w:rPr>
                <w:color w:val="000000"/>
              </w:rPr>
              <w:t>3</w:t>
            </w:r>
          </w:p>
        </w:tc>
        <w:tc>
          <w:tcPr>
            <w:tcW w:w="2395" w:type="dxa"/>
            <w:vMerge w:val="restart"/>
          </w:tcPr>
          <w:p w14:paraId="1DE118C4" w14:textId="77777777" w:rsidR="00C84F4D" w:rsidRPr="00C84F4D" w:rsidRDefault="00C84F4D" w:rsidP="00C84F4D">
            <w:pPr>
              <w:spacing w:after="3"/>
              <w:rPr>
                <w:b/>
                <w:bCs/>
                <w:color w:val="000000"/>
              </w:rPr>
            </w:pPr>
            <w:r w:rsidRPr="00C84F4D">
              <w:rPr>
                <w:b/>
                <w:bCs/>
                <w:color w:val="000000"/>
              </w:rPr>
              <w:t>Unidad 2: Revisión de la literatura disponible</w:t>
            </w:r>
          </w:p>
          <w:p w14:paraId="5F7FDC23" w14:textId="77777777" w:rsidR="00C84F4D" w:rsidRPr="00C84F4D" w:rsidRDefault="00C84F4D" w:rsidP="00C84F4D">
            <w:pPr>
              <w:spacing w:after="3"/>
              <w:rPr>
                <w:b/>
                <w:bCs/>
                <w:color w:val="000000"/>
              </w:rPr>
            </w:pPr>
          </w:p>
          <w:p w14:paraId="472D08C0" w14:textId="77777777" w:rsidR="00C84F4D" w:rsidRPr="00C84F4D" w:rsidRDefault="00C84F4D" w:rsidP="00C84F4D">
            <w:pPr>
              <w:spacing w:after="3"/>
              <w:rPr>
                <w:color w:val="000000"/>
              </w:rPr>
            </w:pPr>
            <w:r w:rsidRPr="00C84F4D">
              <w:rPr>
                <w:color w:val="000000"/>
              </w:rPr>
              <w:t>2.1 Consulta de fuentes primarias, secundarias y terciarias</w:t>
            </w:r>
          </w:p>
          <w:p w14:paraId="25B58604" w14:textId="77777777" w:rsidR="00C84F4D" w:rsidRPr="00C84F4D" w:rsidRDefault="00C84F4D" w:rsidP="00C84F4D">
            <w:pPr>
              <w:spacing w:after="3"/>
              <w:rPr>
                <w:color w:val="000000"/>
              </w:rPr>
            </w:pPr>
          </w:p>
          <w:p w14:paraId="3FE3203E" w14:textId="77777777" w:rsidR="00C84F4D" w:rsidRPr="00C84F4D" w:rsidRDefault="00C84F4D" w:rsidP="00C84F4D">
            <w:pPr>
              <w:spacing w:after="3"/>
              <w:rPr>
                <w:color w:val="000000"/>
              </w:rPr>
            </w:pPr>
            <w:r w:rsidRPr="00C84F4D">
              <w:rPr>
                <w:color w:val="000000"/>
              </w:rPr>
              <w:t>2.2 Revisión de la literatura disponible</w:t>
            </w:r>
          </w:p>
          <w:p w14:paraId="0758CDBB" w14:textId="77777777" w:rsidR="00C84F4D" w:rsidRPr="00C84F4D" w:rsidRDefault="00C84F4D" w:rsidP="00C84F4D">
            <w:pPr>
              <w:spacing w:after="3"/>
              <w:rPr>
                <w:color w:val="000000"/>
              </w:rPr>
            </w:pPr>
          </w:p>
          <w:p w14:paraId="74D9454A" w14:textId="77777777" w:rsidR="00C84F4D" w:rsidRPr="00C84F4D" w:rsidRDefault="00C84F4D" w:rsidP="00C84F4D">
            <w:pPr>
              <w:spacing w:after="3"/>
              <w:rPr>
                <w:color w:val="000000"/>
              </w:rPr>
            </w:pPr>
            <w:r w:rsidRPr="00C84F4D">
              <w:rPr>
                <w:color w:val="000000"/>
              </w:rPr>
              <w:lastRenderedPageBreak/>
              <w:t>2.3 Asesoramiento sobre recursos teóricos</w:t>
            </w:r>
          </w:p>
        </w:tc>
        <w:tc>
          <w:tcPr>
            <w:tcW w:w="3260" w:type="dxa"/>
            <w:vMerge w:val="restart"/>
          </w:tcPr>
          <w:p w14:paraId="4E44173A" w14:textId="77777777" w:rsidR="00C84F4D" w:rsidRPr="00C84F4D" w:rsidRDefault="00C84F4D" w:rsidP="00C84F4D">
            <w:pPr>
              <w:spacing w:after="3"/>
              <w:rPr>
                <w:color w:val="0563C1"/>
                <w:u w:val="single"/>
              </w:rPr>
            </w:pPr>
            <w:r w:rsidRPr="00C84F4D">
              <w:rPr>
                <w:rFonts w:eastAsia="Arial"/>
                <w:color w:val="000000"/>
              </w:rPr>
              <w:lastRenderedPageBreak/>
              <w:t xml:space="preserve">Guirao </w:t>
            </w:r>
            <w:proofErr w:type="spellStart"/>
            <w:r w:rsidRPr="00C84F4D">
              <w:rPr>
                <w:rFonts w:eastAsia="Arial"/>
                <w:color w:val="000000"/>
              </w:rPr>
              <w:t>Goris</w:t>
            </w:r>
            <w:proofErr w:type="spellEnd"/>
            <w:r w:rsidRPr="00C84F4D">
              <w:rPr>
                <w:rFonts w:eastAsia="Arial"/>
                <w:color w:val="000000"/>
              </w:rPr>
              <w:t xml:space="preserve">, </w:t>
            </w:r>
            <w:proofErr w:type="spellStart"/>
            <w:r w:rsidRPr="00C84F4D">
              <w:rPr>
                <w:rFonts w:eastAsia="Arial"/>
                <w:color w:val="000000"/>
              </w:rPr>
              <w:t>Silamani</w:t>
            </w:r>
            <w:proofErr w:type="spellEnd"/>
            <w:r w:rsidRPr="00C84F4D">
              <w:rPr>
                <w:rFonts w:eastAsia="Arial"/>
                <w:color w:val="000000"/>
              </w:rPr>
              <w:t xml:space="preserve"> J. Adolf. “Utilidad y tipos de revisión de literatura”</w:t>
            </w:r>
            <w:r w:rsidRPr="00C84F4D">
              <w:rPr>
                <w:rFonts w:eastAsia="Arial"/>
                <w:i/>
                <w:iCs/>
                <w:color w:val="000000"/>
              </w:rPr>
              <w:t xml:space="preserve">. Ene, </w:t>
            </w:r>
            <w:r w:rsidRPr="00C84F4D">
              <w:rPr>
                <w:rFonts w:eastAsia="Arial"/>
                <w:color w:val="000000"/>
              </w:rPr>
              <w:t>n. 2 (2015).</w:t>
            </w:r>
            <w:r w:rsidRPr="00C84F4D">
              <w:rPr>
                <w:rFonts w:eastAsia="Arial"/>
                <w:i/>
                <w:iCs/>
                <w:color w:val="000000"/>
              </w:rPr>
              <w:t xml:space="preserve"> </w:t>
            </w:r>
            <w:r w:rsidRPr="00C84F4D">
              <w:rPr>
                <w:rFonts w:eastAsia="Arial"/>
                <w:color w:val="000000"/>
              </w:rPr>
              <w:t>Acceso el 22 de noviembre de 2022.</w:t>
            </w:r>
            <w:r w:rsidRPr="00C84F4D">
              <w:rPr>
                <w:color w:val="000000"/>
              </w:rPr>
              <w:t xml:space="preserve"> </w:t>
            </w:r>
            <w:hyperlink r:id="rId588" w:history="1">
              <w:r w:rsidRPr="00C84F4D">
                <w:rPr>
                  <w:color w:val="0563C1"/>
                  <w:u w:val="single"/>
                </w:rPr>
                <w:t>https://dx.doi.org/10.4321/S1988-348X2015000200002</w:t>
              </w:r>
            </w:hyperlink>
          </w:p>
          <w:p w14:paraId="253BE2EA" w14:textId="77777777" w:rsidR="00C84F4D" w:rsidRPr="00C84F4D" w:rsidRDefault="00C84F4D" w:rsidP="00C84F4D">
            <w:pPr>
              <w:spacing w:after="3"/>
              <w:rPr>
                <w:color w:val="0563C1"/>
                <w:u w:val="single"/>
              </w:rPr>
            </w:pPr>
          </w:p>
          <w:p w14:paraId="057CF27E" w14:textId="77777777" w:rsidR="00C84F4D" w:rsidRPr="00C84F4D" w:rsidRDefault="00C84F4D" w:rsidP="00C84F4D">
            <w:pPr>
              <w:spacing w:after="3"/>
              <w:rPr>
                <w:rFonts w:eastAsia="Arial"/>
                <w:color w:val="000000"/>
              </w:rPr>
            </w:pPr>
            <w:r w:rsidRPr="00C84F4D">
              <w:rPr>
                <w:rFonts w:eastAsia="Arial"/>
                <w:color w:val="000000"/>
              </w:rPr>
              <w:t xml:space="preserve">Ulate Soto, Ileana y </w:t>
            </w:r>
            <w:proofErr w:type="spellStart"/>
            <w:r w:rsidRPr="00C84F4D">
              <w:rPr>
                <w:rFonts w:eastAsia="Arial"/>
                <w:color w:val="000000"/>
              </w:rPr>
              <w:t>Elizarda</w:t>
            </w:r>
            <w:proofErr w:type="spellEnd"/>
            <w:r w:rsidRPr="00C84F4D">
              <w:rPr>
                <w:rFonts w:eastAsia="Arial"/>
                <w:color w:val="000000"/>
              </w:rPr>
              <w:t xml:space="preserve"> Vargas </w:t>
            </w:r>
            <w:proofErr w:type="spellStart"/>
            <w:r w:rsidRPr="00C84F4D">
              <w:rPr>
                <w:rFonts w:eastAsia="Arial"/>
                <w:color w:val="000000"/>
              </w:rPr>
              <w:t>Morúa</w:t>
            </w:r>
            <w:proofErr w:type="spellEnd"/>
            <w:r w:rsidRPr="00C84F4D">
              <w:rPr>
                <w:rFonts w:eastAsia="Arial"/>
                <w:color w:val="000000"/>
              </w:rPr>
              <w:t xml:space="preserve">. “Capítulo IV. Marco Teórico”. En </w:t>
            </w:r>
            <w:r w:rsidRPr="00C84F4D">
              <w:rPr>
                <w:rFonts w:eastAsia="Arial"/>
                <w:i/>
                <w:color w:val="000000"/>
              </w:rPr>
              <w:t>Metodología para elaborar una tesis</w:t>
            </w:r>
            <w:r w:rsidRPr="00C84F4D">
              <w:rPr>
                <w:rFonts w:eastAsia="Arial"/>
                <w:iCs/>
                <w:color w:val="000000"/>
              </w:rPr>
              <w:t>, 53-67.</w:t>
            </w:r>
            <w:r w:rsidRPr="00C84F4D">
              <w:rPr>
                <w:rFonts w:eastAsia="Arial"/>
                <w:i/>
                <w:color w:val="000000"/>
              </w:rPr>
              <w:t xml:space="preserve"> </w:t>
            </w:r>
            <w:r w:rsidRPr="00C84F4D">
              <w:rPr>
                <w:rFonts w:eastAsia="Arial"/>
                <w:color w:val="000000"/>
              </w:rPr>
              <w:t xml:space="preserve">San José, </w:t>
            </w:r>
            <w:r w:rsidRPr="00C84F4D">
              <w:rPr>
                <w:rFonts w:eastAsia="Arial"/>
                <w:color w:val="000000"/>
              </w:rPr>
              <w:lastRenderedPageBreak/>
              <w:t xml:space="preserve">Costa Rica: EUNED, 2019. </w:t>
            </w:r>
            <w:r w:rsidRPr="00C84F4D">
              <w:rPr>
                <w:rFonts w:eastAsia="Arial"/>
                <w:color w:val="0070C0"/>
              </w:rPr>
              <w:t>(clásico, última edición)</w:t>
            </w:r>
          </w:p>
          <w:p w14:paraId="256F8A31" w14:textId="77777777" w:rsidR="00C84F4D" w:rsidRPr="00C84F4D" w:rsidRDefault="00C84F4D" w:rsidP="00C84F4D">
            <w:pPr>
              <w:spacing w:after="3" w:line="248" w:lineRule="auto"/>
              <w:rPr>
                <w:color w:val="000000"/>
              </w:rPr>
            </w:pPr>
          </w:p>
        </w:tc>
        <w:tc>
          <w:tcPr>
            <w:tcW w:w="3828" w:type="dxa"/>
            <w:vMerge w:val="restart"/>
          </w:tcPr>
          <w:p w14:paraId="4315390A" w14:textId="77777777" w:rsidR="00C84F4D" w:rsidRPr="00C84F4D" w:rsidRDefault="00C84F4D" w:rsidP="00C84F4D">
            <w:pPr>
              <w:numPr>
                <w:ilvl w:val="0"/>
                <w:numId w:val="195"/>
              </w:numPr>
              <w:spacing w:line="248" w:lineRule="auto"/>
              <w:ind w:left="316"/>
              <w:contextualSpacing/>
              <w:rPr>
                <w:color w:val="000000"/>
              </w:rPr>
            </w:pPr>
            <w:r w:rsidRPr="00C84F4D">
              <w:rPr>
                <w:color w:val="000000"/>
              </w:rPr>
              <w:lastRenderedPageBreak/>
              <w:t>Participación en el encuentro sincrónico virtual con la persona docente.</w:t>
            </w:r>
          </w:p>
          <w:p w14:paraId="203A1A2A" w14:textId="77777777" w:rsidR="00C84F4D" w:rsidRPr="00C84F4D" w:rsidRDefault="00C84F4D" w:rsidP="00C84F4D">
            <w:pPr>
              <w:numPr>
                <w:ilvl w:val="0"/>
                <w:numId w:val="195"/>
              </w:numPr>
              <w:spacing w:line="248" w:lineRule="auto"/>
              <w:ind w:left="316"/>
              <w:contextualSpacing/>
              <w:rPr>
                <w:color w:val="000000"/>
              </w:rPr>
            </w:pPr>
            <w:r w:rsidRPr="00C84F4D">
              <w:rPr>
                <w:color w:val="000000"/>
              </w:rPr>
              <w:t xml:space="preserve">Revisión de la bibliografía. </w:t>
            </w:r>
          </w:p>
        </w:tc>
      </w:tr>
      <w:tr w:rsidR="00C84F4D" w:rsidRPr="00C84F4D" w14:paraId="4AD8EBDB" w14:textId="77777777" w:rsidTr="00CE7124">
        <w:trPr>
          <w:jc w:val="center"/>
        </w:trPr>
        <w:tc>
          <w:tcPr>
            <w:tcW w:w="1144" w:type="dxa"/>
          </w:tcPr>
          <w:p w14:paraId="5C48C5D2" w14:textId="77777777" w:rsidR="00C84F4D" w:rsidRPr="00C84F4D" w:rsidRDefault="00C84F4D" w:rsidP="00C84F4D">
            <w:pPr>
              <w:spacing w:after="3"/>
              <w:jc w:val="center"/>
              <w:rPr>
                <w:color w:val="000000"/>
              </w:rPr>
            </w:pPr>
          </w:p>
          <w:p w14:paraId="6ED9EBAB" w14:textId="77777777" w:rsidR="00C84F4D" w:rsidRPr="00C84F4D" w:rsidRDefault="00C84F4D" w:rsidP="00C84F4D">
            <w:pPr>
              <w:spacing w:after="3"/>
              <w:jc w:val="center"/>
              <w:rPr>
                <w:color w:val="000000"/>
              </w:rPr>
            </w:pPr>
            <w:r w:rsidRPr="00C84F4D">
              <w:rPr>
                <w:color w:val="000000"/>
              </w:rPr>
              <w:t>4</w:t>
            </w:r>
          </w:p>
        </w:tc>
        <w:tc>
          <w:tcPr>
            <w:tcW w:w="2395" w:type="dxa"/>
            <w:vMerge/>
          </w:tcPr>
          <w:p w14:paraId="3932EBEB" w14:textId="77777777" w:rsidR="00C84F4D" w:rsidRPr="00C84F4D" w:rsidRDefault="00C84F4D" w:rsidP="00C84F4D">
            <w:pPr>
              <w:spacing w:after="3"/>
              <w:rPr>
                <w:color w:val="000000"/>
              </w:rPr>
            </w:pPr>
          </w:p>
        </w:tc>
        <w:tc>
          <w:tcPr>
            <w:tcW w:w="3260" w:type="dxa"/>
            <w:vMerge/>
          </w:tcPr>
          <w:p w14:paraId="71916651" w14:textId="77777777" w:rsidR="00C84F4D" w:rsidRPr="00C84F4D" w:rsidRDefault="00C84F4D" w:rsidP="00C84F4D">
            <w:pPr>
              <w:spacing w:after="3"/>
              <w:rPr>
                <w:color w:val="000000"/>
              </w:rPr>
            </w:pPr>
          </w:p>
        </w:tc>
        <w:tc>
          <w:tcPr>
            <w:tcW w:w="3828" w:type="dxa"/>
            <w:vMerge/>
          </w:tcPr>
          <w:p w14:paraId="720F2A5B" w14:textId="77777777" w:rsidR="00C84F4D" w:rsidRPr="00C84F4D" w:rsidRDefault="00C84F4D" w:rsidP="00C84F4D">
            <w:pPr>
              <w:spacing w:after="3"/>
              <w:rPr>
                <w:color w:val="000000"/>
              </w:rPr>
            </w:pPr>
          </w:p>
        </w:tc>
      </w:tr>
      <w:tr w:rsidR="00C84F4D" w:rsidRPr="00C84F4D" w14:paraId="46172D9C" w14:textId="77777777" w:rsidTr="00CE7124">
        <w:trPr>
          <w:trHeight w:val="2113"/>
          <w:jc w:val="center"/>
        </w:trPr>
        <w:tc>
          <w:tcPr>
            <w:tcW w:w="1144" w:type="dxa"/>
          </w:tcPr>
          <w:p w14:paraId="7EDD01B4" w14:textId="77777777" w:rsidR="00C84F4D" w:rsidRPr="00C84F4D" w:rsidRDefault="00C84F4D" w:rsidP="00C84F4D">
            <w:pPr>
              <w:spacing w:after="3"/>
              <w:jc w:val="center"/>
              <w:rPr>
                <w:color w:val="000000"/>
              </w:rPr>
            </w:pPr>
          </w:p>
          <w:p w14:paraId="7F974BBA" w14:textId="77777777" w:rsidR="00C84F4D" w:rsidRPr="00C84F4D" w:rsidRDefault="00C84F4D" w:rsidP="00C84F4D">
            <w:pPr>
              <w:spacing w:after="3"/>
              <w:jc w:val="center"/>
              <w:rPr>
                <w:color w:val="000000"/>
              </w:rPr>
            </w:pPr>
            <w:r w:rsidRPr="00C84F4D">
              <w:rPr>
                <w:color w:val="000000"/>
              </w:rPr>
              <w:t>5</w:t>
            </w:r>
          </w:p>
        </w:tc>
        <w:tc>
          <w:tcPr>
            <w:tcW w:w="2395" w:type="dxa"/>
            <w:vMerge w:val="restart"/>
          </w:tcPr>
          <w:p w14:paraId="6A4109CA" w14:textId="77777777" w:rsidR="00C84F4D" w:rsidRPr="00C84F4D" w:rsidRDefault="00C84F4D" w:rsidP="00C84F4D">
            <w:pPr>
              <w:spacing w:after="3"/>
              <w:rPr>
                <w:b/>
                <w:bCs/>
                <w:color w:val="000000"/>
              </w:rPr>
            </w:pPr>
            <w:r w:rsidRPr="00C84F4D">
              <w:rPr>
                <w:b/>
                <w:bCs/>
                <w:color w:val="000000"/>
              </w:rPr>
              <w:t>Unidad 3: Acopio teórico o recolección de datos</w:t>
            </w:r>
          </w:p>
          <w:p w14:paraId="5C2187E3" w14:textId="77777777" w:rsidR="00C84F4D" w:rsidRPr="00C84F4D" w:rsidRDefault="00C84F4D" w:rsidP="00C84F4D">
            <w:pPr>
              <w:spacing w:after="3"/>
              <w:rPr>
                <w:b/>
                <w:bCs/>
                <w:color w:val="000000"/>
              </w:rPr>
            </w:pPr>
          </w:p>
          <w:p w14:paraId="0D66F2D3" w14:textId="77777777" w:rsidR="00C84F4D" w:rsidRPr="00C84F4D" w:rsidRDefault="00C84F4D" w:rsidP="00C84F4D">
            <w:pPr>
              <w:spacing w:after="3"/>
              <w:rPr>
                <w:color w:val="000000"/>
              </w:rPr>
            </w:pPr>
            <w:r w:rsidRPr="00C84F4D">
              <w:rPr>
                <w:color w:val="000000"/>
              </w:rPr>
              <w:t>3.1 Lectura y recolección de la información</w:t>
            </w:r>
          </w:p>
          <w:p w14:paraId="417E3695" w14:textId="77777777" w:rsidR="00C84F4D" w:rsidRPr="00C84F4D" w:rsidRDefault="00C84F4D" w:rsidP="00C84F4D">
            <w:pPr>
              <w:spacing w:after="3"/>
              <w:rPr>
                <w:color w:val="000000"/>
              </w:rPr>
            </w:pPr>
          </w:p>
          <w:p w14:paraId="2200D93B" w14:textId="77777777" w:rsidR="00C84F4D" w:rsidRPr="00C84F4D" w:rsidRDefault="00C84F4D" w:rsidP="00C84F4D">
            <w:pPr>
              <w:spacing w:after="3"/>
              <w:rPr>
                <w:color w:val="000000"/>
              </w:rPr>
            </w:pPr>
            <w:r w:rsidRPr="00C84F4D">
              <w:rPr>
                <w:color w:val="000000"/>
              </w:rPr>
              <w:t>3.2 Organización de la documentación según subtemas</w:t>
            </w:r>
          </w:p>
          <w:p w14:paraId="159A83E1" w14:textId="77777777" w:rsidR="00C84F4D" w:rsidRPr="00C84F4D" w:rsidRDefault="00C84F4D" w:rsidP="00C84F4D">
            <w:pPr>
              <w:spacing w:after="3"/>
              <w:rPr>
                <w:b/>
                <w:bCs/>
                <w:color w:val="000000"/>
              </w:rPr>
            </w:pPr>
          </w:p>
        </w:tc>
        <w:tc>
          <w:tcPr>
            <w:tcW w:w="3260" w:type="dxa"/>
            <w:vMerge w:val="restart"/>
          </w:tcPr>
          <w:p w14:paraId="63C2013D" w14:textId="77777777" w:rsidR="00C84F4D" w:rsidRPr="00C84F4D" w:rsidRDefault="00C84F4D" w:rsidP="00C84F4D">
            <w:pPr>
              <w:spacing w:after="3"/>
              <w:rPr>
                <w:rFonts w:eastAsia="Arial"/>
                <w:color w:val="000000"/>
              </w:rPr>
            </w:pPr>
            <w:r w:rsidRPr="00C84F4D">
              <w:rPr>
                <w:rFonts w:eastAsia="Arial"/>
                <w:color w:val="000000"/>
              </w:rPr>
              <w:t xml:space="preserve">May, Janet. “Abreviaturas de los libros de la Biblia”. En </w:t>
            </w:r>
            <w:r w:rsidRPr="00C84F4D">
              <w:rPr>
                <w:rFonts w:eastAsia="Arial"/>
                <w:i/>
                <w:color w:val="000000"/>
              </w:rPr>
              <w:t>Guía para la presentación de trabajos académicos</w:t>
            </w:r>
            <w:r w:rsidRPr="00C84F4D">
              <w:rPr>
                <w:rFonts w:eastAsia="Arial"/>
                <w:color w:val="000000"/>
              </w:rPr>
              <w:t xml:space="preserve">, 21-44. San José, Costa Rica: Universidad Bíblica Latinoamericana, 2003. </w:t>
            </w:r>
            <w:r w:rsidRPr="00C84F4D">
              <w:rPr>
                <w:rFonts w:eastAsia="Arial"/>
                <w:color w:val="0070C0"/>
              </w:rPr>
              <w:t>(clásico, última edición)</w:t>
            </w:r>
          </w:p>
          <w:p w14:paraId="24B66B56" w14:textId="77777777" w:rsidR="00C84F4D" w:rsidRPr="00C84F4D" w:rsidRDefault="00C84F4D" w:rsidP="00C84F4D">
            <w:pPr>
              <w:spacing w:after="3"/>
              <w:rPr>
                <w:rFonts w:eastAsia="Arial"/>
                <w:color w:val="000000"/>
              </w:rPr>
            </w:pPr>
          </w:p>
          <w:p w14:paraId="0540847C" w14:textId="77777777" w:rsidR="00C84F4D" w:rsidRPr="00C84F4D" w:rsidRDefault="00C84F4D" w:rsidP="00C84F4D">
            <w:pPr>
              <w:spacing w:after="3"/>
              <w:rPr>
                <w:rFonts w:eastAsia="Arial"/>
                <w:color w:val="000000"/>
              </w:rPr>
            </w:pPr>
            <w:r w:rsidRPr="00C84F4D">
              <w:rPr>
                <w:rFonts w:eastAsia="Arial"/>
                <w:color w:val="000000"/>
              </w:rPr>
              <w:t xml:space="preserve">Ulate Soto, Ileana y </w:t>
            </w:r>
            <w:proofErr w:type="spellStart"/>
            <w:r w:rsidRPr="00C84F4D">
              <w:rPr>
                <w:rFonts w:eastAsia="Arial"/>
                <w:color w:val="000000"/>
              </w:rPr>
              <w:t>Elizarda</w:t>
            </w:r>
            <w:proofErr w:type="spellEnd"/>
            <w:r w:rsidRPr="00C84F4D">
              <w:rPr>
                <w:rFonts w:eastAsia="Arial"/>
                <w:color w:val="000000"/>
              </w:rPr>
              <w:t xml:space="preserve"> Vargas </w:t>
            </w:r>
            <w:proofErr w:type="spellStart"/>
            <w:r w:rsidRPr="00C84F4D">
              <w:rPr>
                <w:rFonts w:eastAsia="Arial"/>
                <w:color w:val="000000"/>
              </w:rPr>
              <w:t>Morúa</w:t>
            </w:r>
            <w:proofErr w:type="spellEnd"/>
            <w:r w:rsidRPr="00C84F4D">
              <w:rPr>
                <w:rFonts w:eastAsia="Arial"/>
                <w:color w:val="000000"/>
              </w:rPr>
              <w:t xml:space="preserve">. “Capítulo VI. Análisis de la información”. En </w:t>
            </w:r>
            <w:r w:rsidRPr="00C84F4D">
              <w:rPr>
                <w:rFonts w:eastAsia="Arial"/>
                <w:i/>
                <w:color w:val="000000"/>
              </w:rPr>
              <w:t>Metodología para elaborar una tesis</w:t>
            </w:r>
            <w:r w:rsidRPr="00C84F4D">
              <w:rPr>
                <w:rFonts w:eastAsia="Arial"/>
                <w:iCs/>
                <w:color w:val="000000"/>
              </w:rPr>
              <w:t>, 87-104.</w:t>
            </w:r>
            <w:r w:rsidRPr="00C84F4D">
              <w:rPr>
                <w:rFonts w:eastAsia="Arial"/>
                <w:i/>
                <w:color w:val="000000"/>
              </w:rPr>
              <w:t xml:space="preserve"> </w:t>
            </w:r>
            <w:r w:rsidRPr="00C84F4D">
              <w:rPr>
                <w:rFonts w:eastAsia="Arial"/>
                <w:color w:val="000000"/>
              </w:rPr>
              <w:t>San José, Costa Rica: EUNED, 2019.</w:t>
            </w:r>
          </w:p>
          <w:p w14:paraId="17272C0B" w14:textId="77777777" w:rsidR="00C84F4D" w:rsidRPr="00C84F4D" w:rsidRDefault="00C84F4D" w:rsidP="00C84F4D">
            <w:pPr>
              <w:spacing w:after="3"/>
              <w:rPr>
                <w:color w:val="000000"/>
              </w:rPr>
            </w:pPr>
          </w:p>
        </w:tc>
        <w:tc>
          <w:tcPr>
            <w:tcW w:w="3828" w:type="dxa"/>
            <w:vMerge w:val="restart"/>
          </w:tcPr>
          <w:p w14:paraId="54D14ECD" w14:textId="77777777" w:rsidR="00C84F4D" w:rsidRPr="00C84F4D" w:rsidRDefault="00C84F4D" w:rsidP="00C84F4D">
            <w:pPr>
              <w:numPr>
                <w:ilvl w:val="0"/>
                <w:numId w:val="196"/>
              </w:numPr>
              <w:spacing w:line="248" w:lineRule="auto"/>
              <w:ind w:left="316"/>
              <w:contextualSpacing/>
              <w:rPr>
                <w:color w:val="000000"/>
              </w:rPr>
            </w:pPr>
            <w:r w:rsidRPr="00C84F4D">
              <w:rPr>
                <w:color w:val="000000"/>
              </w:rPr>
              <w:t>Participación en el encuentro sincrónico virtual con la persona docente.</w:t>
            </w:r>
          </w:p>
          <w:p w14:paraId="7CC90023" w14:textId="77777777" w:rsidR="00C84F4D" w:rsidRPr="00C84F4D" w:rsidRDefault="00C84F4D" w:rsidP="00C84F4D">
            <w:pPr>
              <w:numPr>
                <w:ilvl w:val="0"/>
                <w:numId w:val="196"/>
              </w:numPr>
              <w:spacing w:line="248" w:lineRule="auto"/>
              <w:ind w:left="316"/>
              <w:contextualSpacing/>
              <w:rPr>
                <w:color w:val="000000"/>
              </w:rPr>
            </w:pPr>
            <w:r w:rsidRPr="00C84F4D">
              <w:rPr>
                <w:color w:val="000000"/>
              </w:rPr>
              <w:t>Revisión del proceso de recolección de datos y elaboración de fichas.</w:t>
            </w:r>
          </w:p>
        </w:tc>
      </w:tr>
      <w:tr w:rsidR="00C84F4D" w:rsidRPr="00C84F4D" w14:paraId="0A05B5F4" w14:textId="77777777" w:rsidTr="00CE7124">
        <w:trPr>
          <w:jc w:val="center"/>
        </w:trPr>
        <w:tc>
          <w:tcPr>
            <w:tcW w:w="1144" w:type="dxa"/>
          </w:tcPr>
          <w:p w14:paraId="023D8CEC" w14:textId="77777777" w:rsidR="00C84F4D" w:rsidRPr="00C84F4D" w:rsidRDefault="00C84F4D" w:rsidP="00C84F4D">
            <w:pPr>
              <w:spacing w:after="3"/>
              <w:jc w:val="center"/>
              <w:rPr>
                <w:color w:val="000000"/>
              </w:rPr>
            </w:pPr>
          </w:p>
          <w:p w14:paraId="0E53E5A5" w14:textId="77777777" w:rsidR="00C84F4D" w:rsidRPr="00C84F4D" w:rsidRDefault="00C84F4D" w:rsidP="00C84F4D">
            <w:pPr>
              <w:spacing w:after="3"/>
              <w:jc w:val="center"/>
              <w:rPr>
                <w:color w:val="000000"/>
              </w:rPr>
            </w:pPr>
            <w:r w:rsidRPr="00C84F4D">
              <w:rPr>
                <w:color w:val="000000"/>
              </w:rPr>
              <w:t>6</w:t>
            </w:r>
          </w:p>
        </w:tc>
        <w:tc>
          <w:tcPr>
            <w:tcW w:w="2395" w:type="dxa"/>
            <w:vMerge/>
          </w:tcPr>
          <w:p w14:paraId="439DAF5A" w14:textId="77777777" w:rsidR="00C84F4D" w:rsidRPr="00C84F4D" w:rsidRDefault="00C84F4D" w:rsidP="00C84F4D">
            <w:pPr>
              <w:spacing w:after="3"/>
              <w:rPr>
                <w:color w:val="000000"/>
              </w:rPr>
            </w:pPr>
          </w:p>
        </w:tc>
        <w:tc>
          <w:tcPr>
            <w:tcW w:w="3260" w:type="dxa"/>
            <w:vMerge/>
          </w:tcPr>
          <w:p w14:paraId="135CFA52" w14:textId="77777777" w:rsidR="00C84F4D" w:rsidRPr="00C84F4D" w:rsidRDefault="00C84F4D" w:rsidP="00C84F4D">
            <w:pPr>
              <w:spacing w:after="3"/>
              <w:rPr>
                <w:color w:val="000000"/>
              </w:rPr>
            </w:pPr>
          </w:p>
        </w:tc>
        <w:tc>
          <w:tcPr>
            <w:tcW w:w="3828" w:type="dxa"/>
            <w:vMerge/>
          </w:tcPr>
          <w:p w14:paraId="70FBE178" w14:textId="77777777" w:rsidR="00C84F4D" w:rsidRPr="00C84F4D" w:rsidRDefault="00C84F4D" w:rsidP="00C84F4D">
            <w:pPr>
              <w:spacing w:after="3"/>
              <w:rPr>
                <w:color w:val="000000"/>
              </w:rPr>
            </w:pPr>
          </w:p>
        </w:tc>
      </w:tr>
      <w:tr w:rsidR="00C84F4D" w:rsidRPr="00C84F4D" w14:paraId="52E160F1" w14:textId="77777777" w:rsidTr="00CE7124">
        <w:trPr>
          <w:trHeight w:val="1447"/>
          <w:jc w:val="center"/>
        </w:trPr>
        <w:tc>
          <w:tcPr>
            <w:tcW w:w="1144" w:type="dxa"/>
          </w:tcPr>
          <w:p w14:paraId="182200C6" w14:textId="77777777" w:rsidR="00C84F4D" w:rsidRPr="00C84F4D" w:rsidRDefault="00C84F4D" w:rsidP="00C84F4D">
            <w:pPr>
              <w:spacing w:after="3"/>
              <w:jc w:val="center"/>
              <w:rPr>
                <w:color w:val="000000"/>
              </w:rPr>
            </w:pPr>
          </w:p>
          <w:p w14:paraId="6B846912" w14:textId="77777777" w:rsidR="00C84F4D" w:rsidRPr="00C84F4D" w:rsidRDefault="00C84F4D" w:rsidP="00C84F4D">
            <w:pPr>
              <w:spacing w:after="3"/>
              <w:jc w:val="center"/>
              <w:rPr>
                <w:color w:val="000000"/>
              </w:rPr>
            </w:pPr>
            <w:r w:rsidRPr="00C84F4D">
              <w:rPr>
                <w:color w:val="000000"/>
              </w:rPr>
              <w:t>7</w:t>
            </w:r>
          </w:p>
        </w:tc>
        <w:tc>
          <w:tcPr>
            <w:tcW w:w="2395" w:type="dxa"/>
            <w:vMerge w:val="restart"/>
          </w:tcPr>
          <w:p w14:paraId="51BFB9C5" w14:textId="77777777" w:rsidR="00C84F4D" w:rsidRPr="00C84F4D" w:rsidRDefault="00C84F4D" w:rsidP="00C84F4D">
            <w:pPr>
              <w:spacing w:after="3"/>
              <w:rPr>
                <w:b/>
                <w:bCs/>
                <w:color w:val="000000"/>
              </w:rPr>
            </w:pPr>
            <w:r w:rsidRPr="00C84F4D">
              <w:rPr>
                <w:b/>
                <w:bCs/>
                <w:color w:val="000000"/>
              </w:rPr>
              <w:t>Unidad 4: Redacción de la tesina</w:t>
            </w:r>
          </w:p>
          <w:p w14:paraId="43469980" w14:textId="77777777" w:rsidR="00C84F4D" w:rsidRPr="00C84F4D" w:rsidRDefault="00C84F4D" w:rsidP="00C84F4D">
            <w:pPr>
              <w:spacing w:after="3"/>
              <w:rPr>
                <w:b/>
                <w:bCs/>
                <w:color w:val="000000"/>
              </w:rPr>
            </w:pPr>
          </w:p>
          <w:p w14:paraId="067BA2AA" w14:textId="77777777" w:rsidR="00C84F4D" w:rsidRPr="00C84F4D" w:rsidRDefault="00C84F4D" w:rsidP="00C84F4D">
            <w:pPr>
              <w:spacing w:after="3"/>
              <w:rPr>
                <w:color w:val="000000"/>
              </w:rPr>
            </w:pPr>
            <w:r w:rsidRPr="00C84F4D">
              <w:rPr>
                <w:color w:val="000000"/>
              </w:rPr>
              <w:t>4.1 Redacción de los borradores de cada capítulo de la tesina</w:t>
            </w:r>
          </w:p>
          <w:p w14:paraId="501BFB18" w14:textId="77777777" w:rsidR="00C84F4D" w:rsidRPr="00C84F4D" w:rsidRDefault="00C84F4D" w:rsidP="00C84F4D">
            <w:pPr>
              <w:spacing w:after="3"/>
              <w:rPr>
                <w:color w:val="000000"/>
              </w:rPr>
            </w:pPr>
          </w:p>
          <w:p w14:paraId="5C7CAF6B" w14:textId="77777777" w:rsidR="00C84F4D" w:rsidRPr="00C84F4D" w:rsidRDefault="00C84F4D" w:rsidP="00C84F4D">
            <w:pPr>
              <w:spacing w:after="3"/>
              <w:rPr>
                <w:color w:val="000000"/>
              </w:rPr>
            </w:pPr>
            <w:r w:rsidRPr="00C84F4D">
              <w:rPr>
                <w:color w:val="000000"/>
              </w:rPr>
              <w:t>4.2 Asesoramiento docente en encuentros programados</w:t>
            </w:r>
          </w:p>
          <w:p w14:paraId="366284B2" w14:textId="77777777" w:rsidR="00C84F4D" w:rsidRPr="00C84F4D" w:rsidRDefault="00C84F4D" w:rsidP="00C84F4D">
            <w:pPr>
              <w:spacing w:after="3"/>
              <w:rPr>
                <w:color w:val="000000"/>
              </w:rPr>
            </w:pPr>
          </w:p>
          <w:p w14:paraId="7C897EEC" w14:textId="77777777" w:rsidR="00C84F4D" w:rsidRPr="00C84F4D" w:rsidRDefault="00C84F4D" w:rsidP="00C84F4D">
            <w:pPr>
              <w:spacing w:after="3"/>
              <w:rPr>
                <w:color w:val="000000"/>
              </w:rPr>
            </w:pPr>
            <w:r w:rsidRPr="00C84F4D">
              <w:rPr>
                <w:color w:val="000000"/>
              </w:rPr>
              <w:t>4.3 Corrección de borradores hasta quedar aprobados</w:t>
            </w:r>
          </w:p>
        </w:tc>
        <w:tc>
          <w:tcPr>
            <w:tcW w:w="3260" w:type="dxa"/>
            <w:vMerge w:val="restart"/>
          </w:tcPr>
          <w:p w14:paraId="41D710E8" w14:textId="77777777" w:rsidR="00C84F4D" w:rsidRPr="00C84F4D" w:rsidRDefault="00C84F4D" w:rsidP="00C84F4D">
            <w:pPr>
              <w:spacing w:after="3"/>
              <w:rPr>
                <w:color w:val="000000"/>
              </w:rPr>
            </w:pPr>
            <w:r w:rsidRPr="00C84F4D">
              <w:rPr>
                <w:rFonts w:eastAsia="Arial"/>
                <w:color w:val="000000"/>
              </w:rPr>
              <w:t xml:space="preserve">Barrantes, Rodrigo. “Capítulo VII. El informe de la investigación”. En </w:t>
            </w:r>
            <w:r w:rsidRPr="00C84F4D">
              <w:rPr>
                <w:rFonts w:eastAsia="Arial"/>
                <w:i/>
                <w:iCs/>
                <w:color w:val="000000"/>
              </w:rPr>
              <w:t>Investigación: un camino al conocimiento, un enfoque cualitativo, cuantitativo y mixto</w:t>
            </w:r>
            <w:r w:rsidRPr="00C84F4D">
              <w:rPr>
                <w:rFonts w:eastAsia="Arial"/>
                <w:color w:val="000000"/>
              </w:rPr>
              <w:t xml:space="preserve">, 319-336. San José: EUNED, 2013. </w:t>
            </w:r>
            <w:r w:rsidRPr="00C84F4D">
              <w:rPr>
                <w:rFonts w:eastAsia="Arial"/>
                <w:color w:val="0070C0"/>
              </w:rPr>
              <w:t>(clásico, última edición)</w:t>
            </w:r>
          </w:p>
        </w:tc>
        <w:tc>
          <w:tcPr>
            <w:tcW w:w="3828" w:type="dxa"/>
            <w:vMerge w:val="restart"/>
          </w:tcPr>
          <w:p w14:paraId="72B060C8"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Elaboración del capítulo 1 de la tesina.</w:t>
            </w:r>
          </w:p>
          <w:p w14:paraId="737DC3F3"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Entrega del borrador del capítulo 1.</w:t>
            </w:r>
          </w:p>
          <w:p w14:paraId="3AD345AD"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Revisión docente del borrador del capítulo 1.</w:t>
            </w:r>
          </w:p>
          <w:p w14:paraId="5624D630"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Participación en el encuentro sincrónico virtual con la persona docente.</w:t>
            </w:r>
          </w:p>
          <w:p w14:paraId="5E39CF32" w14:textId="77777777" w:rsidR="00C84F4D" w:rsidRPr="00C84F4D" w:rsidRDefault="00C84F4D" w:rsidP="00C84F4D">
            <w:pPr>
              <w:spacing w:after="3"/>
              <w:ind w:left="-46"/>
              <w:rPr>
                <w:color w:val="000000"/>
              </w:rPr>
            </w:pPr>
          </w:p>
          <w:p w14:paraId="6ACE903F"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Elaboración del capítulo 2 de la tesina.</w:t>
            </w:r>
          </w:p>
          <w:p w14:paraId="1180ADFC"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Entrega del borrador del capítulo 2.</w:t>
            </w:r>
          </w:p>
          <w:p w14:paraId="109F6202"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Revisión docente del borrador del capítulo 2.</w:t>
            </w:r>
          </w:p>
          <w:p w14:paraId="4D7FA8D0"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Participación en el encuentro sincrónico virtual con la persona docente.</w:t>
            </w:r>
          </w:p>
          <w:p w14:paraId="357C1558" w14:textId="77777777" w:rsidR="00C84F4D" w:rsidRPr="00C84F4D" w:rsidRDefault="00C84F4D" w:rsidP="00C84F4D">
            <w:pPr>
              <w:spacing w:after="3"/>
              <w:ind w:left="-46"/>
              <w:rPr>
                <w:color w:val="000000"/>
              </w:rPr>
            </w:pPr>
          </w:p>
          <w:p w14:paraId="744BAC61"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Elaboración del capítulo 3 de la tesina.</w:t>
            </w:r>
          </w:p>
          <w:p w14:paraId="1620F628"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 xml:space="preserve">Entrega del borrador del capítulo 3. </w:t>
            </w:r>
          </w:p>
          <w:p w14:paraId="09902C2F"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t xml:space="preserve">Revisión docente del borrador del capítulo 3. </w:t>
            </w:r>
          </w:p>
          <w:p w14:paraId="7AFBBDC5" w14:textId="77777777" w:rsidR="00C84F4D" w:rsidRPr="00C84F4D" w:rsidRDefault="00C84F4D" w:rsidP="00C84F4D">
            <w:pPr>
              <w:numPr>
                <w:ilvl w:val="0"/>
                <w:numId w:val="197"/>
              </w:numPr>
              <w:spacing w:line="248" w:lineRule="auto"/>
              <w:ind w:left="314"/>
              <w:contextualSpacing/>
              <w:rPr>
                <w:color w:val="000000"/>
              </w:rPr>
            </w:pPr>
            <w:r w:rsidRPr="00C84F4D">
              <w:rPr>
                <w:color w:val="000000"/>
              </w:rPr>
              <w:lastRenderedPageBreak/>
              <w:t>Participación en el encuentro sincrónico virtual con la persona docente.</w:t>
            </w:r>
          </w:p>
          <w:p w14:paraId="26AC1F56" w14:textId="77777777" w:rsidR="00C84F4D" w:rsidRPr="00C84F4D" w:rsidRDefault="00C84F4D" w:rsidP="00C84F4D">
            <w:pPr>
              <w:spacing w:after="3"/>
              <w:rPr>
                <w:color w:val="000000"/>
              </w:rPr>
            </w:pPr>
          </w:p>
          <w:p w14:paraId="343AE7F5" w14:textId="77777777" w:rsidR="00C84F4D" w:rsidRPr="00C84F4D" w:rsidRDefault="00C84F4D" w:rsidP="00C84F4D">
            <w:pPr>
              <w:spacing w:after="3"/>
              <w:ind w:left="314"/>
              <w:contextualSpacing/>
              <w:rPr>
                <w:color w:val="000000"/>
              </w:rPr>
            </w:pPr>
          </w:p>
        </w:tc>
      </w:tr>
      <w:tr w:rsidR="00C84F4D" w:rsidRPr="00C84F4D" w14:paraId="559628E3" w14:textId="77777777" w:rsidTr="00CE7124">
        <w:trPr>
          <w:trHeight w:val="1411"/>
          <w:jc w:val="center"/>
        </w:trPr>
        <w:tc>
          <w:tcPr>
            <w:tcW w:w="1144" w:type="dxa"/>
          </w:tcPr>
          <w:p w14:paraId="2B50ED92" w14:textId="77777777" w:rsidR="00C84F4D" w:rsidRPr="00C84F4D" w:rsidRDefault="00C84F4D" w:rsidP="00C84F4D">
            <w:pPr>
              <w:spacing w:after="3"/>
              <w:jc w:val="center"/>
              <w:rPr>
                <w:color w:val="000000"/>
              </w:rPr>
            </w:pPr>
          </w:p>
          <w:p w14:paraId="5AB6C2B8" w14:textId="77777777" w:rsidR="00C84F4D" w:rsidRPr="00C84F4D" w:rsidRDefault="00C84F4D" w:rsidP="00C84F4D">
            <w:pPr>
              <w:spacing w:after="3"/>
              <w:jc w:val="center"/>
              <w:rPr>
                <w:color w:val="000000"/>
              </w:rPr>
            </w:pPr>
            <w:r w:rsidRPr="00C84F4D">
              <w:rPr>
                <w:color w:val="000000"/>
              </w:rPr>
              <w:t>8</w:t>
            </w:r>
          </w:p>
        </w:tc>
        <w:tc>
          <w:tcPr>
            <w:tcW w:w="2395" w:type="dxa"/>
            <w:vMerge/>
          </w:tcPr>
          <w:p w14:paraId="3058EE07" w14:textId="77777777" w:rsidR="00C84F4D" w:rsidRPr="00C84F4D" w:rsidRDefault="00C84F4D" w:rsidP="00C84F4D">
            <w:pPr>
              <w:spacing w:after="3"/>
              <w:rPr>
                <w:color w:val="000000"/>
              </w:rPr>
            </w:pPr>
          </w:p>
        </w:tc>
        <w:tc>
          <w:tcPr>
            <w:tcW w:w="3260" w:type="dxa"/>
            <w:vMerge/>
          </w:tcPr>
          <w:p w14:paraId="5EB04C92" w14:textId="77777777" w:rsidR="00C84F4D" w:rsidRPr="00C84F4D" w:rsidRDefault="00C84F4D" w:rsidP="00C84F4D">
            <w:pPr>
              <w:spacing w:after="3"/>
              <w:rPr>
                <w:color w:val="000000"/>
              </w:rPr>
            </w:pPr>
          </w:p>
        </w:tc>
        <w:tc>
          <w:tcPr>
            <w:tcW w:w="3828" w:type="dxa"/>
            <w:vMerge/>
          </w:tcPr>
          <w:p w14:paraId="2C766890" w14:textId="77777777" w:rsidR="00C84F4D" w:rsidRPr="00C84F4D" w:rsidRDefault="00C84F4D" w:rsidP="00C84F4D">
            <w:pPr>
              <w:spacing w:after="3"/>
              <w:rPr>
                <w:color w:val="000000"/>
              </w:rPr>
            </w:pPr>
          </w:p>
        </w:tc>
      </w:tr>
      <w:tr w:rsidR="00C84F4D" w:rsidRPr="00C84F4D" w14:paraId="306826B7" w14:textId="77777777" w:rsidTr="00CE7124">
        <w:trPr>
          <w:trHeight w:val="1403"/>
          <w:jc w:val="center"/>
        </w:trPr>
        <w:tc>
          <w:tcPr>
            <w:tcW w:w="1144" w:type="dxa"/>
          </w:tcPr>
          <w:p w14:paraId="7CAB7EBA" w14:textId="77777777" w:rsidR="00C84F4D" w:rsidRPr="00C84F4D" w:rsidRDefault="00C84F4D" w:rsidP="00C84F4D">
            <w:pPr>
              <w:spacing w:after="3"/>
              <w:jc w:val="center"/>
              <w:rPr>
                <w:color w:val="000000"/>
              </w:rPr>
            </w:pPr>
          </w:p>
          <w:p w14:paraId="5A29A5D9" w14:textId="77777777" w:rsidR="00C84F4D" w:rsidRPr="00C84F4D" w:rsidRDefault="00C84F4D" w:rsidP="00C84F4D">
            <w:pPr>
              <w:spacing w:after="3"/>
              <w:jc w:val="center"/>
              <w:rPr>
                <w:color w:val="000000"/>
              </w:rPr>
            </w:pPr>
            <w:r w:rsidRPr="00C84F4D">
              <w:rPr>
                <w:color w:val="000000"/>
              </w:rPr>
              <w:t>9</w:t>
            </w:r>
          </w:p>
        </w:tc>
        <w:tc>
          <w:tcPr>
            <w:tcW w:w="2395" w:type="dxa"/>
            <w:vMerge/>
          </w:tcPr>
          <w:p w14:paraId="0ACC4E7A" w14:textId="77777777" w:rsidR="00C84F4D" w:rsidRPr="00C84F4D" w:rsidRDefault="00C84F4D" w:rsidP="00C84F4D">
            <w:pPr>
              <w:spacing w:after="3"/>
              <w:rPr>
                <w:color w:val="000000"/>
              </w:rPr>
            </w:pPr>
          </w:p>
        </w:tc>
        <w:tc>
          <w:tcPr>
            <w:tcW w:w="3260" w:type="dxa"/>
            <w:vMerge/>
          </w:tcPr>
          <w:p w14:paraId="5AEB4D39" w14:textId="77777777" w:rsidR="00C84F4D" w:rsidRPr="00C84F4D" w:rsidRDefault="00C84F4D" w:rsidP="00C84F4D">
            <w:pPr>
              <w:spacing w:after="3"/>
              <w:rPr>
                <w:color w:val="000000"/>
              </w:rPr>
            </w:pPr>
          </w:p>
        </w:tc>
        <w:tc>
          <w:tcPr>
            <w:tcW w:w="3828" w:type="dxa"/>
            <w:vMerge/>
          </w:tcPr>
          <w:p w14:paraId="0FFE78AC" w14:textId="77777777" w:rsidR="00C84F4D" w:rsidRPr="00C84F4D" w:rsidRDefault="00C84F4D" w:rsidP="00C84F4D">
            <w:pPr>
              <w:spacing w:after="3"/>
              <w:rPr>
                <w:color w:val="000000"/>
              </w:rPr>
            </w:pPr>
          </w:p>
        </w:tc>
      </w:tr>
      <w:tr w:rsidR="00C84F4D" w:rsidRPr="00C84F4D" w14:paraId="7ED69420" w14:textId="77777777" w:rsidTr="00CE7124">
        <w:trPr>
          <w:trHeight w:val="1411"/>
          <w:jc w:val="center"/>
        </w:trPr>
        <w:tc>
          <w:tcPr>
            <w:tcW w:w="1144" w:type="dxa"/>
          </w:tcPr>
          <w:p w14:paraId="26A21838" w14:textId="77777777" w:rsidR="00C84F4D" w:rsidRPr="00C84F4D" w:rsidRDefault="00C84F4D" w:rsidP="00C84F4D">
            <w:pPr>
              <w:spacing w:after="3"/>
              <w:jc w:val="center"/>
              <w:rPr>
                <w:color w:val="000000"/>
              </w:rPr>
            </w:pPr>
          </w:p>
          <w:p w14:paraId="3387D8BD" w14:textId="77777777" w:rsidR="00C84F4D" w:rsidRPr="00C84F4D" w:rsidRDefault="00C84F4D" w:rsidP="00C84F4D">
            <w:pPr>
              <w:spacing w:after="3"/>
              <w:jc w:val="center"/>
              <w:rPr>
                <w:color w:val="000000"/>
              </w:rPr>
            </w:pPr>
            <w:r w:rsidRPr="00C84F4D">
              <w:rPr>
                <w:color w:val="000000"/>
              </w:rPr>
              <w:t>10</w:t>
            </w:r>
          </w:p>
        </w:tc>
        <w:tc>
          <w:tcPr>
            <w:tcW w:w="2395" w:type="dxa"/>
            <w:vMerge/>
          </w:tcPr>
          <w:p w14:paraId="7D928D91" w14:textId="77777777" w:rsidR="00C84F4D" w:rsidRPr="00C84F4D" w:rsidRDefault="00C84F4D" w:rsidP="00C84F4D">
            <w:pPr>
              <w:spacing w:after="3"/>
              <w:rPr>
                <w:color w:val="000000"/>
              </w:rPr>
            </w:pPr>
          </w:p>
        </w:tc>
        <w:tc>
          <w:tcPr>
            <w:tcW w:w="3260" w:type="dxa"/>
            <w:vMerge/>
          </w:tcPr>
          <w:p w14:paraId="7A4DFBBE" w14:textId="77777777" w:rsidR="00C84F4D" w:rsidRPr="00C84F4D" w:rsidRDefault="00C84F4D" w:rsidP="00C84F4D">
            <w:pPr>
              <w:spacing w:after="3"/>
              <w:rPr>
                <w:color w:val="000000"/>
              </w:rPr>
            </w:pPr>
          </w:p>
        </w:tc>
        <w:tc>
          <w:tcPr>
            <w:tcW w:w="3828" w:type="dxa"/>
            <w:vMerge/>
          </w:tcPr>
          <w:p w14:paraId="1CBFA2D5" w14:textId="77777777" w:rsidR="00C84F4D" w:rsidRPr="00C84F4D" w:rsidRDefault="00C84F4D" w:rsidP="00C84F4D">
            <w:pPr>
              <w:spacing w:after="3"/>
              <w:rPr>
                <w:color w:val="000000"/>
              </w:rPr>
            </w:pPr>
          </w:p>
        </w:tc>
      </w:tr>
      <w:tr w:rsidR="00C84F4D" w:rsidRPr="00C84F4D" w14:paraId="30F324E4" w14:textId="77777777" w:rsidTr="00CE7124">
        <w:trPr>
          <w:trHeight w:val="1403"/>
          <w:jc w:val="center"/>
        </w:trPr>
        <w:tc>
          <w:tcPr>
            <w:tcW w:w="1144" w:type="dxa"/>
          </w:tcPr>
          <w:p w14:paraId="08FD8C29" w14:textId="77777777" w:rsidR="00C84F4D" w:rsidRPr="00C84F4D" w:rsidRDefault="00C84F4D" w:rsidP="00C84F4D">
            <w:pPr>
              <w:spacing w:after="3"/>
              <w:jc w:val="center"/>
              <w:rPr>
                <w:color w:val="000000"/>
              </w:rPr>
            </w:pPr>
          </w:p>
          <w:p w14:paraId="01F6B02E" w14:textId="77777777" w:rsidR="00C84F4D" w:rsidRPr="00C84F4D" w:rsidRDefault="00C84F4D" w:rsidP="00C84F4D">
            <w:pPr>
              <w:spacing w:after="3"/>
              <w:jc w:val="center"/>
              <w:rPr>
                <w:color w:val="000000"/>
              </w:rPr>
            </w:pPr>
            <w:r w:rsidRPr="00C84F4D">
              <w:rPr>
                <w:color w:val="000000"/>
              </w:rPr>
              <w:t>11</w:t>
            </w:r>
          </w:p>
        </w:tc>
        <w:tc>
          <w:tcPr>
            <w:tcW w:w="2395" w:type="dxa"/>
            <w:vMerge/>
          </w:tcPr>
          <w:p w14:paraId="6FD1796C" w14:textId="77777777" w:rsidR="00C84F4D" w:rsidRPr="00C84F4D" w:rsidRDefault="00C84F4D" w:rsidP="00C84F4D">
            <w:pPr>
              <w:spacing w:after="3"/>
              <w:rPr>
                <w:color w:val="000000"/>
              </w:rPr>
            </w:pPr>
          </w:p>
        </w:tc>
        <w:tc>
          <w:tcPr>
            <w:tcW w:w="3260" w:type="dxa"/>
            <w:vMerge/>
          </w:tcPr>
          <w:p w14:paraId="522C2497" w14:textId="77777777" w:rsidR="00C84F4D" w:rsidRPr="00C84F4D" w:rsidRDefault="00C84F4D" w:rsidP="00C84F4D">
            <w:pPr>
              <w:spacing w:after="3"/>
              <w:rPr>
                <w:color w:val="000000"/>
              </w:rPr>
            </w:pPr>
          </w:p>
        </w:tc>
        <w:tc>
          <w:tcPr>
            <w:tcW w:w="3828" w:type="dxa"/>
            <w:vMerge/>
          </w:tcPr>
          <w:p w14:paraId="0284851C" w14:textId="77777777" w:rsidR="00C84F4D" w:rsidRPr="00C84F4D" w:rsidRDefault="00C84F4D" w:rsidP="00C84F4D">
            <w:pPr>
              <w:spacing w:after="3"/>
              <w:rPr>
                <w:color w:val="000000"/>
              </w:rPr>
            </w:pPr>
          </w:p>
        </w:tc>
      </w:tr>
      <w:tr w:rsidR="00C84F4D" w:rsidRPr="00C84F4D" w14:paraId="4030F056" w14:textId="77777777" w:rsidTr="00CE7124">
        <w:trPr>
          <w:trHeight w:val="1269"/>
          <w:jc w:val="center"/>
        </w:trPr>
        <w:tc>
          <w:tcPr>
            <w:tcW w:w="1144" w:type="dxa"/>
          </w:tcPr>
          <w:p w14:paraId="7ADB0EA0" w14:textId="77777777" w:rsidR="00C84F4D" w:rsidRPr="00C84F4D" w:rsidRDefault="00C84F4D" w:rsidP="00C84F4D">
            <w:pPr>
              <w:spacing w:after="3"/>
              <w:jc w:val="center"/>
              <w:rPr>
                <w:color w:val="000000"/>
              </w:rPr>
            </w:pPr>
          </w:p>
          <w:p w14:paraId="40CD1220" w14:textId="77777777" w:rsidR="00C84F4D" w:rsidRPr="00C84F4D" w:rsidRDefault="00C84F4D" w:rsidP="00C84F4D">
            <w:pPr>
              <w:spacing w:after="3"/>
              <w:jc w:val="center"/>
              <w:rPr>
                <w:color w:val="000000"/>
              </w:rPr>
            </w:pPr>
            <w:r w:rsidRPr="00C84F4D">
              <w:rPr>
                <w:color w:val="000000"/>
              </w:rPr>
              <w:t>12</w:t>
            </w:r>
          </w:p>
        </w:tc>
        <w:tc>
          <w:tcPr>
            <w:tcW w:w="2395" w:type="dxa"/>
            <w:vMerge/>
          </w:tcPr>
          <w:p w14:paraId="163D3529" w14:textId="77777777" w:rsidR="00C84F4D" w:rsidRPr="00C84F4D" w:rsidRDefault="00C84F4D" w:rsidP="00C84F4D">
            <w:pPr>
              <w:spacing w:after="3"/>
              <w:rPr>
                <w:color w:val="000000"/>
              </w:rPr>
            </w:pPr>
          </w:p>
        </w:tc>
        <w:tc>
          <w:tcPr>
            <w:tcW w:w="3260" w:type="dxa"/>
            <w:vMerge/>
          </w:tcPr>
          <w:p w14:paraId="452D3013" w14:textId="77777777" w:rsidR="00C84F4D" w:rsidRPr="00C84F4D" w:rsidRDefault="00C84F4D" w:rsidP="00C84F4D">
            <w:pPr>
              <w:spacing w:after="3"/>
              <w:rPr>
                <w:color w:val="000000"/>
              </w:rPr>
            </w:pPr>
          </w:p>
        </w:tc>
        <w:tc>
          <w:tcPr>
            <w:tcW w:w="3828" w:type="dxa"/>
            <w:vMerge/>
          </w:tcPr>
          <w:p w14:paraId="719A1BFF" w14:textId="77777777" w:rsidR="00C84F4D" w:rsidRPr="00C84F4D" w:rsidRDefault="00C84F4D" w:rsidP="00C84F4D">
            <w:pPr>
              <w:spacing w:after="3"/>
              <w:rPr>
                <w:color w:val="000000"/>
              </w:rPr>
            </w:pPr>
          </w:p>
        </w:tc>
      </w:tr>
      <w:tr w:rsidR="00C84F4D" w:rsidRPr="00C84F4D" w14:paraId="2B6A6122" w14:textId="77777777" w:rsidTr="00CE7124">
        <w:trPr>
          <w:trHeight w:val="1971"/>
          <w:jc w:val="center"/>
        </w:trPr>
        <w:tc>
          <w:tcPr>
            <w:tcW w:w="1144" w:type="dxa"/>
          </w:tcPr>
          <w:p w14:paraId="3080DFE5" w14:textId="77777777" w:rsidR="00C84F4D" w:rsidRPr="00C84F4D" w:rsidRDefault="00C84F4D" w:rsidP="00C84F4D">
            <w:pPr>
              <w:spacing w:after="3"/>
              <w:jc w:val="center"/>
              <w:rPr>
                <w:color w:val="000000"/>
              </w:rPr>
            </w:pPr>
          </w:p>
          <w:p w14:paraId="5B1A2710" w14:textId="77777777" w:rsidR="00C84F4D" w:rsidRPr="00C84F4D" w:rsidRDefault="00C84F4D" w:rsidP="00C84F4D">
            <w:pPr>
              <w:spacing w:after="3"/>
              <w:jc w:val="center"/>
              <w:rPr>
                <w:color w:val="000000"/>
              </w:rPr>
            </w:pPr>
            <w:r w:rsidRPr="00C84F4D">
              <w:rPr>
                <w:color w:val="000000"/>
              </w:rPr>
              <w:t>13</w:t>
            </w:r>
          </w:p>
        </w:tc>
        <w:tc>
          <w:tcPr>
            <w:tcW w:w="2395" w:type="dxa"/>
            <w:vMerge w:val="restart"/>
          </w:tcPr>
          <w:p w14:paraId="1559669C" w14:textId="77777777" w:rsidR="00C84F4D" w:rsidRPr="00C84F4D" w:rsidRDefault="00C84F4D" w:rsidP="00C84F4D">
            <w:pPr>
              <w:spacing w:after="3"/>
              <w:rPr>
                <w:b/>
                <w:bCs/>
                <w:color w:val="000000"/>
              </w:rPr>
            </w:pPr>
            <w:r w:rsidRPr="00C84F4D">
              <w:rPr>
                <w:b/>
                <w:bCs/>
                <w:color w:val="000000"/>
              </w:rPr>
              <w:t>Unidad 5: Tramitación final de la tesina</w:t>
            </w:r>
          </w:p>
          <w:p w14:paraId="21C22153" w14:textId="77777777" w:rsidR="00C84F4D" w:rsidRPr="00C84F4D" w:rsidRDefault="00C84F4D" w:rsidP="00C84F4D">
            <w:pPr>
              <w:spacing w:after="3"/>
              <w:rPr>
                <w:b/>
                <w:bCs/>
                <w:color w:val="000000"/>
              </w:rPr>
            </w:pPr>
          </w:p>
          <w:p w14:paraId="2F853EE7" w14:textId="77777777" w:rsidR="00C84F4D" w:rsidRPr="00C84F4D" w:rsidRDefault="00C84F4D" w:rsidP="00C84F4D">
            <w:pPr>
              <w:spacing w:after="3"/>
              <w:rPr>
                <w:color w:val="000000"/>
              </w:rPr>
            </w:pPr>
            <w:r w:rsidRPr="00C84F4D">
              <w:rPr>
                <w:color w:val="000000"/>
              </w:rPr>
              <w:t>5.1 Revisión de estilo del texto final de la tesina</w:t>
            </w:r>
          </w:p>
          <w:p w14:paraId="25CADDEA" w14:textId="77777777" w:rsidR="00C84F4D" w:rsidRPr="00C84F4D" w:rsidRDefault="00C84F4D" w:rsidP="00C84F4D">
            <w:pPr>
              <w:spacing w:after="3"/>
              <w:rPr>
                <w:color w:val="000000"/>
              </w:rPr>
            </w:pPr>
          </w:p>
          <w:p w14:paraId="72B0241C" w14:textId="77777777" w:rsidR="00C84F4D" w:rsidRPr="00C84F4D" w:rsidRDefault="00C84F4D" w:rsidP="00C84F4D">
            <w:pPr>
              <w:spacing w:after="3"/>
              <w:rPr>
                <w:color w:val="000000"/>
              </w:rPr>
            </w:pPr>
            <w:r w:rsidRPr="00C84F4D">
              <w:rPr>
                <w:color w:val="000000"/>
              </w:rPr>
              <w:t>5.2 Presentación encuadernada de la copia final de la tesina</w:t>
            </w:r>
          </w:p>
          <w:p w14:paraId="6A6638A9" w14:textId="77777777" w:rsidR="00C84F4D" w:rsidRPr="00C84F4D" w:rsidRDefault="00C84F4D" w:rsidP="00C84F4D">
            <w:pPr>
              <w:spacing w:after="3"/>
              <w:rPr>
                <w:color w:val="000000"/>
              </w:rPr>
            </w:pPr>
          </w:p>
          <w:p w14:paraId="6E989A36" w14:textId="77777777" w:rsidR="00C84F4D" w:rsidRPr="00C84F4D" w:rsidRDefault="00C84F4D" w:rsidP="00C84F4D">
            <w:pPr>
              <w:spacing w:after="3"/>
              <w:rPr>
                <w:color w:val="000000"/>
              </w:rPr>
            </w:pPr>
            <w:r w:rsidRPr="00C84F4D">
              <w:rPr>
                <w:color w:val="000000"/>
              </w:rPr>
              <w:t>5.3 Calificación de la tesina por parte de la persona docente guía</w:t>
            </w:r>
          </w:p>
          <w:p w14:paraId="6F60FC41" w14:textId="77777777" w:rsidR="00C84F4D" w:rsidRPr="00C84F4D" w:rsidRDefault="00C84F4D" w:rsidP="00C84F4D">
            <w:pPr>
              <w:spacing w:after="3"/>
              <w:rPr>
                <w:color w:val="000000"/>
              </w:rPr>
            </w:pPr>
          </w:p>
          <w:p w14:paraId="76BA4684" w14:textId="77777777" w:rsidR="00C84F4D" w:rsidRPr="00C84F4D" w:rsidRDefault="00C84F4D" w:rsidP="00C84F4D">
            <w:pPr>
              <w:spacing w:after="3"/>
              <w:rPr>
                <w:color w:val="000000"/>
              </w:rPr>
            </w:pPr>
            <w:r w:rsidRPr="00C84F4D">
              <w:rPr>
                <w:color w:val="000000"/>
              </w:rPr>
              <w:t>5.4 Calificación de la persona lectora</w:t>
            </w:r>
          </w:p>
          <w:p w14:paraId="63302E5C" w14:textId="77777777" w:rsidR="00C84F4D" w:rsidRPr="00C84F4D" w:rsidRDefault="00C84F4D" w:rsidP="00C84F4D">
            <w:pPr>
              <w:spacing w:after="3"/>
              <w:rPr>
                <w:color w:val="000000"/>
              </w:rPr>
            </w:pPr>
          </w:p>
          <w:p w14:paraId="4A6F7BBA" w14:textId="77777777" w:rsidR="00C84F4D" w:rsidRPr="00C84F4D" w:rsidRDefault="00C84F4D" w:rsidP="00C84F4D">
            <w:pPr>
              <w:spacing w:after="3"/>
              <w:rPr>
                <w:color w:val="000000"/>
              </w:rPr>
            </w:pPr>
            <w:r w:rsidRPr="00C84F4D">
              <w:rPr>
                <w:color w:val="000000"/>
              </w:rPr>
              <w:t>5.5 Entrega de copias empastadas a la Biblioteca</w:t>
            </w:r>
          </w:p>
          <w:p w14:paraId="31EA7586" w14:textId="77777777" w:rsidR="00C84F4D" w:rsidRPr="00C84F4D" w:rsidRDefault="00C84F4D" w:rsidP="00C84F4D">
            <w:pPr>
              <w:spacing w:after="3"/>
              <w:rPr>
                <w:color w:val="000000"/>
              </w:rPr>
            </w:pPr>
          </w:p>
        </w:tc>
        <w:tc>
          <w:tcPr>
            <w:tcW w:w="3260" w:type="dxa"/>
            <w:vMerge w:val="restart"/>
          </w:tcPr>
          <w:p w14:paraId="0AAB5F30" w14:textId="77777777" w:rsidR="00C84F4D" w:rsidRPr="00C84F4D" w:rsidRDefault="00C84F4D" w:rsidP="00C84F4D">
            <w:pPr>
              <w:spacing w:after="3"/>
              <w:rPr>
                <w:rFonts w:eastAsia="Arial"/>
                <w:color w:val="0563C1"/>
                <w:u w:val="single"/>
              </w:rPr>
            </w:pPr>
            <w:r w:rsidRPr="00C84F4D">
              <w:rPr>
                <w:rFonts w:eastAsia="Arial"/>
                <w:color w:val="000000"/>
              </w:rPr>
              <w:t xml:space="preserve">Universidad de Deusto. 2013. Manual de estilo Chicago-Deusto: guía breve para citas y referencias bibliográficas. </w:t>
            </w:r>
            <w:r w:rsidRPr="00C84F4D">
              <w:rPr>
                <w:rFonts w:eastAsia="Arial"/>
                <w:i/>
                <w:iCs/>
                <w:color w:val="000000"/>
              </w:rPr>
              <w:t>Revista Deusto</w:t>
            </w:r>
            <w:r w:rsidRPr="00C84F4D">
              <w:rPr>
                <w:rFonts w:eastAsia="Arial"/>
                <w:color w:val="000000"/>
              </w:rPr>
              <w:t xml:space="preserve">, n. 126 (2013): 1-11. Acceso el 22 de noviembre de 2022. </w:t>
            </w:r>
            <w:hyperlink r:id="rId589" w:history="1">
              <w:r w:rsidRPr="00C84F4D">
                <w:rPr>
                  <w:rFonts w:eastAsia="Arial"/>
                  <w:color w:val="0563C1"/>
                  <w:u w:val="single"/>
                </w:rPr>
                <w:t>http://www.deusto-publicaciones.es/deusto/pdfs/otraspub/otraspub07.pdf</w:t>
              </w:r>
            </w:hyperlink>
          </w:p>
          <w:p w14:paraId="6B6F6F2E" w14:textId="77777777" w:rsidR="00C84F4D" w:rsidRPr="00C84F4D" w:rsidRDefault="00C84F4D" w:rsidP="00C84F4D">
            <w:pPr>
              <w:spacing w:after="3"/>
              <w:rPr>
                <w:rFonts w:eastAsia="Arial"/>
                <w:color w:val="0563C1"/>
                <w:u w:val="single"/>
              </w:rPr>
            </w:pPr>
          </w:p>
          <w:p w14:paraId="2D092123" w14:textId="77777777" w:rsidR="00C84F4D" w:rsidRPr="00C84F4D" w:rsidRDefault="00C84F4D" w:rsidP="00C84F4D">
            <w:pPr>
              <w:spacing w:after="3"/>
              <w:rPr>
                <w:color w:val="000000"/>
              </w:rPr>
            </w:pPr>
            <w:r w:rsidRPr="00C84F4D">
              <w:rPr>
                <w:rFonts w:eastAsia="Arial"/>
                <w:color w:val="000000"/>
              </w:rPr>
              <w:t xml:space="preserve">Ulate Soto, Ileana y </w:t>
            </w:r>
            <w:proofErr w:type="spellStart"/>
            <w:r w:rsidRPr="00C84F4D">
              <w:rPr>
                <w:rFonts w:eastAsia="Arial"/>
                <w:color w:val="000000"/>
              </w:rPr>
              <w:t>Elizarda</w:t>
            </w:r>
            <w:proofErr w:type="spellEnd"/>
            <w:r w:rsidRPr="00C84F4D">
              <w:rPr>
                <w:rFonts w:eastAsia="Arial"/>
                <w:color w:val="000000"/>
              </w:rPr>
              <w:t xml:space="preserve"> Vargas </w:t>
            </w:r>
            <w:proofErr w:type="spellStart"/>
            <w:r w:rsidRPr="00C84F4D">
              <w:rPr>
                <w:rFonts w:eastAsia="Arial"/>
                <w:color w:val="000000"/>
              </w:rPr>
              <w:t>Morúa</w:t>
            </w:r>
            <w:proofErr w:type="spellEnd"/>
            <w:r w:rsidRPr="00C84F4D">
              <w:rPr>
                <w:rFonts w:eastAsia="Arial"/>
                <w:color w:val="000000"/>
              </w:rPr>
              <w:t xml:space="preserve">. “Capítulo VIII. Estructura y forma del informe final”. En </w:t>
            </w:r>
            <w:r w:rsidRPr="00C84F4D">
              <w:rPr>
                <w:rFonts w:eastAsia="Arial"/>
                <w:i/>
                <w:color w:val="000000"/>
              </w:rPr>
              <w:t>Metodología para elaborar una tesis</w:t>
            </w:r>
            <w:r w:rsidRPr="00C84F4D">
              <w:rPr>
                <w:rFonts w:eastAsia="Arial"/>
                <w:iCs/>
                <w:color w:val="000000"/>
              </w:rPr>
              <w:t>, 105-125.</w:t>
            </w:r>
            <w:r w:rsidRPr="00C84F4D">
              <w:rPr>
                <w:rFonts w:eastAsia="Arial"/>
                <w:i/>
                <w:color w:val="000000"/>
              </w:rPr>
              <w:t xml:space="preserve"> </w:t>
            </w:r>
            <w:r w:rsidRPr="00C84F4D">
              <w:rPr>
                <w:rFonts w:eastAsia="Arial"/>
                <w:color w:val="000000"/>
              </w:rPr>
              <w:t>San José, Costa Rica: EUNED, 2019.</w:t>
            </w:r>
          </w:p>
        </w:tc>
        <w:tc>
          <w:tcPr>
            <w:tcW w:w="3828" w:type="dxa"/>
            <w:vMerge w:val="restart"/>
          </w:tcPr>
          <w:p w14:paraId="52490512"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Participación en el encuentro sincrónico virtual con la persona docente.</w:t>
            </w:r>
          </w:p>
          <w:p w14:paraId="565456B5"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Elaboración de la introducción, conclusión, páginas iniciales, bibliografía y portada de la tesina.</w:t>
            </w:r>
          </w:p>
          <w:p w14:paraId="7C8F4F6B"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Revisión de la ortografía de la tesina.</w:t>
            </w:r>
          </w:p>
          <w:p w14:paraId="20E6AAC4"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 xml:space="preserve">Montaje del borrador final de la tesina y entrega a la persona docente. </w:t>
            </w:r>
          </w:p>
          <w:p w14:paraId="4C31F473"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 xml:space="preserve">Lectura final de la tesina por parte de la persona docente. </w:t>
            </w:r>
          </w:p>
          <w:p w14:paraId="337BB20D" w14:textId="77777777" w:rsidR="00C84F4D" w:rsidRPr="00C84F4D" w:rsidRDefault="00C84F4D" w:rsidP="00C84F4D">
            <w:pPr>
              <w:numPr>
                <w:ilvl w:val="0"/>
                <w:numId w:val="198"/>
              </w:numPr>
              <w:spacing w:line="248" w:lineRule="auto"/>
              <w:ind w:left="314"/>
              <w:contextualSpacing/>
              <w:rPr>
                <w:color w:val="000000"/>
              </w:rPr>
            </w:pPr>
            <w:r w:rsidRPr="00C84F4D">
              <w:rPr>
                <w:color w:val="000000"/>
              </w:rPr>
              <w:t xml:space="preserve">Lectura de la tesina por parte de la persona docente lectora asignada. </w:t>
            </w:r>
          </w:p>
        </w:tc>
      </w:tr>
      <w:tr w:rsidR="00C84F4D" w:rsidRPr="00C84F4D" w14:paraId="412EF022" w14:textId="77777777" w:rsidTr="00CE7124">
        <w:trPr>
          <w:trHeight w:val="2114"/>
          <w:jc w:val="center"/>
        </w:trPr>
        <w:tc>
          <w:tcPr>
            <w:tcW w:w="1144" w:type="dxa"/>
          </w:tcPr>
          <w:p w14:paraId="2B1D28F9" w14:textId="77777777" w:rsidR="00C84F4D" w:rsidRPr="00C84F4D" w:rsidRDefault="00C84F4D" w:rsidP="00C84F4D">
            <w:pPr>
              <w:spacing w:after="3"/>
              <w:jc w:val="center"/>
              <w:rPr>
                <w:color w:val="000000"/>
              </w:rPr>
            </w:pPr>
          </w:p>
          <w:p w14:paraId="18B9A736" w14:textId="77777777" w:rsidR="00C84F4D" w:rsidRPr="00C84F4D" w:rsidRDefault="00C84F4D" w:rsidP="00C84F4D">
            <w:pPr>
              <w:spacing w:after="3"/>
              <w:jc w:val="center"/>
              <w:rPr>
                <w:color w:val="000000"/>
              </w:rPr>
            </w:pPr>
            <w:r w:rsidRPr="00C84F4D">
              <w:rPr>
                <w:color w:val="000000"/>
              </w:rPr>
              <w:t>14</w:t>
            </w:r>
          </w:p>
        </w:tc>
        <w:tc>
          <w:tcPr>
            <w:tcW w:w="2395" w:type="dxa"/>
            <w:vMerge/>
          </w:tcPr>
          <w:p w14:paraId="2550726C" w14:textId="77777777" w:rsidR="00C84F4D" w:rsidRPr="00C84F4D" w:rsidRDefault="00C84F4D" w:rsidP="00C84F4D">
            <w:pPr>
              <w:spacing w:after="3"/>
              <w:rPr>
                <w:color w:val="000000"/>
              </w:rPr>
            </w:pPr>
          </w:p>
        </w:tc>
        <w:tc>
          <w:tcPr>
            <w:tcW w:w="3260" w:type="dxa"/>
            <w:vMerge/>
          </w:tcPr>
          <w:p w14:paraId="1A426EBB" w14:textId="77777777" w:rsidR="00C84F4D" w:rsidRPr="00C84F4D" w:rsidRDefault="00C84F4D" w:rsidP="00C84F4D">
            <w:pPr>
              <w:spacing w:after="3"/>
              <w:rPr>
                <w:color w:val="000000"/>
              </w:rPr>
            </w:pPr>
          </w:p>
        </w:tc>
        <w:tc>
          <w:tcPr>
            <w:tcW w:w="3828" w:type="dxa"/>
            <w:vMerge/>
          </w:tcPr>
          <w:p w14:paraId="019EB914" w14:textId="77777777" w:rsidR="00C84F4D" w:rsidRPr="00C84F4D" w:rsidRDefault="00C84F4D" w:rsidP="00C84F4D">
            <w:pPr>
              <w:spacing w:after="3"/>
              <w:rPr>
                <w:color w:val="000000"/>
              </w:rPr>
            </w:pPr>
          </w:p>
        </w:tc>
      </w:tr>
      <w:tr w:rsidR="00C84F4D" w:rsidRPr="00C84F4D" w14:paraId="44C4B9BA" w14:textId="77777777" w:rsidTr="00CE7124">
        <w:trPr>
          <w:jc w:val="center"/>
        </w:trPr>
        <w:tc>
          <w:tcPr>
            <w:tcW w:w="1144" w:type="dxa"/>
          </w:tcPr>
          <w:p w14:paraId="40BF2736" w14:textId="77777777" w:rsidR="00C84F4D" w:rsidRPr="00C84F4D" w:rsidRDefault="00C84F4D" w:rsidP="00C84F4D">
            <w:pPr>
              <w:spacing w:after="3"/>
              <w:jc w:val="center"/>
              <w:rPr>
                <w:color w:val="000000"/>
              </w:rPr>
            </w:pPr>
          </w:p>
          <w:p w14:paraId="00502647" w14:textId="77777777" w:rsidR="00C84F4D" w:rsidRPr="00C84F4D" w:rsidRDefault="00C84F4D" w:rsidP="00C84F4D">
            <w:pPr>
              <w:spacing w:after="3"/>
              <w:jc w:val="center"/>
              <w:rPr>
                <w:color w:val="000000"/>
              </w:rPr>
            </w:pPr>
            <w:r w:rsidRPr="00C84F4D">
              <w:rPr>
                <w:color w:val="000000"/>
              </w:rPr>
              <w:t>15</w:t>
            </w:r>
          </w:p>
        </w:tc>
        <w:tc>
          <w:tcPr>
            <w:tcW w:w="2395" w:type="dxa"/>
            <w:vMerge/>
          </w:tcPr>
          <w:p w14:paraId="1DD9153D" w14:textId="77777777" w:rsidR="00C84F4D" w:rsidRPr="00C84F4D" w:rsidRDefault="00C84F4D" w:rsidP="00C84F4D">
            <w:pPr>
              <w:spacing w:after="3"/>
              <w:rPr>
                <w:color w:val="000000"/>
              </w:rPr>
            </w:pPr>
          </w:p>
        </w:tc>
        <w:tc>
          <w:tcPr>
            <w:tcW w:w="3260" w:type="dxa"/>
            <w:vMerge/>
          </w:tcPr>
          <w:p w14:paraId="2C10756B" w14:textId="77777777" w:rsidR="00C84F4D" w:rsidRPr="00C84F4D" w:rsidRDefault="00C84F4D" w:rsidP="00C84F4D">
            <w:pPr>
              <w:spacing w:after="3"/>
              <w:rPr>
                <w:color w:val="000000"/>
              </w:rPr>
            </w:pPr>
          </w:p>
        </w:tc>
        <w:tc>
          <w:tcPr>
            <w:tcW w:w="3828" w:type="dxa"/>
            <w:vMerge/>
          </w:tcPr>
          <w:p w14:paraId="0E754AD6" w14:textId="77777777" w:rsidR="00C84F4D" w:rsidRPr="00C84F4D" w:rsidRDefault="00C84F4D" w:rsidP="00C84F4D">
            <w:pPr>
              <w:spacing w:after="3"/>
              <w:rPr>
                <w:color w:val="000000"/>
              </w:rPr>
            </w:pPr>
          </w:p>
        </w:tc>
      </w:tr>
    </w:tbl>
    <w:p w14:paraId="4A15E112"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44685AD6"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7271A1C6"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C582790"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2CF271E4"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6C08029B"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A58D8CB"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D818731"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3D2C130E"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5EE3D906"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6609AC52"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1C24AA45"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45A4E2CC"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619D7BC2"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71A19E89"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604BDE89"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59A515D8"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2D43E4C6" w14:textId="77777777" w:rsidR="00C84F4D" w:rsidRPr="00C84F4D" w:rsidRDefault="00C84F4D" w:rsidP="00C84F4D">
      <w:pPr>
        <w:spacing w:after="0"/>
        <w:jc w:val="both"/>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IX. Distribución de tiempo semanal</w:t>
      </w:r>
    </w:p>
    <w:p w14:paraId="20AC4996" w14:textId="77777777" w:rsidR="00C84F4D" w:rsidRPr="00C84F4D" w:rsidRDefault="00C84F4D" w:rsidP="00C84F4D">
      <w:pPr>
        <w:spacing w:after="0"/>
        <w:ind w:left="365"/>
        <w:rPr>
          <w:rFonts w:ascii="Calibri" w:eastAsia="Calibri" w:hAnsi="Calibri" w:cs="Calibri"/>
          <w:color w:val="000000"/>
          <w:kern w:val="0"/>
          <w:lang w:eastAsia="es-CR"/>
          <w14:ligatures w14:val="none"/>
        </w:rPr>
      </w:pPr>
    </w:p>
    <w:p w14:paraId="0C8FC82D"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La inversión de tiempo aproximada es de 12 horas semanales durante 15 semanas. El tiempo se distribuye entre la investigación individual, las tutorías con la persona docente (encuentros sincrónicos virtuales) y la elaboración de los avances de la tesina. El acompañamiento de la persona docente se lleva a cabo con la mediación de la plataforma virtual y la herramienta de encuentros sincrónicos Big Blue </w:t>
      </w:r>
      <w:proofErr w:type="spellStart"/>
      <w:r w:rsidRPr="00C84F4D">
        <w:rPr>
          <w:rFonts w:ascii="Calibri" w:eastAsia="Calibri" w:hAnsi="Calibri" w:cs="Calibri"/>
          <w:color w:val="000000"/>
          <w:kern w:val="0"/>
          <w:lang w:eastAsia="es-CR"/>
          <w14:ligatures w14:val="none"/>
        </w:rPr>
        <w:t>Button</w:t>
      </w:r>
      <w:proofErr w:type="spellEnd"/>
      <w:r w:rsidRPr="00C84F4D">
        <w:rPr>
          <w:rFonts w:ascii="Calibri" w:eastAsia="Calibri" w:hAnsi="Calibri" w:cs="Calibri"/>
          <w:color w:val="000000"/>
          <w:kern w:val="0"/>
          <w:lang w:eastAsia="es-CR"/>
          <w14:ligatures w14:val="none"/>
        </w:rPr>
        <w:t>. La distribución de tiempos es la siguiente:</w:t>
      </w:r>
    </w:p>
    <w:p w14:paraId="02FF212C"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10A838A7"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tbl>
      <w:tblPr>
        <w:tblStyle w:val="TableGrid12"/>
        <w:tblW w:w="0" w:type="auto"/>
        <w:jc w:val="center"/>
        <w:tblLook w:val="04A0" w:firstRow="1" w:lastRow="0" w:firstColumn="1" w:lastColumn="0" w:noHBand="0" w:noVBand="1"/>
      </w:tblPr>
      <w:tblGrid>
        <w:gridCol w:w="2016"/>
        <w:gridCol w:w="1517"/>
        <w:gridCol w:w="5225"/>
      </w:tblGrid>
      <w:tr w:rsidR="00C84F4D" w:rsidRPr="00C84F4D" w14:paraId="5CCCBB3C" w14:textId="77777777" w:rsidTr="00CE7124">
        <w:trPr>
          <w:trHeight w:val="582"/>
          <w:jc w:val="center"/>
        </w:trPr>
        <w:tc>
          <w:tcPr>
            <w:tcW w:w="2016" w:type="dxa"/>
            <w:vAlign w:val="center"/>
          </w:tcPr>
          <w:p w14:paraId="209223D5" w14:textId="77777777" w:rsidR="00C84F4D" w:rsidRPr="00C84F4D" w:rsidRDefault="00C84F4D" w:rsidP="00C84F4D">
            <w:pPr>
              <w:spacing w:after="3"/>
              <w:jc w:val="center"/>
              <w:rPr>
                <w:b/>
                <w:bCs/>
                <w:color w:val="000000"/>
              </w:rPr>
            </w:pPr>
            <w:r w:rsidRPr="00C84F4D">
              <w:rPr>
                <w:b/>
                <w:bCs/>
                <w:color w:val="000000"/>
              </w:rPr>
              <w:t>Tipo de horas</w:t>
            </w:r>
          </w:p>
          <w:p w14:paraId="21755F99" w14:textId="77777777" w:rsidR="00C84F4D" w:rsidRPr="00C84F4D" w:rsidRDefault="00C84F4D" w:rsidP="00C84F4D">
            <w:pPr>
              <w:spacing w:after="3"/>
              <w:jc w:val="center"/>
              <w:rPr>
                <w:b/>
                <w:bCs/>
                <w:color w:val="000000"/>
              </w:rPr>
            </w:pPr>
            <w:r w:rsidRPr="00C84F4D">
              <w:rPr>
                <w:b/>
                <w:bCs/>
                <w:color w:val="000000"/>
              </w:rPr>
              <w:t>(categoría)</w:t>
            </w:r>
          </w:p>
        </w:tc>
        <w:tc>
          <w:tcPr>
            <w:tcW w:w="1517" w:type="dxa"/>
            <w:vAlign w:val="center"/>
          </w:tcPr>
          <w:p w14:paraId="2EE1336B" w14:textId="77777777" w:rsidR="00C84F4D" w:rsidRPr="00C84F4D" w:rsidRDefault="00C84F4D" w:rsidP="00C84F4D">
            <w:pPr>
              <w:spacing w:after="3"/>
              <w:jc w:val="center"/>
              <w:rPr>
                <w:b/>
                <w:bCs/>
                <w:color w:val="000000"/>
              </w:rPr>
            </w:pPr>
            <w:r w:rsidRPr="00C84F4D">
              <w:rPr>
                <w:b/>
                <w:bCs/>
                <w:color w:val="000000"/>
              </w:rPr>
              <w:t>Horas por semana</w:t>
            </w:r>
          </w:p>
        </w:tc>
        <w:tc>
          <w:tcPr>
            <w:tcW w:w="5225" w:type="dxa"/>
            <w:vAlign w:val="center"/>
          </w:tcPr>
          <w:p w14:paraId="107E6A9D" w14:textId="77777777" w:rsidR="00C84F4D" w:rsidRPr="00C84F4D" w:rsidRDefault="00C84F4D" w:rsidP="00C84F4D">
            <w:pPr>
              <w:spacing w:after="3"/>
              <w:jc w:val="center"/>
              <w:rPr>
                <w:b/>
                <w:bCs/>
                <w:color w:val="000000"/>
              </w:rPr>
            </w:pPr>
            <w:r w:rsidRPr="00C84F4D">
              <w:rPr>
                <w:b/>
                <w:bCs/>
                <w:color w:val="000000"/>
              </w:rPr>
              <w:t>Actividades relacionadas</w:t>
            </w:r>
          </w:p>
        </w:tc>
      </w:tr>
      <w:tr w:rsidR="00C84F4D" w:rsidRPr="00C84F4D" w14:paraId="65607554" w14:textId="77777777" w:rsidTr="00CE7124">
        <w:trPr>
          <w:trHeight w:val="1326"/>
          <w:jc w:val="center"/>
        </w:trPr>
        <w:tc>
          <w:tcPr>
            <w:tcW w:w="2016" w:type="dxa"/>
            <w:vAlign w:val="center"/>
          </w:tcPr>
          <w:p w14:paraId="3537E176" w14:textId="77777777" w:rsidR="00C84F4D" w:rsidRPr="00C84F4D" w:rsidRDefault="00C84F4D" w:rsidP="00C84F4D">
            <w:pPr>
              <w:spacing w:after="3"/>
              <w:jc w:val="center"/>
              <w:rPr>
                <w:color w:val="000000"/>
              </w:rPr>
            </w:pPr>
            <w:r w:rsidRPr="00C84F4D">
              <w:rPr>
                <w:color w:val="000000"/>
              </w:rPr>
              <w:t>Horas de Estudio Individual</w:t>
            </w:r>
          </w:p>
          <w:p w14:paraId="3BD13E97" w14:textId="77777777" w:rsidR="00C84F4D" w:rsidRPr="00C84F4D" w:rsidRDefault="00C84F4D" w:rsidP="00C84F4D">
            <w:pPr>
              <w:spacing w:after="3"/>
              <w:jc w:val="center"/>
              <w:rPr>
                <w:color w:val="000000"/>
              </w:rPr>
            </w:pPr>
            <w:r w:rsidRPr="00C84F4D">
              <w:rPr>
                <w:color w:val="000000"/>
              </w:rPr>
              <w:t>(HEI)</w:t>
            </w:r>
          </w:p>
        </w:tc>
        <w:tc>
          <w:tcPr>
            <w:tcW w:w="1517" w:type="dxa"/>
            <w:vAlign w:val="center"/>
          </w:tcPr>
          <w:p w14:paraId="655AEEB6" w14:textId="77777777" w:rsidR="00C84F4D" w:rsidRPr="00C84F4D" w:rsidRDefault="00C84F4D" w:rsidP="00C84F4D">
            <w:pPr>
              <w:spacing w:after="3"/>
              <w:jc w:val="center"/>
              <w:rPr>
                <w:color w:val="000000"/>
              </w:rPr>
            </w:pPr>
            <w:r w:rsidRPr="00C84F4D">
              <w:rPr>
                <w:color w:val="000000"/>
              </w:rPr>
              <w:t>6</w:t>
            </w:r>
          </w:p>
        </w:tc>
        <w:tc>
          <w:tcPr>
            <w:tcW w:w="5225" w:type="dxa"/>
          </w:tcPr>
          <w:p w14:paraId="6C849D5F"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Investigación documental.</w:t>
            </w:r>
          </w:p>
          <w:p w14:paraId="36963CE0"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Revisión y acopio de literatura.</w:t>
            </w:r>
          </w:p>
          <w:p w14:paraId="3CAA1E7D"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Análisis de la literatura y otras fuentes recopiladas.</w:t>
            </w:r>
          </w:p>
        </w:tc>
      </w:tr>
      <w:tr w:rsidR="00C84F4D" w:rsidRPr="00C84F4D" w14:paraId="6254805F" w14:textId="77777777" w:rsidTr="00CE7124">
        <w:trPr>
          <w:trHeight w:val="1684"/>
          <w:jc w:val="center"/>
        </w:trPr>
        <w:tc>
          <w:tcPr>
            <w:tcW w:w="2016" w:type="dxa"/>
            <w:vAlign w:val="center"/>
          </w:tcPr>
          <w:p w14:paraId="40820224" w14:textId="77777777" w:rsidR="00C84F4D" w:rsidRPr="00C84F4D" w:rsidRDefault="00C84F4D" w:rsidP="00C84F4D">
            <w:pPr>
              <w:spacing w:after="3"/>
              <w:jc w:val="center"/>
              <w:rPr>
                <w:color w:val="000000"/>
              </w:rPr>
            </w:pPr>
            <w:r w:rsidRPr="00C84F4D">
              <w:rPr>
                <w:color w:val="000000"/>
              </w:rPr>
              <w:t xml:space="preserve">Horas de Producción Individual </w:t>
            </w:r>
          </w:p>
          <w:p w14:paraId="5698E4C3" w14:textId="77777777" w:rsidR="00C84F4D" w:rsidRPr="00C84F4D" w:rsidRDefault="00C84F4D" w:rsidP="00C84F4D">
            <w:pPr>
              <w:spacing w:after="3"/>
              <w:jc w:val="center"/>
              <w:rPr>
                <w:color w:val="000000"/>
              </w:rPr>
            </w:pPr>
            <w:r w:rsidRPr="00C84F4D">
              <w:rPr>
                <w:color w:val="000000"/>
              </w:rPr>
              <w:t>(HPI)</w:t>
            </w:r>
          </w:p>
        </w:tc>
        <w:tc>
          <w:tcPr>
            <w:tcW w:w="1517" w:type="dxa"/>
            <w:vAlign w:val="center"/>
          </w:tcPr>
          <w:p w14:paraId="428CE3D5" w14:textId="77777777" w:rsidR="00C84F4D" w:rsidRPr="00C84F4D" w:rsidRDefault="00C84F4D" w:rsidP="00C84F4D">
            <w:pPr>
              <w:spacing w:after="3"/>
              <w:jc w:val="center"/>
              <w:rPr>
                <w:color w:val="000000"/>
              </w:rPr>
            </w:pPr>
            <w:r w:rsidRPr="00C84F4D">
              <w:rPr>
                <w:color w:val="000000"/>
              </w:rPr>
              <w:t>6</w:t>
            </w:r>
          </w:p>
        </w:tc>
        <w:tc>
          <w:tcPr>
            <w:tcW w:w="5225" w:type="dxa"/>
          </w:tcPr>
          <w:p w14:paraId="320D37CC"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Elaboración del diseño de la tesina.</w:t>
            </w:r>
          </w:p>
          <w:p w14:paraId="402269A5"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 xml:space="preserve">Elaboración de los capítulos de la tesina. </w:t>
            </w:r>
          </w:p>
          <w:p w14:paraId="033BC54C"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Elaboración de la introducción, conclusión, páginas iniciales, bibliografía y portada de la tesina.</w:t>
            </w:r>
          </w:p>
          <w:p w14:paraId="270CACBC"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Revisión de la ortografía de la tesina.</w:t>
            </w:r>
          </w:p>
          <w:p w14:paraId="2C4B5DA6" w14:textId="77777777" w:rsidR="00C84F4D" w:rsidRPr="00C84F4D" w:rsidRDefault="00C84F4D" w:rsidP="00C84F4D">
            <w:pPr>
              <w:numPr>
                <w:ilvl w:val="0"/>
                <w:numId w:val="199"/>
              </w:numPr>
              <w:spacing w:line="248" w:lineRule="auto"/>
              <w:ind w:left="319"/>
              <w:contextualSpacing/>
              <w:rPr>
                <w:color w:val="000000"/>
              </w:rPr>
            </w:pPr>
            <w:r w:rsidRPr="00C84F4D">
              <w:rPr>
                <w:color w:val="000000"/>
              </w:rPr>
              <w:t>Montaje del borrador final de la tesina.</w:t>
            </w:r>
          </w:p>
        </w:tc>
      </w:tr>
      <w:tr w:rsidR="00C84F4D" w:rsidRPr="00C84F4D" w14:paraId="0746DEB9" w14:textId="77777777" w:rsidTr="00CE7124">
        <w:trPr>
          <w:trHeight w:val="582"/>
          <w:jc w:val="center"/>
        </w:trPr>
        <w:tc>
          <w:tcPr>
            <w:tcW w:w="2016" w:type="dxa"/>
            <w:vAlign w:val="center"/>
          </w:tcPr>
          <w:p w14:paraId="5ECD98E6" w14:textId="77777777" w:rsidR="00C84F4D" w:rsidRPr="00C84F4D" w:rsidRDefault="00C84F4D" w:rsidP="00C84F4D">
            <w:pPr>
              <w:spacing w:after="3"/>
              <w:jc w:val="center"/>
              <w:rPr>
                <w:b/>
                <w:bCs/>
                <w:color w:val="000000"/>
              </w:rPr>
            </w:pPr>
            <w:r w:rsidRPr="00C84F4D">
              <w:rPr>
                <w:b/>
                <w:bCs/>
                <w:color w:val="000000"/>
              </w:rPr>
              <w:t>Total de horas</w:t>
            </w:r>
          </w:p>
          <w:p w14:paraId="106F87F9" w14:textId="77777777" w:rsidR="00C84F4D" w:rsidRPr="00C84F4D" w:rsidRDefault="00C84F4D" w:rsidP="00C84F4D">
            <w:pPr>
              <w:spacing w:after="3"/>
              <w:jc w:val="center"/>
              <w:rPr>
                <w:b/>
                <w:bCs/>
                <w:color w:val="000000"/>
              </w:rPr>
            </w:pPr>
            <w:r w:rsidRPr="00C84F4D">
              <w:rPr>
                <w:b/>
                <w:bCs/>
                <w:color w:val="000000"/>
              </w:rPr>
              <w:t>(TH)</w:t>
            </w:r>
          </w:p>
        </w:tc>
        <w:tc>
          <w:tcPr>
            <w:tcW w:w="1517" w:type="dxa"/>
            <w:vAlign w:val="center"/>
          </w:tcPr>
          <w:p w14:paraId="21C01BD3" w14:textId="77777777" w:rsidR="00C84F4D" w:rsidRPr="00C84F4D" w:rsidRDefault="00C84F4D" w:rsidP="00C84F4D">
            <w:pPr>
              <w:spacing w:after="3"/>
              <w:jc w:val="center"/>
              <w:rPr>
                <w:b/>
                <w:bCs/>
                <w:color w:val="000000"/>
              </w:rPr>
            </w:pPr>
            <w:r w:rsidRPr="00C84F4D">
              <w:rPr>
                <w:b/>
                <w:bCs/>
                <w:color w:val="000000"/>
              </w:rPr>
              <w:t>12</w:t>
            </w:r>
          </w:p>
        </w:tc>
        <w:tc>
          <w:tcPr>
            <w:tcW w:w="5225" w:type="dxa"/>
          </w:tcPr>
          <w:p w14:paraId="61F82240" w14:textId="77777777" w:rsidR="00C84F4D" w:rsidRPr="00C84F4D" w:rsidRDefault="00C84F4D" w:rsidP="00C84F4D">
            <w:pPr>
              <w:spacing w:after="3"/>
              <w:jc w:val="center"/>
              <w:rPr>
                <w:color w:val="000000"/>
              </w:rPr>
            </w:pPr>
          </w:p>
        </w:tc>
      </w:tr>
    </w:tbl>
    <w:p w14:paraId="44DB2125" w14:textId="77777777" w:rsidR="00C84F4D" w:rsidRPr="00C84F4D" w:rsidRDefault="00C84F4D" w:rsidP="00C84F4D">
      <w:pPr>
        <w:spacing w:after="0"/>
        <w:jc w:val="center"/>
        <w:rPr>
          <w:rFonts w:ascii="Calibri" w:eastAsia="Calibri" w:hAnsi="Calibri" w:cs="Calibri"/>
          <w:color w:val="000000"/>
          <w:kern w:val="0"/>
          <w:lang w:eastAsia="es-CR"/>
          <w14:ligatures w14:val="none"/>
        </w:rPr>
      </w:pPr>
    </w:p>
    <w:p w14:paraId="25935C4A" w14:textId="77777777" w:rsidR="00C84F4D" w:rsidRPr="00C84F4D" w:rsidRDefault="00C84F4D" w:rsidP="00C84F4D">
      <w:pPr>
        <w:spacing w:after="0"/>
        <w:rPr>
          <w:rFonts w:ascii="Calibri" w:eastAsia="Calibri" w:hAnsi="Calibri" w:cs="Calibri"/>
          <w:color w:val="000000"/>
          <w:kern w:val="0"/>
          <w:lang w:eastAsia="es-CR"/>
          <w14:ligatures w14:val="none"/>
        </w:rPr>
      </w:pPr>
    </w:p>
    <w:p w14:paraId="2148402D" w14:textId="77777777" w:rsidR="00C84F4D" w:rsidRPr="00C84F4D" w:rsidRDefault="00C84F4D" w:rsidP="00C84F4D">
      <w:pPr>
        <w:spacing w:after="0"/>
        <w:rPr>
          <w:rFonts w:ascii="Calibri" w:eastAsia="Calibri" w:hAnsi="Calibri" w:cs="Calibri"/>
          <w:color w:val="000000"/>
          <w:kern w:val="0"/>
          <w:lang w:eastAsia="es-CR"/>
          <w14:ligatures w14:val="none"/>
        </w:rPr>
      </w:pPr>
    </w:p>
    <w:p w14:paraId="6BD2C826" w14:textId="77777777" w:rsidR="00C84F4D" w:rsidRPr="00C84F4D" w:rsidRDefault="00C84F4D" w:rsidP="00C84F4D">
      <w:pPr>
        <w:spacing w:after="0"/>
        <w:rPr>
          <w:rFonts w:ascii="Calibri" w:eastAsia="Calibri" w:hAnsi="Calibri" w:cs="Calibri"/>
          <w:color w:val="000000"/>
          <w:kern w:val="0"/>
          <w:lang w:eastAsia="es-CR"/>
          <w14:ligatures w14:val="none"/>
        </w:rPr>
      </w:pPr>
    </w:p>
    <w:p w14:paraId="105556CA" w14:textId="77777777" w:rsidR="00C84F4D" w:rsidRPr="00C84F4D" w:rsidRDefault="00C84F4D" w:rsidP="00C84F4D">
      <w:pPr>
        <w:spacing w:after="0"/>
        <w:rPr>
          <w:rFonts w:ascii="Calibri" w:eastAsia="Calibri" w:hAnsi="Calibri" w:cs="Calibri"/>
          <w:color w:val="000000"/>
          <w:kern w:val="0"/>
          <w:lang w:eastAsia="es-CR"/>
          <w14:ligatures w14:val="none"/>
        </w:rPr>
      </w:pPr>
    </w:p>
    <w:p w14:paraId="34EF35F6" w14:textId="77777777" w:rsidR="00C84F4D" w:rsidRPr="00C84F4D" w:rsidRDefault="00C84F4D" w:rsidP="00C84F4D">
      <w:pPr>
        <w:spacing w:after="0"/>
        <w:rPr>
          <w:rFonts w:ascii="Calibri" w:eastAsia="Calibri" w:hAnsi="Calibri" w:cs="Calibri"/>
          <w:color w:val="000000"/>
          <w:kern w:val="0"/>
          <w:lang w:eastAsia="es-CR"/>
          <w14:ligatures w14:val="none"/>
        </w:rPr>
      </w:pPr>
    </w:p>
    <w:p w14:paraId="57F5E925" w14:textId="77777777" w:rsidR="00C84F4D" w:rsidRPr="00C84F4D" w:rsidRDefault="00C84F4D" w:rsidP="00C84F4D">
      <w:pPr>
        <w:spacing w:after="0"/>
        <w:rPr>
          <w:rFonts w:ascii="Calibri" w:eastAsia="Calibri" w:hAnsi="Calibri" w:cs="Calibri"/>
          <w:color w:val="000000"/>
          <w:kern w:val="0"/>
          <w:lang w:eastAsia="es-CR"/>
          <w14:ligatures w14:val="none"/>
        </w:rPr>
      </w:pPr>
    </w:p>
    <w:p w14:paraId="0FFE14EC" w14:textId="77777777" w:rsidR="00C84F4D" w:rsidRDefault="00C84F4D" w:rsidP="00C84F4D">
      <w:pPr>
        <w:spacing w:after="0"/>
        <w:rPr>
          <w:rFonts w:ascii="Calibri" w:eastAsia="Calibri" w:hAnsi="Calibri" w:cs="Calibri"/>
          <w:color w:val="000000"/>
          <w:kern w:val="0"/>
          <w:lang w:eastAsia="es-CR"/>
          <w14:ligatures w14:val="none"/>
        </w:rPr>
      </w:pPr>
    </w:p>
    <w:p w14:paraId="171EE5A7" w14:textId="313D3688" w:rsidR="00D46FEB" w:rsidRDefault="00D46FEB" w:rsidP="00C84F4D">
      <w:pPr>
        <w:spacing w:after="0"/>
        <w:rPr>
          <w:rFonts w:ascii="Calibri" w:eastAsia="Calibri" w:hAnsi="Calibri" w:cs="Calibri"/>
          <w:color w:val="000000"/>
          <w:kern w:val="0"/>
          <w:lang w:eastAsia="es-CR"/>
          <w14:ligatures w14:val="none"/>
        </w:rPr>
      </w:pPr>
    </w:p>
    <w:p w14:paraId="07DB22F1" w14:textId="77777777" w:rsidR="00D46FEB" w:rsidRDefault="00D46FEB" w:rsidP="00C84F4D">
      <w:pPr>
        <w:spacing w:after="0"/>
        <w:rPr>
          <w:rFonts w:ascii="Calibri" w:eastAsia="Calibri" w:hAnsi="Calibri" w:cs="Calibri"/>
          <w:color w:val="000000"/>
          <w:kern w:val="0"/>
          <w:lang w:eastAsia="es-CR"/>
          <w14:ligatures w14:val="none"/>
        </w:rPr>
      </w:pPr>
    </w:p>
    <w:p w14:paraId="0E811FFE" w14:textId="77777777" w:rsidR="00D46FEB" w:rsidRPr="00C84F4D" w:rsidRDefault="00D46FEB" w:rsidP="00C84F4D">
      <w:pPr>
        <w:spacing w:after="0"/>
        <w:rPr>
          <w:rFonts w:ascii="Calibri" w:eastAsia="Calibri" w:hAnsi="Calibri" w:cs="Calibri"/>
          <w:color w:val="000000"/>
          <w:kern w:val="0"/>
          <w:lang w:eastAsia="es-CR"/>
          <w14:ligatures w14:val="none"/>
        </w:rPr>
      </w:pPr>
    </w:p>
    <w:p w14:paraId="21756B77" w14:textId="77777777" w:rsidR="00C84F4D" w:rsidRPr="00C84F4D" w:rsidRDefault="00C84F4D" w:rsidP="00C84F4D">
      <w:pPr>
        <w:spacing w:after="0"/>
        <w:rPr>
          <w:rFonts w:ascii="Calibri" w:eastAsia="Calibri" w:hAnsi="Calibri" w:cs="Calibri"/>
          <w:color w:val="000000"/>
          <w:kern w:val="0"/>
          <w:lang w:eastAsia="es-CR"/>
          <w14:ligatures w14:val="none"/>
        </w:rPr>
      </w:pPr>
    </w:p>
    <w:p w14:paraId="30A883E1" w14:textId="77777777" w:rsidR="00C84F4D" w:rsidRPr="00C84F4D" w:rsidRDefault="00C84F4D" w:rsidP="00C84F4D">
      <w:pPr>
        <w:spacing w:after="0"/>
        <w:rPr>
          <w:rFonts w:ascii="Calibri" w:eastAsia="Calibri" w:hAnsi="Calibri" w:cs="Calibri"/>
          <w:color w:val="000000"/>
          <w:kern w:val="0"/>
          <w:lang w:eastAsia="es-CR"/>
          <w14:ligatures w14:val="none"/>
        </w:rPr>
      </w:pPr>
    </w:p>
    <w:p w14:paraId="4BD82BCC" w14:textId="77777777" w:rsidR="00C84F4D" w:rsidRPr="00C84F4D" w:rsidRDefault="00C84F4D" w:rsidP="00C84F4D">
      <w:pPr>
        <w:spacing w:after="0"/>
        <w:rPr>
          <w:rFonts w:ascii="Calibri" w:eastAsia="Calibri" w:hAnsi="Calibri" w:cs="Calibri"/>
          <w:color w:val="000000"/>
          <w:kern w:val="0"/>
          <w:lang w:eastAsia="es-CR"/>
          <w14:ligatures w14:val="none"/>
        </w:rPr>
      </w:pPr>
    </w:p>
    <w:p w14:paraId="3F1521E0" w14:textId="77777777" w:rsidR="00C84F4D" w:rsidRPr="00C84F4D" w:rsidRDefault="00C84F4D" w:rsidP="00C84F4D">
      <w:pPr>
        <w:spacing w:after="0"/>
        <w:rPr>
          <w:rFonts w:ascii="Calibri" w:eastAsia="Calibri" w:hAnsi="Calibri" w:cs="Calibri"/>
          <w:color w:val="000000"/>
          <w:kern w:val="0"/>
          <w:lang w:eastAsia="es-CR"/>
          <w14:ligatures w14:val="none"/>
        </w:rPr>
      </w:pPr>
    </w:p>
    <w:p w14:paraId="28C17661" w14:textId="77777777" w:rsidR="00C84F4D" w:rsidRPr="00C84F4D" w:rsidRDefault="00C84F4D" w:rsidP="00C84F4D">
      <w:pPr>
        <w:spacing w:after="0"/>
        <w:rPr>
          <w:rFonts w:ascii="Calibri" w:eastAsia="Calibri" w:hAnsi="Calibri" w:cs="Calibri"/>
          <w:color w:val="000000"/>
          <w:kern w:val="0"/>
          <w:lang w:eastAsia="es-CR"/>
          <w14:ligatures w14:val="none"/>
        </w:rPr>
      </w:pPr>
    </w:p>
    <w:p w14:paraId="20E71F36" w14:textId="77777777" w:rsidR="00C84F4D" w:rsidRPr="00C84F4D" w:rsidRDefault="00C84F4D" w:rsidP="00C84F4D">
      <w:pPr>
        <w:spacing w:after="0"/>
        <w:rPr>
          <w:rFonts w:ascii="Calibri" w:eastAsia="Calibri" w:hAnsi="Calibri" w:cs="Calibri"/>
          <w:color w:val="000000"/>
          <w:kern w:val="0"/>
          <w:lang w:eastAsia="es-CR"/>
          <w14:ligatures w14:val="none"/>
        </w:rPr>
      </w:pPr>
    </w:p>
    <w:p w14:paraId="5DA52864" w14:textId="77777777" w:rsidR="00C84F4D" w:rsidRPr="00C84F4D" w:rsidRDefault="00C84F4D" w:rsidP="00C84F4D">
      <w:pPr>
        <w:spacing w:after="0"/>
        <w:rPr>
          <w:rFonts w:ascii="Calibri" w:eastAsia="Calibri" w:hAnsi="Calibri" w:cs="Calibri"/>
          <w:color w:val="000000"/>
          <w:kern w:val="0"/>
          <w:lang w:eastAsia="es-CR"/>
          <w14:ligatures w14:val="none"/>
        </w:rPr>
      </w:pPr>
    </w:p>
    <w:p w14:paraId="240B7300" w14:textId="77777777" w:rsidR="00C84F4D" w:rsidRPr="00C84F4D" w:rsidRDefault="00C84F4D" w:rsidP="00C84F4D">
      <w:pPr>
        <w:spacing w:after="0"/>
        <w:rPr>
          <w:rFonts w:ascii="Calibri" w:eastAsia="Calibri" w:hAnsi="Calibri" w:cs="Calibri"/>
          <w:color w:val="000000"/>
          <w:kern w:val="0"/>
          <w:lang w:eastAsia="es-CR"/>
          <w14:ligatures w14:val="none"/>
        </w:rPr>
      </w:pPr>
    </w:p>
    <w:p w14:paraId="20505ECE" w14:textId="77777777" w:rsidR="00C84F4D" w:rsidRPr="00C84F4D" w:rsidRDefault="00C84F4D" w:rsidP="00C84F4D">
      <w:pPr>
        <w:spacing w:after="0"/>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lastRenderedPageBreak/>
        <w:t>X. Evaluación</w:t>
      </w:r>
    </w:p>
    <w:p w14:paraId="4651D562" w14:textId="77777777" w:rsidR="00C84F4D" w:rsidRPr="00C84F4D" w:rsidRDefault="00C84F4D" w:rsidP="00C84F4D">
      <w:pPr>
        <w:spacing w:after="0"/>
        <w:rPr>
          <w:rFonts w:ascii="Calibri" w:eastAsia="Calibri" w:hAnsi="Calibri" w:cs="Calibri"/>
          <w:color w:val="000000"/>
          <w:kern w:val="0"/>
          <w:lang w:eastAsia="es-CR"/>
          <w14:ligatures w14:val="none"/>
        </w:rPr>
      </w:pPr>
    </w:p>
    <w:p w14:paraId="4C73F48E" w14:textId="77777777" w:rsidR="00C84F4D" w:rsidRPr="00C84F4D" w:rsidRDefault="00C84F4D" w:rsidP="00C84F4D">
      <w:pPr>
        <w:spacing w:after="0"/>
        <w:jc w:val="both"/>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La evaluación de la tesina es realizada, por una parte, por la persona docente guía y, por otra parte, por la persona docente lectora. Ambas personas emitirán una calificación que será promediada para obtener la calificación final. La tesina se evalúa sobre el documento escrito aprobado por la persona docente guía y tiene dos componentes: el contenido teórico y los aspectos formales y de presentación. A continuación, se encuentran los aspectos a tomar en cuenta para la evaluación.</w:t>
      </w:r>
    </w:p>
    <w:p w14:paraId="1779D144"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375DE3D6"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58"/>
        <w:gridCol w:w="1134"/>
        <w:gridCol w:w="1407"/>
      </w:tblGrid>
      <w:tr w:rsidR="00C84F4D" w:rsidRPr="00C84F4D" w14:paraId="7C9243FC" w14:textId="77777777" w:rsidTr="00CE7124">
        <w:trPr>
          <w:trHeight w:val="349"/>
        </w:trPr>
        <w:tc>
          <w:tcPr>
            <w:tcW w:w="7792" w:type="dxa"/>
            <w:gridSpan w:val="2"/>
            <w:shd w:val="clear" w:color="auto" w:fill="auto"/>
            <w:vAlign w:val="center"/>
          </w:tcPr>
          <w:p w14:paraId="27FA632F" w14:textId="77777777" w:rsidR="00C84F4D" w:rsidRPr="00C84F4D" w:rsidRDefault="00C84F4D" w:rsidP="00C84F4D">
            <w:pPr>
              <w:spacing w:after="3" w:line="248" w:lineRule="auto"/>
              <w:ind w:left="375" w:right="3" w:hanging="10"/>
              <w:jc w:val="center"/>
              <w:rPr>
                <w:rFonts w:ascii="Calibri" w:eastAsia="Calibri" w:hAnsi="Calibri" w:cs="Calibri"/>
                <w:b/>
                <w:color w:val="000000"/>
                <w:spacing w:val="-2"/>
                <w:kern w:val="28"/>
                <w:lang w:val="es-ES" w:eastAsia="es-CR"/>
                <w14:ligatures w14:val="none"/>
              </w:rPr>
            </w:pPr>
            <w:r w:rsidRPr="00C84F4D">
              <w:rPr>
                <w:rFonts w:ascii="Calibri" w:eastAsia="Calibri" w:hAnsi="Calibri" w:cs="Calibri"/>
                <w:b/>
                <w:color w:val="000000"/>
                <w:spacing w:val="-2"/>
                <w:kern w:val="28"/>
                <w:lang w:val="es-ES" w:eastAsia="es-CR"/>
                <w14:ligatures w14:val="none"/>
              </w:rPr>
              <w:t>Aspectos para evaluar</w:t>
            </w:r>
          </w:p>
        </w:tc>
        <w:tc>
          <w:tcPr>
            <w:tcW w:w="1407" w:type="dxa"/>
            <w:shd w:val="clear" w:color="auto" w:fill="auto"/>
            <w:vAlign w:val="center"/>
          </w:tcPr>
          <w:p w14:paraId="4BBBBEC4" w14:textId="77777777" w:rsidR="00C84F4D" w:rsidRPr="00C84F4D" w:rsidRDefault="00C84F4D" w:rsidP="00C84F4D">
            <w:pPr>
              <w:spacing w:after="3" w:line="248" w:lineRule="auto"/>
              <w:ind w:right="3"/>
              <w:jc w:val="center"/>
              <w:rPr>
                <w:rFonts w:ascii="Calibri" w:eastAsia="Calibri" w:hAnsi="Calibri" w:cs="Calibri"/>
                <w:b/>
                <w:color w:val="000000"/>
                <w:spacing w:val="-2"/>
                <w:kern w:val="28"/>
                <w:lang w:val="es-ES" w:eastAsia="es-CR"/>
                <w14:ligatures w14:val="none"/>
              </w:rPr>
            </w:pPr>
            <w:r w:rsidRPr="00C84F4D">
              <w:rPr>
                <w:rFonts w:ascii="Calibri" w:eastAsia="Calibri" w:hAnsi="Calibri" w:cs="Calibri"/>
                <w:b/>
                <w:color w:val="000000"/>
                <w:spacing w:val="-2"/>
                <w:kern w:val="28"/>
                <w:lang w:val="es-ES" w:eastAsia="es-CR"/>
                <w14:ligatures w14:val="none"/>
              </w:rPr>
              <w:t>Ponderación</w:t>
            </w:r>
          </w:p>
        </w:tc>
      </w:tr>
      <w:tr w:rsidR="00C84F4D" w:rsidRPr="00C84F4D" w14:paraId="4F6EBA08" w14:textId="77777777" w:rsidTr="00CE7124">
        <w:trPr>
          <w:trHeight w:val="425"/>
        </w:trPr>
        <w:tc>
          <w:tcPr>
            <w:tcW w:w="6658" w:type="dxa"/>
            <w:shd w:val="clear" w:color="auto" w:fill="auto"/>
            <w:vAlign w:val="center"/>
          </w:tcPr>
          <w:p w14:paraId="12471223" w14:textId="77777777" w:rsidR="00C84F4D" w:rsidRPr="00C84F4D" w:rsidRDefault="00C84F4D" w:rsidP="00C84F4D">
            <w:pPr>
              <w:spacing w:after="3" w:line="248" w:lineRule="auto"/>
              <w:ind w:right="3"/>
              <w:rPr>
                <w:rFonts w:ascii="Calibri" w:eastAsia="Calibri" w:hAnsi="Calibri" w:cs="Calibri"/>
                <w:b/>
                <w:iCs/>
                <w:color w:val="000000"/>
                <w:spacing w:val="-2"/>
                <w:kern w:val="28"/>
                <w:lang w:val="es-ES" w:eastAsia="es-CR"/>
                <w14:ligatures w14:val="none"/>
              </w:rPr>
            </w:pPr>
            <w:r w:rsidRPr="00C84F4D">
              <w:rPr>
                <w:rFonts w:ascii="Calibri" w:eastAsia="Calibri" w:hAnsi="Calibri" w:cs="Calibri"/>
                <w:b/>
                <w:iCs/>
                <w:color w:val="000000"/>
                <w:spacing w:val="-2"/>
                <w:kern w:val="28"/>
                <w:lang w:val="es-ES" w:eastAsia="es-CR"/>
                <w14:ligatures w14:val="none"/>
              </w:rPr>
              <w:t>Contenido teórico</w:t>
            </w:r>
          </w:p>
        </w:tc>
        <w:tc>
          <w:tcPr>
            <w:tcW w:w="1134" w:type="dxa"/>
            <w:shd w:val="clear" w:color="auto" w:fill="auto"/>
            <w:vAlign w:val="center"/>
          </w:tcPr>
          <w:p w14:paraId="4B8F784B" w14:textId="77777777" w:rsidR="00C84F4D" w:rsidRPr="00C84F4D" w:rsidRDefault="00C84F4D" w:rsidP="00C84F4D">
            <w:pPr>
              <w:spacing w:after="3" w:line="248" w:lineRule="auto"/>
              <w:ind w:right="3"/>
              <w:jc w:val="center"/>
              <w:rPr>
                <w:rFonts w:ascii="Calibri" w:eastAsia="Calibri" w:hAnsi="Calibri" w:cs="Calibri"/>
                <w:b/>
                <w:iCs/>
                <w:color w:val="000000"/>
                <w:spacing w:val="-2"/>
                <w:kern w:val="28"/>
                <w:lang w:val="es-ES" w:eastAsia="es-CR"/>
                <w14:ligatures w14:val="none"/>
              </w:rPr>
            </w:pPr>
            <w:r w:rsidRPr="00C84F4D">
              <w:rPr>
                <w:rFonts w:ascii="Calibri" w:eastAsia="Calibri" w:hAnsi="Calibri" w:cs="Calibri"/>
                <w:b/>
                <w:iCs/>
                <w:color w:val="000000"/>
                <w:spacing w:val="-2"/>
                <w:kern w:val="28"/>
                <w:lang w:val="es-ES" w:eastAsia="es-CR"/>
                <w14:ligatures w14:val="none"/>
              </w:rPr>
              <w:t>Puntos</w:t>
            </w:r>
          </w:p>
        </w:tc>
        <w:tc>
          <w:tcPr>
            <w:tcW w:w="1407" w:type="dxa"/>
            <w:vMerge w:val="restart"/>
            <w:shd w:val="clear" w:color="auto" w:fill="auto"/>
            <w:vAlign w:val="center"/>
          </w:tcPr>
          <w:p w14:paraId="5A06BC32" w14:textId="77777777" w:rsidR="00C84F4D" w:rsidRPr="00C84F4D" w:rsidRDefault="00C84F4D" w:rsidP="00C84F4D">
            <w:pPr>
              <w:spacing w:after="3" w:line="248" w:lineRule="auto"/>
              <w:ind w:right="3"/>
              <w:jc w:val="center"/>
              <w:rPr>
                <w:rFonts w:ascii="Calibri" w:eastAsia="Calibri" w:hAnsi="Calibri" w:cs="Calibri"/>
                <w:b/>
                <w:color w:val="000000"/>
                <w:spacing w:val="-2"/>
                <w:kern w:val="28"/>
                <w:lang w:val="es-ES" w:eastAsia="es-CR"/>
                <w14:ligatures w14:val="none"/>
              </w:rPr>
            </w:pPr>
            <w:r w:rsidRPr="00C84F4D">
              <w:rPr>
                <w:rFonts w:ascii="Calibri" w:eastAsia="Calibri" w:hAnsi="Calibri" w:cs="Calibri"/>
                <w:b/>
                <w:color w:val="000000"/>
                <w:spacing w:val="-2"/>
                <w:kern w:val="28"/>
                <w:lang w:val="es-ES" w:eastAsia="es-CR"/>
                <w14:ligatures w14:val="none"/>
              </w:rPr>
              <w:t>70%</w:t>
            </w:r>
          </w:p>
        </w:tc>
      </w:tr>
      <w:tr w:rsidR="00C84F4D" w:rsidRPr="00C84F4D" w14:paraId="32FBF100" w14:textId="77777777" w:rsidTr="00CE7124">
        <w:tc>
          <w:tcPr>
            <w:tcW w:w="6658" w:type="dxa"/>
            <w:shd w:val="clear" w:color="auto" w:fill="auto"/>
          </w:tcPr>
          <w:p w14:paraId="65E3A603"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Estructura coherente: observancia del hilo conductor entre capítulos, la introducción y la conclusión.</w:t>
            </w:r>
          </w:p>
        </w:tc>
        <w:tc>
          <w:tcPr>
            <w:tcW w:w="1134" w:type="dxa"/>
            <w:shd w:val="clear" w:color="auto" w:fill="auto"/>
            <w:vAlign w:val="center"/>
          </w:tcPr>
          <w:p w14:paraId="6964AA83"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10</w:t>
            </w:r>
          </w:p>
        </w:tc>
        <w:tc>
          <w:tcPr>
            <w:tcW w:w="1407" w:type="dxa"/>
            <w:vMerge/>
            <w:shd w:val="clear" w:color="auto" w:fill="auto"/>
          </w:tcPr>
          <w:p w14:paraId="55EE533B"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p>
        </w:tc>
      </w:tr>
      <w:tr w:rsidR="00C84F4D" w:rsidRPr="00C84F4D" w14:paraId="5B09A99D" w14:textId="77777777" w:rsidTr="00CE7124">
        <w:tc>
          <w:tcPr>
            <w:tcW w:w="6658" w:type="dxa"/>
            <w:shd w:val="clear" w:color="auto" w:fill="auto"/>
          </w:tcPr>
          <w:p w14:paraId="06595C6E"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Coherencia interna: Organización de las ideas dentro de cada capítulo (párrafos de introducción, desarrollo, transición y conclusión).</w:t>
            </w:r>
          </w:p>
        </w:tc>
        <w:tc>
          <w:tcPr>
            <w:tcW w:w="1134" w:type="dxa"/>
            <w:shd w:val="clear" w:color="auto" w:fill="auto"/>
            <w:vAlign w:val="center"/>
          </w:tcPr>
          <w:p w14:paraId="2D3B89C1"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10</w:t>
            </w:r>
          </w:p>
        </w:tc>
        <w:tc>
          <w:tcPr>
            <w:tcW w:w="1407" w:type="dxa"/>
            <w:vMerge/>
            <w:shd w:val="clear" w:color="auto" w:fill="auto"/>
          </w:tcPr>
          <w:p w14:paraId="602087E1"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p>
        </w:tc>
      </w:tr>
      <w:tr w:rsidR="00C84F4D" w:rsidRPr="00C84F4D" w14:paraId="0EFF11BC" w14:textId="77777777" w:rsidTr="00CE7124">
        <w:tc>
          <w:tcPr>
            <w:tcW w:w="6658" w:type="dxa"/>
            <w:shd w:val="clear" w:color="auto" w:fill="auto"/>
          </w:tcPr>
          <w:p w14:paraId="1CBCD4F0"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Profundidad en la reflexión: análisis y conocimiento del tema acorde con el nivel académico del bachillerato.</w:t>
            </w:r>
          </w:p>
        </w:tc>
        <w:tc>
          <w:tcPr>
            <w:tcW w:w="1134" w:type="dxa"/>
            <w:shd w:val="clear" w:color="auto" w:fill="auto"/>
            <w:vAlign w:val="center"/>
          </w:tcPr>
          <w:p w14:paraId="1341BA0E"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20</w:t>
            </w:r>
          </w:p>
        </w:tc>
        <w:tc>
          <w:tcPr>
            <w:tcW w:w="1407" w:type="dxa"/>
            <w:vMerge/>
            <w:shd w:val="clear" w:color="auto" w:fill="auto"/>
          </w:tcPr>
          <w:p w14:paraId="5B8B6DC5"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p>
        </w:tc>
      </w:tr>
      <w:tr w:rsidR="00C84F4D" w:rsidRPr="00C84F4D" w14:paraId="35CB4E53" w14:textId="77777777" w:rsidTr="00CE7124">
        <w:tc>
          <w:tcPr>
            <w:tcW w:w="6658" w:type="dxa"/>
            <w:shd w:val="clear" w:color="auto" w:fill="auto"/>
          </w:tcPr>
          <w:p w14:paraId="6A5813BD"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Creatividad y originalidad en el entretejido de las ideas y de la propuesta teórica.</w:t>
            </w:r>
          </w:p>
        </w:tc>
        <w:tc>
          <w:tcPr>
            <w:tcW w:w="1134" w:type="dxa"/>
            <w:shd w:val="clear" w:color="auto" w:fill="auto"/>
            <w:vAlign w:val="center"/>
          </w:tcPr>
          <w:p w14:paraId="4FFA2D93"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20</w:t>
            </w:r>
          </w:p>
        </w:tc>
        <w:tc>
          <w:tcPr>
            <w:tcW w:w="1407" w:type="dxa"/>
            <w:vMerge/>
            <w:shd w:val="clear" w:color="auto" w:fill="auto"/>
          </w:tcPr>
          <w:p w14:paraId="4BB33A2B"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p>
        </w:tc>
      </w:tr>
      <w:tr w:rsidR="00C84F4D" w:rsidRPr="00C84F4D" w14:paraId="1CCC2580" w14:textId="77777777" w:rsidTr="00CE7124">
        <w:tc>
          <w:tcPr>
            <w:tcW w:w="6658" w:type="dxa"/>
            <w:shd w:val="clear" w:color="auto" w:fill="auto"/>
          </w:tcPr>
          <w:p w14:paraId="5388A3A9"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Pertinencia y relevancia del tema.</w:t>
            </w:r>
          </w:p>
        </w:tc>
        <w:tc>
          <w:tcPr>
            <w:tcW w:w="1134" w:type="dxa"/>
            <w:shd w:val="clear" w:color="auto" w:fill="auto"/>
            <w:vAlign w:val="center"/>
          </w:tcPr>
          <w:p w14:paraId="3BFB7E9C"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r w:rsidRPr="00C84F4D">
              <w:rPr>
                <w:rFonts w:ascii="Calibri" w:eastAsia="Calibri" w:hAnsi="Calibri" w:cs="Calibri"/>
                <w:color w:val="000000"/>
                <w:spacing w:val="-2"/>
                <w:kern w:val="28"/>
                <w:lang w:val="es-ES" w:eastAsia="es-CR"/>
                <w14:ligatures w14:val="none"/>
              </w:rPr>
              <w:t>10</w:t>
            </w:r>
          </w:p>
        </w:tc>
        <w:tc>
          <w:tcPr>
            <w:tcW w:w="1407" w:type="dxa"/>
            <w:vMerge/>
            <w:shd w:val="clear" w:color="auto" w:fill="auto"/>
          </w:tcPr>
          <w:p w14:paraId="3A34F5F2"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es-ES" w:eastAsia="es-CR"/>
                <w14:ligatures w14:val="none"/>
              </w:rPr>
            </w:pPr>
          </w:p>
        </w:tc>
      </w:tr>
      <w:tr w:rsidR="00C84F4D" w:rsidRPr="00C84F4D" w14:paraId="6884C879" w14:textId="77777777" w:rsidTr="00CE7124">
        <w:tc>
          <w:tcPr>
            <w:tcW w:w="6658" w:type="dxa"/>
            <w:shd w:val="clear" w:color="auto" w:fill="auto"/>
          </w:tcPr>
          <w:p w14:paraId="5EC75825"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Equilibrio entre las áreas temáticas interrelacionadas que el tema requiere (teológicas, bíblicas, pastorales, sociales, etc.).</w:t>
            </w:r>
          </w:p>
        </w:tc>
        <w:tc>
          <w:tcPr>
            <w:tcW w:w="1134" w:type="dxa"/>
            <w:shd w:val="clear" w:color="auto" w:fill="auto"/>
            <w:vAlign w:val="center"/>
          </w:tcPr>
          <w:p w14:paraId="208D6992"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pt-BR" w:eastAsia="es-CR"/>
                <w14:ligatures w14:val="none"/>
              </w:rPr>
            </w:pPr>
            <w:r w:rsidRPr="00C84F4D">
              <w:rPr>
                <w:rFonts w:ascii="Calibri" w:eastAsia="Calibri" w:hAnsi="Calibri" w:cs="Calibri"/>
                <w:color w:val="000000"/>
                <w:spacing w:val="-2"/>
                <w:kern w:val="28"/>
                <w:lang w:val="pt-BR" w:eastAsia="es-CR"/>
                <w14:ligatures w14:val="none"/>
              </w:rPr>
              <w:t>10</w:t>
            </w:r>
          </w:p>
        </w:tc>
        <w:tc>
          <w:tcPr>
            <w:tcW w:w="1407" w:type="dxa"/>
            <w:vMerge/>
            <w:shd w:val="clear" w:color="auto" w:fill="auto"/>
          </w:tcPr>
          <w:p w14:paraId="6C17CF9E"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val="pt-BR" w:eastAsia="es-CR"/>
                <w14:ligatures w14:val="none"/>
              </w:rPr>
            </w:pPr>
          </w:p>
        </w:tc>
      </w:tr>
      <w:tr w:rsidR="00C84F4D" w:rsidRPr="00C84F4D" w14:paraId="686B0DCF" w14:textId="77777777" w:rsidTr="00CE7124">
        <w:tc>
          <w:tcPr>
            <w:tcW w:w="6658" w:type="dxa"/>
            <w:shd w:val="clear" w:color="auto" w:fill="auto"/>
          </w:tcPr>
          <w:p w14:paraId="490BAF56" w14:textId="77777777" w:rsidR="00C84F4D" w:rsidRPr="00C84F4D" w:rsidRDefault="00C84F4D" w:rsidP="00C84F4D">
            <w:pPr>
              <w:numPr>
                <w:ilvl w:val="0"/>
                <w:numId w:val="201"/>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Dominio del tema y los enfoques teóricos utilizados.</w:t>
            </w:r>
          </w:p>
        </w:tc>
        <w:tc>
          <w:tcPr>
            <w:tcW w:w="1134" w:type="dxa"/>
            <w:shd w:val="clear" w:color="auto" w:fill="auto"/>
            <w:vAlign w:val="center"/>
          </w:tcPr>
          <w:p w14:paraId="605246DD"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20</w:t>
            </w:r>
          </w:p>
        </w:tc>
        <w:tc>
          <w:tcPr>
            <w:tcW w:w="1407" w:type="dxa"/>
            <w:vMerge/>
            <w:shd w:val="clear" w:color="auto" w:fill="auto"/>
          </w:tcPr>
          <w:p w14:paraId="4F757735"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3798A875" w14:textId="77777777" w:rsidTr="00CE7124">
        <w:tc>
          <w:tcPr>
            <w:tcW w:w="9199" w:type="dxa"/>
            <w:gridSpan w:val="3"/>
            <w:shd w:val="clear" w:color="auto" w:fill="auto"/>
          </w:tcPr>
          <w:p w14:paraId="6DFDAB11"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2311303E" w14:textId="77777777" w:rsidTr="00CE7124">
        <w:trPr>
          <w:trHeight w:val="456"/>
        </w:trPr>
        <w:tc>
          <w:tcPr>
            <w:tcW w:w="6658" w:type="dxa"/>
            <w:shd w:val="clear" w:color="auto" w:fill="auto"/>
            <w:vAlign w:val="center"/>
          </w:tcPr>
          <w:p w14:paraId="76835EF3" w14:textId="77777777" w:rsidR="00C84F4D" w:rsidRPr="00C84F4D" w:rsidRDefault="00C84F4D" w:rsidP="00C84F4D">
            <w:pPr>
              <w:spacing w:after="0" w:line="240" w:lineRule="auto"/>
              <w:ind w:right="3"/>
              <w:rPr>
                <w:rFonts w:ascii="Calibri" w:eastAsia="Calibri" w:hAnsi="Calibri" w:cs="Calibri"/>
                <w:b/>
                <w:bCs/>
                <w:color w:val="000000"/>
                <w:spacing w:val="-2"/>
                <w:kern w:val="28"/>
                <w:lang w:eastAsia="es-CR"/>
                <w14:ligatures w14:val="none"/>
              </w:rPr>
            </w:pPr>
            <w:r w:rsidRPr="00C84F4D">
              <w:rPr>
                <w:rFonts w:ascii="Calibri" w:eastAsia="Calibri" w:hAnsi="Calibri" w:cs="Calibri"/>
                <w:b/>
                <w:bCs/>
                <w:color w:val="000000"/>
                <w:spacing w:val="-2"/>
                <w:kern w:val="28"/>
                <w:lang w:eastAsia="es-CR"/>
                <w14:ligatures w14:val="none"/>
              </w:rPr>
              <w:t>Aspectos formales y de presentación</w:t>
            </w:r>
          </w:p>
        </w:tc>
        <w:tc>
          <w:tcPr>
            <w:tcW w:w="1134" w:type="dxa"/>
            <w:shd w:val="clear" w:color="auto" w:fill="auto"/>
            <w:vAlign w:val="center"/>
          </w:tcPr>
          <w:p w14:paraId="28DE974D" w14:textId="77777777" w:rsidR="00C84F4D" w:rsidRPr="00C84F4D" w:rsidRDefault="00C84F4D" w:rsidP="00C84F4D">
            <w:pPr>
              <w:spacing w:after="0" w:line="248" w:lineRule="auto"/>
              <w:ind w:right="3"/>
              <w:jc w:val="center"/>
              <w:rPr>
                <w:rFonts w:ascii="Calibri" w:eastAsia="Calibri" w:hAnsi="Calibri" w:cs="Calibri"/>
                <w:b/>
                <w:bCs/>
                <w:color w:val="000000"/>
                <w:spacing w:val="-2"/>
                <w:kern w:val="28"/>
                <w:lang w:eastAsia="es-CR"/>
                <w14:ligatures w14:val="none"/>
              </w:rPr>
            </w:pPr>
            <w:r w:rsidRPr="00C84F4D">
              <w:rPr>
                <w:rFonts w:ascii="Calibri" w:eastAsia="Calibri" w:hAnsi="Calibri" w:cs="Calibri"/>
                <w:b/>
                <w:bCs/>
                <w:color w:val="000000"/>
                <w:spacing w:val="-2"/>
                <w:kern w:val="28"/>
                <w:lang w:eastAsia="es-CR"/>
                <w14:ligatures w14:val="none"/>
              </w:rPr>
              <w:t>Puntos</w:t>
            </w:r>
          </w:p>
        </w:tc>
        <w:tc>
          <w:tcPr>
            <w:tcW w:w="1407" w:type="dxa"/>
            <w:vMerge w:val="restart"/>
            <w:shd w:val="clear" w:color="auto" w:fill="auto"/>
            <w:vAlign w:val="center"/>
          </w:tcPr>
          <w:p w14:paraId="7E5F24BC" w14:textId="77777777" w:rsidR="00C84F4D" w:rsidRPr="00C84F4D" w:rsidRDefault="00C84F4D" w:rsidP="00C84F4D">
            <w:pPr>
              <w:spacing w:after="0" w:line="248" w:lineRule="auto"/>
              <w:ind w:right="3"/>
              <w:jc w:val="center"/>
              <w:rPr>
                <w:rFonts w:ascii="Calibri" w:eastAsia="Calibri" w:hAnsi="Calibri" w:cs="Calibri"/>
                <w:b/>
                <w:bCs/>
                <w:color w:val="000000"/>
                <w:spacing w:val="-2"/>
                <w:kern w:val="28"/>
                <w:lang w:eastAsia="es-CR"/>
                <w14:ligatures w14:val="none"/>
              </w:rPr>
            </w:pPr>
            <w:r w:rsidRPr="00C84F4D">
              <w:rPr>
                <w:rFonts w:ascii="Calibri" w:eastAsia="Calibri" w:hAnsi="Calibri" w:cs="Calibri"/>
                <w:b/>
                <w:bCs/>
                <w:color w:val="000000"/>
                <w:spacing w:val="-2"/>
                <w:kern w:val="28"/>
                <w:lang w:eastAsia="es-CR"/>
                <w14:ligatures w14:val="none"/>
              </w:rPr>
              <w:t>30%</w:t>
            </w:r>
          </w:p>
        </w:tc>
      </w:tr>
      <w:tr w:rsidR="00C84F4D" w:rsidRPr="00C84F4D" w14:paraId="6A9F8887" w14:textId="77777777" w:rsidTr="00CE7124">
        <w:tc>
          <w:tcPr>
            <w:tcW w:w="6658" w:type="dxa"/>
            <w:shd w:val="clear" w:color="auto" w:fill="auto"/>
          </w:tcPr>
          <w:p w14:paraId="65747C62"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Redacción clara y con sintaxis correcta.</w:t>
            </w:r>
          </w:p>
        </w:tc>
        <w:tc>
          <w:tcPr>
            <w:tcW w:w="1134" w:type="dxa"/>
            <w:shd w:val="clear" w:color="auto" w:fill="auto"/>
            <w:vAlign w:val="center"/>
          </w:tcPr>
          <w:p w14:paraId="40D4AED7"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30</w:t>
            </w:r>
          </w:p>
        </w:tc>
        <w:tc>
          <w:tcPr>
            <w:tcW w:w="1407" w:type="dxa"/>
            <w:vMerge/>
            <w:shd w:val="clear" w:color="auto" w:fill="auto"/>
          </w:tcPr>
          <w:p w14:paraId="3A4455E2"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6630E4A4" w14:textId="77777777" w:rsidTr="00CE7124">
        <w:tc>
          <w:tcPr>
            <w:tcW w:w="6658" w:type="dxa"/>
            <w:shd w:val="clear" w:color="auto" w:fill="auto"/>
          </w:tcPr>
          <w:p w14:paraId="0545A38D"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Expresión de las ideas en lenguaje creativo.</w:t>
            </w:r>
          </w:p>
        </w:tc>
        <w:tc>
          <w:tcPr>
            <w:tcW w:w="1134" w:type="dxa"/>
            <w:shd w:val="clear" w:color="auto" w:fill="auto"/>
            <w:vAlign w:val="center"/>
          </w:tcPr>
          <w:p w14:paraId="5B9FF90A"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30</w:t>
            </w:r>
          </w:p>
        </w:tc>
        <w:tc>
          <w:tcPr>
            <w:tcW w:w="1407" w:type="dxa"/>
            <w:vMerge/>
            <w:shd w:val="clear" w:color="auto" w:fill="auto"/>
          </w:tcPr>
          <w:p w14:paraId="2321E3E7"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28CB7616" w14:textId="77777777" w:rsidTr="00CE7124">
        <w:tc>
          <w:tcPr>
            <w:tcW w:w="6658" w:type="dxa"/>
            <w:shd w:val="clear" w:color="auto" w:fill="auto"/>
          </w:tcPr>
          <w:p w14:paraId="7CC04B9B"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Ortografía correcta.</w:t>
            </w:r>
          </w:p>
        </w:tc>
        <w:tc>
          <w:tcPr>
            <w:tcW w:w="1134" w:type="dxa"/>
            <w:shd w:val="clear" w:color="auto" w:fill="auto"/>
            <w:vAlign w:val="center"/>
          </w:tcPr>
          <w:p w14:paraId="782165F4"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10</w:t>
            </w:r>
          </w:p>
        </w:tc>
        <w:tc>
          <w:tcPr>
            <w:tcW w:w="1407" w:type="dxa"/>
            <w:vMerge/>
            <w:shd w:val="clear" w:color="auto" w:fill="auto"/>
          </w:tcPr>
          <w:p w14:paraId="34512A2B"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3A26CAE8" w14:textId="77777777" w:rsidTr="00CE7124">
        <w:tc>
          <w:tcPr>
            <w:tcW w:w="6658" w:type="dxa"/>
            <w:shd w:val="clear" w:color="auto" w:fill="auto"/>
          </w:tcPr>
          <w:p w14:paraId="207DE1E4"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Uso adecuado de las técnicas de investigación bibliográfica.</w:t>
            </w:r>
          </w:p>
        </w:tc>
        <w:tc>
          <w:tcPr>
            <w:tcW w:w="1134" w:type="dxa"/>
            <w:shd w:val="clear" w:color="auto" w:fill="auto"/>
            <w:vAlign w:val="center"/>
          </w:tcPr>
          <w:p w14:paraId="184FAEA3"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10</w:t>
            </w:r>
          </w:p>
        </w:tc>
        <w:tc>
          <w:tcPr>
            <w:tcW w:w="1407" w:type="dxa"/>
            <w:vMerge/>
            <w:shd w:val="clear" w:color="auto" w:fill="auto"/>
          </w:tcPr>
          <w:p w14:paraId="43EB6FA4"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1C3B1A96" w14:textId="77777777" w:rsidTr="00CE7124">
        <w:tc>
          <w:tcPr>
            <w:tcW w:w="6658" w:type="dxa"/>
            <w:shd w:val="clear" w:color="auto" w:fill="auto"/>
          </w:tcPr>
          <w:p w14:paraId="7D43086F"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Uso adecuado del sistema de citas y referencias bibliográficas.</w:t>
            </w:r>
          </w:p>
        </w:tc>
        <w:tc>
          <w:tcPr>
            <w:tcW w:w="1134" w:type="dxa"/>
            <w:shd w:val="clear" w:color="auto" w:fill="auto"/>
            <w:vAlign w:val="center"/>
          </w:tcPr>
          <w:p w14:paraId="0FA78895"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10</w:t>
            </w:r>
          </w:p>
        </w:tc>
        <w:tc>
          <w:tcPr>
            <w:tcW w:w="1407" w:type="dxa"/>
            <w:vMerge/>
            <w:shd w:val="clear" w:color="auto" w:fill="auto"/>
          </w:tcPr>
          <w:p w14:paraId="292F7227"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282AFE52" w14:textId="77777777" w:rsidTr="00CE7124">
        <w:tc>
          <w:tcPr>
            <w:tcW w:w="6658" w:type="dxa"/>
            <w:shd w:val="clear" w:color="auto" w:fill="auto"/>
          </w:tcPr>
          <w:p w14:paraId="2277ACDC" w14:textId="77777777" w:rsidR="00C84F4D" w:rsidRPr="00C84F4D" w:rsidRDefault="00C84F4D" w:rsidP="00C84F4D">
            <w:pPr>
              <w:numPr>
                <w:ilvl w:val="0"/>
                <w:numId w:val="200"/>
              </w:numPr>
              <w:spacing w:after="200" w:line="240" w:lineRule="auto"/>
              <w:ind w:left="454" w:right="3"/>
              <w:contextualSpacing/>
              <w:jc w:val="both"/>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Presentación de estilo apropiado.</w:t>
            </w:r>
          </w:p>
        </w:tc>
        <w:tc>
          <w:tcPr>
            <w:tcW w:w="1134" w:type="dxa"/>
            <w:shd w:val="clear" w:color="auto" w:fill="auto"/>
            <w:vAlign w:val="center"/>
          </w:tcPr>
          <w:p w14:paraId="642F2885" w14:textId="77777777" w:rsidR="00C84F4D" w:rsidRPr="00C84F4D" w:rsidRDefault="00C84F4D" w:rsidP="00C84F4D">
            <w:pPr>
              <w:spacing w:after="3" w:line="248" w:lineRule="auto"/>
              <w:ind w:right="3"/>
              <w:jc w:val="center"/>
              <w:rPr>
                <w:rFonts w:ascii="Calibri" w:eastAsia="Calibri" w:hAnsi="Calibri" w:cs="Calibri"/>
                <w:color w:val="000000"/>
                <w:spacing w:val="-2"/>
                <w:kern w:val="28"/>
                <w:lang w:eastAsia="es-CR"/>
                <w14:ligatures w14:val="none"/>
              </w:rPr>
            </w:pPr>
            <w:r w:rsidRPr="00C84F4D">
              <w:rPr>
                <w:rFonts w:ascii="Calibri" w:eastAsia="Calibri" w:hAnsi="Calibri" w:cs="Calibri"/>
                <w:color w:val="000000"/>
                <w:spacing w:val="-2"/>
                <w:kern w:val="28"/>
                <w:lang w:eastAsia="es-CR"/>
                <w14:ligatures w14:val="none"/>
              </w:rPr>
              <w:t>10</w:t>
            </w:r>
          </w:p>
        </w:tc>
        <w:tc>
          <w:tcPr>
            <w:tcW w:w="1407" w:type="dxa"/>
            <w:vMerge/>
            <w:shd w:val="clear" w:color="auto" w:fill="auto"/>
          </w:tcPr>
          <w:p w14:paraId="003263CA" w14:textId="77777777" w:rsidR="00C84F4D" w:rsidRPr="00C84F4D" w:rsidRDefault="00C84F4D" w:rsidP="00C84F4D">
            <w:pPr>
              <w:spacing w:after="3" w:line="248" w:lineRule="auto"/>
              <w:ind w:left="375" w:right="3" w:hanging="10"/>
              <w:jc w:val="both"/>
              <w:rPr>
                <w:rFonts w:ascii="Calibri" w:eastAsia="Calibri" w:hAnsi="Calibri" w:cs="Calibri"/>
                <w:color w:val="000000"/>
                <w:spacing w:val="-2"/>
                <w:kern w:val="28"/>
                <w:lang w:eastAsia="es-CR"/>
                <w14:ligatures w14:val="none"/>
              </w:rPr>
            </w:pPr>
          </w:p>
        </w:tc>
      </w:tr>
      <w:tr w:rsidR="00C84F4D" w:rsidRPr="00C84F4D" w14:paraId="2B6C2934" w14:textId="77777777" w:rsidTr="00CE7124">
        <w:trPr>
          <w:trHeight w:val="183"/>
        </w:trPr>
        <w:tc>
          <w:tcPr>
            <w:tcW w:w="7792" w:type="dxa"/>
            <w:gridSpan w:val="2"/>
            <w:tcBorders>
              <w:bottom w:val="single" w:sz="4" w:space="0" w:color="auto"/>
            </w:tcBorders>
            <w:shd w:val="clear" w:color="auto" w:fill="auto"/>
          </w:tcPr>
          <w:p w14:paraId="146B63A3" w14:textId="77777777" w:rsidR="00C84F4D" w:rsidRPr="00C84F4D" w:rsidRDefault="00C84F4D" w:rsidP="00C84F4D">
            <w:pPr>
              <w:spacing w:after="0" w:line="248" w:lineRule="auto"/>
              <w:ind w:right="3"/>
              <w:jc w:val="both"/>
              <w:rPr>
                <w:rFonts w:ascii="Calibri" w:eastAsia="Calibri" w:hAnsi="Calibri" w:cs="Calibri"/>
                <w:color w:val="000000"/>
                <w:spacing w:val="-2"/>
                <w:kern w:val="28"/>
                <w:lang w:eastAsia="es-CR"/>
                <w14:ligatures w14:val="none"/>
              </w:rPr>
            </w:pPr>
            <w:r w:rsidRPr="00C84F4D">
              <w:rPr>
                <w:rFonts w:ascii="Calibri" w:eastAsia="Calibri" w:hAnsi="Calibri" w:cs="Calibri"/>
                <w:b/>
                <w:bCs/>
                <w:color w:val="000000"/>
                <w:spacing w:val="-2"/>
                <w:kern w:val="28"/>
                <w:lang w:eastAsia="es-CR"/>
                <w14:ligatures w14:val="none"/>
              </w:rPr>
              <w:t>Total</w:t>
            </w:r>
          </w:p>
        </w:tc>
        <w:tc>
          <w:tcPr>
            <w:tcW w:w="1407" w:type="dxa"/>
            <w:shd w:val="clear" w:color="auto" w:fill="auto"/>
            <w:vAlign w:val="center"/>
          </w:tcPr>
          <w:p w14:paraId="76DA2FE4" w14:textId="77777777" w:rsidR="00C84F4D" w:rsidRPr="00C84F4D" w:rsidRDefault="00C84F4D" w:rsidP="00C84F4D">
            <w:pPr>
              <w:spacing w:after="3" w:line="248" w:lineRule="auto"/>
              <w:ind w:right="3"/>
              <w:jc w:val="center"/>
              <w:rPr>
                <w:rFonts w:ascii="Calibri" w:eastAsia="Calibri" w:hAnsi="Calibri" w:cs="Calibri"/>
                <w:b/>
                <w:bCs/>
                <w:color w:val="000000"/>
                <w:spacing w:val="-2"/>
                <w:kern w:val="28"/>
                <w:lang w:eastAsia="es-CR"/>
                <w14:ligatures w14:val="none"/>
              </w:rPr>
            </w:pPr>
            <w:r w:rsidRPr="00C84F4D">
              <w:rPr>
                <w:rFonts w:ascii="Calibri" w:eastAsia="Calibri" w:hAnsi="Calibri" w:cs="Calibri"/>
                <w:b/>
                <w:bCs/>
                <w:color w:val="000000"/>
                <w:spacing w:val="-2"/>
                <w:kern w:val="28"/>
                <w:lang w:eastAsia="es-CR"/>
                <w14:ligatures w14:val="none"/>
              </w:rPr>
              <w:t>100%</w:t>
            </w:r>
          </w:p>
        </w:tc>
      </w:tr>
    </w:tbl>
    <w:p w14:paraId="6F756E9A" w14:textId="77777777" w:rsidR="00C84F4D" w:rsidRPr="00C84F4D" w:rsidRDefault="00C84F4D" w:rsidP="00C84F4D">
      <w:pPr>
        <w:spacing w:after="0"/>
        <w:jc w:val="both"/>
        <w:rPr>
          <w:rFonts w:ascii="Calibri" w:eastAsia="Calibri" w:hAnsi="Calibri" w:cs="Calibri"/>
          <w:color w:val="000000"/>
          <w:kern w:val="0"/>
          <w:lang w:eastAsia="es-CR"/>
          <w14:ligatures w14:val="none"/>
        </w:rPr>
      </w:pPr>
    </w:p>
    <w:p w14:paraId="07210B6D" w14:textId="77777777" w:rsidR="00C84F4D" w:rsidRPr="00C84F4D" w:rsidRDefault="00C84F4D" w:rsidP="00C84F4D">
      <w:pPr>
        <w:spacing w:after="0"/>
        <w:rPr>
          <w:rFonts w:ascii="Calibri" w:eastAsia="Calibri" w:hAnsi="Calibri" w:cs="Calibri"/>
          <w:color w:val="000000"/>
          <w:kern w:val="0"/>
          <w:lang w:eastAsia="es-CR"/>
          <w14:ligatures w14:val="none"/>
        </w:rPr>
      </w:pPr>
      <w:r w:rsidRPr="00C84F4D">
        <w:rPr>
          <w:rFonts w:ascii="Calibri" w:eastAsia="Calibri" w:hAnsi="Calibri" w:cs="Calibri"/>
          <w:color w:val="000000"/>
          <w:kern w:val="0"/>
          <w:lang w:eastAsia="es-CR"/>
          <w14:ligatures w14:val="none"/>
        </w:rPr>
        <w:t xml:space="preserve">En las categorías “Contenido teórico” y “Aspectos formales y de presentación” los puntos suman 100 en cada una. Una vez obtenida la nota en cada categoría esta se convertirá a la ponderación indicada, a saber, 70% para el contenido teórico y 30% para los aspectos formales y de presentación. Asimismo, es importante señalar que la calificación final de la tesina es el promedio de dos notas: la de </w:t>
      </w:r>
      <w:proofErr w:type="spellStart"/>
      <w:r w:rsidRPr="00C84F4D">
        <w:rPr>
          <w:rFonts w:ascii="Calibri" w:eastAsia="Calibri" w:hAnsi="Calibri" w:cs="Calibri"/>
          <w:color w:val="000000"/>
          <w:kern w:val="0"/>
          <w:lang w:eastAsia="es-CR"/>
          <w14:ligatures w14:val="none"/>
        </w:rPr>
        <w:t>persona</w:t>
      </w:r>
      <w:proofErr w:type="spellEnd"/>
      <w:r w:rsidRPr="00C84F4D">
        <w:rPr>
          <w:rFonts w:ascii="Calibri" w:eastAsia="Calibri" w:hAnsi="Calibri" w:cs="Calibri"/>
          <w:color w:val="000000"/>
          <w:kern w:val="0"/>
          <w:lang w:eastAsia="es-CR"/>
          <w14:ligatures w14:val="none"/>
        </w:rPr>
        <w:t xml:space="preserve"> docente guía y la de la persona docente lectora. </w:t>
      </w:r>
    </w:p>
    <w:p w14:paraId="19C00348"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764A9AD9"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272371CB"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15D12F12"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15079378" w14:textId="77777777" w:rsidR="00C84F4D" w:rsidRPr="00C84F4D" w:rsidRDefault="00C84F4D" w:rsidP="00C84F4D">
      <w:pPr>
        <w:spacing w:after="3" w:line="248" w:lineRule="auto"/>
        <w:jc w:val="both"/>
        <w:rPr>
          <w:rFonts w:ascii="Calibri" w:eastAsia="Calibri" w:hAnsi="Calibri" w:cs="Calibri"/>
          <w:color w:val="000000"/>
          <w:kern w:val="0"/>
          <w:lang w:eastAsia="es-CR"/>
          <w14:ligatures w14:val="none"/>
        </w:rPr>
      </w:pPr>
    </w:p>
    <w:p w14:paraId="582912A3" w14:textId="77777777" w:rsidR="00C84F4D" w:rsidRPr="00C84F4D" w:rsidRDefault="00C84F4D" w:rsidP="00C84F4D">
      <w:pPr>
        <w:spacing w:after="3" w:line="248" w:lineRule="auto"/>
        <w:jc w:val="both"/>
        <w:rPr>
          <w:rFonts w:ascii="Calibri" w:eastAsia="Calibri" w:hAnsi="Calibri" w:cs="Calibri"/>
          <w:b/>
          <w:bCs/>
          <w:color w:val="000000"/>
          <w:kern w:val="0"/>
          <w:lang w:eastAsia="es-CR"/>
          <w14:ligatures w14:val="none"/>
        </w:rPr>
      </w:pPr>
      <w:r w:rsidRPr="00C84F4D">
        <w:rPr>
          <w:rFonts w:ascii="Calibri" w:eastAsia="Calibri" w:hAnsi="Calibri" w:cs="Calibri"/>
          <w:b/>
          <w:bCs/>
          <w:color w:val="000000"/>
          <w:kern w:val="0"/>
          <w:lang w:eastAsia="es-CR"/>
          <w14:ligatures w14:val="none"/>
        </w:rPr>
        <w:t>XI. Bibliografía obligatoria</w:t>
      </w:r>
    </w:p>
    <w:p w14:paraId="3ABCD2DA" w14:textId="77777777" w:rsidR="00C84F4D" w:rsidRPr="00C84F4D" w:rsidRDefault="00C84F4D" w:rsidP="00C84F4D">
      <w:pPr>
        <w:spacing w:after="3" w:line="248" w:lineRule="auto"/>
        <w:jc w:val="both"/>
        <w:rPr>
          <w:rFonts w:ascii="Calibri" w:eastAsia="Calibri" w:hAnsi="Calibri" w:cs="Calibri"/>
          <w:b/>
          <w:bCs/>
          <w:color w:val="000000"/>
          <w:kern w:val="0"/>
          <w:lang w:eastAsia="es-CR"/>
          <w14:ligatures w14:val="none"/>
        </w:rPr>
      </w:pPr>
    </w:p>
    <w:p w14:paraId="78F1D4A7" w14:textId="77777777" w:rsidR="00C84F4D" w:rsidRPr="00C84F4D" w:rsidRDefault="00C84F4D" w:rsidP="00C84F4D">
      <w:pPr>
        <w:spacing w:after="3" w:line="248" w:lineRule="auto"/>
        <w:jc w:val="both"/>
        <w:rPr>
          <w:rFonts w:ascii="Calibri" w:eastAsia="Calibri" w:hAnsi="Calibri" w:cs="Arial"/>
          <w:bCs/>
          <w:color w:val="000000"/>
          <w:kern w:val="0"/>
          <w:lang w:eastAsia="es-CR"/>
          <w14:ligatures w14:val="none"/>
        </w:rPr>
      </w:pPr>
      <w:r w:rsidRPr="00C84F4D">
        <w:rPr>
          <w:rFonts w:ascii="Calibri" w:eastAsia="Calibri" w:hAnsi="Calibri" w:cs="Arial"/>
          <w:b/>
          <w:color w:val="000000"/>
          <w:kern w:val="0"/>
          <w:lang w:eastAsia="es-CR"/>
          <w14:ligatures w14:val="none"/>
        </w:rPr>
        <w:t>Nota:</w:t>
      </w:r>
      <w:r w:rsidRPr="00C84F4D">
        <w:rPr>
          <w:rFonts w:ascii="Calibri" w:eastAsia="Calibri" w:hAnsi="Calibri" w:cs="Arial"/>
          <w:bCs/>
          <w:color w:val="000000"/>
          <w:kern w:val="0"/>
          <w:lang w:eastAsia="es-CR"/>
          <w14:ligatures w14:val="none"/>
        </w:rPr>
        <w:t xml:space="preserve"> Los materiales que no cuentan con enlace de acceso son digitalizaciones en formato </w:t>
      </w:r>
      <w:proofErr w:type="spellStart"/>
      <w:r w:rsidRPr="00C84F4D">
        <w:rPr>
          <w:rFonts w:ascii="Calibri" w:eastAsia="Calibri" w:hAnsi="Calibri" w:cs="Arial"/>
          <w:bCs/>
          <w:color w:val="000000"/>
          <w:kern w:val="0"/>
          <w:lang w:eastAsia="es-CR"/>
          <w14:ligatures w14:val="none"/>
        </w:rPr>
        <w:t>pdf</w:t>
      </w:r>
      <w:proofErr w:type="spellEnd"/>
      <w:r w:rsidRPr="00C84F4D">
        <w:rPr>
          <w:rFonts w:ascii="Calibri" w:eastAsia="Calibri" w:hAnsi="Calibri" w:cs="Arial"/>
          <w:bCs/>
          <w:color w:val="000000"/>
          <w:kern w:val="0"/>
          <w:lang w:eastAsia="es-CR"/>
          <w14:ligatures w14:val="none"/>
        </w:rPr>
        <w:t xml:space="preserve"> de bibliografía física disponible en la Biblioteca de la UBL, los cuales se encuentran disponibles en el aula virtual.</w:t>
      </w:r>
    </w:p>
    <w:p w14:paraId="7077F43D" w14:textId="77777777" w:rsidR="00C84F4D" w:rsidRPr="00C84F4D" w:rsidRDefault="00C84F4D" w:rsidP="00C84F4D">
      <w:pPr>
        <w:spacing w:before="240" w:after="240" w:line="247" w:lineRule="auto"/>
        <w:ind w:left="709" w:right="6" w:hanging="709"/>
        <w:jc w:val="both"/>
        <w:rPr>
          <w:rFonts w:ascii="Calibri" w:eastAsia="Arial" w:hAnsi="Calibri" w:cs="Calibri"/>
          <w:color w:val="000000"/>
          <w:kern w:val="0"/>
          <w:lang w:eastAsia="es-CR"/>
          <w14:ligatures w14:val="none"/>
        </w:rPr>
      </w:pPr>
      <w:r w:rsidRPr="00C84F4D">
        <w:rPr>
          <w:rFonts w:ascii="Calibri" w:eastAsia="Arial" w:hAnsi="Calibri" w:cs="Calibri"/>
          <w:color w:val="000000"/>
          <w:kern w:val="0"/>
          <w:lang w:eastAsia="es-CR"/>
          <w14:ligatures w14:val="none"/>
        </w:rPr>
        <w:t xml:space="preserve">Barrantes, Rodrigo. </w:t>
      </w:r>
      <w:r w:rsidRPr="00C84F4D">
        <w:rPr>
          <w:rFonts w:ascii="Calibri" w:eastAsia="Arial" w:hAnsi="Calibri" w:cs="Calibri"/>
          <w:i/>
          <w:iCs/>
          <w:color w:val="000000"/>
          <w:kern w:val="0"/>
          <w:lang w:eastAsia="es-CR"/>
          <w14:ligatures w14:val="none"/>
        </w:rPr>
        <w:t>Investigación: un camino al conocimiento, un enfoque cualitativo, cuantitativo y mixto</w:t>
      </w:r>
      <w:r w:rsidRPr="00C84F4D">
        <w:rPr>
          <w:rFonts w:ascii="Calibri" w:eastAsia="Arial" w:hAnsi="Calibri" w:cs="Calibri"/>
          <w:color w:val="000000"/>
          <w:kern w:val="0"/>
          <w:lang w:eastAsia="es-CR"/>
          <w14:ligatures w14:val="none"/>
        </w:rPr>
        <w:t>. San José: EUNED, 2013. (</w:t>
      </w:r>
      <w:r w:rsidRPr="00C84F4D">
        <w:rPr>
          <w:rFonts w:ascii="Calibri" w:eastAsia="Arial" w:hAnsi="Calibri" w:cs="Calibri"/>
          <w:color w:val="0070C0"/>
          <w:kern w:val="0"/>
          <w:lang w:eastAsia="es-CR"/>
          <w14:ligatures w14:val="none"/>
        </w:rPr>
        <w:t xml:space="preserve">clásico, </w:t>
      </w:r>
      <w:r w:rsidRPr="00C84F4D">
        <w:rPr>
          <w:rFonts w:ascii="Calibri" w:eastAsia="Arial" w:hAnsi="Calibri" w:cs="Calibri"/>
          <w:color w:val="000000"/>
          <w:kern w:val="0"/>
          <w:lang w:eastAsia="es-CR"/>
          <w14:ligatures w14:val="none"/>
        </w:rPr>
        <w:t>última edición)</w:t>
      </w:r>
    </w:p>
    <w:p w14:paraId="44E1C5D1" w14:textId="77777777" w:rsidR="00C84F4D" w:rsidRPr="00C84F4D" w:rsidRDefault="00C84F4D" w:rsidP="00C84F4D">
      <w:pPr>
        <w:spacing w:after="3" w:line="247" w:lineRule="auto"/>
        <w:ind w:left="709" w:right="6" w:hanging="709"/>
        <w:jc w:val="both"/>
        <w:rPr>
          <w:rFonts w:ascii="Calibri" w:eastAsia="Calibri" w:hAnsi="Calibri" w:cs="Calibri"/>
          <w:color w:val="000000"/>
          <w:kern w:val="0"/>
          <w:lang w:eastAsia="es-CR"/>
          <w14:ligatures w14:val="none"/>
        </w:rPr>
      </w:pPr>
      <w:r w:rsidRPr="00C84F4D">
        <w:rPr>
          <w:rFonts w:ascii="Calibri" w:eastAsia="Arial" w:hAnsi="Calibri" w:cs="Calibri"/>
          <w:color w:val="000000"/>
          <w:kern w:val="0"/>
          <w:lang w:eastAsia="es-CR"/>
          <w14:ligatures w14:val="none"/>
        </w:rPr>
        <w:t xml:space="preserve">Guirao </w:t>
      </w:r>
      <w:proofErr w:type="spellStart"/>
      <w:r w:rsidRPr="00C84F4D">
        <w:rPr>
          <w:rFonts w:ascii="Calibri" w:eastAsia="Arial" w:hAnsi="Calibri" w:cs="Calibri"/>
          <w:color w:val="000000"/>
          <w:kern w:val="0"/>
          <w:lang w:eastAsia="es-CR"/>
          <w14:ligatures w14:val="none"/>
        </w:rPr>
        <w:t>Goris</w:t>
      </w:r>
      <w:proofErr w:type="spellEnd"/>
      <w:r w:rsidRPr="00C84F4D">
        <w:rPr>
          <w:rFonts w:ascii="Calibri" w:eastAsia="Arial" w:hAnsi="Calibri" w:cs="Calibri"/>
          <w:color w:val="000000"/>
          <w:kern w:val="0"/>
          <w:lang w:eastAsia="es-CR"/>
          <w14:ligatures w14:val="none"/>
        </w:rPr>
        <w:t xml:space="preserve">, </w:t>
      </w:r>
      <w:proofErr w:type="spellStart"/>
      <w:r w:rsidRPr="00C84F4D">
        <w:rPr>
          <w:rFonts w:ascii="Calibri" w:eastAsia="Arial" w:hAnsi="Calibri" w:cs="Calibri"/>
          <w:color w:val="000000"/>
          <w:kern w:val="0"/>
          <w:lang w:eastAsia="es-CR"/>
          <w14:ligatures w14:val="none"/>
        </w:rPr>
        <w:t>Silamani</w:t>
      </w:r>
      <w:proofErr w:type="spellEnd"/>
      <w:r w:rsidRPr="00C84F4D">
        <w:rPr>
          <w:rFonts w:ascii="Calibri" w:eastAsia="Arial" w:hAnsi="Calibri" w:cs="Calibri"/>
          <w:color w:val="000000"/>
          <w:kern w:val="0"/>
          <w:lang w:eastAsia="es-CR"/>
          <w14:ligatures w14:val="none"/>
        </w:rPr>
        <w:t xml:space="preserve"> J. Adolf. “Utilidad y tipos de revisión de literatura”</w:t>
      </w:r>
      <w:r w:rsidRPr="00C84F4D">
        <w:rPr>
          <w:rFonts w:ascii="Calibri" w:eastAsia="Arial" w:hAnsi="Calibri" w:cs="Calibri"/>
          <w:i/>
          <w:iCs/>
          <w:color w:val="000000"/>
          <w:kern w:val="0"/>
          <w:lang w:eastAsia="es-CR"/>
          <w14:ligatures w14:val="none"/>
        </w:rPr>
        <w:t xml:space="preserve">. Ene, </w:t>
      </w:r>
      <w:r w:rsidRPr="00C84F4D">
        <w:rPr>
          <w:rFonts w:ascii="Calibri" w:eastAsia="Arial" w:hAnsi="Calibri" w:cs="Calibri"/>
          <w:color w:val="000000"/>
          <w:kern w:val="0"/>
          <w:lang w:eastAsia="es-CR"/>
          <w14:ligatures w14:val="none"/>
        </w:rPr>
        <w:t>n. 2 (2015).</w:t>
      </w:r>
      <w:r w:rsidRPr="00C84F4D">
        <w:rPr>
          <w:rFonts w:ascii="Calibri" w:eastAsia="Arial" w:hAnsi="Calibri" w:cs="Calibri"/>
          <w:i/>
          <w:iCs/>
          <w:color w:val="000000"/>
          <w:kern w:val="0"/>
          <w:lang w:eastAsia="es-CR"/>
          <w14:ligatures w14:val="none"/>
        </w:rPr>
        <w:t xml:space="preserve"> </w:t>
      </w:r>
      <w:r w:rsidRPr="00C84F4D">
        <w:rPr>
          <w:rFonts w:ascii="Calibri" w:eastAsia="Arial" w:hAnsi="Calibri" w:cs="Calibri"/>
          <w:color w:val="000000"/>
          <w:kern w:val="0"/>
          <w:lang w:eastAsia="es-CR"/>
          <w14:ligatures w14:val="none"/>
        </w:rPr>
        <w:t>Acceso el 22 de noviembre de 2022.</w:t>
      </w:r>
      <w:r w:rsidRPr="00C84F4D">
        <w:rPr>
          <w:rFonts w:ascii="Calibri" w:eastAsia="Calibri" w:hAnsi="Calibri" w:cs="Calibri"/>
          <w:color w:val="000000"/>
          <w:kern w:val="0"/>
          <w:lang w:eastAsia="es-CR"/>
          <w14:ligatures w14:val="none"/>
        </w:rPr>
        <w:t xml:space="preserve"> </w:t>
      </w:r>
      <w:hyperlink r:id="rId590" w:history="1">
        <w:r w:rsidRPr="00C84F4D">
          <w:rPr>
            <w:rFonts w:ascii="Calibri" w:eastAsia="Calibri" w:hAnsi="Calibri" w:cs="Calibri"/>
            <w:color w:val="0563C1"/>
            <w:kern w:val="0"/>
            <w:u w:val="single"/>
            <w:lang w:eastAsia="es-CR"/>
            <w14:ligatures w14:val="none"/>
          </w:rPr>
          <w:t>https://dx.doi.org/10.4321/S1988-348X2015000200002</w:t>
        </w:r>
      </w:hyperlink>
      <w:r w:rsidRPr="00C84F4D">
        <w:rPr>
          <w:rFonts w:ascii="Calibri" w:eastAsia="Calibri" w:hAnsi="Calibri" w:cs="Calibri"/>
          <w:color w:val="000000"/>
          <w:kern w:val="0"/>
          <w:lang w:eastAsia="es-CR"/>
          <w14:ligatures w14:val="none"/>
        </w:rPr>
        <w:t xml:space="preserve">  </w:t>
      </w:r>
    </w:p>
    <w:p w14:paraId="246EADEE" w14:textId="77777777" w:rsidR="00C84F4D" w:rsidRPr="00C84F4D" w:rsidRDefault="00C84F4D" w:rsidP="00C84F4D">
      <w:pPr>
        <w:spacing w:before="240" w:after="240" w:line="247" w:lineRule="auto"/>
        <w:ind w:left="709" w:right="6" w:hanging="709"/>
        <w:jc w:val="both"/>
        <w:rPr>
          <w:rFonts w:ascii="Calibri" w:eastAsia="Arial" w:hAnsi="Calibri" w:cs="Calibri"/>
          <w:color w:val="1155CC"/>
          <w:kern w:val="0"/>
          <w:u w:val="single"/>
          <w:lang w:eastAsia="es-CR"/>
          <w14:ligatures w14:val="none"/>
        </w:rPr>
      </w:pPr>
      <w:r w:rsidRPr="00C84F4D">
        <w:rPr>
          <w:rFonts w:ascii="Calibri" w:eastAsia="Arial" w:hAnsi="Calibri" w:cs="Calibri"/>
          <w:color w:val="000000"/>
          <w:kern w:val="0"/>
          <w:lang w:eastAsia="es-CR"/>
          <w14:ligatures w14:val="none"/>
        </w:rPr>
        <w:t xml:space="preserve">May, Janet. </w:t>
      </w:r>
      <w:r w:rsidRPr="00C84F4D">
        <w:rPr>
          <w:rFonts w:ascii="Calibri" w:eastAsia="Arial" w:hAnsi="Calibri" w:cs="Calibri"/>
          <w:i/>
          <w:color w:val="000000"/>
          <w:kern w:val="0"/>
          <w:lang w:eastAsia="es-CR"/>
          <w14:ligatures w14:val="none"/>
        </w:rPr>
        <w:t>Guía para la presentación de trabajos académicos</w:t>
      </w:r>
      <w:r w:rsidRPr="00C84F4D">
        <w:rPr>
          <w:rFonts w:ascii="Calibri" w:eastAsia="Arial" w:hAnsi="Calibri" w:cs="Calibri"/>
          <w:color w:val="000000"/>
          <w:kern w:val="0"/>
          <w:lang w:eastAsia="es-CR"/>
          <w14:ligatures w14:val="none"/>
        </w:rPr>
        <w:t>. San José, Costa Rica: Universidad Bíblica Latinoamericana, 2003. (</w:t>
      </w:r>
      <w:r w:rsidRPr="00C84F4D">
        <w:rPr>
          <w:rFonts w:ascii="Calibri" w:eastAsia="Arial" w:hAnsi="Calibri" w:cs="Calibri"/>
          <w:color w:val="0070C0"/>
          <w:kern w:val="0"/>
          <w:lang w:eastAsia="es-CR"/>
          <w14:ligatures w14:val="none"/>
        </w:rPr>
        <w:t xml:space="preserve">clásico, </w:t>
      </w:r>
      <w:r w:rsidRPr="00C84F4D">
        <w:rPr>
          <w:rFonts w:ascii="Calibri" w:eastAsia="Arial" w:hAnsi="Calibri" w:cs="Calibri"/>
          <w:color w:val="000000"/>
          <w:kern w:val="0"/>
          <w:lang w:eastAsia="es-CR"/>
          <w14:ligatures w14:val="none"/>
        </w:rPr>
        <w:t>última edición)</w:t>
      </w:r>
    </w:p>
    <w:p w14:paraId="4513567B" w14:textId="77777777" w:rsidR="00C84F4D" w:rsidRPr="00C84F4D" w:rsidRDefault="00C84F4D" w:rsidP="00C84F4D">
      <w:pPr>
        <w:spacing w:before="240" w:after="240" w:line="247" w:lineRule="auto"/>
        <w:ind w:left="709" w:right="6" w:hanging="709"/>
        <w:jc w:val="both"/>
        <w:rPr>
          <w:rFonts w:ascii="Calibri" w:eastAsia="Arial" w:hAnsi="Calibri" w:cs="Calibri"/>
          <w:color w:val="000000"/>
          <w:kern w:val="0"/>
          <w:lang w:eastAsia="es-CR"/>
          <w14:ligatures w14:val="none"/>
        </w:rPr>
      </w:pPr>
      <w:r w:rsidRPr="00C84F4D">
        <w:rPr>
          <w:rFonts w:ascii="Calibri" w:eastAsia="Arial" w:hAnsi="Calibri" w:cs="Calibri"/>
          <w:color w:val="000000"/>
          <w:kern w:val="0"/>
          <w:lang w:eastAsia="es-CR"/>
          <w14:ligatures w14:val="none"/>
        </w:rPr>
        <w:t xml:space="preserve">Ulate Soto, Ileana y </w:t>
      </w:r>
      <w:proofErr w:type="spellStart"/>
      <w:r w:rsidRPr="00C84F4D">
        <w:rPr>
          <w:rFonts w:ascii="Calibri" w:eastAsia="Arial" w:hAnsi="Calibri" w:cs="Calibri"/>
          <w:color w:val="000000"/>
          <w:kern w:val="0"/>
          <w:lang w:eastAsia="es-CR"/>
          <w14:ligatures w14:val="none"/>
        </w:rPr>
        <w:t>Elizarda</w:t>
      </w:r>
      <w:proofErr w:type="spellEnd"/>
      <w:r w:rsidRPr="00C84F4D">
        <w:rPr>
          <w:rFonts w:ascii="Calibri" w:eastAsia="Arial" w:hAnsi="Calibri" w:cs="Calibri"/>
          <w:color w:val="000000"/>
          <w:kern w:val="0"/>
          <w:lang w:eastAsia="es-CR"/>
          <w14:ligatures w14:val="none"/>
        </w:rPr>
        <w:t xml:space="preserve"> Vargas </w:t>
      </w:r>
      <w:proofErr w:type="spellStart"/>
      <w:r w:rsidRPr="00C84F4D">
        <w:rPr>
          <w:rFonts w:ascii="Calibri" w:eastAsia="Arial" w:hAnsi="Calibri" w:cs="Calibri"/>
          <w:color w:val="000000"/>
          <w:kern w:val="0"/>
          <w:lang w:eastAsia="es-CR"/>
          <w14:ligatures w14:val="none"/>
        </w:rPr>
        <w:t>Morúa</w:t>
      </w:r>
      <w:proofErr w:type="spellEnd"/>
      <w:r w:rsidRPr="00C84F4D">
        <w:rPr>
          <w:rFonts w:ascii="Calibri" w:eastAsia="Arial" w:hAnsi="Calibri" w:cs="Calibri"/>
          <w:color w:val="000000"/>
          <w:kern w:val="0"/>
          <w:lang w:eastAsia="es-CR"/>
          <w14:ligatures w14:val="none"/>
        </w:rPr>
        <w:t xml:space="preserve">. </w:t>
      </w:r>
      <w:r w:rsidRPr="00C84F4D">
        <w:rPr>
          <w:rFonts w:ascii="Calibri" w:eastAsia="Arial" w:hAnsi="Calibri" w:cs="Calibri"/>
          <w:i/>
          <w:color w:val="000000"/>
          <w:kern w:val="0"/>
          <w:lang w:eastAsia="es-CR"/>
          <w14:ligatures w14:val="none"/>
        </w:rPr>
        <w:t xml:space="preserve">Metodología para elaborar una tesis. </w:t>
      </w:r>
      <w:r w:rsidRPr="00C84F4D">
        <w:rPr>
          <w:rFonts w:ascii="Calibri" w:eastAsia="Arial" w:hAnsi="Calibri" w:cs="Calibri"/>
          <w:color w:val="000000"/>
          <w:kern w:val="0"/>
          <w:lang w:eastAsia="es-CR"/>
          <w14:ligatures w14:val="none"/>
        </w:rPr>
        <w:t>San José, Costa Rica: EUNED, 2019.</w:t>
      </w:r>
    </w:p>
    <w:p w14:paraId="18BF4422" w14:textId="11E9906B" w:rsidR="00930BC9" w:rsidRDefault="00C84F4D" w:rsidP="00C84F4D">
      <w:pPr>
        <w:rPr>
          <w:sz w:val="24"/>
          <w:szCs w:val="24"/>
          <w:lang w:val="es-ES"/>
        </w:rPr>
      </w:pPr>
      <w:r w:rsidRPr="00C84F4D">
        <w:rPr>
          <w:rFonts w:ascii="Calibri" w:eastAsia="Arial" w:hAnsi="Calibri" w:cs="Calibri"/>
          <w:color w:val="000000"/>
          <w:kern w:val="0"/>
          <w:lang w:eastAsia="es-CR"/>
          <w14:ligatures w14:val="none"/>
        </w:rPr>
        <w:t xml:space="preserve">Universidad de Deusto. 2013. Manual de estilo Chicago-Deusto: guía breve para citas y referencias bibliográficas. </w:t>
      </w:r>
      <w:r w:rsidRPr="00C84F4D">
        <w:rPr>
          <w:rFonts w:ascii="Calibri" w:eastAsia="Arial" w:hAnsi="Calibri" w:cs="Calibri"/>
          <w:i/>
          <w:iCs/>
          <w:color w:val="000000"/>
          <w:kern w:val="0"/>
          <w:lang w:eastAsia="es-CR"/>
          <w14:ligatures w14:val="none"/>
        </w:rPr>
        <w:t>Revista Deusto</w:t>
      </w:r>
      <w:r w:rsidRPr="00C84F4D">
        <w:rPr>
          <w:rFonts w:ascii="Calibri" w:eastAsia="Arial" w:hAnsi="Calibri" w:cs="Calibri"/>
          <w:color w:val="000000"/>
          <w:kern w:val="0"/>
          <w:lang w:eastAsia="es-CR"/>
          <w14:ligatures w14:val="none"/>
        </w:rPr>
        <w:t xml:space="preserve">, n. 126 (2013): 1-11. Acceso el 22 de noviembre de 2022. </w:t>
      </w:r>
      <w:hyperlink r:id="rId591" w:history="1">
        <w:r w:rsidRPr="00C84F4D">
          <w:rPr>
            <w:rFonts w:ascii="Calibri" w:eastAsia="Arial" w:hAnsi="Calibri" w:cs="Calibri"/>
            <w:color w:val="0563C1"/>
            <w:kern w:val="0"/>
            <w:u w:val="single"/>
            <w:lang w:eastAsia="es-CR"/>
            <w14:ligatures w14:val="none"/>
          </w:rPr>
          <w:t>http://www.deusto-publicaciones.es/deusto/pdfs/otraspub/otraspub07.pdf</w:t>
        </w:r>
      </w:hyperlink>
    </w:p>
    <w:p w14:paraId="54D90BBA" w14:textId="77777777" w:rsidR="00A20118" w:rsidRDefault="00A20118" w:rsidP="003A1863">
      <w:pPr>
        <w:rPr>
          <w:sz w:val="24"/>
          <w:szCs w:val="24"/>
          <w:lang w:val="es-ES"/>
        </w:rPr>
      </w:pPr>
    </w:p>
    <w:p w14:paraId="0FD26B63" w14:textId="77777777" w:rsidR="00CE5C4B" w:rsidRDefault="00CE5C4B" w:rsidP="003A1863">
      <w:pPr>
        <w:rPr>
          <w:sz w:val="24"/>
          <w:szCs w:val="24"/>
          <w:lang w:val="es-ES"/>
        </w:rPr>
      </w:pPr>
    </w:p>
    <w:p w14:paraId="2519A3AE" w14:textId="77777777" w:rsidR="00CE5C4B" w:rsidRDefault="00CE5C4B" w:rsidP="003A1863">
      <w:pPr>
        <w:rPr>
          <w:sz w:val="24"/>
          <w:szCs w:val="24"/>
          <w:lang w:val="es-ES"/>
        </w:rPr>
      </w:pPr>
    </w:p>
    <w:p w14:paraId="69B0C5B6" w14:textId="77777777" w:rsidR="00CE5C4B" w:rsidRDefault="00CE5C4B" w:rsidP="003A1863">
      <w:pPr>
        <w:rPr>
          <w:sz w:val="24"/>
          <w:szCs w:val="24"/>
          <w:lang w:val="es-ES"/>
        </w:rPr>
      </w:pPr>
    </w:p>
    <w:p w14:paraId="6BA7D2F7" w14:textId="77777777" w:rsidR="00CE5C4B" w:rsidRDefault="00CE5C4B" w:rsidP="003A1863">
      <w:pPr>
        <w:rPr>
          <w:sz w:val="24"/>
          <w:szCs w:val="24"/>
          <w:lang w:val="es-ES"/>
        </w:rPr>
      </w:pPr>
    </w:p>
    <w:p w14:paraId="041CF5AE" w14:textId="77777777" w:rsidR="00CE5C4B" w:rsidRDefault="00CE5C4B" w:rsidP="003A1863">
      <w:pPr>
        <w:rPr>
          <w:sz w:val="24"/>
          <w:szCs w:val="24"/>
          <w:lang w:val="es-ES"/>
        </w:rPr>
      </w:pPr>
    </w:p>
    <w:p w14:paraId="21219265" w14:textId="77777777" w:rsidR="00CE5C4B" w:rsidRDefault="00CE5C4B" w:rsidP="003A1863">
      <w:pPr>
        <w:rPr>
          <w:sz w:val="24"/>
          <w:szCs w:val="24"/>
          <w:lang w:val="es-ES"/>
        </w:rPr>
      </w:pPr>
    </w:p>
    <w:p w14:paraId="52FC620E" w14:textId="77777777" w:rsidR="00CE5C4B" w:rsidRDefault="00CE5C4B" w:rsidP="003A1863">
      <w:pPr>
        <w:rPr>
          <w:sz w:val="24"/>
          <w:szCs w:val="24"/>
          <w:lang w:val="es-ES"/>
        </w:rPr>
      </w:pPr>
    </w:p>
    <w:p w14:paraId="443DB88D" w14:textId="77777777" w:rsidR="00CE5C4B" w:rsidRDefault="00CE5C4B" w:rsidP="003A1863">
      <w:pPr>
        <w:rPr>
          <w:sz w:val="24"/>
          <w:szCs w:val="24"/>
          <w:lang w:val="es-ES"/>
        </w:rPr>
      </w:pPr>
    </w:p>
    <w:p w14:paraId="6F333BC4" w14:textId="77777777" w:rsidR="00CE5C4B" w:rsidRDefault="00CE5C4B" w:rsidP="003A1863">
      <w:pPr>
        <w:rPr>
          <w:sz w:val="24"/>
          <w:szCs w:val="24"/>
          <w:lang w:val="es-ES"/>
        </w:rPr>
      </w:pPr>
    </w:p>
    <w:p w14:paraId="68D96F52" w14:textId="77777777" w:rsidR="00CE5C4B" w:rsidRDefault="00CE5C4B" w:rsidP="003A1863">
      <w:pPr>
        <w:rPr>
          <w:sz w:val="24"/>
          <w:szCs w:val="24"/>
          <w:lang w:val="es-ES"/>
        </w:rPr>
      </w:pPr>
    </w:p>
    <w:p w14:paraId="59886BA2" w14:textId="77777777" w:rsidR="00CE5C4B" w:rsidRDefault="00CE5C4B" w:rsidP="003A1863">
      <w:pPr>
        <w:rPr>
          <w:sz w:val="24"/>
          <w:szCs w:val="24"/>
          <w:lang w:val="es-ES"/>
        </w:rPr>
      </w:pPr>
    </w:p>
    <w:p w14:paraId="53D22BB6" w14:textId="77777777" w:rsidR="00CE5C4B" w:rsidRDefault="00CE5C4B" w:rsidP="003A1863">
      <w:pPr>
        <w:rPr>
          <w:sz w:val="24"/>
          <w:szCs w:val="24"/>
          <w:lang w:val="es-ES"/>
        </w:rPr>
      </w:pPr>
    </w:p>
    <w:p w14:paraId="77707EE6" w14:textId="146CDE6C" w:rsidR="00130D54" w:rsidRDefault="00130D54">
      <w:pPr>
        <w:rPr>
          <w:sz w:val="24"/>
          <w:szCs w:val="24"/>
          <w:lang w:val="es-ES"/>
        </w:rPr>
      </w:pPr>
      <w:r>
        <w:rPr>
          <w:sz w:val="24"/>
          <w:szCs w:val="24"/>
          <w:lang w:val="es-ES"/>
        </w:rPr>
        <w:br w:type="page"/>
      </w:r>
    </w:p>
    <w:p w14:paraId="0BAF21EA" w14:textId="77777777" w:rsidR="007A505B" w:rsidRPr="007A505B" w:rsidRDefault="007A505B" w:rsidP="007A505B">
      <w:pPr>
        <w:spacing w:after="172"/>
        <w:ind w:left="464"/>
        <w:jc w:val="center"/>
        <w:rPr>
          <w:rFonts w:ascii="Calibri" w:eastAsia="Calibri" w:hAnsi="Calibri" w:cs="Calibri"/>
          <w:color w:val="000000"/>
          <w:kern w:val="0"/>
          <w:lang w:eastAsia="es-CR"/>
          <w14:ligatures w14:val="none"/>
        </w:rPr>
      </w:pPr>
      <w:r w:rsidRPr="007A505B">
        <w:rPr>
          <w:rFonts w:ascii="Calibri" w:eastAsia="Calibri" w:hAnsi="Calibri" w:cs="Calibri"/>
          <w:noProof/>
          <w:color w:val="000000"/>
          <w:kern w:val="0"/>
          <w:lang w:eastAsia="es-CR"/>
          <w14:ligatures w14:val="none"/>
        </w:rPr>
        <w:lastRenderedPageBreak/>
        <w:drawing>
          <wp:inline distT="0" distB="0" distL="0" distR="0" wp14:anchorId="7900696E" wp14:editId="1FD9916E">
            <wp:extent cx="2008632" cy="1548384"/>
            <wp:effectExtent l="0" t="0" r="0" b="0"/>
            <wp:docPr id="1617398927" name="image1.jpg" descr="A logo for a religious organization&#10;&#10;Description automatically generated"/>
            <wp:cNvGraphicFramePr/>
            <a:graphic xmlns:a="http://schemas.openxmlformats.org/drawingml/2006/main">
              <a:graphicData uri="http://schemas.openxmlformats.org/drawingml/2006/picture">
                <pic:pic xmlns:pic="http://schemas.openxmlformats.org/drawingml/2006/picture">
                  <pic:nvPicPr>
                    <pic:cNvPr id="1617398927" name="image1.jpg" descr="A logo for a religious organization&#10;&#10;Description automatically generated"/>
                    <pic:cNvPicPr preferRelativeResize="0"/>
                  </pic:nvPicPr>
                  <pic:blipFill>
                    <a:blip r:embed="rId582"/>
                    <a:srcRect/>
                    <a:stretch>
                      <a:fillRect/>
                    </a:stretch>
                  </pic:blipFill>
                  <pic:spPr>
                    <a:xfrm>
                      <a:off x="0" y="0"/>
                      <a:ext cx="2008632" cy="1548384"/>
                    </a:xfrm>
                    <a:prstGeom prst="rect">
                      <a:avLst/>
                    </a:prstGeom>
                    <a:ln/>
                  </pic:spPr>
                </pic:pic>
              </a:graphicData>
            </a:graphic>
          </wp:inline>
        </w:drawing>
      </w:r>
      <w:r w:rsidRPr="007A505B">
        <w:rPr>
          <w:rFonts w:ascii="Calibri" w:eastAsia="Arial" w:hAnsi="Calibri" w:cs="Calibri"/>
          <w:color w:val="0070C0"/>
          <w:kern w:val="0"/>
          <w:lang w:eastAsia="es-CR"/>
          <w14:ligatures w14:val="none"/>
        </w:rPr>
        <w:t xml:space="preserve"> </w:t>
      </w:r>
    </w:p>
    <w:p w14:paraId="58B4C41B" w14:textId="77777777" w:rsidR="007A505B" w:rsidRPr="007A505B" w:rsidRDefault="007A505B" w:rsidP="007A505B">
      <w:pPr>
        <w:spacing w:after="0"/>
        <w:ind w:left="372" w:right="6" w:firstLine="365"/>
        <w:jc w:val="center"/>
        <w:rPr>
          <w:rFonts w:ascii="Calibri" w:eastAsia="Calibri" w:hAnsi="Calibri" w:cs="Calibri"/>
          <w:color w:val="000000"/>
          <w:kern w:val="0"/>
          <w:sz w:val="24"/>
          <w:szCs w:val="24"/>
          <w:lang w:eastAsia="es-CR"/>
          <w14:ligatures w14:val="none"/>
        </w:rPr>
      </w:pPr>
      <w:r w:rsidRPr="007A505B">
        <w:rPr>
          <w:rFonts w:ascii="Calibri" w:eastAsia="Calibri" w:hAnsi="Calibri" w:cs="Calibri"/>
          <w:b/>
          <w:color w:val="000000"/>
          <w:kern w:val="0"/>
          <w:sz w:val="24"/>
          <w:szCs w:val="24"/>
          <w:lang w:eastAsia="es-CR"/>
          <w14:ligatures w14:val="none"/>
        </w:rPr>
        <w:t xml:space="preserve">Universidad Bíblica Latinoamericana </w:t>
      </w:r>
    </w:p>
    <w:p w14:paraId="29D41F32" w14:textId="77777777" w:rsidR="007A505B" w:rsidRPr="007A505B" w:rsidRDefault="007A505B" w:rsidP="007A505B">
      <w:pPr>
        <w:spacing w:after="0"/>
        <w:ind w:left="358"/>
        <w:jc w:val="center"/>
        <w:rPr>
          <w:rFonts w:ascii="Calibri" w:eastAsia="Calibri" w:hAnsi="Calibri" w:cs="Calibri"/>
          <w:color w:val="000000"/>
          <w:kern w:val="0"/>
          <w:sz w:val="24"/>
          <w:szCs w:val="24"/>
          <w:lang w:eastAsia="es-CR"/>
          <w14:ligatures w14:val="none"/>
        </w:rPr>
      </w:pPr>
      <w:r w:rsidRPr="007A505B">
        <w:rPr>
          <w:rFonts w:ascii="Calibri" w:eastAsia="Calibri" w:hAnsi="Calibri" w:cs="Calibri"/>
          <w:b/>
          <w:i/>
          <w:color w:val="000000"/>
          <w:kern w:val="0"/>
          <w:sz w:val="24"/>
          <w:szCs w:val="24"/>
          <w:lang w:eastAsia="es-CR"/>
          <w14:ligatures w14:val="none"/>
        </w:rPr>
        <w:t xml:space="preserve">Facultad de Teología </w:t>
      </w:r>
    </w:p>
    <w:p w14:paraId="49BD7D68" w14:textId="77777777" w:rsidR="007A505B" w:rsidRPr="007A505B" w:rsidRDefault="007A505B" w:rsidP="007A505B">
      <w:pPr>
        <w:spacing w:after="0"/>
        <w:ind w:left="372" w:right="5" w:firstLine="365"/>
        <w:jc w:val="center"/>
        <w:rPr>
          <w:rFonts w:ascii="Calibri" w:eastAsia="Calibri" w:hAnsi="Calibri" w:cs="Calibri"/>
          <w:b/>
          <w:color w:val="000000"/>
          <w:kern w:val="0"/>
          <w:sz w:val="24"/>
          <w:szCs w:val="24"/>
          <w:lang w:eastAsia="es-CR"/>
          <w14:ligatures w14:val="none"/>
        </w:rPr>
      </w:pPr>
      <w:r w:rsidRPr="007A505B">
        <w:rPr>
          <w:rFonts w:ascii="Calibri" w:eastAsia="Calibri" w:hAnsi="Calibri" w:cs="Calibri"/>
          <w:b/>
          <w:color w:val="000000"/>
          <w:kern w:val="0"/>
          <w:sz w:val="24"/>
          <w:szCs w:val="24"/>
          <w:lang w:eastAsia="es-CR"/>
          <w14:ligatures w14:val="none"/>
        </w:rPr>
        <w:t>Bachillerato en Ciencias Bíblicas</w:t>
      </w:r>
    </w:p>
    <w:p w14:paraId="0580DA1F" w14:textId="77777777" w:rsidR="007A505B" w:rsidRPr="007A505B" w:rsidRDefault="007A505B" w:rsidP="007A505B">
      <w:pPr>
        <w:spacing w:after="0"/>
        <w:ind w:left="414"/>
        <w:jc w:val="center"/>
        <w:rPr>
          <w:rFonts w:ascii="Calibri" w:eastAsia="Calibri" w:hAnsi="Calibri" w:cs="Calibri"/>
          <w:color w:val="000000"/>
          <w:kern w:val="0"/>
          <w:sz w:val="24"/>
          <w:szCs w:val="24"/>
          <w:lang w:eastAsia="es-CR"/>
          <w14:ligatures w14:val="none"/>
        </w:rPr>
      </w:pPr>
    </w:p>
    <w:p w14:paraId="3B3C9AD9" w14:textId="77777777" w:rsidR="007A505B" w:rsidRPr="007A505B" w:rsidRDefault="007A505B" w:rsidP="007A505B">
      <w:pPr>
        <w:spacing w:after="0"/>
        <w:ind w:left="372" w:right="3" w:firstLine="365"/>
        <w:jc w:val="center"/>
        <w:rPr>
          <w:rFonts w:ascii="Calibri" w:eastAsia="Calibri" w:hAnsi="Calibri" w:cs="Calibri"/>
          <w:color w:val="000000"/>
          <w:kern w:val="0"/>
          <w:sz w:val="24"/>
          <w:szCs w:val="24"/>
          <w:lang w:eastAsia="es-CR"/>
          <w14:ligatures w14:val="none"/>
        </w:rPr>
      </w:pPr>
      <w:r w:rsidRPr="007A505B">
        <w:rPr>
          <w:rFonts w:ascii="Calibri" w:eastAsia="Calibri" w:hAnsi="Calibri" w:cs="Calibri"/>
          <w:b/>
          <w:color w:val="000000"/>
          <w:kern w:val="0"/>
          <w:sz w:val="24"/>
          <w:szCs w:val="24"/>
          <w:lang w:eastAsia="es-CR"/>
          <w14:ligatures w14:val="none"/>
        </w:rPr>
        <w:t xml:space="preserve">Sílabo </w:t>
      </w:r>
    </w:p>
    <w:p w14:paraId="1F0D4A87" w14:textId="77777777" w:rsidR="007A505B" w:rsidRPr="007A505B" w:rsidRDefault="007A505B" w:rsidP="007A505B">
      <w:pPr>
        <w:spacing w:after="0"/>
        <w:ind w:left="372" w:firstLine="365"/>
        <w:jc w:val="center"/>
        <w:rPr>
          <w:rFonts w:ascii="Calibri" w:eastAsia="Calibri" w:hAnsi="Calibri" w:cs="Calibri"/>
          <w:color w:val="000000"/>
          <w:kern w:val="0"/>
          <w:sz w:val="24"/>
          <w:szCs w:val="24"/>
          <w:lang w:eastAsia="es-CR"/>
          <w14:ligatures w14:val="none"/>
        </w:rPr>
      </w:pPr>
      <w:bookmarkStart w:id="68" w:name="CBSG"/>
      <w:r w:rsidRPr="007A505B">
        <w:rPr>
          <w:rFonts w:ascii="Calibri" w:eastAsia="Calibri" w:hAnsi="Calibri" w:cs="Calibri"/>
          <w:b/>
          <w:color w:val="000000"/>
          <w:kern w:val="0"/>
          <w:sz w:val="24"/>
          <w:szCs w:val="24"/>
          <w:lang w:eastAsia="es-CR"/>
          <w14:ligatures w14:val="none"/>
        </w:rPr>
        <w:t>Seminario de Graduación</w:t>
      </w:r>
    </w:p>
    <w:bookmarkEnd w:id="68"/>
    <w:p w14:paraId="5BF0F2C2" w14:textId="77777777" w:rsidR="007A505B" w:rsidRPr="007A505B" w:rsidRDefault="007A505B" w:rsidP="007A505B">
      <w:pPr>
        <w:spacing w:after="0"/>
        <w:ind w:left="365"/>
        <w:rPr>
          <w:rFonts w:ascii="Calibri" w:eastAsia="Calibri" w:hAnsi="Calibri" w:cs="Calibri"/>
          <w:color w:val="000000"/>
          <w:kern w:val="0"/>
          <w:lang w:eastAsia="es-CR"/>
          <w14:ligatures w14:val="none"/>
        </w:rPr>
      </w:pPr>
    </w:p>
    <w:p w14:paraId="459DF4E3" w14:textId="77777777" w:rsidR="007A505B" w:rsidRPr="007A505B" w:rsidRDefault="007A505B" w:rsidP="007A505B">
      <w:pPr>
        <w:spacing w:after="0"/>
        <w:ind w:left="365"/>
        <w:rPr>
          <w:rFonts w:ascii="Calibri" w:eastAsia="Calibri" w:hAnsi="Calibri" w:cs="Calibri"/>
          <w:color w:val="000000"/>
          <w:kern w:val="0"/>
          <w:lang w:eastAsia="es-CR"/>
          <w14:ligatures w14:val="none"/>
        </w:rPr>
      </w:pPr>
      <w:r w:rsidRPr="007A505B">
        <w:rPr>
          <w:rFonts w:ascii="Calibri" w:eastAsia="Arial" w:hAnsi="Calibri" w:cs="Calibri"/>
          <w:b/>
          <w:color w:val="000000"/>
          <w:kern w:val="0"/>
          <w:lang w:eastAsia="es-CR"/>
          <w14:ligatures w14:val="none"/>
        </w:rPr>
        <w:t xml:space="preserve"> </w:t>
      </w:r>
    </w:p>
    <w:tbl>
      <w:tblPr>
        <w:tblW w:w="9240" w:type="dxa"/>
        <w:jc w:val="center"/>
        <w:tblLayout w:type="fixed"/>
        <w:tblLook w:val="0400" w:firstRow="0" w:lastRow="0" w:firstColumn="0" w:lastColumn="0" w:noHBand="0" w:noVBand="1"/>
      </w:tblPr>
      <w:tblGrid>
        <w:gridCol w:w="1745"/>
        <w:gridCol w:w="7495"/>
      </w:tblGrid>
      <w:tr w:rsidR="007A505B" w:rsidRPr="007A505B" w14:paraId="341485E9"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57C87E55"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Código</w:t>
            </w:r>
          </w:p>
        </w:tc>
        <w:tc>
          <w:tcPr>
            <w:tcW w:w="7495" w:type="dxa"/>
            <w:tcBorders>
              <w:top w:val="single" w:sz="4" w:space="0" w:color="000000"/>
              <w:left w:val="single" w:sz="4" w:space="0" w:color="000000"/>
              <w:bottom w:val="single" w:sz="4" w:space="0" w:color="000000"/>
              <w:right w:val="single" w:sz="4" w:space="0" w:color="000000"/>
            </w:tcBorders>
          </w:tcPr>
          <w:p w14:paraId="41A362DD"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CB-SG</w:t>
            </w:r>
          </w:p>
        </w:tc>
      </w:tr>
      <w:tr w:rsidR="007A505B" w:rsidRPr="007A505B" w14:paraId="4386052D"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12621C61"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Créditos </w:t>
            </w:r>
          </w:p>
        </w:tc>
        <w:tc>
          <w:tcPr>
            <w:tcW w:w="7495" w:type="dxa"/>
            <w:tcBorders>
              <w:top w:val="single" w:sz="4" w:space="0" w:color="000000"/>
              <w:left w:val="single" w:sz="4" w:space="0" w:color="000000"/>
              <w:bottom w:val="single" w:sz="4" w:space="0" w:color="000000"/>
              <w:right w:val="single" w:sz="4" w:space="0" w:color="000000"/>
            </w:tcBorders>
          </w:tcPr>
          <w:p w14:paraId="58E77BD2"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No tiene créditos asignados ya que es un requisito de graduación.</w:t>
            </w:r>
          </w:p>
        </w:tc>
      </w:tr>
      <w:tr w:rsidR="007A505B" w:rsidRPr="007A505B" w14:paraId="04F8F433"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078159AE"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Requisitos </w:t>
            </w:r>
          </w:p>
        </w:tc>
        <w:tc>
          <w:tcPr>
            <w:tcW w:w="7495" w:type="dxa"/>
            <w:tcBorders>
              <w:top w:val="single" w:sz="4" w:space="0" w:color="000000"/>
              <w:left w:val="single" w:sz="4" w:space="0" w:color="000000"/>
              <w:bottom w:val="single" w:sz="4" w:space="0" w:color="000000"/>
              <w:right w:val="single" w:sz="4" w:space="0" w:color="000000"/>
            </w:tcBorders>
          </w:tcPr>
          <w:p w14:paraId="085A22E2"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Haber aprobado todos los cursos hasta el VIII Cuatrimestre.</w:t>
            </w:r>
          </w:p>
        </w:tc>
      </w:tr>
      <w:tr w:rsidR="007A505B" w:rsidRPr="007A505B" w14:paraId="7D597CCE" w14:textId="77777777" w:rsidTr="00CE7124">
        <w:trPr>
          <w:trHeight w:val="290"/>
          <w:jc w:val="center"/>
        </w:trPr>
        <w:tc>
          <w:tcPr>
            <w:tcW w:w="1745" w:type="dxa"/>
            <w:tcBorders>
              <w:top w:val="single" w:sz="4" w:space="0" w:color="000000"/>
              <w:left w:val="single" w:sz="4" w:space="0" w:color="000000"/>
              <w:bottom w:val="single" w:sz="4" w:space="0" w:color="000000"/>
              <w:right w:val="single" w:sz="4" w:space="0" w:color="000000"/>
            </w:tcBorders>
          </w:tcPr>
          <w:p w14:paraId="5DBCEF90"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Modalidad </w:t>
            </w:r>
          </w:p>
        </w:tc>
        <w:tc>
          <w:tcPr>
            <w:tcW w:w="7495" w:type="dxa"/>
            <w:tcBorders>
              <w:top w:val="single" w:sz="4" w:space="0" w:color="000000"/>
              <w:left w:val="single" w:sz="4" w:space="0" w:color="000000"/>
              <w:bottom w:val="single" w:sz="4" w:space="0" w:color="000000"/>
              <w:right w:val="single" w:sz="4" w:space="0" w:color="000000"/>
            </w:tcBorders>
          </w:tcPr>
          <w:p w14:paraId="343F5981"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Virtual</w:t>
            </w:r>
          </w:p>
        </w:tc>
      </w:tr>
      <w:tr w:rsidR="007A505B" w:rsidRPr="007A505B" w14:paraId="05C65B48"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6D15EDF5"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Naturaleza </w:t>
            </w:r>
          </w:p>
        </w:tc>
        <w:tc>
          <w:tcPr>
            <w:tcW w:w="7495" w:type="dxa"/>
            <w:tcBorders>
              <w:top w:val="single" w:sz="4" w:space="0" w:color="000000"/>
              <w:left w:val="single" w:sz="4" w:space="0" w:color="000000"/>
              <w:bottom w:val="single" w:sz="4" w:space="0" w:color="000000"/>
              <w:right w:val="single" w:sz="4" w:space="0" w:color="000000"/>
            </w:tcBorders>
          </w:tcPr>
          <w:p w14:paraId="7D56CB68"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 xml:space="preserve">Seminario </w:t>
            </w:r>
          </w:p>
        </w:tc>
      </w:tr>
      <w:tr w:rsidR="007A505B" w:rsidRPr="007A505B" w14:paraId="44767F72"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25A88E6F"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Periodo </w:t>
            </w:r>
          </w:p>
        </w:tc>
        <w:tc>
          <w:tcPr>
            <w:tcW w:w="7495" w:type="dxa"/>
            <w:tcBorders>
              <w:top w:val="single" w:sz="4" w:space="0" w:color="000000"/>
              <w:left w:val="single" w:sz="4" w:space="0" w:color="000000"/>
              <w:bottom w:val="single" w:sz="4" w:space="0" w:color="000000"/>
              <w:right w:val="single" w:sz="4" w:space="0" w:color="000000"/>
            </w:tcBorders>
          </w:tcPr>
          <w:p w14:paraId="4E6CF16B"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Cuatrimestral (15 semanas lectivas)</w:t>
            </w:r>
          </w:p>
        </w:tc>
      </w:tr>
      <w:tr w:rsidR="007A505B" w:rsidRPr="007A505B" w14:paraId="035F64BD"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11040FA2" w14:textId="77777777" w:rsidR="007A505B" w:rsidRPr="007A505B" w:rsidRDefault="007A505B" w:rsidP="007A505B">
            <w:pPr>
              <w:spacing w:after="3"/>
              <w:ind w:left="2"/>
              <w:rPr>
                <w:rFonts w:ascii="Calibri" w:eastAsia="Calibri" w:hAnsi="Calibri" w:cs="Calibri"/>
                <w:b/>
                <w:color w:val="000000"/>
                <w:lang w:eastAsia="es-CR"/>
              </w:rPr>
            </w:pPr>
            <w:r w:rsidRPr="007A505B">
              <w:rPr>
                <w:rFonts w:ascii="Calibri" w:eastAsia="Calibri" w:hAnsi="Calibri" w:cs="Calibri"/>
                <w:b/>
                <w:color w:val="000000"/>
                <w:lang w:eastAsia="es-CR"/>
              </w:rPr>
              <w:t>Nivel</w:t>
            </w:r>
          </w:p>
        </w:tc>
        <w:tc>
          <w:tcPr>
            <w:tcW w:w="7495" w:type="dxa"/>
            <w:tcBorders>
              <w:top w:val="single" w:sz="4" w:space="0" w:color="000000"/>
              <w:left w:val="single" w:sz="4" w:space="0" w:color="000000"/>
              <w:bottom w:val="single" w:sz="4" w:space="0" w:color="000000"/>
              <w:right w:val="single" w:sz="4" w:space="0" w:color="000000"/>
            </w:tcBorders>
          </w:tcPr>
          <w:p w14:paraId="63D87DCF"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IX Cuatrimestre</w:t>
            </w:r>
          </w:p>
        </w:tc>
      </w:tr>
      <w:tr w:rsidR="007A505B" w:rsidRPr="007A505B" w14:paraId="1EBB7175" w14:textId="77777777" w:rsidTr="00CE7124">
        <w:trPr>
          <w:trHeight w:val="288"/>
          <w:jc w:val="center"/>
        </w:trPr>
        <w:tc>
          <w:tcPr>
            <w:tcW w:w="1745" w:type="dxa"/>
            <w:tcBorders>
              <w:top w:val="single" w:sz="4" w:space="0" w:color="000000"/>
              <w:left w:val="single" w:sz="4" w:space="0" w:color="000000"/>
              <w:bottom w:val="single" w:sz="4" w:space="0" w:color="000000"/>
              <w:right w:val="single" w:sz="4" w:space="0" w:color="000000"/>
            </w:tcBorders>
          </w:tcPr>
          <w:p w14:paraId="7DA867C5"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Horario </w:t>
            </w:r>
          </w:p>
        </w:tc>
        <w:tc>
          <w:tcPr>
            <w:tcW w:w="7495" w:type="dxa"/>
            <w:tcBorders>
              <w:top w:val="single" w:sz="4" w:space="0" w:color="000000"/>
              <w:left w:val="single" w:sz="4" w:space="0" w:color="000000"/>
              <w:bottom w:val="single" w:sz="4" w:space="0" w:color="000000"/>
              <w:right w:val="single" w:sz="4" w:space="0" w:color="000000"/>
            </w:tcBorders>
          </w:tcPr>
          <w:p w14:paraId="40A1EADA"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El seminario requiere de 12 horas de trabajo semanal.</w:t>
            </w:r>
          </w:p>
        </w:tc>
      </w:tr>
      <w:tr w:rsidR="007A505B" w:rsidRPr="007A505B" w14:paraId="73E6AC60"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17FC5B31"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Aula </w:t>
            </w:r>
          </w:p>
        </w:tc>
        <w:tc>
          <w:tcPr>
            <w:tcW w:w="7495" w:type="dxa"/>
            <w:tcBorders>
              <w:top w:val="single" w:sz="4" w:space="0" w:color="000000"/>
              <w:left w:val="single" w:sz="4" w:space="0" w:color="000000"/>
              <w:bottom w:val="single" w:sz="4" w:space="0" w:color="000000"/>
              <w:right w:val="single" w:sz="4" w:space="0" w:color="000000"/>
            </w:tcBorders>
          </w:tcPr>
          <w:p w14:paraId="4743176E" w14:textId="77777777"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Plataforma virtual de la UBL.</w:t>
            </w:r>
          </w:p>
        </w:tc>
      </w:tr>
      <w:tr w:rsidR="007A505B" w:rsidRPr="007A505B" w14:paraId="66323B96" w14:textId="77777777" w:rsidTr="00CE7124">
        <w:trPr>
          <w:trHeight w:val="287"/>
          <w:jc w:val="center"/>
        </w:trPr>
        <w:tc>
          <w:tcPr>
            <w:tcW w:w="1745" w:type="dxa"/>
            <w:tcBorders>
              <w:top w:val="single" w:sz="4" w:space="0" w:color="000000"/>
              <w:left w:val="single" w:sz="4" w:space="0" w:color="000000"/>
              <w:bottom w:val="single" w:sz="4" w:space="0" w:color="000000"/>
              <w:right w:val="single" w:sz="4" w:space="0" w:color="000000"/>
            </w:tcBorders>
          </w:tcPr>
          <w:p w14:paraId="736FE1C6"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 xml:space="preserve">Docente </w:t>
            </w:r>
          </w:p>
        </w:tc>
        <w:tc>
          <w:tcPr>
            <w:tcW w:w="7495" w:type="dxa"/>
            <w:tcBorders>
              <w:top w:val="single" w:sz="4" w:space="0" w:color="000000"/>
              <w:left w:val="single" w:sz="4" w:space="0" w:color="000000"/>
              <w:bottom w:val="single" w:sz="4" w:space="0" w:color="000000"/>
              <w:right w:val="single" w:sz="4" w:space="0" w:color="000000"/>
            </w:tcBorders>
          </w:tcPr>
          <w:p w14:paraId="26354F5C" w14:textId="4BDE6AA1" w:rsidR="007A505B" w:rsidRPr="007A505B" w:rsidRDefault="007A505B" w:rsidP="007A505B">
            <w:pPr>
              <w:spacing w:after="3"/>
              <w:rPr>
                <w:rFonts w:ascii="Calibri" w:eastAsia="Calibri" w:hAnsi="Calibri" w:cs="Calibri"/>
                <w:color w:val="000000"/>
                <w:lang w:eastAsia="es-CR"/>
              </w:rPr>
            </w:pPr>
            <w:r w:rsidRPr="007A505B">
              <w:rPr>
                <w:rFonts w:ascii="Calibri" w:eastAsia="Calibri" w:hAnsi="Calibri" w:cs="Calibri"/>
                <w:color w:val="000000"/>
                <w:lang w:eastAsia="es-CR"/>
              </w:rPr>
              <w:t xml:space="preserve">Asignado por la Dirección de la </w:t>
            </w:r>
            <w:r w:rsidR="00B53287">
              <w:rPr>
                <w:rFonts w:ascii="Calibri" w:eastAsia="Calibri" w:hAnsi="Calibri" w:cs="Calibri"/>
                <w:color w:val="000000"/>
                <w:lang w:eastAsia="es-CR"/>
              </w:rPr>
              <w:t>Escuela de Ciencias Bíblicas</w:t>
            </w:r>
            <w:r w:rsidRPr="007A505B">
              <w:rPr>
                <w:rFonts w:ascii="Calibri" w:eastAsia="Calibri" w:hAnsi="Calibri" w:cs="Calibri"/>
                <w:color w:val="000000"/>
                <w:lang w:eastAsia="es-CR"/>
              </w:rPr>
              <w:t>.</w:t>
            </w:r>
          </w:p>
        </w:tc>
      </w:tr>
      <w:tr w:rsidR="007A505B" w:rsidRPr="007A505B" w14:paraId="4A563109" w14:textId="77777777" w:rsidTr="00CE7124">
        <w:trPr>
          <w:trHeight w:val="844"/>
          <w:jc w:val="center"/>
        </w:trPr>
        <w:tc>
          <w:tcPr>
            <w:tcW w:w="1745" w:type="dxa"/>
            <w:tcBorders>
              <w:top w:val="single" w:sz="4" w:space="0" w:color="000000"/>
              <w:left w:val="single" w:sz="4" w:space="0" w:color="000000"/>
              <w:bottom w:val="single" w:sz="4" w:space="0" w:color="000000"/>
              <w:right w:val="single" w:sz="4" w:space="0" w:color="000000"/>
            </w:tcBorders>
            <w:vAlign w:val="center"/>
          </w:tcPr>
          <w:p w14:paraId="3024C80E" w14:textId="77777777" w:rsidR="007A505B" w:rsidRPr="007A505B" w:rsidRDefault="007A505B" w:rsidP="007A505B">
            <w:pPr>
              <w:spacing w:after="3"/>
              <w:ind w:left="2"/>
              <w:rPr>
                <w:rFonts w:ascii="Calibri" w:eastAsia="Calibri" w:hAnsi="Calibri" w:cs="Calibri"/>
                <w:color w:val="000000"/>
                <w:lang w:eastAsia="es-CR"/>
              </w:rPr>
            </w:pPr>
            <w:r w:rsidRPr="007A505B">
              <w:rPr>
                <w:rFonts w:ascii="Calibri" w:eastAsia="Calibri" w:hAnsi="Calibri" w:cs="Calibri"/>
                <w:b/>
                <w:color w:val="000000"/>
                <w:lang w:eastAsia="es-CR"/>
              </w:rPr>
              <w:t>Instrucciones administrativas</w:t>
            </w:r>
            <w:r w:rsidRPr="007A505B">
              <w:rPr>
                <w:rFonts w:ascii="Calibri" w:eastAsia="Calibri" w:hAnsi="Calibri" w:cs="Calibri"/>
                <w:color w:val="000000"/>
                <w:lang w:eastAsia="es-CR"/>
              </w:rPr>
              <w:t xml:space="preserve"> </w:t>
            </w:r>
          </w:p>
        </w:tc>
        <w:tc>
          <w:tcPr>
            <w:tcW w:w="7495" w:type="dxa"/>
            <w:tcBorders>
              <w:top w:val="single" w:sz="4" w:space="0" w:color="000000"/>
              <w:left w:val="single" w:sz="4" w:space="0" w:color="000000"/>
              <w:bottom w:val="single" w:sz="4" w:space="0" w:color="000000"/>
              <w:right w:val="single" w:sz="4" w:space="0" w:color="000000"/>
            </w:tcBorders>
          </w:tcPr>
          <w:p w14:paraId="0E1B7D68" w14:textId="714F2DFC" w:rsidR="007A505B" w:rsidRPr="007A505B" w:rsidRDefault="007A505B" w:rsidP="007A505B">
            <w:pPr>
              <w:spacing w:after="3" w:line="248" w:lineRule="auto"/>
              <w:ind w:right="3"/>
              <w:jc w:val="both"/>
              <w:rPr>
                <w:rFonts w:ascii="Calibri" w:eastAsia="Calibri" w:hAnsi="Calibri" w:cs="Calibri"/>
                <w:color w:val="000000"/>
                <w:lang w:eastAsia="es-CR"/>
              </w:rPr>
            </w:pPr>
            <w:r w:rsidRPr="007A505B">
              <w:rPr>
                <w:rFonts w:ascii="Calibri" w:eastAsia="Calibri" w:hAnsi="Calibri" w:cs="Calibri"/>
                <w:color w:val="000000"/>
                <w:lang w:eastAsia="es-CR"/>
              </w:rPr>
              <w:t xml:space="preserve">El seminario de graduación para el </w:t>
            </w:r>
            <w:r w:rsidR="00B53287">
              <w:rPr>
                <w:rFonts w:ascii="Calibri" w:eastAsia="Calibri" w:hAnsi="Calibri" w:cs="Calibri"/>
                <w:color w:val="000000"/>
                <w:lang w:eastAsia="es-CR"/>
              </w:rPr>
              <w:t>Bachillerato en Ciencias Bíblicas</w:t>
            </w:r>
            <w:r w:rsidRPr="007A505B">
              <w:rPr>
                <w:rFonts w:ascii="Calibri" w:eastAsia="Calibri" w:hAnsi="Calibri" w:cs="Calibri"/>
                <w:color w:val="000000"/>
                <w:lang w:eastAsia="es-CR"/>
              </w:rPr>
              <w:t xml:space="preserve"> se realiza en forma virtual mediante la plataforma Moodle y sesiones sincrónicas virtuales. Requiere de acceso a una computadora con conexión a Internet, cámara y micrófono. Se compartirá el acceso a la herramienta sincrónica en el aula virtual. La dirección de acceso a la plataforma es la siguiente:</w:t>
            </w:r>
          </w:p>
          <w:p w14:paraId="4FA6BAB9" w14:textId="77777777" w:rsidR="007A505B" w:rsidRPr="007A505B" w:rsidRDefault="00DD16F2" w:rsidP="007A505B">
            <w:pPr>
              <w:spacing w:after="3"/>
              <w:ind w:right="49"/>
              <w:jc w:val="both"/>
              <w:rPr>
                <w:rFonts w:ascii="Calibri" w:eastAsia="Calibri" w:hAnsi="Calibri" w:cs="Calibri"/>
                <w:color w:val="000000"/>
                <w:lang w:eastAsia="es-CR"/>
              </w:rPr>
            </w:pPr>
            <w:hyperlink r:id="rId592" w:history="1">
              <w:r w:rsidR="007A505B" w:rsidRPr="007A505B">
                <w:rPr>
                  <w:rFonts w:ascii="Calibri" w:eastAsia="Calibri" w:hAnsi="Calibri" w:cs="Calibri"/>
                  <w:color w:val="0563C1"/>
                  <w:u w:val="single"/>
                  <w:lang w:eastAsia="es-CR"/>
                </w:rPr>
                <w:t>https://campus.ubl.ac.cr/login/index.php</w:t>
              </w:r>
            </w:hyperlink>
          </w:p>
        </w:tc>
      </w:tr>
    </w:tbl>
    <w:p w14:paraId="67A3FA56" w14:textId="77777777" w:rsidR="007A505B" w:rsidRPr="007A505B" w:rsidRDefault="007A505B" w:rsidP="007A505B">
      <w:pPr>
        <w:spacing w:after="0"/>
        <w:rPr>
          <w:rFonts w:ascii="Calibri" w:eastAsia="Arial" w:hAnsi="Calibri" w:cs="Calibri"/>
          <w:b/>
          <w:color w:val="0070C0"/>
          <w:kern w:val="0"/>
          <w:lang w:eastAsia="es-CR"/>
          <w14:ligatures w14:val="none"/>
        </w:rPr>
      </w:pPr>
    </w:p>
    <w:p w14:paraId="18C7ADCE" w14:textId="77777777" w:rsidR="007A505B" w:rsidRPr="007A505B" w:rsidRDefault="007A505B" w:rsidP="007A505B">
      <w:pPr>
        <w:spacing w:after="0"/>
        <w:rPr>
          <w:rFonts w:ascii="Calibri" w:eastAsia="Arial" w:hAnsi="Calibri" w:cs="Calibri"/>
          <w:b/>
          <w:kern w:val="0"/>
          <w:lang w:eastAsia="es-CR"/>
          <w14:ligatures w14:val="none"/>
        </w:rPr>
      </w:pPr>
      <w:r w:rsidRPr="007A505B">
        <w:rPr>
          <w:rFonts w:ascii="Calibri" w:eastAsia="Arial" w:hAnsi="Calibri" w:cs="Calibri"/>
          <w:b/>
          <w:kern w:val="0"/>
          <w:lang w:eastAsia="es-CR"/>
          <w14:ligatures w14:val="none"/>
        </w:rPr>
        <w:t>I. Descripción</w:t>
      </w:r>
    </w:p>
    <w:p w14:paraId="3F637547" w14:textId="77777777" w:rsidR="007A505B" w:rsidRPr="007A505B" w:rsidRDefault="007A505B" w:rsidP="007A505B">
      <w:pPr>
        <w:spacing w:after="0"/>
        <w:rPr>
          <w:rFonts w:ascii="Calibri" w:eastAsia="Arial" w:hAnsi="Calibri" w:cs="Calibri"/>
          <w:b/>
          <w:kern w:val="0"/>
          <w:lang w:eastAsia="es-CR"/>
          <w14:ligatures w14:val="none"/>
        </w:rPr>
      </w:pPr>
    </w:p>
    <w:p w14:paraId="6596FC88" w14:textId="00D38766"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El Seminario de Graduación (en adelante SG) es una de las modalidades para cumplir con el Trabajo Final de Graduación (en adelante TFG), que es un requisito de graduación de la carrera de </w:t>
      </w:r>
      <w:r w:rsidR="00B53287">
        <w:rPr>
          <w:rFonts w:ascii="Calibri" w:eastAsia="Arial" w:hAnsi="Calibri" w:cs="Calibri"/>
          <w:bCs/>
          <w:kern w:val="0"/>
          <w:lang w:eastAsia="es-CR"/>
          <w14:ligatures w14:val="none"/>
        </w:rPr>
        <w:t>Bachillerato en Ciencias Bíblicas</w:t>
      </w:r>
      <w:r w:rsidRPr="007A505B">
        <w:rPr>
          <w:rFonts w:ascii="Calibri" w:eastAsia="Arial" w:hAnsi="Calibri" w:cs="Calibri"/>
          <w:bCs/>
          <w:kern w:val="0"/>
          <w:lang w:eastAsia="es-CR"/>
          <w14:ligatures w14:val="none"/>
        </w:rPr>
        <w:t xml:space="preserve">. Se realizar mediante un curso en el que las personas estudiantes desarrollan una investigación basada en un problema o caso concreto de estudio con la guía de una persona docente. La investigación parte de un problema específico y se presentan propuestas fundamentadas de acción pastoral y/o social. El trabajo en el seminario se realiza a lo largo de un cuatrimestre con la guía docente y debe mostrar que la persona estudiante tiene la capacidad de analizar un problema concreto, ante el </w:t>
      </w:r>
      <w:r w:rsidRPr="007A505B">
        <w:rPr>
          <w:rFonts w:ascii="Calibri" w:eastAsia="Arial" w:hAnsi="Calibri" w:cs="Calibri"/>
          <w:bCs/>
          <w:kern w:val="0"/>
          <w:lang w:eastAsia="es-CR"/>
          <w14:ligatures w14:val="none"/>
        </w:rPr>
        <w:lastRenderedPageBreak/>
        <w:t xml:space="preserve">cual se puede aportar desde la disciplina de la carrera, diseñar y desarrollar un proceso de investigación pertinente al problema planteado y presentar los resultados de la investigación en formatos diversos. </w:t>
      </w:r>
    </w:p>
    <w:p w14:paraId="6C62E224" w14:textId="77777777" w:rsidR="007A505B" w:rsidRPr="007A505B" w:rsidRDefault="007A505B" w:rsidP="007A505B">
      <w:pPr>
        <w:spacing w:after="0"/>
        <w:jc w:val="both"/>
        <w:rPr>
          <w:rFonts w:ascii="Calibri" w:eastAsia="Arial" w:hAnsi="Calibri" w:cs="Calibri"/>
          <w:bCs/>
          <w:kern w:val="0"/>
          <w:lang w:eastAsia="es-CR"/>
          <w14:ligatures w14:val="none"/>
        </w:rPr>
      </w:pPr>
    </w:p>
    <w:p w14:paraId="288A7F22" w14:textId="77777777" w:rsidR="007A505B" w:rsidRPr="007A505B" w:rsidRDefault="007A505B" w:rsidP="007A505B">
      <w:pPr>
        <w:spacing w:after="0"/>
        <w:jc w:val="both"/>
        <w:rPr>
          <w:rFonts w:ascii="Calibri" w:eastAsia="Arial" w:hAnsi="Calibri" w:cs="Calibri"/>
          <w:b/>
          <w:kern w:val="0"/>
          <w:lang w:eastAsia="es-CR"/>
          <w14:ligatures w14:val="none"/>
        </w:rPr>
      </w:pPr>
      <w:r w:rsidRPr="007A505B">
        <w:rPr>
          <w:rFonts w:ascii="Calibri" w:eastAsia="Arial" w:hAnsi="Calibri" w:cs="Calibri"/>
          <w:b/>
          <w:kern w:val="0"/>
          <w:lang w:eastAsia="es-CR"/>
          <w14:ligatures w14:val="none"/>
        </w:rPr>
        <w:t>II. Objetivo general</w:t>
      </w:r>
    </w:p>
    <w:p w14:paraId="643BFF29" w14:textId="77777777" w:rsidR="007A505B" w:rsidRPr="007A505B" w:rsidRDefault="007A505B" w:rsidP="007A505B">
      <w:pPr>
        <w:spacing w:after="0"/>
        <w:jc w:val="both"/>
        <w:rPr>
          <w:rFonts w:ascii="Calibri" w:eastAsia="Arial" w:hAnsi="Calibri" w:cs="Calibri"/>
          <w:b/>
          <w:kern w:val="0"/>
          <w:lang w:eastAsia="es-CR"/>
          <w14:ligatures w14:val="none"/>
        </w:rPr>
      </w:pPr>
    </w:p>
    <w:p w14:paraId="6CB8B07E" w14:textId="2611D6F8"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Analizar un problema objeto de estudio de la realidad socio-eclesial y pastoral pertinente para América Latina y el Caribe y/o el contexto socio-eclesial de la persona estudiante, que integre los conocimientos y destrezas de la carrera de </w:t>
      </w:r>
      <w:r w:rsidR="00B53287">
        <w:rPr>
          <w:rFonts w:ascii="Calibri" w:eastAsia="Arial" w:hAnsi="Calibri" w:cs="Calibri"/>
          <w:bCs/>
          <w:kern w:val="0"/>
          <w:lang w:eastAsia="es-CR"/>
          <w14:ligatures w14:val="none"/>
        </w:rPr>
        <w:t>Bachillerato en Ciencias Bíblicas</w:t>
      </w:r>
      <w:r w:rsidRPr="007A505B">
        <w:rPr>
          <w:rFonts w:ascii="Calibri" w:eastAsia="Arial" w:hAnsi="Calibri" w:cs="Calibri"/>
          <w:bCs/>
          <w:kern w:val="0"/>
          <w:lang w:eastAsia="es-CR"/>
          <w14:ligatures w14:val="none"/>
        </w:rPr>
        <w:t xml:space="preserve">, con el fin de coadyuvar en la resolución del problema, hecho o fenómeno social. </w:t>
      </w:r>
    </w:p>
    <w:p w14:paraId="0457C17F" w14:textId="77777777" w:rsidR="007A505B" w:rsidRPr="007A505B" w:rsidRDefault="007A505B" w:rsidP="007A505B">
      <w:pPr>
        <w:spacing w:after="0"/>
        <w:jc w:val="both"/>
        <w:rPr>
          <w:rFonts w:ascii="Calibri" w:eastAsia="Arial" w:hAnsi="Calibri" w:cs="Calibri"/>
          <w:bCs/>
          <w:kern w:val="0"/>
          <w:lang w:eastAsia="es-CR"/>
          <w14:ligatures w14:val="none"/>
        </w:rPr>
      </w:pPr>
    </w:p>
    <w:p w14:paraId="35A6D205" w14:textId="77777777" w:rsidR="007A505B" w:rsidRPr="007A505B" w:rsidRDefault="007A505B" w:rsidP="007A505B">
      <w:pPr>
        <w:spacing w:after="0"/>
        <w:jc w:val="both"/>
        <w:rPr>
          <w:rFonts w:ascii="Calibri" w:eastAsia="Arial" w:hAnsi="Calibri" w:cs="Calibri"/>
          <w:b/>
          <w:kern w:val="0"/>
          <w:lang w:eastAsia="es-CR"/>
          <w14:ligatures w14:val="none"/>
        </w:rPr>
      </w:pPr>
      <w:r w:rsidRPr="007A505B">
        <w:rPr>
          <w:rFonts w:ascii="Calibri" w:eastAsia="Arial" w:hAnsi="Calibri" w:cs="Calibri"/>
          <w:b/>
          <w:kern w:val="0"/>
          <w:lang w:eastAsia="es-CR"/>
          <w14:ligatures w14:val="none"/>
        </w:rPr>
        <w:t>III. Objetivos específicos</w:t>
      </w:r>
    </w:p>
    <w:p w14:paraId="5BD3DC16" w14:textId="77777777" w:rsidR="007A505B" w:rsidRPr="007A505B" w:rsidRDefault="007A505B" w:rsidP="007A505B">
      <w:pPr>
        <w:spacing w:after="0"/>
        <w:jc w:val="both"/>
        <w:rPr>
          <w:rFonts w:ascii="Calibri" w:eastAsia="Arial" w:hAnsi="Calibri" w:cs="Calibri"/>
          <w:b/>
          <w:kern w:val="0"/>
          <w:lang w:eastAsia="es-CR"/>
          <w14:ligatures w14:val="none"/>
        </w:rPr>
      </w:pPr>
    </w:p>
    <w:p w14:paraId="69AF22C3"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1. Analizar un problema concreto ante el cual se puede aportar desde la disciplina de la carrera. </w:t>
      </w:r>
    </w:p>
    <w:p w14:paraId="7ED58CD2" w14:textId="77777777" w:rsidR="007A505B" w:rsidRPr="007A505B" w:rsidRDefault="007A505B" w:rsidP="007A505B">
      <w:pPr>
        <w:spacing w:after="0"/>
        <w:jc w:val="both"/>
        <w:rPr>
          <w:rFonts w:ascii="Calibri" w:eastAsia="Arial" w:hAnsi="Calibri" w:cs="Calibri"/>
          <w:bCs/>
          <w:kern w:val="0"/>
          <w:lang w:eastAsia="es-CR"/>
          <w14:ligatures w14:val="none"/>
        </w:rPr>
      </w:pPr>
    </w:p>
    <w:p w14:paraId="61884966"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2. Diseñar y desarrollar un proceso de investigación pertinente al problema planteado. </w:t>
      </w:r>
    </w:p>
    <w:p w14:paraId="4474CAA9" w14:textId="77777777" w:rsidR="007A505B" w:rsidRPr="007A505B" w:rsidRDefault="007A505B" w:rsidP="007A505B">
      <w:pPr>
        <w:spacing w:after="0"/>
        <w:jc w:val="both"/>
        <w:rPr>
          <w:rFonts w:ascii="Calibri" w:eastAsia="Arial" w:hAnsi="Calibri" w:cs="Calibri"/>
          <w:bCs/>
          <w:kern w:val="0"/>
          <w:lang w:eastAsia="es-CR"/>
          <w14:ligatures w14:val="none"/>
        </w:rPr>
      </w:pPr>
    </w:p>
    <w:p w14:paraId="4F8F91DB"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3. Emplear metodologías adecuadas al tema y problema de investigación.</w:t>
      </w:r>
    </w:p>
    <w:p w14:paraId="51DB5DF1" w14:textId="77777777" w:rsidR="007A505B" w:rsidRPr="007A505B" w:rsidRDefault="007A505B" w:rsidP="007A505B">
      <w:pPr>
        <w:spacing w:after="0"/>
        <w:jc w:val="both"/>
        <w:rPr>
          <w:rFonts w:ascii="Calibri" w:eastAsia="Arial" w:hAnsi="Calibri" w:cs="Calibri"/>
          <w:bCs/>
          <w:kern w:val="0"/>
          <w:lang w:eastAsia="es-CR"/>
          <w14:ligatures w14:val="none"/>
        </w:rPr>
      </w:pPr>
    </w:p>
    <w:p w14:paraId="67AFC928"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4. Realizar la investigación bibliográfica, documental y de campo necesaria para el análisis del problema y para el desarrollo de propuestas metodológicas, pedagógicas, teológicas, bíblicas o pastorales pertinentes. </w:t>
      </w:r>
    </w:p>
    <w:p w14:paraId="5DC4DEDE" w14:textId="77777777" w:rsidR="007A505B" w:rsidRPr="007A505B" w:rsidRDefault="007A505B" w:rsidP="007A505B">
      <w:pPr>
        <w:spacing w:after="0"/>
        <w:jc w:val="both"/>
        <w:rPr>
          <w:rFonts w:ascii="Calibri" w:eastAsia="Arial" w:hAnsi="Calibri" w:cs="Calibri"/>
          <w:bCs/>
          <w:kern w:val="0"/>
          <w:lang w:eastAsia="es-CR"/>
          <w14:ligatures w14:val="none"/>
        </w:rPr>
      </w:pPr>
    </w:p>
    <w:p w14:paraId="64A6D498"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5. Integrar los instrumentos analíticos apropiados al campo de su investigación.</w:t>
      </w:r>
    </w:p>
    <w:p w14:paraId="6F36C546" w14:textId="77777777" w:rsidR="007A505B" w:rsidRPr="007A505B" w:rsidRDefault="007A505B" w:rsidP="007A505B">
      <w:pPr>
        <w:spacing w:after="0"/>
        <w:jc w:val="both"/>
        <w:rPr>
          <w:rFonts w:ascii="Calibri" w:eastAsia="Arial" w:hAnsi="Calibri" w:cs="Calibri"/>
          <w:bCs/>
          <w:kern w:val="0"/>
          <w:lang w:eastAsia="es-CR"/>
          <w14:ligatures w14:val="none"/>
        </w:rPr>
      </w:pPr>
    </w:p>
    <w:p w14:paraId="233B0A83" w14:textId="77777777" w:rsidR="007A505B" w:rsidRPr="007A505B" w:rsidRDefault="007A505B" w:rsidP="007A505B">
      <w:pPr>
        <w:spacing w:after="0"/>
        <w:jc w:val="both"/>
        <w:rPr>
          <w:rFonts w:ascii="Calibri" w:eastAsia="Arial" w:hAnsi="Calibri" w:cs="Calibri"/>
          <w:bCs/>
          <w:kern w:val="0"/>
          <w:lang w:eastAsia="es-CR"/>
          <w14:ligatures w14:val="none"/>
        </w:rPr>
      </w:pPr>
      <w:r w:rsidRPr="007A505B">
        <w:rPr>
          <w:rFonts w:ascii="Calibri" w:eastAsia="Arial" w:hAnsi="Calibri" w:cs="Calibri"/>
          <w:bCs/>
          <w:kern w:val="0"/>
          <w:lang w:eastAsia="es-CR"/>
          <w14:ligatures w14:val="none"/>
        </w:rPr>
        <w:t xml:space="preserve">6. Presentar los resultados de la investigación en formatos diversos accesibles a los públicos involucrados. </w:t>
      </w:r>
    </w:p>
    <w:p w14:paraId="2B0F15A3" w14:textId="77777777" w:rsidR="007A505B" w:rsidRPr="007A505B" w:rsidRDefault="007A505B" w:rsidP="007A505B">
      <w:pPr>
        <w:spacing w:after="3" w:line="248" w:lineRule="auto"/>
        <w:ind w:left="375" w:right="3" w:hanging="10"/>
        <w:jc w:val="both"/>
        <w:rPr>
          <w:rFonts w:ascii="Calibri" w:eastAsia="Calibri" w:hAnsi="Calibri" w:cs="Calibri"/>
          <w:color w:val="000000"/>
          <w:kern w:val="0"/>
          <w:lang w:eastAsia="es-CR"/>
          <w14:ligatures w14:val="none"/>
        </w:rPr>
      </w:pPr>
    </w:p>
    <w:p w14:paraId="7CBDE414"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VI. Contenidos: Desarrollo del proceso del SG</w:t>
      </w:r>
    </w:p>
    <w:p w14:paraId="1BE3D99D"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0F2029BD"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1: Elaboración del diseño del SG</w:t>
      </w:r>
    </w:p>
    <w:p w14:paraId="5FEDF8FF"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47763776"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1.1 Planteamiento del problema</w:t>
      </w:r>
    </w:p>
    <w:p w14:paraId="1D3A8821"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1.2 Elaboración del diseño de investigación</w:t>
      </w:r>
    </w:p>
    <w:p w14:paraId="698520CB"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1.3 Aprobación del diseño</w:t>
      </w:r>
    </w:p>
    <w:p w14:paraId="3347FE8A"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6BFCB219"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2: Revisión de la literatura disponible según qué trabajará el grupo</w:t>
      </w:r>
    </w:p>
    <w:p w14:paraId="58494B3D"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0ED83B34"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2.1 Consulta de fuentes primarias, secundarias y terciarias</w:t>
      </w:r>
    </w:p>
    <w:p w14:paraId="1863FDC7"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2.2 Revisión de la literatura disponible</w:t>
      </w:r>
    </w:p>
    <w:p w14:paraId="4F0B847F"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2.3 Asesoramiento sobre recursos teóricos y prácticos</w:t>
      </w:r>
    </w:p>
    <w:p w14:paraId="07E6E7BD"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4054EAD8"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3: Acopio teórico o recolección de datos</w:t>
      </w:r>
    </w:p>
    <w:p w14:paraId="14C22841"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778EF989"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3.1 Definición del índice o bosquejo tentativo de la investigación</w:t>
      </w:r>
    </w:p>
    <w:p w14:paraId="4307F840"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3.2 Lectura y recolección de la información</w:t>
      </w:r>
    </w:p>
    <w:p w14:paraId="23CB9647"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3.3 Organización de la documentación según subtemas</w:t>
      </w:r>
    </w:p>
    <w:p w14:paraId="5450F244"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406AF7B0"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4: Desarrollo del producto 1 (grupal)</w:t>
      </w:r>
    </w:p>
    <w:p w14:paraId="62AD04BC"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229B8C6C"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4.1 Organización de la documentación según subtemas</w:t>
      </w:r>
    </w:p>
    <w:p w14:paraId="4466C2D5"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4.2 Lectura y recolección de la información</w:t>
      </w:r>
    </w:p>
    <w:p w14:paraId="354D36AD"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4.3 Redacción de los borradores de cada capítulo del informe grupal</w:t>
      </w:r>
    </w:p>
    <w:p w14:paraId="6E3767C2"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4.4 Asesoramiento docente en encuentros programados</w:t>
      </w:r>
    </w:p>
    <w:p w14:paraId="5E94604E"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4.5 Corrección de borradores</w:t>
      </w:r>
    </w:p>
    <w:p w14:paraId="7D3F80A6"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08376B3A"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5: Desarrollo del producto 2 (individual)</w:t>
      </w:r>
    </w:p>
    <w:p w14:paraId="51193A8E"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4FE8330D"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5.1 Escogencia del producto 2</w:t>
      </w:r>
    </w:p>
    <w:p w14:paraId="19FB4EEB"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5.2 Acopio de fuentes</w:t>
      </w:r>
    </w:p>
    <w:p w14:paraId="590F5500"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5.3 Proceso de integración de investigación del producto 1</w:t>
      </w:r>
    </w:p>
    <w:p w14:paraId="3C3CD3B7"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5.4 Revisión docente preliminar</w:t>
      </w:r>
    </w:p>
    <w:p w14:paraId="0492F0D8"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5.5 Presentación final</w:t>
      </w:r>
    </w:p>
    <w:p w14:paraId="142E4E63"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4F81DD1E"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Unidad 6: Entrega final de los productos del SG</w:t>
      </w:r>
    </w:p>
    <w:p w14:paraId="440CA7BB"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348B96FD"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6.1 Revisión y entrega del producto final grupal</w:t>
      </w:r>
    </w:p>
    <w:p w14:paraId="6A2C2A85"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6.2 Revisión y entrega del producto final individual</w:t>
      </w:r>
    </w:p>
    <w:p w14:paraId="3B681C83"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241AB285"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2F3F657E"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V. Metodología</w:t>
      </w:r>
    </w:p>
    <w:p w14:paraId="2E257010" w14:textId="77777777" w:rsidR="007A505B" w:rsidRPr="007A505B" w:rsidRDefault="007A505B" w:rsidP="007A505B">
      <w:pPr>
        <w:spacing w:after="3" w:line="248" w:lineRule="auto"/>
        <w:ind w:right="3"/>
        <w:jc w:val="both"/>
        <w:rPr>
          <w:rFonts w:ascii="Calibri" w:eastAsia="Verdana" w:hAnsi="Calibri" w:cs="Calibri"/>
          <w:b/>
          <w:bCs/>
          <w:color w:val="000000"/>
          <w:kern w:val="0"/>
          <w:lang w:eastAsia="es-CR"/>
          <w14:ligatures w14:val="none"/>
        </w:rPr>
      </w:pPr>
    </w:p>
    <w:p w14:paraId="6D48CEC1" w14:textId="50849451"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 xml:space="preserve">El Seminario de Graduación se realiza con la participación de un mínimo de tres y un máximo de seis estudiantes que haya cumplido con todos los requisitos previos. La temática del SG será definida por la Dirección de la </w:t>
      </w:r>
      <w:r w:rsidR="00B53287">
        <w:rPr>
          <w:rFonts w:ascii="Calibri" w:eastAsia="Verdana" w:hAnsi="Calibri" w:cs="Calibri"/>
          <w:color w:val="000000"/>
          <w:kern w:val="0"/>
          <w:lang w:eastAsia="es-CR"/>
          <w14:ligatures w14:val="none"/>
        </w:rPr>
        <w:t>Escuela de Ciencias Bíblicas</w:t>
      </w:r>
      <w:r w:rsidRPr="007A505B">
        <w:rPr>
          <w:rFonts w:ascii="Calibri" w:eastAsia="Verdana" w:hAnsi="Calibri" w:cs="Calibri"/>
          <w:color w:val="000000"/>
          <w:kern w:val="0"/>
          <w:lang w:eastAsia="es-CR"/>
          <w14:ligatures w14:val="none"/>
        </w:rPr>
        <w:t>. El SG se realiza en un período de un cuatrimestre y la persona docente orientará el cumplimiento de los pasos de la investigación, a saber:</w:t>
      </w:r>
    </w:p>
    <w:p w14:paraId="1D30C41E"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72E06C11"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1. Planteamiento del problema</w:t>
      </w:r>
    </w:p>
    <w:p w14:paraId="269EB8B8"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2. Investigación bibliográfica y de campo</w:t>
      </w:r>
    </w:p>
    <w:p w14:paraId="32213E17"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3. Replanteamiento del problema y de las preguntas de investigación</w:t>
      </w:r>
    </w:p>
    <w:p w14:paraId="4057CAA1"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4. Desarrollo de la metodología de investigación</w:t>
      </w:r>
    </w:p>
    <w:p w14:paraId="030546E7"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5. Implementación de la metodología</w:t>
      </w:r>
    </w:p>
    <w:p w14:paraId="7C7DB92C"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 xml:space="preserve">6. Presentación de los productos de la investigación (grupal e individual) </w:t>
      </w:r>
    </w:p>
    <w:p w14:paraId="7E35C219" w14:textId="77777777"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p>
    <w:p w14:paraId="6F642640" w14:textId="2EA1F90A" w:rsidR="007A505B" w:rsidRPr="007A505B" w:rsidRDefault="007A505B" w:rsidP="007A505B">
      <w:pPr>
        <w:spacing w:after="3" w:line="248" w:lineRule="auto"/>
        <w:ind w:right="3"/>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 xml:space="preserve">La Dirección de la </w:t>
      </w:r>
      <w:r w:rsidR="00B53287">
        <w:rPr>
          <w:rFonts w:ascii="Calibri" w:eastAsia="Verdana" w:hAnsi="Calibri" w:cs="Calibri"/>
          <w:color w:val="000000"/>
          <w:kern w:val="0"/>
          <w:lang w:eastAsia="es-CR"/>
          <w14:ligatures w14:val="none"/>
        </w:rPr>
        <w:t>Escuela de Ciencias Bíblicas</w:t>
      </w:r>
      <w:r w:rsidRPr="007A505B">
        <w:rPr>
          <w:rFonts w:ascii="Calibri" w:eastAsia="Verdana" w:hAnsi="Calibri" w:cs="Calibri"/>
          <w:color w:val="000000"/>
          <w:kern w:val="0"/>
          <w:lang w:eastAsia="es-CR"/>
          <w14:ligatures w14:val="none"/>
        </w:rPr>
        <w:t xml:space="preserve"> nombrará a una persona docente, según el tema, para planificar y guiar el trabajo del grupo en el SG. El SG en la modalidad virtual se realiza en el campus virtual y mediante encuentros sincrónicos virtuales, con supervisión individual y colectiva por parte de la persona docente, la cual debe presentar el tema de investigación y orientar el proceso de investigación del SG, ofrecer insumos teóricos y metodológicos, retroalimentación permanente y asesoría. Finalmente, ella debe aprobar los productos de cada paso del proceso de investigación y de los productos finales.  </w:t>
      </w:r>
    </w:p>
    <w:p w14:paraId="701C581D" w14:textId="77777777" w:rsidR="007A505B" w:rsidRPr="007A505B" w:rsidRDefault="007A505B" w:rsidP="007A505B">
      <w:pPr>
        <w:spacing w:after="0"/>
        <w:rPr>
          <w:rFonts w:ascii="Calibri" w:eastAsia="Verdana" w:hAnsi="Calibri" w:cs="Calibri"/>
          <w:color w:val="000000"/>
          <w:kern w:val="0"/>
          <w:lang w:eastAsia="es-CR"/>
          <w14:ligatures w14:val="none"/>
        </w:rPr>
      </w:pPr>
    </w:p>
    <w:p w14:paraId="0A6D3BE9" w14:textId="77777777" w:rsidR="007A505B" w:rsidRPr="007A505B" w:rsidRDefault="007A505B" w:rsidP="007A505B">
      <w:pPr>
        <w:spacing w:after="0"/>
        <w:rPr>
          <w:rFonts w:ascii="Calibri" w:eastAsia="Verdana" w:hAnsi="Calibri" w:cs="Calibri"/>
          <w:b/>
          <w:bCs/>
          <w:color w:val="000000"/>
          <w:kern w:val="0"/>
          <w:lang w:eastAsia="es-CR"/>
          <w14:ligatures w14:val="none"/>
        </w:rPr>
      </w:pPr>
    </w:p>
    <w:p w14:paraId="1BA0185D" w14:textId="77777777" w:rsidR="007A505B" w:rsidRPr="007A505B" w:rsidRDefault="007A505B" w:rsidP="007A505B">
      <w:pPr>
        <w:spacing w:after="0"/>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VI. Estrategias de aprendizaje</w:t>
      </w:r>
    </w:p>
    <w:p w14:paraId="67D35C88" w14:textId="77777777" w:rsidR="007A505B" w:rsidRPr="007A505B" w:rsidRDefault="007A505B" w:rsidP="007A505B">
      <w:pPr>
        <w:spacing w:after="0"/>
        <w:rPr>
          <w:rFonts w:ascii="Calibri" w:eastAsia="Verdana" w:hAnsi="Calibri" w:cs="Calibri"/>
          <w:b/>
          <w:bCs/>
          <w:color w:val="000000"/>
          <w:kern w:val="0"/>
          <w:lang w:eastAsia="es-CR"/>
          <w14:ligatures w14:val="none"/>
        </w:rPr>
      </w:pPr>
    </w:p>
    <w:p w14:paraId="3291C8D0" w14:textId="77777777" w:rsidR="007A505B" w:rsidRPr="007A505B" w:rsidRDefault="007A505B" w:rsidP="007A505B">
      <w:pPr>
        <w:spacing w:after="0"/>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 xml:space="preserve">El desarrollo del curso se realiza en la plataforma virtual mediante la participación en foros, sesiones sincrónicas y otros medios de comunicación que el grupo elija. La persona docente aportará insumos teóricos y orientaciones, como también retroalimentación. Los productos del SG son dos y representan las dos etapas del proceso. El primero es un informe grupal de la investigación que incluye: a) presentación del tema y el planteamiento inicial del problema, b) informe inicial de la investigación bibliográfica y de campo, c) replanteamiento del problema y las preguntas de la investigación, d) desarrollo de las metodologías de investigación, e) implementación de las metodologías, f) resultados de la investigación. El segundo producto es individual y consiste en la presentación de los resultados de la investigación y/o una respuesta al problema planteado en un formato para su divulgación. Los formatos incluyen, pero no se limitan a: video, material didáctico, artículo científico, ciclo de sermones, blog, entre otros. Dicho producto deber ser aprobado previamente por la persona docente a cargo del SG. </w:t>
      </w:r>
    </w:p>
    <w:p w14:paraId="1DD1B39F" w14:textId="77777777" w:rsidR="007A505B" w:rsidRPr="007A505B" w:rsidRDefault="007A505B" w:rsidP="007A505B">
      <w:pPr>
        <w:spacing w:after="0"/>
        <w:rPr>
          <w:rFonts w:ascii="Calibri" w:eastAsia="Verdana" w:hAnsi="Calibri" w:cs="Calibri"/>
          <w:color w:val="000000"/>
          <w:kern w:val="0"/>
          <w:lang w:eastAsia="es-CR"/>
          <w14:ligatures w14:val="none"/>
        </w:rPr>
      </w:pPr>
    </w:p>
    <w:p w14:paraId="10E4AF5C" w14:textId="77777777" w:rsidR="007A505B" w:rsidRPr="007A505B" w:rsidRDefault="007A505B" w:rsidP="007A505B">
      <w:pPr>
        <w:spacing w:after="0"/>
        <w:rPr>
          <w:rFonts w:ascii="Calibri" w:eastAsia="Calibri" w:hAnsi="Calibri" w:cs="Calibri"/>
          <w:b/>
          <w:bCs/>
          <w:color w:val="000000"/>
          <w:kern w:val="0"/>
          <w:lang w:eastAsia="es-CR"/>
          <w14:ligatures w14:val="none"/>
        </w:rPr>
      </w:pPr>
      <w:r w:rsidRPr="007A505B">
        <w:rPr>
          <w:rFonts w:ascii="Calibri" w:eastAsia="Calibri" w:hAnsi="Calibri" w:cs="Calibri"/>
          <w:b/>
          <w:bCs/>
          <w:color w:val="000000"/>
          <w:kern w:val="0"/>
          <w:lang w:eastAsia="es-CR"/>
          <w14:ligatures w14:val="none"/>
        </w:rPr>
        <w:t>VII. Recursos didácticos</w:t>
      </w:r>
    </w:p>
    <w:p w14:paraId="302812AC"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0C611772" w14:textId="77777777" w:rsidR="007A505B" w:rsidRPr="007A505B" w:rsidRDefault="007A505B" w:rsidP="007A505B">
      <w:pPr>
        <w:spacing w:after="0"/>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Para lograr los objetivos de la tesina, desarrollar los contenidos y la metodología propuesta se hará uso de los siguientes recursos didácticos:</w:t>
      </w:r>
    </w:p>
    <w:p w14:paraId="03CD246B" w14:textId="77777777" w:rsidR="007A505B" w:rsidRPr="007A505B" w:rsidRDefault="007A505B" w:rsidP="007A505B">
      <w:pPr>
        <w:spacing w:after="0"/>
        <w:rPr>
          <w:rFonts w:ascii="Calibri" w:eastAsia="Calibri" w:hAnsi="Calibri" w:cs="Calibri"/>
          <w:color w:val="000000"/>
          <w:kern w:val="0"/>
          <w:lang w:eastAsia="es-CR"/>
          <w14:ligatures w14:val="none"/>
        </w:rPr>
      </w:pPr>
    </w:p>
    <w:p w14:paraId="6FFAD298" w14:textId="77777777" w:rsidR="007A505B" w:rsidRPr="007A505B" w:rsidRDefault="007A505B" w:rsidP="007A505B">
      <w:pPr>
        <w:spacing w:after="3" w:line="248" w:lineRule="auto"/>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a) La guía experimentada de una persona docente, quien a través del diálogo y la retroalimentación podrá esclarecer el problema de estudio y asesorar en el enfoque teórico, metodológico y práctico.</w:t>
      </w:r>
    </w:p>
    <w:p w14:paraId="046DF421" w14:textId="77777777" w:rsidR="007A505B" w:rsidRPr="007A505B" w:rsidRDefault="007A505B" w:rsidP="007A505B">
      <w:pPr>
        <w:spacing w:after="3" w:line="248" w:lineRule="auto"/>
        <w:jc w:val="both"/>
        <w:rPr>
          <w:rFonts w:ascii="Calibri" w:eastAsia="Calibri" w:hAnsi="Calibri" w:cs="Calibri"/>
          <w:color w:val="000000"/>
          <w:kern w:val="0"/>
          <w:lang w:eastAsia="es-CR"/>
          <w14:ligatures w14:val="none"/>
        </w:rPr>
      </w:pPr>
    </w:p>
    <w:p w14:paraId="093B407A" w14:textId="77777777" w:rsidR="007A505B" w:rsidRPr="007A505B" w:rsidRDefault="007A505B" w:rsidP="007A505B">
      <w:pPr>
        <w:spacing w:after="3" w:line="248" w:lineRule="auto"/>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 xml:space="preserve">b) Lecturas de naturaleza metodológica para el proceso de investigación que se encuentran asignadas en el cronograma y dispuestas de forma digital en la plataforma virtual en la que se desarrollará el acompañamiento del Seminario de Graduación. </w:t>
      </w:r>
    </w:p>
    <w:p w14:paraId="41253B6C" w14:textId="77777777" w:rsidR="007A505B" w:rsidRPr="007A505B" w:rsidRDefault="007A505B" w:rsidP="007A505B">
      <w:pPr>
        <w:spacing w:after="0"/>
        <w:rPr>
          <w:rFonts w:ascii="Calibri" w:eastAsia="Calibri" w:hAnsi="Calibri" w:cs="Calibri"/>
          <w:color w:val="000000"/>
          <w:kern w:val="0"/>
          <w:lang w:eastAsia="es-CR"/>
          <w14:ligatures w14:val="none"/>
        </w:rPr>
      </w:pPr>
    </w:p>
    <w:p w14:paraId="4C65736D" w14:textId="77777777" w:rsidR="007A505B" w:rsidRPr="007A505B" w:rsidRDefault="007A505B" w:rsidP="007A505B">
      <w:pPr>
        <w:spacing w:after="29" w:line="248" w:lineRule="auto"/>
        <w:jc w:val="both"/>
        <w:rPr>
          <w:rFonts w:ascii="Calibri" w:eastAsia="Verdana"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c) Un aula virtual dentro de la plataforma virtual dedicada para el desarrollo del Seminario de Graduación y abierta únicamente a las personas estudiantes y a la persona docente.</w:t>
      </w:r>
    </w:p>
    <w:p w14:paraId="6B0A0A97" w14:textId="77777777" w:rsidR="007A505B" w:rsidRPr="007A505B" w:rsidRDefault="007A505B" w:rsidP="007A505B">
      <w:pPr>
        <w:spacing w:after="0"/>
        <w:rPr>
          <w:rFonts w:ascii="Calibri" w:eastAsia="Verdana" w:hAnsi="Calibri" w:cs="Calibri"/>
          <w:b/>
          <w:color w:val="000000"/>
          <w:kern w:val="0"/>
          <w:lang w:eastAsia="es-CR"/>
          <w14:ligatures w14:val="none"/>
        </w:rPr>
      </w:pPr>
    </w:p>
    <w:p w14:paraId="7B453591" w14:textId="77777777" w:rsidR="007A505B" w:rsidRPr="007A505B" w:rsidRDefault="007A505B" w:rsidP="007A505B">
      <w:pPr>
        <w:spacing w:after="0"/>
        <w:jc w:val="both"/>
        <w:rPr>
          <w:rFonts w:ascii="Calibri" w:eastAsia="Calibri" w:hAnsi="Calibri" w:cs="Calibri"/>
          <w:color w:val="000000"/>
          <w:kern w:val="0"/>
          <w:lang w:val="es-ES" w:eastAsia="es-ES"/>
          <w14:ligatures w14:val="none"/>
        </w:rPr>
      </w:pPr>
      <w:r w:rsidRPr="007A505B">
        <w:rPr>
          <w:rFonts w:ascii="Calibri" w:eastAsia="Calibri" w:hAnsi="Calibri" w:cs="Calibri"/>
          <w:color w:val="000000"/>
          <w:kern w:val="0"/>
          <w:lang w:eastAsia="es-CR"/>
          <w14:ligatures w14:val="none"/>
        </w:rPr>
        <w:t>d) P</w:t>
      </w:r>
      <w:r w:rsidRPr="007A505B">
        <w:rPr>
          <w:rFonts w:ascii="Calibri" w:eastAsia="Calibri" w:hAnsi="Calibri" w:cs="Calibri"/>
          <w:color w:val="000000"/>
          <w:kern w:val="0"/>
          <w:lang w:eastAsia="es-ES"/>
          <w14:ligatures w14:val="none"/>
        </w:rPr>
        <w:t>uede</w:t>
      </w:r>
      <w:r w:rsidRPr="007A505B">
        <w:rPr>
          <w:rFonts w:ascii="Calibri" w:eastAsia="Calibri" w:hAnsi="Calibri" w:cs="Calibri"/>
          <w:color w:val="000000"/>
          <w:kern w:val="0"/>
          <w:lang w:val="es-ES" w:eastAsia="es-ES"/>
          <w14:ligatures w14:val="none"/>
        </w:rPr>
        <w:t xml:space="preserve"> disponer de las bases de datos, revistas en línea, repositorios y buscadores especializados a los cuales puede acceder mediante la Biblioteca Enrique </w:t>
      </w:r>
      <w:proofErr w:type="spellStart"/>
      <w:r w:rsidRPr="007A505B">
        <w:rPr>
          <w:rFonts w:ascii="Calibri" w:eastAsia="Calibri" w:hAnsi="Calibri" w:cs="Calibri"/>
          <w:color w:val="000000"/>
          <w:kern w:val="0"/>
          <w:lang w:val="es-ES" w:eastAsia="es-ES"/>
          <w14:ligatures w14:val="none"/>
        </w:rPr>
        <w:t>Strachan</w:t>
      </w:r>
      <w:proofErr w:type="spellEnd"/>
      <w:r w:rsidRPr="007A505B">
        <w:rPr>
          <w:rFonts w:ascii="Calibri" w:eastAsia="Calibri" w:hAnsi="Calibri" w:cs="Calibri"/>
          <w:color w:val="000000"/>
          <w:kern w:val="0"/>
          <w:lang w:val="es-ES" w:eastAsia="es-ES"/>
          <w14:ligatures w14:val="none"/>
        </w:rPr>
        <w:t xml:space="preserve"> (</w:t>
      </w:r>
      <w:hyperlink r:id="rId593" w:history="1">
        <w:r w:rsidRPr="007A505B">
          <w:rPr>
            <w:rFonts w:ascii="Calibri" w:eastAsia="Calibri" w:hAnsi="Calibri" w:cs="Calibri"/>
            <w:color w:val="0563C1"/>
            <w:kern w:val="0"/>
            <w:u w:val="single"/>
            <w:lang w:val="es-ES" w:eastAsia="es-ES"/>
            <w14:ligatures w14:val="none"/>
          </w:rPr>
          <w:t>https://www.ubl.ac.cr/biblioteca</w:t>
        </w:r>
      </w:hyperlink>
      <w:r w:rsidRPr="007A505B">
        <w:rPr>
          <w:rFonts w:ascii="Calibri" w:eastAsia="Calibri" w:hAnsi="Calibri" w:cs="Calibri"/>
          <w:color w:val="000000"/>
          <w:kern w:val="0"/>
          <w:lang w:val="es-ES" w:eastAsia="es-ES"/>
          <w14:ligatures w14:val="none"/>
        </w:rPr>
        <w:t>), así como consultar el Portal de Revistas de la UBL (</w:t>
      </w:r>
      <w:hyperlink r:id="rId594" w:history="1">
        <w:r w:rsidRPr="007A505B">
          <w:rPr>
            <w:rFonts w:ascii="Calibri" w:eastAsia="Calibri" w:hAnsi="Calibri" w:cs="Calibri"/>
            <w:color w:val="0563C1"/>
            <w:kern w:val="0"/>
            <w:u w:val="single"/>
            <w:lang w:val="es-ES" w:eastAsia="es-ES"/>
            <w14:ligatures w14:val="none"/>
          </w:rPr>
          <w:t>http://revistas.ubl.ac.cr/</w:t>
        </w:r>
      </w:hyperlink>
      <w:r w:rsidRPr="007A505B">
        <w:rPr>
          <w:rFonts w:ascii="Calibri" w:eastAsia="Calibri" w:hAnsi="Calibri" w:cs="Calibri"/>
          <w:color w:val="000000"/>
          <w:kern w:val="0"/>
          <w:lang w:val="es-ES" w:eastAsia="es-ES"/>
          <w14:ligatures w14:val="none"/>
        </w:rPr>
        <w:t>). A través del correo de la biblioteca (</w:t>
      </w:r>
      <w:hyperlink r:id="rId595" w:history="1">
        <w:r w:rsidRPr="007A505B">
          <w:rPr>
            <w:rFonts w:ascii="Calibri" w:eastAsia="Calibri" w:hAnsi="Calibri" w:cs="Calibri"/>
            <w:color w:val="0563C1"/>
            <w:kern w:val="0"/>
            <w:u w:val="single"/>
            <w:lang w:val="es-ES" w:eastAsia="es-ES"/>
            <w14:ligatures w14:val="none"/>
          </w:rPr>
          <w:t>biblioteca@ubl.ac.cr</w:t>
        </w:r>
      </w:hyperlink>
      <w:r w:rsidRPr="007A505B">
        <w:rPr>
          <w:rFonts w:ascii="Calibri" w:eastAsia="Calibri" w:hAnsi="Calibri" w:cs="Calibri"/>
          <w:color w:val="000000"/>
          <w:kern w:val="0"/>
          <w:lang w:val="es-ES" w:eastAsia="es-ES"/>
          <w14:ligatures w14:val="none"/>
        </w:rPr>
        <w:t>) puede solicitar el escaneo de recursos que se encuentren en la colección física para la investigación del problema de estudio.</w:t>
      </w:r>
    </w:p>
    <w:p w14:paraId="2924FF7A" w14:textId="77777777" w:rsidR="007A505B" w:rsidRPr="007A505B" w:rsidRDefault="007A505B" w:rsidP="007A505B">
      <w:pPr>
        <w:spacing w:after="0"/>
        <w:jc w:val="both"/>
        <w:rPr>
          <w:rFonts w:ascii="Calibri" w:eastAsia="Calibri" w:hAnsi="Calibri" w:cs="Calibri"/>
          <w:color w:val="000000"/>
          <w:kern w:val="0"/>
          <w:lang w:val="es-ES" w:eastAsia="es-ES"/>
          <w14:ligatures w14:val="none"/>
        </w:rPr>
      </w:pPr>
    </w:p>
    <w:p w14:paraId="0B69B248" w14:textId="1E3AA8A0" w:rsidR="007A505B" w:rsidRPr="007A505B" w:rsidRDefault="007A505B" w:rsidP="007A505B">
      <w:pPr>
        <w:spacing w:after="3" w:line="248" w:lineRule="auto"/>
        <w:jc w:val="both"/>
        <w:rPr>
          <w:rFonts w:ascii="Calibri" w:eastAsia="Calibri" w:hAnsi="Calibri" w:cs="Calibri"/>
          <w:color w:val="0563C1"/>
          <w:kern w:val="0"/>
          <w:u w:val="single"/>
          <w:lang w:eastAsia="es-CR"/>
          <w14:ligatures w14:val="none"/>
        </w:rPr>
      </w:pPr>
      <w:r w:rsidRPr="007A505B">
        <w:rPr>
          <w:rFonts w:ascii="Calibri" w:eastAsia="Calibri" w:hAnsi="Calibri" w:cs="Calibri"/>
          <w:color w:val="000000"/>
          <w:kern w:val="0"/>
          <w:lang w:val="es-ES" w:eastAsia="es-ES"/>
          <w14:ligatures w14:val="none"/>
        </w:rPr>
        <w:t xml:space="preserve">e) La Biblioteca Digital de la UBL cuenta con recursos de acceso abierto para la investigación, organizados por temas y disponibles a través de un buscador, además de todos los materiales bibliográficos asignados en los cursos de la carrera de </w:t>
      </w:r>
      <w:r w:rsidR="00B53287">
        <w:rPr>
          <w:rFonts w:ascii="Calibri" w:eastAsia="Calibri" w:hAnsi="Calibri" w:cs="Calibri"/>
          <w:color w:val="000000"/>
          <w:kern w:val="0"/>
          <w:lang w:val="es-ES" w:eastAsia="es-ES"/>
          <w14:ligatures w14:val="none"/>
        </w:rPr>
        <w:t>Bachillerato en Ciencias Bíblicas</w:t>
      </w:r>
      <w:r w:rsidRPr="007A505B">
        <w:rPr>
          <w:rFonts w:ascii="Calibri" w:eastAsia="Calibri" w:hAnsi="Calibri" w:cs="Calibri"/>
          <w:color w:val="000000"/>
          <w:kern w:val="0"/>
          <w:lang w:val="es-ES" w:eastAsia="es-ES"/>
          <w14:ligatures w14:val="none"/>
        </w:rPr>
        <w:t xml:space="preserve">. Dicho espacio está disponible para todas las personas registradas en el campus virtual y se puede acceder a través del siguiente enlace: </w:t>
      </w:r>
      <w:hyperlink r:id="rId596" w:history="1">
        <w:r w:rsidRPr="007A505B">
          <w:rPr>
            <w:rFonts w:ascii="Calibri" w:eastAsia="Calibri" w:hAnsi="Calibri" w:cs="Calibri"/>
            <w:color w:val="0563C1"/>
            <w:kern w:val="0"/>
            <w:u w:val="single"/>
            <w:lang w:eastAsia="es-CR"/>
            <w14:ligatures w14:val="none"/>
          </w:rPr>
          <w:t>https://campus.ubl.ac.cr/course/index.php?categoryid=186</w:t>
        </w:r>
      </w:hyperlink>
    </w:p>
    <w:p w14:paraId="70E92827" w14:textId="77777777" w:rsidR="007A505B" w:rsidRPr="007A505B" w:rsidRDefault="007A505B" w:rsidP="007A505B">
      <w:pPr>
        <w:spacing w:after="0"/>
        <w:jc w:val="both"/>
        <w:rPr>
          <w:rFonts w:ascii="Calibri" w:eastAsia="Verdana" w:hAnsi="Calibri" w:cs="Calibri"/>
          <w:color w:val="000000"/>
          <w:kern w:val="0"/>
          <w:lang w:eastAsia="es-CR"/>
          <w14:ligatures w14:val="none"/>
        </w:rPr>
      </w:pPr>
    </w:p>
    <w:p w14:paraId="3BB6629E" w14:textId="77777777" w:rsidR="007A505B" w:rsidRPr="007A505B" w:rsidRDefault="007A505B" w:rsidP="007A505B">
      <w:pPr>
        <w:spacing w:after="0"/>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f) La herramienta de videoconferencia integrada en el aula virtual para los encuentros sincrónicos con la persona docente.</w:t>
      </w:r>
    </w:p>
    <w:p w14:paraId="5EF22A61" w14:textId="77777777" w:rsidR="007A505B" w:rsidRPr="007A505B" w:rsidRDefault="007A505B" w:rsidP="007A505B">
      <w:pPr>
        <w:spacing w:after="0"/>
        <w:jc w:val="both"/>
        <w:rPr>
          <w:rFonts w:ascii="Calibri" w:eastAsia="Calibri" w:hAnsi="Calibri" w:cs="Calibri"/>
          <w:color w:val="000000"/>
          <w:kern w:val="0"/>
          <w:lang w:eastAsia="es-CR"/>
          <w14:ligatures w14:val="none"/>
        </w:rPr>
      </w:pPr>
    </w:p>
    <w:p w14:paraId="0B50A30F" w14:textId="77777777" w:rsidR="007A505B" w:rsidRPr="007A505B" w:rsidRDefault="007A505B" w:rsidP="007A505B">
      <w:pPr>
        <w:spacing w:after="0"/>
        <w:jc w:val="both"/>
        <w:rPr>
          <w:rFonts w:ascii="Calibri" w:eastAsia="Verdana" w:hAnsi="Calibri" w:cs="Calibri"/>
          <w:color w:val="000000"/>
          <w:kern w:val="0"/>
          <w:lang w:eastAsia="es-CR"/>
          <w14:ligatures w14:val="none"/>
        </w:rPr>
      </w:pPr>
      <w:r w:rsidRPr="007A505B">
        <w:rPr>
          <w:rFonts w:ascii="Calibri" w:eastAsia="Calibri" w:hAnsi="Calibri" w:cs="Calibri"/>
          <w:color w:val="000000"/>
          <w:kern w:val="0"/>
          <w:lang w:val="es-ES" w:eastAsia="es-ES"/>
          <w14:ligatures w14:val="none"/>
        </w:rPr>
        <w:t>g) Mediante el campus virtual accederá al espacio de soporte técnico, en el cual puede evacuar sus dudas o preguntas frecuentes y al correo electrónico para comunicarse con la persona docente.</w:t>
      </w:r>
    </w:p>
    <w:p w14:paraId="2F8C256E" w14:textId="77777777" w:rsidR="007A505B" w:rsidRPr="007A505B" w:rsidRDefault="007A505B" w:rsidP="007A505B">
      <w:pPr>
        <w:spacing w:after="3" w:line="248" w:lineRule="auto"/>
        <w:jc w:val="both"/>
        <w:rPr>
          <w:rFonts w:ascii="Calibri" w:eastAsia="Verdana" w:hAnsi="Calibri" w:cs="Calibri"/>
          <w:color w:val="000000"/>
          <w:kern w:val="0"/>
          <w:lang w:eastAsia="es-CR"/>
          <w14:ligatures w14:val="none"/>
        </w:rPr>
      </w:pPr>
    </w:p>
    <w:p w14:paraId="2E84C288" w14:textId="77777777" w:rsidR="007A505B" w:rsidRPr="007A505B" w:rsidRDefault="007A505B" w:rsidP="007A505B">
      <w:pPr>
        <w:spacing w:after="3" w:line="248" w:lineRule="auto"/>
        <w:jc w:val="both"/>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VIII. Cronograma de trabajo</w:t>
      </w:r>
    </w:p>
    <w:p w14:paraId="36279F84" w14:textId="77777777" w:rsidR="007A505B" w:rsidRPr="007A505B" w:rsidRDefault="007A505B" w:rsidP="007A505B">
      <w:pPr>
        <w:spacing w:after="3" w:line="248" w:lineRule="auto"/>
        <w:jc w:val="both"/>
        <w:rPr>
          <w:rFonts w:ascii="Calibri" w:eastAsia="Verdana" w:hAnsi="Calibri" w:cs="Calibri"/>
          <w:color w:val="000000"/>
          <w:kern w:val="0"/>
          <w:lang w:eastAsia="es-CR"/>
          <w14:ligatures w14:val="none"/>
        </w:rPr>
      </w:pPr>
    </w:p>
    <w:p w14:paraId="291F6911" w14:textId="77777777" w:rsidR="007A505B" w:rsidRPr="007A505B" w:rsidRDefault="007A505B" w:rsidP="007A505B">
      <w:pPr>
        <w:spacing w:after="3" w:line="248" w:lineRule="auto"/>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El cronograma contempla los elementos consignados en los contenidos. La bibliografía asignada es metodológica; para cada SG se desarrollará la bibliografía de investigación sobre el tema específico del seminario. La persona docente establecerá las fechas para metas claves del proceso como lo es: la presentación y aprobación del diseño del SG, los avances entregados y la entrega final de cada producto. Cada unidad abarca dos o más semanas y las fechas exactas serán definidas por la persona docente según el desarrollo del trabajo del grupo.</w:t>
      </w:r>
    </w:p>
    <w:p w14:paraId="350E6A0C" w14:textId="77777777" w:rsidR="007A505B" w:rsidRPr="007A505B" w:rsidRDefault="007A505B" w:rsidP="007A505B">
      <w:pPr>
        <w:spacing w:after="3" w:line="248" w:lineRule="auto"/>
        <w:jc w:val="both"/>
        <w:rPr>
          <w:rFonts w:ascii="Calibri" w:eastAsia="Verdana" w:hAnsi="Calibri" w:cs="Calibri"/>
          <w:color w:val="000000"/>
          <w:kern w:val="0"/>
          <w:lang w:eastAsia="es-CR"/>
          <w14:ligatures w14:val="none"/>
        </w:rPr>
      </w:pPr>
    </w:p>
    <w:tbl>
      <w:tblPr>
        <w:tblStyle w:val="TableGrid13"/>
        <w:tblW w:w="9634" w:type="dxa"/>
        <w:jc w:val="center"/>
        <w:tblLayout w:type="fixed"/>
        <w:tblLook w:val="04A0" w:firstRow="1" w:lastRow="0" w:firstColumn="1" w:lastColumn="0" w:noHBand="0" w:noVBand="1"/>
      </w:tblPr>
      <w:tblGrid>
        <w:gridCol w:w="1144"/>
        <w:gridCol w:w="2395"/>
        <w:gridCol w:w="2977"/>
        <w:gridCol w:w="3118"/>
      </w:tblGrid>
      <w:tr w:rsidR="007A505B" w:rsidRPr="007A505B" w14:paraId="3ADE98E0" w14:textId="77777777" w:rsidTr="00CE7124">
        <w:trPr>
          <w:trHeight w:val="445"/>
          <w:jc w:val="center"/>
        </w:trPr>
        <w:tc>
          <w:tcPr>
            <w:tcW w:w="1144" w:type="dxa"/>
            <w:vMerge w:val="restart"/>
            <w:vAlign w:val="center"/>
          </w:tcPr>
          <w:p w14:paraId="05072308"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 xml:space="preserve">Sesión </w:t>
            </w:r>
          </w:p>
          <w:p w14:paraId="7DD7A71F"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(semana)</w:t>
            </w:r>
          </w:p>
        </w:tc>
        <w:tc>
          <w:tcPr>
            <w:tcW w:w="2395" w:type="dxa"/>
            <w:vMerge w:val="restart"/>
            <w:vAlign w:val="center"/>
          </w:tcPr>
          <w:p w14:paraId="55333976"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Contenidos temáticos</w:t>
            </w:r>
          </w:p>
        </w:tc>
        <w:tc>
          <w:tcPr>
            <w:tcW w:w="6095" w:type="dxa"/>
            <w:gridSpan w:val="2"/>
            <w:vAlign w:val="center"/>
          </w:tcPr>
          <w:p w14:paraId="29303E9B"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Actividades de enseñanza-aprendizaje</w:t>
            </w:r>
          </w:p>
        </w:tc>
      </w:tr>
      <w:tr w:rsidR="007A505B" w:rsidRPr="007A505B" w14:paraId="73AE20C6" w14:textId="77777777" w:rsidTr="00CE7124">
        <w:trPr>
          <w:trHeight w:val="409"/>
          <w:jc w:val="center"/>
        </w:trPr>
        <w:tc>
          <w:tcPr>
            <w:tcW w:w="1144" w:type="dxa"/>
            <w:vMerge/>
          </w:tcPr>
          <w:p w14:paraId="089B97AE" w14:textId="77777777" w:rsidR="007A505B" w:rsidRPr="007A505B" w:rsidRDefault="007A505B" w:rsidP="007A505B">
            <w:pPr>
              <w:spacing w:after="3" w:line="248" w:lineRule="auto"/>
              <w:rPr>
                <w:rFonts w:eastAsia="Verdana"/>
                <w:color w:val="000000"/>
              </w:rPr>
            </w:pPr>
          </w:p>
        </w:tc>
        <w:tc>
          <w:tcPr>
            <w:tcW w:w="2395" w:type="dxa"/>
            <w:vMerge/>
          </w:tcPr>
          <w:p w14:paraId="54169A91" w14:textId="77777777" w:rsidR="007A505B" w:rsidRPr="007A505B" w:rsidRDefault="007A505B" w:rsidP="007A505B">
            <w:pPr>
              <w:spacing w:after="3" w:line="248" w:lineRule="auto"/>
              <w:rPr>
                <w:rFonts w:eastAsia="Verdana"/>
                <w:color w:val="000000"/>
              </w:rPr>
            </w:pPr>
          </w:p>
        </w:tc>
        <w:tc>
          <w:tcPr>
            <w:tcW w:w="2977" w:type="dxa"/>
            <w:vAlign w:val="center"/>
          </w:tcPr>
          <w:p w14:paraId="02349AE6"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Recursos didácticos</w:t>
            </w:r>
          </w:p>
        </w:tc>
        <w:tc>
          <w:tcPr>
            <w:tcW w:w="3118" w:type="dxa"/>
            <w:vAlign w:val="center"/>
          </w:tcPr>
          <w:p w14:paraId="37272473" w14:textId="77777777" w:rsidR="007A505B" w:rsidRPr="007A505B" w:rsidRDefault="007A505B" w:rsidP="007A505B">
            <w:pPr>
              <w:spacing w:after="3" w:line="248" w:lineRule="auto"/>
              <w:jc w:val="center"/>
              <w:rPr>
                <w:rFonts w:eastAsia="Verdana"/>
                <w:b/>
                <w:bCs/>
                <w:color w:val="000000"/>
                <w:sz w:val="24"/>
                <w:szCs w:val="24"/>
              </w:rPr>
            </w:pPr>
            <w:r w:rsidRPr="007A505B">
              <w:rPr>
                <w:rFonts w:eastAsia="Verdana"/>
                <w:b/>
                <w:bCs/>
                <w:color w:val="000000"/>
                <w:sz w:val="24"/>
                <w:szCs w:val="24"/>
              </w:rPr>
              <w:t>Actividades de aprendizaje</w:t>
            </w:r>
          </w:p>
        </w:tc>
      </w:tr>
      <w:tr w:rsidR="007A505B" w:rsidRPr="007A505B" w14:paraId="39182E7C" w14:textId="77777777" w:rsidTr="00CE7124">
        <w:trPr>
          <w:trHeight w:val="1832"/>
          <w:jc w:val="center"/>
        </w:trPr>
        <w:tc>
          <w:tcPr>
            <w:tcW w:w="1144" w:type="dxa"/>
          </w:tcPr>
          <w:p w14:paraId="7A2C4A55" w14:textId="77777777" w:rsidR="007A505B" w:rsidRPr="007A505B" w:rsidRDefault="007A505B" w:rsidP="007A505B">
            <w:pPr>
              <w:spacing w:after="3" w:line="248" w:lineRule="auto"/>
              <w:jc w:val="center"/>
              <w:rPr>
                <w:rFonts w:eastAsia="Verdana"/>
                <w:color w:val="000000"/>
              </w:rPr>
            </w:pPr>
          </w:p>
          <w:p w14:paraId="102C8935"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w:t>
            </w:r>
          </w:p>
        </w:tc>
        <w:tc>
          <w:tcPr>
            <w:tcW w:w="2395" w:type="dxa"/>
            <w:vMerge w:val="restart"/>
          </w:tcPr>
          <w:p w14:paraId="17986024"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t>Unidad 1: Elaboración del diseño del SG</w:t>
            </w:r>
          </w:p>
          <w:p w14:paraId="4BAD0D29" w14:textId="77777777" w:rsidR="007A505B" w:rsidRPr="007A505B" w:rsidRDefault="007A505B" w:rsidP="007A505B">
            <w:pPr>
              <w:spacing w:after="3" w:line="248" w:lineRule="auto"/>
              <w:rPr>
                <w:rFonts w:eastAsia="Verdana"/>
                <w:b/>
                <w:bCs/>
                <w:color w:val="000000"/>
              </w:rPr>
            </w:pPr>
          </w:p>
          <w:p w14:paraId="48DEADB1" w14:textId="77777777" w:rsidR="007A505B" w:rsidRPr="007A505B" w:rsidRDefault="007A505B" w:rsidP="007A505B">
            <w:pPr>
              <w:spacing w:after="3" w:line="248" w:lineRule="auto"/>
              <w:rPr>
                <w:rFonts w:eastAsia="Verdana"/>
                <w:color w:val="000000"/>
              </w:rPr>
            </w:pPr>
            <w:r w:rsidRPr="007A505B">
              <w:rPr>
                <w:rFonts w:eastAsia="Verdana"/>
                <w:color w:val="000000"/>
              </w:rPr>
              <w:t>1.1 Planteamiento del problema</w:t>
            </w:r>
          </w:p>
          <w:p w14:paraId="21BA4A4D" w14:textId="77777777" w:rsidR="007A505B" w:rsidRPr="007A505B" w:rsidRDefault="007A505B" w:rsidP="007A505B">
            <w:pPr>
              <w:spacing w:after="3" w:line="248" w:lineRule="auto"/>
              <w:rPr>
                <w:rFonts w:eastAsia="Verdana"/>
                <w:color w:val="000000"/>
              </w:rPr>
            </w:pPr>
          </w:p>
          <w:p w14:paraId="02C12E23" w14:textId="77777777" w:rsidR="007A505B" w:rsidRPr="007A505B" w:rsidRDefault="007A505B" w:rsidP="007A505B">
            <w:pPr>
              <w:spacing w:after="3" w:line="248" w:lineRule="auto"/>
              <w:rPr>
                <w:rFonts w:eastAsia="Verdana"/>
                <w:color w:val="000000"/>
              </w:rPr>
            </w:pPr>
            <w:r w:rsidRPr="007A505B">
              <w:rPr>
                <w:rFonts w:eastAsia="Verdana"/>
                <w:color w:val="000000"/>
              </w:rPr>
              <w:t>1.2 Elaboración del diseño de investigación</w:t>
            </w:r>
          </w:p>
          <w:p w14:paraId="4813B71A" w14:textId="77777777" w:rsidR="007A505B" w:rsidRPr="007A505B" w:rsidRDefault="007A505B" w:rsidP="007A505B">
            <w:pPr>
              <w:spacing w:after="3" w:line="248" w:lineRule="auto"/>
              <w:rPr>
                <w:rFonts w:eastAsia="Verdana"/>
                <w:color w:val="000000"/>
              </w:rPr>
            </w:pPr>
          </w:p>
          <w:p w14:paraId="376437BD" w14:textId="77777777" w:rsidR="007A505B" w:rsidRPr="007A505B" w:rsidRDefault="007A505B" w:rsidP="007A505B">
            <w:pPr>
              <w:spacing w:after="3" w:line="248" w:lineRule="auto"/>
              <w:rPr>
                <w:rFonts w:eastAsia="Verdana"/>
                <w:color w:val="000000"/>
              </w:rPr>
            </w:pPr>
            <w:r w:rsidRPr="007A505B">
              <w:rPr>
                <w:rFonts w:eastAsia="Verdana"/>
                <w:color w:val="000000"/>
              </w:rPr>
              <w:t>1.3 Aprobación del diseño</w:t>
            </w:r>
          </w:p>
          <w:p w14:paraId="1ABB2F98" w14:textId="77777777" w:rsidR="007A505B" w:rsidRPr="007A505B" w:rsidRDefault="007A505B" w:rsidP="007A505B">
            <w:pPr>
              <w:spacing w:after="3" w:line="248" w:lineRule="auto"/>
              <w:rPr>
                <w:rFonts w:eastAsia="Verdana"/>
                <w:color w:val="000000"/>
              </w:rPr>
            </w:pPr>
          </w:p>
        </w:tc>
        <w:tc>
          <w:tcPr>
            <w:tcW w:w="2977" w:type="dxa"/>
            <w:vMerge w:val="restart"/>
          </w:tcPr>
          <w:p w14:paraId="1A1D9D35" w14:textId="77777777" w:rsidR="007A505B" w:rsidRPr="007A505B" w:rsidRDefault="007A505B" w:rsidP="007A505B">
            <w:pPr>
              <w:spacing w:after="3" w:line="248" w:lineRule="auto"/>
              <w:rPr>
                <w:rFonts w:eastAsia="Arial"/>
                <w:color w:val="000000"/>
              </w:rPr>
            </w:pPr>
            <w:proofErr w:type="spellStart"/>
            <w:r w:rsidRPr="007A505B">
              <w:rPr>
                <w:rFonts w:eastAsia="Arial"/>
                <w:color w:val="000000"/>
              </w:rPr>
              <w:t>Flick</w:t>
            </w:r>
            <w:proofErr w:type="spellEnd"/>
            <w:r w:rsidRPr="007A505B">
              <w:rPr>
                <w:rFonts w:eastAsia="Arial"/>
                <w:color w:val="000000"/>
              </w:rPr>
              <w:t xml:space="preserve">, </w:t>
            </w:r>
            <w:proofErr w:type="spellStart"/>
            <w:r w:rsidRPr="007A505B">
              <w:rPr>
                <w:rFonts w:eastAsia="Arial"/>
                <w:color w:val="000000"/>
              </w:rPr>
              <w:t>Uwe</w:t>
            </w:r>
            <w:proofErr w:type="spellEnd"/>
            <w:r w:rsidRPr="007A505B">
              <w:rPr>
                <w:rFonts w:eastAsia="Arial"/>
                <w:color w:val="000000"/>
              </w:rPr>
              <w:t xml:space="preserve">. “De una idea a una pregunta de investigación”. En </w:t>
            </w:r>
            <w:r w:rsidRPr="007A505B">
              <w:rPr>
                <w:rFonts w:eastAsia="Arial"/>
                <w:i/>
                <w:iCs/>
                <w:color w:val="000000"/>
              </w:rPr>
              <w:t xml:space="preserve">El diseño de investigación </w:t>
            </w:r>
            <w:r w:rsidRPr="007A505B">
              <w:rPr>
                <w:rFonts w:eastAsia="Arial"/>
                <w:color w:val="000000"/>
              </w:rPr>
              <w:t xml:space="preserve">cualitativa, 37-46. Madrid: Ediciones Morata, 2015. </w:t>
            </w:r>
            <w:r w:rsidRPr="007A505B">
              <w:rPr>
                <w:rFonts w:eastAsia="Arial"/>
                <w:color w:val="0070C0"/>
              </w:rPr>
              <w:t>(clásico, última edición)</w:t>
            </w:r>
          </w:p>
          <w:p w14:paraId="7D24BC90" w14:textId="77777777" w:rsidR="007A505B" w:rsidRPr="007A505B" w:rsidRDefault="007A505B" w:rsidP="007A505B">
            <w:pPr>
              <w:spacing w:after="3" w:line="248" w:lineRule="auto"/>
              <w:rPr>
                <w:rFonts w:eastAsia="Verdana"/>
                <w:color w:val="000000"/>
              </w:rPr>
            </w:pPr>
          </w:p>
          <w:p w14:paraId="0562D701" w14:textId="77777777" w:rsidR="007A505B" w:rsidRPr="007A505B" w:rsidRDefault="007A505B" w:rsidP="007A505B">
            <w:pPr>
              <w:spacing w:after="3" w:line="248" w:lineRule="auto"/>
              <w:rPr>
                <w:rFonts w:eastAsia="Arial"/>
                <w:color w:val="000000"/>
              </w:rPr>
            </w:pPr>
            <w:r w:rsidRPr="007A505B">
              <w:rPr>
                <w:rFonts w:eastAsia="Arial"/>
                <w:color w:val="000000"/>
              </w:rPr>
              <w:t xml:space="preserve">Barrantes, Rodrigo. “Plan de trabajo en el enfoque mixto”. En </w:t>
            </w:r>
            <w:r w:rsidRPr="007A505B">
              <w:rPr>
                <w:rFonts w:eastAsia="Arial"/>
                <w:i/>
                <w:iCs/>
                <w:color w:val="000000"/>
              </w:rPr>
              <w:t>Investigación: un camino al conocimiento, un enfoque cualitativo, cuantitativo y mixto</w:t>
            </w:r>
            <w:r w:rsidRPr="007A505B">
              <w:rPr>
                <w:rFonts w:eastAsia="Arial"/>
                <w:color w:val="000000"/>
              </w:rPr>
              <w:t xml:space="preserve">, 138-147. San José: EUNED, 2013. </w:t>
            </w:r>
            <w:r w:rsidRPr="007A505B">
              <w:rPr>
                <w:rFonts w:eastAsia="Arial"/>
                <w:color w:val="0070C0"/>
              </w:rPr>
              <w:t>(clásico, última edición)</w:t>
            </w:r>
          </w:p>
          <w:p w14:paraId="3BDEEA0D" w14:textId="77777777" w:rsidR="007A505B" w:rsidRPr="007A505B" w:rsidRDefault="007A505B" w:rsidP="007A505B">
            <w:pPr>
              <w:spacing w:after="3" w:line="248" w:lineRule="auto"/>
              <w:rPr>
                <w:rFonts w:eastAsia="Arial"/>
                <w:color w:val="000000"/>
              </w:rPr>
            </w:pPr>
          </w:p>
          <w:p w14:paraId="71C5C066" w14:textId="77777777" w:rsidR="007A505B" w:rsidRPr="007A505B" w:rsidRDefault="007A505B" w:rsidP="007A505B">
            <w:pPr>
              <w:spacing w:after="3" w:line="248" w:lineRule="auto"/>
              <w:rPr>
                <w:rFonts w:eastAsia="Arial"/>
                <w:color w:val="000000"/>
              </w:rPr>
            </w:pPr>
            <w:r w:rsidRPr="007A505B">
              <w:rPr>
                <w:rFonts w:eastAsia="Arial"/>
                <w:color w:val="000000"/>
              </w:rPr>
              <w:t xml:space="preserve">May, Janet. “Capítulo V. Elementos del diseño de la tesina o la tesis”. En </w:t>
            </w:r>
            <w:r w:rsidRPr="007A505B">
              <w:rPr>
                <w:rFonts w:eastAsia="Arial"/>
                <w:i/>
                <w:color w:val="000000"/>
              </w:rPr>
              <w:t>Guía para la presentación de trabajos académicos</w:t>
            </w:r>
            <w:r w:rsidRPr="007A505B">
              <w:rPr>
                <w:rFonts w:eastAsia="Arial"/>
                <w:iCs/>
                <w:color w:val="000000"/>
              </w:rPr>
              <w:t>, 70-89.</w:t>
            </w:r>
            <w:r w:rsidRPr="007A505B">
              <w:rPr>
                <w:rFonts w:eastAsia="Arial"/>
                <w:color w:val="000000"/>
              </w:rPr>
              <w:t xml:space="preserve"> San José, Costa Rica: Universidad Bíblica Latinoamericana, 2003. </w:t>
            </w:r>
            <w:r w:rsidRPr="007A505B">
              <w:rPr>
                <w:rFonts w:eastAsia="Arial"/>
                <w:color w:val="0070C0"/>
              </w:rPr>
              <w:t>(clásico, última edición)</w:t>
            </w:r>
          </w:p>
          <w:p w14:paraId="4A72F46D" w14:textId="77777777" w:rsidR="007A505B" w:rsidRPr="007A505B" w:rsidRDefault="007A505B" w:rsidP="007A505B">
            <w:pPr>
              <w:spacing w:after="3" w:line="248" w:lineRule="auto"/>
              <w:rPr>
                <w:rFonts w:eastAsia="Verdana"/>
                <w:color w:val="000000"/>
              </w:rPr>
            </w:pPr>
          </w:p>
        </w:tc>
        <w:tc>
          <w:tcPr>
            <w:tcW w:w="3118" w:type="dxa"/>
            <w:vMerge w:val="restart"/>
          </w:tcPr>
          <w:p w14:paraId="3717DEAD" w14:textId="77777777" w:rsidR="007A505B" w:rsidRPr="007A505B" w:rsidRDefault="007A505B" w:rsidP="007A505B">
            <w:pPr>
              <w:numPr>
                <w:ilvl w:val="0"/>
                <w:numId w:val="202"/>
              </w:numPr>
              <w:ind w:left="315"/>
              <w:contextualSpacing/>
              <w:rPr>
                <w:rFonts w:eastAsia="Verdana"/>
                <w:color w:val="000000"/>
              </w:rPr>
            </w:pPr>
            <w:r w:rsidRPr="007A505B">
              <w:rPr>
                <w:rFonts w:eastAsia="Verdana"/>
                <w:color w:val="000000"/>
              </w:rPr>
              <w:t>Participación en el encuentro sincrónico virtual con la persona docente sobre la pertinencia y viabilidad del problema seleccionado.</w:t>
            </w:r>
          </w:p>
          <w:p w14:paraId="29C66DF6" w14:textId="77777777" w:rsidR="007A505B" w:rsidRPr="007A505B" w:rsidRDefault="007A505B" w:rsidP="007A505B">
            <w:pPr>
              <w:numPr>
                <w:ilvl w:val="0"/>
                <w:numId w:val="202"/>
              </w:numPr>
              <w:ind w:left="315"/>
              <w:contextualSpacing/>
              <w:rPr>
                <w:rFonts w:eastAsia="Verdana"/>
                <w:color w:val="000000"/>
              </w:rPr>
            </w:pPr>
            <w:r w:rsidRPr="007A505B">
              <w:rPr>
                <w:rFonts w:eastAsia="Verdana"/>
                <w:color w:val="000000"/>
              </w:rPr>
              <w:t>Participación en el foro sobre los distintos posibles abordajes al tema de investigación.</w:t>
            </w:r>
          </w:p>
          <w:p w14:paraId="3C754B69" w14:textId="77777777" w:rsidR="007A505B" w:rsidRPr="007A505B" w:rsidRDefault="007A505B" w:rsidP="007A505B">
            <w:pPr>
              <w:numPr>
                <w:ilvl w:val="0"/>
                <w:numId w:val="202"/>
              </w:numPr>
              <w:ind w:left="315"/>
              <w:contextualSpacing/>
              <w:rPr>
                <w:rFonts w:eastAsia="Verdana"/>
                <w:color w:val="000000"/>
              </w:rPr>
            </w:pPr>
            <w:r w:rsidRPr="007A505B">
              <w:rPr>
                <w:rFonts w:eastAsia="Verdana"/>
                <w:color w:val="000000"/>
              </w:rPr>
              <w:t>Elaboración del diseño de la investigación grupal.</w:t>
            </w:r>
          </w:p>
          <w:p w14:paraId="7ADADB33" w14:textId="77777777" w:rsidR="007A505B" w:rsidRPr="007A505B" w:rsidRDefault="007A505B" w:rsidP="007A505B">
            <w:pPr>
              <w:numPr>
                <w:ilvl w:val="0"/>
                <w:numId w:val="202"/>
              </w:numPr>
              <w:ind w:left="315"/>
              <w:contextualSpacing/>
              <w:rPr>
                <w:rFonts w:eastAsia="Verdana"/>
                <w:color w:val="000000"/>
              </w:rPr>
            </w:pPr>
            <w:r w:rsidRPr="007A505B">
              <w:rPr>
                <w:rFonts w:eastAsia="Verdana"/>
                <w:color w:val="000000"/>
              </w:rPr>
              <w:t xml:space="preserve">Entrega del diseño de la investigación grupal. </w:t>
            </w:r>
          </w:p>
        </w:tc>
      </w:tr>
      <w:tr w:rsidR="007A505B" w:rsidRPr="007A505B" w14:paraId="6E18BD99" w14:textId="77777777" w:rsidTr="00CE7124">
        <w:trPr>
          <w:trHeight w:val="1986"/>
          <w:jc w:val="center"/>
        </w:trPr>
        <w:tc>
          <w:tcPr>
            <w:tcW w:w="1144" w:type="dxa"/>
          </w:tcPr>
          <w:p w14:paraId="6FBC27BB" w14:textId="77777777" w:rsidR="007A505B" w:rsidRPr="007A505B" w:rsidRDefault="007A505B" w:rsidP="007A505B">
            <w:pPr>
              <w:spacing w:after="3" w:line="248" w:lineRule="auto"/>
              <w:jc w:val="center"/>
              <w:rPr>
                <w:rFonts w:eastAsia="Verdana"/>
                <w:color w:val="000000"/>
              </w:rPr>
            </w:pPr>
          </w:p>
          <w:p w14:paraId="204D2539"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2</w:t>
            </w:r>
          </w:p>
        </w:tc>
        <w:tc>
          <w:tcPr>
            <w:tcW w:w="2395" w:type="dxa"/>
            <w:vMerge/>
          </w:tcPr>
          <w:p w14:paraId="4A99D1F3" w14:textId="77777777" w:rsidR="007A505B" w:rsidRPr="007A505B" w:rsidRDefault="007A505B" w:rsidP="007A505B">
            <w:pPr>
              <w:spacing w:after="3" w:line="248" w:lineRule="auto"/>
              <w:rPr>
                <w:rFonts w:eastAsia="Verdana"/>
                <w:color w:val="000000"/>
              </w:rPr>
            </w:pPr>
          </w:p>
        </w:tc>
        <w:tc>
          <w:tcPr>
            <w:tcW w:w="2977" w:type="dxa"/>
            <w:vMerge/>
          </w:tcPr>
          <w:p w14:paraId="0A1833BE" w14:textId="77777777" w:rsidR="007A505B" w:rsidRPr="007A505B" w:rsidRDefault="007A505B" w:rsidP="007A505B">
            <w:pPr>
              <w:spacing w:after="3" w:line="248" w:lineRule="auto"/>
              <w:rPr>
                <w:rFonts w:eastAsia="Verdana"/>
                <w:color w:val="000000"/>
              </w:rPr>
            </w:pPr>
          </w:p>
        </w:tc>
        <w:tc>
          <w:tcPr>
            <w:tcW w:w="3118" w:type="dxa"/>
            <w:vMerge/>
          </w:tcPr>
          <w:p w14:paraId="5D85B90B" w14:textId="77777777" w:rsidR="007A505B" w:rsidRPr="007A505B" w:rsidRDefault="007A505B" w:rsidP="007A505B">
            <w:pPr>
              <w:spacing w:after="3" w:line="248" w:lineRule="auto"/>
              <w:rPr>
                <w:rFonts w:eastAsia="Verdana"/>
                <w:color w:val="000000"/>
              </w:rPr>
            </w:pPr>
          </w:p>
        </w:tc>
      </w:tr>
      <w:tr w:rsidR="007A505B" w:rsidRPr="007A505B" w14:paraId="41753A96" w14:textId="77777777" w:rsidTr="00CE7124">
        <w:trPr>
          <w:jc w:val="center"/>
        </w:trPr>
        <w:tc>
          <w:tcPr>
            <w:tcW w:w="1144" w:type="dxa"/>
          </w:tcPr>
          <w:p w14:paraId="462E9848" w14:textId="77777777" w:rsidR="007A505B" w:rsidRPr="007A505B" w:rsidRDefault="007A505B" w:rsidP="007A505B">
            <w:pPr>
              <w:spacing w:after="3" w:line="248" w:lineRule="auto"/>
              <w:jc w:val="center"/>
              <w:rPr>
                <w:rFonts w:eastAsia="Verdana"/>
                <w:color w:val="000000"/>
              </w:rPr>
            </w:pPr>
          </w:p>
          <w:p w14:paraId="0494EC2F"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3</w:t>
            </w:r>
          </w:p>
        </w:tc>
        <w:tc>
          <w:tcPr>
            <w:tcW w:w="2395" w:type="dxa"/>
            <w:vMerge/>
          </w:tcPr>
          <w:p w14:paraId="60357B5F" w14:textId="77777777" w:rsidR="007A505B" w:rsidRPr="007A505B" w:rsidRDefault="007A505B" w:rsidP="007A505B">
            <w:pPr>
              <w:spacing w:after="3" w:line="248" w:lineRule="auto"/>
              <w:rPr>
                <w:rFonts w:eastAsia="Verdana"/>
                <w:color w:val="000000"/>
              </w:rPr>
            </w:pPr>
          </w:p>
        </w:tc>
        <w:tc>
          <w:tcPr>
            <w:tcW w:w="2977" w:type="dxa"/>
            <w:vMerge/>
          </w:tcPr>
          <w:p w14:paraId="7ECAE378" w14:textId="77777777" w:rsidR="007A505B" w:rsidRPr="007A505B" w:rsidRDefault="007A505B" w:rsidP="007A505B">
            <w:pPr>
              <w:spacing w:after="3" w:line="248" w:lineRule="auto"/>
              <w:rPr>
                <w:rFonts w:eastAsia="Verdana"/>
                <w:color w:val="000000"/>
              </w:rPr>
            </w:pPr>
          </w:p>
        </w:tc>
        <w:tc>
          <w:tcPr>
            <w:tcW w:w="3118" w:type="dxa"/>
            <w:vMerge/>
          </w:tcPr>
          <w:p w14:paraId="48856B61" w14:textId="77777777" w:rsidR="007A505B" w:rsidRPr="007A505B" w:rsidRDefault="007A505B" w:rsidP="007A505B">
            <w:pPr>
              <w:spacing w:after="3" w:line="248" w:lineRule="auto"/>
              <w:rPr>
                <w:rFonts w:eastAsia="Verdana"/>
                <w:color w:val="000000"/>
              </w:rPr>
            </w:pPr>
          </w:p>
        </w:tc>
      </w:tr>
      <w:tr w:rsidR="007A505B" w:rsidRPr="007A505B" w14:paraId="0BB90788" w14:textId="77777777" w:rsidTr="00CE7124">
        <w:trPr>
          <w:trHeight w:val="2583"/>
          <w:jc w:val="center"/>
        </w:trPr>
        <w:tc>
          <w:tcPr>
            <w:tcW w:w="1144" w:type="dxa"/>
          </w:tcPr>
          <w:p w14:paraId="495557DF" w14:textId="77777777" w:rsidR="007A505B" w:rsidRPr="007A505B" w:rsidRDefault="007A505B" w:rsidP="007A505B">
            <w:pPr>
              <w:spacing w:after="3" w:line="248" w:lineRule="auto"/>
              <w:jc w:val="center"/>
              <w:rPr>
                <w:rFonts w:eastAsia="Verdana"/>
                <w:color w:val="000000"/>
              </w:rPr>
            </w:pPr>
          </w:p>
          <w:p w14:paraId="6A18D582"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4</w:t>
            </w:r>
          </w:p>
        </w:tc>
        <w:tc>
          <w:tcPr>
            <w:tcW w:w="2395" w:type="dxa"/>
            <w:vMerge w:val="restart"/>
          </w:tcPr>
          <w:p w14:paraId="55C3D1B7"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t>Unidad 2: Revisión de la literatura disponible según qué trabajará el grupo</w:t>
            </w:r>
          </w:p>
          <w:p w14:paraId="54512C20" w14:textId="77777777" w:rsidR="007A505B" w:rsidRPr="007A505B" w:rsidRDefault="007A505B" w:rsidP="007A505B">
            <w:pPr>
              <w:spacing w:after="3" w:line="248" w:lineRule="auto"/>
              <w:rPr>
                <w:rFonts w:eastAsia="Verdana"/>
                <w:b/>
                <w:bCs/>
                <w:color w:val="000000"/>
              </w:rPr>
            </w:pPr>
          </w:p>
          <w:p w14:paraId="4916AEE0" w14:textId="77777777" w:rsidR="007A505B" w:rsidRPr="007A505B" w:rsidRDefault="007A505B" w:rsidP="007A505B">
            <w:pPr>
              <w:spacing w:after="3" w:line="248" w:lineRule="auto"/>
              <w:rPr>
                <w:rFonts w:eastAsia="Verdana"/>
                <w:color w:val="000000"/>
              </w:rPr>
            </w:pPr>
            <w:r w:rsidRPr="007A505B">
              <w:rPr>
                <w:rFonts w:eastAsia="Verdana"/>
                <w:color w:val="000000"/>
              </w:rPr>
              <w:t>2.1 Consulta de fuentes primarias, secundarias y terciarias</w:t>
            </w:r>
          </w:p>
          <w:p w14:paraId="063FACC2" w14:textId="77777777" w:rsidR="007A505B" w:rsidRPr="007A505B" w:rsidRDefault="007A505B" w:rsidP="007A505B">
            <w:pPr>
              <w:spacing w:after="3" w:line="248" w:lineRule="auto"/>
              <w:rPr>
                <w:rFonts w:eastAsia="Verdana"/>
                <w:color w:val="000000"/>
              </w:rPr>
            </w:pPr>
            <w:r w:rsidRPr="007A505B">
              <w:rPr>
                <w:rFonts w:eastAsia="Verdana"/>
                <w:color w:val="000000"/>
              </w:rPr>
              <w:t>2.2 Revisión de la literatura disponible</w:t>
            </w:r>
          </w:p>
          <w:p w14:paraId="53D338BC" w14:textId="77777777" w:rsidR="007A505B" w:rsidRPr="007A505B" w:rsidRDefault="007A505B" w:rsidP="007A505B">
            <w:pPr>
              <w:spacing w:after="3" w:line="248" w:lineRule="auto"/>
              <w:rPr>
                <w:rFonts w:eastAsia="Verdana"/>
                <w:color w:val="000000"/>
              </w:rPr>
            </w:pPr>
          </w:p>
          <w:p w14:paraId="69346F38" w14:textId="77777777" w:rsidR="007A505B" w:rsidRPr="007A505B" w:rsidRDefault="007A505B" w:rsidP="007A505B">
            <w:pPr>
              <w:spacing w:after="3" w:line="248" w:lineRule="auto"/>
              <w:rPr>
                <w:rFonts w:eastAsia="Verdana"/>
                <w:color w:val="000000"/>
              </w:rPr>
            </w:pPr>
            <w:r w:rsidRPr="007A505B">
              <w:rPr>
                <w:rFonts w:eastAsia="Verdana"/>
                <w:color w:val="000000"/>
              </w:rPr>
              <w:t>2.3 Asesoramiento sobre recursos teóricos y prácticos</w:t>
            </w:r>
          </w:p>
          <w:p w14:paraId="1B9B98E7" w14:textId="77777777" w:rsidR="007A505B" w:rsidRPr="007A505B" w:rsidRDefault="007A505B" w:rsidP="007A505B">
            <w:pPr>
              <w:spacing w:after="3" w:line="248" w:lineRule="auto"/>
              <w:rPr>
                <w:rFonts w:eastAsia="Verdana"/>
                <w:color w:val="000000"/>
              </w:rPr>
            </w:pPr>
          </w:p>
        </w:tc>
        <w:tc>
          <w:tcPr>
            <w:tcW w:w="2977" w:type="dxa"/>
            <w:vMerge w:val="restart"/>
          </w:tcPr>
          <w:p w14:paraId="3B459C6D" w14:textId="77777777" w:rsidR="007A505B" w:rsidRPr="007A505B" w:rsidRDefault="007A505B" w:rsidP="007A505B">
            <w:pPr>
              <w:spacing w:after="3" w:line="248" w:lineRule="auto"/>
              <w:rPr>
                <w:color w:val="0563C1"/>
                <w:u w:val="single"/>
              </w:rPr>
            </w:pPr>
            <w:r w:rsidRPr="007A505B">
              <w:rPr>
                <w:rFonts w:eastAsia="Arial"/>
                <w:color w:val="000000"/>
              </w:rPr>
              <w:t xml:space="preserve">Guirao </w:t>
            </w:r>
            <w:proofErr w:type="spellStart"/>
            <w:r w:rsidRPr="007A505B">
              <w:rPr>
                <w:rFonts w:eastAsia="Arial"/>
                <w:color w:val="000000"/>
              </w:rPr>
              <w:t>Goris</w:t>
            </w:r>
            <w:proofErr w:type="spellEnd"/>
            <w:r w:rsidRPr="007A505B">
              <w:rPr>
                <w:rFonts w:eastAsia="Arial"/>
                <w:color w:val="000000"/>
              </w:rPr>
              <w:t xml:space="preserve">, </w:t>
            </w:r>
            <w:proofErr w:type="spellStart"/>
            <w:r w:rsidRPr="007A505B">
              <w:rPr>
                <w:rFonts w:eastAsia="Arial"/>
                <w:color w:val="000000"/>
              </w:rPr>
              <w:t>Silamani</w:t>
            </w:r>
            <w:proofErr w:type="spellEnd"/>
            <w:r w:rsidRPr="007A505B">
              <w:rPr>
                <w:rFonts w:eastAsia="Arial"/>
                <w:color w:val="000000"/>
              </w:rPr>
              <w:t xml:space="preserve"> J. Adolf. “Utilidad y tipos de revisión de literatura”</w:t>
            </w:r>
            <w:r w:rsidRPr="007A505B">
              <w:rPr>
                <w:rFonts w:eastAsia="Arial"/>
                <w:i/>
                <w:iCs/>
                <w:color w:val="000000"/>
              </w:rPr>
              <w:t xml:space="preserve">. Ene, </w:t>
            </w:r>
            <w:r w:rsidRPr="007A505B">
              <w:rPr>
                <w:rFonts w:eastAsia="Arial"/>
                <w:color w:val="000000"/>
              </w:rPr>
              <w:t>n. 2 (2015).</w:t>
            </w:r>
            <w:r w:rsidRPr="007A505B">
              <w:rPr>
                <w:rFonts w:eastAsia="Arial"/>
                <w:i/>
                <w:iCs/>
                <w:color w:val="000000"/>
              </w:rPr>
              <w:t xml:space="preserve"> </w:t>
            </w:r>
            <w:r w:rsidRPr="007A505B">
              <w:rPr>
                <w:rFonts w:eastAsia="Arial"/>
                <w:color w:val="000000"/>
              </w:rPr>
              <w:t>Acceso el 22 de noviembre de 2022.</w:t>
            </w:r>
            <w:r w:rsidRPr="007A505B">
              <w:rPr>
                <w:color w:val="000000"/>
              </w:rPr>
              <w:t xml:space="preserve"> </w:t>
            </w:r>
            <w:hyperlink r:id="rId597" w:history="1">
              <w:r w:rsidRPr="007A505B">
                <w:rPr>
                  <w:color w:val="0563C1"/>
                  <w:u w:val="single"/>
                </w:rPr>
                <w:t>https://dx.doi.org/10.4321/S1988-348X2015000200002</w:t>
              </w:r>
            </w:hyperlink>
          </w:p>
          <w:p w14:paraId="788ED883" w14:textId="77777777" w:rsidR="007A505B" w:rsidRPr="007A505B" w:rsidRDefault="007A505B" w:rsidP="007A505B">
            <w:pPr>
              <w:spacing w:after="3" w:line="248" w:lineRule="auto"/>
              <w:rPr>
                <w:color w:val="0563C1"/>
                <w:u w:val="single"/>
              </w:rPr>
            </w:pPr>
          </w:p>
          <w:p w14:paraId="1B150E68" w14:textId="77777777" w:rsidR="007A505B" w:rsidRPr="007A505B" w:rsidRDefault="007A505B" w:rsidP="007A505B">
            <w:pPr>
              <w:spacing w:after="3" w:line="248" w:lineRule="auto"/>
              <w:rPr>
                <w:rFonts w:eastAsia="Arial"/>
                <w:color w:val="0563C1"/>
                <w:u w:val="single"/>
              </w:rPr>
            </w:pPr>
            <w:r w:rsidRPr="007A505B">
              <w:rPr>
                <w:rFonts w:eastAsia="Arial"/>
                <w:color w:val="000000"/>
              </w:rPr>
              <w:t>Páramo, Pablo y Gabriel Otálvaro. “</w:t>
            </w:r>
            <w:r w:rsidRPr="007A505B">
              <w:rPr>
                <w:rFonts w:eastAsia="Arial"/>
                <w:iCs/>
                <w:color w:val="000000"/>
              </w:rPr>
              <w:t>Investigación Alternativa: por una distinción entre posturas epistemológicas y no entre métodos”.</w:t>
            </w:r>
            <w:r w:rsidRPr="007A505B">
              <w:rPr>
                <w:rFonts w:eastAsia="Arial"/>
                <w:i/>
                <w:color w:val="000000"/>
              </w:rPr>
              <w:t xml:space="preserve"> Cinta De </w:t>
            </w:r>
            <w:proofErr w:type="spellStart"/>
            <w:r w:rsidRPr="007A505B">
              <w:rPr>
                <w:rFonts w:eastAsia="Arial"/>
                <w:i/>
                <w:color w:val="000000"/>
              </w:rPr>
              <w:t>Moebio</w:t>
            </w:r>
            <w:proofErr w:type="spellEnd"/>
            <w:r w:rsidRPr="007A505B">
              <w:rPr>
                <w:rFonts w:eastAsia="Arial"/>
                <w:i/>
                <w:color w:val="000000"/>
              </w:rPr>
              <w:t>. Revista De Epistemología De Ciencias Sociales</w:t>
            </w:r>
            <w:r w:rsidRPr="007A505B">
              <w:rPr>
                <w:rFonts w:eastAsia="Arial"/>
                <w:color w:val="000000"/>
              </w:rPr>
              <w:t xml:space="preserve">, n. 25 (2006). Acceso el 22 de noviembre de 2022. </w:t>
            </w:r>
            <w:hyperlink r:id="rId598" w:history="1">
              <w:r w:rsidRPr="007A505B">
                <w:rPr>
                  <w:rFonts w:eastAsia="Arial"/>
                  <w:color w:val="0563C1"/>
                  <w:u w:val="single"/>
                </w:rPr>
                <w:t>https://revistas.uchile.cl/index.php/CDM/article/view/25953</w:t>
              </w:r>
            </w:hyperlink>
          </w:p>
          <w:p w14:paraId="11D66627" w14:textId="77777777" w:rsidR="007A505B" w:rsidRPr="007A505B" w:rsidRDefault="007A505B" w:rsidP="007A505B">
            <w:pPr>
              <w:spacing w:after="3" w:line="248" w:lineRule="auto"/>
              <w:rPr>
                <w:rFonts w:eastAsia="Verdana"/>
                <w:color w:val="000000"/>
              </w:rPr>
            </w:pPr>
          </w:p>
        </w:tc>
        <w:tc>
          <w:tcPr>
            <w:tcW w:w="3118" w:type="dxa"/>
            <w:vMerge w:val="restart"/>
          </w:tcPr>
          <w:p w14:paraId="6919ACC0" w14:textId="77777777" w:rsidR="007A505B" w:rsidRPr="007A505B" w:rsidRDefault="007A505B" w:rsidP="007A505B">
            <w:pPr>
              <w:numPr>
                <w:ilvl w:val="0"/>
                <w:numId w:val="203"/>
              </w:numPr>
              <w:ind w:left="315"/>
              <w:contextualSpacing/>
              <w:rPr>
                <w:rFonts w:eastAsia="Verdana"/>
                <w:color w:val="000000"/>
              </w:rPr>
            </w:pPr>
            <w:r w:rsidRPr="007A505B">
              <w:rPr>
                <w:rFonts w:eastAsia="Verdana"/>
                <w:color w:val="000000"/>
              </w:rPr>
              <w:t>Participación en el encuentro sincrónico virtual con la persona docente sobre la revisión de la literatura.</w:t>
            </w:r>
          </w:p>
          <w:p w14:paraId="19051FA3" w14:textId="77777777" w:rsidR="007A505B" w:rsidRPr="007A505B" w:rsidRDefault="007A505B" w:rsidP="007A505B">
            <w:pPr>
              <w:numPr>
                <w:ilvl w:val="0"/>
                <w:numId w:val="203"/>
              </w:numPr>
              <w:ind w:left="315"/>
              <w:contextualSpacing/>
              <w:rPr>
                <w:rFonts w:eastAsia="Verdana"/>
                <w:color w:val="000000"/>
              </w:rPr>
            </w:pPr>
            <w:r w:rsidRPr="007A505B">
              <w:rPr>
                <w:rFonts w:eastAsia="Verdana"/>
                <w:color w:val="000000"/>
              </w:rPr>
              <w:t xml:space="preserve">Revisión de la literatura disponible. </w:t>
            </w:r>
          </w:p>
          <w:p w14:paraId="749B7A8A" w14:textId="77777777" w:rsidR="007A505B" w:rsidRPr="007A505B" w:rsidRDefault="007A505B" w:rsidP="007A505B">
            <w:pPr>
              <w:numPr>
                <w:ilvl w:val="0"/>
                <w:numId w:val="203"/>
              </w:numPr>
              <w:ind w:left="315"/>
              <w:contextualSpacing/>
              <w:rPr>
                <w:rFonts w:eastAsia="Verdana"/>
                <w:color w:val="000000"/>
              </w:rPr>
            </w:pPr>
            <w:r w:rsidRPr="007A505B">
              <w:rPr>
                <w:rFonts w:eastAsia="Verdana"/>
                <w:color w:val="000000"/>
              </w:rPr>
              <w:t>Participación en el foro grupal para compartir y discutir fuentes primarias, secundarias y terciarias.</w:t>
            </w:r>
          </w:p>
        </w:tc>
      </w:tr>
      <w:tr w:rsidR="007A505B" w:rsidRPr="007A505B" w14:paraId="46064261" w14:textId="77777777" w:rsidTr="00CE7124">
        <w:trPr>
          <w:jc w:val="center"/>
        </w:trPr>
        <w:tc>
          <w:tcPr>
            <w:tcW w:w="1144" w:type="dxa"/>
          </w:tcPr>
          <w:p w14:paraId="5462A893" w14:textId="77777777" w:rsidR="007A505B" w:rsidRPr="007A505B" w:rsidRDefault="007A505B" w:rsidP="007A505B">
            <w:pPr>
              <w:spacing w:after="3" w:line="248" w:lineRule="auto"/>
              <w:jc w:val="center"/>
              <w:rPr>
                <w:rFonts w:eastAsia="Verdana"/>
                <w:color w:val="000000"/>
              </w:rPr>
            </w:pPr>
          </w:p>
          <w:p w14:paraId="67E9E3C5"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5</w:t>
            </w:r>
          </w:p>
        </w:tc>
        <w:tc>
          <w:tcPr>
            <w:tcW w:w="2395" w:type="dxa"/>
            <w:vMerge/>
          </w:tcPr>
          <w:p w14:paraId="12D3EAA4" w14:textId="77777777" w:rsidR="007A505B" w:rsidRPr="007A505B" w:rsidRDefault="007A505B" w:rsidP="007A505B">
            <w:pPr>
              <w:spacing w:after="3" w:line="248" w:lineRule="auto"/>
              <w:rPr>
                <w:rFonts w:eastAsia="Verdana"/>
                <w:color w:val="000000"/>
              </w:rPr>
            </w:pPr>
          </w:p>
        </w:tc>
        <w:tc>
          <w:tcPr>
            <w:tcW w:w="2977" w:type="dxa"/>
            <w:vMerge/>
          </w:tcPr>
          <w:p w14:paraId="66DD4288" w14:textId="77777777" w:rsidR="007A505B" w:rsidRPr="007A505B" w:rsidRDefault="007A505B" w:rsidP="007A505B">
            <w:pPr>
              <w:spacing w:after="3" w:line="248" w:lineRule="auto"/>
              <w:rPr>
                <w:rFonts w:eastAsia="Verdana"/>
                <w:color w:val="000000"/>
              </w:rPr>
            </w:pPr>
          </w:p>
        </w:tc>
        <w:tc>
          <w:tcPr>
            <w:tcW w:w="3118" w:type="dxa"/>
            <w:vMerge/>
          </w:tcPr>
          <w:p w14:paraId="514E5B02" w14:textId="77777777" w:rsidR="007A505B" w:rsidRPr="007A505B" w:rsidRDefault="007A505B" w:rsidP="007A505B">
            <w:pPr>
              <w:spacing w:after="3" w:line="248" w:lineRule="auto"/>
              <w:rPr>
                <w:rFonts w:eastAsia="Verdana"/>
                <w:color w:val="000000"/>
              </w:rPr>
            </w:pPr>
          </w:p>
        </w:tc>
      </w:tr>
      <w:tr w:rsidR="007A505B" w:rsidRPr="007A505B" w14:paraId="0A2B1C9D" w14:textId="77777777" w:rsidTr="00CE7124">
        <w:trPr>
          <w:trHeight w:val="2144"/>
          <w:jc w:val="center"/>
        </w:trPr>
        <w:tc>
          <w:tcPr>
            <w:tcW w:w="1144" w:type="dxa"/>
          </w:tcPr>
          <w:p w14:paraId="792D573B" w14:textId="77777777" w:rsidR="007A505B" w:rsidRPr="007A505B" w:rsidRDefault="007A505B" w:rsidP="007A505B">
            <w:pPr>
              <w:spacing w:after="3" w:line="248" w:lineRule="auto"/>
              <w:jc w:val="center"/>
              <w:rPr>
                <w:rFonts w:eastAsia="Verdana"/>
                <w:color w:val="000000"/>
              </w:rPr>
            </w:pPr>
          </w:p>
          <w:p w14:paraId="5B786406"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6</w:t>
            </w:r>
          </w:p>
        </w:tc>
        <w:tc>
          <w:tcPr>
            <w:tcW w:w="2395" w:type="dxa"/>
            <w:vMerge w:val="restart"/>
          </w:tcPr>
          <w:p w14:paraId="34A2221B"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t>Unidad 3: Acopio teórico o recolección de datos</w:t>
            </w:r>
          </w:p>
          <w:p w14:paraId="4B033D2D" w14:textId="77777777" w:rsidR="007A505B" w:rsidRPr="007A505B" w:rsidRDefault="007A505B" w:rsidP="007A505B">
            <w:pPr>
              <w:spacing w:after="3" w:line="248" w:lineRule="auto"/>
              <w:rPr>
                <w:rFonts w:eastAsia="Verdana"/>
                <w:b/>
                <w:bCs/>
                <w:color w:val="000000"/>
              </w:rPr>
            </w:pPr>
          </w:p>
          <w:p w14:paraId="564EB93E" w14:textId="77777777" w:rsidR="007A505B" w:rsidRPr="007A505B" w:rsidRDefault="007A505B" w:rsidP="007A505B">
            <w:pPr>
              <w:spacing w:after="3" w:line="248" w:lineRule="auto"/>
              <w:rPr>
                <w:rFonts w:eastAsia="Verdana"/>
                <w:color w:val="000000"/>
              </w:rPr>
            </w:pPr>
            <w:r w:rsidRPr="007A505B">
              <w:rPr>
                <w:rFonts w:eastAsia="Verdana"/>
                <w:color w:val="000000"/>
              </w:rPr>
              <w:t>3.1 Definición del índice o bosquejo tentativo de la investigación</w:t>
            </w:r>
          </w:p>
          <w:p w14:paraId="25256DD2" w14:textId="77777777" w:rsidR="007A505B" w:rsidRPr="007A505B" w:rsidRDefault="007A505B" w:rsidP="007A505B">
            <w:pPr>
              <w:spacing w:after="3" w:line="248" w:lineRule="auto"/>
              <w:rPr>
                <w:rFonts w:eastAsia="Verdana"/>
                <w:color w:val="000000"/>
              </w:rPr>
            </w:pPr>
          </w:p>
          <w:p w14:paraId="27F2D327" w14:textId="77777777" w:rsidR="007A505B" w:rsidRPr="007A505B" w:rsidRDefault="007A505B" w:rsidP="007A505B">
            <w:pPr>
              <w:spacing w:after="3" w:line="248" w:lineRule="auto"/>
              <w:rPr>
                <w:rFonts w:eastAsia="Verdana"/>
                <w:color w:val="000000"/>
              </w:rPr>
            </w:pPr>
            <w:r w:rsidRPr="007A505B">
              <w:rPr>
                <w:rFonts w:eastAsia="Verdana"/>
                <w:color w:val="000000"/>
              </w:rPr>
              <w:t>3.2 Lectura y recolección de la información</w:t>
            </w:r>
          </w:p>
          <w:p w14:paraId="299B4C0C" w14:textId="77777777" w:rsidR="007A505B" w:rsidRPr="007A505B" w:rsidRDefault="007A505B" w:rsidP="007A505B">
            <w:pPr>
              <w:spacing w:after="3" w:line="248" w:lineRule="auto"/>
              <w:rPr>
                <w:rFonts w:eastAsia="Verdana"/>
                <w:color w:val="000000"/>
              </w:rPr>
            </w:pPr>
          </w:p>
          <w:p w14:paraId="45C129C6" w14:textId="77777777" w:rsidR="007A505B" w:rsidRPr="007A505B" w:rsidRDefault="007A505B" w:rsidP="007A505B">
            <w:pPr>
              <w:spacing w:after="3" w:line="248" w:lineRule="auto"/>
              <w:rPr>
                <w:rFonts w:eastAsia="Verdana"/>
                <w:color w:val="000000"/>
              </w:rPr>
            </w:pPr>
            <w:r w:rsidRPr="007A505B">
              <w:rPr>
                <w:rFonts w:eastAsia="Verdana"/>
                <w:color w:val="000000"/>
              </w:rPr>
              <w:t>3.3 Organización de la documentación según subtemas</w:t>
            </w:r>
          </w:p>
          <w:p w14:paraId="1E6C5A5D" w14:textId="77777777" w:rsidR="007A505B" w:rsidRPr="007A505B" w:rsidRDefault="007A505B" w:rsidP="007A505B">
            <w:pPr>
              <w:spacing w:after="3" w:line="248" w:lineRule="auto"/>
              <w:rPr>
                <w:rFonts w:eastAsia="Verdana"/>
                <w:color w:val="000000"/>
              </w:rPr>
            </w:pPr>
          </w:p>
        </w:tc>
        <w:tc>
          <w:tcPr>
            <w:tcW w:w="2977" w:type="dxa"/>
            <w:vMerge w:val="restart"/>
          </w:tcPr>
          <w:p w14:paraId="3DD35590" w14:textId="77777777" w:rsidR="007A505B" w:rsidRPr="007A505B" w:rsidRDefault="007A505B" w:rsidP="007A505B">
            <w:pPr>
              <w:spacing w:after="3" w:line="248" w:lineRule="auto"/>
              <w:rPr>
                <w:rFonts w:eastAsia="Verdana"/>
                <w:color w:val="000000"/>
              </w:rPr>
            </w:pPr>
            <w:proofErr w:type="spellStart"/>
            <w:r w:rsidRPr="007A505B">
              <w:rPr>
                <w:rFonts w:eastAsia="Verdana"/>
                <w:color w:val="000000"/>
              </w:rPr>
              <w:t>Flick</w:t>
            </w:r>
            <w:proofErr w:type="spellEnd"/>
            <w:r w:rsidRPr="007A505B">
              <w:rPr>
                <w:rFonts w:eastAsia="Verdana"/>
                <w:color w:val="000000"/>
              </w:rPr>
              <w:t xml:space="preserve">, </w:t>
            </w:r>
            <w:proofErr w:type="spellStart"/>
            <w:r w:rsidRPr="007A505B">
              <w:rPr>
                <w:rFonts w:eastAsia="Verdana"/>
                <w:color w:val="000000"/>
              </w:rPr>
              <w:t>Uwe</w:t>
            </w:r>
            <w:proofErr w:type="spellEnd"/>
            <w:r w:rsidRPr="007A505B">
              <w:rPr>
                <w:rFonts w:eastAsia="Verdana"/>
                <w:color w:val="000000"/>
              </w:rPr>
              <w:t xml:space="preserve">. “Análisis de datos cualitativos”. En </w:t>
            </w:r>
            <w:r w:rsidRPr="007A505B">
              <w:rPr>
                <w:rFonts w:eastAsia="Verdana"/>
                <w:i/>
                <w:iCs/>
                <w:color w:val="000000"/>
              </w:rPr>
              <w:t>El diseño de investigación cualitativa</w:t>
            </w:r>
            <w:r w:rsidRPr="007A505B">
              <w:rPr>
                <w:rFonts w:eastAsia="Verdana"/>
                <w:color w:val="000000"/>
              </w:rPr>
              <w:t xml:space="preserve">, 136-146. Madrid: Ediciones Morata, 2015. </w:t>
            </w:r>
            <w:r w:rsidRPr="007A505B">
              <w:rPr>
                <w:rFonts w:eastAsia="Arial"/>
                <w:color w:val="0070C0"/>
              </w:rPr>
              <w:t>(clásico, última edición)</w:t>
            </w:r>
          </w:p>
          <w:p w14:paraId="6F863C7E" w14:textId="77777777" w:rsidR="007A505B" w:rsidRPr="007A505B" w:rsidRDefault="007A505B" w:rsidP="007A505B">
            <w:pPr>
              <w:spacing w:after="3" w:line="248" w:lineRule="auto"/>
              <w:rPr>
                <w:rFonts w:eastAsia="Verdana"/>
                <w:color w:val="000000"/>
              </w:rPr>
            </w:pPr>
          </w:p>
          <w:p w14:paraId="0BCB9D0C" w14:textId="77777777" w:rsidR="007A505B" w:rsidRPr="007A505B" w:rsidRDefault="007A505B" w:rsidP="007A505B">
            <w:pPr>
              <w:spacing w:after="3" w:line="248" w:lineRule="auto"/>
              <w:rPr>
                <w:rFonts w:eastAsia="Verdana"/>
                <w:color w:val="000000"/>
              </w:rPr>
            </w:pPr>
            <w:r w:rsidRPr="007A505B">
              <w:rPr>
                <w:rFonts w:eastAsia="Arial"/>
                <w:color w:val="000000"/>
              </w:rPr>
              <w:t xml:space="preserve">Universidad de Deusto. Manual de estilo Chicago-Deusto: guía breve para citas y referencias bibliográficas. </w:t>
            </w:r>
            <w:r w:rsidRPr="007A505B">
              <w:rPr>
                <w:rFonts w:eastAsia="Arial"/>
                <w:i/>
                <w:iCs/>
                <w:color w:val="000000"/>
              </w:rPr>
              <w:t>Revista Deusto</w:t>
            </w:r>
            <w:r w:rsidRPr="007A505B">
              <w:rPr>
                <w:rFonts w:eastAsia="Arial"/>
                <w:color w:val="000000"/>
              </w:rPr>
              <w:t xml:space="preserve">, n. 126 (2013): 1-11. Acceso el 22 de noviembre de 2022. </w:t>
            </w:r>
            <w:hyperlink r:id="rId599" w:history="1">
              <w:r w:rsidRPr="007A505B">
                <w:rPr>
                  <w:rFonts w:eastAsia="Arial"/>
                  <w:color w:val="0563C1"/>
                  <w:u w:val="single"/>
                </w:rPr>
                <w:t>http://www.deusto-publicaciones.es/deusto/pdfs/otraspub/otraspub07.pdf</w:t>
              </w:r>
            </w:hyperlink>
          </w:p>
        </w:tc>
        <w:tc>
          <w:tcPr>
            <w:tcW w:w="3118" w:type="dxa"/>
            <w:vMerge w:val="restart"/>
          </w:tcPr>
          <w:p w14:paraId="1D547ECC" w14:textId="77777777" w:rsidR="007A505B" w:rsidRPr="007A505B" w:rsidRDefault="007A505B" w:rsidP="007A505B">
            <w:pPr>
              <w:numPr>
                <w:ilvl w:val="0"/>
                <w:numId w:val="204"/>
              </w:numPr>
              <w:ind w:left="315"/>
              <w:contextualSpacing/>
              <w:rPr>
                <w:rFonts w:eastAsia="Verdana"/>
                <w:color w:val="000000"/>
              </w:rPr>
            </w:pPr>
            <w:r w:rsidRPr="007A505B">
              <w:rPr>
                <w:rFonts w:eastAsia="Verdana"/>
                <w:color w:val="000000"/>
              </w:rPr>
              <w:t>Participación en el encuentro sincrónico virtual con la persona docente sobre la elaboración del índice o bosquejo tentativo de la investigación grupal.</w:t>
            </w:r>
          </w:p>
          <w:p w14:paraId="4D911CBE" w14:textId="77777777" w:rsidR="007A505B" w:rsidRPr="007A505B" w:rsidRDefault="007A505B" w:rsidP="007A505B">
            <w:pPr>
              <w:numPr>
                <w:ilvl w:val="0"/>
                <w:numId w:val="204"/>
              </w:numPr>
              <w:ind w:left="315"/>
              <w:contextualSpacing/>
              <w:rPr>
                <w:rFonts w:eastAsia="Verdana"/>
                <w:color w:val="000000"/>
              </w:rPr>
            </w:pPr>
            <w:r w:rsidRPr="007A505B">
              <w:rPr>
                <w:rFonts w:eastAsia="Verdana"/>
                <w:color w:val="000000"/>
              </w:rPr>
              <w:t>Asignación de tareas para la lectura y recolección de la información.</w:t>
            </w:r>
          </w:p>
          <w:p w14:paraId="53088D8C" w14:textId="77777777" w:rsidR="007A505B" w:rsidRPr="007A505B" w:rsidRDefault="007A505B" w:rsidP="007A505B">
            <w:pPr>
              <w:numPr>
                <w:ilvl w:val="0"/>
                <w:numId w:val="204"/>
              </w:numPr>
              <w:ind w:left="315"/>
              <w:contextualSpacing/>
              <w:rPr>
                <w:rFonts w:eastAsia="Verdana"/>
                <w:color w:val="000000"/>
              </w:rPr>
            </w:pPr>
            <w:r w:rsidRPr="007A505B">
              <w:rPr>
                <w:rFonts w:eastAsia="Verdana"/>
                <w:color w:val="000000"/>
              </w:rPr>
              <w:t xml:space="preserve">Participación en el foro grupal sobre la organización de la documentación según subtemas. </w:t>
            </w:r>
          </w:p>
        </w:tc>
      </w:tr>
      <w:tr w:rsidR="007A505B" w:rsidRPr="007A505B" w14:paraId="14492D77" w14:textId="77777777" w:rsidTr="00CE7124">
        <w:trPr>
          <w:trHeight w:val="2277"/>
          <w:jc w:val="center"/>
        </w:trPr>
        <w:tc>
          <w:tcPr>
            <w:tcW w:w="1144" w:type="dxa"/>
          </w:tcPr>
          <w:p w14:paraId="32F563F7" w14:textId="77777777" w:rsidR="007A505B" w:rsidRPr="007A505B" w:rsidRDefault="007A505B" w:rsidP="007A505B">
            <w:pPr>
              <w:spacing w:after="3" w:line="248" w:lineRule="auto"/>
              <w:jc w:val="center"/>
              <w:rPr>
                <w:rFonts w:eastAsia="Verdana"/>
                <w:color w:val="000000"/>
              </w:rPr>
            </w:pPr>
          </w:p>
          <w:p w14:paraId="0B08C5AA"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7</w:t>
            </w:r>
          </w:p>
        </w:tc>
        <w:tc>
          <w:tcPr>
            <w:tcW w:w="2395" w:type="dxa"/>
            <w:vMerge/>
          </w:tcPr>
          <w:p w14:paraId="6A93B072" w14:textId="77777777" w:rsidR="007A505B" w:rsidRPr="007A505B" w:rsidRDefault="007A505B" w:rsidP="007A505B">
            <w:pPr>
              <w:spacing w:after="3" w:line="248" w:lineRule="auto"/>
              <w:rPr>
                <w:rFonts w:eastAsia="Verdana"/>
                <w:color w:val="000000"/>
              </w:rPr>
            </w:pPr>
          </w:p>
        </w:tc>
        <w:tc>
          <w:tcPr>
            <w:tcW w:w="2977" w:type="dxa"/>
            <w:vMerge/>
          </w:tcPr>
          <w:p w14:paraId="3EE4ED44" w14:textId="77777777" w:rsidR="007A505B" w:rsidRPr="007A505B" w:rsidRDefault="007A505B" w:rsidP="007A505B">
            <w:pPr>
              <w:spacing w:after="3" w:line="248" w:lineRule="auto"/>
              <w:rPr>
                <w:rFonts w:eastAsia="Verdana"/>
                <w:color w:val="000000"/>
              </w:rPr>
            </w:pPr>
          </w:p>
        </w:tc>
        <w:tc>
          <w:tcPr>
            <w:tcW w:w="3118" w:type="dxa"/>
            <w:vMerge/>
          </w:tcPr>
          <w:p w14:paraId="6F6F1A19" w14:textId="77777777" w:rsidR="007A505B" w:rsidRPr="007A505B" w:rsidRDefault="007A505B" w:rsidP="007A505B">
            <w:pPr>
              <w:spacing w:after="3" w:line="248" w:lineRule="auto"/>
              <w:rPr>
                <w:rFonts w:eastAsia="Verdana"/>
                <w:color w:val="000000"/>
              </w:rPr>
            </w:pPr>
          </w:p>
        </w:tc>
      </w:tr>
      <w:tr w:rsidR="007A505B" w:rsidRPr="007A505B" w14:paraId="77B89D5C" w14:textId="77777777" w:rsidTr="00CE7124">
        <w:trPr>
          <w:trHeight w:val="270"/>
          <w:jc w:val="center"/>
        </w:trPr>
        <w:tc>
          <w:tcPr>
            <w:tcW w:w="1144" w:type="dxa"/>
          </w:tcPr>
          <w:p w14:paraId="5661F5C9" w14:textId="77777777" w:rsidR="007A505B" w:rsidRPr="007A505B" w:rsidRDefault="007A505B" w:rsidP="007A505B">
            <w:pPr>
              <w:spacing w:after="3" w:line="248" w:lineRule="auto"/>
              <w:jc w:val="center"/>
              <w:rPr>
                <w:rFonts w:eastAsia="Verdana"/>
                <w:color w:val="000000"/>
              </w:rPr>
            </w:pPr>
          </w:p>
          <w:p w14:paraId="071F0BC5"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8</w:t>
            </w:r>
          </w:p>
          <w:p w14:paraId="4D133FAF" w14:textId="77777777" w:rsidR="007A505B" w:rsidRPr="007A505B" w:rsidRDefault="007A505B" w:rsidP="007A505B">
            <w:pPr>
              <w:spacing w:after="3" w:line="248" w:lineRule="auto"/>
              <w:jc w:val="center"/>
              <w:rPr>
                <w:rFonts w:eastAsia="Verdana"/>
                <w:color w:val="000000"/>
              </w:rPr>
            </w:pPr>
          </w:p>
          <w:p w14:paraId="767F0279" w14:textId="77777777" w:rsidR="007A505B" w:rsidRPr="007A505B" w:rsidRDefault="007A505B" w:rsidP="007A505B">
            <w:pPr>
              <w:spacing w:after="3" w:line="248" w:lineRule="auto"/>
              <w:jc w:val="center"/>
              <w:rPr>
                <w:rFonts w:eastAsia="Verdana"/>
                <w:color w:val="000000"/>
              </w:rPr>
            </w:pPr>
          </w:p>
          <w:p w14:paraId="018EDD5D" w14:textId="77777777" w:rsidR="007A505B" w:rsidRPr="007A505B" w:rsidRDefault="007A505B" w:rsidP="007A505B">
            <w:pPr>
              <w:spacing w:after="3" w:line="248" w:lineRule="auto"/>
              <w:jc w:val="center"/>
              <w:rPr>
                <w:rFonts w:eastAsia="Verdana"/>
                <w:color w:val="000000"/>
              </w:rPr>
            </w:pPr>
          </w:p>
          <w:p w14:paraId="60CEE092" w14:textId="77777777" w:rsidR="007A505B" w:rsidRPr="007A505B" w:rsidRDefault="007A505B" w:rsidP="007A505B">
            <w:pPr>
              <w:spacing w:after="3" w:line="248" w:lineRule="auto"/>
              <w:jc w:val="center"/>
              <w:rPr>
                <w:rFonts w:eastAsia="Verdana"/>
                <w:color w:val="000000"/>
              </w:rPr>
            </w:pPr>
          </w:p>
          <w:p w14:paraId="7B8A2C2F" w14:textId="77777777" w:rsidR="007A505B" w:rsidRPr="007A505B" w:rsidRDefault="007A505B" w:rsidP="007A505B">
            <w:pPr>
              <w:spacing w:after="3" w:line="248" w:lineRule="auto"/>
              <w:jc w:val="center"/>
              <w:rPr>
                <w:rFonts w:eastAsia="Verdana"/>
                <w:color w:val="000000"/>
              </w:rPr>
            </w:pPr>
          </w:p>
          <w:p w14:paraId="7ECE08FF" w14:textId="77777777" w:rsidR="007A505B" w:rsidRPr="007A505B" w:rsidRDefault="007A505B" w:rsidP="007A505B">
            <w:pPr>
              <w:spacing w:after="3" w:line="248" w:lineRule="auto"/>
              <w:jc w:val="center"/>
              <w:rPr>
                <w:rFonts w:eastAsia="Verdana"/>
                <w:color w:val="000000"/>
              </w:rPr>
            </w:pPr>
          </w:p>
          <w:p w14:paraId="413C1DA4" w14:textId="77777777" w:rsidR="007A505B" w:rsidRPr="007A505B" w:rsidRDefault="007A505B" w:rsidP="007A505B">
            <w:pPr>
              <w:spacing w:after="3" w:line="248" w:lineRule="auto"/>
              <w:jc w:val="center"/>
              <w:rPr>
                <w:rFonts w:eastAsia="Verdana"/>
                <w:color w:val="000000"/>
              </w:rPr>
            </w:pPr>
          </w:p>
        </w:tc>
        <w:tc>
          <w:tcPr>
            <w:tcW w:w="2395" w:type="dxa"/>
            <w:vMerge w:val="restart"/>
          </w:tcPr>
          <w:p w14:paraId="3A49F1EC"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lastRenderedPageBreak/>
              <w:t>Unidad 4: Desarrollo del producto 1 (grupal)</w:t>
            </w:r>
          </w:p>
          <w:p w14:paraId="41D2C04D" w14:textId="77777777" w:rsidR="007A505B" w:rsidRPr="007A505B" w:rsidRDefault="007A505B" w:rsidP="007A505B">
            <w:pPr>
              <w:spacing w:after="3" w:line="248" w:lineRule="auto"/>
              <w:rPr>
                <w:rFonts w:eastAsia="Verdana"/>
                <w:b/>
                <w:bCs/>
                <w:color w:val="000000"/>
              </w:rPr>
            </w:pPr>
          </w:p>
          <w:p w14:paraId="4D283472" w14:textId="77777777" w:rsidR="007A505B" w:rsidRPr="007A505B" w:rsidRDefault="007A505B" w:rsidP="007A505B">
            <w:pPr>
              <w:spacing w:after="3" w:line="248" w:lineRule="auto"/>
              <w:rPr>
                <w:rFonts w:eastAsia="Verdana"/>
                <w:color w:val="000000"/>
              </w:rPr>
            </w:pPr>
            <w:r w:rsidRPr="007A505B">
              <w:rPr>
                <w:rFonts w:eastAsia="Verdana"/>
                <w:color w:val="000000"/>
              </w:rPr>
              <w:t>4.1 Organización de la documentación según subtemas</w:t>
            </w:r>
          </w:p>
          <w:p w14:paraId="1A70D787" w14:textId="77777777" w:rsidR="007A505B" w:rsidRPr="007A505B" w:rsidRDefault="007A505B" w:rsidP="007A505B">
            <w:pPr>
              <w:spacing w:after="3" w:line="248" w:lineRule="auto"/>
              <w:rPr>
                <w:rFonts w:eastAsia="Verdana"/>
                <w:color w:val="000000"/>
              </w:rPr>
            </w:pPr>
          </w:p>
          <w:p w14:paraId="76090EE9" w14:textId="77777777" w:rsidR="007A505B" w:rsidRPr="007A505B" w:rsidRDefault="007A505B" w:rsidP="007A505B">
            <w:pPr>
              <w:spacing w:after="3" w:line="248" w:lineRule="auto"/>
              <w:rPr>
                <w:rFonts w:eastAsia="Verdana"/>
                <w:color w:val="000000"/>
              </w:rPr>
            </w:pPr>
            <w:r w:rsidRPr="007A505B">
              <w:rPr>
                <w:rFonts w:eastAsia="Verdana"/>
                <w:color w:val="000000"/>
              </w:rPr>
              <w:t>4.2 Lectura y recolección de la información</w:t>
            </w:r>
          </w:p>
          <w:p w14:paraId="548DFBAD" w14:textId="77777777" w:rsidR="007A505B" w:rsidRPr="007A505B" w:rsidRDefault="007A505B" w:rsidP="007A505B">
            <w:pPr>
              <w:spacing w:after="3" w:line="248" w:lineRule="auto"/>
              <w:rPr>
                <w:rFonts w:eastAsia="Verdana"/>
                <w:color w:val="000000"/>
              </w:rPr>
            </w:pPr>
          </w:p>
          <w:p w14:paraId="65FCFF93" w14:textId="77777777" w:rsidR="007A505B" w:rsidRPr="007A505B" w:rsidRDefault="007A505B" w:rsidP="007A505B">
            <w:pPr>
              <w:spacing w:after="3" w:line="248" w:lineRule="auto"/>
              <w:rPr>
                <w:rFonts w:eastAsia="Verdana"/>
                <w:color w:val="000000"/>
              </w:rPr>
            </w:pPr>
            <w:r w:rsidRPr="007A505B">
              <w:rPr>
                <w:rFonts w:eastAsia="Verdana"/>
                <w:color w:val="000000"/>
              </w:rPr>
              <w:t>4.3 Redacción de los borradores de cada capítulo del informe grupal</w:t>
            </w:r>
          </w:p>
          <w:p w14:paraId="35E5A18A" w14:textId="77777777" w:rsidR="007A505B" w:rsidRPr="007A505B" w:rsidRDefault="007A505B" w:rsidP="007A505B">
            <w:pPr>
              <w:spacing w:after="3" w:line="248" w:lineRule="auto"/>
              <w:rPr>
                <w:rFonts w:eastAsia="Verdana"/>
                <w:color w:val="000000"/>
              </w:rPr>
            </w:pPr>
          </w:p>
          <w:p w14:paraId="4572FDA1" w14:textId="77777777" w:rsidR="007A505B" w:rsidRPr="007A505B" w:rsidRDefault="007A505B" w:rsidP="007A505B">
            <w:pPr>
              <w:spacing w:after="3" w:line="248" w:lineRule="auto"/>
              <w:rPr>
                <w:rFonts w:eastAsia="Verdana"/>
                <w:color w:val="000000"/>
              </w:rPr>
            </w:pPr>
            <w:r w:rsidRPr="007A505B">
              <w:rPr>
                <w:rFonts w:eastAsia="Verdana"/>
                <w:color w:val="000000"/>
              </w:rPr>
              <w:t>4.4 Asesoramiento docente en encuentros programados</w:t>
            </w:r>
          </w:p>
          <w:p w14:paraId="6778E2CD" w14:textId="77777777" w:rsidR="007A505B" w:rsidRPr="007A505B" w:rsidRDefault="007A505B" w:rsidP="007A505B">
            <w:pPr>
              <w:spacing w:after="3" w:line="248" w:lineRule="auto"/>
              <w:rPr>
                <w:rFonts w:eastAsia="Verdana"/>
                <w:color w:val="000000"/>
              </w:rPr>
            </w:pPr>
          </w:p>
          <w:p w14:paraId="23A1C018" w14:textId="77777777" w:rsidR="007A505B" w:rsidRPr="007A505B" w:rsidRDefault="007A505B" w:rsidP="007A505B">
            <w:pPr>
              <w:spacing w:after="3" w:line="248" w:lineRule="auto"/>
              <w:rPr>
                <w:rFonts w:eastAsia="Verdana"/>
                <w:color w:val="000000"/>
              </w:rPr>
            </w:pPr>
            <w:r w:rsidRPr="007A505B">
              <w:rPr>
                <w:rFonts w:eastAsia="Verdana"/>
                <w:color w:val="000000"/>
              </w:rPr>
              <w:t>4.5 Corrección de borradores</w:t>
            </w:r>
          </w:p>
          <w:p w14:paraId="0F532898" w14:textId="77777777" w:rsidR="007A505B" w:rsidRPr="007A505B" w:rsidRDefault="007A505B" w:rsidP="007A505B">
            <w:pPr>
              <w:spacing w:after="3" w:line="248" w:lineRule="auto"/>
              <w:rPr>
                <w:rFonts w:eastAsia="Verdana"/>
                <w:color w:val="000000"/>
              </w:rPr>
            </w:pPr>
          </w:p>
        </w:tc>
        <w:tc>
          <w:tcPr>
            <w:tcW w:w="2977" w:type="dxa"/>
            <w:vMerge w:val="restart"/>
          </w:tcPr>
          <w:p w14:paraId="04491AD3" w14:textId="77777777" w:rsidR="007A505B" w:rsidRPr="007A505B" w:rsidRDefault="007A505B" w:rsidP="007A505B">
            <w:pPr>
              <w:spacing w:after="3" w:line="248" w:lineRule="auto"/>
              <w:rPr>
                <w:rFonts w:eastAsia="Verdana"/>
                <w:color w:val="000000"/>
              </w:rPr>
            </w:pPr>
            <w:r w:rsidRPr="007A505B">
              <w:rPr>
                <w:rFonts w:eastAsia="Arial"/>
                <w:color w:val="000000"/>
              </w:rPr>
              <w:t xml:space="preserve">Barrantes, Rodrigo. “Planificar la </w:t>
            </w:r>
            <w:r w:rsidRPr="007A505B">
              <w:rPr>
                <w:rFonts w:eastAsia="Arial"/>
                <w:color w:val="000000"/>
              </w:rPr>
              <w:lastRenderedPageBreak/>
              <w:t xml:space="preserve">investigación”, “¿Cómo elaborar una investigación desde el enfoque cuantitativo?”. En </w:t>
            </w:r>
            <w:r w:rsidRPr="007A505B">
              <w:rPr>
                <w:rFonts w:eastAsia="Arial"/>
                <w:i/>
                <w:iCs/>
                <w:color w:val="000000"/>
              </w:rPr>
              <w:t>Investigación: un camino al conocimiento, un enfoque cualitativo, cuantitativo y mixto</w:t>
            </w:r>
            <w:r w:rsidRPr="007A505B">
              <w:rPr>
                <w:rFonts w:eastAsia="Arial"/>
                <w:color w:val="000000"/>
              </w:rPr>
              <w:t xml:space="preserve">, 151-205. San José: EUNED, 2013. </w:t>
            </w:r>
            <w:r w:rsidRPr="007A505B">
              <w:rPr>
                <w:rFonts w:eastAsia="Arial"/>
                <w:color w:val="0070C0"/>
              </w:rPr>
              <w:t>(clásico, última edición)</w:t>
            </w:r>
          </w:p>
        </w:tc>
        <w:tc>
          <w:tcPr>
            <w:tcW w:w="3118" w:type="dxa"/>
            <w:vMerge w:val="restart"/>
          </w:tcPr>
          <w:p w14:paraId="0396CEB2" w14:textId="77777777" w:rsidR="007A505B" w:rsidRPr="007A505B" w:rsidRDefault="007A505B" w:rsidP="007A505B">
            <w:pPr>
              <w:numPr>
                <w:ilvl w:val="0"/>
                <w:numId w:val="205"/>
              </w:numPr>
              <w:ind w:left="315"/>
              <w:contextualSpacing/>
              <w:rPr>
                <w:rFonts w:eastAsia="Verdana"/>
                <w:color w:val="000000"/>
              </w:rPr>
            </w:pPr>
            <w:r w:rsidRPr="007A505B">
              <w:rPr>
                <w:rFonts w:eastAsia="Verdana"/>
                <w:color w:val="000000"/>
              </w:rPr>
              <w:lastRenderedPageBreak/>
              <w:t xml:space="preserve">Participación en el encuentro sincrónico virtual con la </w:t>
            </w:r>
            <w:r w:rsidRPr="007A505B">
              <w:rPr>
                <w:rFonts w:eastAsia="Verdana"/>
                <w:color w:val="000000"/>
              </w:rPr>
              <w:lastRenderedPageBreak/>
              <w:t>persona docente para recibir asesoramiento sobre el desarrollo del producto 1.</w:t>
            </w:r>
          </w:p>
          <w:p w14:paraId="4B84456D" w14:textId="77777777" w:rsidR="007A505B" w:rsidRPr="007A505B" w:rsidRDefault="007A505B" w:rsidP="007A505B">
            <w:pPr>
              <w:numPr>
                <w:ilvl w:val="0"/>
                <w:numId w:val="205"/>
              </w:numPr>
              <w:ind w:left="315"/>
              <w:contextualSpacing/>
              <w:rPr>
                <w:rFonts w:eastAsia="Verdana"/>
                <w:color w:val="000000"/>
              </w:rPr>
            </w:pPr>
            <w:r w:rsidRPr="007A505B">
              <w:rPr>
                <w:rFonts w:eastAsia="Verdana"/>
                <w:color w:val="000000"/>
              </w:rPr>
              <w:t>Elaboración de la descripción de los subtemas.</w:t>
            </w:r>
          </w:p>
          <w:p w14:paraId="2C683A5E" w14:textId="77777777" w:rsidR="007A505B" w:rsidRPr="007A505B" w:rsidRDefault="007A505B" w:rsidP="007A505B">
            <w:pPr>
              <w:numPr>
                <w:ilvl w:val="0"/>
                <w:numId w:val="205"/>
              </w:numPr>
              <w:ind w:left="315"/>
              <w:contextualSpacing/>
              <w:rPr>
                <w:rFonts w:eastAsia="Verdana"/>
                <w:color w:val="000000"/>
              </w:rPr>
            </w:pPr>
            <w:r w:rsidRPr="007A505B">
              <w:rPr>
                <w:rFonts w:eastAsia="Verdana"/>
                <w:color w:val="000000"/>
              </w:rPr>
              <w:t>División del trabajo en el grupo.</w:t>
            </w:r>
          </w:p>
          <w:p w14:paraId="359404D6" w14:textId="77777777" w:rsidR="007A505B" w:rsidRPr="007A505B" w:rsidRDefault="007A505B" w:rsidP="007A505B">
            <w:pPr>
              <w:numPr>
                <w:ilvl w:val="0"/>
                <w:numId w:val="205"/>
              </w:numPr>
              <w:ind w:left="315"/>
              <w:contextualSpacing/>
              <w:rPr>
                <w:rFonts w:eastAsia="Verdana"/>
                <w:color w:val="000000"/>
              </w:rPr>
            </w:pPr>
            <w:r w:rsidRPr="007A505B">
              <w:rPr>
                <w:rFonts w:eastAsia="Verdana"/>
                <w:color w:val="000000"/>
              </w:rPr>
              <w:t>Elaboración del producto grupal.</w:t>
            </w:r>
          </w:p>
          <w:p w14:paraId="0A8A53AC" w14:textId="77777777" w:rsidR="007A505B" w:rsidRPr="007A505B" w:rsidRDefault="007A505B" w:rsidP="007A505B">
            <w:pPr>
              <w:numPr>
                <w:ilvl w:val="0"/>
                <w:numId w:val="205"/>
              </w:numPr>
              <w:ind w:left="315"/>
              <w:contextualSpacing/>
              <w:rPr>
                <w:rFonts w:eastAsia="Verdana"/>
                <w:color w:val="000000"/>
              </w:rPr>
            </w:pPr>
            <w:r w:rsidRPr="007A505B">
              <w:rPr>
                <w:rFonts w:eastAsia="Verdana"/>
                <w:color w:val="000000"/>
              </w:rPr>
              <w:t xml:space="preserve">Entrega del borrador del producto grupal. </w:t>
            </w:r>
          </w:p>
        </w:tc>
      </w:tr>
      <w:tr w:rsidR="007A505B" w:rsidRPr="007A505B" w14:paraId="68E950AE" w14:textId="77777777" w:rsidTr="00CE7124">
        <w:trPr>
          <w:jc w:val="center"/>
        </w:trPr>
        <w:tc>
          <w:tcPr>
            <w:tcW w:w="1144" w:type="dxa"/>
          </w:tcPr>
          <w:p w14:paraId="0079D540" w14:textId="77777777" w:rsidR="007A505B" w:rsidRPr="007A505B" w:rsidRDefault="007A505B" w:rsidP="007A505B">
            <w:pPr>
              <w:spacing w:after="3" w:line="248" w:lineRule="auto"/>
              <w:jc w:val="center"/>
              <w:rPr>
                <w:rFonts w:eastAsia="Verdana"/>
                <w:color w:val="000000"/>
              </w:rPr>
            </w:pPr>
          </w:p>
          <w:p w14:paraId="5CF6B16B"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9</w:t>
            </w:r>
          </w:p>
        </w:tc>
        <w:tc>
          <w:tcPr>
            <w:tcW w:w="2395" w:type="dxa"/>
            <w:vMerge/>
          </w:tcPr>
          <w:p w14:paraId="7F014669" w14:textId="77777777" w:rsidR="007A505B" w:rsidRPr="007A505B" w:rsidRDefault="007A505B" w:rsidP="007A505B">
            <w:pPr>
              <w:spacing w:after="3" w:line="248" w:lineRule="auto"/>
              <w:rPr>
                <w:rFonts w:eastAsia="Verdana"/>
                <w:color w:val="000000"/>
              </w:rPr>
            </w:pPr>
          </w:p>
        </w:tc>
        <w:tc>
          <w:tcPr>
            <w:tcW w:w="2977" w:type="dxa"/>
            <w:vMerge/>
          </w:tcPr>
          <w:p w14:paraId="6EF72F11" w14:textId="77777777" w:rsidR="007A505B" w:rsidRPr="007A505B" w:rsidRDefault="007A505B" w:rsidP="007A505B">
            <w:pPr>
              <w:spacing w:after="3" w:line="248" w:lineRule="auto"/>
              <w:rPr>
                <w:rFonts w:eastAsia="Verdana"/>
                <w:color w:val="000000"/>
              </w:rPr>
            </w:pPr>
          </w:p>
        </w:tc>
        <w:tc>
          <w:tcPr>
            <w:tcW w:w="3118" w:type="dxa"/>
            <w:vMerge/>
          </w:tcPr>
          <w:p w14:paraId="1BD58202" w14:textId="77777777" w:rsidR="007A505B" w:rsidRPr="007A505B" w:rsidRDefault="007A505B" w:rsidP="007A505B">
            <w:pPr>
              <w:spacing w:after="3" w:line="248" w:lineRule="auto"/>
              <w:rPr>
                <w:rFonts w:eastAsia="Verdana"/>
                <w:color w:val="000000"/>
              </w:rPr>
            </w:pPr>
          </w:p>
        </w:tc>
      </w:tr>
      <w:tr w:rsidR="007A505B" w:rsidRPr="007A505B" w14:paraId="2FA99623" w14:textId="77777777" w:rsidTr="00CE7124">
        <w:trPr>
          <w:trHeight w:val="1661"/>
          <w:jc w:val="center"/>
        </w:trPr>
        <w:tc>
          <w:tcPr>
            <w:tcW w:w="1144" w:type="dxa"/>
          </w:tcPr>
          <w:p w14:paraId="59C907C3" w14:textId="77777777" w:rsidR="007A505B" w:rsidRPr="007A505B" w:rsidRDefault="007A505B" w:rsidP="007A505B">
            <w:pPr>
              <w:spacing w:after="3" w:line="248" w:lineRule="auto"/>
              <w:jc w:val="center"/>
              <w:rPr>
                <w:rFonts w:eastAsia="Verdana"/>
                <w:color w:val="000000"/>
              </w:rPr>
            </w:pPr>
          </w:p>
          <w:p w14:paraId="103BBAE7"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10</w:t>
            </w:r>
          </w:p>
          <w:p w14:paraId="5E7DFB72" w14:textId="77777777" w:rsidR="007A505B" w:rsidRPr="007A505B" w:rsidRDefault="007A505B" w:rsidP="007A505B">
            <w:pPr>
              <w:spacing w:after="3" w:line="248" w:lineRule="auto"/>
              <w:jc w:val="center"/>
              <w:rPr>
                <w:rFonts w:eastAsia="Verdana"/>
                <w:color w:val="000000"/>
              </w:rPr>
            </w:pPr>
          </w:p>
          <w:p w14:paraId="222421DA" w14:textId="77777777" w:rsidR="007A505B" w:rsidRPr="007A505B" w:rsidRDefault="007A505B" w:rsidP="007A505B">
            <w:pPr>
              <w:spacing w:after="3" w:line="248" w:lineRule="auto"/>
              <w:jc w:val="center"/>
              <w:rPr>
                <w:rFonts w:eastAsia="Verdana"/>
                <w:color w:val="000000"/>
              </w:rPr>
            </w:pPr>
          </w:p>
          <w:p w14:paraId="5F336F13" w14:textId="77777777" w:rsidR="007A505B" w:rsidRPr="007A505B" w:rsidRDefault="007A505B" w:rsidP="007A505B">
            <w:pPr>
              <w:spacing w:after="3" w:line="248" w:lineRule="auto"/>
              <w:rPr>
                <w:rFonts w:eastAsia="Verdana"/>
                <w:color w:val="000000"/>
              </w:rPr>
            </w:pPr>
          </w:p>
          <w:p w14:paraId="533925A9" w14:textId="77777777" w:rsidR="007A505B" w:rsidRPr="007A505B" w:rsidRDefault="007A505B" w:rsidP="007A505B">
            <w:pPr>
              <w:spacing w:after="3" w:line="248" w:lineRule="auto"/>
              <w:jc w:val="center"/>
              <w:rPr>
                <w:rFonts w:eastAsia="Verdana"/>
                <w:color w:val="000000"/>
              </w:rPr>
            </w:pPr>
          </w:p>
        </w:tc>
        <w:tc>
          <w:tcPr>
            <w:tcW w:w="2395" w:type="dxa"/>
            <w:vMerge w:val="restart"/>
          </w:tcPr>
          <w:p w14:paraId="5266A49A"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t>Unidad 5: Desarrollo del producto 2 (individual)</w:t>
            </w:r>
          </w:p>
          <w:p w14:paraId="46C58A7A" w14:textId="77777777" w:rsidR="007A505B" w:rsidRPr="007A505B" w:rsidRDefault="007A505B" w:rsidP="007A505B">
            <w:pPr>
              <w:spacing w:after="3" w:line="248" w:lineRule="auto"/>
              <w:rPr>
                <w:rFonts w:eastAsia="Verdana"/>
                <w:b/>
                <w:bCs/>
                <w:color w:val="000000"/>
              </w:rPr>
            </w:pPr>
          </w:p>
          <w:p w14:paraId="235E3EB1" w14:textId="77777777" w:rsidR="007A505B" w:rsidRPr="007A505B" w:rsidRDefault="007A505B" w:rsidP="007A505B">
            <w:pPr>
              <w:spacing w:after="3" w:line="248" w:lineRule="auto"/>
              <w:rPr>
                <w:rFonts w:eastAsia="Verdana"/>
                <w:color w:val="000000"/>
              </w:rPr>
            </w:pPr>
            <w:r w:rsidRPr="007A505B">
              <w:rPr>
                <w:rFonts w:eastAsia="Verdana"/>
                <w:color w:val="000000"/>
              </w:rPr>
              <w:t xml:space="preserve">5.1 Escogencia del producto 2 </w:t>
            </w:r>
          </w:p>
          <w:p w14:paraId="7197D401" w14:textId="77777777" w:rsidR="007A505B" w:rsidRPr="007A505B" w:rsidRDefault="007A505B" w:rsidP="007A505B">
            <w:pPr>
              <w:spacing w:after="3" w:line="248" w:lineRule="auto"/>
              <w:rPr>
                <w:rFonts w:eastAsia="Verdana"/>
                <w:color w:val="000000"/>
              </w:rPr>
            </w:pPr>
          </w:p>
          <w:p w14:paraId="68AD240B" w14:textId="77777777" w:rsidR="007A505B" w:rsidRPr="007A505B" w:rsidRDefault="007A505B" w:rsidP="007A505B">
            <w:pPr>
              <w:spacing w:after="3" w:line="248" w:lineRule="auto"/>
              <w:rPr>
                <w:rFonts w:eastAsia="Verdana"/>
                <w:color w:val="000000"/>
              </w:rPr>
            </w:pPr>
            <w:r w:rsidRPr="007A505B">
              <w:rPr>
                <w:rFonts w:eastAsia="Verdana"/>
                <w:color w:val="000000"/>
              </w:rPr>
              <w:t>5.2 Acopio de fuentes</w:t>
            </w:r>
          </w:p>
          <w:p w14:paraId="554CB999" w14:textId="77777777" w:rsidR="007A505B" w:rsidRPr="007A505B" w:rsidRDefault="007A505B" w:rsidP="007A505B">
            <w:pPr>
              <w:spacing w:after="3" w:line="248" w:lineRule="auto"/>
              <w:rPr>
                <w:rFonts w:eastAsia="Verdana"/>
                <w:color w:val="000000"/>
              </w:rPr>
            </w:pPr>
          </w:p>
          <w:p w14:paraId="7B79093B" w14:textId="77777777" w:rsidR="007A505B" w:rsidRPr="007A505B" w:rsidRDefault="007A505B" w:rsidP="007A505B">
            <w:pPr>
              <w:spacing w:after="3" w:line="248" w:lineRule="auto"/>
              <w:rPr>
                <w:rFonts w:eastAsia="Verdana"/>
                <w:color w:val="000000"/>
              </w:rPr>
            </w:pPr>
            <w:r w:rsidRPr="007A505B">
              <w:rPr>
                <w:rFonts w:eastAsia="Verdana"/>
                <w:color w:val="000000"/>
              </w:rPr>
              <w:t>5.3 Proceso de integración de investigación del producto 1</w:t>
            </w:r>
          </w:p>
          <w:p w14:paraId="6D6416CA" w14:textId="77777777" w:rsidR="007A505B" w:rsidRPr="007A505B" w:rsidRDefault="007A505B" w:rsidP="007A505B">
            <w:pPr>
              <w:spacing w:after="3" w:line="248" w:lineRule="auto"/>
              <w:rPr>
                <w:rFonts w:eastAsia="Verdana"/>
                <w:color w:val="000000"/>
              </w:rPr>
            </w:pPr>
          </w:p>
          <w:p w14:paraId="33CB350D" w14:textId="77777777" w:rsidR="007A505B" w:rsidRPr="007A505B" w:rsidRDefault="007A505B" w:rsidP="007A505B">
            <w:pPr>
              <w:spacing w:after="3" w:line="248" w:lineRule="auto"/>
              <w:rPr>
                <w:rFonts w:eastAsia="Verdana"/>
                <w:color w:val="000000"/>
              </w:rPr>
            </w:pPr>
            <w:r w:rsidRPr="007A505B">
              <w:rPr>
                <w:rFonts w:eastAsia="Verdana"/>
                <w:color w:val="000000"/>
              </w:rPr>
              <w:t>5.4 Revisión docente preliminar</w:t>
            </w:r>
          </w:p>
          <w:p w14:paraId="15BEFC55" w14:textId="77777777" w:rsidR="007A505B" w:rsidRPr="007A505B" w:rsidRDefault="007A505B" w:rsidP="007A505B">
            <w:pPr>
              <w:spacing w:after="3" w:line="248" w:lineRule="auto"/>
              <w:rPr>
                <w:rFonts w:eastAsia="Verdana"/>
                <w:color w:val="000000"/>
              </w:rPr>
            </w:pPr>
          </w:p>
          <w:p w14:paraId="51066015" w14:textId="61B22B5C" w:rsidR="007A505B" w:rsidRPr="007A505B" w:rsidRDefault="007A505B" w:rsidP="00D46FEB">
            <w:pPr>
              <w:spacing w:after="3" w:line="248" w:lineRule="auto"/>
              <w:rPr>
                <w:rFonts w:eastAsia="Verdana"/>
                <w:color w:val="000000"/>
              </w:rPr>
            </w:pPr>
            <w:r w:rsidRPr="007A505B">
              <w:rPr>
                <w:rFonts w:eastAsia="Verdana"/>
                <w:color w:val="000000"/>
              </w:rPr>
              <w:t>5.5 Presentación final</w:t>
            </w:r>
          </w:p>
        </w:tc>
        <w:tc>
          <w:tcPr>
            <w:tcW w:w="2977" w:type="dxa"/>
            <w:vMerge w:val="restart"/>
          </w:tcPr>
          <w:p w14:paraId="7CA0F0C6" w14:textId="77777777" w:rsidR="007A505B" w:rsidRPr="007A505B" w:rsidRDefault="007A505B" w:rsidP="007A505B">
            <w:pPr>
              <w:spacing w:after="3" w:line="248" w:lineRule="auto"/>
              <w:rPr>
                <w:rFonts w:eastAsia="Verdana"/>
                <w:color w:val="000000"/>
              </w:rPr>
            </w:pPr>
            <w:r w:rsidRPr="007A505B">
              <w:rPr>
                <w:rFonts w:eastAsia="Arial"/>
                <w:color w:val="000000"/>
              </w:rPr>
              <w:t xml:space="preserve">Ulate Sánchez, Rosita y Rubén Ortiz Vega. “De la investigación a un artículo científico”. En </w:t>
            </w:r>
            <w:r w:rsidRPr="007A505B">
              <w:rPr>
                <w:rFonts w:eastAsia="Arial"/>
                <w:i/>
                <w:color w:val="000000"/>
              </w:rPr>
              <w:t>Acompañamiento práctico al proyecto de graduación</w:t>
            </w:r>
            <w:r w:rsidRPr="007A505B">
              <w:rPr>
                <w:rFonts w:eastAsia="Arial"/>
                <w:iCs/>
                <w:color w:val="000000"/>
              </w:rPr>
              <w:t>, 251-258.</w:t>
            </w:r>
            <w:r w:rsidRPr="007A505B">
              <w:rPr>
                <w:rFonts w:eastAsia="Arial"/>
                <w:i/>
                <w:color w:val="000000"/>
              </w:rPr>
              <w:t xml:space="preserve"> </w:t>
            </w:r>
            <w:r w:rsidRPr="007A505B">
              <w:rPr>
                <w:rFonts w:eastAsia="Arial"/>
                <w:color w:val="000000"/>
              </w:rPr>
              <w:t>San José, Costa Rica: EUNED, 2016.</w:t>
            </w:r>
            <w:r w:rsidRPr="007A505B">
              <w:rPr>
                <w:rFonts w:eastAsia="Arial"/>
                <w:color w:val="0070C0"/>
              </w:rPr>
              <w:t xml:space="preserve"> (clásico, última edición)</w:t>
            </w:r>
          </w:p>
        </w:tc>
        <w:tc>
          <w:tcPr>
            <w:tcW w:w="3118" w:type="dxa"/>
            <w:vMerge w:val="restart"/>
          </w:tcPr>
          <w:p w14:paraId="4541D264" w14:textId="77777777" w:rsidR="007A505B" w:rsidRPr="007A505B" w:rsidRDefault="007A505B" w:rsidP="007A505B">
            <w:pPr>
              <w:numPr>
                <w:ilvl w:val="0"/>
                <w:numId w:val="206"/>
              </w:numPr>
              <w:ind w:left="315"/>
              <w:contextualSpacing/>
              <w:rPr>
                <w:rFonts w:eastAsia="Verdana"/>
                <w:color w:val="000000"/>
              </w:rPr>
            </w:pPr>
            <w:r w:rsidRPr="007A505B">
              <w:rPr>
                <w:rFonts w:eastAsia="Verdana"/>
                <w:color w:val="000000"/>
              </w:rPr>
              <w:t>Participación en el encuentro sincrónico virtual (general) con la persona docente para recibir asesoramiento sobre el desarrollo del producto 2.</w:t>
            </w:r>
          </w:p>
          <w:p w14:paraId="093126EA" w14:textId="77777777" w:rsidR="007A505B" w:rsidRPr="007A505B" w:rsidRDefault="007A505B" w:rsidP="007A505B">
            <w:pPr>
              <w:numPr>
                <w:ilvl w:val="0"/>
                <w:numId w:val="206"/>
              </w:numPr>
              <w:ind w:left="315"/>
              <w:contextualSpacing/>
              <w:rPr>
                <w:rFonts w:eastAsia="Verdana"/>
                <w:color w:val="000000"/>
              </w:rPr>
            </w:pPr>
            <w:r w:rsidRPr="007A505B">
              <w:rPr>
                <w:rFonts w:eastAsia="Verdana"/>
                <w:color w:val="000000"/>
              </w:rPr>
              <w:t>Entrega de propuestas y fuentes para el producto individual.</w:t>
            </w:r>
          </w:p>
          <w:p w14:paraId="3DAE97A7" w14:textId="77777777" w:rsidR="007A505B" w:rsidRPr="007A505B" w:rsidRDefault="007A505B" w:rsidP="007A505B">
            <w:pPr>
              <w:numPr>
                <w:ilvl w:val="0"/>
                <w:numId w:val="206"/>
              </w:numPr>
              <w:ind w:left="315"/>
              <w:contextualSpacing/>
              <w:rPr>
                <w:rFonts w:eastAsia="Verdana"/>
                <w:color w:val="000000"/>
              </w:rPr>
            </w:pPr>
            <w:r w:rsidRPr="007A505B">
              <w:rPr>
                <w:rFonts w:eastAsia="Verdana"/>
                <w:color w:val="000000"/>
              </w:rPr>
              <w:t xml:space="preserve">Participación en el encuentro sincrónico virtual (individual) con la persona docente para recibir asesoramiento sobre la integración del producto grupal. </w:t>
            </w:r>
          </w:p>
          <w:p w14:paraId="6DFCC7CB" w14:textId="77777777" w:rsidR="007A505B" w:rsidRPr="007A505B" w:rsidRDefault="007A505B" w:rsidP="007A505B">
            <w:pPr>
              <w:numPr>
                <w:ilvl w:val="0"/>
                <w:numId w:val="206"/>
              </w:numPr>
              <w:ind w:left="315"/>
              <w:contextualSpacing/>
              <w:rPr>
                <w:rFonts w:eastAsia="Verdana"/>
                <w:color w:val="000000"/>
              </w:rPr>
            </w:pPr>
            <w:r w:rsidRPr="007A505B">
              <w:rPr>
                <w:rFonts w:eastAsia="Verdana"/>
                <w:color w:val="000000"/>
              </w:rPr>
              <w:t>Elaboración del producto individual e integración con la investigación del producto grupal.</w:t>
            </w:r>
          </w:p>
          <w:p w14:paraId="1589A6B1" w14:textId="77777777" w:rsidR="007A505B" w:rsidRPr="007A505B" w:rsidRDefault="007A505B" w:rsidP="007A505B">
            <w:pPr>
              <w:numPr>
                <w:ilvl w:val="0"/>
                <w:numId w:val="206"/>
              </w:numPr>
              <w:ind w:left="315"/>
              <w:contextualSpacing/>
              <w:rPr>
                <w:rFonts w:eastAsia="Verdana"/>
                <w:color w:val="000000"/>
              </w:rPr>
            </w:pPr>
            <w:r w:rsidRPr="007A505B">
              <w:rPr>
                <w:rFonts w:eastAsia="Verdana"/>
                <w:color w:val="000000"/>
              </w:rPr>
              <w:t>Entrega del borrador del producto individual.</w:t>
            </w:r>
          </w:p>
          <w:p w14:paraId="5CCC9629" w14:textId="77777777" w:rsidR="007A505B" w:rsidRPr="007A505B" w:rsidRDefault="007A505B" w:rsidP="007A505B">
            <w:pPr>
              <w:spacing w:after="3" w:line="248" w:lineRule="auto"/>
              <w:ind w:left="315"/>
              <w:contextualSpacing/>
              <w:rPr>
                <w:rFonts w:eastAsia="Verdana"/>
                <w:color w:val="000000"/>
              </w:rPr>
            </w:pPr>
          </w:p>
        </w:tc>
      </w:tr>
      <w:tr w:rsidR="007A505B" w:rsidRPr="007A505B" w14:paraId="273284C5" w14:textId="77777777" w:rsidTr="00CE7124">
        <w:trPr>
          <w:jc w:val="center"/>
        </w:trPr>
        <w:tc>
          <w:tcPr>
            <w:tcW w:w="1144" w:type="dxa"/>
          </w:tcPr>
          <w:p w14:paraId="17F17E21" w14:textId="77777777" w:rsidR="007A505B" w:rsidRPr="007A505B" w:rsidRDefault="007A505B" w:rsidP="007A505B">
            <w:pPr>
              <w:spacing w:after="3" w:line="248" w:lineRule="auto"/>
              <w:jc w:val="center"/>
              <w:rPr>
                <w:rFonts w:eastAsia="Verdana"/>
                <w:color w:val="000000"/>
              </w:rPr>
            </w:pPr>
          </w:p>
          <w:p w14:paraId="2680816B"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11</w:t>
            </w:r>
          </w:p>
          <w:p w14:paraId="2AF1C003" w14:textId="77777777" w:rsidR="007A505B" w:rsidRPr="007A505B" w:rsidRDefault="007A505B" w:rsidP="007A505B">
            <w:pPr>
              <w:spacing w:after="3" w:line="248" w:lineRule="auto"/>
              <w:jc w:val="center"/>
              <w:rPr>
                <w:rFonts w:eastAsia="Verdana"/>
                <w:color w:val="000000"/>
              </w:rPr>
            </w:pPr>
          </w:p>
          <w:p w14:paraId="175FFA46" w14:textId="77777777" w:rsidR="007A505B" w:rsidRPr="007A505B" w:rsidRDefault="007A505B" w:rsidP="007A505B">
            <w:pPr>
              <w:spacing w:after="3" w:line="248" w:lineRule="auto"/>
              <w:jc w:val="center"/>
              <w:rPr>
                <w:rFonts w:eastAsia="Verdana"/>
                <w:color w:val="000000"/>
              </w:rPr>
            </w:pPr>
          </w:p>
          <w:p w14:paraId="58111855" w14:textId="77777777" w:rsidR="007A505B" w:rsidRPr="007A505B" w:rsidRDefault="007A505B" w:rsidP="007A505B">
            <w:pPr>
              <w:spacing w:after="3" w:line="248" w:lineRule="auto"/>
              <w:jc w:val="center"/>
              <w:rPr>
                <w:rFonts w:eastAsia="Verdana"/>
                <w:color w:val="000000"/>
              </w:rPr>
            </w:pPr>
          </w:p>
          <w:p w14:paraId="22DF6AF8" w14:textId="77777777" w:rsidR="007A505B" w:rsidRPr="007A505B" w:rsidRDefault="007A505B" w:rsidP="007A505B">
            <w:pPr>
              <w:spacing w:after="3" w:line="248" w:lineRule="auto"/>
              <w:rPr>
                <w:rFonts w:eastAsia="Verdana"/>
                <w:color w:val="000000"/>
              </w:rPr>
            </w:pPr>
          </w:p>
        </w:tc>
        <w:tc>
          <w:tcPr>
            <w:tcW w:w="2395" w:type="dxa"/>
            <w:vMerge/>
          </w:tcPr>
          <w:p w14:paraId="701769C2" w14:textId="77777777" w:rsidR="007A505B" w:rsidRPr="007A505B" w:rsidRDefault="007A505B" w:rsidP="007A505B">
            <w:pPr>
              <w:spacing w:after="3" w:line="248" w:lineRule="auto"/>
              <w:rPr>
                <w:rFonts w:eastAsia="Verdana"/>
                <w:color w:val="000000"/>
              </w:rPr>
            </w:pPr>
          </w:p>
        </w:tc>
        <w:tc>
          <w:tcPr>
            <w:tcW w:w="2977" w:type="dxa"/>
            <w:vMerge/>
          </w:tcPr>
          <w:p w14:paraId="4D41241F" w14:textId="77777777" w:rsidR="007A505B" w:rsidRPr="007A505B" w:rsidRDefault="007A505B" w:rsidP="007A505B">
            <w:pPr>
              <w:spacing w:after="3" w:line="248" w:lineRule="auto"/>
              <w:rPr>
                <w:rFonts w:eastAsia="Verdana"/>
                <w:color w:val="000000"/>
              </w:rPr>
            </w:pPr>
          </w:p>
        </w:tc>
        <w:tc>
          <w:tcPr>
            <w:tcW w:w="3118" w:type="dxa"/>
            <w:vMerge/>
          </w:tcPr>
          <w:p w14:paraId="5713A1C9" w14:textId="77777777" w:rsidR="007A505B" w:rsidRPr="007A505B" w:rsidRDefault="007A505B" w:rsidP="007A505B">
            <w:pPr>
              <w:spacing w:after="3" w:line="248" w:lineRule="auto"/>
              <w:rPr>
                <w:rFonts w:eastAsia="Verdana"/>
                <w:color w:val="000000"/>
              </w:rPr>
            </w:pPr>
          </w:p>
        </w:tc>
      </w:tr>
      <w:tr w:rsidR="007A505B" w:rsidRPr="007A505B" w14:paraId="37F0A978" w14:textId="77777777" w:rsidTr="00CE7124">
        <w:trPr>
          <w:jc w:val="center"/>
        </w:trPr>
        <w:tc>
          <w:tcPr>
            <w:tcW w:w="1144" w:type="dxa"/>
          </w:tcPr>
          <w:p w14:paraId="581C50DB" w14:textId="77777777" w:rsidR="007A505B" w:rsidRPr="007A505B" w:rsidRDefault="007A505B" w:rsidP="007A505B">
            <w:pPr>
              <w:spacing w:after="3" w:line="248" w:lineRule="auto"/>
              <w:jc w:val="center"/>
              <w:rPr>
                <w:rFonts w:eastAsia="Verdana"/>
                <w:color w:val="000000"/>
              </w:rPr>
            </w:pPr>
          </w:p>
          <w:p w14:paraId="5156D2D9"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12</w:t>
            </w:r>
          </w:p>
        </w:tc>
        <w:tc>
          <w:tcPr>
            <w:tcW w:w="2395" w:type="dxa"/>
            <w:vMerge/>
          </w:tcPr>
          <w:p w14:paraId="0AE3C140" w14:textId="77777777" w:rsidR="007A505B" w:rsidRPr="007A505B" w:rsidRDefault="007A505B" w:rsidP="007A505B">
            <w:pPr>
              <w:spacing w:after="3" w:line="248" w:lineRule="auto"/>
              <w:rPr>
                <w:rFonts w:eastAsia="Verdana"/>
                <w:color w:val="000000"/>
              </w:rPr>
            </w:pPr>
          </w:p>
        </w:tc>
        <w:tc>
          <w:tcPr>
            <w:tcW w:w="2977" w:type="dxa"/>
            <w:vMerge/>
          </w:tcPr>
          <w:p w14:paraId="5E7975BC" w14:textId="77777777" w:rsidR="007A505B" w:rsidRPr="007A505B" w:rsidRDefault="007A505B" w:rsidP="007A505B">
            <w:pPr>
              <w:spacing w:after="3" w:line="248" w:lineRule="auto"/>
              <w:rPr>
                <w:rFonts w:eastAsia="Verdana"/>
                <w:color w:val="000000"/>
              </w:rPr>
            </w:pPr>
          </w:p>
        </w:tc>
        <w:tc>
          <w:tcPr>
            <w:tcW w:w="3118" w:type="dxa"/>
            <w:vMerge/>
          </w:tcPr>
          <w:p w14:paraId="74A6A40E" w14:textId="77777777" w:rsidR="007A505B" w:rsidRPr="007A505B" w:rsidRDefault="007A505B" w:rsidP="007A505B">
            <w:pPr>
              <w:spacing w:after="3" w:line="248" w:lineRule="auto"/>
              <w:rPr>
                <w:rFonts w:eastAsia="Verdana"/>
                <w:color w:val="000000"/>
              </w:rPr>
            </w:pPr>
          </w:p>
        </w:tc>
      </w:tr>
      <w:tr w:rsidR="007A505B" w:rsidRPr="007A505B" w14:paraId="615932F5" w14:textId="77777777" w:rsidTr="00CE7124">
        <w:trPr>
          <w:jc w:val="center"/>
        </w:trPr>
        <w:tc>
          <w:tcPr>
            <w:tcW w:w="1144" w:type="dxa"/>
          </w:tcPr>
          <w:p w14:paraId="26A22827" w14:textId="77777777" w:rsidR="007A505B" w:rsidRPr="007A505B" w:rsidRDefault="007A505B" w:rsidP="007A505B">
            <w:pPr>
              <w:spacing w:after="3" w:line="248" w:lineRule="auto"/>
              <w:jc w:val="center"/>
              <w:rPr>
                <w:rFonts w:eastAsia="Verdana"/>
                <w:color w:val="000000"/>
              </w:rPr>
            </w:pPr>
          </w:p>
          <w:p w14:paraId="35EB258D"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13</w:t>
            </w:r>
          </w:p>
          <w:p w14:paraId="190C73B5" w14:textId="77777777" w:rsidR="007A505B" w:rsidRPr="007A505B" w:rsidRDefault="007A505B" w:rsidP="007A505B">
            <w:pPr>
              <w:spacing w:after="3" w:line="248" w:lineRule="auto"/>
              <w:jc w:val="center"/>
              <w:rPr>
                <w:rFonts w:eastAsia="Verdana"/>
                <w:color w:val="000000"/>
              </w:rPr>
            </w:pPr>
          </w:p>
          <w:p w14:paraId="0DBFA64C" w14:textId="77777777" w:rsidR="007A505B" w:rsidRPr="007A505B" w:rsidRDefault="007A505B" w:rsidP="007A505B">
            <w:pPr>
              <w:spacing w:after="3" w:line="248" w:lineRule="auto"/>
              <w:jc w:val="center"/>
              <w:rPr>
                <w:rFonts w:eastAsia="Verdana"/>
                <w:color w:val="000000"/>
              </w:rPr>
            </w:pPr>
          </w:p>
          <w:p w14:paraId="0C5B664A" w14:textId="77777777" w:rsidR="007A505B" w:rsidRPr="007A505B" w:rsidRDefault="007A505B" w:rsidP="007A505B">
            <w:pPr>
              <w:spacing w:after="3" w:line="248" w:lineRule="auto"/>
              <w:rPr>
                <w:rFonts w:eastAsia="Verdana"/>
                <w:color w:val="000000"/>
              </w:rPr>
            </w:pPr>
          </w:p>
        </w:tc>
        <w:tc>
          <w:tcPr>
            <w:tcW w:w="2395" w:type="dxa"/>
            <w:vMerge w:val="restart"/>
          </w:tcPr>
          <w:p w14:paraId="296FCC99" w14:textId="77777777" w:rsidR="007A505B" w:rsidRPr="007A505B" w:rsidRDefault="007A505B" w:rsidP="007A505B">
            <w:pPr>
              <w:spacing w:after="3" w:line="248" w:lineRule="auto"/>
              <w:rPr>
                <w:rFonts w:eastAsia="Verdana"/>
                <w:b/>
                <w:bCs/>
                <w:color w:val="000000"/>
              </w:rPr>
            </w:pPr>
            <w:r w:rsidRPr="007A505B">
              <w:rPr>
                <w:rFonts w:eastAsia="Verdana"/>
                <w:b/>
                <w:bCs/>
                <w:color w:val="000000"/>
              </w:rPr>
              <w:t>Unidad 6: Entrega final de los productos del SG</w:t>
            </w:r>
          </w:p>
          <w:p w14:paraId="4108C766" w14:textId="77777777" w:rsidR="007A505B" w:rsidRPr="007A505B" w:rsidRDefault="007A505B" w:rsidP="007A505B">
            <w:pPr>
              <w:spacing w:after="3" w:line="248" w:lineRule="auto"/>
              <w:rPr>
                <w:rFonts w:eastAsia="Verdana"/>
                <w:b/>
                <w:bCs/>
                <w:color w:val="000000"/>
              </w:rPr>
            </w:pPr>
          </w:p>
          <w:p w14:paraId="08D66847" w14:textId="77777777" w:rsidR="007A505B" w:rsidRPr="007A505B" w:rsidRDefault="007A505B" w:rsidP="007A505B">
            <w:pPr>
              <w:spacing w:after="3" w:line="248" w:lineRule="auto"/>
              <w:rPr>
                <w:rFonts w:eastAsia="Verdana"/>
                <w:color w:val="000000"/>
              </w:rPr>
            </w:pPr>
            <w:r w:rsidRPr="007A505B">
              <w:rPr>
                <w:rFonts w:eastAsia="Verdana"/>
                <w:color w:val="000000"/>
              </w:rPr>
              <w:t>6.1 Revisión y entrega del producto final grupal</w:t>
            </w:r>
          </w:p>
          <w:p w14:paraId="246B2591" w14:textId="77777777" w:rsidR="007A505B" w:rsidRPr="007A505B" w:rsidRDefault="007A505B" w:rsidP="007A505B">
            <w:pPr>
              <w:spacing w:after="3" w:line="248" w:lineRule="auto"/>
              <w:rPr>
                <w:rFonts w:eastAsia="Verdana"/>
                <w:color w:val="000000"/>
              </w:rPr>
            </w:pPr>
          </w:p>
          <w:p w14:paraId="3D8CE0E0" w14:textId="77777777" w:rsidR="007A505B" w:rsidRPr="007A505B" w:rsidRDefault="007A505B" w:rsidP="007A505B">
            <w:pPr>
              <w:spacing w:after="3" w:line="248" w:lineRule="auto"/>
              <w:rPr>
                <w:rFonts w:eastAsia="Verdana"/>
                <w:color w:val="000000"/>
              </w:rPr>
            </w:pPr>
            <w:r w:rsidRPr="007A505B">
              <w:rPr>
                <w:rFonts w:eastAsia="Verdana"/>
                <w:color w:val="000000"/>
              </w:rPr>
              <w:t>6.2 Revisión y entrega del producto final individual</w:t>
            </w:r>
          </w:p>
          <w:p w14:paraId="609BC9DD" w14:textId="77777777" w:rsidR="007A505B" w:rsidRPr="007A505B" w:rsidRDefault="007A505B" w:rsidP="007A505B">
            <w:pPr>
              <w:spacing w:after="3" w:line="248" w:lineRule="auto"/>
              <w:rPr>
                <w:rFonts w:eastAsia="Verdana"/>
                <w:color w:val="000000"/>
              </w:rPr>
            </w:pPr>
          </w:p>
        </w:tc>
        <w:tc>
          <w:tcPr>
            <w:tcW w:w="2977" w:type="dxa"/>
            <w:vMerge w:val="restart"/>
          </w:tcPr>
          <w:p w14:paraId="539C10FB" w14:textId="77777777" w:rsidR="007A505B" w:rsidRPr="007A505B" w:rsidRDefault="007A505B" w:rsidP="007A505B">
            <w:pPr>
              <w:spacing w:after="3" w:line="248" w:lineRule="auto"/>
              <w:rPr>
                <w:rFonts w:eastAsia="Verdana"/>
                <w:color w:val="000000"/>
              </w:rPr>
            </w:pPr>
          </w:p>
        </w:tc>
        <w:tc>
          <w:tcPr>
            <w:tcW w:w="3118" w:type="dxa"/>
            <w:vMerge w:val="restart"/>
          </w:tcPr>
          <w:p w14:paraId="25444407" w14:textId="77777777" w:rsidR="007A505B" w:rsidRPr="007A505B" w:rsidRDefault="007A505B" w:rsidP="007A505B">
            <w:pPr>
              <w:numPr>
                <w:ilvl w:val="0"/>
                <w:numId w:val="207"/>
              </w:numPr>
              <w:ind w:left="315"/>
              <w:contextualSpacing/>
              <w:rPr>
                <w:rFonts w:eastAsia="Verdana"/>
                <w:color w:val="000000"/>
              </w:rPr>
            </w:pPr>
            <w:r w:rsidRPr="007A505B">
              <w:rPr>
                <w:rFonts w:eastAsia="Verdana"/>
                <w:color w:val="000000"/>
              </w:rPr>
              <w:t>Revisión y entrega del producto final grupal.</w:t>
            </w:r>
          </w:p>
          <w:p w14:paraId="46F28806" w14:textId="77777777" w:rsidR="007A505B" w:rsidRPr="007A505B" w:rsidRDefault="007A505B" w:rsidP="007A505B">
            <w:pPr>
              <w:numPr>
                <w:ilvl w:val="0"/>
                <w:numId w:val="207"/>
              </w:numPr>
              <w:ind w:left="315"/>
              <w:contextualSpacing/>
              <w:rPr>
                <w:rFonts w:eastAsia="Verdana"/>
                <w:color w:val="000000"/>
              </w:rPr>
            </w:pPr>
            <w:r w:rsidRPr="007A505B">
              <w:rPr>
                <w:rFonts w:eastAsia="Verdana"/>
                <w:color w:val="000000"/>
              </w:rPr>
              <w:t xml:space="preserve">Revisión y entrega del producto final individual. </w:t>
            </w:r>
          </w:p>
        </w:tc>
      </w:tr>
      <w:tr w:rsidR="007A505B" w:rsidRPr="007A505B" w14:paraId="0A2BB1A9" w14:textId="77777777" w:rsidTr="00CE7124">
        <w:trPr>
          <w:trHeight w:val="1305"/>
          <w:jc w:val="center"/>
        </w:trPr>
        <w:tc>
          <w:tcPr>
            <w:tcW w:w="1144" w:type="dxa"/>
          </w:tcPr>
          <w:p w14:paraId="3604C69C" w14:textId="77777777" w:rsidR="007A505B" w:rsidRPr="007A505B" w:rsidRDefault="007A505B" w:rsidP="007A505B">
            <w:pPr>
              <w:spacing w:after="3" w:line="248" w:lineRule="auto"/>
              <w:jc w:val="center"/>
              <w:rPr>
                <w:rFonts w:eastAsia="Verdana"/>
                <w:color w:val="000000"/>
              </w:rPr>
            </w:pPr>
          </w:p>
          <w:p w14:paraId="70440DD5"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14</w:t>
            </w:r>
          </w:p>
          <w:p w14:paraId="7DD3A94C" w14:textId="77777777" w:rsidR="007A505B" w:rsidRPr="007A505B" w:rsidRDefault="007A505B" w:rsidP="007A505B">
            <w:pPr>
              <w:spacing w:after="3" w:line="248" w:lineRule="auto"/>
              <w:jc w:val="center"/>
              <w:rPr>
                <w:rFonts w:eastAsia="Verdana"/>
                <w:color w:val="000000"/>
              </w:rPr>
            </w:pPr>
          </w:p>
          <w:p w14:paraId="3C12D1CE" w14:textId="77777777" w:rsidR="007A505B" w:rsidRPr="007A505B" w:rsidRDefault="007A505B" w:rsidP="007A505B">
            <w:pPr>
              <w:spacing w:after="3" w:line="248" w:lineRule="auto"/>
              <w:rPr>
                <w:rFonts w:eastAsia="Verdana"/>
                <w:color w:val="000000"/>
              </w:rPr>
            </w:pPr>
          </w:p>
          <w:p w14:paraId="390795CA" w14:textId="77777777" w:rsidR="007A505B" w:rsidRPr="007A505B" w:rsidRDefault="007A505B" w:rsidP="007A505B">
            <w:pPr>
              <w:spacing w:after="3" w:line="248" w:lineRule="auto"/>
              <w:jc w:val="center"/>
              <w:rPr>
                <w:rFonts w:eastAsia="Verdana"/>
                <w:color w:val="000000"/>
              </w:rPr>
            </w:pPr>
          </w:p>
        </w:tc>
        <w:tc>
          <w:tcPr>
            <w:tcW w:w="2395" w:type="dxa"/>
            <w:vMerge/>
          </w:tcPr>
          <w:p w14:paraId="730A4AEF" w14:textId="77777777" w:rsidR="007A505B" w:rsidRPr="007A505B" w:rsidRDefault="007A505B" w:rsidP="007A505B">
            <w:pPr>
              <w:spacing w:after="3" w:line="248" w:lineRule="auto"/>
              <w:rPr>
                <w:rFonts w:eastAsia="Verdana"/>
                <w:color w:val="000000"/>
              </w:rPr>
            </w:pPr>
          </w:p>
        </w:tc>
        <w:tc>
          <w:tcPr>
            <w:tcW w:w="2977" w:type="dxa"/>
            <w:vMerge/>
          </w:tcPr>
          <w:p w14:paraId="6CE9A9E2" w14:textId="77777777" w:rsidR="007A505B" w:rsidRPr="007A505B" w:rsidRDefault="007A505B" w:rsidP="007A505B">
            <w:pPr>
              <w:spacing w:after="3" w:line="248" w:lineRule="auto"/>
              <w:rPr>
                <w:rFonts w:eastAsia="Verdana"/>
                <w:color w:val="000000"/>
              </w:rPr>
            </w:pPr>
          </w:p>
        </w:tc>
        <w:tc>
          <w:tcPr>
            <w:tcW w:w="3118" w:type="dxa"/>
            <w:vMerge/>
          </w:tcPr>
          <w:p w14:paraId="5B273511" w14:textId="77777777" w:rsidR="007A505B" w:rsidRPr="007A505B" w:rsidRDefault="007A505B" w:rsidP="007A505B">
            <w:pPr>
              <w:spacing w:after="3" w:line="248" w:lineRule="auto"/>
              <w:rPr>
                <w:rFonts w:eastAsia="Verdana"/>
                <w:color w:val="000000"/>
              </w:rPr>
            </w:pPr>
          </w:p>
        </w:tc>
      </w:tr>
      <w:tr w:rsidR="007A505B" w:rsidRPr="007A505B" w14:paraId="48B0AD36" w14:textId="77777777" w:rsidTr="00CE7124">
        <w:trPr>
          <w:jc w:val="center"/>
        </w:trPr>
        <w:tc>
          <w:tcPr>
            <w:tcW w:w="1144" w:type="dxa"/>
          </w:tcPr>
          <w:p w14:paraId="494B43C3" w14:textId="77777777" w:rsidR="007A505B" w:rsidRPr="007A505B" w:rsidRDefault="007A505B" w:rsidP="007A505B">
            <w:pPr>
              <w:spacing w:after="3" w:line="248" w:lineRule="auto"/>
              <w:jc w:val="center"/>
              <w:rPr>
                <w:rFonts w:eastAsia="Verdana"/>
                <w:color w:val="000000"/>
              </w:rPr>
            </w:pPr>
          </w:p>
          <w:p w14:paraId="67735F7D" w14:textId="77777777" w:rsidR="007A505B" w:rsidRPr="007A505B" w:rsidRDefault="007A505B" w:rsidP="007A505B">
            <w:pPr>
              <w:spacing w:after="3" w:line="248" w:lineRule="auto"/>
              <w:jc w:val="center"/>
              <w:rPr>
                <w:rFonts w:eastAsia="Verdana"/>
                <w:color w:val="000000"/>
              </w:rPr>
            </w:pPr>
            <w:r w:rsidRPr="007A505B">
              <w:rPr>
                <w:rFonts w:eastAsia="Verdana"/>
                <w:color w:val="000000"/>
              </w:rPr>
              <w:t>15</w:t>
            </w:r>
          </w:p>
          <w:p w14:paraId="50231B78" w14:textId="77777777" w:rsidR="007A505B" w:rsidRPr="007A505B" w:rsidRDefault="007A505B" w:rsidP="007A505B">
            <w:pPr>
              <w:spacing w:after="3" w:line="248" w:lineRule="auto"/>
              <w:jc w:val="center"/>
              <w:rPr>
                <w:rFonts w:eastAsia="Verdana"/>
                <w:color w:val="000000"/>
              </w:rPr>
            </w:pPr>
          </w:p>
          <w:p w14:paraId="6DE1BB5C" w14:textId="77777777" w:rsidR="007A505B" w:rsidRPr="007A505B" w:rsidRDefault="007A505B" w:rsidP="007A505B">
            <w:pPr>
              <w:spacing w:after="3" w:line="248" w:lineRule="auto"/>
              <w:jc w:val="center"/>
              <w:rPr>
                <w:rFonts w:eastAsia="Verdana"/>
                <w:color w:val="000000"/>
              </w:rPr>
            </w:pPr>
          </w:p>
          <w:p w14:paraId="07DDA06D" w14:textId="77777777" w:rsidR="007A505B" w:rsidRPr="007A505B" w:rsidRDefault="007A505B" w:rsidP="007A505B">
            <w:pPr>
              <w:spacing w:after="3" w:line="248" w:lineRule="auto"/>
              <w:jc w:val="center"/>
              <w:rPr>
                <w:rFonts w:eastAsia="Verdana"/>
                <w:color w:val="000000"/>
              </w:rPr>
            </w:pPr>
          </w:p>
        </w:tc>
        <w:tc>
          <w:tcPr>
            <w:tcW w:w="2395" w:type="dxa"/>
            <w:vMerge/>
          </w:tcPr>
          <w:p w14:paraId="5C602D91" w14:textId="77777777" w:rsidR="007A505B" w:rsidRPr="007A505B" w:rsidRDefault="007A505B" w:rsidP="007A505B">
            <w:pPr>
              <w:spacing w:after="3" w:line="248" w:lineRule="auto"/>
              <w:rPr>
                <w:rFonts w:eastAsia="Verdana"/>
                <w:color w:val="000000"/>
              </w:rPr>
            </w:pPr>
          </w:p>
        </w:tc>
        <w:tc>
          <w:tcPr>
            <w:tcW w:w="2977" w:type="dxa"/>
            <w:vMerge/>
          </w:tcPr>
          <w:p w14:paraId="70C107D0" w14:textId="77777777" w:rsidR="007A505B" w:rsidRPr="007A505B" w:rsidRDefault="007A505B" w:rsidP="007A505B">
            <w:pPr>
              <w:spacing w:after="3" w:line="248" w:lineRule="auto"/>
              <w:rPr>
                <w:rFonts w:eastAsia="Verdana"/>
                <w:color w:val="000000"/>
              </w:rPr>
            </w:pPr>
          </w:p>
        </w:tc>
        <w:tc>
          <w:tcPr>
            <w:tcW w:w="3118" w:type="dxa"/>
            <w:vMerge/>
          </w:tcPr>
          <w:p w14:paraId="3855A53B" w14:textId="77777777" w:rsidR="007A505B" w:rsidRPr="007A505B" w:rsidRDefault="007A505B" w:rsidP="007A505B">
            <w:pPr>
              <w:spacing w:after="3" w:line="248" w:lineRule="auto"/>
              <w:rPr>
                <w:rFonts w:eastAsia="Verdana"/>
                <w:color w:val="000000"/>
              </w:rPr>
            </w:pPr>
          </w:p>
        </w:tc>
      </w:tr>
    </w:tbl>
    <w:p w14:paraId="3CF1D638" w14:textId="77777777" w:rsidR="007A505B" w:rsidRPr="007A505B" w:rsidRDefault="007A505B" w:rsidP="007A505B">
      <w:pPr>
        <w:spacing w:after="0"/>
        <w:rPr>
          <w:rFonts w:ascii="Calibri" w:eastAsia="Verdana" w:hAnsi="Calibri" w:cs="Calibri"/>
          <w:color w:val="000000"/>
          <w:kern w:val="0"/>
          <w:lang w:eastAsia="es-CR"/>
          <w14:ligatures w14:val="none"/>
        </w:rPr>
      </w:pPr>
    </w:p>
    <w:p w14:paraId="24B407E0" w14:textId="77777777" w:rsidR="007A505B" w:rsidRPr="007A505B" w:rsidRDefault="007A505B" w:rsidP="007A505B">
      <w:pPr>
        <w:spacing w:after="0"/>
        <w:rPr>
          <w:rFonts w:ascii="Calibri" w:eastAsia="Verdana" w:hAnsi="Calibri" w:cs="Calibri"/>
          <w:b/>
          <w:bCs/>
          <w:color w:val="000000"/>
          <w:kern w:val="0"/>
          <w:lang w:eastAsia="es-CR"/>
          <w14:ligatures w14:val="none"/>
        </w:rPr>
      </w:pPr>
    </w:p>
    <w:p w14:paraId="299ED493" w14:textId="77777777" w:rsidR="007A505B" w:rsidRPr="007A505B" w:rsidRDefault="007A505B" w:rsidP="007A505B">
      <w:pPr>
        <w:spacing w:after="0"/>
        <w:rPr>
          <w:rFonts w:ascii="Calibri" w:eastAsia="Verdana" w:hAnsi="Calibri" w:cs="Calibri"/>
          <w:b/>
          <w:bCs/>
          <w:color w:val="000000"/>
          <w:kern w:val="0"/>
          <w:lang w:eastAsia="es-CR"/>
          <w14:ligatures w14:val="none"/>
        </w:rPr>
      </w:pPr>
      <w:r w:rsidRPr="007A505B">
        <w:rPr>
          <w:rFonts w:ascii="Calibri" w:eastAsia="Verdana" w:hAnsi="Calibri" w:cs="Calibri"/>
          <w:b/>
          <w:bCs/>
          <w:color w:val="000000"/>
          <w:kern w:val="0"/>
          <w:lang w:eastAsia="es-CR"/>
          <w14:ligatures w14:val="none"/>
        </w:rPr>
        <w:t>XI. Distribución de tiempo semanal</w:t>
      </w:r>
    </w:p>
    <w:p w14:paraId="4D4DC7B8" w14:textId="77777777" w:rsidR="007A505B" w:rsidRPr="007A505B" w:rsidRDefault="007A505B" w:rsidP="007A505B">
      <w:pPr>
        <w:spacing w:after="0"/>
        <w:rPr>
          <w:rFonts w:ascii="Calibri" w:eastAsia="Verdana" w:hAnsi="Calibri" w:cs="Calibri"/>
          <w:b/>
          <w:bCs/>
          <w:color w:val="000000"/>
          <w:kern w:val="0"/>
          <w:lang w:eastAsia="es-CR"/>
          <w14:ligatures w14:val="none"/>
        </w:rPr>
      </w:pPr>
    </w:p>
    <w:p w14:paraId="3BF3C026" w14:textId="77777777" w:rsidR="007A505B" w:rsidRPr="007A505B" w:rsidRDefault="007A505B" w:rsidP="007A505B">
      <w:pPr>
        <w:spacing w:after="0"/>
        <w:jc w:val="both"/>
        <w:rPr>
          <w:rFonts w:ascii="Calibri" w:eastAsia="Verdana" w:hAnsi="Calibri" w:cs="Calibri"/>
          <w:color w:val="000000"/>
          <w:kern w:val="0"/>
          <w:lang w:eastAsia="es-CR"/>
          <w14:ligatures w14:val="none"/>
        </w:rPr>
      </w:pPr>
      <w:r w:rsidRPr="007A505B">
        <w:rPr>
          <w:rFonts w:ascii="Calibri" w:eastAsia="Verdana" w:hAnsi="Calibri" w:cs="Calibri"/>
          <w:color w:val="000000"/>
          <w:kern w:val="0"/>
          <w:lang w:eastAsia="es-CR"/>
          <w14:ligatures w14:val="none"/>
        </w:rPr>
        <w:t>En el SG el acompañamiento de la persona docente se lleva a cabo con la mediación de la plataforma virtual, a través de la cual se enviarán los avances del desarrollo del trabajo. Los y las estudiantes deberán invertir 12 horas de trabajo por semana en la elaboración de las diferentes tareas del SG. La distribución de tiempos es la siguiente:</w:t>
      </w:r>
    </w:p>
    <w:p w14:paraId="7A71B5EB" w14:textId="77777777" w:rsidR="007A505B" w:rsidRPr="007A505B" w:rsidRDefault="007A505B" w:rsidP="007A505B">
      <w:pPr>
        <w:spacing w:after="0"/>
        <w:jc w:val="both"/>
        <w:rPr>
          <w:rFonts w:ascii="Calibri" w:eastAsia="Verdana" w:hAnsi="Calibri" w:cs="Calibri"/>
          <w:color w:val="000000"/>
          <w:kern w:val="0"/>
          <w:lang w:eastAsia="es-CR"/>
          <w14:ligatures w14:val="none"/>
        </w:rPr>
      </w:pPr>
    </w:p>
    <w:tbl>
      <w:tblPr>
        <w:tblStyle w:val="TableGrid13"/>
        <w:tblW w:w="0" w:type="auto"/>
        <w:jc w:val="center"/>
        <w:tblLook w:val="04A0" w:firstRow="1" w:lastRow="0" w:firstColumn="1" w:lastColumn="0" w:noHBand="0" w:noVBand="1"/>
      </w:tblPr>
      <w:tblGrid>
        <w:gridCol w:w="2016"/>
        <w:gridCol w:w="1517"/>
        <w:gridCol w:w="5225"/>
      </w:tblGrid>
      <w:tr w:rsidR="007A505B" w:rsidRPr="007A505B" w14:paraId="6C9B4E2A" w14:textId="77777777" w:rsidTr="00CE7124">
        <w:trPr>
          <w:trHeight w:val="582"/>
          <w:jc w:val="center"/>
        </w:trPr>
        <w:tc>
          <w:tcPr>
            <w:tcW w:w="2016" w:type="dxa"/>
            <w:vAlign w:val="center"/>
          </w:tcPr>
          <w:p w14:paraId="775CF0ED" w14:textId="77777777" w:rsidR="007A505B" w:rsidRPr="007A505B" w:rsidRDefault="007A505B" w:rsidP="000161D3">
            <w:pPr>
              <w:ind w:right="6"/>
              <w:jc w:val="center"/>
              <w:rPr>
                <w:b/>
                <w:bCs/>
                <w:color w:val="000000"/>
              </w:rPr>
            </w:pPr>
            <w:r w:rsidRPr="007A505B">
              <w:rPr>
                <w:b/>
                <w:bCs/>
                <w:color w:val="000000"/>
              </w:rPr>
              <w:t>Tipo de horas</w:t>
            </w:r>
          </w:p>
          <w:p w14:paraId="4393BE57" w14:textId="77777777" w:rsidR="007A505B" w:rsidRPr="007A505B" w:rsidRDefault="007A505B" w:rsidP="000161D3">
            <w:pPr>
              <w:ind w:right="6"/>
              <w:jc w:val="center"/>
              <w:rPr>
                <w:b/>
                <w:bCs/>
                <w:color w:val="000000"/>
              </w:rPr>
            </w:pPr>
            <w:r w:rsidRPr="007A505B">
              <w:rPr>
                <w:b/>
                <w:bCs/>
                <w:color w:val="000000"/>
              </w:rPr>
              <w:t>(categoría)</w:t>
            </w:r>
          </w:p>
        </w:tc>
        <w:tc>
          <w:tcPr>
            <w:tcW w:w="1517" w:type="dxa"/>
            <w:vAlign w:val="center"/>
          </w:tcPr>
          <w:p w14:paraId="15F9EE65" w14:textId="77777777" w:rsidR="007A505B" w:rsidRPr="007A505B" w:rsidRDefault="007A505B" w:rsidP="000161D3">
            <w:pPr>
              <w:ind w:right="6"/>
              <w:jc w:val="center"/>
              <w:rPr>
                <w:b/>
                <w:bCs/>
                <w:color w:val="000000"/>
              </w:rPr>
            </w:pPr>
            <w:r w:rsidRPr="007A505B">
              <w:rPr>
                <w:b/>
                <w:bCs/>
                <w:color w:val="000000"/>
              </w:rPr>
              <w:t>Horas por semana</w:t>
            </w:r>
          </w:p>
        </w:tc>
        <w:tc>
          <w:tcPr>
            <w:tcW w:w="5225" w:type="dxa"/>
            <w:vAlign w:val="center"/>
          </w:tcPr>
          <w:p w14:paraId="303B438D" w14:textId="77777777" w:rsidR="007A505B" w:rsidRPr="007A505B" w:rsidRDefault="007A505B" w:rsidP="000161D3">
            <w:pPr>
              <w:ind w:right="6"/>
              <w:jc w:val="center"/>
              <w:rPr>
                <w:b/>
                <w:bCs/>
                <w:color w:val="000000"/>
              </w:rPr>
            </w:pPr>
            <w:r w:rsidRPr="007A505B">
              <w:rPr>
                <w:b/>
                <w:bCs/>
                <w:color w:val="000000"/>
              </w:rPr>
              <w:t>Actividades relacionadas</w:t>
            </w:r>
          </w:p>
        </w:tc>
      </w:tr>
      <w:tr w:rsidR="007A505B" w:rsidRPr="007A505B" w14:paraId="2136DEF0" w14:textId="77777777" w:rsidTr="00CE7124">
        <w:trPr>
          <w:trHeight w:val="1189"/>
          <w:jc w:val="center"/>
        </w:trPr>
        <w:tc>
          <w:tcPr>
            <w:tcW w:w="2016" w:type="dxa"/>
            <w:vAlign w:val="center"/>
          </w:tcPr>
          <w:p w14:paraId="1D128836" w14:textId="77777777" w:rsidR="007A505B" w:rsidRPr="007A505B" w:rsidRDefault="007A505B" w:rsidP="000161D3">
            <w:pPr>
              <w:ind w:right="6"/>
              <w:jc w:val="center"/>
              <w:rPr>
                <w:color w:val="000000"/>
              </w:rPr>
            </w:pPr>
            <w:r w:rsidRPr="007A505B">
              <w:rPr>
                <w:color w:val="000000"/>
              </w:rPr>
              <w:t>Horas de Estudio Individual</w:t>
            </w:r>
          </w:p>
          <w:p w14:paraId="6B004945" w14:textId="77777777" w:rsidR="007A505B" w:rsidRPr="007A505B" w:rsidRDefault="007A505B" w:rsidP="000161D3">
            <w:pPr>
              <w:ind w:right="6"/>
              <w:jc w:val="center"/>
              <w:rPr>
                <w:color w:val="000000"/>
              </w:rPr>
            </w:pPr>
            <w:r w:rsidRPr="007A505B">
              <w:rPr>
                <w:color w:val="000000"/>
              </w:rPr>
              <w:t>(HEI)</w:t>
            </w:r>
          </w:p>
        </w:tc>
        <w:tc>
          <w:tcPr>
            <w:tcW w:w="1517" w:type="dxa"/>
            <w:vAlign w:val="center"/>
          </w:tcPr>
          <w:p w14:paraId="0507CB1D" w14:textId="77777777" w:rsidR="007A505B" w:rsidRPr="007A505B" w:rsidRDefault="007A505B" w:rsidP="000161D3">
            <w:pPr>
              <w:ind w:right="6"/>
              <w:jc w:val="center"/>
              <w:rPr>
                <w:color w:val="000000"/>
              </w:rPr>
            </w:pPr>
            <w:r w:rsidRPr="007A505B">
              <w:rPr>
                <w:color w:val="000000"/>
              </w:rPr>
              <w:t>6</w:t>
            </w:r>
          </w:p>
        </w:tc>
        <w:tc>
          <w:tcPr>
            <w:tcW w:w="5225" w:type="dxa"/>
          </w:tcPr>
          <w:p w14:paraId="1707D282"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Investigación documental.</w:t>
            </w:r>
          </w:p>
          <w:p w14:paraId="222376D5"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Revisión y acopio de literatura.</w:t>
            </w:r>
          </w:p>
          <w:p w14:paraId="4592864C"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Análisis de la literatura y otras fuentes recopiladas.</w:t>
            </w:r>
          </w:p>
        </w:tc>
      </w:tr>
      <w:tr w:rsidR="007A505B" w:rsidRPr="007A505B" w14:paraId="0AD20657" w14:textId="77777777" w:rsidTr="00CE7124">
        <w:trPr>
          <w:trHeight w:val="1121"/>
          <w:jc w:val="center"/>
        </w:trPr>
        <w:tc>
          <w:tcPr>
            <w:tcW w:w="2016" w:type="dxa"/>
            <w:vAlign w:val="center"/>
          </w:tcPr>
          <w:p w14:paraId="5113620C" w14:textId="77777777" w:rsidR="007A505B" w:rsidRPr="007A505B" w:rsidRDefault="007A505B" w:rsidP="000161D3">
            <w:pPr>
              <w:ind w:right="6"/>
              <w:jc w:val="center"/>
              <w:rPr>
                <w:color w:val="000000"/>
              </w:rPr>
            </w:pPr>
            <w:r w:rsidRPr="007A505B">
              <w:rPr>
                <w:color w:val="000000"/>
              </w:rPr>
              <w:t>Horas de Trabajo Colaborativo</w:t>
            </w:r>
          </w:p>
          <w:p w14:paraId="6FA53D6C" w14:textId="77777777" w:rsidR="007A505B" w:rsidRPr="007A505B" w:rsidRDefault="007A505B" w:rsidP="000161D3">
            <w:pPr>
              <w:ind w:right="6"/>
              <w:jc w:val="center"/>
              <w:rPr>
                <w:color w:val="000000"/>
              </w:rPr>
            </w:pPr>
            <w:r w:rsidRPr="007A505B">
              <w:rPr>
                <w:color w:val="000000"/>
              </w:rPr>
              <w:t>(HTC)</w:t>
            </w:r>
          </w:p>
        </w:tc>
        <w:tc>
          <w:tcPr>
            <w:tcW w:w="1517" w:type="dxa"/>
            <w:vAlign w:val="center"/>
          </w:tcPr>
          <w:p w14:paraId="31325AFC" w14:textId="77777777" w:rsidR="007A505B" w:rsidRPr="007A505B" w:rsidRDefault="007A505B" w:rsidP="000161D3">
            <w:pPr>
              <w:ind w:right="6"/>
              <w:jc w:val="center"/>
              <w:rPr>
                <w:color w:val="000000"/>
              </w:rPr>
            </w:pPr>
            <w:r w:rsidRPr="007A505B">
              <w:rPr>
                <w:color w:val="000000"/>
              </w:rPr>
              <w:t>3</w:t>
            </w:r>
          </w:p>
        </w:tc>
        <w:tc>
          <w:tcPr>
            <w:tcW w:w="5225" w:type="dxa"/>
          </w:tcPr>
          <w:p w14:paraId="73D94E09"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Elaboración del diseño de la investigación grupal.</w:t>
            </w:r>
          </w:p>
          <w:p w14:paraId="72939CF6"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Discusión de las fuentes primarias, secundarias y terciarias.</w:t>
            </w:r>
          </w:p>
          <w:p w14:paraId="23F98693"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Organización de la documentación según subtemas.</w:t>
            </w:r>
          </w:p>
          <w:p w14:paraId="36AC7CF6"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Elaboración del borrador del producto grupal.</w:t>
            </w:r>
          </w:p>
          <w:p w14:paraId="1242AEC1"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Revisión del producto final grupal.</w:t>
            </w:r>
          </w:p>
          <w:p w14:paraId="2336DD3C" w14:textId="77777777" w:rsidR="007A505B" w:rsidRPr="007A505B" w:rsidRDefault="007A505B" w:rsidP="000161D3">
            <w:pPr>
              <w:ind w:left="319" w:right="6"/>
              <w:contextualSpacing/>
              <w:rPr>
                <w:color w:val="000000"/>
              </w:rPr>
            </w:pPr>
          </w:p>
        </w:tc>
      </w:tr>
      <w:tr w:rsidR="007A505B" w:rsidRPr="007A505B" w14:paraId="1889852E" w14:textId="77777777" w:rsidTr="000161D3">
        <w:trPr>
          <w:trHeight w:val="553"/>
          <w:jc w:val="center"/>
        </w:trPr>
        <w:tc>
          <w:tcPr>
            <w:tcW w:w="2016" w:type="dxa"/>
            <w:vAlign w:val="center"/>
          </w:tcPr>
          <w:p w14:paraId="3649EC48" w14:textId="77777777" w:rsidR="007A505B" w:rsidRPr="007A505B" w:rsidRDefault="007A505B" w:rsidP="000161D3">
            <w:pPr>
              <w:ind w:right="6"/>
              <w:jc w:val="center"/>
              <w:rPr>
                <w:color w:val="000000"/>
              </w:rPr>
            </w:pPr>
            <w:r w:rsidRPr="007A505B">
              <w:rPr>
                <w:color w:val="000000"/>
              </w:rPr>
              <w:t xml:space="preserve">Horas de Producción Individual </w:t>
            </w:r>
          </w:p>
          <w:p w14:paraId="4CFA543B" w14:textId="77777777" w:rsidR="007A505B" w:rsidRPr="007A505B" w:rsidRDefault="007A505B" w:rsidP="000161D3">
            <w:pPr>
              <w:ind w:right="6"/>
              <w:jc w:val="center"/>
              <w:rPr>
                <w:color w:val="000000"/>
              </w:rPr>
            </w:pPr>
            <w:r w:rsidRPr="007A505B">
              <w:rPr>
                <w:color w:val="000000"/>
              </w:rPr>
              <w:t>(HPI)</w:t>
            </w:r>
          </w:p>
        </w:tc>
        <w:tc>
          <w:tcPr>
            <w:tcW w:w="1517" w:type="dxa"/>
            <w:vAlign w:val="center"/>
          </w:tcPr>
          <w:p w14:paraId="3A7E3F9D" w14:textId="77777777" w:rsidR="007A505B" w:rsidRPr="007A505B" w:rsidRDefault="007A505B" w:rsidP="000161D3">
            <w:pPr>
              <w:ind w:right="6"/>
              <w:jc w:val="center"/>
              <w:rPr>
                <w:color w:val="000000"/>
              </w:rPr>
            </w:pPr>
            <w:r w:rsidRPr="007A505B">
              <w:rPr>
                <w:color w:val="000000"/>
              </w:rPr>
              <w:t>3</w:t>
            </w:r>
          </w:p>
        </w:tc>
        <w:tc>
          <w:tcPr>
            <w:tcW w:w="5225" w:type="dxa"/>
          </w:tcPr>
          <w:p w14:paraId="185B3E42"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Desarrollo de propuestas y fuentes para el producto individual.</w:t>
            </w:r>
          </w:p>
          <w:p w14:paraId="7F7023BE"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Integración del producto grupal en el producto individual.</w:t>
            </w:r>
          </w:p>
          <w:p w14:paraId="0C1831F4" w14:textId="77777777" w:rsidR="007A505B" w:rsidRPr="007A505B" w:rsidRDefault="007A505B" w:rsidP="000161D3">
            <w:pPr>
              <w:numPr>
                <w:ilvl w:val="0"/>
                <w:numId w:val="199"/>
              </w:numPr>
              <w:spacing w:line="248" w:lineRule="auto"/>
              <w:ind w:left="319" w:right="6"/>
              <w:contextualSpacing/>
              <w:rPr>
                <w:color w:val="000000"/>
              </w:rPr>
            </w:pPr>
            <w:r w:rsidRPr="007A505B">
              <w:rPr>
                <w:color w:val="000000"/>
              </w:rPr>
              <w:t>Elaboración del borrador del producto individual.</w:t>
            </w:r>
          </w:p>
          <w:p w14:paraId="360C7FA4" w14:textId="6676CAD7" w:rsidR="007A505B" w:rsidRPr="007A505B" w:rsidRDefault="007A505B" w:rsidP="000161D3">
            <w:pPr>
              <w:numPr>
                <w:ilvl w:val="0"/>
                <w:numId w:val="199"/>
              </w:numPr>
              <w:spacing w:line="248" w:lineRule="auto"/>
              <w:ind w:left="319" w:right="6"/>
              <w:contextualSpacing/>
              <w:rPr>
                <w:color w:val="000000"/>
              </w:rPr>
            </w:pPr>
            <w:r w:rsidRPr="007A505B">
              <w:rPr>
                <w:color w:val="000000"/>
              </w:rPr>
              <w:t>Revisión del producto final individual.</w:t>
            </w:r>
          </w:p>
        </w:tc>
      </w:tr>
      <w:tr w:rsidR="007A505B" w:rsidRPr="007A505B" w14:paraId="70DA71FC" w14:textId="77777777" w:rsidTr="00CE7124">
        <w:trPr>
          <w:trHeight w:val="582"/>
          <w:jc w:val="center"/>
        </w:trPr>
        <w:tc>
          <w:tcPr>
            <w:tcW w:w="2016" w:type="dxa"/>
            <w:vAlign w:val="center"/>
          </w:tcPr>
          <w:p w14:paraId="6EC6FDF0" w14:textId="77777777" w:rsidR="007A505B" w:rsidRPr="007A505B" w:rsidRDefault="007A505B" w:rsidP="000161D3">
            <w:pPr>
              <w:ind w:right="6"/>
              <w:jc w:val="center"/>
              <w:rPr>
                <w:b/>
                <w:bCs/>
                <w:color w:val="000000"/>
              </w:rPr>
            </w:pPr>
            <w:r w:rsidRPr="007A505B">
              <w:rPr>
                <w:b/>
                <w:bCs/>
                <w:color w:val="000000"/>
              </w:rPr>
              <w:lastRenderedPageBreak/>
              <w:t>Total de horas</w:t>
            </w:r>
          </w:p>
          <w:p w14:paraId="6308E449" w14:textId="77777777" w:rsidR="007A505B" w:rsidRPr="007A505B" w:rsidRDefault="007A505B" w:rsidP="000161D3">
            <w:pPr>
              <w:ind w:right="6"/>
              <w:jc w:val="center"/>
              <w:rPr>
                <w:b/>
                <w:bCs/>
                <w:color w:val="000000"/>
              </w:rPr>
            </w:pPr>
            <w:r w:rsidRPr="007A505B">
              <w:rPr>
                <w:b/>
                <w:bCs/>
                <w:color w:val="000000"/>
              </w:rPr>
              <w:t>(TH)</w:t>
            </w:r>
          </w:p>
        </w:tc>
        <w:tc>
          <w:tcPr>
            <w:tcW w:w="1517" w:type="dxa"/>
            <w:vAlign w:val="center"/>
          </w:tcPr>
          <w:p w14:paraId="672AA759" w14:textId="77777777" w:rsidR="007A505B" w:rsidRPr="007A505B" w:rsidRDefault="007A505B" w:rsidP="000161D3">
            <w:pPr>
              <w:ind w:right="6"/>
              <w:jc w:val="center"/>
              <w:rPr>
                <w:b/>
                <w:bCs/>
                <w:color w:val="000000"/>
              </w:rPr>
            </w:pPr>
            <w:r w:rsidRPr="007A505B">
              <w:rPr>
                <w:b/>
                <w:bCs/>
                <w:color w:val="000000"/>
              </w:rPr>
              <w:t>12</w:t>
            </w:r>
          </w:p>
        </w:tc>
        <w:tc>
          <w:tcPr>
            <w:tcW w:w="5225" w:type="dxa"/>
          </w:tcPr>
          <w:p w14:paraId="6A62F193" w14:textId="77777777" w:rsidR="007A505B" w:rsidRPr="007A505B" w:rsidRDefault="007A505B" w:rsidP="000161D3">
            <w:pPr>
              <w:ind w:right="6"/>
              <w:jc w:val="center"/>
              <w:rPr>
                <w:color w:val="000000"/>
              </w:rPr>
            </w:pPr>
          </w:p>
        </w:tc>
      </w:tr>
    </w:tbl>
    <w:p w14:paraId="0753CBBC" w14:textId="77777777" w:rsidR="007A505B" w:rsidRPr="007A505B" w:rsidRDefault="007A505B" w:rsidP="007A505B">
      <w:pPr>
        <w:spacing w:after="0"/>
        <w:rPr>
          <w:rFonts w:ascii="Calibri" w:eastAsia="Calibri" w:hAnsi="Calibri" w:cs="Calibri"/>
          <w:color w:val="000000"/>
          <w:kern w:val="0"/>
          <w:lang w:eastAsia="es-CR"/>
          <w14:ligatures w14:val="none"/>
        </w:rPr>
      </w:pPr>
    </w:p>
    <w:p w14:paraId="34BB9016" w14:textId="77777777" w:rsidR="007A505B" w:rsidRPr="007A505B" w:rsidRDefault="007A505B" w:rsidP="007A505B">
      <w:pPr>
        <w:spacing w:after="0"/>
        <w:rPr>
          <w:rFonts w:ascii="Calibri" w:eastAsia="Calibri" w:hAnsi="Calibri" w:cs="Calibri"/>
          <w:color w:val="000000"/>
          <w:kern w:val="0"/>
          <w:lang w:eastAsia="es-CR"/>
          <w14:ligatures w14:val="none"/>
        </w:rPr>
      </w:pPr>
    </w:p>
    <w:p w14:paraId="1A937CF4" w14:textId="77777777" w:rsidR="007A505B" w:rsidRPr="007A505B" w:rsidRDefault="007A505B" w:rsidP="007A505B">
      <w:pPr>
        <w:spacing w:after="0"/>
        <w:rPr>
          <w:rFonts w:ascii="Calibri" w:eastAsia="Calibri" w:hAnsi="Calibri" w:cs="Calibri"/>
          <w:b/>
          <w:bCs/>
          <w:color w:val="000000"/>
          <w:kern w:val="0"/>
          <w:lang w:eastAsia="es-CR"/>
          <w14:ligatures w14:val="none"/>
        </w:rPr>
      </w:pPr>
      <w:r w:rsidRPr="007A505B">
        <w:rPr>
          <w:rFonts w:ascii="Calibri" w:eastAsia="Calibri" w:hAnsi="Calibri" w:cs="Calibri"/>
          <w:b/>
          <w:bCs/>
          <w:color w:val="000000"/>
          <w:kern w:val="0"/>
          <w:lang w:eastAsia="es-CR"/>
          <w14:ligatures w14:val="none"/>
        </w:rPr>
        <w:t>X. Evaluación</w:t>
      </w:r>
    </w:p>
    <w:p w14:paraId="272D51C4"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10A69DBA" w14:textId="77777777" w:rsidR="007A505B" w:rsidRPr="007A505B" w:rsidRDefault="007A505B" w:rsidP="007A505B">
      <w:pPr>
        <w:spacing w:after="0"/>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La calificación de los productos del Seminario de Graduación conlleva el siguiente procedimiento. Los avances son de evaluación formativa, por lo que la evaluación final del curso se distribuye de la siguiente forma:</w:t>
      </w:r>
    </w:p>
    <w:p w14:paraId="62FDB405" w14:textId="77777777" w:rsidR="007A505B" w:rsidRPr="007A505B" w:rsidRDefault="007A505B" w:rsidP="007A505B">
      <w:pPr>
        <w:spacing w:after="0"/>
        <w:jc w:val="both"/>
        <w:rPr>
          <w:rFonts w:ascii="Calibri" w:eastAsia="Calibri" w:hAnsi="Calibri" w:cs="Calibri"/>
          <w:color w:val="000000"/>
          <w:kern w:val="0"/>
          <w:lang w:eastAsia="es-CR"/>
          <w14:ligatures w14:val="none"/>
        </w:rPr>
      </w:pPr>
    </w:p>
    <w:p w14:paraId="39F020A6" w14:textId="77777777" w:rsidR="007A505B" w:rsidRPr="007A505B" w:rsidRDefault="007A505B" w:rsidP="007A505B">
      <w:pPr>
        <w:spacing w:after="0"/>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Al finalizar la etapa grupal del SG el informe es aprobado por la persona docente a cargo y entregado posteriormente a la Vicerrectoría, quien asigna a una persona docente lectora para su calificación. La nota del informe grupal (60% de la nota final de cada estudiante participante en el seminario) será el promedio de la nota de la persona docente a cargo del seminario y de la persona docente lectora.</w:t>
      </w:r>
    </w:p>
    <w:p w14:paraId="4C214B4F" w14:textId="77777777" w:rsidR="007A505B" w:rsidRPr="007A505B" w:rsidRDefault="007A505B" w:rsidP="007A505B">
      <w:pPr>
        <w:spacing w:after="0"/>
        <w:jc w:val="both"/>
        <w:rPr>
          <w:rFonts w:ascii="Calibri" w:eastAsia="Calibri" w:hAnsi="Calibri" w:cs="Calibri"/>
          <w:color w:val="000000"/>
          <w:kern w:val="0"/>
          <w:lang w:eastAsia="es-CR"/>
          <w14:ligatures w14:val="none"/>
        </w:rPr>
      </w:pPr>
    </w:p>
    <w:p w14:paraId="3452E8B9" w14:textId="77777777" w:rsidR="007A505B" w:rsidRPr="007A505B" w:rsidRDefault="007A505B" w:rsidP="007A505B">
      <w:pPr>
        <w:spacing w:after="0"/>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 xml:space="preserve">El informe individual es aprobado por la persona docente guía del seminario y entregado posteriormente a la Decanatura, donde se asigna una persona docente lectora para su calificación. La nota del informe individual (40% de la nota </w:t>
      </w:r>
      <w:proofErr w:type="spellStart"/>
      <w:r w:rsidRPr="007A505B">
        <w:rPr>
          <w:rFonts w:ascii="Calibri" w:eastAsia="Calibri" w:hAnsi="Calibri" w:cs="Calibri"/>
          <w:color w:val="000000"/>
          <w:kern w:val="0"/>
          <w:lang w:eastAsia="es-CR"/>
          <w14:ligatures w14:val="none"/>
        </w:rPr>
        <w:t>fina</w:t>
      </w:r>
      <w:proofErr w:type="spellEnd"/>
      <w:r w:rsidRPr="007A505B">
        <w:rPr>
          <w:rFonts w:ascii="Calibri" w:eastAsia="Calibri" w:hAnsi="Calibri" w:cs="Calibri"/>
          <w:color w:val="000000"/>
          <w:kern w:val="0"/>
          <w:lang w:eastAsia="es-CR"/>
          <w14:ligatures w14:val="none"/>
        </w:rPr>
        <w:t xml:space="preserve"> de la persona estudiante) será el promedio de la nota de la persona docente a cargo del seminario de la persona docente lectora. </w:t>
      </w:r>
    </w:p>
    <w:p w14:paraId="6BB6BE92" w14:textId="77777777" w:rsidR="007A505B" w:rsidRPr="007A505B" w:rsidRDefault="007A505B" w:rsidP="007A505B">
      <w:pPr>
        <w:spacing w:after="0"/>
        <w:jc w:val="both"/>
        <w:rPr>
          <w:rFonts w:ascii="Calibri" w:eastAsia="Calibri" w:hAnsi="Calibri" w:cs="Calibri"/>
          <w:color w:val="000000"/>
          <w:kern w:val="0"/>
          <w:lang w:eastAsia="es-CR"/>
          <w14:ligatures w14:val="none"/>
        </w:rPr>
      </w:pPr>
    </w:p>
    <w:tbl>
      <w:tblPr>
        <w:tblStyle w:val="TableGrid13"/>
        <w:tblW w:w="0" w:type="auto"/>
        <w:tblLook w:val="04A0" w:firstRow="1" w:lastRow="0" w:firstColumn="1" w:lastColumn="0" w:noHBand="0" w:noVBand="1"/>
      </w:tblPr>
      <w:tblGrid>
        <w:gridCol w:w="7650"/>
        <w:gridCol w:w="1611"/>
      </w:tblGrid>
      <w:tr w:rsidR="007A505B" w:rsidRPr="007A505B" w14:paraId="618D36FE" w14:textId="77777777" w:rsidTr="00CE7124">
        <w:tc>
          <w:tcPr>
            <w:tcW w:w="9261" w:type="dxa"/>
            <w:gridSpan w:val="2"/>
          </w:tcPr>
          <w:p w14:paraId="5CB9DE2C" w14:textId="77777777" w:rsidR="007A505B" w:rsidRPr="007A505B" w:rsidRDefault="007A505B" w:rsidP="007A505B">
            <w:pPr>
              <w:spacing w:after="3"/>
              <w:jc w:val="center"/>
              <w:rPr>
                <w:b/>
                <w:bCs/>
                <w:color w:val="000000"/>
              </w:rPr>
            </w:pPr>
            <w:r w:rsidRPr="007A505B">
              <w:rPr>
                <w:b/>
                <w:bCs/>
                <w:color w:val="000000"/>
              </w:rPr>
              <w:t>Síntesis cuantitativa de la evaluación</w:t>
            </w:r>
          </w:p>
        </w:tc>
      </w:tr>
      <w:tr w:rsidR="007A505B" w:rsidRPr="007A505B" w14:paraId="7A58ABF6" w14:textId="77777777" w:rsidTr="00CE7124">
        <w:tc>
          <w:tcPr>
            <w:tcW w:w="7650" w:type="dxa"/>
            <w:vAlign w:val="center"/>
          </w:tcPr>
          <w:p w14:paraId="01839587" w14:textId="77777777" w:rsidR="007A505B" w:rsidRPr="007A505B" w:rsidRDefault="007A505B" w:rsidP="007A505B">
            <w:pPr>
              <w:spacing w:after="3"/>
              <w:rPr>
                <w:b/>
                <w:bCs/>
                <w:color w:val="000000"/>
              </w:rPr>
            </w:pPr>
            <w:r w:rsidRPr="007A505B">
              <w:rPr>
                <w:b/>
                <w:bCs/>
                <w:color w:val="000000"/>
              </w:rPr>
              <w:t>Rubros para evaluar</w:t>
            </w:r>
          </w:p>
        </w:tc>
        <w:tc>
          <w:tcPr>
            <w:tcW w:w="1611" w:type="dxa"/>
          </w:tcPr>
          <w:p w14:paraId="300C1B0F" w14:textId="77777777" w:rsidR="007A505B" w:rsidRPr="007A505B" w:rsidRDefault="007A505B" w:rsidP="007A505B">
            <w:pPr>
              <w:spacing w:after="3"/>
              <w:jc w:val="center"/>
              <w:rPr>
                <w:b/>
                <w:bCs/>
                <w:color w:val="000000"/>
              </w:rPr>
            </w:pPr>
            <w:r w:rsidRPr="007A505B">
              <w:rPr>
                <w:b/>
                <w:bCs/>
                <w:color w:val="000000"/>
              </w:rPr>
              <w:t xml:space="preserve">Porcentaje </w:t>
            </w:r>
          </w:p>
          <w:p w14:paraId="5B76DF12" w14:textId="77777777" w:rsidR="007A505B" w:rsidRPr="007A505B" w:rsidRDefault="007A505B" w:rsidP="007A505B">
            <w:pPr>
              <w:spacing w:after="3"/>
              <w:jc w:val="center"/>
              <w:rPr>
                <w:b/>
                <w:bCs/>
                <w:color w:val="000000"/>
              </w:rPr>
            </w:pPr>
            <w:r w:rsidRPr="007A505B">
              <w:rPr>
                <w:b/>
                <w:bCs/>
                <w:color w:val="000000"/>
              </w:rPr>
              <w:t>total</w:t>
            </w:r>
          </w:p>
        </w:tc>
      </w:tr>
      <w:tr w:rsidR="007A505B" w:rsidRPr="007A505B" w14:paraId="04414A8A" w14:textId="77777777" w:rsidTr="00CE7124">
        <w:trPr>
          <w:trHeight w:val="419"/>
        </w:trPr>
        <w:tc>
          <w:tcPr>
            <w:tcW w:w="7650" w:type="dxa"/>
            <w:vAlign w:val="center"/>
          </w:tcPr>
          <w:p w14:paraId="36C9EC9C" w14:textId="77777777" w:rsidR="007A505B" w:rsidRPr="007A505B" w:rsidRDefault="007A505B" w:rsidP="007A505B">
            <w:pPr>
              <w:spacing w:after="3"/>
              <w:rPr>
                <w:b/>
                <w:bCs/>
                <w:i/>
                <w:iCs/>
                <w:color w:val="000000"/>
              </w:rPr>
            </w:pPr>
            <w:r w:rsidRPr="007A505B">
              <w:rPr>
                <w:b/>
                <w:bCs/>
                <w:i/>
                <w:iCs/>
                <w:color w:val="000000"/>
              </w:rPr>
              <w:t>Producto 1 (grupal)</w:t>
            </w:r>
          </w:p>
        </w:tc>
        <w:tc>
          <w:tcPr>
            <w:tcW w:w="1611" w:type="dxa"/>
            <w:vAlign w:val="center"/>
          </w:tcPr>
          <w:p w14:paraId="7B86FA67" w14:textId="77777777" w:rsidR="007A505B" w:rsidRPr="007A505B" w:rsidRDefault="007A505B" w:rsidP="007A505B">
            <w:pPr>
              <w:spacing w:after="3"/>
              <w:jc w:val="center"/>
              <w:rPr>
                <w:color w:val="000000"/>
              </w:rPr>
            </w:pPr>
            <w:r w:rsidRPr="007A505B">
              <w:rPr>
                <w:color w:val="000000"/>
              </w:rPr>
              <w:t>60%</w:t>
            </w:r>
          </w:p>
        </w:tc>
      </w:tr>
      <w:tr w:rsidR="007A505B" w:rsidRPr="007A505B" w14:paraId="55CAD79D" w14:textId="77777777" w:rsidTr="00CE7124">
        <w:trPr>
          <w:trHeight w:val="411"/>
        </w:trPr>
        <w:tc>
          <w:tcPr>
            <w:tcW w:w="7650" w:type="dxa"/>
            <w:vAlign w:val="center"/>
          </w:tcPr>
          <w:p w14:paraId="57D55331" w14:textId="77777777" w:rsidR="007A505B" w:rsidRPr="007A505B" w:rsidRDefault="007A505B" w:rsidP="007A505B">
            <w:pPr>
              <w:spacing w:after="3"/>
              <w:rPr>
                <w:b/>
                <w:bCs/>
                <w:i/>
                <w:iCs/>
                <w:color w:val="000000"/>
              </w:rPr>
            </w:pPr>
            <w:r w:rsidRPr="007A505B">
              <w:rPr>
                <w:b/>
                <w:bCs/>
                <w:i/>
                <w:iCs/>
                <w:color w:val="000000"/>
              </w:rPr>
              <w:t>Producto 2 (individual)</w:t>
            </w:r>
          </w:p>
        </w:tc>
        <w:tc>
          <w:tcPr>
            <w:tcW w:w="1611" w:type="dxa"/>
            <w:vAlign w:val="center"/>
          </w:tcPr>
          <w:p w14:paraId="2DE56E72" w14:textId="77777777" w:rsidR="007A505B" w:rsidRPr="007A505B" w:rsidRDefault="007A505B" w:rsidP="007A505B">
            <w:pPr>
              <w:spacing w:after="3"/>
              <w:jc w:val="center"/>
              <w:rPr>
                <w:color w:val="000000"/>
              </w:rPr>
            </w:pPr>
            <w:r w:rsidRPr="007A505B">
              <w:rPr>
                <w:color w:val="000000"/>
              </w:rPr>
              <w:t>40%</w:t>
            </w:r>
          </w:p>
        </w:tc>
      </w:tr>
      <w:tr w:rsidR="007A505B" w:rsidRPr="007A505B" w14:paraId="2E9078F8" w14:textId="77777777" w:rsidTr="00CE7124">
        <w:tc>
          <w:tcPr>
            <w:tcW w:w="7650" w:type="dxa"/>
            <w:vAlign w:val="center"/>
          </w:tcPr>
          <w:p w14:paraId="61BE97D2" w14:textId="77777777" w:rsidR="007A505B" w:rsidRPr="007A505B" w:rsidRDefault="007A505B" w:rsidP="007A505B">
            <w:pPr>
              <w:spacing w:after="3"/>
              <w:rPr>
                <w:b/>
                <w:bCs/>
                <w:color w:val="000000"/>
              </w:rPr>
            </w:pPr>
            <w:r w:rsidRPr="007A505B">
              <w:rPr>
                <w:b/>
                <w:bCs/>
                <w:color w:val="000000"/>
              </w:rPr>
              <w:t>Total</w:t>
            </w:r>
          </w:p>
        </w:tc>
        <w:tc>
          <w:tcPr>
            <w:tcW w:w="1611" w:type="dxa"/>
          </w:tcPr>
          <w:p w14:paraId="67D341CE" w14:textId="77777777" w:rsidR="007A505B" w:rsidRPr="007A505B" w:rsidRDefault="007A505B" w:rsidP="007A505B">
            <w:pPr>
              <w:spacing w:after="3"/>
              <w:jc w:val="center"/>
              <w:rPr>
                <w:b/>
                <w:bCs/>
                <w:color w:val="000000"/>
              </w:rPr>
            </w:pPr>
            <w:r w:rsidRPr="007A505B">
              <w:rPr>
                <w:b/>
                <w:bCs/>
                <w:color w:val="000000"/>
              </w:rPr>
              <w:t>100%</w:t>
            </w:r>
          </w:p>
        </w:tc>
      </w:tr>
    </w:tbl>
    <w:p w14:paraId="777D829B" w14:textId="77777777" w:rsidR="007A505B" w:rsidRPr="007A505B" w:rsidRDefault="007A505B" w:rsidP="007A505B">
      <w:pPr>
        <w:spacing w:after="0"/>
        <w:jc w:val="both"/>
        <w:rPr>
          <w:rFonts w:ascii="Calibri" w:eastAsia="Calibri" w:hAnsi="Calibri" w:cs="Calibri"/>
          <w:color w:val="000000"/>
          <w:kern w:val="0"/>
          <w:lang w:eastAsia="es-CR"/>
          <w14:ligatures w14:val="none"/>
        </w:rPr>
      </w:pPr>
    </w:p>
    <w:p w14:paraId="25085D36" w14:textId="77777777" w:rsidR="007A505B" w:rsidRPr="007A505B" w:rsidRDefault="007A505B" w:rsidP="007A505B">
      <w:pPr>
        <w:spacing w:after="158"/>
        <w:ind w:left="365"/>
        <w:rPr>
          <w:rFonts w:ascii="Calibri" w:eastAsia="Calibri" w:hAnsi="Calibri" w:cs="Calibri"/>
          <w:color w:val="000000"/>
          <w:kern w:val="0"/>
          <w:lang w:eastAsia="es-CR"/>
          <w14:ligatures w14:val="none"/>
        </w:rPr>
      </w:pPr>
    </w:p>
    <w:p w14:paraId="4CEC9F7B"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2CAF1ABC"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54A16B19"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4F967EE4"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5B8EBE61"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0E2A6901"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0C0B1612"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205A67B0"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283474AE" w14:textId="77777777" w:rsidR="007A505B" w:rsidRPr="007A505B" w:rsidRDefault="007A505B" w:rsidP="007A505B">
      <w:pPr>
        <w:spacing w:after="0" w:line="240" w:lineRule="auto"/>
        <w:jc w:val="both"/>
        <w:rPr>
          <w:rFonts w:ascii="Calibri" w:eastAsia="Verdana" w:hAnsi="Calibri" w:cs="Calibri"/>
          <w:color w:val="000000"/>
          <w:kern w:val="0"/>
          <w:lang w:eastAsia="es-CR"/>
          <w14:ligatures w14:val="none"/>
        </w:rPr>
      </w:pPr>
    </w:p>
    <w:p w14:paraId="7F6CFDB7"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134E52C3" w14:textId="77777777" w:rsidR="007A505B" w:rsidRPr="007A505B" w:rsidRDefault="007A505B" w:rsidP="007A505B">
      <w:pPr>
        <w:spacing w:after="0"/>
        <w:jc w:val="center"/>
        <w:rPr>
          <w:rFonts w:ascii="Calibri" w:eastAsia="Calibri" w:hAnsi="Calibri" w:cs="Calibri"/>
          <w:b/>
          <w:bCs/>
          <w:color w:val="000000"/>
          <w:kern w:val="0"/>
          <w:sz w:val="24"/>
          <w:szCs w:val="24"/>
          <w:lang w:eastAsia="es-CR"/>
          <w14:ligatures w14:val="none"/>
        </w:rPr>
        <w:sectPr w:rsidR="007A505B" w:rsidRPr="007A505B" w:rsidSect="005C1895">
          <w:headerReference w:type="default" r:id="rId600"/>
          <w:pgSz w:w="12240" w:h="15840"/>
          <w:pgMar w:top="1416" w:right="1694" w:bottom="1499" w:left="1275" w:header="720" w:footer="567" w:gutter="0"/>
          <w:pgNumType w:start="1"/>
          <w:cols w:space="720"/>
          <w:docGrid w:linePitch="299"/>
        </w:sectPr>
      </w:pPr>
    </w:p>
    <w:p w14:paraId="3EC9D14A" w14:textId="77777777" w:rsidR="007A505B" w:rsidRPr="007A505B" w:rsidRDefault="007A505B" w:rsidP="007A505B">
      <w:pPr>
        <w:spacing w:after="0"/>
        <w:jc w:val="center"/>
        <w:rPr>
          <w:rFonts w:ascii="Calibri" w:eastAsia="Calibri" w:hAnsi="Calibri" w:cs="Calibri"/>
          <w:b/>
          <w:bCs/>
          <w:color w:val="000000"/>
          <w:kern w:val="0"/>
          <w:sz w:val="24"/>
          <w:szCs w:val="24"/>
          <w:lang w:eastAsia="es-CR"/>
          <w14:ligatures w14:val="none"/>
        </w:rPr>
      </w:pPr>
      <w:r w:rsidRPr="007A505B">
        <w:rPr>
          <w:rFonts w:ascii="Calibri" w:eastAsia="Calibri" w:hAnsi="Calibri" w:cs="Calibri"/>
          <w:b/>
          <w:bCs/>
          <w:color w:val="000000"/>
          <w:kern w:val="0"/>
          <w:sz w:val="24"/>
          <w:szCs w:val="24"/>
          <w:lang w:eastAsia="es-CR"/>
          <w14:ligatures w14:val="none"/>
        </w:rPr>
        <w:lastRenderedPageBreak/>
        <w:t>Instrumentos de evaluación</w:t>
      </w:r>
    </w:p>
    <w:p w14:paraId="5F6EE48A"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3C42681C" w14:textId="77777777" w:rsidR="007A505B" w:rsidRPr="007A505B" w:rsidRDefault="007A505B" w:rsidP="007A505B">
      <w:pPr>
        <w:spacing w:after="0"/>
        <w:rPr>
          <w:rFonts w:ascii="Calibri" w:eastAsia="Calibri" w:hAnsi="Calibri" w:cs="Calibri"/>
          <w:b/>
          <w:bCs/>
          <w:color w:val="000000"/>
          <w:kern w:val="0"/>
          <w:lang w:eastAsia="es-CR"/>
          <w14:ligatures w14:val="none"/>
        </w:rPr>
      </w:pPr>
      <w:r w:rsidRPr="007A505B">
        <w:rPr>
          <w:rFonts w:ascii="Calibri" w:eastAsia="Calibri" w:hAnsi="Calibri" w:cs="Calibri"/>
          <w:b/>
          <w:noProof/>
          <w:color w:val="000000"/>
          <w:kern w:val="0"/>
          <w:sz w:val="24"/>
          <w:lang w:eastAsia="es-CR"/>
          <w14:ligatures w14:val="none"/>
        </w:rPr>
        <mc:AlternateContent>
          <mc:Choice Requires="wps">
            <w:drawing>
              <wp:anchor distT="0" distB="0" distL="114300" distR="114300" simplePos="0" relativeHeight="252661760" behindDoc="0" locked="0" layoutInCell="1" allowOverlap="1" wp14:anchorId="78ACF529" wp14:editId="1E461BAF">
                <wp:simplePos x="0" y="0"/>
                <wp:positionH relativeFrom="margin">
                  <wp:align>center</wp:align>
                </wp:positionH>
                <wp:positionV relativeFrom="paragraph">
                  <wp:posOffset>5715</wp:posOffset>
                </wp:positionV>
                <wp:extent cx="7917180" cy="297180"/>
                <wp:effectExtent l="0" t="0" r="26670" b="26670"/>
                <wp:wrapNone/>
                <wp:docPr id="1990217033" name="Rectángulo 1"/>
                <wp:cNvGraphicFramePr/>
                <a:graphic xmlns:a="http://schemas.openxmlformats.org/drawingml/2006/main">
                  <a:graphicData uri="http://schemas.microsoft.com/office/word/2010/wordprocessingShape">
                    <wps:wsp>
                      <wps:cNvSpPr/>
                      <wps:spPr>
                        <a:xfrm>
                          <a:off x="0" y="0"/>
                          <a:ext cx="7917180" cy="2971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B9D035F" w14:textId="77777777" w:rsidR="007A505B" w:rsidRPr="0045270C" w:rsidRDefault="007A505B" w:rsidP="007A505B">
                            <w:pPr>
                              <w:jc w:val="center"/>
                              <w:rPr>
                                <w:b/>
                                <w:sz w:val="24"/>
                              </w:rPr>
                            </w:pPr>
                            <w:r>
                              <w:rPr>
                                <w:b/>
                                <w:sz w:val="24"/>
                              </w:rPr>
                              <w:t>ESCALA DE EVALUACIÓN – PRODUCTO 1 (GRUPAL)</w:t>
                            </w:r>
                          </w:p>
                          <w:p w14:paraId="51975FED" w14:textId="77777777" w:rsidR="007A505B" w:rsidRDefault="007A505B" w:rsidP="007A505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CF529" id="_x0000_s1269" style="position:absolute;margin-left:0;margin-top:.45pt;width:623.4pt;height:23.4pt;z-index:2526617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" fillcolor="window" strokecolor="windowText" strokeweight=".25pt">
                <v:textbox>
                  <w:txbxContent>
                    <w:p w14:paraId="7B9D035F" w14:textId="77777777" w:rsidR="007A505B" w:rsidRPr="0045270C" w:rsidRDefault="007A505B" w:rsidP="007A505B">
                      <w:pPr>
                        <w:jc w:val="center"/>
                        <w:rPr>
                          <w:b/>
                          <w:sz w:val="24"/>
                        </w:rPr>
                      </w:pPr>
                      <w:r>
                        <w:rPr>
                          <w:b/>
                          <w:sz w:val="24"/>
                        </w:rPr>
                        <w:t>ESCALA DE EVALUACIÓN – PRODUCTO 1 (GRUPAL)</w:t>
                      </w:r>
                    </w:p>
                    <w:p w14:paraId="51975FED" w14:textId="77777777" w:rsidR="007A505B" w:rsidRDefault="007A505B" w:rsidP="007A505B"/>
                  </w:txbxContent>
                </v:textbox>
                <w10:wrap anchorx="margin"/>
              </v:rect>
            </w:pict>
          </mc:Fallback>
        </mc:AlternateContent>
      </w:r>
    </w:p>
    <w:p w14:paraId="5AA0DC2D"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682B9AAA" w14:textId="77777777" w:rsidR="007A505B" w:rsidRPr="007A505B" w:rsidRDefault="007A505B" w:rsidP="007A505B">
      <w:pPr>
        <w:spacing w:after="0"/>
        <w:ind w:left="1418" w:right="1127"/>
        <w:rPr>
          <w:rFonts w:ascii="Calibri" w:eastAsia="Calibri" w:hAnsi="Calibri" w:cs="Calibri"/>
          <w:color w:val="0070C0"/>
          <w:kern w:val="0"/>
          <w:sz w:val="18"/>
          <w:szCs w:val="18"/>
          <w:lang w:eastAsia="es-CR"/>
          <w14:ligatures w14:val="none"/>
        </w:rPr>
      </w:pPr>
      <w:r w:rsidRPr="007A505B">
        <w:rPr>
          <w:rFonts w:ascii="Calibri" w:eastAsia="Calibri" w:hAnsi="Calibri" w:cs="Calibri"/>
          <w:color w:val="0070C0"/>
          <w:kern w:val="0"/>
          <w:sz w:val="18"/>
          <w:szCs w:val="18"/>
          <w:lang w:eastAsia="es-CR"/>
          <w14:ligatures w14:val="none"/>
        </w:rPr>
        <w:t>El primer producto del Seminario de Graduación es un informe final de investigación que incluye: a) presentación del tema y el planteamiento inicial del problema, b) informe inicial de la investigación bibliográfica y de campo, c) replanteamiento del problema y las preguntas de la investigación, d) desarrollo de las metodologías de investigación, e) implementación de las metodologías, f) resultados de la investigación. Se evalúa con la siguiente escala. Se entrega en la sesión 15 y tiene un valor de 60% de la nota.</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4038"/>
        <w:gridCol w:w="465"/>
        <w:gridCol w:w="450"/>
        <w:gridCol w:w="450"/>
        <w:gridCol w:w="451"/>
        <w:gridCol w:w="450"/>
        <w:gridCol w:w="452"/>
        <w:gridCol w:w="777"/>
        <w:gridCol w:w="5639"/>
      </w:tblGrid>
      <w:tr w:rsidR="007A505B" w:rsidRPr="007A505B" w14:paraId="6CB20D4A" w14:textId="77777777" w:rsidTr="00CE7124">
        <w:trPr>
          <w:trHeight w:val="564"/>
          <w:jc w:val="center"/>
        </w:trPr>
        <w:tc>
          <w:tcPr>
            <w:tcW w:w="4038" w:type="dxa"/>
            <w:shd w:val="clear" w:color="auto" w:fill="002060"/>
            <w:vAlign w:val="center"/>
          </w:tcPr>
          <w:p w14:paraId="6BD9504F" w14:textId="77777777" w:rsidR="007A505B" w:rsidRPr="007A505B" w:rsidRDefault="007A505B" w:rsidP="007A505B">
            <w:pPr>
              <w:spacing w:after="0" w:line="240" w:lineRule="auto"/>
              <w:ind w:left="375" w:right="3" w:hanging="10"/>
              <w:jc w:val="center"/>
              <w:rPr>
                <w:rFonts w:ascii="Calibri" w:eastAsia="Times New Roman" w:hAnsi="Calibri" w:cs="Calibri"/>
                <w:b/>
                <w:bCs/>
                <w:color w:val="FFFFFF"/>
                <w:kern w:val="0"/>
                <w:sz w:val="20"/>
                <w:szCs w:val="20"/>
                <w:lang w:val="es-PR" w:eastAsia="es-CR"/>
                <w14:ligatures w14:val="none"/>
              </w:rPr>
            </w:pPr>
            <w:r w:rsidRPr="007A505B">
              <w:rPr>
                <w:rFonts w:ascii="Calibri" w:eastAsia="Times New Roman" w:hAnsi="Calibri" w:cs="Calibri"/>
                <w:b/>
                <w:bCs/>
                <w:color w:val="FFFFFF"/>
                <w:kern w:val="0"/>
                <w:sz w:val="24"/>
                <w:szCs w:val="24"/>
                <w:lang w:val="es-PR" w:eastAsia="es-CR"/>
                <w14:ligatures w14:val="none"/>
              </w:rPr>
              <w:t>Criterios/Indicadores</w:t>
            </w:r>
          </w:p>
        </w:tc>
        <w:tc>
          <w:tcPr>
            <w:tcW w:w="465" w:type="dxa"/>
            <w:shd w:val="clear" w:color="auto" w:fill="002060"/>
            <w:vAlign w:val="center"/>
          </w:tcPr>
          <w:p w14:paraId="0AEADDC4"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5</w:t>
            </w:r>
          </w:p>
        </w:tc>
        <w:tc>
          <w:tcPr>
            <w:tcW w:w="450" w:type="dxa"/>
            <w:shd w:val="clear" w:color="auto" w:fill="002060"/>
            <w:vAlign w:val="center"/>
          </w:tcPr>
          <w:p w14:paraId="6F4A4D71" w14:textId="77777777" w:rsidR="007A505B" w:rsidRPr="007A505B" w:rsidRDefault="007A505B" w:rsidP="007A505B">
            <w:pPr>
              <w:tabs>
                <w:tab w:val="left" w:pos="2772"/>
              </w:tabs>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4</w:t>
            </w:r>
          </w:p>
        </w:tc>
        <w:tc>
          <w:tcPr>
            <w:tcW w:w="450" w:type="dxa"/>
            <w:shd w:val="clear" w:color="auto" w:fill="002060"/>
            <w:vAlign w:val="center"/>
          </w:tcPr>
          <w:p w14:paraId="1089CC75"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3</w:t>
            </w:r>
          </w:p>
        </w:tc>
        <w:tc>
          <w:tcPr>
            <w:tcW w:w="451" w:type="dxa"/>
            <w:shd w:val="clear" w:color="auto" w:fill="002060"/>
            <w:vAlign w:val="center"/>
          </w:tcPr>
          <w:p w14:paraId="11756745"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2</w:t>
            </w:r>
          </w:p>
        </w:tc>
        <w:tc>
          <w:tcPr>
            <w:tcW w:w="450" w:type="dxa"/>
            <w:shd w:val="clear" w:color="auto" w:fill="002060"/>
            <w:vAlign w:val="center"/>
          </w:tcPr>
          <w:p w14:paraId="60076F79"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1</w:t>
            </w:r>
          </w:p>
        </w:tc>
        <w:tc>
          <w:tcPr>
            <w:tcW w:w="452" w:type="dxa"/>
            <w:shd w:val="clear" w:color="auto" w:fill="002060"/>
            <w:vAlign w:val="center"/>
          </w:tcPr>
          <w:p w14:paraId="184C51A5"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0</w:t>
            </w:r>
          </w:p>
        </w:tc>
        <w:tc>
          <w:tcPr>
            <w:tcW w:w="777" w:type="dxa"/>
            <w:shd w:val="clear" w:color="auto" w:fill="002060"/>
            <w:vAlign w:val="center"/>
          </w:tcPr>
          <w:p w14:paraId="42E4F4DE"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Pts.</w:t>
            </w:r>
          </w:p>
        </w:tc>
        <w:tc>
          <w:tcPr>
            <w:tcW w:w="5639" w:type="dxa"/>
            <w:shd w:val="clear" w:color="auto" w:fill="002060"/>
            <w:vAlign w:val="bottom"/>
          </w:tcPr>
          <w:p w14:paraId="6492BEE4" w14:textId="77777777" w:rsidR="007A505B" w:rsidRPr="007A505B" w:rsidRDefault="007A505B" w:rsidP="007A505B">
            <w:pPr>
              <w:spacing w:after="0" w:line="360" w:lineRule="auto"/>
              <w:ind w:left="375" w:right="3" w:hanging="10"/>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Comentarios</w:t>
            </w:r>
          </w:p>
        </w:tc>
      </w:tr>
      <w:tr w:rsidR="007A505B" w:rsidRPr="007A505B" w14:paraId="78B6ECDB" w14:textId="77777777" w:rsidTr="007A505B">
        <w:trPr>
          <w:trHeight w:val="233"/>
          <w:jc w:val="center"/>
        </w:trPr>
        <w:tc>
          <w:tcPr>
            <w:tcW w:w="4038" w:type="dxa"/>
            <w:shd w:val="clear" w:color="auto" w:fill="F2F2F2"/>
            <w:vAlign w:val="center"/>
          </w:tcPr>
          <w:p w14:paraId="05B4AF45" w14:textId="77777777" w:rsidR="007A505B" w:rsidRPr="007A505B" w:rsidRDefault="007A505B" w:rsidP="007A505B">
            <w:pPr>
              <w:spacing w:after="0" w:line="240" w:lineRule="auto"/>
              <w:ind w:right="3"/>
              <w:jc w:val="both"/>
              <w:rPr>
                <w:rFonts w:ascii="Calibri" w:eastAsia="Times New Roman" w:hAnsi="Calibri" w:cs="Calibri"/>
                <w:kern w:val="0"/>
                <w:sz w:val="18"/>
                <w:szCs w:val="18"/>
                <w:lang w:val="es-PR" w:eastAsia="es-CR"/>
                <w14:ligatures w14:val="none"/>
              </w:rPr>
            </w:pPr>
            <w:r w:rsidRPr="007A505B">
              <w:rPr>
                <w:rFonts w:ascii="Calibri" w:eastAsia="Times New Roman" w:hAnsi="Calibri" w:cs="Calibri"/>
                <w:kern w:val="0"/>
                <w:sz w:val="18"/>
                <w:szCs w:val="18"/>
                <w:lang w:val="es-PR" w:eastAsia="es-CR"/>
                <w14:ligatures w14:val="none"/>
              </w:rPr>
              <w:t>1. Participa en todas las actividades del trabajo grupal: sesiones sincrónicas, foros, entrega puntual de avances (puntaje asignado por la persona docente del seminario).</w:t>
            </w:r>
          </w:p>
        </w:tc>
        <w:tc>
          <w:tcPr>
            <w:tcW w:w="465" w:type="dxa"/>
          </w:tcPr>
          <w:p w14:paraId="7FB4A661"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505FDFE8"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91DAD1D"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5286DF3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B2F1FB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79E0B9A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3D3EED0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3218B3C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3F90AC72" w14:textId="77777777" w:rsidTr="007A505B">
        <w:trPr>
          <w:trHeight w:val="546"/>
          <w:jc w:val="center"/>
        </w:trPr>
        <w:tc>
          <w:tcPr>
            <w:tcW w:w="4038" w:type="dxa"/>
            <w:shd w:val="clear" w:color="auto" w:fill="F2F2F2"/>
            <w:vAlign w:val="center"/>
          </w:tcPr>
          <w:p w14:paraId="1CA9738A"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2. El trabajo grupal tiene una estructura coherente: observancia del hilo conductor entre partes del informe, la introducción y la conclusión.</w:t>
            </w:r>
          </w:p>
        </w:tc>
        <w:tc>
          <w:tcPr>
            <w:tcW w:w="465" w:type="dxa"/>
          </w:tcPr>
          <w:p w14:paraId="2BC230D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53D8EC1E"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3E71B5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14105CF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52CAC4A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47E6DD23"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7EBE507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6621F3B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41F798EF" w14:textId="77777777" w:rsidTr="007A505B">
        <w:trPr>
          <w:trHeight w:val="292"/>
          <w:jc w:val="center"/>
        </w:trPr>
        <w:tc>
          <w:tcPr>
            <w:tcW w:w="4038" w:type="dxa"/>
            <w:shd w:val="clear" w:color="auto" w:fill="F2F2F2"/>
            <w:vAlign w:val="center"/>
          </w:tcPr>
          <w:p w14:paraId="2C3464E3"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3. El trabajo evidencia profundidad en la reflexión: análisis y conocimiento del tema acorde con el nivel académico del bachillerato.</w:t>
            </w:r>
          </w:p>
        </w:tc>
        <w:tc>
          <w:tcPr>
            <w:tcW w:w="465" w:type="dxa"/>
          </w:tcPr>
          <w:p w14:paraId="710F1946"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6B499733"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13A7AA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3B7F837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25E3A50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293DF9D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49A5BAB1"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75F7E42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6BB612F2" w14:textId="77777777" w:rsidTr="007A505B">
        <w:trPr>
          <w:trHeight w:val="546"/>
          <w:jc w:val="center"/>
        </w:trPr>
        <w:tc>
          <w:tcPr>
            <w:tcW w:w="4038" w:type="dxa"/>
            <w:shd w:val="clear" w:color="auto" w:fill="F2F2F2"/>
            <w:vAlign w:val="center"/>
          </w:tcPr>
          <w:p w14:paraId="52B2E5A9"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4. El producto de investigación evidencia la pertinencia y relevancia del tema y de manera clara en consonancia con la propuesta de investigación.</w:t>
            </w:r>
          </w:p>
        </w:tc>
        <w:tc>
          <w:tcPr>
            <w:tcW w:w="465" w:type="dxa"/>
          </w:tcPr>
          <w:p w14:paraId="3421604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7F7691F9"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2CB010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40F3683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54F318A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0D05680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2374B893"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4FD9A5A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6A580B5F" w14:textId="77777777" w:rsidTr="007A505B">
        <w:trPr>
          <w:trHeight w:val="334"/>
          <w:jc w:val="center"/>
        </w:trPr>
        <w:tc>
          <w:tcPr>
            <w:tcW w:w="4038" w:type="dxa"/>
            <w:shd w:val="clear" w:color="auto" w:fill="F2F2F2"/>
            <w:vAlign w:val="center"/>
          </w:tcPr>
          <w:p w14:paraId="4301CF17"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5. El producto evidencia equilibrio entre las áreas temáticas interrelacionadas que el tema requiere (teológicas, bíblicas, pastorales, sociales).</w:t>
            </w:r>
          </w:p>
        </w:tc>
        <w:tc>
          <w:tcPr>
            <w:tcW w:w="465" w:type="dxa"/>
          </w:tcPr>
          <w:p w14:paraId="377284E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F60E902"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3D7C4D3"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07A696F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CFB349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6C1C4B2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147D1FD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1F3C60B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2E9BB43F" w14:textId="77777777" w:rsidTr="007A505B">
        <w:trPr>
          <w:trHeight w:val="334"/>
          <w:jc w:val="center"/>
        </w:trPr>
        <w:tc>
          <w:tcPr>
            <w:tcW w:w="4038" w:type="dxa"/>
            <w:shd w:val="clear" w:color="auto" w:fill="F2F2F2"/>
            <w:vAlign w:val="center"/>
          </w:tcPr>
          <w:p w14:paraId="4EB93E1C"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6. El trabajo se realizó en forma colaborativa con aportes desarrollados de manera organizada entre las personas del grupo.</w:t>
            </w:r>
          </w:p>
        </w:tc>
        <w:tc>
          <w:tcPr>
            <w:tcW w:w="465" w:type="dxa"/>
          </w:tcPr>
          <w:p w14:paraId="3390A90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FB0C70F"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BD164A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3B0F9BE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60DCFE6D"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1919921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050529F6"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3227740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0AE7EB88" w14:textId="77777777" w:rsidTr="007A505B">
        <w:trPr>
          <w:trHeight w:val="334"/>
          <w:jc w:val="center"/>
        </w:trPr>
        <w:tc>
          <w:tcPr>
            <w:tcW w:w="4038" w:type="dxa"/>
            <w:shd w:val="clear" w:color="auto" w:fill="F2F2F2"/>
            <w:vAlign w:val="center"/>
          </w:tcPr>
          <w:p w14:paraId="265E9E18"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7. La redacción, sintaxis y uso del lenguaje son claros y aptos para un trabajo académico.</w:t>
            </w:r>
          </w:p>
        </w:tc>
        <w:tc>
          <w:tcPr>
            <w:tcW w:w="465" w:type="dxa"/>
          </w:tcPr>
          <w:p w14:paraId="16E3C3F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AE13B30"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6DA8683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70B306A1"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F124A0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1BAF7611"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35513D7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08B10A61"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297ADD4E" w14:textId="77777777" w:rsidTr="007A505B">
        <w:trPr>
          <w:trHeight w:val="334"/>
          <w:jc w:val="center"/>
        </w:trPr>
        <w:tc>
          <w:tcPr>
            <w:tcW w:w="4038" w:type="dxa"/>
            <w:shd w:val="clear" w:color="auto" w:fill="F2F2F2"/>
            <w:vAlign w:val="center"/>
          </w:tcPr>
          <w:p w14:paraId="7E436E09" w14:textId="77777777" w:rsidR="007A505B" w:rsidRPr="007A505B" w:rsidRDefault="007A505B" w:rsidP="007A505B">
            <w:pPr>
              <w:spacing w:after="0" w:line="240" w:lineRule="auto"/>
              <w:ind w:right="3"/>
              <w:jc w:val="both"/>
              <w:rPr>
                <w:rFonts w:ascii="Calibri" w:eastAsia="Times New Roman" w:hAnsi="Calibri" w:cs="Calibri"/>
                <w:color w:val="000000"/>
                <w:kern w:val="0"/>
                <w:sz w:val="18"/>
                <w:szCs w:val="18"/>
                <w:lang w:val="es-PR" w:eastAsia="es-CR"/>
                <w14:ligatures w14:val="none"/>
              </w:rPr>
            </w:pPr>
            <w:r w:rsidRPr="007A505B">
              <w:rPr>
                <w:rFonts w:ascii="Calibri" w:eastAsia="Times New Roman" w:hAnsi="Calibri" w:cs="Calibri"/>
                <w:color w:val="000000"/>
                <w:kern w:val="0"/>
                <w:sz w:val="18"/>
                <w:szCs w:val="18"/>
                <w:lang w:val="es-PR" w:eastAsia="es-CR"/>
                <w14:ligatures w14:val="none"/>
              </w:rPr>
              <w:t>8. Usa adecuadamente las técnicas de investigación y el sistema de citas y referencias bibliográficas oficiales de la universidad.</w:t>
            </w:r>
          </w:p>
        </w:tc>
        <w:tc>
          <w:tcPr>
            <w:tcW w:w="465" w:type="dxa"/>
          </w:tcPr>
          <w:p w14:paraId="7BE140D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B821FDA"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A0C9F4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7147194B"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FA23C6B"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1DF4BD8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5118742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322DFE2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600C6B1C" w14:textId="77777777" w:rsidTr="007A505B">
        <w:trPr>
          <w:trHeight w:val="308"/>
          <w:jc w:val="center"/>
        </w:trPr>
        <w:tc>
          <w:tcPr>
            <w:tcW w:w="6756" w:type="dxa"/>
            <w:gridSpan w:val="7"/>
            <w:shd w:val="clear" w:color="auto" w:fill="FFFFFF"/>
            <w:vAlign w:val="center"/>
          </w:tcPr>
          <w:p w14:paraId="6988BE58" w14:textId="77777777" w:rsidR="007A505B" w:rsidRPr="007A505B" w:rsidRDefault="007A505B" w:rsidP="007A505B">
            <w:pPr>
              <w:spacing w:after="0" w:line="360" w:lineRule="auto"/>
              <w:ind w:left="375" w:right="3" w:hanging="10"/>
              <w:jc w:val="center"/>
              <w:rPr>
                <w:rFonts w:ascii="Calibri" w:eastAsia="Times New Roman" w:hAnsi="Calibri" w:cs="Calibri"/>
                <w:i/>
                <w:color w:val="000000"/>
                <w:kern w:val="0"/>
                <w:sz w:val="2"/>
                <w:szCs w:val="20"/>
                <w:lang w:val="es-PR" w:eastAsia="es-CR"/>
                <w14:ligatures w14:val="none"/>
              </w:rPr>
            </w:pPr>
            <w:r w:rsidRPr="007A505B">
              <w:rPr>
                <w:rFonts w:ascii="Calibri" w:eastAsia="Times New Roman" w:hAnsi="Calibri" w:cs="Calibri"/>
                <w:b/>
                <w:color w:val="000000"/>
                <w:kern w:val="0"/>
                <w:sz w:val="24"/>
                <w:szCs w:val="20"/>
                <w:lang w:val="es-PR" w:eastAsia="es-CR"/>
                <w14:ligatures w14:val="none"/>
              </w:rPr>
              <w:t>Total</w:t>
            </w:r>
          </w:p>
        </w:tc>
        <w:tc>
          <w:tcPr>
            <w:tcW w:w="777" w:type="dxa"/>
          </w:tcPr>
          <w:p w14:paraId="3DFB1AF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6546969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bl>
    <w:p w14:paraId="5775F0DB"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62A5D9AC"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0F9C8CB4" w14:textId="77777777" w:rsidR="007A505B" w:rsidRPr="007A505B" w:rsidRDefault="007A505B" w:rsidP="007A505B">
      <w:pPr>
        <w:spacing w:after="0" w:line="240" w:lineRule="auto"/>
        <w:ind w:left="375" w:right="3" w:hanging="10"/>
        <w:jc w:val="center"/>
        <w:rPr>
          <w:rFonts w:ascii="Calibri" w:eastAsia="Calibri" w:hAnsi="Calibri" w:cs="Calibri"/>
          <w:color w:val="000000"/>
          <w:kern w:val="0"/>
          <w:sz w:val="20"/>
          <w:lang w:eastAsia="es-CR"/>
          <w14:ligatures w14:val="none"/>
        </w:rPr>
      </w:pPr>
      <w:r w:rsidRPr="007A505B">
        <w:rPr>
          <w:rFonts w:ascii="Calibri" w:eastAsia="Calibri" w:hAnsi="Calibri" w:cs="Calibri"/>
          <w:b/>
          <w:color w:val="000000"/>
          <w:kern w:val="0"/>
          <w:sz w:val="20"/>
          <w:lang w:eastAsia="es-CR"/>
          <w14:ligatures w14:val="none"/>
        </w:rPr>
        <w:t>Clave:</w:t>
      </w:r>
      <w:r w:rsidRPr="007A505B">
        <w:rPr>
          <w:rFonts w:ascii="Calibri" w:eastAsia="Calibri" w:hAnsi="Calibri" w:cs="Calibri"/>
          <w:color w:val="000000"/>
          <w:kern w:val="0"/>
          <w:sz w:val="20"/>
          <w:lang w:eastAsia="es-CR"/>
          <w14:ligatures w14:val="none"/>
        </w:rPr>
        <w:t xml:space="preserve"> 5= Cumple a cabalidad; 4= Cumple en casi todos los aspectos; 3= Cumple regularmente; 2= Cumple poco; 1= Cumple muy poco; 0= No cumple del todo.</w:t>
      </w:r>
    </w:p>
    <w:p w14:paraId="03CE9A7A" w14:textId="77777777" w:rsidR="007A505B" w:rsidRPr="007A505B" w:rsidRDefault="007A505B" w:rsidP="007A505B">
      <w:pPr>
        <w:spacing w:after="0" w:line="240" w:lineRule="auto"/>
        <w:jc w:val="center"/>
        <w:rPr>
          <w:rFonts w:ascii="Calibri" w:eastAsia="Calibri" w:hAnsi="Calibri" w:cs="Calibri"/>
          <w:color w:val="000000"/>
          <w:kern w:val="0"/>
          <w:sz w:val="20"/>
          <w:lang w:eastAsia="es-CR"/>
          <w14:ligatures w14:val="none"/>
        </w:rPr>
      </w:pPr>
      <w:r w:rsidRPr="007A505B">
        <w:rPr>
          <w:rFonts w:ascii="Calibri" w:eastAsia="Calibri" w:hAnsi="Calibri" w:cs="Calibri"/>
          <w:color w:val="000000"/>
          <w:kern w:val="0"/>
          <w:sz w:val="20"/>
          <w:lang w:eastAsia="es-CR"/>
          <w14:ligatures w14:val="none"/>
        </w:rPr>
        <w:t>El puntaje máximo posible es de 40. Este puntaje se convertirá al porcentaje establecido para esta tarea.</w:t>
      </w:r>
    </w:p>
    <w:p w14:paraId="2808FFEE"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7C4F1D7B"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022AF797"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456911BB"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6AD9FD6A"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47DBAB1E" w14:textId="77777777" w:rsidR="007A505B" w:rsidRPr="007A505B" w:rsidRDefault="007A505B" w:rsidP="007A505B">
      <w:pPr>
        <w:spacing w:after="0"/>
        <w:jc w:val="center"/>
        <w:rPr>
          <w:rFonts w:ascii="Calibri" w:eastAsia="Calibri" w:hAnsi="Calibri" w:cs="Calibri"/>
          <w:color w:val="000000"/>
          <w:kern w:val="0"/>
          <w:sz w:val="20"/>
          <w:lang w:eastAsia="es-CR"/>
          <w14:ligatures w14:val="none"/>
        </w:rPr>
      </w:pPr>
    </w:p>
    <w:p w14:paraId="51406F0C" w14:textId="77777777" w:rsidR="007A505B" w:rsidRPr="007A505B" w:rsidRDefault="007A505B" w:rsidP="007A505B">
      <w:pPr>
        <w:spacing w:after="3" w:line="248" w:lineRule="auto"/>
        <w:ind w:left="375" w:right="3" w:hanging="10"/>
        <w:jc w:val="both"/>
        <w:rPr>
          <w:rFonts w:ascii="Calibri" w:eastAsia="Calibri" w:hAnsi="Calibri" w:cs="Calibri"/>
          <w:color w:val="000000"/>
          <w:kern w:val="0"/>
          <w:lang w:eastAsia="es-CR"/>
          <w14:ligatures w14:val="none"/>
        </w:rPr>
      </w:pPr>
      <w:r w:rsidRPr="007A505B">
        <w:rPr>
          <w:rFonts w:ascii="Calibri" w:eastAsia="Calibri" w:hAnsi="Calibri" w:cs="Calibri"/>
          <w:b/>
          <w:noProof/>
          <w:color w:val="000000"/>
          <w:kern w:val="0"/>
          <w:sz w:val="24"/>
          <w:lang w:eastAsia="es-CR"/>
          <w14:ligatures w14:val="none"/>
        </w:rPr>
        <mc:AlternateContent>
          <mc:Choice Requires="wps">
            <w:drawing>
              <wp:anchor distT="0" distB="0" distL="114300" distR="114300" simplePos="0" relativeHeight="252662784" behindDoc="0" locked="0" layoutInCell="1" allowOverlap="1" wp14:anchorId="02A0D0BC" wp14:editId="6E746CB3">
                <wp:simplePos x="0" y="0"/>
                <wp:positionH relativeFrom="margin">
                  <wp:align>center</wp:align>
                </wp:positionH>
                <wp:positionV relativeFrom="paragraph">
                  <wp:posOffset>16827</wp:posOffset>
                </wp:positionV>
                <wp:extent cx="7917180" cy="297180"/>
                <wp:effectExtent l="0" t="0" r="26670" b="26670"/>
                <wp:wrapNone/>
                <wp:docPr id="237958235" name="Rectángulo 2"/>
                <wp:cNvGraphicFramePr/>
                <a:graphic xmlns:a="http://schemas.openxmlformats.org/drawingml/2006/main">
                  <a:graphicData uri="http://schemas.microsoft.com/office/word/2010/wordprocessingShape">
                    <wps:wsp>
                      <wps:cNvSpPr/>
                      <wps:spPr>
                        <a:xfrm>
                          <a:off x="0" y="0"/>
                          <a:ext cx="7917180" cy="29718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DD78E7A" w14:textId="77777777" w:rsidR="007A505B" w:rsidRPr="0045270C" w:rsidRDefault="007A505B" w:rsidP="007A505B">
                            <w:pPr>
                              <w:jc w:val="center"/>
                              <w:rPr>
                                <w:b/>
                                <w:sz w:val="24"/>
                              </w:rPr>
                            </w:pPr>
                            <w:r>
                              <w:rPr>
                                <w:b/>
                                <w:sz w:val="24"/>
                              </w:rPr>
                              <w:t>ESCALA DE EVALUACIÓN – PRODUCTO 2 (INDIVIDUAL)</w:t>
                            </w:r>
                          </w:p>
                          <w:p w14:paraId="3181BB02" w14:textId="77777777" w:rsidR="007A505B" w:rsidRDefault="007A505B" w:rsidP="007A505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0D0BC" id="Rectángulo 2" o:spid="_x0000_s1270" style="position:absolute;left:0;text-align:left;margin-left:0;margin-top:1.3pt;width:623.4pt;height:23.4pt;z-index:252662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" fillcolor="window" strokecolor="windowText" strokeweight=".25pt">
                <v:textbox>
                  <w:txbxContent>
                    <w:p w14:paraId="5DD78E7A" w14:textId="77777777" w:rsidR="007A505B" w:rsidRPr="0045270C" w:rsidRDefault="007A505B" w:rsidP="007A505B">
                      <w:pPr>
                        <w:jc w:val="center"/>
                        <w:rPr>
                          <w:b/>
                          <w:sz w:val="24"/>
                        </w:rPr>
                      </w:pPr>
                      <w:r>
                        <w:rPr>
                          <w:b/>
                          <w:sz w:val="24"/>
                        </w:rPr>
                        <w:t>ESCALA DE EVALUACIÓN – PRODUCTO 2 (INDIVIDUAL)</w:t>
                      </w:r>
                    </w:p>
                    <w:p w14:paraId="3181BB02" w14:textId="77777777" w:rsidR="007A505B" w:rsidRDefault="007A505B" w:rsidP="007A505B"/>
                  </w:txbxContent>
                </v:textbox>
                <w10:wrap anchorx="margin"/>
              </v:rect>
            </w:pict>
          </mc:Fallback>
        </mc:AlternateContent>
      </w:r>
    </w:p>
    <w:p w14:paraId="2FF0EE56" w14:textId="77777777" w:rsidR="007A505B" w:rsidRPr="007A505B" w:rsidRDefault="007A505B" w:rsidP="007A505B">
      <w:pPr>
        <w:spacing w:after="3" w:line="248" w:lineRule="auto"/>
        <w:ind w:left="375" w:right="3" w:hanging="10"/>
        <w:jc w:val="both"/>
        <w:rPr>
          <w:rFonts w:ascii="Calibri" w:eastAsia="Calibri" w:hAnsi="Calibri" w:cs="Calibri"/>
          <w:color w:val="000000"/>
          <w:kern w:val="0"/>
          <w:lang w:eastAsia="es-CR"/>
          <w14:ligatures w14:val="none"/>
        </w:rPr>
      </w:pPr>
    </w:p>
    <w:p w14:paraId="48F41DF4" w14:textId="77777777" w:rsidR="007A505B" w:rsidRPr="007A505B" w:rsidRDefault="007A505B" w:rsidP="007A505B">
      <w:pPr>
        <w:tabs>
          <w:tab w:val="left" w:pos="5790"/>
        </w:tabs>
        <w:spacing w:after="3" w:line="248" w:lineRule="auto"/>
        <w:ind w:left="1560" w:right="1410" w:hanging="10"/>
        <w:jc w:val="both"/>
        <w:rPr>
          <w:rFonts w:ascii="Calibri" w:eastAsia="Calibri" w:hAnsi="Calibri" w:cs="Calibri"/>
          <w:color w:val="000000"/>
          <w:kern w:val="0"/>
          <w:sz w:val="20"/>
          <w:lang w:eastAsia="es-CR"/>
          <w14:ligatures w14:val="none"/>
        </w:rPr>
      </w:pPr>
      <w:r w:rsidRPr="007A505B">
        <w:rPr>
          <w:rFonts w:ascii="Calibri" w:eastAsia="Calibri" w:hAnsi="Calibri" w:cs="Calibri"/>
          <w:color w:val="000000"/>
          <w:kern w:val="0"/>
          <w:sz w:val="20"/>
          <w:lang w:eastAsia="es-CR"/>
          <w14:ligatures w14:val="none"/>
        </w:rPr>
        <w:tab/>
      </w:r>
      <w:r w:rsidRPr="007A505B">
        <w:rPr>
          <w:rFonts w:ascii="Calibri" w:eastAsia="Calibri" w:hAnsi="Calibri" w:cs="Calibri"/>
          <w:color w:val="0070C0"/>
          <w:kern w:val="0"/>
          <w:sz w:val="20"/>
          <w:lang w:eastAsia="es-CR"/>
          <w14:ligatures w14:val="none"/>
        </w:rPr>
        <w:t>E</w:t>
      </w:r>
      <w:r w:rsidRPr="007A505B">
        <w:rPr>
          <w:rFonts w:ascii="Calibri" w:eastAsia="Calibri" w:hAnsi="Calibri" w:cs="Calibri"/>
          <w:color w:val="0070C0"/>
          <w:kern w:val="0"/>
          <w:szCs w:val="24"/>
          <w:lang w:eastAsia="es-CR"/>
          <w14:ligatures w14:val="none"/>
        </w:rPr>
        <w:t>l segundo producto del Seminario de Graduación es el informe de resultados de una investigación individual. Se evalúa según esta escala, se entrega en la sesión 15 y tiene el valor de 40%.</w:t>
      </w:r>
    </w:p>
    <w:tbl>
      <w:tblPr>
        <w:tblpPr w:leftFromText="141" w:rightFromText="141" w:vertAnchor="text" w:horzAnchor="page" w:tblpXSpec="center" w:tblpY="252"/>
        <w:tblW w:w="1317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4038"/>
        <w:gridCol w:w="465"/>
        <w:gridCol w:w="450"/>
        <w:gridCol w:w="450"/>
        <w:gridCol w:w="451"/>
        <w:gridCol w:w="450"/>
        <w:gridCol w:w="452"/>
        <w:gridCol w:w="777"/>
        <w:gridCol w:w="5639"/>
      </w:tblGrid>
      <w:tr w:rsidR="007A505B" w:rsidRPr="007A505B" w14:paraId="7CC0E4EE" w14:textId="77777777" w:rsidTr="00CE7124">
        <w:trPr>
          <w:trHeight w:val="564"/>
        </w:trPr>
        <w:tc>
          <w:tcPr>
            <w:tcW w:w="4038" w:type="dxa"/>
            <w:shd w:val="clear" w:color="auto" w:fill="002060"/>
            <w:vAlign w:val="center"/>
          </w:tcPr>
          <w:p w14:paraId="582DE2C5" w14:textId="77777777" w:rsidR="007A505B" w:rsidRPr="007A505B" w:rsidRDefault="007A505B" w:rsidP="007A505B">
            <w:pPr>
              <w:spacing w:after="0" w:line="240" w:lineRule="auto"/>
              <w:ind w:left="375" w:right="3" w:hanging="10"/>
              <w:jc w:val="center"/>
              <w:rPr>
                <w:rFonts w:ascii="Calibri" w:eastAsia="Times New Roman" w:hAnsi="Calibri" w:cs="Calibri"/>
                <w:b/>
                <w:bCs/>
                <w:color w:val="FFFFFF"/>
                <w:kern w:val="0"/>
                <w:sz w:val="20"/>
                <w:szCs w:val="20"/>
                <w:lang w:val="es-PR" w:eastAsia="es-CR"/>
                <w14:ligatures w14:val="none"/>
              </w:rPr>
            </w:pPr>
            <w:r w:rsidRPr="007A505B">
              <w:rPr>
                <w:rFonts w:ascii="Calibri" w:eastAsia="Times New Roman" w:hAnsi="Calibri" w:cs="Calibri"/>
                <w:b/>
                <w:bCs/>
                <w:color w:val="FFFFFF"/>
                <w:kern w:val="0"/>
                <w:sz w:val="24"/>
                <w:szCs w:val="24"/>
                <w:lang w:val="es-PR" w:eastAsia="es-CR"/>
                <w14:ligatures w14:val="none"/>
              </w:rPr>
              <w:t>Criterios/Indicadores</w:t>
            </w:r>
          </w:p>
        </w:tc>
        <w:tc>
          <w:tcPr>
            <w:tcW w:w="465" w:type="dxa"/>
            <w:shd w:val="clear" w:color="auto" w:fill="002060"/>
            <w:vAlign w:val="center"/>
          </w:tcPr>
          <w:p w14:paraId="73618431"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5</w:t>
            </w:r>
          </w:p>
        </w:tc>
        <w:tc>
          <w:tcPr>
            <w:tcW w:w="450" w:type="dxa"/>
            <w:shd w:val="clear" w:color="auto" w:fill="002060"/>
            <w:vAlign w:val="center"/>
          </w:tcPr>
          <w:p w14:paraId="7F1949D4" w14:textId="77777777" w:rsidR="007A505B" w:rsidRPr="007A505B" w:rsidRDefault="007A505B" w:rsidP="007A505B">
            <w:pPr>
              <w:tabs>
                <w:tab w:val="left" w:pos="2772"/>
              </w:tabs>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4</w:t>
            </w:r>
          </w:p>
        </w:tc>
        <w:tc>
          <w:tcPr>
            <w:tcW w:w="450" w:type="dxa"/>
            <w:shd w:val="clear" w:color="auto" w:fill="002060"/>
            <w:vAlign w:val="center"/>
          </w:tcPr>
          <w:p w14:paraId="083237F0"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3</w:t>
            </w:r>
          </w:p>
        </w:tc>
        <w:tc>
          <w:tcPr>
            <w:tcW w:w="451" w:type="dxa"/>
            <w:shd w:val="clear" w:color="auto" w:fill="002060"/>
            <w:vAlign w:val="center"/>
          </w:tcPr>
          <w:p w14:paraId="0998B7A6"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2</w:t>
            </w:r>
          </w:p>
        </w:tc>
        <w:tc>
          <w:tcPr>
            <w:tcW w:w="450" w:type="dxa"/>
            <w:shd w:val="clear" w:color="auto" w:fill="002060"/>
            <w:vAlign w:val="center"/>
          </w:tcPr>
          <w:p w14:paraId="42CA1D64"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1</w:t>
            </w:r>
          </w:p>
        </w:tc>
        <w:tc>
          <w:tcPr>
            <w:tcW w:w="452" w:type="dxa"/>
            <w:shd w:val="clear" w:color="auto" w:fill="002060"/>
            <w:vAlign w:val="center"/>
          </w:tcPr>
          <w:p w14:paraId="5ED6671C"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0</w:t>
            </w:r>
          </w:p>
        </w:tc>
        <w:tc>
          <w:tcPr>
            <w:tcW w:w="777" w:type="dxa"/>
            <w:shd w:val="clear" w:color="auto" w:fill="002060"/>
            <w:vAlign w:val="center"/>
          </w:tcPr>
          <w:p w14:paraId="623E7895" w14:textId="77777777" w:rsidR="007A505B" w:rsidRPr="007A505B" w:rsidRDefault="007A505B" w:rsidP="007A505B">
            <w:pPr>
              <w:spacing w:after="0" w:line="360" w:lineRule="auto"/>
              <w:ind w:right="3"/>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Pts.</w:t>
            </w:r>
          </w:p>
        </w:tc>
        <w:tc>
          <w:tcPr>
            <w:tcW w:w="5639" w:type="dxa"/>
            <w:shd w:val="clear" w:color="auto" w:fill="002060"/>
            <w:vAlign w:val="bottom"/>
          </w:tcPr>
          <w:p w14:paraId="11A4DD0D" w14:textId="77777777" w:rsidR="007A505B" w:rsidRPr="007A505B" w:rsidRDefault="007A505B" w:rsidP="007A505B">
            <w:pPr>
              <w:spacing w:after="0" w:line="360" w:lineRule="auto"/>
              <w:ind w:left="375" w:right="3" w:hanging="10"/>
              <w:jc w:val="center"/>
              <w:rPr>
                <w:rFonts w:ascii="Calibri" w:eastAsia="Times New Roman" w:hAnsi="Calibri" w:cs="Calibri"/>
                <w:b/>
                <w:bCs/>
                <w:iCs/>
                <w:color w:val="FFFFFF"/>
                <w:kern w:val="0"/>
                <w:sz w:val="20"/>
                <w:szCs w:val="20"/>
                <w:lang w:val="es-PR" w:eastAsia="es-CR"/>
                <w14:ligatures w14:val="none"/>
              </w:rPr>
            </w:pPr>
            <w:r w:rsidRPr="007A505B">
              <w:rPr>
                <w:rFonts w:ascii="Calibri" w:eastAsia="Times New Roman" w:hAnsi="Calibri" w:cs="Calibri"/>
                <w:b/>
                <w:bCs/>
                <w:iCs/>
                <w:color w:val="FFFFFF"/>
                <w:kern w:val="0"/>
                <w:sz w:val="24"/>
                <w:szCs w:val="24"/>
                <w:lang w:val="es-PR" w:eastAsia="es-CR"/>
                <w14:ligatures w14:val="none"/>
              </w:rPr>
              <w:t>Comentarios</w:t>
            </w:r>
          </w:p>
        </w:tc>
      </w:tr>
      <w:tr w:rsidR="007A505B" w:rsidRPr="007A505B" w14:paraId="43FD1F40" w14:textId="77777777" w:rsidTr="007A505B">
        <w:trPr>
          <w:trHeight w:val="233"/>
        </w:trPr>
        <w:tc>
          <w:tcPr>
            <w:tcW w:w="4038" w:type="dxa"/>
            <w:shd w:val="clear" w:color="auto" w:fill="F2F2F2"/>
            <w:vAlign w:val="center"/>
          </w:tcPr>
          <w:p w14:paraId="0F1B7AEC" w14:textId="77777777" w:rsidR="007A505B" w:rsidRPr="007A505B" w:rsidRDefault="007A505B" w:rsidP="007A505B">
            <w:pPr>
              <w:spacing w:after="0" w:line="240" w:lineRule="auto"/>
              <w:ind w:right="3"/>
              <w:jc w:val="both"/>
              <w:rPr>
                <w:rFonts w:ascii="Calibri" w:eastAsia="Times New Roman" w:hAnsi="Calibri" w:cs="Calibri"/>
                <w:kern w:val="0"/>
                <w:sz w:val="20"/>
                <w:szCs w:val="20"/>
                <w:lang w:val="es-PR" w:eastAsia="es-CR"/>
                <w14:ligatures w14:val="none"/>
              </w:rPr>
            </w:pPr>
            <w:r w:rsidRPr="007A505B">
              <w:rPr>
                <w:rFonts w:ascii="Calibri" w:eastAsia="Times New Roman" w:hAnsi="Calibri" w:cs="Calibri"/>
                <w:kern w:val="0"/>
                <w:sz w:val="20"/>
                <w:szCs w:val="20"/>
                <w:lang w:val="es-PR" w:eastAsia="es-CR"/>
                <w14:ligatures w14:val="none"/>
              </w:rPr>
              <w:t>1. El producto individual es original y creativo.</w:t>
            </w:r>
          </w:p>
        </w:tc>
        <w:tc>
          <w:tcPr>
            <w:tcW w:w="465" w:type="dxa"/>
          </w:tcPr>
          <w:p w14:paraId="2C4757F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806B3B0"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42844A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57DF5D3D"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2F08D67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0117420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744D015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4939A85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351C57D3" w14:textId="77777777" w:rsidTr="007A505B">
        <w:trPr>
          <w:trHeight w:val="546"/>
        </w:trPr>
        <w:tc>
          <w:tcPr>
            <w:tcW w:w="4038" w:type="dxa"/>
            <w:shd w:val="clear" w:color="auto" w:fill="F2F2F2"/>
            <w:vAlign w:val="center"/>
          </w:tcPr>
          <w:p w14:paraId="60A4B2D0"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2. El producto es coherente con la investigación y resultados del producto grupal.</w:t>
            </w:r>
          </w:p>
        </w:tc>
        <w:tc>
          <w:tcPr>
            <w:tcW w:w="465" w:type="dxa"/>
          </w:tcPr>
          <w:p w14:paraId="296CCA3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D96E5CA"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0FA649B"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10F2493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9EF20E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25CD8BD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597B909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74672C53"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3214A5F4" w14:textId="77777777" w:rsidTr="007A505B">
        <w:trPr>
          <w:trHeight w:val="292"/>
        </w:trPr>
        <w:tc>
          <w:tcPr>
            <w:tcW w:w="4038" w:type="dxa"/>
            <w:shd w:val="clear" w:color="auto" w:fill="F2F2F2"/>
            <w:vAlign w:val="center"/>
          </w:tcPr>
          <w:p w14:paraId="1B62143E"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3. El producto incluye una introducción que establece el público al que se dirige el proyecto o insumo y el objetivo.</w:t>
            </w:r>
          </w:p>
        </w:tc>
        <w:tc>
          <w:tcPr>
            <w:tcW w:w="465" w:type="dxa"/>
          </w:tcPr>
          <w:p w14:paraId="1CAF592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DFC03B7"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8272F1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3246544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F1B25B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5F82D11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389C69F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639A50A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21372534" w14:textId="77777777" w:rsidTr="007A505B">
        <w:trPr>
          <w:trHeight w:val="546"/>
        </w:trPr>
        <w:tc>
          <w:tcPr>
            <w:tcW w:w="4038" w:type="dxa"/>
            <w:shd w:val="clear" w:color="auto" w:fill="F2F2F2"/>
            <w:vAlign w:val="center"/>
          </w:tcPr>
          <w:p w14:paraId="5D2F5D94"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4. El producto se presenta de manera clara y bien estructurada.</w:t>
            </w:r>
          </w:p>
        </w:tc>
        <w:tc>
          <w:tcPr>
            <w:tcW w:w="465" w:type="dxa"/>
          </w:tcPr>
          <w:p w14:paraId="7D25CBBB"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2E05C463"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2E4BE2C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3046E95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2B71B526"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443F3BC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48E564B6"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23557A0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3EF1BFAA" w14:textId="77777777" w:rsidTr="007A505B">
        <w:trPr>
          <w:trHeight w:val="334"/>
        </w:trPr>
        <w:tc>
          <w:tcPr>
            <w:tcW w:w="4038" w:type="dxa"/>
            <w:shd w:val="clear" w:color="auto" w:fill="F2F2F2"/>
            <w:vAlign w:val="center"/>
          </w:tcPr>
          <w:p w14:paraId="5B9AFA61"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 xml:space="preserve">5. El producto evidencia manejo y adaptación de las áreas temáticas de la disciplina a la naturaleza del producto. </w:t>
            </w:r>
          </w:p>
        </w:tc>
        <w:tc>
          <w:tcPr>
            <w:tcW w:w="465" w:type="dxa"/>
          </w:tcPr>
          <w:p w14:paraId="638447CF"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64C3B19B"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4281663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793C37A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16310247"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71311F3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0486FDB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49BEFCB6"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1AFC051C" w14:textId="77777777" w:rsidTr="007A505B">
        <w:trPr>
          <w:trHeight w:val="334"/>
        </w:trPr>
        <w:tc>
          <w:tcPr>
            <w:tcW w:w="4038" w:type="dxa"/>
            <w:shd w:val="clear" w:color="auto" w:fill="F2F2F2"/>
            <w:vAlign w:val="center"/>
          </w:tcPr>
          <w:p w14:paraId="5B52A5A9"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6. La redacción, sintaxis y uso del lenguaje son claros y aptos para el público esperado del producto.</w:t>
            </w:r>
          </w:p>
        </w:tc>
        <w:tc>
          <w:tcPr>
            <w:tcW w:w="465" w:type="dxa"/>
          </w:tcPr>
          <w:p w14:paraId="0CAA3A7C"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799264B6"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002E86C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13F4CF5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1C40B8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48FB6C6E"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707B85F5"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4DCF0B94"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514C2D4A" w14:textId="77777777" w:rsidTr="007A505B">
        <w:trPr>
          <w:trHeight w:val="334"/>
        </w:trPr>
        <w:tc>
          <w:tcPr>
            <w:tcW w:w="4038" w:type="dxa"/>
            <w:shd w:val="clear" w:color="auto" w:fill="F2F2F2"/>
            <w:vAlign w:val="center"/>
          </w:tcPr>
          <w:p w14:paraId="515CBC91" w14:textId="77777777" w:rsidR="007A505B" w:rsidRPr="007A505B" w:rsidRDefault="007A505B" w:rsidP="007A505B">
            <w:pPr>
              <w:spacing w:after="0" w:line="240" w:lineRule="auto"/>
              <w:ind w:right="3"/>
              <w:jc w:val="both"/>
              <w:rPr>
                <w:rFonts w:ascii="Calibri" w:eastAsia="Times New Roman" w:hAnsi="Calibri" w:cs="Calibri"/>
                <w:color w:val="000000"/>
                <w:kern w:val="0"/>
                <w:sz w:val="20"/>
                <w:szCs w:val="20"/>
                <w:lang w:val="es-PR" w:eastAsia="es-CR"/>
                <w14:ligatures w14:val="none"/>
              </w:rPr>
            </w:pPr>
            <w:r w:rsidRPr="007A505B">
              <w:rPr>
                <w:rFonts w:ascii="Calibri" w:eastAsia="Times New Roman" w:hAnsi="Calibri" w:cs="Calibri"/>
                <w:color w:val="000000"/>
                <w:kern w:val="0"/>
                <w:sz w:val="20"/>
                <w:szCs w:val="20"/>
                <w:lang w:val="es-PR" w:eastAsia="es-CR"/>
                <w14:ligatures w14:val="none"/>
              </w:rPr>
              <w:t>7. Incluye una lista de fuentes, gráficos, ilustraciones y otros recursos utilizados para su elaboración.</w:t>
            </w:r>
          </w:p>
        </w:tc>
        <w:tc>
          <w:tcPr>
            <w:tcW w:w="465" w:type="dxa"/>
          </w:tcPr>
          <w:p w14:paraId="6DBAE5C2"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60D3093" w14:textId="77777777" w:rsidR="007A505B" w:rsidRPr="007A505B" w:rsidRDefault="007A505B" w:rsidP="007A505B">
            <w:pPr>
              <w:tabs>
                <w:tab w:val="left" w:pos="2772"/>
              </w:tabs>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330D3CDD"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1" w:type="dxa"/>
          </w:tcPr>
          <w:p w14:paraId="1DE4AC60"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0" w:type="dxa"/>
          </w:tcPr>
          <w:p w14:paraId="68B59A4A"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452" w:type="dxa"/>
          </w:tcPr>
          <w:p w14:paraId="19ED0AA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777" w:type="dxa"/>
          </w:tcPr>
          <w:p w14:paraId="35BEBFF3"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71D69CD9"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r w:rsidR="007A505B" w:rsidRPr="007A505B" w14:paraId="5CC535CC" w14:textId="77777777" w:rsidTr="007A505B">
        <w:trPr>
          <w:trHeight w:val="309"/>
        </w:trPr>
        <w:tc>
          <w:tcPr>
            <w:tcW w:w="6756" w:type="dxa"/>
            <w:gridSpan w:val="7"/>
            <w:shd w:val="clear" w:color="auto" w:fill="FFFFFF"/>
            <w:vAlign w:val="center"/>
          </w:tcPr>
          <w:p w14:paraId="72723E7B" w14:textId="77777777" w:rsidR="007A505B" w:rsidRPr="007A505B" w:rsidRDefault="007A505B" w:rsidP="007A505B">
            <w:pPr>
              <w:spacing w:after="0" w:line="360" w:lineRule="auto"/>
              <w:ind w:left="375" w:right="3" w:hanging="10"/>
              <w:jc w:val="center"/>
              <w:rPr>
                <w:rFonts w:ascii="Calibri" w:eastAsia="Times New Roman" w:hAnsi="Calibri" w:cs="Calibri"/>
                <w:i/>
                <w:color w:val="000000"/>
                <w:kern w:val="0"/>
                <w:sz w:val="2"/>
                <w:szCs w:val="20"/>
                <w:lang w:val="es-PR" w:eastAsia="es-CR"/>
                <w14:ligatures w14:val="none"/>
              </w:rPr>
            </w:pPr>
            <w:r w:rsidRPr="007A505B">
              <w:rPr>
                <w:rFonts w:ascii="Calibri" w:eastAsia="Times New Roman" w:hAnsi="Calibri" w:cs="Calibri"/>
                <w:b/>
                <w:color w:val="000000"/>
                <w:kern w:val="0"/>
                <w:sz w:val="24"/>
                <w:szCs w:val="20"/>
                <w:lang w:val="es-PR" w:eastAsia="es-CR"/>
                <w14:ligatures w14:val="none"/>
              </w:rPr>
              <w:t>Total</w:t>
            </w:r>
          </w:p>
        </w:tc>
        <w:tc>
          <w:tcPr>
            <w:tcW w:w="777" w:type="dxa"/>
          </w:tcPr>
          <w:p w14:paraId="23D3E34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c>
          <w:tcPr>
            <w:tcW w:w="5639" w:type="dxa"/>
          </w:tcPr>
          <w:p w14:paraId="12C2F888" w14:textId="77777777" w:rsidR="007A505B" w:rsidRPr="007A505B" w:rsidRDefault="007A505B" w:rsidP="007A505B">
            <w:pPr>
              <w:spacing w:after="0" w:line="360" w:lineRule="auto"/>
              <w:ind w:left="375" w:right="3" w:hanging="10"/>
              <w:jc w:val="both"/>
              <w:rPr>
                <w:rFonts w:ascii="Calibri" w:eastAsia="Times New Roman" w:hAnsi="Calibri" w:cs="Calibri"/>
                <w:i/>
                <w:color w:val="000000"/>
                <w:kern w:val="0"/>
                <w:sz w:val="20"/>
                <w:szCs w:val="20"/>
                <w:lang w:val="es-PR" w:eastAsia="es-CR"/>
                <w14:ligatures w14:val="none"/>
              </w:rPr>
            </w:pPr>
          </w:p>
        </w:tc>
      </w:tr>
    </w:tbl>
    <w:p w14:paraId="14ADBC63"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sz w:val="20"/>
          <w:lang w:eastAsia="es-CR"/>
          <w14:ligatures w14:val="none"/>
        </w:rPr>
      </w:pPr>
    </w:p>
    <w:p w14:paraId="6820DD4E"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r w:rsidRPr="007A505B">
        <w:rPr>
          <w:rFonts w:ascii="Calibri" w:eastAsia="Calibri" w:hAnsi="Calibri" w:cs="Calibri"/>
          <w:color w:val="000000"/>
          <w:kern w:val="0"/>
          <w:lang w:eastAsia="es-CR"/>
          <w14:ligatures w14:val="none"/>
        </w:rPr>
        <w:tab/>
      </w:r>
    </w:p>
    <w:p w14:paraId="4FD6F425"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0460FE1F"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1801941A"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0F9B5CB3"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563FFBCB"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6FAB807F"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216D7B9A"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002B9958"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23A662A4"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412304B9"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7778F895"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76E561FD"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58ED1C79"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1B6A27A6"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527FCF0A"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0C369445"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24E2C22E"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2A403182"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7BB8170C"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60592ADB" w14:textId="77777777" w:rsidR="007A505B" w:rsidRPr="007A505B" w:rsidRDefault="007A505B" w:rsidP="007A505B">
      <w:pPr>
        <w:tabs>
          <w:tab w:val="left" w:pos="5790"/>
        </w:tabs>
        <w:spacing w:after="3" w:line="248" w:lineRule="auto"/>
        <w:ind w:left="375" w:right="3" w:hanging="10"/>
        <w:jc w:val="both"/>
        <w:rPr>
          <w:rFonts w:ascii="Calibri" w:eastAsia="Calibri" w:hAnsi="Calibri" w:cs="Calibri"/>
          <w:color w:val="000000"/>
          <w:kern w:val="0"/>
          <w:lang w:eastAsia="es-CR"/>
          <w14:ligatures w14:val="none"/>
        </w:rPr>
      </w:pPr>
    </w:p>
    <w:p w14:paraId="57CE0B5E" w14:textId="77777777" w:rsidR="007A505B" w:rsidRPr="007A505B" w:rsidRDefault="007A505B" w:rsidP="007A505B">
      <w:pPr>
        <w:spacing w:after="3" w:line="248" w:lineRule="auto"/>
        <w:ind w:left="375" w:right="3" w:hanging="10"/>
        <w:jc w:val="center"/>
        <w:rPr>
          <w:rFonts w:ascii="Calibri" w:eastAsia="Calibri" w:hAnsi="Calibri" w:cs="Calibri"/>
          <w:color w:val="000000"/>
          <w:kern w:val="0"/>
          <w:sz w:val="20"/>
          <w:lang w:eastAsia="es-CR"/>
          <w14:ligatures w14:val="none"/>
        </w:rPr>
      </w:pPr>
      <w:r w:rsidRPr="007A505B">
        <w:rPr>
          <w:rFonts w:ascii="Calibri" w:eastAsia="Calibri" w:hAnsi="Calibri" w:cs="Calibri"/>
          <w:b/>
          <w:color w:val="000000"/>
          <w:kern w:val="0"/>
          <w:sz w:val="20"/>
          <w:lang w:eastAsia="es-CR"/>
          <w14:ligatures w14:val="none"/>
        </w:rPr>
        <w:t>Clave:</w:t>
      </w:r>
      <w:r w:rsidRPr="007A505B">
        <w:rPr>
          <w:rFonts w:ascii="Calibri" w:eastAsia="Calibri" w:hAnsi="Calibri" w:cs="Calibri"/>
          <w:color w:val="000000"/>
          <w:kern w:val="0"/>
          <w:sz w:val="20"/>
          <w:lang w:eastAsia="es-CR"/>
          <w14:ligatures w14:val="none"/>
        </w:rPr>
        <w:t xml:space="preserve"> 5= Cumple a cabalidad; 4= Cumple en casi todos los aspectos; 3= Cumple regularmente; 2= Cumple poco; 1= Cumple muy poco; 0= No cumple del todo.</w:t>
      </w:r>
    </w:p>
    <w:p w14:paraId="16970000" w14:textId="77777777" w:rsidR="007A505B" w:rsidRPr="007A505B" w:rsidRDefault="007A505B" w:rsidP="007A505B">
      <w:pPr>
        <w:spacing w:after="0"/>
        <w:jc w:val="center"/>
        <w:rPr>
          <w:rFonts w:ascii="Calibri" w:eastAsia="Calibri" w:hAnsi="Calibri" w:cs="Calibri"/>
          <w:color w:val="000000"/>
          <w:kern w:val="0"/>
          <w:sz w:val="20"/>
          <w:lang w:eastAsia="es-CR"/>
          <w14:ligatures w14:val="none"/>
        </w:rPr>
      </w:pPr>
    </w:p>
    <w:p w14:paraId="39E7B43A" w14:textId="77777777" w:rsidR="007A505B" w:rsidRPr="007A505B" w:rsidRDefault="007A505B" w:rsidP="007A505B">
      <w:pPr>
        <w:tabs>
          <w:tab w:val="left" w:pos="5790"/>
        </w:tabs>
        <w:spacing w:after="3" w:line="248" w:lineRule="auto"/>
        <w:ind w:left="375" w:right="3" w:hanging="10"/>
        <w:jc w:val="center"/>
        <w:rPr>
          <w:rFonts w:ascii="Calibri" w:eastAsia="Calibri" w:hAnsi="Calibri" w:cs="Calibri"/>
          <w:color w:val="000000"/>
          <w:kern w:val="0"/>
          <w:lang w:eastAsia="es-CR"/>
          <w14:ligatures w14:val="none"/>
        </w:rPr>
        <w:sectPr w:rsidR="007A505B" w:rsidRPr="007A505B" w:rsidSect="005C1895">
          <w:pgSz w:w="15840" w:h="12240" w:orient="landscape"/>
          <w:pgMar w:top="198" w:right="198" w:bottom="198" w:left="198" w:header="720" w:footer="720" w:gutter="0"/>
          <w:pgNumType w:start="1"/>
          <w:cols w:space="720"/>
        </w:sectPr>
      </w:pPr>
      <w:r w:rsidRPr="007A505B">
        <w:rPr>
          <w:rFonts w:ascii="Calibri" w:eastAsia="Calibri" w:hAnsi="Calibri" w:cs="Calibri"/>
          <w:color w:val="000000"/>
          <w:kern w:val="0"/>
          <w:sz w:val="20"/>
          <w:lang w:eastAsia="es-CR"/>
          <w14:ligatures w14:val="none"/>
        </w:rPr>
        <w:t>El puntaje máximo posible es de 35. Este puntaje se convertirá al porcentaje establecido para esta tarea.</w:t>
      </w:r>
    </w:p>
    <w:p w14:paraId="08F9DFB4" w14:textId="77777777" w:rsidR="007A505B" w:rsidRPr="007A505B" w:rsidRDefault="007A505B" w:rsidP="007A505B">
      <w:pPr>
        <w:spacing w:after="0"/>
        <w:rPr>
          <w:rFonts w:ascii="Calibri" w:eastAsia="Calibri" w:hAnsi="Calibri" w:cs="Calibri"/>
          <w:b/>
          <w:bCs/>
          <w:color w:val="000000"/>
          <w:kern w:val="0"/>
          <w:lang w:eastAsia="es-CR"/>
          <w14:ligatures w14:val="none"/>
        </w:rPr>
      </w:pPr>
      <w:r w:rsidRPr="007A505B">
        <w:rPr>
          <w:rFonts w:ascii="Calibri" w:eastAsia="Calibri" w:hAnsi="Calibri" w:cs="Calibri"/>
          <w:b/>
          <w:bCs/>
          <w:color w:val="000000"/>
          <w:kern w:val="0"/>
          <w:lang w:eastAsia="es-CR"/>
          <w14:ligatures w14:val="none"/>
        </w:rPr>
        <w:lastRenderedPageBreak/>
        <w:t>XI. Bibliografía obligatoria</w:t>
      </w:r>
    </w:p>
    <w:p w14:paraId="7507AC91" w14:textId="77777777" w:rsidR="007A505B" w:rsidRPr="007A505B" w:rsidRDefault="007A505B" w:rsidP="007A505B">
      <w:pPr>
        <w:spacing w:after="0"/>
        <w:rPr>
          <w:rFonts w:ascii="Calibri" w:eastAsia="Calibri" w:hAnsi="Calibri" w:cs="Calibri"/>
          <w:b/>
          <w:bCs/>
          <w:color w:val="000000"/>
          <w:kern w:val="0"/>
          <w:lang w:eastAsia="es-CR"/>
          <w14:ligatures w14:val="none"/>
        </w:rPr>
      </w:pPr>
    </w:p>
    <w:p w14:paraId="42742F03" w14:textId="77777777" w:rsidR="007A505B" w:rsidRPr="007A505B" w:rsidRDefault="007A505B" w:rsidP="007A505B">
      <w:pPr>
        <w:spacing w:after="0"/>
        <w:jc w:val="both"/>
        <w:rPr>
          <w:rFonts w:ascii="Calibri" w:eastAsia="Calibri" w:hAnsi="Calibri" w:cs="Arial"/>
          <w:bCs/>
          <w:color w:val="000000"/>
          <w:kern w:val="0"/>
          <w:lang w:eastAsia="es-CR"/>
          <w14:ligatures w14:val="none"/>
        </w:rPr>
      </w:pPr>
      <w:r w:rsidRPr="007A505B">
        <w:rPr>
          <w:rFonts w:ascii="Calibri" w:eastAsia="Calibri" w:hAnsi="Calibri" w:cs="Arial"/>
          <w:b/>
          <w:color w:val="000000"/>
          <w:kern w:val="0"/>
          <w:lang w:eastAsia="es-CR"/>
          <w14:ligatures w14:val="none"/>
        </w:rPr>
        <w:t>Nota:</w:t>
      </w:r>
      <w:r w:rsidRPr="007A505B">
        <w:rPr>
          <w:rFonts w:ascii="Calibri" w:eastAsia="Calibri" w:hAnsi="Calibri" w:cs="Arial"/>
          <w:bCs/>
          <w:color w:val="000000"/>
          <w:kern w:val="0"/>
          <w:lang w:eastAsia="es-CR"/>
          <w14:ligatures w14:val="none"/>
        </w:rPr>
        <w:t xml:space="preserve"> Los materiales que no cuentan con enlace de acceso son digitalizaciones en formato </w:t>
      </w:r>
      <w:proofErr w:type="spellStart"/>
      <w:r w:rsidRPr="007A505B">
        <w:rPr>
          <w:rFonts w:ascii="Calibri" w:eastAsia="Calibri" w:hAnsi="Calibri" w:cs="Arial"/>
          <w:bCs/>
          <w:color w:val="000000"/>
          <w:kern w:val="0"/>
          <w:lang w:eastAsia="es-CR"/>
          <w14:ligatures w14:val="none"/>
        </w:rPr>
        <w:t>pdf</w:t>
      </w:r>
      <w:proofErr w:type="spellEnd"/>
      <w:r w:rsidRPr="007A505B">
        <w:rPr>
          <w:rFonts w:ascii="Calibri" w:eastAsia="Calibri" w:hAnsi="Calibri" w:cs="Arial"/>
          <w:bCs/>
          <w:color w:val="000000"/>
          <w:kern w:val="0"/>
          <w:lang w:eastAsia="es-CR"/>
          <w14:ligatures w14:val="none"/>
        </w:rPr>
        <w:t xml:space="preserve"> de bibliografía física disponible en la Biblioteca de la UBL, los cuales se encuentran disponibles en el aula virtual.</w:t>
      </w:r>
    </w:p>
    <w:p w14:paraId="7E3C5523" w14:textId="77777777" w:rsidR="007A505B" w:rsidRPr="007A505B" w:rsidRDefault="007A505B" w:rsidP="007A505B">
      <w:pPr>
        <w:spacing w:before="240" w:after="240" w:line="247" w:lineRule="auto"/>
        <w:ind w:left="709" w:right="6" w:hanging="709"/>
        <w:jc w:val="both"/>
        <w:rPr>
          <w:rFonts w:ascii="Calibri" w:eastAsia="Arial" w:hAnsi="Calibri" w:cs="Calibri"/>
          <w:color w:val="000000"/>
          <w:kern w:val="0"/>
          <w:lang w:eastAsia="es-CR"/>
          <w14:ligatures w14:val="none"/>
        </w:rPr>
      </w:pPr>
      <w:r w:rsidRPr="007A505B">
        <w:rPr>
          <w:rFonts w:ascii="Calibri" w:eastAsia="Arial" w:hAnsi="Calibri" w:cs="Calibri"/>
          <w:color w:val="000000"/>
          <w:kern w:val="0"/>
          <w:lang w:eastAsia="es-CR"/>
          <w14:ligatures w14:val="none"/>
        </w:rPr>
        <w:t xml:space="preserve">Barrantes, Rodrigo. </w:t>
      </w:r>
      <w:r w:rsidRPr="007A505B">
        <w:rPr>
          <w:rFonts w:ascii="Calibri" w:eastAsia="Arial" w:hAnsi="Calibri" w:cs="Calibri"/>
          <w:i/>
          <w:iCs/>
          <w:color w:val="000000"/>
          <w:kern w:val="0"/>
          <w:lang w:eastAsia="es-CR"/>
          <w14:ligatures w14:val="none"/>
        </w:rPr>
        <w:t>Investigación: un camino al conocimiento, un enfoque cualitativo, cuantitativo y mixto</w:t>
      </w:r>
      <w:r w:rsidRPr="007A505B">
        <w:rPr>
          <w:rFonts w:ascii="Calibri" w:eastAsia="Arial" w:hAnsi="Calibri" w:cs="Calibri"/>
          <w:color w:val="000000"/>
          <w:kern w:val="0"/>
          <w:lang w:eastAsia="es-CR"/>
          <w14:ligatures w14:val="none"/>
        </w:rPr>
        <w:t>. San José: EUNED, 2013. (</w:t>
      </w:r>
      <w:r w:rsidRPr="007A505B">
        <w:rPr>
          <w:rFonts w:ascii="Calibri" w:eastAsia="Arial" w:hAnsi="Calibri" w:cs="Calibri"/>
          <w:color w:val="0070C0"/>
          <w:kern w:val="0"/>
          <w:lang w:eastAsia="es-CR"/>
          <w14:ligatures w14:val="none"/>
        </w:rPr>
        <w:t>clásico,</w:t>
      </w:r>
      <w:r w:rsidRPr="007A505B">
        <w:rPr>
          <w:rFonts w:ascii="Calibri" w:eastAsia="Arial" w:hAnsi="Calibri" w:cs="Calibri"/>
          <w:color w:val="000000"/>
          <w:kern w:val="0"/>
          <w:lang w:eastAsia="es-CR"/>
          <w14:ligatures w14:val="none"/>
        </w:rPr>
        <w:t xml:space="preserve"> última edición)</w:t>
      </w:r>
    </w:p>
    <w:p w14:paraId="6B9B11C1" w14:textId="77777777" w:rsidR="007A505B" w:rsidRPr="007A505B" w:rsidRDefault="007A505B" w:rsidP="007A505B">
      <w:pPr>
        <w:spacing w:before="240" w:after="240" w:line="248" w:lineRule="auto"/>
        <w:ind w:left="480" w:right="3" w:hanging="480"/>
        <w:jc w:val="both"/>
        <w:rPr>
          <w:rFonts w:ascii="Calibri" w:eastAsia="Arial" w:hAnsi="Calibri" w:cs="Calibri"/>
          <w:color w:val="000000"/>
          <w:kern w:val="0"/>
          <w:lang w:eastAsia="es-CR"/>
          <w14:ligatures w14:val="none"/>
        </w:rPr>
      </w:pPr>
      <w:proofErr w:type="spellStart"/>
      <w:r w:rsidRPr="007A505B">
        <w:rPr>
          <w:rFonts w:ascii="Calibri" w:eastAsia="Arial" w:hAnsi="Calibri" w:cs="Calibri"/>
          <w:color w:val="000000"/>
          <w:kern w:val="0"/>
          <w:lang w:eastAsia="es-CR"/>
          <w14:ligatures w14:val="none"/>
        </w:rPr>
        <w:t>Flick</w:t>
      </w:r>
      <w:proofErr w:type="spellEnd"/>
      <w:r w:rsidRPr="007A505B">
        <w:rPr>
          <w:rFonts w:ascii="Calibri" w:eastAsia="Arial" w:hAnsi="Calibri" w:cs="Calibri"/>
          <w:color w:val="000000"/>
          <w:kern w:val="0"/>
          <w:lang w:eastAsia="es-CR"/>
          <w14:ligatures w14:val="none"/>
        </w:rPr>
        <w:t xml:space="preserve">, </w:t>
      </w:r>
      <w:proofErr w:type="spellStart"/>
      <w:r w:rsidRPr="007A505B">
        <w:rPr>
          <w:rFonts w:ascii="Calibri" w:eastAsia="Arial" w:hAnsi="Calibri" w:cs="Calibri"/>
          <w:color w:val="000000"/>
          <w:kern w:val="0"/>
          <w:lang w:eastAsia="es-CR"/>
          <w14:ligatures w14:val="none"/>
        </w:rPr>
        <w:t>Uwe</w:t>
      </w:r>
      <w:proofErr w:type="spellEnd"/>
      <w:r w:rsidRPr="007A505B">
        <w:rPr>
          <w:rFonts w:ascii="Calibri" w:eastAsia="Arial" w:hAnsi="Calibri" w:cs="Calibri"/>
          <w:color w:val="000000"/>
          <w:kern w:val="0"/>
          <w:lang w:eastAsia="es-CR"/>
          <w14:ligatures w14:val="none"/>
        </w:rPr>
        <w:t xml:space="preserve">. </w:t>
      </w:r>
      <w:r w:rsidRPr="007A505B">
        <w:rPr>
          <w:rFonts w:ascii="Calibri" w:eastAsia="Arial" w:hAnsi="Calibri" w:cs="Calibri"/>
          <w:i/>
          <w:iCs/>
          <w:color w:val="000000"/>
          <w:kern w:val="0"/>
          <w:lang w:eastAsia="es-CR"/>
          <w14:ligatures w14:val="none"/>
        </w:rPr>
        <w:t>El diseño de investigación cualitativa</w:t>
      </w:r>
      <w:r w:rsidRPr="007A505B">
        <w:rPr>
          <w:rFonts w:ascii="Calibri" w:eastAsia="Arial" w:hAnsi="Calibri" w:cs="Calibri"/>
          <w:color w:val="000000"/>
          <w:kern w:val="0"/>
          <w:lang w:eastAsia="es-CR"/>
          <w14:ligatures w14:val="none"/>
        </w:rPr>
        <w:t>. Madrid: Ediciones Morata, 2015. (última edición)</w:t>
      </w:r>
    </w:p>
    <w:p w14:paraId="370504A3" w14:textId="77777777" w:rsidR="007A505B" w:rsidRPr="007A505B" w:rsidRDefault="007A505B" w:rsidP="007A505B">
      <w:pPr>
        <w:spacing w:after="3" w:line="247" w:lineRule="auto"/>
        <w:ind w:left="709" w:right="6" w:hanging="709"/>
        <w:jc w:val="both"/>
        <w:rPr>
          <w:rFonts w:ascii="Calibri" w:eastAsia="Calibri" w:hAnsi="Calibri" w:cs="Calibri"/>
          <w:color w:val="000000"/>
          <w:kern w:val="0"/>
          <w:lang w:eastAsia="es-CR"/>
          <w14:ligatures w14:val="none"/>
        </w:rPr>
      </w:pPr>
      <w:bookmarkStart w:id="69" w:name="_Hlk120005146"/>
      <w:r w:rsidRPr="007A505B">
        <w:rPr>
          <w:rFonts w:ascii="Calibri" w:eastAsia="Arial" w:hAnsi="Calibri" w:cs="Calibri"/>
          <w:color w:val="000000"/>
          <w:kern w:val="0"/>
          <w:lang w:eastAsia="es-CR"/>
          <w14:ligatures w14:val="none"/>
        </w:rPr>
        <w:t xml:space="preserve">Guirao </w:t>
      </w:r>
      <w:proofErr w:type="spellStart"/>
      <w:r w:rsidRPr="007A505B">
        <w:rPr>
          <w:rFonts w:ascii="Calibri" w:eastAsia="Arial" w:hAnsi="Calibri" w:cs="Calibri"/>
          <w:color w:val="000000"/>
          <w:kern w:val="0"/>
          <w:lang w:eastAsia="es-CR"/>
          <w14:ligatures w14:val="none"/>
        </w:rPr>
        <w:t>Goris</w:t>
      </w:r>
      <w:proofErr w:type="spellEnd"/>
      <w:r w:rsidRPr="007A505B">
        <w:rPr>
          <w:rFonts w:ascii="Calibri" w:eastAsia="Arial" w:hAnsi="Calibri" w:cs="Calibri"/>
          <w:color w:val="000000"/>
          <w:kern w:val="0"/>
          <w:lang w:eastAsia="es-CR"/>
          <w14:ligatures w14:val="none"/>
        </w:rPr>
        <w:t xml:space="preserve">, </w:t>
      </w:r>
      <w:proofErr w:type="spellStart"/>
      <w:r w:rsidRPr="007A505B">
        <w:rPr>
          <w:rFonts w:ascii="Calibri" w:eastAsia="Arial" w:hAnsi="Calibri" w:cs="Calibri"/>
          <w:color w:val="000000"/>
          <w:kern w:val="0"/>
          <w:lang w:eastAsia="es-CR"/>
          <w14:ligatures w14:val="none"/>
        </w:rPr>
        <w:t>Silamani</w:t>
      </w:r>
      <w:proofErr w:type="spellEnd"/>
      <w:r w:rsidRPr="007A505B">
        <w:rPr>
          <w:rFonts w:ascii="Calibri" w:eastAsia="Arial" w:hAnsi="Calibri" w:cs="Calibri"/>
          <w:color w:val="000000"/>
          <w:kern w:val="0"/>
          <w:lang w:eastAsia="es-CR"/>
          <w14:ligatures w14:val="none"/>
        </w:rPr>
        <w:t xml:space="preserve"> J. Adolf. Utilidad y tipos de revisión de literatura</w:t>
      </w:r>
      <w:r w:rsidRPr="007A505B">
        <w:rPr>
          <w:rFonts w:ascii="Calibri" w:eastAsia="Arial" w:hAnsi="Calibri" w:cs="Calibri"/>
          <w:i/>
          <w:iCs/>
          <w:color w:val="000000"/>
          <w:kern w:val="0"/>
          <w:lang w:eastAsia="es-CR"/>
          <w14:ligatures w14:val="none"/>
        </w:rPr>
        <w:t xml:space="preserve">. Ene, </w:t>
      </w:r>
      <w:r w:rsidRPr="007A505B">
        <w:rPr>
          <w:rFonts w:ascii="Calibri" w:eastAsia="Arial" w:hAnsi="Calibri" w:cs="Calibri"/>
          <w:color w:val="000000"/>
          <w:kern w:val="0"/>
          <w:lang w:eastAsia="es-CR"/>
          <w14:ligatures w14:val="none"/>
        </w:rPr>
        <w:t>n. 2 (2015).</w:t>
      </w:r>
      <w:r w:rsidRPr="007A505B">
        <w:rPr>
          <w:rFonts w:ascii="Calibri" w:eastAsia="Arial" w:hAnsi="Calibri" w:cs="Calibri"/>
          <w:i/>
          <w:iCs/>
          <w:color w:val="000000"/>
          <w:kern w:val="0"/>
          <w:lang w:eastAsia="es-CR"/>
          <w14:ligatures w14:val="none"/>
        </w:rPr>
        <w:t xml:space="preserve"> </w:t>
      </w:r>
      <w:r w:rsidRPr="007A505B">
        <w:rPr>
          <w:rFonts w:ascii="Calibri" w:eastAsia="Arial" w:hAnsi="Calibri" w:cs="Calibri"/>
          <w:color w:val="000000"/>
          <w:kern w:val="0"/>
          <w:lang w:eastAsia="es-CR"/>
          <w14:ligatures w14:val="none"/>
        </w:rPr>
        <w:t>Acceso el 22 de noviembre de 2022.</w:t>
      </w:r>
      <w:r w:rsidRPr="007A505B">
        <w:rPr>
          <w:rFonts w:ascii="Calibri" w:eastAsia="Calibri" w:hAnsi="Calibri" w:cs="Calibri"/>
          <w:color w:val="000000"/>
          <w:kern w:val="0"/>
          <w:lang w:eastAsia="es-CR"/>
          <w14:ligatures w14:val="none"/>
        </w:rPr>
        <w:t xml:space="preserve"> </w:t>
      </w:r>
      <w:hyperlink r:id="rId601" w:history="1">
        <w:r w:rsidRPr="007A505B">
          <w:rPr>
            <w:rFonts w:ascii="Calibri" w:eastAsia="Calibri" w:hAnsi="Calibri" w:cs="Calibri"/>
            <w:color w:val="0563C1"/>
            <w:kern w:val="0"/>
            <w:u w:val="single"/>
            <w:lang w:eastAsia="es-CR"/>
            <w14:ligatures w14:val="none"/>
          </w:rPr>
          <w:t>https://dx.doi.org/10.4321/S1988-348X2015000200002</w:t>
        </w:r>
      </w:hyperlink>
      <w:r w:rsidRPr="007A505B">
        <w:rPr>
          <w:rFonts w:ascii="Calibri" w:eastAsia="Calibri" w:hAnsi="Calibri" w:cs="Calibri"/>
          <w:color w:val="000000"/>
          <w:kern w:val="0"/>
          <w:lang w:eastAsia="es-CR"/>
          <w14:ligatures w14:val="none"/>
        </w:rPr>
        <w:t xml:space="preserve">  </w:t>
      </w:r>
    </w:p>
    <w:p w14:paraId="568FADDE" w14:textId="77777777" w:rsidR="007A505B" w:rsidRPr="007A505B" w:rsidRDefault="007A505B" w:rsidP="007A505B">
      <w:pPr>
        <w:spacing w:before="240" w:after="240" w:line="247" w:lineRule="auto"/>
        <w:ind w:left="709" w:right="6" w:hanging="709"/>
        <w:jc w:val="both"/>
        <w:rPr>
          <w:rFonts w:ascii="Calibri" w:eastAsia="Arial" w:hAnsi="Calibri" w:cs="Calibri"/>
          <w:color w:val="1155CC"/>
          <w:kern w:val="0"/>
          <w:u w:val="single"/>
          <w:lang w:eastAsia="es-CR"/>
          <w14:ligatures w14:val="none"/>
        </w:rPr>
      </w:pPr>
      <w:bookmarkStart w:id="70" w:name="_Hlk120005223"/>
      <w:bookmarkEnd w:id="69"/>
      <w:r w:rsidRPr="007A505B">
        <w:rPr>
          <w:rFonts w:ascii="Calibri" w:eastAsia="Arial" w:hAnsi="Calibri" w:cs="Calibri"/>
          <w:color w:val="000000"/>
          <w:kern w:val="0"/>
          <w:lang w:eastAsia="es-CR"/>
          <w14:ligatures w14:val="none"/>
        </w:rPr>
        <w:t xml:space="preserve">May, Janet. </w:t>
      </w:r>
      <w:r w:rsidRPr="007A505B">
        <w:rPr>
          <w:rFonts w:ascii="Calibri" w:eastAsia="Arial" w:hAnsi="Calibri" w:cs="Calibri"/>
          <w:i/>
          <w:color w:val="000000"/>
          <w:kern w:val="0"/>
          <w:lang w:eastAsia="es-CR"/>
          <w14:ligatures w14:val="none"/>
        </w:rPr>
        <w:t>Guía para la presentación de trabajos académicos</w:t>
      </w:r>
      <w:r w:rsidRPr="007A505B">
        <w:rPr>
          <w:rFonts w:ascii="Calibri" w:eastAsia="Arial" w:hAnsi="Calibri" w:cs="Calibri"/>
          <w:color w:val="000000"/>
          <w:kern w:val="0"/>
          <w:lang w:eastAsia="es-CR"/>
          <w14:ligatures w14:val="none"/>
        </w:rPr>
        <w:t>. San José, Costa Rica: Universidad Bíblica Latinoamericana, 2003. (</w:t>
      </w:r>
      <w:r w:rsidRPr="007A505B">
        <w:rPr>
          <w:rFonts w:ascii="Calibri" w:eastAsia="Arial" w:hAnsi="Calibri" w:cs="Calibri"/>
          <w:color w:val="0070C0"/>
          <w:kern w:val="0"/>
          <w:lang w:eastAsia="es-CR"/>
          <w14:ligatures w14:val="none"/>
        </w:rPr>
        <w:t xml:space="preserve">clásico, </w:t>
      </w:r>
      <w:r w:rsidRPr="007A505B">
        <w:rPr>
          <w:rFonts w:ascii="Calibri" w:eastAsia="Arial" w:hAnsi="Calibri" w:cs="Calibri"/>
          <w:color w:val="000000"/>
          <w:kern w:val="0"/>
          <w:lang w:eastAsia="es-CR"/>
          <w14:ligatures w14:val="none"/>
        </w:rPr>
        <w:t>última edición)</w:t>
      </w:r>
    </w:p>
    <w:bookmarkEnd w:id="70"/>
    <w:p w14:paraId="610DF084" w14:textId="77777777" w:rsidR="007A505B" w:rsidRPr="007A505B" w:rsidRDefault="007A505B" w:rsidP="007A505B">
      <w:pPr>
        <w:spacing w:before="240" w:after="240" w:line="247" w:lineRule="auto"/>
        <w:ind w:left="709" w:right="6" w:hanging="709"/>
        <w:jc w:val="both"/>
        <w:rPr>
          <w:rFonts w:ascii="Calibri" w:eastAsia="Arial" w:hAnsi="Calibri" w:cs="Calibri"/>
          <w:color w:val="000000"/>
          <w:kern w:val="0"/>
          <w:lang w:eastAsia="es-CR"/>
          <w14:ligatures w14:val="none"/>
        </w:rPr>
      </w:pPr>
      <w:r w:rsidRPr="007A505B">
        <w:rPr>
          <w:rFonts w:ascii="Calibri" w:eastAsia="Arial" w:hAnsi="Calibri" w:cs="Calibri"/>
          <w:color w:val="000000"/>
          <w:kern w:val="0"/>
          <w:lang w:eastAsia="es-CR"/>
          <w14:ligatures w14:val="none"/>
        </w:rPr>
        <w:t>Páramo, Pablo y Gabriel Otálvaro. “</w:t>
      </w:r>
      <w:r w:rsidRPr="007A505B">
        <w:rPr>
          <w:rFonts w:ascii="Calibri" w:eastAsia="Arial" w:hAnsi="Calibri" w:cs="Calibri"/>
          <w:iCs/>
          <w:color w:val="000000"/>
          <w:kern w:val="0"/>
          <w:lang w:eastAsia="es-CR"/>
          <w14:ligatures w14:val="none"/>
        </w:rPr>
        <w:t>Investigación Alternativa: por una distinción entre posturas epistemológicas y no entre métodos”.</w:t>
      </w:r>
      <w:r w:rsidRPr="007A505B">
        <w:rPr>
          <w:rFonts w:ascii="Calibri" w:eastAsia="Arial" w:hAnsi="Calibri" w:cs="Calibri"/>
          <w:i/>
          <w:color w:val="000000"/>
          <w:kern w:val="0"/>
          <w:lang w:eastAsia="es-CR"/>
          <w14:ligatures w14:val="none"/>
        </w:rPr>
        <w:t xml:space="preserve"> </w:t>
      </w:r>
      <w:r w:rsidRPr="007A505B">
        <w:rPr>
          <w:rFonts w:ascii="Calibri" w:eastAsia="Arial" w:hAnsi="Calibri" w:cs="Calibri"/>
          <w:i/>
          <w:color w:val="000000"/>
          <w:kern w:val="0"/>
          <w:highlight w:val="white"/>
          <w:lang w:eastAsia="es-CR"/>
          <w14:ligatures w14:val="none"/>
        </w:rPr>
        <w:t xml:space="preserve">Cinta De </w:t>
      </w:r>
      <w:proofErr w:type="spellStart"/>
      <w:r w:rsidRPr="007A505B">
        <w:rPr>
          <w:rFonts w:ascii="Calibri" w:eastAsia="Arial" w:hAnsi="Calibri" w:cs="Calibri"/>
          <w:i/>
          <w:color w:val="000000"/>
          <w:kern w:val="0"/>
          <w:highlight w:val="white"/>
          <w:lang w:eastAsia="es-CR"/>
          <w14:ligatures w14:val="none"/>
        </w:rPr>
        <w:t>Moebio</w:t>
      </w:r>
      <w:proofErr w:type="spellEnd"/>
      <w:r w:rsidRPr="007A505B">
        <w:rPr>
          <w:rFonts w:ascii="Calibri" w:eastAsia="Arial" w:hAnsi="Calibri" w:cs="Calibri"/>
          <w:i/>
          <w:color w:val="000000"/>
          <w:kern w:val="0"/>
          <w:highlight w:val="white"/>
          <w:lang w:eastAsia="es-CR"/>
          <w14:ligatures w14:val="none"/>
        </w:rPr>
        <w:t>. Revista De Epistemología De Ciencias Sociales</w:t>
      </w:r>
      <w:r w:rsidRPr="007A505B">
        <w:rPr>
          <w:rFonts w:ascii="Calibri" w:eastAsia="Arial" w:hAnsi="Calibri" w:cs="Calibri"/>
          <w:color w:val="000000"/>
          <w:kern w:val="0"/>
          <w:highlight w:val="white"/>
          <w:lang w:eastAsia="es-CR"/>
          <w14:ligatures w14:val="none"/>
        </w:rPr>
        <w:t xml:space="preserve">, n. 25 (2006). </w:t>
      </w:r>
      <w:r w:rsidRPr="007A505B">
        <w:rPr>
          <w:rFonts w:ascii="Calibri" w:eastAsia="Arial" w:hAnsi="Calibri" w:cs="Calibri"/>
          <w:color w:val="000000"/>
          <w:kern w:val="0"/>
          <w:lang w:eastAsia="es-CR"/>
          <w14:ligatures w14:val="none"/>
        </w:rPr>
        <w:t xml:space="preserve">Acceso el 22 de noviembre de 2022. </w:t>
      </w:r>
      <w:hyperlink r:id="rId602" w:history="1">
        <w:r w:rsidRPr="007A505B">
          <w:rPr>
            <w:rFonts w:ascii="Calibri" w:eastAsia="Arial" w:hAnsi="Calibri" w:cs="Calibri"/>
            <w:color w:val="0563C1"/>
            <w:kern w:val="0"/>
            <w:highlight w:val="white"/>
            <w:u w:val="single"/>
            <w:lang w:eastAsia="es-CR"/>
            <w14:ligatures w14:val="none"/>
          </w:rPr>
          <w:t>https://revistas.uchile.cl/index.php/CDM/article/view/25953</w:t>
        </w:r>
      </w:hyperlink>
      <w:r w:rsidRPr="007A505B">
        <w:rPr>
          <w:rFonts w:ascii="Calibri" w:eastAsia="Arial" w:hAnsi="Calibri" w:cs="Calibri"/>
          <w:color w:val="000000"/>
          <w:kern w:val="0"/>
          <w:lang w:eastAsia="es-CR"/>
          <w14:ligatures w14:val="none"/>
        </w:rPr>
        <w:t xml:space="preserve"> </w:t>
      </w:r>
    </w:p>
    <w:p w14:paraId="6ED0F41B" w14:textId="77777777" w:rsidR="007A505B" w:rsidRPr="007A505B" w:rsidRDefault="007A505B" w:rsidP="007A505B">
      <w:pPr>
        <w:spacing w:before="240" w:after="240" w:line="247" w:lineRule="auto"/>
        <w:ind w:left="709" w:right="6" w:hanging="709"/>
        <w:jc w:val="both"/>
        <w:rPr>
          <w:rFonts w:ascii="Calibri" w:eastAsia="Arial" w:hAnsi="Calibri" w:cs="Calibri"/>
          <w:color w:val="000000"/>
          <w:kern w:val="0"/>
          <w:lang w:eastAsia="es-CR"/>
          <w14:ligatures w14:val="none"/>
        </w:rPr>
      </w:pPr>
      <w:r w:rsidRPr="007A505B">
        <w:rPr>
          <w:rFonts w:ascii="Calibri" w:eastAsia="Arial" w:hAnsi="Calibri" w:cs="Calibri"/>
          <w:color w:val="000000"/>
          <w:kern w:val="0"/>
          <w:lang w:eastAsia="es-CR"/>
          <w14:ligatures w14:val="none"/>
        </w:rPr>
        <w:t xml:space="preserve">Ulate Sánchez, Rosita y Rubén </w:t>
      </w:r>
      <w:proofErr w:type="spellStart"/>
      <w:r w:rsidRPr="007A505B">
        <w:rPr>
          <w:rFonts w:ascii="Calibri" w:eastAsia="Arial" w:hAnsi="Calibri" w:cs="Calibri"/>
          <w:color w:val="000000"/>
          <w:kern w:val="0"/>
          <w:lang w:eastAsia="es-CR"/>
          <w14:ligatures w14:val="none"/>
        </w:rPr>
        <w:t>Ortíz</w:t>
      </w:r>
      <w:proofErr w:type="spellEnd"/>
      <w:r w:rsidRPr="007A505B">
        <w:rPr>
          <w:rFonts w:ascii="Calibri" w:eastAsia="Arial" w:hAnsi="Calibri" w:cs="Calibri"/>
          <w:color w:val="000000"/>
          <w:kern w:val="0"/>
          <w:lang w:eastAsia="es-CR"/>
          <w14:ligatures w14:val="none"/>
        </w:rPr>
        <w:t xml:space="preserve"> Vega. </w:t>
      </w:r>
      <w:r w:rsidRPr="007A505B">
        <w:rPr>
          <w:rFonts w:ascii="Calibri" w:eastAsia="Arial" w:hAnsi="Calibri" w:cs="Calibri"/>
          <w:i/>
          <w:color w:val="000000"/>
          <w:kern w:val="0"/>
          <w:lang w:eastAsia="es-CR"/>
          <w14:ligatures w14:val="none"/>
        </w:rPr>
        <w:t xml:space="preserve">Acompañamiento práctico al proyecto de graduación. </w:t>
      </w:r>
      <w:r w:rsidRPr="007A505B">
        <w:rPr>
          <w:rFonts w:ascii="Calibri" w:eastAsia="Arial" w:hAnsi="Calibri" w:cs="Calibri"/>
          <w:color w:val="000000"/>
          <w:kern w:val="0"/>
          <w:lang w:eastAsia="es-CR"/>
          <w14:ligatures w14:val="none"/>
        </w:rPr>
        <w:t>San José, Costa Rica: EUNED, 2016. (</w:t>
      </w:r>
      <w:r w:rsidRPr="007A505B">
        <w:rPr>
          <w:rFonts w:ascii="Calibri" w:eastAsia="Arial" w:hAnsi="Calibri" w:cs="Calibri"/>
          <w:color w:val="0070C0"/>
          <w:kern w:val="0"/>
          <w:lang w:eastAsia="es-CR"/>
          <w14:ligatures w14:val="none"/>
        </w:rPr>
        <w:t xml:space="preserve">clásico, </w:t>
      </w:r>
      <w:r w:rsidRPr="007A505B">
        <w:rPr>
          <w:rFonts w:ascii="Calibri" w:eastAsia="Arial" w:hAnsi="Calibri" w:cs="Calibri"/>
          <w:color w:val="000000"/>
          <w:kern w:val="0"/>
          <w:lang w:eastAsia="es-CR"/>
          <w14:ligatures w14:val="none"/>
        </w:rPr>
        <w:t xml:space="preserve">última edición) </w:t>
      </w:r>
    </w:p>
    <w:p w14:paraId="6131AF2F" w14:textId="77777777" w:rsidR="007A505B" w:rsidRPr="007A505B" w:rsidRDefault="007A505B" w:rsidP="007A505B">
      <w:pPr>
        <w:spacing w:before="240" w:after="240" w:line="247" w:lineRule="auto"/>
        <w:ind w:left="709" w:right="6" w:hanging="709"/>
        <w:jc w:val="both"/>
        <w:rPr>
          <w:rFonts w:ascii="Calibri" w:eastAsia="Arial" w:hAnsi="Calibri" w:cs="Calibri"/>
          <w:color w:val="000000"/>
          <w:kern w:val="0"/>
          <w:lang w:eastAsia="es-CR"/>
          <w14:ligatures w14:val="none"/>
        </w:rPr>
      </w:pPr>
      <w:r w:rsidRPr="007A505B">
        <w:rPr>
          <w:rFonts w:ascii="Calibri" w:eastAsia="Arial" w:hAnsi="Calibri" w:cs="Calibri"/>
          <w:color w:val="000000"/>
          <w:kern w:val="0"/>
          <w:lang w:eastAsia="es-CR"/>
          <w14:ligatures w14:val="none"/>
        </w:rPr>
        <w:t xml:space="preserve">Universidad de Deusto. Manual de estilo Chicago-Deusto: guía breve para citas y referencias bibliográficas. </w:t>
      </w:r>
      <w:r w:rsidRPr="007A505B">
        <w:rPr>
          <w:rFonts w:ascii="Calibri" w:eastAsia="Arial" w:hAnsi="Calibri" w:cs="Calibri"/>
          <w:i/>
          <w:iCs/>
          <w:color w:val="000000"/>
          <w:kern w:val="0"/>
          <w:lang w:eastAsia="es-CR"/>
          <w14:ligatures w14:val="none"/>
        </w:rPr>
        <w:t>Revista Deusto</w:t>
      </w:r>
      <w:r w:rsidRPr="007A505B">
        <w:rPr>
          <w:rFonts w:ascii="Calibri" w:eastAsia="Arial" w:hAnsi="Calibri" w:cs="Calibri"/>
          <w:color w:val="000000"/>
          <w:kern w:val="0"/>
          <w:lang w:eastAsia="es-CR"/>
          <w14:ligatures w14:val="none"/>
        </w:rPr>
        <w:t xml:space="preserve">, n. 126 (2013): 1-11. Acceso el 22 de noviembre de 2022. </w:t>
      </w:r>
      <w:hyperlink r:id="rId603" w:history="1">
        <w:r w:rsidRPr="007A505B">
          <w:rPr>
            <w:rFonts w:ascii="Calibri" w:eastAsia="Arial" w:hAnsi="Calibri" w:cs="Calibri"/>
            <w:color w:val="0563C1"/>
            <w:kern w:val="0"/>
            <w:u w:val="single"/>
            <w:lang w:eastAsia="es-CR"/>
            <w14:ligatures w14:val="none"/>
          </w:rPr>
          <w:t>http://www.deusto-publicaciones.es/deusto/pdfs/otraspub/otraspub07.pdf</w:t>
        </w:r>
      </w:hyperlink>
    </w:p>
    <w:p w14:paraId="4A1A962F" w14:textId="77777777" w:rsidR="007A505B" w:rsidRPr="007A505B" w:rsidRDefault="007A505B" w:rsidP="007A505B">
      <w:pPr>
        <w:spacing w:after="96"/>
        <w:ind w:left="365"/>
        <w:rPr>
          <w:rFonts w:ascii="Calibri" w:eastAsia="Arial" w:hAnsi="Calibri" w:cs="Calibri"/>
          <w:color w:val="000000"/>
          <w:kern w:val="0"/>
          <w:lang w:eastAsia="es-CR"/>
          <w14:ligatures w14:val="none"/>
        </w:rPr>
      </w:pPr>
      <w:r w:rsidRPr="007A505B">
        <w:rPr>
          <w:rFonts w:ascii="Calibri" w:eastAsia="Calibri" w:hAnsi="Calibri" w:cs="Calibri"/>
          <w:b/>
          <w:color w:val="000000"/>
          <w:kern w:val="0"/>
          <w:lang w:eastAsia="es-CR"/>
          <w14:ligatures w14:val="none"/>
        </w:rPr>
        <w:t xml:space="preserve">  </w:t>
      </w:r>
    </w:p>
    <w:p w14:paraId="2F9D838B" w14:textId="77777777" w:rsidR="00CE5C4B" w:rsidRDefault="00CE5C4B" w:rsidP="003A1863">
      <w:pPr>
        <w:rPr>
          <w:sz w:val="24"/>
          <w:szCs w:val="24"/>
          <w:lang w:val="es-ES"/>
        </w:rPr>
      </w:pPr>
    </w:p>
    <w:p w14:paraId="5E25E4BE" w14:textId="77777777" w:rsidR="00CE5C4B" w:rsidRDefault="00CE5C4B" w:rsidP="003A1863">
      <w:pPr>
        <w:rPr>
          <w:sz w:val="24"/>
          <w:szCs w:val="24"/>
          <w:lang w:val="es-ES"/>
        </w:rPr>
      </w:pPr>
    </w:p>
    <w:p w14:paraId="1C795D92" w14:textId="77777777" w:rsidR="00CE5C4B" w:rsidRDefault="00CE5C4B" w:rsidP="003A1863">
      <w:pPr>
        <w:rPr>
          <w:sz w:val="24"/>
          <w:szCs w:val="24"/>
          <w:lang w:val="es-ES"/>
        </w:rPr>
      </w:pPr>
    </w:p>
    <w:p w14:paraId="74727665" w14:textId="77777777" w:rsidR="00CE5C4B" w:rsidRDefault="00CE5C4B" w:rsidP="003A1863">
      <w:pPr>
        <w:rPr>
          <w:sz w:val="24"/>
          <w:szCs w:val="24"/>
          <w:lang w:val="es-ES"/>
        </w:rPr>
      </w:pPr>
    </w:p>
    <w:p w14:paraId="1620549A" w14:textId="77777777" w:rsidR="00CE5C4B" w:rsidRDefault="00CE5C4B" w:rsidP="003A1863">
      <w:pPr>
        <w:rPr>
          <w:sz w:val="24"/>
          <w:szCs w:val="24"/>
          <w:lang w:val="es-ES"/>
        </w:rPr>
      </w:pPr>
    </w:p>
    <w:p w14:paraId="3276441A" w14:textId="77777777" w:rsidR="00CE5C4B" w:rsidRDefault="00CE5C4B" w:rsidP="003A1863">
      <w:pPr>
        <w:rPr>
          <w:sz w:val="24"/>
          <w:szCs w:val="24"/>
          <w:lang w:val="es-ES"/>
        </w:rPr>
      </w:pPr>
    </w:p>
    <w:p w14:paraId="16FB502E" w14:textId="77777777" w:rsidR="00CE5C4B" w:rsidRDefault="00CE5C4B" w:rsidP="003A1863">
      <w:pPr>
        <w:rPr>
          <w:sz w:val="24"/>
          <w:szCs w:val="24"/>
          <w:lang w:val="es-ES"/>
        </w:rPr>
      </w:pPr>
    </w:p>
    <w:p w14:paraId="1DED9914" w14:textId="77777777" w:rsidR="00CE5C4B" w:rsidRDefault="00CE5C4B" w:rsidP="003A1863">
      <w:pPr>
        <w:rPr>
          <w:sz w:val="24"/>
          <w:szCs w:val="24"/>
          <w:lang w:val="es-ES"/>
        </w:rPr>
      </w:pPr>
    </w:p>
    <w:sectPr w:rsidR="00CE5C4B">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EAA02E6" w14:textId="77777777" w:rsidR="000E4E0F" w:rsidRDefault="000E4E0F" w:rsidP="00972013">
      <w:pPr>
        <w:spacing w:after="0" w:line="240" w:lineRule="auto"/>
      </w:pPr>
      <w:r>
        <w:separator/>
      </w:r>
    </w:p>
  </w:endnote>
  <w:endnote w:type="continuationSeparator" w:id="0">
    <w:p w14:paraId="5B55792A" w14:textId="77777777" w:rsidR="000E4E0F" w:rsidRDefault="000E4E0F" w:rsidP="009720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ticulate">
    <w:altName w:val="Times New Roman"/>
    <w:charset w:val="00"/>
    <w:family w:val="auto"/>
    <w:pitch w:val="variable"/>
    <w:sig w:usb0="8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rial-BoldMT">
    <w:altName w:val="Times New Roman"/>
    <w:panose1 w:val="00000000000000000000"/>
    <w:charset w:val="00"/>
    <w:family w:val="roman"/>
    <w:notTrueType/>
    <w:pitch w:val="default"/>
  </w:font>
  <w:font w:name="SymbolMT">
    <w:altName w:val="Cambria"/>
    <w:panose1 w:val="00000000000000000000"/>
    <w:charset w:val="00"/>
    <w:family w:val="roman"/>
    <w:notTrueType/>
    <w:pitch w:val="default"/>
  </w:font>
  <w:font w:name="Noto Sans">
    <w:charset w:val="00"/>
    <w:family w:val="swiss"/>
    <w:pitch w:val="variable"/>
    <w:sig w:usb0="E00082FF" w:usb1="400078FF" w:usb2="0000002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BD3D68" w14:textId="77777777" w:rsidR="00B80E78" w:rsidRDefault="00B80E7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662B07E" w14:textId="77777777" w:rsidR="000E4E0F" w:rsidRDefault="000E4E0F" w:rsidP="00972013">
      <w:pPr>
        <w:spacing w:after="0" w:line="240" w:lineRule="auto"/>
      </w:pPr>
      <w:r>
        <w:separator/>
      </w:r>
    </w:p>
  </w:footnote>
  <w:footnote w:type="continuationSeparator" w:id="0">
    <w:p w14:paraId="3F93A143" w14:textId="77777777" w:rsidR="000E4E0F" w:rsidRDefault="000E4E0F" w:rsidP="009720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5BED62" w14:textId="77777777" w:rsidR="00B77F6A" w:rsidRDefault="00B77F6A">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11ECFE2" w14:textId="77777777" w:rsidR="00AD7196" w:rsidRDefault="00AD7196">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77F217" w14:textId="77777777" w:rsidR="005F63D7" w:rsidRDefault="005F63D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D524B4" w14:textId="77777777" w:rsidR="00687AE9" w:rsidRPr="00A51122" w:rsidRDefault="00687AE9" w:rsidP="00A51122">
    <w:pPr>
      <w:pStyle w:val="Encabezado"/>
      <w:jc w:val="right"/>
      <w:rPr>
        <w:b/>
        <w:color w:val="FF0000"/>
        <w:sz w:val="28"/>
        <w:lang w:val="es-C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53ED36" w14:textId="77777777" w:rsidR="005E4FEC" w:rsidRDefault="005E4FEC">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5071AF" w14:textId="77777777" w:rsidR="00EF1A23" w:rsidRDefault="00EF1A23">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346234" w14:textId="77777777" w:rsidR="00B977B2" w:rsidRDefault="00B977B2">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7ADF15" w14:textId="77777777" w:rsidR="00991BAD" w:rsidRDefault="00991BAD">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7DE8FF" w14:textId="77777777" w:rsidR="006D3F87" w:rsidRDefault="006D3F87">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6D388B" w14:textId="77777777" w:rsidR="00D3167B" w:rsidRDefault="00D3167B">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479A7C" w14:textId="77777777" w:rsidR="0017401B" w:rsidRDefault="0017401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8"/>
    <w:multiLevelType w:val="singleLevel"/>
    <w:tmpl w:val="58D43120"/>
    <w:lvl w:ilvl="0">
      <w:start w:val="1"/>
      <w:numFmt w:val="decimal"/>
      <w:pStyle w:val="Listaconnmeros"/>
      <w:lvlText w:val="%1."/>
      <w:lvlJc w:val="left"/>
      <w:pPr>
        <w:tabs>
          <w:tab w:val="num" w:pos="360"/>
        </w:tabs>
        <w:ind w:left="360" w:hanging="360"/>
      </w:pPr>
    </w:lvl>
  </w:abstractNum>
  <w:abstractNum w:abstractNumId="1" w15:restartNumberingAfterBreak="0">
    <w:nsid w:val="00000003"/>
    <w:multiLevelType w:val="multilevel"/>
    <w:tmpl w:val="00000000"/>
    <w:name w:val="N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2" w15:restartNumberingAfterBreak="0">
    <w:nsid w:val="008D59CE"/>
    <w:multiLevelType w:val="hybridMultilevel"/>
    <w:tmpl w:val="E6F4A6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0AB5BA3"/>
    <w:multiLevelType w:val="hybridMultilevel"/>
    <w:tmpl w:val="E4E26A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0B377A8"/>
    <w:multiLevelType w:val="hybridMultilevel"/>
    <w:tmpl w:val="5A5631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16C3856"/>
    <w:multiLevelType w:val="hybridMultilevel"/>
    <w:tmpl w:val="D14029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1C5096F"/>
    <w:multiLevelType w:val="hybridMultilevel"/>
    <w:tmpl w:val="3D7ABC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1FD65E9"/>
    <w:multiLevelType w:val="hybridMultilevel"/>
    <w:tmpl w:val="B9A444F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31448B2"/>
    <w:multiLevelType w:val="hybridMultilevel"/>
    <w:tmpl w:val="528883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03270B45"/>
    <w:multiLevelType w:val="hybridMultilevel"/>
    <w:tmpl w:val="10DAF6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373087B"/>
    <w:multiLevelType w:val="hybridMultilevel"/>
    <w:tmpl w:val="3474BB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390490A"/>
    <w:multiLevelType w:val="hybridMultilevel"/>
    <w:tmpl w:val="0180F33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03D0793F"/>
    <w:multiLevelType w:val="hybridMultilevel"/>
    <w:tmpl w:val="609CBD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055C40BD"/>
    <w:multiLevelType w:val="hybridMultilevel"/>
    <w:tmpl w:val="D6900E42"/>
    <w:lvl w:ilvl="0" w:tplc="96A22B7C">
      <w:start w:val="9"/>
      <w:numFmt w:val="upperRoman"/>
      <w:lvlText w:val="%1."/>
      <w:lvlJc w:val="left"/>
      <w:pPr>
        <w:tabs>
          <w:tab w:val="num" w:pos="1080"/>
        </w:tabs>
        <w:ind w:left="1080" w:hanging="720"/>
      </w:pPr>
      <w:rPr>
        <w:rFonts w:cs="Times New Roman" w:hint="default"/>
      </w:rPr>
    </w:lvl>
    <w:lvl w:ilvl="1" w:tplc="5AF6EC2A">
      <w:start w:val="1"/>
      <w:numFmt w:val="bullet"/>
      <w:lvlText w:val=""/>
      <w:lvlJc w:val="left"/>
      <w:pPr>
        <w:tabs>
          <w:tab w:val="num" w:pos="1080"/>
        </w:tabs>
        <w:ind w:left="1250" w:hanging="170"/>
      </w:pPr>
      <w:rPr>
        <w:rFonts w:ascii="Symbol" w:hAnsi="Symbol" w:hint="default"/>
      </w:rPr>
    </w:lvl>
    <w:lvl w:ilvl="2" w:tplc="040A001B" w:tentative="1">
      <w:start w:val="1"/>
      <w:numFmt w:val="lowerRoman"/>
      <w:lvlText w:val="%3."/>
      <w:lvlJc w:val="right"/>
      <w:pPr>
        <w:tabs>
          <w:tab w:val="num" w:pos="2160"/>
        </w:tabs>
        <w:ind w:left="2160" w:hanging="180"/>
      </w:pPr>
      <w:rPr>
        <w:rFonts w:cs="Times New Roman"/>
      </w:rPr>
    </w:lvl>
    <w:lvl w:ilvl="3" w:tplc="040A000F" w:tentative="1">
      <w:start w:val="1"/>
      <w:numFmt w:val="decimal"/>
      <w:lvlText w:val="%4."/>
      <w:lvlJc w:val="left"/>
      <w:pPr>
        <w:tabs>
          <w:tab w:val="num" w:pos="2880"/>
        </w:tabs>
        <w:ind w:left="2880" w:hanging="360"/>
      </w:pPr>
      <w:rPr>
        <w:rFonts w:cs="Times New Roman"/>
      </w:rPr>
    </w:lvl>
    <w:lvl w:ilvl="4" w:tplc="040A0019" w:tentative="1">
      <w:start w:val="1"/>
      <w:numFmt w:val="lowerLetter"/>
      <w:lvlText w:val="%5."/>
      <w:lvlJc w:val="left"/>
      <w:pPr>
        <w:tabs>
          <w:tab w:val="num" w:pos="3600"/>
        </w:tabs>
        <w:ind w:left="3600" w:hanging="360"/>
      </w:pPr>
      <w:rPr>
        <w:rFonts w:cs="Times New Roman"/>
      </w:rPr>
    </w:lvl>
    <w:lvl w:ilvl="5" w:tplc="040A001B" w:tentative="1">
      <w:start w:val="1"/>
      <w:numFmt w:val="lowerRoman"/>
      <w:lvlText w:val="%6."/>
      <w:lvlJc w:val="right"/>
      <w:pPr>
        <w:tabs>
          <w:tab w:val="num" w:pos="4320"/>
        </w:tabs>
        <w:ind w:left="4320" w:hanging="180"/>
      </w:pPr>
      <w:rPr>
        <w:rFonts w:cs="Times New Roman"/>
      </w:rPr>
    </w:lvl>
    <w:lvl w:ilvl="6" w:tplc="040A000F" w:tentative="1">
      <w:start w:val="1"/>
      <w:numFmt w:val="decimal"/>
      <w:lvlText w:val="%7."/>
      <w:lvlJc w:val="left"/>
      <w:pPr>
        <w:tabs>
          <w:tab w:val="num" w:pos="5040"/>
        </w:tabs>
        <w:ind w:left="5040" w:hanging="360"/>
      </w:pPr>
      <w:rPr>
        <w:rFonts w:cs="Times New Roman"/>
      </w:rPr>
    </w:lvl>
    <w:lvl w:ilvl="7" w:tplc="040A0019" w:tentative="1">
      <w:start w:val="1"/>
      <w:numFmt w:val="lowerLetter"/>
      <w:lvlText w:val="%8."/>
      <w:lvlJc w:val="left"/>
      <w:pPr>
        <w:tabs>
          <w:tab w:val="num" w:pos="5760"/>
        </w:tabs>
        <w:ind w:left="5760" w:hanging="360"/>
      </w:pPr>
      <w:rPr>
        <w:rFonts w:cs="Times New Roman"/>
      </w:rPr>
    </w:lvl>
    <w:lvl w:ilvl="8" w:tplc="040A001B" w:tentative="1">
      <w:start w:val="1"/>
      <w:numFmt w:val="lowerRoman"/>
      <w:lvlText w:val="%9."/>
      <w:lvlJc w:val="right"/>
      <w:pPr>
        <w:tabs>
          <w:tab w:val="num" w:pos="6480"/>
        </w:tabs>
        <w:ind w:left="6480" w:hanging="180"/>
      </w:pPr>
      <w:rPr>
        <w:rFonts w:cs="Times New Roman"/>
      </w:rPr>
    </w:lvl>
  </w:abstractNum>
  <w:abstractNum w:abstractNumId="14" w15:restartNumberingAfterBreak="0">
    <w:nsid w:val="057D3FCE"/>
    <w:multiLevelType w:val="hybridMultilevel"/>
    <w:tmpl w:val="8D28A4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06103563"/>
    <w:multiLevelType w:val="hybridMultilevel"/>
    <w:tmpl w:val="9698F3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06A87E13"/>
    <w:multiLevelType w:val="hybridMultilevel"/>
    <w:tmpl w:val="FCEA34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06C317AA"/>
    <w:multiLevelType w:val="hybridMultilevel"/>
    <w:tmpl w:val="CCD227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06E06FBD"/>
    <w:multiLevelType w:val="hybridMultilevel"/>
    <w:tmpl w:val="0C2AE3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073C3DDC"/>
    <w:multiLevelType w:val="hybridMultilevel"/>
    <w:tmpl w:val="D980C3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073F3511"/>
    <w:multiLevelType w:val="hybridMultilevel"/>
    <w:tmpl w:val="0278EC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076F516C"/>
    <w:multiLevelType w:val="hybridMultilevel"/>
    <w:tmpl w:val="A306C8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07A565C5"/>
    <w:multiLevelType w:val="hybridMultilevel"/>
    <w:tmpl w:val="D15655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07B97AC7"/>
    <w:multiLevelType w:val="hybridMultilevel"/>
    <w:tmpl w:val="D2ACA3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07C076E5"/>
    <w:multiLevelType w:val="hybridMultilevel"/>
    <w:tmpl w:val="2020B3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07C372FE"/>
    <w:multiLevelType w:val="hybridMultilevel"/>
    <w:tmpl w:val="EE2216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07C82668"/>
    <w:multiLevelType w:val="hybridMultilevel"/>
    <w:tmpl w:val="889644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07CA7492"/>
    <w:multiLevelType w:val="hybridMultilevel"/>
    <w:tmpl w:val="67D020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07FA2125"/>
    <w:multiLevelType w:val="hybridMultilevel"/>
    <w:tmpl w:val="A6C0B1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08223B05"/>
    <w:multiLevelType w:val="hybridMultilevel"/>
    <w:tmpl w:val="DBFA9878"/>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083057D1"/>
    <w:multiLevelType w:val="hybridMultilevel"/>
    <w:tmpl w:val="6B8C7B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08317876"/>
    <w:multiLevelType w:val="hybridMultilevel"/>
    <w:tmpl w:val="1D00CE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0885171A"/>
    <w:multiLevelType w:val="hybridMultilevel"/>
    <w:tmpl w:val="EB221C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08A025A0"/>
    <w:multiLevelType w:val="hybridMultilevel"/>
    <w:tmpl w:val="9E70B8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094D7422"/>
    <w:multiLevelType w:val="hybridMultilevel"/>
    <w:tmpl w:val="23606B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09B17921"/>
    <w:multiLevelType w:val="hybridMultilevel"/>
    <w:tmpl w:val="52108C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0A4111CE"/>
    <w:multiLevelType w:val="hybridMultilevel"/>
    <w:tmpl w:val="9F9A6B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7" w15:restartNumberingAfterBreak="0">
    <w:nsid w:val="0A72692E"/>
    <w:multiLevelType w:val="hybridMultilevel"/>
    <w:tmpl w:val="8E2250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0A9B0FA2"/>
    <w:multiLevelType w:val="hybridMultilevel"/>
    <w:tmpl w:val="F95CF0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0AB03634"/>
    <w:multiLevelType w:val="hybridMultilevel"/>
    <w:tmpl w:val="2948105A"/>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40" w15:restartNumberingAfterBreak="0">
    <w:nsid w:val="0B5E556D"/>
    <w:multiLevelType w:val="hybridMultilevel"/>
    <w:tmpl w:val="B9B853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0BAF760E"/>
    <w:multiLevelType w:val="hybridMultilevel"/>
    <w:tmpl w:val="89B097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0BB55F81"/>
    <w:multiLevelType w:val="hybridMultilevel"/>
    <w:tmpl w:val="2EA844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0C3A3B6E"/>
    <w:multiLevelType w:val="hybridMultilevel"/>
    <w:tmpl w:val="FD6A7A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4" w15:restartNumberingAfterBreak="0">
    <w:nsid w:val="0C50136F"/>
    <w:multiLevelType w:val="hybridMultilevel"/>
    <w:tmpl w:val="9A60D76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5" w15:restartNumberingAfterBreak="0">
    <w:nsid w:val="0C8D2D46"/>
    <w:multiLevelType w:val="hybridMultilevel"/>
    <w:tmpl w:val="269463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6" w15:restartNumberingAfterBreak="0">
    <w:nsid w:val="0CD92258"/>
    <w:multiLevelType w:val="hybridMultilevel"/>
    <w:tmpl w:val="A1D4D7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0CE8590C"/>
    <w:multiLevelType w:val="hybridMultilevel"/>
    <w:tmpl w:val="B588AC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8" w15:restartNumberingAfterBreak="0">
    <w:nsid w:val="0D064E12"/>
    <w:multiLevelType w:val="hybridMultilevel"/>
    <w:tmpl w:val="B61E46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9" w15:restartNumberingAfterBreak="0">
    <w:nsid w:val="0D1A3DC1"/>
    <w:multiLevelType w:val="hybridMultilevel"/>
    <w:tmpl w:val="0E6A7D2C"/>
    <w:lvl w:ilvl="0" w:tplc="F75297CC">
      <w:start w:val="9"/>
      <w:numFmt w:val="upperRoman"/>
      <w:lvlText w:val="%1."/>
      <w:lvlJc w:val="left"/>
      <w:pPr>
        <w:ind w:left="1080" w:hanging="720"/>
      </w:pPr>
      <w:rPr>
        <w:rFonts w:hint="default"/>
      </w:rPr>
    </w:lvl>
    <w:lvl w:ilvl="1" w:tplc="871A9614">
      <w:start w:val="1"/>
      <w:numFmt w:val="bullet"/>
      <w:lvlText w:val=""/>
      <w:lvlJc w:val="left"/>
      <w:pPr>
        <w:ind w:left="1440" w:hanging="360"/>
      </w:pPr>
      <w:rPr>
        <w:rFonts w:ascii="Symbol" w:hAnsi="Symbol" w:hint="default"/>
        <w:color w:val="000000" w:themeColor="text1"/>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0DC56050"/>
    <w:multiLevelType w:val="hybridMultilevel"/>
    <w:tmpl w:val="39F48FEA"/>
    <w:lvl w:ilvl="0" w:tplc="C4D6C73A">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51" w15:restartNumberingAfterBreak="0">
    <w:nsid w:val="0DF5320C"/>
    <w:multiLevelType w:val="hybridMultilevel"/>
    <w:tmpl w:val="B388FBB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2" w15:restartNumberingAfterBreak="0">
    <w:nsid w:val="0F4E4896"/>
    <w:multiLevelType w:val="hybridMultilevel"/>
    <w:tmpl w:val="E9506338"/>
    <w:lvl w:ilvl="0" w:tplc="E62A930C">
      <w:start w:val="1"/>
      <w:numFmt w:val="bullet"/>
      <w:lvlText w:val=""/>
      <w:lvlJc w:val="left"/>
      <w:pPr>
        <w:ind w:left="720" w:hanging="360"/>
      </w:pPr>
      <w:rPr>
        <w:rFonts w:ascii="Symbol" w:hAnsi="Symbol" w:hint="default"/>
        <w:color w:val="000000" w:themeColor="text1"/>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3" w15:restartNumberingAfterBreak="0">
    <w:nsid w:val="0F880185"/>
    <w:multiLevelType w:val="hybridMultilevel"/>
    <w:tmpl w:val="0D8E68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10B17958"/>
    <w:multiLevelType w:val="hybridMultilevel"/>
    <w:tmpl w:val="8B8E4B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5" w15:restartNumberingAfterBreak="0">
    <w:nsid w:val="11436639"/>
    <w:multiLevelType w:val="hybridMultilevel"/>
    <w:tmpl w:val="EBF2694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6" w15:restartNumberingAfterBreak="0">
    <w:nsid w:val="1164690E"/>
    <w:multiLevelType w:val="hybridMultilevel"/>
    <w:tmpl w:val="097E85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7" w15:restartNumberingAfterBreak="0">
    <w:nsid w:val="123B142E"/>
    <w:multiLevelType w:val="hybridMultilevel"/>
    <w:tmpl w:val="6492BE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8" w15:restartNumberingAfterBreak="0">
    <w:nsid w:val="124400E8"/>
    <w:multiLevelType w:val="hybridMultilevel"/>
    <w:tmpl w:val="E2A468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9" w15:restartNumberingAfterBreak="0">
    <w:nsid w:val="125C0F9B"/>
    <w:multiLevelType w:val="hybridMultilevel"/>
    <w:tmpl w:val="CA98AF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0" w15:restartNumberingAfterBreak="0">
    <w:nsid w:val="12AF6E39"/>
    <w:multiLevelType w:val="hybridMultilevel"/>
    <w:tmpl w:val="803CFC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1" w15:restartNumberingAfterBreak="0">
    <w:nsid w:val="12EB69F6"/>
    <w:multiLevelType w:val="hybridMultilevel"/>
    <w:tmpl w:val="02A25CA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2" w15:restartNumberingAfterBreak="0">
    <w:nsid w:val="131A0486"/>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63" w15:restartNumberingAfterBreak="0">
    <w:nsid w:val="134A1FB5"/>
    <w:multiLevelType w:val="hybridMultilevel"/>
    <w:tmpl w:val="4AB80D1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4" w15:restartNumberingAfterBreak="0">
    <w:nsid w:val="137E0EA7"/>
    <w:multiLevelType w:val="hybridMultilevel"/>
    <w:tmpl w:val="86A4A9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5" w15:restartNumberingAfterBreak="0">
    <w:nsid w:val="13A0172B"/>
    <w:multiLevelType w:val="hybridMultilevel"/>
    <w:tmpl w:val="11AAE5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6" w15:restartNumberingAfterBreak="0">
    <w:nsid w:val="147924CB"/>
    <w:multiLevelType w:val="hybridMultilevel"/>
    <w:tmpl w:val="7146114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14F36971"/>
    <w:multiLevelType w:val="hybridMultilevel"/>
    <w:tmpl w:val="430CA6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8" w15:restartNumberingAfterBreak="0">
    <w:nsid w:val="14FC47A4"/>
    <w:multiLevelType w:val="hybridMultilevel"/>
    <w:tmpl w:val="3D60E5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9" w15:restartNumberingAfterBreak="0">
    <w:nsid w:val="15022158"/>
    <w:multiLevelType w:val="hybridMultilevel"/>
    <w:tmpl w:val="84482D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0" w15:restartNumberingAfterBreak="0">
    <w:nsid w:val="15952692"/>
    <w:multiLevelType w:val="hybridMultilevel"/>
    <w:tmpl w:val="C180D3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1" w15:restartNumberingAfterBreak="0">
    <w:nsid w:val="15BC0CE2"/>
    <w:multiLevelType w:val="hybridMultilevel"/>
    <w:tmpl w:val="C35AF3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2" w15:restartNumberingAfterBreak="0">
    <w:nsid w:val="15C025E7"/>
    <w:multiLevelType w:val="hybridMultilevel"/>
    <w:tmpl w:val="ED7C74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3" w15:restartNumberingAfterBreak="0">
    <w:nsid w:val="16270749"/>
    <w:multiLevelType w:val="hybridMultilevel"/>
    <w:tmpl w:val="622466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4" w15:restartNumberingAfterBreak="0">
    <w:nsid w:val="16882312"/>
    <w:multiLevelType w:val="hybridMultilevel"/>
    <w:tmpl w:val="1B168C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5" w15:restartNumberingAfterBreak="0">
    <w:nsid w:val="16CB1249"/>
    <w:multiLevelType w:val="hybridMultilevel"/>
    <w:tmpl w:val="098223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6" w15:restartNumberingAfterBreak="0">
    <w:nsid w:val="170E36BF"/>
    <w:multiLevelType w:val="hybridMultilevel"/>
    <w:tmpl w:val="E708D4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7" w15:restartNumberingAfterBreak="0">
    <w:nsid w:val="17153535"/>
    <w:multiLevelType w:val="hybridMultilevel"/>
    <w:tmpl w:val="81D449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8" w15:restartNumberingAfterBreak="0">
    <w:nsid w:val="177462EF"/>
    <w:multiLevelType w:val="hybridMultilevel"/>
    <w:tmpl w:val="56B858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9" w15:restartNumberingAfterBreak="0">
    <w:nsid w:val="17E74112"/>
    <w:multiLevelType w:val="hybridMultilevel"/>
    <w:tmpl w:val="47A4B6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0" w15:restartNumberingAfterBreak="0">
    <w:nsid w:val="1801190A"/>
    <w:multiLevelType w:val="singleLevel"/>
    <w:tmpl w:val="140A0017"/>
    <w:lvl w:ilvl="0">
      <w:start w:val="1"/>
      <w:numFmt w:val="lowerLetter"/>
      <w:lvlText w:val="%1)"/>
      <w:lvlJc w:val="left"/>
      <w:pPr>
        <w:ind w:left="360" w:hanging="360"/>
      </w:pPr>
      <w:rPr>
        <w:rFonts w:hint="default"/>
      </w:rPr>
    </w:lvl>
  </w:abstractNum>
  <w:abstractNum w:abstractNumId="81" w15:restartNumberingAfterBreak="0">
    <w:nsid w:val="180F2887"/>
    <w:multiLevelType w:val="hybridMultilevel"/>
    <w:tmpl w:val="3CCA80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2" w15:restartNumberingAfterBreak="0">
    <w:nsid w:val="18221826"/>
    <w:multiLevelType w:val="hybridMultilevel"/>
    <w:tmpl w:val="42E6C8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3" w15:restartNumberingAfterBreak="0">
    <w:nsid w:val="18F47E3A"/>
    <w:multiLevelType w:val="hybridMultilevel"/>
    <w:tmpl w:val="77EC0BC4"/>
    <w:lvl w:ilvl="0" w:tplc="140A0001">
      <w:start w:val="1"/>
      <w:numFmt w:val="bullet"/>
      <w:lvlText w:val=""/>
      <w:lvlJc w:val="left"/>
      <w:pPr>
        <w:ind w:left="2628" w:hanging="360"/>
      </w:pPr>
      <w:rPr>
        <w:rFonts w:ascii="Symbol" w:hAnsi="Symbol" w:hint="default"/>
      </w:rPr>
    </w:lvl>
    <w:lvl w:ilvl="1" w:tplc="140A0003" w:tentative="1">
      <w:start w:val="1"/>
      <w:numFmt w:val="bullet"/>
      <w:lvlText w:val="o"/>
      <w:lvlJc w:val="left"/>
      <w:pPr>
        <w:ind w:left="3348" w:hanging="360"/>
      </w:pPr>
      <w:rPr>
        <w:rFonts w:ascii="Courier New" w:hAnsi="Courier New" w:cs="Courier New" w:hint="default"/>
      </w:rPr>
    </w:lvl>
    <w:lvl w:ilvl="2" w:tplc="140A0005" w:tentative="1">
      <w:start w:val="1"/>
      <w:numFmt w:val="bullet"/>
      <w:lvlText w:val=""/>
      <w:lvlJc w:val="left"/>
      <w:pPr>
        <w:ind w:left="4068" w:hanging="360"/>
      </w:pPr>
      <w:rPr>
        <w:rFonts w:ascii="Wingdings" w:hAnsi="Wingdings" w:hint="default"/>
      </w:rPr>
    </w:lvl>
    <w:lvl w:ilvl="3" w:tplc="140A0001" w:tentative="1">
      <w:start w:val="1"/>
      <w:numFmt w:val="bullet"/>
      <w:lvlText w:val=""/>
      <w:lvlJc w:val="left"/>
      <w:pPr>
        <w:ind w:left="4788" w:hanging="360"/>
      </w:pPr>
      <w:rPr>
        <w:rFonts w:ascii="Symbol" w:hAnsi="Symbol" w:hint="default"/>
      </w:rPr>
    </w:lvl>
    <w:lvl w:ilvl="4" w:tplc="140A0003" w:tentative="1">
      <w:start w:val="1"/>
      <w:numFmt w:val="bullet"/>
      <w:lvlText w:val="o"/>
      <w:lvlJc w:val="left"/>
      <w:pPr>
        <w:ind w:left="5508" w:hanging="360"/>
      </w:pPr>
      <w:rPr>
        <w:rFonts w:ascii="Courier New" w:hAnsi="Courier New" w:cs="Courier New" w:hint="default"/>
      </w:rPr>
    </w:lvl>
    <w:lvl w:ilvl="5" w:tplc="140A0005" w:tentative="1">
      <w:start w:val="1"/>
      <w:numFmt w:val="bullet"/>
      <w:lvlText w:val=""/>
      <w:lvlJc w:val="left"/>
      <w:pPr>
        <w:ind w:left="6228" w:hanging="360"/>
      </w:pPr>
      <w:rPr>
        <w:rFonts w:ascii="Wingdings" w:hAnsi="Wingdings" w:hint="default"/>
      </w:rPr>
    </w:lvl>
    <w:lvl w:ilvl="6" w:tplc="140A0001" w:tentative="1">
      <w:start w:val="1"/>
      <w:numFmt w:val="bullet"/>
      <w:lvlText w:val=""/>
      <w:lvlJc w:val="left"/>
      <w:pPr>
        <w:ind w:left="6948" w:hanging="360"/>
      </w:pPr>
      <w:rPr>
        <w:rFonts w:ascii="Symbol" w:hAnsi="Symbol" w:hint="default"/>
      </w:rPr>
    </w:lvl>
    <w:lvl w:ilvl="7" w:tplc="140A0003" w:tentative="1">
      <w:start w:val="1"/>
      <w:numFmt w:val="bullet"/>
      <w:lvlText w:val="o"/>
      <w:lvlJc w:val="left"/>
      <w:pPr>
        <w:ind w:left="7668" w:hanging="360"/>
      </w:pPr>
      <w:rPr>
        <w:rFonts w:ascii="Courier New" w:hAnsi="Courier New" w:cs="Courier New" w:hint="default"/>
      </w:rPr>
    </w:lvl>
    <w:lvl w:ilvl="8" w:tplc="140A0005" w:tentative="1">
      <w:start w:val="1"/>
      <w:numFmt w:val="bullet"/>
      <w:lvlText w:val=""/>
      <w:lvlJc w:val="left"/>
      <w:pPr>
        <w:ind w:left="8388" w:hanging="360"/>
      </w:pPr>
      <w:rPr>
        <w:rFonts w:ascii="Wingdings" w:hAnsi="Wingdings" w:hint="default"/>
      </w:rPr>
    </w:lvl>
  </w:abstractNum>
  <w:abstractNum w:abstractNumId="84" w15:restartNumberingAfterBreak="0">
    <w:nsid w:val="19254EAD"/>
    <w:multiLevelType w:val="hybridMultilevel"/>
    <w:tmpl w:val="EFCE4D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5" w15:restartNumberingAfterBreak="0">
    <w:nsid w:val="1A1C55AE"/>
    <w:multiLevelType w:val="hybridMultilevel"/>
    <w:tmpl w:val="7F2E69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6" w15:restartNumberingAfterBreak="0">
    <w:nsid w:val="1A4D21CC"/>
    <w:multiLevelType w:val="hybridMultilevel"/>
    <w:tmpl w:val="9F7494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7" w15:restartNumberingAfterBreak="0">
    <w:nsid w:val="1AC82A89"/>
    <w:multiLevelType w:val="hybridMultilevel"/>
    <w:tmpl w:val="1A6859A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8" w15:restartNumberingAfterBreak="0">
    <w:nsid w:val="1B2A6155"/>
    <w:multiLevelType w:val="hybridMultilevel"/>
    <w:tmpl w:val="ABDE14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9" w15:restartNumberingAfterBreak="0">
    <w:nsid w:val="1C9F45AB"/>
    <w:multiLevelType w:val="hybridMultilevel"/>
    <w:tmpl w:val="F1224C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0" w15:restartNumberingAfterBreak="0">
    <w:nsid w:val="1CFC1A94"/>
    <w:multiLevelType w:val="hybridMultilevel"/>
    <w:tmpl w:val="B64E4748"/>
    <w:lvl w:ilvl="0" w:tplc="BA16849C">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1" w15:restartNumberingAfterBreak="0">
    <w:nsid w:val="1CFD56DB"/>
    <w:multiLevelType w:val="hybridMultilevel"/>
    <w:tmpl w:val="934C54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2" w15:restartNumberingAfterBreak="0">
    <w:nsid w:val="1D5F05FC"/>
    <w:multiLevelType w:val="hybridMultilevel"/>
    <w:tmpl w:val="9214B6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3" w15:restartNumberingAfterBreak="0">
    <w:nsid w:val="1D947F69"/>
    <w:multiLevelType w:val="hybridMultilevel"/>
    <w:tmpl w:val="86A26E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4" w15:restartNumberingAfterBreak="0">
    <w:nsid w:val="1E0D1C72"/>
    <w:multiLevelType w:val="hybridMultilevel"/>
    <w:tmpl w:val="879253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5" w15:restartNumberingAfterBreak="0">
    <w:nsid w:val="1E5A1A60"/>
    <w:multiLevelType w:val="hybridMultilevel"/>
    <w:tmpl w:val="F88475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6" w15:restartNumberingAfterBreak="0">
    <w:nsid w:val="1F886B9F"/>
    <w:multiLevelType w:val="hybridMultilevel"/>
    <w:tmpl w:val="0D98D8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7" w15:restartNumberingAfterBreak="0">
    <w:nsid w:val="1FD5654A"/>
    <w:multiLevelType w:val="hybridMultilevel"/>
    <w:tmpl w:val="43D0E2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8" w15:restartNumberingAfterBreak="0">
    <w:nsid w:val="201456BD"/>
    <w:multiLevelType w:val="hybridMultilevel"/>
    <w:tmpl w:val="B1BAA4F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9" w15:restartNumberingAfterBreak="0">
    <w:nsid w:val="20B50A95"/>
    <w:multiLevelType w:val="hybridMultilevel"/>
    <w:tmpl w:val="2938D0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0" w15:restartNumberingAfterBreak="0">
    <w:nsid w:val="210C0F30"/>
    <w:multiLevelType w:val="hybridMultilevel"/>
    <w:tmpl w:val="E9E237D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1" w15:restartNumberingAfterBreak="0">
    <w:nsid w:val="219D3612"/>
    <w:multiLevelType w:val="hybridMultilevel"/>
    <w:tmpl w:val="3E3CEC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2" w15:restartNumberingAfterBreak="0">
    <w:nsid w:val="21B375AE"/>
    <w:multiLevelType w:val="hybridMultilevel"/>
    <w:tmpl w:val="FF5063E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03" w15:restartNumberingAfterBreak="0">
    <w:nsid w:val="21D05795"/>
    <w:multiLevelType w:val="hybridMultilevel"/>
    <w:tmpl w:val="511E45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4" w15:restartNumberingAfterBreak="0">
    <w:nsid w:val="222A5765"/>
    <w:multiLevelType w:val="hybridMultilevel"/>
    <w:tmpl w:val="FC90AF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5" w15:restartNumberingAfterBreak="0">
    <w:nsid w:val="222E799B"/>
    <w:multiLevelType w:val="hybridMultilevel"/>
    <w:tmpl w:val="0AB889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6" w15:restartNumberingAfterBreak="0">
    <w:nsid w:val="23081F5B"/>
    <w:multiLevelType w:val="hybridMultilevel"/>
    <w:tmpl w:val="BA803B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7" w15:restartNumberingAfterBreak="0">
    <w:nsid w:val="231C2B89"/>
    <w:multiLevelType w:val="multilevel"/>
    <w:tmpl w:val="A1B2C12E"/>
    <w:lvl w:ilvl="0">
      <w:start w:val="1"/>
      <w:numFmt w:val="decimal"/>
      <w:lvlText w:val="%1."/>
      <w:lvlJc w:val="left"/>
      <w:pPr>
        <w:tabs>
          <w:tab w:val="num" w:pos="360"/>
        </w:tabs>
        <w:ind w:left="360" w:hanging="360"/>
      </w:pPr>
      <w:rPr>
        <w:rFonts w:hint="default"/>
      </w:rPr>
    </w:lvl>
    <w:lvl w:ilvl="1">
      <w:start w:val="1"/>
      <w:numFmt w:val="decimal"/>
      <w:isLgl/>
      <w:lvlText w:val="%1.%2"/>
      <w:lvlJc w:val="left"/>
      <w:pPr>
        <w:tabs>
          <w:tab w:val="num" w:pos="785"/>
        </w:tabs>
        <w:ind w:left="785" w:hanging="360"/>
      </w:pPr>
      <w:rPr>
        <w:rFonts w:hint="default"/>
      </w:rPr>
    </w:lvl>
    <w:lvl w:ilvl="2">
      <w:start w:val="1"/>
      <w:numFmt w:val="decimal"/>
      <w:isLgl/>
      <w:lvlText w:val="%1.%2.%3"/>
      <w:lvlJc w:val="left"/>
      <w:pPr>
        <w:tabs>
          <w:tab w:val="num" w:pos="1500"/>
        </w:tabs>
        <w:ind w:left="1500" w:hanging="720"/>
      </w:pPr>
      <w:rPr>
        <w:rFonts w:hint="default"/>
      </w:rPr>
    </w:lvl>
    <w:lvl w:ilvl="3">
      <w:start w:val="1"/>
      <w:numFmt w:val="decimal"/>
      <w:isLgl/>
      <w:lvlText w:val="%1.%2.%3.%4"/>
      <w:lvlJc w:val="left"/>
      <w:pPr>
        <w:tabs>
          <w:tab w:val="num" w:pos="1890"/>
        </w:tabs>
        <w:ind w:left="1890" w:hanging="720"/>
      </w:pPr>
      <w:rPr>
        <w:rFonts w:hint="default"/>
      </w:rPr>
    </w:lvl>
    <w:lvl w:ilvl="4">
      <w:start w:val="1"/>
      <w:numFmt w:val="decimal"/>
      <w:isLgl/>
      <w:lvlText w:val="%1.%2.%3.%4.%5"/>
      <w:lvlJc w:val="left"/>
      <w:pPr>
        <w:tabs>
          <w:tab w:val="num" w:pos="2280"/>
        </w:tabs>
        <w:ind w:left="2280" w:hanging="720"/>
      </w:pPr>
      <w:rPr>
        <w:rFonts w:hint="default"/>
      </w:rPr>
    </w:lvl>
    <w:lvl w:ilvl="5">
      <w:start w:val="1"/>
      <w:numFmt w:val="decimal"/>
      <w:isLgl/>
      <w:lvlText w:val="%1.%2.%3.%4.%5.%6"/>
      <w:lvlJc w:val="left"/>
      <w:pPr>
        <w:tabs>
          <w:tab w:val="num" w:pos="3030"/>
        </w:tabs>
        <w:ind w:left="3030" w:hanging="1080"/>
      </w:pPr>
      <w:rPr>
        <w:rFonts w:hint="default"/>
      </w:rPr>
    </w:lvl>
    <w:lvl w:ilvl="6">
      <w:start w:val="1"/>
      <w:numFmt w:val="decimal"/>
      <w:isLgl/>
      <w:lvlText w:val="%1.%2.%3.%4.%5.%6.%7"/>
      <w:lvlJc w:val="left"/>
      <w:pPr>
        <w:tabs>
          <w:tab w:val="num" w:pos="3420"/>
        </w:tabs>
        <w:ind w:left="3420" w:hanging="1080"/>
      </w:pPr>
      <w:rPr>
        <w:rFonts w:hint="default"/>
      </w:rPr>
    </w:lvl>
    <w:lvl w:ilvl="7">
      <w:start w:val="1"/>
      <w:numFmt w:val="decimal"/>
      <w:isLgl/>
      <w:lvlText w:val="%1.%2.%3.%4.%5.%6.%7.%8"/>
      <w:lvlJc w:val="left"/>
      <w:pPr>
        <w:tabs>
          <w:tab w:val="num" w:pos="4170"/>
        </w:tabs>
        <w:ind w:left="4170" w:hanging="1440"/>
      </w:pPr>
      <w:rPr>
        <w:rFonts w:hint="default"/>
      </w:rPr>
    </w:lvl>
    <w:lvl w:ilvl="8">
      <w:start w:val="1"/>
      <w:numFmt w:val="decimal"/>
      <w:isLgl/>
      <w:lvlText w:val="%1.%2.%3.%4.%5.%6.%7.%8.%9"/>
      <w:lvlJc w:val="left"/>
      <w:pPr>
        <w:tabs>
          <w:tab w:val="num" w:pos="4560"/>
        </w:tabs>
        <w:ind w:left="4560" w:hanging="1440"/>
      </w:pPr>
      <w:rPr>
        <w:rFonts w:hint="default"/>
      </w:rPr>
    </w:lvl>
  </w:abstractNum>
  <w:abstractNum w:abstractNumId="108" w15:restartNumberingAfterBreak="0">
    <w:nsid w:val="234C460D"/>
    <w:multiLevelType w:val="hybridMultilevel"/>
    <w:tmpl w:val="49523E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9" w15:restartNumberingAfterBreak="0">
    <w:nsid w:val="23856611"/>
    <w:multiLevelType w:val="hybridMultilevel"/>
    <w:tmpl w:val="72D825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0" w15:restartNumberingAfterBreak="0">
    <w:nsid w:val="23B64022"/>
    <w:multiLevelType w:val="hybridMultilevel"/>
    <w:tmpl w:val="85104F6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1" w15:restartNumberingAfterBreak="0">
    <w:nsid w:val="23DB4616"/>
    <w:multiLevelType w:val="hybridMultilevel"/>
    <w:tmpl w:val="FC38B6B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2" w15:restartNumberingAfterBreak="0">
    <w:nsid w:val="24645BF9"/>
    <w:multiLevelType w:val="hybridMultilevel"/>
    <w:tmpl w:val="4FF03A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3" w15:restartNumberingAfterBreak="0">
    <w:nsid w:val="251304E3"/>
    <w:multiLevelType w:val="hybridMultilevel"/>
    <w:tmpl w:val="326836B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4" w15:restartNumberingAfterBreak="0">
    <w:nsid w:val="252E0AD6"/>
    <w:multiLevelType w:val="hybridMultilevel"/>
    <w:tmpl w:val="CDD291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5" w15:restartNumberingAfterBreak="0">
    <w:nsid w:val="27256ACB"/>
    <w:multiLevelType w:val="hybridMultilevel"/>
    <w:tmpl w:val="16C856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6" w15:restartNumberingAfterBreak="0">
    <w:nsid w:val="275817AC"/>
    <w:multiLevelType w:val="hybridMultilevel"/>
    <w:tmpl w:val="596A92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7" w15:restartNumberingAfterBreak="0">
    <w:nsid w:val="275E0DE3"/>
    <w:multiLevelType w:val="hybridMultilevel"/>
    <w:tmpl w:val="BDC844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8" w15:restartNumberingAfterBreak="0">
    <w:nsid w:val="27E24417"/>
    <w:multiLevelType w:val="hybridMultilevel"/>
    <w:tmpl w:val="E1EA59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9" w15:restartNumberingAfterBreak="0">
    <w:nsid w:val="288C2B8D"/>
    <w:multiLevelType w:val="hybridMultilevel"/>
    <w:tmpl w:val="979825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0" w15:restartNumberingAfterBreak="0">
    <w:nsid w:val="2ACB5E7E"/>
    <w:multiLevelType w:val="hybridMultilevel"/>
    <w:tmpl w:val="053AEE8C"/>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2AD44C7C"/>
    <w:multiLevelType w:val="hybridMultilevel"/>
    <w:tmpl w:val="0AEA01F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2" w15:restartNumberingAfterBreak="0">
    <w:nsid w:val="2AE95B0C"/>
    <w:multiLevelType w:val="hybridMultilevel"/>
    <w:tmpl w:val="592EAC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3" w15:restartNumberingAfterBreak="0">
    <w:nsid w:val="2B8249AF"/>
    <w:multiLevelType w:val="hybridMultilevel"/>
    <w:tmpl w:val="75C205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4" w15:restartNumberingAfterBreak="0">
    <w:nsid w:val="2BDD07F7"/>
    <w:multiLevelType w:val="hybridMultilevel"/>
    <w:tmpl w:val="35184B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5" w15:restartNumberingAfterBreak="0">
    <w:nsid w:val="2C003AA6"/>
    <w:multiLevelType w:val="hybridMultilevel"/>
    <w:tmpl w:val="763083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6" w15:restartNumberingAfterBreak="0">
    <w:nsid w:val="2C335F1D"/>
    <w:multiLevelType w:val="hybridMultilevel"/>
    <w:tmpl w:val="28EEAC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7" w15:restartNumberingAfterBreak="0">
    <w:nsid w:val="2CE623BB"/>
    <w:multiLevelType w:val="hybridMultilevel"/>
    <w:tmpl w:val="2C0AF8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8" w15:restartNumberingAfterBreak="0">
    <w:nsid w:val="2CE93465"/>
    <w:multiLevelType w:val="hybridMultilevel"/>
    <w:tmpl w:val="8FCE3D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9" w15:restartNumberingAfterBreak="0">
    <w:nsid w:val="2D3B6D05"/>
    <w:multiLevelType w:val="hybridMultilevel"/>
    <w:tmpl w:val="AA9C8D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0" w15:restartNumberingAfterBreak="0">
    <w:nsid w:val="2DCC3051"/>
    <w:multiLevelType w:val="hybridMultilevel"/>
    <w:tmpl w:val="8626DE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1" w15:restartNumberingAfterBreak="0">
    <w:nsid w:val="2DF54FA1"/>
    <w:multiLevelType w:val="hybridMultilevel"/>
    <w:tmpl w:val="B0E033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2" w15:restartNumberingAfterBreak="0">
    <w:nsid w:val="2E10530B"/>
    <w:multiLevelType w:val="hybridMultilevel"/>
    <w:tmpl w:val="2DEE76A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3" w15:restartNumberingAfterBreak="0">
    <w:nsid w:val="2F300A3A"/>
    <w:multiLevelType w:val="hybridMultilevel"/>
    <w:tmpl w:val="7AFC8A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4" w15:restartNumberingAfterBreak="0">
    <w:nsid w:val="2F6F027F"/>
    <w:multiLevelType w:val="hybridMultilevel"/>
    <w:tmpl w:val="FC9A52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5" w15:restartNumberingAfterBreak="0">
    <w:nsid w:val="2F883C64"/>
    <w:multiLevelType w:val="hybridMultilevel"/>
    <w:tmpl w:val="2B6295F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6" w15:restartNumberingAfterBreak="0">
    <w:nsid w:val="30236066"/>
    <w:multiLevelType w:val="hybridMultilevel"/>
    <w:tmpl w:val="C8BA13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7" w15:restartNumberingAfterBreak="0">
    <w:nsid w:val="30655295"/>
    <w:multiLevelType w:val="hybridMultilevel"/>
    <w:tmpl w:val="DDBC084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8" w15:restartNumberingAfterBreak="0">
    <w:nsid w:val="30DC3536"/>
    <w:multiLevelType w:val="hybridMultilevel"/>
    <w:tmpl w:val="70EA29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9" w15:restartNumberingAfterBreak="0">
    <w:nsid w:val="30F86968"/>
    <w:multiLevelType w:val="hybridMultilevel"/>
    <w:tmpl w:val="EA8A4D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0" w15:restartNumberingAfterBreak="0">
    <w:nsid w:val="324D7CDE"/>
    <w:multiLevelType w:val="hybridMultilevel"/>
    <w:tmpl w:val="420AED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1" w15:restartNumberingAfterBreak="0">
    <w:nsid w:val="327320DE"/>
    <w:multiLevelType w:val="hybridMultilevel"/>
    <w:tmpl w:val="194822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2" w15:restartNumberingAfterBreak="0">
    <w:nsid w:val="32D4205A"/>
    <w:multiLevelType w:val="hybridMultilevel"/>
    <w:tmpl w:val="BA3E7D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3" w15:restartNumberingAfterBreak="0">
    <w:nsid w:val="33742F90"/>
    <w:multiLevelType w:val="hybridMultilevel"/>
    <w:tmpl w:val="902ECD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4" w15:restartNumberingAfterBreak="0">
    <w:nsid w:val="33AF0C11"/>
    <w:multiLevelType w:val="hybridMultilevel"/>
    <w:tmpl w:val="714C0E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5" w15:restartNumberingAfterBreak="0">
    <w:nsid w:val="33E21A0C"/>
    <w:multiLevelType w:val="hybridMultilevel"/>
    <w:tmpl w:val="0DCEDC62"/>
    <w:lvl w:ilvl="0" w:tplc="DC1480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343C2708"/>
    <w:multiLevelType w:val="hybridMultilevel"/>
    <w:tmpl w:val="3F1A53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7" w15:restartNumberingAfterBreak="0">
    <w:nsid w:val="347B0303"/>
    <w:multiLevelType w:val="hybridMultilevel"/>
    <w:tmpl w:val="0D3AC572"/>
    <w:lvl w:ilvl="0" w:tplc="476C8EB2">
      <w:start w:val="1"/>
      <w:numFmt w:val="upperRoman"/>
      <w:lvlText w:val="%1."/>
      <w:lvlJc w:val="left"/>
      <w:pPr>
        <w:ind w:left="1080" w:hanging="720"/>
      </w:pPr>
      <w:rPr>
        <w:rFonts w:hint="default"/>
      </w:rPr>
    </w:lvl>
    <w:lvl w:ilvl="1" w:tplc="140A000F">
      <w:start w:val="1"/>
      <w:numFmt w:val="decimal"/>
      <w:lvlText w:val="%2."/>
      <w:lvlJc w:val="left"/>
      <w:pPr>
        <w:tabs>
          <w:tab w:val="num" w:pos="1588"/>
        </w:tabs>
        <w:ind w:left="1588" w:hanging="508"/>
      </w:pPr>
      <w:rPr>
        <w:rFonts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8" w15:restartNumberingAfterBreak="0">
    <w:nsid w:val="348C0ACD"/>
    <w:multiLevelType w:val="hybridMultilevel"/>
    <w:tmpl w:val="FE801B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9" w15:restartNumberingAfterBreak="0">
    <w:nsid w:val="349E4D1E"/>
    <w:multiLevelType w:val="hybridMultilevel"/>
    <w:tmpl w:val="3BE08C3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0" w15:restartNumberingAfterBreak="0">
    <w:nsid w:val="34D75F2E"/>
    <w:multiLevelType w:val="hybridMultilevel"/>
    <w:tmpl w:val="D45676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1" w15:restartNumberingAfterBreak="0">
    <w:nsid w:val="350127D2"/>
    <w:multiLevelType w:val="hybridMultilevel"/>
    <w:tmpl w:val="E2FC5CA6"/>
    <w:lvl w:ilvl="0" w:tplc="A4B094CC">
      <w:start w:val="1"/>
      <w:numFmt w:val="decimal"/>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35123CBD"/>
    <w:multiLevelType w:val="hybridMultilevel"/>
    <w:tmpl w:val="AF889B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3" w15:restartNumberingAfterBreak="0">
    <w:nsid w:val="354C5446"/>
    <w:multiLevelType w:val="multilevel"/>
    <w:tmpl w:val="1F7644B6"/>
    <w:lvl w:ilvl="0">
      <w:start w:val="1"/>
      <w:numFmt w:val="decimal"/>
      <w:lvlText w:val="%1."/>
      <w:lvlJc w:val="left"/>
      <w:pPr>
        <w:tabs>
          <w:tab w:val="num" w:pos="1021"/>
        </w:tabs>
        <w:ind w:left="1021" w:hanging="227"/>
      </w:pPr>
      <w:rPr>
        <w:rFonts w:hint="default"/>
      </w:rPr>
    </w:lvl>
    <w:lvl w:ilvl="1">
      <w:start w:val="1"/>
      <w:numFmt w:val="decimal"/>
      <w:isLgl/>
      <w:lvlText w:val="%1.%2"/>
      <w:lvlJc w:val="left"/>
      <w:pPr>
        <w:ind w:left="1514" w:hanging="720"/>
      </w:pPr>
      <w:rPr>
        <w:rFonts w:eastAsia="MS Mincho" w:hint="default"/>
        <w:b/>
      </w:rPr>
    </w:lvl>
    <w:lvl w:ilvl="2">
      <w:start w:val="1"/>
      <w:numFmt w:val="decimal"/>
      <w:isLgl/>
      <w:lvlText w:val="%1.%2.%3"/>
      <w:lvlJc w:val="left"/>
      <w:pPr>
        <w:ind w:left="1874" w:hanging="1080"/>
      </w:pPr>
      <w:rPr>
        <w:rFonts w:eastAsia="MS Mincho" w:hint="default"/>
        <w:b/>
      </w:rPr>
    </w:lvl>
    <w:lvl w:ilvl="3">
      <w:start w:val="1"/>
      <w:numFmt w:val="decimal"/>
      <w:isLgl/>
      <w:lvlText w:val="%1.%2.%3.%4"/>
      <w:lvlJc w:val="left"/>
      <w:pPr>
        <w:ind w:left="2234" w:hanging="1440"/>
      </w:pPr>
      <w:rPr>
        <w:rFonts w:eastAsia="MS Mincho" w:hint="default"/>
        <w:b/>
      </w:rPr>
    </w:lvl>
    <w:lvl w:ilvl="4">
      <w:start w:val="1"/>
      <w:numFmt w:val="decimal"/>
      <w:isLgl/>
      <w:lvlText w:val="%1.%2.%3.%4.%5"/>
      <w:lvlJc w:val="left"/>
      <w:pPr>
        <w:ind w:left="2234" w:hanging="1440"/>
      </w:pPr>
      <w:rPr>
        <w:rFonts w:eastAsia="MS Mincho" w:hint="default"/>
        <w:b/>
      </w:rPr>
    </w:lvl>
    <w:lvl w:ilvl="5">
      <w:start w:val="1"/>
      <w:numFmt w:val="decimal"/>
      <w:isLgl/>
      <w:lvlText w:val="%1.%2.%3.%4.%5.%6"/>
      <w:lvlJc w:val="left"/>
      <w:pPr>
        <w:ind w:left="2594" w:hanging="1800"/>
      </w:pPr>
      <w:rPr>
        <w:rFonts w:eastAsia="MS Mincho" w:hint="default"/>
        <w:b/>
      </w:rPr>
    </w:lvl>
    <w:lvl w:ilvl="6">
      <w:start w:val="1"/>
      <w:numFmt w:val="decimal"/>
      <w:isLgl/>
      <w:lvlText w:val="%1.%2.%3.%4.%5.%6.%7"/>
      <w:lvlJc w:val="left"/>
      <w:pPr>
        <w:ind w:left="2954" w:hanging="2160"/>
      </w:pPr>
      <w:rPr>
        <w:rFonts w:eastAsia="MS Mincho" w:hint="default"/>
        <w:b/>
      </w:rPr>
    </w:lvl>
    <w:lvl w:ilvl="7">
      <w:start w:val="1"/>
      <w:numFmt w:val="decimal"/>
      <w:isLgl/>
      <w:lvlText w:val="%1.%2.%3.%4.%5.%6.%7.%8"/>
      <w:lvlJc w:val="left"/>
      <w:pPr>
        <w:ind w:left="3314" w:hanging="2520"/>
      </w:pPr>
      <w:rPr>
        <w:rFonts w:eastAsia="MS Mincho" w:hint="default"/>
        <w:b/>
      </w:rPr>
    </w:lvl>
    <w:lvl w:ilvl="8">
      <w:start w:val="1"/>
      <w:numFmt w:val="decimal"/>
      <w:isLgl/>
      <w:lvlText w:val="%1.%2.%3.%4.%5.%6.%7.%8.%9"/>
      <w:lvlJc w:val="left"/>
      <w:pPr>
        <w:ind w:left="3674" w:hanging="2880"/>
      </w:pPr>
      <w:rPr>
        <w:rFonts w:eastAsia="MS Mincho" w:hint="default"/>
        <w:b/>
      </w:rPr>
    </w:lvl>
  </w:abstractNum>
  <w:abstractNum w:abstractNumId="154" w15:restartNumberingAfterBreak="0">
    <w:nsid w:val="35565D5A"/>
    <w:multiLevelType w:val="hybridMultilevel"/>
    <w:tmpl w:val="0D42F964"/>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55" w15:restartNumberingAfterBreak="0">
    <w:nsid w:val="35984969"/>
    <w:multiLevelType w:val="hybridMultilevel"/>
    <w:tmpl w:val="20C44E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6" w15:restartNumberingAfterBreak="0">
    <w:nsid w:val="36175B5B"/>
    <w:multiLevelType w:val="hybridMultilevel"/>
    <w:tmpl w:val="EB2CAF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7" w15:restartNumberingAfterBreak="0">
    <w:nsid w:val="38031563"/>
    <w:multiLevelType w:val="hybridMultilevel"/>
    <w:tmpl w:val="28BAD268"/>
    <w:lvl w:ilvl="0" w:tplc="C4D6C73A">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158" w15:restartNumberingAfterBreak="0">
    <w:nsid w:val="387B7CF3"/>
    <w:multiLevelType w:val="hybridMultilevel"/>
    <w:tmpl w:val="7CA2EC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9" w15:restartNumberingAfterBreak="0">
    <w:nsid w:val="393F71F3"/>
    <w:multiLevelType w:val="hybridMultilevel"/>
    <w:tmpl w:val="55A865BA"/>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3987415E"/>
    <w:multiLevelType w:val="hybridMultilevel"/>
    <w:tmpl w:val="F5EE71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1" w15:restartNumberingAfterBreak="0">
    <w:nsid w:val="39F641AD"/>
    <w:multiLevelType w:val="hybridMultilevel"/>
    <w:tmpl w:val="DD3CF11C"/>
    <w:lvl w:ilvl="0" w:tplc="140A0003">
      <w:start w:val="1"/>
      <w:numFmt w:val="bullet"/>
      <w:lvlText w:val="o"/>
      <w:lvlJc w:val="left"/>
      <w:pPr>
        <w:tabs>
          <w:tab w:val="num" w:pos="57"/>
        </w:tabs>
        <w:ind w:left="227" w:hanging="170"/>
      </w:pPr>
      <w:rPr>
        <w:rFonts w:ascii="Courier New" w:hAnsi="Courier New" w:cs="Courier New"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62" w15:restartNumberingAfterBreak="0">
    <w:nsid w:val="3A4242E7"/>
    <w:multiLevelType w:val="hybridMultilevel"/>
    <w:tmpl w:val="05A87AA6"/>
    <w:lvl w:ilvl="0" w:tplc="5AF6EC2A">
      <w:start w:val="1"/>
      <w:numFmt w:val="bullet"/>
      <w:lvlText w:val=""/>
      <w:lvlJc w:val="left"/>
      <w:pPr>
        <w:tabs>
          <w:tab w:val="num" w:pos="57"/>
        </w:tabs>
        <w:ind w:left="227" w:hanging="170"/>
      </w:pPr>
      <w:rPr>
        <w:rFonts w:ascii="Symbol" w:hAnsi="Symbol" w:hint="default"/>
      </w:rPr>
    </w:lvl>
    <w:lvl w:ilvl="1" w:tplc="040A0003">
      <w:start w:val="1"/>
      <w:numFmt w:val="bullet"/>
      <w:lvlText w:val="o"/>
      <w:lvlJc w:val="left"/>
      <w:pPr>
        <w:tabs>
          <w:tab w:val="num" w:pos="1440"/>
        </w:tabs>
        <w:ind w:left="1440" w:hanging="360"/>
      </w:pPr>
      <w:rPr>
        <w:rFonts w:ascii="Courier New" w:hAnsi="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63" w15:restartNumberingAfterBreak="0">
    <w:nsid w:val="3B561C44"/>
    <w:multiLevelType w:val="hybridMultilevel"/>
    <w:tmpl w:val="2F3437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4" w15:restartNumberingAfterBreak="0">
    <w:nsid w:val="3B90395A"/>
    <w:multiLevelType w:val="hybridMultilevel"/>
    <w:tmpl w:val="BE2C48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5" w15:restartNumberingAfterBreak="0">
    <w:nsid w:val="3BA60481"/>
    <w:multiLevelType w:val="hybridMultilevel"/>
    <w:tmpl w:val="FCC4AF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6" w15:restartNumberingAfterBreak="0">
    <w:nsid w:val="3BB25C06"/>
    <w:multiLevelType w:val="hybridMultilevel"/>
    <w:tmpl w:val="5CB2B4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7" w15:restartNumberingAfterBreak="0">
    <w:nsid w:val="3D07742F"/>
    <w:multiLevelType w:val="hybridMultilevel"/>
    <w:tmpl w:val="00C838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8" w15:restartNumberingAfterBreak="0">
    <w:nsid w:val="3DEA0D22"/>
    <w:multiLevelType w:val="hybridMultilevel"/>
    <w:tmpl w:val="CF0454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9" w15:restartNumberingAfterBreak="0">
    <w:nsid w:val="3E546AB8"/>
    <w:multiLevelType w:val="hybridMultilevel"/>
    <w:tmpl w:val="A42E1D6A"/>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170" w15:restartNumberingAfterBreak="0">
    <w:nsid w:val="3EB278CD"/>
    <w:multiLevelType w:val="hybridMultilevel"/>
    <w:tmpl w:val="44EC67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1" w15:restartNumberingAfterBreak="0">
    <w:nsid w:val="3F3472EC"/>
    <w:multiLevelType w:val="hybridMultilevel"/>
    <w:tmpl w:val="D2A6E1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2" w15:restartNumberingAfterBreak="0">
    <w:nsid w:val="3F4B5DA1"/>
    <w:multiLevelType w:val="hybridMultilevel"/>
    <w:tmpl w:val="7B4480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3" w15:restartNumberingAfterBreak="0">
    <w:nsid w:val="3FC10568"/>
    <w:multiLevelType w:val="hybridMultilevel"/>
    <w:tmpl w:val="2F564C1C"/>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74" w15:restartNumberingAfterBreak="0">
    <w:nsid w:val="4021730F"/>
    <w:multiLevelType w:val="hybridMultilevel"/>
    <w:tmpl w:val="4A48FA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5" w15:restartNumberingAfterBreak="0">
    <w:nsid w:val="4095594B"/>
    <w:multiLevelType w:val="hybridMultilevel"/>
    <w:tmpl w:val="3D8C9E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6" w15:restartNumberingAfterBreak="0">
    <w:nsid w:val="40D44A33"/>
    <w:multiLevelType w:val="hybridMultilevel"/>
    <w:tmpl w:val="97BA50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7" w15:restartNumberingAfterBreak="0">
    <w:nsid w:val="41040ADD"/>
    <w:multiLevelType w:val="hybridMultilevel"/>
    <w:tmpl w:val="B284FC7C"/>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428414B7"/>
    <w:multiLevelType w:val="hybridMultilevel"/>
    <w:tmpl w:val="C4BE3E6A"/>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179" w15:restartNumberingAfterBreak="0">
    <w:nsid w:val="428B1381"/>
    <w:multiLevelType w:val="hybridMultilevel"/>
    <w:tmpl w:val="CCAED8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0" w15:restartNumberingAfterBreak="0">
    <w:nsid w:val="42C825DF"/>
    <w:multiLevelType w:val="multilevel"/>
    <w:tmpl w:val="2DC2F212"/>
    <w:lvl w:ilvl="0">
      <w:start w:val="4"/>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81" w15:restartNumberingAfterBreak="0">
    <w:nsid w:val="44140908"/>
    <w:multiLevelType w:val="hybridMultilevel"/>
    <w:tmpl w:val="B3D6C5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2" w15:restartNumberingAfterBreak="0">
    <w:nsid w:val="44424796"/>
    <w:multiLevelType w:val="hybridMultilevel"/>
    <w:tmpl w:val="083416F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3" w15:restartNumberingAfterBreak="0">
    <w:nsid w:val="444250A3"/>
    <w:multiLevelType w:val="hybridMultilevel"/>
    <w:tmpl w:val="717893A8"/>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45580E93"/>
    <w:multiLevelType w:val="hybridMultilevel"/>
    <w:tmpl w:val="803635D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5" w15:restartNumberingAfterBreak="0">
    <w:nsid w:val="456A251C"/>
    <w:multiLevelType w:val="hybridMultilevel"/>
    <w:tmpl w:val="97787C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6" w15:restartNumberingAfterBreak="0">
    <w:nsid w:val="45CE3182"/>
    <w:multiLevelType w:val="hybridMultilevel"/>
    <w:tmpl w:val="E43C60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7" w15:restartNumberingAfterBreak="0">
    <w:nsid w:val="460A34F8"/>
    <w:multiLevelType w:val="hybridMultilevel"/>
    <w:tmpl w:val="3D4E5E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8" w15:restartNumberingAfterBreak="0">
    <w:nsid w:val="46160F62"/>
    <w:multiLevelType w:val="hybridMultilevel"/>
    <w:tmpl w:val="8ACE72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9" w15:restartNumberingAfterBreak="0">
    <w:nsid w:val="46346CEA"/>
    <w:multiLevelType w:val="hybridMultilevel"/>
    <w:tmpl w:val="16D08D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0" w15:restartNumberingAfterBreak="0">
    <w:nsid w:val="463B0D3E"/>
    <w:multiLevelType w:val="hybridMultilevel"/>
    <w:tmpl w:val="87A0A368"/>
    <w:lvl w:ilvl="0" w:tplc="140A0001">
      <w:start w:val="1"/>
      <w:numFmt w:val="bullet"/>
      <w:lvlText w:val=""/>
      <w:lvlJc w:val="left"/>
      <w:pPr>
        <w:ind w:left="947" w:hanging="360"/>
      </w:pPr>
      <w:rPr>
        <w:rFonts w:ascii="Symbol" w:hAnsi="Symbol" w:hint="default"/>
      </w:rPr>
    </w:lvl>
    <w:lvl w:ilvl="1" w:tplc="140A0003" w:tentative="1">
      <w:start w:val="1"/>
      <w:numFmt w:val="bullet"/>
      <w:lvlText w:val="o"/>
      <w:lvlJc w:val="left"/>
      <w:pPr>
        <w:ind w:left="1667" w:hanging="360"/>
      </w:pPr>
      <w:rPr>
        <w:rFonts w:ascii="Courier New" w:hAnsi="Courier New" w:cs="Courier New" w:hint="default"/>
      </w:rPr>
    </w:lvl>
    <w:lvl w:ilvl="2" w:tplc="140A0005" w:tentative="1">
      <w:start w:val="1"/>
      <w:numFmt w:val="bullet"/>
      <w:lvlText w:val=""/>
      <w:lvlJc w:val="left"/>
      <w:pPr>
        <w:ind w:left="2387" w:hanging="360"/>
      </w:pPr>
      <w:rPr>
        <w:rFonts w:ascii="Wingdings" w:hAnsi="Wingdings" w:hint="default"/>
      </w:rPr>
    </w:lvl>
    <w:lvl w:ilvl="3" w:tplc="140A0001" w:tentative="1">
      <w:start w:val="1"/>
      <w:numFmt w:val="bullet"/>
      <w:lvlText w:val=""/>
      <w:lvlJc w:val="left"/>
      <w:pPr>
        <w:ind w:left="3107" w:hanging="360"/>
      </w:pPr>
      <w:rPr>
        <w:rFonts w:ascii="Symbol" w:hAnsi="Symbol" w:hint="default"/>
      </w:rPr>
    </w:lvl>
    <w:lvl w:ilvl="4" w:tplc="140A0003" w:tentative="1">
      <w:start w:val="1"/>
      <w:numFmt w:val="bullet"/>
      <w:lvlText w:val="o"/>
      <w:lvlJc w:val="left"/>
      <w:pPr>
        <w:ind w:left="3827" w:hanging="360"/>
      </w:pPr>
      <w:rPr>
        <w:rFonts w:ascii="Courier New" w:hAnsi="Courier New" w:cs="Courier New" w:hint="default"/>
      </w:rPr>
    </w:lvl>
    <w:lvl w:ilvl="5" w:tplc="140A0005" w:tentative="1">
      <w:start w:val="1"/>
      <w:numFmt w:val="bullet"/>
      <w:lvlText w:val=""/>
      <w:lvlJc w:val="left"/>
      <w:pPr>
        <w:ind w:left="4547" w:hanging="360"/>
      </w:pPr>
      <w:rPr>
        <w:rFonts w:ascii="Wingdings" w:hAnsi="Wingdings" w:hint="default"/>
      </w:rPr>
    </w:lvl>
    <w:lvl w:ilvl="6" w:tplc="140A0001" w:tentative="1">
      <w:start w:val="1"/>
      <w:numFmt w:val="bullet"/>
      <w:lvlText w:val=""/>
      <w:lvlJc w:val="left"/>
      <w:pPr>
        <w:ind w:left="5267" w:hanging="360"/>
      </w:pPr>
      <w:rPr>
        <w:rFonts w:ascii="Symbol" w:hAnsi="Symbol" w:hint="default"/>
      </w:rPr>
    </w:lvl>
    <w:lvl w:ilvl="7" w:tplc="140A0003" w:tentative="1">
      <w:start w:val="1"/>
      <w:numFmt w:val="bullet"/>
      <w:lvlText w:val="o"/>
      <w:lvlJc w:val="left"/>
      <w:pPr>
        <w:ind w:left="5987" w:hanging="360"/>
      </w:pPr>
      <w:rPr>
        <w:rFonts w:ascii="Courier New" w:hAnsi="Courier New" w:cs="Courier New" w:hint="default"/>
      </w:rPr>
    </w:lvl>
    <w:lvl w:ilvl="8" w:tplc="140A0005" w:tentative="1">
      <w:start w:val="1"/>
      <w:numFmt w:val="bullet"/>
      <w:lvlText w:val=""/>
      <w:lvlJc w:val="left"/>
      <w:pPr>
        <w:ind w:left="6707" w:hanging="360"/>
      </w:pPr>
      <w:rPr>
        <w:rFonts w:ascii="Wingdings" w:hAnsi="Wingdings" w:hint="default"/>
      </w:rPr>
    </w:lvl>
  </w:abstractNum>
  <w:abstractNum w:abstractNumId="191" w15:restartNumberingAfterBreak="0">
    <w:nsid w:val="465C6A6A"/>
    <w:multiLevelType w:val="hybridMultilevel"/>
    <w:tmpl w:val="C46A98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2" w15:restartNumberingAfterBreak="0">
    <w:nsid w:val="468E7D1C"/>
    <w:multiLevelType w:val="hybridMultilevel"/>
    <w:tmpl w:val="0090E34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3" w15:restartNumberingAfterBreak="0">
    <w:nsid w:val="47194134"/>
    <w:multiLevelType w:val="hybridMultilevel"/>
    <w:tmpl w:val="EC66AE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4" w15:restartNumberingAfterBreak="0">
    <w:nsid w:val="47566F02"/>
    <w:multiLevelType w:val="hybridMultilevel"/>
    <w:tmpl w:val="1F2A02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5" w15:restartNumberingAfterBreak="0">
    <w:nsid w:val="476D59E7"/>
    <w:multiLevelType w:val="hybridMultilevel"/>
    <w:tmpl w:val="7EDC1E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6" w15:restartNumberingAfterBreak="0">
    <w:nsid w:val="485F15D3"/>
    <w:multiLevelType w:val="hybridMultilevel"/>
    <w:tmpl w:val="CBCAB9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7" w15:restartNumberingAfterBreak="0">
    <w:nsid w:val="4880186B"/>
    <w:multiLevelType w:val="hybridMultilevel"/>
    <w:tmpl w:val="00308026"/>
    <w:lvl w:ilvl="0" w:tplc="C4D6C73A">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198" w15:restartNumberingAfterBreak="0">
    <w:nsid w:val="49061C96"/>
    <w:multiLevelType w:val="hybridMultilevel"/>
    <w:tmpl w:val="ACBC1C2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9" w15:restartNumberingAfterBreak="0">
    <w:nsid w:val="494E7015"/>
    <w:multiLevelType w:val="hybridMultilevel"/>
    <w:tmpl w:val="4F782A7E"/>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49592CB3"/>
    <w:multiLevelType w:val="hybridMultilevel"/>
    <w:tmpl w:val="0AF80E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1" w15:restartNumberingAfterBreak="0">
    <w:nsid w:val="499E7168"/>
    <w:multiLevelType w:val="hybridMultilevel"/>
    <w:tmpl w:val="D0CCCE06"/>
    <w:lvl w:ilvl="0" w:tplc="5AF6EC2A">
      <w:start w:val="1"/>
      <w:numFmt w:val="bullet"/>
      <w:lvlText w:val=""/>
      <w:lvlJc w:val="left"/>
      <w:pPr>
        <w:tabs>
          <w:tab w:val="num" w:pos="-369"/>
        </w:tabs>
        <w:ind w:left="-199" w:hanging="170"/>
      </w:pPr>
      <w:rPr>
        <w:rFonts w:ascii="Symbol" w:hAnsi="Symbol" w:hint="default"/>
      </w:rPr>
    </w:lvl>
    <w:lvl w:ilvl="1" w:tplc="040A0003" w:tentative="1">
      <w:start w:val="1"/>
      <w:numFmt w:val="bullet"/>
      <w:lvlText w:val="o"/>
      <w:lvlJc w:val="left"/>
      <w:pPr>
        <w:tabs>
          <w:tab w:val="num" w:pos="1014"/>
        </w:tabs>
        <w:ind w:left="1014" w:hanging="360"/>
      </w:pPr>
      <w:rPr>
        <w:rFonts w:ascii="Courier New" w:hAnsi="Courier New" w:cs="Courier New" w:hint="default"/>
      </w:rPr>
    </w:lvl>
    <w:lvl w:ilvl="2" w:tplc="040A0005" w:tentative="1">
      <w:start w:val="1"/>
      <w:numFmt w:val="bullet"/>
      <w:lvlText w:val=""/>
      <w:lvlJc w:val="left"/>
      <w:pPr>
        <w:tabs>
          <w:tab w:val="num" w:pos="1734"/>
        </w:tabs>
        <w:ind w:left="1734" w:hanging="360"/>
      </w:pPr>
      <w:rPr>
        <w:rFonts w:ascii="Wingdings" w:hAnsi="Wingdings" w:hint="default"/>
      </w:rPr>
    </w:lvl>
    <w:lvl w:ilvl="3" w:tplc="040A0001" w:tentative="1">
      <w:start w:val="1"/>
      <w:numFmt w:val="bullet"/>
      <w:lvlText w:val=""/>
      <w:lvlJc w:val="left"/>
      <w:pPr>
        <w:tabs>
          <w:tab w:val="num" w:pos="2454"/>
        </w:tabs>
        <w:ind w:left="2454" w:hanging="360"/>
      </w:pPr>
      <w:rPr>
        <w:rFonts w:ascii="Symbol" w:hAnsi="Symbol" w:hint="default"/>
      </w:rPr>
    </w:lvl>
    <w:lvl w:ilvl="4" w:tplc="040A0003" w:tentative="1">
      <w:start w:val="1"/>
      <w:numFmt w:val="bullet"/>
      <w:lvlText w:val="o"/>
      <w:lvlJc w:val="left"/>
      <w:pPr>
        <w:tabs>
          <w:tab w:val="num" w:pos="3174"/>
        </w:tabs>
        <w:ind w:left="3174" w:hanging="360"/>
      </w:pPr>
      <w:rPr>
        <w:rFonts w:ascii="Courier New" w:hAnsi="Courier New" w:cs="Courier New" w:hint="default"/>
      </w:rPr>
    </w:lvl>
    <w:lvl w:ilvl="5" w:tplc="040A0005" w:tentative="1">
      <w:start w:val="1"/>
      <w:numFmt w:val="bullet"/>
      <w:lvlText w:val=""/>
      <w:lvlJc w:val="left"/>
      <w:pPr>
        <w:tabs>
          <w:tab w:val="num" w:pos="3894"/>
        </w:tabs>
        <w:ind w:left="3894" w:hanging="360"/>
      </w:pPr>
      <w:rPr>
        <w:rFonts w:ascii="Wingdings" w:hAnsi="Wingdings" w:hint="default"/>
      </w:rPr>
    </w:lvl>
    <w:lvl w:ilvl="6" w:tplc="040A0001" w:tentative="1">
      <w:start w:val="1"/>
      <w:numFmt w:val="bullet"/>
      <w:lvlText w:val=""/>
      <w:lvlJc w:val="left"/>
      <w:pPr>
        <w:tabs>
          <w:tab w:val="num" w:pos="4614"/>
        </w:tabs>
        <w:ind w:left="4614" w:hanging="360"/>
      </w:pPr>
      <w:rPr>
        <w:rFonts w:ascii="Symbol" w:hAnsi="Symbol" w:hint="default"/>
      </w:rPr>
    </w:lvl>
    <w:lvl w:ilvl="7" w:tplc="040A0003" w:tentative="1">
      <w:start w:val="1"/>
      <w:numFmt w:val="bullet"/>
      <w:lvlText w:val="o"/>
      <w:lvlJc w:val="left"/>
      <w:pPr>
        <w:tabs>
          <w:tab w:val="num" w:pos="5334"/>
        </w:tabs>
        <w:ind w:left="5334" w:hanging="360"/>
      </w:pPr>
      <w:rPr>
        <w:rFonts w:ascii="Courier New" w:hAnsi="Courier New" w:cs="Courier New" w:hint="default"/>
      </w:rPr>
    </w:lvl>
    <w:lvl w:ilvl="8" w:tplc="040A0005" w:tentative="1">
      <w:start w:val="1"/>
      <w:numFmt w:val="bullet"/>
      <w:lvlText w:val=""/>
      <w:lvlJc w:val="left"/>
      <w:pPr>
        <w:tabs>
          <w:tab w:val="num" w:pos="6054"/>
        </w:tabs>
        <w:ind w:left="6054" w:hanging="360"/>
      </w:pPr>
      <w:rPr>
        <w:rFonts w:ascii="Wingdings" w:hAnsi="Wingdings" w:hint="default"/>
      </w:rPr>
    </w:lvl>
  </w:abstractNum>
  <w:abstractNum w:abstractNumId="202" w15:restartNumberingAfterBreak="0">
    <w:nsid w:val="49D659D6"/>
    <w:multiLevelType w:val="hybridMultilevel"/>
    <w:tmpl w:val="48CE6D1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3" w15:restartNumberingAfterBreak="0">
    <w:nsid w:val="4A86323B"/>
    <w:multiLevelType w:val="hybridMultilevel"/>
    <w:tmpl w:val="3A80CF1C"/>
    <w:lvl w:ilvl="0" w:tplc="A544A0F2">
      <w:start w:val="1"/>
      <w:numFmt w:val="decimal"/>
      <w:lvlText w:val="%1"/>
      <w:lvlJc w:val="left"/>
      <w:pPr>
        <w:tabs>
          <w:tab w:val="num" w:pos="360"/>
        </w:tabs>
        <w:ind w:left="360" w:hanging="190"/>
      </w:pPr>
      <w:rPr>
        <w:rFonts w:hint="default"/>
      </w:rPr>
    </w:lvl>
    <w:lvl w:ilvl="1" w:tplc="5AF6EC2A">
      <w:start w:val="1"/>
      <w:numFmt w:val="bullet"/>
      <w:lvlText w:val=""/>
      <w:lvlJc w:val="left"/>
      <w:pPr>
        <w:tabs>
          <w:tab w:val="num" w:pos="57"/>
        </w:tabs>
        <w:ind w:left="227" w:hanging="170"/>
      </w:pPr>
      <w:rPr>
        <w:rFonts w:ascii="Symbol" w:hAnsi="Symbol" w:hint="default"/>
      </w:r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04" w15:restartNumberingAfterBreak="0">
    <w:nsid w:val="4ABD06EC"/>
    <w:multiLevelType w:val="hybridMultilevel"/>
    <w:tmpl w:val="F22E5D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5" w15:restartNumberingAfterBreak="0">
    <w:nsid w:val="4AC65E3A"/>
    <w:multiLevelType w:val="hybridMultilevel"/>
    <w:tmpl w:val="5D7CFB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6" w15:restartNumberingAfterBreak="0">
    <w:nsid w:val="4AE73A4D"/>
    <w:multiLevelType w:val="hybridMultilevel"/>
    <w:tmpl w:val="D9401E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7" w15:restartNumberingAfterBreak="0">
    <w:nsid w:val="4B507485"/>
    <w:multiLevelType w:val="hybridMultilevel"/>
    <w:tmpl w:val="BFD4DF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8" w15:restartNumberingAfterBreak="0">
    <w:nsid w:val="4BCF146A"/>
    <w:multiLevelType w:val="hybridMultilevel"/>
    <w:tmpl w:val="D0E0B2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9" w15:restartNumberingAfterBreak="0">
    <w:nsid w:val="4BF0012B"/>
    <w:multiLevelType w:val="hybridMultilevel"/>
    <w:tmpl w:val="D64264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0" w15:restartNumberingAfterBreak="0">
    <w:nsid w:val="4BFD707D"/>
    <w:multiLevelType w:val="hybridMultilevel"/>
    <w:tmpl w:val="8236EF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1" w15:restartNumberingAfterBreak="0">
    <w:nsid w:val="4C3B2F67"/>
    <w:multiLevelType w:val="hybridMultilevel"/>
    <w:tmpl w:val="9E1655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2" w15:restartNumberingAfterBreak="0">
    <w:nsid w:val="4C632CD9"/>
    <w:multiLevelType w:val="hybridMultilevel"/>
    <w:tmpl w:val="DF00B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3" w15:restartNumberingAfterBreak="0">
    <w:nsid w:val="4CF050A6"/>
    <w:multiLevelType w:val="hybridMultilevel"/>
    <w:tmpl w:val="4D702E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4" w15:restartNumberingAfterBreak="0">
    <w:nsid w:val="4D3E1058"/>
    <w:multiLevelType w:val="hybridMultilevel"/>
    <w:tmpl w:val="6DC82D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5" w15:restartNumberingAfterBreak="0">
    <w:nsid w:val="4D660914"/>
    <w:multiLevelType w:val="hybridMultilevel"/>
    <w:tmpl w:val="E89C2C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6" w15:restartNumberingAfterBreak="0">
    <w:nsid w:val="4D7D069A"/>
    <w:multiLevelType w:val="hybridMultilevel"/>
    <w:tmpl w:val="E7C0680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7" w15:restartNumberingAfterBreak="0">
    <w:nsid w:val="4ED9261C"/>
    <w:multiLevelType w:val="hybridMultilevel"/>
    <w:tmpl w:val="A6BE39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8" w15:restartNumberingAfterBreak="0">
    <w:nsid w:val="4EDF091B"/>
    <w:multiLevelType w:val="hybridMultilevel"/>
    <w:tmpl w:val="1114B3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9" w15:restartNumberingAfterBreak="0">
    <w:nsid w:val="4F3C7DD0"/>
    <w:multiLevelType w:val="hybridMultilevel"/>
    <w:tmpl w:val="013226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0" w15:restartNumberingAfterBreak="0">
    <w:nsid w:val="4F7A543D"/>
    <w:multiLevelType w:val="hybridMultilevel"/>
    <w:tmpl w:val="E06884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1" w15:restartNumberingAfterBreak="0">
    <w:nsid w:val="4F9717A5"/>
    <w:multiLevelType w:val="hybridMultilevel"/>
    <w:tmpl w:val="B5BA55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2" w15:restartNumberingAfterBreak="0">
    <w:nsid w:val="4FE67F59"/>
    <w:multiLevelType w:val="hybridMultilevel"/>
    <w:tmpl w:val="9854731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3" w15:restartNumberingAfterBreak="0">
    <w:nsid w:val="4FEA0E59"/>
    <w:multiLevelType w:val="hybridMultilevel"/>
    <w:tmpl w:val="37ECB8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4" w15:restartNumberingAfterBreak="0">
    <w:nsid w:val="4FF8231F"/>
    <w:multiLevelType w:val="hybridMultilevel"/>
    <w:tmpl w:val="63505A8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5" w15:restartNumberingAfterBreak="0">
    <w:nsid w:val="50DA7BD8"/>
    <w:multiLevelType w:val="hybridMultilevel"/>
    <w:tmpl w:val="C928B2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6" w15:restartNumberingAfterBreak="0">
    <w:nsid w:val="5110162F"/>
    <w:multiLevelType w:val="hybridMultilevel"/>
    <w:tmpl w:val="65781122"/>
    <w:lvl w:ilvl="0" w:tplc="140A0001">
      <w:start w:val="1"/>
      <w:numFmt w:val="bullet"/>
      <w:lvlText w:val=""/>
      <w:lvlJc w:val="left"/>
      <w:pPr>
        <w:ind w:left="1352" w:hanging="360"/>
      </w:pPr>
      <w:rPr>
        <w:rFonts w:ascii="Symbol" w:hAnsi="Symbol" w:hint="default"/>
      </w:rPr>
    </w:lvl>
    <w:lvl w:ilvl="1" w:tplc="140A0003" w:tentative="1">
      <w:start w:val="1"/>
      <w:numFmt w:val="bullet"/>
      <w:lvlText w:val="o"/>
      <w:lvlJc w:val="left"/>
      <w:pPr>
        <w:ind w:left="1497" w:hanging="360"/>
      </w:pPr>
      <w:rPr>
        <w:rFonts w:ascii="Courier New" w:hAnsi="Courier New" w:cs="Courier New" w:hint="default"/>
      </w:rPr>
    </w:lvl>
    <w:lvl w:ilvl="2" w:tplc="140A0005" w:tentative="1">
      <w:start w:val="1"/>
      <w:numFmt w:val="bullet"/>
      <w:lvlText w:val=""/>
      <w:lvlJc w:val="left"/>
      <w:pPr>
        <w:ind w:left="2217" w:hanging="360"/>
      </w:pPr>
      <w:rPr>
        <w:rFonts w:ascii="Wingdings" w:hAnsi="Wingdings" w:hint="default"/>
      </w:rPr>
    </w:lvl>
    <w:lvl w:ilvl="3" w:tplc="140A0001" w:tentative="1">
      <w:start w:val="1"/>
      <w:numFmt w:val="bullet"/>
      <w:lvlText w:val=""/>
      <w:lvlJc w:val="left"/>
      <w:pPr>
        <w:ind w:left="2937" w:hanging="360"/>
      </w:pPr>
      <w:rPr>
        <w:rFonts w:ascii="Symbol" w:hAnsi="Symbol" w:hint="default"/>
      </w:rPr>
    </w:lvl>
    <w:lvl w:ilvl="4" w:tplc="140A0003" w:tentative="1">
      <w:start w:val="1"/>
      <w:numFmt w:val="bullet"/>
      <w:lvlText w:val="o"/>
      <w:lvlJc w:val="left"/>
      <w:pPr>
        <w:ind w:left="3657" w:hanging="360"/>
      </w:pPr>
      <w:rPr>
        <w:rFonts w:ascii="Courier New" w:hAnsi="Courier New" w:cs="Courier New" w:hint="default"/>
      </w:rPr>
    </w:lvl>
    <w:lvl w:ilvl="5" w:tplc="140A0005" w:tentative="1">
      <w:start w:val="1"/>
      <w:numFmt w:val="bullet"/>
      <w:lvlText w:val=""/>
      <w:lvlJc w:val="left"/>
      <w:pPr>
        <w:ind w:left="4377" w:hanging="360"/>
      </w:pPr>
      <w:rPr>
        <w:rFonts w:ascii="Wingdings" w:hAnsi="Wingdings" w:hint="default"/>
      </w:rPr>
    </w:lvl>
    <w:lvl w:ilvl="6" w:tplc="140A0001" w:tentative="1">
      <w:start w:val="1"/>
      <w:numFmt w:val="bullet"/>
      <w:lvlText w:val=""/>
      <w:lvlJc w:val="left"/>
      <w:pPr>
        <w:ind w:left="5097" w:hanging="360"/>
      </w:pPr>
      <w:rPr>
        <w:rFonts w:ascii="Symbol" w:hAnsi="Symbol" w:hint="default"/>
      </w:rPr>
    </w:lvl>
    <w:lvl w:ilvl="7" w:tplc="140A0003" w:tentative="1">
      <w:start w:val="1"/>
      <w:numFmt w:val="bullet"/>
      <w:lvlText w:val="o"/>
      <w:lvlJc w:val="left"/>
      <w:pPr>
        <w:ind w:left="5817" w:hanging="360"/>
      </w:pPr>
      <w:rPr>
        <w:rFonts w:ascii="Courier New" w:hAnsi="Courier New" w:cs="Courier New" w:hint="default"/>
      </w:rPr>
    </w:lvl>
    <w:lvl w:ilvl="8" w:tplc="140A0005" w:tentative="1">
      <w:start w:val="1"/>
      <w:numFmt w:val="bullet"/>
      <w:lvlText w:val=""/>
      <w:lvlJc w:val="left"/>
      <w:pPr>
        <w:ind w:left="6537" w:hanging="360"/>
      </w:pPr>
      <w:rPr>
        <w:rFonts w:ascii="Wingdings" w:hAnsi="Wingdings" w:hint="default"/>
      </w:rPr>
    </w:lvl>
  </w:abstractNum>
  <w:abstractNum w:abstractNumId="227" w15:restartNumberingAfterBreak="0">
    <w:nsid w:val="51520834"/>
    <w:multiLevelType w:val="hybridMultilevel"/>
    <w:tmpl w:val="E9A86326"/>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228" w15:restartNumberingAfterBreak="0">
    <w:nsid w:val="5170079E"/>
    <w:multiLevelType w:val="hybridMultilevel"/>
    <w:tmpl w:val="D362E8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9" w15:restartNumberingAfterBreak="0">
    <w:nsid w:val="52316EE9"/>
    <w:multiLevelType w:val="hybridMultilevel"/>
    <w:tmpl w:val="3FA2A1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0" w15:restartNumberingAfterBreak="0">
    <w:nsid w:val="530410B7"/>
    <w:multiLevelType w:val="hybridMultilevel"/>
    <w:tmpl w:val="F07C6E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1" w15:restartNumberingAfterBreak="0">
    <w:nsid w:val="53897E8D"/>
    <w:multiLevelType w:val="hybridMultilevel"/>
    <w:tmpl w:val="0FF0CBB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2" w15:restartNumberingAfterBreak="0">
    <w:nsid w:val="53D43A09"/>
    <w:multiLevelType w:val="hybridMultilevel"/>
    <w:tmpl w:val="4E4651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3" w15:restartNumberingAfterBreak="0">
    <w:nsid w:val="53FB109D"/>
    <w:multiLevelType w:val="hybridMultilevel"/>
    <w:tmpl w:val="F4CCBD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4" w15:restartNumberingAfterBreak="0">
    <w:nsid w:val="54516549"/>
    <w:multiLevelType w:val="hybridMultilevel"/>
    <w:tmpl w:val="FE86FB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5" w15:restartNumberingAfterBreak="0">
    <w:nsid w:val="54724F87"/>
    <w:multiLevelType w:val="hybridMultilevel"/>
    <w:tmpl w:val="719CF2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6" w15:restartNumberingAfterBreak="0">
    <w:nsid w:val="55295B1D"/>
    <w:multiLevelType w:val="hybridMultilevel"/>
    <w:tmpl w:val="D67ABBA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7" w15:restartNumberingAfterBreak="0">
    <w:nsid w:val="55723FAB"/>
    <w:multiLevelType w:val="hybridMultilevel"/>
    <w:tmpl w:val="A02674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8" w15:restartNumberingAfterBreak="0">
    <w:nsid w:val="56164307"/>
    <w:multiLevelType w:val="hybridMultilevel"/>
    <w:tmpl w:val="50FAFF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9" w15:restartNumberingAfterBreak="0">
    <w:nsid w:val="56763091"/>
    <w:multiLevelType w:val="hybridMultilevel"/>
    <w:tmpl w:val="BF141E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0" w15:restartNumberingAfterBreak="0">
    <w:nsid w:val="567C2677"/>
    <w:multiLevelType w:val="hybridMultilevel"/>
    <w:tmpl w:val="942023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1" w15:restartNumberingAfterBreak="0">
    <w:nsid w:val="56E41E3B"/>
    <w:multiLevelType w:val="hybridMultilevel"/>
    <w:tmpl w:val="C0121A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2" w15:restartNumberingAfterBreak="0">
    <w:nsid w:val="56E55792"/>
    <w:multiLevelType w:val="hybridMultilevel"/>
    <w:tmpl w:val="9DD682D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3" w15:restartNumberingAfterBreak="0">
    <w:nsid w:val="5725722D"/>
    <w:multiLevelType w:val="hybridMultilevel"/>
    <w:tmpl w:val="2286E87C"/>
    <w:lvl w:ilvl="0" w:tplc="C4D6C73A">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244" w15:restartNumberingAfterBreak="0">
    <w:nsid w:val="5741271A"/>
    <w:multiLevelType w:val="hybridMultilevel"/>
    <w:tmpl w:val="83025A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5" w15:restartNumberingAfterBreak="0">
    <w:nsid w:val="57854554"/>
    <w:multiLevelType w:val="hybridMultilevel"/>
    <w:tmpl w:val="E6BE9A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6" w15:restartNumberingAfterBreak="0">
    <w:nsid w:val="583111AD"/>
    <w:multiLevelType w:val="hybridMultilevel"/>
    <w:tmpl w:val="00F05BE0"/>
    <w:lvl w:ilvl="0" w:tplc="140A000F">
      <w:start w:val="1"/>
      <w:numFmt w:val="decimal"/>
      <w:lvlText w:val="%1."/>
      <w:lvlJc w:val="left"/>
      <w:pPr>
        <w:ind w:left="720" w:hanging="360"/>
      </w:pPr>
      <w:rPr>
        <w:rFonts w:cs="Times New Roman"/>
      </w:rPr>
    </w:lvl>
    <w:lvl w:ilvl="1" w:tplc="140A0019">
      <w:start w:val="1"/>
      <w:numFmt w:val="lowerLetter"/>
      <w:lvlText w:val="%2."/>
      <w:lvlJc w:val="left"/>
      <w:pPr>
        <w:ind w:left="1440" w:hanging="360"/>
      </w:pPr>
      <w:rPr>
        <w:rFonts w:cs="Times New Roman"/>
      </w:rPr>
    </w:lvl>
    <w:lvl w:ilvl="2" w:tplc="140A001B">
      <w:start w:val="1"/>
      <w:numFmt w:val="lowerRoman"/>
      <w:lvlText w:val="%3."/>
      <w:lvlJc w:val="right"/>
      <w:pPr>
        <w:ind w:left="2160" w:hanging="180"/>
      </w:pPr>
      <w:rPr>
        <w:rFonts w:cs="Times New Roman"/>
      </w:rPr>
    </w:lvl>
    <w:lvl w:ilvl="3" w:tplc="140A000F">
      <w:start w:val="1"/>
      <w:numFmt w:val="decimal"/>
      <w:lvlText w:val="%4."/>
      <w:lvlJc w:val="left"/>
      <w:pPr>
        <w:ind w:left="2880" w:hanging="360"/>
      </w:pPr>
      <w:rPr>
        <w:rFonts w:cs="Times New Roman"/>
      </w:rPr>
    </w:lvl>
    <w:lvl w:ilvl="4" w:tplc="140A0019">
      <w:start w:val="1"/>
      <w:numFmt w:val="lowerLetter"/>
      <w:lvlText w:val="%5."/>
      <w:lvlJc w:val="left"/>
      <w:pPr>
        <w:ind w:left="3600" w:hanging="360"/>
      </w:pPr>
      <w:rPr>
        <w:rFonts w:cs="Times New Roman"/>
      </w:rPr>
    </w:lvl>
    <w:lvl w:ilvl="5" w:tplc="140A001B">
      <w:start w:val="1"/>
      <w:numFmt w:val="lowerRoman"/>
      <w:lvlText w:val="%6."/>
      <w:lvlJc w:val="right"/>
      <w:pPr>
        <w:ind w:left="4320" w:hanging="180"/>
      </w:pPr>
      <w:rPr>
        <w:rFonts w:cs="Times New Roman"/>
      </w:rPr>
    </w:lvl>
    <w:lvl w:ilvl="6" w:tplc="140A000F">
      <w:start w:val="1"/>
      <w:numFmt w:val="decimal"/>
      <w:lvlText w:val="%7."/>
      <w:lvlJc w:val="left"/>
      <w:pPr>
        <w:ind w:left="5040" w:hanging="360"/>
      </w:pPr>
      <w:rPr>
        <w:rFonts w:cs="Times New Roman"/>
      </w:rPr>
    </w:lvl>
    <w:lvl w:ilvl="7" w:tplc="140A0019">
      <w:start w:val="1"/>
      <w:numFmt w:val="lowerLetter"/>
      <w:lvlText w:val="%8."/>
      <w:lvlJc w:val="left"/>
      <w:pPr>
        <w:ind w:left="5760" w:hanging="360"/>
      </w:pPr>
      <w:rPr>
        <w:rFonts w:cs="Times New Roman"/>
      </w:rPr>
    </w:lvl>
    <w:lvl w:ilvl="8" w:tplc="140A001B">
      <w:start w:val="1"/>
      <w:numFmt w:val="lowerRoman"/>
      <w:lvlText w:val="%9."/>
      <w:lvlJc w:val="right"/>
      <w:pPr>
        <w:ind w:left="6480" w:hanging="180"/>
      </w:pPr>
      <w:rPr>
        <w:rFonts w:cs="Times New Roman"/>
      </w:rPr>
    </w:lvl>
  </w:abstractNum>
  <w:abstractNum w:abstractNumId="247" w15:restartNumberingAfterBreak="0">
    <w:nsid w:val="59171241"/>
    <w:multiLevelType w:val="hybridMultilevel"/>
    <w:tmpl w:val="2284AE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8" w15:restartNumberingAfterBreak="0">
    <w:nsid w:val="595D1DA5"/>
    <w:multiLevelType w:val="hybridMultilevel"/>
    <w:tmpl w:val="CE7266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9" w15:restartNumberingAfterBreak="0">
    <w:nsid w:val="59B36326"/>
    <w:multiLevelType w:val="hybridMultilevel"/>
    <w:tmpl w:val="FEC805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0" w15:restartNumberingAfterBreak="0">
    <w:nsid w:val="59B53A9D"/>
    <w:multiLevelType w:val="hybridMultilevel"/>
    <w:tmpl w:val="D0E443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1" w15:restartNumberingAfterBreak="0">
    <w:nsid w:val="5A3578BC"/>
    <w:multiLevelType w:val="hybridMultilevel"/>
    <w:tmpl w:val="B5B0B28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2" w15:restartNumberingAfterBreak="0">
    <w:nsid w:val="5A7806E4"/>
    <w:multiLevelType w:val="hybridMultilevel"/>
    <w:tmpl w:val="5144F6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3" w15:restartNumberingAfterBreak="0">
    <w:nsid w:val="5BD5525E"/>
    <w:multiLevelType w:val="hybridMultilevel"/>
    <w:tmpl w:val="ACCED5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4" w15:restartNumberingAfterBreak="0">
    <w:nsid w:val="5D4E4BAF"/>
    <w:multiLevelType w:val="hybridMultilevel"/>
    <w:tmpl w:val="59B014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5" w15:restartNumberingAfterBreak="0">
    <w:nsid w:val="5DF840D3"/>
    <w:multiLevelType w:val="hybridMultilevel"/>
    <w:tmpl w:val="225472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6" w15:restartNumberingAfterBreak="0">
    <w:nsid w:val="5E215AFF"/>
    <w:multiLevelType w:val="hybridMultilevel"/>
    <w:tmpl w:val="58984F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7" w15:restartNumberingAfterBreak="0">
    <w:nsid w:val="5E9A76E8"/>
    <w:multiLevelType w:val="hybridMultilevel"/>
    <w:tmpl w:val="00F05BE0"/>
    <w:lvl w:ilvl="0" w:tplc="140A000F">
      <w:start w:val="1"/>
      <w:numFmt w:val="decimal"/>
      <w:lvlText w:val="%1."/>
      <w:lvlJc w:val="left"/>
      <w:pPr>
        <w:ind w:left="720" w:hanging="360"/>
      </w:pPr>
      <w:rPr>
        <w:rFonts w:cs="Times New Roman" w:hint="default"/>
      </w:rPr>
    </w:lvl>
    <w:lvl w:ilvl="1" w:tplc="140A0019" w:tentative="1">
      <w:start w:val="1"/>
      <w:numFmt w:val="lowerLetter"/>
      <w:lvlText w:val="%2."/>
      <w:lvlJc w:val="left"/>
      <w:pPr>
        <w:ind w:left="1440" w:hanging="360"/>
      </w:pPr>
      <w:rPr>
        <w:rFonts w:cs="Times New Roman"/>
      </w:rPr>
    </w:lvl>
    <w:lvl w:ilvl="2" w:tplc="140A001B" w:tentative="1">
      <w:start w:val="1"/>
      <w:numFmt w:val="lowerRoman"/>
      <w:lvlText w:val="%3."/>
      <w:lvlJc w:val="right"/>
      <w:pPr>
        <w:ind w:left="2160" w:hanging="180"/>
      </w:pPr>
      <w:rPr>
        <w:rFonts w:cs="Times New Roman"/>
      </w:rPr>
    </w:lvl>
    <w:lvl w:ilvl="3" w:tplc="140A000F" w:tentative="1">
      <w:start w:val="1"/>
      <w:numFmt w:val="decimal"/>
      <w:lvlText w:val="%4."/>
      <w:lvlJc w:val="left"/>
      <w:pPr>
        <w:ind w:left="2880" w:hanging="360"/>
      </w:pPr>
      <w:rPr>
        <w:rFonts w:cs="Times New Roman"/>
      </w:rPr>
    </w:lvl>
    <w:lvl w:ilvl="4" w:tplc="140A0019" w:tentative="1">
      <w:start w:val="1"/>
      <w:numFmt w:val="lowerLetter"/>
      <w:lvlText w:val="%5."/>
      <w:lvlJc w:val="left"/>
      <w:pPr>
        <w:ind w:left="3600" w:hanging="360"/>
      </w:pPr>
      <w:rPr>
        <w:rFonts w:cs="Times New Roman"/>
      </w:rPr>
    </w:lvl>
    <w:lvl w:ilvl="5" w:tplc="140A001B" w:tentative="1">
      <w:start w:val="1"/>
      <w:numFmt w:val="lowerRoman"/>
      <w:lvlText w:val="%6."/>
      <w:lvlJc w:val="right"/>
      <w:pPr>
        <w:ind w:left="4320" w:hanging="180"/>
      </w:pPr>
      <w:rPr>
        <w:rFonts w:cs="Times New Roman"/>
      </w:rPr>
    </w:lvl>
    <w:lvl w:ilvl="6" w:tplc="140A000F" w:tentative="1">
      <w:start w:val="1"/>
      <w:numFmt w:val="decimal"/>
      <w:lvlText w:val="%7."/>
      <w:lvlJc w:val="left"/>
      <w:pPr>
        <w:ind w:left="5040" w:hanging="360"/>
      </w:pPr>
      <w:rPr>
        <w:rFonts w:cs="Times New Roman"/>
      </w:rPr>
    </w:lvl>
    <w:lvl w:ilvl="7" w:tplc="140A0019" w:tentative="1">
      <w:start w:val="1"/>
      <w:numFmt w:val="lowerLetter"/>
      <w:lvlText w:val="%8."/>
      <w:lvlJc w:val="left"/>
      <w:pPr>
        <w:ind w:left="5760" w:hanging="360"/>
      </w:pPr>
      <w:rPr>
        <w:rFonts w:cs="Times New Roman"/>
      </w:rPr>
    </w:lvl>
    <w:lvl w:ilvl="8" w:tplc="140A001B" w:tentative="1">
      <w:start w:val="1"/>
      <w:numFmt w:val="lowerRoman"/>
      <w:lvlText w:val="%9."/>
      <w:lvlJc w:val="right"/>
      <w:pPr>
        <w:ind w:left="6480" w:hanging="180"/>
      </w:pPr>
      <w:rPr>
        <w:rFonts w:cs="Times New Roman"/>
      </w:rPr>
    </w:lvl>
  </w:abstractNum>
  <w:abstractNum w:abstractNumId="258" w15:restartNumberingAfterBreak="0">
    <w:nsid w:val="5EB457FA"/>
    <w:multiLevelType w:val="hybridMultilevel"/>
    <w:tmpl w:val="0C5A46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9" w15:restartNumberingAfterBreak="0">
    <w:nsid w:val="5EE1328E"/>
    <w:multiLevelType w:val="hybridMultilevel"/>
    <w:tmpl w:val="C3C6FB24"/>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260" w15:restartNumberingAfterBreak="0">
    <w:nsid w:val="5F2D03C5"/>
    <w:multiLevelType w:val="hybridMultilevel"/>
    <w:tmpl w:val="A05C55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1" w15:restartNumberingAfterBreak="0">
    <w:nsid w:val="5F3C3EC9"/>
    <w:multiLevelType w:val="hybridMultilevel"/>
    <w:tmpl w:val="AA10B3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2" w15:restartNumberingAfterBreak="0">
    <w:nsid w:val="5F784C35"/>
    <w:multiLevelType w:val="hybridMultilevel"/>
    <w:tmpl w:val="C20CDE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3" w15:restartNumberingAfterBreak="0">
    <w:nsid w:val="5F8A6E6B"/>
    <w:multiLevelType w:val="hybridMultilevel"/>
    <w:tmpl w:val="BA32CA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4" w15:restartNumberingAfterBreak="0">
    <w:nsid w:val="5FC14988"/>
    <w:multiLevelType w:val="hybridMultilevel"/>
    <w:tmpl w:val="4CBE8C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5" w15:restartNumberingAfterBreak="0">
    <w:nsid w:val="5FCC4DB6"/>
    <w:multiLevelType w:val="hybridMultilevel"/>
    <w:tmpl w:val="2C180C5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6" w15:restartNumberingAfterBreak="0">
    <w:nsid w:val="60347589"/>
    <w:multiLevelType w:val="hybridMultilevel"/>
    <w:tmpl w:val="A3E89B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7" w15:restartNumberingAfterBreak="0">
    <w:nsid w:val="6060123C"/>
    <w:multiLevelType w:val="hybridMultilevel"/>
    <w:tmpl w:val="82546B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8" w15:restartNumberingAfterBreak="0">
    <w:nsid w:val="60613ACC"/>
    <w:multiLevelType w:val="hybridMultilevel"/>
    <w:tmpl w:val="2E12CB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9" w15:restartNumberingAfterBreak="0">
    <w:nsid w:val="60D62F98"/>
    <w:multiLevelType w:val="hybridMultilevel"/>
    <w:tmpl w:val="38D250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0" w15:restartNumberingAfterBreak="0">
    <w:nsid w:val="613E4645"/>
    <w:multiLevelType w:val="hybridMultilevel"/>
    <w:tmpl w:val="250813C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1" w15:restartNumberingAfterBreak="0">
    <w:nsid w:val="61CD35AD"/>
    <w:multiLevelType w:val="hybridMultilevel"/>
    <w:tmpl w:val="AB4C1C2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2" w15:restartNumberingAfterBreak="0">
    <w:nsid w:val="62E11531"/>
    <w:multiLevelType w:val="hybridMultilevel"/>
    <w:tmpl w:val="1C8693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3" w15:restartNumberingAfterBreak="0">
    <w:nsid w:val="63016A96"/>
    <w:multiLevelType w:val="hybridMultilevel"/>
    <w:tmpl w:val="D2B89C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4" w15:restartNumberingAfterBreak="0">
    <w:nsid w:val="63A450A2"/>
    <w:multiLevelType w:val="hybridMultilevel"/>
    <w:tmpl w:val="B430032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5" w15:restartNumberingAfterBreak="0">
    <w:nsid w:val="64056BC6"/>
    <w:multiLevelType w:val="hybridMultilevel"/>
    <w:tmpl w:val="D27A09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6" w15:restartNumberingAfterBreak="0">
    <w:nsid w:val="64D642C8"/>
    <w:multiLevelType w:val="hybridMultilevel"/>
    <w:tmpl w:val="6A7A54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7" w15:restartNumberingAfterBreak="0">
    <w:nsid w:val="650113A0"/>
    <w:multiLevelType w:val="hybridMultilevel"/>
    <w:tmpl w:val="38E645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8" w15:restartNumberingAfterBreak="0">
    <w:nsid w:val="6563488F"/>
    <w:multiLevelType w:val="hybridMultilevel"/>
    <w:tmpl w:val="A78AFAD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9" w15:restartNumberingAfterBreak="0">
    <w:nsid w:val="65792801"/>
    <w:multiLevelType w:val="hybridMultilevel"/>
    <w:tmpl w:val="7D14ED7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0" w15:restartNumberingAfterBreak="0">
    <w:nsid w:val="665770AB"/>
    <w:multiLevelType w:val="hybridMultilevel"/>
    <w:tmpl w:val="3556848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1" w15:restartNumberingAfterBreak="0">
    <w:nsid w:val="66E4092D"/>
    <w:multiLevelType w:val="hybridMultilevel"/>
    <w:tmpl w:val="63BEF6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2" w15:restartNumberingAfterBreak="0">
    <w:nsid w:val="67421657"/>
    <w:multiLevelType w:val="hybridMultilevel"/>
    <w:tmpl w:val="9AE6CF58"/>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283" w15:restartNumberingAfterBreak="0">
    <w:nsid w:val="67504850"/>
    <w:multiLevelType w:val="hybridMultilevel"/>
    <w:tmpl w:val="CFE8B1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4" w15:restartNumberingAfterBreak="0">
    <w:nsid w:val="6755796F"/>
    <w:multiLevelType w:val="hybridMultilevel"/>
    <w:tmpl w:val="D01C45C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5" w15:restartNumberingAfterBreak="0">
    <w:nsid w:val="6837662E"/>
    <w:multiLevelType w:val="hybridMultilevel"/>
    <w:tmpl w:val="920C7B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6" w15:restartNumberingAfterBreak="0">
    <w:nsid w:val="6902489E"/>
    <w:multiLevelType w:val="hybridMultilevel"/>
    <w:tmpl w:val="1D92D7D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7" w15:restartNumberingAfterBreak="0">
    <w:nsid w:val="69192122"/>
    <w:multiLevelType w:val="hybridMultilevel"/>
    <w:tmpl w:val="B6DC84B2"/>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288" w15:restartNumberingAfterBreak="0">
    <w:nsid w:val="69CC04AA"/>
    <w:multiLevelType w:val="hybridMultilevel"/>
    <w:tmpl w:val="D45A1E6C"/>
    <w:lvl w:ilvl="0" w:tplc="140A0001">
      <w:start w:val="1"/>
      <w:numFmt w:val="bullet"/>
      <w:lvlText w:val=""/>
      <w:lvlJc w:val="left"/>
      <w:pPr>
        <w:ind w:left="1085" w:hanging="360"/>
      </w:pPr>
      <w:rPr>
        <w:rFonts w:ascii="Symbol" w:hAnsi="Symbol" w:hint="default"/>
      </w:rPr>
    </w:lvl>
    <w:lvl w:ilvl="1" w:tplc="140A0003" w:tentative="1">
      <w:start w:val="1"/>
      <w:numFmt w:val="bullet"/>
      <w:lvlText w:val="o"/>
      <w:lvlJc w:val="left"/>
      <w:pPr>
        <w:ind w:left="1805" w:hanging="360"/>
      </w:pPr>
      <w:rPr>
        <w:rFonts w:ascii="Courier New" w:hAnsi="Courier New" w:cs="Courier New" w:hint="default"/>
      </w:rPr>
    </w:lvl>
    <w:lvl w:ilvl="2" w:tplc="140A0005" w:tentative="1">
      <w:start w:val="1"/>
      <w:numFmt w:val="bullet"/>
      <w:lvlText w:val=""/>
      <w:lvlJc w:val="left"/>
      <w:pPr>
        <w:ind w:left="2525" w:hanging="360"/>
      </w:pPr>
      <w:rPr>
        <w:rFonts w:ascii="Wingdings" w:hAnsi="Wingdings" w:hint="default"/>
      </w:rPr>
    </w:lvl>
    <w:lvl w:ilvl="3" w:tplc="140A0001" w:tentative="1">
      <w:start w:val="1"/>
      <w:numFmt w:val="bullet"/>
      <w:lvlText w:val=""/>
      <w:lvlJc w:val="left"/>
      <w:pPr>
        <w:ind w:left="3245" w:hanging="360"/>
      </w:pPr>
      <w:rPr>
        <w:rFonts w:ascii="Symbol" w:hAnsi="Symbol" w:hint="default"/>
      </w:rPr>
    </w:lvl>
    <w:lvl w:ilvl="4" w:tplc="140A0003" w:tentative="1">
      <w:start w:val="1"/>
      <w:numFmt w:val="bullet"/>
      <w:lvlText w:val="o"/>
      <w:lvlJc w:val="left"/>
      <w:pPr>
        <w:ind w:left="3965" w:hanging="360"/>
      </w:pPr>
      <w:rPr>
        <w:rFonts w:ascii="Courier New" w:hAnsi="Courier New" w:cs="Courier New" w:hint="default"/>
      </w:rPr>
    </w:lvl>
    <w:lvl w:ilvl="5" w:tplc="140A0005" w:tentative="1">
      <w:start w:val="1"/>
      <w:numFmt w:val="bullet"/>
      <w:lvlText w:val=""/>
      <w:lvlJc w:val="left"/>
      <w:pPr>
        <w:ind w:left="4685" w:hanging="360"/>
      </w:pPr>
      <w:rPr>
        <w:rFonts w:ascii="Wingdings" w:hAnsi="Wingdings" w:hint="default"/>
      </w:rPr>
    </w:lvl>
    <w:lvl w:ilvl="6" w:tplc="140A0001" w:tentative="1">
      <w:start w:val="1"/>
      <w:numFmt w:val="bullet"/>
      <w:lvlText w:val=""/>
      <w:lvlJc w:val="left"/>
      <w:pPr>
        <w:ind w:left="5405" w:hanging="360"/>
      </w:pPr>
      <w:rPr>
        <w:rFonts w:ascii="Symbol" w:hAnsi="Symbol" w:hint="default"/>
      </w:rPr>
    </w:lvl>
    <w:lvl w:ilvl="7" w:tplc="140A0003" w:tentative="1">
      <w:start w:val="1"/>
      <w:numFmt w:val="bullet"/>
      <w:lvlText w:val="o"/>
      <w:lvlJc w:val="left"/>
      <w:pPr>
        <w:ind w:left="6125" w:hanging="360"/>
      </w:pPr>
      <w:rPr>
        <w:rFonts w:ascii="Courier New" w:hAnsi="Courier New" w:cs="Courier New" w:hint="default"/>
      </w:rPr>
    </w:lvl>
    <w:lvl w:ilvl="8" w:tplc="140A0005" w:tentative="1">
      <w:start w:val="1"/>
      <w:numFmt w:val="bullet"/>
      <w:lvlText w:val=""/>
      <w:lvlJc w:val="left"/>
      <w:pPr>
        <w:ind w:left="6845" w:hanging="360"/>
      </w:pPr>
      <w:rPr>
        <w:rFonts w:ascii="Wingdings" w:hAnsi="Wingdings" w:hint="default"/>
      </w:rPr>
    </w:lvl>
  </w:abstractNum>
  <w:abstractNum w:abstractNumId="289" w15:restartNumberingAfterBreak="0">
    <w:nsid w:val="69F11B39"/>
    <w:multiLevelType w:val="hybridMultilevel"/>
    <w:tmpl w:val="41F47A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0" w15:restartNumberingAfterBreak="0">
    <w:nsid w:val="6A115400"/>
    <w:multiLevelType w:val="hybridMultilevel"/>
    <w:tmpl w:val="8376C1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1" w15:restartNumberingAfterBreak="0">
    <w:nsid w:val="6A22700B"/>
    <w:multiLevelType w:val="hybridMultilevel"/>
    <w:tmpl w:val="2F30BC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2" w15:restartNumberingAfterBreak="0">
    <w:nsid w:val="6A312F5A"/>
    <w:multiLevelType w:val="hybridMultilevel"/>
    <w:tmpl w:val="D15A07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3" w15:restartNumberingAfterBreak="0">
    <w:nsid w:val="6A33730E"/>
    <w:multiLevelType w:val="hybridMultilevel"/>
    <w:tmpl w:val="6D5A70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4" w15:restartNumberingAfterBreak="0">
    <w:nsid w:val="6A436743"/>
    <w:multiLevelType w:val="hybridMultilevel"/>
    <w:tmpl w:val="F938A1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5" w15:restartNumberingAfterBreak="0">
    <w:nsid w:val="6A730E0A"/>
    <w:multiLevelType w:val="hybridMultilevel"/>
    <w:tmpl w:val="6D1AE1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6" w15:restartNumberingAfterBreak="0">
    <w:nsid w:val="6A7C7191"/>
    <w:multiLevelType w:val="hybridMultilevel"/>
    <w:tmpl w:val="DF428E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7" w15:restartNumberingAfterBreak="0">
    <w:nsid w:val="6B0C04C5"/>
    <w:multiLevelType w:val="hybridMultilevel"/>
    <w:tmpl w:val="573CF4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8" w15:restartNumberingAfterBreak="0">
    <w:nsid w:val="6B8B7708"/>
    <w:multiLevelType w:val="hybridMultilevel"/>
    <w:tmpl w:val="A6022B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9" w15:restartNumberingAfterBreak="0">
    <w:nsid w:val="6D00750D"/>
    <w:multiLevelType w:val="hybridMultilevel"/>
    <w:tmpl w:val="82D8F6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0" w15:restartNumberingAfterBreak="0">
    <w:nsid w:val="6D2E5068"/>
    <w:multiLevelType w:val="hybridMultilevel"/>
    <w:tmpl w:val="C6CAF01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1" w15:restartNumberingAfterBreak="0">
    <w:nsid w:val="6D9365D4"/>
    <w:multiLevelType w:val="hybridMultilevel"/>
    <w:tmpl w:val="741270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2" w15:restartNumberingAfterBreak="0">
    <w:nsid w:val="6D9F2BBA"/>
    <w:multiLevelType w:val="hybridMultilevel"/>
    <w:tmpl w:val="7714BF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3" w15:restartNumberingAfterBreak="0">
    <w:nsid w:val="6DC0273C"/>
    <w:multiLevelType w:val="hybridMultilevel"/>
    <w:tmpl w:val="CC8484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4" w15:restartNumberingAfterBreak="0">
    <w:nsid w:val="6F085D10"/>
    <w:multiLevelType w:val="hybridMultilevel"/>
    <w:tmpl w:val="CEB6D082"/>
    <w:lvl w:ilvl="0" w:tplc="0409000F">
      <w:start w:val="1"/>
      <w:numFmt w:val="decimal"/>
      <w:lvlText w:val="%1."/>
      <w:lvlJc w:val="left"/>
      <w:pPr>
        <w:ind w:left="696" w:hanging="360"/>
      </w:p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305" w15:restartNumberingAfterBreak="0">
    <w:nsid w:val="6F927A77"/>
    <w:multiLevelType w:val="hybridMultilevel"/>
    <w:tmpl w:val="7AC43E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6" w15:restartNumberingAfterBreak="0">
    <w:nsid w:val="6FCB18AC"/>
    <w:multiLevelType w:val="hybridMultilevel"/>
    <w:tmpl w:val="6D26BF2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7" w15:restartNumberingAfterBreak="0">
    <w:nsid w:val="6FEE55E5"/>
    <w:multiLevelType w:val="hybridMultilevel"/>
    <w:tmpl w:val="129ADD4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8" w15:restartNumberingAfterBreak="0">
    <w:nsid w:val="70356D9A"/>
    <w:multiLevelType w:val="hybridMultilevel"/>
    <w:tmpl w:val="9956158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09" w15:restartNumberingAfterBreak="0">
    <w:nsid w:val="70F35AED"/>
    <w:multiLevelType w:val="hybridMultilevel"/>
    <w:tmpl w:val="68A84F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0" w15:restartNumberingAfterBreak="0">
    <w:nsid w:val="71B04787"/>
    <w:multiLevelType w:val="hybridMultilevel"/>
    <w:tmpl w:val="1DDCF966"/>
    <w:lvl w:ilvl="0" w:tplc="C4D6C73A">
      <w:start w:val="1"/>
      <w:numFmt w:val="lowerLetter"/>
      <w:lvlText w:val="%1."/>
      <w:lvlJc w:val="left"/>
      <w:pPr>
        <w:tabs>
          <w:tab w:val="num" w:pos="720"/>
        </w:tabs>
        <w:ind w:left="720" w:hanging="360"/>
      </w:pPr>
      <w:rPr>
        <w:rFonts w:hint="default"/>
      </w:rPr>
    </w:lvl>
    <w:lvl w:ilvl="1" w:tplc="040A0019" w:tentative="1">
      <w:start w:val="1"/>
      <w:numFmt w:val="lowerLetter"/>
      <w:lvlText w:val="%2."/>
      <w:lvlJc w:val="left"/>
      <w:pPr>
        <w:tabs>
          <w:tab w:val="num" w:pos="1440"/>
        </w:tabs>
        <w:ind w:left="1440" w:hanging="360"/>
      </w:pPr>
    </w:lvl>
    <w:lvl w:ilvl="2" w:tplc="040A001B" w:tentative="1">
      <w:start w:val="1"/>
      <w:numFmt w:val="lowerRoman"/>
      <w:lvlText w:val="%3."/>
      <w:lvlJc w:val="right"/>
      <w:pPr>
        <w:tabs>
          <w:tab w:val="num" w:pos="2160"/>
        </w:tabs>
        <w:ind w:left="2160" w:hanging="180"/>
      </w:pPr>
    </w:lvl>
    <w:lvl w:ilvl="3" w:tplc="040A000F" w:tentative="1">
      <w:start w:val="1"/>
      <w:numFmt w:val="decimal"/>
      <w:lvlText w:val="%4."/>
      <w:lvlJc w:val="left"/>
      <w:pPr>
        <w:tabs>
          <w:tab w:val="num" w:pos="2880"/>
        </w:tabs>
        <w:ind w:left="2880" w:hanging="360"/>
      </w:pPr>
    </w:lvl>
    <w:lvl w:ilvl="4" w:tplc="040A0019" w:tentative="1">
      <w:start w:val="1"/>
      <w:numFmt w:val="lowerLetter"/>
      <w:lvlText w:val="%5."/>
      <w:lvlJc w:val="left"/>
      <w:pPr>
        <w:tabs>
          <w:tab w:val="num" w:pos="3600"/>
        </w:tabs>
        <w:ind w:left="3600" w:hanging="360"/>
      </w:pPr>
    </w:lvl>
    <w:lvl w:ilvl="5" w:tplc="040A001B" w:tentative="1">
      <w:start w:val="1"/>
      <w:numFmt w:val="lowerRoman"/>
      <w:lvlText w:val="%6."/>
      <w:lvlJc w:val="right"/>
      <w:pPr>
        <w:tabs>
          <w:tab w:val="num" w:pos="4320"/>
        </w:tabs>
        <w:ind w:left="4320" w:hanging="180"/>
      </w:pPr>
    </w:lvl>
    <w:lvl w:ilvl="6" w:tplc="040A000F" w:tentative="1">
      <w:start w:val="1"/>
      <w:numFmt w:val="decimal"/>
      <w:lvlText w:val="%7."/>
      <w:lvlJc w:val="left"/>
      <w:pPr>
        <w:tabs>
          <w:tab w:val="num" w:pos="5040"/>
        </w:tabs>
        <w:ind w:left="5040" w:hanging="360"/>
      </w:pPr>
    </w:lvl>
    <w:lvl w:ilvl="7" w:tplc="040A0019" w:tentative="1">
      <w:start w:val="1"/>
      <w:numFmt w:val="lowerLetter"/>
      <w:lvlText w:val="%8."/>
      <w:lvlJc w:val="left"/>
      <w:pPr>
        <w:tabs>
          <w:tab w:val="num" w:pos="5760"/>
        </w:tabs>
        <w:ind w:left="5760" w:hanging="360"/>
      </w:pPr>
    </w:lvl>
    <w:lvl w:ilvl="8" w:tplc="040A001B" w:tentative="1">
      <w:start w:val="1"/>
      <w:numFmt w:val="lowerRoman"/>
      <w:lvlText w:val="%9."/>
      <w:lvlJc w:val="right"/>
      <w:pPr>
        <w:tabs>
          <w:tab w:val="num" w:pos="6480"/>
        </w:tabs>
        <w:ind w:left="6480" w:hanging="180"/>
      </w:pPr>
    </w:lvl>
  </w:abstractNum>
  <w:abstractNum w:abstractNumId="311" w15:restartNumberingAfterBreak="0">
    <w:nsid w:val="7299245D"/>
    <w:multiLevelType w:val="hybridMultilevel"/>
    <w:tmpl w:val="60D895E4"/>
    <w:lvl w:ilvl="0" w:tplc="3278961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15:restartNumberingAfterBreak="0">
    <w:nsid w:val="72CB3893"/>
    <w:multiLevelType w:val="hybridMultilevel"/>
    <w:tmpl w:val="55F85F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3" w15:restartNumberingAfterBreak="0">
    <w:nsid w:val="7356035A"/>
    <w:multiLevelType w:val="hybridMultilevel"/>
    <w:tmpl w:val="62CCCC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4" w15:restartNumberingAfterBreak="0">
    <w:nsid w:val="738E68AF"/>
    <w:multiLevelType w:val="hybridMultilevel"/>
    <w:tmpl w:val="A21227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5" w15:restartNumberingAfterBreak="0">
    <w:nsid w:val="74470E92"/>
    <w:multiLevelType w:val="hybridMultilevel"/>
    <w:tmpl w:val="B9FEFE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6" w15:restartNumberingAfterBreak="0">
    <w:nsid w:val="74541D6D"/>
    <w:multiLevelType w:val="hybridMultilevel"/>
    <w:tmpl w:val="24682F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7" w15:restartNumberingAfterBreak="0">
    <w:nsid w:val="747913AD"/>
    <w:multiLevelType w:val="hybridMultilevel"/>
    <w:tmpl w:val="B8A643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8" w15:restartNumberingAfterBreak="0">
    <w:nsid w:val="74FC2EBE"/>
    <w:multiLevelType w:val="hybridMultilevel"/>
    <w:tmpl w:val="F4FACF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9" w15:restartNumberingAfterBreak="0">
    <w:nsid w:val="757E3BC7"/>
    <w:multiLevelType w:val="hybridMultilevel"/>
    <w:tmpl w:val="87BCCF9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0" w15:restartNumberingAfterBreak="0">
    <w:nsid w:val="76225695"/>
    <w:multiLevelType w:val="hybridMultilevel"/>
    <w:tmpl w:val="9C2A67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1" w15:restartNumberingAfterBreak="0">
    <w:nsid w:val="770842E5"/>
    <w:multiLevelType w:val="hybridMultilevel"/>
    <w:tmpl w:val="3C98E6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2" w15:restartNumberingAfterBreak="0">
    <w:nsid w:val="77251EFD"/>
    <w:multiLevelType w:val="hybridMultilevel"/>
    <w:tmpl w:val="0528157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3" w15:restartNumberingAfterBreak="0">
    <w:nsid w:val="77305028"/>
    <w:multiLevelType w:val="hybridMultilevel"/>
    <w:tmpl w:val="BBD6925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4" w15:restartNumberingAfterBreak="0">
    <w:nsid w:val="77387B19"/>
    <w:multiLevelType w:val="hybridMultilevel"/>
    <w:tmpl w:val="5FC0A3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5" w15:restartNumberingAfterBreak="0">
    <w:nsid w:val="775C56DA"/>
    <w:multiLevelType w:val="hybridMultilevel"/>
    <w:tmpl w:val="0E60E09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6" w15:restartNumberingAfterBreak="0">
    <w:nsid w:val="77D91A26"/>
    <w:multiLevelType w:val="hybridMultilevel"/>
    <w:tmpl w:val="641C10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7" w15:restartNumberingAfterBreak="0">
    <w:nsid w:val="788C5EFA"/>
    <w:multiLevelType w:val="hybridMultilevel"/>
    <w:tmpl w:val="D57EF7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8" w15:restartNumberingAfterBreak="0">
    <w:nsid w:val="78A34C97"/>
    <w:multiLevelType w:val="hybridMultilevel"/>
    <w:tmpl w:val="046AC384"/>
    <w:lvl w:ilvl="0" w:tplc="5AF6EC2A">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cs="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cs="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cs="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329" w15:restartNumberingAfterBreak="0">
    <w:nsid w:val="78E00C76"/>
    <w:multiLevelType w:val="hybridMultilevel"/>
    <w:tmpl w:val="984AB9C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0" w15:restartNumberingAfterBreak="0">
    <w:nsid w:val="79743341"/>
    <w:multiLevelType w:val="hybridMultilevel"/>
    <w:tmpl w:val="F982A31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1" w15:restartNumberingAfterBreak="0">
    <w:nsid w:val="79C960FA"/>
    <w:multiLevelType w:val="hybridMultilevel"/>
    <w:tmpl w:val="5CB4DAD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2" w15:restartNumberingAfterBreak="0">
    <w:nsid w:val="7A8770DE"/>
    <w:multiLevelType w:val="hybridMultilevel"/>
    <w:tmpl w:val="6FA22778"/>
    <w:lvl w:ilvl="0" w:tplc="5AF6EC2A">
      <w:start w:val="1"/>
      <w:numFmt w:val="bullet"/>
      <w:lvlText w:val=""/>
      <w:lvlJc w:val="left"/>
      <w:pPr>
        <w:tabs>
          <w:tab w:val="num" w:pos="129"/>
        </w:tabs>
        <w:ind w:left="299" w:hanging="170"/>
      </w:pPr>
      <w:rPr>
        <w:rFonts w:ascii="Symbol" w:hAnsi="Symbol" w:hint="default"/>
      </w:rPr>
    </w:lvl>
    <w:lvl w:ilvl="1" w:tplc="040A0003" w:tentative="1">
      <w:start w:val="1"/>
      <w:numFmt w:val="bullet"/>
      <w:lvlText w:val="o"/>
      <w:lvlJc w:val="left"/>
      <w:pPr>
        <w:tabs>
          <w:tab w:val="num" w:pos="1512"/>
        </w:tabs>
        <w:ind w:left="1512" w:hanging="360"/>
      </w:pPr>
      <w:rPr>
        <w:rFonts w:ascii="Courier New" w:hAnsi="Courier New" w:cs="Courier New" w:hint="default"/>
      </w:rPr>
    </w:lvl>
    <w:lvl w:ilvl="2" w:tplc="040A0005" w:tentative="1">
      <w:start w:val="1"/>
      <w:numFmt w:val="bullet"/>
      <w:lvlText w:val=""/>
      <w:lvlJc w:val="left"/>
      <w:pPr>
        <w:tabs>
          <w:tab w:val="num" w:pos="2232"/>
        </w:tabs>
        <w:ind w:left="2232" w:hanging="360"/>
      </w:pPr>
      <w:rPr>
        <w:rFonts w:ascii="Wingdings" w:hAnsi="Wingdings" w:hint="default"/>
      </w:rPr>
    </w:lvl>
    <w:lvl w:ilvl="3" w:tplc="040A0001" w:tentative="1">
      <w:start w:val="1"/>
      <w:numFmt w:val="bullet"/>
      <w:lvlText w:val=""/>
      <w:lvlJc w:val="left"/>
      <w:pPr>
        <w:tabs>
          <w:tab w:val="num" w:pos="2952"/>
        </w:tabs>
        <w:ind w:left="2952" w:hanging="360"/>
      </w:pPr>
      <w:rPr>
        <w:rFonts w:ascii="Symbol" w:hAnsi="Symbol" w:hint="default"/>
      </w:rPr>
    </w:lvl>
    <w:lvl w:ilvl="4" w:tplc="040A0003" w:tentative="1">
      <w:start w:val="1"/>
      <w:numFmt w:val="bullet"/>
      <w:lvlText w:val="o"/>
      <w:lvlJc w:val="left"/>
      <w:pPr>
        <w:tabs>
          <w:tab w:val="num" w:pos="3672"/>
        </w:tabs>
        <w:ind w:left="3672" w:hanging="360"/>
      </w:pPr>
      <w:rPr>
        <w:rFonts w:ascii="Courier New" w:hAnsi="Courier New" w:cs="Courier New" w:hint="default"/>
      </w:rPr>
    </w:lvl>
    <w:lvl w:ilvl="5" w:tplc="040A0005" w:tentative="1">
      <w:start w:val="1"/>
      <w:numFmt w:val="bullet"/>
      <w:lvlText w:val=""/>
      <w:lvlJc w:val="left"/>
      <w:pPr>
        <w:tabs>
          <w:tab w:val="num" w:pos="4392"/>
        </w:tabs>
        <w:ind w:left="4392" w:hanging="360"/>
      </w:pPr>
      <w:rPr>
        <w:rFonts w:ascii="Wingdings" w:hAnsi="Wingdings" w:hint="default"/>
      </w:rPr>
    </w:lvl>
    <w:lvl w:ilvl="6" w:tplc="040A0001" w:tentative="1">
      <w:start w:val="1"/>
      <w:numFmt w:val="bullet"/>
      <w:lvlText w:val=""/>
      <w:lvlJc w:val="left"/>
      <w:pPr>
        <w:tabs>
          <w:tab w:val="num" w:pos="5112"/>
        </w:tabs>
        <w:ind w:left="5112" w:hanging="360"/>
      </w:pPr>
      <w:rPr>
        <w:rFonts w:ascii="Symbol" w:hAnsi="Symbol" w:hint="default"/>
      </w:rPr>
    </w:lvl>
    <w:lvl w:ilvl="7" w:tplc="040A0003" w:tentative="1">
      <w:start w:val="1"/>
      <w:numFmt w:val="bullet"/>
      <w:lvlText w:val="o"/>
      <w:lvlJc w:val="left"/>
      <w:pPr>
        <w:tabs>
          <w:tab w:val="num" w:pos="5832"/>
        </w:tabs>
        <w:ind w:left="5832" w:hanging="360"/>
      </w:pPr>
      <w:rPr>
        <w:rFonts w:ascii="Courier New" w:hAnsi="Courier New" w:cs="Courier New" w:hint="default"/>
      </w:rPr>
    </w:lvl>
    <w:lvl w:ilvl="8" w:tplc="040A0005" w:tentative="1">
      <w:start w:val="1"/>
      <w:numFmt w:val="bullet"/>
      <w:lvlText w:val=""/>
      <w:lvlJc w:val="left"/>
      <w:pPr>
        <w:tabs>
          <w:tab w:val="num" w:pos="6552"/>
        </w:tabs>
        <w:ind w:left="6552" w:hanging="360"/>
      </w:pPr>
      <w:rPr>
        <w:rFonts w:ascii="Wingdings" w:hAnsi="Wingdings" w:hint="default"/>
      </w:rPr>
    </w:lvl>
  </w:abstractNum>
  <w:abstractNum w:abstractNumId="333" w15:restartNumberingAfterBreak="0">
    <w:nsid w:val="7ACD4F9B"/>
    <w:multiLevelType w:val="hybridMultilevel"/>
    <w:tmpl w:val="8CF882D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4" w15:restartNumberingAfterBreak="0">
    <w:nsid w:val="7B6221BC"/>
    <w:multiLevelType w:val="hybridMultilevel"/>
    <w:tmpl w:val="E0E8C8E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5" w15:restartNumberingAfterBreak="0">
    <w:nsid w:val="7BE54FCF"/>
    <w:multiLevelType w:val="hybridMultilevel"/>
    <w:tmpl w:val="D9B8E8A8"/>
    <w:lvl w:ilvl="0" w:tplc="03C62724">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36" w15:restartNumberingAfterBreak="0">
    <w:nsid w:val="7C385195"/>
    <w:multiLevelType w:val="hybridMultilevel"/>
    <w:tmpl w:val="EABCD3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7" w15:restartNumberingAfterBreak="0">
    <w:nsid w:val="7C5C16E8"/>
    <w:multiLevelType w:val="hybridMultilevel"/>
    <w:tmpl w:val="D3202E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8" w15:restartNumberingAfterBreak="0">
    <w:nsid w:val="7C900276"/>
    <w:multiLevelType w:val="hybridMultilevel"/>
    <w:tmpl w:val="1B90E2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9" w15:restartNumberingAfterBreak="0">
    <w:nsid w:val="7CC01789"/>
    <w:multiLevelType w:val="hybridMultilevel"/>
    <w:tmpl w:val="35020B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0" w15:restartNumberingAfterBreak="0">
    <w:nsid w:val="7CCB4B9D"/>
    <w:multiLevelType w:val="hybridMultilevel"/>
    <w:tmpl w:val="2B7C82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1" w15:restartNumberingAfterBreak="0">
    <w:nsid w:val="7D8C3E34"/>
    <w:multiLevelType w:val="hybridMultilevel"/>
    <w:tmpl w:val="080863BC"/>
    <w:lvl w:ilvl="0" w:tplc="140A0001">
      <w:start w:val="1"/>
      <w:numFmt w:val="bullet"/>
      <w:lvlText w:val=""/>
      <w:lvlJc w:val="left"/>
      <w:pPr>
        <w:tabs>
          <w:tab w:val="num" w:pos="57"/>
        </w:tabs>
        <w:ind w:left="227" w:hanging="170"/>
      </w:pPr>
      <w:rPr>
        <w:rFonts w:ascii="Symbol" w:hAnsi="Symbol" w:hint="default"/>
      </w:rPr>
    </w:lvl>
    <w:lvl w:ilvl="1" w:tplc="040A0003" w:tentative="1">
      <w:start w:val="1"/>
      <w:numFmt w:val="bullet"/>
      <w:lvlText w:val="o"/>
      <w:lvlJc w:val="left"/>
      <w:pPr>
        <w:tabs>
          <w:tab w:val="num" w:pos="1440"/>
        </w:tabs>
        <w:ind w:left="1440" w:hanging="360"/>
      </w:pPr>
      <w:rPr>
        <w:rFonts w:ascii="Courier New" w:hAnsi="Courier New" w:hint="default"/>
      </w:rPr>
    </w:lvl>
    <w:lvl w:ilvl="2" w:tplc="040A0005" w:tentative="1">
      <w:start w:val="1"/>
      <w:numFmt w:val="bullet"/>
      <w:lvlText w:val=""/>
      <w:lvlJc w:val="left"/>
      <w:pPr>
        <w:tabs>
          <w:tab w:val="num" w:pos="2160"/>
        </w:tabs>
        <w:ind w:left="2160" w:hanging="360"/>
      </w:pPr>
      <w:rPr>
        <w:rFonts w:ascii="Wingdings" w:hAnsi="Wingdings" w:hint="default"/>
      </w:rPr>
    </w:lvl>
    <w:lvl w:ilvl="3" w:tplc="040A0001" w:tentative="1">
      <w:start w:val="1"/>
      <w:numFmt w:val="bullet"/>
      <w:lvlText w:val=""/>
      <w:lvlJc w:val="left"/>
      <w:pPr>
        <w:tabs>
          <w:tab w:val="num" w:pos="2880"/>
        </w:tabs>
        <w:ind w:left="2880" w:hanging="360"/>
      </w:pPr>
      <w:rPr>
        <w:rFonts w:ascii="Symbol" w:hAnsi="Symbol" w:hint="default"/>
      </w:rPr>
    </w:lvl>
    <w:lvl w:ilvl="4" w:tplc="040A0003" w:tentative="1">
      <w:start w:val="1"/>
      <w:numFmt w:val="bullet"/>
      <w:lvlText w:val="o"/>
      <w:lvlJc w:val="left"/>
      <w:pPr>
        <w:tabs>
          <w:tab w:val="num" w:pos="3600"/>
        </w:tabs>
        <w:ind w:left="3600" w:hanging="360"/>
      </w:pPr>
      <w:rPr>
        <w:rFonts w:ascii="Courier New" w:hAnsi="Courier New" w:hint="default"/>
      </w:rPr>
    </w:lvl>
    <w:lvl w:ilvl="5" w:tplc="040A0005" w:tentative="1">
      <w:start w:val="1"/>
      <w:numFmt w:val="bullet"/>
      <w:lvlText w:val=""/>
      <w:lvlJc w:val="left"/>
      <w:pPr>
        <w:tabs>
          <w:tab w:val="num" w:pos="4320"/>
        </w:tabs>
        <w:ind w:left="4320" w:hanging="360"/>
      </w:pPr>
      <w:rPr>
        <w:rFonts w:ascii="Wingdings" w:hAnsi="Wingdings" w:hint="default"/>
      </w:rPr>
    </w:lvl>
    <w:lvl w:ilvl="6" w:tplc="040A0001" w:tentative="1">
      <w:start w:val="1"/>
      <w:numFmt w:val="bullet"/>
      <w:lvlText w:val=""/>
      <w:lvlJc w:val="left"/>
      <w:pPr>
        <w:tabs>
          <w:tab w:val="num" w:pos="5040"/>
        </w:tabs>
        <w:ind w:left="5040" w:hanging="360"/>
      </w:pPr>
      <w:rPr>
        <w:rFonts w:ascii="Symbol" w:hAnsi="Symbol" w:hint="default"/>
      </w:rPr>
    </w:lvl>
    <w:lvl w:ilvl="7" w:tplc="040A0003" w:tentative="1">
      <w:start w:val="1"/>
      <w:numFmt w:val="bullet"/>
      <w:lvlText w:val="o"/>
      <w:lvlJc w:val="left"/>
      <w:pPr>
        <w:tabs>
          <w:tab w:val="num" w:pos="5760"/>
        </w:tabs>
        <w:ind w:left="5760" w:hanging="360"/>
      </w:pPr>
      <w:rPr>
        <w:rFonts w:ascii="Courier New" w:hAnsi="Courier New" w:hint="default"/>
      </w:rPr>
    </w:lvl>
    <w:lvl w:ilvl="8" w:tplc="040A0005" w:tentative="1">
      <w:start w:val="1"/>
      <w:numFmt w:val="bullet"/>
      <w:lvlText w:val=""/>
      <w:lvlJc w:val="left"/>
      <w:pPr>
        <w:tabs>
          <w:tab w:val="num" w:pos="6480"/>
        </w:tabs>
        <w:ind w:left="6480" w:hanging="360"/>
      </w:pPr>
      <w:rPr>
        <w:rFonts w:ascii="Wingdings" w:hAnsi="Wingdings" w:hint="default"/>
      </w:rPr>
    </w:lvl>
  </w:abstractNum>
  <w:abstractNum w:abstractNumId="342" w15:restartNumberingAfterBreak="0">
    <w:nsid w:val="7DF85DA4"/>
    <w:multiLevelType w:val="hybridMultilevel"/>
    <w:tmpl w:val="E8C6A60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3" w15:restartNumberingAfterBreak="0">
    <w:nsid w:val="7FD4333D"/>
    <w:multiLevelType w:val="hybridMultilevel"/>
    <w:tmpl w:val="F48C4B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825588839">
    <w:abstractNumId w:val="83"/>
  </w:num>
  <w:num w:numId="2" w16cid:durableId="234819615">
    <w:abstractNumId w:val="169"/>
  </w:num>
  <w:num w:numId="3" w16cid:durableId="697237732">
    <w:abstractNumId w:val="227"/>
  </w:num>
  <w:num w:numId="4" w16cid:durableId="595526045">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98398965">
    <w:abstractNumId w:val="246"/>
  </w:num>
  <w:num w:numId="6" w16cid:durableId="1010529929">
    <w:abstractNumId w:val="304"/>
  </w:num>
  <w:num w:numId="7" w16cid:durableId="1147630541">
    <w:abstractNumId w:val="178"/>
  </w:num>
  <w:num w:numId="8" w16cid:durableId="1100561483">
    <w:abstractNumId w:val="119"/>
  </w:num>
  <w:num w:numId="9" w16cid:durableId="1147670959">
    <w:abstractNumId w:val="19"/>
  </w:num>
  <w:num w:numId="10" w16cid:durableId="695472113">
    <w:abstractNumId w:val="36"/>
  </w:num>
  <w:num w:numId="11" w16cid:durableId="848174495">
    <w:abstractNumId w:val="296"/>
  </w:num>
  <w:num w:numId="12" w16cid:durableId="636181701">
    <w:abstractNumId w:val="47"/>
  </w:num>
  <w:num w:numId="13" w16cid:durableId="806775680">
    <w:abstractNumId w:val="53"/>
  </w:num>
  <w:num w:numId="14" w16cid:durableId="1825706653">
    <w:abstractNumId w:val="244"/>
  </w:num>
  <w:num w:numId="15" w16cid:durableId="894704893">
    <w:abstractNumId w:val="298"/>
  </w:num>
  <w:num w:numId="16" w16cid:durableId="1142766933">
    <w:abstractNumId w:val="121"/>
  </w:num>
  <w:num w:numId="17" w16cid:durableId="871110130">
    <w:abstractNumId w:val="205"/>
  </w:num>
  <w:num w:numId="18" w16cid:durableId="303780216">
    <w:abstractNumId w:val="93"/>
  </w:num>
  <w:num w:numId="19" w16cid:durableId="944966118">
    <w:abstractNumId w:val="129"/>
  </w:num>
  <w:num w:numId="20" w16cid:durableId="1855261523">
    <w:abstractNumId w:val="196"/>
  </w:num>
  <w:num w:numId="21" w16cid:durableId="713192127">
    <w:abstractNumId w:val="191"/>
  </w:num>
  <w:num w:numId="22" w16cid:durableId="1538395315">
    <w:abstractNumId w:val="77"/>
  </w:num>
  <w:num w:numId="23" w16cid:durableId="1889226047">
    <w:abstractNumId w:val="257"/>
  </w:num>
  <w:num w:numId="24" w16cid:durableId="921138496">
    <w:abstractNumId w:val="254"/>
  </w:num>
  <w:num w:numId="25" w16cid:durableId="1596591784">
    <w:abstractNumId w:val="319"/>
  </w:num>
  <w:num w:numId="26" w16cid:durableId="1968465258">
    <w:abstractNumId w:val="3"/>
  </w:num>
  <w:num w:numId="27" w16cid:durableId="1779834596">
    <w:abstractNumId w:val="313"/>
  </w:num>
  <w:num w:numId="28" w16cid:durableId="1378119028">
    <w:abstractNumId w:val="252"/>
  </w:num>
  <w:num w:numId="29" w16cid:durableId="951127274">
    <w:abstractNumId w:val="232"/>
  </w:num>
  <w:num w:numId="30" w16cid:durableId="452090299">
    <w:abstractNumId w:val="34"/>
  </w:num>
  <w:num w:numId="31" w16cid:durableId="415058133">
    <w:abstractNumId w:val="21"/>
  </w:num>
  <w:num w:numId="32" w16cid:durableId="1729647633">
    <w:abstractNumId w:val="70"/>
  </w:num>
  <w:num w:numId="33" w16cid:durableId="1931159209">
    <w:abstractNumId w:val="49"/>
  </w:num>
  <w:num w:numId="34" w16cid:durableId="1349018378">
    <w:abstractNumId w:val="173"/>
  </w:num>
  <w:num w:numId="35" w16cid:durableId="1093235316">
    <w:abstractNumId w:val="154"/>
  </w:num>
  <w:num w:numId="36" w16cid:durableId="644357641">
    <w:abstractNumId w:val="102"/>
  </w:num>
  <w:num w:numId="37" w16cid:durableId="2097630336">
    <w:abstractNumId w:val="50"/>
  </w:num>
  <w:num w:numId="38" w16cid:durableId="365644891">
    <w:abstractNumId w:val="197"/>
  </w:num>
  <w:num w:numId="39" w16cid:durableId="281886176">
    <w:abstractNumId w:val="243"/>
  </w:num>
  <w:num w:numId="40" w16cid:durableId="2087528826">
    <w:abstractNumId w:val="157"/>
  </w:num>
  <w:num w:numId="41" w16cid:durableId="2024165013">
    <w:abstractNumId w:val="310"/>
  </w:num>
  <w:num w:numId="42" w16cid:durableId="1721787417">
    <w:abstractNumId w:val="177"/>
  </w:num>
  <w:num w:numId="43" w16cid:durableId="1880819185">
    <w:abstractNumId w:val="159"/>
  </w:num>
  <w:num w:numId="44" w16cid:durableId="746462988">
    <w:abstractNumId w:val="311"/>
  </w:num>
  <w:num w:numId="45" w16cid:durableId="1228229217">
    <w:abstractNumId w:val="183"/>
  </w:num>
  <w:num w:numId="46" w16cid:durableId="1101610310">
    <w:abstractNumId w:val="120"/>
  </w:num>
  <w:num w:numId="47" w16cid:durableId="1721594883">
    <w:abstractNumId w:val="52"/>
  </w:num>
  <w:num w:numId="48" w16cid:durableId="1481726577">
    <w:abstractNumId w:val="90"/>
  </w:num>
  <w:num w:numId="49" w16cid:durableId="1872449764">
    <w:abstractNumId w:val="184"/>
  </w:num>
  <w:num w:numId="50" w16cid:durableId="1301611096">
    <w:abstractNumId w:val="0"/>
  </w:num>
  <w:num w:numId="51" w16cid:durableId="591013404">
    <w:abstractNumId w:val="153"/>
  </w:num>
  <w:num w:numId="52" w16cid:durableId="1428885354">
    <w:abstractNumId w:val="253"/>
  </w:num>
  <w:num w:numId="53" w16cid:durableId="333726944">
    <w:abstractNumId w:val="217"/>
  </w:num>
  <w:num w:numId="54" w16cid:durableId="294340420">
    <w:abstractNumId w:val="258"/>
  </w:num>
  <w:num w:numId="55" w16cid:durableId="1122268488">
    <w:abstractNumId w:val="168"/>
  </w:num>
  <w:num w:numId="56" w16cid:durableId="252055262">
    <w:abstractNumId w:val="251"/>
  </w:num>
  <w:num w:numId="57" w16cid:durableId="544680018">
    <w:abstractNumId w:val="122"/>
  </w:num>
  <w:num w:numId="58" w16cid:durableId="2121754608">
    <w:abstractNumId w:val="51"/>
  </w:num>
  <w:num w:numId="59" w16cid:durableId="959382509">
    <w:abstractNumId w:val="138"/>
  </w:num>
  <w:num w:numId="60" w16cid:durableId="1006909498">
    <w:abstractNumId w:val="17"/>
  </w:num>
  <w:num w:numId="61" w16cid:durableId="1192180796">
    <w:abstractNumId w:val="139"/>
  </w:num>
  <w:num w:numId="62" w16cid:durableId="373237159">
    <w:abstractNumId w:val="67"/>
  </w:num>
  <w:num w:numId="63" w16cid:durableId="1072851185">
    <w:abstractNumId w:val="207"/>
  </w:num>
  <w:num w:numId="64" w16cid:durableId="1159074291">
    <w:abstractNumId w:val="127"/>
  </w:num>
  <w:num w:numId="65" w16cid:durableId="1196651180">
    <w:abstractNumId w:val="175"/>
  </w:num>
  <w:num w:numId="66" w16cid:durableId="1979722213">
    <w:abstractNumId w:val="294"/>
  </w:num>
  <w:num w:numId="67" w16cid:durableId="1583755357">
    <w:abstractNumId w:val="73"/>
  </w:num>
  <w:num w:numId="68" w16cid:durableId="774978854">
    <w:abstractNumId w:val="148"/>
  </w:num>
  <w:num w:numId="69" w16cid:durableId="337731231">
    <w:abstractNumId w:val="324"/>
  </w:num>
  <w:num w:numId="70" w16cid:durableId="235674795">
    <w:abstractNumId w:val="341"/>
  </w:num>
  <w:num w:numId="71" w16cid:durableId="74864154">
    <w:abstractNumId w:val="190"/>
  </w:num>
  <w:num w:numId="72" w16cid:durableId="1667972979">
    <w:abstractNumId w:val="199"/>
  </w:num>
  <w:num w:numId="73" w16cid:durableId="938415250">
    <w:abstractNumId w:val="133"/>
  </w:num>
  <w:num w:numId="74" w16cid:durableId="1530294188">
    <w:abstractNumId w:val="212"/>
  </w:num>
  <w:num w:numId="75" w16cid:durableId="1578050779">
    <w:abstractNumId w:val="273"/>
  </w:num>
  <w:num w:numId="76" w16cid:durableId="346104077">
    <w:abstractNumId w:val="6"/>
  </w:num>
  <w:num w:numId="77" w16cid:durableId="826870544">
    <w:abstractNumId w:val="25"/>
  </w:num>
  <w:num w:numId="78" w16cid:durableId="80300031">
    <w:abstractNumId w:val="181"/>
  </w:num>
  <w:num w:numId="79" w16cid:durableId="1007249280">
    <w:abstractNumId w:val="336"/>
  </w:num>
  <w:num w:numId="80" w16cid:durableId="1919436007">
    <w:abstractNumId w:val="283"/>
  </w:num>
  <w:num w:numId="81" w16cid:durableId="458912386">
    <w:abstractNumId w:val="256"/>
  </w:num>
  <w:num w:numId="82" w16cid:durableId="1204949016">
    <w:abstractNumId w:val="140"/>
  </w:num>
  <w:num w:numId="83" w16cid:durableId="559054795">
    <w:abstractNumId w:val="22"/>
  </w:num>
  <w:num w:numId="84" w16cid:durableId="1496409721">
    <w:abstractNumId w:val="309"/>
  </w:num>
  <w:num w:numId="85" w16cid:durableId="146364766">
    <w:abstractNumId w:val="308"/>
  </w:num>
  <w:num w:numId="86" w16cid:durableId="701321529">
    <w:abstractNumId w:val="285"/>
  </w:num>
  <w:num w:numId="87" w16cid:durableId="329332065">
    <w:abstractNumId w:val="112"/>
  </w:num>
  <w:num w:numId="88" w16cid:durableId="448553943">
    <w:abstractNumId w:val="38"/>
  </w:num>
  <w:num w:numId="89" w16cid:durableId="1973321563">
    <w:abstractNumId w:val="89"/>
  </w:num>
  <w:num w:numId="90" w16cid:durableId="134035057">
    <w:abstractNumId w:val="116"/>
  </w:num>
  <w:num w:numId="91" w16cid:durableId="1348755889">
    <w:abstractNumId w:val="63"/>
  </w:num>
  <w:num w:numId="92" w16cid:durableId="206836427">
    <w:abstractNumId w:val="114"/>
  </w:num>
  <w:num w:numId="93" w16cid:durableId="467015671">
    <w:abstractNumId w:val="131"/>
  </w:num>
  <w:num w:numId="94" w16cid:durableId="93601383">
    <w:abstractNumId w:val="61"/>
  </w:num>
  <w:num w:numId="95" w16cid:durableId="814224062">
    <w:abstractNumId w:val="94"/>
  </w:num>
  <w:num w:numId="96" w16cid:durableId="1177571496">
    <w:abstractNumId w:val="155"/>
  </w:num>
  <w:num w:numId="97" w16cid:durableId="131215175">
    <w:abstractNumId w:val="318"/>
  </w:num>
  <w:num w:numId="98" w16cid:durableId="2072579608">
    <w:abstractNumId w:val="126"/>
  </w:num>
  <w:num w:numId="99" w16cid:durableId="1706104178">
    <w:abstractNumId w:val="69"/>
  </w:num>
  <w:num w:numId="100" w16cid:durableId="1482384735">
    <w:abstractNumId w:val="124"/>
  </w:num>
  <w:num w:numId="101" w16cid:durableId="1160854320">
    <w:abstractNumId w:val="218"/>
  </w:num>
  <w:num w:numId="102" w16cid:durableId="1509633622">
    <w:abstractNumId w:val="13"/>
  </w:num>
  <w:num w:numId="103" w16cid:durableId="129321072">
    <w:abstractNumId w:val="162"/>
  </w:num>
  <w:num w:numId="104" w16cid:durableId="590309628">
    <w:abstractNumId w:val="343"/>
  </w:num>
  <w:num w:numId="105" w16cid:durableId="1328098830">
    <w:abstractNumId w:val="327"/>
  </w:num>
  <w:num w:numId="106" w16cid:durableId="417093975">
    <w:abstractNumId w:val="314"/>
  </w:num>
  <w:num w:numId="107" w16cid:durableId="592710444">
    <w:abstractNumId w:val="300"/>
  </w:num>
  <w:num w:numId="108" w16cid:durableId="1249923998">
    <w:abstractNumId w:val="92"/>
  </w:num>
  <w:num w:numId="109" w16cid:durableId="463355015">
    <w:abstractNumId w:val="84"/>
  </w:num>
  <w:num w:numId="110" w16cid:durableId="1289896408">
    <w:abstractNumId w:val="111"/>
  </w:num>
  <w:num w:numId="111" w16cid:durableId="892303908">
    <w:abstractNumId w:val="192"/>
  </w:num>
  <w:num w:numId="112" w16cid:durableId="2146270442">
    <w:abstractNumId w:val="334"/>
  </w:num>
  <w:num w:numId="113" w16cid:durableId="2002348894">
    <w:abstractNumId w:val="223"/>
  </w:num>
  <w:num w:numId="114" w16cid:durableId="1206986338">
    <w:abstractNumId w:val="342"/>
  </w:num>
  <w:num w:numId="115" w16cid:durableId="635718207">
    <w:abstractNumId w:val="225"/>
  </w:num>
  <w:num w:numId="116" w16cid:durableId="159273144">
    <w:abstractNumId w:val="188"/>
  </w:num>
  <w:num w:numId="117" w16cid:durableId="1615477745">
    <w:abstractNumId w:val="278"/>
  </w:num>
  <w:num w:numId="118" w16cid:durableId="486242571">
    <w:abstractNumId w:val="292"/>
  </w:num>
  <w:num w:numId="119" w16cid:durableId="1720594016">
    <w:abstractNumId w:val="11"/>
  </w:num>
  <w:num w:numId="120" w16cid:durableId="1225681725">
    <w:abstractNumId w:val="326"/>
  </w:num>
  <w:num w:numId="121" w16cid:durableId="1198661035">
    <w:abstractNumId w:val="167"/>
  </w:num>
  <w:num w:numId="122" w16cid:durableId="1685857401">
    <w:abstractNumId w:val="72"/>
  </w:num>
  <w:num w:numId="123" w16cid:durableId="1904753985">
    <w:abstractNumId w:val="281"/>
  </w:num>
  <w:num w:numId="124" w16cid:durableId="362831152">
    <w:abstractNumId w:val="110"/>
  </w:num>
  <w:num w:numId="125" w16cid:durableId="1339625507">
    <w:abstractNumId w:val="40"/>
  </w:num>
  <w:num w:numId="126" w16cid:durableId="1174953433">
    <w:abstractNumId w:val="14"/>
  </w:num>
  <w:num w:numId="127" w16cid:durableId="117989007">
    <w:abstractNumId w:val="265"/>
  </w:num>
  <w:num w:numId="128" w16cid:durableId="1354114722">
    <w:abstractNumId w:val="43"/>
  </w:num>
  <w:num w:numId="129" w16cid:durableId="1040327598">
    <w:abstractNumId w:val="123"/>
  </w:num>
  <w:num w:numId="130" w16cid:durableId="110369891">
    <w:abstractNumId w:val="241"/>
  </w:num>
  <w:num w:numId="131" w16cid:durableId="1071390244">
    <w:abstractNumId w:val="106"/>
  </w:num>
  <w:num w:numId="132" w16cid:durableId="1901382">
    <w:abstractNumId w:val="228"/>
  </w:num>
  <w:num w:numId="133" w16cid:durableId="95914877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134" w16cid:durableId="760024860">
    <w:abstractNumId w:val="62"/>
  </w:num>
  <w:num w:numId="135" w16cid:durableId="688263363">
    <w:abstractNumId w:val="100"/>
  </w:num>
  <w:num w:numId="136" w16cid:durableId="869994667">
    <w:abstractNumId w:val="189"/>
  </w:num>
  <w:num w:numId="137" w16cid:durableId="372538958">
    <w:abstractNumId w:val="143"/>
  </w:num>
  <w:num w:numId="138" w16cid:durableId="993724256">
    <w:abstractNumId w:val="297"/>
  </w:num>
  <w:num w:numId="139" w16cid:durableId="582107227">
    <w:abstractNumId w:val="204"/>
  </w:num>
  <w:num w:numId="140" w16cid:durableId="591353223">
    <w:abstractNumId w:val="236"/>
  </w:num>
  <w:num w:numId="141" w16cid:durableId="1962883928">
    <w:abstractNumId w:val="270"/>
  </w:num>
  <w:num w:numId="142" w16cid:durableId="1781756264">
    <w:abstractNumId w:val="255"/>
  </w:num>
  <w:num w:numId="143" w16cid:durableId="1864125860">
    <w:abstractNumId w:val="317"/>
  </w:num>
  <w:num w:numId="144" w16cid:durableId="1111633531">
    <w:abstractNumId w:val="276"/>
  </w:num>
  <w:num w:numId="145" w16cid:durableId="1470172151">
    <w:abstractNumId w:val="224"/>
  </w:num>
  <w:num w:numId="146" w16cid:durableId="1011759853">
    <w:abstractNumId w:val="144"/>
  </w:num>
  <w:num w:numId="147" w16cid:durableId="1424759175">
    <w:abstractNumId w:val="247"/>
  </w:num>
  <w:num w:numId="148" w16cid:durableId="963538447">
    <w:abstractNumId w:val="282"/>
  </w:num>
  <w:num w:numId="149" w16cid:durableId="122162406">
    <w:abstractNumId w:val="201"/>
  </w:num>
  <w:num w:numId="150" w16cid:durableId="6756585">
    <w:abstractNumId w:val="287"/>
  </w:num>
  <w:num w:numId="151" w16cid:durableId="1648558361">
    <w:abstractNumId w:val="29"/>
  </w:num>
  <w:num w:numId="152" w16cid:durableId="954293890">
    <w:abstractNumId w:val="332"/>
  </w:num>
  <w:num w:numId="153" w16cid:durableId="1504272759">
    <w:abstractNumId w:val="259"/>
  </w:num>
  <w:num w:numId="154" w16cid:durableId="1371302890">
    <w:abstractNumId w:val="87"/>
  </w:num>
  <w:num w:numId="155" w16cid:durableId="1150486037">
    <w:abstractNumId w:val="161"/>
  </w:num>
  <w:num w:numId="156" w16cid:durableId="70854621">
    <w:abstractNumId w:val="107"/>
  </w:num>
  <w:num w:numId="157" w16cid:durableId="2062441390">
    <w:abstractNumId w:val="80"/>
  </w:num>
  <w:num w:numId="158" w16cid:durableId="1519393025">
    <w:abstractNumId w:val="109"/>
  </w:num>
  <w:num w:numId="159" w16cid:durableId="1719163855">
    <w:abstractNumId w:val="31"/>
  </w:num>
  <w:num w:numId="160" w16cid:durableId="1462108724">
    <w:abstractNumId w:val="26"/>
  </w:num>
  <w:num w:numId="161" w16cid:durableId="929238121">
    <w:abstractNumId w:val="305"/>
  </w:num>
  <w:num w:numId="162" w16cid:durableId="1490516318">
    <w:abstractNumId w:val="219"/>
  </w:num>
  <w:num w:numId="163" w16cid:durableId="1761825552">
    <w:abstractNumId w:val="115"/>
  </w:num>
  <w:num w:numId="164" w16cid:durableId="1394504724">
    <w:abstractNumId w:val="187"/>
  </w:num>
  <w:num w:numId="165" w16cid:durableId="2005164189">
    <w:abstractNumId w:val="149"/>
  </w:num>
  <w:num w:numId="166" w16cid:durableId="1155757926">
    <w:abstractNumId w:val="130"/>
  </w:num>
  <w:num w:numId="167" w16cid:durableId="1327830587">
    <w:abstractNumId w:val="315"/>
  </w:num>
  <w:num w:numId="168" w16cid:durableId="280304283">
    <w:abstractNumId w:val="193"/>
  </w:num>
  <w:num w:numId="169" w16cid:durableId="1545679775">
    <w:abstractNumId w:val="171"/>
  </w:num>
  <w:num w:numId="170" w16cid:durableId="463038310">
    <w:abstractNumId w:val="24"/>
  </w:num>
  <w:num w:numId="171" w16cid:durableId="2115976003">
    <w:abstractNumId w:val="54"/>
  </w:num>
  <w:num w:numId="172" w16cid:durableId="638076144">
    <w:abstractNumId w:val="226"/>
  </w:num>
  <w:num w:numId="173" w16cid:durableId="223687733">
    <w:abstractNumId w:val="147"/>
  </w:num>
  <w:num w:numId="174" w16cid:durableId="466049978">
    <w:abstractNumId w:val="328"/>
  </w:num>
  <w:num w:numId="175" w16cid:durableId="1544488872">
    <w:abstractNumId w:val="174"/>
  </w:num>
  <w:num w:numId="176" w16cid:durableId="1849707352">
    <w:abstractNumId w:val="203"/>
  </w:num>
  <w:num w:numId="177" w16cid:durableId="1501191553">
    <w:abstractNumId w:val="335"/>
  </w:num>
  <w:num w:numId="178" w16cid:durableId="1829055667">
    <w:abstractNumId w:val="3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16cid:durableId="1492745902">
    <w:abstractNumId w:val="279"/>
  </w:num>
  <w:num w:numId="180" w16cid:durableId="920798677">
    <w:abstractNumId w:val="81"/>
  </w:num>
  <w:num w:numId="181" w16cid:durableId="1302267330">
    <w:abstractNumId w:val="195"/>
  </w:num>
  <w:num w:numId="182" w16cid:durableId="237594218">
    <w:abstractNumId w:val="75"/>
  </w:num>
  <w:num w:numId="183" w16cid:durableId="878394918">
    <w:abstractNumId w:val="231"/>
  </w:num>
  <w:num w:numId="184" w16cid:durableId="163667294">
    <w:abstractNumId w:val="150"/>
  </w:num>
  <w:num w:numId="185" w16cid:durableId="433987837">
    <w:abstractNumId w:val="95"/>
  </w:num>
  <w:num w:numId="186" w16cid:durableId="1167862721">
    <w:abstractNumId w:val="37"/>
  </w:num>
  <w:num w:numId="187" w16cid:durableId="1266308915">
    <w:abstractNumId w:val="291"/>
  </w:num>
  <w:num w:numId="188" w16cid:durableId="2101247057">
    <w:abstractNumId w:val="237"/>
  </w:num>
  <w:num w:numId="189" w16cid:durableId="2020038617">
    <w:abstractNumId w:val="274"/>
  </w:num>
  <w:num w:numId="190" w16cid:durableId="1911041040">
    <w:abstractNumId w:val="229"/>
  </w:num>
  <w:num w:numId="191" w16cid:durableId="671681763">
    <w:abstractNumId w:val="272"/>
  </w:num>
  <w:num w:numId="192" w16cid:durableId="354158279">
    <w:abstractNumId w:val="42"/>
  </w:num>
  <w:num w:numId="193" w16cid:durableId="1125928477">
    <w:abstractNumId w:val="57"/>
  </w:num>
  <w:num w:numId="194" w16cid:durableId="661935982">
    <w:abstractNumId w:val="10"/>
  </w:num>
  <w:num w:numId="195" w16cid:durableId="1286892768">
    <w:abstractNumId w:val="32"/>
  </w:num>
  <w:num w:numId="196" w16cid:durableId="195196221">
    <w:abstractNumId w:val="280"/>
  </w:num>
  <w:num w:numId="197" w16cid:durableId="89669954">
    <w:abstractNumId w:val="33"/>
  </w:num>
  <w:num w:numId="198" w16cid:durableId="1048065427">
    <w:abstractNumId w:val="250"/>
  </w:num>
  <w:num w:numId="199" w16cid:durableId="2000232669">
    <w:abstractNumId w:val="194"/>
  </w:num>
  <w:num w:numId="200" w16cid:durableId="1718435950">
    <w:abstractNumId w:val="27"/>
  </w:num>
  <w:num w:numId="201" w16cid:durableId="176581379">
    <w:abstractNumId w:val="288"/>
  </w:num>
  <w:num w:numId="202" w16cid:durableId="1452625504">
    <w:abstractNumId w:val="68"/>
  </w:num>
  <w:num w:numId="203" w16cid:durableId="1899051735">
    <w:abstractNumId w:val="233"/>
  </w:num>
  <w:num w:numId="204" w16cid:durableId="307056316">
    <w:abstractNumId w:val="302"/>
  </w:num>
  <w:num w:numId="205" w16cid:durableId="1044675833">
    <w:abstractNumId w:val="215"/>
  </w:num>
  <w:num w:numId="206" w16cid:durableId="794373419">
    <w:abstractNumId w:val="290"/>
  </w:num>
  <w:num w:numId="207" w16cid:durableId="314529377">
    <w:abstractNumId w:val="176"/>
  </w:num>
  <w:num w:numId="208" w16cid:durableId="299267220">
    <w:abstractNumId w:val="105"/>
  </w:num>
  <w:num w:numId="209" w16cid:durableId="531115670">
    <w:abstractNumId w:val="48"/>
  </w:num>
  <w:num w:numId="210" w16cid:durableId="1628663110">
    <w:abstractNumId w:val="242"/>
  </w:num>
  <w:num w:numId="211" w16cid:durableId="1690990328">
    <w:abstractNumId w:val="239"/>
  </w:num>
  <w:num w:numId="212" w16cid:durableId="1584411306">
    <w:abstractNumId w:val="263"/>
  </w:num>
  <w:num w:numId="213" w16cid:durableId="1844737549">
    <w:abstractNumId w:val="65"/>
  </w:num>
  <w:num w:numId="214" w16cid:durableId="787820520">
    <w:abstractNumId w:val="235"/>
  </w:num>
  <w:num w:numId="215" w16cid:durableId="45303218">
    <w:abstractNumId w:val="210"/>
  </w:num>
  <w:num w:numId="216" w16cid:durableId="296496478">
    <w:abstractNumId w:val="5"/>
  </w:num>
  <w:num w:numId="217" w16cid:durableId="462508495">
    <w:abstractNumId w:val="186"/>
  </w:num>
  <w:num w:numId="218" w16cid:durableId="1225792588">
    <w:abstractNumId w:val="268"/>
  </w:num>
  <w:num w:numId="219" w16cid:durableId="1142504511">
    <w:abstractNumId w:val="211"/>
  </w:num>
  <w:num w:numId="220" w16cid:durableId="40055504">
    <w:abstractNumId w:val="79"/>
  </w:num>
  <w:num w:numId="221" w16cid:durableId="302349754">
    <w:abstractNumId w:val="98"/>
  </w:num>
  <w:num w:numId="222" w16cid:durableId="567882519">
    <w:abstractNumId w:val="118"/>
  </w:num>
  <w:num w:numId="223" w16cid:durableId="1072043796">
    <w:abstractNumId w:val="128"/>
  </w:num>
  <w:num w:numId="224" w16cid:durableId="464280086">
    <w:abstractNumId w:val="286"/>
  </w:num>
  <w:num w:numId="225" w16cid:durableId="1108936717">
    <w:abstractNumId w:val="179"/>
  </w:num>
  <w:num w:numId="226" w16cid:durableId="273219746">
    <w:abstractNumId w:val="88"/>
  </w:num>
  <w:num w:numId="227" w16cid:durableId="188881982">
    <w:abstractNumId w:val="248"/>
  </w:num>
  <w:num w:numId="228" w16cid:durableId="1058670975">
    <w:abstractNumId w:val="299"/>
  </w:num>
  <w:num w:numId="229" w16cid:durableId="277958278">
    <w:abstractNumId w:val="164"/>
  </w:num>
  <w:num w:numId="230" w16cid:durableId="1086344547">
    <w:abstractNumId w:val="331"/>
  </w:num>
  <w:num w:numId="231" w16cid:durableId="61485930">
    <w:abstractNumId w:val="170"/>
  </w:num>
  <w:num w:numId="232" w16cid:durableId="887570546">
    <w:abstractNumId w:val="82"/>
  </w:num>
  <w:num w:numId="233" w16cid:durableId="205068726">
    <w:abstractNumId w:val="60"/>
  </w:num>
  <w:num w:numId="234" w16cid:durableId="470484038">
    <w:abstractNumId w:val="132"/>
  </w:num>
  <w:num w:numId="235" w16cid:durableId="494028333">
    <w:abstractNumId w:val="198"/>
  </w:num>
  <w:num w:numId="236" w16cid:durableId="1788741974">
    <w:abstractNumId w:val="266"/>
  </w:num>
  <w:num w:numId="237" w16cid:durableId="1666126811">
    <w:abstractNumId w:val="8"/>
  </w:num>
  <w:num w:numId="238" w16cid:durableId="1911651049">
    <w:abstractNumId w:val="329"/>
  </w:num>
  <w:num w:numId="239" w16cid:durableId="2105610906">
    <w:abstractNumId w:val="86"/>
  </w:num>
  <w:num w:numId="240" w16cid:durableId="1509053898">
    <w:abstractNumId w:val="44"/>
  </w:num>
  <w:num w:numId="241" w16cid:durableId="1786659286">
    <w:abstractNumId w:val="163"/>
  </w:num>
  <w:num w:numId="242" w16cid:durableId="1211651252">
    <w:abstractNumId w:val="7"/>
  </w:num>
  <w:num w:numId="243" w16cid:durableId="1322387920">
    <w:abstractNumId w:val="64"/>
  </w:num>
  <w:num w:numId="244" w16cid:durableId="642807770">
    <w:abstractNumId w:val="307"/>
  </w:num>
  <w:num w:numId="245" w16cid:durableId="232325706">
    <w:abstractNumId w:val="216"/>
  </w:num>
  <w:num w:numId="246" w16cid:durableId="2101951925">
    <w:abstractNumId w:val="117"/>
  </w:num>
  <w:num w:numId="247" w16cid:durableId="299960131">
    <w:abstractNumId w:val="2"/>
  </w:num>
  <w:num w:numId="248" w16cid:durableId="916017653">
    <w:abstractNumId w:val="320"/>
  </w:num>
  <w:num w:numId="249" w16cid:durableId="1577208429">
    <w:abstractNumId w:val="160"/>
  </w:num>
  <w:num w:numId="250" w16cid:durableId="1770999978">
    <w:abstractNumId w:val="182"/>
  </w:num>
  <w:num w:numId="251" w16cid:durableId="1480338273">
    <w:abstractNumId w:val="104"/>
  </w:num>
  <w:num w:numId="252" w16cid:durableId="1573465269">
    <w:abstractNumId w:val="16"/>
  </w:num>
  <w:num w:numId="253" w16cid:durableId="1603755108">
    <w:abstractNumId w:val="85"/>
  </w:num>
  <w:num w:numId="254" w16cid:durableId="1130826122">
    <w:abstractNumId w:val="202"/>
  </w:num>
  <w:num w:numId="255" w16cid:durableId="879434597">
    <w:abstractNumId w:val="289"/>
  </w:num>
  <w:num w:numId="256" w16cid:durableId="660740657">
    <w:abstractNumId w:val="322"/>
  </w:num>
  <w:num w:numId="257" w16cid:durableId="1555039348">
    <w:abstractNumId w:val="262"/>
  </w:num>
  <w:num w:numId="258" w16cid:durableId="373235102">
    <w:abstractNumId w:val="91"/>
  </w:num>
  <w:num w:numId="259" w16cid:durableId="1566525281">
    <w:abstractNumId w:val="18"/>
  </w:num>
  <w:num w:numId="260" w16cid:durableId="526481879">
    <w:abstractNumId w:val="269"/>
  </w:num>
  <w:num w:numId="261" w16cid:durableId="301811365">
    <w:abstractNumId w:val="213"/>
  </w:num>
  <w:num w:numId="262" w16cid:durableId="1941377699">
    <w:abstractNumId w:val="41"/>
  </w:num>
  <w:num w:numId="263" w16cid:durableId="521476375">
    <w:abstractNumId w:val="238"/>
  </w:num>
  <w:num w:numId="264" w16cid:durableId="840393131">
    <w:abstractNumId w:val="340"/>
  </w:num>
  <w:num w:numId="265" w16cid:durableId="731122083">
    <w:abstractNumId w:val="96"/>
  </w:num>
  <w:num w:numId="266" w16cid:durableId="1452555409">
    <w:abstractNumId w:val="323"/>
  </w:num>
  <w:num w:numId="267" w16cid:durableId="1480728779">
    <w:abstractNumId w:val="330"/>
  </w:num>
  <w:num w:numId="268" w16cid:durableId="1030061792">
    <w:abstractNumId w:val="156"/>
  </w:num>
  <w:num w:numId="269" w16cid:durableId="508564418">
    <w:abstractNumId w:val="20"/>
  </w:num>
  <w:num w:numId="270" w16cid:durableId="557982797">
    <w:abstractNumId w:val="277"/>
  </w:num>
  <w:num w:numId="271" w16cid:durableId="1701317680">
    <w:abstractNumId w:val="125"/>
  </w:num>
  <w:num w:numId="272" w16cid:durableId="504781251">
    <w:abstractNumId w:val="151"/>
  </w:num>
  <w:num w:numId="273" w16cid:durableId="1525558540">
    <w:abstractNumId w:val="209"/>
  </w:num>
  <w:num w:numId="274" w16cid:durableId="1855534106">
    <w:abstractNumId w:val="220"/>
  </w:num>
  <w:num w:numId="275" w16cid:durableId="46103608">
    <w:abstractNumId w:val="316"/>
  </w:num>
  <w:num w:numId="276" w16cid:durableId="1256204606">
    <w:abstractNumId w:val="97"/>
  </w:num>
  <w:num w:numId="277" w16cid:durableId="1634867367">
    <w:abstractNumId w:val="23"/>
  </w:num>
  <w:num w:numId="278" w16cid:durableId="60639083">
    <w:abstractNumId w:val="222"/>
  </w:num>
  <w:num w:numId="279" w16cid:durableId="706569833">
    <w:abstractNumId w:val="264"/>
  </w:num>
  <w:num w:numId="280" w16cid:durableId="215819071">
    <w:abstractNumId w:val="230"/>
  </w:num>
  <w:num w:numId="281" w16cid:durableId="1689020514">
    <w:abstractNumId w:val="234"/>
  </w:num>
  <w:num w:numId="282" w16cid:durableId="1441997296">
    <w:abstractNumId w:val="321"/>
  </w:num>
  <w:num w:numId="283" w16cid:durableId="486476134">
    <w:abstractNumId w:val="4"/>
  </w:num>
  <w:num w:numId="284" w16cid:durableId="1175732947">
    <w:abstractNumId w:val="267"/>
  </w:num>
  <w:num w:numId="285" w16cid:durableId="1284577658">
    <w:abstractNumId w:val="221"/>
  </w:num>
  <w:num w:numId="286" w16cid:durableId="508638430">
    <w:abstractNumId w:val="275"/>
  </w:num>
  <w:num w:numId="287" w16cid:durableId="885798532">
    <w:abstractNumId w:val="333"/>
  </w:num>
  <w:num w:numId="288" w16cid:durableId="491484151">
    <w:abstractNumId w:val="113"/>
  </w:num>
  <w:num w:numId="289" w16cid:durableId="277568909">
    <w:abstractNumId w:val="158"/>
  </w:num>
  <w:num w:numId="290" w16cid:durableId="1081099164">
    <w:abstractNumId w:val="103"/>
  </w:num>
  <w:num w:numId="291" w16cid:durableId="2114277771">
    <w:abstractNumId w:val="206"/>
  </w:num>
  <w:num w:numId="292" w16cid:durableId="123237654">
    <w:abstractNumId w:val="240"/>
  </w:num>
  <w:num w:numId="293" w16cid:durableId="537863609">
    <w:abstractNumId w:val="35"/>
  </w:num>
  <w:num w:numId="294" w16cid:durableId="1738284426">
    <w:abstractNumId w:val="306"/>
  </w:num>
  <w:num w:numId="295" w16cid:durableId="1937862490">
    <w:abstractNumId w:val="312"/>
  </w:num>
  <w:num w:numId="296" w16cid:durableId="421218603">
    <w:abstractNumId w:val="338"/>
  </w:num>
  <w:num w:numId="297" w16cid:durableId="1198659422">
    <w:abstractNumId w:val="66"/>
  </w:num>
  <w:num w:numId="298" w16cid:durableId="803739547">
    <w:abstractNumId w:val="76"/>
  </w:num>
  <w:num w:numId="299" w16cid:durableId="1446922352">
    <w:abstractNumId w:val="172"/>
  </w:num>
  <w:num w:numId="300" w16cid:durableId="1082875963">
    <w:abstractNumId w:val="271"/>
  </w:num>
  <w:num w:numId="301" w16cid:durableId="37365169">
    <w:abstractNumId w:val="245"/>
  </w:num>
  <w:num w:numId="302" w16cid:durableId="1101032293">
    <w:abstractNumId w:val="249"/>
  </w:num>
  <w:num w:numId="303" w16cid:durableId="1291784613">
    <w:abstractNumId w:val="260"/>
  </w:num>
  <w:num w:numId="304" w16cid:durableId="532308869">
    <w:abstractNumId w:val="301"/>
  </w:num>
  <w:num w:numId="305" w16cid:durableId="1136414041">
    <w:abstractNumId w:val="200"/>
  </w:num>
  <w:num w:numId="306" w16cid:durableId="189496316">
    <w:abstractNumId w:val="137"/>
  </w:num>
  <w:num w:numId="307" w16cid:durableId="920989425">
    <w:abstractNumId w:val="78"/>
  </w:num>
  <w:num w:numId="308" w16cid:durableId="425151348">
    <w:abstractNumId w:val="135"/>
  </w:num>
  <w:num w:numId="309" w16cid:durableId="1539077472">
    <w:abstractNumId w:val="165"/>
  </w:num>
  <w:num w:numId="310" w16cid:durableId="1062872633">
    <w:abstractNumId w:val="12"/>
  </w:num>
  <w:num w:numId="311" w16cid:durableId="78799603">
    <w:abstractNumId w:val="208"/>
  </w:num>
  <w:num w:numId="312" w16cid:durableId="1205753472">
    <w:abstractNumId w:val="28"/>
  </w:num>
  <w:num w:numId="313" w16cid:durableId="858858153">
    <w:abstractNumId w:val="303"/>
  </w:num>
  <w:num w:numId="314" w16cid:durableId="1590038255">
    <w:abstractNumId w:val="15"/>
  </w:num>
  <w:num w:numId="315" w16cid:durableId="463276093">
    <w:abstractNumId w:val="337"/>
  </w:num>
  <w:num w:numId="316" w16cid:durableId="1198347754">
    <w:abstractNumId w:val="185"/>
  </w:num>
  <w:num w:numId="317" w16cid:durableId="792479731">
    <w:abstractNumId w:val="141"/>
  </w:num>
  <w:num w:numId="318" w16cid:durableId="159389538">
    <w:abstractNumId w:val="134"/>
  </w:num>
  <w:num w:numId="319" w16cid:durableId="1386561561">
    <w:abstractNumId w:val="152"/>
  </w:num>
  <w:num w:numId="320" w16cid:durableId="1393650342">
    <w:abstractNumId w:val="142"/>
  </w:num>
  <w:num w:numId="321" w16cid:durableId="648943012">
    <w:abstractNumId w:val="58"/>
  </w:num>
  <w:num w:numId="322" w16cid:durableId="2006199063">
    <w:abstractNumId w:val="59"/>
  </w:num>
  <w:num w:numId="323" w16cid:durableId="1206256329">
    <w:abstractNumId w:val="74"/>
  </w:num>
  <w:num w:numId="324" w16cid:durableId="208535845">
    <w:abstractNumId w:val="214"/>
  </w:num>
  <w:num w:numId="325" w16cid:durableId="489905286">
    <w:abstractNumId w:val="136"/>
  </w:num>
  <w:num w:numId="326" w16cid:durableId="1080371716">
    <w:abstractNumId w:val="46"/>
  </w:num>
  <w:num w:numId="327" w16cid:durableId="478768963">
    <w:abstractNumId w:val="55"/>
  </w:num>
  <w:num w:numId="328" w16cid:durableId="749352696">
    <w:abstractNumId w:val="284"/>
  </w:num>
  <w:num w:numId="329" w16cid:durableId="1834298206">
    <w:abstractNumId w:val="9"/>
  </w:num>
  <w:num w:numId="330" w16cid:durableId="1991514227">
    <w:abstractNumId w:val="339"/>
  </w:num>
  <w:num w:numId="331" w16cid:durableId="420638656">
    <w:abstractNumId w:val="56"/>
  </w:num>
  <w:num w:numId="332" w16cid:durableId="1809207888">
    <w:abstractNumId w:val="166"/>
  </w:num>
  <w:num w:numId="333" w16cid:durableId="5443441">
    <w:abstractNumId w:val="261"/>
  </w:num>
  <w:num w:numId="334" w16cid:durableId="160125000">
    <w:abstractNumId w:val="108"/>
  </w:num>
  <w:num w:numId="335" w16cid:durableId="865364122">
    <w:abstractNumId w:val="295"/>
  </w:num>
  <w:num w:numId="336" w16cid:durableId="451826080">
    <w:abstractNumId w:val="101"/>
  </w:num>
  <w:num w:numId="337" w16cid:durableId="845441348">
    <w:abstractNumId w:val="293"/>
  </w:num>
  <w:num w:numId="338" w16cid:durableId="296452072">
    <w:abstractNumId w:val="30"/>
  </w:num>
  <w:num w:numId="339" w16cid:durableId="720252517">
    <w:abstractNumId w:val="99"/>
  </w:num>
  <w:num w:numId="340" w16cid:durableId="498623398">
    <w:abstractNumId w:val="45"/>
  </w:num>
  <w:num w:numId="341" w16cid:durableId="851335774">
    <w:abstractNumId w:val="146"/>
  </w:num>
  <w:num w:numId="342" w16cid:durableId="246620589">
    <w:abstractNumId w:val="71"/>
  </w:num>
  <w:num w:numId="343" w16cid:durableId="819083192">
    <w:abstractNumId w:val="39"/>
  </w:num>
  <w:num w:numId="344" w16cid:durableId="787746839">
    <w:abstractNumId w:val="145"/>
  </w:num>
  <w:num w:numId="345" w16cid:durableId="1817726409">
    <w:abstractNumId w:val="180"/>
  </w:num>
  <w:numIdMacAtCleanup w:val="3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3"/>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6CAA"/>
    <w:rsid w:val="00001173"/>
    <w:rsid w:val="00002CED"/>
    <w:rsid w:val="00004562"/>
    <w:rsid w:val="00006CF8"/>
    <w:rsid w:val="00010FCD"/>
    <w:rsid w:val="00013BC2"/>
    <w:rsid w:val="00015B37"/>
    <w:rsid w:val="000161D3"/>
    <w:rsid w:val="000253FF"/>
    <w:rsid w:val="00025CFA"/>
    <w:rsid w:val="00026361"/>
    <w:rsid w:val="00034BC3"/>
    <w:rsid w:val="0004170C"/>
    <w:rsid w:val="00045CE6"/>
    <w:rsid w:val="0004741C"/>
    <w:rsid w:val="00051E74"/>
    <w:rsid w:val="00052167"/>
    <w:rsid w:val="00053385"/>
    <w:rsid w:val="000611BD"/>
    <w:rsid w:val="00061916"/>
    <w:rsid w:val="0006204F"/>
    <w:rsid w:val="000644E1"/>
    <w:rsid w:val="0006468A"/>
    <w:rsid w:val="00072B51"/>
    <w:rsid w:val="00074577"/>
    <w:rsid w:val="000768E8"/>
    <w:rsid w:val="0008196E"/>
    <w:rsid w:val="00084BE3"/>
    <w:rsid w:val="00085EF9"/>
    <w:rsid w:val="00086FC8"/>
    <w:rsid w:val="000A1BB7"/>
    <w:rsid w:val="000A4FF0"/>
    <w:rsid w:val="000B2AB4"/>
    <w:rsid w:val="000B3069"/>
    <w:rsid w:val="000B30C0"/>
    <w:rsid w:val="000B5379"/>
    <w:rsid w:val="000C0002"/>
    <w:rsid w:val="000C1477"/>
    <w:rsid w:val="000C2630"/>
    <w:rsid w:val="000C3B78"/>
    <w:rsid w:val="000C586D"/>
    <w:rsid w:val="000D139E"/>
    <w:rsid w:val="000D6471"/>
    <w:rsid w:val="000D6D56"/>
    <w:rsid w:val="000E089D"/>
    <w:rsid w:val="000E214E"/>
    <w:rsid w:val="000E2C44"/>
    <w:rsid w:val="000E35A7"/>
    <w:rsid w:val="000E483A"/>
    <w:rsid w:val="000E4E0F"/>
    <w:rsid w:val="000E55E6"/>
    <w:rsid w:val="000E6038"/>
    <w:rsid w:val="000E64D1"/>
    <w:rsid w:val="000E6BC4"/>
    <w:rsid w:val="000F7214"/>
    <w:rsid w:val="001064F1"/>
    <w:rsid w:val="001078B0"/>
    <w:rsid w:val="001112DA"/>
    <w:rsid w:val="001118D8"/>
    <w:rsid w:val="001144DA"/>
    <w:rsid w:val="00114C8A"/>
    <w:rsid w:val="0012056E"/>
    <w:rsid w:val="00120981"/>
    <w:rsid w:val="00130D54"/>
    <w:rsid w:val="001311C2"/>
    <w:rsid w:val="00134376"/>
    <w:rsid w:val="00136A60"/>
    <w:rsid w:val="00136CF0"/>
    <w:rsid w:val="00144EB1"/>
    <w:rsid w:val="0014662F"/>
    <w:rsid w:val="00146AAC"/>
    <w:rsid w:val="00152F16"/>
    <w:rsid w:val="00153AAB"/>
    <w:rsid w:val="001573DE"/>
    <w:rsid w:val="00157EE2"/>
    <w:rsid w:val="00160B28"/>
    <w:rsid w:val="001636C2"/>
    <w:rsid w:val="00164F3E"/>
    <w:rsid w:val="00170F4F"/>
    <w:rsid w:val="00173234"/>
    <w:rsid w:val="001734A5"/>
    <w:rsid w:val="0017401B"/>
    <w:rsid w:val="00182221"/>
    <w:rsid w:val="00183108"/>
    <w:rsid w:val="00183B13"/>
    <w:rsid w:val="00191BAC"/>
    <w:rsid w:val="001A00ED"/>
    <w:rsid w:val="001A09EE"/>
    <w:rsid w:val="001A2599"/>
    <w:rsid w:val="001A55C6"/>
    <w:rsid w:val="001B012C"/>
    <w:rsid w:val="001B3378"/>
    <w:rsid w:val="001C433D"/>
    <w:rsid w:val="001C4B15"/>
    <w:rsid w:val="001C79FC"/>
    <w:rsid w:val="001D0601"/>
    <w:rsid w:val="001E23A4"/>
    <w:rsid w:val="001F2D68"/>
    <w:rsid w:val="001F4F5E"/>
    <w:rsid w:val="001F61B6"/>
    <w:rsid w:val="001F6E87"/>
    <w:rsid w:val="00202C45"/>
    <w:rsid w:val="00203805"/>
    <w:rsid w:val="0020645B"/>
    <w:rsid w:val="0021184E"/>
    <w:rsid w:val="00213486"/>
    <w:rsid w:val="00216291"/>
    <w:rsid w:val="00220633"/>
    <w:rsid w:val="00223A08"/>
    <w:rsid w:val="00225301"/>
    <w:rsid w:val="00225FA6"/>
    <w:rsid w:val="00230833"/>
    <w:rsid w:val="002360CB"/>
    <w:rsid w:val="00236848"/>
    <w:rsid w:val="00240CCF"/>
    <w:rsid w:val="002418A1"/>
    <w:rsid w:val="00252113"/>
    <w:rsid w:val="00252E17"/>
    <w:rsid w:val="002536CB"/>
    <w:rsid w:val="00254B51"/>
    <w:rsid w:val="002556DF"/>
    <w:rsid w:val="002557A5"/>
    <w:rsid w:val="00255DA4"/>
    <w:rsid w:val="0026406E"/>
    <w:rsid w:val="0026486D"/>
    <w:rsid w:val="0026535C"/>
    <w:rsid w:val="00270033"/>
    <w:rsid w:val="00272C91"/>
    <w:rsid w:val="002840C3"/>
    <w:rsid w:val="0028546D"/>
    <w:rsid w:val="00285763"/>
    <w:rsid w:val="002916D1"/>
    <w:rsid w:val="00294738"/>
    <w:rsid w:val="00294C7F"/>
    <w:rsid w:val="0029597A"/>
    <w:rsid w:val="00296230"/>
    <w:rsid w:val="002A0123"/>
    <w:rsid w:val="002A1B76"/>
    <w:rsid w:val="002A3A84"/>
    <w:rsid w:val="002B48D8"/>
    <w:rsid w:val="002B594D"/>
    <w:rsid w:val="002C2463"/>
    <w:rsid w:val="002C787A"/>
    <w:rsid w:val="002D160E"/>
    <w:rsid w:val="002D722F"/>
    <w:rsid w:val="002E461E"/>
    <w:rsid w:val="002F7AA2"/>
    <w:rsid w:val="00304DA5"/>
    <w:rsid w:val="00306301"/>
    <w:rsid w:val="00307992"/>
    <w:rsid w:val="003129B1"/>
    <w:rsid w:val="00315ABC"/>
    <w:rsid w:val="00330581"/>
    <w:rsid w:val="003315CC"/>
    <w:rsid w:val="00331A2F"/>
    <w:rsid w:val="003325DE"/>
    <w:rsid w:val="00333483"/>
    <w:rsid w:val="003354F0"/>
    <w:rsid w:val="00336E6E"/>
    <w:rsid w:val="0034239C"/>
    <w:rsid w:val="00343FC4"/>
    <w:rsid w:val="00345767"/>
    <w:rsid w:val="0034607A"/>
    <w:rsid w:val="003506F6"/>
    <w:rsid w:val="003515D5"/>
    <w:rsid w:val="00354985"/>
    <w:rsid w:val="00364FC3"/>
    <w:rsid w:val="00366CAA"/>
    <w:rsid w:val="00367276"/>
    <w:rsid w:val="00375377"/>
    <w:rsid w:val="00375984"/>
    <w:rsid w:val="003772A0"/>
    <w:rsid w:val="00380970"/>
    <w:rsid w:val="003846AB"/>
    <w:rsid w:val="00385BF9"/>
    <w:rsid w:val="00387F2B"/>
    <w:rsid w:val="00393379"/>
    <w:rsid w:val="00396399"/>
    <w:rsid w:val="003A0A72"/>
    <w:rsid w:val="003A1863"/>
    <w:rsid w:val="003A1FF6"/>
    <w:rsid w:val="003A252E"/>
    <w:rsid w:val="003A2FAE"/>
    <w:rsid w:val="003A5C32"/>
    <w:rsid w:val="003A6BF0"/>
    <w:rsid w:val="003B3950"/>
    <w:rsid w:val="003C1214"/>
    <w:rsid w:val="003C1E50"/>
    <w:rsid w:val="003C3D44"/>
    <w:rsid w:val="003C6AC7"/>
    <w:rsid w:val="003D1150"/>
    <w:rsid w:val="003D3ED6"/>
    <w:rsid w:val="003D5B33"/>
    <w:rsid w:val="003D78A3"/>
    <w:rsid w:val="003E2CD8"/>
    <w:rsid w:val="003E6434"/>
    <w:rsid w:val="003E6FF0"/>
    <w:rsid w:val="003F255B"/>
    <w:rsid w:val="004044EA"/>
    <w:rsid w:val="00406727"/>
    <w:rsid w:val="004072E7"/>
    <w:rsid w:val="004149ED"/>
    <w:rsid w:val="0042269E"/>
    <w:rsid w:val="00426F66"/>
    <w:rsid w:val="0043260F"/>
    <w:rsid w:val="00432B44"/>
    <w:rsid w:val="00433200"/>
    <w:rsid w:val="00440806"/>
    <w:rsid w:val="004410C0"/>
    <w:rsid w:val="004465F5"/>
    <w:rsid w:val="00446DA8"/>
    <w:rsid w:val="00447495"/>
    <w:rsid w:val="00447DA9"/>
    <w:rsid w:val="00447E8A"/>
    <w:rsid w:val="004528A7"/>
    <w:rsid w:val="00465F39"/>
    <w:rsid w:val="00467386"/>
    <w:rsid w:val="00471E22"/>
    <w:rsid w:val="00473210"/>
    <w:rsid w:val="00473F66"/>
    <w:rsid w:val="00476688"/>
    <w:rsid w:val="004802CF"/>
    <w:rsid w:val="00484790"/>
    <w:rsid w:val="00484BB1"/>
    <w:rsid w:val="0049193B"/>
    <w:rsid w:val="00497DDB"/>
    <w:rsid w:val="004A0257"/>
    <w:rsid w:val="004A0AFC"/>
    <w:rsid w:val="004A5F4F"/>
    <w:rsid w:val="004A78A9"/>
    <w:rsid w:val="004B2E62"/>
    <w:rsid w:val="004B35E5"/>
    <w:rsid w:val="004B6E68"/>
    <w:rsid w:val="004C0179"/>
    <w:rsid w:val="004C24B0"/>
    <w:rsid w:val="004C25D2"/>
    <w:rsid w:val="004C2DE9"/>
    <w:rsid w:val="004C305C"/>
    <w:rsid w:val="004C3665"/>
    <w:rsid w:val="004C4D50"/>
    <w:rsid w:val="004D3805"/>
    <w:rsid w:val="004D3E9D"/>
    <w:rsid w:val="004E065D"/>
    <w:rsid w:val="004E104A"/>
    <w:rsid w:val="004E17F5"/>
    <w:rsid w:val="004E32B0"/>
    <w:rsid w:val="004E4366"/>
    <w:rsid w:val="004E4B53"/>
    <w:rsid w:val="004E6D2D"/>
    <w:rsid w:val="004E7718"/>
    <w:rsid w:val="004F1156"/>
    <w:rsid w:val="004F6CA6"/>
    <w:rsid w:val="004F6D82"/>
    <w:rsid w:val="004F7018"/>
    <w:rsid w:val="005006FD"/>
    <w:rsid w:val="00501810"/>
    <w:rsid w:val="0050473C"/>
    <w:rsid w:val="0050630E"/>
    <w:rsid w:val="005107B2"/>
    <w:rsid w:val="00512932"/>
    <w:rsid w:val="0051519D"/>
    <w:rsid w:val="005162DE"/>
    <w:rsid w:val="00517FFE"/>
    <w:rsid w:val="00520898"/>
    <w:rsid w:val="00520D9F"/>
    <w:rsid w:val="005243BA"/>
    <w:rsid w:val="00530123"/>
    <w:rsid w:val="00531C7F"/>
    <w:rsid w:val="00533835"/>
    <w:rsid w:val="0054013E"/>
    <w:rsid w:val="00541187"/>
    <w:rsid w:val="0054190C"/>
    <w:rsid w:val="0054277B"/>
    <w:rsid w:val="00543E6C"/>
    <w:rsid w:val="00550AC5"/>
    <w:rsid w:val="00552BDA"/>
    <w:rsid w:val="00570181"/>
    <w:rsid w:val="00571E8D"/>
    <w:rsid w:val="0058300C"/>
    <w:rsid w:val="0058604A"/>
    <w:rsid w:val="00587246"/>
    <w:rsid w:val="00591AC7"/>
    <w:rsid w:val="00592330"/>
    <w:rsid w:val="00594F40"/>
    <w:rsid w:val="005977A6"/>
    <w:rsid w:val="00597F01"/>
    <w:rsid w:val="005A4E79"/>
    <w:rsid w:val="005A5DEB"/>
    <w:rsid w:val="005A60D8"/>
    <w:rsid w:val="005A7058"/>
    <w:rsid w:val="005A7165"/>
    <w:rsid w:val="005B02DE"/>
    <w:rsid w:val="005B079C"/>
    <w:rsid w:val="005B1E48"/>
    <w:rsid w:val="005B6A7F"/>
    <w:rsid w:val="005C1895"/>
    <w:rsid w:val="005C3633"/>
    <w:rsid w:val="005C489E"/>
    <w:rsid w:val="005D1919"/>
    <w:rsid w:val="005E4FEC"/>
    <w:rsid w:val="005E6F8F"/>
    <w:rsid w:val="005F07AC"/>
    <w:rsid w:val="005F4C7C"/>
    <w:rsid w:val="005F63D7"/>
    <w:rsid w:val="00600D73"/>
    <w:rsid w:val="0060285C"/>
    <w:rsid w:val="0061104E"/>
    <w:rsid w:val="00617993"/>
    <w:rsid w:val="00623402"/>
    <w:rsid w:val="0063312D"/>
    <w:rsid w:val="00637B3C"/>
    <w:rsid w:val="0064431E"/>
    <w:rsid w:val="006522B0"/>
    <w:rsid w:val="006525C1"/>
    <w:rsid w:val="00655B88"/>
    <w:rsid w:val="006610BC"/>
    <w:rsid w:val="006623A3"/>
    <w:rsid w:val="00662928"/>
    <w:rsid w:val="00666741"/>
    <w:rsid w:val="00670807"/>
    <w:rsid w:val="006731E3"/>
    <w:rsid w:val="0067345C"/>
    <w:rsid w:val="00675A61"/>
    <w:rsid w:val="00682672"/>
    <w:rsid w:val="00684CBD"/>
    <w:rsid w:val="006877D1"/>
    <w:rsid w:val="00687AE9"/>
    <w:rsid w:val="00693D6A"/>
    <w:rsid w:val="00694BA8"/>
    <w:rsid w:val="006B223E"/>
    <w:rsid w:val="006B227D"/>
    <w:rsid w:val="006B52FF"/>
    <w:rsid w:val="006B5A49"/>
    <w:rsid w:val="006C1373"/>
    <w:rsid w:val="006C5A48"/>
    <w:rsid w:val="006D1B0A"/>
    <w:rsid w:val="006D2FC9"/>
    <w:rsid w:val="006D3F87"/>
    <w:rsid w:val="006D4F5D"/>
    <w:rsid w:val="006D51B2"/>
    <w:rsid w:val="006D719D"/>
    <w:rsid w:val="006D7B7A"/>
    <w:rsid w:val="006E2480"/>
    <w:rsid w:val="006E2C08"/>
    <w:rsid w:val="006F3540"/>
    <w:rsid w:val="00705E39"/>
    <w:rsid w:val="00724652"/>
    <w:rsid w:val="0072478D"/>
    <w:rsid w:val="00726B1F"/>
    <w:rsid w:val="0072702D"/>
    <w:rsid w:val="00733225"/>
    <w:rsid w:val="00744DAE"/>
    <w:rsid w:val="00753886"/>
    <w:rsid w:val="00754947"/>
    <w:rsid w:val="0075619B"/>
    <w:rsid w:val="00757ECC"/>
    <w:rsid w:val="007601EC"/>
    <w:rsid w:val="007614E6"/>
    <w:rsid w:val="0076384B"/>
    <w:rsid w:val="00766235"/>
    <w:rsid w:val="00767E65"/>
    <w:rsid w:val="00770AF0"/>
    <w:rsid w:val="00775B0A"/>
    <w:rsid w:val="0077679A"/>
    <w:rsid w:val="00785CCE"/>
    <w:rsid w:val="00790F13"/>
    <w:rsid w:val="00793B72"/>
    <w:rsid w:val="00794F25"/>
    <w:rsid w:val="007A0022"/>
    <w:rsid w:val="007A0636"/>
    <w:rsid w:val="007A2C1E"/>
    <w:rsid w:val="007A505B"/>
    <w:rsid w:val="007A5196"/>
    <w:rsid w:val="007A66AC"/>
    <w:rsid w:val="007A6CD8"/>
    <w:rsid w:val="007B14D3"/>
    <w:rsid w:val="007B232B"/>
    <w:rsid w:val="007B24D4"/>
    <w:rsid w:val="007B32C6"/>
    <w:rsid w:val="007C042D"/>
    <w:rsid w:val="007C3C8B"/>
    <w:rsid w:val="007C61D7"/>
    <w:rsid w:val="007C7ADB"/>
    <w:rsid w:val="007D455F"/>
    <w:rsid w:val="007D47C5"/>
    <w:rsid w:val="007D4A25"/>
    <w:rsid w:val="007D5474"/>
    <w:rsid w:val="007D61AF"/>
    <w:rsid w:val="007D6669"/>
    <w:rsid w:val="007D7B65"/>
    <w:rsid w:val="007E0A84"/>
    <w:rsid w:val="007F29AC"/>
    <w:rsid w:val="007F7913"/>
    <w:rsid w:val="008034EA"/>
    <w:rsid w:val="00812992"/>
    <w:rsid w:val="0081395D"/>
    <w:rsid w:val="0081417A"/>
    <w:rsid w:val="0081518A"/>
    <w:rsid w:val="00815915"/>
    <w:rsid w:val="00824FD7"/>
    <w:rsid w:val="00827245"/>
    <w:rsid w:val="00836EE8"/>
    <w:rsid w:val="008410F5"/>
    <w:rsid w:val="00842B86"/>
    <w:rsid w:val="00843E63"/>
    <w:rsid w:val="00845480"/>
    <w:rsid w:val="00845BDD"/>
    <w:rsid w:val="00847AFC"/>
    <w:rsid w:val="00851AD2"/>
    <w:rsid w:val="008556B5"/>
    <w:rsid w:val="00856E6C"/>
    <w:rsid w:val="00860530"/>
    <w:rsid w:val="008624DB"/>
    <w:rsid w:val="008637D0"/>
    <w:rsid w:val="00864E1A"/>
    <w:rsid w:val="00865A48"/>
    <w:rsid w:val="00866F9A"/>
    <w:rsid w:val="0086754E"/>
    <w:rsid w:val="00876E6E"/>
    <w:rsid w:val="00876F60"/>
    <w:rsid w:val="008770B1"/>
    <w:rsid w:val="00883181"/>
    <w:rsid w:val="008835FC"/>
    <w:rsid w:val="00890615"/>
    <w:rsid w:val="008A0341"/>
    <w:rsid w:val="008A2C19"/>
    <w:rsid w:val="008A3CA4"/>
    <w:rsid w:val="008A4501"/>
    <w:rsid w:val="008A4F06"/>
    <w:rsid w:val="008A5BA8"/>
    <w:rsid w:val="008A621E"/>
    <w:rsid w:val="008B0DB3"/>
    <w:rsid w:val="008B1370"/>
    <w:rsid w:val="008B1448"/>
    <w:rsid w:val="008B302F"/>
    <w:rsid w:val="008C0233"/>
    <w:rsid w:val="008D204C"/>
    <w:rsid w:val="008D5B95"/>
    <w:rsid w:val="008E0715"/>
    <w:rsid w:val="008E07AA"/>
    <w:rsid w:val="008E17B5"/>
    <w:rsid w:val="008E48AE"/>
    <w:rsid w:val="008E7793"/>
    <w:rsid w:val="008F0608"/>
    <w:rsid w:val="009004D6"/>
    <w:rsid w:val="00911DFF"/>
    <w:rsid w:val="009209A2"/>
    <w:rsid w:val="00923D21"/>
    <w:rsid w:val="0092499D"/>
    <w:rsid w:val="009306E2"/>
    <w:rsid w:val="00930BC9"/>
    <w:rsid w:val="00931680"/>
    <w:rsid w:val="00936870"/>
    <w:rsid w:val="00945139"/>
    <w:rsid w:val="009454F8"/>
    <w:rsid w:val="009506D2"/>
    <w:rsid w:val="00950F5A"/>
    <w:rsid w:val="00954291"/>
    <w:rsid w:val="00954F8E"/>
    <w:rsid w:val="00962641"/>
    <w:rsid w:val="00971646"/>
    <w:rsid w:val="00972013"/>
    <w:rsid w:val="00982F7A"/>
    <w:rsid w:val="009879C5"/>
    <w:rsid w:val="00991BAD"/>
    <w:rsid w:val="00997D4A"/>
    <w:rsid w:val="009A29F8"/>
    <w:rsid w:val="009A3CB6"/>
    <w:rsid w:val="009A40D2"/>
    <w:rsid w:val="009A544E"/>
    <w:rsid w:val="009A57AC"/>
    <w:rsid w:val="009A6752"/>
    <w:rsid w:val="009B1539"/>
    <w:rsid w:val="009B3C2A"/>
    <w:rsid w:val="009B797D"/>
    <w:rsid w:val="009C255F"/>
    <w:rsid w:val="009C47DF"/>
    <w:rsid w:val="009D4451"/>
    <w:rsid w:val="009D6634"/>
    <w:rsid w:val="009E49C8"/>
    <w:rsid w:val="009F0242"/>
    <w:rsid w:val="009F2F1C"/>
    <w:rsid w:val="009F4B2F"/>
    <w:rsid w:val="009F690F"/>
    <w:rsid w:val="009F7BC0"/>
    <w:rsid w:val="00A10327"/>
    <w:rsid w:val="00A1248E"/>
    <w:rsid w:val="00A14697"/>
    <w:rsid w:val="00A20118"/>
    <w:rsid w:val="00A246E2"/>
    <w:rsid w:val="00A26FB6"/>
    <w:rsid w:val="00A34A57"/>
    <w:rsid w:val="00A379C4"/>
    <w:rsid w:val="00A407DC"/>
    <w:rsid w:val="00A42C93"/>
    <w:rsid w:val="00A438B2"/>
    <w:rsid w:val="00A453B4"/>
    <w:rsid w:val="00A45F60"/>
    <w:rsid w:val="00A50BF6"/>
    <w:rsid w:val="00A57E2C"/>
    <w:rsid w:val="00A66CC2"/>
    <w:rsid w:val="00A73F67"/>
    <w:rsid w:val="00A7407D"/>
    <w:rsid w:val="00A74676"/>
    <w:rsid w:val="00A7678C"/>
    <w:rsid w:val="00A81307"/>
    <w:rsid w:val="00A861BC"/>
    <w:rsid w:val="00A94C31"/>
    <w:rsid w:val="00A966FC"/>
    <w:rsid w:val="00A97753"/>
    <w:rsid w:val="00AA653D"/>
    <w:rsid w:val="00AB207E"/>
    <w:rsid w:val="00AB3843"/>
    <w:rsid w:val="00AB53E0"/>
    <w:rsid w:val="00AC2A86"/>
    <w:rsid w:val="00AC3AA5"/>
    <w:rsid w:val="00AC4B09"/>
    <w:rsid w:val="00AD101F"/>
    <w:rsid w:val="00AD238C"/>
    <w:rsid w:val="00AD48CD"/>
    <w:rsid w:val="00AD6070"/>
    <w:rsid w:val="00AD6995"/>
    <w:rsid w:val="00AD7196"/>
    <w:rsid w:val="00AE0CB5"/>
    <w:rsid w:val="00AE75A8"/>
    <w:rsid w:val="00AF18CD"/>
    <w:rsid w:val="00AF4400"/>
    <w:rsid w:val="00AF46CF"/>
    <w:rsid w:val="00AF4791"/>
    <w:rsid w:val="00AF57D9"/>
    <w:rsid w:val="00B012BF"/>
    <w:rsid w:val="00B04C58"/>
    <w:rsid w:val="00B06538"/>
    <w:rsid w:val="00B13238"/>
    <w:rsid w:val="00B14695"/>
    <w:rsid w:val="00B14BEF"/>
    <w:rsid w:val="00B20269"/>
    <w:rsid w:val="00B3411D"/>
    <w:rsid w:val="00B34A1A"/>
    <w:rsid w:val="00B35B41"/>
    <w:rsid w:val="00B36FA5"/>
    <w:rsid w:val="00B421EC"/>
    <w:rsid w:val="00B53287"/>
    <w:rsid w:val="00B56C5C"/>
    <w:rsid w:val="00B57363"/>
    <w:rsid w:val="00B618FC"/>
    <w:rsid w:val="00B67007"/>
    <w:rsid w:val="00B73BF7"/>
    <w:rsid w:val="00B752CC"/>
    <w:rsid w:val="00B77F6A"/>
    <w:rsid w:val="00B80857"/>
    <w:rsid w:val="00B80E78"/>
    <w:rsid w:val="00B826D5"/>
    <w:rsid w:val="00B83484"/>
    <w:rsid w:val="00B857F8"/>
    <w:rsid w:val="00B901C3"/>
    <w:rsid w:val="00B90C68"/>
    <w:rsid w:val="00B93F65"/>
    <w:rsid w:val="00B977B2"/>
    <w:rsid w:val="00BA09AA"/>
    <w:rsid w:val="00BA1A33"/>
    <w:rsid w:val="00BA2125"/>
    <w:rsid w:val="00BA4C8B"/>
    <w:rsid w:val="00BB1BE7"/>
    <w:rsid w:val="00BB1C08"/>
    <w:rsid w:val="00BB47F2"/>
    <w:rsid w:val="00BB5697"/>
    <w:rsid w:val="00BC0438"/>
    <w:rsid w:val="00BC2BB6"/>
    <w:rsid w:val="00BC2C49"/>
    <w:rsid w:val="00BE4081"/>
    <w:rsid w:val="00BF0A93"/>
    <w:rsid w:val="00BF1588"/>
    <w:rsid w:val="00BF4DD0"/>
    <w:rsid w:val="00C10322"/>
    <w:rsid w:val="00C11A6A"/>
    <w:rsid w:val="00C11E87"/>
    <w:rsid w:val="00C2363E"/>
    <w:rsid w:val="00C245D1"/>
    <w:rsid w:val="00C26138"/>
    <w:rsid w:val="00C26710"/>
    <w:rsid w:val="00C3023C"/>
    <w:rsid w:val="00C35D1D"/>
    <w:rsid w:val="00C40391"/>
    <w:rsid w:val="00C42C35"/>
    <w:rsid w:val="00C43B86"/>
    <w:rsid w:val="00C45BBB"/>
    <w:rsid w:val="00C542B4"/>
    <w:rsid w:val="00C5474A"/>
    <w:rsid w:val="00C56302"/>
    <w:rsid w:val="00C565B4"/>
    <w:rsid w:val="00C57623"/>
    <w:rsid w:val="00C57CA0"/>
    <w:rsid w:val="00C66F49"/>
    <w:rsid w:val="00C67711"/>
    <w:rsid w:val="00C7239A"/>
    <w:rsid w:val="00C833CF"/>
    <w:rsid w:val="00C83AC4"/>
    <w:rsid w:val="00C84F4D"/>
    <w:rsid w:val="00C94CD9"/>
    <w:rsid w:val="00C97FEA"/>
    <w:rsid w:val="00CA432F"/>
    <w:rsid w:val="00CA6D84"/>
    <w:rsid w:val="00CB2D6E"/>
    <w:rsid w:val="00CB6942"/>
    <w:rsid w:val="00CC08F9"/>
    <w:rsid w:val="00CC4A58"/>
    <w:rsid w:val="00CC699A"/>
    <w:rsid w:val="00CD2173"/>
    <w:rsid w:val="00CD4110"/>
    <w:rsid w:val="00CD54A4"/>
    <w:rsid w:val="00CD6EF5"/>
    <w:rsid w:val="00CE0AA6"/>
    <w:rsid w:val="00CE3E00"/>
    <w:rsid w:val="00CE59ED"/>
    <w:rsid w:val="00CE5C4B"/>
    <w:rsid w:val="00CF371A"/>
    <w:rsid w:val="00D0104C"/>
    <w:rsid w:val="00D04CFB"/>
    <w:rsid w:val="00D0759D"/>
    <w:rsid w:val="00D153B5"/>
    <w:rsid w:val="00D179DD"/>
    <w:rsid w:val="00D22C8E"/>
    <w:rsid w:val="00D23F55"/>
    <w:rsid w:val="00D3167B"/>
    <w:rsid w:val="00D31C42"/>
    <w:rsid w:val="00D32413"/>
    <w:rsid w:val="00D33013"/>
    <w:rsid w:val="00D40DD3"/>
    <w:rsid w:val="00D433D7"/>
    <w:rsid w:val="00D440D9"/>
    <w:rsid w:val="00D46FEB"/>
    <w:rsid w:val="00D4766B"/>
    <w:rsid w:val="00D47A2D"/>
    <w:rsid w:val="00D56BF9"/>
    <w:rsid w:val="00D614AF"/>
    <w:rsid w:val="00D6507B"/>
    <w:rsid w:val="00D72153"/>
    <w:rsid w:val="00D81D24"/>
    <w:rsid w:val="00D81D41"/>
    <w:rsid w:val="00D837D8"/>
    <w:rsid w:val="00D84445"/>
    <w:rsid w:val="00D8614E"/>
    <w:rsid w:val="00D94B22"/>
    <w:rsid w:val="00D95564"/>
    <w:rsid w:val="00D965CD"/>
    <w:rsid w:val="00D96B9E"/>
    <w:rsid w:val="00D97A1B"/>
    <w:rsid w:val="00DA1690"/>
    <w:rsid w:val="00DA1E5E"/>
    <w:rsid w:val="00DA33EF"/>
    <w:rsid w:val="00DA7F04"/>
    <w:rsid w:val="00DB0E13"/>
    <w:rsid w:val="00DB2C9A"/>
    <w:rsid w:val="00DB3BEF"/>
    <w:rsid w:val="00DB3E91"/>
    <w:rsid w:val="00DB6B21"/>
    <w:rsid w:val="00DB7BC6"/>
    <w:rsid w:val="00DB7CEC"/>
    <w:rsid w:val="00DC090C"/>
    <w:rsid w:val="00DC0EE2"/>
    <w:rsid w:val="00DC16A4"/>
    <w:rsid w:val="00DC5ACB"/>
    <w:rsid w:val="00DC6C24"/>
    <w:rsid w:val="00DD0C4F"/>
    <w:rsid w:val="00DD0F63"/>
    <w:rsid w:val="00DD16F2"/>
    <w:rsid w:val="00DD2A75"/>
    <w:rsid w:val="00DD481A"/>
    <w:rsid w:val="00DE0C29"/>
    <w:rsid w:val="00DE33C0"/>
    <w:rsid w:val="00DE4876"/>
    <w:rsid w:val="00DE7907"/>
    <w:rsid w:val="00DF2C7B"/>
    <w:rsid w:val="00DF6256"/>
    <w:rsid w:val="00E0510E"/>
    <w:rsid w:val="00E06F0E"/>
    <w:rsid w:val="00E1339E"/>
    <w:rsid w:val="00E14878"/>
    <w:rsid w:val="00E17F92"/>
    <w:rsid w:val="00E201D2"/>
    <w:rsid w:val="00E21EFB"/>
    <w:rsid w:val="00E23DC9"/>
    <w:rsid w:val="00E24B6B"/>
    <w:rsid w:val="00E27A7A"/>
    <w:rsid w:val="00E301B3"/>
    <w:rsid w:val="00E34FA7"/>
    <w:rsid w:val="00E37672"/>
    <w:rsid w:val="00E42E37"/>
    <w:rsid w:val="00E44A98"/>
    <w:rsid w:val="00E4594C"/>
    <w:rsid w:val="00E47185"/>
    <w:rsid w:val="00E5182E"/>
    <w:rsid w:val="00E52BD9"/>
    <w:rsid w:val="00E540D7"/>
    <w:rsid w:val="00E61377"/>
    <w:rsid w:val="00E63DCA"/>
    <w:rsid w:val="00E75047"/>
    <w:rsid w:val="00E7659D"/>
    <w:rsid w:val="00E76789"/>
    <w:rsid w:val="00E767FB"/>
    <w:rsid w:val="00E76EB0"/>
    <w:rsid w:val="00E831AC"/>
    <w:rsid w:val="00E85195"/>
    <w:rsid w:val="00E87A50"/>
    <w:rsid w:val="00E97FF3"/>
    <w:rsid w:val="00EB19AD"/>
    <w:rsid w:val="00EC42EB"/>
    <w:rsid w:val="00EC4964"/>
    <w:rsid w:val="00ED5817"/>
    <w:rsid w:val="00ED5FDC"/>
    <w:rsid w:val="00EE18A7"/>
    <w:rsid w:val="00EE537A"/>
    <w:rsid w:val="00EF13C1"/>
    <w:rsid w:val="00EF1A23"/>
    <w:rsid w:val="00EF6260"/>
    <w:rsid w:val="00F04CB4"/>
    <w:rsid w:val="00F075B0"/>
    <w:rsid w:val="00F128A3"/>
    <w:rsid w:val="00F166D4"/>
    <w:rsid w:val="00F1681F"/>
    <w:rsid w:val="00F27EED"/>
    <w:rsid w:val="00F31FC4"/>
    <w:rsid w:val="00F36D1A"/>
    <w:rsid w:val="00F4016F"/>
    <w:rsid w:val="00F4023E"/>
    <w:rsid w:val="00F407F7"/>
    <w:rsid w:val="00F42C81"/>
    <w:rsid w:val="00F44C47"/>
    <w:rsid w:val="00F5114E"/>
    <w:rsid w:val="00F56B0D"/>
    <w:rsid w:val="00F57166"/>
    <w:rsid w:val="00F65C48"/>
    <w:rsid w:val="00F75383"/>
    <w:rsid w:val="00F77D01"/>
    <w:rsid w:val="00F82BF7"/>
    <w:rsid w:val="00F830C0"/>
    <w:rsid w:val="00F931FA"/>
    <w:rsid w:val="00F94870"/>
    <w:rsid w:val="00F9777A"/>
    <w:rsid w:val="00F977F7"/>
    <w:rsid w:val="00FA4807"/>
    <w:rsid w:val="00FA62BF"/>
    <w:rsid w:val="00FA6EF5"/>
    <w:rsid w:val="00FA76C4"/>
    <w:rsid w:val="00FB0934"/>
    <w:rsid w:val="00FB243A"/>
    <w:rsid w:val="00FB78C8"/>
    <w:rsid w:val="00FC1F81"/>
    <w:rsid w:val="00FC6AA6"/>
    <w:rsid w:val="00FD069B"/>
    <w:rsid w:val="00FD7649"/>
    <w:rsid w:val="00FD764C"/>
    <w:rsid w:val="00FE7228"/>
    <w:rsid w:val="00FE7DF3"/>
    <w:rsid w:val="00FF060A"/>
    <w:rsid w:val="00FF2667"/>
    <w:rsid w:val="00FF4F7F"/>
    <w:rsid w:val="4C9C2619"/>
  </w:rsids>
  <m:mathPr>
    <m:mathFont m:val="Cambria Math"/>
    <m:brkBin m:val="before"/>
    <m:brkBinSub m:val="--"/>
    <m:smallFrac m:val="0"/>
    <m:dispDef/>
    <m:lMargin m:val="0"/>
    <m:rMargin m:val="0"/>
    <m:defJc m:val="centerGroup"/>
    <m:wrapIndent m:val="1440"/>
    <m:intLim m:val="subSup"/>
    <m:naryLim m:val="undOvr"/>
  </m:mathPr>
  <w:themeFontLang w:val="es-CR"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8B267D"/>
  <w15:chartTrackingRefBased/>
  <w15:docId w15:val="{4F67E9F9-64D7-4CE3-9B78-027B46F6F1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C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Textoindependiente"/>
    <w:link w:val="Ttulo1Car"/>
    <w:uiPriority w:val="9"/>
    <w:qFormat/>
    <w:rsid w:val="00331A2F"/>
    <w:pPr>
      <w:keepNext/>
      <w:widowControl w:val="0"/>
      <w:overflowPunct w:val="0"/>
      <w:autoSpaceDE w:val="0"/>
      <w:autoSpaceDN w:val="0"/>
      <w:adjustRightInd w:val="0"/>
      <w:spacing w:before="240" w:after="300" w:line="240" w:lineRule="auto"/>
      <w:jc w:val="center"/>
      <w:outlineLvl w:val="0"/>
    </w:pPr>
    <w:rPr>
      <w:rFonts w:ascii="Arial" w:eastAsia="Times New Roman" w:hAnsi="Arial" w:cs="Times New Roman"/>
      <w:b/>
      <w:spacing w:val="-2"/>
      <w:kern w:val="0"/>
      <w:sz w:val="24"/>
      <w:szCs w:val="20"/>
      <w:lang w:val="en-US" w:eastAsia="es-CR"/>
      <w14:ligatures w14:val="none"/>
    </w:rPr>
  </w:style>
  <w:style w:type="paragraph" w:styleId="Ttulo2">
    <w:name w:val="heading 2"/>
    <w:basedOn w:val="Normal"/>
    <w:next w:val="Textoindependiente"/>
    <w:link w:val="Ttulo2Car"/>
    <w:uiPriority w:val="99"/>
    <w:unhideWhenUsed/>
    <w:qFormat/>
    <w:rsid w:val="00D47A2D"/>
    <w:pPr>
      <w:keepNext/>
      <w:widowControl w:val="0"/>
      <w:overflowPunct w:val="0"/>
      <w:autoSpaceDE w:val="0"/>
      <w:autoSpaceDN w:val="0"/>
      <w:adjustRightInd w:val="0"/>
      <w:spacing w:before="240" w:after="120" w:line="240" w:lineRule="auto"/>
      <w:jc w:val="both"/>
      <w:outlineLvl w:val="1"/>
    </w:pPr>
    <w:rPr>
      <w:rFonts w:ascii="Arial" w:eastAsia="Times New Roman" w:hAnsi="Arial" w:cs="Times New Roman"/>
      <w:b/>
      <w:spacing w:val="-2"/>
      <w:kern w:val="28"/>
      <w:sz w:val="24"/>
      <w:szCs w:val="20"/>
      <w:lang w:val="en-US" w:eastAsia="es-CR"/>
      <w14:ligatures w14:val="none"/>
    </w:rPr>
  </w:style>
  <w:style w:type="paragraph" w:styleId="Ttulo3">
    <w:name w:val="heading 3"/>
    <w:basedOn w:val="Normal"/>
    <w:next w:val="Normal"/>
    <w:link w:val="Ttulo3Car"/>
    <w:unhideWhenUsed/>
    <w:qFormat/>
    <w:rsid w:val="00FA6EF5"/>
    <w:pPr>
      <w:keepNext/>
      <w:widowControl w:val="0"/>
      <w:overflowPunct w:val="0"/>
      <w:autoSpaceDE w:val="0"/>
      <w:autoSpaceDN w:val="0"/>
      <w:adjustRightInd w:val="0"/>
      <w:spacing w:before="240" w:after="60" w:line="240" w:lineRule="auto"/>
      <w:outlineLvl w:val="2"/>
    </w:pPr>
    <w:rPr>
      <w:rFonts w:ascii="Arial" w:eastAsia="Times New Roman" w:hAnsi="Arial" w:cs="Times New Roman"/>
      <w:kern w:val="0"/>
      <w:sz w:val="24"/>
      <w:szCs w:val="20"/>
      <w:lang w:val="es-ES_tradnl" w:eastAsia="es-CR"/>
      <w14:ligatures w14:val="none"/>
    </w:rPr>
  </w:style>
  <w:style w:type="paragraph" w:styleId="Ttulo4">
    <w:name w:val="heading 4"/>
    <w:basedOn w:val="Normal"/>
    <w:next w:val="Normal"/>
    <w:link w:val="Ttulo4Car"/>
    <w:uiPriority w:val="9"/>
    <w:qFormat/>
    <w:rsid w:val="006C1373"/>
    <w:pPr>
      <w:keepNext/>
      <w:widowControl w:val="0"/>
      <w:overflowPunct w:val="0"/>
      <w:autoSpaceDE w:val="0"/>
      <w:autoSpaceDN w:val="0"/>
      <w:adjustRightInd w:val="0"/>
      <w:spacing w:before="240" w:after="60" w:line="240" w:lineRule="auto"/>
      <w:outlineLvl w:val="3"/>
    </w:pPr>
    <w:rPr>
      <w:rFonts w:ascii="Cambria" w:eastAsia="Times New Roman" w:hAnsi="Cambria" w:cs="Times New Roman"/>
      <w:b/>
      <w:bCs/>
      <w:kern w:val="0"/>
      <w:sz w:val="28"/>
      <w:szCs w:val="28"/>
      <w:lang w:val="es-ES_tradnl" w:eastAsia="es-CR"/>
      <w14:ligatures w14:val="none"/>
    </w:rPr>
  </w:style>
  <w:style w:type="paragraph" w:styleId="Ttulo5">
    <w:name w:val="heading 5"/>
    <w:basedOn w:val="Normal"/>
    <w:next w:val="Normal"/>
    <w:link w:val="Ttulo5Car"/>
    <w:qFormat/>
    <w:rsid w:val="006C1373"/>
    <w:pPr>
      <w:keepNext/>
      <w:spacing w:after="0" w:line="240" w:lineRule="auto"/>
      <w:jc w:val="center"/>
      <w:outlineLvl w:val="4"/>
    </w:pPr>
    <w:rPr>
      <w:rFonts w:ascii="Arial" w:eastAsia="Times New Roman" w:hAnsi="Arial" w:cs="Arial"/>
      <w:b/>
      <w:color w:val="000000"/>
      <w:kern w:val="0"/>
      <w:sz w:val="32"/>
      <w:szCs w:val="24"/>
      <w:lang w:val="es-ES_tradnl" w:eastAsia="es-ES"/>
      <w14:ligatures w14:val="none"/>
    </w:rPr>
  </w:style>
  <w:style w:type="paragraph" w:styleId="Ttulo6">
    <w:name w:val="heading 6"/>
    <w:basedOn w:val="Normal"/>
    <w:next w:val="Normal"/>
    <w:link w:val="Ttulo6Car"/>
    <w:qFormat/>
    <w:rsid w:val="006C1373"/>
    <w:pPr>
      <w:widowControl w:val="0"/>
      <w:overflowPunct w:val="0"/>
      <w:autoSpaceDE w:val="0"/>
      <w:autoSpaceDN w:val="0"/>
      <w:adjustRightInd w:val="0"/>
      <w:spacing w:before="240" w:after="60" w:line="240" w:lineRule="auto"/>
      <w:outlineLvl w:val="5"/>
    </w:pPr>
    <w:rPr>
      <w:rFonts w:ascii="Cambria" w:eastAsia="Times New Roman" w:hAnsi="Cambria" w:cs="Times New Roman"/>
      <w:b/>
      <w:bCs/>
      <w:kern w:val="0"/>
      <w:lang w:val="es-ES_tradnl" w:eastAsia="es-CR"/>
      <w14:ligatures w14:val="none"/>
    </w:rPr>
  </w:style>
  <w:style w:type="paragraph" w:styleId="Ttulo7">
    <w:name w:val="heading 7"/>
    <w:basedOn w:val="Normal"/>
    <w:next w:val="Normal"/>
    <w:link w:val="Ttulo7Car"/>
    <w:qFormat/>
    <w:rsid w:val="006C1373"/>
    <w:pPr>
      <w:widowControl w:val="0"/>
      <w:overflowPunct w:val="0"/>
      <w:autoSpaceDE w:val="0"/>
      <w:autoSpaceDN w:val="0"/>
      <w:adjustRightInd w:val="0"/>
      <w:spacing w:before="240" w:after="60" w:line="240" w:lineRule="auto"/>
      <w:outlineLvl w:val="6"/>
    </w:pPr>
    <w:rPr>
      <w:rFonts w:ascii="Cambria" w:eastAsia="Times New Roman" w:hAnsi="Cambria" w:cs="Times New Roman"/>
      <w:kern w:val="0"/>
      <w:sz w:val="24"/>
      <w:szCs w:val="24"/>
      <w:lang w:val="es-ES_tradnl" w:eastAsia="es-CR"/>
      <w14:ligatures w14:val="none"/>
    </w:rPr>
  </w:style>
  <w:style w:type="paragraph" w:styleId="Ttulo8">
    <w:name w:val="heading 8"/>
    <w:basedOn w:val="Normal"/>
    <w:next w:val="Normal"/>
    <w:link w:val="Ttulo8Car"/>
    <w:uiPriority w:val="9"/>
    <w:qFormat/>
    <w:rsid w:val="006C1373"/>
    <w:pPr>
      <w:widowControl w:val="0"/>
      <w:overflowPunct w:val="0"/>
      <w:autoSpaceDE w:val="0"/>
      <w:autoSpaceDN w:val="0"/>
      <w:adjustRightInd w:val="0"/>
      <w:spacing w:before="240" w:after="60" w:line="240" w:lineRule="auto"/>
      <w:outlineLvl w:val="7"/>
    </w:pPr>
    <w:rPr>
      <w:rFonts w:ascii="Cambria" w:eastAsia="Times New Roman" w:hAnsi="Cambria" w:cs="Times New Roman"/>
      <w:i/>
      <w:iCs/>
      <w:kern w:val="0"/>
      <w:sz w:val="24"/>
      <w:szCs w:val="24"/>
      <w:lang w:val="es-ES_tradnl" w:eastAsia="es-CR"/>
      <w14:ligatures w14:val="none"/>
    </w:rPr>
  </w:style>
  <w:style w:type="paragraph" w:styleId="Ttulo9">
    <w:name w:val="heading 9"/>
    <w:basedOn w:val="Normal"/>
    <w:next w:val="Normal"/>
    <w:link w:val="Ttulo9Car"/>
    <w:uiPriority w:val="9"/>
    <w:qFormat/>
    <w:rsid w:val="006C1373"/>
    <w:pPr>
      <w:keepNext/>
      <w:spacing w:after="0" w:line="240" w:lineRule="auto"/>
      <w:outlineLvl w:val="8"/>
    </w:pPr>
    <w:rPr>
      <w:rFonts w:ascii="Arial" w:eastAsia="Times New Roman" w:hAnsi="Arial" w:cs="Arial"/>
      <w:b/>
      <w:color w:val="000000"/>
      <w:kern w:val="0"/>
      <w:sz w:val="24"/>
      <w:szCs w:val="24"/>
      <w:lang w:eastAsia="es-ES"/>
      <w14:ligatures w14:val="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31A2F"/>
    <w:rPr>
      <w:rFonts w:ascii="Arial" w:eastAsia="Times New Roman" w:hAnsi="Arial" w:cs="Times New Roman"/>
      <w:b/>
      <w:spacing w:val="-2"/>
      <w:kern w:val="0"/>
      <w:sz w:val="24"/>
      <w:szCs w:val="20"/>
      <w:lang w:val="en-US" w:eastAsia="es-CR"/>
      <w14:ligatures w14:val="none"/>
    </w:rPr>
  </w:style>
  <w:style w:type="paragraph" w:styleId="Prrafodelista">
    <w:name w:val="List Paragraph"/>
    <w:basedOn w:val="Normal"/>
    <w:uiPriority w:val="34"/>
    <w:qFormat/>
    <w:rsid w:val="00331A2F"/>
    <w:pPr>
      <w:spacing w:after="200" w:line="276" w:lineRule="auto"/>
      <w:ind w:left="720"/>
      <w:contextualSpacing/>
    </w:pPr>
    <w:rPr>
      <w:rFonts w:ascii="Calibri" w:eastAsia="Calibri" w:hAnsi="Calibri" w:cs="Times New Roman"/>
      <w:kern w:val="0"/>
      <w14:ligatures w14:val="none"/>
    </w:rPr>
  </w:style>
  <w:style w:type="character" w:styleId="Hipervnculo">
    <w:name w:val="Hyperlink"/>
    <w:basedOn w:val="Fuentedeprrafopredeter"/>
    <w:uiPriority w:val="99"/>
    <w:unhideWhenUsed/>
    <w:rsid w:val="00331A2F"/>
    <w:rPr>
      <w:color w:val="0563C1" w:themeColor="hyperlink"/>
      <w:u w:val="single"/>
    </w:rPr>
  </w:style>
  <w:style w:type="paragraph" w:styleId="Textoindependiente">
    <w:name w:val="Body Text"/>
    <w:basedOn w:val="Normal"/>
    <w:link w:val="TextoindependienteCar"/>
    <w:uiPriority w:val="99"/>
    <w:unhideWhenUsed/>
    <w:rsid w:val="00331A2F"/>
    <w:pPr>
      <w:widowControl w:val="0"/>
      <w:overflowPunct w:val="0"/>
      <w:autoSpaceDE w:val="0"/>
      <w:autoSpaceDN w:val="0"/>
      <w:adjustRightInd w:val="0"/>
      <w:spacing w:before="120" w:after="120" w:line="240" w:lineRule="auto"/>
    </w:pPr>
    <w:rPr>
      <w:rFonts w:ascii="Times New Roman" w:eastAsia="Times New Roman" w:hAnsi="Times New Roman" w:cs="Times New Roman"/>
      <w:kern w:val="0"/>
      <w:sz w:val="24"/>
      <w:szCs w:val="20"/>
      <w:lang w:val="es-ES_tradnl" w:eastAsia="es-CR"/>
      <w14:ligatures w14:val="none"/>
    </w:rPr>
  </w:style>
  <w:style w:type="character" w:customStyle="1" w:styleId="TextoindependienteCar">
    <w:name w:val="Texto independiente Car"/>
    <w:basedOn w:val="Fuentedeprrafopredeter"/>
    <w:link w:val="Textoindependiente"/>
    <w:uiPriority w:val="99"/>
    <w:rsid w:val="00331A2F"/>
    <w:rPr>
      <w:rFonts w:ascii="Times New Roman" w:eastAsia="Times New Roman" w:hAnsi="Times New Roman" w:cs="Times New Roman"/>
      <w:kern w:val="0"/>
      <w:sz w:val="24"/>
      <w:szCs w:val="20"/>
      <w:lang w:val="es-ES_tradnl" w:eastAsia="es-CR"/>
      <w14:ligatures w14:val="none"/>
    </w:rPr>
  </w:style>
  <w:style w:type="table" w:styleId="Tablaconcuadrcula">
    <w:name w:val="Table Grid"/>
    <w:basedOn w:val="Tablanormal"/>
    <w:uiPriority w:val="59"/>
    <w:rsid w:val="00331A2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9"/>
    <w:rsid w:val="00D47A2D"/>
    <w:rPr>
      <w:rFonts w:ascii="Arial" w:eastAsia="Times New Roman" w:hAnsi="Arial" w:cs="Times New Roman"/>
      <w:b/>
      <w:spacing w:val="-2"/>
      <w:kern w:val="28"/>
      <w:sz w:val="24"/>
      <w:szCs w:val="20"/>
      <w:lang w:val="en-US" w:eastAsia="es-CR"/>
      <w14:ligatures w14:val="none"/>
    </w:rPr>
  </w:style>
  <w:style w:type="paragraph" w:customStyle="1" w:styleId="NormalHanging">
    <w:name w:val="Normal Hanging"/>
    <w:basedOn w:val="Normal"/>
    <w:rsid w:val="00D47A2D"/>
    <w:pPr>
      <w:widowControl w:val="0"/>
      <w:overflowPunct w:val="0"/>
      <w:autoSpaceDE w:val="0"/>
      <w:autoSpaceDN w:val="0"/>
      <w:adjustRightInd w:val="0"/>
      <w:spacing w:before="120" w:after="0" w:line="240" w:lineRule="auto"/>
      <w:ind w:left="720" w:hanging="720"/>
      <w:jc w:val="both"/>
    </w:pPr>
    <w:rPr>
      <w:rFonts w:ascii="Times New Roman" w:eastAsia="Times New Roman" w:hAnsi="Times New Roman" w:cs="Times New Roman"/>
      <w:kern w:val="0"/>
      <w:sz w:val="24"/>
      <w:szCs w:val="20"/>
      <w:lang w:val="es-ES_tradnl" w:eastAsia="es-CR"/>
      <w14:ligatures w14:val="none"/>
    </w:rPr>
  </w:style>
  <w:style w:type="paragraph" w:customStyle="1" w:styleId="Normalcontenido">
    <w:name w:val="Normal contenido"/>
    <w:basedOn w:val="Normal"/>
    <w:rsid w:val="00D47A2D"/>
    <w:pPr>
      <w:widowControl w:val="0"/>
      <w:overflowPunct w:val="0"/>
      <w:autoSpaceDE w:val="0"/>
      <w:autoSpaceDN w:val="0"/>
      <w:adjustRightInd w:val="0"/>
      <w:spacing w:after="0" w:line="240" w:lineRule="auto"/>
      <w:ind w:left="1296" w:hanging="432"/>
    </w:pPr>
    <w:rPr>
      <w:rFonts w:ascii="Times New Roman" w:eastAsia="Times New Roman" w:hAnsi="Times New Roman" w:cs="Times New Roman"/>
      <w:kern w:val="0"/>
      <w:sz w:val="24"/>
      <w:szCs w:val="20"/>
      <w:lang w:val="es-ES_tradnl" w:eastAsia="es-CR"/>
      <w14:ligatures w14:val="none"/>
    </w:rPr>
  </w:style>
  <w:style w:type="paragraph" w:customStyle="1" w:styleId="Default">
    <w:name w:val="Default"/>
    <w:rsid w:val="00D47A2D"/>
    <w:pPr>
      <w:autoSpaceDE w:val="0"/>
      <w:autoSpaceDN w:val="0"/>
      <w:adjustRightInd w:val="0"/>
      <w:spacing w:after="0" w:line="240" w:lineRule="auto"/>
    </w:pPr>
    <w:rPr>
      <w:rFonts w:ascii="Calibri" w:eastAsia="Calibri" w:hAnsi="Calibri" w:cs="Calibri"/>
      <w:color w:val="000000"/>
      <w:kern w:val="0"/>
      <w:sz w:val="24"/>
      <w:szCs w:val="24"/>
      <w:lang w:val="es-ES" w:eastAsia="es-ES"/>
      <w14:ligatures w14:val="none"/>
    </w:rPr>
  </w:style>
  <w:style w:type="paragraph" w:customStyle="1" w:styleId="Listavistosa-nfasis11">
    <w:name w:val="Lista vistosa - Énfasis 11"/>
    <w:basedOn w:val="Normal"/>
    <w:uiPriority w:val="99"/>
    <w:qFormat/>
    <w:rsid w:val="00D47A2D"/>
    <w:pPr>
      <w:spacing w:after="200" w:line="276" w:lineRule="auto"/>
      <w:ind w:left="720"/>
      <w:contextualSpacing/>
    </w:pPr>
    <w:rPr>
      <w:rFonts w:ascii="Calibri" w:eastAsia="Calibri" w:hAnsi="Calibri" w:cs="Times New Roman"/>
      <w:kern w:val="0"/>
      <w14:ligatures w14:val="none"/>
    </w:rPr>
  </w:style>
  <w:style w:type="character" w:customStyle="1" w:styleId="Ttulo3Car">
    <w:name w:val="Título 3 Car"/>
    <w:basedOn w:val="Fuentedeprrafopredeter"/>
    <w:link w:val="Ttulo3"/>
    <w:rsid w:val="00FA6EF5"/>
    <w:rPr>
      <w:rFonts w:ascii="Arial" w:eastAsia="Times New Roman" w:hAnsi="Arial" w:cs="Times New Roman"/>
      <w:kern w:val="0"/>
      <w:sz w:val="24"/>
      <w:szCs w:val="20"/>
      <w:lang w:val="es-ES_tradnl" w:eastAsia="es-CR"/>
      <w14:ligatures w14:val="none"/>
    </w:rPr>
  </w:style>
  <w:style w:type="paragraph" w:styleId="Encabezado">
    <w:name w:val="header"/>
    <w:basedOn w:val="Normal"/>
    <w:link w:val="EncabezadoCar"/>
    <w:uiPriority w:val="99"/>
    <w:unhideWhenUsed/>
    <w:rsid w:val="00FA6EF5"/>
    <w:pPr>
      <w:widowControl w:val="0"/>
      <w:tabs>
        <w:tab w:val="center" w:pos="4320"/>
        <w:tab w:val="right" w:pos="8640"/>
      </w:tabs>
      <w:overflowPunct w:val="0"/>
      <w:autoSpaceDE w:val="0"/>
      <w:autoSpaceDN w:val="0"/>
      <w:adjustRightInd w:val="0"/>
      <w:spacing w:after="0" w:line="240" w:lineRule="auto"/>
    </w:pPr>
    <w:rPr>
      <w:rFonts w:ascii="Times New Roman" w:eastAsia="Times New Roman" w:hAnsi="Times New Roman" w:cs="Times New Roman"/>
      <w:kern w:val="0"/>
      <w:sz w:val="20"/>
      <w:szCs w:val="20"/>
      <w:lang w:val="es-ES_tradnl" w:eastAsia="es-CR"/>
      <w14:ligatures w14:val="none"/>
    </w:rPr>
  </w:style>
  <w:style w:type="character" w:customStyle="1" w:styleId="EncabezadoCar">
    <w:name w:val="Encabezado Car"/>
    <w:basedOn w:val="Fuentedeprrafopredeter"/>
    <w:link w:val="Encabezado"/>
    <w:uiPriority w:val="99"/>
    <w:rsid w:val="00FA6EF5"/>
    <w:rPr>
      <w:rFonts w:ascii="Times New Roman" w:eastAsia="Times New Roman" w:hAnsi="Times New Roman" w:cs="Times New Roman"/>
      <w:kern w:val="0"/>
      <w:sz w:val="20"/>
      <w:szCs w:val="20"/>
      <w:lang w:val="es-ES_tradnl" w:eastAsia="es-CR"/>
      <w14:ligatures w14:val="none"/>
    </w:rPr>
  </w:style>
  <w:style w:type="paragraph" w:styleId="Piedepgina">
    <w:name w:val="footer"/>
    <w:basedOn w:val="Normal"/>
    <w:link w:val="PiedepginaCar"/>
    <w:uiPriority w:val="99"/>
    <w:unhideWhenUsed/>
    <w:rsid w:val="0097201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72013"/>
  </w:style>
  <w:style w:type="paragraph" w:styleId="Textonotapie">
    <w:name w:val="footnote text"/>
    <w:basedOn w:val="Normal"/>
    <w:link w:val="TextonotapieCar"/>
    <w:uiPriority w:val="99"/>
    <w:rsid w:val="002E461E"/>
    <w:pPr>
      <w:spacing w:after="0" w:line="240" w:lineRule="auto"/>
    </w:pPr>
    <w:rPr>
      <w:rFonts w:ascii="Times New Roman" w:eastAsia="Times New Roman" w:hAnsi="Times New Roman" w:cs="Times New Roman"/>
      <w:kern w:val="0"/>
      <w:sz w:val="20"/>
      <w:szCs w:val="20"/>
      <w14:ligatures w14:val="none"/>
    </w:rPr>
  </w:style>
  <w:style w:type="character" w:customStyle="1" w:styleId="TextonotapieCar">
    <w:name w:val="Texto nota pie Car"/>
    <w:basedOn w:val="Fuentedeprrafopredeter"/>
    <w:link w:val="Textonotapie"/>
    <w:uiPriority w:val="99"/>
    <w:rsid w:val="002E461E"/>
    <w:rPr>
      <w:rFonts w:ascii="Times New Roman" w:eastAsia="Times New Roman" w:hAnsi="Times New Roman" w:cs="Times New Roman"/>
      <w:kern w:val="0"/>
      <w:sz w:val="20"/>
      <w:szCs w:val="20"/>
      <w14:ligatures w14:val="none"/>
    </w:rPr>
  </w:style>
  <w:style w:type="paragraph" w:styleId="Textodebloque">
    <w:name w:val="Block Text"/>
    <w:basedOn w:val="Normal"/>
    <w:rsid w:val="002E461E"/>
    <w:pPr>
      <w:pBdr>
        <w:top w:val="single" w:sz="4" w:space="1" w:color="auto"/>
        <w:left w:val="single" w:sz="4" w:space="4" w:color="auto"/>
        <w:bottom w:val="single" w:sz="4" w:space="1" w:color="auto"/>
        <w:right w:val="single" w:sz="4" w:space="4" w:color="auto"/>
      </w:pBdr>
      <w:shd w:val="clear" w:color="auto" w:fill="E6E6E6"/>
      <w:spacing w:after="0" w:line="240" w:lineRule="auto"/>
      <w:ind w:left="567" w:right="702"/>
      <w:jc w:val="center"/>
    </w:pPr>
    <w:rPr>
      <w:rFonts w:ascii="Arial" w:eastAsia="Times" w:hAnsi="Arial" w:cs="Times New Roman"/>
      <w:kern w:val="0"/>
      <w:sz w:val="20"/>
      <w:szCs w:val="20"/>
      <w:lang w:val="es-ES_tradnl" w:eastAsia="es-ES"/>
      <w14:ligatures w14:val="none"/>
    </w:rPr>
  </w:style>
  <w:style w:type="character" w:customStyle="1" w:styleId="Ttulo4Car">
    <w:name w:val="Título 4 Car"/>
    <w:basedOn w:val="Fuentedeprrafopredeter"/>
    <w:link w:val="Ttulo4"/>
    <w:uiPriority w:val="9"/>
    <w:rsid w:val="006C1373"/>
    <w:rPr>
      <w:rFonts w:ascii="Cambria" w:eastAsia="Times New Roman" w:hAnsi="Cambria" w:cs="Times New Roman"/>
      <w:b/>
      <w:bCs/>
      <w:kern w:val="0"/>
      <w:sz w:val="28"/>
      <w:szCs w:val="28"/>
      <w:lang w:val="es-ES_tradnl" w:eastAsia="es-CR"/>
      <w14:ligatures w14:val="none"/>
    </w:rPr>
  </w:style>
  <w:style w:type="character" w:customStyle="1" w:styleId="Ttulo5Car">
    <w:name w:val="Título 5 Car"/>
    <w:basedOn w:val="Fuentedeprrafopredeter"/>
    <w:link w:val="Ttulo5"/>
    <w:rsid w:val="006C1373"/>
    <w:rPr>
      <w:rFonts w:ascii="Arial" w:eastAsia="Times New Roman" w:hAnsi="Arial" w:cs="Arial"/>
      <w:b/>
      <w:color w:val="000000"/>
      <w:kern w:val="0"/>
      <w:sz w:val="32"/>
      <w:szCs w:val="24"/>
      <w:lang w:val="es-ES_tradnl" w:eastAsia="es-ES"/>
      <w14:ligatures w14:val="none"/>
    </w:rPr>
  </w:style>
  <w:style w:type="character" w:customStyle="1" w:styleId="Ttulo6Car">
    <w:name w:val="Título 6 Car"/>
    <w:basedOn w:val="Fuentedeprrafopredeter"/>
    <w:link w:val="Ttulo6"/>
    <w:rsid w:val="006C1373"/>
    <w:rPr>
      <w:rFonts w:ascii="Cambria" w:eastAsia="Times New Roman" w:hAnsi="Cambria" w:cs="Times New Roman"/>
      <w:b/>
      <w:bCs/>
      <w:kern w:val="0"/>
      <w:lang w:val="es-ES_tradnl" w:eastAsia="es-CR"/>
      <w14:ligatures w14:val="none"/>
    </w:rPr>
  </w:style>
  <w:style w:type="character" w:customStyle="1" w:styleId="Ttulo7Car">
    <w:name w:val="Título 7 Car"/>
    <w:basedOn w:val="Fuentedeprrafopredeter"/>
    <w:link w:val="Ttulo7"/>
    <w:rsid w:val="006C1373"/>
    <w:rPr>
      <w:rFonts w:ascii="Cambria" w:eastAsia="Times New Roman" w:hAnsi="Cambria" w:cs="Times New Roman"/>
      <w:kern w:val="0"/>
      <w:sz w:val="24"/>
      <w:szCs w:val="24"/>
      <w:lang w:val="es-ES_tradnl" w:eastAsia="es-CR"/>
      <w14:ligatures w14:val="none"/>
    </w:rPr>
  </w:style>
  <w:style w:type="character" w:customStyle="1" w:styleId="Ttulo8Car">
    <w:name w:val="Título 8 Car"/>
    <w:basedOn w:val="Fuentedeprrafopredeter"/>
    <w:link w:val="Ttulo8"/>
    <w:uiPriority w:val="9"/>
    <w:rsid w:val="006C1373"/>
    <w:rPr>
      <w:rFonts w:ascii="Cambria" w:eastAsia="Times New Roman" w:hAnsi="Cambria" w:cs="Times New Roman"/>
      <w:i/>
      <w:iCs/>
      <w:kern w:val="0"/>
      <w:sz w:val="24"/>
      <w:szCs w:val="24"/>
      <w:lang w:val="es-ES_tradnl" w:eastAsia="es-CR"/>
      <w14:ligatures w14:val="none"/>
    </w:rPr>
  </w:style>
  <w:style w:type="character" w:customStyle="1" w:styleId="Ttulo9Car">
    <w:name w:val="Título 9 Car"/>
    <w:basedOn w:val="Fuentedeprrafopredeter"/>
    <w:link w:val="Ttulo9"/>
    <w:uiPriority w:val="9"/>
    <w:rsid w:val="006C1373"/>
    <w:rPr>
      <w:rFonts w:ascii="Arial" w:eastAsia="Times New Roman" w:hAnsi="Arial" w:cs="Arial"/>
      <w:b/>
      <w:color w:val="000000"/>
      <w:kern w:val="0"/>
      <w:sz w:val="24"/>
      <w:szCs w:val="24"/>
      <w:lang w:eastAsia="es-ES"/>
      <w14:ligatures w14:val="none"/>
    </w:rPr>
  </w:style>
  <w:style w:type="character" w:customStyle="1" w:styleId="TextomacroCar">
    <w:name w:val="Texto macro Car"/>
    <w:basedOn w:val="Fuentedeprrafopredeter"/>
    <w:link w:val="Textomacro"/>
    <w:semiHidden/>
    <w:rsid w:val="006C1373"/>
    <w:rPr>
      <w:rFonts w:ascii="Times New Roman" w:eastAsia="Times New Roman" w:hAnsi="Times New Roman" w:cs="Times New Roman"/>
      <w:spacing w:val="-2"/>
      <w:sz w:val="24"/>
      <w:szCs w:val="20"/>
      <w:lang w:val="es-ES_tradnl" w:eastAsia="es-CR"/>
    </w:rPr>
  </w:style>
  <w:style w:type="paragraph" w:styleId="Textomacro">
    <w:name w:val="macro"/>
    <w:basedOn w:val="Normal"/>
    <w:link w:val="TextomacroCar"/>
    <w:semiHidden/>
    <w:unhideWhenUsed/>
    <w:rsid w:val="006C1373"/>
    <w:pPr>
      <w:widowControl w:val="0"/>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spacing w:before="60" w:after="0" w:line="240" w:lineRule="auto"/>
      <w:jc w:val="both"/>
    </w:pPr>
    <w:rPr>
      <w:rFonts w:ascii="Times New Roman" w:eastAsia="Times New Roman" w:hAnsi="Times New Roman" w:cs="Times New Roman"/>
      <w:spacing w:val="-2"/>
      <w:sz w:val="24"/>
      <w:szCs w:val="20"/>
      <w:lang w:val="es-ES_tradnl" w:eastAsia="es-CR"/>
    </w:rPr>
  </w:style>
  <w:style w:type="character" w:customStyle="1" w:styleId="TextomacroCar1">
    <w:name w:val="Texto macro Car1"/>
    <w:basedOn w:val="Fuentedeprrafopredeter"/>
    <w:uiPriority w:val="99"/>
    <w:semiHidden/>
    <w:rsid w:val="006C1373"/>
    <w:rPr>
      <w:rFonts w:ascii="Consolas" w:hAnsi="Consolas"/>
      <w:sz w:val="20"/>
      <w:szCs w:val="20"/>
    </w:rPr>
  </w:style>
  <w:style w:type="paragraph" w:customStyle="1" w:styleId="Author">
    <w:name w:val="Author"/>
    <w:basedOn w:val="Textoindependiente"/>
    <w:rsid w:val="006C1373"/>
    <w:pPr>
      <w:spacing w:before="60" w:after="0" w:line="480" w:lineRule="auto"/>
      <w:ind w:firstLine="720"/>
      <w:jc w:val="center"/>
    </w:pPr>
    <w:rPr>
      <w:spacing w:val="-2"/>
      <w:lang w:val="en-US"/>
    </w:rPr>
  </w:style>
  <w:style w:type="paragraph" w:customStyle="1" w:styleId="BlockQuotation">
    <w:name w:val="Block Quotation"/>
    <w:basedOn w:val="Textoindependiente"/>
    <w:rsid w:val="006C1373"/>
    <w:pPr>
      <w:keepLines/>
      <w:spacing w:before="60" w:after="160" w:line="480" w:lineRule="auto"/>
      <w:ind w:left="720" w:right="720" w:firstLine="720"/>
      <w:jc w:val="both"/>
    </w:pPr>
    <w:rPr>
      <w:spacing w:val="-2"/>
      <w:lang w:val="en-US"/>
    </w:rPr>
  </w:style>
  <w:style w:type="paragraph" w:customStyle="1" w:styleId="Bodynoindent">
    <w:name w:val="Body no indent"/>
    <w:basedOn w:val="Textoindependiente"/>
    <w:rsid w:val="006C1373"/>
    <w:pPr>
      <w:spacing w:before="60" w:after="0" w:line="480" w:lineRule="auto"/>
      <w:ind w:firstLine="720"/>
      <w:jc w:val="both"/>
    </w:pPr>
    <w:rPr>
      <w:spacing w:val="-2"/>
      <w:lang w:val="en-US"/>
    </w:rPr>
  </w:style>
  <w:style w:type="paragraph" w:customStyle="1" w:styleId="BodyTextKeep">
    <w:name w:val="Body Text Keep"/>
    <w:basedOn w:val="Textoindependiente"/>
    <w:rsid w:val="006C1373"/>
    <w:pPr>
      <w:keepNext/>
      <w:spacing w:before="60" w:after="0" w:line="480" w:lineRule="auto"/>
      <w:ind w:firstLine="720"/>
      <w:jc w:val="both"/>
    </w:pPr>
    <w:rPr>
      <w:spacing w:val="-2"/>
      <w:lang w:val="en-US"/>
    </w:rPr>
  </w:style>
  <w:style w:type="paragraph" w:customStyle="1" w:styleId="ChapterSubtitle">
    <w:name w:val="Chapter Subtitle"/>
    <w:basedOn w:val="Normal"/>
    <w:next w:val="Textoindependiente"/>
    <w:rsid w:val="006C1373"/>
    <w:pPr>
      <w:keepNext/>
      <w:keepLines/>
      <w:widowControl w:val="0"/>
      <w:overflowPunct w:val="0"/>
      <w:autoSpaceDE w:val="0"/>
      <w:autoSpaceDN w:val="0"/>
      <w:adjustRightInd w:val="0"/>
      <w:spacing w:before="60" w:after="280" w:line="240" w:lineRule="auto"/>
      <w:jc w:val="center"/>
    </w:pPr>
    <w:rPr>
      <w:rFonts w:ascii="Times New Roman" w:eastAsia="Times New Roman" w:hAnsi="Times New Roman" w:cs="Times New Roman"/>
      <w:spacing w:val="2"/>
      <w:kern w:val="28"/>
      <w:sz w:val="24"/>
      <w:szCs w:val="20"/>
      <w:lang w:val="en-US" w:eastAsia="es-CR"/>
      <w14:ligatures w14:val="none"/>
    </w:rPr>
  </w:style>
  <w:style w:type="paragraph" w:customStyle="1" w:styleId="ChapterTitle">
    <w:name w:val="Chapter Title"/>
    <w:basedOn w:val="Normal"/>
    <w:next w:val="ChapterSubtitle"/>
    <w:rsid w:val="006C1373"/>
    <w:pPr>
      <w:keepNext/>
      <w:keepLines/>
      <w:widowControl w:val="0"/>
      <w:overflowPunct w:val="0"/>
      <w:autoSpaceDE w:val="0"/>
      <w:autoSpaceDN w:val="0"/>
      <w:adjustRightInd w:val="0"/>
      <w:spacing w:before="560" w:after="560" w:line="240" w:lineRule="auto"/>
      <w:jc w:val="center"/>
    </w:pPr>
    <w:rPr>
      <w:rFonts w:ascii="Times New Roman" w:eastAsia="Times New Roman" w:hAnsi="Times New Roman" w:cs="Times New Roman"/>
      <w:caps/>
      <w:spacing w:val="2"/>
      <w:kern w:val="28"/>
      <w:sz w:val="24"/>
      <w:szCs w:val="20"/>
      <w:lang w:val="en-US" w:eastAsia="es-CR"/>
      <w14:ligatures w14:val="none"/>
    </w:rPr>
  </w:style>
  <w:style w:type="paragraph" w:customStyle="1" w:styleId="Fecha1">
    <w:name w:val="Fecha1"/>
    <w:basedOn w:val="Textoindependiente"/>
    <w:rsid w:val="006C1373"/>
    <w:pPr>
      <w:spacing w:before="60" w:after="560" w:line="480" w:lineRule="auto"/>
      <w:ind w:firstLine="720"/>
      <w:jc w:val="center"/>
    </w:pPr>
    <w:rPr>
      <w:spacing w:val="-2"/>
      <w:lang w:val="en-US"/>
    </w:rPr>
  </w:style>
  <w:style w:type="paragraph" w:customStyle="1" w:styleId="FooterEven">
    <w:name w:val="Footer Even"/>
    <w:basedOn w:val="Piedepgina"/>
    <w:rsid w:val="006C1373"/>
    <w:pPr>
      <w:keepLines/>
      <w:widowControl w:val="0"/>
      <w:tabs>
        <w:tab w:val="clear" w:pos="4419"/>
        <w:tab w:val="clear" w:pos="8838"/>
        <w:tab w:val="center" w:pos="4320"/>
      </w:tabs>
      <w:overflowPunct w:val="0"/>
      <w:autoSpaceDE w:val="0"/>
      <w:autoSpaceDN w:val="0"/>
      <w:adjustRightInd w:val="0"/>
      <w:spacing w:before="60"/>
      <w:jc w:val="center"/>
    </w:pPr>
    <w:rPr>
      <w:rFonts w:ascii="Times New Roman" w:eastAsia="Times New Roman" w:hAnsi="Times New Roman" w:cs="Times New Roman"/>
      <w:spacing w:val="-2"/>
      <w:kern w:val="0"/>
      <w:sz w:val="24"/>
      <w:szCs w:val="20"/>
      <w:lang w:val="en-US" w:eastAsia="es-CR"/>
      <w14:ligatures w14:val="none"/>
    </w:rPr>
  </w:style>
  <w:style w:type="paragraph" w:customStyle="1" w:styleId="FooterFirst">
    <w:name w:val="Footer First"/>
    <w:basedOn w:val="Piedepgina"/>
    <w:rsid w:val="006C1373"/>
    <w:pPr>
      <w:keepLines/>
      <w:widowControl w:val="0"/>
      <w:tabs>
        <w:tab w:val="clear" w:pos="4419"/>
        <w:tab w:val="clear" w:pos="8838"/>
        <w:tab w:val="center" w:pos="4320"/>
      </w:tabs>
      <w:overflowPunct w:val="0"/>
      <w:autoSpaceDE w:val="0"/>
      <w:autoSpaceDN w:val="0"/>
      <w:adjustRightInd w:val="0"/>
      <w:spacing w:before="60"/>
      <w:jc w:val="center"/>
    </w:pPr>
    <w:rPr>
      <w:rFonts w:ascii="Times New Roman" w:eastAsia="Times New Roman" w:hAnsi="Times New Roman" w:cs="Times New Roman"/>
      <w:spacing w:val="-2"/>
      <w:kern w:val="0"/>
      <w:sz w:val="24"/>
      <w:szCs w:val="20"/>
      <w:lang w:val="en-US" w:eastAsia="es-CR"/>
      <w14:ligatures w14:val="none"/>
    </w:rPr>
  </w:style>
  <w:style w:type="paragraph" w:customStyle="1" w:styleId="FooterOdd">
    <w:name w:val="Footer Odd"/>
    <w:basedOn w:val="Piedepgina"/>
    <w:rsid w:val="006C1373"/>
    <w:pPr>
      <w:keepLines/>
      <w:widowControl w:val="0"/>
      <w:tabs>
        <w:tab w:val="clear" w:pos="4419"/>
        <w:tab w:val="clear" w:pos="8838"/>
        <w:tab w:val="right" w:pos="0"/>
        <w:tab w:val="center" w:pos="4320"/>
      </w:tabs>
      <w:overflowPunct w:val="0"/>
      <w:autoSpaceDE w:val="0"/>
      <w:autoSpaceDN w:val="0"/>
      <w:adjustRightInd w:val="0"/>
      <w:spacing w:before="60"/>
      <w:jc w:val="center"/>
    </w:pPr>
    <w:rPr>
      <w:rFonts w:ascii="Times New Roman" w:eastAsia="Times New Roman" w:hAnsi="Times New Roman" w:cs="Times New Roman"/>
      <w:spacing w:val="-2"/>
      <w:kern w:val="0"/>
      <w:sz w:val="24"/>
      <w:szCs w:val="20"/>
      <w:lang w:val="en-US" w:eastAsia="es-CR"/>
      <w14:ligatures w14:val="none"/>
    </w:rPr>
  </w:style>
  <w:style w:type="paragraph" w:customStyle="1" w:styleId="FootnoteBase">
    <w:name w:val="Footnote Base"/>
    <w:basedOn w:val="Normal"/>
    <w:rsid w:val="006C1373"/>
    <w:pPr>
      <w:widowControl w:val="0"/>
      <w:tabs>
        <w:tab w:val="left" w:pos="187"/>
      </w:tabs>
      <w:overflowPunct w:val="0"/>
      <w:autoSpaceDE w:val="0"/>
      <w:autoSpaceDN w:val="0"/>
      <w:adjustRightInd w:val="0"/>
      <w:spacing w:before="60" w:after="0" w:line="220" w:lineRule="exact"/>
      <w:ind w:left="187" w:hanging="187"/>
      <w:jc w:val="both"/>
    </w:pPr>
    <w:rPr>
      <w:rFonts w:ascii="Times New Roman" w:eastAsia="Times New Roman" w:hAnsi="Times New Roman" w:cs="Times New Roman"/>
      <w:spacing w:val="-2"/>
      <w:kern w:val="0"/>
      <w:sz w:val="18"/>
      <w:szCs w:val="20"/>
      <w:lang w:val="en-US" w:eastAsia="es-CR"/>
      <w14:ligatures w14:val="none"/>
    </w:rPr>
  </w:style>
  <w:style w:type="paragraph" w:customStyle="1" w:styleId="GlossaryDefinition">
    <w:name w:val="Glossary Definition"/>
    <w:basedOn w:val="Textoindependiente"/>
    <w:rsid w:val="006C1373"/>
    <w:pPr>
      <w:spacing w:before="60" w:after="0"/>
      <w:ind w:firstLine="720"/>
      <w:jc w:val="both"/>
    </w:pPr>
    <w:rPr>
      <w:spacing w:val="-2"/>
      <w:lang w:val="en-US"/>
    </w:rPr>
  </w:style>
  <w:style w:type="paragraph" w:customStyle="1" w:styleId="HeaderBase">
    <w:name w:val="Header Base"/>
    <w:basedOn w:val="Normal"/>
    <w:rsid w:val="006C1373"/>
    <w:pPr>
      <w:keepLines/>
      <w:widowControl w:val="0"/>
      <w:tabs>
        <w:tab w:val="center" w:pos="4320"/>
      </w:tabs>
      <w:overflowPunct w:val="0"/>
      <w:autoSpaceDE w:val="0"/>
      <w:autoSpaceDN w:val="0"/>
      <w:adjustRightInd w:val="0"/>
      <w:spacing w:before="60" w:after="0" w:line="240" w:lineRule="auto"/>
      <w:jc w:val="center"/>
    </w:pPr>
    <w:rPr>
      <w:rFonts w:ascii="Times New Roman" w:eastAsia="Times New Roman" w:hAnsi="Times New Roman" w:cs="Times New Roman"/>
      <w:spacing w:val="-2"/>
      <w:kern w:val="0"/>
      <w:sz w:val="24"/>
      <w:szCs w:val="20"/>
      <w:lang w:val="en-US" w:eastAsia="es-CR"/>
      <w14:ligatures w14:val="none"/>
    </w:rPr>
  </w:style>
  <w:style w:type="paragraph" w:customStyle="1" w:styleId="HeaderEven">
    <w:name w:val="Header Even"/>
    <w:basedOn w:val="Encabezado"/>
    <w:rsid w:val="006C1373"/>
    <w:pPr>
      <w:keepLines/>
      <w:tabs>
        <w:tab w:val="clear" w:pos="8640"/>
      </w:tabs>
    </w:pPr>
    <w:rPr>
      <w:b/>
      <w:spacing w:val="-2"/>
    </w:rPr>
  </w:style>
  <w:style w:type="paragraph" w:customStyle="1" w:styleId="HeaderFirst">
    <w:name w:val="Header First"/>
    <w:basedOn w:val="Encabezado"/>
    <w:rsid w:val="006C1373"/>
    <w:pPr>
      <w:keepLines/>
      <w:tabs>
        <w:tab w:val="clear" w:pos="8640"/>
      </w:tabs>
    </w:pPr>
    <w:rPr>
      <w:b/>
      <w:spacing w:val="-2"/>
    </w:rPr>
  </w:style>
  <w:style w:type="paragraph" w:customStyle="1" w:styleId="HeaderOdd">
    <w:name w:val="Header Odd"/>
    <w:basedOn w:val="Encabezado"/>
    <w:rsid w:val="006C1373"/>
    <w:pPr>
      <w:keepLines/>
      <w:tabs>
        <w:tab w:val="clear" w:pos="8640"/>
        <w:tab w:val="right" w:pos="0"/>
      </w:tabs>
    </w:pPr>
    <w:rPr>
      <w:b/>
      <w:spacing w:val="-2"/>
    </w:rPr>
  </w:style>
  <w:style w:type="paragraph" w:customStyle="1" w:styleId="HeadingBase">
    <w:name w:val="Heading Base"/>
    <w:basedOn w:val="Normal"/>
    <w:next w:val="Textoindependiente"/>
    <w:rsid w:val="006C1373"/>
    <w:pPr>
      <w:keepNext/>
      <w:keepLines/>
      <w:widowControl w:val="0"/>
      <w:overflowPunct w:val="0"/>
      <w:autoSpaceDE w:val="0"/>
      <w:autoSpaceDN w:val="0"/>
      <w:adjustRightInd w:val="0"/>
      <w:spacing w:before="60" w:after="0" w:line="360" w:lineRule="auto"/>
      <w:jc w:val="both"/>
    </w:pPr>
    <w:rPr>
      <w:rFonts w:ascii="Times New Roman" w:eastAsia="Times New Roman" w:hAnsi="Times New Roman" w:cs="Times New Roman"/>
      <w:b/>
      <w:spacing w:val="-2"/>
      <w:kern w:val="28"/>
      <w:sz w:val="24"/>
      <w:szCs w:val="20"/>
      <w:lang w:val="en-US" w:eastAsia="es-CR"/>
      <w14:ligatures w14:val="none"/>
    </w:rPr>
  </w:style>
  <w:style w:type="paragraph" w:customStyle="1" w:styleId="IndexBase">
    <w:name w:val="Index Base"/>
    <w:basedOn w:val="Normal"/>
    <w:rsid w:val="006C1373"/>
    <w:pPr>
      <w:widowControl w:val="0"/>
      <w:tabs>
        <w:tab w:val="right" w:leader="dot" w:pos="3960"/>
      </w:tabs>
      <w:overflowPunct w:val="0"/>
      <w:autoSpaceDE w:val="0"/>
      <w:autoSpaceDN w:val="0"/>
      <w:adjustRightInd w:val="0"/>
      <w:spacing w:before="60" w:after="0" w:line="240" w:lineRule="auto"/>
      <w:ind w:left="720" w:hanging="720"/>
      <w:jc w:val="both"/>
    </w:pPr>
    <w:rPr>
      <w:rFonts w:ascii="Times New Roman" w:eastAsia="Times New Roman" w:hAnsi="Times New Roman" w:cs="Times New Roman"/>
      <w:spacing w:val="-2"/>
      <w:kern w:val="0"/>
      <w:sz w:val="20"/>
      <w:szCs w:val="20"/>
      <w:lang w:val="en-US" w:eastAsia="es-CR"/>
      <w14:ligatures w14:val="none"/>
    </w:rPr>
  </w:style>
  <w:style w:type="paragraph" w:customStyle="1" w:styleId="Name">
    <w:name w:val="Name"/>
    <w:basedOn w:val="Textoindependiente"/>
    <w:rsid w:val="006C1373"/>
    <w:pPr>
      <w:spacing w:before="60" w:after="0" w:line="480" w:lineRule="auto"/>
      <w:ind w:firstLine="720"/>
      <w:jc w:val="center"/>
    </w:pPr>
    <w:rPr>
      <w:spacing w:val="-2"/>
      <w:lang w:val="en-US"/>
    </w:rPr>
  </w:style>
  <w:style w:type="paragraph" w:customStyle="1" w:styleId="Picture">
    <w:name w:val="Picture"/>
    <w:basedOn w:val="Textoindependiente"/>
    <w:next w:val="Descripcin"/>
    <w:rsid w:val="006C1373"/>
    <w:pPr>
      <w:keepNext/>
      <w:spacing w:before="60" w:after="0"/>
      <w:ind w:firstLine="720"/>
      <w:jc w:val="center"/>
    </w:pPr>
    <w:rPr>
      <w:spacing w:val="-2"/>
      <w:lang w:val="en-US"/>
    </w:rPr>
  </w:style>
  <w:style w:type="paragraph" w:styleId="Descripcin">
    <w:name w:val="caption"/>
    <w:basedOn w:val="Normal"/>
    <w:next w:val="Textoindependiente"/>
    <w:uiPriority w:val="35"/>
    <w:unhideWhenUsed/>
    <w:qFormat/>
    <w:rsid w:val="006C1373"/>
    <w:pPr>
      <w:widowControl w:val="0"/>
      <w:overflowPunct w:val="0"/>
      <w:autoSpaceDE w:val="0"/>
      <w:autoSpaceDN w:val="0"/>
      <w:adjustRightInd w:val="0"/>
      <w:spacing w:before="60" w:after="0" w:line="240" w:lineRule="auto"/>
      <w:ind w:right="144"/>
    </w:pPr>
    <w:rPr>
      <w:rFonts w:ascii="Times New Roman" w:eastAsia="Times New Roman" w:hAnsi="Times New Roman" w:cs="Times New Roman"/>
      <w:b/>
      <w:spacing w:val="-2"/>
      <w:kern w:val="0"/>
      <w:sz w:val="24"/>
      <w:szCs w:val="20"/>
      <w:lang w:val="es-ES_tradnl" w:eastAsia="es-CR"/>
      <w14:ligatures w14:val="none"/>
    </w:rPr>
  </w:style>
  <w:style w:type="paragraph" w:customStyle="1" w:styleId="SectionLabel">
    <w:name w:val="Section Label"/>
    <w:basedOn w:val="HeadingBase"/>
    <w:next w:val="Textoindependiente"/>
    <w:rsid w:val="006C1373"/>
    <w:pPr>
      <w:pageBreakBefore/>
      <w:spacing w:after="700"/>
      <w:jc w:val="center"/>
    </w:pPr>
    <w:rPr>
      <w:b w:val="0"/>
      <w:caps/>
      <w:spacing w:val="10"/>
    </w:rPr>
  </w:style>
  <w:style w:type="paragraph" w:customStyle="1" w:styleId="SubtitleCover">
    <w:name w:val="Subtitle Cover"/>
    <w:basedOn w:val="Normal"/>
    <w:next w:val="Textoindependiente"/>
    <w:rsid w:val="006C1373"/>
    <w:pPr>
      <w:keepNext/>
      <w:widowControl w:val="0"/>
      <w:overflowPunct w:val="0"/>
      <w:autoSpaceDE w:val="0"/>
      <w:autoSpaceDN w:val="0"/>
      <w:adjustRightInd w:val="0"/>
      <w:spacing w:before="60" w:after="560" w:line="240" w:lineRule="auto"/>
      <w:ind w:left="1800" w:right="1800"/>
      <w:jc w:val="center"/>
    </w:pPr>
    <w:rPr>
      <w:rFonts w:ascii="Times New Roman" w:eastAsia="Times New Roman" w:hAnsi="Times New Roman" w:cs="Times New Roman"/>
      <w:spacing w:val="-2"/>
      <w:kern w:val="0"/>
      <w:sz w:val="24"/>
      <w:szCs w:val="20"/>
      <w:lang w:val="es-ES_tradnl" w:eastAsia="es-CR"/>
      <w14:ligatures w14:val="none"/>
    </w:rPr>
  </w:style>
  <w:style w:type="paragraph" w:customStyle="1" w:styleId="TitleCover">
    <w:name w:val="Title Cover"/>
    <w:basedOn w:val="HeadingBase"/>
    <w:next w:val="SubtitleCover"/>
    <w:rsid w:val="006C1373"/>
    <w:pPr>
      <w:spacing w:before="780" w:after="420" w:line="240" w:lineRule="auto"/>
      <w:ind w:left="1920" w:right="1920"/>
      <w:jc w:val="center"/>
    </w:pPr>
    <w:rPr>
      <w:b w:val="0"/>
      <w:caps/>
      <w:spacing w:val="5"/>
    </w:rPr>
  </w:style>
  <w:style w:type="paragraph" w:customStyle="1" w:styleId="TOCBase">
    <w:name w:val="TOC Base"/>
    <w:basedOn w:val="Normal"/>
    <w:rsid w:val="006C1373"/>
    <w:pPr>
      <w:widowControl w:val="0"/>
      <w:tabs>
        <w:tab w:val="right" w:leader="dot" w:pos="8640"/>
      </w:tabs>
      <w:overflowPunct w:val="0"/>
      <w:autoSpaceDE w:val="0"/>
      <w:autoSpaceDN w:val="0"/>
      <w:adjustRightInd w:val="0"/>
      <w:spacing w:before="60" w:after="0" w:line="240" w:lineRule="auto"/>
      <w:jc w:val="both"/>
    </w:pPr>
    <w:rPr>
      <w:rFonts w:ascii="Times New Roman" w:eastAsia="Times New Roman" w:hAnsi="Times New Roman" w:cs="Times New Roman"/>
      <w:spacing w:val="-2"/>
      <w:kern w:val="0"/>
      <w:sz w:val="24"/>
      <w:szCs w:val="20"/>
      <w:lang w:val="es-ES_tradnl" w:eastAsia="es-CR"/>
      <w14:ligatures w14:val="none"/>
    </w:rPr>
  </w:style>
  <w:style w:type="paragraph" w:customStyle="1" w:styleId="Normalcontenido1">
    <w:name w:val="Normal contenido1"/>
    <w:basedOn w:val="Normalcontenido"/>
    <w:rsid w:val="006C1373"/>
    <w:pPr>
      <w:ind w:left="1728"/>
    </w:pPr>
  </w:style>
  <w:style w:type="character" w:customStyle="1" w:styleId="nfasis1">
    <w:name w:val="Énfasis1"/>
    <w:rsid w:val="006C1373"/>
    <w:rPr>
      <w:i/>
      <w:iCs w:val="0"/>
    </w:rPr>
  </w:style>
  <w:style w:type="character" w:customStyle="1" w:styleId="GlossaryEntry">
    <w:name w:val="Glossary Entry"/>
    <w:rsid w:val="006C1373"/>
    <w:rPr>
      <w:b/>
      <w:bCs w:val="0"/>
    </w:rPr>
  </w:style>
  <w:style w:type="character" w:customStyle="1" w:styleId="Lead-inEmphasis">
    <w:name w:val="Lead-in Emphasis"/>
    <w:rsid w:val="006C1373"/>
    <w:rPr>
      <w:caps/>
      <w:spacing w:val="0"/>
    </w:rPr>
  </w:style>
  <w:style w:type="character" w:customStyle="1" w:styleId="Superscript">
    <w:name w:val="Superscript"/>
    <w:rsid w:val="006C1373"/>
    <w:rPr>
      <w:vertAlign w:val="superscript"/>
    </w:rPr>
  </w:style>
  <w:style w:type="paragraph" w:styleId="Bibliografa">
    <w:name w:val="Bibliography"/>
    <w:basedOn w:val="Normal"/>
    <w:next w:val="Normal"/>
    <w:uiPriority w:val="99"/>
    <w:unhideWhenUsed/>
    <w:rsid w:val="006C1373"/>
    <w:pPr>
      <w:widowControl w:val="0"/>
      <w:overflowPunct w:val="0"/>
      <w:autoSpaceDE w:val="0"/>
      <w:autoSpaceDN w:val="0"/>
      <w:adjustRightInd w:val="0"/>
      <w:spacing w:before="120" w:after="0" w:line="240" w:lineRule="auto"/>
    </w:pPr>
    <w:rPr>
      <w:rFonts w:ascii="Times New Roman" w:eastAsia="Times New Roman" w:hAnsi="Times New Roman" w:cs="Times New Roman"/>
      <w:kern w:val="0"/>
      <w:sz w:val="24"/>
      <w:szCs w:val="20"/>
      <w:lang w:val="es-ES_tradnl" w:eastAsia="es-CR"/>
      <w14:ligatures w14:val="none"/>
    </w:rPr>
  </w:style>
  <w:style w:type="paragraph" w:styleId="Subttulo">
    <w:name w:val="Subtitle"/>
    <w:basedOn w:val="Normal"/>
    <w:next w:val="Textoindependiente"/>
    <w:link w:val="SubttuloCar"/>
    <w:qFormat/>
    <w:rsid w:val="006C1373"/>
    <w:pPr>
      <w:suppressAutoHyphens/>
      <w:spacing w:after="0" w:line="240" w:lineRule="auto"/>
      <w:jc w:val="center"/>
    </w:pPr>
    <w:rPr>
      <w:rFonts w:ascii="Arial" w:eastAsia="Times New Roman" w:hAnsi="Arial" w:cs="Times New Roman"/>
      <w:b/>
      <w:i/>
      <w:kern w:val="0"/>
      <w:sz w:val="24"/>
      <w:szCs w:val="20"/>
      <w:lang w:val="es-ES_tradnl" w:eastAsia="es-CR"/>
      <w14:ligatures w14:val="none"/>
    </w:rPr>
  </w:style>
  <w:style w:type="character" w:customStyle="1" w:styleId="SubttuloCar">
    <w:name w:val="Subtítulo Car"/>
    <w:basedOn w:val="Fuentedeprrafopredeter"/>
    <w:link w:val="Subttulo"/>
    <w:rsid w:val="006C1373"/>
    <w:rPr>
      <w:rFonts w:ascii="Arial" w:eastAsia="Times New Roman" w:hAnsi="Arial" w:cs="Times New Roman"/>
      <w:b/>
      <w:i/>
      <w:kern w:val="0"/>
      <w:sz w:val="24"/>
      <w:szCs w:val="20"/>
      <w:lang w:val="es-ES_tradnl" w:eastAsia="es-CR"/>
      <w14:ligatures w14:val="none"/>
    </w:rPr>
  </w:style>
  <w:style w:type="paragraph" w:styleId="Listaconnmeros">
    <w:name w:val="List Number"/>
    <w:basedOn w:val="Normal"/>
    <w:semiHidden/>
    <w:rsid w:val="006C1373"/>
    <w:pPr>
      <w:numPr>
        <w:numId w:val="50"/>
      </w:numPr>
      <w:spacing w:before="120" w:after="0" w:line="240" w:lineRule="auto"/>
    </w:pPr>
    <w:rPr>
      <w:rFonts w:ascii="Times New Roman" w:eastAsia="Times New Roman" w:hAnsi="Times New Roman" w:cs="Times New Roman"/>
      <w:kern w:val="0"/>
      <w:sz w:val="28"/>
      <w:szCs w:val="20"/>
      <w:lang w:eastAsia="es-CR"/>
      <w14:ligatures w14:val="none"/>
    </w:rPr>
  </w:style>
  <w:style w:type="paragraph" w:styleId="Sangradetextonormal">
    <w:name w:val="Body Text Indent"/>
    <w:basedOn w:val="Normal"/>
    <w:link w:val="SangradetextonormalCar"/>
    <w:semiHidden/>
    <w:unhideWhenUsed/>
    <w:rsid w:val="006C1373"/>
    <w:pPr>
      <w:widowControl w:val="0"/>
      <w:overflowPunct w:val="0"/>
      <w:autoSpaceDE w:val="0"/>
      <w:autoSpaceDN w:val="0"/>
      <w:adjustRightInd w:val="0"/>
      <w:spacing w:before="120" w:after="120" w:line="240" w:lineRule="auto"/>
      <w:ind w:left="283"/>
    </w:pPr>
    <w:rPr>
      <w:rFonts w:ascii="Times New Roman" w:eastAsia="Times New Roman" w:hAnsi="Times New Roman" w:cs="Times New Roman"/>
      <w:kern w:val="0"/>
      <w:sz w:val="24"/>
      <w:szCs w:val="20"/>
      <w:lang w:val="es-ES_tradnl" w:eastAsia="es-CR"/>
      <w14:ligatures w14:val="none"/>
    </w:rPr>
  </w:style>
  <w:style w:type="character" w:customStyle="1" w:styleId="SangradetextonormalCar">
    <w:name w:val="Sangría de texto normal Car"/>
    <w:basedOn w:val="Fuentedeprrafopredeter"/>
    <w:link w:val="Sangradetextonormal"/>
    <w:semiHidden/>
    <w:rsid w:val="006C1373"/>
    <w:rPr>
      <w:rFonts w:ascii="Times New Roman" w:eastAsia="Times New Roman" w:hAnsi="Times New Roman" w:cs="Times New Roman"/>
      <w:kern w:val="0"/>
      <w:sz w:val="24"/>
      <w:szCs w:val="20"/>
      <w:lang w:val="es-ES_tradnl" w:eastAsia="es-CR"/>
      <w14:ligatures w14:val="none"/>
    </w:rPr>
  </w:style>
  <w:style w:type="paragraph" w:styleId="Textoindependiente2">
    <w:name w:val="Body Text 2"/>
    <w:basedOn w:val="Normal"/>
    <w:link w:val="Textoindependiente2Car"/>
    <w:uiPriority w:val="99"/>
    <w:unhideWhenUsed/>
    <w:rsid w:val="006C1373"/>
    <w:pPr>
      <w:widowControl w:val="0"/>
      <w:overflowPunct w:val="0"/>
      <w:autoSpaceDE w:val="0"/>
      <w:autoSpaceDN w:val="0"/>
      <w:adjustRightInd w:val="0"/>
      <w:spacing w:before="120" w:after="120" w:line="480" w:lineRule="auto"/>
    </w:pPr>
    <w:rPr>
      <w:rFonts w:ascii="Times New Roman" w:eastAsia="Times New Roman" w:hAnsi="Times New Roman" w:cs="Times New Roman"/>
      <w:kern w:val="0"/>
      <w:sz w:val="24"/>
      <w:szCs w:val="20"/>
      <w:lang w:val="es-ES_tradnl" w:eastAsia="es-CR"/>
      <w14:ligatures w14:val="none"/>
    </w:rPr>
  </w:style>
  <w:style w:type="character" w:customStyle="1" w:styleId="Textoindependiente2Car">
    <w:name w:val="Texto independiente 2 Car"/>
    <w:basedOn w:val="Fuentedeprrafopredeter"/>
    <w:link w:val="Textoindependiente2"/>
    <w:uiPriority w:val="99"/>
    <w:rsid w:val="006C1373"/>
    <w:rPr>
      <w:rFonts w:ascii="Times New Roman" w:eastAsia="Times New Roman" w:hAnsi="Times New Roman" w:cs="Times New Roman"/>
      <w:kern w:val="0"/>
      <w:sz w:val="24"/>
      <w:szCs w:val="20"/>
      <w:lang w:val="es-ES_tradnl" w:eastAsia="es-CR"/>
      <w14:ligatures w14:val="none"/>
    </w:rPr>
  </w:style>
  <w:style w:type="character" w:styleId="nfasis">
    <w:name w:val="Emphasis"/>
    <w:basedOn w:val="Fuentedeprrafopredeter"/>
    <w:uiPriority w:val="20"/>
    <w:qFormat/>
    <w:rsid w:val="006C1373"/>
    <w:rPr>
      <w:rFonts w:cs="Times New Roman"/>
      <w:i/>
    </w:rPr>
  </w:style>
  <w:style w:type="character" w:customStyle="1" w:styleId="Normal1">
    <w:name w:val="Normal1"/>
    <w:basedOn w:val="Fuentedeprrafopredeter"/>
    <w:uiPriority w:val="99"/>
    <w:rsid w:val="006C1373"/>
    <w:rPr>
      <w:rFonts w:cs="Times New Roman"/>
    </w:rPr>
  </w:style>
  <w:style w:type="paragraph" w:styleId="Sinespaciado">
    <w:name w:val="No Spacing"/>
    <w:uiPriority w:val="1"/>
    <w:qFormat/>
    <w:rsid w:val="006C1373"/>
    <w:pPr>
      <w:spacing w:after="0" w:line="240" w:lineRule="auto"/>
    </w:pPr>
    <w:rPr>
      <w:rFonts w:ascii="Calibri" w:eastAsia="Calibri" w:hAnsi="Calibri" w:cs="Times New Roman"/>
      <w:kern w:val="0"/>
      <w14:ligatures w14:val="none"/>
    </w:rPr>
  </w:style>
  <w:style w:type="paragraph" w:styleId="Sangra2detindependiente">
    <w:name w:val="Body Text Indent 2"/>
    <w:basedOn w:val="Normal"/>
    <w:link w:val="Sangra2detindependienteCar"/>
    <w:uiPriority w:val="99"/>
    <w:unhideWhenUsed/>
    <w:rsid w:val="006C1373"/>
    <w:pPr>
      <w:widowControl w:val="0"/>
      <w:overflowPunct w:val="0"/>
      <w:autoSpaceDE w:val="0"/>
      <w:autoSpaceDN w:val="0"/>
      <w:adjustRightInd w:val="0"/>
      <w:spacing w:before="120" w:after="120" w:line="480" w:lineRule="auto"/>
      <w:ind w:left="283"/>
    </w:pPr>
    <w:rPr>
      <w:rFonts w:ascii="Times New Roman" w:eastAsia="Times New Roman" w:hAnsi="Times New Roman" w:cs="Times New Roman"/>
      <w:kern w:val="0"/>
      <w:sz w:val="24"/>
      <w:szCs w:val="20"/>
      <w:lang w:val="es-ES_tradnl" w:eastAsia="es-CR"/>
      <w14:ligatures w14:val="none"/>
    </w:rPr>
  </w:style>
  <w:style w:type="character" w:customStyle="1" w:styleId="Sangra2detindependienteCar">
    <w:name w:val="Sangría 2 de t. independiente Car"/>
    <w:basedOn w:val="Fuentedeprrafopredeter"/>
    <w:link w:val="Sangra2detindependiente"/>
    <w:uiPriority w:val="99"/>
    <w:rsid w:val="006C1373"/>
    <w:rPr>
      <w:rFonts w:ascii="Times New Roman" w:eastAsia="Times New Roman" w:hAnsi="Times New Roman" w:cs="Times New Roman"/>
      <w:kern w:val="0"/>
      <w:sz w:val="24"/>
      <w:szCs w:val="20"/>
      <w:lang w:val="es-ES_tradnl" w:eastAsia="es-CR"/>
      <w14:ligatures w14:val="none"/>
    </w:rPr>
  </w:style>
  <w:style w:type="paragraph" w:customStyle="1" w:styleId="H2">
    <w:name w:val="H2"/>
    <w:basedOn w:val="Normal"/>
    <w:next w:val="Normal"/>
    <w:rsid w:val="006C1373"/>
    <w:pPr>
      <w:keepNext/>
      <w:widowControl w:val="0"/>
      <w:spacing w:before="100" w:after="100" w:line="240" w:lineRule="auto"/>
      <w:outlineLvl w:val="2"/>
    </w:pPr>
    <w:rPr>
      <w:rFonts w:ascii="Times New Roman" w:eastAsia="Times New Roman" w:hAnsi="Times New Roman" w:cs="Times New Roman"/>
      <w:b/>
      <w:snapToGrid w:val="0"/>
      <w:kern w:val="0"/>
      <w:sz w:val="36"/>
      <w:szCs w:val="20"/>
      <w:lang w:val="en-US"/>
      <w14:ligatures w14:val="none"/>
    </w:rPr>
  </w:style>
  <w:style w:type="character" w:styleId="Refdenotaalpie">
    <w:name w:val="footnote reference"/>
    <w:semiHidden/>
    <w:unhideWhenUsed/>
    <w:rsid w:val="006C1373"/>
    <w:rPr>
      <w:vertAlign w:val="superscript"/>
    </w:rPr>
  </w:style>
  <w:style w:type="paragraph" w:customStyle="1" w:styleId="ListParagraph1">
    <w:name w:val="List Paragraph1"/>
    <w:basedOn w:val="Normal"/>
    <w:uiPriority w:val="99"/>
    <w:qFormat/>
    <w:rsid w:val="006C1373"/>
    <w:pPr>
      <w:spacing w:after="200" w:line="276" w:lineRule="auto"/>
      <w:ind w:left="720"/>
      <w:contextualSpacing/>
    </w:pPr>
    <w:rPr>
      <w:rFonts w:ascii="Calibri" w:eastAsia="Calibri" w:hAnsi="Calibri" w:cs="Times New Roman"/>
      <w:kern w:val="0"/>
      <w14:ligatures w14:val="none"/>
    </w:rPr>
  </w:style>
  <w:style w:type="paragraph" w:styleId="Textosinformato">
    <w:name w:val="Plain Text"/>
    <w:basedOn w:val="Normal"/>
    <w:link w:val="TextosinformatoCar"/>
    <w:rsid w:val="006C1373"/>
    <w:pPr>
      <w:spacing w:after="0" w:line="240" w:lineRule="auto"/>
    </w:pPr>
    <w:rPr>
      <w:rFonts w:ascii="Courier New" w:eastAsia="Times New Roman" w:hAnsi="Courier New" w:cs="Times New Roman"/>
      <w:kern w:val="0"/>
      <w:sz w:val="20"/>
      <w:szCs w:val="20"/>
      <w:lang w:val="es-ES_tradnl"/>
      <w14:ligatures w14:val="none"/>
    </w:rPr>
  </w:style>
  <w:style w:type="character" w:customStyle="1" w:styleId="TextosinformatoCar">
    <w:name w:val="Texto sin formato Car"/>
    <w:basedOn w:val="Fuentedeprrafopredeter"/>
    <w:link w:val="Textosinformato"/>
    <w:rsid w:val="006C1373"/>
    <w:rPr>
      <w:rFonts w:ascii="Courier New" w:eastAsia="Times New Roman" w:hAnsi="Courier New" w:cs="Times New Roman"/>
      <w:kern w:val="0"/>
      <w:sz w:val="20"/>
      <w:szCs w:val="20"/>
      <w:lang w:val="es-ES_tradnl"/>
      <w14:ligatures w14:val="none"/>
    </w:rPr>
  </w:style>
  <w:style w:type="paragraph" w:styleId="NormalWeb">
    <w:name w:val="Normal (Web)"/>
    <w:basedOn w:val="Normal"/>
    <w:uiPriority w:val="99"/>
    <w:rsid w:val="006C1373"/>
    <w:pPr>
      <w:spacing w:before="100" w:after="100" w:line="240" w:lineRule="auto"/>
    </w:pPr>
    <w:rPr>
      <w:rFonts w:ascii="Arial Unicode MS" w:eastAsia="Arial Unicode MS" w:hAnsi="Arial Unicode MS" w:cs="Times New Roman"/>
      <w:color w:val="000000"/>
      <w:kern w:val="0"/>
      <w:sz w:val="24"/>
      <w:szCs w:val="20"/>
      <w:lang w:val="en-US"/>
      <w14:ligatures w14:val="none"/>
    </w:rPr>
  </w:style>
  <w:style w:type="paragraph" w:customStyle="1" w:styleId="Notaalpie">
    <w:name w:val="Nota al pie"/>
    <w:basedOn w:val="Normal"/>
    <w:rsid w:val="006C1373"/>
    <w:pPr>
      <w:spacing w:after="0" w:line="240" w:lineRule="auto"/>
      <w:ind w:left="283" w:hanging="283"/>
    </w:pPr>
    <w:rPr>
      <w:rFonts w:ascii="Times" w:eastAsia="Times New Roman" w:hAnsi="Times" w:cs="Times New Roman"/>
      <w:kern w:val="0"/>
      <w:sz w:val="20"/>
      <w:szCs w:val="20"/>
      <w:lang w:val="en-US"/>
      <w14:ligatures w14:val="none"/>
    </w:rPr>
  </w:style>
  <w:style w:type="paragraph" w:styleId="Textoindependiente3">
    <w:name w:val="Body Text 3"/>
    <w:basedOn w:val="Normal"/>
    <w:link w:val="Textoindependiente3Car"/>
    <w:uiPriority w:val="99"/>
    <w:rsid w:val="006C1373"/>
    <w:pPr>
      <w:widowControl w:val="0"/>
      <w:overflowPunct w:val="0"/>
      <w:autoSpaceDE w:val="0"/>
      <w:autoSpaceDN w:val="0"/>
      <w:adjustRightInd w:val="0"/>
      <w:spacing w:before="120" w:after="120" w:line="240" w:lineRule="auto"/>
    </w:pPr>
    <w:rPr>
      <w:rFonts w:ascii="Times New Roman" w:eastAsia="Times New Roman" w:hAnsi="Times New Roman" w:cs="Times New Roman"/>
      <w:kern w:val="0"/>
      <w:sz w:val="16"/>
      <w:szCs w:val="16"/>
      <w:lang w:val="es-ES_tradnl" w:eastAsia="es-CR"/>
      <w14:ligatures w14:val="none"/>
    </w:rPr>
  </w:style>
  <w:style w:type="character" w:customStyle="1" w:styleId="Textoindependiente3Car">
    <w:name w:val="Texto independiente 3 Car"/>
    <w:basedOn w:val="Fuentedeprrafopredeter"/>
    <w:link w:val="Textoindependiente3"/>
    <w:uiPriority w:val="99"/>
    <w:rsid w:val="006C1373"/>
    <w:rPr>
      <w:rFonts w:ascii="Times New Roman" w:eastAsia="Times New Roman" w:hAnsi="Times New Roman" w:cs="Times New Roman"/>
      <w:kern w:val="0"/>
      <w:sz w:val="16"/>
      <w:szCs w:val="16"/>
      <w:lang w:val="es-ES_tradnl" w:eastAsia="es-CR"/>
      <w14:ligatures w14:val="none"/>
    </w:rPr>
  </w:style>
  <w:style w:type="paragraph" w:styleId="HTMLconformatoprevio">
    <w:name w:val="HTML Preformatted"/>
    <w:basedOn w:val="Normal"/>
    <w:link w:val="HTMLconformatoprevioCar"/>
    <w:uiPriority w:val="99"/>
    <w:unhideWhenUsed/>
    <w:rsid w:val="006C13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kern w:val="0"/>
      <w:sz w:val="20"/>
      <w:szCs w:val="20"/>
      <w:lang w:val="es-MX" w:eastAsia="es-MX"/>
      <w14:ligatures w14:val="none"/>
    </w:rPr>
  </w:style>
  <w:style w:type="character" w:customStyle="1" w:styleId="HTMLconformatoprevioCar">
    <w:name w:val="HTML con formato previo Car"/>
    <w:basedOn w:val="Fuentedeprrafopredeter"/>
    <w:link w:val="HTMLconformatoprevio"/>
    <w:uiPriority w:val="99"/>
    <w:rsid w:val="006C1373"/>
    <w:rPr>
      <w:rFonts w:ascii="Courier New" w:eastAsia="Times New Roman" w:hAnsi="Courier New" w:cs="Courier New"/>
      <w:color w:val="000000"/>
      <w:kern w:val="0"/>
      <w:sz w:val="20"/>
      <w:szCs w:val="20"/>
      <w:lang w:val="es-MX" w:eastAsia="es-MX"/>
      <w14:ligatures w14:val="none"/>
    </w:rPr>
  </w:style>
  <w:style w:type="character" w:styleId="Nmerodepgina">
    <w:name w:val="page number"/>
    <w:basedOn w:val="Fuentedeprrafopredeter"/>
    <w:semiHidden/>
    <w:rsid w:val="006C1373"/>
  </w:style>
  <w:style w:type="paragraph" w:customStyle="1" w:styleId="Texto">
    <w:name w:val="Texto"/>
    <w:rsid w:val="006C1373"/>
    <w:pPr>
      <w:spacing w:before="57" w:after="57" w:line="240" w:lineRule="auto"/>
      <w:jc w:val="both"/>
    </w:pPr>
    <w:rPr>
      <w:rFonts w:ascii="Times New Roman" w:eastAsia="Times New Roman" w:hAnsi="Times New Roman" w:cs="Times New Roman"/>
      <w:snapToGrid w:val="0"/>
      <w:kern w:val="0"/>
      <w:szCs w:val="20"/>
      <w:lang w:val="en-US"/>
      <w14:ligatures w14:val="none"/>
    </w:rPr>
  </w:style>
  <w:style w:type="character" w:customStyle="1" w:styleId="apple-converted-space">
    <w:name w:val="apple-converted-space"/>
    <w:basedOn w:val="Fuentedeprrafopredeter"/>
    <w:rsid w:val="006C1373"/>
  </w:style>
  <w:style w:type="paragraph" w:customStyle="1" w:styleId="Prrafodelista1">
    <w:name w:val="Párrafo de lista1"/>
    <w:basedOn w:val="Normal"/>
    <w:qFormat/>
    <w:rsid w:val="006C1373"/>
    <w:pPr>
      <w:spacing w:after="0" w:line="240" w:lineRule="auto"/>
      <w:ind w:left="708"/>
    </w:pPr>
    <w:rPr>
      <w:rFonts w:ascii="Arial" w:eastAsia="Times New Roman" w:hAnsi="Arial" w:cs="Arial"/>
      <w:color w:val="000000"/>
      <w:kern w:val="0"/>
      <w:sz w:val="24"/>
      <w:szCs w:val="24"/>
      <w:lang w:val="es-ES" w:eastAsia="es-ES"/>
      <w14:ligatures w14:val="none"/>
    </w:rPr>
  </w:style>
  <w:style w:type="paragraph" w:customStyle="1" w:styleId="Textotareasinsangra">
    <w:name w:val="Texto tarea sin sangría"/>
    <w:basedOn w:val="Normal"/>
    <w:rsid w:val="006C1373"/>
    <w:pPr>
      <w:suppressAutoHyphens/>
      <w:spacing w:after="120" w:line="240" w:lineRule="auto"/>
      <w:jc w:val="both"/>
    </w:pPr>
    <w:rPr>
      <w:rFonts w:ascii="Arial" w:eastAsia="Times New Roman" w:hAnsi="Arial" w:cs="Arial"/>
      <w:color w:val="000000"/>
      <w:kern w:val="0"/>
      <w:sz w:val="24"/>
      <w:szCs w:val="24"/>
      <w:lang w:val="es-ES_tradnl"/>
      <w14:ligatures w14:val="none"/>
    </w:rPr>
  </w:style>
  <w:style w:type="character" w:styleId="Refdecomentario">
    <w:name w:val="annotation reference"/>
    <w:uiPriority w:val="99"/>
    <w:semiHidden/>
    <w:unhideWhenUsed/>
    <w:rsid w:val="006C1373"/>
    <w:rPr>
      <w:sz w:val="16"/>
      <w:szCs w:val="16"/>
    </w:rPr>
  </w:style>
  <w:style w:type="paragraph" w:styleId="Textocomentario">
    <w:name w:val="annotation text"/>
    <w:basedOn w:val="Normal"/>
    <w:link w:val="TextocomentarioCar"/>
    <w:uiPriority w:val="99"/>
    <w:unhideWhenUsed/>
    <w:rsid w:val="006C1373"/>
    <w:pPr>
      <w:spacing w:after="0" w:line="240" w:lineRule="auto"/>
    </w:pPr>
    <w:rPr>
      <w:rFonts w:ascii="Arial" w:eastAsia="Times New Roman" w:hAnsi="Arial" w:cs="Arial"/>
      <w:color w:val="000000"/>
      <w:kern w:val="0"/>
      <w:sz w:val="24"/>
      <w:szCs w:val="24"/>
      <w:lang w:val="es-ES" w:eastAsia="es-ES"/>
      <w14:ligatures w14:val="none"/>
    </w:rPr>
  </w:style>
  <w:style w:type="character" w:customStyle="1" w:styleId="TextocomentarioCar">
    <w:name w:val="Texto comentario Car"/>
    <w:basedOn w:val="Fuentedeprrafopredeter"/>
    <w:link w:val="Textocomentario"/>
    <w:uiPriority w:val="99"/>
    <w:rsid w:val="006C1373"/>
    <w:rPr>
      <w:rFonts w:ascii="Arial" w:eastAsia="Times New Roman" w:hAnsi="Arial" w:cs="Arial"/>
      <w:color w:val="000000"/>
      <w:kern w:val="0"/>
      <w:sz w:val="24"/>
      <w:szCs w:val="24"/>
      <w:lang w:val="es-ES" w:eastAsia="es-ES"/>
      <w14:ligatures w14:val="none"/>
    </w:rPr>
  </w:style>
  <w:style w:type="paragraph" w:styleId="Asuntodelcomentario">
    <w:name w:val="annotation subject"/>
    <w:basedOn w:val="Textocomentario"/>
    <w:next w:val="Textocomentario"/>
    <w:link w:val="AsuntodelcomentarioCar"/>
    <w:uiPriority w:val="99"/>
    <w:semiHidden/>
    <w:unhideWhenUsed/>
    <w:rsid w:val="006C1373"/>
    <w:rPr>
      <w:b/>
      <w:bCs/>
    </w:rPr>
  </w:style>
  <w:style w:type="character" w:customStyle="1" w:styleId="AsuntodelcomentarioCar">
    <w:name w:val="Asunto del comentario Car"/>
    <w:basedOn w:val="TextocomentarioCar"/>
    <w:link w:val="Asuntodelcomentario"/>
    <w:uiPriority w:val="99"/>
    <w:semiHidden/>
    <w:rsid w:val="006C1373"/>
    <w:rPr>
      <w:rFonts w:ascii="Arial" w:eastAsia="Times New Roman" w:hAnsi="Arial" w:cs="Arial"/>
      <w:b/>
      <w:bCs/>
      <w:color w:val="000000"/>
      <w:kern w:val="0"/>
      <w:sz w:val="24"/>
      <w:szCs w:val="24"/>
      <w:lang w:val="es-ES" w:eastAsia="es-ES"/>
      <w14:ligatures w14:val="none"/>
    </w:rPr>
  </w:style>
  <w:style w:type="paragraph" w:styleId="Textodeglobo">
    <w:name w:val="Balloon Text"/>
    <w:basedOn w:val="Normal"/>
    <w:link w:val="TextodegloboCar"/>
    <w:uiPriority w:val="99"/>
    <w:semiHidden/>
    <w:unhideWhenUsed/>
    <w:rsid w:val="006C1373"/>
    <w:pPr>
      <w:spacing w:after="0" w:line="240" w:lineRule="auto"/>
    </w:pPr>
    <w:rPr>
      <w:rFonts w:ascii="Segoe UI" w:eastAsia="Times New Roman" w:hAnsi="Segoe UI" w:cs="Arial"/>
      <w:color w:val="000000"/>
      <w:kern w:val="0"/>
      <w:sz w:val="18"/>
      <w:szCs w:val="18"/>
      <w:lang w:val="es-ES" w:eastAsia="es-ES"/>
      <w14:ligatures w14:val="none"/>
    </w:rPr>
  </w:style>
  <w:style w:type="character" w:customStyle="1" w:styleId="TextodegloboCar">
    <w:name w:val="Texto de globo Car"/>
    <w:basedOn w:val="Fuentedeprrafopredeter"/>
    <w:link w:val="Textodeglobo"/>
    <w:uiPriority w:val="99"/>
    <w:semiHidden/>
    <w:rsid w:val="006C1373"/>
    <w:rPr>
      <w:rFonts w:ascii="Segoe UI" w:eastAsia="Times New Roman" w:hAnsi="Segoe UI" w:cs="Arial"/>
      <w:color w:val="000000"/>
      <w:kern w:val="0"/>
      <w:sz w:val="18"/>
      <w:szCs w:val="18"/>
      <w:lang w:val="es-ES" w:eastAsia="es-ES"/>
      <w14:ligatures w14:val="none"/>
    </w:rPr>
  </w:style>
  <w:style w:type="paragraph" w:styleId="TtuloTDC">
    <w:name w:val="TOC Heading"/>
    <w:basedOn w:val="Ttulo1"/>
    <w:next w:val="Normal"/>
    <w:uiPriority w:val="39"/>
    <w:unhideWhenUsed/>
    <w:qFormat/>
    <w:rsid w:val="006C1373"/>
    <w:pPr>
      <w:keepLines/>
      <w:widowControl/>
      <w:overflowPunct/>
      <w:autoSpaceDE/>
      <w:autoSpaceDN/>
      <w:adjustRightInd/>
      <w:spacing w:after="0" w:line="259" w:lineRule="auto"/>
      <w:jc w:val="left"/>
      <w:outlineLvl w:val="9"/>
    </w:pPr>
    <w:rPr>
      <w:rFonts w:ascii="Calibri Light" w:hAnsi="Calibri Light"/>
      <w:b w:val="0"/>
      <w:color w:val="2E74B5"/>
      <w:spacing w:val="0"/>
      <w:sz w:val="32"/>
      <w:szCs w:val="32"/>
      <w:lang w:val="es-CR"/>
    </w:rPr>
  </w:style>
  <w:style w:type="paragraph" w:styleId="TDC1">
    <w:name w:val="toc 1"/>
    <w:basedOn w:val="Normal"/>
    <w:next w:val="Normal"/>
    <w:autoRedefine/>
    <w:uiPriority w:val="39"/>
    <w:unhideWhenUsed/>
    <w:rsid w:val="005A5DEB"/>
    <w:pPr>
      <w:spacing w:before="120" w:after="120" w:line="240" w:lineRule="auto"/>
    </w:pPr>
    <w:rPr>
      <w:rFonts w:ascii="Calibri" w:eastAsia="Times New Roman" w:hAnsi="Calibri" w:cs="Calibri"/>
      <w:b/>
      <w:bCs/>
      <w:caps/>
      <w:color w:val="000000"/>
      <w:kern w:val="0"/>
      <w:sz w:val="20"/>
      <w:szCs w:val="20"/>
      <w:lang w:val="es-ES" w:eastAsia="es-ES"/>
      <w14:ligatures w14:val="none"/>
    </w:rPr>
  </w:style>
  <w:style w:type="paragraph" w:styleId="TDC2">
    <w:name w:val="toc 2"/>
    <w:basedOn w:val="Normal"/>
    <w:next w:val="Normal"/>
    <w:autoRedefine/>
    <w:uiPriority w:val="39"/>
    <w:unhideWhenUsed/>
    <w:rsid w:val="005A5DEB"/>
    <w:pPr>
      <w:spacing w:after="0" w:line="240" w:lineRule="auto"/>
      <w:ind w:left="240"/>
    </w:pPr>
    <w:rPr>
      <w:rFonts w:ascii="Calibri" w:eastAsia="Times New Roman" w:hAnsi="Calibri" w:cs="Calibri"/>
      <w:smallCaps/>
      <w:color w:val="000000"/>
      <w:kern w:val="0"/>
      <w:sz w:val="20"/>
      <w:szCs w:val="20"/>
      <w:lang w:val="es-ES" w:eastAsia="es-ES"/>
      <w14:ligatures w14:val="none"/>
    </w:rPr>
  </w:style>
  <w:style w:type="paragraph" w:styleId="TDC3">
    <w:name w:val="toc 3"/>
    <w:basedOn w:val="Normal"/>
    <w:next w:val="Normal"/>
    <w:autoRedefine/>
    <w:uiPriority w:val="39"/>
    <w:unhideWhenUsed/>
    <w:rsid w:val="006C1373"/>
    <w:pPr>
      <w:spacing w:after="0" w:line="240" w:lineRule="auto"/>
      <w:ind w:left="480"/>
    </w:pPr>
    <w:rPr>
      <w:rFonts w:ascii="Calibri" w:eastAsia="Times New Roman" w:hAnsi="Calibri" w:cs="Calibri"/>
      <w:i/>
      <w:iCs/>
      <w:color w:val="000000"/>
      <w:kern w:val="0"/>
      <w:sz w:val="20"/>
      <w:szCs w:val="20"/>
      <w:lang w:val="es-ES" w:eastAsia="es-ES"/>
      <w14:ligatures w14:val="none"/>
    </w:rPr>
  </w:style>
  <w:style w:type="paragraph" w:styleId="TDC4">
    <w:name w:val="toc 4"/>
    <w:basedOn w:val="Normal"/>
    <w:next w:val="Normal"/>
    <w:autoRedefine/>
    <w:uiPriority w:val="39"/>
    <w:unhideWhenUsed/>
    <w:rsid w:val="006C1373"/>
    <w:pPr>
      <w:spacing w:after="0" w:line="240" w:lineRule="auto"/>
      <w:ind w:left="720"/>
    </w:pPr>
    <w:rPr>
      <w:rFonts w:ascii="Calibri" w:eastAsia="Times New Roman" w:hAnsi="Calibri" w:cs="Calibri"/>
      <w:color w:val="000000"/>
      <w:kern w:val="0"/>
      <w:sz w:val="18"/>
      <w:szCs w:val="18"/>
      <w:lang w:val="es-ES" w:eastAsia="es-ES"/>
      <w14:ligatures w14:val="none"/>
    </w:rPr>
  </w:style>
  <w:style w:type="paragraph" w:styleId="TDC5">
    <w:name w:val="toc 5"/>
    <w:basedOn w:val="Normal"/>
    <w:next w:val="Normal"/>
    <w:autoRedefine/>
    <w:uiPriority w:val="39"/>
    <w:unhideWhenUsed/>
    <w:rsid w:val="006C1373"/>
    <w:pPr>
      <w:spacing w:after="0" w:line="240" w:lineRule="auto"/>
      <w:ind w:left="960"/>
    </w:pPr>
    <w:rPr>
      <w:rFonts w:ascii="Calibri" w:eastAsia="Times New Roman" w:hAnsi="Calibri" w:cs="Calibri"/>
      <w:color w:val="000000"/>
      <w:kern w:val="0"/>
      <w:sz w:val="18"/>
      <w:szCs w:val="18"/>
      <w:lang w:val="es-ES" w:eastAsia="es-ES"/>
      <w14:ligatures w14:val="none"/>
    </w:rPr>
  </w:style>
  <w:style w:type="paragraph" w:styleId="TDC6">
    <w:name w:val="toc 6"/>
    <w:basedOn w:val="Normal"/>
    <w:next w:val="Normal"/>
    <w:autoRedefine/>
    <w:uiPriority w:val="39"/>
    <w:unhideWhenUsed/>
    <w:rsid w:val="006C1373"/>
    <w:pPr>
      <w:spacing w:after="0" w:line="240" w:lineRule="auto"/>
      <w:ind w:left="1200"/>
    </w:pPr>
    <w:rPr>
      <w:rFonts w:ascii="Calibri" w:eastAsia="Times New Roman" w:hAnsi="Calibri" w:cs="Calibri"/>
      <w:color w:val="000000"/>
      <w:kern w:val="0"/>
      <w:sz w:val="18"/>
      <w:szCs w:val="18"/>
      <w:lang w:val="es-ES" w:eastAsia="es-ES"/>
      <w14:ligatures w14:val="none"/>
    </w:rPr>
  </w:style>
  <w:style w:type="paragraph" w:styleId="TDC7">
    <w:name w:val="toc 7"/>
    <w:basedOn w:val="Normal"/>
    <w:next w:val="Normal"/>
    <w:autoRedefine/>
    <w:uiPriority w:val="39"/>
    <w:unhideWhenUsed/>
    <w:rsid w:val="006C1373"/>
    <w:pPr>
      <w:spacing w:after="0" w:line="240" w:lineRule="auto"/>
      <w:ind w:left="1440"/>
    </w:pPr>
    <w:rPr>
      <w:rFonts w:ascii="Calibri" w:eastAsia="Times New Roman" w:hAnsi="Calibri" w:cs="Calibri"/>
      <w:color w:val="000000"/>
      <w:kern w:val="0"/>
      <w:sz w:val="18"/>
      <w:szCs w:val="18"/>
      <w:lang w:val="es-ES" w:eastAsia="es-ES"/>
      <w14:ligatures w14:val="none"/>
    </w:rPr>
  </w:style>
  <w:style w:type="paragraph" w:styleId="TDC8">
    <w:name w:val="toc 8"/>
    <w:basedOn w:val="Normal"/>
    <w:next w:val="Normal"/>
    <w:autoRedefine/>
    <w:uiPriority w:val="39"/>
    <w:unhideWhenUsed/>
    <w:rsid w:val="006C1373"/>
    <w:pPr>
      <w:spacing w:after="0" w:line="240" w:lineRule="auto"/>
      <w:ind w:left="1680"/>
    </w:pPr>
    <w:rPr>
      <w:rFonts w:ascii="Calibri" w:eastAsia="Times New Roman" w:hAnsi="Calibri" w:cs="Calibri"/>
      <w:color w:val="000000"/>
      <w:kern w:val="0"/>
      <w:sz w:val="18"/>
      <w:szCs w:val="18"/>
      <w:lang w:val="es-ES" w:eastAsia="es-ES"/>
      <w14:ligatures w14:val="none"/>
    </w:rPr>
  </w:style>
  <w:style w:type="paragraph" w:styleId="TDC9">
    <w:name w:val="toc 9"/>
    <w:basedOn w:val="Normal"/>
    <w:next w:val="Normal"/>
    <w:autoRedefine/>
    <w:uiPriority w:val="39"/>
    <w:unhideWhenUsed/>
    <w:rsid w:val="006C1373"/>
    <w:pPr>
      <w:spacing w:after="0" w:line="240" w:lineRule="auto"/>
      <w:ind w:left="1920"/>
    </w:pPr>
    <w:rPr>
      <w:rFonts w:ascii="Calibri" w:eastAsia="Times New Roman" w:hAnsi="Calibri" w:cs="Calibri"/>
      <w:color w:val="000000"/>
      <w:kern w:val="0"/>
      <w:sz w:val="18"/>
      <w:szCs w:val="18"/>
      <w:lang w:val="es-ES" w:eastAsia="es-ES"/>
      <w14:ligatures w14:val="none"/>
    </w:rPr>
  </w:style>
  <w:style w:type="character" w:customStyle="1" w:styleId="st">
    <w:name w:val="st"/>
    <w:basedOn w:val="Fuentedeprrafopredeter"/>
    <w:uiPriority w:val="99"/>
    <w:rsid w:val="006C1373"/>
    <w:rPr>
      <w:rFonts w:cs="Times New Roman"/>
    </w:rPr>
  </w:style>
  <w:style w:type="paragraph" w:customStyle="1" w:styleId="TableHeading">
    <w:name w:val="Table Heading"/>
    <w:basedOn w:val="Normal"/>
    <w:rsid w:val="006C1373"/>
    <w:pPr>
      <w:suppressLineNumbers/>
      <w:suppressAutoHyphens/>
      <w:spacing w:before="120" w:after="120" w:line="276" w:lineRule="auto"/>
      <w:jc w:val="center"/>
    </w:pPr>
    <w:rPr>
      <w:rFonts w:ascii="Arial" w:eastAsia="Times New Roman" w:hAnsi="Arial" w:cs="Arial"/>
      <w:b/>
      <w:bCs/>
      <w:kern w:val="0"/>
      <w:szCs w:val="24"/>
      <w:lang w:val="es-ES_tradnl" w:eastAsia="es-CR"/>
      <w14:ligatures w14:val="none"/>
    </w:rPr>
  </w:style>
  <w:style w:type="table" w:customStyle="1" w:styleId="LightList-Accent61">
    <w:name w:val="Light List - Accent 61"/>
    <w:basedOn w:val="Tablanormal"/>
    <w:uiPriority w:val="61"/>
    <w:rsid w:val="006C1373"/>
    <w:pPr>
      <w:spacing w:after="0" w:line="240" w:lineRule="auto"/>
      <w:jc w:val="both"/>
    </w:pPr>
    <w:rPr>
      <w:rFonts w:ascii="Calibri" w:eastAsia="Calibri" w:hAnsi="Calibri" w:cs="Times New Roman"/>
      <w:kern w:val="0"/>
      <w:sz w:val="20"/>
      <w:szCs w:val="20"/>
      <w:lang w:val="en-US" w:eastAsia="es-ES" w:bidi="en-US"/>
      <w14:ligatures w14:val="none"/>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List-Accent62">
    <w:name w:val="Light List - Accent 62"/>
    <w:basedOn w:val="Tablanormal"/>
    <w:uiPriority w:val="61"/>
    <w:rsid w:val="006C1373"/>
    <w:pPr>
      <w:spacing w:after="0" w:line="240" w:lineRule="auto"/>
      <w:jc w:val="both"/>
    </w:pPr>
    <w:rPr>
      <w:rFonts w:ascii="Calibri" w:eastAsia="Calibri" w:hAnsi="Calibri" w:cs="Times New Roman"/>
      <w:kern w:val="0"/>
      <w:sz w:val="20"/>
      <w:szCs w:val="20"/>
      <w:lang w:val="en-US" w:eastAsia="es-ES" w:bidi="en-US"/>
      <w14:ligatures w14:val="none"/>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paragraph" w:customStyle="1" w:styleId="NoSpacing1">
    <w:name w:val="No Spacing1"/>
    <w:uiPriority w:val="1"/>
    <w:qFormat/>
    <w:rsid w:val="006C1373"/>
    <w:pPr>
      <w:spacing w:after="0" w:line="240" w:lineRule="auto"/>
    </w:pPr>
    <w:rPr>
      <w:rFonts w:ascii="Calibri" w:eastAsia="Calibri" w:hAnsi="Calibri" w:cs="Times New Roman"/>
      <w:kern w:val="0"/>
      <w14:ligatures w14:val="none"/>
    </w:rPr>
  </w:style>
  <w:style w:type="numbering" w:customStyle="1" w:styleId="Sinlista1">
    <w:name w:val="Sin lista1"/>
    <w:next w:val="Sinlista"/>
    <w:uiPriority w:val="99"/>
    <w:semiHidden/>
    <w:unhideWhenUsed/>
    <w:rsid w:val="006C1373"/>
  </w:style>
  <w:style w:type="character" w:customStyle="1" w:styleId="byline">
    <w:name w:val="byline"/>
    <w:basedOn w:val="Fuentedeprrafopredeter"/>
    <w:rsid w:val="006C1373"/>
  </w:style>
  <w:style w:type="table" w:customStyle="1" w:styleId="Tablaconcuadrcula1">
    <w:name w:val="Tabla con cuadrícula1"/>
    <w:basedOn w:val="Tablanormal"/>
    <w:next w:val="Tablaconcuadrcula"/>
    <w:uiPriority w:val="59"/>
    <w:rsid w:val="006C137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nespaciado1">
    <w:name w:val="Sin espaciado1"/>
    <w:rsid w:val="006C1373"/>
    <w:pPr>
      <w:spacing w:after="0" w:line="240" w:lineRule="auto"/>
    </w:pPr>
    <w:rPr>
      <w:rFonts w:ascii="Calibri" w:eastAsia="Times New Roman" w:hAnsi="Calibri" w:cs="Arial"/>
      <w:kern w:val="0"/>
      <w14:ligatures w14:val="none"/>
    </w:rPr>
  </w:style>
  <w:style w:type="paragraph" w:customStyle="1" w:styleId="Sinespaciado2">
    <w:name w:val="Sin espaciado2"/>
    <w:rsid w:val="006C1373"/>
    <w:pPr>
      <w:spacing w:after="0" w:line="240" w:lineRule="auto"/>
    </w:pPr>
    <w:rPr>
      <w:rFonts w:ascii="Calibri" w:eastAsia="Times New Roman" w:hAnsi="Calibri" w:cs="Arial"/>
      <w:kern w:val="0"/>
      <w14:ligatures w14:val="none"/>
    </w:rPr>
  </w:style>
  <w:style w:type="paragraph" w:styleId="Sangra3detindependiente">
    <w:name w:val="Body Text Indent 3"/>
    <w:basedOn w:val="Normal"/>
    <w:link w:val="Sangra3detindependienteCar"/>
    <w:rsid w:val="006C1373"/>
    <w:pPr>
      <w:widowControl w:val="0"/>
      <w:overflowPunct w:val="0"/>
      <w:autoSpaceDE w:val="0"/>
      <w:autoSpaceDN w:val="0"/>
      <w:adjustRightInd w:val="0"/>
      <w:spacing w:before="120" w:after="120" w:line="240" w:lineRule="auto"/>
      <w:ind w:left="283"/>
    </w:pPr>
    <w:rPr>
      <w:rFonts w:ascii="Times New Roman" w:eastAsia="Times New Roman" w:hAnsi="Times New Roman" w:cs="Times New Roman"/>
      <w:kern w:val="0"/>
      <w:sz w:val="16"/>
      <w:szCs w:val="16"/>
      <w:lang w:val="es-ES_tradnl" w:eastAsia="es-CR"/>
      <w14:ligatures w14:val="none"/>
    </w:rPr>
  </w:style>
  <w:style w:type="character" w:customStyle="1" w:styleId="Sangra3detindependienteCar">
    <w:name w:val="Sangría 3 de t. independiente Car"/>
    <w:basedOn w:val="Fuentedeprrafopredeter"/>
    <w:link w:val="Sangra3detindependiente"/>
    <w:rsid w:val="006C1373"/>
    <w:rPr>
      <w:rFonts w:ascii="Times New Roman" w:eastAsia="Times New Roman" w:hAnsi="Times New Roman" w:cs="Times New Roman"/>
      <w:kern w:val="0"/>
      <w:sz w:val="16"/>
      <w:szCs w:val="16"/>
      <w:lang w:val="es-ES_tradnl" w:eastAsia="es-CR"/>
      <w14:ligatures w14:val="none"/>
    </w:rPr>
  </w:style>
  <w:style w:type="paragraph" w:customStyle="1" w:styleId="Prrafodelista2">
    <w:name w:val="Párrafo de lista2"/>
    <w:basedOn w:val="Normal"/>
    <w:rsid w:val="006C1373"/>
    <w:pPr>
      <w:spacing w:after="200" w:line="276" w:lineRule="auto"/>
      <w:ind w:left="720"/>
      <w:contextualSpacing/>
    </w:pPr>
    <w:rPr>
      <w:rFonts w:ascii="Calibri" w:eastAsia="Times New Roman" w:hAnsi="Calibri" w:cs="Times New Roman"/>
      <w:kern w:val="0"/>
      <w14:ligatures w14:val="none"/>
    </w:rPr>
  </w:style>
  <w:style w:type="character" w:customStyle="1" w:styleId="apple-style-span">
    <w:name w:val="apple-style-span"/>
    <w:basedOn w:val="Fuentedeprrafopredeter"/>
    <w:rsid w:val="006C1373"/>
  </w:style>
  <w:style w:type="character" w:styleId="CitaHTML">
    <w:name w:val="HTML Cite"/>
    <w:uiPriority w:val="99"/>
    <w:unhideWhenUsed/>
    <w:rsid w:val="006C1373"/>
    <w:rPr>
      <w:i/>
      <w:iCs/>
    </w:rPr>
  </w:style>
  <w:style w:type="paragraph" w:customStyle="1" w:styleId="Sinespaciado3">
    <w:name w:val="Sin espaciado3"/>
    <w:qFormat/>
    <w:rsid w:val="006C1373"/>
    <w:pPr>
      <w:spacing w:after="0" w:line="240" w:lineRule="auto"/>
    </w:pPr>
    <w:rPr>
      <w:rFonts w:ascii="Cambria" w:eastAsia="Cambria" w:hAnsi="Cambria" w:cs="Times New Roman"/>
      <w:kern w:val="0"/>
      <w14:ligatures w14:val="none"/>
    </w:rPr>
  </w:style>
  <w:style w:type="paragraph" w:customStyle="1" w:styleId="Prrafodelista3">
    <w:name w:val="Párrafo de lista3"/>
    <w:basedOn w:val="Normal"/>
    <w:uiPriority w:val="34"/>
    <w:qFormat/>
    <w:rsid w:val="006C1373"/>
    <w:pPr>
      <w:spacing w:after="0" w:line="240" w:lineRule="auto"/>
      <w:ind w:left="708"/>
    </w:pPr>
    <w:rPr>
      <w:rFonts w:ascii="Times New Roman" w:eastAsia="Times New Roman" w:hAnsi="Times New Roman" w:cs="Times New Roman"/>
      <w:kern w:val="0"/>
      <w:sz w:val="24"/>
      <w:szCs w:val="24"/>
      <w:lang w:val="es-ES" w:eastAsia="es-ES"/>
      <w14:ligatures w14:val="none"/>
    </w:rPr>
  </w:style>
  <w:style w:type="paragraph" w:customStyle="1" w:styleId="KeinLeerraum">
    <w:name w:val="Kein Leerraum"/>
    <w:uiPriority w:val="99"/>
    <w:qFormat/>
    <w:rsid w:val="006C1373"/>
    <w:pPr>
      <w:spacing w:after="0" w:line="240" w:lineRule="auto"/>
    </w:pPr>
    <w:rPr>
      <w:rFonts w:ascii="Cambria" w:eastAsia="Calibri" w:hAnsi="Cambria" w:cs="Times New Roman"/>
      <w:kern w:val="0"/>
      <w14:ligatures w14:val="none"/>
    </w:rPr>
  </w:style>
  <w:style w:type="paragraph" w:customStyle="1" w:styleId="estilo9">
    <w:name w:val="estilo9"/>
    <w:basedOn w:val="Normal"/>
    <w:rsid w:val="006C1373"/>
    <w:pPr>
      <w:spacing w:before="100" w:beforeAutospacing="1" w:after="100" w:afterAutospacing="1" w:line="240" w:lineRule="auto"/>
    </w:pPr>
    <w:rPr>
      <w:rFonts w:ascii="Times New Roman" w:eastAsia="Times New Roman" w:hAnsi="Times New Roman" w:cs="Times New Roman"/>
      <w:kern w:val="0"/>
      <w:sz w:val="24"/>
      <w:szCs w:val="24"/>
      <w:lang w:val="es-ES" w:eastAsia="es-ES"/>
      <w14:ligatures w14:val="none"/>
    </w:rPr>
  </w:style>
  <w:style w:type="character" w:styleId="Textoennegrita">
    <w:name w:val="Strong"/>
    <w:uiPriority w:val="22"/>
    <w:qFormat/>
    <w:rsid w:val="006C1373"/>
    <w:rPr>
      <w:b/>
      <w:bCs/>
    </w:rPr>
  </w:style>
  <w:style w:type="character" w:customStyle="1" w:styleId="code">
    <w:name w:val="code"/>
    <w:basedOn w:val="Fuentedeprrafopredeter"/>
    <w:rsid w:val="006C1373"/>
  </w:style>
  <w:style w:type="numbering" w:customStyle="1" w:styleId="Sinlista2">
    <w:name w:val="Sin lista2"/>
    <w:next w:val="Sinlista"/>
    <w:uiPriority w:val="99"/>
    <w:semiHidden/>
    <w:unhideWhenUsed/>
    <w:rsid w:val="006C1373"/>
  </w:style>
  <w:style w:type="character" w:customStyle="1" w:styleId="titulo1">
    <w:name w:val="titulo1"/>
    <w:basedOn w:val="Fuentedeprrafopredeter"/>
    <w:rsid w:val="006C1373"/>
  </w:style>
  <w:style w:type="character" w:customStyle="1" w:styleId="separador">
    <w:name w:val="separador"/>
    <w:basedOn w:val="Fuentedeprrafopredeter"/>
    <w:rsid w:val="006C1373"/>
  </w:style>
  <w:style w:type="character" w:customStyle="1" w:styleId="subtitulo">
    <w:name w:val="subtitulo"/>
    <w:basedOn w:val="Fuentedeprrafopredeter"/>
    <w:rsid w:val="006C1373"/>
  </w:style>
  <w:style w:type="character" w:styleId="Mencinsinresolver">
    <w:name w:val="Unresolved Mention"/>
    <w:basedOn w:val="Fuentedeprrafopredeter"/>
    <w:uiPriority w:val="99"/>
    <w:semiHidden/>
    <w:unhideWhenUsed/>
    <w:rsid w:val="006C1373"/>
    <w:rPr>
      <w:color w:val="605E5C"/>
      <w:shd w:val="clear" w:color="auto" w:fill="E1DFDD"/>
    </w:rPr>
  </w:style>
  <w:style w:type="character" w:customStyle="1" w:styleId="watch-title">
    <w:name w:val="watch-title"/>
    <w:rsid w:val="00793B72"/>
  </w:style>
  <w:style w:type="paragraph" w:customStyle="1" w:styleId="Cuadrculaclara-nfasis31">
    <w:name w:val="Cuadrícula clara - Énfasis 31"/>
    <w:basedOn w:val="Normal"/>
    <w:uiPriority w:val="34"/>
    <w:qFormat/>
    <w:rsid w:val="003C1214"/>
    <w:pPr>
      <w:spacing w:after="0" w:line="240" w:lineRule="auto"/>
      <w:ind w:left="720"/>
      <w:contextualSpacing/>
    </w:pPr>
    <w:rPr>
      <w:rFonts w:ascii="Cambria" w:eastAsia="MS Mincho" w:hAnsi="Cambria" w:cs="Times New Roman"/>
      <w:kern w:val="0"/>
      <w:sz w:val="24"/>
      <w:szCs w:val="24"/>
      <w:lang w:val="es-ES_tradnl"/>
      <w14:ligatures w14:val="none"/>
    </w:rPr>
  </w:style>
  <w:style w:type="character" w:customStyle="1" w:styleId="instancename">
    <w:name w:val="instancename"/>
    <w:basedOn w:val="Fuentedeprrafopredeter"/>
    <w:rsid w:val="003C1214"/>
  </w:style>
  <w:style w:type="character" w:customStyle="1" w:styleId="accesshide">
    <w:name w:val="accesshide"/>
    <w:basedOn w:val="Fuentedeprrafopredeter"/>
    <w:rsid w:val="003C1214"/>
  </w:style>
  <w:style w:type="character" w:styleId="Hipervnculovisitado">
    <w:name w:val="FollowedHyperlink"/>
    <w:basedOn w:val="Fuentedeprrafopredeter"/>
    <w:uiPriority w:val="99"/>
    <w:semiHidden/>
    <w:unhideWhenUsed/>
    <w:rsid w:val="003C1214"/>
    <w:rPr>
      <w:color w:val="954F72" w:themeColor="followedHyperlink"/>
      <w:u w:val="single"/>
    </w:rPr>
  </w:style>
  <w:style w:type="paragraph" w:customStyle="1" w:styleId="Standard">
    <w:name w:val="Standard"/>
    <w:qFormat/>
    <w:rsid w:val="00B421EC"/>
    <w:pPr>
      <w:widowControl w:val="0"/>
      <w:suppressAutoHyphens/>
      <w:spacing w:before="120" w:after="0" w:line="240" w:lineRule="auto"/>
      <w:textAlignment w:val="baseline"/>
    </w:pPr>
    <w:rPr>
      <w:rFonts w:ascii="Times New Roman" w:eastAsia="Times New Roman" w:hAnsi="Times New Roman" w:cs="Times New Roman"/>
      <w:color w:val="00000A"/>
      <w:kern w:val="0"/>
      <w:sz w:val="24"/>
      <w:szCs w:val="20"/>
      <w:lang w:val="en-US" w:eastAsia="es-CR"/>
      <w14:ligatures w14:val="none"/>
    </w:rPr>
  </w:style>
  <w:style w:type="paragraph" w:customStyle="1" w:styleId="SPECIAL">
    <w:name w:val="SPECIAL"/>
    <w:basedOn w:val="Ttulo1"/>
    <w:qFormat/>
    <w:rsid w:val="00C5474A"/>
    <w:pPr>
      <w:jc w:val="left"/>
    </w:pPr>
    <w:rPr>
      <w:lang w:val="es-CR"/>
    </w:rPr>
  </w:style>
  <w:style w:type="paragraph" w:customStyle="1" w:styleId="SPECIAL2">
    <w:name w:val="SPECIAL 2"/>
    <w:basedOn w:val="Normal"/>
    <w:qFormat/>
    <w:rsid w:val="00C5474A"/>
    <w:pPr>
      <w:jc w:val="center"/>
    </w:pPr>
    <w:rPr>
      <w:b/>
      <w:bCs/>
      <w:sz w:val="28"/>
      <w:szCs w:val="28"/>
      <w:lang w:val="es-ES"/>
    </w:rPr>
  </w:style>
  <w:style w:type="character" w:customStyle="1" w:styleId="MacroTextChar1">
    <w:name w:val="Macro Text Char1"/>
    <w:basedOn w:val="Fuentedeprrafopredeter"/>
    <w:semiHidden/>
    <w:rsid w:val="00FB0934"/>
    <w:rPr>
      <w:rFonts w:ascii="Consolas" w:eastAsia="Times New Roman" w:hAnsi="Consolas" w:cs="Times New Roman"/>
      <w:sz w:val="20"/>
      <w:szCs w:val="20"/>
      <w:lang w:val="es-ES_tradnl" w:eastAsia="es-CR"/>
    </w:rPr>
  </w:style>
  <w:style w:type="table" w:customStyle="1" w:styleId="TableGrid1">
    <w:name w:val="Table Grid1"/>
    <w:basedOn w:val="Tablanormal"/>
    <w:next w:val="Tablaconcuadrcula"/>
    <w:uiPriority w:val="39"/>
    <w:rsid w:val="00DE33C0"/>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anormal"/>
    <w:next w:val="Tablaconcuadrcula"/>
    <w:uiPriority w:val="39"/>
    <w:rsid w:val="00836EE8"/>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Sinlista"/>
    <w:uiPriority w:val="99"/>
    <w:semiHidden/>
    <w:unhideWhenUsed/>
    <w:rsid w:val="004E6D2D"/>
  </w:style>
  <w:style w:type="numbering" w:customStyle="1" w:styleId="Sinlista11">
    <w:name w:val="Sin lista11"/>
    <w:next w:val="Sinlista"/>
    <w:uiPriority w:val="99"/>
    <w:semiHidden/>
    <w:unhideWhenUsed/>
    <w:rsid w:val="004E6D2D"/>
  </w:style>
  <w:style w:type="numbering" w:customStyle="1" w:styleId="Sinlista21">
    <w:name w:val="Sin lista21"/>
    <w:next w:val="Sinlista"/>
    <w:uiPriority w:val="99"/>
    <w:semiHidden/>
    <w:unhideWhenUsed/>
    <w:rsid w:val="004E6D2D"/>
  </w:style>
  <w:style w:type="numbering" w:customStyle="1" w:styleId="NoList2">
    <w:name w:val="No List2"/>
    <w:next w:val="Sinlista"/>
    <w:uiPriority w:val="99"/>
    <w:semiHidden/>
    <w:unhideWhenUsed/>
    <w:rsid w:val="009B1539"/>
  </w:style>
  <w:style w:type="numbering" w:customStyle="1" w:styleId="NoList3">
    <w:name w:val="No List3"/>
    <w:next w:val="Sinlista"/>
    <w:uiPriority w:val="99"/>
    <w:semiHidden/>
    <w:unhideWhenUsed/>
    <w:rsid w:val="002557A5"/>
  </w:style>
  <w:style w:type="character" w:customStyle="1" w:styleId="a">
    <w:name w:val="_"/>
    <w:basedOn w:val="Fuentedeprrafopredeter"/>
    <w:rsid w:val="002557A5"/>
  </w:style>
  <w:style w:type="character" w:customStyle="1" w:styleId="pg-16ff4">
    <w:name w:val="pg-16ff4"/>
    <w:basedOn w:val="Fuentedeprrafopredeter"/>
    <w:rsid w:val="002557A5"/>
  </w:style>
  <w:style w:type="character" w:customStyle="1" w:styleId="pg-16ff2">
    <w:name w:val="pg-16ff2"/>
    <w:basedOn w:val="Fuentedeprrafopredeter"/>
    <w:rsid w:val="002557A5"/>
  </w:style>
  <w:style w:type="numbering" w:customStyle="1" w:styleId="NoList4">
    <w:name w:val="No List4"/>
    <w:next w:val="Sinlista"/>
    <w:uiPriority w:val="99"/>
    <w:semiHidden/>
    <w:unhideWhenUsed/>
    <w:rsid w:val="00C542B4"/>
  </w:style>
  <w:style w:type="table" w:customStyle="1" w:styleId="TableGrid3">
    <w:name w:val="Table Grid3"/>
    <w:basedOn w:val="Tablanormal"/>
    <w:next w:val="Tablaconcuadrcula"/>
    <w:uiPriority w:val="39"/>
    <w:rsid w:val="00C542B4"/>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
    <w:name w:val="b"/>
    <w:rsid w:val="00C542B4"/>
  </w:style>
  <w:style w:type="table" w:customStyle="1" w:styleId="TableGrid4">
    <w:name w:val="Table Grid4"/>
    <w:basedOn w:val="Tablanormal"/>
    <w:next w:val="Tablaconcuadrcula"/>
    <w:uiPriority w:val="39"/>
    <w:rsid w:val="002B48D8"/>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5">
    <w:name w:val="No List5"/>
    <w:next w:val="Sinlista"/>
    <w:uiPriority w:val="99"/>
    <w:semiHidden/>
    <w:unhideWhenUsed/>
    <w:rsid w:val="00501810"/>
  </w:style>
  <w:style w:type="numbering" w:customStyle="1" w:styleId="NoList6">
    <w:name w:val="No List6"/>
    <w:next w:val="Sinlista"/>
    <w:uiPriority w:val="99"/>
    <w:semiHidden/>
    <w:unhideWhenUsed/>
    <w:rsid w:val="00543E6C"/>
  </w:style>
  <w:style w:type="paragraph" w:customStyle="1" w:styleId="KeinLeerraum1">
    <w:name w:val="Kein Leerraum1"/>
    <w:uiPriority w:val="99"/>
    <w:qFormat/>
    <w:rsid w:val="00543E6C"/>
    <w:pPr>
      <w:spacing w:after="0" w:line="240" w:lineRule="auto"/>
    </w:pPr>
    <w:rPr>
      <w:rFonts w:ascii="Cambria" w:eastAsia="Calibri" w:hAnsi="Cambria" w:cs="Times New Roman"/>
      <w:kern w:val="0"/>
      <w14:ligatures w14:val="none"/>
    </w:rPr>
  </w:style>
  <w:style w:type="numbering" w:customStyle="1" w:styleId="NoList7">
    <w:name w:val="No List7"/>
    <w:next w:val="Sinlista"/>
    <w:uiPriority w:val="99"/>
    <w:semiHidden/>
    <w:unhideWhenUsed/>
    <w:rsid w:val="00B77F6A"/>
  </w:style>
  <w:style w:type="table" w:customStyle="1" w:styleId="TableGrid5">
    <w:name w:val="Table Grid5"/>
    <w:basedOn w:val="Tablanormal"/>
    <w:next w:val="Tablaconcuadrcula"/>
    <w:uiPriority w:val="59"/>
    <w:rsid w:val="00294C7F"/>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anormal"/>
    <w:next w:val="Tablaconcuadrcula"/>
    <w:uiPriority w:val="59"/>
    <w:rsid w:val="004E065D"/>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8">
    <w:name w:val="No List8"/>
    <w:next w:val="Sinlista"/>
    <w:uiPriority w:val="99"/>
    <w:semiHidden/>
    <w:unhideWhenUsed/>
    <w:rsid w:val="00687AE9"/>
  </w:style>
  <w:style w:type="table" w:customStyle="1" w:styleId="TableGrid7">
    <w:name w:val="Table Grid7"/>
    <w:basedOn w:val="Tablanormal"/>
    <w:next w:val="Tablaconcuadrcula"/>
    <w:uiPriority w:val="59"/>
    <w:rsid w:val="00687AE9"/>
    <w:pPr>
      <w:spacing w:after="0" w:line="240" w:lineRule="auto"/>
    </w:pPr>
    <w:rPr>
      <w:rFonts w:ascii="Calibri" w:eastAsia="Calibri" w:hAnsi="Calibri"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Sinlista"/>
    <w:uiPriority w:val="99"/>
    <w:semiHidden/>
    <w:unhideWhenUsed/>
    <w:rsid w:val="007B14D3"/>
  </w:style>
  <w:style w:type="table" w:customStyle="1" w:styleId="TableGridLight1">
    <w:name w:val="Table Grid Light1"/>
    <w:basedOn w:val="Tablanormal"/>
    <w:next w:val="Tablaconcuadrculaclara"/>
    <w:uiPriority w:val="40"/>
    <w:rsid w:val="007B14D3"/>
    <w:pPr>
      <w:spacing w:after="0" w:line="240" w:lineRule="auto"/>
    </w:pPr>
    <w:rPr>
      <w:kern w:val="0"/>
      <w14:ligatures w14:val="none"/>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itle1">
    <w:name w:val="Title1"/>
    <w:basedOn w:val="Normal"/>
    <w:next w:val="Normal"/>
    <w:uiPriority w:val="10"/>
    <w:qFormat/>
    <w:rsid w:val="007B14D3"/>
    <w:pPr>
      <w:pBdr>
        <w:bottom w:val="single" w:sz="8" w:space="4" w:color="5B9BD5"/>
      </w:pBdr>
      <w:spacing w:after="300" w:line="240" w:lineRule="auto"/>
      <w:contextualSpacing/>
    </w:pPr>
    <w:rPr>
      <w:rFonts w:ascii="Calibri Light" w:eastAsia="Times New Roman" w:hAnsi="Calibri Light" w:cs="Times New Roman"/>
      <w:color w:val="323E4F"/>
      <w:spacing w:val="5"/>
      <w:kern w:val="28"/>
      <w:sz w:val="52"/>
      <w:szCs w:val="52"/>
      <w14:ligatures w14:val="none"/>
    </w:rPr>
  </w:style>
  <w:style w:type="character" w:customStyle="1" w:styleId="TtuloCar">
    <w:name w:val="Título Car"/>
    <w:basedOn w:val="Fuentedeprrafopredeter"/>
    <w:link w:val="Ttulo"/>
    <w:uiPriority w:val="10"/>
    <w:rsid w:val="007B14D3"/>
    <w:rPr>
      <w:rFonts w:ascii="Calibri Light" w:eastAsia="Times New Roman" w:hAnsi="Calibri Light" w:cs="Times New Roman"/>
      <w:color w:val="323E4F"/>
      <w:spacing w:val="5"/>
      <w:kern w:val="28"/>
      <w:sz w:val="52"/>
      <w:szCs w:val="52"/>
    </w:rPr>
  </w:style>
  <w:style w:type="table" w:styleId="Tablaconcuadrculaclara">
    <w:name w:val="Grid Table Light"/>
    <w:basedOn w:val="Tablanormal"/>
    <w:uiPriority w:val="40"/>
    <w:rsid w:val="007B14D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tulo">
    <w:name w:val="Title"/>
    <w:basedOn w:val="Normal"/>
    <w:next w:val="Normal"/>
    <w:link w:val="TtuloCar"/>
    <w:uiPriority w:val="10"/>
    <w:qFormat/>
    <w:rsid w:val="007B14D3"/>
    <w:pPr>
      <w:spacing w:after="0" w:line="240" w:lineRule="auto"/>
      <w:contextualSpacing/>
    </w:pPr>
    <w:rPr>
      <w:rFonts w:ascii="Calibri Light" w:eastAsia="Times New Roman" w:hAnsi="Calibri Light" w:cs="Times New Roman"/>
      <w:color w:val="323E4F"/>
      <w:spacing w:val="5"/>
      <w:kern w:val="28"/>
      <w:sz w:val="52"/>
      <w:szCs w:val="52"/>
    </w:rPr>
  </w:style>
  <w:style w:type="character" w:customStyle="1" w:styleId="TitleChar1">
    <w:name w:val="Title Char1"/>
    <w:basedOn w:val="Fuentedeprrafopredeter"/>
    <w:uiPriority w:val="10"/>
    <w:rsid w:val="007B14D3"/>
    <w:rPr>
      <w:rFonts w:asciiTheme="majorHAnsi" w:eastAsiaTheme="majorEastAsia" w:hAnsiTheme="majorHAnsi" w:cstheme="majorBidi"/>
      <w:spacing w:val="-10"/>
      <w:kern w:val="28"/>
      <w:sz w:val="56"/>
      <w:szCs w:val="56"/>
    </w:rPr>
  </w:style>
  <w:style w:type="numbering" w:customStyle="1" w:styleId="NoList10">
    <w:name w:val="No List10"/>
    <w:next w:val="Sinlista"/>
    <w:uiPriority w:val="99"/>
    <w:semiHidden/>
    <w:unhideWhenUsed/>
    <w:rsid w:val="000C0002"/>
  </w:style>
  <w:style w:type="numbering" w:customStyle="1" w:styleId="NoList11">
    <w:name w:val="No List11"/>
    <w:next w:val="Sinlista"/>
    <w:uiPriority w:val="99"/>
    <w:semiHidden/>
    <w:unhideWhenUsed/>
    <w:rsid w:val="001C79FC"/>
  </w:style>
  <w:style w:type="table" w:customStyle="1" w:styleId="TableGrid8">
    <w:name w:val="Table Grid8"/>
    <w:basedOn w:val="Tablanormal"/>
    <w:next w:val="Tablaconcuadrcula"/>
    <w:uiPriority w:val="39"/>
    <w:rsid w:val="001C79FC"/>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anormal"/>
    <w:next w:val="Tablaconcuadrcula"/>
    <w:uiPriority w:val="59"/>
    <w:rsid w:val="009C47DF"/>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Sinlista"/>
    <w:uiPriority w:val="99"/>
    <w:semiHidden/>
    <w:unhideWhenUsed/>
    <w:rsid w:val="00EF1A23"/>
  </w:style>
  <w:style w:type="table" w:customStyle="1" w:styleId="TableGrid10">
    <w:name w:val="Table Grid10"/>
    <w:basedOn w:val="Tablanormal"/>
    <w:next w:val="Tablaconcuadrcula"/>
    <w:uiPriority w:val="39"/>
    <w:rsid w:val="00EF1A23"/>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EnlacedeInternet">
    <w:name w:val="Enlace de Internet"/>
    <w:basedOn w:val="Fuentedeprrafopredeter"/>
    <w:uiPriority w:val="99"/>
    <w:unhideWhenUsed/>
    <w:rsid w:val="00EF1A23"/>
    <w:rPr>
      <w:color w:val="0000FF"/>
      <w:u w:val="single"/>
    </w:rPr>
  </w:style>
  <w:style w:type="numbering" w:customStyle="1" w:styleId="NoList13">
    <w:name w:val="No List13"/>
    <w:next w:val="Sinlista"/>
    <w:uiPriority w:val="99"/>
    <w:semiHidden/>
    <w:unhideWhenUsed/>
    <w:rsid w:val="00B3411D"/>
  </w:style>
  <w:style w:type="numbering" w:customStyle="1" w:styleId="NoList14">
    <w:name w:val="No List14"/>
    <w:next w:val="Sinlista"/>
    <w:uiPriority w:val="99"/>
    <w:semiHidden/>
    <w:unhideWhenUsed/>
    <w:rsid w:val="00F977F7"/>
  </w:style>
  <w:style w:type="numbering" w:customStyle="1" w:styleId="NoList15">
    <w:name w:val="No List15"/>
    <w:next w:val="Sinlista"/>
    <w:uiPriority w:val="99"/>
    <w:semiHidden/>
    <w:unhideWhenUsed/>
    <w:rsid w:val="00757ECC"/>
  </w:style>
  <w:style w:type="table" w:customStyle="1" w:styleId="TableGrid11">
    <w:name w:val="Table Grid11"/>
    <w:basedOn w:val="Tablanormal"/>
    <w:next w:val="Tablaconcuadrcula"/>
    <w:uiPriority w:val="39"/>
    <w:rsid w:val="00757ECC"/>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Revisin">
    <w:name w:val="Revision"/>
    <w:hidden/>
    <w:uiPriority w:val="99"/>
    <w:semiHidden/>
    <w:rsid w:val="00757ECC"/>
    <w:pPr>
      <w:spacing w:after="0" w:line="240" w:lineRule="auto"/>
    </w:pPr>
    <w:rPr>
      <w:rFonts w:ascii="Times New Roman" w:eastAsia="Times New Roman" w:hAnsi="Times New Roman" w:cs="Times New Roman"/>
      <w:kern w:val="0"/>
      <w:sz w:val="24"/>
      <w:szCs w:val="20"/>
      <w:lang w:val="es-ES_tradnl" w:eastAsia="es-CR"/>
      <w14:ligatures w14:val="none"/>
    </w:rPr>
  </w:style>
  <w:style w:type="numbering" w:customStyle="1" w:styleId="NoList16">
    <w:name w:val="No List16"/>
    <w:next w:val="Sinlista"/>
    <w:uiPriority w:val="99"/>
    <w:semiHidden/>
    <w:unhideWhenUsed/>
    <w:rsid w:val="005F63D7"/>
  </w:style>
  <w:style w:type="numbering" w:customStyle="1" w:styleId="NoList17">
    <w:name w:val="No List17"/>
    <w:next w:val="Sinlista"/>
    <w:uiPriority w:val="99"/>
    <w:semiHidden/>
    <w:unhideWhenUsed/>
    <w:rsid w:val="00F128A3"/>
  </w:style>
  <w:style w:type="table" w:customStyle="1" w:styleId="TableGrid12">
    <w:name w:val="Table Grid12"/>
    <w:basedOn w:val="Tablanormal"/>
    <w:next w:val="Tablaconcuadrcula"/>
    <w:uiPriority w:val="39"/>
    <w:rsid w:val="00C84F4D"/>
    <w:pPr>
      <w:spacing w:after="0" w:line="240" w:lineRule="auto"/>
      <w:ind w:left="375" w:right="3" w:hanging="10"/>
      <w:jc w:val="both"/>
    </w:pPr>
    <w:rPr>
      <w:rFonts w:ascii="Calibri" w:eastAsia="Calibri" w:hAnsi="Calibri" w:cs="Calibri"/>
      <w:kern w:val="0"/>
      <w:lang w:eastAsia="es-C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anormal"/>
    <w:next w:val="Tablaconcuadrcula"/>
    <w:uiPriority w:val="39"/>
    <w:rsid w:val="007A505B"/>
    <w:pPr>
      <w:spacing w:after="0" w:line="240" w:lineRule="auto"/>
      <w:ind w:left="375" w:right="3" w:hanging="10"/>
      <w:jc w:val="both"/>
    </w:pPr>
    <w:rPr>
      <w:rFonts w:ascii="Calibri" w:eastAsia="Calibri" w:hAnsi="Calibri" w:cs="Calibri"/>
      <w:kern w:val="0"/>
      <w:lang w:eastAsia="es-C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C97FEA"/>
  </w:style>
  <w:style w:type="table" w:customStyle="1" w:styleId="Tablaconcuadrcula2">
    <w:name w:val="Tabla con cuadrícula2"/>
    <w:basedOn w:val="Tablanormal"/>
    <w:next w:val="Tablaconcuadrcula"/>
    <w:uiPriority w:val="59"/>
    <w:rsid w:val="00B857F8"/>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
    <w:name w:val="Tabla con cuadrícula3"/>
    <w:basedOn w:val="Tablanormal"/>
    <w:next w:val="Tablaconcuadrcula"/>
    <w:uiPriority w:val="59"/>
    <w:rsid w:val="002840C3"/>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4">
    <w:name w:val="Sin lista4"/>
    <w:next w:val="Sinlista"/>
    <w:uiPriority w:val="99"/>
    <w:semiHidden/>
    <w:unhideWhenUsed/>
    <w:rsid w:val="005E4FEC"/>
  </w:style>
  <w:style w:type="table" w:customStyle="1" w:styleId="Tablaconcuadrcula4">
    <w:name w:val="Tabla con cuadrícula4"/>
    <w:basedOn w:val="Tablanormal"/>
    <w:next w:val="Tablaconcuadrcula"/>
    <w:uiPriority w:val="39"/>
    <w:rsid w:val="005E4FEC"/>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5">
    <w:name w:val="Sin lista5"/>
    <w:next w:val="Sinlista"/>
    <w:uiPriority w:val="99"/>
    <w:semiHidden/>
    <w:unhideWhenUsed/>
    <w:rsid w:val="003C6AC7"/>
  </w:style>
  <w:style w:type="table" w:customStyle="1" w:styleId="Tablaconcuadrcula5">
    <w:name w:val="Tabla con cuadrícula5"/>
    <w:basedOn w:val="Tablanormal"/>
    <w:next w:val="Tablaconcuadrcula"/>
    <w:uiPriority w:val="39"/>
    <w:rsid w:val="003C6AC7"/>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6">
    <w:name w:val="Sin lista6"/>
    <w:next w:val="Sinlista"/>
    <w:uiPriority w:val="99"/>
    <w:semiHidden/>
    <w:unhideWhenUsed/>
    <w:rsid w:val="006D3F87"/>
  </w:style>
  <w:style w:type="table" w:customStyle="1" w:styleId="Tablaconcuadrcula6">
    <w:name w:val="Tabla con cuadrícula6"/>
    <w:basedOn w:val="Tablanormal"/>
    <w:next w:val="Tablaconcuadrcula"/>
    <w:uiPriority w:val="39"/>
    <w:rsid w:val="006D3F87"/>
    <w:pPr>
      <w:spacing w:after="0" w:line="240" w:lineRule="auto"/>
    </w:pPr>
    <w:rPr>
      <w:rFonts w:ascii="Articulate" w:hAnsi="Articulate"/>
      <w:kern w:val="0"/>
      <w:lang w:val="es-ES"/>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7">
    <w:name w:val="Sin lista7"/>
    <w:next w:val="Sinlista"/>
    <w:uiPriority w:val="99"/>
    <w:semiHidden/>
    <w:unhideWhenUsed/>
    <w:rsid w:val="00AD71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JPG"/><Relationship Id="rId21" Type="http://schemas.openxmlformats.org/officeDocument/2006/relationships/image" Target="media/image7.jpg"/><Relationship Id="rId324" Type="http://schemas.openxmlformats.org/officeDocument/2006/relationships/hyperlink" Target="https://dialnet.unirioja.es/servlet/articulo?codigo=6176164" TargetMode="External"/><Relationship Id="rId531" Type="http://schemas.openxmlformats.org/officeDocument/2006/relationships/hyperlink" Target="mailto:biblioteca@ubl.ac.cr" TargetMode="External"/><Relationship Id="rId170" Type="http://schemas.openxmlformats.org/officeDocument/2006/relationships/image" Target="media/image77.JPG"/><Relationship Id="rId268" Type="http://schemas.openxmlformats.org/officeDocument/2006/relationships/hyperlink" Target="https://www.ubl.ac.cr/biblioteca" TargetMode="External"/><Relationship Id="rId475" Type="http://schemas.openxmlformats.org/officeDocument/2006/relationships/hyperlink" Target="https://revistas.javeriana.edu.co/index.php/teoxaveriana/article/view/9366" TargetMode="External"/><Relationship Id="rId32" Type="http://schemas.openxmlformats.org/officeDocument/2006/relationships/hyperlink" Target="https://dialnet.unirioja.es/servlet/libro?codigo=723206" TargetMode="External"/><Relationship Id="rId128" Type="http://schemas.openxmlformats.org/officeDocument/2006/relationships/image" Target="media/image59.JPG"/><Relationship Id="rId335" Type="http://schemas.openxmlformats.org/officeDocument/2006/relationships/hyperlink" Target="https://www.camjol.info/index.php/raices/article/view/9009/10164" TargetMode="External"/><Relationship Id="rId542" Type="http://schemas.openxmlformats.org/officeDocument/2006/relationships/hyperlink" Target="http://revistas.ubl.ac.cr/" TargetMode="External"/><Relationship Id="rId181" Type="http://schemas.openxmlformats.org/officeDocument/2006/relationships/hyperlink" Target="http://revistas.ubl.ac.cr/" TargetMode="External"/><Relationship Id="rId402" Type="http://schemas.openxmlformats.org/officeDocument/2006/relationships/hyperlink" Target="http://dx.doi.org/10.4067/S0049-34492003000200013" TargetMode="External"/><Relationship Id="rId279" Type="http://schemas.openxmlformats.org/officeDocument/2006/relationships/hyperlink" Target="http://hdl.handle.net/10554/50711" TargetMode="External"/><Relationship Id="rId486" Type="http://schemas.openxmlformats.org/officeDocument/2006/relationships/image" Target="media/image216.JPG"/><Relationship Id="rId43" Type="http://schemas.openxmlformats.org/officeDocument/2006/relationships/image" Target="media/image18.jpg"/><Relationship Id="rId139" Type="http://schemas.openxmlformats.org/officeDocument/2006/relationships/image" Target="media/image64.jpg"/><Relationship Id="rId346" Type="http://schemas.openxmlformats.org/officeDocument/2006/relationships/image" Target="media/image155.JPG"/><Relationship Id="rId553" Type="http://schemas.openxmlformats.org/officeDocument/2006/relationships/image" Target="media/image244.JPG"/><Relationship Id="rId192" Type="http://schemas.openxmlformats.org/officeDocument/2006/relationships/hyperlink" Target="https://campus.ubl.ac.cr/login/index.php" TargetMode="External"/><Relationship Id="rId206" Type="http://schemas.openxmlformats.org/officeDocument/2006/relationships/hyperlink" Target="mailto:biblioteca@ubl.ac.cr" TargetMode="External"/><Relationship Id="rId413" Type="http://schemas.openxmlformats.org/officeDocument/2006/relationships/image" Target="media/image185.jpg"/><Relationship Id="rId497" Type="http://schemas.openxmlformats.org/officeDocument/2006/relationships/hyperlink" Target="https://revistas-filologicas.unam.mx/acta-poetica/index.php/ap/article/view/351" TargetMode="External"/><Relationship Id="rId357" Type="http://schemas.openxmlformats.org/officeDocument/2006/relationships/hyperlink" Target="https://campus.ubl.ac.cr/login/index.php" TargetMode="External"/><Relationship Id="rId54" Type="http://schemas.openxmlformats.org/officeDocument/2006/relationships/hyperlink" Target="http://revistas.ubl.ac.cr/" TargetMode="External"/><Relationship Id="rId217" Type="http://schemas.openxmlformats.org/officeDocument/2006/relationships/image" Target="media/image101.JPG"/><Relationship Id="rId564" Type="http://schemas.openxmlformats.org/officeDocument/2006/relationships/hyperlink" Target="http://revistas.ubl.ac.cr/" TargetMode="External"/><Relationship Id="rId424" Type="http://schemas.openxmlformats.org/officeDocument/2006/relationships/hyperlink" Target="http://ojs.uc.cl/index.php/tyv/article/view/14446" TargetMode="External"/><Relationship Id="rId270" Type="http://schemas.openxmlformats.org/officeDocument/2006/relationships/hyperlink" Target="mailto:biblioteca@ubl.ac.cr" TargetMode="External"/><Relationship Id="rId65" Type="http://schemas.openxmlformats.org/officeDocument/2006/relationships/image" Target="media/image29.jpeg"/><Relationship Id="rId130" Type="http://schemas.openxmlformats.org/officeDocument/2006/relationships/image" Target="media/image61.jpg"/><Relationship Id="rId368" Type="http://schemas.openxmlformats.org/officeDocument/2006/relationships/image" Target="media/image169.jpg"/><Relationship Id="rId575" Type="http://schemas.openxmlformats.org/officeDocument/2006/relationships/image" Target="media/image252.JPG"/><Relationship Id="rId228" Type="http://schemas.openxmlformats.org/officeDocument/2006/relationships/hyperlink" Target="https://www.redalyc.org/articulo.oa?id=125247734001" TargetMode="External"/><Relationship Id="rId435" Type="http://schemas.openxmlformats.org/officeDocument/2006/relationships/hyperlink" Target="http://revistas.ubl.ac.cr/index.php/apteo/issue/view/58" TargetMode="External"/><Relationship Id="rId281" Type="http://schemas.openxmlformats.org/officeDocument/2006/relationships/hyperlink" Target="https://revistaseug.ugr.es/index.php/meahhebreo/article/view/12503" TargetMode="External"/><Relationship Id="rId502" Type="http://schemas.openxmlformats.org/officeDocument/2006/relationships/image" Target="media/image222.jpg"/><Relationship Id="rId76" Type="http://schemas.openxmlformats.org/officeDocument/2006/relationships/hyperlink" Target="https://campus.ubl.ac.cr/course/index.php?categoryid=186" TargetMode="External"/><Relationship Id="rId141" Type="http://schemas.openxmlformats.org/officeDocument/2006/relationships/image" Target="media/image66.JPG"/><Relationship Id="rId379" Type="http://schemas.openxmlformats.org/officeDocument/2006/relationships/hyperlink" Target="mailto:biblioteca@ubl.ac.cr" TargetMode="External"/><Relationship Id="rId586" Type="http://schemas.openxmlformats.org/officeDocument/2006/relationships/hyperlink" Target="mailto:biblioteca@ubl.ac.cr" TargetMode="External"/><Relationship Id="rId7" Type="http://schemas.openxmlformats.org/officeDocument/2006/relationships/endnotes" Target="endnotes.xml"/><Relationship Id="rId239" Type="http://schemas.openxmlformats.org/officeDocument/2006/relationships/hyperlink" Target="https://www.ubl.ac.cr/biblioteca" TargetMode="External"/><Relationship Id="rId446" Type="http://schemas.openxmlformats.org/officeDocument/2006/relationships/image" Target="media/image206.JPG"/><Relationship Id="rId292" Type="http://schemas.openxmlformats.org/officeDocument/2006/relationships/image" Target="media/image128.jpg"/><Relationship Id="rId306" Type="http://schemas.openxmlformats.org/officeDocument/2006/relationships/image" Target="media/image132.jpg"/><Relationship Id="rId87" Type="http://schemas.openxmlformats.org/officeDocument/2006/relationships/hyperlink" Target="https://revistas.upr.edu/index.php/educacion/article/view/16571" TargetMode="External"/><Relationship Id="rId513" Type="http://schemas.openxmlformats.org/officeDocument/2006/relationships/hyperlink" Target="https://revistas.upb.edu.co/index.php/cuestiones/article/view/349" TargetMode="External"/><Relationship Id="rId597" Type="http://schemas.openxmlformats.org/officeDocument/2006/relationships/hyperlink" Target="https://dx.doi.org/10.4321/S1988-348X2015000200002" TargetMode="External"/><Relationship Id="rId152" Type="http://schemas.openxmlformats.org/officeDocument/2006/relationships/image" Target="media/image69.JPG"/><Relationship Id="rId457" Type="http://schemas.openxmlformats.org/officeDocument/2006/relationships/hyperlink" Target="mailto:biblioteca@ubl.ac.cr" TargetMode="External"/><Relationship Id="rId14" Type="http://schemas.openxmlformats.org/officeDocument/2006/relationships/hyperlink" Target="https://campus.ubl.ac.cr/course/index.php?categoryid=186" TargetMode="External"/><Relationship Id="rId317" Type="http://schemas.openxmlformats.org/officeDocument/2006/relationships/hyperlink" Target="https://www.redalyc.org/articulo.oa?id=32225031002" TargetMode="External"/><Relationship Id="rId524" Type="http://schemas.openxmlformats.org/officeDocument/2006/relationships/image" Target="media/image233.JPG"/><Relationship Id="rId98" Type="http://schemas.openxmlformats.org/officeDocument/2006/relationships/image" Target="media/image46.JPG"/><Relationship Id="rId121" Type="http://schemas.openxmlformats.org/officeDocument/2006/relationships/hyperlink" Target="https://campus.ubl.ac.cr/login/index.php" TargetMode="External"/><Relationship Id="rId163" Type="http://schemas.openxmlformats.org/officeDocument/2006/relationships/hyperlink" Target="https://campus.ubl.ac.cr/course/index.php?categoryid=186" TargetMode="External"/><Relationship Id="rId219" Type="http://schemas.openxmlformats.org/officeDocument/2006/relationships/image" Target="media/image103.JPG"/><Relationship Id="rId370" Type="http://schemas.openxmlformats.org/officeDocument/2006/relationships/image" Target="media/image171.jpg"/><Relationship Id="rId426" Type="http://schemas.openxmlformats.org/officeDocument/2006/relationships/hyperlink" Target="https://scielo.conicyt.cl/scielo.php?script=sci_arttext&amp;pid=S0049-34492007000100005" TargetMode="External"/><Relationship Id="rId230" Type="http://schemas.openxmlformats.org/officeDocument/2006/relationships/image" Target="media/image105.jpg"/><Relationship Id="rId468" Type="http://schemas.openxmlformats.org/officeDocument/2006/relationships/image" Target="media/image211.jpg"/><Relationship Id="rId25" Type="http://schemas.openxmlformats.org/officeDocument/2006/relationships/image" Target="media/image11.jpg"/><Relationship Id="rId67" Type="http://schemas.openxmlformats.org/officeDocument/2006/relationships/image" Target="media/image31.jpeg"/><Relationship Id="rId272" Type="http://schemas.openxmlformats.org/officeDocument/2006/relationships/hyperlink" Target="https://www.academic-bible.com/en/online-bibles/biblia-hebraica-stuttgartensia-bhs/read-the-bible-text/" TargetMode="External"/><Relationship Id="rId328" Type="http://schemas.openxmlformats.org/officeDocument/2006/relationships/image" Target="media/image144.JPG"/><Relationship Id="rId535" Type="http://schemas.openxmlformats.org/officeDocument/2006/relationships/image" Target="media/image237.jpg"/><Relationship Id="rId577" Type="http://schemas.openxmlformats.org/officeDocument/2006/relationships/image" Target="media/image254.JPG"/><Relationship Id="rId132" Type="http://schemas.openxmlformats.org/officeDocument/2006/relationships/hyperlink" Target="https://campus.ubl.ac.cr/login/index.php" TargetMode="External"/><Relationship Id="rId174" Type="http://schemas.openxmlformats.org/officeDocument/2006/relationships/image" Target="media/image81.JPG"/><Relationship Id="rId381" Type="http://schemas.openxmlformats.org/officeDocument/2006/relationships/image" Target="media/image173.jpg"/><Relationship Id="rId602" Type="http://schemas.openxmlformats.org/officeDocument/2006/relationships/hyperlink" Target="https://revistas.uchile.cl/index.php/CDM/article/view/25953" TargetMode="External"/><Relationship Id="rId241" Type="http://schemas.openxmlformats.org/officeDocument/2006/relationships/hyperlink" Target="mailto:biblioteca@ubl.ac.cr" TargetMode="External"/><Relationship Id="rId437" Type="http://schemas.openxmlformats.org/officeDocument/2006/relationships/image" Target="media/image197.jpg"/><Relationship Id="rId479" Type="http://schemas.openxmlformats.org/officeDocument/2006/relationships/hyperlink" Target="https://campus.ubl.ac.cr/login/index.php" TargetMode="External"/><Relationship Id="rId36" Type="http://schemas.openxmlformats.org/officeDocument/2006/relationships/hyperlink" Target="mailto:biblioteca@ubl.ac.cr" TargetMode="External"/><Relationship Id="rId283" Type="http://schemas.openxmlformats.org/officeDocument/2006/relationships/hyperlink" Target="https://www.academic-bible.com/en/online-bibles/novum-testamentum-graece-na-28/read-the-bible-text/" TargetMode="External"/><Relationship Id="rId339" Type="http://schemas.openxmlformats.org/officeDocument/2006/relationships/hyperlink" Target="http://revistas.ubl.ac.cr/" TargetMode="External"/><Relationship Id="rId490" Type="http://schemas.openxmlformats.org/officeDocument/2006/relationships/image" Target="media/image220.JPG"/><Relationship Id="rId504" Type="http://schemas.openxmlformats.org/officeDocument/2006/relationships/image" Target="media/image224.JPG"/><Relationship Id="rId546" Type="http://schemas.openxmlformats.org/officeDocument/2006/relationships/hyperlink" Target="https://doi.org/10.47182/rb.77.n-201646" TargetMode="External"/><Relationship Id="rId78" Type="http://schemas.openxmlformats.org/officeDocument/2006/relationships/image" Target="media/image34.jpg"/><Relationship Id="rId101" Type="http://schemas.openxmlformats.org/officeDocument/2006/relationships/image" Target="media/image49.JPG"/><Relationship Id="rId143" Type="http://schemas.openxmlformats.org/officeDocument/2006/relationships/hyperlink" Target="https://revistas.javeriana.edu.co/index.php/teoxaveriana/article/view/10969" TargetMode="External"/><Relationship Id="rId185" Type="http://schemas.openxmlformats.org/officeDocument/2006/relationships/image" Target="media/image84.JPG"/><Relationship Id="rId350" Type="http://schemas.openxmlformats.org/officeDocument/2006/relationships/image" Target="media/image159.JPG"/><Relationship Id="rId406" Type="http://schemas.openxmlformats.org/officeDocument/2006/relationships/hyperlink" Target="mailto:biblioteca@ubl.ac.cr" TargetMode="External"/><Relationship Id="rId588" Type="http://schemas.openxmlformats.org/officeDocument/2006/relationships/hyperlink" Target="https://dx.doi.org/10.4321/S1988-348X2015000200002" TargetMode="External"/><Relationship Id="rId9" Type="http://schemas.openxmlformats.org/officeDocument/2006/relationships/image" Target="media/image2.png"/><Relationship Id="rId210" Type="http://schemas.openxmlformats.org/officeDocument/2006/relationships/hyperlink" Target="http://www.scielo.org.mx/pdf/espiral/v24n69/1665-0565-espiral-24-69-00073.pdf" TargetMode="External"/><Relationship Id="rId392" Type="http://schemas.openxmlformats.org/officeDocument/2006/relationships/hyperlink" Target="http://dx.doi.org/10.4067/S0049-34492003000200013" TargetMode="External"/><Relationship Id="rId448" Type="http://schemas.openxmlformats.org/officeDocument/2006/relationships/image" Target="media/image208.JPG"/><Relationship Id="rId252" Type="http://schemas.openxmlformats.org/officeDocument/2006/relationships/image" Target="media/image116.JPG"/><Relationship Id="rId294" Type="http://schemas.openxmlformats.org/officeDocument/2006/relationships/image" Target="media/image130.jpg"/><Relationship Id="rId308" Type="http://schemas.openxmlformats.org/officeDocument/2006/relationships/image" Target="media/image134.JPG"/><Relationship Id="rId515" Type="http://schemas.openxmlformats.org/officeDocument/2006/relationships/hyperlink" Target="https://www.ubl.ac.cr/biblioteca" TargetMode="External"/><Relationship Id="rId47" Type="http://schemas.openxmlformats.org/officeDocument/2006/relationships/image" Target="media/image22.JPG"/><Relationship Id="rId89" Type="http://schemas.openxmlformats.org/officeDocument/2006/relationships/hyperlink" Target="http://www.ojs.repsasppr.net/index.php/reps/article/view/185" TargetMode="External"/><Relationship Id="rId112" Type="http://schemas.openxmlformats.org/officeDocument/2006/relationships/hyperlink" Target="https://www.redalyc.org/articulo.oa?id=191051314008" TargetMode="External"/><Relationship Id="rId154" Type="http://schemas.openxmlformats.org/officeDocument/2006/relationships/image" Target="media/image71.JPG"/><Relationship Id="rId361" Type="http://schemas.openxmlformats.org/officeDocument/2006/relationships/hyperlink" Target="https://campus.ubl.ac.cr/course/index.php?categoryid=186" TargetMode="External"/><Relationship Id="rId557" Type="http://schemas.openxmlformats.org/officeDocument/2006/relationships/hyperlink" Target="https://doi.org/10.26439/contratexto2019.n032.4604" TargetMode="External"/><Relationship Id="rId599" Type="http://schemas.openxmlformats.org/officeDocument/2006/relationships/hyperlink" Target="http://www.deusto-publicaciones.es/deusto/pdfs/otraspub/otraspub07.pdf" TargetMode="External"/><Relationship Id="rId196" Type="http://schemas.openxmlformats.org/officeDocument/2006/relationships/hyperlink" Target="https://campus.ubl.ac.cr/course/index.php?categoryid=186" TargetMode="External"/><Relationship Id="rId417" Type="http://schemas.openxmlformats.org/officeDocument/2006/relationships/image" Target="media/image189.JPG"/><Relationship Id="rId459" Type="http://schemas.openxmlformats.org/officeDocument/2006/relationships/hyperlink" Target="https://revistas.uniclaretiana.edu.co/index.php/Camino/article/view/77" TargetMode="External"/><Relationship Id="rId16" Type="http://schemas.openxmlformats.org/officeDocument/2006/relationships/hyperlink" Target="https://dialnet.unirioja.es/servlet/libro?codigo=723206" TargetMode="External"/><Relationship Id="rId221" Type="http://schemas.openxmlformats.org/officeDocument/2006/relationships/hyperlink" Target="http://www.ceapedi.com.ar/imagenes/biblioteca/libreria/420.pdf" TargetMode="External"/><Relationship Id="rId263" Type="http://schemas.openxmlformats.org/officeDocument/2006/relationships/hyperlink" Target="http://revistas.ubl.ac.cr/index.php/vyp/article/view/50" TargetMode="External"/><Relationship Id="rId319" Type="http://schemas.openxmlformats.org/officeDocument/2006/relationships/hyperlink" Target="https://www.ubl.ac.cr/biblioteca" TargetMode="External"/><Relationship Id="rId470" Type="http://schemas.openxmlformats.org/officeDocument/2006/relationships/image" Target="media/image213.jpg"/><Relationship Id="rId526" Type="http://schemas.openxmlformats.org/officeDocument/2006/relationships/image" Target="media/image235.JPG"/><Relationship Id="rId58" Type="http://schemas.openxmlformats.org/officeDocument/2006/relationships/hyperlink" Target="http://biblioteca.clacso.edu.ar/clacso/se/20140424014720/Cuestionesyhorizontes.pdf" TargetMode="External"/><Relationship Id="rId123" Type="http://schemas.openxmlformats.org/officeDocument/2006/relationships/hyperlink" Target="http://revistas.ubl.ac.cr/" TargetMode="External"/><Relationship Id="rId330" Type="http://schemas.openxmlformats.org/officeDocument/2006/relationships/image" Target="media/image146.JPG"/><Relationship Id="rId568" Type="http://schemas.openxmlformats.org/officeDocument/2006/relationships/hyperlink" Target="http://www.scielo.org.mx/pdf/ap/v31n2/v31n2a8.pdf" TargetMode="External"/><Relationship Id="rId165" Type="http://schemas.openxmlformats.org/officeDocument/2006/relationships/hyperlink" Target="https://doi.org/10.15332/s1794-3841.2019.0031.07" TargetMode="External"/><Relationship Id="rId372" Type="http://schemas.openxmlformats.org/officeDocument/2006/relationships/hyperlink" Target="https://publicaciones.eafit.edu.co/index.php/co-herencia/article/view/19" TargetMode="External"/><Relationship Id="rId428" Type="http://schemas.openxmlformats.org/officeDocument/2006/relationships/hyperlink" Target="https://www.ubl.ac.cr/biblioteca" TargetMode="External"/><Relationship Id="rId232" Type="http://schemas.openxmlformats.org/officeDocument/2006/relationships/image" Target="media/image107.jpg"/><Relationship Id="rId274" Type="http://schemas.openxmlformats.org/officeDocument/2006/relationships/hyperlink" Target="https://doi.org/10.7764/TyV/632/5/273-279" TargetMode="External"/><Relationship Id="rId481" Type="http://schemas.openxmlformats.org/officeDocument/2006/relationships/hyperlink" Target="http://revistas.ubl.ac.cr/" TargetMode="External"/><Relationship Id="rId27" Type="http://schemas.openxmlformats.org/officeDocument/2006/relationships/image" Target="media/image13.jpg"/><Relationship Id="rId69" Type="http://schemas.openxmlformats.org/officeDocument/2006/relationships/hyperlink" Target="http://www.scielo.org.mx/pdf/soc/v32n92/2007-8358-soc-32-92-00041.pdf" TargetMode="External"/><Relationship Id="rId134" Type="http://schemas.openxmlformats.org/officeDocument/2006/relationships/hyperlink" Target="http://revistas.ubl.ac.cr/" TargetMode="External"/><Relationship Id="rId537" Type="http://schemas.openxmlformats.org/officeDocument/2006/relationships/image" Target="media/image239.jpg"/><Relationship Id="rId579" Type="http://schemas.openxmlformats.org/officeDocument/2006/relationships/hyperlink" Target="http://dx.doi.org/10.4067/S0049-34492005000100003" TargetMode="External"/><Relationship Id="rId80" Type="http://schemas.openxmlformats.org/officeDocument/2006/relationships/image" Target="media/image36.jpg"/><Relationship Id="rId176" Type="http://schemas.openxmlformats.org/officeDocument/2006/relationships/hyperlink" Target="https://doi.org/10.15332/s1794-3841.2019.0031.07" TargetMode="External"/><Relationship Id="rId341" Type="http://schemas.openxmlformats.org/officeDocument/2006/relationships/hyperlink" Target="https://campus.ubl.ac.cr/course/index.php?categoryid=186" TargetMode="External"/><Relationship Id="rId383" Type="http://schemas.openxmlformats.org/officeDocument/2006/relationships/image" Target="media/image175.jpg"/><Relationship Id="rId439" Type="http://schemas.openxmlformats.org/officeDocument/2006/relationships/image" Target="media/image199.JPG"/><Relationship Id="rId590" Type="http://schemas.openxmlformats.org/officeDocument/2006/relationships/hyperlink" Target="https://dx.doi.org/10.4321/S1988-348X2015000200002" TargetMode="External"/><Relationship Id="rId604" Type="http://schemas.openxmlformats.org/officeDocument/2006/relationships/fontTable" Target="fontTable.xml"/><Relationship Id="rId201" Type="http://schemas.openxmlformats.org/officeDocument/2006/relationships/image" Target="media/image94.jpg"/><Relationship Id="rId243" Type="http://schemas.openxmlformats.org/officeDocument/2006/relationships/hyperlink" Target="https://doi.org/10.5209/infe.66476" TargetMode="External"/><Relationship Id="rId285" Type="http://schemas.openxmlformats.org/officeDocument/2006/relationships/hyperlink" Target="http://revistas.ubl.ac.cr/" TargetMode="External"/><Relationship Id="rId450" Type="http://schemas.openxmlformats.org/officeDocument/2006/relationships/hyperlink" Target="https://revistas.udea.edu.co/index.php/unip/article/view/11900" TargetMode="External"/><Relationship Id="rId506" Type="http://schemas.openxmlformats.org/officeDocument/2006/relationships/image" Target="media/image226.jpg"/><Relationship Id="rId38" Type="http://schemas.openxmlformats.org/officeDocument/2006/relationships/hyperlink" Target="https://repository.javeriana.edu.co/handle/10554/38674" TargetMode="External"/><Relationship Id="rId103" Type="http://schemas.openxmlformats.org/officeDocument/2006/relationships/hyperlink" Target="https://revistas.upr.edu/index.php/educacion/article/view/16571" TargetMode="External"/><Relationship Id="rId310" Type="http://schemas.openxmlformats.org/officeDocument/2006/relationships/image" Target="media/image136.jpg"/><Relationship Id="rId492" Type="http://schemas.openxmlformats.org/officeDocument/2006/relationships/hyperlink" Target="https://www.ubl.ac.cr/biblioteca" TargetMode="External"/><Relationship Id="rId548" Type="http://schemas.openxmlformats.org/officeDocument/2006/relationships/hyperlink" Target="https://doi.org/10.26439/contratexto2019.n032.4604" TargetMode="External"/><Relationship Id="rId91" Type="http://schemas.openxmlformats.org/officeDocument/2006/relationships/image" Target="media/image39.JPG"/><Relationship Id="rId145" Type="http://schemas.openxmlformats.org/officeDocument/2006/relationships/hyperlink" Target="https://www.ubl.ac.cr/biblioteca" TargetMode="External"/><Relationship Id="rId187" Type="http://schemas.openxmlformats.org/officeDocument/2006/relationships/image" Target="media/image86.JPG"/><Relationship Id="rId352" Type="http://schemas.openxmlformats.org/officeDocument/2006/relationships/image" Target="media/image161.JPG"/><Relationship Id="rId394" Type="http://schemas.openxmlformats.org/officeDocument/2006/relationships/image" Target="media/image177.JPG"/><Relationship Id="rId408" Type="http://schemas.openxmlformats.org/officeDocument/2006/relationships/hyperlink" Target="https://doi.org/10.15332/s2011-9771.2014.0002.04" TargetMode="External"/><Relationship Id="rId212" Type="http://schemas.openxmlformats.org/officeDocument/2006/relationships/image" Target="media/image96.JPG"/><Relationship Id="rId254" Type="http://schemas.openxmlformats.org/officeDocument/2006/relationships/image" Target="media/image118.JPG"/><Relationship Id="rId49" Type="http://schemas.openxmlformats.org/officeDocument/2006/relationships/hyperlink" Target="http://est.com.br/periodicos/index.php/nepp/article/view/2030/1943" TargetMode="External"/><Relationship Id="rId114" Type="http://schemas.openxmlformats.org/officeDocument/2006/relationships/image" Target="media/image52.JPG"/><Relationship Id="rId296" Type="http://schemas.openxmlformats.org/officeDocument/2006/relationships/hyperlink" Target="https://campus.ubl.ac.cr/login/index.php" TargetMode="External"/><Relationship Id="rId461" Type="http://schemas.openxmlformats.org/officeDocument/2006/relationships/hyperlink" Target="https://www.redalyc.org/articulo.oa?id=191032567008" TargetMode="External"/><Relationship Id="rId517" Type="http://schemas.openxmlformats.org/officeDocument/2006/relationships/hyperlink" Target="mailto:biblioteca@ubl.ac.cr" TargetMode="External"/><Relationship Id="rId559" Type="http://schemas.openxmlformats.org/officeDocument/2006/relationships/hyperlink" Target="https://www.scielo.org.mx/scielo.php?script=sci_arttext&amp;pid=S1665-26732017000300009" TargetMode="External"/><Relationship Id="rId60" Type="http://schemas.openxmlformats.org/officeDocument/2006/relationships/image" Target="media/image24.jpeg"/><Relationship Id="rId156" Type="http://schemas.openxmlformats.org/officeDocument/2006/relationships/image" Target="media/image73.JPG"/><Relationship Id="rId198" Type="http://schemas.openxmlformats.org/officeDocument/2006/relationships/image" Target="media/image91.jpg"/><Relationship Id="rId321" Type="http://schemas.openxmlformats.org/officeDocument/2006/relationships/hyperlink" Target="mailto:biblioteca@ubl.ac.cr" TargetMode="External"/><Relationship Id="rId363" Type="http://schemas.openxmlformats.org/officeDocument/2006/relationships/hyperlink" Target="https://repositorio.una.ac.cr/handle/11056/20226" TargetMode="External"/><Relationship Id="rId419" Type="http://schemas.openxmlformats.org/officeDocument/2006/relationships/image" Target="media/image191.jpg"/><Relationship Id="rId570" Type="http://schemas.openxmlformats.org/officeDocument/2006/relationships/hyperlink" Target="https://irp.cdn-website.com/5be65b2b/files/uploaded/00155-Pasos.pdf" TargetMode="External"/><Relationship Id="rId223" Type="http://schemas.openxmlformats.org/officeDocument/2006/relationships/hyperlink" Target="https://campus.ubl.ac.cr/login/index.php" TargetMode="External"/><Relationship Id="rId430" Type="http://schemas.openxmlformats.org/officeDocument/2006/relationships/hyperlink" Target="mailto:biblioteca@ubl.ac.cr" TargetMode="External"/><Relationship Id="rId18" Type="http://schemas.openxmlformats.org/officeDocument/2006/relationships/image" Target="media/image4.jpg"/><Relationship Id="rId265" Type="http://schemas.openxmlformats.org/officeDocument/2006/relationships/hyperlink" Target="https://campus.ubl.ac.cr/login/index.php" TargetMode="External"/><Relationship Id="rId472" Type="http://schemas.openxmlformats.org/officeDocument/2006/relationships/hyperlink" Target="https://doi.org/10.4067/S0049-34492012000100008" TargetMode="External"/><Relationship Id="rId528" Type="http://schemas.openxmlformats.org/officeDocument/2006/relationships/hyperlink" Target="https://campus.ubl.ac.cr/login/index.php" TargetMode="External"/><Relationship Id="rId125" Type="http://schemas.openxmlformats.org/officeDocument/2006/relationships/hyperlink" Target="https://campus.ubl.ac.cr/course/index.php?categoryid=186" TargetMode="External"/><Relationship Id="rId167" Type="http://schemas.openxmlformats.org/officeDocument/2006/relationships/image" Target="media/image74.JPG"/><Relationship Id="rId332" Type="http://schemas.openxmlformats.org/officeDocument/2006/relationships/image" Target="media/image148.JPG"/><Relationship Id="rId374" Type="http://schemas.openxmlformats.org/officeDocument/2006/relationships/hyperlink" Target="https://doi.org/10.51378/rlt.v29i87.4726" TargetMode="External"/><Relationship Id="rId581" Type="http://schemas.openxmlformats.org/officeDocument/2006/relationships/hyperlink" Target="http://revistas.ubl.ac.cr/index.php/vyp/article/view/49" TargetMode="External"/><Relationship Id="rId71" Type="http://schemas.openxmlformats.org/officeDocument/2006/relationships/hyperlink" Target="https://www.margen.org/suscri/margen94/Sotomayor-94.pdf" TargetMode="External"/><Relationship Id="rId234" Type="http://schemas.openxmlformats.org/officeDocument/2006/relationships/image" Target="media/image109.jpg"/><Relationship Id="rId2" Type="http://schemas.openxmlformats.org/officeDocument/2006/relationships/numbering" Target="numbering.xml"/><Relationship Id="rId29" Type="http://schemas.openxmlformats.org/officeDocument/2006/relationships/image" Target="media/image15.JPG"/><Relationship Id="rId276" Type="http://schemas.openxmlformats.org/officeDocument/2006/relationships/image" Target="media/image125.jpg"/><Relationship Id="rId441" Type="http://schemas.openxmlformats.org/officeDocument/2006/relationships/image" Target="media/image201.JPG"/><Relationship Id="rId483" Type="http://schemas.openxmlformats.org/officeDocument/2006/relationships/hyperlink" Target="https://campus.ubl.ac.cr/course/index.php?categoryid=186" TargetMode="External"/><Relationship Id="rId539" Type="http://schemas.openxmlformats.org/officeDocument/2006/relationships/image" Target="media/image241.JPG"/><Relationship Id="rId40" Type="http://schemas.openxmlformats.org/officeDocument/2006/relationships/hyperlink" Target="http://est.com.br/periodicos/index.php/nepp/article/view/2030/1943" TargetMode="External"/><Relationship Id="rId136" Type="http://schemas.openxmlformats.org/officeDocument/2006/relationships/hyperlink" Target="https://campus.ubl.ac.cr/course/index.php?categoryid=186" TargetMode="External"/><Relationship Id="rId178" Type="http://schemas.openxmlformats.org/officeDocument/2006/relationships/hyperlink" Target="https://doi.org/10.5377/realidad.v0i148.4584" TargetMode="External"/><Relationship Id="rId301" Type="http://schemas.openxmlformats.org/officeDocument/2006/relationships/hyperlink" Target="https://www.redalyc.org/articulo.oa?id=32225031002" TargetMode="External"/><Relationship Id="rId343" Type="http://schemas.openxmlformats.org/officeDocument/2006/relationships/image" Target="media/image152.JPG"/><Relationship Id="rId550" Type="http://schemas.openxmlformats.org/officeDocument/2006/relationships/header" Target="header10.xml"/><Relationship Id="rId82" Type="http://schemas.openxmlformats.org/officeDocument/2006/relationships/hyperlink" Target="https://campus.ubl.ac.cr/login/index.php" TargetMode="External"/><Relationship Id="rId203" Type="http://schemas.openxmlformats.org/officeDocument/2006/relationships/hyperlink" Target="https://campus.ubl.ac.cr/login/index.php" TargetMode="External"/><Relationship Id="rId385" Type="http://schemas.openxmlformats.org/officeDocument/2006/relationships/hyperlink" Target="https://www.academic-bible.com/en/online-bibles/novum-testamentum-graece-na-28/read-the-bible-text/" TargetMode="External"/><Relationship Id="rId592" Type="http://schemas.openxmlformats.org/officeDocument/2006/relationships/hyperlink" Target="https://campus.ubl.ac.cr/login/index.php" TargetMode="External"/><Relationship Id="rId245" Type="http://schemas.openxmlformats.org/officeDocument/2006/relationships/hyperlink" Target="http://apostadigital.com/revistav3/hemeroteca/mjalonso5.pdf" TargetMode="External"/><Relationship Id="rId287" Type="http://schemas.openxmlformats.org/officeDocument/2006/relationships/hyperlink" Target="https://campus.ubl.ac.cr/course/index.php?categoryid=186" TargetMode="External"/><Relationship Id="rId410" Type="http://schemas.openxmlformats.org/officeDocument/2006/relationships/hyperlink" Target="https://scielo.conicyt.cl/scielo.php?script=sci_arttext&amp;pid=S0049-34492007000100005" TargetMode="External"/><Relationship Id="rId452" Type="http://schemas.openxmlformats.org/officeDocument/2006/relationships/hyperlink" Target="https://doi.org/10.15332/s2011-9771.2016.0002.02" TargetMode="External"/><Relationship Id="rId494" Type="http://schemas.openxmlformats.org/officeDocument/2006/relationships/hyperlink" Target="mailto:biblioteca@ubl.ac.cr" TargetMode="External"/><Relationship Id="rId508" Type="http://schemas.openxmlformats.org/officeDocument/2006/relationships/image" Target="media/image228.JPG"/><Relationship Id="rId105" Type="http://schemas.openxmlformats.org/officeDocument/2006/relationships/hyperlink" Target="http://www.ojs.repsasppr.net/index.php/reps/article/view/185" TargetMode="External"/><Relationship Id="rId147" Type="http://schemas.openxmlformats.org/officeDocument/2006/relationships/hyperlink" Target="mailto:biblioteca@ubl.ac.cr" TargetMode="External"/><Relationship Id="rId312" Type="http://schemas.openxmlformats.org/officeDocument/2006/relationships/image" Target="media/image138.JPG"/><Relationship Id="rId354" Type="http://schemas.openxmlformats.org/officeDocument/2006/relationships/image" Target="media/image163.JPG"/><Relationship Id="rId51" Type="http://schemas.openxmlformats.org/officeDocument/2006/relationships/hyperlink" Target="https://doi.org/10.22458/re.v13i27.497" TargetMode="External"/><Relationship Id="rId93" Type="http://schemas.openxmlformats.org/officeDocument/2006/relationships/image" Target="media/image41.JPG"/><Relationship Id="rId189" Type="http://schemas.openxmlformats.org/officeDocument/2006/relationships/image" Target="media/image88.JPG"/><Relationship Id="rId396" Type="http://schemas.openxmlformats.org/officeDocument/2006/relationships/image" Target="media/image179.jpg"/><Relationship Id="rId561" Type="http://schemas.openxmlformats.org/officeDocument/2006/relationships/hyperlink" Target="http://dx.doi.org/10.4067/S0049-34492021000100085" TargetMode="External"/><Relationship Id="rId214" Type="http://schemas.openxmlformats.org/officeDocument/2006/relationships/image" Target="media/image98.JPG"/><Relationship Id="rId256" Type="http://schemas.openxmlformats.org/officeDocument/2006/relationships/image" Target="media/image120.JPG"/><Relationship Id="rId298" Type="http://schemas.openxmlformats.org/officeDocument/2006/relationships/hyperlink" Target="http://revistas.ubl.ac.cr/" TargetMode="External"/><Relationship Id="rId421" Type="http://schemas.openxmlformats.org/officeDocument/2006/relationships/image" Target="media/image193.JPG"/><Relationship Id="rId463" Type="http://schemas.openxmlformats.org/officeDocument/2006/relationships/hyperlink" Target="https://doi.org/10.4067/S0049-34492012000100008" TargetMode="External"/><Relationship Id="rId519" Type="http://schemas.openxmlformats.org/officeDocument/2006/relationships/hyperlink" Target="https://revistas-filologicas.unam.mx/acta-poetica/index.php/ap/article/view/339" TargetMode="External"/><Relationship Id="rId116" Type="http://schemas.openxmlformats.org/officeDocument/2006/relationships/image" Target="media/image54.JPG"/><Relationship Id="rId158" Type="http://schemas.openxmlformats.org/officeDocument/2006/relationships/hyperlink" Target="https://revistas.javeriana.edu.co/index.php/teoxaveriana/article/view/9340" TargetMode="External"/><Relationship Id="rId323" Type="http://schemas.openxmlformats.org/officeDocument/2006/relationships/hyperlink" Target="https://www.camjol.info/index.php/raices/article/view/9009/10164" TargetMode="External"/><Relationship Id="rId530" Type="http://schemas.openxmlformats.org/officeDocument/2006/relationships/hyperlink" Target="http://revistas.ubl.ac.cr/" TargetMode="External"/><Relationship Id="rId20" Type="http://schemas.openxmlformats.org/officeDocument/2006/relationships/image" Target="media/image6.jpg"/><Relationship Id="rId62" Type="http://schemas.openxmlformats.org/officeDocument/2006/relationships/image" Target="media/image26.jpeg"/><Relationship Id="rId365" Type="http://schemas.openxmlformats.org/officeDocument/2006/relationships/image" Target="media/image166.jpg"/><Relationship Id="rId572" Type="http://schemas.openxmlformats.org/officeDocument/2006/relationships/image" Target="media/image249.JPG"/><Relationship Id="rId225" Type="http://schemas.openxmlformats.org/officeDocument/2006/relationships/hyperlink" Target="http://revistas.ubl.ac.cr/" TargetMode="External"/><Relationship Id="rId267" Type="http://schemas.openxmlformats.org/officeDocument/2006/relationships/hyperlink" Target="https://www.academic-bible.com/en/online-bibles/biblia-hebraica-stuttgartensia-bhs/read-the-bible-text/" TargetMode="External"/><Relationship Id="rId432" Type="http://schemas.openxmlformats.org/officeDocument/2006/relationships/hyperlink" Target="https://doi.org/10.15332/s2011-9771.2016.0002.02" TargetMode="External"/><Relationship Id="rId474" Type="http://schemas.openxmlformats.org/officeDocument/2006/relationships/hyperlink" Target="https://iviva.org/revistas/238/238-11-CARLOSGIL.pdf" TargetMode="External"/><Relationship Id="rId127" Type="http://schemas.openxmlformats.org/officeDocument/2006/relationships/image" Target="media/image58.jpg"/><Relationship Id="rId31" Type="http://schemas.openxmlformats.org/officeDocument/2006/relationships/hyperlink" Target="https://dialnet.unirioja.es/servlet/articulo?codigo=2972010" TargetMode="External"/><Relationship Id="rId73" Type="http://schemas.openxmlformats.org/officeDocument/2006/relationships/hyperlink" Target="https://www.ubl.ac.cr/biblioteca" TargetMode="External"/><Relationship Id="rId169" Type="http://schemas.openxmlformats.org/officeDocument/2006/relationships/image" Target="media/image76.jpg"/><Relationship Id="rId334" Type="http://schemas.openxmlformats.org/officeDocument/2006/relationships/image" Target="media/image150.JPG"/><Relationship Id="rId376" Type="http://schemas.openxmlformats.org/officeDocument/2006/relationships/hyperlink" Target="https://www.academic-bible.com/en/online-bibles/novum-testamentum-graece-na-28/read-the-bible-text/" TargetMode="External"/><Relationship Id="rId541" Type="http://schemas.openxmlformats.org/officeDocument/2006/relationships/hyperlink" Target="https://www.ubl.ac.cr/biblioteca" TargetMode="External"/><Relationship Id="rId583" Type="http://schemas.openxmlformats.org/officeDocument/2006/relationships/hyperlink" Target="https://campus.ubl.ac.cr/login/index.php" TargetMode="External"/><Relationship Id="rId4" Type="http://schemas.openxmlformats.org/officeDocument/2006/relationships/settings" Target="settings.xml"/><Relationship Id="rId180" Type="http://schemas.openxmlformats.org/officeDocument/2006/relationships/hyperlink" Target="https://www.ubl.ac.cr/biblioteca" TargetMode="External"/><Relationship Id="rId236" Type="http://schemas.openxmlformats.org/officeDocument/2006/relationships/image" Target="media/image111.jpg"/><Relationship Id="rId278" Type="http://schemas.openxmlformats.org/officeDocument/2006/relationships/hyperlink" Target="https://www.academic-bible.com/en/online-bibles/biblia-hebraica-stuttgartensia-bhs/read-the-bible-text/" TargetMode="External"/><Relationship Id="rId401" Type="http://schemas.openxmlformats.org/officeDocument/2006/relationships/hyperlink" Target="https://doi.org/10.36576/summa.33295" TargetMode="External"/><Relationship Id="rId443" Type="http://schemas.openxmlformats.org/officeDocument/2006/relationships/image" Target="media/image203.JPG"/><Relationship Id="rId303" Type="http://schemas.openxmlformats.org/officeDocument/2006/relationships/hyperlink" Target="https://www.redalyc.org/articulo.oa?id=32219216003" TargetMode="External"/><Relationship Id="rId485" Type="http://schemas.openxmlformats.org/officeDocument/2006/relationships/image" Target="media/image215.JPG"/><Relationship Id="rId42" Type="http://schemas.openxmlformats.org/officeDocument/2006/relationships/image" Target="media/image17.jpg"/><Relationship Id="rId84" Type="http://schemas.openxmlformats.org/officeDocument/2006/relationships/hyperlink" Target="http://revistas.ubl.ac.cr/" TargetMode="External"/><Relationship Id="rId138" Type="http://schemas.openxmlformats.org/officeDocument/2006/relationships/image" Target="media/image63.jpg"/><Relationship Id="rId345" Type="http://schemas.openxmlformats.org/officeDocument/2006/relationships/image" Target="media/image154.JPG"/><Relationship Id="rId387" Type="http://schemas.openxmlformats.org/officeDocument/2006/relationships/hyperlink" Target="https://www.ubl.ac.cr/biblioteca" TargetMode="External"/><Relationship Id="rId510" Type="http://schemas.openxmlformats.org/officeDocument/2006/relationships/hyperlink" Target="https://revistas.upb.edu.co/index.php/cuestiones/article/view/5637" TargetMode="External"/><Relationship Id="rId552" Type="http://schemas.openxmlformats.org/officeDocument/2006/relationships/image" Target="media/image243.JPG"/><Relationship Id="rId594" Type="http://schemas.openxmlformats.org/officeDocument/2006/relationships/hyperlink" Target="http://revistas.ubl.ac.cr/" TargetMode="External"/><Relationship Id="rId191" Type="http://schemas.openxmlformats.org/officeDocument/2006/relationships/image" Target="media/image90.jpg"/><Relationship Id="rId205" Type="http://schemas.openxmlformats.org/officeDocument/2006/relationships/hyperlink" Target="http://revistas.ubl.ac.cr/" TargetMode="External"/><Relationship Id="rId247" Type="http://schemas.openxmlformats.org/officeDocument/2006/relationships/header" Target="header1.xml"/><Relationship Id="rId412" Type="http://schemas.openxmlformats.org/officeDocument/2006/relationships/image" Target="media/image184.JPG"/><Relationship Id="rId107" Type="http://schemas.openxmlformats.org/officeDocument/2006/relationships/hyperlink" Target="https://www.ubl.ac.cr/biblioteca" TargetMode="External"/><Relationship Id="rId289" Type="http://schemas.openxmlformats.org/officeDocument/2006/relationships/hyperlink" Target="https://www.academic-bible.com/en/online-bibles/novum-testamentum-graece-na-28/read-the-bible-text/" TargetMode="External"/><Relationship Id="rId454" Type="http://schemas.openxmlformats.org/officeDocument/2006/relationships/image" Target="media/image209.jpeg"/><Relationship Id="rId496" Type="http://schemas.openxmlformats.org/officeDocument/2006/relationships/hyperlink" Target="https://revistas.upb.edu.co/index.php/cuestiones/article/view/5637" TargetMode="External"/><Relationship Id="rId11" Type="http://schemas.openxmlformats.org/officeDocument/2006/relationships/hyperlink" Target="https://www.ubl.ac.cr/biblioteca" TargetMode="External"/><Relationship Id="rId53" Type="http://schemas.openxmlformats.org/officeDocument/2006/relationships/hyperlink" Target="https://www.ubl.ac.cr/biblioteca" TargetMode="External"/><Relationship Id="rId149" Type="http://schemas.openxmlformats.org/officeDocument/2006/relationships/hyperlink" Target="https://revistas.usal.es//index.php/0213-2052/article/view/6230/6244" TargetMode="External"/><Relationship Id="rId314" Type="http://schemas.openxmlformats.org/officeDocument/2006/relationships/image" Target="media/image140.JPG"/><Relationship Id="rId356" Type="http://schemas.openxmlformats.org/officeDocument/2006/relationships/image" Target="media/image165.JPG"/><Relationship Id="rId398" Type="http://schemas.openxmlformats.org/officeDocument/2006/relationships/image" Target="media/image181.JPG"/><Relationship Id="rId521" Type="http://schemas.openxmlformats.org/officeDocument/2006/relationships/image" Target="media/image230.jpg"/><Relationship Id="rId563" Type="http://schemas.openxmlformats.org/officeDocument/2006/relationships/hyperlink" Target="https://www.ubl.ac.cr/biblioteca" TargetMode="External"/><Relationship Id="rId95" Type="http://schemas.openxmlformats.org/officeDocument/2006/relationships/image" Target="media/image43.JPG"/><Relationship Id="rId160" Type="http://schemas.openxmlformats.org/officeDocument/2006/relationships/hyperlink" Target="https://www.ubl.ac.cr/biblioteca" TargetMode="External"/><Relationship Id="rId216" Type="http://schemas.openxmlformats.org/officeDocument/2006/relationships/image" Target="media/image100.JPG"/><Relationship Id="rId423" Type="http://schemas.openxmlformats.org/officeDocument/2006/relationships/image" Target="media/image195.JPG"/><Relationship Id="rId258" Type="http://schemas.openxmlformats.org/officeDocument/2006/relationships/image" Target="media/image122.jpg"/><Relationship Id="rId465" Type="http://schemas.openxmlformats.org/officeDocument/2006/relationships/hyperlink" Target="https://doi.org/10.15603/1676-3394/ribla.v80n2p39-58" TargetMode="External"/><Relationship Id="rId22" Type="http://schemas.openxmlformats.org/officeDocument/2006/relationships/image" Target="media/image8.jpg"/><Relationship Id="rId64" Type="http://schemas.openxmlformats.org/officeDocument/2006/relationships/image" Target="media/image28.jpeg"/><Relationship Id="rId118" Type="http://schemas.openxmlformats.org/officeDocument/2006/relationships/image" Target="media/image56.JPG"/><Relationship Id="rId325" Type="http://schemas.openxmlformats.org/officeDocument/2006/relationships/image" Target="media/image141.JPG"/><Relationship Id="rId367" Type="http://schemas.openxmlformats.org/officeDocument/2006/relationships/image" Target="media/image168.jpg"/><Relationship Id="rId532" Type="http://schemas.openxmlformats.org/officeDocument/2006/relationships/hyperlink" Target="https://campus.ubl.ac.cr/course/index.php?categoryid=186" TargetMode="External"/><Relationship Id="rId574" Type="http://schemas.openxmlformats.org/officeDocument/2006/relationships/image" Target="media/image251.JPG"/><Relationship Id="rId171" Type="http://schemas.openxmlformats.org/officeDocument/2006/relationships/image" Target="media/image78.JPG"/><Relationship Id="rId227" Type="http://schemas.openxmlformats.org/officeDocument/2006/relationships/hyperlink" Target="https://campus.ubl.ac.cr/course/index.php?categoryid=186" TargetMode="External"/><Relationship Id="rId269" Type="http://schemas.openxmlformats.org/officeDocument/2006/relationships/hyperlink" Target="http://revistas.ubl.ac.cr/" TargetMode="External"/><Relationship Id="rId434" Type="http://schemas.openxmlformats.org/officeDocument/2006/relationships/hyperlink" Target="https://repositorio.una.ac.cr/bitstream/handle/11056/26080/Educacion_religiosa.pdf?sequence=1&amp;isAllowed=y" TargetMode="External"/><Relationship Id="rId476" Type="http://schemas.openxmlformats.org/officeDocument/2006/relationships/hyperlink" Target="https://revistas.uniclaretiana.edu.co/index.php/Camino/article/view/77" TargetMode="External"/><Relationship Id="rId33" Type="http://schemas.openxmlformats.org/officeDocument/2006/relationships/hyperlink" Target="https://campus.ubl.ac.cr/login/index.php" TargetMode="External"/><Relationship Id="rId129" Type="http://schemas.openxmlformats.org/officeDocument/2006/relationships/image" Target="media/image60.jpg"/><Relationship Id="rId280" Type="http://schemas.openxmlformats.org/officeDocument/2006/relationships/hyperlink" Target="https://doi.org/10.7764/TyV/632/5/273-279" TargetMode="External"/><Relationship Id="rId336" Type="http://schemas.openxmlformats.org/officeDocument/2006/relationships/hyperlink" Target="https://dialnet.unirioja.es/servlet/articulo?codigo=6176164" TargetMode="External"/><Relationship Id="rId501" Type="http://schemas.openxmlformats.org/officeDocument/2006/relationships/image" Target="media/image221.jpg"/><Relationship Id="rId543" Type="http://schemas.openxmlformats.org/officeDocument/2006/relationships/hyperlink" Target="mailto:biblioteca@ubl.ac.cr" TargetMode="External"/><Relationship Id="rId75" Type="http://schemas.openxmlformats.org/officeDocument/2006/relationships/hyperlink" Target="mailto:biblioteca@ubl.ac.cr" TargetMode="External"/><Relationship Id="rId140" Type="http://schemas.openxmlformats.org/officeDocument/2006/relationships/image" Target="media/image65.jpg"/><Relationship Id="rId182" Type="http://schemas.openxmlformats.org/officeDocument/2006/relationships/hyperlink" Target="mailto:biblioteca@ubl.ac.cr" TargetMode="External"/><Relationship Id="rId378" Type="http://schemas.openxmlformats.org/officeDocument/2006/relationships/hyperlink" Target="http://revistas.ubl.ac.cr/" TargetMode="External"/><Relationship Id="rId403" Type="http://schemas.openxmlformats.org/officeDocument/2006/relationships/hyperlink" Target="https://campus.ubl.ac.cr/login/index.php" TargetMode="External"/><Relationship Id="rId585" Type="http://schemas.openxmlformats.org/officeDocument/2006/relationships/hyperlink" Target="http://revistas.ubl.ac.cr/" TargetMode="External"/><Relationship Id="rId6" Type="http://schemas.openxmlformats.org/officeDocument/2006/relationships/footnotes" Target="footnotes.xml"/><Relationship Id="rId238" Type="http://schemas.openxmlformats.org/officeDocument/2006/relationships/hyperlink" Target="https://campus.ubl.ac.cr/login/index.php" TargetMode="External"/><Relationship Id="rId445" Type="http://schemas.openxmlformats.org/officeDocument/2006/relationships/image" Target="media/image205.JPG"/><Relationship Id="rId487" Type="http://schemas.openxmlformats.org/officeDocument/2006/relationships/image" Target="media/image217.JPG"/><Relationship Id="rId291" Type="http://schemas.openxmlformats.org/officeDocument/2006/relationships/image" Target="media/image127.jpg"/><Relationship Id="rId305" Type="http://schemas.openxmlformats.org/officeDocument/2006/relationships/image" Target="media/image131.jpg"/><Relationship Id="rId347" Type="http://schemas.openxmlformats.org/officeDocument/2006/relationships/image" Target="media/image156.JPG"/><Relationship Id="rId512" Type="http://schemas.openxmlformats.org/officeDocument/2006/relationships/hyperlink" Target="https://revistas-filologicas.unam.mx/acta-poetica/index.php/ap/article/view/351" TargetMode="External"/><Relationship Id="rId44" Type="http://schemas.openxmlformats.org/officeDocument/2006/relationships/image" Target="media/image19.jpg"/><Relationship Id="rId86" Type="http://schemas.openxmlformats.org/officeDocument/2006/relationships/hyperlink" Target="https://campus.ubl.ac.cr/course/index.php?categoryid=186" TargetMode="External"/><Relationship Id="rId151" Type="http://schemas.openxmlformats.org/officeDocument/2006/relationships/image" Target="media/image68.JPG"/><Relationship Id="rId389" Type="http://schemas.openxmlformats.org/officeDocument/2006/relationships/hyperlink" Target="mailto:biblioteca@ubl.ac.cr" TargetMode="External"/><Relationship Id="rId554" Type="http://schemas.openxmlformats.org/officeDocument/2006/relationships/image" Target="media/image245.JPG"/><Relationship Id="rId596" Type="http://schemas.openxmlformats.org/officeDocument/2006/relationships/hyperlink" Target="https://campus.ubl.ac.cr/course/index.php?categoryid=186" TargetMode="External"/><Relationship Id="rId193" Type="http://schemas.openxmlformats.org/officeDocument/2006/relationships/hyperlink" Target="https://www.ubl.ac.cr/biblioteca" TargetMode="External"/><Relationship Id="rId207" Type="http://schemas.openxmlformats.org/officeDocument/2006/relationships/hyperlink" Target="https://campus.ubl.ac.cr/course/index.php?categoryid=186" TargetMode="External"/><Relationship Id="rId249" Type="http://schemas.openxmlformats.org/officeDocument/2006/relationships/image" Target="media/image113.JPG"/><Relationship Id="rId414" Type="http://schemas.openxmlformats.org/officeDocument/2006/relationships/image" Target="media/image186.JPG"/><Relationship Id="rId456" Type="http://schemas.openxmlformats.org/officeDocument/2006/relationships/hyperlink" Target="http://revistas.ubl.ac.cr/" TargetMode="External"/><Relationship Id="rId498" Type="http://schemas.openxmlformats.org/officeDocument/2006/relationships/hyperlink" Target="https://revistas.upb.edu.co/index.php/cuestiones/article/view/349" TargetMode="External"/><Relationship Id="rId13" Type="http://schemas.openxmlformats.org/officeDocument/2006/relationships/hyperlink" Target="mailto:biblioteca@ubl.ac.cr" TargetMode="External"/><Relationship Id="rId109" Type="http://schemas.openxmlformats.org/officeDocument/2006/relationships/hyperlink" Target="mailto:biblioteca@ubl.ac.cr" TargetMode="External"/><Relationship Id="rId260" Type="http://schemas.openxmlformats.org/officeDocument/2006/relationships/image" Target="media/image124.JPG"/><Relationship Id="rId316" Type="http://schemas.openxmlformats.org/officeDocument/2006/relationships/hyperlink" Target="http://revistas.ubl.ac.cr/index.php/vyp/article/view/85" TargetMode="External"/><Relationship Id="rId523" Type="http://schemas.openxmlformats.org/officeDocument/2006/relationships/image" Target="media/image232.jpg"/><Relationship Id="rId55" Type="http://schemas.openxmlformats.org/officeDocument/2006/relationships/hyperlink" Target="mailto:biblioteca@ubl.ac.cr" TargetMode="External"/><Relationship Id="rId97" Type="http://schemas.openxmlformats.org/officeDocument/2006/relationships/image" Target="media/image45.JPG"/><Relationship Id="rId120" Type="http://schemas.openxmlformats.org/officeDocument/2006/relationships/hyperlink" Target="https://www.redalyc.org/articulo.oa?id=191051314008" TargetMode="External"/><Relationship Id="rId358" Type="http://schemas.openxmlformats.org/officeDocument/2006/relationships/hyperlink" Target="https://www.ubl.ac.cr/biblioteca" TargetMode="External"/><Relationship Id="rId565" Type="http://schemas.openxmlformats.org/officeDocument/2006/relationships/hyperlink" Target="mailto:biblioteca@ubl.ac.cr" TargetMode="External"/><Relationship Id="rId162" Type="http://schemas.openxmlformats.org/officeDocument/2006/relationships/hyperlink" Target="mailto:biblioteca@ubl.ac.cr" TargetMode="External"/><Relationship Id="rId218" Type="http://schemas.openxmlformats.org/officeDocument/2006/relationships/image" Target="media/image102.JPG"/><Relationship Id="rId425" Type="http://schemas.openxmlformats.org/officeDocument/2006/relationships/hyperlink" Target="https://doi.org/10.15332/s2011-9771.2014.0002.04" TargetMode="External"/><Relationship Id="rId467" Type="http://schemas.openxmlformats.org/officeDocument/2006/relationships/image" Target="media/image210.jpg"/><Relationship Id="rId271" Type="http://schemas.openxmlformats.org/officeDocument/2006/relationships/hyperlink" Target="https://campus.ubl.ac.cr/course/index.php?categoryid=186" TargetMode="External"/><Relationship Id="rId24" Type="http://schemas.openxmlformats.org/officeDocument/2006/relationships/image" Target="media/image10.jpg"/><Relationship Id="rId66" Type="http://schemas.openxmlformats.org/officeDocument/2006/relationships/image" Target="media/image30.jpeg"/><Relationship Id="rId131" Type="http://schemas.openxmlformats.org/officeDocument/2006/relationships/image" Target="media/image62.JPG"/><Relationship Id="rId327" Type="http://schemas.openxmlformats.org/officeDocument/2006/relationships/image" Target="media/image143.JPG"/><Relationship Id="rId369" Type="http://schemas.openxmlformats.org/officeDocument/2006/relationships/image" Target="media/image170.jpg"/><Relationship Id="rId534" Type="http://schemas.openxmlformats.org/officeDocument/2006/relationships/image" Target="media/image236.JPG"/><Relationship Id="rId576" Type="http://schemas.openxmlformats.org/officeDocument/2006/relationships/image" Target="media/image253.JPG"/><Relationship Id="rId173" Type="http://schemas.openxmlformats.org/officeDocument/2006/relationships/image" Target="media/image80.JPG"/><Relationship Id="rId229" Type="http://schemas.openxmlformats.org/officeDocument/2006/relationships/image" Target="media/image104.jpg"/><Relationship Id="rId380" Type="http://schemas.openxmlformats.org/officeDocument/2006/relationships/hyperlink" Target="https://campus.ubl.ac.cr/course/index.php?categoryid=186" TargetMode="External"/><Relationship Id="rId436" Type="http://schemas.openxmlformats.org/officeDocument/2006/relationships/image" Target="media/image196.jpg"/><Relationship Id="rId601" Type="http://schemas.openxmlformats.org/officeDocument/2006/relationships/hyperlink" Target="https://dx.doi.org/10.4321/S1988-348X2015000200002" TargetMode="External"/><Relationship Id="rId240" Type="http://schemas.openxmlformats.org/officeDocument/2006/relationships/hyperlink" Target="http://revistas.ubl.ac.cr/" TargetMode="External"/><Relationship Id="rId478" Type="http://schemas.openxmlformats.org/officeDocument/2006/relationships/hyperlink" Target="https://doi.org/10.15603/1676-3394/ribla.v80n2p39-58" TargetMode="External"/><Relationship Id="rId35" Type="http://schemas.openxmlformats.org/officeDocument/2006/relationships/hyperlink" Target="http://revistas.ubl.ac.cr/" TargetMode="External"/><Relationship Id="rId77" Type="http://schemas.openxmlformats.org/officeDocument/2006/relationships/image" Target="media/image33.jpg"/><Relationship Id="rId100" Type="http://schemas.openxmlformats.org/officeDocument/2006/relationships/image" Target="media/image48.JPG"/><Relationship Id="rId282" Type="http://schemas.openxmlformats.org/officeDocument/2006/relationships/hyperlink" Target="https://campus.ubl.ac.cr/login/index.php" TargetMode="External"/><Relationship Id="rId338" Type="http://schemas.openxmlformats.org/officeDocument/2006/relationships/hyperlink" Target="https://www.ubl.ac.cr/biblioteca" TargetMode="External"/><Relationship Id="rId503" Type="http://schemas.openxmlformats.org/officeDocument/2006/relationships/image" Target="media/image223.JPG"/><Relationship Id="rId545" Type="http://schemas.openxmlformats.org/officeDocument/2006/relationships/hyperlink" Target="http://dx.doi.org/10.18682%20/cdc.vi92.3877" TargetMode="External"/><Relationship Id="rId587" Type="http://schemas.openxmlformats.org/officeDocument/2006/relationships/hyperlink" Target="https://campus.ubl.ac.cr/course/index.php?categoryid=186" TargetMode="External"/><Relationship Id="rId8" Type="http://schemas.openxmlformats.org/officeDocument/2006/relationships/image" Target="media/image1.png"/><Relationship Id="rId142" Type="http://schemas.openxmlformats.org/officeDocument/2006/relationships/image" Target="media/image67.jpg"/><Relationship Id="rId184" Type="http://schemas.openxmlformats.org/officeDocument/2006/relationships/image" Target="media/image83.JPG"/><Relationship Id="rId391" Type="http://schemas.openxmlformats.org/officeDocument/2006/relationships/hyperlink" Target="https://doi.org/10.36576/summa.33295" TargetMode="External"/><Relationship Id="rId405" Type="http://schemas.openxmlformats.org/officeDocument/2006/relationships/hyperlink" Target="http://revistas.ubl.ac.cr/" TargetMode="External"/><Relationship Id="rId447" Type="http://schemas.openxmlformats.org/officeDocument/2006/relationships/image" Target="media/image207.JPG"/><Relationship Id="rId251" Type="http://schemas.openxmlformats.org/officeDocument/2006/relationships/image" Target="media/image115.jpg"/><Relationship Id="rId489" Type="http://schemas.openxmlformats.org/officeDocument/2006/relationships/image" Target="media/image219.JPG"/><Relationship Id="rId46" Type="http://schemas.openxmlformats.org/officeDocument/2006/relationships/image" Target="media/image21.JPG"/><Relationship Id="rId293" Type="http://schemas.openxmlformats.org/officeDocument/2006/relationships/image" Target="media/image129.jpg"/><Relationship Id="rId307" Type="http://schemas.openxmlformats.org/officeDocument/2006/relationships/image" Target="media/image133.JPG"/><Relationship Id="rId349" Type="http://schemas.openxmlformats.org/officeDocument/2006/relationships/image" Target="media/image158.JPG"/><Relationship Id="rId514" Type="http://schemas.openxmlformats.org/officeDocument/2006/relationships/hyperlink" Target="https://campus.ubl.ac.cr/login/index.php" TargetMode="External"/><Relationship Id="rId556" Type="http://schemas.openxmlformats.org/officeDocument/2006/relationships/image" Target="media/image247.JPG"/><Relationship Id="rId88" Type="http://schemas.openxmlformats.org/officeDocument/2006/relationships/hyperlink" Target="https://doi.org/10.19083/ridu.9.442" TargetMode="External"/><Relationship Id="rId111" Type="http://schemas.openxmlformats.org/officeDocument/2006/relationships/hyperlink" Target="https://core.ac.uk/outputs/32326395" TargetMode="External"/><Relationship Id="rId153" Type="http://schemas.openxmlformats.org/officeDocument/2006/relationships/image" Target="media/image70.JPG"/><Relationship Id="rId195" Type="http://schemas.openxmlformats.org/officeDocument/2006/relationships/hyperlink" Target="mailto:biblioteca@ubl.ac.cr" TargetMode="External"/><Relationship Id="rId209" Type="http://schemas.openxmlformats.org/officeDocument/2006/relationships/hyperlink" Target="http://biblioteca.clacso.edu.ar/clacso/osal/20110318071025/4GarciaValdivieso.pdf" TargetMode="External"/><Relationship Id="rId360" Type="http://schemas.openxmlformats.org/officeDocument/2006/relationships/hyperlink" Target="mailto:biblioteca@ubl.ac.cr" TargetMode="External"/><Relationship Id="rId416" Type="http://schemas.openxmlformats.org/officeDocument/2006/relationships/image" Target="media/image188.JPG"/><Relationship Id="rId598" Type="http://schemas.openxmlformats.org/officeDocument/2006/relationships/hyperlink" Target="https://revistas.uchile.cl/index.php/CDM/article/view/25953" TargetMode="External"/><Relationship Id="rId220" Type="http://schemas.openxmlformats.org/officeDocument/2006/relationships/hyperlink" Target="http://biblioteca.clacso.edu.ar/clacso/osal/20110318071025/4GarciaValdivieso.pdf" TargetMode="External"/><Relationship Id="rId458" Type="http://schemas.openxmlformats.org/officeDocument/2006/relationships/hyperlink" Target="https://campus.ubl.ac.cr/course/index.php?categoryid=186" TargetMode="External"/><Relationship Id="rId15" Type="http://schemas.openxmlformats.org/officeDocument/2006/relationships/hyperlink" Target="https://dialnet.unirioja.es/servlet/articulo?codigo=2972010" TargetMode="External"/><Relationship Id="rId57" Type="http://schemas.openxmlformats.org/officeDocument/2006/relationships/hyperlink" Target="http://www.scielo.org.mx/pdf/soc/v32n92/2007-8358-soc-32-92-00041.pdf" TargetMode="External"/><Relationship Id="rId262" Type="http://schemas.openxmlformats.org/officeDocument/2006/relationships/hyperlink" Target="https://doi.org/10.5209/infe.66476" TargetMode="External"/><Relationship Id="rId318" Type="http://schemas.openxmlformats.org/officeDocument/2006/relationships/hyperlink" Target="https://campus.ubl.ac.cr/login/index.php" TargetMode="External"/><Relationship Id="rId525" Type="http://schemas.openxmlformats.org/officeDocument/2006/relationships/image" Target="media/image234.JPG"/><Relationship Id="rId567" Type="http://schemas.openxmlformats.org/officeDocument/2006/relationships/hyperlink" Target="http://dx.doi.org/10.4067/S0049-34492005000100003" TargetMode="External"/><Relationship Id="rId99" Type="http://schemas.openxmlformats.org/officeDocument/2006/relationships/image" Target="media/image47.JPG"/><Relationship Id="rId122" Type="http://schemas.openxmlformats.org/officeDocument/2006/relationships/hyperlink" Target="https://www.ubl.ac.cr/biblioteca" TargetMode="External"/><Relationship Id="rId164" Type="http://schemas.openxmlformats.org/officeDocument/2006/relationships/hyperlink" Target="https://doi.org/10.5377/realidad.v0i148.4584" TargetMode="External"/><Relationship Id="rId371" Type="http://schemas.openxmlformats.org/officeDocument/2006/relationships/image" Target="media/image172.jpg"/><Relationship Id="rId427" Type="http://schemas.openxmlformats.org/officeDocument/2006/relationships/hyperlink" Target="https://campus.ubl.ac.cr/login/index.php" TargetMode="External"/><Relationship Id="rId469" Type="http://schemas.openxmlformats.org/officeDocument/2006/relationships/image" Target="media/image212.JPG"/><Relationship Id="rId26" Type="http://schemas.openxmlformats.org/officeDocument/2006/relationships/image" Target="media/image12.jpg"/><Relationship Id="rId231" Type="http://schemas.openxmlformats.org/officeDocument/2006/relationships/image" Target="media/image106.jpg"/><Relationship Id="rId273" Type="http://schemas.openxmlformats.org/officeDocument/2006/relationships/hyperlink" Target="http://hdl.handle.net/10554/50711" TargetMode="External"/><Relationship Id="rId329" Type="http://schemas.openxmlformats.org/officeDocument/2006/relationships/image" Target="media/image145.JPG"/><Relationship Id="rId480" Type="http://schemas.openxmlformats.org/officeDocument/2006/relationships/hyperlink" Target="https://www.ubl.ac.cr/biblioteca" TargetMode="External"/><Relationship Id="rId536" Type="http://schemas.openxmlformats.org/officeDocument/2006/relationships/image" Target="media/image238.jpg"/><Relationship Id="rId68" Type="http://schemas.openxmlformats.org/officeDocument/2006/relationships/image" Target="media/image32.jpeg"/><Relationship Id="rId133" Type="http://schemas.openxmlformats.org/officeDocument/2006/relationships/hyperlink" Target="https://www.ubl.ac.cr/biblioteca" TargetMode="External"/><Relationship Id="rId175" Type="http://schemas.openxmlformats.org/officeDocument/2006/relationships/image" Target="media/image82.JPG"/><Relationship Id="rId340" Type="http://schemas.openxmlformats.org/officeDocument/2006/relationships/hyperlink" Target="mailto:biblioteca@ubl.ac.cr" TargetMode="External"/><Relationship Id="rId578" Type="http://schemas.openxmlformats.org/officeDocument/2006/relationships/hyperlink" Target="https://irp.cdn-website.com/5be65b2b/files/uploaded/00155-Pasos.pdf" TargetMode="External"/><Relationship Id="rId200" Type="http://schemas.openxmlformats.org/officeDocument/2006/relationships/image" Target="media/image93.jpg"/><Relationship Id="rId382" Type="http://schemas.openxmlformats.org/officeDocument/2006/relationships/image" Target="media/image174.jpg"/><Relationship Id="rId438" Type="http://schemas.openxmlformats.org/officeDocument/2006/relationships/image" Target="media/image198.JPG"/><Relationship Id="rId603" Type="http://schemas.openxmlformats.org/officeDocument/2006/relationships/hyperlink" Target="http://www.deusto-publicaciones.es/deusto/pdfs/otraspub/otraspub07.pdf" TargetMode="External"/><Relationship Id="rId242" Type="http://schemas.openxmlformats.org/officeDocument/2006/relationships/hyperlink" Target="https://campus.ubl.ac.cr/course/index.php?categoryid=186" TargetMode="External"/><Relationship Id="rId284" Type="http://schemas.openxmlformats.org/officeDocument/2006/relationships/hyperlink" Target="https://www.ubl.ac.cr/biblioteca" TargetMode="External"/><Relationship Id="rId491" Type="http://schemas.openxmlformats.org/officeDocument/2006/relationships/hyperlink" Target="https://campus.ubl.ac.cr/login/index.php" TargetMode="External"/><Relationship Id="rId505" Type="http://schemas.openxmlformats.org/officeDocument/2006/relationships/image" Target="media/image225.jpg"/><Relationship Id="rId37" Type="http://schemas.openxmlformats.org/officeDocument/2006/relationships/hyperlink" Target="https://campus.ubl.ac.cr/course/index.php?categoryid=186" TargetMode="External"/><Relationship Id="rId79" Type="http://schemas.openxmlformats.org/officeDocument/2006/relationships/image" Target="media/image35.JPG"/><Relationship Id="rId102" Type="http://schemas.openxmlformats.org/officeDocument/2006/relationships/image" Target="media/image50.JPG"/><Relationship Id="rId144" Type="http://schemas.openxmlformats.org/officeDocument/2006/relationships/hyperlink" Target="https://campus.ubl.ac.cr/login/index.php" TargetMode="External"/><Relationship Id="rId547" Type="http://schemas.openxmlformats.org/officeDocument/2006/relationships/hyperlink" Target="http://dx.doi.org/10.4067/S0049-34492021000100085" TargetMode="External"/><Relationship Id="rId589" Type="http://schemas.openxmlformats.org/officeDocument/2006/relationships/hyperlink" Target="http://www.deusto-publicaciones.es/deusto/pdfs/otraspub/otraspub07.pdf" TargetMode="External"/><Relationship Id="rId90" Type="http://schemas.openxmlformats.org/officeDocument/2006/relationships/image" Target="media/image38.jpg"/><Relationship Id="rId186" Type="http://schemas.openxmlformats.org/officeDocument/2006/relationships/image" Target="media/image85.JPG"/><Relationship Id="rId351" Type="http://schemas.openxmlformats.org/officeDocument/2006/relationships/image" Target="media/image160.JPG"/><Relationship Id="rId393" Type="http://schemas.openxmlformats.org/officeDocument/2006/relationships/header" Target="header3.xml"/><Relationship Id="rId407" Type="http://schemas.openxmlformats.org/officeDocument/2006/relationships/hyperlink" Target="https://campus.ubl.ac.cr/course/index.php?categoryid=186" TargetMode="External"/><Relationship Id="rId449" Type="http://schemas.openxmlformats.org/officeDocument/2006/relationships/hyperlink" Target="https://repositorio.una.ac.cr/bitstream/handle/11056/26080/Educacion_religiosa.pdf?sequence=1&amp;isAllowed=y" TargetMode="External"/><Relationship Id="rId211" Type="http://schemas.openxmlformats.org/officeDocument/2006/relationships/image" Target="media/image95.JPG"/><Relationship Id="rId253" Type="http://schemas.openxmlformats.org/officeDocument/2006/relationships/image" Target="media/image117.JPG"/><Relationship Id="rId295" Type="http://schemas.openxmlformats.org/officeDocument/2006/relationships/hyperlink" Target="https://www.academic-bible.com/en/online-bibles/novum-testamentum-graece-na-28/read-the-bible-text/" TargetMode="External"/><Relationship Id="rId309" Type="http://schemas.openxmlformats.org/officeDocument/2006/relationships/image" Target="media/image135.JPG"/><Relationship Id="rId460" Type="http://schemas.openxmlformats.org/officeDocument/2006/relationships/hyperlink" Target="https://iviva.org/revistas/238/238-11-CARLOSGIL.pdf" TargetMode="External"/><Relationship Id="rId516" Type="http://schemas.openxmlformats.org/officeDocument/2006/relationships/hyperlink" Target="http://revistas.ubl.ac.cr/" TargetMode="External"/><Relationship Id="rId48" Type="http://schemas.openxmlformats.org/officeDocument/2006/relationships/image" Target="media/image23.JPG"/><Relationship Id="rId113" Type="http://schemas.openxmlformats.org/officeDocument/2006/relationships/image" Target="media/image51.JPG"/><Relationship Id="rId320" Type="http://schemas.openxmlformats.org/officeDocument/2006/relationships/hyperlink" Target="http://revistas.ubl.ac.cr/" TargetMode="External"/><Relationship Id="rId558" Type="http://schemas.openxmlformats.org/officeDocument/2006/relationships/hyperlink" Target="http://dx.doi.org/10.18682/cdc.vi92.3877" TargetMode="External"/><Relationship Id="rId155" Type="http://schemas.openxmlformats.org/officeDocument/2006/relationships/image" Target="media/image72.JPG"/><Relationship Id="rId197" Type="http://schemas.openxmlformats.org/officeDocument/2006/relationships/hyperlink" Target="https://doi.org/10.5377/realidad.v0i121.3322" TargetMode="External"/><Relationship Id="rId362" Type="http://schemas.openxmlformats.org/officeDocument/2006/relationships/hyperlink" Target="https://publicaciones.eafit.edu.co/index.php/co-herencia/article/view/19" TargetMode="External"/><Relationship Id="rId418" Type="http://schemas.openxmlformats.org/officeDocument/2006/relationships/image" Target="media/image190.jpg"/><Relationship Id="rId222" Type="http://schemas.openxmlformats.org/officeDocument/2006/relationships/hyperlink" Target="http://www.scielo.org.mx/pdf/espiral/v24n69/1665-0565-espiral-24-69-00073.pdf" TargetMode="External"/><Relationship Id="rId264" Type="http://schemas.openxmlformats.org/officeDocument/2006/relationships/hyperlink" Target="https://papers.ssrn.com/sol3/papers.cfm?abstract_id=2611644" TargetMode="External"/><Relationship Id="rId471" Type="http://schemas.openxmlformats.org/officeDocument/2006/relationships/image" Target="media/image214.JPG"/><Relationship Id="rId17" Type="http://schemas.openxmlformats.org/officeDocument/2006/relationships/image" Target="media/image3.JPG"/><Relationship Id="rId59" Type="http://schemas.openxmlformats.org/officeDocument/2006/relationships/hyperlink" Target="https://www.margen.org/suscri/margen94/Sotomayor-94.pdf" TargetMode="External"/><Relationship Id="rId124" Type="http://schemas.openxmlformats.org/officeDocument/2006/relationships/hyperlink" Target="mailto:biblioteca@ubl.ac.cr" TargetMode="External"/><Relationship Id="rId527" Type="http://schemas.openxmlformats.org/officeDocument/2006/relationships/hyperlink" Target="https://revistas-filologicas.unam.mx/acta-poetica/index.php/ap/article/view/339" TargetMode="External"/><Relationship Id="rId569" Type="http://schemas.openxmlformats.org/officeDocument/2006/relationships/hyperlink" Target="http://revistas.ubl.ac.cr/index.php/vyp/article/view/49" TargetMode="External"/><Relationship Id="rId70" Type="http://schemas.openxmlformats.org/officeDocument/2006/relationships/hyperlink" Target="http://biblioteca.clacso.edu.ar/clacso/se/20140424014720/Cuestionesyhorizontes.pdf" TargetMode="External"/><Relationship Id="rId166" Type="http://schemas.openxmlformats.org/officeDocument/2006/relationships/hyperlink" Target="https://doi.org/10.5377/realidad.v0i151.6808" TargetMode="External"/><Relationship Id="rId331" Type="http://schemas.openxmlformats.org/officeDocument/2006/relationships/image" Target="media/image147.JPG"/><Relationship Id="rId373" Type="http://schemas.openxmlformats.org/officeDocument/2006/relationships/hyperlink" Target="https://repositorio.una.ac.cr/handle/11056/20226" TargetMode="External"/><Relationship Id="rId429" Type="http://schemas.openxmlformats.org/officeDocument/2006/relationships/hyperlink" Target="http://revistas.ubl.ac.cr/" TargetMode="External"/><Relationship Id="rId580" Type="http://schemas.openxmlformats.org/officeDocument/2006/relationships/hyperlink" Target="http://www.scielo.org.mx/pdf/ap/v31n2/v31n2a8.pdf" TargetMode="External"/><Relationship Id="rId1" Type="http://schemas.openxmlformats.org/officeDocument/2006/relationships/customXml" Target="../customXml/item1.xml"/><Relationship Id="rId233" Type="http://schemas.openxmlformats.org/officeDocument/2006/relationships/image" Target="media/image108.jpg"/><Relationship Id="rId440" Type="http://schemas.openxmlformats.org/officeDocument/2006/relationships/image" Target="media/image200.jpg"/><Relationship Id="rId28" Type="http://schemas.openxmlformats.org/officeDocument/2006/relationships/image" Target="media/image14.JPG"/><Relationship Id="rId275" Type="http://schemas.openxmlformats.org/officeDocument/2006/relationships/hyperlink" Target="https://revistaseug.ugr.es/index.php/meahhebreo/article/view/12503" TargetMode="External"/><Relationship Id="rId300" Type="http://schemas.openxmlformats.org/officeDocument/2006/relationships/hyperlink" Target="https://campus.ubl.ac.cr/course/index.php?categoryid=186" TargetMode="External"/><Relationship Id="rId482" Type="http://schemas.openxmlformats.org/officeDocument/2006/relationships/hyperlink" Target="mailto:biblioteca@ubl.ac.cr" TargetMode="External"/><Relationship Id="rId538" Type="http://schemas.openxmlformats.org/officeDocument/2006/relationships/image" Target="media/image240.jpg"/><Relationship Id="rId81" Type="http://schemas.openxmlformats.org/officeDocument/2006/relationships/image" Target="media/image37.JPG"/><Relationship Id="rId135" Type="http://schemas.openxmlformats.org/officeDocument/2006/relationships/hyperlink" Target="mailto:biblioteca@ubl.ac.cr" TargetMode="External"/><Relationship Id="rId177" Type="http://schemas.openxmlformats.org/officeDocument/2006/relationships/hyperlink" Target="https://doi.org/10.5377/realidad.v0i151.6808" TargetMode="External"/><Relationship Id="rId342" Type="http://schemas.openxmlformats.org/officeDocument/2006/relationships/image" Target="media/image151.jpg"/><Relationship Id="rId384" Type="http://schemas.openxmlformats.org/officeDocument/2006/relationships/image" Target="media/image176.jpg"/><Relationship Id="rId591" Type="http://schemas.openxmlformats.org/officeDocument/2006/relationships/hyperlink" Target="http://www.deusto-publicaciones.es/deusto/pdfs/otraspub/otraspub07.pdf" TargetMode="External"/><Relationship Id="rId605" Type="http://schemas.openxmlformats.org/officeDocument/2006/relationships/theme" Target="theme/theme1.xml"/><Relationship Id="rId202" Type="http://schemas.openxmlformats.org/officeDocument/2006/relationships/hyperlink" Target="https://doi.org/10.5377/realidad.v0i121.3322" TargetMode="External"/><Relationship Id="rId244" Type="http://schemas.openxmlformats.org/officeDocument/2006/relationships/hyperlink" Target="https://papers.ssrn.com/sol3/papers.cfm?abstract_id=2611644" TargetMode="External"/><Relationship Id="rId39" Type="http://schemas.openxmlformats.org/officeDocument/2006/relationships/hyperlink" Target="https://doi.org/10.22458/re.v13i27.497" TargetMode="External"/><Relationship Id="rId286" Type="http://schemas.openxmlformats.org/officeDocument/2006/relationships/hyperlink" Target="mailto:biblioteca@ubl.ac.cr" TargetMode="External"/><Relationship Id="rId451" Type="http://schemas.openxmlformats.org/officeDocument/2006/relationships/hyperlink" Target="http://revistas.ubl.ac.cr/index.php/apteo/issue/view/58" TargetMode="External"/><Relationship Id="rId493" Type="http://schemas.openxmlformats.org/officeDocument/2006/relationships/hyperlink" Target="http://revistas.ubl.ac.cr/" TargetMode="External"/><Relationship Id="rId507" Type="http://schemas.openxmlformats.org/officeDocument/2006/relationships/image" Target="media/image227.JPG"/><Relationship Id="rId549" Type="http://schemas.openxmlformats.org/officeDocument/2006/relationships/hyperlink" Target="https://www.scielo.org.mx/scielo.php?script=sci_arttext&amp;pid=S1665-26732017000300009" TargetMode="External"/><Relationship Id="rId50" Type="http://schemas.openxmlformats.org/officeDocument/2006/relationships/hyperlink" Target="https://repository.javeriana.edu.co/handle/10554/38674" TargetMode="External"/><Relationship Id="rId104" Type="http://schemas.openxmlformats.org/officeDocument/2006/relationships/hyperlink" Target="https://doi.org/10.19083/ridu.9.442" TargetMode="External"/><Relationship Id="rId146" Type="http://schemas.openxmlformats.org/officeDocument/2006/relationships/hyperlink" Target="http://revistas.ubl.ac.cr/" TargetMode="External"/><Relationship Id="rId188" Type="http://schemas.openxmlformats.org/officeDocument/2006/relationships/image" Target="media/image87.JPG"/><Relationship Id="rId311" Type="http://schemas.openxmlformats.org/officeDocument/2006/relationships/image" Target="media/image137.JPG"/><Relationship Id="rId353" Type="http://schemas.openxmlformats.org/officeDocument/2006/relationships/image" Target="media/image162.JPG"/><Relationship Id="rId395" Type="http://schemas.openxmlformats.org/officeDocument/2006/relationships/image" Target="media/image178.JPG"/><Relationship Id="rId409" Type="http://schemas.openxmlformats.org/officeDocument/2006/relationships/hyperlink" Target="http://ojs.uc.cl/index.php/%20tyv/article/view/14446" TargetMode="External"/><Relationship Id="rId560" Type="http://schemas.openxmlformats.org/officeDocument/2006/relationships/hyperlink" Target="https://doi.org/10.47182/rb.77.n-201646" TargetMode="External"/><Relationship Id="rId92" Type="http://schemas.openxmlformats.org/officeDocument/2006/relationships/image" Target="media/image40.JPG"/><Relationship Id="rId213" Type="http://schemas.openxmlformats.org/officeDocument/2006/relationships/image" Target="media/image97.JPG"/><Relationship Id="rId420" Type="http://schemas.openxmlformats.org/officeDocument/2006/relationships/image" Target="media/image192.JPG"/><Relationship Id="rId255" Type="http://schemas.openxmlformats.org/officeDocument/2006/relationships/image" Target="media/image119.JPG"/><Relationship Id="rId297" Type="http://schemas.openxmlformats.org/officeDocument/2006/relationships/hyperlink" Target="https://www.ubl.ac.cr/biblioteca" TargetMode="External"/><Relationship Id="rId462" Type="http://schemas.openxmlformats.org/officeDocument/2006/relationships/hyperlink" Target="https://revistas.javeriana.edu.co/index.php/teoxaveriana/article/view/9366" TargetMode="External"/><Relationship Id="rId518" Type="http://schemas.openxmlformats.org/officeDocument/2006/relationships/hyperlink" Target="https://campus.ubl.ac.cr/course/index.php?categoryid=186" TargetMode="External"/><Relationship Id="rId115" Type="http://schemas.openxmlformats.org/officeDocument/2006/relationships/image" Target="media/image53.JPG"/><Relationship Id="rId157" Type="http://schemas.openxmlformats.org/officeDocument/2006/relationships/hyperlink" Target="https://revistas.usal.es//index.php/0213-2052/article/view/6230/6244" TargetMode="External"/><Relationship Id="rId322" Type="http://schemas.openxmlformats.org/officeDocument/2006/relationships/hyperlink" Target="https://campus.ubl.ac.cr/course/index.php?categoryid=186" TargetMode="External"/><Relationship Id="rId364" Type="http://schemas.openxmlformats.org/officeDocument/2006/relationships/hyperlink" Target="https://doi.org/10.51378/rlt.v29i87.4726" TargetMode="External"/><Relationship Id="rId61" Type="http://schemas.openxmlformats.org/officeDocument/2006/relationships/image" Target="media/image25.jpeg"/><Relationship Id="rId199" Type="http://schemas.openxmlformats.org/officeDocument/2006/relationships/image" Target="media/image92.JPG"/><Relationship Id="rId571" Type="http://schemas.openxmlformats.org/officeDocument/2006/relationships/image" Target="media/image248.JPG"/><Relationship Id="rId19" Type="http://schemas.openxmlformats.org/officeDocument/2006/relationships/image" Target="media/image5.jpg"/><Relationship Id="rId224" Type="http://schemas.openxmlformats.org/officeDocument/2006/relationships/hyperlink" Target="https://www.ubl.ac.cr/biblioteca" TargetMode="External"/><Relationship Id="rId266" Type="http://schemas.openxmlformats.org/officeDocument/2006/relationships/hyperlink" Target="http://hdl.handle.net/10554/50711" TargetMode="External"/><Relationship Id="rId431" Type="http://schemas.openxmlformats.org/officeDocument/2006/relationships/hyperlink" Target="https://campus.ubl.ac.cr/course/index.php?categoryid=186" TargetMode="External"/><Relationship Id="rId473" Type="http://schemas.openxmlformats.org/officeDocument/2006/relationships/hyperlink" Target="https://doi.org/10.4067/S0049-34492020000400423" TargetMode="External"/><Relationship Id="rId529" Type="http://schemas.openxmlformats.org/officeDocument/2006/relationships/hyperlink" Target="https://www.ubl.ac.cr/biblioteca" TargetMode="External"/><Relationship Id="rId30" Type="http://schemas.openxmlformats.org/officeDocument/2006/relationships/image" Target="media/image16.jpg"/><Relationship Id="rId126" Type="http://schemas.openxmlformats.org/officeDocument/2006/relationships/image" Target="media/image57.jpg"/><Relationship Id="rId168" Type="http://schemas.openxmlformats.org/officeDocument/2006/relationships/image" Target="media/image75.jpg"/><Relationship Id="rId333" Type="http://schemas.openxmlformats.org/officeDocument/2006/relationships/image" Target="media/image149.JPG"/><Relationship Id="rId540" Type="http://schemas.openxmlformats.org/officeDocument/2006/relationships/hyperlink" Target="https://campus.ubl.ac.cr/login/index.php" TargetMode="External"/><Relationship Id="rId72" Type="http://schemas.openxmlformats.org/officeDocument/2006/relationships/hyperlink" Target="https://campus.ubl.ac.cr/login/index.php" TargetMode="External"/><Relationship Id="rId375" Type="http://schemas.openxmlformats.org/officeDocument/2006/relationships/hyperlink" Target="https://campus.ubl.ac.cr/login/index.php" TargetMode="External"/><Relationship Id="rId582" Type="http://schemas.openxmlformats.org/officeDocument/2006/relationships/image" Target="media/image255.jpg"/><Relationship Id="rId3" Type="http://schemas.openxmlformats.org/officeDocument/2006/relationships/styles" Target="styles.xml"/><Relationship Id="rId235" Type="http://schemas.openxmlformats.org/officeDocument/2006/relationships/image" Target="media/image110.jpg"/><Relationship Id="rId277" Type="http://schemas.openxmlformats.org/officeDocument/2006/relationships/image" Target="media/image126.jpg"/><Relationship Id="rId400" Type="http://schemas.openxmlformats.org/officeDocument/2006/relationships/image" Target="media/image183.JPG"/><Relationship Id="rId442" Type="http://schemas.openxmlformats.org/officeDocument/2006/relationships/image" Target="media/image202.JPG"/><Relationship Id="rId484" Type="http://schemas.openxmlformats.org/officeDocument/2006/relationships/header" Target="header6.xml"/><Relationship Id="rId137" Type="http://schemas.openxmlformats.org/officeDocument/2006/relationships/hyperlink" Target="https://revistas.javeriana.edu.co/index.php/teoxaveriana/article/view/10969" TargetMode="External"/><Relationship Id="rId302" Type="http://schemas.openxmlformats.org/officeDocument/2006/relationships/hyperlink" Target="http://revistas.ubl.ac.cr/index.php/vyp/article/view/85" TargetMode="External"/><Relationship Id="rId344" Type="http://schemas.openxmlformats.org/officeDocument/2006/relationships/image" Target="media/image153.JPG"/><Relationship Id="rId41" Type="http://schemas.openxmlformats.org/officeDocument/2006/relationships/footer" Target="footer1.xml"/><Relationship Id="rId83" Type="http://schemas.openxmlformats.org/officeDocument/2006/relationships/hyperlink" Target="https://www.ubl.ac.cr/biblioteca" TargetMode="External"/><Relationship Id="rId179" Type="http://schemas.openxmlformats.org/officeDocument/2006/relationships/hyperlink" Target="https://campus.ubl.ac.cr/login/index.php" TargetMode="External"/><Relationship Id="rId386" Type="http://schemas.openxmlformats.org/officeDocument/2006/relationships/hyperlink" Target="https://campus.ubl.ac.cr/login/index.php" TargetMode="External"/><Relationship Id="rId551" Type="http://schemas.openxmlformats.org/officeDocument/2006/relationships/image" Target="media/image242.JPG"/><Relationship Id="rId593" Type="http://schemas.openxmlformats.org/officeDocument/2006/relationships/hyperlink" Target="https://www.ubl.ac.cr/biblioteca" TargetMode="External"/><Relationship Id="rId190" Type="http://schemas.openxmlformats.org/officeDocument/2006/relationships/image" Target="media/image89.JPG"/><Relationship Id="rId204" Type="http://schemas.openxmlformats.org/officeDocument/2006/relationships/hyperlink" Target="https://www.ubl.ac.cr/biblioteca" TargetMode="External"/><Relationship Id="rId246" Type="http://schemas.openxmlformats.org/officeDocument/2006/relationships/hyperlink" Target="http://revistas.ubl.ac.cr/index.php/vyp/article/view/50" TargetMode="External"/><Relationship Id="rId288" Type="http://schemas.openxmlformats.org/officeDocument/2006/relationships/hyperlink" Target="https://www.academic-bible.com/en/online-bibles/novum-testamentum-graece-na-28/read-the-bible-text/" TargetMode="External"/><Relationship Id="rId411" Type="http://schemas.openxmlformats.org/officeDocument/2006/relationships/header" Target="header4.xml"/><Relationship Id="rId453" Type="http://schemas.openxmlformats.org/officeDocument/2006/relationships/hyperlink" Target="https://campus.ubl.ac.cr/login/index.php" TargetMode="External"/><Relationship Id="rId509" Type="http://schemas.openxmlformats.org/officeDocument/2006/relationships/image" Target="media/image229.jpg"/><Relationship Id="rId106" Type="http://schemas.openxmlformats.org/officeDocument/2006/relationships/hyperlink" Target="https://campus.ubl.ac.cr/login/index.php" TargetMode="External"/><Relationship Id="rId313" Type="http://schemas.openxmlformats.org/officeDocument/2006/relationships/image" Target="media/image139.JPG"/><Relationship Id="rId495" Type="http://schemas.openxmlformats.org/officeDocument/2006/relationships/hyperlink" Target="https://campus.ubl.ac.cr/course/index.php?categoryid=186" TargetMode="External"/><Relationship Id="rId10" Type="http://schemas.openxmlformats.org/officeDocument/2006/relationships/hyperlink" Target="https://campus.ubl.ac.cr/login/index.php" TargetMode="External"/><Relationship Id="rId52" Type="http://schemas.openxmlformats.org/officeDocument/2006/relationships/hyperlink" Target="https://campus.ubl.ac.cr/login/index.php" TargetMode="External"/><Relationship Id="rId94" Type="http://schemas.openxmlformats.org/officeDocument/2006/relationships/image" Target="media/image42.JPG"/><Relationship Id="rId148" Type="http://schemas.openxmlformats.org/officeDocument/2006/relationships/hyperlink" Target="https://campus.ubl.ac.cr/course/index.php?categoryid=186" TargetMode="External"/><Relationship Id="rId355" Type="http://schemas.openxmlformats.org/officeDocument/2006/relationships/image" Target="media/image164.JPG"/><Relationship Id="rId397" Type="http://schemas.openxmlformats.org/officeDocument/2006/relationships/image" Target="media/image180.jpg"/><Relationship Id="rId520" Type="http://schemas.openxmlformats.org/officeDocument/2006/relationships/header" Target="header8.xml"/><Relationship Id="rId562" Type="http://schemas.openxmlformats.org/officeDocument/2006/relationships/hyperlink" Target="https://campus.ubl.ac.cr/login/index.php" TargetMode="External"/><Relationship Id="rId215" Type="http://schemas.openxmlformats.org/officeDocument/2006/relationships/image" Target="media/image99.JPG"/><Relationship Id="rId257" Type="http://schemas.openxmlformats.org/officeDocument/2006/relationships/image" Target="media/image121.JPG"/><Relationship Id="rId422" Type="http://schemas.openxmlformats.org/officeDocument/2006/relationships/image" Target="media/image194.JPG"/><Relationship Id="rId464" Type="http://schemas.openxmlformats.org/officeDocument/2006/relationships/hyperlink" Target="https://doi.org/10.4067/S0049-34492020000400423" TargetMode="External"/><Relationship Id="rId299" Type="http://schemas.openxmlformats.org/officeDocument/2006/relationships/hyperlink" Target="mailto:biblioteca@ubl.ac.cr" TargetMode="External"/><Relationship Id="rId63" Type="http://schemas.openxmlformats.org/officeDocument/2006/relationships/image" Target="media/image27.jpeg"/><Relationship Id="rId159" Type="http://schemas.openxmlformats.org/officeDocument/2006/relationships/hyperlink" Target="https://campus.ubl.ac.cr/login/index.php" TargetMode="External"/><Relationship Id="rId366" Type="http://schemas.openxmlformats.org/officeDocument/2006/relationships/image" Target="media/image167.JPG"/><Relationship Id="rId573" Type="http://schemas.openxmlformats.org/officeDocument/2006/relationships/image" Target="media/image250.JPG"/><Relationship Id="rId226" Type="http://schemas.openxmlformats.org/officeDocument/2006/relationships/hyperlink" Target="mailto:biblioteca@ubl.ac.cr" TargetMode="External"/><Relationship Id="rId433" Type="http://schemas.openxmlformats.org/officeDocument/2006/relationships/hyperlink" Target="https://revistas.udea.edu.co/index.php/unip/article/view/11900" TargetMode="External"/><Relationship Id="rId74" Type="http://schemas.openxmlformats.org/officeDocument/2006/relationships/hyperlink" Target="http://revistas.ubl.ac.cr/" TargetMode="External"/><Relationship Id="rId377" Type="http://schemas.openxmlformats.org/officeDocument/2006/relationships/hyperlink" Target="https://www.ubl.ac.cr/biblioteca" TargetMode="External"/><Relationship Id="rId500" Type="http://schemas.openxmlformats.org/officeDocument/2006/relationships/header" Target="header7.xml"/><Relationship Id="rId584" Type="http://schemas.openxmlformats.org/officeDocument/2006/relationships/hyperlink" Target="https://www.ubl.ac.cr/biblioteca" TargetMode="External"/><Relationship Id="rId5" Type="http://schemas.openxmlformats.org/officeDocument/2006/relationships/webSettings" Target="webSettings.xml"/><Relationship Id="rId237" Type="http://schemas.openxmlformats.org/officeDocument/2006/relationships/hyperlink" Target="https://www.redalyc.org/articulo.oa?id=125247734001" TargetMode="External"/><Relationship Id="rId444" Type="http://schemas.openxmlformats.org/officeDocument/2006/relationships/image" Target="media/image204.JPG"/><Relationship Id="rId290" Type="http://schemas.openxmlformats.org/officeDocument/2006/relationships/hyperlink" Target="https://www.academic-bible.com/en/online-bibles/novum-testamentum-graece-na-28/read-the-bible-text/" TargetMode="External"/><Relationship Id="rId304" Type="http://schemas.openxmlformats.org/officeDocument/2006/relationships/header" Target="header2.xml"/><Relationship Id="rId388" Type="http://schemas.openxmlformats.org/officeDocument/2006/relationships/hyperlink" Target="http://revistas.ubl.ac.cr/" TargetMode="External"/><Relationship Id="rId511" Type="http://schemas.openxmlformats.org/officeDocument/2006/relationships/hyperlink" Target="https://www.vatican.va/content/francesco/es/encyclicals/documents/papa-francesco_20150524_enciclica-laudato-si.html" TargetMode="External"/><Relationship Id="rId85" Type="http://schemas.openxmlformats.org/officeDocument/2006/relationships/hyperlink" Target="mailto:biblioteca@ubl.ac.cr" TargetMode="External"/><Relationship Id="rId150" Type="http://schemas.openxmlformats.org/officeDocument/2006/relationships/hyperlink" Target="https://revistas.javeriana.edu.co/index.php/teoxaveriana/article/view/9340" TargetMode="External"/><Relationship Id="rId595" Type="http://schemas.openxmlformats.org/officeDocument/2006/relationships/hyperlink" Target="mailto:biblioteca@ubl.ac.cr" TargetMode="External"/><Relationship Id="rId248" Type="http://schemas.openxmlformats.org/officeDocument/2006/relationships/image" Target="media/image112.JPG"/><Relationship Id="rId455" Type="http://schemas.openxmlformats.org/officeDocument/2006/relationships/hyperlink" Target="https://www.ubl.ac.cr/biblioteca" TargetMode="External"/><Relationship Id="rId12" Type="http://schemas.openxmlformats.org/officeDocument/2006/relationships/hyperlink" Target="http://revistas.ubl.ac.cr/" TargetMode="External"/><Relationship Id="rId108" Type="http://schemas.openxmlformats.org/officeDocument/2006/relationships/hyperlink" Target="http://revistas.ubl.ac.cr/" TargetMode="External"/><Relationship Id="rId315" Type="http://schemas.openxmlformats.org/officeDocument/2006/relationships/hyperlink" Target="https://www.redalyc.org/articulo.oa?id=32219216003" TargetMode="External"/><Relationship Id="rId522" Type="http://schemas.openxmlformats.org/officeDocument/2006/relationships/image" Target="media/image231.JPG"/><Relationship Id="rId96" Type="http://schemas.openxmlformats.org/officeDocument/2006/relationships/image" Target="media/image44.JPG"/><Relationship Id="rId161" Type="http://schemas.openxmlformats.org/officeDocument/2006/relationships/hyperlink" Target="http://revistas.ubl.ac.cr/" TargetMode="External"/><Relationship Id="rId399" Type="http://schemas.openxmlformats.org/officeDocument/2006/relationships/image" Target="media/image182.JPG"/><Relationship Id="rId259" Type="http://schemas.openxmlformats.org/officeDocument/2006/relationships/image" Target="media/image123.JPG"/><Relationship Id="rId466" Type="http://schemas.openxmlformats.org/officeDocument/2006/relationships/header" Target="header5.xml"/><Relationship Id="rId23" Type="http://schemas.openxmlformats.org/officeDocument/2006/relationships/image" Target="media/image9.jpg"/><Relationship Id="rId119" Type="http://schemas.openxmlformats.org/officeDocument/2006/relationships/hyperlink" Target="https://core.ac.uk/outputs/32326395" TargetMode="External"/><Relationship Id="rId326" Type="http://schemas.openxmlformats.org/officeDocument/2006/relationships/image" Target="media/image142.JPG"/><Relationship Id="rId533" Type="http://schemas.openxmlformats.org/officeDocument/2006/relationships/header" Target="header9.xml"/><Relationship Id="rId172" Type="http://schemas.openxmlformats.org/officeDocument/2006/relationships/image" Target="media/image79.JPG"/><Relationship Id="rId477" Type="http://schemas.openxmlformats.org/officeDocument/2006/relationships/hyperlink" Target="https://www.redalyc.org/articulo.oa?id=191032567008" TargetMode="External"/><Relationship Id="rId600" Type="http://schemas.openxmlformats.org/officeDocument/2006/relationships/header" Target="header11.xml"/><Relationship Id="rId337" Type="http://schemas.openxmlformats.org/officeDocument/2006/relationships/hyperlink" Target="https://campus.ubl.ac.cr/login/index.php" TargetMode="External"/><Relationship Id="rId34" Type="http://schemas.openxmlformats.org/officeDocument/2006/relationships/hyperlink" Target="https://www.ubl.ac.cr/biblioteca" TargetMode="External"/><Relationship Id="rId544" Type="http://schemas.openxmlformats.org/officeDocument/2006/relationships/hyperlink" Target="https://campus.ubl.ac.cr/course/index.php?categoryid=186" TargetMode="External"/><Relationship Id="rId183" Type="http://schemas.openxmlformats.org/officeDocument/2006/relationships/hyperlink" Target="https://campus.ubl.ac.cr/course/index.php?categoryid=186" TargetMode="External"/><Relationship Id="rId390" Type="http://schemas.openxmlformats.org/officeDocument/2006/relationships/hyperlink" Target="https://campus.ubl.ac.cr/course/index.php?categoryid=186" TargetMode="External"/><Relationship Id="rId404" Type="http://schemas.openxmlformats.org/officeDocument/2006/relationships/hyperlink" Target="https://www.ubl.ac.cr/biblioteca" TargetMode="External"/><Relationship Id="rId250" Type="http://schemas.openxmlformats.org/officeDocument/2006/relationships/image" Target="media/image114.jpg"/><Relationship Id="rId488" Type="http://schemas.openxmlformats.org/officeDocument/2006/relationships/image" Target="media/image218.JPG"/><Relationship Id="rId45" Type="http://schemas.openxmlformats.org/officeDocument/2006/relationships/image" Target="media/image20.jpg"/><Relationship Id="rId110" Type="http://schemas.openxmlformats.org/officeDocument/2006/relationships/hyperlink" Target="https://campus.ubl.ac.cr/course/index.php?categoryid=186" TargetMode="External"/><Relationship Id="rId348" Type="http://schemas.openxmlformats.org/officeDocument/2006/relationships/image" Target="media/image157.JPG"/><Relationship Id="rId555" Type="http://schemas.openxmlformats.org/officeDocument/2006/relationships/image" Target="media/image246.JPG"/><Relationship Id="rId194" Type="http://schemas.openxmlformats.org/officeDocument/2006/relationships/hyperlink" Target="http://revistas.ubl.ac.cr/" TargetMode="External"/><Relationship Id="rId208" Type="http://schemas.openxmlformats.org/officeDocument/2006/relationships/hyperlink" Target="http://www.ceapedi.com.ar/imagenes/biblioteca/libreria/420.pdf" TargetMode="External"/><Relationship Id="rId415" Type="http://schemas.openxmlformats.org/officeDocument/2006/relationships/image" Target="media/image187.jpg"/><Relationship Id="rId261" Type="http://schemas.openxmlformats.org/officeDocument/2006/relationships/hyperlink" Target="http://apostadigital.com/revistav3/hemeroteca/mjalonso5.pdf" TargetMode="External"/><Relationship Id="rId499" Type="http://schemas.openxmlformats.org/officeDocument/2006/relationships/hyperlink" Target="https://www.vatican.va/content/francesco/es/encyclicals/documents/papa-francesco_20150524_enciclica-laudato-si.html" TargetMode="External"/><Relationship Id="rId56" Type="http://schemas.openxmlformats.org/officeDocument/2006/relationships/hyperlink" Target="https://campus.ubl.ac.cr/course/index.php?categoryid=186" TargetMode="External"/><Relationship Id="rId359" Type="http://schemas.openxmlformats.org/officeDocument/2006/relationships/hyperlink" Target="http://revistas.ubl.ac.cr/" TargetMode="External"/><Relationship Id="rId566" Type="http://schemas.openxmlformats.org/officeDocument/2006/relationships/hyperlink" Target="https://campus.ubl.ac.cr/course/index.php?categoryid=186"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7F3F0A-10AF-4058-ACD2-909A2D81A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833</Pages>
  <Words>179583</Words>
  <Characters>987711</Characters>
  <Application>Microsoft Office Word</Application>
  <DocSecurity>0</DocSecurity>
  <Lines>8230</Lines>
  <Paragraphs>2329</Paragraphs>
  <ScaleCrop>false</ScaleCrop>
  <Company/>
  <LinksUpToDate>false</LinksUpToDate>
  <CharactersWithSpaces>1164965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Carlos Alvarez Mejias</dc:creator>
  <cp:keywords/>
  <dc:description/>
  <cp:lastModifiedBy>Elisabeth Cook</cp:lastModifiedBy>
  <cp:revision>4</cp:revision>
  <cp:lastPrinted>2024-05-20T16:33:00Z</cp:lastPrinted>
  <dcterms:created xsi:type="dcterms:W3CDTF">2024-05-19T19:22:00Z</dcterms:created>
  <dcterms:modified xsi:type="dcterms:W3CDTF">2024-05-20T16:35:00Z</dcterms:modified>
</cp:coreProperties>
</file>